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AF4545B" w14:textId="77777777" w:rsidR="009324E2" w:rsidRPr="00472E12" w:rsidRDefault="009324E2" w:rsidP="007374FA">
      <w:pPr>
        <w:widowControl/>
        <w:jc w:val="center"/>
        <w:rPr>
          <w:b/>
          <w:sz w:val="26"/>
          <w:szCs w:val="26"/>
        </w:rPr>
      </w:pPr>
      <w:r w:rsidRPr="00472E12">
        <w:rPr>
          <w:b/>
          <w:sz w:val="26"/>
          <w:szCs w:val="26"/>
        </w:rPr>
        <w:t>PENNSYLVANIA</w:t>
      </w:r>
    </w:p>
    <w:p w14:paraId="4A5505D8" w14:textId="77777777" w:rsidR="009324E2" w:rsidRDefault="009324E2" w:rsidP="007374FA">
      <w:pPr>
        <w:widowControl/>
        <w:tabs>
          <w:tab w:val="center" w:pos="4680"/>
        </w:tabs>
        <w:suppressAutoHyphens/>
        <w:jc w:val="center"/>
        <w:rPr>
          <w:b/>
          <w:sz w:val="26"/>
        </w:rPr>
      </w:pPr>
      <w:r>
        <w:rPr>
          <w:b/>
          <w:sz w:val="26"/>
        </w:rPr>
        <w:t>PUBLIC UTILITY COMMISSION</w:t>
      </w:r>
    </w:p>
    <w:p w14:paraId="3ACE00B1" w14:textId="77777777" w:rsidR="009324E2" w:rsidRDefault="009324E2" w:rsidP="007374FA">
      <w:pPr>
        <w:widowControl/>
        <w:tabs>
          <w:tab w:val="center" w:pos="4680"/>
        </w:tabs>
        <w:suppressAutoHyphens/>
        <w:jc w:val="center"/>
        <w:rPr>
          <w:b/>
          <w:sz w:val="26"/>
        </w:rPr>
      </w:pPr>
      <w:r>
        <w:rPr>
          <w:b/>
          <w:sz w:val="26"/>
        </w:rPr>
        <w:t>Harrisburg, PA  17105-3265</w:t>
      </w:r>
    </w:p>
    <w:p w14:paraId="0BFD5C3F" w14:textId="77777777" w:rsidR="009324E2" w:rsidRDefault="009324E2" w:rsidP="007374FA">
      <w:pPr>
        <w:widowControl/>
        <w:tabs>
          <w:tab w:val="left" w:pos="-720"/>
        </w:tabs>
        <w:suppressAutoHyphens/>
        <w:rPr>
          <w:b/>
          <w:sz w:val="26"/>
        </w:rPr>
      </w:pPr>
    </w:p>
    <w:p w14:paraId="11C89D7A" w14:textId="77777777" w:rsidR="009324E2" w:rsidRDefault="009324E2" w:rsidP="007374FA">
      <w:pPr>
        <w:widowControl/>
        <w:tabs>
          <w:tab w:val="right" w:pos="9360"/>
        </w:tabs>
        <w:suppressAutoHyphens/>
        <w:rPr>
          <w:sz w:val="26"/>
        </w:rPr>
      </w:pPr>
    </w:p>
    <w:p w14:paraId="584E1AD3" w14:textId="77777777" w:rsidR="009324E2" w:rsidRDefault="009324E2" w:rsidP="007374FA">
      <w:pPr>
        <w:widowControl/>
        <w:tabs>
          <w:tab w:val="right" w:pos="9360"/>
        </w:tabs>
        <w:suppressAutoHyphens/>
        <w:jc w:val="right"/>
        <w:rPr>
          <w:sz w:val="26"/>
        </w:rPr>
      </w:pPr>
      <w:r>
        <w:rPr>
          <w:sz w:val="26"/>
        </w:rPr>
        <w:tab/>
        <w:t xml:space="preserve">Public Meeting held </w:t>
      </w:r>
      <w:r w:rsidR="004E155A">
        <w:rPr>
          <w:sz w:val="26"/>
        </w:rPr>
        <w:t>September 20</w:t>
      </w:r>
      <w:r w:rsidR="006503DC">
        <w:rPr>
          <w:sz w:val="26"/>
        </w:rPr>
        <w:t>, 2018</w:t>
      </w:r>
    </w:p>
    <w:p w14:paraId="4767F1C2" w14:textId="77777777" w:rsidR="009324E2" w:rsidRDefault="009324E2" w:rsidP="007374FA">
      <w:pPr>
        <w:widowControl/>
        <w:tabs>
          <w:tab w:val="left" w:pos="-720"/>
        </w:tabs>
        <w:suppressAutoHyphens/>
        <w:rPr>
          <w:sz w:val="26"/>
        </w:rPr>
      </w:pPr>
    </w:p>
    <w:p w14:paraId="79B288E6" w14:textId="77777777" w:rsidR="009324E2" w:rsidRDefault="009324E2" w:rsidP="007374FA">
      <w:pPr>
        <w:widowControl/>
        <w:tabs>
          <w:tab w:val="left" w:pos="-720"/>
        </w:tabs>
        <w:suppressAutoHyphens/>
        <w:rPr>
          <w:sz w:val="26"/>
        </w:rPr>
      </w:pPr>
      <w:r>
        <w:rPr>
          <w:sz w:val="26"/>
        </w:rPr>
        <w:t>Commissioners Present:</w:t>
      </w:r>
    </w:p>
    <w:p w14:paraId="513ACF32" w14:textId="77777777" w:rsidR="009324E2" w:rsidRDefault="009324E2" w:rsidP="007374FA">
      <w:pPr>
        <w:widowControl/>
        <w:tabs>
          <w:tab w:val="left" w:pos="-720"/>
        </w:tabs>
        <w:suppressAutoHyphens/>
        <w:rPr>
          <w:sz w:val="26"/>
        </w:rPr>
      </w:pPr>
    </w:p>
    <w:p w14:paraId="582BA3E1" w14:textId="77777777" w:rsidR="009324E2" w:rsidRPr="0060709A" w:rsidRDefault="009324E2" w:rsidP="007374FA">
      <w:pPr>
        <w:widowControl/>
        <w:tabs>
          <w:tab w:val="left" w:pos="705"/>
        </w:tabs>
        <w:ind w:firstLine="720"/>
        <w:rPr>
          <w:sz w:val="26"/>
          <w:szCs w:val="26"/>
        </w:rPr>
      </w:pPr>
      <w:r w:rsidRPr="0060709A">
        <w:rPr>
          <w:sz w:val="26"/>
          <w:szCs w:val="26"/>
        </w:rPr>
        <w:t>Gladys M. Brown, Chairman</w:t>
      </w:r>
    </w:p>
    <w:p w14:paraId="1D3ACC1A" w14:textId="5273AAE2" w:rsidR="009324E2" w:rsidRPr="0060709A" w:rsidRDefault="009324E2" w:rsidP="007374FA">
      <w:pPr>
        <w:widowControl/>
        <w:tabs>
          <w:tab w:val="left" w:pos="705"/>
        </w:tabs>
        <w:ind w:firstLine="720"/>
        <w:rPr>
          <w:sz w:val="26"/>
          <w:szCs w:val="26"/>
        </w:rPr>
      </w:pPr>
      <w:r w:rsidRPr="0060709A">
        <w:rPr>
          <w:sz w:val="26"/>
          <w:szCs w:val="26"/>
        </w:rPr>
        <w:t>Andrew G. Place, Vice Chairman</w:t>
      </w:r>
      <w:r w:rsidR="00123C4E">
        <w:rPr>
          <w:sz w:val="26"/>
          <w:szCs w:val="26"/>
        </w:rPr>
        <w:t>, Statement</w:t>
      </w:r>
      <w:bookmarkStart w:id="0" w:name="_GoBack"/>
      <w:bookmarkEnd w:id="0"/>
    </w:p>
    <w:p w14:paraId="73B4C15B" w14:textId="77777777" w:rsidR="009324E2" w:rsidRDefault="006503DC" w:rsidP="007374FA">
      <w:pPr>
        <w:widowControl/>
        <w:tabs>
          <w:tab w:val="left" w:pos="705"/>
        </w:tabs>
        <w:ind w:firstLine="720"/>
        <w:rPr>
          <w:sz w:val="26"/>
          <w:szCs w:val="26"/>
        </w:rPr>
      </w:pPr>
      <w:r>
        <w:rPr>
          <w:sz w:val="26"/>
          <w:szCs w:val="26"/>
        </w:rPr>
        <w:t>Norman J. Kennard</w:t>
      </w:r>
    </w:p>
    <w:p w14:paraId="786ABDEF" w14:textId="77777777" w:rsidR="006503DC" w:rsidRPr="0060709A" w:rsidRDefault="006503DC" w:rsidP="007374FA">
      <w:pPr>
        <w:widowControl/>
        <w:tabs>
          <w:tab w:val="left" w:pos="705"/>
        </w:tabs>
        <w:ind w:firstLine="720"/>
        <w:rPr>
          <w:sz w:val="26"/>
          <w:szCs w:val="26"/>
        </w:rPr>
      </w:pPr>
      <w:r>
        <w:rPr>
          <w:sz w:val="26"/>
          <w:szCs w:val="26"/>
        </w:rPr>
        <w:t>David W. Sweet</w:t>
      </w:r>
    </w:p>
    <w:p w14:paraId="32058006" w14:textId="77777777" w:rsidR="009324E2" w:rsidRPr="0060709A" w:rsidRDefault="009324E2" w:rsidP="007374FA">
      <w:pPr>
        <w:widowControl/>
        <w:tabs>
          <w:tab w:val="left" w:pos="705"/>
        </w:tabs>
        <w:ind w:firstLine="720"/>
        <w:rPr>
          <w:sz w:val="26"/>
          <w:szCs w:val="26"/>
        </w:rPr>
      </w:pPr>
      <w:r w:rsidRPr="0060709A">
        <w:rPr>
          <w:sz w:val="26"/>
          <w:szCs w:val="26"/>
        </w:rPr>
        <w:t>John F. Coleman, Jr.</w:t>
      </w:r>
    </w:p>
    <w:p w14:paraId="180D25F2" w14:textId="77777777" w:rsidR="009324E2" w:rsidRDefault="009324E2" w:rsidP="007374FA">
      <w:pPr>
        <w:widowControl/>
        <w:tabs>
          <w:tab w:val="left" w:pos="-720"/>
        </w:tabs>
        <w:suppressAutoHyphens/>
        <w:rPr>
          <w:sz w:val="26"/>
        </w:rPr>
      </w:pPr>
    </w:p>
    <w:p w14:paraId="4B757E7E" w14:textId="77777777" w:rsidR="004864AC" w:rsidRPr="008401FA" w:rsidRDefault="004864AC" w:rsidP="007374FA">
      <w:pPr>
        <w:widowControl/>
        <w:tabs>
          <w:tab w:val="left" w:pos="-720"/>
        </w:tabs>
        <w:suppressAutoHyphens/>
        <w:rPr>
          <w:sz w:val="26"/>
        </w:rPr>
      </w:pPr>
    </w:p>
    <w:tbl>
      <w:tblPr>
        <w:tblW w:w="0" w:type="auto"/>
        <w:jc w:val="center"/>
        <w:tblLook w:val="00A0" w:firstRow="1" w:lastRow="0" w:firstColumn="1" w:lastColumn="0" w:noHBand="0" w:noVBand="0"/>
      </w:tblPr>
      <w:tblGrid>
        <w:gridCol w:w="4688"/>
        <w:gridCol w:w="4672"/>
      </w:tblGrid>
      <w:tr w:rsidR="004864AC" w:rsidRPr="004864AC" w14:paraId="547922EB" w14:textId="77777777" w:rsidTr="003D116E">
        <w:trPr>
          <w:jc w:val="center"/>
        </w:trPr>
        <w:tc>
          <w:tcPr>
            <w:tcW w:w="4688" w:type="dxa"/>
          </w:tcPr>
          <w:p w14:paraId="75828FD9" w14:textId="77777777" w:rsidR="004864AC" w:rsidRDefault="001F1EC2" w:rsidP="007374FA">
            <w:pPr>
              <w:widowControl/>
              <w:rPr>
                <w:sz w:val="26"/>
                <w:szCs w:val="26"/>
              </w:rPr>
            </w:pPr>
            <w:bookmarkStart w:id="1" w:name="_Hlk523834654"/>
            <w:r>
              <w:rPr>
                <w:sz w:val="26"/>
                <w:szCs w:val="26"/>
              </w:rPr>
              <w:t>Pennsylvania Public Utility Commission</w:t>
            </w:r>
          </w:p>
          <w:p w14:paraId="2CD55D23" w14:textId="77777777" w:rsidR="001F1EC2" w:rsidRDefault="001F1EC2" w:rsidP="007374FA">
            <w:pPr>
              <w:widowControl/>
              <w:rPr>
                <w:sz w:val="26"/>
                <w:szCs w:val="26"/>
              </w:rPr>
            </w:pPr>
            <w:r>
              <w:rPr>
                <w:sz w:val="26"/>
                <w:szCs w:val="26"/>
              </w:rPr>
              <w:t>Office of Small Business Advocate</w:t>
            </w:r>
          </w:p>
          <w:p w14:paraId="1062D15F" w14:textId="77777777" w:rsidR="001F1EC2" w:rsidRDefault="001F1EC2" w:rsidP="007374FA">
            <w:pPr>
              <w:widowControl/>
              <w:rPr>
                <w:sz w:val="26"/>
                <w:szCs w:val="26"/>
              </w:rPr>
            </w:pPr>
            <w:r>
              <w:rPr>
                <w:sz w:val="26"/>
                <w:szCs w:val="26"/>
              </w:rPr>
              <w:t>Office of Consumer Advocate</w:t>
            </w:r>
          </w:p>
          <w:p w14:paraId="3A06F231" w14:textId="77777777" w:rsidR="003D116E" w:rsidRDefault="003D116E" w:rsidP="007374FA">
            <w:pPr>
              <w:widowControl/>
              <w:rPr>
                <w:sz w:val="26"/>
                <w:szCs w:val="26"/>
              </w:rPr>
            </w:pPr>
          </w:p>
          <w:p w14:paraId="378622FC" w14:textId="77777777" w:rsidR="003D116E" w:rsidRDefault="003D116E" w:rsidP="007374FA">
            <w:pPr>
              <w:widowControl/>
              <w:rPr>
                <w:sz w:val="26"/>
                <w:szCs w:val="26"/>
              </w:rPr>
            </w:pPr>
            <w:r>
              <w:rPr>
                <w:sz w:val="26"/>
                <w:szCs w:val="26"/>
              </w:rPr>
              <w:tab/>
            </w:r>
            <w:r>
              <w:rPr>
                <w:sz w:val="26"/>
                <w:szCs w:val="26"/>
              </w:rPr>
              <w:tab/>
              <w:t>v.</w:t>
            </w:r>
          </w:p>
          <w:p w14:paraId="2FF8E794" w14:textId="77777777" w:rsidR="003D116E" w:rsidRDefault="003D116E" w:rsidP="007374FA">
            <w:pPr>
              <w:widowControl/>
              <w:rPr>
                <w:sz w:val="26"/>
                <w:szCs w:val="26"/>
              </w:rPr>
            </w:pPr>
          </w:p>
          <w:p w14:paraId="7AD8DDEC" w14:textId="77777777" w:rsidR="003D116E" w:rsidRDefault="003D116E" w:rsidP="007374FA">
            <w:pPr>
              <w:widowControl/>
              <w:rPr>
                <w:sz w:val="26"/>
                <w:szCs w:val="26"/>
              </w:rPr>
            </w:pPr>
            <w:r>
              <w:rPr>
                <w:sz w:val="26"/>
                <w:szCs w:val="26"/>
              </w:rPr>
              <w:t xml:space="preserve">Peoples Natural Gas Company, LLC – </w:t>
            </w:r>
          </w:p>
          <w:p w14:paraId="6CC699AC" w14:textId="77777777" w:rsidR="003D116E" w:rsidRDefault="003D116E" w:rsidP="007374FA">
            <w:pPr>
              <w:widowControl/>
              <w:rPr>
                <w:sz w:val="26"/>
                <w:szCs w:val="26"/>
              </w:rPr>
            </w:pPr>
            <w:r>
              <w:rPr>
                <w:sz w:val="26"/>
                <w:szCs w:val="26"/>
              </w:rPr>
              <w:t>Peoples Division</w:t>
            </w:r>
          </w:p>
          <w:p w14:paraId="1A024DE7" w14:textId="77777777" w:rsidR="003D116E" w:rsidRDefault="003D116E" w:rsidP="007374FA">
            <w:pPr>
              <w:widowControl/>
              <w:rPr>
                <w:sz w:val="26"/>
                <w:szCs w:val="26"/>
              </w:rPr>
            </w:pPr>
          </w:p>
          <w:p w14:paraId="6573587A" w14:textId="77777777" w:rsidR="003D116E" w:rsidRPr="001F1EC2" w:rsidRDefault="003D116E" w:rsidP="007374FA">
            <w:pPr>
              <w:widowControl/>
              <w:rPr>
                <w:sz w:val="26"/>
                <w:szCs w:val="26"/>
              </w:rPr>
            </w:pPr>
          </w:p>
        </w:tc>
        <w:tc>
          <w:tcPr>
            <w:tcW w:w="4672" w:type="dxa"/>
          </w:tcPr>
          <w:p w14:paraId="15163E0E" w14:textId="77777777" w:rsidR="004864AC" w:rsidRDefault="001F1EC2" w:rsidP="007374FA">
            <w:pPr>
              <w:widowControl/>
              <w:jc w:val="right"/>
              <w:rPr>
                <w:sz w:val="26"/>
                <w:szCs w:val="26"/>
              </w:rPr>
            </w:pPr>
            <w:r>
              <w:rPr>
                <w:sz w:val="26"/>
                <w:szCs w:val="26"/>
              </w:rPr>
              <w:t>R-2018-26452</w:t>
            </w:r>
            <w:r w:rsidR="003D116E">
              <w:rPr>
                <w:sz w:val="26"/>
                <w:szCs w:val="26"/>
              </w:rPr>
              <w:t>78</w:t>
            </w:r>
          </w:p>
          <w:p w14:paraId="11574A9F" w14:textId="77777777" w:rsidR="001F1EC2" w:rsidRDefault="001F1EC2" w:rsidP="007374FA">
            <w:pPr>
              <w:widowControl/>
              <w:jc w:val="right"/>
              <w:rPr>
                <w:sz w:val="26"/>
                <w:szCs w:val="26"/>
              </w:rPr>
            </w:pPr>
            <w:r>
              <w:rPr>
                <w:sz w:val="26"/>
                <w:szCs w:val="26"/>
              </w:rPr>
              <w:t>C-2018-3000</w:t>
            </w:r>
            <w:r w:rsidR="003D116E">
              <w:rPr>
                <w:sz w:val="26"/>
                <w:szCs w:val="26"/>
              </w:rPr>
              <w:t>494</w:t>
            </w:r>
          </w:p>
          <w:p w14:paraId="5CD67DB1" w14:textId="77777777" w:rsidR="001F1EC2" w:rsidRPr="004864AC" w:rsidRDefault="001F1EC2" w:rsidP="007374FA">
            <w:pPr>
              <w:widowControl/>
              <w:jc w:val="right"/>
              <w:rPr>
                <w:sz w:val="26"/>
                <w:szCs w:val="26"/>
              </w:rPr>
            </w:pPr>
            <w:r>
              <w:rPr>
                <w:sz w:val="26"/>
                <w:szCs w:val="26"/>
              </w:rPr>
              <w:t>C-2018-3000</w:t>
            </w:r>
            <w:r w:rsidR="003D116E">
              <w:rPr>
                <w:sz w:val="26"/>
                <w:szCs w:val="26"/>
              </w:rPr>
              <w:t>567</w:t>
            </w:r>
          </w:p>
          <w:p w14:paraId="2BA0D787" w14:textId="77777777" w:rsidR="004864AC" w:rsidRPr="004864AC" w:rsidRDefault="004864AC" w:rsidP="007374FA">
            <w:pPr>
              <w:widowControl/>
              <w:rPr>
                <w:sz w:val="26"/>
                <w:szCs w:val="26"/>
              </w:rPr>
            </w:pPr>
          </w:p>
        </w:tc>
      </w:tr>
      <w:bookmarkEnd w:id="1"/>
      <w:tr w:rsidR="003D116E" w:rsidRPr="004864AC" w14:paraId="03D295B8" w14:textId="77777777" w:rsidTr="003D116E">
        <w:trPr>
          <w:jc w:val="center"/>
        </w:trPr>
        <w:tc>
          <w:tcPr>
            <w:tcW w:w="4688" w:type="dxa"/>
          </w:tcPr>
          <w:p w14:paraId="463D7926" w14:textId="77777777" w:rsidR="003D116E" w:rsidRDefault="003D116E" w:rsidP="007374FA">
            <w:pPr>
              <w:widowControl/>
              <w:rPr>
                <w:sz w:val="26"/>
                <w:szCs w:val="26"/>
              </w:rPr>
            </w:pPr>
            <w:r>
              <w:rPr>
                <w:sz w:val="26"/>
                <w:szCs w:val="26"/>
              </w:rPr>
              <w:t>Pennsylvania Public Utility Commission</w:t>
            </w:r>
          </w:p>
          <w:p w14:paraId="3F5D703C" w14:textId="77777777" w:rsidR="003D116E" w:rsidRDefault="003D116E" w:rsidP="007374FA">
            <w:pPr>
              <w:widowControl/>
              <w:rPr>
                <w:sz w:val="26"/>
                <w:szCs w:val="26"/>
              </w:rPr>
            </w:pPr>
            <w:r>
              <w:rPr>
                <w:sz w:val="26"/>
                <w:szCs w:val="26"/>
              </w:rPr>
              <w:t>Office of Small Business Advocate</w:t>
            </w:r>
          </w:p>
          <w:p w14:paraId="7EA787EF" w14:textId="77777777" w:rsidR="003D116E" w:rsidRDefault="003D116E" w:rsidP="007374FA">
            <w:pPr>
              <w:widowControl/>
              <w:rPr>
                <w:sz w:val="26"/>
                <w:szCs w:val="26"/>
              </w:rPr>
            </w:pPr>
            <w:r>
              <w:rPr>
                <w:sz w:val="26"/>
                <w:szCs w:val="26"/>
              </w:rPr>
              <w:t>Office of Consumer Advocate</w:t>
            </w:r>
          </w:p>
          <w:p w14:paraId="7C16C95E" w14:textId="77777777" w:rsidR="003D116E" w:rsidRDefault="003D116E" w:rsidP="007374FA">
            <w:pPr>
              <w:widowControl/>
              <w:rPr>
                <w:sz w:val="26"/>
                <w:szCs w:val="26"/>
              </w:rPr>
            </w:pPr>
          </w:p>
          <w:p w14:paraId="11380A92" w14:textId="77777777" w:rsidR="003D116E" w:rsidRDefault="003D116E" w:rsidP="007374FA">
            <w:pPr>
              <w:widowControl/>
              <w:rPr>
                <w:sz w:val="26"/>
                <w:szCs w:val="26"/>
              </w:rPr>
            </w:pPr>
            <w:r>
              <w:rPr>
                <w:sz w:val="26"/>
                <w:szCs w:val="26"/>
              </w:rPr>
              <w:tab/>
            </w:r>
            <w:r>
              <w:rPr>
                <w:sz w:val="26"/>
                <w:szCs w:val="26"/>
              </w:rPr>
              <w:tab/>
              <w:t>v.</w:t>
            </w:r>
          </w:p>
          <w:p w14:paraId="2DFA3A6A" w14:textId="77777777" w:rsidR="003D116E" w:rsidRDefault="003D116E" w:rsidP="007374FA">
            <w:pPr>
              <w:widowControl/>
              <w:rPr>
                <w:sz w:val="26"/>
                <w:szCs w:val="26"/>
              </w:rPr>
            </w:pPr>
          </w:p>
          <w:p w14:paraId="739FB0E6" w14:textId="77777777" w:rsidR="003D116E" w:rsidRDefault="003D116E" w:rsidP="007374FA">
            <w:pPr>
              <w:widowControl/>
              <w:rPr>
                <w:sz w:val="26"/>
                <w:szCs w:val="26"/>
              </w:rPr>
            </w:pPr>
            <w:r>
              <w:rPr>
                <w:sz w:val="26"/>
                <w:szCs w:val="26"/>
              </w:rPr>
              <w:t xml:space="preserve">Peoples Natural Gas Company, LLC – </w:t>
            </w:r>
          </w:p>
          <w:p w14:paraId="505250D4" w14:textId="77777777" w:rsidR="003D116E" w:rsidRPr="001F1EC2" w:rsidRDefault="003D116E" w:rsidP="007374FA">
            <w:pPr>
              <w:widowControl/>
              <w:rPr>
                <w:sz w:val="26"/>
                <w:szCs w:val="26"/>
              </w:rPr>
            </w:pPr>
            <w:r>
              <w:rPr>
                <w:sz w:val="26"/>
                <w:szCs w:val="26"/>
              </w:rPr>
              <w:t>Equitable Division</w:t>
            </w:r>
          </w:p>
        </w:tc>
        <w:tc>
          <w:tcPr>
            <w:tcW w:w="4672" w:type="dxa"/>
          </w:tcPr>
          <w:p w14:paraId="00F3B6CD" w14:textId="77777777" w:rsidR="003D116E" w:rsidRDefault="003D116E" w:rsidP="007374FA">
            <w:pPr>
              <w:widowControl/>
              <w:jc w:val="right"/>
              <w:rPr>
                <w:sz w:val="26"/>
                <w:szCs w:val="26"/>
              </w:rPr>
            </w:pPr>
            <w:r>
              <w:rPr>
                <w:sz w:val="26"/>
                <w:szCs w:val="26"/>
              </w:rPr>
              <w:t>R-2018-3000236</w:t>
            </w:r>
          </w:p>
          <w:p w14:paraId="20B88B86" w14:textId="77777777" w:rsidR="003D116E" w:rsidRDefault="003D116E" w:rsidP="007374FA">
            <w:pPr>
              <w:widowControl/>
              <w:jc w:val="right"/>
              <w:rPr>
                <w:sz w:val="26"/>
                <w:szCs w:val="26"/>
              </w:rPr>
            </w:pPr>
            <w:r>
              <w:rPr>
                <w:sz w:val="26"/>
                <w:szCs w:val="26"/>
              </w:rPr>
              <w:t>C-2018-3000496</w:t>
            </w:r>
          </w:p>
          <w:p w14:paraId="62CD5E3C" w14:textId="77777777" w:rsidR="003D116E" w:rsidRPr="004864AC" w:rsidRDefault="003D116E" w:rsidP="007374FA">
            <w:pPr>
              <w:widowControl/>
              <w:jc w:val="right"/>
              <w:rPr>
                <w:sz w:val="26"/>
                <w:szCs w:val="26"/>
              </w:rPr>
            </w:pPr>
            <w:r>
              <w:rPr>
                <w:sz w:val="26"/>
                <w:szCs w:val="26"/>
              </w:rPr>
              <w:t>C-2018-3000573</w:t>
            </w:r>
          </w:p>
          <w:p w14:paraId="7BA4FEDE" w14:textId="77777777" w:rsidR="003D116E" w:rsidRPr="004864AC" w:rsidRDefault="003D116E" w:rsidP="007374FA">
            <w:pPr>
              <w:widowControl/>
              <w:rPr>
                <w:sz w:val="26"/>
                <w:szCs w:val="26"/>
              </w:rPr>
            </w:pPr>
          </w:p>
        </w:tc>
      </w:tr>
    </w:tbl>
    <w:p w14:paraId="40C66C1D" w14:textId="77777777" w:rsidR="008401FA" w:rsidRDefault="008401FA" w:rsidP="007374FA">
      <w:pPr>
        <w:widowControl/>
        <w:tabs>
          <w:tab w:val="left" w:pos="-720"/>
        </w:tabs>
        <w:suppressAutoHyphens/>
        <w:rPr>
          <w:sz w:val="26"/>
        </w:rPr>
      </w:pPr>
    </w:p>
    <w:p w14:paraId="172E7E30" w14:textId="77777777" w:rsidR="004864AC" w:rsidRDefault="004864AC" w:rsidP="007374FA">
      <w:pPr>
        <w:widowControl/>
        <w:tabs>
          <w:tab w:val="left" w:pos="-720"/>
        </w:tabs>
        <w:suppressAutoHyphens/>
        <w:rPr>
          <w:sz w:val="26"/>
        </w:rPr>
      </w:pPr>
    </w:p>
    <w:p w14:paraId="6DABAF42" w14:textId="77777777" w:rsidR="009324E2" w:rsidRPr="008401FA" w:rsidRDefault="009324E2" w:rsidP="007374FA">
      <w:pPr>
        <w:widowControl/>
        <w:tabs>
          <w:tab w:val="center" w:pos="4680"/>
        </w:tabs>
        <w:suppressAutoHyphens/>
        <w:rPr>
          <w:sz w:val="26"/>
        </w:rPr>
      </w:pPr>
    </w:p>
    <w:p w14:paraId="6E6F5D2D" w14:textId="77777777" w:rsidR="009324E2" w:rsidRDefault="009324E2" w:rsidP="007374FA">
      <w:pPr>
        <w:widowControl/>
        <w:tabs>
          <w:tab w:val="center" w:pos="4680"/>
        </w:tabs>
        <w:suppressAutoHyphens/>
        <w:jc w:val="center"/>
        <w:rPr>
          <w:b/>
          <w:sz w:val="26"/>
        </w:rPr>
      </w:pPr>
      <w:r>
        <w:rPr>
          <w:b/>
          <w:sz w:val="26"/>
        </w:rPr>
        <w:t>OPINION AND ORDER</w:t>
      </w:r>
    </w:p>
    <w:p w14:paraId="41567E42" w14:textId="77777777" w:rsidR="00A53929" w:rsidRDefault="00A53929" w:rsidP="007374FA">
      <w:pPr>
        <w:widowControl/>
        <w:tabs>
          <w:tab w:val="center" w:pos="4680"/>
        </w:tabs>
        <w:suppressAutoHyphens/>
        <w:jc w:val="center"/>
        <w:rPr>
          <w:b/>
          <w:sz w:val="26"/>
        </w:rPr>
      </w:pPr>
    </w:p>
    <w:p w14:paraId="2E368E02" w14:textId="77777777" w:rsidR="009056BA" w:rsidRDefault="009056BA" w:rsidP="007374FA">
      <w:pPr>
        <w:widowControl/>
        <w:tabs>
          <w:tab w:val="left" w:pos="-720"/>
        </w:tabs>
        <w:suppressAutoHyphens/>
        <w:spacing w:after="120"/>
        <w:rPr>
          <w:b/>
          <w:sz w:val="26"/>
        </w:rPr>
        <w:sectPr w:rsidR="009056BA" w:rsidSect="00643850">
          <w:footerReference w:type="default" r:id="rId8"/>
          <w:footerReference w:type="first" r:id="rId9"/>
          <w:pgSz w:w="12240" w:h="15840"/>
          <w:pgMar w:top="1440" w:right="1440" w:bottom="1440" w:left="1440" w:header="720" w:footer="720" w:gutter="0"/>
          <w:pgNumType w:start="1"/>
          <w:cols w:space="720"/>
          <w:titlePg/>
          <w:docGrid w:linePitch="360"/>
        </w:sectPr>
      </w:pPr>
    </w:p>
    <w:sdt>
      <w:sdtPr>
        <w:rPr>
          <w:sz w:val="26"/>
          <w:szCs w:val="24"/>
        </w:rPr>
        <w:id w:val="934635144"/>
        <w:docPartObj>
          <w:docPartGallery w:val="Table of Contents"/>
          <w:docPartUnique/>
        </w:docPartObj>
      </w:sdtPr>
      <w:sdtEndPr>
        <w:rPr>
          <w:noProof/>
        </w:rPr>
      </w:sdtEndPr>
      <w:sdtContent>
        <w:p w14:paraId="7DF2A901" w14:textId="77777777" w:rsidR="003D116E" w:rsidRPr="003D116E" w:rsidRDefault="003D116E" w:rsidP="007374FA">
          <w:pPr>
            <w:keepNext/>
            <w:keepLines/>
            <w:widowControl/>
            <w:spacing w:before="480" w:line="276" w:lineRule="auto"/>
            <w:jc w:val="center"/>
            <w:rPr>
              <w:rFonts w:eastAsiaTheme="majorEastAsia"/>
              <w:b/>
              <w:bCs/>
              <w:sz w:val="26"/>
              <w:szCs w:val="26"/>
              <w:lang w:eastAsia="ja-JP"/>
            </w:rPr>
          </w:pPr>
          <w:r w:rsidRPr="003D116E">
            <w:rPr>
              <w:rFonts w:eastAsiaTheme="majorEastAsia"/>
              <w:b/>
              <w:bCs/>
              <w:sz w:val="26"/>
              <w:szCs w:val="26"/>
              <w:lang w:eastAsia="ja-JP"/>
            </w:rPr>
            <w:t>Contents</w:t>
          </w:r>
        </w:p>
        <w:p w14:paraId="614A9A1A" w14:textId="77777777" w:rsidR="003D116E" w:rsidRPr="003D116E" w:rsidRDefault="003D116E" w:rsidP="007374FA">
          <w:pPr>
            <w:widowControl/>
            <w:spacing w:line="360" w:lineRule="auto"/>
            <w:ind w:firstLine="1440"/>
            <w:rPr>
              <w:sz w:val="26"/>
              <w:szCs w:val="24"/>
              <w:lang w:eastAsia="ja-JP"/>
            </w:rPr>
          </w:pPr>
        </w:p>
        <w:p w14:paraId="52CAC523" w14:textId="08BEE847" w:rsidR="008A6156" w:rsidRDefault="003D116E" w:rsidP="007374FA">
          <w:pPr>
            <w:pStyle w:val="TOC1"/>
            <w:widowControl/>
            <w:tabs>
              <w:tab w:val="left" w:pos="720"/>
              <w:tab w:val="right" w:leader="dot" w:pos="9350"/>
            </w:tabs>
            <w:rPr>
              <w:rFonts w:asciiTheme="minorHAnsi" w:eastAsiaTheme="minorEastAsia" w:hAnsiTheme="minorHAnsi" w:cstheme="minorBidi"/>
              <w:noProof/>
              <w:sz w:val="22"/>
              <w:szCs w:val="22"/>
            </w:rPr>
          </w:pPr>
          <w:r w:rsidRPr="003D116E">
            <w:rPr>
              <w:szCs w:val="24"/>
            </w:rPr>
            <w:fldChar w:fldCharType="begin"/>
          </w:r>
          <w:r w:rsidRPr="003D116E">
            <w:rPr>
              <w:szCs w:val="24"/>
            </w:rPr>
            <w:instrText xml:space="preserve"> TOC \o "1-3" \h \z \u </w:instrText>
          </w:r>
          <w:r w:rsidRPr="003D116E">
            <w:rPr>
              <w:szCs w:val="24"/>
            </w:rPr>
            <w:fldChar w:fldCharType="separate"/>
          </w:r>
          <w:hyperlink w:anchor="_Toc524442339" w:history="1">
            <w:r w:rsidR="008A6156" w:rsidRPr="00FA158F">
              <w:rPr>
                <w:rStyle w:val="Hyperlink"/>
                <w:noProof/>
              </w:rPr>
              <w:t>I.</w:t>
            </w:r>
            <w:r w:rsidR="008A6156">
              <w:rPr>
                <w:rFonts w:asciiTheme="minorHAnsi" w:eastAsiaTheme="minorEastAsia" w:hAnsiTheme="minorHAnsi" w:cstheme="minorBidi"/>
                <w:noProof/>
                <w:sz w:val="22"/>
                <w:szCs w:val="22"/>
              </w:rPr>
              <w:tab/>
            </w:r>
            <w:r w:rsidR="008A6156" w:rsidRPr="00FA158F">
              <w:rPr>
                <w:rStyle w:val="Hyperlink"/>
                <w:noProof/>
              </w:rPr>
              <w:t>Background</w:t>
            </w:r>
            <w:r w:rsidR="008A6156">
              <w:rPr>
                <w:noProof/>
                <w:webHidden/>
              </w:rPr>
              <w:tab/>
            </w:r>
            <w:r w:rsidR="008A6156">
              <w:rPr>
                <w:noProof/>
                <w:webHidden/>
              </w:rPr>
              <w:fldChar w:fldCharType="begin"/>
            </w:r>
            <w:r w:rsidR="008A6156">
              <w:rPr>
                <w:noProof/>
                <w:webHidden/>
              </w:rPr>
              <w:instrText xml:space="preserve"> PAGEREF _Toc524442339 \h </w:instrText>
            </w:r>
            <w:r w:rsidR="008A6156">
              <w:rPr>
                <w:noProof/>
                <w:webHidden/>
              </w:rPr>
            </w:r>
            <w:r w:rsidR="008A6156">
              <w:rPr>
                <w:noProof/>
                <w:webHidden/>
              </w:rPr>
              <w:fldChar w:fldCharType="separate"/>
            </w:r>
            <w:r w:rsidR="008A6156">
              <w:rPr>
                <w:noProof/>
                <w:webHidden/>
              </w:rPr>
              <w:t>2</w:t>
            </w:r>
            <w:r w:rsidR="008A6156">
              <w:rPr>
                <w:noProof/>
                <w:webHidden/>
              </w:rPr>
              <w:fldChar w:fldCharType="end"/>
            </w:r>
          </w:hyperlink>
        </w:p>
        <w:p w14:paraId="47F9B65E" w14:textId="28AF529B" w:rsidR="008A6156" w:rsidRDefault="00F0079B" w:rsidP="007374FA">
          <w:pPr>
            <w:pStyle w:val="TOC1"/>
            <w:widowControl/>
            <w:tabs>
              <w:tab w:val="left" w:pos="720"/>
              <w:tab w:val="right" w:leader="dot" w:pos="9350"/>
            </w:tabs>
            <w:rPr>
              <w:rFonts w:asciiTheme="minorHAnsi" w:eastAsiaTheme="minorEastAsia" w:hAnsiTheme="minorHAnsi" w:cstheme="minorBidi"/>
              <w:noProof/>
              <w:sz w:val="22"/>
              <w:szCs w:val="22"/>
            </w:rPr>
          </w:pPr>
          <w:hyperlink w:anchor="_Toc524442340" w:history="1">
            <w:r w:rsidR="008A6156" w:rsidRPr="00FA158F">
              <w:rPr>
                <w:rStyle w:val="Hyperlink"/>
                <w:noProof/>
              </w:rPr>
              <w:t>II.</w:t>
            </w:r>
            <w:r w:rsidR="008A6156">
              <w:rPr>
                <w:rFonts w:asciiTheme="minorHAnsi" w:eastAsiaTheme="minorEastAsia" w:hAnsiTheme="minorHAnsi" w:cstheme="minorBidi"/>
                <w:noProof/>
                <w:sz w:val="22"/>
                <w:szCs w:val="22"/>
              </w:rPr>
              <w:tab/>
            </w:r>
            <w:r w:rsidR="008A6156" w:rsidRPr="00FA158F">
              <w:rPr>
                <w:rStyle w:val="Hyperlink"/>
                <w:noProof/>
              </w:rPr>
              <w:t>History of the Proceeding</w:t>
            </w:r>
            <w:r w:rsidR="008A6156">
              <w:rPr>
                <w:noProof/>
                <w:webHidden/>
              </w:rPr>
              <w:tab/>
            </w:r>
            <w:r w:rsidR="008A6156">
              <w:rPr>
                <w:noProof/>
                <w:webHidden/>
              </w:rPr>
              <w:fldChar w:fldCharType="begin"/>
            </w:r>
            <w:r w:rsidR="008A6156">
              <w:rPr>
                <w:noProof/>
                <w:webHidden/>
              </w:rPr>
              <w:instrText xml:space="preserve"> PAGEREF _Toc524442340 \h </w:instrText>
            </w:r>
            <w:r w:rsidR="008A6156">
              <w:rPr>
                <w:noProof/>
                <w:webHidden/>
              </w:rPr>
            </w:r>
            <w:r w:rsidR="008A6156">
              <w:rPr>
                <w:noProof/>
                <w:webHidden/>
              </w:rPr>
              <w:fldChar w:fldCharType="separate"/>
            </w:r>
            <w:r w:rsidR="008A6156">
              <w:rPr>
                <w:noProof/>
                <w:webHidden/>
              </w:rPr>
              <w:t>4</w:t>
            </w:r>
            <w:r w:rsidR="008A6156">
              <w:rPr>
                <w:noProof/>
                <w:webHidden/>
              </w:rPr>
              <w:fldChar w:fldCharType="end"/>
            </w:r>
          </w:hyperlink>
        </w:p>
        <w:p w14:paraId="51D60824" w14:textId="7213874D" w:rsidR="008A6156" w:rsidRDefault="00F0079B" w:rsidP="007374FA">
          <w:pPr>
            <w:pStyle w:val="TOC1"/>
            <w:widowControl/>
            <w:tabs>
              <w:tab w:val="left" w:pos="720"/>
              <w:tab w:val="right" w:leader="dot" w:pos="9350"/>
            </w:tabs>
            <w:rPr>
              <w:rFonts w:asciiTheme="minorHAnsi" w:eastAsiaTheme="minorEastAsia" w:hAnsiTheme="minorHAnsi" w:cstheme="minorBidi"/>
              <w:noProof/>
              <w:sz w:val="22"/>
              <w:szCs w:val="22"/>
            </w:rPr>
          </w:pPr>
          <w:hyperlink w:anchor="_Toc524442341" w:history="1">
            <w:r w:rsidR="008A6156" w:rsidRPr="00FA158F">
              <w:rPr>
                <w:rStyle w:val="Hyperlink"/>
                <w:noProof/>
              </w:rPr>
              <w:t>III.</w:t>
            </w:r>
            <w:r w:rsidR="008A6156">
              <w:rPr>
                <w:rFonts w:asciiTheme="minorHAnsi" w:eastAsiaTheme="minorEastAsia" w:hAnsiTheme="minorHAnsi" w:cstheme="minorBidi"/>
                <w:noProof/>
                <w:sz w:val="22"/>
                <w:szCs w:val="22"/>
              </w:rPr>
              <w:tab/>
            </w:r>
            <w:r w:rsidR="008A6156" w:rsidRPr="00FA158F">
              <w:rPr>
                <w:rStyle w:val="Hyperlink"/>
                <w:noProof/>
              </w:rPr>
              <w:t>Introduction</w:t>
            </w:r>
            <w:r w:rsidR="008A6156">
              <w:rPr>
                <w:noProof/>
                <w:webHidden/>
              </w:rPr>
              <w:tab/>
            </w:r>
            <w:r w:rsidR="008A6156">
              <w:rPr>
                <w:noProof/>
                <w:webHidden/>
              </w:rPr>
              <w:fldChar w:fldCharType="begin"/>
            </w:r>
            <w:r w:rsidR="008A6156">
              <w:rPr>
                <w:noProof/>
                <w:webHidden/>
              </w:rPr>
              <w:instrText xml:space="preserve"> PAGEREF _Toc524442341 \h </w:instrText>
            </w:r>
            <w:r w:rsidR="008A6156">
              <w:rPr>
                <w:noProof/>
                <w:webHidden/>
              </w:rPr>
            </w:r>
            <w:r w:rsidR="008A6156">
              <w:rPr>
                <w:noProof/>
                <w:webHidden/>
              </w:rPr>
              <w:fldChar w:fldCharType="separate"/>
            </w:r>
            <w:r w:rsidR="008A6156">
              <w:rPr>
                <w:noProof/>
                <w:webHidden/>
              </w:rPr>
              <w:t>6</w:t>
            </w:r>
            <w:r w:rsidR="008A6156">
              <w:rPr>
                <w:noProof/>
                <w:webHidden/>
              </w:rPr>
              <w:fldChar w:fldCharType="end"/>
            </w:r>
          </w:hyperlink>
        </w:p>
        <w:p w14:paraId="1B033EAC" w14:textId="53E6A1F4" w:rsidR="008A6156" w:rsidRDefault="00F0079B" w:rsidP="007374FA">
          <w:pPr>
            <w:pStyle w:val="TOC2"/>
            <w:widowControl/>
            <w:tabs>
              <w:tab w:val="left" w:pos="720"/>
              <w:tab w:val="right" w:leader="dot" w:pos="9350"/>
            </w:tabs>
            <w:rPr>
              <w:rFonts w:asciiTheme="minorHAnsi" w:eastAsiaTheme="minorEastAsia" w:hAnsiTheme="minorHAnsi" w:cstheme="minorBidi"/>
              <w:noProof/>
              <w:sz w:val="22"/>
              <w:szCs w:val="22"/>
            </w:rPr>
          </w:pPr>
          <w:hyperlink w:anchor="_Toc524442342" w:history="1">
            <w:r w:rsidR="008A6156" w:rsidRPr="00FA158F">
              <w:rPr>
                <w:rStyle w:val="Hyperlink"/>
                <w:noProof/>
              </w:rPr>
              <w:t>A.</w:t>
            </w:r>
            <w:r w:rsidR="008A6156">
              <w:rPr>
                <w:rFonts w:asciiTheme="minorHAnsi" w:eastAsiaTheme="minorEastAsia" w:hAnsiTheme="minorHAnsi" w:cstheme="minorBidi"/>
                <w:noProof/>
                <w:sz w:val="22"/>
                <w:szCs w:val="22"/>
              </w:rPr>
              <w:tab/>
            </w:r>
            <w:r w:rsidR="008A6156" w:rsidRPr="00FA158F">
              <w:rPr>
                <w:rStyle w:val="Hyperlink"/>
                <w:noProof/>
              </w:rPr>
              <w:t>Burden of Proof</w:t>
            </w:r>
            <w:r w:rsidR="008A6156">
              <w:rPr>
                <w:noProof/>
                <w:webHidden/>
              </w:rPr>
              <w:tab/>
            </w:r>
            <w:r w:rsidR="008A6156">
              <w:rPr>
                <w:noProof/>
                <w:webHidden/>
              </w:rPr>
              <w:fldChar w:fldCharType="begin"/>
            </w:r>
            <w:r w:rsidR="008A6156">
              <w:rPr>
                <w:noProof/>
                <w:webHidden/>
              </w:rPr>
              <w:instrText xml:space="preserve"> PAGEREF _Toc524442342 \h </w:instrText>
            </w:r>
            <w:r w:rsidR="008A6156">
              <w:rPr>
                <w:noProof/>
                <w:webHidden/>
              </w:rPr>
            </w:r>
            <w:r w:rsidR="008A6156">
              <w:rPr>
                <w:noProof/>
                <w:webHidden/>
              </w:rPr>
              <w:fldChar w:fldCharType="separate"/>
            </w:r>
            <w:r w:rsidR="008A6156">
              <w:rPr>
                <w:noProof/>
                <w:webHidden/>
              </w:rPr>
              <w:t>7</w:t>
            </w:r>
            <w:r w:rsidR="008A6156">
              <w:rPr>
                <w:noProof/>
                <w:webHidden/>
              </w:rPr>
              <w:fldChar w:fldCharType="end"/>
            </w:r>
          </w:hyperlink>
        </w:p>
        <w:p w14:paraId="66880E0B" w14:textId="261E9A41" w:rsidR="008A6156" w:rsidRDefault="00F0079B" w:rsidP="007374FA">
          <w:pPr>
            <w:pStyle w:val="TOC2"/>
            <w:widowControl/>
            <w:tabs>
              <w:tab w:val="left" w:pos="720"/>
              <w:tab w:val="right" w:leader="dot" w:pos="9350"/>
            </w:tabs>
            <w:rPr>
              <w:rFonts w:asciiTheme="minorHAnsi" w:eastAsiaTheme="minorEastAsia" w:hAnsiTheme="minorHAnsi" w:cstheme="minorBidi"/>
              <w:noProof/>
              <w:sz w:val="22"/>
              <w:szCs w:val="22"/>
            </w:rPr>
          </w:pPr>
          <w:hyperlink w:anchor="_Toc524442343" w:history="1">
            <w:r w:rsidR="008A6156" w:rsidRPr="00FA158F">
              <w:rPr>
                <w:rStyle w:val="Hyperlink"/>
                <w:noProof/>
              </w:rPr>
              <w:t>B.</w:t>
            </w:r>
            <w:r w:rsidR="008A6156">
              <w:rPr>
                <w:rFonts w:asciiTheme="minorHAnsi" w:eastAsiaTheme="minorEastAsia" w:hAnsiTheme="minorHAnsi" w:cstheme="minorBidi"/>
                <w:noProof/>
                <w:sz w:val="22"/>
                <w:szCs w:val="22"/>
              </w:rPr>
              <w:tab/>
            </w:r>
            <w:r w:rsidR="008A6156" w:rsidRPr="00FA158F">
              <w:rPr>
                <w:rStyle w:val="Hyperlink"/>
                <w:noProof/>
              </w:rPr>
              <w:t>Least Cost Fuel Procurement Policy</w:t>
            </w:r>
            <w:r w:rsidR="008A6156">
              <w:rPr>
                <w:noProof/>
                <w:webHidden/>
              </w:rPr>
              <w:tab/>
            </w:r>
            <w:r w:rsidR="008A6156">
              <w:rPr>
                <w:noProof/>
                <w:webHidden/>
              </w:rPr>
              <w:fldChar w:fldCharType="begin"/>
            </w:r>
            <w:r w:rsidR="008A6156">
              <w:rPr>
                <w:noProof/>
                <w:webHidden/>
              </w:rPr>
              <w:instrText xml:space="preserve"> PAGEREF _Toc524442343 \h </w:instrText>
            </w:r>
            <w:r w:rsidR="008A6156">
              <w:rPr>
                <w:noProof/>
                <w:webHidden/>
              </w:rPr>
            </w:r>
            <w:r w:rsidR="008A6156">
              <w:rPr>
                <w:noProof/>
                <w:webHidden/>
              </w:rPr>
              <w:fldChar w:fldCharType="separate"/>
            </w:r>
            <w:r w:rsidR="008A6156">
              <w:rPr>
                <w:noProof/>
                <w:webHidden/>
              </w:rPr>
              <w:t>8</w:t>
            </w:r>
            <w:r w:rsidR="008A6156">
              <w:rPr>
                <w:noProof/>
                <w:webHidden/>
              </w:rPr>
              <w:fldChar w:fldCharType="end"/>
            </w:r>
          </w:hyperlink>
        </w:p>
        <w:p w14:paraId="0C8FB9BB" w14:textId="66A9BB76" w:rsidR="008A6156" w:rsidRDefault="00F0079B" w:rsidP="007374FA">
          <w:pPr>
            <w:pStyle w:val="TOC2"/>
            <w:widowControl/>
            <w:tabs>
              <w:tab w:val="left" w:pos="720"/>
              <w:tab w:val="right" w:leader="dot" w:pos="9350"/>
            </w:tabs>
            <w:rPr>
              <w:rFonts w:asciiTheme="minorHAnsi" w:eastAsiaTheme="minorEastAsia" w:hAnsiTheme="minorHAnsi" w:cstheme="minorBidi"/>
              <w:noProof/>
              <w:sz w:val="22"/>
              <w:szCs w:val="22"/>
            </w:rPr>
          </w:pPr>
          <w:hyperlink w:anchor="_Toc524442344" w:history="1">
            <w:r w:rsidR="008A6156" w:rsidRPr="00FA158F">
              <w:rPr>
                <w:rStyle w:val="Hyperlink"/>
                <w:noProof/>
              </w:rPr>
              <w:t>C.</w:t>
            </w:r>
            <w:r w:rsidR="008A6156">
              <w:rPr>
                <w:rFonts w:asciiTheme="minorHAnsi" w:eastAsiaTheme="minorEastAsia" w:hAnsiTheme="minorHAnsi" w:cstheme="minorBidi"/>
                <w:noProof/>
                <w:sz w:val="22"/>
                <w:szCs w:val="22"/>
              </w:rPr>
              <w:tab/>
            </w:r>
            <w:r w:rsidR="008A6156" w:rsidRPr="00FA158F">
              <w:rPr>
                <w:rStyle w:val="Hyperlink"/>
                <w:noProof/>
              </w:rPr>
              <w:t>Settlements</w:t>
            </w:r>
            <w:r w:rsidR="008A6156">
              <w:rPr>
                <w:noProof/>
                <w:webHidden/>
              </w:rPr>
              <w:tab/>
            </w:r>
            <w:r w:rsidR="008A6156">
              <w:rPr>
                <w:noProof/>
                <w:webHidden/>
              </w:rPr>
              <w:fldChar w:fldCharType="begin"/>
            </w:r>
            <w:r w:rsidR="008A6156">
              <w:rPr>
                <w:noProof/>
                <w:webHidden/>
              </w:rPr>
              <w:instrText xml:space="preserve"> PAGEREF _Toc524442344 \h </w:instrText>
            </w:r>
            <w:r w:rsidR="008A6156">
              <w:rPr>
                <w:noProof/>
                <w:webHidden/>
              </w:rPr>
            </w:r>
            <w:r w:rsidR="008A6156">
              <w:rPr>
                <w:noProof/>
                <w:webHidden/>
              </w:rPr>
              <w:fldChar w:fldCharType="separate"/>
            </w:r>
            <w:r w:rsidR="008A6156">
              <w:rPr>
                <w:noProof/>
                <w:webHidden/>
              </w:rPr>
              <w:t>10</w:t>
            </w:r>
            <w:r w:rsidR="008A6156">
              <w:rPr>
                <w:noProof/>
                <w:webHidden/>
              </w:rPr>
              <w:fldChar w:fldCharType="end"/>
            </w:r>
          </w:hyperlink>
        </w:p>
        <w:p w14:paraId="00D4E679" w14:textId="6512A133" w:rsidR="008A6156" w:rsidRDefault="00F0079B" w:rsidP="007374FA">
          <w:pPr>
            <w:pStyle w:val="TOC1"/>
            <w:widowControl/>
            <w:tabs>
              <w:tab w:val="left" w:pos="720"/>
              <w:tab w:val="right" w:leader="dot" w:pos="9350"/>
            </w:tabs>
            <w:rPr>
              <w:rFonts w:asciiTheme="minorHAnsi" w:eastAsiaTheme="minorEastAsia" w:hAnsiTheme="minorHAnsi" w:cstheme="minorBidi"/>
              <w:noProof/>
              <w:sz w:val="22"/>
              <w:szCs w:val="22"/>
            </w:rPr>
          </w:pPr>
          <w:hyperlink w:anchor="_Toc524442345" w:history="1">
            <w:r w:rsidR="008A6156" w:rsidRPr="00FA158F">
              <w:rPr>
                <w:rStyle w:val="Hyperlink"/>
                <w:noProof/>
              </w:rPr>
              <w:t>IV.</w:t>
            </w:r>
            <w:r w:rsidR="008A6156">
              <w:rPr>
                <w:rFonts w:asciiTheme="minorHAnsi" w:eastAsiaTheme="minorEastAsia" w:hAnsiTheme="minorHAnsi" w:cstheme="minorBidi"/>
                <w:noProof/>
                <w:sz w:val="22"/>
                <w:szCs w:val="22"/>
              </w:rPr>
              <w:tab/>
            </w:r>
            <w:r w:rsidR="008A6156" w:rsidRPr="00FA158F">
              <w:rPr>
                <w:rStyle w:val="Hyperlink"/>
                <w:noProof/>
              </w:rPr>
              <w:t>The Joint Petition for Partial Settlement</w:t>
            </w:r>
            <w:r w:rsidR="008A6156">
              <w:rPr>
                <w:noProof/>
                <w:webHidden/>
              </w:rPr>
              <w:tab/>
            </w:r>
            <w:r w:rsidR="008A6156">
              <w:rPr>
                <w:noProof/>
                <w:webHidden/>
              </w:rPr>
              <w:fldChar w:fldCharType="begin"/>
            </w:r>
            <w:r w:rsidR="008A6156">
              <w:rPr>
                <w:noProof/>
                <w:webHidden/>
              </w:rPr>
              <w:instrText xml:space="preserve"> PAGEREF _Toc524442345 \h </w:instrText>
            </w:r>
            <w:r w:rsidR="008A6156">
              <w:rPr>
                <w:noProof/>
                <w:webHidden/>
              </w:rPr>
            </w:r>
            <w:r w:rsidR="008A6156">
              <w:rPr>
                <w:noProof/>
                <w:webHidden/>
              </w:rPr>
              <w:fldChar w:fldCharType="separate"/>
            </w:r>
            <w:r w:rsidR="008A6156">
              <w:rPr>
                <w:noProof/>
                <w:webHidden/>
              </w:rPr>
              <w:t>11</w:t>
            </w:r>
            <w:r w:rsidR="008A6156">
              <w:rPr>
                <w:noProof/>
                <w:webHidden/>
              </w:rPr>
              <w:fldChar w:fldCharType="end"/>
            </w:r>
          </w:hyperlink>
        </w:p>
        <w:p w14:paraId="029A5187" w14:textId="5C1FCA5A" w:rsidR="008A6156" w:rsidRDefault="00F0079B" w:rsidP="007374FA">
          <w:pPr>
            <w:pStyle w:val="TOC2"/>
            <w:widowControl/>
            <w:tabs>
              <w:tab w:val="left" w:pos="720"/>
              <w:tab w:val="right" w:leader="dot" w:pos="9350"/>
            </w:tabs>
            <w:rPr>
              <w:rFonts w:asciiTheme="minorHAnsi" w:eastAsiaTheme="minorEastAsia" w:hAnsiTheme="minorHAnsi" w:cstheme="minorBidi"/>
              <w:noProof/>
              <w:sz w:val="22"/>
              <w:szCs w:val="22"/>
            </w:rPr>
          </w:pPr>
          <w:hyperlink w:anchor="_Toc524442346" w:history="1">
            <w:r w:rsidR="008A6156" w:rsidRPr="00FA158F">
              <w:rPr>
                <w:rStyle w:val="Hyperlink"/>
                <w:noProof/>
              </w:rPr>
              <w:t>A.</w:t>
            </w:r>
            <w:r w:rsidR="008A6156">
              <w:rPr>
                <w:rFonts w:asciiTheme="minorHAnsi" w:eastAsiaTheme="minorEastAsia" w:hAnsiTheme="minorHAnsi" w:cstheme="minorBidi"/>
                <w:noProof/>
                <w:sz w:val="22"/>
                <w:szCs w:val="22"/>
              </w:rPr>
              <w:tab/>
            </w:r>
            <w:r w:rsidR="008A6156" w:rsidRPr="00FA158F">
              <w:rPr>
                <w:rStyle w:val="Hyperlink"/>
                <w:noProof/>
              </w:rPr>
              <w:t>Least Cost Fuel Procurement Policy</w:t>
            </w:r>
            <w:r w:rsidR="008A6156">
              <w:rPr>
                <w:noProof/>
                <w:webHidden/>
              </w:rPr>
              <w:tab/>
            </w:r>
            <w:r w:rsidR="008A6156">
              <w:rPr>
                <w:noProof/>
                <w:webHidden/>
              </w:rPr>
              <w:fldChar w:fldCharType="begin"/>
            </w:r>
            <w:r w:rsidR="008A6156">
              <w:rPr>
                <w:noProof/>
                <w:webHidden/>
              </w:rPr>
              <w:instrText xml:space="preserve"> PAGEREF _Toc524442346 \h </w:instrText>
            </w:r>
            <w:r w:rsidR="008A6156">
              <w:rPr>
                <w:noProof/>
                <w:webHidden/>
              </w:rPr>
            </w:r>
            <w:r w:rsidR="008A6156">
              <w:rPr>
                <w:noProof/>
                <w:webHidden/>
              </w:rPr>
              <w:fldChar w:fldCharType="separate"/>
            </w:r>
            <w:r w:rsidR="008A6156">
              <w:rPr>
                <w:noProof/>
                <w:webHidden/>
              </w:rPr>
              <w:t>11</w:t>
            </w:r>
            <w:r w:rsidR="008A6156">
              <w:rPr>
                <w:noProof/>
                <w:webHidden/>
              </w:rPr>
              <w:fldChar w:fldCharType="end"/>
            </w:r>
          </w:hyperlink>
        </w:p>
        <w:p w14:paraId="753669E7" w14:textId="5735D636" w:rsidR="008A6156" w:rsidRDefault="00F0079B" w:rsidP="007374FA">
          <w:pPr>
            <w:pStyle w:val="TOC2"/>
            <w:widowControl/>
            <w:tabs>
              <w:tab w:val="left" w:pos="720"/>
              <w:tab w:val="right" w:leader="dot" w:pos="9350"/>
            </w:tabs>
            <w:rPr>
              <w:rFonts w:asciiTheme="minorHAnsi" w:eastAsiaTheme="minorEastAsia" w:hAnsiTheme="minorHAnsi" w:cstheme="minorBidi"/>
              <w:noProof/>
              <w:sz w:val="22"/>
              <w:szCs w:val="22"/>
            </w:rPr>
          </w:pPr>
          <w:hyperlink w:anchor="_Toc524442347" w:history="1">
            <w:r w:rsidR="008A6156" w:rsidRPr="00FA158F">
              <w:rPr>
                <w:rStyle w:val="Hyperlink"/>
                <w:noProof/>
              </w:rPr>
              <w:t>B.</w:t>
            </w:r>
            <w:r w:rsidR="008A6156">
              <w:rPr>
                <w:rFonts w:asciiTheme="minorHAnsi" w:eastAsiaTheme="minorEastAsia" w:hAnsiTheme="minorHAnsi" w:cstheme="minorBidi"/>
                <w:noProof/>
                <w:sz w:val="22"/>
                <w:szCs w:val="22"/>
              </w:rPr>
              <w:tab/>
            </w:r>
            <w:r w:rsidR="008A6156" w:rsidRPr="00FA158F">
              <w:rPr>
                <w:rStyle w:val="Hyperlink"/>
                <w:noProof/>
              </w:rPr>
              <w:t>Terms and Conditions of the Partial Settlement</w:t>
            </w:r>
            <w:r w:rsidR="008A6156">
              <w:rPr>
                <w:noProof/>
                <w:webHidden/>
              </w:rPr>
              <w:tab/>
            </w:r>
            <w:r w:rsidR="008A6156">
              <w:rPr>
                <w:noProof/>
                <w:webHidden/>
              </w:rPr>
              <w:fldChar w:fldCharType="begin"/>
            </w:r>
            <w:r w:rsidR="008A6156">
              <w:rPr>
                <w:noProof/>
                <w:webHidden/>
              </w:rPr>
              <w:instrText xml:space="preserve"> PAGEREF _Toc524442347 \h </w:instrText>
            </w:r>
            <w:r w:rsidR="008A6156">
              <w:rPr>
                <w:noProof/>
                <w:webHidden/>
              </w:rPr>
            </w:r>
            <w:r w:rsidR="008A6156">
              <w:rPr>
                <w:noProof/>
                <w:webHidden/>
              </w:rPr>
              <w:fldChar w:fldCharType="separate"/>
            </w:r>
            <w:r w:rsidR="008A6156">
              <w:rPr>
                <w:noProof/>
                <w:webHidden/>
              </w:rPr>
              <w:t>12</w:t>
            </w:r>
            <w:r w:rsidR="008A6156">
              <w:rPr>
                <w:noProof/>
                <w:webHidden/>
              </w:rPr>
              <w:fldChar w:fldCharType="end"/>
            </w:r>
          </w:hyperlink>
        </w:p>
        <w:p w14:paraId="4389C1A8" w14:textId="70FB1592" w:rsidR="008A6156" w:rsidRDefault="00F0079B" w:rsidP="007374FA">
          <w:pPr>
            <w:pStyle w:val="TOC2"/>
            <w:widowControl/>
            <w:tabs>
              <w:tab w:val="left" w:pos="720"/>
              <w:tab w:val="right" w:leader="dot" w:pos="9350"/>
            </w:tabs>
            <w:rPr>
              <w:rFonts w:asciiTheme="minorHAnsi" w:eastAsiaTheme="minorEastAsia" w:hAnsiTheme="minorHAnsi" w:cstheme="minorBidi"/>
              <w:noProof/>
              <w:sz w:val="22"/>
              <w:szCs w:val="22"/>
            </w:rPr>
          </w:pPr>
          <w:hyperlink w:anchor="_Toc524442348" w:history="1">
            <w:r w:rsidR="008A6156" w:rsidRPr="00FA158F">
              <w:rPr>
                <w:rStyle w:val="Hyperlink"/>
                <w:noProof/>
              </w:rPr>
              <w:t>C.</w:t>
            </w:r>
            <w:r w:rsidR="008A6156">
              <w:rPr>
                <w:rFonts w:asciiTheme="minorHAnsi" w:eastAsiaTheme="minorEastAsia" w:hAnsiTheme="minorHAnsi" w:cstheme="minorBidi"/>
                <w:noProof/>
                <w:sz w:val="22"/>
                <w:szCs w:val="22"/>
              </w:rPr>
              <w:tab/>
            </w:r>
            <w:r w:rsidR="008A6156" w:rsidRPr="00FA158F">
              <w:rPr>
                <w:rStyle w:val="Hyperlink"/>
                <w:noProof/>
              </w:rPr>
              <w:t>ALJ</w:t>
            </w:r>
            <w:r w:rsidR="00734951">
              <w:rPr>
                <w:rStyle w:val="Hyperlink"/>
                <w:noProof/>
              </w:rPr>
              <w:t>’</w:t>
            </w:r>
            <w:r w:rsidR="008A6156" w:rsidRPr="00FA158F">
              <w:rPr>
                <w:rStyle w:val="Hyperlink"/>
                <w:noProof/>
              </w:rPr>
              <w:t>s Recommendation</w:t>
            </w:r>
            <w:r w:rsidR="008A6156">
              <w:rPr>
                <w:noProof/>
                <w:webHidden/>
              </w:rPr>
              <w:tab/>
            </w:r>
            <w:r w:rsidR="008A6156">
              <w:rPr>
                <w:noProof/>
                <w:webHidden/>
              </w:rPr>
              <w:fldChar w:fldCharType="begin"/>
            </w:r>
            <w:r w:rsidR="008A6156">
              <w:rPr>
                <w:noProof/>
                <w:webHidden/>
              </w:rPr>
              <w:instrText xml:space="preserve"> PAGEREF _Toc524442348 \h </w:instrText>
            </w:r>
            <w:r w:rsidR="008A6156">
              <w:rPr>
                <w:noProof/>
                <w:webHidden/>
              </w:rPr>
            </w:r>
            <w:r w:rsidR="008A6156">
              <w:rPr>
                <w:noProof/>
                <w:webHidden/>
              </w:rPr>
              <w:fldChar w:fldCharType="separate"/>
            </w:r>
            <w:r w:rsidR="008A6156">
              <w:rPr>
                <w:noProof/>
                <w:webHidden/>
              </w:rPr>
              <w:t>20</w:t>
            </w:r>
            <w:r w:rsidR="008A6156">
              <w:rPr>
                <w:noProof/>
                <w:webHidden/>
              </w:rPr>
              <w:fldChar w:fldCharType="end"/>
            </w:r>
          </w:hyperlink>
        </w:p>
        <w:p w14:paraId="16D72991" w14:textId="4C49C75A" w:rsidR="008A6156" w:rsidRDefault="00F0079B" w:rsidP="007374FA">
          <w:pPr>
            <w:pStyle w:val="TOC2"/>
            <w:widowControl/>
            <w:tabs>
              <w:tab w:val="left" w:pos="720"/>
              <w:tab w:val="right" w:leader="dot" w:pos="9350"/>
            </w:tabs>
            <w:rPr>
              <w:rFonts w:asciiTheme="minorHAnsi" w:eastAsiaTheme="minorEastAsia" w:hAnsiTheme="minorHAnsi" w:cstheme="minorBidi"/>
              <w:noProof/>
              <w:sz w:val="22"/>
              <w:szCs w:val="22"/>
            </w:rPr>
          </w:pPr>
          <w:hyperlink w:anchor="_Toc524442349" w:history="1">
            <w:r w:rsidR="008A6156" w:rsidRPr="00FA158F">
              <w:rPr>
                <w:rStyle w:val="Hyperlink"/>
                <w:noProof/>
              </w:rPr>
              <w:t>D.</w:t>
            </w:r>
            <w:r w:rsidR="008A6156">
              <w:rPr>
                <w:rFonts w:asciiTheme="minorHAnsi" w:eastAsiaTheme="minorEastAsia" w:hAnsiTheme="minorHAnsi" w:cstheme="minorBidi"/>
                <w:noProof/>
                <w:sz w:val="22"/>
                <w:szCs w:val="22"/>
              </w:rPr>
              <w:tab/>
            </w:r>
            <w:r w:rsidR="008A6156" w:rsidRPr="00FA158F">
              <w:rPr>
                <w:rStyle w:val="Hyperlink"/>
                <w:noProof/>
              </w:rPr>
              <w:t>Disposition</w:t>
            </w:r>
            <w:r w:rsidR="008A6156">
              <w:rPr>
                <w:noProof/>
                <w:webHidden/>
              </w:rPr>
              <w:tab/>
            </w:r>
            <w:r w:rsidR="008A6156">
              <w:rPr>
                <w:noProof/>
                <w:webHidden/>
              </w:rPr>
              <w:fldChar w:fldCharType="begin"/>
            </w:r>
            <w:r w:rsidR="008A6156">
              <w:rPr>
                <w:noProof/>
                <w:webHidden/>
              </w:rPr>
              <w:instrText xml:space="preserve"> PAGEREF _Toc524442349 \h </w:instrText>
            </w:r>
            <w:r w:rsidR="008A6156">
              <w:rPr>
                <w:noProof/>
                <w:webHidden/>
              </w:rPr>
            </w:r>
            <w:r w:rsidR="008A6156">
              <w:rPr>
                <w:noProof/>
                <w:webHidden/>
              </w:rPr>
              <w:fldChar w:fldCharType="separate"/>
            </w:r>
            <w:r w:rsidR="008A6156">
              <w:rPr>
                <w:noProof/>
                <w:webHidden/>
              </w:rPr>
              <w:t>21</w:t>
            </w:r>
            <w:r w:rsidR="008A6156">
              <w:rPr>
                <w:noProof/>
                <w:webHidden/>
              </w:rPr>
              <w:fldChar w:fldCharType="end"/>
            </w:r>
          </w:hyperlink>
        </w:p>
        <w:p w14:paraId="576269DB" w14:textId="1D621E6F" w:rsidR="008A6156" w:rsidRDefault="00F0079B" w:rsidP="007374FA">
          <w:pPr>
            <w:pStyle w:val="TOC1"/>
            <w:widowControl/>
            <w:tabs>
              <w:tab w:val="left" w:pos="720"/>
              <w:tab w:val="right" w:leader="dot" w:pos="9350"/>
            </w:tabs>
            <w:rPr>
              <w:rFonts w:asciiTheme="minorHAnsi" w:eastAsiaTheme="minorEastAsia" w:hAnsiTheme="minorHAnsi" w:cstheme="minorBidi"/>
              <w:noProof/>
              <w:sz w:val="22"/>
              <w:szCs w:val="22"/>
            </w:rPr>
          </w:pPr>
          <w:hyperlink w:anchor="_Toc524442350" w:history="1">
            <w:r w:rsidR="008A6156" w:rsidRPr="00FA158F">
              <w:rPr>
                <w:rStyle w:val="Hyperlink"/>
                <w:noProof/>
              </w:rPr>
              <w:t>V.</w:t>
            </w:r>
            <w:r w:rsidR="008A6156">
              <w:rPr>
                <w:rFonts w:asciiTheme="minorHAnsi" w:eastAsiaTheme="minorEastAsia" w:hAnsiTheme="minorHAnsi" w:cstheme="minorBidi"/>
                <w:noProof/>
                <w:sz w:val="22"/>
                <w:szCs w:val="22"/>
              </w:rPr>
              <w:tab/>
            </w:r>
            <w:r w:rsidR="008A6156" w:rsidRPr="00FA158F">
              <w:rPr>
                <w:rStyle w:val="Hyperlink"/>
                <w:noProof/>
              </w:rPr>
              <w:t>Contested Issue</w:t>
            </w:r>
            <w:r w:rsidR="008A6156">
              <w:rPr>
                <w:noProof/>
                <w:webHidden/>
              </w:rPr>
              <w:tab/>
            </w:r>
            <w:r w:rsidR="008A6156">
              <w:rPr>
                <w:noProof/>
                <w:webHidden/>
              </w:rPr>
              <w:fldChar w:fldCharType="begin"/>
            </w:r>
            <w:r w:rsidR="008A6156">
              <w:rPr>
                <w:noProof/>
                <w:webHidden/>
              </w:rPr>
              <w:instrText xml:space="preserve"> PAGEREF _Toc524442350 \h </w:instrText>
            </w:r>
            <w:r w:rsidR="008A6156">
              <w:rPr>
                <w:noProof/>
                <w:webHidden/>
              </w:rPr>
            </w:r>
            <w:r w:rsidR="008A6156">
              <w:rPr>
                <w:noProof/>
                <w:webHidden/>
              </w:rPr>
              <w:fldChar w:fldCharType="separate"/>
            </w:r>
            <w:r w:rsidR="008A6156">
              <w:rPr>
                <w:noProof/>
                <w:webHidden/>
              </w:rPr>
              <w:t>22</w:t>
            </w:r>
            <w:r w:rsidR="008A6156">
              <w:rPr>
                <w:noProof/>
                <w:webHidden/>
              </w:rPr>
              <w:fldChar w:fldCharType="end"/>
            </w:r>
          </w:hyperlink>
        </w:p>
        <w:p w14:paraId="7583C9A7" w14:textId="43D15703" w:rsidR="008A6156" w:rsidRDefault="00F0079B" w:rsidP="007374FA">
          <w:pPr>
            <w:pStyle w:val="TOC2"/>
            <w:widowControl/>
            <w:tabs>
              <w:tab w:val="left" w:pos="720"/>
              <w:tab w:val="right" w:leader="dot" w:pos="9350"/>
            </w:tabs>
            <w:rPr>
              <w:rFonts w:asciiTheme="minorHAnsi" w:eastAsiaTheme="minorEastAsia" w:hAnsiTheme="minorHAnsi" w:cstheme="minorBidi"/>
              <w:noProof/>
              <w:sz w:val="22"/>
              <w:szCs w:val="22"/>
            </w:rPr>
          </w:pPr>
          <w:hyperlink w:anchor="_Toc524442351" w:history="1">
            <w:r w:rsidR="008A6156" w:rsidRPr="00FA158F">
              <w:rPr>
                <w:rStyle w:val="Hyperlink"/>
                <w:noProof/>
              </w:rPr>
              <w:t>A.</w:t>
            </w:r>
            <w:r w:rsidR="008A6156">
              <w:rPr>
                <w:rFonts w:asciiTheme="minorHAnsi" w:eastAsiaTheme="minorEastAsia" w:hAnsiTheme="minorHAnsi" w:cstheme="minorBidi"/>
                <w:noProof/>
                <w:sz w:val="22"/>
                <w:szCs w:val="22"/>
              </w:rPr>
              <w:tab/>
            </w:r>
            <w:r w:rsidR="008A6156" w:rsidRPr="00FA158F">
              <w:rPr>
                <w:rStyle w:val="Hyperlink"/>
                <w:noProof/>
              </w:rPr>
              <w:t>Proposed Producer Retainage Charge</w:t>
            </w:r>
            <w:r w:rsidR="008A6156">
              <w:rPr>
                <w:noProof/>
                <w:webHidden/>
              </w:rPr>
              <w:tab/>
            </w:r>
            <w:r w:rsidR="008A6156">
              <w:rPr>
                <w:noProof/>
                <w:webHidden/>
              </w:rPr>
              <w:fldChar w:fldCharType="begin"/>
            </w:r>
            <w:r w:rsidR="008A6156">
              <w:rPr>
                <w:noProof/>
                <w:webHidden/>
              </w:rPr>
              <w:instrText xml:space="preserve"> PAGEREF _Toc524442351 \h </w:instrText>
            </w:r>
            <w:r w:rsidR="008A6156">
              <w:rPr>
                <w:noProof/>
                <w:webHidden/>
              </w:rPr>
            </w:r>
            <w:r w:rsidR="008A6156">
              <w:rPr>
                <w:noProof/>
                <w:webHidden/>
              </w:rPr>
              <w:fldChar w:fldCharType="separate"/>
            </w:r>
            <w:r w:rsidR="008A6156">
              <w:rPr>
                <w:noProof/>
                <w:webHidden/>
              </w:rPr>
              <w:t>22</w:t>
            </w:r>
            <w:r w:rsidR="008A6156">
              <w:rPr>
                <w:noProof/>
                <w:webHidden/>
              </w:rPr>
              <w:fldChar w:fldCharType="end"/>
            </w:r>
          </w:hyperlink>
        </w:p>
        <w:p w14:paraId="5BDBF65D" w14:textId="2A297AF3" w:rsidR="008A6156" w:rsidRDefault="00F0079B" w:rsidP="007374FA">
          <w:pPr>
            <w:pStyle w:val="TOC3"/>
            <w:widowControl/>
            <w:rPr>
              <w:rFonts w:asciiTheme="minorHAnsi" w:eastAsiaTheme="minorEastAsia" w:hAnsiTheme="minorHAnsi" w:cstheme="minorBidi"/>
              <w:noProof/>
              <w:sz w:val="22"/>
              <w:szCs w:val="22"/>
            </w:rPr>
          </w:pPr>
          <w:hyperlink w:anchor="_Toc524442352" w:history="1">
            <w:r w:rsidR="008A6156" w:rsidRPr="00FA158F">
              <w:rPr>
                <w:rStyle w:val="Hyperlink"/>
                <w:noProof/>
              </w:rPr>
              <w:t>1.</w:t>
            </w:r>
            <w:r w:rsidR="008A6156">
              <w:rPr>
                <w:rFonts w:asciiTheme="minorHAnsi" w:eastAsiaTheme="minorEastAsia" w:hAnsiTheme="minorHAnsi" w:cstheme="minorBidi"/>
                <w:noProof/>
                <w:sz w:val="22"/>
                <w:szCs w:val="22"/>
              </w:rPr>
              <w:tab/>
            </w:r>
            <w:r w:rsidR="008A6156" w:rsidRPr="00FA158F">
              <w:rPr>
                <w:rStyle w:val="Hyperlink"/>
                <w:noProof/>
              </w:rPr>
              <w:t>Background</w:t>
            </w:r>
            <w:r w:rsidR="008A6156">
              <w:rPr>
                <w:noProof/>
                <w:webHidden/>
              </w:rPr>
              <w:tab/>
            </w:r>
            <w:r w:rsidR="008A6156">
              <w:rPr>
                <w:noProof/>
                <w:webHidden/>
              </w:rPr>
              <w:fldChar w:fldCharType="begin"/>
            </w:r>
            <w:r w:rsidR="008A6156">
              <w:rPr>
                <w:noProof/>
                <w:webHidden/>
              </w:rPr>
              <w:instrText xml:space="preserve"> PAGEREF _Toc524442352 \h </w:instrText>
            </w:r>
            <w:r w:rsidR="008A6156">
              <w:rPr>
                <w:noProof/>
                <w:webHidden/>
              </w:rPr>
            </w:r>
            <w:r w:rsidR="008A6156">
              <w:rPr>
                <w:noProof/>
                <w:webHidden/>
              </w:rPr>
              <w:fldChar w:fldCharType="separate"/>
            </w:r>
            <w:r w:rsidR="008A6156">
              <w:rPr>
                <w:noProof/>
                <w:webHidden/>
              </w:rPr>
              <w:t>22</w:t>
            </w:r>
            <w:r w:rsidR="008A6156">
              <w:rPr>
                <w:noProof/>
                <w:webHidden/>
              </w:rPr>
              <w:fldChar w:fldCharType="end"/>
            </w:r>
          </w:hyperlink>
        </w:p>
        <w:p w14:paraId="208740CD" w14:textId="1D927790" w:rsidR="008A6156" w:rsidRDefault="00F0079B" w:rsidP="007374FA">
          <w:pPr>
            <w:pStyle w:val="TOC3"/>
            <w:widowControl/>
            <w:rPr>
              <w:rFonts w:asciiTheme="minorHAnsi" w:eastAsiaTheme="minorEastAsia" w:hAnsiTheme="minorHAnsi" w:cstheme="minorBidi"/>
              <w:noProof/>
              <w:sz w:val="22"/>
              <w:szCs w:val="22"/>
            </w:rPr>
          </w:pPr>
          <w:hyperlink w:anchor="_Toc524442353" w:history="1">
            <w:r w:rsidR="008A6156" w:rsidRPr="00FA158F">
              <w:rPr>
                <w:rStyle w:val="Hyperlink"/>
                <w:rFonts w:eastAsiaTheme="minorHAnsi"/>
                <w:noProof/>
              </w:rPr>
              <w:t>2.</w:t>
            </w:r>
            <w:r w:rsidR="008A6156">
              <w:rPr>
                <w:rFonts w:asciiTheme="minorHAnsi" w:eastAsiaTheme="minorEastAsia" w:hAnsiTheme="minorHAnsi" w:cstheme="minorBidi"/>
                <w:noProof/>
                <w:sz w:val="22"/>
                <w:szCs w:val="22"/>
              </w:rPr>
              <w:tab/>
            </w:r>
            <w:r w:rsidR="008A6156" w:rsidRPr="00FA158F">
              <w:rPr>
                <w:rStyle w:val="Hyperlink"/>
                <w:noProof/>
              </w:rPr>
              <w:t>Position of the Parties</w:t>
            </w:r>
            <w:r w:rsidR="008A6156">
              <w:rPr>
                <w:noProof/>
                <w:webHidden/>
              </w:rPr>
              <w:tab/>
            </w:r>
            <w:r w:rsidR="008A6156">
              <w:rPr>
                <w:noProof/>
                <w:webHidden/>
              </w:rPr>
              <w:fldChar w:fldCharType="begin"/>
            </w:r>
            <w:r w:rsidR="008A6156">
              <w:rPr>
                <w:noProof/>
                <w:webHidden/>
              </w:rPr>
              <w:instrText xml:space="preserve"> PAGEREF _Toc524442353 \h </w:instrText>
            </w:r>
            <w:r w:rsidR="008A6156">
              <w:rPr>
                <w:noProof/>
                <w:webHidden/>
              </w:rPr>
            </w:r>
            <w:r w:rsidR="008A6156">
              <w:rPr>
                <w:noProof/>
                <w:webHidden/>
              </w:rPr>
              <w:fldChar w:fldCharType="separate"/>
            </w:r>
            <w:r w:rsidR="008A6156">
              <w:rPr>
                <w:noProof/>
                <w:webHidden/>
              </w:rPr>
              <w:t>29</w:t>
            </w:r>
            <w:r w:rsidR="008A6156">
              <w:rPr>
                <w:noProof/>
                <w:webHidden/>
              </w:rPr>
              <w:fldChar w:fldCharType="end"/>
            </w:r>
          </w:hyperlink>
        </w:p>
        <w:p w14:paraId="7FCDCB57" w14:textId="63C94AE3" w:rsidR="008A6156" w:rsidRDefault="00F0079B" w:rsidP="007374FA">
          <w:pPr>
            <w:pStyle w:val="TOC2"/>
            <w:widowControl/>
            <w:tabs>
              <w:tab w:val="left" w:pos="720"/>
              <w:tab w:val="right" w:leader="dot" w:pos="9350"/>
            </w:tabs>
            <w:rPr>
              <w:rFonts w:asciiTheme="minorHAnsi" w:eastAsiaTheme="minorEastAsia" w:hAnsiTheme="minorHAnsi" w:cstheme="minorBidi"/>
              <w:noProof/>
              <w:sz w:val="22"/>
              <w:szCs w:val="22"/>
            </w:rPr>
          </w:pPr>
          <w:hyperlink w:anchor="_Toc524442354" w:history="1">
            <w:r w:rsidR="008A6156" w:rsidRPr="00FA158F">
              <w:rPr>
                <w:rStyle w:val="Hyperlink"/>
                <w:noProof/>
              </w:rPr>
              <w:t>B.</w:t>
            </w:r>
            <w:r w:rsidR="008A6156">
              <w:rPr>
                <w:rFonts w:asciiTheme="minorHAnsi" w:eastAsiaTheme="minorEastAsia" w:hAnsiTheme="minorHAnsi" w:cstheme="minorBidi"/>
                <w:noProof/>
                <w:sz w:val="22"/>
                <w:szCs w:val="22"/>
              </w:rPr>
              <w:tab/>
            </w:r>
            <w:r w:rsidR="008A6156" w:rsidRPr="00FA158F">
              <w:rPr>
                <w:rStyle w:val="Hyperlink"/>
                <w:noProof/>
              </w:rPr>
              <w:t>ALJ</w:t>
            </w:r>
            <w:r w:rsidR="00734951">
              <w:rPr>
                <w:rStyle w:val="Hyperlink"/>
                <w:noProof/>
              </w:rPr>
              <w:t>’</w:t>
            </w:r>
            <w:r w:rsidR="008A6156" w:rsidRPr="00FA158F">
              <w:rPr>
                <w:rStyle w:val="Hyperlink"/>
                <w:noProof/>
              </w:rPr>
              <w:t>s Decision</w:t>
            </w:r>
            <w:r w:rsidR="008A6156">
              <w:rPr>
                <w:noProof/>
                <w:webHidden/>
              </w:rPr>
              <w:tab/>
            </w:r>
            <w:r w:rsidR="008A6156">
              <w:rPr>
                <w:noProof/>
                <w:webHidden/>
              </w:rPr>
              <w:fldChar w:fldCharType="begin"/>
            </w:r>
            <w:r w:rsidR="008A6156">
              <w:rPr>
                <w:noProof/>
                <w:webHidden/>
              </w:rPr>
              <w:instrText xml:space="preserve"> PAGEREF _Toc524442354 \h </w:instrText>
            </w:r>
            <w:r w:rsidR="008A6156">
              <w:rPr>
                <w:noProof/>
                <w:webHidden/>
              </w:rPr>
            </w:r>
            <w:r w:rsidR="008A6156">
              <w:rPr>
                <w:noProof/>
                <w:webHidden/>
              </w:rPr>
              <w:fldChar w:fldCharType="separate"/>
            </w:r>
            <w:r w:rsidR="008A6156">
              <w:rPr>
                <w:noProof/>
                <w:webHidden/>
              </w:rPr>
              <w:t>37</w:t>
            </w:r>
            <w:r w:rsidR="008A6156">
              <w:rPr>
                <w:noProof/>
                <w:webHidden/>
              </w:rPr>
              <w:fldChar w:fldCharType="end"/>
            </w:r>
          </w:hyperlink>
        </w:p>
        <w:p w14:paraId="14FEC4C4" w14:textId="009F1115" w:rsidR="008A6156" w:rsidRDefault="00F0079B" w:rsidP="007374FA">
          <w:pPr>
            <w:pStyle w:val="TOC3"/>
            <w:widowControl/>
            <w:rPr>
              <w:rFonts w:asciiTheme="minorHAnsi" w:eastAsiaTheme="minorEastAsia" w:hAnsiTheme="minorHAnsi" w:cstheme="minorBidi"/>
              <w:noProof/>
              <w:sz w:val="22"/>
              <w:szCs w:val="22"/>
            </w:rPr>
          </w:pPr>
          <w:hyperlink w:anchor="_Toc524442355" w:history="1">
            <w:r w:rsidR="008A6156" w:rsidRPr="00FA158F">
              <w:rPr>
                <w:rStyle w:val="Hyperlink"/>
                <w:noProof/>
              </w:rPr>
              <w:t>1.</w:t>
            </w:r>
            <w:r w:rsidR="008A6156">
              <w:rPr>
                <w:rFonts w:asciiTheme="minorHAnsi" w:eastAsiaTheme="minorEastAsia" w:hAnsiTheme="minorHAnsi" w:cstheme="minorBidi"/>
                <w:noProof/>
                <w:sz w:val="22"/>
                <w:szCs w:val="22"/>
              </w:rPr>
              <w:tab/>
            </w:r>
            <w:r w:rsidR="008A6156" w:rsidRPr="00FA158F">
              <w:rPr>
                <w:rStyle w:val="Hyperlink"/>
                <w:noProof/>
              </w:rPr>
              <w:t>Whether the Proposed Charge is Just and Reasonable</w:t>
            </w:r>
            <w:r w:rsidR="008A6156">
              <w:rPr>
                <w:noProof/>
                <w:webHidden/>
              </w:rPr>
              <w:tab/>
            </w:r>
            <w:r w:rsidR="008A6156">
              <w:rPr>
                <w:noProof/>
                <w:webHidden/>
              </w:rPr>
              <w:fldChar w:fldCharType="begin"/>
            </w:r>
            <w:r w:rsidR="008A6156">
              <w:rPr>
                <w:noProof/>
                <w:webHidden/>
              </w:rPr>
              <w:instrText xml:space="preserve"> PAGEREF _Toc524442355 \h </w:instrText>
            </w:r>
            <w:r w:rsidR="008A6156">
              <w:rPr>
                <w:noProof/>
                <w:webHidden/>
              </w:rPr>
            </w:r>
            <w:r w:rsidR="008A6156">
              <w:rPr>
                <w:noProof/>
                <w:webHidden/>
              </w:rPr>
              <w:fldChar w:fldCharType="separate"/>
            </w:r>
            <w:r w:rsidR="008A6156">
              <w:rPr>
                <w:noProof/>
                <w:webHidden/>
              </w:rPr>
              <w:t>38</w:t>
            </w:r>
            <w:r w:rsidR="008A6156">
              <w:rPr>
                <w:noProof/>
                <w:webHidden/>
              </w:rPr>
              <w:fldChar w:fldCharType="end"/>
            </w:r>
          </w:hyperlink>
        </w:p>
        <w:p w14:paraId="0CCF45EF" w14:textId="1EE2126B" w:rsidR="008A6156" w:rsidRDefault="00F0079B" w:rsidP="007374FA">
          <w:pPr>
            <w:pStyle w:val="TOC3"/>
            <w:widowControl/>
            <w:rPr>
              <w:rFonts w:asciiTheme="minorHAnsi" w:eastAsiaTheme="minorEastAsia" w:hAnsiTheme="minorHAnsi" w:cstheme="minorBidi"/>
              <w:noProof/>
              <w:sz w:val="22"/>
              <w:szCs w:val="22"/>
            </w:rPr>
          </w:pPr>
          <w:hyperlink w:anchor="_Toc524442356" w:history="1">
            <w:r w:rsidR="008A6156" w:rsidRPr="00FA158F">
              <w:rPr>
                <w:rStyle w:val="Hyperlink"/>
                <w:noProof/>
              </w:rPr>
              <w:t>2.</w:t>
            </w:r>
            <w:r w:rsidR="008A6156">
              <w:rPr>
                <w:rFonts w:asciiTheme="minorHAnsi" w:eastAsiaTheme="minorEastAsia" w:hAnsiTheme="minorHAnsi" w:cstheme="minorBidi"/>
                <w:noProof/>
                <w:sz w:val="22"/>
                <w:szCs w:val="22"/>
              </w:rPr>
              <w:tab/>
            </w:r>
            <w:r w:rsidR="008A6156" w:rsidRPr="00FA158F">
              <w:rPr>
                <w:rStyle w:val="Hyperlink"/>
                <w:noProof/>
              </w:rPr>
              <w:t>Whether Peoples Natural Gas</w:t>
            </w:r>
            <w:r w:rsidR="00734951">
              <w:rPr>
                <w:rStyle w:val="Hyperlink"/>
                <w:noProof/>
              </w:rPr>
              <w:t>’</w:t>
            </w:r>
            <w:r w:rsidR="008A6156" w:rsidRPr="00FA158F">
              <w:rPr>
                <w:rStyle w:val="Hyperlink"/>
                <w:noProof/>
              </w:rPr>
              <w:t xml:space="preserve"> Historical Practice of Not Charging Producers a Gathering Retainage Prohibits Prospective Changes</w:t>
            </w:r>
            <w:r w:rsidR="008A6156">
              <w:rPr>
                <w:noProof/>
                <w:webHidden/>
              </w:rPr>
              <w:tab/>
            </w:r>
            <w:r w:rsidR="008A6156">
              <w:rPr>
                <w:noProof/>
                <w:webHidden/>
              </w:rPr>
              <w:fldChar w:fldCharType="begin"/>
            </w:r>
            <w:r w:rsidR="008A6156">
              <w:rPr>
                <w:noProof/>
                <w:webHidden/>
              </w:rPr>
              <w:instrText xml:space="preserve"> PAGEREF _Toc524442356 \h </w:instrText>
            </w:r>
            <w:r w:rsidR="008A6156">
              <w:rPr>
                <w:noProof/>
                <w:webHidden/>
              </w:rPr>
            </w:r>
            <w:r w:rsidR="008A6156">
              <w:rPr>
                <w:noProof/>
                <w:webHidden/>
              </w:rPr>
              <w:fldChar w:fldCharType="separate"/>
            </w:r>
            <w:r w:rsidR="008A6156">
              <w:rPr>
                <w:noProof/>
                <w:webHidden/>
              </w:rPr>
              <w:t>38</w:t>
            </w:r>
            <w:r w:rsidR="008A6156">
              <w:rPr>
                <w:noProof/>
                <w:webHidden/>
              </w:rPr>
              <w:fldChar w:fldCharType="end"/>
            </w:r>
          </w:hyperlink>
        </w:p>
        <w:p w14:paraId="06BA942E" w14:textId="4FDD37BE" w:rsidR="008A6156" w:rsidRDefault="00F0079B" w:rsidP="007374FA">
          <w:pPr>
            <w:pStyle w:val="TOC3"/>
            <w:widowControl/>
            <w:rPr>
              <w:rFonts w:asciiTheme="minorHAnsi" w:eastAsiaTheme="minorEastAsia" w:hAnsiTheme="minorHAnsi" w:cstheme="minorBidi"/>
              <w:noProof/>
              <w:sz w:val="22"/>
              <w:szCs w:val="22"/>
            </w:rPr>
          </w:pPr>
          <w:hyperlink w:anchor="_Toc524442357" w:history="1">
            <w:r w:rsidR="008A6156" w:rsidRPr="00FA158F">
              <w:rPr>
                <w:rStyle w:val="Hyperlink"/>
                <w:noProof/>
              </w:rPr>
              <w:t>3.</w:t>
            </w:r>
            <w:r w:rsidR="008A6156">
              <w:rPr>
                <w:rFonts w:asciiTheme="minorHAnsi" w:eastAsiaTheme="minorEastAsia" w:hAnsiTheme="minorHAnsi" w:cstheme="minorBidi"/>
                <w:noProof/>
                <w:sz w:val="22"/>
                <w:szCs w:val="22"/>
              </w:rPr>
              <w:tab/>
            </w:r>
            <w:r w:rsidR="008A6156" w:rsidRPr="00FA158F">
              <w:rPr>
                <w:rStyle w:val="Hyperlink"/>
                <w:noProof/>
              </w:rPr>
              <w:t>Whether the Proposed Charge is Inconsistent with the Integrated Nature of the Company</w:t>
            </w:r>
            <w:r w:rsidR="00734951">
              <w:rPr>
                <w:rStyle w:val="Hyperlink"/>
                <w:noProof/>
              </w:rPr>
              <w:t>’</w:t>
            </w:r>
            <w:r w:rsidR="008A6156" w:rsidRPr="00FA158F">
              <w:rPr>
                <w:rStyle w:val="Hyperlink"/>
                <w:noProof/>
              </w:rPr>
              <w:t>s Distribution, Transmission and Gathering System</w:t>
            </w:r>
            <w:r w:rsidR="008A6156">
              <w:rPr>
                <w:noProof/>
                <w:webHidden/>
              </w:rPr>
              <w:tab/>
            </w:r>
            <w:r w:rsidR="008A6156">
              <w:rPr>
                <w:noProof/>
                <w:webHidden/>
              </w:rPr>
              <w:fldChar w:fldCharType="begin"/>
            </w:r>
            <w:r w:rsidR="008A6156">
              <w:rPr>
                <w:noProof/>
                <w:webHidden/>
              </w:rPr>
              <w:instrText xml:space="preserve"> PAGEREF _Toc524442357 \h </w:instrText>
            </w:r>
            <w:r w:rsidR="008A6156">
              <w:rPr>
                <w:noProof/>
                <w:webHidden/>
              </w:rPr>
            </w:r>
            <w:r w:rsidR="008A6156">
              <w:rPr>
                <w:noProof/>
                <w:webHidden/>
              </w:rPr>
              <w:fldChar w:fldCharType="separate"/>
            </w:r>
            <w:r w:rsidR="008A6156">
              <w:rPr>
                <w:noProof/>
                <w:webHidden/>
              </w:rPr>
              <w:t>39</w:t>
            </w:r>
            <w:r w:rsidR="008A6156">
              <w:rPr>
                <w:noProof/>
                <w:webHidden/>
              </w:rPr>
              <w:fldChar w:fldCharType="end"/>
            </w:r>
          </w:hyperlink>
        </w:p>
        <w:p w14:paraId="3ED35E96" w14:textId="68F8593F" w:rsidR="008A6156" w:rsidRDefault="00F0079B" w:rsidP="007374FA">
          <w:pPr>
            <w:pStyle w:val="TOC3"/>
            <w:widowControl/>
            <w:rPr>
              <w:rFonts w:asciiTheme="minorHAnsi" w:eastAsiaTheme="minorEastAsia" w:hAnsiTheme="minorHAnsi" w:cstheme="minorBidi"/>
              <w:noProof/>
              <w:sz w:val="22"/>
              <w:szCs w:val="22"/>
            </w:rPr>
          </w:pPr>
          <w:hyperlink w:anchor="_Toc524442358" w:history="1">
            <w:r w:rsidR="008A6156" w:rsidRPr="00FA158F">
              <w:rPr>
                <w:rStyle w:val="Hyperlink"/>
                <w:noProof/>
              </w:rPr>
              <w:t>4.</w:t>
            </w:r>
            <w:r w:rsidR="008A6156">
              <w:rPr>
                <w:rFonts w:asciiTheme="minorHAnsi" w:eastAsiaTheme="minorEastAsia" w:hAnsiTheme="minorHAnsi" w:cstheme="minorBidi"/>
                <w:noProof/>
                <w:sz w:val="22"/>
                <w:szCs w:val="22"/>
              </w:rPr>
              <w:tab/>
            </w:r>
            <w:r w:rsidR="008A6156" w:rsidRPr="00FA158F">
              <w:rPr>
                <w:rStyle w:val="Hyperlink"/>
                <w:noProof/>
              </w:rPr>
              <w:t>PIOGA</w:t>
            </w:r>
            <w:r w:rsidR="00734951">
              <w:rPr>
                <w:rStyle w:val="Hyperlink"/>
                <w:noProof/>
              </w:rPr>
              <w:t>’</w:t>
            </w:r>
            <w:r w:rsidR="008A6156" w:rsidRPr="00FA158F">
              <w:rPr>
                <w:rStyle w:val="Hyperlink"/>
                <w:noProof/>
              </w:rPr>
              <w:t>s Argument to Redefine PNG</w:t>
            </w:r>
            <w:r w:rsidR="00734951">
              <w:rPr>
                <w:rStyle w:val="Hyperlink"/>
                <w:noProof/>
              </w:rPr>
              <w:t>’</w:t>
            </w:r>
            <w:r w:rsidR="008A6156" w:rsidRPr="00FA158F">
              <w:rPr>
                <w:rStyle w:val="Hyperlink"/>
                <w:noProof/>
              </w:rPr>
              <w:t>s Gathering and Distribution Pipelines</w:t>
            </w:r>
            <w:r w:rsidR="008A6156">
              <w:rPr>
                <w:noProof/>
                <w:webHidden/>
              </w:rPr>
              <w:tab/>
            </w:r>
            <w:r w:rsidR="008A6156">
              <w:rPr>
                <w:noProof/>
                <w:webHidden/>
              </w:rPr>
              <w:fldChar w:fldCharType="begin"/>
            </w:r>
            <w:r w:rsidR="008A6156">
              <w:rPr>
                <w:noProof/>
                <w:webHidden/>
              </w:rPr>
              <w:instrText xml:space="preserve"> PAGEREF _Toc524442358 \h </w:instrText>
            </w:r>
            <w:r w:rsidR="008A6156">
              <w:rPr>
                <w:noProof/>
                <w:webHidden/>
              </w:rPr>
            </w:r>
            <w:r w:rsidR="008A6156">
              <w:rPr>
                <w:noProof/>
                <w:webHidden/>
              </w:rPr>
              <w:fldChar w:fldCharType="separate"/>
            </w:r>
            <w:r w:rsidR="008A6156">
              <w:rPr>
                <w:noProof/>
                <w:webHidden/>
              </w:rPr>
              <w:t>40</w:t>
            </w:r>
            <w:r w:rsidR="008A6156">
              <w:rPr>
                <w:noProof/>
                <w:webHidden/>
              </w:rPr>
              <w:fldChar w:fldCharType="end"/>
            </w:r>
          </w:hyperlink>
        </w:p>
        <w:p w14:paraId="4DE06AF8" w14:textId="62417921" w:rsidR="008A6156" w:rsidRDefault="00F0079B" w:rsidP="007374FA">
          <w:pPr>
            <w:pStyle w:val="TOC3"/>
            <w:widowControl/>
            <w:rPr>
              <w:rFonts w:asciiTheme="minorHAnsi" w:eastAsiaTheme="minorEastAsia" w:hAnsiTheme="minorHAnsi" w:cstheme="minorBidi"/>
              <w:noProof/>
              <w:sz w:val="22"/>
              <w:szCs w:val="22"/>
            </w:rPr>
          </w:pPr>
          <w:hyperlink w:anchor="_Toc524442359" w:history="1">
            <w:r w:rsidR="008A6156" w:rsidRPr="00FA158F">
              <w:rPr>
                <w:rStyle w:val="Hyperlink"/>
                <w:noProof/>
              </w:rPr>
              <w:t>5.</w:t>
            </w:r>
            <w:r w:rsidR="008A6156">
              <w:rPr>
                <w:rFonts w:asciiTheme="minorHAnsi" w:eastAsiaTheme="minorEastAsia" w:hAnsiTheme="minorHAnsi" w:cstheme="minorBidi"/>
                <w:noProof/>
                <w:sz w:val="22"/>
                <w:szCs w:val="22"/>
              </w:rPr>
              <w:tab/>
            </w:r>
            <w:r w:rsidR="008A6156" w:rsidRPr="00FA158F">
              <w:rPr>
                <w:rStyle w:val="Hyperlink"/>
                <w:noProof/>
              </w:rPr>
              <w:t>Whether PIOGA</w:t>
            </w:r>
            <w:r w:rsidR="00734951">
              <w:rPr>
                <w:rStyle w:val="Hyperlink"/>
                <w:noProof/>
              </w:rPr>
              <w:t>’</w:t>
            </w:r>
            <w:r w:rsidR="008A6156" w:rsidRPr="00FA158F">
              <w:rPr>
                <w:rStyle w:val="Hyperlink"/>
                <w:noProof/>
              </w:rPr>
              <w:t xml:space="preserve">s Allegations of </w:t>
            </w:r>
            <w:r w:rsidR="00734951">
              <w:rPr>
                <w:rStyle w:val="Hyperlink"/>
                <w:noProof/>
              </w:rPr>
              <w:t>“</w:t>
            </w:r>
            <w:r w:rsidR="008A6156" w:rsidRPr="00FA158F">
              <w:rPr>
                <w:rStyle w:val="Hyperlink"/>
                <w:noProof/>
              </w:rPr>
              <w:t>Fault</w:t>
            </w:r>
            <w:r w:rsidR="00734951">
              <w:rPr>
                <w:rStyle w:val="Hyperlink"/>
                <w:noProof/>
              </w:rPr>
              <w:t>”</w:t>
            </w:r>
            <w:r w:rsidR="008A6156" w:rsidRPr="00FA158F">
              <w:rPr>
                <w:rStyle w:val="Hyperlink"/>
                <w:noProof/>
              </w:rPr>
              <w:t xml:space="preserve"> Are a Basis for Denying Recovery of a Portion of Gathering System UFG from Conventional Gas Producers</w:t>
            </w:r>
            <w:r w:rsidR="008A6156">
              <w:rPr>
                <w:noProof/>
                <w:webHidden/>
              </w:rPr>
              <w:tab/>
            </w:r>
            <w:r w:rsidR="008A6156">
              <w:rPr>
                <w:noProof/>
                <w:webHidden/>
              </w:rPr>
              <w:fldChar w:fldCharType="begin"/>
            </w:r>
            <w:r w:rsidR="008A6156">
              <w:rPr>
                <w:noProof/>
                <w:webHidden/>
              </w:rPr>
              <w:instrText xml:space="preserve"> PAGEREF _Toc524442359 \h </w:instrText>
            </w:r>
            <w:r w:rsidR="008A6156">
              <w:rPr>
                <w:noProof/>
                <w:webHidden/>
              </w:rPr>
            </w:r>
            <w:r w:rsidR="008A6156">
              <w:rPr>
                <w:noProof/>
                <w:webHidden/>
              </w:rPr>
              <w:fldChar w:fldCharType="separate"/>
            </w:r>
            <w:r w:rsidR="008A6156">
              <w:rPr>
                <w:noProof/>
                <w:webHidden/>
              </w:rPr>
              <w:t>40</w:t>
            </w:r>
            <w:r w:rsidR="008A6156">
              <w:rPr>
                <w:noProof/>
                <w:webHidden/>
              </w:rPr>
              <w:fldChar w:fldCharType="end"/>
            </w:r>
          </w:hyperlink>
        </w:p>
        <w:p w14:paraId="35749B10" w14:textId="2E7B8D10" w:rsidR="008A6156" w:rsidRDefault="00F0079B" w:rsidP="007374FA">
          <w:pPr>
            <w:pStyle w:val="TOC3"/>
            <w:widowControl/>
            <w:rPr>
              <w:rFonts w:asciiTheme="minorHAnsi" w:eastAsiaTheme="minorEastAsia" w:hAnsiTheme="minorHAnsi" w:cstheme="minorBidi"/>
              <w:noProof/>
              <w:sz w:val="22"/>
              <w:szCs w:val="22"/>
            </w:rPr>
          </w:pPr>
          <w:hyperlink w:anchor="_Toc524442360" w:history="1">
            <w:r w:rsidR="008A6156" w:rsidRPr="00FA158F">
              <w:rPr>
                <w:rStyle w:val="Hyperlink"/>
                <w:noProof/>
              </w:rPr>
              <w:t>6.</w:t>
            </w:r>
            <w:r w:rsidR="008A6156">
              <w:rPr>
                <w:rFonts w:asciiTheme="minorHAnsi" w:eastAsiaTheme="minorEastAsia" w:hAnsiTheme="minorHAnsi" w:cstheme="minorBidi"/>
                <w:noProof/>
                <w:sz w:val="22"/>
                <w:szCs w:val="22"/>
              </w:rPr>
              <w:tab/>
            </w:r>
            <w:r w:rsidR="008A6156" w:rsidRPr="00FA158F">
              <w:rPr>
                <w:rStyle w:val="Hyperlink"/>
                <w:noProof/>
              </w:rPr>
              <w:t>Whether Applying the Producer Retainage Charge to all Conventional Production is Reasonable in this Proceeding</w:t>
            </w:r>
            <w:r w:rsidR="008A6156">
              <w:rPr>
                <w:noProof/>
                <w:webHidden/>
              </w:rPr>
              <w:tab/>
            </w:r>
            <w:r w:rsidR="008A6156">
              <w:rPr>
                <w:noProof/>
                <w:webHidden/>
              </w:rPr>
              <w:fldChar w:fldCharType="begin"/>
            </w:r>
            <w:r w:rsidR="008A6156">
              <w:rPr>
                <w:noProof/>
                <w:webHidden/>
              </w:rPr>
              <w:instrText xml:space="preserve"> PAGEREF _Toc524442360 \h </w:instrText>
            </w:r>
            <w:r w:rsidR="008A6156">
              <w:rPr>
                <w:noProof/>
                <w:webHidden/>
              </w:rPr>
            </w:r>
            <w:r w:rsidR="008A6156">
              <w:rPr>
                <w:noProof/>
                <w:webHidden/>
              </w:rPr>
              <w:fldChar w:fldCharType="separate"/>
            </w:r>
            <w:r w:rsidR="008A6156">
              <w:rPr>
                <w:noProof/>
                <w:webHidden/>
              </w:rPr>
              <w:t>41</w:t>
            </w:r>
            <w:r w:rsidR="008A6156">
              <w:rPr>
                <w:noProof/>
                <w:webHidden/>
              </w:rPr>
              <w:fldChar w:fldCharType="end"/>
            </w:r>
          </w:hyperlink>
        </w:p>
        <w:p w14:paraId="556D8F06" w14:textId="4F7C17CD" w:rsidR="008A6156" w:rsidRDefault="00F0079B" w:rsidP="007374FA">
          <w:pPr>
            <w:pStyle w:val="TOC3"/>
            <w:widowControl/>
            <w:rPr>
              <w:rFonts w:asciiTheme="minorHAnsi" w:eastAsiaTheme="minorEastAsia" w:hAnsiTheme="minorHAnsi" w:cstheme="minorBidi"/>
              <w:noProof/>
              <w:sz w:val="22"/>
              <w:szCs w:val="22"/>
            </w:rPr>
          </w:pPr>
          <w:hyperlink w:anchor="_Toc524442361" w:history="1">
            <w:r w:rsidR="008A6156" w:rsidRPr="00FA158F">
              <w:rPr>
                <w:rStyle w:val="Hyperlink"/>
                <w:noProof/>
              </w:rPr>
              <w:t>7.</w:t>
            </w:r>
            <w:r w:rsidR="008A6156">
              <w:rPr>
                <w:rFonts w:asciiTheme="minorHAnsi" w:eastAsiaTheme="minorEastAsia" w:hAnsiTheme="minorHAnsi" w:cstheme="minorBidi"/>
                <w:noProof/>
                <w:sz w:val="22"/>
                <w:szCs w:val="22"/>
              </w:rPr>
              <w:tab/>
            </w:r>
            <w:r w:rsidR="008A6156" w:rsidRPr="00FA158F">
              <w:rPr>
                <w:rStyle w:val="Hyperlink"/>
                <w:noProof/>
              </w:rPr>
              <w:t>Whether the Proposed Producer Retainage Charge is Appropriate Policy for the Unique Situation Presented in this Proceeding</w:t>
            </w:r>
            <w:r w:rsidR="008A6156">
              <w:rPr>
                <w:noProof/>
                <w:webHidden/>
              </w:rPr>
              <w:tab/>
            </w:r>
            <w:r w:rsidR="008A6156">
              <w:rPr>
                <w:noProof/>
                <w:webHidden/>
              </w:rPr>
              <w:fldChar w:fldCharType="begin"/>
            </w:r>
            <w:r w:rsidR="008A6156">
              <w:rPr>
                <w:noProof/>
                <w:webHidden/>
              </w:rPr>
              <w:instrText xml:space="preserve"> PAGEREF _Toc524442361 \h </w:instrText>
            </w:r>
            <w:r w:rsidR="008A6156">
              <w:rPr>
                <w:noProof/>
                <w:webHidden/>
              </w:rPr>
            </w:r>
            <w:r w:rsidR="008A6156">
              <w:rPr>
                <w:noProof/>
                <w:webHidden/>
              </w:rPr>
              <w:fldChar w:fldCharType="separate"/>
            </w:r>
            <w:r w:rsidR="008A6156">
              <w:rPr>
                <w:noProof/>
                <w:webHidden/>
              </w:rPr>
              <w:t>42</w:t>
            </w:r>
            <w:r w:rsidR="008A6156">
              <w:rPr>
                <w:noProof/>
                <w:webHidden/>
              </w:rPr>
              <w:fldChar w:fldCharType="end"/>
            </w:r>
          </w:hyperlink>
        </w:p>
        <w:p w14:paraId="6714CDB1" w14:textId="27BA490E" w:rsidR="008A6156" w:rsidRDefault="00F0079B" w:rsidP="007374FA">
          <w:pPr>
            <w:pStyle w:val="TOC2"/>
            <w:widowControl/>
            <w:tabs>
              <w:tab w:val="left" w:pos="720"/>
              <w:tab w:val="right" w:leader="dot" w:pos="9350"/>
            </w:tabs>
            <w:rPr>
              <w:rFonts w:asciiTheme="minorHAnsi" w:eastAsiaTheme="minorEastAsia" w:hAnsiTheme="minorHAnsi" w:cstheme="minorBidi"/>
              <w:noProof/>
              <w:sz w:val="22"/>
              <w:szCs w:val="22"/>
            </w:rPr>
          </w:pPr>
          <w:hyperlink w:anchor="_Toc524442362" w:history="1">
            <w:r w:rsidR="008A6156" w:rsidRPr="00FA158F">
              <w:rPr>
                <w:rStyle w:val="Hyperlink"/>
                <w:noProof/>
              </w:rPr>
              <w:t>C.</w:t>
            </w:r>
            <w:r w:rsidR="008A6156">
              <w:rPr>
                <w:rFonts w:asciiTheme="minorHAnsi" w:eastAsiaTheme="minorEastAsia" w:hAnsiTheme="minorHAnsi" w:cstheme="minorBidi"/>
                <w:noProof/>
                <w:sz w:val="22"/>
                <w:szCs w:val="22"/>
              </w:rPr>
              <w:tab/>
            </w:r>
            <w:r w:rsidR="008A6156" w:rsidRPr="00FA158F">
              <w:rPr>
                <w:rStyle w:val="Hyperlink"/>
                <w:noProof/>
              </w:rPr>
              <w:t>Exceptions, Replies and Dispositions</w:t>
            </w:r>
            <w:r w:rsidR="008A6156">
              <w:rPr>
                <w:noProof/>
                <w:webHidden/>
              </w:rPr>
              <w:tab/>
            </w:r>
            <w:r w:rsidR="008A6156">
              <w:rPr>
                <w:noProof/>
                <w:webHidden/>
              </w:rPr>
              <w:fldChar w:fldCharType="begin"/>
            </w:r>
            <w:r w:rsidR="008A6156">
              <w:rPr>
                <w:noProof/>
                <w:webHidden/>
              </w:rPr>
              <w:instrText xml:space="preserve"> PAGEREF _Toc524442362 \h </w:instrText>
            </w:r>
            <w:r w:rsidR="008A6156">
              <w:rPr>
                <w:noProof/>
                <w:webHidden/>
              </w:rPr>
            </w:r>
            <w:r w:rsidR="008A6156">
              <w:rPr>
                <w:noProof/>
                <w:webHidden/>
              </w:rPr>
              <w:fldChar w:fldCharType="separate"/>
            </w:r>
            <w:r w:rsidR="008A6156">
              <w:rPr>
                <w:noProof/>
                <w:webHidden/>
              </w:rPr>
              <w:t>43</w:t>
            </w:r>
            <w:r w:rsidR="008A6156">
              <w:rPr>
                <w:noProof/>
                <w:webHidden/>
              </w:rPr>
              <w:fldChar w:fldCharType="end"/>
            </w:r>
          </w:hyperlink>
        </w:p>
        <w:p w14:paraId="2423EA73" w14:textId="7012F344" w:rsidR="008A6156" w:rsidRDefault="00F0079B" w:rsidP="007374FA">
          <w:pPr>
            <w:pStyle w:val="TOC3"/>
            <w:widowControl/>
            <w:rPr>
              <w:rFonts w:asciiTheme="minorHAnsi" w:eastAsiaTheme="minorEastAsia" w:hAnsiTheme="minorHAnsi" w:cstheme="minorBidi"/>
              <w:noProof/>
              <w:sz w:val="22"/>
              <w:szCs w:val="22"/>
            </w:rPr>
          </w:pPr>
          <w:hyperlink w:anchor="_Toc524442363" w:history="1">
            <w:r w:rsidR="008A6156" w:rsidRPr="00FA158F">
              <w:rPr>
                <w:rStyle w:val="Hyperlink"/>
                <w:noProof/>
              </w:rPr>
              <w:t>1.</w:t>
            </w:r>
            <w:r w:rsidR="008A6156">
              <w:rPr>
                <w:rFonts w:asciiTheme="minorHAnsi" w:eastAsiaTheme="minorEastAsia" w:hAnsiTheme="minorHAnsi" w:cstheme="minorBidi"/>
                <w:noProof/>
                <w:sz w:val="22"/>
                <w:szCs w:val="22"/>
              </w:rPr>
              <w:tab/>
            </w:r>
            <w:r w:rsidR="008A6156" w:rsidRPr="00FA158F">
              <w:rPr>
                <w:rStyle w:val="Hyperlink"/>
                <w:noProof/>
              </w:rPr>
              <w:t>PIOGA</w:t>
            </w:r>
            <w:r w:rsidR="00734951">
              <w:rPr>
                <w:rStyle w:val="Hyperlink"/>
                <w:noProof/>
              </w:rPr>
              <w:t>’</w:t>
            </w:r>
            <w:r w:rsidR="008A6156" w:rsidRPr="00FA158F">
              <w:rPr>
                <w:rStyle w:val="Hyperlink"/>
                <w:noProof/>
              </w:rPr>
              <w:t>s Exception No. 1, Replies and Disposition</w:t>
            </w:r>
            <w:r w:rsidR="008A6156">
              <w:rPr>
                <w:noProof/>
                <w:webHidden/>
              </w:rPr>
              <w:tab/>
            </w:r>
            <w:r w:rsidR="008A6156">
              <w:rPr>
                <w:noProof/>
                <w:webHidden/>
              </w:rPr>
              <w:fldChar w:fldCharType="begin"/>
            </w:r>
            <w:r w:rsidR="008A6156">
              <w:rPr>
                <w:noProof/>
                <w:webHidden/>
              </w:rPr>
              <w:instrText xml:space="preserve"> PAGEREF _Toc524442363 \h </w:instrText>
            </w:r>
            <w:r w:rsidR="008A6156">
              <w:rPr>
                <w:noProof/>
                <w:webHidden/>
              </w:rPr>
            </w:r>
            <w:r w:rsidR="008A6156">
              <w:rPr>
                <w:noProof/>
                <w:webHidden/>
              </w:rPr>
              <w:fldChar w:fldCharType="separate"/>
            </w:r>
            <w:r w:rsidR="008A6156">
              <w:rPr>
                <w:noProof/>
                <w:webHidden/>
              </w:rPr>
              <w:t>43</w:t>
            </w:r>
            <w:r w:rsidR="008A6156">
              <w:rPr>
                <w:noProof/>
                <w:webHidden/>
              </w:rPr>
              <w:fldChar w:fldCharType="end"/>
            </w:r>
          </w:hyperlink>
        </w:p>
        <w:p w14:paraId="10E60DE1" w14:textId="28D3A158" w:rsidR="008A6156" w:rsidRDefault="00F0079B" w:rsidP="007374FA">
          <w:pPr>
            <w:pStyle w:val="TOC3"/>
            <w:widowControl/>
            <w:rPr>
              <w:rFonts w:asciiTheme="minorHAnsi" w:eastAsiaTheme="minorEastAsia" w:hAnsiTheme="minorHAnsi" w:cstheme="minorBidi"/>
              <w:noProof/>
              <w:sz w:val="22"/>
              <w:szCs w:val="22"/>
            </w:rPr>
          </w:pPr>
          <w:hyperlink w:anchor="_Toc524442364" w:history="1">
            <w:r w:rsidR="008A6156" w:rsidRPr="00FA158F">
              <w:rPr>
                <w:rStyle w:val="Hyperlink"/>
                <w:noProof/>
              </w:rPr>
              <w:t>2.</w:t>
            </w:r>
            <w:r w:rsidR="008A6156">
              <w:rPr>
                <w:rFonts w:asciiTheme="minorHAnsi" w:eastAsiaTheme="minorEastAsia" w:hAnsiTheme="minorHAnsi" w:cstheme="minorBidi"/>
                <w:noProof/>
                <w:sz w:val="22"/>
                <w:szCs w:val="22"/>
              </w:rPr>
              <w:tab/>
            </w:r>
            <w:r w:rsidR="008A6156" w:rsidRPr="00FA158F">
              <w:rPr>
                <w:rStyle w:val="Hyperlink"/>
                <w:noProof/>
              </w:rPr>
              <w:t>PIOGA</w:t>
            </w:r>
            <w:r w:rsidR="00734951">
              <w:rPr>
                <w:rStyle w:val="Hyperlink"/>
                <w:noProof/>
              </w:rPr>
              <w:t>’</w:t>
            </w:r>
            <w:r w:rsidR="008A6156" w:rsidRPr="00FA158F">
              <w:rPr>
                <w:rStyle w:val="Hyperlink"/>
                <w:noProof/>
              </w:rPr>
              <w:t>s Exception No. 2, Replies and Disposition</w:t>
            </w:r>
            <w:r w:rsidR="008A6156">
              <w:rPr>
                <w:noProof/>
                <w:webHidden/>
              </w:rPr>
              <w:tab/>
            </w:r>
            <w:r w:rsidR="008A6156">
              <w:rPr>
                <w:noProof/>
                <w:webHidden/>
              </w:rPr>
              <w:fldChar w:fldCharType="begin"/>
            </w:r>
            <w:r w:rsidR="008A6156">
              <w:rPr>
                <w:noProof/>
                <w:webHidden/>
              </w:rPr>
              <w:instrText xml:space="preserve"> PAGEREF _Toc524442364 \h </w:instrText>
            </w:r>
            <w:r w:rsidR="008A6156">
              <w:rPr>
                <w:noProof/>
                <w:webHidden/>
              </w:rPr>
            </w:r>
            <w:r w:rsidR="008A6156">
              <w:rPr>
                <w:noProof/>
                <w:webHidden/>
              </w:rPr>
              <w:fldChar w:fldCharType="separate"/>
            </w:r>
            <w:r w:rsidR="008A6156">
              <w:rPr>
                <w:noProof/>
                <w:webHidden/>
              </w:rPr>
              <w:t>56</w:t>
            </w:r>
            <w:r w:rsidR="008A6156">
              <w:rPr>
                <w:noProof/>
                <w:webHidden/>
              </w:rPr>
              <w:fldChar w:fldCharType="end"/>
            </w:r>
          </w:hyperlink>
        </w:p>
        <w:p w14:paraId="64AF2AE1" w14:textId="38A7CB48" w:rsidR="008A6156" w:rsidRDefault="00F0079B" w:rsidP="007374FA">
          <w:pPr>
            <w:pStyle w:val="TOC3"/>
            <w:widowControl/>
            <w:rPr>
              <w:rFonts w:asciiTheme="minorHAnsi" w:eastAsiaTheme="minorEastAsia" w:hAnsiTheme="minorHAnsi" w:cstheme="minorBidi"/>
              <w:noProof/>
              <w:sz w:val="22"/>
              <w:szCs w:val="22"/>
            </w:rPr>
          </w:pPr>
          <w:hyperlink w:anchor="_Toc524442365" w:history="1">
            <w:r w:rsidR="008A6156" w:rsidRPr="00FA158F">
              <w:rPr>
                <w:rStyle w:val="Hyperlink"/>
                <w:noProof/>
              </w:rPr>
              <w:t>3.</w:t>
            </w:r>
            <w:r w:rsidR="008A6156">
              <w:rPr>
                <w:rFonts w:asciiTheme="minorHAnsi" w:eastAsiaTheme="minorEastAsia" w:hAnsiTheme="minorHAnsi" w:cstheme="minorBidi"/>
                <w:noProof/>
                <w:sz w:val="22"/>
                <w:szCs w:val="22"/>
              </w:rPr>
              <w:tab/>
            </w:r>
            <w:r w:rsidR="008A6156" w:rsidRPr="00FA158F">
              <w:rPr>
                <w:rStyle w:val="Hyperlink"/>
                <w:noProof/>
              </w:rPr>
              <w:t>PIOGA</w:t>
            </w:r>
            <w:r w:rsidR="00734951">
              <w:rPr>
                <w:rStyle w:val="Hyperlink"/>
                <w:noProof/>
              </w:rPr>
              <w:t>’</w:t>
            </w:r>
            <w:r w:rsidR="008A6156" w:rsidRPr="00FA158F">
              <w:rPr>
                <w:rStyle w:val="Hyperlink"/>
                <w:noProof/>
              </w:rPr>
              <w:t>s Exception No. 3, Replies and Disposition</w:t>
            </w:r>
            <w:r w:rsidR="008A6156">
              <w:rPr>
                <w:noProof/>
                <w:webHidden/>
              </w:rPr>
              <w:tab/>
            </w:r>
            <w:r w:rsidR="008A6156">
              <w:rPr>
                <w:noProof/>
                <w:webHidden/>
              </w:rPr>
              <w:fldChar w:fldCharType="begin"/>
            </w:r>
            <w:r w:rsidR="008A6156">
              <w:rPr>
                <w:noProof/>
                <w:webHidden/>
              </w:rPr>
              <w:instrText xml:space="preserve"> PAGEREF _Toc524442365 \h </w:instrText>
            </w:r>
            <w:r w:rsidR="008A6156">
              <w:rPr>
                <w:noProof/>
                <w:webHidden/>
              </w:rPr>
            </w:r>
            <w:r w:rsidR="008A6156">
              <w:rPr>
                <w:noProof/>
                <w:webHidden/>
              </w:rPr>
              <w:fldChar w:fldCharType="separate"/>
            </w:r>
            <w:r w:rsidR="008A6156">
              <w:rPr>
                <w:noProof/>
                <w:webHidden/>
              </w:rPr>
              <w:t>61</w:t>
            </w:r>
            <w:r w:rsidR="008A6156">
              <w:rPr>
                <w:noProof/>
                <w:webHidden/>
              </w:rPr>
              <w:fldChar w:fldCharType="end"/>
            </w:r>
          </w:hyperlink>
        </w:p>
        <w:p w14:paraId="2F0CF825" w14:textId="45FA896C" w:rsidR="008A6156" w:rsidRDefault="00F0079B" w:rsidP="007374FA">
          <w:pPr>
            <w:pStyle w:val="TOC3"/>
            <w:widowControl/>
            <w:rPr>
              <w:rFonts w:asciiTheme="minorHAnsi" w:eastAsiaTheme="minorEastAsia" w:hAnsiTheme="minorHAnsi" w:cstheme="minorBidi"/>
              <w:noProof/>
              <w:sz w:val="22"/>
              <w:szCs w:val="22"/>
            </w:rPr>
          </w:pPr>
          <w:hyperlink w:anchor="_Toc524442366" w:history="1">
            <w:r w:rsidR="008A6156" w:rsidRPr="00FA158F">
              <w:rPr>
                <w:rStyle w:val="Hyperlink"/>
                <w:noProof/>
              </w:rPr>
              <w:t>4.</w:t>
            </w:r>
            <w:r w:rsidR="008A6156">
              <w:rPr>
                <w:rFonts w:asciiTheme="minorHAnsi" w:eastAsiaTheme="minorEastAsia" w:hAnsiTheme="minorHAnsi" w:cstheme="minorBidi"/>
                <w:noProof/>
                <w:sz w:val="22"/>
                <w:szCs w:val="22"/>
              </w:rPr>
              <w:tab/>
            </w:r>
            <w:r w:rsidR="008A6156" w:rsidRPr="00FA158F">
              <w:rPr>
                <w:rStyle w:val="Hyperlink"/>
                <w:noProof/>
              </w:rPr>
              <w:t>PIOGA</w:t>
            </w:r>
            <w:r w:rsidR="00734951">
              <w:rPr>
                <w:rStyle w:val="Hyperlink"/>
                <w:noProof/>
              </w:rPr>
              <w:t>’</w:t>
            </w:r>
            <w:r w:rsidR="008A6156" w:rsidRPr="00FA158F">
              <w:rPr>
                <w:rStyle w:val="Hyperlink"/>
                <w:noProof/>
              </w:rPr>
              <w:t>s Exception No. 4, Replies and Disposition</w:t>
            </w:r>
            <w:r w:rsidR="008A6156">
              <w:rPr>
                <w:noProof/>
                <w:webHidden/>
              </w:rPr>
              <w:tab/>
            </w:r>
            <w:r w:rsidR="008A6156">
              <w:rPr>
                <w:noProof/>
                <w:webHidden/>
              </w:rPr>
              <w:fldChar w:fldCharType="begin"/>
            </w:r>
            <w:r w:rsidR="008A6156">
              <w:rPr>
                <w:noProof/>
                <w:webHidden/>
              </w:rPr>
              <w:instrText xml:space="preserve"> PAGEREF _Toc524442366 \h </w:instrText>
            </w:r>
            <w:r w:rsidR="008A6156">
              <w:rPr>
                <w:noProof/>
                <w:webHidden/>
              </w:rPr>
            </w:r>
            <w:r w:rsidR="008A6156">
              <w:rPr>
                <w:noProof/>
                <w:webHidden/>
              </w:rPr>
              <w:fldChar w:fldCharType="separate"/>
            </w:r>
            <w:r w:rsidR="008A6156">
              <w:rPr>
                <w:noProof/>
                <w:webHidden/>
              </w:rPr>
              <w:t>67</w:t>
            </w:r>
            <w:r w:rsidR="008A6156">
              <w:rPr>
                <w:noProof/>
                <w:webHidden/>
              </w:rPr>
              <w:fldChar w:fldCharType="end"/>
            </w:r>
          </w:hyperlink>
        </w:p>
        <w:p w14:paraId="1F986754" w14:textId="6334276D" w:rsidR="008A6156" w:rsidRDefault="00F0079B" w:rsidP="007374FA">
          <w:pPr>
            <w:pStyle w:val="TOC3"/>
            <w:widowControl/>
            <w:rPr>
              <w:rFonts w:asciiTheme="minorHAnsi" w:eastAsiaTheme="minorEastAsia" w:hAnsiTheme="minorHAnsi" w:cstheme="minorBidi"/>
              <w:noProof/>
              <w:sz w:val="22"/>
              <w:szCs w:val="22"/>
            </w:rPr>
          </w:pPr>
          <w:hyperlink w:anchor="_Toc524442367" w:history="1">
            <w:r w:rsidR="008A6156" w:rsidRPr="00FA158F">
              <w:rPr>
                <w:rStyle w:val="Hyperlink"/>
                <w:noProof/>
              </w:rPr>
              <w:t>5.</w:t>
            </w:r>
            <w:r w:rsidR="008A6156">
              <w:rPr>
                <w:rFonts w:asciiTheme="minorHAnsi" w:eastAsiaTheme="minorEastAsia" w:hAnsiTheme="minorHAnsi" w:cstheme="minorBidi"/>
                <w:noProof/>
                <w:sz w:val="22"/>
                <w:szCs w:val="22"/>
              </w:rPr>
              <w:tab/>
            </w:r>
            <w:r w:rsidR="008A6156" w:rsidRPr="00FA158F">
              <w:rPr>
                <w:rStyle w:val="Hyperlink"/>
                <w:noProof/>
              </w:rPr>
              <w:t>PIOGA</w:t>
            </w:r>
            <w:r w:rsidR="00734951">
              <w:rPr>
                <w:rStyle w:val="Hyperlink"/>
                <w:noProof/>
              </w:rPr>
              <w:t>’</w:t>
            </w:r>
            <w:r w:rsidR="008A6156" w:rsidRPr="00FA158F">
              <w:rPr>
                <w:rStyle w:val="Hyperlink"/>
                <w:noProof/>
              </w:rPr>
              <w:t>s Exception No. 5, Replies and Disposition</w:t>
            </w:r>
            <w:r w:rsidR="008A6156">
              <w:rPr>
                <w:noProof/>
                <w:webHidden/>
              </w:rPr>
              <w:tab/>
            </w:r>
            <w:r w:rsidR="008A6156">
              <w:rPr>
                <w:noProof/>
                <w:webHidden/>
              </w:rPr>
              <w:fldChar w:fldCharType="begin"/>
            </w:r>
            <w:r w:rsidR="008A6156">
              <w:rPr>
                <w:noProof/>
                <w:webHidden/>
              </w:rPr>
              <w:instrText xml:space="preserve"> PAGEREF _Toc524442367 \h </w:instrText>
            </w:r>
            <w:r w:rsidR="008A6156">
              <w:rPr>
                <w:noProof/>
                <w:webHidden/>
              </w:rPr>
            </w:r>
            <w:r w:rsidR="008A6156">
              <w:rPr>
                <w:noProof/>
                <w:webHidden/>
              </w:rPr>
              <w:fldChar w:fldCharType="separate"/>
            </w:r>
            <w:r w:rsidR="008A6156">
              <w:rPr>
                <w:noProof/>
                <w:webHidden/>
              </w:rPr>
              <w:t>70</w:t>
            </w:r>
            <w:r w:rsidR="008A6156">
              <w:rPr>
                <w:noProof/>
                <w:webHidden/>
              </w:rPr>
              <w:fldChar w:fldCharType="end"/>
            </w:r>
          </w:hyperlink>
        </w:p>
        <w:p w14:paraId="34C0CAB9" w14:textId="4B5A7F39" w:rsidR="008A6156" w:rsidRDefault="00F0079B" w:rsidP="007374FA">
          <w:pPr>
            <w:pStyle w:val="TOC3"/>
            <w:widowControl/>
            <w:rPr>
              <w:rFonts w:asciiTheme="minorHAnsi" w:eastAsiaTheme="minorEastAsia" w:hAnsiTheme="minorHAnsi" w:cstheme="minorBidi"/>
              <w:noProof/>
              <w:sz w:val="22"/>
              <w:szCs w:val="22"/>
            </w:rPr>
          </w:pPr>
          <w:hyperlink w:anchor="_Toc524442368" w:history="1">
            <w:r w:rsidR="008A6156" w:rsidRPr="00FA158F">
              <w:rPr>
                <w:rStyle w:val="Hyperlink"/>
                <w:noProof/>
              </w:rPr>
              <w:t>6.</w:t>
            </w:r>
            <w:r w:rsidR="008A6156">
              <w:rPr>
                <w:rFonts w:asciiTheme="minorHAnsi" w:eastAsiaTheme="minorEastAsia" w:hAnsiTheme="minorHAnsi" w:cstheme="minorBidi"/>
                <w:noProof/>
                <w:sz w:val="22"/>
                <w:szCs w:val="22"/>
              </w:rPr>
              <w:tab/>
            </w:r>
            <w:r w:rsidR="008A6156" w:rsidRPr="00FA158F">
              <w:rPr>
                <w:rStyle w:val="Hyperlink"/>
                <w:noProof/>
              </w:rPr>
              <w:t>PIOGA</w:t>
            </w:r>
            <w:r w:rsidR="00734951">
              <w:rPr>
                <w:rStyle w:val="Hyperlink"/>
                <w:noProof/>
              </w:rPr>
              <w:t>’</w:t>
            </w:r>
            <w:r w:rsidR="008A6156" w:rsidRPr="00FA158F">
              <w:rPr>
                <w:rStyle w:val="Hyperlink"/>
                <w:noProof/>
              </w:rPr>
              <w:t>s Exception No. 6, Replies and Disposition</w:t>
            </w:r>
            <w:r w:rsidR="008A6156">
              <w:rPr>
                <w:noProof/>
                <w:webHidden/>
              </w:rPr>
              <w:tab/>
            </w:r>
            <w:r w:rsidR="008A6156">
              <w:rPr>
                <w:noProof/>
                <w:webHidden/>
              </w:rPr>
              <w:fldChar w:fldCharType="begin"/>
            </w:r>
            <w:r w:rsidR="008A6156">
              <w:rPr>
                <w:noProof/>
                <w:webHidden/>
              </w:rPr>
              <w:instrText xml:space="preserve"> PAGEREF _Toc524442368 \h </w:instrText>
            </w:r>
            <w:r w:rsidR="008A6156">
              <w:rPr>
                <w:noProof/>
                <w:webHidden/>
              </w:rPr>
            </w:r>
            <w:r w:rsidR="008A6156">
              <w:rPr>
                <w:noProof/>
                <w:webHidden/>
              </w:rPr>
              <w:fldChar w:fldCharType="separate"/>
            </w:r>
            <w:r w:rsidR="008A6156">
              <w:rPr>
                <w:noProof/>
                <w:webHidden/>
              </w:rPr>
              <w:t>72</w:t>
            </w:r>
            <w:r w:rsidR="008A6156">
              <w:rPr>
                <w:noProof/>
                <w:webHidden/>
              </w:rPr>
              <w:fldChar w:fldCharType="end"/>
            </w:r>
          </w:hyperlink>
        </w:p>
        <w:p w14:paraId="632DE070" w14:textId="5C6CD68D" w:rsidR="008A6156" w:rsidRDefault="00F0079B" w:rsidP="007374FA">
          <w:pPr>
            <w:pStyle w:val="TOC3"/>
            <w:widowControl/>
            <w:rPr>
              <w:rFonts w:asciiTheme="minorHAnsi" w:eastAsiaTheme="minorEastAsia" w:hAnsiTheme="minorHAnsi" w:cstheme="minorBidi"/>
              <w:noProof/>
              <w:sz w:val="22"/>
              <w:szCs w:val="22"/>
            </w:rPr>
          </w:pPr>
          <w:hyperlink w:anchor="_Toc524442369" w:history="1">
            <w:r w:rsidR="008A6156" w:rsidRPr="00FA158F">
              <w:rPr>
                <w:rStyle w:val="Hyperlink"/>
                <w:noProof/>
              </w:rPr>
              <w:t>7.</w:t>
            </w:r>
            <w:r w:rsidR="008A6156">
              <w:rPr>
                <w:rFonts w:asciiTheme="minorHAnsi" w:eastAsiaTheme="minorEastAsia" w:hAnsiTheme="minorHAnsi" w:cstheme="minorBidi"/>
                <w:noProof/>
                <w:sz w:val="22"/>
                <w:szCs w:val="22"/>
              </w:rPr>
              <w:tab/>
            </w:r>
            <w:r w:rsidR="008A6156" w:rsidRPr="00FA158F">
              <w:rPr>
                <w:rStyle w:val="Hyperlink"/>
                <w:noProof/>
              </w:rPr>
              <w:t>PIOGA</w:t>
            </w:r>
            <w:r w:rsidR="00734951">
              <w:rPr>
                <w:rStyle w:val="Hyperlink"/>
                <w:noProof/>
              </w:rPr>
              <w:t>’</w:t>
            </w:r>
            <w:r w:rsidR="008A6156" w:rsidRPr="00FA158F">
              <w:rPr>
                <w:rStyle w:val="Hyperlink"/>
                <w:noProof/>
              </w:rPr>
              <w:t>s Exception No. 7 and Replies</w:t>
            </w:r>
            <w:r w:rsidR="008A6156">
              <w:rPr>
                <w:noProof/>
                <w:webHidden/>
              </w:rPr>
              <w:tab/>
            </w:r>
            <w:r w:rsidR="008A6156">
              <w:rPr>
                <w:noProof/>
                <w:webHidden/>
              </w:rPr>
              <w:fldChar w:fldCharType="begin"/>
            </w:r>
            <w:r w:rsidR="008A6156">
              <w:rPr>
                <w:noProof/>
                <w:webHidden/>
              </w:rPr>
              <w:instrText xml:space="preserve"> PAGEREF _Toc524442369 \h </w:instrText>
            </w:r>
            <w:r w:rsidR="008A6156">
              <w:rPr>
                <w:noProof/>
                <w:webHidden/>
              </w:rPr>
            </w:r>
            <w:r w:rsidR="008A6156">
              <w:rPr>
                <w:noProof/>
                <w:webHidden/>
              </w:rPr>
              <w:fldChar w:fldCharType="separate"/>
            </w:r>
            <w:r w:rsidR="008A6156">
              <w:rPr>
                <w:noProof/>
                <w:webHidden/>
              </w:rPr>
              <w:t>78</w:t>
            </w:r>
            <w:r w:rsidR="008A6156">
              <w:rPr>
                <w:noProof/>
                <w:webHidden/>
              </w:rPr>
              <w:fldChar w:fldCharType="end"/>
            </w:r>
          </w:hyperlink>
        </w:p>
        <w:p w14:paraId="72082298" w14:textId="1A88250B" w:rsidR="008A6156" w:rsidRDefault="00F0079B" w:rsidP="007374FA">
          <w:pPr>
            <w:pStyle w:val="TOC3"/>
            <w:widowControl/>
            <w:rPr>
              <w:rFonts w:asciiTheme="minorHAnsi" w:eastAsiaTheme="minorEastAsia" w:hAnsiTheme="minorHAnsi" w:cstheme="minorBidi"/>
              <w:noProof/>
              <w:sz w:val="22"/>
              <w:szCs w:val="22"/>
            </w:rPr>
          </w:pPr>
          <w:hyperlink w:anchor="_Toc524442370" w:history="1">
            <w:r w:rsidR="008A6156" w:rsidRPr="00FA158F">
              <w:rPr>
                <w:rStyle w:val="Hyperlink"/>
                <w:noProof/>
              </w:rPr>
              <w:t>8.</w:t>
            </w:r>
            <w:r w:rsidR="008A6156">
              <w:rPr>
                <w:rFonts w:asciiTheme="minorHAnsi" w:eastAsiaTheme="minorEastAsia" w:hAnsiTheme="minorHAnsi" w:cstheme="minorBidi"/>
                <w:noProof/>
                <w:sz w:val="22"/>
                <w:szCs w:val="22"/>
              </w:rPr>
              <w:tab/>
            </w:r>
            <w:r w:rsidR="008A6156" w:rsidRPr="00FA158F">
              <w:rPr>
                <w:rStyle w:val="Hyperlink"/>
                <w:noProof/>
              </w:rPr>
              <w:t>PIOGA</w:t>
            </w:r>
            <w:r w:rsidR="00734951">
              <w:rPr>
                <w:rStyle w:val="Hyperlink"/>
                <w:noProof/>
              </w:rPr>
              <w:t>’</w:t>
            </w:r>
            <w:r w:rsidR="008A6156" w:rsidRPr="00FA158F">
              <w:rPr>
                <w:rStyle w:val="Hyperlink"/>
                <w:noProof/>
              </w:rPr>
              <w:t>s Exception No. 8, Replies and Disposition</w:t>
            </w:r>
            <w:r w:rsidR="008A6156">
              <w:rPr>
                <w:noProof/>
                <w:webHidden/>
              </w:rPr>
              <w:tab/>
            </w:r>
            <w:r w:rsidR="008A6156">
              <w:rPr>
                <w:noProof/>
                <w:webHidden/>
              </w:rPr>
              <w:fldChar w:fldCharType="begin"/>
            </w:r>
            <w:r w:rsidR="008A6156">
              <w:rPr>
                <w:noProof/>
                <w:webHidden/>
              </w:rPr>
              <w:instrText xml:space="preserve"> PAGEREF _Toc524442370 \h </w:instrText>
            </w:r>
            <w:r w:rsidR="008A6156">
              <w:rPr>
                <w:noProof/>
                <w:webHidden/>
              </w:rPr>
            </w:r>
            <w:r w:rsidR="008A6156">
              <w:rPr>
                <w:noProof/>
                <w:webHidden/>
              </w:rPr>
              <w:fldChar w:fldCharType="separate"/>
            </w:r>
            <w:r w:rsidR="008A6156">
              <w:rPr>
                <w:noProof/>
                <w:webHidden/>
              </w:rPr>
              <w:t>80</w:t>
            </w:r>
            <w:r w:rsidR="008A6156">
              <w:rPr>
                <w:noProof/>
                <w:webHidden/>
              </w:rPr>
              <w:fldChar w:fldCharType="end"/>
            </w:r>
          </w:hyperlink>
        </w:p>
        <w:p w14:paraId="3D240F5D" w14:textId="4DA2DA31" w:rsidR="008A6156" w:rsidRDefault="00F0079B" w:rsidP="007374FA">
          <w:pPr>
            <w:pStyle w:val="TOC1"/>
            <w:widowControl/>
            <w:tabs>
              <w:tab w:val="left" w:pos="720"/>
              <w:tab w:val="right" w:leader="dot" w:pos="9350"/>
            </w:tabs>
            <w:rPr>
              <w:rFonts w:asciiTheme="minorHAnsi" w:eastAsiaTheme="minorEastAsia" w:hAnsiTheme="minorHAnsi" w:cstheme="minorBidi"/>
              <w:noProof/>
              <w:sz w:val="22"/>
              <w:szCs w:val="22"/>
            </w:rPr>
          </w:pPr>
          <w:hyperlink w:anchor="_Toc524442371" w:history="1">
            <w:r w:rsidR="008A6156" w:rsidRPr="00FA158F">
              <w:rPr>
                <w:rStyle w:val="Hyperlink"/>
                <w:noProof/>
              </w:rPr>
              <w:t>VI.</w:t>
            </w:r>
            <w:r w:rsidR="008A6156">
              <w:rPr>
                <w:rFonts w:asciiTheme="minorHAnsi" w:eastAsiaTheme="minorEastAsia" w:hAnsiTheme="minorHAnsi" w:cstheme="minorBidi"/>
                <w:noProof/>
                <w:sz w:val="22"/>
                <w:szCs w:val="22"/>
              </w:rPr>
              <w:tab/>
            </w:r>
            <w:r w:rsidR="008A6156" w:rsidRPr="00FA158F">
              <w:rPr>
                <w:rStyle w:val="Hyperlink"/>
                <w:noProof/>
              </w:rPr>
              <w:t>Conclusion</w:t>
            </w:r>
            <w:r w:rsidR="008A6156">
              <w:rPr>
                <w:noProof/>
                <w:webHidden/>
              </w:rPr>
              <w:tab/>
            </w:r>
            <w:r w:rsidR="008A6156">
              <w:rPr>
                <w:noProof/>
                <w:webHidden/>
              </w:rPr>
              <w:fldChar w:fldCharType="begin"/>
            </w:r>
            <w:r w:rsidR="008A6156">
              <w:rPr>
                <w:noProof/>
                <w:webHidden/>
              </w:rPr>
              <w:instrText xml:space="preserve"> PAGEREF _Toc524442371 \h </w:instrText>
            </w:r>
            <w:r w:rsidR="008A6156">
              <w:rPr>
                <w:noProof/>
                <w:webHidden/>
              </w:rPr>
            </w:r>
            <w:r w:rsidR="008A6156">
              <w:rPr>
                <w:noProof/>
                <w:webHidden/>
              </w:rPr>
              <w:fldChar w:fldCharType="separate"/>
            </w:r>
            <w:r w:rsidR="008A6156">
              <w:rPr>
                <w:noProof/>
                <w:webHidden/>
              </w:rPr>
              <w:t>81</w:t>
            </w:r>
            <w:r w:rsidR="008A6156">
              <w:rPr>
                <w:noProof/>
                <w:webHidden/>
              </w:rPr>
              <w:fldChar w:fldCharType="end"/>
            </w:r>
          </w:hyperlink>
        </w:p>
        <w:p w14:paraId="256F6364" w14:textId="348E511E" w:rsidR="003D116E" w:rsidRPr="003D116E" w:rsidRDefault="003D116E" w:rsidP="007374FA">
          <w:pPr>
            <w:widowControl/>
            <w:spacing w:line="360" w:lineRule="auto"/>
            <w:ind w:firstLine="1440"/>
            <w:rPr>
              <w:noProof/>
              <w:sz w:val="26"/>
              <w:szCs w:val="24"/>
            </w:rPr>
          </w:pPr>
          <w:r w:rsidRPr="003D116E">
            <w:rPr>
              <w:b/>
              <w:bCs/>
              <w:noProof/>
              <w:sz w:val="26"/>
              <w:szCs w:val="24"/>
            </w:rPr>
            <w:fldChar w:fldCharType="end"/>
          </w:r>
        </w:p>
      </w:sdtContent>
    </w:sdt>
    <w:p w14:paraId="3D44B90D" w14:textId="77777777" w:rsidR="003D116E" w:rsidRDefault="003D116E" w:rsidP="007374FA">
      <w:pPr>
        <w:widowControl/>
        <w:tabs>
          <w:tab w:val="left" w:pos="-720"/>
        </w:tabs>
        <w:suppressAutoHyphens/>
        <w:spacing w:after="120"/>
        <w:rPr>
          <w:b/>
          <w:sz w:val="26"/>
        </w:rPr>
      </w:pPr>
    </w:p>
    <w:p w14:paraId="107BEF05" w14:textId="77777777" w:rsidR="003D116E" w:rsidRDefault="003D116E" w:rsidP="007374FA">
      <w:pPr>
        <w:widowControl/>
        <w:tabs>
          <w:tab w:val="left" w:pos="-720"/>
        </w:tabs>
        <w:suppressAutoHyphens/>
        <w:spacing w:after="120"/>
        <w:rPr>
          <w:b/>
          <w:sz w:val="26"/>
        </w:rPr>
      </w:pPr>
    </w:p>
    <w:p w14:paraId="7D8D52F4" w14:textId="77777777" w:rsidR="00D07944" w:rsidRDefault="00D07944" w:rsidP="007374FA">
      <w:pPr>
        <w:widowControl/>
        <w:tabs>
          <w:tab w:val="left" w:pos="-720"/>
        </w:tabs>
        <w:suppressAutoHyphens/>
        <w:spacing w:after="120"/>
        <w:rPr>
          <w:b/>
          <w:sz w:val="26"/>
        </w:rPr>
      </w:pPr>
    </w:p>
    <w:p w14:paraId="31B44710" w14:textId="77777777" w:rsidR="00D07944" w:rsidRDefault="00D07944" w:rsidP="007374FA">
      <w:pPr>
        <w:widowControl/>
        <w:tabs>
          <w:tab w:val="left" w:pos="-720"/>
        </w:tabs>
        <w:suppressAutoHyphens/>
        <w:spacing w:after="120"/>
        <w:rPr>
          <w:b/>
          <w:sz w:val="26"/>
        </w:rPr>
      </w:pPr>
    </w:p>
    <w:p w14:paraId="6C17045B" w14:textId="77777777" w:rsidR="00D07944" w:rsidRDefault="00D07944" w:rsidP="007374FA">
      <w:pPr>
        <w:widowControl/>
        <w:tabs>
          <w:tab w:val="left" w:pos="-720"/>
        </w:tabs>
        <w:suppressAutoHyphens/>
        <w:spacing w:after="120"/>
        <w:rPr>
          <w:b/>
          <w:sz w:val="26"/>
        </w:rPr>
      </w:pPr>
    </w:p>
    <w:p w14:paraId="4A0F0534" w14:textId="77777777" w:rsidR="00D07944" w:rsidRDefault="00D07944" w:rsidP="007374FA">
      <w:pPr>
        <w:widowControl/>
        <w:tabs>
          <w:tab w:val="left" w:pos="-720"/>
        </w:tabs>
        <w:suppressAutoHyphens/>
        <w:spacing w:after="120"/>
        <w:rPr>
          <w:b/>
          <w:sz w:val="26"/>
        </w:rPr>
      </w:pPr>
    </w:p>
    <w:p w14:paraId="3D477654" w14:textId="77777777" w:rsidR="00D07944" w:rsidRDefault="00D07944" w:rsidP="007374FA">
      <w:pPr>
        <w:widowControl/>
        <w:tabs>
          <w:tab w:val="left" w:pos="-720"/>
        </w:tabs>
        <w:suppressAutoHyphens/>
        <w:spacing w:after="120"/>
        <w:rPr>
          <w:b/>
          <w:sz w:val="26"/>
        </w:rPr>
      </w:pPr>
    </w:p>
    <w:p w14:paraId="79935791" w14:textId="77777777" w:rsidR="00D07944" w:rsidRDefault="00D07944" w:rsidP="007374FA">
      <w:pPr>
        <w:widowControl/>
        <w:tabs>
          <w:tab w:val="left" w:pos="-720"/>
        </w:tabs>
        <w:suppressAutoHyphens/>
        <w:spacing w:after="120"/>
        <w:rPr>
          <w:b/>
          <w:sz w:val="26"/>
        </w:rPr>
      </w:pPr>
    </w:p>
    <w:p w14:paraId="24935AD3" w14:textId="77777777" w:rsidR="00D07944" w:rsidRDefault="00D07944" w:rsidP="007374FA">
      <w:pPr>
        <w:widowControl/>
        <w:tabs>
          <w:tab w:val="left" w:pos="-720"/>
        </w:tabs>
        <w:suppressAutoHyphens/>
        <w:spacing w:after="120"/>
        <w:rPr>
          <w:b/>
          <w:sz w:val="26"/>
        </w:rPr>
      </w:pPr>
    </w:p>
    <w:p w14:paraId="441021F3" w14:textId="77777777" w:rsidR="00D07944" w:rsidRDefault="00D07944" w:rsidP="007374FA">
      <w:pPr>
        <w:widowControl/>
        <w:tabs>
          <w:tab w:val="left" w:pos="-720"/>
        </w:tabs>
        <w:suppressAutoHyphens/>
        <w:spacing w:after="120"/>
        <w:rPr>
          <w:b/>
          <w:sz w:val="26"/>
        </w:rPr>
      </w:pPr>
    </w:p>
    <w:p w14:paraId="39F34430" w14:textId="77777777" w:rsidR="00D07944" w:rsidRDefault="00D07944" w:rsidP="007374FA">
      <w:pPr>
        <w:widowControl/>
        <w:tabs>
          <w:tab w:val="left" w:pos="-720"/>
        </w:tabs>
        <w:suppressAutoHyphens/>
        <w:spacing w:after="120"/>
        <w:rPr>
          <w:b/>
          <w:sz w:val="26"/>
        </w:rPr>
      </w:pPr>
    </w:p>
    <w:p w14:paraId="448BC845" w14:textId="77777777" w:rsidR="00D07944" w:rsidRDefault="00D07944" w:rsidP="007374FA">
      <w:pPr>
        <w:widowControl/>
        <w:tabs>
          <w:tab w:val="left" w:pos="-720"/>
        </w:tabs>
        <w:suppressAutoHyphens/>
        <w:spacing w:after="120"/>
        <w:rPr>
          <w:b/>
          <w:sz w:val="26"/>
        </w:rPr>
      </w:pPr>
    </w:p>
    <w:p w14:paraId="418EC8F2" w14:textId="77777777" w:rsidR="00D07944" w:rsidRDefault="00D07944" w:rsidP="007374FA">
      <w:pPr>
        <w:widowControl/>
        <w:tabs>
          <w:tab w:val="left" w:pos="-720"/>
        </w:tabs>
        <w:suppressAutoHyphens/>
        <w:spacing w:after="120"/>
        <w:rPr>
          <w:b/>
          <w:sz w:val="26"/>
        </w:rPr>
      </w:pPr>
    </w:p>
    <w:p w14:paraId="1DBFC980" w14:textId="77777777" w:rsidR="00D07944" w:rsidRDefault="00D07944" w:rsidP="007374FA">
      <w:pPr>
        <w:widowControl/>
        <w:tabs>
          <w:tab w:val="left" w:pos="-720"/>
        </w:tabs>
        <w:suppressAutoHyphens/>
        <w:spacing w:after="120"/>
        <w:rPr>
          <w:b/>
          <w:sz w:val="26"/>
        </w:rPr>
      </w:pPr>
    </w:p>
    <w:p w14:paraId="61A20851" w14:textId="77777777" w:rsidR="00D07944" w:rsidRDefault="00D07944" w:rsidP="007374FA">
      <w:pPr>
        <w:widowControl/>
        <w:tabs>
          <w:tab w:val="left" w:pos="-720"/>
        </w:tabs>
        <w:suppressAutoHyphens/>
        <w:spacing w:after="120"/>
        <w:rPr>
          <w:b/>
          <w:sz w:val="26"/>
        </w:rPr>
      </w:pPr>
    </w:p>
    <w:p w14:paraId="2025FCF2" w14:textId="77777777" w:rsidR="009056BA" w:rsidRDefault="009056BA" w:rsidP="007374FA">
      <w:pPr>
        <w:widowControl/>
        <w:tabs>
          <w:tab w:val="left" w:pos="-720"/>
        </w:tabs>
        <w:suppressAutoHyphens/>
        <w:spacing w:after="120"/>
        <w:rPr>
          <w:b/>
          <w:sz w:val="26"/>
        </w:rPr>
        <w:sectPr w:rsidR="009056BA" w:rsidSect="002E5F97">
          <w:pgSz w:w="12240" w:h="15840"/>
          <w:pgMar w:top="1440" w:right="1440" w:bottom="1440" w:left="1440" w:header="720" w:footer="720" w:gutter="0"/>
          <w:pgNumType w:fmt="lowerRoman" w:start="1"/>
          <w:cols w:space="720"/>
          <w:titlePg/>
          <w:docGrid w:linePitch="360"/>
        </w:sectPr>
      </w:pPr>
    </w:p>
    <w:p w14:paraId="6C658A81" w14:textId="77777777" w:rsidR="00503B58" w:rsidRDefault="00503B58" w:rsidP="007374FA">
      <w:pPr>
        <w:widowControl/>
        <w:tabs>
          <w:tab w:val="left" w:pos="-720"/>
        </w:tabs>
        <w:suppressAutoHyphens/>
        <w:spacing w:after="120"/>
        <w:rPr>
          <w:sz w:val="26"/>
        </w:rPr>
      </w:pPr>
      <w:r>
        <w:rPr>
          <w:b/>
          <w:sz w:val="26"/>
        </w:rPr>
        <w:lastRenderedPageBreak/>
        <w:t>BY THE COMMISSION:</w:t>
      </w:r>
    </w:p>
    <w:p w14:paraId="0E7F78B8" w14:textId="77777777" w:rsidR="009324E2" w:rsidRDefault="009324E2" w:rsidP="007374FA">
      <w:pPr>
        <w:widowControl/>
        <w:tabs>
          <w:tab w:val="left" w:pos="-720"/>
        </w:tabs>
        <w:suppressAutoHyphens/>
        <w:spacing w:line="360" w:lineRule="auto"/>
        <w:rPr>
          <w:sz w:val="26"/>
        </w:rPr>
      </w:pPr>
    </w:p>
    <w:p w14:paraId="59882548" w14:textId="50869F33" w:rsidR="002C666D" w:rsidRPr="00C63CF7" w:rsidRDefault="009324E2" w:rsidP="007374FA">
      <w:pPr>
        <w:widowControl/>
        <w:tabs>
          <w:tab w:val="left" w:pos="-720"/>
        </w:tabs>
        <w:suppressAutoHyphens/>
        <w:spacing w:line="360" w:lineRule="auto"/>
        <w:ind w:firstLine="1440"/>
        <w:rPr>
          <w:sz w:val="26"/>
        </w:rPr>
      </w:pPr>
      <w:r>
        <w:rPr>
          <w:sz w:val="26"/>
        </w:rPr>
        <w:t xml:space="preserve">Before the Pennsylvania Public Utility Commission (Commission) for consideration and disposition </w:t>
      </w:r>
      <w:r w:rsidR="00D06F3B">
        <w:rPr>
          <w:sz w:val="26"/>
        </w:rPr>
        <w:t>is the Joint Petition for Partial Settlement (Joint Petition or Partial Settlement) filed on June 22, 2018, by the Commission</w:t>
      </w:r>
      <w:r w:rsidR="00734951">
        <w:rPr>
          <w:sz w:val="26"/>
        </w:rPr>
        <w:t>’</w:t>
      </w:r>
      <w:r w:rsidR="00D06F3B">
        <w:rPr>
          <w:sz w:val="26"/>
        </w:rPr>
        <w:t>s Bureau of Investigation and Enforcement (I&amp;E)</w:t>
      </w:r>
      <w:r w:rsidR="00F1313D">
        <w:rPr>
          <w:sz w:val="26"/>
        </w:rPr>
        <w:t xml:space="preserve">, </w:t>
      </w:r>
      <w:r w:rsidR="00D06F3B">
        <w:rPr>
          <w:sz w:val="26"/>
        </w:rPr>
        <w:t>the Office of Consumer Advocate (OCA)</w:t>
      </w:r>
      <w:r w:rsidR="008A2507">
        <w:rPr>
          <w:sz w:val="26"/>
        </w:rPr>
        <w:t xml:space="preserve">, </w:t>
      </w:r>
      <w:r w:rsidR="00D06F3B">
        <w:rPr>
          <w:sz w:val="26"/>
        </w:rPr>
        <w:t>the Office of Small Business Advocate (OSBA)</w:t>
      </w:r>
      <w:r w:rsidR="008A2507">
        <w:rPr>
          <w:sz w:val="26"/>
        </w:rPr>
        <w:t>,</w:t>
      </w:r>
      <w:r w:rsidR="00D06F3B">
        <w:rPr>
          <w:sz w:val="26"/>
        </w:rPr>
        <w:t xml:space="preserve"> and Peoples </w:t>
      </w:r>
      <w:r w:rsidR="008A2507">
        <w:rPr>
          <w:sz w:val="26"/>
        </w:rPr>
        <w:t xml:space="preserve">Natural </w:t>
      </w:r>
      <w:r w:rsidR="00D06F3B">
        <w:rPr>
          <w:sz w:val="26"/>
        </w:rPr>
        <w:t>Gas Company LLC (</w:t>
      </w:r>
      <w:r w:rsidR="008A2507">
        <w:rPr>
          <w:sz w:val="26"/>
        </w:rPr>
        <w:t xml:space="preserve">Peoples, </w:t>
      </w:r>
      <w:r w:rsidR="00D06F3B">
        <w:rPr>
          <w:sz w:val="26"/>
        </w:rPr>
        <w:t>P</w:t>
      </w:r>
      <w:r w:rsidR="008A2507">
        <w:rPr>
          <w:sz w:val="26"/>
        </w:rPr>
        <w:t>NG</w:t>
      </w:r>
      <w:r w:rsidR="00D06F3B">
        <w:rPr>
          <w:sz w:val="26"/>
        </w:rPr>
        <w:t xml:space="preserve"> or the Company)</w:t>
      </w:r>
      <w:r w:rsidR="008A2507">
        <w:rPr>
          <w:sz w:val="26"/>
        </w:rPr>
        <w:t xml:space="preserve"> acting on behalf of its Peoples Division (Peoples Division) and its Equitable Division (Equitable)</w:t>
      </w:r>
      <w:r w:rsidR="005321A3">
        <w:rPr>
          <w:rStyle w:val="FootnoteReference"/>
          <w:sz w:val="26"/>
          <w:szCs w:val="26"/>
        </w:rPr>
        <w:footnoteReference w:id="1"/>
      </w:r>
      <w:r w:rsidR="008A2507">
        <w:rPr>
          <w:sz w:val="26"/>
        </w:rPr>
        <w:t xml:space="preserve"> </w:t>
      </w:r>
      <w:r w:rsidR="00E3573A">
        <w:rPr>
          <w:sz w:val="26"/>
        </w:rPr>
        <w:t xml:space="preserve">(collectively, the Joint Petitioners) </w:t>
      </w:r>
      <w:r w:rsidR="00C63CF7">
        <w:rPr>
          <w:sz w:val="26"/>
        </w:rPr>
        <w:t>with regard to the Company</w:t>
      </w:r>
      <w:r w:rsidR="00734951">
        <w:rPr>
          <w:sz w:val="26"/>
        </w:rPr>
        <w:t>’</w:t>
      </w:r>
      <w:r w:rsidR="00C63CF7">
        <w:rPr>
          <w:sz w:val="26"/>
        </w:rPr>
        <w:t>s annual adjustment and reconciliation of its natural gas cost recovery rates that was filed pursuant to Section 1307(f) of the Public Utility Code (Code), 66 Pa. C.S. §</w:t>
      </w:r>
      <w:r w:rsidR="008E3879">
        <w:rPr>
          <w:sz w:val="26"/>
        </w:rPr>
        <w:t> </w:t>
      </w:r>
      <w:r w:rsidR="00C63CF7">
        <w:rPr>
          <w:sz w:val="26"/>
        </w:rPr>
        <w:t>1307, to become effective October 1, 2018.</w:t>
      </w:r>
      <w:r w:rsidR="00C63CF7">
        <w:rPr>
          <w:rStyle w:val="FootnoteReference"/>
          <w:sz w:val="26"/>
        </w:rPr>
        <w:footnoteReference w:id="2"/>
      </w:r>
      <w:r w:rsidR="00C63CF7">
        <w:rPr>
          <w:sz w:val="26"/>
        </w:rPr>
        <w:t xml:space="preserve">  </w:t>
      </w:r>
      <w:r w:rsidR="003A60F2">
        <w:rPr>
          <w:sz w:val="26"/>
        </w:rPr>
        <w:t>Also</w:t>
      </w:r>
      <w:r w:rsidR="00AC223D">
        <w:rPr>
          <w:sz w:val="26"/>
        </w:rPr>
        <w:t>,</w:t>
      </w:r>
      <w:r w:rsidR="003A60F2">
        <w:rPr>
          <w:sz w:val="26"/>
        </w:rPr>
        <w:t xml:space="preserve"> before the Commission for consideration and disposition are the Exceptions of </w:t>
      </w:r>
      <w:r w:rsidR="00C63CF7">
        <w:rPr>
          <w:sz w:val="26"/>
        </w:rPr>
        <w:t xml:space="preserve"> the Pennsylvania Independent Oil &amp; Gas Association (</w:t>
      </w:r>
      <w:r w:rsidR="003A60F2">
        <w:rPr>
          <w:sz w:val="26"/>
        </w:rPr>
        <w:t>PIOGA</w:t>
      </w:r>
      <w:r w:rsidR="00C63CF7">
        <w:rPr>
          <w:sz w:val="26"/>
        </w:rPr>
        <w:t>)</w:t>
      </w:r>
      <w:r w:rsidR="003A60F2">
        <w:rPr>
          <w:sz w:val="26"/>
        </w:rPr>
        <w:t xml:space="preserve"> filed on </w:t>
      </w:r>
      <w:r w:rsidR="002A61E2">
        <w:rPr>
          <w:sz w:val="26"/>
        </w:rPr>
        <w:t xml:space="preserve">August </w:t>
      </w:r>
      <w:r w:rsidR="0040170F">
        <w:rPr>
          <w:sz w:val="26"/>
        </w:rPr>
        <w:t>2</w:t>
      </w:r>
      <w:r w:rsidR="002A61E2">
        <w:rPr>
          <w:sz w:val="26"/>
        </w:rPr>
        <w:t>, 2018</w:t>
      </w:r>
      <w:r w:rsidR="0037606A">
        <w:rPr>
          <w:sz w:val="26"/>
        </w:rPr>
        <w:t>,</w:t>
      </w:r>
      <w:r w:rsidR="002A61E2">
        <w:rPr>
          <w:rStyle w:val="FootnoteReference"/>
          <w:sz w:val="26"/>
        </w:rPr>
        <w:footnoteReference w:id="3"/>
      </w:r>
      <w:r w:rsidR="002A61E2">
        <w:rPr>
          <w:sz w:val="26"/>
        </w:rPr>
        <w:t xml:space="preserve"> to the Recommended Decision (R.D.) of Administrative Law Judge (ALJ) Jeffrey A. Watson, which was issued on July</w:t>
      </w:r>
      <w:r w:rsidR="008E3879">
        <w:rPr>
          <w:sz w:val="26"/>
        </w:rPr>
        <w:t> </w:t>
      </w:r>
      <w:r w:rsidR="002A61E2">
        <w:rPr>
          <w:sz w:val="26"/>
        </w:rPr>
        <w:t xml:space="preserve">25, 2018, in the above-captioned proceeding.  Replies to Exceptions were filed by </w:t>
      </w:r>
      <w:r w:rsidR="00D924FB">
        <w:rPr>
          <w:sz w:val="26"/>
        </w:rPr>
        <w:t>the OCA, the OSBA and</w:t>
      </w:r>
      <w:r w:rsidR="0086592C">
        <w:rPr>
          <w:sz w:val="26"/>
        </w:rPr>
        <w:t xml:space="preserve"> the Company</w:t>
      </w:r>
      <w:r w:rsidR="00D924FB">
        <w:rPr>
          <w:sz w:val="26"/>
        </w:rPr>
        <w:t xml:space="preserve"> on August 8, 2018.  </w:t>
      </w:r>
      <w:r w:rsidR="00B97F8A">
        <w:rPr>
          <w:sz w:val="26"/>
        </w:rPr>
        <w:t xml:space="preserve">In addition, on August </w:t>
      </w:r>
      <w:r w:rsidR="00F16E23">
        <w:rPr>
          <w:sz w:val="26"/>
        </w:rPr>
        <w:t xml:space="preserve">17, 2018, PIOGA filed a Motion to Strike certain statements </w:t>
      </w:r>
      <w:r w:rsidR="004C328B">
        <w:rPr>
          <w:sz w:val="26"/>
        </w:rPr>
        <w:t xml:space="preserve">of fact </w:t>
      </w:r>
      <w:r w:rsidR="00F16E23">
        <w:rPr>
          <w:sz w:val="26"/>
        </w:rPr>
        <w:t xml:space="preserve">it alleges Peoples made for the first time in these proceedings in its Replies to Exceptions (Motion to Strike).  On </w:t>
      </w:r>
      <w:r w:rsidR="00F16E23">
        <w:rPr>
          <w:sz w:val="26"/>
        </w:rPr>
        <w:lastRenderedPageBreak/>
        <w:t>August</w:t>
      </w:r>
      <w:r w:rsidR="009468B5">
        <w:rPr>
          <w:sz w:val="26"/>
        </w:rPr>
        <w:t> </w:t>
      </w:r>
      <w:r w:rsidR="00F16E23">
        <w:rPr>
          <w:sz w:val="26"/>
        </w:rPr>
        <w:t>27, 2018, Peoples filed an Answer to t</w:t>
      </w:r>
      <w:r w:rsidR="00F16E23" w:rsidRPr="006700FB">
        <w:rPr>
          <w:sz w:val="26"/>
        </w:rPr>
        <w:t>he Motion to Strike</w:t>
      </w:r>
      <w:r w:rsidR="00D62365" w:rsidRPr="006700FB">
        <w:rPr>
          <w:sz w:val="26"/>
        </w:rPr>
        <w:t xml:space="preserve"> (Answer)</w:t>
      </w:r>
      <w:r w:rsidR="00F16E23" w:rsidRPr="006700FB">
        <w:rPr>
          <w:sz w:val="26"/>
        </w:rPr>
        <w:t xml:space="preserve">.  </w:t>
      </w:r>
      <w:r w:rsidR="006B0F4D" w:rsidRPr="006700FB">
        <w:rPr>
          <w:sz w:val="26"/>
        </w:rPr>
        <w:t xml:space="preserve">For the reasons stated, </w:t>
      </w:r>
      <w:r w:rsidR="006B0F4D" w:rsidRPr="006700FB">
        <w:rPr>
          <w:i/>
          <w:sz w:val="26"/>
        </w:rPr>
        <w:t>infra</w:t>
      </w:r>
      <w:r w:rsidR="006B0F4D" w:rsidRPr="006700FB">
        <w:rPr>
          <w:sz w:val="26"/>
        </w:rPr>
        <w:t xml:space="preserve">, we </w:t>
      </w:r>
      <w:r w:rsidR="003D77FE" w:rsidRPr="006700FB">
        <w:rPr>
          <w:sz w:val="26"/>
          <w:szCs w:val="26"/>
        </w:rPr>
        <w:t xml:space="preserve">shall deny the </w:t>
      </w:r>
      <w:r w:rsidR="00670EE0" w:rsidRPr="006700FB">
        <w:rPr>
          <w:sz w:val="26"/>
          <w:szCs w:val="26"/>
        </w:rPr>
        <w:t xml:space="preserve">Motion to Strike and </w:t>
      </w:r>
      <w:r w:rsidR="003C168A">
        <w:rPr>
          <w:sz w:val="26"/>
          <w:szCs w:val="26"/>
        </w:rPr>
        <w:t xml:space="preserve">deny </w:t>
      </w:r>
      <w:r w:rsidR="00670EE0" w:rsidRPr="006700FB">
        <w:rPr>
          <w:sz w:val="26"/>
          <w:szCs w:val="26"/>
        </w:rPr>
        <w:t xml:space="preserve">the </w:t>
      </w:r>
      <w:r w:rsidR="003D77FE" w:rsidRPr="006700FB">
        <w:rPr>
          <w:sz w:val="26"/>
          <w:szCs w:val="26"/>
        </w:rPr>
        <w:t>Exceptions</w:t>
      </w:r>
      <w:r w:rsidR="003C168A">
        <w:rPr>
          <w:sz w:val="26"/>
          <w:szCs w:val="26"/>
        </w:rPr>
        <w:t>, in part, and grant them, in part</w:t>
      </w:r>
      <w:r w:rsidR="003D77FE" w:rsidRPr="006700FB">
        <w:rPr>
          <w:sz w:val="26"/>
          <w:szCs w:val="26"/>
        </w:rPr>
        <w:t xml:space="preserve">, consistent with the discussion contained in the body of this Opinion and Order.  </w:t>
      </w:r>
      <w:r w:rsidR="003C168A">
        <w:rPr>
          <w:sz w:val="26"/>
          <w:szCs w:val="26"/>
        </w:rPr>
        <w:t>Specifically</w:t>
      </w:r>
      <w:r w:rsidR="003D77FE" w:rsidRPr="006700FB">
        <w:rPr>
          <w:sz w:val="26"/>
          <w:szCs w:val="26"/>
        </w:rPr>
        <w:t>, to the extent that PIOGA is requesting that Peoples file a tariff supplement for its Equitable Division reflecting the 2.0% minimum retainage charge for gas delivered into Peoples</w:t>
      </w:r>
      <w:r w:rsidR="00734951">
        <w:rPr>
          <w:sz w:val="26"/>
          <w:szCs w:val="26"/>
        </w:rPr>
        <w:t>’</w:t>
      </w:r>
      <w:r w:rsidR="003D77FE" w:rsidRPr="006700FB">
        <w:rPr>
          <w:sz w:val="26"/>
          <w:szCs w:val="26"/>
        </w:rPr>
        <w:t xml:space="preserve"> system, we shall grant PIOGA</w:t>
      </w:r>
      <w:r w:rsidR="00734951">
        <w:rPr>
          <w:sz w:val="26"/>
          <w:szCs w:val="26"/>
        </w:rPr>
        <w:t>’</w:t>
      </w:r>
      <w:r w:rsidR="003D77FE" w:rsidRPr="006700FB">
        <w:rPr>
          <w:sz w:val="26"/>
          <w:szCs w:val="26"/>
        </w:rPr>
        <w:t>s Exception No. 7.  Further, we shall adopt the ALJs</w:t>
      </w:r>
      <w:r w:rsidR="00734951">
        <w:rPr>
          <w:sz w:val="26"/>
          <w:szCs w:val="26"/>
        </w:rPr>
        <w:t>’</w:t>
      </w:r>
      <w:r w:rsidR="003D77FE" w:rsidRPr="006700FB">
        <w:rPr>
          <w:sz w:val="26"/>
          <w:szCs w:val="26"/>
        </w:rPr>
        <w:t xml:space="preserve"> Recommended Decision </w:t>
      </w:r>
      <w:r w:rsidR="004A7C15">
        <w:rPr>
          <w:sz w:val="26"/>
          <w:szCs w:val="26"/>
        </w:rPr>
        <w:t xml:space="preserve">that grants the Joint Petition </w:t>
      </w:r>
      <w:r w:rsidR="003D77FE" w:rsidRPr="006700FB">
        <w:rPr>
          <w:sz w:val="26"/>
          <w:szCs w:val="26"/>
        </w:rPr>
        <w:t xml:space="preserve">to approve the Partial Settlement without modification and </w:t>
      </w:r>
      <w:r w:rsidR="004A7C15">
        <w:rPr>
          <w:sz w:val="26"/>
          <w:szCs w:val="26"/>
        </w:rPr>
        <w:t>m</w:t>
      </w:r>
      <w:r w:rsidR="003D77FE" w:rsidRPr="006700FB">
        <w:rPr>
          <w:sz w:val="26"/>
          <w:szCs w:val="26"/>
        </w:rPr>
        <w:t>odify the ALJ</w:t>
      </w:r>
      <w:r w:rsidR="00734951">
        <w:rPr>
          <w:sz w:val="26"/>
          <w:szCs w:val="26"/>
        </w:rPr>
        <w:t>’</w:t>
      </w:r>
      <w:r w:rsidR="003D77FE" w:rsidRPr="006700FB">
        <w:rPr>
          <w:sz w:val="26"/>
          <w:szCs w:val="26"/>
        </w:rPr>
        <w:t xml:space="preserve">s Recommended Decision </w:t>
      </w:r>
      <w:r w:rsidR="0069536E">
        <w:rPr>
          <w:sz w:val="26"/>
          <w:szCs w:val="26"/>
        </w:rPr>
        <w:t xml:space="preserve">in accordance with </w:t>
      </w:r>
      <w:r w:rsidR="003D77FE" w:rsidRPr="006700FB">
        <w:rPr>
          <w:sz w:val="26"/>
          <w:szCs w:val="26"/>
        </w:rPr>
        <w:t xml:space="preserve">our </w:t>
      </w:r>
      <w:r w:rsidR="003C168A">
        <w:rPr>
          <w:sz w:val="26"/>
          <w:szCs w:val="26"/>
        </w:rPr>
        <w:t>disposition</w:t>
      </w:r>
      <w:r w:rsidR="003C168A" w:rsidRPr="006700FB">
        <w:rPr>
          <w:sz w:val="26"/>
          <w:szCs w:val="26"/>
        </w:rPr>
        <w:t xml:space="preserve"> </w:t>
      </w:r>
      <w:r w:rsidR="003D77FE" w:rsidRPr="006700FB">
        <w:rPr>
          <w:sz w:val="26"/>
          <w:szCs w:val="26"/>
        </w:rPr>
        <w:t>of PIOGA</w:t>
      </w:r>
      <w:r w:rsidR="00734951">
        <w:rPr>
          <w:sz w:val="26"/>
          <w:szCs w:val="26"/>
        </w:rPr>
        <w:t>’</w:t>
      </w:r>
      <w:r w:rsidR="003D77FE" w:rsidRPr="006700FB">
        <w:rPr>
          <w:sz w:val="26"/>
          <w:szCs w:val="26"/>
        </w:rPr>
        <w:t>s Exception No. 7</w:t>
      </w:r>
      <w:r w:rsidR="0069536E">
        <w:rPr>
          <w:sz w:val="26"/>
          <w:szCs w:val="26"/>
        </w:rPr>
        <w:t xml:space="preserve">, </w:t>
      </w:r>
      <w:r w:rsidR="0069536E">
        <w:rPr>
          <w:i/>
          <w:sz w:val="26"/>
          <w:szCs w:val="26"/>
        </w:rPr>
        <w:t>infra</w:t>
      </w:r>
      <w:r w:rsidR="003D77FE" w:rsidRPr="006700FB">
        <w:rPr>
          <w:sz w:val="26"/>
          <w:szCs w:val="26"/>
        </w:rPr>
        <w:t>.</w:t>
      </w:r>
    </w:p>
    <w:p w14:paraId="570B2CF9" w14:textId="77777777" w:rsidR="008C01CF" w:rsidRPr="003D116E" w:rsidRDefault="008C01CF" w:rsidP="007374FA">
      <w:pPr>
        <w:widowControl/>
        <w:tabs>
          <w:tab w:val="left" w:pos="-720"/>
        </w:tabs>
        <w:suppressAutoHyphens/>
        <w:spacing w:line="360" w:lineRule="auto"/>
        <w:ind w:firstLine="1440"/>
        <w:rPr>
          <w:sz w:val="26"/>
          <w:szCs w:val="26"/>
        </w:rPr>
      </w:pPr>
    </w:p>
    <w:p w14:paraId="62C922EC" w14:textId="77777777" w:rsidR="00CD521D" w:rsidRPr="00A03ABC" w:rsidRDefault="00CD521D" w:rsidP="007374FA">
      <w:pPr>
        <w:pStyle w:val="Heading1"/>
      </w:pPr>
      <w:bookmarkStart w:id="2" w:name="_Toc523916364"/>
      <w:bookmarkStart w:id="3" w:name="_Toc523916401"/>
      <w:bookmarkStart w:id="4" w:name="_Toc523916564"/>
      <w:bookmarkStart w:id="5" w:name="_Toc523916601"/>
      <w:bookmarkStart w:id="6" w:name="_Toc523916712"/>
      <w:bookmarkStart w:id="7" w:name="_Toc397591036"/>
      <w:bookmarkStart w:id="8" w:name="_Toc524442339"/>
      <w:bookmarkEnd w:id="2"/>
      <w:bookmarkEnd w:id="3"/>
      <w:bookmarkEnd w:id="4"/>
      <w:bookmarkEnd w:id="5"/>
      <w:bookmarkEnd w:id="6"/>
      <w:r w:rsidRPr="003D116E">
        <w:t>Background</w:t>
      </w:r>
      <w:bookmarkEnd w:id="7"/>
      <w:bookmarkEnd w:id="8"/>
    </w:p>
    <w:p w14:paraId="594DA91A" w14:textId="77777777" w:rsidR="00CD521D" w:rsidRPr="000E4A44" w:rsidRDefault="00CD521D" w:rsidP="007374FA">
      <w:pPr>
        <w:keepNext/>
        <w:widowControl/>
        <w:spacing w:line="360" w:lineRule="auto"/>
        <w:ind w:firstLine="1440"/>
        <w:rPr>
          <w:sz w:val="26"/>
          <w:szCs w:val="26"/>
        </w:rPr>
      </w:pPr>
    </w:p>
    <w:p w14:paraId="698F79EC" w14:textId="74E63DCE" w:rsidR="00C63CF7" w:rsidRDefault="008714CE" w:rsidP="007374FA">
      <w:pPr>
        <w:widowControl/>
        <w:spacing w:line="360" w:lineRule="auto"/>
        <w:ind w:firstLine="1440"/>
        <w:rPr>
          <w:sz w:val="26"/>
          <w:szCs w:val="24"/>
        </w:rPr>
      </w:pPr>
      <w:r w:rsidRPr="009056BA">
        <w:rPr>
          <w:sz w:val="26"/>
          <w:szCs w:val="26"/>
        </w:rPr>
        <w:t>Peoples</w:t>
      </w:r>
      <w:r w:rsidR="00734951">
        <w:rPr>
          <w:sz w:val="26"/>
          <w:szCs w:val="26"/>
        </w:rPr>
        <w:t>’</w:t>
      </w:r>
      <w:r w:rsidR="00CD521D" w:rsidRPr="009056BA">
        <w:rPr>
          <w:sz w:val="26"/>
          <w:szCs w:val="26"/>
        </w:rPr>
        <w:t xml:space="preserve"> filing in this case was made pursuant to Section 1307 of the Public Utility Code (Code), 66 Pa. C.S. § 1307</w:t>
      </w:r>
      <w:r w:rsidR="00CD521D" w:rsidRPr="00CD521D">
        <w:rPr>
          <w:sz w:val="26"/>
          <w:szCs w:val="24"/>
        </w:rPr>
        <w:t>.  Th</w:t>
      </w:r>
      <w:r w:rsidR="00BF38C7">
        <w:rPr>
          <w:sz w:val="26"/>
          <w:szCs w:val="24"/>
        </w:rPr>
        <w:t>is is an</w:t>
      </w:r>
      <w:r w:rsidR="0069536E">
        <w:rPr>
          <w:sz w:val="26"/>
          <w:szCs w:val="24"/>
        </w:rPr>
        <w:t xml:space="preserve"> annual filing made by </w:t>
      </w:r>
      <w:r w:rsidR="00CD521D" w:rsidRPr="00CD521D">
        <w:rPr>
          <w:sz w:val="26"/>
          <w:szCs w:val="24"/>
        </w:rPr>
        <w:t>all large natural gas distribution companies (NGDCs)</w:t>
      </w:r>
      <w:r w:rsidR="0069536E">
        <w:rPr>
          <w:sz w:val="26"/>
          <w:szCs w:val="24"/>
        </w:rPr>
        <w:t xml:space="preserve"> that </w:t>
      </w:r>
      <w:r w:rsidR="00CD521D" w:rsidRPr="00CD521D">
        <w:rPr>
          <w:sz w:val="26"/>
          <w:szCs w:val="24"/>
        </w:rPr>
        <w:t>provide</w:t>
      </w:r>
      <w:r w:rsidR="006E10DB">
        <w:rPr>
          <w:sz w:val="26"/>
          <w:szCs w:val="24"/>
        </w:rPr>
        <w:t>s</w:t>
      </w:r>
      <w:r w:rsidR="00CD521D" w:rsidRPr="00CD521D">
        <w:rPr>
          <w:sz w:val="26"/>
          <w:szCs w:val="24"/>
        </w:rPr>
        <w:t xml:space="preserve"> for the Company</w:t>
      </w:r>
      <w:r w:rsidR="00734951">
        <w:rPr>
          <w:sz w:val="26"/>
          <w:szCs w:val="24"/>
        </w:rPr>
        <w:t>’</w:t>
      </w:r>
      <w:r w:rsidR="00CD521D" w:rsidRPr="00CD521D">
        <w:rPr>
          <w:sz w:val="26"/>
          <w:szCs w:val="24"/>
        </w:rPr>
        <w:t xml:space="preserve">s annual adjustment and reconciliation of its natural gas cost recovery rates.  More specifically, Section 1307(f) governs </w:t>
      </w:r>
      <w:r w:rsidR="00EB52F5">
        <w:rPr>
          <w:sz w:val="26"/>
          <w:szCs w:val="24"/>
        </w:rPr>
        <w:t xml:space="preserve">the </w:t>
      </w:r>
      <w:r w:rsidR="00CD521D" w:rsidRPr="00CD521D">
        <w:rPr>
          <w:sz w:val="26"/>
          <w:szCs w:val="24"/>
        </w:rPr>
        <w:t xml:space="preserve">recovery of natural gas costs and </w:t>
      </w:r>
      <w:r w:rsidR="00811FA1">
        <w:rPr>
          <w:sz w:val="26"/>
          <w:szCs w:val="24"/>
        </w:rPr>
        <w:t>permits</w:t>
      </w:r>
      <w:r w:rsidR="00CD521D" w:rsidRPr="00CD521D">
        <w:rPr>
          <w:sz w:val="26"/>
          <w:szCs w:val="24"/>
        </w:rPr>
        <w:t xml:space="preserve"> NGDCs with gross intrastate annual operating revenues </w:t>
      </w:r>
      <w:proofErr w:type="gramStart"/>
      <w:r w:rsidR="00CD521D" w:rsidRPr="00CD521D">
        <w:rPr>
          <w:sz w:val="26"/>
          <w:szCs w:val="24"/>
        </w:rPr>
        <w:t>in excess of</w:t>
      </w:r>
      <w:proofErr w:type="gramEnd"/>
      <w:r w:rsidR="00CD521D" w:rsidRPr="00CD521D">
        <w:rPr>
          <w:sz w:val="26"/>
          <w:szCs w:val="24"/>
        </w:rPr>
        <w:t xml:space="preserve"> $40,000,000 to file tariffs reflecting actual and projected increases or decreases in their natural gas costs, </w:t>
      </w:r>
      <w:r w:rsidR="00C0578D">
        <w:rPr>
          <w:sz w:val="26"/>
          <w:szCs w:val="24"/>
        </w:rPr>
        <w:t xml:space="preserve">to become </w:t>
      </w:r>
      <w:r w:rsidR="00CD521D" w:rsidRPr="00CD521D">
        <w:rPr>
          <w:sz w:val="26"/>
          <w:szCs w:val="24"/>
        </w:rPr>
        <w:t xml:space="preserve">effective six months from the date of filing.  66 Pa. C.S. § 1307(f)(1).  </w:t>
      </w:r>
      <w:r w:rsidR="00597D58">
        <w:rPr>
          <w:sz w:val="26"/>
          <w:szCs w:val="24"/>
        </w:rPr>
        <w:t>In th</w:t>
      </w:r>
      <w:r w:rsidR="00C0578D">
        <w:rPr>
          <w:sz w:val="26"/>
          <w:szCs w:val="24"/>
        </w:rPr>
        <w:t xml:space="preserve">is case, </w:t>
      </w:r>
      <w:r w:rsidR="00597D58">
        <w:rPr>
          <w:sz w:val="26"/>
          <w:szCs w:val="24"/>
        </w:rPr>
        <w:t xml:space="preserve">Peoples </w:t>
      </w:r>
      <w:r w:rsidR="00C0578D">
        <w:rPr>
          <w:sz w:val="26"/>
          <w:szCs w:val="24"/>
        </w:rPr>
        <w:t xml:space="preserve">filed a tariff supplement in which it </w:t>
      </w:r>
      <w:r w:rsidR="00597D58">
        <w:rPr>
          <w:sz w:val="26"/>
          <w:szCs w:val="24"/>
        </w:rPr>
        <w:t xml:space="preserve">proposed, </w:t>
      </w:r>
      <w:r w:rsidR="00597D58" w:rsidRPr="00597D58">
        <w:rPr>
          <w:i/>
          <w:sz w:val="26"/>
          <w:szCs w:val="24"/>
        </w:rPr>
        <w:t>inter alia</w:t>
      </w:r>
      <w:r w:rsidR="00597D58">
        <w:rPr>
          <w:sz w:val="26"/>
          <w:szCs w:val="24"/>
        </w:rPr>
        <w:t>, a decrease of $0.</w:t>
      </w:r>
      <w:r w:rsidR="00740B6A">
        <w:rPr>
          <w:sz w:val="26"/>
          <w:szCs w:val="24"/>
        </w:rPr>
        <w:t>16</w:t>
      </w:r>
      <w:r w:rsidR="00597D58">
        <w:rPr>
          <w:sz w:val="26"/>
          <w:szCs w:val="24"/>
        </w:rPr>
        <w:t>/Mcf in its rates for recovery of purchased gas costs</w:t>
      </w:r>
      <w:r w:rsidR="00D4596B">
        <w:rPr>
          <w:sz w:val="26"/>
          <w:szCs w:val="24"/>
        </w:rPr>
        <w:t xml:space="preserve"> (PGC)</w:t>
      </w:r>
      <w:r w:rsidR="00597D58">
        <w:rPr>
          <w:sz w:val="26"/>
          <w:szCs w:val="24"/>
        </w:rPr>
        <w:t xml:space="preserve"> applicable to residential sales service</w:t>
      </w:r>
      <w:r w:rsidR="00740B6A">
        <w:rPr>
          <w:sz w:val="26"/>
          <w:szCs w:val="24"/>
        </w:rPr>
        <w:t xml:space="preserve"> </w:t>
      </w:r>
      <w:r w:rsidR="00597D58">
        <w:rPr>
          <w:sz w:val="26"/>
          <w:szCs w:val="24"/>
        </w:rPr>
        <w:t xml:space="preserve">customers </w:t>
      </w:r>
      <w:r w:rsidR="00740B6A">
        <w:rPr>
          <w:sz w:val="26"/>
          <w:szCs w:val="24"/>
        </w:rPr>
        <w:t xml:space="preserve">for both </w:t>
      </w:r>
      <w:r w:rsidR="003F27F5">
        <w:rPr>
          <w:sz w:val="26"/>
          <w:szCs w:val="24"/>
        </w:rPr>
        <w:t xml:space="preserve">the </w:t>
      </w:r>
      <w:r w:rsidR="00740B6A">
        <w:rPr>
          <w:sz w:val="26"/>
          <w:szCs w:val="24"/>
        </w:rPr>
        <w:t>Peoples and Equitable Divisions for</w:t>
      </w:r>
      <w:r w:rsidR="00597D58">
        <w:rPr>
          <w:sz w:val="26"/>
          <w:szCs w:val="24"/>
        </w:rPr>
        <w:t xml:space="preserve"> service</w:t>
      </w:r>
      <w:r w:rsidR="00D4596B">
        <w:rPr>
          <w:sz w:val="26"/>
          <w:szCs w:val="24"/>
        </w:rPr>
        <w:t xml:space="preserve"> rendered on and after October 1, 2018.  In addition, </w:t>
      </w:r>
      <w:r w:rsidR="00C0578D">
        <w:rPr>
          <w:sz w:val="26"/>
          <w:szCs w:val="24"/>
        </w:rPr>
        <w:t xml:space="preserve">the Company proposed </w:t>
      </w:r>
      <w:r w:rsidR="00D4596B">
        <w:rPr>
          <w:sz w:val="26"/>
          <w:szCs w:val="24"/>
        </w:rPr>
        <w:t>PGC rate changes for other customer classes as follows:</w:t>
      </w:r>
    </w:p>
    <w:p w14:paraId="3EB3D10D" w14:textId="77777777" w:rsidR="00C63CF7" w:rsidRDefault="00C63CF7" w:rsidP="007374FA">
      <w:pPr>
        <w:widowControl/>
        <w:spacing w:line="360" w:lineRule="auto"/>
        <w:rPr>
          <w:sz w:val="26"/>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85"/>
        <w:gridCol w:w="1889"/>
        <w:gridCol w:w="2338"/>
        <w:gridCol w:w="1803"/>
      </w:tblGrid>
      <w:tr w:rsidR="00D4596B" w14:paraId="187F2E11" w14:textId="77777777" w:rsidTr="00587D64">
        <w:tc>
          <w:tcPr>
            <w:tcW w:w="2785" w:type="dxa"/>
            <w:vAlign w:val="bottom"/>
          </w:tcPr>
          <w:p w14:paraId="1A2F4B24" w14:textId="77777777" w:rsidR="00856F66" w:rsidRDefault="00856F66" w:rsidP="007374FA">
            <w:pPr>
              <w:keepNext/>
              <w:keepLines/>
              <w:widowControl/>
              <w:jc w:val="center"/>
              <w:rPr>
                <w:b/>
                <w:sz w:val="26"/>
                <w:szCs w:val="24"/>
                <w:u w:val="single"/>
              </w:rPr>
            </w:pPr>
            <w:r>
              <w:rPr>
                <w:b/>
                <w:sz w:val="26"/>
                <w:szCs w:val="24"/>
                <w:u w:val="single"/>
              </w:rPr>
              <w:lastRenderedPageBreak/>
              <w:t>Peoples Division</w:t>
            </w:r>
          </w:p>
          <w:p w14:paraId="236276BA" w14:textId="77777777" w:rsidR="00D4596B" w:rsidRPr="00587D64" w:rsidRDefault="00D4596B" w:rsidP="007374FA">
            <w:pPr>
              <w:keepNext/>
              <w:keepLines/>
              <w:widowControl/>
              <w:jc w:val="center"/>
              <w:rPr>
                <w:b/>
                <w:sz w:val="26"/>
                <w:szCs w:val="24"/>
                <w:u w:val="single"/>
              </w:rPr>
            </w:pPr>
            <w:r w:rsidRPr="00587D64">
              <w:rPr>
                <w:b/>
                <w:sz w:val="26"/>
                <w:szCs w:val="24"/>
                <w:u w:val="single"/>
              </w:rPr>
              <w:t>Rate Schedule</w:t>
            </w:r>
          </w:p>
        </w:tc>
        <w:tc>
          <w:tcPr>
            <w:tcW w:w="1889" w:type="dxa"/>
            <w:vAlign w:val="bottom"/>
          </w:tcPr>
          <w:p w14:paraId="13717E76" w14:textId="77777777" w:rsidR="00D4596B" w:rsidRPr="00587D64" w:rsidRDefault="00D4596B" w:rsidP="007374FA">
            <w:pPr>
              <w:keepNext/>
              <w:keepLines/>
              <w:widowControl/>
              <w:jc w:val="center"/>
              <w:rPr>
                <w:b/>
                <w:sz w:val="26"/>
                <w:szCs w:val="24"/>
              </w:rPr>
            </w:pPr>
            <w:r w:rsidRPr="00587D64">
              <w:rPr>
                <w:b/>
                <w:sz w:val="26"/>
                <w:szCs w:val="24"/>
              </w:rPr>
              <w:t>Existing</w:t>
            </w:r>
          </w:p>
          <w:p w14:paraId="040D33E3" w14:textId="77777777" w:rsidR="00D4596B" w:rsidRPr="00587D64" w:rsidRDefault="00D4596B" w:rsidP="007374FA">
            <w:pPr>
              <w:keepNext/>
              <w:keepLines/>
              <w:widowControl/>
              <w:jc w:val="center"/>
              <w:rPr>
                <w:b/>
                <w:sz w:val="26"/>
                <w:szCs w:val="24"/>
                <w:u w:val="single"/>
              </w:rPr>
            </w:pPr>
            <w:r w:rsidRPr="00587D64">
              <w:rPr>
                <w:b/>
                <w:sz w:val="26"/>
                <w:szCs w:val="24"/>
                <w:u w:val="single"/>
              </w:rPr>
              <w:t>Tariff Rates</w:t>
            </w:r>
            <w:r w:rsidR="005E5C1D">
              <w:rPr>
                <w:rStyle w:val="FootnoteReference"/>
                <w:b/>
                <w:sz w:val="26"/>
                <w:szCs w:val="24"/>
                <w:u w:val="single"/>
              </w:rPr>
              <w:footnoteReference w:id="4"/>
            </w:r>
          </w:p>
        </w:tc>
        <w:tc>
          <w:tcPr>
            <w:tcW w:w="2338" w:type="dxa"/>
            <w:vAlign w:val="bottom"/>
          </w:tcPr>
          <w:p w14:paraId="098C35BA" w14:textId="77777777" w:rsidR="00D4596B" w:rsidRPr="00587D64" w:rsidRDefault="00D4596B" w:rsidP="007374FA">
            <w:pPr>
              <w:keepNext/>
              <w:keepLines/>
              <w:widowControl/>
              <w:jc w:val="center"/>
              <w:rPr>
                <w:b/>
                <w:sz w:val="26"/>
                <w:szCs w:val="24"/>
              </w:rPr>
            </w:pPr>
            <w:r w:rsidRPr="00587D64">
              <w:rPr>
                <w:b/>
                <w:sz w:val="26"/>
                <w:szCs w:val="24"/>
              </w:rPr>
              <w:t>As-Filed Gas Cost</w:t>
            </w:r>
          </w:p>
          <w:p w14:paraId="62F5E521" w14:textId="77777777" w:rsidR="00D4596B" w:rsidRPr="00587D64" w:rsidRDefault="00D4596B" w:rsidP="007374FA">
            <w:pPr>
              <w:keepNext/>
              <w:keepLines/>
              <w:widowControl/>
              <w:jc w:val="center"/>
              <w:rPr>
                <w:b/>
                <w:sz w:val="26"/>
                <w:szCs w:val="24"/>
                <w:u w:val="single"/>
              </w:rPr>
            </w:pPr>
            <w:r w:rsidRPr="00587D64">
              <w:rPr>
                <w:b/>
                <w:sz w:val="26"/>
                <w:szCs w:val="24"/>
                <w:u w:val="single"/>
              </w:rPr>
              <w:t>Change</w:t>
            </w:r>
          </w:p>
        </w:tc>
        <w:tc>
          <w:tcPr>
            <w:tcW w:w="1803" w:type="dxa"/>
            <w:vAlign w:val="bottom"/>
          </w:tcPr>
          <w:p w14:paraId="0E64048C" w14:textId="77777777" w:rsidR="00D4596B" w:rsidRPr="00587D64" w:rsidRDefault="00D4596B" w:rsidP="007374FA">
            <w:pPr>
              <w:keepNext/>
              <w:keepLines/>
              <w:widowControl/>
              <w:jc w:val="center"/>
              <w:rPr>
                <w:b/>
                <w:sz w:val="26"/>
                <w:szCs w:val="24"/>
              </w:rPr>
            </w:pPr>
            <w:r w:rsidRPr="00587D64">
              <w:rPr>
                <w:b/>
                <w:sz w:val="26"/>
                <w:szCs w:val="24"/>
              </w:rPr>
              <w:t>Percent</w:t>
            </w:r>
          </w:p>
          <w:p w14:paraId="2E0F355E" w14:textId="77777777" w:rsidR="00D4596B" w:rsidRPr="00587D64" w:rsidRDefault="00D4596B" w:rsidP="007374FA">
            <w:pPr>
              <w:keepNext/>
              <w:keepLines/>
              <w:widowControl/>
              <w:jc w:val="center"/>
              <w:rPr>
                <w:b/>
                <w:sz w:val="26"/>
                <w:szCs w:val="24"/>
                <w:u w:val="single"/>
              </w:rPr>
            </w:pPr>
            <w:r w:rsidRPr="00587D64">
              <w:rPr>
                <w:b/>
                <w:sz w:val="26"/>
                <w:szCs w:val="24"/>
                <w:u w:val="single"/>
              </w:rPr>
              <w:t>Change</w:t>
            </w:r>
          </w:p>
        </w:tc>
      </w:tr>
      <w:tr w:rsidR="005E5C1D" w14:paraId="7477E9E0" w14:textId="77777777" w:rsidTr="00587D64">
        <w:trPr>
          <w:trHeight w:val="467"/>
        </w:trPr>
        <w:tc>
          <w:tcPr>
            <w:tcW w:w="2785" w:type="dxa"/>
            <w:vAlign w:val="center"/>
          </w:tcPr>
          <w:p w14:paraId="621710A0" w14:textId="77777777" w:rsidR="005E5C1D" w:rsidRPr="00587D64" w:rsidRDefault="005E5C1D" w:rsidP="007374FA">
            <w:pPr>
              <w:keepNext/>
              <w:keepLines/>
              <w:widowControl/>
              <w:jc w:val="center"/>
              <w:rPr>
                <w:sz w:val="26"/>
                <w:szCs w:val="24"/>
              </w:rPr>
            </w:pPr>
          </w:p>
        </w:tc>
        <w:tc>
          <w:tcPr>
            <w:tcW w:w="1889" w:type="dxa"/>
            <w:vAlign w:val="center"/>
          </w:tcPr>
          <w:p w14:paraId="29E5AAC9" w14:textId="77777777" w:rsidR="005E5C1D" w:rsidRDefault="005E5C1D" w:rsidP="007374FA">
            <w:pPr>
              <w:keepNext/>
              <w:keepLines/>
              <w:widowControl/>
              <w:jc w:val="center"/>
              <w:rPr>
                <w:sz w:val="26"/>
                <w:szCs w:val="24"/>
              </w:rPr>
            </w:pPr>
            <w:r>
              <w:rPr>
                <w:sz w:val="26"/>
                <w:szCs w:val="24"/>
              </w:rPr>
              <w:t>($/Mcf)</w:t>
            </w:r>
          </w:p>
        </w:tc>
        <w:tc>
          <w:tcPr>
            <w:tcW w:w="2338" w:type="dxa"/>
            <w:vAlign w:val="center"/>
          </w:tcPr>
          <w:p w14:paraId="6AD5A0A2" w14:textId="77777777" w:rsidR="005E5C1D" w:rsidRDefault="005E5C1D" w:rsidP="007374FA">
            <w:pPr>
              <w:keepNext/>
              <w:keepLines/>
              <w:widowControl/>
              <w:jc w:val="center"/>
              <w:rPr>
                <w:sz w:val="26"/>
                <w:szCs w:val="24"/>
              </w:rPr>
            </w:pPr>
            <w:r>
              <w:rPr>
                <w:sz w:val="26"/>
                <w:szCs w:val="24"/>
              </w:rPr>
              <w:t>($/Mcf)</w:t>
            </w:r>
          </w:p>
        </w:tc>
        <w:tc>
          <w:tcPr>
            <w:tcW w:w="1803" w:type="dxa"/>
            <w:vAlign w:val="center"/>
          </w:tcPr>
          <w:p w14:paraId="208048DC" w14:textId="77777777" w:rsidR="005E5C1D" w:rsidRDefault="005E5C1D" w:rsidP="007374FA">
            <w:pPr>
              <w:keepNext/>
              <w:keepLines/>
              <w:widowControl/>
              <w:jc w:val="center"/>
              <w:rPr>
                <w:sz w:val="26"/>
                <w:szCs w:val="24"/>
              </w:rPr>
            </w:pPr>
          </w:p>
        </w:tc>
      </w:tr>
      <w:tr w:rsidR="00D4596B" w14:paraId="234C9AC6" w14:textId="77777777" w:rsidTr="00587D64">
        <w:trPr>
          <w:trHeight w:val="467"/>
        </w:trPr>
        <w:tc>
          <w:tcPr>
            <w:tcW w:w="2785" w:type="dxa"/>
            <w:vAlign w:val="center"/>
          </w:tcPr>
          <w:p w14:paraId="37541AEE" w14:textId="77777777" w:rsidR="00D4596B" w:rsidRPr="00587D64" w:rsidRDefault="00D4596B" w:rsidP="007374FA">
            <w:pPr>
              <w:keepNext/>
              <w:keepLines/>
              <w:widowControl/>
              <w:jc w:val="center"/>
              <w:rPr>
                <w:sz w:val="26"/>
                <w:szCs w:val="24"/>
              </w:rPr>
            </w:pPr>
            <w:r w:rsidRPr="00587D64">
              <w:rPr>
                <w:sz w:val="26"/>
                <w:szCs w:val="24"/>
              </w:rPr>
              <w:t>RS</w:t>
            </w:r>
          </w:p>
        </w:tc>
        <w:tc>
          <w:tcPr>
            <w:tcW w:w="1889" w:type="dxa"/>
            <w:vAlign w:val="center"/>
          </w:tcPr>
          <w:p w14:paraId="3099ED4F" w14:textId="77777777" w:rsidR="00D4596B" w:rsidRDefault="00587D64" w:rsidP="007374FA">
            <w:pPr>
              <w:keepNext/>
              <w:keepLines/>
              <w:widowControl/>
              <w:jc w:val="center"/>
              <w:rPr>
                <w:sz w:val="26"/>
                <w:szCs w:val="24"/>
              </w:rPr>
            </w:pPr>
            <w:r>
              <w:rPr>
                <w:sz w:val="26"/>
                <w:szCs w:val="24"/>
              </w:rPr>
              <w:t>$</w:t>
            </w:r>
            <w:r w:rsidR="00BB575A">
              <w:rPr>
                <w:sz w:val="26"/>
                <w:szCs w:val="24"/>
              </w:rPr>
              <w:t>8</w:t>
            </w:r>
            <w:r>
              <w:rPr>
                <w:sz w:val="26"/>
                <w:szCs w:val="24"/>
              </w:rPr>
              <w:t>.</w:t>
            </w:r>
            <w:r w:rsidR="00BB575A">
              <w:rPr>
                <w:sz w:val="26"/>
                <w:szCs w:val="24"/>
              </w:rPr>
              <w:t>6347</w:t>
            </w:r>
          </w:p>
        </w:tc>
        <w:tc>
          <w:tcPr>
            <w:tcW w:w="2338" w:type="dxa"/>
            <w:vAlign w:val="center"/>
          </w:tcPr>
          <w:p w14:paraId="1C31C92B" w14:textId="77777777" w:rsidR="00D4596B" w:rsidRDefault="00587D64" w:rsidP="007374FA">
            <w:pPr>
              <w:keepNext/>
              <w:keepLines/>
              <w:widowControl/>
              <w:jc w:val="center"/>
              <w:rPr>
                <w:sz w:val="26"/>
                <w:szCs w:val="24"/>
              </w:rPr>
            </w:pPr>
            <w:r>
              <w:rPr>
                <w:sz w:val="26"/>
                <w:szCs w:val="24"/>
              </w:rPr>
              <w:t>($0.</w:t>
            </w:r>
            <w:r w:rsidR="00CF5B9C">
              <w:rPr>
                <w:sz w:val="26"/>
                <w:szCs w:val="24"/>
              </w:rPr>
              <w:t>1637</w:t>
            </w:r>
            <w:r>
              <w:rPr>
                <w:sz w:val="26"/>
                <w:szCs w:val="24"/>
              </w:rPr>
              <w:t>)</w:t>
            </w:r>
          </w:p>
        </w:tc>
        <w:tc>
          <w:tcPr>
            <w:tcW w:w="1803" w:type="dxa"/>
            <w:vAlign w:val="center"/>
          </w:tcPr>
          <w:p w14:paraId="3CFF2574" w14:textId="77777777" w:rsidR="00D4596B" w:rsidRDefault="00587D64" w:rsidP="007374FA">
            <w:pPr>
              <w:keepNext/>
              <w:keepLines/>
              <w:widowControl/>
              <w:jc w:val="center"/>
              <w:rPr>
                <w:sz w:val="26"/>
                <w:szCs w:val="24"/>
              </w:rPr>
            </w:pPr>
            <w:r>
              <w:rPr>
                <w:sz w:val="26"/>
                <w:szCs w:val="24"/>
              </w:rPr>
              <w:t>-</w:t>
            </w:r>
            <w:r w:rsidR="00CF5B9C">
              <w:rPr>
                <w:sz w:val="26"/>
                <w:szCs w:val="24"/>
              </w:rPr>
              <w:t>1</w:t>
            </w:r>
            <w:r>
              <w:rPr>
                <w:sz w:val="26"/>
                <w:szCs w:val="24"/>
              </w:rPr>
              <w:t>.</w:t>
            </w:r>
            <w:r w:rsidR="00CF5B9C">
              <w:rPr>
                <w:sz w:val="26"/>
                <w:szCs w:val="24"/>
              </w:rPr>
              <w:t>9</w:t>
            </w:r>
            <w:r>
              <w:rPr>
                <w:sz w:val="26"/>
                <w:szCs w:val="24"/>
              </w:rPr>
              <w:t>%</w:t>
            </w:r>
          </w:p>
        </w:tc>
      </w:tr>
      <w:tr w:rsidR="00D4596B" w14:paraId="6EEBCAFB" w14:textId="77777777" w:rsidTr="00587D64">
        <w:trPr>
          <w:trHeight w:val="458"/>
        </w:trPr>
        <w:tc>
          <w:tcPr>
            <w:tcW w:w="2785" w:type="dxa"/>
            <w:vAlign w:val="center"/>
          </w:tcPr>
          <w:p w14:paraId="4CDA6A48" w14:textId="77777777" w:rsidR="00D4596B" w:rsidRPr="00587D64" w:rsidRDefault="00CF5B9C" w:rsidP="007374FA">
            <w:pPr>
              <w:keepNext/>
              <w:keepLines/>
              <w:widowControl/>
              <w:jc w:val="center"/>
              <w:rPr>
                <w:sz w:val="26"/>
                <w:szCs w:val="24"/>
              </w:rPr>
            </w:pPr>
            <w:r>
              <w:rPr>
                <w:sz w:val="26"/>
                <w:szCs w:val="24"/>
              </w:rPr>
              <w:t xml:space="preserve">Commercial </w:t>
            </w:r>
            <w:r w:rsidR="00D4596B" w:rsidRPr="00587D64">
              <w:rPr>
                <w:sz w:val="26"/>
                <w:szCs w:val="24"/>
              </w:rPr>
              <w:t>SGS</w:t>
            </w:r>
          </w:p>
        </w:tc>
        <w:tc>
          <w:tcPr>
            <w:tcW w:w="1889" w:type="dxa"/>
            <w:vAlign w:val="center"/>
          </w:tcPr>
          <w:p w14:paraId="722C2984" w14:textId="77777777" w:rsidR="00D4596B" w:rsidRDefault="00587D64" w:rsidP="007374FA">
            <w:pPr>
              <w:keepNext/>
              <w:keepLines/>
              <w:widowControl/>
              <w:jc w:val="center"/>
              <w:rPr>
                <w:sz w:val="26"/>
                <w:szCs w:val="24"/>
              </w:rPr>
            </w:pPr>
            <w:r>
              <w:rPr>
                <w:sz w:val="26"/>
                <w:szCs w:val="24"/>
              </w:rPr>
              <w:t>$</w:t>
            </w:r>
            <w:r w:rsidR="00CF5B9C">
              <w:rPr>
                <w:sz w:val="26"/>
                <w:szCs w:val="24"/>
              </w:rPr>
              <w:t>7.1054</w:t>
            </w:r>
          </w:p>
        </w:tc>
        <w:tc>
          <w:tcPr>
            <w:tcW w:w="2338" w:type="dxa"/>
            <w:vAlign w:val="center"/>
          </w:tcPr>
          <w:p w14:paraId="2341933B" w14:textId="77777777" w:rsidR="00D4596B" w:rsidRDefault="00587D64" w:rsidP="007374FA">
            <w:pPr>
              <w:keepNext/>
              <w:keepLines/>
              <w:widowControl/>
              <w:jc w:val="center"/>
              <w:rPr>
                <w:sz w:val="26"/>
                <w:szCs w:val="24"/>
              </w:rPr>
            </w:pPr>
            <w:r>
              <w:rPr>
                <w:sz w:val="26"/>
                <w:szCs w:val="24"/>
              </w:rPr>
              <w:t>($0.</w:t>
            </w:r>
            <w:r w:rsidR="00CF5B9C">
              <w:rPr>
                <w:sz w:val="26"/>
                <w:szCs w:val="24"/>
              </w:rPr>
              <w:t>1454</w:t>
            </w:r>
            <w:r>
              <w:rPr>
                <w:sz w:val="26"/>
                <w:szCs w:val="24"/>
              </w:rPr>
              <w:t>)</w:t>
            </w:r>
          </w:p>
        </w:tc>
        <w:tc>
          <w:tcPr>
            <w:tcW w:w="1803" w:type="dxa"/>
            <w:vAlign w:val="center"/>
          </w:tcPr>
          <w:p w14:paraId="25BA1607" w14:textId="77777777" w:rsidR="00D4596B" w:rsidRDefault="00587D64" w:rsidP="007374FA">
            <w:pPr>
              <w:keepNext/>
              <w:keepLines/>
              <w:widowControl/>
              <w:jc w:val="center"/>
              <w:rPr>
                <w:sz w:val="26"/>
                <w:szCs w:val="24"/>
              </w:rPr>
            </w:pPr>
            <w:r>
              <w:rPr>
                <w:sz w:val="26"/>
                <w:szCs w:val="24"/>
              </w:rPr>
              <w:t>-</w:t>
            </w:r>
            <w:r w:rsidR="00CF5B9C">
              <w:rPr>
                <w:sz w:val="26"/>
                <w:szCs w:val="24"/>
              </w:rPr>
              <w:t>2</w:t>
            </w:r>
            <w:r>
              <w:rPr>
                <w:sz w:val="26"/>
                <w:szCs w:val="24"/>
              </w:rPr>
              <w:t>.</w:t>
            </w:r>
            <w:r w:rsidR="00CF5B9C">
              <w:rPr>
                <w:sz w:val="26"/>
                <w:szCs w:val="24"/>
              </w:rPr>
              <w:t>0</w:t>
            </w:r>
            <w:r>
              <w:rPr>
                <w:sz w:val="26"/>
                <w:szCs w:val="24"/>
              </w:rPr>
              <w:t>%</w:t>
            </w:r>
          </w:p>
        </w:tc>
      </w:tr>
      <w:tr w:rsidR="00CF5B9C" w14:paraId="09F412A7" w14:textId="77777777" w:rsidTr="00587D64">
        <w:trPr>
          <w:trHeight w:val="422"/>
        </w:trPr>
        <w:tc>
          <w:tcPr>
            <w:tcW w:w="2785" w:type="dxa"/>
            <w:vAlign w:val="center"/>
          </w:tcPr>
          <w:p w14:paraId="66D6E11D" w14:textId="77777777" w:rsidR="00CF5B9C" w:rsidRPr="00587D64" w:rsidRDefault="00CF5B9C" w:rsidP="007374FA">
            <w:pPr>
              <w:keepNext/>
              <w:keepLines/>
              <w:widowControl/>
              <w:rPr>
                <w:sz w:val="26"/>
                <w:szCs w:val="24"/>
              </w:rPr>
            </w:pPr>
            <w:r>
              <w:rPr>
                <w:sz w:val="26"/>
                <w:szCs w:val="24"/>
              </w:rPr>
              <w:t xml:space="preserve">      Industrial </w:t>
            </w:r>
            <w:r w:rsidRPr="00587D64">
              <w:rPr>
                <w:sz w:val="26"/>
                <w:szCs w:val="24"/>
              </w:rPr>
              <w:t>SGS</w:t>
            </w:r>
          </w:p>
        </w:tc>
        <w:tc>
          <w:tcPr>
            <w:tcW w:w="1889" w:type="dxa"/>
            <w:vAlign w:val="center"/>
          </w:tcPr>
          <w:p w14:paraId="5C86FEF5" w14:textId="77777777" w:rsidR="00CF5B9C" w:rsidRDefault="00CF5B9C" w:rsidP="007374FA">
            <w:pPr>
              <w:keepNext/>
              <w:keepLines/>
              <w:widowControl/>
              <w:jc w:val="center"/>
              <w:rPr>
                <w:sz w:val="26"/>
                <w:szCs w:val="24"/>
              </w:rPr>
            </w:pPr>
            <w:r>
              <w:rPr>
                <w:sz w:val="26"/>
                <w:szCs w:val="24"/>
              </w:rPr>
              <w:t>$6.6540</w:t>
            </w:r>
          </w:p>
        </w:tc>
        <w:tc>
          <w:tcPr>
            <w:tcW w:w="2338" w:type="dxa"/>
            <w:vAlign w:val="center"/>
          </w:tcPr>
          <w:p w14:paraId="41EFECA6" w14:textId="77777777" w:rsidR="00CF5B9C" w:rsidRDefault="00CF5B9C" w:rsidP="007374FA">
            <w:pPr>
              <w:keepNext/>
              <w:keepLines/>
              <w:widowControl/>
              <w:jc w:val="center"/>
              <w:rPr>
                <w:sz w:val="26"/>
                <w:szCs w:val="24"/>
              </w:rPr>
            </w:pPr>
            <w:r>
              <w:rPr>
                <w:sz w:val="26"/>
                <w:szCs w:val="24"/>
              </w:rPr>
              <w:t>($0.1454)</w:t>
            </w:r>
          </w:p>
        </w:tc>
        <w:tc>
          <w:tcPr>
            <w:tcW w:w="1803" w:type="dxa"/>
            <w:vAlign w:val="center"/>
          </w:tcPr>
          <w:p w14:paraId="2C566882" w14:textId="77777777" w:rsidR="00CF5B9C" w:rsidRDefault="00CF5B9C" w:rsidP="007374FA">
            <w:pPr>
              <w:keepNext/>
              <w:keepLines/>
              <w:widowControl/>
              <w:jc w:val="center"/>
              <w:rPr>
                <w:sz w:val="26"/>
                <w:szCs w:val="24"/>
              </w:rPr>
            </w:pPr>
            <w:r>
              <w:rPr>
                <w:sz w:val="26"/>
                <w:szCs w:val="24"/>
              </w:rPr>
              <w:t>-2.2%</w:t>
            </w:r>
          </w:p>
        </w:tc>
      </w:tr>
      <w:tr w:rsidR="00CF5B9C" w14:paraId="7947D987" w14:textId="77777777" w:rsidTr="003F27F5">
        <w:trPr>
          <w:trHeight w:val="477"/>
        </w:trPr>
        <w:tc>
          <w:tcPr>
            <w:tcW w:w="2785" w:type="dxa"/>
            <w:vAlign w:val="center"/>
          </w:tcPr>
          <w:p w14:paraId="737C58D2" w14:textId="77777777" w:rsidR="00CF5B9C" w:rsidRPr="00587D64" w:rsidRDefault="00CF5B9C" w:rsidP="007374FA">
            <w:pPr>
              <w:keepNext/>
              <w:keepLines/>
              <w:widowControl/>
              <w:jc w:val="center"/>
              <w:rPr>
                <w:sz w:val="26"/>
                <w:szCs w:val="24"/>
              </w:rPr>
            </w:pPr>
            <w:r>
              <w:rPr>
                <w:sz w:val="26"/>
                <w:szCs w:val="24"/>
              </w:rPr>
              <w:t>Commercial M</w:t>
            </w:r>
            <w:r w:rsidRPr="00587D64">
              <w:rPr>
                <w:sz w:val="26"/>
                <w:szCs w:val="24"/>
              </w:rPr>
              <w:t>GS</w:t>
            </w:r>
          </w:p>
        </w:tc>
        <w:tc>
          <w:tcPr>
            <w:tcW w:w="1889" w:type="dxa"/>
            <w:vAlign w:val="center"/>
          </w:tcPr>
          <w:p w14:paraId="04686D6C" w14:textId="77777777" w:rsidR="00CF5B9C" w:rsidRDefault="00CF5B9C" w:rsidP="007374FA">
            <w:pPr>
              <w:keepNext/>
              <w:keepLines/>
              <w:widowControl/>
              <w:jc w:val="center"/>
              <w:rPr>
                <w:sz w:val="26"/>
                <w:szCs w:val="24"/>
              </w:rPr>
            </w:pPr>
            <w:r>
              <w:rPr>
                <w:sz w:val="26"/>
                <w:szCs w:val="24"/>
              </w:rPr>
              <w:t>$6.9272</w:t>
            </w:r>
          </w:p>
        </w:tc>
        <w:tc>
          <w:tcPr>
            <w:tcW w:w="2338" w:type="dxa"/>
            <w:vAlign w:val="center"/>
          </w:tcPr>
          <w:p w14:paraId="353A88E6" w14:textId="77777777" w:rsidR="00CF5B9C" w:rsidRDefault="00CF5B9C" w:rsidP="007374FA">
            <w:pPr>
              <w:keepNext/>
              <w:keepLines/>
              <w:widowControl/>
              <w:jc w:val="center"/>
              <w:rPr>
                <w:sz w:val="26"/>
                <w:szCs w:val="24"/>
              </w:rPr>
            </w:pPr>
            <w:r>
              <w:rPr>
                <w:sz w:val="26"/>
                <w:szCs w:val="24"/>
              </w:rPr>
              <w:t>$0.0291</w:t>
            </w:r>
          </w:p>
        </w:tc>
        <w:tc>
          <w:tcPr>
            <w:tcW w:w="1803" w:type="dxa"/>
            <w:vAlign w:val="center"/>
          </w:tcPr>
          <w:p w14:paraId="21A2B008" w14:textId="77777777" w:rsidR="00CF5B9C" w:rsidRDefault="00CF5B9C" w:rsidP="007374FA">
            <w:pPr>
              <w:keepNext/>
              <w:keepLines/>
              <w:widowControl/>
              <w:jc w:val="center"/>
              <w:rPr>
                <w:sz w:val="26"/>
                <w:szCs w:val="24"/>
              </w:rPr>
            </w:pPr>
            <w:r>
              <w:rPr>
                <w:sz w:val="26"/>
                <w:szCs w:val="24"/>
              </w:rPr>
              <w:t>0.4%</w:t>
            </w:r>
          </w:p>
        </w:tc>
      </w:tr>
      <w:tr w:rsidR="00CF5B9C" w14:paraId="5FB05FCD" w14:textId="77777777" w:rsidTr="003F27F5">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Ex>
        <w:trPr>
          <w:trHeight w:val="458"/>
        </w:trPr>
        <w:tc>
          <w:tcPr>
            <w:tcW w:w="2785" w:type="dxa"/>
            <w:tcBorders>
              <w:top w:val="nil"/>
              <w:left w:val="nil"/>
              <w:bottom w:val="nil"/>
              <w:right w:val="nil"/>
            </w:tcBorders>
          </w:tcPr>
          <w:p w14:paraId="5470F9D7" w14:textId="77777777" w:rsidR="00CF5B9C" w:rsidRPr="00587D64" w:rsidRDefault="00CF5B9C" w:rsidP="007374FA">
            <w:pPr>
              <w:keepNext/>
              <w:keepLines/>
              <w:widowControl/>
              <w:jc w:val="center"/>
              <w:rPr>
                <w:sz w:val="26"/>
                <w:szCs w:val="24"/>
              </w:rPr>
            </w:pPr>
            <w:r>
              <w:rPr>
                <w:sz w:val="26"/>
                <w:szCs w:val="24"/>
              </w:rPr>
              <w:t>Industrial MGS</w:t>
            </w:r>
          </w:p>
        </w:tc>
        <w:tc>
          <w:tcPr>
            <w:tcW w:w="1889" w:type="dxa"/>
            <w:tcBorders>
              <w:top w:val="nil"/>
              <w:left w:val="nil"/>
              <w:bottom w:val="nil"/>
              <w:right w:val="nil"/>
            </w:tcBorders>
          </w:tcPr>
          <w:p w14:paraId="0D2D993B" w14:textId="77777777" w:rsidR="00CF5B9C" w:rsidRDefault="00CF5B9C" w:rsidP="007374FA">
            <w:pPr>
              <w:keepNext/>
              <w:keepLines/>
              <w:widowControl/>
              <w:jc w:val="center"/>
              <w:rPr>
                <w:sz w:val="26"/>
                <w:szCs w:val="24"/>
              </w:rPr>
            </w:pPr>
            <w:r>
              <w:rPr>
                <w:sz w:val="26"/>
                <w:szCs w:val="24"/>
              </w:rPr>
              <w:t>$6.2307</w:t>
            </w:r>
          </w:p>
        </w:tc>
        <w:tc>
          <w:tcPr>
            <w:tcW w:w="2338" w:type="dxa"/>
            <w:tcBorders>
              <w:top w:val="nil"/>
              <w:left w:val="nil"/>
              <w:bottom w:val="nil"/>
              <w:right w:val="nil"/>
            </w:tcBorders>
          </w:tcPr>
          <w:p w14:paraId="295C2408" w14:textId="77777777" w:rsidR="00CF5B9C" w:rsidRDefault="00CF5B9C" w:rsidP="007374FA">
            <w:pPr>
              <w:keepNext/>
              <w:keepLines/>
              <w:widowControl/>
              <w:jc w:val="center"/>
              <w:rPr>
                <w:sz w:val="26"/>
                <w:szCs w:val="24"/>
              </w:rPr>
            </w:pPr>
            <w:r>
              <w:rPr>
                <w:sz w:val="26"/>
                <w:szCs w:val="24"/>
              </w:rPr>
              <w:t>$0.029</w:t>
            </w:r>
            <w:r w:rsidR="00856F66">
              <w:rPr>
                <w:sz w:val="26"/>
                <w:szCs w:val="24"/>
              </w:rPr>
              <w:t>0</w:t>
            </w:r>
          </w:p>
        </w:tc>
        <w:tc>
          <w:tcPr>
            <w:tcW w:w="1803" w:type="dxa"/>
            <w:tcBorders>
              <w:top w:val="nil"/>
              <w:left w:val="nil"/>
              <w:bottom w:val="nil"/>
              <w:right w:val="nil"/>
            </w:tcBorders>
          </w:tcPr>
          <w:p w14:paraId="4EDF1834" w14:textId="77777777" w:rsidR="00CF5B9C" w:rsidRDefault="00CF5B9C" w:rsidP="007374FA">
            <w:pPr>
              <w:keepNext/>
              <w:keepLines/>
              <w:widowControl/>
              <w:jc w:val="center"/>
              <w:rPr>
                <w:sz w:val="26"/>
                <w:szCs w:val="24"/>
              </w:rPr>
            </w:pPr>
            <w:r>
              <w:rPr>
                <w:sz w:val="26"/>
                <w:szCs w:val="24"/>
              </w:rPr>
              <w:t>0.</w:t>
            </w:r>
            <w:r w:rsidR="00856F66">
              <w:rPr>
                <w:sz w:val="26"/>
                <w:szCs w:val="24"/>
              </w:rPr>
              <w:t>5</w:t>
            </w:r>
            <w:r>
              <w:rPr>
                <w:sz w:val="26"/>
                <w:szCs w:val="24"/>
              </w:rPr>
              <w:t>%</w:t>
            </w:r>
          </w:p>
        </w:tc>
      </w:tr>
      <w:tr w:rsidR="00856F66" w14:paraId="1235D94B" w14:textId="77777777" w:rsidTr="003F27F5">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Ex>
        <w:trPr>
          <w:trHeight w:val="458"/>
        </w:trPr>
        <w:tc>
          <w:tcPr>
            <w:tcW w:w="2785" w:type="dxa"/>
            <w:tcBorders>
              <w:top w:val="nil"/>
              <w:left w:val="nil"/>
              <w:bottom w:val="nil"/>
              <w:right w:val="nil"/>
            </w:tcBorders>
          </w:tcPr>
          <w:p w14:paraId="0C581E4E" w14:textId="77777777" w:rsidR="00856F66" w:rsidRDefault="00856F66" w:rsidP="007374FA">
            <w:pPr>
              <w:keepNext/>
              <w:keepLines/>
              <w:widowControl/>
              <w:jc w:val="center"/>
              <w:rPr>
                <w:sz w:val="26"/>
                <w:szCs w:val="24"/>
              </w:rPr>
            </w:pPr>
            <w:r>
              <w:rPr>
                <w:sz w:val="26"/>
                <w:szCs w:val="24"/>
              </w:rPr>
              <w:t>Commercial LGS</w:t>
            </w:r>
          </w:p>
        </w:tc>
        <w:tc>
          <w:tcPr>
            <w:tcW w:w="1889" w:type="dxa"/>
            <w:tcBorders>
              <w:top w:val="nil"/>
              <w:left w:val="nil"/>
              <w:bottom w:val="nil"/>
              <w:right w:val="nil"/>
            </w:tcBorders>
          </w:tcPr>
          <w:p w14:paraId="2B8F6038" w14:textId="77777777" w:rsidR="00856F66" w:rsidRDefault="00856F66" w:rsidP="007374FA">
            <w:pPr>
              <w:keepNext/>
              <w:keepLines/>
              <w:widowControl/>
              <w:jc w:val="center"/>
              <w:rPr>
                <w:sz w:val="26"/>
                <w:szCs w:val="24"/>
              </w:rPr>
            </w:pPr>
            <w:r>
              <w:rPr>
                <w:sz w:val="26"/>
                <w:szCs w:val="24"/>
              </w:rPr>
              <w:t>$6.8369</w:t>
            </w:r>
          </w:p>
        </w:tc>
        <w:tc>
          <w:tcPr>
            <w:tcW w:w="2338" w:type="dxa"/>
            <w:tcBorders>
              <w:top w:val="nil"/>
              <w:left w:val="nil"/>
              <w:bottom w:val="nil"/>
              <w:right w:val="nil"/>
            </w:tcBorders>
          </w:tcPr>
          <w:p w14:paraId="366AFB91" w14:textId="77777777" w:rsidR="00856F66" w:rsidRDefault="00856F66" w:rsidP="007374FA">
            <w:pPr>
              <w:keepNext/>
              <w:keepLines/>
              <w:widowControl/>
              <w:jc w:val="center"/>
              <w:rPr>
                <w:sz w:val="26"/>
                <w:szCs w:val="24"/>
              </w:rPr>
            </w:pPr>
            <w:r>
              <w:rPr>
                <w:sz w:val="26"/>
                <w:szCs w:val="24"/>
              </w:rPr>
              <w:t>$0.3294</w:t>
            </w:r>
          </w:p>
        </w:tc>
        <w:tc>
          <w:tcPr>
            <w:tcW w:w="1803" w:type="dxa"/>
            <w:tcBorders>
              <w:top w:val="nil"/>
              <w:left w:val="nil"/>
              <w:bottom w:val="nil"/>
              <w:right w:val="nil"/>
            </w:tcBorders>
          </w:tcPr>
          <w:p w14:paraId="4141BE7F" w14:textId="77777777" w:rsidR="00856F66" w:rsidRDefault="00856F66" w:rsidP="007374FA">
            <w:pPr>
              <w:keepNext/>
              <w:keepLines/>
              <w:widowControl/>
              <w:jc w:val="center"/>
              <w:rPr>
                <w:sz w:val="26"/>
                <w:szCs w:val="24"/>
              </w:rPr>
            </w:pPr>
            <w:r>
              <w:rPr>
                <w:sz w:val="26"/>
                <w:szCs w:val="24"/>
              </w:rPr>
              <w:t>4.8%</w:t>
            </w:r>
          </w:p>
        </w:tc>
      </w:tr>
      <w:tr w:rsidR="00856F66" w14:paraId="074015CB" w14:textId="77777777" w:rsidTr="003F27F5">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Ex>
        <w:trPr>
          <w:trHeight w:val="458"/>
        </w:trPr>
        <w:tc>
          <w:tcPr>
            <w:tcW w:w="2785" w:type="dxa"/>
            <w:tcBorders>
              <w:top w:val="nil"/>
              <w:left w:val="nil"/>
              <w:bottom w:val="nil"/>
              <w:right w:val="nil"/>
            </w:tcBorders>
          </w:tcPr>
          <w:p w14:paraId="36DDCCD7" w14:textId="77777777" w:rsidR="00856F66" w:rsidRDefault="00856F66" w:rsidP="007374FA">
            <w:pPr>
              <w:keepNext/>
              <w:keepLines/>
              <w:widowControl/>
              <w:jc w:val="center"/>
              <w:rPr>
                <w:sz w:val="26"/>
                <w:szCs w:val="24"/>
              </w:rPr>
            </w:pPr>
            <w:r>
              <w:rPr>
                <w:sz w:val="26"/>
                <w:szCs w:val="24"/>
              </w:rPr>
              <w:t>Industrial LGS</w:t>
            </w:r>
          </w:p>
        </w:tc>
        <w:tc>
          <w:tcPr>
            <w:tcW w:w="1889" w:type="dxa"/>
            <w:tcBorders>
              <w:top w:val="nil"/>
              <w:left w:val="nil"/>
              <w:bottom w:val="nil"/>
              <w:right w:val="nil"/>
            </w:tcBorders>
          </w:tcPr>
          <w:p w14:paraId="76082F97" w14:textId="77777777" w:rsidR="00856F66" w:rsidRDefault="00856F66" w:rsidP="007374FA">
            <w:pPr>
              <w:keepNext/>
              <w:keepLines/>
              <w:widowControl/>
              <w:jc w:val="center"/>
              <w:rPr>
                <w:sz w:val="26"/>
                <w:szCs w:val="24"/>
              </w:rPr>
            </w:pPr>
            <w:r>
              <w:rPr>
                <w:sz w:val="26"/>
                <w:szCs w:val="24"/>
              </w:rPr>
              <w:t>$6.1718</w:t>
            </w:r>
          </w:p>
        </w:tc>
        <w:tc>
          <w:tcPr>
            <w:tcW w:w="2338" w:type="dxa"/>
            <w:tcBorders>
              <w:top w:val="nil"/>
              <w:left w:val="nil"/>
              <w:bottom w:val="nil"/>
              <w:right w:val="nil"/>
            </w:tcBorders>
          </w:tcPr>
          <w:p w14:paraId="3316ABBE" w14:textId="77777777" w:rsidR="00856F66" w:rsidRDefault="00856F66" w:rsidP="007374FA">
            <w:pPr>
              <w:keepNext/>
              <w:keepLines/>
              <w:widowControl/>
              <w:jc w:val="center"/>
              <w:rPr>
                <w:sz w:val="26"/>
                <w:szCs w:val="24"/>
              </w:rPr>
            </w:pPr>
            <w:r>
              <w:rPr>
                <w:sz w:val="26"/>
                <w:szCs w:val="24"/>
              </w:rPr>
              <w:t>$0.3295</w:t>
            </w:r>
          </w:p>
        </w:tc>
        <w:tc>
          <w:tcPr>
            <w:tcW w:w="1803" w:type="dxa"/>
            <w:tcBorders>
              <w:top w:val="nil"/>
              <w:left w:val="nil"/>
              <w:bottom w:val="nil"/>
              <w:right w:val="nil"/>
            </w:tcBorders>
          </w:tcPr>
          <w:p w14:paraId="07C7637B" w14:textId="77777777" w:rsidR="00856F66" w:rsidRDefault="00856F66" w:rsidP="007374FA">
            <w:pPr>
              <w:keepNext/>
              <w:keepLines/>
              <w:widowControl/>
              <w:jc w:val="center"/>
              <w:rPr>
                <w:sz w:val="26"/>
                <w:szCs w:val="24"/>
              </w:rPr>
            </w:pPr>
            <w:r>
              <w:rPr>
                <w:sz w:val="26"/>
                <w:szCs w:val="24"/>
              </w:rPr>
              <w:t>5.3%</w:t>
            </w:r>
          </w:p>
        </w:tc>
      </w:tr>
    </w:tbl>
    <w:p w14:paraId="4090B163" w14:textId="63FCC12C" w:rsidR="00D4596B" w:rsidRDefault="00D4596B" w:rsidP="007374FA">
      <w:pPr>
        <w:keepNext/>
        <w:keepLines/>
        <w:widowControl/>
        <w:rPr>
          <w:sz w:val="26"/>
          <w:szCs w:val="24"/>
        </w:rPr>
      </w:pPr>
    </w:p>
    <w:p w14:paraId="728B9989" w14:textId="77777777" w:rsidR="00C0578D" w:rsidRDefault="00C0578D" w:rsidP="007374FA">
      <w:pPr>
        <w:keepNext/>
        <w:keepLines/>
        <w:widowControl/>
        <w:rPr>
          <w:sz w:val="26"/>
          <w:szCs w:val="24"/>
        </w:rPr>
      </w:pPr>
    </w:p>
    <w:p w14:paraId="09F1F5FD" w14:textId="77777777" w:rsidR="00D924FB" w:rsidRPr="005E5C1D" w:rsidRDefault="00D4596B" w:rsidP="007374FA">
      <w:pPr>
        <w:keepNext/>
        <w:keepLines/>
        <w:widowControl/>
        <w:spacing w:line="360" w:lineRule="auto"/>
        <w:rPr>
          <w:sz w:val="26"/>
          <w:szCs w:val="24"/>
        </w:rPr>
      </w:pPr>
      <w:r>
        <w:rPr>
          <w:sz w:val="26"/>
          <w:szCs w:val="24"/>
        </w:rPr>
        <w:t>Partial Settlement at ¶ 3</w:t>
      </w:r>
      <w:r w:rsidR="00856F66">
        <w:rPr>
          <w:sz w:val="26"/>
          <w:szCs w:val="24"/>
        </w:rPr>
        <w:t>7</w:t>
      </w:r>
      <w:r>
        <w:rPr>
          <w:sz w:val="26"/>
          <w:szCs w:val="24"/>
        </w:rPr>
        <w:t>.</w:t>
      </w:r>
    </w:p>
    <w:p w14:paraId="2276A847" w14:textId="77777777" w:rsidR="00D924FB" w:rsidRDefault="00D924FB" w:rsidP="007374FA">
      <w:pPr>
        <w:widowControl/>
        <w:tabs>
          <w:tab w:val="left" w:pos="-720"/>
        </w:tabs>
        <w:suppressAutoHyphens/>
        <w:spacing w:line="360" w:lineRule="auto"/>
        <w:rPr>
          <w:sz w:val="26"/>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85"/>
        <w:gridCol w:w="1889"/>
        <w:gridCol w:w="2338"/>
        <w:gridCol w:w="1803"/>
      </w:tblGrid>
      <w:tr w:rsidR="00BB575A" w14:paraId="12A41DEC" w14:textId="77777777" w:rsidTr="00162094">
        <w:tc>
          <w:tcPr>
            <w:tcW w:w="2785" w:type="dxa"/>
            <w:vAlign w:val="bottom"/>
          </w:tcPr>
          <w:p w14:paraId="3D227C91" w14:textId="77777777" w:rsidR="00856F66" w:rsidRDefault="00856F66" w:rsidP="007374FA">
            <w:pPr>
              <w:widowControl/>
              <w:jc w:val="center"/>
              <w:rPr>
                <w:b/>
                <w:sz w:val="26"/>
                <w:szCs w:val="24"/>
                <w:u w:val="single"/>
              </w:rPr>
            </w:pPr>
            <w:r>
              <w:rPr>
                <w:b/>
                <w:sz w:val="26"/>
                <w:szCs w:val="24"/>
                <w:u w:val="single"/>
              </w:rPr>
              <w:t>Equitable Division</w:t>
            </w:r>
          </w:p>
          <w:p w14:paraId="6F11992B" w14:textId="77777777" w:rsidR="00BB575A" w:rsidRPr="00587D64" w:rsidRDefault="00856F66" w:rsidP="007374FA">
            <w:pPr>
              <w:widowControl/>
              <w:jc w:val="center"/>
              <w:rPr>
                <w:b/>
                <w:sz w:val="26"/>
                <w:szCs w:val="24"/>
                <w:u w:val="single"/>
              </w:rPr>
            </w:pPr>
            <w:r w:rsidRPr="00587D64">
              <w:rPr>
                <w:b/>
                <w:sz w:val="26"/>
                <w:szCs w:val="24"/>
                <w:u w:val="single"/>
              </w:rPr>
              <w:t>Rate Schedule</w:t>
            </w:r>
          </w:p>
        </w:tc>
        <w:tc>
          <w:tcPr>
            <w:tcW w:w="1889" w:type="dxa"/>
            <w:vAlign w:val="bottom"/>
          </w:tcPr>
          <w:p w14:paraId="112E064D" w14:textId="77777777" w:rsidR="00BB575A" w:rsidRPr="00587D64" w:rsidRDefault="00BB575A" w:rsidP="007374FA">
            <w:pPr>
              <w:widowControl/>
              <w:jc w:val="center"/>
              <w:rPr>
                <w:b/>
                <w:sz w:val="26"/>
                <w:szCs w:val="24"/>
              </w:rPr>
            </w:pPr>
            <w:r w:rsidRPr="00587D64">
              <w:rPr>
                <w:b/>
                <w:sz w:val="26"/>
                <w:szCs w:val="24"/>
              </w:rPr>
              <w:t>Existing</w:t>
            </w:r>
          </w:p>
          <w:p w14:paraId="2DB47F3B" w14:textId="77777777" w:rsidR="00BB575A" w:rsidRPr="00587D64" w:rsidRDefault="00BB575A" w:rsidP="007374FA">
            <w:pPr>
              <w:widowControl/>
              <w:jc w:val="center"/>
              <w:rPr>
                <w:b/>
                <w:sz w:val="26"/>
                <w:szCs w:val="24"/>
                <w:u w:val="single"/>
              </w:rPr>
            </w:pPr>
            <w:r w:rsidRPr="00587D64">
              <w:rPr>
                <w:b/>
                <w:sz w:val="26"/>
                <w:szCs w:val="24"/>
                <w:u w:val="single"/>
              </w:rPr>
              <w:t>Tariff Rates</w:t>
            </w:r>
            <w:r>
              <w:rPr>
                <w:rStyle w:val="FootnoteReference"/>
                <w:b/>
                <w:sz w:val="26"/>
                <w:szCs w:val="24"/>
                <w:u w:val="single"/>
              </w:rPr>
              <w:footnoteReference w:id="5"/>
            </w:r>
          </w:p>
        </w:tc>
        <w:tc>
          <w:tcPr>
            <w:tcW w:w="2338" w:type="dxa"/>
            <w:vAlign w:val="bottom"/>
          </w:tcPr>
          <w:p w14:paraId="0081CA50" w14:textId="77777777" w:rsidR="00BB575A" w:rsidRPr="00587D64" w:rsidRDefault="00BB575A" w:rsidP="007374FA">
            <w:pPr>
              <w:widowControl/>
              <w:jc w:val="center"/>
              <w:rPr>
                <w:b/>
                <w:sz w:val="26"/>
                <w:szCs w:val="24"/>
              </w:rPr>
            </w:pPr>
            <w:r w:rsidRPr="00587D64">
              <w:rPr>
                <w:b/>
                <w:sz w:val="26"/>
                <w:szCs w:val="24"/>
              </w:rPr>
              <w:t>As-Filed Gas Cost</w:t>
            </w:r>
          </w:p>
          <w:p w14:paraId="0E3B044E" w14:textId="77777777" w:rsidR="00BB575A" w:rsidRPr="00587D64" w:rsidRDefault="00BB575A" w:rsidP="007374FA">
            <w:pPr>
              <w:widowControl/>
              <w:jc w:val="center"/>
              <w:rPr>
                <w:b/>
                <w:sz w:val="26"/>
                <w:szCs w:val="24"/>
                <w:u w:val="single"/>
              </w:rPr>
            </w:pPr>
            <w:r w:rsidRPr="00587D64">
              <w:rPr>
                <w:b/>
                <w:sz w:val="26"/>
                <w:szCs w:val="24"/>
                <w:u w:val="single"/>
              </w:rPr>
              <w:t>Change</w:t>
            </w:r>
          </w:p>
        </w:tc>
        <w:tc>
          <w:tcPr>
            <w:tcW w:w="1803" w:type="dxa"/>
            <w:vAlign w:val="bottom"/>
          </w:tcPr>
          <w:p w14:paraId="0920E262" w14:textId="77777777" w:rsidR="00BB575A" w:rsidRPr="00587D64" w:rsidRDefault="00BB575A" w:rsidP="007374FA">
            <w:pPr>
              <w:widowControl/>
              <w:jc w:val="center"/>
              <w:rPr>
                <w:b/>
                <w:sz w:val="26"/>
                <w:szCs w:val="24"/>
              </w:rPr>
            </w:pPr>
            <w:r w:rsidRPr="00587D64">
              <w:rPr>
                <w:b/>
                <w:sz w:val="26"/>
                <w:szCs w:val="24"/>
              </w:rPr>
              <w:t>Percent</w:t>
            </w:r>
          </w:p>
          <w:p w14:paraId="4D997180" w14:textId="77777777" w:rsidR="00BB575A" w:rsidRPr="00587D64" w:rsidRDefault="00BB575A" w:rsidP="007374FA">
            <w:pPr>
              <w:widowControl/>
              <w:jc w:val="center"/>
              <w:rPr>
                <w:b/>
                <w:sz w:val="26"/>
                <w:szCs w:val="24"/>
                <w:u w:val="single"/>
              </w:rPr>
            </w:pPr>
            <w:r w:rsidRPr="00587D64">
              <w:rPr>
                <w:b/>
                <w:sz w:val="26"/>
                <w:szCs w:val="24"/>
                <w:u w:val="single"/>
              </w:rPr>
              <w:t>Change</w:t>
            </w:r>
          </w:p>
        </w:tc>
      </w:tr>
      <w:tr w:rsidR="00BB575A" w14:paraId="157E1BA7" w14:textId="77777777" w:rsidTr="00162094">
        <w:trPr>
          <w:trHeight w:val="467"/>
        </w:trPr>
        <w:tc>
          <w:tcPr>
            <w:tcW w:w="2785" w:type="dxa"/>
            <w:vAlign w:val="center"/>
          </w:tcPr>
          <w:p w14:paraId="3D1C9D6F" w14:textId="77777777" w:rsidR="00BB575A" w:rsidRPr="00587D64" w:rsidRDefault="00BB575A" w:rsidP="007374FA">
            <w:pPr>
              <w:widowControl/>
              <w:jc w:val="center"/>
              <w:rPr>
                <w:sz w:val="26"/>
                <w:szCs w:val="24"/>
              </w:rPr>
            </w:pPr>
          </w:p>
        </w:tc>
        <w:tc>
          <w:tcPr>
            <w:tcW w:w="1889" w:type="dxa"/>
            <w:vAlign w:val="center"/>
          </w:tcPr>
          <w:p w14:paraId="0DD075BB" w14:textId="77777777" w:rsidR="00BB575A" w:rsidRDefault="00BB575A" w:rsidP="007374FA">
            <w:pPr>
              <w:widowControl/>
              <w:jc w:val="center"/>
              <w:rPr>
                <w:sz w:val="26"/>
                <w:szCs w:val="24"/>
              </w:rPr>
            </w:pPr>
            <w:r>
              <w:rPr>
                <w:sz w:val="26"/>
                <w:szCs w:val="24"/>
              </w:rPr>
              <w:t>($/Mcf)</w:t>
            </w:r>
          </w:p>
        </w:tc>
        <w:tc>
          <w:tcPr>
            <w:tcW w:w="2338" w:type="dxa"/>
            <w:vAlign w:val="center"/>
          </w:tcPr>
          <w:p w14:paraId="11414893" w14:textId="77777777" w:rsidR="00BB575A" w:rsidRDefault="00BB575A" w:rsidP="007374FA">
            <w:pPr>
              <w:widowControl/>
              <w:jc w:val="center"/>
              <w:rPr>
                <w:sz w:val="26"/>
                <w:szCs w:val="24"/>
              </w:rPr>
            </w:pPr>
            <w:r>
              <w:rPr>
                <w:sz w:val="26"/>
                <w:szCs w:val="24"/>
              </w:rPr>
              <w:t>($/Mcf)</w:t>
            </w:r>
          </w:p>
        </w:tc>
        <w:tc>
          <w:tcPr>
            <w:tcW w:w="1803" w:type="dxa"/>
            <w:vAlign w:val="center"/>
          </w:tcPr>
          <w:p w14:paraId="1089E761" w14:textId="77777777" w:rsidR="00BB575A" w:rsidRDefault="00BB575A" w:rsidP="007374FA">
            <w:pPr>
              <w:widowControl/>
              <w:jc w:val="center"/>
              <w:rPr>
                <w:sz w:val="26"/>
                <w:szCs w:val="24"/>
              </w:rPr>
            </w:pPr>
          </w:p>
        </w:tc>
      </w:tr>
      <w:tr w:rsidR="00BB575A" w14:paraId="5563097C" w14:textId="77777777" w:rsidTr="00162094">
        <w:trPr>
          <w:trHeight w:val="467"/>
        </w:trPr>
        <w:tc>
          <w:tcPr>
            <w:tcW w:w="2785" w:type="dxa"/>
            <w:vAlign w:val="center"/>
          </w:tcPr>
          <w:p w14:paraId="21F79DFA" w14:textId="77777777" w:rsidR="00BB575A" w:rsidRPr="00587D64" w:rsidRDefault="00BB575A" w:rsidP="007374FA">
            <w:pPr>
              <w:widowControl/>
              <w:jc w:val="center"/>
              <w:rPr>
                <w:sz w:val="26"/>
                <w:szCs w:val="24"/>
              </w:rPr>
            </w:pPr>
            <w:r w:rsidRPr="00587D64">
              <w:rPr>
                <w:sz w:val="26"/>
                <w:szCs w:val="24"/>
              </w:rPr>
              <w:t>RS</w:t>
            </w:r>
          </w:p>
        </w:tc>
        <w:tc>
          <w:tcPr>
            <w:tcW w:w="1889" w:type="dxa"/>
            <w:vAlign w:val="center"/>
          </w:tcPr>
          <w:p w14:paraId="33743E29" w14:textId="77777777" w:rsidR="00BB575A" w:rsidRDefault="00BB575A" w:rsidP="007374FA">
            <w:pPr>
              <w:widowControl/>
              <w:jc w:val="center"/>
              <w:rPr>
                <w:sz w:val="26"/>
                <w:szCs w:val="24"/>
              </w:rPr>
            </w:pPr>
            <w:r>
              <w:rPr>
                <w:sz w:val="26"/>
                <w:szCs w:val="24"/>
              </w:rPr>
              <w:t>$8.</w:t>
            </w:r>
            <w:r w:rsidR="002E1E97">
              <w:rPr>
                <w:sz w:val="26"/>
                <w:szCs w:val="24"/>
              </w:rPr>
              <w:t>5085</w:t>
            </w:r>
          </w:p>
        </w:tc>
        <w:tc>
          <w:tcPr>
            <w:tcW w:w="2338" w:type="dxa"/>
            <w:vAlign w:val="center"/>
          </w:tcPr>
          <w:p w14:paraId="0D818988" w14:textId="77777777" w:rsidR="00BB575A" w:rsidRDefault="00BB575A" w:rsidP="007374FA">
            <w:pPr>
              <w:widowControl/>
              <w:jc w:val="center"/>
              <w:rPr>
                <w:sz w:val="26"/>
                <w:szCs w:val="24"/>
              </w:rPr>
            </w:pPr>
            <w:r>
              <w:rPr>
                <w:sz w:val="26"/>
                <w:szCs w:val="24"/>
              </w:rPr>
              <w:t>($0.</w:t>
            </w:r>
            <w:r w:rsidR="002E1E97">
              <w:rPr>
                <w:sz w:val="26"/>
                <w:szCs w:val="24"/>
              </w:rPr>
              <w:t>1642</w:t>
            </w:r>
            <w:r>
              <w:rPr>
                <w:sz w:val="26"/>
                <w:szCs w:val="24"/>
              </w:rPr>
              <w:t>)</w:t>
            </w:r>
          </w:p>
        </w:tc>
        <w:tc>
          <w:tcPr>
            <w:tcW w:w="1803" w:type="dxa"/>
            <w:vAlign w:val="center"/>
          </w:tcPr>
          <w:p w14:paraId="3D85E9B1" w14:textId="77777777" w:rsidR="00BB575A" w:rsidRDefault="00BB575A" w:rsidP="007374FA">
            <w:pPr>
              <w:widowControl/>
              <w:jc w:val="center"/>
              <w:rPr>
                <w:sz w:val="26"/>
                <w:szCs w:val="24"/>
              </w:rPr>
            </w:pPr>
            <w:r>
              <w:rPr>
                <w:sz w:val="26"/>
                <w:szCs w:val="24"/>
              </w:rPr>
              <w:t>-</w:t>
            </w:r>
            <w:r w:rsidR="002E1E97">
              <w:rPr>
                <w:sz w:val="26"/>
                <w:szCs w:val="24"/>
              </w:rPr>
              <w:t>1.9</w:t>
            </w:r>
            <w:r>
              <w:rPr>
                <w:sz w:val="26"/>
                <w:szCs w:val="24"/>
              </w:rPr>
              <w:t>%</w:t>
            </w:r>
          </w:p>
        </w:tc>
      </w:tr>
      <w:tr w:rsidR="00BB575A" w14:paraId="2B715B69" w14:textId="77777777" w:rsidTr="00162094">
        <w:trPr>
          <w:trHeight w:val="458"/>
        </w:trPr>
        <w:tc>
          <w:tcPr>
            <w:tcW w:w="2785" w:type="dxa"/>
            <w:vAlign w:val="center"/>
          </w:tcPr>
          <w:p w14:paraId="536FC040" w14:textId="77777777" w:rsidR="00BB575A" w:rsidRPr="00587D64" w:rsidRDefault="00BB575A" w:rsidP="007374FA">
            <w:pPr>
              <w:widowControl/>
              <w:jc w:val="center"/>
              <w:rPr>
                <w:sz w:val="26"/>
                <w:szCs w:val="24"/>
              </w:rPr>
            </w:pPr>
            <w:r w:rsidRPr="00587D64">
              <w:rPr>
                <w:sz w:val="26"/>
                <w:szCs w:val="24"/>
              </w:rPr>
              <w:t>GS</w:t>
            </w:r>
            <w:r w:rsidR="002E1E97">
              <w:rPr>
                <w:sz w:val="26"/>
                <w:szCs w:val="24"/>
              </w:rPr>
              <w:t>S</w:t>
            </w:r>
          </w:p>
        </w:tc>
        <w:tc>
          <w:tcPr>
            <w:tcW w:w="1889" w:type="dxa"/>
            <w:vAlign w:val="center"/>
          </w:tcPr>
          <w:p w14:paraId="012F27CD" w14:textId="77777777" w:rsidR="00BB575A" w:rsidRDefault="00BB575A" w:rsidP="007374FA">
            <w:pPr>
              <w:widowControl/>
              <w:jc w:val="center"/>
              <w:rPr>
                <w:sz w:val="26"/>
                <w:szCs w:val="24"/>
              </w:rPr>
            </w:pPr>
            <w:r>
              <w:rPr>
                <w:sz w:val="26"/>
                <w:szCs w:val="24"/>
              </w:rPr>
              <w:t>$</w:t>
            </w:r>
            <w:r w:rsidR="002E1E97">
              <w:rPr>
                <w:sz w:val="26"/>
                <w:szCs w:val="24"/>
              </w:rPr>
              <w:t>7.3684</w:t>
            </w:r>
          </w:p>
        </w:tc>
        <w:tc>
          <w:tcPr>
            <w:tcW w:w="2338" w:type="dxa"/>
            <w:vAlign w:val="center"/>
          </w:tcPr>
          <w:p w14:paraId="0916A111" w14:textId="77777777" w:rsidR="00BB575A" w:rsidRDefault="00BB575A" w:rsidP="007374FA">
            <w:pPr>
              <w:widowControl/>
              <w:jc w:val="center"/>
              <w:rPr>
                <w:sz w:val="26"/>
                <w:szCs w:val="24"/>
              </w:rPr>
            </w:pPr>
            <w:r>
              <w:rPr>
                <w:sz w:val="26"/>
                <w:szCs w:val="24"/>
              </w:rPr>
              <w:t>($0.</w:t>
            </w:r>
            <w:r w:rsidR="002E1E97">
              <w:rPr>
                <w:sz w:val="26"/>
                <w:szCs w:val="24"/>
              </w:rPr>
              <w:t>1456</w:t>
            </w:r>
            <w:r>
              <w:rPr>
                <w:sz w:val="26"/>
                <w:szCs w:val="24"/>
              </w:rPr>
              <w:t>)</w:t>
            </w:r>
          </w:p>
        </w:tc>
        <w:tc>
          <w:tcPr>
            <w:tcW w:w="1803" w:type="dxa"/>
            <w:vAlign w:val="center"/>
          </w:tcPr>
          <w:p w14:paraId="442DC87E" w14:textId="77777777" w:rsidR="00BB575A" w:rsidRDefault="00BB575A" w:rsidP="007374FA">
            <w:pPr>
              <w:widowControl/>
              <w:jc w:val="center"/>
              <w:rPr>
                <w:sz w:val="26"/>
                <w:szCs w:val="24"/>
              </w:rPr>
            </w:pPr>
            <w:r>
              <w:rPr>
                <w:sz w:val="26"/>
                <w:szCs w:val="24"/>
              </w:rPr>
              <w:t>-</w:t>
            </w:r>
            <w:r w:rsidR="002E1E97">
              <w:rPr>
                <w:sz w:val="26"/>
                <w:szCs w:val="24"/>
              </w:rPr>
              <w:t>2</w:t>
            </w:r>
            <w:r>
              <w:rPr>
                <w:sz w:val="26"/>
                <w:szCs w:val="24"/>
              </w:rPr>
              <w:t>.</w:t>
            </w:r>
            <w:r w:rsidR="002E1E97">
              <w:rPr>
                <w:sz w:val="26"/>
                <w:szCs w:val="24"/>
              </w:rPr>
              <w:t>0</w:t>
            </w:r>
            <w:r>
              <w:rPr>
                <w:sz w:val="26"/>
                <w:szCs w:val="24"/>
              </w:rPr>
              <w:t>%</w:t>
            </w:r>
          </w:p>
        </w:tc>
      </w:tr>
      <w:tr w:rsidR="00BB575A" w14:paraId="71246F69" w14:textId="77777777" w:rsidTr="00162094">
        <w:trPr>
          <w:trHeight w:val="422"/>
        </w:trPr>
        <w:tc>
          <w:tcPr>
            <w:tcW w:w="2785" w:type="dxa"/>
            <w:vAlign w:val="center"/>
          </w:tcPr>
          <w:p w14:paraId="36CC8DD5" w14:textId="77777777" w:rsidR="00BB575A" w:rsidRPr="00587D64" w:rsidRDefault="002E1E97" w:rsidP="007374FA">
            <w:pPr>
              <w:widowControl/>
              <w:jc w:val="center"/>
              <w:rPr>
                <w:sz w:val="26"/>
                <w:szCs w:val="24"/>
              </w:rPr>
            </w:pPr>
            <w:r>
              <w:rPr>
                <w:sz w:val="26"/>
                <w:szCs w:val="24"/>
              </w:rPr>
              <w:t>GSL</w:t>
            </w:r>
          </w:p>
        </w:tc>
        <w:tc>
          <w:tcPr>
            <w:tcW w:w="1889" w:type="dxa"/>
            <w:vAlign w:val="center"/>
          </w:tcPr>
          <w:p w14:paraId="6069F12E" w14:textId="77777777" w:rsidR="00BB575A" w:rsidRDefault="00BB575A" w:rsidP="007374FA">
            <w:pPr>
              <w:widowControl/>
              <w:jc w:val="center"/>
              <w:rPr>
                <w:sz w:val="26"/>
                <w:szCs w:val="24"/>
              </w:rPr>
            </w:pPr>
            <w:r>
              <w:rPr>
                <w:sz w:val="26"/>
                <w:szCs w:val="24"/>
              </w:rPr>
              <w:t>$</w:t>
            </w:r>
            <w:r w:rsidR="002E1E97">
              <w:rPr>
                <w:sz w:val="26"/>
                <w:szCs w:val="24"/>
              </w:rPr>
              <w:t>7.0989</w:t>
            </w:r>
          </w:p>
        </w:tc>
        <w:tc>
          <w:tcPr>
            <w:tcW w:w="2338" w:type="dxa"/>
            <w:vAlign w:val="center"/>
          </w:tcPr>
          <w:p w14:paraId="5B565284" w14:textId="77777777" w:rsidR="00BB575A" w:rsidRDefault="00BB575A" w:rsidP="007374FA">
            <w:pPr>
              <w:widowControl/>
              <w:jc w:val="center"/>
              <w:rPr>
                <w:sz w:val="26"/>
                <w:szCs w:val="24"/>
              </w:rPr>
            </w:pPr>
            <w:r>
              <w:rPr>
                <w:sz w:val="26"/>
                <w:szCs w:val="24"/>
              </w:rPr>
              <w:t>$0.</w:t>
            </w:r>
            <w:r w:rsidR="002E1E97">
              <w:rPr>
                <w:sz w:val="26"/>
                <w:szCs w:val="24"/>
              </w:rPr>
              <w:t>0289</w:t>
            </w:r>
          </w:p>
        </w:tc>
        <w:tc>
          <w:tcPr>
            <w:tcW w:w="1803" w:type="dxa"/>
            <w:vAlign w:val="center"/>
          </w:tcPr>
          <w:p w14:paraId="19A885DF" w14:textId="77777777" w:rsidR="00BB575A" w:rsidRDefault="002E1E97" w:rsidP="007374FA">
            <w:pPr>
              <w:widowControl/>
              <w:jc w:val="center"/>
              <w:rPr>
                <w:sz w:val="26"/>
                <w:szCs w:val="24"/>
              </w:rPr>
            </w:pPr>
            <w:r>
              <w:rPr>
                <w:sz w:val="26"/>
                <w:szCs w:val="24"/>
              </w:rPr>
              <w:t>0.4</w:t>
            </w:r>
            <w:r w:rsidR="00BB575A">
              <w:rPr>
                <w:sz w:val="26"/>
                <w:szCs w:val="24"/>
              </w:rPr>
              <w:t>%</w:t>
            </w:r>
          </w:p>
        </w:tc>
      </w:tr>
      <w:tr w:rsidR="00BB575A" w14:paraId="1CD30507" w14:textId="77777777" w:rsidTr="00162094">
        <w:trPr>
          <w:trHeight w:val="458"/>
        </w:trPr>
        <w:tc>
          <w:tcPr>
            <w:tcW w:w="2785" w:type="dxa"/>
            <w:vAlign w:val="center"/>
          </w:tcPr>
          <w:p w14:paraId="1DD30037" w14:textId="77777777" w:rsidR="00BB575A" w:rsidRPr="00587D64" w:rsidRDefault="002E1E97" w:rsidP="007374FA">
            <w:pPr>
              <w:widowControl/>
              <w:jc w:val="center"/>
              <w:rPr>
                <w:sz w:val="26"/>
                <w:szCs w:val="24"/>
              </w:rPr>
            </w:pPr>
            <w:r>
              <w:rPr>
                <w:sz w:val="26"/>
                <w:szCs w:val="24"/>
              </w:rPr>
              <w:t>GSL &gt;25</w:t>
            </w:r>
            <w:r w:rsidR="00BB575A" w:rsidRPr="00587D64">
              <w:rPr>
                <w:sz w:val="26"/>
                <w:szCs w:val="24"/>
              </w:rPr>
              <w:t xml:space="preserve">,000 </w:t>
            </w:r>
            <w:proofErr w:type="spellStart"/>
            <w:r w:rsidR="00BB575A" w:rsidRPr="00587D64">
              <w:rPr>
                <w:sz w:val="26"/>
                <w:szCs w:val="24"/>
              </w:rPr>
              <w:t>Mcf</w:t>
            </w:r>
            <w:proofErr w:type="spellEnd"/>
            <w:r w:rsidR="00BB575A" w:rsidRPr="00587D64">
              <w:rPr>
                <w:sz w:val="26"/>
                <w:szCs w:val="24"/>
              </w:rPr>
              <w:t>/</w:t>
            </w:r>
            <w:proofErr w:type="spellStart"/>
            <w:r w:rsidR="00BB575A" w:rsidRPr="00587D64">
              <w:rPr>
                <w:sz w:val="26"/>
                <w:szCs w:val="24"/>
              </w:rPr>
              <w:t>yr</w:t>
            </w:r>
            <w:proofErr w:type="spellEnd"/>
          </w:p>
        </w:tc>
        <w:tc>
          <w:tcPr>
            <w:tcW w:w="1889" w:type="dxa"/>
            <w:vAlign w:val="center"/>
          </w:tcPr>
          <w:p w14:paraId="42BBF534" w14:textId="77777777" w:rsidR="00BB575A" w:rsidRDefault="00BB575A" w:rsidP="007374FA">
            <w:pPr>
              <w:widowControl/>
              <w:jc w:val="center"/>
              <w:rPr>
                <w:sz w:val="26"/>
                <w:szCs w:val="24"/>
              </w:rPr>
            </w:pPr>
            <w:r>
              <w:rPr>
                <w:sz w:val="26"/>
                <w:szCs w:val="24"/>
              </w:rPr>
              <w:t>$</w:t>
            </w:r>
            <w:r w:rsidR="002E1E97">
              <w:rPr>
                <w:sz w:val="26"/>
                <w:szCs w:val="24"/>
              </w:rPr>
              <w:t>6.7985</w:t>
            </w:r>
          </w:p>
        </w:tc>
        <w:tc>
          <w:tcPr>
            <w:tcW w:w="2338" w:type="dxa"/>
            <w:vAlign w:val="center"/>
          </w:tcPr>
          <w:p w14:paraId="3FBAA0B6" w14:textId="77777777" w:rsidR="00BB575A" w:rsidRDefault="00BB575A" w:rsidP="007374FA">
            <w:pPr>
              <w:widowControl/>
              <w:jc w:val="center"/>
              <w:rPr>
                <w:sz w:val="26"/>
                <w:szCs w:val="24"/>
              </w:rPr>
            </w:pPr>
            <w:r>
              <w:rPr>
                <w:sz w:val="26"/>
                <w:szCs w:val="24"/>
              </w:rPr>
              <w:t>$0.</w:t>
            </w:r>
            <w:r w:rsidR="002E1E97">
              <w:rPr>
                <w:sz w:val="26"/>
                <w:szCs w:val="24"/>
              </w:rPr>
              <w:t>3293</w:t>
            </w:r>
          </w:p>
        </w:tc>
        <w:tc>
          <w:tcPr>
            <w:tcW w:w="1803" w:type="dxa"/>
            <w:vAlign w:val="center"/>
          </w:tcPr>
          <w:p w14:paraId="75B43144" w14:textId="77777777" w:rsidR="00BB575A" w:rsidRDefault="002E1E97" w:rsidP="007374FA">
            <w:pPr>
              <w:widowControl/>
              <w:jc w:val="center"/>
              <w:rPr>
                <w:sz w:val="26"/>
                <w:szCs w:val="24"/>
              </w:rPr>
            </w:pPr>
            <w:r>
              <w:rPr>
                <w:sz w:val="26"/>
                <w:szCs w:val="24"/>
              </w:rPr>
              <w:t>4</w:t>
            </w:r>
            <w:r w:rsidR="00BB575A">
              <w:rPr>
                <w:sz w:val="26"/>
                <w:szCs w:val="24"/>
              </w:rPr>
              <w:t>.</w:t>
            </w:r>
            <w:r>
              <w:rPr>
                <w:sz w:val="26"/>
                <w:szCs w:val="24"/>
              </w:rPr>
              <w:t>8</w:t>
            </w:r>
            <w:r w:rsidR="00BB575A">
              <w:rPr>
                <w:sz w:val="26"/>
                <w:szCs w:val="24"/>
              </w:rPr>
              <w:t>%</w:t>
            </w:r>
          </w:p>
        </w:tc>
      </w:tr>
    </w:tbl>
    <w:p w14:paraId="667492D1" w14:textId="6E8E3C0E" w:rsidR="00BB575A" w:rsidRDefault="00BB575A" w:rsidP="007374FA">
      <w:pPr>
        <w:keepNext/>
        <w:keepLines/>
        <w:widowControl/>
        <w:spacing w:line="360" w:lineRule="auto"/>
        <w:rPr>
          <w:sz w:val="26"/>
          <w:szCs w:val="24"/>
        </w:rPr>
      </w:pPr>
    </w:p>
    <w:p w14:paraId="61A2E895" w14:textId="77777777" w:rsidR="00C0578D" w:rsidRDefault="00C0578D" w:rsidP="007374FA">
      <w:pPr>
        <w:keepNext/>
        <w:keepLines/>
        <w:widowControl/>
        <w:spacing w:line="360" w:lineRule="auto"/>
        <w:rPr>
          <w:sz w:val="26"/>
          <w:szCs w:val="24"/>
        </w:rPr>
      </w:pPr>
    </w:p>
    <w:p w14:paraId="21313B63" w14:textId="77777777" w:rsidR="00BB575A" w:rsidRDefault="00BB575A" w:rsidP="007374FA">
      <w:pPr>
        <w:widowControl/>
        <w:spacing w:line="360" w:lineRule="auto"/>
        <w:rPr>
          <w:sz w:val="26"/>
          <w:szCs w:val="24"/>
        </w:rPr>
      </w:pPr>
      <w:r>
        <w:rPr>
          <w:sz w:val="26"/>
          <w:szCs w:val="24"/>
        </w:rPr>
        <w:t>Partial Settlement at ¶ 3</w:t>
      </w:r>
      <w:r w:rsidR="002E1E97">
        <w:rPr>
          <w:sz w:val="26"/>
          <w:szCs w:val="24"/>
        </w:rPr>
        <w:t>7</w:t>
      </w:r>
      <w:r>
        <w:rPr>
          <w:sz w:val="26"/>
          <w:szCs w:val="24"/>
        </w:rPr>
        <w:t>.</w:t>
      </w:r>
    </w:p>
    <w:p w14:paraId="0B29A5E3" w14:textId="77777777" w:rsidR="00C63CF7" w:rsidRDefault="00C63CF7" w:rsidP="007374FA">
      <w:pPr>
        <w:widowControl/>
        <w:spacing w:line="360" w:lineRule="auto"/>
        <w:rPr>
          <w:sz w:val="26"/>
          <w:szCs w:val="24"/>
        </w:rPr>
      </w:pPr>
    </w:p>
    <w:p w14:paraId="7A067D90" w14:textId="77777777" w:rsidR="009324E2" w:rsidRPr="003D116E" w:rsidRDefault="009324E2" w:rsidP="007374FA">
      <w:pPr>
        <w:pStyle w:val="Heading1"/>
        <w:keepLines/>
      </w:pPr>
      <w:bookmarkStart w:id="9" w:name="_Toc524442340"/>
      <w:r w:rsidRPr="003D116E">
        <w:lastRenderedPageBreak/>
        <w:t>History of the Proceeding</w:t>
      </w:r>
      <w:bookmarkEnd w:id="9"/>
    </w:p>
    <w:p w14:paraId="660BE7A2" w14:textId="77777777" w:rsidR="009324E2" w:rsidRPr="002E5F97" w:rsidRDefault="009324E2" w:rsidP="007374FA">
      <w:pPr>
        <w:keepNext/>
        <w:keepLines/>
        <w:widowControl/>
        <w:spacing w:line="360" w:lineRule="auto"/>
        <w:rPr>
          <w:sz w:val="26"/>
          <w:szCs w:val="26"/>
        </w:rPr>
      </w:pPr>
    </w:p>
    <w:p w14:paraId="71C22876" w14:textId="7CE66B1F" w:rsidR="00C57A19" w:rsidRPr="003D116E" w:rsidRDefault="00C57A19" w:rsidP="007374FA">
      <w:pPr>
        <w:widowControl/>
        <w:tabs>
          <w:tab w:val="left" w:pos="1445"/>
        </w:tabs>
        <w:autoSpaceDE w:val="0"/>
        <w:autoSpaceDN w:val="0"/>
        <w:adjustRightInd w:val="0"/>
        <w:spacing w:line="360" w:lineRule="auto"/>
        <w:ind w:firstLine="1440"/>
        <w:rPr>
          <w:sz w:val="26"/>
          <w:szCs w:val="26"/>
        </w:rPr>
      </w:pPr>
      <w:r w:rsidRPr="003D116E">
        <w:rPr>
          <w:sz w:val="26"/>
          <w:szCs w:val="26"/>
        </w:rPr>
        <w:t xml:space="preserve">On March 2, 2018, </w:t>
      </w:r>
      <w:r w:rsidR="00916681" w:rsidRPr="003D116E">
        <w:rPr>
          <w:sz w:val="26"/>
          <w:szCs w:val="26"/>
        </w:rPr>
        <w:t>Peoples</w:t>
      </w:r>
      <w:r w:rsidRPr="003D116E">
        <w:rPr>
          <w:sz w:val="26"/>
          <w:szCs w:val="26"/>
        </w:rPr>
        <w:t xml:space="preserve"> submitted its pre-filing information in support of its annual PGC filing to the Commission pursuant to 52 Pa. Code §§ 53.64 and 53.65.</w:t>
      </w:r>
    </w:p>
    <w:p w14:paraId="40972550" w14:textId="77777777" w:rsidR="00C57A19" w:rsidRPr="003D116E" w:rsidRDefault="00C57A19" w:rsidP="007374FA">
      <w:pPr>
        <w:widowControl/>
        <w:tabs>
          <w:tab w:val="left" w:pos="1445"/>
        </w:tabs>
        <w:autoSpaceDE w:val="0"/>
        <w:autoSpaceDN w:val="0"/>
        <w:adjustRightInd w:val="0"/>
        <w:spacing w:line="360" w:lineRule="auto"/>
        <w:ind w:firstLine="1440"/>
        <w:rPr>
          <w:sz w:val="26"/>
          <w:szCs w:val="26"/>
        </w:rPr>
      </w:pPr>
    </w:p>
    <w:p w14:paraId="017F3E04" w14:textId="49354054" w:rsidR="00C57A19" w:rsidRDefault="00C57A19" w:rsidP="007374FA">
      <w:pPr>
        <w:widowControl/>
        <w:tabs>
          <w:tab w:val="left" w:pos="1445"/>
        </w:tabs>
        <w:autoSpaceDE w:val="0"/>
        <w:autoSpaceDN w:val="0"/>
        <w:adjustRightInd w:val="0"/>
        <w:spacing w:line="360" w:lineRule="auto"/>
        <w:ind w:firstLine="1440"/>
        <w:rPr>
          <w:sz w:val="26"/>
          <w:szCs w:val="26"/>
        </w:rPr>
      </w:pPr>
      <w:r w:rsidRPr="003D116E">
        <w:rPr>
          <w:sz w:val="26"/>
          <w:szCs w:val="26"/>
        </w:rPr>
        <w:t>I&amp;</w:t>
      </w:r>
      <w:r>
        <w:rPr>
          <w:sz w:val="26"/>
          <w:szCs w:val="26"/>
        </w:rPr>
        <w:t xml:space="preserve">E entered a Notice </w:t>
      </w:r>
      <w:r w:rsidR="004A5AA4">
        <w:rPr>
          <w:sz w:val="26"/>
          <w:szCs w:val="26"/>
        </w:rPr>
        <w:t xml:space="preserve">of Appearance on March 9, 2018.  </w:t>
      </w:r>
      <w:r>
        <w:rPr>
          <w:sz w:val="26"/>
          <w:szCs w:val="26"/>
        </w:rPr>
        <w:t xml:space="preserve">On March 15, 2018, the OCA filed a </w:t>
      </w:r>
      <w:r w:rsidR="005F320F">
        <w:rPr>
          <w:sz w:val="26"/>
          <w:szCs w:val="26"/>
        </w:rPr>
        <w:t>Notice of Appearance</w:t>
      </w:r>
      <w:r>
        <w:rPr>
          <w:sz w:val="26"/>
          <w:szCs w:val="26"/>
        </w:rPr>
        <w:t xml:space="preserve">, Public Statement, and </w:t>
      </w:r>
      <w:r w:rsidR="005F320F">
        <w:rPr>
          <w:sz w:val="26"/>
          <w:szCs w:val="26"/>
        </w:rPr>
        <w:t>Formal Complaint at Docket No</w:t>
      </w:r>
      <w:r w:rsidR="004C0691">
        <w:rPr>
          <w:sz w:val="26"/>
          <w:szCs w:val="26"/>
        </w:rPr>
        <w:t>s</w:t>
      </w:r>
      <w:r w:rsidR="005F320F">
        <w:rPr>
          <w:sz w:val="26"/>
          <w:szCs w:val="26"/>
        </w:rPr>
        <w:t>. C-2018-300049</w:t>
      </w:r>
      <w:r w:rsidR="00916681">
        <w:rPr>
          <w:sz w:val="26"/>
          <w:szCs w:val="26"/>
        </w:rPr>
        <w:t>4 and C-2018-3000496</w:t>
      </w:r>
      <w:r>
        <w:rPr>
          <w:sz w:val="26"/>
          <w:szCs w:val="26"/>
        </w:rPr>
        <w:t>.</w:t>
      </w:r>
      <w:r w:rsidR="004A5AA4">
        <w:rPr>
          <w:sz w:val="26"/>
          <w:szCs w:val="26"/>
        </w:rPr>
        <w:t xml:space="preserve">  </w:t>
      </w:r>
      <w:r>
        <w:rPr>
          <w:sz w:val="26"/>
          <w:szCs w:val="26"/>
        </w:rPr>
        <w:t xml:space="preserve">On March 20, 2018, the OSBA filed a </w:t>
      </w:r>
      <w:r w:rsidR="005F320F">
        <w:rPr>
          <w:sz w:val="26"/>
          <w:szCs w:val="26"/>
        </w:rPr>
        <w:t>Notice of Appearance</w:t>
      </w:r>
      <w:r>
        <w:rPr>
          <w:sz w:val="26"/>
          <w:szCs w:val="26"/>
        </w:rPr>
        <w:t>, Public Sta</w:t>
      </w:r>
      <w:r w:rsidR="005F320F">
        <w:rPr>
          <w:sz w:val="26"/>
          <w:szCs w:val="26"/>
        </w:rPr>
        <w:t>tement, and Formal Complaint at Docket No</w:t>
      </w:r>
      <w:r w:rsidR="004C0691">
        <w:rPr>
          <w:sz w:val="26"/>
          <w:szCs w:val="26"/>
        </w:rPr>
        <w:t>s</w:t>
      </w:r>
      <w:r w:rsidR="005F320F">
        <w:rPr>
          <w:sz w:val="26"/>
          <w:szCs w:val="26"/>
        </w:rPr>
        <w:t>. C</w:t>
      </w:r>
      <w:r w:rsidR="004C0691">
        <w:rPr>
          <w:sz w:val="26"/>
          <w:szCs w:val="26"/>
        </w:rPr>
        <w:noBreakHyphen/>
      </w:r>
      <w:r w:rsidR="005F320F">
        <w:rPr>
          <w:sz w:val="26"/>
          <w:szCs w:val="26"/>
        </w:rPr>
        <w:t>2018-30005</w:t>
      </w:r>
      <w:r w:rsidR="00916681">
        <w:rPr>
          <w:sz w:val="26"/>
          <w:szCs w:val="26"/>
        </w:rPr>
        <w:t>67 and C-2018-3000573</w:t>
      </w:r>
      <w:r>
        <w:rPr>
          <w:sz w:val="26"/>
          <w:szCs w:val="26"/>
        </w:rPr>
        <w:t>.</w:t>
      </w:r>
      <w:r w:rsidR="007E7AD3">
        <w:rPr>
          <w:sz w:val="26"/>
          <w:szCs w:val="26"/>
        </w:rPr>
        <w:t xml:space="preserve">  Also</w:t>
      </w:r>
      <w:r w:rsidR="00575E80">
        <w:rPr>
          <w:sz w:val="26"/>
          <w:szCs w:val="26"/>
        </w:rPr>
        <w:t>,</w:t>
      </w:r>
      <w:r w:rsidR="007E7AD3">
        <w:rPr>
          <w:sz w:val="26"/>
          <w:szCs w:val="26"/>
        </w:rPr>
        <w:t xml:space="preserve"> on April 2, 2018, PIOGA filed a Petition to Intervene.</w:t>
      </w:r>
    </w:p>
    <w:p w14:paraId="097ACBAA" w14:textId="77777777" w:rsidR="00C57A19" w:rsidRDefault="00C57A19" w:rsidP="007374FA">
      <w:pPr>
        <w:widowControl/>
        <w:tabs>
          <w:tab w:val="left" w:pos="1445"/>
        </w:tabs>
        <w:autoSpaceDE w:val="0"/>
        <w:autoSpaceDN w:val="0"/>
        <w:adjustRightInd w:val="0"/>
        <w:spacing w:line="360" w:lineRule="auto"/>
        <w:ind w:firstLine="1440"/>
        <w:rPr>
          <w:sz w:val="26"/>
          <w:szCs w:val="26"/>
        </w:rPr>
      </w:pPr>
    </w:p>
    <w:p w14:paraId="46E3F2AE" w14:textId="4548C98C" w:rsidR="0002305B" w:rsidRDefault="007E7AD3" w:rsidP="007374FA">
      <w:pPr>
        <w:widowControl/>
        <w:tabs>
          <w:tab w:val="left" w:pos="1445"/>
        </w:tabs>
        <w:autoSpaceDE w:val="0"/>
        <w:autoSpaceDN w:val="0"/>
        <w:adjustRightInd w:val="0"/>
        <w:spacing w:line="360" w:lineRule="auto"/>
        <w:ind w:firstLine="1440"/>
        <w:rPr>
          <w:sz w:val="26"/>
          <w:szCs w:val="26"/>
        </w:rPr>
      </w:pPr>
      <w:r>
        <w:rPr>
          <w:sz w:val="26"/>
          <w:szCs w:val="26"/>
        </w:rPr>
        <w:t>O</w:t>
      </w:r>
      <w:r w:rsidR="00C66B30">
        <w:rPr>
          <w:sz w:val="26"/>
          <w:szCs w:val="26"/>
        </w:rPr>
        <w:t>n</w:t>
      </w:r>
      <w:r w:rsidR="00472472">
        <w:rPr>
          <w:sz w:val="26"/>
          <w:szCs w:val="26"/>
        </w:rPr>
        <w:t xml:space="preserve"> April 2, 2018, Peoples filed with the Commission its definitive PGC filing, including supporting information required by the Commission </w:t>
      </w:r>
      <w:r w:rsidR="00E045CC">
        <w:rPr>
          <w:sz w:val="26"/>
          <w:szCs w:val="26"/>
        </w:rPr>
        <w:t>R</w:t>
      </w:r>
      <w:r w:rsidR="00472472">
        <w:rPr>
          <w:sz w:val="26"/>
          <w:szCs w:val="26"/>
        </w:rPr>
        <w:t>egulations, Peoples</w:t>
      </w:r>
      <w:r w:rsidR="00734951">
        <w:rPr>
          <w:sz w:val="26"/>
          <w:szCs w:val="26"/>
        </w:rPr>
        <w:t>’</w:t>
      </w:r>
      <w:r w:rsidR="00575E80">
        <w:rPr>
          <w:sz w:val="26"/>
          <w:szCs w:val="26"/>
        </w:rPr>
        <w:t xml:space="preserve"> </w:t>
      </w:r>
      <w:r w:rsidR="009A2E01">
        <w:rPr>
          <w:sz w:val="26"/>
          <w:szCs w:val="26"/>
        </w:rPr>
        <w:t>D</w:t>
      </w:r>
      <w:r w:rsidR="00472472">
        <w:rPr>
          <w:sz w:val="26"/>
          <w:szCs w:val="26"/>
        </w:rPr>
        <w:t xml:space="preserve">irect </w:t>
      </w:r>
      <w:r w:rsidR="009A2E01">
        <w:rPr>
          <w:sz w:val="26"/>
          <w:szCs w:val="26"/>
        </w:rPr>
        <w:t>T</w:t>
      </w:r>
      <w:r w:rsidR="00472472">
        <w:rPr>
          <w:sz w:val="26"/>
          <w:szCs w:val="26"/>
        </w:rPr>
        <w:t xml:space="preserve">estimony, </w:t>
      </w:r>
      <w:r w:rsidR="009A2E01">
        <w:rPr>
          <w:sz w:val="26"/>
          <w:szCs w:val="26"/>
        </w:rPr>
        <w:t>E</w:t>
      </w:r>
      <w:r w:rsidR="00472472">
        <w:rPr>
          <w:sz w:val="26"/>
          <w:szCs w:val="26"/>
        </w:rPr>
        <w:t>xhibits, and Pro Forma Tariff Supplement reflecting actual and projected changes in natural gas costs and other tariff changes.</w:t>
      </w:r>
    </w:p>
    <w:p w14:paraId="31E1CBD9" w14:textId="77777777" w:rsidR="0002305B" w:rsidRDefault="0002305B" w:rsidP="007374FA">
      <w:pPr>
        <w:widowControl/>
        <w:tabs>
          <w:tab w:val="left" w:pos="1445"/>
        </w:tabs>
        <w:autoSpaceDE w:val="0"/>
        <w:autoSpaceDN w:val="0"/>
        <w:adjustRightInd w:val="0"/>
        <w:spacing w:line="360" w:lineRule="auto"/>
        <w:ind w:firstLine="1440"/>
        <w:rPr>
          <w:sz w:val="26"/>
          <w:szCs w:val="26"/>
        </w:rPr>
      </w:pPr>
    </w:p>
    <w:p w14:paraId="3E5622B1" w14:textId="16409085" w:rsidR="0002305B" w:rsidRDefault="0002305B" w:rsidP="007374FA">
      <w:pPr>
        <w:widowControl/>
        <w:tabs>
          <w:tab w:val="left" w:pos="1445"/>
        </w:tabs>
        <w:autoSpaceDE w:val="0"/>
        <w:autoSpaceDN w:val="0"/>
        <w:adjustRightInd w:val="0"/>
        <w:spacing w:line="360" w:lineRule="auto"/>
        <w:ind w:firstLine="1440"/>
        <w:rPr>
          <w:sz w:val="26"/>
          <w:szCs w:val="26"/>
        </w:rPr>
      </w:pPr>
      <w:r>
        <w:rPr>
          <w:sz w:val="26"/>
          <w:szCs w:val="26"/>
        </w:rPr>
        <w:t xml:space="preserve">On April 5, 2018, a Prehearing Conference was held as scheduled.  Counsel for </w:t>
      </w:r>
      <w:r w:rsidR="007570C7">
        <w:rPr>
          <w:sz w:val="26"/>
          <w:szCs w:val="26"/>
        </w:rPr>
        <w:t xml:space="preserve">the </w:t>
      </w:r>
      <w:r>
        <w:rPr>
          <w:sz w:val="26"/>
          <w:szCs w:val="26"/>
        </w:rPr>
        <w:t>Peoples Division and Equitable, the OCA, the OSBA, I&amp;E and PIOGA attended the conference.</w:t>
      </w:r>
      <w:r w:rsidR="00F60666">
        <w:rPr>
          <w:sz w:val="26"/>
          <w:szCs w:val="26"/>
        </w:rPr>
        <w:t xml:space="preserve">  PIOGA</w:t>
      </w:r>
      <w:r w:rsidR="00734951">
        <w:rPr>
          <w:sz w:val="26"/>
          <w:szCs w:val="26"/>
        </w:rPr>
        <w:t>’</w:t>
      </w:r>
      <w:r w:rsidR="00F60666">
        <w:rPr>
          <w:sz w:val="26"/>
          <w:szCs w:val="26"/>
        </w:rPr>
        <w:t>s Petition to Intervene was granted at the Prehearing Conference.</w:t>
      </w:r>
    </w:p>
    <w:p w14:paraId="097DB87F" w14:textId="77777777" w:rsidR="00472472" w:rsidRDefault="00472472" w:rsidP="007374FA">
      <w:pPr>
        <w:widowControl/>
        <w:tabs>
          <w:tab w:val="left" w:pos="1445"/>
        </w:tabs>
        <w:autoSpaceDE w:val="0"/>
        <w:autoSpaceDN w:val="0"/>
        <w:adjustRightInd w:val="0"/>
        <w:spacing w:line="360" w:lineRule="auto"/>
        <w:ind w:firstLine="1440"/>
        <w:rPr>
          <w:sz w:val="26"/>
          <w:szCs w:val="26"/>
        </w:rPr>
      </w:pPr>
    </w:p>
    <w:p w14:paraId="371B8B99" w14:textId="6300927E" w:rsidR="001953DA" w:rsidRDefault="001953DA" w:rsidP="007374FA">
      <w:pPr>
        <w:widowControl/>
        <w:tabs>
          <w:tab w:val="left" w:pos="1445"/>
        </w:tabs>
        <w:autoSpaceDE w:val="0"/>
        <w:autoSpaceDN w:val="0"/>
        <w:adjustRightInd w:val="0"/>
        <w:spacing w:line="360" w:lineRule="auto"/>
        <w:ind w:firstLine="1440"/>
        <w:rPr>
          <w:sz w:val="26"/>
          <w:szCs w:val="26"/>
        </w:rPr>
      </w:pPr>
      <w:r>
        <w:rPr>
          <w:sz w:val="26"/>
          <w:szCs w:val="26"/>
        </w:rPr>
        <w:t>On April 6, 2018, the ALJ issued a Prehearing Order, establishing the litigation schedule, granting PIOGA</w:t>
      </w:r>
      <w:r w:rsidR="00734951">
        <w:rPr>
          <w:sz w:val="26"/>
          <w:szCs w:val="26"/>
        </w:rPr>
        <w:t>’</w:t>
      </w:r>
      <w:r>
        <w:rPr>
          <w:sz w:val="26"/>
          <w:szCs w:val="26"/>
        </w:rPr>
        <w:t>s Petition to Intervene, and consolidating the Formal Complaints of the OCA and the OSBA with this Section 1307(f) rate proceeding.  In addition, the ALJ consolidated the PGC proceeding</w:t>
      </w:r>
      <w:r w:rsidR="00E43E7D">
        <w:rPr>
          <w:sz w:val="26"/>
          <w:szCs w:val="26"/>
        </w:rPr>
        <w:t>s</w:t>
      </w:r>
      <w:r>
        <w:rPr>
          <w:sz w:val="26"/>
          <w:szCs w:val="26"/>
        </w:rPr>
        <w:t xml:space="preserve"> for</w:t>
      </w:r>
      <w:r w:rsidR="008B126E">
        <w:rPr>
          <w:sz w:val="26"/>
          <w:szCs w:val="26"/>
        </w:rPr>
        <w:t xml:space="preserve"> </w:t>
      </w:r>
      <w:r w:rsidR="007570C7">
        <w:rPr>
          <w:sz w:val="26"/>
          <w:szCs w:val="26"/>
        </w:rPr>
        <w:t>both Divisions of the Company</w:t>
      </w:r>
      <w:r>
        <w:rPr>
          <w:sz w:val="26"/>
          <w:szCs w:val="26"/>
        </w:rPr>
        <w:t xml:space="preserve"> at Docket Nos. R-2018-2645278 and R-2018-3000236 </w:t>
      </w:r>
      <w:r w:rsidR="008B126E">
        <w:rPr>
          <w:sz w:val="26"/>
          <w:szCs w:val="26"/>
        </w:rPr>
        <w:t>with the Peoples Gas C</w:t>
      </w:r>
      <w:r w:rsidR="00411713">
        <w:rPr>
          <w:sz w:val="26"/>
          <w:szCs w:val="26"/>
        </w:rPr>
        <w:t>ompany</w:t>
      </w:r>
      <w:r w:rsidR="008B126E">
        <w:rPr>
          <w:sz w:val="26"/>
          <w:szCs w:val="26"/>
        </w:rPr>
        <w:t xml:space="preserve"> (Peoples Gas) proceeding at Docket No. R-2018-2645296 </w:t>
      </w:r>
      <w:r>
        <w:rPr>
          <w:sz w:val="26"/>
          <w:szCs w:val="26"/>
        </w:rPr>
        <w:t>for purposes of hearing.</w:t>
      </w:r>
    </w:p>
    <w:p w14:paraId="36C72D8C" w14:textId="77777777" w:rsidR="001953DA" w:rsidRDefault="001953DA" w:rsidP="007374FA">
      <w:pPr>
        <w:widowControl/>
        <w:tabs>
          <w:tab w:val="left" w:pos="1445"/>
        </w:tabs>
        <w:autoSpaceDE w:val="0"/>
        <w:autoSpaceDN w:val="0"/>
        <w:adjustRightInd w:val="0"/>
        <w:spacing w:line="360" w:lineRule="auto"/>
        <w:ind w:firstLine="1440"/>
        <w:rPr>
          <w:sz w:val="26"/>
          <w:szCs w:val="26"/>
        </w:rPr>
      </w:pPr>
    </w:p>
    <w:p w14:paraId="122B19D8" w14:textId="41538214" w:rsidR="00CC39DC" w:rsidRDefault="00CC39DC" w:rsidP="007374FA">
      <w:pPr>
        <w:widowControl/>
        <w:tabs>
          <w:tab w:val="left" w:pos="1445"/>
        </w:tabs>
        <w:autoSpaceDE w:val="0"/>
        <w:autoSpaceDN w:val="0"/>
        <w:adjustRightInd w:val="0"/>
        <w:spacing w:line="360" w:lineRule="auto"/>
        <w:ind w:firstLine="1440"/>
        <w:rPr>
          <w:sz w:val="26"/>
          <w:szCs w:val="26"/>
        </w:rPr>
      </w:pPr>
      <w:r>
        <w:rPr>
          <w:sz w:val="26"/>
          <w:szCs w:val="26"/>
        </w:rPr>
        <w:lastRenderedPageBreak/>
        <w:t xml:space="preserve">On April 30, 2018, Direct Energy </w:t>
      </w:r>
      <w:r w:rsidR="00D658DC">
        <w:rPr>
          <w:sz w:val="26"/>
          <w:szCs w:val="26"/>
        </w:rPr>
        <w:t xml:space="preserve">Services, LLC (Direct Energy) </w:t>
      </w:r>
      <w:r>
        <w:rPr>
          <w:sz w:val="26"/>
          <w:szCs w:val="26"/>
        </w:rPr>
        <w:t>fil</w:t>
      </w:r>
      <w:r w:rsidR="00D658DC">
        <w:rPr>
          <w:sz w:val="26"/>
          <w:szCs w:val="26"/>
        </w:rPr>
        <w:t>e</w:t>
      </w:r>
      <w:r>
        <w:rPr>
          <w:sz w:val="26"/>
          <w:szCs w:val="26"/>
        </w:rPr>
        <w:t>d a Petition to Intervene, and on May</w:t>
      </w:r>
      <w:r w:rsidR="00C7790E">
        <w:rPr>
          <w:sz w:val="26"/>
          <w:szCs w:val="26"/>
        </w:rPr>
        <w:t> </w:t>
      </w:r>
      <w:r>
        <w:rPr>
          <w:sz w:val="26"/>
          <w:szCs w:val="26"/>
        </w:rPr>
        <w:t>9, 2018</w:t>
      </w:r>
      <w:r w:rsidR="00FA2FFA">
        <w:rPr>
          <w:sz w:val="26"/>
          <w:szCs w:val="26"/>
        </w:rPr>
        <w:t>,</w:t>
      </w:r>
      <w:r>
        <w:rPr>
          <w:sz w:val="26"/>
          <w:szCs w:val="26"/>
        </w:rPr>
        <w:t xml:space="preserve"> ALJ </w:t>
      </w:r>
      <w:r w:rsidR="00FA2FFA">
        <w:rPr>
          <w:sz w:val="26"/>
          <w:szCs w:val="26"/>
        </w:rPr>
        <w:t xml:space="preserve">Watson </w:t>
      </w:r>
      <w:r>
        <w:rPr>
          <w:sz w:val="26"/>
          <w:szCs w:val="26"/>
        </w:rPr>
        <w:t>issued an Interim Order granting Direct Energy</w:t>
      </w:r>
      <w:r w:rsidR="00734951">
        <w:rPr>
          <w:sz w:val="26"/>
          <w:szCs w:val="26"/>
        </w:rPr>
        <w:t>’</w:t>
      </w:r>
      <w:r>
        <w:rPr>
          <w:sz w:val="26"/>
          <w:szCs w:val="26"/>
        </w:rPr>
        <w:t>s Petition.</w:t>
      </w:r>
    </w:p>
    <w:p w14:paraId="1A8B3FF9" w14:textId="77777777" w:rsidR="00CC39DC" w:rsidRDefault="00CC39DC" w:rsidP="007374FA">
      <w:pPr>
        <w:widowControl/>
        <w:tabs>
          <w:tab w:val="left" w:pos="1445"/>
        </w:tabs>
        <w:autoSpaceDE w:val="0"/>
        <w:autoSpaceDN w:val="0"/>
        <w:adjustRightInd w:val="0"/>
        <w:spacing w:line="360" w:lineRule="auto"/>
        <w:ind w:firstLine="1440"/>
        <w:rPr>
          <w:sz w:val="26"/>
          <w:szCs w:val="26"/>
        </w:rPr>
      </w:pPr>
    </w:p>
    <w:p w14:paraId="6B21F864" w14:textId="54799ED5" w:rsidR="00351208" w:rsidRDefault="00351208" w:rsidP="007374FA">
      <w:pPr>
        <w:widowControl/>
        <w:tabs>
          <w:tab w:val="left" w:pos="1445"/>
        </w:tabs>
        <w:autoSpaceDE w:val="0"/>
        <w:autoSpaceDN w:val="0"/>
        <w:adjustRightInd w:val="0"/>
        <w:spacing w:line="360" w:lineRule="auto"/>
        <w:ind w:firstLine="1440"/>
        <w:rPr>
          <w:sz w:val="26"/>
          <w:szCs w:val="26"/>
        </w:rPr>
      </w:pPr>
      <w:proofErr w:type="gramStart"/>
      <w:r>
        <w:rPr>
          <w:sz w:val="26"/>
          <w:szCs w:val="26"/>
        </w:rPr>
        <w:t>As a result of</w:t>
      </w:r>
      <w:proofErr w:type="gramEnd"/>
      <w:r>
        <w:rPr>
          <w:sz w:val="26"/>
          <w:szCs w:val="26"/>
        </w:rPr>
        <w:t xml:space="preserve"> settlement discussions, the Joint Petitioners were successful at resolving all but one issue in this proceeding prior to the scheduled evidentiary hearings.  The issue reserved for litigation is Peoples</w:t>
      </w:r>
      <w:r w:rsidR="00734951">
        <w:rPr>
          <w:sz w:val="26"/>
          <w:szCs w:val="26"/>
        </w:rPr>
        <w:t>’</w:t>
      </w:r>
      <w:r>
        <w:rPr>
          <w:sz w:val="26"/>
          <w:szCs w:val="26"/>
        </w:rPr>
        <w:t xml:space="preserve"> proposal to charge producers a retainage </w:t>
      </w:r>
      <w:r w:rsidR="00504779">
        <w:rPr>
          <w:sz w:val="26"/>
          <w:szCs w:val="26"/>
        </w:rPr>
        <w:t>rate</w:t>
      </w:r>
      <w:r>
        <w:rPr>
          <w:sz w:val="26"/>
          <w:szCs w:val="26"/>
        </w:rPr>
        <w:t xml:space="preserve"> of 2.</w:t>
      </w:r>
      <w:r w:rsidR="00505589">
        <w:rPr>
          <w:sz w:val="26"/>
          <w:szCs w:val="26"/>
        </w:rPr>
        <w:t>0</w:t>
      </w:r>
      <w:r>
        <w:rPr>
          <w:sz w:val="26"/>
          <w:szCs w:val="26"/>
        </w:rPr>
        <w:t>% to contribute toward the costs associated with unaccounted for gas (UFG)</w:t>
      </w:r>
      <w:r w:rsidR="00E15CF7">
        <w:rPr>
          <w:sz w:val="26"/>
          <w:szCs w:val="26"/>
        </w:rPr>
        <w:t>, sometimes referred to as lost and unaccounted for gas (LUFG),</w:t>
      </w:r>
      <w:r>
        <w:rPr>
          <w:sz w:val="26"/>
          <w:szCs w:val="26"/>
        </w:rPr>
        <w:t xml:space="preserve"> on the Company</w:t>
      </w:r>
      <w:r w:rsidR="00734951">
        <w:rPr>
          <w:sz w:val="26"/>
          <w:szCs w:val="26"/>
        </w:rPr>
        <w:t>’</w:t>
      </w:r>
      <w:r>
        <w:rPr>
          <w:sz w:val="26"/>
          <w:szCs w:val="26"/>
        </w:rPr>
        <w:t>s gathering system.</w:t>
      </w:r>
    </w:p>
    <w:p w14:paraId="1142F25E" w14:textId="77777777" w:rsidR="00351208" w:rsidRDefault="00351208" w:rsidP="007374FA">
      <w:pPr>
        <w:widowControl/>
        <w:tabs>
          <w:tab w:val="left" w:pos="1445"/>
        </w:tabs>
        <w:autoSpaceDE w:val="0"/>
        <w:autoSpaceDN w:val="0"/>
        <w:adjustRightInd w:val="0"/>
        <w:spacing w:line="360" w:lineRule="auto"/>
        <w:ind w:firstLine="1440"/>
        <w:rPr>
          <w:sz w:val="26"/>
          <w:szCs w:val="26"/>
        </w:rPr>
      </w:pPr>
    </w:p>
    <w:p w14:paraId="5058B220" w14:textId="2F529BBE" w:rsidR="00472472" w:rsidRDefault="00351208" w:rsidP="007374FA">
      <w:pPr>
        <w:widowControl/>
        <w:tabs>
          <w:tab w:val="left" w:pos="1445"/>
        </w:tabs>
        <w:autoSpaceDE w:val="0"/>
        <w:autoSpaceDN w:val="0"/>
        <w:adjustRightInd w:val="0"/>
        <w:spacing w:line="360" w:lineRule="auto"/>
        <w:ind w:firstLine="1440"/>
        <w:rPr>
          <w:sz w:val="26"/>
          <w:szCs w:val="26"/>
        </w:rPr>
      </w:pPr>
      <w:r>
        <w:rPr>
          <w:sz w:val="26"/>
          <w:szCs w:val="26"/>
        </w:rPr>
        <w:t>An evidentiary hearing was held on June 4, 2018, at which time the Joint Petitioners</w:t>
      </w:r>
      <w:r w:rsidR="00734951">
        <w:rPr>
          <w:sz w:val="26"/>
          <w:szCs w:val="26"/>
        </w:rPr>
        <w:t>’</w:t>
      </w:r>
      <w:r>
        <w:rPr>
          <w:sz w:val="26"/>
          <w:szCs w:val="26"/>
        </w:rPr>
        <w:t xml:space="preserve"> pre-filed testimony</w:t>
      </w:r>
      <w:r w:rsidR="00557017">
        <w:rPr>
          <w:sz w:val="26"/>
          <w:szCs w:val="26"/>
        </w:rPr>
        <w:t xml:space="preserve"> </w:t>
      </w:r>
      <w:r w:rsidR="00235DAD">
        <w:rPr>
          <w:sz w:val="26"/>
          <w:szCs w:val="26"/>
        </w:rPr>
        <w:t xml:space="preserve">and </w:t>
      </w:r>
      <w:r>
        <w:rPr>
          <w:sz w:val="26"/>
          <w:szCs w:val="26"/>
        </w:rPr>
        <w:t>exhibits were admitted into the record, and certain witnesses were cross-examined with respect to the issue reserved for litigation.</w:t>
      </w:r>
      <w:r w:rsidR="006D5D21">
        <w:rPr>
          <w:sz w:val="26"/>
          <w:szCs w:val="26"/>
        </w:rPr>
        <w:t xml:space="preserve">  During cross-examination of Company witness Lynda W. Petrichevich, PIOGA made an </w:t>
      </w:r>
      <w:r w:rsidR="00734951">
        <w:rPr>
          <w:sz w:val="26"/>
          <w:szCs w:val="26"/>
        </w:rPr>
        <w:t>“</w:t>
      </w:r>
      <w:r w:rsidR="006D5D21">
        <w:rPr>
          <w:sz w:val="26"/>
          <w:szCs w:val="26"/>
        </w:rPr>
        <w:t>On the Record Data Request,</w:t>
      </w:r>
      <w:r w:rsidR="00734951">
        <w:rPr>
          <w:sz w:val="26"/>
          <w:szCs w:val="26"/>
        </w:rPr>
        <w:t>”</w:t>
      </w:r>
      <w:r w:rsidR="006D5D21">
        <w:rPr>
          <w:sz w:val="26"/>
          <w:szCs w:val="26"/>
        </w:rPr>
        <w:t xml:space="preserve"> and on June 14, 2018, the Company filed its response.</w:t>
      </w:r>
    </w:p>
    <w:p w14:paraId="75B65561" w14:textId="77777777" w:rsidR="006D5D21" w:rsidRDefault="006D5D21" w:rsidP="007374FA">
      <w:pPr>
        <w:widowControl/>
        <w:tabs>
          <w:tab w:val="left" w:pos="1445"/>
        </w:tabs>
        <w:autoSpaceDE w:val="0"/>
        <w:autoSpaceDN w:val="0"/>
        <w:adjustRightInd w:val="0"/>
        <w:spacing w:line="360" w:lineRule="auto"/>
        <w:ind w:firstLine="1440"/>
        <w:rPr>
          <w:sz w:val="26"/>
          <w:szCs w:val="26"/>
        </w:rPr>
      </w:pPr>
    </w:p>
    <w:p w14:paraId="6EF66FAF" w14:textId="524A4B76" w:rsidR="00FD02B0" w:rsidRDefault="006D5D21" w:rsidP="007374FA">
      <w:pPr>
        <w:widowControl/>
        <w:tabs>
          <w:tab w:val="left" w:pos="1445"/>
        </w:tabs>
        <w:autoSpaceDE w:val="0"/>
        <w:autoSpaceDN w:val="0"/>
        <w:adjustRightInd w:val="0"/>
        <w:spacing w:line="360" w:lineRule="auto"/>
        <w:ind w:firstLine="1440"/>
        <w:rPr>
          <w:sz w:val="26"/>
          <w:szCs w:val="26"/>
        </w:rPr>
      </w:pPr>
      <w:r>
        <w:rPr>
          <w:sz w:val="26"/>
          <w:szCs w:val="26"/>
        </w:rPr>
        <w:t>On</w:t>
      </w:r>
      <w:r w:rsidR="00FD02B0">
        <w:rPr>
          <w:sz w:val="26"/>
          <w:szCs w:val="26"/>
        </w:rPr>
        <w:t xml:space="preserve"> June 19, 2018, Main Briefs were filed by Peoples, the OCA, and the OSBA.  PIOGA filed its Main Brief on June 20, 2018.  Also, on June 20, 2018, PIOGA</w:t>
      </w:r>
      <w:r w:rsidR="00734951">
        <w:rPr>
          <w:sz w:val="26"/>
          <w:szCs w:val="26"/>
        </w:rPr>
        <w:t>’</w:t>
      </w:r>
      <w:r w:rsidR="00FD02B0">
        <w:rPr>
          <w:sz w:val="26"/>
          <w:szCs w:val="26"/>
        </w:rPr>
        <w:t>s late filed cross-examination Exhibit No. 4, which consisted of</w:t>
      </w:r>
      <w:r w:rsidR="00F0714B">
        <w:rPr>
          <w:sz w:val="26"/>
          <w:szCs w:val="26"/>
        </w:rPr>
        <w:t xml:space="preserve"> Peoples</w:t>
      </w:r>
      <w:r w:rsidR="00734951">
        <w:rPr>
          <w:sz w:val="26"/>
          <w:szCs w:val="26"/>
        </w:rPr>
        <w:t>’</w:t>
      </w:r>
      <w:r w:rsidR="00FD02B0">
        <w:rPr>
          <w:sz w:val="26"/>
          <w:szCs w:val="26"/>
        </w:rPr>
        <w:t xml:space="preserve"> answer to PIOGA</w:t>
      </w:r>
      <w:r w:rsidR="00734951">
        <w:rPr>
          <w:sz w:val="26"/>
          <w:szCs w:val="26"/>
        </w:rPr>
        <w:t>’</w:t>
      </w:r>
      <w:r w:rsidR="00FD02B0">
        <w:rPr>
          <w:sz w:val="26"/>
          <w:szCs w:val="26"/>
        </w:rPr>
        <w:t>s On the Record Data Request, was admitted by interim order.</w:t>
      </w:r>
    </w:p>
    <w:p w14:paraId="7F2779BE" w14:textId="77777777" w:rsidR="00351208" w:rsidRDefault="00351208" w:rsidP="007374FA">
      <w:pPr>
        <w:widowControl/>
        <w:tabs>
          <w:tab w:val="left" w:pos="1445"/>
        </w:tabs>
        <w:autoSpaceDE w:val="0"/>
        <w:autoSpaceDN w:val="0"/>
        <w:adjustRightInd w:val="0"/>
        <w:spacing w:line="360" w:lineRule="auto"/>
        <w:ind w:firstLine="1440"/>
        <w:rPr>
          <w:sz w:val="26"/>
          <w:szCs w:val="26"/>
        </w:rPr>
      </w:pPr>
    </w:p>
    <w:p w14:paraId="606FCFD6" w14:textId="69AD0AB5" w:rsidR="00FD02B0" w:rsidRDefault="00681984" w:rsidP="007374FA">
      <w:pPr>
        <w:widowControl/>
        <w:tabs>
          <w:tab w:val="left" w:pos="1445"/>
        </w:tabs>
        <w:autoSpaceDE w:val="0"/>
        <w:autoSpaceDN w:val="0"/>
        <w:adjustRightInd w:val="0"/>
        <w:spacing w:line="360" w:lineRule="auto"/>
        <w:ind w:firstLine="1440"/>
        <w:rPr>
          <w:sz w:val="26"/>
          <w:szCs w:val="26"/>
        </w:rPr>
      </w:pPr>
      <w:r>
        <w:rPr>
          <w:sz w:val="26"/>
          <w:szCs w:val="26"/>
        </w:rPr>
        <w:t>On June 22, 2018, the Joint Petition was filed by the Joint Petitioners.  The Joint Petitioners</w:t>
      </w:r>
      <w:r w:rsidR="00734951">
        <w:rPr>
          <w:sz w:val="26"/>
          <w:szCs w:val="26"/>
        </w:rPr>
        <w:t>’</w:t>
      </w:r>
      <w:r>
        <w:rPr>
          <w:sz w:val="26"/>
          <w:szCs w:val="26"/>
        </w:rPr>
        <w:t xml:space="preserve"> Statements in Support of the Partial Settlement were attached to the Joint Petition as appendices.  The non-signatory parties, PIOGA and Direct Energy, did not oppose the Joint Petition.</w:t>
      </w:r>
    </w:p>
    <w:p w14:paraId="3C8529BF" w14:textId="77777777" w:rsidR="00351208" w:rsidRDefault="006D5D21" w:rsidP="007374FA">
      <w:pPr>
        <w:widowControl/>
        <w:tabs>
          <w:tab w:val="left" w:pos="1445"/>
        </w:tabs>
        <w:autoSpaceDE w:val="0"/>
        <w:autoSpaceDN w:val="0"/>
        <w:adjustRightInd w:val="0"/>
        <w:spacing w:line="360" w:lineRule="auto"/>
        <w:ind w:firstLine="1440"/>
        <w:rPr>
          <w:sz w:val="26"/>
          <w:szCs w:val="26"/>
        </w:rPr>
      </w:pPr>
      <w:r>
        <w:rPr>
          <w:sz w:val="26"/>
          <w:szCs w:val="26"/>
        </w:rPr>
        <w:t xml:space="preserve">On </w:t>
      </w:r>
      <w:r w:rsidR="00FD02B0">
        <w:rPr>
          <w:sz w:val="26"/>
          <w:szCs w:val="26"/>
        </w:rPr>
        <w:t>June 26, 2018</w:t>
      </w:r>
      <w:r w:rsidR="008A3032">
        <w:rPr>
          <w:sz w:val="26"/>
          <w:szCs w:val="26"/>
        </w:rPr>
        <w:t>,</w:t>
      </w:r>
      <w:r w:rsidR="00FD02B0">
        <w:rPr>
          <w:sz w:val="26"/>
          <w:szCs w:val="26"/>
        </w:rPr>
        <w:t xml:space="preserve"> Reply Brief</w:t>
      </w:r>
      <w:r w:rsidR="00D6412B">
        <w:rPr>
          <w:sz w:val="26"/>
          <w:szCs w:val="26"/>
        </w:rPr>
        <w:t>s were filed b</w:t>
      </w:r>
      <w:r w:rsidR="008A3032">
        <w:rPr>
          <w:sz w:val="26"/>
          <w:szCs w:val="26"/>
        </w:rPr>
        <w:t xml:space="preserve">y the OCA and </w:t>
      </w:r>
      <w:r w:rsidR="00244659">
        <w:rPr>
          <w:sz w:val="26"/>
          <w:szCs w:val="26"/>
        </w:rPr>
        <w:t>Peoples</w:t>
      </w:r>
      <w:r w:rsidR="00FD02B0">
        <w:rPr>
          <w:sz w:val="26"/>
          <w:szCs w:val="26"/>
        </w:rPr>
        <w:t xml:space="preserve">, and PIOGA filed its Reply Brief on June 27, 2018.  </w:t>
      </w:r>
    </w:p>
    <w:p w14:paraId="5B9F5888" w14:textId="77777777" w:rsidR="00472472" w:rsidRDefault="00472472" w:rsidP="007374FA">
      <w:pPr>
        <w:widowControl/>
        <w:tabs>
          <w:tab w:val="left" w:pos="1445"/>
        </w:tabs>
        <w:autoSpaceDE w:val="0"/>
        <w:autoSpaceDN w:val="0"/>
        <w:adjustRightInd w:val="0"/>
        <w:spacing w:line="360" w:lineRule="auto"/>
        <w:ind w:firstLine="1440"/>
        <w:rPr>
          <w:sz w:val="26"/>
          <w:szCs w:val="26"/>
        </w:rPr>
      </w:pPr>
    </w:p>
    <w:p w14:paraId="0B143293" w14:textId="186D75EB" w:rsidR="00C57E30" w:rsidRDefault="00C57E30" w:rsidP="007374FA">
      <w:pPr>
        <w:widowControl/>
        <w:tabs>
          <w:tab w:val="left" w:pos="1445"/>
        </w:tabs>
        <w:autoSpaceDE w:val="0"/>
        <w:autoSpaceDN w:val="0"/>
        <w:adjustRightInd w:val="0"/>
        <w:spacing w:line="360" w:lineRule="auto"/>
        <w:ind w:firstLine="1440"/>
        <w:rPr>
          <w:sz w:val="26"/>
          <w:szCs w:val="26"/>
        </w:rPr>
      </w:pPr>
      <w:r>
        <w:rPr>
          <w:sz w:val="26"/>
          <w:szCs w:val="26"/>
        </w:rPr>
        <w:lastRenderedPageBreak/>
        <w:t>On July 1</w:t>
      </w:r>
      <w:r w:rsidR="008A3032">
        <w:rPr>
          <w:sz w:val="26"/>
          <w:szCs w:val="26"/>
        </w:rPr>
        <w:t>7</w:t>
      </w:r>
      <w:r>
        <w:rPr>
          <w:sz w:val="26"/>
          <w:szCs w:val="26"/>
        </w:rPr>
        <w:t xml:space="preserve">, 2018, the ALJ issued an order, admitting the Joint Petition into the record </w:t>
      </w:r>
      <w:r w:rsidR="00745E7F">
        <w:rPr>
          <w:sz w:val="26"/>
          <w:szCs w:val="26"/>
        </w:rPr>
        <w:t>along with the attached appendices, and closing the record.  In a Recommended Decision issued on July 25, 2018, ALJ Watson recommended approval of the Joint Petition, without modification, and People</w:t>
      </w:r>
      <w:r w:rsidR="007B2B2E">
        <w:rPr>
          <w:sz w:val="26"/>
          <w:szCs w:val="26"/>
        </w:rPr>
        <w:t>s</w:t>
      </w:r>
      <w:r w:rsidR="00734951">
        <w:rPr>
          <w:sz w:val="26"/>
          <w:szCs w:val="26"/>
        </w:rPr>
        <w:t>’</w:t>
      </w:r>
      <w:r w:rsidR="00745E7F">
        <w:rPr>
          <w:sz w:val="26"/>
          <w:szCs w:val="26"/>
        </w:rPr>
        <w:t xml:space="preserve"> request to apply additional retainage charges to producers to recover gathering system unaccounted for gas.  R.D. at</w:t>
      </w:r>
      <w:r w:rsidR="009003ED">
        <w:rPr>
          <w:sz w:val="26"/>
          <w:szCs w:val="26"/>
        </w:rPr>
        <w:t> </w:t>
      </w:r>
      <w:r w:rsidR="00797BB8">
        <w:rPr>
          <w:sz w:val="26"/>
          <w:szCs w:val="26"/>
        </w:rPr>
        <w:t xml:space="preserve">1, </w:t>
      </w:r>
      <w:r w:rsidR="00745E7F">
        <w:rPr>
          <w:sz w:val="26"/>
          <w:szCs w:val="26"/>
        </w:rPr>
        <w:t xml:space="preserve">5, </w:t>
      </w:r>
      <w:r w:rsidR="00826090">
        <w:rPr>
          <w:sz w:val="26"/>
          <w:szCs w:val="26"/>
        </w:rPr>
        <w:t xml:space="preserve">41, 47, 49-50, </w:t>
      </w:r>
      <w:r w:rsidR="00054000">
        <w:rPr>
          <w:sz w:val="26"/>
          <w:szCs w:val="26"/>
        </w:rPr>
        <w:t>87-</w:t>
      </w:r>
      <w:r w:rsidR="00826090">
        <w:rPr>
          <w:sz w:val="26"/>
          <w:szCs w:val="26"/>
        </w:rPr>
        <w:t>90</w:t>
      </w:r>
      <w:r w:rsidR="00745E7F">
        <w:rPr>
          <w:sz w:val="26"/>
          <w:szCs w:val="26"/>
        </w:rPr>
        <w:t xml:space="preserve"> and</w:t>
      </w:r>
      <w:r w:rsidR="00826090">
        <w:rPr>
          <w:sz w:val="26"/>
          <w:szCs w:val="26"/>
        </w:rPr>
        <w:t xml:space="preserve"> 96-97</w:t>
      </w:r>
      <w:r w:rsidR="00745E7F">
        <w:rPr>
          <w:sz w:val="26"/>
          <w:szCs w:val="26"/>
        </w:rPr>
        <w:t>.</w:t>
      </w:r>
    </w:p>
    <w:p w14:paraId="20E4EABA" w14:textId="77777777" w:rsidR="00472472" w:rsidRDefault="00472472" w:rsidP="007374FA">
      <w:pPr>
        <w:widowControl/>
        <w:tabs>
          <w:tab w:val="left" w:pos="1445"/>
        </w:tabs>
        <w:autoSpaceDE w:val="0"/>
        <w:autoSpaceDN w:val="0"/>
        <w:adjustRightInd w:val="0"/>
        <w:spacing w:line="360" w:lineRule="auto"/>
        <w:ind w:firstLine="1440"/>
        <w:rPr>
          <w:sz w:val="26"/>
          <w:szCs w:val="26"/>
        </w:rPr>
      </w:pPr>
    </w:p>
    <w:p w14:paraId="090D9354" w14:textId="77777777" w:rsidR="007B1403" w:rsidRDefault="00BE578C" w:rsidP="007374FA">
      <w:pPr>
        <w:widowControl/>
        <w:tabs>
          <w:tab w:val="left" w:pos="1445"/>
        </w:tabs>
        <w:autoSpaceDE w:val="0"/>
        <w:autoSpaceDN w:val="0"/>
        <w:adjustRightInd w:val="0"/>
        <w:spacing w:line="360" w:lineRule="auto"/>
        <w:ind w:firstLine="1440"/>
        <w:rPr>
          <w:sz w:val="26"/>
          <w:szCs w:val="26"/>
        </w:rPr>
      </w:pPr>
      <w:r>
        <w:rPr>
          <w:sz w:val="26"/>
          <w:szCs w:val="26"/>
        </w:rPr>
        <w:t xml:space="preserve">As noted, Exceptions were filed by PIOGA on August </w:t>
      </w:r>
      <w:r w:rsidR="00134A49">
        <w:rPr>
          <w:sz w:val="26"/>
          <w:szCs w:val="26"/>
        </w:rPr>
        <w:t>2</w:t>
      </w:r>
      <w:r>
        <w:rPr>
          <w:sz w:val="26"/>
          <w:szCs w:val="26"/>
        </w:rPr>
        <w:t xml:space="preserve">, 2018.  Replies to Exceptions were filed by Peoples, the OCA and the OSBA on August 8, 2018.  </w:t>
      </w:r>
      <w:r w:rsidR="0070100B">
        <w:rPr>
          <w:sz w:val="26"/>
          <w:szCs w:val="26"/>
        </w:rPr>
        <w:t>In addition, a Motion to Strike was filed by PIOGA on August 17, 2018.  Peoples filed an Answer on August 27, 2018.</w:t>
      </w:r>
    </w:p>
    <w:p w14:paraId="68D9A201" w14:textId="77777777" w:rsidR="00353DC0" w:rsidRPr="00353DC0" w:rsidRDefault="00353DC0" w:rsidP="007374FA">
      <w:pPr>
        <w:widowControl/>
        <w:spacing w:line="360" w:lineRule="auto"/>
        <w:rPr>
          <w:sz w:val="26"/>
          <w:szCs w:val="26"/>
        </w:rPr>
      </w:pPr>
    </w:p>
    <w:p w14:paraId="0028EBD1" w14:textId="77777777" w:rsidR="00353DC0" w:rsidRPr="003D07BC" w:rsidRDefault="00353DC0" w:rsidP="007374FA">
      <w:pPr>
        <w:pStyle w:val="Heading1"/>
        <w:keepLines/>
      </w:pPr>
      <w:bookmarkStart w:id="10" w:name="_Toc524442341"/>
      <w:bookmarkStart w:id="11" w:name="_Hlk523916681"/>
      <w:r>
        <w:t>Introduction</w:t>
      </w:r>
      <w:bookmarkEnd w:id="10"/>
    </w:p>
    <w:bookmarkEnd w:id="11"/>
    <w:p w14:paraId="3CEB502C" w14:textId="77777777" w:rsidR="00353DC0" w:rsidRDefault="00353DC0" w:rsidP="007374FA">
      <w:pPr>
        <w:keepNext/>
        <w:keepLines/>
        <w:widowControl/>
        <w:tabs>
          <w:tab w:val="left" w:pos="1445"/>
        </w:tabs>
        <w:autoSpaceDE w:val="0"/>
        <w:autoSpaceDN w:val="0"/>
        <w:adjustRightInd w:val="0"/>
        <w:spacing w:line="360" w:lineRule="auto"/>
        <w:ind w:firstLine="1440"/>
        <w:rPr>
          <w:sz w:val="26"/>
          <w:szCs w:val="26"/>
        </w:rPr>
      </w:pPr>
    </w:p>
    <w:p w14:paraId="2A6F7803" w14:textId="77777777" w:rsidR="00472472" w:rsidRDefault="00353DC0" w:rsidP="007374FA">
      <w:pPr>
        <w:widowControl/>
        <w:tabs>
          <w:tab w:val="left" w:pos="1445"/>
        </w:tabs>
        <w:autoSpaceDE w:val="0"/>
        <w:autoSpaceDN w:val="0"/>
        <w:adjustRightInd w:val="0"/>
        <w:spacing w:line="360" w:lineRule="auto"/>
        <w:ind w:firstLine="1440"/>
        <w:rPr>
          <w:sz w:val="26"/>
          <w:szCs w:val="26"/>
        </w:rPr>
      </w:pPr>
      <w:r w:rsidRPr="00353DC0">
        <w:rPr>
          <w:sz w:val="26"/>
          <w:szCs w:val="26"/>
        </w:rPr>
        <w:t xml:space="preserve">As a preliminary matter, we note that any issue that we do not specifically delineate shall be deemed to have been duly considered and denied without further discussion.  The Commission is not required to consider expressly or at length each contention or argument raised by the parties.  </w:t>
      </w:r>
      <w:r w:rsidRPr="005E1CA5">
        <w:rPr>
          <w:i/>
          <w:sz w:val="26"/>
          <w:szCs w:val="26"/>
        </w:rPr>
        <w:t>Consolidated Rail Corp. v. Pa. PUC,</w:t>
      </w:r>
      <w:r w:rsidRPr="00353DC0">
        <w:rPr>
          <w:sz w:val="26"/>
          <w:szCs w:val="26"/>
        </w:rPr>
        <w:t xml:space="preserve"> 625 A.2d 741 (Pa. Cmwlth. 1993); also see, generally, </w:t>
      </w:r>
      <w:r w:rsidRPr="00206E03">
        <w:rPr>
          <w:i/>
          <w:sz w:val="26"/>
          <w:szCs w:val="26"/>
        </w:rPr>
        <w:t xml:space="preserve">University of Pennsylvania v. Pa. PUC, </w:t>
      </w:r>
      <w:r w:rsidRPr="00353DC0">
        <w:rPr>
          <w:sz w:val="26"/>
          <w:szCs w:val="26"/>
        </w:rPr>
        <w:t>485 A.2d 1217 (Pa. Cmwlth. 1984).</w:t>
      </w:r>
    </w:p>
    <w:p w14:paraId="115BCCA8" w14:textId="77777777" w:rsidR="00353DC0" w:rsidRDefault="00353DC0" w:rsidP="007374FA">
      <w:pPr>
        <w:widowControl/>
        <w:tabs>
          <w:tab w:val="left" w:pos="1445"/>
        </w:tabs>
        <w:autoSpaceDE w:val="0"/>
        <w:autoSpaceDN w:val="0"/>
        <w:adjustRightInd w:val="0"/>
        <w:spacing w:line="360" w:lineRule="auto"/>
        <w:ind w:firstLine="1440"/>
        <w:rPr>
          <w:sz w:val="26"/>
          <w:szCs w:val="26"/>
        </w:rPr>
      </w:pPr>
    </w:p>
    <w:p w14:paraId="09C6FA0A" w14:textId="77777777" w:rsidR="00353DC0" w:rsidRPr="00353DC0" w:rsidRDefault="00353DC0" w:rsidP="007374FA">
      <w:pPr>
        <w:widowControl/>
        <w:spacing w:line="360" w:lineRule="auto"/>
        <w:ind w:firstLine="1440"/>
        <w:rPr>
          <w:rFonts w:eastAsia="Calibri"/>
          <w:sz w:val="26"/>
          <w:szCs w:val="24"/>
        </w:rPr>
      </w:pPr>
      <w:r w:rsidRPr="00353DC0">
        <w:rPr>
          <w:rFonts w:eastAsia="Calibri"/>
          <w:sz w:val="26"/>
          <w:szCs w:val="24"/>
        </w:rPr>
        <w:t>In his Recommend</w:t>
      </w:r>
      <w:r>
        <w:rPr>
          <w:rFonts w:eastAsia="Calibri"/>
          <w:sz w:val="26"/>
          <w:szCs w:val="24"/>
        </w:rPr>
        <w:t xml:space="preserve">ed Decision, the ALJ made </w:t>
      </w:r>
      <w:r w:rsidR="00212B80">
        <w:rPr>
          <w:rFonts w:eastAsia="Calibri"/>
          <w:sz w:val="26"/>
          <w:szCs w:val="24"/>
        </w:rPr>
        <w:t>eighty-eight</w:t>
      </w:r>
      <w:r w:rsidRPr="00353DC0">
        <w:rPr>
          <w:rFonts w:eastAsia="Calibri"/>
          <w:sz w:val="26"/>
          <w:szCs w:val="24"/>
        </w:rPr>
        <w:t xml:space="preserve"> Findings o</w:t>
      </w:r>
      <w:r>
        <w:rPr>
          <w:rFonts w:eastAsia="Calibri"/>
          <w:sz w:val="26"/>
          <w:szCs w:val="24"/>
        </w:rPr>
        <w:t>f Fact and reached twenty-</w:t>
      </w:r>
      <w:r w:rsidR="002C5992">
        <w:rPr>
          <w:rFonts w:eastAsia="Calibri"/>
          <w:sz w:val="26"/>
          <w:szCs w:val="24"/>
        </w:rPr>
        <w:t>seven</w:t>
      </w:r>
      <w:r w:rsidRPr="00353DC0">
        <w:rPr>
          <w:rFonts w:eastAsia="Calibri"/>
          <w:sz w:val="26"/>
          <w:szCs w:val="24"/>
        </w:rPr>
        <w:t xml:space="preserve"> Conclus</w:t>
      </w:r>
      <w:r>
        <w:rPr>
          <w:rFonts w:eastAsia="Calibri"/>
          <w:sz w:val="26"/>
          <w:szCs w:val="24"/>
        </w:rPr>
        <w:t>ions of Law.  R.D. at 5-</w:t>
      </w:r>
      <w:r w:rsidR="002C5992">
        <w:rPr>
          <w:rFonts w:eastAsia="Calibri"/>
          <w:sz w:val="26"/>
          <w:szCs w:val="24"/>
        </w:rPr>
        <w:t>21</w:t>
      </w:r>
      <w:r>
        <w:rPr>
          <w:rFonts w:eastAsia="Calibri"/>
          <w:sz w:val="26"/>
          <w:szCs w:val="24"/>
        </w:rPr>
        <w:t xml:space="preserve">, </w:t>
      </w:r>
      <w:r w:rsidR="002C5992">
        <w:rPr>
          <w:rFonts w:eastAsia="Calibri"/>
          <w:sz w:val="26"/>
          <w:szCs w:val="24"/>
        </w:rPr>
        <w:t>90</w:t>
      </w:r>
      <w:r>
        <w:rPr>
          <w:rFonts w:eastAsia="Calibri"/>
          <w:sz w:val="26"/>
          <w:szCs w:val="24"/>
        </w:rPr>
        <w:t>-</w:t>
      </w:r>
      <w:r w:rsidR="002C5992">
        <w:rPr>
          <w:rFonts w:eastAsia="Calibri"/>
          <w:sz w:val="26"/>
          <w:szCs w:val="24"/>
        </w:rPr>
        <w:t>95</w:t>
      </w:r>
      <w:r w:rsidRPr="00353DC0">
        <w:rPr>
          <w:rFonts w:eastAsia="Calibri"/>
          <w:sz w:val="26"/>
          <w:szCs w:val="24"/>
        </w:rPr>
        <w:t xml:space="preserve">.  The Findings of Fact and Conclusions of Law are incorporated herein by reference and are adopted without comment unless they are either expressly or by necessary implication rejected or modified by the Opinion and Order.  </w:t>
      </w:r>
    </w:p>
    <w:p w14:paraId="3172FD2B" w14:textId="77777777" w:rsidR="00353DC0" w:rsidRDefault="00353DC0" w:rsidP="007374FA">
      <w:pPr>
        <w:widowControl/>
        <w:tabs>
          <w:tab w:val="left" w:pos="1445"/>
        </w:tabs>
        <w:autoSpaceDE w:val="0"/>
        <w:autoSpaceDN w:val="0"/>
        <w:adjustRightInd w:val="0"/>
        <w:spacing w:line="360" w:lineRule="auto"/>
        <w:ind w:firstLine="1440"/>
        <w:rPr>
          <w:sz w:val="26"/>
          <w:szCs w:val="26"/>
        </w:rPr>
      </w:pPr>
    </w:p>
    <w:p w14:paraId="2367228E" w14:textId="77777777" w:rsidR="00372C94" w:rsidRPr="003D116E" w:rsidRDefault="00372C94" w:rsidP="007374FA">
      <w:pPr>
        <w:pStyle w:val="Heading2"/>
      </w:pPr>
      <w:bookmarkStart w:id="12" w:name="_Toc524442342"/>
      <w:r w:rsidRPr="003D116E">
        <w:lastRenderedPageBreak/>
        <w:t>Burden of Proof</w:t>
      </w:r>
      <w:bookmarkEnd w:id="12"/>
    </w:p>
    <w:p w14:paraId="46A56373" w14:textId="77777777" w:rsidR="00353DC0" w:rsidRDefault="00353DC0" w:rsidP="007374FA">
      <w:pPr>
        <w:keepNext/>
        <w:keepLines/>
        <w:widowControl/>
        <w:tabs>
          <w:tab w:val="left" w:pos="1445"/>
        </w:tabs>
        <w:autoSpaceDE w:val="0"/>
        <w:autoSpaceDN w:val="0"/>
        <w:adjustRightInd w:val="0"/>
        <w:spacing w:line="360" w:lineRule="auto"/>
        <w:rPr>
          <w:sz w:val="26"/>
          <w:szCs w:val="26"/>
        </w:rPr>
      </w:pPr>
    </w:p>
    <w:p w14:paraId="51E4FFA7" w14:textId="77777777" w:rsidR="003C168A" w:rsidRPr="00B42C5B" w:rsidRDefault="003C168A" w:rsidP="007374FA">
      <w:pPr>
        <w:keepNext/>
        <w:keepLines/>
        <w:widowControl/>
        <w:spacing w:line="360" w:lineRule="auto"/>
        <w:rPr>
          <w:sz w:val="26"/>
          <w:szCs w:val="26"/>
        </w:rPr>
      </w:pPr>
      <w:r>
        <w:rPr>
          <w:sz w:val="26"/>
          <w:szCs w:val="26"/>
        </w:rPr>
        <w:tab/>
      </w:r>
      <w:r>
        <w:rPr>
          <w:sz w:val="26"/>
          <w:szCs w:val="26"/>
        </w:rPr>
        <w:tab/>
      </w:r>
      <w:r w:rsidRPr="00B42C5B">
        <w:rPr>
          <w:sz w:val="26"/>
          <w:szCs w:val="26"/>
        </w:rPr>
        <w:t xml:space="preserve">Section </w:t>
      </w:r>
      <w:r w:rsidRPr="00B42C5B">
        <w:rPr>
          <w:bCs/>
          <w:sz w:val="26"/>
          <w:szCs w:val="26"/>
        </w:rPr>
        <w:t>315</w:t>
      </w:r>
      <w:r w:rsidRPr="00B42C5B">
        <w:rPr>
          <w:sz w:val="26"/>
          <w:szCs w:val="26"/>
        </w:rPr>
        <w:t>(a) of the Code provides:</w:t>
      </w:r>
    </w:p>
    <w:p w14:paraId="59309171" w14:textId="77777777" w:rsidR="003C168A" w:rsidRDefault="003C168A" w:rsidP="007374FA">
      <w:pPr>
        <w:keepNext/>
        <w:keepLines/>
        <w:widowControl/>
        <w:spacing w:line="360" w:lineRule="auto"/>
        <w:rPr>
          <w:sz w:val="26"/>
          <w:szCs w:val="26"/>
        </w:rPr>
      </w:pPr>
    </w:p>
    <w:p w14:paraId="37488BD8" w14:textId="77777777" w:rsidR="003C168A" w:rsidRPr="00B42C5B" w:rsidRDefault="003C168A" w:rsidP="007374FA">
      <w:pPr>
        <w:widowControl/>
        <w:ind w:left="1440" w:right="1440"/>
        <w:rPr>
          <w:sz w:val="26"/>
          <w:szCs w:val="26"/>
        </w:rPr>
      </w:pPr>
      <w:r w:rsidRPr="00B42C5B">
        <w:rPr>
          <w:sz w:val="26"/>
          <w:szCs w:val="26"/>
        </w:rPr>
        <w:t>(a) Reasonableness of Rates. - In any proceeding upon the motion of the commission, involving any proposed or existing rate of any public utility, or in any proceedings upon complaint involving any proposed increase in rates, the burden of proof to show that the rate involved is just and reasonable shall be upon the public utility.</w:t>
      </w:r>
    </w:p>
    <w:p w14:paraId="7529B79B" w14:textId="77777777" w:rsidR="003C168A" w:rsidRDefault="003C168A" w:rsidP="007374FA">
      <w:pPr>
        <w:widowControl/>
        <w:spacing w:line="360" w:lineRule="auto"/>
        <w:rPr>
          <w:sz w:val="26"/>
          <w:szCs w:val="26"/>
        </w:rPr>
      </w:pPr>
    </w:p>
    <w:p w14:paraId="5C75A2DA" w14:textId="28DAFF1D" w:rsidR="00372C94" w:rsidRPr="00372C94" w:rsidRDefault="00F0079B" w:rsidP="007374FA">
      <w:pPr>
        <w:keepNext/>
        <w:widowControl/>
        <w:spacing w:line="360" w:lineRule="auto"/>
        <w:rPr>
          <w:rFonts w:eastAsia="Calibri"/>
          <w:iCs/>
          <w:sz w:val="26"/>
          <w:szCs w:val="24"/>
        </w:rPr>
      </w:pPr>
      <w:hyperlink r:id="rId10" w:history="1">
        <w:r w:rsidR="003C168A" w:rsidRPr="00B42C5B">
          <w:rPr>
            <w:sz w:val="26"/>
            <w:szCs w:val="26"/>
          </w:rPr>
          <w:t xml:space="preserve">66 Pa. C.S. § </w:t>
        </w:r>
        <w:r w:rsidR="003C168A" w:rsidRPr="00DD07C3">
          <w:rPr>
            <w:bCs/>
            <w:sz w:val="26"/>
            <w:szCs w:val="26"/>
          </w:rPr>
          <w:t>315</w:t>
        </w:r>
        <w:r w:rsidR="003C168A" w:rsidRPr="00B42C5B">
          <w:rPr>
            <w:sz w:val="26"/>
            <w:szCs w:val="26"/>
          </w:rPr>
          <w:t>(a)</w:t>
        </w:r>
      </w:hyperlink>
      <w:r w:rsidR="003C168A">
        <w:rPr>
          <w:sz w:val="26"/>
          <w:szCs w:val="26"/>
        </w:rPr>
        <w:t xml:space="preserve">.  A public utility has the burden of proof to show that a proposed rate is </w:t>
      </w:r>
      <w:r w:rsidR="00734951">
        <w:rPr>
          <w:sz w:val="26"/>
          <w:szCs w:val="26"/>
        </w:rPr>
        <w:t>“</w:t>
      </w:r>
      <w:r w:rsidR="003C168A">
        <w:rPr>
          <w:sz w:val="26"/>
          <w:szCs w:val="26"/>
        </w:rPr>
        <w:t>just and reasonable</w:t>
      </w:r>
      <w:r w:rsidR="00734951">
        <w:rPr>
          <w:sz w:val="26"/>
          <w:szCs w:val="26"/>
        </w:rPr>
        <w:t>”</w:t>
      </w:r>
      <w:r w:rsidR="003C168A">
        <w:rPr>
          <w:sz w:val="26"/>
          <w:szCs w:val="26"/>
        </w:rPr>
        <w:t xml:space="preserve"> and the </w:t>
      </w:r>
      <w:r w:rsidR="003C168A" w:rsidRPr="00B42C5B">
        <w:rPr>
          <w:sz w:val="26"/>
          <w:szCs w:val="26"/>
        </w:rPr>
        <w:t>evidence produced by a utility in meeting its burden must be substantial</w:t>
      </w:r>
      <w:r w:rsidR="003C168A">
        <w:rPr>
          <w:sz w:val="26"/>
          <w:szCs w:val="26"/>
        </w:rPr>
        <w:t xml:space="preserve">.  </w:t>
      </w:r>
      <w:hyperlink r:id="rId11" w:history="1">
        <w:r w:rsidR="003C168A" w:rsidRPr="00B42C5B">
          <w:rPr>
            <w:i/>
            <w:iCs/>
            <w:sz w:val="26"/>
            <w:szCs w:val="26"/>
          </w:rPr>
          <w:t>Lower Frederick Twp. Water Co. v. Pa. PUC,</w:t>
        </w:r>
        <w:r w:rsidR="003C168A" w:rsidRPr="00B42C5B">
          <w:rPr>
            <w:sz w:val="26"/>
            <w:szCs w:val="26"/>
          </w:rPr>
          <w:t xml:space="preserve"> 409 A.2d 505 (Pa. Cmwlth. 1980)</w:t>
        </w:r>
      </w:hyperlink>
      <w:r w:rsidR="003C168A">
        <w:rPr>
          <w:sz w:val="26"/>
          <w:szCs w:val="26"/>
        </w:rPr>
        <w:t>,</w:t>
      </w:r>
      <w:r w:rsidR="003C168A" w:rsidRPr="00B42C5B">
        <w:rPr>
          <w:sz w:val="26"/>
          <w:szCs w:val="26"/>
        </w:rPr>
        <w:t xml:space="preserve"> and </w:t>
      </w:r>
      <w:hyperlink r:id="rId12" w:history="1">
        <w:r w:rsidR="003C168A" w:rsidRPr="00B42C5B">
          <w:rPr>
            <w:i/>
            <w:iCs/>
            <w:sz w:val="26"/>
            <w:szCs w:val="26"/>
          </w:rPr>
          <w:t>Brockway Glass v. Pa. PUC,</w:t>
        </w:r>
        <w:r w:rsidR="003C168A" w:rsidRPr="00B42C5B">
          <w:rPr>
            <w:sz w:val="26"/>
            <w:szCs w:val="26"/>
          </w:rPr>
          <w:t xml:space="preserve"> 437 A.2d 1067 (Pa. Cmwlth. 1981)</w:t>
        </w:r>
      </w:hyperlink>
      <w:r w:rsidR="003C168A" w:rsidRPr="00B42C5B">
        <w:rPr>
          <w:sz w:val="26"/>
          <w:szCs w:val="26"/>
        </w:rPr>
        <w:t xml:space="preserve">. </w:t>
      </w:r>
      <w:r w:rsidR="00372C94" w:rsidRPr="00372C94">
        <w:rPr>
          <w:rFonts w:eastAsia="Calibri"/>
          <w:iCs/>
          <w:sz w:val="26"/>
          <w:szCs w:val="24"/>
        </w:rPr>
        <w:t xml:space="preserve">  In this instance, </w:t>
      </w:r>
      <w:r w:rsidR="00372C94">
        <w:rPr>
          <w:color w:val="000000"/>
          <w:sz w:val="26"/>
          <w:szCs w:val="26"/>
        </w:rPr>
        <w:t xml:space="preserve">Peoples </w:t>
      </w:r>
      <w:r w:rsidR="00372C94" w:rsidRPr="00372C94">
        <w:rPr>
          <w:color w:val="000000"/>
          <w:sz w:val="26"/>
          <w:szCs w:val="26"/>
        </w:rPr>
        <w:t>has the burden of proof in this proceeding to establish that it is entitled to the relief it is</w:t>
      </w:r>
      <w:r w:rsidR="00372C94">
        <w:rPr>
          <w:color w:val="000000"/>
          <w:sz w:val="26"/>
          <w:szCs w:val="26"/>
        </w:rPr>
        <w:t xml:space="preserve"> seeking </w:t>
      </w:r>
      <w:proofErr w:type="gramStart"/>
      <w:r w:rsidR="00372C94">
        <w:rPr>
          <w:color w:val="000000"/>
          <w:sz w:val="26"/>
          <w:szCs w:val="26"/>
        </w:rPr>
        <w:t>with regard to</w:t>
      </w:r>
      <w:proofErr w:type="gramEnd"/>
      <w:r w:rsidR="00372C94">
        <w:rPr>
          <w:color w:val="000000"/>
          <w:sz w:val="26"/>
          <w:szCs w:val="26"/>
        </w:rPr>
        <w:t xml:space="preserve"> the rates and modifications included in its filing.</w:t>
      </w:r>
    </w:p>
    <w:p w14:paraId="27F5749E" w14:textId="77777777" w:rsidR="00372C94" w:rsidRPr="00372C94" w:rsidRDefault="00372C94" w:rsidP="007374FA">
      <w:pPr>
        <w:widowControl/>
        <w:spacing w:line="360" w:lineRule="auto"/>
        <w:ind w:firstLine="1440"/>
        <w:rPr>
          <w:rFonts w:eastAsia="Calibri"/>
          <w:iCs/>
          <w:sz w:val="26"/>
          <w:szCs w:val="24"/>
        </w:rPr>
      </w:pPr>
    </w:p>
    <w:p w14:paraId="0E8788B3" w14:textId="77777777" w:rsidR="002042D2" w:rsidRPr="002042D2" w:rsidRDefault="002042D2" w:rsidP="007374FA">
      <w:pPr>
        <w:pStyle w:val="Heading2"/>
      </w:pPr>
      <w:bookmarkStart w:id="13" w:name="_Toc524442343"/>
      <w:r w:rsidRPr="002042D2">
        <w:t>Least Cost Fuel Procurement Policy</w:t>
      </w:r>
      <w:bookmarkEnd w:id="13"/>
    </w:p>
    <w:p w14:paraId="0093F075" w14:textId="77777777" w:rsidR="00353DC0" w:rsidRDefault="00353DC0" w:rsidP="007374FA">
      <w:pPr>
        <w:keepNext/>
        <w:keepLines/>
        <w:widowControl/>
        <w:tabs>
          <w:tab w:val="left" w:pos="1445"/>
        </w:tabs>
        <w:autoSpaceDE w:val="0"/>
        <w:autoSpaceDN w:val="0"/>
        <w:adjustRightInd w:val="0"/>
        <w:spacing w:line="360" w:lineRule="auto"/>
        <w:rPr>
          <w:sz w:val="26"/>
          <w:szCs w:val="26"/>
        </w:rPr>
      </w:pPr>
    </w:p>
    <w:p w14:paraId="467C592C" w14:textId="0585F4B9" w:rsidR="00023423" w:rsidRPr="00023423" w:rsidRDefault="00023423" w:rsidP="007374FA">
      <w:pPr>
        <w:widowControl/>
        <w:spacing w:line="360" w:lineRule="auto"/>
        <w:ind w:firstLine="1440"/>
        <w:rPr>
          <w:sz w:val="26"/>
          <w:szCs w:val="26"/>
        </w:rPr>
      </w:pPr>
      <w:r w:rsidRPr="00023423">
        <w:rPr>
          <w:sz w:val="26"/>
          <w:szCs w:val="26"/>
        </w:rPr>
        <w:t xml:space="preserve">As discussed, </w:t>
      </w:r>
      <w:r w:rsidRPr="00023423">
        <w:rPr>
          <w:i/>
          <w:sz w:val="26"/>
          <w:szCs w:val="26"/>
        </w:rPr>
        <w:t>supra</w:t>
      </w:r>
      <w:r w:rsidRPr="00023423">
        <w:rPr>
          <w:sz w:val="26"/>
          <w:szCs w:val="26"/>
        </w:rPr>
        <w:t xml:space="preserve">, Section 1307(f) of the Code governs recovery of natural gas costs and allows </w:t>
      </w:r>
      <w:r>
        <w:rPr>
          <w:sz w:val="26"/>
          <w:szCs w:val="26"/>
        </w:rPr>
        <w:t>NGDCs</w:t>
      </w:r>
      <w:r w:rsidRPr="00023423">
        <w:rPr>
          <w:sz w:val="26"/>
          <w:szCs w:val="26"/>
        </w:rPr>
        <w:t xml:space="preserve"> with gross intrastate annual operating revenues </w:t>
      </w:r>
      <w:proofErr w:type="gramStart"/>
      <w:r w:rsidRPr="00023423">
        <w:rPr>
          <w:sz w:val="26"/>
          <w:szCs w:val="26"/>
        </w:rPr>
        <w:t>in excess of</w:t>
      </w:r>
      <w:proofErr w:type="gramEnd"/>
      <w:r w:rsidRPr="00023423">
        <w:rPr>
          <w:sz w:val="26"/>
          <w:szCs w:val="26"/>
        </w:rPr>
        <w:t xml:space="preserve"> $40,000,000 to file tariffs reflecting actual and projected increases or decreases in their natural gas costs, with the tariffs be</w:t>
      </w:r>
      <w:r w:rsidR="009003ED">
        <w:rPr>
          <w:sz w:val="26"/>
          <w:szCs w:val="26"/>
        </w:rPr>
        <w:t>coming</w:t>
      </w:r>
      <w:r w:rsidRPr="00023423">
        <w:rPr>
          <w:sz w:val="26"/>
          <w:szCs w:val="26"/>
        </w:rPr>
        <w:t xml:space="preserve"> effective six months from the date of filing.  66 Pa. C.S. § 1307(f)(1).  Section 1307 further provides that the Commission, after a hearing, shall determine the portion of the Company</w:t>
      </w:r>
      <w:r w:rsidR="00734951">
        <w:rPr>
          <w:sz w:val="26"/>
          <w:szCs w:val="26"/>
        </w:rPr>
        <w:t>’</w:t>
      </w:r>
      <w:r w:rsidRPr="00023423">
        <w:rPr>
          <w:sz w:val="26"/>
          <w:szCs w:val="26"/>
        </w:rPr>
        <w:t>s natural gas distribution costs in the previous twelve-month period that meet the standards set out in Section 1318 of the Code.  66 Pa. C.S. § 1307(f)(5).  Section 1318 provides that no rates for a natural gas distribution utility shall be deemed just and reasonable unless the Commission finds that the</w:t>
      </w:r>
      <w:r w:rsidRPr="00023423">
        <w:rPr>
          <w:sz w:val="24"/>
          <w:szCs w:val="24"/>
        </w:rPr>
        <w:t xml:space="preserve"> </w:t>
      </w:r>
      <w:r w:rsidRPr="00023423">
        <w:rPr>
          <w:sz w:val="26"/>
          <w:szCs w:val="26"/>
        </w:rPr>
        <w:t xml:space="preserve">utility is pursuing a least cost fuel procurement policy, consistent with the </w:t>
      </w:r>
      <w:r w:rsidRPr="00023423">
        <w:rPr>
          <w:sz w:val="26"/>
          <w:szCs w:val="26"/>
        </w:rPr>
        <w:lastRenderedPageBreak/>
        <w:t>utility</w:t>
      </w:r>
      <w:r w:rsidR="00734951">
        <w:rPr>
          <w:sz w:val="26"/>
          <w:szCs w:val="26"/>
        </w:rPr>
        <w:t>’</w:t>
      </w:r>
      <w:r w:rsidRPr="00023423">
        <w:rPr>
          <w:sz w:val="26"/>
          <w:szCs w:val="26"/>
        </w:rPr>
        <w:t>s obligation to provide safe, adequate and reliable service to its customers.  66 Pa. C.S. § 1308(a).</w:t>
      </w:r>
    </w:p>
    <w:p w14:paraId="2B75CE52" w14:textId="77777777" w:rsidR="00353DC0" w:rsidRDefault="00353DC0" w:rsidP="007374FA">
      <w:pPr>
        <w:widowControl/>
        <w:tabs>
          <w:tab w:val="left" w:pos="1445"/>
        </w:tabs>
        <w:autoSpaceDE w:val="0"/>
        <w:autoSpaceDN w:val="0"/>
        <w:adjustRightInd w:val="0"/>
        <w:spacing w:line="360" w:lineRule="auto"/>
        <w:ind w:firstLine="1440"/>
        <w:rPr>
          <w:sz w:val="26"/>
          <w:szCs w:val="26"/>
        </w:rPr>
      </w:pPr>
    </w:p>
    <w:p w14:paraId="6178DCDB" w14:textId="77777777" w:rsidR="009D51D1" w:rsidRPr="009D51D1" w:rsidRDefault="009D51D1" w:rsidP="007374FA">
      <w:pPr>
        <w:widowControl/>
        <w:spacing w:line="360" w:lineRule="auto"/>
        <w:ind w:firstLine="1440"/>
        <w:rPr>
          <w:sz w:val="26"/>
          <w:szCs w:val="24"/>
        </w:rPr>
      </w:pPr>
      <w:r>
        <w:rPr>
          <w:sz w:val="26"/>
          <w:szCs w:val="24"/>
        </w:rPr>
        <w:t xml:space="preserve">In determining whether Peoples </w:t>
      </w:r>
      <w:r w:rsidRPr="009D51D1">
        <w:rPr>
          <w:sz w:val="26"/>
          <w:szCs w:val="24"/>
        </w:rPr>
        <w:t>is pursuing a least cost fuel procurement policy under Section 1318 of the Code, specific findings must be made as follows:</w:t>
      </w:r>
    </w:p>
    <w:p w14:paraId="74BD98D2" w14:textId="77777777" w:rsidR="009D51D1" w:rsidRPr="009D51D1" w:rsidRDefault="009D51D1" w:rsidP="007374FA">
      <w:pPr>
        <w:widowControl/>
        <w:autoSpaceDE w:val="0"/>
        <w:autoSpaceDN w:val="0"/>
        <w:rPr>
          <w:sz w:val="26"/>
          <w:szCs w:val="26"/>
        </w:rPr>
      </w:pPr>
    </w:p>
    <w:p w14:paraId="289C9345" w14:textId="40069D0F" w:rsidR="009D51D1" w:rsidRPr="009D51D1" w:rsidRDefault="009D51D1" w:rsidP="007374FA">
      <w:pPr>
        <w:widowControl/>
        <w:autoSpaceDE w:val="0"/>
        <w:autoSpaceDN w:val="0"/>
        <w:ind w:left="1440" w:right="1440" w:firstLine="288"/>
        <w:rPr>
          <w:sz w:val="26"/>
          <w:szCs w:val="26"/>
        </w:rPr>
      </w:pPr>
      <w:r w:rsidRPr="009D51D1">
        <w:rPr>
          <w:sz w:val="26"/>
          <w:szCs w:val="26"/>
        </w:rPr>
        <w:t>(1)</w:t>
      </w:r>
      <w:r w:rsidRPr="009D51D1">
        <w:rPr>
          <w:sz w:val="26"/>
          <w:szCs w:val="26"/>
        </w:rPr>
        <w:tab/>
        <w:t>The utility has fully and vigorously represented its ratepayers</w:t>
      </w:r>
      <w:r w:rsidR="00734951">
        <w:rPr>
          <w:sz w:val="26"/>
          <w:szCs w:val="26"/>
        </w:rPr>
        <w:t>’</w:t>
      </w:r>
      <w:r w:rsidRPr="009D51D1">
        <w:rPr>
          <w:sz w:val="26"/>
          <w:szCs w:val="26"/>
        </w:rPr>
        <w:t xml:space="preserve"> interests before the Federal Energy Regulatory Commission.</w:t>
      </w:r>
    </w:p>
    <w:p w14:paraId="19CA95F6" w14:textId="77777777" w:rsidR="009D51D1" w:rsidRPr="009D51D1" w:rsidRDefault="009D51D1" w:rsidP="007374FA">
      <w:pPr>
        <w:widowControl/>
        <w:autoSpaceDE w:val="0"/>
        <w:autoSpaceDN w:val="0"/>
        <w:ind w:left="1440" w:right="1440"/>
        <w:rPr>
          <w:sz w:val="26"/>
          <w:szCs w:val="26"/>
        </w:rPr>
      </w:pPr>
    </w:p>
    <w:p w14:paraId="0BE7B452" w14:textId="7478E42D" w:rsidR="009D51D1" w:rsidRPr="009D51D1" w:rsidRDefault="009D51D1" w:rsidP="007374FA">
      <w:pPr>
        <w:widowControl/>
        <w:autoSpaceDE w:val="0"/>
        <w:autoSpaceDN w:val="0"/>
        <w:ind w:left="1440" w:right="1440" w:firstLine="288"/>
        <w:rPr>
          <w:sz w:val="26"/>
          <w:szCs w:val="26"/>
        </w:rPr>
      </w:pPr>
      <w:r w:rsidRPr="009D51D1">
        <w:rPr>
          <w:sz w:val="26"/>
          <w:szCs w:val="26"/>
        </w:rPr>
        <w:t>(2)</w:t>
      </w:r>
      <w:r w:rsidRPr="009D51D1">
        <w:rPr>
          <w:sz w:val="26"/>
          <w:szCs w:val="26"/>
        </w:rPr>
        <w:tab/>
        <w:t xml:space="preserve">The utility has taken all prudent steps necessary to negotiate favorable gas supply contracts and to relieve the utility from terms in existing contracts with its gas suppliers which are or may be </w:t>
      </w:r>
      <w:proofErr w:type="gramStart"/>
      <w:r w:rsidRPr="009D51D1">
        <w:rPr>
          <w:sz w:val="26"/>
          <w:szCs w:val="26"/>
        </w:rPr>
        <w:t>adverse</w:t>
      </w:r>
      <w:proofErr w:type="gramEnd"/>
      <w:r w:rsidRPr="009D51D1">
        <w:rPr>
          <w:sz w:val="26"/>
          <w:szCs w:val="26"/>
        </w:rPr>
        <w:t xml:space="preserve"> to the interests of the utility</w:t>
      </w:r>
      <w:r w:rsidR="00734951">
        <w:rPr>
          <w:sz w:val="26"/>
          <w:szCs w:val="26"/>
        </w:rPr>
        <w:t>’</w:t>
      </w:r>
      <w:r w:rsidRPr="009D51D1">
        <w:rPr>
          <w:sz w:val="26"/>
          <w:szCs w:val="26"/>
        </w:rPr>
        <w:t>s ratepayers.</w:t>
      </w:r>
    </w:p>
    <w:p w14:paraId="52FD58DF" w14:textId="77777777" w:rsidR="009D51D1" w:rsidRPr="009D51D1" w:rsidRDefault="009D51D1" w:rsidP="007374FA">
      <w:pPr>
        <w:widowControl/>
        <w:autoSpaceDE w:val="0"/>
        <w:autoSpaceDN w:val="0"/>
        <w:ind w:left="1440" w:right="1440" w:firstLine="288"/>
        <w:rPr>
          <w:sz w:val="26"/>
          <w:szCs w:val="26"/>
        </w:rPr>
      </w:pPr>
    </w:p>
    <w:p w14:paraId="5C474DDC" w14:textId="77777777" w:rsidR="009D51D1" w:rsidRPr="009D51D1" w:rsidRDefault="009D51D1" w:rsidP="007374FA">
      <w:pPr>
        <w:widowControl/>
        <w:autoSpaceDE w:val="0"/>
        <w:autoSpaceDN w:val="0"/>
        <w:ind w:left="1440" w:right="1440" w:firstLine="288"/>
        <w:rPr>
          <w:sz w:val="26"/>
          <w:szCs w:val="26"/>
        </w:rPr>
      </w:pPr>
      <w:r w:rsidRPr="009D51D1">
        <w:rPr>
          <w:sz w:val="26"/>
          <w:szCs w:val="26"/>
        </w:rPr>
        <w:t>(3)</w:t>
      </w:r>
      <w:r w:rsidRPr="009D51D1">
        <w:rPr>
          <w:sz w:val="26"/>
          <w:szCs w:val="26"/>
        </w:rPr>
        <w:tab/>
        <w:t>The utility has taken all prudent steps necessary to obtain lower cost gas supplies on both short-term and long-term bases both within and outside the Commonwealth, including the use of gas transportation arrangements with pipelines and other distribution companies.</w:t>
      </w:r>
    </w:p>
    <w:p w14:paraId="3682CB83" w14:textId="77777777" w:rsidR="009D51D1" w:rsidRPr="009D51D1" w:rsidRDefault="009D51D1" w:rsidP="007374FA">
      <w:pPr>
        <w:widowControl/>
        <w:autoSpaceDE w:val="0"/>
        <w:autoSpaceDN w:val="0"/>
        <w:ind w:left="1440" w:right="1440" w:firstLine="288"/>
        <w:rPr>
          <w:sz w:val="26"/>
          <w:szCs w:val="26"/>
        </w:rPr>
      </w:pPr>
    </w:p>
    <w:p w14:paraId="52C62B38" w14:textId="77777777" w:rsidR="009D51D1" w:rsidRPr="009D51D1" w:rsidRDefault="009D51D1" w:rsidP="007374FA">
      <w:pPr>
        <w:keepNext/>
        <w:keepLines/>
        <w:widowControl/>
        <w:autoSpaceDE w:val="0"/>
        <w:autoSpaceDN w:val="0"/>
        <w:ind w:left="1440" w:right="1440" w:firstLine="288"/>
        <w:rPr>
          <w:sz w:val="26"/>
          <w:szCs w:val="26"/>
        </w:rPr>
      </w:pPr>
      <w:r w:rsidRPr="009D51D1">
        <w:rPr>
          <w:sz w:val="26"/>
          <w:szCs w:val="26"/>
        </w:rPr>
        <w:t>(4)</w:t>
      </w:r>
      <w:r w:rsidRPr="009D51D1">
        <w:rPr>
          <w:sz w:val="26"/>
          <w:szCs w:val="26"/>
        </w:rPr>
        <w:tab/>
        <w:t>The utility has not withheld from the market or caused to be withheld from the market any gas supplies which should have been utilized as part of a least cost fuel procurement policy.</w:t>
      </w:r>
    </w:p>
    <w:p w14:paraId="1774D9E4" w14:textId="77777777" w:rsidR="009D51D1" w:rsidRDefault="009D51D1" w:rsidP="007374FA">
      <w:pPr>
        <w:keepNext/>
        <w:keepLines/>
        <w:widowControl/>
        <w:autoSpaceDE w:val="0"/>
        <w:autoSpaceDN w:val="0"/>
        <w:ind w:left="1440" w:right="1440"/>
        <w:rPr>
          <w:sz w:val="26"/>
          <w:szCs w:val="26"/>
        </w:rPr>
      </w:pPr>
    </w:p>
    <w:p w14:paraId="78D7AB6F" w14:textId="77777777" w:rsidR="00D54C35" w:rsidRPr="009D51D1" w:rsidRDefault="00D54C35" w:rsidP="007374FA">
      <w:pPr>
        <w:keepNext/>
        <w:keepLines/>
        <w:widowControl/>
        <w:autoSpaceDE w:val="0"/>
        <w:autoSpaceDN w:val="0"/>
        <w:ind w:left="1440" w:right="1440"/>
        <w:rPr>
          <w:sz w:val="26"/>
          <w:szCs w:val="26"/>
        </w:rPr>
      </w:pPr>
    </w:p>
    <w:p w14:paraId="04D8B697" w14:textId="77777777" w:rsidR="009D51D1" w:rsidRPr="009D51D1" w:rsidRDefault="009D51D1" w:rsidP="007374FA">
      <w:pPr>
        <w:widowControl/>
        <w:autoSpaceDE w:val="0"/>
        <w:autoSpaceDN w:val="0"/>
        <w:spacing w:line="360" w:lineRule="auto"/>
        <w:rPr>
          <w:sz w:val="26"/>
          <w:szCs w:val="26"/>
        </w:rPr>
      </w:pPr>
      <w:r w:rsidRPr="009D51D1">
        <w:rPr>
          <w:sz w:val="26"/>
          <w:szCs w:val="26"/>
        </w:rPr>
        <w:t>66 Pa. C.S. § 1318(a)(1)-(4).</w:t>
      </w:r>
    </w:p>
    <w:p w14:paraId="08E17CAD" w14:textId="77777777" w:rsidR="00372C94" w:rsidRDefault="00372C94" w:rsidP="007374FA">
      <w:pPr>
        <w:widowControl/>
        <w:tabs>
          <w:tab w:val="left" w:pos="1445"/>
        </w:tabs>
        <w:autoSpaceDE w:val="0"/>
        <w:autoSpaceDN w:val="0"/>
        <w:adjustRightInd w:val="0"/>
        <w:spacing w:line="360" w:lineRule="auto"/>
        <w:ind w:firstLine="1440"/>
        <w:rPr>
          <w:sz w:val="26"/>
          <w:szCs w:val="26"/>
        </w:rPr>
      </w:pPr>
    </w:p>
    <w:p w14:paraId="4D78A6B4" w14:textId="77777777" w:rsidR="00C57790" w:rsidRDefault="00C57790" w:rsidP="007374FA">
      <w:pPr>
        <w:widowControl/>
        <w:tabs>
          <w:tab w:val="left" w:pos="1445"/>
        </w:tabs>
        <w:autoSpaceDE w:val="0"/>
        <w:autoSpaceDN w:val="0"/>
        <w:adjustRightInd w:val="0"/>
        <w:spacing w:line="360" w:lineRule="auto"/>
        <w:ind w:firstLine="1440"/>
        <w:rPr>
          <w:sz w:val="26"/>
          <w:szCs w:val="26"/>
        </w:rPr>
      </w:pPr>
      <w:r>
        <w:rPr>
          <w:sz w:val="26"/>
          <w:szCs w:val="26"/>
        </w:rPr>
        <w:t>Peoples does not purchase gas, transportation or storage from an affiliated interest</w:t>
      </w:r>
      <w:r w:rsidR="00A11F1F">
        <w:rPr>
          <w:sz w:val="26"/>
          <w:szCs w:val="26"/>
        </w:rPr>
        <w:t xml:space="preserve">, as defined at 66 Pa. C.S. § 2101.  However, the Company is a party to a number of affiliated </w:t>
      </w:r>
      <w:proofErr w:type="gramStart"/>
      <w:r w:rsidR="00A11F1F">
        <w:rPr>
          <w:sz w:val="26"/>
          <w:szCs w:val="26"/>
        </w:rPr>
        <w:t>interest</w:t>
      </w:r>
      <w:proofErr w:type="gramEnd"/>
      <w:r w:rsidR="00A11F1F">
        <w:rPr>
          <w:sz w:val="26"/>
          <w:szCs w:val="26"/>
        </w:rPr>
        <w:t xml:space="preserve">, natural gas exchange agreements.  </w:t>
      </w:r>
      <w:r w:rsidR="00A11F1F" w:rsidRPr="00A11F1F">
        <w:rPr>
          <w:i/>
          <w:sz w:val="26"/>
          <w:szCs w:val="26"/>
        </w:rPr>
        <w:t>See</w:t>
      </w:r>
      <w:r w:rsidR="00A11F1F" w:rsidRPr="00A11F1F">
        <w:rPr>
          <w:sz w:val="26"/>
          <w:szCs w:val="26"/>
        </w:rPr>
        <w:t xml:space="preserve"> PGC 30-day Pre</w:t>
      </w:r>
      <w:r w:rsidR="00A11F1F">
        <w:rPr>
          <w:sz w:val="26"/>
          <w:szCs w:val="26"/>
        </w:rPr>
        <w:noBreakHyphen/>
      </w:r>
      <w:r w:rsidR="00A11F1F" w:rsidRPr="00A11F1F">
        <w:rPr>
          <w:sz w:val="26"/>
          <w:szCs w:val="26"/>
        </w:rPr>
        <w:t>filing</w:t>
      </w:r>
      <w:r w:rsidR="00A11F1F">
        <w:rPr>
          <w:sz w:val="26"/>
          <w:szCs w:val="26"/>
        </w:rPr>
        <w:t xml:space="preserve"> at 1</w:t>
      </w:r>
      <w:r w:rsidR="00562DCE">
        <w:rPr>
          <w:sz w:val="26"/>
          <w:szCs w:val="26"/>
        </w:rPr>
        <w:t>34</w:t>
      </w:r>
      <w:r w:rsidR="00A11F1F">
        <w:rPr>
          <w:sz w:val="26"/>
          <w:szCs w:val="26"/>
        </w:rPr>
        <w:t xml:space="preserve">.  </w:t>
      </w:r>
      <w:r w:rsidR="00930A54">
        <w:rPr>
          <w:sz w:val="26"/>
          <w:szCs w:val="26"/>
        </w:rPr>
        <w:t>W</w:t>
      </w:r>
      <w:r w:rsidR="00D54C35">
        <w:rPr>
          <w:sz w:val="26"/>
          <w:szCs w:val="26"/>
        </w:rPr>
        <w:t>ith respect to purchases from affiliates, the Commission is required to make the following specific findings:</w:t>
      </w:r>
    </w:p>
    <w:p w14:paraId="28A02786" w14:textId="77777777" w:rsidR="00372C94" w:rsidRDefault="00372C94" w:rsidP="007374FA">
      <w:pPr>
        <w:widowControl/>
        <w:tabs>
          <w:tab w:val="left" w:pos="1445"/>
        </w:tabs>
        <w:autoSpaceDE w:val="0"/>
        <w:autoSpaceDN w:val="0"/>
        <w:adjustRightInd w:val="0"/>
        <w:spacing w:line="360" w:lineRule="auto"/>
        <w:ind w:firstLine="1440"/>
        <w:rPr>
          <w:sz w:val="26"/>
          <w:szCs w:val="26"/>
        </w:rPr>
      </w:pPr>
    </w:p>
    <w:p w14:paraId="23191B3F" w14:textId="77777777" w:rsidR="00D54C35" w:rsidRPr="00D54C35" w:rsidRDefault="00D54C35" w:rsidP="007374FA">
      <w:pPr>
        <w:widowControl/>
        <w:autoSpaceDE w:val="0"/>
        <w:autoSpaceDN w:val="0"/>
        <w:ind w:left="1440" w:right="1440" w:firstLine="288"/>
        <w:rPr>
          <w:sz w:val="26"/>
          <w:szCs w:val="26"/>
        </w:rPr>
      </w:pPr>
      <w:r w:rsidRPr="00D54C35">
        <w:rPr>
          <w:sz w:val="26"/>
          <w:szCs w:val="26"/>
        </w:rPr>
        <w:lastRenderedPageBreak/>
        <w:t>(1)</w:t>
      </w:r>
      <w:r w:rsidRPr="00D54C35">
        <w:rPr>
          <w:sz w:val="26"/>
          <w:szCs w:val="26"/>
        </w:rPr>
        <w:tab/>
        <w:t>That the utility has fully and vigorously attempted to obtain less costly gas supplies on both short-term and long-term bases from nonaffiliated interests.</w:t>
      </w:r>
    </w:p>
    <w:p w14:paraId="1536F204" w14:textId="77777777" w:rsidR="00D54C35" w:rsidRPr="00D54C35" w:rsidRDefault="00D54C35" w:rsidP="007374FA">
      <w:pPr>
        <w:widowControl/>
        <w:autoSpaceDE w:val="0"/>
        <w:autoSpaceDN w:val="0"/>
        <w:ind w:left="1440" w:right="1440" w:firstLine="288"/>
        <w:rPr>
          <w:sz w:val="26"/>
          <w:szCs w:val="26"/>
        </w:rPr>
      </w:pPr>
    </w:p>
    <w:p w14:paraId="77EF4AC8" w14:textId="77777777" w:rsidR="00D54C35" w:rsidRPr="00D54C35" w:rsidRDefault="00D54C35" w:rsidP="007374FA">
      <w:pPr>
        <w:widowControl/>
        <w:autoSpaceDE w:val="0"/>
        <w:autoSpaceDN w:val="0"/>
        <w:ind w:left="1440" w:right="1440" w:firstLine="288"/>
        <w:rPr>
          <w:sz w:val="26"/>
          <w:szCs w:val="26"/>
        </w:rPr>
      </w:pPr>
      <w:r w:rsidRPr="00D54C35">
        <w:rPr>
          <w:sz w:val="26"/>
          <w:szCs w:val="26"/>
        </w:rPr>
        <w:t>(2)</w:t>
      </w:r>
      <w:r w:rsidRPr="00D54C35">
        <w:rPr>
          <w:sz w:val="26"/>
          <w:szCs w:val="26"/>
        </w:rPr>
        <w:tab/>
        <w:t>That each contract for the purchase of gas from an affiliated interest is consistent with a least cost fuel procurement policy.</w:t>
      </w:r>
    </w:p>
    <w:p w14:paraId="3214D7DD" w14:textId="77777777" w:rsidR="00D54C35" w:rsidRPr="00D54C35" w:rsidRDefault="00D54C35" w:rsidP="007374FA">
      <w:pPr>
        <w:widowControl/>
        <w:autoSpaceDE w:val="0"/>
        <w:autoSpaceDN w:val="0"/>
        <w:ind w:left="1440" w:right="1440" w:firstLine="288"/>
        <w:rPr>
          <w:sz w:val="26"/>
          <w:szCs w:val="26"/>
        </w:rPr>
      </w:pPr>
    </w:p>
    <w:p w14:paraId="64AA00D7" w14:textId="77777777" w:rsidR="00D54C35" w:rsidRPr="00D54C35" w:rsidRDefault="00D54C35" w:rsidP="007374FA">
      <w:pPr>
        <w:keepNext/>
        <w:keepLines/>
        <w:widowControl/>
        <w:autoSpaceDE w:val="0"/>
        <w:autoSpaceDN w:val="0"/>
        <w:ind w:left="1440" w:right="1440" w:firstLine="288"/>
        <w:rPr>
          <w:sz w:val="26"/>
          <w:szCs w:val="26"/>
        </w:rPr>
      </w:pPr>
      <w:r w:rsidRPr="00D54C35">
        <w:rPr>
          <w:sz w:val="26"/>
          <w:szCs w:val="26"/>
        </w:rPr>
        <w:t>(3)</w:t>
      </w:r>
      <w:r w:rsidRPr="00D54C35">
        <w:rPr>
          <w:sz w:val="26"/>
          <w:szCs w:val="26"/>
        </w:rPr>
        <w:tab/>
        <w:t>That neither the utility nor its affiliated interest has withheld from the market any gas supplies which should have been utilized as part of a least cost fuel procurement policy.</w:t>
      </w:r>
    </w:p>
    <w:p w14:paraId="68EF23DA" w14:textId="77777777" w:rsidR="00D54C35" w:rsidRDefault="00D54C35" w:rsidP="007374FA">
      <w:pPr>
        <w:keepNext/>
        <w:keepLines/>
        <w:widowControl/>
        <w:rPr>
          <w:rFonts w:eastAsia="Calibri"/>
          <w:sz w:val="26"/>
          <w:szCs w:val="26"/>
        </w:rPr>
      </w:pPr>
    </w:p>
    <w:p w14:paraId="393F43AE" w14:textId="77777777" w:rsidR="00D54C35" w:rsidRPr="00D54C35" w:rsidRDefault="00D54C35" w:rsidP="007374FA">
      <w:pPr>
        <w:keepNext/>
        <w:keepLines/>
        <w:widowControl/>
        <w:rPr>
          <w:rFonts w:eastAsia="Calibri"/>
          <w:sz w:val="26"/>
          <w:szCs w:val="26"/>
        </w:rPr>
      </w:pPr>
    </w:p>
    <w:p w14:paraId="4B1429C0" w14:textId="77777777" w:rsidR="00D54C35" w:rsidRPr="00D54C35" w:rsidRDefault="00D54C35" w:rsidP="007374FA">
      <w:pPr>
        <w:widowControl/>
        <w:spacing w:line="360" w:lineRule="auto"/>
        <w:rPr>
          <w:rFonts w:eastAsia="Calibri"/>
          <w:sz w:val="26"/>
          <w:szCs w:val="26"/>
        </w:rPr>
      </w:pPr>
      <w:r w:rsidRPr="00D54C35">
        <w:rPr>
          <w:rFonts w:eastAsia="Calibri"/>
          <w:sz w:val="26"/>
          <w:szCs w:val="26"/>
        </w:rPr>
        <w:t>66 Pa. C.S. § 1318(b)(1)-(3).</w:t>
      </w:r>
    </w:p>
    <w:p w14:paraId="5F9285C9" w14:textId="77777777" w:rsidR="00372C94" w:rsidRDefault="00372C94" w:rsidP="007374FA">
      <w:pPr>
        <w:widowControl/>
        <w:tabs>
          <w:tab w:val="left" w:pos="1445"/>
        </w:tabs>
        <w:autoSpaceDE w:val="0"/>
        <w:autoSpaceDN w:val="0"/>
        <w:adjustRightInd w:val="0"/>
        <w:spacing w:line="360" w:lineRule="auto"/>
        <w:ind w:firstLine="1440"/>
        <w:rPr>
          <w:sz w:val="26"/>
          <w:szCs w:val="26"/>
        </w:rPr>
      </w:pPr>
    </w:p>
    <w:p w14:paraId="13236476" w14:textId="77777777" w:rsidR="00930A54" w:rsidRDefault="00930A54" w:rsidP="007374FA">
      <w:pPr>
        <w:widowControl/>
        <w:autoSpaceDE w:val="0"/>
        <w:autoSpaceDN w:val="0"/>
        <w:spacing w:line="360" w:lineRule="auto"/>
        <w:ind w:firstLine="1440"/>
        <w:rPr>
          <w:sz w:val="26"/>
          <w:szCs w:val="26"/>
        </w:rPr>
      </w:pPr>
      <w:r w:rsidRPr="00930A54">
        <w:rPr>
          <w:sz w:val="26"/>
          <w:szCs w:val="26"/>
        </w:rPr>
        <w:t xml:space="preserve">Section 1317 of the Code, 66 Pa. C.S. § 1317, requires the submission of certain information to enable the Commission to make a least cost fuel procurement finding.  </w:t>
      </w:r>
      <w:r w:rsidRPr="00930A54">
        <w:rPr>
          <w:rFonts w:eastAsia="Calibri"/>
          <w:sz w:val="26"/>
          <w:szCs w:val="26"/>
        </w:rPr>
        <w:t xml:space="preserve">The Commission has promulgated regulations pursuant to the statutes that include extensive filing requirements that also govern such filings.  </w:t>
      </w:r>
      <w:r w:rsidRPr="00930A54">
        <w:rPr>
          <w:rFonts w:eastAsia="Calibri"/>
          <w:i/>
          <w:sz w:val="26"/>
          <w:szCs w:val="26"/>
        </w:rPr>
        <w:t>See</w:t>
      </w:r>
      <w:r w:rsidRPr="00930A54">
        <w:rPr>
          <w:rFonts w:eastAsia="Calibri"/>
          <w:sz w:val="26"/>
          <w:szCs w:val="26"/>
        </w:rPr>
        <w:t xml:space="preserve">, 52 Pa. Code §§ 53.64 (filing requirements for natural gas distributors with gross intrastate annual operating revenues </w:t>
      </w:r>
      <w:proofErr w:type="gramStart"/>
      <w:r w:rsidRPr="00930A54">
        <w:rPr>
          <w:rFonts w:eastAsia="Calibri"/>
          <w:sz w:val="26"/>
          <w:szCs w:val="26"/>
        </w:rPr>
        <w:t>in excess of</w:t>
      </w:r>
      <w:proofErr w:type="gramEnd"/>
      <w:r w:rsidRPr="00930A54">
        <w:rPr>
          <w:rFonts w:eastAsia="Calibri"/>
          <w:sz w:val="26"/>
          <w:szCs w:val="26"/>
        </w:rPr>
        <w:t xml:space="preserve"> $40 million) and 53.65 (special provisions relating to natural gas distributors with gross intrastate annual operating revenues in excess of $40 million with affiliated interests).  The ALJ concluded that </w:t>
      </w:r>
      <w:r>
        <w:rPr>
          <w:rFonts w:eastAsia="Calibri"/>
          <w:sz w:val="26"/>
          <w:szCs w:val="26"/>
        </w:rPr>
        <w:t xml:space="preserve">Peoples </w:t>
      </w:r>
      <w:r w:rsidRPr="00930A54">
        <w:rPr>
          <w:rFonts w:eastAsia="Calibri"/>
          <w:sz w:val="26"/>
          <w:szCs w:val="26"/>
        </w:rPr>
        <w:t>complied with these requirements.</w:t>
      </w:r>
      <w:r w:rsidR="00233EAF">
        <w:rPr>
          <w:rFonts w:eastAsia="Calibri"/>
          <w:sz w:val="26"/>
          <w:szCs w:val="26"/>
        </w:rPr>
        <w:t xml:space="preserve">  R.D. at 1</w:t>
      </w:r>
      <w:r w:rsidR="00704104">
        <w:rPr>
          <w:rFonts w:eastAsia="Calibri"/>
          <w:sz w:val="26"/>
          <w:szCs w:val="26"/>
        </w:rPr>
        <w:t>3</w:t>
      </w:r>
      <w:r w:rsidRPr="00930A54">
        <w:rPr>
          <w:rFonts w:eastAsia="Calibri"/>
          <w:sz w:val="26"/>
          <w:szCs w:val="26"/>
        </w:rPr>
        <w:t xml:space="preserve">. </w:t>
      </w:r>
    </w:p>
    <w:p w14:paraId="4FD1C0AF" w14:textId="77777777" w:rsidR="00930A54" w:rsidRDefault="00930A54" w:rsidP="007374FA">
      <w:pPr>
        <w:widowControl/>
        <w:tabs>
          <w:tab w:val="left" w:pos="1445"/>
        </w:tabs>
        <w:autoSpaceDE w:val="0"/>
        <w:autoSpaceDN w:val="0"/>
        <w:adjustRightInd w:val="0"/>
        <w:spacing w:line="360" w:lineRule="auto"/>
        <w:rPr>
          <w:sz w:val="26"/>
          <w:szCs w:val="26"/>
        </w:rPr>
      </w:pPr>
    </w:p>
    <w:p w14:paraId="3CD9CDCB" w14:textId="77777777" w:rsidR="001D3EED" w:rsidRPr="002042D2" w:rsidRDefault="001D3EED" w:rsidP="007374FA">
      <w:pPr>
        <w:pStyle w:val="Heading2"/>
      </w:pPr>
      <w:bookmarkStart w:id="14" w:name="_Toc524442344"/>
      <w:r>
        <w:t>Settlements</w:t>
      </w:r>
      <w:bookmarkEnd w:id="14"/>
    </w:p>
    <w:p w14:paraId="0AB8C4E2" w14:textId="77777777" w:rsidR="00372C94" w:rsidRDefault="00372C94" w:rsidP="007374FA">
      <w:pPr>
        <w:keepNext/>
        <w:keepLines/>
        <w:widowControl/>
        <w:tabs>
          <w:tab w:val="left" w:pos="1445"/>
        </w:tabs>
        <w:autoSpaceDE w:val="0"/>
        <w:autoSpaceDN w:val="0"/>
        <w:adjustRightInd w:val="0"/>
        <w:spacing w:line="360" w:lineRule="auto"/>
        <w:rPr>
          <w:sz w:val="26"/>
          <w:szCs w:val="26"/>
        </w:rPr>
      </w:pPr>
    </w:p>
    <w:p w14:paraId="6D65C74C" w14:textId="156136A4" w:rsidR="00365285" w:rsidRPr="00365285" w:rsidRDefault="00365285" w:rsidP="007374FA">
      <w:pPr>
        <w:widowControl/>
        <w:spacing w:line="360" w:lineRule="auto"/>
        <w:ind w:firstLine="1440"/>
        <w:rPr>
          <w:sz w:val="26"/>
          <w:szCs w:val="26"/>
        </w:rPr>
      </w:pPr>
      <w:r w:rsidRPr="00365285">
        <w:rPr>
          <w:sz w:val="26"/>
          <w:szCs w:val="26"/>
        </w:rPr>
        <w:t xml:space="preserve">The policy of the Commission is to encourage settlements, and the Commission has stated that settlement rates are often preferable to those achieved </w:t>
      </w:r>
      <w:proofErr w:type="gramStart"/>
      <w:r w:rsidRPr="00365285">
        <w:rPr>
          <w:sz w:val="26"/>
          <w:szCs w:val="26"/>
        </w:rPr>
        <w:t>at the conclusion of</w:t>
      </w:r>
      <w:proofErr w:type="gramEnd"/>
      <w:r w:rsidRPr="00365285">
        <w:rPr>
          <w:sz w:val="26"/>
          <w:szCs w:val="26"/>
        </w:rPr>
        <w:t xml:space="preserve"> a fully litigated proceeding.  52 Pa. Code §§ 5.231, 69.401.  A full settlement of all the issues in a proceeding eliminates the time, effort and expense that otherwise would have been used in litigating the proceeding, while a partial settlement may significantly reduce the time, effort and expense of litigating a case.  A settlement, </w:t>
      </w:r>
      <w:r w:rsidRPr="00365285">
        <w:rPr>
          <w:sz w:val="26"/>
          <w:szCs w:val="26"/>
        </w:rPr>
        <w:lastRenderedPageBreak/>
        <w:t>whether whole or partial, benefits not only the named parties directly, but, indirectly, all customers of the public utility involved in the case.</w:t>
      </w:r>
    </w:p>
    <w:p w14:paraId="749BAD76" w14:textId="77777777" w:rsidR="00372C94" w:rsidRDefault="00372C94" w:rsidP="007374FA">
      <w:pPr>
        <w:widowControl/>
        <w:tabs>
          <w:tab w:val="left" w:pos="1445"/>
        </w:tabs>
        <w:autoSpaceDE w:val="0"/>
        <w:autoSpaceDN w:val="0"/>
        <w:adjustRightInd w:val="0"/>
        <w:spacing w:line="360" w:lineRule="auto"/>
        <w:ind w:firstLine="1440"/>
        <w:rPr>
          <w:sz w:val="26"/>
          <w:szCs w:val="26"/>
        </w:rPr>
      </w:pPr>
    </w:p>
    <w:p w14:paraId="105FCC1A" w14:textId="12D481BB" w:rsidR="00372C94" w:rsidRDefault="00365285" w:rsidP="007374FA">
      <w:pPr>
        <w:widowControl/>
        <w:suppressAutoHyphens/>
        <w:spacing w:line="360" w:lineRule="auto"/>
        <w:ind w:firstLine="1440"/>
        <w:rPr>
          <w:sz w:val="26"/>
          <w:szCs w:val="26"/>
        </w:rPr>
      </w:pPr>
      <w:r w:rsidRPr="00365285">
        <w:rPr>
          <w:sz w:val="26"/>
          <w:szCs w:val="26"/>
        </w:rPr>
        <w:t>Regulatory proceedings are expensive to litigate, and the reasonable cost of such litigation is an operating expense recovered in the rates approved by the Commission.  Partial or full settlements allow the parties to avoid the substantial costs of preparing and serving testimony and the cross-examination of witnesses in lengthy hearings, the preparation and service of briefs, reply briefs, exceptions and replies to exceptions, together with the briefs and reply briefs necessitated by any appeal of the Commission</w:t>
      </w:r>
      <w:r w:rsidR="00734951">
        <w:rPr>
          <w:sz w:val="26"/>
          <w:szCs w:val="26"/>
        </w:rPr>
        <w:t>’</w:t>
      </w:r>
      <w:r w:rsidRPr="00365285">
        <w:rPr>
          <w:sz w:val="26"/>
          <w:szCs w:val="26"/>
        </w:rPr>
        <w:t>s decision, yielding significant expense savings for the company</w:t>
      </w:r>
      <w:r w:rsidR="00734951">
        <w:rPr>
          <w:sz w:val="26"/>
          <w:szCs w:val="26"/>
        </w:rPr>
        <w:t>’</w:t>
      </w:r>
      <w:r w:rsidRPr="00365285">
        <w:rPr>
          <w:sz w:val="26"/>
          <w:szCs w:val="26"/>
        </w:rPr>
        <w:t>s customers.  For this and other sound reasons, settlements are encouraged by long-standing Commission policy.</w:t>
      </w:r>
    </w:p>
    <w:p w14:paraId="595D8FDC" w14:textId="77777777" w:rsidR="0060153E" w:rsidRDefault="0060153E" w:rsidP="007374FA">
      <w:pPr>
        <w:widowControl/>
        <w:suppressAutoHyphens/>
        <w:spacing w:line="360" w:lineRule="auto"/>
        <w:ind w:firstLine="1440"/>
        <w:rPr>
          <w:sz w:val="26"/>
          <w:szCs w:val="26"/>
        </w:rPr>
      </w:pPr>
    </w:p>
    <w:p w14:paraId="4625CBC6" w14:textId="77777777" w:rsidR="00365285" w:rsidRPr="00365285" w:rsidRDefault="00365285" w:rsidP="007374FA">
      <w:pPr>
        <w:widowControl/>
        <w:spacing w:line="360" w:lineRule="auto"/>
        <w:ind w:firstLine="1440"/>
        <w:rPr>
          <w:sz w:val="26"/>
          <w:szCs w:val="26"/>
        </w:rPr>
      </w:pPr>
      <w:r w:rsidRPr="00365285">
        <w:rPr>
          <w:sz w:val="26"/>
          <w:szCs w:val="26"/>
        </w:rPr>
        <w:t xml:space="preserve">Despite the policy favoring settlements, the Commission does not simply rubber stamp settlements without further inquiry.  </w:t>
      </w:r>
      <w:proofErr w:type="gramStart"/>
      <w:r w:rsidRPr="00365285">
        <w:rPr>
          <w:sz w:val="26"/>
          <w:szCs w:val="26"/>
        </w:rPr>
        <w:t>In order to</w:t>
      </w:r>
      <w:proofErr w:type="gramEnd"/>
      <w:r w:rsidRPr="00365285">
        <w:rPr>
          <w:sz w:val="26"/>
          <w:szCs w:val="26"/>
        </w:rPr>
        <w:t xml:space="preserve"> accept a settlement such as that proposed here, the Commission must determine that the proposed terms and conditions are in the public interest.  </w:t>
      </w:r>
      <w:r w:rsidRPr="00365285">
        <w:rPr>
          <w:i/>
          <w:sz w:val="26"/>
          <w:szCs w:val="26"/>
        </w:rPr>
        <w:t>Pa. PUC v. York Water Co.</w:t>
      </w:r>
      <w:r w:rsidRPr="00365285">
        <w:rPr>
          <w:sz w:val="26"/>
          <w:szCs w:val="26"/>
        </w:rPr>
        <w:t>, Docket No. R</w:t>
      </w:r>
      <w:r w:rsidRPr="00365285">
        <w:rPr>
          <w:sz w:val="26"/>
          <w:szCs w:val="26"/>
        </w:rPr>
        <w:noBreakHyphen/>
        <w:t xml:space="preserve">00049165 (Order entered October 4, 2004); </w:t>
      </w:r>
      <w:r w:rsidRPr="00365285">
        <w:rPr>
          <w:i/>
          <w:sz w:val="26"/>
          <w:szCs w:val="26"/>
        </w:rPr>
        <w:t>Pa. PUC v. C. S. Water and Sewer Assoc.</w:t>
      </w:r>
      <w:r w:rsidRPr="00365285">
        <w:rPr>
          <w:sz w:val="26"/>
          <w:szCs w:val="26"/>
        </w:rPr>
        <w:t>, 74 Pa. P.U.C. 767 (1991).</w:t>
      </w:r>
    </w:p>
    <w:p w14:paraId="33074BF7" w14:textId="77777777" w:rsidR="00372C94" w:rsidRDefault="00372C94" w:rsidP="007374FA">
      <w:pPr>
        <w:widowControl/>
        <w:tabs>
          <w:tab w:val="left" w:pos="1445"/>
        </w:tabs>
        <w:autoSpaceDE w:val="0"/>
        <w:autoSpaceDN w:val="0"/>
        <w:adjustRightInd w:val="0"/>
        <w:spacing w:line="360" w:lineRule="auto"/>
        <w:ind w:firstLine="1440"/>
        <w:rPr>
          <w:sz w:val="26"/>
          <w:szCs w:val="26"/>
        </w:rPr>
      </w:pPr>
    </w:p>
    <w:p w14:paraId="39F9FED3" w14:textId="3B75E357" w:rsidR="00140F2B" w:rsidRPr="00140F2B" w:rsidRDefault="00140F2B" w:rsidP="007374FA">
      <w:pPr>
        <w:widowControl/>
        <w:spacing w:line="360" w:lineRule="auto"/>
        <w:ind w:firstLine="1440"/>
        <w:rPr>
          <w:sz w:val="26"/>
          <w:szCs w:val="26"/>
        </w:rPr>
      </w:pPr>
      <w:r w:rsidRPr="00140F2B">
        <w:rPr>
          <w:color w:val="000000"/>
          <w:sz w:val="26"/>
          <w:szCs w:val="26"/>
        </w:rPr>
        <w:t>In this case, the</w:t>
      </w:r>
      <w:r w:rsidRPr="00140F2B">
        <w:rPr>
          <w:sz w:val="26"/>
          <w:szCs w:val="26"/>
        </w:rPr>
        <w:t xml:space="preserve"> Joint Petitioners have reached an accord on many of the issues and claims that arose in this proceeding and submitted the Partial Settlement.  The Joint Petitioners have the burden to prove that the Partial Settlement is in the public interest.</w:t>
      </w:r>
    </w:p>
    <w:p w14:paraId="46B1B20E" w14:textId="77777777" w:rsidR="00365285" w:rsidRDefault="00365285" w:rsidP="007374FA">
      <w:pPr>
        <w:widowControl/>
        <w:tabs>
          <w:tab w:val="left" w:pos="1445"/>
        </w:tabs>
        <w:autoSpaceDE w:val="0"/>
        <w:autoSpaceDN w:val="0"/>
        <w:adjustRightInd w:val="0"/>
        <w:spacing w:line="360" w:lineRule="auto"/>
        <w:ind w:firstLine="1440"/>
        <w:rPr>
          <w:sz w:val="26"/>
          <w:szCs w:val="26"/>
        </w:rPr>
      </w:pPr>
    </w:p>
    <w:p w14:paraId="2A088EEA" w14:textId="77777777" w:rsidR="00206A13" w:rsidRPr="003D07BC" w:rsidRDefault="00206A13" w:rsidP="007374FA">
      <w:pPr>
        <w:pStyle w:val="Heading1"/>
        <w:keepLines/>
      </w:pPr>
      <w:bookmarkStart w:id="15" w:name="_Toc524442345"/>
      <w:r>
        <w:lastRenderedPageBreak/>
        <w:t>The Joint Petition for Partial Settlement</w:t>
      </w:r>
      <w:bookmarkEnd w:id="15"/>
    </w:p>
    <w:p w14:paraId="255F79F5" w14:textId="77777777" w:rsidR="00372C94" w:rsidRDefault="00372C94" w:rsidP="007374FA">
      <w:pPr>
        <w:keepNext/>
        <w:keepLines/>
        <w:widowControl/>
        <w:tabs>
          <w:tab w:val="left" w:pos="1445"/>
        </w:tabs>
        <w:autoSpaceDE w:val="0"/>
        <w:autoSpaceDN w:val="0"/>
        <w:adjustRightInd w:val="0"/>
        <w:spacing w:line="360" w:lineRule="auto"/>
        <w:ind w:firstLine="1440"/>
        <w:rPr>
          <w:sz w:val="26"/>
          <w:szCs w:val="26"/>
        </w:rPr>
      </w:pPr>
    </w:p>
    <w:p w14:paraId="5AD66267" w14:textId="77777777" w:rsidR="00206A13" w:rsidRPr="002042D2" w:rsidRDefault="00206A13" w:rsidP="007374FA">
      <w:pPr>
        <w:pStyle w:val="Heading2"/>
        <w:numPr>
          <w:ilvl w:val="0"/>
          <w:numId w:val="21"/>
        </w:numPr>
        <w:ind w:hanging="720"/>
      </w:pPr>
      <w:bookmarkStart w:id="16" w:name="_Toc524442346"/>
      <w:r>
        <w:t>Least Cost Fuel Procurement Policy</w:t>
      </w:r>
      <w:bookmarkEnd w:id="16"/>
    </w:p>
    <w:p w14:paraId="6D89DE4F" w14:textId="77777777" w:rsidR="00206A13" w:rsidRDefault="00206A13" w:rsidP="007374FA">
      <w:pPr>
        <w:keepNext/>
        <w:keepLines/>
        <w:widowControl/>
        <w:tabs>
          <w:tab w:val="left" w:pos="1445"/>
        </w:tabs>
        <w:autoSpaceDE w:val="0"/>
        <w:autoSpaceDN w:val="0"/>
        <w:adjustRightInd w:val="0"/>
        <w:spacing w:line="360" w:lineRule="auto"/>
        <w:ind w:firstLine="1440"/>
        <w:rPr>
          <w:sz w:val="26"/>
          <w:szCs w:val="26"/>
        </w:rPr>
      </w:pPr>
    </w:p>
    <w:p w14:paraId="0DF668EA" w14:textId="34C8F74E" w:rsidR="004C1FDB" w:rsidRPr="004C1FDB" w:rsidRDefault="004C1FDB" w:rsidP="007374FA">
      <w:pPr>
        <w:widowControl/>
        <w:spacing w:line="360" w:lineRule="auto"/>
        <w:ind w:firstLine="1440"/>
        <w:rPr>
          <w:sz w:val="26"/>
          <w:szCs w:val="24"/>
        </w:rPr>
      </w:pPr>
      <w:r w:rsidRPr="004C1FDB">
        <w:rPr>
          <w:sz w:val="26"/>
          <w:szCs w:val="24"/>
        </w:rPr>
        <w:t xml:space="preserve">As discussed, </w:t>
      </w:r>
      <w:r w:rsidRPr="004C1FDB">
        <w:rPr>
          <w:i/>
          <w:sz w:val="26"/>
          <w:szCs w:val="24"/>
        </w:rPr>
        <w:t>supra</w:t>
      </w:r>
      <w:r w:rsidRPr="004C1FDB">
        <w:rPr>
          <w:sz w:val="26"/>
          <w:szCs w:val="24"/>
        </w:rPr>
        <w:t>, i</w:t>
      </w:r>
      <w:r>
        <w:rPr>
          <w:sz w:val="26"/>
          <w:szCs w:val="24"/>
        </w:rPr>
        <w:t xml:space="preserve">n determining whether Peoples </w:t>
      </w:r>
      <w:r w:rsidRPr="004C1FDB">
        <w:rPr>
          <w:sz w:val="26"/>
          <w:szCs w:val="24"/>
        </w:rPr>
        <w:t>is pursuing a least cost fuel procurement policy, the Commission must make specific findings set forth in Sections 1318(a) and (b) of the Code.  The Joint Petitioners requested that the Commission make specific findings of fact in that regard that are set forth in Paragraphs </w:t>
      </w:r>
      <w:r>
        <w:rPr>
          <w:sz w:val="26"/>
          <w:szCs w:val="24"/>
        </w:rPr>
        <w:t>3</w:t>
      </w:r>
      <w:r w:rsidR="00642EB6">
        <w:rPr>
          <w:sz w:val="26"/>
          <w:szCs w:val="24"/>
        </w:rPr>
        <w:t>8</w:t>
      </w:r>
      <w:r>
        <w:rPr>
          <w:sz w:val="26"/>
          <w:szCs w:val="24"/>
        </w:rPr>
        <w:t xml:space="preserve"> through </w:t>
      </w:r>
      <w:r w:rsidR="00035288">
        <w:rPr>
          <w:sz w:val="26"/>
          <w:szCs w:val="24"/>
        </w:rPr>
        <w:t>66</w:t>
      </w:r>
      <w:r w:rsidRPr="004C1FDB">
        <w:rPr>
          <w:sz w:val="26"/>
          <w:szCs w:val="24"/>
        </w:rPr>
        <w:t xml:space="preserve"> of the Joint Petition and which the ALJ has adopted and included in the Recommended Decision as Findings of Fact No</w:t>
      </w:r>
      <w:r>
        <w:rPr>
          <w:sz w:val="26"/>
          <w:szCs w:val="24"/>
        </w:rPr>
        <w:t xml:space="preserve">s. 1 through </w:t>
      </w:r>
      <w:r w:rsidR="008A0A19">
        <w:rPr>
          <w:sz w:val="26"/>
          <w:szCs w:val="24"/>
        </w:rPr>
        <w:t>88</w:t>
      </w:r>
      <w:r w:rsidRPr="004C1FDB">
        <w:rPr>
          <w:sz w:val="26"/>
          <w:szCs w:val="24"/>
        </w:rPr>
        <w:t xml:space="preserve">.  </w:t>
      </w:r>
      <w:r>
        <w:rPr>
          <w:sz w:val="26"/>
          <w:szCs w:val="24"/>
        </w:rPr>
        <w:t xml:space="preserve">Joint Petition at </w:t>
      </w:r>
      <w:r w:rsidR="00035288">
        <w:rPr>
          <w:sz w:val="26"/>
          <w:szCs w:val="24"/>
        </w:rPr>
        <w:t>9</w:t>
      </w:r>
      <w:r>
        <w:rPr>
          <w:sz w:val="26"/>
          <w:szCs w:val="24"/>
        </w:rPr>
        <w:t>-</w:t>
      </w:r>
      <w:r w:rsidR="00035288">
        <w:rPr>
          <w:sz w:val="26"/>
          <w:szCs w:val="24"/>
        </w:rPr>
        <w:t>18</w:t>
      </w:r>
      <w:r w:rsidR="00ED6542">
        <w:rPr>
          <w:sz w:val="26"/>
          <w:szCs w:val="24"/>
        </w:rPr>
        <w:t>;</w:t>
      </w:r>
      <w:r w:rsidRPr="004C1FDB">
        <w:rPr>
          <w:sz w:val="26"/>
          <w:szCs w:val="24"/>
        </w:rPr>
        <w:t xml:space="preserve"> </w:t>
      </w:r>
      <w:r>
        <w:rPr>
          <w:sz w:val="26"/>
          <w:szCs w:val="24"/>
        </w:rPr>
        <w:t>R.D. at 5-</w:t>
      </w:r>
      <w:r w:rsidR="008A0A19">
        <w:rPr>
          <w:sz w:val="26"/>
          <w:szCs w:val="24"/>
        </w:rPr>
        <w:t>21</w:t>
      </w:r>
      <w:r w:rsidRPr="004C1FDB">
        <w:rPr>
          <w:sz w:val="26"/>
          <w:szCs w:val="24"/>
        </w:rPr>
        <w:t xml:space="preserve">.  </w:t>
      </w:r>
      <w:r w:rsidRPr="00B74E5A">
        <w:rPr>
          <w:sz w:val="26"/>
          <w:szCs w:val="24"/>
        </w:rPr>
        <w:t>In addition, the</w:t>
      </w:r>
      <w:r w:rsidRPr="004C1FDB">
        <w:rPr>
          <w:sz w:val="26"/>
          <w:szCs w:val="24"/>
        </w:rPr>
        <w:t xml:space="preserve"> Joint Petitioners request</w:t>
      </w:r>
      <w:r w:rsidR="00ED6542">
        <w:rPr>
          <w:sz w:val="26"/>
          <w:szCs w:val="24"/>
        </w:rPr>
        <w:t>ed</w:t>
      </w:r>
      <w:r w:rsidRPr="004C1FDB">
        <w:rPr>
          <w:sz w:val="26"/>
          <w:szCs w:val="24"/>
        </w:rPr>
        <w:t xml:space="preserve"> that the Commission find, based on the evidence presented by</w:t>
      </w:r>
      <w:r w:rsidR="00ED6542">
        <w:rPr>
          <w:sz w:val="26"/>
          <w:szCs w:val="24"/>
        </w:rPr>
        <w:t xml:space="preserve"> the Parties, that: (1) Peoples</w:t>
      </w:r>
      <w:r w:rsidR="00734951">
        <w:rPr>
          <w:sz w:val="26"/>
          <w:szCs w:val="24"/>
        </w:rPr>
        <w:t>’</w:t>
      </w:r>
      <w:r w:rsidRPr="004C1FDB">
        <w:rPr>
          <w:sz w:val="26"/>
          <w:szCs w:val="24"/>
        </w:rPr>
        <w:t xml:space="preserve"> gas purchases and gas purchasing practices during the </w:t>
      </w:r>
      <w:r w:rsidR="00B33C8D">
        <w:rPr>
          <w:sz w:val="26"/>
          <w:szCs w:val="24"/>
        </w:rPr>
        <w:t>twelve</w:t>
      </w:r>
      <w:r w:rsidRPr="004C1FDB">
        <w:rPr>
          <w:sz w:val="26"/>
          <w:szCs w:val="24"/>
        </w:rPr>
        <w:t>-month historic reconciliati</w:t>
      </w:r>
      <w:r w:rsidR="00ED6542">
        <w:rPr>
          <w:sz w:val="26"/>
          <w:szCs w:val="24"/>
        </w:rPr>
        <w:t>on period ended January 31, 2018</w:t>
      </w:r>
      <w:r w:rsidR="00A147AD">
        <w:rPr>
          <w:sz w:val="26"/>
          <w:szCs w:val="24"/>
        </w:rPr>
        <w:t>; and (2) Peoples</w:t>
      </w:r>
      <w:r w:rsidR="00734951">
        <w:rPr>
          <w:sz w:val="26"/>
          <w:szCs w:val="24"/>
        </w:rPr>
        <w:t>’</w:t>
      </w:r>
      <w:r w:rsidR="00A147AD">
        <w:rPr>
          <w:sz w:val="26"/>
          <w:szCs w:val="24"/>
        </w:rPr>
        <w:t xml:space="preserve"> projected purchases and</w:t>
      </w:r>
      <w:r w:rsidRPr="004C1FDB">
        <w:rPr>
          <w:sz w:val="26"/>
          <w:szCs w:val="24"/>
        </w:rPr>
        <w:t xml:space="preserve"> purchasing policies during the </w:t>
      </w:r>
      <w:r w:rsidR="00B33C8D">
        <w:rPr>
          <w:sz w:val="26"/>
          <w:szCs w:val="24"/>
        </w:rPr>
        <w:t>eight</w:t>
      </w:r>
      <w:r w:rsidR="00A147AD">
        <w:rPr>
          <w:sz w:val="26"/>
          <w:szCs w:val="24"/>
        </w:rPr>
        <w:t xml:space="preserve">-month interim period beginning February 1, 2018, and the projected </w:t>
      </w:r>
      <w:r w:rsidR="007E08CE">
        <w:rPr>
          <w:sz w:val="26"/>
          <w:szCs w:val="24"/>
        </w:rPr>
        <w:t>twelve</w:t>
      </w:r>
      <w:r w:rsidRPr="004C1FDB">
        <w:rPr>
          <w:sz w:val="26"/>
          <w:szCs w:val="24"/>
        </w:rPr>
        <w:t xml:space="preserve">-month </w:t>
      </w:r>
      <w:r w:rsidR="00A147AD">
        <w:rPr>
          <w:sz w:val="26"/>
          <w:szCs w:val="24"/>
        </w:rPr>
        <w:t>period beginning October 1, 2018</w:t>
      </w:r>
      <w:r w:rsidRPr="004C1FDB">
        <w:rPr>
          <w:sz w:val="26"/>
          <w:szCs w:val="24"/>
        </w:rPr>
        <w:t xml:space="preserve"> (the period of time the proposed rates would be in effect), meet the standards set forth in Sections 1318(a) an</w:t>
      </w:r>
      <w:r w:rsidR="00A147AD">
        <w:rPr>
          <w:sz w:val="26"/>
          <w:szCs w:val="24"/>
        </w:rPr>
        <w:t>d</w:t>
      </w:r>
      <w:r w:rsidR="007E08CE">
        <w:rPr>
          <w:sz w:val="26"/>
          <w:szCs w:val="24"/>
        </w:rPr>
        <w:t> </w:t>
      </w:r>
      <w:r w:rsidR="00A147AD">
        <w:rPr>
          <w:sz w:val="26"/>
          <w:szCs w:val="24"/>
        </w:rPr>
        <w:t>(b).</w:t>
      </w:r>
      <w:r w:rsidR="00B74E5A">
        <w:rPr>
          <w:rStyle w:val="FootnoteReference"/>
          <w:sz w:val="26"/>
          <w:szCs w:val="24"/>
        </w:rPr>
        <w:footnoteReference w:id="6"/>
      </w:r>
      <w:r w:rsidR="00A147AD">
        <w:rPr>
          <w:sz w:val="26"/>
          <w:szCs w:val="24"/>
        </w:rPr>
        <w:t xml:space="preserve">  Joint Petition at 1</w:t>
      </w:r>
      <w:r w:rsidR="000A3AA7">
        <w:rPr>
          <w:sz w:val="26"/>
          <w:szCs w:val="24"/>
        </w:rPr>
        <w:t>8</w:t>
      </w:r>
      <w:r w:rsidR="00A147AD">
        <w:rPr>
          <w:sz w:val="26"/>
          <w:szCs w:val="24"/>
        </w:rPr>
        <w:t>-</w:t>
      </w:r>
      <w:r w:rsidR="000A3AA7">
        <w:rPr>
          <w:sz w:val="26"/>
          <w:szCs w:val="24"/>
        </w:rPr>
        <w:t>20</w:t>
      </w:r>
      <w:r w:rsidR="00B74E5A">
        <w:rPr>
          <w:sz w:val="26"/>
          <w:szCs w:val="24"/>
        </w:rPr>
        <w:t xml:space="preserve">.  The ALJ found that Peoples </w:t>
      </w:r>
      <w:r w:rsidRPr="004C1FDB">
        <w:rPr>
          <w:sz w:val="26"/>
          <w:szCs w:val="24"/>
        </w:rPr>
        <w:t xml:space="preserve">is pursuing a least-cost fuel procurement policy pursuant to Section 1318 in his Conclusions of Law </w:t>
      </w:r>
      <w:r w:rsidR="00B74E5A">
        <w:rPr>
          <w:sz w:val="26"/>
          <w:szCs w:val="24"/>
        </w:rPr>
        <w:t>Nos. 2 through 9.  R.D.</w:t>
      </w:r>
      <w:r w:rsidR="004D6FBC">
        <w:rPr>
          <w:sz w:val="26"/>
          <w:szCs w:val="24"/>
        </w:rPr>
        <w:t> </w:t>
      </w:r>
      <w:r w:rsidR="00B74E5A">
        <w:rPr>
          <w:sz w:val="26"/>
          <w:szCs w:val="24"/>
        </w:rPr>
        <w:t xml:space="preserve">at </w:t>
      </w:r>
      <w:r w:rsidR="004F13D4">
        <w:rPr>
          <w:sz w:val="26"/>
          <w:szCs w:val="24"/>
        </w:rPr>
        <w:t>90</w:t>
      </w:r>
      <w:r w:rsidR="00B74E5A">
        <w:rPr>
          <w:sz w:val="26"/>
          <w:szCs w:val="24"/>
        </w:rPr>
        <w:t>-</w:t>
      </w:r>
      <w:r w:rsidR="004F13D4">
        <w:rPr>
          <w:sz w:val="26"/>
          <w:szCs w:val="24"/>
        </w:rPr>
        <w:t>92</w:t>
      </w:r>
      <w:r w:rsidRPr="004C1FDB">
        <w:rPr>
          <w:sz w:val="26"/>
          <w:szCs w:val="24"/>
        </w:rPr>
        <w:t>.  Notwithsta</w:t>
      </w:r>
      <w:r w:rsidR="00B74E5A">
        <w:rPr>
          <w:sz w:val="26"/>
          <w:szCs w:val="24"/>
        </w:rPr>
        <w:t>nding our disposition of the one</w:t>
      </w:r>
      <w:r w:rsidRPr="004C1FDB">
        <w:rPr>
          <w:sz w:val="26"/>
          <w:szCs w:val="24"/>
        </w:rPr>
        <w:t xml:space="preserve"> outstanding issue in this proceeding, </w:t>
      </w:r>
      <w:r w:rsidRPr="004C1FDB">
        <w:rPr>
          <w:i/>
          <w:sz w:val="26"/>
          <w:szCs w:val="24"/>
        </w:rPr>
        <w:t>infra</w:t>
      </w:r>
      <w:r w:rsidRPr="004C1FDB">
        <w:rPr>
          <w:sz w:val="26"/>
          <w:szCs w:val="24"/>
        </w:rPr>
        <w:t xml:space="preserve">, based on our review of the record and the terms of the Joint Petition, </w:t>
      </w:r>
      <w:r w:rsidRPr="004C1FDB">
        <w:rPr>
          <w:i/>
          <w:sz w:val="26"/>
          <w:szCs w:val="24"/>
        </w:rPr>
        <w:t>infra</w:t>
      </w:r>
      <w:r w:rsidR="00B74E5A">
        <w:rPr>
          <w:sz w:val="26"/>
          <w:szCs w:val="24"/>
        </w:rPr>
        <w:t xml:space="preserve">, we find that Peoples </w:t>
      </w:r>
      <w:r w:rsidRPr="004C1FDB">
        <w:rPr>
          <w:sz w:val="26"/>
          <w:szCs w:val="24"/>
        </w:rPr>
        <w:t>has met the terms of Section 1318 of the Code.</w:t>
      </w:r>
    </w:p>
    <w:p w14:paraId="41238E82" w14:textId="77777777" w:rsidR="00372C94" w:rsidRDefault="00372C94" w:rsidP="007374FA">
      <w:pPr>
        <w:widowControl/>
        <w:tabs>
          <w:tab w:val="left" w:pos="1445"/>
        </w:tabs>
        <w:autoSpaceDE w:val="0"/>
        <w:autoSpaceDN w:val="0"/>
        <w:adjustRightInd w:val="0"/>
        <w:spacing w:line="360" w:lineRule="auto"/>
        <w:ind w:firstLine="1440"/>
        <w:rPr>
          <w:sz w:val="26"/>
          <w:szCs w:val="26"/>
        </w:rPr>
      </w:pPr>
    </w:p>
    <w:p w14:paraId="0C1EDF3B" w14:textId="77777777" w:rsidR="00B20EF8" w:rsidRPr="002042D2" w:rsidRDefault="00B20EF8" w:rsidP="007374FA">
      <w:pPr>
        <w:pStyle w:val="Heading2"/>
      </w:pPr>
      <w:bookmarkStart w:id="17" w:name="_Toc524442347"/>
      <w:r>
        <w:lastRenderedPageBreak/>
        <w:t>Terms and Conditions of the Partial Settlement</w:t>
      </w:r>
      <w:bookmarkEnd w:id="17"/>
    </w:p>
    <w:p w14:paraId="17669149" w14:textId="77777777" w:rsidR="00372C94" w:rsidRDefault="00372C94" w:rsidP="007374FA">
      <w:pPr>
        <w:keepNext/>
        <w:keepLines/>
        <w:widowControl/>
        <w:tabs>
          <w:tab w:val="left" w:pos="1445"/>
        </w:tabs>
        <w:autoSpaceDE w:val="0"/>
        <w:autoSpaceDN w:val="0"/>
        <w:adjustRightInd w:val="0"/>
        <w:spacing w:line="360" w:lineRule="auto"/>
        <w:rPr>
          <w:sz w:val="26"/>
          <w:szCs w:val="26"/>
        </w:rPr>
      </w:pPr>
    </w:p>
    <w:p w14:paraId="54E04F7F" w14:textId="2A198C98" w:rsidR="00372C94" w:rsidRDefault="00A92C22" w:rsidP="007374FA">
      <w:pPr>
        <w:widowControl/>
        <w:tabs>
          <w:tab w:val="left" w:pos="1445"/>
        </w:tabs>
        <w:autoSpaceDE w:val="0"/>
        <w:autoSpaceDN w:val="0"/>
        <w:adjustRightInd w:val="0"/>
        <w:spacing w:line="360" w:lineRule="auto"/>
        <w:ind w:firstLine="1440"/>
        <w:rPr>
          <w:sz w:val="26"/>
          <w:szCs w:val="26"/>
        </w:rPr>
      </w:pPr>
      <w:r>
        <w:rPr>
          <w:sz w:val="26"/>
          <w:szCs w:val="26"/>
        </w:rPr>
        <w:t xml:space="preserve">The Joint Petitioners have agreed to the Partial Settlement covering all issues except for one.  </w:t>
      </w:r>
      <w:r w:rsidR="00DC3557">
        <w:rPr>
          <w:sz w:val="26"/>
          <w:szCs w:val="26"/>
        </w:rPr>
        <w:t xml:space="preserve">The remaining Parties to this proceeding, PIOGA and Direct Energy, did not oppose the Partial Settlement.  In the Partial Settlement, the Joint Petitioners reached agreement on the findings pursuant </w:t>
      </w:r>
      <w:r w:rsidR="00DC3557" w:rsidRPr="00DC3557">
        <w:rPr>
          <w:sz w:val="26"/>
          <w:szCs w:val="26"/>
        </w:rPr>
        <w:t>to 66 Pa.</w:t>
      </w:r>
      <w:r w:rsidR="00DC3557">
        <w:rPr>
          <w:sz w:val="26"/>
          <w:szCs w:val="26"/>
        </w:rPr>
        <w:t xml:space="preserve"> </w:t>
      </w:r>
      <w:r w:rsidR="00DC3557" w:rsidRPr="00DC3557">
        <w:rPr>
          <w:sz w:val="26"/>
          <w:szCs w:val="26"/>
        </w:rPr>
        <w:t>C.S. §</w:t>
      </w:r>
      <w:r w:rsidR="00DC3557">
        <w:rPr>
          <w:sz w:val="26"/>
          <w:szCs w:val="26"/>
        </w:rPr>
        <w:t xml:space="preserve"> </w:t>
      </w:r>
      <w:r w:rsidR="00DC3557" w:rsidRPr="00DC3557">
        <w:rPr>
          <w:sz w:val="26"/>
          <w:szCs w:val="26"/>
        </w:rPr>
        <w:t>1307(f) and 66 Pa.</w:t>
      </w:r>
      <w:r w:rsidR="00DC3557">
        <w:rPr>
          <w:sz w:val="26"/>
          <w:szCs w:val="26"/>
        </w:rPr>
        <w:t xml:space="preserve"> </w:t>
      </w:r>
      <w:r w:rsidR="00DC3557" w:rsidRPr="00DC3557">
        <w:rPr>
          <w:sz w:val="26"/>
          <w:szCs w:val="26"/>
        </w:rPr>
        <w:t>C.S. §</w:t>
      </w:r>
      <w:r w:rsidR="00DC3557">
        <w:rPr>
          <w:sz w:val="26"/>
          <w:szCs w:val="26"/>
        </w:rPr>
        <w:t xml:space="preserve"> </w:t>
      </w:r>
      <w:r w:rsidR="00DC3557" w:rsidRPr="00DC3557">
        <w:rPr>
          <w:sz w:val="26"/>
          <w:szCs w:val="26"/>
        </w:rPr>
        <w:t>1318 of the Code</w:t>
      </w:r>
      <w:r w:rsidR="00DC3557">
        <w:rPr>
          <w:sz w:val="26"/>
          <w:szCs w:val="26"/>
        </w:rPr>
        <w:t>.  Additionally, the Joint Petitioners expressed their agreement with respect to the following issues: (1) Lost and Unaccounted for Gas; (2)</w:t>
      </w:r>
      <w:r w:rsidR="004D6FBC">
        <w:rPr>
          <w:sz w:val="26"/>
          <w:szCs w:val="26"/>
        </w:rPr>
        <w:t> </w:t>
      </w:r>
      <w:r w:rsidR="001504A6">
        <w:rPr>
          <w:sz w:val="26"/>
          <w:szCs w:val="26"/>
        </w:rPr>
        <w:t xml:space="preserve">Sharing </w:t>
      </w:r>
      <w:r w:rsidR="00942D30">
        <w:rPr>
          <w:sz w:val="26"/>
          <w:szCs w:val="26"/>
        </w:rPr>
        <w:t>Mechanism; (3) Allegheny Valley Connector Capacity Costs</w:t>
      </w:r>
      <w:r w:rsidR="00DC3557">
        <w:rPr>
          <w:sz w:val="26"/>
          <w:szCs w:val="26"/>
        </w:rPr>
        <w:t>; and (3)</w:t>
      </w:r>
      <w:r w:rsidR="004D6FBC">
        <w:rPr>
          <w:sz w:val="26"/>
          <w:szCs w:val="26"/>
        </w:rPr>
        <w:t> </w:t>
      </w:r>
      <w:r w:rsidR="00DC3557">
        <w:rPr>
          <w:sz w:val="26"/>
          <w:szCs w:val="26"/>
        </w:rPr>
        <w:t xml:space="preserve">Miscellaneous Issues.  Joint Petition at </w:t>
      </w:r>
      <w:r w:rsidR="00942D30">
        <w:rPr>
          <w:sz w:val="26"/>
          <w:szCs w:val="26"/>
        </w:rPr>
        <w:t>6</w:t>
      </w:r>
      <w:r w:rsidR="00DC3557">
        <w:rPr>
          <w:sz w:val="26"/>
          <w:szCs w:val="26"/>
        </w:rPr>
        <w:t>-</w:t>
      </w:r>
      <w:r w:rsidR="00942D30">
        <w:rPr>
          <w:sz w:val="26"/>
          <w:szCs w:val="26"/>
        </w:rPr>
        <w:t>7</w:t>
      </w:r>
      <w:r w:rsidR="00DC3557">
        <w:rPr>
          <w:sz w:val="26"/>
          <w:szCs w:val="26"/>
        </w:rPr>
        <w:t>.</w:t>
      </w:r>
    </w:p>
    <w:p w14:paraId="3C569AE5" w14:textId="77777777" w:rsidR="00372C94" w:rsidRDefault="00372C94" w:rsidP="007374FA">
      <w:pPr>
        <w:widowControl/>
        <w:tabs>
          <w:tab w:val="left" w:pos="1445"/>
        </w:tabs>
        <w:autoSpaceDE w:val="0"/>
        <w:autoSpaceDN w:val="0"/>
        <w:adjustRightInd w:val="0"/>
        <w:spacing w:line="360" w:lineRule="auto"/>
        <w:ind w:firstLine="1440"/>
        <w:rPr>
          <w:sz w:val="26"/>
          <w:szCs w:val="26"/>
        </w:rPr>
      </w:pPr>
    </w:p>
    <w:p w14:paraId="61812246" w14:textId="77777777" w:rsidR="007F545B" w:rsidRPr="007F545B" w:rsidRDefault="007F545B" w:rsidP="007374FA">
      <w:pPr>
        <w:widowControl/>
        <w:spacing w:line="360" w:lineRule="auto"/>
        <w:ind w:firstLine="1440"/>
        <w:rPr>
          <w:bCs/>
          <w:sz w:val="26"/>
          <w:szCs w:val="26"/>
        </w:rPr>
      </w:pPr>
      <w:r w:rsidRPr="007F545B">
        <w:rPr>
          <w:bCs/>
          <w:sz w:val="26"/>
          <w:szCs w:val="26"/>
        </w:rPr>
        <w:t>The Partial Settlement consists of the Joint Petition containing the terms and conditions of the Partial Settl</w:t>
      </w:r>
      <w:r>
        <w:rPr>
          <w:bCs/>
          <w:sz w:val="26"/>
          <w:szCs w:val="26"/>
        </w:rPr>
        <w:t>ement and Appendices A through E, which include the tariff supplement describing the agreed-upon rates in Appendix A, and</w:t>
      </w:r>
      <w:r w:rsidRPr="007F545B">
        <w:rPr>
          <w:bCs/>
          <w:sz w:val="26"/>
          <w:szCs w:val="26"/>
        </w:rPr>
        <w:t xml:space="preserve"> the Stateme</w:t>
      </w:r>
      <w:r>
        <w:rPr>
          <w:bCs/>
          <w:sz w:val="26"/>
          <w:szCs w:val="26"/>
        </w:rPr>
        <w:t>nts in Support filed by Peoples</w:t>
      </w:r>
      <w:r w:rsidRPr="007F545B">
        <w:rPr>
          <w:bCs/>
          <w:sz w:val="26"/>
          <w:szCs w:val="26"/>
        </w:rPr>
        <w:t xml:space="preserve">, the OCA </w:t>
      </w:r>
      <w:r w:rsidR="004E738D" w:rsidRPr="007F545B">
        <w:rPr>
          <w:bCs/>
          <w:sz w:val="26"/>
          <w:szCs w:val="26"/>
        </w:rPr>
        <w:t xml:space="preserve">I&amp;E, </w:t>
      </w:r>
      <w:r w:rsidRPr="007F545B">
        <w:rPr>
          <w:bCs/>
          <w:sz w:val="26"/>
          <w:szCs w:val="26"/>
        </w:rPr>
        <w:t>and the OSBA</w:t>
      </w:r>
      <w:r>
        <w:rPr>
          <w:bCs/>
          <w:sz w:val="26"/>
          <w:szCs w:val="26"/>
        </w:rPr>
        <w:t xml:space="preserve"> in Appendix B through E, respectively</w:t>
      </w:r>
      <w:r w:rsidRPr="007F545B">
        <w:rPr>
          <w:bCs/>
          <w:sz w:val="26"/>
          <w:szCs w:val="26"/>
        </w:rPr>
        <w:t>.</w:t>
      </w:r>
    </w:p>
    <w:p w14:paraId="320CC487" w14:textId="77777777" w:rsidR="007F545B" w:rsidRPr="007F545B" w:rsidRDefault="007F545B" w:rsidP="007374FA">
      <w:pPr>
        <w:widowControl/>
        <w:spacing w:line="360" w:lineRule="auto"/>
        <w:ind w:firstLine="1440"/>
        <w:rPr>
          <w:bCs/>
          <w:sz w:val="26"/>
          <w:szCs w:val="26"/>
        </w:rPr>
      </w:pPr>
    </w:p>
    <w:p w14:paraId="2EDC3481" w14:textId="77777777" w:rsidR="007F545B" w:rsidRPr="007F545B" w:rsidRDefault="007F545B" w:rsidP="007374FA">
      <w:pPr>
        <w:widowControl/>
        <w:spacing w:line="360" w:lineRule="auto"/>
        <w:ind w:firstLine="1440"/>
        <w:rPr>
          <w:bCs/>
          <w:sz w:val="26"/>
          <w:szCs w:val="26"/>
        </w:rPr>
      </w:pPr>
      <w:r w:rsidRPr="007F545B">
        <w:rPr>
          <w:bCs/>
          <w:sz w:val="26"/>
          <w:szCs w:val="26"/>
        </w:rPr>
        <w:t>The essential terms of the Partial Settlement are set forth in ¶</w:t>
      </w:r>
      <w:r>
        <w:rPr>
          <w:bCs/>
          <w:sz w:val="26"/>
          <w:szCs w:val="26"/>
        </w:rPr>
        <w:t>¶ 2</w:t>
      </w:r>
      <w:r w:rsidR="004E738D">
        <w:rPr>
          <w:bCs/>
          <w:sz w:val="26"/>
          <w:szCs w:val="26"/>
        </w:rPr>
        <w:t>5</w:t>
      </w:r>
      <w:r>
        <w:rPr>
          <w:bCs/>
          <w:sz w:val="26"/>
          <w:szCs w:val="26"/>
        </w:rPr>
        <w:t>-3</w:t>
      </w:r>
      <w:r w:rsidR="00E32DA1">
        <w:rPr>
          <w:bCs/>
          <w:sz w:val="26"/>
          <w:szCs w:val="26"/>
        </w:rPr>
        <w:t>5</w:t>
      </w:r>
      <w:r w:rsidRPr="007F545B">
        <w:rPr>
          <w:bCs/>
          <w:sz w:val="26"/>
          <w:szCs w:val="26"/>
        </w:rPr>
        <w:t>.  The Joint Petitioners agreed to the following terms and conditions:</w:t>
      </w:r>
      <w:r>
        <w:rPr>
          <w:rStyle w:val="FootnoteReference"/>
          <w:bCs/>
          <w:sz w:val="26"/>
          <w:szCs w:val="26"/>
        </w:rPr>
        <w:footnoteReference w:id="7"/>
      </w:r>
    </w:p>
    <w:p w14:paraId="50D6FAF3" w14:textId="77777777" w:rsidR="00373CD4" w:rsidRDefault="00373CD4" w:rsidP="007374FA">
      <w:pPr>
        <w:widowControl/>
        <w:tabs>
          <w:tab w:val="left" w:pos="1445"/>
        </w:tabs>
        <w:autoSpaceDE w:val="0"/>
        <w:autoSpaceDN w:val="0"/>
        <w:adjustRightInd w:val="0"/>
        <w:spacing w:line="360" w:lineRule="auto"/>
        <w:ind w:firstLine="1440"/>
        <w:rPr>
          <w:sz w:val="26"/>
          <w:szCs w:val="26"/>
        </w:rPr>
      </w:pPr>
    </w:p>
    <w:p w14:paraId="62661E0F" w14:textId="77777777" w:rsidR="007F545B" w:rsidRPr="007F545B" w:rsidRDefault="0061434A" w:rsidP="007374FA">
      <w:pPr>
        <w:keepNext/>
        <w:keepLines/>
        <w:widowControl/>
        <w:numPr>
          <w:ilvl w:val="0"/>
          <w:numId w:val="4"/>
        </w:numPr>
        <w:ind w:right="1440"/>
        <w:contextualSpacing/>
        <w:rPr>
          <w:b/>
          <w:bCs/>
          <w:sz w:val="26"/>
          <w:szCs w:val="26"/>
        </w:rPr>
      </w:pPr>
      <w:r>
        <w:rPr>
          <w:b/>
          <w:bCs/>
          <w:sz w:val="26"/>
          <w:szCs w:val="26"/>
        </w:rPr>
        <w:t>LOST AND UNACCOUNTED FOR GAS</w:t>
      </w:r>
    </w:p>
    <w:p w14:paraId="029C00DE" w14:textId="77777777" w:rsidR="007F545B" w:rsidRPr="007F545B" w:rsidRDefault="007F545B" w:rsidP="007374FA">
      <w:pPr>
        <w:keepNext/>
        <w:keepLines/>
        <w:widowControl/>
        <w:ind w:right="1440" w:firstLine="1440"/>
        <w:rPr>
          <w:b/>
          <w:bCs/>
          <w:sz w:val="26"/>
          <w:szCs w:val="26"/>
        </w:rPr>
      </w:pPr>
    </w:p>
    <w:p w14:paraId="35D9E8D7" w14:textId="67243BC8" w:rsidR="007F545B" w:rsidRDefault="0032758B" w:rsidP="007374FA">
      <w:pPr>
        <w:widowControl/>
        <w:ind w:left="1440" w:right="1440"/>
        <w:rPr>
          <w:bCs/>
          <w:sz w:val="26"/>
          <w:szCs w:val="26"/>
        </w:rPr>
      </w:pPr>
      <w:r>
        <w:rPr>
          <w:bCs/>
          <w:sz w:val="26"/>
          <w:szCs w:val="26"/>
        </w:rPr>
        <w:t>2</w:t>
      </w:r>
      <w:r w:rsidR="00091E81">
        <w:rPr>
          <w:bCs/>
          <w:sz w:val="26"/>
          <w:szCs w:val="26"/>
        </w:rPr>
        <w:t>5</w:t>
      </w:r>
      <w:r>
        <w:rPr>
          <w:bCs/>
          <w:sz w:val="26"/>
          <w:szCs w:val="26"/>
        </w:rPr>
        <w:t>.</w:t>
      </w:r>
      <w:r>
        <w:rPr>
          <w:bCs/>
          <w:sz w:val="26"/>
          <w:szCs w:val="26"/>
        </w:rPr>
        <w:tab/>
      </w:r>
      <w:r w:rsidR="003C168A">
        <w:rPr>
          <w:bCs/>
          <w:sz w:val="26"/>
          <w:szCs w:val="26"/>
        </w:rPr>
        <w:t>[</w:t>
      </w:r>
      <w:r>
        <w:rPr>
          <w:bCs/>
          <w:sz w:val="26"/>
          <w:szCs w:val="26"/>
        </w:rPr>
        <w:t>Peoples</w:t>
      </w:r>
      <w:r w:rsidR="003C168A">
        <w:rPr>
          <w:bCs/>
          <w:sz w:val="26"/>
          <w:szCs w:val="26"/>
        </w:rPr>
        <w:t>]</w:t>
      </w:r>
      <w:r>
        <w:rPr>
          <w:bCs/>
          <w:sz w:val="26"/>
          <w:szCs w:val="26"/>
        </w:rPr>
        <w:t xml:space="preserve"> will be subject to a gathering UFG target (</w:t>
      </w:r>
      <w:r w:rsidR="00734951">
        <w:rPr>
          <w:bCs/>
          <w:sz w:val="26"/>
          <w:szCs w:val="26"/>
        </w:rPr>
        <w:t>“</w:t>
      </w:r>
      <w:r>
        <w:rPr>
          <w:bCs/>
          <w:sz w:val="26"/>
          <w:szCs w:val="26"/>
        </w:rPr>
        <w:t>UFG target</w:t>
      </w:r>
      <w:r w:rsidR="00734951">
        <w:rPr>
          <w:bCs/>
          <w:sz w:val="26"/>
          <w:szCs w:val="26"/>
        </w:rPr>
        <w:t>”</w:t>
      </w:r>
      <w:r>
        <w:rPr>
          <w:bCs/>
          <w:sz w:val="26"/>
          <w:szCs w:val="26"/>
        </w:rPr>
        <w:t>) of 9.0% for the year ending August 31, 2019, 8.5% for the year ending August 31, 2020, and 7.5% for the year ending August 31, 2021.</w:t>
      </w:r>
    </w:p>
    <w:p w14:paraId="03C64FB0" w14:textId="77777777" w:rsidR="0032758B" w:rsidRDefault="0032758B" w:rsidP="007374FA">
      <w:pPr>
        <w:widowControl/>
        <w:ind w:left="1440" w:right="1440"/>
        <w:rPr>
          <w:bCs/>
          <w:sz w:val="26"/>
          <w:szCs w:val="26"/>
        </w:rPr>
      </w:pPr>
    </w:p>
    <w:p w14:paraId="69EBB34E" w14:textId="77777777" w:rsidR="0032758B" w:rsidRPr="007F545B" w:rsidRDefault="0032758B" w:rsidP="007374FA">
      <w:pPr>
        <w:widowControl/>
        <w:ind w:left="1440" w:right="1440"/>
        <w:rPr>
          <w:bCs/>
          <w:sz w:val="26"/>
          <w:szCs w:val="26"/>
        </w:rPr>
      </w:pPr>
      <w:r>
        <w:rPr>
          <w:bCs/>
          <w:sz w:val="26"/>
          <w:szCs w:val="26"/>
        </w:rPr>
        <w:t>2</w:t>
      </w:r>
      <w:r w:rsidR="00091E81">
        <w:rPr>
          <w:bCs/>
          <w:sz w:val="26"/>
          <w:szCs w:val="26"/>
        </w:rPr>
        <w:t>6</w:t>
      </w:r>
      <w:r>
        <w:rPr>
          <w:bCs/>
          <w:sz w:val="26"/>
          <w:szCs w:val="26"/>
        </w:rPr>
        <w:t>.</w:t>
      </w:r>
      <w:r>
        <w:rPr>
          <w:bCs/>
          <w:sz w:val="26"/>
          <w:szCs w:val="26"/>
        </w:rPr>
        <w:tab/>
        <w:t xml:space="preserve">There will be </w:t>
      </w:r>
      <w:r w:rsidRPr="0032758B">
        <w:rPr>
          <w:bCs/>
          <w:sz w:val="26"/>
          <w:szCs w:val="26"/>
        </w:rPr>
        <w:t xml:space="preserve">no adjustment for gathering system </w:t>
      </w:r>
      <w:r>
        <w:rPr>
          <w:bCs/>
          <w:sz w:val="26"/>
          <w:szCs w:val="26"/>
        </w:rPr>
        <w:t xml:space="preserve">UFG for the year ending August </w:t>
      </w:r>
      <w:r w:rsidRPr="0032758B">
        <w:rPr>
          <w:bCs/>
          <w:sz w:val="26"/>
          <w:szCs w:val="26"/>
        </w:rPr>
        <w:t>31, 2017, and no gathering UFG target for the year ending August 31, 2018.</w:t>
      </w:r>
    </w:p>
    <w:p w14:paraId="124AA329" w14:textId="77777777" w:rsidR="007F545B" w:rsidRDefault="007F545B" w:rsidP="007374FA">
      <w:pPr>
        <w:widowControl/>
        <w:tabs>
          <w:tab w:val="left" w:pos="1445"/>
        </w:tabs>
        <w:autoSpaceDE w:val="0"/>
        <w:autoSpaceDN w:val="0"/>
        <w:adjustRightInd w:val="0"/>
        <w:ind w:firstLine="1440"/>
        <w:rPr>
          <w:sz w:val="26"/>
          <w:szCs w:val="26"/>
        </w:rPr>
      </w:pPr>
    </w:p>
    <w:p w14:paraId="54621DFB" w14:textId="77777777" w:rsidR="0032758B" w:rsidRDefault="0032758B" w:rsidP="007374FA">
      <w:pPr>
        <w:widowControl/>
        <w:tabs>
          <w:tab w:val="left" w:pos="1445"/>
        </w:tabs>
        <w:autoSpaceDE w:val="0"/>
        <w:autoSpaceDN w:val="0"/>
        <w:adjustRightInd w:val="0"/>
        <w:ind w:left="1440" w:right="1440"/>
        <w:rPr>
          <w:sz w:val="26"/>
          <w:szCs w:val="26"/>
        </w:rPr>
      </w:pPr>
      <w:r>
        <w:rPr>
          <w:sz w:val="26"/>
          <w:szCs w:val="26"/>
        </w:rPr>
        <w:t>2</w:t>
      </w:r>
      <w:r w:rsidR="00091E81">
        <w:rPr>
          <w:sz w:val="26"/>
          <w:szCs w:val="26"/>
        </w:rPr>
        <w:t>7</w:t>
      </w:r>
      <w:r>
        <w:rPr>
          <w:sz w:val="26"/>
          <w:szCs w:val="26"/>
        </w:rPr>
        <w:t>.</w:t>
      </w:r>
      <w:r>
        <w:rPr>
          <w:sz w:val="26"/>
          <w:szCs w:val="26"/>
        </w:rPr>
        <w:tab/>
        <w:t xml:space="preserve">In evaluating whether the gathering UFG target is achieved, there will be </w:t>
      </w:r>
      <w:r w:rsidRPr="0032758B">
        <w:rPr>
          <w:sz w:val="26"/>
          <w:szCs w:val="26"/>
        </w:rPr>
        <w:t>volumetric credits for (1) actual producer retainage charges or (2) any additional gathering retainage charges approved because producer retainage charges are not approved by the Commission.</w:t>
      </w:r>
    </w:p>
    <w:p w14:paraId="532507F7" w14:textId="77777777" w:rsidR="0032758B" w:rsidRDefault="0032758B" w:rsidP="007374FA">
      <w:pPr>
        <w:widowControl/>
        <w:tabs>
          <w:tab w:val="left" w:pos="1445"/>
        </w:tabs>
        <w:autoSpaceDE w:val="0"/>
        <w:autoSpaceDN w:val="0"/>
        <w:adjustRightInd w:val="0"/>
        <w:ind w:left="1440" w:right="1440"/>
        <w:rPr>
          <w:sz w:val="26"/>
          <w:szCs w:val="26"/>
        </w:rPr>
      </w:pPr>
    </w:p>
    <w:p w14:paraId="4EAF6A24" w14:textId="2C96AF73" w:rsidR="0032758B" w:rsidRDefault="0032758B" w:rsidP="007374FA">
      <w:pPr>
        <w:widowControl/>
        <w:tabs>
          <w:tab w:val="left" w:pos="1445"/>
        </w:tabs>
        <w:autoSpaceDE w:val="0"/>
        <w:autoSpaceDN w:val="0"/>
        <w:adjustRightInd w:val="0"/>
        <w:ind w:left="1440" w:right="1440"/>
        <w:rPr>
          <w:sz w:val="26"/>
          <w:szCs w:val="26"/>
        </w:rPr>
      </w:pPr>
      <w:r>
        <w:rPr>
          <w:sz w:val="26"/>
          <w:szCs w:val="26"/>
        </w:rPr>
        <w:t>2</w:t>
      </w:r>
      <w:r w:rsidR="00091E81">
        <w:rPr>
          <w:sz w:val="26"/>
          <w:szCs w:val="26"/>
        </w:rPr>
        <w:t>8</w:t>
      </w:r>
      <w:r>
        <w:rPr>
          <w:sz w:val="26"/>
          <w:szCs w:val="26"/>
        </w:rPr>
        <w:t>.</w:t>
      </w:r>
      <w:r>
        <w:rPr>
          <w:sz w:val="26"/>
          <w:szCs w:val="26"/>
        </w:rPr>
        <w:tab/>
        <w:t xml:space="preserve">Exceedances </w:t>
      </w:r>
      <w:r w:rsidRPr="0032758B">
        <w:rPr>
          <w:sz w:val="26"/>
          <w:szCs w:val="26"/>
        </w:rPr>
        <w:t>of the gathering UFG target after reflection of the above credits will create a rebuttable presumption that t</w:t>
      </w:r>
      <w:r w:rsidR="00957E46">
        <w:rPr>
          <w:sz w:val="26"/>
          <w:szCs w:val="26"/>
        </w:rPr>
        <w:t xml:space="preserve">he excess is unreasonable. </w:t>
      </w:r>
      <w:r w:rsidR="003C168A">
        <w:rPr>
          <w:sz w:val="26"/>
          <w:szCs w:val="26"/>
        </w:rPr>
        <w:t xml:space="preserve"> </w:t>
      </w:r>
      <w:r w:rsidR="00957E46">
        <w:rPr>
          <w:sz w:val="26"/>
          <w:szCs w:val="26"/>
        </w:rPr>
        <w:t xml:space="preserve">That </w:t>
      </w:r>
      <w:r w:rsidRPr="0032758B">
        <w:rPr>
          <w:sz w:val="26"/>
          <w:szCs w:val="26"/>
        </w:rPr>
        <w:t xml:space="preserve">presumption may be rebutted by a demonstration that </w:t>
      </w:r>
      <w:r w:rsidR="003C168A">
        <w:rPr>
          <w:sz w:val="26"/>
          <w:szCs w:val="26"/>
        </w:rPr>
        <w:t>[</w:t>
      </w:r>
      <w:r w:rsidR="00D23576">
        <w:rPr>
          <w:bCs/>
          <w:sz w:val="26"/>
          <w:szCs w:val="26"/>
        </w:rPr>
        <w:t>Peoples</w:t>
      </w:r>
      <w:r w:rsidR="003C168A">
        <w:rPr>
          <w:bCs/>
          <w:sz w:val="26"/>
          <w:szCs w:val="26"/>
        </w:rPr>
        <w:t>]</w:t>
      </w:r>
      <w:r w:rsidR="00D23576">
        <w:rPr>
          <w:bCs/>
          <w:sz w:val="26"/>
          <w:szCs w:val="26"/>
        </w:rPr>
        <w:t xml:space="preserve"> </w:t>
      </w:r>
      <w:r w:rsidRPr="0032758B">
        <w:rPr>
          <w:sz w:val="26"/>
          <w:szCs w:val="26"/>
        </w:rPr>
        <w:t xml:space="preserve">has taken reasonable actions to reduce gathering UFG and/or demonstration that other factors, such as but not limited to, production on the gathering systems has declined thereby increasing the percentage of gathering UFG experienced. </w:t>
      </w:r>
      <w:r w:rsidR="003C168A">
        <w:rPr>
          <w:sz w:val="26"/>
          <w:szCs w:val="26"/>
        </w:rPr>
        <w:t xml:space="preserve"> </w:t>
      </w:r>
      <w:r w:rsidRPr="0032758B">
        <w:rPr>
          <w:sz w:val="26"/>
          <w:szCs w:val="26"/>
        </w:rPr>
        <w:t xml:space="preserve">The overall level of </w:t>
      </w:r>
      <w:r w:rsidR="003C168A">
        <w:rPr>
          <w:sz w:val="26"/>
          <w:szCs w:val="26"/>
        </w:rPr>
        <w:t>[</w:t>
      </w:r>
      <w:r w:rsidR="00D23576">
        <w:rPr>
          <w:bCs/>
          <w:sz w:val="26"/>
          <w:szCs w:val="26"/>
        </w:rPr>
        <w:t>Peoples</w:t>
      </w:r>
      <w:r w:rsidR="00734951">
        <w:rPr>
          <w:bCs/>
          <w:sz w:val="26"/>
          <w:szCs w:val="26"/>
        </w:rPr>
        <w:t>’</w:t>
      </w:r>
      <w:r w:rsidR="003C168A">
        <w:rPr>
          <w:bCs/>
          <w:sz w:val="26"/>
          <w:szCs w:val="26"/>
        </w:rPr>
        <w:t>]</w:t>
      </w:r>
      <w:r w:rsidR="00D23576">
        <w:rPr>
          <w:bCs/>
          <w:sz w:val="26"/>
          <w:szCs w:val="26"/>
        </w:rPr>
        <w:t xml:space="preserve"> </w:t>
      </w:r>
      <w:r w:rsidRPr="0032758B">
        <w:rPr>
          <w:sz w:val="26"/>
          <w:szCs w:val="26"/>
        </w:rPr>
        <w:t>UFG will also be considered.</w:t>
      </w:r>
    </w:p>
    <w:p w14:paraId="3A87D7FF" w14:textId="77777777" w:rsidR="00373CD4" w:rsidRDefault="00373CD4" w:rsidP="007374FA">
      <w:pPr>
        <w:widowControl/>
        <w:tabs>
          <w:tab w:val="left" w:pos="1445"/>
        </w:tabs>
        <w:autoSpaceDE w:val="0"/>
        <w:autoSpaceDN w:val="0"/>
        <w:adjustRightInd w:val="0"/>
        <w:ind w:left="1440" w:right="1440"/>
        <w:rPr>
          <w:sz w:val="26"/>
          <w:szCs w:val="26"/>
        </w:rPr>
      </w:pPr>
    </w:p>
    <w:p w14:paraId="08762137" w14:textId="3D1AC254" w:rsidR="0032758B" w:rsidRPr="0032758B" w:rsidRDefault="0032758B" w:rsidP="007374FA">
      <w:pPr>
        <w:widowControl/>
        <w:tabs>
          <w:tab w:val="left" w:pos="1445"/>
        </w:tabs>
        <w:autoSpaceDE w:val="0"/>
        <w:autoSpaceDN w:val="0"/>
        <w:adjustRightInd w:val="0"/>
        <w:ind w:left="1440" w:right="1440"/>
        <w:rPr>
          <w:sz w:val="26"/>
          <w:szCs w:val="26"/>
        </w:rPr>
      </w:pPr>
      <w:r>
        <w:rPr>
          <w:sz w:val="26"/>
          <w:szCs w:val="26"/>
        </w:rPr>
        <w:t>2</w:t>
      </w:r>
      <w:r w:rsidR="00091E81">
        <w:rPr>
          <w:sz w:val="26"/>
          <w:szCs w:val="26"/>
        </w:rPr>
        <w:t>9</w:t>
      </w:r>
      <w:r>
        <w:rPr>
          <w:sz w:val="26"/>
          <w:szCs w:val="26"/>
        </w:rPr>
        <w:t>.</w:t>
      </w:r>
      <w:r>
        <w:rPr>
          <w:sz w:val="26"/>
          <w:szCs w:val="26"/>
        </w:rPr>
        <w:tab/>
      </w:r>
      <w:r w:rsidR="003C168A">
        <w:rPr>
          <w:sz w:val="26"/>
          <w:szCs w:val="26"/>
        </w:rPr>
        <w:t>[</w:t>
      </w:r>
      <w:r w:rsidR="00D23576">
        <w:rPr>
          <w:bCs/>
          <w:sz w:val="26"/>
          <w:szCs w:val="26"/>
        </w:rPr>
        <w:t>Peoples</w:t>
      </w:r>
      <w:r w:rsidR="003C168A">
        <w:rPr>
          <w:bCs/>
          <w:sz w:val="26"/>
          <w:szCs w:val="26"/>
        </w:rPr>
        <w:t>]</w:t>
      </w:r>
      <w:r w:rsidR="00D23576">
        <w:rPr>
          <w:bCs/>
          <w:sz w:val="26"/>
          <w:szCs w:val="26"/>
        </w:rPr>
        <w:t xml:space="preserve"> </w:t>
      </w:r>
      <w:r w:rsidRPr="0032758B">
        <w:rPr>
          <w:sz w:val="26"/>
          <w:szCs w:val="26"/>
        </w:rPr>
        <w:t xml:space="preserve">will aggressively implement the </w:t>
      </w:r>
      <w:r w:rsidR="003C168A">
        <w:rPr>
          <w:sz w:val="26"/>
          <w:szCs w:val="26"/>
        </w:rPr>
        <w:t>[</w:t>
      </w:r>
      <w:r w:rsidRPr="0032758B">
        <w:rPr>
          <w:sz w:val="26"/>
          <w:szCs w:val="26"/>
        </w:rPr>
        <w:t>Peoples Companies</w:t>
      </w:r>
      <w:r w:rsidR="00734951">
        <w:rPr>
          <w:sz w:val="26"/>
          <w:szCs w:val="26"/>
        </w:rPr>
        <w:t>’</w:t>
      </w:r>
      <w:r w:rsidR="00D23576">
        <w:rPr>
          <w:sz w:val="26"/>
          <w:szCs w:val="26"/>
        </w:rPr>
        <w:t>]</w:t>
      </w:r>
      <w:r w:rsidRPr="0032758B">
        <w:rPr>
          <w:sz w:val="26"/>
          <w:szCs w:val="26"/>
        </w:rPr>
        <w:t xml:space="preserve"> Combined UFG Mitigation Plan to Address Gathering Pipelines (</w:t>
      </w:r>
      <w:r w:rsidR="00734951">
        <w:rPr>
          <w:sz w:val="26"/>
          <w:szCs w:val="26"/>
        </w:rPr>
        <w:t>“</w:t>
      </w:r>
      <w:r w:rsidRPr="0032758B">
        <w:rPr>
          <w:sz w:val="26"/>
          <w:szCs w:val="26"/>
        </w:rPr>
        <w:t>UFG Mitigation Plan</w:t>
      </w:r>
      <w:r w:rsidR="00734951">
        <w:rPr>
          <w:sz w:val="26"/>
          <w:szCs w:val="26"/>
        </w:rPr>
        <w:t>”</w:t>
      </w:r>
      <w:r w:rsidRPr="0032758B">
        <w:rPr>
          <w:sz w:val="26"/>
          <w:szCs w:val="26"/>
        </w:rPr>
        <w:t xml:space="preserve">) presented in this proceeding, including: (1) the </w:t>
      </w:r>
      <w:r w:rsidR="00734951">
        <w:rPr>
          <w:sz w:val="26"/>
          <w:szCs w:val="26"/>
        </w:rPr>
        <w:t>“</w:t>
      </w:r>
      <w:r w:rsidRPr="0032758B">
        <w:rPr>
          <w:sz w:val="26"/>
          <w:szCs w:val="26"/>
        </w:rPr>
        <w:t>find-it / fix it</w:t>
      </w:r>
      <w:r w:rsidR="00734951">
        <w:rPr>
          <w:sz w:val="26"/>
          <w:szCs w:val="26"/>
        </w:rPr>
        <w:t>”</w:t>
      </w:r>
      <w:r w:rsidRPr="0032758B">
        <w:rPr>
          <w:sz w:val="26"/>
          <w:szCs w:val="26"/>
        </w:rPr>
        <w:t xml:space="preserve"> program under which bare steel gathering lines</w:t>
      </w:r>
      <w:r>
        <w:rPr>
          <w:sz w:val="26"/>
          <w:szCs w:val="26"/>
        </w:rPr>
        <w:t xml:space="preserve"> </w:t>
      </w:r>
      <w:r w:rsidRPr="0032758B">
        <w:rPr>
          <w:sz w:val="26"/>
          <w:szCs w:val="26"/>
        </w:rPr>
        <w:t>will be leak surveyed on an annual basis and found leaks will be prioritized for repair, and (2) the plan to remove and replace at-risk gathering pipelines.</w:t>
      </w:r>
    </w:p>
    <w:p w14:paraId="36E4EAB6" w14:textId="77777777" w:rsidR="0032758B" w:rsidRDefault="0032758B" w:rsidP="007374FA">
      <w:pPr>
        <w:widowControl/>
        <w:tabs>
          <w:tab w:val="left" w:pos="1445"/>
        </w:tabs>
        <w:autoSpaceDE w:val="0"/>
        <w:autoSpaceDN w:val="0"/>
        <w:adjustRightInd w:val="0"/>
        <w:ind w:left="1440" w:right="1440"/>
        <w:rPr>
          <w:sz w:val="26"/>
          <w:szCs w:val="26"/>
        </w:rPr>
      </w:pPr>
    </w:p>
    <w:p w14:paraId="4ACA11F9" w14:textId="77777777" w:rsidR="004D6FBC" w:rsidRDefault="00091E81" w:rsidP="007374FA">
      <w:pPr>
        <w:widowControl/>
        <w:tabs>
          <w:tab w:val="left" w:pos="1445"/>
        </w:tabs>
        <w:autoSpaceDE w:val="0"/>
        <w:autoSpaceDN w:val="0"/>
        <w:adjustRightInd w:val="0"/>
        <w:ind w:left="1440" w:right="1440"/>
        <w:rPr>
          <w:sz w:val="26"/>
          <w:szCs w:val="26"/>
        </w:rPr>
      </w:pPr>
      <w:r>
        <w:rPr>
          <w:sz w:val="26"/>
          <w:szCs w:val="26"/>
        </w:rPr>
        <w:t>30</w:t>
      </w:r>
      <w:r w:rsidR="0032758B">
        <w:rPr>
          <w:sz w:val="26"/>
          <w:szCs w:val="26"/>
        </w:rPr>
        <w:t>.</w:t>
      </w:r>
      <w:r w:rsidR="0032758B">
        <w:rPr>
          <w:sz w:val="26"/>
          <w:szCs w:val="26"/>
        </w:rPr>
        <w:tab/>
      </w:r>
      <w:proofErr w:type="gramStart"/>
      <w:r w:rsidR="0032758B">
        <w:rPr>
          <w:sz w:val="26"/>
          <w:szCs w:val="26"/>
        </w:rPr>
        <w:t>In order to</w:t>
      </w:r>
      <w:proofErr w:type="gramEnd"/>
      <w:r w:rsidR="0032758B">
        <w:rPr>
          <w:sz w:val="26"/>
          <w:szCs w:val="26"/>
        </w:rPr>
        <w:t xml:space="preserve"> ensure </w:t>
      </w:r>
      <w:r w:rsidR="0032758B" w:rsidRPr="0032758B">
        <w:rPr>
          <w:sz w:val="26"/>
          <w:szCs w:val="26"/>
        </w:rPr>
        <w:t>ongoing safe operations of all gathering facil</w:t>
      </w:r>
      <w:r w:rsidR="0032758B">
        <w:rPr>
          <w:sz w:val="26"/>
          <w:szCs w:val="26"/>
        </w:rPr>
        <w:t xml:space="preserve">ities, </w:t>
      </w:r>
      <w:r w:rsidR="003C168A">
        <w:rPr>
          <w:sz w:val="26"/>
          <w:szCs w:val="26"/>
        </w:rPr>
        <w:t>[</w:t>
      </w:r>
      <w:r w:rsidR="00AE7928">
        <w:rPr>
          <w:bCs/>
          <w:sz w:val="26"/>
          <w:szCs w:val="26"/>
        </w:rPr>
        <w:t>Peoples</w:t>
      </w:r>
      <w:r w:rsidR="003C168A">
        <w:rPr>
          <w:bCs/>
          <w:sz w:val="26"/>
          <w:szCs w:val="26"/>
        </w:rPr>
        <w:t>]</w:t>
      </w:r>
      <w:r w:rsidR="00AE7928">
        <w:rPr>
          <w:bCs/>
          <w:sz w:val="26"/>
          <w:szCs w:val="26"/>
        </w:rPr>
        <w:t xml:space="preserve"> </w:t>
      </w:r>
      <w:r w:rsidR="0032758B" w:rsidRPr="0032758B">
        <w:rPr>
          <w:sz w:val="26"/>
          <w:szCs w:val="26"/>
        </w:rPr>
        <w:t xml:space="preserve">agrees to continue the practice of treating all non-jurisdictional </w:t>
      </w:r>
      <w:r w:rsidR="00EC34D4">
        <w:rPr>
          <w:sz w:val="26"/>
          <w:szCs w:val="26"/>
        </w:rPr>
        <w:t xml:space="preserve">[Department of Transportation] </w:t>
      </w:r>
      <w:r w:rsidR="0032758B" w:rsidRPr="0032758B">
        <w:rPr>
          <w:sz w:val="26"/>
          <w:szCs w:val="26"/>
        </w:rPr>
        <w:t xml:space="preserve">(DOT) gathering lines (which account for 92% of all gathering lines) as part of its normal distribution compliance program. This would include damage prevention </w:t>
      </w:r>
    </w:p>
    <w:p w14:paraId="070D16A5" w14:textId="77C7E5DC" w:rsidR="0032758B" w:rsidRDefault="0032758B" w:rsidP="007374FA">
      <w:pPr>
        <w:keepNext/>
        <w:keepLines/>
        <w:widowControl/>
        <w:tabs>
          <w:tab w:val="left" w:pos="1445"/>
        </w:tabs>
        <w:autoSpaceDE w:val="0"/>
        <w:autoSpaceDN w:val="0"/>
        <w:adjustRightInd w:val="0"/>
        <w:ind w:left="1440" w:right="1440"/>
        <w:rPr>
          <w:sz w:val="26"/>
          <w:szCs w:val="26"/>
        </w:rPr>
      </w:pPr>
      <w:r w:rsidRPr="0032758B">
        <w:rPr>
          <w:sz w:val="26"/>
          <w:szCs w:val="26"/>
        </w:rPr>
        <w:t>locates, corrosion prevention, leak surveys, placement of line markers, and atmospheric corrosion surveys.</w:t>
      </w:r>
    </w:p>
    <w:p w14:paraId="1C2A7935" w14:textId="4E4A8B46" w:rsidR="0061434A" w:rsidRDefault="0061434A" w:rsidP="007374FA">
      <w:pPr>
        <w:keepNext/>
        <w:keepLines/>
        <w:widowControl/>
        <w:tabs>
          <w:tab w:val="left" w:pos="1445"/>
        </w:tabs>
        <w:autoSpaceDE w:val="0"/>
        <w:autoSpaceDN w:val="0"/>
        <w:adjustRightInd w:val="0"/>
        <w:ind w:right="1440"/>
        <w:rPr>
          <w:sz w:val="26"/>
          <w:szCs w:val="26"/>
        </w:rPr>
      </w:pPr>
    </w:p>
    <w:p w14:paraId="1CCDECC0" w14:textId="77777777" w:rsidR="004D6FBC" w:rsidRDefault="004D6FBC" w:rsidP="007374FA">
      <w:pPr>
        <w:keepNext/>
        <w:keepLines/>
        <w:widowControl/>
        <w:tabs>
          <w:tab w:val="left" w:pos="1445"/>
        </w:tabs>
        <w:autoSpaceDE w:val="0"/>
        <w:autoSpaceDN w:val="0"/>
        <w:adjustRightInd w:val="0"/>
        <w:ind w:right="1440"/>
        <w:rPr>
          <w:sz w:val="26"/>
          <w:szCs w:val="26"/>
        </w:rPr>
      </w:pPr>
    </w:p>
    <w:p w14:paraId="2478A1C0" w14:textId="77777777" w:rsidR="0061434A" w:rsidRDefault="0061434A" w:rsidP="007374FA">
      <w:pPr>
        <w:keepNext/>
        <w:keepLines/>
        <w:widowControl/>
        <w:tabs>
          <w:tab w:val="left" w:pos="1445"/>
        </w:tabs>
        <w:autoSpaceDE w:val="0"/>
        <w:autoSpaceDN w:val="0"/>
        <w:adjustRightInd w:val="0"/>
        <w:ind w:right="1440"/>
        <w:rPr>
          <w:sz w:val="26"/>
          <w:szCs w:val="26"/>
        </w:rPr>
      </w:pPr>
      <w:r>
        <w:rPr>
          <w:sz w:val="26"/>
          <w:szCs w:val="26"/>
        </w:rPr>
        <w:t xml:space="preserve">Joint Petition at </w:t>
      </w:r>
      <w:r w:rsidR="00AE7928">
        <w:rPr>
          <w:sz w:val="26"/>
          <w:szCs w:val="26"/>
        </w:rPr>
        <w:t>6</w:t>
      </w:r>
      <w:r>
        <w:rPr>
          <w:sz w:val="26"/>
          <w:szCs w:val="26"/>
        </w:rPr>
        <w:t>-</w:t>
      </w:r>
      <w:r w:rsidR="00AE7928">
        <w:rPr>
          <w:sz w:val="26"/>
          <w:szCs w:val="26"/>
        </w:rPr>
        <w:t>7</w:t>
      </w:r>
      <w:r>
        <w:rPr>
          <w:sz w:val="26"/>
          <w:szCs w:val="26"/>
        </w:rPr>
        <w:t>.</w:t>
      </w:r>
    </w:p>
    <w:p w14:paraId="42E1FEC5" w14:textId="77777777" w:rsidR="00373CD4" w:rsidRDefault="00373CD4" w:rsidP="007374FA">
      <w:pPr>
        <w:widowControl/>
        <w:tabs>
          <w:tab w:val="left" w:pos="1445"/>
        </w:tabs>
        <w:autoSpaceDE w:val="0"/>
        <w:autoSpaceDN w:val="0"/>
        <w:adjustRightInd w:val="0"/>
        <w:spacing w:line="360" w:lineRule="auto"/>
        <w:ind w:firstLine="1440"/>
        <w:rPr>
          <w:sz w:val="26"/>
          <w:szCs w:val="26"/>
        </w:rPr>
      </w:pPr>
    </w:p>
    <w:p w14:paraId="72F791FF" w14:textId="597A14FA" w:rsidR="00E15CF7" w:rsidRDefault="00E15CF7" w:rsidP="007374FA">
      <w:pPr>
        <w:widowControl/>
        <w:tabs>
          <w:tab w:val="left" w:pos="1445"/>
        </w:tabs>
        <w:autoSpaceDE w:val="0"/>
        <w:autoSpaceDN w:val="0"/>
        <w:adjustRightInd w:val="0"/>
        <w:spacing w:line="360" w:lineRule="auto"/>
        <w:ind w:firstLine="1440"/>
        <w:rPr>
          <w:sz w:val="26"/>
          <w:szCs w:val="26"/>
        </w:rPr>
      </w:pPr>
      <w:r>
        <w:rPr>
          <w:sz w:val="26"/>
          <w:szCs w:val="26"/>
        </w:rPr>
        <w:t>Paragraphs 2</w:t>
      </w:r>
      <w:r w:rsidR="00F14C5E">
        <w:rPr>
          <w:sz w:val="26"/>
          <w:szCs w:val="26"/>
        </w:rPr>
        <w:t>5</w:t>
      </w:r>
      <w:r>
        <w:rPr>
          <w:sz w:val="26"/>
          <w:szCs w:val="26"/>
        </w:rPr>
        <w:t xml:space="preserve"> through </w:t>
      </w:r>
      <w:r w:rsidR="00F14C5E">
        <w:rPr>
          <w:sz w:val="26"/>
          <w:szCs w:val="26"/>
        </w:rPr>
        <w:t>30</w:t>
      </w:r>
      <w:r>
        <w:rPr>
          <w:sz w:val="26"/>
          <w:szCs w:val="26"/>
        </w:rPr>
        <w:t xml:space="preserve"> represent a resolution between Peoples and I&amp;E on the issue of whether a cap should be set on gathering system UFG and whether </w:t>
      </w:r>
      <w:r>
        <w:rPr>
          <w:sz w:val="26"/>
          <w:szCs w:val="26"/>
        </w:rPr>
        <w:lastRenderedPageBreak/>
        <w:t>P</w:t>
      </w:r>
      <w:r w:rsidR="0058770F">
        <w:rPr>
          <w:sz w:val="26"/>
          <w:szCs w:val="26"/>
        </w:rPr>
        <w:t xml:space="preserve">eoples </w:t>
      </w:r>
      <w:r>
        <w:rPr>
          <w:sz w:val="26"/>
          <w:szCs w:val="26"/>
        </w:rPr>
        <w:t xml:space="preserve">should be prevented from recovering the costs of UFG volumes that are </w:t>
      </w:r>
      <w:proofErr w:type="gramStart"/>
      <w:r>
        <w:rPr>
          <w:sz w:val="26"/>
          <w:szCs w:val="26"/>
        </w:rPr>
        <w:t>in excess of</w:t>
      </w:r>
      <w:proofErr w:type="gramEnd"/>
      <w:r>
        <w:rPr>
          <w:sz w:val="26"/>
          <w:szCs w:val="26"/>
        </w:rPr>
        <w:t xml:space="preserve"> the cap.  </w:t>
      </w:r>
      <w:r w:rsidR="00644143">
        <w:rPr>
          <w:sz w:val="26"/>
          <w:szCs w:val="26"/>
        </w:rPr>
        <w:t>I&amp;E</w:t>
      </w:r>
      <w:r w:rsidR="00734951">
        <w:rPr>
          <w:sz w:val="26"/>
          <w:szCs w:val="26"/>
        </w:rPr>
        <w:t>’</w:t>
      </w:r>
      <w:r w:rsidR="00644143">
        <w:rPr>
          <w:sz w:val="26"/>
          <w:szCs w:val="26"/>
        </w:rPr>
        <w:t>s concern regarding the level of P</w:t>
      </w:r>
      <w:r w:rsidR="0058770F">
        <w:rPr>
          <w:sz w:val="26"/>
          <w:szCs w:val="26"/>
        </w:rPr>
        <w:t>eoples</w:t>
      </w:r>
      <w:r w:rsidR="00734951">
        <w:rPr>
          <w:sz w:val="26"/>
          <w:szCs w:val="26"/>
        </w:rPr>
        <w:t>’</w:t>
      </w:r>
      <w:r w:rsidR="0058770F">
        <w:rPr>
          <w:sz w:val="26"/>
          <w:szCs w:val="26"/>
        </w:rPr>
        <w:t xml:space="preserve"> </w:t>
      </w:r>
      <w:r w:rsidR="00644143">
        <w:rPr>
          <w:sz w:val="26"/>
          <w:szCs w:val="26"/>
        </w:rPr>
        <w:t>gathering system UFG stemmed from</w:t>
      </w:r>
      <w:r w:rsidR="007B5237">
        <w:rPr>
          <w:sz w:val="26"/>
          <w:szCs w:val="26"/>
        </w:rPr>
        <w:t xml:space="preserve"> the Company</w:t>
      </w:r>
      <w:r w:rsidR="00734951">
        <w:rPr>
          <w:sz w:val="26"/>
          <w:szCs w:val="26"/>
        </w:rPr>
        <w:t>’</w:t>
      </w:r>
      <w:r w:rsidR="007B5237">
        <w:rPr>
          <w:sz w:val="26"/>
          <w:szCs w:val="26"/>
        </w:rPr>
        <w:t>s</w:t>
      </w:r>
      <w:r w:rsidR="00644143">
        <w:rPr>
          <w:sz w:val="26"/>
          <w:szCs w:val="26"/>
        </w:rPr>
        <w:t xml:space="preserve"> 2017 UFG report to the Commissi</w:t>
      </w:r>
      <w:r w:rsidR="00D5407C">
        <w:rPr>
          <w:sz w:val="26"/>
          <w:szCs w:val="26"/>
        </w:rPr>
        <w:t>on</w:t>
      </w:r>
      <w:r w:rsidR="00644143">
        <w:rPr>
          <w:sz w:val="26"/>
          <w:szCs w:val="26"/>
        </w:rPr>
        <w:t>.</w:t>
      </w:r>
      <w:r w:rsidR="00644143">
        <w:rPr>
          <w:rStyle w:val="FootnoteReference"/>
          <w:sz w:val="26"/>
          <w:szCs w:val="26"/>
        </w:rPr>
        <w:footnoteReference w:id="8"/>
      </w:r>
      <w:r w:rsidR="007B5237">
        <w:rPr>
          <w:sz w:val="26"/>
          <w:szCs w:val="26"/>
        </w:rPr>
        <w:t xml:space="preserve">  I&amp;E explained the UFG targets for distribution systems set by the Commission for </w:t>
      </w:r>
      <w:r w:rsidR="00B1128E">
        <w:rPr>
          <w:sz w:val="26"/>
          <w:szCs w:val="26"/>
        </w:rPr>
        <w:t>NGDCs but</w:t>
      </w:r>
      <w:r w:rsidR="007B5237">
        <w:rPr>
          <w:sz w:val="26"/>
          <w:szCs w:val="26"/>
        </w:rPr>
        <w:t xml:space="preserve"> notes an absence of similar UFG goals for gathering systems.</w:t>
      </w:r>
      <w:r w:rsidR="005645D7">
        <w:rPr>
          <w:sz w:val="26"/>
          <w:szCs w:val="26"/>
        </w:rPr>
        <w:t xml:space="preserve">  I&amp;E Statement in Support at 6</w:t>
      </w:r>
      <w:r w:rsidR="000C58DE">
        <w:rPr>
          <w:sz w:val="26"/>
          <w:szCs w:val="26"/>
        </w:rPr>
        <w:t>-7</w:t>
      </w:r>
      <w:r w:rsidR="005645D7">
        <w:rPr>
          <w:sz w:val="26"/>
          <w:szCs w:val="26"/>
        </w:rPr>
        <w:t>.  Commission Regulations at 52 Pa. Code § 59.111</w:t>
      </w:r>
      <w:r w:rsidR="003C168A">
        <w:rPr>
          <w:sz w:val="26"/>
          <w:szCs w:val="26"/>
        </w:rPr>
        <w:t>(c)</w:t>
      </w:r>
      <w:r w:rsidR="005645D7">
        <w:rPr>
          <w:sz w:val="26"/>
          <w:szCs w:val="26"/>
        </w:rPr>
        <w:t xml:space="preserve"> address UFG as follows:</w:t>
      </w:r>
    </w:p>
    <w:p w14:paraId="1EA8D9F3" w14:textId="77777777" w:rsidR="005645D7" w:rsidRDefault="005645D7" w:rsidP="007374FA">
      <w:pPr>
        <w:widowControl/>
        <w:tabs>
          <w:tab w:val="left" w:pos="1445"/>
        </w:tabs>
        <w:autoSpaceDE w:val="0"/>
        <w:autoSpaceDN w:val="0"/>
        <w:adjustRightInd w:val="0"/>
        <w:spacing w:line="360" w:lineRule="auto"/>
        <w:ind w:firstLine="1440"/>
        <w:rPr>
          <w:sz w:val="26"/>
          <w:szCs w:val="26"/>
        </w:rPr>
      </w:pPr>
    </w:p>
    <w:p w14:paraId="4EBE11EC" w14:textId="77777777" w:rsidR="005645D7" w:rsidRPr="0032758B" w:rsidRDefault="005645D7" w:rsidP="007374FA">
      <w:pPr>
        <w:widowControl/>
        <w:ind w:left="1440" w:right="1440"/>
        <w:rPr>
          <w:bCs/>
          <w:sz w:val="26"/>
          <w:szCs w:val="26"/>
        </w:rPr>
      </w:pPr>
      <w:r>
        <w:rPr>
          <w:bCs/>
          <w:sz w:val="26"/>
          <w:szCs w:val="26"/>
        </w:rPr>
        <w:t>(1)</w:t>
      </w:r>
      <w:r>
        <w:rPr>
          <w:bCs/>
          <w:sz w:val="26"/>
          <w:szCs w:val="26"/>
        </w:rPr>
        <w:tab/>
        <w:t>Each NGDC and city natural gas distribution operation shall, at a minimum, reduce distribution system loss performance in accordance with the metrics in the following table, beginning with its first subsequent Purchased Gas Cost (PGC) or Gas Cost Rate (GCR) filing after August 11, 2014.  The metric stars with 5% in the first year and decreases by 0.5% every year in the subsequent years until it reaches 3% as shown in the following table:</w:t>
      </w:r>
    </w:p>
    <w:p w14:paraId="6CC271FC" w14:textId="77777777" w:rsidR="005645D7" w:rsidRDefault="005645D7" w:rsidP="007374FA">
      <w:pPr>
        <w:widowControl/>
        <w:tabs>
          <w:tab w:val="left" w:pos="1445"/>
        </w:tabs>
        <w:autoSpaceDE w:val="0"/>
        <w:autoSpaceDN w:val="0"/>
        <w:adjustRightInd w:val="0"/>
        <w:spacing w:line="360" w:lineRule="auto"/>
        <w:ind w:firstLine="1440"/>
        <w:rPr>
          <w:sz w:val="26"/>
          <w:szCs w:val="26"/>
        </w:rPr>
      </w:pPr>
    </w:p>
    <w:tbl>
      <w:tblPr>
        <w:tblStyle w:val="TableGrid"/>
        <w:tblW w:w="0" w:type="auto"/>
        <w:tblInd w:w="23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60"/>
        <w:gridCol w:w="1980"/>
      </w:tblGrid>
      <w:tr w:rsidR="005645D7" w14:paraId="6C13FEB6" w14:textId="77777777" w:rsidTr="00225AFF">
        <w:tc>
          <w:tcPr>
            <w:tcW w:w="2160" w:type="dxa"/>
          </w:tcPr>
          <w:p w14:paraId="7A9BB5EC" w14:textId="77777777" w:rsidR="005645D7" w:rsidRPr="005645D7" w:rsidRDefault="005645D7" w:rsidP="007374FA">
            <w:pPr>
              <w:widowControl/>
              <w:tabs>
                <w:tab w:val="left" w:pos="1445"/>
              </w:tabs>
              <w:autoSpaceDE w:val="0"/>
              <w:autoSpaceDN w:val="0"/>
              <w:adjustRightInd w:val="0"/>
              <w:jc w:val="center"/>
              <w:rPr>
                <w:b/>
                <w:sz w:val="26"/>
                <w:szCs w:val="26"/>
                <w:u w:val="single"/>
              </w:rPr>
            </w:pPr>
            <w:r w:rsidRPr="005645D7">
              <w:rPr>
                <w:b/>
                <w:sz w:val="26"/>
                <w:szCs w:val="26"/>
                <w:u w:val="single"/>
              </w:rPr>
              <w:t>Year</w:t>
            </w:r>
          </w:p>
        </w:tc>
        <w:tc>
          <w:tcPr>
            <w:tcW w:w="1980" w:type="dxa"/>
          </w:tcPr>
          <w:p w14:paraId="429F15CC" w14:textId="77777777" w:rsidR="005645D7" w:rsidRPr="005645D7" w:rsidRDefault="005645D7" w:rsidP="007374FA">
            <w:pPr>
              <w:widowControl/>
              <w:tabs>
                <w:tab w:val="left" w:pos="1445"/>
              </w:tabs>
              <w:autoSpaceDE w:val="0"/>
              <w:autoSpaceDN w:val="0"/>
              <w:adjustRightInd w:val="0"/>
              <w:jc w:val="center"/>
              <w:rPr>
                <w:b/>
                <w:sz w:val="26"/>
                <w:szCs w:val="26"/>
                <w:u w:val="single"/>
              </w:rPr>
            </w:pPr>
            <w:r w:rsidRPr="005645D7">
              <w:rPr>
                <w:b/>
                <w:sz w:val="26"/>
                <w:szCs w:val="26"/>
                <w:u w:val="single"/>
              </w:rPr>
              <w:t>Percent UFG</w:t>
            </w:r>
          </w:p>
        </w:tc>
      </w:tr>
      <w:tr w:rsidR="005645D7" w14:paraId="3A54CDD2" w14:textId="77777777" w:rsidTr="00225AFF">
        <w:tc>
          <w:tcPr>
            <w:tcW w:w="2160" w:type="dxa"/>
          </w:tcPr>
          <w:p w14:paraId="561F7085" w14:textId="77777777" w:rsidR="005645D7" w:rsidRDefault="005645D7" w:rsidP="007374FA">
            <w:pPr>
              <w:widowControl/>
              <w:tabs>
                <w:tab w:val="left" w:pos="1445"/>
              </w:tabs>
              <w:autoSpaceDE w:val="0"/>
              <w:autoSpaceDN w:val="0"/>
              <w:adjustRightInd w:val="0"/>
              <w:jc w:val="center"/>
              <w:rPr>
                <w:sz w:val="26"/>
                <w:szCs w:val="26"/>
              </w:rPr>
            </w:pPr>
            <w:r>
              <w:rPr>
                <w:sz w:val="26"/>
                <w:szCs w:val="26"/>
              </w:rPr>
              <w:t>1</w:t>
            </w:r>
          </w:p>
        </w:tc>
        <w:tc>
          <w:tcPr>
            <w:tcW w:w="1980" w:type="dxa"/>
          </w:tcPr>
          <w:p w14:paraId="0F2C8772" w14:textId="77777777" w:rsidR="005645D7" w:rsidRDefault="005645D7" w:rsidP="007374FA">
            <w:pPr>
              <w:widowControl/>
              <w:tabs>
                <w:tab w:val="left" w:pos="1445"/>
              </w:tabs>
              <w:autoSpaceDE w:val="0"/>
              <w:autoSpaceDN w:val="0"/>
              <w:adjustRightInd w:val="0"/>
              <w:jc w:val="center"/>
              <w:rPr>
                <w:sz w:val="26"/>
                <w:szCs w:val="26"/>
              </w:rPr>
            </w:pPr>
            <w:r>
              <w:rPr>
                <w:sz w:val="26"/>
                <w:szCs w:val="26"/>
              </w:rPr>
              <w:t>5.00 %</w:t>
            </w:r>
          </w:p>
        </w:tc>
      </w:tr>
      <w:tr w:rsidR="005645D7" w14:paraId="09261EA2" w14:textId="77777777" w:rsidTr="00225AFF">
        <w:tc>
          <w:tcPr>
            <w:tcW w:w="2160" w:type="dxa"/>
          </w:tcPr>
          <w:p w14:paraId="6268CDF9" w14:textId="77777777" w:rsidR="005645D7" w:rsidRDefault="005645D7" w:rsidP="007374FA">
            <w:pPr>
              <w:widowControl/>
              <w:tabs>
                <w:tab w:val="left" w:pos="1445"/>
              </w:tabs>
              <w:autoSpaceDE w:val="0"/>
              <w:autoSpaceDN w:val="0"/>
              <w:adjustRightInd w:val="0"/>
              <w:ind w:left="-15"/>
              <w:jc w:val="center"/>
              <w:rPr>
                <w:sz w:val="26"/>
                <w:szCs w:val="26"/>
              </w:rPr>
            </w:pPr>
            <w:r>
              <w:rPr>
                <w:sz w:val="26"/>
                <w:szCs w:val="26"/>
              </w:rPr>
              <w:t>2</w:t>
            </w:r>
          </w:p>
        </w:tc>
        <w:tc>
          <w:tcPr>
            <w:tcW w:w="1980" w:type="dxa"/>
          </w:tcPr>
          <w:p w14:paraId="69B2BDBE" w14:textId="77777777" w:rsidR="005645D7" w:rsidRDefault="005645D7" w:rsidP="007374FA">
            <w:pPr>
              <w:widowControl/>
              <w:tabs>
                <w:tab w:val="left" w:pos="1445"/>
              </w:tabs>
              <w:autoSpaceDE w:val="0"/>
              <w:autoSpaceDN w:val="0"/>
              <w:adjustRightInd w:val="0"/>
              <w:jc w:val="center"/>
              <w:rPr>
                <w:sz w:val="26"/>
                <w:szCs w:val="26"/>
              </w:rPr>
            </w:pPr>
            <w:r>
              <w:rPr>
                <w:sz w:val="26"/>
                <w:szCs w:val="26"/>
              </w:rPr>
              <w:t>4.50 %</w:t>
            </w:r>
          </w:p>
        </w:tc>
      </w:tr>
      <w:tr w:rsidR="005645D7" w14:paraId="1E282D01" w14:textId="77777777" w:rsidTr="00225AFF">
        <w:tc>
          <w:tcPr>
            <w:tcW w:w="2160" w:type="dxa"/>
          </w:tcPr>
          <w:p w14:paraId="1671E2F4" w14:textId="77777777" w:rsidR="005645D7" w:rsidRDefault="005645D7" w:rsidP="007374FA">
            <w:pPr>
              <w:widowControl/>
              <w:tabs>
                <w:tab w:val="left" w:pos="1445"/>
              </w:tabs>
              <w:autoSpaceDE w:val="0"/>
              <w:autoSpaceDN w:val="0"/>
              <w:adjustRightInd w:val="0"/>
              <w:jc w:val="center"/>
              <w:rPr>
                <w:sz w:val="26"/>
                <w:szCs w:val="26"/>
              </w:rPr>
            </w:pPr>
            <w:r>
              <w:rPr>
                <w:sz w:val="26"/>
                <w:szCs w:val="26"/>
              </w:rPr>
              <w:t>3</w:t>
            </w:r>
          </w:p>
        </w:tc>
        <w:tc>
          <w:tcPr>
            <w:tcW w:w="1980" w:type="dxa"/>
          </w:tcPr>
          <w:p w14:paraId="2A1C63AA" w14:textId="77777777" w:rsidR="005645D7" w:rsidRDefault="005645D7" w:rsidP="007374FA">
            <w:pPr>
              <w:widowControl/>
              <w:tabs>
                <w:tab w:val="left" w:pos="1445"/>
              </w:tabs>
              <w:autoSpaceDE w:val="0"/>
              <w:autoSpaceDN w:val="0"/>
              <w:adjustRightInd w:val="0"/>
              <w:jc w:val="center"/>
              <w:rPr>
                <w:sz w:val="26"/>
                <w:szCs w:val="26"/>
              </w:rPr>
            </w:pPr>
            <w:r>
              <w:rPr>
                <w:sz w:val="26"/>
                <w:szCs w:val="26"/>
              </w:rPr>
              <w:t>4.00 %</w:t>
            </w:r>
          </w:p>
        </w:tc>
      </w:tr>
      <w:tr w:rsidR="005645D7" w14:paraId="7899787E" w14:textId="77777777" w:rsidTr="00225AFF">
        <w:tc>
          <w:tcPr>
            <w:tcW w:w="2160" w:type="dxa"/>
          </w:tcPr>
          <w:p w14:paraId="06533457" w14:textId="77777777" w:rsidR="005645D7" w:rsidRDefault="005645D7" w:rsidP="007374FA">
            <w:pPr>
              <w:widowControl/>
              <w:tabs>
                <w:tab w:val="left" w:pos="1445"/>
              </w:tabs>
              <w:autoSpaceDE w:val="0"/>
              <w:autoSpaceDN w:val="0"/>
              <w:adjustRightInd w:val="0"/>
              <w:jc w:val="center"/>
              <w:rPr>
                <w:sz w:val="26"/>
                <w:szCs w:val="26"/>
              </w:rPr>
            </w:pPr>
            <w:r>
              <w:rPr>
                <w:sz w:val="26"/>
                <w:szCs w:val="26"/>
              </w:rPr>
              <w:t>4</w:t>
            </w:r>
          </w:p>
        </w:tc>
        <w:tc>
          <w:tcPr>
            <w:tcW w:w="1980" w:type="dxa"/>
          </w:tcPr>
          <w:p w14:paraId="410BB131" w14:textId="77777777" w:rsidR="005645D7" w:rsidRDefault="005645D7" w:rsidP="007374FA">
            <w:pPr>
              <w:widowControl/>
              <w:tabs>
                <w:tab w:val="left" w:pos="1445"/>
              </w:tabs>
              <w:autoSpaceDE w:val="0"/>
              <w:autoSpaceDN w:val="0"/>
              <w:adjustRightInd w:val="0"/>
              <w:jc w:val="center"/>
              <w:rPr>
                <w:sz w:val="26"/>
                <w:szCs w:val="26"/>
              </w:rPr>
            </w:pPr>
            <w:r>
              <w:rPr>
                <w:sz w:val="26"/>
                <w:szCs w:val="26"/>
              </w:rPr>
              <w:t>3.50 %</w:t>
            </w:r>
          </w:p>
        </w:tc>
      </w:tr>
      <w:tr w:rsidR="005645D7" w14:paraId="1ED7242E" w14:textId="77777777" w:rsidTr="00225AFF">
        <w:tc>
          <w:tcPr>
            <w:tcW w:w="2160" w:type="dxa"/>
          </w:tcPr>
          <w:p w14:paraId="32B075DB" w14:textId="77777777" w:rsidR="005645D7" w:rsidRDefault="005645D7" w:rsidP="007374FA">
            <w:pPr>
              <w:widowControl/>
              <w:tabs>
                <w:tab w:val="left" w:pos="1445"/>
              </w:tabs>
              <w:autoSpaceDE w:val="0"/>
              <w:autoSpaceDN w:val="0"/>
              <w:adjustRightInd w:val="0"/>
              <w:jc w:val="center"/>
              <w:rPr>
                <w:sz w:val="26"/>
                <w:szCs w:val="26"/>
              </w:rPr>
            </w:pPr>
            <w:r>
              <w:rPr>
                <w:sz w:val="26"/>
                <w:szCs w:val="26"/>
              </w:rPr>
              <w:t>5</w:t>
            </w:r>
          </w:p>
        </w:tc>
        <w:tc>
          <w:tcPr>
            <w:tcW w:w="1980" w:type="dxa"/>
          </w:tcPr>
          <w:p w14:paraId="36A6249B" w14:textId="77777777" w:rsidR="005645D7" w:rsidRDefault="005645D7" w:rsidP="007374FA">
            <w:pPr>
              <w:widowControl/>
              <w:tabs>
                <w:tab w:val="left" w:pos="1445"/>
              </w:tabs>
              <w:autoSpaceDE w:val="0"/>
              <w:autoSpaceDN w:val="0"/>
              <w:adjustRightInd w:val="0"/>
              <w:jc w:val="center"/>
              <w:rPr>
                <w:sz w:val="26"/>
                <w:szCs w:val="26"/>
              </w:rPr>
            </w:pPr>
            <w:r>
              <w:rPr>
                <w:sz w:val="26"/>
                <w:szCs w:val="26"/>
              </w:rPr>
              <w:t>3.00 %</w:t>
            </w:r>
          </w:p>
        </w:tc>
      </w:tr>
    </w:tbl>
    <w:p w14:paraId="3E93B255" w14:textId="48517F36" w:rsidR="00E15CF7" w:rsidRDefault="00E15CF7" w:rsidP="007374FA">
      <w:pPr>
        <w:widowControl/>
        <w:tabs>
          <w:tab w:val="left" w:pos="1445"/>
        </w:tabs>
        <w:autoSpaceDE w:val="0"/>
        <w:autoSpaceDN w:val="0"/>
        <w:adjustRightInd w:val="0"/>
        <w:rPr>
          <w:sz w:val="26"/>
          <w:szCs w:val="26"/>
        </w:rPr>
      </w:pPr>
    </w:p>
    <w:p w14:paraId="798A2516" w14:textId="77777777" w:rsidR="00CC322E" w:rsidRDefault="00CC322E" w:rsidP="007374FA">
      <w:pPr>
        <w:widowControl/>
        <w:tabs>
          <w:tab w:val="left" w:pos="1445"/>
        </w:tabs>
        <w:autoSpaceDE w:val="0"/>
        <w:autoSpaceDN w:val="0"/>
        <w:adjustRightInd w:val="0"/>
        <w:rPr>
          <w:sz w:val="26"/>
          <w:szCs w:val="26"/>
        </w:rPr>
      </w:pPr>
    </w:p>
    <w:p w14:paraId="432D3481" w14:textId="12B568C7" w:rsidR="00373CD4" w:rsidRDefault="008D56D8" w:rsidP="007374FA">
      <w:pPr>
        <w:widowControl/>
        <w:tabs>
          <w:tab w:val="left" w:pos="1445"/>
        </w:tabs>
        <w:autoSpaceDE w:val="0"/>
        <w:autoSpaceDN w:val="0"/>
        <w:adjustRightInd w:val="0"/>
        <w:spacing w:line="360" w:lineRule="auto"/>
        <w:ind w:firstLine="1440"/>
        <w:rPr>
          <w:sz w:val="26"/>
          <w:szCs w:val="26"/>
        </w:rPr>
      </w:pPr>
      <w:r>
        <w:rPr>
          <w:sz w:val="26"/>
          <w:szCs w:val="26"/>
        </w:rPr>
        <w:t>Consequently, the UFG target for distribution lines</w:t>
      </w:r>
      <w:r w:rsidR="00656A34">
        <w:rPr>
          <w:sz w:val="26"/>
          <w:szCs w:val="26"/>
        </w:rPr>
        <w:t>,</w:t>
      </w:r>
      <w:r>
        <w:rPr>
          <w:sz w:val="26"/>
          <w:szCs w:val="26"/>
        </w:rPr>
        <w:t xml:space="preserve"> mandated by </w:t>
      </w:r>
      <w:r w:rsidR="00CA6E89">
        <w:rPr>
          <w:sz w:val="26"/>
          <w:szCs w:val="26"/>
        </w:rPr>
        <w:t>Commission Regulations</w:t>
      </w:r>
      <w:r w:rsidR="00656A34">
        <w:rPr>
          <w:sz w:val="26"/>
          <w:szCs w:val="26"/>
        </w:rPr>
        <w:t>,</w:t>
      </w:r>
      <w:r w:rsidR="00CA6E89">
        <w:rPr>
          <w:sz w:val="26"/>
          <w:szCs w:val="26"/>
        </w:rPr>
        <w:t xml:space="preserve"> </w:t>
      </w:r>
      <w:r w:rsidR="00FA6974">
        <w:rPr>
          <w:sz w:val="26"/>
          <w:szCs w:val="26"/>
        </w:rPr>
        <w:t>was</w:t>
      </w:r>
      <w:r>
        <w:rPr>
          <w:sz w:val="26"/>
          <w:szCs w:val="26"/>
        </w:rPr>
        <w:t xml:space="preserve"> set at 3.5% and decrease</w:t>
      </w:r>
      <w:r w:rsidR="00FA6974">
        <w:rPr>
          <w:sz w:val="26"/>
          <w:szCs w:val="26"/>
        </w:rPr>
        <w:t>d</w:t>
      </w:r>
      <w:r>
        <w:rPr>
          <w:sz w:val="26"/>
          <w:szCs w:val="26"/>
        </w:rPr>
        <w:t xml:space="preserve"> to 3% for the twelve months en</w:t>
      </w:r>
      <w:r w:rsidR="008809AE">
        <w:rPr>
          <w:sz w:val="26"/>
          <w:szCs w:val="26"/>
        </w:rPr>
        <w:t>ding August 31, 2018.  I&amp;E noted</w:t>
      </w:r>
      <w:r>
        <w:rPr>
          <w:sz w:val="26"/>
          <w:szCs w:val="26"/>
        </w:rPr>
        <w:t xml:space="preserve"> that the Company is currently under those targets with a reported 2.4</w:t>
      </w:r>
      <w:r w:rsidR="00CA0B12">
        <w:rPr>
          <w:sz w:val="26"/>
          <w:szCs w:val="26"/>
        </w:rPr>
        <w:t>2</w:t>
      </w:r>
      <w:r>
        <w:rPr>
          <w:sz w:val="26"/>
          <w:szCs w:val="26"/>
        </w:rPr>
        <w:t>% UFG on its distribution system</w:t>
      </w:r>
      <w:r w:rsidR="007F694F">
        <w:rPr>
          <w:sz w:val="26"/>
          <w:szCs w:val="26"/>
        </w:rPr>
        <w:t xml:space="preserve"> but expressed concern with regards to the Company</w:t>
      </w:r>
      <w:r w:rsidR="00734951">
        <w:rPr>
          <w:sz w:val="26"/>
          <w:szCs w:val="26"/>
        </w:rPr>
        <w:t>’</w:t>
      </w:r>
      <w:r w:rsidR="007F694F">
        <w:rPr>
          <w:sz w:val="26"/>
          <w:szCs w:val="26"/>
        </w:rPr>
        <w:t>s reported</w:t>
      </w:r>
      <w:r w:rsidR="00CA0B12">
        <w:rPr>
          <w:sz w:val="26"/>
          <w:szCs w:val="26"/>
        </w:rPr>
        <w:t xml:space="preserve"> 10.16</w:t>
      </w:r>
      <w:r w:rsidR="007F694F">
        <w:rPr>
          <w:sz w:val="26"/>
          <w:szCs w:val="26"/>
        </w:rPr>
        <w:t>% UFG on its gathering system</w:t>
      </w:r>
      <w:r w:rsidR="00CA0B12">
        <w:rPr>
          <w:sz w:val="26"/>
          <w:szCs w:val="26"/>
        </w:rPr>
        <w:t>, which is an increase from the previous year</w:t>
      </w:r>
      <w:r w:rsidR="00734951">
        <w:rPr>
          <w:sz w:val="26"/>
          <w:szCs w:val="26"/>
        </w:rPr>
        <w:t>’</w:t>
      </w:r>
      <w:r w:rsidR="00CA0B12">
        <w:rPr>
          <w:sz w:val="26"/>
          <w:szCs w:val="26"/>
        </w:rPr>
        <w:t>s 9.2% gathering system UFG</w:t>
      </w:r>
      <w:r w:rsidR="007F694F">
        <w:rPr>
          <w:sz w:val="26"/>
          <w:szCs w:val="26"/>
        </w:rPr>
        <w:t>.</w:t>
      </w:r>
      <w:r w:rsidR="00F36247">
        <w:rPr>
          <w:sz w:val="26"/>
          <w:szCs w:val="26"/>
        </w:rPr>
        <w:t xml:space="preserve">  </w:t>
      </w:r>
      <w:r w:rsidR="00BF31E5">
        <w:rPr>
          <w:sz w:val="26"/>
          <w:szCs w:val="26"/>
        </w:rPr>
        <w:t xml:space="preserve">Through its testimony in this case, I&amp;E proposed setting an initial cap of 8% on gathering system UFG and stepping the cap down to 5% over three years.  In addition, I&amp;E recommended disallowance of gathering </w:t>
      </w:r>
      <w:r w:rsidR="00BF31E5">
        <w:rPr>
          <w:sz w:val="26"/>
          <w:szCs w:val="26"/>
        </w:rPr>
        <w:lastRenderedPageBreak/>
        <w:t xml:space="preserve">system UFG volumes </w:t>
      </w:r>
      <w:proofErr w:type="gramStart"/>
      <w:r w:rsidR="00BF31E5">
        <w:rPr>
          <w:sz w:val="26"/>
          <w:szCs w:val="26"/>
        </w:rPr>
        <w:t>in excess of</w:t>
      </w:r>
      <w:proofErr w:type="gramEnd"/>
      <w:r w:rsidR="00BF31E5">
        <w:rPr>
          <w:sz w:val="26"/>
          <w:szCs w:val="26"/>
        </w:rPr>
        <w:t xml:space="preserve"> its proposed initial 8% cap.  I&amp;E Statement in Support at </w:t>
      </w:r>
      <w:r w:rsidR="00C30155">
        <w:rPr>
          <w:sz w:val="26"/>
          <w:szCs w:val="26"/>
        </w:rPr>
        <w:t>6</w:t>
      </w:r>
      <w:r w:rsidR="00BF31E5">
        <w:rPr>
          <w:sz w:val="26"/>
          <w:szCs w:val="26"/>
        </w:rPr>
        <w:t>-</w:t>
      </w:r>
      <w:r w:rsidR="00C30155">
        <w:rPr>
          <w:sz w:val="26"/>
          <w:szCs w:val="26"/>
        </w:rPr>
        <w:t>7</w:t>
      </w:r>
      <w:r w:rsidR="00BF31E5">
        <w:rPr>
          <w:sz w:val="26"/>
          <w:szCs w:val="26"/>
        </w:rPr>
        <w:t xml:space="preserve"> (citing I&amp;E St. No. 1 at </w:t>
      </w:r>
      <w:r w:rsidR="0055623E">
        <w:rPr>
          <w:sz w:val="26"/>
          <w:szCs w:val="26"/>
        </w:rPr>
        <w:t>5, 6</w:t>
      </w:r>
      <w:r w:rsidR="00336D81">
        <w:rPr>
          <w:sz w:val="26"/>
          <w:szCs w:val="26"/>
        </w:rPr>
        <w:t>-7</w:t>
      </w:r>
      <w:r w:rsidR="00BF31E5">
        <w:rPr>
          <w:sz w:val="26"/>
          <w:szCs w:val="26"/>
        </w:rPr>
        <w:t>).</w:t>
      </w:r>
      <w:r w:rsidR="00BD257F">
        <w:rPr>
          <w:sz w:val="26"/>
          <w:szCs w:val="26"/>
        </w:rPr>
        <w:t xml:space="preserve">  </w:t>
      </w:r>
      <w:r w:rsidR="00336D81">
        <w:rPr>
          <w:sz w:val="26"/>
          <w:szCs w:val="26"/>
        </w:rPr>
        <w:t>Although,</w:t>
      </w:r>
      <w:r w:rsidR="00BD257F">
        <w:rPr>
          <w:sz w:val="26"/>
          <w:szCs w:val="26"/>
        </w:rPr>
        <w:t xml:space="preserve"> the OCA did not take a position on this issue in this proceeding, the OCA has always expressed concern over the relatively high level of Peoples</w:t>
      </w:r>
      <w:r w:rsidR="00734951">
        <w:rPr>
          <w:sz w:val="26"/>
          <w:szCs w:val="26"/>
        </w:rPr>
        <w:t>’</w:t>
      </w:r>
      <w:r w:rsidR="00BD257F">
        <w:rPr>
          <w:sz w:val="26"/>
          <w:szCs w:val="26"/>
        </w:rPr>
        <w:t xml:space="preserve"> gathering system </w:t>
      </w:r>
      <w:r w:rsidR="000B2375">
        <w:rPr>
          <w:sz w:val="26"/>
          <w:szCs w:val="26"/>
        </w:rPr>
        <w:t xml:space="preserve">UFG </w:t>
      </w:r>
      <w:r w:rsidR="00BD257F">
        <w:rPr>
          <w:sz w:val="26"/>
          <w:szCs w:val="26"/>
        </w:rPr>
        <w:t>in the Company</w:t>
      </w:r>
      <w:r w:rsidR="00734951">
        <w:rPr>
          <w:sz w:val="26"/>
          <w:szCs w:val="26"/>
        </w:rPr>
        <w:t>’</w:t>
      </w:r>
      <w:r w:rsidR="00BD257F">
        <w:rPr>
          <w:sz w:val="26"/>
          <w:szCs w:val="26"/>
        </w:rPr>
        <w:t>s PGC proceedings.  OCA Statement in Support at 6.</w:t>
      </w:r>
    </w:p>
    <w:p w14:paraId="38441999" w14:textId="77777777" w:rsidR="005634FC" w:rsidRDefault="005634FC" w:rsidP="007374FA">
      <w:pPr>
        <w:widowControl/>
        <w:tabs>
          <w:tab w:val="left" w:pos="1445"/>
        </w:tabs>
        <w:autoSpaceDE w:val="0"/>
        <w:autoSpaceDN w:val="0"/>
        <w:adjustRightInd w:val="0"/>
        <w:spacing w:line="360" w:lineRule="auto"/>
        <w:ind w:firstLine="1440"/>
        <w:rPr>
          <w:sz w:val="26"/>
          <w:szCs w:val="26"/>
        </w:rPr>
      </w:pPr>
    </w:p>
    <w:p w14:paraId="2796C92B" w14:textId="748ABE96" w:rsidR="005634FC" w:rsidRDefault="00D942C7" w:rsidP="007374FA">
      <w:pPr>
        <w:widowControl/>
        <w:tabs>
          <w:tab w:val="left" w:pos="1445"/>
        </w:tabs>
        <w:autoSpaceDE w:val="0"/>
        <w:autoSpaceDN w:val="0"/>
        <w:adjustRightInd w:val="0"/>
        <w:spacing w:line="360" w:lineRule="auto"/>
        <w:ind w:firstLine="1440"/>
        <w:rPr>
          <w:sz w:val="26"/>
          <w:szCs w:val="26"/>
        </w:rPr>
      </w:pPr>
      <w:r>
        <w:rPr>
          <w:sz w:val="26"/>
          <w:szCs w:val="26"/>
        </w:rPr>
        <w:t>Peoples opposed I&amp;E</w:t>
      </w:r>
      <w:r w:rsidR="00734951">
        <w:rPr>
          <w:sz w:val="26"/>
          <w:szCs w:val="26"/>
        </w:rPr>
        <w:t>’</w:t>
      </w:r>
      <w:r>
        <w:rPr>
          <w:sz w:val="26"/>
          <w:szCs w:val="26"/>
        </w:rPr>
        <w:t>s recommendations in rebuttal testimony; nonetheless, the Joint Petitioners reached a resolution of these issues as reflected in the Partial Settlement.  Joint Petition at ¶¶ 2</w:t>
      </w:r>
      <w:r w:rsidR="00CB1B09">
        <w:rPr>
          <w:sz w:val="26"/>
          <w:szCs w:val="26"/>
        </w:rPr>
        <w:t>5</w:t>
      </w:r>
      <w:r>
        <w:rPr>
          <w:sz w:val="26"/>
          <w:szCs w:val="26"/>
        </w:rPr>
        <w:t>-</w:t>
      </w:r>
      <w:r w:rsidR="00CB1B09">
        <w:rPr>
          <w:sz w:val="26"/>
          <w:szCs w:val="26"/>
        </w:rPr>
        <w:t>30</w:t>
      </w:r>
      <w:r>
        <w:rPr>
          <w:sz w:val="26"/>
          <w:szCs w:val="26"/>
        </w:rPr>
        <w:t xml:space="preserve">.  </w:t>
      </w:r>
      <w:r w:rsidR="005634FC">
        <w:rPr>
          <w:sz w:val="26"/>
          <w:szCs w:val="26"/>
        </w:rPr>
        <w:t>The Partial Settlement establishes UFG targets for Peoples</w:t>
      </w:r>
      <w:r w:rsidR="00734951">
        <w:rPr>
          <w:sz w:val="26"/>
          <w:szCs w:val="26"/>
        </w:rPr>
        <w:t>’</w:t>
      </w:r>
      <w:r w:rsidR="005634FC">
        <w:rPr>
          <w:sz w:val="26"/>
          <w:szCs w:val="26"/>
        </w:rPr>
        <w:t xml:space="preserve"> gathering system for three consecutive years beginning with the twelve months ending August 31, 2019.  For that year the target will be 9.0%.  For the year ending August 31, 2020, the target will be 8.5%, and for the year ending August 31, 2021, it will be 7.5%.</w:t>
      </w:r>
      <w:r w:rsidR="007E516B">
        <w:rPr>
          <w:sz w:val="26"/>
          <w:szCs w:val="26"/>
        </w:rPr>
        <w:t xml:space="preserve">  Partial Settlement at ¶ 2</w:t>
      </w:r>
      <w:r w:rsidR="0065440B">
        <w:rPr>
          <w:sz w:val="26"/>
          <w:szCs w:val="26"/>
        </w:rPr>
        <w:t>5</w:t>
      </w:r>
      <w:r w:rsidR="007E516B">
        <w:rPr>
          <w:sz w:val="26"/>
          <w:szCs w:val="26"/>
        </w:rPr>
        <w:t xml:space="preserve">.  There will be no target for the year ending August 31, 2018 and there will be no retroactive adjustment for gathering system UFG for the twelve months ending August 31, 2017.  </w:t>
      </w:r>
      <w:r w:rsidR="007E516B" w:rsidRPr="007E516B">
        <w:rPr>
          <w:i/>
          <w:sz w:val="26"/>
          <w:szCs w:val="26"/>
        </w:rPr>
        <w:t>Id</w:t>
      </w:r>
      <w:r w:rsidR="007E516B">
        <w:rPr>
          <w:sz w:val="26"/>
          <w:szCs w:val="26"/>
        </w:rPr>
        <w:t>. at ¶ 2</w:t>
      </w:r>
      <w:r w:rsidR="0065440B">
        <w:rPr>
          <w:sz w:val="26"/>
          <w:szCs w:val="26"/>
        </w:rPr>
        <w:t>6</w:t>
      </w:r>
      <w:r w:rsidR="007E516B">
        <w:rPr>
          <w:sz w:val="26"/>
          <w:szCs w:val="26"/>
        </w:rPr>
        <w:t>.</w:t>
      </w:r>
      <w:r w:rsidR="00C60E5A">
        <w:rPr>
          <w:sz w:val="26"/>
          <w:szCs w:val="26"/>
        </w:rPr>
        <w:t xml:space="preserve">  Further, the Partial Settlement employs the use of rebuttable presumption to allow Peoples to offer a reasonable explanation for why the cap is exceeded </w:t>
      </w:r>
      <w:proofErr w:type="gramStart"/>
      <w:r w:rsidR="00C60E5A">
        <w:rPr>
          <w:sz w:val="26"/>
          <w:szCs w:val="26"/>
        </w:rPr>
        <w:t>in a given year</w:t>
      </w:r>
      <w:proofErr w:type="gramEnd"/>
      <w:r w:rsidR="00C60E5A">
        <w:rPr>
          <w:sz w:val="26"/>
          <w:szCs w:val="26"/>
        </w:rPr>
        <w:t xml:space="preserve"> and calls for aggressive implementation of </w:t>
      </w:r>
      <w:r w:rsidR="008B5812">
        <w:rPr>
          <w:sz w:val="26"/>
          <w:szCs w:val="26"/>
        </w:rPr>
        <w:t>the Company</w:t>
      </w:r>
      <w:r w:rsidR="00734951">
        <w:rPr>
          <w:sz w:val="26"/>
          <w:szCs w:val="26"/>
        </w:rPr>
        <w:t>’</w:t>
      </w:r>
      <w:r w:rsidR="008B5812">
        <w:rPr>
          <w:sz w:val="26"/>
          <w:szCs w:val="26"/>
        </w:rPr>
        <w:t xml:space="preserve">s </w:t>
      </w:r>
      <w:r w:rsidR="00C60E5A">
        <w:rPr>
          <w:sz w:val="26"/>
          <w:szCs w:val="26"/>
        </w:rPr>
        <w:t>UFG Mitigation Plan.</w:t>
      </w:r>
      <w:r w:rsidR="00C60E5A" w:rsidRPr="00C60E5A">
        <w:rPr>
          <w:i/>
          <w:sz w:val="26"/>
          <w:szCs w:val="26"/>
        </w:rPr>
        <w:t xml:space="preserve"> </w:t>
      </w:r>
      <w:r w:rsidR="0057693F">
        <w:rPr>
          <w:i/>
          <w:sz w:val="26"/>
          <w:szCs w:val="26"/>
        </w:rPr>
        <w:t xml:space="preserve"> </w:t>
      </w:r>
      <w:r w:rsidR="00C60E5A" w:rsidRPr="007E516B">
        <w:rPr>
          <w:i/>
          <w:sz w:val="26"/>
          <w:szCs w:val="26"/>
        </w:rPr>
        <w:t>Id</w:t>
      </w:r>
      <w:r w:rsidR="00C60E5A">
        <w:rPr>
          <w:sz w:val="26"/>
          <w:szCs w:val="26"/>
        </w:rPr>
        <w:t>. at ¶¶ 2</w:t>
      </w:r>
      <w:r w:rsidR="0065440B">
        <w:rPr>
          <w:sz w:val="26"/>
          <w:szCs w:val="26"/>
        </w:rPr>
        <w:t>8</w:t>
      </w:r>
      <w:r w:rsidR="00C60E5A">
        <w:rPr>
          <w:sz w:val="26"/>
          <w:szCs w:val="26"/>
        </w:rPr>
        <w:t>-2</w:t>
      </w:r>
      <w:r w:rsidR="0065440B">
        <w:rPr>
          <w:sz w:val="26"/>
          <w:szCs w:val="26"/>
        </w:rPr>
        <w:t>9</w:t>
      </w:r>
      <w:r w:rsidR="00C60E5A">
        <w:rPr>
          <w:sz w:val="26"/>
          <w:szCs w:val="26"/>
        </w:rPr>
        <w:t>.</w:t>
      </w:r>
    </w:p>
    <w:p w14:paraId="5EB02E24" w14:textId="77777777" w:rsidR="00CA6E89" w:rsidRDefault="00CA6E89" w:rsidP="007374FA">
      <w:pPr>
        <w:widowControl/>
        <w:tabs>
          <w:tab w:val="left" w:pos="1445"/>
        </w:tabs>
        <w:autoSpaceDE w:val="0"/>
        <w:autoSpaceDN w:val="0"/>
        <w:adjustRightInd w:val="0"/>
        <w:spacing w:line="360" w:lineRule="auto"/>
        <w:rPr>
          <w:sz w:val="26"/>
          <w:szCs w:val="26"/>
        </w:rPr>
      </w:pPr>
    </w:p>
    <w:p w14:paraId="27E70BC6" w14:textId="77777777" w:rsidR="0032758B" w:rsidRPr="007F545B" w:rsidRDefault="001E4FF4" w:rsidP="007374FA">
      <w:pPr>
        <w:keepNext/>
        <w:keepLines/>
        <w:widowControl/>
        <w:numPr>
          <w:ilvl w:val="0"/>
          <w:numId w:val="4"/>
        </w:numPr>
        <w:ind w:right="1440"/>
        <w:contextualSpacing/>
        <w:rPr>
          <w:b/>
          <w:bCs/>
          <w:sz w:val="26"/>
          <w:szCs w:val="26"/>
        </w:rPr>
      </w:pPr>
      <w:r>
        <w:rPr>
          <w:b/>
          <w:bCs/>
          <w:sz w:val="26"/>
          <w:szCs w:val="26"/>
        </w:rPr>
        <w:t>SHARING MECHANISM</w:t>
      </w:r>
    </w:p>
    <w:p w14:paraId="65BB6599" w14:textId="77777777" w:rsidR="0032758B" w:rsidRPr="007F545B" w:rsidRDefault="0032758B" w:rsidP="007374FA">
      <w:pPr>
        <w:keepNext/>
        <w:keepLines/>
        <w:widowControl/>
        <w:ind w:right="1440" w:firstLine="1440"/>
        <w:rPr>
          <w:b/>
          <w:bCs/>
          <w:sz w:val="26"/>
          <w:szCs w:val="26"/>
        </w:rPr>
      </w:pPr>
    </w:p>
    <w:p w14:paraId="75AE44E4" w14:textId="77777777" w:rsidR="003C0656" w:rsidRDefault="0032758B" w:rsidP="007374FA">
      <w:pPr>
        <w:widowControl/>
        <w:ind w:left="1440" w:right="1440"/>
        <w:rPr>
          <w:bCs/>
          <w:sz w:val="26"/>
          <w:szCs w:val="26"/>
        </w:rPr>
      </w:pPr>
      <w:r>
        <w:rPr>
          <w:bCs/>
          <w:sz w:val="26"/>
          <w:szCs w:val="26"/>
        </w:rPr>
        <w:t>3</w:t>
      </w:r>
      <w:r w:rsidR="00A109AC">
        <w:rPr>
          <w:bCs/>
          <w:sz w:val="26"/>
          <w:szCs w:val="26"/>
        </w:rPr>
        <w:t>1</w:t>
      </w:r>
      <w:r>
        <w:rPr>
          <w:bCs/>
          <w:sz w:val="26"/>
          <w:szCs w:val="26"/>
        </w:rPr>
        <w:t>.</w:t>
      </w:r>
      <w:r>
        <w:rPr>
          <w:bCs/>
          <w:sz w:val="26"/>
          <w:szCs w:val="26"/>
        </w:rPr>
        <w:tab/>
      </w:r>
      <w:r w:rsidR="00FA6974">
        <w:rPr>
          <w:bCs/>
          <w:sz w:val="26"/>
          <w:szCs w:val="26"/>
        </w:rPr>
        <w:t>[</w:t>
      </w:r>
      <w:r w:rsidR="001E4FF4">
        <w:rPr>
          <w:bCs/>
          <w:sz w:val="26"/>
          <w:szCs w:val="26"/>
        </w:rPr>
        <w:t>Peoples</w:t>
      </w:r>
      <w:r w:rsidR="00FA6974">
        <w:rPr>
          <w:bCs/>
          <w:sz w:val="26"/>
          <w:szCs w:val="26"/>
        </w:rPr>
        <w:t>]</w:t>
      </w:r>
      <w:r w:rsidR="001E4FF4">
        <w:rPr>
          <w:bCs/>
          <w:sz w:val="26"/>
          <w:szCs w:val="26"/>
        </w:rPr>
        <w:t xml:space="preserve"> current off-system sales/capacity release sharing mechanism, of 75% to customers and 25% to the Company</w:t>
      </w:r>
      <w:r w:rsidR="005561DB">
        <w:rPr>
          <w:bCs/>
          <w:sz w:val="26"/>
          <w:szCs w:val="26"/>
        </w:rPr>
        <w:t xml:space="preserve">, shall continue indefinitely.  If in a future proceeding any party proposes in direct testimony to change the current mechanism, other parties may offer their own contrary proposals in the next scheduled round of testimony to be submitted in such case.  </w:t>
      </w:r>
      <w:r w:rsidR="00FA6974">
        <w:rPr>
          <w:bCs/>
          <w:sz w:val="26"/>
          <w:szCs w:val="26"/>
        </w:rPr>
        <w:t>[</w:t>
      </w:r>
      <w:r w:rsidR="005561DB">
        <w:rPr>
          <w:bCs/>
          <w:sz w:val="26"/>
          <w:szCs w:val="26"/>
        </w:rPr>
        <w:t>Peoples</w:t>
      </w:r>
      <w:r w:rsidR="00FA6974">
        <w:rPr>
          <w:bCs/>
          <w:sz w:val="26"/>
          <w:szCs w:val="26"/>
        </w:rPr>
        <w:t>]</w:t>
      </w:r>
      <w:r w:rsidR="005561DB">
        <w:rPr>
          <w:bCs/>
          <w:sz w:val="26"/>
          <w:szCs w:val="26"/>
        </w:rPr>
        <w:t xml:space="preserve"> agrees that it retains </w:t>
      </w:r>
    </w:p>
    <w:p w14:paraId="61358109" w14:textId="360840E4" w:rsidR="001E4FF4" w:rsidRDefault="005561DB" w:rsidP="007374FA">
      <w:pPr>
        <w:keepNext/>
        <w:keepLines/>
        <w:widowControl/>
        <w:ind w:left="1440" w:right="1440"/>
        <w:rPr>
          <w:bCs/>
          <w:sz w:val="26"/>
          <w:szCs w:val="26"/>
        </w:rPr>
      </w:pPr>
      <w:r>
        <w:rPr>
          <w:bCs/>
          <w:sz w:val="26"/>
          <w:szCs w:val="26"/>
        </w:rPr>
        <w:t>the ultimate burden of proof if the sharing mechanism is challenged in a future proceeding.</w:t>
      </w:r>
    </w:p>
    <w:p w14:paraId="5CA42A08" w14:textId="0127AC93" w:rsidR="001E4FF4" w:rsidRDefault="001E4FF4" w:rsidP="007374FA">
      <w:pPr>
        <w:keepNext/>
        <w:keepLines/>
        <w:widowControl/>
        <w:ind w:left="1440" w:right="1440"/>
        <w:rPr>
          <w:bCs/>
          <w:sz w:val="26"/>
          <w:szCs w:val="26"/>
        </w:rPr>
      </w:pPr>
    </w:p>
    <w:p w14:paraId="6A1441F7" w14:textId="77777777" w:rsidR="00203FE4" w:rsidRDefault="00203FE4" w:rsidP="007374FA">
      <w:pPr>
        <w:keepNext/>
        <w:keepLines/>
        <w:widowControl/>
        <w:ind w:left="1440" w:right="1440"/>
        <w:rPr>
          <w:bCs/>
          <w:sz w:val="26"/>
          <w:szCs w:val="26"/>
        </w:rPr>
      </w:pPr>
    </w:p>
    <w:p w14:paraId="20ED6719" w14:textId="77777777" w:rsidR="0061434A" w:rsidRPr="0032758B" w:rsidRDefault="0061434A" w:rsidP="007374FA">
      <w:pPr>
        <w:widowControl/>
        <w:spacing w:line="360" w:lineRule="auto"/>
        <w:ind w:right="1440"/>
        <w:rPr>
          <w:bCs/>
          <w:sz w:val="26"/>
          <w:szCs w:val="26"/>
        </w:rPr>
      </w:pPr>
      <w:r>
        <w:rPr>
          <w:bCs/>
          <w:sz w:val="26"/>
          <w:szCs w:val="26"/>
        </w:rPr>
        <w:t xml:space="preserve">Joint Petition at </w:t>
      </w:r>
      <w:r w:rsidR="005561DB">
        <w:rPr>
          <w:bCs/>
          <w:sz w:val="26"/>
          <w:szCs w:val="26"/>
        </w:rPr>
        <w:t>7</w:t>
      </w:r>
      <w:r>
        <w:rPr>
          <w:bCs/>
          <w:sz w:val="26"/>
          <w:szCs w:val="26"/>
        </w:rPr>
        <w:t>.</w:t>
      </w:r>
    </w:p>
    <w:p w14:paraId="4E98FD07" w14:textId="77777777" w:rsidR="0032758B" w:rsidRDefault="0032758B" w:rsidP="007374FA">
      <w:pPr>
        <w:widowControl/>
        <w:spacing w:line="360" w:lineRule="auto"/>
        <w:ind w:left="1440" w:right="1440"/>
        <w:rPr>
          <w:bCs/>
          <w:sz w:val="26"/>
          <w:szCs w:val="26"/>
        </w:rPr>
      </w:pPr>
    </w:p>
    <w:p w14:paraId="6BA3CF3A" w14:textId="18C84801" w:rsidR="00C65A1D" w:rsidRDefault="00CC041F" w:rsidP="007374FA">
      <w:pPr>
        <w:widowControl/>
        <w:spacing w:line="360" w:lineRule="auto"/>
        <w:ind w:firstLine="1440"/>
        <w:rPr>
          <w:bCs/>
          <w:sz w:val="26"/>
          <w:szCs w:val="26"/>
        </w:rPr>
      </w:pPr>
      <w:r>
        <w:rPr>
          <w:bCs/>
          <w:sz w:val="26"/>
          <w:szCs w:val="26"/>
        </w:rPr>
        <w:t xml:space="preserve">Peoples proposed </w:t>
      </w:r>
      <w:r w:rsidR="00881F8B">
        <w:rPr>
          <w:bCs/>
          <w:sz w:val="26"/>
          <w:szCs w:val="26"/>
        </w:rPr>
        <w:t>that</w:t>
      </w:r>
      <w:r>
        <w:rPr>
          <w:bCs/>
          <w:sz w:val="26"/>
          <w:szCs w:val="26"/>
        </w:rPr>
        <w:t xml:space="preserve"> the current </w:t>
      </w:r>
      <w:r w:rsidR="00F7633D">
        <w:rPr>
          <w:bCs/>
          <w:sz w:val="26"/>
          <w:szCs w:val="26"/>
        </w:rPr>
        <w:t>mechanism for sharing proceeds from off-system sales and capacity release revenues (75% to customers and 25% to Company)</w:t>
      </w:r>
      <w:r w:rsidR="00881F8B">
        <w:rPr>
          <w:bCs/>
          <w:sz w:val="26"/>
          <w:szCs w:val="26"/>
        </w:rPr>
        <w:t xml:space="preserve"> which is scheduled to expire on September 30, 2018, be</w:t>
      </w:r>
      <w:r w:rsidR="00E871A4">
        <w:rPr>
          <w:bCs/>
          <w:sz w:val="26"/>
          <w:szCs w:val="26"/>
        </w:rPr>
        <w:t xml:space="preserve"> extended indefinitely</w:t>
      </w:r>
      <w:r w:rsidR="00F7633D">
        <w:rPr>
          <w:bCs/>
          <w:sz w:val="26"/>
          <w:szCs w:val="26"/>
        </w:rPr>
        <w:t>.</w:t>
      </w:r>
      <w:r w:rsidR="006C5FAD">
        <w:rPr>
          <w:rStyle w:val="FootnoteReference"/>
          <w:bCs/>
          <w:sz w:val="26"/>
          <w:szCs w:val="26"/>
        </w:rPr>
        <w:footnoteReference w:id="9"/>
      </w:r>
      <w:r w:rsidR="00F7633D">
        <w:rPr>
          <w:bCs/>
          <w:sz w:val="26"/>
          <w:szCs w:val="26"/>
        </w:rPr>
        <w:t xml:space="preserve">  Peoples averred </w:t>
      </w:r>
      <w:r w:rsidR="00AB0A5D">
        <w:rPr>
          <w:bCs/>
          <w:sz w:val="26"/>
          <w:szCs w:val="26"/>
        </w:rPr>
        <w:t xml:space="preserve">that </w:t>
      </w:r>
      <w:r w:rsidR="00F7633D">
        <w:rPr>
          <w:bCs/>
          <w:sz w:val="26"/>
          <w:szCs w:val="26"/>
        </w:rPr>
        <w:t xml:space="preserve">several other NGDCs have adopted this approach, including </w:t>
      </w:r>
      <w:r w:rsidR="00E871A4">
        <w:rPr>
          <w:bCs/>
          <w:sz w:val="26"/>
          <w:szCs w:val="26"/>
        </w:rPr>
        <w:t>its</w:t>
      </w:r>
      <w:r w:rsidR="00F7633D">
        <w:rPr>
          <w:bCs/>
          <w:sz w:val="26"/>
          <w:szCs w:val="26"/>
        </w:rPr>
        <w:t xml:space="preserve"> affiliate, Peoples Gas.  P</w:t>
      </w:r>
      <w:r w:rsidR="001A24D0">
        <w:rPr>
          <w:bCs/>
          <w:sz w:val="26"/>
          <w:szCs w:val="26"/>
        </w:rPr>
        <w:t>NG</w:t>
      </w:r>
      <w:r w:rsidR="00F7633D">
        <w:rPr>
          <w:bCs/>
          <w:sz w:val="26"/>
          <w:szCs w:val="26"/>
        </w:rPr>
        <w:t xml:space="preserve"> Statement in Support at 6</w:t>
      </w:r>
      <w:r w:rsidR="00675164">
        <w:rPr>
          <w:bCs/>
          <w:sz w:val="26"/>
          <w:szCs w:val="26"/>
        </w:rPr>
        <w:t xml:space="preserve"> (citing P</w:t>
      </w:r>
      <w:r w:rsidR="001A24D0">
        <w:rPr>
          <w:bCs/>
          <w:sz w:val="26"/>
          <w:szCs w:val="26"/>
        </w:rPr>
        <w:t>NG</w:t>
      </w:r>
      <w:r w:rsidR="00675164">
        <w:rPr>
          <w:bCs/>
          <w:sz w:val="26"/>
          <w:szCs w:val="26"/>
        </w:rPr>
        <w:t xml:space="preserve"> St. 3 at 18; P</w:t>
      </w:r>
      <w:r w:rsidR="001A24D0">
        <w:rPr>
          <w:bCs/>
          <w:sz w:val="26"/>
          <w:szCs w:val="26"/>
        </w:rPr>
        <w:t>NG</w:t>
      </w:r>
      <w:r w:rsidR="00675164">
        <w:rPr>
          <w:bCs/>
          <w:sz w:val="26"/>
          <w:szCs w:val="26"/>
        </w:rPr>
        <w:t xml:space="preserve"> St. 3-R at 5)</w:t>
      </w:r>
      <w:r w:rsidR="00F7633D">
        <w:rPr>
          <w:bCs/>
          <w:sz w:val="26"/>
          <w:szCs w:val="26"/>
        </w:rPr>
        <w:t>.</w:t>
      </w:r>
    </w:p>
    <w:p w14:paraId="2A5BA4A6" w14:textId="77777777" w:rsidR="003C0656" w:rsidRDefault="003C0656" w:rsidP="007374FA">
      <w:pPr>
        <w:widowControl/>
        <w:spacing w:line="360" w:lineRule="auto"/>
        <w:ind w:firstLine="1440"/>
        <w:rPr>
          <w:bCs/>
          <w:sz w:val="26"/>
          <w:szCs w:val="26"/>
        </w:rPr>
      </w:pPr>
    </w:p>
    <w:p w14:paraId="0651DC8F" w14:textId="6CC6598C" w:rsidR="00881F8B" w:rsidRDefault="00E871A4" w:rsidP="007374FA">
      <w:pPr>
        <w:widowControl/>
        <w:spacing w:line="360" w:lineRule="auto"/>
        <w:ind w:firstLine="1440"/>
        <w:rPr>
          <w:bCs/>
          <w:sz w:val="26"/>
          <w:szCs w:val="26"/>
        </w:rPr>
      </w:pPr>
      <w:r>
        <w:rPr>
          <w:bCs/>
          <w:sz w:val="26"/>
          <w:szCs w:val="26"/>
        </w:rPr>
        <w:t xml:space="preserve">The OCA noted that although </w:t>
      </w:r>
      <w:r w:rsidR="00881F8B">
        <w:rPr>
          <w:bCs/>
          <w:sz w:val="26"/>
          <w:szCs w:val="26"/>
        </w:rPr>
        <w:t xml:space="preserve">several Parties to this proceeding expressed concern over the effect an indefinite extension would have </w:t>
      </w:r>
      <w:r>
        <w:rPr>
          <w:bCs/>
          <w:sz w:val="26"/>
          <w:szCs w:val="26"/>
        </w:rPr>
        <w:t xml:space="preserve">on the sharing and </w:t>
      </w:r>
      <w:r w:rsidR="00881F8B">
        <w:rPr>
          <w:bCs/>
          <w:sz w:val="26"/>
          <w:szCs w:val="26"/>
        </w:rPr>
        <w:t xml:space="preserve">which party would bear the burden of proof </w:t>
      </w:r>
      <w:proofErr w:type="gramStart"/>
      <w:r w:rsidR="00881F8B">
        <w:rPr>
          <w:bCs/>
          <w:sz w:val="26"/>
          <w:szCs w:val="26"/>
        </w:rPr>
        <w:t>with regard to</w:t>
      </w:r>
      <w:proofErr w:type="gramEnd"/>
      <w:r w:rsidR="00881F8B">
        <w:rPr>
          <w:bCs/>
          <w:sz w:val="26"/>
          <w:szCs w:val="26"/>
        </w:rPr>
        <w:t xml:space="preserve"> any future changes to the sharing mechanism, the Joint Petitioners</w:t>
      </w:r>
      <w:r w:rsidR="00807FA3">
        <w:rPr>
          <w:bCs/>
          <w:sz w:val="26"/>
          <w:szCs w:val="26"/>
        </w:rPr>
        <w:t>, nonetheless,</w:t>
      </w:r>
      <w:r w:rsidR="00881F8B">
        <w:rPr>
          <w:bCs/>
          <w:sz w:val="26"/>
          <w:szCs w:val="26"/>
        </w:rPr>
        <w:t xml:space="preserve"> </w:t>
      </w:r>
      <w:r w:rsidR="004823C9">
        <w:rPr>
          <w:bCs/>
          <w:sz w:val="26"/>
          <w:szCs w:val="26"/>
        </w:rPr>
        <w:t>agreed to Peoples</w:t>
      </w:r>
      <w:r w:rsidR="00734951">
        <w:rPr>
          <w:bCs/>
          <w:sz w:val="26"/>
          <w:szCs w:val="26"/>
        </w:rPr>
        <w:t>’</w:t>
      </w:r>
      <w:r w:rsidR="004823C9">
        <w:rPr>
          <w:bCs/>
          <w:sz w:val="26"/>
          <w:szCs w:val="26"/>
        </w:rPr>
        <w:t xml:space="preserve"> </w:t>
      </w:r>
      <w:r w:rsidR="00AB0A5D">
        <w:rPr>
          <w:bCs/>
          <w:sz w:val="26"/>
          <w:szCs w:val="26"/>
        </w:rPr>
        <w:t xml:space="preserve">proposed </w:t>
      </w:r>
      <w:r w:rsidR="004823C9">
        <w:rPr>
          <w:bCs/>
          <w:sz w:val="26"/>
          <w:szCs w:val="26"/>
        </w:rPr>
        <w:t xml:space="preserve">indefinite extension.  </w:t>
      </w:r>
      <w:r w:rsidR="004823C9">
        <w:rPr>
          <w:sz w:val="26"/>
          <w:szCs w:val="26"/>
        </w:rPr>
        <w:t>Partial Settlement at ¶ 31.  As part of the Settlement, Peoples acknowledge</w:t>
      </w:r>
      <w:r w:rsidR="00FA6974">
        <w:rPr>
          <w:sz w:val="26"/>
          <w:szCs w:val="26"/>
        </w:rPr>
        <w:t>d</w:t>
      </w:r>
      <w:r w:rsidR="004823C9">
        <w:rPr>
          <w:sz w:val="26"/>
          <w:szCs w:val="26"/>
        </w:rPr>
        <w:t xml:space="preserve"> that it retains the ultimate burden of proof if the sharing is challenged in a future proceeding.  </w:t>
      </w:r>
      <w:r w:rsidR="004823C9">
        <w:rPr>
          <w:bCs/>
          <w:sz w:val="26"/>
          <w:szCs w:val="26"/>
        </w:rPr>
        <w:t>OCA Statement in Support at 5.</w:t>
      </w:r>
    </w:p>
    <w:p w14:paraId="0D87106D" w14:textId="77777777" w:rsidR="00881F8B" w:rsidRDefault="00881F8B" w:rsidP="007374FA">
      <w:pPr>
        <w:widowControl/>
        <w:spacing w:line="360" w:lineRule="auto"/>
        <w:ind w:firstLine="1440"/>
        <w:rPr>
          <w:bCs/>
          <w:sz w:val="26"/>
          <w:szCs w:val="26"/>
        </w:rPr>
      </w:pPr>
    </w:p>
    <w:p w14:paraId="118DDB1A" w14:textId="402E66BB" w:rsidR="00B66C77" w:rsidRDefault="004119A4" w:rsidP="007374FA">
      <w:pPr>
        <w:widowControl/>
        <w:spacing w:line="360" w:lineRule="auto"/>
        <w:ind w:firstLine="1440"/>
        <w:rPr>
          <w:bCs/>
          <w:sz w:val="26"/>
          <w:szCs w:val="26"/>
        </w:rPr>
      </w:pPr>
      <w:r w:rsidRPr="00B66C77">
        <w:rPr>
          <w:bCs/>
          <w:sz w:val="26"/>
          <w:szCs w:val="26"/>
        </w:rPr>
        <w:t>I&amp;E</w:t>
      </w:r>
      <w:r w:rsidR="0042044F">
        <w:rPr>
          <w:bCs/>
          <w:sz w:val="26"/>
          <w:szCs w:val="26"/>
        </w:rPr>
        <w:t xml:space="preserve"> </w:t>
      </w:r>
      <w:r w:rsidR="00DF6365">
        <w:rPr>
          <w:bCs/>
          <w:sz w:val="26"/>
          <w:szCs w:val="26"/>
        </w:rPr>
        <w:t xml:space="preserve">supports the settlement </w:t>
      </w:r>
      <w:r w:rsidR="00B66C77">
        <w:rPr>
          <w:bCs/>
          <w:sz w:val="26"/>
          <w:szCs w:val="26"/>
        </w:rPr>
        <w:t xml:space="preserve">on this issue </w:t>
      </w:r>
      <w:r w:rsidR="00DF6365">
        <w:rPr>
          <w:bCs/>
          <w:sz w:val="26"/>
          <w:szCs w:val="26"/>
        </w:rPr>
        <w:t xml:space="preserve">because, among other things, </w:t>
      </w:r>
      <w:proofErr w:type="gramStart"/>
      <w:r w:rsidR="00DF6365">
        <w:rPr>
          <w:bCs/>
          <w:sz w:val="26"/>
          <w:szCs w:val="26"/>
        </w:rPr>
        <w:t xml:space="preserve">it is clear </w:t>
      </w:r>
      <w:r w:rsidR="00B66C77">
        <w:rPr>
          <w:bCs/>
          <w:sz w:val="26"/>
          <w:szCs w:val="26"/>
        </w:rPr>
        <w:t xml:space="preserve">that </w:t>
      </w:r>
      <w:r w:rsidR="00DF6365">
        <w:rPr>
          <w:bCs/>
          <w:sz w:val="26"/>
          <w:szCs w:val="26"/>
        </w:rPr>
        <w:t>in</w:t>
      </w:r>
      <w:proofErr w:type="gramEnd"/>
      <w:r w:rsidR="00DF6365">
        <w:rPr>
          <w:bCs/>
          <w:sz w:val="26"/>
          <w:szCs w:val="26"/>
        </w:rPr>
        <w:t xml:space="preserve"> future proceedings, parties </w:t>
      </w:r>
      <w:r w:rsidR="00F212C0">
        <w:rPr>
          <w:bCs/>
          <w:sz w:val="26"/>
          <w:szCs w:val="26"/>
        </w:rPr>
        <w:t xml:space="preserve">will </w:t>
      </w:r>
      <w:r w:rsidR="00DF6365">
        <w:rPr>
          <w:bCs/>
          <w:sz w:val="26"/>
          <w:szCs w:val="26"/>
        </w:rPr>
        <w:t xml:space="preserve">have the right to offer </w:t>
      </w:r>
      <w:r w:rsidR="00B66C77">
        <w:rPr>
          <w:bCs/>
          <w:sz w:val="26"/>
          <w:szCs w:val="26"/>
        </w:rPr>
        <w:t>contrary proposals regarding th</w:t>
      </w:r>
      <w:r w:rsidR="00185EBA">
        <w:rPr>
          <w:bCs/>
          <w:sz w:val="26"/>
          <w:szCs w:val="26"/>
        </w:rPr>
        <w:t>e issue</w:t>
      </w:r>
      <w:r w:rsidR="00D83FF3">
        <w:rPr>
          <w:bCs/>
          <w:sz w:val="26"/>
          <w:szCs w:val="26"/>
        </w:rPr>
        <w:t>,</w:t>
      </w:r>
      <w:r w:rsidR="00B66C77">
        <w:rPr>
          <w:bCs/>
          <w:sz w:val="26"/>
          <w:szCs w:val="26"/>
        </w:rPr>
        <w:t xml:space="preserve"> and </w:t>
      </w:r>
      <w:r w:rsidR="00295407">
        <w:rPr>
          <w:bCs/>
          <w:sz w:val="26"/>
          <w:szCs w:val="26"/>
        </w:rPr>
        <w:t xml:space="preserve">consistent with the Code, </w:t>
      </w:r>
      <w:r w:rsidR="00B66C77">
        <w:rPr>
          <w:bCs/>
          <w:sz w:val="26"/>
          <w:szCs w:val="26"/>
        </w:rPr>
        <w:t xml:space="preserve">the burden of proof regarding the sharing mechanism will always remain with Peoples.  I&amp;E Statement in Support at 13.  </w:t>
      </w:r>
      <w:r w:rsidR="00185EBA">
        <w:rPr>
          <w:bCs/>
          <w:sz w:val="26"/>
          <w:szCs w:val="26"/>
        </w:rPr>
        <w:t xml:space="preserve">I&amp;E </w:t>
      </w:r>
      <w:r w:rsidR="00D83FF3">
        <w:rPr>
          <w:bCs/>
          <w:sz w:val="26"/>
          <w:szCs w:val="26"/>
        </w:rPr>
        <w:t xml:space="preserve">avers that </w:t>
      </w:r>
      <w:r w:rsidR="00185EBA">
        <w:rPr>
          <w:bCs/>
          <w:sz w:val="26"/>
          <w:szCs w:val="26"/>
        </w:rPr>
        <w:t xml:space="preserve">the proposal is in the public interest because </w:t>
      </w:r>
      <w:r w:rsidR="009C1B42">
        <w:rPr>
          <w:bCs/>
          <w:sz w:val="26"/>
          <w:szCs w:val="26"/>
        </w:rPr>
        <w:t xml:space="preserve">it </w:t>
      </w:r>
      <w:r w:rsidR="00185EBA">
        <w:rPr>
          <w:bCs/>
          <w:sz w:val="26"/>
          <w:szCs w:val="26"/>
        </w:rPr>
        <w:t>benefits both the Company and its ratepayers</w:t>
      </w:r>
      <w:r w:rsidR="00A62F8B">
        <w:rPr>
          <w:bCs/>
          <w:sz w:val="26"/>
          <w:szCs w:val="26"/>
        </w:rPr>
        <w:t xml:space="preserve"> as</w:t>
      </w:r>
      <w:r w:rsidR="009C1B42">
        <w:rPr>
          <w:bCs/>
          <w:sz w:val="26"/>
          <w:szCs w:val="26"/>
        </w:rPr>
        <w:t xml:space="preserve"> </w:t>
      </w:r>
      <w:r w:rsidR="00185EBA">
        <w:rPr>
          <w:bCs/>
          <w:sz w:val="26"/>
          <w:szCs w:val="26"/>
        </w:rPr>
        <w:t>Peoples will receive a monetary incentive to maximize its effort to increase capacity release and off-system sales activity</w:t>
      </w:r>
      <w:r w:rsidR="00D83FF3">
        <w:rPr>
          <w:bCs/>
          <w:sz w:val="26"/>
          <w:szCs w:val="26"/>
        </w:rPr>
        <w:t>,</w:t>
      </w:r>
      <w:r w:rsidR="00185EBA">
        <w:rPr>
          <w:bCs/>
          <w:sz w:val="26"/>
          <w:szCs w:val="26"/>
        </w:rPr>
        <w:t xml:space="preserve"> </w:t>
      </w:r>
      <w:r w:rsidR="009C1B42">
        <w:rPr>
          <w:bCs/>
          <w:sz w:val="26"/>
          <w:szCs w:val="26"/>
        </w:rPr>
        <w:t>while the Company</w:t>
      </w:r>
      <w:r w:rsidR="00734951">
        <w:rPr>
          <w:bCs/>
          <w:sz w:val="26"/>
          <w:szCs w:val="26"/>
        </w:rPr>
        <w:t>’</w:t>
      </w:r>
      <w:r w:rsidR="009C1B42">
        <w:rPr>
          <w:bCs/>
          <w:sz w:val="26"/>
          <w:szCs w:val="26"/>
        </w:rPr>
        <w:t>s</w:t>
      </w:r>
      <w:r w:rsidR="00185EBA">
        <w:rPr>
          <w:bCs/>
          <w:sz w:val="26"/>
          <w:szCs w:val="26"/>
        </w:rPr>
        <w:t xml:space="preserve"> customers will, in turn, benefit from </w:t>
      </w:r>
      <w:r w:rsidR="009C1B42">
        <w:rPr>
          <w:bCs/>
          <w:sz w:val="26"/>
          <w:szCs w:val="26"/>
        </w:rPr>
        <w:t>its</w:t>
      </w:r>
      <w:r w:rsidR="00185EBA">
        <w:rPr>
          <w:bCs/>
          <w:sz w:val="26"/>
          <w:szCs w:val="26"/>
        </w:rPr>
        <w:t xml:space="preserve"> efforts in the form of reduced gas costs.  </w:t>
      </w:r>
      <w:r w:rsidR="00A62F8B" w:rsidRPr="00A62F8B">
        <w:rPr>
          <w:bCs/>
          <w:i/>
          <w:sz w:val="26"/>
          <w:szCs w:val="26"/>
        </w:rPr>
        <w:t>Id.</w:t>
      </w:r>
      <w:r w:rsidR="00A62F8B">
        <w:rPr>
          <w:bCs/>
          <w:sz w:val="26"/>
          <w:szCs w:val="26"/>
        </w:rPr>
        <w:t xml:space="preserve"> at 13-14.</w:t>
      </w:r>
    </w:p>
    <w:p w14:paraId="0A1B1C16" w14:textId="77777777" w:rsidR="00DF6365" w:rsidRDefault="00DF6365" w:rsidP="007374FA">
      <w:pPr>
        <w:widowControl/>
        <w:spacing w:line="360" w:lineRule="auto"/>
        <w:ind w:firstLine="1440"/>
        <w:rPr>
          <w:bCs/>
          <w:sz w:val="26"/>
          <w:szCs w:val="26"/>
        </w:rPr>
      </w:pPr>
    </w:p>
    <w:p w14:paraId="4D112ED7" w14:textId="5E733D3D" w:rsidR="00DF6365" w:rsidRDefault="00A03560" w:rsidP="007374FA">
      <w:pPr>
        <w:widowControl/>
        <w:spacing w:line="360" w:lineRule="auto"/>
        <w:ind w:firstLine="1440"/>
        <w:rPr>
          <w:bCs/>
          <w:sz w:val="26"/>
          <w:szCs w:val="26"/>
        </w:rPr>
      </w:pPr>
      <w:r>
        <w:rPr>
          <w:bCs/>
          <w:sz w:val="26"/>
          <w:szCs w:val="26"/>
        </w:rPr>
        <w:t xml:space="preserve">Although, </w:t>
      </w:r>
      <w:r w:rsidR="008E2254">
        <w:rPr>
          <w:bCs/>
          <w:sz w:val="26"/>
          <w:szCs w:val="26"/>
        </w:rPr>
        <w:t xml:space="preserve">the OSBA did </w:t>
      </w:r>
      <w:r>
        <w:rPr>
          <w:bCs/>
          <w:sz w:val="26"/>
          <w:szCs w:val="26"/>
        </w:rPr>
        <w:t>not initially support</w:t>
      </w:r>
      <w:r w:rsidR="008E2254">
        <w:rPr>
          <w:bCs/>
          <w:sz w:val="26"/>
          <w:szCs w:val="26"/>
        </w:rPr>
        <w:t xml:space="preserve"> </w:t>
      </w:r>
      <w:r>
        <w:rPr>
          <w:bCs/>
          <w:sz w:val="26"/>
          <w:szCs w:val="26"/>
        </w:rPr>
        <w:t xml:space="preserve">the </w:t>
      </w:r>
      <w:r w:rsidR="008E2254">
        <w:rPr>
          <w:bCs/>
          <w:sz w:val="26"/>
          <w:szCs w:val="26"/>
        </w:rPr>
        <w:t>Company</w:t>
      </w:r>
      <w:r w:rsidR="00734951">
        <w:rPr>
          <w:bCs/>
          <w:sz w:val="26"/>
          <w:szCs w:val="26"/>
        </w:rPr>
        <w:t>’</w:t>
      </w:r>
      <w:r w:rsidR="008E2254">
        <w:rPr>
          <w:bCs/>
          <w:sz w:val="26"/>
          <w:szCs w:val="26"/>
        </w:rPr>
        <w:t xml:space="preserve">s </w:t>
      </w:r>
      <w:r w:rsidR="00594257">
        <w:rPr>
          <w:bCs/>
          <w:sz w:val="26"/>
          <w:szCs w:val="26"/>
        </w:rPr>
        <w:t xml:space="preserve">proposed </w:t>
      </w:r>
      <w:r w:rsidR="00A62F8B">
        <w:rPr>
          <w:bCs/>
          <w:sz w:val="26"/>
          <w:szCs w:val="26"/>
        </w:rPr>
        <w:t>indefinite</w:t>
      </w:r>
      <w:r>
        <w:rPr>
          <w:bCs/>
          <w:sz w:val="26"/>
          <w:szCs w:val="26"/>
        </w:rPr>
        <w:t xml:space="preserve"> extension due to </w:t>
      </w:r>
      <w:r w:rsidR="00922980">
        <w:rPr>
          <w:bCs/>
          <w:sz w:val="26"/>
          <w:szCs w:val="26"/>
        </w:rPr>
        <w:t xml:space="preserve">concern on </w:t>
      </w:r>
      <w:r>
        <w:rPr>
          <w:bCs/>
          <w:sz w:val="26"/>
          <w:szCs w:val="26"/>
        </w:rPr>
        <w:t xml:space="preserve">the existing burden of proof, the OSBA </w:t>
      </w:r>
      <w:r w:rsidR="00922980">
        <w:rPr>
          <w:bCs/>
          <w:sz w:val="26"/>
          <w:szCs w:val="26"/>
        </w:rPr>
        <w:t xml:space="preserve">believes </w:t>
      </w:r>
      <w:r w:rsidR="00922980">
        <w:rPr>
          <w:bCs/>
          <w:sz w:val="26"/>
          <w:szCs w:val="26"/>
        </w:rPr>
        <w:lastRenderedPageBreak/>
        <w:t xml:space="preserve">the </w:t>
      </w:r>
      <w:r>
        <w:rPr>
          <w:bCs/>
          <w:sz w:val="26"/>
          <w:szCs w:val="26"/>
        </w:rPr>
        <w:t xml:space="preserve">settlement </w:t>
      </w:r>
      <w:r w:rsidR="00922980">
        <w:rPr>
          <w:bCs/>
          <w:sz w:val="26"/>
          <w:szCs w:val="26"/>
        </w:rPr>
        <w:t xml:space="preserve">is in the public interest because Peoples </w:t>
      </w:r>
      <w:r w:rsidR="00734951">
        <w:rPr>
          <w:bCs/>
          <w:sz w:val="26"/>
          <w:szCs w:val="26"/>
        </w:rPr>
        <w:t>“</w:t>
      </w:r>
      <w:r w:rsidR="00922980">
        <w:rPr>
          <w:bCs/>
          <w:sz w:val="26"/>
          <w:szCs w:val="26"/>
        </w:rPr>
        <w:t>agrees that it retains the ultimate burden of proof if the sharing mechanism is challenged in a future proceeding.</w:t>
      </w:r>
      <w:r w:rsidR="00734951">
        <w:rPr>
          <w:bCs/>
          <w:sz w:val="26"/>
          <w:szCs w:val="26"/>
        </w:rPr>
        <w:t>”</w:t>
      </w:r>
      <w:r w:rsidR="00922980">
        <w:rPr>
          <w:bCs/>
          <w:sz w:val="26"/>
          <w:szCs w:val="26"/>
        </w:rPr>
        <w:t xml:space="preserve">  OSBA Statement in Support at 4-5 (citing OSBA St. 1 at 1).</w:t>
      </w:r>
    </w:p>
    <w:p w14:paraId="273EC673" w14:textId="77777777" w:rsidR="00B15F9A" w:rsidRDefault="00B15F9A" w:rsidP="007374FA">
      <w:pPr>
        <w:widowControl/>
        <w:spacing w:line="360" w:lineRule="auto"/>
        <w:ind w:firstLine="1440"/>
        <w:rPr>
          <w:bCs/>
          <w:sz w:val="26"/>
          <w:szCs w:val="26"/>
        </w:rPr>
      </w:pPr>
    </w:p>
    <w:p w14:paraId="2E4FE32C" w14:textId="77777777" w:rsidR="00A109AC" w:rsidRPr="007F545B" w:rsidRDefault="00A109AC" w:rsidP="007374FA">
      <w:pPr>
        <w:keepNext/>
        <w:keepLines/>
        <w:widowControl/>
        <w:numPr>
          <w:ilvl w:val="0"/>
          <w:numId w:val="4"/>
        </w:numPr>
        <w:ind w:right="1440"/>
        <w:contextualSpacing/>
        <w:rPr>
          <w:b/>
          <w:bCs/>
          <w:sz w:val="26"/>
          <w:szCs w:val="26"/>
        </w:rPr>
      </w:pPr>
      <w:r>
        <w:rPr>
          <w:b/>
          <w:bCs/>
          <w:sz w:val="26"/>
          <w:szCs w:val="26"/>
        </w:rPr>
        <w:t>ALLEGHENY VALLEY CONNECTOR COSTS</w:t>
      </w:r>
    </w:p>
    <w:p w14:paraId="49CAEE11" w14:textId="77777777" w:rsidR="00A109AC" w:rsidRPr="007F545B" w:rsidRDefault="00A109AC" w:rsidP="007374FA">
      <w:pPr>
        <w:keepNext/>
        <w:keepLines/>
        <w:widowControl/>
        <w:ind w:right="1440" w:firstLine="1440"/>
        <w:rPr>
          <w:b/>
          <w:bCs/>
          <w:sz w:val="26"/>
          <w:szCs w:val="26"/>
        </w:rPr>
      </w:pPr>
    </w:p>
    <w:p w14:paraId="42C3DB67" w14:textId="77777777" w:rsidR="00F212C0" w:rsidRDefault="00A109AC" w:rsidP="007374FA">
      <w:pPr>
        <w:widowControl/>
        <w:ind w:left="1440" w:right="1440"/>
        <w:rPr>
          <w:bCs/>
          <w:sz w:val="26"/>
          <w:szCs w:val="26"/>
        </w:rPr>
      </w:pPr>
      <w:r>
        <w:rPr>
          <w:bCs/>
          <w:sz w:val="26"/>
          <w:szCs w:val="26"/>
        </w:rPr>
        <w:t>32.</w:t>
      </w:r>
      <w:r>
        <w:rPr>
          <w:bCs/>
          <w:sz w:val="26"/>
          <w:szCs w:val="26"/>
        </w:rPr>
        <w:tab/>
      </w:r>
      <w:r w:rsidR="00FA6974">
        <w:rPr>
          <w:bCs/>
          <w:sz w:val="26"/>
          <w:szCs w:val="26"/>
        </w:rPr>
        <w:t>[</w:t>
      </w:r>
      <w:r>
        <w:rPr>
          <w:bCs/>
          <w:sz w:val="26"/>
          <w:szCs w:val="26"/>
        </w:rPr>
        <w:t>Peoples</w:t>
      </w:r>
      <w:r w:rsidR="00FA6974">
        <w:rPr>
          <w:bCs/>
          <w:sz w:val="26"/>
          <w:szCs w:val="26"/>
        </w:rPr>
        <w:t>]</w:t>
      </w:r>
      <w:r>
        <w:rPr>
          <w:bCs/>
          <w:sz w:val="26"/>
          <w:szCs w:val="26"/>
        </w:rPr>
        <w:t xml:space="preserve"> will retain its current method of recovering Allegheny Valley Connector capacity costs.  This agreement</w:t>
      </w:r>
    </w:p>
    <w:p w14:paraId="091BEF46" w14:textId="6EC4E870" w:rsidR="00A109AC" w:rsidRDefault="00A109AC" w:rsidP="007374FA">
      <w:pPr>
        <w:keepNext/>
        <w:keepLines/>
        <w:widowControl/>
        <w:ind w:left="1440" w:right="1440"/>
        <w:rPr>
          <w:bCs/>
          <w:sz w:val="26"/>
          <w:szCs w:val="26"/>
        </w:rPr>
      </w:pPr>
      <w:r>
        <w:rPr>
          <w:bCs/>
          <w:sz w:val="26"/>
          <w:szCs w:val="26"/>
        </w:rPr>
        <w:t>is for the purposes of settlement of the current case only and this matter may be revisited in future PGC cases.</w:t>
      </w:r>
    </w:p>
    <w:p w14:paraId="0FB715E4" w14:textId="77777777" w:rsidR="00A109AC" w:rsidRDefault="00A109AC" w:rsidP="007374FA">
      <w:pPr>
        <w:keepNext/>
        <w:keepLines/>
        <w:widowControl/>
        <w:ind w:left="1440" w:right="1440"/>
        <w:rPr>
          <w:bCs/>
          <w:sz w:val="26"/>
          <w:szCs w:val="26"/>
        </w:rPr>
      </w:pPr>
    </w:p>
    <w:p w14:paraId="7DCF8DE9" w14:textId="77777777" w:rsidR="00A109AC" w:rsidRDefault="00A109AC" w:rsidP="007374FA">
      <w:pPr>
        <w:keepNext/>
        <w:keepLines/>
        <w:widowControl/>
        <w:ind w:left="1440" w:right="1440"/>
        <w:rPr>
          <w:bCs/>
          <w:sz w:val="26"/>
          <w:szCs w:val="26"/>
        </w:rPr>
      </w:pPr>
    </w:p>
    <w:p w14:paraId="1E842BCB" w14:textId="77777777" w:rsidR="00A109AC" w:rsidRDefault="00A109AC" w:rsidP="007374FA">
      <w:pPr>
        <w:widowControl/>
        <w:spacing w:line="360" w:lineRule="auto"/>
        <w:ind w:right="1440"/>
        <w:rPr>
          <w:bCs/>
          <w:sz w:val="26"/>
          <w:szCs w:val="26"/>
        </w:rPr>
      </w:pPr>
      <w:r>
        <w:rPr>
          <w:bCs/>
          <w:sz w:val="26"/>
          <w:szCs w:val="26"/>
        </w:rPr>
        <w:t>Joint Petition at 7.</w:t>
      </w:r>
    </w:p>
    <w:p w14:paraId="4F90BFDF" w14:textId="77777777" w:rsidR="009620C5" w:rsidRDefault="009620C5" w:rsidP="007374FA">
      <w:pPr>
        <w:widowControl/>
        <w:spacing w:line="360" w:lineRule="auto"/>
        <w:ind w:right="1440"/>
        <w:rPr>
          <w:bCs/>
          <w:sz w:val="26"/>
          <w:szCs w:val="26"/>
        </w:rPr>
      </w:pPr>
    </w:p>
    <w:p w14:paraId="7F1D9F88" w14:textId="45CF96CB" w:rsidR="009620C5" w:rsidRDefault="009620C5" w:rsidP="007374FA">
      <w:pPr>
        <w:widowControl/>
        <w:spacing w:line="360" w:lineRule="auto"/>
        <w:ind w:firstLine="1440"/>
        <w:rPr>
          <w:bCs/>
          <w:sz w:val="26"/>
          <w:szCs w:val="26"/>
        </w:rPr>
      </w:pPr>
      <w:r>
        <w:rPr>
          <w:bCs/>
          <w:sz w:val="26"/>
          <w:szCs w:val="26"/>
        </w:rPr>
        <w:t xml:space="preserve">Peoples proposed to allocate the costs of the Allegheny Valley Connector (AVC), an interstate pipeline owned by </w:t>
      </w:r>
      <w:proofErr w:type="spellStart"/>
      <w:r>
        <w:rPr>
          <w:bCs/>
          <w:sz w:val="26"/>
          <w:szCs w:val="26"/>
        </w:rPr>
        <w:t>Equitrans</w:t>
      </w:r>
      <w:proofErr w:type="spellEnd"/>
      <w:r>
        <w:rPr>
          <w:bCs/>
          <w:sz w:val="26"/>
          <w:szCs w:val="26"/>
        </w:rPr>
        <w:t>, L.P. (</w:t>
      </w:r>
      <w:proofErr w:type="spellStart"/>
      <w:r>
        <w:rPr>
          <w:bCs/>
          <w:sz w:val="26"/>
          <w:szCs w:val="26"/>
        </w:rPr>
        <w:t>Equitrans</w:t>
      </w:r>
      <w:proofErr w:type="spellEnd"/>
      <w:r>
        <w:rPr>
          <w:bCs/>
          <w:sz w:val="26"/>
          <w:szCs w:val="26"/>
        </w:rPr>
        <w:t xml:space="preserve">), based on customer demand, like </w:t>
      </w:r>
      <w:r w:rsidR="00AC2D3A">
        <w:rPr>
          <w:bCs/>
          <w:sz w:val="26"/>
          <w:szCs w:val="26"/>
        </w:rPr>
        <w:t>Peoples</w:t>
      </w:r>
      <w:r>
        <w:rPr>
          <w:bCs/>
          <w:sz w:val="26"/>
          <w:szCs w:val="26"/>
        </w:rPr>
        <w:t xml:space="preserve"> does with other interstate capacity costs.  P</w:t>
      </w:r>
      <w:r w:rsidR="001156D2">
        <w:rPr>
          <w:bCs/>
          <w:sz w:val="26"/>
          <w:szCs w:val="26"/>
        </w:rPr>
        <w:t>NG</w:t>
      </w:r>
      <w:r>
        <w:rPr>
          <w:bCs/>
          <w:sz w:val="26"/>
          <w:szCs w:val="26"/>
        </w:rPr>
        <w:t xml:space="preserve"> Statement in Support at 6 (citing P</w:t>
      </w:r>
      <w:r w:rsidR="001156D2">
        <w:rPr>
          <w:bCs/>
          <w:sz w:val="26"/>
          <w:szCs w:val="26"/>
        </w:rPr>
        <w:t>NG</w:t>
      </w:r>
      <w:r>
        <w:rPr>
          <w:bCs/>
          <w:sz w:val="26"/>
          <w:szCs w:val="26"/>
        </w:rPr>
        <w:t xml:space="preserve"> St. 3 at 13; P</w:t>
      </w:r>
      <w:r w:rsidR="001156D2">
        <w:rPr>
          <w:bCs/>
          <w:sz w:val="26"/>
          <w:szCs w:val="26"/>
        </w:rPr>
        <w:t>NG</w:t>
      </w:r>
      <w:r>
        <w:rPr>
          <w:bCs/>
          <w:sz w:val="26"/>
          <w:szCs w:val="26"/>
        </w:rPr>
        <w:t xml:space="preserve"> St. 3-R at 2, 4).</w:t>
      </w:r>
      <w:r w:rsidR="00D65F5E">
        <w:rPr>
          <w:bCs/>
          <w:sz w:val="26"/>
          <w:szCs w:val="26"/>
        </w:rPr>
        <w:t xml:space="preserve">  According to Peoples, because it transferred ownership of these facilities to </w:t>
      </w:r>
      <w:proofErr w:type="spellStart"/>
      <w:r w:rsidR="00D65F5E">
        <w:rPr>
          <w:bCs/>
          <w:sz w:val="26"/>
          <w:szCs w:val="26"/>
        </w:rPr>
        <w:t>Equitrans</w:t>
      </w:r>
      <w:proofErr w:type="spellEnd"/>
      <w:r w:rsidR="00D65F5E">
        <w:rPr>
          <w:bCs/>
          <w:sz w:val="26"/>
          <w:szCs w:val="26"/>
        </w:rPr>
        <w:t xml:space="preserve"> when it acquired Peoples Gas, the costs of these facilities have been allocated on the basis that they were </w:t>
      </w:r>
      <w:r w:rsidR="00AC2D3A">
        <w:rPr>
          <w:bCs/>
          <w:sz w:val="26"/>
          <w:szCs w:val="26"/>
        </w:rPr>
        <w:t>recovered by Peoples Gas when it owned the facilities.  P</w:t>
      </w:r>
      <w:r w:rsidR="004F1502">
        <w:rPr>
          <w:bCs/>
          <w:sz w:val="26"/>
          <w:szCs w:val="26"/>
        </w:rPr>
        <w:t>NG</w:t>
      </w:r>
      <w:r w:rsidR="00AC2D3A">
        <w:rPr>
          <w:bCs/>
          <w:sz w:val="26"/>
          <w:szCs w:val="26"/>
        </w:rPr>
        <w:t xml:space="preserve"> Statement in Support at 6</w:t>
      </w:r>
      <w:r w:rsidR="004F0681">
        <w:rPr>
          <w:bCs/>
          <w:sz w:val="26"/>
          <w:szCs w:val="26"/>
        </w:rPr>
        <w:t>-7</w:t>
      </w:r>
      <w:r w:rsidR="00AC2D3A">
        <w:rPr>
          <w:bCs/>
          <w:sz w:val="26"/>
          <w:szCs w:val="26"/>
        </w:rPr>
        <w:t xml:space="preserve"> (citing P</w:t>
      </w:r>
      <w:r w:rsidR="00063752">
        <w:rPr>
          <w:bCs/>
          <w:sz w:val="26"/>
          <w:szCs w:val="26"/>
        </w:rPr>
        <w:t>NG</w:t>
      </w:r>
      <w:r w:rsidR="00AC2D3A">
        <w:rPr>
          <w:bCs/>
          <w:sz w:val="26"/>
          <w:szCs w:val="26"/>
        </w:rPr>
        <w:t xml:space="preserve"> St. 3 at 13).</w:t>
      </w:r>
    </w:p>
    <w:p w14:paraId="2E7E1639" w14:textId="77777777" w:rsidR="009620C5" w:rsidRDefault="009620C5" w:rsidP="007374FA">
      <w:pPr>
        <w:widowControl/>
        <w:spacing w:line="360" w:lineRule="auto"/>
        <w:ind w:firstLine="1440"/>
        <w:rPr>
          <w:bCs/>
          <w:sz w:val="26"/>
          <w:szCs w:val="26"/>
        </w:rPr>
      </w:pPr>
    </w:p>
    <w:p w14:paraId="36275F40" w14:textId="31CD56E7" w:rsidR="009620C5" w:rsidRPr="0032758B" w:rsidRDefault="009620C5" w:rsidP="007374FA">
      <w:pPr>
        <w:widowControl/>
        <w:spacing w:line="360" w:lineRule="auto"/>
        <w:ind w:firstLine="1440"/>
        <w:rPr>
          <w:bCs/>
          <w:sz w:val="26"/>
          <w:szCs w:val="26"/>
        </w:rPr>
      </w:pPr>
      <w:r>
        <w:rPr>
          <w:bCs/>
          <w:sz w:val="26"/>
          <w:szCs w:val="26"/>
        </w:rPr>
        <w:t xml:space="preserve">The OCA </w:t>
      </w:r>
      <w:r w:rsidR="00935D1D">
        <w:rPr>
          <w:bCs/>
          <w:sz w:val="26"/>
          <w:szCs w:val="26"/>
        </w:rPr>
        <w:t>proposed to retain the current allocation</w:t>
      </w:r>
      <w:r w:rsidR="005E725A">
        <w:rPr>
          <w:bCs/>
          <w:sz w:val="26"/>
          <w:szCs w:val="26"/>
        </w:rPr>
        <w:t xml:space="preserve"> and objected to the Company</w:t>
      </w:r>
      <w:r w:rsidR="00734951">
        <w:rPr>
          <w:bCs/>
          <w:sz w:val="26"/>
          <w:szCs w:val="26"/>
        </w:rPr>
        <w:t>’</w:t>
      </w:r>
      <w:r w:rsidR="005E725A">
        <w:rPr>
          <w:bCs/>
          <w:sz w:val="26"/>
          <w:szCs w:val="26"/>
        </w:rPr>
        <w:t>s proposal to include AVC capacity costs with other PGC capacity costs on the basis that doing so would deviate from the fixed percentage of AVC capacity costs assigned to each customer class as part of the 2013 settlement of the merger between P</w:t>
      </w:r>
      <w:r w:rsidR="00BE78C2">
        <w:rPr>
          <w:bCs/>
          <w:sz w:val="26"/>
          <w:szCs w:val="26"/>
        </w:rPr>
        <w:t>eoples</w:t>
      </w:r>
      <w:r w:rsidR="005E725A">
        <w:rPr>
          <w:bCs/>
          <w:sz w:val="26"/>
          <w:szCs w:val="26"/>
        </w:rPr>
        <w:t xml:space="preserve"> and Equitable</w:t>
      </w:r>
      <w:r w:rsidR="00935D1D">
        <w:rPr>
          <w:bCs/>
          <w:sz w:val="26"/>
          <w:szCs w:val="26"/>
        </w:rPr>
        <w:t xml:space="preserve">.  </w:t>
      </w:r>
      <w:r w:rsidR="007C0133">
        <w:rPr>
          <w:bCs/>
          <w:sz w:val="26"/>
          <w:szCs w:val="26"/>
        </w:rPr>
        <w:t xml:space="preserve">According to the OCA, such a deviation would result in assigning an additional $1.66 million to the Residential Class.  OCA Statement in Support at 6-7; </w:t>
      </w:r>
      <w:r w:rsidR="00935D1D">
        <w:rPr>
          <w:bCs/>
          <w:sz w:val="26"/>
          <w:szCs w:val="26"/>
        </w:rPr>
        <w:t>OCA St. 1 at 6; OCA St. 1-S at 2-3</w:t>
      </w:r>
      <w:r w:rsidR="007C0133">
        <w:rPr>
          <w:bCs/>
          <w:sz w:val="26"/>
          <w:szCs w:val="26"/>
        </w:rPr>
        <w:t xml:space="preserve">.  </w:t>
      </w:r>
      <w:r w:rsidR="00807FA3">
        <w:rPr>
          <w:bCs/>
          <w:sz w:val="26"/>
          <w:szCs w:val="26"/>
        </w:rPr>
        <w:t>However</w:t>
      </w:r>
      <w:r w:rsidR="00CB6D78">
        <w:rPr>
          <w:bCs/>
          <w:sz w:val="26"/>
          <w:szCs w:val="26"/>
        </w:rPr>
        <w:t xml:space="preserve">, as part of the settlement, Peoples agreed to retain its current method of recovering AVC capacity costs rather than combining all </w:t>
      </w:r>
      <w:r w:rsidR="00CB6D78">
        <w:rPr>
          <w:bCs/>
          <w:sz w:val="26"/>
          <w:szCs w:val="26"/>
        </w:rPr>
        <w:lastRenderedPageBreak/>
        <w:t>capacity costs into a single charge.  The Parties also agreed that the current method will apply only to this case and that this issue may be raised in any future PGC case.  OCA Statement in Support at 7.</w:t>
      </w:r>
    </w:p>
    <w:p w14:paraId="1F7DEC39" w14:textId="77777777" w:rsidR="0061434A" w:rsidRPr="003A32CB" w:rsidRDefault="0061434A" w:rsidP="007374FA">
      <w:pPr>
        <w:widowControl/>
        <w:spacing w:line="360" w:lineRule="auto"/>
        <w:ind w:firstLine="1440"/>
        <w:rPr>
          <w:bCs/>
          <w:sz w:val="26"/>
          <w:szCs w:val="26"/>
        </w:rPr>
      </w:pPr>
    </w:p>
    <w:p w14:paraId="3CDC159B" w14:textId="77777777" w:rsidR="0032758B" w:rsidRPr="007F545B" w:rsidRDefault="0061434A" w:rsidP="007374FA">
      <w:pPr>
        <w:keepNext/>
        <w:keepLines/>
        <w:widowControl/>
        <w:numPr>
          <w:ilvl w:val="0"/>
          <w:numId w:val="4"/>
        </w:numPr>
        <w:ind w:right="1440"/>
        <w:contextualSpacing/>
        <w:rPr>
          <w:b/>
          <w:bCs/>
          <w:sz w:val="26"/>
          <w:szCs w:val="26"/>
        </w:rPr>
      </w:pPr>
      <w:r>
        <w:rPr>
          <w:b/>
          <w:bCs/>
          <w:sz w:val="26"/>
          <w:szCs w:val="26"/>
        </w:rPr>
        <w:t>MISCELLANEOUS</w:t>
      </w:r>
    </w:p>
    <w:p w14:paraId="6235BF69" w14:textId="77777777" w:rsidR="0032758B" w:rsidRPr="007F545B" w:rsidRDefault="0032758B" w:rsidP="007374FA">
      <w:pPr>
        <w:keepNext/>
        <w:keepLines/>
        <w:widowControl/>
        <w:ind w:right="1440" w:firstLine="1440"/>
        <w:rPr>
          <w:b/>
          <w:bCs/>
          <w:sz w:val="26"/>
          <w:szCs w:val="26"/>
        </w:rPr>
      </w:pPr>
    </w:p>
    <w:p w14:paraId="42FD12C2" w14:textId="60A3C95C" w:rsidR="0032758B" w:rsidRPr="0032758B" w:rsidRDefault="00957E46" w:rsidP="007374FA">
      <w:pPr>
        <w:widowControl/>
        <w:ind w:left="1440" w:right="1440"/>
        <w:rPr>
          <w:bCs/>
          <w:sz w:val="26"/>
          <w:szCs w:val="26"/>
        </w:rPr>
      </w:pPr>
      <w:r>
        <w:rPr>
          <w:bCs/>
          <w:sz w:val="26"/>
          <w:szCs w:val="26"/>
        </w:rPr>
        <w:t>3</w:t>
      </w:r>
      <w:r w:rsidR="00353436">
        <w:rPr>
          <w:bCs/>
          <w:sz w:val="26"/>
          <w:szCs w:val="26"/>
        </w:rPr>
        <w:t>3</w:t>
      </w:r>
      <w:r>
        <w:rPr>
          <w:bCs/>
          <w:sz w:val="26"/>
          <w:szCs w:val="26"/>
        </w:rPr>
        <w:t>.</w:t>
      </w:r>
      <w:r>
        <w:rPr>
          <w:bCs/>
          <w:sz w:val="26"/>
          <w:szCs w:val="26"/>
        </w:rPr>
        <w:tab/>
        <w:t xml:space="preserve">Except </w:t>
      </w:r>
      <w:r w:rsidRPr="00957E46">
        <w:rPr>
          <w:bCs/>
          <w:sz w:val="26"/>
          <w:szCs w:val="26"/>
        </w:rPr>
        <w:t>as revised by this Partial Settlement and subject to a de</w:t>
      </w:r>
      <w:r>
        <w:rPr>
          <w:bCs/>
          <w:sz w:val="26"/>
          <w:szCs w:val="26"/>
        </w:rPr>
        <w:t xml:space="preserve">cision on the issue </w:t>
      </w:r>
      <w:r w:rsidRPr="00957E46">
        <w:rPr>
          <w:bCs/>
          <w:sz w:val="26"/>
          <w:szCs w:val="26"/>
        </w:rPr>
        <w:t xml:space="preserve">reserved for litigation </w:t>
      </w:r>
      <w:r>
        <w:rPr>
          <w:bCs/>
          <w:i/>
          <w:sz w:val="26"/>
          <w:szCs w:val="26"/>
        </w:rPr>
        <w:t xml:space="preserve">(i.e., </w:t>
      </w:r>
      <w:r w:rsidRPr="00957E46">
        <w:rPr>
          <w:bCs/>
          <w:sz w:val="26"/>
          <w:szCs w:val="26"/>
        </w:rPr>
        <w:t>gathering system retainage), the proposed rates and other requested approvals contained in the Company</w:t>
      </w:r>
      <w:r w:rsidR="00734951">
        <w:rPr>
          <w:bCs/>
          <w:sz w:val="26"/>
          <w:szCs w:val="26"/>
        </w:rPr>
        <w:t>’</w:t>
      </w:r>
      <w:r w:rsidRPr="00957E46">
        <w:rPr>
          <w:bCs/>
          <w:sz w:val="26"/>
          <w:szCs w:val="26"/>
        </w:rPr>
        <w:t>s PGC filing should be approved.</w:t>
      </w:r>
    </w:p>
    <w:p w14:paraId="01C580BC" w14:textId="77777777" w:rsidR="00373CD4" w:rsidRDefault="00373CD4" w:rsidP="007374FA">
      <w:pPr>
        <w:widowControl/>
        <w:tabs>
          <w:tab w:val="left" w:pos="1445"/>
        </w:tabs>
        <w:autoSpaceDE w:val="0"/>
        <w:autoSpaceDN w:val="0"/>
        <w:adjustRightInd w:val="0"/>
        <w:ind w:firstLine="1440"/>
        <w:rPr>
          <w:sz w:val="26"/>
          <w:szCs w:val="26"/>
        </w:rPr>
      </w:pPr>
    </w:p>
    <w:p w14:paraId="10E86120" w14:textId="2B559F9E" w:rsidR="00373CD4" w:rsidRDefault="00957E46" w:rsidP="007374FA">
      <w:pPr>
        <w:widowControl/>
        <w:tabs>
          <w:tab w:val="left" w:pos="1445"/>
        </w:tabs>
        <w:autoSpaceDE w:val="0"/>
        <w:autoSpaceDN w:val="0"/>
        <w:adjustRightInd w:val="0"/>
        <w:ind w:left="1440" w:right="1440"/>
        <w:rPr>
          <w:sz w:val="26"/>
          <w:szCs w:val="26"/>
        </w:rPr>
      </w:pPr>
      <w:r>
        <w:rPr>
          <w:sz w:val="26"/>
          <w:szCs w:val="26"/>
        </w:rPr>
        <w:t>3</w:t>
      </w:r>
      <w:r w:rsidR="00353436">
        <w:rPr>
          <w:sz w:val="26"/>
          <w:szCs w:val="26"/>
        </w:rPr>
        <w:t>4</w:t>
      </w:r>
      <w:r>
        <w:rPr>
          <w:sz w:val="26"/>
          <w:szCs w:val="26"/>
        </w:rPr>
        <w:t>.</w:t>
      </w:r>
      <w:r>
        <w:rPr>
          <w:sz w:val="26"/>
          <w:szCs w:val="26"/>
        </w:rPr>
        <w:tab/>
        <w:t xml:space="preserve">In accordance </w:t>
      </w:r>
      <w:r w:rsidRPr="00957E46">
        <w:rPr>
          <w:sz w:val="26"/>
          <w:szCs w:val="26"/>
        </w:rPr>
        <w:t xml:space="preserve">with the provisions of 52 Pa. Code § 53.64(i)(5), </w:t>
      </w:r>
      <w:r>
        <w:rPr>
          <w:sz w:val="26"/>
          <w:szCs w:val="26"/>
        </w:rPr>
        <w:t>the Company</w:t>
      </w:r>
      <w:r w:rsidR="00734951">
        <w:rPr>
          <w:sz w:val="26"/>
          <w:szCs w:val="26"/>
        </w:rPr>
        <w:t>’</w:t>
      </w:r>
      <w:r>
        <w:rPr>
          <w:sz w:val="26"/>
          <w:szCs w:val="26"/>
        </w:rPr>
        <w:t xml:space="preserve">s compliance filing in this </w:t>
      </w:r>
      <w:r w:rsidRPr="00957E46">
        <w:rPr>
          <w:sz w:val="26"/>
          <w:szCs w:val="26"/>
        </w:rPr>
        <w:t>proceeding will reflect updated actual and projected over/undercollections through September 30, 2018.</w:t>
      </w:r>
    </w:p>
    <w:p w14:paraId="3DE2BE47" w14:textId="77777777" w:rsidR="00373CD4" w:rsidRDefault="00373CD4" w:rsidP="007374FA">
      <w:pPr>
        <w:widowControl/>
        <w:tabs>
          <w:tab w:val="left" w:pos="1445"/>
        </w:tabs>
        <w:autoSpaceDE w:val="0"/>
        <w:autoSpaceDN w:val="0"/>
        <w:adjustRightInd w:val="0"/>
        <w:ind w:left="1440" w:right="1440"/>
        <w:rPr>
          <w:sz w:val="26"/>
          <w:szCs w:val="26"/>
        </w:rPr>
      </w:pPr>
    </w:p>
    <w:p w14:paraId="0F58FEB1" w14:textId="77777777" w:rsidR="00E01CF9" w:rsidRDefault="00957E46" w:rsidP="007374FA">
      <w:pPr>
        <w:widowControl/>
        <w:tabs>
          <w:tab w:val="left" w:pos="1445"/>
        </w:tabs>
        <w:autoSpaceDE w:val="0"/>
        <w:autoSpaceDN w:val="0"/>
        <w:adjustRightInd w:val="0"/>
        <w:ind w:left="1440" w:right="1440"/>
        <w:rPr>
          <w:sz w:val="26"/>
          <w:szCs w:val="26"/>
        </w:rPr>
      </w:pPr>
      <w:r>
        <w:rPr>
          <w:sz w:val="26"/>
          <w:szCs w:val="26"/>
        </w:rPr>
        <w:t>3</w:t>
      </w:r>
      <w:r w:rsidR="00353436">
        <w:rPr>
          <w:sz w:val="26"/>
          <w:szCs w:val="26"/>
        </w:rPr>
        <w:t>5</w:t>
      </w:r>
      <w:r>
        <w:rPr>
          <w:sz w:val="26"/>
          <w:szCs w:val="26"/>
        </w:rPr>
        <w:t>.</w:t>
      </w:r>
      <w:r>
        <w:rPr>
          <w:sz w:val="26"/>
          <w:szCs w:val="26"/>
        </w:rPr>
        <w:tab/>
        <w:t xml:space="preserve">Joint Petitioners </w:t>
      </w:r>
      <w:r w:rsidRPr="00957E46">
        <w:rPr>
          <w:sz w:val="26"/>
          <w:szCs w:val="26"/>
        </w:rPr>
        <w:t>J</w:t>
      </w:r>
      <w:r>
        <w:rPr>
          <w:sz w:val="26"/>
          <w:szCs w:val="26"/>
        </w:rPr>
        <w:t xml:space="preserve">oint Petitioners agree that the </w:t>
      </w:r>
      <w:r w:rsidRPr="00957E46">
        <w:rPr>
          <w:sz w:val="26"/>
          <w:szCs w:val="26"/>
        </w:rPr>
        <w:t>Commission s</w:t>
      </w:r>
      <w:r>
        <w:rPr>
          <w:sz w:val="26"/>
          <w:szCs w:val="26"/>
        </w:rPr>
        <w:t xml:space="preserve">hould approve the renewals and </w:t>
      </w:r>
      <w:r w:rsidRPr="00957E46">
        <w:rPr>
          <w:sz w:val="26"/>
          <w:szCs w:val="26"/>
        </w:rPr>
        <w:t>changes in gas supply, pipeline, and stor</w:t>
      </w:r>
      <w:r>
        <w:rPr>
          <w:sz w:val="26"/>
          <w:szCs w:val="26"/>
        </w:rPr>
        <w:t xml:space="preserve">age capacity contracts that are </w:t>
      </w:r>
    </w:p>
    <w:p w14:paraId="3EAA765F" w14:textId="33C7B434" w:rsidR="00373CD4" w:rsidRDefault="00957E46" w:rsidP="007374FA">
      <w:pPr>
        <w:keepNext/>
        <w:keepLines/>
        <w:widowControl/>
        <w:tabs>
          <w:tab w:val="left" w:pos="1445"/>
        </w:tabs>
        <w:autoSpaceDE w:val="0"/>
        <w:autoSpaceDN w:val="0"/>
        <w:adjustRightInd w:val="0"/>
        <w:ind w:left="1440" w:right="1440"/>
        <w:rPr>
          <w:sz w:val="26"/>
          <w:szCs w:val="26"/>
        </w:rPr>
      </w:pPr>
      <w:r w:rsidRPr="00957E46">
        <w:rPr>
          <w:sz w:val="26"/>
          <w:szCs w:val="26"/>
        </w:rPr>
        <w:t>explained in Peoples Gas Statement No. 2 and related exhibits included in the 1307(f)-2018 definitive filing.</w:t>
      </w:r>
    </w:p>
    <w:p w14:paraId="6651E0F4" w14:textId="6E2FE5AD" w:rsidR="00F212C0" w:rsidRDefault="00F212C0" w:rsidP="007374FA">
      <w:pPr>
        <w:keepNext/>
        <w:keepLines/>
        <w:widowControl/>
        <w:tabs>
          <w:tab w:val="left" w:pos="1445"/>
        </w:tabs>
        <w:autoSpaceDE w:val="0"/>
        <w:autoSpaceDN w:val="0"/>
        <w:adjustRightInd w:val="0"/>
        <w:ind w:left="1440" w:right="1440"/>
        <w:rPr>
          <w:sz w:val="26"/>
          <w:szCs w:val="26"/>
        </w:rPr>
      </w:pPr>
    </w:p>
    <w:p w14:paraId="3E8B1369" w14:textId="77777777" w:rsidR="00F212C0" w:rsidRDefault="00F212C0" w:rsidP="007374FA">
      <w:pPr>
        <w:keepNext/>
        <w:keepLines/>
        <w:widowControl/>
        <w:tabs>
          <w:tab w:val="left" w:pos="1445"/>
        </w:tabs>
        <w:autoSpaceDE w:val="0"/>
        <w:autoSpaceDN w:val="0"/>
        <w:adjustRightInd w:val="0"/>
        <w:ind w:left="1440" w:right="1440"/>
        <w:rPr>
          <w:sz w:val="26"/>
          <w:szCs w:val="26"/>
        </w:rPr>
      </w:pPr>
    </w:p>
    <w:p w14:paraId="0E134A6D" w14:textId="77777777" w:rsidR="0061434A" w:rsidRDefault="0061434A" w:rsidP="007374FA">
      <w:pPr>
        <w:widowControl/>
        <w:tabs>
          <w:tab w:val="left" w:pos="1445"/>
        </w:tabs>
        <w:autoSpaceDE w:val="0"/>
        <w:autoSpaceDN w:val="0"/>
        <w:adjustRightInd w:val="0"/>
        <w:spacing w:line="360" w:lineRule="auto"/>
        <w:ind w:right="1440"/>
        <w:rPr>
          <w:sz w:val="26"/>
          <w:szCs w:val="26"/>
        </w:rPr>
      </w:pPr>
      <w:r>
        <w:rPr>
          <w:sz w:val="26"/>
          <w:szCs w:val="26"/>
        </w:rPr>
        <w:t xml:space="preserve">Joint Petition at </w:t>
      </w:r>
      <w:r w:rsidR="00353436">
        <w:rPr>
          <w:sz w:val="26"/>
          <w:szCs w:val="26"/>
        </w:rPr>
        <w:t>7</w:t>
      </w:r>
      <w:r>
        <w:rPr>
          <w:sz w:val="26"/>
          <w:szCs w:val="26"/>
        </w:rPr>
        <w:t>.</w:t>
      </w:r>
    </w:p>
    <w:p w14:paraId="151AE9E1" w14:textId="77777777" w:rsidR="00373CD4" w:rsidRDefault="00373CD4" w:rsidP="007374FA">
      <w:pPr>
        <w:widowControl/>
        <w:tabs>
          <w:tab w:val="left" w:pos="1445"/>
        </w:tabs>
        <w:autoSpaceDE w:val="0"/>
        <w:autoSpaceDN w:val="0"/>
        <w:adjustRightInd w:val="0"/>
        <w:spacing w:line="360" w:lineRule="auto"/>
        <w:ind w:left="1440" w:right="1440"/>
        <w:rPr>
          <w:sz w:val="26"/>
          <w:szCs w:val="26"/>
        </w:rPr>
      </w:pPr>
    </w:p>
    <w:p w14:paraId="448B0BA5" w14:textId="3D3083CE" w:rsidR="00E54670" w:rsidRDefault="00C51BBF" w:rsidP="007374FA">
      <w:pPr>
        <w:widowControl/>
        <w:autoSpaceDE w:val="0"/>
        <w:autoSpaceDN w:val="0"/>
        <w:adjustRightInd w:val="0"/>
        <w:spacing w:line="360" w:lineRule="auto"/>
        <w:ind w:firstLine="1350"/>
        <w:rPr>
          <w:sz w:val="26"/>
          <w:szCs w:val="26"/>
        </w:rPr>
      </w:pPr>
      <w:r>
        <w:rPr>
          <w:sz w:val="26"/>
          <w:szCs w:val="26"/>
        </w:rPr>
        <w:t>In addition to the specific terms to which the Joint Petitioners have agreed, the Pa</w:t>
      </w:r>
      <w:r w:rsidR="0061434A">
        <w:rPr>
          <w:sz w:val="26"/>
          <w:szCs w:val="26"/>
        </w:rPr>
        <w:t xml:space="preserve">rtial Settlement contains </w:t>
      </w:r>
      <w:r w:rsidR="00E54670">
        <w:rPr>
          <w:sz w:val="26"/>
          <w:szCs w:val="26"/>
        </w:rPr>
        <w:t>certain general, miscellaneous terms.  The Partial Settlement is conditioned upon the Commission</w:t>
      </w:r>
      <w:r w:rsidR="00734951">
        <w:rPr>
          <w:sz w:val="26"/>
          <w:szCs w:val="26"/>
        </w:rPr>
        <w:t>’</w:t>
      </w:r>
      <w:r w:rsidR="00E54670">
        <w:rPr>
          <w:sz w:val="26"/>
          <w:szCs w:val="26"/>
        </w:rPr>
        <w:t>s approval of the terms and conditions without modification.  The Partial Settlement establishes the procedure by which any of the Joint Petitioners may withdraw from the Partial Settlement and proceed to litigate this case, if the Commission should act to modify the Partial Settlement.  Partial Settlement at ¶</w:t>
      </w:r>
      <w:r w:rsidR="00E01CF9">
        <w:rPr>
          <w:sz w:val="26"/>
          <w:szCs w:val="26"/>
        </w:rPr>
        <w:t> </w:t>
      </w:r>
      <w:r w:rsidR="00353436">
        <w:rPr>
          <w:sz w:val="26"/>
          <w:szCs w:val="26"/>
        </w:rPr>
        <w:t>8</w:t>
      </w:r>
      <w:r w:rsidR="00E54670">
        <w:rPr>
          <w:sz w:val="26"/>
          <w:szCs w:val="26"/>
        </w:rPr>
        <w:t xml:space="preserve">8.  </w:t>
      </w:r>
      <w:r w:rsidR="00E54670" w:rsidRPr="00E54670">
        <w:rPr>
          <w:sz w:val="26"/>
          <w:szCs w:val="26"/>
        </w:rPr>
        <w:t xml:space="preserve">The Joint Petitioners reserved their respective rights to brief and argue their respective positions if the Commission does not approve the Joint Petition.  The Joint Petition also provides that the Joint Petition reflects a compromise of competing positions </w:t>
      </w:r>
      <w:r w:rsidR="00E54670" w:rsidRPr="00E54670">
        <w:rPr>
          <w:sz w:val="26"/>
          <w:szCs w:val="26"/>
        </w:rPr>
        <w:lastRenderedPageBreak/>
        <w:t>and may not be cited as precedent in any future proceeding, except as required to implement the Joint Pe</w:t>
      </w:r>
      <w:r w:rsidR="00E54670">
        <w:rPr>
          <w:sz w:val="26"/>
          <w:szCs w:val="26"/>
        </w:rPr>
        <w:t xml:space="preserve">tition.  Joint Petition at </w:t>
      </w:r>
      <w:r w:rsidR="00353436">
        <w:rPr>
          <w:sz w:val="26"/>
          <w:szCs w:val="26"/>
        </w:rPr>
        <w:t>23</w:t>
      </w:r>
      <w:r w:rsidR="00E54670" w:rsidRPr="00E54670">
        <w:rPr>
          <w:sz w:val="26"/>
          <w:szCs w:val="26"/>
        </w:rPr>
        <w:t>.</w:t>
      </w:r>
    </w:p>
    <w:p w14:paraId="254A878B" w14:textId="77777777" w:rsidR="00C86B48" w:rsidRDefault="00C86B48" w:rsidP="007374FA">
      <w:pPr>
        <w:widowControl/>
        <w:autoSpaceDE w:val="0"/>
        <w:autoSpaceDN w:val="0"/>
        <w:adjustRightInd w:val="0"/>
        <w:spacing w:line="360" w:lineRule="auto"/>
        <w:ind w:firstLine="1350"/>
        <w:rPr>
          <w:sz w:val="26"/>
          <w:szCs w:val="26"/>
        </w:rPr>
      </w:pPr>
    </w:p>
    <w:p w14:paraId="79B5684D" w14:textId="7FE39377" w:rsidR="005D5FB0" w:rsidRDefault="00C86B48" w:rsidP="007374FA">
      <w:pPr>
        <w:widowControl/>
        <w:spacing w:line="360" w:lineRule="auto"/>
        <w:ind w:firstLine="1350"/>
        <w:rPr>
          <w:sz w:val="26"/>
          <w:szCs w:val="26"/>
        </w:rPr>
      </w:pPr>
      <w:r w:rsidRPr="002E5F97">
        <w:rPr>
          <w:sz w:val="26"/>
          <w:szCs w:val="26"/>
        </w:rPr>
        <w:t xml:space="preserve">The Joint Petitioners respectfully requested that the ALJ and the Commission approve the Partial Settlement, including all terms and conditions thereof, subject to the resolution of the issue reserved for briefing.  Partial Settlement at </w:t>
      </w:r>
      <w:r w:rsidR="00353436" w:rsidRPr="002E5F97">
        <w:rPr>
          <w:sz w:val="26"/>
          <w:szCs w:val="26"/>
        </w:rPr>
        <w:t>25</w:t>
      </w:r>
      <w:r w:rsidRPr="002E5F97">
        <w:rPr>
          <w:sz w:val="26"/>
          <w:szCs w:val="26"/>
        </w:rPr>
        <w:t>.</w:t>
      </w:r>
    </w:p>
    <w:p w14:paraId="589D31CB" w14:textId="77777777" w:rsidR="00AB30D8" w:rsidRPr="00C86B48" w:rsidRDefault="00AB30D8" w:rsidP="007374FA">
      <w:pPr>
        <w:widowControl/>
        <w:spacing w:line="360" w:lineRule="auto"/>
        <w:ind w:firstLine="1350"/>
        <w:rPr>
          <w:sz w:val="26"/>
          <w:szCs w:val="26"/>
        </w:rPr>
      </w:pPr>
    </w:p>
    <w:p w14:paraId="3F6F5B18" w14:textId="0D57D1DB" w:rsidR="0085653E" w:rsidRPr="002042D2" w:rsidRDefault="0085653E" w:rsidP="007374FA">
      <w:pPr>
        <w:pStyle w:val="Heading2"/>
      </w:pPr>
      <w:bookmarkStart w:id="18" w:name="_Toc524442348"/>
      <w:r>
        <w:t>ALJ</w:t>
      </w:r>
      <w:r w:rsidR="00734951">
        <w:t>’</w:t>
      </w:r>
      <w:r>
        <w:t>s Recommendation</w:t>
      </w:r>
      <w:bookmarkEnd w:id="18"/>
    </w:p>
    <w:p w14:paraId="2E066AC8" w14:textId="77777777" w:rsidR="00373CD4" w:rsidRDefault="00373CD4" w:rsidP="007374FA">
      <w:pPr>
        <w:keepNext/>
        <w:keepLines/>
        <w:widowControl/>
        <w:tabs>
          <w:tab w:val="left" w:pos="1445"/>
        </w:tabs>
        <w:autoSpaceDE w:val="0"/>
        <w:autoSpaceDN w:val="0"/>
        <w:adjustRightInd w:val="0"/>
        <w:spacing w:line="360" w:lineRule="auto"/>
        <w:ind w:right="1440"/>
        <w:rPr>
          <w:sz w:val="26"/>
          <w:szCs w:val="26"/>
        </w:rPr>
      </w:pPr>
    </w:p>
    <w:p w14:paraId="473B43F0" w14:textId="5043F645" w:rsidR="00D912B8" w:rsidRDefault="00D912B8" w:rsidP="007374FA">
      <w:pPr>
        <w:widowControl/>
        <w:tabs>
          <w:tab w:val="left" w:pos="1445"/>
          <w:tab w:val="left" w:pos="7290"/>
        </w:tabs>
        <w:autoSpaceDE w:val="0"/>
        <w:autoSpaceDN w:val="0"/>
        <w:adjustRightInd w:val="0"/>
        <w:spacing w:line="360" w:lineRule="auto"/>
        <w:ind w:firstLine="1440"/>
        <w:rPr>
          <w:sz w:val="26"/>
          <w:szCs w:val="26"/>
        </w:rPr>
      </w:pPr>
      <w:r>
        <w:rPr>
          <w:sz w:val="26"/>
          <w:szCs w:val="26"/>
        </w:rPr>
        <w:t>The ALJ found that the proposed Partial Settlement was reasonable</w:t>
      </w:r>
      <w:r w:rsidR="00AB30D8">
        <w:rPr>
          <w:sz w:val="26"/>
          <w:szCs w:val="26"/>
        </w:rPr>
        <w:t xml:space="preserve"> and in the</w:t>
      </w:r>
      <w:r>
        <w:rPr>
          <w:sz w:val="26"/>
          <w:szCs w:val="26"/>
        </w:rPr>
        <w:t xml:space="preserve"> public interest</w:t>
      </w:r>
      <w:r w:rsidR="00AB30D8">
        <w:rPr>
          <w:sz w:val="26"/>
          <w:szCs w:val="26"/>
        </w:rPr>
        <w:t>,</w:t>
      </w:r>
      <w:r>
        <w:rPr>
          <w:sz w:val="26"/>
          <w:szCs w:val="26"/>
        </w:rPr>
        <w:t xml:space="preserve"> and therefore, recommended its approval without modification.  The ALJ noted that the settlement finds support from the Joint Petitioners, as well as their experts and counsel, who have considerable knowledge and experience in PGC proceedings and who have participated in numerous settlement discussions and formal negotiations, </w:t>
      </w:r>
      <w:r w:rsidR="004B1A65">
        <w:rPr>
          <w:sz w:val="26"/>
          <w:szCs w:val="26"/>
        </w:rPr>
        <w:t xml:space="preserve">providing a strong base upon which to build a consensus on the settled issues.  R.D. at </w:t>
      </w:r>
      <w:r w:rsidR="004C445C">
        <w:rPr>
          <w:sz w:val="26"/>
          <w:szCs w:val="26"/>
        </w:rPr>
        <w:t>30</w:t>
      </w:r>
      <w:r w:rsidR="004B1A65">
        <w:rPr>
          <w:sz w:val="26"/>
          <w:szCs w:val="26"/>
        </w:rPr>
        <w:t xml:space="preserve">.  Furthermore, the ALJ found the proposed Partial Settlement is in the public interest because the resultant rates are just and reasonable and comply with the requirements of the Code for PGC proceedings.  </w:t>
      </w:r>
      <w:r w:rsidR="004B1A65" w:rsidRPr="004B1A65">
        <w:rPr>
          <w:i/>
          <w:sz w:val="26"/>
          <w:szCs w:val="26"/>
        </w:rPr>
        <w:t xml:space="preserve">Id. </w:t>
      </w:r>
      <w:r w:rsidR="004B1A65">
        <w:rPr>
          <w:sz w:val="26"/>
          <w:szCs w:val="26"/>
        </w:rPr>
        <w:t xml:space="preserve">at </w:t>
      </w:r>
      <w:r w:rsidR="00A549A2">
        <w:rPr>
          <w:sz w:val="26"/>
          <w:szCs w:val="26"/>
        </w:rPr>
        <w:t>48</w:t>
      </w:r>
      <w:r w:rsidR="004B1A65">
        <w:rPr>
          <w:sz w:val="26"/>
          <w:szCs w:val="26"/>
        </w:rPr>
        <w:t xml:space="preserve">.  </w:t>
      </w:r>
    </w:p>
    <w:p w14:paraId="47AA1A64" w14:textId="77777777" w:rsidR="00D912B8" w:rsidRDefault="00D912B8" w:rsidP="007374FA">
      <w:pPr>
        <w:widowControl/>
        <w:tabs>
          <w:tab w:val="left" w:pos="1445"/>
          <w:tab w:val="left" w:pos="7290"/>
        </w:tabs>
        <w:autoSpaceDE w:val="0"/>
        <w:autoSpaceDN w:val="0"/>
        <w:adjustRightInd w:val="0"/>
        <w:spacing w:line="360" w:lineRule="auto"/>
        <w:rPr>
          <w:sz w:val="26"/>
          <w:szCs w:val="26"/>
        </w:rPr>
      </w:pPr>
    </w:p>
    <w:p w14:paraId="63C33DC0" w14:textId="77777777" w:rsidR="00C86B48" w:rsidRDefault="006B6180" w:rsidP="007374FA">
      <w:pPr>
        <w:widowControl/>
        <w:tabs>
          <w:tab w:val="left" w:pos="1445"/>
          <w:tab w:val="left" w:pos="7290"/>
        </w:tabs>
        <w:autoSpaceDE w:val="0"/>
        <w:autoSpaceDN w:val="0"/>
        <w:adjustRightInd w:val="0"/>
        <w:spacing w:line="360" w:lineRule="auto"/>
        <w:ind w:firstLine="1440"/>
        <w:rPr>
          <w:sz w:val="26"/>
          <w:szCs w:val="26"/>
        </w:rPr>
      </w:pPr>
      <w:r>
        <w:rPr>
          <w:sz w:val="26"/>
          <w:szCs w:val="26"/>
        </w:rPr>
        <w:t>Additionally</w:t>
      </w:r>
      <w:r w:rsidR="007537F4">
        <w:rPr>
          <w:sz w:val="26"/>
          <w:szCs w:val="26"/>
        </w:rPr>
        <w:t>, the ALJ stated that resolution of all issues in this case by Partial Settlement, while reserving for litigation only one issue that was not resolved by agreement among the parties, minimizes the substantial time and effort involved in continuing to formally pursue all issues in this proceeding at the risk of accumulating excessive expense, which is ultimately passed on to the ratepayers, while securing for ratepayers a settlement of all other issues t</w:t>
      </w:r>
      <w:r>
        <w:rPr>
          <w:sz w:val="26"/>
          <w:szCs w:val="26"/>
        </w:rPr>
        <w:t xml:space="preserve">hat is in the public interest.  </w:t>
      </w:r>
      <w:r w:rsidRPr="006B6180">
        <w:rPr>
          <w:i/>
          <w:sz w:val="26"/>
          <w:szCs w:val="26"/>
        </w:rPr>
        <w:t>Id</w:t>
      </w:r>
      <w:r>
        <w:rPr>
          <w:sz w:val="26"/>
          <w:szCs w:val="26"/>
        </w:rPr>
        <w:t xml:space="preserve">. at </w:t>
      </w:r>
      <w:r w:rsidR="008D4C78">
        <w:rPr>
          <w:sz w:val="26"/>
          <w:szCs w:val="26"/>
        </w:rPr>
        <w:t>49</w:t>
      </w:r>
      <w:r>
        <w:rPr>
          <w:sz w:val="26"/>
          <w:szCs w:val="26"/>
        </w:rPr>
        <w:t>.</w:t>
      </w:r>
    </w:p>
    <w:p w14:paraId="5424DD45" w14:textId="77777777" w:rsidR="00302B6C" w:rsidRDefault="00302B6C" w:rsidP="007374FA">
      <w:pPr>
        <w:widowControl/>
        <w:tabs>
          <w:tab w:val="left" w:pos="1445"/>
          <w:tab w:val="left" w:pos="7290"/>
        </w:tabs>
        <w:autoSpaceDE w:val="0"/>
        <w:autoSpaceDN w:val="0"/>
        <w:adjustRightInd w:val="0"/>
        <w:spacing w:line="360" w:lineRule="auto"/>
        <w:ind w:firstLine="1440"/>
        <w:rPr>
          <w:sz w:val="26"/>
          <w:szCs w:val="26"/>
        </w:rPr>
      </w:pPr>
    </w:p>
    <w:p w14:paraId="254976D6" w14:textId="77777777" w:rsidR="00302B6C" w:rsidRDefault="00302B6C" w:rsidP="007374FA">
      <w:pPr>
        <w:widowControl/>
        <w:tabs>
          <w:tab w:val="left" w:pos="1445"/>
          <w:tab w:val="left" w:pos="7290"/>
        </w:tabs>
        <w:autoSpaceDE w:val="0"/>
        <w:autoSpaceDN w:val="0"/>
        <w:adjustRightInd w:val="0"/>
        <w:spacing w:line="360" w:lineRule="auto"/>
        <w:ind w:firstLine="1440"/>
        <w:rPr>
          <w:sz w:val="26"/>
          <w:szCs w:val="26"/>
        </w:rPr>
      </w:pPr>
      <w:r>
        <w:rPr>
          <w:sz w:val="26"/>
          <w:szCs w:val="26"/>
        </w:rPr>
        <w:t>The ALJ state</w:t>
      </w:r>
      <w:r w:rsidR="00522FF5">
        <w:rPr>
          <w:sz w:val="26"/>
          <w:szCs w:val="26"/>
        </w:rPr>
        <w:t>d</w:t>
      </w:r>
      <w:r>
        <w:rPr>
          <w:sz w:val="26"/>
          <w:szCs w:val="26"/>
        </w:rPr>
        <w:t xml:space="preserve"> that each of the provisions of the Partial Settlement is reasonable, supported by substantial evidence and supports the finding that</w:t>
      </w:r>
      <w:proofErr w:type="gramStart"/>
      <w:r>
        <w:rPr>
          <w:sz w:val="26"/>
          <w:szCs w:val="26"/>
        </w:rPr>
        <w:t>, as a whole, the</w:t>
      </w:r>
      <w:proofErr w:type="gramEnd"/>
      <w:r>
        <w:rPr>
          <w:sz w:val="26"/>
          <w:szCs w:val="26"/>
        </w:rPr>
        <w:t xml:space="preserve"> Partial Settlement is in the public interest.  Therefore, the ALJ concluded that the </w:t>
      </w:r>
      <w:r>
        <w:rPr>
          <w:sz w:val="26"/>
          <w:szCs w:val="26"/>
        </w:rPr>
        <w:lastRenderedPageBreak/>
        <w:t xml:space="preserve">Joint Petition is in the public interest and thus recommended that the Joint Petition be granted without modification.  </w:t>
      </w:r>
      <w:r w:rsidRPr="00302B6C">
        <w:rPr>
          <w:i/>
          <w:sz w:val="26"/>
          <w:szCs w:val="26"/>
        </w:rPr>
        <w:t>Id</w:t>
      </w:r>
      <w:r>
        <w:rPr>
          <w:sz w:val="26"/>
          <w:szCs w:val="26"/>
        </w:rPr>
        <w:t xml:space="preserve">. at </w:t>
      </w:r>
      <w:r w:rsidR="008D4C78">
        <w:rPr>
          <w:sz w:val="26"/>
          <w:szCs w:val="26"/>
        </w:rPr>
        <w:t>49</w:t>
      </w:r>
      <w:r>
        <w:rPr>
          <w:sz w:val="26"/>
          <w:szCs w:val="26"/>
        </w:rPr>
        <w:t>-</w:t>
      </w:r>
      <w:r w:rsidR="008D4C78">
        <w:rPr>
          <w:sz w:val="26"/>
          <w:szCs w:val="26"/>
        </w:rPr>
        <w:t>50</w:t>
      </w:r>
      <w:r>
        <w:rPr>
          <w:sz w:val="26"/>
          <w:szCs w:val="26"/>
        </w:rPr>
        <w:t>.</w:t>
      </w:r>
    </w:p>
    <w:p w14:paraId="0E60B042" w14:textId="77DE4D6D" w:rsidR="00373CD4" w:rsidRDefault="00373CD4" w:rsidP="007374FA">
      <w:pPr>
        <w:widowControl/>
        <w:tabs>
          <w:tab w:val="left" w:pos="1445"/>
          <w:tab w:val="left" w:pos="7920"/>
        </w:tabs>
        <w:autoSpaceDE w:val="0"/>
        <w:autoSpaceDN w:val="0"/>
        <w:adjustRightInd w:val="0"/>
        <w:spacing w:line="360" w:lineRule="auto"/>
        <w:ind w:firstLine="1440"/>
        <w:rPr>
          <w:sz w:val="26"/>
          <w:szCs w:val="26"/>
        </w:rPr>
      </w:pPr>
    </w:p>
    <w:p w14:paraId="2E569684" w14:textId="77777777" w:rsidR="00257D64" w:rsidRPr="002042D2" w:rsidRDefault="00257D64" w:rsidP="007374FA">
      <w:pPr>
        <w:pStyle w:val="Heading2"/>
      </w:pPr>
      <w:bookmarkStart w:id="19" w:name="_Toc524442349"/>
      <w:r>
        <w:t>Disposition</w:t>
      </w:r>
      <w:bookmarkEnd w:id="19"/>
    </w:p>
    <w:p w14:paraId="4AD904D1" w14:textId="77777777" w:rsidR="00373CD4" w:rsidRDefault="00373CD4" w:rsidP="007374FA">
      <w:pPr>
        <w:widowControl/>
        <w:tabs>
          <w:tab w:val="left" w:pos="1445"/>
          <w:tab w:val="left" w:pos="7920"/>
        </w:tabs>
        <w:autoSpaceDE w:val="0"/>
        <w:autoSpaceDN w:val="0"/>
        <w:adjustRightInd w:val="0"/>
        <w:spacing w:line="360" w:lineRule="auto"/>
        <w:rPr>
          <w:sz w:val="26"/>
          <w:szCs w:val="26"/>
        </w:rPr>
      </w:pPr>
    </w:p>
    <w:p w14:paraId="029AAEFB" w14:textId="79AF9F49" w:rsidR="00081A7F" w:rsidRPr="00081A7F" w:rsidRDefault="00081A7F" w:rsidP="007374FA">
      <w:pPr>
        <w:widowControl/>
        <w:spacing w:line="360" w:lineRule="auto"/>
        <w:ind w:firstLine="1440"/>
        <w:contextualSpacing/>
        <w:rPr>
          <w:sz w:val="26"/>
          <w:szCs w:val="24"/>
        </w:rPr>
      </w:pPr>
      <w:proofErr w:type="gramStart"/>
      <w:r w:rsidRPr="00081A7F">
        <w:rPr>
          <w:sz w:val="26"/>
          <w:szCs w:val="24"/>
        </w:rPr>
        <w:t xml:space="preserve">The </w:t>
      </w:r>
      <w:r w:rsidR="00FA6974">
        <w:rPr>
          <w:sz w:val="26"/>
          <w:szCs w:val="24"/>
        </w:rPr>
        <w:t>majority of</w:t>
      </w:r>
      <w:proofErr w:type="gramEnd"/>
      <w:r w:rsidR="00FA6974">
        <w:rPr>
          <w:sz w:val="26"/>
          <w:szCs w:val="24"/>
        </w:rPr>
        <w:t xml:space="preserve"> the issues in the</w:t>
      </w:r>
      <w:r w:rsidR="008E2589">
        <w:rPr>
          <w:sz w:val="26"/>
          <w:szCs w:val="24"/>
        </w:rPr>
        <w:t xml:space="preserve"> Partial Settlement</w:t>
      </w:r>
      <w:r w:rsidR="00FA6974">
        <w:rPr>
          <w:sz w:val="26"/>
          <w:szCs w:val="24"/>
        </w:rPr>
        <w:t xml:space="preserve"> were resolved</w:t>
      </w:r>
      <w:r w:rsidRPr="00081A7F">
        <w:rPr>
          <w:sz w:val="26"/>
          <w:szCs w:val="24"/>
        </w:rPr>
        <w:t xml:space="preserve"> in principle prior to the evidentiary hearing.  At the hearing, the Parties</w:t>
      </w:r>
      <w:r w:rsidR="00734951">
        <w:rPr>
          <w:sz w:val="26"/>
          <w:szCs w:val="24"/>
        </w:rPr>
        <w:t>’</w:t>
      </w:r>
      <w:r w:rsidRPr="00081A7F">
        <w:rPr>
          <w:sz w:val="26"/>
          <w:szCs w:val="24"/>
        </w:rPr>
        <w:t xml:space="preserve"> pre-served testimony and exhibits were admitted into the record and cross-examination was waived</w:t>
      </w:r>
      <w:r>
        <w:rPr>
          <w:sz w:val="26"/>
          <w:szCs w:val="24"/>
        </w:rPr>
        <w:t xml:space="preserve">, excluding those witnesses being called to address the remaining contested issue </w:t>
      </w:r>
      <w:r w:rsidR="00100044">
        <w:rPr>
          <w:sz w:val="26"/>
          <w:szCs w:val="24"/>
        </w:rPr>
        <w:t>regarding</w:t>
      </w:r>
      <w:r>
        <w:rPr>
          <w:sz w:val="26"/>
          <w:szCs w:val="24"/>
        </w:rPr>
        <w:t xml:space="preserve"> the producer retainage charge</w:t>
      </w:r>
      <w:r w:rsidRPr="00081A7F">
        <w:rPr>
          <w:sz w:val="26"/>
          <w:szCs w:val="24"/>
        </w:rPr>
        <w:t>.  The Partial Settlement was not signed by all the Parties, but also was unopposed by any Party.</w:t>
      </w:r>
    </w:p>
    <w:p w14:paraId="033779A0" w14:textId="77777777" w:rsidR="00257D64" w:rsidRDefault="00257D64" w:rsidP="007374FA">
      <w:pPr>
        <w:widowControl/>
        <w:tabs>
          <w:tab w:val="left" w:pos="1445"/>
          <w:tab w:val="left" w:pos="7920"/>
        </w:tabs>
        <w:autoSpaceDE w:val="0"/>
        <w:autoSpaceDN w:val="0"/>
        <w:adjustRightInd w:val="0"/>
        <w:spacing w:line="360" w:lineRule="auto"/>
        <w:ind w:firstLine="1440"/>
        <w:rPr>
          <w:sz w:val="26"/>
          <w:szCs w:val="26"/>
        </w:rPr>
      </w:pPr>
    </w:p>
    <w:p w14:paraId="0241A993" w14:textId="77777777" w:rsidR="00EB5478" w:rsidRDefault="00B67E27" w:rsidP="007374FA">
      <w:pPr>
        <w:widowControl/>
        <w:tabs>
          <w:tab w:val="left" w:pos="1445"/>
          <w:tab w:val="left" w:pos="7920"/>
        </w:tabs>
        <w:autoSpaceDE w:val="0"/>
        <w:autoSpaceDN w:val="0"/>
        <w:adjustRightInd w:val="0"/>
        <w:spacing w:line="360" w:lineRule="auto"/>
        <w:ind w:firstLine="1440"/>
        <w:rPr>
          <w:sz w:val="26"/>
          <w:szCs w:val="26"/>
        </w:rPr>
      </w:pPr>
      <w:r>
        <w:rPr>
          <w:sz w:val="26"/>
          <w:szCs w:val="26"/>
        </w:rPr>
        <w:t xml:space="preserve">As </w:t>
      </w:r>
      <w:r w:rsidR="00EB5478" w:rsidRPr="00EB5478">
        <w:rPr>
          <w:sz w:val="26"/>
          <w:szCs w:val="26"/>
        </w:rPr>
        <w:t>note</w:t>
      </w:r>
      <w:r>
        <w:rPr>
          <w:sz w:val="26"/>
          <w:szCs w:val="26"/>
        </w:rPr>
        <w:t>d,</w:t>
      </w:r>
      <w:r w:rsidR="00EB5478" w:rsidRPr="00EB5478">
        <w:rPr>
          <w:sz w:val="26"/>
          <w:szCs w:val="26"/>
        </w:rPr>
        <w:t xml:space="preserve"> the areas of concern r</w:t>
      </w:r>
      <w:r>
        <w:rPr>
          <w:sz w:val="26"/>
          <w:szCs w:val="26"/>
        </w:rPr>
        <w:t>aised by the Parties</w:t>
      </w:r>
      <w:r w:rsidR="00EB5478" w:rsidRPr="00EB5478">
        <w:rPr>
          <w:sz w:val="26"/>
          <w:szCs w:val="26"/>
        </w:rPr>
        <w:t xml:space="preserve"> were extensively addressed in pre-served testimony that was admitted into the record of this proceeding.  Therefore, we find that the Joint Petition is supported by substantial evidence.</w:t>
      </w:r>
    </w:p>
    <w:p w14:paraId="2C132A97" w14:textId="77777777" w:rsidR="00B67E27" w:rsidRDefault="00B67E27" w:rsidP="007374FA">
      <w:pPr>
        <w:widowControl/>
        <w:tabs>
          <w:tab w:val="left" w:pos="1445"/>
          <w:tab w:val="left" w:pos="7920"/>
        </w:tabs>
        <w:autoSpaceDE w:val="0"/>
        <w:autoSpaceDN w:val="0"/>
        <w:adjustRightInd w:val="0"/>
        <w:spacing w:line="360" w:lineRule="auto"/>
        <w:ind w:firstLine="1440"/>
        <w:rPr>
          <w:sz w:val="26"/>
          <w:szCs w:val="26"/>
        </w:rPr>
      </w:pPr>
    </w:p>
    <w:p w14:paraId="7655ABED" w14:textId="77777777" w:rsidR="00B67E27" w:rsidRPr="00B67E27" w:rsidRDefault="00B67E27" w:rsidP="007374FA">
      <w:pPr>
        <w:widowControl/>
        <w:spacing w:line="360" w:lineRule="auto"/>
        <w:ind w:firstLine="1440"/>
        <w:rPr>
          <w:rFonts w:eastAsiaTheme="minorHAnsi"/>
          <w:sz w:val="26"/>
          <w:szCs w:val="24"/>
        </w:rPr>
      </w:pPr>
      <w:r w:rsidRPr="00B67E27">
        <w:rPr>
          <w:sz w:val="26"/>
          <w:szCs w:val="24"/>
        </w:rPr>
        <w:t xml:space="preserve">As discussed, </w:t>
      </w:r>
      <w:r w:rsidRPr="00B67E27">
        <w:rPr>
          <w:i/>
          <w:sz w:val="26"/>
          <w:szCs w:val="24"/>
        </w:rPr>
        <w:t>supra,</w:t>
      </w:r>
      <w:r w:rsidRPr="00B67E27">
        <w:rPr>
          <w:sz w:val="26"/>
          <w:szCs w:val="24"/>
        </w:rPr>
        <w:t xml:space="preserve"> the benchmark for determining the acceptability of a settlement or partial settlement is whether the proposed terms and conditions are in the public interest.  </w:t>
      </w:r>
      <w:r w:rsidRPr="00B67E27">
        <w:rPr>
          <w:rFonts w:eastAsiaTheme="minorHAnsi"/>
          <w:sz w:val="26"/>
          <w:szCs w:val="24"/>
        </w:rPr>
        <w:t>Specifically, the proposed terms o</w:t>
      </w:r>
      <w:r w:rsidR="001F3C93">
        <w:rPr>
          <w:rFonts w:eastAsiaTheme="minorHAnsi"/>
          <w:sz w:val="26"/>
          <w:szCs w:val="24"/>
        </w:rPr>
        <w:t>f the Joint Petition ensure</w:t>
      </w:r>
      <w:r w:rsidRPr="00B67E27">
        <w:rPr>
          <w:rFonts w:eastAsiaTheme="minorHAnsi"/>
          <w:sz w:val="26"/>
          <w:szCs w:val="24"/>
        </w:rPr>
        <w:t xml:space="preserve">, </w:t>
      </w:r>
      <w:r w:rsidRPr="00B67E27">
        <w:rPr>
          <w:rFonts w:eastAsiaTheme="minorHAnsi"/>
          <w:i/>
          <w:sz w:val="26"/>
          <w:szCs w:val="24"/>
        </w:rPr>
        <w:t>inter alia</w:t>
      </w:r>
      <w:r w:rsidRPr="00B67E27">
        <w:rPr>
          <w:rFonts w:eastAsiaTheme="minorHAnsi"/>
          <w:sz w:val="26"/>
          <w:szCs w:val="24"/>
        </w:rPr>
        <w:t xml:space="preserve">: </w:t>
      </w:r>
    </w:p>
    <w:p w14:paraId="4FB1884A" w14:textId="77777777" w:rsidR="00B67E27" w:rsidRPr="00B67E27" w:rsidRDefault="00B67E27" w:rsidP="007374FA">
      <w:pPr>
        <w:widowControl/>
        <w:ind w:firstLine="1440"/>
        <w:rPr>
          <w:rFonts w:eastAsiaTheme="minorHAnsi"/>
          <w:sz w:val="26"/>
          <w:szCs w:val="24"/>
        </w:rPr>
      </w:pPr>
    </w:p>
    <w:p w14:paraId="68C65160" w14:textId="52602D5F" w:rsidR="00F24857" w:rsidRDefault="001F3C93" w:rsidP="007374FA">
      <w:pPr>
        <w:widowControl/>
        <w:numPr>
          <w:ilvl w:val="0"/>
          <w:numId w:val="5"/>
        </w:numPr>
        <w:spacing w:after="120"/>
        <w:ind w:left="1440" w:hanging="720"/>
        <w:rPr>
          <w:rFonts w:eastAsiaTheme="minorHAnsi"/>
          <w:sz w:val="26"/>
          <w:szCs w:val="24"/>
        </w:rPr>
      </w:pPr>
      <w:r>
        <w:rPr>
          <w:rFonts w:eastAsiaTheme="minorHAnsi"/>
          <w:sz w:val="26"/>
          <w:szCs w:val="24"/>
        </w:rPr>
        <w:t>the ongoing safe operations of all Peoples</w:t>
      </w:r>
      <w:r w:rsidR="00734951">
        <w:rPr>
          <w:rFonts w:eastAsiaTheme="minorHAnsi"/>
          <w:sz w:val="26"/>
          <w:szCs w:val="24"/>
        </w:rPr>
        <w:t>’</w:t>
      </w:r>
      <w:r>
        <w:rPr>
          <w:rFonts w:eastAsiaTheme="minorHAnsi"/>
          <w:sz w:val="26"/>
          <w:szCs w:val="24"/>
        </w:rPr>
        <w:t xml:space="preserve"> gathering facilities by</w:t>
      </w:r>
      <w:r w:rsidR="00CF7154">
        <w:rPr>
          <w:rFonts w:eastAsiaTheme="minorHAnsi"/>
          <w:sz w:val="26"/>
          <w:szCs w:val="24"/>
        </w:rPr>
        <w:t>:</w:t>
      </w:r>
    </w:p>
    <w:p w14:paraId="1B2CCF8E" w14:textId="77777777" w:rsidR="001F3C93" w:rsidRDefault="001F3C93" w:rsidP="007374FA">
      <w:pPr>
        <w:widowControl/>
        <w:numPr>
          <w:ilvl w:val="1"/>
          <w:numId w:val="5"/>
        </w:numPr>
        <w:spacing w:after="120"/>
        <w:ind w:left="1800"/>
        <w:rPr>
          <w:rFonts w:eastAsiaTheme="minorHAnsi"/>
          <w:sz w:val="26"/>
          <w:szCs w:val="24"/>
        </w:rPr>
      </w:pPr>
      <w:r>
        <w:rPr>
          <w:rFonts w:eastAsiaTheme="minorHAnsi"/>
          <w:sz w:val="26"/>
          <w:szCs w:val="24"/>
        </w:rPr>
        <w:t>creating measurable standards for UFG on Peoples gathering system, designed to further reduce UFG;</w:t>
      </w:r>
    </w:p>
    <w:p w14:paraId="212341D8" w14:textId="5E53A27A" w:rsidR="001F3C93" w:rsidRDefault="001F3C93" w:rsidP="007374FA">
      <w:pPr>
        <w:widowControl/>
        <w:numPr>
          <w:ilvl w:val="1"/>
          <w:numId w:val="5"/>
        </w:numPr>
        <w:spacing w:after="120"/>
        <w:ind w:left="1800"/>
        <w:rPr>
          <w:rFonts w:eastAsiaTheme="minorHAnsi"/>
          <w:sz w:val="26"/>
          <w:szCs w:val="24"/>
        </w:rPr>
      </w:pPr>
      <w:r>
        <w:rPr>
          <w:rFonts w:eastAsiaTheme="minorHAnsi"/>
          <w:sz w:val="26"/>
          <w:szCs w:val="24"/>
        </w:rPr>
        <w:t>aggressive</w:t>
      </w:r>
      <w:r w:rsidR="00CF7154">
        <w:rPr>
          <w:rFonts w:eastAsiaTheme="minorHAnsi"/>
          <w:sz w:val="26"/>
          <w:szCs w:val="24"/>
        </w:rPr>
        <w:t>ly</w:t>
      </w:r>
      <w:r>
        <w:rPr>
          <w:rFonts w:eastAsiaTheme="minorHAnsi"/>
          <w:sz w:val="26"/>
          <w:szCs w:val="24"/>
        </w:rPr>
        <w:t xml:space="preserve"> </w:t>
      </w:r>
      <w:r w:rsidR="00CF7154">
        <w:rPr>
          <w:rFonts w:eastAsiaTheme="minorHAnsi"/>
          <w:sz w:val="26"/>
          <w:szCs w:val="24"/>
        </w:rPr>
        <w:t>implementing</w:t>
      </w:r>
      <w:r>
        <w:rPr>
          <w:rFonts w:eastAsiaTheme="minorHAnsi"/>
          <w:sz w:val="26"/>
          <w:szCs w:val="24"/>
        </w:rPr>
        <w:t xml:space="preserve"> the Company</w:t>
      </w:r>
      <w:r w:rsidR="00734951">
        <w:rPr>
          <w:rFonts w:eastAsiaTheme="minorHAnsi"/>
          <w:sz w:val="26"/>
          <w:szCs w:val="24"/>
        </w:rPr>
        <w:t>’</w:t>
      </w:r>
      <w:r>
        <w:rPr>
          <w:rFonts w:eastAsiaTheme="minorHAnsi"/>
          <w:sz w:val="26"/>
          <w:szCs w:val="24"/>
        </w:rPr>
        <w:t>s UFG Mitigation Plan, designed to find solutions to redu</w:t>
      </w:r>
      <w:r w:rsidR="00CF7154">
        <w:rPr>
          <w:rFonts w:eastAsiaTheme="minorHAnsi"/>
          <w:sz w:val="26"/>
          <w:szCs w:val="24"/>
        </w:rPr>
        <w:t>cing UFG on the Company</w:t>
      </w:r>
      <w:r w:rsidR="00734951">
        <w:rPr>
          <w:rFonts w:eastAsiaTheme="minorHAnsi"/>
          <w:sz w:val="26"/>
          <w:szCs w:val="24"/>
        </w:rPr>
        <w:t>’</w:t>
      </w:r>
      <w:r w:rsidR="00CF7154">
        <w:rPr>
          <w:rFonts w:eastAsiaTheme="minorHAnsi"/>
          <w:sz w:val="26"/>
          <w:szCs w:val="24"/>
        </w:rPr>
        <w:t xml:space="preserve">s gathering system; and </w:t>
      </w:r>
    </w:p>
    <w:p w14:paraId="60A1CB57" w14:textId="42648F0A" w:rsidR="00CF7154" w:rsidRDefault="00FA6974" w:rsidP="007374FA">
      <w:pPr>
        <w:widowControl/>
        <w:numPr>
          <w:ilvl w:val="1"/>
          <w:numId w:val="5"/>
        </w:numPr>
        <w:spacing w:after="120"/>
        <w:ind w:left="1800"/>
        <w:rPr>
          <w:rFonts w:eastAsiaTheme="minorHAnsi"/>
          <w:sz w:val="26"/>
          <w:szCs w:val="24"/>
        </w:rPr>
      </w:pPr>
      <w:r>
        <w:rPr>
          <w:rFonts w:eastAsiaTheme="minorHAnsi"/>
          <w:sz w:val="26"/>
          <w:szCs w:val="24"/>
        </w:rPr>
        <w:t xml:space="preserve">continuing </w:t>
      </w:r>
      <w:r w:rsidR="00CF7154">
        <w:rPr>
          <w:rFonts w:eastAsiaTheme="minorHAnsi"/>
          <w:sz w:val="26"/>
          <w:szCs w:val="24"/>
        </w:rPr>
        <w:t>the Company</w:t>
      </w:r>
      <w:r w:rsidR="00734951">
        <w:rPr>
          <w:rFonts w:eastAsiaTheme="minorHAnsi"/>
          <w:sz w:val="26"/>
          <w:szCs w:val="24"/>
        </w:rPr>
        <w:t>’</w:t>
      </w:r>
      <w:r w:rsidR="00CF7154">
        <w:rPr>
          <w:rFonts w:eastAsiaTheme="minorHAnsi"/>
          <w:sz w:val="26"/>
          <w:szCs w:val="24"/>
        </w:rPr>
        <w:t>s practice of treating all non-jurisdictional (DOT) gathering lines as part of its normal distribution compliance program.</w:t>
      </w:r>
    </w:p>
    <w:p w14:paraId="3A02BA92" w14:textId="7B99B8A0" w:rsidR="00DD720C" w:rsidRDefault="00DD720C" w:rsidP="007374FA">
      <w:pPr>
        <w:widowControl/>
        <w:spacing w:after="120"/>
        <w:ind w:left="1800"/>
        <w:rPr>
          <w:rFonts w:eastAsiaTheme="minorHAnsi"/>
          <w:sz w:val="26"/>
          <w:szCs w:val="24"/>
        </w:rPr>
      </w:pPr>
    </w:p>
    <w:p w14:paraId="15BC5772" w14:textId="1EBC7F05" w:rsidR="00DD720C" w:rsidRPr="00DD720C" w:rsidRDefault="009E7C04" w:rsidP="007374FA">
      <w:pPr>
        <w:widowControl/>
        <w:numPr>
          <w:ilvl w:val="0"/>
          <w:numId w:val="5"/>
        </w:numPr>
        <w:spacing w:after="120"/>
        <w:ind w:left="1440" w:hanging="720"/>
        <w:rPr>
          <w:rFonts w:eastAsiaTheme="minorHAnsi"/>
          <w:sz w:val="26"/>
          <w:szCs w:val="24"/>
        </w:rPr>
      </w:pPr>
      <w:r w:rsidRPr="00DD720C">
        <w:rPr>
          <w:rFonts w:eastAsiaTheme="minorHAnsi"/>
          <w:sz w:val="26"/>
          <w:szCs w:val="24"/>
        </w:rPr>
        <w:lastRenderedPageBreak/>
        <w:t>a reasonable compromise</w:t>
      </w:r>
      <w:r w:rsidR="00273C41" w:rsidRPr="00DD720C">
        <w:rPr>
          <w:rFonts w:eastAsiaTheme="minorHAnsi"/>
          <w:sz w:val="26"/>
          <w:szCs w:val="24"/>
        </w:rPr>
        <w:t xml:space="preserve"> </w:t>
      </w:r>
      <w:r w:rsidR="005D5FB0" w:rsidRPr="00DD720C">
        <w:rPr>
          <w:rFonts w:eastAsiaTheme="minorHAnsi"/>
          <w:sz w:val="26"/>
          <w:szCs w:val="24"/>
        </w:rPr>
        <w:t xml:space="preserve">regarding </w:t>
      </w:r>
      <w:r w:rsidR="00807FA3" w:rsidRPr="00DD720C">
        <w:rPr>
          <w:bCs/>
          <w:sz w:val="26"/>
          <w:szCs w:val="26"/>
        </w:rPr>
        <w:t>Peoples</w:t>
      </w:r>
      <w:r w:rsidR="00734951">
        <w:rPr>
          <w:bCs/>
          <w:sz w:val="26"/>
          <w:szCs w:val="26"/>
        </w:rPr>
        <w:t>’</w:t>
      </w:r>
      <w:r w:rsidR="00807FA3" w:rsidRPr="00DD720C">
        <w:rPr>
          <w:bCs/>
          <w:sz w:val="26"/>
          <w:szCs w:val="26"/>
        </w:rPr>
        <w:t xml:space="preserve"> </w:t>
      </w:r>
      <w:r w:rsidR="00DD720C" w:rsidRPr="00DD720C">
        <w:rPr>
          <w:bCs/>
          <w:sz w:val="26"/>
          <w:szCs w:val="26"/>
        </w:rPr>
        <w:t xml:space="preserve">requests </w:t>
      </w:r>
      <w:r w:rsidR="00807FA3" w:rsidRPr="00DD720C">
        <w:rPr>
          <w:bCs/>
          <w:sz w:val="26"/>
          <w:szCs w:val="26"/>
        </w:rPr>
        <w:t xml:space="preserve">to </w:t>
      </w:r>
      <w:r w:rsidR="00DD720C" w:rsidRPr="00DD720C">
        <w:rPr>
          <w:bCs/>
          <w:sz w:val="26"/>
          <w:szCs w:val="26"/>
        </w:rPr>
        <w:t>indefinitely extend the current mechanism for sharing proceeds from its off-system sales and capacity release revenues (75% to customers and 25% to Company)</w:t>
      </w:r>
      <w:r w:rsidR="00DD720C">
        <w:rPr>
          <w:bCs/>
          <w:sz w:val="26"/>
          <w:szCs w:val="26"/>
        </w:rPr>
        <w:t>, but, nonetheless,</w:t>
      </w:r>
      <w:r w:rsidR="00DD720C" w:rsidRPr="00DD720C">
        <w:rPr>
          <w:bCs/>
          <w:sz w:val="26"/>
          <w:szCs w:val="26"/>
        </w:rPr>
        <w:t xml:space="preserve"> allowing Peoples to </w:t>
      </w:r>
      <w:r w:rsidR="00DD720C" w:rsidRPr="00DD720C">
        <w:rPr>
          <w:sz w:val="26"/>
          <w:szCs w:val="26"/>
        </w:rPr>
        <w:t xml:space="preserve">retain the ultimate burden of proof if the sharing is challenged in a future proceeding. </w:t>
      </w:r>
    </w:p>
    <w:p w14:paraId="7573732C" w14:textId="77777777" w:rsidR="00B67E27" w:rsidRDefault="00B67E27" w:rsidP="007374FA">
      <w:pPr>
        <w:widowControl/>
        <w:tabs>
          <w:tab w:val="left" w:pos="1445"/>
          <w:tab w:val="left" w:pos="7920"/>
        </w:tabs>
        <w:autoSpaceDE w:val="0"/>
        <w:autoSpaceDN w:val="0"/>
        <w:adjustRightInd w:val="0"/>
        <w:ind w:firstLine="1440"/>
        <w:rPr>
          <w:sz w:val="26"/>
          <w:szCs w:val="26"/>
        </w:rPr>
      </w:pPr>
    </w:p>
    <w:p w14:paraId="6916591E" w14:textId="77777777" w:rsidR="00807FA3" w:rsidRPr="00807FA3" w:rsidRDefault="00807FA3" w:rsidP="007374FA">
      <w:pPr>
        <w:widowControl/>
        <w:numPr>
          <w:ilvl w:val="0"/>
          <w:numId w:val="5"/>
        </w:numPr>
        <w:spacing w:after="120"/>
        <w:ind w:left="1440" w:hanging="720"/>
        <w:rPr>
          <w:rFonts w:eastAsiaTheme="minorHAnsi"/>
          <w:sz w:val="26"/>
          <w:szCs w:val="24"/>
        </w:rPr>
      </w:pPr>
      <w:r w:rsidRPr="00807FA3">
        <w:rPr>
          <w:rFonts w:eastAsiaTheme="minorHAnsi"/>
          <w:sz w:val="26"/>
          <w:szCs w:val="24"/>
        </w:rPr>
        <w:t xml:space="preserve">a reasonable compromise for </w:t>
      </w:r>
      <w:r w:rsidRPr="00807FA3">
        <w:rPr>
          <w:bCs/>
          <w:sz w:val="26"/>
          <w:szCs w:val="26"/>
        </w:rPr>
        <w:t>Peoples to retain its current method of recovering AVC capacity costs rather than combining all capacity costs into a single charge a</w:t>
      </w:r>
      <w:r w:rsidRPr="00807FA3">
        <w:rPr>
          <w:rFonts w:eastAsiaTheme="minorHAnsi"/>
          <w:sz w:val="26"/>
          <w:szCs w:val="24"/>
        </w:rPr>
        <w:t>nd preserving the right of the Parties to revisit the issue in future PGC proceedings</w:t>
      </w:r>
      <w:r w:rsidR="00DD720C">
        <w:rPr>
          <w:rFonts w:eastAsiaTheme="minorHAnsi"/>
          <w:sz w:val="26"/>
          <w:szCs w:val="24"/>
        </w:rPr>
        <w:t>.</w:t>
      </w:r>
    </w:p>
    <w:p w14:paraId="1965B0BD" w14:textId="77777777" w:rsidR="00807FA3" w:rsidRDefault="00807FA3" w:rsidP="007374FA">
      <w:pPr>
        <w:widowControl/>
        <w:tabs>
          <w:tab w:val="left" w:pos="1445"/>
          <w:tab w:val="left" w:pos="7920"/>
        </w:tabs>
        <w:autoSpaceDE w:val="0"/>
        <w:autoSpaceDN w:val="0"/>
        <w:adjustRightInd w:val="0"/>
        <w:ind w:firstLine="1440"/>
        <w:rPr>
          <w:sz w:val="26"/>
          <w:szCs w:val="26"/>
        </w:rPr>
      </w:pPr>
    </w:p>
    <w:p w14:paraId="6D39F828" w14:textId="77777777" w:rsidR="0023471E" w:rsidRPr="0023471E" w:rsidRDefault="0023471E" w:rsidP="007374FA">
      <w:pPr>
        <w:widowControl/>
        <w:spacing w:line="360" w:lineRule="auto"/>
        <w:rPr>
          <w:rFonts w:eastAsiaTheme="minorHAnsi"/>
          <w:sz w:val="26"/>
          <w:szCs w:val="24"/>
        </w:rPr>
      </w:pPr>
      <w:r w:rsidRPr="0023471E">
        <w:rPr>
          <w:rFonts w:eastAsiaTheme="minorHAnsi"/>
          <w:sz w:val="26"/>
          <w:szCs w:val="24"/>
        </w:rPr>
        <w:t xml:space="preserve">Accordingly, we concur with the ALJ and the Joint Petitioners that each of the provisions of the Joint Petition are reasonable and we shall adopt the Joint Petition in its entirety, without modification, as being in the public interest and consistent with applicable statutes governing Section 1307(f) filings.  </w:t>
      </w:r>
    </w:p>
    <w:p w14:paraId="63F20AE5" w14:textId="77777777" w:rsidR="00EB5478" w:rsidRDefault="00EB5478" w:rsidP="007374FA">
      <w:pPr>
        <w:widowControl/>
        <w:tabs>
          <w:tab w:val="left" w:pos="1445"/>
          <w:tab w:val="left" w:pos="7920"/>
        </w:tabs>
        <w:autoSpaceDE w:val="0"/>
        <w:autoSpaceDN w:val="0"/>
        <w:adjustRightInd w:val="0"/>
        <w:spacing w:line="360" w:lineRule="auto"/>
        <w:ind w:firstLine="1440"/>
        <w:rPr>
          <w:sz w:val="26"/>
          <w:szCs w:val="26"/>
        </w:rPr>
      </w:pPr>
    </w:p>
    <w:p w14:paraId="5798D07A" w14:textId="77777777" w:rsidR="009B2E5B" w:rsidRPr="00032CDA" w:rsidRDefault="00DF2D10" w:rsidP="007374FA">
      <w:pPr>
        <w:widowControl/>
        <w:tabs>
          <w:tab w:val="left" w:pos="1445"/>
          <w:tab w:val="left" w:pos="7920"/>
        </w:tabs>
        <w:autoSpaceDE w:val="0"/>
        <w:autoSpaceDN w:val="0"/>
        <w:adjustRightInd w:val="0"/>
        <w:spacing w:line="360" w:lineRule="auto"/>
        <w:ind w:firstLine="1440"/>
        <w:rPr>
          <w:sz w:val="26"/>
          <w:szCs w:val="26"/>
        </w:rPr>
      </w:pPr>
      <w:r w:rsidRPr="00DF2D10">
        <w:rPr>
          <w:sz w:val="26"/>
          <w:szCs w:val="26"/>
        </w:rPr>
        <w:t xml:space="preserve">Additionally, as with most settlements, this settlement is also in the public interest because it will conserve the resources of the Commission and the Parties.  The resolution of the issues contained in the Joint Petition will avoid further litigation on those issues, thereby, serving judicial efficiency and allowing the Parties and the Commission to conserve their resources, the costs of which will ultimately be borne by </w:t>
      </w:r>
      <w:r w:rsidRPr="00032CDA">
        <w:rPr>
          <w:sz w:val="26"/>
          <w:szCs w:val="26"/>
        </w:rPr>
        <w:t>ratepayers.</w:t>
      </w:r>
    </w:p>
    <w:p w14:paraId="1C82B7A2" w14:textId="77777777" w:rsidR="00032CDA" w:rsidRPr="00032CDA" w:rsidRDefault="00032CDA" w:rsidP="007374FA">
      <w:pPr>
        <w:widowControl/>
        <w:spacing w:line="360" w:lineRule="auto"/>
        <w:rPr>
          <w:sz w:val="26"/>
          <w:szCs w:val="26"/>
        </w:rPr>
      </w:pPr>
    </w:p>
    <w:p w14:paraId="5DCB7720" w14:textId="77777777" w:rsidR="00032CDA" w:rsidRPr="003D07BC" w:rsidRDefault="00032CDA" w:rsidP="007374FA">
      <w:pPr>
        <w:pStyle w:val="Heading1"/>
      </w:pPr>
      <w:bookmarkStart w:id="20" w:name="_Toc524442350"/>
      <w:r>
        <w:t>Contested Issue</w:t>
      </w:r>
      <w:bookmarkEnd w:id="20"/>
    </w:p>
    <w:p w14:paraId="61A5E615" w14:textId="77777777" w:rsidR="00A03ABC" w:rsidRPr="0096277D" w:rsidRDefault="00A03ABC" w:rsidP="007374FA">
      <w:pPr>
        <w:pStyle w:val="Heading2"/>
        <w:numPr>
          <w:ilvl w:val="0"/>
          <w:numId w:val="0"/>
        </w:numPr>
        <w:rPr>
          <w:szCs w:val="26"/>
        </w:rPr>
      </w:pPr>
    </w:p>
    <w:p w14:paraId="34789D34" w14:textId="07702F18" w:rsidR="00A03ABC" w:rsidRPr="002E5F97" w:rsidRDefault="00A03ABC" w:rsidP="007374FA">
      <w:pPr>
        <w:pStyle w:val="Heading2"/>
        <w:numPr>
          <w:ilvl w:val="0"/>
          <w:numId w:val="22"/>
        </w:numPr>
        <w:ind w:hanging="720"/>
        <w:rPr>
          <w:szCs w:val="26"/>
        </w:rPr>
      </w:pPr>
      <w:bookmarkStart w:id="21" w:name="_Toc524442351"/>
      <w:r w:rsidRPr="002E5F97">
        <w:rPr>
          <w:szCs w:val="26"/>
        </w:rPr>
        <w:t>Proposed Producer Retainage Charge</w:t>
      </w:r>
      <w:bookmarkEnd w:id="21"/>
    </w:p>
    <w:p w14:paraId="1233AB1C" w14:textId="77777777" w:rsidR="00A03ABC" w:rsidRPr="002E5F97" w:rsidRDefault="00A03ABC" w:rsidP="007374FA">
      <w:pPr>
        <w:widowControl/>
        <w:spacing w:line="360" w:lineRule="auto"/>
        <w:rPr>
          <w:sz w:val="26"/>
          <w:szCs w:val="26"/>
        </w:rPr>
      </w:pPr>
    </w:p>
    <w:p w14:paraId="63381521" w14:textId="77777777" w:rsidR="00E43C8D" w:rsidRPr="002E5F97" w:rsidRDefault="00E43C8D" w:rsidP="007374FA">
      <w:pPr>
        <w:pStyle w:val="Heading3"/>
        <w:rPr>
          <w:b w:val="0"/>
        </w:rPr>
      </w:pPr>
      <w:bookmarkStart w:id="22" w:name="_Toc524442352"/>
      <w:r w:rsidRPr="0096277D">
        <w:t>Background</w:t>
      </w:r>
      <w:bookmarkEnd w:id="22"/>
    </w:p>
    <w:p w14:paraId="798F8986" w14:textId="77777777" w:rsidR="00E43C8D" w:rsidRDefault="00E43C8D" w:rsidP="007374FA">
      <w:pPr>
        <w:pStyle w:val="ListParagraph"/>
        <w:keepNext/>
        <w:keepLines/>
        <w:widowControl/>
        <w:autoSpaceDE w:val="0"/>
        <w:autoSpaceDN w:val="0"/>
        <w:adjustRightInd w:val="0"/>
        <w:spacing w:line="360" w:lineRule="auto"/>
        <w:ind w:left="2160"/>
        <w:rPr>
          <w:b/>
          <w:sz w:val="26"/>
          <w:szCs w:val="26"/>
        </w:rPr>
      </w:pPr>
    </w:p>
    <w:p w14:paraId="129BC129" w14:textId="77777777" w:rsidR="0038539F" w:rsidRPr="0038539F" w:rsidRDefault="0038539F" w:rsidP="007374FA">
      <w:pPr>
        <w:widowControl/>
        <w:tabs>
          <w:tab w:val="left" w:pos="1445"/>
          <w:tab w:val="left" w:pos="7920"/>
        </w:tabs>
        <w:autoSpaceDE w:val="0"/>
        <w:autoSpaceDN w:val="0"/>
        <w:adjustRightInd w:val="0"/>
        <w:spacing w:line="360" w:lineRule="auto"/>
        <w:ind w:firstLine="1440"/>
        <w:rPr>
          <w:sz w:val="26"/>
          <w:szCs w:val="26"/>
        </w:rPr>
      </w:pPr>
      <w:r w:rsidRPr="0038539F">
        <w:rPr>
          <w:sz w:val="26"/>
          <w:szCs w:val="26"/>
        </w:rPr>
        <w:t xml:space="preserve">In his direct testimony, OCA witness Mr. Mierzwa explained that a portion of the gas delivered to customers is either UFG, storage losses or used in company operations.  He also explained that, for sales customers, these losses are recovered </w:t>
      </w:r>
      <w:r w:rsidRPr="0038539F">
        <w:rPr>
          <w:sz w:val="26"/>
          <w:szCs w:val="26"/>
        </w:rPr>
        <w:lastRenderedPageBreak/>
        <w:t>through PGC rates, and for transportation customers, these losses are typically recovered through a retainage charge.  OCA St. No. 1</w:t>
      </w:r>
      <w:r>
        <w:rPr>
          <w:sz w:val="26"/>
          <w:szCs w:val="26"/>
        </w:rPr>
        <w:t xml:space="preserve"> at 8</w:t>
      </w:r>
      <w:r w:rsidRPr="0038539F">
        <w:rPr>
          <w:sz w:val="26"/>
          <w:szCs w:val="26"/>
        </w:rPr>
        <w:t>.  The Company</w:t>
      </w:r>
      <w:r w:rsidR="002C56C1">
        <w:rPr>
          <w:sz w:val="26"/>
          <w:szCs w:val="26"/>
        </w:rPr>
        <w:t xml:space="preserve"> is proposing</w:t>
      </w:r>
      <w:r w:rsidR="009C643B">
        <w:rPr>
          <w:sz w:val="26"/>
          <w:szCs w:val="26"/>
        </w:rPr>
        <w:t xml:space="preserve"> a retainage rate of 6.6%</w:t>
      </w:r>
      <w:r w:rsidRPr="0038539F">
        <w:rPr>
          <w:sz w:val="26"/>
          <w:szCs w:val="26"/>
        </w:rPr>
        <w:t xml:space="preserve"> across all non-discounted transportation customer classes.</w:t>
      </w:r>
      <w:r w:rsidRPr="0038539F">
        <w:rPr>
          <w:sz w:val="26"/>
          <w:szCs w:val="26"/>
          <w:vertAlign w:val="superscript"/>
        </w:rPr>
        <w:footnoteReference w:id="10"/>
      </w:r>
      <w:r w:rsidR="00217262">
        <w:rPr>
          <w:sz w:val="26"/>
          <w:szCs w:val="26"/>
        </w:rPr>
        <w:t xml:space="preserve">  PNG Revised Exh. No. 5</w:t>
      </w:r>
      <w:r w:rsidRPr="0038539F">
        <w:rPr>
          <w:sz w:val="26"/>
          <w:szCs w:val="26"/>
        </w:rPr>
        <w:t xml:space="preserve">.  Those customers that have been granted a discounted retainage charge </w:t>
      </w:r>
      <w:r w:rsidR="002C56C1">
        <w:rPr>
          <w:sz w:val="26"/>
          <w:szCs w:val="26"/>
        </w:rPr>
        <w:t>will pay an average of 1.1</w:t>
      </w:r>
      <w:r w:rsidRPr="0038539F">
        <w:rPr>
          <w:sz w:val="26"/>
          <w:szCs w:val="26"/>
        </w:rPr>
        <w:t>%.  When combined, the discounted and non-discounted retainage charges result in an overall e</w:t>
      </w:r>
      <w:r w:rsidR="002C56C1">
        <w:rPr>
          <w:sz w:val="26"/>
          <w:szCs w:val="26"/>
        </w:rPr>
        <w:t>ffective re</w:t>
      </w:r>
      <w:r w:rsidR="002E56A9">
        <w:rPr>
          <w:sz w:val="26"/>
          <w:szCs w:val="26"/>
        </w:rPr>
        <w:t>tainage charge of 6.2%.  PNG</w:t>
      </w:r>
      <w:r w:rsidR="002C56C1">
        <w:rPr>
          <w:sz w:val="26"/>
          <w:szCs w:val="26"/>
        </w:rPr>
        <w:t xml:space="preserve"> Revised</w:t>
      </w:r>
      <w:r w:rsidRPr="0038539F">
        <w:rPr>
          <w:sz w:val="26"/>
          <w:szCs w:val="26"/>
        </w:rPr>
        <w:t xml:space="preserve"> Exh. No. 5.</w:t>
      </w:r>
    </w:p>
    <w:p w14:paraId="7C4DEF86" w14:textId="77777777" w:rsidR="0038539F" w:rsidRPr="0038539F" w:rsidRDefault="0038539F" w:rsidP="007374FA">
      <w:pPr>
        <w:widowControl/>
        <w:tabs>
          <w:tab w:val="left" w:pos="1445"/>
          <w:tab w:val="left" w:pos="7920"/>
        </w:tabs>
        <w:autoSpaceDE w:val="0"/>
        <w:autoSpaceDN w:val="0"/>
        <w:adjustRightInd w:val="0"/>
        <w:spacing w:line="360" w:lineRule="auto"/>
        <w:ind w:firstLine="1440"/>
        <w:rPr>
          <w:sz w:val="26"/>
          <w:szCs w:val="26"/>
        </w:rPr>
      </w:pPr>
    </w:p>
    <w:p w14:paraId="54EAD945" w14:textId="7C1E026C" w:rsidR="0038539F" w:rsidRPr="0038539F" w:rsidRDefault="0038539F" w:rsidP="007374FA">
      <w:pPr>
        <w:widowControl/>
        <w:tabs>
          <w:tab w:val="left" w:pos="1445"/>
          <w:tab w:val="left" w:pos="7920"/>
        </w:tabs>
        <w:autoSpaceDE w:val="0"/>
        <w:autoSpaceDN w:val="0"/>
        <w:adjustRightInd w:val="0"/>
        <w:spacing w:line="360" w:lineRule="auto"/>
        <w:ind w:firstLine="1440"/>
        <w:rPr>
          <w:sz w:val="26"/>
          <w:szCs w:val="26"/>
        </w:rPr>
      </w:pPr>
      <w:r w:rsidRPr="0038539F">
        <w:rPr>
          <w:sz w:val="26"/>
          <w:szCs w:val="26"/>
        </w:rPr>
        <w:t>In this proceeding</w:t>
      </w:r>
      <w:r w:rsidR="002C56C1">
        <w:rPr>
          <w:sz w:val="26"/>
          <w:szCs w:val="26"/>
        </w:rPr>
        <w:t>, Peoples</w:t>
      </w:r>
      <w:r w:rsidRPr="0038539F">
        <w:rPr>
          <w:sz w:val="26"/>
          <w:szCs w:val="26"/>
        </w:rPr>
        <w:t xml:space="preserve"> updated its calculation of U</w:t>
      </w:r>
      <w:r w:rsidR="002C56C1">
        <w:rPr>
          <w:sz w:val="26"/>
          <w:szCs w:val="26"/>
        </w:rPr>
        <w:t xml:space="preserve">FG and </w:t>
      </w:r>
      <w:r w:rsidR="00675548">
        <w:rPr>
          <w:sz w:val="26"/>
          <w:szCs w:val="26"/>
        </w:rPr>
        <w:t>Company Use (</w:t>
      </w:r>
      <w:r w:rsidR="002C56C1">
        <w:rPr>
          <w:sz w:val="26"/>
          <w:szCs w:val="26"/>
        </w:rPr>
        <w:t>CU</w:t>
      </w:r>
      <w:r w:rsidR="00675548">
        <w:rPr>
          <w:sz w:val="26"/>
          <w:szCs w:val="26"/>
        </w:rPr>
        <w:t xml:space="preserve">) </w:t>
      </w:r>
      <w:r w:rsidR="002C56C1">
        <w:rPr>
          <w:sz w:val="26"/>
          <w:szCs w:val="26"/>
        </w:rPr>
        <w:t>based upon a new tw</w:t>
      </w:r>
      <w:r w:rsidR="00FA6974">
        <w:rPr>
          <w:sz w:val="26"/>
          <w:szCs w:val="26"/>
        </w:rPr>
        <w:t>o</w:t>
      </w:r>
      <w:r w:rsidRPr="0038539F">
        <w:rPr>
          <w:sz w:val="26"/>
          <w:szCs w:val="26"/>
        </w:rPr>
        <w:t xml:space="preserve">-year average ended August 31, 2017, which is consistent with the recently filed UFG reports </w:t>
      </w:r>
      <w:r w:rsidR="002E56A9">
        <w:rPr>
          <w:sz w:val="26"/>
          <w:szCs w:val="26"/>
        </w:rPr>
        <w:t>to the Commission.  PNG</w:t>
      </w:r>
      <w:r w:rsidR="002C56C1">
        <w:rPr>
          <w:sz w:val="26"/>
          <w:szCs w:val="26"/>
        </w:rPr>
        <w:t xml:space="preserve"> Revised </w:t>
      </w:r>
      <w:r w:rsidRPr="0038539F">
        <w:rPr>
          <w:sz w:val="26"/>
          <w:szCs w:val="26"/>
        </w:rPr>
        <w:t>Exh. No. 5.</w:t>
      </w:r>
      <w:r w:rsidR="00321B05">
        <w:rPr>
          <w:sz w:val="26"/>
          <w:szCs w:val="26"/>
        </w:rPr>
        <w:t xml:space="preserve">  See TABLE 1. below.</w:t>
      </w:r>
    </w:p>
    <w:p w14:paraId="509E13FE" w14:textId="77777777" w:rsidR="0038539F" w:rsidRPr="0038539F" w:rsidRDefault="0038539F" w:rsidP="007374FA">
      <w:pPr>
        <w:widowControl/>
        <w:tabs>
          <w:tab w:val="left" w:pos="1445"/>
          <w:tab w:val="left" w:pos="7920"/>
        </w:tabs>
        <w:autoSpaceDE w:val="0"/>
        <w:autoSpaceDN w:val="0"/>
        <w:adjustRightInd w:val="0"/>
        <w:rPr>
          <w:sz w:val="26"/>
          <w:szCs w:val="26"/>
        </w:rPr>
      </w:pPr>
    </w:p>
    <w:p w14:paraId="5B71CEA3" w14:textId="77777777" w:rsidR="0038539F" w:rsidRPr="0038539F" w:rsidRDefault="0038539F" w:rsidP="007374FA">
      <w:pPr>
        <w:keepNext/>
        <w:keepLines/>
        <w:widowControl/>
        <w:pBdr>
          <w:bottom w:val="single" w:sz="4" w:space="1" w:color="auto"/>
        </w:pBdr>
        <w:tabs>
          <w:tab w:val="left" w:pos="1445"/>
          <w:tab w:val="left" w:pos="7920"/>
        </w:tabs>
        <w:autoSpaceDE w:val="0"/>
        <w:autoSpaceDN w:val="0"/>
        <w:adjustRightInd w:val="0"/>
        <w:jc w:val="center"/>
        <w:rPr>
          <w:b/>
          <w:sz w:val="26"/>
          <w:szCs w:val="26"/>
        </w:rPr>
      </w:pPr>
      <w:r w:rsidRPr="0038539F">
        <w:rPr>
          <w:b/>
          <w:sz w:val="26"/>
          <w:szCs w:val="26"/>
        </w:rPr>
        <w:t>TABLE 1</w:t>
      </w:r>
    </w:p>
    <w:p w14:paraId="38113B7A" w14:textId="77777777" w:rsidR="0038539F" w:rsidRPr="0038539F" w:rsidRDefault="006F7BF2" w:rsidP="007374FA">
      <w:pPr>
        <w:keepNext/>
        <w:keepLines/>
        <w:widowControl/>
        <w:tabs>
          <w:tab w:val="left" w:pos="1445"/>
          <w:tab w:val="left" w:pos="7920"/>
        </w:tabs>
        <w:autoSpaceDE w:val="0"/>
        <w:autoSpaceDN w:val="0"/>
        <w:adjustRightInd w:val="0"/>
        <w:spacing w:line="360" w:lineRule="auto"/>
        <w:rPr>
          <w:sz w:val="26"/>
          <w:szCs w:val="26"/>
        </w:rPr>
      </w:pPr>
      <w:r w:rsidRPr="006F7BF2">
        <w:rPr>
          <w:noProof/>
        </w:rPr>
        <w:drawing>
          <wp:inline distT="0" distB="0" distL="0" distR="0" wp14:anchorId="7343EAEA" wp14:editId="0F9808F3">
            <wp:extent cx="5943600" cy="1664851"/>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943600" cy="1664851"/>
                    </a:xfrm>
                    <a:prstGeom prst="rect">
                      <a:avLst/>
                    </a:prstGeom>
                    <a:noFill/>
                    <a:ln>
                      <a:noFill/>
                    </a:ln>
                  </pic:spPr>
                </pic:pic>
              </a:graphicData>
            </a:graphic>
          </wp:inline>
        </w:drawing>
      </w:r>
    </w:p>
    <w:p w14:paraId="60ADD032" w14:textId="77777777" w:rsidR="00244E09" w:rsidRPr="0038539F" w:rsidRDefault="00244E09" w:rsidP="007374FA">
      <w:pPr>
        <w:pStyle w:val="ListParagraph"/>
        <w:widowControl/>
        <w:autoSpaceDE w:val="0"/>
        <w:autoSpaceDN w:val="0"/>
        <w:adjustRightInd w:val="0"/>
        <w:spacing w:line="360" w:lineRule="auto"/>
        <w:ind w:left="2160"/>
        <w:rPr>
          <w:b/>
          <w:sz w:val="26"/>
          <w:szCs w:val="26"/>
        </w:rPr>
      </w:pPr>
    </w:p>
    <w:p w14:paraId="54D5A279" w14:textId="0672EEC9" w:rsidR="00C004FE" w:rsidRDefault="00900285" w:rsidP="007374FA">
      <w:pPr>
        <w:widowControl/>
        <w:autoSpaceDE w:val="0"/>
        <w:autoSpaceDN w:val="0"/>
        <w:adjustRightInd w:val="0"/>
        <w:spacing w:line="360" w:lineRule="auto"/>
        <w:ind w:firstLine="1440"/>
        <w:contextualSpacing/>
        <w:rPr>
          <w:sz w:val="26"/>
          <w:szCs w:val="26"/>
        </w:rPr>
      </w:pPr>
      <w:r w:rsidRPr="00A03ABC">
        <w:rPr>
          <w:sz w:val="26"/>
          <w:szCs w:val="26"/>
        </w:rPr>
        <w:t xml:space="preserve">Peoples </w:t>
      </w:r>
      <w:r>
        <w:rPr>
          <w:sz w:val="26"/>
          <w:szCs w:val="26"/>
        </w:rPr>
        <w:t xml:space="preserve">has been working on reducing its UFG since 2011.  According to Peoples, for the 2017 UFG reporting period, the loss rate of the gathering system was 10.16%.  PNG St. 1 at 9-10.  Therefore, in its effort to reduce gathering system UFG, Peoples </w:t>
      </w:r>
      <w:r w:rsidR="007D50A6">
        <w:rPr>
          <w:sz w:val="26"/>
          <w:szCs w:val="26"/>
        </w:rPr>
        <w:t xml:space="preserve">is proposing in this proceeding </w:t>
      </w:r>
      <w:r>
        <w:rPr>
          <w:sz w:val="26"/>
          <w:szCs w:val="26"/>
        </w:rPr>
        <w:t>to charge conventional gas producers (producers) a retainage rate of 2.0% (</w:t>
      </w:r>
      <w:r w:rsidR="00285A47">
        <w:rPr>
          <w:sz w:val="26"/>
          <w:szCs w:val="26"/>
        </w:rPr>
        <w:t xml:space="preserve">proposed </w:t>
      </w:r>
      <w:r>
        <w:rPr>
          <w:sz w:val="26"/>
          <w:szCs w:val="26"/>
        </w:rPr>
        <w:t>producer charge) for gas delivered into the Company</w:t>
      </w:r>
      <w:r w:rsidR="00734951">
        <w:rPr>
          <w:sz w:val="26"/>
          <w:szCs w:val="26"/>
        </w:rPr>
        <w:t>’</w:t>
      </w:r>
      <w:r>
        <w:rPr>
          <w:sz w:val="26"/>
          <w:szCs w:val="26"/>
        </w:rPr>
        <w:t xml:space="preserve">s system.  PNG St. 1 at 13.  The Company indicated that the proposed producer charge is new to the Peoples Division but Equitable already has a Commission-approved tariff </w:t>
      </w:r>
      <w:r>
        <w:rPr>
          <w:sz w:val="26"/>
          <w:szCs w:val="26"/>
        </w:rPr>
        <w:lastRenderedPageBreak/>
        <w:t>provision for a negotiated retainage rate for wells connected to the gathering and distribution systems (Equitable Rate AGS).  PNG St. 1 at 15.  Therefore, for consistency between both the Peoples Division and Equitable, Peoples is proposing in this proceeding, to change Equitable Rate AGS to provide for a minimum retainage rate of 2.0% from production from all new wells connected to Equitable</w:t>
      </w:r>
      <w:r w:rsidR="00734951">
        <w:rPr>
          <w:sz w:val="26"/>
          <w:szCs w:val="26"/>
        </w:rPr>
        <w:t>’</w:t>
      </w:r>
      <w:r>
        <w:rPr>
          <w:sz w:val="26"/>
          <w:szCs w:val="26"/>
        </w:rPr>
        <w:t xml:space="preserve">s system.  </w:t>
      </w:r>
      <w:r w:rsidRPr="007B2418">
        <w:rPr>
          <w:i/>
          <w:sz w:val="26"/>
          <w:szCs w:val="26"/>
        </w:rPr>
        <w:t>Id.</w:t>
      </w:r>
      <w:r>
        <w:rPr>
          <w:sz w:val="26"/>
          <w:szCs w:val="26"/>
        </w:rPr>
        <w:t xml:space="preserve">  Peoples aver</w:t>
      </w:r>
      <w:r w:rsidR="00FA6974">
        <w:rPr>
          <w:sz w:val="26"/>
          <w:szCs w:val="26"/>
        </w:rPr>
        <w:t>red</w:t>
      </w:r>
      <w:r>
        <w:rPr>
          <w:sz w:val="26"/>
          <w:szCs w:val="26"/>
        </w:rPr>
        <w:t xml:space="preserve"> UFG and CU recovered from the producers through the producer charge would reduce the amount of UFG and CU recovered from Peoples</w:t>
      </w:r>
      <w:r w:rsidR="00734951">
        <w:rPr>
          <w:sz w:val="26"/>
          <w:szCs w:val="26"/>
        </w:rPr>
        <w:t>’</w:t>
      </w:r>
      <w:r>
        <w:rPr>
          <w:sz w:val="26"/>
          <w:szCs w:val="26"/>
        </w:rPr>
        <w:t xml:space="preserve"> sales and transportation customers.  PNG St. 3 at 3; PNG M.B. at 10.  However, the question posed in the instant proceeding is whether Peoples</w:t>
      </w:r>
      <w:r w:rsidR="00734951">
        <w:rPr>
          <w:sz w:val="26"/>
          <w:szCs w:val="26"/>
        </w:rPr>
        <w:t>’</w:t>
      </w:r>
      <w:r>
        <w:rPr>
          <w:sz w:val="26"/>
          <w:szCs w:val="26"/>
        </w:rPr>
        <w:t xml:space="preserve"> propos</w:t>
      </w:r>
      <w:r w:rsidR="009606E1">
        <w:rPr>
          <w:sz w:val="26"/>
          <w:szCs w:val="26"/>
        </w:rPr>
        <w:t xml:space="preserve">al </w:t>
      </w:r>
      <w:r w:rsidR="0090795B">
        <w:rPr>
          <w:sz w:val="26"/>
          <w:szCs w:val="26"/>
        </w:rPr>
        <w:t xml:space="preserve">assess </w:t>
      </w:r>
      <w:r w:rsidR="009606E1">
        <w:rPr>
          <w:sz w:val="26"/>
          <w:szCs w:val="26"/>
        </w:rPr>
        <w:t>a</w:t>
      </w:r>
      <w:r>
        <w:rPr>
          <w:sz w:val="26"/>
          <w:szCs w:val="26"/>
        </w:rPr>
        <w:t xml:space="preserve"> producer retainage charge on all gas delivered by conventional gas producers to Peoples</w:t>
      </w:r>
      <w:r w:rsidR="00734951">
        <w:rPr>
          <w:sz w:val="26"/>
          <w:szCs w:val="26"/>
        </w:rPr>
        <w:t>’</w:t>
      </w:r>
      <w:r>
        <w:rPr>
          <w:sz w:val="26"/>
          <w:szCs w:val="26"/>
        </w:rPr>
        <w:t xml:space="preserve"> system or the OCA</w:t>
      </w:r>
      <w:r w:rsidR="00734951">
        <w:rPr>
          <w:sz w:val="26"/>
          <w:szCs w:val="26"/>
        </w:rPr>
        <w:t>’</w:t>
      </w:r>
      <w:r>
        <w:rPr>
          <w:sz w:val="26"/>
          <w:szCs w:val="26"/>
        </w:rPr>
        <w:t>s propos</w:t>
      </w:r>
      <w:r w:rsidR="0090795B">
        <w:rPr>
          <w:sz w:val="26"/>
          <w:szCs w:val="26"/>
        </w:rPr>
        <w:t xml:space="preserve">al to assess other </w:t>
      </w:r>
      <w:r>
        <w:rPr>
          <w:sz w:val="26"/>
          <w:szCs w:val="26"/>
        </w:rPr>
        <w:t xml:space="preserve">retainage charges to recover a portion of gathering system UFG, should be approved. </w:t>
      </w:r>
    </w:p>
    <w:p w14:paraId="22C6EF33" w14:textId="77777777" w:rsidR="00E43C8D" w:rsidRDefault="00E43C8D" w:rsidP="007374FA">
      <w:pPr>
        <w:widowControl/>
        <w:autoSpaceDE w:val="0"/>
        <w:autoSpaceDN w:val="0"/>
        <w:adjustRightInd w:val="0"/>
        <w:spacing w:line="360" w:lineRule="auto"/>
        <w:ind w:firstLine="1800"/>
        <w:contextualSpacing/>
        <w:rPr>
          <w:sz w:val="26"/>
          <w:szCs w:val="26"/>
        </w:rPr>
      </w:pPr>
    </w:p>
    <w:p w14:paraId="44D338F1" w14:textId="77777777" w:rsidR="00E43C8D" w:rsidRPr="000E4A44" w:rsidRDefault="00E43C8D" w:rsidP="007374FA">
      <w:pPr>
        <w:pStyle w:val="Heading4"/>
      </w:pPr>
      <w:r w:rsidRPr="000E4A44">
        <w:t xml:space="preserve">UFG Mitigation Plan </w:t>
      </w:r>
    </w:p>
    <w:p w14:paraId="763C3EFA" w14:textId="77777777" w:rsidR="00E43C8D" w:rsidRDefault="00E43C8D" w:rsidP="007374FA">
      <w:pPr>
        <w:keepNext/>
        <w:keepLines/>
        <w:widowControl/>
        <w:autoSpaceDE w:val="0"/>
        <w:autoSpaceDN w:val="0"/>
        <w:adjustRightInd w:val="0"/>
        <w:spacing w:line="360" w:lineRule="auto"/>
        <w:ind w:firstLine="1800"/>
        <w:contextualSpacing/>
        <w:rPr>
          <w:b/>
          <w:sz w:val="26"/>
          <w:szCs w:val="26"/>
        </w:rPr>
      </w:pPr>
    </w:p>
    <w:p w14:paraId="0048FD54" w14:textId="6E255EA0" w:rsidR="00E43C8D" w:rsidRDefault="002D18E6" w:rsidP="007374FA">
      <w:pPr>
        <w:widowControl/>
        <w:tabs>
          <w:tab w:val="left" w:pos="1445"/>
          <w:tab w:val="left" w:pos="7920"/>
        </w:tabs>
        <w:autoSpaceDE w:val="0"/>
        <w:autoSpaceDN w:val="0"/>
        <w:adjustRightInd w:val="0"/>
        <w:spacing w:line="360" w:lineRule="auto"/>
        <w:ind w:firstLine="1440"/>
        <w:rPr>
          <w:sz w:val="26"/>
          <w:szCs w:val="26"/>
        </w:rPr>
      </w:pPr>
      <w:r>
        <w:rPr>
          <w:sz w:val="26"/>
          <w:szCs w:val="26"/>
        </w:rPr>
        <w:t xml:space="preserve">Peoples </w:t>
      </w:r>
      <w:r w:rsidR="00173D77">
        <w:rPr>
          <w:sz w:val="26"/>
          <w:szCs w:val="26"/>
        </w:rPr>
        <w:t xml:space="preserve">explained that </w:t>
      </w:r>
      <w:proofErr w:type="gramStart"/>
      <w:r w:rsidR="00173D77">
        <w:rPr>
          <w:sz w:val="26"/>
          <w:szCs w:val="26"/>
        </w:rPr>
        <w:t>during the course of</w:t>
      </w:r>
      <w:proofErr w:type="gramEnd"/>
      <w:r w:rsidR="00173D77">
        <w:rPr>
          <w:sz w:val="26"/>
          <w:szCs w:val="26"/>
        </w:rPr>
        <w:t xml:space="preserve"> the </w:t>
      </w:r>
      <w:r w:rsidR="00E43C8D">
        <w:rPr>
          <w:sz w:val="26"/>
          <w:szCs w:val="26"/>
        </w:rPr>
        <w:t xml:space="preserve">2017 PGC settlements, the Peoples Companies submitted a detailed UFG Mitigation Plan, entitled </w:t>
      </w:r>
      <w:r w:rsidR="00E43C8D" w:rsidRPr="00C74E7D">
        <w:rPr>
          <w:i/>
          <w:sz w:val="26"/>
          <w:szCs w:val="26"/>
        </w:rPr>
        <w:t>The Peoples Companies</w:t>
      </w:r>
      <w:r w:rsidR="00E43C8D">
        <w:rPr>
          <w:i/>
          <w:sz w:val="26"/>
          <w:szCs w:val="26"/>
        </w:rPr>
        <w:t xml:space="preserve"> Combined</w:t>
      </w:r>
      <w:r w:rsidR="00E43C8D" w:rsidRPr="00C74E7D">
        <w:rPr>
          <w:i/>
          <w:sz w:val="26"/>
          <w:szCs w:val="26"/>
        </w:rPr>
        <w:t xml:space="preserve"> UFG Mitigation Plan to Address Gathering Pipelines</w:t>
      </w:r>
      <w:r w:rsidR="00E43C8D">
        <w:rPr>
          <w:sz w:val="26"/>
          <w:szCs w:val="26"/>
        </w:rPr>
        <w:t xml:space="preserve"> in their respective PGC proceedings.</w:t>
      </w:r>
      <w:r w:rsidR="008E126E">
        <w:rPr>
          <w:rStyle w:val="FootnoteReference"/>
          <w:sz w:val="26"/>
          <w:szCs w:val="26"/>
        </w:rPr>
        <w:footnoteReference w:id="11"/>
      </w:r>
      <w:r w:rsidR="00E43C8D">
        <w:rPr>
          <w:sz w:val="26"/>
          <w:szCs w:val="26"/>
        </w:rPr>
        <w:t xml:space="preserve">  PNG Exh. 2.  In its UFG Mitigation Plan, the</w:t>
      </w:r>
      <w:r w:rsidR="00722F3F">
        <w:rPr>
          <w:sz w:val="26"/>
          <w:szCs w:val="26"/>
        </w:rPr>
        <w:t xml:space="preserve"> Peoples </w:t>
      </w:r>
      <w:r w:rsidR="00722F3F">
        <w:rPr>
          <w:sz w:val="26"/>
          <w:szCs w:val="26"/>
        </w:rPr>
        <w:lastRenderedPageBreak/>
        <w:t>Companies</w:t>
      </w:r>
      <w:r w:rsidR="00E43C8D">
        <w:rPr>
          <w:sz w:val="26"/>
          <w:szCs w:val="26"/>
        </w:rPr>
        <w:t xml:space="preserve"> ma</w:t>
      </w:r>
      <w:r w:rsidR="00722F3F">
        <w:rPr>
          <w:sz w:val="26"/>
          <w:szCs w:val="26"/>
        </w:rPr>
        <w:t>de</w:t>
      </w:r>
      <w:r w:rsidR="00E43C8D">
        <w:rPr>
          <w:sz w:val="26"/>
          <w:szCs w:val="26"/>
        </w:rPr>
        <w:t xml:space="preserve"> several recommendations on areas for additional UFG mitigation activities, including: (1)</w:t>
      </w:r>
      <w:r w:rsidR="00462292">
        <w:rPr>
          <w:sz w:val="26"/>
          <w:szCs w:val="26"/>
        </w:rPr>
        <w:t> </w:t>
      </w:r>
      <w:r w:rsidR="00E43C8D">
        <w:rPr>
          <w:sz w:val="26"/>
          <w:szCs w:val="26"/>
        </w:rPr>
        <w:t>additional segmentation to enhance identification of potential UFG targets; (2)</w:t>
      </w:r>
      <w:r w:rsidR="00462292">
        <w:rPr>
          <w:sz w:val="26"/>
          <w:szCs w:val="26"/>
        </w:rPr>
        <w:t> </w:t>
      </w:r>
      <w:r w:rsidR="00E43C8D">
        <w:rPr>
          <w:sz w:val="26"/>
          <w:szCs w:val="26"/>
        </w:rPr>
        <w:t>accelerated leak repair for bare steel gathering; (3) gathering pipeline improvement strategy; (4) removal/replacement of at-risk gathering pipelines; (5) further analysis to be performed concerning certain gathering pipelines; (6) gathering pipelines abandonment considerations and communication; (7) gas measurement enhancements; (8)</w:t>
      </w:r>
      <w:r w:rsidR="007F490D">
        <w:rPr>
          <w:sz w:val="26"/>
          <w:szCs w:val="26"/>
        </w:rPr>
        <w:t> </w:t>
      </w:r>
      <w:r w:rsidR="00E43C8D">
        <w:rPr>
          <w:sz w:val="26"/>
          <w:szCs w:val="26"/>
        </w:rPr>
        <w:t xml:space="preserve">unauthorized use; and (9) mapping enhancements.  </w:t>
      </w:r>
      <w:r w:rsidR="00D74ADE" w:rsidRPr="00D74ADE">
        <w:rPr>
          <w:sz w:val="26"/>
          <w:szCs w:val="26"/>
        </w:rPr>
        <w:t>PNG</w:t>
      </w:r>
      <w:r w:rsidR="00E43C8D" w:rsidRPr="00D74ADE">
        <w:rPr>
          <w:sz w:val="26"/>
          <w:szCs w:val="26"/>
        </w:rPr>
        <w:t xml:space="preserve"> St. 1 at 1</w:t>
      </w:r>
      <w:r w:rsidR="00D74ADE" w:rsidRPr="00D74ADE">
        <w:rPr>
          <w:sz w:val="26"/>
          <w:szCs w:val="26"/>
        </w:rPr>
        <w:t>2</w:t>
      </w:r>
      <w:r w:rsidR="00E43C8D" w:rsidRPr="00D74ADE">
        <w:rPr>
          <w:sz w:val="26"/>
          <w:szCs w:val="26"/>
        </w:rPr>
        <w:t>.</w:t>
      </w:r>
    </w:p>
    <w:p w14:paraId="0B2B206A" w14:textId="77777777" w:rsidR="00E43C8D" w:rsidRDefault="00E43C8D" w:rsidP="007374FA">
      <w:pPr>
        <w:widowControl/>
        <w:tabs>
          <w:tab w:val="left" w:pos="1445"/>
          <w:tab w:val="left" w:pos="7920"/>
        </w:tabs>
        <w:autoSpaceDE w:val="0"/>
        <w:autoSpaceDN w:val="0"/>
        <w:adjustRightInd w:val="0"/>
        <w:spacing w:line="360" w:lineRule="auto"/>
        <w:ind w:firstLine="1440"/>
        <w:rPr>
          <w:sz w:val="26"/>
          <w:szCs w:val="26"/>
        </w:rPr>
      </w:pPr>
    </w:p>
    <w:p w14:paraId="10872C06" w14:textId="76B16350" w:rsidR="00E43C8D" w:rsidRDefault="00E43C8D" w:rsidP="007374FA">
      <w:pPr>
        <w:widowControl/>
        <w:tabs>
          <w:tab w:val="left" w:pos="1445"/>
          <w:tab w:val="left" w:pos="7920"/>
        </w:tabs>
        <w:autoSpaceDE w:val="0"/>
        <w:autoSpaceDN w:val="0"/>
        <w:adjustRightInd w:val="0"/>
        <w:spacing w:line="360" w:lineRule="auto"/>
        <w:ind w:firstLine="1440"/>
        <w:rPr>
          <w:sz w:val="26"/>
          <w:szCs w:val="26"/>
        </w:rPr>
      </w:pPr>
      <w:r>
        <w:rPr>
          <w:sz w:val="26"/>
          <w:szCs w:val="26"/>
        </w:rPr>
        <w:t xml:space="preserve">The Companies explained </w:t>
      </w:r>
      <w:r w:rsidR="004A350D">
        <w:rPr>
          <w:sz w:val="26"/>
          <w:szCs w:val="26"/>
        </w:rPr>
        <w:t xml:space="preserve">that </w:t>
      </w:r>
      <w:r>
        <w:rPr>
          <w:sz w:val="26"/>
          <w:szCs w:val="26"/>
        </w:rPr>
        <w:t xml:space="preserve">the need for the UFG Mitigation Plan </w:t>
      </w:r>
      <w:r w:rsidR="004A350D">
        <w:rPr>
          <w:sz w:val="26"/>
          <w:szCs w:val="26"/>
        </w:rPr>
        <w:t xml:space="preserve">and </w:t>
      </w:r>
      <w:r>
        <w:rPr>
          <w:sz w:val="26"/>
          <w:szCs w:val="26"/>
        </w:rPr>
        <w:t xml:space="preserve">the primary driver for separating the removal and replacement of gathering from the removal and replacement of the remaining at-risk distribution pipelines is </w:t>
      </w:r>
      <w:r w:rsidR="00CB2F4C">
        <w:rPr>
          <w:sz w:val="26"/>
          <w:szCs w:val="26"/>
        </w:rPr>
        <w:t xml:space="preserve">because </w:t>
      </w:r>
      <w:r>
        <w:rPr>
          <w:sz w:val="26"/>
          <w:szCs w:val="26"/>
        </w:rPr>
        <w:t>the gathering systems generally have a lower density of customers and a lower risk ranking than distribution system pipelines.</w:t>
      </w:r>
      <w:r>
        <w:rPr>
          <w:rStyle w:val="FootnoteReference"/>
          <w:sz w:val="26"/>
          <w:szCs w:val="26"/>
        </w:rPr>
        <w:footnoteReference w:id="12"/>
      </w:r>
      <w:r>
        <w:rPr>
          <w:sz w:val="26"/>
          <w:szCs w:val="26"/>
        </w:rPr>
        <w:t xml:space="preserve">  The PUC-approved Combined Distribution Long Term Infrastructure Improvement Plan (LTIIP) focuses on the Peoples Companies</w:t>
      </w:r>
      <w:r w:rsidR="00734951">
        <w:rPr>
          <w:sz w:val="26"/>
          <w:szCs w:val="26"/>
        </w:rPr>
        <w:t>’</w:t>
      </w:r>
      <w:r>
        <w:rPr>
          <w:sz w:val="26"/>
          <w:szCs w:val="26"/>
        </w:rPr>
        <w:t xml:space="preserve"> distribution and transmission systems, while the UFG Mitigation Plan is designed to find solutions to reducing UFG on the Peoples Companies</w:t>
      </w:r>
      <w:r w:rsidR="00734951">
        <w:rPr>
          <w:sz w:val="26"/>
          <w:szCs w:val="26"/>
        </w:rPr>
        <w:t>’</w:t>
      </w:r>
      <w:r>
        <w:rPr>
          <w:sz w:val="26"/>
          <w:szCs w:val="26"/>
        </w:rPr>
        <w:t xml:space="preserve"> gathering systems that collect conventional or shallow gas to serve their customers.  The Peoples Companies have shown that distribution has 71% of the at-risk pipe and about 99% of the customers served off at-risk pipe, while gathering has 29% of the at-risk pipe and only about 1% of the customers.  </w:t>
      </w:r>
      <w:r w:rsidR="00FA6974">
        <w:rPr>
          <w:sz w:val="26"/>
          <w:szCs w:val="26"/>
        </w:rPr>
        <w:t>PNG</w:t>
      </w:r>
      <w:r>
        <w:rPr>
          <w:sz w:val="26"/>
          <w:szCs w:val="26"/>
        </w:rPr>
        <w:t xml:space="preserve"> Exh. No. 2 at 13-15.</w:t>
      </w:r>
    </w:p>
    <w:p w14:paraId="2CB095CC" w14:textId="77777777" w:rsidR="003B5957" w:rsidRDefault="003B5957" w:rsidP="007374FA">
      <w:pPr>
        <w:widowControl/>
        <w:tabs>
          <w:tab w:val="left" w:pos="1445"/>
          <w:tab w:val="left" w:pos="7920"/>
        </w:tabs>
        <w:autoSpaceDE w:val="0"/>
        <w:autoSpaceDN w:val="0"/>
        <w:adjustRightInd w:val="0"/>
        <w:spacing w:line="360" w:lineRule="auto"/>
        <w:ind w:firstLine="1440"/>
        <w:rPr>
          <w:sz w:val="26"/>
          <w:szCs w:val="26"/>
        </w:rPr>
      </w:pPr>
    </w:p>
    <w:p w14:paraId="0D6F8379" w14:textId="77777777" w:rsidR="003B5957" w:rsidRDefault="003B5957" w:rsidP="007374FA">
      <w:pPr>
        <w:pStyle w:val="Heading4"/>
      </w:pPr>
      <w:r>
        <w:t>Gathering System</w:t>
      </w:r>
      <w:r w:rsidRPr="00E43C8D">
        <w:t xml:space="preserve"> </w:t>
      </w:r>
    </w:p>
    <w:p w14:paraId="0A137850" w14:textId="77777777" w:rsidR="003B5957" w:rsidRDefault="003B5957" w:rsidP="007374FA">
      <w:pPr>
        <w:keepNext/>
        <w:keepLines/>
        <w:widowControl/>
        <w:autoSpaceDE w:val="0"/>
        <w:autoSpaceDN w:val="0"/>
        <w:adjustRightInd w:val="0"/>
        <w:spacing w:line="360" w:lineRule="auto"/>
        <w:ind w:firstLine="1800"/>
        <w:contextualSpacing/>
        <w:rPr>
          <w:b/>
          <w:sz w:val="26"/>
          <w:szCs w:val="26"/>
        </w:rPr>
      </w:pPr>
    </w:p>
    <w:p w14:paraId="27FB4B80" w14:textId="2A05E9D5" w:rsidR="00EB5AB2" w:rsidRDefault="005B36FB" w:rsidP="007374FA">
      <w:pPr>
        <w:widowControl/>
        <w:tabs>
          <w:tab w:val="left" w:pos="1445"/>
          <w:tab w:val="left" w:pos="7920"/>
        </w:tabs>
        <w:autoSpaceDE w:val="0"/>
        <w:autoSpaceDN w:val="0"/>
        <w:adjustRightInd w:val="0"/>
        <w:spacing w:line="360" w:lineRule="auto"/>
        <w:ind w:firstLine="1440"/>
        <w:rPr>
          <w:sz w:val="26"/>
          <w:szCs w:val="26"/>
        </w:rPr>
      </w:pPr>
      <w:r>
        <w:rPr>
          <w:sz w:val="26"/>
          <w:szCs w:val="26"/>
        </w:rPr>
        <w:t xml:space="preserve">The Commission and </w:t>
      </w:r>
      <w:r w:rsidR="00FD3BC7">
        <w:rPr>
          <w:sz w:val="26"/>
          <w:szCs w:val="26"/>
        </w:rPr>
        <w:t>the Pipeline and Hazardous Materials Safety Administration (</w:t>
      </w:r>
      <w:r>
        <w:rPr>
          <w:sz w:val="26"/>
          <w:szCs w:val="26"/>
        </w:rPr>
        <w:t>PHMSA</w:t>
      </w:r>
      <w:r w:rsidR="00FD3BC7">
        <w:rPr>
          <w:sz w:val="26"/>
          <w:szCs w:val="26"/>
        </w:rPr>
        <w:t>)</w:t>
      </w:r>
      <w:r>
        <w:rPr>
          <w:sz w:val="26"/>
          <w:szCs w:val="26"/>
        </w:rPr>
        <w:t xml:space="preserve"> define gathering line as a pipeline that transports gas from a current production facility to a transmission line or main and </w:t>
      </w:r>
      <w:r w:rsidR="00F47EE7">
        <w:rPr>
          <w:sz w:val="26"/>
          <w:szCs w:val="26"/>
        </w:rPr>
        <w:t xml:space="preserve">a </w:t>
      </w:r>
      <w:r>
        <w:rPr>
          <w:sz w:val="26"/>
          <w:szCs w:val="26"/>
        </w:rPr>
        <w:t>distribution line</w:t>
      </w:r>
      <w:r w:rsidR="00F47EE7">
        <w:rPr>
          <w:sz w:val="26"/>
          <w:szCs w:val="26"/>
        </w:rPr>
        <w:t xml:space="preserve"> </w:t>
      </w:r>
      <w:r>
        <w:rPr>
          <w:sz w:val="26"/>
          <w:szCs w:val="26"/>
        </w:rPr>
        <w:t xml:space="preserve">as a </w:t>
      </w:r>
      <w:r>
        <w:rPr>
          <w:sz w:val="26"/>
          <w:szCs w:val="26"/>
        </w:rPr>
        <w:lastRenderedPageBreak/>
        <w:t>pipeline other than a gathering or transmission line.  52 Pa. Code § 59.1; 49 C.F.R. §</w:t>
      </w:r>
      <w:r w:rsidR="00CB492C">
        <w:rPr>
          <w:sz w:val="26"/>
          <w:szCs w:val="26"/>
        </w:rPr>
        <w:t> </w:t>
      </w:r>
      <w:r>
        <w:rPr>
          <w:sz w:val="26"/>
          <w:szCs w:val="26"/>
        </w:rPr>
        <w:t xml:space="preserve">192.3.  </w:t>
      </w:r>
      <w:r w:rsidR="002F6BEE">
        <w:rPr>
          <w:sz w:val="26"/>
          <w:szCs w:val="26"/>
        </w:rPr>
        <w:t xml:space="preserve">Peoples stated that its system is unique when compared to other NGDCs in Pennsylvania because it owns and operates gathering systems that provides direct access to local natural gas suppliers.  </w:t>
      </w:r>
      <w:r w:rsidR="00EB5AB2">
        <w:rPr>
          <w:sz w:val="26"/>
          <w:szCs w:val="26"/>
        </w:rPr>
        <w:t>According to the Peoples Companies,</w:t>
      </w:r>
      <w:r w:rsidR="00734951">
        <w:rPr>
          <w:sz w:val="26"/>
          <w:szCs w:val="26"/>
        </w:rPr>
        <w:t>’</w:t>
      </w:r>
      <w:r w:rsidR="00EB5AB2">
        <w:rPr>
          <w:sz w:val="26"/>
          <w:szCs w:val="26"/>
        </w:rPr>
        <w:t xml:space="preserve"> their systems have a total of 2,100 miles of older low</w:t>
      </w:r>
      <w:r w:rsidR="00287FEF">
        <w:rPr>
          <w:sz w:val="26"/>
          <w:szCs w:val="26"/>
        </w:rPr>
        <w:t>-</w:t>
      </w:r>
      <w:r w:rsidR="00EB5AB2">
        <w:rPr>
          <w:sz w:val="26"/>
          <w:szCs w:val="26"/>
        </w:rPr>
        <w:t>pressure gathering pipelines much of which has provided service for producers and customers for many years and are nearing the end of their useful life.  PNG St. 1 at 9-10.  These lines, according to the Companies, provide direct access to local natural gas supplies from approximately 130 local Pennsylvania producers at over 2,000 conventional local Pennsylvania gas meters.  Peoples Gas Statement in Support at 4;</w:t>
      </w:r>
      <w:r w:rsidR="00EB5AB2" w:rsidRPr="002270AD">
        <w:rPr>
          <w:sz w:val="26"/>
          <w:szCs w:val="26"/>
        </w:rPr>
        <w:t xml:space="preserve"> </w:t>
      </w:r>
      <w:r w:rsidR="00EB5AB2" w:rsidRPr="00A11F1F">
        <w:rPr>
          <w:sz w:val="26"/>
          <w:szCs w:val="26"/>
        </w:rPr>
        <w:t>PGC 30-day Pre</w:t>
      </w:r>
      <w:r w:rsidR="00EB5AB2">
        <w:rPr>
          <w:sz w:val="26"/>
          <w:szCs w:val="26"/>
        </w:rPr>
        <w:noBreakHyphen/>
      </w:r>
      <w:r w:rsidR="00EB5AB2" w:rsidRPr="00A11F1F">
        <w:rPr>
          <w:sz w:val="26"/>
          <w:szCs w:val="26"/>
        </w:rPr>
        <w:t>filing</w:t>
      </w:r>
      <w:r w:rsidR="00EB5AB2">
        <w:rPr>
          <w:sz w:val="26"/>
          <w:szCs w:val="26"/>
        </w:rPr>
        <w:t xml:space="preserve"> at 113; Peoples Gas Exh. No. 2 at 17.  The Peoples Companies also averred there are about 900 miles of at-risk gathering lines in their system that require further investigation to ascertain the lines that should be replaced or abandoned.  </w:t>
      </w:r>
      <w:r w:rsidR="00EB5AB2" w:rsidRPr="00CB2993">
        <w:rPr>
          <w:i/>
          <w:sz w:val="26"/>
          <w:szCs w:val="26"/>
        </w:rPr>
        <w:t>Id.</w:t>
      </w:r>
      <w:r w:rsidR="00EB5AB2">
        <w:rPr>
          <w:sz w:val="26"/>
          <w:szCs w:val="26"/>
        </w:rPr>
        <w:t xml:space="preserve"> at 14.</w:t>
      </w:r>
    </w:p>
    <w:p w14:paraId="6E8C32B2" w14:textId="77777777" w:rsidR="00EB5AB2" w:rsidRDefault="00EB5AB2" w:rsidP="007374FA">
      <w:pPr>
        <w:widowControl/>
        <w:autoSpaceDE w:val="0"/>
        <w:autoSpaceDN w:val="0"/>
        <w:adjustRightInd w:val="0"/>
        <w:spacing w:line="360" w:lineRule="auto"/>
        <w:ind w:firstLine="1800"/>
        <w:contextualSpacing/>
        <w:rPr>
          <w:sz w:val="26"/>
          <w:szCs w:val="26"/>
        </w:rPr>
      </w:pPr>
    </w:p>
    <w:p w14:paraId="1381B9E9" w14:textId="374F2C4C" w:rsidR="002F6BEE" w:rsidRDefault="002F6BEE" w:rsidP="007374FA">
      <w:pPr>
        <w:widowControl/>
        <w:autoSpaceDE w:val="0"/>
        <w:autoSpaceDN w:val="0"/>
        <w:adjustRightInd w:val="0"/>
        <w:spacing w:line="360" w:lineRule="auto"/>
        <w:ind w:firstLine="1800"/>
        <w:contextualSpacing/>
        <w:rPr>
          <w:sz w:val="26"/>
          <w:szCs w:val="26"/>
        </w:rPr>
      </w:pPr>
      <w:r>
        <w:rPr>
          <w:sz w:val="26"/>
          <w:szCs w:val="26"/>
        </w:rPr>
        <w:t xml:space="preserve">Peoples indicated that the gathering systems historically </w:t>
      </w:r>
      <w:r w:rsidR="00287FEF">
        <w:rPr>
          <w:sz w:val="26"/>
          <w:szCs w:val="26"/>
        </w:rPr>
        <w:t xml:space="preserve">have </w:t>
      </w:r>
      <w:r>
        <w:rPr>
          <w:sz w:val="26"/>
          <w:szCs w:val="26"/>
        </w:rPr>
        <w:t>provided a direct benefit to its customers through lower purchased gas commodity costs and reductions in interstate pipeline transportation costs.  PNG Exh. 2 at 1-2.  Peoples contended that due to the unique nature of its system, the storage facilities, gathering pipelines, and compressor assets contribute to the levels of gas it uses for company operations and UFG.</w:t>
      </w:r>
      <w:r w:rsidR="00EB5AB2">
        <w:rPr>
          <w:sz w:val="26"/>
          <w:szCs w:val="26"/>
        </w:rPr>
        <w:t xml:space="preserve">  </w:t>
      </w:r>
      <w:r>
        <w:rPr>
          <w:sz w:val="26"/>
          <w:szCs w:val="26"/>
        </w:rPr>
        <w:t>Peoples aver</w:t>
      </w:r>
      <w:r w:rsidR="00DB74DC">
        <w:rPr>
          <w:sz w:val="26"/>
          <w:szCs w:val="26"/>
        </w:rPr>
        <w:t>red</w:t>
      </w:r>
      <w:r>
        <w:rPr>
          <w:sz w:val="26"/>
          <w:szCs w:val="26"/>
        </w:rPr>
        <w:t xml:space="preserve"> that, as a result, the levels of gas used in company operations and total system UFG are higher than typical distribution-only systems.  </w:t>
      </w:r>
      <w:r w:rsidRPr="00512C0B">
        <w:rPr>
          <w:i/>
          <w:sz w:val="26"/>
          <w:szCs w:val="26"/>
        </w:rPr>
        <w:t>Id.</w:t>
      </w:r>
      <w:r>
        <w:rPr>
          <w:sz w:val="26"/>
          <w:szCs w:val="26"/>
        </w:rPr>
        <w:t xml:space="preserve"> at</w:t>
      </w:r>
      <w:r w:rsidR="00287FEF">
        <w:rPr>
          <w:sz w:val="26"/>
          <w:szCs w:val="26"/>
        </w:rPr>
        <w:t> </w:t>
      </w:r>
      <w:r>
        <w:rPr>
          <w:sz w:val="26"/>
          <w:szCs w:val="26"/>
        </w:rPr>
        <w:t xml:space="preserve">2.  Peoples further noted that although it has operated the system as an integrated system, in recent years, it has installed gas measurement equipment at various strategic locations of the system for the sole purpose of isolating a gathering system or a portion thereof </w:t>
      </w:r>
      <w:proofErr w:type="gramStart"/>
      <w:r>
        <w:rPr>
          <w:sz w:val="26"/>
          <w:szCs w:val="26"/>
        </w:rPr>
        <w:t>in order to</w:t>
      </w:r>
      <w:proofErr w:type="gramEnd"/>
      <w:r>
        <w:rPr>
          <w:sz w:val="26"/>
          <w:szCs w:val="26"/>
        </w:rPr>
        <w:t xml:space="preserve"> separately determine the UFG on that isolated gathering system.  </w:t>
      </w:r>
      <w:r w:rsidRPr="00BB600A">
        <w:rPr>
          <w:i/>
          <w:sz w:val="26"/>
          <w:szCs w:val="26"/>
        </w:rPr>
        <w:t>Id.</w:t>
      </w:r>
      <w:r>
        <w:rPr>
          <w:sz w:val="26"/>
          <w:szCs w:val="26"/>
        </w:rPr>
        <w:t xml:space="preserve"> at</w:t>
      </w:r>
      <w:r w:rsidR="0029645F">
        <w:rPr>
          <w:sz w:val="26"/>
          <w:szCs w:val="26"/>
        </w:rPr>
        <w:t> </w:t>
      </w:r>
      <w:r>
        <w:rPr>
          <w:sz w:val="26"/>
          <w:szCs w:val="26"/>
        </w:rPr>
        <w:t>3.  Hence, Peoples has been reporting separate distribution and gathering system</w:t>
      </w:r>
      <w:r w:rsidR="006D1688">
        <w:rPr>
          <w:sz w:val="26"/>
          <w:szCs w:val="26"/>
        </w:rPr>
        <w:t xml:space="preserve"> losses </w:t>
      </w:r>
      <w:r>
        <w:rPr>
          <w:sz w:val="26"/>
          <w:szCs w:val="26"/>
        </w:rPr>
        <w:t>since 2014</w:t>
      </w:r>
      <w:r w:rsidR="00081968">
        <w:rPr>
          <w:rStyle w:val="FootnoteReference"/>
          <w:sz w:val="26"/>
          <w:szCs w:val="26"/>
        </w:rPr>
        <w:footnoteReference w:id="13"/>
      </w:r>
      <w:r>
        <w:rPr>
          <w:sz w:val="26"/>
          <w:szCs w:val="26"/>
        </w:rPr>
        <w:t xml:space="preserve"> as </w:t>
      </w:r>
      <w:r w:rsidR="00EB5AB2">
        <w:rPr>
          <w:sz w:val="26"/>
          <w:szCs w:val="26"/>
        </w:rPr>
        <w:t>shown</w:t>
      </w:r>
      <w:r>
        <w:rPr>
          <w:sz w:val="26"/>
          <w:szCs w:val="26"/>
        </w:rPr>
        <w:t xml:space="preserve"> </w:t>
      </w:r>
      <w:r w:rsidR="0029645F">
        <w:rPr>
          <w:sz w:val="26"/>
          <w:szCs w:val="26"/>
        </w:rPr>
        <w:t xml:space="preserve">in Figure 1 </w:t>
      </w:r>
      <w:r>
        <w:rPr>
          <w:sz w:val="26"/>
          <w:szCs w:val="26"/>
        </w:rPr>
        <w:t>below:</w:t>
      </w:r>
    </w:p>
    <w:p w14:paraId="72C5D66A" w14:textId="77777777" w:rsidR="002F6BEE" w:rsidRDefault="002F6BEE" w:rsidP="007374FA">
      <w:pPr>
        <w:widowControl/>
        <w:tabs>
          <w:tab w:val="left" w:pos="1445"/>
          <w:tab w:val="left" w:pos="7920"/>
        </w:tabs>
        <w:autoSpaceDE w:val="0"/>
        <w:autoSpaceDN w:val="0"/>
        <w:adjustRightInd w:val="0"/>
        <w:spacing w:line="360" w:lineRule="auto"/>
        <w:ind w:firstLine="1440"/>
        <w:rPr>
          <w:sz w:val="26"/>
          <w:szCs w:val="26"/>
        </w:rPr>
      </w:pPr>
    </w:p>
    <w:p w14:paraId="2ABF983F" w14:textId="77777777" w:rsidR="002F6BEE" w:rsidRDefault="002F6BEE" w:rsidP="007374FA">
      <w:pPr>
        <w:widowControl/>
        <w:tabs>
          <w:tab w:val="left" w:pos="1445"/>
          <w:tab w:val="left" w:pos="7920"/>
        </w:tabs>
        <w:autoSpaceDE w:val="0"/>
        <w:autoSpaceDN w:val="0"/>
        <w:adjustRightInd w:val="0"/>
        <w:spacing w:line="360" w:lineRule="auto"/>
        <w:rPr>
          <w:sz w:val="26"/>
          <w:szCs w:val="26"/>
        </w:rPr>
      </w:pPr>
      <w:r w:rsidRPr="00BB600A">
        <w:rPr>
          <w:noProof/>
          <w:sz w:val="26"/>
          <w:szCs w:val="26"/>
        </w:rPr>
        <w:drawing>
          <wp:inline distT="0" distB="0" distL="0" distR="0" wp14:anchorId="569C0228" wp14:editId="3A0B94FE">
            <wp:extent cx="5942965" cy="6448425"/>
            <wp:effectExtent l="0" t="0" r="635"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945722" cy="6451417"/>
                    </a:xfrm>
                    <a:prstGeom prst="rect">
                      <a:avLst/>
                    </a:prstGeom>
                    <a:noFill/>
                    <a:ln>
                      <a:noFill/>
                    </a:ln>
                  </pic:spPr>
                </pic:pic>
              </a:graphicData>
            </a:graphic>
          </wp:inline>
        </w:drawing>
      </w:r>
    </w:p>
    <w:p w14:paraId="1340668E" w14:textId="50656D5B" w:rsidR="002F6BEE" w:rsidRDefault="002F6BEE" w:rsidP="007374FA">
      <w:pPr>
        <w:keepNext/>
        <w:keepLines/>
        <w:widowControl/>
        <w:autoSpaceDE w:val="0"/>
        <w:autoSpaceDN w:val="0"/>
        <w:adjustRightInd w:val="0"/>
        <w:spacing w:line="360" w:lineRule="auto"/>
        <w:contextualSpacing/>
        <w:rPr>
          <w:sz w:val="26"/>
          <w:szCs w:val="26"/>
        </w:rPr>
      </w:pPr>
      <w:r>
        <w:rPr>
          <w:sz w:val="26"/>
          <w:szCs w:val="26"/>
        </w:rPr>
        <w:t>Fig</w:t>
      </w:r>
      <w:r w:rsidR="0029645F">
        <w:rPr>
          <w:sz w:val="26"/>
          <w:szCs w:val="26"/>
        </w:rPr>
        <w:t>ure</w:t>
      </w:r>
      <w:r>
        <w:rPr>
          <w:sz w:val="26"/>
          <w:szCs w:val="26"/>
        </w:rPr>
        <w:t xml:space="preserve"> 1: Peoples</w:t>
      </w:r>
      <w:r w:rsidR="00734951">
        <w:rPr>
          <w:sz w:val="26"/>
          <w:szCs w:val="26"/>
        </w:rPr>
        <w:t>’</w:t>
      </w:r>
      <w:r>
        <w:rPr>
          <w:sz w:val="26"/>
          <w:szCs w:val="26"/>
        </w:rPr>
        <w:t xml:space="preserve"> distribution and gathering system UFG reporting</w:t>
      </w:r>
      <w:r w:rsidR="0079173F">
        <w:rPr>
          <w:sz w:val="26"/>
          <w:szCs w:val="26"/>
        </w:rPr>
        <w:t xml:space="preserve"> (Reference: PNG Exh. No. 2 at 4).</w:t>
      </w:r>
    </w:p>
    <w:p w14:paraId="28AB1BDF" w14:textId="77777777" w:rsidR="002F6BEE" w:rsidRDefault="002F6BEE" w:rsidP="007374FA">
      <w:pPr>
        <w:widowControl/>
        <w:tabs>
          <w:tab w:val="left" w:pos="1445"/>
          <w:tab w:val="left" w:pos="7920"/>
        </w:tabs>
        <w:autoSpaceDE w:val="0"/>
        <w:autoSpaceDN w:val="0"/>
        <w:adjustRightInd w:val="0"/>
        <w:spacing w:line="360" w:lineRule="auto"/>
        <w:rPr>
          <w:sz w:val="26"/>
          <w:szCs w:val="26"/>
        </w:rPr>
      </w:pPr>
    </w:p>
    <w:p w14:paraId="4758FC06" w14:textId="77777777" w:rsidR="002E56A9" w:rsidRDefault="002E56A9" w:rsidP="007374FA">
      <w:pPr>
        <w:widowControl/>
        <w:tabs>
          <w:tab w:val="left" w:pos="1445"/>
          <w:tab w:val="left" w:pos="7920"/>
        </w:tabs>
        <w:autoSpaceDE w:val="0"/>
        <w:autoSpaceDN w:val="0"/>
        <w:adjustRightInd w:val="0"/>
        <w:spacing w:line="360" w:lineRule="auto"/>
        <w:rPr>
          <w:sz w:val="26"/>
          <w:szCs w:val="26"/>
        </w:rPr>
      </w:pPr>
      <w:r>
        <w:rPr>
          <w:sz w:val="26"/>
          <w:szCs w:val="26"/>
        </w:rPr>
        <w:t xml:space="preserve">The UFG that has been separately determined to be attributable to the gathering system for the twelve months ending August 31, 2017 is shown </w:t>
      </w:r>
      <w:r w:rsidR="004D206D">
        <w:rPr>
          <w:sz w:val="26"/>
          <w:szCs w:val="26"/>
        </w:rPr>
        <w:t xml:space="preserve">in Table 2 </w:t>
      </w:r>
      <w:r>
        <w:rPr>
          <w:sz w:val="26"/>
          <w:szCs w:val="26"/>
        </w:rPr>
        <w:t>below:</w:t>
      </w:r>
    </w:p>
    <w:p w14:paraId="3BC94CFE" w14:textId="77777777" w:rsidR="002E56A9" w:rsidRDefault="002E56A9" w:rsidP="007374FA">
      <w:pPr>
        <w:widowControl/>
        <w:tabs>
          <w:tab w:val="left" w:pos="1445"/>
          <w:tab w:val="left" w:pos="7920"/>
        </w:tabs>
        <w:autoSpaceDE w:val="0"/>
        <w:autoSpaceDN w:val="0"/>
        <w:adjustRightInd w:val="0"/>
        <w:spacing w:line="360" w:lineRule="auto"/>
        <w:rPr>
          <w:sz w:val="26"/>
          <w:szCs w:val="26"/>
        </w:rPr>
      </w:pPr>
    </w:p>
    <w:p w14:paraId="349B8BCF" w14:textId="77777777" w:rsidR="002E56A9" w:rsidRPr="00536C9A" w:rsidRDefault="002E56A9" w:rsidP="007374FA">
      <w:pPr>
        <w:keepNext/>
        <w:keepLines/>
        <w:widowControl/>
        <w:pBdr>
          <w:bottom w:val="single" w:sz="4" w:space="1" w:color="auto"/>
        </w:pBdr>
        <w:tabs>
          <w:tab w:val="left" w:pos="1445"/>
          <w:tab w:val="left" w:pos="7920"/>
        </w:tabs>
        <w:autoSpaceDE w:val="0"/>
        <w:autoSpaceDN w:val="0"/>
        <w:adjustRightInd w:val="0"/>
        <w:jc w:val="center"/>
        <w:rPr>
          <w:b/>
          <w:sz w:val="26"/>
          <w:szCs w:val="26"/>
        </w:rPr>
      </w:pPr>
      <w:r>
        <w:rPr>
          <w:b/>
          <w:sz w:val="26"/>
          <w:szCs w:val="26"/>
        </w:rPr>
        <w:t>TABLE 2</w:t>
      </w:r>
    </w:p>
    <w:p w14:paraId="4E4F4E61" w14:textId="77777777" w:rsidR="002E56A9" w:rsidRDefault="00217262" w:rsidP="007374FA">
      <w:pPr>
        <w:keepNext/>
        <w:keepLines/>
        <w:widowControl/>
        <w:tabs>
          <w:tab w:val="left" w:pos="1445"/>
          <w:tab w:val="left" w:pos="7920"/>
        </w:tabs>
        <w:autoSpaceDE w:val="0"/>
        <w:autoSpaceDN w:val="0"/>
        <w:adjustRightInd w:val="0"/>
        <w:spacing w:line="360" w:lineRule="auto"/>
        <w:rPr>
          <w:sz w:val="26"/>
          <w:szCs w:val="26"/>
        </w:rPr>
      </w:pPr>
      <w:r w:rsidRPr="00217262">
        <w:rPr>
          <w:noProof/>
        </w:rPr>
        <w:drawing>
          <wp:inline distT="0" distB="0" distL="0" distR="0" wp14:anchorId="695FB3A8" wp14:editId="177C16A4">
            <wp:extent cx="5943600" cy="2904830"/>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943600" cy="2904830"/>
                    </a:xfrm>
                    <a:prstGeom prst="rect">
                      <a:avLst/>
                    </a:prstGeom>
                    <a:noFill/>
                    <a:ln>
                      <a:noFill/>
                    </a:ln>
                  </pic:spPr>
                </pic:pic>
              </a:graphicData>
            </a:graphic>
          </wp:inline>
        </w:drawing>
      </w:r>
    </w:p>
    <w:p w14:paraId="537EB255" w14:textId="08A9ACB8" w:rsidR="002E56A9" w:rsidRDefault="002E56A9" w:rsidP="007374FA">
      <w:pPr>
        <w:widowControl/>
        <w:tabs>
          <w:tab w:val="left" w:pos="1445"/>
          <w:tab w:val="left" w:pos="7920"/>
        </w:tabs>
        <w:autoSpaceDE w:val="0"/>
        <w:autoSpaceDN w:val="0"/>
        <w:adjustRightInd w:val="0"/>
        <w:rPr>
          <w:sz w:val="26"/>
          <w:szCs w:val="26"/>
        </w:rPr>
      </w:pPr>
    </w:p>
    <w:p w14:paraId="7053C4CA" w14:textId="77777777" w:rsidR="00074144" w:rsidRDefault="00074144" w:rsidP="007374FA">
      <w:pPr>
        <w:widowControl/>
        <w:tabs>
          <w:tab w:val="left" w:pos="1445"/>
          <w:tab w:val="left" w:pos="7920"/>
        </w:tabs>
        <w:autoSpaceDE w:val="0"/>
        <w:autoSpaceDN w:val="0"/>
        <w:adjustRightInd w:val="0"/>
        <w:rPr>
          <w:sz w:val="26"/>
          <w:szCs w:val="26"/>
        </w:rPr>
      </w:pPr>
    </w:p>
    <w:p w14:paraId="3E8C5194" w14:textId="77777777" w:rsidR="00044FDB" w:rsidRPr="000E4A44" w:rsidRDefault="00044FDB" w:rsidP="007374FA">
      <w:pPr>
        <w:pStyle w:val="Heading4"/>
      </w:pPr>
      <w:r w:rsidRPr="000E4A44">
        <w:t xml:space="preserve">Capital Investments </w:t>
      </w:r>
    </w:p>
    <w:p w14:paraId="2822676B" w14:textId="77777777" w:rsidR="00044FDB" w:rsidRDefault="00044FDB" w:rsidP="007374FA">
      <w:pPr>
        <w:keepNext/>
        <w:keepLines/>
        <w:widowControl/>
        <w:autoSpaceDE w:val="0"/>
        <w:autoSpaceDN w:val="0"/>
        <w:adjustRightInd w:val="0"/>
        <w:spacing w:line="360" w:lineRule="auto"/>
        <w:ind w:firstLine="1800"/>
        <w:contextualSpacing/>
        <w:rPr>
          <w:b/>
          <w:sz w:val="26"/>
          <w:szCs w:val="26"/>
        </w:rPr>
      </w:pPr>
    </w:p>
    <w:p w14:paraId="7F34BCD0" w14:textId="28FB9B84" w:rsidR="00C73148" w:rsidRDefault="00044FDB" w:rsidP="007374FA">
      <w:pPr>
        <w:widowControl/>
        <w:tabs>
          <w:tab w:val="left" w:pos="1445"/>
          <w:tab w:val="left" w:pos="7920"/>
        </w:tabs>
        <w:autoSpaceDE w:val="0"/>
        <w:autoSpaceDN w:val="0"/>
        <w:adjustRightInd w:val="0"/>
        <w:spacing w:line="360" w:lineRule="auto"/>
        <w:ind w:firstLine="1440"/>
        <w:rPr>
          <w:rFonts w:eastAsiaTheme="minorHAnsi"/>
          <w:color w:val="000000"/>
          <w:sz w:val="26"/>
          <w:szCs w:val="26"/>
        </w:rPr>
      </w:pPr>
      <w:r>
        <w:rPr>
          <w:sz w:val="26"/>
          <w:szCs w:val="26"/>
        </w:rPr>
        <w:t>Under their proposed UFG Mitigation Plan, the Peoples Companies are proposing to spend approximately $21.1 million over the next four years.  Over the last four years alone, Peoples</w:t>
      </w:r>
      <w:r w:rsidR="00A13321">
        <w:rPr>
          <w:sz w:val="26"/>
          <w:szCs w:val="26"/>
        </w:rPr>
        <w:t xml:space="preserve"> </w:t>
      </w:r>
      <w:r>
        <w:rPr>
          <w:sz w:val="26"/>
          <w:szCs w:val="26"/>
        </w:rPr>
        <w:t>spent $</w:t>
      </w:r>
      <w:r w:rsidR="006F688B">
        <w:rPr>
          <w:sz w:val="26"/>
          <w:szCs w:val="26"/>
        </w:rPr>
        <w:t>4.1</w:t>
      </w:r>
      <w:r>
        <w:rPr>
          <w:sz w:val="26"/>
          <w:szCs w:val="26"/>
        </w:rPr>
        <w:t xml:space="preserve"> million in capital expenditures on gathering line replacements and over $</w:t>
      </w:r>
      <w:r w:rsidR="006F688B">
        <w:rPr>
          <w:sz w:val="26"/>
          <w:szCs w:val="26"/>
        </w:rPr>
        <w:t>1</w:t>
      </w:r>
      <w:r>
        <w:rPr>
          <w:sz w:val="26"/>
          <w:szCs w:val="26"/>
        </w:rPr>
        <w:t>3.0 million in gathering maintenance expenditures.</w:t>
      </w:r>
      <w:r w:rsidR="006F688B">
        <w:rPr>
          <w:sz w:val="26"/>
          <w:szCs w:val="26"/>
        </w:rPr>
        <w:t xml:space="preserve">  PNG St.</w:t>
      </w:r>
      <w:r w:rsidR="00074144">
        <w:rPr>
          <w:sz w:val="26"/>
          <w:szCs w:val="26"/>
        </w:rPr>
        <w:t> </w:t>
      </w:r>
      <w:r>
        <w:rPr>
          <w:sz w:val="26"/>
          <w:szCs w:val="26"/>
        </w:rPr>
        <w:t>1</w:t>
      </w:r>
      <w:r w:rsidR="00074144">
        <w:rPr>
          <w:sz w:val="26"/>
          <w:szCs w:val="26"/>
        </w:rPr>
        <w:noBreakHyphen/>
      </w:r>
      <w:r>
        <w:rPr>
          <w:sz w:val="26"/>
          <w:szCs w:val="26"/>
        </w:rPr>
        <w:t xml:space="preserve">R at 3.  </w:t>
      </w:r>
      <w:r w:rsidR="00362F8E">
        <w:rPr>
          <w:rFonts w:eastAsiaTheme="minorHAnsi"/>
          <w:color w:val="000000"/>
          <w:sz w:val="26"/>
          <w:szCs w:val="26"/>
        </w:rPr>
        <w:t xml:space="preserve">The </w:t>
      </w:r>
      <w:r w:rsidR="00796BD9" w:rsidRPr="00796BD9">
        <w:rPr>
          <w:rFonts w:eastAsiaTheme="minorHAnsi"/>
          <w:color w:val="000000"/>
          <w:sz w:val="26"/>
          <w:szCs w:val="26"/>
        </w:rPr>
        <w:t>Peoples</w:t>
      </w:r>
      <w:r w:rsidR="00796BD9">
        <w:rPr>
          <w:rFonts w:eastAsiaTheme="minorHAnsi"/>
          <w:color w:val="000000"/>
          <w:sz w:val="26"/>
          <w:szCs w:val="26"/>
        </w:rPr>
        <w:t xml:space="preserve"> </w:t>
      </w:r>
      <w:r w:rsidR="00362F8E">
        <w:rPr>
          <w:rFonts w:eastAsiaTheme="minorHAnsi"/>
          <w:color w:val="000000"/>
          <w:sz w:val="26"/>
          <w:szCs w:val="26"/>
        </w:rPr>
        <w:t xml:space="preserve">Companies </w:t>
      </w:r>
      <w:r w:rsidR="006F688B">
        <w:rPr>
          <w:rFonts w:eastAsiaTheme="minorHAnsi"/>
          <w:color w:val="000000"/>
          <w:sz w:val="26"/>
          <w:szCs w:val="26"/>
        </w:rPr>
        <w:t xml:space="preserve">averred that under the current ownership, the Companies have increased capital spending </w:t>
      </w:r>
      <w:r w:rsidR="00074144">
        <w:rPr>
          <w:rFonts w:eastAsiaTheme="minorHAnsi"/>
          <w:color w:val="000000"/>
          <w:sz w:val="26"/>
          <w:szCs w:val="26"/>
        </w:rPr>
        <w:t xml:space="preserve">significantly </w:t>
      </w:r>
      <w:r w:rsidR="006F688B">
        <w:rPr>
          <w:rFonts w:eastAsiaTheme="minorHAnsi"/>
          <w:color w:val="000000"/>
          <w:sz w:val="26"/>
          <w:szCs w:val="26"/>
        </w:rPr>
        <w:t>on the distribution systems.  Specifically, for the five years prior to the acquisitions of the Peoples Companies and the current five-year period of 2014-2018, the Peoples Division increased its capital spending from $201.1 million to $465.2 million, a 131% increase.  Equitable also increased its capital spending from $165.5 million to $297.3 million</w:t>
      </w:r>
      <w:r w:rsidR="006F1AC9">
        <w:rPr>
          <w:rFonts w:eastAsiaTheme="minorHAnsi"/>
          <w:color w:val="000000"/>
          <w:sz w:val="26"/>
          <w:szCs w:val="26"/>
        </w:rPr>
        <w:t>, an 80% increase.  PNG St. 5-R at 5-7.</w:t>
      </w:r>
      <w:r w:rsidR="00796BD9">
        <w:rPr>
          <w:rFonts w:eastAsiaTheme="minorHAnsi"/>
          <w:color w:val="000000"/>
          <w:sz w:val="26"/>
          <w:szCs w:val="26"/>
        </w:rPr>
        <w:t xml:space="preserve">  </w:t>
      </w:r>
      <w:r w:rsidR="00281AA7">
        <w:rPr>
          <w:rFonts w:eastAsiaTheme="minorHAnsi"/>
          <w:color w:val="000000"/>
          <w:sz w:val="26"/>
          <w:szCs w:val="26"/>
        </w:rPr>
        <w:t xml:space="preserve">The Companies </w:t>
      </w:r>
      <w:r w:rsidR="00796BD9">
        <w:rPr>
          <w:rFonts w:eastAsiaTheme="minorHAnsi"/>
          <w:color w:val="000000"/>
          <w:sz w:val="26"/>
          <w:szCs w:val="26"/>
        </w:rPr>
        <w:t>explained that a</w:t>
      </w:r>
      <w:r w:rsidR="00796BD9" w:rsidRPr="00796BD9">
        <w:rPr>
          <w:rFonts w:eastAsiaTheme="minorHAnsi"/>
          <w:color w:val="000000"/>
          <w:sz w:val="26"/>
          <w:szCs w:val="26"/>
        </w:rPr>
        <w:t>lthough this amount is much smaller than the amount of capital spent on the distribution system,</w:t>
      </w:r>
      <w:r w:rsidR="00362F8E">
        <w:rPr>
          <w:rFonts w:eastAsiaTheme="minorHAnsi"/>
          <w:color w:val="000000"/>
          <w:sz w:val="26"/>
          <w:szCs w:val="26"/>
        </w:rPr>
        <w:t xml:space="preserve"> due to </w:t>
      </w:r>
      <w:r w:rsidR="00796BD9" w:rsidRPr="00796BD9">
        <w:rPr>
          <w:rFonts w:eastAsiaTheme="minorHAnsi"/>
          <w:color w:val="000000"/>
          <w:sz w:val="26"/>
          <w:szCs w:val="26"/>
        </w:rPr>
        <w:t xml:space="preserve">safety reasons, the Peoples </w:t>
      </w:r>
      <w:r w:rsidR="00796BD9" w:rsidRPr="00796BD9">
        <w:rPr>
          <w:rFonts w:eastAsiaTheme="minorHAnsi"/>
          <w:color w:val="000000"/>
          <w:sz w:val="26"/>
          <w:szCs w:val="26"/>
        </w:rPr>
        <w:lastRenderedPageBreak/>
        <w:t xml:space="preserve">Companies have devoted the </w:t>
      </w:r>
      <w:proofErr w:type="gramStart"/>
      <w:r w:rsidR="00796BD9" w:rsidRPr="00796BD9">
        <w:rPr>
          <w:rFonts w:eastAsiaTheme="minorHAnsi"/>
          <w:color w:val="000000"/>
          <w:sz w:val="26"/>
          <w:szCs w:val="26"/>
        </w:rPr>
        <w:t>vast majority</w:t>
      </w:r>
      <w:proofErr w:type="gramEnd"/>
      <w:r w:rsidR="00796BD9" w:rsidRPr="00796BD9">
        <w:rPr>
          <w:rFonts w:eastAsiaTheme="minorHAnsi"/>
          <w:color w:val="000000"/>
          <w:sz w:val="26"/>
          <w:szCs w:val="26"/>
        </w:rPr>
        <w:t xml:space="preserve"> of their initial post-acquisition capital investment toward replacing at-risk distribution pipelines.</w:t>
      </w:r>
      <w:r w:rsidR="00602AEB">
        <w:rPr>
          <w:rFonts w:eastAsiaTheme="minorHAnsi"/>
          <w:color w:val="000000"/>
          <w:sz w:val="26"/>
          <w:szCs w:val="26"/>
        </w:rPr>
        <w:t xml:space="preserve">  </w:t>
      </w:r>
      <w:r w:rsidR="006F1AC9">
        <w:rPr>
          <w:rFonts w:eastAsiaTheme="minorHAnsi"/>
          <w:color w:val="000000"/>
          <w:sz w:val="26"/>
          <w:szCs w:val="26"/>
        </w:rPr>
        <w:t>PNG</w:t>
      </w:r>
      <w:r w:rsidR="00796BD9" w:rsidRPr="00796BD9">
        <w:rPr>
          <w:rFonts w:eastAsiaTheme="minorHAnsi"/>
          <w:color w:val="000000"/>
          <w:sz w:val="26"/>
          <w:szCs w:val="26"/>
        </w:rPr>
        <w:t xml:space="preserve"> St</w:t>
      </w:r>
      <w:r w:rsidR="00362F8E">
        <w:rPr>
          <w:rFonts w:eastAsiaTheme="minorHAnsi"/>
          <w:color w:val="000000"/>
          <w:sz w:val="26"/>
          <w:szCs w:val="26"/>
        </w:rPr>
        <w:t xml:space="preserve">. </w:t>
      </w:r>
      <w:r w:rsidR="00796BD9" w:rsidRPr="00796BD9">
        <w:rPr>
          <w:rFonts w:eastAsiaTheme="minorHAnsi"/>
          <w:color w:val="000000"/>
          <w:sz w:val="26"/>
          <w:szCs w:val="26"/>
        </w:rPr>
        <w:t>5-R</w:t>
      </w:r>
      <w:r w:rsidR="00362F8E">
        <w:rPr>
          <w:rFonts w:eastAsiaTheme="minorHAnsi"/>
          <w:color w:val="000000"/>
          <w:sz w:val="26"/>
          <w:szCs w:val="26"/>
        </w:rPr>
        <w:t xml:space="preserve"> at 7-8</w:t>
      </w:r>
      <w:r w:rsidR="00074144">
        <w:rPr>
          <w:rFonts w:eastAsiaTheme="minorHAnsi"/>
          <w:color w:val="000000"/>
          <w:sz w:val="26"/>
          <w:szCs w:val="26"/>
        </w:rPr>
        <w:t>.</w:t>
      </w:r>
    </w:p>
    <w:p w14:paraId="253C76F1" w14:textId="77777777" w:rsidR="00C73148" w:rsidRDefault="00C73148" w:rsidP="007374FA">
      <w:pPr>
        <w:widowControl/>
        <w:tabs>
          <w:tab w:val="left" w:pos="1445"/>
          <w:tab w:val="left" w:pos="7920"/>
        </w:tabs>
        <w:autoSpaceDE w:val="0"/>
        <w:autoSpaceDN w:val="0"/>
        <w:adjustRightInd w:val="0"/>
        <w:spacing w:line="360" w:lineRule="auto"/>
        <w:rPr>
          <w:b/>
          <w:sz w:val="26"/>
          <w:szCs w:val="26"/>
        </w:rPr>
      </w:pPr>
    </w:p>
    <w:p w14:paraId="1BABCD4D" w14:textId="77777777" w:rsidR="00C57145" w:rsidRPr="00C73148" w:rsidRDefault="00C73148" w:rsidP="007374FA">
      <w:pPr>
        <w:pStyle w:val="Heading3"/>
        <w:rPr>
          <w:rFonts w:eastAsiaTheme="minorHAnsi"/>
          <w:color w:val="000000"/>
        </w:rPr>
      </w:pPr>
      <w:r>
        <w:t xml:space="preserve"> </w:t>
      </w:r>
      <w:bookmarkStart w:id="23" w:name="_Toc524442353"/>
      <w:r w:rsidR="00C57145" w:rsidRPr="00C73148">
        <w:t>Position of the Parties</w:t>
      </w:r>
      <w:bookmarkEnd w:id="23"/>
    </w:p>
    <w:p w14:paraId="28EFBCF8" w14:textId="77777777" w:rsidR="00E9756E" w:rsidRDefault="00E9756E" w:rsidP="007374FA">
      <w:pPr>
        <w:pStyle w:val="ListParagraph"/>
        <w:keepNext/>
        <w:keepLines/>
        <w:widowControl/>
        <w:tabs>
          <w:tab w:val="left" w:pos="1445"/>
          <w:tab w:val="left" w:pos="7920"/>
        </w:tabs>
        <w:autoSpaceDE w:val="0"/>
        <w:autoSpaceDN w:val="0"/>
        <w:adjustRightInd w:val="0"/>
        <w:spacing w:line="360" w:lineRule="auto"/>
        <w:rPr>
          <w:b/>
          <w:sz w:val="26"/>
          <w:szCs w:val="26"/>
        </w:rPr>
      </w:pPr>
      <w:r>
        <w:rPr>
          <w:b/>
          <w:sz w:val="26"/>
          <w:szCs w:val="26"/>
        </w:rPr>
        <w:tab/>
      </w:r>
    </w:p>
    <w:p w14:paraId="10314033" w14:textId="34AB5D3D" w:rsidR="00E9756E" w:rsidRPr="000E4A44" w:rsidRDefault="00034C2C" w:rsidP="007374FA">
      <w:pPr>
        <w:pStyle w:val="Heading4"/>
        <w:numPr>
          <w:ilvl w:val="0"/>
          <w:numId w:val="25"/>
        </w:numPr>
        <w:ind w:left="2160" w:hanging="720"/>
      </w:pPr>
      <w:r w:rsidRPr="000E4A44">
        <w:t>Peoples</w:t>
      </w:r>
      <w:r w:rsidR="00734951">
        <w:t>’</w:t>
      </w:r>
      <w:r w:rsidR="00E9756E" w:rsidRPr="000E4A44">
        <w:t xml:space="preserve"> Position</w:t>
      </w:r>
    </w:p>
    <w:p w14:paraId="4C78B0A7" w14:textId="77777777" w:rsidR="008773C9" w:rsidRDefault="008773C9" w:rsidP="007374FA">
      <w:pPr>
        <w:pStyle w:val="ListParagraph"/>
        <w:keepNext/>
        <w:keepLines/>
        <w:widowControl/>
        <w:tabs>
          <w:tab w:val="left" w:pos="1445"/>
          <w:tab w:val="left" w:pos="7920"/>
        </w:tabs>
        <w:autoSpaceDE w:val="0"/>
        <w:autoSpaceDN w:val="0"/>
        <w:adjustRightInd w:val="0"/>
        <w:spacing w:line="360" w:lineRule="auto"/>
        <w:ind w:left="1800"/>
        <w:rPr>
          <w:b/>
          <w:sz w:val="26"/>
          <w:szCs w:val="26"/>
        </w:rPr>
      </w:pPr>
    </w:p>
    <w:p w14:paraId="4D1DE57D" w14:textId="7768A793" w:rsidR="005D68A5" w:rsidRDefault="004545C9" w:rsidP="007374FA">
      <w:pPr>
        <w:widowControl/>
        <w:spacing w:line="360" w:lineRule="auto"/>
        <w:rPr>
          <w:sz w:val="26"/>
          <w:szCs w:val="26"/>
        </w:rPr>
      </w:pPr>
      <w:r>
        <w:rPr>
          <w:sz w:val="26"/>
          <w:szCs w:val="26"/>
        </w:rPr>
        <w:tab/>
      </w:r>
      <w:r w:rsidR="004F47BD">
        <w:rPr>
          <w:sz w:val="26"/>
          <w:szCs w:val="26"/>
        </w:rPr>
        <w:tab/>
      </w:r>
      <w:r w:rsidR="00402C58">
        <w:rPr>
          <w:sz w:val="26"/>
          <w:szCs w:val="26"/>
        </w:rPr>
        <w:t>Peoples stated that transportation and sales customers bear the entire responsibility for the costs of</w:t>
      </w:r>
      <w:r w:rsidR="00981372">
        <w:rPr>
          <w:sz w:val="26"/>
          <w:szCs w:val="26"/>
        </w:rPr>
        <w:t xml:space="preserve"> the Company</w:t>
      </w:r>
      <w:r w:rsidR="00734951">
        <w:rPr>
          <w:sz w:val="26"/>
          <w:szCs w:val="26"/>
        </w:rPr>
        <w:t>’</w:t>
      </w:r>
      <w:r w:rsidR="00981372">
        <w:rPr>
          <w:sz w:val="26"/>
          <w:szCs w:val="26"/>
        </w:rPr>
        <w:t>s</w:t>
      </w:r>
      <w:r w:rsidR="00402C58">
        <w:rPr>
          <w:sz w:val="26"/>
          <w:szCs w:val="26"/>
        </w:rPr>
        <w:t xml:space="preserve"> UFG</w:t>
      </w:r>
      <w:r w:rsidR="0025340A">
        <w:rPr>
          <w:sz w:val="26"/>
          <w:szCs w:val="26"/>
        </w:rPr>
        <w:t xml:space="preserve"> while conventional gas producers currently </w:t>
      </w:r>
      <w:r w:rsidR="00337716">
        <w:rPr>
          <w:sz w:val="26"/>
          <w:szCs w:val="26"/>
        </w:rPr>
        <w:t>do not contribute</w:t>
      </w:r>
      <w:r w:rsidR="0025340A">
        <w:rPr>
          <w:sz w:val="26"/>
          <w:szCs w:val="26"/>
        </w:rPr>
        <w:t xml:space="preserve"> toward recovery of the </w:t>
      </w:r>
      <w:r w:rsidR="00A955A1">
        <w:rPr>
          <w:sz w:val="26"/>
          <w:szCs w:val="26"/>
        </w:rPr>
        <w:t>Company</w:t>
      </w:r>
      <w:r w:rsidR="00734951">
        <w:rPr>
          <w:sz w:val="26"/>
          <w:szCs w:val="26"/>
        </w:rPr>
        <w:t>’</w:t>
      </w:r>
      <w:r w:rsidR="00A955A1">
        <w:rPr>
          <w:sz w:val="26"/>
          <w:szCs w:val="26"/>
        </w:rPr>
        <w:t xml:space="preserve">s </w:t>
      </w:r>
      <w:r w:rsidR="00337716">
        <w:rPr>
          <w:sz w:val="26"/>
          <w:szCs w:val="26"/>
        </w:rPr>
        <w:t xml:space="preserve">gathering system </w:t>
      </w:r>
      <w:r w:rsidR="0025340A">
        <w:rPr>
          <w:sz w:val="26"/>
          <w:szCs w:val="26"/>
        </w:rPr>
        <w:t>UFG</w:t>
      </w:r>
      <w:r w:rsidR="00402C58">
        <w:rPr>
          <w:sz w:val="26"/>
          <w:szCs w:val="26"/>
        </w:rPr>
        <w:t xml:space="preserve">.  </w:t>
      </w:r>
      <w:r w:rsidR="00ED592A">
        <w:rPr>
          <w:sz w:val="26"/>
          <w:szCs w:val="26"/>
        </w:rPr>
        <w:t>According to Peoples</w:t>
      </w:r>
      <w:r w:rsidR="00402C58">
        <w:rPr>
          <w:sz w:val="26"/>
          <w:szCs w:val="26"/>
        </w:rPr>
        <w:t xml:space="preserve">, it is time for the producers to contribute their </w:t>
      </w:r>
      <w:r w:rsidR="00337716">
        <w:rPr>
          <w:sz w:val="26"/>
          <w:szCs w:val="26"/>
        </w:rPr>
        <w:t>share</w:t>
      </w:r>
      <w:r w:rsidR="00402C58">
        <w:rPr>
          <w:sz w:val="26"/>
          <w:szCs w:val="26"/>
        </w:rPr>
        <w:t xml:space="preserve"> </w:t>
      </w:r>
      <w:r w:rsidR="008C44F9">
        <w:rPr>
          <w:sz w:val="26"/>
          <w:szCs w:val="26"/>
        </w:rPr>
        <w:t>toward</w:t>
      </w:r>
      <w:r w:rsidR="00402C58">
        <w:rPr>
          <w:sz w:val="26"/>
          <w:szCs w:val="26"/>
        </w:rPr>
        <w:t xml:space="preserve"> the </w:t>
      </w:r>
      <w:r w:rsidR="008C44F9">
        <w:rPr>
          <w:sz w:val="26"/>
          <w:szCs w:val="26"/>
        </w:rPr>
        <w:t xml:space="preserve">cost of the </w:t>
      </w:r>
      <w:r w:rsidR="00402C58">
        <w:rPr>
          <w:sz w:val="26"/>
          <w:szCs w:val="26"/>
        </w:rPr>
        <w:t>gathering system UFG for the following reasons</w:t>
      </w:r>
      <w:r w:rsidR="008C44F9">
        <w:rPr>
          <w:sz w:val="26"/>
          <w:szCs w:val="26"/>
        </w:rPr>
        <w:t xml:space="preserve">: (1) they are primary beneficiaries of the gathering system </w:t>
      </w:r>
      <w:r w:rsidR="00337716">
        <w:rPr>
          <w:sz w:val="26"/>
          <w:szCs w:val="26"/>
        </w:rPr>
        <w:t>as</w:t>
      </w:r>
      <w:r w:rsidR="008C44F9">
        <w:rPr>
          <w:sz w:val="26"/>
          <w:szCs w:val="26"/>
        </w:rPr>
        <w:t xml:space="preserve"> it often provides the only way to move their gas to the market; (2) gathering charges for the recovery of UFG are common in Pennsylvania; </w:t>
      </w:r>
      <w:r w:rsidR="00ED592A">
        <w:rPr>
          <w:sz w:val="26"/>
          <w:szCs w:val="26"/>
        </w:rPr>
        <w:t xml:space="preserve">and </w:t>
      </w:r>
      <w:r w:rsidR="008C44F9">
        <w:rPr>
          <w:sz w:val="26"/>
          <w:szCs w:val="26"/>
        </w:rPr>
        <w:t>(3)</w:t>
      </w:r>
      <w:r w:rsidR="007F490D">
        <w:rPr>
          <w:sz w:val="26"/>
          <w:szCs w:val="26"/>
        </w:rPr>
        <w:t> </w:t>
      </w:r>
      <w:r w:rsidR="008C44F9">
        <w:rPr>
          <w:sz w:val="26"/>
          <w:szCs w:val="26"/>
        </w:rPr>
        <w:t xml:space="preserve">without the proposed charge, conventional gas producers have no incentive to help </w:t>
      </w:r>
      <w:r w:rsidR="00337716">
        <w:rPr>
          <w:sz w:val="26"/>
          <w:szCs w:val="26"/>
        </w:rPr>
        <w:t>Peoples</w:t>
      </w:r>
      <w:r w:rsidR="008C44F9">
        <w:rPr>
          <w:sz w:val="26"/>
          <w:szCs w:val="26"/>
        </w:rPr>
        <w:t xml:space="preserve"> reduce UFG on the gathering system.  PNG M.B. at 5-6.</w:t>
      </w:r>
      <w:r w:rsidR="00034C2C">
        <w:rPr>
          <w:sz w:val="26"/>
          <w:szCs w:val="26"/>
        </w:rPr>
        <w:t xml:space="preserve">  Peoples explained that the proposed </w:t>
      </w:r>
      <w:r w:rsidR="00ED592A">
        <w:rPr>
          <w:sz w:val="26"/>
          <w:szCs w:val="26"/>
        </w:rPr>
        <w:t xml:space="preserve">producer </w:t>
      </w:r>
      <w:r w:rsidR="00034C2C">
        <w:rPr>
          <w:sz w:val="26"/>
          <w:szCs w:val="26"/>
        </w:rPr>
        <w:t xml:space="preserve">charge would apply to all conventional gas producers delivering their gas to </w:t>
      </w:r>
      <w:r w:rsidR="00C77802">
        <w:rPr>
          <w:sz w:val="26"/>
          <w:szCs w:val="26"/>
        </w:rPr>
        <w:t>Peoples</w:t>
      </w:r>
      <w:r w:rsidR="00734951">
        <w:rPr>
          <w:sz w:val="26"/>
          <w:szCs w:val="26"/>
        </w:rPr>
        <w:t>’</w:t>
      </w:r>
      <w:r w:rsidR="00C77802">
        <w:rPr>
          <w:sz w:val="26"/>
          <w:szCs w:val="26"/>
        </w:rPr>
        <w:t xml:space="preserve"> system</w:t>
      </w:r>
      <w:r w:rsidR="00034C2C">
        <w:rPr>
          <w:sz w:val="26"/>
          <w:szCs w:val="26"/>
        </w:rPr>
        <w:t xml:space="preserve"> because the</w:t>
      </w:r>
      <w:r w:rsidR="00DF0DBE">
        <w:rPr>
          <w:sz w:val="26"/>
          <w:szCs w:val="26"/>
        </w:rPr>
        <w:t xml:space="preserve"> producers</w:t>
      </w:r>
      <w:r w:rsidR="00034C2C">
        <w:rPr>
          <w:sz w:val="26"/>
          <w:szCs w:val="26"/>
        </w:rPr>
        <w:t xml:space="preserve"> flow the </w:t>
      </w:r>
      <w:proofErr w:type="gramStart"/>
      <w:r w:rsidR="00034C2C">
        <w:rPr>
          <w:sz w:val="26"/>
          <w:szCs w:val="26"/>
        </w:rPr>
        <w:t>vast majority</w:t>
      </w:r>
      <w:proofErr w:type="gramEnd"/>
      <w:r w:rsidR="00034C2C">
        <w:rPr>
          <w:sz w:val="26"/>
          <w:szCs w:val="26"/>
        </w:rPr>
        <w:t xml:space="preserve"> of their gas on the gathering system</w:t>
      </w:r>
      <w:r w:rsidR="0037768A">
        <w:rPr>
          <w:sz w:val="26"/>
          <w:szCs w:val="26"/>
        </w:rPr>
        <w:t xml:space="preserve">.  Peoples further argued that </w:t>
      </w:r>
      <w:r w:rsidR="00034C2C">
        <w:rPr>
          <w:sz w:val="26"/>
          <w:szCs w:val="26"/>
        </w:rPr>
        <w:t xml:space="preserve">if the proposed charge were calculated </w:t>
      </w:r>
      <w:r w:rsidR="00FA6974">
        <w:rPr>
          <w:sz w:val="26"/>
          <w:szCs w:val="26"/>
        </w:rPr>
        <w:t xml:space="preserve">to </w:t>
      </w:r>
      <w:r w:rsidR="00034C2C">
        <w:rPr>
          <w:sz w:val="26"/>
          <w:szCs w:val="26"/>
        </w:rPr>
        <w:t>apply</w:t>
      </w:r>
      <w:r w:rsidR="00A955A1">
        <w:rPr>
          <w:sz w:val="26"/>
          <w:szCs w:val="26"/>
        </w:rPr>
        <w:t xml:space="preserve"> only</w:t>
      </w:r>
      <w:r w:rsidR="00034C2C">
        <w:rPr>
          <w:sz w:val="26"/>
          <w:szCs w:val="26"/>
        </w:rPr>
        <w:t xml:space="preserve"> to volumes on the gathering</w:t>
      </w:r>
      <w:r w:rsidR="00ED592A">
        <w:rPr>
          <w:sz w:val="26"/>
          <w:szCs w:val="26"/>
        </w:rPr>
        <w:t xml:space="preserve"> system</w:t>
      </w:r>
      <w:r w:rsidR="00034C2C">
        <w:rPr>
          <w:sz w:val="26"/>
          <w:szCs w:val="26"/>
        </w:rPr>
        <w:t xml:space="preserve">, the impact would be negligible.  </w:t>
      </w:r>
      <w:r w:rsidR="00034C2C" w:rsidRPr="00034C2C">
        <w:rPr>
          <w:i/>
          <w:sz w:val="26"/>
          <w:szCs w:val="26"/>
        </w:rPr>
        <w:t>Id.</w:t>
      </w:r>
      <w:r w:rsidR="00034C2C">
        <w:rPr>
          <w:sz w:val="26"/>
          <w:szCs w:val="26"/>
        </w:rPr>
        <w:t xml:space="preserve"> at</w:t>
      </w:r>
      <w:r w:rsidR="007F490D">
        <w:rPr>
          <w:sz w:val="26"/>
          <w:szCs w:val="26"/>
        </w:rPr>
        <w:t> </w:t>
      </w:r>
      <w:r w:rsidR="00034C2C">
        <w:rPr>
          <w:sz w:val="26"/>
          <w:szCs w:val="26"/>
        </w:rPr>
        <w:t>6.</w:t>
      </w:r>
    </w:p>
    <w:p w14:paraId="0EF9B8B1" w14:textId="77777777" w:rsidR="00402C58" w:rsidRDefault="00402C58" w:rsidP="007374FA">
      <w:pPr>
        <w:widowControl/>
        <w:spacing w:line="360" w:lineRule="auto"/>
        <w:rPr>
          <w:sz w:val="26"/>
          <w:szCs w:val="26"/>
        </w:rPr>
      </w:pPr>
    </w:p>
    <w:p w14:paraId="1D2F0E55" w14:textId="2E5F4CF3" w:rsidR="004F47BD" w:rsidRDefault="004F47BD" w:rsidP="007374FA">
      <w:pPr>
        <w:widowControl/>
        <w:spacing w:line="360" w:lineRule="auto"/>
        <w:ind w:firstLine="1440"/>
        <w:rPr>
          <w:sz w:val="26"/>
          <w:szCs w:val="26"/>
        </w:rPr>
      </w:pPr>
      <w:r w:rsidRPr="00B425D2">
        <w:rPr>
          <w:sz w:val="26"/>
          <w:szCs w:val="26"/>
        </w:rPr>
        <w:t xml:space="preserve">According to Peoples, while the producer retainer charge is new to </w:t>
      </w:r>
      <w:r w:rsidR="00D023E5">
        <w:rPr>
          <w:sz w:val="26"/>
          <w:szCs w:val="26"/>
        </w:rPr>
        <w:t xml:space="preserve">the </w:t>
      </w:r>
      <w:r w:rsidRPr="00B425D2">
        <w:rPr>
          <w:sz w:val="26"/>
          <w:szCs w:val="26"/>
        </w:rPr>
        <w:t>Peoples</w:t>
      </w:r>
      <w:r w:rsidR="00C77802">
        <w:rPr>
          <w:sz w:val="26"/>
          <w:szCs w:val="26"/>
        </w:rPr>
        <w:t xml:space="preserve"> Division</w:t>
      </w:r>
      <w:r w:rsidRPr="00B425D2">
        <w:rPr>
          <w:sz w:val="26"/>
          <w:szCs w:val="26"/>
        </w:rPr>
        <w:t xml:space="preserve">, Equitable </w:t>
      </w:r>
      <w:r w:rsidR="00734951">
        <w:rPr>
          <w:sz w:val="26"/>
          <w:szCs w:val="26"/>
        </w:rPr>
        <w:t>“</w:t>
      </w:r>
      <w:r w:rsidRPr="00B425D2">
        <w:rPr>
          <w:sz w:val="26"/>
          <w:szCs w:val="26"/>
        </w:rPr>
        <w:t>already has approved tariff provisions for a negotiated retainage charge rate</w:t>
      </w:r>
      <w:r w:rsidR="00734951">
        <w:rPr>
          <w:sz w:val="26"/>
          <w:szCs w:val="26"/>
        </w:rPr>
        <w:t>”</w:t>
      </w:r>
      <w:r w:rsidRPr="00B425D2">
        <w:rPr>
          <w:sz w:val="26"/>
          <w:szCs w:val="26"/>
        </w:rPr>
        <w:t xml:space="preserve"> and P</w:t>
      </w:r>
      <w:r w:rsidR="00C77802">
        <w:rPr>
          <w:sz w:val="26"/>
          <w:szCs w:val="26"/>
        </w:rPr>
        <w:t>eoples</w:t>
      </w:r>
      <w:r w:rsidRPr="00B425D2">
        <w:rPr>
          <w:sz w:val="26"/>
          <w:szCs w:val="26"/>
        </w:rPr>
        <w:t xml:space="preserve"> is now proposing a minimum retainage rate of 2.0% for Equitable for production from all new wells in Equitable.  PNG St. 1 at 15.  Peoples averred the proposed charge is intended to begin </w:t>
      </w:r>
      <w:r w:rsidR="00734951">
        <w:rPr>
          <w:sz w:val="26"/>
          <w:szCs w:val="26"/>
        </w:rPr>
        <w:t>“</w:t>
      </w:r>
      <w:r w:rsidRPr="00B425D2">
        <w:rPr>
          <w:sz w:val="26"/>
          <w:szCs w:val="26"/>
        </w:rPr>
        <w:t>a long-term process of rationalizing the costs and the recovery of costs of systems that were constructed primarily for the purpose of gathering gas rather than serving end use customers.</w:t>
      </w:r>
      <w:r w:rsidR="00734951">
        <w:rPr>
          <w:sz w:val="26"/>
          <w:szCs w:val="26"/>
        </w:rPr>
        <w:t>”</w:t>
      </w:r>
      <w:r w:rsidRPr="00B425D2">
        <w:rPr>
          <w:sz w:val="26"/>
          <w:szCs w:val="26"/>
        </w:rPr>
        <w:t xml:space="preserve">  PNG St. 1 at 13.  </w:t>
      </w:r>
    </w:p>
    <w:p w14:paraId="314596EA" w14:textId="77777777" w:rsidR="004F47BD" w:rsidRDefault="004F47BD" w:rsidP="007374FA">
      <w:pPr>
        <w:pStyle w:val="ListParagraph"/>
        <w:widowControl/>
        <w:tabs>
          <w:tab w:val="left" w:pos="1440"/>
          <w:tab w:val="left" w:pos="7920"/>
        </w:tabs>
        <w:autoSpaceDE w:val="0"/>
        <w:autoSpaceDN w:val="0"/>
        <w:adjustRightInd w:val="0"/>
        <w:spacing w:line="360" w:lineRule="auto"/>
        <w:ind w:left="0"/>
        <w:rPr>
          <w:sz w:val="26"/>
          <w:szCs w:val="26"/>
        </w:rPr>
      </w:pPr>
    </w:p>
    <w:p w14:paraId="55BB6626" w14:textId="2DB58292" w:rsidR="004545C9" w:rsidRDefault="004F47BD" w:rsidP="007374FA">
      <w:pPr>
        <w:pStyle w:val="ListParagraph"/>
        <w:widowControl/>
        <w:tabs>
          <w:tab w:val="left" w:pos="1440"/>
          <w:tab w:val="left" w:pos="7920"/>
        </w:tabs>
        <w:autoSpaceDE w:val="0"/>
        <w:autoSpaceDN w:val="0"/>
        <w:adjustRightInd w:val="0"/>
        <w:spacing w:line="360" w:lineRule="auto"/>
        <w:ind w:left="0"/>
        <w:rPr>
          <w:sz w:val="26"/>
          <w:szCs w:val="26"/>
        </w:rPr>
      </w:pPr>
      <w:r>
        <w:rPr>
          <w:sz w:val="26"/>
          <w:szCs w:val="26"/>
        </w:rPr>
        <w:tab/>
      </w:r>
      <w:r w:rsidR="00C77802">
        <w:rPr>
          <w:sz w:val="26"/>
          <w:szCs w:val="26"/>
        </w:rPr>
        <w:t xml:space="preserve">Peoples </w:t>
      </w:r>
      <w:r w:rsidR="0006040E">
        <w:rPr>
          <w:sz w:val="26"/>
          <w:szCs w:val="26"/>
        </w:rPr>
        <w:t xml:space="preserve">indicated that while </w:t>
      </w:r>
      <w:r w:rsidR="00D023E5">
        <w:rPr>
          <w:sz w:val="26"/>
          <w:szCs w:val="26"/>
        </w:rPr>
        <w:t>it has</w:t>
      </w:r>
      <w:r w:rsidR="0006040E">
        <w:rPr>
          <w:sz w:val="26"/>
          <w:szCs w:val="26"/>
        </w:rPr>
        <w:t xml:space="preserve"> been successful in reducing distribution UFG substantially below the levels prescribed in the Commission</w:t>
      </w:r>
      <w:r w:rsidR="00734951">
        <w:rPr>
          <w:sz w:val="26"/>
          <w:szCs w:val="26"/>
        </w:rPr>
        <w:t>’</w:t>
      </w:r>
      <w:r w:rsidR="0006040E">
        <w:rPr>
          <w:sz w:val="26"/>
          <w:szCs w:val="26"/>
        </w:rPr>
        <w:t xml:space="preserve">s Regulations, </w:t>
      </w:r>
      <w:r w:rsidR="00D023E5">
        <w:rPr>
          <w:sz w:val="26"/>
          <w:szCs w:val="26"/>
        </w:rPr>
        <w:t xml:space="preserve">it has </w:t>
      </w:r>
      <w:r w:rsidR="0006040E">
        <w:rPr>
          <w:sz w:val="26"/>
          <w:szCs w:val="26"/>
        </w:rPr>
        <w:t xml:space="preserve">found it difficult to reduce gathering </w:t>
      </w:r>
      <w:r w:rsidR="00C77802">
        <w:rPr>
          <w:sz w:val="26"/>
          <w:szCs w:val="26"/>
        </w:rPr>
        <w:t xml:space="preserve">system </w:t>
      </w:r>
      <w:r w:rsidR="0006040E">
        <w:rPr>
          <w:sz w:val="26"/>
          <w:szCs w:val="26"/>
        </w:rPr>
        <w:t xml:space="preserve">UFG.  </w:t>
      </w:r>
      <w:r w:rsidR="00E43B54">
        <w:rPr>
          <w:sz w:val="26"/>
          <w:szCs w:val="26"/>
        </w:rPr>
        <w:t xml:space="preserve">According to </w:t>
      </w:r>
      <w:r w:rsidR="00C77802">
        <w:rPr>
          <w:sz w:val="26"/>
          <w:szCs w:val="26"/>
        </w:rPr>
        <w:t>Peoples,</w:t>
      </w:r>
      <w:r w:rsidR="00E43B54">
        <w:rPr>
          <w:sz w:val="26"/>
          <w:szCs w:val="26"/>
        </w:rPr>
        <w:t xml:space="preserve"> there are currently 1,221 miles of at-risk pipe in the gathering system and the estimated cost to replace </w:t>
      </w:r>
      <w:r w:rsidR="000939BA">
        <w:rPr>
          <w:sz w:val="26"/>
          <w:szCs w:val="26"/>
        </w:rPr>
        <w:t xml:space="preserve">the 923 miles of the </w:t>
      </w:r>
      <w:r w:rsidR="00734951">
        <w:rPr>
          <w:sz w:val="26"/>
          <w:szCs w:val="26"/>
        </w:rPr>
        <w:t>“</w:t>
      </w:r>
      <w:r w:rsidR="000939BA">
        <w:rPr>
          <w:sz w:val="26"/>
          <w:szCs w:val="26"/>
        </w:rPr>
        <w:t>yellow category</w:t>
      </w:r>
      <w:r w:rsidR="00734951">
        <w:rPr>
          <w:sz w:val="26"/>
          <w:szCs w:val="26"/>
        </w:rPr>
        <w:t>”</w:t>
      </w:r>
      <w:r w:rsidR="000939BA">
        <w:rPr>
          <w:sz w:val="26"/>
          <w:szCs w:val="26"/>
        </w:rPr>
        <w:t xml:space="preserve"> at-risk pipe is $738 million.</w:t>
      </w:r>
      <w:r w:rsidR="000939BA">
        <w:rPr>
          <w:rStyle w:val="FootnoteReference"/>
          <w:sz w:val="26"/>
          <w:szCs w:val="26"/>
        </w:rPr>
        <w:footnoteReference w:id="14"/>
      </w:r>
      <w:r w:rsidR="000939BA">
        <w:rPr>
          <w:sz w:val="26"/>
          <w:szCs w:val="26"/>
        </w:rPr>
        <w:t xml:space="preserve">  PNG Exh.</w:t>
      </w:r>
      <w:r w:rsidR="007F490D">
        <w:rPr>
          <w:sz w:val="26"/>
          <w:szCs w:val="26"/>
        </w:rPr>
        <w:t> </w:t>
      </w:r>
      <w:r w:rsidR="000939BA">
        <w:rPr>
          <w:sz w:val="26"/>
          <w:szCs w:val="26"/>
        </w:rPr>
        <w:t>2 at</w:t>
      </w:r>
      <w:r w:rsidR="007F490D">
        <w:rPr>
          <w:sz w:val="26"/>
          <w:szCs w:val="26"/>
        </w:rPr>
        <w:t> </w:t>
      </w:r>
      <w:r w:rsidR="000939BA">
        <w:rPr>
          <w:sz w:val="26"/>
          <w:szCs w:val="26"/>
        </w:rPr>
        <w:t xml:space="preserve">17. </w:t>
      </w:r>
      <w:r w:rsidR="008773C9">
        <w:rPr>
          <w:sz w:val="26"/>
          <w:szCs w:val="26"/>
        </w:rPr>
        <w:t xml:space="preserve"> Hence, the Companies have developed a UFG Mitigation Plan to identify what gathering line should be replaced and have implemented an initial phase of the </w:t>
      </w:r>
      <w:r w:rsidR="00C77802">
        <w:rPr>
          <w:sz w:val="26"/>
          <w:szCs w:val="26"/>
        </w:rPr>
        <w:t>p</w:t>
      </w:r>
      <w:r w:rsidR="008773C9">
        <w:rPr>
          <w:sz w:val="26"/>
          <w:szCs w:val="26"/>
        </w:rPr>
        <w:t>lan.  PNG Exh. 2.</w:t>
      </w:r>
      <w:r w:rsidR="008150EB">
        <w:rPr>
          <w:sz w:val="26"/>
          <w:szCs w:val="26"/>
        </w:rPr>
        <w:t xml:space="preserve">  The Companies a</w:t>
      </w:r>
      <w:r w:rsidR="004545C9">
        <w:rPr>
          <w:sz w:val="26"/>
          <w:szCs w:val="26"/>
        </w:rPr>
        <w:t xml:space="preserve">verred that the UFG Mitigation Plan includes an increased spending commitment to remove and replace at-risk gathering pipe, a new </w:t>
      </w:r>
      <w:r w:rsidR="00734951">
        <w:rPr>
          <w:sz w:val="26"/>
          <w:szCs w:val="26"/>
        </w:rPr>
        <w:t>“</w:t>
      </w:r>
      <w:r w:rsidR="004545C9">
        <w:rPr>
          <w:sz w:val="26"/>
          <w:szCs w:val="26"/>
        </w:rPr>
        <w:t>find it/fix it</w:t>
      </w:r>
      <w:r w:rsidR="00734951">
        <w:rPr>
          <w:sz w:val="26"/>
          <w:szCs w:val="26"/>
        </w:rPr>
        <w:t>”</w:t>
      </w:r>
      <w:r w:rsidR="004545C9">
        <w:rPr>
          <w:sz w:val="26"/>
          <w:szCs w:val="26"/>
        </w:rPr>
        <w:t xml:space="preserve"> program to leak survey bare steel gathering pipe on an annual basis and to prioritize found leaks for repair including the installation of additional segmentation meters in the gathering system to better identify gathering system segments with UFG problems.  </w:t>
      </w:r>
      <w:r w:rsidR="004545C9" w:rsidRPr="004545C9">
        <w:rPr>
          <w:i/>
          <w:sz w:val="26"/>
          <w:szCs w:val="26"/>
        </w:rPr>
        <w:t>Id.</w:t>
      </w:r>
    </w:p>
    <w:p w14:paraId="114AA32A" w14:textId="77777777" w:rsidR="006E5539" w:rsidRDefault="006E5539" w:rsidP="007374FA">
      <w:pPr>
        <w:pStyle w:val="ListParagraph"/>
        <w:widowControl/>
        <w:tabs>
          <w:tab w:val="left" w:pos="1440"/>
          <w:tab w:val="left" w:pos="7920"/>
        </w:tabs>
        <w:autoSpaceDE w:val="0"/>
        <w:autoSpaceDN w:val="0"/>
        <w:adjustRightInd w:val="0"/>
        <w:spacing w:line="360" w:lineRule="auto"/>
        <w:ind w:left="0"/>
        <w:rPr>
          <w:sz w:val="26"/>
          <w:szCs w:val="26"/>
        </w:rPr>
      </w:pPr>
    </w:p>
    <w:p w14:paraId="77623030" w14:textId="08363DF5" w:rsidR="0006040E" w:rsidRDefault="004545C9" w:rsidP="007374FA">
      <w:pPr>
        <w:pStyle w:val="ListParagraph"/>
        <w:widowControl/>
        <w:tabs>
          <w:tab w:val="left" w:pos="1440"/>
          <w:tab w:val="left" w:pos="7920"/>
        </w:tabs>
        <w:autoSpaceDE w:val="0"/>
        <w:autoSpaceDN w:val="0"/>
        <w:adjustRightInd w:val="0"/>
        <w:spacing w:line="360" w:lineRule="auto"/>
        <w:ind w:left="0"/>
        <w:rPr>
          <w:sz w:val="26"/>
          <w:szCs w:val="26"/>
        </w:rPr>
      </w:pPr>
      <w:r>
        <w:rPr>
          <w:sz w:val="26"/>
          <w:szCs w:val="26"/>
        </w:rPr>
        <w:tab/>
      </w:r>
      <w:r w:rsidR="00FC78C3">
        <w:rPr>
          <w:sz w:val="26"/>
          <w:szCs w:val="26"/>
        </w:rPr>
        <w:t>Peoples</w:t>
      </w:r>
      <w:r>
        <w:rPr>
          <w:sz w:val="26"/>
          <w:szCs w:val="26"/>
        </w:rPr>
        <w:t xml:space="preserve"> indicated that the proposed producer retainer charg</w:t>
      </w:r>
      <w:r w:rsidR="0061425C">
        <w:rPr>
          <w:sz w:val="26"/>
          <w:szCs w:val="26"/>
        </w:rPr>
        <w:t>e</w:t>
      </w:r>
      <w:r>
        <w:rPr>
          <w:sz w:val="26"/>
          <w:szCs w:val="26"/>
        </w:rPr>
        <w:t xml:space="preserve"> </w:t>
      </w:r>
      <w:r w:rsidR="0061425C">
        <w:rPr>
          <w:sz w:val="26"/>
          <w:szCs w:val="26"/>
        </w:rPr>
        <w:t>will help to</w:t>
      </w:r>
      <w:r>
        <w:rPr>
          <w:sz w:val="26"/>
          <w:szCs w:val="26"/>
        </w:rPr>
        <w:t xml:space="preserve"> further enhance implement</w:t>
      </w:r>
      <w:r w:rsidR="00FC78C3">
        <w:rPr>
          <w:sz w:val="26"/>
          <w:szCs w:val="26"/>
        </w:rPr>
        <w:t>ation of</w:t>
      </w:r>
      <w:r w:rsidR="0061425C">
        <w:rPr>
          <w:sz w:val="26"/>
          <w:szCs w:val="26"/>
        </w:rPr>
        <w:t xml:space="preserve"> the UFG Mitigation Plan.  According to </w:t>
      </w:r>
      <w:r w:rsidR="00FC78C3">
        <w:rPr>
          <w:sz w:val="26"/>
          <w:szCs w:val="26"/>
        </w:rPr>
        <w:t>Peoples</w:t>
      </w:r>
      <w:r w:rsidR="0061425C">
        <w:rPr>
          <w:sz w:val="26"/>
          <w:szCs w:val="26"/>
        </w:rPr>
        <w:t xml:space="preserve">, because the producers substantially benefit from the existence of the gathering systems, especially, because they transport their product through the gathering lines, it is important that they share in the cost of the UFG incurred to carry conventional production to the </w:t>
      </w:r>
      <w:r w:rsidR="005654A1">
        <w:rPr>
          <w:sz w:val="26"/>
          <w:szCs w:val="26"/>
        </w:rPr>
        <w:t>c</w:t>
      </w:r>
      <w:r w:rsidR="0061425C">
        <w:rPr>
          <w:sz w:val="26"/>
          <w:szCs w:val="26"/>
        </w:rPr>
        <w:t xml:space="preserve">ity gate.  </w:t>
      </w:r>
      <w:r w:rsidR="006D4D28">
        <w:rPr>
          <w:sz w:val="26"/>
          <w:szCs w:val="26"/>
        </w:rPr>
        <w:t xml:space="preserve">In addition, </w:t>
      </w:r>
      <w:r w:rsidR="00FC78C3">
        <w:rPr>
          <w:sz w:val="26"/>
          <w:szCs w:val="26"/>
        </w:rPr>
        <w:t>Peoples</w:t>
      </w:r>
      <w:r w:rsidR="006D4D28">
        <w:rPr>
          <w:sz w:val="26"/>
          <w:szCs w:val="26"/>
        </w:rPr>
        <w:t xml:space="preserve"> stated that the proposed producer retainage charge is estimated to recover approximately 19% of the UFG on the gathering system and will </w:t>
      </w:r>
      <w:r w:rsidR="006D4D28">
        <w:rPr>
          <w:sz w:val="26"/>
          <w:szCs w:val="26"/>
        </w:rPr>
        <w:lastRenderedPageBreak/>
        <w:t xml:space="preserve">also serve as an incentive to help reduce gathering </w:t>
      </w:r>
      <w:r w:rsidR="00FC78C3">
        <w:rPr>
          <w:sz w:val="26"/>
          <w:szCs w:val="26"/>
        </w:rPr>
        <w:t xml:space="preserve">system </w:t>
      </w:r>
      <w:r w:rsidR="006D4D28">
        <w:rPr>
          <w:sz w:val="26"/>
          <w:szCs w:val="26"/>
        </w:rPr>
        <w:t>UFG.</w:t>
      </w:r>
      <w:r w:rsidR="003562B0">
        <w:rPr>
          <w:rStyle w:val="FootnoteReference"/>
          <w:sz w:val="26"/>
          <w:szCs w:val="26"/>
        </w:rPr>
        <w:footnoteReference w:id="15"/>
      </w:r>
      <w:r w:rsidR="006D4D28">
        <w:rPr>
          <w:sz w:val="26"/>
          <w:szCs w:val="26"/>
        </w:rPr>
        <w:t xml:space="preserve">  PNG M.B. at 21.</w:t>
      </w:r>
      <w:r w:rsidR="00FC78C3">
        <w:rPr>
          <w:sz w:val="26"/>
          <w:szCs w:val="26"/>
        </w:rPr>
        <w:t xml:space="preserve">  </w:t>
      </w:r>
      <w:proofErr w:type="gramStart"/>
      <w:r w:rsidR="00FC78C3">
        <w:rPr>
          <w:sz w:val="26"/>
          <w:szCs w:val="26"/>
        </w:rPr>
        <w:t>C</w:t>
      </w:r>
      <w:r w:rsidR="00C375B4">
        <w:rPr>
          <w:sz w:val="26"/>
          <w:szCs w:val="26"/>
        </w:rPr>
        <w:t>onsidering the fact that</w:t>
      </w:r>
      <w:proofErr w:type="gramEnd"/>
      <w:r w:rsidR="00C375B4">
        <w:rPr>
          <w:sz w:val="26"/>
          <w:szCs w:val="26"/>
        </w:rPr>
        <w:t xml:space="preserve"> approximately 81% of the gathering system UFG would be recovered from </w:t>
      </w:r>
      <w:r w:rsidR="00FC78C3">
        <w:rPr>
          <w:sz w:val="26"/>
          <w:szCs w:val="26"/>
        </w:rPr>
        <w:t>Peoples</w:t>
      </w:r>
      <w:r w:rsidR="00734951">
        <w:rPr>
          <w:sz w:val="26"/>
          <w:szCs w:val="26"/>
        </w:rPr>
        <w:t>’</w:t>
      </w:r>
      <w:r w:rsidR="00FC78C3">
        <w:rPr>
          <w:sz w:val="26"/>
          <w:szCs w:val="26"/>
        </w:rPr>
        <w:t xml:space="preserve"> </w:t>
      </w:r>
      <w:r w:rsidR="00C375B4">
        <w:rPr>
          <w:sz w:val="26"/>
          <w:szCs w:val="26"/>
        </w:rPr>
        <w:t xml:space="preserve">customers and only 19% will be recovered from the producers, </w:t>
      </w:r>
      <w:r w:rsidR="00B60FBC">
        <w:rPr>
          <w:sz w:val="26"/>
          <w:szCs w:val="26"/>
        </w:rPr>
        <w:t>Peoples</w:t>
      </w:r>
      <w:r w:rsidR="00FC78C3">
        <w:rPr>
          <w:sz w:val="26"/>
          <w:szCs w:val="26"/>
        </w:rPr>
        <w:t xml:space="preserve"> believe </w:t>
      </w:r>
      <w:r w:rsidR="00C375B4">
        <w:rPr>
          <w:sz w:val="26"/>
          <w:szCs w:val="26"/>
        </w:rPr>
        <w:t xml:space="preserve">the proposed </w:t>
      </w:r>
      <w:r w:rsidR="00D2691F">
        <w:rPr>
          <w:sz w:val="26"/>
          <w:szCs w:val="26"/>
        </w:rPr>
        <w:t>charge</w:t>
      </w:r>
      <w:r w:rsidR="00C375B4">
        <w:rPr>
          <w:sz w:val="26"/>
          <w:szCs w:val="26"/>
        </w:rPr>
        <w:t xml:space="preserve"> is just and reasonable and should be approved by the Commission.  PNG M.B. at 11.</w:t>
      </w:r>
    </w:p>
    <w:p w14:paraId="0CDF888B" w14:textId="77777777" w:rsidR="00E43B54" w:rsidRPr="0006040E" w:rsidRDefault="00E43B54" w:rsidP="007374FA">
      <w:pPr>
        <w:pStyle w:val="ListParagraph"/>
        <w:widowControl/>
        <w:tabs>
          <w:tab w:val="left" w:pos="1445"/>
          <w:tab w:val="left" w:pos="7920"/>
        </w:tabs>
        <w:autoSpaceDE w:val="0"/>
        <w:autoSpaceDN w:val="0"/>
        <w:adjustRightInd w:val="0"/>
        <w:spacing w:line="360" w:lineRule="auto"/>
        <w:ind w:left="0" w:firstLine="1800"/>
        <w:rPr>
          <w:sz w:val="26"/>
          <w:szCs w:val="26"/>
        </w:rPr>
      </w:pPr>
    </w:p>
    <w:p w14:paraId="7685ED92" w14:textId="54537180" w:rsidR="00E9756E" w:rsidRDefault="00E9756E" w:rsidP="007374FA">
      <w:pPr>
        <w:pStyle w:val="Heading4"/>
      </w:pPr>
      <w:r>
        <w:t>PIOGA</w:t>
      </w:r>
      <w:r w:rsidR="00734951">
        <w:t>’</w:t>
      </w:r>
      <w:r>
        <w:t>s Position</w:t>
      </w:r>
    </w:p>
    <w:p w14:paraId="0AF7F945" w14:textId="77777777" w:rsidR="008267E8" w:rsidRDefault="008267E8" w:rsidP="007374FA">
      <w:pPr>
        <w:pStyle w:val="ListParagraph"/>
        <w:keepNext/>
        <w:keepLines/>
        <w:widowControl/>
        <w:tabs>
          <w:tab w:val="left" w:pos="1445"/>
          <w:tab w:val="left" w:pos="7920"/>
        </w:tabs>
        <w:autoSpaceDE w:val="0"/>
        <w:autoSpaceDN w:val="0"/>
        <w:adjustRightInd w:val="0"/>
        <w:spacing w:line="360" w:lineRule="auto"/>
        <w:ind w:left="1800"/>
        <w:rPr>
          <w:b/>
          <w:sz w:val="26"/>
          <w:szCs w:val="26"/>
        </w:rPr>
      </w:pPr>
    </w:p>
    <w:p w14:paraId="66229006" w14:textId="7547637F" w:rsidR="00A16F34" w:rsidRPr="00620A06" w:rsidRDefault="008267E8" w:rsidP="007374FA">
      <w:pPr>
        <w:widowControl/>
        <w:tabs>
          <w:tab w:val="left" w:pos="0"/>
        </w:tabs>
        <w:autoSpaceDE w:val="0"/>
        <w:autoSpaceDN w:val="0"/>
        <w:adjustRightInd w:val="0"/>
        <w:spacing w:line="360" w:lineRule="auto"/>
        <w:rPr>
          <w:sz w:val="26"/>
          <w:szCs w:val="26"/>
        </w:rPr>
      </w:pPr>
      <w:r>
        <w:rPr>
          <w:sz w:val="26"/>
          <w:szCs w:val="26"/>
        </w:rPr>
        <w:tab/>
      </w:r>
      <w:r>
        <w:rPr>
          <w:sz w:val="26"/>
          <w:szCs w:val="26"/>
        </w:rPr>
        <w:tab/>
      </w:r>
      <w:r w:rsidR="00620A06">
        <w:rPr>
          <w:sz w:val="26"/>
          <w:szCs w:val="26"/>
        </w:rPr>
        <w:t xml:space="preserve">PIOGA, </w:t>
      </w:r>
      <w:r w:rsidR="008072B2">
        <w:rPr>
          <w:sz w:val="26"/>
          <w:szCs w:val="26"/>
        </w:rPr>
        <w:t xml:space="preserve">on the other hand, </w:t>
      </w:r>
      <w:r w:rsidR="00620A06">
        <w:rPr>
          <w:sz w:val="26"/>
          <w:szCs w:val="26"/>
        </w:rPr>
        <w:t>oppose</w:t>
      </w:r>
      <w:r w:rsidR="003756AA">
        <w:rPr>
          <w:sz w:val="26"/>
          <w:szCs w:val="26"/>
        </w:rPr>
        <w:t>d</w:t>
      </w:r>
      <w:r w:rsidR="00620A06">
        <w:rPr>
          <w:sz w:val="26"/>
          <w:szCs w:val="26"/>
        </w:rPr>
        <w:t xml:space="preserve"> the </w:t>
      </w:r>
      <w:r w:rsidR="00331CDF">
        <w:rPr>
          <w:sz w:val="26"/>
          <w:szCs w:val="26"/>
        </w:rPr>
        <w:t>proposed charge</w:t>
      </w:r>
      <w:r w:rsidR="008072B2">
        <w:rPr>
          <w:sz w:val="26"/>
          <w:szCs w:val="26"/>
        </w:rPr>
        <w:t xml:space="preserve"> </w:t>
      </w:r>
      <w:r w:rsidR="00620A06">
        <w:rPr>
          <w:sz w:val="26"/>
          <w:szCs w:val="26"/>
        </w:rPr>
        <w:t xml:space="preserve">stating </w:t>
      </w:r>
      <w:r w:rsidR="004165AA">
        <w:rPr>
          <w:sz w:val="26"/>
          <w:szCs w:val="26"/>
        </w:rPr>
        <w:t>it</w:t>
      </w:r>
      <w:r w:rsidR="00620A06">
        <w:rPr>
          <w:sz w:val="26"/>
          <w:szCs w:val="26"/>
        </w:rPr>
        <w:t xml:space="preserve"> is unjust and unreasonable.  </w:t>
      </w:r>
      <w:r w:rsidR="009F1E7A">
        <w:rPr>
          <w:sz w:val="26"/>
          <w:szCs w:val="26"/>
        </w:rPr>
        <w:t xml:space="preserve">PIOGA M.B. at </w:t>
      </w:r>
      <w:r w:rsidR="00C334F9">
        <w:rPr>
          <w:sz w:val="26"/>
          <w:szCs w:val="26"/>
        </w:rPr>
        <w:t xml:space="preserve">6, </w:t>
      </w:r>
      <w:r w:rsidR="009F1E7A">
        <w:rPr>
          <w:sz w:val="26"/>
          <w:szCs w:val="26"/>
        </w:rPr>
        <w:t xml:space="preserve">14-15.  </w:t>
      </w:r>
      <w:r w:rsidR="00620A06">
        <w:rPr>
          <w:sz w:val="26"/>
          <w:szCs w:val="26"/>
        </w:rPr>
        <w:t>PIOGA contended that</w:t>
      </w:r>
      <w:r w:rsidR="003756AA">
        <w:rPr>
          <w:sz w:val="26"/>
          <w:szCs w:val="26"/>
        </w:rPr>
        <w:t xml:space="preserve"> the Compan</w:t>
      </w:r>
      <w:r w:rsidR="00413840">
        <w:rPr>
          <w:sz w:val="26"/>
          <w:szCs w:val="26"/>
        </w:rPr>
        <w:t>y</w:t>
      </w:r>
      <w:r w:rsidR="00734951">
        <w:rPr>
          <w:sz w:val="26"/>
          <w:szCs w:val="26"/>
        </w:rPr>
        <w:t>’</w:t>
      </w:r>
      <w:r w:rsidR="00413840">
        <w:rPr>
          <w:sz w:val="26"/>
          <w:szCs w:val="26"/>
        </w:rPr>
        <w:t xml:space="preserve">s </w:t>
      </w:r>
      <w:r w:rsidR="00620A06">
        <w:rPr>
          <w:sz w:val="26"/>
          <w:szCs w:val="26"/>
        </w:rPr>
        <w:t>claim that the producer retainage char</w:t>
      </w:r>
      <w:r w:rsidR="004165AA">
        <w:rPr>
          <w:sz w:val="26"/>
          <w:szCs w:val="26"/>
        </w:rPr>
        <w:t xml:space="preserve">ge would reduce the UFG borne by sales and transportation customers is unfounded.  </w:t>
      </w:r>
      <w:r w:rsidR="009F1E7A" w:rsidRPr="009F1E7A">
        <w:rPr>
          <w:i/>
          <w:sz w:val="26"/>
          <w:szCs w:val="26"/>
        </w:rPr>
        <w:t>Id</w:t>
      </w:r>
      <w:r w:rsidR="004165AA" w:rsidRPr="009F1E7A">
        <w:rPr>
          <w:i/>
          <w:sz w:val="26"/>
          <w:szCs w:val="26"/>
        </w:rPr>
        <w:t>.</w:t>
      </w:r>
      <w:r w:rsidR="004165AA">
        <w:rPr>
          <w:sz w:val="26"/>
          <w:szCs w:val="26"/>
        </w:rPr>
        <w:t xml:space="preserve"> at 6-7.  PIOGA averred that Peoples should maintain its </w:t>
      </w:r>
      <w:r w:rsidR="008F7C79">
        <w:rPr>
          <w:sz w:val="26"/>
          <w:szCs w:val="26"/>
        </w:rPr>
        <w:t xml:space="preserve">current </w:t>
      </w:r>
      <w:r w:rsidR="004165AA">
        <w:rPr>
          <w:sz w:val="26"/>
          <w:szCs w:val="26"/>
        </w:rPr>
        <w:t xml:space="preserve">uniquely integrated </w:t>
      </w:r>
      <w:r w:rsidR="00BF5B14">
        <w:rPr>
          <w:sz w:val="26"/>
          <w:szCs w:val="26"/>
        </w:rPr>
        <w:t xml:space="preserve">system </w:t>
      </w:r>
      <w:r w:rsidR="004165AA">
        <w:rPr>
          <w:sz w:val="26"/>
          <w:szCs w:val="26"/>
        </w:rPr>
        <w:t>operation and historical cost allocation methodology.  PIOGA question</w:t>
      </w:r>
      <w:r w:rsidR="005D14F9">
        <w:rPr>
          <w:sz w:val="26"/>
          <w:szCs w:val="26"/>
        </w:rPr>
        <w:t>ed</w:t>
      </w:r>
      <w:r w:rsidR="004165AA">
        <w:rPr>
          <w:sz w:val="26"/>
          <w:szCs w:val="26"/>
        </w:rPr>
        <w:t xml:space="preserve"> why the Company is </w:t>
      </w:r>
      <w:r w:rsidR="003723CB">
        <w:rPr>
          <w:sz w:val="26"/>
          <w:szCs w:val="26"/>
        </w:rPr>
        <w:t>suddenly</w:t>
      </w:r>
      <w:r w:rsidR="004165AA">
        <w:rPr>
          <w:sz w:val="26"/>
          <w:szCs w:val="26"/>
        </w:rPr>
        <w:t xml:space="preserve"> proposing to assign gathering system UFG costs to </w:t>
      </w:r>
      <w:r w:rsidR="003723CB">
        <w:rPr>
          <w:sz w:val="26"/>
          <w:szCs w:val="26"/>
        </w:rPr>
        <w:t>producers when</w:t>
      </w:r>
      <w:r w:rsidR="00BF5B14">
        <w:rPr>
          <w:sz w:val="26"/>
          <w:szCs w:val="26"/>
        </w:rPr>
        <w:t xml:space="preserve">, in </w:t>
      </w:r>
      <w:r w:rsidR="007415A9">
        <w:rPr>
          <w:sz w:val="26"/>
          <w:szCs w:val="26"/>
        </w:rPr>
        <w:t>the 2017</w:t>
      </w:r>
      <w:r w:rsidR="00BF5B14">
        <w:rPr>
          <w:sz w:val="26"/>
          <w:szCs w:val="26"/>
        </w:rPr>
        <w:t xml:space="preserve"> PGC proceeding</w:t>
      </w:r>
      <w:r w:rsidR="007415A9">
        <w:rPr>
          <w:sz w:val="26"/>
          <w:szCs w:val="26"/>
        </w:rPr>
        <w:t>s</w:t>
      </w:r>
      <w:r w:rsidR="00BF5B14">
        <w:rPr>
          <w:sz w:val="26"/>
          <w:szCs w:val="26"/>
        </w:rPr>
        <w:t xml:space="preserve">, the Company </w:t>
      </w:r>
      <w:r w:rsidR="007415A9">
        <w:rPr>
          <w:sz w:val="26"/>
          <w:szCs w:val="26"/>
        </w:rPr>
        <w:t xml:space="preserve">was </w:t>
      </w:r>
      <w:r w:rsidR="004165AA">
        <w:rPr>
          <w:sz w:val="26"/>
          <w:szCs w:val="26"/>
        </w:rPr>
        <w:t>vehemently opposed</w:t>
      </w:r>
      <w:r w:rsidR="007415A9">
        <w:rPr>
          <w:sz w:val="26"/>
          <w:szCs w:val="26"/>
        </w:rPr>
        <w:t xml:space="preserve"> to</w:t>
      </w:r>
      <w:r w:rsidR="00BF5B14">
        <w:rPr>
          <w:sz w:val="26"/>
          <w:szCs w:val="26"/>
        </w:rPr>
        <w:t xml:space="preserve"> </w:t>
      </w:r>
      <w:r w:rsidR="004165AA">
        <w:rPr>
          <w:sz w:val="26"/>
          <w:szCs w:val="26"/>
        </w:rPr>
        <w:t>the OCA</w:t>
      </w:r>
      <w:r w:rsidR="00734951">
        <w:rPr>
          <w:sz w:val="26"/>
          <w:szCs w:val="26"/>
        </w:rPr>
        <w:t>’</w:t>
      </w:r>
      <w:r w:rsidR="00007980">
        <w:rPr>
          <w:sz w:val="26"/>
          <w:szCs w:val="26"/>
        </w:rPr>
        <w:t>s proposal to assign a similar charge to</w:t>
      </w:r>
      <w:r w:rsidR="005D14F9">
        <w:rPr>
          <w:sz w:val="26"/>
          <w:szCs w:val="26"/>
        </w:rPr>
        <w:t xml:space="preserve"> Peoples</w:t>
      </w:r>
      <w:r w:rsidR="00734951">
        <w:rPr>
          <w:sz w:val="26"/>
          <w:szCs w:val="26"/>
        </w:rPr>
        <w:t>’</w:t>
      </w:r>
      <w:r w:rsidR="00007980">
        <w:rPr>
          <w:sz w:val="26"/>
          <w:szCs w:val="26"/>
        </w:rPr>
        <w:t xml:space="preserve"> transportation customers.</w:t>
      </w:r>
      <w:r w:rsidR="003723CB">
        <w:rPr>
          <w:sz w:val="26"/>
          <w:szCs w:val="26"/>
        </w:rPr>
        <w:t xml:space="preserve">  </w:t>
      </w:r>
      <w:r w:rsidR="003723CB" w:rsidRPr="004165AA">
        <w:rPr>
          <w:i/>
          <w:sz w:val="26"/>
          <w:szCs w:val="26"/>
        </w:rPr>
        <w:t>Id.</w:t>
      </w:r>
      <w:r w:rsidR="003723CB">
        <w:rPr>
          <w:sz w:val="26"/>
          <w:szCs w:val="26"/>
        </w:rPr>
        <w:t xml:space="preserve"> at 8-9.</w:t>
      </w:r>
    </w:p>
    <w:p w14:paraId="56FC2CB7" w14:textId="77777777" w:rsidR="004F47BD" w:rsidRDefault="004F47BD" w:rsidP="007374FA">
      <w:pPr>
        <w:pStyle w:val="ListParagraph"/>
        <w:widowControl/>
        <w:tabs>
          <w:tab w:val="left" w:pos="1445"/>
          <w:tab w:val="left" w:pos="7920"/>
        </w:tabs>
        <w:autoSpaceDE w:val="0"/>
        <w:autoSpaceDN w:val="0"/>
        <w:adjustRightInd w:val="0"/>
        <w:spacing w:line="360" w:lineRule="auto"/>
        <w:ind w:left="1800"/>
        <w:rPr>
          <w:b/>
          <w:sz w:val="26"/>
          <w:szCs w:val="26"/>
        </w:rPr>
      </w:pPr>
    </w:p>
    <w:p w14:paraId="234C4FF5" w14:textId="59C73DD7" w:rsidR="00A51E31" w:rsidRDefault="0069309B" w:rsidP="007374FA">
      <w:pPr>
        <w:pStyle w:val="ListParagraph"/>
        <w:widowControl/>
        <w:tabs>
          <w:tab w:val="left" w:pos="1445"/>
          <w:tab w:val="left" w:pos="7920"/>
        </w:tabs>
        <w:autoSpaceDE w:val="0"/>
        <w:autoSpaceDN w:val="0"/>
        <w:adjustRightInd w:val="0"/>
        <w:spacing w:line="360" w:lineRule="auto"/>
        <w:ind w:left="0"/>
        <w:rPr>
          <w:sz w:val="26"/>
          <w:szCs w:val="26"/>
        </w:rPr>
      </w:pPr>
      <w:r>
        <w:rPr>
          <w:sz w:val="26"/>
          <w:szCs w:val="26"/>
        </w:rPr>
        <w:tab/>
      </w:r>
      <w:proofErr w:type="gramStart"/>
      <w:r w:rsidR="00A51E31">
        <w:rPr>
          <w:sz w:val="26"/>
          <w:szCs w:val="26"/>
        </w:rPr>
        <w:t>In an attempt to</w:t>
      </w:r>
      <w:proofErr w:type="gramEnd"/>
      <w:r w:rsidR="00A51E31">
        <w:rPr>
          <w:sz w:val="26"/>
          <w:szCs w:val="26"/>
        </w:rPr>
        <w:t xml:space="preserve"> </w:t>
      </w:r>
      <w:r w:rsidR="00F05A0F">
        <w:rPr>
          <w:sz w:val="26"/>
          <w:szCs w:val="26"/>
        </w:rPr>
        <w:t xml:space="preserve">refute </w:t>
      </w:r>
      <w:r w:rsidR="00A51E31">
        <w:rPr>
          <w:sz w:val="26"/>
          <w:szCs w:val="26"/>
        </w:rPr>
        <w:t>the Company</w:t>
      </w:r>
      <w:r w:rsidR="00734951">
        <w:rPr>
          <w:sz w:val="26"/>
          <w:szCs w:val="26"/>
        </w:rPr>
        <w:t>’</w:t>
      </w:r>
      <w:r w:rsidR="00A51E31">
        <w:rPr>
          <w:sz w:val="26"/>
          <w:szCs w:val="26"/>
        </w:rPr>
        <w:t>s reliance on accounting definitions or classifications for pipeline</w:t>
      </w:r>
      <w:r w:rsidR="007321FD">
        <w:rPr>
          <w:sz w:val="26"/>
          <w:szCs w:val="26"/>
        </w:rPr>
        <w:t>s</w:t>
      </w:r>
      <w:r w:rsidR="00A51E31">
        <w:rPr>
          <w:sz w:val="26"/>
          <w:szCs w:val="26"/>
        </w:rPr>
        <w:t xml:space="preserve">, </w:t>
      </w:r>
      <w:r w:rsidR="00A51E31" w:rsidRPr="00A51E31">
        <w:rPr>
          <w:sz w:val="26"/>
          <w:szCs w:val="26"/>
        </w:rPr>
        <w:t>PIOGA</w:t>
      </w:r>
      <w:r w:rsidR="00A51E31">
        <w:rPr>
          <w:sz w:val="26"/>
          <w:szCs w:val="26"/>
        </w:rPr>
        <w:t xml:space="preserve"> </w:t>
      </w:r>
      <w:r w:rsidR="00972103">
        <w:rPr>
          <w:sz w:val="26"/>
          <w:szCs w:val="26"/>
        </w:rPr>
        <w:t xml:space="preserve">proposed </w:t>
      </w:r>
      <w:r w:rsidR="00A51E31">
        <w:rPr>
          <w:sz w:val="26"/>
          <w:szCs w:val="26"/>
        </w:rPr>
        <w:t>the following definitions it believes more accurately describe</w:t>
      </w:r>
      <w:r w:rsidR="00B11FD7">
        <w:rPr>
          <w:sz w:val="26"/>
          <w:szCs w:val="26"/>
        </w:rPr>
        <w:t>s</w:t>
      </w:r>
      <w:r w:rsidR="00A51E31">
        <w:rPr>
          <w:sz w:val="26"/>
          <w:szCs w:val="26"/>
        </w:rPr>
        <w:t xml:space="preserve"> P</w:t>
      </w:r>
      <w:r w:rsidR="007321FD">
        <w:rPr>
          <w:sz w:val="26"/>
          <w:szCs w:val="26"/>
        </w:rPr>
        <w:t>eoples</w:t>
      </w:r>
      <w:r w:rsidR="00734951">
        <w:rPr>
          <w:sz w:val="26"/>
          <w:szCs w:val="26"/>
        </w:rPr>
        <w:t>’</w:t>
      </w:r>
      <w:r w:rsidR="00A51E31">
        <w:rPr>
          <w:sz w:val="26"/>
          <w:szCs w:val="26"/>
        </w:rPr>
        <w:t xml:space="preserve"> unique pipeline systems as it pertains to </w:t>
      </w:r>
      <w:r w:rsidR="00B11FD7">
        <w:rPr>
          <w:sz w:val="26"/>
          <w:szCs w:val="26"/>
        </w:rPr>
        <w:t>U</w:t>
      </w:r>
      <w:r w:rsidR="00A51E31">
        <w:rPr>
          <w:sz w:val="26"/>
          <w:szCs w:val="26"/>
        </w:rPr>
        <w:t>FG:</w:t>
      </w:r>
    </w:p>
    <w:p w14:paraId="41A43DEC" w14:textId="77777777" w:rsidR="00A51E31" w:rsidRDefault="00A51E31" w:rsidP="007374FA">
      <w:pPr>
        <w:pStyle w:val="ListParagraph"/>
        <w:widowControl/>
        <w:tabs>
          <w:tab w:val="left" w:pos="1445"/>
          <w:tab w:val="left" w:pos="7920"/>
        </w:tabs>
        <w:autoSpaceDE w:val="0"/>
        <w:autoSpaceDN w:val="0"/>
        <w:adjustRightInd w:val="0"/>
        <w:spacing w:line="360" w:lineRule="auto"/>
        <w:ind w:left="0" w:firstLine="1800"/>
        <w:rPr>
          <w:sz w:val="26"/>
          <w:szCs w:val="26"/>
        </w:rPr>
      </w:pPr>
    </w:p>
    <w:p w14:paraId="54E8715B" w14:textId="77777777" w:rsidR="00A51E31" w:rsidRDefault="00A51E31" w:rsidP="007374FA">
      <w:pPr>
        <w:pStyle w:val="ListParagraph"/>
        <w:widowControl/>
        <w:tabs>
          <w:tab w:val="left" w:pos="1445"/>
          <w:tab w:val="left" w:pos="7920"/>
        </w:tabs>
        <w:autoSpaceDE w:val="0"/>
        <w:autoSpaceDN w:val="0"/>
        <w:adjustRightInd w:val="0"/>
        <w:ind w:left="1440" w:right="1440"/>
        <w:rPr>
          <w:sz w:val="26"/>
          <w:szCs w:val="26"/>
        </w:rPr>
      </w:pPr>
      <w:r w:rsidRPr="00E17C7F">
        <w:rPr>
          <w:sz w:val="26"/>
          <w:szCs w:val="26"/>
        </w:rPr>
        <w:t>Production Pipeline:</w:t>
      </w:r>
      <w:r>
        <w:rPr>
          <w:sz w:val="26"/>
          <w:szCs w:val="26"/>
        </w:rPr>
        <w:t xml:space="preserve"> </w:t>
      </w:r>
      <w:r w:rsidR="00E17C7F">
        <w:rPr>
          <w:sz w:val="26"/>
          <w:szCs w:val="26"/>
        </w:rPr>
        <w:t>a</w:t>
      </w:r>
      <w:r>
        <w:rPr>
          <w:sz w:val="26"/>
          <w:szCs w:val="26"/>
        </w:rPr>
        <w:t xml:space="preserve"> pipeline connecting a single well to either a gathering pipeline or </w:t>
      </w:r>
      <w:r w:rsidR="00E17C7F">
        <w:rPr>
          <w:sz w:val="26"/>
          <w:szCs w:val="26"/>
        </w:rPr>
        <w:t>D</w:t>
      </w:r>
      <w:r>
        <w:rPr>
          <w:sz w:val="26"/>
          <w:szCs w:val="26"/>
        </w:rPr>
        <w:t xml:space="preserve">istribution </w:t>
      </w:r>
      <w:r w:rsidR="00E17C7F">
        <w:rPr>
          <w:sz w:val="26"/>
          <w:szCs w:val="26"/>
        </w:rPr>
        <w:t>P</w:t>
      </w:r>
      <w:r>
        <w:rPr>
          <w:sz w:val="26"/>
          <w:szCs w:val="26"/>
        </w:rPr>
        <w:t>ipeline, and that may have a free gas landowner customer connected to it.</w:t>
      </w:r>
    </w:p>
    <w:p w14:paraId="74519C1A" w14:textId="77777777" w:rsidR="00A51E31" w:rsidRDefault="00A51E31" w:rsidP="007374FA">
      <w:pPr>
        <w:pStyle w:val="ListParagraph"/>
        <w:widowControl/>
        <w:tabs>
          <w:tab w:val="left" w:pos="1445"/>
          <w:tab w:val="left" w:pos="7920"/>
        </w:tabs>
        <w:autoSpaceDE w:val="0"/>
        <w:autoSpaceDN w:val="0"/>
        <w:adjustRightInd w:val="0"/>
        <w:ind w:left="1440" w:right="1440"/>
        <w:rPr>
          <w:sz w:val="26"/>
          <w:szCs w:val="26"/>
        </w:rPr>
      </w:pPr>
    </w:p>
    <w:p w14:paraId="79DE8ECC" w14:textId="77777777" w:rsidR="00E17C7F" w:rsidRDefault="00A51E31" w:rsidP="007374FA">
      <w:pPr>
        <w:pStyle w:val="ListParagraph"/>
        <w:widowControl/>
        <w:tabs>
          <w:tab w:val="left" w:pos="1445"/>
          <w:tab w:val="left" w:pos="7920"/>
        </w:tabs>
        <w:autoSpaceDE w:val="0"/>
        <w:autoSpaceDN w:val="0"/>
        <w:adjustRightInd w:val="0"/>
        <w:ind w:left="1440" w:right="1440"/>
        <w:rPr>
          <w:sz w:val="26"/>
          <w:szCs w:val="26"/>
        </w:rPr>
      </w:pPr>
      <w:r>
        <w:rPr>
          <w:sz w:val="26"/>
          <w:szCs w:val="26"/>
        </w:rPr>
        <w:lastRenderedPageBreak/>
        <w:t xml:space="preserve">Gathering Pipeline: </w:t>
      </w:r>
      <w:r w:rsidR="00E17C7F">
        <w:rPr>
          <w:sz w:val="26"/>
          <w:szCs w:val="26"/>
        </w:rPr>
        <w:t xml:space="preserve">a pipeline that may have free gas landowner customers connected but no PUC regulated customers connected, that aggregates production from multiple Production Pipelines and then connects with a Distribution Pipeline or a Transmission Pipeline.  </w:t>
      </w:r>
    </w:p>
    <w:p w14:paraId="6A1923F7" w14:textId="77777777" w:rsidR="00E17C7F" w:rsidRDefault="00E17C7F" w:rsidP="007374FA">
      <w:pPr>
        <w:pStyle w:val="ListParagraph"/>
        <w:widowControl/>
        <w:tabs>
          <w:tab w:val="left" w:pos="1445"/>
          <w:tab w:val="left" w:pos="7920"/>
        </w:tabs>
        <w:autoSpaceDE w:val="0"/>
        <w:autoSpaceDN w:val="0"/>
        <w:adjustRightInd w:val="0"/>
        <w:ind w:left="1440" w:right="1440"/>
        <w:rPr>
          <w:sz w:val="26"/>
          <w:szCs w:val="26"/>
        </w:rPr>
      </w:pPr>
    </w:p>
    <w:p w14:paraId="61859E4F" w14:textId="44346607" w:rsidR="00E730D9" w:rsidRDefault="00E730D9" w:rsidP="00315E01">
      <w:pPr>
        <w:pStyle w:val="ListParagraph"/>
        <w:keepNext/>
        <w:keepLines/>
        <w:widowControl/>
        <w:tabs>
          <w:tab w:val="left" w:pos="1445"/>
          <w:tab w:val="left" w:pos="7920"/>
        </w:tabs>
        <w:autoSpaceDE w:val="0"/>
        <w:autoSpaceDN w:val="0"/>
        <w:adjustRightInd w:val="0"/>
        <w:ind w:left="1440" w:right="1440"/>
        <w:rPr>
          <w:sz w:val="26"/>
          <w:szCs w:val="26"/>
        </w:rPr>
      </w:pPr>
      <w:r>
        <w:rPr>
          <w:sz w:val="26"/>
          <w:szCs w:val="26"/>
        </w:rPr>
        <w:t>Distribution Pipeline: a pipeline that has PUC regulated customers connected to it.</w:t>
      </w:r>
    </w:p>
    <w:p w14:paraId="293AF103" w14:textId="77777777" w:rsidR="00F70129" w:rsidRDefault="00F70129" w:rsidP="00315E01">
      <w:pPr>
        <w:pStyle w:val="ListParagraph"/>
        <w:keepNext/>
        <w:keepLines/>
        <w:widowControl/>
        <w:tabs>
          <w:tab w:val="left" w:pos="1445"/>
          <w:tab w:val="left" w:pos="7920"/>
        </w:tabs>
        <w:autoSpaceDE w:val="0"/>
        <w:autoSpaceDN w:val="0"/>
        <w:adjustRightInd w:val="0"/>
        <w:ind w:left="1440" w:right="1440"/>
        <w:rPr>
          <w:sz w:val="26"/>
          <w:szCs w:val="26"/>
        </w:rPr>
      </w:pPr>
    </w:p>
    <w:p w14:paraId="5E1725E6" w14:textId="77777777" w:rsidR="00E730D9" w:rsidRDefault="00E730D9" w:rsidP="00315E01">
      <w:pPr>
        <w:pStyle w:val="ListParagraph"/>
        <w:keepNext/>
        <w:keepLines/>
        <w:widowControl/>
        <w:tabs>
          <w:tab w:val="left" w:pos="1445"/>
          <w:tab w:val="left" w:pos="7920"/>
        </w:tabs>
        <w:autoSpaceDE w:val="0"/>
        <w:autoSpaceDN w:val="0"/>
        <w:adjustRightInd w:val="0"/>
        <w:ind w:left="1440" w:right="1440"/>
        <w:rPr>
          <w:sz w:val="26"/>
          <w:szCs w:val="26"/>
        </w:rPr>
      </w:pPr>
    </w:p>
    <w:p w14:paraId="3915C34B" w14:textId="437FC83C" w:rsidR="00E17C7F" w:rsidRDefault="00F05A0F" w:rsidP="007374FA">
      <w:pPr>
        <w:widowControl/>
        <w:tabs>
          <w:tab w:val="left" w:pos="1445"/>
          <w:tab w:val="left" w:pos="7920"/>
        </w:tabs>
        <w:autoSpaceDE w:val="0"/>
        <w:autoSpaceDN w:val="0"/>
        <w:adjustRightInd w:val="0"/>
        <w:spacing w:line="360" w:lineRule="auto"/>
        <w:rPr>
          <w:sz w:val="26"/>
          <w:szCs w:val="26"/>
        </w:rPr>
      </w:pPr>
      <w:r>
        <w:rPr>
          <w:sz w:val="26"/>
          <w:szCs w:val="26"/>
        </w:rPr>
        <w:t xml:space="preserve">PIOGA M.B. </w:t>
      </w:r>
      <w:r w:rsidR="00E17C7F">
        <w:rPr>
          <w:sz w:val="26"/>
          <w:szCs w:val="26"/>
        </w:rPr>
        <w:t>at 9-1</w:t>
      </w:r>
      <w:r w:rsidR="001A6C22">
        <w:rPr>
          <w:sz w:val="26"/>
          <w:szCs w:val="26"/>
        </w:rPr>
        <w:t>1</w:t>
      </w:r>
      <w:r w:rsidR="00E730D9">
        <w:rPr>
          <w:sz w:val="26"/>
          <w:szCs w:val="26"/>
        </w:rPr>
        <w:t xml:space="preserve"> (citing PIOGA St. 1-SR at 6)</w:t>
      </w:r>
      <w:r w:rsidR="00E17C7F">
        <w:rPr>
          <w:sz w:val="26"/>
          <w:szCs w:val="26"/>
        </w:rPr>
        <w:t xml:space="preserve">.  </w:t>
      </w:r>
      <w:r w:rsidR="001A6C22">
        <w:rPr>
          <w:sz w:val="26"/>
          <w:szCs w:val="26"/>
        </w:rPr>
        <w:t>Based on the above definition</w:t>
      </w:r>
      <w:r w:rsidR="0087006E">
        <w:rPr>
          <w:sz w:val="26"/>
          <w:szCs w:val="26"/>
        </w:rPr>
        <w:t>s</w:t>
      </w:r>
      <w:r w:rsidR="001A6C22">
        <w:rPr>
          <w:sz w:val="26"/>
          <w:szCs w:val="26"/>
        </w:rPr>
        <w:t xml:space="preserve">, PIOGA </w:t>
      </w:r>
      <w:r w:rsidR="005154AE">
        <w:rPr>
          <w:sz w:val="26"/>
          <w:szCs w:val="26"/>
        </w:rPr>
        <w:t>contends</w:t>
      </w:r>
      <w:r w:rsidR="001A6C22">
        <w:rPr>
          <w:sz w:val="26"/>
          <w:szCs w:val="26"/>
        </w:rPr>
        <w:t xml:space="preserve"> </w:t>
      </w:r>
      <w:r w:rsidR="0002415E">
        <w:rPr>
          <w:sz w:val="26"/>
          <w:szCs w:val="26"/>
        </w:rPr>
        <w:t xml:space="preserve">the </w:t>
      </w:r>
      <w:r w:rsidR="0087006E">
        <w:rPr>
          <w:sz w:val="26"/>
          <w:szCs w:val="26"/>
        </w:rPr>
        <w:t>Company</w:t>
      </w:r>
      <w:r w:rsidR="00734951">
        <w:rPr>
          <w:sz w:val="26"/>
          <w:szCs w:val="26"/>
        </w:rPr>
        <w:t>’</w:t>
      </w:r>
      <w:r w:rsidR="0087006E">
        <w:rPr>
          <w:sz w:val="26"/>
          <w:szCs w:val="26"/>
        </w:rPr>
        <w:t xml:space="preserve">s </w:t>
      </w:r>
      <w:r w:rsidR="0002415E">
        <w:rPr>
          <w:sz w:val="26"/>
          <w:szCs w:val="26"/>
        </w:rPr>
        <w:t xml:space="preserve">focus on </w:t>
      </w:r>
      <w:r w:rsidR="0087006E">
        <w:rPr>
          <w:sz w:val="26"/>
          <w:szCs w:val="26"/>
        </w:rPr>
        <w:t xml:space="preserve">conventional gas </w:t>
      </w:r>
      <w:r w:rsidR="0002415E">
        <w:rPr>
          <w:sz w:val="26"/>
          <w:szCs w:val="26"/>
        </w:rPr>
        <w:t xml:space="preserve">producers to achieve the goals of </w:t>
      </w:r>
      <w:r>
        <w:rPr>
          <w:sz w:val="26"/>
          <w:szCs w:val="26"/>
        </w:rPr>
        <w:t>its</w:t>
      </w:r>
      <w:r w:rsidR="0002415E">
        <w:rPr>
          <w:sz w:val="26"/>
          <w:szCs w:val="26"/>
        </w:rPr>
        <w:t xml:space="preserve"> UFG Mitigation Plan is misplaced.  M.B. at 11.</w:t>
      </w:r>
    </w:p>
    <w:p w14:paraId="12F1ECD0" w14:textId="77777777" w:rsidR="00933B58" w:rsidRDefault="00933B58" w:rsidP="007374FA">
      <w:pPr>
        <w:widowControl/>
        <w:tabs>
          <w:tab w:val="left" w:pos="1445"/>
          <w:tab w:val="left" w:pos="7920"/>
        </w:tabs>
        <w:autoSpaceDE w:val="0"/>
        <w:autoSpaceDN w:val="0"/>
        <w:adjustRightInd w:val="0"/>
        <w:spacing w:line="360" w:lineRule="auto"/>
        <w:rPr>
          <w:sz w:val="26"/>
          <w:szCs w:val="26"/>
        </w:rPr>
      </w:pPr>
    </w:p>
    <w:p w14:paraId="6616B5DC" w14:textId="2F8CF83C" w:rsidR="00A972DB" w:rsidRDefault="00A972DB" w:rsidP="007374FA">
      <w:pPr>
        <w:widowControl/>
        <w:tabs>
          <w:tab w:val="left" w:pos="1445"/>
          <w:tab w:val="left" w:pos="7920"/>
        </w:tabs>
        <w:autoSpaceDE w:val="0"/>
        <w:autoSpaceDN w:val="0"/>
        <w:adjustRightInd w:val="0"/>
        <w:spacing w:line="360" w:lineRule="auto"/>
        <w:rPr>
          <w:sz w:val="26"/>
          <w:szCs w:val="26"/>
        </w:rPr>
      </w:pPr>
      <w:r>
        <w:rPr>
          <w:sz w:val="26"/>
          <w:szCs w:val="26"/>
        </w:rPr>
        <w:tab/>
        <w:t>PIOGA also disagreed with Peoples</w:t>
      </w:r>
      <w:r w:rsidR="00734951">
        <w:rPr>
          <w:sz w:val="26"/>
          <w:szCs w:val="26"/>
        </w:rPr>
        <w:t>’</w:t>
      </w:r>
      <w:r>
        <w:rPr>
          <w:sz w:val="26"/>
          <w:szCs w:val="26"/>
        </w:rPr>
        <w:t xml:space="preserve"> characterization of its gathering and distribution systems as </w:t>
      </w:r>
      <w:r w:rsidR="00734951">
        <w:rPr>
          <w:sz w:val="26"/>
          <w:szCs w:val="26"/>
        </w:rPr>
        <w:t>“</w:t>
      </w:r>
      <w:r>
        <w:rPr>
          <w:sz w:val="26"/>
          <w:szCs w:val="26"/>
        </w:rPr>
        <w:t>gatherers.</w:t>
      </w:r>
      <w:r w:rsidR="00734951">
        <w:rPr>
          <w:sz w:val="26"/>
          <w:szCs w:val="26"/>
        </w:rPr>
        <w:t>”</w:t>
      </w:r>
      <w:r>
        <w:rPr>
          <w:sz w:val="26"/>
          <w:szCs w:val="26"/>
        </w:rPr>
        <w:t xml:space="preserve">  PIOGA argued the Companies are not </w:t>
      </w:r>
      <w:r w:rsidR="00734951">
        <w:rPr>
          <w:sz w:val="26"/>
          <w:szCs w:val="26"/>
        </w:rPr>
        <w:t>“</w:t>
      </w:r>
      <w:r>
        <w:rPr>
          <w:sz w:val="26"/>
          <w:szCs w:val="26"/>
        </w:rPr>
        <w:t>true</w:t>
      </w:r>
      <w:r w:rsidR="00734951">
        <w:rPr>
          <w:sz w:val="26"/>
          <w:szCs w:val="26"/>
        </w:rPr>
        <w:t>”</w:t>
      </w:r>
      <w:r>
        <w:rPr>
          <w:sz w:val="26"/>
          <w:szCs w:val="26"/>
        </w:rPr>
        <w:t xml:space="preserve"> gatherers with respect to their gathering systems</w:t>
      </w:r>
      <w:r w:rsidR="006B72F5">
        <w:rPr>
          <w:sz w:val="26"/>
          <w:szCs w:val="26"/>
        </w:rPr>
        <w:t xml:space="preserve"> because, unlike Peoples</w:t>
      </w:r>
      <w:r w:rsidR="00734951">
        <w:rPr>
          <w:sz w:val="26"/>
          <w:szCs w:val="26"/>
        </w:rPr>
        <w:t>’</w:t>
      </w:r>
      <w:r w:rsidR="00667465">
        <w:rPr>
          <w:sz w:val="26"/>
          <w:szCs w:val="26"/>
        </w:rPr>
        <w:t xml:space="preserve"> system</w:t>
      </w:r>
      <w:r w:rsidR="006B72F5">
        <w:rPr>
          <w:sz w:val="26"/>
          <w:szCs w:val="26"/>
        </w:rPr>
        <w:t>, gathering pipelines, for the most part, are owned by FERC-regulated pipeline</w:t>
      </w:r>
      <w:r>
        <w:rPr>
          <w:sz w:val="26"/>
          <w:szCs w:val="26"/>
        </w:rPr>
        <w:t xml:space="preserve">.  </w:t>
      </w:r>
      <w:r w:rsidRPr="00A972DB">
        <w:rPr>
          <w:i/>
          <w:sz w:val="26"/>
          <w:szCs w:val="26"/>
        </w:rPr>
        <w:t xml:space="preserve">Id. </w:t>
      </w:r>
      <w:r>
        <w:rPr>
          <w:sz w:val="26"/>
          <w:szCs w:val="26"/>
        </w:rPr>
        <w:t>at</w:t>
      </w:r>
      <w:r w:rsidR="00F70129">
        <w:rPr>
          <w:sz w:val="26"/>
          <w:szCs w:val="26"/>
        </w:rPr>
        <w:t> </w:t>
      </w:r>
      <w:r>
        <w:rPr>
          <w:sz w:val="26"/>
          <w:szCs w:val="26"/>
        </w:rPr>
        <w:t>12</w:t>
      </w:r>
      <w:r w:rsidR="00F70129">
        <w:rPr>
          <w:sz w:val="26"/>
          <w:szCs w:val="26"/>
        </w:rPr>
        <w:noBreakHyphen/>
      </w:r>
      <w:r w:rsidR="006B72F5">
        <w:rPr>
          <w:sz w:val="26"/>
          <w:szCs w:val="26"/>
        </w:rPr>
        <w:t>13</w:t>
      </w:r>
      <w:r>
        <w:rPr>
          <w:sz w:val="26"/>
          <w:szCs w:val="26"/>
        </w:rPr>
        <w:t xml:space="preserve">.  </w:t>
      </w:r>
      <w:r w:rsidR="00B0739D">
        <w:rPr>
          <w:sz w:val="26"/>
          <w:szCs w:val="26"/>
        </w:rPr>
        <w:t>Furthermore, PIOGA reject</w:t>
      </w:r>
      <w:r w:rsidR="00B852D6">
        <w:rPr>
          <w:sz w:val="26"/>
          <w:szCs w:val="26"/>
        </w:rPr>
        <w:t>ed</w:t>
      </w:r>
      <w:r w:rsidR="00B0739D">
        <w:rPr>
          <w:sz w:val="26"/>
          <w:szCs w:val="26"/>
        </w:rPr>
        <w:t xml:space="preserve"> the notion that the conventional gas producers are major contributors to </w:t>
      </w:r>
      <w:r w:rsidR="00B852D6">
        <w:rPr>
          <w:sz w:val="26"/>
          <w:szCs w:val="26"/>
        </w:rPr>
        <w:t>Peoples</w:t>
      </w:r>
      <w:r w:rsidR="00734951">
        <w:rPr>
          <w:sz w:val="26"/>
          <w:szCs w:val="26"/>
        </w:rPr>
        <w:t>’</w:t>
      </w:r>
      <w:r w:rsidR="00B0739D">
        <w:rPr>
          <w:sz w:val="26"/>
          <w:szCs w:val="26"/>
        </w:rPr>
        <w:t xml:space="preserve"> high gathering system UFG.  Rather, PIOGA argued the current state of the </w:t>
      </w:r>
      <w:r w:rsidR="00667465">
        <w:rPr>
          <w:sz w:val="26"/>
          <w:szCs w:val="26"/>
        </w:rPr>
        <w:t>Companies</w:t>
      </w:r>
      <w:r w:rsidR="00734951">
        <w:rPr>
          <w:sz w:val="26"/>
          <w:szCs w:val="26"/>
        </w:rPr>
        <w:t>’</w:t>
      </w:r>
      <w:r w:rsidR="00667465">
        <w:rPr>
          <w:sz w:val="26"/>
          <w:szCs w:val="26"/>
        </w:rPr>
        <w:t xml:space="preserve"> </w:t>
      </w:r>
      <w:r w:rsidR="00B0739D">
        <w:rPr>
          <w:sz w:val="26"/>
          <w:szCs w:val="26"/>
        </w:rPr>
        <w:t xml:space="preserve">gathering system pipelines is </w:t>
      </w:r>
      <w:r w:rsidR="002645D2">
        <w:rPr>
          <w:sz w:val="26"/>
          <w:szCs w:val="26"/>
        </w:rPr>
        <w:t>due to</w:t>
      </w:r>
      <w:r w:rsidR="00B0739D">
        <w:rPr>
          <w:sz w:val="26"/>
          <w:szCs w:val="26"/>
        </w:rPr>
        <w:t xml:space="preserve"> years of neglect on the part of the Compan</w:t>
      </w:r>
      <w:r w:rsidR="009C624E">
        <w:rPr>
          <w:sz w:val="26"/>
          <w:szCs w:val="26"/>
        </w:rPr>
        <w:t>y</w:t>
      </w:r>
      <w:r w:rsidR="00B0739D">
        <w:rPr>
          <w:sz w:val="26"/>
          <w:szCs w:val="26"/>
        </w:rPr>
        <w:t xml:space="preserve">.   </w:t>
      </w:r>
      <w:r w:rsidR="00B0739D" w:rsidRPr="00A972DB">
        <w:rPr>
          <w:i/>
          <w:sz w:val="26"/>
          <w:szCs w:val="26"/>
        </w:rPr>
        <w:t xml:space="preserve">Id. </w:t>
      </w:r>
      <w:r w:rsidR="00B0739D">
        <w:rPr>
          <w:sz w:val="26"/>
          <w:szCs w:val="26"/>
        </w:rPr>
        <w:t>at 13</w:t>
      </w:r>
      <w:r w:rsidR="00DA365C">
        <w:rPr>
          <w:sz w:val="26"/>
          <w:szCs w:val="26"/>
        </w:rPr>
        <w:t>-14</w:t>
      </w:r>
      <w:r w:rsidR="00B0739D">
        <w:rPr>
          <w:sz w:val="26"/>
          <w:szCs w:val="26"/>
        </w:rPr>
        <w:t xml:space="preserve"> (citing PIOGA St. 1 5, 8-13, 15-20).  </w:t>
      </w:r>
      <w:r w:rsidR="00177FCE">
        <w:rPr>
          <w:sz w:val="26"/>
          <w:szCs w:val="26"/>
        </w:rPr>
        <w:t>In addition, PIOGA also a</w:t>
      </w:r>
      <w:r w:rsidR="006F582E">
        <w:rPr>
          <w:sz w:val="26"/>
          <w:szCs w:val="26"/>
        </w:rPr>
        <w:t>verred</w:t>
      </w:r>
      <w:r w:rsidR="00177FCE">
        <w:rPr>
          <w:sz w:val="26"/>
          <w:szCs w:val="26"/>
        </w:rPr>
        <w:t xml:space="preserve"> that rather than limiting the proposed charge to only </w:t>
      </w:r>
      <w:r w:rsidR="006F582E">
        <w:rPr>
          <w:sz w:val="26"/>
          <w:szCs w:val="26"/>
        </w:rPr>
        <w:t xml:space="preserve">its </w:t>
      </w:r>
      <w:r w:rsidR="00177FCE">
        <w:rPr>
          <w:sz w:val="26"/>
          <w:szCs w:val="26"/>
        </w:rPr>
        <w:t>gathering pi</w:t>
      </w:r>
      <w:r w:rsidR="006F582E">
        <w:rPr>
          <w:sz w:val="26"/>
          <w:szCs w:val="26"/>
        </w:rPr>
        <w:t xml:space="preserve">pelines, Peoples is proposing to apply the </w:t>
      </w:r>
      <w:r w:rsidR="00177FCE">
        <w:rPr>
          <w:sz w:val="26"/>
          <w:szCs w:val="26"/>
        </w:rPr>
        <w:t xml:space="preserve">charge to both gathering and distribution system production deliveries.  PIOGA </w:t>
      </w:r>
      <w:r w:rsidR="006F582E">
        <w:rPr>
          <w:sz w:val="26"/>
          <w:szCs w:val="26"/>
        </w:rPr>
        <w:t xml:space="preserve">argued </w:t>
      </w:r>
      <w:r w:rsidR="00177FCE">
        <w:rPr>
          <w:sz w:val="26"/>
          <w:szCs w:val="26"/>
        </w:rPr>
        <w:t>Peoples has not provided any evidentiary support for the language contained in its Rate GS tariff</w:t>
      </w:r>
      <w:r w:rsidR="00734951">
        <w:rPr>
          <w:sz w:val="26"/>
          <w:szCs w:val="26"/>
        </w:rPr>
        <w:t>’</w:t>
      </w:r>
      <w:r w:rsidR="006F582E">
        <w:rPr>
          <w:sz w:val="26"/>
          <w:szCs w:val="26"/>
        </w:rPr>
        <w:t xml:space="preserve">s proposal </w:t>
      </w:r>
      <w:r w:rsidR="00177FCE">
        <w:rPr>
          <w:sz w:val="26"/>
          <w:szCs w:val="26"/>
        </w:rPr>
        <w:t xml:space="preserve">to apply </w:t>
      </w:r>
      <w:r w:rsidR="006F582E">
        <w:rPr>
          <w:sz w:val="26"/>
          <w:szCs w:val="26"/>
        </w:rPr>
        <w:t xml:space="preserve">the charge to </w:t>
      </w:r>
      <w:r w:rsidR="00177FCE">
        <w:rPr>
          <w:sz w:val="26"/>
          <w:szCs w:val="26"/>
        </w:rPr>
        <w:t>deliveries into the Company</w:t>
      </w:r>
      <w:r w:rsidR="00734951">
        <w:rPr>
          <w:sz w:val="26"/>
          <w:szCs w:val="26"/>
        </w:rPr>
        <w:t>’</w:t>
      </w:r>
      <w:r w:rsidR="00177FCE">
        <w:rPr>
          <w:sz w:val="26"/>
          <w:szCs w:val="26"/>
        </w:rPr>
        <w:t xml:space="preserve">s distribution or transmission </w:t>
      </w:r>
      <w:r w:rsidR="006F582E">
        <w:rPr>
          <w:sz w:val="26"/>
          <w:szCs w:val="26"/>
        </w:rPr>
        <w:t>pipelines.  PIOGA M. B. at 14-15 (citing PNG St. 1 at 9-15).</w:t>
      </w:r>
    </w:p>
    <w:p w14:paraId="104BB202" w14:textId="77777777" w:rsidR="009F1E7A" w:rsidRDefault="009F1E7A" w:rsidP="007374FA">
      <w:pPr>
        <w:widowControl/>
        <w:tabs>
          <w:tab w:val="left" w:pos="1445"/>
          <w:tab w:val="left" w:pos="7920"/>
        </w:tabs>
        <w:autoSpaceDE w:val="0"/>
        <w:autoSpaceDN w:val="0"/>
        <w:adjustRightInd w:val="0"/>
        <w:spacing w:line="360" w:lineRule="auto"/>
        <w:rPr>
          <w:sz w:val="26"/>
          <w:szCs w:val="26"/>
        </w:rPr>
      </w:pPr>
    </w:p>
    <w:p w14:paraId="42F8BE95" w14:textId="2AB3C017" w:rsidR="00117176" w:rsidRDefault="009F1E7A" w:rsidP="007374FA">
      <w:pPr>
        <w:widowControl/>
        <w:tabs>
          <w:tab w:val="left" w:pos="1445"/>
          <w:tab w:val="left" w:pos="7920"/>
        </w:tabs>
        <w:autoSpaceDE w:val="0"/>
        <w:autoSpaceDN w:val="0"/>
        <w:adjustRightInd w:val="0"/>
        <w:spacing w:line="360" w:lineRule="auto"/>
        <w:rPr>
          <w:sz w:val="26"/>
          <w:szCs w:val="26"/>
        </w:rPr>
      </w:pPr>
      <w:r>
        <w:rPr>
          <w:sz w:val="26"/>
          <w:szCs w:val="26"/>
        </w:rPr>
        <w:tab/>
        <w:t>Next, PIOGA contended that P</w:t>
      </w:r>
      <w:r w:rsidR="00B852D6">
        <w:rPr>
          <w:sz w:val="26"/>
          <w:szCs w:val="26"/>
        </w:rPr>
        <w:t>eoples</w:t>
      </w:r>
      <w:r>
        <w:rPr>
          <w:sz w:val="26"/>
          <w:szCs w:val="26"/>
        </w:rPr>
        <w:t xml:space="preserve"> did not provide any evidence </w:t>
      </w:r>
      <w:r w:rsidR="00C334F9">
        <w:rPr>
          <w:sz w:val="26"/>
          <w:szCs w:val="26"/>
        </w:rPr>
        <w:t xml:space="preserve">or </w:t>
      </w:r>
      <w:r w:rsidR="00B852D6">
        <w:rPr>
          <w:sz w:val="26"/>
          <w:szCs w:val="26"/>
        </w:rPr>
        <w:t xml:space="preserve">a </w:t>
      </w:r>
      <w:r w:rsidR="00C334F9">
        <w:rPr>
          <w:sz w:val="26"/>
          <w:szCs w:val="26"/>
        </w:rPr>
        <w:t xml:space="preserve">proposed tariff </w:t>
      </w:r>
      <w:r>
        <w:rPr>
          <w:sz w:val="26"/>
          <w:szCs w:val="26"/>
        </w:rPr>
        <w:t xml:space="preserve">to </w:t>
      </w:r>
      <w:r w:rsidR="00C334F9">
        <w:rPr>
          <w:sz w:val="26"/>
          <w:szCs w:val="26"/>
        </w:rPr>
        <w:t xml:space="preserve">support approval of its proposed minimum 2.0% retainage rate on </w:t>
      </w:r>
      <w:r w:rsidR="00C334F9">
        <w:rPr>
          <w:sz w:val="26"/>
          <w:szCs w:val="26"/>
        </w:rPr>
        <w:lastRenderedPageBreak/>
        <w:t xml:space="preserve">production from all new wells connected to </w:t>
      </w:r>
      <w:r w:rsidR="00B852D6">
        <w:rPr>
          <w:sz w:val="26"/>
          <w:szCs w:val="26"/>
        </w:rPr>
        <w:t xml:space="preserve">the </w:t>
      </w:r>
      <w:r w:rsidR="00C334F9">
        <w:rPr>
          <w:sz w:val="26"/>
          <w:szCs w:val="26"/>
        </w:rPr>
        <w:t>Equitable</w:t>
      </w:r>
      <w:r w:rsidR="00B852D6">
        <w:rPr>
          <w:sz w:val="26"/>
          <w:szCs w:val="26"/>
        </w:rPr>
        <w:t xml:space="preserve"> system</w:t>
      </w:r>
      <w:r w:rsidR="00C334F9">
        <w:rPr>
          <w:sz w:val="26"/>
          <w:szCs w:val="26"/>
        </w:rPr>
        <w:t>.</w:t>
      </w:r>
      <w:r w:rsidR="00377201">
        <w:rPr>
          <w:rStyle w:val="FootnoteReference"/>
          <w:sz w:val="26"/>
          <w:szCs w:val="26"/>
        </w:rPr>
        <w:footnoteReference w:id="16"/>
      </w:r>
      <w:r w:rsidR="00C334F9">
        <w:rPr>
          <w:sz w:val="26"/>
          <w:szCs w:val="26"/>
        </w:rPr>
        <w:t xml:space="preserve">  PIOGA M.B. at 15. </w:t>
      </w:r>
      <w:r>
        <w:rPr>
          <w:sz w:val="26"/>
          <w:szCs w:val="26"/>
        </w:rPr>
        <w:t xml:space="preserve"> </w:t>
      </w:r>
      <w:r w:rsidR="00B610E3">
        <w:rPr>
          <w:sz w:val="26"/>
          <w:szCs w:val="26"/>
        </w:rPr>
        <w:t>According to PIOGA, Peoples</w:t>
      </w:r>
      <w:r w:rsidR="00734951">
        <w:rPr>
          <w:sz w:val="26"/>
          <w:szCs w:val="26"/>
        </w:rPr>
        <w:t>’</w:t>
      </w:r>
      <w:r w:rsidR="00B610E3">
        <w:rPr>
          <w:sz w:val="26"/>
          <w:szCs w:val="26"/>
        </w:rPr>
        <w:t xml:space="preserve"> </w:t>
      </w:r>
      <w:r w:rsidR="00F33672">
        <w:rPr>
          <w:sz w:val="26"/>
          <w:szCs w:val="26"/>
        </w:rPr>
        <w:t xml:space="preserve">argument </w:t>
      </w:r>
      <w:r w:rsidR="00B610E3">
        <w:rPr>
          <w:sz w:val="26"/>
          <w:szCs w:val="26"/>
        </w:rPr>
        <w:t xml:space="preserve">that the proposed 2.0% minimum for Equitable is to ensure consistency between both divisions does not pass the </w:t>
      </w:r>
      <w:r w:rsidR="00734951">
        <w:rPr>
          <w:sz w:val="26"/>
          <w:szCs w:val="26"/>
        </w:rPr>
        <w:t>“</w:t>
      </w:r>
      <w:r w:rsidR="00B610E3">
        <w:rPr>
          <w:sz w:val="26"/>
          <w:szCs w:val="26"/>
        </w:rPr>
        <w:t>just and reasonable</w:t>
      </w:r>
      <w:r w:rsidR="00734951">
        <w:rPr>
          <w:sz w:val="26"/>
          <w:szCs w:val="26"/>
        </w:rPr>
        <w:t>”</w:t>
      </w:r>
      <w:r w:rsidR="00B610E3">
        <w:rPr>
          <w:sz w:val="26"/>
          <w:szCs w:val="26"/>
        </w:rPr>
        <w:t xml:space="preserve"> test because the Compan</w:t>
      </w:r>
      <w:r w:rsidR="00117176">
        <w:rPr>
          <w:sz w:val="26"/>
          <w:szCs w:val="26"/>
        </w:rPr>
        <w:t>y</w:t>
      </w:r>
      <w:r w:rsidR="00B610E3">
        <w:rPr>
          <w:sz w:val="26"/>
          <w:szCs w:val="26"/>
        </w:rPr>
        <w:t xml:space="preserve"> need</w:t>
      </w:r>
      <w:r w:rsidR="00FA6974">
        <w:rPr>
          <w:sz w:val="26"/>
          <w:szCs w:val="26"/>
        </w:rPr>
        <w:t>s</w:t>
      </w:r>
      <w:r w:rsidR="00B610E3">
        <w:rPr>
          <w:sz w:val="26"/>
          <w:szCs w:val="26"/>
        </w:rPr>
        <w:t xml:space="preserve"> more evidence to support th</w:t>
      </w:r>
      <w:r w:rsidR="001E4ECA">
        <w:rPr>
          <w:sz w:val="26"/>
          <w:szCs w:val="26"/>
        </w:rPr>
        <w:t>at argument</w:t>
      </w:r>
      <w:r w:rsidR="00B610E3">
        <w:rPr>
          <w:sz w:val="26"/>
          <w:szCs w:val="26"/>
        </w:rPr>
        <w:t>.  In addition, PIOGA contended that Peoples</w:t>
      </w:r>
      <w:r w:rsidR="00734951">
        <w:rPr>
          <w:sz w:val="26"/>
          <w:szCs w:val="26"/>
        </w:rPr>
        <w:t>’</w:t>
      </w:r>
      <w:r w:rsidR="00B610E3">
        <w:rPr>
          <w:sz w:val="26"/>
          <w:szCs w:val="26"/>
        </w:rPr>
        <w:t xml:space="preserve"> proposed Rate GS tariff is not consistent with Equitable</w:t>
      </w:r>
      <w:r w:rsidR="00734951">
        <w:rPr>
          <w:sz w:val="26"/>
          <w:szCs w:val="26"/>
        </w:rPr>
        <w:t>’</w:t>
      </w:r>
      <w:r w:rsidR="00B610E3">
        <w:rPr>
          <w:sz w:val="26"/>
          <w:szCs w:val="26"/>
        </w:rPr>
        <w:t>s Rate AGS tariff</w:t>
      </w:r>
      <w:r w:rsidR="007D311E">
        <w:rPr>
          <w:sz w:val="26"/>
          <w:szCs w:val="26"/>
        </w:rPr>
        <w:t xml:space="preserve"> because </w:t>
      </w:r>
      <w:r w:rsidR="00B610E3">
        <w:rPr>
          <w:sz w:val="26"/>
          <w:szCs w:val="26"/>
        </w:rPr>
        <w:t>the tariff proposed by Peoples in the instant proceeding cannot be applied to deliveries of natural gas from conventional wells into Peoples</w:t>
      </w:r>
      <w:r w:rsidR="00734951">
        <w:rPr>
          <w:sz w:val="26"/>
          <w:szCs w:val="26"/>
        </w:rPr>
        <w:t>’</w:t>
      </w:r>
      <w:r w:rsidR="00B610E3">
        <w:rPr>
          <w:sz w:val="26"/>
          <w:szCs w:val="26"/>
        </w:rPr>
        <w:t xml:space="preserve"> distribution system and the proposed Rate GS is limited to deliveries from conventional wells, whereas </w:t>
      </w:r>
      <w:r w:rsidR="007D311E">
        <w:rPr>
          <w:sz w:val="26"/>
          <w:szCs w:val="26"/>
        </w:rPr>
        <w:t>Equitable</w:t>
      </w:r>
      <w:r w:rsidR="00734951">
        <w:rPr>
          <w:sz w:val="26"/>
          <w:szCs w:val="26"/>
        </w:rPr>
        <w:t>’</w:t>
      </w:r>
      <w:r w:rsidR="007D311E">
        <w:rPr>
          <w:sz w:val="26"/>
          <w:szCs w:val="26"/>
        </w:rPr>
        <w:t xml:space="preserve">s </w:t>
      </w:r>
      <w:r w:rsidR="00B610E3">
        <w:rPr>
          <w:sz w:val="26"/>
          <w:szCs w:val="26"/>
        </w:rPr>
        <w:t>Rate AGS is not.  PIOGA M.B. at 15</w:t>
      </w:r>
      <w:r w:rsidR="003520E4">
        <w:rPr>
          <w:sz w:val="26"/>
          <w:szCs w:val="26"/>
        </w:rPr>
        <w:t xml:space="preserve">-17 </w:t>
      </w:r>
      <w:r w:rsidR="008959A5">
        <w:rPr>
          <w:sz w:val="26"/>
          <w:szCs w:val="26"/>
        </w:rPr>
        <w:t>(PNG St. 1-R at 26)</w:t>
      </w:r>
      <w:r w:rsidR="00B610E3">
        <w:rPr>
          <w:sz w:val="26"/>
          <w:szCs w:val="26"/>
        </w:rPr>
        <w:t xml:space="preserve">.  </w:t>
      </w:r>
    </w:p>
    <w:p w14:paraId="5BB43B62" w14:textId="77777777" w:rsidR="003520E4" w:rsidRDefault="003520E4" w:rsidP="007374FA">
      <w:pPr>
        <w:widowControl/>
        <w:tabs>
          <w:tab w:val="left" w:pos="1445"/>
          <w:tab w:val="left" w:pos="7920"/>
        </w:tabs>
        <w:autoSpaceDE w:val="0"/>
        <w:autoSpaceDN w:val="0"/>
        <w:adjustRightInd w:val="0"/>
        <w:spacing w:line="360" w:lineRule="auto"/>
        <w:rPr>
          <w:sz w:val="26"/>
          <w:szCs w:val="26"/>
        </w:rPr>
      </w:pPr>
    </w:p>
    <w:p w14:paraId="2C5715F7" w14:textId="4DD747B1" w:rsidR="00E730D9" w:rsidRDefault="003520E4" w:rsidP="007374FA">
      <w:pPr>
        <w:widowControl/>
        <w:tabs>
          <w:tab w:val="left" w:pos="1445"/>
          <w:tab w:val="left" w:pos="7920"/>
        </w:tabs>
        <w:autoSpaceDE w:val="0"/>
        <w:autoSpaceDN w:val="0"/>
        <w:adjustRightInd w:val="0"/>
        <w:spacing w:line="360" w:lineRule="auto"/>
        <w:rPr>
          <w:sz w:val="26"/>
          <w:szCs w:val="26"/>
        </w:rPr>
      </w:pPr>
      <w:r>
        <w:rPr>
          <w:sz w:val="26"/>
          <w:szCs w:val="26"/>
        </w:rPr>
        <w:tab/>
        <w:t xml:space="preserve">Finally, PIOGA argued the proposed producer charge is bad policy, especially, considering </w:t>
      </w:r>
      <w:r w:rsidR="001E4ECA">
        <w:rPr>
          <w:sz w:val="26"/>
          <w:szCs w:val="26"/>
        </w:rPr>
        <w:t>Peoples</w:t>
      </w:r>
      <w:r w:rsidR="00734951">
        <w:rPr>
          <w:sz w:val="26"/>
          <w:szCs w:val="26"/>
        </w:rPr>
        <w:t>’</w:t>
      </w:r>
      <w:r>
        <w:rPr>
          <w:sz w:val="26"/>
          <w:szCs w:val="26"/>
        </w:rPr>
        <w:t xml:space="preserve"> statement that the producer retainage rate </w:t>
      </w:r>
      <w:r w:rsidR="00734951">
        <w:rPr>
          <w:sz w:val="26"/>
          <w:szCs w:val="26"/>
        </w:rPr>
        <w:t>“</w:t>
      </w:r>
      <w:r>
        <w:rPr>
          <w:sz w:val="26"/>
          <w:szCs w:val="26"/>
        </w:rPr>
        <w:t>is the beginning of a long-term process</w:t>
      </w:r>
      <w:r w:rsidR="00734951">
        <w:rPr>
          <w:sz w:val="26"/>
          <w:szCs w:val="26"/>
        </w:rPr>
        <w:t>”</w:t>
      </w:r>
      <w:r>
        <w:rPr>
          <w:sz w:val="26"/>
          <w:szCs w:val="26"/>
        </w:rPr>
        <w:t xml:space="preserve"> of assigning gathering systems costs to conventional producers.  PIOGA M.B. at 17 (PNG St. 1 at 13).  </w:t>
      </w:r>
      <w:r w:rsidR="00E3655C">
        <w:rPr>
          <w:sz w:val="26"/>
          <w:szCs w:val="26"/>
        </w:rPr>
        <w:t>PIOGA contended that an approval of the proposed charge will result in a slippery slope and so the proposal should be rejected.  PIOGA M.B. at 17-18.</w:t>
      </w:r>
      <w:r w:rsidR="00A04CFB">
        <w:rPr>
          <w:sz w:val="26"/>
          <w:szCs w:val="26"/>
        </w:rPr>
        <w:t xml:space="preserve">  </w:t>
      </w:r>
    </w:p>
    <w:p w14:paraId="23F265C5" w14:textId="77777777" w:rsidR="00E17C7F" w:rsidRPr="00E17C7F" w:rsidRDefault="00E17C7F" w:rsidP="007374FA">
      <w:pPr>
        <w:widowControl/>
        <w:tabs>
          <w:tab w:val="left" w:pos="1445"/>
          <w:tab w:val="left" w:pos="7920"/>
        </w:tabs>
        <w:autoSpaceDE w:val="0"/>
        <w:autoSpaceDN w:val="0"/>
        <w:adjustRightInd w:val="0"/>
        <w:ind w:right="1440"/>
        <w:rPr>
          <w:sz w:val="26"/>
          <w:szCs w:val="26"/>
        </w:rPr>
      </w:pPr>
    </w:p>
    <w:p w14:paraId="25370385" w14:textId="49776ADD" w:rsidR="00507AAE" w:rsidRDefault="004F47BD" w:rsidP="007374FA">
      <w:pPr>
        <w:pStyle w:val="Heading4"/>
      </w:pPr>
      <w:r w:rsidRPr="00E43C8D">
        <w:t>OCA</w:t>
      </w:r>
      <w:r w:rsidR="00734951">
        <w:t>’</w:t>
      </w:r>
      <w:r w:rsidRPr="00E43C8D">
        <w:t>s Position</w:t>
      </w:r>
    </w:p>
    <w:p w14:paraId="4A8ECDB2" w14:textId="77777777" w:rsidR="00E43C8D" w:rsidRPr="00E43C8D" w:rsidRDefault="00E43C8D" w:rsidP="007374FA">
      <w:pPr>
        <w:pStyle w:val="ListParagraph"/>
        <w:keepNext/>
        <w:keepLines/>
        <w:widowControl/>
        <w:tabs>
          <w:tab w:val="left" w:pos="1445"/>
          <w:tab w:val="left" w:pos="7920"/>
        </w:tabs>
        <w:autoSpaceDE w:val="0"/>
        <w:autoSpaceDN w:val="0"/>
        <w:adjustRightInd w:val="0"/>
        <w:spacing w:line="360" w:lineRule="auto"/>
        <w:ind w:left="1800"/>
        <w:rPr>
          <w:b/>
          <w:sz w:val="26"/>
          <w:szCs w:val="26"/>
        </w:rPr>
      </w:pPr>
    </w:p>
    <w:p w14:paraId="63761156" w14:textId="263D741E" w:rsidR="004F47BD" w:rsidRDefault="004F47BD" w:rsidP="007374FA">
      <w:pPr>
        <w:widowControl/>
        <w:spacing w:line="360" w:lineRule="auto"/>
        <w:ind w:firstLine="1440"/>
        <w:rPr>
          <w:sz w:val="26"/>
          <w:szCs w:val="26"/>
        </w:rPr>
      </w:pPr>
      <w:r w:rsidRPr="004F47BD">
        <w:rPr>
          <w:sz w:val="26"/>
          <w:szCs w:val="26"/>
        </w:rPr>
        <w:t xml:space="preserve">Currently, </w:t>
      </w:r>
      <w:proofErr w:type="gramStart"/>
      <w:r w:rsidR="00A92FA0">
        <w:rPr>
          <w:sz w:val="26"/>
          <w:szCs w:val="26"/>
        </w:rPr>
        <w:t>all of</w:t>
      </w:r>
      <w:proofErr w:type="gramEnd"/>
      <w:r w:rsidR="00A92FA0">
        <w:rPr>
          <w:sz w:val="26"/>
          <w:szCs w:val="26"/>
        </w:rPr>
        <w:t xml:space="preserve"> the Peoples</w:t>
      </w:r>
      <w:r w:rsidR="00734951">
        <w:rPr>
          <w:sz w:val="26"/>
          <w:szCs w:val="26"/>
        </w:rPr>
        <w:t>’</w:t>
      </w:r>
      <w:r w:rsidR="00A92FA0">
        <w:rPr>
          <w:sz w:val="26"/>
          <w:szCs w:val="26"/>
        </w:rPr>
        <w:t xml:space="preserve"> customers</w:t>
      </w:r>
      <w:r w:rsidRPr="004F47BD">
        <w:rPr>
          <w:sz w:val="26"/>
          <w:szCs w:val="26"/>
        </w:rPr>
        <w:t xml:space="preserve"> are assessed the same retain</w:t>
      </w:r>
      <w:r w:rsidR="0050149E">
        <w:rPr>
          <w:sz w:val="26"/>
          <w:szCs w:val="26"/>
        </w:rPr>
        <w:t>age</w:t>
      </w:r>
      <w:r w:rsidRPr="004F47BD">
        <w:rPr>
          <w:sz w:val="26"/>
          <w:szCs w:val="26"/>
        </w:rPr>
        <w:t xml:space="preserve"> charge whether or not they use the gathering system.  The OCA, which has always expressed concern with the level of responsibility of transportation and sales customers for gathering system UFG, supports the proposed charge because it would initiate the process of recognizing the differences in the responsibility for gathering system UFG by collecting additional retainage for use of the gathering system and also help reduce the </w:t>
      </w:r>
      <w:r w:rsidRPr="004F47BD">
        <w:rPr>
          <w:sz w:val="26"/>
          <w:szCs w:val="26"/>
        </w:rPr>
        <w:lastRenderedPageBreak/>
        <w:t>losses recovered from transportation and retail sales customers.</w:t>
      </w:r>
      <w:r w:rsidRPr="00B425D2">
        <w:rPr>
          <w:rStyle w:val="FootnoteReference"/>
          <w:sz w:val="26"/>
          <w:szCs w:val="26"/>
        </w:rPr>
        <w:footnoteReference w:id="17"/>
      </w:r>
      <w:r w:rsidRPr="004F47BD">
        <w:rPr>
          <w:sz w:val="26"/>
          <w:szCs w:val="26"/>
        </w:rPr>
        <w:t xml:space="preserve">  OCA M.B. at 5-7 (citing OCA St. 1 at 9).  According to the OCA, </w:t>
      </w:r>
      <w:r w:rsidR="009C622F">
        <w:rPr>
          <w:sz w:val="26"/>
          <w:szCs w:val="26"/>
        </w:rPr>
        <w:t>Peoples</w:t>
      </w:r>
      <w:r w:rsidR="00734951">
        <w:rPr>
          <w:sz w:val="26"/>
          <w:szCs w:val="26"/>
        </w:rPr>
        <w:t>’</w:t>
      </w:r>
      <w:r w:rsidRPr="004F47BD">
        <w:rPr>
          <w:sz w:val="26"/>
          <w:szCs w:val="26"/>
        </w:rPr>
        <w:t xml:space="preserve"> </w:t>
      </w:r>
      <w:r w:rsidR="00734951">
        <w:rPr>
          <w:sz w:val="26"/>
          <w:szCs w:val="26"/>
        </w:rPr>
        <w:t>“</w:t>
      </w:r>
      <w:r w:rsidRPr="004F47BD">
        <w:rPr>
          <w:sz w:val="26"/>
          <w:szCs w:val="26"/>
        </w:rPr>
        <w:t>practice of assessing a single retainage charge is inconsistent with the Commission</w:t>
      </w:r>
      <w:r w:rsidR="00734951">
        <w:rPr>
          <w:sz w:val="26"/>
          <w:szCs w:val="26"/>
        </w:rPr>
        <w:t>’</w:t>
      </w:r>
      <w:r w:rsidRPr="004F47BD">
        <w:rPr>
          <w:sz w:val="26"/>
          <w:szCs w:val="26"/>
        </w:rPr>
        <w:t>s current approach of assessing or incurring purchase</w:t>
      </w:r>
      <w:r w:rsidR="00656EBB">
        <w:rPr>
          <w:sz w:val="26"/>
          <w:szCs w:val="26"/>
        </w:rPr>
        <w:t>d</w:t>
      </w:r>
      <w:r w:rsidRPr="004F47BD">
        <w:rPr>
          <w:sz w:val="26"/>
          <w:szCs w:val="26"/>
        </w:rPr>
        <w:t xml:space="preserve"> gas costs and the unbundling of natural gas supply services.</w:t>
      </w:r>
      <w:r w:rsidR="00734951">
        <w:rPr>
          <w:sz w:val="26"/>
          <w:szCs w:val="26"/>
        </w:rPr>
        <w:t>”</w:t>
      </w:r>
      <w:r w:rsidRPr="004F47BD">
        <w:rPr>
          <w:sz w:val="26"/>
          <w:szCs w:val="26"/>
        </w:rPr>
        <w:t xml:space="preserve">  OCA M.B. at 7 (citing OCA St. 1-S at 4</w:t>
      </w:r>
      <w:r w:rsidR="009C622F">
        <w:rPr>
          <w:sz w:val="26"/>
          <w:szCs w:val="26"/>
        </w:rPr>
        <w:t>)</w:t>
      </w:r>
      <w:r w:rsidRPr="004F47BD">
        <w:rPr>
          <w:sz w:val="26"/>
          <w:szCs w:val="26"/>
        </w:rPr>
        <w:t>.</w:t>
      </w:r>
    </w:p>
    <w:p w14:paraId="4383EAC1" w14:textId="77777777" w:rsidR="00507AAE" w:rsidRPr="004F47BD" w:rsidRDefault="00507AAE" w:rsidP="007374FA">
      <w:pPr>
        <w:widowControl/>
        <w:spacing w:line="360" w:lineRule="auto"/>
        <w:ind w:firstLine="1440"/>
        <w:rPr>
          <w:sz w:val="26"/>
          <w:szCs w:val="26"/>
        </w:rPr>
      </w:pPr>
    </w:p>
    <w:p w14:paraId="36D1D823" w14:textId="1E9EAEF5" w:rsidR="004F47BD" w:rsidRDefault="004F47BD" w:rsidP="007374FA">
      <w:pPr>
        <w:widowControl/>
        <w:spacing w:line="360" w:lineRule="auto"/>
        <w:ind w:firstLine="1440"/>
        <w:rPr>
          <w:sz w:val="26"/>
          <w:szCs w:val="26"/>
        </w:rPr>
      </w:pPr>
      <w:r w:rsidRPr="004F47BD">
        <w:rPr>
          <w:sz w:val="26"/>
          <w:szCs w:val="26"/>
        </w:rPr>
        <w:t>From the OCA</w:t>
      </w:r>
      <w:r w:rsidR="00734951">
        <w:rPr>
          <w:sz w:val="26"/>
          <w:szCs w:val="26"/>
        </w:rPr>
        <w:t>’</w:t>
      </w:r>
      <w:r w:rsidRPr="004F47BD">
        <w:rPr>
          <w:sz w:val="26"/>
          <w:szCs w:val="26"/>
        </w:rPr>
        <w:t xml:space="preserve">s perspective, approval of the proposed charge will begin the process of appropriately assigning responsibility for gathering system UFG to </w:t>
      </w:r>
      <w:r w:rsidR="00A92FA0">
        <w:rPr>
          <w:sz w:val="26"/>
          <w:szCs w:val="26"/>
        </w:rPr>
        <w:t>entities</w:t>
      </w:r>
      <w:r w:rsidRPr="004F47BD">
        <w:rPr>
          <w:sz w:val="26"/>
          <w:szCs w:val="26"/>
        </w:rPr>
        <w:t xml:space="preserve"> that benefit from, or use, the Compan</w:t>
      </w:r>
      <w:r w:rsidR="00117176">
        <w:rPr>
          <w:sz w:val="26"/>
          <w:szCs w:val="26"/>
        </w:rPr>
        <w:t>y</w:t>
      </w:r>
      <w:r w:rsidR="00734951">
        <w:rPr>
          <w:sz w:val="26"/>
          <w:szCs w:val="26"/>
        </w:rPr>
        <w:t>’</w:t>
      </w:r>
      <w:r w:rsidR="00117176">
        <w:rPr>
          <w:sz w:val="26"/>
          <w:szCs w:val="26"/>
        </w:rPr>
        <w:t>s</w:t>
      </w:r>
      <w:r w:rsidRPr="004F47BD">
        <w:rPr>
          <w:sz w:val="26"/>
          <w:szCs w:val="26"/>
        </w:rPr>
        <w:t xml:space="preserve"> gathering system.  OCA M.B. at 8 (citing OCA St. 1 at 10).  Further, because it is not unusual for gatherers to collect a retainage charge on gas delivered into the gathering system, the OCA believes it is reasonable for producers who benefit from the gathering system to pay their fair share of the gathering system UFG.  OCA M.B. at 8.  The OCA </w:t>
      </w:r>
      <w:r w:rsidR="00656EBB">
        <w:rPr>
          <w:sz w:val="26"/>
          <w:szCs w:val="26"/>
        </w:rPr>
        <w:t xml:space="preserve">also </w:t>
      </w:r>
      <w:r w:rsidRPr="004F47BD">
        <w:rPr>
          <w:sz w:val="26"/>
          <w:szCs w:val="26"/>
        </w:rPr>
        <w:t>support</w:t>
      </w:r>
      <w:r w:rsidR="00656EBB">
        <w:rPr>
          <w:sz w:val="26"/>
          <w:szCs w:val="26"/>
        </w:rPr>
        <w:t>s</w:t>
      </w:r>
      <w:r w:rsidRPr="004F47BD">
        <w:rPr>
          <w:sz w:val="26"/>
          <w:szCs w:val="26"/>
        </w:rPr>
        <w:t xml:space="preserve"> the Compan</w:t>
      </w:r>
      <w:r w:rsidR="005878C1">
        <w:rPr>
          <w:sz w:val="26"/>
          <w:szCs w:val="26"/>
        </w:rPr>
        <w:t>y</w:t>
      </w:r>
      <w:r w:rsidR="00734951">
        <w:rPr>
          <w:sz w:val="26"/>
          <w:szCs w:val="26"/>
        </w:rPr>
        <w:t>’</w:t>
      </w:r>
      <w:r w:rsidR="005878C1">
        <w:rPr>
          <w:sz w:val="26"/>
          <w:szCs w:val="26"/>
        </w:rPr>
        <w:t>s</w:t>
      </w:r>
      <w:r w:rsidRPr="004F47BD">
        <w:rPr>
          <w:sz w:val="26"/>
          <w:szCs w:val="26"/>
        </w:rPr>
        <w:t xml:space="preserve"> calculation of the retainage charge at 6.6%.  Therefore, the OCA </w:t>
      </w:r>
      <w:r w:rsidR="005878C1">
        <w:rPr>
          <w:sz w:val="26"/>
          <w:szCs w:val="26"/>
        </w:rPr>
        <w:t>averred</w:t>
      </w:r>
      <w:r w:rsidRPr="004F47BD">
        <w:rPr>
          <w:sz w:val="26"/>
          <w:szCs w:val="26"/>
        </w:rPr>
        <w:t xml:space="preserve"> that if the Commission approves the proposed </w:t>
      </w:r>
      <w:r w:rsidR="00416846">
        <w:rPr>
          <w:sz w:val="26"/>
          <w:szCs w:val="26"/>
        </w:rPr>
        <w:t xml:space="preserve">producer </w:t>
      </w:r>
      <w:r w:rsidRPr="004F47BD">
        <w:rPr>
          <w:sz w:val="26"/>
          <w:szCs w:val="26"/>
        </w:rPr>
        <w:t xml:space="preserve">charge, it should also approve the 6.6% retainage charge.  </w:t>
      </w:r>
      <w:r w:rsidRPr="004F47BD">
        <w:rPr>
          <w:i/>
          <w:sz w:val="26"/>
          <w:szCs w:val="26"/>
        </w:rPr>
        <w:t>Id.</w:t>
      </w:r>
      <w:r w:rsidRPr="004F47BD">
        <w:rPr>
          <w:sz w:val="26"/>
          <w:szCs w:val="26"/>
        </w:rPr>
        <w:t xml:space="preserve"> (citing OCA St. 1 at 10).</w:t>
      </w:r>
    </w:p>
    <w:p w14:paraId="2B5D9161" w14:textId="77777777" w:rsidR="00507AAE" w:rsidRPr="004F47BD" w:rsidRDefault="00507AAE" w:rsidP="007374FA">
      <w:pPr>
        <w:widowControl/>
        <w:spacing w:line="360" w:lineRule="auto"/>
        <w:ind w:firstLine="1440"/>
        <w:rPr>
          <w:sz w:val="26"/>
          <w:szCs w:val="26"/>
        </w:rPr>
      </w:pPr>
    </w:p>
    <w:p w14:paraId="3F9F07D6" w14:textId="59F015D6" w:rsidR="004F47BD" w:rsidRDefault="004F47BD" w:rsidP="007374FA">
      <w:pPr>
        <w:widowControl/>
        <w:spacing w:line="360" w:lineRule="auto"/>
        <w:ind w:firstLine="1440"/>
        <w:rPr>
          <w:sz w:val="26"/>
          <w:szCs w:val="26"/>
        </w:rPr>
      </w:pPr>
      <w:r w:rsidRPr="004F47BD">
        <w:rPr>
          <w:sz w:val="26"/>
          <w:szCs w:val="26"/>
        </w:rPr>
        <w:t xml:space="preserve">Nonetheless, </w:t>
      </w:r>
      <w:r w:rsidR="00891E34">
        <w:rPr>
          <w:sz w:val="26"/>
          <w:szCs w:val="26"/>
        </w:rPr>
        <w:t>should</w:t>
      </w:r>
      <w:r w:rsidR="00416846">
        <w:rPr>
          <w:sz w:val="26"/>
          <w:szCs w:val="26"/>
        </w:rPr>
        <w:t xml:space="preserve"> </w:t>
      </w:r>
      <w:r w:rsidRPr="004F47BD">
        <w:rPr>
          <w:sz w:val="26"/>
          <w:szCs w:val="26"/>
        </w:rPr>
        <w:t xml:space="preserve">the Commission decide not to approve the proposed </w:t>
      </w:r>
      <w:r w:rsidR="00416846">
        <w:rPr>
          <w:sz w:val="26"/>
          <w:szCs w:val="26"/>
        </w:rPr>
        <w:t>p</w:t>
      </w:r>
      <w:r w:rsidR="00AE46B3">
        <w:rPr>
          <w:sz w:val="26"/>
          <w:szCs w:val="26"/>
        </w:rPr>
        <w:t xml:space="preserve">roducer </w:t>
      </w:r>
      <w:r w:rsidRPr="004F47BD">
        <w:rPr>
          <w:sz w:val="26"/>
          <w:szCs w:val="26"/>
        </w:rPr>
        <w:t xml:space="preserve">charge, the OCA proposed an alternative additional retainage charge on the </w:t>
      </w:r>
      <w:r w:rsidRPr="004F47BD">
        <w:rPr>
          <w:sz w:val="26"/>
          <w:szCs w:val="26"/>
        </w:rPr>
        <w:lastRenderedPageBreak/>
        <w:t>transportation customer volumes delivered on the gathering system.  OCA</w:t>
      </w:r>
      <w:r w:rsidR="00734951">
        <w:rPr>
          <w:sz w:val="26"/>
          <w:szCs w:val="26"/>
        </w:rPr>
        <w:t>’</w:t>
      </w:r>
      <w:r w:rsidRPr="004F47BD">
        <w:rPr>
          <w:sz w:val="26"/>
          <w:szCs w:val="26"/>
        </w:rPr>
        <w:t>s witness Mierzwa explained:</w:t>
      </w:r>
    </w:p>
    <w:p w14:paraId="52FC6F2A" w14:textId="77777777" w:rsidR="004F47BD" w:rsidRPr="004F47BD" w:rsidRDefault="004F47BD" w:rsidP="007374FA">
      <w:pPr>
        <w:widowControl/>
        <w:spacing w:line="360" w:lineRule="auto"/>
        <w:rPr>
          <w:sz w:val="26"/>
          <w:szCs w:val="26"/>
        </w:rPr>
      </w:pPr>
    </w:p>
    <w:p w14:paraId="3941709B" w14:textId="61568627" w:rsidR="004F47BD" w:rsidRDefault="004F47BD" w:rsidP="007374FA">
      <w:pPr>
        <w:pStyle w:val="ListParagraph"/>
        <w:widowControl/>
        <w:ind w:left="1800" w:right="1440"/>
        <w:rPr>
          <w:sz w:val="26"/>
          <w:szCs w:val="26"/>
        </w:rPr>
      </w:pPr>
      <w:r w:rsidRPr="004F47BD">
        <w:rPr>
          <w:sz w:val="26"/>
          <w:szCs w:val="26"/>
        </w:rPr>
        <w:t>Peoples</w:t>
      </w:r>
      <w:r w:rsidR="00734951">
        <w:rPr>
          <w:sz w:val="26"/>
          <w:szCs w:val="26"/>
        </w:rPr>
        <w:t>’</w:t>
      </w:r>
      <w:r w:rsidRPr="004F47BD">
        <w:rPr>
          <w:sz w:val="26"/>
          <w:szCs w:val="26"/>
        </w:rPr>
        <w:t xml:space="preserve"> gathering system is used to collect gas from local production wells and deliver that gas to Peoples</w:t>
      </w:r>
      <w:r w:rsidR="00734951">
        <w:rPr>
          <w:sz w:val="26"/>
          <w:szCs w:val="26"/>
        </w:rPr>
        <w:t>’</w:t>
      </w:r>
      <w:r w:rsidRPr="004F47BD">
        <w:rPr>
          <w:sz w:val="26"/>
          <w:szCs w:val="26"/>
        </w:rPr>
        <w:t xml:space="preserve"> distribution system.  Those customers that do not utilize Peoples</w:t>
      </w:r>
      <w:r w:rsidR="00734951">
        <w:rPr>
          <w:sz w:val="26"/>
          <w:szCs w:val="26"/>
        </w:rPr>
        <w:t>’</w:t>
      </w:r>
      <w:r w:rsidRPr="004F47BD">
        <w:rPr>
          <w:sz w:val="26"/>
          <w:szCs w:val="26"/>
        </w:rPr>
        <w:t xml:space="preserve"> gathering system to obtain their gas supplies from local production wells utilize interstate pipelines to have their gas delivered to Peoples</w:t>
      </w:r>
      <w:r w:rsidR="00734951">
        <w:rPr>
          <w:sz w:val="26"/>
          <w:szCs w:val="26"/>
        </w:rPr>
        <w:t>’</w:t>
      </w:r>
      <w:r w:rsidRPr="004F47BD">
        <w:rPr>
          <w:sz w:val="26"/>
          <w:szCs w:val="26"/>
        </w:rPr>
        <w:t xml:space="preserve"> distribution system.  Customers using interstate pipelines to acquire gas supplies are required to pay retainage to the interstate pipelines.  Customers relying on Peoples</w:t>
      </w:r>
      <w:r w:rsidR="00734951">
        <w:rPr>
          <w:sz w:val="26"/>
          <w:szCs w:val="26"/>
        </w:rPr>
        <w:t>’</w:t>
      </w:r>
      <w:r w:rsidRPr="004F47BD">
        <w:rPr>
          <w:sz w:val="26"/>
          <w:szCs w:val="26"/>
        </w:rPr>
        <w:t xml:space="preserve"> gathering system to deliver gas to Peoples</w:t>
      </w:r>
      <w:r w:rsidR="00734951">
        <w:rPr>
          <w:sz w:val="26"/>
          <w:szCs w:val="26"/>
        </w:rPr>
        <w:t>’</w:t>
      </w:r>
      <w:r w:rsidRPr="004F47BD">
        <w:rPr>
          <w:sz w:val="26"/>
          <w:szCs w:val="26"/>
        </w:rPr>
        <w:t xml:space="preserve"> distribution are not required to pay any portion of the interstate pipeline retainage assessed to customer relying on interstate pipelines to deliver gas to Peoples</w:t>
      </w:r>
      <w:r w:rsidR="00734951">
        <w:rPr>
          <w:sz w:val="26"/>
          <w:szCs w:val="26"/>
        </w:rPr>
        <w:t>’</w:t>
      </w:r>
      <w:r w:rsidRPr="004F47BD">
        <w:rPr>
          <w:sz w:val="26"/>
          <w:szCs w:val="26"/>
        </w:rPr>
        <w:t xml:space="preserve"> distribution system.  </w:t>
      </w:r>
    </w:p>
    <w:p w14:paraId="1E89B5B0" w14:textId="77777777" w:rsidR="004F47BD" w:rsidRPr="004F47BD" w:rsidRDefault="004F47BD" w:rsidP="007374FA">
      <w:pPr>
        <w:pStyle w:val="ListParagraph"/>
        <w:widowControl/>
        <w:ind w:left="1800" w:right="1440"/>
        <w:rPr>
          <w:sz w:val="26"/>
          <w:szCs w:val="26"/>
        </w:rPr>
      </w:pPr>
    </w:p>
    <w:p w14:paraId="240BF070" w14:textId="77777777" w:rsidR="004F47BD" w:rsidRPr="004F47BD" w:rsidRDefault="004F47BD" w:rsidP="007374FA">
      <w:pPr>
        <w:pStyle w:val="ListParagraph"/>
        <w:widowControl/>
        <w:ind w:left="1800" w:right="1440"/>
        <w:rPr>
          <w:sz w:val="26"/>
          <w:szCs w:val="26"/>
        </w:rPr>
      </w:pPr>
    </w:p>
    <w:p w14:paraId="7913C7CF" w14:textId="026298E6" w:rsidR="004F47BD" w:rsidRDefault="004F47BD" w:rsidP="007374FA">
      <w:pPr>
        <w:widowControl/>
        <w:spacing w:line="360" w:lineRule="auto"/>
        <w:rPr>
          <w:sz w:val="26"/>
          <w:szCs w:val="26"/>
        </w:rPr>
      </w:pPr>
      <w:r w:rsidRPr="004F47BD">
        <w:rPr>
          <w:sz w:val="26"/>
          <w:szCs w:val="26"/>
        </w:rPr>
        <w:t xml:space="preserve">OCA M.B. at 9 (citing OCA St. 1 at 10).  </w:t>
      </w:r>
      <w:r w:rsidR="006233C3">
        <w:rPr>
          <w:sz w:val="26"/>
          <w:szCs w:val="26"/>
        </w:rPr>
        <w:t>B</w:t>
      </w:r>
      <w:r w:rsidRPr="004F47BD">
        <w:rPr>
          <w:sz w:val="26"/>
          <w:szCs w:val="26"/>
        </w:rPr>
        <w:t>ecause PIOGA also agrees with the OCA</w:t>
      </w:r>
      <w:r w:rsidR="00734951">
        <w:rPr>
          <w:sz w:val="26"/>
          <w:szCs w:val="26"/>
        </w:rPr>
        <w:t>’</w:t>
      </w:r>
      <w:r w:rsidRPr="004F47BD">
        <w:rPr>
          <w:sz w:val="26"/>
          <w:szCs w:val="26"/>
        </w:rPr>
        <w:t>s proposed alternative charge</w:t>
      </w:r>
      <w:r w:rsidR="000C7AFC">
        <w:rPr>
          <w:sz w:val="26"/>
          <w:szCs w:val="26"/>
        </w:rPr>
        <w:t>,</w:t>
      </w:r>
      <w:r w:rsidR="006233C3">
        <w:rPr>
          <w:sz w:val="26"/>
          <w:szCs w:val="26"/>
        </w:rPr>
        <w:t xml:space="preserve"> should the </w:t>
      </w:r>
      <w:r w:rsidR="006233C3" w:rsidRPr="004F47BD">
        <w:rPr>
          <w:sz w:val="26"/>
          <w:szCs w:val="26"/>
        </w:rPr>
        <w:t xml:space="preserve">Commission decide not to approve the proposed </w:t>
      </w:r>
      <w:r w:rsidR="00961BBD">
        <w:rPr>
          <w:sz w:val="26"/>
          <w:szCs w:val="26"/>
        </w:rPr>
        <w:t xml:space="preserve">producer </w:t>
      </w:r>
      <w:r w:rsidR="006233C3" w:rsidRPr="004F47BD">
        <w:rPr>
          <w:sz w:val="26"/>
          <w:szCs w:val="26"/>
        </w:rPr>
        <w:t>charge</w:t>
      </w:r>
      <w:r w:rsidRPr="004F47BD">
        <w:rPr>
          <w:sz w:val="26"/>
          <w:szCs w:val="26"/>
        </w:rPr>
        <w:t>, the OCA requested that a gathering system retainage charge of 2.0% should be assessed on the volumes delivered on the gathering system in the Peoples Division.  OCA M.B. at 9 (citing OCA St. 1 at 10; OCA St. 1-S at 4).</w:t>
      </w:r>
    </w:p>
    <w:p w14:paraId="06E54936" w14:textId="77777777" w:rsidR="00EA7309" w:rsidRDefault="00EA7309" w:rsidP="007374FA">
      <w:pPr>
        <w:widowControl/>
        <w:spacing w:line="360" w:lineRule="auto"/>
        <w:rPr>
          <w:sz w:val="26"/>
          <w:szCs w:val="26"/>
        </w:rPr>
      </w:pPr>
    </w:p>
    <w:p w14:paraId="25365D95" w14:textId="7716ACFD" w:rsidR="004F47BD" w:rsidRDefault="004F47BD" w:rsidP="007374FA">
      <w:pPr>
        <w:widowControl/>
        <w:spacing w:line="360" w:lineRule="auto"/>
        <w:ind w:firstLine="1440"/>
        <w:rPr>
          <w:sz w:val="26"/>
          <w:szCs w:val="26"/>
        </w:rPr>
      </w:pPr>
      <w:r w:rsidRPr="004F47BD">
        <w:rPr>
          <w:sz w:val="26"/>
          <w:szCs w:val="26"/>
        </w:rPr>
        <w:t xml:space="preserve">Finally, </w:t>
      </w:r>
      <w:r w:rsidR="00227003">
        <w:rPr>
          <w:sz w:val="26"/>
          <w:szCs w:val="26"/>
        </w:rPr>
        <w:t xml:space="preserve">the OCA stated that if </w:t>
      </w:r>
      <w:r w:rsidRPr="004F47BD">
        <w:rPr>
          <w:sz w:val="26"/>
          <w:szCs w:val="26"/>
        </w:rPr>
        <w:t>the Commission reject</w:t>
      </w:r>
      <w:r w:rsidR="00227003">
        <w:rPr>
          <w:sz w:val="26"/>
          <w:szCs w:val="26"/>
        </w:rPr>
        <w:t>s</w:t>
      </w:r>
      <w:r w:rsidRPr="004F47BD">
        <w:rPr>
          <w:sz w:val="26"/>
          <w:szCs w:val="26"/>
        </w:rPr>
        <w:t xml:space="preserve"> both the producer retainage charge and the gathering system retainage charge, because there would be a retainage deficiency amounting to 0.4 percentage points that the Compan</w:t>
      </w:r>
      <w:r w:rsidR="007550F7">
        <w:rPr>
          <w:sz w:val="26"/>
          <w:szCs w:val="26"/>
        </w:rPr>
        <w:t>y</w:t>
      </w:r>
      <w:r w:rsidRPr="004F47BD">
        <w:rPr>
          <w:sz w:val="26"/>
          <w:szCs w:val="26"/>
        </w:rPr>
        <w:t xml:space="preserve"> would need to recover from sales and non-discounted transportation customers, the OCA recommended </w:t>
      </w:r>
      <w:r w:rsidRPr="004F47BD">
        <w:rPr>
          <w:sz w:val="26"/>
          <w:szCs w:val="26"/>
        </w:rPr>
        <w:lastRenderedPageBreak/>
        <w:t xml:space="preserve">that the </w:t>
      </w:r>
      <w:r w:rsidR="000A0272">
        <w:rPr>
          <w:sz w:val="26"/>
          <w:szCs w:val="26"/>
        </w:rPr>
        <w:t>Commission increase the retainage</w:t>
      </w:r>
      <w:r w:rsidRPr="004F47BD">
        <w:rPr>
          <w:sz w:val="26"/>
          <w:szCs w:val="26"/>
        </w:rPr>
        <w:t xml:space="preserve"> charge from 6.6% to 7.0%.</w:t>
      </w:r>
      <w:r>
        <w:rPr>
          <w:rStyle w:val="FootnoteReference"/>
          <w:sz w:val="26"/>
          <w:szCs w:val="26"/>
        </w:rPr>
        <w:footnoteReference w:id="18"/>
      </w:r>
      <w:r w:rsidRPr="004F47BD">
        <w:rPr>
          <w:sz w:val="26"/>
          <w:szCs w:val="26"/>
        </w:rPr>
        <w:t xml:space="preserve">  OCA M.B. at 9-10.</w:t>
      </w:r>
    </w:p>
    <w:p w14:paraId="28E7260B" w14:textId="77777777" w:rsidR="00BE696F" w:rsidRDefault="00BE696F" w:rsidP="007374FA">
      <w:pPr>
        <w:widowControl/>
        <w:spacing w:line="360" w:lineRule="auto"/>
        <w:ind w:firstLine="1440"/>
        <w:rPr>
          <w:sz w:val="26"/>
          <w:szCs w:val="26"/>
        </w:rPr>
      </w:pPr>
    </w:p>
    <w:p w14:paraId="31B0E31D" w14:textId="0C428673" w:rsidR="004F47BD" w:rsidRDefault="00012C28" w:rsidP="007374FA">
      <w:pPr>
        <w:pStyle w:val="Heading4"/>
      </w:pPr>
      <w:r w:rsidRPr="00012C28">
        <w:t>OSBA</w:t>
      </w:r>
      <w:r w:rsidR="00734951">
        <w:t>’</w:t>
      </w:r>
      <w:r w:rsidRPr="00012C28">
        <w:t>s Position</w:t>
      </w:r>
    </w:p>
    <w:p w14:paraId="6A059C09" w14:textId="77777777" w:rsidR="00012C28" w:rsidRDefault="00012C28" w:rsidP="007374FA">
      <w:pPr>
        <w:pStyle w:val="ListParagraph"/>
        <w:keepNext/>
        <w:keepLines/>
        <w:widowControl/>
        <w:spacing w:line="360" w:lineRule="auto"/>
        <w:ind w:left="1800"/>
        <w:rPr>
          <w:b/>
          <w:sz w:val="26"/>
          <w:szCs w:val="24"/>
        </w:rPr>
      </w:pPr>
    </w:p>
    <w:p w14:paraId="743FF090" w14:textId="04608721" w:rsidR="00012C28" w:rsidRDefault="000A3603" w:rsidP="007374FA">
      <w:pPr>
        <w:widowControl/>
        <w:spacing w:line="360" w:lineRule="auto"/>
        <w:ind w:firstLine="1440"/>
        <w:rPr>
          <w:sz w:val="26"/>
          <w:szCs w:val="26"/>
        </w:rPr>
      </w:pPr>
      <w:r>
        <w:rPr>
          <w:sz w:val="26"/>
          <w:szCs w:val="26"/>
        </w:rPr>
        <w:t xml:space="preserve">The </w:t>
      </w:r>
      <w:r w:rsidR="00012C28">
        <w:rPr>
          <w:sz w:val="26"/>
          <w:szCs w:val="26"/>
        </w:rPr>
        <w:t xml:space="preserve">OSBA is also in support of the proposed producer retainage charge.  </w:t>
      </w:r>
      <w:r>
        <w:rPr>
          <w:sz w:val="26"/>
          <w:szCs w:val="26"/>
        </w:rPr>
        <w:t xml:space="preserve">The </w:t>
      </w:r>
      <w:r w:rsidR="00012C28">
        <w:rPr>
          <w:sz w:val="26"/>
          <w:szCs w:val="26"/>
        </w:rPr>
        <w:t>OSBA dismissed PIOGA</w:t>
      </w:r>
      <w:r w:rsidR="00734951">
        <w:rPr>
          <w:sz w:val="26"/>
          <w:szCs w:val="26"/>
        </w:rPr>
        <w:t>’</w:t>
      </w:r>
      <w:r w:rsidR="00012C28">
        <w:rPr>
          <w:sz w:val="26"/>
          <w:szCs w:val="26"/>
        </w:rPr>
        <w:t>s argument against the charge stating that while PIOGA</w:t>
      </w:r>
      <w:r w:rsidR="00734951">
        <w:rPr>
          <w:sz w:val="26"/>
          <w:szCs w:val="26"/>
        </w:rPr>
        <w:t>’</w:t>
      </w:r>
      <w:r w:rsidR="00012C28">
        <w:rPr>
          <w:sz w:val="26"/>
          <w:szCs w:val="26"/>
        </w:rPr>
        <w:t xml:space="preserve">s witness, Mr. Hillebrand, </w:t>
      </w:r>
      <w:r w:rsidR="00734951">
        <w:rPr>
          <w:sz w:val="26"/>
          <w:szCs w:val="26"/>
        </w:rPr>
        <w:t>“</w:t>
      </w:r>
      <w:r w:rsidR="00012C28">
        <w:rPr>
          <w:sz w:val="26"/>
          <w:szCs w:val="26"/>
        </w:rPr>
        <w:t>is technically correct that producers do not cause the high gathering system losses, in the sense that gathering system losses depend upon the physical condition of pipeline segments, operating pressures, etc., rather than the fact that producers are connected to the system, the same could be said for the Company</w:t>
      </w:r>
      <w:r w:rsidR="00734951">
        <w:rPr>
          <w:sz w:val="26"/>
          <w:szCs w:val="26"/>
        </w:rPr>
        <w:t>’</w:t>
      </w:r>
      <w:r w:rsidR="00012C28">
        <w:rPr>
          <w:sz w:val="26"/>
          <w:szCs w:val="26"/>
        </w:rPr>
        <w:t>s sales and transportation customers.</w:t>
      </w:r>
      <w:r w:rsidR="00734951">
        <w:rPr>
          <w:sz w:val="26"/>
          <w:szCs w:val="26"/>
        </w:rPr>
        <w:t>”</w:t>
      </w:r>
      <w:r w:rsidR="00012C28">
        <w:rPr>
          <w:sz w:val="26"/>
          <w:szCs w:val="26"/>
        </w:rPr>
        <w:t xml:space="preserve">  OSBA M.B. at 2-3 (citing OSBA St. 1-R at 2).</w:t>
      </w:r>
    </w:p>
    <w:p w14:paraId="53FCC8B6" w14:textId="77777777" w:rsidR="00507AAE" w:rsidRDefault="00507AAE" w:rsidP="007374FA">
      <w:pPr>
        <w:widowControl/>
        <w:spacing w:line="360" w:lineRule="auto"/>
        <w:ind w:firstLine="1440"/>
        <w:rPr>
          <w:sz w:val="26"/>
          <w:szCs w:val="26"/>
        </w:rPr>
      </w:pPr>
    </w:p>
    <w:p w14:paraId="23ACC676" w14:textId="7A3E0BF8" w:rsidR="00012C28" w:rsidRDefault="00012C28" w:rsidP="007374FA">
      <w:pPr>
        <w:widowControl/>
        <w:spacing w:line="360" w:lineRule="auto"/>
        <w:rPr>
          <w:sz w:val="26"/>
          <w:szCs w:val="26"/>
        </w:rPr>
      </w:pPr>
      <w:r>
        <w:rPr>
          <w:sz w:val="26"/>
          <w:szCs w:val="26"/>
        </w:rPr>
        <w:tab/>
      </w:r>
      <w:r>
        <w:rPr>
          <w:sz w:val="26"/>
          <w:szCs w:val="26"/>
        </w:rPr>
        <w:tab/>
      </w:r>
      <w:r w:rsidR="00AB230C">
        <w:rPr>
          <w:sz w:val="26"/>
          <w:szCs w:val="26"/>
        </w:rPr>
        <w:t>Consistent with</w:t>
      </w:r>
      <w:r>
        <w:rPr>
          <w:sz w:val="26"/>
          <w:szCs w:val="26"/>
        </w:rPr>
        <w:t xml:space="preserve"> the above, </w:t>
      </w:r>
      <w:r w:rsidR="000A3603">
        <w:rPr>
          <w:sz w:val="26"/>
          <w:szCs w:val="26"/>
        </w:rPr>
        <w:t xml:space="preserve">the </w:t>
      </w:r>
      <w:r>
        <w:rPr>
          <w:sz w:val="26"/>
          <w:szCs w:val="26"/>
        </w:rPr>
        <w:t>OSBA contended that if Mr.</w:t>
      </w:r>
      <w:r w:rsidR="00D11E1A">
        <w:rPr>
          <w:sz w:val="26"/>
          <w:szCs w:val="26"/>
        </w:rPr>
        <w:t> </w:t>
      </w:r>
      <w:r>
        <w:rPr>
          <w:sz w:val="26"/>
          <w:szCs w:val="26"/>
        </w:rPr>
        <w:t>Hillebrand</w:t>
      </w:r>
      <w:r w:rsidR="00734951">
        <w:rPr>
          <w:sz w:val="26"/>
          <w:szCs w:val="26"/>
        </w:rPr>
        <w:t>’</w:t>
      </w:r>
      <w:r>
        <w:rPr>
          <w:sz w:val="26"/>
          <w:szCs w:val="26"/>
        </w:rPr>
        <w:t xml:space="preserve">s argument against cost assignment rings true for the producers, then it must also apply to sales and transportation customers, which leaves </w:t>
      </w:r>
      <w:r w:rsidR="000A3603">
        <w:rPr>
          <w:sz w:val="26"/>
          <w:szCs w:val="26"/>
        </w:rPr>
        <w:t xml:space="preserve">the </w:t>
      </w:r>
      <w:r>
        <w:rPr>
          <w:sz w:val="26"/>
          <w:szCs w:val="26"/>
        </w:rPr>
        <w:t xml:space="preserve">NGDCs responsible for the </w:t>
      </w:r>
      <w:r w:rsidR="003C1203">
        <w:rPr>
          <w:sz w:val="26"/>
          <w:szCs w:val="26"/>
        </w:rPr>
        <w:t xml:space="preserve">entire </w:t>
      </w:r>
      <w:r>
        <w:rPr>
          <w:sz w:val="26"/>
          <w:szCs w:val="26"/>
        </w:rPr>
        <w:t xml:space="preserve">cost of </w:t>
      </w:r>
      <w:r w:rsidR="003C1203">
        <w:rPr>
          <w:sz w:val="26"/>
          <w:szCs w:val="26"/>
        </w:rPr>
        <w:t>the Company</w:t>
      </w:r>
      <w:r w:rsidR="00734951">
        <w:rPr>
          <w:sz w:val="26"/>
          <w:szCs w:val="26"/>
        </w:rPr>
        <w:t>’</w:t>
      </w:r>
      <w:r w:rsidR="003C1203">
        <w:rPr>
          <w:sz w:val="26"/>
          <w:szCs w:val="26"/>
        </w:rPr>
        <w:t xml:space="preserve">s gathering system </w:t>
      </w:r>
      <w:r>
        <w:rPr>
          <w:sz w:val="26"/>
          <w:szCs w:val="26"/>
        </w:rPr>
        <w:t>UFG.  OSBA M.B. at 3.  Responding to Mr.</w:t>
      </w:r>
      <w:r w:rsidR="00D11E1A">
        <w:rPr>
          <w:sz w:val="26"/>
          <w:szCs w:val="26"/>
        </w:rPr>
        <w:t> </w:t>
      </w:r>
      <w:r>
        <w:rPr>
          <w:sz w:val="26"/>
          <w:szCs w:val="26"/>
        </w:rPr>
        <w:t>Hillebrand</w:t>
      </w:r>
      <w:r w:rsidR="00734951">
        <w:rPr>
          <w:sz w:val="26"/>
          <w:szCs w:val="26"/>
        </w:rPr>
        <w:t>’</w:t>
      </w:r>
      <w:r>
        <w:rPr>
          <w:sz w:val="26"/>
          <w:szCs w:val="26"/>
        </w:rPr>
        <w:t xml:space="preserve">s argument that there is a difference between producers and customers because producers supply the gas while customers consume the gas, </w:t>
      </w:r>
      <w:r w:rsidR="000A3603">
        <w:rPr>
          <w:sz w:val="26"/>
          <w:szCs w:val="26"/>
        </w:rPr>
        <w:t xml:space="preserve">the </w:t>
      </w:r>
      <w:r>
        <w:rPr>
          <w:sz w:val="26"/>
          <w:szCs w:val="26"/>
        </w:rPr>
        <w:t xml:space="preserve">OSBA argued </w:t>
      </w:r>
      <w:r>
        <w:rPr>
          <w:sz w:val="26"/>
          <w:szCs w:val="26"/>
        </w:rPr>
        <w:lastRenderedPageBreak/>
        <w:t>there is no difference as both the producers and the customers clearly benefit from their connection to the Compan</w:t>
      </w:r>
      <w:r w:rsidR="00C81A21">
        <w:rPr>
          <w:sz w:val="26"/>
          <w:szCs w:val="26"/>
        </w:rPr>
        <w:t>y</w:t>
      </w:r>
      <w:r w:rsidR="00734951">
        <w:rPr>
          <w:sz w:val="26"/>
          <w:szCs w:val="26"/>
        </w:rPr>
        <w:t>’</w:t>
      </w:r>
      <w:r w:rsidR="00C81A21">
        <w:rPr>
          <w:sz w:val="26"/>
          <w:szCs w:val="26"/>
        </w:rPr>
        <w:t>s</w:t>
      </w:r>
      <w:r>
        <w:rPr>
          <w:sz w:val="26"/>
          <w:szCs w:val="26"/>
        </w:rPr>
        <w:t xml:space="preserve"> system.  Therefore, </w:t>
      </w:r>
      <w:r w:rsidR="000A3603">
        <w:rPr>
          <w:sz w:val="26"/>
          <w:szCs w:val="26"/>
        </w:rPr>
        <w:t xml:space="preserve">the </w:t>
      </w:r>
      <w:r>
        <w:rPr>
          <w:sz w:val="26"/>
          <w:szCs w:val="26"/>
        </w:rPr>
        <w:t xml:space="preserve">OSBA </w:t>
      </w:r>
      <w:r w:rsidR="00997DB4">
        <w:rPr>
          <w:sz w:val="26"/>
          <w:szCs w:val="26"/>
        </w:rPr>
        <w:t>concluded</w:t>
      </w:r>
      <w:r>
        <w:rPr>
          <w:sz w:val="26"/>
          <w:szCs w:val="26"/>
        </w:rPr>
        <w:t xml:space="preserve"> the producers should pay their fair share of the UFG cost and help to mitigate increases in </w:t>
      </w:r>
      <w:r w:rsidR="00C81A21">
        <w:rPr>
          <w:sz w:val="26"/>
          <w:szCs w:val="26"/>
        </w:rPr>
        <w:t>the Company</w:t>
      </w:r>
      <w:r w:rsidR="00734951">
        <w:rPr>
          <w:sz w:val="26"/>
          <w:szCs w:val="26"/>
        </w:rPr>
        <w:t>’</w:t>
      </w:r>
      <w:r w:rsidR="00C81A21">
        <w:rPr>
          <w:sz w:val="26"/>
          <w:szCs w:val="26"/>
        </w:rPr>
        <w:t xml:space="preserve">s </w:t>
      </w:r>
      <w:r>
        <w:rPr>
          <w:sz w:val="26"/>
          <w:szCs w:val="26"/>
        </w:rPr>
        <w:t xml:space="preserve">end use retainage rate.  </w:t>
      </w:r>
      <w:r w:rsidR="000A3603">
        <w:rPr>
          <w:sz w:val="26"/>
          <w:szCs w:val="26"/>
        </w:rPr>
        <w:t xml:space="preserve">The </w:t>
      </w:r>
      <w:r>
        <w:rPr>
          <w:sz w:val="26"/>
          <w:szCs w:val="26"/>
        </w:rPr>
        <w:t xml:space="preserve">OSBA also </w:t>
      </w:r>
      <w:r w:rsidR="00C81A21">
        <w:rPr>
          <w:sz w:val="26"/>
          <w:szCs w:val="26"/>
        </w:rPr>
        <w:t>stated</w:t>
      </w:r>
      <w:r>
        <w:rPr>
          <w:sz w:val="26"/>
          <w:szCs w:val="26"/>
        </w:rPr>
        <w:t xml:space="preserve"> that if the Commission does not approve the proposed producer retainage charge, the retainage rate for end use customers would be 7.0%.  </w:t>
      </w:r>
      <w:r w:rsidRPr="00E1786F">
        <w:rPr>
          <w:i/>
          <w:sz w:val="26"/>
          <w:szCs w:val="26"/>
        </w:rPr>
        <w:t>Id.</w:t>
      </w:r>
      <w:r>
        <w:rPr>
          <w:sz w:val="26"/>
          <w:szCs w:val="26"/>
        </w:rPr>
        <w:t xml:space="preserve"> at 3-4.</w:t>
      </w:r>
    </w:p>
    <w:p w14:paraId="36465643" w14:textId="77777777" w:rsidR="008519FF" w:rsidRDefault="008519FF" w:rsidP="007374FA">
      <w:pPr>
        <w:widowControl/>
        <w:spacing w:line="360" w:lineRule="auto"/>
        <w:rPr>
          <w:sz w:val="26"/>
          <w:szCs w:val="26"/>
        </w:rPr>
      </w:pPr>
    </w:p>
    <w:p w14:paraId="4368276D" w14:textId="6BDC005B" w:rsidR="008519FF" w:rsidRDefault="008519FF" w:rsidP="007374FA">
      <w:pPr>
        <w:pStyle w:val="Heading4"/>
      </w:pPr>
      <w:r>
        <w:t>I&amp;E</w:t>
      </w:r>
      <w:r w:rsidR="00734951">
        <w:t>’</w:t>
      </w:r>
      <w:r w:rsidRPr="008519FF">
        <w:t>s Position</w:t>
      </w:r>
    </w:p>
    <w:p w14:paraId="0DBD4755" w14:textId="77777777" w:rsidR="008519FF" w:rsidRDefault="008519FF" w:rsidP="007374FA">
      <w:pPr>
        <w:keepNext/>
        <w:keepLines/>
        <w:widowControl/>
        <w:spacing w:line="360" w:lineRule="auto"/>
        <w:rPr>
          <w:b/>
          <w:sz w:val="26"/>
          <w:szCs w:val="24"/>
        </w:rPr>
      </w:pPr>
    </w:p>
    <w:p w14:paraId="31664D57" w14:textId="77777777" w:rsidR="008519FF" w:rsidRDefault="008519FF" w:rsidP="007374FA">
      <w:pPr>
        <w:widowControl/>
        <w:spacing w:line="360" w:lineRule="auto"/>
        <w:ind w:left="720" w:firstLine="720"/>
        <w:rPr>
          <w:sz w:val="26"/>
          <w:szCs w:val="24"/>
        </w:rPr>
      </w:pPr>
      <w:r w:rsidRPr="008519FF">
        <w:rPr>
          <w:sz w:val="26"/>
          <w:szCs w:val="24"/>
        </w:rPr>
        <w:t>I&amp;E</w:t>
      </w:r>
      <w:r>
        <w:rPr>
          <w:sz w:val="26"/>
          <w:szCs w:val="24"/>
        </w:rPr>
        <w:t xml:space="preserve"> did not take a position on th</w:t>
      </w:r>
      <w:r w:rsidR="0066026E">
        <w:rPr>
          <w:sz w:val="26"/>
          <w:szCs w:val="24"/>
        </w:rPr>
        <w:t>is issue</w:t>
      </w:r>
      <w:r>
        <w:rPr>
          <w:sz w:val="26"/>
          <w:szCs w:val="24"/>
        </w:rPr>
        <w:t>.</w:t>
      </w:r>
    </w:p>
    <w:p w14:paraId="3CB1C4B1" w14:textId="77777777" w:rsidR="00C73148" w:rsidRDefault="00C73148" w:rsidP="007374FA">
      <w:pPr>
        <w:widowControl/>
        <w:tabs>
          <w:tab w:val="left" w:pos="1445"/>
          <w:tab w:val="left" w:pos="7920"/>
        </w:tabs>
        <w:autoSpaceDE w:val="0"/>
        <w:autoSpaceDN w:val="0"/>
        <w:adjustRightInd w:val="0"/>
        <w:spacing w:line="360" w:lineRule="auto"/>
        <w:rPr>
          <w:sz w:val="26"/>
          <w:szCs w:val="26"/>
        </w:rPr>
      </w:pPr>
    </w:p>
    <w:p w14:paraId="0AD39C16" w14:textId="03E8B0B5" w:rsidR="00436742" w:rsidRPr="00C73148" w:rsidRDefault="00C57145" w:rsidP="00A666DC">
      <w:pPr>
        <w:pStyle w:val="Heading2"/>
      </w:pPr>
      <w:bookmarkStart w:id="24" w:name="_Toc524442354"/>
      <w:r w:rsidRPr="00C73148">
        <w:t>ALJ</w:t>
      </w:r>
      <w:r w:rsidR="00734951">
        <w:t>’</w:t>
      </w:r>
      <w:r w:rsidRPr="00C73148">
        <w:t>s Decision</w:t>
      </w:r>
      <w:bookmarkEnd w:id="24"/>
    </w:p>
    <w:p w14:paraId="7317AD0A" w14:textId="77777777" w:rsidR="00436742" w:rsidRPr="00436742" w:rsidRDefault="00436742" w:rsidP="00A666DC">
      <w:pPr>
        <w:pStyle w:val="ListParagraph"/>
        <w:keepNext/>
        <w:keepLines/>
        <w:widowControl/>
        <w:tabs>
          <w:tab w:val="left" w:pos="1445"/>
          <w:tab w:val="left" w:pos="7920"/>
        </w:tabs>
        <w:autoSpaceDE w:val="0"/>
        <w:autoSpaceDN w:val="0"/>
        <w:adjustRightInd w:val="0"/>
        <w:spacing w:line="360" w:lineRule="auto"/>
        <w:rPr>
          <w:b/>
          <w:sz w:val="26"/>
          <w:szCs w:val="26"/>
        </w:rPr>
      </w:pPr>
    </w:p>
    <w:p w14:paraId="7F5075DE" w14:textId="125F9858" w:rsidR="00C56D1E" w:rsidRDefault="00436742" w:rsidP="007374FA">
      <w:pPr>
        <w:widowControl/>
        <w:spacing w:line="360" w:lineRule="auto"/>
        <w:ind w:firstLine="1440"/>
        <w:rPr>
          <w:sz w:val="26"/>
          <w:szCs w:val="26"/>
        </w:rPr>
      </w:pPr>
      <w:r w:rsidRPr="00AB7494">
        <w:rPr>
          <w:sz w:val="26"/>
          <w:szCs w:val="26"/>
        </w:rPr>
        <w:t xml:space="preserve">In </w:t>
      </w:r>
      <w:r>
        <w:rPr>
          <w:sz w:val="26"/>
          <w:szCs w:val="26"/>
        </w:rPr>
        <w:t xml:space="preserve">his analysis, ALJ </w:t>
      </w:r>
      <w:r w:rsidR="00995231">
        <w:rPr>
          <w:sz w:val="26"/>
          <w:szCs w:val="26"/>
        </w:rPr>
        <w:t xml:space="preserve">Watson </w:t>
      </w:r>
      <w:r>
        <w:rPr>
          <w:sz w:val="26"/>
          <w:szCs w:val="26"/>
        </w:rPr>
        <w:t>addressed the following</w:t>
      </w:r>
      <w:r w:rsidR="00841FAE">
        <w:rPr>
          <w:sz w:val="26"/>
          <w:szCs w:val="26"/>
        </w:rPr>
        <w:t xml:space="preserve"> issues</w:t>
      </w:r>
      <w:r>
        <w:rPr>
          <w:sz w:val="26"/>
          <w:szCs w:val="26"/>
        </w:rPr>
        <w:t>: (</w:t>
      </w:r>
      <w:r w:rsidR="00494B1A">
        <w:rPr>
          <w:sz w:val="26"/>
          <w:szCs w:val="26"/>
        </w:rPr>
        <w:t>a</w:t>
      </w:r>
      <w:r>
        <w:rPr>
          <w:sz w:val="26"/>
          <w:szCs w:val="26"/>
        </w:rPr>
        <w:t xml:space="preserve">) whether the proposed charge is just and reasonable; </w:t>
      </w:r>
      <w:r w:rsidR="00DB7027">
        <w:rPr>
          <w:sz w:val="26"/>
          <w:szCs w:val="26"/>
        </w:rPr>
        <w:t>(</w:t>
      </w:r>
      <w:r w:rsidR="00494B1A">
        <w:rPr>
          <w:sz w:val="26"/>
          <w:szCs w:val="26"/>
        </w:rPr>
        <w:t>b</w:t>
      </w:r>
      <w:r>
        <w:rPr>
          <w:sz w:val="26"/>
          <w:szCs w:val="26"/>
        </w:rPr>
        <w:t>)</w:t>
      </w:r>
      <w:r w:rsidR="00DB7027">
        <w:rPr>
          <w:sz w:val="26"/>
          <w:szCs w:val="26"/>
        </w:rPr>
        <w:t xml:space="preserve"> </w:t>
      </w:r>
      <w:r>
        <w:rPr>
          <w:sz w:val="26"/>
          <w:szCs w:val="26"/>
        </w:rPr>
        <w:t xml:space="preserve">whether </w:t>
      </w:r>
      <w:r w:rsidR="00ED58DA">
        <w:rPr>
          <w:sz w:val="26"/>
          <w:szCs w:val="26"/>
        </w:rPr>
        <w:t>Peoples</w:t>
      </w:r>
      <w:r w:rsidR="00734951">
        <w:rPr>
          <w:sz w:val="26"/>
          <w:szCs w:val="26"/>
        </w:rPr>
        <w:t>’</w:t>
      </w:r>
      <w:r>
        <w:rPr>
          <w:sz w:val="26"/>
          <w:szCs w:val="26"/>
        </w:rPr>
        <w:t xml:space="preserve"> historical practice of not charging producers a gathering retainage prohibits prospective changes; </w:t>
      </w:r>
      <w:r w:rsidR="00DB7027">
        <w:rPr>
          <w:sz w:val="26"/>
          <w:szCs w:val="26"/>
        </w:rPr>
        <w:t>(</w:t>
      </w:r>
      <w:r w:rsidR="00494B1A">
        <w:rPr>
          <w:sz w:val="26"/>
          <w:szCs w:val="26"/>
        </w:rPr>
        <w:t>c</w:t>
      </w:r>
      <w:r>
        <w:rPr>
          <w:sz w:val="26"/>
          <w:szCs w:val="26"/>
        </w:rPr>
        <w:t>)</w:t>
      </w:r>
      <w:r w:rsidR="00DB7027">
        <w:rPr>
          <w:sz w:val="26"/>
          <w:szCs w:val="26"/>
        </w:rPr>
        <w:t xml:space="preserve"> </w:t>
      </w:r>
      <w:r>
        <w:rPr>
          <w:sz w:val="26"/>
          <w:szCs w:val="26"/>
        </w:rPr>
        <w:t xml:space="preserve">whether the proposed charge is inconsistent with the integrated nature of the </w:t>
      </w:r>
      <w:r w:rsidR="00ED58DA">
        <w:rPr>
          <w:sz w:val="26"/>
          <w:szCs w:val="26"/>
        </w:rPr>
        <w:t>Company</w:t>
      </w:r>
      <w:r w:rsidR="00734951">
        <w:rPr>
          <w:sz w:val="26"/>
          <w:szCs w:val="26"/>
        </w:rPr>
        <w:t>’</w:t>
      </w:r>
      <w:r w:rsidR="00ED58DA">
        <w:rPr>
          <w:sz w:val="26"/>
          <w:szCs w:val="26"/>
        </w:rPr>
        <w:t xml:space="preserve">s </w:t>
      </w:r>
      <w:r>
        <w:rPr>
          <w:sz w:val="26"/>
          <w:szCs w:val="26"/>
        </w:rPr>
        <w:t xml:space="preserve">distribution, transmission, and gathering systems; </w:t>
      </w:r>
      <w:r w:rsidR="00DB7027">
        <w:rPr>
          <w:sz w:val="26"/>
          <w:szCs w:val="26"/>
        </w:rPr>
        <w:t>(</w:t>
      </w:r>
      <w:r w:rsidR="00494B1A">
        <w:rPr>
          <w:sz w:val="26"/>
          <w:szCs w:val="26"/>
        </w:rPr>
        <w:t>d</w:t>
      </w:r>
      <w:r>
        <w:rPr>
          <w:sz w:val="26"/>
          <w:szCs w:val="26"/>
        </w:rPr>
        <w:t>) PIOGA</w:t>
      </w:r>
      <w:r w:rsidR="00734951">
        <w:rPr>
          <w:sz w:val="26"/>
          <w:szCs w:val="26"/>
        </w:rPr>
        <w:t>’</w:t>
      </w:r>
      <w:r>
        <w:rPr>
          <w:sz w:val="26"/>
          <w:szCs w:val="26"/>
        </w:rPr>
        <w:t xml:space="preserve">s argument to redefine </w:t>
      </w:r>
      <w:r w:rsidR="0001695C">
        <w:rPr>
          <w:sz w:val="26"/>
          <w:szCs w:val="26"/>
        </w:rPr>
        <w:t>Peoples</w:t>
      </w:r>
      <w:r w:rsidR="00734951">
        <w:rPr>
          <w:sz w:val="26"/>
          <w:szCs w:val="26"/>
        </w:rPr>
        <w:t>’</w:t>
      </w:r>
      <w:r w:rsidR="0001695C">
        <w:rPr>
          <w:sz w:val="26"/>
          <w:szCs w:val="26"/>
        </w:rPr>
        <w:t xml:space="preserve"> </w:t>
      </w:r>
      <w:r>
        <w:rPr>
          <w:sz w:val="26"/>
          <w:szCs w:val="26"/>
        </w:rPr>
        <w:t xml:space="preserve">gathering and distribution pipelines; </w:t>
      </w:r>
      <w:r w:rsidR="00DB7027">
        <w:rPr>
          <w:sz w:val="26"/>
          <w:szCs w:val="26"/>
        </w:rPr>
        <w:t>(</w:t>
      </w:r>
      <w:r w:rsidR="00494B1A">
        <w:rPr>
          <w:sz w:val="26"/>
          <w:szCs w:val="26"/>
        </w:rPr>
        <w:t>e</w:t>
      </w:r>
      <w:r>
        <w:rPr>
          <w:sz w:val="26"/>
          <w:szCs w:val="26"/>
        </w:rPr>
        <w:t>)</w:t>
      </w:r>
      <w:r w:rsidR="00DB7027">
        <w:rPr>
          <w:sz w:val="26"/>
          <w:szCs w:val="26"/>
        </w:rPr>
        <w:t xml:space="preserve"> </w:t>
      </w:r>
      <w:r>
        <w:rPr>
          <w:sz w:val="26"/>
          <w:szCs w:val="26"/>
        </w:rPr>
        <w:t>whether PIOGA</w:t>
      </w:r>
      <w:r w:rsidR="00734951">
        <w:rPr>
          <w:sz w:val="26"/>
          <w:szCs w:val="26"/>
        </w:rPr>
        <w:t>’</w:t>
      </w:r>
      <w:r>
        <w:rPr>
          <w:sz w:val="26"/>
          <w:szCs w:val="26"/>
        </w:rPr>
        <w:t xml:space="preserve">s allegations of </w:t>
      </w:r>
      <w:r w:rsidR="00734951">
        <w:rPr>
          <w:sz w:val="26"/>
          <w:szCs w:val="26"/>
        </w:rPr>
        <w:t>“</w:t>
      </w:r>
      <w:r>
        <w:rPr>
          <w:sz w:val="26"/>
          <w:szCs w:val="26"/>
        </w:rPr>
        <w:t>fault</w:t>
      </w:r>
      <w:r w:rsidR="00734951">
        <w:rPr>
          <w:sz w:val="26"/>
          <w:szCs w:val="26"/>
        </w:rPr>
        <w:t>”</w:t>
      </w:r>
      <w:r>
        <w:rPr>
          <w:sz w:val="26"/>
          <w:szCs w:val="26"/>
        </w:rPr>
        <w:t xml:space="preserve"> are a basis for denying recovery of a portion of gathering system UFG from conventional gas producers; </w:t>
      </w:r>
      <w:r w:rsidR="00CE6C8C">
        <w:rPr>
          <w:sz w:val="26"/>
          <w:szCs w:val="26"/>
        </w:rPr>
        <w:t>(</w:t>
      </w:r>
      <w:r w:rsidR="00494B1A">
        <w:rPr>
          <w:sz w:val="26"/>
          <w:szCs w:val="26"/>
        </w:rPr>
        <w:t>f</w:t>
      </w:r>
      <w:r>
        <w:rPr>
          <w:sz w:val="26"/>
          <w:szCs w:val="26"/>
        </w:rPr>
        <w:t>)</w:t>
      </w:r>
      <w:r w:rsidR="00CE6C8C">
        <w:rPr>
          <w:sz w:val="26"/>
          <w:szCs w:val="26"/>
        </w:rPr>
        <w:t xml:space="preserve"> </w:t>
      </w:r>
      <w:r>
        <w:rPr>
          <w:sz w:val="26"/>
          <w:szCs w:val="26"/>
        </w:rPr>
        <w:t xml:space="preserve">whether applying the producer retainage charge to all conventional production is reasonable in this proceeding; </w:t>
      </w:r>
      <w:r w:rsidR="00832C36">
        <w:rPr>
          <w:sz w:val="26"/>
          <w:szCs w:val="26"/>
        </w:rPr>
        <w:t xml:space="preserve">and </w:t>
      </w:r>
      <w:r w:rsidR="00CE6C8C">
        <w:rPr>
          <w:sz w:val="26"/>
          <w:szCs w:val="26"/>
        </w:rPr>
        <w:t>(</w:t>
      </w:r>
      <w:r w:rsidR="00494B1A">
        <w:rPr>
          <w:sz w:val="26"/>
          <w:szCs w:val="26"/>
        </w:rPr>
        <w:t>g</w:t>
      </w:r>
      <w:r>
        <w:rPr>
          <w:sz w:val="26"/>
          <w:szCs w:val="26"/>
        </w:rPr>
        <w:t>) whether the proposed producer retainage charge is appropriate policy for the unique situation presented in this proceedi</w:t>
      </w:r>
      <w:r w:rsidR="00832C36">
        <w:rPr>
          <w:sz w:val="26"/>
          <w:szCs w:val="26"/>
        </w:rPr>
        <w:t>ng</w:t>
      </w:r>
      <w:r>
        <w:rPr>
          <w:sz w:val="26"/>
          <w:szCs w:val="26"/>
        </w:rPr>
        <w:t>.  R.D. at 76-90.</w:t>
      </w:r>
    </w:p>
    <w:p w14:paraId="6AC4F84F" w14:textId="77777777" w:rsidR="00C63CF7" w:rsidRPr="0059169A" w:rsidRDefault="00C63CF7" w:rsidP="007374FA">
      <w:pPr>
        <w:widowControl/>
        <w:spacing w:line="360" w:lineRule="auto"/>
        <w:ind w:firstLine="1440"/>
        <w:rPr>
          <w:sz w:val="26"/>
          <w:szCs w:val="26"/>
        </w:rPr>
      </w:pPr>
    </w:p>
    <w:p w14:paraId="4CC6C926" w14:textId="3239B637" w:rsidR="00436742" w:rsidRPr="000E4A44" w:rsidRDefault="001E0D80" w:rsidP="007374FA">
      <w:pPr>
        <w:pStyle w:val="Heading3"/>
        <w:numPr>
          <w:ilvl w:val="0"/>
          <w:numId w:val="26"/>
        </w:numPr>
      </w:pPr>
      <w:r w:rsidRPr="000E4A44">
        <w:lastRenderedPageBreak/>
        <w:t xml:space="preserve"> </w:t>
      </w:r>
      <w:bookmarkStart w:id="25" w:name="_Toc524442355"/>
      <w:r w:rsidR="00436742" w:rsidRPr="000E4A44">
        <w:t xml:space="preserve">Whether the Proposed </w:t>
      </w:r>
      <w:r w:rsidR="005A5150">
        <w:t>Producer</w:t>
      </w:r>
      <w:r w:rsidR="00734951">
        <w:t>’</w:t>
      </w:r>
      <w:r w:rsidR="005A5150">
        <w:t xml:space="preserve">s </w:t>
      </w:r>
      <w:r w:rsidR="00DA790E">
        <w:t xml:space="preserve">Gathering Retainage </w:t>
      </w:r>
      <w:r w:rsidR="00436742" w:rsidRPr="000E4A44">
        <w:t>Charge is Just and Reasonable</w:t>
      </w:r>
      <w:bookmarkEnd w:id="25"/>
    </w:p>
    <w:p w14:paraId="011F8842" w14:textId="45F252B7" w:rsidR="0059169A" w:rsidRDefault="0059169A" w:rsidP="007374FA">
      <w:pPr>
        <w:keepNext/>
        <w:keepLines/>
        <w:widowControl/>
        <w:rPr>
          <w:sz w:val="26"/>
          <w:szCs w:val="26"/>
        </w:rPr>
      </w:pPr>
    </w:p>
    <w:p w14:paraId="7C5C0F58" w14:textId="77777777" w:rsidR="00BE696F" w:rsidRPr="002E5F97" w:rsidRDefault="00BE696F" w:rsidP="007374FA">
      <w:pPr>
        <w:keepNext/>
        <w:keepLines/>
        <w:widowControl/>
        <w:rPr>
          <w:sz w:val="26"/>
          <w:szCs w:val="26"/>
        </w:rPr>
      </w:pPr>
    </w:p>
    <w:p w14:paraId="31BAEA19" w14:textId="36469604" w:rsidR="00436742" w:rsidRDefault="00AE33C0" w:rsidP="007374FA">
      <w:pPr>
        <w:widowControl/>
        <w:spacing w:line="360" w:lineRule="auto"/>
        <w:ind w:firstLine="1526"/>
        <w:rPr>
          <w:sz w:val="26"/>
          <w:szCs w:val="26"/>
        </w:rPr>
      </w:pPr>
      <w:r w:rsidRPr="0059169A">
        <w:rPr>
          <w:sz w:val="26"/>
          <w:szCs w:val="26"/>
        </w:rPr>
        <w:t>The</w:t>
      </w:r>
      <w:r w:rsidR="00436742" w:rsidRPr="0059169A">
        <w:rPr>
          <w:sz w:val="26"/>
          <w:szCs w:val="26"/>
        </w:rPr>
        <w:t xml:space="preserve"> ALJ found </w:t>
      </w:r>
      <w:r w:rsidR="00DA790E">
        <w:rPr>
          <w:sz w:val="26"/>
          <w:szCs w:val="26"/>
        </w:rPr>
        <w:t xml:space="preserve">that </w:t>
      </w:r>
      <w:r w:rsidR="00436742" w:rsidRPr="0059169A">
        <w:rPr>
          <w:sz w:val="26"/>
          <w:szCs w:val="26"/>
        </w:rPr>
        <w:t xml:space="preserve">the proposed </w:t>
      </w:r>
      <w:r w:rsidR="00DA790E">
        <w:rPr>
          <w:sz w:val="26"/>
          <w:szCs w:val="26"/>
        </w:rPr>
        <w:t xml:space="preserve">gathering </w:t>
      </w:r>
      <w:r w:rsidRPr="0059169A">
        <w:rPr>
          <w:sz w:val="26"/>
          <w:szCs w:val="26"/>
        </w:rPr>
        <w:t xml:space="preserve">retainage </w:t>
      </w:r>
      <w:r w:rsidR="00436742" w:rsidRPr="0059169A">
        <w:rPr>
          <w:sz w:val="26"/>
          <w:szCs w:val="26"/>
        </w:rPr>
        <w:t xml:space="preserve">charge </w:t>
      </w:r>
      <w:r w:rsidR="00DA790E">
        <w:rPr>
          <w:sz w:val="26"/>
          <w:szCs w:val="26"/>
        </w:rPr>
        <w:t xml:space="preserve">on producers </w:t>
      </w:r>
      <w:r w:rsidR="00436742" w:rsidRPr="0059169A">
        <w:rPr>
          <w:sz w:val="26"/>
          <w:szCs w:val="26"/>
        </w:rPr>
        <w:t>is just and reasonable.  According to the ALJ, the producers are primary</w:t>
      </w:r>
      <w:r w:rsidR="00436742">
        <w:rPr>
          <w:sz w:val="26"/>
          <w:szCs w:val="26"/>
        </w:rPr>
        <w:t xml:space="preserve"> beneficiaries of the gathering system </w:t>
      </w:r>
      <w:r w:rsidR="00BC3A2F">
        <w:rPr>
          <w:sz w:val="26"/>
          <w:szCs w:val="26"/>
        </w:rPr>
        <w:t>because</w:t>
      </w:r>
      <w:r w:rsidR="00436742">
        <w:rPr>
          <w:sz w:val="26"/>
          <w:szCs w:val="26"/>
        </w:rPr>
        <w:t xml:space="preserve"> it is their only means of moving their product to the market.  </w:t>
      </w:r>
      <w:bookmarkStart w:id="26" w:name="_Hlk522326996"/>
      <w:r w:rsidR="00436742">
        <w:rPr>
          <w:sz w:val="26"/>
          <w:szCs w:val="26"/>
        </w:rPr>
        <w:t>R.D. at</w:t>
      </w:r>
      <w:r w:rsidR="0026687E">
        <w:rPr>
          <w:sz w:val="26"/>
          <w:szCs w:val="26"/>
        </w:rPr>
        <w:t> </w:t>
      </w:r>
      <w:r w:rsidR="00436742">
        <w:rPr>
          <w:sz w:val="26"/>
          <w:szCs w:val="26"/>
        </w:rPr>
        <w:t xml:space="preserve">76 (citing Companies M.B. at 10-13).   </w:t>
      </w:r>
      <w:bookmarkEnd w:id="26"/>
      <w:r w:rsidR="00436742">
        <w:rPr>
          <w:sz w:val="26"/>
          <w:szCs w:val="26"/>
        </w:rPr>
        <w:t xml:space="preserve">The ALJ noted that consistent with the commitments and steps taken by </w:t>
      </w:r>
      <w:r w:rsidR="00282502">
        <w:rPr>
          <w:sz w:val="26"/>
          <w:szCs w:val="26"/>
        </w:rPr>
        <w:t>Peoples</w:t>
      </w:r>
      <w:r w:rsidR="00436742">
        <w:rPr>
          <w:sz w:val="26"/>
          <w:szCs w:val="26"/>
        </w:rPr>
        <w:t xml:space="preserve"> </w:t>
      </w:r>
      <w:r w:rsidR="00282502">
        <w:rPr>
          <w:sz w:val="26"/>
          <w:szCs w:val="26"/>
        </w:rPr>
        <w:t xml:space="preserve">following </w:t>
      </w:r>
      <w:r w:rsidR="00490467">
        <w:rPr>
          <w:sz w:val="26"/>
          <w:szCs w:val="26"/>
        </w:rPr>
        <w:t>the 2017</w:t>
      </w:r>
      <w:r w:rsidR="00436742">
        <w:rPr>
          <w:sz w:val="26"/>
          <w:szCs w:val="26"/>
        </w:rPr>
        <w:t xml:space="preserve"> PGC proceeding</w:t>
      </w:r>
      <w:r w:rsidR="00490467">
        <w:rPr>
          <w:sz w:val="26"/>
          <w:szCs w:val="26"/>
        </w:rPr>
        <w:t>s</w:t>
      </w:r>
      <w:r>
        <w:rPr>
          <w:sz w:val="26"/>
          <w:szCs w:val="26"/>
        </w:rPr>
        <w:t>,</w:t>
      </w:r>
      <w:r w:rsidR="00436742">
        <w:rPr>
          <w:sz w:val="26"/>
          <w:szCs w:val="26"/>
        </w:rPr>
        <w:t xml:space="preserve"> including the UFG Mitigation Plan</w:t>
      </w:r>
      <w:r w:rsidR="009D28F0">
        <w:rPr>
          <w:sz w:val="26"/>
          <w:szCs w:val="26"/>
        </w:rPr>
        <w:t>,</w:t>
      </w:r>
      <w:r w:rsidR="00436742">
        <w:rPr>
          <w:sz w:val="26"/>
          <w:szCs w:val="26"/>
        </w:rPr>
        <w:t xml:space="preserve"> and the </w:t>
      </w:r>
      <w:r>
        <w:rPr>
          <w:sz w:val="26"/>
          <w:szCs w:val="26"/>
        </w:rPr>
        <w:t>accompanying</w:t>
      </w:r>
      <w:r w:rsidR="00436742">
        <w:rPr>
          <w:sz w:val="26"/>
          <w:szCs w:val="26"/>
        </w:rPr>
        <w:t xml:space="preserve"> investments to reduce gathering system UFG, the proposed charge is one way of helping</w:t>
      </w:r>
      <w:r w:rsidR="009C0F4E">
        <w:rPr>
          <w:sz w:val="26"/>
          <w:szCs w:val="26"/>
        </w:rPr>
        <w:t xml:space="preserve"> Peoples</w:t>
      </w:r>
      <w:r w:rsidR="00436742">
        <w:rPr>
          <w:sz w:val="26"/>
          <w:szCs w:val="26"/>
        </w:rPr>
        <w:t xml:space="preserve"> achieve </w:t>
      </w:r>
      <w:r w:rsidR="0002326C">
        <w:rPr>
          <w:sz w:val="26"/>
          <w:szCs w:val="26"/>
        </w:rPr>
        <w:t xml:space="preserve">its </w:t>
      </w:r>
      <w:r w:rsidR="00436742">
        <w:rPr>
          <w:sz w:val="26"/>
          <w:szCs w:val="26"/>
        </w:rPr>
        <w:t>goal of reducing gathering system UFG.  R.D. at 76-77.  Furthermore, the ALJ explained that in line with the additional commitments made by P</w:t>
      </w:r>
      <w:r w:rsidR="00475AE2">
        <w:rPr>
          <w:sz w:val="26"/>
          <w:szCs w:val="26"/>
        </w:rPr>
        <w:t>eoples</w:t>
      </w:r>
      <w:r w:rsidR="00436742">
        <w:rPr>
          <w:sz w:val="26"/>
          <w:szCs w:val="26"/>
        </w:rPr>
        <w:t xml:space="preserve"> to address gathering system UFG pursuant to the Partial Settlement, it is reasonable for the producers, as beneficiaries of the gathering system, to contribute their portion toward the reduction of </w:t>
      </w:r>
      <w:r w:rsidR="00475AE2">
        <w:rPr>
          <w:sz w:val="26"/>
          <w:szCs w:val="26"/>
        </w:rPr>
        <w:t>the Compan</w:t>
      </w:r>
      <w:r w:rsidR="0002326C">
        <w:rPr>
          <w:sz w:val="26"/>
          <w:szCs w:val="26"/>
        </w:rPr>
        <w:t>y</w:t>
      </w:r>
      <w:r w:rsidR="00734951">
        <w:rPr>
          <w:sz w:val="26"/>
          <w:szCs w:val="26"/>
        </w:rPr>
        <w:t>’</w:t>
      </w:r>
      <w:r w:rsidR="0002326C">
        <w:rPr>
          <w:sz w:val="26"/>
          <w:szCs w:val="26"/>
        </w:rPr>
        <w:t>s</w:t>
      </w:r>
      <w:r w:rsidR="00436742">
        <w:rPr>
          <w:sz w:val="26"/>
          <w:szCs w:val="26"/>
        </w:rPr>
        <w:t xml:space="preserve"> gathering system UFG.  </w:t>
      </w:r>
      <w:r w:rsidR="00436742" w:rsidRPr="00203AB2">
        <w:rPr>
          <w:i/>
          <w:sz w:val="26"/>
          <w:szCs w:val="26"/>
        </w:rPr>
        <w:t xml:space="preserve">Id. </w:t>
      </w:r>
      <w:r w:rsidR="00436742">
        <w:rPr>
          <w:sz w:val="26"/>
          <w:szCs w:val="26"/>
        </w:rPr>
        <w:t>at 77 (citing Partial Settlement ¶ ¶ 25, 29-30; PNG R.B. at</w:t>
      </w:r>
      <w:r w:rsidR="00BC3A2F">
        <w:rPr>
          <w:sz w:val="26"/>
          <w:szCs w:val="26"/>
        </w:rPr>
        <w:t> </w:t>
      </w:r>
      <w:r w:rsidR="00436742">
        <w:rPr>
          <w:sz w:val="26"/>
          <w:szCs w:val="26"/>
        </w:rPr>
        <w:t>5</w:t>
      </w:r>
      <w:r w:rsidR="00BC3A2F">
        <w:rPr>
          <w:sz w:val="26"/>
          <w:szCs w:val="26"/>
        </w:rPr>
        <w:noBreakHyphen/>
      </w:r>
      <w:r w:rsidR="00436742">
        <w:rPr>
          <w:sz w:val="26"/>
          <w:szCs w:val="26"/>
        </w:rPr>
        <w:t>6).</w:t>
      </w:r>
      <w:r w:rsidR="00282502">
        <w:rPr>
          <w:sz w:val="26"/>
          <w:szCs w:val="26"/>
        </w:rPr>
        <w:t xml:space="preserve">  The ALJ </w:t>
      </w:r>
      <w:r w:rsidR="00577BCE">
        <w:rPr>
          <w:sz w:val="26"/>
          <w:szCs w:val="26"/>
        </w:rPr>
        <w:t xml:space="preserve">concluded the charge is necessary to </w:t>
      </w:r>
      <w:r w:rsidR="00734951">
        <w:rPr>
          <w:sz w:val="26"/>
          <w:szCs w:val="26"/>
        </w:rPr>
        <w:t>“</w:t>
      </w:r>
      <w:r w:rsidR="00577BCE">
        <w:rPr>
          <w:sz w:val="26"/>
          <w:szCs w:val="26"/>
        </w:rPr>
        <w:t>properly balance the interests of both consumers and producers, where there is currently no balance at all.  R.D. at 89.</w:t>
      </w:r>
    </w:p>
    <w:p w14:paraId="6AB39BAB" w14:textId="77777777" w:rsidR="00204E9A" w:rsidRDefault="00204E9A" w:rsidP="007374FA">
      <w:pPr>
        <w:widowControl/>
        <w:spacing w:line="360" w:lineRule="auto"/>
        <w:ind w:firstLine="1526"/>
        <w:rPr>
          <w:sz w:val="26"/>
          <w:szCs w:val="26"/>
        </w:rPr>
      </w:pPr>
    </w:p>
    <w:p w14:paraId="0767EB9E" w14:textId="75351CA2" w:rsidR="00436742" w:rsidRPr="000E4A44" w:rsidRDefault="00436742" w:rsidP="007374FA">
      <w:pPr>
        <w:pStyle w:val="Heading3"/>
      </w:pPr>
      <w:bookmarkStart w:id="27" w:name="_Toc524442356"/>
      <w:r w:rsidRPr="000E4A44">
        <w:t>Whether Peoples Natural Gas</w:t>
      </w:r>
      <w:r w:rsidR="00734951">
        <w:t>’</w:t>
      </w:r>
      <w:r w:rsidRPr="000E4A44">
        <w:t xml:space="preserve"> Historical Practice of Not Charging Producers a Gathering Retainage </w:t>
      </w:r>
      <w:r w:rsidR="00A21A7D">
        <w:t xml:space="preserve">Charge </w:t>
      </w:r>
      <w:r w:rsidRPr="000E4A44">
        <w:t>Prohibits Prospective Changes</w:t>
      </w:r>
      <w:bookmarkEnd w:id="27"/>
    </w:p>
    <w:p w14:paraId="38C6CB30" w14:textId="77777777" w:rsidR="0059169A" w:rsidRPr="002E5F97" w:rsidRDefault="0059169A" w:rsidP="007374FA">
      <w:pPr>
        <w:keepNext/>
        <w:keepLines/>
        <w:widowControl/>
        <w:spacing w:line="360" w:lineRule="auto"/>
        <w:rPr>
          <w:sz w:val="26"/>
          <w:szCs w:val="26"/>
        </w:rPr>
      </w:pPr>
    </w:p>
    <w:p w14:paraId="3D6DD285" w14:textId="66ED5FCC" w:rsidR="00436742" w:rsidRDefault="00B1060F" w:rsidP="007374FA">
      <w:pPr>
        <w:widowControl/>
        <w:spacing w:line="360" w:lineRule="auto"/>
        <w:ind w:firstLine="1530"/>
        <w:rPr>
          <w:sz w:val="26"/>
          <w:szCs w:val="26"/>
        </w:rPr>
      </w:pPr>
      <w:r>
        <w:rPr>
          <w:sz w:val="26"/>
          <w:szCs w:val="26"/>
        </w:rPr>
        <w:t>The ALJ disagreed w</w:t>
      </w:r>
      <w:r w:rsidR="00D06547" w:rsidRPr="0059169A">
        <w:rPr>
          <w:sz w:val="26"/>
          <w:szCs w:val="26"/>
        </w:rPr>
        <w:t xml:space="preserve">ith </w:t>
      </w:r>
      <w:r w:rsidR="00436742" w:rsidRPr="0059169A">
        <w:rPr>
          <w:sz w:val="26"/>
          <w:szCs w:val="26"/>
        </w:rPr>
        <w:t>PIOGA</w:t>
      </w:r>
      <w:r w:rsidR="00734951">
        <w:rPr>
          <w:sz w:val="26"/>
          <w:szCs w:val="26"/>
        </w:rPr>
        <w:t>’</w:t>
      </w:r>
      <w:r w:rsidR="00436742" w:rsidRPr="0059169A">
        <w:rPr>
          <w:sz w:val="26"/>
          <w:szCs w:val="26"/>
        </w:rPr>
        <w:t xml:space="preserve">s </w:t>
      </w:r>
      <w:r w:rsidR="00D06547" w:rsidRPr="0059169A">
        <w:rPr>
          <w:sz w:val="26"/>
          <w:szCs w:val="26"/>
        </w:rPr>
        <w:t xml:space="preserve">argument </w:t>
      </w:r>
      <w:r>
        <w:rPr>
          <w:sz w:val="26"/>
          <w:szCs w:val="26"/>
        </w:rPr>
        <w:t xml:space="preserve">in which it </w:t>
      </w:r>
      <w:r w:rsidR="00436742" w:rsidRPr="0059169A">
        <w:rPr>
          <w:sz w:val="26"/>
          <w:szCs w:val="26"/>
        </w:rPr>
        <w:t>oppos</w:t>
      </w:r>
      <w:r>
        <w:rPr>
          <w:sz w:val="26"/>
          <w:szCs w:val="26"/>
        </w:rPr>
        <w:t>ed</w:t>
      </w:r>
      <w:r w:rsidR="00436742" w:rsidRPr="0059169A">
        <w:rPr>
          <w:sz w:val="26"/>
          <w:szCs w:val="26"/>
        </w:rPr>
        <w:t xml:space="preserve"> the proposed </w:t>
      </w:r>
      <w:r w:rsidR="006552EB">
        <w:rPr>
          <w:sz w:val="26"/>
          <w:szCs w:val="26"/>
        </w:rPr>
        <w:t xml:space="preserve">retainage charge </w:t>
      </w:r>
      <w:r w:rsidR="00D06547" w:rsidRPr="0059169A">
        <w:rPr>
          <w:sz w:val="26"/>
          <w:szCs w:val="26"/>
        </w:rPr>
        <w:t>because</w:t>
      </w:r>
      <w:r w:rsidR="00436742" w:rsidRPr="0059169A">
        <w:rPr>
          <w:sz w:val="26"/>
          <w:szCs w:val="26"/>
        </w:rPr>
        <w:t xml:space="preserve"> </w:t>
      </w:r>
      <w:r w:rsidR="00301B60" w:rsidRPr="0059169A">
        <w:rPr>
          <w:sz w:val="26"/>
          <w:szCs w:val="26"/>
        </w:rPr>
        <w:t>P</w:t>
      </w:r>
      <w:r w:rsidR="009D28F0" w:rsidRPr="0059169A">
        <w:rPr>
          <w:sz w:val="26"/>
          <w:szCs w:val="26"/>
        </w:rPr>
        <w:t>eople</w:t>
      </w:r>
      <w:r w:rsidR="00301B60" w:rsidRPr="0059169A">
        <w:rPr>
          <w:sz w:val="26"/>
          <w:szCs w:val="26"/>
        </w:rPr>
        <w:t>s</w:t>
      </w:r>
      <w:r w:rsidR="00734951">
        <w:rPr>
          <w:sz w:val="26"/>
          <w:szCs w:val="26"/>
        </w:rPr>
        <w:t>’</w:t>
      </w:r>
      <w:r w:rsidR="00436742" w:rsidRPr="0059169A">
        <w:rPr>
          <w:sz w:val="26"/>
          <w:szCs w:val="26"/>
        </w:rPr>
        <w:t xml:space="preserve"> system has always</w:t>
      </w:r>
      <w:r w:rsidR="00436742">
        <w:rPr>
          <w:sz w:val="26"/>
          <w:szCs w:val="26"/>
        </w:rPr>
        <w:t xml:space="preserve"> been an integrated system and there is no basis to separate costs related to gathering systems at this time</w:t>
      </w:r>
      <w:r>
        <w:rPr>
          <w:sz w:val="26"/>
          <w:szCs w:val="26"/>
        </w:rPr>
        <w:t xml:space="preserve">.  </w:t>
      </w:r>
      <w:r w:rsidR="00436742">
        <w:rPr>
          <w:sz w:val="26"/>
          <w:szCs w:val="26"/>
        </w:rPr>
        <w:t xml:space="preserve">According to the ALJ, </w:t>
      </w:r>
      <w:r>
        <w:rPr>
          <w:sz w:val="26"/>
          <w:szCs w:val="26"/>
        </w:rPr>
        <w:t xml:space="preserve">this </w:t>
      </w:r>
      <w:r w:rsidR="007C0A1B">
        <w:rPr>
          <w:sz w:val="26"/>
          <w:szCs w:val="26"/>
        </w:rPr>
        <w:t xml:space="preserve">type of </w:t>
      </w:r>
      <w:r>
        <w:rPr>
          <w:sz w:val="26"/>
          <w:szCs w:val="26"/>
        </w:rPr>
        <w:t xml:space="preserve">proceeding, which </w:t>
      </w:r>
      <w:r w:rsidR="007C0A1B">
        <w:rPr>
          <w:sz w:val="26"/>
          <w:szCs w:val="26"/>
        </w:rPr>
        <w:t xml:space="preserve">is conducted annually and </w:t>
      </w:r>
      <w:r w:rsidR="00436742">
        <w:rPr>
          <w:sz w:val="26"/>
          <w:szCs w:val="26"/>
        </w:rPr>
        <w:t>afford</w:t>
      </w:r>
      <w:r>
        <w:rPr>
          <w:sz w:val="26"/>
          <w:szCs w:val="26"/>
        </w:rPr>
        <w:t>s the Parties with</w:t>
      </w:r>
      <w:r w:rsidR="00436742">
        <w:rPr>
          <w:sz w:val="26"/>
          <w:szCs w:val="26"/>
        </w:rPr>
        <w:t xml:space="preserve"> </w:t>
      </w:r>
      <w:r w:rsidR="00301B60">
        <w:rPr>
          <w:sz w:val="26"/>
          <w:szCs w:val="26"/>
        </w:rPr>
        <w:t xml:space="preserve">an </w:t>
      </w:r>
      <w:r w:rsidR="00436742">
        <w:rPr>
          <w:sz w:val="26"/>
          <w:szCs w:val="26"/>
        </w:rPr>
        <w:t>opportunity to examine whether PGC rates are just and reasonable</w:t>
      </w:r>
      <w:r w:rsidR="007C0A1B">
        <w:rPr>
          <w:sz w:val="26"/>
          <w:szCs w:val="26"/>
        </w:rPr>
        <w:t xml:space="preserve">, is an </w:t>
      </w:r>
      <w:r w:rsidR="00436742">
        <w:rPr>
          <w:sz w:val="26"/>
          <w:szCs w:val="26"/>
        </w:rPr>
        <w:t>appropriate</w:t>
      </w:r>
      <w:r w:rsidR="00301B60">
        <w:rPr>
          <w:sz w:val="26"/>
          <w:szCs w:val="26"/>
        </w:rPr>
        <w:t xml:space="preserve"> </w:t>
      </w:r>
      <w:r w:rsidR="000E43D9">
        <w:rPr>
          <w:sz w:val="26"/>
          <w:szCs w:val="26"/>
        </w:rPr>
        <w:t>avenue</w:t>
      </w:r>
      <w:r w:rsidR="00301B60">
        <w:rPr>
          <w:sz w:val="26"/>
          <w:szCs w:val="26"/>
        </w:rPr>
        <w:t xml:space="preserve"> </w:t>
      </w:r>
      <w:r w:rsidR="00436742">
        <w:rPr>
          <w:sz w:val="26"/>
          <w:szCs w:val="26"/>
        </w:rPr>
        <w:t xml:space="preserve">to address </w:t>
      </w:r>
      <w:r w:rsidR="007C0A1B">
        <w:rPr>
          <w:sz w:val="26"/>
          <w:szCs w:val="26"/>
        </w:rPr>
        <w:t xml:space="preserve">the </w:t>
      </w:r>
      <w:r w:rsidR="00436742">
        <w:rPr>
          <w:sz w:val="26"/>
          <w:szCs w:val="26"/>
        </w:rPr>
        <w:t>issues involving the Compan</w:t>
      </w:r>
      <w:r w:rsidR="000E43D9">
        <w:rPr>
          <w:sz w:val="26"/>
          <w:szCs w:val="26"/>
        </w:rPr>
        <w:t>y</w:t>
      </w:r>
      <w:r w:rsidR="00734951">
        <w:rPr>
          <w:sz w:val="26"/>
          <w:szCs w:val="26"/>
        </w:rPr>
        <w:t>’</w:t>
      </w:r>
      <w:r w:rsidR="000E43D9">
        <w:rPr>
          <w:sz w:val="26"/>
          <w:szCs w:val="26"/>
        </w:rPr>
        <w:t>s</w:t>
      </w:r>
      <w:r w:rsidR="00436742">
        <w:rPr>
          <w:sz w:val="26"/>
          <w:szCs w:val="26"/>
        </w:rPr>
        <w:t xml:space="preserve"> system including</w:t>
      </w:r>
      <w:r w:rsidR="001813CD">
        <w:rPr>
          <w:sz w:val="26"/>
          <w:szCs w:val="26"/>
        </w:rPr>
        <w:t xml:space="preserve"> </w:t>
      </w:r>
      <w:r w:rsidR="000E43D9">
        <w:rPr>
          <w:sz w:val="26"/>
          <w:szCs w:val="26"/>
        </w:rPr>
        <w:t xml:space="preserve">the </w:t>
      </w:r>
      <w:r w:rsidR="001813CD">
        <w:rPr>
          <w:sz w:val="26"/>
          <w:szCs w:val="26"/>
        </w:rPr>
        <w:t>gathering system</w:t>
      </w:r>
      <w:r w:rsidR="00966E0C">
        <w:rPr>
          <w:sz w:val="26"/>
          <w:szCs w:val="26"/>
        </w:rPr>
        <w:t xml:space="preserve"> </w:t>
      </w:r>
      <w:r w:rsidR="00436742">
        <w:rPr>
          <w:sz w:val="26"/>
          <w:szCs w:val="26"/>
        </w:rPr>
        <w:t>UFG</w:t>
      </w:r>
      <w:r w:rsidR="006552EB">
        <w:rPr>
          <w:sz w:val="26"/>
          <w:szCs w:val="26"/>
        </w:rPr>
        <w:t xml:space="preserve"> and associated proposed retainage charge</w:t>
      </w:r>
      <w:r w:rsidR="00436742">
        <w:rPr>
          <w:sz w:val="26"/>
          <w:szCs w:val="26"/>
        </w:rPr>
        <w:t xml:space="preserve">.  </w:t>
      </w:r>
      <w:bookmarkStart w:id="28" w:name="_Hlk522328316"/>
      <w:r w:rsidR="00436742">
        <w:rPr>
          <w:sz w:val="26"/>
          <w:szCs w:val="26"/>
        </w:rPr>
        <w:t>R.D. at 77-78 (citing 66 Pa. C.S, &amp; 1307(f)).</w:t>
      </w:r>
      <w:bookmarkEnd w:id="28"/>
      <w:r w:rsidR="00436742">
        <w:rPr>
          <w:sz w:val="26"/>
          <w:szCs w:val="26"/>
        </w:rPr>
        <w:t xml:space="preserve">  According to the ALJ, </w:t>
      </w:r>
      <w:r w:rsidR="0072028E">
        <w:rPr>
          <w:sz w:val="26"/>
          <w:szCs w:val="26"/>
        </w:rPr>
        <w:t xml:space="preserve">the fact </w:t>
      </w:r>
      <w:r w:rsidR="00436742">
        <w:rPr>
          <w:sz w:val="26"/>
          <w:szCs w:val="26"/>
        </w:rPr>
        <w:t xml:space="preserve">that other Parties </w:t>
      </w:r>
      <w:r w:rsidR="007638F4">
        <w:rPr>
          <w:sz w:val="26"/>
          <w:szCs w:val="26"/>
        </w:rPr>
        <w:t xml:space="preserve">in this </w:t>
      </w:r>
      <w:r w:rsidR="007638F4">
        <w:rPr>
          <w:sz w:val="26"/>
          <w:szCs w:val="26"/>
        </w:rPr>
        <w:lastRenderedPageBreak/>
        <w:t xml:space="preserve">proceeding </w:t>
      </w:r>
      <w:r w:rsidR="00436742">
        <w:rPr>
          <w:sz w:val="26"/>
          <w:szCs w:val="26"/>
        </w:rPr>
        <w:t xml:space="preserve">including I&amp;E and the OCA </w:t>
      </w:r>
      <w:r w:rsidR="00A21A7D">
        <w:rPr>
          <w:sz w:val="26"/>
          <w:szCs w:val="26"/>
        </w:rPr>
        <w:t xml:space="preserve">also have </w:t>
      </w:r>
      <w:r w:rsidR="00436742">
        <w:rPr>
          <w:sz w:val="26"/>
          <w:szCs w:val="26"/>
        </w:rPr>
        <w:t>offered proposals in this proceeding, it is reasonable to conclude that P</w:t>
      </w:r>
      <w:r w:rsidR="001813CD">
        <w:rPr>
          <w:sz w:val="26"/>
          <w:szCs w:val="26"/>
        </w:rPr>
        <w:t>eoples</w:t>
      </w:r>
      <w:r w:rsidR="00436742">
        <w:rPr>
          <w:sz w:val="26"/>
          <w:szCs w:val="26"/>
        </w:rPr>
        <w:t xml:space="preserve"> is not precluded from proposing to partially unbundle the costs associated with </w:t>
      </w:r>
      <w:r w:rsidR="007638F4">
        <w:rPr>
          <w:sz w:val="26"/>
          <w:szCs w:val="26"/>
        </w:rPr>
        <w:t xml:space="preserve">its </w:t>
      </w:r>
      <w:r w:rsidR="00436742">
        <w:rPr>
          <w:sz w:val="26"/>
          <w:szCs w:val="26"/>
        </w:rPr>
        <w:t xml:space="preserve">gathering system UFG.  R.D. at 78-79 (citing I&amp;E St. 1 at 18; OCA St. 1 at 11; PNG R.B. at 6-7).  </w:t>
      </w:r>
      <w:r w:rsidR="001813CD">
        <w:rPr>
          <w:sz w:val="26"/>
          <w:szCs w:val="26"/>
        </w:rPr>
        <w:t>Therefore, the ALJ concluded that Peoples</w:t>
      </w:r>
      <w:r w:rsidR="00734951">
        <w:rPr>
          <w:sz w:val="26"/>
          <w:szCs w:val="26"/>
        </w:rPr>
        <w:t>’</w:t>
      </w:r>
      <w:r w:rsidR="001813CD">
        <w:rPr>
          <w:sz w:val="26"/>
          <w:szCs w:val="26"/>
        </w:rPr>
        <w:t xml:space="preserve"> historical practice of not charging producers for gathering retainage does not foreclose such a charge from being adopted in the instant proceeding.  R.D. at 88.</w:t>
      </w:r>
    </w:p>
    <w:p w14:paraId="3932093D" w14:textId="77777777" w:rsidR="00D06547" w:rsidRDefault="00D06547" w:rsidP="007374FA">
      <w:pPr>
        <w:widowControl/>
        <w:spacing w:line="360" w:lineRule="auto"/>
        <w:ind w:firstLine="1530"/>
        <w:rPr>
          <w:sz w:val="26"/>
          <w:szCs w:val="26"/>
        </w:rPr>
      </w:pPr>
    </w:p>
    <w:p w14:paraId="4F994998" w14:textId="7FFFF4AA" w:rsidR="00436742" w:rsidRDefault="00436742" w:rsidP="005A5150">
      <w:pPr>
        <w:pStyle w:val="Heading3"/>
      </w:pPr>
      <w:bookmarkStart w:id="29" w:name="_Toc524442357"/>
      <w:bookmarkStart w:id="30" w:name="_Hlk522329739"/>
      <w:r w:rsidRPr="001E0D80">
        <w:t xml:space="preserve">Whether the Proposed </w:t>
      </w:r>
      <w:r w:rsidR="00A21A7D">
        <w:t>Producer</w:t>
      </w:r>
      <w:r w:rsidR="00734951">
        <w:t>’</w:t>
      </w:r>
      <w:r w:rsidR="00A21A7D">
        <w:t xml:space="preserve">s </w:t>
      </w:r>
      <w:r w:rsidR="00A21A7D" w:rsidRPr="000E4A44">
        <w:t xml:space="preserve">Gathering Retainage </w:t>
      </w:r>
      <w:r w:rsidR="00A21A7D">
        <w:t>Charge</w:t>
      </w:r>
      <w:r w:rsidR="00A21A7D" w:rsidRPr="001E0D80">
        <w:t xml:space="preserve"> </w:t>
      </w:r>
      <w:r w:rsidRPr="001E0D80">
        <w:t>is Inconsistent with the Integrated Nature of the Company</w:t>
      </w:r>
      <w:r w:rsidR="00734951">
        <w:t>’</w:t>
      </w:r>
      <w:r w:rsidRPr="001E0D80">
        <w:t>s Distribution, Transmission and Gathering System</w:t>
      </w:r>
      <w:bookmarkEnd w:id="29"/>
    </w:p>
    <w:p w14:paraId="46A91D4B" w14:textId="77777777" w:rsidR="0059169A" w:rsidRPr="002E5F97" w:rsidRDefault="0059169A" w:rsidP="005A5150">
      <w:pPr>
        <w:keepNext/>
        <w:keepLines/>
        <w:widowControl/>
        <w:spacing w:line="360" w:lineRule="auto"/>
        <w:rPr>
          <w:sz w:val="26"/>
          <w:szCs w:val="26"/>
        </w:rPr>
      </w:pPr>
    </w:p>
    <w:p w14:paraId="60D58E40" w14:textId="5FBEDB16" w:rsidR="00436742" w:rsidRDefault="00436742" w:rsidP="007374FA">
      <w:pPr>
        <w:widowControl/>
        <w:spacing w:line="360" w:lineRule="auto"/>
        <w:ind w:firstLine="1530"/>
        <w:rPr>
          <w:sz w:val="26"/>
          <w:szCs w:val="26"/>
        </w:rPr>
      </w:pPr>
      <w:r w:rsidRPr="0059169A">
        <w:rPr>
          <w:sz w:val="26"/>
          <w:szCs w:val="26"/>
        </w:rPr>
        <w:t>The ALJ rejected PIOGA</w:t>
      </w:r>
      <w:r w:rsidR="00734951">
        <w:rPr>
          <w:sz w:val="26"/>
          <w:szCs w:val="26"/>
        </w:rPr>
        <w:t>’</w:t>
      </w:r>
      <w:r w:rsidRPr="0059169A">
        <w:rPr>
          <w:sz w:val="26"/>
          <w:szCs w:val="26"/>
        </w:rPr>
        <w:t xml:space="preserve">s argument that </w:t>
      </w:r>
      <w:r w:rsidR="00A21A7D" w:rsidRPr="0059169A">
        <w:rPr>
          <w:sz w:val="26"/>
          <w:szCs w:val="26"/>
        </w:rPr>
        <w:t>the proposed</w:t>
      </w:r>
      <w:r w:rsidR="00A21A7D">
        <w:rPr>
          <w:sz w:val="26"/>
          <w:szCs w:val="26"/>
        </w:rPr>
        <w:t xml:space="preserve"> </w:t>
      </w:r>
      <w:r w:rsidR="005C4B09">
        <w:rPr>
          <w:sz w:val="26"/>
          <w:szCs w:val="26"/>
        </w:rPr>
        <w:t xml:space="preserve">gathering </w:t>
      </w:r>
      <w:proofErr w:type="spellStart"/>
      <w:r w:rsidR="005C4B09">
        <w:rPr>
          <w:sz w:val="26"/>
          <w:szCs w:val="26"/>
        </w:rPr>
        <w:t>retainange</w:t>
      </w:r>
      <w:proofErr w:type="spellEnd"/>
      <w:r w:rsidR="005C4B09">
        <w:rPr>
          <w:sz w:val="26"/>
          <w:szCs w:val="26"/>
        </w:rPr>
        <w:t xml:space="preserve"> </w:t>
      </w:r>
      <w:r w:rsidR="00A21A7D">
        <w:rPr>
          <w:sz w:val="26"/>
          <w:szCs w:val="26"/>
        </w:rPr>
        <w:t>charge is improper</w:t>
      </w:r>
      <w:r w:rsidR="00A21A7D" w:rsidRPr="0059169A">
        <w:rPr>
          <w:sz w:val="26"/>
          <w:szCs w:val="26"/>
        </w:rPr>
        <w:t xml:space="preserve"> </w:t>
      </w:r>
      <w:r w:rsidR="005A5150">
        <w:rPr>
          <w:sz w:val="26"/>
          <w:szCs w:val="26"/>
        </w:rPr>
        <w:t xml:space="preserve">because </w:t>
      </w:r>
      <w:r w:rsidRPr="0059169A">
        <w:rPr>
          <w:sz w:val="26"/>
          <w:szCs w:val="26"/>
        </w:rPr>
        <w:t>P</w:t>
      </w:r>
      <w:r w:rsidR="00416A7A" w:rsidRPr="0059169A">
        <w:rPr>
          <w:sz w:val="26"/>
          <w:szCs w:val="26"/>
        </w:rPr>
        <w:t>eoples</w:t>
      </w:r>
      <w:r w:rsidR="00734951">
        <w:rPr>
          <w:sz w:val="26"/>
          <w:szCs w:val="26"/>
        </w:rPr>
        <w:t>’</w:t>
      </w:r>
      <w:r w:rsidRPr="0059169A">
        <w:rPr>
          <w:sz w:val="26"/>
          <w:szCs w:val="26"/>
        </w:rPr>
        <w:t xml:space="preserve"> gathering system was </w:t>
      </w:r>
      <w:r w:rsidR="00734951">
        <w:rPr>
          <w:sz w:val="26"/>
          <w:szCs w:val="26"/>
        </w:rPr>
        <w:t>“</w:t>
      </w:r>
      <w:r w:rsidRPr="0059169A">
        <w:rPr>
          <w:sz w:val="26"/>
          <w:szCs w:val="26"/>
        </w:rPr>
        <w:t>constructed as part of an integrated operation to provide natural gas to customers</w:t>
      </w:r>
      <w:r w:rsidR="005C4B09">
        <w:rPr>
          <w:sz w:val="26"/>
          <w:szCs w:val="26"/>
        </w:rPr>
        <w:t>.</w:t>
      </w:r>
      <w:r w:rsidR="00734951">
        <w:rPr>
          <w:sz w:val="26"/>
          <w:szCs w:val="26"/>
        </w:rPr>
        <w:t>”</w:t>
      </w:r>
      <w:r>
        <w:rPr>
          <w:sz w:val="26"/>
          <w:szCs w:val="26"/>
        </w:rPr>
        <w:t xml:space="preserve">  R.D. at 79 (PIOGA M.B.</w:t>
      </w:r>
      <w:r w:rsidR="005C4B09">
        <w:rPr>
          <w:sz w:val="26"/>
          <w:szCs w:val="26"/>
        </w:rPr>
        <w:t> </w:t>
      </w:r>
      <w:r>
        <w:rPr>
          <w:sz w:val="26"/>
          <w:szCs w:val="26"/>
        </w:rPr>
        <w:t xml:space="preserve">at 10, 12-13, 18-19).  </w:t>
      </w:r>
      <w:bookmarkEnd w:id="30"/>
      <w:r>
        <w:rPr>
          <w:sz w:val="26"/>
          <w:szCs w:val="26"/>
        </w:rPr>
        <w:t xml:space="preserve">The ALJ </w:t>
      </w:r>
      <w:r w:rsidR="003B23A8">
        <w:rPr>
          <w:sz w:val="26"/>
          <w:szCs w:val="26"/>
        </w:rPr>
        <w:t xml:space="preserve">was not persuaded by </w:t>
      </w:r>
      <w:r>
        <w:rPr>
          <w:sz w:val="26"/>
          <w:szCs w:val="26"/>
        </w:rPr>
        <w:t>PIOGA</w:t>
      </w:r>
      <w:r w:rsidR="00734951">
        <w:rPr>
          <w:sz w:val="26"/>
          <w:szCs w:val="26"/>
        </w:rPr>
        <w:t>’</w:t>
      </w:r>
      <w:r>
        <w:rPr>
          <w:sz w:val="26"/>
          <w:szCs w:val="26"/>
        </w:rPr>
        <w:t xml:space="preserve">s </w:t>
      </w:r>
      <w:r w:rsidR="00025E8F">
        <w:rPr>
          <w:sz w:val="26"/>
          <w:szCs w:val="26"/>
        </w:rPr>
        <w:t xml:space="preserve">argument </w:t>
      </w:r>
      <w:r w:rsidR="00C868E3">
        <w:rPr>
          <w:sz w:val="26"/>
          <w:szCs w:val="26"/>
        </w:rPr>
        <w:t xml:space="preserve">that the proposed charge should be denied consistent with </w:t>
      </w:r>
      <w:r w:rsidR="005C4B09">
        <w:rPr>
          <w:sz w:val="26"/>
          <w:szCs w:val="26"/>
        </w:rPr>
        <w:t xml:space="preserve">the </w:t>
      </w:r>
      <w:r w:rsidR="00685A01">
        <w:rPr>
          <w:sz w:val="26"/>
          <w:szCs w:val="26"/>
        </w:rPr>
        <w:t>Commission</w:t>
      </w:r>
      <w:r w:rsidR="00734951">
        <w:rPr>
          <w:sz w:val="26"/>
          <w:szCs w:val="26"/>
        </w:rPr>
        <w:t>’</w:t>
      </w:r>
      <w:r w:rsidR="00685A01">
        <w:rPr>
          <w:sz w:val="26"/>
          <w:szCs w:val="26"/>
        </w:rPr>
        <w:t>s</w:t>
      </w:r>
      <w:r>
        <w:rPr>
          <w:sz w:val="26"/>
          <w:szCs w:val="26"/>
        </w:rPr>
        <w:t xml:space="preserve"> statute and deference </w:t>
      </w:r>
      <w:r w:rsidR="00025E8F">
        <w:rPr>
          <w:sz w:val="26"/>
          <w:szCs w:val="26"/>
        </w:rPr>
        <w:t>interpretation</w:t>
      </w:r>
      <w:r>
        <w:rPr>
          <w:sz w:val="26"/>
          <w:szCs w:val="26"/>
        </w:rPr>
        <w:t xml:space="preserve"> </w:t>
      </w:r>
      <w:r w:rsidR="00025E8F">
        <w:rPr>
          <w:sz w:val="26"/>
          <w:szCs w:val="26"/>
        </w:rPr>
        <w:t>in</w:t>
      </w:r>
      <w:r>
        <w:rPr>
          <w:sz w:val="26"/>
          <w:szCs w:val="26"/>
        </w:rPr>
        <w:t xml:space="preserve"> the </w:t>
      </w:r>
      <w:r w:rsidRPr="00025E8F">
        <w:rPr>
          <w:sz w:val="26"/>
          <w:szCs w:val="26"/>
        </w:rPr>
        <w:t>Commonwealth Court</w:t>
      </w:r>
      <w:r w:rsidR="00734951">
        <w:rPr>
          <w:sz w:val="26"/>
          <w:szCs w:val="26"/>
        </w:rPr>
        <w:t>’</w:t>
      </w:r>
      <w:r w:rsidRPr="00025E8F">
        <w:rPr>
          <w:sz w:val="26"/>
          <w:szCs w:val="26"/>
        </w:rPr>
        <w:t>s decision in</w:t>
      </w:r>
      <w:r w:rsidRPr="00230A14">
        <w:rPr>
          <w:i/>
          <w:sz w:val="26"/>
          <w:szCs w:val="26"/>
        </w:rPr>
        <w:t xml:space="preserve"> Crown Castle NG East LLC v. Pa. Pub. Util. Comm</w:t>
      </w:r>
      <w:r w:rsidR="00734951">
        <w:rPr>
          <w:i/>
          <w:sz w:val="26"/>
          <w:szCs w:val="26"/>
        </w:rPr>
        <w:t>’</w:t>
      </w:r>
      <w:r w:rsidRPr="00230A14">
        <w:rPr>
          <w:i/>
          <w:sz w:val="26"/>
          <w:szCs w:val="26"/>
        </w:rPr>
        <w:t>n</w:t>
      </w:r>
      <w:r>
        <w:rPr>
          <w:sz w:val="26"/>
          <w:szCs w:val="26"/>
        </w:rPr>
        <w:t xml:space="preserve"> </w:t>
      </w:r>
      <w:r w:rsidR="0072028E">
        <w:rPr>
          <w:sz w:val="26"/>
          <w:szCs w:val="26"/>
        </w:rPr>
        <w:t>198 A.3d 617</w:t>
      </w:r>
      <w:r>
        <w:rPr>
          <w:sz w:val="26"/>
          <w:szCs w:val="26"/>
        </w:rPr>
        <w:t xml:space="preserve"> (Pa. Cmwlth. 2018) </w:t>
      </w:r>
      <w:r w:rsidRPr="009735C9">
        <w:rPr>
          <w:sz w:val="26"/>
          <w:szCs w:val="26"/>
        </w:rPr>
        <w:t>(</w:t>
      </w:r>
      <w:r w:rsidRPr="00F14AF5">
        <w:rPr>
          <w:i/>
          <w:sz w:val="26"/>
          <w:szCs w:val="26"/>
        </w:rPr>
        <w:t>Crown Castle</w:t>
      </w:r>
      <w:r w:rsidRPr="009735C9">
        <w:rPr>
          <w:sz w:val="26"/>
          <w:szCs w:val="26"/>
        </w:rPr>
        <w:t>)</w:t>
      </w:r>
      <w:r w:rsidR="00C868E3">
        <w:rPr>
          <w:sz w:val="26"/>
          <w:szCs w:val="26"/>
        </w:rPr>
        <w:t>.</w:t>
      </w:r>
      <w:r>
        <w:rPr>
          <w:sz w:val="26"/>
          <w:szCs w:val="26"/>
        </w:rPr>
        <w:t xml:space="preserve"> </w:t>
      </w:r>
      <w:r w:rsidR="00025E8F">
        <w:rPr>
          <w:sz w:val="26"/>
          <w:szCs w:val="26"/>
        </w:rPr>
        <w:t xml:space="preserve">stating it </w:t>
      </w:r>
      <w:r>
        <w:rPr>
          <w:sz w:val="26"/>
          <w:szCs w:val="26"/>
        </w:rPr>
        <w:t xml:space="preserve">is not persuasive to deny the proposed charge.  The ALJ explained that </w:t>
      </w:r>
      <w:r w:rsidRPr="00F14AF5">
        <w:rPr>
          <w:i/>
          <w:sz w:val="26"/>
          <w:szCs w:val="26"/>
        </w:rPr>
        <w:t>Crown Castle</w:t>
      </w:r>
      <w:r>
        <w:rPr>
          <w:sz w:val="26"/>
          <w:szCs w:val="26"/>
        </w:rPr>
        <w:t xml:space="preserve"> is distinguishable from this case because it involve</w:t>
      </w:r>
      <w:r w:rsidR="0072028E">
        <w:rPr>
          <w:sz w:val="26"/>
          <w:szCs w:val="26"/>
        </w:rPr>
        <w:t>d</w:t>
      </w:r>
      <w:r>
        <w:rPr>
          <w:sz w:val="26"/>
          <w:szCs w:val="26"/>
        </w:rPr>
        <w:t xml:space="preserve"> the Commission</w:t>
      </w:r>
      <w:r w:rsidR="00734951">
        <w:rPr>
          <w:sz w:val="26"/>
          <w:szCs w:val="26"/>
        </w:rPr>
        <w:t>’</w:t>
      </w:r>
      <w:r>
        <w:rPr>
          <w:sz w:val="26"/>
          <w:szCs w:val="26"/>
        </w:rPr>
        <w:t>s interpretation of a statute and not how a utility classifies its facilities or recovers the costs of providing services on those facilities.  R.D. at 80.  According to the ALJ, the Compan</w:t>
      </w:r>
      <w:r w:rsidR="00E1275A">
        <w:rPr>
          <w:sz w:val="26"/>
          <w:szCs w:val="26"/>
        </w:rPr>
        <w:t>y</w:t>
      </w:r>
      <w:r w:rsidR="00734951">
        <w:rPr>
          <w:sz w:val="26"/>
          <w:szCs w:val="26"/>
        </w:rPr>
        <w:t>’</w:t>
      </w:r>
      <w:r w:rsidR="00E1275A">
        <w:rPr>
          <w:sz w:val="26"/>
          <w:szCs w:val="26"/>
        </w:rPr>
        <w:t>s</w:t>
      </w:r>
      <w:r>
        <w:rPr>
          <w:sz w:val="26"/>
          <w:szCs w:val="26"/>
        </w:rPr>
        <w:t xml:space="preserve"> proposed charge is </w:t>
      </w:r>
      <w:r w:rsidR="00D474F1">
        <w:rPr>
          <w:sz w:val="26"/>
          <w:szCs w:val="26"/>
        </w:rPr>
        <w:t xml:space="preserve">a </w:t>
      </w:r>
      <w:r>
        <w:rPr>
          <w:sz w:val="26"/>
          <w:szCs w:val="26"/>
        </w:rPr>
        <w:t>legitim</w:t>
      </w:r>
      <w:r w:rsidR="00D474F1">
        <w:rPr>
          <w:sz w:val="26"/>
          <w:szCs w:val="26"/>
        </w:rPr>
        <w:t xml:space="preserve">ate charge because it is </w:t>
      </w:r>
      <w:r w:rsidR="004B3ED0">
        <w:rPr>
          <w:sz w:val="26"/>
          <w:szCs w:val="26"/>
        </w:rPr>
        <w:t>consistent with the Commission</w:t>
      </w:r>
      <w:r w:rsidR="00734951">
        <w:rPr>
          <w:sz w:val="26"/>
          <w:szCs w:val="26"/>
        </w:rPr>
        <w:t>’</w:t>
      </w:r>
      <w:r w:rsidR="004B3ED0">
        <w:rPr>
          <w:sz w:val="26"/>
          <w:szCs w:val="26"/>
        </w:rPr>
        <w:t>s and PHMSA</w:t>
      </w:r>
      <w:r w:rsidR="00734951">
        <w:rPr>
          <w:sz w:val="26"/>
          <w:szCs w:val="26"/>
        </w:rPr>
        <w:t>’</w:t>
      </w:r>
      <w:r w:rsidR="004B3ED0">
        <w:rPr>
          <w:sz w:val="26"/>
          <w:szCs w:val="26"/>
        </w:rPr>
        <w:t xml:space="preserve">s </w:t>
      </w:r>
      <w:r>
        <w:rPr>
          <w:sz w:val="26"/>
          <w:szCs w:val="26"/>
        </w:rPr>
        <w:t xml:space="preserve">regulatory definitions </w:t>
      </w:r>
      <w:r w:rsidR="004B3ED0">
        <w:rPr>
          <w:sz w:val="26"/>
          <w:szCs w:val="26"/>
        </w:rPr>
        <w:t xml:space="preserve">and </w:t>
      </w:r>
      <w:r>
        <w:rPr>
          <w:sz w:val="26"/>
          <w:szCs w:val="26"/>
        </w:rPr>
        <w:t>FERC</w:t>
      </w:r>
      <w:r w:rsidR="00734951">
        <w:rPr>
          <w:sz w:val="26"/>
          <w:szCs w:val="26"/>
        </w:rPr>
        <w:t>’</w:t>
      </w:r>
      <w:r>
        <w:rPr>
          <w:sz w:val="26"/>
          <w:szCs w:val="26"/>
        </w:rPr>
        <w:t xml:space="preserve">s </w:t>
      </w:r>
      <w:r w:rsidR="00734951">
        <w:rPr>
          <w:sz w:val="26"/>
          <w:szCs w:val="26"/>
        </w:rPr>
        <w:t>“</w:t>
      </w:r>
      <w:r>
        <w:rPr>
          <w:sz w:val="26"/>
          <w:szCs w:val="26"/>
        </w:rPr>
        <w:t>modified primary function test</w:t>
      </w:r>
      <w:r w:rsidR="004B3ED0">
        <w:rPr>
          <w:sz w:val="26"/>
          <w:szCs w:val="26"/>
        </w:rPr>
        <w:t>.</w:t>
      </w:r>
      <w:r w:rsidR="00734951">
        <w:rPr>
          <w:sz w:val="26"/>
          <w:szCs w:val="26"/>
        </w:rPr>
        <w:t>”</w:t>
      </w:r>
      <w:r>
        <w:rPr>
          <w:sz w:val="26"/>
          <w:szCs w:val="26"/>
        </w:rPr>
        <w:t xml:space="preserve"> </w:t>
      </w:r>
      <w:r w:rsidR="004B3ED0">
        <w:rPr>
          <w:sz w:val="26"/>
          <w:szCs w:val="26"/>
        </w:rPr>
        <w:t xml:space="preserve"> The ALJ stressed that </w:t>
      </w:r>
      <w:r>
        <w:rPr>
          <w:sz w:val="26"/>
          <w:szCs w:val="26"/>
        </w:rPr>
        <w:t xml:space="preserve">the classification of the pipelines into distribution, gathering, and transmission does not change the fact that the </w:t>
      </w:r>
      <w:r w:rsidR="00692983">
        <w:rPr>
          <w:sz w:val="26"/>
          <w:szCs w:val="26"/>
        </w:rPr>
        <w:t>Compan</w:t>
      </w:r>
      <w:r w:rsidR="008C5D53">
        <w:rPr>
          <w:sz w:val="26"/>
          <w:szCs w:val="26"/>
        </w:rPr>
        <w:t>y</w:t>
      </w:r>
      <w:r w:rsidR="00734951">
        <w:rPr>
          <w:sz w:val="26"/>
          <w:szCs w:val="26"/>
        </w:rPr>
        <w:t>’</w:t>
      </w:r>
      <w:r w:rsidR="008C5D53">
        <w:rPr>
          <w:sz w:val="26"/>
          <w:szCs w:val="26"/>
        </w:rPr>
        <w:t>s</w:t>
      </w:r>
      <w:r w:rsidR="00692983">
        <w:rPr>
          <w:sz w:val="26"/>
          <w:szCs w:val="26"/>
        </w:rPr>
        <w:t xml:space="preserve"> </w:t>
      </w:r>
      <w:r>
        <w:rPr>
          <w:sz w:val="26"/>
          <w:szCs w:val="26"/>
        </w:rPr>
        <w:t xml:space="preserve">system is integrated.  </w:t>
      </w:r>
      <w:r w:rsidRPr="00C360F8">
        <w:rPr>
          <w:i/>
          <w:sz w:val="26"/>
          <w:szCs w:val="26"/>
        </w:rPr>
        <w:t>Id.</w:t>
      </w:r>
      <w:r>
        <w:rPr>
          <w:sz w:val="26"/>
          <w:szCs w:val="26"/>
        </w:rPr>
        <w:t xml:space="preserve"> (citing PNG M.B. at 18-19; PNG R.B. at 10). </w:t>
      </w:r>
      <w:r w:rsidR="00416A7A">
        <w:rPr>
          <w:sz w:val="26"/>
          <w:szCs w:val="26"/>
        </w:rPr>
        <w:t xml:space="preserve"> Therefore, the ALJ concluded that </w:t>
      </w:r>
      <w:proofErr w:type="gramStart"/>
      <w:r w:rsidR="00416A7A">
        <w:rPr>
          <w:sz w:val="26"/>
          <w:szCs w:val="26"/>
        </w:rPr>
        <w:t>in spite of</w:t>
      </w:r>
      <w:proofErr w:type="gramEnd"/>
      <w:r w:rsidR="00416A7A">
        <w:rPr>
          <w:sz w:val="26"/>
          <w:szCs w:val="26"/>
        </w:rPr>
        <w:t xml:space="preserve"> the unique nature of Peoples</w:t>
      </w:r>
      <w:r w:rsidR="00734951">
        <w:rPr>
          <w:sz w:val="26"/>
          <w:szCs w:val="26"/>
        </w:rPr>
        <w:t>’</w:t>
      </w:r>
      <w:r w:rsidR="00416A7A">
        <w:rPr>
          <w:sz w:val="26"/>
          <w:szCs w:val="26"/>
        </w:rPr>
        <w:t xml:space="preserve"> integrated system, </w:t>
      </w:r>
      <w:proofErr w:type="spellStart"/>
      <w:r w:rsidR="008C5EAA">
        <w:rPr>
          <w:sz w:val="26"/>
          <w:szCs w:val="26"/>
        </w:rPr>
        <w:t>whichis</w:t>
      </w:r>
      <w:proofErr w:type="spellEnd"/>
      <w:r w:rsidR="008C5EAA">
        <w:rPr>
          <w:sz w:val="26"/>
          <w:szCs w:val="26"/>
        </w:rPr>
        <w:t xml:space="preserve"> </w:t>
      </w:r>
      <w:r w:rsidR="00416A7A">
        <w:rPr>
          <w:sz w:val="26"/>
          <w:szCs w:val="26"/>
        </w:rPr>
        <w:t xml:space="preserve">similar to its Equitable Division and other integrated pipeline systems, Peoples can impose charges for individual cost </w:t>
      </w:r>
      <w:r w:rsidR="00416A7A">
        <w:rPr>
          <w:sz w:val="26"/>
          <w:szCs w:val="26"/>
        </w:rPr>
        <w:lastRenderedPageBreak/>
        <w:t>component</w:t>
      </w:r>
      <w:r w:rsidR="008C5EAA">
        <w:rPr>
          <w:sz w:val="26"/>
          <w:szCs w:val="26"/>
        </w:rPr>
        <w:t>s</w:t>
      </w:r>
      <w:r w:rsidR="00416A7A">
        <w:rPr>
          <w:sz w:val="26"/>
          <w:szCs w:val="26"/>
        </w:rPr>
        <w:t xml:space="preserve"> of its system, which in this case, is the gathering pipelines.  R.D. at 88 (citing PNG R.B. at 2).</w:t>
      </w:r>
    </w:p>
    <w:p w14:paraId="7BBF1C71" w14:textId="77777777" w:rsidR="0073144A" w:rsidRDefault="0073144A" w:rsidP="007374FA">
      <w:pPr>
        <w:widowControl/>
        <w:spacing w:line="360" w:lineRule="auto"/>
        <w:ind w:firstLine="1530"/>
        <w:rPr>
          <w:sz w:val="26"/>
          <w:szCs w:val="26"/>
        </w:rPr>
      </w:pPr>
    </w:p>
    <w:p w14:paraId="6DB30A2B" w14:textId="70273A5D" w:rsidR="00436742" w:rsidRPr="000E4A44" w:rsidRDefault="00436742" w:rsidP="005A5150">
      <w:pPr>
        <w:pStyle w:val="Heading3"/>
      </w:pPr>
      <w:bookmarkStart w:id="31" w:name="_Toc524442358"/>
      <w:bookmarkStart w:id="32" w:name="_Hlk522330456"/>
      <w:r w:rsidRPr="000E4A44">
        <w:t>PIOGA</w:t>
      </w:r>
      <w:r w:rsidR="00734951">
        <w:t>’</w:t>
      </w:r>
      <w:r w:rsidRPr="000E4A44">
        <w:t>s Argument to Redefine PNG</w:t>
      </w:r>
      <w:r w:rsidR="00734951">
        <w:t>’</w:t>
      </w:r>
      <w:r w:rsidRPr="000E4A44">
        <w:t>s Gathering and Distribution Pipelines</w:t>
      </w:r>
      <w:bookmarkEnd w:id="31"/>
    </w:p>
    <w:p w14:paraId="0899FBDA" w14:textId="77777777" w:rsidR="0059169A" w:rsidRPr="002E5F97" w:rsidRDefault="0059169A" w:rsidP="005A5150">
      <w:pPr>
        <w:keepNext/>
        <w:keepLines/>
        <w:widowControl/>
        <w:spacing w:line="360" w:lineRule="auto"/>
        <w:rPr>
          <w:sz w:val="26"/>
          <w:szCs w:val="26"/>
        </w:rPr>
      </w:pPr>
    </w:p>
    <w:p w14:paraId="165F80C9" w14:textId="39A81EDC" w:rsidR="00436742" w:rsidRDefault="00613EB3" w:rsidP="007374FA">
      <w:pPr>
        <w:widowControl/>
        <w:spacing w:line="360" w:lineRule="auto"/>
        <w:ind w:firstLine="1530"/>
        <w:rPr>
          <w:sz w:val="26"/>
          <w:szCs w:val="26"/>
        </w:rPr>
      </w:pPr>
      <w:r>
        <w:rPr>
          <w:sz w:val="26"/>
          <w:szCs w:val="26"/>
        </w:rPr>
        <w:t>The ALJ rejected PIOGA</w:t>
      </w:r>
      <w:r w:rsidR="00734951">
        <w:rPr>
          <w:sz w:val="26"/>
          <w:szCs w:val="26"/>
        </w:rPr>
        <w:t>’</w:t>
      </w:r>
      <w:r>
        <w:rPr>
          <w:sz w:val="26"/>
          <w:szCs w:val="26"/>
        </w:rPr>
        <w:t xml:space="preserve">s proposed </w:t>
      </w:r>
      <w:r w:rsidR="00277DF3">
        <w:rPr>
          <w:sz w:val="26"/>
          <w:szCs w:val="26"/>
        </w:rPr>
        <w:t xml:space="preserve">definitions for distribution and gathering pipelines because they are not industry-recognized definitions and are not applied by any regulatory agency.  R.D. at 89.  On the other hand, the </w:t>
      </w:r>
      <w:r w:rsidR="00436742" w:rsidRPr="0059169A">
        <w:rPr>
          <w:sz w:val="26"/>
          <w:szCs w:val="26"/>
        </w:rPr>
        <w:t xml:space="preserve">ALJ </w:t>
      </w:r>
      <w:r w:rsidR="00277DF3">
        <w:rPr>
          <w:sz w:val="26"/>
          <w:szCs w:val="26"/>
        </w:rPr>
        <w:t xml:space="preserve">found that </w:t>
      </w:r>
      <w:r w:rsidR="00436742" w:rsidRPr="0059169A">
        <w:rPr>
          <w:sz w:val="26"/>
          <w:szCs w:val="26"/>
        </w:rPr>
        <w:t>P</w:t>
      </w:r>
      <w:r w:rsidR="00940FAF" w:rsidRPr="0059169A">
        <w:rPr>
          <w:sz w:val="26"/>
          <w:szCs w:val="26"/>
        </w:rPr>
        <w:t>eoples</w:t>
      </w:r>
      <w:r w:rsidR="00734951">
        <w:rPr>
          <w:sz w:val="26"/>
          <w:szCs w:val="26"/>
        </w:rPr>
        <w:t>’</w:t>
      </w:r>
      <w:r w:rsidR="00436742" w:rsidRPr="0059169A">
        <w:rPr>
          <w:sz w:val="26"/>
          <w:szCs w:val="26"/>
        </w:rPr>
        <w:t xml:space="preserve"> definitions are in alignment with the definitions</w:t>
      </w:r>
      <w:r w:rsidR="00436742">
        <w:rPr>
          <w:sz w:val="26"/>
          <w:szCs w:val="26"/>
        </w:rPr>
        <w:t xml:space="preserve"> set forth in PHMSA and the Commission</w:t>
      </w:r>
      <w:r w:rsidR="00734951">
        <w:rPr>
          <w:sz w:val="26"/>
          <w:szCs w:val="26"/>
        </w:rPr>
        <w:t>’</w:t>
      </w:r>
      <w:r w:rsidR="00436742">
        <w:rPr>
          <w:sz w:val="26"/>
          <w:szCs w:val="26"/>
        </w:rPr>
        <w:t>s Regulations, as well as FERC</w:t>
      </w:r>
      <w:r w:rsidR="00734951">
        <w:rPr>
          <w:sz w:val="26"/>
          <w:szCs w:val="26"/>
        </w:rPr>
        <w:t>’</w:t>
      </w:r>
      <w:r w:rsidR="00436742">
        <w:rPr>
          <w:sz w:val="26"/>
          <w:szCs w:val="26"/>
        </w:rPr>
        <w:t xml:space="preserve">s </w:t>
      </w:r>
      <w:r w:rsidR="00734951">
        <w:rPr>
          <w:sz w:val="26"/>
          <w:szCs w:val="26"/>
        </w:rPr>
        <w:t>“</w:t>
      </w:r>
      <w:r w:rsidR="00436742">
        <w:rPr>
          <w:sz w:val="26"/>
          <w:szCs w:val="26"/>
        </w:rPr>
        <w:t>modified primary function test</w:t>
      </w:r>
      <w:r w:rsidR="00734951">
        <w:rPr>
          <w:sz w:val="26"/>
          <w:szCs w:val="26"/>
        </w:rPr>
        <w:t>”</w:t>
      </w:r>
      <w:r w:rsidR="00436742">
        <w:rPr>
          <w:sz w:val="26"/>
          <w:szCs w:val="26"/>
        </w:rPr>
        <w:t xml:space="preserve"> to classify its pipeline for safety and operational purposes.  R.D. at 82 (citing PNG M.B. at 10-11; PNG R.B. at 11). </w:t>
      </w:r>
      <w:bookmarkEnd w:id="32"/>
      <w:r w:rsidR="00277DF3">
        <w:rPr>
          <w:sz w:val="26"/>
          <w:szCs w:val="26"/>
        </w:rPr>
        <w:t xml:space="preserve"> </w:t>
      </w:r>
      <w:r w:rsidR="00436742">
        <w:rPr>
          <w:sz w:val="26"/>
          <w:szCs w:val="26"/>
        </w:rPr>
        <w:t xml:space="preserve">The ALJ </w:t>
      </w:r>
      <w:r w:rsidR="00956D44">
        <w:rPr>
          <w:sz w:val="26"/>
          <w:szCs w:val="26"/>
        </w:rPr>
        <w:t xml:space="preserve">concluded that </w:t>
      </w:r>
      <w:r w:rsidR="00436742">
        <w:rPr>
          <w:sz w:val="26"/>
          <w:szCs w:val="26"/>
        </w:rPr>
        <w:t>PIOGA failed to present any concrete evidence to establish that the connection of customers to gathering plant would alter the essential nature of the plant as gathering.  R.D. at 82 (citing PNG R.B. at 11).  The ALJ also rejected PIOGA</w:t>
      </w:r>
      <w:r w:rsidR="00734951">
        <w:rPr>
          <w:sz w:val="26"/>
          <w:szCs w:val="26"/>
        </w:rPr>
        <w:t>’</w:t>
      </w:r>
      <w:r w:rsidR="00436742">
        <w:rPr>
          <w:sz w:val="26"/>
          <w:szCs w:val="26"/>
        </w:rPr>
        <w:t>s attempt to introduce a stipulation that P</w:t>
      </w:r>
      <w:r w:rsidR="00940FAF">
        <w:rPr>
          <w:sz w:val="26"/>
          <w:szCs w:val="26"/>
        </w:rPr>
        <w:t>eoples</w:t>
      </w:r>
      <w:r w:rsidR="00436742">
        <w:rPr>
          <w:sz w:val="26"/>
          <w:szCs w:val="26"/>
        </w:rPr>
        <w:t xml:space="preserve"> is not a true gatherer</w:t>
      </w:r>
      <w:r w:rsidR="00940FAF">
        <w:rPr>
          <w:sz w:val="26"/>
          <w:szCs w:val="26"/>
        </w:rPr>
        <w:t xml:space="preserve"> in the instant proceeding</w:t>
      </w:r>
      <w:r w:rsidR="00436742">
        <w:rPr>
          <w:sz w:val="26"/>
          <w:szCs w:val="26"/>
        </w:rPr>
        <w:t>.  R.D. at 82-83.</w:t>
      </w:r>
    </w:p>
    <w:p w14:paraId="68DC6766" w14:textId="77777777" w:rsidR="00B00513" w:rsidRDefault="00B00513" w:rsidP="007374FA">
      <w:pPr>
        <w:widowControl/>
        <w:spacing w:line="360" w:lineRule="auto"/>
        <w:ind w:firstLine="1530"/>
        <w:rPr>
          <w:sz w:val="26"/>
          <w:szCs w:val="26"/>
        </w:rPr>
      </w:pPr>
    </w:p>
    <w:p w14:paraId="6A779FB9" w14:textId="5BAE0D7E" w:rsidR="00436742" w:rsidRDefault="00436742" w:rsidP="00A666DC">
      <w:pPr>
        <w:pStyle w:val="Heading3"/>
      </w:pPr>
      <w:bookmarkStart w:id="33" w:name="_Toc524442359"/>
      <w:r>
        <w:t>Whether PIOGA</w:t>
      </w:r>
      <w:r w:rsidR="00734951">
        <w:t>’</w:t>
      </w:r>
      <w:r>
        <w:t xml:space="preserve">s Allegations of </w:t>
      </w:r>
      <w:r w:rsidR="00734951">
        <w:t>“</w:t>
      </w:r>
      <w:r>
        <w:t>Fault</w:t>
      </w:r>
      <w:r w:rsidR="00734951">
        <w:t>”</w:t>
      </w:r>
      <w:r>
        <w:t xml:space="preserve"> Are a Basis for Denying Recovery of a Portion of Gathering System UFG from Conventional Gas Producers</w:t>
      </w:r>
      <w:bookmarkEnd w:id="33"/>
    </w:p>
    <w:p w14:paraId="0A377D16" w14:textId="77777777" w:rsidR="0059169A" w:rsidRPr="002E5F97" w:rsidRDefault="0059169A" w:rsidP="00A666DC">
      <w:pPr>
        <w:keepNext/>
        <w:keepLines/>
        <w:widowControl/>
        <w:spacing w:line="360" w:lineRule="auto"/>
        <w:rPr>
          <w:sz w:val="26"/>
          <w:szCs w:val="26"/>
        </w:rPr>
      </w:pPr>
    </w:p>
    <w:p w14:paraId="0DC678A8" w14:textId="4F47B669" w:rsidR="001F016E" w:rsidRDefault="00436742" w:rsidP="007374FA">
      <w:pPr>
        <w:widowControl/>
        <w:spacing w:line="360" w:lineRule="auto"/>
        <w:ind w:firstLine="1530"/>
        <w:rPr>
          <w:sz w:val="26"/>
          <w:szCs w:val="26"/>
        </w:rPr>
      </w:pPr>
      <w:r w:rsidRPr="0059169A">
        <w:rPr>
          <w:sz w:val="26"/>
          <w:szCs w:val="26"/>
        </w:rPr>
        <w:t>In addressing this issue, the ALJ dismissed PIOGA</w:t>
      </w:r>
      <w:r w:rsidR="00734951">
        <w:rPr>
          <w:sz w:val="26"/>
          <w:szCs w:val="26"/>
        </w:rPr>
        <w:t>’</w:t>
      </w:r>
      <w:r w:rsidRPr="0059169A">
        <w:rPr>
          <w:sz w:val="26"/>
          <w:szCs w:val="26"/>
        </w:rPr>
        <w:t>s argument that the producers should not be held</w:t>
      </w:r>
      <w:r>
        <w:rPr>
          <w:sz w:val="26"/>
          <w:szCs w:val="26"/>
        </w:rPr>
        <w:t xml:space="preserve"> responsible for the gathering system UFG because </w:t>
      </w:r>
      <w:r w:rsidR="00DA7573">
        <w:rPr>
          <w:sz w:val="26"/>
          <w:szCs w:val="26"/>
        </w:rPr>
        <w:t xml:space="preserve">Peoples </w:t>
      </w:r>
      <w:r>
        <w:rPr>
          <w:sz w:val="26"/>
          <w:szCs w:val="26"/>
        </w:rPr>
        <w:t>neglected to invest or</w:t>
      </w:r>
      <w:r w:rsidR="0097528C">
        <w:rPr>
          <w:sz w:val="26"/>
          <w:szCs w:val="26"/>
        </w:rPr>
        <w:t xml:space="preserve"> only</w:t>
      </w:r>
      <w:r>
        <w:rPr>
          <w:sz w:val="26"/>
          <w:szCs w:val="26"/>
        </w:rPr>
        <w:t xml:space="preserve"> invested minimal amounts </w:t>
      </w:r>
      <w:r w:rsidR="005C5567">
        <w:rPr>
          <w:sz w:val="26"/>
          <w:szCs w:val="26"/>
        </w:rPr>
        <w:t xml:space="preserve">or approximately </w:t>
      </w:r>
      <w:r>
        <w:rPr>
          <w:sz w:val="26"/>
          <w:szCs w:val="26"/>
        </w:rPr>
        <w:t xml:space="preserve">2.2% of its capital expenditures on </w:t>
      </w:r>
      <w:r w:rsidR="00A31803">
        <w:rPr>
          <w:sz w:val="26"/>
          <w:szCs w:val="26"/>
        </w:rPr>
        <w:t xml:space="preserve">its </w:t>
      </w:r>
      <w:r>
        <w:rPr>
          <w:sz w:val="26"/>
          <w:szCs w:val="26"/>
        </w:rPr>
        <w:t xml:space="preserve">gathering system in the past five years.  R.D. at 83 (citing PIOGA M.B. at 13).  The ALJ did not find this argument persuasive because </w:t>
      </w:r>
      <w:r w:rsidR="00DE6567">
        <w:rPr>
          <w:sz w:val="26"/>
          <w:szCs w:val="26"/>
        </w:rPr>
        <w:t xml:space="preserve">the record shows that </w:t>
      </w:r>
      <w:r>
        <w:rPr>
          <w:sz w:val="26"/>
          <w:szCs w:val="26"/>
        </w:rPr>
        <w:t>P</w:t>
      </w:r>
      <w:r w:rsidR="007F10A1">
        <w:rPr>
          <w:sz w:val="26"/>
          <w:szCs w:val="26"/>
        </w:rPr>
        <w:t>eoples</w:t>
      </w:r>
      <w:r>
        <w:rPr>
          <w:sz w:val="26"/>
          <w:szCs w:val="26"/>
        </w:rPr>
        <w:t xml:space="preserve"> spent </w:t>
      </w:r>
      <w:r w:rsidR="006928E6">
        <w:rPr>
          <w:sz w:val="26"/>
          <w:szCs w:val="26"/>
        </w:rPr>
        <w:t>$</w:t>
      </w:r>
      <w:r>
        <w:rPr>
          <w:sz w:val="26"/>
          <w:szCs w:val="26"/>
        </w:rPr>
        <w:t xml:space="preserve">17.1 million in capital expenditure over the past four years to improve and upgrade </w:t>
      </w:r>
      <w:r w:rsidR="00505480">
        <w:rPr>
          <w:sz w:val="26"/>
          <w:szCs w:val="26"/>
        </w:rPr>
        <w:t xml:space="preserve">its </w:t>
      </w:r>
      <w:r>
        <w:rPr>
          <w:sz w:val="26"/>
          <w:szCs w:val="26"/>
        </w:rPr>
        <w:t>gathering pipeline infrastructure</w:t>
      </w:r>
      <w:r w:rsidR="00A31803">
        <w:rPr>
          <w:sz w:val="26"/>
          <w:szCs w:val="26"/>
        </w:rPr>
        <w:t>,</w:t>
      </w:r>
      <w:r>
        <w:rPr>
          <w:sz w:val="26"/>
          <w:szCs w:val="26"/>
        </w:rPr>
        <w:t xml:space="preserve"> and </w:t>
      </w:r>
      <w:r w:rsidR="00A31803">
        <w:rPr>
          <w:sz w:val="26"/>
          <w:szCs w:val="26"/>
        </w:rPr>
        <w:t xml:space="preserve">Peoples </w:t>
      </w:r>
      <w:r>
        <w:rPr>
          <w:sz w:val="26"/>
          <w:szCs w:val="26"/>
        </w:rPr>
        <w:t xml:space="preserve">has committed to spend </w:t>
      </w:r>
      <w:r w:rsidR="00D00AEE">
        <w:rPr>
          <w:sz w:val="26"/>
          <w:szCs w:val="26"/>
        </w:rPr>
        <w:t xml:space="preserve">an </w:t>
      </w:r>
      <w:r>
        <w:rPr>
          <w:sz w:val="26"/>
          <w:szCs w:val="26"/>
        </w:rPr>
        <w:t xml:space="preserve">additional $21.1 million over the next four years </w:t>
      </w:r>
      <w:r w:rsidR="00505480">
        <w:rPr>
          <w:sz w:val="26"/>
          <w:szCs w:val="26"/>
        </w:rPr>
        <w:t xml:space="preserve">for additional improvements </w:t>
      </w:r>
      <w:r w:rsidR="00505480">
        <w:rPr>
          <w:sz w:val="26"/>
          <w:szCs w:val="26"/>
        </w:rPr>
        <w:lastRenderedPageBreak/>
        <w:t>and upgrades</w:t>
      </w:r>
      <w:r>
        <w:rPr>
          <w:sz w:val="26"/>
          <w:szCs w:val="26"/>
        </w:rPr>
        <w:t xml:space="preserve">.  R.D. at 84.  </w:t>
      </w:r>
      <w:r w:rsidR="007F10A1">
        <w:rPr>
          <w:sz w:val="26"/>
          <w:szCs w:val="26"/>
        </w:rPr>
        <w:t>The ALJ noted that PIOGA</w:t>
      </w:r>
      <w:r w:rsidR="000A037F">
        <w:rPr>
          <w:sz w:val="26"/>
          <w:szCs w:val="26"/>
        </w:rPr>
        <w:t xml:space="preserve"> </w:t>
      </w:r>
      <w:r w:rsidR="007F10A1">
        <w:rPr>
          <w:sz w:val="26"/>
          <w:szCs w:val="26"/>
        </w:rPr>
        <w:t xml:space="preserve">testified in this proceeding that </w:t>
      </w:r>
      <w:r w:rsidR="00076E71">
        <w:rPr>
          <w:sz w:val="26"/>
          <w:szCs w:val="26"/>
        </w:rPr>
        <w:t>Peoples</w:t>
      </w:r>
      <w:r w:rsidR="00734951">
        <w:rPr>
          <w:sz w:val="26"/>
          <w:szCs w:val="26"/>
        </w:rPr>
        <w:t>’</w:t>
      </w:r>
      <w:r w:rsidR="00076E71">
        <w:rPr>
          <w:sz w:val="26"/>
          <w:szCs w:val="26"/>
        </w:rPr>
        <w:t xml:space="preserve"> </w:t>
      </w:r>
      <w:r w:rsidR="007F10A1">
        <w:rPr>
          <w:sz w:val="26"/>
          <w:szCs w:val="26"/>
        </w:rPr>
        <w:t xml:space="preserve">gathering lines were built to gather conventional gas supplies.  R.D. at 89.  </w:t>
      </w:r>
      <w:r>
        <w:rPr>
          <w:sz w:val="26"/>
          <w:szCs w:val="26"/>
        </w:rPr>
        <w:t xml:space="preserve">Therefore, the ALJ agreed with </w:t>
      </w:r>
      <w:r w:rsidR="00991FFF">
        <w:rPr>
          <w:sz w:val="26"/>
          <w:szCs w:val="26"/>
        </w:rPr>
        <w:t>Peoples</w:t>
      </w:r>
      <w:r w:rsidR="00734951">
        <w:rPr>
          <w:sz w:val="26"/>
          <w:szCs w:val="26"/>
        </w:rPr>
        <w:t>’</w:t>
      </w:r>
      <w:r>
        <w:rPr>
          <w:sz w:val="26"/>
          <w:szCs w:val="26"/>
        </w:rPr>
        <w:t xml:space="preserve"> and </w:t>
      </w:r>
      <w:r w:rsidR="007F10A1">
        <w:rPr>
          <w:sz w:val="26"/>
          <w:szCs w:val="26"/>
        </w:rPr>
        <w:t xml:space="preserve">the </w:t>
      </w:r>
      <w:r>
        <w:rPr>
          <w:sz w:val="26"/>
          <w:szCs w:val="26"/>
        </w:rPr>
        <w:t>OSBA</w:t>
      </w:r>
      <w:r w:rsidR="00734951">
        <w:rPr>
          <w:sz w:val="26"/>
          <w:szCs w:val="26"/>
        </w:rPr>
        <w:t>’</w:t>
      </w:r>
      <w:r>
        <w:rPr>
          <w:sz w:val="26"/>
          <w:szCs w:val="26"/>
        </w:rPr>
        <w:t>s arguments that because producers are primary beneficiaries of P</w:t>
      </w:r>
      <w:r w:rsidR="007F10A1">
        <w:rPr>
          <w:sz w:val="26"/>
          <w:szCs w:val="26"/>
        </w:rPr>
        <w:t>eoples</w:t>
      </w:r>
      <w:r w:rsidR="00734951">
        <w:rPr>
          <w:sz w:val="26"/>
          <w:szCs w:val="26"/>
        </w:rPr>
        <w:t>’</w:t>
      </w:r>
      <w:r>
        <w:rPr>
          <w:sz w:val="26"/>
          <w:szCs w:val="26"/>
        </w:rPr>
        <w:t xml:space="preserve"> gathering system, they should </w:t>
      </w:r>
      <w:r w:rsidR="00BC37B8">
        <w:rPr>
          <w:sz w:val="26"/>
          <w:szCs w:val="26"/>
        </w:rPr>
        <w:t xml:space="preserve">also be responsible for </w:t>
      </w:r>
      <w:r w:rsidR="00502DC0">
        <w:rPr>
          <w:sz w:val="26"/>
          <w:szCs w:val="26"/>
        </w:rPr>
        <w:t xml:space="preserve">paying for a </w:t>
      </w:r>
      <w:r>
        <w:rPr>
          <w:sz w:val="26"/>
          <w:szCs w:val="26"/>
        </w:rPr>
        <w:t xml:space="preserve">share of </w:t>
      </w:r>
      <w:r w:rsidR="00D00AEE">
        <w:rPr>
          <w:sz w:val="26"/>
          <w:szCs w:val="26"/>
        </w:rPr>
        <w:t>the</w:t>
      </w:r>
      <w:r>
        <w:rPr>
          <w:sz w:val="26"/>
          <w:szCs w:val="26"/>
        </w:rPr>
        <w:t xml:space="preserve"> gathering system UFG</w:t>
      </w:r>
      <w:r w:rsidR="00D00AEE">
        <w:rPr>
          <w:sz w:val="26"/>
          <w:szCs w:val="26"/>
        </w:rPr>
        <w:t>,</w:t>
      </w:r>
      <w:r>
        <w:rPr>
          <w:sz w:val="26"/>
          <w:szCs w:val="26"/>
        </w:rPr>
        <w:t xml:space="preserve"> as proposed by the Compan</w:t>
      </w:r>
      <w:r w:rsidR="00991FFF">
        <w:rPr>
          <w:sz w:val="26"/>
          <w:szCs w:val="26"/>
        </w:rPr>
        <w:t>y</w:t>
      </w:r>
      <w:r>
        <w:rPr>
          <w:sz w:val="26"/>
          <w:szCs w:val="26"/>
        </w:rPr>
        <w:t xml:space="preserve">.  R.D. at 83 (citing OSBA M.B. at 3; </w:t>
      </w:r>
      <w:r w:rsidR="00D00AEE" w:rsidRPr="00D00AEE">
        <w:rPr>
          <w:sz w:val="26"/>
          <w:szCs w:val="26"/>
        </w:rPr>
        <w:t>PNG</w:t>
      </w:r>
      <w:r w:rsidRPr="00963608">
        <w:rPr>
          <w:b/>
          <w:sz w:val="26"/>
          <w:szCs w:val="26"/>
        </w:rPr>
        <w:t xml:space="preserve"> </w:t>
      </w:r>
      <w:r>
        <w:rPr>
          <w:sz w:val="26"/>
          <w:szCs w:val="26"/>
        </w:rPr>
        <w:t xml:space="preserve">R.B. at 12-13). </w:t>
      </w:r>
    </w:p>
    <w:p w14:paraId="120F7956" w14:textId="77777777" w:rsidR="0059169A" w:rsidRDefault="0059169A" w:rsidP="007374FA">
      <w:pPr>
        <w:widowControl/>
        <w:spacing w:line="360" w:lineRule="auto"/>
        <w:ind w:firstLine="1530"/>
        <w:rPr>
          <w:sz w:val="26"/>
          <w:szCs w:val="26"/>
        </w:rPr>
      </w:pPr>
    </w:p>
    <w:p w14:paraId="76AE8379" w14:textId="77777777" w:rsidR="00436742" w:rsidRDefault="00436742" w:rsidP="00A666DC">
      <w:pPr>
        <w:pStyle w:val="Heading3"/>
      </w:pPr>
      <w:bookmarkStart w:id="34" w:name="_Toc524442360"/>
      <w:r>
        <w:t>Whether Applying the Producer Retainage Charge to all Conventional Production is Reasonable in this Proceeding</w:t>
      </w:r>
      <w:bookmarkEnd w:id="34"/>
    </w:p>
    <w:p w14:paraId="1FF6B1BE" w14:textId="77777777" w:rsidR="0059169A" w:rsidRPr="002E5F97" w:rsidRDefault="0059169A" w:rsidP="00A666DC">
      <w:pPr>
        <w:keepNext/>
        <w:keepLines/>
        <w:widowControl/>
        <w:spacing w:line="360" w:lineRule="auto"/>
        <w:rPr>
          <w:sz w:val="26"/>
          <w:szCs w:val="26"/>
        </w:rPr>
      </w:pPr>
    </w:p>
    <w:p w14:paraId="560D985E" w14:textId="11710326" w:rsidR="00436742" w:rsidRDefault="00436742" w:rsidP="007374FA">
      <w:pPr>
        <w:widowControl/>
        <w:spacing w:line="360" w:lineRule="auto"/>
        <w:ind w:firstLine="1530"/>
        <w:rPr>
          <w:sz w:val="26"/>
          <w:szCs w:val="26"/>
        </w:rPr>
      </w:pPr>
      <w:r w:rsidRPr="0059169A">
        <w:rPr>
          <w:sz w:val="26"/>
          <w:szCs w:val="26"/>
        </w:rPr>
        <w:t xml:space="preserve">The ALJ noted that </w:t>
      </w:r>
      <w:r w:rsidR="009D0814">
        <w:rPr>
          <w:sz w:val="26"/>
          <w:szCs w:val="26"/>
        </w:rPr>
        <w:t xml:space="preserve">PIOGA opposed </w:t>
      </w:r>
      <w:r w:rsidR="0077314E" w:rsidRPr="0059169A">
        <w:rPr>
          <w:sz w:val="26"/>
          <w:szCs w:val="26"/>
        </w:rPr>
        <w:t>P</w:t>
      </w:r>
      <w:r w:rsidR="00C877A8" w:rsidRPr="0059169A">
        <w:rPr>
          <w:sz w:val="26"/>
          <w:szCs w:val="26"/>
        </w:rPr>
        <w:t>eoples</w:t>
      </w:r>
      <w:r w:rsidR="00734951">
        <w:rPr>
          <w:sz w:val="26"/>
          <w:szCs w:val="26"/>
        </w:rPr>
        <w:t>’</w:t>
      </w:r>
      <w:r w:rsidRPr="0059169A">
        <w:rPr>
          <w:sz w:val="26"/>
          <w:szCs w:val="26"/>
        </w:rPr>
        <w:t xml:space="preserve"> request to apply the proposed </w:t>
      </w:r>
      <w:r w:rsidR="005510C6">
        <w:rPr>
          <w:sz w:val="26"/>
          <w:szCs w:val="26"/>
        </w:rPr>
        <w:t xml:space="preserve">retainage </w:t>
      </w:r>
      <w:r w:rsidRPr="0059169A">
        <w:rPr>
          <w:sz w:val="26"/>
          <w:szCs w:val="26"/>
        </w:rPr>
        <w:t>charge on all production from conventional gas producers delivered into</w:t>
      </w:r>
      <w:r w:rsidR="007324E1" w:rsidRPr="0059169A">
        <w:rPr>
          <w:sz w:val="26"/>
          <w:szCs w:val="26"/>
        </w:rPr>
        <w:t xml:space="preserve"> the Compan</w:t>
      </w:r>
      <w:r w:rsidR="00E80A7D" w:rsidRPr="0059169A">
        <w:rPr>
          <w:sz w:val="26"/>
          <w:szCs w:val="26"/>
        </w:rPr>
        <w:t>y</w:t>
      </w:r>
      <w:r w:rsidR="00734951">
        <w:rPr>
          <w:sz w:val="26"/>
          <w:szCs w:val="26"/>
        </w:rPr>
        <w:t>’</w:t>
      </w:r>
      <w:r w:rsidR="00E80A7D" w:rsidRPr="0059169A">
        <w:rPr>
          <w:sz w:val="26"/>
          <w:szCs w:val="26"/>
        </w:rPr>
        <w:t>s</w:t>
      </w:r>
      <w:r w:rsidRPr="0059169A">
        <w:rPr>
          <w:sz w:val="26"/>
          <w:szCs w:val="26"/>
        </w:rPr>
        <w:t xml:space="preserve"> system</w:t>
      </w:r>
      <w:r w:rsidR="005510C6">
        <w:rPr>
          <w:sz w:val="26"/>
          <w:szCs w:val="26"/>
        </w:rPr>
        <w:t xml:space="preserve"> because (1) </w:t>
      </w:r>
      <w:r>
        <w:rPr>
          <w:sz w:val="26"/>
          <w:szCs w:val="26"/>
        </w:rPr>
        <w:t>P</w:t>
      </w:r>
      <w:r w:rsidR="00C877A8">
        <w:rPr>
          <w:sz w:val="26"/>
          <w:szCs w:val="26"/>
        </w:rPr>
        <w:t>eoples</w:t>
      </w:r>
      <w:r>
        <w:rPr>
          <w:sz w:val="26"/>
          <w:szCs w:val="26"/>
        </w:rPr>
        <w:t xml:space="preserve"> failed to provide substantial evidence to support the application of the charge to production from those wells that delivers directly into </w:t>
      </w:r>
      <w:r w:rsidR="007324E1">
        <w:rPr>
          <w:sz w:val="26"/>
          <w:szCs w:val="26"/>
        </w:rPr>
        <w:t>Peoples</w:t>
      </w:r>
      <w:r w:rsidR="00734951">
        <w:rPr>
          <w:sz w:val="26"/>
          <w:szCs w:val="26"/>
        </w:rPr>
        <w:t>’</w:t>
      </w:r>
      <w:r w:rsidR="007324E1">
        <w:rPr>
          <w:sz w:val="26"/>
          <w:szCs w:val="26"/>
        </w:rPr>
        <w:t xml:space="preserve"> </w:t>
      </w:r>
      <w:r>
        <w:rPr>
          <w:sz w:val="26"/>
          <w:szCs w:val="26"/>
        </w:rPr>
        <w:t>distribution lines</w:t>
      </w:r>
      <w:r w:rsidR="005510C6">
        <w:rPr>
          <w:sz w:val="26"/>
          <w:szCs w:val="26"/>
        </w:rPr>
        <w:t xml:space="preserve">, </w:t>
      </w:r>
      <w:r>
        <w:rPr>
          <w:sz w:val="26"/>
          <w:szCs w:val="26"/>
        </w:rPr>
        <w:t>R.D. at 84-85 (citing PIOGA M.B. at 14-17; PNG R.B. at 14-15)</w:t>
      </w:r>
      <w:r w:rsidR="005510C6">
        <w:rPr>
          <w:sz w:val="26"/>
          <w:szCs w:val="26"/>
        </w:rPr>
        <w:t xml:space="preserve">; </w:t>
      </w:r>
      <w:r w:rsidR="002D33EC">
        <w:rPr>
          <w:sz w:val="26"/>
          <w:szCs w:val="26"/>
        </w:rPr>
        <w:t xml:space="preserve">and </w:t>
      </w:r>
      <w:r w:rsidR="005510C6">
        <w:rPr>
          <w:sz w:val="26"/>
          <w:szCs w:val="26"/>
        </w:rPr>
        <w:t xml:space="preserve">(2) </w:t>
      </w:r>
      <w:r>
        <w:rPr>
          <w:sz w:val="26"/>
          <w:szCs w:val="26"/>
        </w:rPr>
        <w:t>P</w:t>
      </w:r>
      <w:r w:rsidR="00C877A8">
        <w:rPr>
          <w:sz w:val="26"/>
          <w:szCs w:val="26"/>
        </w:rPr>
        <w:t>eoples</w:t>
      </w:r>
      <w:r w:rsidR="00734951">
        <w:rPr>
          <w:sz w:val="26"/>
          <w:szCs w:val="26"/>
        </w:rPr>
        <w:t>’</w:t>
      </w:r>
      <w:r>
        <w:rPr>
          <w:sz w:val="26"/>
          <w:szCs w:val="26"/>
        </w:rPr>
        <w:t xml:space="preserve"> reliance on the fact that </w:t>
      </w:r>
      <w:r w:rsidR="0068399A">
        <w:rPr>
          <w:sz w:val="26"/>
          <w:szCs w:val="26"/>
        </w:rPr>
        <w:t xml:space="preserve">Equitable currently has </w:t>
      </w:r>
      <w:r>
        <w:rPr>
          <w:sz w:val="26"/>
          <w:szCs w:val="26"/>
        </w:rPr>
        <w:t xml:space="preserve">a similar charge (Rate AGS) and </w:t>
      </w:r>
      <w:r w:rsidR="003B666F">
        <w:rPr>
          <w:sz w:val="26"/>
          <w:szCs w:val="26"/>
        </w:rPr>
        <w:t>it would be administratively</w:t>
      </w:r>
      <w:r w:rsidR="00EE3EB9">
        <w:rPr>
          <w:sz w:val="26"/>
          <w:szCs w:val="26"/>
        </w:rPr>
        <w:t xml:space="preserve"> easier if </w:t>
      </w:r>
      <w:r>
        <w:rPr>
          <w:sz w:val="26"/>
          <w:szCs w:val="26"/>
        </w:rPr>
        <w:t>P</w:t>
      </w:r>
      <w:r w:rsidR="007324E1">
        <w:rPr>
          <w:sz w:val="26"/>
          <w:szCs w:val="26"/>
        </w:rPr>
        <w:t>eoples</w:t>
      </w:r>
      <w:r w:rsidR="00734951">
        <w:rPr>
          <w:sz w:val="26"/>
          <w:szCs w:val="26"/>
        </w:rPr>
        <w:t>’</w:t>
      </w:r>
      <w:r>
        <w:rPr>
          <w:sz w:val="26"/>
          <w:szCs w:val="26"/>
        </w:rPr>
        <w:t xml:space="preserve"> </w:t>
      </w:r>
      <w:r w:rsidR="00EE3EB9">
        <w:rPr>
          <w:sz w:val="26"/>
          <w:szCs w:val="26"/>
        </w:rPr>
        <w:t xml:space="preserve">extended </w:t>
      </w:r>
      <w:r w:rsidR="0053147D">
        <w:rPr>
          <w:sz w:val="26"/>
          <w:szCs w:val="26"/>
        </w:rPr>
        <w:t xml:space="preserve">a similar charge </w:t>
      </w:r>
      <w:r w:rsidR="003143EC">
        <w:rPr>
          <w:sz w:val="26"/>
          <w:szCs w:val="26"/>
        </w:rPr>
        <w:t xml:space="preserve">to all conventional production delivered into its facilities </w:t>
      </w:r>
      <w:r w:rsidR="00EB7BA4">
        <w:rPr>
          <w:sz w:val="26"/>
          <w:szCs w:val="26"/>
        </w:rPr>
        <w:t xml:space="preserve">is </w:t>
      </w:r>
      <w:r>
        <w:rPr>
          <w:sz w:val="26"/>
          <w:szCs w:val="26"/>
        </w:rPr>
        <w:t xml:space="preserve">not </w:t>
      </w:r>
      <w:r w:rsidR="00EB7BA4">
        <w:rPr>
          <w:sz w:val="26"/>
          <w:szCs w:val="26"/>
        </w:rPr>
        <w:t xml:space="preserve">a </w:t>
      </w:r>
      <w:r>
        <w:rPr>
          <w:sz w:val="26"/>
          <w:szCs w:val="26"/>
        </w:rPr>
        <w:t xml:space="preserve">sufficient reason to approve the charge for deliveries from conventional wells into </w:t>
      </w:r>
      <w:r w:rsidR="007324E1">
        <w:rPr>
          <w:sz w:val="26"/>
          <w:szCs w:val="26"/>
        </w:rPr>
        <w:t>Peoples</w:t>
      </w:r>
      <w:r w:rsidR="00734951">
        <w:rPr>
          <w:sz w:val="26"/>
          <w:szCs w:val="26"/>
        </w:rPr>
        <w:t>’</w:t>
      </w:r>
      <w:r>
        <w:rPr>
          <w:sz w:val="26"/>
          <w:szCs w:val="26"/>
        </w:rPr>
        <w:t xml:space="preserve"> distribution and transmission pipelines</w:t>
      </w:r>
      <w:r w:rsidR="0077314E">
        <w:rPr>
          <w:sz w:val="26"/>
          <w:szCs w:val="26"/>
        </w:rPr>
        <w:t xml:space="preserve">.  </w:t>
      </w:r>
      <w:r>
        <w:rPr>
          <w:sz w:val="26"/>
          <w:szCs w:val="26"/>
        </w:rPr>
        <w:t>The ALJ acknowledged PIOGA</w:t>
      </w:r>
      <w:r w:rsidR="00734951">
        <w:rPr>
          <w:sz w:val="26"/>
          <w:szCs w:val="26"/>
        </w:rPr>
        <w:t>’</w:t>
      </w:r>
      <w:r>
        <w:rPr>
          <w:sz w:val="26"/>
          <w:szCs w:val="26"/>
        </w:rPr>
        <w:t xml:space="preserve">s argument that because </w:t>
      </w:r>
      <w:r w:rsidR="00E80A7D">
        <w:rPr>
          <w:sz w:val="26"/>
          <w:szCs w:val="26"/>
        </w:rPr>
        <w:t>Peoples has</w:t>
      </w:r>
      <w:r>
        <w:rPr>
          <w:sz w:val="26"/>
          <w:szCs w:val="26"/>
        </w:rPr>
        <w:t xml:space="preserve"> already identified what </w:t>
      </w:r>
      <w:r w:rsidR="00E80A7D">
        <w:rPr>
          <w:sz w:val="26"/>
          <w:szCs w:val="26"/>
        </w:rPr>
        <w:t>it</w:t>
      </w:r>
      <w:r>
        <w:rPr>
          <w:sz w:val="26"/>
          <w:szCs w:val="26"/>
        </w:rPr>
        <w:t xml:space="preserve"> </w:t>
      </w:r>
      <w:r w:rsidR="00E80A7D">
        <w:rPr>
          <w:sz w:val="26"/>
          <w:szCs w:val="26"/>
        </w:rPr>
        <w:t>characterizes</w:t>
      </w:r>
      <w:r>
        <w:rPr>
          <w:sz w:val="26"/>
          <w:szCs w:val="26"/>
        </w:rPr>
        <w:t xml:space="preserve"> as gathering lines, there is no basis for expanding </w:t>
      </w:r>
      <w:r w:rsidR="00016482">
        <w:rPr>
          <w:sz w:val="26"/>
          <w:szCs w:val="26"/>
        </w:rPr>
        <w:t xml:space="preserve">the </w:t>
      </w:r>
      <w:r>
        <w:rPr>
          <w:sz w:val="26"/>
          <w:szCs w:val="26"/>
        </w:rPr>
        <w:t>tariff language beyond what P</w:t>
      </w:r>
      <w:r w:rsidR="007324E1">
        <w:rPr>
          <w:sz w:val="26"/>
          <w:szCs w:val="26"/>
        </w:rPr>
        <w:t>eoples</w:t>
      </w:r>
      <w:r w:rsidR="00734951">
        <w:rPr>
          <w:sz w:val="26"/>
          <w:szCs w:val="26"/>
        </w:rPr>
        <w:t>’</w:t>
      </w:r>
      <w:r>
        <w:rPr>
          <w:sz w:val="26"/>
          <w:szCs w:val="26"/>
        </w:rPr>
        <w:t xml:space="preserve"> evidence addresses to accommodate P</w:t>
      </w:r>
      <w:r w:rsidR="007324E1">
        <w:rPr>
          <w:sz w:val="26"/>
          <w:szCs w:val="26"/>
        </w:rPr>
        <w:t>eoples</w:t>
      </w:r>
      <w:r w:rsidR="00734951">
        <w:rPr>
          <w:sz w:val="26"/>
          <w:szCs w:val="26"/>
        </w:rPr>
        <w:t>’</w:t>
      </w:r>
      <w:r>
        <w:rPr>
          <w:sz w:val="26"/>
          <w:szCs w:val="26"/>
        </w:rPr>
        <w:t xml:space="preserve"> preference.  R.D. at 85 (citing PIOGA R.B. at 3). </w:t>
      </w:r>
    </w:p>
    <w:p w14:paraId="629B3FE3" w14:textId="77777777" w:rsidR="00B00513" w:rsidRDefault="00B00513" w:rsidP="007374FA">
      <w:pPr>
        <w:widowControl/>
        <w:spacing w:line="360" w:lineRule="auto"/>
        <w:ind w:firstLine="1530"/>
        <w:rPr>
          <w:sz w:val="26"/>
          <w:szCs w:val="26"/>
        </w:rPr>
      </w:pPr>
    </w:p>
    <w:p w14:paraId="78EEDD53" w14:textId="701D0E5F" w:rsidR="00016482" w:rsidRDefault="003143EC" w:rsidP="007374FA">
      <w:pPr>
        <w:widowControl/>
        <w:spacing w:line="360" w:lineRule="auto"/>
        <w:ind w:firstLine="1530"/>
        <w:rPr>
          <w:sz w:val="26"/>
          <w:szCs w:val="26"/>
        </w:rPr>
      </w:pPr>
      <w:r>
        <w:rPr>
          <w:sz w:val="26"/>
          <w:szCs w:val="26"/>
        </w:rPr>
        <w:t>T</w:t>
      </w:r>
      <w:r w:rsidR="00016482">
        <w:rPr>
          <w:sz w:val="26"/>
          <w:szCs w:val="26"/>
        </w:rPr>
        <w:t>h</w:t>
      </w:r>
      <w:r w:rsidR="00436742">
        <w:rPr>
          <w:sz w:val="26"/>
          <w:szCs w:val="26"/>
        </w:rPr>
        <w:t>e ALJ also noted P</w:t>
      </w:r>
      <w:r w:rsidR="000179A4">
        <w:rPr>
          <w:sz w:val="26"/>
          <w:szCs w:val="26"/>
        </w:rPr>
        <w:t>eoples</w:t>
      </w:r>
      <w:r w:rsidR="00734951">
        <w:rPr>
          <w:sz w:val="26"/>
          <w:szCs w:val="26"/>
        </w:rPr>
        <w:t>’</w:t>
      </w:r>
      <w:r w:rsidR="00436742">
        <w:rPr>
          <w:sz w:val="26"/>
          <w:szCs w:val="26"/>
        </w:rPr>
        <w:t xml:space="preserve"> </w:t>
      </w:r>
      <w:r w:rsidR="001655AC">
        <w:rPr>
          <w:sz w:val="26"/>
          <w:szCs w:val="26"/>
        </w:rPr>
        <w:t xml:space="preserve">argument that </w:t>
      </w:r>
      <w:r w:rsidR="00436742">
        <w:rPr>
          <w:sz w:val="26"/>
          <w:szCs w:val="26"/>
        </w:rPr>
        <w:t xml:space="preserve">it presented </w:t>
      </w:r>
      <w:proofErr w:type="gramStart"/>
      <w:r w:rsidR="00436742">
        <w:rPr>
          <w:sz w:val="26"/>
          <w:szCs w:val="26"/>
        </w:rPr>
        <w:t>sufficient</w:t>
      </w:r>
      <w:proofErr w:type="gramEnd"/>
      <w:r w:rsidR="00436742">
        <w:rPr>
          <w:sz w:val="26"/>
          <w:szCs w:val="26"/>
        </w:rPr>
        <w:t xml:space="preserve"> evidence in the instant proceeding </w:t>
      </w:r>
      <w:r>
        <w:rPr>
          <w:sz w:val="26"/>
          <w:szCs w:val="26"/>
        </w:rPr>
        <w:t xml:space="preserve">that </w:t>
      </w:r>
      <w:r w:rsidR="00436742">
        <w:rPr>
          <w:sz w:val="26"/>
          <w:szCs w:val="26"/>
        </w:rPr>
        <w:t>support</w:t>
      </w:r>
      <w:r>
        <w:rPr>
          <w:sz w:val="26"/>
          <w:szCs w:val="26"/>
        </w:rPr>
        <w:t>s</w:t>
      </w:r>
      <w:r w:rsidR="00436742">
        <w:rPr>
          <w:sz w:val="26"/>
          <w:szCs w:val="26"/>
        </w:rPr>
        <w:t xml:space="preserve"> the proposed charge and </w:t>
      </w:r>
      <w:r w:rsidR="001A4F80">
        <w:rPr>
          <w:sz w:val="26"/>
          <w:szCs w:val="26"/>
        </w:rPr>
        <w:t>that it c</w:t>
      </w:r>
      <w:r w:rsidR="00436742">
        <w:rPr>
          <w:sz w:val="26"/>
          <w:szCs w:val="26"/>
        </w:rPr>
        <w:t xml:space="preserve">larified during this proceeding that the proposed charge applies to all conventional production delivered into </w:t>
      </w:r>
      <w:r w:rsidR="000179A4">
        <w:rPr>
          <w:sz w:val="26"/>
          <w:szCs w:val="26"/>
        </w:rPr>
        <w:t xml:space="preserve">its </w:t>
      </w:r>
      <w:r w:rsidR="00436742">
        <w:rPr>
          <w:sz w:val="26"/>
          <w:szCs w:val="26"/>
        </w:rPr>
        <w:t>facilities.  R.D. at 86 (citing PNG M.B. at 15; PNG St. 1-R at 27).  The ALJ observed that although PIOGA disputed P</w:t>
      </w:r>
      <w:r w:rsidR="000179A4">
        <w:rPr>
          <w:sz w:val="26"/>
          <w:szCs w:val="26"/>
        </w:rPr>
        <w:t>eoples</w:t>
      </w:r>
      <w:r w:rsidR="00734951">
        <w:rPr>
          <w:sz w:val="26"/>
          <w:szCs w:val="26"/>
        </w:rPr>
        <w:t>’</w:t>
      </w:r>
      <w:r w:rsidR="00436742">
        <w:rPr>
          <w:sz w:val="26"/>
          <w:szCs w:val="26"/>
        </w:rPr>
        <w:t xml:space="preserve"> argument that there is </w:t>
      </w:r>
      <w:r w:rsidR="00734951">
        <w:rPr>
          <w:sz w:val="26"/>
          <w:szCs w:val="26"/>
        </w:rPr>
        <w:t>“</w:t>
      </w:r>
      <w:r w:rsidR="00436742">
        <w:rPr>
          <w:sz w:val="26"/>
          <w:szCs w:val="26"/>
        </w:rPr>
        <w:t xml:space="preserve">administrative ease of </w:t>
      </w:r>
      <w:r w:rsidR="00436742">
        <w:rPr>
          <w:sz w:val="26"/>
          <w:szCs w:val="26"/>
        </w:rPr>
        <w:lastRenderedPageBreak/>
        <w:t xml:space="preserve">applying the same rate to both of its </w:t>
      </w:r>
      <w:r w:rsidR="000179A4">
        <w:rPr>
          <w:sz w:val="26"/>
          <w:szCs w:val="26"/>
        </w:rPr>
        <w:t xml:space="preserve">Companies </w:t>
      </w:r>
      <w:r w:rsidR="00436742">
        <w:rPr>
          <w:sz w:val="26"/>
          <w:szCs w:val="26"/>
        </w:rPr>
        <w:t xml:space="preserve">and not </w:t>
      </w:r>
      <w:proofErr w:type="spellStart"/>
      <w:r w:rsidR="00436742">
        <w:rPr>
          <w:sz w:val="26"/>
          <w:szCs w:val="26"/>
        </w:rPr>
        <w:t>hav</w:t>
      </w:r>
      <w:proofErr w:type="spellEnd"/>
      <w:r w:rsidR="00436742">
        <w:rPr>
          <w:sz w:val="26"/>
          <w:szCs w:val="26"/>
        </w:rPr>
        <w:t>[</w:t>
      </w:r>
      <w:proofErr w:type="spellStart"/>
      <w:r w:rsidR="00436742">
        <w:rPr>
          <w:sz w:val="26"/>
          <w:szCs w:val="26"/>
        </w:rPr>
        <w:t>ing</w:t>
      </w:r>
      <w:proofErr w:type="spellEnd"/>
      <w:r w:rsidR="00436742">
        <w:rPr>
          <w:sz w:val="26"/>
          <w:szCs w:val="26"/>
        </w:rPr>
        <w:t xml:space="preserve">] to introduce different rules depending on which company a </w:t>
      </w:r>
      <w:proofErr w:type="gramStart"/>
      <w:r w:rsidR="00436742">
        <w:rPr>
          <w:sz w:val="26"/>
          <w:szCs w:val="26"/>
        </w:rPr>
        <w:t>well ties</w:t>
      </w:r>
      <w:proofErr w:type="gramEnd"/>
      <w:r w:rsidR="00436742">
        <w:rPr>
          <w:sz w:val="26"/>
          <w:szCs w:val="26"/>
        </w:rPr>
        <w:t xml:space="preserve"> into,</w:t>
      </w:r>
      <w:r w:rsidR="00734951">
        <w:rPr>
          <w:sz w:val="26"/>
          <w:szCs w:val="26"/>
        </w:rPr>
        <w:t>”</w:t>
      </w:r>
      <w:r w:rsidR="00436742">
        <w:rPr>
          <w:sz w:val="26"/>
          <w:szCs w:val="26"/>
        </w:rPr>
        <w:t xml:space="preserve"> PIOGA</w:t>
      </w:r>
      <w:r w:rsidR="00A45BB0">
        <w:rPr>
          <w:sz w:val="26"/>
          <w:szCs w:val="26"/>
        </w:rPr>
        <w:t xml:space="preserve"> failed to present </w:t>
      </w:r>
      <w:r w:rsidR="00436742">
        <w:rPr>
          <w:sz w:val="26"/>
          <w:szCs w:val="26"/>
        </w:rPr>
        <w:t>any evidence to refute P</w:t>
      </w:r>
      <w:r w:rsidR="000179A4">
        <w:rPr>
          <w:sz w:val="26"/>
          <w:szCs w:val="26"/>
        </w:rPr>
        <w:t>eoples</w:t>
      </w:r>
      <w:r w:rsidR="00734951">
        <w:rPr>
          <w:sz w:val="26"/>
          <w:szCs w:val="26"/>
        </w:rPr>
        <w:t>’</w:t>
      </w:r>
      <w:r w:rsidR="00436742">
        <w:rPr>
          <w:sz w:val="26"/>
          <w:szCs w:val="26"/>
        </w:rPr>
        <w:t xml:space="preserve"> claim.  R.D. at 86 (citing PNG M.B. at 15; PNG St. 1-R at</w:t>
      </w:r>
      <w:r w:rsidR="00A45BB0">
        <w:rPr>
          <w:sz w:val="26"/>
          <w:szCs w:val="26"/>
        </w:rPr>
        <w:t> </w:t>
      </w:r>
      <w:r w:rsidR="00436742">
        <w:rPr>
          <w:sz w:val="26"/>
          <w:szCs w:val="26"/>
        </w:rPr>
        <w:t>27).</w:t>
      </w:r>
    </w:p>
    <w:p w14:paraId="7EADAEA3" w14:textId="77777777" w:rsidR="00016482" w:rsidRDefault="00016482" w:rsidP="007374FA">
      <w:pPr>
        <w:widowControl/>
        <w:spacing w:line="360" w:lineRule="auto"/>
        <w:ind w:firstLine="1530"/>
        <w:rPr>
          <w:sz w:val="26"/>
          <w:szCs w:val="26"/>
        </w:rPr>
      </w:pPr>
    </w:p>
    <w:p w14:paraId="68119C39" w14:textId="108E2AC6" w:rsidR="00436742" w:rsidRDefault="009E4376" w:rsidP="007374FA">
      <w:pPr>
        <w:widowControl/>
        <w:spacing w:line="360" w:lineRule="auto"/>
        <w:ind w:firstLine="1530"/>
        <w:rPr>
          <w:sz w:val="26"/>
          <w:szCs w:val="26"/>
        </w:rPr>
      </w:pPr>
      <w:r>
        <w:rPr>
          <w:sz w:val="26"/>
          <w:szCs w:val="26"/>
        </w:rPr>
        <w:t>T</w:t>
      </w:r>
      <w:r w:rsidR="00436742">
        <w:rPr>
          <w:sz w:val="26"/>
          <w:szCs w:val="26"/>
        </w:rPr>
        <w:t xml:space="preserve">he ALJ </w:t>
      </w:r>
      <w:r>
        <w:rPr>
          <w:sz w:val="26"/>
          <w:szCs w:val="26"/>
        </w:rPr>
        <w:t xml:space="preserve">also </w:t>
      </w:r>
      <w:r w:rsidR="00436742">
        <w:rPr>
          <w:sz w:val="26"/>
          <w:szCs w:val="26"/>
        </w:rPr>
        <w:t>acknowledged P</w:t>
      </w:r>
      <w:r w:rsidR="00C761ED">
        <w:rPr>
          <w:sz w:val="26"/>
          <w:szCs w:val="26"/>
        </w:rPr>
        <w:t>eoples</w:t>
      </w:r>
      <w:r w:rsidR="00734951">
        <w:rPr>
          <w:sz w:val="26"/>
          <w:szCs w:val="26"/>
        </w:rPr>
        <w:t>’</w:t>
      </w:r>
      <w:r w:rsidR="00436742">
        <w:rPr>
          <w:sz w:val="26"/>
          <w:szCs w:val="26"/>
        </w:rPr>
        <w:t xml:space="preserve"> argument that even if the proposed charge were to be applied only to volumes delivered into the gathering system, the difference </w:t>
      </w:r>
      <w:r>
        <w:rPr>
          <w:sz w:val="26"/>
          <w:szCs w:val="26"/>
        </w:rPr>
        <w:t>would be</w:t>
      </w:r>
      <w:r w:rsidR="00436742">
        <w:rPr>
          <w:sz w:val="26"/>
          <w:szCs w:val="26"/>
        </w:rPr>
        <w:t xml:space="preserve"> minimal.  R.D. at 86 (citing PNG M.B. at 16).  According to the ALJ, P</w:t>
      </w:r>
      <w:r w:rsidR="00AE3483">
        <w:rPr>
          <w:sz w:val="26"/>
          <w:szCs w:val="26"/>
        </w:rPr>
        <w:t>eoples</w:t>
      </w:r>
      <w:r w:rsidR="00436742">
        <w:rPr>
          <w:sz w:val="26"/>
          <w:szCs w:val="26"/>
        </w:rPr>
        <w:t xml:space="preserve"> contended that if it </w:t>
      </w:r>
      <w:r w:rsidR="00734951">
        <w:rPr>
          <w:sz w:val="26"/>
          <w:szCs w:val="26"/>
        </w:rPr>
        <w:t>“</w:t>
      </w:r>
      <w:r w:rsidR="00436742">
        <w:rPr>
          <w:sz w:val="26"/>
          <w:szCs w:val="26"/>
        </w:rPr>
        <w:t>were to recalculate the retainage charge on the basis of using only gathering and try to get the same amount of collection of UFG from that charge,</w:t>
      </w:r>
      <w:r w:rsidR="00734951">
        <w:rPr>
          <w:sz w:val="26"/>
          <w:szCs w:val="26"/>
        </w:rPr>
        <w:t>”</w:t>
      </w:r>
      <w:r w:rsidR="00436742">
        <w:rPr>
          <w:sz w:val="26"/>
          <w:szCs w:val="26"/>
        </w:rPr>
        <w:t xml:space="preserve"> the charge would </w:t>
      </w:r>
      <w:r w:rsidR="00C6419A">
        <w:rPr>
          <w:sz w:val="26"/>
          <w:szCs w:val="26"/>
        </w:rPr>
        <w:t xml:space="preserve">only </w:t>
      </w:r>
      <w:r w:rsidR="00436742">
        <w:rPr>
          <w:sz w:val="26"/>
          <w:szCs w:val="26"/>
        </w:rPr>
        <w:t xml:space="preserve">increase from 2 percent to 2.17 percent, </w:t>
      </w:r>
      <w:r w:rsidR="00C6419A">
        <w:rPr>
          <w:sz w:val="26"/>
          <w:szCs w:val="26"/>
        </w:rPr>
        <w:t>or less than a 10% change.</w:t>
      </w:r>
      <w:r w:rsidR="00436742">
        <w:rPr>
          <w:sz w:val="26"/>
          <w:szCs w:val="26"/>
        </w:rPr>
        <w:t xml:space="preserve">  R.D. at 86 (citing Tr. at 56).  Therefore, the ALJ concluded that PIOGA </w:t>
      </w:r>
      <w:r w:rsidR="00CC3138">
        <w:rPr>
          <w:sz w:val="26"/>
          <w:szCs w:val="26"/>
        </w:rPr>
        <w:t xml:space="preserve">did not </w:t>
      </w:r>
      <w:r w:rsidR="00436742">
        <w:rPr>
          <w:sz w:val="26"/>
          <w:szCs w:val="26"/>
        </w:rPr>
        <w:t>dispute P</w:t>
      </w:r>
      <w:r w:rsidR="00AE3483">
        <w:rPr>
          <w:sz w:val="26"/>
          <w:szCs w:val="26"/>
        </w:rPr>
        <w:t>eoples</w:t>
      </w:r>
      <w:r w:rsidR="00734951">
        <w:rPr>
          <w:sz w:val="26"/>
          <w:szCs w:val="26"/>
        </w:rPr>
        <w:t>’</w:t>
      </w:r>
      <w:r w:rsidR="00AE3483">
        <w:rPr>
          <w:sz w:val="26"/>
          <w:szCs w:val="26"/>
        </w:rPr>
        <w:t xml:space="preserve"> </w:t>
      </w:r>
      <w:r w:rsidR="00436742">
        <w:rPr>
          <w:sz w:val="26"/>
          <w:szCs w:val="26"/>
        </w:rPr>
        <w:t xml:space="preserve">calculation or claim and </w:t>
      </w:r>
      <w:r w:rsidR="00CC3138">
        <w:rPr>
          <w:sz w:val="26"/>
          <w:szCs w:val="26"/>
        </w:rPr>
        <w:t xml:space="preserve">therefore, </w:t>
      </w:r>
      <w:r w:rsidR="00436742">
        <w:rPr>
          <w:sz w:val="26"/>
          <w:szCs w:val="26"/>
        </w:rPr>
        <w:t xml:space="preserve">the unrebutted evidence is clear that the difference between the proposed charge and a charge calculated based on gas volumes delivered into the gathering system </w:t>
      </w:r>
      <w:r w:rsidR="00CC3138">
        <w:rPr>
          <w:sz w:val="26"/>
          <w:szCs w:val="26"/>
        </w:rPr>
        <w:t>would be</w:t>
      </w:r>
      <w:r w:rsidR="00436742">
        <w:rPr>
          <w:sz w:val="26"/>
          <w:szCs w:val="26"/>
        </w:rPr>
        <w:t xml:space="preserve"> minimal and should not be an issue.  R.D. at 86 (citing PNG R.B. at 15-16).</w:t>
      </w:r>
    </w:p>
    <w:p w14:paraId="06A31E09" w14:textId="77777777" w:rsidR="00B00513" w:rsidRDefault="00B00513" w:rsidP="007374FA">
      <w:pPr>
        <w:widowControl/>
        <w:spacing w:line="360" w:lineRule="auto"/>
        <w:ind w:firstLine="1530"/>
        <w:rPr>
          <w:sz w:val="26"/>
          <w:szCs w:val="26"/>
        </w:rPr>
      </w:pPr>
    </w:p>
    <w:p w14:paraId="3AC40541" w14:textId="77777777" w:rsidR="00436742" w:rsidRDefault="00436742" w:rsidP="00CC3138">
      <w:pPr>
        <w:pStyle w:val="Heading3"/>
      </w:pPr>
      <w:bookmarkStart w:id="35" w:name="_Toc524442361"/>
      <w:r>
        <w:t>Whether the Proposed Producer Retainage Charge is Appropriate Policy for the Unique Situation Presented in this Proceeding</w:t>
      </w:r>
      <w:bookmarkEnd w:id="35"/>
    </w:p>
    <w:p w14:paraId="0D0A5B1E" w14:textId="77777777" w:rsidR="0059169A" w:rsidRPr="002E5F97" w:rsidRDefault="0059169A" w:rsidP="00CC3138">
      <w:pPr>
        <w:keepNext/>
        <w:keepLines/>
        <w:widowControl/>
        <w:spacing w:line="360" w:lineRule="auto"/>
        <w:rPr>
          <w:sz w:val="26"/>
          <w:szCs w:val="26"/>
        </w:rPr>
      </w:pPr>
    </w:p>
    <w:p w14:paraId="615652D5" w14:textId="5A71B2E7" w:rsidR="005832FC" w:rsidRDefault="004F121E" w:rsidP="007374FA">
      <w:pPr>
        <w:widowControl/>
        <w:spacing w:line="360" w:lineRule="auto"/>
        <w:ind w:firstLine="1530"/>
        <w:rPr>
          <w:sz w:val="26"/>
          <w:szCs w:val="26"/>
        </w:rPr>
      </w:pPr>
      <w:r w:rsidRPr="0059169A">
        <w:rPr>
          <w:sz w:val="26"/>
          <w:szCs w:val="26"/>
        </w:rPr>
        <w:t>Finally, t</w:t>
      </w:r>
      <w:r w:rsidR="00436742" w:rsidRPr="0059169A">
        <w:rPr>
          <w:sz w:val="26"/>
          <w:szCs w:val="26"/>
        </w:rPr>
        <w:t>he ALJ rejected PIOGA</w:t>
      </w:r>
      <w:r w:rsidR="00734951">
        <w:rPr>
          <w:sz w:val="26"/>
          <w:szCs w:val="26"/>
        </w:rPr>
        <w:t>’</w:t>
      </w:r>
      <w:r w:rsidR="00436742" w:rsidRPr="0059169A">
        <w:rPr>
          <w:sz w:val="26"/>
          <w:szCs w:val="26"/>
        </w:rPr>
        <w:t>s argument that the proposed charge would exacerbate the decline of conventional wells and potentially jeopardize the provision of safe and</w:t>
      </w:r>
      <w:r w:rsidR="00436742">
        <w:rPr>
          <w:sz w:val="26"/>
          <w:szCs w:val="26"/>
        </w:rPr>
        <w:t xml:space="preserve"> reliable service</w:t>
      </w:r>
      <w:r w:rsidR="0027025F">
        <w:rPr>
          <w:sz w:val="26"/>
          <w:szCs w:val="26"/>
        </w:rPr>
        <w:t xml:space="preserve"> or result in a slippery slope</w:t>
      </w:r>
      <w:r w:rsidR="00436742">
        <w:rPr>
          <w:sz w:val="26"/>
          <w:szCs w:val="26"/>
        </w:rPr>
        <w:t>.  According to the ALJ, despite making this assertion, PIOGA has failed to provide any actual data or analysis to support this conclusion.  The ALJ laud</w:t>
      </w:r>
      <w:r w:rsidR="0098123B">
        <w:rPr>
          <w:sz w:val="26"/>
          <w:szCs w:val="26"/>
        </w:rPr>
        <w:t>ed</w:t>
      </w:r>
      <w:r w:rsidR="00436742">
        <w:rPr>
          <w:sz w:val="26"/>
          <w:szCs w:val="26"/>
        </w:rPr>
        <w:t xml:space="preserve"> </w:t>
      </w:r>
      <w:r w:rsidR="0027025F">
        <w:rPr>
          <w:sz w:val="26"/>
          <w:szCs w:val="26"/>
        </w:rPr>
        <w:t>People</w:t>
      </w:r>
      <w:r w:rsidR="00436742">
        <w:rPr>
          <w:sz w:val="26"/>
          <w:szCs w:val="26"/>
        </w:rPr>
        <w:t>s</w:t>
      </w:r>
      <w:r w:rsidR="00734951">
        <w:rPr>
          <w:sz w:val="26"/>
          <w:szCs w:val="26"/>
        </w:rPr>
        <w:t>’</w:t>
      </w:r>
      <w:r w:rsidR="00436742">
        <w:rPr>
          <w:sz w:val="26"/>
          <w:szCs w:val="26"/>
        </w:rPr>
        <w:t xml:space="preserve"> substantial capital investments to replace at-risk pipe </w:t>
      </w:r>
      <w:proofErr w:type="gramStart"/>
      <w:r w:rsidR="00436742">
        <w:rPr>
          <w:sz w:val="26"/>
          <w:szCs w:val="26"/>
        </w:rPr>
        <w:t>in order to</w:t>
      </w:r>
      <w:proofErr w:type="gramEnd"/>
      <w:r w:rsidR="00436742">
        <w:rPr>
          <w:sz w:val="26"/>
          <w:szCs w:val="26"/>
        </w:rPr>
        <w:t xml:space="preserve"> address safety and reliability of its system including the gathering system.  R.D. at 86-87.  </w:t>
      </w:r>
      <w:r>
        <w:rPr>
          <w:sz w:val="26"/>
          <w:szCs w:val="26"/>
        </w:rPr>
        <w:t>The ALJ found no merit in PIOGA</w:t>
      </w:r>
      <w:r w:rsidR="00734951">
        <w:rPr>
          <w:sz w:val="26"/>
          <w:szCs w:val="26"/>
        </w:rPr>
        <w:t>’</w:t>
      </w:r>
      <w:r>
        <w:rPr>
          <w:sz w:val="26"/>
          <w:szCs w:val="26"/>
        </w:rPr>
        <w:t xml:space="preserve">s argument because PIOGA has stipulated in this proceeding that the charge will not have a material effect on the production from existing wells or the production from new wells.  Therefore, the ALJ </w:t>
      </w:r>
      <w:r>
        <w:rPr>
          <w:sz w:val="26"/>
          <w:szCs w:val="26"/>
        </w:rPr>
        <w:lastRenderedPageBreak/>
        <w:t>disagreed with PIOGA</w:t>
      </w:r>
      <w:r w:rsidR="00734951">
        <w:rPr>
          <w:sz w:val="26"/>
          <w:szCs w:val="26"/>
        </w:rPr>
        <w:t>’</w:t>
      </w:r>
      <w:r>
        <w:rPr>
          <w:sz w:val="26"/>
          <w:szCs w:val="26"/>
        </w:rPr>
        <w:t>s claim that the proposed retainage charge is poor policy.  The ALJ concluded that the proposed producer charge would properly balance the interests of both the Compan</w:t>
      </w:r>
      <w:r w:rsidR="00902338">
        <w:rPr>
          <w:sz w:val="26"/>
          <w:szCs w:val="26"/>
        </w:rPr>
        <w:t>y</w:t>
      </w:r>
      <w:r w:rsidR="00734951">
        <w:rPr>
          <w:sz w:val="26"/>
          <w:szCs w:val="26"/>
        </w:rPr>
        <w:t>’</w:t>
      </w:r>
      <w:r w:rsidR="00902338">
        <w:rPr>
          <w:sz w:val="26"/>
          <w:szCs w:val="26"/>
        </w:rPr>
        <w:t>s</w:t>
      </w:r>
      <w:r>
        <w:rPr>
          <w:sz w:val="26"/>
          <w:szCs w:val="26"/>
        </w:rPr>
        <w:t xml:space="preserve"> customers and the producers, especially, because there is currently no balance in the charges.  R.D. at 89.  </w:t>
      </w:r>
    </w:p>
    <w:p w14:paraId="47B4936A" w14:textId="77777777" w:rsidR="00244C06" w:rsidRDefault="00244C06" w:rsidP="007374FA">
      <w:pPr>
        <w:widowControl/>
        <w:spacing w:line="360" w:lineRule="auto"/>
        <w:rPr>
          <w:b/>
          <w:sz w:val="26"/>
          <w:szCs w:val="26"/>
        </w:rPr>
      </w:pPr>
    </w:p>
    <w:p w14:paraId="758821C5" w14:textId="77777777" w:rsidR="00C57145" w:rsidRPr="005832FC" w:rsidRDefault="00C57145" w:rsidP="00A666DC">
      <w:pPr>
        <w:pStyle w:val="Heading2"/>
      </w:pPr>
      <w:bookmarkStart w:id="36" w:name="_Toc524442362"/>
      <w:proofErr w:type="gramStart"/>
      <w:r w:rsidRPr="001E0D80">
        <w:t>Exception</w:t>
      </w:r>
      <w:r w:rsidR="00437E39">
        <w:t>s,</w:t>
      </w:r>
      <w:proofErr w:type="gramEnd"/>
      <w:r w:rsidR="00437E39">
        <w:t xml:space="preserve"> </w:t>
      </w:r>
      <w:r w:rsidRPr="001E0D80">
        <w:t>Replies</w:t>
      </w:r>
      <w:r w:rsidR="00437E39">
        <w:t xml:space="preserve"> and Dispositions</w:t>
      </w:r>
      <w:bookmarkEnd w:id="36"/>
    </w:p>
    <w:p w14:paraId="028481B9" w14:textId="77777777" w:rsidR="00C57145" w:rsidRDefault="00C57145" w:rsidP="00A666DC">
      <w:pPr>
        <w:keepNext/>
        <w:keepLines/>
        <w:widowControl/>
        <w:tabs>
          <w:tab w:val="left" w:pos="1445"/>
          <w:tab w:val="left" w:pos="7920"/>
        </w:tabs>
        <w:autoSpaceDE w:val="0"/>
        <w:autoSpaceDN w:val="0"/>
        <w:adjustRightInd w:val="0"/>
        <w:spacing w:line="360" w:lineRule="auto"/>
        <w:rPr>
          <w:b/>
          <w:sz w:val="26"/>
          <w:szCs w:val="26"/>
        </w:rPr>
      </w:pPr>
    </w:p>
    <w:p w14:paraId="30715320" w14:textId="6BA00239" w:rsidR="00244C06" w:rsidRDefault="00244C06" w:rsidP="007374FA">
      <w:pPr>
        <w:widowControl/>
        <w:tabs>
          <w:tab w:val="left" w:pos="1445"/>
          <w:tab w:val="left" w:pos="7920"/>
        </w:tabs>
        <w:autoSpaceDE w:val="0"/>
        <w:autoSpaceDN w:val="0"/>
        <w:adjustRightInd w:val="0"/>
        <w:spacing w:line="360" w:lineRule="auto"/>
        <w:rPr>
          <w:b/>
          <w:sz w:val="26"/>
          <w:szCs w:val="26"/>
        </w:rPr>
      </w:pPr>
      <w:r>
        <w:rPr>
          <w:sz w:val="26"/>
          <w:szCs w:val="26"/>
        </w:rPr>
        <w:tab/>
      </w:r>
      <w:bookmarkStart w:id="37" w:name="_Hlk523896690"/>
      <w:r w:rsidRPr="00EB6AFC">
        <w:rPr>
          <w:sz w:val="26"/>
          <w:szCs w:val="26"/>
        </w:rPr>
        <w:t xml:space="preserve">In its </w:t>
      </w:r>
      <w:r>
        <w:rPr>
          <w:sz w:val="26"/>
          <w:szCs w:val="26"/>
        </w:rPr>
        <w:t>Exceptions, PIOGA generally criticizes Peoples</w:t>
      </w:r>
      <w:r w:rsidR="00734951">
        <w:rPr>
          <w:sz w:val="26"/>
          <w:szCs w:val="26"/>
        </w:rPr>
        <w:t>’</w:t>
      </w:r>
      <w:r>
        <w:rPr>
          <w:sz w:val="26"/>
          <w:szCs w:val="26"/>
        </w:rPr>
        <w:t xml:space="preserve"> </w:t>
      </w:r>
      <w:r w:rsidR="00734951">
        <w:rPr>
          <w:sz w:val="26"/>
          <w:szCs w:val="26"/>
        </w:rPr>
        <w:t>“</w:t>
      </w:r>
      <w:r>
        <w:rPr>
          <w:sz w:val="26"/>
          <w:szCs w:val="26"/>
        </w:rPr>
        <w:t>about-face</w:t>
      </w:r>
      <w:r w:rsidR="00734951">
        <w:rPr>
          <w:sz w:val="26"/>
          <w:szCs w:val="26"/>
        </w:rPr>
        <w:t>”</w:t>
      </w:r>
      <w:r>
        <w:rPr>
          <w:sz w:val="26"/>
          <w:szCs w:val="26"/>
        </w:rPr>
        <w:t xml:space="preserve"> position on this matter, the timing of the request, and the procedure used by Peoples in requesting the proposed producer retain</w:t>
      </w:r>
      <w:r w:rsidR="0050149E">
        <w:rPr>
          <w:sz w:val="26"/>
          <w:szCs w:val="26"/>
        </w:rPr>
        <w:t>age</w:t>
      </w:r>
      <w:r>
        <w:rPr>
          <w:sz w:val="26"/>
          <w:szCs w:val="26"/>
        </w:rPr>
        <w:t xml:space="preserve"> charge in the instant proceeding.  Exc. at 1-4.  PIOGA requests that the Commission reject the ALJ</w:t>
      </w:r>
      <w:r w:rsidR="00734951">
        <w:rPr>
          <w:sz w:val="26"/>
          <w:szCs w:val="26"/>
        </w:rPr>
        <w:t>’</w:t>
      </w:r>
      <w:r>
        <w:rPr>
          <w:sz w:val="26"/>
          <w:szCs w:val="26"/>
        </w:rPr>
        <w:t>s recommendation and approve either of the OCA</w:t>
      </w:r>
      <w:r w:rsidR="00734951">
        <w:rPr>
          <w:sz w:val="26"/>
          <w:szCs w:val="26"/>
        </w:rPr>
        <w:t>’</w:t>
      </w:r>
      <w:r>
        <w:rPr>
          <w:sz w:val="26"/>
          <w:szCs w:val="26"/>
        </w:rPr>
        <w:t>s retainage rate proposals, which are: (1) an additional 2.0% gathering retainage charge assessed to transportation customers on volumes delivered on the Company</w:t>
      </w:r>
      <w:r w:rsidR="00734951">
        <w:rPr>
          <w:sz w:val="26"/>
          <w:szCs w:val="26"/>
        </w:rPr>
        <w:t>’</w:t>
      </w:r>
      <w:r>
        <w:rPr>
          <w:sz w:val="26"/>
          <w:szCs w:val="26"/>
        </w:rPr>
        <w:t xml:space="preserve">s gathering system; or (2) a 7.0% customer retainage rate.  </w:t>
      </w:r>
      <w:r w:rsidRPr="00BA3B2F">
        <w:rPr>
          <w:i/>
          <w:sz w:val="26"/>
          <w:szCs w:val="26"/>
        </w:rPr>
        <w:t xml:space="preserve">Id. </w:t>
      </w:r>
      <w:r>
        <w:rPr>
          <w:sz w:val="26"/>
          <w:szCs w:val="26"/>
        </w:rPr>
        <w:t>at 23 (citing OCA St. 1 at 3, 11; OCA St. 1 at 11).</w:t>
      </w:r>
      <w:bookmarkEnd w:id="37"/>
      <w:r>
        <w:rPr>
          <w:sz w:val="26"/>
          <w:szCs w:val="26"/>
        </w:rPr>
        <w:t xml:space="preserve"> </w:t>
      </w:r>
    </w:p>
    <w:p w14:paraId="068EBFF5" w14:textId="77777777" w:rsidR="00244C06" w:rsidRDefault="00244C06" w:rsidP="007374FA">
      <w:pPr>
        <w:widowControl/>
        <w:tabs>
          <w:tab w:val="left" w:pos="1445"/>
          <w:tab w:val="left" w:pos="7920"/>
        </w:tabs>
        <w:autoSpaceDE w:val="0"/>
        <w:autoSpaceDN w:val="0"/>
        <w:adjustRightInd w:val="0"/>
        <w:spacing w:line="360" w:lineRule="auto"/>
        <w:rPr>
          <w:b/>
          <w:sz w:val="26"/>
          <w:szCs w:val="26"/>
        </w:rPr>
      </w:pPr>
    </w:p>
    <w:p w14:paraId="2D66CF81" w14:textId="50BD1F73" w:rsidR="00F111FB" w:rsidRPr="001E0D80" w:rsidRDefault="00F111FB" w:rsidP="00A666DC">
      <w:pPr>
        <w:pStyle w:val="Heading3"/>
        <w:numPr>
          <w:ilvl w:val="0"/>
          <w:numId w:val="27"/>
        </w:numPr>
      </w:pPr>
      <w:bookmarkStart w:id="38" w:name="_Toc524442363"/>
      <w:r w:rsidRPr="001E0D80">
        <w:t>PIOGA</w:t>
      </w:r>
      <w:r w:rsidR="00734951">
        <w:t>’</w:t>
      </w:r>
      <w:r w:rsidRPr="001E0D80">
        <w:t>s Exception No. 1</w:t>
      </w:r>
      <w:r w:rsidR="00CA5227" w:rsidRPr="001E0D80">
        <w:t xml:space="preserve">, </w:t>
      </w:r>
      <w:r w:rsidR="00EB6AFC" w:rsidRPr="001E0D80">
        <w:t>Replies</w:t>
      </w:r>
      <w:r w:rsidR="00CA5227" w:rsidRPr="001E0D80">
        <w:t xml:space="preserve"> and Disposition</w:t>
      </w:r>
      <w:bookmarkEnd w:id="38"/>
    </w:p>
    <w:p w14:paraId="5C3355DD" w14:textId="77777777" w:rsidR="00EB6AFC" w:rsidRDefault="00EB6AFC" w:rsidP="00A666DC">
      <w:pPr>
        <w:keepNext/>
        <w:keepLines/>
        <w:widowControl/>
        <w:tabs>
          <w:tab w:val="left" w:pos="1445"/>
          <w:tab w:val="left" w:pos="7920"/>
        </w:tabs>
        <w:autoSpaceDE w:val="0"/>
        <w:autoSpaceDN w:val="0"/>
        <w:adjustRightInd w:val="0"/>
        <w:spacing w:line="360" w:lineRule="auto"/>
        <w:rPr>
          <w:b/>
          <w:sz w:val="26"/>
          <w:szCs w:val="26"/>
        </w:rPr>
      </w:pPr>
    </w:p>
    <w:p w14:paraId="3871DC7F" w14:textId="151D3FD0" w:rsidR="00D21F68" w:rsidRDefault="00EB6AFC" w:rsidP="007374FA">
      <w:pPr>
        <w:widowControl/>
        <w:tabs>
          <w:tab w:val="left" w:pos="1445"/>
          <w:tab w:val="left" w:pos="7920"/>
        </w:tabs>
        <w:autoSpaceDE w:val="0"/>
        <w:autoSpaceDN w:val="0"/>
        <w:adjustRightInd w:val="0"/>
        <w:spacing w:line="360" w:lineRule="auto"/>
        <w:rPr>
          <w:sz w:val="26"/>
          <w:szCs w:val="26"/>
        </w:rPr>
      </w:pPr>
      <w:r>
        <w:rPr>
          <w:b/>
          <w:sz w:val="26"/>
          <w:szCs w:val="26"/>
        </w:rPr>
        <w:tab/>
      </w:r>
      <w:r w:rsidR="00D21F68">
        <w:rPr>
          <w:sz w:val="26"/>
          <w:szCs w:val="26"/>
        </w:rPr>
        <w:t>In its Exception No. 1, PIOGA disagrees with the ALJ</w:t>
      </w:r>
      <w:r w:rsidR="00734951">
        <w:rPr>
          <w:sz w:val="26"/>
          <w:szCs w:val="26"/>
        </w:rPr>
        <w:t>’</w:t>
      </w:r>
      <w:r w:rsidR="00D21F68">
        <w:rPr>
          <w:sz w:val="26"/>
          <w:szCs w:val="26"/>
        </w:rPr>
        <w:t xml:space="preserve">s conclusion that the proposed producer retainage charge is just and reasonable because the Company </w:t>
      </w:r>
      <w:r w:rsidR="00734951">
        <w:rPr>
          <w:sz w:val="26"/>
          <w:szCs w:val="26"/>
        </w:rPr>
        <w:t>“</w:t>
      </w:r>
      <w:r w:rsidR="00D21F68">
        <w:rPr>
          <w:sz w:val="26"/>
          <w:szCs w:val="26"/>
        </w:rPr>
        <w:t>is making substantial commitments to address gathering UFG</w:t>
      </w:r>
      <w:r w:rsidR="00734951">
        <w:rPr>
          <w:sz w:val="26"/>
          <w:szCs w:val="26"/>
        </w:rPr>
        <w:t>”</w:t>
      </w:r>
      <w:r w:rsidR="00D21F68">
        <w:rPr>
          <w:sz w:val="26"/>
          <w:szCs w:val="26"/>
        </w:rPr>
        <w:t xml:space="preserve"> and it is reasonable for conventional natural gas producers to pay </w:t>
      </w:r>
      <w:r w:rsidR="00734951">
        <w:rPr>
          <w:sz w:val="26"/>
          <w:szCs w:val="26"/>
        </w:rPr>
        <w:t>“</w:t>
      </w:r>
      <w:r w:rsidR="00D21F68">
        <w:rPr>
          <w:sz w:val="26"/>
          <w:szCs w:val="26"/>
        </w:rPr>
        <w:t>for a portion of gathering system UFG.</w:t>
      </w:r>
      <w:r w:rsidR="00734951">
        <w:rPr>
          <w:sz w:val="26"/>
          <w:szCs w:val="26"/>
        </w:rPr>
        <w:t>”</w:t>
      </w:r>
      <w:r w:rsidR="00D21F68">
        <w:rPr>
          <w:sz w:val="26"/>
          <w:szCs w:val="26"/>
        </w:rPr>
        <w:t xml:space="preserve">  Exc.</w:t>
      </w:r>
      <w:r w:rsidR="00D21F68" w:rsidRPr="00DF1CB2">
        <w:rPr>
          <w:i/>
          <w:sz w:val="26"/>
          <w:szCs w:val="26"/>
        </w:rPr>
        <w:t xml:space="preserve"> </w:t>
      </w:r>
      <w:r w:rsidR="00D21F68">
        <w:rPr>
          <w:sz w:val="26"/>
          <w:szCs w:val="26"/>
        </w:rPr>
        <w:t>at 4 (citing R.D. at 77; Conclusion of Law No. 27; Ordering Paragraph Nos. 2, 5, 6).  Citing to Finding of Fact Nos. 55 and 56,</w:t>
      </w:r>
      <w:r w:rsidR="00D21F68">
        <w:rPr>
          <w:rStyle w:val="FootnoteReference"/>
          <w:sz w:val="26"/>
          <w:szCs w:val="26"/>
        </w:rPr>
        <w:footnoteReference w:id="19"/>
      </w:r>
      <w:r w:rsidR="00D21F68">
        <w:rPr>
          <w:sz w:val="26"/>
          <w:szCs w:val="26"/>
        </w:rPr>
        <w:t xml:space="preserve"> PIOGA argues </w:t>
      </w:r>
      <w:r w:rsidR="0072028E">
        <w:rPr>
          <w:sz w:val="26"/>
          <w:szCs w:val="26"/>
        </w:rPr>
        <w:t xml:space="preserve">that </w:t>
      </w:r>
      <w:r w:rsidR="00D21F68">
        <w:rPr>
          <w:sz w:val="26"/>
          <w:szCs w:val="26"/>
        </w:rPr>
        <w:t xml:space="preserve">not only </w:t>
      </w:r>
      <w:r w:rsidR="00E92D47">
        <w:rPr>
          <w:sz w:val="26"/>
          <w:szCs w:val="26"/>
        </w:rPr>
        <w:t>is Peoples</w:t>
      </w:r>
      <w:r w:rsidR="00D21F68">
        <w:rPr>
          <w:sz w:val="26"/>
          <w:szCs w:val="26"/>
        </w:rPr>
        <w:t xml:space="preserve"> </w:t>
      </w:r>
      <w:r w:rsidR="00D21F68">
        <w:rPr>
          <w:sz w:val="26"/>
          <w:szCs w:val="26"/>
        </w:rPr>
        <w:lastRenderedPageBreak/>
        <w:t xml:space="preserve">spending minimal amounts on gathering system when compared to the investment on </w:t>
      </w:r>
      <w:r w:rsidR="00E92D47">
        <w:rPr>
          <w:sz w:val="26"/>
          <w:szCs w:val="26"/>
        </w:rPr>
        <w:t xml:space="preserve">its </w:t>
      </w:r>
      <w:r w:rsidR="00D21F68">
        <w:rPr>
          <w:sz w:val="26"/>
          <w:szCs w:val="26"/>
        </w:rPr>
        <w:t xml:space="preserve">distribution system but that </w:t>
      </w:r>
      <w:r w:rsidR="002F7DF1">
        <w:rPr>
          <w:sz w:val="26"/>
          <w:szCs w:val="26"/>
        </w:rPr>
        <w:t xml:space="preserve">PIOGA </w:t>
      </w:r>
      <w:r w:rsidR="00D21F68">
        <w:rPr>
          <w:sz w:val="26"/>
          <w:szCs w:val="26"/>
        </w:rPr>
        <w:t>provided unrebutted evidence in this proceeding showing that the Compan</w:t>
      </w:r>
      <w:r w:rsidR="00E92D47">
        <w:rPr>
          <w:sz w:val="26"/>
          <w:szCs w:val="26"/>
        </w:rPr>
        <w:t>y</w:t>
      </w:r>
      <w:r w:rsidR="00734951">
        <w:rPr>
          <w:sz w:val="26"/>
          <w:szCs w:val="26"/>
        </w:rPr>
        <w:t>’</w:t>
      </w:r>
      <w:r w:rsidR="00E92D47">
        <w:rPr>
          <w:sz w:val="26"/>
          <w:szCs w:val="26"/>
        </w:rPr>
        <w:t>s</w:t>
      </w:r>
      <w:r w:rsidR="00D21F68">
        <w:rPr>
          <w:sz w:val="26"/>
          <w:szCs w:val="26"/>
        </w:rPr>
        <w:t xml:space="preserve"> gathering pipelines were constructed as part of an integrated pipeline system to serve utility customers using conventional production from utility-owned wells as well as independent producer-owned wells, prior to federal deregulation of natural gas production.</w:t>
      </w:r>
      <w:r w:rsidR="00D21F68" w:rsidRPr="006E2177">
        <w:rPr>
          <w:rStyle w:val="FootnoteReference"/>
          <w:sz w:val="26"/>
          <w:szCs w:val="26"/>
        </w:rPr>
        <w:t xml:space="preserve"> </w:t>
      </w:r>
      <w:r w:rsidR="00D21F68">
        <w:rPr>
          <w:rStyle w:val="FootnoteReference"/>
          <w:sz w:val="26"/>
          <w:szCs w:val="26"/>
        </w:rPr>
        <w:footnoteReference w:id="20"/>
      </w:r>
      <w:r w:rsidR="00D21F68">
        <w:rPr>
          <w:sz w:val="26"/>
          <w:szCs w:val="26"/>
        </w:rPr>
        <w:t xml:space="preserve">  Exc. at 4-5 (citing R.D. at 64-65).</w:t>
      </w:r>
    </w:p>
    <w:p w14:paraId="0324CC7B" w14:textId="77777777" w:rsidR="00D21F68" w:rsidRDefault="00D21F68" w:rsidP="007374FA">
      <w:pPr>
        <w:widowControl/>
        <w:tabs>
          <w:tab w:val="left" w:pos="1445"/>
          <w:tab w:val="left" w:pos="7920"/>
        </w:tabs>
        <w:autoSpaceDE w:val="0"/>
        <w:autoSpaceDN w:val="0"/>
        <w:adjustRightInd w:val="0"/>
        <w:spacing w:line="360" w:lineRule="auto"/>
        <w:rPr>
          <w:sz w:val="26"/>
          <w:szCs w:val="26"/>
        </w:rPr>
      </w:pPr>
    </w:p>
    <w:p w14:paraId="35C54414" w14:textId="4ED34DAF" w:rsidR="00D21F68" w:rsidRPr="00EB6AFC" w:rsidRDefault="00D21F68" w:rsidP="007374FA">
      <w:pPr>
        <w:widowControl/>
        <w:tabs>
          <w:tab w:val="left" w:pos="1445"/>
          <w:tab w:val="left" w:pos="7920"/>
        </w:tabs>
        <w:autoSpaceDE w:val="0"/>
        <w:autoSpaceDN w:val="0"/>
        <w:adjustRightInd w:val="0"/>
        <w:spacing w:line="360" w:lineRule="auto"/>
        <w:rPr>
          <w:sz w:val="26"/>
          <w:szCs w:val="26"/>
        </w:rPr>
      </w:pPr>
      <w:r>
        <w:rPr>
          <w:sz w:val="26"/>
          <w:szCs w:val="26"/>
        </w:rPr>
        <w:tab/>
        <w:t>Additionally, regarding the integrated pipeline system, PIOGA references Peoples</w:t>
      </w:r>
      <w:r w:rsidR="00734951">
        <w:rPr>
          <w:sz w:val="26"/>
          <w:szCs w:val="26"/>
        </w:rPr>
        <w:t>’</w:t>
      </w:r>
      <w:r>
        <w:rPr>
          <w:sz w:val="26"/>
          <w:szCs w:val="26"/>
        </w:rPr>
        <w:t xml:space="preserve"> testimony that the gathering line development involved connecting both utility-owned wells to serve Peoples</w:t>
      </w:r>
      <w:r w:rsidR="00734951">
        <w:rPr>
          <w:sz w:val="26"/>
          <w:szCs w:val="26"/>
        </w:rPr>
        <w:t>’</w:t>
      </w:r>
      <w:r>
        <w:rPr>
          <w:sz w:val="26"/>
          <w:szCs w:val="26"/>
        </w:rPr>
        <w:t xml:space="preserve"> customers and the independent producer wells and that the pipeline systems of the Peoples Companies </w:t>
      </w:r>
      <w:r w:rsidR="00734951">
        <w:rPr>
          <w:sz w:val="26"/>
          <w:szCs w:val="26"/>
        </w:rPr>
        <w:t>“</w:t>
      </w:r>
      <w:r>
        <w:rPr>
          <w:sz w:val="26"/>
          <w:szCs w:val="26"/>
        </w:rPr>
        <w:t xml:space="preserve">operate very much the </w:t>
      </w:r>
      <w:proofErr w:type="gramStart"/>
      <w:r>
        <w:rPr>
          <w:sz w:val="26"/>
          <w:szCs w:val="26"/>
        </w:rPr>
        <w:t>same, and</w:t>
      </w:r>
      <w:proofErr w:type="gramEnd"/>
      <w:r>
        <w:rPr>
          <w:sz w:val="26"/>
          <w:szCs w:val="26"/>
        </w:rPr>
        <w:t xml:space="preserve"> are of the same vintage.</w:t>
      </w:r>
      <w:r w:rsidR="00734951">
        <w:rPr>
          <w:sz w:val="26"/>
          <w:szCs w:val="26"/>
        </w:rPr>
        <w:t>”</w:t>
      </w:r>
      <w:r>
        <w:rPr>
          <w:sz w:val="26"/>
          <w:szCs w:val="26"/>
        </w:rPr>
        <w:t xml:space="preserve">  Exc. at 5-6 (citing Tr. at 69-70; PNG St. 1-R at 19).  From PIOGA</w:t>
      </w:r>
      <w:r w:rsidR="00734951">
        <w:rPr>
          <w:sz w:val="26"/>
          <w:szCs w:val="26"/>
        </w:rPr>
        <w:t>’</w:t>
      </w:r>
      <w:r>
        <w:rPr>
          <w:sz w:val="26"/>
          <w:szCs w:val="26"/>
        </w:rPr>
        <w:t>s perspective, because the gathering system is integrated with the distribution system and serves all customers who use the integrated system, it is improper to say that conventional producers are the primary users and beneficiaries of Peoples</w:t>
      </w:r>
      <w:r w:rsidR="00734951">
        <w:rPr>
          <w:sz w:val="26"/>
          <w:szCs w:val="26"/>
        </w:rPr>
        <w:t>’</w:t>
      </w:r>
      <w:r>
        <w:rPr>
          <w:sz w:val="26"/>
          <w:szCs w:val="26"/>
        </w:rPr>
        <w:t xml:space="preserve"> gathering pipelines.  According to PIOGA, Peoples and its customers benefit more, as these pipelines have been, and continue to be, essential to the provision of the Compan</w:t>
      </w:r>
      <w:r w:rsidR="000507F6">
        <w:rPr>
          <w:sz w:val="26"/>
          <w:szCs w:val="26"/>
        </w:rPr>
        <w:t>y</w:t>
      </w:r>
      <w:r w:rsidR="00734951">
        <w:rPr>
          <w:sz w:val="26"/>
          <w:szCs w:val="26"/>
        </w:rPr>
        <w:t>’</w:t>
      </w:r>
      <w:r w:rsidR="000507F6">
        <w:rPr>
          <w:sz w:val="26"/>
          <w:szCs w:val="26"/>
        </w:rPr>
        <w:t>s</w:t>
      </w:r>
      <w:r>
        <w:rPr>
          <w:sz w:val="26"/>
          <w:szCs w:val="26"/>
        </w:rPr>
        <w:t xml:space="preserve"> natural gas distribution service.  Based on the above benefits and other benefits including reduction in interstate pipeline transportation capacity costs, PIOGA avers the ALJ</w:t>
      </w:r>
      <w:r w:rsidR="00734951">
        <w:rPr>
          <w:sz w:val="26"/>
          <w:szCs w:val="26"/>
        </w:rPr>
        <w:t>’</w:t>
      </w:r>
      <w:r>
        <w:rPr>
          <w:sz w:val="26"/>
          <w:szCs w:val="26"/>
        </w:rPr>
        <w:t>s conclusion is inaccurate and should be rejected.  Exc. at 6-7 (citing PNG Exh. 2 at 1-2; PNG Exh. 5-R).</w:t>
      </w:r>
    </w:p>
    <w:p w14:paraId="6BD1925A" w14:textId="77777777" w:rsidR="00D21F68" w:rsidRDefault="00D21F68" w:rsidP="007374FA">
      <w:pPr>
        <w:widowControl/>
        <w:tabs>
          <w:tab w:val="left" w:pos="1445"/>
          <w:tab w:val="left" w:pos="7920"/>
        </w:tabs>
        <w:autoSpaceDE w:val="0"/>
        <w:autoSpaceDN w:val="0"/>
        <w:adjustRightInd w:val="0"/>
        <w:spacing w:line="360" w:lineRule="auto"/>
        <w:rPr>
          <w:b/>
          <w:sz w:val="26"/>
          <w:szCs w:val="26"/>
        </w:rPr>
      </w:pPr>
    </w:p>
    <w:p w14:paraId="61E8646E" w14:textId="1040B120" w:rsidR="00D21F68" w:rsidRDefault="00D21F68" w:rsidP="007374FA">
      <w:pPr>
        <w:widowControl/>
        <w:tabs>
          <w:tab w:val="left" w:pos="1445"/>
          <w:tab w:val="left" w:pos="7920"/>
        </w:tabs>
        <w:autoSpaceDE w:val="0"/>
        <w:autoSpaceDN w:val="0"/>
        <w:adjustRightInd w:val="0"/>
        <w:spacing w:line="360" w:lineRule="auto"/>
        <w:rPr>
          <w:sz w:val="26"/>
          <w:szCs w:val="26"/>
        </w:rPr>
      </w:pPr>
      <w:r>
        <w:rPr>
          <w:b/>
          <w:sz w:val="26"/>
          <w:szCs w:val="26"/>
        </w:rPr>
        <w:tab/>
      </w:r>
      <w:r w:rsidRPr="008B3BE7">
        <w:rPr>
          <w:sz w:val="26"/>
          <w:szCs w:val="26"/>
        </w:rPr>
        <w:t xml:space="preserve">In Reply, </w:t>
      </w:r>
      <w:r w:rsidR="000507F6">
        <w:rPr>
          <w:sz w:val="26"/>
          <w:szCs w:val="26"/>
        </w:rPr>
        <w:t>Peoples</w:t>
      </w:r>
      <w:r>
        <w:rPr>
          <w:sz w:val="26"/>
          <w:szCs w:val="26"/>
        </w:rPr>
        <w:t xml:space="preserve"> disagree</w:t>
      </w:r>
      <w:r w:rsidR="000507F6">
        <w:rPr>
          <w:sz w:val="26"/>
          <w:szCs w:val="26"/>
        </w:rPr>
        <w:t>s</w:t>
      </w:r>
      <w:r>
        <w:rPr>
          <w:sz w:val="26"/>
          <w:szCs w:val="26"/>
        </w:rPr>
        <w:t xml:space="preserve"> with PIOGA</w:t>
      </w:r>
      <w:r w:rsidR="00734951">
        <w:rPr>
          <w:sz w:val="26"/>
          <w:szCs w:val="26"/>
        </w:rPr>
        <w:t>’</w:t>
      </w:r>
      <w:r>
        <w:rPr>
          <w:sz w:val="26"/>
          <w:szCs w:val="26"/>
        </w:rPr>
        <w:t>s argument.  The Compan</w:t>
      </w:r>
      <w:r w:rsidR="0037432C">
        <w:rPr>
          <w:sz w:val="26"/>
          <w:szCs w:val="26"/>
        </w:rPr>
        <w:t>y</w:t>
      </w:r>
      <w:r>
        <w:rPr>
          <w:sz w:val="26"/>
          <w:szCs w:val="26"/>
        </w:rPr>
        <w:t xml:space="preserve"> argue</w:t>
      </w:r>
      <w:r w:rsidR="0037432C">
        <w:rPr>
          <w:sz w:val="26"/>
          <w:szCs w:val="26"/>
        </w:rPr>
        <w:t>s</w:t>
      </w:r>
      <w:r>
        <w:rPr>
          <w:sz w:val="26"/>
          <w:szCs w:val="26"/>
        </w:rPr>
        <w:t xml:space="preserve"> the proposal is part of a comprehensive plan to address gathering system UFG and is only aimed at sharing a small percentage of the UFG experienced on the Compan</w:t>
      </w:r>
      <w:r w:rsidR="0037432C">
        <w:rPr>
          <w:sz w:val="26"/>
          <w:szCs w:val="26"/>
        </w:rPr>
        <w:t>y</w:t>
      </w:r>
      <w:r w:rsidR="00734951">
        <w:rPr>
          <w:sz w:val="26"/>
          <w:szCs w:val="26"/>
        </w:rPr>
        <w:t>’</w:t>
      </w:r>
      <w:r w:rsidR="0037432C">
        <w:rPr>
          <w:sz w:val="26"/>
          <w:szCs w:val="26"/>
        </w:rPr>
        <w:t>s</w:t>
      </w:r>
      <w:r>
        <w:rPr>
          <w:sz w:val="26"/>
          <w:szCs w:val="26"/>
        </w:rPr>
        <w:t xml:space="preserve"> gathering system with conventional local gas producers who benefit from the gathering system.  </w:t>
      </w:r>
      <w:r>
        <w:rPr>
          <w:sz w:val="26"/>
          <w:szCs w:val="26"/>
        </w:rPr>
        <w:lastRenderedPageBreak/>
        <w:t>PNG R. Exc. at 1, 5.  The Compan</w:t>
      </w:r>
      <w:r w:rsidR="006F6379">
        <w:rPr>
          <w:sz w:val="26"/>
          <w:szCs w:val="26"/>
        </w:rPr>
        <w:t>y</w:t>
      </w:r>
      <w:r>
        <w:rPr>
          <w:sz w:val="26"/>
          <w:szCs w:val="26"/>
        </w:rPr>
        <w:t xml:space="preserve"> </w:t>
      </w:r>
      <w:r w:rsidR="00B67E09">
        <w:rPr>
          <w:sz w:val="26"/>
          <w:szCs w:val="26"/>
        </w:rPr>
        <w:t xml:space="preserve">opines </w:t>
      </w:r>
      <w:r>
        <w:rPr>
          <w:sz w:val="26"/>
          <w:szCs w:val="26"/>
        </w:rPr>
        <w:t xml:space="preserve">the proposed charge is just and reasonable because it equitably allocates the responsibility for the costs of gathering system UFG.  </w:t>
      </w:r>
      <w:r w:rsidRPr="003A0619">
        <w:rPr>
          <w:i/>
          <w:sz w:val="26"/>
          <w:szCs w:val="26"/>
        </w:rPr>
        <w:t xml:space="preserve">Id. </w:t>
      </w:r>
      <w:r>
        <w:rPr>
          <w:sz w:val="26"/>
          <w:szCs w:val="26"/>
        </w:rPr>
        <w:t>at 5.  The Compan</w:t>
      </w:r>
      <w:r w:rsidR="006F6379">
        <w:rPr>
          <w:sz w:val="26"/>
          <w:szCs w:val="26"/>
        </w:rPr>
        <w:t>y</w:t>
      </w:r>
      <w:r>
        <w:rPr>
          <w:sz w:val="26"/>
          <w:szCs w:val="26"/>
        </w:rPr>
        <w:t xml:space="preserve"> </w:t>
      </w:r>
      <w:r w:rsidR="0072028E">
        <w:rPr>
          <w:sz w:val="26"/>
          <w:szCs w:val="26"/>
        </w:rPr>
        <w:t xml:space="preserve">criticizes </w:t>
      </w:r>
      <w:r>
        <w:rPr>
          <w:sz w:val="26"/>
          <w:szCs w:val="26"/>
        </w:rPr>
        <w:t>PIOGA</w:t>
      </w:r>
      <w:r w:rsidR="00734951">
        <w:rPr>
          <w:sz w:val="26"/>
          <w:szCs w:val="26"/>
        </w:rPr>
        <w:t>’</w:t>
      </w:r>
      <w:r>
        <w:rPr>
          <w:sz w:val="26"/>
          <w:szCs w:val="26"/>
        </w:rPr>
        <w:t xml:space="preserve">s argument that </w:t>
      </w:r>
      <w:proofErr w:type="gramStart"/>
      <w:r>
        <w:rPr>
          <w:sz w:val="26"/>
          <w:szCs w:val="26"/>
        </w:rPr>
        <w:t>Peoples</w:t>
      </w:r>
      <w:proofErr w:type="gramEnd"/>
      <w:r>
        <w:rPr>
          <w:sz w:val="26"/>
          <w:szCs w:val="26"/>
        </w:rPr>
        <w:t xml:space="preserve"> and </w:t>
      </w:r>
      <w:r w:rsidR="006F6379">
        <w:rPr>
          <w:sz w:val="26"/>
          <w:szCs w:val="26"/>
        </w:rPr>
        <w:t>its</w:t>
      </w:r>
      <w:r>
        <w:rPr>
          <w:sz w:val="26"/>
          <w:szCs w:val="26"/>
        </w:rPr>
        <w:t xml:space="preserve"> customers benefit more from the gathering lines than the conventional gas producers.  According to Peoples, conventional gas producers are the primary beneficiaries of the gathering lines because without these lines, </w:t>
      </w:r>
      <w:r w:rsidR="00064879">
        <w:rPr>
          <w:sz w:val="26"/>
          <w:szCs w:val="26"/>
        </w:rPr>
        <w:t>they</w:t>
      </w:r>
      <w:r>
        <w:rPr>
          <w:sz w:val="26"/>
          <w:szCs w:val="26"/>
        </w:rPr>
        <w:t xml:space="preserve"> would not be able to move their gas to the market.  PNG R. Exc.</w:t>
      </w:r>
      <w:r w:rsidRPr="00F53931">
        <w:rPr>
          <w:i/>
          <w:sz w:val="26"/>
          <w:szCs w:val="26"/>
        </w:rPr>
        <w:t xml:space="preserve"> </w:t>
      </w:r>
      <w:r>
        <w:rPr>
          <w:sz w:val="26"/>
          <w:szCs w:val="26"/>
        </w:rPr>
        <w:t>at 4-5 (citing PIOGA Exc. at 5-7).  From Peoples</w:t>
      </w:r>
      <w:r w:rsidR="00734951">
        <w:rPr>
          <w:sz w:val="26"/>
          <w:szCs w:val="26"/>
        </w:rPr>
        <w:t>’</w:t>
      </w:r>
      <w:r>
        <w:rPr>
          <w:sz w:val="26"/>
          <w:szCs w:val="26"/>
        </w:rPr>
        <w:t xml:space="preserve"> perspective, because producers are contributors to the gathering system UFG and the Compan</w:t>
      </w:r>
      <w:r w:rsidR="00064879">
        <w:rPr>
          <w:sz w:val="26"/>
          <w:szCs w:val="26"/>
        </w:rPr>
        <w:t>y is</w:t>
      </w:r>
      <w:r>
        <w:rPr>
          <w:sz w:val="26"/>
          <w:szCs w:val="26"/>
        </w:rPr>
        <w:t xml:space="preserve"> not proposing to charge the producers </w:t>
      </w:r>
      <w:proofErr w:type="gramStart"/>
      <w:r>
        <w:rPr>
          <w:sz w:val="26"/>
          <w:szCs w:val="26"/>
        </w:rPr>
        <w:t>all of</w:t>
      </w:r>
      <w:proofErr w:type="gramEnd"/>
      <w:r>
        <w:rPr>
          <w:sz w:val="26"/>
          <w:szCs w:val="26"/>
        </w:rPr>
        <w:t xml:space="preserve"> the costs of gathering system UFG, </w:t>
      </w:r>
      <w:r w:rsidR="002E02EE">
        <w:rPr>
          <w:sz w:val="26"/>
          <w:szCs w:val="26"/>
        </w:rPr>
        <w:t>rather</w:t>
      </w:r>
      <w:r>
        <w:rPr>
          <w:sz w:val="26"/>
          <w:szCs w:val="26"/>
        </w:rPr>
        <w:t xml:space="preserve"> a fraction of the losses (19% of the gathering system UFG), the Commission should uphold the ALJ</w:t>
      </w:r>
      <w:r w:rsidR="00734951">
        <w:rPr>
          <w:sz w:val="26"/>
          <w:szCs w:val="26"/>
        </w:rPr>
        <w:t>’</w:t>
      </w:r>
      <w:r>
        <w:rPr>
          <w:sz w:val="26"/>
          <w:szCs w:val="26"/>
        </w:rPr>
        <w:t xml:space="preserve">s recommended approval of the proposed charge.  PNG R. Exc. at 5.  </w:t>
      </w:r>
    </w:p>
    <w:p w14:paraId="2B61B2CB" w14:textId="77777777" w:rsidR="00D21F68" w:rsidRDefault="00D21F68" w:rsidP="007374FA">
      <w:pPr>
        <w:widowControl/>
        <w:tabs>
          <w:tab w:val="left" w:pos="1445"/>
          <w:tab w:val="left" w:pos="7920"/>
        </w:tabs>
        <w:autoSpaceDE w:val="0"/>
        <w:autoSpaceDN w:val="0"/>
        <w:adjustRightInd w:val="0"/>
        <w:spacing w:line="360" w:lineRule="auto"/>
        <w:rPr>
          <w:sz w:val="26"/>
          <w:szCs w:val="26"/>
        </w:rPr>
      </w:pPr>
    </w:p>
    <w:p w14:paraId="5E14DFA0" w14:textId="1C2B653A" w:rsidR="00D21F68" w:rsidRDefault="00D21F68" w:rsidP="007374FA">
      <w:pPr>
        <w:widowControl/>
        <w:tabs>
          <w:tab w:val="left" w:pos="1445"/>
          <w:tab w:val="left" w:pos="7920"/>
        </w:tabs>
        <w:autoSpaceDE w:val="0"/>
        <w:autoSpaceDN w:val="0"/>
        <w:adjustRightInd w:val="0"/>
        <w:spacing w:line="360" w:lineRule="auto"/>
        <w:rPr>
          <w:i/>
          <w:sz w:val="26"/>
          <w:szCs w:val="26"/>
        </w:rPr>
      </w:pPr>
      <w:r>
        <w:rPr>
          <w:sz w:val="26"/>
          <w:szCs w:val="26"/>
        </w:rPr>
        <w:tab/>
        <w:t>Additionally, the Compan</w:t>
      </w:r>
      <w:r w:rsidR="008E7A20">
        <w:rPr>
          <w:sz w:val="26"/>
          <w:szCs w:val="26"/>
        </w:rPr>
        <w:t>y</w:t>
      </w:r>
      <w:r>
        <w:rPr>
          <w:sz w:val="26"/>
          <w:szCs w:val="26"/>
        </w:rPr>
        <w:t xml:space="preserve"> contend</w:t>
      </w:r>
      <w:r w:rsidR="008E7A20">
        <w:rPr>
          <w:sz w:val="26"/>
          <w:szCs w:val="26"/>
        </w:rPr>
        <w:t>s</w:t>
      </w:r>
      <w:r>
        <w:rPr>
          <w:sz w:val="26"/>
          <w:szCs w:val="26"/>
        </w:rPr>
        <w:t xml:space="preserve"> the proposal was borne out of the Compan</w:t>
      </w:r>
      <w:r w:rsidR="008E7A20">
        <w:rPr>
          <w:sz w:val="26"/>
          <w:szCs w:val="26"/>
        </w:rPr>
        <w:t>y</w:t>
      </w:r>
      <w:r w:rsidR="00734951">
        <w:rPr>
          <w:sz w:val="26"/>
          <w:szCs w:val="26"/>
        </w:rPr>
        <w:t>’</w:t>
      </w:r>
      <w:r w:rsidR="008E7A20">
        <w:rPr>
          <w:sz w:val="26"/>
          <w:szCs w:val="26"/>
        </w:rPr>
        <w:t>s</w:t>
      </w:r>
      <w:r>
        <w:rPr>
          <w:sz w:val="26"/>
          <w:szCs w:val="26"/>
        </w:rPr>
        <w:t xml:space="preserve"> renewed commitment to reduce UFG on their gathering systems following the 2017 PGC proceedings, including implementing a UFG Mitigation Plan with a focus on reducing gathering lines UFG.  </w:t>
      </w:r>
      <w:r w:rsidRPr="00F53931">
        <w:rPr>
          <w:i/>
          <w:sz w:val="26"/>
          <w:szCs w:val="26"/>
        </w:rPr>
        <w:t xml:space="preserve">Id. </w:t>
      </w:r>
      <w:r>
        <w:rPr>
          <w:sz w:val="26"/>
          <w:szCs w:val="26"/>
        </w:rPr>
        <w:t>at 2, 5-6.  In addition, the Compan</w:t>
      </w:r>
      <w:r w:rsidR="008E7A20">
        <w:rPr>
          <w:sz w:val="26"/>
          <w:szCs w:val="26"/>
        </w:rPr>
        <w:t>y</w:t>
      </w:r>
      <w:r>
        <w:rPr>
          <w:sz w:val="26"/>
          <w:szCs w:val="26"/>
        </w:rPr>
        <w:t xml:space="preserve"> aver</w:t>
      </w:r>
      <w:r w:rsidR="008E7A20">
        <w:rPr>
          <w:sz w:val="26"/>
          <w:szCs w:val="26"/>
        </w:rPr>
        <w:t>s</w:t>
      </w:r>
      <w:r>
        <w:rPr>
          <w:sz w:val="26"/>
          <w:szCs w:val="26"/>
        </w:rPr>
        <w:t xml:space="preserve"> that consistent with the Partial Settlement, </w:t>
      </w:r>
      <w:r w:rsidR="008E7A20">
        <w:rPr>
          <w:sz w:val="26"/>
          <w:szCs w:val="26"/>
        </w:rPr>
        <w:t>it has</w:t>
      </w:r>
      <w:r>
        <w:rPr>
          <w:sz w:val="26"/>
          <w:szCs w:val="26"/>
        </w:rPr>
        <w:t xml:space="preserve"> also made additional commitments to reduce gathering UFG including agreeing to be subject to a gathering system UFG of 9.0% for the year ending August 31, 2019, 8.5% for the year ending August 31, 2020, and 7.5% for the year ending August 31, 2021.  </w:t>
      </w:r>
      <w:r w:rsidRPr="00F53931">
        <w:rPr>
          <w:i/>
          <w:sz w:val="26"/>
          <w:szCs w:val="26"/>
        </w:rPr>
        <w:t xml:space="preserve">Id. </w:t>
      </w:r>
      <w:r>
        <w:rPr>
          <w:sz w:val="26"/>
          <w:szCs w:val="26"/>
        </w:rPr>
        <w:t xml:space="preserve">at 6 (citing R.D. at 77).  </w:t>
      </w:r>
      <w:r w:rsidR="00B67E09">
        <w:rPr>
          <w:sz w:val="26"/>
          <w:szCs w:val="26"/>
        </w:rPr>
        <w:t>T</w:t>
      </w:r>
      <w:r>
        <w:rPr>
          <w:sz w:val="26"/>
          <w:szCs w:val="26"/>
        </w:rPr>
        <w:t>he Compan</w:t>
      </w:r>
      <w:r w:rsidR="008E7A20">
        <w:rPr>
          <w:sz w:val="26"/>
          <w:szCs w:val="26"/>
        </w:rPr>
        <w:t>y</w:t>
      </w:r>
      <w:r>
        <w:rPr>
          <w:sz w:val="26"/>
          <w:szCs w:val="26"/>
        </w:rPr>
        <w:t xml:space="preserve"> aver</w:t>
      </w:r>
      <w:r w:rsidR="008E7A20">
        <w:rPr>
          <w:sz w:val="26"/>
          <w:szCs w:val="26"/>
        </w:rPr>
        <w:t>s</w:t>
      </w:r>
      <w:r>
        <w:rPr>
          <w:sz w:val="26"/>
          <w:szCs w:val="26"/>
        </w:rPr>
        <w:t xml:space="preserve"> that in addition to </w:t>
      </w:r>
      <w:r w:rsidR="008E7A20">
        <w:rPr>
          <w:sz w:val="26"/>
          <w:szCs w:val="26"/>
        </w:rPr>
        <w:t>its</w:t>
      </w:r>
      <w:r>
        <w:rPr>
          <w:sz w:val="26"/>
          <w:szCs w:val="26"/>
        </w:rPr>
        <w:t xml:space="preserve"> pledge to aggressively implement the UFG Mitigation Plan and ensure ongoing safe operations of all gathering facilities, Peoples has agreed to continue treating all non-jurisdictional</w:t>
      </w:r>
      <w:r w:rsidR="008E7A20">
        <w:rPr>
          <w:sz w:val="26"/>
          <w:szCs w:val="26"/>
        </w:rPr>
        <w:t xml:space="preserve"> </w:t>
      </w:r>
      <w:r w:rsidR="002E02EE">
        <w:rPr>
          <w:sz w:val="26"/>
          <w:szCs w:val="26"/>
        </w:rPr>
        <w:t>DOT</w:t>
      </w:r>
      <w:r>
        <w:rPr>
          <w:sz w:val="26"/>
          <w:szCs w:val="26"/>
        </w:rPr>
        <w:t xml:space="preserve"> gathering lines (which account for 92% of all gathering lines) as part of its normal distribution compliance program.  This</w:t>
      </w:r>
      <w:r w:rsidR="008E7A20">
        <w:rPr>
          <w:sz w:val="26"/>
          <w:szCs w:val="26"/>
        </w:rPr>
        <w:t>, according to the Company,</w:t>
      </w:r>
      <w:r>
        <w:rPr>
          <w:sz w:val="26"/>
          <w:szCs w:val="26"/>
        </w:rPr>
        <w:t xml:space="preserve"> would include damage prevention locates, corrosion prevention, leak surveys, placement of line markers, and atmospheric corrosion surveys.  PNG R. Exc. at</w:t>
      </w:r>
      <w:r w:rsidR="00B67E09">
        <w:rPr>
          <w:sz w:val="26"/>
          <w:szCs w:val="26"/>
        </w:rPr>
        <w:t> </w:t>
      </w:r>
      <w:r>
        <w:rPr>
          <w:sz w:val="26"/>
          <w:szCs w:val="26"/>
        </w:rPr>
        <w:t>6.</w:t>
      </w:r>
    </w:p>
    <w:p w14:paraId="61D3DAB5" w14:textId="77777777" w:rsidR="00D21F68" w:rsidRDefault="00D21F68" w:rsidP="007374FA">
      <w:pPr>
        <w:widowControl/>
        <w:tabs>
          <w:tab w:val="left" w:pos="1445"/>
          <w:tab w:val="left" w:pos="7920"/>
        </w:tabs>
        <w:autoSpaceDE w:val="0"/>
        <w:autoSpaceDN w:val="0"/>
        <w:adjustRightInd w:val="0"/>
        <w:spacing w:line="360" w:lineRule="auto"/>
        <w:rPr>
          <w:sz w:val="26"/>
          <w:szCs w:val="26"/>
        </w:rPr>
      </w:pPr>
    </w:p>
    <w:p w14:paraId="177A4CF0" w14:textId="1D417288" w:rsidR="00D21F68" w:rsidRDefault="00D21F68" w:rsidP="007374FA">
      <w:pPr>
        <w:widowControl/>
        <w:tabs>
          <w:tab w:val="left" w:pos="1445"/>
          <w:tab w:val="left" w:pos="7920"/>
        </w:tabs>
        <w:autoSpaceDE w:val="0"/>
        <w:autoSpaceDN w:val="0"/>
        <w:adjustRightInd w:val="0"/>
        <w:spacing w:line="360" w:lineRule="auto"/>
        <w:rPr>
          <w:sz w:val="26"/>
          <w:szCs w:val="26"/>
        </w:rPr>
      </w:pPr>
      <w:r>
        <w:rPr>
          <w:sz w:val="26"/>
          <w:szCs w:val="26"/>
        </w:rPr>
        <w:lastRenderedPageBreak/>
        <w:tab/>
        <w:t xml:space="preserve">Finally, </w:t>
      </w:r>
      <w:r w:rsidR="00F30BC8">
        <w:rPr>
          <w:sz w:val="26"/>
          <w:szCs w:val="26"/>
        </w:rPr>
        <w:t xml:space="preserve">the Peoples disputes </w:t>
      </w:r>
      <w:r>
        <w:rPr>
          <w:sz w:val="26"/>
          <w:szCs w:val="26"/>
        </w:rPr>
        <w:t>PIOGA</w:t>
      </w:r>
      <w:r w:rsidR="00734951">
        <w:rPr>
          <w:sz w:val="26"/>
          <w:szCs w:val="26"/>
        </w:rPr>
        <w:t>’</w:t>
      </w:r>
      <w:r w:rsidR="00F30BC8">
        <w:rPr>
          <w:sz w:val="26"/>
          <w:szCs w:val="26"/>
        </w:rPr>
        <w:t>s</w:t>
      </w:r>
      <w:r w:rsidR="00B67E09">
        <w:rPr>
          <w:sz w:val="26"/>
          <w:szCs w:val="26"/>
        </w:rPr>
        <w:t xml:space="preserve"> </w:t>
      </w:r>
      <w:r>
        <w:rPr>
          <w:sz w:val="26"/>
          <w:szCs w:val="26"/>
        </w:rPr>
        <w:t>criticism of the Compan</w:t>
      </w:r>
      <w:r w:rsidR="0013007C">
        <w:rPr>
          <w:sz w:val="26"/>
          <w:szCs w:val="26"/>
        </w:rPr>
        <w:t>y</w:t>
      </w:r>
      <w:r w:rsidR="00734951">
        <w:rPr>
          <w:sz w:val="26"/>
          <w:szCs w:val="26"/>
        </w:rPr>
        <w:t>’</w:t>
      </w:r>
      <w:r w:rsidR="0013007C">
        <w:rPr>
          <w:sz w:val="26"/>
          <w:szCs w:val="26"/>
        </w:rPr>
        <w:t>s</w:t>
      </w:r>
      <w:r>
        <w:rPr>
          <w:sz w:val="26"/>
          <w:szCs w:val="26"/>
        </w:rPr>
        <w:t xml:space="preserve"> limited investment on gathering lines</w:t>
      </w:r>
      <w:r w:rsidR="00F30BC8">
        <w:rPr>
          <w:sz w:val="26"/>
          <w:szCs w:val="26"/>
        </w:rPr>
        <w:t xml:space="preserve">.  </w:t>
      </w:r>
      <w:r w:rsidR="0013007C">
        <w:rPr>
          <w:sz w:val="26"/>
          <w:szCs w:val="26"/>
        </w:rPr>
        <w:t>Peoples</w:t>
      </w:r>
      <w:r>
        <w:rPr>
          <w:sz w:val="26"/>
          <w:szCs w:val="26"/>
        </w:rPr>
        <w:t xml:space="preserve"> acknowledge</w:t>
      </w:r>
      <w:r w:rsidR="0013007C">
        <w:rPr>
          <w:sz w:val="26"/>
          <w:szCs w:val="26"/>
        </w:rPr>
        <w:t>s</w:t>
      </w:r>
      <w:r>
        <w:rPr>
          <w:sz w:val="26"/>
          <w:szCs w:val="26"/>
        </w:rPr>
        <w:t xml:space="preserve"> that while </w:t>
      </w:r>
      <w:r w:rsidR="0013007C">
        <w:rPr>
          <w:sz w:val="26"/>
          <w:szCs w:val="26"/>
        </w:rPr>
        <w:t>it has</w:t>
      </w:r>
      <w:r>
        <w:rPr>
          <w:sz w:val="26"/>
          <w:szCs w:val="26"/>
        </w:rPr>
        <w:t xml:space="preserve"> made significant investment to </w:t>
      </w:r>
      <w:r w:rsidR="0013007C">
        <w:rPr>
          <w:sz w:val="26"/>
          <w:szCs w:val="26"/>
        </w:rPr>
        <w:t>its</w:t>
      </w:r>
      <w:r>
        <w:rPr>
          <w:sz w:val="26"/>
          <w:szCs w:val="26"/>
        </w:rPr>
        <w:t xml:space="preserve"> </w:t>
      </w:r>
      <w:r w:rsidR="0013007C">
        <w:rPr>
          <w:sz w:val="26"/>
          <w:szCs w:val="26"/>
        </w:rPr>
        <w:t xml:space="preserve">entire system, its </w:t>
      </w:r>
      <w:r>
        <w:rPr>
          <w:sz w:val="26"/>
          <w:szCs w:val="26"/>
        </w:rPr>
        <w:t>initial post-acquisition capital investments were focused on replacing at-risk distribution pipelines due to safety reasons.  The Compan</w:t>
      </w:r>
      <w:r w:rsidR="0013007C">
        <w:rPr>
          <w:sz w:val="26"/>
          <w:szCs w:val="26"/>
        </w:rPr>
        <w:t>y</w:t>
      </w:r>
      <w:r>
        <w:rPr>
          <w:sz w:val="26"/>
          <w:szCs w:val="26"/>
        </w:rPr>
        <w:t xml:space="preserve"> point</w:t>
      </w:r>
      <w:r w:rsidR="002520E9">
        <w:rPr>
          <w:sz w:val="26"/>
          <w:szCs w:val="26"/>
        </w:rPr>
        <w:t>s</w:t>
      </w:r>
      <w:r>
        <w:rPr>
          <w:sz w:val="26"/>
          <w:szCs w:val="26"/>
        </w:rPr>
        <w:t xml:space="preserve"> out that distribution pipelines represent 71% of the targeted pipeline miles and serve 99% of </w:t>
      </w:r>
      <w:r w:rsidR="006A4418">
        <w:rPr>
          <w:sz w:val="26"/>
          <w:szCs w:val="26"/>
        </w:rPr>
        <w:t xml:space="preserve">its </w:t>
      </w:r>
      <w:r>
        <w:rPr>
          <w:sz w:val="26"/>
          <w:szCs w:val="26"/>
        </w:rPr>
        <w:t>customers while gathering pipelines represent 29% of the targeted pipeline miles and directly serve only 1% of the Companies</w:t>
      </w:r>
      <w:r w:rsidR="00734951">
        <w:rPr>
          <w:sz w:val="26"/>
          <w:szCs w:val="26"/>
        </w:rPr>
        <w:t>’</w:t>
      </w:r>
      <w:r>
        <w:rPr>
          <w:sz w:val="26"/>
          <w:szCs w:val="26"/>
        </w:rPr>
        <w:t xml:space="preserve"> customers.  PNG R. Exc. at</w:t>
      </w:r>
      <w:r w:rsidR="00F30BC8">
        <w:rPr>
          <w:sz w:val="26"/>
          <w:szCs w:val="26"/>
        </w:rPr>
        <w:t> </w:t>
      </w:r>
      <w:r>
        <w:rPr>
          <w:sz w:val="26"/>
          <w:szCs w:val="26"/>
        </w:rPr>
        <w:t>7 (citing PNG R.B. at 13).  Noting that the Compan</w:t>
      </w:r>
      <w:r w:rsidR="006A4418">
        <w:rPr>
          <w:sz w:val="26"/>
          <w:szCs w:val="26"/>
        </w:rPr>
        <w:t>y</w:t>
      </w:r>
      <w:r w:rsidR="00734951">
        <w:rPr>
          <w:sz w:val="26"/>
          <w:szCs w:val="26"/>
        </w:rPr>
        <w:t>’</w:t>
      </w:r>
      <w:r w:rsidR="006A4418">
        <w:rPr>
          <w:sz w:val="26"/>
          <w:szCs w:val="26"/>
        </w:rPr>
        <w:t>s</w:t>
      </w:r>
      <w:r>
        <w:rPr>
          <w:sz w:val="26"/>
          <w:szCs w:val="26"/>
        </w:rPr>
        <w:t xml:space="preserve"> pipeline investments were driven by the requirements of the federally mandated </w:t>
      </w:r>
      <w:r w:rsidR="002505B3">
        <w:rPr>
          <w:sz w:val="26"/>
          <w:szCs w:val="26"/>
        </w:rPr>
        <w:t>Gas Distribution Integrity Management Program (</w:t>
      </w:r>
      <w:r>
        <w:rPr>
          <w:sz w:val="26"/>
          <w:szCs w:val="26"/>
        </w:rPr>
        <w:t>DIMP</w:t>
      </w:r>
      <w:r w:rsidR="002505B3">
        <w:rPr>
          <w:sz w:val="26"/>
          <w:szCs w:val="26"/>
        </w:rPr>
        <w:t>)</w:t>
      </w:r>
      <w:r>
        <w:rPr>
          <w:sz w:val="26"/>
          <w:szCs w:val="26"/>
        </w:rPr>
        <w:t xml:space="preserve">, which places substantial emphasis on the number of customers located on or near an at-risk pipeline, </w:t>
      </w:r>
      <w:r w:rsidR="001665C7">
        <w:rPr>
          <w:sz w:val="26"/>
          <w:szCs w:val="26"/>
        </w:rPr>
        <w:t>Peoples</w:t>
      </w:r>
      <w:r>
        <w:rPr>
          <w:sz w:val="26"/>
          <w:szCs w:val="26"/>
        </w:rPr>
        <w:t xml:space="preserve"> dismiss</w:t>
      </w:r>
      <w:r w:rsidR="001665C7">
        <w:rPr>
          <w:sz w:val="26"/>
          <w:szCs w:val="26"/>
        </w:rPr>
        <w:t>es</w:t>
      </w:r>
      <w:r>
        <w:rPr>
          <w:sz w:val="26"/>
          <w:szCs w:val="26"/>
        </w:rPr>
        <w:t>, as completely unfounded, PIOGA</w:t>
      </w:r>
      <w:r w:rsidR="00734951">
        <w:rPr>
          <w:sz w:val="26"/>
          <w:szCs w:val="26"/>
        </w:rPr>
        <w:t>’</w:t>
      </w:r>
      <w:r>
        <w:rPr>
          <w:sz w:val="26"/>
          <w:szCs w:val="26"/>
        </w:rPr>
        <w:t xml:space="preserve">s attempt to criticize </w:t>
      </w:r>
      <w:r w:rsidR="001665C7">
        <w:rPr>
          <w:sz w:val="26"/>
          <w:szCs w:val="26"/>
        </w:rPr>
        <w:t xml:space="preserve">its </w:t>
      </w:r>
      <w:r>
        <w:rPr>
          <w:sz w:val="26"/>
          <w:szCs w:val="26"/>
        </w:rPr>
        <w:t>investment levels on gathering lines.  PNG R. Exc.</w:t>
      </w:r>
      <w:r w:rsidRPr="00F53931">
        <w:rPr>
          <w:i/>
          <w:sz w:val="26"/>
          <w:szCs w:val="26"/>
        </w:rPr>
        <w:t xml:space="preserve"> </w:t>
      </w:r>
      <w:r>
        <w:rPr>
          <w:sz w:val="26"/>
          <w:szCs w:val="26"/>
        </w:rPr>
        <w:t>at 7-8 (citing PNG R.B. at 13).</w:t>
      </w:r>
    </w:p>
    <w:p w14:paraId="49E65E57" w14:textId="77777777" w:rsidR="00D21F68" w:rsidRDefault="00D21F68" w:rsidP="007374FA">
      <w:pPr>
        <w:widowControl/>
        <w:tabs>
          <w:tab w:val="left" w:pos="1445"/>
          <w:tab w:val="left" w:pos="7920"/>
        </w:tabs>
        <w:autoSpaceDE w:val="0"/>
        <w:autoSpaceDN w:val="0"/>
        <w:adjustRightInd w:val="0"/>
        <w:spacing w:line="360" w:lineRule="auto"/>
        <w:rPr>
          <w:sz w:val="26"/>
          <w:szCs w:val="26"/>
        </w:rPr>
      </w:pPr>
    </w:p>
    <w:p w14:paraId="25BE1091" w14:textId="4B2D213C" w:rsidR="00D21F68" w:rsidRDefault="00D21F68" w:rsidP="007374FA">
      <w:pPr>
        <w:widowControl/>
        <w:tabs>
          <w:tab w:val="left" w:pos="1445"/>
          <w:tab w:val="left" w:pos="7920"/>
        </w:tabs>
        <w:autoSpaceDE w:val="0"/>
        <w:autoSpaceDN w:val="0"/>
        <w:adjustRightInd w:val="0"/>
        <w:spacing w:line="360" w:lineRule="auto"/>
        <w:rPr>
          <w:sz w:val="26"/>
          <w:szCs w:val="26"/>
        </w:rPr>
      </w:pPr>
      <w:r>
        <w:rPr>
          <w:sz w:val="26"/>
          <w:szCs w:val="26"/>
        </w:rPr>
        <w:tab/>
        <w:t>In support of the ALJ</w:t>
      </w:r>
      <w:r w:rsidR="00734951">
        <w:rPr>
          <w:sz w:val="26"/>
          <w:szCs w:val="26"/>
        </w:rPr>
        <w:t>’</w:t>
      </w:r>
      <w:r>
        <w:rPr>
          <w:sz w:val="26"/>
          <w:szCs w:val="26"/>
        </w:rPr>
        <w:t xml:space="preserve">s recommendation on this matter, the OSBA </w:t>
      </w:r>
      <w:r w:rsidR="00CC1F3B">
        <w:rPr>
          <w:sz w:val="26"/>
          <w:szCs w:val="26"/>
        </w:rPr>
        <w:t xml:space="preserve">also </w:t>
      </w:r>
      <w:r>
        <w:rPr>
          <w:sz w:val="26"/>
          <w:szCs w:val="26"/>
        </w:rPr>
        <w:t>dismisses PIOGA</w:t>
      </w:r>
      <w:r w:rsidR="00734951">
        <w:rPr>
          <w:sz w:val="26"/>
          <w:szCs w:val="26"/>
        </w:rPr>
        <w:t>’</w:t>
      </w:r>
      <w:r>
        <w:rPr>
          <w:sz w:val="26"/>
          <w:szCs w:val="26"/>
        </w:rPr>
        <w:t>s criticism of Peoples</w:t>
      </w:r>
      <w:r w:rsidR="00734951">
        <w:rPr>
          <w:sz w:val="26"/>
          <w:szCs w:val="26"/>
        </w:rPr>
        <w:t>’</w:t>
      </w:r>
      <w:r>
        <w:rPr>
          <w:sz w:val="26"/>
          <w:szCs w:val="26"/>
        </w:rPr>
        <w:t xml:space="preserve"> investment on gathering system</w:t>
      </w:r>
      <w:r w:rsidR="005D61F3">
        <w:rPr>
          <w:sz w:val="26"/>
          <w:szCs w:val="26"/>
        </w:rPr>
        <w:t>,</w:t>
      </w:r>
      <w:r>
        <w:rPr>
          <w:sz w:val="26"/>
          <w:szCs w:val="26"/>
        </w:rPr>
        <w:t xml:space="preserve"> as misplaced.  The OSBA avers that because </w:t>
      </w:r>
      <w:r w:rsidR="005D61F3">
        <w:rPr>
          <w:sz w:val="26"/>
          <w:szCs w:val="26"/>
        </w:rPr>
        <w:t>Peoples</w:t>
      </w:r>
      <w:r w:rsidR="00734951">
        <w:rPr>
          <w:sz w:val="26"/>
          <w:szCs w:val="26"/>
        </w:rPr>
        <w:t>’</w:t>
      </w:r>
      <w:r>
        <w:rPr>
          <w:sz w:val="26"/>
          <w:szCs w:val="26"/>
        </w:rPr>
        <w:t xml:space="preserve"> pipeline investments are driven by both customer safety and UFG and because there are more customers per mile served by the distribution system compared to the gathering system, there is no basis for the criticism.  OSBA R. Exc. at 3 (citing PNG St. 5-R at 5; Table II).  From the OSBA</w:t>
      </w:r>
      <w:r w:rsidR="00734951">
        <w:rPr>
          <w:sz w:val="26"/>
          <w:szCs w:val="26"/>
        </w:rPr>
        <w:t>’</w:t>
      </w:r>
      <w:r>
        <w:rPr>
          <w:sz w:val="26"/>
          <w:szCs w:val="26"/>
        </w:rPr>
        <w:t>s point of view, the $13.75</w:t>
      </w:r>
      <w:r w:rsidR="00CC1F3B">
        <w:rPr>
          <w:sz w:val="26"/>
          <w:szCs w:val="26"/>
        </w:rPr>
        <w:t> </w:t>
      </w:r>
      <w:r>
        <w:rPr>
          <w:sz w:val="26"/>
          <w:szCs w:val="26"/>
        </w:rPr>
        <w:t>million allocation by Peoples for the gathering system UFG is significant and should be applauded.  OSBA R. Exc. at 3.  In addition, responding to PIOGA</w:t>
      </w:r>
      <w:r w:rsidR="00734951">
        <w:rPr>
          <w:sz w:val="26"/>
          <w:szCs w:val="26"/>
        </w:rPr>
        <w:t>’</w:t>
      </w:r>
      <w:r>
        <w:rPr>
          <w:sz w:val="26"/>
          <w:szCs w:val="26"/>
        </w:rPr>
        <w:t xml:space="preserve">s argument regarding the integrated system, the OSBA asserts, as PIOGA itself confirmed in its Exceptions, </w:t>
      </w:r>
      <w:r w:rsidR="00DD1D8B">
        <w:rPr>
          <w:sz w:val="26"/>
          <w:szCs w:val="26"/>
        </w:rPr>
        <w:t xml:space="preserve">that </w:t>
      </w:r>
      <w:r>
        <w:rPr>
          <w:sz w:val="26"/>
          <w:szCs w:val="26"/>
        </w:rPr>
        <w:t>both the conventional gas producers and the Compan</w:t>
      </w:r>
      <w:r w:rsidR="00DD1D8B">
        <w:rPr>
          <w:sz w:val="26"/>
          <w:szCs w:val="26"/>
        </w:rPr>
        <w:t>y</w:t>
      </w:r>
      <w:r w:rsidR="00734951">
        <w:rPr>
          <w:sz w:val="26"/>
          <w:szCs w:val="26"/>
        </w:rPr>
        <w:t>’</w:t>
      </w:r>
      <w:r w:rsidR="00DD1D8B">
        <w:rPr>
          <w:sz w:val="26"/>
          <w:szCs w:val="26"/>
        </w:rPr>
        <w:t>s</w:t>
      </w:r>
      <w:r>
        <w:rPr>
          <w:sz w:val="26"/>
          <w:szCs w:val="26"/>
        </w:rPr>
        <w:t xml:space="preserve"> customers benefit from the gathering system.  Therefore, </w:t>
      </w:r>
      <w:r w:rsidR="003A721E">
        <w:rPr>
          <w:sz w:val="26"/>
          <w:szCs w:val="26"/>
        </w:rPr>
        <w:t xml:space="preserve">according to the OSBA, </w:t>
      </w:r>
      <w:r>
        <w:rPr>
          <w:sz w:val="26"/>
          <w:szCs w:val="26"/>
        </w:rPr>
        <w:t xml:space="preserve">it is only logical for both entities to contribute toward the gathering system UFG costs.  </w:t>
      </w:r>
      <w:r w:rsidRPr="005C2D6C">
        <w:rPr>
          <w:i/>
          <w:sz w:val="26"/>
          <w:szCs w:val="26"/>
        </w:rPr>
        <w:t>Id.</w:t>
      </w:r>
      <w:r>
        <w:rPr>
          <w:sz w:val="26"/>
          <w:szCs w:val="26"/>
        </w:rPr>
        <w:t xml:space="preserve"> at 3-4 (citing PIOGA</w:t>
      </w:r>
      <w:r w:rsidR="00734951">
        <w:rPr>
          <w:sz w:val="26"/>
          <w:szCs w:val="26"/>
        </w:rPr>
        <w:t>’</w:t>
      </w:r>
      <w:r>
        <w:rPr>
          <w:sz w:val="26"/>
          <w:szCs w:val="26"/>
        </w:rPr>
        <w:t>s Exc. at 5).  Based on the above, the OSBA agrees with the ALJ</w:t>
      </w:r>
      <w:r w:rsidR="00734951">
        <w:rPr>
          <w:sz w:val="26"/>
          <w:szCs w:val="26"/>
        </w:rPr>
        <w:t>’</w:t>
      </w:r>
      <w:r>
        <w:rPr>
          <w:sz w:val="26"/>
          <w:szCs w:val="26"/>
        </w:rPr>
        <w:t>s finding that the proposed producer charge is just and reasonable.  OSBA R. Exc. at 4.</w:t>
      </w:r>
    </w:p>
    <w:p w14:paraId="078E3FCE" w14:textId="77777777" w:rsidR="00D21F68" w:rsidRDefault="00D21F68" w:rsidP="007374FA">
      <w:pPr>
        <w:widowControl/>
        <w:tabs>
          <w:tab w:val="left" w:pos="1445"/>
          <w:tab w:val="left" w:pos="7920"/>
        </w:tabs>
        <w:autoSpaceDE w:val="0"/>
        <w:autoSpaceDN w:val="0"/>
        <w:adjustRightInd w:val="0"/>
        <w:spacing w:line="360" w:lineRule="auto"/>
        <w:rPr>
          <w:b/>
          <w:sz w:val="26"/>
          <w:szCs w:val="26"/>
        </w:rPr>
      </w:pPr>
    </w:p>
    <w:p w14:paraId="77326CFE" w14:textId="5E77294D" w:rsidR="00D21F68" w:rsidRDefault="00D21F68" w:rsidP="007374FA">
      <w:pPr>
        <w:pStyle w:val="ListParagraph"/>
        <w:widowControl/>
        <w:tabs>
          <w:tab w:val="left" w:pos="1445"/>
          <w:tab w:val="left" w:pos="7920"/>
        </w:tabs>
        <w:autoSpaceDE w:val="0"/>
        <w:autoSpaceDN w:val="0"/>
        <w:adjustRightInd w:val="0"/>
        <w:spacing w:line="360" w:lineRule="auto"/>
        <w:ind w:left="0" w:firstLine="720"/>
        <w:rPr>
          <w:sz w:val="26"/>
          <w:szCs w:val="26"/>
        </w:rPr>
      </w:pPr>
      <w:r w:rsidRPr="00C57145">
        <w:rPr>
          <w:sz w:val="26"/>
          <w:szCs w:val="26"/>
        </w:rPr>
        <w:lastRenderedPageBreak/>
        <w:tab/>
      </w:r>
      <w:r w:rsidR="00FD0B25">
        <w:rPr>
          <w:sz w:val="26"/>
          <w:szCs w:val="26"/>
        </w:rPr>
        <w:t>T</w:t>
      </w:r>
      <w:r>
        <w:rPr>
          <w:sz w:val="26"/>
          <w:szCs w:val="26"/>
        </w:rPr>
        <w:t xml:space="preserve">he OCA </w:t>
      </w:r>
      <w:r w:rsidR="00E33E66">
        <w:rPr>
          <w:sz w:val="26"/>
          <w:szCs w:val="26"/>
        </w:rPr>
        <w:t>also support</w:t>
      </w:r>
      <w:r w:rsidR="00E23E2E">
        <w:rPr>
          <w:sz w:val="26"/>
          <w:szCs w:val="26"/>
        </w:rPr>
        <w:t>s</w:t>
      </w:r>
      <w:r w:rsidR="00E33E66">
        <w:rPr>
          <w:sz w:val="26"/>
          <w:szCs w:val="26"/>
        </w:rPr>
        <w:t xml:space="preserve"> the proposed </w:t>
      </w:r>
      <w:r w:rsidR="00CC1F3B">
        <w:rPr>
          <w:sz w:val="26"/>
          <w:szCs w:val="26"/>
        </w:rPr>
        <w:t xml:space="preserve">producer retainage </w:t>
      </w:r>
      <w:r w:rsidR="00E33E66">
        <w:rPr>
          <w:sz w:val="26"/>
          <w:szCs w:val="26"/>
        </w:rPr>
        <w:t xml:space="preserve">charge.  The OCA </w:t>
      </w:r>
      <w:r>
        <w:rPr>
          <w:sz w:val="26"/>
          <w:szCs w:val="26"/>
        </w:rPr>
        <w:t xml:space="preserve">avers the ALJ properly concluded that the proposed producer charge is just and reasonable and is necessary to account for differences in the responsibility for UFG.  OCA R. Exc. at 2 (citing R.D. at 74-90; OCA M.B. at 6-10; OCA R.B. at 2-4).  The OCA reaffirms its position that the current process of assessing the retainage charge to all customers </w:t>
      </w:r>
      <w:proofErr w:type="gramStart"/>
      <w:r>
        <w:rPr>
          <w:sz w:val="26"/>
          <w:szCs w:val="26"/>
        </w:rPr>
        <w:t>whether or not</w:t>
      </w:r>
      <w:proofErr w:type="gramEnd"/>
      <w:r>
        <w:rPr>
          <w:sz w:val="26"/>
          <w:szCs w:val="26"/>
        </w:rPr>
        <w:t xml:space="preserve"> they use the gathering system is inappropriate.  OCA R. Exc. at</w:t>
      </w:r>
      <w:r w:rsidR="00CC1F3B">
        <w:rPr>
          <w:sz w:val="26"/>
          <w:szCs w:val="26"/>
        </w:rPr>
        <w:t> </w:t>
      </w:r>
      <w:r>
        <w:rPr>
          <w:sz w:val="26"/>
          <w:szCs w:val="26"/>
        </w:rPr>
        <w:t xml:space="preserve">3 (citing OCA M.B. at 6; OCA St. 1 at 10-11).  According to the OCA, because transportation customers and PGC customers do not have the same degree of usage of the gathering system, it is not proper to impose the same retainage charge on each group of customers.  OCA R. Exc. at 3.  The OCA argues, the </w:t>
      </w:r>
      <w:r w:rsidR="00734951">
        <w:rPr>
          <w:sz w:val="26"/>
          <w:szCs w:val="26"/>
        </w:rPr>
        <w:t>“</w:t>
      </w:r>
      <w:r>
        <w:rPr>
          <w:sz w:val="26"/>
          <w:szCs w:val="26"/>
        </w:rPr>
        <w:t>producer retainage charge proposed by Peoples is one way to begin the process of recognizing the differences in the responsibility for gathering system LUFG in the Peoples Division by collecting additional retainage for the use of the gathering system.</w:t>
      </w:r>
      <w:r w:rsidR="00734951">
        <w:rPr>
          <w:sz w:val="26"/>
          <w:szCs w:val="26"/>
        </w:rPr>
        <w:t>”</w:t>
      </w:r>
      <w:r>
        <w:rPr>
          <w:sz w:val="26"/>
          <w:szCs w:val="26"/>
        </w:rPr>
        <w:t xml:space="preserve">  </w:t>
      </w:r>
      <w:r w:rsidRPr="00216588">
        <w:rPr>
          <w:i/>
          <w:sz w:val="26"/>
          <w:szCs w:val="26"/>
        </w:rPr>
        <w:t>Id.</w:t>
      </w:r>
      <w:r>
        <w:rPr>
          <w:sz w:val="26"/>
          <w:szCs w:val="26"/>
        </w:rPr>
        <w:t xml:space="preserve"> (citing OCA M.B. at 8; OCA St. 1 at 10-11; OCA St. 1S at 4).  The OCA contends it is not unusual for gatherers to collect a retainer charge on gas delivered into the gathering system which supports the ALJ</w:t>
      </w:r>
      <w:r w:rsidR="00734951">
        <w:rPr>
          <w:sz w:val="26"/>
          <w:szCs w:val="26"/>
        </w:rPr>
        <w:t>’</w:t>
      </w:r>
      <w:r>
        <w:rPr>
          <w:sz w:val="26"/>
          <w:szCs w:val="26"/>
        </w:rPr>
        <w:t>s conclusion that the 2.0% producer retainage charge is just and reasonable and is necessary to account for the differences in the responsibility for LUFG.  OCA R. Exc. at</w:t>
      </w:r>
      <w:r w:rsidR="006B72EC">
        <w:rPr>
          <w:sz w:val="26"/>
          <w:szCs w:val="26"/>
        </w:rPr>
        <w:t> </w:t>
      </w:r>
      <w:r>
        <w:rPr>
          <w:sz w:val="26"/>
          <w:szCs w:val="26"/>
        </w:rPr>
        <w:t xml:space="preserve">3-4. </w:t>
      </w:r>
    </w:p>
    <w:p w14:paraId="648C3E16" w14:textId="77777777" w:rsidR="00D21F68" w:rsidRDefault="00D21F68" w:rsidP="007374FA">
      <w:pPr>
        <w:pStyle w:val="ListParagraph"/>
        <w:widowControl/>
        <w:tabs>
          <w:tab w:val="left" w:pos="1445"/>
          <w:tab w:val="left" w:pos="7920"/>
        </w:tabs>
        <w:autoSpaceDE w:val="0"/>
        <w:autoSpaceDN w:val="0"/>
        <w:adjustRightInd w:val="0"/>
        <w:spacing w:line="360" w:lineRule="auto"/>
        <w:ind w:left="0" w:firstLine="720"/>
        <w:rPr>
          <w:sz w:val="26"/>
          <w:szCs w:val="26"/>
        </w:rPr>
      </w:pPr>
    </w:p>
    <w:p w14:paraId="7336CEE5" w14:textId="4F5A108B" w:rsidR="00D21F68" w:rsidRDefault="00D21F68" w:rsidP="007374FA">
      <w:pPr>
        <w:pStyle w:val="ListParagraph"/>
        <w:widowControl/>
        <w:tabs>
          <w:tab w:val="left" w:pos="1445"/>
          <w:tab w:val="left" w:pos="7920"/>
        </w:tabs>
        <w:autoSpaceDE w:val="0"/>
        <w:autoSpaceDN w:val="0"/>
        <w:adjustRightInd w:val="0"/>
        <w:spacing w:line="360" w:lineRule="auto"/>
        <w:ind w:left="0" w:firstLine="720"/>
        <w:rPr>
          <w:sz w:val="26"/>
          <w:szCs w:val="26"/>
        </w:rPr>
      </w:pPr>
      <w:r>
        <w:rPr>
          <w:sz w:val="26"/>
          <w:szCs w:val="26"/>
        </w:rPr>
        <w:tab/>
        <w:t>The OCA further agues, the fact that PIOGA acknowledges the need for an alternative approach than the proposed producer charge is telling.  According to the OCA, PIOGA agrees with the</w:t>
      </w:r>
      <w:r w:rsidR="0072028E">
        <w:rPr>
          <w:sz w:val="26"/>
          <w:szCs w:val="26"/>
        </w:rPr>
        <w:t xml:space="preserve"> OCA</w:t>
      </w:r>
      <w:r w:rsidR="00734951">
        <w:rPr>
          <w:sz w:val="26"/>
          <w:szCs w:val="26"/>
        </w:rPr>
        <w:t>’</w:t>
      </w:r>
      <w:r w:rsidR="0072028E">
        <w:rPr>
          <w:sz w:val="26"/>
          <w:szCs w:val="26"/>
        </w:rPr>
        <w:t>s</w:t>
      </w:r>
      <w:r>
        <w:rPr>
          <w:sz w:val="26"/>
          <w:szCs w:val="26"/>
        </w:rPr>
        <w:t xml:space="preserve"> alternative approach to recognizing differences in the responsibility for gathering system LUFG through an additional transportation customer gathering retainage charge</w:t>
      </w:r>
      <w:r w:rsidR="00734951">
        <w:rPr>
          <w:sz w:val="26"/>
          <w:szCs w:val="26"/>
        </w:rPr>
        <w:t>”</w:t>
      </w:r>
      <w:r>
        <w:rPr>
          <w:sz w:val="26"/>
          <w:szCs w:val="26"/>
        </w:rPr>
        <w:t xml:space="preserve"> and requests that the </w:t>
      </w:r>
      <w:r w:rsidR="00B1128E">
        <w:rPr>
          <w:sz w:val="26"/>
          <w:szCs w:val="26"/>
        </w:rPr>
        <w:t>Commission</w:t>
      </w:r>
      <w:r>
        <w:rPr>
          <w:sz w:val="26"/>
          <w:szCs w:val="26"/>
        </w:rPr>
        <w:t xml:space="preserve"> approve this approach.   </w:t>
      </w:r>
      <w:r w:rsidRPr="00216588">
        <w:rPr>
          <w:i/>
          <w:sz w:val="26"/>
          <w:szCs w:val="26"/>
        </w:rPr>
        <w:t>Id.</w:t>
      </w:r>
      <w:r>
        <w:rPr>
          <w:sz w:val="26"/>
          <w:szCs w:val="26"/>
        </w:rPr>
        <w:t xml:space="preserve"> at 4 (citing OCA M.B. at 9; OCA R.B. at 3; OCA St. 1S at 4; PIOGA M.B. at 19).  Therefore, the OCA requests that if the Commission decides to reject the ALJ</w:t>
      </w:r>
      <w:r w:rsidR="00734951">
        <w:rPr>
          <w:sz w:val="26"/>
          <w:szCs w:val="26"/>
        </w:rPr>
        <w:t>’</w:t>
      </w:r>
      <w:r>
        <w:rPr>
          <w:sz w:val="26"/>
          <w:szCs w:val="26"/>
        </w:rPr>
        <w:t xml:space="preserve">s recommended approval of the proposed producer charge, the Commission should adopt the unopposed 2.0% gathering system charge proposed by the OCA.  OCA R. Exc. at 4 (citing OCA M.B. at 9; OCA R.B. at 3).  The OCA also submits that if the </w:t>
      </w:r>
      <w:r>
        <w:rPr>
          <w:sz w:val="26"/>
          <w:szCs w:val="26"/>
        </w:rPr>
        <w:lastRenderedPageBreak/>
        <w:t>Commission elects not to approve either of the above two proposals, the Commission should increase the Company</w:t>
      </w:r>
      <w:r w:rsidR="00734951">
        <w:rPr>
          <w:sz w:val="26"/>
          <w:szCs w:val="26"/>
        </w:rPr>
        <w:t>’</w:t>
      </w:r>
      <w:r>
        <w:rPr>
          <w:sz w:val="26"/>
          <w:szCs w:val="26"/>
        </w:rPr>
        <w:t xml:space="preserve">s retainage rate </w:t>
      </w:r>
      <w:r w:rsidR="00C750DD">
        <w:rPr>
          <w:sz w:val="26"/>
          <w:szCs w:val="26"/>
        </w:rPr>
        <w:t>to</w:t>
      </w:r>
      <w:r>
        <w:rPr>
          <w:sz w:val="26"/>
          <w:szCs w:val="26"/>
        </w:rPr>
        <w:t xml:space="preserve"> 7.0% to account for a retainage deficiency amounting to 0.4 percentage points that would need to be recovered from sales and non-discounted transportation customers.  OCA R. Exc. at 4 (citing OCA M.B. at 9; OCA R.B. at 4).</w:t>
      </w:r>
    </w:p>
    <w:p w14:paraId="18AC1F87" w14:textId="75DF085E" w:rsidR="00D21F68" w:rsidRDefault="00D21F68" w:rsidP="007374FA">
      <w:pPr>
        <w:pStyle w:val="ListParagraph"/>
        <w:widowControl/>
        <w:tabs>
          <w:tab w:val="left" w:pos="1445"/>
          <w:tab w:val="left" w:pos="7920"/>
        </w:tabs>
        <w:autoSpaceDE w:val="0"/>
        <w:autoSpaceDN w:val="0"/>
        <w:adjustRightInd w:val="0"/>
        <w:spacing w:line="360" w:lineRule="auto"/>
        <w:ind w:left="0" w:firstLine="720"/>
        <w:rPr>
          <w:sz w:val="26"/>
          <w:szCs w:val="26"/>
        </w:rPr>
      </w:pPr>
    </w:p>
    <w:p w14:paraId="0850FF1B" w14:textId="30413D9A" w:rsidR="003353E3" w:rsidRPr="003353E3" w:rsidRDefault="003353E3" w:rsidP="00A666DC">
      <w:pPr>
        <w:pStyle w:val="ListParagraph"/>
        <w:keepNext/>
        <w:keepLines/>
        <w:widowControl/>
        <w:tabs>
          <w:tab w:val="left" w:pos="1445"/>
          <w:tab w:val="left" w:pos="7920"/>
        </w:tabs>
        <w:autoSpaceDE w:val="0"/>
        <w:autoSpaceDN w:val="0"/>
        <w:adjustRightInd w:val="0"/>
        <w:spacing w:line="360" w:lineRule="auto"/>
        <w:ind w:left="0" w:firstLine="720"/>
        <w:rPr>
          <w:b/>
          <w:sz w:val="26"/>
          <w:szCs w:val="26"/>
        </w:rPr>
      </w:pPr>
      <w:r>
        <w:rPr>
          <w:sz w:val="26"/>
          <w:szCs w:val="26"/>
        </w:rPr>
        <w:tab/>
      </w:r>
      <w:r w:rsidRPr="003353E3">
        <w:rPr>
          <w:b/>
          <w:sz w:val="26"/>
          <w:szCs w:val="26"/>
        </w:rPr>
        <w:t xml:space="preserve">a.  </w:t>
      </w:r>
      <w:r>
        <w:rPr>
          <w:b/>
          <w:sz w:val="26"/>
          <w:szCs w:val="26"/>
        </w:rPr>
        <w:t xml:space="preserve"> </w:t>
      </w:r>
      <w:r w:rsidRPr="003353E3">
        <w:rPr>
          <w:b/>
          <w:sz w:val="26"/>
          <w:szCs w:val="26"/>
        </w:rPr>
        <w:t>Disposition</w:t>
      </w:r>
    </w:p>
    <w:p w14:paraId="7F1DB650" w14:textId="77777777" w:rsidR="003353E3" w:rsidRDefault="003353E3" w:rsidP="00A666DC">
      <w:pPr>
        <w:pStyle w:val="ListParagraph"/>
        <w:keepNext/>
        <w:keepLines/>
        <w:widowControl/>
        <w:tabs>
          <w:tab w:val="left" w:pos="1445"/>
          <w:tab w:val="left" w:pos="7920"/>
        </w:tabs>
        <w:autoSpaceDE w:val="0"/>
        <w:autoSpaceDN w:val="0"/>
        <w:adjustRightInd w:val="0"/>
        <w:spacing w:line="360" w:lineRule="auto"/>
        <w:ind w:left="0" w:firstLine="720"/>
        <w:rPr>
          <w:sz w:val="26"/>
          <w:szCs w:val="26"/>
        </w:rPr>
      </w:pPr>
    </w:p>
    <w:p w14:paraId="1E424D18" w14:textId="60FB54BF" w:rsidR="00D21F68" w:rsidRDefault="00D21F68" w:rsidP="007374FA">
      <w:pPr>
        <w:pStyle w:val="ListParagraph"/>
        <w:widowControl/>
        <w:tabs>
          <w:tab w:val="left" w:pos="1445"/>
          <w:tab w:val="left" w:pos="7920"/>
        </w:tabs>
        <w:autoSpaceDE w:val="0"/>
        <w:autoSpaceDN w:val="0"/>
        <w:adjustRightInd w:val="0"/>
        <w:spacing w:line="360" w:lineRule="auto"/>
        <w:ind w:left="0" w:firstLine="720"/>
        <w:rPr>
          <w:sz w:val="26"/>
          <w:szCs w:val="26"/>
        </w:rPr>
      </w:pPr>
      <w:r>
        <w:rPr>
          <w:sz w:val="26"/>
          <w:szCs w:val="26"/>
        </w:rPr>
        <w:tab/>
        <w:t>Upon review, we shall deny PIOGA</w:t>
      </w:r>
      <w:r w:rsidR="00734951">
        <w:rPr>
          <w:sz w:val="26"/>
          <w:szCs w:val="26"/>
        </w:rPr>
        <w:t>’</w:t>
      </w:r>
      <w:r>
        <w:rPr>
          <w:sz w:val="26"/>
          <w:szCs w:val="26"/>
        </w:rPr>
        <w:t>s Exception No. 1 and adopt the ALJ</w:t>
      </w:r>
      <w:r w:rsidR="00734951">
        <w:rPr>
          <w:sz w:val="26"/>
          <w:szCs w:val="26"/>
        </w:rPr>
        <w:t>’</w:t>
      </w:r>
      <w:r>
        <w:rPr>
          <w:sz w:val="26"/>
          <w:szCs w:val="26"/>
        </w:rPr>
        <w:t>s recommendation approving the proposed producer charge.  However, while we approve Peoples</w:t>
      </w:r>
      <w:r w:rsidR="00734951">
        <w:rPr>
          <w:sz w:val="26"/>
          <w:szCs w:val="26"/>
        </w:rPr>
        <w:t>’</w:t>
      </w:r>
      <w:r>
        <w:rPr>
          <w:sz w:val="26"/>
          <w:szCs w:val="26"/>
        </w:rPr>
        <w:t xml:space="preserve"> proposed producer charge, we are also putting Peoples on notice regarding its gathering system UFG going forward, especially, as it pertains to Peoples</w:t>
      </w:r>
      <w:r w:rsidR="00734951">
        <w:rPr>
          <w:sz w:val="26"/>
          <w:szCs w:val="26"/>
        </w:rPr>
        <w:t>’</w:t>
      </w:r>
      <w:r>
        <w:rPr>
          <w:sz w:val="26"/>
          <w:szCs w:val="26"/>
        </w:rPr>
        <w:t xml:space="preserve"> compliance with the settlement terms regarding its gathering system UFG in the instant proceeding.</w:t>
      </w:r>
      <w:r>
        <w:rPr>
          <w:rStyle w:val="FootnoteReference"/>
          <w:sz w:val="26"/>
          <w:szCs w:val="26"/>
        </w:rPr>
        <w:footnoteReference w:id="21"/>
      </w:r>
      <w:r>
        <w:rPr>
          <w:sz w:val="26"/>
          <w:szCs w:val="26"/>
        </w:rPr>
        <w:t xml:space="preserve">  Joint Petition at 3.</w:t>
      </w:r>
    </w:p>
    <w:p w14:paraId="70945D65" w14:textId="77777777" w:rsidR="00D21F68" w:rsidRDefault="00D21F68" w:rsidP="007374FA">
      <w:pPr>
        <w:pStyle w:val="ListParagraph"/>
        <w:widowControl/>
        <w:tabs>
          <w:tab w:val="left" w:pos="1445"/>
          <w:tab w:val="left" w:pos="7920"/>
        </w:tabs>
        <w:autoSpaceDE w:val="0"/>
        <w:autoSpaceDN w:val="0"/>
        <w:adjustRightInd w:val="0"/>
        <w:spacing w:line="360" w:lineRule="auto"/>
        <w:ind w:left="0" w:firstLine="720"/>
        <w:rPr>
          <w:sz w:val="26"/>
          <w:szCs w:val="26"/>
        </w:rPr>
      </w:pPr>
    </w:p>
    <w:p w14:paraId="23FD7DCB" w14:textId="114151AE" w:rsidR="00CA0B25" w:rsidRDefault="00D21F68" w:rsidP="007374FA">
      <w:pPr>
        <w:pStyle w:val="ListParagraph"/>
        <w:widowControl/>
        <w:tabs>
          <w:tab w:val="left" w:pos="1445"/>
          <w:tab w:val="left" w:pos="7920"/>
        </w:tabs>
        <w:autoSpaceDE w:val="0"/>
        <w:autoSpaceDN w:val="0"/>
        <w:adjustRightInd w:val="0"/>
        <w:spacing w:line="360" w:lineRule="auto"/>
        <w:ind w:left="0" w:firstLine="720"/>
        <w:rPr>
          <w:sz w:val="26"/>
          <w:szCs w:val="26"/>
        </w:rPr>
      </w:pPr>
      <w:r>
        <w:rPr>
          <w:sz w:val="26"/>
          <w:szCs w:val="26"/>
        </w:rPr>
        <w:tab/>
        <w:t>We note that despite agreeing to improve its UFG, specifically, its gathering system UFG consistent with the settlements of the 2017 PGC proceedings, Peoples, nonetheless, reported an increase in its gathering system UFG in the instant proceeding.  For example, while Peoples</w:t>
      </w:r>
      <w:r w:rsidR="00734951">
        <w:rPr>
          <w:sz w:val="26"/>
          <w:szCs w:val="26"/>
        </w:rPr>
        <w:t>’</w:t>
      </w:r>
      <w:r>
        <w:rPr>
          <w:sz w:val="26"/>
          <w:szCs w:val="26"/>
        </w:rPr>
        <w:t xml:space="preserve"> combined distribution UFG of 2.42% is less than the Commission</w:t>
      </w:r>
      <w:r w:rsidR="00734951">
        <w:rPr>
          <w:sz w:val="26"/>
          <w:szCs w:val="26"/>
        </w:rPr>
        <w:t>’</w:t>
      </w:r>
      <w:r>
        <w:rPr>
          <w:sz w:val="26"/>
          <w:szCs w:val="26"/>
        </w:rPr>
        <w:t>s mandated distribution UFG target of 3.5%, Peoples</w:t>
      </w:r>
      <w:r w:rsidR="00734951">
        <w:rPr>
          <w:sz w:val="26"/>
          <w:szCs w:val="26"/>
        </w:rPr>
        <w:t>’</w:t>
      </w:r>
      <w:r>
        <w:rPr>
          <w:sz w:val="26"/>
          <w:szCs w:val="26"/>
        </w:rPr>
        <w:t xml:space="preserve"> reported gathering system UFG in the instant proceeding for the year ended August 31, 2017, was 10.16%, an increase over the 9.2% gathering system UFG for the year ended August 31, 2016, it reported in the 2017 PGC proceedings.</w:t>
      </w:r>
      <w:r>
        <w:rPr>
          <w:rStyle w:val="FootnoteReference"/>
          <w:sz w:val="26"/>
          <w:szCs w:val="26"/>
        </w:rPr>
        <w:footnoteReference w:id="22"/>
      </w:r>
      <w:r>
        <w:rPr>
          <w:sz w:val="26"/>
          <w:szCs w:val="26"/>
        </w:rPr>
        <w:t xml:space="preserve">  I&amp;E St. 1 at 5-6.  </w:t>
      </w:r>
    </w:p>
    <w:p w14:paraId="0EA3569A" w14:textId="77777777" w:rsidR="00CA0B25" w:rsidRDefault="00CA0B25" w:rsidP="007374FA">
      <w:pPr>
        <w:pStyle w:val="ListParagraph"/>
        <w:widowControl/>
        <w:tabs>
          <w:tab w:val="left" w:pos="1445"/>
          <w:tab w:val="left" w:pos="7920"/>
        </w:tabs>
        <w:autoSpaceDE w:val="0"/>
        <w:autoSpaceDN w:val="0"/>
        <w:adjustRightInd w:val="0"/>
        <w:spacing w:line="360" w:lineRule="auto"/>
        <w:ind w:left="0" w:firstLine="720"/>
        <w:rPr>
          <w:sz w:val="26"/>
          <w:szCs w:val="26"/>
        </w:rPr>
      </w:pPr>
    </w:p>
    <w:p w14:paraId="06CFD711" w14:textId="70181D31" w:rsidR="00D21F68" w:rsidRDefault="00CA0B25" w:rsidP="007374FA">
      <w:pPr>
        <w:pStyle w:val="ListParagraph"/>
        <w:widowControl/>
        <w:tabs>
          <w:tab w:val="left" w:pos="1445"/>
          <w:tab w:val="left" w:pos="7920"/>
        </w:tabs>
        <w:autoSpaceDE w:val="0"/>
        <w:autoSpaceDN w:val="0"/>
        <w:adjustRightInd w:val="0"/>
        <w:spacing w:line="360" w:lineRule="auto"/>
        <w:ind w:left="0" w:firstLine="720"/>
        <w:rPr>
          <w:sz w:val="26"/>
          <w:szCs w:val="26"/>
        </w:rPr>
      </w:pPr>
      <w:r>
        <w:rPr>
          <w:sz w:val="26"/>
          <w:szCs w:val="26"/>
        </w:rPr>
        <w:tab/>
      </w:r>
      <w:r w:rsidR="00D21F68">
        <w:rPr>
          <w:sz w:val="26"/>
          <w:szCs w:val="26"/>
        </w:rPr>
        <w:t xml:space="preserve">Also, we note that while </w:t>
      </w:r>
      <w:r w:rsidR="006B72EC">
        <w:rPr>
          <w:sz w:val="26"/>
          <w:szCs w:val="26"/>
        </w:rPr>
        <w:t>our</w:t>
      </w:r>
      <w:r w:rsidR="00D21F68">
        <w:rPr>
          <w:sz w:val="26"/>
          <w:szCs w:val="26"/>
        </w:rPr>
        <w:t xml:space="preserve"> Regulations only addresse</w:t>
      </w:r>
      <w:r w:rsidR="0072028E">
        <w:rPr>
          <w:sz w:val="26"/>
          <w:szCs w:val="26"/>
        </w:rPr>
        <w:t>d</w:t>
      </w:r>
      <w:r w:rsidR="00D21F68">
        <w:rPr>
          <w:sz w:val="26"/>
          <w:szCs w:val="26"/>
        </w:rPr>
        <w:t xml:space="preserve"> losses on the distribution system and not gathering systems </w:t>
      </w:r>
      <w:r w:rsidR="006B72EC">
        <w:rPr>
          <w:sz w:val="26"/>
          <w:szCs w:val="26"/>
        </w:rPr>
        <w:t xml:space="preserve">we have </w:t>
      </w:r>
      <w:r w:rsidR="00D21F68">
        <w:rPr>
          <w:sz w:val="26"/>
          <w:szCs w:val="26"/>
        </w:rPr>
        <w:t>concerns regarding the increasing levels of Peoples</w:t>
      </w:r>
      <w:r w:rsidR="00734951">
        <w:rPr>
          <w:sz w:val="26"/>
          <w:szCs w:val="26"/>
        </w:rPr>
        <w:t>’</w:t>
      </w:r>
      <w:r w:rsidR="00D21F68">
        <w:rPr>
          <w:sz w:val="26"/>
          <w:szCs w:val="26"/>
        </w:rPr>
        <w:t xml:space="preserve"> UFG</w:t>
      </w:r>
      <w:r>
        <w:rPr>
          <w:sz w:val="26"/>
          <w:szCs w:val="26"/>
        </w:rPr>
        <w:t xml:space="preserve">.  </w:t>
      </w:r>
      <w:r w:rsidRPr="00CA0B25">
        <w:rPr>
          <w:sz w:val="26"/>
          <w:szCs w:val="26"/>
        </w:rPr>
        <w:t>In this regard, the comments made by Vice Chairman Place in his Statement concerning the Peoples TWP LLC 2017 PGC proceedings are particularly relevant in our disposition here:</w:t>
      </w:r>
    </w:p>
    <w:p w14:paraId="6E7A65E3" w14:textId="77777777" w:rsidR="00D21F68" w:rsidRDefault="00D21F68" w:rsidP="007374FA">
      <w:pPr>
        <w:pStyle w:val="ListParagraph"/>
        <w:widowControl/>
        <w:tabs>
          <w:tab w:val="left" w:pos="1445"/>
          <w:tab w:val="left" w:pos="7920"/>
        </w:tabs>
        <w:autoSpaceDE w:val="0"/>
        <w:autoSpaceDN w:val="0"/>
        <w:adjustRightInd w:val="0"/>
        <w:spacing w:line="360" w:lineRule="auto"/>
        <w:ind w:left="0" w:firstLine="720"/>
        <w:rPr>
          <w:sz w:val="26"/>
          <w:szCs w:val="26"/>
        </w:rPr>
      </w:pPr>
    </w:p>
    <w:p w14:paraId="68A3B6F0" w14:textId="77777777" w:rsidR="00D21F68" w:rsidRDefault="00D21F68" w:rsidP="007374FA">
      <w:pPr>
        <w:pStyle w:val="ListParagraph"/>
        <w:widowControl/>
        <w:tabs>
          <w:tab w:val="left" w:pos="1445"/>
          <w:tab w:val="left" w:pos="7920"/>
        </w:tabs>
        <w:autoSpaceDE w:val="0"/>
        <w:autoSpaceDN w:val="0"/>
        <w:adjustRightInd w:val="0"/>
        <w:ind w:left="1440" w:right="1440"/>
        <w:rPr>
          <w:sz w:val="26"/>
          <w:szCs w:val="26"/>
        </w:rPr>
      </w:pPr>
      <w:r>
        <w:rPr>
          <w:sz w:val="26"/>
          <w:szCs w:val="26"/>
        </w:rPr>
        <w:t xml:space="preserve">While I am supportive of the Settlement, I want to express my concern about the increasing levels of Lost and Unaccounted for Gas (LUFG).  Specifically, for the 12 months ending August 31, LUFG on the Peoples/Equitable system has increased steadily from 3.79% to 4.4% to 5.54%, respectively over the last 3 years.  Similarly, LUFG on TWP has increased steadily from 2.27% to 2.88% to 3.36% to 3.91%, respectively over the last 4 years.  Moreover, LUFG has increased in absolute terms, despite lower throughput in 2016 for all Companies.  </w:t>
      </w:r>
    </w:p>
    <w:p w14:paraId="6BAE1098" w14:textId="77777777" w:rsidR="00D21F68" w:rsidRDefault="00D21F68" w:rsidP="007374FA">
      <w:pPr>
        <w:pStyle w:val="ListParagraph"/>
        <w:widowControl/>
        <w:tabs>
          <w:tab w:val="left" w:pos="1445"/>
          <w:tab w:val="left" w:pos="7920"/>
        </w:tabs>
        <w:autoSpaceDE w:val="0"/>
        <w:autoSpaceDN w:val="0"/>
        <w:adjustRightInd w:val="0"/>
        <w:ind w:left="1440" w:right="1440"/>
        <w:rPr>
          <w:sz w:val="26"/>
          <w:szCs w:val="26"/>
        </w:rPr>
      </w:pPr>
    </w:p>
    <w:p w14:paraId="0FBF7748" w14:textId="65552919" w:rsidR="00D21F68" w:rsidRDefault="00D21F68" w:rsidP="007374FA">
      <w:pPr>
        <w:pStyle w:val="ListParagraph"/>
        <w:widowControl/>
        <w:tabs>
          <w:tab w:val="left" w:pos="1445"/>
          <w:tab w:val="left" w:pos="7920"/>
        </w:tabs>
        <w:autoSpaceDE w:val="0"/>
        <w:autoSpaceDN w:val="0"/>
        <w:adjustRightInd w:val="0"/>
        <w:ind w:left="1440" w:right="1440"/>
        <w:rPr>
          <w:sz w:val="26"/>
          <w:szCs w:val="26"/>
        </w:rPr>
      </w:pPr>
      <w:r>
        <w:rPr>
          <w:sz w:val="26"/>
          <w:szCs w:val="26"/>
        </w:rPr>
        <w:t>The Companies have been on notice for some time about these high loss factors.  As far back as August 30, 2007, Vice Chairman Cawley expressed concern regarding Equitable</w:t>
      </w:r>
      <w:r w:rsidR="00734951">
        <w:rPr>
          <w:sz w:val="26"/>
          <w:szCs w:val="26"/>
        </w:rPr>
        <w:t>’</w:t>
      </w:r>
      <w:r>
        <w:rPr>
          <w:sz w:val="26"/>
          <w:szCs w:val="26"/>
        </w:rPr>
        <w:t>s large values for LUFG and Company Use.  Equitable was reminded of these concerns in similar statements in 2008 and again in 2014.</w:t>
      </w:r>
    </w:p>
    <w:p w14:paraId="3F4FB38A" w14:textId="77777777" w:rsidR="00D21F68" w:rsidRDefault="00D21F68" w:rsidP="007374FA">
      <w:pPr>
        <w:pStyle w:val="ListParagraph"/>
        <w:widowControl/>
        <w:tabs>
          <w:tab w:val="left" w:pos="1445"/>
          <w:tab w:val="left" w:pos="7920"/>
        </w:tabs>
        <w:autoSpaceDE w:val="0"/>
        <w:autoSpaceDN w:val="0"/>
        <w:adjustRightInd w:val="0"/>
        <w:ind w:left="1440" w:right="1440"/>
        <w:rPr>
          <w:sz w:val="26"/>
          <w:szCs w:val="26"/>
        </w:rPr>
      </w:pPr>
    </w:p>
    <w:p w14:paraId="6FA77951" w14:textId="77777777" w:rsidR="00D21F68" w:rsidRDefault="00D21F68" w:rsidP="007374FA">
      <w:pPr>
        <w:pStyle w:val="ListParagraph"/>
        <w:widowControl/>
        <w:tabs>
          <w:tab w:val="left" w:pos="1445"/>
          <w:tab w:val="left" w:pos="7920"/>
        </w:tabs>
        <w:autoSpaceDE w:val="0"/>
        <w:autoSpaceDN w:val="0"/>
        <w:adjustRightInd w:val="0"/>
        <w:ind w:left="1440" w:right="1440"/>
        <w:rPr>
          <w:sz w:val="26"/>
          <w:szCs w:val="26"/>
        </w:rPr>
      </w:pPr>
      <w:r>
        <w:rPr>
          <w:sz w:val="26"/>
          <w:szCs w:val="26"/>
        </w:rPr>
        <w:t>Similarly, Peoples was on notice for its high LUFG volumes beginning on September 13, 2017.  Peoples was reminded of these concerns in similar statements in 2008, and again in 2010, but given time to allow their new LUFG mitigation measures to take effect.  Further, TWP was also provided notice about these concerns on June 16, 2010.</w:t>
      </w:r>
    </w:p>
    <w:p w14:paraId="06E5FD82" w14:textId="77777777" w:rsidR="00D21F68" w:rsidRDefault="00D21F68" w:rsidP="007374FA">
      <w:pPr>
        <w:pStyle w:val="ListParagraph"/>
        <w:widowControl/>
        <w:tabs>
          <w:tab w:val="left" w:pos="1445"/>
          <w:tab w:val="left" w:pos="7920"/>
        </w:tabs>
        <w:autoSpaceDE w:val="0"/>
        <w:autoSpaceDN w:val="0"/>
        <w:adjustRightInd w:val="0"/>
        <w:ind w:left="1440" w:right="1440"/>
        <w:rPr>
          <w:sz w:val="26"/>
          <w:szCs w:val="26"/>
        </w:rPr>
      </w:pPr>
    </w:p>
    <w:p w14:paraId="403B190D" w14:textId="76652E60" w:rsidR="00D21F68" w:rsidRPr="00C857FE" w:rsidRDefault="00D21F68" w:rsidP="007374FA">
      <w:pPr>
        <w:widowControl/>
        <w:ind w:left="1440" w:right="1440"/>
        <w:rPr>
          <w:sz w:val="26"/>
          <w:szCs w:val="26"/>
        </w:rPr>
      </w:pPr>
      <w:r w:rsidRPr="00C857FE">
        <w:rPr>
          <w:sz w:val="26"/>
          <w:szCs w:val="26"/>
        </w:rPr>
        <w:t xml:space="preserve">As early as 2008, Peoples committed to monitoring LUFG on gathering systems and quantify these [loss] levels under its PGC settlement agreement.  Additionally, measurement was to occur at customer offtakes, company use points and gas receipt points into the transmission system.  In Peoples 2009 PGC Settlement, the Company further agreed to report, in its next 1307(f) filing, on the progress of its LUFG mitigation </w:t>
      </w:r>
      <w:r w:rsidRPr="00C857FE">
        <w:rPr>
          <w:sz w:val="26"/>
          <w:szCs w:val="26"/>
        </w:rPr>
        <w:lastRenderedPageBreak/>
        <w:t xml:space="preserve">measures as described in the Direct Testimony of Joseph A. Gregorini.  As part of the settlement in this case, Peoples agreed to provide and had attached thereto an Appendix </w:t>
      </w:r>
      <w:r w:rsidR="00734951">
        <w:rPr>
          <w:sz w:val="26"/>
          <w:szCs w:val="26"/>
        </w:rPr>
        <w:t>“</w:t>
      </w:r>
      <w:r w:rsidRPr="00C857FE">
        <w:rPr>
          <w:sz w:val="26"/>
          <w:szCs w:val="26"/>
        </w:rPr>
        <w:t>B</w:t>
      </w:r>
      <w:r w:rsidR="00734951">
        <w:rPr>
          <w:sz w:val="26"/>
          <w:szCs w:val="26"/>
        </w:rPr>
        <w:t>”</w:t>
      </w:r>
      <w:r w:rsidRPr="00C857FE">
        <w:rPr>
          <w:sz w:val="26"/>
          <w:szCs w:val="26"/>
        </w:rPr>
        <w:t xml:space="preserve"> - a summary of ten mitigation measures and approximate completion dates.  In its 2011 PGC, Peoples committed to use reasonable efforts to implement its </w:t>
      </w:r>
      <w:r w:rsidR="00734951">
        <w:rPr>
          <w:sz w:val="26"/>
          <w:szCs w:val="26"/>
        </w:rPr>
        <w:t>“</w:t>
      </w:r>
      <w:r w:rsidRPr="00C857FE">
        <w:rPr>
          <w:sz w:val="26"/>
          <w:szCs w:val="26"/>
        </w:rPr>
        <w:t>2011 Unaccounted-For-Gas Plan and Report</w:t>
      </w:r>
      <w:r w:rsidR="00734951">
        <w:rPr>
          <w:sz w:val="26"/>
          <w:szCs w:val="26"/>
        </w:rPr>
        <w:t>”</w:t>
      </w:r>
      <w:r w:rsidRPr="00C857FE">
        <w:rPr>
          <w:sz w:val="26"/>
          <w:szCs w:val="26"/>
        </w:rPr>
        <w:t xml:space="preserve"> (LUFG Plan).   The LUFG Plan set forth a target LUFG rate of 4.65% by 2014.  In its 2014 PGC settlement, Peoples committed to continuing its efforts to reduce lost and unaccounted for gas on its gathering, distribution and transmission facilities.  More specifically, Peoples explained that it would identify gathering pipelines with high leak frequency and prioritize them for its Repair//Replace program, </w:t>
      </w:r>
      <w:proofErr w:type="gramStart"/>
      <w:r w:rsidRPr="00C857FE">
        <w:rPr>
          <w:sz w:val="26"/>
          <w:szCs w:val="26"/>
        </w:rPr>
        <w:t>in order to</w:t>
      </w:r>
      <w:proofErr w:type="gramEnd"/>
      <w:r w:rsidRPr="00C857FE">
        <w:rPr>
          <w:sz w:val="26"/>
          <w:szCs w:val="26"/>
        </w:rPr>
        <w:t xml:space="preserve"> further reduce LUFG. In its 2016 PGC settlement, the Company again committed to continue its efforts to reduce LUFG.</w:t>
      </w:r>
    </w:p>
    <w:p w14:paraId="363CE3BC" w14:textId="77777777" w:rsidR="00D21F68" w:rsidRDefault="00D21F68" w:rsidP="007374FA">
      <w:pPr>
        <w:pStyle w:val="ListParagraph"/>
        <w:widowControl/>
        <w:tabs>
          <w:tab w:val="left" w:pos="1445"/>
          <w:tab w:val="left" w:pos="7920"/>
        </w:tabs>
        <w:autoSpaceDE w:val="0"/>
        <w:autoSpaceDN w:val="0"/>
        <w:adjustRightInd w:val="0"/>
        <w:ind w:left="1440" w:right="1440"/>
        <w:rPr>
          <w:sz w:val="26"/>
          <w:szCs w:val="26"/>
        </w:rPr>
      </w:pPr>
    </w:p>
    <w:p w14:paraId="58F97F3C" w14:textId="68E9FA55" w:rsidR="00D21F68" w:rsidRDefault="00D21F68" w:rsidP="007374FA">
      <w:pPr>
        <w:pStyle w:val="ListParagraph"/>
        <w:widowControl/>
        <w:tabs>
          <w:tab w:val="left" w:pos="1445"/>
          <w:tab w:val="left" w:pos="7920"/>
        </w:tabs>
        <w:autoSpaceDE w:val="0"/>
        <w:autoSpaceDN w:val="0"/>
        <w:adjustRightInd w:val="0"/>
        <w:ind w:left="1440" w:right="1440"/>
        <w:rPr>
          <w:sz w:val="26"/>
          <w:szCs w:val="26"/>
        </w:rPr>
      </w:pPr>
      <w:r w:rsidRPr="00C857FE">
        <w:rPr>
          <w:sz w:val="26"/>
          <w:szCs w:val="26"/>
        </w:rPr>
        <w:t>As far back as 2008, Equitable has been developing plans to mitigate LUFG.  In Equitable</w:t>
      </w:r>
      <w:r w:rsidR="00734951">
        <w:rPr>
          <w:sz w:val="26"/>
          <w:szCs w:val="26"/>
        </w:rPr>
        <w:t>’</w:t>
      </w:r>
      <w:r w:rsidRPr="00C857FE">
        <w:rPr>
          <w:sz w:val="26"/>
          <w:szCs w:val="26"/>
        </w:rPr>
        <w:t>s 2008 PGC docket, Equitable agreed to track and report efforts made to reduce LUFG on its system.  Equitable further articulated its LUFG reduction measures in its 2009 PGC filing.  These measures included main line replacement, pressure testing of house lines, leak surveys, third-party damage reduction strategies, theft reduction, and elimination of measurement error.  In its 2010 PGC filing, Equitable identified its primary UFG reduction initiatives to include: (1) segmentation of the gathering system; (2) line walking; (3) meter-size testing; and (4) a more stringent large meter calibration program.  In 2014, Equitable again committed to continue its efforts to reduce lost and unaccounted for gas on its gathering, distribution and transmission facilities, and reiterated its intention to execute its (1) Enhanced Leak Repair Program, which prioritizes leak repairs; (2) Measurement Improvement Program, designed to audit and improve measurements at producer interconnects and to study the impact of temperature on the measurement accuracy of non-compensated meters; (3) Interconnect Improvement Program, designed to eliminate the possibility of gas backflow; and (4) Pipeline Improvement Plan, to abandon or replace pipelines that are obsolete or cannot be repaired.  Under last year</w:t>
      </w:r>
      <w:r w:rsidR="00734951">
        <w:rPr>
          <w:sz w:val="26"/>
          <w:szCs w:val="26"/>
        </w:rPr>
        <w:t>’</w:t>
      </w:r>
      <w:r w:rsidRPr="00C857FE">
        <w:rPr>
          <w:sz w:val="26"/>
          <w:szCs w:val="26"/>
        </w:rPr>
        <w:t>s joint PGC filing in 2016, Equitable and Peoples</w:t>
      </w:r>
      <w:r w:rsidR="00734951">
        <w:rPr>
          <w:sz w:val="26"/>
          <w:szCs w:val="26"/>
        </w:rPr>
        <w:t>’</w:t>
      </w:r>
      <w:r w:rsidRPr="00C857FE">
        <w:rPr>
          <w:sz w:val="26"/>
          <w:szCs w:val="26"/>
        </w:rPr>
        <w:t xml:space="preserve"> mitigation plan included increased leak repair on Class 2 and Class 3 leaks to reduce the duration </w:t>
      </w:r>
      <w:r w:rsidRPr="00C857FE">
        <w:rPr>
          <w:sz w:val="26"/>
          <w:szCs w:val="26"/>
        </w:rPr>
        <w:lastRenderedPageBreak/>
        <w:t>of leaks and resulting UFG, more frequent monitoring of high or low volume meters to ensure they are operating within an acceptable measurement range, and review of producer and customer meters that appear inactive to mitigate gas theft or unintended reverse flow.  Lastly, Peoples asserts it monitors system pressures to make sure the Company is not operating at pressures higher than what is required to serve its customers, thus reducing gas loss through pipe leakage or measurement errors.</w:t>
      </w:r>
      <w:r>
        <w:rPr>
          <w:sz w:val="26"/>
          <w:szCs w:val="26"/>
        </w:rPr>
        <w:br/>
      </w:r>
    </w:p>
    <w:p w14:paraId="7692F5C3" w14:textId="05A84C8B" w:rsidR="00D21F68" w:rsidRPr="00B93CDB" w:rsidRDefault="00D21F68" w:rsidP="007374FA">
      <w:pPr>
        <w:widowControl/>
        <w:ind w:left="1440" w:right="1440"/>
        <w:rPr>
          <w:sz w:val="26"/>
          <w:szCs w:val="26"/>
        </w:rPr>
      </w:pPr>
      <w:r w:rsidRPr="00B93CDB">
        <w:rPr>
          <w:sz w:val="26"/>
          <w:szCs w:val="26"/>
        </w:rPr>
        <w:t>Under the current settlements before us, the Companies propose to assemble a cross-functional team to assess, analyze and take deliberate steps to mitigate LUFG. The LUFG team will be led by a new, senior, full-time manager with a primary job description of managing LUFG activity. Peoples</w:t>
      </w:r>
      <w:r w:rsidR="00734951">
        <w:rPr>
          <w:sz w:val="26"/>
          <w:szCs w:val="26"/>
        </w:rPr>
        <w:t>’</w:t>
      </w:r>
      <w:r w:rsidRPr="00B93CDB">
        <w:rPr>
          <w:sz w:val="26"/>
          <w:szCs w:val="26"/>
        </w:rPr>
        <w:t xml:space="preserve"> immediate plan is to continue the LUFG reduction initiatives described in their filing, which the Companies claim have proven over time to be effective.  In addition, the Companies have started a process to review the ongoing value of owning, operating and maintaining various portions of its gathering system.  Peoples plans to study the projected cost of owning and operating various segments of its gathering system in the future and to assess options, recognizing that while customers served directly from the gathering system comprise less than 1% of Peoples</w:t>
      </w:r>
      <w:r w:rsidR="00734951">
        <w:rPr>
          <w:sz w:val="26"/>
          <w:szCs w:val="26"/>
        </w:rPr>
        <w:t>’</w:t>
      </w:r>
      <w:r w:rsidRPr="00B93CDB">
        <w:rPr>
          <w:sz w:val="26"/>
          <w:szCs w:val="26"/>
        </w:rPr>
        <w:t xml:space="preserve"> total customer base, this is still a substantial number of customers, and even more are served from distribution systems connected to the gathering system.  The Company will prioritize Enhanced Leak Repair, will continue to monitor supply interconnects to ensure accurate measurement and backflow prevention equipment is effective, and will continue system segmentation efforts to identify and report LUFG based on pipeline function. However, Peoples explains that it is not feasible to expect immediate and significant reductions in UFG </w:t>
      </w:r>
      <w:proofErr w:type="gramStart"/>
      <w:r w:rsidRPr="00B93CDB">
        <w:rPr>
          <w:sz w:val="26"/>
          <w:szCs w:val="26"/>
        </w:rPr>
        <w:t>as a result of</w:t>
      </w:r>
      <w:proofErr w:type="gramEnd"/>
      <w:r w:rsidRPr="00B93CDB">
        <w:rPr>
          <w:sz w:val="26"/>
          <w:szCs w:val="26"/>
        </w:rPr>
        <w:t xml:space="preserve"> UFG mitigation efforts.</w:t>
      </w:r>
    </w:p>
    <w:p w14:paraId="7EEB394A" w14:textId="77777777" w:rsidR="00D21F68" w:rsidRPr="00B93CDB" w:rsidRDefault="00D21F68" w:rsidP="007374FA">
      <w:pPr>
        <w:widowControl/>
        <w:ind w:left="1440" w:right="1440" w:firstLine="720"/>
        <w:rPr>
          <w:sz w:val="26"/>
          <w:szCs w:val="26"/>
        </w:rPr>
      </w:pPr>
    </w:p>
    <w:p w14:paraId="2101CB0A" w14:textId="56CF0BF0" w:rsidR="00D21F68" w:rsidRDefault="00D21F68" w:rsidP="007374FA">
      <w:pPr>
        <w:widowControl/>
        <w:ind w:left="1440" w:right="1440"/>
        <w:rPr>
          <w:sz w:val="26"/>
          <w:szCs w:val="26"/>
        </w:rPr>
      </w:pPr>
      <w:r w:rsidRPr="00B93CDB">
        <w:rPr>
          <w:sz w:val="26"/>
          <w:szCs w:val="26"/>
        </w:rPr>
        <w:t xml:space="preserve">I take exception to this statement.  Many of these LUFG reduction plans have been on the books since at least 2008 – over a decade, as documented in the previous cases addressed by the Commission.    The Companies have had </w:t>
      </w:r>
      <w:proofErr w:type="gramStart"/>
      <w:r w:rsidRPr="00B93CDB">
        <w:rPr>
          <w:sz w:val="26"/>
          <w:szCs w:val="26"/>
        </w:rPr>
        <w:t>sufficient</w:t>
      </w:r>
      <w:proofErr w:type="gramEnd"/>
      <w:r w:rsidRPr="00B93CDB">
        <w:rPr>
          <w:sz w:val="26"/>
          <w:szCs w:val="26"/>
        </w:rPr>
        <w:t xml:space="preserve"> time to explore the effectiveness of these strategies.   I agree with the Office of Investigation and Enforcement (I&amp;E) and the Office of Small Business Advocate (OSBA) - it is time for </w:t>
      </w:r>
      <w:r w:rsidRPr="00B93CDB">
        <w:rPr>
          <w:sz w:val="26"/>
          <w:szCs w:val="26"/>
        </w:rPr>
        <w:lastRenderedPageBreak/>
        <w:t>Peoples</w:t>
      </w:r>
      <w:r w:rsidR="00734951">
        <w:rPr>
          <w:sz w:val="26"/>
          <w:szCs w:val="26"/>
        </w:rPr>
        <w:t>’</w:t>
      </w:r>
      <w:r w:rsidRPr="00B93CDB">
        <w:rPr>
          <w:sz w:val="26"/>
          <w:szCs w:val="26"/>
        </w:rPr>
        <w:t xml:space="preserve"> UFG mitigation plan to show positive results.  This is fundamentally important as the Companies current LUFG is not only costing customers upwards of $23.9M per year but also losing to the atmosphere substantial quantities of a potent greenhouse gas. </w:t>
      </w:r>
    </w:p>
    <w:p w14:paraId="5CD6FB8C" w14:textId="72A9668A" w:rsidR="00D21F68" w:rsidRDefault="00D21F68" w:rsidP="007374FA">
      <w:pPr>
        <w:pStyle w:val="ListParagraph"/>
        <w:widowControl/>
        <w:tabs>
          <w:tab w:val="left" w:pos="1445"/>
          <w:tab w:val="left" w:pos="7920"/>
        </w:tabs>
        <w:autoSpaceDE w:val="0"/>
        <w:autoSpaceDN w:val="0"/>
        <w:adjustRightInd w:val="0"/>
        <w:ind w:left="1440" w:right="1440"/>
        <w:rPr>
          <w:sz w:val="26"/>
          <w:szCs w:val="26"/>
        </w:rPr>
      </w:pPr>
    </w:p>
    <w:p w14:paraId="67CFBE48" w14:textId="77777777" w:rsidR="00050F9B" w:rsidRDefault="00050F9B" w:rsidP="007374FA">
      <w:pPr>
        <w:pStyle w:val="ListParagraph"/>
        <w:widowControl/>
        <w:tabs>
          <w:tab w:val="left" w:pos="1445"/>
          <w:tab w:val="left" w:pos="7920"/>
        </w:tabs>
        <w:autoSpaceDE w:val="0"/>
        <w:autoSpaceDN w:val="0"/>
        <w:adjustRightInd w:val="0"/>
        <w:ind w:left="1440" w:right="1440"/>
        <w:rPr>
          <w:sz w:val="26"/>
          <w:szCs w:val="26"/>
        </w:rPr>
      </w:pPr>
    </w:p>
    <w:p w14:paraId="312DB99E" w14:textId="54DF3CF4" w:rsidR="00624639" w:rsidRDefault="00624639" w:rsidP="007374FA">
      <w:pPr>
        <w:pStyle w:val="ListParagraph"/>
        <w:widowControl/>
        <w:tabs>
          <w:tab w:val="left" w:pos="1445"/>
          <w:tab w:val="left" w:pos="7920"/>
        </w:tabs>
        <w:autoSpaceDE w:val="0"/>
        <w:autoSpaceDN w:val="0"/>
        <w:adjustRightInd w:val="0"/>
        <w:spacing w:line="360" w:lineRule="auto"/>
        <w:ind w:left="0"/>
        <w:rPr>
          <w:sz w:val="26"/>
          <w:szCs w:val="26"/>
        </w:rPr>
      </w:pPr>
      <w:r w:rsidRPr="00C76E57">
        <w:rPr>
          <w:i/>
          <w:sz w:val="26"/>
          <w:szCs w:val="26"/>
        </w:rPr>
        <w:t>Pa. PUC, et al. v. Peoples TWP LLC</w:t>
      </w:r>
      <w:r>
        <w:rPr>
          <w:sz w:val="26"/>
          <w:szCs w:val="26"/>
        </w:rPr>
        <w:t>,</w:t>
      </w:r>
      <w:r w:rsidRPr="00EF507C">
        <w:rPr>
          <w:sz w:val="26"/>
          <w:szCs w:val="26"/>
        </w:rPr>
        <w:t xml:space="preserve"> </w:t>
      </w:r>
      <w:r>
        <w:rPr>
          <w:sz w:val="26"/>
          <w:szCs w:val="26"/>
        </w:rPr>
        <w:t>Docket No. R-2017-2586317, Statement of Vice Chairman Andrew G. Place at 1-2, 4 (August 31, 2017).  (Vice Chairman Statement)</w:t>
      </w:r>
    </w:p>
    <w:p w14:paraId="60E36F14" w14:textId="77777777" w:rsidR="00D21F68" w:rsidRDefault="00D21F68" w:rsidP="007374FA">
      <w:pPr>
        <w:pStyle w:val="ListParagraph"/>
        <w:widowControl/>
        <w:tabs>
          <w:tab w:val="left" w:pos="1445"/>
          <w:tab w:val="left" w:pos="7920"/>
        </w:tabs>
        <w:autoSpaceDE w:val="0"/>
        <w:autoSpaceDN w:val="0"/>
        <w:adjustRightInd w:val="0"/>
        <w:spacing w:line="360" w:lineRule="auto"/>
        <w:ind w:left="0" w:firstLine="720"/>
        <w:rPr>
          <w:sz w:val="26"/>
          <w:szCs w:val="26"/>
        </w:rPr>
      </w:pPr>
    </w:p>
    <w:p w14:paraId="2F47A872" w14:textId="77777777" w:rsidR="00050F9B" w:rsidRDefault="00D21F68" w:rsidP="007374FA">
      <w:pPr>
        <w:pStyle w:val="ListParagraph"/>
        <w:widowControl/>
        <w:tabs>
          <w:tab w:val="left" w:pos="1445"/>
          <w:tab w:val="left" w:pos="7920"/>
        </w:tabs>
        <w:autoSpaceDE w:val="0"/>
        <w:autoSpaceDN w:val="0"/>
        <w:adjustRightInd w:val="0"/>
        <w:spacing w:line="360" w:lineRule="auto"/>
        <w:ind w:left="0" w:firstLine="720"/>
        <w:rPr>
          <w:sz w:val="26"/>
          <w:szCs w:val="26"/>
        </w:rPr>
      </w:pPr>
      <w:r>
        <w:rPr>
          <w:sz w:val="26"/>
          <w:szCs w:val="26"/>
        </w:rPr>
        <w:tab/>
        <w:t>We acknowledge the substantial and laudable steps the Compan</w:t>
      </w:r>
      <w:r w:rsidR="00445F2B">
        <w:rPr>
          <w:sz w:val="26"/>
          <w:szCs w:val="26"/>
        </w:rPr>
        <w:t>y</w:t>
      </w:r>
      <w:r>
        <w:rPr>
          <w:sz w:val="26"/>
          <w:szCs w:val="26"/>
        </w:rPr>
        <w:t xml:space="preserve"> ha</w:t>
      </w:r>
      <w:r w:rsidR="00445F2B">
        <w:rPr>
          <w:sz w:val="26"/>
          <w:szCs w:val="26"/>
        </w:rPr>
        <w:t>s</w:t>
      </w:r>
      <w:r>
        <w:rPr>
          <w:sz w:val="26"/>
          <w:szCs w:val="26"/>
        </w:rPr>
        <w:t xml:space="preserve"> taken since the 2017 PGC proceedings.  For instance, the Peoples Companies have indicated that following the 2017 PGC proceedings and pursuant to the settlements of those proceedings, they have, among other things, </w:t>
      </w:r>
      <w:r w:rsidRPr="008E126E">
        <w:rPr>
          <w:sz w:val="26"/>
          <w:szCs w:val="26"/>
        </w:rPr>
        <w:t xml:space="preserve">assembled a cross-functional </w:t>
      </w:r>
      <w:r>
        <w:rPr>
          <w:sz w:val="26"/>
          <w:szCs w:val="26"/>
        </w:rPr>
        <w:t xml:space="preserve">UFG </w:t>
      </w:r>
      <w:r w:rsidRPr="008E126E">
        <w:rPr>
          <w:sz w:val="26"/>
          <w:szCs w:val="26"/>
        </w:rPr>
        <w:t xml:space="preserve">team to assess, analyze and take deliberate steps to mitigate UFG.  </w:t>
      </w:r>
      <w:r>
        <w:rPr>
          <w:sz w:val="26"/>
          <w:szCs w:val="26"/>
        </w:rPr>
        <w:t>According to the Companies, t</w:t>
      </w:r>
      <w:r w:rsidRPr="008E126E">
        <w:rPr>
          <w:sz w:val="26"/>
          <w:szCs w:val="26"/>
        </w:rPr>
        <w:t xml:space="preserve">he UFG team will be led by a new, senior, full-time manager with a primary job description of managing UFG reduction initiatives.  </w:t>
      </w:r>
      <w:r>
        <w:rPr>
          <w:sz w:val="26"/>
          <w:szCs w:val="26"/>
        </w:rPr>
        <w:t xml:space="preserve">The Peoples Companies plan to continue UFG reduction initiatives, prioritize enhanced leak repair where appropriate and replace pipelines that cannot be repaired.  They have also indicated they will continue to monitor supply interconnects to ensure accurate measurement and effective backflow prevention equipment.  The Companies also plan to continue system segmentation efforts to identify and report UFG based on pipeline function.  </w:t>
      </w:r>
      <w:r w:rsidRPr="008E126E">
        <w:rPr>
          <w:sz w:val="26"/>
          <w:szCs w:val="26"/>
        </w:rPr>
        <w:t>PNG St. 1 at 10-11.</w:t>
      </w:r>
      <w:r>
        <w:rPr>
          <w:sz w:val="26"/>
          <w:szCs w:val="26"/>
        </w:rPr>
        <w:t xml:space="preserve">  </w:t>
      </w:r>
    </w:p>
    <w:p w14:paraId="40741B8F" w14:textId="77777777" w:rsidR="00050F9B" w:rsidRDefault="00050F9B" w:rsidP="007374FA">
      <w:pPr>
        <w:pStyle w:val="ListParagraph"/>
        <w:widowControl/>
        <w:tabs>
          <w:tab w:val="left" w:pos="1445"/>
          <w:tab w:val="left" w:pos="7920"/>
        </w:tabs>
        <w:autoSpaceDE w:val="0"/>
        <w:autoSpaceDN w:val="0"/>
        <w:adjustRightInd w:val="0"/>
        <w:spacing w:line="360" w:lineRule="auto"/>
        <w:ind w:left="0" w:firstLine="720"/>
        <w:rPr>
          <w:sz w:val="26"/>
          <w:szCs w:val="26"/>
        </w:rPr>
      </w:pPr>
    </w:p>
    <w:p w14:paraId="10294FB3" w14:textId="5CE8BB5B" w:rsidR="00D21F68" w:rsidRDefault="00050F9B" w:rsidP="007374FA">
      <w:pPr>
        <w:pStyle w:val="ListParagraph"/>
        <w:widowControl/>
        <w:tabs>
          <w:tab w:val="left" w:pos="1445"/>
          <w:tab w:val="left" w:pos="7920"/>
        </w:tabs>
        <w:autoSpaceDE w:val="0"/>
        <w:autoSpaceDN w:val="0"/>
        <w:adjustRightInd w:val="0"/>
        <w:spacing w:line="360" w:lineRule="auto"/>
        <w:ind w:left="0" w:firstLine="720"/>
        <w:rPr>
          <w:sz w:val="26"/>
          <w:szCs w:val="26"/>
        </w:rPr>
      </w:pPr>
      <w:r>
        <w:rPr>
          <w:sz w:val="26"/>
          <w:szCs w:val="26"/>
        </w:rPr>
        <w:tab/>
      </w:r>
      <w:r w:rsidR="00D21F68">
        <w:rPr>
          <w:sz w:val="26"/>
          <w:szCs w:val="26"/>
        </w:rPr>
        <w:t xml:space="preserve">According to Peoples, the above activities eventually led to the development of the UFG Mitigation Plan, which, the Companies have indicated, is the basis for the proposed producer charge.  The charge, they say, is intended to recognize that the producers substantially benefit from the existence of the gathering systems and should share in the cost of UFG incurred to carry conventional production to the city gate.  But most importantly, the Companies allege the proposed producer charge will help incent the producers to help contribute to the reduction of gathering system UFG.  PNG R. Exc. at 2-3.  As earlier indicated, the Peoples Companies made several </w:t>
      </w:r>
      <w:r w:rsidR="00D21F68">
        <w:rPr>
          <w:sz w:val="26"/>
          <w:szCs w:val="26"/>
        </w:rPr>
        <w:lastRenderedPageBreak/>
        <w:t>recommendations on areas for additional UFG mitigation activities, including: (1)</w:t>
      </w:r>
      <w:r>
        <w:rPr>
          <w:sz w:val="26"/>
          <w:szCs w:val="26"/>
        </w:rPr>
        <w:t> </w:t>
      </w:r>
      <w:r w:rsidR="00D21F68">
        <w:rPr>
          <w:sz w:val="26"/>
          <w:szCs w:val="26"/>
        </w:rPr>
        <w:t>additional segmentation to enhance identification of potential UFG targets; (2)</w:t>
      </w:r>
      <w:r>
        <w:rPr>
          <w:sz w:val="26"/>
          <w:szCs w:val="26"/>
        </w:rPr>
        <w:t> </w:t>
      </w:r>
      <w:r w:rsidR="00D21F68">
        <w:rPr>
          <w:sz w:val="26"/>
          <w:szCs w:val="26"/>
        </w:rPr>
        <w:t xml:space="preserve">accelerated leak repair for bare steel gathering; (3) gathering pipeline improvement strategy; (4) removal/replacement of at-risk gathering pipelines; (5) further analysis to be performed concerning certain gathering pipelines; (6) gathering pipelines abandonment considerations and communication; (7) gas measurement enhancements; (8) unauthorized use; and (9) mapping enhancements.  </w:t>
      </w:r>
      <w:r w:rsidR="00D21F68" w:rsidRPr="00D74ADE">
        <w:rPr>
          <w:sz w:val="26"/>
          <w:szCs w:val="26"/>
        </w:rPr>
        <w:t>PNG St. 1 at 12.</w:t>
      </w:r>
    </w:p>
    <w:p w14:paraId="1BE33C0E" w14:textId="77777777" w:rsidR="00D21F68" w:rsidRDefault="00D21F68" w:rsidP="007374FA">
      <w:pPr>
        <w:widowControl/>
        <w:tabs>
          <w:tab w:val="left" w:pos="1445"/>
          <w:tab w:val="left" w:pos="7920"/>
        </w:tabs>
        <w:autoSpaceDE w:val="0"/>
        <w:autoSpaceDN w:val="0"/>
        <w:adjustRightInd w:val="0"/>
        <w:spacing w:line="360" w:lineRule="auto"/>
        <w:ind w:firstLine="1440"/>
        <w:rPr>
          <w:sz w:val="26"/>
          <w:szCs w:val="26"/>
        </w:rPr>
      </w:pPr>
    </w:p>
    <w:p w14:paraId="77839723" w14:textId="1C0C0D1F" w:rsidR="00D21F68" w:rsidRDefault="00D21F68" w:rsidP="007374FA">
      <w:pPr>
        <w:pStyle w:val="ListParagraph"/>
        <w:widowControl/>
        <w:tabs>
          <w:tab w:val="left" w:pos="1445"/>
          <w:tab w:val="left" w:pos="7920"/>
        </w:tabs>
        <w:autoSpaceDE w:val="0"/>
        <w:autoSpaceDN w:val="0"/>
        <w:adjustRightInd w:val="0"/>
        <w:spacing w:line="360" w:lineRule="auto"/>
        <w:ind w:left="0" w:firstLine="720"/>
        <w:rPr>
          <w:sz w:val="26"/>
          <w:szCs w:val="26"/>
        </w:rPr>
      </w:pPr>
      <w:r>
        <w:rPr>
          <w:sz w:val="26"/>
          <w:szCs w:val="26"/>
        </w:rPr>
        <w:tab/>
        <w:t>Nonetheless, as highlighted in Vice Chairman Place</w:t>
      </w:r>
      <w:r w:rsidR="00734951">
        <w:rPr>
          <w:sz w:val="26"/>
          <w:szCs w:val="26"/>
        </w:rPr>
        <w:t>’</w:t>
      </w:r>
      <w:r w:rsidR="00624639">
        <w:rPr>
          <w:sz w:val="26"/>
          <w:szCs w:val="26"/>
        </w:rPr>
        <w:t>s</w:t>
      </w:r>
      <w:r>
        <w:rPr>
          <w:sz w:val="26"/>
          <w:szCs w:val="26"/>
        </w:rPr>
        <w:t xml:space="preserve"> Statement, the Peoples Companies have been making similar commitments</w:t>
      </w:r>
      <w:r w:rsidRPr="00EF7C74">
        <w:rPr>
          <w:sz w:val="26"/>
          <w:szCs w:val="26"/>
        </w:rPr>
        <w:t xml:space="preserve"> </w:t>
      </w:r>
      <w:r>
        <w:rPr>
          <w:sz w:val="26"/>
          <w:szCs w:val="26"/>
        </w:rPr>
        <w:t xml:space="preserve">to monitor and reduce UFG on their gathering systems since 2008 but have, over the years, not effectively complied with reducing gathering system UFG, as shown in their steadily increasing gathering system UFG levels for the past three years, </w:t>
      </w:r>
      <w:r w:rsidR="00AF60EC">
        <w:rPr>
          <w:sz w:val="26"/>
          <w:szCs w:val="26"/>
        </w:rPr>
        <w:t>as</w:t>
      </w:r>
      <w:r>
        <w:rPr>
          <w:sz w:val="26"/>
          <w:szCs w:val="26"/>
        </w:rPr>
        <w:t xml:space="preserve"> report</w:t>
      </w:r>
      <w:r w:rsidR="00AF60EC">
        <w:rPr>
          <w:sz w:val="26"/>
          <w:szCs w:val="26"/>
        </w:rPr>
        <w:t>ed</w:t>
      </w:r>
      <w:r>
        <w:rPr>
          <w:sz w:val="26"/>
          <w:szCs w:val="26"/>
        </w:rPr>
        <w:t xml:space="preserve"> in the instant proceeding.  </w:t>
      </w:r>
      <w:r w:rsidRPr="00042D46">
        <w:rPr>
          <w:sz w:val="26"/>
          <w:szCs w:val="26"/>
        </w:rPr>
        <w:t>OCA St. 1 at 7</w:t>
      </w:r>
      <w:r w:rsidR="00445F2B">
        <w:rPr>
          <w:sz w:val="26"/>
          <w:szCs w:val="26"/>
        </w:rPr>
        <w:t>; Vice Chairman Statement at 1-2, 4</w:t>
      </w:r>
      <w:r w:rsidRPr="00042D46">
        <w:rPr>
          <w:sz w:val="26"/>
          <w:szCs w:val="26"/>
        </w:rPr>
        <w:t xml:space="preserve">.  </w:t>
      </w:r>
      <w:r>
        <w:rPr>
          <w:sz w:val="26"/>
          <w:szCs w:val="26"/>
        </w:rPr>
        <w:t xml:space="preserve">Hence, while we acknowledge </w:t>
      </w:r>
      <w:r w:rsidR="0072028E">
        <w:rPr>
          <w:sz w:val="26"/>
          <w:szCs w:val="26"/>
        </w:rPr>
        <w:t>PNG</w:t>
      </w:r>
      <w:r w:rsidR="00734951">
        <w:rPr>
          <w:sz w:val="26"/>
          <w:szCs w:val="26"/>
        </w:rPr>
        <w:t>’</w:t>
      </w:r>
      <w:r w:rsidR="00445F2B">
        <w:rPr>
          <w:sz w:val="26"/>
          <w:szCs w:val="26"/>
        </w:rPr>
        <w:t>s</w:t>
      </w:r>
      <w:r>
        <w:rPr>
          <w:sz w:val="26"/>
          <w:szCs w:val="26"/>
        </w:rPr>
        <w:t xml:space="preserve"> claim that the proposed producer charge is one component of a comprehensive plan to address gathering system UFG, we are also cognizant of the Companies</w:t>
      </w:r>
      <w:r w:rsidR="00734951">
        <w:rPr>
          <w:sz w:val="26"/>
          <w:szCs w:val="26"/>
        </w:rPr>
        <w:t>’</w:t>
      </w:r>
      <w:r>
        <w:rPr>
          <w:sz w:val="26"/>
          <w:szCs w:val="26"/>
        </w:rPr>
        <w:t xml:space="preserve"> past commitments to address gathering system losses with no accompanying positive results.  PNG R. Exc. at 1.  Here, per the Partial Settlement, Peoples has agreed to reduce its gathering system UFG to </w:t>
      </w:r>
      <w:r w:rsidRPr="004F170C">
        <w:rPr>
          <w:sz w:val="26"/>
          <w:szCs w:val="26"/>
        </w:rPr>
        <w:t>9.0% for the year ending August 31, 2019, 8.5% for the year ending August 31, 2020, and 7.5% for the year ending August 31, 2021</w:t>
      </w:r>
      <w:r w:rsidR="001A53BC">
        <w:rPr>
          <w:sz w:val="26"/>
          <w:szCs w:val="26"/>
        </w:rPr>
        <w:t xml:space="preserve">.  </w:t>
      </w:r>
      <w:r>
        <w:rPr>
          <w:sz w:val="26"/>
          <w:szCs w:val="26"/>
        </w:rPr>
        <w:t>Joint Petition at</w:t>
      </w:r>
      <w:r w:rsidR="00353F83">
        <w:rPr>
          <w:sz w:val="26"/>
          <w:szCs w:val="26"/>
        </w:rPr>
        <w:t> </w:t>
      </w:r>
      <w:r>
        <w:rPr>
          <w:sz w:val="26"/>
          <w:szCs w:val="26"/>
        </w:rPr>
        <w:t>3.</w:t>
      </w:r>
      <w:r w:rsidR="001A53BC">
        <w:rPr>
          <w:sz w:val="26"/>
          <w:szCs w:val="26"/>
        </w:rPr>
        <w:t xml:space="preserve">  </w:t>
      </w:r>
      <w:r w:rsidR="00D73D21">
        <w:rPr>
          <w:sz w:val="26"/>
          <w:szCs w:val="26"/>
        </w:rPr>
        <w:t>Consequently, we reiterate that failure of the Company to comply with the</w:t>
      </w:r>
      <w:r w:rsidR="00AF60EC">
        <w:rPr>
          <w:sz w:val="26"/>
          <w:szCs w:val="26"/>
        </w:rPr>
        <w:t>se</w:t>
      </w:r>
      <w:r w:rsidR="00D73D21">
        <w:rPr>
          <w:sz w:val="26"/>
          <w:szCs w:val="26"/>
        </w:rPr>
        <w:t xml:space="preserve"> agreed-upon UFG target levels described above </w:t>
      </w:r>
      <w:r w:rsidR="00463641">
        <w:rPr>
          <w:sz w:val="26"/>
          <w:szCs w:val="26"/>
        </w:rPr>
        <w:t xml:space="preserve">may </w:t>
      </w:r>
      <w:r w:rsidR="00D73D21">
        <w:rPr>
          <w:sz w:val="26"/>
          <w:szCs w:val="26"/>
        </w:rPr>
        <w:t>necessitate an adjustment to disallow certain costs in Peoples</w:t>
      </w:r>
      <w:r w:rsidR="00734951">
        <w:rPr>
          <w:sz w:val="26"/>
          <w:szCs w:val="26"/>
        </w:rPr>
        <w:t>’</w:t>
      </w:r>
      <w:r w:rsidR="00D73D21">
        <w:rPr>
          <w:sz w:val="26"/>
          <w:szCs w:val="26"/>
        </w:rPr>
        <w:t xml:space="preserve"> future PGC proceedings.  Vice Chairman Statement at</w:t>
      </w:r>
      <w:r w:rsidR="00353F83">
        <w:rPr>
          <w:sz w:val="26"/>
          <w:szCs w:val="26"/>
        </w:rPr>
        <w:t> </w:t>
      </w:r>
      <w:r w:rsidR="00D73D21">
        <w:rPr>
          <w:sz w:val="26"/>
          <w:szCs w:val="26"/>
        </w:rPr>
        <w:t>5.</w:t>
      </w:r>
    </w:p>
    <w:p w14:paraId="70FF38CE" w14:textId="0A3323DC" w:rsidR="00792338" w:rsidRDefault="00792338" w:rsidP="007374FA">
      <w:pPr>
        <w:pStyle w:val="ListParagraph"/>
        <w:widowControl/>
        <w:tabs>
          <w:tab w:val="left" w:pos="1445"/>
          <w:tab w:val="left" w:pos="7920"/>
        </w:tabs>
        <w:autoSpaceDE w:val="0"/>
        <w:autoSpaceDN w:val="0"/>
        <w:adjustRightInd w:val="0"/>
        <w:spacing w:line="360" w:lineRule="auto"/>
        <w:ind w:left="0" w:firstLine="720"/>
        <w:rPr>
          <w:sz w:val="26"/>
          <w:szCs w:val="26"/>
        </w:rPr>
      </w:pPr>
    </w:p>
    <w:p w14:paraId="0E4A0072" w14:textId="5369F43C" w:rsidR="00EC35CF" w:rsidRDefault="00792338" w:rsidP="00FC3A22">
      <w:pPr>
        <w:widowControl/>
        <w:tabs>
          <w:tab w:val="left" w:pos="1445"/>
          <w:tab w:val="left" w:pos="4410"/>
          <w:tab w:val="left" w:pos="7920"/>
        </w:tabs>
        <w:autoSpaceDE w:val="0"/>
        <w:autoSpaceDN w:val="0"/>
        <w:adjustRightInd w:val="0"/>
        <w:spacing w:line="360" w:lineRule="auto"/>
        <w:ind w:firstLine="1440"/>
        <w:rPr>
          <w:sz w:val="26"/>
          <w:szCs w:val="26"/>
        </w:rPr>
      </w:pPr>
      <w:r w:rsidRPr="00A96FE4">
        <w:rPr>
          <w:sz w:val="26"/>
          <w:szCs w:val="26"/>
        </w:rPr>
        <w:t xml:space="preserve">The reasonableness of a mitigation measure depends on whether the measure was successful in reducing UFG, not whether such measures were carried out.  </w:t>
      </w:r>
      <w:r w:rsidR="002204CC">
        <w:rPr>
          <w:sz w:val="26"/>
          <w:szCs w:val="26"/>
        </w:rPr>
        <w:t xml:space="preserve">Nonetheless, in the </w:t>
      </w:r>
      <w:r>
        <w:rPr>
          <w:sz w:val="26"/>
          <w:szCs w:val="26"/>
        </w:rPr>
        <w:t xml:space="preserve">instant proceeding, </w:t>
      </w:r>
      <w:r w:rsidR="002204CC">
        <w:rPr>
          <w:sz w:val="26"/>
          <w:szCs w:val="26"/>
        </w:rPr>
        <w:t xml:space="preserve">we are permitting the </w:t>
      </w:r>
      <w:proofErr w:type="spellStart"/>
      <w:r w:rsidR="002204CC">
        <w:rPr>
          <w:sz w:val="26"/>
          <w:szCs w:val="26"/>
        </w:rPr>
        <w:t>Companyto</w:t>
      </w:r>
      <w:proofErr w:type="spellEnd"/>
      <w:r w:rsidR="002204CC">
        <w:rPr>
          <w:sz w:val="26"/>
          <w:szCs w:val="26"/>
        </w:rPr>
        <w:t xml:space="preserve"> recover its UFG costs </w:t>
      </w:r>
      <w:proofErr w:type="gramStart"/>
      <w:r w:rsidR="002204CC">
        <w:rPr>
          <w:sz w:val="26"/>
          <w:szCs w:val="26"/>
        </w:rPr>
        <w:t>despite the fact that</w:t>
      </w:r>
      <w:proofErr w:type="gramEnd"/>
      <w:r w:rsidR="002204CC">
        <w:rPr>
          <w:sz w:val="26"/>
          <w:szCs w:val="26"/>
        </w:rPr>
        <w:t xml:space="preserve"> </w:t>
      </w:r>
      <w:r w:rsidR="00195EF7">
        <w:rPr>
          <w:sz w:val="26"/>
          <w:szCs w:val="26"/>
        </w:rPr>
        <w:t xml:space="preserve">its </w:t>
      </w:r>
      <w:r>
        <w:rPr>
          <w:sz w:val="26"/>
          <w:szCs w:val="26"/>
        </w:rPr>
        <w:t xml:space="preserve">UFG </w:t>
      </w:r>
      <w:r w:rsidR="00195EF7">
        <w:rPr>
          <w:sz w:val="26"/>
          <w:szCs w:val="26"/>
        </w:rPr>
        <w:t xml:space="preserve">cost have </w:t>
      </w:r>
      <w:r>
        <w:rPr>
          <w:sz w:val="26"/>
          <w:szCs w:val="26"/>
        </w:rPr>
        <w:t>increased from 2016 to 2017</w:t>
      </w:r>
      <w:r w:rsidR="00195EF7">
        <w:rPr>
          <w:sz w:val="26"/>
          <w:szCs w:val="26"/>
        </w:rPr>
        <w:t xml:space="preserve">.  We put the </w:t>
      </w:r>
      <w:r w:rsidR="00195EF7">
        <w:rPr>
          <w:sz w:val="26"/>
          <w:szCs w:val="26"/>
        </w:rPr>
        <w:lastRenderedPageBreak/>
        <w:t xml:space="preserve">Company on notice, however that if its </w:t>
      </w:r>
      <w:r>
        <w:rPr>
          <w:sz w:val="26"/>
          <w:szCs w:val="26"/>
        </w:rPr>
        <w:t>reported total UFG in next year</w:t>
      </w:r>
      <w:r w:rsidR="00734951">
        <w:rPr>
          <w:sz w:val="26"/>
          <w:szCs w:val="26"/>
        </w:rPr>
        <w:t>’</w:t>
      </w:r>
      <w:r>
        <w:rPr>
          <w:sz w:val="26"/>
          <w:szCs w:val="26"/>
        </w:rPr>
        <w:t>s Section 1307(f) proceeding</w:t>
      </w:r>
      <w:r w:rsidR="00B456BD">
        <w:rPr>
          <w:sz w:val="26"/>
          <w:szCs w:val="26"/>
        </w:rPr>
        <w:t xml:space="preserve"> (</w:t>
      </w:r>
      <w:r w:rsidRPr="00C76E57">
        <w:rPr>
          <w:i/>
          <w:sz w:val="26"/>
          <w:szCs w:val="26"/>
        </w:rPr>
        <w:t>i.e</w:t>
      </w:r>
      <w:r>
        <w:rPr>
          <w:sz w:val="26"/>
          <w:szCs w:val="26"/>
        </w:rPr>
        <w:t>., for the twelve months ending August 31, 2018</w:t>
      </w:r>
      <w:r w:rsidR="00B456BD">
        <w:rPr>
          <w:sz w:val="26"/>
          <w:szCs w:val="26"/>
        </w:rPr>
        <w:t xml:space="preserve">) should </w:t>
      </w:r>
      <w:r>
        <w:rPr>
          <w:sz w:val="26"/>
          <w:szCs w:val="26"/>
        </w:rPr>
        <w:t>exceed the Company</w:t>
      </w:r>
      <w:r w:rsidR="00734951">
        <w:rPr>
          <w:sz w:val="26"/>
          <w:szCs w:val="26"/>
        </w:rPr>
        <w:t>’</w:t>
      </w:r>
      <w:r>
        <w:rPr>
          <w:sz w:val="26"/>
          <w:szCs w:val="26"/>
        </w:rPr>
        <w:t xml:space="preserve">s total </w:t>
      </w:r>
      <w:r w:rsidR="00B456BD">
        <w:rPr>
          <w:sz w:val="26"/>
          <w:szCs w:val="26"/>
        </w:rPr>
        <w:t xml:space="preserve">5.5% </w:t>
      </w:r>
      <w:r>
        <w:rPr>
          <w:sz w:val="26"/>
          <w:szCs w:val="26"/>
        </w:rPr>
        <w:t xml:space="preserve">UFG level </w:t>
      </w:r>
      <w:r w:rsidRPr="00D0009A">
        <w:rPr>
          <w:sz w:val="26"/>
          <w:szCs w:val="26"/>
        </w:rPr>
        <w:t>reported</w:t>
      </w:r>
      <w:r>
        <w:rPr>
          <w:sz w:val="26"/>
          <w:szCs w:val="26"/>
        </w:rPr>
        <w:t xml:space="preserve"> for the twelve months ending August 31, 2017</w:t>
      </w:r>
      <w:r w:rsidR="00D0009A">
        <w:rPr>
          <w:sz w:val="26"/>
          <w:szCs w:val="26"/>
        </w:rPr>
        <w:t xml:space="preserve"> (PNG Exh. No. 5 at 1)</w:t>
      </w:r>
      <w:r>
        <w:rPr>
          <w:sz w:val="26"/>
          <w:szCs w:val="26"/>
        </w:rPr>
        <w:t xml:space="preserve">, </w:t>
      </w:r>
      <w:r w:rsidR="00B456BD">
        <w:rPr>
          <w:sz w:val="26"/>
          <w:szCs w:val="26"/>
        </w:rPr>
        <w:t xml:space="preserve">we may </w:t>
      </w:r>
      <w:r>
        <w:rPr>
          <w:sz w:val="26"/>
          <w:szCs w:val="26"/>
        </w:rPr>
        <w:t xml:space="preserve">consider </w:t>
      </w:r>
      <w:r w:rsidR="00B456BD">
        <w:rPr>
          <w:sz w:val="26"/>
          <w:szCs w:val="26"/>
        </w:rPr>
        <w:t xml:space="preserve">disallowing the </w:t>
      </w:r>
      <w:r>
        <w:rPr>
          <w:sz w:val="26"/>
          <w:szCs w:val="26"/>
        </w:rPr>
        <w:t>recovery of the costs associated with the excess UFG, unless the Company could justify its failure in reducing UFG levels.</w:t>
      </w:r>
    </w:p>
    <w:p w14:paraId="24E3A9F6" w14:textId="77777777" w:rsidR="00FC3A22" w:rsidRDefault="00FC3A22" w:rsidP="00FC3A22">
      <w:pPr>
        <w:widowControl/>
        <w:tabs>
          <w:tab w:val="left" w:pos="1445"/>
          <w:tab w:val="left" w:pos="4410"/>
          <w:tab w:val="left" w:pos="7920"/>
        </w:tabs>
        <w:autoSpaceDE w:val="0"/>
        <w:autoSpaceDN w:val="0"/>
        <w:adjustRightInd w:val="0"/>
        <w:spacing w:line="360" w:lineRule="auto"/>
        <w:ind w:firstLine="1440"/>
        <w:rPr>
          <w:sz w:val="26"/>
          <w:szCs w:val="26"/>
        </w:rPr>
      </w:pPr>
    </w:p>
    <w:p w14:paraId="47FFCA17" w14:textId="26DB06EA" w:rsidR="00EC35CF" w:rsidRDefault="007A00CA" w:rsidP="007374FA">
      <w:pPr>
        <w:pStyle w:val="ListParagraph"/>
        <w:widowControl/>
        <w:tabs>
          <w:tab w:val="left" w:pos="1445"/>
          <w:tab w:val="left" w:pos="7920"/>
        </w:tabs>
        <w:autoSpaceDE w:val="0"/>
        <w:autoSpaceDN w:val="0"/>
        <w:adjustRightInd w:val="0"/>
        <w:spacing w:line="360" w:lineRule="auto"/>
        <w:ind w:left="0" w:firstLine="720"/>
        <w:rPr>
          <w:sz w:val="26"/>
          <w:szCs w:val="26"/>
        </w:rPr>
      </w:pPr>
      <w:r>
        <w:rPr>
          <w:sz w:val="26"/>
          <w:szCs w:val="26"/>
        </w:rPr>
        <w:tab/>
      </w:r>
      <w:r w:rsidRPr="00BD3452">
        <w:rPr>
          <w:sz w:val="26"/>
          <w:szCs w:val="26"/>
        </w:rPr>
        <w:t>Also</w:t>
      </w:r>
      <w:r w:rsidR="00EC35CF" w:rsidRPr="00BD3452">
        <w:rPr>
          <w:sz w:val="26"/>
          <w:szCs w:val="26"/>
        </w:rPr>
        <w:t>, as previously indicated, currently the justifiable cost of all UFG is passed through to customers via PGC rates and retainage charges.</w:t>
      </w:r>
      <w:r w:rsidR="00FC3A22">
        <w:rPr>
          <w:sz w:val="26"/>
          <w:szCs w:val="26"/>
        </w:rPr>
        <w:t xml:space="preserve"> </w:t>
      </w:r>
      <w:r w:rsidR="00EC35CF" w:rsidRPr="00BD3452">
        <w:rPr>
          <w:sz w:val="26"/>
          <w:szCs w:val="26"/>
        </w:rPr>
        <w:t xml:space="preserve"> While presumably that new investment in capital or costs associated with change in operations to reduce UFG should be paid for by customers through base rates, the underlying issue, should any producer retainage charge be approved, is what the appropriate cost sharing or level of reasonableness is appropriate between customers and conventional gas producers.</w:t>
      </w:r>
      <w:r w:rsidR="00AF3A0F" w:rsidRPr="00BD3452">
        <w:rPr>
          <w:sz w:val="26"/>
          <w:szCs w:val="26"/>
        </w:rPr>
        <w:t xml:space="preserve">  </w:t>
      </w:r>
      <w:r w:rsidR="00EC35CF" w:rsidRPr="00BD3452">
        <w:rPr>
          <w:sz w:val="26"/>
          <w:szCs w:val="26"/>
        </w:rPr>
        <w:t xml:space="preserve">The producer retainage rate of 2.0% was simply proposed by Peoples in this proceeding </w:t>
      </w:r>
      <w:proofErr w:type="gramStart"/>
      <w:r w:rsidR="00EC35CF" w:rsidRPr="00BD3452">
        <w:rPr>
          <w:sz w:val="26"/>
          <w:szCs w:val="26"/>
        </w:rPr>
        <w:t>in order to</w:t>
      </w:r>
      <w:proofErr w:type="gramEnd"/>
      <w:r w:rsidR="009C7B31" w:rsidRPr="00BD3452">
        <w:rPr>
          <w:sz w:val="26"/>
          <w:szCs w:val="26"/>
        </w:rPr>
        <w:t xml:space="preserve"> minimally increase</w:t>
      </w:r>
      <w:r w:rsidR="00EC35CF" w:rsidRPr="00BD3452">
        <w:rPr>
          <w:sz w:val="26"/>
          <w:szCs w:val="26"/>
        </w:rPr>
        <w:t xml:space="preserve"> the current retainage </w:t>
      </w:r>
      <w:r w:rsidR="00AF3A0F" w:rsidRPr="00BD3452">
        <w:rPr>
          <w:sz w:val="26"/>
          <w:szCs w:val="26"/>
        </w:rPr>
        <w:t>rate</w:t>
      </w:r>
      <w:r w:rsidR="009C7B31" w:rsidRPr="00BD3452">
        <w:rPr>
          <w:sz w:val="26"/>
          <w:szCs w:val="26"/>
        </w:rPr>
        <w:t xml:space="preserve"> by 0.2%, from</w:t>
      </w:r>
      <w:r w:rsidR="00EC35CF" w:rsidRPr="00BD3452">
        <w:rPr>
          <w:sz w:val="26"/>
          <w:szCs w:val="26"/>
        </w:rPr>
        <w:t xml:space="preserve"> 6.4% </w:t>
      </w:r>
      <w:r w:rsidR="009C7B31" w:rsidRPr="00BD3452">
        <w:rPr>
          <w:sz w:val="26"/>
          <w:szCs w:val="26"/>
        </w:rPr>
        <w:t>to 6.6%</w:t>
      </w:r>
      <w:r w:rsidR="00EC35CF" w:rsidRPr="00BD3452">
        <w:rPr>
          <w:sz w:val="26"/>
          <w:szCs w:val="26"/>
        </w:rPr>
        <w:t xml:space="preserve">, coincidentally recovering approximately </w:t>
      </w:r>
      <w:r w:rsidR="007B570B" w:rsidRPr="00BD3452">
        <w:rPr>
          <w:sz w:val="26"/>
          <w:szCs w:val="26"/>
        </w:rPr>
        <w:t>19</w:t>
      </w:r>
      <w:r w:rsidR="00EC35CF" w:rsidRPr="00BD3452">
        <w:rPr>
          <w:sz w:val="26"/>
          <w:szCs w:val="26"/>
        </w:rPr>
        <w:t>% of gathering system UFG fro</w:t>
      </w:r>
      <w:r w:rsidR="00AF3A0F" w:rsidRPr="00BD3452">
        <w:rPr>
          <w:sz w:val="26"/>
          <w:szCs w:val="26"/>
        </w:rPr>
        <w:t>m</w:t>
      </w:r>
      <w:r w:rsidR="00EC35CF" w:rsidRPr="00BD3452">
        <w:rPr>
          <w:sz w:val="26"/>
          <w:szCs w:val="26"/>
        </w:rPr>
        <w:t xml:space="preserve"> producers.</w:t>
      </w:r>
      <w:r w:rsidR="003C0E7C">
        <w:rPr>
          <w:sz w:val="26"/>
          <w:szCs w:val="26"/>
        </w:rPr>
        <w:t xml:space="preserve"> </w:t>
      </w:r>
      <w:r w:rsidR="00EC35CF" w:rsidRPr="00BD3452">
        <w:rPr>
          <w:sz w:val="26"/>
          <w:szCs w:val="26"/>
        </w:rPr>
        <w:t xml:space="preserve"> However, this fact does not diminish the purpose and the reasoning behind the Company</w:t>
      </w:r>
      <w:r w:rsidR="00734951">
        <w:rPr>
          <w:sz w:val="26"/>
          <w:szCs w:val="26"/>
        </w:rPr>
        <w:t>’</w:t>
      </w:r>
      <w:r w:rsidR="00EC35CF" w:rsidRPr="00BD3452">
        <w:rPr>
          <w:sz w:val="26"/>
          <w:szCs w:val="26"/>
        </w:rPr>
        <w:t>s proposal of such a charge.</w:t>
      </w:r>
      <w:r w:rsidR="003C0E7C">
        <w:rPr>
          <w:sz w:val="26"/>
          <w:szCs w:val="26"/>
        </w:rPr>
        <w:t xml:space="preserve"> </w:t>
      </w:r>
      <w:r w:rsidR="00EC35CF" w:rsidRPr="00BD3452">
        <w:rPr>
          <w:sz w:val="26"/>
          <w:szCs w:val="26"/>
        </w:rPr>
        <w:t xml:space="preserve"> Therefore, while we </w:t>
      </w:r>
      <w:r w:rsidR="003C0E7C">
        <w:rPr>
          <w:sz w:val="26"/>
          <w:szCs w:val="26"/>
        </w:rPr>
        <w:t xml:space="preserve">are </w:t>
      </w:r>
      <w:r w:rsidR="00EC35CF" w:rsidRPr="00BD3452">
        <w:rPr>
          <w:sz w:val="26"/>
          <w:szCs w:val="26"/>
        </w:rPr>
        <w:t>adopt</w:t>
      </w:r>
      <w:r w:rsidR="003C0E7C">
        <w:rPr>
          <w:sz w:val="26"/>
          <w:szCs w:val="26"/>
        </w:rPr>
        <w:t>ing</w:t>
      </w:r>
      <w:r w:rsidR="00EC35CF" w:rsidRPr="00BD3452">
        <w:rPr>
          <w:sz w:val="26"/>
          <w:szCs w:val="26"/>
        </w:rPr>
        <w:t xml:space="preserve"> the ALJ</w:t>
      </w:r>
      <w:r w:rsidR="00734951">
        <w:rPr>
          <w:sz w:val="26"/>
          <w:szCs w:val="26"/>
        </w:rPr>
        <w:t>’</w:t>
      </w:r>
      <w:r w:rsidR="00EC35CF" w:rsidRPr="00BD3452">
        <w:rPr>
          <w:sz w:val="26"/>
          <w:szCs w:val="26"/>
        </w:rPr>
        <w:t xml:space="preserve">s recommendation approving the proposed producer charge, we </w:t>
      </w:r>
      <w:r w:rsidR="003C0E7C">
        <w:rPr>
          <w:sz w:val="26"/>
          <w:szCs w:val="26"/>
        </w:rPr>
        <w:t xml:space="preserve">shall </w:t>
      </w:r>
      <w:r w:rsidR="00EC35CF" w:rsidRPr="00BD3452">
        <w:rPr>
          <w:sz w:val="26"/>
          <w:szCs w:val="26"/>
        </w:rPr>
        <w:t xml:space="preserve">direct Peoples to develop and submit as part of its next Section 1307(f) filing, a cost allocation study, supported by either empirical evidence or compelling logic, to determine more accurately what portion of UFG costs should be recovered from conventional </w:t>
      </w:r>
      <w:r w:rsidRPr="00BD3452">
        <w:rPr>
          <w:sz w:val="26"/>
          <w:szCs w:val="26"/>
        </w:rPr>
        <w:t xml:space="preserve">gas </w:t>
      </w:r>
      <w:r w:rsidR="00EC35CF" w:rsidRPr="00BD3452">
        <w:rPr>
          <w:sz w:val="26"/>
          <w:szCs w:val="26"/>
        </w:rPr>
        <w:t>producers.</w:t>
      </w:r>
    </w:p>
    <w:p w14:paraId="3AF8A26E" w14:textId="77777777" w:rsidR="00D21F68" w:rsidRDefault="00D21F68" w:rsidP="007374FA">
      <w:pPr>
        <w:pStyle w:val="ListParagraph"/>
        <w:widowControl/>
        <w:tabs>
          <w:tab w:val="left" w:pos="1445"/>
          <w:tab w:val="left" w:pos="7920"/>
        </w:tabs>
        <w:autoSpaceDE w:val="0"/>
        <w:autoSpaceDN w:val="0"/>
        <w:adjustRightInd w:val="0"/>
        <w:spacing w:line="360" w:lineRule="auto"/>
        <w:ind w:left="0" w:firstLine="720"/>
        <w:rPr>
          <w:sz w:val="26"/>
          <w:szCs w:val="26"/>
        </w:rPr>
      </w:pPr>
    </w:p>
    <w:p w14:paraId="6F7C3A23" w14:textId="49139EBB" w:rsidR="00D21F68" w:rsidRDefault="00D21F68" w:rsidP="007374FA">
      <w:pPr>
        <w:pStyle w:val="ListParagraph"/>
        <w:widowControl/>
        <w:tabs>
          <w:tab w:val="left" w:pos="1445"/>
          <w:tab w:val="left" w:pos="7920"/>
        </w:tabs>
        <w:autoSpaceDE w:val="0"/>
        <w:autoSpaceDN w:val="0"/>
        <w:adjustRightInd w:val="0"/>
        <w:spacing w:line="360" w:lineRule="auto"/>
        <w:ind w:left="0"/>
        <w:rPr>
          <w:sz w:val="26"/>
          <w:szCs w:val="26"/>
        </w:rPr>
      </w:pPr>
      <w:r>
        <w:rPr>
          <w:sz w:val="26"/>
          <w:szCs w:val="26"/>
        </w:rPr>
        <w:tab/>
      </w:r>
      <w:r w:rsidR="00C332A8">
        <w:rPr>
          <w:sz w:val="26"/>
          <w:szCs w:val="26"/>
        </w:rPr>
        <w:t>Before concluding this disposition, we note that our approval of the Company-</w:t>
      </w:r>
      <w:r>
        <w:rPr>
          <w:sz w:val="26"/>
          <w:szCs w:val="26"/>
        </w:rPr>
        <w:t xml:space="preserve">proposed producer </w:t>
      </w:r>
      <w:r w:rsidR="00C332A8">
        <w:rPr>
          <w:sz w:val="26"/>
          <w:szCs w:val="26"/>
        </w:rPr>
        <w:t xml:space="preserve">retainage </w:t>
      </w:r>
      <w:r>
        <w:rPr>
          <w:sz w:val="26"/>
          <w:szCs w:val="26"/>
        </w:rPr>
        <w:t>charge</w:t>
      </w:r>
      <w:r w:rsidR="00C332A8">
        <w:rPr>
          <w:sz w:val="26"/>
          <w:szCs w:val="26"/>
        </w:rPr>
        <w:t xml:space="preserve"> is consistent</w:t>
      </w:r>
      <w:r>
        <w:rPr>
          <w:sz w:val="26"/>
          <w:szCs w:val="26"/>
        </w:rPr>
        <w:t xml:space="preserve"> with the ALJ</w:t>
      </w:r>
      <w:r w:rsidR="00734951">
        <w:rPr>
          <w:sz w:val="26"/>
          <w:szCs w:val="26"/>
        </w:rPr>
        <w:t>’</w:t>
      </w:r>
      <w:r>
        <w:rPr>
          <w:sz w:val="26"/>
          <w:szCs w:val="26"/>
        </w:rPr>
        <w:t>s conclusion that because the producers are also beneficiaries of Peoples</w:t>
      </w:r>
      <w:r w:rsidR="00734951">
        <w:rPr>
          <w:sz w:val="26"/>
          <w:szCs w:val="26"/>
        </w:rPr>
        <w:t>’</w:t>
      </w:r>
      <w:r>
        <w:rPr>
          <w:sz w:val="26"/>
          <w:szCs w:val="26"/>
        </w:rPr>
        <w:t xml:space="preserve"> gathering system, it is only logical that they also contribute to the costs associated with the gathering system UFG.  R.D. at 88-90.  </w:t>
      </w:r>
      <w:r w:rsidR="005654A1">
        <w:rPr>
          <w:sz w:val="26"/>
          <w:szCs w:val="26"/>
        </w:rPr>
        <w:t>We note that approximately 81% of the gathering system UFG would be recovered from Peoples</w:t>
      </w:r>
      <w:r w:rsidR="00734951">
        <w:rPr>
          <w:sz w:val="26"/>
          <w:szCs w:val="26"/>
        </w:rPr>
        <w:t>’</w:t>
      </w:r>
      <w:r w:rsidR="005654A1">
        <w:rPr>
          <w:sz w:val="26"/>
          <w:szCs w:val="26"/>
        </w:rPr>
        <w:t xml:space="preserve"> customers </w:t>
      </w:r>
      <w:r w:rsidR="00132392">
        <w:rPr>
          <w:sz w:val="26"/>
          <w:szCs w:val="26"/>
        </w:rPr>
        <w:t xml:space="preserve">while </w:t>
      </w:r>
      <w:r w:rsidR="005654A1">
        <w:rPr>
          <w:sz w:val="26"/>
          <w:szCs w:val="26"/>
        </w:rPr>
        <w:t xml:space="preserve">only 19% will be recovered from the </w:t>
      </w:r>
      <w:r w:rsidR="00776574">
        <w:rPr>
          <w:sz w:val="26"/>
          <w:szCs w:val="26"/>
        </w:rPr>
        <w:lastRenderedPageBreak/>
        <w:t xml:space="preserve">conventional </w:t>
      </w:r>
      <w:r w:rsidR="005654A1">
        <w:rPr>
          <w:sz w:val="26"/>
          <w:szCs w:val="26"/>
        </w:rPr>
        <w:t>gas producer</w:t>
      </w:r>
      <w:r w:rsidR="00132392">
        <w:rPr>
          <w:sz w:val="26"/>
          <w:szCs w:val="26"/>
        </w:rPr>
        <w:t>s.  This is only a fraction of the total cost of the gathering system UFG</w:t>
      </w:r>
      <w:r w:rsidR="005654A1">
        <w:rPr>
          <w:sz w:val="26"/>
          <w:szCs w:val="26"/>
        </w:rPr>
        <w:t xml:space="preserve">.  PNG M.B. at 11.  </w:t>
      </w:r>
      <w:r>
        <w:rPr>
          <w:sz w:val="26"/>
          <w:szCs w:val="26"/>
        </w:rPr>
        <w:t xml:space="preserve">It is clear that </w:t>
      </w:r>
      <w:proofErr w:type="gramStart"/>
      <w:r>
        <w:rPr>
          <w:sz w:val="26"/>
          <w:szCs w:val="26"/>
        </w:rPr>
        <w:t>at the moment</w:t>
      </w:r>
      <w:proofErr w:type="gramEnd"/>
      <w:r>
        <w:rPr>
          <w:sz w:val="26"/>
          <w:szCs w:val="26"/>
        </w:rPr>
        <w:t>, only transportation and sales customers bear the burden of the Peoples Companies</w:t>
      </w:r>
      <w:r w:rsidR="00734951">
        <w:rPr>
          <w:sz w:val="26"/>
          <w:szCs w:val="26"/>
        </w:rPr>
        <w:t>’</w:t>
      </w:r>
      <w:r>
        <w:rPr>
          <w:sz w:val="26"/>
          <w:szCs w:val="26"/>
        </w:rPr>
        <w:t xml:space="preserve"> gathering system UFG.  As beneficiaries of the gathering system, we believe it is fair </w:t>
      </w:r>
      <w:r w:rsidR="0007718B">
        <w:rPr>
          <w:sz w:val="26"/>
          <w:szCs w:val="26"/>
        </w:rPr>
        <w:t>and in the public interest that</w:t>
      </w:r>
      <w:r>
        <w:rPr>
          <w:sz w:val="26"/>
          <w:szCs w:val="26"/>
        </w:rPr>
        <w:t xml:space="preserve"> the producers also contribute to the costs associated with the Compan</w:t>
      </w:r>
      <w:r w:rsidR="005E23A9">
        <w:rPr>
          <w:sz w:val="26"/>
          <w:szCs w:val="26"/>
        </w:rPr>
        <w:t>y</w:t>
      </w:r>
      <w:r w:rsidR="00734951">
        <w:rPr>
          <w:sz w:val="26"/>
          <w:szCs w:val="26"/>
        </w:rPr>
        <w:t>’</w:t>
      </w:r>
      <w:r w:rsidR="005E23A9">
        <w:rPr>
          <w:sz w:val="26"/>
          <w:szCs w:val="26"/>
        </w:rPr>
        <w:t>s</w:t>
      </w:r>
      <w:r>
        <w:rPr>
          <w:sz w:val="26"/>
          <w:szCs w:val="26"/>
        </w:rPr>
        <w:t xml:space="preserve"> gathering system.  The record </w:t>
      </w:r>
      <w:r w:rsidR="0007718B">
        <w:rPr>
          <w:sz w:val="26"/>
          <w:szCs w:val="26"/>
        </w:rPr>
        <w:t xml:space="preserve">in this proceeding </w:t>
      </w:r>
      <w:r>
        <w:rPr>
          <w:sz w:val="26"/>
          <w:szCs w:val="26"/>
        </w:rPr>
        <w:t>is clear that the gathering system often provides the only way th</w:t>
      </w:r>
      <w:r w:rsidR="0007718B">
        <w:rPr>
          <w:sz w:val="26"/>
          <w:szCs w:val="26"/>
        </w:rPr>
        <w:t>at</w:t>
      </w:r>
      <w:r>
        <w:rPr>
          <w:sz w:val="26"/>
          <w:szCs w:val="26"/>
        </w:rPr>
        <w:t xml:space="preserve"> producers </w:t>
      </w:r>
      <w:r w:rsidR="0007718B">
        <w:rPr>
          <w:sz w:val="26"/>
          <w:szCs w:val="26"/>
        </w:rPr>
        <w:t>can m</w:t>
      </w:r>
      <w:r>
        <w:rPr>
          <w:sz w:val="26"/>
          <w:szCs w:val="26"/>
        </w:rPr>
        <w:t>ove their gas to market.  It is also clear that Equitable already have a gathering system retainage charge for producers, as shown in Equitable Rate AGS.  We note that PIOGA</w:t>
      </w:r>
      <w:r w:rsidR="00734951">
        <w:rPr>
          <w:sz w:val="26"/>
          <w:szCs w:val="26"/>
        </w:rPr>
        <w:t>’</w:t>
      </w:r>
      <w:r>
        <w:rPr>
          <w:sz w:val="26"/>
          <w:szCs w:val="26"/>
        </w:rPr>
        <w:t xml:space="preserve">s witness testified, that without the proposed producer charge, producers have no incentive to </w:t>
      </w:r>
      <w:r w:rsidR="00E83213">
        <w:rPr>
          <w:sz w:val="26"/>
          <w:szCs w:val="26"/>
        </w:rPr>
        <w:t>r</w:t>
      </w:r>
      <w:r>
        <w:rPr>
          <w:sz w:val="26"/>
          <w:szCs w:val="26"/>
        </w:rPr>
        <w:t xml:space="preserve">educe UFG on its gathering system.  Tr. at 92.  </w:t>
      </w:r>
      <w:r w:rsidR="00E83213">
        <w:rPr>
          <w:sz w:val="26"/>
          <w:szCs w:val="26"/>
        </w:rPr>
        <w:t xml:space="preserve">Thus, we agree with </w:t>
      </w:r>
      <w:r>
        <w:rPr>
          <w:sz w:val="26"/>
          <w:szCs w:val="26"/>
        </w:rPr>
        <w:t xml:space="preserve">the OCA </w:t>
      </w:r>
      <w:r w:rsidR="00E83213">
        <w:rPr>
          <w:sz w:val="26"/>
          <w:szCs w:val="26"/>
        </w:rPr>
        <w:t xml:space="preserve">that </w:t>
      </w:r>
      <w:r>
        <w:rPr>
          <w:sz w:val="26"/>
          <w:szCs w:val="26"/>
        </w:rPr>
        <w:t xml:space="preserve">approval of the proposed charge </w:t>
      </w:r>
      <w:r w:rsidR="00E83213">
        <w:rPr>
          <w:sz w:val="26"/>
          <w:szCs w:val="26"/>
        </w:rPr>
        <w:t xml:space="preserve">will </w:t>
      </w:r>
      <w:r>
        <w:rPr>
          <w:sz w:val="26"/>
          <w:szCs w:val="26"/>
        </w:rPr>
        <w:t>begin the process of assigning responsibility for gathering system UFG to those that benefit and/or use the gathering system and that</w:t>
      </w:r>
      <w:r w:rsidR="00E83213">
        <w:rPr>
          <w:sz w:val="26"/>
          <w:szCs w:val="26"/>
        </w:rPr>
        <w:t xml:space="preserve"> this will </w:t>
      </w:r>
      <w:r>
        <w:rPr>
          <w:sz w:val="26"/>
          <w:szCs w:val="26"/>
        </w:rPr>
        <w:t xml:space="preserve">reduce the losses </w:t>
      </w:r>
      <w:r w:rsidR="00E83213">
        <w:rPr>
          <w:sz w:val="26"/>
          <w:szCs w:val="26"/>
        </w:rPr>
        <w:t>that otherwise would have been</w:t>
      </w:r>
      <w:r>
        <w:rPr>
          <w:sz w:val="26"/>
          <w:szCs w:val="26"/>
        </w:rPr>
        <w:t xml:space="preserve"> recovered from retail sales and transportation customers.  OCA St. 1 at 9-10. </w:t>
      </w:r>
    </w:p>
    <w:p w14:paraId="0BCF4B4D" w14:textId="77777777" w:rsidR="00D21F68" w:rsidRPr="002E5F97" w:rsidRDefault="00D21F68" w:rsidP="007374FA">
      <w:pPr>
        <w:widowControl/>
        <w:rPr>
          <w:sz w:val="26"/>
          <w:szCs w:val="26"/>
        </w:rPr>
      </w:pPr>
    </w:p>
    <w:p w14:paraId="2A8882BE" w14:textId="4B2FCBD0" w:rsidR="00D72425" w:rsidRPr="001E0D80" w:rsidRDefault="00D72425" w:rsidP="00A666DC">
      <w:pPr>
        <w:pStyle w:val="Heading3"/>
      </w:pPr>
      <w:bookmarkStart w:id="39" w:name="_Toc524442364"/>
      <w:r w:rsidRPr="001E0D80">
        <w:t>PIOGA</w:t>
      </w:r>
      <w:r w:rsidR="00734951">
        <w:t>’</w:t>
      </w:r>
      <w:r w:rsidRPr="001E0D80">
        <w:t>s Exception No. 2</w:t>
      </w:r>
      <w:r w:rsidR="008031C2" w:rsidRPr="001E0D80">
        <w:t xml:space="preserve">, </w:t>
      </w:r>
      <w:r w:rsidRPr="001E0D80">
        <w:t>Replies</w:t>
      </w:r>
      <w:r w:rsidR="008031C2" w:rsidRPr="001E0D80">
        <w:t xml:space="preserve"> and Disposition</w:t>
      </w:r>
      <w:bookmarkEnd w:id="39"/>
    </w:p>
    <w:p w14:paraId="520C8E96" w14:textId="77777777" w:rsidR="00D72425" w:rsidRDefault="00D72425" w:rsidP="00A666DC">
      <w:pPr>
        <w:keepNext/>
        <w:keepLines/>
        <w:widowControl/>
        <w:tabs>
          <w:tab w:val="left" w:pos="1445"/>
          <w:tab w:val="left" w:pos="7920"/>
        </w:tabs>
        <w:autoSpaceDE w:val="0"/>
        <w:autoSpaceDN w:val="0"/>
        <w:adjustRightInd w:val="0"/>
        <w:spacing w:line="360" w:lineRule="auto"/>
        <w:rPr>
          <w:b/>
          <w:sz w:val="26"/>
          <w:szCs w:val="26"/>
        </w:rPr>
      </w:pPr>
    </w:p>
    <w:p w14:paraId="46C6E8FB" w14:textId="640A229D" w:rsidR="009F3BF4" w:rsidRDefault="00D72425" w:rsidP="007374FA">
      <w:pPr>
        <w:widowControl/>
        <w:tabs>
          <w:tab w:val="left" w:pos="1445"/>
          <w:tab w:val="left" w:pos="7920"/>
        </w:tabs>
        <w:autoSpaceDE w:val="0"/>
        <w:autoSpaceDN w:val="0"/>
        <w:adjustRightInd w:val="0"/>
        <w:spacing w:line="360" w:lineRule="auto"/>
        <w:rPr>
          <w:sz w:val="26"/>
          <w:szCs w:val="26"/>
        </w:rPr>
      </w:pPr>
      <w:r>
        <w:rPr>
          <w:b/>
          <w:sz w:val="26"/>
          <w:szCs w:val="26"/>
        </w:rPr>
        <w:tab/>
      </w:r>
      <w:r w:rsidR="003F2E6C">
        <w:rPr>
          <w:sz w:val="26"/>
          <w:szCs w:val="26"/>
        </w:rPr>
        <w:t xml:space="preserve">In its Exception No. </w:t>
      </w:r>
      <w:r w:rsidR="00DA2A42">
        <w:rPr>
          <w:sz w:val="26"/>
          <w:szCs w:val="26"/>
        </w:rPr>
        <w:t>2</w:t>
      </w:r>
      <w:r w:rsidR="003F2E6C">
        <w:rPr>
          <w:sz w:val="26"/>
          <w:szCs w:val="26"/>
        </w:rPr>
        <w:t xml:space="preserve">, PIOGA </w:t>
      </w:r>
      <w:r w:rsidR="00394EE1">
        <w:rPr>
          <w:sz w:val="26"/>
          <w:szCs w:val="26"/>
        </w:rPr>
        <w:t>avers the ALJ misunderstood its argument in concluding that Peoples</w:t>
      </w:r>
      <w:r w:rsidR="00734951">
        <w:rPr>
          <w:sz w:val="26"/>
          <w:szCs w:val="26"/>
        </w:rPr>
        <w:t>’</w:t>
      </w:r>
      <w:r w:rsidR="00394EE1">
        <w:rPr>
          <w:sz w:val="26"/>
          <w:szCs w:val="26"/>
        </w:rPr>
        <w:t xml:space="preserve"> historical practice of not charging producers a gathering charge prohibits the </w:t>
      </w:r>
      <w:r w:rsidR="005E11CB">
        <w:rPr>
          <w:sz w:val="26"/>
          <w:szCs w:val="26"/>
        </w:rPr>
        <w:t xml:space="preserve">proposed </w:t>
      </w:r>
      <w:r w:rsidR="00394EE1">
        <w:rPr>
          <w:sz w:val="26"/>
          <w:szCs w:val="26"/>
        </w:rPr>
        <w:t xml:space="preserve">charge.  Exc. at 7 (citing R.D. at 77-79; </w:t>
      </w:r>
      <w:r w:rsidR="003F2E6C">
        <w:rPr>
          <w:sz w:val="26"/>
          <w:szCs w:val="26"/>
        </w:rPr>
        <w:t xml:space="preserve">Finding of Fact Nos. </w:t>
      </w:r>
      <w:r w:rsidR="00DA2A42">
        <w:rPr>
          <w:sz w:val="26"/>
          <w:szCs w:val="26"/>
        </w:rPr>
        <w:t>69, 70</w:t>
      </w:r>
      <w:r w:rsidR="003F2E6C">
        <w:rPr>
          <w:sz w:val="26"/>
          <w:szCs w:val="26"/>
        </w:rPr>
        <w:t xml:space="preserve"> and </w:t>
      </w:r>
      <w:r w:rsidR="00DA2A42">
        <w:rPr>
          <w:sz w:val="26"/>
          <w:szCs w:val="26"/>
        </w:rPr>
        <w:t>72</w:t>
      </w:r>
      <w:r w:rsidR="00394EE1">
        <w:rPr>
          <w:sz w:val="26"/>
          <w:szCs w:val="26"/>
        </w:rPr>
        <w:t>;</w:t>
      </w:r>
      <w:r w:rsidR="003F2E6C">
        <w:rPr>
          <w:sz w:val="26"/>
          <w:szCs w:val="26"/>
        </w:rPr>
        <w:t xml:space="preserve"> Conclusion of Law No. 27</w:t>
      </w:r>
      <w:r w:rsidR="00394EE1">
        <w:rPr>
          <w:sz w:val="26"/>
          <w:szCs w:val="26"/>
        </w:rPr>
        <w:t xml:space="preserve">; </w:t>
      </w:r>
      <w:r w:rsidR="003F2E6C">
        <w:rPr>
          <w:sz w:val="26"/>
          <w:szCs w:val="26"/>
        </w:rPr>
        <w:t xml:space="preserve">Ordering Paragraph Nos. 2, 5, 6).  </w:t>
      </w:r>
      <w:r w:rsidR="002F7F13">
        <w:rPr>
          <w:sz w:val="26"/>
          <w:szCs w:val="26"/>
        </w:rPr>
        <w:t>I</w:t>
      </w:r>
      <w:r w:rsidR="001C054E">
        <w:rPr>
          <w:sz w:val="26"/>
          <w:szCs w:val="26"/>
        </w:rPr>
        <w:t>n addition to questioning the Compan</w:t>
      </w:r>
      <w:r w:rsidR="00C455CD">
        <w:rPr>
          <w:sz w:val="26"/>
          <w:szCs w:val="26"/>
        </w:rPr>
        <w:t>y</w:t>
      </w:r>
      <w:r w:rsidR="00734951">
        <w:rPr>
          <w:sz w:val="26"/>
          <w:szCs w:val="26"/>
        </w:rPr>
        <w:t>’</w:t>
      </w:r>
      <w:r w:rsidR="00C455CD">
        <w:rPr>
          <w:sz w:val="26"/>
          <w:szCs w:val="26"/>
        </w:rPr>
        <w:t>s</w:t>
      </w:r>
      <w:r w:rsidR="001C054E">
        <w:rPr>
          <w:sz w:val="26"/>
          <w:szCs w:val="26"/>
        </w:rPr>
        <w:t xml:space="preserve"> </w:t>
      </w:r>
      <w:r w:rsidR="003F1EFB">
        <w:rPr>
          <w:sz w:val="26"/>
          <w:szCs w:val="26"/>
        </w:rPr>
        <w:t xml:space="preserve">decision </w:t>
      </w:r>
      <w:r w:rsidR="0073092A">
        <w:rPr>
          <w:sz w:val="26"/>
          <w:szCs w:val="26"/>
        </w:rPr>
        <w:t xml:space="preserve">to </w:t>
      </w:r>
      <w:r w:rsidR="002F7F13">
        <w:rPr>
          <w:sz w:val="26"/>
          <w:szCs w:val="26"/>
        </w:rPr>
        <w:t xml:space="preserve">suddenly </w:t>
      </w:r>
      <w:r w:rsidR="0073092A">
        <w:rPr>
          <w:sz w:val="26"/>
          <w:szCs w:val="26"/>
        </w:rPr>
        <w:t>charge a</w:t>
      </w:r>
      <w:r w:rsidR="003F1EFB">
        <w:rPr>
          <w:sz w:val="26"/>
          <w:szCs w:val="26"/>
        </w:rPr>
        <w:t xml:space="preserve"> producer retainage</w:t>
      </w:r>
      <w:r w:rsidR="0073092A">
        <w:rPr>
          <w:sz w:val="26"/>
          <w:szCs w:val="26"/>
        </w:rPr>
        <w:t xml:space="preserve"> rate</w:t>
      </w:r>
      <w:r w:rsidR="003F1EFB">
        <w:rPr>
          <w:sz w:val="26"/>
          <w:szCs w:val="26"/>
        </w:rPr>
        <w:t>,</w:t>
      </w:r>
      <w:r w:rsidR="001C054E">
        <w:rPr>
          <w:sz w:val="26"/>
          <w:szCs w:val="26"/>
        </w:rPr>
        <w:t xml:space="preserve"> </w:t>
      </w:r>
      <w:r w:rsidR="003F2E6C">
        <w:rPr>
          <w:sz w:val="26"/>
          <w:szCs w:val="26"/>
        </w:rPr>
        <w:t>PIOGA disagrees with the ALJ</w:t>
      </w:r>
      <w:r w:rsidR="00734951">
        <w:rPr>
          <w:sz w:val="26"/>
          <w:szCs w:val="26"/>
        </w:rPr>
        <w:t>’</w:t>
      </w:r>
      <w:r w:rsidR="003F2E6C">
        <w:rPr>
          <w:sz w:val="26"/>
          <w:szCs w:val="26"/>
        </w:rPr>
        <w:t xml:space="preserve">s </w:t>
      </w:r>
      <w:r w:rsidR="005D2E7D">
        <w:rPr>
          <w:sz w:val="26"/>
          <w:szCs w:val="26"/>
        </w:rPr>
        <w:t>agreement with</w:t>
      </w:r>
      <w:r w:rsidR="005E11CB">
        <w:rPr>
          <w:sz w:val="26"/>
          <w:szCs w:val="26"/>
        </w:rPr>
        <w:t xml:space="preserve"> the Compan</w:t>
      </w:r>
      <w:r w:rsidR="00265019">
        <w:rPr>
          <w:sz w:val="26"/>
          <w:szCs w:val="26"/>
        </w:rPr>
        <w:t>y</w:t>
      </w:r>
      <w:r w:rsidR="00734951">
        <w:rPr>
          <w:sz w:val="26"/>
          <w:szCs w:val="26"/>
        </w:rPr>
        <w:t>’</w:t>
      </w:r>
      <w:r w:rsidR="00265019">
        <w:rPr>
          <w:sz w:val="26"/>
          <w:szCs w:val="26"/>
        </w:rPr>
        <w:t>s</w:t>
      </w:r>
      <w:r w:rsidR="003F1EFB">
        <w:rPr>
          <w:sz w:val="26"/>
          <w:szCs w:val="26"/>
        </w:rPr>
        <w:t xml:space="preserve"> rationale for the charge.  PIOGA </w:t>
      </w:r>
      <w:r w:rsidR="002F7F13">
        <w:rPr>
          <w:sz w:val="26"/>
          <w:szCs w:val="26"/>
        </w:rPr>
        <w:t>submits that t</w:t>
      </w:r>
      <w:r w:rsidR="003F1EFB">
        <w:rPr>
          <w:sz w:val="26"/>
          <w:szCs w:val="26"/>
        </w:rPr>
        <w:t>he ALJ</w:t>
      </w:r>
      <w:r w:rsidR="00734951">
        <w:rPr>
          <w:sz w:val="26"/>
          <w:szCs w:val="26"/>
        </w:rPr>
        <w:t>’</w:t>
      </w:r>
      <w:r w:rsidR="003F1EFB">
        <w:rPr>
          <w:sz w:val="26"/>
          <w:szCs w:val="26"/>
        </w:rPr>
        <w:t xml:space="preserve">s decision is based on a misunderstanding of the arguments </w:t>
      </w:r>
      <w:r w:rsidR="002D4735">
        <w:rPr>
          <w:sz w:val="26"/>
          <w:szCs w:val="26"/>
        </w:rPr>
        <w:t>PIOGA presented</w:t>
      </w:r>
      <w:r w:rsidR="003F1EFB">
        <w:rPr>
          <w:sz w:val="26"/>
          <w:szCs w:val="26"/>
        </w:rPr>
        <w:t xml:space="preserve"> in this proceeding opposing the rationale.  PIOGA disagrees that </w:t>
      </w:r>
      <w:r w:rsidR="005D2E7D">
        <w:rPr>
          <w:sz w:val="26"/>
          <w:szCs w:val="26"/>
        </w:rPr>
        <w:t>the producer retainage charge is necessary to provide conventional gas producers with an incentive to help P</w:t>
      </w:r>
      <w:r w:rsidR="00747549">
        <w:rPr>
          <w:sz w:val="26"/>
          <w:szCs w:val="26"/>
        </w:rPr>
        <w:t>eople</w:t>
      </w:r>
      <w:r w:rsidR="005E11CB">
        <w:rPr>
          <w:sz w:val="26"/>
          <w:szCs w:val="26"/>
        </w:rPr>
        <w:t>s</w:t>
      </w:r>
      <w:r w:rsidR="005D2E7D">
        <w:rPr>
          <w:sz w:val="26"/>
          <w:szCs w:val="26"/>
        </w:rPr>
        <w:t xml:space="preserve"> reduce gathering system</w:t>
      </w:r>
      <w:r w:rsidR="00E55C43">
        <w:rPr>
          <w:sz w:val="26"/>
          <w:szCs w:val="26"/>
        </w:rPr>
        <w:t xml:space="preserve"> UFG</w:t>
      </w:r>
      <w:r w:rsidR="001C054E">
        <w:rPr>
          <w:sz w:val="26"/>
          <w:szCs w:val="26"/>
        </w:rPr>
        <w:t xml:space="preserve">.  </w:t>
      </w:r>
      <w:r w:rsidR="00E55C43">
        <w:rPr>
          <w:sz w:val="26"/>
          <w:szCs w:val="26"/>
        </w:rPr>
        <w:t xml:space="preserve">Exc. at </w:t>
      </w:r>
      <w:r w:rsidR="00667DD2">
        <w:rPr>
          <w:sz w:val="26"/>
          <w:szCs w:val="26"/>
        </w:rPr>
        <w:t>8</w:t>
      </w:r>
      <w:r w:rsidR="00E55C43">
        <w:rPr>
          <w:sz w:val="26"/>
          <w:szCs w:val="26"/>
        </w:rPr>
        <w:t>-9 (R.D. at</w:t>
      </w:r>
      <w:r w:rsidR="00BC570A">
        <w:rPr>
          <w:sz w:val="26"/>
          <w:szCs w:val="26"/>
        </w:rPr>
        <w:t> </w:t>
      </w:r>
      <w:r w:rsidR="00E55C43">
        <w:rPr>
          <w:sz w:val="26"/>
          <w:szCs w:val="26"/>
        </w:rPr>
        <w:t>78</w:t>
      </w:r>
      <w:r w:rsidR="00BC570A">
        <w:rPr>
          <w:sz w:val="26"/>
          <w:szCs w:val="26"/>
        </w:rPr>
        <w:noBreakHyphen/>
      </w:r>
      <w:r w:rsidR="00E55C43">
        <w:rPr>
          <w:sz w:val="26"/>
          <w:szCs w:val="26"/>
        </w:rPr>
        <w:t xml:space="preserve">79, 81; PIOGA R.B. at 8-9).  </w:t>
      </w:r>
      <w:r w:rsidR="00BC196C">
        <w:rPr>
          <w:sz w:val="26"/>
          <w:szCs w:val="26"/>
        </w:rPr>
        <w:t xml:space="preserve">PIOGA </w:t>
      </w:r>
      <w:r w:rsidR="003F1EFB">
        <w:rPr>
          <w:sz w:val="26"/>
          <w:szCs w:val="26"/>
        </w:rPr>
        <w:t>argues</w:t>
      </w:r>
      <w:r w:rsidR="00BC196C">
        <w:rPr>
          <w:sz w:val="26"/>
          <w:szCs w:val="26"/>
        </w:rPr>
        <w:t xml:space="preserve"> there is</w:t>
      </w:r>
      <w:r w:rsidR="001C054E">
        <w:rPr>
          <w:sz w:val="26"/>
          <w:szCs w:val="26"/>
        </w:rPr>
        <w:t xml:space="preserve"> substantial evidence showing that these types of charges do not incent producers, as can be seen in the case of </w:t>
      </w:r>
      <w:r w:rsidR="001C054E">
        <w:rPr>
          <w:sz w:val="26"/>
          <w:szCs w:val="26"/>
        </w:rPr>
        <w:lastRenderedPageBreak/>
        <w:t>producers paying extremely high retainage rates on gathering lines owned and operated by</w:t>
      </w:r>
      <w:r w:rsidR="00E55C43">
        <w:rPr>
          <w:sz w:val="26"/>
          <w:szCs w:val="26"/>
        </w:rPr>
        <w:t xml:space="preserve"> Peoples</w:t>
      </w:r>
      <w:r w:rsidR="00734951">
        <w:rPr>
          <w:sz w:val="26"/>
          <w:szCs w:val="26"/>
        </w:rPr>
        <w:t>’</w:t>
      </w:r>
      <w:r w:rsidR="001C054E">
        <w:rPr>
          <w:sz w:val="26"/>
          <w:szCs w:val="26"/>
        </w:rPr>
        <w:t xml:space="preserve"> affiliate</w:t>
      </w:r>
      <w:r w:rsidR="005E11CB">
        <w:rPr>
          <w:sz w:val="26"/>
          <w:szCs w:val="26"/>
        </w:rPr>
        <w:t>s</w:t>
      </w:r>
      <w:r w:rsidR="001C054E">
        <w:rPr>
          <w:sz w:val="26"/>
          <w:szCs w:val="26"/>
        </w:rPr>
        <w:t>.</w:t>
      </w:r>
      <w:r w:rsidR="00B207ED">
        <w:rPr>
          <w:rStyle w:val="FootnoteReference"/>
          <w:sz w:val="26"/>
          <w:szCs w:val="26"/>
        </w:rPr>
        <w:footnoteReference w:id="23"/>
      </w:r>
      <w:r w:rsidR="001C054E">
        <w:rPr>
          <w:sz w:val="26"/>
          <w:szCs w:val="26"/>
        </w:rPr>
        <w:t xml:space="preserve">  </w:t>
      </w:r>
      <w:r w:rsidR="00BC196C">
        <w:rPr>
          <w:sz w:val="26"/>
          <w:szCs w:val="26"/>
        </w:rPr>
        <w:t xml:space="preserve">Exc. at 9 </w:t>
      </w:r>
      <w:r w:rsidR="001C054E">
        <w:rPr>
          <w:sz w:val="26"/>
          <w:szCs w:val="26"/>
        </w:rPr>
        <w:t>(citing PIOGA M.B. at 14).</w:t>
      </w:r>
      <w:r w:rsidR="009F3BF4">
        <w:rPr>
          <w:sz w:val="26"/>
          <w:szCs w:val="26"/>
        </w:rPr>
        <w:t xml:space="preserve">  </w:t>
      </w:r>
      <w:r w:rsidR="00BC570A">
        <w:rPr>
          <w:sz w:val="26"/>
          <w:szCs w:val="26"/>
        </w:rPr>
        <w:t xml:space="preserve">Thus, </w:t>
      </w:r>
      <w:r w:rsidR="003D4398">
        <w:rPr>
          <w:sz w:val="26"/>
          <w:szCs w:val="26"/>
        </w:rPr>
        <w:t xml:space="preserve">PIOGA </w:t>
      </w:r>
      <w:r w:rsidR="00BC570A">
        <w:rPr>
          <w:sz w:val="26"/>
          <w:szCs w:val="26"/>
        </w:rPr>
        <w:t xml:space="preserve">concludes that </w:t>
      </w:r>
      <w:r w:rsidR="003D4398">
        <w:rPr>
          <w:sz w:val="26"/>
          <w:szCs w:val="26"/>
        </w:rPr>
        <w:t>the ALJ</w:t>
      </w:r>
      <w:r w:rsidR="00734951">
        <w:rPr>
          <w:sz w:val="26"/>
          <w:szCs w:val="26"/>
        </w:rPr>
        <w:t>’</w:t>
      </w:r>
      <w:r w:rsidR="003D4398">
        <w:rPr>
          <w:sz w:val="26"/>
          <w:szCs w:val="26"/>
        </w:rPr>
        <w:t xml:space="preserve">s </w:t>
      </w:r>
      <w:r w:rsidR="00BE18D1">
        <w:rPr>
          <w:sz w:val="26"/>
          <w:szCs w:val="26"/>
        </w:rPr>
        <w:t xml:space="preserve">approval and </w:t>
      </w:r>
      <w:r w:rsidR="003D4398">
        <w:rPr>
          <w:sz w:val="26"/>
          <w:szCs w:val="26"/>
        </w:rPr>
        <w:t>acceptance of</w:t>
      </w:r>
      <w:r w:rsidR="007F1417">
        <w:rPr>
          <w:sz w:val="26"/>
          <w:szCs w:val="26"/>
        </w:rPr>
        <w:t xml:space="preserve"> Peoples</w:t>
      </w:r>
      <w:r w:rsidR="00734951">
        <w:rPr>
          <w:sz w:val="26"/>
          <w:szCs w:val="26"/>
        </w:rPr>
        <w:t>’</w:t>
      </w:r>
      <w:r w:rsidR="003D4398">
        <w:rPr>
          <w:sz w:val="26"/>
          <w:szCs w:val="26"/>
        </w:rPr>
        <w:t xml:space="preserve"> rationale for proposing a producer retainage charge overlooks the </w:t>
      </w:r>
      <w:r w:rsidR="00265019">
        <w:rPr>
          <w:sz w:val="26"/>
          <w:szCs w:val="26"/>
        </w:rPr>
        <w:t>mounting</w:t>
      </w:r>
      <w:r w:rsidR="003D4398">
        <w:rPr>
          <w:sz w:val="26"/>
          <w:szCs w:val="26"/>
        </w:rPr>
        <w:t xml:space="preserve"> evidence </w:t>
      </w:r>
      <w:r w:rsidR="00194799">
        <w:rPr>
          <w:sz w:val="26"/>
          <w:szCs w:val="26"/>
        </w:rPr>
        <w:t>PIOGA</w:t>
      </w:r>
      <w:r w:rsidR="003D4398">
        <w:rPr>
          <w:sz w:val="26"/>
          <w:szCs w:val="26"/>
        </w:rPr>
        <w:t xml:space="preserve"> has produced in this proceeding </w:t>
      </w:r>
      <w:r w:rsidR="005E11CB">
        <w:rPr>
          <w:sz w:val="26"/>
          <w:szCs w:val="26"/>
        </w:rPr>
        <w:t xml:space="preserve">to </w:t>
      </w:r>
      <w:r w:rsidR="003D4398">
        <w:rPr>
          <w:sz w:val="26"/>
          <w:szCs w:val="26"/>
        </w:rPr>
        <w:t>dis</w:t>
      </w:r>
      <w:r w:rsidR="00D3258D">
        <w:rPr>
          <w:sz w:val="26"/>
          <w:szCs w:val="26"/>
        </w:rPr>
        <w:t>prove</w:t>
      </w:r>
      <w:r w:rsidR="003D4398">
        <w:rPr>
          <w:sz w:val="26"/>
          <w:szCs w:val="26"/>
        </w:rPr>
        <w:t xml:space="preserve"> the rationale.  Exc. at 9-10.  </w:t>
      </w:r>
    </w:p>
    <w:p w14:paraId="57E4D2E1" w14:textId="77777777" w:rsidR="00CB13FD" w:rsidRDefault="00CB13FD" w:rsidP="007374FA">
      <w:pPr>
        <w:widowControl/>
        <w:tabs>
          <w:tab w:val="left" w:pos="1445"/>
          <w:tab w:val="left" w:pos="7920"/>
        </w:tabs>
        <w:autoSpaceDE w:val="0"/>
        <w:autoSpaceDN w:val="0"/>
        <w:adjustRightInd w:val="0"/>
        <w:spacing w:line="360" w:lineRule="auto"/>
        <w:rPr>
          <w:sz w:val="26"/>
          <w:szCs w:val="26"/>
        </w:rPr>
      </w:pPr>
    </w:p>
    <w:p w14:paraId="007AD896" w14:textId="44DEBC16" w:rsidR="00970350" w:rsidRDefault="00BC196C" w:rsidP="007374FA">
      <w:pPr>
        <w:widowControl/>
        <w:tabs>
          <w:tab w:val="left" w:pos="1445"/>
          <w:tab w:val="left" w:pos="7920"/>
        </w:tabs>
        <w:autoSpaceDE w:val="0"/>
        <w:autoSpaceDN w:val="0"/>
        <w:adjustRightInd w:val="0"/>
        <w:spacing w:line="360" w:lineRule="auto"/>
        <w:rPr>
          <w:sz w:val="26"/>
          <w:szCs w:val="26"/>
        </w:rPr>
      </w:pPr>
      <w:r>
        <w:rPr>
          <w:sz w:val="26"/>
          <w:szCs w:val="26"/>
        </w:rPr>
        <w:tab/>
      </w:r>
      <w:r w:rsidR="009509A6">
        <w:rPr>
          <w:sz w:val="26"/>
          <w:szCs w:val="26"/>
        </w:rPr>
        <w:t>Peoples</w:t>
      </w:r>
      <w:r w:rsidR="003F1EFB">
        <w:rPr>
          <w:sz w:val="26"/>
          <w:szCs w:val="26"/>
        </w:rPr>
        <w:t xml:space="preserve"> </w:t>
      </w:r>
      <w:r w:rsidR="00D94C33">
        <w:rPr>
          <w:sz w:val="26"/>
          <w:szCs w:val="26"/>
        </w:rPr>
        <w:t xml:space="preserve">rejoins </w:t>
      </w:r>
      <w:r w:rsidR="009509A6">
        <w:rPr>
          <w:sz w:val="26"/>
          <w:szCs w:val="26"/>
        </w:rPr>
        <w:t xml:space="preserve">that </w:t>
      </w:r>
      <w:r w:rsidR="00EA0F81">
        <w:rPr>
          <w:sz w:val="26"/>
          <w:szCs w:val="26"/>
        </w:rPr>
        <w:t>contrary to PIOGA</w:t>
      </w:r>
      <w:r w:rsidR="00734951">
        <w:rPr>
          <w:sz w:val="26"/>
          <w:szCs w:val="26"/>
        </w:rPr>
        <w:t>’</w:t>
      </w:r>
      <w:r w:rsidR="00EA0F81">
        <w:rPr>
          <w:sz w:val="26"/>
          <w:szCs w:val="26"/>
        </w:rPr>
        <w:t>s Exception No. 2, the</w:t>
      </w:r>
      <w:r w:rsidR="002B11EA">
        <w:rPr>
          <w:sz w:val="26"/>
          <w:szCs w:val="26"/>
        </w:rPr>
        <w:t xml:space="preserve"> ALJ </w:t>
      </w:r>
      <w:r w:rsidR="00791481">
        <w:rPr>
          <w:sz w:val="26"/>
          <w:szCs w:val="26"/>
        </w:rPr>
        <w:t xml:space="preserve">fully </w:t>
      </w:r>
      <w:r w:rsidR="002B11EA">
        <w:rPr>
          <w:sz w:val="26"/>
          <w:szCs w:val="26"/>
        </w:rPr>
        <w:t xml:space="preserve">understood </w:t>
      </w:r>
      <w:r w:rsidR="00D3258D">
        <w:rPr>
          <w:sz w:val="26"/>
          <w:szCs w:val="26"/>
        </w:rPr>
        <w:t xml:space="preserve">the arguments put forth by </w:t>
      </w:r>
      <w:r w:rsidR="002B11EA">
        <w:rPr>
          <w:sz w:val="26"/>
          <w:szCs w:val="26"/>
        </w:rPr>
        <w:t>PIOGA and soundly rejected them for the following reasons.  First, the Compan</w:t>
      </w:r>
      <w:r w:rsidR="002813EE">
        <w:rPr>
          <w:sz w:val="26"/>
          <w:szCs w:val="26"/>
        </w:rPr>
        <w:t>y</w:t>
      </w:r>
      <w:r w:rsidR="002B11EA">
        <w:rPr>
          <w:sz w:val="26"/>
          <w:szCs w:val="26"/>
        </w:rPr>
        <w:t xml:space="preserve"> argue</w:t>
      </w:r>
      <w:r w:rsidR="002813EE">
        <w:rPr>
          <w:sz w:val="26"/>
          <w:szCs w:val="26"/>
        </w:rPr>
        <w:t>s</w:t>
      </w:r>
      <w:r w:rsidR="002B11EA">
        <w:rPr>
          <w:sz w:val="26"/>
          <w:szCs w:val="26"/>
        </w:rPr>
        <w:t xml:space="preserve"> </w:t>
      </w:r>
      <w:r w:rsidR="005E19F7">
        <w:rPr>
          <w:sz w:val="26"/>
          <w:szCs w:val="26"/>
        </w:rPr>
        <w:t>there is nothing that</w:t>
      </w:r>
      <w:r w:rsidR="00DD7541">
        <w:rPr>
          <w:sz w:val="26"/>
          <w:szCs w:val="26"/>
        </w:rPr>
        <w:t xml:space="preserve"> prohibits</w:t>
      </w:r>
      <w:r w:rsidR="005E19F7">
        <w:rPr>
          <w:sz w:val="26"/>
          <w:szCs w:val="26"/>
        </w:rPr>
        <w:t xml:space="preserve"> an ongoing review of the</w:t>
      </w:r>
      <w:r w:rsidR="00DD7541">
        <w:rPr>
          <w:sz w:val="26"/>
          <w:szCs w:val="26"/>
        </w:rPr>
        <w:t xml:space="preserve"> PGC</w:t>
      </w:r>
      <w:r w:rsidR="005E19F7">
        <w:rPr>
          <w:sz w:val="26"/>
          <w:szCs w:val="26"/>
        </w:rPr>
        <w:t xml:space="preserve">, especially, when there is an existing provision </w:t>
      </w:r>
      <w:r w:rsidR="00083EBE">
        <w:rPr>
          <w:sz w:val="26"/>
          <w:szCs w:val="26"/>
        </w:rPr>
        <w:t xml:space="preserve">that allows an </w:t>
      </w:r>
      <w:r w:rsidR="009509A6">
        <w:rPr>
          <w:sz w:val="26"/>
          <w:szCs w:val="26"/>
        </w:rPr>
        <w:t>evaluation</w:t>
      </w:r>
      <w:r w:rsidR="00083EBE">
        <w:rPr>
          <w:sz w:val="26"/>
          <w:szCs w:val="26"/>
        </w:rPr>
        <w:t xml:space="preserve"> of</w:t>
      </w:r>
      <w:r w:rsidR="005E19F7">
        <w:rPr>
          <w:sz w:val="26"/>
          <w:szCs w:val="26"/>
        </w:rPr>
        <w:t xml:space="preserve"> </w:t>
      </w:r>
      <w:r w:rsidR="001016E4">
        <w:rPr>
          <w:sz w:val="26"/>
          <w:szCs w:val="26"/>
        </w:rPr>
        <w:t xml:space="preserve">not only the appropriateness, but </w:t>
      </w:r>
      <w:r w:rsidR="005E19F7">
        <w:rPr>
          <w:sz w:val="26"/>
          <w:szCs w:val="26"/>
        </w:rPr>
        <w:t>the justness and reasonableness of the PGC rates</w:t>
      </w:r>
      <w:r w:rsidR="002813EE">
        <w:rPr>
          <w:sz w:val="26"/>
          <w:szCs w:val="26"/>
        </w:rPr>
        <w:t>,</w:t>
      </w:r>
      <w:r w:rsidR="005E19F7">
        <w:rPr>
          <w:sz w:val="26"/>
          <w:szCs w:val="26"/>
        </w:rPr>
        <w:t xml:space="preserve"> on an annual basis.  </w:t>
      </w:r>
      <w:r w:rsidR="001934A1">
        <w:rPr>
          <w:sz w:val="26"/>
          <w:szCs w:val="26"/>
        </w:rPr>
        <w:t>PNG</w:t>
      </w:r>
      <w:r w:rsidR="005E19F7">
        <w:rPr>
          <w:sz w:val="26"/>
          <w:szCs w:val="26"/>
        </w:rPr>
        <w:t xml:space="preserve"> R. Exc. at 8-9 (citing R.D. at 78, quoting 66 Pa. C.S. §</w:t>
      </w:r>
      <w:r w:rsidR="00734951">
        <w:rPr>
          <w:sz w:val="26"/>
          <w:szCs w:val="26"/>
        </w:rPr>
        <w:t> </w:t>
      </w:r>
      <w:r w:rsidR="005E19F7">
        <w:rPr>
          <w:sz w:val="26"/>
          <w:szCs w:val="26"/>
        </w:rPr>
        <w:t xml:space="preserve">1307(f)).  </w:t>
      </w:r>
      <w:r w:rsidR="00DD7541">
        <w:rPr>
          <w:sz w:val="26"/>
          <w:szCs w:val="26"/>
        </w:rPr>
        <w:t xml:space="preserve">Secondly, </w:t>
      </w:r>
      <w:r w:rsidR="002813EE">
        <w:rPr>
          <w:sz w:val="26"/>
          <w:szCs w:val="26"/>
        </w:rPr>
        <w:t>Peoples</w:t>
      </w:r>
      <w:r w:rsidR="00DD7541">
        <w:rPr>
          <w:sz w:val="26"/>
          <w:szCs w:val="26"/>
        </w:rPr>
        <w:t xml:space="preserve"> </w:t>
      </w:r>
      <w:r w:rsidR="009509A6">
        <w:rPr>
          <w:sz w:val="26"/>
          <w:szCs w:val="26"/>
        </w:rPr>
        <w:t>contend</w:t>
      </w:r>
      <w:r w:rsidR="00002724">
        <w:rPr>
          <w:sz w:val="26"/>
          <w:szCs w:val="26"/>
        </w:rPr>
        <w:t>s</w:t>
      </w:r>
      <w:r w:rsidR="009509A6">
        <w:rPr>
          <w:sz w:val="26"/>
          <w:szCs w:val="26"/>
        </w:rPr>
        <w:t xml:space="preserve"> </w:t>
      </w:r>
      <w:r w:rsidR="002813EE">
        <w:rPr>
          <w:sz w:val="26"/>
          <w:szCs w:val="26"/>
        </w:rPr>
        <w:t>it has</w:t>
      </w:r>
      <w:r w:rsidR="00DD7541">
        <w:rPr>
          <w:sz w:val="26"/>
          <w:szCs w:val="26"/>
        </w:rPr>
        <w:t xml:space="preserve"> made it abundantly clear throughout this proceeding that following </w:t>
      </w:r>
      <w:r w:rsidR="009509A6">
        <w:rPr>
          <w:sz w:val="26"/>
          <w:szCs w:val="26"/>
        </w:rPr>
        <w:t>the 2017</w:t>
      </w:r>
      <w:r w:rsidR="00DD7541">
        <w:rPr>
          <w:sz w:val="26"/>
          <w:szCs w:val="26"/>
        </w:rPr>
        <w:t xml:space="preserve"> PGC proceeding</w:t>
      </w:r>
      <w:r w:rsidR="00002724">
        <w:rPr>
          <w:sz w:val="26"/>
          <w:szCs w:val="26"/>
        </w:rPr>
        <w:t>s</w:t>
      </w:r>
      <w:r w:rsidR="00DD7541">
        <w:rPr>
          <w:sz w:val="26"/>
          <w:szCs w:val="26"/>
        </w:rPr>
        <w:t xml:space="preserve">, </w:t>
      </w:r>
      <w:r w:rsidR="002813EE">
        <w:rPr>
          <w:sz w:val="26"/>
          <w:szCs w:val="26"/>
        </w:rPr>
        <w:t>it</w:t>
      </w:r>
      <w:r w:rsidR="00DD7541">
        <w:rPr>
          <w:sz w:val="26"/>
          <w:szCs w:val="26"/>
        </w:rPr>
        <w:t xml:space="preserve"> embarked on </w:t>
      </w:r>
      <w:r w:rsidR="00B207ED">
        <w:rPr>
          <w:sz w:val="26"/>
          <w:szCs w:val="26"/>
        </w:rPr>
        <w:t xml:space="preserve">an </w:t>
      </w:r>
      <w:r w:rsidR="00DD7541">
        <w:rPr>
          <w:sz w:val="26"/>
          <w:szCs w:val="26"/>
        </w:rPr>
        <w:t xml:space="preserve">extensive and in-depth analysis on ways to reduce gathering system UFG, which ultimately led to the development of </w:t>
      </w:r>
      <w:r w:rsidR="00482EAA">
        <w:rPr>
          <w:sz w:val="26"/>
          <w:szCs w:val="26"/>
        </w:rPr>
        <w:t>the UFG Mitigation Plan.</w:t>
      </w:r>
      <w:r w:rsidR="00B207ED">
        <w:rPr>
          <w:sz w:val="26"/>
          <w:szCs w:val="26"/>
        </w:rPr>
        <w:t xml:space="preserve">  </w:t>
      </w:r>
      <w:r w:rsidR="002813EE">
        <w:rPr>
          <w:sz w:val="26"/>
          <w:szCs w:val="26"/>
        </w:rPr>
        <w:t>Peoples</w:t>
      </w:r>
      <w:r w:rsidR="00B207ED">
        <w:rPr>
          <w:sz w:val="26"/>
          <w:szCs w:val="26"/>
        </w:rPr>
        <w:t xml:space="preserve"> argue</w:t>
      </w:r>
      <w:r w:rsidR="00463641">
        <w:rPr>
          <w:sz w:val="26"/>
          <w:szCs w:val="26"/>
        </w:rPr>
        <w:t>s</w:t>
      </w:r>
      <w:r w:rsidR="00B207ED">
        <w:rPr>
          <w:sz w:val="26"/>
          <w:szCs w:val="26"/>
        </w:rPr>
        <w:t xml:space="preserve"> the proposed charge is part of </w:t>
      </w:r>
      <w:r w:rsidR="0042766E">
        <w:rPr>
          <w:sz w:val="26"/>
          <w:szCs w:val="26"/>
        </w:rPr>
        <w:t>its</w:t>
      </w:r>
      <w:r w:rsidR="00B207ED">
        <w:rPr>
          <w:sz w:val="26"/>
          <w:szCs w:val="26"/>
        </w:rPr>
        <w:t xml:space="preserve"> commitment to effectively execute the UFG Mitigation Plan.  </w:t>
      </w:r>
      <w:r w:rsidR="00970350">
        <w:rPr>
          <w:sz w:val="26"/>
          <w:szCs w:val="26"/>
        </w:rPr>
        <w:t>PNG R. Exc. at 9 (citing PNG R.B. at 7).</w:t>
      </w:r>
    </w:p>
    <w:p w14:paraId="03D3939D" w14:textId="77777777" w:rsidR="00970350" w:rsidRDefault="00970350" w:rsidP="007374FA">
      <w:pPr>
        <w:widowControl/>
        <w:tabs>
          <w:tab w:val="left" w:pos="1445"/>
          <w:tab w:val="left" w:pos="7920"/>
        </w:tabs>
        <w:autoSpaceDE w:val="0"/>
        <w:autoSpaceDN w:val="0"/>
        <w:adjustRightInd w:val="0"/>
        <w:spacing w:line="360" w:lineRule="auto"/>
        <w:rPr>
          <w:sz w:val="26"/>
          <w:szCs w:val="26"/>
        </w:rPr>
      </w:pPr>
    </w:p>
    <w:p w14:paraId="66D2AC73" w14:textId="52DC3A5F" w:rsidR="00BC196C" w:rsidRDefault="00970350" w:rsidP="007374FA">
      <w:pPr>
        <w:widowControl/>
        <w:tabs>
          <w:tab w:val="left" w:pos="1445"/>
          <w:tab w:val="left" w:pos="7920"/>
        </w:tabs>
        <w:autoSpaceDE w:val="0"/>
        <w:autoSpaceDN w:val="0"/>
        <w:adjustRightInd w:val="0"/>
        <w:spacing w:line="360" w:lineRule="auto"/>
        <w:rPr>
          <w:sz w:val="26"/>
          <w:szCs w:val="26"/>
        </w:rPr>
      </w:pPr>
      <w:r>
        <w:rPr>
          <w:sz w:val="26"/>
          <w:szCs w:val="26"/>
        </w:rPr>
        <w:tab/>
      </w:r>
      <w:r w:rsidR="00B207ED">
        <w:rPr>
          <w:sz w:val="26"/>
          <w:szCs w:val="26"/>
        </w:rPr>
        <w:t xml:space="preserve">Next, </w:t>
      </w:r>
      <w:r w:rsidR="0042766E">
        <w:rPr>
          <w:sz w:val="26"/>
          <w:szCs w:val="26"/>
        </w:rPr>
        <w:t>Peoples</w:t>
      </w:r>
      <w:r w:rsidR="00B207ED">
        <w:rPr>
          <w:sz w:val="26"/>
          <w:szCs w:val="26"/>
        </w:rPr>
        <w:t xml:space="preserve"> contend</w:t>
      </w:r>
      <w:r w:rsidR="00002724">
        <w:rPr>
          <w:sz w:val="26"/>
          <w:szCs w:val="26"/>
        </w:rPr>
        <w:t>s</w:t>
      </w:r>
      <w:r w:rsidR="00B207ED">
        <w:rPr>
          <w:sz w:val="26"/>
          <w:szCs w:val="26"/>
        </w:rPr>
        <w:t xml:space="preserve"> PIOGA</w:t>
      </w:r>
      <w:r w:rsidR="00734951">
        <w:rPr>
          <w:sz w:val="26"/>
          <w:szCs w:val="26"/>
        </w:rPr>
        <w:t>’</w:t>
      </w:r>
      <w:r w:rsidR="00B207ED">
        <w:rPr>
          <w:sz w:val="26"/>
          <w:szCs w:val="26"/>
        </w:rPr>
        <w:t xml:space="preserve">s argument that </w:t>
      </w:r>
      <w:r w:rsidR="00E10CDE">
        <w:rPr>
          <w:sz w:val="26"/>
          <w:szCs w:val="26"/>
        </w:rPr>
        <w:t xml:space="preserve">the </w:t>
      </w:r>
      <w:r w:rsidR="00B207ED">
        <w:rPr>
          <w:sz w:val="26"/>
          <w:szCs w:val="26"/>
        </w:rPr>
        <w:t xml:space="preserve">retainage charge </w:t>
      </w:r>
      <w:r w:rsidR="00E10CDE">
        <w:rPr>
          <w:sz w:val="26"/>
          <w:szCs w:val="26"/>
        </w:rPr>
        <w:t>will</w:t>
      </w:r>
      <w:r w:rsidR="00B207ED">
        <w:rPr>
          <w:sz w:val="26"/>
          <w:szCs w:val="26"/>
        </w:rPr>
        <w:t xml:space="preserve"> not incentivize producers contradict</w:t>
      </w:r>
      <w:r w:rsidR="00463641">
        <w:rPr>
          <w:sz w:val="26"/>
          <w:szCs w:val="26"/>
        </w:rPr>
        <w:t>s</w:t>
      </w:r>
      <w:r w:rsidR="00B207ED">
        <w:rPr>
          <w:sz w:val="26"/>
          <w:szCs w:val="26"/>
        </w:rPr>
        <w:t xml:space="preserve"> PIOGA</w:t>
      </w:r>
      <w:r w:rsidR="00734951">
        <w:rPr>
          <w:sz w:val="26"/>
          <w:szCs w:val="26"/>
        </w:rPr>
        <w:t>’</w:t>
      </w:r>
      <w:r w:rsidR="00B207ED">
        <w:rPr>
          <w:sz w:val="26"/>
          <w:szCs w:val="26"/>
        </w:rPr>
        <w:t xml:space="preserve">s </w:t>
      </w:r>
      <w:r w:rsidR="009509A6">
        <w:rPr>
          <w:sz w:val="26"/>
          <w:szCs w:val="26"/>
        </w:rPr>
        <w:t xml:space="preserve">testimony in this proceeding </w:t>
      </w:r>
      <w:r w:rsidR="00B207ED">
        <w:rPr>
          <w:sz w:val="26"/>
          <w:szCs w:val="26"/>
        </w:rPr>
        <w:t xml:space="preserve">that absent the proposed retainer charge, conventional producers have no incentive to help reduce UFG on the gathering system.  </w:t>
      </w:r>
      <w:r w:rsidR="00E10CDE">
        <w:rPr>
          <w:sz w:val="26"/>
          <w:szCs w:val="26"/>
        </w:rPr>
        <w:t>PNG</w:t>
      </w:r>
      <w:r w:rsidR="00B207ED">
        <w:rPr>
          <w:sz w:val="26"/>
          <w:szCs w:val="26"/>
        </w:rPr>
        <w:t xml:space="preserve"> R. Exc. at 9 (citing PNG R.B. at 7; Tr. at 92).  </w:t>
      </w:r>
      <w:r w:rsidR="003C3EDB">
        <w:rPr>
          <w:sz w:val="26"/>
          <w:szCs w:val="26"/>
        </w:rPr>
        <w:t>Peoples</w:t>
      </w:r>
      <w:r w:rsidR="00B207ED">
        <w:rPr>
          <w:sz w:val="26"/>
          <w:szCs w:val="26"/>
        </w:rPr>
        <w:t xml:space="preserve"> </w:t>
      </w:r>
      <w:r w:rsidR="00330F93">
        <w:rPr>
          <w:sz w:val="26"/>
          <w:szCs w:val="26"/>
        </w:rPr>
        <w:t>argue</w:t>
      </w:r>
      <w:r w:rsidR="00002724">
        <w:rPr>
          <w:sz w:val="26"/>
          <w:szCs w:val="26"/>
        </w:rPr>
        <w:t>s</w:t>
      </w:r>
      <w:r w:rsidR="00330F93">
        <w:rPr>
          <w:sz w:val="26"/>
          <w:szCs w:val="26"/>
        </w:rPr>
        <w:t xml:space="preserve"> that</w:t>
      </w:r>
      <w:r w:rsidR="00B207ED">
        <w:rPr>
          <w:sz w:val="26"/>
          <w:szCs w:val="26"/>
        </w:rPr>
        <w:t xml:space="preserve"> having a financial stake </w:t>
      </w:r>
      <w:r w:rsidR="003463D1">
        <w:rPr>
          <w:sz w:val="26"/>
          <w:szCs w:val="26"/>
        </w:rPr>
        <w:t xml:space="preserve">by way of the proposed charge </w:t>
      </w:r>
      <w:r w:rsidR="00B207ED">
        <w:rPr>
          <w:sz w:val="26"/>
          <w:szCs w:val="26"/>
        </w:rPr>
        <w:t xml:space="preserve">will help producers contribute to the reduction of </w:t>
      </w:r>
      <w:r w:rsidR="00330F93">
        <w:rPr>
          <w:sz w:val="26"/>
          <w:szCs w:val="26"/>
        </w:rPr>
        <w:t>the Compan</w:t>
      </w:r>
      <w:r w:rsidR="00137585">
        <w:rPr>
          <w:sz w:val="26"/>
          <w:szCs w:val="26"/>
        </w:rPr>
        <w:t>y</w:t>
      </w:r>
      <w:r w:rsidR="00734951">
        <w:rPr>
          <w:sz w:val="26"/>
          <w:szCs w:val="26"/>
        </w:rPr>
        <w:t>’</w:t>
      </w:r>
      <w:r w:rsidR="00137585">
        <w:rPr>
          <w:sz w:val="26"/>
          <w:szCs w:val="26"/>
        </w:rPr>
        <w:t>s</w:t>
      </w:r>
      <w:r w:rsidR="00330F93">
        <w:rPr>
          <w:sz w:val="26"/>
          <w:szCs w:val="26"/>
        </w:rPr>
        <w:t xml:space="preserve"> </w:t>
      </w:r>
      <w:r w:rsidR="00B207ED">
        <w:rPr>
          <w:sz w:val="26"/>
          <w:szCs w:val="26"/>
        </w:rPr>
        <w:t xml:space="preserve">gathering system UFG.  </w:t>
      </w:r>
      <w:r w:rsidR="00330F93">
        <w:rPr>
          <w:sz w:val="26"/>
          <w:szCs w:val="26"/>
        </w:rPr>
        <w:t>PNG</w:t>
      </w:r>
      <w:r w:rsidR="00B207ED">
        <w:rPr>
          <w:sz w:val="26"/>
          <w:szCs w:val="26"/>
        </w:rPr>
        <w:t xml:space="preserve"> R. Exc. at 9 (citing PNG R.B. at 7).</w:t>
      </w:r>
      <w:r w:rsidR="00D37B88">
        <w:rPr>
          <w:sz w:val="26"/>
          <w:szCs w:val="26"/>
        </w:rPr>
        <w:t xml:space="preserve">  Finally, the Compan</w:t>
      </w:r>
      <w:r w:rsidR="00002724">
        <w:rPr>
          <w:sz w:val="26"/>
          <w:szCs w:val="26"/>
        </w:rPr>
        <w:t>y</w:t>
      </w:r>
      <w:r w:rsidR="00D37B88">
        <w:rPr>
          <w:sz w:val="26"/>
          <w:szCs w:val="26"/>
        </w:rPr>
        <w:t xml:space="preserve"> dismiss</w:t>
      </w:r>
      <w:r w:rsidR="00002724">
        <w:rPr>
          <w:sz w:val="26"/>
          <w:szCs w:val="26"/>
        </w:rPr>
        <w:t>es</w:t>
      </w:r>
      <w:r w:rsidR="00D37B88">
        <w:rPr>
          <w:sz w:val="26"/>
          <w:szCs w:val="26"/>
        </w:rPr>
        <w:t xml:space="preserve"> PIOGA</w:t>
      </w:r>
      <w:r w:rsidR="00734951">
        <w:rPr>
          <w:sz w:val="26"/>
          <w:szCs w:val="26"/>
        </w:rPr>
        <w:t>’</w:t>
      </w:r>
      <w:r w:rsidR="00D37B88">
        <w:rPr>
          <w:sz w:val="26"/>
          <w:szCs w:val="26"/>
        </w:rPr>
        <w:t xml:space="preserve">s argument </w:t>
      </w:r>
      <w:r w:rsidR="00D37B88">
        <w:rPr>
          <w:sz w:val="26"/>
          <w:szCs w:val="26"/>
        </w:rPr>
        <w:lastRenderedPageBreak/>
        <w:t xml:space="preserve">that eliminating </w:t>
      </w:r>
      <w:r w:rsidR="00734951">
        <w:rPr>
          <w:sz w:val="26"/>
          <w:szCs w:val="26"/>
        </w:rPr>
        <w:t>“</w:t>
      </w:r>
      <w:r w:rsidR="00D37B88">
        <w:rPr>
          <w:sz w:val="26"/>
          <w:szCs w:val="26"/>
        </w:rPr>
        <w:t>gathering fees</w:t>
      </w:r>
      <w:r w:rsidR="00734951">
        <w:rPr>
          <w:sz w:val="26"/>
          <w:szCs w:val="26"/>
        </w:rPr>
        <w:t>”</w:t>
      </w:r>
      <w:r w:rsidR="00D37B88">
        <w:rPr>
          <w:sz w:val="26"/>
          <w:szCs w:val="26"/>
        </w:rPr>
        <w:t xml:space="preserve"> and </w:t>
      </w:r>
      <w:r w:rsidR="00734951">
        <w:rPr>
          <w:sz w:val="26"/>
          <w:szCs w:val="26"/>
        </w:rPr>
        <w:t>“</w:t>
      </w:r>
      <w:r w:rsidR="00D37B88">
        <w:rPr>
          <w:sz w:val="26"/>
          <w:szCs w:val="26"/>
        </w:rPr>
        <w:t>production enhancement fees</w:t>
      </w:r>
      <w:r w:rsidR="00734951">
        <w:rPr>
          <w:sz w:val="26"/>
          <w:szCs w:val="26"/>
        </w:rPr>
        <w:t>”</w:t>
      </w:r>
      <w:r w:rsidR="00D37B88">
        <w:rPr>
          <w:sz w:val="26"/>
          <w:szCs w:val="26"/>
        </w:rPr>
        <w:t xml:space="preserve"> would be more of an incentive to producers</w:t>
      </w:r>
      <w:r w:rsidR="008A751D">
        <w:rPr>
          <w:sz w:val="26"/>
          <w:szCs w:val="26"/>
        </w:rPr>
        <w:t xml:space="preserve"> than the proposed </w:t>
      </w:r>
      <w:r w:rsidR="00002724">
        <w:rPr>
          <w:sz w:val="26"/>
          <w:szCs w:val="26"/>
        </w:rPr>
        <w:t xml:space="preserve">retainage </w:t>
      </w:r>
      <w:r w:rsidR="008A751D">
        <w:rPr>
          <w:sz w:val="26"/>
          <w:szCs w:val="26"/>
        </w:rPr>
        <w:t>charge</w:t>
      </w:r>
      <w:r w:rsidR="00D37B88">
        <w:rPr>
          <w:sz w:val="26"/>
          <w:szCs w:val="26"/>
        </w:rPr>
        <w:t>.  The Compan</w:t>
      </w:r>
      <w:r w:rsidR="00137585">
        <w:rPr>
          <w:sz w:val="26"/>
          <w:szCs w:val="26"/>
        </w:rPr>
        <w:t>y</w:t>
      </w:r>
      <w:r w:rsidR="00D37B88">
        <w:rPr>
          <w:sz w:val="26"/>
          <w:szCs w:val="26"/>
        </w:rPr>
        <w:t xml:space="preserve"> argue</w:t>
      </w:r>
      <w:r w:rsidR="00137585">
        <w:rPr>
          <w:sz w:val="26"/>
          <w:szCs w:val="26"/>
        </w:rPr>
        <w:t>s</w:t>
      </w:r>
      <w:r w:rsidR="00D37B88">
        <w:rPr>
          <w:sz w:val="26"/>
          <w:szCs w:val="26"/>
        </w:rPr>
        <w:t xml:space="preserve"> this assertion is not supported by any evidence and does not help </w:t>
      </w:r>
      <w:r w:rsidR="003C3EDB">
        <w:rPr>
          <w:sz w:val="26"/>
          <w:szCs w:val="26"/>
        </w:rPr>
        <w:t>Peoples</w:t>
      </w:r>
      <w:r w:rsidR="00734951">
        <w:rPr>
          <w:sz w:val="26"/>
          <w:szCs w:val="26"/>
        </w:rPr>
        <w:t>’</w:t>
      </w:r>
      <w:r w:rsidR="00D37B88">
        <w:rPr>
          <w:sz w:val="26"/>
          <w:szCs w:val="26"/>
        </w:rPr>
        <w:t xml:space="preserve"> </w:t>
      </w:r>
      <w:r w:rsidR="00137585">
        <w:rPr>
          <w:sz w:val="26"/>
          <w:szCs w:val="26"/>
        </w:rPr>
        <w:t xml:space="preserve">efforts </w:t>
      </w:r>
      <w:r w:rsidR="00D37B88">
        <w:rPr>
          <w:sz w:val="26"/>
          <w:szCs w:val="26"/>
        </w:rPr>
        <w:t xml:space="preserve">to reduce gathering system UFG.  </w:t>
      </w:r>
      <w:r w:rsidR="00330F93">
        <w:rPr>
          <w:sz w:val="26"/>
          <w:szCs w:val="26"/>
        </w:rPr>
        <w:t>PNG</w:t>
      </w:r>
      <w:r w:rsidR="00D37B88">
        <w:rPr>
          <w:sz w:val="26"/>
          <w:szCs w:val="26"/>
        </w:rPr>
        <w:t xml:space="preserve"> R. Exc. at 10 (citing PNG St. 5-R at 24).</w:t>
      </w:r>
    </w:p>
    <w:p w14:paraId="3B2EA8E1" w14:textId="77777777" w:rsidR="00316E99" w:rsidRDefault="00316E99" w:rsidP="007374FA">
      <w:pPr>
        <w:widowControl/>
        <w:tabs>
          <w:tab w:val="left" w:pos="1445"/>
          <w:tab w:val="left" w:pos="7920"/>
        </w:tabs>
        <w:autoSpaceDE w:val="0"/>
        <w:autoSpaceDN w:val="0"/>
        <w:adjustRightInd w:val="0"/>
        <w:spacing w:line="360" w:lineRule="auto"/>
        <w:rPr>
          <w:sz w:val="26"/>
          <w:szCs w:val="26"/>
        </w:rPr>
      </w:pPr>
    </w:p>
    <w:p w14:paraId="081185F3" w14:textId="402F4721" w:rsidR="00E97299" w:rsidRDefault="00DB352C" w:rsidP="007374FA">
      <w:pPr>
        <w:widowControl/>
        <w:tabs>
          <w:tab w:val="left" w:pos="1445"/>
          <w:tab w:val="left" w:pos="7920"/>
        </w:tabs>
        <w:autoSpaceDE w:val="0"/>
        <w:autoSpaceDN w:val="0"/>
        <w:adjustRightInd w:val="0"/>
        <w:spacing w:line="360" w:lineRule="auto"/>
        <w:rPr>
          <w:sz w:val="26"/>
          <w:szCs w:val="26"/>
        </w:rPr>
      </w:pPr>
      <w:r>
        <w:rPr>
          <w:sz w:val="26"/>
          <w:szCs w:val="26"/>
        </w:rPr>
        <w:tab/>
      </w:r>
      <w:r w:rsidR="00AC2A73">
        <w:rPr>
          <w:sz w:val="26"/>
          <w:szCs w:val="26"/>
        </w:rPr>
        <w:t>The OSBA</w:t>
      </w:r>
      <w:r w:rsidR="00092A8F">
        <w:rPr>
          <w:sz w:val="26"/>
          <w:szCs w:val="26"/>
        </w:rPr>
        <w:t xml:space="preserve"> </w:t>
      </w:r>
      <w:r w:rsidR="00AC2A73">
        <w:rPr>
          <w:sz w:val="26"/>
          <w:szCs w:val="26"/>
        </w:rPr>
        <w:t xml:space="preserve">avers the ALJ </w:t>
      </w:r>
      <w:r w:rsidR="00BB28F4">
        <w:rPr>
          <w:sz w:val="26"/>
          <w:szCs w:val="26"/>
        </w:rPr>
        <w:t>clearly agrees with</w:t>
      </w:r>
      <w:r w:rsidR="00AC2A73">
        <w:rPr>
          <w:sz w:val="26"/>
          <w:szCs w:val="26"/>
        </w:rPr>
        <w:t xml:space="preserve"> </w:t>
      </w:r>
      <w:r w:rsidR="0042552C">
        <w:rPr>
          <w:sz w:val="26"/>
          <w:szCs w:val="26"/>
        </w:rPr>
        <w:t>Peoples</w:t>
      </w:r>
      <w:r w:rsidR="00734951">
        <w:rPr>
          <w:sz w:val="26"/>
          <w:szCs w:val="26"/>
        </w:rPr>
        <w:t>’</w:t>
      </w:r>
      <w:r w:rsidR="00AC2A73">
        <w:rPr>
          <w:sz w:val="26"/>
          <w:szCs w:val="26"/>
        </w:rPr>
        <w:t xml:space="preserve"> rationale that absent the producer retainage charge, the conventional gas producers have no incentive to reduce the gathering system UFG.  </w:t>
      </w:r>
      <w:r w:rsidR="00D570E2">
        <w:rPr>
          <w:sz w:val="26"/>
          <w:szCs w:val="26"/>
        </w:rPr>
        <w:t>T</w:t>
      </w:r>
      <w:r w:rsidR="00AC2A73">
        <w:rPr>
          <w:sz w:val="26"/>
          <w:szCs w:val="26"/>
        </w:rPr>
        <w:t>he OSBA</w:t>
      </w:r>
      <w:r w:rsidR="00D570E2">
        <w:rPr>
          <w:sz w:val="26"/>
          <w:szCs w:val="26"/>
        </w:rPr>
        <w:t xml:space="preserve"> </w:t>
      </w:r>
      <w:r w:rsidR="00AC2A73">
        <w:rPr>
          <w:sz w:val="26"/>
          <w:szCs w:val="26"/>
        </w:rPr>
        <w:t>fully supports the ALJ</w:t>
      </w:r>
      <w:r w:rsidR="00734951">
        <w:rPr>
          <w:sz w:val="26"/>
          <w:szCs w:val="26"/>
        </w:rPr>
        <w:t>’</w:t>
      </w:r>
      <w:r w:rsidR="00AC2A73">
        <w:rPr>
          <w:sz w:val="26"/>
          <w:szCs w:val="26"/>
        </w:rPr>
        <w:t>s approval of the charge and believes it will help incentiv</w:t>
      </w:r>
      <w:r w:rsidR="009E13F9">
        <w:rPr>
          <w:sz w:val="26"/>
          <w:szCs w:val="26"/>
        </w:rPr>
        <w:t>iz</w:t>
      </w:r>
      <w:r w:rsidR="00AC2A73">
        <w:rPr>
          <w:sz w:val="26"/>
          <w:szCs w:val="26"/>
        </w:rPr>
        <w:t xml:space="preserve">e the producers to reduce gathering system UFG.  </w:t>
      </w:r>
      <w:r w:rsidR="00092A8F">
        <w:rPr>
          <w:sz w:val="26"/>
          <w:szCs w:val="26"/>
        </w:rPr>
        <w:t>OSBA R. Exc. at 4 (R.D. at 78-79).</w:t>
      </w:r>
    </w:p>
    <w:p w14:paraId="234C7653" w14:textId="51E5051A" w:rsidR="00E07DB6" w:rsidRDefault="00E07DB6" w:rsidP="007374FA">
      <w:pPr>
        <w:widowControl/>
        <w:tabs>
          <w:tab w:val="left" w:pos="1445"/>
          <w:tab w:val="left" w:pos="7920"/>
        </w:tabs>
        <w:autoSpaceDE w:val="0"/>
        <w:autoSpaceDN w:val="0"/>
        <w:adjustRightInd w:val="0"/>
        <w:spacing w:line="360" w:lineRule="auto"/>
        <w:rPr>
          <w:sz w:val="26"/>
          <w:szCs w:val="26"/>
        </w:rPr>
      </w:pPr>
    </w:p>
    <w:p w14:paraId="5A018D36" w14:textId="1D511580" w:rsidR="003353E3" w:rsidRPr="003353E3" w:rsidRDefault="003353E3" w:rsidP="00A666DC">
      <w:pPr>
        <w:keepNext/>
        <w:keepLines/>
        <w:widowControl/>
        <w:tabs>
          <w:tab w:val="left" w:pos="1445"/>
          <w:tab w:val="left" w:pos="7920"/>
        </w:tabs>
        <w:autoSpaceDE w:val="0"/>
        <w:autoSpaceDN w:val="0"/>
        <w:adjustRightInd w:val="0"/>
        <w:spacing w:line="360" w:lineRule="auto"/>
        <w:rPr>
          <w:b/>
          <w:sz w:val="26"/>
          <w:szCs w:val="26"/>
        </w:rPr>
      </w:pPr>
      <w:r>
        <w:rPr>
          <w:sz w:val="26"/>
          <w:szCs w:val="26"/>
        </w:rPr>
        <w:tab/>
      </w:r>
      <w:r w:rsidRPr="003353E3">
        <w:rPr>
          <w:b/>
          <w:sz w:val="26"/>
          <w:szCs w:val="26"/>
        </w:rPr>
        <w:t>a.   Disposition</w:t>
      </w:r>
    </w:p>
    <w:p w14:paraId="12C4C5AD" w14:textId="77777777" w:rsidR="003353E3" w:rsidRDefault="003353E3" w:rsidP="00A666DC">
      <w:pPr>
        <w:keepNext/>
        <w:keepLines/>
        <w:widowControl/>
        <w:tabs>
          <w:tab w:val="left" w:pos="1445"/>
          <w:tab w:val="left" w:pos="7920"/>
        </w:tabs>
        <w:autoSpaceDE w:val="0"/>
        <w:autoSpaceDN w:val="0"/>
        <w:adjustRightInd w:val="0"/>
        <w:spacing w:line="360" w:lineRule="auto"/>
        <w:rPr>
          <w:sz w:val="26"/>
          <w:szCs w:val="26"/>
        </w:rPr>
      </w:pPr>
    </w:p>
    <w:p w14:paraId="476406B9" w14:textId="5D6EFCC5" w:rsidR="00513C01" w:rsidRDefault="00E07DB6" w:rsidP="007374FA">
      <w:pPr>
        <w:widowControl/>
        <w:tabs>
          <w:tab w:val="left" w:pos="1445"/>
          <w:tab w:val="left" w:pos="7920"/>
        </w:tabs>
        <w:autoSpaceDE w:val="0"/>
        <w:autoSpaceDN w:val="0"/>
        <w:adjustRightInd w:val="0"/>
        <w:spacing w:line="360" w:lineRule="auto"/>
        <w:rPr>
          <w:sz w:val="26"/>
          <w:szCs w:val="26"/>
        </w:rPr>
      </w:pPr>
      <w:r>
        <w:rPr>
          <w:sz w:val="26"/>
          <w:szCs w:val="26"/>
        </w:rPr>
        <w:tab/>
        <w:t>Upon review, we shall deny PIOGA</w:t>
      </w:r>
      <w:r w:rsidR="00734951">
        <w:rPr>
          <w:sz w:val="26"/>
          <w:szCs w:val="26"/>
        </w:rPr>
        <w:t>’</w:t>
      </w:r>
      <w:r>
        <w:rPr>
          <w:sz w:val="26"/>
          <w:szCs w:val="26"/>
        </w:rPr>
        <w:t>s Exception No. 2</w:t>
      </w:r>
      <w:bookmarkStart w:id="40" w:name="_Hlk523902173"/>
      <w:r>
        <w:rPr>
          <w:sz w:val="26"/>
          <w:szCs w:val="26"/>
        </w:rPr>
        <w:t xml:space="preserve">.  </w:t>
      </w:r>
      <w:r w:rsidR="00D3258D">
        <w:rPr>
          <w:sz w:val="26"/>
          <w:szCs w:val="26"/>
        </w:rPr>
        <w:t xml:space="preserve">As we indicated in our </w:t>
      </w:r>
      <w:r w:rsidR="00F76088">
        <w:rPr>
          <w:sz w:val="26"/>
          <w:szCs w:val="26"/>
        </w:rPr>
        <w:t xml:space="preserve">earlier </w:t>
      </w:r>
      <w:r w:rsidR="00D3258D">
        <w:rPr>
          <w:sz w:val="26"/>
          <w:szCs w:val="26"/>
        </w:rPr>
        <w:t>disposition, w</w:t>
      </w:r>
      <w:r>
        <w:rPr>
          <w:sz w:val="26"/>
          <w:szCs w:val="26"/>
        </w:rPr>
        <w:t>e agree that because the producers are beneficiaries of the gathering system, they should also contribute to the cost of the Compan</w:t>
      </w:r>
      <w:r w:rsidR="00F76088">
        <w:rPr>
          <w:sz w:val="26"/>
          <w:szCs w:val="26"/>
        </w:rPr>
        <w:t>y</w:t>
      </w:r>
      <w:r w:rsidR="00734951">
        <w:rPr>
          <w:sz w:val="26"/>
          <w:szCs w:val="26"/>
        </w:rPr>
        <w:t>’</w:t>
      </w:r>
      <w:r w:rsidR="00F76088">
        <w:rPr>
          <w:sz w:val="26"/>
          <w:szCs w:val="26"/>
        </w:rPr>
        <w:t>s</w:t>
      </w:r>
      <w:r>
        <w:rPr>
          <w:sz w:val="26"/>
          <w:szCs w:val="26"/>
        </w:rPr>
        <w:t xml:space="preserve"> gathering system UFG.  We do not have a</w:t>
      </w:r>
      <w:r w:rsidR="00DE6CF9">
        <w:rPr>
          <w:sz w:val="26"/>
          <w:szCs w:val="26"/>
        </w:rPr>
        <w:t>ny</w:t>
      </w:r>
      <w:r>
        <w:rPr>
          <w:sz w:val="26"/>
          <w:szCs w:val="26"/>
        </w:rPr>
        <w:t xml:space="preserve"> problem with the proposed charge as we believe it would </w:t>
      </w:r>
      <w:r w:rsidR="00F76088">
        <w:rPr>
          <w:sz w:val="26"/>
          <w:szCs w:val="26"/>
        </w:rPr>
        <w:t>reduce the cost currently borne by the Company</w:t>
      </w:r>
      <w:r w:rsidR="00734951">
        <w:rPr>
          <w:sz w:val="26"/>
          <w:szCs w:val="26"/>
        </w:rPr>
        <w:t>’</w:t>
      </w:r>
      <w:r w:rsidR="00F76088">
        <w:rPr>
          <w:sz w:val="26"/>
          <w:szCs w:val="26"/>
        </w:rPr>
        <w:t xml:space="preserve">s other customers as well as </w:t>
      </w:r>
      <w:r>
        <w:rPr>
          <w:sz w:val="26"/>
          <w:szCs w:val="26"/>
        </w:rPr>
        <w:t>help incentivize the producers to contribute toward Peoples</w:t>
      </w:r>
      <w:r w:rsidR="00734951">
        <w:rPr>
          <w:sz w:val="26"/>
          <w:szCs w:val="26"/>
        </w:rPr>
        <w:t>’</w:t>
      </w:r>
      <w:r>
        <w:rPr>
          <w:sz w:val="26"/>
          <w:szCs w:val="26"/>
        </w:rPr>
        <w:t xml:space="preserve"> </w:t>
      </w:r>
      <w:r w:rsidR="00F76088">
        <w:rPr>
          <w:sz w:val="26"/>
          <w:szCs w:val="26"/>
        </w:rPr>
        <w:t>efforts</w:t>
      </w:r>
      <w:r>
        <w:rPr>
          <w:sz w:val="26"/>
          <w:szCs w:val="26"/>
        </w:rPr>
        <w:t xml:space="preserve"> to reduce </w:t>
      </w:r>
      <w:r w:rsidR="00F76088">
        <w:rPr>
          <w:sz w:val="26"/>
          <w:szCs w:val="26"/>
        </w:rPr>
        <w:t xml:space="preserve">its </w:t>
      </w:r>
      <w:r>
        <w:rPr>
          <w:sz w:val="26"/>
          <w:szCs w:val="26"/>
        </w:rPr>
        <w:t>gathering system UFG</w:t>
      </w:r>
      <w:bookmarkEnd w:id="40"/>
      <w:r>
        <w:rPr>
          <w:sz w:val="26"/>
          <w:szCs w:val="26"/>
        </w:rPr>
        <w:t xml:space="preserve">.  </w:t>
      </w:r>
      <w:r w:rsidR="00257D94">
        <w:rPr>
          <w:sz w:val="26"/>
          <w:szCs w:val="26"/>
        </w:rPr>
        <w:t>The Compan</w:t>
      </w:r>
      <w:r w:rsidR="00F76088">
        <w:rPr>
          <w:sz w:val="26"/>
          <w:szCs w:val="26"/>
        </w:rPr>
        <w:t>y</w:t>
      </w:r>
      <w:r w:rsidR="00257D94">
        <w:rPr>
          <w:sz w:val="26"/>
          <w:szCs w:val="26"/>
        </w:rPr>
        <w:t xml:space="preserve"> ha</w:t>
      </w:r>
      <w:r w:rsidR="00F76088">
        <w:rPr>
          <w:sz w:val="26"/>
          <w:szCs w:val="26"/>
        </w:rPr>
        <w:t>s</w:t>
      </w:r>
      <w:r w:rsidR="00257D94">
        <w:rPr>
          <w:sz w:val="26"/>
          <w:szCs w:val="26"/>
        </w:rPr>
        <w:t xml:space="preserve"> indicated that the proposed producer charge is part of </w:t>
      </w:r>
      <w:r w:rsidR="008A3522">
        <w:rPr>
          <w:sz w:val="26"/>
          <w:szCs w:val="26"/>
        </w:rPr>
        <w:t xml:space="preserve">a comprehensive effort </w:t>
      </w:r>
      <w:r w:rsidR="00F76088">
        <w:rPr>
          <w:sz w:val="26"/>
          <w:szCs w:val="26"/>
        </w:rPr>
        <w:t>to reduce its gathering system UFG levels as defined in the Company</w:t>
      </w:r>
      <w:r w:rsidR="00734951">
        <w:rPr>
          <w:sz w:val="26"/>
          <w:szCs w:val="26"/>
        </w:rPr>
        <w:t>’</w:t>
      </w:r>
      <w:r w:rsidR="00F76088">
        <w:rPr>
          <w:sz w:val="26"/>
          <w:szCs w:val="26"/>
        </w:rPr>
        <w:t xml:space="preserve">s </w:t>
      </w:r>
      <w:r w:rsidR="00257D94">
        <w:rPr>
          <w:sz w:val="26"/>
          <w:szCs w:val="26"/>
        </w:rPr>
        <w:t xml:space="preserve">UFG Mitigation Plan developed </w:t>
      </w:r>
      <w:r w:rsidR="00F76088">
        <w:rPr>
          <w:sz w:val="26"/>
          <w:szCs w:val="26"/>
        </w:rPr>
        <w:t>after</w:t>
      </w:r>
      <w:r w:rsidR="00257D94">
        <w:rPr>
          <w:sz w:val="26"/>
          <w:szCs w:val="26"/>
        </w:rPr>
        <w:t xml:space="preserve"> the 2017 PGC proceedings</w:t>
      </w:r>
      <w:r w:rsidR="00C93C3C">
        <w:rPr>
          <w:sz w:val="26"/>
          <w:szCs w:val="26"/>
        </w:rPr>
        <w:t xml:space="preserve">. </w:t>
      </w:r>
    </w:p>
    <w:p w14:paraId="6362C65D" w14:textId="77777777" w:rsidR="00513C01" w:rsidRDefault="00513C01" w:rsidP="007374FA">
      <w:pPr>
        <w:widowControl/>
        <w:tabs>
          <w:tab w:val="left" w:pos="1445"/>
          <w:tab w:val="left" w:pos="7920"/>
        </w:tabs>
        <w:autoSpaceDE w:val="0"/>
        <w:autoSpaceDN w:val="0"/>
        <w:adjustRightInd w:val="0"/>
        <w:spacing w:line="360" w:lineRule="auto"/>
        <w:rPr>
          <w:sz w:val="26"/>
          <w:szCs w:val="26"/>
        </w:rPr>
      </w:pPr>
    </w:p>
    <w:p w14:paraId="5F60D1D9" w14:textId="03A623CB" w:rsidR="00513C01" w:rsidRDefault="00513C01" w:rsidP="007374FA">
      <w:pPr>
        <w:widowControl/>
        <w:spacing w:line="360" w:lineRule="auto"/>
        <w:ind w:firstLine="1440"/>
        <w:rPr>
          <w:sz w:val="26"/>
          <w:szCs w:val="26"/>
        </w:rPr>
      </w:pPr>
      <w:r>
        <w:rPr>
          <w:sz w:val="26"/>
          <w:szCs w:val="26"/>
        </w:rPr>
        <w:t>Furthermore, as PIOGA points out, Peoples Natural Gas opposed the OCA</w:t>
      </w:r>
      <w:r w:rsidR="00734951">
        <w:rPr>
          <w:sz w:val="26"/>
          <w:szCs w:val="26"/>
        </w:rPr>
        <w:t>’</w:t>
      </w:r>
      <w:r w:rsidRPr="00B17E13">
        <w:rPr>
          <w:sz w:val="26"/>
          <w:szCs w:val="26"/>
        </w:rPr>
        <w:t>s proposa</w:t>
      </w:r>
      <w:r>
        <w:rPr>
          <w:sz w:val="26"/>
          <w:szCs w:val="26"/>
        </w:rPr>
        <w:t>l in last year</w:t>
      </w:r>
      <w:r w:rsidR="00734951">
        <w:rPr>
          <w:sz w:val="26"/>
          <w:szCs w:val="26"/>
        </w:rPr>
        <w:t>’</w:t>
      </w:r>
      <w:r>
        <w:rPr>
          <w:sz w:val="26"/>
          <w:szCs w:val="26"/>
        </w:rPr>
        <w:t xml:space="preserve">s PGC proceeding.  </w:t>
      </w:r>
      <w:r w:rsidR="00463641">
        <w:rPr>
          <w:sz w:val="26"/>
          <w:szCs w:val="26"/>
        </w:rPr>
        <w:t xml:space="preserve">The </w:t>
      </w:r>
      <w:r>
        <w:rPr>
          <w:sz w:val="26"/>
          <w:szCs w:val="26"/>
        </w:rPr>
        <w:t>OCA</w:t>
      </w:r>
      <w:r w:rsidR="00734951">
        <w:rPr>
          <w:sz w:val="26"/>
          <w:szCs w:val="26"/>
        </w:rPr>
        <w:t>’</w:t>
      </w:r>
      <w:r>
        <w:rPr>
          <w:sz w:val="26"/>
          <w:szCs w:val="26"/>
        </w:rPr>
        <w:t>s proposal in the previous PGC proceeding was similar the Company</w:t>
      </w:r>
      <w:r w:rsidR="00734951">
        <w:rPr>
          <w:sz w:val="26"/>
          <w:szCs w:val="26"/>
        </w:rPr>
        <w:t>’</w:t>
      </w:r>
      <w:r>
        <w:rPr>
          <w:sz w:val="26"/>
          <w:szCs w:val="26"/>
        </w:rPr>
        <w:t>s proposal in the present proceeding, in that both attempt to partially unbundle the integrated cost allocation on the system and reassign responsibility for UFG on the gathering system.  However, the Company</w:t>
      </w:r>
      <w:r w:rsidR="00734951">
        <w:rPr>
          <w:sz w:val="26"/>
          <w:szCs w:val="26"/>
        </w:rPr>
        <w:t>’</w:t>
      </w:r>
      <w:r>
        <w:rPr>
          <w:sz w:val="26"/>
          <w:szCs w:val="26"/>
        </w:rPr>
        <w:t xml:space="preserve">s </w:t>
      </w:r>
      <w:r>
        <w:rPr>
          <w:sz w:val="26"/>
          <w:szCs w:val="26"/>
        </w:rPr>
        <w:lastRenderedPageBreak/>
        <w:t xml:space="preserve">proposal in the instant proceeding is both different than that proposed by </w:t>
      </w:r>
      <w:r w:rsidR="00463641">
        <w:rPr>
          <w:sz w:val="26"/>
          <w:szCs w:val="26"/>
        </w:rPr>
        <w:t xml:space="preserve">the </w:t>
      </w:r>
      <w:r>
        <w:rPr>
          <w:sz w:val="26"/>
          <w:szCs w:val="26"/>
        </w:rPr>
        <w:t>OCA and based on information that was not available until recently.</w:t>
      </w:r>
    </w:p>
    <w:p w14:paraId="205F5989" w14:textId="77777777" w:rsidR="00513C01" w:rsidRDefault="00513C01" w:rsidP="007374FA">
      <w:pPr>
        <w:widowControl/>
        <w:spacing w:line="360" w:lineRule="auto"/>
        <w:ind w:firstLine="1440"/>
        <w:rPr>
          <w:sz w:val="26"/>
          <w:szCs w:val="26"/>
        </w:rPr>
      </w:pPr>
    </w:p>
    <w:p w14:paraId="04FA9F3C" w14:textId="62A4B193" w:rsidR="00513C01" w:rsidRDefault="00513C01" w:rsidP="007374FA">
      <w:pPr>
        <w:widowControl/>
        <w:spacing w:line="360" w:lineRule="auto"/>
        <w:ind w:firstLine="1440"/>
        <w:rPr>
          <w:sz w:val="26"/>
          <w:szCs w:val="26"/>
        </w:rPr>
      </w:pPr>
      <w:r>
        <w:rPr>
          <w:sz w:val="26"/>
          <w:szCs w:val="26"/>
        </w:rPr>
        <w:t>The OCA</w:t>
      </w:r>
      <w:r w:rsidR="00734951">
        <w:rPr>
          <w:sz w:val="26"/>
          <w:szCs w:val="26"/>
        </w:rPr>
        <w:t>’</w:t>
      </w:r>
      <w:r>
        <w:rPr>
          <w:sz w:val="26"/>
          <w:szCs w:val="26"/>
        </w:rPr>
        <w:t xml:space="preserve">s proposal, referenced by PIOGA, was an attempt to assign responsibility for UFG on the gathering system to only those transportation customers who use the gas delivered through the gathering system by adopting separate retainage charges for distribution and gathering systems.  Peoples Natural Gas opposed </w:t>
      </w:r>
      <w:r w:rsidR="00463641">
        <w:rPr>
          <w:sz w:val="26"/>
          <w:szCs w:val="26"/>
        </w:rPr>
        <w:t xml:space="preserve">the </w:t>
      </w:r>
      <w:r>
        <w:rPr>
          <w:sz w:val="26"/>
          <w:szCs w:val="26"/>
        </w:rPr>
        <w:t>OCA</w:t>
      </w:r>
      <w:r w:rsidR="00734951">
        <w:rPr>
          <w:sz w:val="26"/>
          <w:szCs w:val="26"/>
        </w:rPr>
        <w:t>’</w:t>
      </w:r>
      <w:r>
        <w:rPr>
          <w:sz w:val="26"/>
          <w:szCs w:val="26"/>
        </w:rPr>
        <w:t xml:space="preserve">s proposal based on its belief that the assessment of an unbundled gathering system retainage rate to transportation customers would potentially create some practical and fairness issues </w:t>
      </w:r>
      <w:proofErr w:type="gramStart"/>
      <w:r>
        <w:rPr>
          <w:sz w:val="26"/>
          <w:szCs w:val="26"/>
        </w:rPr>
        <w:t>as a result of</w:t>
      </w:r>
      <w:proofErr w:type="gramEnd"/>
      <w:r>
        <w:rPr>
          <w:sz w:val="26"/>
          <w:szCs w:val="26"/>
        </w:rPr>
        <w:t xml:space="preserve"> the integrated nature of its gathering system:</w:t>
      </w:r>
    </w:p>
    <w:p w14:paraId="1DBB78B2" w14:textId="77777777" w:rsidR="00513C01" w:rsidRDefault="00513C01" w:rsidP="007374FA">
      <w:pPr>
        <w:widowControl/>
        <w:spacing w:line="360" w:lineRule="auto"/>
        <w:ind w:firstLine="1440"/>
        <w:rPr>
          <w:sz w:val="26"/>
          <w:szCs w:val="26"/>
        </w:rPr>
      </w:pPr>
    </w:p>
    <w:p w14:paraId="3C120B79" w14:textId="77777777" w:rsidR="00513C01" w:rsidRDefault="00513C01" w:rsidP="007374FA">
      <w:pPr>
        <w:widowControl/>
        <w:ind w:left="1440" w:right="1440"/>
        <w:rPr>
          <w:sz w:val="26"/>
          <w:szCs w:val="26"/>
        </w:rPr>
      </w:pPr>
      <w:r w:rsidRPr="00CF7360">
        <w:rPr>
          <w:sz w:val="26"/>
          <w:szCs w:val="26"/>
        </w:rPr>
        <w:t>Gas does not flow</w:t>
      </w:r>
      <w:r>
        <w:rPr>
          <w:sz w:val="26"/>
          <w:szCs w:val="26"/>
        </w:rPr>
        <w:t xml:space="preserve"> </w:t>
      </w:r>
      <w:r w:rsidRPr="00CF7360">
        <w:rPr>
          <w:sz w:val="26"/>
          <w:szCs w:val="26"/>
        </w:rPr>
        <w:t>from the gatherin</w:t>
      </w:r>
      <w:r>
        <w:rPr>
          <w:sz w:val="26"/>
          <w:szCs w:val="26"/>
        </w:rPr>
        <w:t xml:space="preserve">g system to a limited number of </w:t>
      </w:r>
      <w:r w:rsidRPr="00CF7360">
        <w:rPr>
          <w:sz w:val="26"/>
          <w:szCs w:val="26"/>
        </w:rPr>
        <w:t>interconnection points with the</w:t>
      </w:r>
      <w:r>
        <w:rPr>
          <w:sz w:val="26"/>
          <w:szCs w:val="26"/>
        </w:rPr>
        <w:t xml:space="preserve"> </w:t>
      </w:r>
      <w:r w:rsidRPr="00CF7360">
        <w:rPr>
          <w:sz w:val="26"/>
          <w:szCs w:val="26"/>
        </w:rPr>
        <w:t>Peoples system; rather, gas in the gathering system is already in the Peoples</w:t>
      </w:r>
      <w:r>
        <w:rPr>
          <w:sz w:val="26"/>
          <w:szCs w:val="26"/>
        </w:rPr>
        <w:t xml:space="preserve"> </w:t>
      </w:r>
      <w:r w:rsidRPr="00CF7360">
        <w:rPr>
          <w:sz w:val="26"/>
          <w:szCs w:val="26"/>
        </w:rPr>
        <w:t xml:space="preserve">system. </w:t>
      </w:r>
      <w:r>
        <w:rPr>
          <w:sz w:val="26"/>
          <w:szCs w:val="26"/>
        </w:rPr>
        <w:t xml:space="preserve"> </w:t>
      </w:r>
      <w:r w:rsidRPr="00CF7360">
        <w:rPr>
          <w:sz w:val="26"/>
          <w:szCs w:val="26"/>
        </w:rPr>
        <w:t>The gathering system is integrated with the distribution system and</w:t>
      </w:r>
      <w:r>
        <w:rPr>
          <w:sz w:val="26"/>
          <w:szCs w:val="26"/>
        </w:rPr>
        <w:t xml:space="preserve"> </w:t>
      </w:r>
      <w:r w:rsidRPr="00CF7360">
        <w:rPr>
          <w:sz w:val="26"/>
          <w:szCs w:val="26"/>
        </w:rPr>
        <w:t>serves all customers who use the integrated system.</w:t>
      </w:r>
    </w:p>
    <w:p w14:paraId="1B4EED63" w14:textId="77777777" w:rsidR="00513C01" w:rsidRDefault="00513C01" w:rsidP="007374FA">
      <w:pPr>
        <w:widowControl/>
        <w:ind w:left="1440" w:right="1440"/>
        <w:rPr>
          <w:sz w:val="26"/>
          <w:szCs w:val="26"/>
        </w:rPr>
      </w:pPr>
    </w:p>
    <w:p w14:paraId="3DF5ACEE" w14:textId="3ECD3F0E" w:rsidR="00513C01" w:rsidRDefault="00513C01" w:rsidP="007374FA">
      <w:pPr>
        <w:widowControl/>
        <w:ind w:left="1440" w:right="1440" w:firstLine="720"/>
        <w:rPr>
          <w:sz w:val="26"/>
          <w:szCs w:val="26"/>
        </w:rPr>
      </w:pPr>
      <w:proofErr w:type="gramStart"/>
      <w:r w:rsidRPr="004A086F">
        <w:rPr>
          <w:sz w:val="26"/>
          <w:szCs w:val="26"/>
        </w:rPr>
        <w:t>As long as</w:t>
      </w:r>
      <w:proofErr w:type="gramEnd"/>
      <w:r w:rsidRPr="004A086F">
        <w:rPr>
          <w:sz w:val="26"/>
          <w:szCs w:val="26"/>
        </w:rPr>
        <w:t xml:space="preserve"> the Company has h</w:t>
      </w:r>
      <w:r>
        <w:rPr>
          <w:sz w:val="26"/>
          <w:szCs w:val="26"/>
        </w:rPr>
        <w:t xml:space="preserve">ad a transportation program, it </w:t>
      </w:r>
      <w:r w:rsidRPr="004A086F">
        <w:rPr>
          <w:sz w:val="26"/>
          <w:szCs w:val="26"/>
        </w:rPr>
        <w:t>has charged</w:t>
      </w:r>
      <w:r>
        <w:rPr>
          <w:sz w:val="26"/>
          <w:szCs w:val="26"/>
        </w:rPr>
        <w:t xml:space="preserve"> </w:t>
      </w:r>
      <w:r w:rsidRPr="004A086F">
        <w:rPr>
          <w:sz w:val="26"/>
          <w:szCs w:val="26"/>
        </w:rPr>
        <w:t>a single retainage rate to transportation customers, regardless of where the</w:t>
      </w:r>
      <w:r>
        <w:rPr>
          <w:sz w:val="26"/>
          <w:szCs w:val="26"/>
        </w:rPr>
        <w:t xml:space="preserve"> </w:t>
      </w:r>
      <w:r w:rsidRPr="004A086F">
        <w:rPr>
          <w:sz w:val="26"/>
          <w:szCs w:val="26"/>
        </w:rPr>
        <w:t>transportation customers source their gas.</w:t>
      </w:r>
      <w:r>
        <w:rPr>
          <w:sz w:val="26"/>
          <w:szCs w:val="26"/>
        </w:rPr>
        <w:t xml:space="preserve"> </w:t>
      </w:r>
      <w:r w:rsidRPr="004A086F">
        <w:rPr>
          <w:sz w:val="26"/>
          <w:szCs w:val="26"/>
        </w:rPr>
        <w:t xml:space="preserve"> This is consistent with the</w:t>
      </w:r>
      <w:r>
        <w:rPr>
          <w:sz w:val="26"/>
          <w:szCs w:val="26"/>
        </w:rPr>
        <w:t xml:space="preserve"> </w:t>
      </w:r>
      <w:r w:rsidRPr="004A086F">
        <w:rPr>
          <w:sz w:val="26"/>
          <w:szCs w:val="26"/>
        </w:rPr>
        <w:t>Company</w:t>
      </w:r>
      <w:r w:rsidR="00734951">
        <w:rPr>
          <w:sz w:val="26"/>
          <w:szCs w:val="26"/>
        </w:rPr>
        <w:t>’</w:t>
      </w:r>
      <w:r w:rsidRPr="004A086F">
        <w:rPr>
          <w:sz w:val="26"/>
          <w:szCs w:val="26"/>
        </w:rPr>
        <w:t xml:space="preserve">s operation of its system as if </w:t>
      </w:r>
      <w:r>
        <w:rPr>
          <w:sz w:val="26"/>
          <w:szCs w:val="26"/>
        </w:rPr>
        <w:t xml:space="preserve">it is an integrated whole, even </w:t>
      </w:r>
      <w:r w:rsidRPr="004A086F">
        <w:rPr>
          <w:sz w:val="26"/>
          <w:szCs w:val="26"/>
        </w:rPr>
        <w:t>though</w:t>
      </w:r>
      <w:r>
        <w:rPr>
          <w:sz w:val="26"/>
          <w:szCs w:val="26"/>
        </w:rPr>
        <w:t xml:space="preserve"> </w:t>
      </w:r>
      <w:r w:rsidRPr="004A086F">
        <w:rPr>
          <w:sz w:val="26"/>
          <w:szCs w:val="26"/>
        </w:rPr>
        <w:t>there are discrete sections of the system that are not fully integrated with the rest</w:t>
      </w:r>
      <w:r>
        <w:rPr>
          <w:sz w:val="26"/>
          <w:szCs w:val="26"/>
        </w:rPr>
        <w:t xml:space="preserve"> </w:t>
      </w:r>
      <w:r w:rsidRPr="004A086F">
        <w:rPr>
          <w:sz w:val="26"/>
          <w:szCs w:val="26"/>
        </w:rPr>
        <w:t>of the system.</w:t>
      </w:r>
    </w:p>
    <w:p w14:paraId="14F8089F" w14:textId="77777777" w:rsidR="00513C01" w:rsidRDefault="00513C01" w:rsidP="007374FA">
      <w:pPr>
        <w:widowControl/>
        <w:ind w:left="1440" w:right="1440"/>
        <w:rPr>
          <w:sz w:val="26"/>
          <w:szCs w:val="26"/>
        </w:rPr>
      </w:pPr>
    </w:p>
    <w:p w14:paraId="0A6F6D4B" w14:textId="77777777" w:rsidR="00513C01" w:rsidRPr="00CF7360" w:rsidRDefault="00513C01" w:rsidP="007374FA">
      <w:pPr>
        <w:widowControl/>
        <w:autoSpaceDE w:val="0"/>
        <w:autoSpaceDN w:val="0"/>
        <w:ind w:left="1440" w:right="1440"/>
        <w:contextualSpacing/>
        <w:jc w:val="center"/>
        <w:rPr>
          <w:rFonts w:eastAsia="Calibri"/>
          <w:sz w:val="26"/>
          <w:szCs w:val="26"/>
        </w:rPr>
      </w:pPr>
      <w:bookmarkStart w:id="41" w:name="_Hlk523730734"/>
      <w:r w:rsidRPr="00CF7360">
        <w:rPr>
          <w:rFonts w:eastAsia="Calibri"/>
          <w:sz w:val="26"/>
          <w:szCs w:val="26"/>
        </w:rPr>
        <w:t>*</w:t>
      </w:r>
      <w:r w:rsidRPr="00CF7360">
        <w:rPr>
          <w:rFonts w:eastAsia="Calibri"/>
          <w:sz w:val="26"/>
          <w:szCs w:val="26"/>
        </w:rPr>
        <w:tab/>
        <w:t>*</w:t>
      </w:r>
      <w:r w:rsidRPr="00CF7360">
        <w:rPr>
          <w:rFonts w:eastAsia="Calibri"/>
          <w:sz w:val="26"/>
          <w:szCs w:val="26"/>
        </w:rPr>
        <w:tab/>
        <w:t>*</w:t>
      </w:r>
    </w:p>
    <w:bookmarkEnd w:id="41"/>
    <w:p w14:paraId="6FC08C31" w14:textId="77777777" w:rsidR="00513C01" w:rsidRDefault="00513C01" w:rsidP="007374FA">
      <w:pPr>
        <w:widowControl/>
        <w:spacing w:line="360" w:lineRule="auto"/>
        <w:rPr>
          <w:sz w:val="26"/>
          <w:szCs w:val="26"/>
        </w:rPr>
      </w:pPr>
    </w:p>
    <w:p w14:paraId="020CA11C" w14:textId="77777777" w:rsidR="00734951" w:rsidRDefault="00513C01" w:rsidP="007374FA">
      <w:pPr>
        <w:widowControl/>
        <w:ind w:left="1440" w:right="1440" w:firstLine="720"/>
        <w:rPr>
          <w:sz w:val="26"/>
          <w:szCs w:val="26"/>
        </w:rPr>
      </w:pPr>
      <w:r w:rsidRPr="004A086F">
        <w:rPr>
          <w:sz w:val="26"/>
          <w:szCs w:val="26"/>
        </w:rPr>
        <w:t>Even more basic to the specific issue raised by the OCA, if a</w:t>
      </w:r>
      <w:r>
        <w:rPr>
          <w:sz w:val="26"/>
          <w:szCs w:val="26"/>
        </w:rPr>
        <w:t xml:space="preserve"> </w:t>
      </w:r>
      <w:r w:rsidRPr="004A086F">
        <w:rPr>
          <w:sz w:val="26"/>
          <w:szCs w:val="26"/>
        </w:rPr>
        <w:t>transportation customer pu</w:t>
      </w:r>
      <w:r>
        <w:rPr>
          <w:sz w:val="26"/>
          <w:szCs w:val="26"/>
        </w:rPr>
        <w:t xml:space="preserve">rchases gas from a supplier who </w:t>
      </w:r>
      <w:r w:rsidRPr="004A086F">
        <w:rPr>
          <w:sz w:val="26"/>
          <w:szCs w:val="26"/>
        </w:rPr>
        <w:t>delivers gas to the</w:t>
      </w:r>
      <w:r>
        <w:rPr>
          <w:sz w:val="26"/>
          <w:szCs w:val="26"/>
        </w:rPr>
        <w:t xml:space="preserve"> </w:t>
      </w:r>
      <w:r w:rsidRPr="004A086F">
        <w:rPr>
          <w:sz w:val="26"/>
          <w:szCs w:val="26"/>
        </w:rPr>
        <w:t>Peoples system only from an interstate pipeline, but that customer is located downstream of the gathering system and is physically consuming gas that is</w:t>
      </w:r>
      <w:r>
        <w:rPr>
          <w:sz w:val="26"/>
          <w:szCs w:val="26"/>
        </w:rPr>
        <w:t xml:space="preserve"> </w:t>
      </w:r>
      <w:r w:rsidRPr="004A086F">
        <w:rPr>
          <w:sz w:val="26"/>
          <w:szCs w:val="26"/>
        </w:rPr>
        <w:t>delivered through the gathering system, should that customer pay the gathering</w:t>
      </w:r>
      <w:r>
        <w:rPr>
          <w:sz w:val="26"/>
          <w:szCs w:val="26"/>
        </w:rPr>
        <w:t xml:space="preserve"> </w:t>
      </w:r>
      <w:r w:rsidRPr="004A086F">
        <w:rPr>
          <w:sz w:val="26"/>
          <w:szCs w:val="26"/>
        </w:rPr>
        <w:t xml:space="preserve">system retainage? Should that customer </w:t>
      </w:r>
    </w:p>
    <w:p w14:paraId="48CF2B9C" w14:textId="17B7D254" w:rsidR="00513C01" w:rsidRDefault="00513C01" w:rsidP="00734951">
      <w:pPr>
        <w:keepNext/>
        <w:keepLines/>
        <w:widowControl/>
        <w:ind w:left="1440" w:right="1440"/>
        <w:rPr>
          <w:sz w:val="26"/>
          <w:szCs w:val="26"/>
        </w:rPr>
      </w:pPr>
      <w:r w:rsidRPr="004A086F">
        <w:rPr>
          <w:sz w:val="26"/>
          <w:szCs w:val="26"/>
        </w:rPr>
        <w:lastRenderedPageBreak/>
        <w:t>also pay retainage on the distribution</w:t>
      </w:r>
      <w:r>
        <w:rPr>
          <w:sz w:val="26"/>
          <w:szCs w:val="26"/>
        </w:rPr>
        <w:t xml:space="preserve"> </w:t>
      </w:r>
      <w:r w:rsidRPr="004A086F">
        <w:rPr>
          <w:sz w:val="26"/>
          <w:szCs w:val="26"/>
        </w:rPr>
        <w:t>system? Should that customer also pay retainage on the upstream pipeline that</w:t>
      </w:r>
      <w:r>
        <w:rPr>
          <w:sz w:val="26"/>
          <w:szCs w:val="26"/>
        </w:rPr>
        <w:t xml:space="preserve"> </w:t>
      </w:r>
      <w:r w:rsidRPr="004A086F">
        <w:rPr>
          <w:sz w:val="26"/>
          <w:szCs w:val="26"/>
        </w:rPr>
        <w:t>its supplier is using?</w:t>
      </w:r>
    </w:p>
    <w:p w14:paraId="4EC8EA98" w14:textId="77777777" w:rsidR="00513C01" w:rsidRDefault="00513C01" w:rsidP="00734951">
      <w:pPr>
        <w:keepNext/>
        <w:keepLines/>
        <w:widowControl/>
        <w:spacing w:line="360" w:lineRule="auto"/>
        <w:rPr>
          <w:sz w:val="26"/>
          <w:szCs w:val="26"/>
        </w:rPr>
      </w:pPr>
    </w:p>
    <w:p w14:paraId="0CDCAAC7" w14:textId="77777777" w:rsidR="00513C01" w:rsidRPr="009851A9" w:rsidRDefault="00513C01" w:rsidP="007374FA">
      <w:pPr>
        <w:widowControl/>
        <w:spacing w:line="360" w:lineRule="auto"/>
        <w:rPr>
          <w:sz w:val="26"/>
          <w:szCs w:val="26"/>
        </w:rPr>
      </w:pPr>
      <w:r w:rsidRPr="007944B2">
        <w:rPr>
          <w:i/>
          <w:sz w:val="26"/>
        </w:rPr>
        <w:t>Pennsylvania Public Utility Commission</w:t>
      </w:r>
      <w:r>
        <w:rPr>
          <w:i/>
          <w:sz w:val="26"/>
        </w:rPr>
        <w:t xml:space="preserve"> v. Peoples Natural Gas Company LLC, </w:t>
      </w:r>
      <w:r>
        <w:rPr>
          <w:sz w:val="26"/>
        </w:rPr>
        <w:t xml:space="preserve">Docket Nos. R-2017-2586310, R-2017-2586318, Peoples St. No. 4-R at 14-16.  </w:t>
      </w:r>
    </w:p>
    <w:p w14:paraId="08905ACE" w14:textId="77777777" w:rsidR="00513C01" w:rsidRDefault="00513C01" w:rsidP="007374FA">
      <w:pPr>
        <w:widowControl/>
        <w:spacing w:line="360" w:lineRule="auto"/>
        <w:ind w:firstLine="1440"/>
        <w:rPr>
          <w:sz w:val="26"/>
          <w:szCs w:val="26"/>
        </w:rPr>
      </w:pPr>
    </w:p>
    <w:p w14:paraId="4E51DD43" w14:textId="7FB7F0D1" w:rsidR="002E4C29" w:rsidRDefault="00513C01" w:rsidP="007374FA">
      <w:pPr>
        <w:widowControl/>
        <w:spacing w:line="360" w:lineRule="auto"/>
        <w:ind w:firstLine="1440"/>
        <w:rPr>
          <w:sz w:val="26"/>
          <w:szCs w:val="26"/>
        </w:rPr>
      </w:pPr>
      <w:r>
        <w:rPr>
          <w:sz w:val="26"/>
          <w:szCs w:val="26"/>
        </w:rPr>
        <w:t>It is shown that the unbundling of gathering related costs and the task of reassigning them amongst specific customers is a complex undertaking.  However, the Company</w:t>
      </w:r>
      <w:r w:rsidR="00734951">
        <w:rPr>
          <w:sz w:val="26"/>
          <w:szCs w:val="26"/>
        </w:rPr>
        <w:t>’</w:t>
      </w:r>
      <w:r>
        <w:rPr>
          <w:sz w:val="26"/>
          <w:szCs w:val="26"/>
        </w:rPr>
        <w:t xml:space="preserve">s proposal in the instant proceeding is not such a proposal.  We </w:t>
      </w:r>
      <w:proofErr w:type="gramStart"/>
      <w:r>
        <w:rPr>
          <w:sz w:val="26"/>
          <w:szCs w:val="26"/>
        </w:rPr>
        <w:t>are of the opinion that</w:t>
      </w:r>
      <w:proofErr w:type="gramEnd"/>
      <w:r>
        <w:rPr>
          <w:sz w:val="26"/>
          <w:szCs w:val="26"/>
        </w:rPr>
        <w:t xml:space="preserve"> the Company has provided substantial support for its proposed producer retainage charge, designed to recover of a portion of gathering system UFG (19%) from conventional gas producers, who likewise benefit from the use of the gathering system.  </w:t>
      </w:r>
    </w:p>
    <w:p w14:paraId="2C32D249" w14:textId="77777777" w:rsidR="002E4C29" w:rsidRDefault="002E4C29" w:rsidP="007374FA">
      <w:pPr>
        <w:widowControl/>
        <w:spacing w:line="360" w:lineRule="auto"/>
        <w:ind w:firstLine="1440"/>
        <w:rPr>
          <w:sz w:val="26"/>
          <w:szCs w:val="26"/>
        </w:rPr>
      </w:pPr>
    </w:p>
    <w:p w14:paraId="0C0EAA59" w14:textId="77777777" w:rsidR="0048620B" w:rsidRDefault="002E4C29" w:rsidP="007374FA">
      <w:pPr>
        <w:widowControl/>
        <w:spacing w:line="360" w:lineRule="auto"/>
        <w:ind w:firstLine="1440"/>
        <w:rPr>
          <w:sz w:val="26"/>
          <w:szCs w:val="26"/>
        </w:rPr>
      </w:pPr>
      <w:r>
        <w:rPr>
          <w:sz w:val="26"/>
          <w:szCs w:val="26"/>
        </w:rPr>
        <w:t xml:space="preserve">Furthermore, as explained </w:t>
      </w:r>
      <w:r w:rsidRPr="00936247">
        <w:rPr>
          <w:i/>
          <w:sz w:val="26"/>
          <w:szCs w:val="26"/>
        </w:rPr>
        <w:t>supra</w:t>
      </w:r>
      <w:r>
        <w:rPr>
          <w:sz w:val="26"/>
          <w:szCs w:val="26"/>
        </w:rPr>
        <w:t xml:space="preserve">, the Company has undertaken an in-depth, comprehensive analysis of ways in which to reduce gathering system UFG, developed the UFG Mitigation Plan, </w:t>
      </w:r>
      <w:r w:rsidR="00A0511F">
        <w:rPr>
          <w:sz w:val="26"/>
          <w:szCs w:val="26"/>
        </w:rPr>
        <w:t xml:space="preserve">and </w:t>
      </w:r>
      <w:r>
        <w:rPr>
          <w:sz w:val="26"/>
          <w:szCs w:val="26"/>
        </w:rPr>
        <w:t>committed to invest substantial capital in its gathering system, all of which have been accomplished since last year</w:t>
      </w:r>
      <w:r w:rsidR="00734951">
        <w:rPr>
          <w:sz w:val="26"/>
          <w:szCs w:val="26"/>
        </w:rPr>
        <w:t>’</w:t>
      </w:r>
      <w:r>
        <w:rPr>
          <w:sz w:val="26"/>
          <w:szCs w:val="26"/>
        </w:rPr>
        <w:t xml:space="preserve">s PGC proceeding.  Additionally, as we </w:t>
      </w:r>
      <w:r w:rsidR="00A0511F">
        <w:rPr>
          <w:sz w:val="26"/>
          <w:szCs w:val="26"/>
        </w:rPr>
        <w:t xml:space="preserve">discussed </w:t>
      </w:r>
      <w:r>
        <w:rPr>
          <w:sz w:val="26"/>
          <w:szCs w:val="26"/>
        </w:rPr>
        <w:t xml:space="preserve">in our earlier disposition, </w:t>
      </w:r>
      <w:r w:rsidR="001B3723" w:rsidRPr="001B3723">
        <w:rPr>
          <w:sz w:val="26"/>
          <w:szCs w:val="26"/>
        </w:rPr>
        <w:t>the producers a</w:t>
      </w:r>
      <w:r w:rsidR="001B3723">
        <w:rPr>
          <w:sz w:val="26"/>
          <w:szCs w:val="26"/>
        </w:rPr>
        <w:t>s</w:t>
      </w:r>
      <w:r w:rsidR="001B3723" w:rsidRPr="001B3723">
        <w:rPr>
          <w:sz w:val="26"/>
          <w:szCs w:val="26"/>
        </w:rPr>
        <w:t xml:space="preserve"> beneficiaries of the gathering system should also be required to contribute to the cost of the Company’s gathering system UFG.  </w:t>
      </w:r>
      <w:r w:rsidR="00A5710D">
        <w:rPr>
          <w:sz w:val="26"/>
          <w:szCs w:val="26"/>
        </w:rPr>
        <w:t xml:space="preserve">Thus, approval of the producer charge will </w:t>
      </w:r>
      <w:r>
        <w:rPr>
          <w:sz w:val="26"/>
          <w:szCs w:val="26"/>
        </w:rPr>
        <w:t>incentivize the producers to contribute toward PNG</w:t>
      </w:r>
      <w:r w:rsidR="00734951">
        <w:rPr>
          <w:sz w:val="26"/>
          <w:szCs w:val="26"/>
        </w:rPr>
        <w:t>’</w:t>
      </w:r>
      <w:r>
        <w:rPr>
          <w:sz w:val="26"/>
          <w:szCs w:val="26"/>
        </w:rPr>
        <w:t>s efforts to reduce its gathering system UFG</w:t>
      </w:r>
      <w:r w:rsidR="0048620B">
        <w:rPr>
          <w:sz w:val="26"/>
          <w:szCs w:val="26"/>
        </w:rPr>
        <w:t xml:space="preserve"> and reduce the cost currently borne by the Company’s other customers.</w:t>
      </w:r>
      <w:r>
        <w:rPr>
          <w:sz w:val="26"/>
          <w:szCs w:val="26"/>
        </w:rPr>
        <w:t xml:space="preserve">  </w:t>
      </w:r>
    </w:p>
    <w:p w14:paraId="746F39AD" w14:textId="77777777" w:rsidR="0048620B" w:rsidRDefault="0048620B" w:rsidP="007374FA">
      <w:pPr>
        <w:widowControl/>
        <w:spacing w:line="360" w:lineRule="auto"/>
        <w:ind w:firstLine="1440"/>
        <w:rPr>
          <w:sz w:val="26"/>
          <w:szCs w:val="26"/>
        </w:rPr>
      </w:pPr>
    </w:p>
    <w:p w14:paraId="24F84164" w14:textId="23952C30" w:rsidR="00E07DB6" w:rsidRDefault="0048620B" w:rsidP="007374FA">
      <w:pPr>
        <w:widowControl/>
        <w:spacing w:line="360" w:lineRule="auto"/>
        <w:ind w:firstLine="1440"/>
        <w:rPr>
          <w:sz w:val="26"/>
          <w:szCs w:val="26"/>
        </w:rPr>
      </w:pPr>
      <w:r w:rsidRPr="0048620B">
        <w:rPr>
          <w:sz w:val="26"/>
          <w:szCs w:val="26"/>
        </w:rPr>
        <w:t xml:space="preserve">Consistent with the foregoing discussion, we conclude that Peoples Gas provided </w:t>
      </w:r>
      <w:proofErr w:type="gramStart"/>
      <w:r w:rsidRPr="0048620B">
        <w:rPr>
          <w:sz w:val="26"/>
          <w:szCs w:val="26"/>
        </w:rPr>
        <w:t>sufficient</w:t>
      </w:r>
      <w:proofErr w:type="gramEnd"/>
      <w:r w:rsidRPr="0048620B">
        <w:rPr>
          <w:sz w:val="26"/>
          <w:szCs w:val="26"/>
        </w:rPr>
        <w:t xml:space="preserve"> support for its decision to establish the proposed producer retainage charge and that the ALJ adequately considered each Party’s position in his recommendation to adopt the retainage charge.  Accordingly, PIOGA’s Exception No. 2 is denied.</w:t>
      </w:r>
    </w:p>
    <w:p w14:paraId="62F167C7" w14:textId="77777777" w:rsidR="009F3BF4" w:rsidRDefault="009F3BF4" w:rsidP="007374FA">
      <w:pPr>
        <w:widowControl/>
        <w:tabs>
          <w:tab w:val="left" w:pos="1445"/>
          <w:tab w:val="left" w:pos="7920"/>
        </w:tabs>
        <w:autoSpaceDE w:val="0"/>
        <w:autoSpaceDN w:val="0"/>
        <w:adjustRightInd w:val="0"/>
        <w:spacing w:line="360" w:lineRule="auto"/>
        <w:rPr>
          <w:sz w:val="26"/>
          <w:szCs w:val="26"/>
        </w:rPr>
      </w:pPr>
    </w:p>
    <w:p w14:paraId="62271DF3" w14:textId="34D7DD9D" w:rsidR="007E6689" w:rsidRPr="007E6689" w:rsidRDefault="007E6689" w:rsidP="0048620B">
      <w:pPr>
        <w:pStyle w:val="Heading3"/>
      </w:pPr>
      <w:bookmarkStart w:id="42" w:name="_Toc524442365"/>
      <w:r w:rsidRPr="007E6689">
        <w:lastRenderedPageBreak/>
        <w:t>PIOGA</w:t>
      </w:r>
      <w:r w:rsidR="00734951">
        <w:t>’</w:t>
      </w:r>
      <w:r w:rsidRPr="007E6689">
        <w:t xml:space="preserve">s Exception No. </w:t>
      </w:r>
      <w:r>
        <w:t>3</w:t>
      </w:r>
      <w:r w:rsidR="008031C2">
        <w:t xml:space="preserve">, </w:t>
      </w:r>
      <w:r w:rsidRPr="007E6689">
        <w:t>Replies</w:t>
      </w:r>
      <w:r w:rsidR="008031C2">
        <w:t xml:space="preserve"> and Disposition</w:t>
      </w:r>
      <w:bookmarkEnd w:id="42"/>
    </w:p>
    <w:p w14:paraId="11B4D942" w14:textId="77777777" w:rsidR="007E6689" w:rsidRDefault="007E6689" w:rsidP="0048620B">
      <w:pPr>
        <w:keepNext/>
        <w:keepLines/>
        <w:widowControl/>
        <w:tabs>
          <w:tab w:val="left" w:pos="1445"/>
          <w:tab w:val="left" w:pos="7920"/>
        </w:tabs>
        <w:autoSpaceDE w:val="0"/>
        <w:autoSpaceDN w:val="0"/>
        <w:adjustRightInd w:val="0"/>
        <w:spacing w:line="360" w:lineRule="auto"/>
        <w:rPr>
          <w:b/>
          <w:sz w:val="26"/>
          <w:szCs w:val="26"/>
        </w:rPr>
      </w:pPr>
    </w:p>
    <w:p w14:paraId="61FF749E" w14:textId="3D54617D" w:rsidR="00A94824" w:rsidRDefault="007E6689" w:rsidP="007374FA">
      <w:pPr>
        <w:widowControl/>
        <w:tabs>
          <w:tab w:val="left" w:pos="1445"/>
          <w:tab w:val="left" w:pos="7920"/>
        </w:tabs>
        <w:autoSpaceDE w:val="0"/>
        <w:autoSpaceDN w:val="0"/>
        <w:adjustRightInd w:val="0"/>
        <w:spacing w:line="360" w:lineRule="auto"/>
        <w:rPr>
          <w:sz w:val="26"/>
          <w:szCs w:val="26"/>
        </w:rPr>
      </w:pPr>
      <w:r>
        <w:rPr>
          <w:b/>
          <w:sz w:val="26"/>
          <w:szCs w:val="26"/>
        </w:rPr>
        <w:tab/>
      </w:r>
      <w:r>
        <w:rPr>
          <w:sz w:val="26"/>
          <w:szCs w:val="26"/>
        </w:rPr>
        <w:t xml:space="preserve">In its Exception No. </w:t>
      </w:r>
      <w:r w:rsidR="00BC4128">
        <w:rPr>
          <w:sz w:val="26"/>
          <w:szCs w:val="26"/>
        </w:rPr>
        <w:t>3</w:t>
      </w:r>
      <w:r>
        <w:rPr>
          <w:sz w:val="26"/>
          <w:szCs w:val="26"/>
        </w:rPr>
        <w:t xml:space="preserve">, PIOGA </w:t>
      </w:r>
      <w:r w:rsidR="00316E99">
        <w:rPr>
          <w:sz w:val="26"/>
          <w:szCs w:val="26"/>
        </w:rPr>
        <w:t>avers the ALJ erred in concluding that the producer charge is consistent with the integrated nature of Peoples</w:t>
      </w:r>
      <w:r w:rsidR="00734951">
        <w:rPr>
          <w:sz w:val="26"/>
          <w:szCs w:val="26"/>
        </w:rPr>
        <w:t>’</w:t>
      </w:r>
      <w:r w:rsidR="00316E99">
        <w:rPr>
          <w:sz w:val="26"/>
          <w:szCs w:val="26"/>
        </w:rPr>
        <w:t xml:space="preserve"> distribution, transmission, and gathering systems</w:t>
      </w:r>
      <w:r w:rsidR="00DB0A77">
        <w:rPr>
          <w:sz w:val="26"/>
          <w:szCs w:val="26"/>
        </w:rPr>
        <w:t xml:space="preserve">.  PIOGA also faults the ALJ for </w:t>
      </w:r>
      <w:r w:rsidR="00316E99">
        <w:rPr>
          <w:sz w:val="26"/>
          <w:szCs w:val="26"/>
        </w:rPr>
        <w:t xml:space="preserve">not </w:t>
      </w:r>
      <w:r w:rsidR="00606753">
        <w:rPr>
          <w:sz w:val="26"/>
          <w:szCs w:val="26"/>
        </w:rPr>
        <w:t xml:space="preserve">taking judicial notice and </w:t>
      </w:r>
      <w:r w:rsidR="00117A06">
        <w:rPr>
          <w:sz w:val="26"/>
          <w:szCs w:val="26"/>
        </w:rPr>
        <w:t xml:space="preserve">not </w:t>
      </w:r>
      <w:r w:rsidR="00316E99">
        <w:rPr>
          <w:sz w:val="26"/>
          <w:szCs w:val="26"/>
        </w:rPr>
        <w:t xml:space="preserve">considering </w:t>
      </w:r>
      <w:r w:rsidR="002F621F">
        <w:rPr>
          <w:sz w:val="26"/>
          <w:szCs w:val="26"/>
        </w:rPr>
        <w:t xml:space="preserve">its </w:t>
      </w:r>
      <w:r w:rsidR="00316E99">
        <w:rPr>
          <w:sz w:val="26"/>
          <w:szCs w:val="26"/>
        </w:rPr>
        <w:t>Joint Stipulation and Request to Discontinue between the Commission and PIOGA</w:t>
      </w:r>
      <w:r w:rsidR="00A94824">
        <w:rPr>
          <w:sz w:val="26"/>
          <w:szCs w:val="26"/>
        </w:rPr>
        <w:t xml:space="preserve"> (Joint Stipulation)</w:t>
      </w:r>
      <w:r w:rsidR="00316E99">
        <w:rPr>
          <w:sz w:val="26"/>
          <w:szCs w:val="26"/>
        </w:rPr>
        <w:t>.  Exc. at 11 (R.D. at 68, 79-83; Finding</w:t>
      </w:r>
      <w:r>
        <w:rPr>
          <w:sz w:val="26"/>
          <w:szCs w:val="26"/>
        </w:rPr>
        <w:t xml:space="preserve"> of Fact Nos. </w:t>
      </w:r>
      <w:r w:rsidR="00316E99">
        <w:rPr>
          <w:sz w:val="26"/>
          <w:szCs w:val="26"/>
        </w:rPr>
        <w:t xml:space="preserve">58, 59, 61-63, 65-68; </w:t>
      </w:r>
      <w:r>
        <w:rPr>
          <w:sz w:val="26"/>
          <w:szCs w:val="26"/>
        </w:rPr>
        <w:t>Conclusion of Law No. 27</w:t>
      </w:r>
      <w:r w:rsidR="00CA74A6">
        <w:rPr>
          <w:sz w:val="26"/>
          <w:szCs w:val="26"/>
        </w:rPr>
        <w:t xml:space="preserve">; </w:t>
      </w:r>
      <w:r>
        <w:rPr>
          <w:sz w:val="26"/>
          <w:szCs w:val="26"/>
        </w:rPr>
        <w:t>Ordering Paragraph Nos.</w:t>
      </w:r>
      <w:r w:rsidR="00406DE7">
        <w:rPr>
          <w:sz w:val="26"/>
          <w:szCs w:val="26"/>
        </w:rPr>
        <w:t> </w:t>
      </w:r>
      <w:r>
        <w:rPr>
          <w:sz w:val="26"/>
          <w:szCs w:val="26"/>
        </w:rPr>
        <w:t>2,</w:t>
      </w:r>
      <w:r w:rsidR="00406DE7">
        <w:rPr>
          <w:sz w:val="26"/>
          <w:szCs w:val="26"/>
        </w:rPr>
        <w:t> </w:t>
      </w:r>
      <w:r>
        <w:rPr>
          <w:sz w:val="26"/>
          <w:szCs w:val="26"/>
        </w:rPr>
        <w:t>5,</w:t>
      </w:r>
      <w:r w:rsidR="00406DE7">
        <w:rPr>
          <w:sz w:val="26"/>
          <w:szCs w:val="26"/>
        </w:rPr>
        <w:t> </w:t>
      </w:r>
      <w:r>
        <w:rPr>
          <w:sz w:val="26"/>
          <w:szCs w:val="26"/>
        </w:rPr>
        <w:t>6</w:t>
      </w:r>
      <w:r w:rsidR="00CA74A6">
        <w:rPr>
          <w:sz w:val="26"/>
          <w:szCs w:val="26"/>
        </w:rPr>
        <w:t>)</w:t>
      </w:r>
      <w:r>
        <w:rPr>
          <w:sz w:val="26"/>
          <w:szCs w:val="26"/>
        </w:rPr>
        <w:t xml:space="preserve">.  </w:t>
      </w:r>
      <w:proofErr w:type="gramStart"/>
      <w:r w:rsidR="00B86F78">
        <w:rPr>
          <w:sz w:val="26"/>
          <w:szCs w:val="26"/>
        </w:rPr>
        <w:t>Similar to</w:t>
      </w:r>
      <w:proofErr w:type="gramEnd"/>
      <w:r w:rsidR="00B86F78">
        <w:rPr>
          <w:sz w:val="26"/>
          <w:szCs w:val="26"/>
        </w:rPr>
        <w:t xml:space="preserve"> its Exception No. 2, </w:t>
      </w:r>
      <w:r w:rsidR="00516F75">
        <w:rPr>
          <w:sz w:val="26"/>
          <w:szCs w:val="26"/>
        </w:rPr>
        <w:t>PIOGA questions the ALJ</w:t>
      </w:r>
      <w:r w:rsidR="00734951">
        <w:rPr>
          <w:sz w:val="26"/>
          <w:szCs w:val="26"/>
        </w:rPr>
        <w:t>’</w:t>
      </w:r>
      <w:r w:rsidR="00516F75">
        <w:rPr>
          <w:sz w:val="26"/>
          <w:szCs w:val="26"/>
        </w:rPr>
        <w:t xml:space="preserve">s </w:t>
      </w:r>
      <w:r w:rsidR="006E6F95">
        <w:rPr>
          <w:sz w:val="26"/>
          <w:szCs w:val="26"/>
        </w:rPr>
        <w:t>rejection of its argument that the proposed producer charge is uncommon and the ALJ</w:t>
      </w:r>
      <w:r w:rsidR="00734951">
        <w:rPr>
          <w:sz w:val="26"/>
          <w:szCs w:val="26"/>
        </w:rPr>
        <w:t>’</w:t>
      </w:r>
      <w:r w:rsidR="006E6F95">
        <w:rPr>
          <w:sz w:val="26"/>
          <w:szCs w:val="26"/>
        </w:rPr>
        <w:t>s</w:t>
      </w:r>
      <w:r w:rsidR="002F621F">
        <w:rPr>
          <w:sz w:val="26"/>
          <w:szCs w:val="26"/>
        </w:rPr>
        <w:t xml:space="preserve"> agreement </w:t>
      </w:r>
      <w:r w:rsidR="00B86F78">
        <w:rPr>
          <w:sz w:val="26"/>
          <w:szCs w:val="26"/>
        </w:rPr>
        <w:t>that the Peoples Companies</w:t>
      </w:r>
      <w:r w:rsidR="00734951">
        <w:rPr>
          <w:sz w:val="26"/>
          <w:szCs w:val="26"/>
        </w:rPr>
        <w:t>’</w:t>
      </w:r>
      <w:r w:rsidR="002F621F">
        <w:rPr>
          <w:sz w:val="26"/>
          <w:szCs w:val="26"/>
        </w:rPr>
        <w:t xml:space="preserve"> unique integrated system can be likened to </w:t>
      </w:r>
      <w:r w:rsidR="00B86F78">
        <w:rPr>
          <w:sz w:val="26"/>
          <w:szCs w:val="26"/>
        </w:rPr>
        <w:t>the FERC-regulated interstate integrated pipelines and unregulated gathering companies with respect to charging producers separately for gathering retainage.  Exc. at 11(citing R.D. at 80, 82).  PIOGA contends Peoples</w:t>
      </w:r>
      <w:r w:rsidR="00734951">
        <w:rPr>
          <w:sz w:val="26"/>
          <w:szCs w:val="26"/>
        </w:rPr>
        <w:t>’</w:t>
      </w:r>
      <w:r w:rsidR="00B86F78">
        <w:rPr>
          <w:sz w:val="26"/>
          <w:szCs w:val="26"/>
        </w:rPr>
        <w:t xml:space="preserve"> argument above </w:t>
      </w:r>
      <w:r w:rsidR="002E656C">
        <w:rPr>
          <w:sz w:val="26"/>
          <w:szCs w:val="26"/>
        </w:rPr>
        <w:t xml:space="preserve">is </w:t>
      </w:r>
      <w:r w:rsidR="00B86F78">
        <w:rPr>
          <w:sz w:val="26"/>
          <w:szCs w:val="26"/>
        </w:rPr>
        <w:t>inaccurate</w:t>
      </w:r>
      <w:r w:rsidR="006E6F95">
        <w:rPr>
          <w:sz w:val="26"/>
          <w:szCs w:val="26"/>
        </w:rPr>
        <w:t xml:space="preserve"> and that </w:t>
      </w:r>
      <w:r w:rsidR="00B86F78">
        <w:rPr>
          <w:sz w:val="26"/>
          <w:szCs w:val="26"/>
        </w:rPr>
        <w:t xml:space="preserve">Peoples </w:t>
      </w:r>
      <w:r w:rsidR="00787364">
        <w:rPr>
          <w:sz w:val="26"/>
          <w:szCs w:val="26"/>
        </w:rPr>
        <w:t xml:space="preserve">has </w:t>
      </w:r>
      <w:r w:rsidR="00B86F78">
        <w:rPr>
          <w:sz w:val="26"/>
          <w:szCs w:val="26"/>
        </w:rPr>
        <w:t>failed to identi</w:t>
      </w:r>
      <w:r w:rsidR="00787364">
        <w:rPr>
          <w:sz w:val="26"/>
          <w:szCs w:val="26"/>
        </w:rPr>
        <w:t>fy</w:t>
      </w:r>
      <w:r w:rsidR="00B86F78">
        <w:rPr>
          <w:sz w:val="26"/>
          <w:szCs w:val="26"/>
        </w:rPr>
        <w:t>, in th</w:t>
      </w:r>
      <w:r w:rsidR="00787364">
        <w:rPr>
          <w:sz w:val="26"/>
          <w:szCs w:val="26"/>
        </w:rPr>
        <w:t xml:space="preserve">e instant </w:t>
      </w:r>
      <w:r w:rsidR="00B86F78">
        <w:rPr>
          <w:sz w:val="26"/>
          <w:szCs w:val="26"/>
        </w:rPr>
        <w:t xml:space="preserve">proceeding, any Commission-regulated NGDC that charges separately for gathering retainage, except its Equitable Division.  </w:t>
      </w:r>
      <w:r w:rsidR="002E656C">
        <w:rPr>
          <w:sz w:val="26"/>
          <w:szCs w:val="26"/>
        </w:rPr>
        <w:t xml:space="preserve">In addition, PIOGA points out that the Commission has always maintained that gathering services </w:t>
      </w:r>
      <w:r w:rsidR="00734951">
        <w:rPr>
          <w:sz w:val="26"/>
          <w:szCs w:val="26"/>
        </w:rPr>
        <w:t>“</w:t>
      </w:r>
      <w:r w:rsidR="002E656C">
        <w:rPr>
          <w:sz w:val="26"/>
          <w:szCs w:val="26"/>
        </w:rPr>
        <w:t xml:space="preserve">are generally provided on a contract basis rather than a </w:t>
      </w:r>
      <w:r w:rsidR="00734951">
        <w:rPr>
          <w:sz w:val="26"/>
          <w:szCs w:val="26"/>
        </w:rPr>
        <w:t>“</w:t>
      </w:r>
      <w:r w:rsidR="002E656C">
        <w:rPr>
          <w:sz w:val="26"/>
          <w:szCs w:val="26"/>
        </w:rPr>
        <w:t>public utility</w:t>
      </w:r>
      <w:r w:rsidR="00734951">
        <w:rPr>
          <w:sz w:val="26"/>
          <w:szCs w:val="26"/>
        </w:rPr>
        <w:t>”</w:t>
      </w:r>
      <w:r w:rsidR="002E656C">
        <w:rPr>
          <w:sz w:val="26"/>
          <w:szCs w:val="26"/>
        </w:rPr>
        <w:t xml:space="preserve"> services basis</w:t>
      </w:r>
      <w:r w:rsidR="00C9603F">
        <w:rPr>
          <w:sz w:val="26"/>
          <w:szCs w:val="26"/>
        </w:rPr>
        <w:t>.  Exc.</w:t>
      </w:r>
      <w:r w:rsidR="00CF6D17">
        <w:rPr>
          <w:sz w:val="26"/>
          <w:szCs w:val="26"/>
        </w:rPr>
        <w:t> </w:t>
      </w:r>
      <w:r w:rsidR="00C9603F">
        <w:rPr>
          <w:sz w:val="26"/>
          <w:szCs w:val="26"/>
        </w:rPr>
        <w:t>at</w:t>
      </w:r>
      <w:r w:rsidR="00406DE7">
        <w:rPr>
          <w:sz w:val="26"/>
          <w:szCs w:val="26"/>
        </w:rPr>
        <w:t> </w:t>
      </w:r>
      <w:r w:rsidR="00C9603F">
        <w:rPr>
          <w:sz w:val="26"/>
          <w:szCs w:val="26"/>
        </w:rPr>
        <w:t>11-12.</w:t>
      </w:r>
      <w:r w:rsidR="00A94824">
        <w:rPr>
          <w:sz w:val="26"/>
          <w:szCs w:val="26"/>
        </w:rPr>
        <w:t xml:space="preserve">  PIOGA also took issue with the ALJ</w:t>
      </w:r>
      <w:r w:rsidR="00734951">
        <w:rPr>
          <w:sz w:val="26"/>
          <w:szCs w:val="26"/>
        </w:rPr>
        <w:t>’</w:t>
      </w:r>
      <w:r w:rsidR="00A94824">
        <w:rPr>
          <w:sz w:val="26"/>
          <w:szCs w:val="26"/>
        </w:rPr>
        <w:t xml:space="preserve">s rejection of its Joint Stipulation and faults the ALJ for describing it as a </w:t>
      </w:r>
      <w:r w:rsidR="00734951">
        <w:rPr>
          <w:sz w:val="26"/>
          <w:szCs w:val="26"/>
        </w:rPr>
        <w:t>“</w:t>
      </w:r>
      <w:r w:rsidR="00A94824">
        <w:rPr>
          <w:sz w:val="26"/>
          <w:szCs w:val="26"/>
        </w:rPr>
        <w:t>factual stipulation.</w:t>
      </w:r>
      <w:r w:rsidR="00734951">
        <w:rPr>
          <w:sz w:val="26"/>
          <w:szCs w:val="26"/>
        </w:rPr>
        <w:t>”</w:t>
      </w:r>
      <w:r w:rsidR="00A94824">
        <w:rPr>
          <w:sz w:val="26"/>
          <w:szCs w:val="26"/>
        </w:rPr>
        <w:t xml:space="preserve">  </w:t>
      </w:r>
      <w:r w:rsidR="00A94824" w:rsidRPr="00A94824">
        <w:rPr>
          <w:i/>
          <w:sz w:val="26"/>
          <w:szCs w:val="26"/>
        </w:rPr>
        <w:t>Id.</w:t>
      </w:r>
      <w:r w:rsidR="00A94824">
        <w:rPr>
          <w:sz w:val="26"/>
          <w:szCs w:val="26"/>
        </w:rPr>
        <w:t xml:space="preserve"> at 12-13.</w:t>
      </w:r>
    </w:p>
    <w:p w14:paraId="2029C1B8" w14:textId="77777777" w:rsidR="00E07DB6" w:rsidRDefault="00E07DB6" w:rsidP="007374FA">
      <w:pPr>
        <w:widowControl/>
        <w:tabs>
          <w:tab w:val="left" w:pos="1445"/>
          <w:tab w:val="left" w:pos="7920"/>
        </w:tabs>
        <w:autoSpaceDE w:val="0"/>
        <w:autoSpaceDN w:val="0"/>
        <w:adjustRightInd w:val="0"/>
        <w:spacing w:line="360" w:lineRule="auto"/>
        <w:rPr>
          <w:sz w:val="26"/>
          <w:szCs w:val="26"/>
        </w:rPr>
      </w:pPr>
    </w:p>
    <w:p w14:paraId="7CF96E08" w14:textId="2F8339D2" w:rsidR="00606753" w:rsidRDefault="00606753" w:rsidP="007374FA">
      <w:pPr>
        <w:widowControl/>
        <w:tabs>
          <w:tab w:val="left" w:pos="1445"/>
          <w:tab w:val="left" w:pos="7920"/>
        </w:tabs>
        <w:autoSpaceDE w:val="0"/>
        <w:autoSpaceDN w:val="0"/>
        <w:adjustRightInd w:val="0"/>
        <w:spacing w:line="360" w:lineRule="auto"/>
        <w:rPr>
          <w:sz w:val="26"/>
          <w:szCs w:val="26"/>
        </w:rPr>
      </w:pPr>
      <w:r>
        <w:rPr>
          <w:sz w:val="26"/>
          <w:szCs w:val="26"/>
        </w:rPr>
        <w:tab/>
        <w:t>In Reply,</w:t>
      </w:r>
      <w:r w:rsidR="00B41C10">
        <w:rPr>
          <w:sz w:val="26"/>
          <w:szCs w:val="26"/>
        </w:rPr>
        <w:t xml:space="preserve"> Peoples </w:t>
      </w:r>
      <w:r w:rsidR="007F6A59">
        <w:rPr>
          <w:sz w:val="26"/>
          <w:szCs w:val="26"/>
        </w:rPr>
        <w:t>commend</w:t>
      </w:r>
      <w:r w:rsidR="006B480B">
        <w:rPr>
          <w:sz w:val="26"/>
          <w:szCs w:val="26"/>
        </w:rPr>
        <w:t>s</w:t>
      </w:r>
      <w:r w:rsidR="007F6A59">
        <w:rPr>
          <w:sz w:val="26"/>
          <w:szCs w:val="26"/>
        </w:rPr>
        <w:t xml:space="preserve"> the ALJ</w:t>
      </w:r>
      <w:r w:rsidR="00734951">
        <w:rPr>
          <w:sz w:val="26"/>
          <w:szCs w:val="26"/>
        </w:rPr>
        <w:t>’</w:t>
      </w:r>
      <w:r w:rsidR="007F6A59">
        <w:rPr>
          <w:sz w:val="26"/>
          <w:szCs w:val="26"/>
        </w:rPr>
        <w:t xml:space="preserve">s conclusion </w:t>
      </w:r>
      <w:r w:rsidR="002F621F">
        <w:rPr>
          <w:sz w:val="26"/>
          <w:szCs w:val="26"/>
        </w:rPr>
        <w:t>that</w:t>
      </w:r>
      <w:r w:rsidR="007F6A59">
        <w:rPr>
          <w:sz w:val="26"/>
          <w:szCs w:val="26"/>
        </w:rPr>
        <w:t xml:space="preserve"> </w:t>
      </w:r>
      <w:r w:rsidR="00B41C10">
        <w:rPr>
          <w:sz w:val="26"/>
          <w:szCs w:val="26"/>
        </w:rPr>
        <w:t>PIOGA</w:t>
      </w:r>
      <w:r w:rsidR="00734951">
        <w:rPr>
          <w:sz w:val="26"/>
          <w:szCs w:val="26"/>
        </w:rPr>
        <w:t>’</w:t>
      </w:r>
      <w:r w:rsidR="00B41C10">
        <w:rPr>
          <w:sz w:val="26"/>
          <w:szCs w:val="26"/>
        </w:rPr>
        <w:t>s argument</w:t>
      </w:r>
      <w:r w:rsidR="007F6A59">
        <w:rPr>
          <w:sz w:val="26"/>
          <w:szCs w:val="26"/>
        </w:rPr>
        <w:t>s regarding this matter</w:t>
      </w:r>
      <w:r w:rsidR="00B41C10">
        <w:rPr>
          <w:sz w:val="26"/>
          <w:szCs w:val="26"/>
        </w:rPr>
        <w:t xml:space="preserve"> are without merit.</w:t>
      </w:r>
      <w:r w:rsidR="007F6A59">
        <w:rPr>
          <w:sz w:val="26"/>
          <w:szCs w:val="26"/>
        </w:rPr>
        <w:t xml:space="preserve">  PNG R. Exc. at 10-11.</w:t>
      </w:r>
      <w:r w:rsidR="00BE668F">
        <w:rPr>
          <w:sz w:val="26"/>
          <w:szCs w:val="26"/>
        </w:rPr>
        <w:t xml:space="preserve">  Peoples aver</w:t>
      </w:r>
      <w:r w:rsidR="006B480B">
        <w:rPr>
          <w:sz w:val="26"/>
          <w:szCs w:val="26"/>
        </w:rPr>
        <w:t>s</w:t>
      </w:r>
      <w:r w:rsidR="00BE668F">
        <w:rPr>
          <w:sz w:val="26"/>
          <w:szCs w:val="26"/>
        </w:rPr>
        <w:t xml:space="preserve"> the ALJ was right in concluding that like integrated interstate pipelines and its Equitable Division, Peoples can charge separately for the gathering component of its integrated system.  </w:t>
      </w:r>
      <w:r w:rsidR="00BE668F" w:rsidRPr="00BE668F">
        <w:rPr>
          <w:i/>
          <w:sz w:val="26"/>
          <w:szCs w:val="26"/>
        </w:rPr>
        <w:t>Id.</w:t>
      </w:r>
      <w:r w:rsidR="00BE668F">
        <w:rPr>
          <w:sz w:val="26"/>
          <w:szCs w:val="26"/>
        </w:rPr>
        <w:t xml:space="preserve"> at 11 (citing R.D. at 79-80).</w:t>
      </w:r>
      <w:r w:rsidR="0067491C">
        <w:rPr>
          <w:sz w:val="26"/>
          <w:szCs w:val="26"/>
        </w:rPr>
        <w:t xml:space="preserve">  Peoples argue</w:t>
      </w:r>
      <w:r w:rsidR="006B480B">
        <w:rPr>
          <w:sz w:val="26"/>
          <w:szCs w:val="26"/>
        </w:rPr>
        <w:t>s</w:t>
      </w:r>
      <w:r w:rsidR="0067491C">
        <w:rPr>
          <w:sz w:val="26"/>
          <w:szCs w:val="26"/>
        </w:rPr>
        <w:t xml:space="preserve"> </w:t>
      </w:r>
      <w:r w:rsidR="00042B3C">
        <w:rPr>
          <w:sz w:val="26"/>
          <w:szCs w:val="26"/>
        </w:rPr>
        <w:t xml:space="preserve">its </w:t>
      </w:r>
      <w:r w:rsidR="00A2691C">
        <w:rPr>
          <w:sz w:val="26"/>
          <w:szCs w:val="26"/>
        </w:rPr>
        <w:t xml:space="preserve">Commission-approved </w:t>
      </w:r>
      <w:r w:rsidR="0067491C">
        <w:rPr>
          <w:sz w:val="26"/>
          <w:szCs w:val="26"/>
        </w:rPr>
        <w:t xml:space="preserve">Equitable Rate AGS </w:t>
      </w:r>
      <w:r w:rsidR="00042B3C">
        <w:rPr>
          <w:sz w:val="26"/>
          <w:szCs w:val="26"/>
        </w:rPr>
        <w:t xml:space="preserve">tariff </w:t>
      </w:r>
      <w:r w:rsidR="0067491C">
        <w:rPr>
          <w:sz w:val="26"/>
          <w:szCs w:val="26"/>
        </w:rPr>
        <w:t xml:space="preserve">already charges </w:t>
      </w:r>
      <w:r w:rsidR="00A2691C">
        <w:rPr>
          <w:sz w:val="26"/>
          <w:szCs w:val="26"/>
        </w:rPr>
        <w:t>any producer wanting to transport gas through the gathering system as well as to deliver gas directly into Equitable</w:t>
      </w:r>
      <w:r w:rsidR="00734951">
        <w:rPr>
          <w:sz w:val="26"/>
          <w:szCs w:val="26"/>
        </w:rPr>
        <w:t>’</w:t>
      </w:r>
      <w:r w:rsidR="00A2691C">
        <w:rPr>
          <w:sz w:val="26"/>
          <w:szCs w:val="26"/>
        </w:rPr>
        <w:t xml:space="preserve">s distribution </w:t>
      </w:r>
      <w:r w:rsidR="00A2691C">
        <w:rPr>
          <w:sz w:val="26"/>
          <w:szCs w:val="26"/>
        </w:rPr>
        <w:lastRenderedPageBreak/>
        <w:t>system.</w:t>
      </w:r>
      <w:r w:rsidR="00042B3C">
        <w:rPr>
          <w:rStyle w:val="FootnoteReference"/>
          <w:sz w:val="26"/>
          <w:szCs w:val="26"/>
        </w:rPr>
        <w:footnoteReference w:id="24"/>
      </w:r>
      <w:r w:rsidR="00D9350B">
        <w:rPr>
          <w:sz w:val="26"/>
          <w:szCs w:val="26"/>
        </w:rPr>
        <w:t xml:space="preserve">  In addition, Peoples highlight</w:t>
      </w:r>
      <w:r w:rsidR="006B480B">
        <w:rPr>
          <w:sz w:val="26"/>
          <w:szCs w:val="26"/>
        </w:rPr>
        <w:t>s</w:t>
      </w:r>
      <w:r w:rsidR="00D9350B">
        <w:rPr>
          <w:sz w:val="26"/>
          <w:szCs w:val="26"/>
        </w:rPr>
        <w:t xml:space="preserve"> several companies with interstate integrated pipelines that charges separately for gathering retainage.  Peoples contend</w:t>
      </w:r>
      <w:r w:rsidR="006B480B">
        <w:rPr>
          <w:sz w:val="26"/>
          <w:szCs w:val="26"/>
        </w:rPr>
        <w:t>s</w:t>
      </w:r>
      <w:r w:rsidR="00D9350B">
        <w:rPr>
          <w:sz w:val="26"/>
          <w:szCs w:val="26"/>
        </w:rPr>
        <w:t xml:space="preserve"> that </w:t>
      </w:r>
      <w:r w:rsidR="002F621F">
        <w:rPr>
          <w:sz w:val="26"/>
          <w:szCs w:val="26"/>
        </w:rPr>
        <w:t>because of the unique nature of its system</w:t>
      </w:r>
      <w:r w:rsidR="00D9350B">
        <w:rPr>
          <w:sz w:val="26"/>
          <w:szCs w:val="26"/>
        </w:rPr>
        <w:t xml:space="preserve">, its integrated operations are comparable to the </w:t>
      </w:r>
      <w:r w:rsidR="00712AE6">
        <w:rPr>
          <w:sz w:val="26"/>
          <w:szCs w:val="26"/>
        </w:rPr>
        <w:t>interstate integrated pipeline companies that charges separately for gathering retainage.  PNG R. Exc. at 11</w:t>
      </w:r>
      <w:r w:rsidR="00643935">
        <w:rPr>
          <w:sz w:val="26"/>
          <w:szCs w:val="26"/>
        </w:rPr>
        <w:t>-12</w:t>
      </w:r>
      <w:r w:rsidR="00712AE6">
        <w:rPr>
          <w:sz w:val="26"/>
          <w:szCs w:val="26"/>
        </w:rPr>
        <w:t xml:space="preserve"> (citing PNG R.B. at 8-9).</w:t>
      </w:r>
    </w:p>
    <w:p w14:paraId="07FF1FF9" w14:textId="77777777" w:rsidR="00E0165D" w:rsidRDefault="00E0165D" w:rsidP="007374FA">
      <w:pPr>
        <w:widowControl/>
        <w:tabs>
          <w:tab w:val="left" w:pos="1445"/>
          <w:tab w:val="left" w:pos="7920"/>
        </w:tabs>
        <w:autoSpaceDE w:val="0"/>
        <w:autoSpaceDN w:val="0"/>
        <w:adjustRightInd w:val="0"/>
        <w:spacing w:line="360" w:lineRule="auto"/>
        <w:rPr>
          <w:sz w:val="26"/>
          <w:szCs w:val="26"/>
        </w:rPr>
      </w:pPr>
    </w:p>
    <w:p w14:paraId="617A38B2" w14:textId="2D1EA457" w:rsidR="00B41C10" w:rsidRDefault="00E0165D" w:rsidP="007374FA">
      <w:pPr>
        <w:widowControl/>
        <w:tabs>
          <w:tab w:val="left" w:pos="1445"/>
          <w:tab w:val="left" w:pos="7920"/>
        </w:tabs>
        <w:autoSpaceDE w:val="0"/>
        <w:autoSpaceDN w:val="0"/>
        <w:adjustRightInd w:val="0"/>
        <w:spacing w:line="360" w:lineRule="auto"/>
        <w:rPr>
          <w:sz w:val="26"/>
          <w:szCs w:val="26"/>
        </w:rPr>
      </w:pPr>
      <w:r>
        <w:rPr>
          <w:sz w:val="26"/>
          <w:szCs w:val="26"/>
        </w:rPr>
        <w:tab/>
        <w:t>Next, Peoples argue</w:t>
      </w:r>
      <w:r w:rsidR="006B480B">
        <w:rPr>
          <w:sz w:val="26"/>
          <w:szCs w:val="26"/>
        </w:rPr>
        <w:t>s</w:t>
      </w:r>
      <w:r>
        <w:rPr>
          <w:sz w:val="26"/>
          <w:szCs w:val="26"/>
        </w:rPr>
        <w:t xml:space="preserve"> PIOGA</w:t>
      </w:r>
      <w:r w:rsidR="0080426F">
        <w:rPr>
          <w:sz w:val="26"/>
          <w:szCs w:val="26"/>
        </w:rPr>
        <w:t xml:space="preserve"> also fail</w:t>
      </w:r>
      <w:r w:rsidR="00922E7F">
        <w:rPr>
          <w:sz w:val="26"/>
          <w:szCs w:val="26"/>
        </w:rPr>
        <w:t>s</w:t>
      </w:r>
      <w:r w:rsidR="0080426F">
        <w:rPr>
          <w:sz w:val="26"/>
          <w:szCs w:val="26"/>
        </w:rPr>
        <w:t xml:space="preserve"> to recognize in its </w:t>
      </w:r>
      <w:r w:rsidR="002F621F">
        <w:rPr>
          <w:sz w:val="26"/>
          <w:szCs w:val="26"/>
        </w:rPr>
        <w:t>opposition to</w:t>
      </w:r>
      <w:r>
        <w:rPr>
          <w:sz w:val="26"/>
          <w:szCs w:val="26"/>
        </w:rPr>
        <w:t xml:space="preserve"> the charge that the 2.0% proposed rate in the instant proceeding is significantly less than that charged by other interstate pipelines in the area</w:t>
      </w:r>
      <w:r w:rsidR="000B0B9A">
        <w:rPr>
          <w:sz w:val="26"/>
          <w:szCs w:val="26"/>
        </w:rPr>
        <w:t xml:space="preserve"> and is only meant to ensure the producers contribute their fair share to reduce the Compan</w:t>
      </w:r>
      <w:r w:rsidR="0080426F">
        <w:rPr>
          <w:sz w:val="26"/>
          <w:szCs w:val="26"/>
        </w:rPr>
        <w:t>y</w:t>
      </w:r>
      <w:r w:rsidR="00734951">
        <w:rPr>
          <w:sz w:val="26"/>
          <w:szCs w:val="26"/>
        </w:rPr>
        <w:t>’</w:t>
      </w:r>
      <w:r w:rsidR="0080426F">
        <w:rPr>
          <w:sz w:val="26"/>
          <w:szCs w:val="26"/>
        </w:rPr>
        <w:t>s</w:t>
      </w:r>
      <w:r w:rsidR="000B0B9A">
        <w:rPr>
          <w:sz w:val="26"/>
          <w:szCs w:val="26"/>
        </w:rPr>
        <w:t xml:space="preserve"> gathering system UFG</w:t>
      </w:r>
      <w:r>
        <w:rPr>
          <w:sz w:val="26"/>
          <w:szCs w:val="26"/>
        </w:rPr>
        <w:t>.</w:t>
      </w:r>
      <w:r w:rsidR="00DC2728">
        <w:rPr>
          <w:rStyle w:val="FootnoteReference"/>
          <w:sz w:val="26"/>
          <w:szCs w:val="26"/>
        </w:rPr>
        <w:footnoteReference w:id="25"/>
      </w:r>
      <w:r>
        <w:rPr>
          <w:sz w:val="26"/>
          <w:szCs w:val="26"/>
        </w:rPr>
        <w:t xml:space="preserve">  PNG R. Exc. at 12 (citing PNG M.B. at 12).</w:t>
      </w:r>
      <w:r w:rsidR="001E0067">
        <w:rPr>
          <w:sz w:val="26"/>
          <w:szCs w:val="26"/>
        </w:rPr>
        <w:t xml:space="preserve">  </w:t>
      </w:r>
      <w:r w:rsidR="009A5C31">
        <w:rPr>
          <w:sz w:val="26"/>
          <w:szCs w:val="26"/>
        </w:rPr>
        <w:t>In addition</w:t>
      </w:r>
      <w:r w:rsidR="009877E3">
        <w:rPr>
          <w:sz w:val="26"/>
          <w:szCs w:val="26"/>
        </w:rPr>
        <w:t>, in disputing PIOGA</w:t>
      </w:r>
      <w:r w:rsidR="00734951">
        <w:rPr>
          <w:sz w:val="26"/>
          <w:szCs w:val="26"/>
        </w:rPr>
        <w:t>’</w:t>
      </w:r>
      <w:r w:rsidR="009877E3">
        <w:rPr>
          <w:sz w:val="26"/>
          <w:szCs w:val="26"/>
        </w:rPr>
        <w:t>s allegation that Peoples failed to identify a Commiss</w:t>
      </w:r>
      <w:r w:rsidR="007C086C">
        <w:rPr>
          <w:sz w:val="26"/>
          <w:szCs w:val="26"/>
        </w:rPr>
        <w:t>i</w:t>
      </w:r>
      <w:r w:rsidR="009877E3">
        <w:rPr>
          <w:sz w:val="26"/>
          <w:szCs w:val="26"/>
        </w:rPr>
        <w:t>on-regulated NGDC other than Equitable that charges a similar rate, Peoples reiterate</w:t>
      </w:r>
      <w:r w:rsidR="00922E7F">
        <w:rPr>
          <w:sz w:val="26"/>
          <w:szCs w:val="26"/>
        </w:rPr>
        <w:t>s</w:t>
      </w:r>
      <w:r w:rsidR="009877E3">
        <w:rPr>
          <w:sz w:val="26"/>
          <w:szCs w:val="26"/>
        </w:rPr>
        <w:t xml:space="preserve"> </w:t>
      </w:r>
      <w:r w:rsidR="009A5C31">
        <w:rPr>
          <w:sz w:val="26"/>
          <w:szCs w:val="26"/>
        </w:rPr>
        <w:t xml:space="preserve">it is the only jurisdictional utility with significant gathering system in Pennsylvania.  </w:t>
      </w:r>
      <w:r w:rsidR="009A5C31" w:rsidRPr="00933080">
        <w:rPr>
          <w:sz w:val="26"/>
          <w:szCs w:val="26"/>
        </w:rPr>
        <w:t xml:space="preserve">PNG R. Exc. at </w:t>
      </w:r>
      <w:r w:rsidR="009A5C31">
        <w:rPr>
          <w:sz w:val="26"/>
          <w:szCs w:val="26"/>
        </w:rPr>
        <w:t>12</w:t>
      </w:r>
      <w:r w:rsidR="009A5C31" w:rsidRPr="00933080">
        <w:rPr>
          <w:sz w:val="26"/>
          <w:szCs w:val="26"/>
        </w:rPr>
        <w:t xml:space="preserve"> (citing PNG</w:t>
      </w:r>
      <w:r w:rsidR="009A5C31">
        <w:rPr>
          <w:sz w:val="26"/>
          <w:szCs w:val="26"/>
        </w:rPr>
        <w:t xml:space="preserve"> St. 5-R at 13</w:t>
      </w:r>
      <w:r w:rsidR="009A5C31" w:rsidRPr="00933080">
        <w:rPr>
          <w:sz w:val="26"/>
          <w:szCs w:val="26"/>
        </w:rPr>
        <w:t>)</w:t>
      </w:r>
      <w:r w:rsidR="009A5C31">
        <w:rPr>
          <w:sz w:val="26"/>
          <w:szCs w:val="26"/>
        </w:rPr>
        <w:t xml:space="preserve">. </w:t>
      </w:r>
      <w:r w:rsidR="001E0067">
        <w:rPr>
          <w:sz w:val="26"/>
          <w:szCs w:val="26"/>
        </w:rPr>
        <w:t xml:space="preserve"> </w:t>
      </w:r>
      <w:r w:rsidR="00D67D9E">
        <w:rPr>
          <w:sz w:val="26"/>
          <w:szCs w:val="26"/>
        </w:rPr>
        <w:t xml:space="preserve">Peoples </w:t>
      </w:r>
      <w:r w:rsidR="00946FCB">
        <w:rPr>
          <w:sz w:val="26"/>
          <w:szCs w:val="26"/>
        </w:rPr>
        <w:t xml:space="preserve">also </w:t>
      </w:r>
      <w:r w:rsidR="00D67D9E">
        <w:rPr>
          <w:sz w:val="26"/>
          <w:szCs w:val="26"/>
        </w:rPr>
        <w:t>dismiss</w:t>
      </w:r>
      <w:r w:rsidR="00FB126C">
        <w:rPr>
          <w:sz w:val="26"/>
          <w:szCs w:val="26"/>
        </w:rPr>
        <w:t>es</w:t>
      </w:r>
      <w:r w:rsidR="00D67D9E">
        <w:rPr>
          <w:sz w:val="26"/>
          <w:szCs w:val="26"/>
        </w:rPr>
        <w:t xml:space="preserve"> PIOGA</w:t>
      </w:r>
      <w:r w:rsidR="00734951">
        <w:rPr>
          <w:sz w:val="26"/>
          <w:szCs w:val="26"/>
        </w:rPr>
        <w:t>’</w:t>
      </w:r>
      <w:r w:rsidR="00F04824">
        <w:rPr>
          <w:sz w:val="26"/>
          <w:szCs w:val="26"/>
        </w:rPr>
        <w:t>s</w:t>
      </w:r>
      <w:r w:rsidR="00D67D9E">
        <w:rPr>
          <w:sz w:val="26"/>
          <w:szCs w:val="26"/>
        </w:rPr>
        <w:t xml:space="preserve"> mischaracterization of the Joint Stipulation as a </w:t>
      </w:r>
      <w:r w:rsidR="00734951">
        <w:rPr>
          <w:sz w:val="26"/>
          <w:szCs w:val="26"/>
        </w:rPr>
        <w:t>“</w:t>
      </w:r>
      <w:r w:rsidR="00D67D9E">
        <w:rPr>
          <w:sz w:val="26"/>
          <w:szCs w:val="26"/>
        </w:rPr>
        <w:t>legal position</w:t>
      </w:r>
      <w:r w:rsidR="00734951">
        <w:rPr>
          <w:sz w:val="26"/>
          <w:szCs w:val="26"/>
        </w:rPr>
        <w:t>”</w:t>
      </w:r>
      <w:r w:rsidR="00D67D9E">
        <w:rPr>
          <w:sz w:val="26"/>
          <w:szCs w:val="26"/>
        </w:rPr>
        <w:t xml:space="preserve"> rather than a stipulation of facts.  </w:t>
      </w:r>
      <w:r w:rsidR="00D67D9E" w:rsidRPr="00933080">
        <w:rPr>
          <w:sz w:val="26"/>
          <w:szCs w:val="26"/>
        </w:rPr>
        <w:t xml:space="preserve">PNG R. Exc. at </w:t>
      </w:r>
      <w:r w:rsidR="00D67D9E">
        <w:rPr>
          <w:sz w:val="26"/>
          <w:szCs w:val="26"/>
        </w:rPr>
        <w:t>12-13.  Peoples argue</w:t>
      </w:r>
      <w:r w:rsidR="007C086C">
        <w:rPr>
          <w:sz w:val="26"/>
          <w:szCs w:val="26"/>
        </w:rPr>
        <w:t>s</w:t>
      </w:r>
      <w:r w:rsidR="00D67D9E">
        <w:rPr>
          <w:sz w:val="26"/>
          <w:szCs w:val="26"/>
        </w:rPr>
        <w:t xml:space="preserve"> </w:t>
      </w:r>
      <w:r w:rsidR="007C086C">
        <w:rPr>
          <w:sz w:val="26"/>
          <w:szCs w:val="26"/>
        </w:rPr>
        <w:t xml:space="preserve">that </w:t>
      </w:r>
      <w:r w:rsidR="00D67D9E">
        <w:rPr>
          <w:sz w:val="26"/>
          <w:szCs w:val="26"/>
        </w:rPr>
        <w:t>PIOGA</w:t>
      </w:r>
      <w:r w:rsidR="00734951">
        <w:rPr>
          <w:sz w:val="26"/>
          <w:szCs w:val="26"/>
        </w:rPr>
        <w:t>’</w:t>
      </w:r>
      <w:r w:rsidR="00D67D9E">
        <w:rPr>
          <w:sz w:val="26"/>
          <w:szCs w:val="26"/>
        </w:rPr>
        <w:t xml:space="preserve">s failure to present the Joint Stipulation prior to submitting its Main Brief </w:t>
      </w:r>
      <w:r w:rsidR="003845E1">
        <w:rPr>
          <w:sz w:val="26"/>
          <w:szCs w:val="26"/>
        </w:rPr>
        <w:t>is a violation of Peoples</w:t>
      </w:r>
      <w:r w:rsidR="00734951">
        <w:rPr>
          <w:sz w:val="26"/>
          <w:szCs w:val="26"/>
        </w:rPr>
        <w:t>’</w:t>
      </w:r>
      <w:r w:rsidR="00773264">
        <w:rPr>
          <w:sz w:val="26"/>
          <w:szCs w:val="26"/>
        </w:rPr>
        <w:t xml:space="preserve"> due-process r</w:t>
      </w:r>
      <w:r w:rsidR="003845E1">
        <w:rPr>
          <w:sz w:val="26"/>
          <w:szCs w:val="26"/>
        </w:rPr>
        <w:t>ights</w:t>
      </w:r>
      <w:r w:rsidR="00F04824">
        <w:rPr>
          <w:sz w:val="26"/>
          <w:szCs w:val="26"/>
        </w:rPr>
        <w:t xml:space="preserve">.  According to Peoples, this </w:t>
      </w:r>
      <w:r w:rsidR="00D67D9E">
        <w:rPr>
          <w:sz w:val="26"/>
          <w:szCs w:val="26"/>
        </w:rPr>
        <w:t>prevented the Compan</w:t>
      </w:r>
      <w:r w:rsidR="00B22A4C">
        <w:rPr>
          <w:sz w:val="26"/>
          <w:szCs w:val="26"/>
        </w:rPr>
        <w:t>y</w:t>
      </w:r>
      <w:r w:rsidR="00D67D9E">
        <w:rPr>
          <w:sz w:val="26"/>
          <w:szCs w:val="26"/>
        </w:rPr>
        <w:t xml:space="preserve"> from</w:t>
      </w:r>
      <w:r w:rsidR="00B45F29">
        <w:rPr>
          <w:sz w:val="26"/>
          <w:szCs w:val="26"/>
        </w:rPr>
        <w:t xml:space="preserve">: (1) </w:t>
      </w:r>
      <w:r w:rsidR="00D67D9E">
        <w:rPr>
          <w:sz w:val="26"/>
          <w:szCs w:val="26"/>
        </w:rPr>
        <w:t xml:space="preserve">reviewing the stipulation </w:t>
      </w:r>
      <w:r w:rsidR="00773264">
        <w:rPr>
          <w:sz w:val="26"/>
          <w:szCs w:val="26"/>
        </w:rPr>
        <w:t>during the evidentiary phase of this proceeding</w:t>
      </w:r>
      <w:r w:rsidR="00B45F29">
        <w:rPr>
          <w:sz w:val="26"/>
          <w:szCs w:val="26"/>
        </w:rPr>
        <w:t xml:space="preserve">; (2) </w:t>
      </w:r>
      <w:r w:rsidR="00773264">
        <w:rPr>
          <w:sz w:val="26"/>
          <w:szCs w:val="26"/>
        </w:rPr>
        <w:t>propounding discovery on PIOGA about the Joint Stipulation</w:t>
      </w:r>
      <w:r w:rsidR="00B45F29">
        <w:rPr>
          <w:sz w:val="26"/>
          <w:szCs w:val="26"/>
        </w:rPr>
        <w:t>; (3)</w:t>
      </w:r>
      <w:r w:rsidR="007C086C">
        <w:rPr>
          <w:sz w:val="26"/>
          <w:szCs w:val="26"/>
        </w:rPr>
        <w:t> </w:t>
      </w:r>
      <w:r w:rsidR="00773264">
        <w:rPr>
          <w:sz w:val="26"/>
          <w:szCs w:val="26"/>
        </w:rPr>
        <w:t>presenting evidence in rebuttal</w:t>
      </w:r>
      <w:r w:rsidR="00B45F29">
        <w:rPr>
          <w:sz w:val="26"/>
          <w:szCs w:val="26"/>
        </w:rPr>
        <w:t xml:space="preserve">; </w:t>
      </w:r>
      <w:r w:rsidR="00773264">
        <w:rPr>
          <w:sz w:val="26"/>
          <w:szCs w:val="26"/>
        </w:rPr>
        <w:t>and</w:t>
      </w:r>
      <w:r w:rsidR="00B45F29">
        <w:rPr>
          <w:sz w:val="26"/>
          <w:szCs w:val="26"/>
        </w:rPr>
        <w:t>; (4)</w:t>
      </w:r>
      <w:r w:rsidR="00773264">
        <w:rPr>
          <w:sz w:val="26"/>
          <w:szCs w:val="26"/>
        </w:rPr>
        <w:t xml:space="preserve"> cross-examining PIOGA</w:t>
      </w:r>
      <w:r w:rsidR="00734951">
        <w:rPr>
          <w:sz w:val="26"/>
          <w:szCs w:val="26"/>
        </w:rPr>
        <w:t>’</w:t>
      </w:r>
      <w:r w:rsidR="00773264">
        <w:rPr>
          <w:sz w:val="26"/>
          <w:szCs w:val="26"/>
        </w:rPr>
        <w:t xml:space="preserve">s witness about the Joint Stipulation.  </w:t>
      </w:r>
      <w:r w:rsidR="00773264" w:rsidRPr="00933080">
        <w:rPr>
          <w:sz w:val="26"/>
          <w:szCs w:val="26"/>
        </w:rPr>
        <w:t xml:space="preserve">PNG R. Exc. at </w:t>
      </w:r>
      <w:r w:rsidR="00773264">
        <w:rPr>
          <w:sz w:val="26"/>
          <w:szCs w:val="26"/>
        </w:rPr>
        <w:t>13 (citing 66 Pa. C.S. § 332(c)</w:t>
      </w:r>
      <w:r w:rsidR="003845E1">
        <w:rPr>
          <w:sz w:val="26"/>
          <w:szCs w:val="26"/>
        </w:rPr>
        <w:t xml:space="preserve">; </w:t>
      </w:r>
      <w:r w:rsidR="003845E1" w:rsidRPr="003845E1">
        <w:rPr>
          <w:i/>
          <w:sz w:val="26"/>
          <w:szCs w:val="26"/>
        </w:rPr>
        <w:t>Schneider v. Pa. PUC,</w:t>
      </w:r>
      <w:r w:rsidR="003845E1">
        <w:rPr>
          <w:sz w:val="26"/>
          <w:szCs w:val="26"/>
        </w:rPr>
        <w:t xml:space="preserve"> </w:t>
      </w:r>
      <w:r w:rsidR="003845E1">
        <w:rPr>
          <w:sz w:val="26"/>
          <w:szCs w:val="26"/>
        </w:rPr>
        <w:lastRenderedPageBreak/>
        <w:t>479 A.2d 10, 15 (Pa. Cmwlth. 1984</w:t>
      </w:r>
      <w:r w:rsidR="00773264">
        <w:rPr>
          <w:sz w:val="26"/>
          <w:szCs w:val="26"/>
        </w:rPr>
        <w:t>)</w:t>
      </w:r>
      <w:r w:rsidR="003845E1">
        <w:rPr>
          <w:sz w:val="26"/>
          <w:szCs w:val="26"/>
        </w:rPr>
        <w:t>)</w:t>
      </w:r>
      <w:r w:rsidR="00773264">
        <w:rPr>
          <w:sz w:val="26"/>
          <w:szCs w:val="26"/>
        </w:rPr>
        <w:t xml:space="preserve">.  </w:t>
      </w:r>
      <w:r w:rsidR="00C23261">
        <w:rPr>
          <w:sz w:val="26"/>
          <w:szCs w:val="26"/>
        </w:rPr>
        <w:t xml:space="preserve">Peoples further argues that because the Joint Stipulation, which simply references how midstream gathering services are </w:t>
      </w:r>
      <w:r w:rsidR="00734951">
        <w:rPr>
          <w:sz w:val="26"/>
          <w:szCs w:val="26"/>
        </w:rPr>
        <w:t>“</w:t>
      </w:r>
      <w:r w:rsidR="00C23261">
        <w:rPr>
          <w:sz w:val="26"/>
          <w:szCs w:val="26"/>
        </w:rPr>
        <w:t>generally</w:t>
      </w:r>
      <w:r w:rsidR="00734951">
        <w:rPr>
          <w:sz w:val="26"/>
          <w:szCs w:val="26"/>
        </w:rPr>
        <w:t>”</w:t>
      </w:r>
      <w:r w:rsidR="00C23261">
        <w:rPr>
          <w:sz w:val="26"/>
          <w:szCs w:val="26"/>
        </w:rPr>
        <w:t xml:space="preserve"> provided in </w:t>
      </w:r>
      <w:r w:rsidR="00F65417">
        <w:rPr>
          <w:sz w:val="26"/>
          <w:szCs w:val="26"/>
        </w:rPr>
        <w:t>Pennsylvania, is</w:t>
      </w:r>
      <w:r w:rsidR="00C23261">
        <w:rPr>
          <w:sz w:val="26"/>
          <w:szCs w:val="26"/>
        </w:rPr>
        <w:t xml:space="preserve"> between PIOGA and the Commission, Peoples cannot be bound to it.  </w:t>
      </w:r>
      <w:r w:rsidR="00F65417">
        <w:rPr>
          <w:sz w:val="26"/>
          <w:szCs w:val="26"/>
        </w:rPr>
        <w:t>Finally, Peoples concludes nothing in the Joint Stipulation invalidates the Compan</w:t>
      </w:r>
      <w:r w:rsidR="003436BD">
        <w:rPr>
          <w:sz w:val="26"/>
          <w:szCs w:val="26"/>
        </w:rPr>
        <w:t>y</w:t>
      </w:r>
      <w:r w:rsidR="00734951">
        <w:rPr>
          <w:sz w:val="26"/>
          <w:szCs w:val="26"/>
        </w:rPr>
        <w:t>’</w:t>
      </w:r>
      <w:r w:rsidR="003436BD">
        <w:rPr>
          <w:sz w:val="26"/>
          <w:szCs w:val="26"/>
        </w:rPr>
        <w:t>s</w:t>
      </w:r>
      <w:r w:rsidR="00F65417">
        <w:rPr>
          <w:sz w:val="26"/>
          <w:szCs w:val="26"/>
        </w:rPr>
        <w:t xml:space="preserve"> proposed charge and so the ALJ appropriately rejected</w:t>
      </w:r>
      <w:r w:rsidR="00F04824">
        <w:rPr>
          <w:sz w:val="26"/>
          <w:szCs w:val="26"/>
        </w:rPr>
        <w:t xml:space="preserve"> the Joint Stipulation</w:t>
      </w:r>
      <w:r w:rsidR="00F65417">
        <w:rPr>
          <w:sz w:val="26"/>
          <w:szCs w:val="26"/>
        </w:rPr>
        <w:t xml:space="preserve">.  </w:t>
      </w:r>
      <w:r w:rsidR="00F65417" w:rsidRPr="00933080">
        <w:rPr>
          <w:sz w:val="26"/>
          <w:szCs w:val="26"/>
        </w:rPr>
        <w:t xml:space="preserve">PNG R. Exc. at </w:t>
      </w:r>
      <w:r w:rsidR="00F65417">
        <w:rPr>
          <w:sz w:val="26"/>
          <w:szCs w:val="26"/>
        </w:rPr>
        <w:t>13-14 (citing PNG R.B. at 12).</w:t>
      </w:r>
    </w:p>
    <w:p w14:paraId="28DDE912" w14:textId="77777777" w:rsidR="00B41C10" w:rsidRDefault="00B41C10" w:rsidP="007374FA">
      <w:pPr>
        <w:widowControl/>
        <w:tabs>
          <w:tab w:val="left" w:pos="1445"/>
          <w:tab w:val="left" w:pos="7920"/>
        </w:tabs>
        <w:autoSpaceDE w:val="0"/>
        <w:autoSpaceDN w:val="0"/>
        <w:adjustRightInd w:val="0"/>
        <w:spacing w:line="360" w:lineRule="auto"/>
        <w:rPr>
          <w:sz w:val="26"/>
          <w:szCs w:val="26"/>
        </w:rPr>
      </w:pPr>
    </w:p>
    <w:p w14:paraId="64431A4C" w14:textId="3FD7ACE8" w:rsidR="005918B1" w:rsidRDefault="005918B1" w:rsidP="007374FA">
      <w:pPr>
        <w:widowControl/>
        <w:tabs>
          <w:tab w:val="left" w:pos="1445"/>
          <w:tab w:val="left" w:pos="7920"/>
        </w:tabs>
        <w:autoSpaceDE w:val="0"/>
        <w:autoSpaceDN w:val="0"/>
        <w:adjustRightInd w:val="0"/>
        <w:spacing w:line="360" w:lineRule="auto"/>
        <w:rPr>
          <w:sz w:val="26"/>
          <w:szCs w:val="26"/>
        </w:rPr>
      </w:pPr>
      <w:r>
        <w:rPr>
          <w:sz w:val="26"/>
          <w:szCs w:val="26"/>
        </w:rPr>
        <w:tab/>
        <w:t xml:space="preserve">In support of the ALJ, </w:t>
      </w:r>
      <w:r w:rsidR="00DE1487">
        <w:rPr>
          <w:sz w:val="26"/>
          <w:szCs w:val="26"/>
        </w:rPr>
        <w:t xml:space="preserve">the </w:t>
      </w:r>
      <w:r>
        <w:rPr>
          <w:sz w:val="26"/>
          <w:szCs w:val="26"/>
        </w:rPr>
        <w:t>OSBA argues</w:t>
      </w:r>
      <w:r w:rsidR="00530CF5">
        <w:rPr>
          <w:sz w:val="26"/>
          <w:szCs w:val="26"/>
        </w:rPr>
        <w:t xml:space="preserve"> Equitable already has a Commission-approved Rate AGS that charges a different rate for the gathering component of </w:t>
      </w:r>
      <w:r w:rsidR="00643935">
        <w:rPr>
          <w:sz w:val="26"/>
          <w:szCs w:val="26"/>
        </w:rPr>
        <w:t>its</w:t>
      </w:r>
      <w:r w:rsidR="00530CF5">
        <w:rPr>
          <w:sz w:val="26"/>
          <w:szCs w:val="26"/>
        </w:rPr>
        <w:t xml:space="preserve"> integrated system.  OSBA R. Exc. at 4 (citing R.D. at 79).  According to the OSBA, i</w:t>
      </w:r>
      <w:r>
        <w:rPr>
          <w:sz w:val="26"/>
          <w:szCs w:val="26"/>
        </w:rPr>
        <w:t>ntegrated systems charge separate rates for gathering retainage and PIOGA has not offered any tangible reason</w:t>
      </w:r>
      <w:r w:rsidR="00617B29">
        <w:rPr>
          <w:sz w:val="26"/>
          <w:szCs w:val="26"/>
        </w:rPr>
        <w:t xml:space="preserve"> for Peoples</w:t>
      </w:r>
      <w:r w:rsidR="00734951">
        <w:rPr>
          <w:sz w:val="26"/>
          <w:szCs w:val="26"/>
        </w:rPr>
        <w:t>’</w:t>
      </w:r>
      <w:r w:rsidR="00617B29">
        <w:rPr>
          <w:sz w:val="26"/>
          <w:szCs w:val="26"/>
        </w:rPr>
        <w:t xml:space="preserve"> </w:t>
      </w:r>
      <w:r>
        <w:rPr>
          <w:sz w:val="26"/>
          <w:szCs w:val="26"/>
        </w:rPr>
        <w:t xml:space="preserve">integrated system </w:t>
      </w:r>
      <w:r w:rsidR="00617B29">
        <w:rPr>
          <w:sz w:val="26"/>
          <w:szCs w:val="26"/>
        </w:rPr>
        <w:t xml:space="preserve">to be treated </w:t>
      </w:r>
      <w:r>
        <w:rPr>
          <w:sz w:val="26"/>
          <w:szCs w:val="26"/>
        </w:rPr>
        <w:t>any differently.  OSBA R. Exc. at 4.</w:t>
      </w:r>
    </w:p>
    <w:p w14:paraId="7D54CFBD" w14:textId="260519A8" w:rsidR="00B17445" w:rsidRDefault="00B17445" w:rsidP="007374FA">
      <w:pPr>
        <w:widowControl/>
        <w:tabs>
          <w:tab w:val="left" w:pos="1445"/>
          <w:tab w:val="left" w:pos="7920"/>
        </w:tabs>
        <w:autoSpaceDE w:val="0"/>
        <w:autoSpaceDN w:val="0"/>
        <w:adjustRightInd w:val="0"/>
        <w:spacing w:line="360" w:lineRule="auto"/>
        <w:rPr>
          <w:sz w:val="26"/>
          <w:szCs w:val="26"/>
        </w:rPr>
      </w:pPr>
    </w:p>
    <w:p w14:paraId="2CB5FEA6" w14:textId="15BA346F" w:rsidR="00A70F53" w:rsidRPr="00A70F53" w:rsidRDefault="00A70F53" w:rsidP="00A666DC">
      <w:pPr>
        <w:keepNext/>
        <w:keepLines/>
        <w:widowControl/>
        <w:tabs>
          <w:tab w:val="left" w:pos="1445"/>
          <w:tab w:val="left" w:pos="7920"/>
        </w:tabs>
        <w:autoSpaceDE w:val="0"/>
        <w:autoSpaceDN w:val="0"/>
        <w:adjustRightInd w:val="0"/>
        <w:spacing w:line="360" w:lineRule="auto"/>
        <w:rPr>
          <w:b/>
          <w:sz w:val="26"/>
          <w:szCs w:val="26"/>
        </w:rPr>
      </w:pPr>
      <w:r>
        <w:rPr>
          <w:sz w:val="26"/>
          <w:szCs w:val="26"/>
        </w:rPr>
        <w:tab/>
      </w:r>
      <w:r w:rsidRPr="00A70F53">
        <w:rPr>
          <w:b/>
          <w:sz w:val="26"/>
          <w:szCs w:val="26"/>
        </w:rPr>
        <w:t>a.   Disposition</w:t>
      </w:r>
    </w:p>
    <w:p w14:paraId="0A7FC09C" w14:textId="77777777" w:rsidR="00A70F53" w:rsidRDefault="00A70F53" w:rsidP="00A666DC">
      <w:pPr>
        <w:keepNext/>
        <w:keepLines/>
        <w:widowControl/>
        <w:tabs>
          <w:tab w:val="left" w:pos="1445"/>
          <w:tab w:val="left" w:pos="7920"/>
        </w:tabs>
        <w:autoSpaceDE w:val="0"/>
        <w:autoSpaceDN w:val="0"/>
        <w:adjustRightInd w:val="0"/>
        <w:spacing w:line="360" w:lineRule="auto"/>
        <w:rPr>
          <w:sz w:val="26"/>
          <w:szCs w:val="26"/>
        </w:rPr>
      </w:pPr>
    </w:p>
    <w:p w14:paraId="39B288B6" w14:textId="237631A4" w:rsidR="007B270F" w:rsidRDefault="00B17445" w:rsidP="007374FA">
      <w:pPr>
        <w:widowControl/>
        <w:tabs>
          <w:tab w:val="left" w:pos="1445"/>
          <w:tab w:val="left" w:pos="7920"/>
        </w:tabs>
        <w:autoSpaceDE w:val="0"/>
        <w:autoSpaceDN w:val="0"/>
        <w:adjustRightInd w:val="0"/>
        <w:spacing w:line="360" w:lineRule="auto"/>
        <w:rPr>
          <w:sz w:val="26"/>
          <w:szCs w:val="26"/>
        </w:rPr>
      </w:pPr>
      <w:r>
        <w:rPr>
          <w:sz w:val="26"/>
          <w:szCs w:val="26"/>
        </w:rPr>
        <w:tab/>
      </w:r>
      <w:r w:rsidR="00474167">
        <w:rPr>
          <w:sz w:val="26"/>
          <w:szCs w:val="26"/>
        </w:rPr>
        <w:t>Clearly, PNG</w:t>
      </w:r>
      <w:r w:rsidR="00734951">
        <w:rPr>
          <w:sz w:val="26"/>
          <w:szCs w:val="26"/>
        </w:rPr>
        <w:t>’</w:t>
      </w:r>
      <w:r w:rsidR="00474167">
        <w:rPr>
          <w:sz w:val="26"/>
          <w:szCs w:val="26"/>
        </w:rPr>
        <w:t>s UFG rate has been a longstanding problem and must be mitigated as expeditiously as possible.  The historic trend of increasing UFG rates on PNG</w:t>
      </w:r>
      <w:r w:rsidR="00734951">
        <w:rPr>
          <w:sz w:val="26"/>
          <w:szCs w:val="26"/>
        </w:rPr>
        <w:t>’</w:t>
      </w:r>
      <w:r w:rsidR="00474167">
        <w:rPr>
          <w:sz w:val="26"/>
          <w:szCs w:val="26"/>
        </w:rPr>
        <w:t>s system has resulted in negative consequences on public safety and the cost of service on sales and transportation customers.  In response to that problem, PNG has repeatedly committed to review, report, analyze and monitor its UFG levels.  However, the Company</w:t>
      </w:r>
      <w:r w:rsidR="00734951">
        <w:rPr>
          <w:sz w:val="26"/>
          <w:szCs w:val="26"/>
        </w:rPr>
        <w:t>’</w:t>
      </w:r>
      <w:r w:rsidR="00474167">
        <w:rPr>
          <w:sz w:val="26"/>
          <w:szCs w:val="26"/>
        </w:rPr>
        <w:t>s gathering UFG levels are continuing to increase.  The Company attributes its high UFG levels to the uniqueness of its system compared to the systems of many other NGDCs, in that it includes gathering, transmission and storage assets.</w:t>
      </w:r>
    </w:p>
    <w:p w14:paraId="11337C1F" w14:textId="6467D3ED" w:rsidR="007B270F" w:rsidRDefault="007B270F" w:rsidP="007374FA">
      <w:pPr>
        <w:widowControl/>
        <w:tabs>
          <w:tab w:val="left" w:pos="1445"/>
          <w:tab w:val="left" w:pos="7920"/>
        </w:tabs>
        <w:autoSpaceDE w:val="0"/>
        <w:autoSpaceDN w:val="0"/>
        <w:adjustRightInd w:val="0"/>
        <w:spacing w:line="360" w:lineRule="auto"/>
        <w:rPr>
          <w:sz w:val="26"/>
          <w:szCs w:val="26"/>
        </w:rPr>
      </w:pPr>
    </w:p>
    <w:p w14:paraId="7A8F1B49" w14:textId="579DAEA4" w:rsidR="00BD3452" w:rsidRPr="004975A5" w:rsidRDefault="00BD3452" w:rsidP="007374FA">
      <w:pPr>
        <w:widowControl/>
        <w:tabs>
          <w:tab w:val="left" w:pos="1445"/>
          <w:tab w:val="left" w:pos="4410"/>
          <w:tab w:val="left" w:pos="7920"/>
        </w:tabs>
        <w:autoSpaceDE w:val="0"/>
        <w:autoSpaceDN w:val="0"/>
        <w:adjustRightInd w:val="0"/>
        <w:spacing w:line="360" w:lineRule="auto"/>
        <w:ind w:firstLine="1440"/>
        <w:rPr>
          <w:sz w:val="26"/>
          <w:szCs w:val="26"/>
        </w:rPr>
      </w:pPr>
      <w:r>
        <w:rPr>
          <w:sz w:val="26"/>
          <w:szCs w:val="26"/>
        </w:rPr>
        <w:t>We concur with PIOGA</w:t>
      </w:r>
      <w:r w:rsidR="00734951">
        <w:rPr>
          <w:sz w:val="26"/>
          <w:szCs w:val="26"/>
        </w:rPr>
        <w:t>’</w:t>
      </w:r>
      <w:r>
        <w:rPr>
          <w:sz w:val="26"/>
          <w:szCs w:val="26"/>
        </w:rPr>
        <w:t>s position that NGDCs charging producers separately for gathering retainage is not common.  We further do not dispute PIOGA</w:t>
      </w:r>
      <w:r w:rsidR="00734951">
        <w:rPr>
          <w:sz w:val="26"/>
          <w:szCs w:val="26"/>
        </w:rPr>
        <w:t>’</w:t>
      </w:r>
      <w:r>
        <w:rPr>
          <w:sz w:val="26"/>
          <w:szCs w:val="26"/>
        </w:rPr>
        <w:t xml:space="preserve">s assertions that </w:t>
      </w:r>
      <w:r w:rsidR="00734951">
        <w:rPr>
          <w:sz w:val="26"/>
          <w:szCs w:val="26"/>
        </w:rPr>
        <w:t>“</w:t>
      </w:r>
      <w:r>
        <w:rPr>
          <w:sz w:val="26"/>
          <w:szCs w:val="26"/>
        </w:rPr>
        <w:t xml:space="preserve">in every example provided by PNG involving a FERC-regulated interstate integrated pipeline, the gathering pipelines serving state-regulated public utility </w:t>
      </w:r>
      <w:r>
        <w:rPr>
          <w:sz w:val="26"/>
          <w:szCs w:val="26"/>
        </w:rPr>
        <w:lastRenderedPageBreak/>
        <w:t>customers are owned by the FERC-regulated pipeline and not by the natural gas distribution public utility whose customers are served</w:t>
      </w:r>
      <w:r w:rsidR="00734951">
        <w:rPr>
          <w:sz w:val="26"/>
          <w:szCs w:val="26"/>
        </w:rPr>
        <w:t>”</w:t>
      </w:r>
      <w:r>
        <w:rPr>
          <w:sz w:val="26"/>
          <w:szCs w:val="26"/>
        </w:rPr>
        <w:t xml:space="preserve"> or </w:t>
      </w:r>
      <w:r w:rsidR="00734951">
        <w:rPr>
          <w:sz w:val="26"/>
          <w:szCs w:val="26"/>
        </w:rPr>
        <w:t>“</w:t>
      </w:r>
      <w:r>
        <w:rPr>
          <w:sz w:val="26"/>
          <w:szCs w:val="26"/>
        </w:rPr>
        <w:t xml:space="preserve">that PNG has not identified </w:t>
      </w:r>
      <w:r w:rsidRPr="00A76206">
        <w:rPr>
          <w:i/>
          <w:sz w:val="26"/>
          <w:szCs w:val="26"/>
        </w:rPr>
        <w:t>any</w:t>
      </w:r>
      <w:r>
        <w:rPr>
          <w:sz w:val="26"/>
          <w:szCs w:val="26"/>
        </w:rPr>
        <w:t xml:space="preserve"> Commission-regulated natural gas distribution company that charges separately for gathering retainage, except its Equitable Division.</w:t>
      </w:r>
      <w:r w:rsidR="00734951">
        <w:rPr>
          <w:sz w:val="26"/>
          <w:szCs w:val="26"/>
        </w:rPr>
        <w:t>”</w:t>
      </w:r>
      <w:r>
        <w:rPr>
          <w:sz w:val="26"/>
          <w:szCs w:val="26"/>
        </w:rPr>
        <w:t xml:space="preserve">  See PIOGA Exc. at 11</w:t>
      </w:r>
      <w:r w:rsidR="000E65D4">
        <w:rPr>
          <w:sz w:val="26"/>
          <w:szCs w:val="26"/>
        </w:rPr>
        <w:t>-12</w:t>
      </w:r>
      <w:r>
        <w:rPr>
          <w:sz w:val="26"/>
          <w:szCs w:val="26"/>
        </w:rPr>
        <w:t xml:space="preserve">. </w:t>
      </w:r>
    </w:p>
    <w:p w14:paraId="5F16BAC6" w14:textId="77777777" w:rsidR="00BD3452" w:rsidRDefault="00BD3452" w:rsidP="007374FA">
      <w:pPr>
        <w:widowControl/>
        <w:spacing w:line="360" w:lineRule="auto"/>
        <w:ind w:firstLine="1440"/>
        <w:rPr>
          <w:sz w:val="26"/>
          <w:szCs w:val="26"/>
        </w:rPr>
      </w:pPr>
    </w:p>
    <w:p w14:paraId="0608367E" w14:textId="46D175CE" w:rsidR="00BD3452" w:rsidRDefault="0035394B" w:rsidP="007374FA">
      <w:pPr>
        <w:widowControl/>
        <w:spacing w:line="360" w:lineRule="auto"/>
        <w:ind w:firstLine="1440"/>
        <w:rPr>
          <w:sz w:val="26"/>
          <w:szCs w:val="26"/>
        </w:rPr>
      </w:pPr>
      <w:r w:rsidRPr="0035394B">
        <w:rPr>
          <w:sz w:val="26"/>
          <w:szCs w:val="26"/>
        </w:rPr>
        <w:t>Notwithstanding our agreement with PIOGA</w:t>
      </w:r>
      <w:r>
        <w:rPr>
          <w:sz w:val="26"/>
          <w:szCs w:val="26"/>
        </w:rPr>
        <w:t>’s</w:t>
      </w:r>
      <w:r w:rsidRPr="0035394B">
        <w:rPr>
          <w:sz w:val="26"/>
          <w:szCs w:val="26"/>
        </w:rPr>
        <w:t xml:space="preserve"> above assertions, it is important to note, however, that </w:t>
      </w:r>
      <w:r>
        <w:rPr>
          <w:sz w:val="26"/>
          <w:szCs w:val="26"/>
        </w:rPr>
        <w:t>PNG</w:t>
      </w:r>
      <w:r w:rsidRPr="0035394B">
        <w:rPr>
          <w:sz w:val="26"/>
          <w:szCs w:val="26"/>
        </w:rPr>
        <w:t xml:space="preserve"> is a unique gas utility entity in Pennsylvania.  </w:t>
      </w:r>
      <w:r w:rsidR="00BD3452">
        <w:rPr>
          <w:sz w:val="26"/>
          <w:szCs w:val="26"/>
        </w:rPr>
        <w:t>In the process of providing gas distribution service,</w:t>
      </w:r>
      <w:r w:rsidR="000E65D4">
        <w:rPr>
          <w:sz w:val="26"/>
          <w:szCs w:val="26"/>
        </w:rPr>
        <w:t xml:space="preserve"> PNG</w:t>
      </w:r>
      <w:r w:rsidR="00BD3452">
        <w:rPr>
          <w:sz w:val="26"/>
          <w:szCs w:val="26"/>
        </w:rPr>
        <w:t xml:space="preserve"> operates its gathering, transmission, storage and distribution facilities as an integrated system.  The Company includes the capital costs of the investment in these pipeline facilities, including gathering pipelines, in rate base for ratemaking purposes.  Furthermore, the Company includes the cost of operating and maintaining these pipeline facilities, as well as the associated depreciation expense, in its cost of service for ratemaking purposes.  As noted by the Company b</w:t>
      </w:r>
      <w:r w:rsidR="00BD3452" w:rsidRPr="00A721AE">
        <w:rPr>
          <w:sz w:val="26"/>
          <w:szCs w:val="26"/>
        </w:rPr>
        <w:t xml:space="preserve">oth the Commission and PHMSA define </w:t>
      </w:r>
      <w:r w:rsidR="00734951">
        <w:rPr>
          <w:sz w:val="26"/>
          <w:szCs w:val="26"/>
        </w:rPr>
        <w:t>“</w:t>
      </w:r>
      <w:r w:rsidR="00BD3452" w:rsidRPr="00A721AE">
        <w:rPr>
          <w:sz w:val="26"/>
          <w:szCs w:val="26"/>
        </w:rPr>
        <w:t>gathering line</w:t>
      </w:r>
      <w:r w:rsidR="00734951">
        <w:rPr>
          <w:sz w:val="26"/>
          <w:szCs w:val="26"/>
        </w:rPr>
        <w:t>”</w:t>
      </w:r>
      <w:r w:rsidR="00BD3452" w:rsidRPr="00A721AE">
        <w:rPr>
          <w:sz w:val="26"/>
          <w:szCs w:val="26"/>
        </w:rPr>
        <w:t xml:space="preserve"> as a </w:t>
      </w:r>
      <w:r w:rsidR="00734951">
        <w:rPr>
          <w:sz w:val="26"/>
          <w:szCs w:val="26"/>
        </w:rPr>
        <w:t>“</w:t>
      </w:r>
      <w:r w:rsidR="00BD3452" w:rsidRPr="00A721AE">
        <w:rPr>
          <w:sz w:val="26"/>
          <w:szCs w:val="26"/>
        </w:rPr>
        <w:t>pipeline that transports gas from a current production facility to a transmission line or main</w:t>
      </w:r>
      <w:r w:rsidR="00734951">
        <w:rPr>
          <w:sz w:val="26"/>
          <w:szCs w:val="26"/>
        </w:rPr>
        <w:t>”</w:t>
      </w:r>
      <w:r w:rsidR="00BD3452" w:rsidRPr="00A721AE">
        <w:rPr>
          <w:sz w:val="26"/>
          <w:szCs w:val="26"/>
        </w:rPr>
        <w:t xml:space="preserve"> and define </w:t>
      </w:r>
      <w:r w:rsidR="00734951">
        <w:rPr>
          <w:sz w:val="26"/>
          <w:szCs w:val="26"/>
        </w:rPr>
        <w:t>“</w:t>
      </w:r>
      <w:r w:rsidR="00BD3452" w:rsidRPr="00A721AE">
        <w:rPr>
          <w:sz w:val="26"/>
          <w:szCs w:val="26"/>
        </w:rPr>
        <w:t>distribution line</w:t>
      </w:r>
      <w:r w:rsidR="00734951">
        <w:rPr>
          <w:sz w:val="26"/>
          <w:szCs w:val="26"/>
        </w:rPr>
        <w:t>”</w:t>
      </w:r>
      <w:r w:rsidR="00BD3452" w:rsidRPr="00A721AE">
        <w:rPr>
          <w:sz w:val="26"/>
          <w:szCs w:val="26"/>
        </w:rPr>
        <w:t xml:space="preserve"> as a </w:t>
      </w:r>
      <w:r w:rsidR="00734951">
        <w:rPr>
          <w:sz w:val="26"/>
          <w:szCs w:val="26"/>
        </w:rPr>
        <w:t>“</w:t>
      </w:r>
      <w:r w:rsidR="00BD3452" w:rsidRPr="00A721AE">
        <w:rPr>
          <w:sz w:val="26"/>
          <w:szCs w:val="26"/>
        </w:rPr>
        <w:t>pipeline other than a gathering or transmission line.</w:t>
      </w:r>
      <w:r w:rsidR="00734951">
        <w:rPr>
          <w:sz w:val="26"/>
          <w:szCs w:val="26"/>
        </w:rPr>
        <w:t>”</w:t>
      </w:r>
      <w:r w:rsidR="00BD3452" w:rsidRPr="00A721AE">
        <w:rPr>
          <w:sz w:val="26"/>
          <w:szCs w:val="26"/>
        </w:rPr>
        <w:t xml:space="preserve"> </w:t>
      </w:r>
      <w:r w:rsidR="000E65D4">
        <w:rPr>
          <w:sz w:val="26"/>
          <w:szCs w:val="26"/>
        </w:rPr>
        <w:t xml:space="preserve"> PNG M.B. at 18</w:t>
      </w:r>
      <w:r w:rsidR="00BD3452">
        <w:rPr>
          <w:sz w:val="26"/>
          <w:szCs w:val="26"/>
        </w:rPr>
        <w:t xml:space="preserve"> (citing </w:t>
      </w:r>
      <w:r w:rsidR="00BD3452" w:rsidRPr="00A721AE">
        <w:rPr>
          <w:sz w:val="26"/>
          <w:szCs w:val="26"/>
        </w:rPr>
        <w:t>52 Pa. Code § 59.1; 49 C.F.R. § 192.3</w:t>
      </w:r>
      <w:r w:rsidR="00BD3452">
        <w:rPr>
          <w:sz w:val="26"/>
          <w:szCs w:val="26"/>
        </w:rPr>
        <w:t>).  I&amp;E witness Cline</w:t>
      </w:r>
      <w:r w:rsidR="00457F7B">
        <w:rPr>
          <w:sz w:val="26"/>
          <w:szCs w:val="26"/>
        </w:rPr>
        <w:t xml:space="preserve"> explained that </w:t>
      </w:r>
      <w:r w:rsidR="00BD3452">
        <w:rPr>
          <w:sz w:val="26"/>
          <w:szCs w:val="26"/>
        </w:rPr>
        <w:t>a distribution system is designed to deliver natural gas directly to customers in high density pop</w:t>
      </w:r>
      <w:r w:rsidR="000E65D4">
        <w:rPr>
          <w:sz w:val="26"/>
          <w:szCs w:val="26"/>
        </w:rPr>
        <w:t>ulation areas where</w:t>
      </w:r>
      <w:r w:rsidR="00457F7B">
        <w:rPr>
          <w:sz w:val="26"/>
          <w:szCs w:val="26"/>
        </w:rPr>
        <w:t>as</w:t>
      </w:r>
      <w:r w:rsidR="000E65D4">
        <w:rPr>
          <w:sz w:val="26"/>
          <w:szCs w:val="26"/>
        </w:rPr>
        <w:t xml:space="preserve"> PNG</w:t>
      </w:r>
      <w:r w:rsidR="00734951">
        <w:rPr>
          <w:sz w:val="26"/>
          <w:szCs w:val="26"/>
        </w:rPr>
        <w:t>’</w:t>
      </w:r>
      <w:r w:rsidR="000E65D4">
        <w:rPr>
          <w:sz w:val="26"/>
          <w:szCs w:val="26"/>
        </w:rPr>
        <w:t>s</w:t>
      </w:r>
      <w:r w:rsidR="00BD3452">
        <w:rPr>
          <w:sz w:val="26"/>
          <w:szCs w:val="26"/>
        </w:rPr>
        <w:t xml:space="preserve"> gathering systems were originally designed to gather natural gas from local production wells for the benefit of the entire system.  Attaching customers to these lines was incidental to the original goal of obtaining local supply.  I&amp;E St. No. 1 at 9 (</w:t>
      </w:r>
      <w:r w:rsidR="000E65D4">
        <w:rPr>
          <w:sz w:val="26"/>
          <w:szCs w:val="26"/>
        </w:rPr>
        <w:t>citing PNG</w:t>
      </w:r>
      <w:r w:rsidR="00BD3452">
        <w:rPr>
          <w:sz w:val="26"/>
          <w:szCs w:val="26"/>
        </w:rPr>
        <w:t xml:space="preserve"> Exh. No. 2 at 13-16).  Therefore, </w:t>
      </w:r>
      <w:r w:rsidR="000E65D4">
        <w:rPr>
          <w:sz w:val="26"/>
          <w:szCs w:val="26"/>
        </w:rPr>
        <w:t>PNG</w:t>
      </w:r>
      <w:r w:rsidR="00BD3452">
        <w:rPr>
          <w:sz w:val="26"/>
          <w:szCs w:val="26"/>
        </w:rPr>
        <w:t xml:space="preserve"> is not dissimilar from FERC-regulated companies that own gathering pipelines serving state regulated public utility customers.</w:t>
      </w:r>
    </w:p>
    <w:p w14:paraId="041F3D38" w14:textId="77777777" w:rsidR="00BD3452" w:rsidRDefault="00BD3452" w:rsidP="007374FA">
      <w:pPr>
        <w:widowControl/>
        <w:spacing w:line="360" w:lineRule="auto"/>
        <w:ind w:firstLine="1440"/>
        <w:rPr>
          <w:sz w:val="26"/>
          <w:szCs w:val="26"/>
        </w:rPr>
      </w:pPr>
    </w:p>
    <w:p w14:paraId="3D7C3EB9" w14:textId="261A7E66" w:rsidR="00BD3452" w:rsidRDefault="00BD3452" w:rsidP="007374FA">
      <w:pPr>
        <w:widowControl/>
        <w:spacing w:line="360" w:lineRule="auto"/>
        <w:ind w:firstLine="1440"/>
        <w:rPr>
          <w:sz w:val="26"/>
          <w:szCs w:val="26"/>
        </w:rPr>
      </w:pPr>
      <w:r>
        <w:rPr>
          <w:sz w:val="26"/>
          <w:szCs w:val="26"/>
        </w:rPr>
        <w:t xml:space="preserve">Furthermore, we concur with the Company that </w:t>
      </w:r>
      <w:r w:rsidR="00457F7B">
        <w:rPr>
          <w:sz w:val="26"/>
          <w:szCs w:val="26"/>
        </w:rPr>
        <w:t xml:space="preserve">its facilities in question are correctly classified as gathering facilities </w:t>
      </w:r>
      <w:r>
        <w:rPr>
          <w:sz w:val="26"/>
          <w:szCs w:val="26"/>
        </w:rPr>
        <w:t>under FERC</w:t>
      </w:r>
      <w:r w:rsidR="00734951">
        <w:rPr>
          <w:sz w:val="26"/>
          <w:szCs w:val="26"/>
        </w:rPr>
        <w:t>’</w:t>
      </w:r>
      <w:r>
        <w:rPr>
          <w:sz w:val="26"/>
          <w:szCs w:val="26"/>
        </w:rPr>
        <w:t xml:space="preserve">s modified </w:t>
      </w:r>
      <w:r w:rsidR="00734951">
        <w:rPr>
          <w:sz w:val="26"/>
          <w:szCs w:val="26"/>
        </w:rPr>
        <w:t>“</w:t>
      </w:r>
      <w:r>
        <w:rPr>
          <w:sz w:val="26"/>
          <w:szCs w:val="26"/>
        </w:rPr>
        <w:t>primary function test,</w:t>
      </w:r>
      <w:r w:rsidR="00734951">
        <w:rPr>
          <w:sz w:val="26"/>
          <w:szCs w:val="26"/>
        </w:rPr>
        <w:t>”</w:t>
      </w:r>
      <w:r>
        <w:rPr>
          <w:sz w:val="26"/>
          <w:szCs w:val="26"/>
        </w:rPr>
        <w:t xml:space="preserve"> which includes consideration of physical and geographical factors including: (1) </w:t>
      </w:r>
      <w:r w:rsidRPr="00E8097A">
        <w:rPr>
          <w:sz w:val="26"/>
          <w:szCs w:val="26"/>
        </w:rPr>
        <w:t>the length and diameter of the pipelines; (2) the facilities</w:t>
      </w:r>
      <w:r w:rsidR="00734951">
        <w:rPr>
          <w:sz w:val="26"/>
          <w:szCs w:val="26"/>
        </w:rPr>
        <w:t>’</w:t>
      </w:r>
      <w:r w:rsidRPr="00E8097A">
        <w:rPr>
          <w:sz w:val="26"/>
          <w:szCs w:val="26"/>
        </w:rPr>
        <w:t xml:space="preserve"> geographical configuration; (3) the </w:t>
      </w:r>
      <w:r w:rsidRPr="00E8097A">
        <w:rPr>
          <w:sz w:val="26"/>
          <w:szCs w:val="26"/>
        </w:rPr>
        <w:lastRenderedPageBreak/>
        <w:t>extension of the facilities beyond the central point in the field; (4) the location of compressors and processing plants; (5) the location of the wells along all or part of a facility; and (6) the</w:t>
      </w:r>
      <w:r w:rsidRPr="00E8097A">
        <w:rPr>
          <w:color w:val="000000"/>
          <w:sz w:val="23"/>
          <w:szCs w:val="22"/>
        </w:rPr>
        <w:t xml:space="preserve"> </w:t>
      </w:r>
      <w:r w:rsidRPr="00E8097A">
        <w:rPr>
          <w:sz w:val="26"/>
          <w:szCs w:val="26"/>
        </w:rPr>
        <w:t>operati</w:t>
      </w:r>
      <w:r>
        <w:rPr>
          <w:sz w:val="26"/>
          <w:szCs w:val="26"/>
        </w:rPr>
        <w:t>ng pressures of the pipelines</w:t>
      </w:r>
      <w:r w:rsidR="008E2AAC">
        <w:rPr>
          <w:sz w:val="26"/>
          <w:szCs w:val="26"/>
        </w:rPr>
        <w:t>.</w:t>
      </w:r>
      <w:r w:rsidR="000E65D4">
        <w:rPr>
          <w:sz w:val="26"/>
          <w:szCs w:val="26"/>
        </w:rPr>
        <w:t xml:space="preserve">  Peoples M.B. at 18-19</w:t>
      </w:r>
      <w:r>
        <w:rPr>
          <w:sz w:val="26"/>
          <w:szCs w:val="26"/>
        </w:rPr>
        <w:t>.</w:t>
      </w:r>
    </w:p>
    <w:p w14:paraId="627F0D95" w14:textId="77777777" w:rsidR="00BD3452" w:rsidRPr="00E8097A" w:rsidRDefault="00BD3452" w:rsidP="007374FA">
      <w:pPr>
        <w:widowControl/>
        <w:spacing w:line="360" w:lineRule="auto"/>
        <w:ind w:firstLine="1440"/>
        <w:rPr>
          <w:sz w:val="26"/>
          <w:szCs w:val="26"/>
        </w:rPr>
      </w:pPr>
    </w:p>
    <w:p w14:paraId="3F38E6D2" w14:textId="7E0832E1" w:rsidR="00BD3452" w:rsidRPr="00AD1F76" w:rsidRDefault="008E2AAC" w:rsidP="007374FA">
      <w:pPr>
        <w:widowControl/>
        <w:spacing w:line="360" w:lineRule="auto"/>
        <w:ind w:firstLine="1440"/>
        <w:rPr>
          <w:sz w:val="26"/>
          <w:szCs w:val="26"/>
        </w:rPr>
      </w:pPr>
      <w:r>
        <w:rPr>
          <w:sz w:val="26"/>
          <w:szCs w:val="26"/>
        </w:rPr>
        <w:t xml:space="preserve">Based on our review of the record, </w:t>
      </w:r>
      <w:r w:rsidR="00BD3452">
        <w:rPr>
          <w:sz w:val="26"/>
          <w:szCs w:val="26"/>
        </w:rPr>
        <w:t>PIOGA</w:t>
      </w:r>
      <w:r w:rsidR="00734951">
        <w:rPr>
          <w:sz w:val="26"/>
          <w:szCs w:val="26"/>
        </w:rPr>
        <w:t>’</w:t>
      </w:r>
      <w:r w:rsidR="00BD3452">
        <w:rPr>
          <w:sz w:val="26"/>
          <w:szCs w:val="26"/>
        </w:rPr>
        <w:t>s argument against the use of FERC</w:t>
      </w:r>
      <w:r w:rsidR="00734951">
        <w:rPr>
          <w:sz w:val="26"/>
          <w:szCs w:val="26"/>
        </w:rPr>
        <w:t>’</w:t>
      </w:r>
      <w:r w:rsidR="00BD3452">
        <w:rPr>
          <w:sz w:val="26"/>
          <w:szCs w:val="26"/>
        </w:rPr>
        <w:t>s primary function test is weakened by its witness</w:t>
      </w:r>
      <w:r w:rsidR="00734951">
        <w:rPr>
          <w:sz w:val="26"/>
          <w:szCs w:val="26"/>
        </w:rPr>
        <w:t>’</w:t>
      </w:r>
      <w:r w:rsidR="00BD3452">
        <w:rPr>
          <w:sz w:val="26"/>
          <w:szCs w:val="26"/>
        </w:rPr>
        <w:t xml:space="preserve"> lack of knowledge of the method of the test or its existence.  </w:t>
      </w:r>
      <w:r w:rsidR="00BD3452" w:rsidRPr="00AD1F76">
        <w:rPr>
          <w:sz w:val="26"/>
          <w:szCs w:val="26"/>
        </w:rPr>
        <w:t>We highlight the testimony o</w:t>
      </w:r>
      <w:r w:rsidR="00BD3452">
        <w:rPr>
          <w:sz w:val="26"/>
          <w:szCs w:val="26"/>
        </w:rPr>
        <w:t>f PIOGA witness, Mr.</w:t>
      </w:r>
      <w:r>
        <w:rPr>
          <w:sz w:val="26"/>
          <w:szCs w:val="26"/>
        </w:rPr>
        <w:t> </w:t>
      </w:r>
      <w:r w:rsidR="00BD3452">
        <w:rPr>
          <w:sz w:val="26"/>
          <w:szCs w:val="26"/>
        </w:rPr>
        <w:t>Hillebrand</w:t>
      </w:r>
      <w:r w:rsidR="00BD3452" w:rsidRPr="00AD1F76">
        <w:rPr>
          <w:sz w:val="26"/>
          <w:szCs w:val="26"/>
        </w:rPr>
        <w:t>:</w:t>
      </w:r>
    </w:p>
    <w:p w14:paraId="04FBCA07" w14:textId="77777777" w:rsidR="00BD3452" w:rsidRPr="00AD1F76" w:rsidRDefault="00BD3452" w:rsidP="007374FA">
      <w:pPr>
        <w:widowControl/>
        <w:spacing w:line="360" w:lineRule="auto"/>
        <w:ind w:firstLine="1440"/>
        <w:rPr>
          <w:sz w:val="26"/>
          <w:szCs w:val="26"/>
        </w:rPr>
      </w:pPr>
    </w:p>
    <w:p w14:paraId="4A8229D0" w14:textId="77777777" w:rsidR="00BD3452" w:rsidRPr="00AD1F76" w:rsidRDefault="00BD3452" w:rsidP="007374FA">
      <w:pPr>
        <w:widowControl/>
        <w:ind w:left="1440" w:right="1440"/>
        <w:rPr>
          <w:sz w:val="26"/>
          <w:szCs w:val="26"/>
        </w:rPr>
      </w:pPr>
      <w:r w:rsidRPr="00AD1F76">
        <w:rPr>
          <w:sz w:val="26"/>
          <w:szCs w:val="26"/>
        </w:rPr>
        <w:t>Q.</w:t>
      </w:r>
      <w:r w:rsidRPr="00AD1F76">
        <w:rPr>
          <w:sz w:val="26"/>
          <w:szCs w:val="26"/>
        </w:rPr>
        <w:tab/>
      </w:r>
      <w:r>
        <w:rPr>
          <w:sz w:val="26"/>
          <w:szCs w:val="26"/>
        </w:rPr>
        <w:t>Are you aware whether the Federal Energy Regulatory Commission uses a primary function test to determine whether facilities are gathering</w:t>
      </w:r>
      <w:r w:rsidRPr="00AD1F76">
        <w:rPr>
          <w:sz w:val="26"/>
          <w:szCs w:val="26"/>
        </w:rPr>
        <w:t>?</w:t>
      </w:r>
    </w:p>
    <w:p w14:paraId="7E8ADE09" w14:textId="77777777" w:rsidR="00BD3452" w:rsidRPr="00AD1F76" w:rsidRDefault="00BD3452" w:rsidP="007374FA">
      <w:pPr>
        <w:widowControl/>
        <w:ind w:left="1440" w:right="1440"/>
        <w:rPr>
          <w:sz w:val="26"/>
          <w:szCs w:val="26"/>
        </w:rPr>
      </w:pPr>
    </w:p>
    <w:p w14:paraId="3074F86E" w14:textId="77777777" w:rsidR="00BD3452" w:rsidRPr="00AD1F76" w:rsidRDefault="00BD3452" w:rsidP="007374FA">
      <w:pPr>
        <w:widowControl/>
        <w:ind w:left="1440" w:right="1440"/>
        <w:rPr>
          <w:sz w:val="26"/>
          <w:szCs w:val="26"/>
        </w:rPr>
      </w:pPr>
      <w:r>
        <w:rPr>
          <w:sz w:val="26"/>
          <w:szCs w:val="26"/>
        </w:rPr>
        <w:t>A.</w:t>
      </w:r>
      <w:r>
        <w:rPr>
          <w:sz w:val="26"/>
          <w:szCs w:val="26"/>
        </w:rPr>
        <w:tab/>
        <w:t>I am not</w:t>
      </w:r>
      <w:r w:rsidRPr="00AD1F76">
        <w:rPr>
          <w:sz w:val="26"/>
          <w:szCs w:val="26"/>
        </w:rPr>
        <w:t>.</w:t>
      </w:r>
    </w:p>
    <w:p w14:paraId="126B62DD" w14:textId="77777777" w:rsidR="00BD3452" w:rsidRDefault="00BD3452" w:rsidP="007374FA">
      <w:pPr>
        <w:widowControl/>
        <w:ind w:left="1440" w:right="1440"/>
        <w:rPr>
          <w:sz w:val="26"/>
          <w:szCs w:val="26"/>
        </w:rPr>
      </w:pPr>
    </w:p>
    <w:p w14:paraId="3CBC7607" w14:textId="77777777" w:rsidR="00BD3452" w:rsidRPr="00AD1F76" w:rsidRDefault="00BD3452" w:rsidP="007374FA">
      <w:pPr>
        <w:widowControl/>
        <w:ind w:left="1440" w:right="1440"/>
        <w:jc w:val="center"/>
        <w:rPr>
          <w:sz w:val="26"/>
          <w:szCs w:val="26"/>
        </w:rPr>
      </w:pPr>
      <w:r w:rsidRPr="00AD1F76">
        <w:rPr>
          <w:sz w:val="26"/>
          <w:szCs w:val="26"/>
        </w:rPr>
        <w:t>*</w:t>
      </w:r>
      <w:r w:rsidRPr="00AD1F76">
        <w:rPr>
          <w:sz w:val="26"/>
          <w:szCs w:val="26"/>
        </w:rPr>
        <w:tab/>
        <w:t>*</w:t>
      </w:r>
      <w:r w:rsidRPr="00AD1F76">
        <w:rPr>
          <w:sz w:val="26"/>
          <w:szCs w:val="26"/>
        </w:rPr>
        <w:tab/>
        <w:t>*</w:t>
      </w:r>
    </w:p>
    <w:p w14:paraId="2508B7CC" w14:textId="77777777" w:rsidR="00BD3452" w:rsidRPr="00AD1F76" w:rsidRDefault="00BD3452" w:rsidP="007374FA">
      <w:pPr>
        <w:widowControl/>
        <w:ind w:right="1440"/>
        <w:rPr>
          <w:sz w:val="26"/>
          <w:szCs w:val="26"/>
        </w:rPr>
      </w:pPr>
    </w:p>
    <w:p w14:paraId="5A7FCB00" w14:textId="77777777" w:rsidR="00BD3452" w:rsidRPr="00AD1F76" w:rsidRDefault="00BD3452" w:rsidP="007374FA">
      <w:pPr>
        <w:widowControl/>
        <w:ind w:left="1440" w:right="1440"/>
        <w:rPr>
          <w:sz w:val="26"/>
          <w:szCs w:val="26"/>
        </w:rPr>
      </w:pPr>
      <w:r w:rsidRPr="00AD1F76">
        <w:rPr>
          <w:sz w:val="26"/>
          <w:szCs w:val="26"/>
        </w:rPr>
        <w:t>Q.</w:t>
      </w:r>
      <w:r w:rsidRPr="00AD1F76">
        <w:rPr>
          <w:sz w:val="26"/>
          <w:szCs w:val="26"/>
        </w:rPr>
        <w:tab/>
      </w:r>
      <w:r>
        <w:rPr>
          <w:sz w:val="26"/>
          <w:szCs w:val="26"/>
        </w:rPr>
        <w:t>Could you read that definition for the record please</w:t>
      </w:r>
      <w:r w:rsidRPr="00AD1F76">
        <w:rPr>
          <w:sz w:val="26"/>
          <w:szCs w:val="26"/>
        </w:rPr>
        <w:t>?</w:t>
      </w:r>
    </w:p>
    <w:p w14:paraId="739B9A2F" w14:textId="77777777" w:rsidR="00BD3452" w:rsidRPr="00AD1F76" w:rsidRDefault="00BD3452" w:rsidP="007374FA">
      <w:pPr>
        <w:widowControl/>
        <w:ind w:left="1440" w:right="1440"/>
        <w:rPr>
          <w:sz w:val="26"/>
          <w:szCs w:val="26"/>
        </w:rPr>
      </w:pPr>
    </w:p>
    <w:p w14:paraId="3376FF73" w14:textId="7453FFAF" w:rsidR="00BD3452" w:rsidRPr="00AD1F76" w:rsidRDefault="00BD3452" w:rsidP="007374FA">
      <w:pPr>
        <w:keepNext/>
        <w:keepLines/>
        <w:widowControl/>
        <w:ind w:left="1440" w:right="1440"/>
        <w:rPr>
          <w:sz w:val="26"/>
          <w:szCs w:val="26"/>
        </w:rPr>
      </w:pPr>
      <w:r w:rsidRPr="00AD1F76">
        <w:rPr>
          <w:sz w:val="26"/>
          <w:szCs w:val="26"/>
        </w:rPr>
        <w:t>A.</w:t>
      </w:r>
      <w:r w:rsidRPr="00AD1F76">
        <w:rPr>
          <w:sz w:val="26"/>
          <w:szCs w:val="26"/>
        </w:rPr>
        <w:tab/>
      </w:r>
      <w:r w:rsidR="00734951">
        <w:rPr>
          <w:sz w:val="26"/>
          <w:szCs w:val="26"/>
        </w:rPr>
        <w:t>“</w:t>
      </w:r>
      <w:r>
        <w:rPr>
          <w:sz w:val="26"/>
          <w:szCs w:val="26"/>
        </w:rPr>
        <w:t>Gathering line means a pipeline that transports gas from a current production facility to a transportation line or main</w:t>
      </w:r>
      <w:r w:rsidRPr="00AD1F76">
        <w:rPr>
          <w:sz w:val="26"/>
          <w:szCs w:val="26"/>
        </w:rPr>
        <w:t>.</w:t>
      </w:r>
      <w:r w:rsidR="00734951">
        <w:rPr>
          <w:sz w:val="26"/>
          <w:szCs w:val="26"/>
        </w:rPr>
        <w:t>”</w:t>
      </w:r>
    </w:p>
    <w:p w14:paraId="7732BAB6" w14:textId="77777777" w:rsidR="00BD3452" w:rsidRPr="00AD1F76" w:rsidRDefault="00BD3452" w:rsidP="007374FA">
      <w:pPr>
        <w:widowControl/>
        <w:ind w:left="1440" w:right="1440"/>
        <w:rPr>
          <w:sz w:val="26"/>
          <w:szCs w:val="26"/>
        </w:rPr>
      </w:pPr>
    </w:p>
    <w:p w14:paraId="7031D372" w14:textId="77777777" w:rsidR="00BD3452" w:rsidRPr="00AD1F76" w:rsidRDefault="00BD3452" w:rsidP="007374FA">
      <w:pPr>
        <w:widowControl/>
        <w:ind w:left="1440" w:right="1440"/>
        <w:rPr>
          <w:sz w:val="26"/>
          <w:szCs w:val="26"/>
        </w:rPr>
      </w:pPr>
      <w:r w:rsidRPr="00AD1F76">
        <w:rPr>
          <w:sz w:val="26"/>
          <w:szCs w:val="26"/>
        </w:rPr>
        <w:t>Q.</w:t>
      </w:r>
      <w:r w:rsidRPr="00AD1F76">
        <w:rPr>
          <w:sz w:val="26"/>
          <w:szCs w:val="26"/>
        </w:rPr>
        <w:tab/>
      </w:r>
      <w:r>
        <w:rPr>
          <w:sz w:val="26"/>
          <w:szCs w:val="26"/>
        </w:rPr>
        <w:t xml:space="preserve">Again, is there anything in that definition that establishes </w:t>
      </w:r>
      <w:proofErr w:type="gramStart"/>
      <w:r>
        <w:rPr>
          <w:sz w:val="26"/>
          <w:szCs w:val="26"/>
        </w:rPr>
        <w:t>whether or not</w:t>
      </w:r>
      <w:proofErr w:type="gramEnd"/>
      <w:r>
        <w:rPr>
          <w:sz w:val="26"/>
          <w:szCs w:val="26"/>
        </w:rPr>
        <w:t xml:space="preserve"> there are customers on a gathering line</w:t>
      </w:r>
      <w:r w:rsidRPr="00AD1F76">
        <w:rPr>
          <w:sz w:val="26"/>
          <w:szCs w:val="26"/>
        </w:rPr>
        <w:t>?</w:t>
      </w:r>
    </w:p>
    <w:p w14:paraId="4289BC04" w14:textId="77777777" w:rsidR="00BD3452" w:rsidRPr="00AD1F76" w:rsidRDefault="00BD3452" w:rsidP="007374FA">
      <w:pPr>
        <w:widowControl/>
        <w:ind w:left="1440" w:right="1440"/>
        <w:rPr>
          <w:sz w:val="26"/>
          <w:szCs w:val="26"/>
        </w:rPr>
      </w:pPr>
    </w:p>
    <w:p w14:paraId="38FECC2E" w14:textId="77777777" w:rsidR="00BD3452" w:rsidRPr="00AD1F76" w:rsidRDefault="00BD3452" w:rsidP="007374FA">
      <w:pPr>
        <w:widowControl/>
        <w:ind w:left="1440" w:right="1440"/>
        <w:rPr>
          <w:sz w:val="26"/>
          <w:szCs w:val="26"/>
        </w:rPr>
      </w:pPr>
      <w:r>
        <w:rPr>
          <w:sz w:val="26"/>
          <w:szCs w:val="26"/>
        </w:rPr>
        <w:t>A.</w:t>
      </w:r>
      <w:r>
        <w:rPr>
          <w:sz w:val="26"/>
          <w:szCs w:val="26"/>
        </w:rPr>
        <w:tab/>
        <w:t>No</w:t>
      </w:r>
      <w:r w:rsidRPr="00AD1F76">
        <w:rPr>
          <w:sz w:val="26"/>
          <w:szCs w:val="26"/>
        </w:rPr>
        <w:t>.</w:t>
      </w:r>
    </w:p>
    <w:p w14:paraId="21EBDBAD" w14:textId="77777777" w:rsidR="00BD3452" w:rsidRPr="00AD1F76" w:rsidRDefault="00BD3452" w:rsidP="007374FA">
      <w:pPr>
        <w:widowControl/>
        <w:ind w:left="1440" w:right="1440"/>
        <w:rPr>
          <w:sz w:val="26"/>
          <w:szCs w:val="26"/>
        </w:rPr>
      </w:pPr>
    </w:p>
    <w:p w14:paraId="705742F4" w14:textId="4A82B16F" w:rsidR="00BD3452" w:rsidRPr="00AD1F76" w:rsidRDefault="00BD3452" w:rsidP="007374FA">
      <w:pPr>
        <w:widowControl/>
        <w:ind w:left="1440" w:right="1440"/>
        <w:rPr>
          <w:sz w:val="26"/>
          <w:szCs w:val="26"/>
        </w:rPr>
      </w:pPr>
      <w:r w:rsidRPr="00AD1F76">
        <w:rPr>
          <w:sz w:val="26"/>
          <w:szCs w:val="26"/>
        </w:rPr>
        <w:t xml:space="preserve">Q. </w:t>
      </w:r>
      <w:r w:rsidRPr="00AD1F76">
        <w:rPr>
          <w:sz w:val="26"/>
          <w:szCs w:val="26"/>
        </w:rPr>
        <w:tab/>
      </w:r>
      <w:r>
        <w:rPr>
          <w:sz w:val="26"/>
          <w:szCs w:val="26"/>
        </w:rPr>
        <w:t xml:space="preserve">Are you aware of the term </w:t>
      </w:r>
      <w:r w:rsidR="00734951">
        <w:rPr>
          <w:sz w:val="26"/>
          <w:szCs w:val="26"/>
        </w:rPr>
        <w:t>“</w:t>
      </w:r>
      <w:r>
        <w:rPr>
          <w:sz w:val="26"/>
          <w:szCs w:val="26"/>
        </w:rPr>
        <w:t>mainline tap customers</w:t>
      </w:r>
      <w:r w:rsidRPr="00AD1F76">
        <w:rPr>
          <w:sz w:val="26"/>
          <w:szCs w:val="26"/>
        </w:rPr>
        <w:t>?</w:t>
      </w:r>
      <w:r w:rsidR="00734951">
        <w:rPr>
          <w:sz w:val="26"/>
          <w:szCs w:val="26"/>
        </w:rPr>
        <w:t>”</w:t>
      </w:r>
    </w:p>
    <w:p w14:paraId="5EB072F0" w14:textId="77777777" w:rsidR="00BD3452" w:rsidRPr="00AD1F76" w:rsidRDefault="00BD3452" w:rsidP="007374FA">
      <w:pPr>
        <w:widowControl/>
        <w:ind w:left="1440" w:right="1440"/>
        <w:rPr>
          <w:sz w:val="26"/>
          <w:szCs w:val="26"/>
        </w:rPr>
      </w:pPr>
    </w:p>
    <w:p w14:paraId="32365B66" w14:textId="77777777" w:rsidR="00BD3452" w:rsidRDefault="00BD3452" w:rsidP="007374FA">
      <w:pPr>
        <w:widowControl/>
        <w:ind w:left="1440" w:right="1440"/>
        <w:rPr>
          <w:sz w:val="26"/>
          <w:szCs w:val="26"/>
        </w:rPr>
      </w:pPr>
      <w:r>
        <w:rPr>
          <w:sz w:val="26"/>
          <w:szCs w:val="26"/>
        </w:rPr>
        <w:t>A.</w:t>
      </w:r>
      <w:r>
        <w:rPr>
          <w:sz w:val="26"/>
          <w:szCs w:val="26"/>
        </w:rPr>
        <w:tab/>
        <w:t>No</w:t>
      </w:r>
      <w:r w:rsidRPr="00AD1F76">
        <w:rPr>
          <w:sz w:val="26"/>
          <w:szCs w:val="26"/>
        </w:rPr>
        <w:t>.</w:t>
      </w:r>
    </w:p>
    <w:p w14:paraId="6A5D1558" w14:textId="77777777" w:rsidR="00BD3452" w:rsidRDefault="00BD3452" w:rsidP="007374FA">
      <w:pPr>
        <w:widowControl/>
        <w:ind w:left="1440" w:right="1440"/>
        <w:rPr>
          <w:sz w:val="26"/>
          <w:szCs w:val="26"/>
        </w:rPr>
      </w:pPr>
    </w:p>
    <w:p w14:paraId="1008C124" w14:textId="78C5F558" w:rsidR="00BD3452" w:rsidRDefault="00BD3452" w:rsidP="007374FA">
      <w:pPr>
        <w:widowControl/>
        <w:ind w:left="1440" w:right="1440"/>
        <w:rPr>
          <w:sz w:val="26"/>
          <w:szCs w:val="26"/>
        </w:rPr>
      </w:pPr>
      <w:r>
        <w:rPr>
          <w:sz w:val="26"/>
          <w:szCs w:val="26"/>
        </w:rPr>
        <w:t>Q.</w:t>
      </w:r>
      <w:r>
        <w:rPr>
          <w:sz w:val="26"/>
          <w:szCs w:val="26"/>
        </w:rPr>
        <w:tab/>
        <w:t xml:space="preserve">How about the term </w:t>
      </w:r>
      <w:r w:rsidR="00734951">
        <w:rPr>
          <w:sz w:val="26"/>
          <w:szCs w:val="26"/>
        </w:rPr>
        <w:t>“</w:t>
      </w:r>
      <w:r>
        <w:rPr>
          <w:sz w:val="26"/>
          <w:szCs w:val="26"/>
        </w:rPr>
        <w:t>field line customers?</w:t>
      </w:r>
      <w:r w:rsidR="00734951">
        <w:rPr>
          <w:sz w:val="26"/>
          <w:szCs w:val="26"/>
        </w:rPr>
        <w:t>”</w:t>
      </w:r>
    </w:p>
    <w:p w14:paraId="3AE63255" w14:textId="77777777" w:rsidR="00BD3452" w:rsidRDefault="00BD3452" w:rsidP="007374FA">
      <w:pPr>
        <w:widowControl/>
        <w:ind w:left="1440" w:right="1440"/>
        <w:rPr>
          <w:sz w:val="26"/>
          <w:szCs w:val="26"/>
        </w:rPr>
      </w:pPr>
    </w:p>
    <w:p w14:paraId="2C25BFD2" w14:textId="77777777" w:rsidR="00BD3452" w:rsidRDefault="00BD3452" w:rsidP="007374FA">
      <w:pPr>
        <w:widowControl/>
        <w:ind w:left="1440" w:right="1440"/>
        <w:rPr>
          <w:sz w:val="26"/>
          <w:szCs w:val="26"/>
        </w:rPr>
      </w:pPr>
      <w:r>
        <w:rPr>
          <w:sz w:val="26"/>
          <w:szCs w:val="26"/>
        </w:rPr>
        <w:t>A.</w:t>
      </w:r>
      <w:r>
        <w:rPr>
          <w:sz w:val="26"/>
          <w:szCs w:val="26"/>
        </w:rPr>
        <w:tab/>
        <w:t>No.</w:t>
      </w:r>
    </w:p>
    <w:p w14:paraId="3F3CA611" w14:textId="77777777" w:rsidR="00BD3452" w:rsidRDefault="00BD3452" w:rsidP="007374FA">
      <w:pPr>
        <w:widowControl/>
        <w:ind w:left="1440" w:right="1440"/>
        <w:rPr>
          <w:sz w:val="26"/>
          <w:szCs w:val="26"/>
        </w:rPr>
      </w:pPr>
    </w:p>
    <w:p w14:paraId="14BBBEA8" w14:textId="1F25C477" w:rsidR="00BD3452" w:rsidRDefault="00BD3452" w:rsidP="007374FA">
      <w:pPr>
        <w:widowControl/>
        <w:ind w:left="1440" w:right="1440"/>
        <w:rPr>
          <w:sz w:val="26"/>
          <w:szCs w:val="26"/>
        </w:rPr>
      </w:pPr>
      <w:r>
        <w:rPr>
          <w:sz w:val="26"/>
          <w:szCs w:val="26"/>
        </w:rPr>
        <w:t>Q.</w:t>
      </w:r>
      <w:r>
        <w:rPr>
          <w:sz w:val="26"/>
          <w:szCs w:val="26"/>
        </w:rPr>
        <w:tab/>
        <w:t xml:space="preserve">The term </w:t>
      </w:r>
      <w:r w:rsidR="00734951">
        <w:rPr>
          <w:sz w:val="26"/>
          <w:szCs w:val="26"/>
        </w:rPr>
        <w:t>“</w:t>
      </w:r>
      <w:r>
        <w:rPr>
          <w:sz w:val="26"/>
          <w:szCs w:val="26"/>
        </w:rPr>
        <w:t>dual purpose meters?</w:t>
      </w:r>
      <w:r w:rsidR="00734951">
        <w:rPr>
          <w:sz w:val="26"/>
          <w:szCs w:val="26"/>
        </w:rPr>
        <w:t>”</w:t>
      </w:r>
    </w:p>
    <w:p w14:paraId="018DFCC4" w14:textId="77777777" w:rsidR="00BD3452" w:rsidRDefault="00BD3452" w:rsidP="007374FA">
      <w:pPr>
        <w:widowControl/>
        <w:ind w:left="1440" w:right="1440"/>
        <w:rPr>
          <w:sz w:val="26"/>
          <w:szCs w:val="26"/>
        </w:rPr>
      </w:pPr>
    </w:p>
    <w:p w14:paraId="3F26947D" w14:textId="77777777" w:rsidR="00BD3452" w:rsidRDefault="00BD3452" w:rsidP="007374FA">
      <w:pPr>
        <w:widowControl/>
        <w:ind w:left="1440" w:right="1440"/>
        <w:rPr>
          <w:sz w:val="26"/>
          <w:szCs w:val="26"/>
        </w:rPr>
      </w:pPr>
      <w:r>
        <w:rPr>
          <w:sz w:val="26"/>
          <w:szCs w:val="26"/>
        </w:rPr>
        <w:t>A.</w:t>
      </w:r>
      <w:r>
        <w:rPr>
          <w:sz w:val="26"/>
          <w:szCs w:val="26"/>
        </w:rPr>
        <w:tab/>
        <w:t xml:space="preserve">No.  </w:t>
      </w:r>
    </w:p>
    <w:p w14:paraId="461B5C79" w14:textId="77777777" w:rsidR="00BD3452" w:rsidRDefault="00BD3452" w:rsidP="007374FA">
      <w:pPr>
        <w:widowControl/>
        <w:ind w:left="1440" w:right="1440"/>
        <w:rPr>
          <w:sz w:val="26"/>
          <w:szCs w:val="26"/>
        </w:rPr>
      </w:pPr>
    </w:p>
    <w:p w14:paraId="22B763D4" w14:textId="77777777" w:rsidR="00BD3452" w:rsidRDefault="00BD3452" w:rsidP="007374FA">
      <w:pPr>
        <w:widowControl/>
        <w:ind w:left="1440" w:right="1440"/>
        <w:rPr>
          <w:sz w:val="26"/>
          <w:szCs w:val="26"/>
        </w:rPr>
      </w:pPr>
      <w:r>
        <w:rPr>
          <w:sz w:val="26"/>
          <w:szCs w:val="26"/>
        </w:rPr>
        <w:t>Q.</w:t>
      </w:r>
      <w:r>
        <w:rPr>
          <w:sz w:val="26"/>
          <w:szCs w:val="26"/>
        </w:rPr>
        <w:tab/>
        <w:t>What about situations where a PUC-regulated customer is served directly off an interstate transmission line, are you aware of those situations, any of those situations?</w:t>
      </w:r>
    </w:p>
    <w:p w14:paraId="707D75A2" w14:textId="77777777" w:rsidR="00BD3452" w:rsidRDefault="00BD3452" w:rsidP="007374FA">
      <w:pPr>
        <w:widowControl/>
        <w:ind w:left="1440" w:right="1440"/>
        <w:rPr>
          <w:sz w:val="26"/>
          <w:szCs w:val="26"/>
        </w:rPr>
      </w:pPr>
    </w:p>
    <w:p w14:paraId="1816BBD8" w14:textId="77777777" w:rsidR="00BD3452" w:rsidRPr="00AD1F76" w:rsidRDefault="00BD3452" w:rsidP="00A666DC">
      <w:pPr>
        <w:keepNext/>
        <w:keepLines/>
        <w:widowControl/>
        <w:ind w:left="1440" w:right="1440"/>
        <w:rPr>
          <w:sz w:val="26"/>
          <w:szCs w:val="26"/>
        </w:rPr>
      </w:pPr>
      <w:r>
        <w:rPr>
          <w:sz w:val="26"/>
          <w:szCs w:val="26"/>
        </w:rPr>
        <w:t>A.</w:t>
      </w:r>
      <w:r>
        <w:rPr>
          <w:sz w:val="26"/>
          <w:szCs w:val="26"/>
        </w:rPr>
        <w:tab/>
        <w:t>Only through prior testimony here.</w:t>
      </w:r>
    </w:p>
    <w:p w14:paraId="3B3107D7" w14:textId="77777777" w:rsidR="00BD3452" w:rsidRPr="00AD1F76" w:rsidRDefault="00BD3452" w:rsidP="00A666DC">
      <w:pPr>
        <w:keepNext/>
        <w:keepLines/>
        <w:widowControl/>
        <w:ind w:left="1440" w:right="1440"/>
        <w:rPr>
          <w:sz w:val="26"/>
          <w:szCs w:val="26"/>
        </w:rPr>
      </w:pPr>
    </w:p>
    <w:p w14:paraId="630689B0" w14:textId="77777777" w:rsidR="00BD3452" w:rsidRPr="00AD1F76" w:rsidRDefault="00BD3452" w:rsidP="00A666DC">
      <w:pPr>
        <w:keepNext/>
        <w:keepLines/>
        <w:widowControl/>
        <w:ind w:left="1440" w:right="1440"/>
        <w:rPr>
          <w:sz w:val="26"/>
          <w:szCs w:val="26"/>
        </w:rPr>
      </w:pPr>
    </w:p>
    <w:p w14:paraId="0CDD02D3" w14:textId="77777777" w:rsidR="00BD3452" w:rsidRPr="00AD1F76" w:rsidRDefault="00BD3452" w:rsidP="007374FA">
      <w:pPr>
        <w:widowControl/>
        <w:spacing w:line="360" w:lineRule="auto"/>
        <w:ind w:left="720" w:hanging="720"/>
        <w:rPr>
          <w:rFonts w:eastAsia="Calibri"/>
          <w:sz w:val="26"/>
          <w:szCs w:val="26"/>
        </w:rPr>
      </w:pPr>
      <w:r>
        <w:rPr>
          <w:rFonts w:eastAsia="Calibri"/>
          <w:sz w:val="26"/>
          <w:szCs w:val="26"/>
        </w:rPr>
        <w:t>Tr. at 84-86</w:t>
      </w:r>
      <w:r w:rsidRPr="00AD1F76">
        <w:rPr>
          <w:rFonts w:eastAsia="Calibri"/>
          <w:sz w:val="26"/>
          <w:szCs w:val="26"/>
        </w:rPr>
        <w:t>.</w:t>
      </w:r>
    </w:p>
    <w:p w14:paraId="15C222FC" w14:textId="77777777" w:rsidR="00BD3452" w:rsidRDefault="00BD3452" w:rsidP="007374FA">
      <w:pPr>
        <w:widowControl/>
        <w:spacing w:line="360" w:lineRule="auto"/>
        <w:ind w:firstLine="1440"/>
        <w:rPr>
          <w:sz w:val="26"/>
          <w:szCs w:val="26"/>
        </w:rPr>
      </w:pPr>
    </w:p>
    <w:p w14:paraId="7E3A0FDF" w14:textId="1BD6E09B" w:rsidR="00BD3452" w:rsidRDefault="00BD3452" w:rsidP="007374FA">
      <w:pPr>
        <w:widowControl/>
        <w:tabs>
          <w:tab w:val="left" w:pos="1445"/>
          <w:tab w:val="left" w:pos="7920"/>
        </w:tabs>
        <w:autoSpaceDE w:val="0"/>
        <w:autoSpaceDN w:val="0"/>
        <w:adjustRightInd w:val="0"/>
        <w:spacing w:line="360" w:lineRule="auto"/>
        <w:ind w:firstLine="1440"/>
        <w:rPr>
          <w:sz w:val="26"/>
          <w:szCs w:val="26"/>
        </w:rPr>
      </w:pPr>
      <w:r>
        <w:rPr>
          <w:sz w:val="26"/>
          <w:szCs w:val="26"/>
        </w:rPr>
        <w:t>Th</w:t>
      </w:r>
      <w:r w:rsidR="007D77C4">
        <w:rPr>
          <w:sz w:val="26"/>
          <w:szCs w:val="26"/>
        </w:rPr>
        <w:t>us</w:t>
      </w:r>
      <w:r>
        <w:rPr>
          <w:sz w:val="26"/>
          <w:szCs w:val="26"/>
        </w:rPr>
        <w:t>, we are not persuaded by PIOGA</w:t>
      </w:r>
      <w:r w:rsidR="00734951">
        <w:rPr>
          <w:sz w:val="26"/>
          <w:szCs w:val="26"/>
        </w:rPr>
        <w:t>’</w:t>
      </w:r>
      <w:r>
        <w:rPr>
          <w:sz w:val="26"/>
          <w:szCs w:val="26"/>
        </w:rPr>
        <w:t>s argument on this issue</w:t>
      </w:r>
      <w:r w:rsidR="007D77C4">
        <w:rPr>
          <w:sz w:val="26"/>
          <w:szCs w:val="26"/>
        </w:rPr>
        <w:t xml:space="preserve">.  Accordingly, we </w:t>
      </w:r>
      <w:r>
        <w:rPr>
          <w:sz w:val="26"/>
          <w:szCs w:val="26"/>
        </w:rPr>
        <w:t xml:space="preserve">acknowledge </w:t>
      </w:r>
      <w:r w:rsidR="00D47583">
        <w:rPr>
          <w:sz w:val="26"/>
          <w:szCs w:val="26"/>
        </w:rPr>
        <w:t xml:space="preserve">that PNG is </w:t>
      </w:r>
      <w:r w:rsidR="00734951">
        <w:rPr>
          <w:sz w:val="26"/>
          <w:szCs w:val="26"/>
        </w:rPr>
        <w:t>“</w:t>
      </w:r>
      <w:r w:rsidRPr="00072015">
        <w:rPr>
          <w:sz w:val="26"/>
          <w:szCs w:val="26"/>
        </w:rPr>
        <w:t>unique</w:t>
      </w:r>
      <w:r w:rsidR="00734951">
        <w:rPr>
          <w:sz w:val="26"/>
          <w:szCs w:val="26"/>
        </w:rPr>
        <w:t>”</w:t>
      </w:r>
      <w:r w:rsidRPr="00072015">
        <w:rPr>
          <w:sz w:val="26"/>
          <w:szCs w:val="26"/>
        </w:rPr>
        <w:t xml:space="preserve"> </w:t>
      </w:r>
      <w:r w:rsidR="00D47583">
        <w:rPr>
          <w:sz w:val="26"/>
          <w:szCs w:val="26"/>
        </w:rPr>
        <w:t xml:space="preserve">in its </w:t>
      </w:r>
      <w:r w:rsidRPr="00072015">
        <w:rPr>
          <w:sz w:val="26"/>
          <w:szCs w:val="26"/>
        </w:rPr>
        <w:t>position as a Pennsylvania</w:t>
      </w:r>
      <w:r>
        <w:rPr>
          <w:sz w:val="26"/>
          <w:szCs w:val="26"/>
        </w:rPr>
        <w:t xml:space="preserve"> </w:t>
      </w:r>
      <w:r w:rsidRPr="00072015">
        <w:rPr>
          <w:sz w:val="26"/>
          <w:szCs w:val="26"/>
        </w:rPr>
        <w:t>gas utility th</w:t>
      </w:r>
      <w:r>
        <w:rPr>
          <w:sz w:val="26"/>
          <w:szCs w:val="26"/>
        </w:rPr>
        <w:t>at owns gathering pipelines</w:t>
      </w:r>
      <w:r w:rsidR="00D47583">
        <w:rPr>
          <w:sz w:val="26"/>
          <w:szCs w:val="26"/>
        </w:rPr>
        <w:t>.  Therefore, we view</w:t>
      </w:r>
      <w:r>
        <w:rPr>
          <w:sz w:val="26"/>
          <w:szCs w:val="26"/>
        </w:rPr>
        <w:t xml:space="preserve"> the Company</w:t>
      </w:r>
      <w:r w:rsidR="00734951">
        <w:rPr>
          <w:sz w:val="26"/>
          <w:szCs w:val="26"/>
        </w:rPr>
        <w:t>’</w:t>
      </w:r>
      <w:r>
        <w:rPr>
          <w:sz w:val="26"/>
          <w:szCs w:val="26"/>
        </w:rPr>
        <w:t>s</w:t>
      </w:r>
      <w:r w:rsidRPr="00072015">
        <w:rPr>
          <w:sz w:val="26"/>
          <w:szCs w:val="26"/>
        </w:rPr>
        <w:t xml:space="preserve"> integrated op</w:t>
      </w:r>
      <w:r>
        <w:rPr>
          <w:sz w:val="26"/>
          <w:szCs w:val="26"/>
        </w:rPr>
        <w:t>erations comparable to</w:t>
      </w:r>
      <w:r w:rsidRPr="00072015">
        <w:rPr>
          <w:sz w:val="26"/>
          <w:szCs w:val="26"/>
        </w:rPr>
        <w:t xml:space="preserve"> interstate integrated pipelines</w:t>
      </w:r>
      <w:r w:rsidR="00D47583">
        <w:rPr>
          <w:sz w:val="26"/>
          <w:szCs w:val="26"/>
        </w:rPr>
        <w:t xml:space="preserve"> and conclude</w:t>
      </w:r>
      <w:r>
        <w:rPr>
          <w:sz w:val="26"/>
          <w:szCs w:val="26"/>
        </w:rPr>
        <w:t xml:space="preserve"> that </w:t>
      </w:r>
      <w:r w:rsidR="008F31E9">
        <w:rPr>
          <w:sz w:val="26"/>
          <w:szCs w:val="26"/>
        </w:rPr>
        <w:t xml:space="preserve">due </w:t>
      </w:r>
      <w:r w:rsidR="00830758">
        <w:rPr>
          <w:sz w:val="26"/>
          <w:szCs w:val="26"/>
        </w:rPr>
        <w:t>to its unique</w:t>
      </w:r>
      <w:r>
        <w:rPr>
          <w:sz w:val="26"/>
          <w:szCs w:val="26"/>
        </w:rPr>
        <w:t xml:space="preserve"> integrated system, </w:t>
      </w:r>
      <w:r w:rsidR="00830758">
        <w:rPr>
          <w:sz w:val="26"/>
          <w:szCs w:val="26"/>
        </w:rPr>
        <w:t xml:space="preserve">the proposed retainage charge on producers is </w:t>
      </w:r>
      <w:r>
        <w:rPr>
          <w:sz w:val="26"/>
          <w:szCs w:val="26"/>
        </w:rPr>
        <w:t>appropriate</w:t>
      </w:r>
      <w:r w:rsidR="00830758">
        <w:rPr>
          <w:sz w:val="26"/>
          <w:szCs w:val="26"/>
        </w:rPr>
        <w:t xml:space="preserve">.  As such, we agree with the </w:t>
      </w:r>
      <w:r>
        <w:rPr>
          <w:sz w:val="26"/>
          <w:szCs w:val="26"/>
        </w:rPr>
        <w:t>ALJ</w:t>
      </w:r>
      <w:r w:rsidR="00830758">
        <w:rPr>
          <w:sz w:val="26"/>
          <w:szCs w:val="26"/>
        </w:rPr>
        <w:t>’s rationale</w:t>
      </w:r>
      <w:r>
        <w:rPr>
          <w:sz w:val="26"/>
          <w:szCs w:val="26"/>
        </w:rPr>
        <w:t xml:space="preserve"> that even though the Company operates an integrated sys</w:t>
      </w:r>
      <w:r w:rsidR="000E65D4">
        <w:rPr>
          <w:sz w:val="26"/>
          <w:szCs w:val="26"/>
        </w:rPr>
        <w:t xml:space="preserve">tem, like Equitable, </w:t>
      </w:r>
      <w:r w:rsidR="00830758">
        <w:rPr>
          <w:sz w:val="26"/>
          <w:szCs w:val="26"/>
        </w:rPr>
        <w:t xml:space="preserve">it may also </w:t>
      </w:r>
      <w:r>
        <w:rPr>
          <w:sz w:val="26"/>
          <w:szCs w:val="26"/>
        </w:rPr>
        <w:t xml:space="preserve">impose charges </w:t>
      </w:r>
      <w:r w:rsidR="00830758">
        <w:rPr>
          <w:sz w:val="26"/>
          <w:szCs w:val="26"/>
        </w:rPr>
        <w:t xml:space="preserve">associated with the </w:t>
      </w:r>
      <w:r>
        <w:rPr>
          <w:sz w:val="26"/>
          <w:szCs w:val="26"/>
        </w:rPr>
        <w:t xml:space="preserve">individual cost components of its system including </w:t>
      </w:r>
      <w:r w:rsidR="000E65D4">
        <w:rPr>
          <w:sz w:val="26"/>
          <w:szCs w:val="26"/>
        </w:rPr>
        <w:t>gathering pipelines.  R.D. at 88</w:t>
      </w:r>
      <w:r>
        <w:rPr>
          <w:sz w:val="26"/>
          <w:szCs w:val="26"/>
        </w:rPr>
        <w:t>.  We note that Equitable already charges a separate Commission-approved negotiated producer rate for its gathering system and so we find no issues with approving the proposed producer retainage charge</w:t>
      </w:r>
      <w:r w:rsidR="00594029">
        <w:rPr>
          <w:sz w:val="26"/>
          <w:szCs w:val="26"/>
        </w:rPr>
        <w:t xml:space="preserve"> for PNG</w:t>
      </w:r>
      <w:r>
        <w:rPr>
          <w:sz w:val="26"/>
          <w:szCs w:val="26"/>
        </w:rPr>
        <w:t xml:space="preserve">.  Also, while there currently </w:t>
      </w:r>
      <w:r w:rsidR="00594029">
        <w:rPr>
          <w:sz w:val="26"/>
          <w:szCs w:val="26"/>
        </w:rPr>
        <w:t>are n</w:t>
      </w:r>
      <w:r>
        <w:rPr>
          <w:sz w:val="26"/>
          <w:szCs w:val="26"/>
        </w:rPr>
        <w:t xml:space="preserve">o regulated NGDCs </w:t>
      </w:r>
      <w:r w:rsidR="00594029">
        <w:rPr>
          <w:sz w:val="26"/>
          <w:szCs w:val="26"/>
        </w:rPr>
        <w:t xml:space="preserve">operating in Pennsylvania that employ </w:t>
      </w:r>
      <w:r>
        <w:rPr>
          <w:sz w:val="26"/>
          <w:szCs w:val="26"/>
        </w:rPr>
        <w:t xml:space="preserve">a similar charge, the record </w:t>
      </w:r>
      <w:r w:rsidR="00594029">
        <w:rPr>
          <w:sz w:val="26"/>
          <w:szCs w:val="26"/>
        </w:rPr>
        <w:t xml:space="preserve">in this proceeding </w:t>
      </w:r>
      <w:r>
        <w:rPr>
          <w:sz w:val="26"/>
          <w:szCs w:val="26"/>
        </w:rPr>
        <w:t>is inundated with evidence regarding similar systems including FERC-regulated interstate integrated pipelines and unregulated gathering companies that charge producers separately for gathering reta</w:t>
      </w:r>
      <w:r w:rsidR="00474167">
        <w:rPr>
          <w:sz w:val="26"/>
          <w:szCs w:val="26"/>
        </w:rPr>
        <w:t>inage.  According to Peoples, its proposed 2.0</w:t>
      </w:r>
      <w:r>
        <w:rPr>
          <w:sz w:val="26"/>
          <w:szCs w:val="26"/>
        </w:rPr>
        <w:t xml:space="preserve">% producer charge is very reasonable compared to the FERC-regulated interstate integrated pipelines which charges an average of 9.0% retainage rate.  Furthermore, we acknowledge the Peoples Companies explanation that following the 2017 PGC proceedings, it decided to aggressively tackle its high gathering system UFG.  Consequently, it developed a UFG </w:t>
      </w:r>
      <w:r>
        <w:rPr>
          <w:sz w:val="26"/>
          <w:szCs w:val="26"/>
        </w:rPr>
        <w:lastRenderedPageBreak/>
        <w:t xml:space="preserve">Mitigation Plan and ultimately proposed the producer retainage charge to help mitigate gathering system UFG.  </w:t>
      </w:r>
    </w:p>
    <w:p w14:paraId="1D734EFC" w14:textId="6BA9E79F" w:rsidR="00A21DAC" w:rsidRDefault="00A21DAC" w:rsidP="007374FA">
      <w:pPr>
        <w:widowControl/>
        <w:tabs>
          <w:tab w:val="left" w:pos="1445"/>
          <w:tab w:val="left" w:pos="7920"/>
        </w:tabs>
        <w:autoSpaceDE w:val="0"/>
        <w:autoSpaceDN w:val="0"/>
        <w:adjustRightInd w:val="0"/>
        <w:spacing w:line="360" w:lineRule="auto"/>
        <w:ind w:firstLine="1440"/>
        <w:rPr>
          <w:sz w:val="26"/>
          <w:szCs w:val="26"/>
        </w:rPr>
      </w:pPr>
    </w:p>
    <w:p w14:paraId="7027A2F0" w14:textId="2CF935F6" w:rsidR="00A21DAC" w:rsidRDefault="00A21DAC" w:rsidP="007374FA">
      <w:pPr>
        <w:widowControl/>
        <w:tabs>
          <w:tab w:val="left" w:pos="1445"/>
          <w:tab w:val="left" w:pos="7920"/>
        </w:tabs>
        <w:autoSpaceDE w:val="0"/>
        <w:autoSpaceDN w:val="0"/>
        <w:adjustRightInd w:val="0"/>
        <w:spacing w:line="360" w:lineRule="auto"/>
        <w:ind w:firstLine="1440"/>
        <w:rPr>
          <w:sz w:val="26"/>
          <w:szCs w:val="26"/>
        </w:rPr>
      </w:pPr>
      <w:proofErr w:type="gramStart"/>
      <w:r w:rsidRPr="00A21DAC">
        <w:rPr>
          <w:sz w:val="26"/>
          <w:szCs w:val="26"/>
        </w:rPr>
        <w:t>In light of</w:t>
      </w:r>
      <w:proofErr w:type="gramEnd"/>
      <w:r w:rsidRPr="00A21DAC">
        <w:rPr>
          <w:sz w:val="26"/>
          <w:szCs w:val="26"/>
        </w:rPr>
        <w:t xml:space="preserve"> the foregoing discussion, we conclude that the ALJ did not err in finding that PNG can impose a producer retainage charge for the gathering component of the Company’s integrated system.  Therefore, we shall adopt the ALJ’s decision on this issue and deny PIOGA’s Exception No. 3.</w:t>
      </w:r>
    </w:p>
    <w:p w14:paraId="6F97D98F" w14:textId="2F8246D3" w:rsidR="00A21DAC" w:rsidRDefault="00A21DAC" w:rsidP="007374FA">
      <w:pPr>
        <w:widowControl/>
        <w:tabs>
          <w:tab w:val="left" w:pos="1445"/>
          <w:tab w:val="left" w:pos="7920"/>
        </w:tabs>
        <w:autoSpaceDE w:val="0"/>
        <w:autoSpaceDN w:val="0"/>
        <w:adjustRightInd w:val="0"/>
        <w:spacing w:line="360" w:lineRule="auto"/>
        <w:ind w:firstLine="1440"/>
        <w:rPr>
          <w:sz w:val="26"/>
          <w:szCs w:val="26"/>
        </w:rPr>
      </w:pPr>
    </w:p>
    <w:p w14:paraId="33E3DA81" w14:textId="77777777" w:rsidR="00A21DAC" w:rsidRDefault="00A21DAC" w:rsidP="007374FA">
      <w:pPr>
        <w:widowControl/>
        <w:tabs>
          <w:tab w:val="left" w:pos="1445"/>
          <w:tab w:val="left" w:pos="7920"/>
        </w:tabs>
        <w:autoSpaceDE w:val="0"/>
        <w:autoSpaceDN w:val="0"/>
        <w:adjustRightInd w:val="0"/>
        <w:spacing w:line="360" w:lineRule="auto"/>
        <w:ind w:firstLine="1440"/>
        <w:rPr>
          <w:sz w:val="26"/>
          <w:szCs w:val="26"/>
        </w:rPr>
      </w:pPr>
    </w:p>
    <w:p w14:paraId="703BCB6C" w14:textId="7E4CA4DD" w:rsidR="00074297" w:rsidRPr="00074297" w:rsidRDefault="00074297" w:rsidP="00A666DC">
      <w:pPr>
        <w:pStyle w:val="Heading3"/>
      </w:pPr>
      <w:bookmarkStart w:id="43" w:name="_Toc524442366"/>
      <w:r w:rsidRPr="00074297">
        <w:t>PIOGA</w:t>
      </w:r>
      <w:r w:rsidR="00734951">
        <w:t>’</w:t>
      </w:r>
      <w:r w:rsidRPr="00074297">
        <w:t xml:space="preserve">s Exception No. </w:t>
      </w:r>
      <w:r>
        <w:t>4</w:t>
      </w:r>
      <w:r w:rsidR="008031C2">
        <w:t xml:space="preserve">, </w:t>
      </w:r>
      <w:r w:rsidRPr="00074297">
        <w:t>Replies</w:t>
      </w:r>
      <w:r w:rsidR="008031C2">
        <w:t xml:space="preserve"> and Disposition</w:t>
      </w:r>
      <w:bookmarkEnd w:id="43"/>
    </w:p>
    <w:p w14:paraId="40F7D449" w14:textId="77777777" w:rsidR="00074297" w:rsidRDefault="00074297" w:rsidP="00A666DC">
      <w:pPr>
        <w:keepNext/>
        <w:keepLines/>
        <w:widowControl/>
        <w:tabs>
          <w:tab w:val="left" w:pos="1445"/>
          <w:tab w:val="left" w:pos="7920"/>
        </w:tabs>
        <w:autoSpaceDE w:val="0"/>
        <w:autoSpaceDN w:val="0"/>
        <w:adjustRightInd w:val="0"/>
        <w:spacing w:line="360" w:lineRule="auto"/>
        <w:rPr>
          <w:b/>
          <w:sz w:val="26"/>
          <w:szCs w:val="26"/>
        </w:rPr>
      </w:pPr>
    </w:p>
    <w:p w14:paraId="7E97DDA4" w14:textId="098AEF7E" w:rsidR="00E65D4D" w:rsidRDefault="00074297" w:rsidP="00A666DC">
      <w:pPr>
        <w:keepNext/>
        <w:keepLines/>
        <w:widowControl/>
        <w:tabs>
          <w:tab w:val="left" w:pos="1445"/>
          <w:tab w:val="left" w:pos="7920"/>
        </w:tabs>
        <w:autoSpaceDE w:val="0"/>
        <w:autoSpaceDN w:val="0"/>
        <w:adjustRightInd w:val="0"/>
        <w:spacing w:line="360" w:lineRule="auto"/>
        <w:rPr>
          <w:sz w:val="26"/>
          <w:szCs w:val="26"/>
        </w:rPr>
      </w:pPr>
      <w:r>
        <w:rPr>
          <w:b/>
          <w:sz w:val="26"/>
          <w:szCs w:val="26"/>
        </w:rPr>
        <w:tab/>
      </w:r>
      <w:r>
        <w:rPr>
          <w:sz w:val="26"/>
          <w:szCs w:val="26"/>
        </w:rPr>
        <w:t xml:space="preserve">In its Exception No. </w:t>
      </w:r>
      <w:r w:rsidR="004F65E7">
        <w:rPr>
          <w:sz w:val="26"/>
          <w:szCs w:val="26"/>
        </w:rPr>
        <w:t>4</w:t>
      </w:r>
      <w:r>
        <w:rPr>
          <w:sz w:val="26"/>
          <w:szCs w:val="26"/>
        </w:rPr>
        <w:t>, PIOGA disagrees with the ALJ</w:t>
      </w:r>
      <w:r w:rsidR="00734951">
        <w:rPr>
          <w:sz w:val="26"/>
          <w:szCs w:val="26"/>
        </w:rPr>
        <w:t>’</w:t>
      </w:r>
      <w:r>
        <w:rPr>
          <w:sz w:val="26"/>
          <w:szCs w:val="26"/>
        </w:rPr>
        <w:t>s conclusion that PIOGA</w:t>
      </w:r>
      <w:r w:rsidR="00734951">
        <w:rPr>
          <w:sz w:val="26"/>
          <w:szCs w:val="26"/>
        </w:rPr>
        <w:t>’</w:t>
      </w:r>
      <w:r>
        <w:rPr>
          <w:sz w:val="26"/>
          <w:szCs w:val="26"/>
        </w:rPr>
        <w:t xml:space="preserve">s alternative definitions of gathering and distribution pipelines do not support </w:t>
      </w:r>
      <w:r w:rsidR="002B76AC">
        <w:rPr>
          <w:sz w:val="26"/>
          <w:szCs w:val="26"/>
        </w:rPr>
        <w:t xml:space="preserve">a </w:t>
      </w:r>
      <w:r>
        <w:rPr>
          <w:sz w:val="26"/>
          <w:szCs w:val="26"/>
        </w:rPr>
        <w:t xml:space="preserve">rejection of the proposed producer retainage charges.  PIOGA Exc. at </w:t>
      </w:r>
      <w:r w:rsidR="00E65D4D">
        <w:rPr>
          <w:sz w:val="26"/>
          <w:szCs w:val="26"/>
        </w:rPr>
        <w:t>13</w:t>
      </w:r>
      <w:r>
        <w:rPr>
          <w:sz w:val="26"/>
          <w:szCs w:val="26"/>
        </w:rPr>
        <w:t xml:space="preserve"> (citing R.D. at</w:t>
      </w:r>
      <w:r w:rsidR="00A21DAC">
        <w:rPr>
          <w:sz w:val="26"/>
          <w:szCs w:val="26"/>
        </w:rPr>
        <w:t> </w:t>
      </w:r>
      <w:r w:rsidR="002368BA">
        <w:rPr>
          <w:sz w:val="26"/>
          <w:szCs w:val="26"/>
        </w:rPr>
        <w:t>81-</w:t>
      </w:r>
      <w:r w:rsidR="00E65D4D">
        <w:rPr>
          <w:sz w:val="26"/>
          <w:szCs w:val="26"/>
        </w:rPr>
        <w:t>82</w:t>
      </w:r>
      <w:r w:rsidR="002368BA">
        <w:rPr>
          <w:sz w:val="26"/>
          <w:szCs w:val="26"/>
        </w:rPr>
        <w:t>; Finding of Fact Nos. 82, 87, Conclusion of Law No. 27; Ordering Paragraph Nos. 2, 5, 6</w:t>
      </w:r>
      <w:r>
        <w:rPr>
          <w:sz w:val="26"/>
          <w:szCs w:val="26"/>
        </w:rPr>
        <w:t xml:space="preserve">).  </w:t>
      </w:r>
      <w:r w:rsidR="007A24D5">
        <w:rPr>
          <w:sz w:val="26"/>
          <w:szCs w:val="26"/>
        </w:rPr>
        <w:t>In disputing the ALJ</w:t>
      </w:r>
      <w:r w:rsidR="00734951">
        <w:rPr>
          <w:sz w:val="26"/>
          <w:szCs w:val="26"/>
        </w:rPr>
        <w:t>’</w:t>
      </w:r>
      <w:r w:rsidR="007A24D5">
        <w:rPr>
          <w:sz w:val="26"/>
          <w:szCs w:val="26"/>
        </w:rPr>
        <w:t>s ruling, PIOGA avers the ALJ focus</w:t>
      </w:r>
      <w:r w:rsidR="00A82756">
        <w:rPr>
          <w:sz w:val="26"/>
          <w:szCs w:val="26"/>
        </w:rPr>
        <w:t>ed</w:t>
      </w:r>
      <w:r w:rsidR="007A24D5">
        <w:rPr>
          <w:sz w:val="26"/>
          <w:szCs w:val="26"/>
        </w:rPr>
        <w:t xml:space="preserve"> on the fact that PIOGA</w:t>
      </w:r>
      <w:r w:rsidR="00734951">
        <w:rPr>
          <w:sz w:val="26"/>
          <w:szCs w:val="26"/>
        </w:rPr>
        <w:t>’</w:t>
      </w:r>
      <w:r w:rsidR="007A24D5">
        <w:rPr>
          <w:sz w:val="26"/>
          <w:szCs w:val="26"/>
        </w:rPr>
        <w:t xml:space="preserve">s alternative definitions </w:t>
      </w:r>
      <w:r w:rsidR="00B6468B">
        <w:rPr>
          <w:sz w:val="26"/>
          <w:szCs w:val="26"/>
        </w:rPr>
        <w:t>are not industry-supported</w:t>
      </w:r>
      <w:r w:rsidR="00A82756">
        <w:rPr>
          <w:sz w:val="26"/>
          <w:szCs w:val="26"/>
        </w:rPr>
        <w:t xml:space="preserve"> and </w:t>
      </w:r>
      <w:r w:rsidR="00B6468B">
        <w:rPr>
          <w:sz w:val="26"/>
          <w:szCs w:val="26"/>
        </w:rPr>
        <w:t>overlook</w:t>
      </w:r>
      <w:r w:rsidR="00A82756">
        <w:rPr>
          <w:sz w:val="26"/>
          <w:szCs w:val="26"/>
        </w:rPr>
        <w:t>ed</w:t>
      </w:r>
      <w:r w:rsidR="00B6468B">
        <w:rPr>
          <w:sz w:val="26"/>
          <w:szCs w:val="26"/>
        </w:rPr>
        <w:t xml:space="preserve"> </w:t>
      </w:r>
      <w:r w:rsidR="007064FE">
        <w:rPr>
          <w:sz w:val="26"/>
          <w:szCs w:val="26"/>
        </w:rPr>
        <w:t>Mr.</w:t>
      </w:r>
      <w:r w:rsidR="00A82756">
        <w:rPr>
          <w:sz w:val="26"/>
          <w:szCs w:val="26"/>
        </w:rPr>
        <w:t> </w:t>
      </w:r>
      <w:r w:rsidR="007064FE">
        <w:rPr>
          <w:sz w:val="26"/>
          <w:szCs w:val="26"/>
        </w:rPr>
        <w:t>Hillebrand</w:t>
      </w:r>
      <w:r w:rsidR="00734951">
        <w:rPr>
          <w:sz w:val="26"/>
          <w:szCs w:val="26"/>
        </w:rPr>
        <w:t>’</w:t>
      </w:r>
      <w:r w:rsidR="007064FE">
        <w:rPr>
          <w:sz w:val="26"/>
          <w:szCs w:val="26"/>
        </w:rPr>
        <w:t xml:space="preserve">s extensive </w:t>
      </w:r>
      <w:r w:rsidR="00DA154E">
        <w:rPr>
          <w:sz w:val="26"/>
          <w:szCs w:val="26"/>
        </w:rPr>
        <w:t>engineering experience and the basis for his testimony</w:t>
      </w:r>
      <w:r w:rsidR="007064FE">
        <w:rPr>
          <w:sz w:val="26"/>
          <w:szCs w:val="26"/>
        </w:rPr>
        <w:t xml:space="preserve"> and alternative definitions</w:t>
      </w:r>
      <w:r w:rsidR="00DA154E">
        <w:rPr>
          <w:sz w:val="26"/>
          <w:szCs w:val="26"/>
        </w:rPr>
        <w:t xml:space="preserve">.  </w:t>
      </w:r>
      <w:r w:rsidR="00AC458A">
        <w:rPr>
          <w:sz w:val="26"/>
          <w:szCs w:val="26"/>
        </w:rPr>
        <w:t>PIOGA Exc. at 13</w:t>
      </w:r>
      <w:r w:rsidR="009D5130">
        <w:rPr>
          <w:sz w:val="26"/>
          <w:szCs w:val="26"/>
        </w:rPr>
        <w:t xml:space="preserve">-14.  </w:t>
      </w:r>
      <w:r w:rsidR="00DA154E">
        <w:rPr>
          <w:sz w:val="26"/>
          <w:szCs w:val="26"/>
        </w:rPr>
        <w:t xml:space="preserve">PIOGA argues the ALJ also overlooked </w:t>
      </w:r>
      <w:r w:rsidR="009D5130">
        <w:rPr>
          <w:sz w:val="26"/>
          <w:szCs w:val="26"/>
        </w:rPr>
        <w:t>Peoples</w:t>
      </w:r>
      <w:r w:rsidR="00734951">
        <w:rPr>
          <w:sz w:val="26"/>
          <w:szCs w:val="26"/>
        </w:rPr>
        <w:t>’</w:t>
      </w:r>
      <w:r w:rsidR="00B6468B">
        <w:rPr>
          <w:sz w:val="26"/>
          <w:szCs w:val="26"/>
        </w:rPr>
        <w:t xml:space="preserve"> inconsisten</w:t>
      </w:r>
      <w:r w:rsidR="00725197">
        <w:rPr>
          <w:sz w:val="26"/>
          <w:szCs w:val="26"/>
        </w:rPr>
        <w:t>t reporting of gas deliveries in its UFG reports for 2016 and 2017</w:t>
      </w:r>
      <w:r w:rsidR="00B6468B">
        <w:rPr>
          <w:sz w:val="26"/>
          <w:szCs w:val="26"/>
        </w:rPr>
        <w:t xml:space="preserve"> including </w:t>
      </w:r>
      <w:r w:rsidR="00D405AE">
        <w:rPr>
          <w:sz w:val="26"/>
          <w:szCs w:val="26"/>
        </w:rPr>
        <w:t>Peoples</w:t>
      </w:r>
      <w:r w:rsidR="00734951">
        <w:rPr>
          <w:sz w:val="26"/>
          <w:szCs w:val="26"/>
        </w:rPr>
        <w:t>’</w:t>
      </w:r>
      <w:r w:rsidR="00D405AE">
        <w:rPr>
          <w:sz w:val="26"/>
          <w:szCs w:val="26"/>
        </w:rPr>
        <w:t xml:space="preserve"> </w:t>
      </w:r>
      <w:r w:rsidR="00B6468B">
        <w:rPr>
          <w:sz w:val="26"/>
          <w:szCs w:val="26"/>
        </w:rPr>
        <w:t>inconsistent use of regulatory definitions.</w:t>
      </w:r>
      <w:r w:rsidR="00DA154E">
        <w:rPr>
          <w:sz w:val="26"/>
          <w:szCs w:val="26"/>
        </w:rPr>
        <w:t xml:space="preserve">  </w:t>
      </w:r>
      <w:r w:rsidR="009D5130" w:rsidRPr="009D5130">
        <w:rPr>
          <w:i/>
          <w:sz w:val="26"/>
          <w:szCs w:val="26"/>
        </w:rPr>
        <w:t>Id.</w:t>
      </w:r>
      <w:r w:rsidR="009D5130">
        <w:rPr>
          <w:sz w:val="26"/>
          <w:szCs w:val="26"/>
        </w:rPr>
        <w:t xml:space="preserve"> </w:t>
      </w:r>
      <w:r w:rsidR="00DA154E">
        <w:rPr>
          <w:sz w:val="26"/>
          <w:szCs w:val="26"/>
        </w:rPr>
        <w:t xml:space="preserve">at </w:t>
      </w:r>
      <w:r w:rsidR="009D5130">
        <w:rPr>
          <w:sz w:val="26"/>
          <w:szCs w:val="26"/>
        </w:rPr>
        <w:t>13</w:t>
      </w:r>
      <w:r w:rsidR="00DA154E">
        <w:rPr>
          <w:sz w:val="26"/>
          <w:szCs w:val="26"/>
        </w:rPr>
        <w:t>-17.</w:t>
      </w:r>
    </w:p>
    <w:p w14:paraId="231ED6B7" w14:textId="77777777" w:rsidR="00725197" w:rsidRDefault="00725197" w:rsidP="007374FA">
      <w:pPr>
        <w:widowControl/>
        <w:tabs>
          <w:tab w:val="left" w:pos="1445"/>
          <w:tab w:val="left" w:pos="7920"/>
        </w:tabs>
        <w:autoSpaceDE w:val="0"/>
        <w:autoSpaceDN w:val="0"/>
        <w:adjustRightInd w:val="0"/>
        <w:spacing w:line="360" w:lineRule="auto"/>
        <w:rPr>
          <w:sz w:val="26"/>
          <w:szCs w:val="26"/>
        </w:rPr>
      </w:pPr>
    </w:p>
    <w:p w14:paraId="711FE0F3" w14:textId="471D3A1B" w:rsidR="004E7DA1" w:rsidRDefault="00725197" w:rsidP="007374FA">
      <w:pPr>
        <w:widowControl/>
        <w:tabs>
          <w:tab w:val="left" w:pos="1445"/>
          <w:tab w:val="left" w:pos="7920"/>
        </w:tabs>
        <w:autoSpaceDE w:val="0"/>
        <w:autoSpaceDN w:val="0"/>
        <w:adjustRightInd w:val="0"/>
        <w:spacing w:line="360" w:lineRule="auto"/>
        <w:rPr>
          <w:sz w:val="26"/>
          <w:szCs w:val="26"/>
        </w:rPr>
      </w:pPr>
      <w:r>
        <w:rPr>
          <w:sz w:val="26"/>
          <w:szCs w:val="26"/>
        </w:rPr>
        <w:tab/>
      </w:r>
      <w:r w:rsidR="00B543A0">
        <w:rPr>
          <w:sz w:val="26"/>
          <w:szCs w:val="26"/>
        </w:rPr>
        <w:t xml:space="preserve">In Reply, </w:t>
      </w:r>
      <w:r w:rsidR="009515CA">
        <w:rPr>
          <w:sz w:val="26"/>
          <w:szCs w:val="26"/>
        </w:rPr>
        <w:t>Peoples</w:t>
      </w:r>
      <w:r w:rsidR="00B543A0">
        <w:rPr>
          <w:sz w:val="26"/>
          <w:szCs w:val="26"/>
        </w:rPr>
        <w:t xml:space="preserve"> point</w:t>
      </w:r>
      <w:r w:rsidR="006B3D6E">
        <w:rPr>
          <w:sz w:val="26"/>
          <w:szCs w:val="26"/>
        </w:rPr>
        <w:t>s</w:t>
      </w:r>
      <w:r w:rsidR="00B543A0">
        <w:rPr>
          <w:sz w:val="26"/>
          <w:szCs w:val="26"/>
        </w:rPr>
        <w:t xml:space="preserve"> out several flaws in PIOGA</w:t>
      </w:r>
      <w:r w:rsidR="00734951">
        <w:rPr>
          <w:sz w:val="26"/>
          <w:szCs w:val="26"/>
        </w:rPr>
        <w:t>’</w:t>
      </w:r>
      <w:r w:rsidR="00B543A0">
        <w:rPr>
          <w:sz w:val="26"/>
          <w:szCs w:val="26"/>
        </w:rPr>
        <w:t>s definitions including the limited knowledge of PIOGA</w:t>
      </w:r>
      <w:r w:rsidR="00734951">
        <w:rPr>
          <w:sz w:val="26"/>
          <w:szCs w:val="26"/>
        </w:rPr>
        <w:t>’</w:t>
      </w:r>
      <w:r w:rsidR="00B543A0">
        <w:rPr>
          <w:sz w:val="26"/>
          <w:szCs w:val="26"/>
        </w:rPr>
        <w:t xml:space="preserve">s witness, Mr. Hillebrand, when it comes to experience </w:t>
      </w:r>
      <w:r w:rsidR="00B543A0">
        <w:rPr>
          <w:sz w:val="26"/>
          <w:szCs w:val="26"/>
        </w:rPr>
        <w:lastRenderedPageBreak/>
        <w:t>with natural gas utilities</w:t>
      </w:r>
      <w:r w:rsidR="00E23729">
        <w:rPr>
          <w:sz w:val="26"/>
          <w:szCs w:val="26"/>
        </w:rPr>
        <w:t xml:space="preserve"> and pipeline classification</w:t>
      </w:r>
      <w:r w:rsidR="00B543A0">
        <w:rPr>
          <w:sz w:val="26"/>
          <w:szCs w:val="26"/>
        </w:rPr>
        <w:t>.</w:t>
      </w:r>
      <w:r w:rsidR="00FC1B56">
        <w:rPr>
          <w:rStyle w:val="FootnoteReference"/>
          <w:sz w:val="26"/>
          <w:szCs w:val="26"/>
        </w:rPr>
        <w:footnoteReference w:id="26"/>
      </w:r>
      <w:r w:rsidR="00B543A0">
        <w:rPr>
          <w:sz w:val="26"/>
          <w:szCs w:val="26"/>
        </w:rPr>
        <w:t xml:space="preserve">  </w:t>
      </w:r>
      <w:r w:rsidR="00373B5C">
        <w:rPr>
          <w:sz w:val="26"/>
          <w:szCs w:val="26"/>
        </w:rPr>
        <w:t>According to Peoples, Mr.</w:t>
      </w:r>
      <w:r w:rsidR="007F5786">
        <w:rPr>
          <w:sz w:val="26"/>
          <w:szCs w:val="26"/>
        </w:rPr>
        <w:t> </w:t>
      </w:r>
      <w:r w:rsidR="00373B5C">
        <w:rPr>
          <w:sz w:val="26"/>
          <w:szCs w:val="26"/>
        </w:rPr>
        <w:t>Hillebrand</w:t>
      </w:r>
      <w:r w:rsidR="00734951">
        <w:rPr>
          <w:sz w:val="26"/>
          <w:szCs w:val="26"/>
        </w:rPr>
        <w:t>’</w:t>
      </w:r>
      <w:r w:rsidR="00373B5C">
        <w:rPr>
          <w:sz w:val="26"/>
          <w:szCs w:val="26"/>
        </w:rPr>
        <w:t xml:space="preserve">s attempt to classify gathering pipelines </w:t>
      </w:r>
      <w:r w:rsidR="001628D0">
        <w:rPr>
          <w:sz w:val="26"/>
          <w:szCs w:val="26"/>
        </w:rPr>
        <w:t xml:space="preserve">based on whether </w:t>
      </w:r>
      <w:r w:rsidR="00734951">
        <w:rPr>
          <w:sz w:val="26"/>
          <w:szCs w:val="26"/>
        </w:rPr>
        <w:t>“</w:t>
      </w:r>
      <w:r w:rsidR="001628D0">
        <w:rPr>
          <w:sz w:val="26"/>
          <w:szCs w:val="26"/>
        </w:rPr>
        <w:t>PUC regulated customers</w:t>
      </w:r>
      <w:r w:rsidR="00734951">
        <w:rPr>
          <w:sz w:val="26"/>
          <w:szCs w:val="26"/>
        </w:rPr>
        <w:t>”</w:t>
      </w:r>
      <w:r w:rsidR="001628D0">
        <w:rPr>
          <w:sz w:val="26"/>
          <w:szCs w:val="26"/>
        </w:rPr>
        <w:t xml:space="preserve"> are connected to them is unsupported and not based on any actual experience.  PNG R. Exc. at 14-16 (citing PNG M.B. at 17).  </w:t>
      </w:r>
      <w:r w:rsidR="009515CA">
        <w:rPr>
          <w:sz w:val="26"/>
          <w:szCs w:val="26"/>
        </w:rPr>
        <w:t>Peoples</w:t>
      </w:r>
      <w:r w:rsidR="00B543A0">
        <w:rPr>
          <w:sz w:val="26"/>
          <w:szCs w:val="26"/>
        </w:rPr>
        <w:t xml:space="preserve"> argue</w:t>
      </w:r>
      <w:r w:rsidR="006F760F">
        <w:rPr>
          <w:sz w:val="26"/>
          <w:szCs w:val="26"/>
        </w:rPr>
        <w:t>s</w:t>
      </w:r>
      <w:r w:rsidR="00B543A0">
        <w:rPr>
          <w:sz w:val="26"/>
          <w:szCs w:val="26"/>
        </w:rPr>
        <w:t xml:space="preserve"> PIOGA</w:t>
      </w:r>
      <w:r w:rsidR="00734951">
        <w:rPr>
          <w:sz w:val="26"/>
          <w:szCs w:val="26"/>
        </w:rPr>
        <w:t>’</w:t>
      </w:r>
      <w:r w:rsidR="00B543A0">
        <w:rPr>
          <w:sz w:val="26"/>
          <w:szCs w:val="26"/>
        </w:rPr>
        <w:t xml:space="preserve">s definitions contradict the definitions set forth </w:t>
      </w:r>
      <w:r w:rsidR="009515CA">
        <w:rPr>
          <w:sz w:val="26"/>
          <w:szCs w:val="26"/>
        </w:rPr>
        <w:t>in PHMSA</w:t>
      </w:r>
      <w:r w:rsidR="00B543A0">
        <w:rPr>
          <w:sz w:val="26"/>
          <w:szCs w:val="26"/>
        </w:rPr>
        <w:t xml:space="preserve"> and the Commission</w:t>
      </w:r>
      <w:r w:rsidR="00734951">
        <w:rPr>
          <w:sz w:val="26"/>
          <w:szCs w:val="26"/>
        </w:rPr>
        <w:t>’</w:t>
      </w:r>
      <w:r w:rsidR="00B543A0">
        <w:rPr>
          <w:sz w:val="26"/>
          <w:szCs w:val="26"/>
        </w:rPr>
        <w:t xml:space="preserve">s Regulations.  For instance, according to </w:t>
      </w:r>
      <w:r w:rsidR="009515CA">
        <w:rPr>
          <w:sz w:val="26"/>
          <w:szCs w:val="26"/>
        </w:rPr>
        <w:t>Peoples</w:t>
      </w:r>
      <w:r w:rsidR="00B543A0">
        <w:rPr>
          <w:sz w:val="26"/>
          <w:szCs w:val="26"/>
        </w:rPr>
        <w:t>, both the Commission and PH</w:t>
      </w:r>
      <w:r w:rsidR="002B76AC">
        <w:rPr>
          <w:sz w:val="26"/>
          <w:szCs w:val="26"/>
        </w:rPr>
        <w:t>M</w:t>
      </w:r>
      <w:r w:rsidR="00B543A0">
        <w:rPr>
          <w:sz w:val="26"/>
          <w:szCs w:val="26"/>
        </w:rPr>
        <w:t xml:space="preserve">SA define </w:t>
      </w:r>
      <w:r w:rsidR="00734951">
        <w:rPr>
          <w:sz w:val="26"/>
          <w:szCs w:val="26"/>
        </w:rPr>
        <w:t>“</w:t>
      </w:r>
      <w:r w:rsidR="00B543A0">
        <w:rPr>
          <w:sz w:val="26"/>
          <w:szCs w:val="26"/>
        </w:rPr>
        <w:t>gathering line</w:t>
      </w:r>
      <w:r w:rsidR="00734951">
        <w:rPr>
          <w:sz w:val="26"/>
          <w:szCs w:val="26"/>
        </w:rPr>
        <w:t>”</w:t>
      </w:r>
      <w:r w:rsidR="00B543A0">
        <w:rPr>
          <w:sz w:val="26"/>
          <w:szCs w:val="26"/>
        </w:rPr>
        <w:t xml:space="preserve"> as a </w:t>
      </w:r>
      <w:r w:rsidR="00734951">
        <w:rPr>
          <w:sz w:val="26"/>
          <w:szCs w:val="26"/>
        </w:rPr>
        <w:t>“</w:t>
      </w:r>
      <w:r w:rsidR="00B543A0">
        <w:rPr>
          <w:sz w:val="26"/>
          <w:szCs w:val="26"/>
        </w:rPr>
        <w:t>pipeline that transports gas from a current production facility to a transmission line or main</w:t>
      </w:r>
      <w:r w:rsidR="00734951">
        <w:rPr>
          <w:sz w:val="26"/>
          <w:szCs w:val="26"/>
        </w:rPr>
        <w:t>”</w:t>
      </w:r>
      <w:r w:rsidR="00B543A0">
        <w:rPr>
          <w:sz w:val="26"/>
          <w:szCs w:val="26"/>
        </w:rPr>
        <w:t xml:space="preserve"> and </w:t>
      </w:r>
      <w:r w:rsidR="00734951">
        <w:rPr>
          <w:sz w:val="26"/>
          <w:szCs w:val="26"/>
        </w:rPr>
        <w:t>“</w:t>
      </w:r>
      <w:r w:rsidR="00B543A0">
        <w:rPr>
          <w:sz w:val="26"/>
          <w:szCs w:val="26"/>
        </w:rPr>
        <w:t>distribution line</w:t>
      </w:r>
      <w:r w:rsidR="00734951">
        <w:rPr>
          <w:sz w:val="26"/>
          <w:szCs w:val="26"/>
        </w:rPr>
        <w:t>”</w:t>
      </w:r>
      <w:r w:rsidR="00B543A0">
        <w:rPr>
          <w:sz w:val="26"/>
          <w:szCs w:val="26"/>
        </w:rPr>
        <w:t xml:space="preserve"> as a </w:t>
      </w:r>
      <w:r w:rsidR="00734951">
        <w:rPr>
          <w:sz w:val="26"/>
          <w:szCs w:val="26"/>
        </w:rPr>
        <w:t>“</w:t>
      </w:r>
      <w:r w:rsidR="00B543A0">
        <w:rPr>
          <w:sz w:val="26"/>
          <w:szCs w:val="26"/>
        </w:rPr>
        <w:t>pipeline other than a gathering or transmission line.</w:t>
      </w:r>
      <w:r w:rsidR="00734951">
        <w:rPr>
          <w:sz w:val="26"/>
          <w:szCs w:val="26"/>
        </w:rPr>
        <w:t>”</w:t>
      </w:r>
      <w:r w:rsidR="00B543A0">
        <w:rPr>
          <w:sz w:val="26"/>
          <w:szCs w:val="26"/>
        </w:rPr>
        <w:t xml:space="preserve">  </w:t>
      </w:r>
      <w:r w:rsidR="00B57577">
        <w:rPr>
          <w:sz w:val="26"/>
          <w:szCs w:val="26"/>
        </w:rPr>
        <w:t xml:space="preserve">PNG R. Exc. </w:t>
      </w:r>
      <w:r w:rsidR="00B543A0">
        <w:rPr>
          <w:sz w:val="26"/>
          <w:szCs w:val="26"/>
        </w:rPr>
        <w:t>at 16 (citing 52 Pa. Code § 59.1; 49 C.F.R. § 192.3).  Unlike PIOGA</w:t>
      </w:r>
      <w:r w:rsidR="00734951">
        <w:rPr>
          <w:sz w:val="26"/>
          <w:szCs w:val="26"/>
        </w:rPr>
        <w:t>’</w:t>
      </w:r>
      <w:r w:rsidR="00B543A0">
        <w:rPr>
          <w:sz w:val="26"/>
          <w:szCs w:val="26"/>
        </w:rPr>
        <w:t xml:space="preserve">s definitions, nothing in the </w:t>
      </w:r>
      <w:r w:rsidR="006B0264">
        <w:rPr>
          <w:sz w:val="26"/>
          <w:szCs w:val="26"/>
        </w:rPr>
        <w:t xml:space="preserve">Commission and PHMSA </w:t>
      </w:r>
      <w:r w:rsidR="00B543A0">
        <w:rPr>
          <w:sz w:val="26"/>
          <w:szCs w:val="26"/>
        </w:rPr>
        <w:t xml:space="preserve">definitions mention the type of customers, if any, that are connected to the pipeline, </w:t>
      </w:r>
      <w:r w:rsidR="009515CA">
        <w:rPr>
          <w:sz w:val="26"/>
          <w:szCs w:val="26"/>
        </w:rPr>
        <w:t>Peoples</w:t>
      </w:r>
      <w:r w:rsidR="00B543A0">
        <w:rPr>
          <w:sz w:val="26"/>
          <w:szCs w:val="26"/>
        </w:rPr>
        <w:t xml:space="preserve"> argue.  </w:t>
      </w:r>
      <w:r w:rsidR="009515CA">
        <w:rPr>
          <w:sz w:val="26"/>
          <w:szCs w:val="26"/>
        </w:rPr>
        <w:t>PNG</w:t>
      </w:r>
      <w:r w:rsidR="00B543A0">
        <w:rPr>
          <w:sz w:val="26"/>
          <w:szCs w:val="26"/>
        </w:rPr>
        <w:t xml:space="preserve"> R. Exc. at 16 (citing PNG M.B. at 18).  F</w:t>
      </w:r>
      <w:r w:rsidR="009515CA">
        <w:rPr>
          <w:sz w:val="26"/>
          <w:szCs w:val="26"/>
        </w:rPr>
        <w:t>ro</w:t>
      </w:r>
      <w:r w:rsidR="00B543A0">
        <w:rPr>
          <w:sz w:val="26"/>
          <w:szCs w:val="26"/>
        </w:rPr>
        <w:t xml:space="preserve">m </w:t>
      </w:r>
      <w:r w:rsidR="009515CA">
        <w:rPr>
          <w:sz w:val="26"/>
          <w:szCs w:val="26"/>
        </w:rPr>
        <w:t>Peoples</w:t>
      </w:r>
      <w:r w:rsidR="00734951">
        <w:rPr>
          <w:sz w:val="26"/>
          <w:szCs w:val="26"/>
        </w:rPr>
        <w:t>’</w:t>
      </w:r>
      <w:r w:rsidR="00B543A0">
        <w:rPr>
          <w:sz w:val="26"/>
          <w:szCs w:val="26"/>
        </w:rPr>
        <w:t xml:space="preserve"> perspective, PIOGA</w:t>
      </w:r>
      <w:r w:rsidR="00734951">
        <w:rPr>
          <w:sz w:val="26"/>
          <w:szCs w:val="26"/>
        </w:rPr>
        <w:t>’</w:t>
      </w:r>
      <w:r w:rsidR="00B543A0">
        <w:rPr>
          <w:sz w:val="26"/>
          <w:szCs w:val="26"/>
        </w:rPr>
        <w:t xml:space="preserve">s alternative definitions are only intended </w:t>
      </w:r>
      <w:r w:rsidR="00F40DF6">
        <w:rPr>
          <w:sz w:val="26"/>
          <w:szCs w:val="26"/>
        </w:rPr>
        <w:t>to</w:t>
      </w:r>
      <w:r w:rsidR="001628D0">
        <w:rPr>
          <w:sz w:val="26"/>
          <w:szCs w:val="26"/>
        </w:rPr>
        <w:t xml:space="preserve"> excuse </w:t>
      </w:r>
      <w:r w:rsidR="00B543A0">
        <w:rPr>
          <w:sz w:val="26"/>
          <w:szCs w:val="26"/>
        </w:rPr>
        <w:t xml:space="preserve">the producers </w:t>
      </w:r>
      <w:r w:rsidR="00F40DF6">
        <w:rPr>
          <w:sz w:val="26"/>
          <w:szCs w:val="26"/>
        </w:rPr>
        <w:t>from</w:t>
      </w:r>
      <w:r w:rsidR="00B543A0">
        <w:rPr>
          <w:sz w:val="26"/>
          <w:szCs w:val="26"/>
        </w:rPr>
        <w:t xml:space="preserve"> contribut</w:t>
      </w:r>
      <w:r w:rsidR="00F40DF6">
        <w:rPr>
          <w:sz w:val="26"/>
          <w:szCs w:val="26"/>
        </w:rPr>
        <w:t>ing</w:t>
      </w:r>
      <w:r w:rsidR="00B543A0">
        <w:rPr>
          <w:sz w:val="26"/>
          <w:szCs w:val="26"/>
        </w:rPr>
        <w:t xml:space="preserve"> </w:t>
      </w:r>
      <w:r w:rsidR="00B609C3">
        <w:rPr>
          <w:sz w:val="26"/>
          <w:szCs w:val="26"/>
        </w:rPr>
        <w:t xml:space="preserve">their fair share </w:t>
      </w:r>
      <w:r w:rsidR="00B543A0">
        <w:rPr>
          <w:sz w:val="26"/>
          <w:szCs w:val="26"/>
        </w:rPr>
        <w:t xml:space="preserve">by way of the retainage charge to the </w:t>
      </w:r>
      <w:r w:rsidR="001628D0">
        <w:rPr>
          <w:sz w:val="26"/>
          <w:szCs w:val="26"/>
        </w:rPr>
        <w:t>Compan</w:t>
      </w:r>
      <w:r w:rsidR="00B609C3">
        <w:rPr>
          <w:sz w:val="26"/>
          <w:szCs w:val="26"/>
        </w:rPr>
        <w:t>y</w:t>
      </w:r>
      <w:r w:rsidR="00734951">
        <w:rPr>
          <w:sz w:val="26"/>
          <w:szCs w:val="26"/>
        </w:rPr>
        <w:t>’</w:t>
      </w:r>
      <w:r w:rsidR="00B609C3">
        <w:rPr>
          <w:sz w:val="26"/>
          <w:szCs w:val="26"/>
        </w:rPr>
        <w:t>s</w:t>
      </w:r>
      <w:r w:rsidR="001628D0">
        <w:rPr>
          <w:sz w:val="26"/>
          <w:szCs w:val="26"/>
        </w:rPr>
        <w:t xml:space="preserve"> </w:t>
      </w:r>
      <w:r w:rsidR="00B543A0">
        <w:rPr>
          <w:sz w:val="26"/>
          <w:szCs w:val="26"/>
        </w:rPr>
        <w:t xml:space="preserve">gathering system UFG.  </w:t>
      </w:r>
      <w:r w:rsidR="009515CA">
        <w:rPr>
          <w:sz w:val="26"/>
          <w:szCs w:val="26"/>
        </w:rPr>
        <w:t>PNG</w:t>
      </w:r>
      <w:r w:rsidR="00B543A0">
        <w:rPr>
          <w:sz w:val="26"/>
          <w:szCs w:val="26"/>
        </w:rPr>
        <w:t xml:space="preserve"> R. Exc. at</w:t>
      </w:r>
      <w:r w:rsidR="007F5786">
        <w:rPr>
          <w:sz w:val="26"/>
          <w:szCs w:val="26"/>
        </w:rPr>
        <w:t> </w:t>
      </w:r>
      <w:r w:rsidR="00B543A0">
        <w:rPr>
          <w:sz w:val="26"/>
          <w:szCs w:val="26"/>
        </w:rPr>
        <w:t>19.</w:t>
      </w:r>
    </w:p>
    <w:p w14:paraId="6F05CC80" w14:textId="77777777" w:rsidR="004E7DA1" w:rsidRDefault="004E7DA1" w:rsidP="007374FA">
      <w:pPr>
        <w:widowControl/>
        <w:tabs>
          <w:tab w:val="left" w:pos="1445"/>
          <w:tab w:val="left" w:pos="7920"/>
        </w:tabs>
        <w:autoSpaceDE w:val="0"/>
        <w:autoSpaceDN w:val="0"/>
        <w:adjustRightInd w:val="0"/>
        <w:spacing w:line="360" w:lineRule="auto"/>
        <w:rPr>
          <w:sz w:val="26"/>
          <w:szCs w:val="26"/>
        </w:rPr>
      </w:pPr>
    </w:p>
    <w:p w14:paraId="4C833F03" w14:textId="225069E0" w:rsidR="00B543A0" w:rsidRDefault="004E7DA1" w:rsidP="007374FA">
      <w:pPr>
        <w:widowControl/>
        <w:tabs>
          <w:tab w:val="left" w:pos="1445"/>
          <w:tab w:val="left" w:pos="7920"/>
        </w:tabs>
        <w:autoSpaceDE w:val="0"/>
        <w:autoSpaceDN w:val="0"/>
        <w:adjustRightInd w:val="0"/>
        <w:spacing w:line="360" w:lineRule="auto"/>
        <w:rPr>
          <w:sz w:val="26"/>
          <w:szCs w:val="26"/>
        </w:rPr>
      </w:pPr>
      <w:r>
        <w:rPr>
          <w:sz w:val="26"/>
          <w:szCs w:val="26"/>
        </w:rPr>
        <w:tab/>
      </w:r>
      <w:r w:rsidR="00D84F14">
        <w:rPr>
          <w:sz w:val="26"/>
          <w:szCs w:val="26"/>
        </w:rPr>
        <w:t>Peoples</w:t>
      </w:r>
      <w:r w:rsidR="00B543A0">
        <w:rPr>
          <w:sz w:val="26"/>
          <w:szCs w:val="26"/>
        </w:rPr>
        <w:t xml:space="preserve"> also argue</w:t>
      </w:r>
      <w:r w:rsidR="002A60A4">
        <w:rPr>
          <w:sz w:val="26"/>
          <w:szCs w:val="26"/>
        </w:rPr>
        <w:t>s</w:t>
      </w:r>
      <w:r w:rsidR="00B543A0">
        <w:rPr>
          <w:sz w:val="26"/>
          <w:szCs w:val="26"/>
        </w:rPr>
        <w:t xml:space="preserve"> PIOGA</w:t>
      </w:r>
      <w:r w:rsidR="00734951">
        <w:rPr>
          <w:sz w:val="26"/>
          <w:szCs w:val="26"/>
        </w:rPr>
        <w:t>’</w:t>
      </w:r>
      <w:r w:rsidR="00B543A0">
        <w:rPr>
          <w:sz w:val="26"/>
          <w:szCs w:val="26"/>
        </w:rPr>
        <w:t>s definitions contravene FERC</w:t>
      </w:r>
      <w:r w:rsidR="00734951">
        <w:rPr>
          <w:sz w:val="26"/>
          <w:szCs w:val="26"/>
        </w:rPr>
        <w:t>’</w:t>
      </w:r>
      <w:r w:rsidR="00B543A0">
        <w:rPr>
          <w:sz w:val="26"/>
          <w:szCs w:val="26"/>
        </w:rPr>
        <w:t xml:space="preserve">s </w:t>
      </w:r>
      <w:r w:rsidR="00734951">
        <w:rPr>
          <w:sz w:val="26"/>
          <w:szCs w:val="26"/>
        </w:rPr>
        <w:t>“</w:t>
      </w:r>
      <w:r w:rsidR="00B543A0">
        <w:rPr>
          <w:sz w:val="26"/>
          <w:szCs w:val="26"/>
        </w:rPr>
        <w:t>modified primary function test</w:t>
      </w:r>
      <w:r w:rsidR="00734951">
        <w:rPr>
          <w:sz w:val="26"/>
          <w:szCs w:val="26"/>
        </w:rPr>
        <w:t>”</w:t>
      </w:r>
      <w:r w:rsidR="00B543A0">
        <w:rPr>
          <w:sz w:val="26"/>
          <w:szCs w:val="26"/>
        </w:rPr>
        <w:t xml:space="preserve"> which FERC uses to determine if facilities are non-jurisdictional gathering facilities.  </w:t>
      </w:r>
      <w:r w:rsidR="00D84F14">
        <w:rPr>
          <w:sz w:val="26"/>
          <w:szCs w:val="26"/>
        </w:rPr>
        <w:t>PNG</w:t>
      </w:r>
      <w:r w:rsidR="00B543A0">
        <w:rPr>
          <w:sz w:val="26"/>
          <w:szCs w:val="26"/>
        </w:rPr>
        <w:t xml:space="preserve"> R. Exc. at 16 (citing PNG M.B. at 18-19).  </w:t>
      </w:r>
      <w:r w:rsidR="00D84F14">
        <w:rPr>
          <w:sz w:val="26"/>
          <w:szCs w:val="26"/>
        </w:rPr>
        <w:t>Peoples</w:t>
      </w:r>
      <w:r w:rsidR="00B543A0">
        <w:rPr>
          <w:sz w:val="26"/>
          <w:szCs w:val="26"/>
        </w:rPr>
        <w:t xml:space="preserve"> further argue</w:t>
      </w:r>
      <w:r w:rsidR="00460DCD">
        <w:rPr>
          <w:sz w:val="26"/>
          <w:szCs w:val="26"/>
        </w:rPr>
        <w:t>s</w:t>
      </w:r>
      <w:r w:rsidR="00B543A0">
        <w:rPr>
          <w:sz w:val="26"/>
          <w:szCs w:val="26"/>
        </w:rPr>
        <w:t xml:space="preserve"> PIOGA</w:t>
      </w:r>
      <w:r w:rsidR="00734951">
        <w:rPr>
          <w:sz w:val="26"/>
          <w:szCs w:val="26"/>
        </w:rPr>
        <w:t>’</w:t>
      </w:r>
      <w:r w:rsidR="00B543A0">
        <w:rPr>
          <w:sz w:val="26"/>
          <w:szCs w:val="26"/>
        </w:rPr>
        <w:t>s definitions, among other things, are contrary to FERC precedent and would lead to irrational outcomes.  Finally, disputing PIOGA</w:t>
      </w:r>
      <w:r w:rsidR="00734951">
        <w:rPr>
          <w:sz w:val="26"/>
          <w:szCs w:val="26"/>
        </w:rPr>
        <w:t>’</w:t>
      </w:r>
      <w:r w:rsidR="00B543A0">
        <w:rPr>
          <w:sz w:val="26"/>
          <w:szCs w:val="26"/>
        </w:rPr>
        <w:t xml:space="preserve">s argument regarding </w:t>
      </w:r>
      <w:r w:rsidR="00D84F14">
        <w:rPr>
          <w:sz w:val="26"/>
          <w:szCs w:val="26"/>
        </w:rPr>
        <w:t>Peoples</w:t>
      </w:r>
      <w:r w:rsidR="00734951">
        <w:rPr>
          <w:sz w:val="26"/>
          <w:szCs w:val="26"/>
        </w:rPr>
        <w:t>’</w:t>
      </w:r>
      <w:r w:rsidR="00B543A0">
        <w:rPr>
          <w:sz w:val="26"/>
          <w:szCs w:val="26"/>
        </w:rPr>
        <w:t xml:space="preserve"> 2016 and 2017 UFG reports, the Compan</w:t>
      </w:r>
      <w:r w:rsidR="00AC5AF8">
        <w:rPr>
          <w:sz w:val="26"/>
          <w:szCs w:val="26"/>
        </w:rPr>
        <w:t>y</w:t>
      </w:r>
      <w:r w:rsidR="00B543A0">
        <w:rPr>
          <w:sz w:val="26"/>
          <w:szCs w:val="26"/>
        </w:rPr>
        <w:t xml:space="preserve"> contend</w:t>
      </w:r>
      <w:r w:rsidR="00AC5AF8">
        <w:rPr>
          <w:sz w:val="26"/>
          <w:szCs w:val="26"/>
        </w:rPr>
        <w:t>s</w:t>
      </w:r>
      <w:r w:rsidR="00B543A0">
        <w:rPr>
          <w:sz w:val="26"/>
          <w:szCs w:val="26"/>
        </w:rPr>
        <w:t xml:space="preserve"> nothing in the UFG reports changes the fact that pipelines should be classified based on the definitions and methods </w:t>
      </w:r>
      <w:r w:rsidR="00B543A0">
        <w:rPr>
          <w:sz w:val="26"/>
          <w:szCs w:val="26"/>
        </w:rPr>
        <w:lastRenderedPageBreak/>
        <w:t xml:space="preserve">employed by the Commission, PHMSA, and FERC.  Therefore, </w:t>
      </w:r>
      <w:r w:rsidR="00D84F14">
        <w:rPr>
          <w:sz w:val="26"/>
          <w:szCs w:val="26"/>
        </w:rPr>
        <w:t>Peoples</w:t>
      </w:r>
      <w:r w:rsidR="00B543A0">
        <w:rPr>
          <w:sz w:val="26"/>
          <w:szCs w:val="26"/>
        </w:rPr>
        <w:t xml:space="preserve"> request</w:t>
      </w:r>
      <w:r w:rsidR="006B0264">
        <w:rPr>
          <w:sz w:val="26"/>
          <w:szCs w:val="26"/>
        </w:rPr>
        <w:t>s</w:t>
      </w:r>
      <w:r w:rsidR="00B543A0">
        <w:rPr>
          <w:sz w:val="26"/>
          <w:szCs w:val="26"/>
        </w:rPr>
        <w:t xml:space="preserve"> that the Commission reject PIOGA</w:t>
      </w:r>
      <w:r w:rsidR="00734951">
        <w:rPr>
          <w:sz w:val="26"/>
          <w:szCs w:val="26"/>
        </w:rPr>
        <w:t>’</w:t>
      </w:r>
      <w:r w:rsidR="00B543A0">
        <w:rPr>
          <w:sz w:val="26"/>
          <w:szCs w:val="26"/>
        </w:rPr>
        <w:t xml:space="preserve">s alternative definitions.  </w:t>
      </w:r>
      <w:r w:rsidR="002B76AC">
        <w:rPr>
          <w:sz w:val="26"/>
          <w:szCs w:val="26"/>
        </w:rPr>
        <w:t xml:space="preserve">PNG </w:t>
      </w:r>
      <w:r w:rsidR="00B543A0">
        <w:rPr>
          <w:sz w:val="26"/>
          <w:szCs w:val="26"/>
        </w:rPr>
        <w:t>R. Exc. at 17-19.</w:t>
      </w:r>
    </w:p>
    <w:p w14:paraId="6215414F" w14:textId="77777777" w:rsidR="00D84F14" w:rsidRDefault="00D84F14" w:rsidP="007374FA">
      <w:pPr>
        <w:widowControl/>
        <w:tabs>
          <w:tab w:val="left" w:pos="1445"/>
          <w:tab w:val="left" w:pos="7920"/>
        </w:tabs>
        <w:autoSpaceDE w:val="0"/>
        <w:autoSpaceDN w:val="0"/>
        <w:adjustRightInd w:val="0"/>
        <w:spacing w:line="360" w:lineRule="auto"/>
        <w:rPr>
          <w:sz w:val="26"/>
          <w:szCs w:val="26"/>
        </w:rPr>
      </w:pPr>
    </w:p>
    <w:p w14:paraId="64777121" w14:textId="4F7BA8F6" w:rsidR="00B543A0" w:rsidRDefault="00B543A0" w:rsidP="007374FA">
      <w:pPr>
        <w:widowControl/>
        <w:tabs>
          <w:tab w:val="left" w:pos="1445"/>
          <w:tab w:val="left" w:pos="7920"/>
        </w:tabs>
        <w:autoSpaceDE w:val="0"/>
        <w:autoSpaceDN w:val="0"/>
        <w:adjustRightInd w:val="0"/>
        <w:spacing w:line="360" w:lineRule="auto"/>
        <w:rPr>
          <w:sz w:val="26"/>
          <w:szCs w:val="26"/>
        </w:rPr>
      </w:pPr>
      <w:r>
        <w:rPr>
          <w:sz w:val="26"/>
          <w:szCs w:val="26"/>
        </w:rPr>
        <w:tab/>
      </w:r>
      <w:r w:rsidR="009D31CB">
        <w:rPr>
          <w:sz w:val="26"/>
          <w:szCs w:val="26"/>
        </w:rPr>
        <w:t>T</w:t>
      </w:r>
      <w:r w:rsidR="00350B6D">
        <w:rPr>
          <w:sz w:val="26"/>
          <w:szCs w:val="26"/>
        </w:rPr>
        <w:t xml:space="preserve">he </w:t>
      </w:r>
      <w:r>
        <w:rPr>
          <w:sz w:val="26"/>
          <w:szCs w:val="26"/>
        </w:rPr>
        <w:t xml:space="preserve">OSBA argues </w:t>
      </w:r>
      <w:r w:rsidR="00350B6D">
        <w:rPr>
          <w:sz w:val="26"/>
          <w:szCs w:val="26"/>
        </w:rPr>
        <w:t xml:space="preserve">that </w:t>
      </w:r>
      <w:r>
        <w:rPr>
          <w:sz w:val="26"/>
          <w:szCs w:val="26"/>
        </w:rPr>
        <w:t>even if PIOGA</w:t>
      </w:r>
      <w:r w:rsidR="00734951">
        <w:rPr>
          <w:sz w:val="26"/>
          <w:szCs w:val="26"/>
        </w:rPr>
        <w:t>’</w:t>
      </w:r>
      <w:r>
        <w:rPr>
          <w:sz w:val="26"/>
          <w:szCs w:val="26"/>
        </w:rPr>
        <w:t>s alternative definitions were to be adopted, it still does not change the fact that conventional gas producers need to pay their fair share of the UFG costs through the retainage charge because they use and benefit from their connection to the Compan</w:t>
      </w:r>
      <w:r w:rsidR="004E6B31">
        <w:rPr>
          <w:sz w:val="26"/>
          <w:szCs w:val="26"/>
        </w:rPr>
        <w:t>y</w:t>
      </w:r>
      <w:r w:rsidR="00734951">
        <w:rPr>
          <w:sz w:val="26"/>
          <w:szCs w:val="26"/>
        </w:rPr>
        <w:t>’</w:t>
      </w:r>
      <w:r w:rsidR="004E6B31">
        <w:rPr>
          <w:sz w:val="26"/>
          <w:szCs w:val="26"/>
        </w:rPr>
        <w:t>s</w:t>
      </w:r>
      <w:r>
        <w:rPr>
          <w:sz w:val="26"/>
          <w:szCs w:val="26"/>
        </w:rPr>
        <w:t xml:space="preserve"> gathering system.  OSBA R. Exc. at 5. </w:t>
      </w:r>
    </w:p>
    <w:p w14:paraId="553BDB60" w14:textId="6D350E30" w:rsidR="00350B6D" w:rsidRDefault="00350B6D" w:rsidP="007374FA">
      <w:pPr>
        <w:widowControl/>
        <w:tabs>
          <w:tab w:val="left" w:pos="1445"/>
          <w:tab w:val="left" w:pos="7920"/>
        </w:tabs>
        <w:autoSpaceDE w:val="0"/>
        <w:autoSpaceDN w:val="0"/>
        <w:adjustRightInd w:val="0"/>
        <w:spacing w:line="360" w:lineRule="auto"/>
        <w:rPr>
          <w:sz w:val="26"/>
          <w:szCs w:val="26"/>
        </w:rPr>
      </w:pPr>
    </w:p>
    <w:p w14:paraId="276E4ADD" w14:textId="6F6396C8" w:rsidR="000C67AC" w:rsidRPr="000C67AC" w:rsidRDefault="000C67AC" w:rsidP="00A666DC">
      <w:pPr>
        <w:keepNext/>
        <w:keepLines/>
        <w:widowControl/>
        <w:tabs>
          <w:tab w:val="left" w:pos="1445"/>
          <w:tab w:val="left" w:pos="7920"/>
        </w:tabs>
        <w:autoSpaceDE w:val="0"/>
        <w:autoSpaceDN w:val="0"/>
        <w:adjustRightInd w:val="0"/>
        <w:spacing w:line="360" w:lineRule="auto"/>
        <w:rPr>
          <w:b/>
          <w:sz w:val="26"/>
          <w:szCs w:val="26"/>
        </w:rPr>
      </w:pPr>
      <w:r>
        <w:rPr>
          <w:sz w:val="26"/>
          <w:szCs w:val="26"/>
        </w:rPr>
        <w:tab/>
      </w:r>
      <w:r w:rsidRPr="000C67AC">
        <w:rPr>
          <w:b/>
          <w:sz w:val="26"/>
          <w:szCs w:val="26"/>
        </w:rPr>
        <w:t>a.   Disposition</w:t>
      </w:r>
    </w:p>
    <w:p w14:paraId="638469AD" w14:textId="77777777" w:rsidR="000C67AC" w:rsidRDefault="000C67AC" w:rsidP="00A666DC">
      <w:pPr>
        <w:keepNext/>
        <w:keepLines/>
        <w:widowControl/>
        <w:tabs>
          <w:tab w:val="left" w:pos="1445"/>
          <w:tab w:val="left" w:pos="7920"/>
        </w:tabs>
        <w:autoSpaceDE w:val="0"/>
        <w:autoSpaceDN w:val="0"/>
        <w:adjustRightInd w:val="0"/>
        <w:spacing w:line="360" w:lineRule="auto"/>
        <w:rPr>
          <w:sz w:val="26"/>
          <w:szCs w:val="26"/>
        </w:rPr>
      </w:pPr>
    </w:p>
    <w:p w14:paraId="0536EA7F" w14:textId="77777777" w:rsidR="0004768B" w:rsidRDefault="00350B6D" w:rsidP="007374FA">
      <w:pPr>
        <w:widowControl/>
        <w:tabs>
          <w:tab w:val="left" w:pos="1445"/>
          <w:tab w:val="left" w:pos="7920"/>
        </w:tabs>
        <w:autoSpaceDE w:val="0"/>
        <w:autoSpaceDN w:val="0"/>
        <w:adjustRightInd w:val="0"/>
        <w:spacing w:line="360" w:lineRule="auto"/>
        <w:rPr>
          <w:sz w:val="26"/>
          <w:szCs w:val="26"/>
        </w:rPr>
      </w:pPr>
      <w:r>
        <w:rPr>
          <w:sz w:val="26"/>
          <w:szCs w:val="26"/>
        </w:rPr>
        <w:tab/>
      </w:r>
      <w:bookmarkStart w:id="44" w:name="_Hlk523903658"/>
      <w:r>
        <w:rPr>
          <w:sz w:val="26"/>
          <w:szCs w:val="26"/>
        </w:rPr>
        <w:t>Upon our review, we shall deny PIOGA</w:t>
      </w:r>
      <w:r w:rsidR="00734951">
        <w:rPr>
          <w:sz w:val="26"/>
          <w:szCs w:val="26"/>
        </w:rPr>
        <w:t>’</w:t>
      </w:r>
      <w:r>
        <w:rPr>
          <w:sz w:val="26"/>
          <w:szCs w:val="26"/>
        </w:rPr>
        <w:t xml:space="preserve">s Exception No. 4.  </w:t>
      </w:r>
      <w:r w:rsidR="000C67AC" w:rsidRPr="000C67AC">
        <w:rPr>
          <w:sz w:val="26"/>
          <w:szCs w:val="26"/>
        </w:rPr>
        <w:t xml:space="preserve">As discussed in more detail below, we believe the ALJ correctly rejected PIOGA’s witness’ definition of gathering and distribution pipelines.  We also </w:t>
      </w:r>
      <w:r w:rsidR="000C67AC">
        <w:rPr>
          <w:sz w:val="26"/>
          <w:szCs w:val="26"/>
        </w:rPr>
        <w:t>n</w:t>
      </w:r>
      <w:r w:rsidR="00415346">
        <w:rPr>
          <w:sz w:val="26"/>
          <w:szCs w:val="26"/>
        </w:rPr>
        <w:t xml:space="preserve">ote that </w:t>
      </w:r>
      <w:r w:rsidR="00DC597C">
        <w:rPr>
          <w:sz w:val="26"/>
          <w:szCs w:val="26"/>
        </w:rPr>
        <w:t>unlike</w:t>
      </w:r>
      <w:r w:rsidR="00415346">
        <w:rPr>
          <w:sz w:val="26"/>
          <w:szCs w:val="26"/>
        </w:rPr>
        <w:t xml:space="preserve"> the alternative definitions </w:t>
      </w:r>
      <w:r w:rsidR="00DC597C">
        <w:rPr>
          <w:sz w:val="26"/>
          <w:szCs w:val="26"/>
        </w:rPr>
        <w:t>presented</w:t>
      </w:r>
      <w:r w:rsidR="00415346">
        <w:rPr>
          <w:sz w:val="26"/>
          <w:szCs w:val="26"/>
        </w:rPr>
        <w:t xml:space="preserve"> by PIOGA</w:t>
      </w:r>
      <w:r w:rsidR="00DC597C">
        <w:rPr>
          <w:sz w:val="26"/>
          <w:szCs w:val="26"/>
        </w:rPr>
        <w:t xml:space="preserve">, </w:t>
      </w:r>
      <w:r w:rsidR="00415346">
        <w:rPr>
          <w:sz w:val="26"/>
          <w:szCs w:val="26"/>
        </w:rPr>
        <w:t>Peoples</w:t>
      </w:r>
      <w:r w:rsidR="00734951">
        <w:rPr>
          <w:sz w:val="26"/>
          <w:szCs w:val="26"/>
        </w:rPr>
        <w:t>’</w:t>
      </w:r>
      <w:r w:rsidR="00DC597C">
        <w:rPr>
          <w:sz w:val="26"/>
          <w:szCs w:val="26"/>
        </w:rPr>
        <w:t xml:space="preserve"> </w:t>
      </w:r>
      <w:r w:rsidR="00415346">
        <w:rPr>
          <w:sz w:val="26"/>
          <w:szCs w:val="26"/>
        </w:rPr>
        <w:t>utilized the definitions set forth in PHMSA and the Commission</w:t>
      </w:r>
      <w:r w:rsidR="00734951">
        <w:rPr>
          <w:sz w:val="26"/>
          <w:szCs w:val="26"/>
        </w:rPr>
        <w:t>’</w:t>
      </w:r>
      <w:r w:rsidR="00415346">
        <w:rPr>
          <w:sz w:val="26"/>
          <w:szCs w:val="26"/>
        </w:rPr>
        <w:t xml:space="preserve">s Regulations.  </w:t>
      </w:r>
      <w:r w:rsidR="000C67AC">
        <w:rPr>
          <w:sz w:val="26"/>
          <w:szCs w:val="26"/>
        </w:rPr>
        <w:t xml:space="preserve">Instead of using </w:t>
      </w:r>
      <w:r w:rsidR="00415346">
        <w:rPr>
          <w:sz w:val="26"/>
          <w:szCs w:val="26"/>
        </w:rPr>
        <w:t>PIOGA</w:t>
      </w:r>
      <w:r w:rsidR="00734951">
        <w:rPr>
          <w:sz w:val="26"/>
          <w:szCs w:val="26"/>
        </w:rPr>
        <w:t>’</w:t>
      </w:r>
      <w:r w:rsidR="00415346">
        <w:rPr>
          <w:sz w:val="26"/>
          <w:szCs w:val="26"/>
        </w:rPr>
        <w:t>s definitions, Peoples</w:t>
      </w:r>
      <w:r w:rsidR="00734951">
        <w:rPr>
          <w:sz w:val="26"/>
          <w:szCs w:val="26"/>
        </w:rPr>
        <w:t>’</w:t>
      </w:r>
      <w:r w:rsidR="00415346">
        <w:rPr>
          <w:sz w:val="26"/>
          <w:szCs w:val="26"/>
        </w:rPr>
        <w:t xml:space="preserve"> compl</w:t>
      </w:r>
      <w:r w:rsidR="003379A9">
        <w:rPr>
          <w:sz w:val="26"/>
          <w:szCs w:val="26"/>
        </w:rPr>
        <w:t>ied</w:t>
      </w:r>
      <w:r w:rsidR="00415346">
        <w:rPr>
          <w:sz w:val="26"/>
          <w:szCs w:val="26"/>
        </w:rPr>
        <w:t xml:space="preserve"> with FERC</w:t>
      </w:r>
      <w:r w:rsidR="00734951">
        <w:rPr>
          <w:sz w:val="26"/>
          <w:szCs w:val="26"/>
        </w:rPr>
        <w:t>’</w:t>
      </w:r>
      <w:r w:rsidR="00415346">
        <w:rPr>
          <w:sz w:val="26"/>
          <w:szCs w:val="26"/>
        </w:rPr>
        <w:t xml:space="preserve">s </w:t>
      </w:r>
      <w:r w:rsidR="00734951">
        <w:rPr>
          <w:sz w:val="26"/>
          <w:szCs w:val="26"/>
        </w:rPr>
        <w:t>“</w:t>
      </w:r>
      <w:r w:rsidR="00415346">
        <w:rPr>
          <w:sz w:val="26"/>
          <w:szCs w:val="26"/>
        </w:rPr>
        <w:t xml:space="preserve">modified primary function </w:t>
      </w:r>
      <w:r w:rsidR="00E26BDC">
        <w:rPr>
          <w:sz w:val="26"/>
          <w:szCs w:val="26"/>
        </w:rPr>
        <w:t>test</w:t>
      </w:r>
      <w:r w:rsidR="00734951">
        <w:rPr>
          <w:sz w:val="26"/>
          <w:szCs w:val="26"/>
        </w:rPr>
        <w:t>”</w:t>
      </w:r>
      <w:r w:rsidR="00E26BDC">
        <w:rPr>
          <w:sz w:val="26"/>
          <w:szCs w:val="26"/>
        </w:rPr>
        <w:t xml:space="preserve"> </w:t>
      </w:r>
      <w:r w:rsidR="003379A9">
        <w:rPr>
          <w:sz w:val="26"/>
          <w:szCs w:val="26"/>
        </w:rPr>
        <w:t>in the classification of</w:t>
      </w:r>
      <w:r w:rsidR="00415346">
        <w:rPr>
          <w:sz w:val="26"/>
          <w:szCs w:val="26"/>
        </w:rPr>
        <w:t xml:space="preserve"> its pipelines for safety and operational purposes.  Tr. at 55; PNG M.B. at</w:t>
      </w:r>
      <w:r w:rsidR="005865B6">
        <w:rPr>
          <w:sz w:val="26"/>
          <w:szCs w:val="26"/>
        </w:rPr>
        <w:t xml:space="preserve"> 18</w:t>
      </w:r>
      <w:r w:rsidR="00415346">
        <w:rPr>
          <w:sz w:val="26"/>
          <w:szCs w:val="26"/>
        </w:rPr>
        <w:t>; PNG R.B.</w:t>
      </w:r>
      <w:r w:rsidR="0004768B">
        <w:rPr>
          <w:sz w:val="26"/>
          <w:szCs w:val="26"/>
        </w:rPr>
        <w:t> </w:t>
      </w:r>
      <w:r w:rsidR="00415346">
        <w:rPr>
          <w:sz w:val="26"/>
          <w:szCs w:val="26"/>
        </w:rPr>
        <w:t>at</w:t>
      </w:r>
      <w:r w:rsidR="0004768B">
        <w:rPr>
          <w:sz w:val="26"/>
          <w:szCs w:val="26"/>
        </w:rPr>
        <w:t> </w:t>
      </w:r>
      <w:r w:rsidR="00415346">
        <w:rPr>
          <w:sz w:val="26"/>
          <w:szCs w:val="26"/>
        </w:rPr>
        <w:t>11.</w:t>
      </w:r>
      <w:r w:rsidR="00E26BDC">
        <w:rPr>
          <w:sz w:val="26"/>
          <w:szCs w:val="26"/>
        </w:rPr>
        <w:t xml:space="preserve">  </w:t>
      </w:r>
    </w:p>
    <w:p w14:paraId="62B7B3F1" w14:textId="77777777" w:rsidR="0004768B" w:rsidRDefault="0004768B" w:rsidP="007374FA">
      <w:pPr>
        <w:widowControl/>
        <w:tabs>
          <w:tab w:val="left" w:pos="1445"/>
          <w:tab w:val="left" w:pos="7920"/>
        </w:tabs>
        <w:autoSpaceDE w:val="0"/>
        <w:autoSpaceDN w:val="0"/>
        <w:adjustRightInd w:val="0"/>
        <w:spacing w:line="360" w:lineRule="auto"/>
        <w:rPr>
          <w:sz w:val="26"/>
          <w:szCs w:val="26"/>
        </w:rPr>
      </w:pPr>
    </w:p>
    <w:p w14:paraId="745BCA4A" w14:textId="4D0C3C91" w:rsidR="00352831" w:rsidRDefault="0004768B" w:rsidP="007374FA">
      <w:pPr>
        <w:widowControl/>
        <w:tabs>
          <w:tab w:val="left" w:pos="1445"/>
          <w:tab w:val="left" w:pos="7920"/>
        </w:tabs>
        <w:autoSpaceDE w:val="0"/>
        <w:autoSpaceDN w:val="0"/>
        <w:adjustRightInd w:val="0"/>
        <w:spacing w:line="360" w:lineRule="auto"/>
        <w:rPr>
          <w:sz w:val="26"/>
          <w:szCs w:val="26"/>
        </w:rPr>
      </w:pPr>
      <w:r>
        <w:rPr>
          <w:sz w:val="26"/>
          <w:szCs w:val="26"/>
        </w:rPr>
        <w:tab/>
        <w:t xml:space="preserve">As noted </w:t>
      </w:r>
      <w:r w:rsidRPr="0004768B">
        <w:rPr>
          <w:sz w:val="26"/>
          <w:szCs w:val="26"/>
        </w:rPr>
        <w:t>PIOGA excepts to the ALJ’s rejection of its witness Mr.</w:t>
      </w:r>
      <w:r>
        <w:rPr>
          <w:sz w:val="26"/>
          <w:szCs w:val="26"/>
        </w:rPr>
        <w:t> </w:t>
      </w:r>
      <w:r w:rsidRPr="0004768B">
        <w:rPr>
          <w:sz w:val="26"/>
          <w:szCs w:val="26"/>
        </w:rPr>
        <w:t xml:space="preserve">Hillebrand’s definitions because it believes that they are more appropriate than those used by the Commission, PHMSA, and FERC because of its witness’ experience as an engineer in the oil and gas industry.  However, </w:t>
      </w:r>
      <w:r w:rsidR="00415346">
        <w:rPr>
          <w:sz w:val="26"/>
          <w:szCs w:val="26"/>
        </w:rPr>
        <w:t xml:space="preserve">Mr. Hillebrand testified during the hearing that he could not identify the source of his definitions but </w:t>
      </w:r>
      <w:r w:rsidR="00027140">
        <w:rPr>
          <w:sz w:val="26"/>
          <w:szCs w:val="26"/>
        </w:rPr>
        <w:t xml:space="preserve">that he </w:t>
      </w:r>
      <w:r w:rsidR="00415346">
        <w:rPr>
          <w:sz w:val="26"/>
          <w:szCs w:val="26"/>
        </w:rPr>
        <w:t xml:space="preserve">had developed the definitions </w:t>
      </w:r>
      <w:r w:rsidR="002F5F3C">
        <w:rPr>
          <w:sz w:val="26"/>
          <w:szCs w:val="26"/>
        </w:rPr>
        <w:t>based on</w:t>
      </w:r>
      <w:r w:rsidR="00415346">
        <w:rPr>
          <w:sz w:val="26"/>
          <w:szCs w:val="26"/>
        </w:rPr>
        <w:t xml:space="preserve"> his extensive and long-standing experience in the industry.  Mr. Hillebrand also testified he is not aware of the </w:t>
      </w:r>
      <w:r w:rsidR="00A40938">
        <w:rPr>
          <w:sz w:val="26"/>
          <w:szCs w:val="26"/>
        </w:rPr>
        <w:t>Uniform System of Accounts for gas utilities or FERC</w:t>
      </w:r>
      <w:r w:rsidR="00734951">
        <w:rPr>
          <w:sz w:val="26"/>
          <w:szCs w:val="26"/>
        </w:rPr>
        <w:t>’</w:t>
      </w:r>
      <w:r w:rsidR="00A40938">
        <w:rPr>
          <w:sz w:val="26"/>
          <w:szCs w:val="26"/>
        </w:rPr>
        <w:t xml:space="preserve">s </w:t>
      </w:r>
      <w:r w:rsidR="00734951">
        <w:rPr>
          <w:sz w:val="26"/>
          <w:szCs w:val="26"/>
        </w:rPr>
        <w:t>“</w:t>
      </w:r>
      <w:r w:rsidR="00A40938">
        <w:rPr>
          <w:sz w:val="26"/>
          <w:szCs w:val="26"/>
        </w:rPr>
        <w:t>modified primary function test</w:t>
      </w:r>
      <w:r w:rsidR="00734951">
        <w:rPr>
          <w:sz w:val="26"/>
          <w:szCs w:val="26"/>
        </w:rPr>
        <w:t>”</w:t>
      </w:r>
      <w:r w:rsidR="00A40938">
        <w:rPr>
          <w:sz w:val="26"/>
          <w:szCs w:val="26"/>
        </w:rPr>
        <w:t xml:space="preserve"> </w:t>
      </w:r>
      <w:r w:rsidR="000523F4">
        <w:rPr>
          <w:sz w:val="26"/>
          <w:szCs w:val="26"/>
        </w:rPr>
        <w:t xml:space="preserve">that is </w:t>
      </w:r>
      <w:r w:rsidR="00A40938">
        <w:rPr>
          <w:sz w:val="26"/>
          <w:szCs w:val="26"/>
        </w:rPr>
        <w:t>used to classify pipelines.  Tr. at 81-84.</w:t>
      </w:r>
      <w:r w:rsidR="00AE6F55">
        <w:rPr>
          <w:sz w:val="26"/>
          <w:szCs w:val="26"/>
        </w:rPr>
        <w:t xml:space="preserve">  </w:t>
      </w:r>
      <w:r>
        <w:rPr>
          <w:sz w:val="26"/>
          <w:szCs w:val="26"/>
        </w:rPr>
        <w:t>For these reasons, w</w:t>
      </w:r>
      <w:r w:rsidR="00AE6F55">
        <w:rPr>
          <w:sz w:val="26"/>
          <w:szCs w:val="26"/>
        </w:rPr>
        <w:t xml:space="preserve">e find Mr. </w:t>
      </w:r>
      <w:r w:rsidR="00A40938">
        <w:rPr>
          <w:sz w:val="26"/>
          <w:szCs w:val="26"/>
        </w:rPr>
        <w:t>Hillebrand</w:t>
      </w:r>
      <w:r w:rsidR="00734951">
        <w:rPr>
          <w:sz w:val="26"/>
          <w:szCs w:val="26"/>
        </w:rPr>
        <w:t>’</w:t>
      </w:r>
      <w:r w:rsidR="00A40938">
        <w:rPr>
          <w:sz w:val="26"/>
          <w:szCs w:val="26"/>
        </w:rPr>
        <w:t xml:space="preserve">s display of lack of knowledge </w:t>
      </w:r>
      <w:r w:rsidR="00D03D68">
        <w:rPr>
          <w:sz w:val="26"/>
          <w:szCs w:val="26"/>
        </w:rPr>
        <w:t>regarding the</w:t>
      </w:r>
      <w:r w:rsidR="00DF7E51">
        <w:rPr>
          <w:sz w:val="26"/>
          <w:szCs w:val="26"/>
        </w:rPr>
        <w:t xml:space="preserve"> </w:t>
      </w:r>
      <w:r w:rsidR="00A40938">
        <w:rPr>
          <w:sz w:val="26"/>
          <w:szCs w:val="26"/>
        </w:rPr>
        <w:t xml:space="preserve">regulatory requirements </w:t>
      </w:r>
      <w:r w:rsidR="00D03D68">
        <w:rPr>
          <w:sz w:val="26"/>
          <w:szCs w:val="26"/>
        </w:rPr>
        <w:t xml:space="preserve">in terms of pipeline classifications and definitions </w:t>
      </w:r>
      <w:r w:rsidR="00DF7E51">
        <w:rPr>
          <w:sz w:val="26"/>
          <w:szCs w:val="26"/>
        </w:rPr>
        <w:lastRenderedPageBreak/>
        <w:t xml:space="preserve">to be </w:t>
      </w:r>
      <w:r>
        <w:rPr>
          <w:sz w:val="26"/>
          <w:szCs w:val="26"/>
        </w:rPr>
        <w:t>disconcerting</w:t>
      </w:r>
      <w:r w:rsidR="00AE6F55">
        <w:rPr>
          <w:sz w:val="26"/>
          <w:szCs w:val="26"/>
        </w:rPr>
        <w:t xml:space="preserve"> and we </w:t>
      </w:r>
      <w:r w:rsidR="00A40938">
        <w:rPr>
          <w:sz w:val="26"/>
          <w:szCs w:val="26"/>
        </w:rPr>
        <w:t xml:space="preserve">question the legitimacy of his </w:t>
      </w:r>
      <w:r w:rsidR="00AE6F55">
        <w:rPr>
          <w:sz w:val="26"/>
          <w:szCs w:val="26"/>
        </w:rPr>
        <w:t xml:space="preserve">proposed </w:t>
      </w:r>
      <w:r w:rsidR="00A40938">
        <w:rPr>
          <w:sz w:val="26"/>
          <w:szCs w:val="26"/>
        </w:rPr>
        <w:t xml:space="preserve">definitions </w:t>
      </w:r>
      <w:r w:rsidR="00D33C02">
        <w:rPr>
          <w:sz w:val="26"/>
          <w:szCs w:val="26"/>
        </w:rPr>
        <w:t>on th</w:t>
      </w:r>
      <w:r w:rsidR="000351D9">
        <w:rPr>
          <w:sz w:val="26"/>
          <w:szCs w:val="26"/>
        </w:rPr>
        <w:t>at</w:t>
      </w:r>
      <w:r w:rsidR="00D33C02">
        <w:rPr>
          <w:sz w:val="26"/>
          <w:szCs w:val="26"/>
        </w:rPr>
        <w:t xml:space="preserve"> basis</w:t>
      </w:r>
      <w:r w:rsidR="00AE6F55">
        <w:rPr>
          <w:sz w:val="26"/>
          <w:szCs w:val="26"/>
        </w:rPr>
        <w:t>.  N</w:t>
      </w:r>
      <w:r w:rsidR="007840F5">
        <w:rPr>
          <w:sz w:val="26"/>
          <w:szCs w:val="26"/>
        </w:rPr>
        <w:t>ever</w:t>
      </w:r>
      <w:r w:rsidR="00AE6F55">
        <w:rPr>
          <w:sz w:val="26"/>
          <w:szCs w:val="26"/>
        </w:rPr>
        <w:t>theless</w:t>
      </w:r>
      <w:r w:rsidR="00384627">
        <w:rPr>
          <w:sz w:val="26"/>
          <w:szCs w:val="26"/>
        </w:rPr>
        <w:t xml:space="preserve">, </w:t>
      </w:r>
      <w:r w:rsidR="002C40D6">
        <w:rPr>
          <w:sz w:val="26"/>
          <w:szCs w:val="26"/>
        </w:rPr>
        <w:t>as averred by the</w:t>
      </w:r>
      <w:r w:rsidR="00384627">
        <w:rPr>
          <w:sz w:val="26"/>
          <w:szCs w:val="26"/>
        </w:rPr>
        <w:t xml:space="preserve"> OSBA, even if we were to adopt PIOGA</w:t>
      </w:r>
      <w:r w:rsidR="00734951">
        <w:rPr>
          <w:sz w:val="26"/>
          <w:szCs w:val="26"/>
        </w:rPr>
        <w:t>’</w:t>
      </w:r>
      <w:r w:rsidR="00384627">
        <w:rPr>
          <w:sz w:val="26"/>
          <w:szCs w:val="26"/>
        </w:rPr>
        <w:t xml:space="preserve">s alternative definitions, it still does not change the fact that </w:t>
      </w:r>
      <w:r w:rsidR="00C60972">
        <w:rPr>
          <w:sz w:val="26"/>
          <w:szCs w:val="26"/>
        </w:rPr>
        <w:t xml:space="preserve">the </w:t>
      </w:r>
      <w:r w:rsidR="00384627">
        <w:rPr>
          <w:sz w:val="26"/>
          <w:szCs w:val="26"/>
        </w:rPr>
        <w:t xml:space="preserve">conventional gas producers </w:t>
      </w:r>
      <w:r w:rsidR="00AE6F55">
        <w:rPr>
          <w:sz w:val="26"/>
          <w:szCs w:val="26"/>
        </w:rPr>
        <w:t>benefit from their connection to</w:t>
      </w:r>
      <w:r w:rsidR="00C60972">
        <w:rPr>
          <w:sz w:val="26"/>
          <w:szCs w:val="26"/>
        </w:rPr>
        <w:t xml:space="preserve"> Peoples</w:t>
      </w:r>
      <w:r w:rsidR="00734951">
        <w:rPr>
          <w:sz w:val="26"/>
          <w:szCs w:val="26"/>
        </w:rPr>
        <w:t>’</w:t>
      </w:r>
      <w:r w:rsidR="00C60972">
        <w:rPr>
          <w:sz w:val="26"/>
          <w:szCs w:val="26"/>
        </w:rPr>
        <w:t xml:space="preserve"> gathering system and </w:t>
      </w:r>
      <w:r w:rsidR="00AE6F55">
        <w:rPr>
          <w:sz w:val="26"/>
          <w:szCs w:val="26"/>
        </w:rPr>
        <w:t>should contribute their fair share</w:t>
      </w:r>
      <w:r w:rsidR="00C60972">
        <w:rPr>
          <w:sz w:val="26"/>
          <w:szCs w:val="26"/>
        </w:rPr>
        <w:t xml:space="preserve"> to the Compan</w:t>
      </w:r>
      <w:r w:rsidR="00E522E2">
        <w:rPr>
          <w:sz w:val="26"/>
          <w:szCs w:val="26"/>
        </w:rPr>
        <w:t>y</w:t>
      </w:r>
      <w:r w:rsidR="00734951">
        <w:rPr>
          <w:sz w:val="26"/>
          <w:szCs w:val="26"/>
        </w:rPr>
        <w:t>’</w:t>
      </w:r>
      <w:r w:rsidR="00E522E2">
        <w:rPr>
          <w:sz w:val="26"/>
          <w:szCs w:val="26"/>
        </w:rPr>
        <w:t>s</w:t>
      </w:r>
      <w:r w:rsidR="00C60972">
        <w:rPr>
          <w:sz w:val="26"/>
          <w:szCs w:val="26"/>
        </w:rPr>
        <w:t xml:space="preserve"> gathering system UFG</w:t>
      </w:r>
      <w:r w:rsidR="00AE6F55">
        <w:rPr>
          <w:sz w:val="26"/>
          <w:szCs w:val="26"/>
        </w:rPr>
        <w:t xml:space="preserve"> costs</w:t>
      </w:r>
      <w:r w:rsidR="00C60972">
        <w:rPr>
          <w:sz w:val="26"/>
          <w:szCs w:val="26"/>
        </w:rPr>
        <w:t>.  OSBA R. Exc. at 5.  Therefore, we conclude that PIOGA</w:t>
      </w:r>
      <w:r w:rsidR="00734951">
        <w:rPr>
          <w:sz w:val="26"/>
          <w:szCs w:val="26"/>
        </w:rPr>
        <w:t>’</w:t>
      </w:r>
      <w:r w:rsidR="00C60972">
        <w:rPr>
          <w:sz w:val="26"/>
          <w:szCs w:val="26"/>
        </w:rPr>
        <w:t>s proposed alternative definitions do not pr</w:t>
      </w:r>
      <w:r w:rsidR="00723F4D">
        <w:rPr>
          <w:sz w:val="26"/>
          <w:szCs w:val="26"/>
        </w:rPr>
        <w:t xml:space="preserve">ohibit </w:t>
      </w:r>
      <w:r w:rsidR="00C60972">
        <w:rPr>
          <w:sz w:val="26"/>
          <w:szCs w:val="26"/>
        </w:rPr>
        <w:t>them from contributing to the cost of the Compan</w:t>
      </w:r>
      <w:r w:rsidR="00E522E2">
        <w:rPr>
          <w:sz w:val="26"/>
          <w:szCs w:val="26"/>
        </w:rPr>
        <w:t>y</w:t>
      </w:r>
      <w:r w:rsidR="00734951">
        <w:rPr>
          <w:sz w:val="26"/>
          <w:szCs w:val="26"/>
        </w:rPr>
        <w:t>’</w:t>
      </w:r>
      <w:r w:rsidR="00E522E2">
        <w:rPr>
          <w:sz w:val="26"/>
          <w:szCs w:val="26"/>
        </w:rPr>
        <w:t>s</w:t>
      </w:r>
      <w:r w:rsidR="00C60972">
        <w:rPr>
          <w:sz w:val="26"/>
          <w:szCs w:val="26"/>
        </w:rPr>
        <w:t xml:space="preserve"> gathering system UFG.  As such, PIOGA</w:t>
      </w:r>
      <w:r w:rsidR="00734951">
        <w:rPr>
          <w:sz w:val="26"/>
          <w:szCs w:val="26"/>
        </w:rPr>
        <w:t>’</w:t>
      </w:r>
      <w:r w:rsidR="00C60972">
        <w:rPr>
          <w:sz w:val="26"/>
          <w:szCs w:val="26"/>
        </w:rPr>
        <w:t xml:space="preserve">s </w:t>
      </w:r>
      <w:r w:rsidR="0001474B">
        <w:rPr>
          <w:sz w:val="26"/>
          <w:szCs w:val="26"/>
        </w:rPr>
        <w:t>Exception No. 4</w:t>
      </w:r>
      <w:r w:rsidR="00352831">
        <w:rPr>
          <w:sz w:val="26"/>
          <w:szCs w:val="26"/>
        </w:rPr>
        <w:t>, is hereby denied.</w:t>
      </w:r>
    </w:p>
    <w:bookmarkEnd w:id="44"/>
    <w:p w14:paraId="006C5F9D" w14:textId="62590797" w:rsidR="00E65D4D" w:rsidRDefault="00E65D4D" w:rsidP="007374FA">
      <w:pPr>
        <w:widowControl/>
        <w:tabs>
          <w:tab w:val="left" w:pos="1445"/>
          <w:tab w:val="left" w:pos="7920"/>
        </w:tabs>
        <w:autoSpaceDE w:val="0"/>
        <w:autoSpaceDN w:val="0"/>
        <w:adjustRightInd w:val="0"/>
        <w:spacing w:line="360" w:lineRule="auto"/>
        <w:rPr>
          <w:sz w:val="26"/>
          <w:szCs w:val="26"/>
        </w:rPr>
      </w:pPr>
    </w:p>
    <w:p w14:paraId="589CBEB5" w14:textId="29B4A837" w:rsidR="00901180" w:rsidRPr="00F00853" w:rsidRDefault="00901180" w:rsidP="002C40D6">
      <w:pPr>
        <w:pStyle w:val="Heading3"/>
      </w:pPr>
      <w:bookmarkStart w:id="45" w:name="_Toc524442367"/>
      <w:r w:rsidRPr="00F00853">
        <w:t>PIOGA</w:t>
      </w:r>
      <w:r w:rsidR="00734951">
        <w:t>’</w:t>
      </w:r>
      <w:r w:rsidRPr="00F00853">
        <w:t>s Exception No. 5</w:t>
      </w:r>
      <w:r w:rsidR="00E81930">
        <w:t xml:space="preserve">, </w:t>
      </w:r>
      <w:r w:rsidRPr="00F00853">
        <w:t>Replies</w:t>
      </w:r>
      <w:r w:rsidR="00E81930">
        <w:t xml:space="preserve"> and </w:t>
      </w:r>
      <w:r w:rsidR="00BC1B1B">
        <w:t>Disposition</w:t>
      </w:r>
      <w:bookmarkEnd w:id="45"/>
    </w:p>
    <w:p w14:paraId="104D1A32" w14:textId="77777777" w:rsidR="00901180" w:rsidRDefault="00901180" w:rsidP="002C40D6">
      <w:pPr>
        <w:keepNext/>
        <w:keepLines/>
        <w:widowControl/>
        <w:tabs>
          <w:tab w:val="left" w:pos="1445"/>
          <w:tab w:val="left" w:pos="7920"/>
        </w:tabs>
        <w:autoSpaceDE w:val="0"/>
        <w:autoSpaceDN w:val="0"/>
        <w:adjustRightInd w:val="0"/>
        <w:spacing w:line="360" w:lineRule="auto"/>
        <w:rPr>
          <w:b/>
          <w:sz w:val="26"/>
          <w:szCs w:val="26"/>
        </w:rPr>
      </w:pPr>
    </w:p>
    <w:p w14:paraId="78F2B971" w14:textId="428D5A68" w:rsidR="00AA7233" w:rsidRDefault="00901180" w:rsidP="007374FA">
      <w:pPr>
        <w:widowControl/>
        <w:tabs>
          <w:tab w:val="left" w:pos="1445"/>
          <w:tab w:val="left" w:pos="7920"/>
        </w:tabs>
        <w:autoSpaceDE w:val="0"/>
        <w:autoSpaceDN w:val="0"/>
        <w:adjustRightInd w:val="0"/>
        <w:spacing w:line="360" w:lineRule="auto"/>
        <w:rPr>
          <w:sz w:val="26"/>
          <w:szCs w:val="26"/>
        </w:rPr>
      </w:pPr>
      <w:r>
        <w:rPr>
          <w:b/>
          <w:sz w:val="26"/>
          <w:szCs w:val="26"/>
        </w:rPr>
        <w:tab/>
      </w:r>
      <w:r>
        <w:rPr>
          <w:sz w:val="26"/>
          <w:szCs w:val="26"/>
        </w:rPr>
        <w:t xml:space="preserve">In its Exception No. </w:t>
      </w:r>
      <w:r w:rsidR="008A0A26">
        <w:rPr>
          <w:sz w:val="26"/>
          <w:szCs w:val="26"/>
        </w:rPr>
        <w:t>5</w:t>
      </w:r>
      <w:r>
        <w:rPr>
          <w:sz w:val="26"/>
          <w:szCs w:val="26"/>
        </w:rPr>
        <w:t>, PIOGA disagrees with the ALJ</w:t>
      </w:r>
      <w:r w:rsidR="00734951">
        <w:rPr>
          <w:sz w:val="26"/>
          <w:szCs w:val="26"/>
        </w:rPr>
        <w:t>’</w:t>
      </w:r>
      <w:r>
        <w:rPr>
          <w:sz w:val="26"/>
          <w:szCs w:val="26"/>
        </w:rPr>
        <w:t xml:space="preserve">s </w:t>
      </w:r>
      <w:r w:rsidR="00AA7233">
        <w:rPr>
          <w:sz w:val="26"/>
          <w:szCs w:val="26"/>
        </w:rPr>
        <w:t xml:space="preserve">rejection of its argument that the high gathering system UFG is a result of </w:t>
      </w:r>
      <w:r w:rsidR="00A65D04">
        <w:rPr>
          <w:sz w:val="26"/>
          <w:szCs w:val="26"/>
        </w:rPr>
        <w:t>Peoples</w:t>
      </w:r>
      <w:r w:rsidR="00734951">
        <w:rPr>
          <w:sz w:val="26"/>
          <w:szCs w:val="26"/>
        </w:rPr>
        <w:t>’</w:t>
      </w:r>
      <w:r w:rsidR="00AA7233">
        <w:rPr>
          <w:sz w:val="26"/>
          <w:szCs w:val="26"/>
        </w:rPr>
        <w:t xml:space="preserve"> decades-long failure to invest in the gathering system and so the producers should not be made to subsidize </w:t>
      </w:r>
      <w:r w:rsidR="00A65D04">
        <w:rPr>
          <w:sz w:val="26"/>
          <w:szCs w:val="26"/>
        </w:rPr>
        <w:t xml:space="preserve">for </w:t>
      </w:r>
      <w:r w:rsidR="00AA7233">
        <w:rPr>
          <w:sz w:val="26"/>
          <w:szCs w:val="26"/>
        </w:rPr>
        <w:t>the Compan</w:t>
      </w:r>
      <w:r w:rsidR="006C3CD9">
        <w:rPr>
          <w:sz w:val="26"/>
          <w:szCs w:val="26"/>
        </w:rPr>
        <w:t>y</w:t>
      </w:r>
      <w:r w:rsidR="00734951">
        <w:rPr>
          <w:sz w:val="26"/>
          <w:szCs w:val="26"/>
        </w:rPr>
        <w:t>’</w:t>
      </w:r>
      <w:r w:rsidR="006C3CD9">
        <w:rPr>
          <w:sz w:val="26"/>
          <w:szCs w:val="26"/>
        </w:rPr>
        <w:t>s</w:t>
      </w:r>
      <w:r w:rsidR="00AA7233">
        <w:rPr>
          <w:sz w:val="26"/>
          <w:szCs w:val="26"/>
        </w:rPr>
        <w:t xml:space="preserve"> neglect </w:t>
      </w:r>
      <w:r w:rsidR="004E2295">
        <w:rPr>
          <w:sz w:val="26"/>
          <w:szCs w:val="26"/>
        </w:rPr>
        <w:t xml:space="preserve">in </w:t>
      </w:r>
      <w:r w:rsidR="00AA7233">
        <w:rPr>
          <w:sz w:val="26"/>
          <w:szCs w:val="26"/>
        </w:rPr>
        <w:t xml:space="preserve">investing on </w:t>
      </w:r>
      <w:r w:rsidR="006C3CD9">
        <w:rPr>
          <w:sz w:val="26"/>
          <w:szCs w:val="26"/>
        </w:rPr>
        <w:t xml:space="preserve">its </w:t>
      </w:r>
      <w:r w:rsidR="00AA7233">
        <w:rPr>
          <w:sz w:val="26"/>
          <w:szCs w:val="26"/>
        </w:rPr>
        <w:t xml:space="preserve">gathering lines.  </w:t>
      </w:r>
      <w:r w:rsidR="00300C6B">
        <w:rPr>
          <w:sz w:val="26"/>
          <w:szCs w:val="26"/>
        </w:rPr>
        <w:t>Exc. at 17 (citing R.D. at</w:t>
      </w:r>
      <w:r w:rsidR="002C40D6">
        <w:rPr>
          <w:sz w:val="26"/>
          <w:szCs w:val="26"/>
        </w:rPr>
        <w:t> </w:t>
      </w:r>
      <w:r w:rsidR="00300C6B">
        <w:rPr>
          <w:sz w:val="26"/>
          <w:szCs w:val="26"/>
        </w:rPr>
        <w:t>67</w:t>
      </w:r>
      <w:r w:rsidR="002C40D6">
        <w:rPr>
          <w:sz w:val="26"/>
          <w:szCs w:val="26"/>
        </w:rPr>
        <w:noBreakHyphen/>
      </w:r>
      <w:r w:rsidR="00300C6B">
        <w:rPr>
          <w:sz w:val="26"/>
          <w:szCs w:val="26"/>
        </w:rPr>
        <w:t>68, 83-84</w:t>
      </w:r>
      <w:r w:rsidR="008031C2">
        <w:rPr>
          <w:sz w:val="26"/>
          <w:szCs w:val="26"/>
        </w:rPr>
        <w:t>; Conclusion of Law No. 27; Ordering Paragraph Nos. 2, 5, 6</w:t>
      </w:r>
      <w:r w:rsidR="00300C6B">
        <w:rPr>
          <w:sz w:val="26"/>
          <w:szCs w:val="26"/>
        </w:rPr>
        <w:t xml:space="preserve">).  </w:t>
      </w:r>
      <w:r w:rsidR="00911BC8">
        <w:rPr>
          <w:sz w:val="26"/>
          <w:szCs w:val="26"/>
        </w:rPr>
        <w:t xml:space="preserve">According to </w:t>
      </w:r>
      <w:r w:rsidR="00473CF4">
        <w:rPr>
          <w:sz w:val="26"/>
          <w:szCs w:val="26"/>
        </w:rPr>
        <w:t>PIOGA</w:t>
      </w:r>
      <w:r w:rsidR="00911BC8">
        <w:rPr>
          <w:sz w:val="26"/>
          <w:szCs w:val="26"/>
        </w:rPr>
        <w:t xml:space="preserve">, </w:t>
      </w:r>
      <w:r w:rsidR="00473CF4">
        <w:rPr>
          <w:sz w:val="26"/>
          <w:szCs w:val="26"/>
        </w:rPr>
        <w:t xml:space="preserve">the ALJ </w:t>
      </w:r>
      <w:r w:rsidR="00911BC8">
        <w:rPr>
          <w:sz w:val="26"/>
          <w:szCs w:val="26"/>
        </w:rPr>
        <w:t>erred in concluding that PIOGA</w:t>
      </w:r>
      <w:r w:rsidR="00734951">
        <w:rPr>
          <w:sz w:val="26"/>
          <w:szCs w:val="26"/>
        </w:rPr>
        <w:t>’</w:t>
      </w:r>
      <w:r w:rsidR="00911BC8">
        <w:rPr>
          <w:sz w:val="26"/>
          <w:szCs w:val="26"/>
        </w:rPr>
        <w:t>s argument</w:t>
      </w:r>
      <w:r w:rsidR="002C40D6">
        <w:rPr>
          <w:sz w:val="26"/>
          <w:szCs w:val="26"/>
        </w:rPr>
        <w:t>s</w:t>
      </w:r>
      <w:r w:rsidR="00911BC8">
        <w:rPr>
          <w:sz w:val="26"/>
          <w:szCs w:val="26"/>
        </w:rPr>
        <w:t xml:space="preserve"> are not persuasive to support a denial of the producer charge</w:t>
      </w:r>
      <w:r w:rsidR="007B4600">
        <w:rPr>
          <w:sz w:val="26"/>
          <w:szCs w:val="26"/>
        </w:rPr>
        <w:t>.  PIOGA further faults the ALJ</w:t>
      </w:r>
      <w:r w:rsidR="00734951">
        <w:rPr>
          <w:sz w:val="26"/>
          <w:szCs w:val="26"/>
        </w:rPr>
        <w:t>’</w:t>
      </w:r>
      <w:r w:rsidR="007B4600">
        <w:rPr>
          <w:sz w:val="26"/>
          <w:szCs w:val="26"/>
        </w:rPr>
        <w:t xml:space="preserve">s reliance </w:t>
      </w:r>
      <w:r w:rsidR="00473CF4">
        <w:rPr>
          <w:sz w:val="26"/>
          <w:szCs w:val="26"/>
        </w:rPr>
        <w:t xml:space="preserve">on </w:t>
      </w:r>
      <w:r w:rsidR="00911BC8">
        <w:rPr>
          <w:sz w:val="26"/>
          <w:szCs w:val="26"/>
        </w:rPr>
        <w:t xml:space="preserve">the </w:t>
      </w:r>
      <w:r w:rsidR="00473CF4">
        <w:rPr>
          <w:sz w:val="26"/>
          <w:szCs w:val="26"/>
        </w:rPr>
        <w:t>OSBA</w:t>
      </w:r>
      <w:r w:rsidR="00734951">
        <w:rPr>
          <w:sz w:val="26"/>
          <w:szCs w:val="26"/>
        </w:rPr>
        <w:t>’</w:t>
      </w:r>
      <w:r w:rsidR="00473CF4">
        <w:rPr>
          <w:sz w:val="26"/>
          <w:szCs w:val="26"/>
        </w:rPr>
        <w:t>s argument that if PIOGA were correct that the conventional gas producers do not c</w:t>
      </w:r>
      <w:r w:rsidR="00911BC8">
        <w:rPr>
          <w:sz w:val="26"/>
          <w:szCs w:val="26"/>
        </w:rPr>
        <w:t xml:space="preserve">ontribute to </w:t>
      </w:r>
      <w:r w:rsidR="00473CF4">
        <w:rPr>
          <w:sz w:val="26"/>
          <w:szCs w:val="26"/>
        </w:rPr>
        <w:t>the gathering system</w:t>
      </w:r>
      <w:r w:rsidR="00911BC8">
        <w:rPr>
          <w:sz w:val="26"/>
          <w:szCs w:val="26"/>
        </w:rPr>
        <w:t xml:space="preserve"> UFG</w:t>
      </w:r>
      <w:r w:rsidR="00473CF4">
        <w:rPr>
          <w:sz w:val="26"/>
          <w:szCs w:val="26"/>
        </w:rPr>
        <w:t xml:space="preserve">, </w:t>
      </w:r>
      <w:r w:rsidR="00911BC8">
        <w:rPr>
          <w:sz w:val="26"/>
          <w:szCs w:val="26"/>
        </w:rPr>
        <w:t xml:space="preserve">then </w:t>
      </w:r>
      <w:r w:rsidR="00473CF4">
        <w:rPr>
          <w:sz w:val="26"/>
          <w:szCs w:val="26"/>
        </w:rPr>
        <w:t xml:space="preserve">the same could be said of sales and transportation customers.  </w:t>
      </w:r>
      <w:r w:rsidR="00300C6B">
        <w:rPr>
          <w:sz w:val="26"/>
          <w:szCs w:val="26"/>
        </w:rPr>
        <w:t>Exc. at 17-18.</w:t>
      </w:r>
    </w:p>
    <w:p w14:paraId="12C1169F" w14:textId="77777777" w:rsidR="00473CF4" w:rsidRDefault="00473CF4" w:rsidP="007374FA">
      <w:pPr>
        <w:widowControl/>
        <w:tabs>
          <w:tab w:val="left" w:pos="1445"/>
          <w:tab w:val="left" w:pos="7920"/>
        </w:tabs>
        <w:autoSpaceDE w:val="0"/>
        <w:autoSpaceDN w:val="0"/>
        <w:adjustRightInd w:val="0"/>
        <w:spacing w:line="360" w:lineRule="auto"/>
        <w:rPr>
          <w:sz w:val="26"/>
          <w:szCs w:val="26"/>
        </w:rPr>
      </w:pPr>
    </w:p>
    <w:p w14:paraId="148D7AE6" w14:textId="4F432012" w:rsidR="00AA7233" w:rsidRDefault="00473CF4" w:rsidP="007374FA">
      <w:pPr>
        <w:widowControl/>
        <w:tabs>
          <w:tab w:val="left" w:pos="1445"/>
          <w:tab w:val="left" w:pos="7920"/>
        </w:tabs>
        <w:autoSpaceDE w:val="0"/>
        <w:autoSpaceDN w:val="0"/>
        <w:adjustRightInd w:val="0"/>
        <w:spacing w:line="360" w:lineRule="auto"/>
        <w:rPr>
          <w:sz w:val="26"/>
          <w:szCs w:val="26"/>
        </w:rPr>
      </w:pPr>
      <w:r>
        <w:rPr>
          <w:sz w:val="26"/>
          <w:szCs w:val="26"/>
        </w:rPr>
        <w:tab/>
        <w:t xml:space="preserve">In Reply, </w:t>
      </w:r>
      <w:r w:rsidR="0038235F">
        <w:rPr>
          <w:sz w:val="26"/>
          <w:szCs w:val="26"/>
        </w:rPr>
        <w:t>Peoples</w:t>
      </w:r>
      <w:r>
        <w:rPr>
          <w:sz w:val="26"/>
          <w:szCs w:val="26"/>
        </w:rPr>
        <w:t xml:space="preserve"> </w:t>
      </w:r>
      <w:r w:rsidR="0070433D">
        <w:rPr>
          <w:sz w:val="26"/>
          <w:szCs w:val="26"/>
        </w:rPr>
        <w:t>aver</w:t>
      </w:r>
      <w:r w:rsidR="00F66CFB">
        <w:rPr>
          <w:sz w:val="26"/>
          <w:szCs w:val="26"/>
        </w:rPr>
        <w:t>s</w:t>
      </w:r>
      <w:r w:rsidR="0070433D">
        <w:rPr>
          <w:sz w:val="26"/>
          <w:szCs w:val="26"/>
        </w:rPr>
        <w:t xml:space="preserve"> </w:t>
      </w:r>
      <w:r w:rsidR="000E723C">
        <w:rPr>
          <w:sz w:val="26"/>
          <w:szCs w:val="26"/>
        </w:rPr>
        <w:t xml:space="preserve">that </w:t>
      </w:r>
      <w:r w:rsidR="0070433D">
        <w:rPr>
          <w:sz w:val="26"/>
          <w:szCs w:val="26"/>
        </w:rPr>
        <w:t xml:space="preserve">the ALJ </w:t>
      </w:r>
      <w:r w:rsidR="00821E82">
        <w:rPr>
          <w:sz w:val="26"/>
          <w:szCs w:val="26"/>
        </w:rPr>
        <w:t>properly</w:t>
      </w:r>
      <w:r w:rsidR="0070433D">
        <w:rPr>
          <w:sz w:val="26"/>
          <w:szCs w:val="26"/>
        </w:rPr>
        <w:t xml:space="preserve"> concluded that because conventional gas producers are the primary beneficiaries of the gathering system, they are required to pay their fair share by contributing toward the cost of the UFG on the gathering system.  </w:t>
      </w:r>
      <w:r w:rsidR="00C13E83">
        <w:rPr>
          <w:sz w:val="26"/>
          <w:szCs w:val="26"/>
        </w:rPr>
        <w:t>PNG</w:t>
      </w:r>
      <w:r w:rsidR="0070433D">
        <w:rPr>
          <w:sz w:val="26"/>
          <w:szCs w:val="26"/>
        </w:rPr>
        <w:t xml:space="preserve"> R. Exc. at 19-20 (citing R.D. at 83-84).  </w:t>
      </w:r>
      <w:r w:rsidR="00B831A8">
        <w:rPr>
          <w:sz w:val="26"/>
          <w:szCs w:val="26"/>
        </w:rPr>
        <w:t>The Compan</w:t>
      </w:r>
      <w:r w:rsidR="002E7B14">
        <w:rPr>
          <w:sz w:val="26"/>
          <w:szCs w:val="26"/>
        </w:rPr>
        <w:t>y</w:t>
      </w:r>
      <w:r w:rsidR="00B831A8">
        <w:rPr>
          <w:sz w:val="26"/>
          <w:szCs w:val="26"/>
        </w:rPr>
        <w:t xml:space="preserve"> also dismiss</w:t>
      </w:r>
      <w:r w:rsidR="002E7B14">
        <w:rPr>
          <w:sz w:val="26"/>
          <w:szCs w:val="26"/>
        </w:rPr>
        <w:t>es</w:t>
      </w:r>
      <w:r w:rsidR="00B831A8">
        <w:rPr>
          <w:sz w:val="26"/>
          <w:szCs w:val="26"/>
        </w:rPr>
        <w:t xml:space="preserve"> PIOGA</w:t>
      </w:r>
      <w:r w:rsidR="00734951">
        <w:rPr>
          <w:sz w:val="26"/>
          <w:szCs w:val="26"/>
        </w:rPr>
        <w:t>’</w:t>
      </w:r>
      <w:r w:rsidR="00B831A8">
        <w:rPr>
          <w:sz w:val="26"/>
          <w:szCs w:val="26"/>
        </w:rPr>
        <w:t xml:space="preserve">s argument that the high UFG is a result of their neglect of the gathering system.  According to </w:t>
      </w:r>
      <w:r w:rsidR="0011518A">
        <w:rPr>
          <w:sz w:val="26"/>
          <w:szCs w:val="26"/>
        </w:rPr>
        <w:t>Peoples,</w:t>
      </w:r>
      <w:r w:rsidR="00B831A8">
        <w:rPr>
          <w:sz w:val="26"/>
          <w:szCs w:val="26"/>
        </w:rPr>
        <w:t xml:space="preserve"> </w:t>
      </w:r>
      <w:r w:rsidR="0011518A">
        <w:rPr>
          <w:sz w:val="26"/>
          <w:szCs w:val="26"/>
        </w:rPr>
        <w:t>it has</w:t>
      </w:r>
      <w:r w:rsidR="00B831A8">
        <w:rPr>
          <w:sz w:val="26"/>
          <w:szCs w:val="26"/>
        </w:rPr>
        <w:t xml:space="preserve"> spent $17.1 million over the past four years to improve and upgrade the gathering system.  While this amount </w:t>
      </w:r>
      <w:r w:rsidR="007A200B">
        <w:rPr>
          <w:sz w:val="26"/>
          <w:szCs w:val="26"/>
        </w:rPr>
        <w:t xml:space="preserve">is minimal when </w:t>
      </w:r>
      <w:r w:rsidR="00B831A8">
        <w:rPr>
          <w:sz w:val="26"/>
          <w:szCs w:val="26"/>
        </w:rPr>
        <w:lastRenderedPageBreak/>
        <w:t xml:space="preserve">compared to the amount </w:t>
      </w:r>
      <w:r w:rsidR="0011518A">
        <w:rPr>
          <w:sz w:val="26"/>
          <w:szCs w:val="26"/>
        </w:rPr>
        <w:t xml:space="preserve">it </w:t>
      </w:r>
      <w:r w:rsidR="00B831A8">
        <w:rPr>
          <w:sz w:val="26"/>
          <w:szCs w:val="26"/>
        </w:rPr>
        <w:t xml:space="preserve">spent on distribution pipelines over the same period, </w:t>
      </w:r>
      <w:r w:rsidR="0011518A">
        <w:rPr>
          <w:sz w:val="26"/>
          <w:szCs w:val="26"/>
        </w:rPr>
        <w:t>Peoples</w:t>
      </w:r>
      <w:r w:rsidR="00B831A8">
        <w:rPr>
          <w:sz w:val="26"/>
          <w:szCs w:val="26"/>
        </w:rPr>
        <w:t xml:space="preserve"> reiterate</w:t>
      </w:r>
      <w:r w:rsidR="001038DD">
        <w:rPr>
          <w:sz w:val="26"/>
          <w:szCs w:val="26"/>
        </w:rPr>
        <w:t>s</w:t>
      </w:r>
      <w:r w:rsidR="00B831A8">
        <w:rPr>
          <w:sz w:val="26"/>
          <w:szCs w:val="26"/>
        </w:rPr>
        <w:t xml:space="preserve"> </w:t>
      </w:r>
      <w:r w:rsidR="0011518A">
        <w:rPr>
          <w:sz w:val="26"/>
          <w:szCs w:val="26"/>
        </w:rPr>
        <w:t>its</w:t>
      </w:r>
      <w:r w:rsidR="00B831A8">
        <w:rPr>
          <w:sz w:val="26"/>
          <w:szCs w:val="26"/>
        </w:rPr>
        <w:t xml:space="preserve"> initial post-acquisition capital investment</w:t>
      </w:r>
      <w:r w:rsidR="00876CE9">
        <w:rPr>
          <w:sz w:val="26"/>
          <w:szCs w:val="26"/>
        </w:rPr>
        <w:t>s</w:t>
      </w:r>
      <w:r w:rsidR="00B831A8">
        <w:rPr>
          <w:sz w:val="26"/>
          <w:szCs w:val="26"/>
        </w:rPr>
        <w:t xml:space="preserve"> w</w:t>
      </w:r>
      <w:r w:rsidR="00876CE9">
        <w:rPr>
          <w:sz w:val="26"/>
          <w:szCs w:val="26"/>
        </w:rPr>
        <w:t>ere</w:t>
      </w:r>
      <w:r w:rsidR="00B831A8">
        <w:rPr>
          <w:sz w:val="26"/>
          <w:szCs w:val="26"/>
        </w:rPr>
        <w:t xml:space="preserve"> focused on replacing at-risk distribution pipelines </w:t>
      </w:r>
      <w:r w:rsidR="00876CE9">
        <w:rPr>
          <w:sz w:val="26"/>
          <w:szCs w:val="26"/>
        </w:rPr>
        <w:t>due to</w:t>
      </w:r>
      <w:r w:rsidR="00B831A8">
        <w:rPr>
          <w:sz w:val="26"/>
          <w:szCs w:val="26"/>
        </w:rPr>
        <w:t xml:space="preserve"> safety reasons.  </w:t>
      </w:r>
      <w:r w:rsidR="00C13E83">
        <w:rPr>
          <w:sz w:val="26"/>
          <w:szCs w:val="26"/>
        </w:rPr>
        <w:t>Peoples</w:t>
      </w:r>
      <w:r w:rsidR="00B831A8">
        <w:rPr>
          <w:sz w:val="26"/>
          <w:szCs w:val="26"/>
        </w:rPr>
        <w:t xml:space="preserve"> emphasize</w:t>
      </w:r>
      <w:r w:rsidR="001038DD">
        <w:rPr>
          <w:sz w:val="26"/>
          <w:szCs w:val="26"/>
        </w:rPr>
        <w:t>s</w:t>
      </w:r>
      <w:r w:rsidR="00B831A8">
        <w:rPr>
          <w:sz w:val="26"/>
          <w:szCs w:val="26"/>
        </w:rPr>
        <w:t xml:space="preserve"> </w:t>
      </w:r>
      <w:r w:rsidR="007A200B">
        <w:rPr>
          <w:sz w:val="26"/>
          <w:szCs w:val="26"/>
        </w:rPr>
        <w:t xml:space="preserve">its </w:t>
      </w:r>
      <w:r w:rsidR="00B831A8">
        <w:rPr>
          <w:sz w:val="26"/>
          <w:szCs w:val="26"/>
        </w:rPr>
        <w:t xml:space="preserve">commitment to spend approximately $21.1 million over the next four years to further address their gathering systems.  </w:t>
      </w:r>
      <w:r w:rsidR="00C13E83">
        <w:rPr>
          <w:sz w:val="26"/>
          <w:szCs w:val="26"/>
        </w:rPr>
        <w:t>PNG</w:t>
      </w:r>
      <w:r w:rsidR="00B36171">
        <w:rPr>
          <w:sz w:val="26"/>
          <w:szCs w:val="26"/>
        </w:rPr>
        <w:t xml:space="preserve"> R. Exc. at 20 (citing R.D. at 84).  </w:t>
      </w:r>
      <w:r w:rsidR="00B831A8">
        <w:rPr>
          <w:sz w:val="26"/>
          <w:szCs w:val="26"/>
        </w:rPr>
        <w:t xml:space="preserve">Finally, </w:t>
      </w:r>
      <w:r w:rsidR="00700C69">
        <w:rPr>
          <w:sz w:val="26"/>
          <w:szCs w:val="26"/>
        </w:rPr>
        <w:t xml:space="preserve">Peoples </w:t>
      </w:r>
      <w:r w:rsidR="0011518A">
        <w:rPr>
          <w:sz w:val="26"/>
          <w:szCs w:val="26"/>
        </w:rPr>
        <w:t>disputes</w:t>
      </w:r>
      <w:r w:rsidR="00B36171">
        <w:rPr>
          <w:sz w:val="26"/>
          <w:szCs w:val="26"/>
        </w:rPr>
        <w:t xml:space="preserve"> PIOGA</w:t>
      </w:r>
      <w:r w:rsidR="00734951">
        <w:rPr>
          <w:sz w:val="26"/>
          <w:szCs w:val="26"/>
        </w:rPr>
        <w:t>’</w:t>
      </w:r>
      <w:r w:rsidR="00B36171">
        <w:rPr>
          <w:sz w:val="26"/>
          <w:szCs w:val="26"/>
        </w:rPr>
        <w:t xml:space="preserve">s argument that sales and transportation customers should pay for UFG because they receive natural gas from the system, but conventional gas producers should not pay because they </w:t>
      </w:r>
      <w:r w:rsidR="00F547B8">
        <w:rPr>
          <w:sz w:val="26"/>
          <w:szCs w:val="26"/>
        </w:rPr>
        <w:t xml:space="preserve">only </w:t>
      </w:r>
      <w:r w:rsidR="00B36171">
        <w:rPr>
          <w:sz w:val="26"/>
          <w:szCs w:val="26"/>
        </w:rPr>
        <w:t xml:space="preserve">supply natural gas to system.  From </w:t>
      </w:r>
      <w:r w:rsidR="0011518A">
        <w:rPr>
          <w:sz w:val="26"/>
          <w:szCs w:val="26"/>
        </w:rPr>
        <w:t>Peoples</w:t>
      </w:r>
      <w:r w:rsidR="00734951">
        <w:rPr>
          <w:sz w:val="26"/>
          <w:szCs w:val="26"/>
        </w:rPr>
        <w:t>’</w:t>
      </w:r>
      <w:r w:rsidR="0011518A">
        <w:rPr>
          <w:sz w:val="26"/>
          <w:szCs w:val="26"/>
        </w:rPr>
        <w:t xml:space="preserve"> </w:t>
      </w:r>
      <w:r w:rsidR="00B36171">
        <w:rPr>
          <w:sz w:val="26"/>
          <w:szCs w:val="26"/>
        </w:rPr>
        <w:t xml:space="preserve">perspective, </w:t>
      </w:r>
      <w:r w:rsidR="000A5209">
        <w:rPr>
          <w:sz w:val="26"/>
          <w:szCs w:val="26"/>
        </w:rPr>
        <w:t>the fact that</w:t>
      </w:r>
      <w:r w:rsidR="00B36171">
        <w:rPr>
          <w:sz w:val="26"/>
          <w:szCs w:val="26"/>
        </w:rPr>
        <w:t xml:space="preserve"> producers would be unable to transport their product to the market</w:t>
      </w:r>
      <w:r w:rsidR="001038DD">
        <w:rPr>
          <w:sz w:val="26"/>
          <w:szCs w:val="26"/>
        </w:rPr>
        <w:t xml:space="preserve"> without the gathering pipelines</w:t>
      </w:r>
      <w:r w:rsidR="00B36171">
        <w:rPr>
          <w:sz w:val="26"/>
          <w:szCs w:val="26"/>
        </w:rPr>
        <w:t xml:space="preserve"> </w:t>
      </w:r>
      <w:r w:rsidR="000A5209">
        <w:rPr>
          <w:sz w:val="26"/>
          <w:szCs w:val="26"/>
        </w:rPr>
        <w:t>makes them</w:t>
      </w:r>
      <w:r w:rsidR="00B36171">
        <w:rPr>
          <w:sz w:val="26"/>
          <w:szCs w:val="26"/>
        </w:rPr>
        <w:t xml:space="preserve"> as much as responsible as the transportation and sales customers when it comes to gathering system UFG.  </w:t>
      </w:r>
      <w:r w:rsidR="00E56A68">
        <w:rPr>
          <w:sz w:val="26"/>
          <w:szCs w:val="26"/>
        </w:rPr>
        <w:t>PNG</w:t>
      </w:r>
      <w:r w:rsidR="00B36171">
        <w:rPr>
          <w:sz w:val="26"/>
          <w:szCs w:val="26"/>
        </w:rPr>
        <w:t xml:space="preserve"> R. Exc. at 20-21.</w:t>
      </w:r>
    </w:p>
    <w:p w14:paraId="12B098AF" w14:textId="77777777" w:rsidR="00901180" w:rsidRDefault="00901180" w:rsidP="007374FA">
      <w:pPr>
        <w:widowControl/>
        <w:tabs>
          <w:tab w:val="left" w:pos="1445"/>
          <w:tab w:val="left" w:pos="7920"/>
        </w:tabs>
        <w:autoSpaceDE w:val="0"/>
        <w:autoSpaceDN w:val="0"/>
        <w:adjustRightInd w:val="0"/>
        <w:spacing w:line="360" w:lineRule="auto"/>
        <w:rPr>
          <w:sz w:val="26"/>
          <w:szCs w:val="26"/>
        </w:rPr>
      </w:pPr>
    </w:p>
    <w:p w14:paraId="1BDE1DDC" w14:textId="4E971B39" w:rsidR="00925E66" w:rsidRDefault="00901180" w:rsidP="007374FA">
      <w:pPr>
        <w:widowControl/>
        <w:tabs>
          <w:tab w:val="left" w:pos="1445"/>
          <w:tab w:val="left" w:pos="7920"/>
        </w:tabs>
        <w:autoSpaceDE w:val="0"/>
        <w:autoSpaceDN w:val="0"/>
        <w:adjustRightInd w:val="0"/>
        <w:spacing w:line="360" w:lineRule="auto"/>
        <w:rPr>
          <w:sz w:val="26"/>
          <w:szCs w:val="26"/>
        </w:rPr>
      </w:pPr>
      <w:r>
        <w:rPr>
          <w:sz w:val="26"/>
          <w:szCs w:val="26"/>
        </w:rPr>
        <w:tab/>
      </w:r>
      <w:r w:rsidR="00170622">
        <w:rPr>
          <w:sz w:val="26"/>
          <w:szCs w:val="26"/>
        </w:rPr>
        <w:t xml:space="preserve">The </w:t>
      </w:r>
      <w:r>
        <w:rPr>
          <w:sz w:val="26"/>
          <w:szCs w:val="26"/>
        </w:rPr>
        <w:t xml:space="preserve">OSBA </w:t>
      </w:r>
      <w:r w:rsidR="00925E66">
        <w:rPr>
          <w:sz w:val="26"/>
          <w:szCs w:val="26"/>
        </w:rPr>
        <w:t>also agrees with the ALJ</w:t>
      </w:r>
      <w:r w:rsidR="00734951">
        <w:rPr>
          <w:sz w:val="26"/>
          <w:szCs w:val="26"/>
        </w:rPr>
        <w:t>’</w:t>
      </w:r>
      <w:r w:rsidR="00925E66">
        <w:rPr>
          <w:sz w:val="26"/>
          <w:szCs w:val="26"/>
        </w:rPr>
        <w:t>s rejection of PIOGA</w:t>
      </w:r>
      <w:r w:rsidR="00734951">
        <w:rPr>
          <w:sz w:val="26"/>
          <w:szCs w:val="26"/>
        </w:rPr>
        <w:t>’</w:t>
      </w:r>
      <w:r w:rsidR="00925E66">
        <w:rPr>
          <w:sz w:val="26"/>
          <w:szCs w:val="26"/>
        </w:rPr>
        <w:t xml:space="preserve">s argument </w:t>
      </w:r>
      <w:r w:rsidR="00B0052C">
        <w:rPr>
          <w:sz w:val="26"/>
          <w:szCs w:val="26"/>
        </w:rPr>
        <w:t>that</w:t>
      </w:r>
      <w:r w:rsidR="00170622">
        <w:rPr>
          <w:sz w:val="26"/>
          <w:szCs w:val="26"/>
        </w:rPr>
        <w:t xml:space="preserve"> </w:t>
      </w:r>
      <w:r w:rsidR="00A41D13">
        <w:rPr>
          <w:sz w:val="26"/>
          <w:szCs w:val="26"/>
        </w:rPr>
        <w:t>producers</w:t>
      </w:r>
      <w:r w:rsidR="00B0052C">
        <w:rPr>
          <w:sz w:val="26"/>
          <w:szCs w:val="26"/>
        </w:rPr>
        <w:t xml:space="preserve"> should not be </w:t>
      </w:r>
      <w:r w:rsidR="0097154A">
        <w:rPr>
          <w:sz w:val="26"/>
          <w:szCs w:val="26"/>
        </w:rPr>
        <w:t>held liable</w:t>
      </w:r>
      <w:r w:rsidR="00B0052C">
        <w:rPr>
          <w:sz w:val="26"/>
          <w:szCs w:val="26"/>
        </w:rPr>
        <w:t xml:space="preserve"> as they </w:t>
      </w:r>
      <w:r w:rsidR="0097154A">
        <w:rPr>
          <w:sz w:val="26"/>
          <w:szCs w:val="26"/>
        </w:rPr>
        <w:t>are not responsible for the gathering system losses</w:t>
      </w:r>
      <w:r w:rsidR="00925E66">
        <w:rPr>
          <w:sz w:val="26"/>
          <w:szCs w:val="26"/>
        </w:rPr>
        <w:t xml:space="preserve">. </w:t>
      </w:r>
      <w:r w:rsidR="00BE56C4">
        <w:rPr>
          <w:sz w:val="26"/>
          <w:szCs w:val="26"/>
        </w:rPr>
        <w:t xml:space="preserve"> </w:t>
      </w:r>
      <w:r w:rsidR="00170622">
        <w:rPr>
          <w:sz w:val="26"/>
          <w:szCs w:val="26"/>
        </w:rPr>
        <w:t xml:space="preserve">The </w:t>
      </w:r>
      <w:r w:rsidR="00BE56C4">
        <w:rPr>
          <w:sz w:val="26"/>
          <w:szCs w:val="26"/>
        </w:rPr>
        <w:t xml:space="preserve">OSBA reiterates its argument that </w:t>
      </w:r>
      <w:r w:rsidR="008635B7">
        <w:rPr>
          <w:sz w:val="26"/>
          <w:szCs w:val="26"/>
        </w:rPr>
        <w:t>going by PIOGA</w:t>
      </w:r>
      <w:r w:rsidR="00734951">
        <w:rPr>
          <w:sz w:val="26"/>
          <w:szCs w:val="26"/>
        </w:rPr>
        <w:t>’</w:t>
      </w:r>
      <w:r w:rsidR="008635B7">
        <w:rPr>
          <w:sz w:val="26"/>
          <w:szCs w:val="26"/>
        </w:rPr>
        <w:t xml:space="preserve">s logic, </w:t>
      </w:r>
      <w:r w:rsidR="00BE56C4">
        <w:rPr>
          <w:sz w:val="26"/>
          <w:szCs w:val="26"/>
        </w:rPr>
        <w:t xml:space="preserve">if producers </w:t>
      </w:r>
      <w:r w:rsidR="0011518A">
        <w:rPr>
          <w:sz w:val="26"/>
          <w:szCs w:val="26"/>
        </w:rPr>
        <w:t>are not</w:t>
      </w:r>
      <w:r w:rsidR="00835045">
        <w:rPr>
          <w:sz w:val="26"/>
          <w:szCs w:val="26"/>
        </w:rPr>
        <w:t xml:space="preserve"> responsible </w:t>
      </w:r>
      <w:r w:rsidR="006006E4">
        <w:rPr>
          <w:sz w:val="26"/>
          <w:szCs w:val="26"/>
        </w:rPr>
        <w:t xml:space="preserve">even though </w:t>
      </w:r>
      <w:r w:rsidR="00835045">
        <w:rPr>
          <w:sz w:val="26"/>
          <w:szCs w:val="26"/>
        </w:rPr>
        <w:t xml:space="preserve">they benefit from </w:t>
      </w:r>
      <w:r w:rsidR="00BE56C4">
        <w:rPr>
          <w:sz w:val="26"/>
          <w:szCs w:val="26"/>
        </w:rPr>
        <w:t xml:space="preserve">the </w:t>
      </w:r>
      <w:r w:rsidR="00835045">
        <w:rPr>
          <w:sz w:val="26"/>
          <w:szCs w:val="26"/>
        </w:rPr>
        <w:t>Compan</w:t>
      </w:r>
      <w:r w:rsidR="002E7B14">
        <w:rPr>
          <w:sz w:val="26"/>
          <w:szCs w:val="26"/>
        </w:rPr>
        <w:t>y</w:t>
      </w:r>
      <w:r w:rsidR="00734951">
        <w:rPr>
          <w:sz w:val="26"/>
          <w:szCs w:val="26"/>
        </w:rPr>
        <w:t>’</w:t>
      </w:r>
      <w:r w:rsidR="002E7B14">
        <w:rPr>
          <w:sz w:val="26"/>
          <w:szCs w:val="26"/>
        </w:rPr>
        <w:t>s</w:t>
      </w:r>
      <w:r w:rsidR="00835045">
        <w:rPr>
          <w:sz w:val="26"/>
          <w:szCs w:val="26"/>
        </w:rPr>
        <w:t xml:space="preserve"> </w:t>
      </w:r>
      <w:r w:rsidR="00BE56C4">
        <w:rPr>
          <w:sz w:val="26"/>
          <w:szCs w:val="26"/>
        </w:rPr>
        <w:t>gathering system</w:t>
      </w:r>
      <w:r w:rsidR="00835045">
        <w:rPr>
          <w:sz w:val="26"/>
          <w:szCs w:val="26"/>
        </w:rPr>
        <w:t xml:space="preserve">, </w:t>
      </w:r>
      <w:r w:rsidR="006006E4">
        <w:rPr>
          <w:sz w:val="26"/>
          <w:szCs w:val="26"/>
        </w:rPr>
        <w:t xml:space="preserve">then </w:t>
      </w:r>
      <w:r w:rsidR="00BE56C4">
        <w:rPr>
          <w:sz w:val="26"/>
          <w:szCs w:val="26"/>
        </w:rPr>
        <w:t xml:space="preserve">the same should apply to </w:t>
      </w:r>
      <w:r w:rsidR="006006E4">
        <w:rPr>
          <w:sz w:val="26"/>
          <w:szCs w:val="26"/>
        </w:rPr>
        <w:t>Peoples</w:t>
      </w:r>
      <w:r w:rsidR="00734951">
        <w:rPr>
          <w:sz w:val="26"/>
          <w:szCs w:val="26"/>
        </w:rPr>
        <w:t>’</w:t>
      </w:r>
      <w:r w:rsidR="006006E4">
        <w:rPr>
          <w:sz w:val="26"/>
          <w:szCs w:val="26"/>
        </w:rPr>
        <w:t xml:space="preserve"> </w:t>
      </w:r>
      <w:r w:rsidR="00BE56C4">
        <w:rPr>
          <w:sz w:val="26"/>
          <w:szCs w:val="26"/>
        </w:rPr>
        <w:t xml:space="preserve">sales and transportation customers.  </w:t>
      </w:r>
      <w:r w:rsidR="006C09DD">
        <w:rPr>
          <w:sz w:val="26"/>
          <w:szCs w:val="26"/>
        </w:rPr>
        <w:t>Accordingly</w:t>
      </w:r>
      <w:r w:rsidR="00BE56C4">
        <w:rPr>
          <w:sz w:val="26"/>
          <w:szCs w:val="26"/>
        </w:rPr>
        <w:t xml:space="preserve">, </w:t>
      </w:r>
      <w:r w:rsidR="00170622">
        <w:rPr>
          <w:sz w:val="26"/>
          <w:szCs w:val="26"/>
        </w:rPr>
        <w:t xml:space="preserve">the </w:t>
      </w:r>
      <w:r w:rsidR="00BE56C4">
        <w:rPr>
          <w:sz w:val="26"/>
          <w:szCs w:val="26"/>
        </w:rPr>
        <w:t xml:space="preserve">OSBA concludes the ALJ was correct in his determination that because producers clearly benefit from their connection to the gathering system, they should pay their fair share of the UFG costs and help to mitigate </w:t>
      </w:r>
      <w:r w:rsidR="00C42033">
        <w:rPr>
          <w:sz w:val="26"/>
          <w:szCs w:val="26"/>
        </w:rPr>
        <w:t>the Compan</w:t>
      </w:r>
      <w:r w:rsidR="002E7B14">
        <w:rPr>
          <w:sz w:val="26"/>
          <w:szCs w:val="26"/>
        </w:rPr>
        <w:t>y</w:t>
      </w:r>
      <w:r w:rsidR="00734951">
        <w:rPr>
          <w:sz w:val="26"/>
          <w:szCs w:val="26"/>
        </w:rPr>
        <w:t>’</w:t>
      </w:r>
      <w:r w:rsidR="002E7B14">
        <w:rPr>
          <w:sz w:val="26"/>
          <w:szCs w:val="26"/>
        </w:rPr>
        <w:t>s</w:t>
      </w:r>
      <w:r w:rsidR="00C42033">
        <w:rPr>
          <w:sz w:val="26"/>
          <w:szCs w:val="26"/>
        </w:rPr>
        <w:t xml:space="preserve"> gathering system UFG through the retainage charge.  OSBA R</w:t>
      </w:r>
      <w:r w:rsidR="00DA66BE">
        <w:rPr>
          <w:sz w:val="26"/>
          <w:szCs w:val="26"/>
        </w:rPr>
        <w:t xml:space="preserve">. Exc. </w:t>
      </w:r>
      <w:r w:rsidR="00C42033">
        <w:rPr>
          <w:sz w:val="26"/>
          <w:szCs w:val="26"/>
        </w:rPr>
        <w:t>at 5-6.</w:t>
      </w:r>
    </w:p>
    <w:p w14:paraId="332C41D0" w14:textId="5D32270F" w:rsidR="00142B7E" w:rsidRDefault="00142B7E" w:rsidP="007374FA">
      <w:pPr>
        <w:widowControl/>
        <w:tabs>
          <w:tab w:val="left" w:pos="1445"/>
          <w:tab w:val="left" w:pos="7920"/>
        </w:tabs>
        <w:autoSpaceDE w:val="0"/>
        <w:autoSpaceDN w:val="0"/>
        <w:adjustRightInd w:val="0"/>
        <w:spacing w:line="360" w:lineRule="auto"/>
        <w:rPr>
          <w:sz w:val="26"/>
          <w:szCs w:val="26"/>
        </w:rPr>
      </w:pPr>
    </w:p>
    <w:p w14:paraId="68114017" w14:textId="11203F6A" w:rsidR="000E723C" w:rsidRPr="000E723C" w:rsidRDefault="000E723C" w:rsidP="00A666DC">
      <w:pPr>
        <w:keepNext/>
        <w:keepLines/>
        <w:widowControl/>
        <w:tabs>
          <w:tab w:val="left" w:pos="1445"/>
          <w:tab w:val="left" w:pos="7920"/>
        </w:tabs>
        <w:autoSpaceDE w:val="0"/>
        <w:autoSpaceDN w:val="0"/>
        <w:adjustRightInd w:val="0"/>
        <w:spacing w:line="360" w:lineRule="auto"/>
        <w:rPr>
          <w:b/>
          <w:sz w:val="26"/>
          <w:szCs w:val="26"/>
        </w:rPr>
      </w:pPr>
      <w:r>
        <w:rPr>
          <w:sz w:val="26"/>
          <w:szCs w:val="26"/>
        </w:rPr>
        <w:tab/>
      </w:r>
      <w:r w:rsidRPr="000E723C">
        <w:rPr>
          <w:b/>
          <w:sz w:val="26"/>
          <w:szCs w:val="26"/>
        </w:rPr>
        <w:t xml:space="preserve">a.   </w:t>
      </w:r>
      <w:r>
        <w:rPr>
          <w:b/>
          <w:sz w:val="26"/>
          <w:szCs w:val="26"/>
        </w:rPr>
        <w:t>Disposition</w:t>
      </w:r>
    </w:p>
    <w:p w14:paraId="109CA31A" w14:textId="77777777" w:rsidR="000E723C" w:rsidRDefault="000E723C" w:rsidP="00A666DC">
      <w:pPr>
        <w:keepNext/>
        <w:keepLines/>
        <w:widowControl/>
        <w:tabs>
          <w:tab w:val="left" w:pos="1445"/>
          <w:tab w:val="left" w:pos="7920"/>
        </w:tabs>
        <w:autoSpaceDE w:val="0"/>
        <w:autoSpaceDN w:val="0"/>
        <w:adjustRightInd w:val="0"/>
        <w:spacing w:line="360" w:lineRule="auto"/>
        <w:rPr>
          <w:sz w:val="26"/>
          <w:szCs w:val="26"/>
        </w:rPr>
      </w:pPr>
    </w:p>
    <w:p w14:paraId="43E58794" w14:textId="411B534F" w:rsidR="00596BF4" w:rsidRDefault="00142B7E" w:rsidP="007374FA">
      <w:pPr>
        <w:widowControl/>
        <w:tabs>
          <w:tab w:val="left" w:pos="1445"/>
          <w:tab w:val="left" w:pos="7920"/>
        </w:tabs>
        <w:autoSpaceDE w:val="0"/>
        <w:autoSpaceDN w:val="0"/>
        <w:adjustRightInd w:val="0"/>
        <w:spacing w:line="360" w:lineRule="auto"/>
        <w:rPr>
          <w:sz w:val="26"/>
          <w:szCs w:val="26"/>
        </w:rPr>
      </w:pPr>
      <w:r>
        <w:rPr>
          <w:sz w:val="26"/>
          <w:szCs w:val="26"/>
        </w:rPr>
        <w:tab/>
        <w:t>Upon review, we shall deny PIOGA</w:t>
      </w:r>
      <w:r w:rsidR="00734951">
        <w:rPr>
          <w:sz w:val="26"/>
          <w:szCs w:val="26"/>
        </w:rPr>
        <w:t>’</w:t>
      </w:r>
      <w:r>
        <w:rPr>
          <w:sz w:val="26"/>
          <w:szCs w:val="26"/>
        </w:rPr>
        <w:t>s Exception No. 5.  We are not convinced by PIOGA</w:t>
      </w:r>
      <w:r w:rsidR="00734951">
        <w:rPr>
          <w:sz w:val="26"/>
          <w:szCs w:val="26"/>
        </w:rPr>
        <w:t>’</w:t>
      </w:r>
      <w:r>
        <w:rPr>
          <w:sz w:val="26"/>
          <w:szCs w:val="26"/>
        </w:rPr>
        <w:t>s argument regarding this matter.  While we acknowledge that Peoples</w:t>
      </w:r>
      <w:r w:rsidR="00734951">
        <w:rPr>
          <w:sz w:val="26"/>
          <w:szCs w:val="26"/>
        </w:rPr>
        <w:t>’</w:t>
      </w:r>
      <w:r>
        <w:rPr>
          <w:sz w:val="26"/>
          <w:szCs w:val="26"/>
        </w:rPr>
        <w:t xml:space="preserve"> investments in its gathering system is not </w:t>
      </w:r>
      <w:r w:rsidR="001038DD">
        <w:rPr>
          <w:sz w:val="26"/>
          <w:szCs w:val="26"/>
        </w:rPr>
        <w:t xml:space="preserve">equivalent </w:t>
      </w:r>
      <w:r>
        <w:rPr>
          <w:sz w:val="26"/>
          <w:szCs w:val="26"/>
        </w:rPr>
        <w:t>to the investments in its distribution system, we also recognize the Compan</w:t>
      </w:r>
      <w:r w:rsidR="00C667B1">
        <w:rPr>
          <w:sz w:val="26"/>
          <w:szCs w:val="26"/>
        </w:rPr>
        <w:t>y</w:t>
      </w:r>
      <w:r w:rsidR="00734951">
        <w:rPr>
          <w:sz w:val="26"/>
          <w:szCs w:val="26"/>
        </w:rPr>
        <w:t>’</w:t>
      </w:r>
      <w:r w:rsidR="00C667B1">
        <w:rPr>
          <w:sz w:val="26"/>
          <w:szCs w:val="26"/>
        </w:rPr>
        <w:t xml:space="preserve">s </w:t>
      </w:r>
      <w:r>
        <w:rPr>
          <w:sz w:val="26"/>
          <w:szCs w:val="26"/>
        </w:rPr>
        <w:t>explanation that for safety reasons</w:t>
      </w:r>
      <w:r w:rsidR="000538C9">
        <w:rPr>
          <w:sz w:val="26"/>
          <w:szCs w:val="26"/>
        </w:rPr>
        <w:t xml:space="preserve"> and due to the criteria utilized in risk rankings under </w:t>
      </w:r>
      <w:r w:rsidR="0011518A">
        <w:rPr>
          <w:sz w:val="26"/>
          <w:szCs w:val="26"/>
        </w:rPr>
        <w:t xml:space="preserve">the federally mandated </w:t>
      </w:r>
      <w:r w:rsidR="000538C9">
        <w:rPr>
          <w:sz w:val="26"/>
          <w:szCs w:val="26"/>
        </w:rPr>
        <w:t>DIMP</w:t>
      </w:r>
      <w:r>
        <w:rPr>
          <w:sz w:val="26"/>
          <w:szCs w:val="26"/>
        </w:rPr>
        <w:t xml:space="preserve">, </w:t>
      </w:r>
      <w:r>
        <w:rPr>
          <w:sz w:val="26"/>
          <w:szCs w:val="26"/>
        </w:rPr>
        <w:lastRenderedPageBreak/>
        <w:t>Peoples initial post-acquisition capital investment</w:t>
      </w:r>
      <w:r w:rsidR="00DF7E51">
        <w:rPr>
          <w:sz w:val="26"/>
          <w:szCs w:val="26"/>
        </w:rPr>
        <w:t>s</w:t>
      </w:r>
      <w:r>
        <w:rPr>
          <w:sz w:val="26"/>
          <w:szCs w:val="26"/>
        </w:rPr>
        <w:t xml:space="preserve"> </w:t>
      </w:r>
      <w:r w:rsidR="000538C9">
        <w:rPr>
          <w:sz w:val="26"/>
          <w:szCs w:val="26"/>
        </w:rPr>
        <w:t>w</w:t>
      </w:r>
      <w:r w:rsidR="00DF7E51">
        <w:rPr>
          <w:sz w:val="26"/>
          <w:szCs w:val="26"/>
        </w:rPr>
        <w:t>ere</w:t>
      </w:r>
      <w:r>
        <w:rPr>
          <w:sz w:val="26"/>
          <w:szCs w:val="26"/>
        </w:rPr>
        <w:t xml:space="preserve"> focused more on replacing at</w:t>
      </w:r>
      <w:r w:rsidR="00BA79A8">
        <w:rPr>
          <w:sz w:val="26"/>
          <w:szCs w:val="26"/>
        </w:rPr>
        <w:noBreakHyphen/>
      </w:r>
      <w:r>
        <w:rPr>
          <w:sz w:val="26"/>
          <w:szCs w:val="26"/>
        </w:rPr>
        <w:t xml:space="preserve">risk distribution pipelines.  </w:t>
      </w:r>
      <w:bookmarkStart w:id="46" w:name="_Hlk523906107"/>
      <w:r w:rsidR="000538C9">
        <w:rPr>
          <w:sz w:val="26"/>
          <w:szCs w:val="26"/>
        </w:rPr>
        <w:t>Peoples</w:t>
      </w:r>
      <w:r w:rsidR="00F40A8D">
        <w:rPr>
          <w:sz w:val="26"/>
          <w:szCs w:val="26"/>
        </w:rPr>
        <w:t xml:space="preserve"> has indicated</w:t>
      </w:r>
      <w:r w:rsidR="000538C9">
        <w:rPr>
          <w:sz w:val="26"/>
          <w:szCs w:val="26"/>
        </w:rPr>
        <w:t xml:space="preserve"> that the distribution pipelines represent 71% of the targeted pipelines </w:t>
      </w:r>
      <w:r w:rsidR="0011518A">
        <w:rPr>
          <w:sz w:val="26"/>
          <w:szCs w:val="26"/>
        </w:rPr>
        <w:t>and</w:t>
      </w:r>
      <w:r w:rsidR="000538C9">
        <w:rPr>
          <w:sz w:val="26"/>
          <w:szCs w:val="26"/>
        </w:rPr>
        <w:t xml:space="preserve"> serve 99% of the Companies</w:t>
      </w:r>
      <w:r w:rsidR="00734951">
        <w:rPr>
          <w:sz w:val="26"/>
          <w:szCs w:val="26"/>
        </w:rPr>
        <w:t>’</w:t>
      </w:r>
      <w:r w:rsidR="000538C9">
        <w:rPr>
          <w:sz w:val="26"/>
          <w:szCs w:val="26"/>
        </w:rPr>
        <w:t xml:space="preserve"> customers</w:t>
      </w:r>
      <w:r w:rsidR="0011518A">
        <w:rPr>
          <w:sz w:val="26"/>
          <w:szCs w:val="26"/>
        </w:rPr>
        <w:t xml:space="preserve"> compared to</w:t>
      </w:r>
      <w:r w:rsidR="000538C9">
        <w:rPr>
          <w:sz w:val="26"/>
          <w:szCs w:val="26"/>
        </w:rPr>
        <w:t xml:space="preserve"> the gathering pipelines </w:t>
      </w:r>
      <w:r w:rsidR="0011518A">
        <w:rPr>
          <w:sz w:val="26"/>
          <w:szCs w:val="26"/>
        </w:rPr>
        <w:t xml:space="preserve">which </w:t>
      </w:r>
      <w:r w:rsidR="000538C9">
        <w:rPr>
          <w:sz w:val="26"/>
          <w:szCs w:val="26"/>
        </w:rPr>
        <w:t xml:space="preserve">represent 29% of the targeted pipeline miles and directly serve only 1% of </w:t>
      </w:r>
      <w:r w:rsidR="00DA0469">
        <w:rPr>
          <w:sz w:val="26"/>
          <w:szCs w:val="26"/>
        </w:rPr>
        <w:t xml:space="preserve">the </w:t>
      </w:r>
      <w:r w:rsidR="000538C9">
        <w:rPr>
          <w:sz w:val="26"/>
          <w:szCs w:val="26"/>
        </w:rPr>
        <w:t xml:space="preserve">Peoples </w:t>
      </w:r>
      <w:r w:rsidR="00DA0469">
        <w:rPr>
          <w:sz w:val="26"/>
          <w:szCs w:val="26"/>
        </w:rPr>
        <w:t>Companies</w:t>
      </w:r>
      <w:r w:rsidR="00734951">
        <w:rPr>
          <w:sz w:val="26"/>
          <w:szCs w:val="26"/>
        </w:rPr>
        <w:t>’</w:t>
      </w:r>
      <w:r w:rsidR="00842B9B">
        <w:rPr>
          <w:sz w:val="26"/>
          <w:szCs w:val="26"/>
        </w:rPr>
        <w:t xml:space="preserve"> </w:t>
      </w:r>
      <w:r w:rsidR="000538C9">
        <w:rPr>
          <w:sz w:val="26"/>
          <w:szCs w:val="26"/>
        </w:rPr>
        <w:t>customers.  PNG St. 5-R at 7-</w:t>
      </w:r>
      <w:r w:rsidR="00802B1E">
        <w:rPr>
          <w:sz w:val="26"/>
          <w:szCs w:val="26"/>
        </w:rPr>
        <w:t>9</w:t>
      </w:r>
      <w:r w:rsidR="000538C9">
        <w:rPr>
          <w:sz w:val="26"/>
          <w:szCs w:val="26"/>
        </w:rPr>
        <w:t>.</w:t>
      </w:r>
      <w:bookmarkEnd w:id="46"/>
      <w:r w:rsidR="000538C9">
        <w:rPr>
          <w:sz w:val="26"/>
          <w:szCs w:val="26"/>
        </w:rPr>
        <w:t xml:space="preserve">  </w:t>
      </w:r>
      <w:r w:rsidR="0011518A">
        <w:rPr>
          <w:sz w:val="26"/>
          <w:szCs w:val="26"/>
        </w:rPr>
        <w:t>We note that</w:t>
      </w:r>
      <w:r w:rsidR="0093493D">
        <w:rPr>
          <w:sz w:val="26"/>
          <w:szCs w:val="26"/>
        </w:rPr>
        <w:t xml:space="preserve"> Peoples has spent $17.1 million over the past four years </w:t>
      </w:r>
      <w:r w:rsidR="000538C9">
        <w:rPr>
          <w:sz w:val="26"/>
          <w:szCs w:val="26"/>
        </w:rPr>
        <w:t>to improve and upgrade its gathering pipeline infrastructure</w:t>
      </w:r>
      <w:r w:rsidR="00BE306A">
        <w:rPr>
          <w:sz w:val="26"/>
          <w:szCs w:val="26"/>
        </w:rPr>
        <w:t xml:space="preserve"> and has committed to spending another approximately $21.1 million over the next four years to further address its gathering system UFG</w:t>
      </w:r>
      <w:r w:rsidR="000538C9">
        <w:rPr>
          <w:sz w:val="26"/>
          <w:szCs w:val="26"/>
        </w:rPr>
        <w:t>.  PNG St. 1-R at 3.</w:t>
      </w:r>
      <w:r w:rsidR="0011518A">
        <w:rPr>
          <w:sz w:val="26"/>
          <w:szCs w:val="26"/>
        </w:rPr>
        <w:t xml:space="preserve">  During this four-year period, Peoples plan on removing 115.2 miles of at-risk gathering pipeline, and in the process, save $90 million that would be spent if the lines were replaced.  Peoples Gas Exh. 2 at 17-19.</w:t>
      </w:r>
      <w:r w:rsidR="00A744BD">
        <w:rPr>
          <w:sz w:val="26"/>
          <w:szCs w:val="26"/>
        </w:rPr>
        <w:t xml:space="preserve">  </w:t>
      </w:r>
      <w:bookmarkStart w:id="47" w:name="_Hlk523906206"/>
      <w:r w:rsidR="0011518A">
        <w:rPr>
          <w:sz w:val="26"/>
          <w:szCs w:val="26"/>
        </w:rPr>
        <w:t>M</w:t>
      </w:r>
      <w:r w:rsidR="00596BF4">
        <w:rPr>
          <w:sz w:val="26"/>
          <w:szCs w:val="26"/>
        </w:rPr>
        <w:t xml:space="preserve">ore importantly, we reiterate that </w:t>
      </w:r>
      <w:r w:rsidR="00070E54">
        <w:rPr>
          <w:sz w:val="26"/>
          <w:szCs w:val="26"/>
        </w:rPr>
        <w:t>in line with the Companies</w:t>
      </w:r>
      <w:r w:rsidR="00734951">
        <w:rPr>
          <w:sz w:val="26"/>
          <w:szCs w:val="26"/>
        </w:rPr>
        <w:t>’</w:t>
      </w:r>
      <w:r w:rsidR="00070E54">
        <w:rPr>
          <w:sz w:val="26"/>
          <w:szCs w:val="26"/>
        </w:rPr>
        <w:t xml:space="preserve"> commitment to reduce gathering system UFG and the fact that the producers are also beneficiaries of the Companies</w:t>
      </w:r>
      <w:r w:rsidR="00734951">
        <w:rPr>
          <w:sz w:val="26"/>
          <w:szCs w:val="26"/>
        </w:rPr>
        <w:t>’</w:t>
      </w:r>
      <w:r w:rsidR="00070E54">
        <w:rPr>
          <w:sz w:val="26"/>
          <w:szCs w:val="26"/>
        </w:rPr>
        <w:t xml:space="preserve"> gathering system, we find it </w:t>
      </w:r>
      <w:r w:rsidR="00D43656">
        <w:rPr>
          <w:sz w:val="26"/>
          <w:szCs w:val="26"/>
        </w:rPr>
        <w:t xml:space="preserve">is </w:t>
      </w:r>
      <w:r w:rsidR="00070E54">
        <w:rPr>
          <w:sz w:val="26"/>
          <w:szCs w:val="26"/>
        </w:rPr>
        <w:t>appropriate for the producers to contribute toward the cost of the gathering system UFG.  As such, we shall deny PIOGA</w:t>
      </w:r>
      <w:r w:rsidR="00734951">
        <w:rPr>
          <w:sz w:val="26"/>
          <w:szCs w:val="26"/>
        </w:rPr>
        <w:t>’</w:t>
      </w:r>
      <w:r w:rsidR="00070E54">
        <w:rPr>
          <w:sz w:val="26"/>
          <w:szCs w:val="26"/>
        </w:rPr>
        <w:t>s Exception No. 5.</w:t>
      </w:r>
      <w:bookmarkEnd w:id="47"/>
    </w:p>
    <w:p w14:paraId="578F0963" w14:textId="77777777" w:rsidR="00170C5D" w:rsidRDefault="00170C5D" w:rsidP="007374FA">
      <w:pPr>
        <w:widowControl/>
        <w:tabs>
          <w:tab w:val="left" w:pos="1445"/>
          <w:tab w:val="left" w:pos="7920"/>
        </w:tabs>
        <w:autoSpaceDE w:val="0"/>
        <w:autoSpaceDN w:val="0"/>
        <w:adjustRightInd w:val="0"/>
        <w:spacing w:line="360" w:lineRule="auto"/>
        <w:rPr>
          <w:sz w:val="26"/>
          <w:szCs w:val="26"/>
        </w:rPr>
      </w:pPr>
    </w:p>
    <w:p w14:paraId="256805E4" w14:textId="2368E3ED" w:rsidR="00F00853" w:rsidRPr="00F00853" w:rsidRDefault="00F00853" w:rsidP="00A666DC">
      <w:pPr>
        <w:pStyle w:val="Heading3"/>
      </w:pPr>
      <w:bookmarkStart w:id="48" w:name="_Toc524442368"/>
      <w:r w:rsidRPr="00F00853">
        <w:t>PIOGA</w:t>
      </w:r>
      <w:r w:rsidR="00734951">
        <w:t>’</w:t>
      </w:r>
      <w:r w:rsidRPr="00F00853">
        <w:t xml:space="preserve">s Exception No. </w:t>
      </w:r>
      <w:r>
        <w:t>6</w:t>
      </w:r>
      <w:r w:rsidR="00143956">
        <w:t xml:space="preserve">, </w:t>
      </w:r>
      <w:r w:rsidRPr="00F00853">
        <w:t>Replies</w:t>
      </w:r>
      <w:r w:rsidR="00143956">
        <w:t xml:space="preserve"> and Disposition</w:t>
      </w:r>
      <w:bookmarkEnd w:id="48"/>
    </w:p>
    <w:p w14:paraId="22B6B706" w14:textId="77777777" w:rsidR="00F00853" w:rsidRDefault="00F00853" w:rsidP="00A666DC">
      <w:pPr>
        <w:keepNext/>
        <w:keepLines/>
        <w:widowControl/>
        <w:tabs>
          <w:tab w:val="left" w:pos="1445"/>
          <w:tab w:val="left" w:pos="7920"/>
        </w:tabs>
        <w:autoSpaceDE w:val="0"/>
        <w:autoSpaceDN w:val="0"/>
        <w:adjustRightInd w:val="0"/>
        <w:spacing w:line="360" w:lineRule="auto"/>
        <w:rPr>
          <w:b/>
          <w:sz w:val="26"/>
          <w:szCs w:val="26"/>
        </w:rPr>
      </w:pPr>
    </w:p>
    <w:p w14:paraId="569827B0" w14:textId="14F6C369" w:rsidR="00CD22D4" w:rsidRDefault="00F00853" w:rsidP="007374FA">
      <w:pPr>
        <w:widowControl/>
        <w:tabs>
          <w:tab w:val="left" w:pos="1445"/>
          <w:tab w:val="left" w:pos="7920"/>
        </w:tabs>
        <w:autoSpaceDE w:val="0"/>
        <w:autoSpaceDN w:val="0"/>
        <w:adjustRightInd w:val="0"/>
        <w:spacing w:line="360" w:lineRule="auto"/>
        <w:rPr>
          <w:sz w:val="26"/>
          <w:szCs w:val="26"/>
        </w:rPr>
      </w:pPr>
      <w:r>
        <w:rPr>
          <w:b/>
          <w:sz w:val="26"/>
          <w:szCs w:val="26"/>
        </w:rPr>
        <w:tab/>
      </w:r>
      <w:r>
        <w:rPr>
          <w:sz w:val="26"/>
          <w:szCs w:val="26"/>
        </w:rPr>
        <w:t xml:space="preserve">In its Exception No. </w:t>
      </w:r>
      <w:r w:rsidR="007654FF">
        <w:rPr>
          <w:sz w:val="26"/>
          <w:szCs w:val="26"/>
        </w:rPr>
        <w:t>6</w:t>
      </w:r>
      <w:r>
        <w:rPr>
          <w:sz w:val="26"/>
          <w:szCs w:val="26"/>
        </w:rPr>
        <w:t xml:space="preserve">, PIOGA </w:t>
      </w:r>
      <w:r w:rsidR="00BA79A8">
        <w:rPr>
          <w:sz w:val="26"/>
          <w:szCs w:val="26"/>
        </w:rPr>
        <w:t xml:space="preserve">asserts that </w:t>
      </w:r>
      <w:r>
        <w:rPr>
          <w:sz w:val="26"/>
          <w:szCs w:val="26"/>
        </w:rPr>
        <w:t>the ALJ</w:t>
      </w:r>
      <w:r w:rsidR="00734951">
        <w:rPr>
          <w:sz w:val="26"/>
          <w:szCs w:val="26"/>
        </w:rPr>
        <w:t>’</w:t>
      </w:r>
      <w:r>
        <w:rPr>
          <w:sz w:val="26"/>
          <w:szCs w:val="26"/>
        </w:rPr>
        <w:t xml:space="preserve">s </w:t>
      </w:r>
      <w:r w:rsidR="00AF48F3">
        <w:rPr>
          <w:sz w:val="26"/>
          <w:szCs w:val="26"/>
        </w:rPr>
        <w:t xml:space="preserve">approval of </w:t>
      </w:r>
      <w:r w:rsidR="00CD22D4">
        <w:rPr>
          <w:sz w:val="26"/>
          <w:szCs w:val="26"/>
        </w:rPr>
        <w:t>the proposed charge to deliveries of conventional gas well</w:t>
      </w:r>
      <w:r w:rsidR="00346C69">
        <w:rPr>
          <w:sz w:val="26"/>
          <w:szCs w:val="26"/>
        </w:rPr>
        <w:t>s</w:t>
      </w:r>
      <w:r w:rsidR="00CD22D4">
        <w:rPr>
          <w:sz w:val="26"/>
          <w:szCs w:val="26"/>
        </w:rPr>
        <w:t xml:space="preserve"> into </w:t>
      </w:r>
      <w:r w:rsidR="001F5DEA">
        <w:rPr>
          <w:sz w:val="26"/>
          <w:szCs w:val="26"/>
        </w:rPr>
        <w:t>Peoples</w:t>
      </w:r>
      <w:r w:rsidR="00734951">
        <w:rPr>
          <w:sz w:val="26"/>
          <w:szCs w:val="26"/>
        </w:rPr>
        <w:t>’</w:t>
      </w:r>
      <w:r w:rsidR="00CD22D4">
        <w:rPr>
          <w:sz w:val="26"/>
          <w:szCs w:val="26"/>
        </w:rPr>
        <w:t xml:space="preserve"> distribution and transmission pipelines is contrary to well-known and long-established rules requiring evidence to support a utility</w:t>
      </w:r>
      <w:r w:rsidR="00734951">
        <w:rPr>
          <w:sz w:val="26"/>
          <w:szCs w:val="26"/>
        </w:rPr>
        <w:t>’</w:t>
      </w:r>
      <w:r w:rsidR="00CD22D4">
        <w:rPr>
          <w:sz w:val="26"/>
          <w:szCs w:val="26"/>
        </w:rPr>
        <w:t>s tariff proposals.  Exc. at 18</w:t>
      </w:r>
      <w:r w:rsidR="00377CB7">
        <w:rPr>
          <w:sz w:val="26"/>
          <w:szCs w:val="26"/>
        </w:rPr>
        <w:t xml:space="preserve"> (citing R.D. at 84-86; Conclusions of Law Nos. 11-15, 27; Ordering Paragraph Nos. 2, 5, 6)</w:t>
      </w:r>
      <w:r w:rsidR="00CD22D4">
        <w:rPr>
          <w:sz w:val="26"/>
          <w:szCs w:val="26"/>
        </w:rPr>
        <w:t xml:space="preserve">.  PIOGA questions the </w:t>
      </w:r>
      <w:r w:rsidR="00346C69">
        <w:rPr>
          <w:sz w:val="26"/>
          <w:szCs w:val="26"/>
        </w:rPr>
        <w:t>ALJ</w:t>
      </w:r>
      <w:r w:rsidR="00734951">
        <w:rPr>
          <w:sz w:val="26"/>
          <w:szCs w:val="26"/>
        </w:rPr>
        <w:t>’</w:t>
      </w:r>
      <w:r w:rsidR="00346C69">
        <w:rPr>
          <w:sz w:val="26"/>
          <w:szCs w:val="26"/>
        </w:rPr>
        <w:t xml:space="preserve">s </w:t>
      </w:r>
      <w:r w:rsidR="00CD22D4">
        <w:rPr>
          <w:sz w:val="26"/>
          <w:szCs w:val="26"/>
        </w:rPr>
        <w:t xml:space="preserve">approval </w:t>
      </w:r>
      <w:r w:rsidR="00C844C6">
        <w:rPr>
          <w:sz w:val="26"/>
          <w:szCs w:val="26"/>
        </w:rPr>
        <w:t xml:space="preserve">of the </w:t>
      </w:r>
      <w:r w:rsidR="00530CCD">
        <w:rPr>
          <w:sz w:val="26"/>
          <w:szCs w:val="26"/>
        </w:rPr>
        <w:t>Rate GS for all conventional production</w:t>
      </w:r>
      <w:r w:rsidR="00C844C6">
        <w:rPr>
          <w:sz w:val="26"/>
          <w:szCs w:val="26"/>
        </w:rPr>
        <w:t xml:space="preserve"> </w:t>
      </w:r>
      <w:r w:rsidR="00346C69">
        <w:rPr>
          <w:sz w:val="26"/>
          <w:szCs w:val="26"/>
        </w:rPr>
        <w:t xml:space="preserve">in spite of </w:t>
      </w:r>
      <w:r w:rsidR="00737F4E">
        <w:rPr>
          <w:sz w:val="26"/>
          <w:szCs w:val="26"/>
        </w:rPr>
        <w:t xml:space="preserve">the </w:t>
      </w:r>
      <w:r w:rsidR="00346C69">
        <w:rPr>
          <w:sz w:val="26"/>
          <w:szCs w:val="26"/>
        </w:rPr>
        <w:t>several</w:t>
      </w:r>
      <w:r w:rsidR="00CD22D4">
        <w:rPr>
          <w:sz w:val="26"/>
          <w:szCs w:val="26"/>
        </w:rPr>
        <w:t xml:space="preserve"> </w:t>
      </w:r>
      <w:r w:rsidR="00346C69">
        <w:rPr>
          <w:sz w:val="26"/>
          <w:szCs w:val="26"/>
        </w:rPr>
        <w:t>F</w:t>
      </w:r>
      <w:r w:rsidR="00CD22D4">
        <w:rPr>
          <w:sz w:val="26"/>
          <w:szCs w:val="26"/>
        </w:rPr>
        <w:t xml:space="preserve">indings of </w:t>
      </w:r>
      <w:r w:rsidR="00346C69">
        <w:rPr>
          <w:sz w:val="26"/>
          <w:szCs w:val="26"/>
        </w:rPr>
        <w:t>F</w:t>
      </w:r>
      <w:r w:rsidR="00CD22D4">
        <w:rPr>
          <w:sz w:val="26"/>
          <w:szCs w:val="26"/>
        </w:rPr>
        <w:t xml:space="preserve">act in this proceeding supporting the fact </w:t>
      </w:r>
      <w:r w:rsidR="00737F4E">
        <w:rPr>
          <w:sz w:val="26"/>
          <w:szCs w:val="26"/>
        </w:rPr>
        <w:t xml:space="preserve">that </w:t>
      </w:r>
      <w:r w:rsidR="00CD22D4">
        <w:rPr>
          <w:sz w:val="26"/>
          <w:szCs w:val="26"/>
        </w:rPr>
        <w:t>P</w:t>
      </w:r>
      <w:r w:rsidR="001C41FE">
        <w:rPr>
          <w:sz w:val="26"/>
          <w:szCs w:val="26"/>
        </w:rPr>
        <w:t>eoples</w:t>
      </w:r>
      <w:r w:rsidR="00CD22D4">
        <w:rPr>
          <w:sz w:val="26"/>
          <w:szCs w:val="26"/>
        </w:rPr>
        <w:t xml:space="preserve"> </w:t>
      </w:r>
      <w:r w:rsidR="001C41FE">
        <w:rPr>
          <w:sz w:val="26"/>
          <w:szCs w:val="26"/>
        </w:rPr>
        <w:t>intended</w:t>
      </w:r>
      <w:r w:rsidR="00CD22D4">
        <w:rPr>
          <w:sz w:val="26"/>
          <w:szCs w:val="26"/>
        </w:rPr>
        <w:t xml:space="preserve"> to apply the charge only to what it termed</w:t>
      </w:r>
      <w:r w:rsidR="001C41FE">
        <w:rPr>
          <w:sz w:val="26"/>
          <w:szCs w:val="26"/>
        </w:rPr>
        <w:t xml:space="preserve"> </w:t>
      </w:r>
      <w:r w:rsidR="00734951">
        <w:rPr>
          <w:sz w:val="26"/>
          <w:szCs w:val="26"/>
        </w:rPr>
        <w:t>“</w:t>
      </w:r>
      <w:r w:rsidR="00CD22D4">
        <w:rPr>
          <w:sz w:val="26"/>
          <w:szCs w:val="26"/>
        </w:rPr>
        <w:t>gathering pipelines.</w:t>
      </w:r>
      <w:r w:rsidR="00734951">
        <w:rPr>
          <w:sz w:val="26"/>
          <w:szCs w:val="26"/>
        </w:rPr>
        <w:t>”</w:t>
      </w:r>
      <w:r w:rsidR="00CD22D4">
        <w:rPr>
          <w:rStyle w:val="FootnoteReference"/>
          <w:sz w:val="26"/>
          <w:szCs w:val="26"/>
        </w:rPr>
        <w:footnoteReference w:id="27"/>
      </w:r>
      <w:r w:rsidR="00CD22D4">
        <w:rPr>
          <w:sz w:val="26"/>
          <w:szCs w:val="26"/>
        </w:rPr>
        <w:t xml:space="preserve">  PIOGA reference</w:t>
      </w:r>
      <w:r w:rsidR="00647C98">
        <w:rPr>
          <w:sz w:val="26"/>
          <w:szCs w:val="26"/>
        </w:rPr>
        <w:t>s</w:t>
      </w:r>
      <w:r w:rsidR="00CD22D4">
        <w:rPr>
          <w:sz w:val="26"/>
          <w:szCs w:val="26"/>
        </w:rPr>
        <w:t xml:space="preserve"> </w:t>
      </w:r>
      <w:r w:rsidR="00647C98">
        <w:rPr>
          <w:sz w:val="26"/>
          <w:szCs w:val="26"/>
        </w:rPr>
        <w:t>P</w:t>
      </w:r>
      <w:r w:rsidR="001C41FE">
        <w:rPr>
          <w:sz w:val="26"/>
          <w:szCs w:val="26"/>
        </w:rPr>
        <w:t>eoples</w:t>
      </w:r>
      <w:r w:rsidR="00734951">
        <w:rPr>
          <w:sz w:val="26"/>
          <w:szCs w:val="26"/>
        </w:rPr>
        <w:t>’</w:t>
      </w:r>
      <w:r w:rsidR="00647C98">
        <w:rPr>
          <w:sz w:val="26"/>
          <w:szCs w:val="26"/>
        </w:rPr>
        <w:t xml:space="preserve"> testimony that </w:t>
      </w:r>
      <w:r w:rsidR="00734951">
        <w:rPr>
          <w:sz w:val="26"/>
          <w:szCs w:val="26"/>
        </w:rPr>
        <w:t>“</w:t>
      </w:r>
      <w:r w:rsidR="00647C98">
        <w:rPr>
          <w:sz w:val="26"/>
          <w:szCs w:val="26"/>
        </w:rPr>
        <w:t xml:space="preserve">[t]here are two proposed changes, one for the Peoples Division tariff and </w:t>
      </w:r>
      <w:r w:rsidR="00647C98">
        <w:rPr>
          <w:sz w:val="26"/>
          <w:szCs w:val="26"/>
        </w:rPr>
        <w:lastRenderedPageBreak/>
        <w:t xml:space="preserve">one for the Equitable division tariff; </w:t>
      </w:r>
      <w:r w:rsidR="00647C98" w:rsidRPr="00647C98">
        <w:rPr>
          <w:b/>
          <w:i/>
          <w:sz w:val="26"/>
          <w:szCs w:val="26"/>
        </w:rPr>
        <w:t>both regarding gathering retainage.</w:t>
      </w:r>
      <w:r w:rsidR="00734951">
        <w:rPr>
          <w:b/>
          <w:i/>
          <w:sz w:val="26"/>
          <w:szCs w:val="26"/>
        </w:rPr>
        <w:t>”</w:t>
      </w:r>
      <w:r w:rsidR="00647C98">
        <w:rPr>
          <w:sz w:val="26"/>
          <w:szCs w:val="26"/>
        </w:rPr>
        <w:t xml:space="preserve">  </w:t>
      </w:r>
      <w:r w:rsidR="001C41FE">
        <w:rPr>
          <w:sz w:val="26"/>
          <w:szCs w:val="26"/>
        </w:rPr>
        <w:t>Exc.</w:t>
      </w:r>
      <w:r w:rsidR="00647C98" w:rsidRPr="00647C98">
        <w:rPr>
          <w:i/>
          <w:sz w:val="26"/>
          <w:szCs w:val="26"/>
        </w:rPr>
        <w:t xml:space="preserve"> </w:t>
      </w:r>
      <w:r w:rsidR="00647C98">
        <w:rPr>
          <w:sz w:val="26"/>
          <w:szCs w:val="26"/>
        </w:rPr>
        <w:t>at 18-19 (citing PNG St. 1 at 13)</w:t>
      </w:r>
      <w:r w:rsidR="001038DD">
        <w:rPr>
          <w:sz w:val="26"/>
          <w:szCs w:val="26"/>
        </w:rPr>
        <w:t xml:space="preserve"> (emphasis by PIOGA)</w:t>
      </w:r>
      <w:r w:rsidR="00647C98">
        <w:rPr>
          <w:sz w:val="26"/>
          <w:szCs w:val="26"/>
        </w:rPr>
        <w:t>.</w:t>
      </w:r>
      <w:r w:rsidR="00A46751">
        <w:rPr>
          <w:sz w:val="26"/>
          <w:szCs w:val="26"/>
        </w:rPr>
        <w:t xml:space="preserve">  PIOGA also points out the fact that the OCA</w:t>
      </w:r>
      <w:r w:rsidR="00734951">
        <w:rPr>
          <w:sz w:val="26"/>
          <w:szCs w:val="26"/>
        </w:rPr>
        <w:t>’</w:t>
      </w:r>
      <w:r w:rsidR="00A46751">
        <w:rPr>
          <w:sz w:val="26"/>
          <w:szCs w:val="26"/>
        </w:rPr>
        <w:t xml:space="preserve">s alternative proposals are limited to </w:t>
      </w:r>
      <w:r w:rsidR="00734951">
        <w:rPr>
          <w:sz w:val="26"/>
          <w:szCs w:val="26"/>
        </w:rPr>
        <w:t>“</w:t>
      </w:r>
      <w:r w:rsidR="00A46751">
        <w:rPr>
          <w:sz w:val="26"/>
          <w:szCs w:val="26"/>
        </w:rPr>
        <w:t>gathering system</w:t>
      </w:r>
      <w:r w:rsidR="00734951">
        <w:rPr>
          <w:sz w:val="26"/>
          <w:szCs w:val="26"/>
        </w:rPr>
        <w:t>”</w:t>
      </w:r>
      <w:r w:rsidR="00A46751">
        <w:rPr>
          <w:sz w:val="26"/>
          <w:szCs w:val="26"/>
        </w:rPr>
        <w:t xml:space="preserve"> deliveries and </w:t>
      </w:r>
      <w:r w:rsidR="00336C57">
        <w:rPr>
          <w:sz w:val="26"/>
          <w:szCs w:val="26"/>
        </w:rPr>
        <w:t xml:space="preserve">usage and </w:t>
      </w:r>
      <w:r w:rsidR="00A46751">
        <w:rPr>
          <w:sz w:val="26"/>
          <w:szCs w:val="26"/>
        </w:rPr>
        <w:t>exclud</w:t>
      </w:r>
      <w:r w:rsidR="00336C57">
        <w:rPr>
          <w:sz w:val="26"/>
          <w:szCs w:val="26"/>
        </w:rPr>
        <w:t>es</w:t>
      </w:r>
      <w:r w:rsidR="00A46751">
        <w:rPr>
          <w:sz w:val="26"/>
          <w:szCs w:val="26"/>
        </w:rPr>
        <w:t xml:space="preserve"> usage </w:t>
      </w:r>
      <w:r w:rsidR="00336C57">
        <w:rPr>
          <w:sz w:val="26"/>
          <w:szCs w:val="26"/>
        </w:rPr>
        <w:t xml:space="preserve">and deliveries </w:t>
      </w:r>
      <w:r w:rsidR="00A46751">
        <w:rPr>
          <w:sz w:val="26"/>
          <w:szCs w:val="26"/>
        </w:rPr>
        <w:t>o</w:t>
      </w:r>
      <w:r w:rsidR="00336C57">
        <w:rPr>
          <w:sz w:val="26"/>
          <w:szCs w:val="26"/>
        </w:rPr>
        <w:t xml:space="preserve">n </w:t>
      </w:r>
      <w:r w:rsidR="00A46751">
        <w:rPr>
          <w:sz w:val="26"/>
          <w:szCs w:val="26"/>
        </w:rPr>
        <w:t>P</w:t>
      </w:r>
      <w:r w:rsidR="009E2D79">
        <w:rPr>
          <w:sz w:val="26"/>
          <w:szCs w:val="26"/>
        </w:rPr>
        <w:t>eoples</w:t>
      </w:r>
      <w:r w:rsidR="00734951">
        <w:rPr>
          <w:sz w:val="26"/>
          <w:szCs w:val="26"/>
        </w:rPr>
        <w:t>’</w:t>
      </w:r>
      <w:r w:rsidR="009E2D79">
        <w:rPr>
          <w:sz w:val="26"/>
          <w:szCs w:val="26"/>
        </w:rPr>
        <w:t xml:space="preserve"> </w:t>
      </w:r>
      <w:r w:rsidR="00A46751">
        <w:rPr>
          <w:sz w:val="26"/>
          <w:szCs w:val="26"/>
        </w:rPr>
        <w:t xml:space="preserve">distribution and transmission pipelines.  </w:t>
      </w:r>
      <w:r w:rsidR="00802660">
        <w:rPr>
          <w:sz w:val="26"/>
          <w:szCs w:val="26"/>
        </w:rPr>
        <w:t xml:space="preserve">Exc. at 19.  </w:t>
      </w:r>
    </w:p>
    <w:p w14:paraId="263761DB" w14:textId="77777777" w:rsidR="00EA60D1" w:rsidRDefault="00EA60D1" w:rsidP="007374FA">
      <w:pPr>
        <w:widowControl/>
        <w:tabs>
          <w:tab w:val="left" w:pos="1445"/>
          <w:tab w:val="left" w:pos="7920"/>
        </w:tabs>
        <w:autoSpaceDE w:val="0"/>
        <w:autoSpaceDN w:val="0"/>
        <w:adjustRightInd w:val="0"/>
        <w:spacing w:line="360" w:lineRule="auto"/>
        <w:rPr>
          <w:sz w:val="26"/>
          <w:szCs w:val="26"/>
        </w:rPr>
      </w:pPr>
    </w:p>
    <w:p w14:paraId="35B1DD02" w14:textId="61DDF6D0" w:rsidR="00DC56CA" w:rsidRDefault="00965B76" w:rsidP="007374FA">
      <w:pPr>
        <w:widowControl/>
        <w:tabs>
          <w:tab w:val="left" w:pos="1445"/>
          <w:tab w:val="left" w:pos="7920"/>
        </w:tabs>
        <w:autoSpaceDE w:val="0"/>
        <w:autoSpaceDN w:val="0"/>
        <w:adjustRightInd w:val="0"/>
        <w:spacing w:line="360" w:lineRule="auto"/>
        <w:rPr>
          <w:sz w:val="26"/>
          <w:szCs w:val="26"/>
        </w:rPr>
      </w:pPr>
      <w:r>
        <w:rPr>
          <w:sz w:val="26"/>
          <w:szCs w:val="26"/>
        </w:rPr>
        <w:tab/>
      </w:r>
      <w:r w:rsidR="008B0998">
        <w:rPr>
          <w:sz w:val="26"/>
          <w:szCs w:val="26"/>
        </w:rPr>
        <w:t>Additionally, PIOGA disagrees with the ALJ</w:t>
      </w:r>
      <w:r w:rsidR="00734951">
        <w:rPr>
          <w:sz w:val="26"/>
          <w:szCs w:val="26"/>
        </w:rPr>
        <w:t>’</w:t>
      </w:r>
      <w:r w:rsidR="008B0998">
        <w:rPr>
          <w:sz w:val="26"/>
          <w:szCs w:val="26"/>
        </w:rPr>
        <w:t xml:space="preserve">s acceptance of </w:t>
      </w:r>
      <w:r w:rsidR="00530CCD">
        <w:rPr>
          <w:sz w:val="26"/>
          <w:szCs w:val="26"/>
        </w:rPr>
        <w:t>Peoples</w:t>
      </w:r>
      <w:r w:rsidR="00734951">
        <w:rPr>
          <w:sz w:val="26"/>
          <w:szCs w:val="26"/>
        </w:rPr>
        <w:t>’</w:t>
      </w:r>
      <w:r w:rsidR="00530CCD">
        <w:rPr>
          <w:sz w:val="26"/>
          <w:szCs w:val="26"/>
        </w:rPr>
        <w:t xml:space="preserve"> </w:t>
      </w:r>
      <w:r w:rsidR="00734951">
        <w:rPr>
          <w:sz w:val="26"/>
          <w:szCs w:val="26"/>
        </w:rPr>
        <w:t>“</w:t>
      </w:r>
      <w:r w:rsidR="008B0998">
        <w:rPr>
          <w:sz w:val="26"/>
          <w:szCs w:val="26"/>
        </w:rPr>
        <w:t>administrative ease</w:t>
      </w:r>
      <w:r w:rsidR="00734951">
        <w:rPr>
          <w:sz w:val="26"/>
          <w:szCs w:val="26"/>
        </w:rPr>
        <w:t>”</w:t>
      </w:r>
      <w:r w:rsidR="008B0998">
        <w:rPr>
          <w:sz w:val="26"/>
          <w:szCs w:val="26"/>
        </w:rPr>
        <w:t xml:space="preserve"> argument as a basis </w:t>
      </w:r>
      <w:r w:rsidR="007B5346">
        <w:rPr>
          <w:sz w:val="26"/>
          <w:szCs w:val="26"/>
        </w:rPr>
        <w:t>for</w:t>
      </w:r>
      <w:r w:rsidR="008B0998">
        <w:rPr>
          <w:sz w:val="26"/>
          <w:szCs w:val="26"/>
        </w:rPr>
        <w:t xml:space="preserve"> the approval.  </w:t>
      </w:r>
      <w:bookmarkStart w:id="49" w:name="_Hlk523906763"/>
      <w:r w:rsidR="00E10DA1">
        <w:rPr>
          <w:sz w:val="26"/>
          <w:szCs w:val="26"/>
        </w:rPr>
        <w:t>PIOGA argues</w:t>
      </w:r>
      <w:r w:rsidR="00A0711B">
        <w:rPr>
          <w:sz w:val="26"/>
          <w:szCs w:val="26"/>
        </w:rPr>
        <w:t xml:space="preserve"> that while it agrees that when a proponent of a request presents a </w:t>
      </w:r>
      <w:r w:rsidR="00A0711B" w:rsidRPr="00A0711B">
        <w:rPr>
          <w:i/>
          <w:sz w:val="26"/>
          <w:szCs w:val="26"/>
        </w:rPr>
        <w:t>prima facie case</w:t>
      </w:r>
      <w:r w:rsidR="00B34260">
        <w:rPr>
          <w:i/>
          <w:sz w:val="26"/>
          <w:szCs w:val="26"/>
        </w:rPr>
        <w:t xml:space="preserve"> </w:t>
      </w:r>
      <w:r w:rsidR="00A0711B">
        <w:rPr>
          <w:sz w:val="26"/>
          <w:szCs w:val="26"/>
        </w:rPr>
        <w:t xml:space="preserve">the burden shifts to the opposing party to present evidence to rebut the </w:t>
      </w:r>
      <w:r w:rsidR="00A0711B" w:rsidRPr="00A0711B">
        <w:rPr>
          <w:i/>
          <w:sz w:val="26"/>
          <w:szCs w:val="26"/>
        </w:rPr>
        <w:t>prima facie</w:t>
      </w:r>
      <w:r w:rsidR="00A0711B">
        <w:rPr>
          <w:sz w:val="26"/>
          <w:szCs w:val="26"/>
        </w:rPr>
        <w:t xml:space="preserve"> case, </w:t>
      </w:r>
      <w:r w:rsidR="00B34260">
        <w:rPr>
          <w:sz w:val="26"/>
          <w:szCs w:val="26"/>
        </w:rPr>
        <w:t xml:space="preserve">it also agrees that </w:t>
      </w:r>
      <w:r w:rsidR="00A0711B">
        <w:rPr>
          <w:sz w:val="26"/>
          <w:szCs w:val="26"/>
        </w:rPr>
        <w:t xml:space="preserve">the </w:t>
      </w:r>
      <w:r w:rsidR="00734951">
        <w:rPr>
          <w:sz w:val="26"/>
          <w:szCs w:val="26"/>
        </w:rPr>
        <w:t>“</w:t>
      </w:r>
      <w:r w:rsidR="00A0711B">
        <w:rPr>
          <w:sz w:val="26"/>
          <w:szCs w:val="26"/>
        </w:rPr>
        <w:t xml:space="preserve">preponderance of evidence </w:t>
      </w:r>
      <w:r w:rsidR="00734951">
        <w:rPr>
          <w:sz w:val="26"/>
          <w:szCs w:val="26"/>
        </w:rPr>
        <w:t>“</w:t>
      </w:r>
      <w:r w:rsidR="00A0711B">
        <w:rPr>
          <w:sz w:val="26"/>
          <w:szCs w:val="26"/>
        </w:rPr>
        <w:t xml:space="preserve">standard is satisfied by presenting evidence that makes the </w:t>
      </w:r>
      <w:r w:rsidR="00A0711B" w:rsidRPr="00A0711B">
        <w:rPr>
          <w:b/>
          <w:i/>
          <w:sz w:val="26"/>
          <w:szCs w:val="26"/>
        </w:rPr>
        <w:t>existence of a contested</w:t>
      </w:r>
      <w:r w:rsidR="00A0711B">
        <w:rPr>
          <w:sz w:val="26"/>
          <w:szCs w:val="26"/>
        </w:rPr>
        <w:t xml:space="preserve"> fact more likely tha</w:t>
      </w:r>
      <w:r w:rsidR="00881332">
        <w:rPr>
          <w:sz w:val="26"/>
          <w:szCs w:val="26"/>
        </w:rPr>
        <w:t>n</w:t>
      </w:r>
      <w:r w:rsidR="00A0711B">
        <w:rPr>
          <w:sz w:val="26"/>
          <w:szCs w:val="26"/>
        </w:rPr>
        <w:t xml:space="preserve"> its non-existence.</w:t>
      </w:r>
      <w:r w:rsidR="00734951">
        <w:rPr>
          <w:sz w:val="26"/>
          <w:szCs w:val="26"/>
        </w:rPr>
        <w:t>”</w:t>
      </w:r>
      <w:r w:rsidR="00A0711B">
        <w:rPr>
          <w:sz w:val="26"/>
          <w:szCs w:val="26"/>
        </w:rPr>
        <w:t xml:space="preserve">  </w:t>
      </w:r>
      <w:r w:rsidR="00A0711B" w:rsidRPr="00A0711B">
        <w:rPr>
          <w:i/>
          <w:sz w:val="26"/>
          <w:szCs w:val="26"/>
        </w:rPr>
        <w:t>Id.</w:t>
      </w:r>
      <w:r w:rsidR="00A0711B">
        <w:rPr>
          <w:sz w:val="26"/>
          <w:szCs w:val="26"/>
        </w:rPr>
        <w:t xml:space="preserve"> (citing R.D. at 53-54; Conclusion of Law Nos. 13, 14</w:t>
      </w:r>
      <w:r w:rsidR="00FC7890">
        <w:rPr>
          <w:sz w:val="26"/>
          <w:szCs w:val="26"/>
        </w:rPr>
        <w:t>)</w:t>
      </w:r>
      <w:r w:rsidR="00A0711B">
        <w:rPr>
          <w:sz w:val="26"/>
          <w:szCs w:val="26"/>
        </w:rPr>
        <w:t xml:space="preserve"> (emphasis </w:t>
      </w:r>
      <w:r w:rsidR="001038DD">
        <w:rPr>
          <w:sz w:val="26"/>
          <w:szCs w:val="26"/>
        </w:rPr>
        <w:t>by PIOGA</w:t>
      </w:r>
      <w:r w:rsidR="00A0711B">
        <w:rPr>
          <w:sz w:val="26"/>
          <w:szCs w:val="26"/>
        </w:rPr>
        <w:t xml:space="preserve">).  </w:t>
      </w:r>
    </w:p>
    <w:bookmarkEnd w:id="49"/>
    <w:p w14:paraId="03787663" w14:textId="77777777" w:rsidR="00DC56CA" w:rsidRDefault="00DC56CA" w:rsidP="007374FA">
      <w:pPr>
        <w:widowControl/>
        <w:tabs>
          <w:tab w:val="left" w:pos="1445"/>
          <w:tab w:val="left" w:pos="7920"/>
        </w:tabs>
        <w:autoSpaceDE w:val="0"/>
        <w:autoSpaceDN w:val="0"/>
        <w:adjustRightInd w:val="0"/>
        <w:spacing w:line="360" w:lineRule="auto"/>
        <w:rPr>
          <w:sz w:val="26"/>
          <w:szCs w:val="26"/>
        </w:rPr>
      </w:pPr>
    </w:p>
    <w:p w14:paraId="3F627394" w14:textId="2EF23F01" w:rsidR="00AF48F3" w:rsidRDefault="00DC56CA" w:rsidP="007374FA">
      <w:pPr>
        <w:widowControl/>
        <w:tabs>
          <w:tab w:val="left" w:pos="1445"/>
          <w:tab w:val="left" w:pos="7920"/>
        </w:tabs>
        <w:autoSpaceDE w:val="0"/>
        <w:autoSpaceDN w:val="0"/>
        <w:adjustRightInd w:val="0"/>
        <w:spacing w:line="360" w:lineRule="auto"/>
        <w:rPr>
          <w:sz w:val="26"/>
          <w:szCs w:val="26"/>
        </w:rPr>
      </w:pPr>
      <w:r>
        <w:rPr>
          <w:sz w:val="26"/>
          <w:szCs w:val="26"/>
        </w:rPr>
        <w:tab/>
      </w:r>
      <w:bookmarkStart w:id="50" w:name="_Hlk523907023"/>
      <w:r w:rsidR="00A47D10">
        <w:rPr>
          <w:sz w:val="26"/>
          <w:szCs w:val="26"/>
        </w:rPr>
        <w:t>PIOGA does not believe Peoples</w:t>
      </w:r>
      <w:r w:rsidR="008B0998">
        <w:rPr>
          <w:sz w:val="26"/>
          <w:szCs w:val="26"/>
        </w:rPr>
        <w:t xml:space="preserve"> satisfied the </w:t>
      </w:r>
      <w:r w:rsidR="00734951">
        <w:rPr>
          <w:sz w:val="26"/>
          <w:szCs w:val="26"/>
        </w:rPr>
        <w:t>“</w:t>
      </w:r>
      <w:r w:rsidR="008B0998">
        <w:rPr>
          <w:sz w:val="26"/>
          <w:szCs w:val="26"/>
        </w:rPr>
        <w:t>preponderance of evidence</w:t>
      </w:r>
      <w:r w:rsidR="00734951">
        <w:rPr>
          <w:sz w:val="26"/>
          <w:szCs w:val="26"/>
        </w:rPr>
        <w:t>”</w:t>
      </w:r>
      <w:r w:rsidR="008B0998">
        <w:rPr>
          <w:sz w:val="26"/>
          <w:szCs w:val="26"/>
        </w:rPr>
        <w:t xml:space="preserve"> standard to justify approval of the Rate GS for</w:t>
      </w:r>
      <w:r w:rsidR="007B5346">
        <w:rPr>
          <w:sz w:val="26"/>
          <w:szCs w:val="26"/>
        </w:rPr>
        <w:t xml:space="preserve"> all conventional gas production including</w:t>
      </w:r>
      <w:r w:rsidR="008B0998">
        <w:rPr>
          <w:sz w:val="26"/>
          <w:szCs w:val="26"/>
        </w:rPr>
        <w:t xml:space="preserve"> distribution, transmission and gathering lines deliveries into the Companies</w:t>
      </w:r>
      <w:r w:rsidR="00734951">
        <w:rPr>
          <w:sz w:val="26"/>
          <w:szCs w:val="26"/>
        </w:rPr>
        <w:t>’</w:t>
      </w:r>
      <w:r w:rsidR="008B0998">
        <w:rPr>
          <w:sz w:val="26"/>
          <w:szCs w:val="26"/>
        </w:rPr>
        <w:t xml:space="preserve"> system.</w:t>
      </w:r>
      <w:r w:rsidR="00284243">
        <w:rPr>
          <w:sz w:val="26"/>
          <w:szCs w:val="26"/>
        </w:rPr>
        <w:t xml:space="preserve">  PIOGA </w:t>
      </w:r>
      <w:r w:rsidR="000B6562">
        <w:rPr>
          <w:sz w:val="26"/>
          <w:szCs w:val="26"/>
        </w:rPr>
        <w:t xml:space="preserve">argues it saw no need to present evidence to rebut </w:t>
      </w:r>
      <w:r w:rsidR="001423BE">
        <w:rPr>
          <w:sz w:val="26"/>
          <w:szCs w:val="26"/>
        </w:rPr>
        <w:t>Peoples</w:t>
      </w:r>
      <w:r w:rsidR="00734951">
        <w:rPr>
          <w:sz w:val="26"/>
          <w:szCs w:val="26"/>
        </w:rPr>
        <w:t>’</w:t>
      </w:r>
      <w:r w:rsidR="000B6562">
        <w:rPr>
          <w:sz w:val="26"/>
          <w:szCs w:val="26"/>
        </w:rPr>
        <w:t xml:space="preserve"> claim regarding the administrative ease in applying the same rate to </w:t>
      </w:r>
      <w:r w:rsidR="00B354CE">
        <w:rPr>
          <w:sz w:val="26"/>
          <w:szCs w:val="26"/>
        </w:rPr>
        <w:t xml:space="preserve">both </w:t>
      </w:r>
      <w:r w:rsidR="000B6562">
        <w:rPr>
          <w:sz w:val="26"/>
          <w:szCs w:val="26"/>
        </w:rPr>
        <w:t>divisions</w:t>
      </w:r>
      <w:r w:rsidR="00B354CE">
        <w:rPr>
          <w:sz w:val="26"/>
          <w:szCs w:val="26"/>
        </w:rPr>
        <w:t xml:space="preserve">.  PIOGA further argues </w:t>
      </w:r>
      <w:r w:rsidR="000D206C">
        <w:rPr>
          <w:sz w:val="26"/>
          <w:szCs w:val="26"/>
        </w:rPr>
        <w:t xml:space="preserve">that </w:t>
      </w:r>
      <w:r w:rsidR="000745C3">
        <w:rPr>
          <w:sz w:val="26"/>
          <w:szCs w:val="26"/>
        </w:rPr>
        <w:t>while Peoples</w:t>
      </w:r>
      <w:r w:rsidR="00734951">
        <w:rPr>
          <w:sz w:val="26"/>
          <w:szCs w:val="26"/>
        </w:rPr>
        <w:t>’</w:t>
      </w:r>
      <w:r w:rsidR="000745C3">
        <w:rPr>
          <w:sz w:val="26"/>
          <w:szCs w:val="26"/>
        </w:rPr>
        <w:t xml:space="preserve"> calculation by volume of deliveries to just the gathering lines (2.0%) compared to deliveries to both gathering and distribution lines (2.17%) shows the difference is negligible, </w:t>
      </w:r>
      <w:r w:rsidR="00B354CE">
        <w:rPr>
          <w:sz w:val="26"/>
          <w:szCs w:val="26"/>
        </w:rPr>
        <w:t xml:space="preserve">the fact that </w:t>
      </w:r>
      <w:r w:rsidR="00B249C5">
        <w:rPr>
          <w:sz w:val="26"/>
          <w:szCs w:val="26"/>
        </w:rPr>
        <w:t xml:space="preserve">Peoples </w:t>
      </w:r>
      <w:r w:rsidR="00B354CE">
        <w:rPr>
          <w:sz w:val="26"/>
          <w:szCs w:val="26"/>
        </w:rPr>
        <w:t>proposed the 2.0</w:t>
      </w:r>
      <w:r w:rsidR="000D206C">
        <w:rPr>
          <w:sz w:val="26"/>
          <w:szCs w:val="26"/>
        </w:rPr>
        <w:t xml:space="preserve">% charge rather than the 2.17% is a testament to </w:t>
      </w:r>
      <w:r w:rsidR="004C22C4">
        <w:rPr>
          <w:sz w:val="26"/>
          <w:szCs w:val="26"/>
        </w:rPr>
        <w:t>the Company</w:t>
      </w:r>
      <w:r w:rsidR="00734951">
        <w:rPr>
          <w:sz w:val="26"/>
          <w:szCs w:val="26"/>
        </w:rPr>
        <w:t>’</w:t>
      </w:r>
      <w:r w:rsidR="004C22C4">
        <w:rPr>
          <w:sz w:val="26"/>
          <w:szCs w:val="26"/>
        </w:rPr>
        <w:t>s</w:t>
      </w:r>
      <w:r w:rsidR="000D206C">
        <w:rPr>
          <w:sz w:val="26"/>
          <w:szCs w:val="26"/>
        </w:rPr>
        <w:t xml:space="preserve"> intent to apply the charge only to gathering </w:t>
      </w:r>
      <w:r w:rsidR="005E6DD6">
        <w:rPr>
          <w:sz w:val="26"/>
          <w:szCs w:val="26"/>
        </w:rPr>
        <w:t>system</w:t>
      </w:r>
      <w:r w:rsidR="000D206C">
        <w:rPr>
          <w:sz w:val="26"/>
          <w:szCs w:val="26"/>
        </w:rPr>
        <w:t xml:space="preserve"> deliveries.  </w:t>
      </w:r>
      <w:r w:rsidR="000D206C" w:rsidRPr="00124164">
        <w:rPr>
          <w:i/>
          <w:sz w:val="26"/>
          <w:szCs w:val="26"/>
        </w:rPr>
        <w:t>Id.</w:t>
      </w:r>
      <w:r w:rsidR="000D206C">
        <w:rPr>
          <w:sz w:val="26"/>
          <w:szCs w:val="26"/>
        </w:rPr>
        <w:t xml:space="preserve"> at </w:t>
      </w:r>
      <w:r w:rsidR="00556569">
        <w:rPr>
          <w:sz w:val="26"/>
          <w:szCs w:val="26"/>
        </w:rPr>
        <w:t>20</w:t>
      </w:r>
      <w:r w:rsidR="000D206C">
        <w:rPr>
          <w:sz w:val="26"/>
          <w:szCs w:val="26"/>
        </w:rPr>
        <w:t>-21.</w:t>
      </w:r>
      <w:r w:rsidR="008F0909">
        <w:rPr>
          <w:sz w:val="26"/>
          <w:szCs w:val="26"/>
        </w:rPr>
        <w:t xml:space="preserve">  </w:t>
      </w:r>
      <w:r w:rsidR="00124164">
        <w:rPr>
          <w:sz w:val="26"/>
          <w:szCs w:val="26"/>
        </w:rPr>
        <w:t>Finally, i</w:t>
      </w:r>
      <w:r w:rsidR="000D206C">
        <w:rPr>
          <w:sz w:val="26"/>
          <w:szCs w:val="26"/>
        </w:rPr>
        <w:t xml:space="preserve">n addition to </w:t>
      </w:r>
      <w:r w:rsidR="00124164">
        <w:rPr>
          <w:sz w:val="26"/>
          <w:szCs w:val="26"/>
        </w:rPr>
        <w:t>disputing the ALJ</w:t>
      </w:r>
      <w:r w:rsidR="00734951">
        <w:rPr>
          <w:sz w:val="26"/>
          <w:szCs w:val="26"/>
        </w:rPr>
        <w:t>’</w:t>
      </w:r>
      <w:r w:rsidR="00124164">
        <w:rPr>
          <w:sz w:val="26"/>
          <w:szCs w:val="26"/>
        </w:rPr>
        <w:t>s Finding of Fact No. 71,</w:t>
      </w:r>
      <w:r w:rsidR="009272B8">
        <w:rPr>
          <w:rStyle w:val="FootnoteReference"/>
          <w:sz w:val="26"/>
          <w:szCs w:val="26"/>
        </w:rPr>
        <w:footnoteReference w:id="28"/>
      </w:r>
      <w:r w:rsidR="00124164">
        <w:rPr>
          <w:sz w:val="26"/>
          <w:szCs w:val="26"/>
        </w:rPr>
        <w:t xml:space="preserve"> PIOGA contends it is clear from the record that P</w:t>
      </w:r>
      <w:r w:rsidR="0055043E">
        <w:rPr>
          <w:sz w:val="26"/>
          <w:szCs w:val="26"/>
        </w:rPr>
        <w:t>eoples</w:t>
      </w:r>
      <w:r w:rsidR="00124164">
        <w:rPr>
          <w:sz w:val="26"/>
          <w:szCs w:val="26"/>
        </w:rPr>
        <w:t xml:space="preserve"> failed to present </w:t>
      </w:r>
      <w:r w:rsidR="00124164">
        <w:rPr>
          <w:sz w:val="26"/>
          <w:szCs w:val="26"/>
        </w:rPr>
        <w:lastRenderedPageBreak/>
        <w:t xml:space="preserve">evidence to </w:t>
      </w:r>
      <w:r w:rsidR="0055043E">
        <w:rPr>
          <w:sz w:val="26"/>
          <w:szCs w:val="26"/>
        </w:rPr>
        <w:t>support</w:t>
      </w:r>
      <w:r w:rsidR="00124164">
        <w:rPr>
          <w:sz w:val="26"/>
          <w:szCs w:val="26"/>
        </w:rPr>
        <w:t xml:space="preserve"> </w:t>
      </w:r>
      <w:r w:rsidR="003A07D6">
        <w:rPr>
          <w:sz w:val="26"/>
          <w:szCs w:val="26"/>
        </w:rPr>
        <w:t>the language in its</w:t>
      </w:r>
      <w:r w:rsidR="00124164">
        <w:rPr>
          <w:sz w:val="26"/>
          <w:szCs w:val="26"/>
        </w:rPr>
        <w:t xml:space="preserve"> proposed Rate GS tariff and that P</w:t>
      </w:r>
      <w:r w:rsidR="0055043E">
        <w:rPr>
          <w:sz w:val="26"/>
          <w:szCs w:val="26"/>
        </w:rPr>
        <w:t>eoples</w:t>
      </w:r>
      <w:r w:rsidR="00734951">
        <w:rPr>
          <w:sz w:val="26"/>
          <w:szCs w:val="26"/>
        </w:rPr>
        <w:t>’</w:t>
      </w:r>
      <w:r w:rsidR="00124164">
        <w:rPr>
          <w:sz w:val="26"/>
          <w:szCs w:val="26"/>
        </w:rPr>
        <w:t xml:space="preserve"> reliance on</w:t>
      </w:r>
      <w:r w:rsidR="0055043E">
        <w:rPr>
          <w:sz w:val="26"/>
          <w:szCs w:val="26"/>
        </w:rPr>
        <w:t xml:space="preserve"> an already </w:t>
      </w:r>
      <w:r w:rsidR="00124164">
        <w:rPr>
          <w:sz w:val="26"/>
          <w:szCs w:val="26"/>
        </w:rPr>
        <w:t>exist</w:t>
      </w:r>
      <w:r w:rsidR="0055043E">
        <w:rPr>
          <w:sz w:val="26"/>
          <w:szCs w:val="26"/>
        </w:rPr>
        <w:t>ing</w:t>
      </w:r>
      <w:r w:rsidR="00124164">
        <w:rPr>
          <w:sz w:val="26"/>
          <w:szCs w:val="26"/>
        </w:rPr>
        <w:t xml:space="preserve"> Equitable Rate AGS tariff </w:t>
      </w:r>
      <w:r w:rsidR="0055043E">
        <w:rPr>
          <w:sz w:val="26"/>
          <w:szCs w:val="26"/>
        </w:rPr>
        <w:t xml:space="preserve">in this proceeding </w:t>
      </w:r>
      <w:r w:rsidR="00124164">
        <w:rPr>
          <w:sz w:val="26"/>
          <w:szCs w:val="26"/>
        </w:rPr>
        <w:t xml:space="preserve">is misplaced.  </w:t>
      </w:r>
      <w:r w:rsidR="00124164" w:rsidRPr="00124164">
        <w:rPr>
          <w:i/>
          <w:sz w:val="26"/>
          <w:szCs w:val="26"/>
        </w:rPr>
        <w:t>Id.</w:t>
      </w:r>
      <w:r w:rsidR="00124164">
        <w:rPr>
          <w:sz w:val="26"/>
          <w:szCs w:val="26"/>
        </w:rPr>
        <w:t xml:space="preserve"> at 21 (citing PIOGA St. 1 at 9-10; PIOGA St. 1-SR at 11-12; PIOGA Exh. MAH-4 (PNG), 1,2).  </w:t>
      </w:r>
    </w:p>
    <w:bookmarkEnd w:id="50"/>
    <w:p w14:paraId="3EF8D6C6" w14:textId="77777777" w:rsidR="00F00853" w:rsidRDefault="00F00853" w:rsidP="007374FA">
      <w:pPr>
        <w:widowControl/>
        <w:tabs>
          <w:tab w:val="left" w:pos="1445"/>
          <w:tab w:val="left" w:pos="7920"/>
        </w:tabs>
        <w:autoSpaceDE w:val="0"/>
        <w:autoSpaceDN w:val="0"/>
        <w:adjustRightInd w:val="0"/>
        <w:spacing w:line="360" w:lineRule="auto"/>
        <w:rPr>
          <w:sz w:val="26"/>
          <w:szCs w:val="26"/>
        </w:rPr>
      </w:pPr>
    </w:p>
    <w:p w14:paraId="6B5433E2" w14:textId="6F94B2E5" w:rsidR="004C4D76" w:rsidRDefault="00F00853" w:rsidP="007374FA">
      <w:pPr>
        <w:widowControl/>
        <w:tabs>
          <w:tab w:val="left" w:pos="1445"/>
          <w:tab w:val="left" w:pos="7920"/>
        </w:tabs>
        <w:autoSpaceDE w:val="0"/>
        <w:autoSpaceDN w:val="0"/>
        <w:adjustRightInd w:val="0"/>
        <w:spacing w:line="360" w:lineRule="auto"/>
        <w:rPr>
          <w:sz w:val="26"/>
          <w:szCs w:val="26"/>
        </w:rPr>
      </w:pPr>
      <w:r>
        <w:rPr>
          <w:sz w:val="26"/>
          <w:szCs w:val="26"/>
        </w:rPr>
        <w:tab/>
        <w:t xml:space="preserve">In Reply, </w:t>
      </w:r>
      <w:r w:rsidR="004C4D76">
        <w:rPr>
          <w:sz w:val="26"/>
          <w:szCs w:val="26"/>
        </w:rPr>
        <w:t>P</w:t>
      </w:r>
      <w:r w:rsidR="00F42187">
        <w:rPr>
          <w:sz w:val="26"/>
          <w:szCs w:val="26"/>
        </w:rPr>
        <w:t>eoples</w:t>
      </w:r>
      <w:r w:rsidR="004C4D76">
        <w:rPr>
          <w:sz w:val="26"/>
          <w:szCs w:val="26"/>
        </w:rPr>
        <w:t xml:space="preserve"> contend</w:t>
      </w:r>
      <w:r w:rsidR="00AB5D69">
        <w:rPr>
          <w:sz w:val="26"/>
          <w:szCs w:val="26"/>
        </w:rPr>
        <w:t>s</w:t>
      </w:r>
      <w:r w:rsidR="004C4D76">
        <w:rPr>
          <w:sz w:val="26"/>
          <w:szCs w:val="26"/>
        </w:rPr>
        <w:t xml:space="preserve"> it presented </w:t>
      </w:r>
      <w:proofErr w:type="gramStart"/>
      <w:r w:rsidR="004C4D76">
        <w:rPr>
          <w:sz w:val="26"/>
          <w:szCs w:val="26"/>
        </w:rPr>
        <w:t>sufficient</w:t>
      </w:r>
      <w:proofErr w:type="gramEnd"/>
      <w:r w:rsidR="004C4D76">
        <w:rPr>
          <w:sz w:val="26"/>
          <w:szCs w:val="26"/>
        </w:rPr>
        <w:t xml:space="preserve"> evidence to support</w:t>
      </w:r>
      <w:r>
        <w:rPr>
          <w:sz w:val="26"/>
          <w:szCs w:val="26"/>
        </w:rPr>
        <w:t xml:space="preserve"> </w:t>
      </w:r>
      <w:r w:rsidR="004C4D76">
        <w:rPr>
          <w:sz w:val="26"/>
          <w:szCs w:val="26"/>
        </w:rPr>
        <w:t>the proposed charge.  P</w:t>
      </w:r>
      <w:r w:rsidR="005C7637">
        <w:rPr>
          <w:sz w:val="26"/>
          <w:szCs w:val="26"/>
        </w:rPr>
        <w:t>eoples</w:t>
      </w:r>
      <w:r w:rsidR="004C4D76">
        <w:rPr>
          <w:sz w:val="26"/>
          <w:szCs w:val="26"/>
        </w:rPr>
        <w:t xml:space="preserve"> reiterates </w:t>
      </w:r>
      <w:r w:rsidR="00F354B1">
        <w:rPr>
          <w:sz w:val="26"/>
          <w:szCs w:val="26"/>
        </w:rPr>
        <w:t>its</w:t>
      </w:r>
      <w:r w:rsidR="00B30080">
        <w:rPr>
          <w:sz w:val="26"/>
          <w:szCs w:val="26"/>
        </w:rPr>
        <w:t xml:space="preserve"> </w:t>
      </w:r>
      <w:r w:rsidR="004C4D76">
        <w:rPr>
          <w:sz w:val="26"/>
          <w:szCs w:val="26"/>
        </w:rPr>
        <w:t xml:space="preserve">administrative ease </w:t>
      </w:r>
      <w:r w:rsidR="00F011EB">
        <w:rPr>
          <w:sz w:val="26"/>
          <w:szCs w:val="26"/>
        </w:rPr>
        <w:t>argument</w:t>
      </w:r>
      <w:r w:rsidR="00F354B1">
        <w:rPr>
          <w:sz w:val="26"/>
          <w:szCs w:val="26"/>
        </w:rPr>
        <w:t xml:space="preserve"> stating it </w:t>
      </w:r>
      <w:r w:rsidR="00A171AF">
        <w:rPr>
          <w:sz w:val="26"/>
          <w:szCs w:val="26"/>
        </w:rPr>
        <w:t>helps the Compan</w:t>
      </w:r>
      <w:r w:rsidR="003E2090">
        <w:rPr>
          <w:sz w:val="26"/>
          <w:szCs w:val="26"/>
        </w:rPr>
        <w:t>y</w:t>
      </w:r>
      <w:r w:rsidR="00A171AF">
        <w:rPr>
          <w:sz w:val="26"/>
          <w:szCs w:val="26"/>
        </w:rPr>
        <w:t xml:space="preserve"> to avoid having to track the point of delivery of the volumes of gas delivered for every conventional gas producer connected to Peoples</w:t>
      </w:r>
      <w:r w:rsidR="00734951">
        <w:rPr>
          <w:sz w:val="26"/>
          <w:szCs w:val="26"/>
        </w:rPr>
        <w:t>’</w:t>
      </w:r>
      <w:r w:rsidR="00A171AF">
        <w:rPr>
          <w:sz w:val="26"/>
          <w:szCs w:val="26"/>
        </w:rPr>
        <w:t xml:space="preserve"> gathering system and charge accordingly but not have to do so for </w:t>
      </w:r>
      <w:r w:rsidR="005C7637">
        <w:rPr>
          <w:sz w:val="26"/>
          <w:szCs w:val="26"/>
        </w:rPr>
        <w:t>Equitable</w:t>
      </w:r>
      <w:r w:rsidR="00A171AF">
        <w:rPr>
          <w:sz w:val="26"/>
          <w:szCs w:val="26"/>
        </w:rPr>
        <w:t>.  P</w:t>
      </w:r>
      <w:r w:rsidR="005C7637">
        <w:rPr>
          <w:sz w:val="26"/>
          <w:szCs w:val="26"/>
        </w:rPr>
        <w:t>eoples</w:t>
      </w:r>
      <w:r w:rsidR="00A171AF">
        <w:rPr>
          <w:sz w:val="26"/>
          <w:szCs w:val="26"/>
        </w:rPr>
        <w:t xml:space="preserve"> contend</w:t>
      </w:r>
      <w:r w:rsidR="001038DD">
        <w:rPr>
          <w:sz w:val="26"/>
          <w:szCs w:val="26"/>
        </w:rPr>
        <w:t>s</w:t>
      </w:r>
      <w:r w:rsidR="00A171AF">
        <w:rPr>
          <w:sz w:val="26"/>
          <w:szCs w:val="26"/>
        </w:rPr>
        <w:t xml:space="preserve"> </w:t>
      </w:r>
      <w:r w:rsidR="005C7637">
        <w:rPr>
          <w:sz w:val="26"/>
          <w:szCs w:val="26"/>
        </w:rPr>
        <w:t xml:space="preserve">the proposed </w:t>
      </w:r>
      <w:r w:rsidR="005E7FA3">
        <w:rPr>
          <w:sz w:val="26"/>
          <w:szCs w:val="26"/>
        </w:rPr>
        <w:t xml:space="preserve">Rate GS </w:t>
      </w:r>
      <w:r w:rsidR="005C7637">
        <w:rPr>
          <w:sz w:val="26"/>
          <w:szCs w:val="26"/>
        </w:rPr>
        <w:t xml:space="preserve">tariff also </w:t>
      </w:r>
      <w:r w:rsidR="00A171AF">
        <w:rPr>
          <w:sz w:val="26"/>
          <w:szCs w:val="26"/>
        </w:rPr>
        <w:t xml:space="preserve">avoids the possibility of differential treatment for producers based on their point of connection to </w:t>
      </w:r>
      <w:r w:rsidR="005E7FA3">
        <w:rPr>
          <w:sz w:val="26"/>
          <w:szCs w:val="26"/>
        </w:rPr>
        <w:t>Peoples</w:t>
      </w:r>
      <w:r w:rsidR="00734951">
        <w:rPr>
          <w:sz w:val="26"/>
          <w:szCs w:val="26"/>
        </w:rPr>
        <w:t>’</w:t>
      </w:r>
      <w:r w:rsidR="00A171AF">
        <w:rPr>
          <w:sz w:val="26"/>
          <w:szCs w:val="26"/>
        </w:rPr>
        <w:t xml:space="preserve"> system.  PNG R. Exc. at 21-22.  Secondly, </w:t>
      </w:r>
      <w:r w:rsidR="004245D6">
        <w:rPr>
          <w:sz w:val="26"/>
          <w:szCs w:val="26"/>
        </w:rPr>
        <w:t>regarding</w:t>
      </w:r>
      <w:r w:rsidR="00A171AF">
        <w:rPr>
          <w:sz w:val="26"/>
          <w:szCs w:val="26"/>
        </w:rPr>
        <w:t xml:space="preserve"> the difference between the gathering</w:t>
      </w:r>
      <w:r w:rsidR="003E2090">
        <w:rPr>
          <w:sz w:val="26"/>
          <w:szCs w:val="26"/>
        </w:rPr>
        <w:t xml:space="preserve"> </w:t>
      </w:r>
      <w:r w:rsidR="00A171AF">
        <w:rPr>
          <w:sz w:val="26"/>
          <w:szCs w:val="26"/>
        </w:rPr>
        <w:t>system</w:t>
      </w:r>
      <w:r w:rsidR="004245D6">
        <w:rPr>
          <w:sz w:val="26"/>
          <w:szCs w:val="26"/>
        </w:rPr>
        <w:t>-only volumes</w:t>
      </w:r>
      <w:r w:rsidR="00A171AF">
        <w:rPr>
          <w:sz w:val="26"/>
          <w:szCs w:val="26"/>
        </w:rPr>
        <w:t xml:space="preserve"> </w:t>
      </w:r>
      <w:r w:rsidR="004245D6">
        <w:rPr>
          <w:sz w:val="26"/>
          <w:szCs w:val="26"/>
        </w:rPr>
        <w:t xml:space="preserve">compared to </w:t>
      </w:r>
      <w:r w:rsidR="003E2090">
        <w:rPr>
          <w:sz w:val="26"/>
          <w:szCs w:val="26"/>
        </w:rPr>
        <w:t xml:space="preserve">volumes on both the gathering and distribution system, </w:t>
      </w:r>
      <w:r w:rsidR="00A171AF">
        <w:rPr>
          <w:sz w:val="26"/>
          <w:szCs w:val="26"/>
        </w:rPr>
        <w:t>P</w:t>
      </w:r>
      <w:r w:rsidR="005C7637">
        <w:rPr>
          <w:sz w:val="26"/>
          <w:szCs w:val="26"/>
        </w:rPr>
        <w:t>eoples</w:t>
      </w:r>
      <w:r w:rsidR="00A171AF">
        <w:rPr>
          <w:sz w:val="26"/>
          <w:szCs w:val="26"/>
        </w:rPr>
        <w:t xml:space="preserve"> argue</w:t>
      </w:r>
      <w:r w:rsidR="001038DD">
        <w:rPr>
          <w:sz w:val="26"/>
          <w:szCs w:val="26"/>
        </w:rPr>
        <w:t>s</w:t>
      </w:r>
      <w:r w:rsidR="00A171AF">
        <w:rPr>
          <w:sz w:val="26"/>
          <w:szCs w:val="26"/>
        </w:rPr>
        <w:t xml:space="preserve"> that most of the conventional production volumes flow into the gathering system</w:t>
      </w:r>
      <w:r w:rsidR="00A23625">
        <w:rPr>
          <w:sz w:val="26"/>
          <w:szCs w:val="26"/>
        </w:rPr>
        <w:t xml:space="preserve">.  According to Peoples, based on its calculations, </w:t>
      </w:r>
      <w:r w:rsidR="00A171AF">
        <w:rPr>
          <w:sz w:val="26"/>
          <w:szCs w:val="26"/>
        </w:rPr>
        <w:t xml:space="preserve">the difference </w:t>
      </w:r>
      <w:r w:rsidR="005540F0">
        <w:rPr>
          <w:sz w:val="26"/>
          <w:szCs w:val="26"/>
        </w:rPr>
        <w:t>is minimal</w:t>
      </w:r>
      <w:r w:rsidR="00A23625">
        <w:rPr>
          <w:sz w:val="26"/>
          <w:szCs w:val="26"/>
        </w:rPr>
        <w:t xml:space="preserve"> (2% compared to 2.17%)</w:t>
      </w:r>
      <w:r w:rsidR="005C7637">
        <w:rPr>
          <w:sz w:val="26"/>
          <w:szCs w:val="26"/>
        </w:rPr>
        <w:t xml:space="preserve">.  </w:t>
      </w:r>
      <w:r w:rsidR="00A23625">
        <w:rPr>
          <w:sz w:val="26"/>
          <w:szCs w:val="26"/>
        </w:rPr>
        <w:t>Therefore,</w:t>
      </w:r>
      <w:r w:rsidR="005C7637">
        <w:rPr>
          <w:sz w:val="26"/>
          <w:szCs w:val="26"/>
        </w:rPr>
        <w:t xml:space="preserve"> Peoples</w:t>
      </w:r>
      <w:r w:rsidR="00A23625">
        <w:rPr>
          <w:sz w:val="26"/>
          <w:szCs w:val="26"/>
        </w:rPr>
        <w:t xml:space="preserve"> a</w:t>
      </w:r>
      <w:r w:rsidR="004245D6">
        <w:rPr>
          <w:sz w:val="26"/>
          <w:szCs w:val="26"/>
        </w:rPr>
        <w:t>sserts</w:t>
      </w:r>
      <w:r w:rsidR="00A23625">
        <w:rPr>
          <w:sz w:val="26"/>
          <w:szCs w:val="26"/>
        </w:rPr>
        <w:t xml:space="preserve"> </w:t>
      </w:r>
      <w:r w:rsidR="005540F0">
        <w:rPr>
          <w:sz w:val="26"/>
          <w:szCs w:val="26"/>
        </w:rPr>
        <w:t>it makes sense to have</w:t>
      </w:r>
      <w:r w:rsidR="00A23625">
        <w:rPr>
          <w:sz w:val="26"/>
          <w:szCs w:val="26"/>
        </w:rPr>
        <w:t xml:space="preserve"> a </w:t>
      </w:r>
      <w:r w:rsidR="005540F0">
        <w:rPr>
          <w:sz w:val="26"/>
          <w:szCs w:val="26"/>
        </w:rPr>
        <w:t xml:space="preserve">tariff </w:t>
      </w:r>
      <w:r w:rsidR="003E2090">
        <w:rPr>
          <w:sz w:val="26"/>
          <w:szCs w:val="26"/>
        </w:rPr>
        <w:t xml:space="preserve">that applies to both gathering and distribution system, so that the Company may not </w:t>
      </w:r>
      <w:r w:rsidR="00A23625">
        <w:rPr>
          <w:sz w:val="26"/>
          <w:szCs w:val="26"/>
        </w:rPr>
        <w:t xml:space="preserve">have to </w:t>
      </w:r>
      <w:r w:rsidR="005540F0">
        <w:rPr>
          <w:sz w:val="26"/>
          <w:szCs w:val="26"/>
        </w:rPr>
        <w:t xml:space="preserve">deal with the challenges that comes with </w:t>
      </w:r>
      <w:r w:rsidR="00F011EB">
        <w:rPr>
          <w:sz w:val="26"/>
          <w:szCs w:val="26"/>
        </w:rPr>
        <w:t xml:space="preserve">applying </w:t>
      </w:r>
      <w:r w:rsidR="00F546C8">
        <w:rPr>
          <w:sz w:val="26"/>
          <w:szCs w:val="26"/>
        </w:rPr>
        <w:t>one</w:t>
      </w:r>
      <w:r w:rsidR="003E2090">
        <w:rPr>
          <w:sz w:val="26"/>
          <w:szCs w:val="26"/>
        </w:rPr>
        <w:t xml:space="preserve"> tariff to only </w:t>
      </w:r>
      <w:r w:rsidR="005540F0">
        <w:rPr>
          <w:sz w:val="26"/>
          <w:szCs w:val="26"/>
        </w:rPr>
        <w:t>gathering</w:t>
      </w:r>
      <w:r w:rsidR="003E2090">
        <w:rPr>
          <w:sz w:val="26"/>
          <w:szCs w:val="26"/>
        </w:rPr>
        <w:t xml:space="preserve"> </w:t>
      </w:r>
      <w:r w:rsidR="005540F0">
        <w:rPr>
          <w:sz w:val="26"/>
          <w:szCs w:val="26"/>
        </w:rPr>
        <w:t>system</w:t>
      </w:r>
      <w:r w:rsidR="003E2090">
        <w:rPr>
          <w:sz w:val="26"/>
          <w:szCs w:val="26"/>
        </w:rPr>
        <w:t xml:space="preserve"> for </w:t>
      </w:r>
      <w:r w:rsidR="00F011EB">
        <w:rPr>
          <w:sz w:val="26"/>
          <w:szCs w:val="26"/>
        </w:rPr>
        <w:t xml:space="preserve">the </w:t>
      </w:r>
      <w:r w:rsidR="00E6591E">
        <w:rPr>
          <w:sz w:val="26"/>
          <w:szCs w:val="26"/>
        </w:rPr>
        <w:t>Peoples</w:t>
      </w:r>
      <w:r w:rsidR="00734951">
        <w:rPr>
          <w:sz w:val="26"/>
          <w:szCs w:val="26"/>
        </w:rPr>
        <w:t>’</w:t>
      </w:r>
      <w:r w:rsidR="00F011EB">
        <w:rPr>
          <w:sz w:val="26"/>
          <w:szCs w:val="26"/>
        </w:rPr>
        <w:t xml:space="preserve"> Division</w:t>
      </w:r>
      <w:r w:rsidR="00E6591E">
        <w:rPr>
          <w:sz w:val="26"/>
          <w:szCs w:val="26"/>
        </w:rPr>
        <w:t xml:space="preserve"> and</w:t>
      </w:r>
      <w:r w:rsidR="003E2090">
        <w:rPr>
          <w:sz w:val="26"/>
          <w:szCs w:val="26"/>
        </w:rPr>
        <w:t xml:space="preserve"> then a</w:t>
      </w:r>
      <w:r w:rsidR="00F546C8">
        <w:rPr>
          <w:sz w:val="26"/>
          <w:szCs w:val="26"/>
        </w:rPr>
        <w:t>nother</w:t>
      </w:r>
      <w:r w:rsidR="003E2090">
        <w:rPr>
          <w:sz w:val="26"/>
          <w:szCs w:val="26"/>
        </w:rPr>
        <w:t xml:space="preserve"> tariff that applies to both gathering and distribution</w:t>
      </w:r>
      <w:r w:rsidR="00E6591E">
        <w:rPr>
          <w:sz w:val="26"/>
          <w:szCs w:val="26"/>
        </w:rPr>
        <w:t xml:space="preserve"> </w:t>
      </w:r>
      <w:r w:rsidR="003E2090">
        <w:rPr>
          <w:sz w:val="26"/>
          <w:szCs w:val="26"/>
        </w:rPr>
        <w:t xml:space="preserve">system </w:t>
      </w:r>
      <w:r w:rsidR="00E6591E">
        <w:rPr>
          <w:sz w:val="26"/>
          <w:szCs w:val="26"/>
        </w:rPr>
        <w:t>for Equitable</w:t>
      </w:r>
      <w:r w:rsidR="005540F0">
        <w:rPr>
          <w:sz w:val="26"/>
          <w:szCs w:val="26"/>
        </w:rPr>
        <w:t xml:space="preserve">.  </w:t>
      </w:r>
      <w:r w:rsidR="00950146">
        <w:rPr>
          <w:sz w:val="26"/>
          <w:szCs w:val="26"/>
        </w:rPr>
        <w:t>PNG R. Exc. at 22 (citing R.D. at 86; PNG M.B. at 16; Tr. at 56).</w:t>
      </w:r>
      <w:r w:rsidR="00E848A0">
        <w:rPr>
          <w:sz w:val="26"/>
          <w:szCs w:val="26"/>
        </w:rPr>
        <w:t xml:space="preserve">  </w:t>
      </w:r>
      <w:r w:rsidR="00950146">
        <w:rPr>
          <w:sz w:val="26"/>
          <w:szCs w:val="26"/>
        </w:rPr>
        <w:t>Finally, P</w:t>
      </w:r>
      <w:r w:rsidR="004C14FC">
        <w:rPr>
          <w:sz w:val="26"/>
          <w:szCs w:val="26"/>
        </w:rPr>
        <w:t>eoples</w:t>
      </w:r>
      <w:r w:rsidR="00950146">
        <w:rPr>
          <w:sz w:val="26"/>
          <w:szCs w:val="26"/>
        </w:rPr>
        <w:t xml:space="preserve"> dismisses PIOGA</w:t>
      </w:r>
      <w:r w:rsidR="00734951">
        <w:rPr>
          <w:sz w:val="26"/>
          <w:szCs w:val="26"/>
        </w:rPr>
        <w:t>’</w:t>
      </w:r>
      <w:r w:rsidR="00950146">
        <w:rPr>
          <w:sz w:val="26"/>
          <w:szCs w:val="26"/>
        </w:rPr>
        <w:t xml:space="preserve">s </w:t>
      </w:r>
      <w:r w:rsidR="00734951">
        <w:rPr>
          <w:sz w:val="26"/>
          <w:szCs w:val="26"/>
        </w:rPr>
        <w:t>“</w:t>
      </w:r>
      <w:r w:rsidR="00950146">
        <w:rPr>
          <w:sz w:val="26"/>
          <w:szCs w:val="26"/>
        </w:rPr>
        <w:t>preponderance of evidence standard</w:t>
      </w:r>
      <w:r w:rsidR="00734951">
        <w:rPr>
          <w:sz w:val="26"/>
          <w:szCs w:val="26"/>
        </w:rPr>
        <w:t>”</w:t>
      </w:r>
      <w:r w:rsidR="00950146">
        <w:rPr>
          <w:sz w:val="26"/>
          <w:szCs w:val="26"/>
        </w:rPr>
        <w:t xml:space="preserve"> argument stating </w:t>
      </w:r>
      <w:r w:rsidR="00C02D18">
        <w:rPr>
          <w:sz w:val="26"/>
          <w:szCs w:val="26"/>
        </w:rPr>
        <w:t>the Compan</w:t>
      </w:r>
      <w:r w:rsidR="009417AA">
        <w:rPr>
          <w:sz w:val="26"/>
          <w:szCs w:val="26"/>
        </w:rPr>
        <w:t>y</w:t>
      </w:r>
      <w:r w:rsidR="00C02D18">
        <w:rPr>
          <w:sz w:val="26"/>
          <w:szCs w:val="26"/>
        </w:rPr>
        <w:t xml:space="preserve"> </w:t>
      </w:r>
      <w:r w:rsidR="00950146">
        <w:rPr>
          <w:sz w:val="26"/>
          <w:szCs w:val="26"/>
        </w:rPr>
        <w:t>presented three clear evidence</w:t>
      </w:r>
      <w:r w:rsidR="009417AA">
        <w:rPr>
          <w:sz w:val="26"/>
          <w:szCs w:val="26"/>
        </w:rPr>
        <w:t>s</w:t>
      </w:r>
      <w:r w:rsidR="00950146">
        <w:rPr>
          <w:sz w:val="26"/>
          <w:szCs w:val="26"/>
        </w:rPr>
        <w:t xml:space="preserve"> in support of the proposed charge</w:t>
      </w:r>
      <w:r w:rsidR="006A3948">
        <w:rPr>
          <w:sz w:val="26"/>
          <w:szCs w:val="26"/>
        </w:rPr>
        <w:t xml:space="preserve"> including</w:t>
      </w:r>
      <w:r w:rsidR="00950146">
        <w:rPr>
          <w:sz w:val="26"/>
          <w:szCs w:val="26"/>
        </w:rPr>
        <w:t xml:space="preserve">: (1) the administrative ease of applying the charge as it is currently applied </w:t>
      </w:r>
      <w:r w:rsidR="00BF1AF7">
        <w:rPr>
          <w:sz w:val="26"/>
          <w:szCs w:val="26"/>
        </w:rPr>
        <w:t>in</w:t>
      </w:r>
      <w:r w:rsidR="00950146">
        <w:rPr>
          <w:sz w:val="26"/>
          <w:szCs w:val="26"/>
        </w:rPr>
        <w:t xml:space="preserve"> Equitable; (2) the negligible difference between P</w:t>
      </w:r>
      <w:r w:rsidR="00BF1AF7">
        <w:rPr>
          <w:sz w:val="26"/>
          <w:szCs w:val="26"/>
        </w:rPr>
        <w:t>eoples</w:t>
      </w:r>
      <w:r w:rsidR="00950146">
        <w:rPr>
          <w:sz w:val="26"/>
          <w:szCs w:val="26"/>
        </w:rPr>
        <w:t xml:space="preserve"> and PIOGA</w:t>
      </w:r>
      <w:r w:rsidR="00734951">
        <w:rPr>
          <w:sz w:val="26"/>
          <w:szCs w:val="26"/>
        </w:rPr>
        <w:t>’</w:t>
      </w:r>
      <w:r w:rsidR="00950146">
        <w:rPr>
          <w:sz w:val="26"/>
          <w:szCs w:val="26"/>
        </w:rPr>
        <w:t>s proposed charges; and (3) the equal treatment of producers in both Peoples Division and Equitable.  PNG R. Exc. at 22-23.</w:t>
      </w:r>
    </w:p>
    <w:p w14:paraId="185749A8" w14:textId="77777777" w:rsidR="00204400" w:rsidRDefault="00204400" w:rsidP="007374FA">
      <w:pPr>
        <w:widowControl/>
        <w:tabs>
          <w:tab w:val="left" w:pos="1445"/>
          <w:tab w:val="left" w:pos="7920"/>
        </w:tabs>
        <w:autoSpaceDE w:val="0"/>
        <w:autoSpaceDN w:val="0"/>
        <w:adjustRightInd w:val="0"/>
        <w:spacing w:line="360" w:lineRule="auto"/>
        <w:rPr>
          <w:sz w:val="26"/>
          <w:szCs w:val="26"/>
        </w:rPr>
      </w:pPr>
    </w:p>
    <w:p w14:paraId="59DD1CC8" w14:textId="16B92BEC" w:rsidR="0077064B" w:rsidRDefault="00CE543C" w:rsidP="007374FA">
      <w:pPr>
        <w:widowControl/>
        <w:tabs>
          <w:tab w:val="left" w:pos="1445"/>
          <w:tab w:val="left" w:pos="7920"/>
        </w:tabs>
        <w:autoSpaceDE w:val="0"/>
        <w:autoSpaceDN w:val="0"/>
        <w:adjustRightInd w:val="0"/>
        <w:spacing w:line="360" w:lineRule="auto"/>
        <w:ind w:firstLine="1440"/>
        <w:rPr>
          <w:sz w:val="26"/>
          <w:szCs w:val="26"/>
        </w:rPr>
      </w:pPr>
      <w:r>
        <w:rPr>
          <w:sz w:val="26"/>
          <w:szCs w:val="26"/>
        </w:rPr>
        <w:tab/>
      </w:r>
      <w:r w:rsidR="0077064B">
        <w:rPr>
          <w:sz w:val="26"/>
          <w:szCs w:val="26"/>
        </w:rPr>
        <w:t>As a preliminary matter, we shall address PIOGA</w:t>
      </w:r>
      <w:r w:rsidR="00734951">
        <w:rPr>
          <w:sz w:val="26"/>
          <w:szCs w:val="26"/>
        </w:rPr>
        <w:t>’</w:t>
      </w:r>
      <w:r w:rsidR="0077064B">
        <w:rPr>
          <w:sz w:val="26"/>
          <w:szCs w:val="26"/>
        </w:rPr>
        <w:t xml:space="preserve">s Motion to Strike because it pertains to statements made by the Company in response to Exception No. 6.  </w:t>
      </w:r>
      <w:r w:rsidR="0077064B" w:rsidRPr="007F0B0D">
        <w:rPr>
          <w:sz w:val="26"/>
          <w:szCs w:val="26"/>
        </w:rPr>
        <w:lastRenderedPageBreak/>
        <w:t xml:space="preserve">In its </w:t>
      </w:r>
      <w:r w:rsidR="0077064B">
        <w:rPr>
          <w:sz w:val="26"/>
          <w:szCs w:val="26"/>
        </w:rPr>
        <w:t>Motion to Strike, PIOGA argues that the following statements of fact made for the first time in these proceedings by Peoples in its Replies to Exceptions to support Peoples</w:t>
      </w:r>
      <w:r w:rsidR="00734951">
        <w:rPr>
          <w:sz w:val="26"/>
          <w:szCs w:val="26"/>
        </w:rPr>
        <w:t>’</w:t>
      </w:r>
      <w:r w:rsidR="0077064B">
        <w:rPr>
          <w:sz w:val="26"/>
          <w:szCs w:val="26"/>
        </w:rPr>
        <w:t xml:space="preserve"> </w:t>
      </w:r>
      <w:r w:rsidR="00734951">
        <w:rPr>
          <w:sz w:val="26"/>
          <w:szCs w:val="26"/>
        </w:rPr>
        <w:t>“</w:t>
      </w:r>
      <w:r w:rsidR="0077064B">
        <w:rPr>
          <w:sz w:val="26"/>
          <w:szCs w:val="26"/>
        </w:rPr>
        <w:t>administrative ease</w:t>
      </w:r>
      <w:r w:rsidR="00734951">
        <w:rPr>
          <w:sz w:val="26"/>
          <w:szCs w:val="26"/>
        </w:rPr>
        <w:t>”</w:t>
      </w:r>
      <w:r w:rsidR="0077064B">
        <w:rPr>
          <w:sz w:val="26"/>
          <w:szCs w:val="26"/>
        </w:rPr>
        <w:t xml:space="preserve"> argument, should be stricken, because, according to PIOGA, they are not in the record:</w:t>
      </w:r>
    </w:p>
    <w:p w14:paraId="12A6192C" w14:textId="77777777" w:rsidR="0077064B" w:rsidRDefault="0077064B" w:rsidP="007374FA">
      <w:pPr>
        <w:widowControl/>
        <w:tabs>
          <w:tab w:val="left" w:pos="1445"/>
          <w:tab w:val="left" w:pos="7920"/>
        </w:tabs>
        <w:autoSpaceDE w:val="0"/>
        <w:autoSpaceDN w:val="0"/>
        <w:adjustRightInd w:val="0"/>
        <w:spacing w:line="360" w:lineRule="auto"/>
        <w:rPr>
          <w:sz w:val="26"/>
          <w:szCs w:val="26"/>
        </w:rPr>
      </w:pPr>
    </w:p>
    <w:p w14:paraId="092071C6" w14:textId="50CE69F7" w:rsidR="0077064B" w:rsidRDefault="0077064B" w:rsidP="007374FA">
      <w:pPr>
        <w:pStyle w:val="ListParagraph"/>
        <w:widowControl/>
        <w:numPr>
          <w:ilvl w:val="0"/>
          <w:numId w:val="14"/>
        </w:numPr>
        <w:tabs>
          <w:tab w:val="left" w:pos="1445"/>
          <w:tab w:val="left" w:pos="7920"/>
        </w:tabs>
        <w:autoSpaceDE w:val="0"/>
        <w:autoSpaceDN w:val="0"/>
        <w:adjustRightInd w:val="0"/>
        <w:ind w:left="1440" w:right="1440"/>
        <w:rPr>
          <w:sz w:val="26"/>
          <w:szCs w:val="26"/>
        </w:rPr>
      </w:pPr>
      <w:r w:rsidRPr="001076E3">
        <w:rPr>
          <w:sz w:val="26"/>
          <w:szCs w:val="26"/>
        </w:rPr>
        <w:t xml:space="preserve">Otherwise, the Company </w:t>
      </w:r>
      <w:r w:rsidRPr="001076E3">
        <w:rPr>
          <w:b/>
          <w:sz w:val="26"/>
          <w:szCs w:val="26"/>
        </w:rPr>
        <w:t>would have to track the point of delivery of the volumes of gas delivered by every conventional gas producer who is c</w:t>
      </w:r>
      <w:r>
        <w:rPr>
          <w:b/>
          <w:sz w:val="26"/>
          <w:szCs w:val="26"/>
        </w:rPr>
        <w:t xml:space="preserve">onnected to the Peoples </w:t>
      </w:r>
      <w:r w:rsidR="006147C6">
        <w:rPr>
          <w:b/>
          <w:sz w:val="26"/>
          <w:szCs w:val="26"/>
        </w:rPr>
        <w:t>Division</w:t>
      </w:r>
      <w:r w:rsidR="00734951">
        <w:rPr>
          <w:b/>
          <w:sz w:val="26"/>
          <w:szCs w:val="26"/>
        </w:rPr>
        <w:t>’</w:t>
      </w:r>
      <w:r w:rsidR="006147C6">
        <w:rPr>
          <w:b/>
          <w:sz w:val="26"/>
          <w:szCs w:val="26"/>
        </w:rPr>
        <w:t>s</w:t>
      </w:r>
      <w:r w:rsidRPr="001076E3">
        <w:rPr>
          <w:b/>
          <w:sz w:val="26"/>
          <w:szCs w:val="26"/>
        </w:rPr>
        <w:t xml:space="preserve"> gathering system</w:t>
      </w:r>
      <w:r w:rsidRPr="001076E3">
        <w:rPr>
          <w:sz w:val="26"/>
          <w:szCs w:val="26"/>
        </w:rPr>
        <w:t xml:space="preserve"> and compute the charge accordingly, but not have to do so for Peoples-Equitable Division</w:t>
      </w:r>
      <w:r w:rsidR="00734951">
        <w:rPr>
          <w:sz w:val="26"/>
          <w:szCs w:val="26"/>
        </w:rPr>
        <w:t>’</w:t>
      </w:r>
      <w:r w:rsidRPr="001076E3">
        <w:rPr>
          <w:sz w:val="26"/>
          <w:szCs w:val="26"/>
        </w:rPr>
        <w:t xml:space="preserve">s gathering system.  Further, </w:t>
      </w:r>
      <w:r w:rsidRPr="001076E3">
        <w:rPr>
          <w:b/>
          <w:sz w:val="26"/>
          <w:szCs w:val="26"/>
        </w:rPr>
        <w:t>conventional gas producers would be treated differently</w:t>
      </w:r>
      <w:r w:rsidRPr="001076E3">
        <w:rPr>
          <w:sz w:val="26"/>
          <w:szCs w:val="26"/>
        </w:rPr>
        <w:t xml:space="preserve"> depending on whether they are</w:t>
      </w:r>
      <w:r>
        <w:rPr>
          <w:sz w:val="26"/>
          <w:szCs w:val="26"/>
        </w:rPr>
        <w:t xml:space="preserve"> connected to a Peoples </w:t>
      </w:r>
      <w:r w:rsidR="00C31545">
        <w:rPr>
          <w:sz w:val="26"/>
          <w:szCs w:val="26"/>
        </w:rPr>
        <w:t>Division</w:t>
      </w:r>
      <w:r w:rsidRPr="001076E3">
        <w:rPr>
          <w:sz w:val="26"/>
          <w:szCs w:val="26"/>
        </w:rPr>
        <w:t xml:space="preserve"> or Peoples-Equitabl</w:t>
      </w:r>
      <w:r>
        <w:rPr>
          <w:sz w:val="26"/>
          <w:szCs w:val="26"/>
        </w:rPr>
        <w:t>e Division gathering system.  P</w:t>
      </w:r>
      <w:r w:rsidR="006147C6">
        <w:rPr>
          <w:sz w:val="26"/>
          <w:szCs w:val="26"/>
        </w:rPr>
        <w:t>N</w:t>
      </w:r>
      <w:r w:rsidRPr="001076E3">
        <w:rPr>
          <w:sz w:val="26"/>
          <w:szCs w:val="26"/>
        </w:rPr>
        <w:t>G Replies to Exceptions at 22 (emphasis added).</w:t>
      </w:r>
    </w:p>
    <w:p w14:paraId="3CB962AA" w14:textId="77777777" w:rsidR="0077064B" w:rsidRDefault="0077064B" w:rsidP="007374FA">
      <w:pPr>
        <w:widowControl/>
        <w:tabs>
          <w:tab w:val="left" w:pos="1445"/>
          <w:tab w:val="left" w:pos="7920"/>
        </w:tabs>
        <w:autoSpaceDE w:val="0"/>
        <w:autoSpaceDN w:val="0"/>
        <w:adjustRightInd w:val="0"/>
        <w:ind w:left="1440" w:right="1440"/>
        <w:rPr>
          <w:sz w:val="26"/>
          <w:szCs w:val="26"/>
        </w:rPr>
      </w:pPr>
    </w:p>
    <w:p w14:paraId="2F0AF444" w14:textId="5255E80C" w:rsidR="0077064B" w:rsidRDefault="0077064B" w:rsidP="007374FA">
      <w:pPr>
        <w:widowControl/>
        <w:tabs>
          <w:tab w:val="left" w:pos="1080"/>
          <w:tab w:val="left" w:pos="1350"/>
          <w:tab w:val="left" w:pos="1440"/>
          <w:tab w:val="left" w:pos="7920"/>
        </w:tabs>
        <w:autoSpaceDE w:val="0"/>
        <w:autoSpaceDN w:val="0"/>
        <w:adjustRightInd w:val="0"/>
        <w:ind w:left="1440" w:right="1440" w:hanging="360"/>
        <w:rPr>
          <w:sz w:val="26"/>
          <w:szCs w:val="26"/>
        </w:rPr>
      </w:pPr>
      <w:r>
        <w:rPr>
          <w:sz w:val="26"/>
          <w:szCs w:val="26"/>
        </w:rPr>
        <w:t xml:space="preserve">ii. </w:t>
      </w:r>
      <w:r w:rsidR="00734951">
        <w:rPr>
          <w:sz w:val="26"/>
          <w:szCs w:val="26"/>
        </w:rPr>
        <w:t>“</w:t>
      </w:r>
      <w:r>
        <w:rPr>
          <w:sz w:val="26"/>
          <w:szCs w:val="26"/>
        </w:rPr>
        <w:t xml:space="preserve">and (3) </w:t>
      </w:r>
      <w:r w:rsidRPr="001076E3">
        <w:rPr>
          <w:b/>
          <w:sz w:val="26"/>
          <w:szCs w:val="26"/>
        </w:rPr>
        <w:t>the equal treatment of producers in bo</w:t>
      </w:r>
      <w:r>
        <w:rPr>
          <w:b/>
          <w:sz w:val="26"/>
          <w:szCs w:val="26"/>
        </w:rPr>
        <w:t xml:space="preserve">th the Peoples </w:t>
      </w:r>
      <w:r w:rsidR="006147C6">
        <w:rPr>
          <w:b/>
          <w:sz w:val="26"/>
          <w:szCs w:val="26"/>
        </w:rPr>
        <w:t>Division</w:t>
      </w:r>
      <w:r w:rsidRPr="001076E3">
        <w:rPr>
          <w:b/>
          <w:sz w:val="26"/>
          <w:szCs w:val="26"/>
        </w:rPr>
        <w:t xml:space="preserve"> and </w:t>
      </w:r>
      <w:r>
        <w:rPr>
          <w:b/>
          <w:sz w:val="26"/>
          <w:szCs w:val="26"/>
        </w:rPr>
        <w:t>Peoples-</w:t>
      </w:r>
      <w:r w:rsidRPr="001076E3">
        <w:rPr>
          <w:b/>
          <w:sz w:val="26"/>
          <w:szCs w:val="26"/>
        </w:rPr>
        <w:t>Equitable Division territories.</w:t>
      </w:r>
      <w:r w:rsidR="00734951">
        <w:rPr>
          <w:sz w:val="26"/>
          <w:szCs w:val="26"/>
        </w:rPr>
        <w:t>”</w:t>
      </w:r>
      <w:r>
        <w:rPr>
          <w:sz w:val="26"/>
          <w:szCs w:val="26"/>
        </w:rPr>
        <w:t xml:space="preserve">  P</w:t>
      </w:r>
      <w:r w:rsidR="006147C6">
        <w:rPr>
          <w:sz w:val="26"/>
          <w:szCs w:val="26"/>
        </w:rPr>
        <w:t>N</w:t>
      </w:r>
      <w:r>
        <w:rPr>
          <w:sz w:val="26"/>
          <w:szCs w:val="26"/>
        </w:rPr>
        <w:t xml:space="preserve">G Replies to Exceptions at 23 (emphasis added). </w:t>
      </w:r>
    </w:p>
    <w:p w14:paraId="5249ACBE" w14:textId="77777777" w:rsidR="0077064B" w:rsidRDefault="0077064B" w:rsidP="007374FA">
      <w:pPr>
        <w:widowControl/>
        <w:tabs>
          <w:tab w:val="left" w:pos="1445"/>
          <w:tab w:val="left" w:pos="7920"/>
        </w:tabs>
        <w:autoSpaceDE w:val="0"/>
        <w:autoSpaceDN w:val="0"/>
        <w:adjustRightInd w:val="0"/>
        <w:spacing w:line="360" w:lineRule="auto"/>
        <w:rPr>
          <w:sz w:val="26"/>
          <w:szCs w:val="26"/>
        </w:rPr>
      </w:pPr>
    </w:p>
    <w:p w14:paraId="6F74DF45" w14:textId="4865CDED" w:rsidR="0077064B" w:rsidRDefault="0077064B" w:rsidP="007374FA">
      <w:pPr>
        <w:widowControl/>
        <w:tabs>
          <w:tab w:val="left" w:pos="1445"/>
          <w:tab w:val="left" w:pos="7920"/>
        </w:tabs>
        <w:autoSpaceDE w:val="0"/>
        <w:autoSpaceDN w:val="0"/>
        <w:adjustRightInd w:val="0"/>
        <w:spacing w:line="360" w:lineRule="auto"/>
        <w:rPr>
          <w:sz w:val="26"/>
          <w:szCs w:val="26"/>
        </w:rPr>
      </w:pPr>
      <w:r>
        <w:rPr>
          <w:sz w:val="26"/>
          <w:szCs w:val="26"/>
        </w:rPr>
        <w:t xml:space="preserve">Motion to Strike at 2, 4-5.  According to PIOGA, Peoples could not reference where in the record the above purported facts are stated because they are obviously not in the record.  </w:t>
      </w:r>
      <w:r w:rsidRPr="001076E3">
        <w:rPr>
          <w:i/>
          <w:sz w:val="26"/>
          <w:szCs w:val="26"/>
        </w:rPr>
        <w:t>Id.</w:t>
      </w:r>
      <w:r>
        <w:rPr>
          <w:sz w:val="26"/>
          <w:szCs w:val="26"/>
        </w:rPr>
        <w:t xml:space="preserve"> at 5.  PIOGA argues the Commission should reject Peoples</w:t>
      </w:r>
      <w:r w:rsidR="00734951">
        <w:rPr>
          <w:sz w:val="26"/>
          <w:szCs w:val="26"/>
        </w:rPr>
        <w:t>’</w:t>
      </w:r>
      <w:r>
        <w:rPr>
          <w:sz w:val="26"/>
          <w:szCs w:val="26"/>
        </w:rPr>
        <w:t xml:space="preserve"> last-minute attempt to introduce extra-record evidence to support its administrative ease argument.  According to PIOGA, Peoples</w:t>
      </w:r>
      <w:r w:rsidR="00734951">
        <w:rPr>
          <w:sz w:val="26"/>
          <w:szCs w:val="26"/>
        </w:rPr>
        <w:t>’</w:t>
      </w:r>
      <w:r>
        <w:rPr>
          <w:sz w:val="26"/>
          <w:szCs w:val="26"/>
        </w:rPr>
        <w:t xml:space="preserve"> attempt to introduce extra-record evidence by way of its Reply Exceptions, is a testament to the fact that Peoples could not present adequate evidence in this proceeding to justify approval of its proposal.  </w:t>
      </w:r>
      <w:r w:rsidRPr="001076E3">
        <w:rPr>
          <w:i/>
          <w:sz w:val="26"/>
          <w:szCs w:val="26"/>
        </w:rPr>
        <w:t>Id.</w:t>
      </w:r>
      <w:r>
        <w:rPr>
          <w:sz w:val="26"/>
          <w:szCs w:val="26"/>
        </w:rPr>
        <w:t xml:space="preserve"> at 5-7.</w:t>
      </w:r>
    </w:p>
    <w:p w14:paraId="71A649A2" w14:textId="77777777" w:rsidR="0077064B" w:rsidRDefault="0077064B" w:rsidP="007374FA">
      <w:pPr>
        <w:widowControl/>
        <w:tabs>
          <w:tab w:val="left" w:pos="1445"/>
          <w:tab w:val="left" w:pos="7920"/>
        </w:tabs>
        <w:autoSpaceDE w:val="0"/>
        <w:autoSpaceDN w:val="0"/>
        <w:adjustRightInd w:val="0"/>
        <w:spacing w:line="360" w:lineRule="auto"/>
        <w:rPr>
          <w:sz w:val="26"/>
          <w:szCs w:val="26"/>
        </w:rPr>
      </w:pPr>
    </w:p>
    <w:p w14:paraId="24AD1950" w14:textId="6407D961" w:rsidR="006147C6" w:rsidRDefault="0077064B" w:rsidP="007374FA">
      <w:pPr>
        <w:widowControl/>
        <w:tabs>
          <w:tab w:val="left" w:pos="1445"/>
          <w:tab w:val="left" w:pos="7920"/>
        </w:tabs>
        <w:autoSpaceDE w:val="0"/>
        <w:autoSpaceDN w:val="0"/>
        <w:adjustRightInd w:val="0"/>
        <w:spacing w:line="360" w:lineRule="auto"/>
        <w:rPr>
          <w:sz w:val="26"/>
          <w:szCs w:val="26"/>
        </w:rPr>
      </w:pPr>
      <w:r>
        <w:rPr>
          <w:sz w:val="26"/>
          <w:szCs w:val="26"/>
        </w:rPr>
        <w:tab/>
      </w:r>
      <w:r w:rsidR="006147C6">
        <w:rPr>
          <w:sz w:val="26"/>
          <w:szCs w:val="26"/>
        </w:rPr>
        <w:t>In its Answer, Peoples requests that the Commission deny PIOGA</w:t>
      </w:r>
      <w:r w:rsidR="00734951">
        <w:rPr>
          <w:sz w:val="26"/>
          <w:szCs w:val="26"/>
        </w:rPr>
        <w:t>’</w:t>
      </w:r>
      <w:r w:rsidR="006147C6">
        <w:rPr>
          <w:sz w:val="26"/>
          <w:szCs w:val="26"/>
        </w:rPr>
        <w:t>s Motion to Strike because the statements of fact in the Motion are well-supported by the record evidence and from logistical inferences.  Answer at 2, 4.  Peoples aver the ALJ appropriately rejected PIOGA</w:t>
      </w:r>
      <w:r w:rsidR="00734951">
        <w:rPr>
          <w:sz w:val="26"/>
          <w:szCs w:val="26"/>
        </w:rPr>
        <w:t>’</w:t>
      </w:r>
      <w:r w:rsidR="006147C6">
        <w:rPr>
          <w:sz w:val="26"/>
          <w:szCs w:val="26"/>
        </w:rPr>
        <w:t>s unfounded arguments against the proposal and approved the Company</w:t>
      </w:r>
      <w:r w:rsidR="00734951">
        <w:rPr>
          <w:sz w:val="26"/>
          <w:szCs w:val="26"/>
        </w:rPr>
        <w:t>’</w:t>
      </w:r>
      <w:r w:rsidR="006147C6">
        <w:rPr>
          <w:sz w:val="26"/>
          <w:szCs w:val="26"/>
        </w:rPr>
        <w:t xml:space="preserve">s well-reasoned argument regarding the proposed charge.  </w:t>
      </w:r>
      <w:r w:rsidR="006147C6" w:rsidRPr="00C041E3">
        <w:rPr>
          <w:i/>
          <w:sz w:val="26"/>
          <w:szCs w:val="26"/>
        </w:rPr>
        <w:t>Id</w:t>
      </w:r>
      <w:r w:rsidR="006147C6">
        <w:rPr>
          <w:sz w:val="26"/>
          <w:szCs w:val="26"/>
        </w:rPr>
        <w:t xml:space="preserve">. at 2-3 (citing </w:t>
      </w:r>
      <w:r w:rsidR="006147C6">
        <w:rPr>
          <w:sz w:val="26"/>
          <w:szCs w:val="26"/>
        </w:rPr>
        <w:lastRenderedPageBreak/>
        <w:t>R.D. at 84-86).  Peoples argues, it is axiomatic that, under PIOGA</w:t>
      </w:r>
      <w:r w:rsidR="00734951">
        <w:rPr>
          <w:sz w:val="26"/>
          <w:szCs w:val="26"/>
        </w:rPr>
        <w:t>’</w:t>
      </w:r>
      <w:r w:rsidR="006147C6">
        <w:rPr>
          <w:sz w:val="26"/>
          <w:szCs w:val="26"/>
        </w:rPr>
        <w:t xml:space="preserve">s proposal to charge the fee to only some conventional producers, </w:t>
      </w:r>
      <w:r w:rsidR="00734951">
        <w:rPr>
          <w:sz w:val="26"/>
          <w:szCs w:val="26"/>
        </w:rPr>
        <w:t>“</w:t>
      </w:r>
      <w:r w:rsidR="006147C6">
        <w:rPr>
          <w:sz w:val="26"/>
          <w:szCs w:val="26"/>
        </w:rPr>
        <w:t>the Company would have to track the point of delivery of the volumes of gas delivered by every conventional gas producer who is connected to the Peoples Division</w:t>
      </w:r>
      <w:r w:rsidR="00734951">
        <w:rPr>
          <w:sz w:val="26"/>
          <w:szCs w:val="26"/>
        </w:rPr>
        <w:t>’</w:t>
      </w:r>
      <w:r w:rsidR="006147C6">
        <w:rPr>
          <w:sz w:val="26"/>
          <w:szCs w:val="26"/>
        </w:rPr>
        <w:t>s gathering system and compute the charge accordingly, but not have to do so for Peoples-Equitable Division</w:t>
      </w:r>
      <w:r w:rsidR="00734951">
        <w:rPr>
          <w:sz w:val="26"/>
          <w:szCs w:val="26"/>
        </w:rPr>
        <w:t>’</w:t>
      </w:r>
      <w:r w:rsidR="006147C6">
        <w:rPr>
          <w:sz w:val="26"/>
          <w:szCs w:val="26"/>
        </w:rPr>
        <w:t>s gathering system.</w:t>
      </w:r>
      <w:r w:rsidR="00734951">
        <w:rPr>
          <w:sz w:val="26"/>
          <w:szCs w:val="26"/>
        </w:rPr>
        <w:t>”</w:t>
      </w:r>
      <w:r w:rsidR="006147C6">
        <w:rPr>
          <w:sz w:val="26"/>
          <w:szCs w:val="26"/>
        </w:rPr>
        <w:t xml:space="preserve">  Answer at 4 (citing PNG R. Exc. at 22).  </w:t>
      </w:r>
    </w:p>
    <w:p w14:paraId="1FB0E802" w14:textId="77777777" w:rsidR="006147C6" w:rsidRDefault="006147C6" w:rsidP="007374FA">
      <w:pPr>
        <w:widowControl/>
        <w:tabs>
          <w:tab w:val="left" w:pos="1445"/>
          <w:tab w:val="left" w:pos="7920"/>
        </w:tabs>
        <w:autoSpaceDE w:val="0"/>
        <w:autoSpaceDN w:val="0"/>
        <w:adjustRightInd w:val="0"/>
        <w:spacing w:line="360" w:lineRule="auto"/>
        <w:rPr>
          <w:sz w:val="26"/>
          <w:szCs w:val="26"/>
        </w:rPr>
      </w:pPr>
    </w:p>
    <w:p w14:paraId="60C15550" w14:textId="3E63F38F" w:rsidR="006147C6" w:rsidRDefault="006147C6" w:rsidP="007374FA">
      <w:pPr>
        <w:widowControl/>
        <w:tabs>
          <w:tab w:val="left" w:pos="1445"/>
          <w:tab w:val="left" w:pos="7920"/>
        </w:tabs>
        <w:autoSpaceDE w:val="0"/>
        <w:autoSpaceDN w:val="0"/>
        <w:adjustRightInd w:val="0"/>
        <w:spacing w:line="360" w:lineRule="auto"/>
        <w:rPr>
          <w:sz w:val="26"/>
          <w:szCs w:val="26"/>
        </w:rPr>
      </w:pPr>
      <w:r>
        <w:rPr>
          <w:sz w:val="26"/>
          <w:szCs w:val="26"/>
        </w:rPr>
        <w:tab/>
        <w:t>Peoples further notes that both Equitable Rate AGS and the proposed Rate GS producer retainage charge are volumetric rates and that the only way to compute the charges correctly is to track volumes delivered.  Answer at 4-5 (citing PNG St. 1 at 13, 15; PNG Exh. 7 at 15; Gas – Pa. P.U.C. No. 46, Original Page No. 82).</w:t>
      </w:r>
      <w:r>
        <w:rPr>
          <w:rStyle w:val="FootnoteReference"/>
          <w:sz w:val="26"/>
          <w:szCs w:val="26"/>
        </w:rPr>
        <w:footnoteReference w:id="29"/>
      </w:r>
      <w:r>
        <w:rPr>
          <w:sz w:val="26"/>
          <w:szCs w:val="26"/>
        </w:rPr>
        <w:t xml:space="preserve">  Reiterating its arguments for the proposal, Peoples, among other things, asserts it has made it abundantly clear throughout this proceeding that it does not want to treat conventional gas producers in its Peoples Division differently from those in the Equitable Division.  Therefore, for uniformity, it is only logical to apply the charge to production delivered to both gathering and distribution lines, </w:t>
      </w:r>
      <w:proofErr w:type="gramStart"/>
      <w:r>
        <w:rPr>
          <w:sz w:val="26"/>
          <w:szCs w:val="26"/>
        </w:rPr>
        <w:t>similar to</w:t>
      </w:r>
      <w:proofErr w:type="gramEnd"/>
      <w:r>
        <w:rPr>
          <w:sz w:val="26"/>
          <w:szCs w:val="26"/>
        </w:rPr>
        <w:t xml:space="preserve"> Equitable</w:t>
      </w:r>
      <w:r w:rsidR="00734951">
        <w:rPr>
          <w:sz w:val="26"/>
          <w:szCs w:val="26"/>
        </w:rPr>
        <w:t>’</w:t>
      </w:r>
      <w:r>
        <w:rPr>
          <w:sz w:val="26"/>
          <w:szCs w:val="26"/>
        </w:rPr>
        <w:t>s Rate AGS tariff, Peoples argues.  Answer at 5-6.</w:t>
      </w:r>
    </w:p>
    <w:p w14:paraId="6CADBA34" w14:textId="77777777" w:rsidR="0077064B" w:rsidRDefault="0077064B" w:rsidP="007374FA">
      <w:pPr>
        <w:widowControl/>
        <w:tabs>
          <w:tab w:val="left" w:pos="1445"/>
          <w:tab w:val="left" w:pos="7920"/>
        </w:tabs>
        <w:autoSpaceDE w:val="0"/>
        <w:autoSpaceDN w:val="0"/>
        <w:adjustRightInd w:val="0"/>
        <w:spacing w:line="360" w:lineRule="auto"/>
        <w:rPr>
          <w:sz w:val="26"/>
          <w:szCs w:val="26"/>
        </w:rPr>
      </w:pPr>
    </w:p>
    <w:p w14:paraId="5FCD5539" w14:textId="0556670E" w:rsidR="0077064B" w:rsidRDefault="0077064B" w:rsidP="007374FA">
      <w:pPr>
        <w:widowControl/>
        <w:tabs>
          <w:tab w:val="left" w:pos="1445"/>
          <w:tab w:val="left" w:pos="7920"/>
        </w:tabs>
        <w:autoSpaceDE w:val="0"/>
        <w:autoSpaceDN w:val="0"/>
        <w:adjustRightInd w:val="0"/>
        <w:spacing w:line="360" w:lineRule="auto"/>
        <w:rPr>
          <w:sz w:val="26"/>
          <w:szCs w:val="26"/>
        </w:rPr>
      </w:pPr>
      <w:r>
        <w:rPr>
          <w:sz w:val="26"/>
          <w:szCs w:val="26"/>
        </w:rPr>
        <w:tab/>
        <w:t>Upon review, we find that the passages emphasized by PIOGA are supported by the record and the logical inferences deduced from them.  It seems clear in the record that both the Equitable Division</w:t>
      </w:r>
      <w:r w:rsidR="00734951">
        <w:rPr>
          <w:sz w:val="26"/>
          <w:szCs w:val="26"/>
        </w:rPr>
        <w:t>’</w:t>
      </w:r>
      <w:r>
        <w:rPr>
          <w:sz w:val="26"/>
          <w:szCs w:val="26"/>
        </w:rPr>
        <w:t>s Rate AGS and the proposed producer retainage charge would apply to conventional gas production delivered into the distribution and gathering lines.  P</w:t>
      </w:r>
      <w:r w:rsidR="006147C6">
        <w:rPr>
          <w:sz w:val="26"/>
          <w:szCs w:val="26"/>
        </w:rPr>
        <w:t>NG</w:t>
      </w:r>
      <w:r>
        <w:rPr>
          <w:sz w:val="26"/>
          <w:szCs w:val="26"/>
        </w:rPr>
        <w:t xml:space="preserve"> St. 1-R at 2</w:t>
      </w:r>
      <w:r w:rsidR="006147C6">
        <w:rPr>
          <w:sz w:val="26"/>
          <w:szCs w:val="26"/>
        </w:rPr>
        <w:t>7</w:t>
      </w:r>
      <w:r>
        <w:rPr>
          <w:sz w:val="26"/>
          <w:szCs w:val="26"/>
        </w:rPr>
        <w:t xml:space="preserve">; PIOGA St. 1 at 5. Indeed, PIOGA conceded that the Company clarified how its proposed producer retainage charge would </w:t>
      </w:r>
      <w:r>
        <w:rPr>
          <w:sz w:val="26"/>
          <w:szCs w:val="26"/>
        </w:rPr>
        <w:lastRenderedPageBreak/>
        <w:t xml:space="preserve">apply to all conventional production delivered to Peoples Gas facilities. </w:t>
      </w:r>
      <w:r w:rsidR="002E4C29">
        <w:rPr>
          <w:sz w:val="26"/>
          <w:szCs w:val="26"/>
        </w:rPr>
        <w:t xml:space="preserve"> </w:t>
      </w:r>
      <w:r>
        <w:rPr>
          <w:sz w:val="26"/>
          <w:szCs w:val="26"/>
        </w:rPr>
        <w:t xml:space="preserve">PIOGA St. 1 at 5.  Here, the Company explained that its approach is intended to prevent </w:t>
      </w:r>
      <w:r w:rsidR="00734951">
        <w:rPr>
          <w:sz w:val="26"/>
          <w:szCs w:val="26"/>
        </w:rPr>
        <w:t>“</w:t>
      </w:r>
      <w:r>
        <w:rPr>
          <w:sz w:val="26"/>
          <w:szCs w:val="26"/>
        </w:rPr>
        <w:t xml:space="preserve">different rules depending on which company a </w:t>
      </w:r>
      <w:proofErr w:type="gramStart"/>
      <w:r>
        <w:rPr>
          <w:sz w:val="26"/>
          <w:szCs w:val="26"/>
        </w:rPr>
        <w:t>well ties</w:t>
      </w:r>
      <w:proofErr w:type="gramEnd"/>
      <w:r>
        <w:rPr>
          <w:sz w:val="26"/>
          <w:szCs w:val="26"/>
        </w:rPr>
        <w:t xml:space="preserve"> into.</w:t>
      </w:r>
      <w:r w:rsidR="00734951">
        <w:rPr>
          <w:sz w:val="26"/>
          <w:szCs w:val="26"/>
        </w:rPr>
        <w:t>”</w:t>
      </w:r>
      <w:r>
        <w:rPr>
          <w:sz w:val="26"/>
          <w:szCs w:val="26"/>
        </w:rPr>
        <w:t xml:space="preserve">  P</w:t>
      </w:r>
      <w:r w:rsidR="006147C6">
        <w:rPr>
          <w:sz w:val="26"/>
          <w:szCs w:val="26"/>
        </w:rPr>
        <w:t>NG</w:t>
      </w:r>
      <w:r>
        <w:rPr>
          <w:sz w:val="26"/>
          <w:szCs w:val="26"/>
        </w:rPr>
        <w:t xml:space="preserve"> St. No. 1-R at 2</w:t>
      </w:r>
      <w:r w:rsidR="006147C6">
        <w:rPr>
          <w:sz w:val="26"/>
          <w:szCs w:val="26"/>
        </w:rPr>
        <w:t>7</w:t>
      </w:r>
      <w:r>
        <w:rPr>
          <w:sz w:val="26"/>
          <w:szCs w:val="26"/>
        </w:rPr>
        <w:t>.  In this proceeding, PIOGA is attempting to limit the application of the Company</w:t>
      </w:r>
      <w:r w:rsidR="00734951">
        <w:rPr>
          <w:sz w:val="26"/>
          <w:szCs w:val="26"/>
        </w:rPr>
        <w:t>’</w:t>
      </w:r>
      <w:r>
        <w:rPr>
          <w:sz w:val="26"/>
          <w:szCs w:val="26"/>
        </w:rPr>
        <w:t>s charge to volumes delivered solely to the gathering lines.  As such, it is appropriate to infer that PIOGA</w:t>
      </w:r>
      <w:r w:rsidR="00734951">
        <w:rPr>
          <w:sz w:val="26"/>
          <w:szCs w:val="26"/>
        </w:rPr>
        <w:t>’</w:t>
      </w:r>
      <w:r>
        <w:rPr>
          <w:sz w:val="26"/>
          <w:szCs w:val="26"/>
        </w:rPr>
        <w:t>s proposal would require Peoples to know which producers are only delivering conventional production into the Company</w:t>
      </w:r>
      <w:r w:rsidR="00734951">
        <w:rPr>
          <w:sz w:val="26"/>
          <w:szCs w:val="26"/>
        </w:rPr>
        <w:t>’</w:t>
      </w:r>
      <w:r>
        <w:rPr>
          <w:sz w:val="26"/>
          <w:szCs w:val="26"/>
        </w:rPr>
        <w:t xml:space="preserve">s gathering system and the amount of the production being delivered.  </w:t>
      </w:r>
    </w:p>
    <w:p w14:paraId="634B611E" w14:textId="77777777" w:rsidR="0077064B" w:rsidRDefault="0077064B" w:rsidP="007374FA">
      <w:pPr>
        <w:widowControl/>
        <w:tabs>
          <w:tab w:val="left" w:pos="1445"/>
          <w:tab w:val="left" w:pos="7920"/>
        </w:tabs>
        <w:autoSpaceDE w:val="0"/>
        <w:autoSpaceDN w:val="0"/>
        <w:adjustRightInd w:val="0"/>
        <w:spacing w:line="360" w:lineRule="auto"/>
        <w:rPr>
          <w:sz w:val="26"/>
          <w:szCs w:val="26"/>
        </w:rPr>
      </w:pPr>
    </w:p>
    <w:p w14:paraId="3E3414FE" w14:textId="4D8B71E5" w:rsidR="0077064B" w:rsidRDefault="0077064B" w:rsidP="007374FA">
      <w:pPr>
        <w:widowControl/>
        <w:tabs>
          <w:tab w:val="left" w:pos="1445"/>
          <w:tab w:val="left" w:pos="7920"/>
        </w:tabs>
        <w:autoSpaceDE w:val="0"/>
        <w:autoSpaceDN w:val="0"/>
        <w:adjustRightInd w:val="0"/>
        <w:spacing w:line="360" w:lineRule="auto"/>
        <w:rPr>
          <w:sz w:val="26"/>
          <w:szCs w:val="26"/>
        </w:rPr>
      </w:pPr>
      <w:r>
        <w:rPr>
          <w:sz w:val="26"/>
          <w:szCs w:val="26"/>
        </w:rPr>
        <w:tab/>
        <w:t>Additionally, the record appears to support a conclusion that PIOGA</w:t>
      </w:r>
      <w:r w:rsidR="00734951">
        <w:rPr>
          <w:sz w:val="26"/>
          <w:szCs w:val="26"/>
        </w:rPr>
        <w:t>’</w:t>
      </w:r>
      <w:r>
        <w:rPr>
          <w:sz w:val="26"/>
          <w:szCs w:val="26"/>
        </w:rPr>
        <w:t>s proposal would result in the Company</w:t>
      </w:r>
      <w:r w:rsidR="00734951">
        <w:rPr>
          <w:sz w:val="26"/>
          <w:szCs w:val="26"/>
        </w:rPr>
        <w:t>’</w:t>
      </w:r>
      <w:r>
        <w:rPr>
          <w:sz w:val="26"/>
          <w:szCs w:val="26"/>
        </w:rPr>
        <w:t>s proposed producer retainage charge only being applied to conventional gas production being delivered into the gathering system while the Equitable Division</w:t>
      </w:r>
      <w:r w:rsidR="00734951">
        <w:rPr>
          <w:sz w:val="26"/>
          <w:szCs w:val="26"/>
        </w:rPr>
        <w:t>’</w:t>
      </w:r>
      <w:r>
        <w:rPr>
          <w:sz w:val="26"/>
          <w:szCs w:val="26"/>
        </w:rPr>
        <w:t>s Rate AGS would continue to apply to production delivered into both distribution and gathering lines.  Thus, it seems that the Company had a reasonable basis to state in its Replies to Exceptions that PIOGA</w:t>
      </w:r>
      <w:r w:rsidR="00734951">
        <w:rPr>
          <w:sz w:val="26"/>
          <w:szCs w:val="26"/>
        </w:rPr>
        <w:t>’</w:t>
      </w:r>
      <w:r>
        <w:rPr>
          <w:sz w:val="26"/>
          <w:szCs w:val="26"/>
        </w:rPr>
        <w:t xml:space="preserve">s proposal would result in conventional gas producers being treated </w:t>
      </w:r>
      <w:r w:rsidR="00734951">
        <w:rPr>
          <w:sz w:val="26"/>
          <w:szCs w:val="26"/>
        </w:rPr>
        <w:t>“</w:t>
      </w:r>
      <w:r>
        <w:rPr>
          <w:sz w:val="26"/>
          <w:szCs w:val="26"/>
        </w:rPr>
        <w:t xml:space="preserve">differently depending on whether they are connected to a Peoples </w:t>
      </w:r>
      <w:r w:rsidR="00C31545">
        <w:rPr>
          <w:sz w:val="26"/>
          <w:szCs w:val="26"/>
        </w:rPr>
        <w:t>Division</w:t>
      </w:r>
      <w:r>
        <w:rPr>
          <w:sz w:val="26"/>
          <w:szCs w:val="26"/>
        </w:rPr>
        <w:t xml:space="preserve"> or Peoples-Equitable Division gathering system.</w:t>
      </w:r>
      <w:r w:rsidR="00734951">
        <w:rPr>
          <w:sz w:val="26"/>
          <w:szCs w:val="26"/>
        </w:rPr>
        <w:t>”</w:t>
      </w:r>
      <w:r>
        <w:rPr>
          <w:sz w:val="26"/>
          <w:szCs w:val="26"/>
        </w:rPr>
        <w:t xml:space="preserve">  Under the circumstances, we find no basis to strike the language set forth in the Company</w:t>
      </w:r>
      <w:r w:rsidR="00734951">
        <w:rPr>
          <w:sz w:val="26"/>
          <w:szCs w:val="26"/>
        </w:rPr>
        <w:t>’</w:t>
      </w:r>
      <w:r>
        <w:rPr>
          <w:sz w:val="26"/>
          <w:szCs w:val="26"/>
        </w:rPr>
        <w:t xml:space="preserve">s Replies to Exceptions because they are based on record evidence and logical inferences from the facts of record.  </w:t>
      </w:r>
      <w:r w:rsidRPr="00BE1B4D">
        <w:rPr>
          <w:i/>
          <w:sz w:val="26"/>
          <w:szCs w:val="26"/>
        </w:rPr>
        <w:t>Kyu Son Yi v. State Bd. of Veterinary Med.</w:t>
      </w:r>
      <w:r>
        <w:rPr>
          <w:sz w:val="26"/>
          <w:szCs w:val="26"/>
        </w:rPr>
        <w:t xml:space="preserve">, 960 A.2d 864, 872 (Pa. Cmwlth. 2008).   </w:t>
      </w:r>
    </w:p>
    <w:p w14:paraId="74A0E8CF" w14:textId="77777777" w:rsidR="00C31545" w:rsidRDefault="00C31545" w:rsidP="007374FA">
      <w:pPr>
        <w:widowControl/>
        <w:tabs>
          <w:tab w:val="left" w:pos="1445"/>
          <w:tab w:val="left" w:pos="7920"/>
        </w:tabs>
        <w:autoSpaceDE w:val="0"/>
        <w:autoSpaceDN w:val="0"/>
        <w:adjustRightInd w:val="0"/>
        <w:spacing w:line="360" w:lineRule="auto"/>
        <w:rPr>
          <w:sz w:val="26"/>
          <w:szCs w:val="26"/>
        </w:rPr>
      </w:pPr>
    </w:p>
    <w:p w14:paraId="33168FE1" w14:textId="28F38B1E" w:rsidR="00C31545" w:rsidRDefault="0077064B" w:rsidP="007374FA">
      <w:pPr>
        <w:widowControl/>
        <w:tabs>
          <w:tab w:val="left" w:pos="1445"/>
          <w:tab w:val="left" w:pos="7920"/>
        </w:tabs>
        <w:autoSpaceDE w:val="0"/>
        <w:autoSpaceDN w:val="0"/>
        <w:adjustRightInd w:val="0"/>
        <w:spacing w:line="360" w:lineRule="auto"/>
        <w:rPr>
          <w:sz w:val="26"/>
          <w:szCs w:val="26"/>
        </w:rPr>
      </w:pPr>
      <w:r>
        <w:rPr>
          <w:sz w:val="26"/>
          <w:szCs w:val="26"/>
        </w:rPr>
        <w:tab/>
      </w:r>
      <w:r w:rsidR="00C31545">
        <w:rPr>
          <w:sz w:val="26"/>
          <w:szCs w:val="26"/>
        </w:rPr>
        <w:t>Regarding the disposition of Exception,</w:t>
      </w:r>
      <w:r w:rsidR="00C56D1E">
        <w:rPr>
          <w:sz w:val="26"/>
          <w:szCs w:val="26"/>
        </w:rPr>
        <w:t xml:space="preserve"> </w:t>
      </w:r>
      <w:r w:rsidR="00C31545">
        <w:rPr>
          <w:sz w:val="26"/>
          <w:szCs w:val="26"/>
        </w:rPr>
        <w:t>w</w:t>
      </w:r>
      <w:r w:rsidR="00723F4D">
        <w:rPr>
          <w:sz w:val="26"/>
          <w:szCs w:val="26"/>
        </w:rPr>
        <w:t xml:space="preserve">e </w:t>
      </w:r>
      <w:r w:rsidR="009357D0">
        <w:rPr>
          <w:sz w:val="26"/>
          <w:szCs w:val="26"/>
        </w:rPr>
        <w:t>agree with the ALJ</w:t>
      </w:r>
      <w:r w:rsidR="00734951">
        <w:rPr>
          <w:sz w:val="26"/>
          <w:szCs w:val="26"/>
        </w:rPr>
        <w:t>’</w:t>
      </w:r>
      <w:r w:rsidR="009357D0">
        <w:rPr>
          <w:sz w:val="26"/>
          <w:szCs w:val="26"/>
        </w:rPr>
        <w:t xml:space="preserve">s finding </w:t>
      </w:r>
      <w:r w:rsidR="00C31545">
        <w:rPr>
          <w:sz w:val="26"/>
          <w:szCs w:val="26"/>
        </w:rPr>
        <w:t>and shall deny PIOGA</w:t>
      </w:r>
      <w:r w:rsidR="00734951">
        <w:rPr>
          <w:sz w:val="26"/>
          <w:szCs w:val="26"/>
        </w:rPr>
        <w:t>’</w:t>
      </w:r>
      <w:r w:rsidR="00C31545">
        <w:rPr>
          <w:sz w:val="26"/>
          <w:szCs w:val="26"/>
        </w:rPr>
        <w:t>s Exception No. 6</w:t>
      </w:r>
      <w:r w:rsidR="009357D0">
        <w:rPr>
          <w:sz w:val="26"/>
          <w:szCs w:val="26"/>
        </w:rPr>
        <w:t xml:space="preserve">.  </w:t>
      </w:r>
    </w:p>
    <w:p w14:paraId="5A10B11C" w14:textId="77777777" w:rsidR="00C31545" w:rsidRDefault="00C31545" w:rsidP="007374FA">
      <w:pPr>
        <w:widowControl/>
        <w:tabs>
          <w:tab w:val="left" w:pos="1445"/>
          <w:tab w:val="left" w:pos="7920"/>
        </w:tabs>
        <w:autoSpaceDE w:val="0"/>
        <w:autoSpaceDN w:val="0"/>
        <w:adjustRightInd w:val="0"/>
        <w:spacing w:line="360" w:lineRule="auto"/>
        <w:rPr>
          <w:sz w:val="26"/>
          <w:szCs w:val="26"/>
        </w:rPr>
      </w:pPr>
    </w:p>
    <w:p w14:paraId="67B182E0" w14:textId="6A007D92" w:rsidR="00EF2BBC" w:rsidRDefault="00C31545" w:rsidP="007374FA">
      <w:pPr>
        <w:widowControl/>
        <w:tabs>
          <w:tab w:val="left" w:pos="1445"/>
          <w:tab w:val="left" w:pos="7920"/>
        </w:tabs>
        <w:autoSpaceDE w:val="0"/>
        <w:autoSpaceDN w:val="0"/>
        <w:adjustRightInd w:val="0"/>
        <w:spacing w:line="360" w:lineRule="auto"/>
        <w:rPr>
          <w:sz w:val="26"/>
          <w:szCs w:val="26"/>
        </w:rPr>
      </w:pPr>
      <w:r>
        <w:rPr>
          <w:sz w:val="26"/>
          <w:szCs w:val="26"/>
        </w:rPr>
        <w:tab/>
      </w:r>
      <w:r w:rsidR="009357D0">
        <w:rPr>
          <w:sz w:val="26"/>
          <w:szCs w:val="26"/>
        </w:rPr>
        <w:t>Peoples has given</w:t>
      </w:r>
      <w:r w:rsidR="00E5718E">
        <w:rPr>
          <w:sz w:val="26"/>
          <w:szCs w:val="26"/>
        </w:rPr>
        <w:t xml:space="preserve"> several</w:t>
      </w:r>
      <w:r w:rsidR="009357D0">
        <w:rPr>
          <w:sz w:val="26"/>
          <w:szCs w:val="26"/>
        </w:rPr>
        <w:t xml:space="preserve"> reasons it believes applying the proposed charge to both distribution and gathering system is more efficient than having a </w:t>
      </w:r>
      <w:r w:rsidR="00430CD0">
        <w:rPr>
          <w:sz w:val="26"/>
          <w:szCs w:val="26"/>
        </w:rPr>
        <w:t xml:space="preserve">different application for the </w:t>
      </w:r>
      <w:r w:rsidR="009357D0">
        <w:rPr>
          <w:sz w:val="26"/>
          <w:szCs w:val="26"/>
        </w:rPr>
        <w:t xml:space="preserve">Rate GS tariff for </w:t>
      </w:r>
      <w:r w:rsidR="00430CD0">
        <w:rPr>
          <w:sz w:val="26"/>
          <w:szCs w:val="26"/>
        </w:rPr>
        <w:t xml:space="preserve">the </w:t>
      </w:r>
      <w:r w:rsidR="009357D0">
        <w:rPr>
          <w:sz w:val="26"/>
          <w:szCs w:val="26"/>
        </w:rPr>
        <w:t>Peoples Division</w:t>
      </w:r>
      <w:r w:rsidR="00723F4D">
        <w:rPr>
          <w:sz w:val="26"/>
          <w:szCs w:val="26"/>
        </w:rPr>
        <w:t xml:space="preserve"> </w:t>
      </w:r>
      <w:r w:rsidR="009357D0">
        <w:rPr>
          <w:sz w:val="26"/>
          <w:szCs w:val="26"/>
        </w:rPr>
        <w:t>and a</w:t>
      </w:r>
      <w:r w:rsidR="00430CD0">
        <w:rPr>
          <w:sz w:val="26"/>
          <w:szCs w:val="26"/>
        </w:rPr>
        <w:t xml:space="preserve"> different </w:t>
      </w:r>
      <w:r w:rsidR="009357D0">
        <w:rPr>
          <w:sz w:val="26"/>
          <w:szCs w:val="26"/>
        </w:rPr>
        <w:t xml:space="preserve">Rate AGS </w:t>
      </w:r>
      <w:r w:rsidR="00430CD0">
        <w:rPr>
          <w:sz w:val="26"/>
          <w:szCs w:val="26"/>
        </w:rPr>
        <w:t xml:space="preserve">tariff </w:t>
      </w:r>
      <w:r w:rsidR="009357D0">
        <w:rPr>
          <w:sz w:val="26"/>
          <w:szCs w:val="26"/>
        </w:rPr>
        <w:t>for Equitable</w:t>
      </w:r>
      <w:r w:rsidR="00430CD0">
        <w:rPr>
          <w:sz w:val="26"/>
          <w:szCs w:val="26"/>
        </w:rPr>
        <w:t xml:space="preserve">.  </w:t>
      </w:r>
      <w:r w:rsidR="00EF2BBC">
        <w:rPr>
          <w:sz w:val="26"/>
          <w:szCs w:val="26"/>
        </w:rPr>
        <w:t>F</w:t>
      </w:r>
      <w:r w:rsidR="00A40839">
        <w:rPr>
          <w:sz w:val="26"/>
          <w:szCs w:val="26"/>
        </w:rPr>
        <w:t>or instance,</w:t>
      </w:r>
      <w:r w:rsidR="00EF2BBC">
        <w:rPr>
          <w:sz w:val="26"/>
          <w:szCs w:val="26"/>
        </w:rPr>
        <w:t xml:space="preserve"> Peoples has indicated that it modelled the proposed producer </w:t>
      </w:r>
      <w:r w:rsidR="00EF2BBC">
        <w:rPr>
          <w:sz w:val="26"/>
          <w:szCs w:val="26"/>
        </w:rPr>
        <w:lastRenderedPageBreak/>
        <w:t>charge after Equitable</w:t>
      </w:r>
      <w:r w:rsidR="00734951">
        <w:rPr>
          <w:sz w:val="26"/>
          <w:szCs w:val="26"/>
        </w:rPr>
        <w:t>’</w:t>
      </w:r>
      <w:r w:rsidR="00EF2BBC">
        <w:rPr>
          <w:sz w:val="26"/>
          <w:szCs w:val="26"/>
        </w:rPr>
        <w:t xml:space="preserve">s Rate AGS tariff which applies both gathering fees and retainage to production </w:t>
      </w:r>
      <w:r w:rsidR="00A40839">
        <w:rPr>
          <w:sz w:val="26"/>
          <w:szCs w:val="26"/>
        </w:rPr>
        <w:t>entering</w:t>
      </w:r>
      <w:r w:rsidR="00EF2BBC">
        <w:rPr>
          <w:sz w:val="26"/>
          <w:szCs w:val="26"/>
        </w:rPr>
        <w:t xml:space="preserve"> both its distribution and gathering lines.  PNG St. 1-R at 27.  According to Peoples, this is to prevent the Compan</w:t>
      </w:r>
      <w:r w:rsidR="00FC4AAB">
        <w:rPr>
          <w:sz w:val="26"/>
          <w:szCs w:val="26"/>
        </w:rPr>
        <w:t>y</w:t>
      </w:r>
      <w:r w:rsidR="00EF2BBC">
        <w:rPr>
          <w:sz w:val="26"/>
          <w:szCs w:val="26"/>
        </w:rPr>
        <w:t xml:space="preserve"> </w:t>
      </w:r>
      <w:r w:rsidR="00A40839">
        <w:rPr>
          <w:sz w:val="26"/>
          <w:szCs w:val="26"/>
        </w:rPr>
        <w:t xml:space="preserve">from </w:t>
      </w:r>
      <w:r w:rsidR="00EF2BBC">
        <w:rPr>
          <w:sz w:val="26"/>
          <w:szCs w:val="26"/>
        </w:rPr>
        <w:t>having to introduce different rules depending on which company</w:t>
      </w:r>
      <w:r w:rsidR="00734951">
        <w:rPr>
          <w:sz w:val="26"/>
          <w:szCs w:val="26"/>
        </w:rPr>
        <w:t>’</w:t>
      </w:r>
      <w:r w:rsidR="00EF2BBC">
        <w:rPr>
          <w:sz w:val="26"/>
          <w:szCs w:val="26"/>
        </w:rPr>
        <w:t xml:space="preserve">s system </w:t>
      </w:r>
      <w:r w:rsidR="00A40839">
        <w:rPr>
          <w:sz w:val="26"/>
          <w:szCs w:val="26"/>
        </w:rPr>
        <w:t xml:space="preserve">a </w:t>
      </w:r>
      <w:proofErr w:type="gramStart"/>
      <w:r w:rsidR="00A40839">
        <w:rPr>
          <w:sz w:val="26"/>
          <w:szCs w:val="26"/>
        </w:rPr>
        <w:t>well ties</w:t>
      </w:r>
      <w:proofErr w:type="gramEnd"/>
      <w:r w:rsidR="00EF2BBC">
        <w:rPr>
          <w:sz w:val="26"/>
          <w:szCs w:val="26"/>
        </w:rPr>
        <w:t xml:space="preserve"> into.  PNG St. 1-R at 27; Peoples Gas St. 1-R at 26; PNG R.B. at 15.  Secondly, Peoples aver</w:t>
      </w:r>
      <w:r>
        <w:rPr>
          <w:sz w:val="26"/>
          <w:szCs w:val="26"/>
        </w:rPr>
        <w:t>s</w:t>
      </w:r>
      <w:r w:rsidR="00EF2BBC">
        <w:rPr>
          <w:sz w:val="26"/>
          <w:szCs w:val="26"/>
        </w:rPr>
        <w:t xml:space="preserve"> the difference between applying the charge to only </w:t>
      </w:r>
      <w:r>
        <w:rPr>
          <w:sz w:val="26"/>
          <w:szCs w:val="26"/>
        </w:rPr>
        <w:t xml:space="preserve">a </w:t>
      </w:r>
      <w:r w:rsidR="00EF2BBC">
        <w:rPr>
          <w:sz w:val="26"/>
          <w:szCs w:val="26"/>
        </w:rPr>
        <w:t xml:space="preserve">gathering system when compared to applying it to </w:t>
      </w:r>
      <w:r w:rsidR="00B37F79">
        <w:rPr>
          <w:sz w:val="26"/>
          <w:szCs w:val="26"/>
        </w:rPr>
        <w:t xml:space="preserve">both </w:t>
      </w:r>
      <w:r w:rsidR="00EF2BBC">
        <w:rPr>
          <w:sz w:val="26"/>
          <w:szCs w:val="26"/>
        </w:rPr>
        <w:t>distribution and gathering system</w:t>
      </w:r>
      <w:r>
        <w:rPr>
          <w:sz w:val="26"/>
          <w:szCs w:val="26"/>
        </w:rPr>
        <w:t>s</w:t>
      </w:r>
      <w:r w:rsidR="00EF2BBC">
        <w:rPr>
          <w:sz w:val="26"/>
          <w:szCs w:val="26"/>
        </w:rPr>
        <w:t xml:space="preserve"> is so minimal that it is not worth the challenge</w:t>
      </w:r>
      <w:r w:rsidR="00C47162">
        <w:rPr>
          <w:sz w:val="26"/>
          <w:szCs w:val="26"/>
        </w:rPr>
        <w:t>s</w:t>
      </w:r>
      <w:r w:rsidR="00EF2BBC">
        <w:rPr>
          <w:sz w:val="26"/>
          <w:szCs w:val="26"/>
        </w:rPr>
        <w:t xml:space="preserve"> </w:t>
      </w:r>
      <w:r w:rsidR="00C47162">
        <w:rPr>
          <w:sz w:val="26"/>
          <w:szCs w:val="26"/>
        </w:rPr>
        <w:t>the Compan</w:t>
      </w:r>
      <w:r w:rsidR="00B37F79">
        <w:rPr>
          <w:sz w:val="26"/>
          <w:szCs w:val="26"/>
        </w:rPr>
        <w:t>y</w:t>
      </w:r>
      <w:r w:rsidR="00C47162">
        <w:rPr>
          <w:sz w:val="26"/>
          <w:szCs w:val="26"/>
        </w:rPr>
        <w:t xml:space="preserve"> w</w:t>
      </w:r>
      <w:r w:rsidR="00A40839">
        <w:rPr>
          <w:sz w:val="26"/>
          <w:szCs w:val="26"/>
        </w:rPr>
        <w:t>ould</w:t>
      </w:r>
      <w:r w:rsidR="00C47162">
        <w:rPr>
          <w:sz w:val="26"/>
          <w:szCs w:val="26"/>
        </w:rPr>
        <w:t xml:space="preserve"> face in proposing two different tariffs for the two divisions of the Compan</w:t>
      </w:r>
      <w:r w:rsidR="00B37F79">
        <w:rPr>
          <w:sz w:val="26"/>
          <w:szCs w:val="26"/>
        </w:rPr>
        <w:t>y</w:t>
      </w:r>
      <w:r w:rsidR="00C47162">
        <w:rPr>
          <w:sz w:val="26"/>
          <w:szCs w:val="26"/>
        </w:rPr>
        <w:t xml:space="preserve">.  PNG M.B. at 16.  Peoples argue a recalculation </w:t>
      </w:r>
      <w:r w:rsidR="00002E0E">
        <w:rPr>
          <w:sz w:val="26"/>
          <w:szCs w:val="26"/>
        </w:rPr>
        <w:t xml:space="preserve">based on the volumes from </w:t>
      </w:r>
      <w:r w:rsidR="00A40839">
        <w:rPr>
          <w:sz w:val="26"/>
          <w:szCs w:val="26"/>
        </w:rPr>
        <w:t>gathering system-only</w:t>
      </w:r>
      <w:r w:rsidR="00002E0E">
        <w:rPr>
          <w:sz w:val="26"/>
          <w:szCs w:val="26"/>
        </w:rPr>
        <w:t xml:space="preserve"> compared to </w:t>
      </w:r>
      <w:r w:rsidR="00A40839">
        <w:rPr>
          <w:sz w:val="26"/>
          <w:szCs w:val="26"/>
        </w:rPr>
        <w:t xml:space="preserve">both </w:t>
      </w:r>
      <w:r w:rsidR="00C47162">
        <w:rPr>
          <w:sz w:val="26"/>
          <w:szCs w:val="26"/>
        </w:rPr>
        <w:t xml:space="preserve">gathering </w:t>
      </w:r>
      <w:r w:rsidR="00A40839">
        <w:rPr>
          <w:sz w:val="26"/>
          <w:szCs w:val="26"/>
        </w:rPr>
        <w:t xml:space="preserve">and distribution </w:t>
      </w:r>
      <w:r w:rsidR="00C47162">
        <w:rPr>
          <w:sz w:val="26"/>
          <w:szCs w:val="26"/>
        </w:rPr>
        <w:t>system results in an increase from 2.0% to 2.17%, a less than 10% difference.  Tr. at 56.</w:t>
      </w:r>
      <w:r w:rsidR="00B37F79">
        <w:rPr>
          <w:sz w:val="26"/>
          <w:szCs w:val="26"/>
        </w:rPr>
        <w:t xml:space="preserve">  </w:t>
      </w:r>
      <w:bookmarkStart w:id="51" w:name="_Hlk523909066"/>
      <w:r w:rsidR="00C47162">
        <w:rPr>
          <w:sz w:val="26"/>
          <w:szCs w:val="26"/>
        </w:rPr>
        <w:t>Finally, Peoples conten</w:t>
      </w:r>
      <w:r w:rsidR="00B37F79">
        <w:rPr>
          <w:sz w:val="26"/>
          <w:szCs w:val="26"/>
        </w:rPr>
        <w:t>ds</w:t>
      </w:r>
      <w:r w:rsidR="00C47162">
        <w:rPr>
          <w:sz w:val="26"/>
          <w:szCs w:val="26"/>
        </w:rPr>
        <w:t xml:space="preserve"> the proposed Rate GS tariff also avoids the possibility of differential treatment for producers based on their point of connection to Peoples</w:t>
      </w:r>
      <w:r w:rsidR="00734951">
        <w:rPr>
          <w:sz w:val="26"/>
          <w:szCs w:val="26"/>
        </w:rPr>
        <w:t>’</w:t>
      </w:r>
      <w:r w:rsidR="00C47162">
        <w:rPr>
          <w:sz w:val="26"/>
          <w:szCs w:val="26"/>
        </w:rPr>
        <w:t xml:space="preserve"> system.  PNG R. Exc. at 21-22.</w:t>
      </w:r>
      <w:r w:rsidR="0016571B">
        <w:rPr>
          <w:sz w:val="26"/>
          <w:szCs w:val="26"/>
        </w:rPr>
        <w:t xml:space="preserve">  Here, we find the reasons given by Peoples to support its proposed </w:t>
      </w:r>
      <w:r w:rsidR="00CF236A">
        <w:rPr>
          <w:sz w:val="26"/>
          <w:szCs w:val="26"/>
        </w:rPr>
        <w:t xml:space="preserve">retainage charge </w:t>
      </w:r>
      <w:r w:rsidR="00B37F79">
        <w:rPr>
          <w:sz w:val="26"/>
          <w:szCs w:val="26"/>
        </w:rPr>
        <w:t xml:space="preserve">to be reasonable.  </w:t>
      </w:r>
      <w:r w:rsidR="00B21401">
        <w:rPr>
          <w:sz w:val="26"/>
          <w:szCs w:val="26"/>
        </w:rPr>
        <w:t>We further note that</w:t>
      </w:r>
      <w:r w:rsidR="00C47162">
        <w:rPr>
          <w:sz w:val="26"/>
          <w:szCs w:val="26"/>
        </w:rPr>
        <w:t xml:space="preserve"> PIOGA has not presented any evidence in this proceeding to demonstrate that the application of the proposed producer charge to both gathering and distribution system </w:t>
      </w:r>
      <w:proofErr w:type="gramStart"/>
      <w:r w:rsidR="00C47162">
        <w:rPr>
          <w:sz w:val="26"/>
          <w:szCs w:val="26"/>
        </w:rPr>
        <w:t>similar to</w:t>
      </w:r>
      <w:proofErr w:type="gramEnd"/>
      <w:r w:rsidR="00C47162">
        <w:rPr>
          <w:sz w:val="26"/>
          <w:szCs w:val="26"/>
        </w:rPr>
        <w:t xml:space="preserve"> Equitable</w:t>
      </w:r>
      <w:r w:rsidR="00734951">
        <w:rPr>
          <w:sz w:val="26"/>
          <w:szCs w:val="26"/>
        </w:rPr>
        <w:t>’</w:t>
      </w:r>
      <w:r w:rsidR="00C47162">
        <w:rPr>
          <w:sz w:val="26"/>
          <w:szCs w:val="26"/>
        </w:rPr>
        <w:t>s already-existing Rate AGS is unreasonable.  As such, we shall deny Peoples</w:t>
      </w:r>
      <w:r w:rsidR="00734951">
        <w:rPr>
          <w:sz w:val="26"/>
          <w:szCs w:val="26"/>
        </w:rPr>
        <w:t>’</w:t>
      </w:r>
      <w:r w:rsidR="00C47162">
        <w:rPr>
          <w:sz w:val="26"/>
          <w:szCs w:val="26"/>
        </w:rPr>
        <w:t xml:space="preserve"> Exception No. 6.</w:t>
      </w:r>
    </w:p>
    <w:bookmarkEnd w:id="51"/>
    <w:p w14:paraId="1FF6CB34" w14:textId="77777777" w:rsidR="008F67EC" w:rsidRDefault="008F67EC" w:rsidP="007374FA">
      <w:pPr>
        <w:widowControl/>
        <w:tabs>
          <w:tab w:val="left" w:pos="1445"/>
          <w:tab w:val="left" w:pos="7920"/>
        </w:tabs>
        <w:autoSpaceDE w:val="0"/>
        <w:autoSpaceDN w:val="0"/>
        <w:adjustRightInd w:val="0"/>
        <w:spacing w:line="360" w:lineRule="auto"/>
        <w:rPr>
          <w:sz w:val="26"/>
          <w:szCs w:val="26"/>
        </w:rPr>
      </w:pPr>
    </w:p>
    <w:p w14:paraId="59DE5F15" w14:textId="19792605" w:rsidR="002F64E6" w:rsidRPr="002F64E6" w:rsidRDefault="002F64E6" w:rsidP="007374FA">
      <w:pPr>
        <w:pStyle w:val="Heading3"/>
      </w:pPr>
      <w:bookmarkStart w:id="52" w:name="_Toc524442369"/>
      <w:r w:rsidRPr="002F64E6">
        <w:t>PIOGA</w:t>
      </w:r>
      <w:r w:rsidR="00734951">
        <w:t>’</w:t>
      </w:r>
      <w:r w:rsidRPr="002F64E6">
        <w:t xml:space="preserve">s Exception No. </w:t>
      </w:r>
      <w:r w:rsidR="0044764F">
        <w:t>7</w:t>
      </w:r>
      <w:r w:rsidRPr="002F64E6">
        <w:t xml:space="preserve"> and Replies</w:t>
      </w:r>
      <w:bookmarkEnd w:id="52"/>
    </w:p>
    <w:p w14:paraId="42F296A0" w14:textId="77777777" w:rsidR="002F64E6" w:rsidRDefault="002F64E6" w:rsidP="007374FA">
      <w:pPr>
        <w:widowControl/>
        <w:tabs>
          <w:tab w:val="left" w:pos="1445"/>
          <w:tab w:val="left" w:pos="7920"/>
        </w:tabs>
        <w:autoSpaceDE w:val="0"/>
        <w:autoSpaceDN w:val="0"/>
        <w:adjustRightInd w:val="0"/>
        <w:spacing w:line="360" w:lineRule="auto"/>
        <w:rPr>
          <w:b/>
          <w:sz w:val="26"/>
          <w:szCs w:val="26"/>
        </w:rPr>
      </w:pPr>
    </w:p>
    <w:p w14:paraId="6F894479" w14:textId="42672D36" w:rsidR="0044764F" w:rsidRDefault="002F64E6" w:rsidP="007374FA">
      <w:pPr>
        <w:widowControl/>
        <w:tabs>
          <w:tab w:val="left" w:pos="1445"/>
          <w:tab w:val="left" w:pos="7920"/>
        </w:tabs>
        <w:autoSpaceDE w:val="0"/>
        <w:autoSpaceDN w:val="0"/>
        <w:adjustRightInd w:val="0"/>
        <w:spacing w:line="360" w:lineRule="auto"/>
        <w:rPr>
          <w:sz w:val="26"/>
          <w:szCs w:val="26"/>
        </w:rPr>
      </w:pPr>
      <w:r>
        <w:rPr>
          <w:b/>
          <w:sz w:val="26"/>
          <w:szCs w:val="26"/>
        </w:rPr>
        <w:tab/>
      </w:r>
      <w:r>
        <w:rPr>
          <w:sz w:val="26"/>
          <w:szCs w:val="26"/>
        </w:rPr>
        <w:t xml:space="preserve">In its Exception No. </w:t>
      </w:r>
      <w:r w:rsidR="0044764F">
        <w:rPr>
          <w:sz w:val="26"/>
          <w:szCs w:val="26"/>
        </w:rPr>
        <w:t>7</w:t>
      </w:r>
      <w:r>
        <w:rPr>
          <w:sz w:val="26"/>
          <w:szCs w:val="26"/>
        </w:rPr>
        <w:t>, PIOGA avers the ALJ</w:t>
      </w:r>
      <w:r w:rsidR="0044764F">
        <w:rPr>
          <w:sz w:val="26"/>
          <w:szCs w:val="26"/>
        </w:rPr>
        <w:t xml:space="preserve"> did not address its argument that P</w:t>
      </w:r>
      <w:r w:rsidR="00D268F8">
        <w:rPr>
          <w:sz w:val="26"/>
          <w:szCs w:val="26"/>
        </w:rPr>
        <w:t>eoples</w:t>
      </w:r>
      <w:r w:rsidR="0044764F">
        <w:rPr>
          <w:sz w:val="26"/>
          <w:szCs w:val="26"/>
        </w:rPr>
        <w:t xml:space="preserve"> failed to provide </w:t>
      </w:r>
      <w:r w:rsidR="00846051">
        <w:rPr>
          <w:sz w:val="26"/>
          <w:szCs w:val="26"/>
        </w:rPr>
        <w:t xml:space="preserve">any </w:t>
      </w:r>
      <w:r w:rsidR="0044764F">
        <w:rPr>
          <w:sz w:val="26"/>
          <w:szCs w:val="26"/>
        </w:rPr>
        <w:t xml:space="preserve">evidence to support </w:t>
      </w:r>
      <w:r w:rsidR="00CD13B7">
        <w:rPr>
          <w:sz w:val="26"/>
          <w:szCs w:val="26"/>
        </w:rPr>
        <w:t xml:space="preserve">the </w:t>
      </w:r>
      <w:r w:rsidR="0044764F">
        <w:rPr>
          <w:sz w:val="26"/>
          <w:szCs w:val="26"/>
        </w:rPr>
        <w:t xml:space="preserve">approval </w:t>
      </w:r>
      <w:r w:rsidR="006929FA">
        <w:rPr>
          <w:sz w:val="26"/>
          <w:szCs w:val="26"/>
        </w:rPr>
        <w:t>to</w:t>
      </w:r>
      <w:r w:rsidR="0044764F">
        <w:rPr>
          <w:sz w:val="26"/>
          <w:szCs w:val="26"/>
        </w:rPr>
        <w:t xml:space="preserve"> change Equitable Rate AGS to </w:t>
      </w:r>
      <w:r w:rsidR="004F0FAD">
        <w:rPr>
          <w:sz w:val="26"/>
          <w:szCs w:val="26"/>
        </w:rPr>
        <w:t xml:space="preserve">a minimum 2.0% retainage charge.  Exc. at 21 (citing </w:t>
      </w:r>
      <w:r w:rsidR="009E25A0">
        <w:rPr>
          <w:sz w:val="26"/>
          <w:szCs w:val="26"/>
        </w:rPr>
        <w:t>Conclusion of Law No. 27</w:t>
      </w:r>
      <w:r w:rsidR="00692333">
        <w:rPr>
          <w:sz w:val="26"/>
          <w:szCs w:val="26"/>
        </w:rPr>
        <w:t xml:space="preserve">; Ordering Paragraph Nos. 2, 5, 6; </w:t>
      </w:r>
      <w:r w:rsidR="004F0FAD">
        <w:rPr>
          <w:sz w:val="26"/>
          <w:szCs w:val="26"/>
        </w:rPr>
        <w:t xml:space="preserve">PIOGA M.B. at 15-17).  </w:t>
      </w:r>
      <w:r w:rsidR="00DE1DEC">
        <w:rPr>
          <w:sz w:val="26"/>
          <w:szCs w:val="26"/>
        </w:rPr>
        <w:t xml:space="preserve">According to PIOGA, </w:t>
      </w:r>
      <w:r w:rsidR="004D4534">
        <w:rPr>
          <w:sz w:val="26"/>
          <w:szCs w:val="26"/>
        </w:rPr>
        <w:t>pursuant to</w:t>
      </w:r>
      <w:r w:rsidR="00DE1DEC">
        <w:rPr>
          <w:sz w:val="26"/>
          <w:szCs w:val="26"/>
        </w:rPr>
        <w:t xml:space="preserve"> the arguments it presented in its Exception No. 6 and the legal principles </w:t>
      </w:r>
      <w:r w:rsidR="00DF5813">
        <w:rPr>
          <w:sz w:val="26"/>
          <w:szCs w:val="26"/>
        </w:rPr>
        <w:t>propounded</w:t>
      </w:r>
      <w:r w:rsidR="00DE1DEC">
        <w:rPr>
          <w:sz w:val="26"/>
          <w:szCs w:val="26"/>
        </w:rPr>
        <w:t xml:space="preserve"> by the ALJ, P</w:t>
      </w:r>
      <w:r w:rsidR="00D268F8">
        <w:rPr>
          <w:sz w:val="26"/>
          <w:szCs w:val="26"/>
        </w:rPr>
        <w:t>eoples</w:t>
      </w:r>
      <w:r w:rsidR="00734951">
        <w:rPr>
          <w:sz w:val="26"/>
          <w:szCs w:val="26"/>
        </w:rPr>
        <w:t>’</w:t>
      </w:r>
      <w:r w:rsidR="00DE1DEC">
        <w:rPr>
          <w:sz w:val="26"/>
          <w:szCs w:val="26"/>
        </w:rPr>
        <w:t xml:space="preserve"> proposal to change </w:t>
      </w:r>
      <w:r w:rsidR="00D268F8">
        <w:rPr>
          <w:sz w:val="26"/>
          <w:szCs w:val="26"/>
        </w:rPr>
        <w:t xml:space="preserve">Equitable </w:t>
      </w:r>
      <w:r w:rsidR="00DE1DEC">
        <w:rPr>
          <w:sz w:val="26"/>
          <w:szCs w:val="26"/>
        </w:rPr>
        <w:t xml:space="preserve">Rate AGS should be rejected.  Exc. at 21.  </w:t>
      </w:r>
    </w:p>
    <w:p w14:paraId="0014D9AF" w14:textId="77777777" w:rsidR="002D22E1" w:rsidRDefault="002D22E1" w:rsidP="007374FA">
      <w:pPr>
        <w:widowControl/>
        <w:tabs>
          <w:tab w:val="left" w:pos="1445"/>
          <w:tab w:val="left" w:pos="7920"/>
        </w:tabs>
        <w:autoSpaceDE w:val="0"/>
        <w:autoSpaceDN w:val="0"/>
        <w:adjustRightInd w:val="0"/>
        <w:spacing w:line="360" w:lineRule="auto"/>
        <w:rPr>
          <w:sz w:val="26"/>
          <w:szCs w:val="26"/>
        </w:rPr>
      </w:pPr>
    </w:p>
    <w:p w14:paraId="3AEFCEA3" w14:textId="6F860E9A" w:rsidR="008516B0" w:rsidRDefault="007614DA" w:rsidP="007374FA">
      <w:pPr>
        <w:widowControl/>
        <w:tabs>
          <w:tab w:val="left" w:pos="1445"/>
          <w:tab w:val="left" w:pos="7920"/>
        </w:tabs>
        <w:autoSpaceDE w:val="0"/>
        <w:autoSpaceDN w:val="0"/>
        <w:adjustRightInd w:val="0"/>
        <w:spacing w:line="360" w:lineRule="auto"/>
        <w:rPr>
          <w:sz w:val="26"/>
          <w:szCs w:val="26"/>
        </w:rPr>
      </w:pPr>
      <w:r>
        <w:rPr>
          <w:sz w:val="26"/>
          <w:szCs w:val="26"/>
        </w:rPr>
        <w:lastRenderedPageBreak/>
        <w:tab/>
        <w:t>In Reply, P</w:t>
      </w:r>
      <w:r w:rsidR="0006142D">
        <w:rPr>
          <w:sz w:val="26"/>
          <w:szCs w:val="26"/>
        </w:rPr>
        <w:t>eoples</w:t>
      </w:r>
      <w:r>
        <w:rPr>
          <w:sz w:val="26"/>
          <w:szCs w:val="26"/>
        </w:rPr>
        <w:t xml:space="preserve"> aver</w:t>
      </w:r>
      <w:r w:rsidR="00C31545">
        <w:rPr>
          <w:sz w:val="26"/>
          <w:szCs w:val="26"/>
        </w:rPr>
        <w:t>s</w:t>
      </w:r>
      <w:r>
        <w:rPr>
          <w:sz w:val="26"/>
          <w:szCs w:val="26"/>
        </w:rPr>
        <w:t xml:space="preserve"> PIOGA</w:t>
      </w:r>
      <w:r w:rsidR="00734951">
        <w:rPr>
          <w:sz w:val="26"/>
          <w:szCs w:val="26"/>
        </w:rPr>
        <w:t>’</w:t>
      </w:r>
      <w:r>
        <w:rPr>
          <w:sz w:val="26"/>
          <w:szCs w:val="26"/>
        </w:rPr>
        <w:t xml:space="preserve">s argument that </w:t>
      </w:r>
      <w:r w:rsidR="00655DD8">
        <w:rPr>
          <w:sz w:val="26"/>
          <w:szCs w:val="26"/>
        </w:rPr>
        <w:t>the Compan</w:t>
      </w:r>
      <w:r w:rsidR="00846051">
        <w:rPr>
          <w:sz w:val="26"/>
          <w:szCs w:val="26"/>
        </w:rPr>
        <w:t>y</w:t>
      </w:r>
      <w:r>
        <w:rPr>
          <w:sz w:val="26"/>
          <w:szCs w:val="26"/>
        </w:rPr>
        <w:t xml:space="preserve"> needed to file a separate tariff supplement to support the proposed </w:t>
      </w:r>
      <w:r w:rsidR="004F0BB3">
        <w:rPr>
          <w:sz w:val="26"/>
          <w:szCs w:val="26"/>
        </w:rPr>
        <w:t xml:space="preserve">2.0% minimum </w:t>
      </w:r>
      <w:r>
        <w:rPr>
          <w:sz w:val="26"/>
          <w:szCs w:val="26"/>
        </w:rPr>
        <w:t xml:space="preserve">retainage charge </w:t>
      </w:r>
      <w:r w:rsidR="00E419BA">
        <w:rPr>
          <w:sz w:val="26"/>
          <w:szCs w:val="26"/>
        </w:rPr>
        <w:t>for</w:t>
      </w:r>
      <w:r>
        <w:rPr>
          <w:sz w:val="26"/>
          <w:szCs w:val="26"/>
        </w:rPr>
        <w:t xml:space="preserve"> </w:t>
      </w:r>
      <w:r w:rsidR="00905A5C">
        <w:rPr>
          <w:sz w:val="26"/>
          <w:szCs w:val="26"/>
        </w:rPr>
        <w:t>E</w:t>
      </w:r>
      <w:r>
        <w:rPr>
          <w:sz w:val="26"/>
          <w:szCs w:val="26"/>
        </w:rPr>
        <w:t xml:space="preserve">quitable is without merit.  </w:t>
      </w:r>
      <w:r w:rsidR="002E6DDD">
        <w:rPr>
          <w:sz w:val="26"/>
          <w:szCs w:val="26"/>
        </w:rPr>
        <w:t>P</w:t>
      </w:r>
      <w:r w:rsidR="00E419BA">
        <w:rPr>
          <w:sz w:val="26"/>
          <w:szCs w:val="26"/>
        </w:rPr>
        <w:t>eoples</w:t>
      </w:r>
      <w:r w:rsidR="002E6DDD">
        <w:rPr>
          <w:sz w:val="26"/>
          <w:szCs w:val="26"/>
        </w:rPr>
        <w:t xml:space="preserve"> argue</w:t>
      </w:r>
      <w:r w:rsidR="00C31545">
        <w:rPr>
          <w:sz w:val="26"/>
          <w:szCs w:val="26"/>
        </w:rPr>
        <w:t>s</w:t>
      </w:r>
      <w:r w:rsidR="002E6DDD">
        <w:rPr>
          <w:sz w:val="26"/>
          <w:szCs w:val="26"/>
        </w:rPr>
        <w:t xml:space="preserve"> </w:t>
      </w:r>
      <w:r w:rsidR="00AC0A36">
        <w:rPr>
          <w:sz w:val="26"/>
          <w:szCs w:val="26"/>
        </w:rPr>
        <w:t xml:space="preserve">that </w:t>
      </w:r>
      <w:r w:rsidR="002E6DDD">
        <w:rPr>
          <w:sz w:val="26"/>
          <w:szCs w:val="26"/>
        </w:rPr>
        <w:t xml:space="preserve">under Equitable Rate AGS, the gathering rate and gas-in kind retainage rate (for the recovery of gathering </w:t>
      </w:r>
      <w:r w:rsidR="00E419BA">
        <w:rPr>
          <w:sz w:val="26"/>
          <w:szCs w:val="26"/>
        </w:rPr>
        <w:t xml:space="preserve">system </w:t>
      </w:r>
      <w:r w:rsidR="002E6DDD">
        <w:rPr>
          <w:sz w:val="26"/>
          <w:szCs w:val="26"/>
        </w:rPr>
        <w:t>UFG) are determined through negotiations</w:t>
      </w:r>
      <w:r w:rsidR="004F0BB3">
        <w:rPr>
          <w:sz w:val="26"/>
          <w:szCs w:val="26"/>
        </w:rPr>
        <w:t xml:space="preserve">.  According to Peoples, </w:t>
      </w:r>
      <w:r w:rsidR="002E6DDD">
        <w:rPr>
          <w:sz w:val="26"/>
          <w:szCs w:val="26"/>
        </w:rPr>
        <w:t xml:space="preserve">the instant proposed 2.0% </w:t>
      </w:r>
      <w:r w:rsidR="007473F2">
        <w:rPr>
          <w:sz w:val="26"/>
          <w:szCs w:val="26"/>
        </w:rPr>
        <w:t xml:space="preserve">minimum </w:t>
      </w:r>
      <w:r w:rsidR="002E6DDD">
        <w:rPr>
          <w:sz w:val="26"/>
          <w:szCs w:val="26"/>
        </w:rPr>
        <w:t xml:space="preserve">for production from all new wells connected to the Equitable system can be implemented without the need to revise </w:t>
      </w:r>
      <w:r w:rsidR="004F0BB3">
        <w:rPr>
          <w:sz w:val="26"/>
          <w:szCs w:val="26"/>
        </w:rPr>
        <w:t xml:space="preserve">the </w:t>
      </w:r>
      <w:r w:rsidR="002E6DDD">
        <w:rPr>
          <w:sz w:val="26"/>
          <w:szCs w:val="26"/>
        </w:rPr>
        <w:t>language in the tariff.  PNG R</w:t>
      </w:r>
      <w:r w:rsidR="00E419BA">
        <w:rPr>
          <w:sz w:val="26"/>
          <w:szCs w:val="26"/>
        </w:rPr>
        <w:t>. Exc.</w:t>
      </w:r>
      <w:r w:rsidR="002E6DDD">
        <w:rPr>
          <w:sz w:val="26"/>
          <w:szCs w:val="26"/>
        </w:rPr>
        <w:t xml:space="preserve"> at 23-24 (citing PNG R.B. at 14</w:t>
      </w:r>
      <w:r w:rsidR="008516B0">
        <w:rPr>
          <w:sz w:val="26"/>
          <w:szCs w:val="26"/>
        </w:rPr>
        <w:t>; Gas – Pa. P.U.C. No. 46, Original Page No. 82</w:t>
      </w:r>
      <w:r w:rsidR="002E6DDD">
        <w:rPr>
          <w:sz w:val="26"/>
          <w:szCs w:val="26"/>
        </w:rPr>
        <w:t>).</w:t>
      </w:r>
      <w:r w:rsidR="00964990">
        <w:rPr>
          <w:sz w:val="26"/>
          <w:szCs w:val="26"/>
        </w:rPr>
        <w:t xml:space="preserve">  </w:t>
      </w:r>
      <w:r w:rsidR="008516B0">
        <w:rPr>
          <w:sz w:val="26"/>
          <w:szCs w:val="26"/>
        </w:rPr>
        <w:t>N</w:t>
      </w:r>
      <w:r w:rsidR="00237AB0">
        <w:rPr>
          <w:sz w:val="26"/>
          <w:szCs w:val="26"/>
        </w:rPr>
        <w:t>ever</w:t>
      </w:r>
      <w:r w:rsidR="008516B0">
        <w:rPr>
          <w:sz w:val="26"/>
          <w:szCs w:val="26"/>
        </w:rPr>
        <w:t xml:space="preserve">theless, </w:t>
      </w:r>
      <w:r w:rsidR="00237AB0">
        <w:rPr>
          <w:sz w:val="26"/>
          <w:szCs w:val="26"/>
        </w:rPr>
        <w:t>Peoples contend</w:t>
      </w:r>
      <w:r w:rsidR="008504AD">
        <w:rPr>
          <w:sz w:val="26"/>
          <w:szCs w:val="26"/>
        </w:rPr>
        <w:t>s</w:t>
      </w:r>
      <w:r w:rsidR="00237AB0">
        <w:rPr>
          <w:sz w:val="26"/>
          <w:szCs w:val="26"/>
        </w:rPr>
        <w:t xml:space="preserve">, </w:t>
      </w:r>
      <w:r w:rsidR="001516C3">
        <w:rPr>
          <w:sz w:val="26"/>
          <w:szCs w:val="26"/>
        </w:rPr>
        <w:t xml:space="preserve">to the extent </w:t>
      </w:r>
      <w:r w:rsidR="00964990">
        <w:rPr>
          <w:sz w:val="26"/>
          <w:szCs w:val="26"/>
        </w:rPr>
        <w:t xml:space="preserve">that </w:t>
      </w:r>
      <w:r w:rsidR="001516C3">
        <w:rPr>
          <w:sz w:val="26"/>
          <w:szCs w:val="26"/>
        </w:rPr>
        <w:t>the Commission determines that tariff revision is required, the Commission should direct</w:t>
      </w:r>
      <w:r w:rsidR="00964990">
        <w:rPr>
          <w:sz w:val="26"/>
          <w:szCs w:val="26"/>
        </w:rPr>
        <w:t xml:space="preserve"> the Compan</w:t>
      </w:r>
      <w:r w:rsidR="00846051">
        <w:rPr>
          <w:sz w:val="26"/>
          <w:szCs w:val="26"/>
        </w:rPr>
        <w:t>y</w:t>
      </w:r>
      <w:r w:rsidR="00964990">
        <w:rPr>
          <w:sz w:val="26"/>
          <w:szCs w:val="26"/>
        </w:rPr>
        <w:t xml:space="preserve"> </w:t>
      </w:r>
      <w:r w:rsidR="001516C3">
        <w:rPr>
          <w:sz w:val="26"/>
          <w:szCs w:val="26"/>
        </w:rPr>
        <w:t>to file a tariff supplement reflecting the 2.0% minimum retainage charge in the Final Order approving the proposed charge.  P</w:t>
      </w:r>
      <w:r w:rsidR="00964990">
        <w:rPr>
          <w:sz w:val="26"/>
          <w:szCs w:val="26"/>
        </w:rPr>
        <w:t>eoples also</w:t>
      </w:r>
      <w:r w:rsidR="001516C3">
        <w:rPr>
          <w:sz w:val="26"/>
          <w:szCs w:val="26"/>
        </w:rPr>
        <w:t xml:space="preserve"> </w:t>
      </w:r>
      <w:r w:rsidR="00D62E5A">
        <w:rPr>
          <w:sz w:val="26"/>
          <w:szCs w:val="26"/>
        </w:rPr>
        <w:t>indicate</w:t>
      </w:r>
      <w:r w:rsidR="00C31545">
        <w:rPr>
          <w:sz w:val="26"/>
          <w:szCs w:val="26"/>
        </w:rPr>
        <w:t>s</w:t>
      </w:r>
      <w:r w:rsidR="00D62E5A">
        <w:rPr>
          <w:sz w:val="26"/>
          <w:szCs w:val="26"/>
        </w:rPr>
        <w:t xml:space="preserve"> </w:t>
      </w:r>
      <w:r w:rsidR="001516C3">
        <w:rPr>
          <w:sz w:val="26"/>
          <w:szCs w:val="26"/>
        </w:rPr>
        <w:t>it is willing and ready to file any compliance tariff filings required by the Commission in this proceeding.  PNG R</w:t>
      </w:r>
      <w:r w:rsidR="00AF2632">
        <w:rPr>
          <w:sz w:val="26"/>
          <w:szCs w:val="26"/>
        </w:rPr>
        <w:t xml:space="preserve">. Exc. </w:t>
      </w:r>
      <w:r w:rsidR="001516C3">
        <w:rPr>
          <w:sz w:val="26"/>
          <w:szCs w:val="26"/>
        </w:rPr>
        <w:t xml:space="preserve">at 24.  </w:t>
      </w:r>
    </w:p>
    <w:p w14:paraId="1CD728AC" w14:textId="77777777" w:rsidR="006E63F8" w:rsidRDefault="006E63F8" w:rsidP="007374FA">
      <w:pPr>
        <w:widowControl/>
        <w:tabs>
          <w:tab w:val="left" w:pos="1445"/>
          <w:tab w:val="left" w:pos="7920"/>
        </w:tabs>
        <w:autoSpaceDE w:val="0"/>
        <w:autoSpaceDN w:val="0"/>
        <w:adjustRightInd w:val="0"/>
        <w:spacing w:line="360" w:lineRule="auto"/>
        <w:rPr>
          <w:sz w:val="26"/>
          <w:szCs w:val="26"/>
        </w:rPr>
      </w:pPr>
    </w:p>
    <w:p w14:paraId="05400D5A" w14:textId="428FD691" w:rsidR="006E63F8" w:rsidRDefault="006E63F8" w:rsidP="007374FA">
      <w:pPr>
        <w:widowControl/>
        <w:tabs>
          <w:tab w:val="left" w:pos="1445"/>
          <w:tab w:val="left" w:pos="7920"/>
        </w:tabs>
        <w:autoSpaceDE w:val="0"/>
        <w:autoSpaceDN w:val="0"/>
        <w:adjustRightInd w:val="0"/>
        <w:spacing w:line="360" w:lineRule="auto"/>
        <w:rPr>
          <w:sz w:val="26"/>
          <w:szCs w:val="26"/>
        </w:rPr>
      </w:pPr>
      <w:r>
        <w:rPr>
          <w:sz w:val="26"/>
          <w:szCs w:val="26"/>
        </w:rPr>
        <w:tab/>
        <w:t>Upon review,</w:t>
      </w:r>
      <w:r w:rsidR="00D62E5A">
        <w:rPr>
          <w:sz w:val="26"/>
          <w:szCs w:val="26"/>
        </w:rPr>
        <w:t xml:space="preserve"> w</w:t>
      </w:r>
      <w:r>
        <w:rPr>
          <w:sz w:val="26"/>
          <w:szCs w:val="26"/>
        </w:rPr>
        <w:t>e agree with the ALJ</w:t>
      </w:r>
      <w:r w:rsidR="00734951">
        <w:rPr>
          <w:sz w:val="26"/>
          <w:szCs w:val="26"/>
        </w:rPr>
        <w:t>’</w:t>
      </w:r>
      <w:r>
        <w:rPr>
          <w:sz w:val="26"/>
          <w:szCs w:val="26"/>
        </w:rPr>
        <w:t>s approval of the proposed minimum tariff for Equitable</w:t>
      </w:r>
      <w:r w:rsidR="00D62E5A">
        <w:rPr>
          <w:sz w:val="26"/>
          <w:szCs w:val="26"/>
        </w:rPr>
        <w:t xml:space="preserve"> in the instant proceeding</w:t>
      </w:r>
      <w:r w:rsidR="00237AB0">
        <w:rPr>
          <w:sz w:val="26"/>
          <w:szCs w:val="26"/>
        </w:rPr>
        <w:t xml:space="preserve">.  </w:t>
      </w:r>
      <w:r w:rsidR="00C4736E">
        <w:rPr>
          <w:sz w:val="26"/>
          <w:szCs w:val="26"/>
        </w:rPr>
        <w:t>W</w:t>
      </w:r>
      <w:r w:rsidR="00237AB0">
        <w:rPr>
          <w:sz w:val="26"/>
          <w:szCs w:val="26"/>
        </w:rPr>
        <w:t xml:space="preserve">e acknowledge that </w:t>
      </w:r>
      <w:r w:rsidR="00D62E5A">
        <w:rPr>
          <w:sz w:val="26"/>
          <w:szCs w:val="26"/>
        </w:rPr>
        <w:t>under Equitable Rate AGS, the gathering rate and gas-in kind retainage rate (for the recovery of gathering system UFG) are determined through negotiation</w:t>
      </w:r>
      <w:r w:rsidR="00237AB0">
        <w:rPr>
          <w:sz w:val="26"/>
          <w:szCs w:val="26"/>
        </w:rPr>
        <w:t>s</w:t>
      </w:r>
      <w:r w:rsidR="00C4736E">
        <w:rPr>
          <w:sz w:val="26"/>
          <w:szCs w:val="26"/>
        </w:rPr>
        <w:t xml:space="preserve">.  </w:t>
      </w:r>
      <w:r w:rsidR="008504AD">
        <w:rPr>
          <w:sz w:val="26"/>
          <w:szCs w:val="26"/>
        </w:rPr>
        <w:t>Nevertheless, w</w:t>
      </w:r>
      <w:r w:rsidR="00B37F79">
        <w:rPr>
          <w:sz w:val="26"/>
          <w:szCs w:val="26"/>
        </w:rPr>
        <w:t>hile we acknowledge that the Equitable Rate AGS is a negotiated rate agreed to by the Parties in a prior PGC proceeding, we also recognize Peoples</w:t>
      </w:r>
      <w:r w:rsidR="00734951">
        <w:rPr>
          <w:sz w:val="26"/>
          <w:szCs w:val="26"/>
        </w:rPr>
        <w:t>’</w:t>
      </w:r>
      <w:r w:rsidR="00B37F79">
        <w:rPr>
          <w:sz w:val="26"/>
          <w:szCs w:val="26"/>
        </w:rPr>
        <w:t xml:space="preserve"> argument that for consistency between both the Peoples and Equitable Divisions, it is proposing to change Equitable Rate AGS to provide for a minimum of 2.0% retainage from production from all new wells connected to Equitable</w:t>
      </w:r>
      <w:r w:rsidR="00734951">
        <w:rPr>
          <w:sz w:val="26"/>
          <w:szCs w:val="26"/>
        </w:rPr>
        <w:t>’</w:t>
      </w:r>
      <w:r w:rsidR="00B37F79">
        <w:rPr>
          <w:sz w:val="26"/>
          <w:szCs w:val="26"/>
        </w:rPr>
        <w:t xml:space="preserve">s system.  </w:t>
      </w:r>
      <w:r w:rsidR="00EC25E4">
        <w:rPr>
          <w:sz w:val="26"/>
          <w:szCs w:val="26"/>
        </w:rPr>
        <w:t>PNG St. 1</w:t>
      </w:r>
      <w:r w:rsidR="0064368D">
        <w:rPr>
          <w:sz w:val="26"/>
          <w:szCs w:val="26"/>
        </w:rPr>
        <w:t xml:space="preserve"> at 15</w:t>
      </w:r>
      <w:r w:rsidR="00EC25E4">
        <w:rPr>
          <w:sz w:val="26"/>
          <w:szCs w:val="26"/>
        </w:rPr>
        <w:t xml:space="preserve">.  </w:t>
      </w:r>
      <w:r w:rsidR="00C4736E">
        <w:rPr>
          <w:sz w:val="26"/>
          <w:szCs w:val="26"/>
        </w:rPr>
        <w:t xml:space="preserve">We find </w:t>
      </w:r>
      <w:r w:rsidR="004F5A5B">
        <w:rPr>
          <w:sz w:val="26"/>
          <w:szCs w:val="26"/>
        </w:rPr>
        <w:t>Peoples</w:t>
      </w:r>
      <w:r w:rsidR="00734951">
        <w:rPr>
          <w:sz w:val="26"/>
          <w:szCs w:val="26"/>
        </w:rPr>
        <w:t>’</w:t>
      </w:r>
      <w:r w:rsidR="00C4736E">
        <w:rPr>
          <w:sz w:val="26"/>
          <w:szCs w:val="26"/>
        </w:rPr>
        <w:t xml:space="preserve"> explanation </w:t>
      </w:r>
      <w:r w:rsidR="00EC25E4">
        <w:rPr>
          <w:sz w:val="26"/>
          <w:szCs w:val="26"/>
        </w:rPr>
        <w:t>for its proposed change to</w:t>
      </w:r>
      <w:r w:rsidR="00C4736E">
        <w:rPr>
          <w:sz w:val="26"/>
          <w:szCs w:val="26"/>
        </w:rPr>
        <w:t xml:space="preserve"> Equitable Rate AGS tariff to</w:t>
      </w:r>
      <w:r w:rsidR="00EC25E4">
        <w:rPr>
          <w:sz w:val="26"/>
          <w:szCs w:val="26"/>
        </w:rPr>
        <w:t xml:space="preserve"> be reasonable</w:t>
      </w:r>
      <w:r w:rsidR="00C4736E">
        <w:rPr>
          <w:sz w:val="26"/>
          <w:szCs w:val="26"/>
        </w:rPr>
        <w:t xml:space="preserve">.  We note that PIOGA has not presented any evidence to demonstrate that the proposal is unreasonable.  Therefore, to the extent that PIOGA is requesting that </w:t>
      </w:r>
      <w:r w:rsidR="004C1223">
        <w:rPr>
          <w:sz w:val="26"/>
          <w:szCs w:val="26"/>
        </w:rPr>
        <w:t>P</w:t>
      </w:r>
      <w:r w:rsidR="00C4736E">
        <w:rPr>
          <w:sz w:val="26"/>
          <w:szCs w:val="26"/>
        </w:rPr>
        <w:t>eoples file a tariff supplement reflecting the 2.0% minimum retainage charge for gas delivered into Peoples</w:t>
      </w:r>
      <w:r w:rsidR="00734951">
        <w:rPr>
          <w:sz w:val="26"/>
          <w:szCs w:val="26"/>
        </w:rPr>
        <w:t>’</w:t>
      </w:r>
      <w:r w:rsidR="00C4736E">
        <w:rPr>
          <w:sz w:val="26"/>
          <w:szCs w:val="26"/>
        </w:rPr>
        <w:t xml:space="preserve"> system, we shall grant PIOGA</w:t>
      </w:r>
      <w:r w:rsidR="00734951">
        <w:rPr>
          <w:sz w:val="26"/>
          <w:szCs w:val="26"/>
        </w:rPr>
        <w:t>’</w:t>
      </w:r>
      <w:r w:rsidR="00C4736E">
        <w:rPr>
          <w:sz w:val="26"/>
          <w:szCs w:val="26"/>
        </w:rPr>
        <w:t xml:space="preserve">s Exception No. 7.  </w:t>
      </w:r>
      <w:r w:rsidR="00EC25E4">
        <w:rPr>
          <w:sz w:val="26"/>
          <w:szCs w:val="26"/>
        </w:rPr>
        <w:t>Accordingly</w:t>
      </w:r>
      <w:r>
        <w:rPr>
          <w:sz w:val="26"/>
          <w:szCs w:val="26"/>
        </w:rPr>
        <w:t xml:space="preserve">, we shall direct Peoples to file a tariff </w:t>
      </w:r>
      <w:r>
        <w:rPr>
          <w:sz w:val="26"/>
          <w:szCs w:val="26"/>
        </w:rPr>
        <w:lastRenderedPageBreak/>
        <w:t>supplement reflecting the 2.0% minimum retainage charge</w:t>
      </w:r>
      <w:r w:rsidR="00C4736E">
        <w:rPr>
          <w:sz w:val="26"/>
          <w:szCs w:val="26"/>
        </w:rPr>
        <w:t xml:space="preserve"> for</w:t>
      </w:r>
      <w:r w:rsidR="00FA6C0A">
        <w:rPr>
          <w:sz w:val="26"/>
          <w:szCs w:val="26"/>
        </w:rPr>
        <w:t xml:space="preserve"> its Equitable Rate AGS tariff</w:t>
      </w:r>
      <w:r>
        <w:rPr>
          <w:sz w:val="26"/>
          <w:szCs w:val="26"/>
        </w:rPr>
        <w:t>.</w:t>
      </w:r>
    </w:p>
    <w:p w14:paraId="054CF863" w14:textId="77777777" w:rsidR="00237AB0" w:rsidRDefault="00237AB0" w:rsidP="007374FA">
      <w:pPr>
        <w:widowControl/>
        <w:tabs>
          <w:tab w:val="left" w:pos="1445"/>
          <w:tab w:val="left" w:pos="7920"/>
        </w:tabs>
        <w:autoSpaceDE w:val="0"/>
        <w:autoSpaceDN w:val="0"/>
        <w:adjustRightInd w:val="0"/>
        <w:spacing w:line="360" w:lineRule="auto"/>
        <w:rPr>
          <w:sz w:val="26"/>
          <w:szCs w:val="26"/>
        </w:rPr>
      </w:pPr>
    </w:p>
    <w:p w14:paraId="74E19466" w14:textId="37EB743C" w:rsidR="0013226D" w:rsidRPr="0013226D" w:rsidRDefault="0013226D" w:rsidP="007374FA">
      <w:pPr>
        <w:pStyle w:val="Heading3"/>
      </w:pPr>
      <w:bookmarkStart w:id="53" w:name="_Toc524442370"/>
      <w:r w:rsidRPr="0013226D">
        <w:t>PIOGA</w:t>
      </w:r>
      <w:r w:rsidR="00734951">
        <w:t>’</w:t>
      </w:r>
      <w:r w:rsidRPr="0013226D">
        <w:t xml:space="preserve">s Exception No. </w:t>
      </w:r>
      <w:r w:rsidR="00116C59">
        <w:t>8</w:t>
      </w:r>
      <w:r w:rsidR="009D0088">
        <w:t xml:space="preserve">, </w:t>
      </w:r>
      <w:r w:rsidRPr="0013226D">
        <w:t>Replies</w:t>
      </w:r>
      <w:r w:rsidR="009D0088">
        <w:t xml:space="preserve"> and Disposition</w:t>
      </w:r>
      <w:bookmarkEnd w:id="53"/>
    </w:p>
    <w:p w14:paraId="0D07143B" w14:textId="77777777" w:rsidR="0013226D" w:rsidRDefault="0013226D" w:rsidP="007374FA">
      <w:pPr>
        <w:widowControl/>
        <w:tabs>
          <w:tab w:val="left" w:pos="1445"/>
          <w:tab w:val="left" w:pos="7920"/>
        </w:tabs>
        <w:autoSpaceDE w:val="0"/>
        <w:autoSpaceDN w:val="0"/>
        <w:adjustRightInd w:val="0"/>
        <w:spacing w:line="360" w:lineRule="auto"/>
        <w:rPr>
          <w:b/>
          <w:sz w:val="26"/>
          <w:szCs w:val="26"/>
        </w:rPr>
      </w:pPr>
    </w:p>
    <w:p w14:paraId="639FC29F" w14:textId="29493D4E" w:rsidR="0013226D" w:rsidRDefault="0013226D" w:rsidP="007374FA">
      <w:pPr>
        <w:widowControl/>
        <w:tabs>
          <w:tab w:val="left" w:pos="1445"/>
          <w:tab w:val="left" w:pos="7920"/>
        </w:tabs>
        <w:autoSpaceDE w:val="0"/>
        <w:autoSpaceDN w:val="0"/>
        <w:adjustRightInd w:val="0"/>
        <w:spacing w:line="360" w:lineRule="auto"/>
        <w:rPr>
          <w:sz w:val="26"/>
          <w:szCs w:val="26"/>
        </w:rPr>
      </w:pPr>
      <w:r>
        <w:rPr>
          <w:b/>
          <w:sz w:val="26"/>
          <w:szCs w:val="26"/>
        </w:rPr>
        <w:tab/>
      </w:r>
      <w:r>
        <w:rPr>
          <w:sz w:val="26"/>
          <w:szCs w:val="26"/>
        </w:rPr>
        <w:t xml:space="preserve">In its Exception No. </w:t>
      </w:r>
      <w:r w:rsidR="00C97271">
        <w:rPr>
          <w:sz w:val="26"/>
          <w:szCs w:val="26"/>
        </w:rPr>
        <w:t>8</w:t>
      </w:r>
      <w:r>
        <w:rPr>
          <w:sz w:val="26"/>
          <w:szCs w:val="26"/>
        </w:rPr>
        <w:t>, PIOGA avers the ALJ</w:t>
      </w:r>
      <w:r w:rsidR="00C97271">
        <w:rPr>
          <w:sz w:val="26"/>
          <w:szCs w:val="26"/>
        </w:rPr>
        <w:t xml:space="preserve"> erred in </w:t>
      </w:r>
      <w:r w:rsidR="00186B6B">
        <w:rPr>
          <w:sz w:val="26"/>
          <w:szCs w:val="26"/>
        </w:rPr>
        <w:t>concluding that the proposed charge in this proceeding is an appropriate policy to address the Compan</w:t>
      </w:r>
      <w:r w:rsidR="002D6E7F">
        <w:rPr>
          <w:sz w:val="26"/>
          <w:szCs w:val="26"/>
        </w:rPr>
        <w:t>y</w:t>
      </w:r>
      <w:r w:rsidR="00734951">
        <w:rPr>
          <w:sz w:val="26"/>
          <w:szCs w:val="26"/>
        </w:rPr>
        <w:t>’</w:t>
      </w:r>
      <w:r w:rsidR="002D6E7F">
        <w:rPr>
          <w:sz w:val="26"/>
          <w:szCs w:val="26"/>
        </w:rPr>
        <w:t>s</w:t>
      </w:r>
      <w:r w:rsidR="00186B6B">
        <w:rPr>
          <w:sz w:val="26"/>
          <w:szCs w:val="26"/>
        </w:rPr>
        <w:t xml:space="preserve"> gathering system UFG.  Exc. at 22 (citing R.D. at 86-87; Conclusion of Law No. 27; Ordering Paragraph Nos. 2, 5, 6).  PIOGA reiterates its argument </w:t>
      </w:r>
      <w:r w:rsidR="00C97271">
        <w:rPr>
          <w:sz w:val="26"/>
          <w:szCs w:val="26"/>
        </w:rPr>
        <w:t>that approval of the proposed charge</w:t>
      </w:r>
      <w:r w:rsidR="00186B6B">
        <w:rPr>
          <w:sz w:val="26"/>
          <w:szCs w:val="26"/>
        </w:rPr>
        <w:t>s</w:t>
      </w:r>
      <w:r w:rsidR="00C97271">
        <w:rPr>
          <w:sz w:val="26"/>
          <w:szCs w:val="26"/>
        </w:rPr>
        <w:t xml:space="preserve"> is bad policy and that the </w:t>
      </w:r>
      <w:r w:rsidR="00186B6B">
        <w:rPr>
          <w:sz w:val="26"/>
          <w:szCs w:val="26"/>
        </w:rPr>
        <w:t>ALJ</w:t>
      </w:r>
      <w:r w:rsidR="00734951">
        <w:rPr>
          <w:sz w:val="26"/>
          <w:szCs w:val="26"/>
        </w:rPr>
        <w:t>’</w:t>
      </w:r>
      <w:r w:rsidR="00186B6B">
        <w:rPr>
          <w:sz w:val="26"/>
          <w:szCs w:val="26"/>
        </w:rPr>
        <w:t>s dismissal of its argument based primarily on PIOGA</w:t>
      </w:r>
      <w:r w:rsidR="00734951">
        <w:rPr>
          <w:sz w:val="26"/>
          <w:szCs w:val="26"/>
        </w:rPr>
        <w:t>’</w:t>
      </w:r>
      <w:r w:rsidR="00186B6B">
        <w:rPr>
          <w:sz w:val="26"/>
          <w:szCs w:val="26"/>
        </w:rPr>
        <w:t xml:space="preserve">s stipulation that the </w:t>
      </w:r>
      <w:r w:rsidR="00C97271">
        <w:rPr>
          <w:sz w:val="26"/>
          <w:szCs w:val="26"/>
        </w:rPr>
        <w:t xml:space="preserve">proposed charges, by themselves, will not materially affect existing production from wells or the drilling </w:t>
      </w:r>
      <w:r w:rsidR="005D6673">
        <w:rPr>
          <w:sz w:val="26"/>
          <w:szCs w:val="26"/>
        </w:rPr>
        <w:t>of new wells</w:t>
      </w:r>
      <w:r w:rsidR="00186B6B">
        <w:rPr>
          <w:sz w:val="26"/>
          <w:szCs w:val="26"/>
        </w:rPr>
        <w:t>, is misplaced</w:t>
      </w:r>
      <w:r w:rsidR="005D6673">
        <w:rPr>
          <w:sz w:val="26"/>
          <w:szCs w:val="26"/>
        </w:rPr>
        <w:t xml:space="preserve">.  Exc. at 22.  PIOGA believes approval of the proposed charges will lead to a slippery slope toward assigning additional </w:t>
      </w:r>
      <w:r w:rsidR="00734951">
        <w:rPr>
          <w:sz w:val="26"/>
          <w:szCs w:val="26"/>
        </w:rPr>
        <w:t>“</w:t>
      </w:r>
      <w:r w:rsidR="005D6673">
        <w:rPr>
          <w:sz w:val="26"/>
          <w:szCs w:val="26"/>
        </w:rPr>
        <w:t>so-called gathering system costs</w:t>
      </w:r>
      <w:r w:rsidR="00734951">
        <w:rPr>
          <w:sz w:val="26"/>
          <w:szCs w:val="26"/>
        </w:rPr>
        <w:t>”</w:t>
      </w:r>
      <w:r w:rsidR="005D6673">
        <w:rPr>
          <w:sz w:val="26"/>
          <w:szCs w:val="26"/>
        </w:rPr>
        <w:t xml:space="preserve"> to conventional producers when they can least afford it.  </w:t>
      </w:r>
      <w:r w:rsidR="005D6673" w:rsidRPr="005D6673">
        <w:rPr>
          <w:i/>
          <w:sz w:val="26"/>
          <w:szCs w:val="26"/>
        </w:rPr>
        <w:t>Id.</w:t>
      </w:r>
      <w:r w:rsidR="005D6673">
        <w:rPr>
          <w:sz w:val="26"/>
          <w:szCs w:val="26"/>
        </w:rPr>
        <w:t xml:space="preserve"> </w:t>
      </w:r>
      <w:r>
        <w:rPr>
          <w:sz w:val="26"/>
          <w:szCs w:val="26"/>
        </w:rPr>
        <w:t xml:space="preserve"> </w:t>
      </w:r>
    </w:p>
    <w:p w14:paraId="02FA2788" w14:textId="77777777" w:rsidR="0013226D" w:rsidRDefault="0013226D" w:rsidP="007374FA">
      <w:pPr>
        <w:widowControl/>
        <w:tabs>
          <w:tab w:val="left" w:pos="1445"/>
          <w:tab w:val="left" w:pos="7920"/>
        </w:tabs>
        <w:autoSpaceDE w:val="0"/>
        <w:autoSpaceDN w:val="0"/>
        <w:adjustRightInd w:val="0"/>
        <w:spacing w:line="360" w:lineRule="auto"/>
        <w:rPr>
          <w:sz w:val="26"/>
          <w:szCs w:val="26"/>
        </w:rPr>
      </w:pPr>
    </w:p>
    <w:p w14:paraId="51CB30BF" w14:textId="01F9963F" w:rsidR="002651BE" w:rsidRDefault="0013226D" w:rsidP="007374FA">
      <w:pPr>
        <w:widowControl/>
        <w:tabs>
          <w:tab w:val="left" w:pos="1445"/>
          <w:tab w:val="left" w:pos="7920"/>
        </w:tabs>
        <w:autoSpaceDE w:val="0"/>
        <w:autoSpaceDN w:val="0"/>
        <w:adjustRightInd w:val="0"/>
        <w:spacing w:line="360" w:lineRule="auto"/>
        <w:rPr>
          <w:sz w:val="26"/>
          <w:szCs w:val="26"/>
        </w:rPr>
      </w:pPr>
      <w:r>
        <w:rPr>
          <w:sz w:val="26"/>
          <w:szCs w:val="26"/>
        </w:rPr>
        <w:tab/>
        <w:t>In Reply, P</w:t>
      </w:r>
      <w:r w:rsidR="004B6EA0">
        <w:rPr>
          <w:sz w:val="26"/>
          <w:szCs w:val="26"/>
        </w:rPr>
        <w:t>eoples</w:t>
      </w:r>
      <w:r>
        <w:rPr>
          <w:sz w:val="26"/>
          <w:szCs w:val="26"/>
        </w:rPr>
        <w:t xml:space="preserve"> aver</w:t>
      </w:r>
      <w:r w:rsidR="00C112F0">
        <w:rPr>
          <w:sz w:val="26"/>
          <w:szCs w:val="26"/>
        </w:rPr>
        <w:t>s</w:t>
      </w:r>
      <w:r>
        <w:rPr>
          <w:sz w:val="26"/>
          <w:szCs w:val="26"/>
        </w:rPr>
        <w:t xml:space="preserve"> PIOGA</w:t>
      </w:r>
      <w:r w:rsidR="00734951">
        <w:rPr>
          <w:sz w:val="26"/>
          <w:szCs w:val="26"/>
        </w:rPr>
        <w:t>’</w:t>
      </w:r>
      <w:r>
        <w:rPr>
          <w:sz w:val="26"/>
          <w:szCs w:val="26"/>
        </w:rPr>
        <w:t>s</w:t>
      </w:r>
      <w:r w:rsidR="002651BE">
        <w:rPr>
          <w:sz w:val="26"/>
          <w:szCs w:val="26"/>
        </w:rPr>
        <w:t xml:space="preserve"> </w:t>
      </w:r>
      <w:r w:rsidR="00734951">
        <w:rPr>
          <w:sz w:val="26"/>
          <w:szCs w:val="26"/>
        </w:rPr>
        <w:t>“</w:t>
      </w:r>
      <w:r w:rsidR="002651BE">
        <w:rPr>
          <w:sz w:val="26"/>
          <w:szCs w:val="26"/>
        </w:rPr>
        <w:t>slippery slope</w:t>
      </w:r>
      <w:r w:rsidR="00734951">
        <w:rPr>
          <w:sz w:val="26"/>
          <w:szCs w:val="26"/>
        </w:rPr>
        <w:t>”</w:t>
      </w:r>
      <w:r w:rsidR="002651BE">
        <w:rPr>
          <w:sz w:val="26"/>
          <w:szCs w:val="26"/>
        </w:rPr>
        <w:t xml:space="preserve"> argument is a red herring.  </w:t>
      </w:r>
      <w:r w:rsidR="0079190D">
        <w:rPr>
          <w:sz w:val="26"/>
          <w:szCs w:val="26"/>
        </w:rPr>
        <w:t xml:space="preserve">According to </w:t>
      </w:r>
      <w:r w:rsidR="002651BE">
        <w:rPr>
          <w:sz w:val="26"/>
          <w:szCs w:val="26"/>
        </w:rPr>
        <w:t>P</w:t>
      </w:r>
      <w:r w:rsidR="004B6EA0">
        <w:rPr>
          <w:sz w:val="26"/>
          <w:szCs w:val="26"/>
        </w:rPr>
        <w:t>eoples</w:t>
      </w:r>
      <w:r w:rsidR="0079190D">
        <w:rPr>
          <w:sz w:val="26"/>
          <w:szCs w:val="26"/>
        </w:rPr>
        <w:t xml:space="preserve">, </w:t>
      </w:r>
      <w:r w:rsidR="002651BE">
        <w:rPr>
          <w:sz w:val="26"/>
          <w:szCs w:val="26"/>
        </w:rPr>
        <w:t>PIOGA</w:t>
      </w:r>
      <w:r w:rsidR="00734951">
        <w:rPr>
          <w:sz w:val="26"/>
          <w:szCs w:val="26"/>
        </w:rPr>
        <w:t>’</w:t>
      </w:r>
      <w:r w:rsidR="002651BE">
        <w:rPr>
          <w:sz w:val="26"/>
          <w:szCs w:val="26"/>
        </w:rPr>
        <w:t>s stipulation of potential future charges is immaterial in this case as the proposed charges are meant to reduce gathering system UFG in the Compan</w:t>
      </w:r>
      <w:r w:rsidR="0052391A">
        <w:rPr>
          <w:sz w:val="26"/>
          <w:szCs w:val="26"/>
        </w:rPr>
        <w:t>y</w:t>
      </w:r>
      <w:r w:rsidR="00734951">
        <w:rPr>
          <w:sz w:val="26"/>
          <w:szCs w:val="26"/>
        </w:rPr>
        <w:t>’</w:t>
      </w:r>
      <w:r w:rsidR="0052391A">
        <w:rPr>
          <w:sz w:val="26"/>
          <w:szCs w:val="26"/>
        </w:rPr>
        <w:t>s</w:t>
      </w:r>
      <w:r w:rsidR="002651BE">
        <w:rPr>
          <w:sz w:val="26"/>
          <w:szCs w:val="26"/>
        </w:rPr>
        <w:t xml:space="preserve"> system.  P</w:t>
      </w:r>
      <w:r w:rsidR="004B6EA0">
        <w:rPr>
          <w:sz w:val="26"/>
          <w:szCs w:val="26"/>
        </w:rPr>
        <w:t>NG</w:t>
      </w:r>
      <w:r w:rsidR="002651BE">
        <w:rPr>
          <w:sz w:val="26"/>
          <w:szCs w:val="26"/>
        </w:rPr>
        <w:t xml:space="preserve"> R</w:t>
      </w:r>
      <w:r w:rsidR="004B6EA0">
        <w:rPr>
          <w:sz w:val="26"/>
          <w:szCs w:val="26"/>
        </w:rPr>
        <w:t>. Exc.</w:t>
      </w:r>
      <w:r w:rsidR="002651BE">
        <w:rPr>
          <w:sz w:val="26"/>
          <w:szCs w:val="26"/>
        </w:rPr>
        <w:t xml:space="preserve"> at 24 (citing PNG R.B. at 16).  Therefore, P</w:t>
      </w:r>
      <w:r w:rsidR="005C5363">
        <w:rPr>
          <w:sz w:val="26"/>
          <w:szCs w:val="26"/>
        </w:rPr>
        <w:t>eoples</w:t>
      </w:r>
      <w:r w:rsidR="002651BE">
        <w:rPr>
          <w:sz w:val="26"/>
          <w:szCs w:val="26"/>
        </w:rPr>
        <w:t xml:space="preserve"> </w:t>
      </w:r>
      <w:r w:rsidR="0067037F">
        <w:rPr>
          <w:sz w:val="26"/>
          <w:szCs w:val="26"/>
        </w:rPr>
        <w:t>commend</w:t>
      </w:r>
      <w:r w:rsidR="00C112F0">
        <w:rPr>
          <w:sz w:val="26"/>
          <w:szCs w:val="26"/>
        </w:rPr>
        <w:t>s</w:t>
      </w:r>
      <w:r w:rsidR="0067037F">
        <w:rPr>
          <w:sz w:val="26"/>
          <w:szCs w:val="26"/>
        </w:rPr>
        <w:t xml:space="preserve"> </w:t>
      </w:r>
      <w:r w:rsidR="002651BE">
        <w:rPr>
          <w:sz w:val="26"/>
          <w:szCs w:val="26"/>
        </w:rPr>
        <w:t>the ALJ</w:t>
      </w:r>
      <w:r w:rsidR="00734951">
        <w:rPr>
          <w:sz w:val="26"/>
          <w:szCs w:val="26"/>
        </w:rPr>
        <w:t>’</w:t>
      </w:r>
      <w:r w:rsidR="0067037F">
        <w:rPr>
          <w:sz w:val="26"/>
          <w:szCs w:val="26"/>
        </w:rPr>
        <w:t xml:space="preserve">s </w:t>
      </w:r>
      <w:r w:rsidR="00886AC8">
        <w:rPr>
          <w:sz w:val="26"/>
          <w:szCs w:val="26"/>
        </w:rPr>
        <w:t>rejection of PIOGA</w:t>
      </w:r>
      <w:r w:rsidR="00734951">
        <w:rPr>
          <w:sz w:val="26"/>
          <w:szCs w:val="26"/>
        </w:rPr>
        <w:t>’</w:t>
      </w:r>
      <w:r w:rsidR="00886AC8">
        <w:rPr>
          <w:sz w:val="26"/>
          <w:szCs w:val="26"/>
        </w:rPr>
        <w:t xml:space="preserve">s ill-timed argument and his </w:t>
      </w:r>
      <w:r w:rsidR="002651BE">
        <w:rPr>
          <w:sz w:val="26"/>
          <w:szCs w:val="26"/>
        </w:rPr>
        <w:t>approv</w:t>
      </w:r>
      <w:r w:rsidR="0067037F">
        <w:rPr>
          <w:sz w:val="26"/>
          <w:szCs w:val="26"/>
        </w:rPr>
        <w:t>al of</w:t>
      </w:r>
      <w:r w:rsidR="002651BE">
        <w:rPr>
          <w:sz w:val="26"/>
          <w:szCs w:val="26"/>
        </w:rPr>
        <w:t xml:space="preserve"> </w:t>
      </w:r>
      <w:r w:rsidR="004A715A">
        <w:rPr>
          <w:sz w:val="26"/>
          <w:szCs w:val="26"/>
        </w:rPr>
        <w:t>the</w:t>
      </w:r>
      <w:r w:rsidR="002651BE">
        <w:rPr>
          <w:sz w:val="26"/>
          <w:szCs w:val="26"/>
        </w:rPr>
        <w:t xml:space="preserve"> proposed retainage charge for conventional gas producers.  P</w:t>
      </w:r>
      <w:r w:rsidR="001A0137">
        <w:rPr>
          <w:sz w:val="26"/>
          <w:szCs w:val="26"/>
        </w:rPr>
        <w:t>NG</w:t>
      </w:r>
      <w:r w:rsidR="002651BE">
        <w:rPr>
          <w:sz w:val="26"/>
          <w:szCs w:val="26"/>
        </w:rPr>
        <w:t xml:space="preserve"> R</w:t>
      </w:r>
      <w:r w:rsidR="001A0137">
        <w:rPr>
          <w:sz w:val="26"/>
          <w:szCs w:val="26"/>
        </w:rPr>
        <w:t>. Exc.</w:t>
      </w:r>
      <w:r w:rsidR="002651BE">
        <w:rPr>
          <w:sz w:val="26"/>
          <w:szCs w:val="26"/>
        </w:rPr>
        <w:t xml:space="preserve"> at 24-25.  </w:t>
      </w:r>
    </w:p>
    <w:p w14:paraId="7B19ECE5" w14:textId="77777777" w:rsidR="00C229EE" w:rsidRDefault="00C229EE" w:rsidP="007374FA">
      <w:pPr>
        <w:widowControl/>
        <w:tabs>
          <w:tab w:val="left" w:pos="1445"/>
          <w:tab w:val="left" w:pos="7920"/>
        </w:tabs>
        <w:autoSpaceDE w:val="0"/>
        <w:autoSpaceDN w:val="0"/>
        <w:adjustRightInd w:val="0"/>
        <w:spacing w:line="360" w:lineRule="auto"/>
        <w:rPr>
          <w:sz w:val="26"/>
          <w:szCs w:val="26"/>
        </w:rPr>
      </w:pPr>
    </w:p>
    <w:p w14:paraId="2CA21869" w14:textId="3800AB73" w:rsidR="00713C47" w:rsidRDefault="006A4766" w:rsidP="007374FA">
      <w:pPr>
        <w:widowControl/>
        <w:tabs>
          <w:tab w:val="left" w:pos="1445"/>
          <w:tab w:val="left" w:pos="7920"/>
        </w:tabs>
        <w:autoSpaceDE w:val="0"/>
        <w:autoSpaceDN w:val="0"/>
        <w:adjustRightInd w:val="0"/>
        <w:spacing w:line="360" w:lineRule="auto"/>
        <w:rPr>
          <w:sz w:val="26"/>
          <w:szCs w:val="26"/>
        </w:rPr>
      </w:pPr>
      <w:r>
        <w:rPr>
          <w:sz w:val="26"/>
          <w:szCs w:val="26"/>
        </w:rPr>
        <w:tab/>
        <w:t>Upon review</w:t>
      </w:r>
      <w:r w:rsidR="002B2A55">
        <w:rPr>
          <w:sz w:val="26"/>
          <w:szCs w:val="26"/>
        </w:rPr>
        <w:t>, we shall deny PIOGA</w:t>
      </w:r>
      <w:r w:rsidR="00734951">
        <w:rPr>
          <w:sz w:val="26"/>
          <w:szCs w:val="26"/>
        </w:rPr>
        <w:t>’</w:t>
      </w:r>
      <w:r w:rsidR="002B2A55">
        <w:rPr>
          <w:sz w:val="26"/>
          <w:szCs w:val="26"/>
        </w:rPr>
        <w:t xml:space="preserve">s Exception No. 8.  We have established in the instant proceeding that </w:t>
      </w:r>
      <w:r w:rsidR="004B75A8">
        <w:rPr>
          <w:sz w:val="26"/>
          <w:szCs w:val="26"/>
        </w:rPr>
        <w:t xml:space="preserve">pursuant Section 1307(f), 66 Pa. C.S. § 1307(f), </w:t>
      </w:r>
      <w:r w:rsidR="00153EBD">
        <w:rPr>
          <w:sz w:val="26"/>
          <w:szCs w:val="26"/>
        </w:rPr>
        <w:t xml:space="preserve">PGC proceedings </w:t>
      </w:r>
      <w:r w:rsidR="00713C47">
        <w:rPr>
          <w:sz w:val="26"/>
          <w:szCs w:val="26"/>
        </w:rPr>
        <w:t>offer</w:t>
      </w:r>
      <w:r w:rsidR="002B2A55">
        <w:rPr>
          <w:sz w:val="26"/>
          <w:szCs w:val="26"/>
        </w:rPr>
        <w:t xml:space="preserve"> the Parties </w:t>
      </w:r>
      <w:r w:rsidR="00713C47">
        <w:rPr>
          <w:sz w:val="26"/>
          <w:szCs w:val="26"/>
        </w:rPr>
        <w:t>an</w:t>
      </w:r>
      <w:r w:rsidR="002B2A55">
        <w:rPr>
          <w:sz w:val="26"/>
          <w:szCs w:val="26"/>
        </w:rPr>
        <w:t xml:space="preserve"> opportunity to review</w:t>
      </w:r>
      <w:r w:rsidR="00153EBD">
        <w:rPr>
          <w:sz w:val="26"/>
          <w:szCs w:val="26"/>
        </w:rPr>
        <w:t xml:space="preserve"> </w:t>
      </w:r>
      <w:r w:rsidR="002B2A55">
        <w:rPr>
          <w:sz w:val="26"/>
          <w:szCs w:val="26"/>
        </w:rPr>
        <w:t>the justness and reasonableness of Peoples</w:t>
      </w:r>
      <w:r w:rsidR="00734951">
        <w:rPr>
          <w:sz w:val="26"/>
          <w:szCs w:val="26"/>
        </w:rPr>
        <w:t>’</w:t>
      </w:r>
      <w:r w:rsidR="00153EBD">
        <w:rPr>
          <w:sz w:val="26"/>
          <w:szCs w:val="26"/>
        </w:rPr>
        <w:t xml:space="preserve"> rates on an annual basis</w:t>
      </w:r>
      <w:r w:rsidR="002D19F7">
        <w:rPr>
          <w:sz w:val="26"/>
          <w:szCs w:val="26"/>
        </w:rPr>
        <w:t xml:space="preserve">.  </w:t>
      </w:r>
      <w:r w:rsidR="002B2A55">
        <w:rPr>
          <w:sz w:val="26"/>
          <w:szCs w:val="26"/>
        </w:rPr>
        <w:t>We</w:t>
      </w:r>
      <w:r w:rsidR="00C20143">
        <w:rPr>
          <w:sz w:val="26"/>
          <w:szCs w:val="26"/>
        </w:rPr>
        <w:t xml:space="preserve"> find no merit in </w:t>
      </w:r>
      <w:r w:rsidR="002B2A55">
        <w:rPr>
          <w:sz w:val="26"/>
          <w:szCs w:val="26"/>
        </w:rPr>
        <w:t>PIOGA</w:t>
      </w:r>
      <w:r w:rsidR="00734951">
        <w:rPr>
          <w:sz w:val="26"/>
          <w:szCs w:val="26"/>
        </w:rPr>
        <w:t>’</w:t>
      </w:r>
      <w:r w:rsidR="002B2A55">
        <w:rPr>
          <w:sz w:val="26"/>
          <w:szCs w:val="26"/>
        </w:rPr>
        <w:t xml:space="preserve">s characterization that the approval of the proposed producer charge will lead to a slippery slope.  </w:t>
      </w:r>
      <w:r w:rsidR="00CF4F67">
        <w:rPr>
          <w:sz w:val="26"/>
          <w:szCs w:val="26"/>
        </w:rPr>
        <w:t xml:space="preserve">We note that any future proposed charge by Peoples will be adequately vetted by </w:t>
      </w:r>
      <w:r w:rsidR="00CF4F67">
        <w:rPr>
          <w:sz w:val="26"/>
          <w:szCs w:val="26"/>
        </w:rPr>
        <w:lastRenderedPageBreak/>
        <w:t>the Parties</w:t>
      </w:r>
      <w:r w:rsidR="003B71A3">
        <w:rPr>
          <w:sz w:val="26"/>
          <w:szCs w:val="26"/>
        </w:rPr>
        <w:t xml:space="preserve"> and the Commission prior to approval</w:t>
      </w:r>
      <w:r w:rsidR="007466D4">
        <w:rPr>
          <w:sz w:val="26"/>
          <w:szCs w:val="26"/>
        </w:rPr>
        <w:t xml:space="preserve">.  </w:t>
      </w:r>
      <w:r w:rsidR="004A0479">
        <w:rPr>
          <w:sz w:val="26"/>
          <w:szCs w:val="26"/>
        </w:rPr>
        <w:t xml:space="preserve">We agree that there is no evidence in this proceeding </w:t>
      </w:r>
      <w:r w:rsidR="00C20143">
        <w:rPr>
          <w:sz w:val="26"/>
          <w:szCs w:val="26"/>
        </w:rPr>
        <w:t xml:space="preserve">to indicate </w:t>
      </w:r>
      <w:r w:rsidR="004A0479">
        <w:rPr>
          <w:sz w:val="26"/>
          <w:szCs w:val="26"/>
        </w:rPr>
        <w:t>that approval of the proposed producer charge will jeopardize the provision of safe and reliable service to customers or that the proposed charge will exacerbate the decline of conventional gas production.  R.D. at 89.</w:t>
      </w:r>
      <w:r w:rsidR="00C20143">
        <w:rPr>
          <w:sz w:val="26"/>
          <w:szCs w:val="26"/>
        </w:rPr>
        <w:t xml:space="preserve">  </w:t>
      </w:r>
      <w:r w:rsidR="004A715A">
        <w:rPr>
          <w:sz w:val="26"/>
          <w:szCs w:val="26"/>
        </w:rPr>
        <w:t>As such, we shall deny PIOGA</w:t>
      </w:r>
      <w:r w:rsidR="00734951">
        <w:rPr>
          <w:sz w:val="26"/>
          <w:szCs w:val="26"/>
        </w:rPr>
        <w:t>’</w:t>
      </w:r>
      <w:r w:rsidR="004A715A">
        <w:rPr>
          <w:sz w:val="26"/>
          <w:szCs w:val="26"/>
        </w:rPr>
        <w:t>s Exception No. 8.</w:t>
      </w:r>
    </w:p>
    <w:p w14:paraId="43CA04B4" w14:textId="5959FC5B" w:rsidR="006A4766" w:rsidRDefault="006A4766" w:rsidP="007374FA">
      <w:pPr>
        <w:widowControl/>
        <w:tabs>
          <w:tab w:val="left" w:pos="1445"/>
          <w:tab w:val="left" w:pos="7920"/>
        </w:tabs>
        <w:autoSpaceDE w:val="0"/>
        <w:autoSpaceDN w:val="0"/>
        <w:adjustRightInd w:val="0"/>
        <w:spacing w:line="360" w:lineRule="auto"/>
        <w:rPr>
          <w:sz w:val="26"/>
          <w:szCs w:val="26"/>
        </w:rPr>
      </w:pPr>
    </w:p>
    <w:p w14:paraId="38233CE4" w14:textId="77777777" w:rsidR="006A4766" w:rsidRDefault="006A4766" w:rsidP="007374FA">
      <w:pPr>
        <w:pStyle w:val="Heading1"/>
      </w:pPr>
      <w:bookmarkStart w:id="54" w:name="_Toc524442371"/>
      <w:r>
        <w:t>Conclusion</w:t>
      </w:r>
      <w:bookmarkEnd w:id="54"/>
    </w:p>
    <w:p w14:paraId="3AE3C5F4" w14:textId="77777777" w:rsidR="006A4766" w:rsidRDefault="006A4766" w:rsidP="007374FA">
      <w:pPr>
        <w:widowControl/>
        <w:spacing w:line="360" w:lineRule="auto"/>
        <w:jc w:val="center"/>
        <w:rPr>
          <w:b/>
          <w:sz w:val="26"/>
          <w:szCs w:val="26"/>
        </w:rPr>
      </w:pPr>
    </w:p>
    <w:p w14:paraId="4F2DF449" w14:textId="3C3316FF" w:rsidR="006A4766" w:rsidRDefault="006A4766" w:rsidP="007374FA">
      <w:pPr>
        <w:widowControl/>
        <w:spacing w:line="360" w:lineRule="auto"/>
        <w:rPr>
          <w:b/>
          <w:sz w:val="26"/>
          <w:szCs w:val="26"/>
        </w:rPr>
      </w:pPr>
      <w:r>
        <w:rPr>
          <w:b/>
          <w:sz w:val="26"/>
          <w:szCs w:val="26"/>
        </w:rPr>
        <w:tab/>
      </w:r>
      <w:r>
        <w:rPr>
          <w:b/>
          <w:sz w:val="26"/>
          <w:szCs w:val="26"/>
        </w:rPr>
        <w:tab/>
      </w:r>
      <w:r w:rsidRPr="00242110">
        <w:rPr>
          <w:sz w:val="26"/>
          <w:szCs w:val="26"/>
        </w:rPr>
        <w:t xml:space="preserve">Based upon our review, </w:t>
      </w:r>
      <w:r>
        <w:rPr>
          <w:sz w:val="26"/>
          <w:szCs w:val="26"/>
        </w:rPr>
        <w:t xml:space="preserve">evaluation and analysis of the record evidence in this proceeding, we shall </w:t>
      </w:r>
      <w:r w:rsidR="008C01CF">
        <w:rPr>
          <w:sz w:val="26"/>
          <w:szCs w:val="26"/>
        </w:rPr>
        <w:t xml:space="preserve">deny the Motion to Strike and </w:t>
      </w:r>
      <w:r w:rsidR="000D5413">
        <w:rPr>
          <w:sz w:val="26"/>
          <w:szCs w:val="26"/>
        </w:rPr>
        <w:t xml:space="preserve">deny </w:t>
      </w:r>
      <w:r>
        <w:rPr>
          <w:sz w:val="26"/>
          <w:szCs w:val="26"/>
        </w:rPr>
        <w:t>the Exceptions</w:t>
      </w:r>
      <w:r w:rsidR="000D5413">
        <w:rPr>
          <w:sz w:val="26"/>
          <w:szCs w:val="26"/>
        </w:rPr>
        <w:t>, in part, and grant them, in part,</w:t>
      </w:r>
      <w:r>
        <w:rPr>
          <w:sz w:val="26"/>
          <w:szCs w:val="26"/>
        </w:rPr>
        <w:t xml:space="preserve"> consistent with the discussion contained in the body of this Opinion and Order.  </w:t>
      </w:r>
      <w:r w:rsidR="000D5413">
        <w:rPr>
          <w:sz w:val="26"/>
          <w:szCs w:val="26"/>
        </w:rPr>
        <w:t>T</w:t>
      </w:r>
      <w:r w:rsidR="009B02E4">
        <w:rPr>
          <w:sz w:val="26"/>
          <w:szCs w:val="26"/>
        </w:rPr>
        <w:t>o the extent that PIOGA is requesting that Peoples file a tariff supplement for its Equitable Division reflecting the 2.0% minimum retainage charge for gas delivered into Peoples</w:t>
      </w:r>
      <w:r w:rsidR="00734951">
        <w:rPr>
          <w:sz w:val="26"/>
          <w:szCs w:val="26"/>
        </w:rPr>
        <w:t>’</w:t>
      </w:r>
      <w:r w:rsidR="009B02E4">
        <w:rPr>
          <w:sz w:val="26"/>
          <w:szCs w:val="26"/>
        </w:rPr>
        <w:t xml:space="preserve"> system, we shall grant PIOGA</w:t>
      </w:r>
      <w:r w:rsidR="00734951">
        <w:rPr>
          <w:sz w:val="26"/>
          <w:szCs w:val="26"/>
        </w:rPr>
        <w:t>’</w:t>
      </w:r>
      <w:r w:rsidR="009B02E4">
        <w:rPr>
          <w:sz w:val="26"/>
          <w:szCs w:val="26"/>
        </w:rPr>
        <w:t xml:space="preserve">s Exception No. 7.  </w:t>
      </w:r>
      <w:r>
        <w:rPr>
          <w:sz w:val="26"/>
          <w:szCs w:val="26"/>
        </w:rPr>
        <w:t xml:space="preserve">Further, we shall </w:t>
      </w:r>
      <w:r w:rsidR="00B8465E">
        <w:rPr>
          <w:sz w:val="26"/>
          <w:szCs w:val="26"/>
        </w:rPr>
        <w:t xml:space="preserve">adopt </w:t>
      </w:r>
      <w:r>
        <w:rPr>
          <w:sz w:val="26"/>
          <w:szCs w:val="26"/>
        </w:rPr>
        <w:t>the ALJs</w:t>
      </w:r>
      <w:r w:rsidR="00734951">
        <w:rPr>
          <w:sz w:val="26"/>
          <w:szCs w:val="26"/>
        </w:rPr>
        <w:t>’</w:t>
      </w:r>
      <w:r>
        <w:rPr>
          <w:sz w:val="26"/>
          <w:szCs w:val="26"/>
        </w:rPr>
        <w:t xml:space="preserve"> Recommended Decision to approve the Partial Settlement without modification</w:t>
      </w:r>
      <w:r w:rsidR="00B8465E">
        <w:rPr>
          <w:sz w:val="26"/>
          <w:szCs w:val="26"/>
        </w:rPr>
        <w:t xml:space="preserve"> and </w:t>
      </w:r>
      <w:r w:rsidR="00953422">
        <w:rPr>
          <w:sz w:val="26"/>
          <w:szCs w:val="26"/>
        </w:rPr>
        <w:t xml:space="preserve">we shall </w:t>
      </w:r>
      <w:r w:rsidR="00B8465E">
        <w:rPr>
          <w:sz w:val="26"/>
          <w:szCs w:val="26"/>
        </w:rPr>
        <w:t>modify the ALJ</w:t>
      </w:r>
      <w:r w:rsidR="00734951">
        <w:rPr>
          <w:sz w:val="26"/>
          <w:szCs w:val="26"/>
        </w:rPr>
        <w:t>’</w:t>
      </w:r>
      <w:r w:rsidR="00B8465E">
        <w:rPr>
          <w:sz w:val="26"/>
          <w:szCs w:val="26"/>
        </w:rPr>
        <w:t>s</w:t>
      </w:r>
      <w:r w:rsidR="00727B2A">
        <w:rPr>
          <w:sz w:val="26"/>
          <w:szCs w:val="26"/>
        </w:rPr>
        <w:t xml:space="preserve"> Recommended Decision pursuant to our approval of PIOGA</w:t>
      </w:r>
      <w:r w:rsidR="00734951">
        <w:rPr>
          <w:sz w:val="26"/>
          <w:szCs w:val="26"/>
        </w:rPr>
        <w:t>’</w:t>
      </w:r>
      <w:r w:rsidR="00727B2A">
        <w:rPr>
          <w:sz w:val="26"/>
          <w:szCs w:val="26"/>
        </w:rPr>
        <w:t>s Exception No. 7</w:t>
      </w:r>
      <w:r>
        <w:rPr>
          <w:sz w:val="26"/>
          <w:szCs w:val="26"/>
        </w:rPr>
        <w:t xml:space="preserve">.  We find that Peoples has met its burden of proof for approval of its proposed conventional gas producer charge as well as its PGC filing; </w:t>
      </w:r>
      <w:r>
        <w:rPr>
          <w:b/>
          <w:sz w:val="26"/>
          <w:szCs w:val="26"/>
        </w:rPr>
        <w:t>THEREFORE,</w:t>
      </w:r>
    </w:p>
    <w:p w14:paraId="31017BC6" w14:textId="77777777" w:rsidR="006A4766" w:rsidRDefault="006A4766" w:rsidP="007374FA">
      <w:pPr>
        <w:widowControl/>
        <w:rPr>
          <w:b/>
          <w:sz w:val="26"/>
          <w:szCs w:val="26"/>
        </w:rPr>
      </w:pPr>
    </w:p>
    <w:p w14:paraId="20F619F2" w14:textId="77777777" w:rsidR="006A4766" w:rsidRDefault="006A4766" w:rsidP="007374FA">
      <w:pPr>
        <w:widowControl/>
        <w:rPr>
          <w:b/>
          <w:sz w:val="26"/>
          <w:szCs w:val="26"/>
        </w:rPr>
      </w:pPr>
    </w:p>
    <w:p w14:paraId="1C4E298A" w14:textId="77777777" w:rsidR="006A4766" w:rsidRDefault="006A4766" w:rsidP="007374FA">
      <w:pPr>
        <w:widowControl/>
        <w:rPr>
          <w:b/>
          <w:sz w:val="26"/>
          <w:szCs w:val="26"/>
        </w:rPr>
      </w:pPr>
      <w:r>
        <w:rPr>
          <w:b/>
          <w:sz w:val="26"/>
          <w:szCs w:val="26"/>
        </w:rPr>
        <w:tab/>
      </w:r>
      <w:r>
        <w:rPr>
          <w:b/>
          <w:sz w:val="26"/>
          <w:szCs w:val="26"/>
        </w:rPr>
        <w:tab/>
        <w:t>IT IS ORDERED:</w:t>
      </w:r>
    </w:p>
    <w:p w14:paraId="7D9C57B0" w14:textId="77777777" w:rsidR="006A4766" w:rsidRDefault="006A4766" w:rsidP="007374FA">
      <w:pPr>
        <w:widowControl/>
        <w:rPr>
          <w:b/>
          <w:sz w:val="26"/>
          <w:szCs w:val="26"/>
        </w:rPr>
      </w:pPr>
    </w:p>
    <w:p w14:paraId="71DD02DB" w14:textId="3F5F4101" w:rsidR="006A4766" w:rsidRDefault="006A4766" w:rsidP="007374FA">
      <w:pPr>
        <w:pStyle w:val="NoSpacing"/>
        <w:numPr>
          <w:ilvl w:val="0"/>
          <w:numId w:val="11"/>
        </w:numPr>
        <w:spacing w:line="360" w:lineRule="auto"/>
        <w:ind w:left="0" w:firstLine="1440"/>
        <w:rPr>
          <w:spacing w:val="-3"/>
          <w:sz w:val="26"/>
          <w:szCs w:val="26"/>
        </w:rPr>
      </w:pPr>
      <w:r>
        <w:rPr>
          <w:spacing w:val="-3"/>
          <w:sz w:val="26"/>
          <w:szCs w:val="26"/>
        </w:rPr>
        <w:t xml:space="preserve">That the Exceptions filed by </w:t>
      </w:r>
      <w:r w:rsidR="005B2E8B">
        <w:rPr>
          <w:sz w:val="26"/>
          <w:szCs w:val="26"/>
        </w:rPr>
        <w:t xml:space="preserve">the </w:t>
      </w:r>
      <w:r w:rsidR="005B2E8B">
        <w:rPr>
          <w:sz w:val="26"/>
        </w:rPr>
        <w:t>Pennsylvania Independent Oil &amp; Gas Association</w:t>
      </w:r>
      <w:r w:rsidR="005B2E8B" w:rsidRPr="009B02E4">
        <w:rPr>
          <w:sz w:val="26"/>
          <w:szCs w:val="26"/>
        </w:rPr>
        <w:t xml:space="preserve"> </w:t>
      </w:r>
      <w:r>
        <w:rPr>
          <w:sz w:val="26"/>
          <w:szCs w:val="26"/>
        </w:rPr>
        <w:t>on A</w:t>
      </w:r>
      <w:r w:rsidR="0026638B">
        <w:rPr>
          <w:sz w:val="26"/>
          <w:szCs w:val="26"/>
        </w:rPr>
        <w:t>ugust 2</w:t>
      </w:r>
      <w:r>
        <w:rPr>
          <w:sz w:val="26"/>
          <w:szCs w:val="26"/>
        </w:rPr>
        <w:t>, 201</w:t>
      </w:r>
      <w:r w:rsidR="0026638B">
        <w:rPr>
          <w:sz w:val="26"/>
          <w:szCs w:val="26"/>
        </w:rPr>
        <w:t>8</w:t>
      </w:r>
      <w:r>
        <w:rPr>
          <w:sz w:val="26"/>
          <w:szCs w:val="26"/>
        </w:rPr>
        <w:t xml:space="preserve">, </w:t>
      </w:r>
      <w:r w:rsidRPr="001C311E">
        <w:rPr>
          <w:spacing w:val="-3"/>
          <w:sz w:val="26"/>
          <w:szCs w:val="26"/>
        </w:rPr>
        <w:t>are d</w:t>
      </w:r>
      <w:r>
        <w:rPr>
          <w:spacing w:val="-3"/>
          <w:sz w:val="26"/>
          <w:szCs w:val="26"/>
        </w:rPr>
        <w:t>enied</w:t>
      </w:r>
      <w:r w:rsidR="000D5413">
        <w:rPr>
          <w:spacing w:val="-3"/>
          <w:sz w:val="26"/>
          <w:szCs w:val="26"/>
        </w:rPr>
        <w:t>, in part, and granted, in part</w:t>
      </w:r>
      <w:r w:rsidRPr="001C311E">
        <w:rPr>
          <w:spacing w:val="-3"/>
          <w:sz w:val="26"/>
          <w:szCs w:val="26"/>
        </w:rPr>
        <w:t>.</w:t>
      </w:r>
    </w:p>
    <w:p w14:paraId="46C37894" w14:textId="77777777" w:rsidR="009B02E4" w:rsidRDefault="009B02E4" w:rsidP="007374FA">
      <w:pPr>
        <w:pStyle w:val="NoSpacing"/>
        <w:spacing w:line="360" w:lineRule="auto"/>
        <w:ind w:left="1440"/>
        <w:rPr>
          <w:spacing w:val="-3"/>
          <w:sz w:val="26"/>
          <w:szCs w:val="26"/>
        </w:rPr>
      </w:pPr>
    </w:p>
    <w:p w14:paraId="53F5AAB1" w14:textId="74D6A1F7" w:rsidR="009B02E4" w:rsidRPr="00066822" w:rsidRDefault="009B02E4" w:rsidP="007374FA">
      <w:pPr>
        <w:pStyle w:val="NoSpacing"/>
        <w:numPr>
          <w:ilvl w:val="0"/>
          <w:numId w:val="11"/>
        </w:numPr>
        <w:spacing w:line="360" w:lineRule="auto"/>
        <w:ind w:left="0" w:firstLine="1440"/>
        <w:rPr>
          <w:spacing w:val="-3"/>
          <w:sz w:val="26"/>
          <w:szCs w:val="26"/>
        </w:rPr>
      </w:pPr>
      <w:r w:rsidRPr="009B02E4">
        <w:rPr>
          <w:spacing w:val="-3"/>
          <w:sz w:val="26"/>
          <w:szCs w:val="26"/>
        </w:rPr>
        <w:t xml:space="preserve">That, </w:t>
      </w:r>
      <w:r w:rsidRPr="009B02E4">
        <w:rPr>
          <w:sz w:val="26"/>
          <w:szCs w:val="26"/>
        </w:rPr>
        <w:t xml:space="preserve">to the extent that </w:t>
      </w:r>
      <w:r w:rsidR="005B2E8B">
        <w:rPr>
          <w:sz w:val="26"/>
          <w:szCs w:val="26"/>
        </w:rPr>
        <w:t xml:space="preserve">the </w:t>
      </w:r>
      <w:r w:rsidR="00FF7052">
        <w:rPr>
          <w:sz w:val="26"/>
        </w:rPr>
        <w:t>Pennsylvania Independent Oil &amp; Gas Association</w:t>
      </w:r>
      <w:r w:rsidR="008C1C12">
        <w:rPr>
          <w:sz w:val="26"/>
        </w:rPr>
        <w:t xml:space="preserve">, in its Exception No. 7, </w:t>
      </w:r>
      <w:r w:rsidR="008C1C12">
        <w:rPr>
          <w:sz w:val="26"/>
          <w:szCs w:val="26"/>
        </w:rPr>
        <w:t>is</w:t>
      </w:r>
      <w:r w:rsidRPr="009B02E4">
        <w:rPr>
          <w:sz w:val="26"/>
          <w:szCs w:val="26"/>
        </w:rPr>
        <w:t xml:space="preserve"> requesting that </w:t>
      </w:r>
      <w:r w:rsidR="00237D06">
        <w:rPr>
          <w:sz w:val="26"/>
          <w:szCs w:val="26"/>
        </w:rPr>
        <w:t xml:space="preserve">Peoples Natural Gas Company, LLC </w:t>
      </w:r>
      <w:r w:rsidRPr="009B02E4">
        <w:rPr>
          <w:sz w:val="26"/>
          <w:szCs w:val="26"/>
        </w:rPr>
        <w:t xml:space="preserve">file a tariff supplement for its Equitable Division reflecting the </w:t>
      </w:r>
      <w:r w:rsidR="00552951">
        <w:rPr>
          <w:sz w:val="26"/>
          <w:szCs w:val="26"/>
        </w:rPr>
        <w:t xml:space="preserve">proposed </w:t>
      </w:r>
      <w:r w:rsidRPr="009B02E4">
        <w:rPr>
          <w:sz w:val="26"/>
          <w:szCs w:val="26"/>
        </w:rPr>
        <w:t xml:space="preserve">2.0% </w:t>
      </w:r>
      <w:r w:rsidRPr="009B02E4">
        <w:rPr>
          <w:sz w:val="26"/>
          <w:szCs w:val="26"/>
        </w:rPr>
        <w:lastRenderedPageBreak/>
        <w:t>minimum retainage charge for gas delivered into</w:t>
      </w:r>
      <w:r w:rsidR="00237D06">
        <w:rPr>
          <w:sz w:val="26"/>
          <w:szCs w:val="26"/>
        </w:rPr>
        <w:t xml:space="preserve"> </w:t>
      </w:r>
      <w:r w:rsidR="005B2E8B">
        <w:rPr>
          <w:sz w:val="26"/>
          <w:szCs w:val="26"/>
        </w:rPr>
        <w:t>Peoples Natural Gas Company, LLC</w:t>
      </w:r>
      <w:r w:rsidR="00734951">
        <w:rPr>
          <w:sz w:val="26"/>
          <w:szCs w:val="26"/>
        </w:rPr>
        <w:t>’</w:t>
      </w:r>
      <w:r w:rsidR="005B2E8B">
        <w:rPr>
          <w:sz w:val="26"/>
          <w:szCs w:val="26"/>
        </w:rPr>
        <w:t>s</w:t>
      </w:r>
      <w:r w:rsidRPr="009B02E4">
        <w:rPr>
          <w:sz w:val="26"/>
          <w:szCs w:val="26"/>
        </w:rPr>
        <w:t xml:space="preserve"> system, we shall grant</w:t>
      </w:r>
      <w:r w:rsidR="008C1C12">
        <w:rPr>
          <w:sz w:val="26"/>
          <w:szCs w:val="26"/>
        </w:rPr>
        <w:t xml:space="preserve"> the Exception</w:t>
      </w:r>
      <w:r w:rsidRPr="009B02E4">
        <w:rPr>
          <w:sz w:val="26"/>
          <w:szCs w:val="26"/>
        </w:rPr>
        <w:t xml:space="preserve">.  </w:t>
      </w:r>
    </w:p>
    <w:p w14:paraId="3CED5564" w14:textId="77777777" w:rsidR="000D5413" w:rsidRDefault="000D5413" w:rsidP="007374FA">
      <w:pPr>
        <w:pStyle w:val="ListParagraph"/>
        <w:widowControl/>
        <w:rPr>
          <w:spacing w:val="-3"/>
          <w:sz w:val="26"/>
          <w:szCs w:val="26"/>
        </w:rPr>
      </w:pPr>
    </w:p>
    <w:p w14:paraId="70B72402" w14:textId="3F594A59" w:rsidR="000D5413" w:rsidRPr="00237D06" w:rsidRDefault="000D5413" w:rsidP="007374FA">
      <w:pPr>
        <w:pStyle w:val="NoSpacing"/>
        <w:numPr>
          <w:ilvl w:val="0"/>
          <w:numId w:val="11"/>
        </w:numPr>
        <w:spacing w:line="360" w:lineRule="auto"/>
        <w:ind w:left="0" w:firstLine="1440"/>
        <w:rPr>
          <w:spacing w:val="-3"/>
          <w:sz w:val="26"/>
          <w:szCs w:val="26"/>
        </w:rPr>
      </w:pPr>
      <w:r>
        <w:rPr>
          <w:sz w:val="26"/>
          <w:szCs w:val="26"/>
        </w:rPr>
        <w:t xml:space="preserve">That the Motion to Strike filed by </w:t>
      </w:r>
      <w:r w:rsidRPr="00092B28">
        <w:rPr>
          <w:sz w:val="26"/>
          <w:szCs w:val="26"/>
        </w:rPr>
        <w:t xml:space="preserve">The Pennsylvania Independent Oil &amp; Gas Association on August </w:t>
      </w:r>
      <w:r>
        <w:rPr>
          <w:sz w:val="26"/>
          <w:szCs w:val="26"/>
        </w:rPr>
        <w:t>17</w:t>
      </w:r>
      <w:r w:rsidRPr="00092B28">
        <w:rPr>
          <w:sz w:val="26"/>
          <w:szCs w:val="26"/>
        </w:rPr>
        <w:t xml:space="preserve">, 2018, </w:t>
      </w:r>
      <w:r>
        <w:rPr>
          <w:sz w:val="26"/>
          <w:szCs w:val="26"/>
        </w:rPr>
        <w:t>is</w:t>
      </w:r>
      <w:r w:rsidRPr="00092B28">
        <w:rPr>
          <w:sz w:val="26"/>
          <w:szCs w:val="26"/>
        </w:rPr>
        <w:t xml:space="preserve"> denied, consistent</w:t>
      </w:r>
      <w:r w:rsidRPr="00092B28">
        <w:rPr>
          <w:sz w:val="26"/>
        </w:rPr>
        <w:t xml:space="preserve"> with this Opinion and Order</w:t>
      </w:r>
      <w:r>
        <w:rPr>
          <w:sz w:val="26"/>
        </w:rPr>
        <w:t>.</w:t>
      </w:r>
    </w:p>
    <w:p w14:paraId="12A23BD8" w14:textId="77777777" w:rsidR="00237D06" w:rsidRDefault="00237D06" w:rsidP="007374FA">
      <w:pPr>
        <w:pStyle w:val="ListParagraph"/>
        <w:widowControl/>
        <w:spacing w:line="360" w:lineRule="auto"/>
        <w:rPr>
          <w:spacing w:val="-3"/>
          <w:sz w:val="26"/>
          <w:szCs w:val="26"/>
        </w:rPr>
      </w:pPr>
    </w:p>
    <w:p w14:paraId="74DE8463" w14:textId="77777777" w:rsidR="00A9587F" w:rsidRDefault="006A4766" w:rsidP="007374FA">
      <w:pPr>
        <w:pStyle w:val="NoSpacing"/>
        <w:numPr>
          <w:ilvl w:val="0"/>
          <w:numId w:val="11"/>
        </w:numPr>
        <w:spacing w:line="360" w:lineRule="auto"/>
        <w:ind w:left="0" w:firstLine="1440"/>
        <w:rPr>
          <w:spacing w:val="-3"/>
          <w:sz w:val="26"/>
          <w:szCs w:val="26"/>
        </w:rPr>
      </w:pPr>
      <w:r w:rsidRPr="001C311E">
        <w:rPr>
          <w:spacing w:val="-3"/>
          <w:sz w:val="26"/>
          <w:szCs w:val="26"/>
        </w:rPr>
        <w:t xml:space="preserve">That the Recommended Decision of Administrative Law </w:t>
      </w:r>
      <w:r w:rsidRPr="004C023F">
        <w:rPr>
          <w:sz w:val="26"/>
          <w:szCs w:val="26"/>
        </w:rPr>
        <w:t xml:space="preserve">Judge </w:t>
      </w:r>
      <w:r>
        <w:rPr>
          <w:sz w:val="26"/>
          <w:szCs w:val="26"/>
        </w:rPr>
        <w:t>Jeffrey A. Watson</w:t>
      </w:r>
      <w:r w:rsidRPr="004C023F">
        <w:rPr>
          <w:sz w:val="26"/>
          <w:szCs w:val="26"/>
        </w:rPr>
        <w:t xml:space="preserve"> issued </w:t>
      </w:r>
      <w:r>
        <w:rPr>
          <w:sz w:val="26"/>
          <w:szCs w:val="26"/>
        </w:rPr>
        <w:t>on</w:t>
      </w:r>
      <w:r w:rsidR="0026638B">
        <w:rPr>
          <w:sz w:val="26"/>
          <w:szCs w:val="26"/>
        </w:rPr>
        <w:t xml:space="preserve"> July 25</w:t>
      </w:r>
      <w:r>
        <w:rPr>
          <w:sz w:val="26"/>
          <w:szCs w:val="26"/>
        </w:rPr>
        <w:t>, 201</w:t>
      </w:r>
      <w:r w:rsidR="0026638B">
        <w:rPr>
          <w:sz w:val="26"/>
          <w:szCs w:val="26"/>
        </w:rPr>
        <w:t>8</w:t>
      </w:r>
      <w:r>
        <w:rPr>
          <w:sz w:val="26"/>
          <w:szCs w:val="26"/>
        </w:rPr>
        <w:t>,</w:t>
      </w:r>
      <w:r w:rsidRPr="001C311E">
        <w:rPr>
          <w:spacing w:val="-3"/>
          <w:sz w:val="26"/>
          <w:szCs w:val="26"/>
        </w:rPr>
        <w:t xml:space="preserve"> is </w:t>
      </w:r>
      <w:r w:rsidR="001848F3">
        <w:rPr>
          <w:spacing w:val="-3"/>
          <w:sz w:val="26"/>
          <w:szCs w:val="26"/>
        </w:rPr>
        <w:t>modified</w:t>
      </w:r>
      <w:r w:rsidRPr="001C311E">
        <w:rPr>
          <w:spacing w:val="-3"/>
          <w:sz w:val="26"/>
          <w:szCs w:val="26"/>
        </w:rPr>
        <w:t>, consistent with this Opinion and Order.</w:t>
      </w:r>
      <w:r>
        <w:rPr>
          <w:spacing w:val="-3"/>
          <w:sz w:val="26"/>
          <w:szCs w:val="26"/>
        </w:rPr>
        <w:t xml:space="preserve">  </w:t>
      </w:r>
    </w:p>
    <w:p w14:paraId="1789CFA4" w14:textId="77777777" w:rsidR="00A9587F" w:rsidRDefault="00A9587F" w:rsidP="007374FA">
      <w:pPr>
        <w:pStyle w:val="ListParagraph"/>
        <w:widowControl/>
        <w:spacing w:line="360" w:lineRule="auto"/>
        <w:rPr>
          <w:sz w:val="23"/>
          <w:szCs w:val="23"/>
        </w:rPr>
      </w:pPr>
    </w:p>
    <w:p w14:paraId="1CEF7BDB" w14:textId="77777777" w:rsidR="00A9587F" w:rsidRPr="00A9587F" w:rsidRDefault="0026638B" w:rsidP="007374FA">
      <w:pPr>
        <w:pStyle w:val="NoSpacing"/>
        <w:numPr>
          <w:ilvl w:val="0"/>
          <w:numId w:val="11"/>
        </w:numPr>
        <w:spacing w:line="360" w:lineRule="auto"/>
        <w:ind w:left="0" w:firstLine="1440"/>
        <w:rPr>
          <w:sz w:val="26"/>
          <w:szCs w:val="26"/>
        </w:rPr>
      </w:pPr>
      <w:r w:rsidRPr="00A9587F">
        <w:rPr>
          <w:sz w:val="26"/>
          <w:szCs w:val="26"/>
        </w:rPr>
        <w:t xml:space="preserve">That the Partial Settlement at Docket Nos. R-2018-2645278 and </w:t>
      </w:r>
    </w:p>
    <w:p w14:paraId="2A6F39A8" w14:textId="38B947F3" w:rsidR="00A9587F" w:rsidRDefault="0026638B" w:rsidP="007374FA">
      <w:pPr>
        <w:pStyle w:val="NoSpacing"/>
        <w:spacing w:line="360" w:lineRule="auto"/>
        <w:rPr>
          <w:sz w:val="26"/>
          <w:szCs w:val="26"/>
        </w:rPr>
      </w:pPr>
      <w:r w:rsidRPr="00A9587F">
        <w:rPr>
          <w:sz w:val="26"/>
          <w:szCs w:val="26"/>
        </w:rPr>
        <w:t>R-2018-3000236 among Peoples Natural Gas Company LLC, acting on behalf of its Peoples Division and Peoples-Equitable Division, the Pennsylvania Public Utility Commission</w:t>
      </w:r>
      <w:r w:rsidR="00734951">
        <w:rPr>
          <w:sz w:val="26"/>
          <w:szCs w:val="26"/>
        </w:rPr>
        <w:t>’</w:t>
      </w:r>
      <w:r w:rsidRPr="00A9587F">
        <w:rPr>
          <w:sz w:val="26"/>
          <w:szCs w:val="26"/>
        </w:rPr>
        <w:t>s Bureau of Investigation and Enforcement, the Office of Consumer Advocate, and the Office of Small Business Advocate in the above-captioned case</w:t>
      </w:r>
      <w:r w:rsidR="001848F3">
        <w:rPr>
          <w:sz w:val="26"/>
          <w:szCs w:val="26"/>
        </w:rPr>
        <w:t>,</w:t>
      </w:r>
      <w:r w:rsidRPr="00A9587F">
        <w:rPr>
          <w:sz w:val="26"/>
          <w:szCs w:val="26"/>
        </w:rPr>
        <w:t xml:space="preserve"> is hereby</w:t>
      </w:r>
      <w:r w:rsidR="001848F3">
        <w:rPr>
          <w:sz w:val="26"/>
          <w:szCs w:val="26"/>
        </w:rPr>
        <w:t>,</w:t>
      </w:r>
      <w:r w:rsidRPr="00A9587F">
        <w:rPr>
          <w:sz w:val="26"/>
          <w:szCs w:val="26"/>
        </w:rPr>
        <w:t xml:space="preserve"> approved and adopted. </w:t>
      </w:r>
      <w:r w:rsidR="00A9587F">
        <w:rPr>
          <w:sz w:val="26"/>
          <w:szCs w:val="26"/>
        </w:rPr>
        <w:t xml:space="preserve"> </w:t>
      </w:r>
    </w:p>
    <w:p w14:paraId="0803A53F" w14:textId="77777777" w:rsidR="00A9587F" w:rsidRDefault="00A9587F" w:rsidP="007374FA">
      <w:pPr>
        <w:pStyle w:val="NoSpacing"/>
        <w:spacing w:line="360" w:lineRule="auto"/>
        <w:rPr>
          <w:sz w:val="23"/>
          <w:szCs w:val="23"/>
        </w:rPr>
      </w:pPr>
    </w:p>
    <w:p w14:paraId="0EE712BE" w14:textId="168B73BD" w:rsidR="003907BE" w:rsidRDefault="0026638B" w:rsidP="007374FA">
      <w:pPr>
        <w:pStyle w:val="NoSpacing"/>
        <w:numPr>
          <w:ilvl w:val="0"/>
          <w:numId w:val="11"/>
        </w:numPr>
        <w:spacing w:line="360" w:lineRule="auto"/>
        <w:ind w:left="0" w:firstLine="1440"/>
        <w:rPr>
          <w:sz w:val="26"/>
          <w:szCs w:val="26"/>
        </w:rPr>
      </w:pPr>
      <w:bookmarkStart w:id="55" w:name="_Hlk523914618"/>
      <w:r w:rsidRPr="001848F3">
        <w:rPr>
          <w:sz w:val="26"/>
          <w:szCs w:val="26"/>
        </w:rPr>
        <w:t xml:space="preserve">That Peoples Natural Gas Company LLC file tariff supplements, on behalf of both </w:t>
      </w:r>
      <w:r w:rsidR="001848F3">
        <w:rPr>
          <w:sz w:val="26"/>
          <w:szCs w:val="26"/>
        </w:rPr>
        <w:t xml:space="preserve">the Peoples and Equitable </w:t>
      </w:r>
      <w:r w:rsidRPr="001848F3">
        <w:rPr>
          <w:sz w:val="26"/>
          <w:szCs w:val="26"/>
        </w:rPr>
        <w:t>Divisions, on at least one day</w:t>
      </w:r>
      <w:r w:rsidR="00734951">
        <w:rPr>
          <w:sz w:val="26"/>
          <w:szCs w:val="26"/>
        </w:rPr>
        <w:t>’</w:t>
      </w:r>
      <w:r w:rsidRPr="001848F3">
        <w:rPr>
          <w:sz w:val="26"/>
          <w:szCs w:val="26"/>
        </w:rPr>
        <w:t xml:space="preserve">s notice to the Commission, containing changes in rates to provide for the recovery of its costs of purchased gas, consistent with the terms and conditions of the Partial Settlement and the </w:t>
      </w:r>
      <w:r w:rsidR="003907BE" w:rsidRPr="001848F3">
        <w:rPr>
          <w:sz w:val="26"/>
          <w:szCs w:val="26"/>
        </w:rPr>
        <w:t>2.0% conventional gas producers retainage charge</w:t>
      </w:r>
      <w:r w:rsidRPr="001848F3">
        <w:rPr>
          <w:sz w:val="26"/>
          <w:szCs w:val="26"/>
        </w:rPr>
        <w:t xml:space="preserve">. </w:t>
      </w:r>
    </w:p>
    <w:bookmarkEnd w:id="55"/>
    <w:p w14:paraId="51C6C6FC" w14:textId="77777777" w:rsidR="00B8465E" w:rsidRPr="001848F3" w:rsidRDefault="00B8465E" w:rsidP="007374FA">
      <w:pPr>
        <w:pStyle w:val="NoSpacing"/>
        <w:spacing w:line="360" w:lineRule="auto"/>
        <w:ind w:left="1440"/>
        <w:rPr>
          <w:sz w:val="26"/>
          <w:szCs w:val="26"/>
        </w:rPr>
      </w:pPr>
    </w:p>
    <w:p w14:paraId="51CC81B8" w14:textId="135D1A84" w:rsidR="003907BE" w:rsidRPr="003907BE" w:rsidRDefault="003907BE" w:rsidP="007374FA">
      <w:pPr>
        <w:pStyle w:val="NoSpacing"/>
        <w:numPr>
          <w:ilvl w:val="0"/>
          <w:numId w:val="11"/>
        </w:numPr>
        <w:spacing w:line="360" w:lineRule="auto"/>
        <w:ind w:left="0" w:firstLine="1440"/>
        <w:rPr>
          <w:sz w:val="26"/>
          <w:szCs w:val="26"/>
        </w:rPr>
      </w:pPr>
      <w:bookmarkStart w:id="56" w:name="_Hlk523914758"/>
      <w:r w:rsidRPr="003907BE">
        <w:rPr>
          <w:sz w:val="26"/>
          <w:szCs w:val="26"/>
        </w:rPr>
        <w:t>T</w:t>
      </w:r>
      <w:r w:rsidR="0026638B" w:rsidRPr="003907BE">
        <w:rPr>
          <w:sz w:val="26"/>
          <w:szCs w:val="26"/>
        </w:rPr>
        <w:t>hat Peoples Natural Gas Company LLC, the Pennsylvania Public Utility Commission</w:t>
      </w:r>
      <w:r w:rsidR="00734951">
        <w:rPr>
          <w:sz w:val="26"/>
          <w:szCs w:val="26"/>
        </w:rPr>
        <w:t>’</w:t>
      </w:r>
      <w:r w:rsidR="0026638B" w:rsidRPr="003907BE">
        <w:rPr>
          <w:sz w:val="26"/>
          <w:szCs w:val="26"/>
        </w:rPr>
        <w:t xml:space="preserve">s Bureau of Investigation and Enforcement, the Office of Consumer Advocate, and the Office of Small Business Advocate shall comply with the terms and conditions of the Partial Settlement submitted in this proceeding as though each term and condition stated therein had been subject of an individual ordering paragraph. </w:t>
      </w:r>
    </w:p>
    <w:bookmarkEnd w:id="56"/>
    <w:p w14:paraId="2D995752" w14:textId="77777777" w:rsidR="003907BE" w:rsidRDefault="003907BE" w:rsidP="007374FA">
      <w:pPr>
        <w:pStyle w:val="NoSpacing"/>
        <w:spacing w:line="360" w:lineRule="auto"/>
        <w:ind w:left="1440"/>
        <w:rPr>
          <w:sz w:val="23"/>
          <w:szCs w:val="23"/>
        </w:rPr>
      </w:pPr>
    </w:p>
    <w:p w14:paraId="6EB7B8B5" w14:textId="551AA1DE" w:rsidR="0026638B" w:rsidRDefault="0026638B" w:rsidP="007374FA">
      <w:pPr>
        <w:pStyle w:val="NoSpacing"/>
        <w:numPr>
          <w:ilvl w:val="0"/>
          <w:numId w:val="11"/>
        </w:numPr>
        <w:spacing w:line="360" w:lineRule="auto"/>
        <w:ind w:left="0" w:firstLine="1440"/>
        <w:rPr>
          <w:sz w:val="26"/>
          <w:szCs w:val="26"/>
        </w:rPr>
      </w:pPr>
      <w:bookmarkStart w:id="57" w:name="_Hlk523914861"/>
      <w:r w:rsidRPr="003907BE">
        <w:rPr>
          <w:sz w:val="26"/>
          <w:szCs w:val="26"/>
        </w:rPr>
        <w:t>That upon Peoples Natural Gas Company LLC</w:t>
      </w:r>
      <w:r w:rsidR="00734951">
        <w:rPr>
          <w:sz w:val="26"/>
          <w:szCs w:val="26"/>
        </w:rPr>
        <w:t>’</w:t>
      </w:r>
      <w:r w:rsidRPr="003907BE">
        <w:rPr>
          <w:sz w:val="26"/>
          <w:szCs w:val="26"/>
        </w:rPr>
        <w:t xml:space="preserve">s filing of tariff supplements acceptable to the Commission as conforming with this </w:t>
      </w:r>
      <w:r w:rsidR="003907BE" w:rsidRPr="003907BE">
        <w:rPr>
          <w:sz w:val="26"/>
          <w:szCs w:val="26"/>
        </w:rPr>
        <w:t xml:space="preserve">Opinion and </w:t>
      </w:r>
      <w:r w:rsidRPr="003907BE">
        <w:rPr>
          <w:sz w:val="26"/>
          <w:szCs w:val="26"/>
        </w:rPr>
        <w:t>Order and the Partial Settlement, the purchased gas rates established therein shall become effective for service rendered on and after October 1, 2018</w:t>
      </w:r>
      <w:bookmarkEnd w:id="57"/>
      <w:r w:rsidRPr="003907BE">
        <w:rPr>
          <w:sz w:val="26"/>
          <w:szCs w:val="26"/>
        </w:rPr>
        <w:t xml:space="preserve">. </w:t>
      </w:r>
      <w:r w:rsidR="003907BE">
        <w:rPr>
          <w:sz w:val="26"/>
          <w:szCs w:val="26"/>
        </w:rPr>
        <w:t xml:space="preserve"> </w:t>
      </w:r>
    </w:p>
    <w:p w14:paraId="1935E261" w14:textId="77777777" w:rsidR="003907BE" w:rsidRDefault="003907BE" w:rsidP="007374FA">
      <w:pPr>
        <w:pStyle w:val="ListParagraph"/>
        <w:widowControl/>
        <w:spacing w:line="360" w:lineRule="auto"/>
        <w:rPr>
          <w:sz w:val="26"/>
          <w:szCs w:val="26"/>
        </w:rPr>
      </w:pPr>
    </w:p>
    <w:p w14:paraId="433A68FF" w14:textId="1AD9D536" w:rsidR="003907BE" w:rsidRPr="003907BE" w:rsidRDefault="003907BE" w:rsidP="007374FA">
      <w:pPr>
        <w:pStyle w:val="Default"/>
        <w:numPr>
          <w:ilvl w:val="0"/>
          <w:numId w:val="11"/>
        </w:numPr>
        <w:spacing w:line="360" w:lineRule="auto"/>
        <w:ind w:left="0" w:firstLine="1440"/>
        <w:rPr>
          <w:color w:val="auto"/>
          <w:sz w:val="26"/>
          <w:szCs w:val="26"/>
        </w:rPr>
      </w:pPr>
      <w:bookmarkStart w:id="58" w:name="_Hlk523914921"/>
      <w:r w:rsidRPr="003907BE">
        <w:rPr>
          <w:color w:val="auto"/>
          <w:sz w:val="26"/>
          <w:szCs w:val="26"/>
        </w:rPr>
        <w:t>That Peoples Natural Gas Company LL</w:t>
      </w:r>
      <w:r w:rsidR="0098474E">
        <w:rPr>
          <w:color w:val="auto"/>
          <w:sz w:val="26"/>
          <w:szCs w:val="26"/>
        </w:rPr>
        <w:t>C</w:t>
      </w:r>
      <w:r w:rsidRPr="003907BE">
        <w:rPr>
          <w:color w:val="auto"/>
          <w:sz w:val="26"/>
          <w:szCs w:val="26"/>
        </w:rPr>
        <w:t xml:space="preserve"> </w:t>
      </w:r>
      <w:r w:rsidR="0098474E">
        <w:rPr>
          <w:color w:val="auto"/>
          <w:sz w:val="26"/>
          <w:szCs w:val="26"/>
        </w:rPr>
        <w:t>– Peoples Division</w:t>
      </w:r>
      <w:r w:rsidR="00734951">
        <w:rPr>
          <w:color w:val="auto"/>
          <w:sz w:val="26"/>
          <w:szCs w:val="26"/>
        </w:rPr>
        <w:t>’</w:t>
      </w:r>
      <w:r w:rsidR="0098474E">
        <w:rPr>
          <w:color w:val="auto"/>
          <w:sz w:val="26"/>
          <w:szCs w:val="26"/>
        </w:rPr>
        <w:t xml:space="preserve">s </w:t>
      </w:r>
      <w:r w:rsidRPr="003907BE">
        <w:rPr>
          <w:color w:val="auto"/>
          <w:sz w:val="26"/>
          <w:szCs w:val="26"/>
        </w:rPr>
        <w:t>proposal to charge conventional gas producers a retainage rate of 2.0% for gas delivered into the Company</w:t>
      </w:r>
      <w:r w:rsidR="00734951">
        <w:rPr>
          <w:color w:val="auto"/>
          <w:sz w:val="26"/>
          <w:szCs w:val="26"/>
        </w:rPr>
        <w:t>’</w:t>
      </w:r>
      <w:r w:rsidRPr="003907BE">
        <w:rPr>
          <w:color w:val="auto"/>
          <w:sz w:val="26"/>
          <w:szCs w:val="26"/>
        </w:rPr>
        <w:t xml:space="preserve">s system is hereby approved. </w:t>
      </w:r>
      <w:r w:rsidR="00153BD6">
        <w:rPr>
          <w:color w:val="auto"/>
          <w:sz w:val="26"/>
          <w:szCs w:val="26"/>
        </w:rPr>
        <w:t xml:space="preserve"> </w:t>
      </w:r>
    </w:p>
    <w:bookmarkEnd w:id="58"/>
    <w:p w14:paraId="32DADC99" w14:textId="77777777" w:rsidR="003907BE" w:rsidRPr="003907BE" w:rsidRDefault="003907BE" w:rsidP="007374FA">
      <w:pPr>
        <w:pStyle w:val="Default"/>
        <w:spacing w:line="360" w:lineRule="auto"/>
        <w:ind w:left="1440"/>
        <w:rPr>
          <w:color w:val="auto"/>
          <w:sz w:val="26"/>
          <w:szCs w:val="26"/>
        </w:rPr>
      </w:pPr>
    </w:p>
    <w:p w14:paraId="114DAAE2" w14:textId="77777777" w:rsidR="00153BD6" w:rsidRDefault="00153BD6" w:rsidP="007374FA">
      <w:pPr>
        <w:pStyle w:val="Default"/>
        <w:numPr>
          <w:ilvl w:val="0"/>
          <w:numId w:val="11"/>
        </w:numPr>
        <w:spacing w:line="360" w:lineRule="auto"/>
        <w:ind w:left="0" w:firstLine="1440"/>
        <w:rPr>
          <w:color w:val="auto"/>
          <w:sz w:val="26"/>
          <w:szCs w:val="26"/>
        </w:rPr>
      </w:pPr>
      <w:bookmarkStart w:id="59" w:name="_Hlk523915029"/>
      <w:r w:rsidRPr="00153BD6">
        <w:rPr>
          <w:color w:val="auto"/>
          <w:sz w:val="26"/>
          <w:szCs w:val="26"/>
        </w:rPr>
        <w:t xml:space="preserve">That Peoples Natural Gas Company LLC shall file tariff supplements to be effective October 1, 2018, which set forth the producer retainage charge of 2.0% as approved herein. </w:t>
      </w:r>
    </w:p>
    <w:bookmarkEnd w:id="59"/>
    <w:p w14:paraId="6BA156A6" w14:textId="77777777" w:rsidR="00227C5B" w:rsidRDefault="00227C5B" w:rsidP="007374FA">
      <w:pPr>
        <w:pStyle w:val="ListParagraph"/>
        <w:widowControl/>
        <w:spacing w:line="360" w:lineRule="auto"/>
        <w:rPr>
          <w:sz w:val="26"/>
          <w:szCs w:val="26"/>
        </w:rPr>
      </w:pPr>
    </w:p>
    <w:p w14:paraId="27860123" w14:textId="6F46E734" w:rsidR="00227C5B" w:rsidRPr="00227C5B" w:rsidRDefault="00227C5B" w:rsidP="007374FA">
      <w:pPr>
        <w:pStyle w:val="Default"/>
        <w:numPr>
          <w:ilvl w:val="0"/>
          <w:numId w:val="11"/>
        </w:numPr>
        <w:spacing w:line="360" w:lineRule="auto"/>
        <w:ind w:left="0" w:firstLine="1440"/>
        <w:rPr>
          <w:color w:val="auto"/>
          <w:sz w:val="26"/>
          <w:szCs w:val="26"/>
        </w:rPr>
      </w:pPr>
      <w:r w:rsidRPr="00227C5B">
        <w:rPr>
          <w:color w:val="auto"/>
          <w:sz w:val="26"/>
          <w:szCs w:val="26"/>
        </w:rPr>
        <w:t xml:space="preserve">That Peoples Natural Gas Company LLC shall file tariff supplements to be effective October 1, 2018, which set forth </w:t>
      </w:r>
      <w:r>
        <w:rPr>
          <w:color w:val="auto"/>
          <w:sz w:val="26"/>
          <w:szCs w:val="26"/>
        </w:rPr>
        <w:t xml:space="preserve">a </w:t>
      </w:r>
      <w:r w:rsidRPr="00227C5B">
        <w:rPr>
          <w:color w:val="auto"/>
          <w:sz w:val="26"/>
          <w:szCs w:val="26"/>
        </w:rPr>
        <w:t xml:space="preserve">2.0% minimum retainage charge for </w:t>
      </w:r>
      <w:r w:rsidR="0098474E">
        <w:rPr>
          <w:color w:val="auto"/>
          <w:sz w:val="26"/>
          <w:szCs w:val="26"/>
        </w:rPr>
        <w:t>the Companies</w:t>
      </w:r>
      <w:r w:rsidR="00734951">
        <w:rPr>
          <w:color w:val="auto"/>
          <w:sz w:val="26"/>
          <w:szCs w:val="26"/>
        </w:rPr>
        <w:t>’</w:t>
      </w:r>
      <w:r w:rsidR="0098474E">
        <w:rPr>
          <w:color w:val="auto"/>
          <w:sz w:val="26"/>
          <w:szCs w:val="26"/>
        </w:rPr>
        <w:t xml:space="preserve"> </w:t>
      </w:r>
      <w:r w:rsidRPr="00227C5B">
        <w:rPr>
          <w:color w:val="auto"/>
          <w:sz w:val="26"/>
          <w:szCs w:val="26"/>
        </w:rPr>
        <w:t xml:space="preserve">Equitable Division, as approved herein. </w:t>
      </w:r>
    </w:p>
    <w:p w14:paraId="5AE665AB" w14:textId="77777777" w:rsidR="00153BD6" w:rsidRPr="00153BD6" w:rsidRDefault="00153BD6" w:rsidP="007374FA">
      <w:pPr>
        <w:pStyle w:val="Default"/>
        <w:spacing w:line="360" w:lineRule="auto"/>
        <w:rPr>
          <w:color w:val="auto"/>
          <w:sz w:val="26"/>
          <w:szCs w:val="26"/>
        </w:rPr>
      </w:pPr>
    </w:p>
    <w:p w14:paraId="53D735AD" w14:textId="77777777" w:rsidR="00A70837" w:rsidRDefault="00A70837" w:rsidP="007374FA">
      <w:pPr>
        <w:pStyle w:val="Default"/>
        <w:numPr>
          <w:ilvl w:val="0"/>
          <w:numId w:val="11"/>
        </w:numPr>
        <w:spacing w:line="360" w:lineRule="auto"/>
        <w:ind w:left="0" w:firstLine="1440"/>
        <w:rPr>
          <w:color w:val="auto"/>
          <w:sz w:val="26"/>
          <w:szCs w:val="26"/>
        </w:rPr>
      </w:pPr>
      <w:r w:rsidRPr="00A70837">
        <w:rPr>
          <w:color w:val="auto"/>
          <w:sz w:val="26"/>
          <w:szCs w:val="26"/>
        </w:rPr>
        <w:t xml:space="preserve">That the </w:t>
      </w:r>
      <w:r w:rsidR="00B25113">
        <w:rPr>
          <w:color w:val="auto"/>
          <w:sz w:val="26"/>
          <w:szCs w:val="26"/>
        </w:rPr>
        <w:t>C</w:t>
      </w:r>
      <w:r w:rsidRPr="00A70837">
        <w:rPr>
          <w:color w:val="auto"/>
          <w:sz w:val="26"/>
          <w:szCs w:val="26"/>
        </w:rPr>
        <w:t>omplaints filed by the Office of Consumer Advocate in these proceedings at Docket Nos. C-2018-3000494 and C-2018-3000496</w:t>
      </w:r>
      <w:r w:rsidR="00B25113">
        <w:rPr>
          <w:color w:val="auto"/>
          <w:sz w:val="26"/>
          <w:szCs w:val="26"/>
        </w:rPr>
        <w:t>,</w:t>
      </w:r>
      <w:r w:rsidRPr="00A70837">
        <w:rPr>
          <w:color w:val="auto"/>
          <w:sz w:val="26"/>
          <w:szCs w:val="26"/>
        </w:rPr>
        <w:t xml:space="preserve"> be deemed satisfied and marked closed. </w:t>
      </w:r>
    </w:p>
    <w:p w14:paraId="0232FE8D" w14:textId="77777777" w:rsidR="009F702D" w:rsidRDefault="009F702D" w:rsidP="007374FA">
      <w:pPr>
        <w:pStyle w:val="ListParagraph"/>
        <w:widowControl/>
        <w:spacing w:line="360" w:lineRule="auto"/>
        <w:rPr>
          <w:sz w:val="26"/>
          <w:szCs w:val="26"/>
        </w:rPr>
      </w:pPr>
    </w:p>
    <w:p w14:paraId="795C0C62" w14:textId="77777777" w:rsidR="00FC166F" w:rsidRDefault="00B25113" w:rsidP="007374FA">
      <w:pPr>
        <w:pStyle w:val="Default"/>
        <w:numPr>
          <w:ilvl w:val="0"/>
          <w:numId w:val="11"/>
        </w:numPr>
        <w:spacing w:line="360" w:lineRule="auto"/>
        <w:ind w:left="0" w:firstLine="1440"/>
        <w:rPr>
          <w:color w:val="auto"/>
          <w:sz w:val="26"/>
          <w:szCs w:val="26"/>
        </w:rPr>
      </w:pPr>
      <w:r w:rsidRPr="00227C5B">
        <w:rPr>
          <w:color w:val="auto"/>
          <w:sz w:val="26"/>
          <w:szCs w:val="26"/>
        </w:rPr>
        <w:t xml:space="preserve">That the Complaints filed by the Office of Small Business Advocate in these proceedings at Docket Nos. C-2018-3000567 and C-2018-3000573, be deemed satisfied and marked closed. </w:t>
      </w:r>
      <w:r w:rsidR="00B8465E" w:rsidRPr="00227C5B">
        <w:rPr>
          <w:color w:val="auto"/>
          <w:sz w:val="26"/>
          <w:szCs w:val="26"/>
        </w:rPr>
        <w:t xml:space="preserve"> </w:t>
      </w:r>
    </w:p>
    <w:p w14:paraId="5B540F67" w14:textId="77777777" w:rsidR="00FC166F" w:rsidRDefault="00FC166F" w:rsidP="007374FA">
      <w:pPr>
        <w:pStyle w:val="Default"/>
        <w:spacing w:line="360" w:lineRule="auto"/>
        <w:ind w:left="1440"/>
        <w:rPr>
          <w:color w:val="auto"/>
          <w:sz w:val="26"/>
          <w:szCs w:val="26"/>
        </w:rPr>
      </w:pPr>
    </w:p>
    <w:p w14:paraId="42DFC04E" w14:textId="15B7A255" w:rsidR="00FC166F" w:rsidRDefault="00FC166F" w:rsidP="007374FA">
      <w:pPr>
        <w:pStyle w:val="ListParagraph"/>
        <w:widowControl/>
        <w:numPr>
          <w:ilvl w:val="0"/>
          <w:numId w:val="11"/>
        </w:numPr>
        <w:tabs>
          <w:tab w:val="left" w:pos="-720"/>
        </w:tabs>
        <w:spacing w:line="360" w:lineRule="auto"/>
        <w:ind w:left="0" w:firstLine="1440"/>
        <w:rPr>
          <w:sz w:val="26"/>
          <w:szCs w:val="26"/>
        </w:rPr>
      </w:pPr>
      <w:r w:rsidRPr="00FC166F">
        <w:rPr>
          <w:sz w:val="26"/>
          <w:szCs w:val="26"/>
        </w:rPr>
        <w:t xml:space="preserve">That, concurrent with the submission of the information required by 52 Pa. Code § 53.64 (c) to be filed in advance of Peoples </w:t>
      </w:r>
      <w:r>
        <w:rPr>
          <w:sz w:val="26"/>
          <w:szCs w:val="26"/>
        </w:rPr>
        <w:t xml:space="preserve">Natural </w:t>
      </w:r>
      <w:r w:rsidRPr="00FC166F">
        <w:rPr>
          <w:sz w:val="26"/>
          <w:szCs w:val="26"/>
        </w:rPr>
        <w:t>Gas Company LLC</w:t>
      </w:r>
      <w:r w:rsidR="00734951">
        <w:rPr>
          <w:sz w:val="26"/>
          <w:szCs w:val="26"/>
        </w:rPr>
        <w:t>’</w:t>
      </w:r>
      <w:r w:rsidRPr="00FC166F">
        <w:rPr>
          <w:sz w:val="26"/>
          <w:szCs w:val="26"/>
        </w:rPr>
        <w:t>s next annual tariff filed pursuant to 66 Pa. C.S. § 1307(f), Peoples</w:t>
      </w:r>
      <w:r>
        <w:rPr>
          <w:sz w:val="26"/>
          <w:szCs w:val="26"/>
        </w:rPr>
        <w:t xml:space="preserve"> Natural</w:t>
      </w:r>
      <w:r w:rsidRPr="00FC166F">
        <w:rPr>
          <w:sz w:val="26"/>
          <w:szCs w:val="26"/>
        </w:rPr>
        <w:t xml:space="preserve"> Gas Company </w:t>
      </w:r>
      <w:r w:rsidRPr="00FC166F">
        <w:rPr>
          <w:sz w:val="26"/>
          <w:szCs w:val="26"/>
        </w:rPr>
        <w:lastRenderedPageBreak/>
        <w:t>LLC, shall submit a cost allocation study, supported by either empirical evidence or compelling logic, to determine more accurately what portion of UFG costs should be recovered from conventional gas producers.</w:t>
      </w:r>
    </w:p>
    <w:p w14:paraId="112BD30F" w14:textId="6A5A8975" w:rsidR="00FC166F" w:rsidRPr="009056BA" w:rsidRDefault="00FC166F" w:rsidP="007374FA">
      <w:pPr>
        <w:pStyle w:val="Default"/>
        <w:spacing w:line="360" w:lineRule="auto"/>
      </w:pPr>
    </w:p>
    <w:p w14:paraId="594C9308" w14:textId="77777777" w:rsidR="00B8465E" w:rsidRPr="00227C5B" w:rsidRDefault="00B8465E" w:rsidP="007374FA">
      <w:pPr>
        <w:pStyle w:val="Default"/>
        <w:numPr>
          <w:ilvl w:val="0"/>
          <w:numId w:val="11"/>
        </w:numPr>
        <w:spacing w:line="360" w:lineRule="auto"/>
        <w:ind w:left="0" w:firstLine="1440"/>
        <w:rPr>
          <w:color w:val="auto"/>
          <w:sz w:val="26"/>
          <w:szCs w:val="26"/>
        </w:rPr>
      </w:pPr>
      <w:r w:rsidRPr="00227C5B">
        <w:rPr>
          <w:color w:val="auto"/>
          <w:sz w:val="26"/>
          <w:szCs w:val="26"/>
        </w:rPr>
        <w:t xml:space="preserve">That the investigations at Docket Nos. R-2018-2645278 and R-2018-3000236 be marked closed. </w:t>
      </w:r>
    </w:p>
    <w:p w14:paraId="69B176AA" w14:textId="77777777" w:rsidR="00B8465E" w:rsidRPr="000452A6" w:rsidRDefault="00B8465E" w:rsidP="007374FA">
      <w:pPr>
        <w:widowControl/>
        <w:tabs>
          <w:tab w:val="left" w:pos="1445"/>
          <w:tab w:val="left" w:pos="7920"/>
        </w:tabs>
        <w:autoSpaceDE w:val="0"/>
        <w:autoSpaceDN w:val="0"/>
        <w:adjustRightInd w:val="0"/>
        <w:spacing w:line="360" w:lineRule="auto"/>
        <w:rPr>
          <w:sz w:val="26"/>
          <w:szCs w:val="26"/>
        </w:rPr>
      </w:pPr>
    </w:p>
    <w:p w14:paraId="58225304" w14:textId="77777777" w:rsidR="00B8465E" w:rsidRDefault="00B8465E" w:rsidP="007374FA">
      <w:pPr>
        <w:widowControl/>
        <w:tabs>
          <w:tab w:val="left" w:pos="1445"/>
          <w:tab w:val="left" w:pos="7920"/>
        </w:tabs>
        <w:autoSpaceDE w:val="0"/>
        <w:autoSpaceDN w:val="0"/>
        <w:adjustRightInd w:val="0"/>
        <w:spacing w:line="360" w:lineRule="auto"/>
        <w:rPr>
          <w:sz w:val="26"/>
          <w:szCs w:val="26"/>
        </w:rPr>
      </w:pPr>
    </w:p>
    <w:p w14:paraId="37D79293" w14:textId="45AC8BF0" w:rsidR="00B8465E" w:rsidRPr="001C311E" w:rsidRDefault="00123C4E" w:rsidP="007374FA">
      <w:pPr>
        <w:pStyle w:val="NoSpacing"/>
        <w:keepNext/>
        <w:keepLines/>
        <w:spacing w:line="360" w:lineRule="auto"/>
        <w:ind w:firstLine="1440"/>
        <w:rPr>
          <w:spacing w:val="-3"/>
          <w:sz w:val="26"/>
          <w:szCs w:val="26"/>
        </w:rPr>
      </w:pPr>
      <w:r>
        <w:rPr>
          <w:noProof/>
        </w:rPr>
        <w:drawing>
          <wp:anchor distT="0" distB="0" distL="114300" distR="114300" simplePos="0" relativeHeight="251659264" behindDoc="1" locked="0" layoutInCell="1" allowOverlap="1" wp14:anchorId="529D206F" wp14:editId="6678BEE6">
            <wp:simplePos x="0" y="0"/>
            <wp:positionH relativeFrom="column">
              <wp:posOffset>3171825</wp:posOffset>
            </wp:positionH>
            <wp:positionV relativeFrom="paragraph">
              <wp:posOffset>208280</wp:posOffset>
            </wp:positionV>
            <wp:extent cx="2200275" cy="838200"/>
            <wp:effectExtent l="0" t="0" r="9525"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200275" cy="8382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41EEE3D" w14:textId="22F5AAF7" w:rsidR="00B8465E" w:rsidRPr="00DC5D5C" w:rsidRDefault="00B8465E" w:rsidP="007374FA">
      <w:pPr>
        <w:pStyle w:val="ListParagraph"/>
        <w:keepNext/>
        <w:keepLines/>
        <w:widowControl/>
        <w:ind w:left="0"/>
        <w:rPr>
          <w:b/>
          <w:spacing w:val="-3"/>
          <w:sz w:val="26"/>
          <w:szCs w:val="26"/>
        </w:rPr>
      </w:pPr>
      <w:r w:rsidRPr="00DC5D5C">
        <w:rPr>
          <w:b/>
          <w:spacing w:val="-3"/>
          <w:sz w:val="26"/>
          <w:szCs w:val="26"/>
        </w:rPr>
        <w:tab/>
      </w:r>
      <w:r w:rsidRPr="00DC5D5C">
        <w:rPr>
          <w:b/>
          <w:spacing w:val="-3"/>
          <w:sz w:val="26"/>
          <w:szCs w:val="26"/>
        </w:rPr>
        <w:tab/>
      </w:r>
      <w:r w:rsidRPr="00DC5D5C">
        <w:rPr>
          <w:b/>
          <w:spacing w:val="-3"/>
          <w:sz w:val="26"/>
          <w:szCs w:val="26"/>
        </w:rPr>
        <w:tab/>
      </w:r>
      <w:r w:rsidRPr="00DC5D5C">
        <w:rPr>
          <w:b/>
          <w:spacing w:val="-3"/>
          <w:sz w:val="26"/>
          <w:szCs w:val="26"/>
        </w:rPr>
        <w:tab/>
      </w:r>
      <w:r w:rsidRPr="00DC5D5C">
        <w:rPr>
          <w:b/>
          <w:spacing w:val="-3"/>
          <w:sz w:val="26"/>
          <w:szCs w:val="26"/>
        </w:rPr>
        <w:tab/>
      </w:r>
      <w:r w:rsidRPr="00DC5D5C">
        <w:rPr>
          <w:b/>
          <w:spacing w:val="-3"/>
          <w:sz w:val="26"/>
          <w:szCs w:val="26"/>
        </w:rPr>
        <w:tab/>
      </w:r>
      <w:r w:rsidRPr="00DC5D5C">
        <w:rPr>
          <w:b/>
          <w:spacing w:val="-3"/>
          <w:sz w:val="26"/>
          <w:szCs w:val="26"/>
        </w:rPr>
        <w:tab/>
        <w:t>BY THE COMMISSION,</w:t>
      </w:r>
    </w:p>
    <w:p w14:paraId="11A67607" w14:textId="77777777" w:rsidR="00B8465E" w:rsidRDefault="00B8465E" w:rsidP="007374FA">
      <w:pPr>
        <w:keepNext/>
        <w:keepLines/>
        <w:widowControl/>
        <w:tabs>
          <w:tab w:val="left" w:pos="-720"/>
        </w:tabs>
        <w:suppressAutoHyphens/>
        <w:rPr>
          <w:spacing w:val="-3"/>
          <w:sz w:val="26"/>
          <w:szCs w:val="26"/>
        </w:rPr>
      </w:pPr>
    </w:p>
    <w:p w14:paraId="3A0A922E" w14:textId="77777777" w:rsidR="00B8465E" w:rsidRDefault="00B8465E" w:rsidP="007374FA">
      <w:pPr>
        <w:keepNext/>
        <w:keepLines/>
        <w:widowControl/>
        <w:tabs>
          <w:tab w:val="left" w:pos="-720"/>
        </w:tabs>
        <w:suppressAutoHyphens/>
        <w:rPr>
          <w:spacing w:val="-3"/>
          <w:sz w:val="26"/>
          <w:szCs w:val="26"/>
        </w:rPr>
      </w:pPr>
    </w:p>
    <w:p w14:paraId="4296CBEC" w14:textId="77777777" w:rsidR="00B8465E" w:rsidRPr="001C311E" w:rsidRDefault="00B8465E" w:rsidP="007374FA">
      <w:pPr>
        <w:keepNext/>
        <w:keepLines/>
        <w:widowControl/>
        <w:tabs>
          <w:tab w:val="left" w:pos="-720"/>
        </w:tabs>
        <w:suppressAutoHyphens/>
        <w:rPr>
          <w:spacing w:val="-3"/>
          <w:sz w:val="26"/>
          <w:szCs w:val="26"/>
        </w:rPr>
      </w:pPr>
      <w:r w:rsidRPr="001C311E">
        <w:rPr>
          <w:spacing w:val="-3"/>
          <w:sz w:val="26"/>
          <w:szCs w:val="26"/>
        </w:rPr>
        <w:tab/>
      </w:r>
      <w:r w:rsidRPr="001C311E">
        <w:rPr>
          <w:spacing w:val="-3"/>
          <w:sz w:val="26"/>
          <w:szCs w:val="26"/>
        </w:rPr>
        <w:tab/>
      </w:r>
      <w:r w:rsidRPr="001C311E">
        <w:rPr>
          <w:spacing w:val="-3"/>
          <w:sz w:val="26"/>
          <w:szCs w:val="26"/>
        </w:rPr>
        <w:tab/>
      </w:r>
      <w:r w:rsidRPr="001C311E">
        <w:rPr>
          <w:spacing w:val="-3"/>
          <w:sz w:val="26"/>
          <w:szCs w:val="26"/>
        </w:rPr>
        <w:tab/>
      </w:r>
      <w:r w:rsidRPr="001C311E">
        <w:rPr>
          <w:spacing w:val="-3"/>
          <w:sz w:val="26"/>
          <w:szCs w:val="26"/>
        </w:rPr>
        <w:tab/>
      </w:r>
      <w:r w:rsidRPr="001C311E">
        <w:rPr>
          <w:spacing w:val="-3"/>
          <w:sz w:val="26"/>
          <w:szCs w:val="26"/>
        </w:rPr>
        <w:tab/>
      </w:r>
      <w:r w:rsidRPr="001C311E">
        <w:rPr>
          <w:spacing w:val="-3"/>
          <w:sz w:val="26"/>
          <w:szCs w:val="26"/>
        </w:rPr>
        <w:tab/>
        <w:t>Rosemary Chiavetta</w:t>
      </w:r>
    </w:p>
    <w:p w14:paraId="2E19F514" w14:textId="77777777" w:rsidR="00B8465E" w:rsidRDefault="00B8465E" w:rsidP="007374FA">
      <w:pPr>
        <w:keepNext/>
        <w:keepLines/>
        <w:widowControl/>
        <w:tabs>
          <w:tab w:val="left" w:pos="-720"/>
        </w:tabs>
        <w:suppressAutoHyphens/>
        <w:rPr>
          <w:rFonts w:eastAsia="Calibri"/>
          <w:spacing w:val="-3"/>
          <w:sz w:val="26"/>
          <w:szCs w:val="26"/>
        </w:rPr>
      </w:pPr>
      <w:r w:rsidRPr="000E65A7">
        <w:rPr>
          <w:rFonts w:eastAsia="Calibri"/>
          <w:spacing w:val="-3"/>
          <w:sz w:val="26"/>
          <w:szCs w:val="26"/>
        </w:rPr>
        <w:tab/>
      </w:r>
      <w:r w:rsidRPr="000E65A7">
        <w:rPr>
          <w:rFonts w:eastAsia="Calibri"/>
          <w:spacing w:val="-3"/>
          <w:sz w:val="26"/>
          <w:szCs w:val="26"/>
        </w:rPr>
        <w:tab/>
      </w:r>
      <w:r w:rsidRPr="000E65A7">
        <w:rPr>
          <w:rFonts w:eastAsia="Calibri"/>
          <w:spacing w:val="-3"/>
          <w:sz w:val="26"/>
          <w:szCs w:val="26"/>
        </w:rPr>
        <w:tab/>
      </w:r>
      <w:r w:rsidRPr="000E65A7">
        <w:rPr>
          <w:rFonts w:eastAsia="Calibri"/>
          <w:spacing w:val="-3"/>
          <w:sz w:val="26"/>
          <w:szCs w:val="26"/>
        </w:rPr>
        <w:tab/>
      </w:r>
      <w:r w:rsidRPr="000E65A7">
        <w:rPr>
          <w:rFonts w:eastAsia="Calibri"/>
          <w:spacing w:val="-3"/>
          <w:sz w:val="26"/>
          <w:szCs w:val="26"/>
        </w:rPr>
        <w:tab/>
      </w:r>
      <w:r w:rsidRPr="000E65A7">
        <w:rPr>
          <w:rFonts w:eastAsia="Calibri"/>
          <w:spacing w:val="-3"/>
          <w:sz w:val="26"/>
          <w:szCs w:val="26"/>
        </w:rPr>
        <w:tab/>
      </w:r>
      <w:r w:rsidRPr="000E65A7">
        <w:rPr>
          <w:rFonts w:eastAsia="Calibri"/>
          <w:spacing w:val="-3"/>
          <w:sz w:val="26"/>
          <w:szCs w:val="26"/>
        </w:rPr>
        <w:tab/>
        <w:t>Secretary</w:t>
      </w:r>
    </w:p>
    <w:p w14:paraId="34DBB9A9" w14:textId="77777777" w:rsidR="00B8465E" w:rsidRDefault="00B8465E" w:rsidP="007374FA">
      <w:pPr>
        <w:keepNext/>
        <w:keepLines/>
        <w:widowControl/>
        <w:tabs>
          <w:tab w:val="left" w:pos="-720"/>
        </w:tabs>
        <w:suppressAutoHyphens/>
        <w:rPr>
          <w:rFonts w:eastAsia="Calibri"/>
          <w:spacing w:val="-3"/>
          <w:sz w:val="26"/>
          <w:szCs w:val="26"/>
        </w:rPr>
      </w:pPr>
    </w:p>
    <w:p w14:paraId="6C6E677A" w14:textId="77777777" w:rsidR="00B8465E" w:rsidRPr="000E65A7" w:rsidRDefault="00B8465E" w:rsidP="007374FA">
      <w:pPr>
        <w:keepNext/>
        <w:keepLines/>
        <w:widowControl/>
        <w:tabs>
          <w:tab w:val="left" w:pos="-720"/>
        </w:tabs>
        <w:suppressAutoHyphens/>
        <w:rPr>
          <w:rFonts w:eastAsia="Calibri"/>
          <w:spacing w:val="-3"/>
          <w:sz w:val="26"/>
          <w:szCs w:val="26"/>
        </w:rPr>
      </w:pPr>
    </w:p>
    <w:p w14:paraId="6284A06A" w14:textId="77777777" w:rsidR="00B8465E" w:rsidRPr="000E65A7" w:rsidRDefault="00B8465E" w:rsidP="007374FA">
      <w:pPr>
        <w:pStyle w:val="BodyText3"/>
        <w:keepNext/>
        <w:keepLines/>
        <w:tabs>
          <w:tab w:val="left" w:pos="-720"/>
        </w:tabs>
        <w:suppressAutoHyphens/>
        <w:rPr>
          <w:rFonts w:ascii="Times New Roman" w:eastAsia="Calibri" w:hAnsi="Times New Roman"/>
          <w:spacing w:val="-3"/>
          <w:sz w:val="26"/>
          <w:szCs w:val="26"/>
        </w:rPr>
      </w:pPr>
      <w:r w:rsidRPr="000E65A7">
        <w:rPr>
          <w:rFonts w:ascii="Times New Roman" w:eastAsia="Calibri" w:hAnsi="Times New Roman"/>
          <w:spacing w:val="-3"/>
          <w:sz w:val="26"/>
          <w:szCs w:val="26"/>
        </w:rPr>
        <w:t>(SEAL)</w:t>
      </w:r>
    </w:p>
    <w:p w14:paraId="150AEE55" w14:textId="77777777" w:rsidR="00B8465E" w:rsidRDefault="00B8465E" w:rsidP="007374FA">
      <w:pPr>
        <w:keepNext/>
        <w:keepLines/>
        <w:widowControl/>
        <w:tabs>
          <w:tab w:val="left" w:pos="-720"/>
        </w:tabs>
        <w:suppressAutoHyphens/>
        <w:rPr>
          <w:spacing w:val="-3"/>
          <w:sz w:val="26"/>
          <w:szCs w:val="26"/>
        </w:rPr>
      </w:pPr>
    </w:p>
    <w:p w14:paraId="5F65F4F7" w14:textId="77777777" w:rsidR="00B8465E" w:rsidRPr="00B22DF6" w:rsidRDefault="00B8465E" w:rsidP="007374FA">
      <w:pPr>
        <w:keepNext/>
        <w:keepLines/>
        <w:widowControl/>
        <w:tabs>
          <w:tab w:val="left" w:pos="-720"/>
        </w:tabs>
        <w:suppressAutoHyphens/>
        <w:rPr>
          <w:spacing w:val="-3"/>
          <w:sz w:val="26"/>
          <w:szCs w:val="26"/>
        </w:rPr>
      </w:pPr>
      <w:r w:rsidRPr="00B22DF6">
        <w:rPr>
          <w:spacing w:val="-3"/>
          <w:sz w:val="26"/>
          <w:szCs w:val="26"/>
        </w:rPr>
        <w:t xml:space="preserve">ORDER ADOPTED:  </w:t>
      </w:r>
      <w:r>
        <w:rPr>
          <w:spacing w:val="-3"/>
          <w:sz w:val="26"/>
          <w:szCs w:val="26"/>
        </w:rPr>
        <w:t>September 20, 2018</w:t>
      </w:r>
    </w:p>
    <w:p w14:paraId="65738983" w14:textId="09F9C16A" w:rsidR="00B8465E" w:rsidRPr="009E5583" w:rsidRDefault="00B8465E" w:rsidP="007374FA">
      <w:pPr>
        <w:pStyle w:val="BodyText3"/>
        <w:keepNext/>
        <w:keepLines/>
        <w:tabs>
          <w:tab w:val="left" w:pos="-720"/>
        </w:tabs>
        <w:suppressAutoHyphens/>
      </w:pPr>
      <w:r w:rsidRPr="00B22DF6">
        <w:rPr>
          <w:rFonts w:ascii="Times New Roman" w:hAnsi="Times New Roman"/>
          <w:spacing w:val="-3"/>
          <w:sz w:val="26"/>
          <w:szCs w:val="26"/>
        </w:rPr>
        <w:t xml:space="preserve">ORDER ENTERED:  </w:t>
      </w:r>
      <w:r w:rsidR="00123C4E">
        <w:rPr>
          <w:rFonts w:ascii="Times New Roman" w:hAnsi="Times New Roman"/>
          <w:spacing w:val="-3"/>
          <w:sz w:val="26"/>
          <w:szCs w:val="26"/>
        </w:rPr>
        <w:t>September 20, 2018</w:t>
      </w:r>
    </w:p>
    <w:p w14:paraId="1C6F4201" w14:textId="77777777" w:rsidR="00B25113" w:rsidRPr="00B25113" w:rsidRDefault="00B25113" w:rsidP="007374FA">
      <w:pPr>
        <w:pStyle w:val="Default"/>
        <w:spacing w:line="360" w:lineRule="auto"/>
        <w:rPr>
          <w:color w:val="auto"/>
          <w:sz w:val="26"/>
          <w:szCs w:val="26"/>
        </w:rPr>
      </w:pPr>
    </w:p>
    <w:sectPr w:rsidR="00B25113" w:rsidRPr="00B25113" w:rsidSect="00643850">
      <w:pgSz w:w="12240" w:h="15840"/>
      <w:pgMar w:top="1440" w:right="1440" w:bottom="1440" w:left="1440"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79DF2D5" w14:textId="77777777" w:rsidR="00F0079B" w:rsidRDefault="00F0079B" w:rsidP="00F7174B">
      <w:r>
        <w:separator/>
      </w:r>
    </w:p>
    <w:p w14:paraId="6179C71E" w14:textId="77777777" w:rsidR="00F0079B" w:rsidRDefault="00F0079B"/>
    <w:p w14:paraId="17D8BFC3" w14:textId="77777777" w:rsidR="00F0079B" w:rsidRDefault="00F0079B" w:rsidP="00B944D5"/>
  </w:endnote>
  <w:endnote w:type="continuationSeparator" w:id="0">
    <w:p w14:paraId="75B15860" w14:textId="77777777" w:rsidR="00F0079B" w:rsidRDefault="00F0079B" w:rsidP="00F7174B">
      <w:r>
        <w:continuationSeparator/>
      </w:r>
    </w:p>
    <w:p w14:paraId="2F984234" w14:textId="77777777" w:rsidR="00F0079B" w:rsidRDefault="00F0079B"/>
    <w:p w14:paraId="7F308AF2" w14:textId="77777777" w:rsidR="00F0079B" w:rsidRDefault="00F0079B" w:rsidP="00B944D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129767956"/>
      <w:docPartObj>
        <w:docPartGallery w:val="Page Numbers (Bottom of Page)"/>
        <w:docPartUnique/>
      </w:docPartObj>
    </w:sdtPr>
    <w:sdtEndPr>
      <w:rPr>
        <w:noProof/>
        <w:sz w:val="26"/>
        <w:szCs w:val="26"/>
      </w:rPr>
    </w:sdtEndPr>
    <w:sdtContent>
      <w:p w14:paraId="05CFEB3D" w14:textId="7D8A69A4" w:rsidR="00734951" w:rsidRPr="002E5F97" w:rsidRDefault="00734951" w:rsidP="00B33C8D">
        <w:pPr>
          <w:pStyle w:val="Footer"/>
          <w:jc w:val="center"/>
          <w:rPr>
            <w:sz w:val="26"/>
            <w:szCs w:val="26"/>
          </w:rPr>
        </w:pPr>
        <w:r w:rsidRPr="009056BA">
          <w:rPr>
            <w:sz w:val="26"/>
            <w:szCs w:val="26"/>
          </w:rPr>
          <w:fldChar w:fldCharType="begin"/>
        </w:r>
        <w:r w:rsidRPr="002E5F97">
          <w:rPr>
            <w:sz w:val="26"/>
            <w:szCs w:val="26"/>
          </w:rPr>
          <w:instrText xml:space="preserve"> PAGE   \* MERGEFORMAT </w:instrText>
        </w:r>
        <w:r w:rsidRPr="009056BA">
          <w:rPr>
            <w:sz w:val="26"/>
            <w:szCs w:val="26"/>
          </w:rPr>
          <w:fldChar w:fldCharType="separate"/>
        </w:r>
        <w:r w:rsidRPr="002E5F97">
          <w:rPr>
            <w:noProof/>
            <w:sz w:val="26"/>
            <w:szCs w:val="26"/>
          </w:rPr>
          <w:t>19</w:t>
        </w:r>
        <w:r w:rsidRPr="009056BA">
          <w:rPr>
            <w:noProof/>
            <w:sz w:val="26"/>
            <w:szCs w:val="26"/>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4818303" w14:textId="77777777" w:rsidR="00734951" w:rsidRDefault="00734951" w:rsidP="009056BA">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8613FD9" w14:textId="77777777" w:rsidR="00F0079B" w:rsidRDefault="00F0079B" w:rsidP="00B944D5">
      <w:r>
        <w:separator/>
      </w:r>
    </w:p>
  </w:footnote>
  <w:footnote w:type="continuationSeparator" w:id="0">
    <w:p w14:paraId="0D6C706F" w14:textId="77777777" w:rsidR="00F0079B" w:rsidRDefault="00F0079B" w:rsidP="00F7174B">
      <w:r>
        <w:continuationSeparator/>
      </w:r>
    </w:p>
    <w:p w14:paraId="142206A1" w14:textId="77777777" w:rsidR="00F0079B" w:rsidRDefault="00F0079B"/>
    <w:p w14:paraId="7864F9B8" w14:textId="77777777" w:rsidR="00F0079B" w:rsidRDefault="00F0079B" w:rsidP="00B944D5"/>
  </w:footnote>
  <w:footnote w:id="1">
    <w:p w14:paraId="68D40695" w14:textId="6F36C52B" w:rsidR="00734951" w:rsidRPr="00411713" w:rsidRDefault="00734951" w:rsidP="00692991">
      <w:pPr>
        <w:pStyle w:val="FootnoteText"/>
        <w:keepNext/>
        <w:keepLines/>
        <w:widowControl/>
        <w:spacing w:after="120"/>
        <w:ind w:firstLine="720"/>
        <w:rPr>
          <w:sz w:val="26"/>
          <w:szCs w:val="26"/>
        </w:rPr>
      </w:pPr>
      <w:r w:rsidRPr="00411713">
        <w:rPr>
          <w:rStyle w:val="FootnoteReference"/>
          <w:sz w:val="26"/>
          <w:szCs w:val="26"/>
        </w:rPr>
        <w:footnoteRef/>
      </w:r>
      <w:r w:rsidRPr="00411713">
        <w:rPr>
          <w:sz w:val="26"/>
          <w:szCs w:val="26"/>
        </w:rPr>
        <w:tab/>
      </w:r>
      <w:r>
        <w:rPr>
          <w:sz w:val="26"/>
          <w:szCs w:val="26"/>
        </w:rPr>
        <w:t>Throughout</w:t>
      </w:r>
      <w:r w:rsidRPr="00411713">
        <w:rPr>
          <w:sz w:val="26"/>
          <w:szCs w:val="26"/>
        </w:rPr>
        <w:t xml:space="preserve"> this document, Peoples </w:t>
      </w:r>
      <w:r>
        <w:rPr>
          <w:sz w:val="26"/>
          <w:szCs w:val="26"/>
        </w:rPr>
        <w:t xml:space="preserve">Division, </w:t>
      </w:r>
      <w:r w:rsidRPr="00411713">
        <w:rPr>
          <w:sz w:val="26"/>
          <w:szCs w:val="26"/>
        </w:rPr>
        <w:t xml:space="preserve">Equitable and Peoples Gas will be collectively referred to as </w:t>
      </w:r>
      <w:r>
        <w:rPr>
          <w:sz w:val="26"/>
          <w:szCs w:val="26"/>
        </w:rPr>
        <w:t>“</w:t>
      </w:r>
      <w:r w:rsidRPr="00411713">
        <w:rPr>
          <w:sz w:val="26"/>
          <w:szCs w:val="26"/>
        </w:rPr>
        <w:t>the Peoples Companies</w:t>
      </w:r>
      <w:r>
        <w:rPr>
          <w:sz w:val="26"/>
          <w:szCs w:val="26"/>
        </w:rPr>
        <w:t>” or “the Companies.</w:t>
      </w:r>
      <w:r>
        <w:rPr>
          <w:sz w:val="26"/>
        </w:rPr>
        <w:t>”</w:t>
      </w:r>
    </w:p>
  </w:footnote>
  <w:footnote w:id="2">
    <w:p w14:paraId="0B4CD8B2" w14:textId="14D33A8F" w:rsidR="00734951" w:rsidRPr="002A61E2" w:rsidRDefault="00734951" w:rsidP="00692991">
      <w:pPr>
        <w:pStyle w:val="FootnoteText"/>
        <w:keepNext/>
        <w:keepLines/>
        <w:widowControl/>
        <w:spacing w:after="120"/>
        <w:ind w:firstLine="720"/>
        <w:rPr>
          <w:sz w:val="26"/>
          <w:szCs w:val="26"/>
        </w:rPr>
      </w:pPr>
      <w:r w:rsidRPr="00F22D41">
        <w:rPr>
          <w:rStyle w:val="FootnoteReference"/>
          <w:sz w:val="26"/>
          <w:szCs w:val="26"/>
        </w:rPr>
        <w:footnoteRef/>
      </w:r>
      <w:r>
        <w:rPr>
          <w:sz w:val="26"/>
          <w:szCs w:val="26"/>
        </w:rPr>
        <w:tab/>
        <w:t xml:space="preserve">PIOGA and Direct Energy </w:t>
      </w:r>
      <w:r w:rsidRPr="00F22D41">
        <w:rPr>
          <w:sz w:val="26"/>
          <w:szCs w:val="26"/>
        </w:rPr>
        <w:t>have indicated that</w:t>
      </w:r>
      <w:r>
        <w:rPr>
          <w:sz w:val="26"/>
          <w:szCs w:val="26"/>
        </w:rPr>
        <w:t xml:space="preserve"> although</w:t>
      </w:r>
      <w:r w:rsidRPr="00F22D41">
        <w:rPr>
          <w:sz w:val="26"/>
          <w:szCs w:val="26"/>
        </w:rPr>
        <w:t xml:space="preserve"> they are not a party to the Partial Settlement, they do not oppose the Partial Settlement.  PIOGA notes that it does object to the Proposed Findings of Fact, </w:t>
      </w:r>
      <w:r>
        <w:rPr>
          <w:sz w:val="26"/>
          <w:szCs w:val="26"/>
        </w:rPr>
        <w:t xml:space="preserve">and Standards, </w:t>
      </w:r>
      <w:r w:rsidRPr="00F22D41">
        <w:rPr>
          <w:sz w:val="26"/>
          <w:szCs w:val="26"/>
        </w:rPr>
        <w:t xml:space="preserve">Findings and Proposed Conclusions of Law </w:t>
      </w:r>
      <w:r>
        <w:rPr>
          <w:sz w:val="26"/>
          <w:szCs w:val="26"/>
        </w:rPr>
        <w:t xml:space="preserve">contained in the Partial Settlement </w:t>
      </w:r>
      <w:r w:rsidRPr="00F22D41">
        <w:rPr>
          <w:sz w:val="26"/>
          <w:szCs w:val="26"/>
        </w:rPr>
        <w:t>to the extent that they are inconsistent with or conflict with PIOGA</w:t>
      </w:r>
      <w:r>
        <w:rPr>
          <w:sz w:val="26"/>
          <w:szCs w:val="26"/>
        </w:rPr>
        <w:t>’</w:t>
      </w:r>
      <w:r w:rsidRPr="00F22D41">
        <w:rPr>
          <w:sz w:val="26"/>
          <w:szCs w:val="26"/>
        </w:rPr>
        <w:t xml:space="preserve">s positions on the </w:t>
      </w:r>
      <w:r w:rsidRPr="002A61E2">
        <w:rPr>
          <w:sz w:val="26"/>
          <w:szCs w:val="26"/>
        </w:rPr>
        <w:t>contested producer retainage issues.</w:t>
      </w:r>
    </w:p>
  </w:footnote>
  <w:footnote w:id="3">
    <w:p w14:paraId="6C6C07E9" w14:textId="19AEE74A" w:rsidR="00734951" w:rsidRDefault="00734951" w:rsidP="00692991">
      <w:pPr>
        <w:pStyle w:val="FootnoteText"/>
        <w:keepNext/>
        <w:keepLines/>
        <w:widowControl/>
        <w:spacing w:after="120"/>
        <w:ind w:firstLine="720"/>
      </w:pPr>
      <w:r w:rsidRPr="002A61E2">
        <w:rPr>
          <w:rStyle w:val="FootnoteReference"/>
          <w:sz w:val="26"/>
          <w:szCs w:val="26"/>
        </w:rPr>
        <w:footnoteRef/>
      </w:r>
      <w:r>
        <w:rPr>
          <w:sz w:val="26"/>
          <w:szCs w:val="26"/>
        </w:rPr>
        <w:tab/>
        <w:t>By Secretarial Letter dated July 25, 2018,</w:t>
      </w:r>
      <w:r w:rsidRPr="002A61E2">
        <w:rPr>
          <w:sz w:val="26"/>
          <w:szCs w:val="26"/>
        </w:rPr>
        <w:t xml:space="preserve"> deadlines for </w:t>
      </w:r>
      <w:r>
        <w:rPr>
          <w:sz w:val="26"/>
          <w:szCs w:val="26"/>
        </w:rPr>
        <w:t xml:space="preserve">filing </w:t>
      </w:r>
      <w:r w:rsidRPr="002A61E2">
        <w:rPr>
          <w:sz w:val="26"/>
          <w:szCs w:val="26"/>
        </w:rPr>
        <w:t>Exceptions and Reply Exceptions</w:t>
      </w:r>
      <w:r>
        <w:rPr>
          <w:sz w:val="26"/>
          <w:szCs w:val="26"/>
        </w:rPr>
        <w:t xml:space="preserve"> were shortened.</w:t>
      </w:r>
      <w:r w:rsidRPr="002A61E2">
        <w:rPr>
          <w:sz w:val="26"/>
          <w:szCs w:val="26"/>
        </w:rPr>
        <w:t xml:space="preserve"> </w:t>
      </w:r>
      <w:r>
        <w:rPr>
          <w:sz w:val="26"/>
          <w:szCs w:val="26"/>
        </w:rPr>
        <w:t xml:space="preserve"> Thereafter, the deadlines </w:t>
      </w:r>
      <w:r w:rsidRPr="002A61E2">
        <w:rPr>
          <w:sz w:val="26"/>
          <w:szCs w:val="26"/>
        </w:rPr>
        <w:t xml:space="preserve">were extended by agreement of the </w:t>
      </w:r>
      <w:r>
        <w:rPr>
          <w:sz w:val="26"/>
          <w:szCs w:val="26"/>
        </w:rPr>
        <w:t>P</w:t>
      </w:r>
      <w:r w:rsidRPr="002A61E2">
        <w:rPr>
          <w:sz w:val="26"/>
          <w:szCs w:val="26"/>
        </w:rPr>
        <w:t>arties and the Commission</w:t>
      </w:r>
      <w:r>
        <w:rPr>
          <w:sz w:val="26"/>
          <w:szCs w:val="26"/>
        </w:rPr>
        <w:t>’</w:t>
      </w:r>
      <w:r w:rsidRPr="002A61E2">
        <w:rPr>
          <w:sz w:val="26"/>
          <w:szCs w:val="26"/>
        </w:rPr>
        <w:t>s Office of Special Assistants to August 2, 2018</w:t>
      </w:r>
      <w:r>
        <w:rPr>
          <w:sz w:val="26"/>
          <w:szCs w:val="26"/>
        </w:rPr>
        <w:t>,</w:t>
      </w:r>
      <w:r w:rsidRPr="002A61E2">
        <w:rPr>
          <w:sz w:val="26"/>
          <w:szCs w:val="26"/>
        </w:rPr>
        <w:t xml:space="preserve"> a</w:t>
      </w:r>
      <w:r>
        <w:rPr>
          <w:sz w:val="26"/>
          <w:szCs w:val="26"/>
        </w:rPr>
        <w:t>nd August 8, 2018, respectively.</w:t>
      </w:r>
    </w:p>
  </w:footnote>
  <w:footnote w:id="4">
    <w:p w14:paraId="07785914" w14:textId="77777777" w:rsidR="00734951" w:rsidRPr="005E5C1D" w:rsidRDefault="00734951" w:rsidP="00692991">
      <w:pPr>
        <w:pStyle w:val="FootnoteText"/>
        <w:keepNext/>
        <w:keepLines/>
        <w:widowControl/>
        <w:spacing w:after="120"/>
        <w:ind w:firstLine="720"/>
        <w:rPr>
          <w:sz w:val="26"/>
          <w:szCs w:val="26"/>
        </w:rPr>
      </w:pPr>
      <w:r w:rsidRPr="005E5C1D">
        <w:rPr>
          <w:rStyle w:val="FootnoteReference"/>
          <w:sz w:val="26"/>
          <w:szCs w:val="26"/>
        </w:rPr>
        <w:footnoteRef/>
      </w:r>
      <w:r w:rsidRPr="005E5C1D">
        <w:rPr>
          <w:sz w:val="26"/>
          <w:szCs w:val="26"/>
        </w:rPr>
        <w:t xml:space="preserve"> </w:t>
      </w:r>
      <w:r>
        <w:rPr>
          <w:sz w:val="26"/>
          <w:szCs w:val="26"/>
        </w:rPr>
        <w:tab/>
        <w:t>Peoples Division n</w:t>
      </w:r>
      <w:r w:rsidRPr="005E5C1D">
        <w:rPr>
          <w:sz w:val="26"/>
          <w:szCs w:val="26"/>
        </w:rPr>
        <w:t>et billing rate effective January 1, 2018.</w:t>
      </w:r>
    </w:p>
  </w:footnote>
  <w:footnote w:id="5">
    <w:p w14:paraId="2EFE093E" w14:textId="77777777" w:rsidR="00734951" w:rsidRPr="005E5C1D" w:rsidRDefault="00734951" w:rsidP="00692991">
      <w:pPr>
        <w:pStyle w:val="FootnoteText"/>
        <w:keepNext/>
        <w:keepLines/>
        <w:widowControl/>
        <w:spacing w:after="120"/>
        <w:ind w:firstLine="720"/>
        <w:rPr>
          <w:sz w:val="26"/>
          <w:szCs w:val="26"/>
        </w:rPr>
      </w:pPr>
      <w:r w:rsidRPr="005E5C1D">
        <w:rPr>
          <w:rStyle w:val="FootnoteReference"/>
          <w:sz w:val="26"/>
          <w:szCs w:val="26"/>
        </w:rPr>
        <w:footnoteRef/>
      </w:r>
      <w:r w:rsidRPr="005E5C1D">
        <w:rPr>
          <w:sz w:val="26"/>
          <w:szCs w:val="26"/>
        </w:rPr>
        <w:t xml:space="preserve"> </w:t>
      </w:r>
      <w:r>
        <w:rPr>
          <w:sz w:val="26"/>
          <w:szCs w:val="26"/>
        </w:rPr>
        <w:tab/>
        <w:t>Peoples – Equitable Division n</w:t>
      </w:r>
      <w:r w:rsidRPr="005E5C1D">
        <w:rPr>
          <w:sz w:val="26"/>
          <w:szCs w:val="26"/>
        </w:rPr>
        <w:t>et billing rate effective January 1, 2018.</w:t>
      </w:r>
    </w:p>
  </w:footnote>
  <w:footnote w:id="6">
    <w:p w14:paraId="61422CDD" w14:textId="32BA986A" w:rsidR="00734951" w:rsidRPr="00B74E5A" w:rsidRDefault="00734951" w:rsidP="00692991">
      <w:pPr>
        <w:pStyle w:val="FootnoteText"/>
        <w:keepNext/>
        <w:keepLines/>
        <w:widowControl/>
        <w:spacing w:after="120"/>
        <w:ind w:firstLine="720"/>
        <w:rPr>
          <w:sz w:val="26"/>
          <w:szCs w:val="26"/>
        </w:rPr>
      </w:pPr>
      <w:r w:rsidRPr="00B74E5A">
        <w:rPr>
          <w:rStyle w:val="FootnoteReference"/>
          <w:sz w:val="26"/>
          <w:szCs w:val="26"/>
        </w:rPr>
        <w:footnoteRef/>
      </w:r>
      <w:r>
        <w:rPr>
          <w:sz w:val="26"/>
          <w:szCs w:val="26"/>
        </w:rPr>
        <w:tab/>
      </w:r>
      <w:r w:rsidRPr="00B74E5A">
        <w:rPr>
          <w:sz w:val="26"/>
          <w:szCs w:val="26"/>
        </w:rPr>
        <w:t xml:space="preserve">It is noted in the Joint Petition that, regarding the </w:t>
      </w:r>
      <w:r>
        <w:rPr>
          <w:sz w:val="26"/>
          <w:szCs w:val="26"/>
        </w:rPr>
        <w:t>eight</w:t>
      </w:r>
      <w:r w:rsidRPr="00B74E5A">
        <w:rPr>
          <w:sz w:val="26"/>
          <w:szCs w:val="26"/>
        </w:rPr>
        <w:t>-month interim period and the twelve-month projected period, it is expressly understood and agreed that this finding is made solely for the purpose of setting prospective rates that shall continue to be subject to the standards of Sec</w:t>
      </w:r>
      <w:r>
        <w:rPr>
          <w:sz w:val="26"/>
          <w:szCs w:val="26"/>
        </w:rPr>
        <w:t xml:space="preserve">tion 1318 of the </w:t>
      </w:r>
      <w:r w:rsidRPr="00B74E5A">
        <w:rPr>
          <w:sz w:val="26"/>
          <w:szCs w:val="26"/>
        </w:rPr>
        <w:t xml:space="preserve">Code, 66 Pa. C.S. § 1318, and to further review in an appropriate future proceeding.  Joint Petition at </w:t>
      </w:r>
      <w:r>
        <w:rPr>
          <w:sz w:val="26"/>
          <w:szCs w:val="26"/>
        </w:rPr>
        <w:t>20</w:t>
      </w:r>
      <w:r w:rsidRPr="00B74E5A">
        <w:rPr>
          <w:sz w:val="26"/>
          <w:szCs w:val="26"/>
        </w:rPr>
        <w:t>.</w:t>
      </w:r>
    </w:p>
  </w:footnote>
  <w:footnote w:id="7">
    <w:p w14:paraId="42C0165E" w14:textId="77777777" w:rsidR="00734951" w:rsidRPr="007F545B" w:rsidRDefault="00734951" w:rsidP="00692991">
      <w:pPr>
        <w:pStyle w:val="FootnoteText"/>
        <w:keepNext/>
        <w:keepLines/>
        <w:widowControl/>
        <w:spacing w:after="120"/>
        <w:ind w:firstLine="720"/>
        <w:rPr>
          <w:sz w:val="26"/>
          <w:szCs w:val="26"/>
        </w:rPr>
      </w:pPr>
      <w:r w:rsidRPr="007F545B">
        <w:rPr>
          <w:rStyle w:val="FootnoteReference"/>
          <w:sz w:val="26"/>
          <w:szCs w:val="26"/>
        </w:rPr>
        <w:footnoteRef/>
      </w:r>
      <w:r w:rsidRPr="007F545B">
        <w:rPr>
          <w:sz w:val="26"/>
          <w:szCs w:val="26"/>
        </w:rPr>
        <w:t xml:space="preserve"> </w:t>
      </w:r>
      <w:r>
        <w:rPr>
          <w:sz w:val="26"/>
          <w:szCs w:val="26"/>
        </w:rPr>
        <w:tab/>
      </w:r>
      <w:r w:rsidRPr="007F545B">
        <w:rPr>
          <w:sz w:val="26"/>
          <w:szCs w:val="26"/>
        </w:rPr>
        <w:t>The terms of the Joint Petition are presented with the original paragraph numbering.</w:t>
      </w:r>
    </w:p>
  </w:footnote>
  <w:footnote w:id="8">
    <w:p w14:paraId="5E26E632" w14:textId="77777777" w:rsidR="00734951" w:rsidRPr="007B5237" w:rsidRDefault="00734951" w:rsidP="00692991">
      <w:pPr>
        <w:pStyle w:val="FootnoteText"/>
        <w:keepNext/>
        <w:keepLines/>
        <w:widowControl/>
        <w:spacing w:after="120"/>
        <w:ind w:firstLine="720"/>
        <w:rPr>
          <w:sz w:val="26"/>
          <w:szCs w:val="26"/>
        </w:rPr>
      </w:pPr>
      <w:r w:rsidRPr="007B5237">
        <w:rPr>
          <w:rStyle w:val="FootnoteReference"/>
          <w:sz w:val="26"/>
          <w:szCs w:val="26"/>
        </w:rPr>
        <w:footnoteRef/>
      </w:r>
      <w:r w:rsidRPr="007B5237">
        <w:rPr>
          <w:sz w:val="26"/>
          <w:szCs w:val="26"/>
        </w:rPr>
        <w:t xml:space="preserve"> </w:t>
      </w:r>
      <w:r>
        <w:rPr>
          <w:sz w:val="26"/>
          <w:szCs w:val="26"/>
        </w:rPr>
        <w:tab/>
      </w:r>
      <w:r w:rsidRPr="007B5237">
        <w:rPr>
          <w:sz w:val="26"/>
          <w:szCs w:val="26"/>
        </w:rPr>
        <w:t xml:space="preserve">Peoples reported a distribution system UFG of </w:t>
      </w:r>
      <w:r w:rsidRPr="00AA63A5">
        <w:rPr>
          <w:sz w:val="26"/>
          <w:szCs w:val="26"/>
        </w:rPr>
        <w:t>2.42%</w:t>
      </w:r>
      <w:r w:rsidRPr="007B5237">
        <w:rPr>
          <w:sz w:val="26"/>
          <w:szCs w:val="26"/>
        </w:rPr>
        <w:t xml:space="preserve"> and a gathering system UFG of </w:t>
      </w:r>
      <w:r>
        <w:rPr>
          <w:sz w:val="26"/>
          <w:szCs w:val="26"/>
        </w:rPr>
        <w:t>10.16</w:t>
      </w:r>
      <w:r w:rsidRPr="007B5237">
        <w:rPr>
          <w:sz w:val="26"/>
          <w:szCs w:val="26"/>
        </w:rPr>
        <w:t>% for the twelve months ending August 31, 20</w:t>
      </w:r>
      <w:r>
        <w:rPr>
          <w:sz w:val="26"/>
          <w:szCs w:val="26"/>
        </w:rPr>
        <w:t>17.</w:t>
      </w:r>
    </w:p>
  </w:footnote>
  <w:footnote w:id="9">
    <w:p w14:paraId="1559E209" w14:textId="567EFDB8" w:rsidR="00734951" w:rsidRPr="006C5FAD" w:rsidRDefault="00734951" w:rsidP="00692991">
      <w:pPr>
        <w:pStyle w:val="FootnoteText"/>
        <w:keepNext/>
        <w:keepLines/>
        <w:widowControl/>
        <w:spacing w:after="120"/>
        <w:ind w:firstLine="720"/>
        <w:rPr>
          <w:sz w:val="26"/>
          <w:szCs w:val="26"/>
        </w:rPr>
      </w:pPr>
      <w:r w:rsidRPr="006C5FAD">
        <w:rPr>
          <w:rStyle w:val="FootnoteReference"/>
          <w:sz w:val="26"/>
          <w:szCs w:val="26"/>
        </w:rPr>
        <w:footnoteRef/>
      </w:r>
      <w:r w:rsidRPr="006C5FAD">
        <w:rPr>
          <w:sz w:val="26"/>
          <w:szCs w:val="26"/>
        </w:rPr>
        <w:tab/>
        <w:t>In the 2017 PGC proceedings, the Parties agreed to extend the sharing mechanism for an additional one-year period through September 30, 2018.  2017 PGC proceedings Settlement Petition at ¶ 26.</w:t>
      </w:r>
    </w:p>
  </w:footnote>
  <w:footnote w:id="10">
    <w:p w14:paraId="34412CE4" w14:textId="77777777" w:rsidR="00734951" w:rsidRPr="001843FC" w:rsidRDefault="00734951" w:rsidP="00692991">
      <w:pPr>
        <w:pStyle w:val="FootnoteText"/>
        <w:keepNext/>
        <w:keepLines/>
        <w:widowControl/>
        <w:spacing w:after="120"/>
        <w:ind w:firstLine="720"/>
        <w:rPr>
          <w:sz w:val="26"/>
          <w:szCs w:val="26"/>
        </w:rPr>
      </w:pPr>
      <w:r w:rsidRPr="001843FC">
        <w:rPr>
          <w:rStyle w:val="FootnoteReference"/>
          <w:sz w:val="26"/>
          <w:szCs w:val="26"/>
        </w:rPr>
        <w:footnoteRef/>
      </w:r>
      <w:r w:rsidRPr="001843FC">
        <w:rPr>
          <w:sz w:val="26"/>
          <w:szCs w:val="26"/>
        </w:rPr>
        <w:t xml:space="preserve"> </w:t>
      </w:r>
      <w:r>
        <w:rPr>
          <w:sz w:val="26"/>
          <w:szCs w:val="26"/>
        </w:rPr>
        <w:tab/>
      </w:r>
      <w:r w:rsidRPr="001843FC">
        <w:rPr>
          <w:sz w:val="26"/>
          <w:szCs w:val="26"/>
        </w:rPr>
        <w:t>The Company is authorized by its tariff to discount retainage for customers when certain competitive circumstances ex</w:t>
      </w:r>
      <w:r>
        <w:rPr>
          <w:sz w:val="26"/>
          <w:szCs w:val="26"/>
        </w:rPr>
        <w:t>ist.  Peoples St. No. 3 at 5</w:t>
      </w:r>
      <w:r w:rsidRPr="001843FC">
        <w:rPr>
          <w:sz w:val="26"/>
          <w:szCs w:val="26"/>
        </w:rPr>
        <w:t>.</w:t>
      </w:r>
    </w:p>
  </w:footnote>
  <w:footnote w:id="11">
    <w:p w14:paraId="4363F474" w14:textId="5F4574BB" w:rsidR="00734951" w:rsidRPr="008E126E" w:rsidRDefault="00734951" w:rsidP="00692991">
      <w:pPr>
        <w:pStyle w:val="FootnoteText"/>
        <w:keepNext/>
        <w:keepLines/>
        <w:widowControl/>
        <w:spacing w:after="120"/>
        <w:ind w:firstLine="720"/>
        <w:rPr>
          <w:sz w:val="26"/>
          <w:szCs w:val="26"/>
        </w:rPr>
      </w:pPr>
      <w:r w:rsidRPr="008E126E">
        <w:rPr>
          <w:rStyle w:val="FootnoteReference"/>
          <w:sz w:val="26"/>
          <w:szCs w:val="26"/>
        </w:rPr>
        <w:footnoteRef/>
      </w:r>
      <w:r w:rsidRPr="008E126E">
        <w:rPr>
          <w:sz w:val="26"/>
          <w:szCs w:val="26"/>
        </w:rPr>
        <w:tab/>
        <w:t>Peoples</w:t>
      </w:r>
      <w:r>
        <w:rPr>
          <w:sz w:val="26"/>
          <w:szCs w:val="26"/>
        </w:rPr>
        <w:t xml:space="preserve"> averred that per Paragraph No. 25 of the terms of settlement of the 2017 PGC settlements, Peoples agreed to provide by April 2, 2018, a report from its UFG team providing an analysis and recommendations to mitigate UFG, with a specific focus on the gathering system.  PNG St. 1 at 12.  Therefore, following the 2017 PGC proceedings, Peoples </w:t>
      </w:r>
      <w:r w:rsidRPr="008E126E">
        <w:rPr>
          <w:sz w:val="26"/>
          <w:szCs w:val="26"/>
        </w:rPr>
        <w:t xml:space="preserve">assembled a cross-functional </w:t>
      </w:r>
      <w:r>
        <w:rPr>
          <w:sz w:val="26"/>
          <w:szCs w:val="26"/>
        </w:rPr>
        <w:t xml:space="preserve">UFG </w:t>
      </w:r>
      <w:r w:rsidRPr="008E126E">
        <w:rPr>
          <w:sz w:val="26"/>
          <w:szCs w:val="26"/>
        </w:rPr>
        <w:t xml:space="preserve">team to assess, analyze and take deliberate steps to mitigate UFG.  </w:t>
      </w:r>
      <w:r>
        <w:rPr>
          <w:sz w:val="26"/>
          <w:szCs w:val="26"/>
        </w:rPr>
        <w:t>According to Peoples, t</w:t>
      </w:r>
      <w:r w:rsidRPr="008E126E">
        <w:rPr>
          <w:sz w:val="26"/>
          <w:szCs w:val="26"/>
        </w:rPr>
        <w:t xml:space="preserve">he UFG team will be led by a new, senior, full-time manager with a primary job description of managing UFG reduction initiatives.  </w:t>
      </w:r>
      <w:r>
        <w:rPr>
          <w:sz w:val="26"/>
          <w:szCs w:val="26"/>
        </w:rPr>
        <w:t xml:space="preserve">Peoples plans to continue UFG reduction initiatives, prioritize enhanced leak repair where appropriate and replace pipelines that cannot be repaired.  Peoples will also continue to monitor supply interconnects to ensure accurate measurement and backflow prevention equipment is effective.  Peoples also plan to continue system segmentation efforts to identify and report UFG based on pipeline function.  </w:t>
      </w:r>
      <w:r w:rsidRPr="008E126E">
        <w:rPr>
          <w:sz w:val="26"/>
          <w:szCs w:val="26"/>
        </w:rPr>
        <w:t>PNG St. 1 at 10-11</w:t>
      </w:r>
      <w:r>
        <w:rPr>
          <w:sz w:val="26"/>
          <w:szCs w:val="26"/>
        </w:rPr>
        <w:t>; PNG St. 2 at 51</w:t>
      </w:r>
      <w:r w:rsidRPr="008E126E">
        <w:rPr>
          <w:sz w:val="26"/>
          <w:szCs w:val="26"/>
        </w:rPr>
        <w:t>.</w:t>
      </w:r>
    </w:p>
  </w:footnote>
  <w:footnote w:id="12">
    <w:p w14:paraId="6CA5E6DF" w14:textId="6E110D9A" w:rsidR="00734951" w:rsidRPr="008E126E" w:rsidRDefault="00734951" w:rsidP="00692991">
      <w:pPr>
        <w:pStyle w:val="FootnoteText"/>
        <w:keepNext/>
        <w:keepLines/>
        <w:widowControl/>
        <w:spacing w:after="120"/>
        <w:ind w:firstLine="720"/>
        <w:rPr>
          <w:sz w:val="26"/>
          <w:szCs w:val="26"/>
        </w:rPr>
      </w:pPr>
      <w:r w:rsidRPr="008E126E">
        <w:rPr>
          <w:rStyle w:val="FootnoteReference"/>
          <w:sz w:val="26"/>
          <w:szCs w:val="26"/>
        </w:rPr>
        <w:footnoteRef/>
      </w:r>
      <w:r w:rsidRPr="008E126E">
        <w:rPr>
          <w:sz w:val="26"/>
          <w:szCs w:val="26"/>
        </w:rPr>
        <w:tab/>
        <w:t xml:space="preserve">At-risk gathering pipelines have generally lower risk scores primarily due to the lack of population around the pipe.  </w:t>
      </w:r>
      <w:r>
        <w:rPr>
          <w:sz w:val="26"/>
          <w:szCs w:val="26"/>
        </w:rPr>
        <w:t>PNG</w:t>
      </w:r>
      <w:r w:rsidRPr="008E126E">
        <w:rPr>
          <w:sz w:val="26"/>
          <w:szCs w:val="26"/>
        </w:rPr>
        <w:t xml:space="preserve"> Exh. No. 2 at 14. </w:t>
      </w:r>
    </w:p>
  </w:footnote>
  <w:footnote w:id="13">
    <w:p w14:paraId="3396E5F5" w14:textId="77777777" w:rsidR="00734951" w:rsidRPr="00081968" w:rsidRDefault="00734951" w:rsidP="00692991">
      <w:pPr>
        <w:pStyle w:val="FootnoteText"/>
        <w:keepNext/>
        <w:keepLines/>
        <w:widowControl/>
        <w:spacing w:after="120"/>
        <w:ind w:firstLine="720"/>
        <w:rPr>
          <w:sz w:val="26"/>
          <w:szCs w:val="26"/>
        </w:rPr>
      </w:pPr>
      <w:r w:rsidRPr="00081968">
        <w:rPr>
          <w:rStyle w:val="FootnoteReference"/>
          <w:sz w:val="26"/>
          <w:szCs w:val="26"/>
        </w:rPr>
        <w:footnoteRef/>
      </w:r>
      <w:r w:rsidRPr="00081968">
        <w:rPr>
          <w:sz w:val="26"/>
          <w:szCs w:val="26"/>
        </w:rPr>
        <w:t xml:space="preserve"> </w:t>
      </w:r>
      <w:r w:rsidRPr="00081968">
        <w:rPr>
          <w:sz w:val="26"/>
          <w:szCs w:val="26"/>
        </w:rPr>
        <w:tab/>
        <w:t>PNG St. 1 at 10.</w:t>
      </w:r>
    </w:p>
  </w:footnote>
  <w:footnote w:id="14">
    <w:p w14:paraId="3F00C60A" w14:textId="77777777" w:rsidR="00734951" w:rsidRPr="000939BA" w:rsidRDefault="00734951" w:rsidP="00692991">
      <w:pPr>
        <w:pStyle w:val="FootnoteText"/>
        <w:keepNext/>
        <w:keepLines/>
        <w:widowControl/>
        <w:spacing w:after="120"/>
        <w:ind w:firstLine="720"/>
        <w:rPr>
          <w:sz w:val="26"/>
          <w:szCs w:val="26"/>
        </w:rPr>
      </w:pPr>
      <w:r w:rsidRPr="000939BA">
        <w:rPr>
          <w:rStyle w:val="FootnoteReference"/>
          <w:sz w:val="26"/>
          <w:szCs w:val="26"/>
        </w:rPr>
        <w:footnoteRef/>
      </w:r>
      <w:r w:rsidRPr="000939BA">
        <w:rPr>
          <w:sz w:val="26"/>
          <w:szCs w:val="26"/>
        </w:rPr>
        <w:t xml:space="preserve"> </w:t>
      </w:r>
      <w:r w:rsidRPr="000939BA">
        <w:rPr>
          <w:sz w:val="26"/>
          <w:szCs w:val="26"/>
        </w:rPr>
        <w:tab/>
        <w:t xml:space="preserve">According to </w:t>
      </w:r>
      <w:r>
        <w:rPr>
          <w:sz w:val="26"/>
          <w:szCs w:val="26"/>
        </w:rPr>
        <w:t>Peoples</w:t>
      </w:r>
      <w:r w:rsidRPr="000939BA">
        <w:rPr>
          <w:sz w:val="26"/>
          <w:szCs w:val="26"/>
        </w:rPr>
        <w:t xml:space="preserve">, the yellow category of pipe represents gathering pipe that is continuing to be evaluated to determine whether the pipe should be replaced or removed.  The remaining at-risk gathering pipe has been classified as either red or green, meaning it either will be replaced to maintain safe and adequate service or it will be removed because it has been determined there is no current production and no customers served by the line.  PNG Exh. 2 at 16-17.  </w:t>
      </w:r>
    </w:p>
  </w:footnote>
  <w:footnote w:id="15">
    <w:p w14:paraId="1BBA45E7" w14:textId="77777777" w:rsidR="00734951" w:rsidRPr="003562B0" w:rsidRDefault="00734951" w:rsidP="00692991">
      <w:pPr>
        <w:pStyle w:val="FootnoteText"/>
        <w:keepNext/>
        <w:keepLines/>
        <w:widowControl/>
        <w:spacing w:after="120"/>
        <w:ind w:firstLine="720"/>
        <w:rPr>
          <w:sz w:val="26"/>
          <w:szCs w:val="26"/>
        </w:rPr>
      </w:pPr>
      <w:r w:rsidRPr="003562B0">
        <w:rPr>
          <w:rStyle w:val="FootnoteReference"/>
          <w:sz w:val="26"/>
          <w:szCs w:val="26"/>
        </w:rPr>
        <w:footnoteRef/>
      </w:r>
      <w:r w:rsidRPr="003562B0">
        <w:rPr>
          <w:sz w:val="26"/>
          <w:szCs w:val="26"/>
        </w:rPr>
        <w:t xml:space="preserve"> </w:t>
      </w:r>
      <w:r w:rsidRPr="003562B0">
        <w:rPr>
          <w:sz w:val="26"/>
          <w:szCs w:val="26"/>
        </w:rPr>
        <w:tab/>
        <w:t>According to the Compan</w:t>
      </w:r>
      <w:r>
        <w:rPr>
          <w:sz w:val="26"/>
          <w:szCs w:val="26"/>
        </w:rPr>
        <w:t>y</w:t>
      </w:r>
      <w:r w:rsidRPr="003562B0">
        <w:rPr>
          <w:sz w:val="26"/>
          <w:szCs w:val="26"/>
        </w:rPr>
        <w:t xml:space="preserve">, under the proposal, retainage from gathering would be 593,390 Mcf (418,883 Mcf for Peoples </w:t>
      </w:r>
      <w:r>
        <w:rPr>
          <w:sz w:val="26"/>
          <w:szCs w:val="26"/>
        </w:rPr>
        <w:t xml:space="preserve">Division </w:t>
      </w:r>
      <w:r w:rsidRPr="003562B0">
        <w:rPr>
          <w:sz w:val="26"/>
          <w:szCs w:val="26"/>
        </w:rPr>
        <w:t>and 174,507 Mcf for Equitable), whereas the total gathering system UFG was 3,117,826 Mcf</w:t>
      </w:r>
      <w:r>
        <w:rPr>
          <w:sz w:val="26"/>
          <w:szCs w:val="26"/>
        </w:rPr>
        <w:t xml:space="preserve">.  </w:t>
      </w:r>
      <w:r w:rsidRPr="003562B0">
        <w:rPr>
          <w:sz w:val="26"/>
          <w:szCs w:val="26"/>
        </w:rPr>
        <w:t>PNG M.B. at 21.</w:t>
      </w:r>
    </w:p>
  </w:footnote>
  <w:footnote w:id="16">
    <w:p w14:paraId="54186158" w14:textId="3928AC2D" w:rsidR="00734951" w:rsidRPr="00C51F1E" w:rsidRDefault="00734951" w:rsidP="00692991">
      <w:pPr>
        <w:pStyle w:val="FootnoteText"/>
        <w:keepNext/>
        <w:keepLines/>
        <w:widowControl/>
        <w:spacing w:after="120"/>
        <w:ind w:firstLine="720"/>
        <w:rPr>
          <w:sz w:val="26"/>
          <w:szCs w:val="26"/>
        </w:rPr>
      </w:pPr>
      <w:r w:rsidRPr="00C51F1E">
        <w:rPr>
          <w:rStyle w:val="FootnoteReference"/>
          <w:sz w:val="26"/>
          <w:szCs w:val="26"/>
        </w:rPr>
        <w:footnoteRef/>
      </w:r>
      <w:r w:rsidRPr="00C51F1E">
        <w:rPr>
          <w:sz w:val="26"/>
          <w:szCs w:val="26"/>
        </w:rPr>
        <w:tab/>
        <w:t xml:space="preserve">Equitable </w:t>
      </w:r>
      <w:r>
        <w:rPr>
          <w:sz w:val="26"/>
          <w:szCs w:val="26"/>
        </w:rPr>
        <w:t xml:space="preserve">already </w:t>
      </w:r>
      <w:r w:rsidRPr="00C51F1E">
        <w:rPr>
          <w:sz w:val="26"/>
          <w:szCs w:val="26"/>
        </w:rPr>
        <w:t xml:space="preserve">has an approved tariff, Rate AGS, that provides for a negotiated retainage rate for wells connected to the Equitable gathering or distribution systems.  M.B. at 15 (citing PNG St. 1 at 15).  </w:t>
      </w:r>
    </w:p>
  </w:footnote>
  <w:footnote w:id="17">
    <w:p w14:paraId="465B502C" w14:textId="4B0014E6" w:rsidR="00734951" w:rsidRPr="003C40B3" w:rsidRDefault="00734951" w:rsidP="00692991">
      <w:pPr>
        <w:pStyle w:val="FootnoteText"/>
        <w:keepNext/>
        <w:keepLines/>
        <w:widowControl/>
        <w:spacing w:after="120"/>
        <w:ind w:firstLine="720"/>
        <w:rPr>
          <w:sz w:val="26"/>
          <w:szCs w:val="26"/>
        </w:rPr>
      </w:pPr>
      <w:r w:rsidRPr="003C40B3">
        <w:rPr>
          <w:rStyle w:val="FootnoteReference"/>
          <w:sz w:val="26"/>
          <w:szCs w:val="26"/>
        </w:rPr>
        <w:footnoteRef/>
      </w:r>
      <w:r w:rsidRPr="003C40B3">
        <w:rPr>
          <w:sz w:val="26"/>
          <w:szCs w:val="26"/>
        </w:rPr>
        <w:tab/>
        <w:t>OCA witness Mierzwa explained in this proceeding:</w:t>
      </w:r>
    </w:p>
    <w:p w14:paraId="2E98ACBC" w14:textId="00E9B9DE" w:rsidR="00734951" w:rsidRPr="003C40B3" w:rsidRDefault="00734951" w:rsidP="00692991">
      <w:pPr>
        <w:pStyle w:val="FootnoteText"/>
        <w:keepNext/>
        <w:keepLines/>
        <w:widowControl/>
        <w:spacing w:after="120"/>
        <w:ind w:left="1440" w:right="1440"/>
        <w:rPr>
          <w:sz w:val="26"/>
          <w:szCs w:val="26"/>
        </w:rPr>
      </w:pPr>
      <w:r>
        <w:rPr>
          <w:sz w:val="26"/>
          <w:szCs w:val="26"/>
        </w:rPr>
        <w:t>[</w:t>
      </w:r>
      <w:r w:rsidRPr="003C40B3">
        <w:rPr>
          <w:sz w:val="26"/>
          <w:szCs w:val="26"/>
        </w:rPr>
        <w:t>T</w:t>
      </w:r>
      <w:r>
        <w:rPr>
          <w:sz w:val="26"/>
          <w:szCs w:val="26"/>
        </w:rPr>
        <w:t>]</w:t>
      </w:r>
      <w:r w:rsidRPr="003C40B3">
        <w:rPr>
          <w:sz w:val="26"/>
          <w:szCs w:val="26"/>
        </w:rPr>
        <w:t>he most significant component of the Company</w:t>
      </w:r>
      <w:r>
        <w:rPr>
          <w:sz w:val="26"/>
          <w:szCs w:val="26"/>
        </w:rPr>
        <w:t>’</w:t>
      </w:r>
      <w:r w:rsidRPr="003C40B3">
        <w:rPr>
          <w:sz w:val="26"/>
          <w:szCs w:val="26"/>
        </w:rPr>
        <w:t>s total loss</w:t>
      </w:r>
      <w:r>
        <w:rPr>
          <w:sz w:val="26"/>
          <w:szCs w:val="26"/>
        </w:rPr>
        <w:t>es</w:t>
      </w:r>
      <w:r w:rsidRPr="003C40B3">
        <w:rPr>
          <w:sz w:val="26"/>
          <w:szCs w:val="26"/>
        </w:rPr>
        <w:t xml:space="preserve"> </w:t>
      </w:r>
      <w:r w:rsidRPr="00BE696F">
        <w:rPr>
          <w:sz w:val="26"/>
          <w:szCs w:val="26"/>
        </w:rPr>
        <w:t>occur</w:t>
      </w:r>
      <w:r w:rsidRPr="003C40B3">
        <w:rPr>
          <w:sz w:val="26"/>
          <w:szCs w:val="26"/>
        </w:rPr>
        <w:t xml:space="preserve"> on its gathering system, and transportation customers are a proportionately greater user of the gathering system than sales customers.  For example, during the historic review period, transportation customers purchased nearly 30 Bcf of gas from local producers that was delivered by the Peoples</w:t>
      </w:r>
      <w:r>
        <w:rPr>
          <w:sz w:val="26"/>
          <w:szCs w:val="26"/>
        </w:rPr>
        <w:t>’</w:t>
      </w:r>
      <w:r w:rsidRPr="003C40B3">
        <w:rPr>
          <w:sz w:val="26"/>
          <w:szCs w:val="26"/>
        </w:rPr>
        <w:t xml:space="preserve"> gathering system.  By comparison, Peoples purchased approximately 16 Bcf of gas from local producers to serve PGC customers that was delivered by the gathering system.</w:t>
      </w:r>
    </w:p>
    <w:p w14:paraId="303F8FD2" w14:textId="77777777" w:rsidR="00734951" w:rsidRPr="003C40B3" w:rsidRDefault="00734951" w:rsidP="00692991">
      <w:pPr>
        <w:pStyle w:val="FootnoteText"/>
        <w:keepNext/>
        <w:keepLines/>
        <w:widowControl/>
        <w:spacing w:after="120"/>
        <w:rPr>
          <w:sz w:val="26"/>
          <w:szCs w:val="26"/>
        </w:rPr>
      </w:pPr>
      <w:r w:rsidRPr="003C40B3">
        <w:rPr>
          <w:sz w:val="26"/>
          <w:szCs w:val="26"/>
        </w:rPr>
        <w:t>OCA M.B. at 7 (citing OCA St. 1 at 9) (citations omitted).</w:t>
      </w:r>
    </w:p>
  </w:footnote>
  <w:footnote w:id="18">
    <w:p w14:paraId="117D31F3" w14:textId="77777777" w:rsidR="00734951" w:rsidRPr="004E704F" w:rsidRDefault="00734951" w:rsidP="00692991">
      <w:pPr>
        <w:pStyle w:val="FootnoteText"/>
        <w:keepNext/>
        <w:keepLines/>
        <w:widowControl/>
        <w:tabs>
          <w:tab w:val="left" w:pos="1440"/>
        </w:tabs>
        <w:spacing w:after="120"/>
        <w:ind w:firstLine="720"/>
        <w:rPr>
          <w:sz w:val="26"/>
          <w:szCs w:val="26"/>
        </w:rPr>
      </w:pPr>
      <w:r w:rsidRPr="004E704F">
        <w:rPr>
          <w:rStyle w:val="FootnoteReference"/>
          <w:sz w:val="26"/>
          <w:szCs w:val="26"/>
        </w:rPr>
        <w:footnoteRef/>
      </w:r>
      <w:r w:rsidRPr="004E704F">
        <w:rPr>
          <w:sz w:val="26"/>
          <w:szCs w:val="26"/>
        </w:rPr>
        <w:tab/>
        <w:t>OCA witness Mierzwa explained:</w:t>
      </w:r>
    </w:p>
    <w:p w14:paraId="7F6E4CC5" w14:textId="18A38233" w:rsidR="00734951" w:rsidRDefault="00734951" w:rsidP="00692991">
      <w:pPr>
        <w:pStyle w:val="FootnoteText"/>
        <w:keepNext/>
        <w:keepLines/>
        <w:widowControl/>
        <w:tabs>
          <w:tab w:val="left" w:pos="1815"/>
        </w:tabs>
        <w:spacing w:after="120"/>
        <w:ind w:left="1440" w:right="1440"/>
        <w:rPr>
          <w:sz w:val="26"/>
          <w:szCs w:val="26"/>
        </w:rPr>
      </w:pPr>
      <w:r w:rsidRPr="004E704F">
        <w:rPr>
          <w:sz w:val="26"/>
          <w:szCs w:val="26"/>
        </w:rPr>
        <w:t>As shown on Revised Peoples Exhibit No. 5, page 1, the proposed producer retainage is projected to recover 418,333 Mcf.  Without assessing either a producer retainage charge or a separate gathering system, the 418,333 Mcf would be recoverable from PGC and non-discounted retainage transportation customers.  The projected PGC and non-discounted retainage transportation customer receipt volumes total 101,103,271 Mcf.  To recover the additional 418,333 Mcf, Peoples</w:t>
      </w:r>
      <w:r>
        <w:rPr>
          <w:sz w:val="26"/>
          <w:szCs w:val="26"/>
        </w:rPr>
        <w:t>’</w:t>
      </w:r>
      <w:r w:rsidRPr="004E704F">
        <w:rPr>
          <w:sz w:val="26"/>
          <w:szCs w:val="26"/>
        </w:rPr>
        <w:t xml:space="preserve"> retainage rate would be increased by 0.4 percentage points from 6.6 percent to 7.0 percent.  </w:t>
      </w:r>
    </w:p>
    <w:p w14:paraId="7A32A72C" w14:textId="77777777" w:rsidR="00734951" w:rsidRPr="004E704F" w:rsidRDefault="00734951" w:rsidP="00692991">
      <w:pPr>
        <w:pStyle w:val="FootnoteText"/>
        <w:keepNext/>
        <w:keepLines/>
        <w:widowControl/>
        <w:tabs>
          <w:tab w:val="left" w:pos="1815"/>
        </w:tabs>
        <w:spacing w:after="120"/>
        <w:ind w:right="1440"/>
        <w:rPr>
          <w:sz w:val="26"/>
          <w:szCs w:val="26"/>
        </w:rPr>
      </w:pPr>
      <w:r>
        <w:rPr>
          <w:sz w:val="26"/>
          <w:szCs w:val="26"/>
        </w:rPr>
        <w:t>OCA M.B. at 10 (citing OCA St. 1 at 11).</w:t>
      </w:r>
    </w:p>
  </w:footnote>
  <w:footnote w:id="19">
    <w:p w14:paraId="04444883" w14:textId="79981207" w:rsidR="00734951" w:rsidRPr="006E2177" w:rsidRDefault="00734951" w:rsidP="00692991">
      <w:pPr>
        <w:pStyle w:val="FootnoteText"/>
        <w:keepNext/>
        <w:keepLines/>
        <w:widowControl/>
        <w:spacing w:after="120"/>
        <w:ind w:firstLine="720"/>
        <w:rPr>
          <w:sz w:val="26"/>
          <w:szCs w:val="26"/>
        </w:rPr>
      </w:pPr>
      <w:r w:rsidRPr="009D7624">
        <w:rPr>
          <w:rStyle w:val="FootnoteReference"/>
          <w:sz w:val="26"/>
          <w:szCs w:val="26"/>
        </w:rPr>
        <w:footnoteRef/>
      </w:r>
      <w:r w:rsidRPr="009D7624">
        <w:rPr>
          <w:sz w:val="26"/>
          <w:szCs w:val="26"/>
        </w:rPr>
        <w:t xml:space="preserve"> </w:t>
      </w:r>
      <w:r w:rsidRPr="009D7624">
        <w:rPr>
          <w:sz w:val="26"/>
          <w:szCs w:val="26"/>
        </w:rPr>
        <w:tab/>
        <w:t xml:space="preserve">Finding of Fact No. 55 states </w:t>
      </w:r>
      <w:r>
        <w:rPr>
          <w:sz w:val="26"/>
          <w:szCs w:val="26"/>
        </w:rPr>
        <w:t>“</w:t>
      </w:r>
      <w:r w:rsidRPr="009D7624">
        <w:rPr>
          <w:sz w:val="26"/>
          <w:szCs w:val="26"/>
        </w:rPr>
        <w:t>[c]</w:t>
      </w:r>
      <w:proofErr w:type="spellStart"/>
      <w:r w:rsidRPr="009D7624">
        <w:rPr>
          <w:sz w:val="26"/>
          <w:szCs w:val="26"/>
        </w:rPr>
        <w:t>onventional</w:t>
      </w:r>
      <w:proofErr w:type="spellEnd"/>
      <w:r w:rsidRPr="009D7624">
        <w:rPr>
          <w:sz w:val="26"/>
          <w:szCs w:val="26"/>
        </w:rPr>
        <w:t xml:space="preserve"> gas producers are the primary users and beneficiaries of the gathering system, so it is reasonable for those producers to finally contribute toward the costs of gathering system UFG.</w:t>
      </w:r>
      <w:r>
        <w:rPr>
          <w:sz w:val="26"/>
          <w:szCs w:val="26"/>
        </w:rPr>
        <w:t>”</w:t>
      </w:r>
      <w:r w:rsidRPr="009D7624">
        <w:rPr>
          <w:sz w:val="26"/>
          <w:szCs w:val="26"/>
        </w:rPr>
        <w:t xml:space="preserve">  </w:t>
      </w:r>
      <w:r>
        <w:rPr>
          <w:sz w:val="26"/>
          <w:szCs w:val="26"/>
        </w:rPr>
        <w:t xml:space="preserve">R.D. at 17 (citing </w:t>
      </w:r>
      <w:r w:rsidRPr="009D7624">
        <w:rPr>
          <w:sz w:val="26"/>
          <w:szCs w:val="26"/>
        </w:rPr>
        <w:t>PNG St. 1-R at 17</w:t>
      </w:r>
      <w:r>
        <w:rPr>
          <w:sz w:val="26"/>
          <w:szCs w:val="26"/>
        </w:rPr>
        <w:t>)</w:t>
      </w:r>
      <w:r w:rsidRPr="009D7624">
        <w:rPr>
          <w:sz w:val="26"/>
          <w:szCs w:val="26"/>
        </w:rPr>
        <w:t xml:space="preserve">. </w:t>
      </w:r>
      <w:r>
        <w:rPr>
          <w:sz w:val="26"/>
          <w:szCs w:val="26"/>
        </w:rPr>
        <w:t xml:space="preserve"> F</w:t>
      </w:r>
      <w:r w:rsidRPr="009D7624">
        <w:rPr>
          <w:sz w:val="26"/>
          <w:szCs w:val="26"/>
        </w:rPr>
        <w:t xml:space="preserve">inding of Fact No. 56 states </w:t>
      </w:r>
      <w:r>
        <w:rPr>
          <w:sz w:val="26"/>
          <w:szCs w:val="26"/>
        </w:rPr>
        <w:t>“</w:t>
      </w:r>
      <w:r w:rsidRPr="009D7624">
        <w:rPr>
          <w:sz w:val="26"/>
          <w:szCs w:val="26"/>
        </w:rPr>
        <w:t>[a]</w:t>
      </w:r>
      <w:proofErr w:type="spellStart"/>
      <w:r w:rsidRPr="009D7624">
        <w:rPr>
          <w:sz w:val="26"/>
          <w:szCs w:val="26"/>
        </w:rPr>
        <w:t>bsent</w:t>
      </w:r>
      <w:proofErr w:type="spellEnd"/>
      <w:r w:rsidRPr="009D7624">
        <w:rPr>
          <w:sz w:val="26"/>
          <w:szCs w:val="26"/>
        </w:rPr>
        <w:t xml:space="preserve"> the existence of these gathering lines, the producers would not be able to move their gas to a market.  </w:t>
      </w:r>
      <w:r>
        <w:rPr>
          <w:sz w:val="26"/>
          <w:szCs w:val="26"/>
        </w:rPr>
        <w:t xml:space="preserve">R.D. at 17 (citing </w:t>
      </w:r>
      <w:r w:rsidRPr="009D7624">
        <w:rPr>
          <w:sz w:val="26"/>
          <w:szCs w:val="26"/>
        </w:rPr>
        <w:t>PNG St. 5-R at 5</w:t>
      </w:r>
      <w:r>
        <w:rPr>
          <w:sz w:val="26"/>
          <w:szCs w:val="26"/>
        </w:rPr>
        <w:t>)</w:t>
      </w:r>
      <w:r w:rsidRPr="009D7624">
        <w:rPr>
          <w:sz w:val="26"/>
          <w:szCs w:val="26"/>
        </w:rPr>
        <w:t xml:space="preserve">. </w:t>
      </w:r>
    </w:p>
  </w:footnote>
  <w:footnote w:id="20">
    <w:p w14:paraId="4A9E7114" w14:textId="77777777" w:rsidR="00734951" w:rsidRPr="006E2177" w:rsidRDefault="00734951" w:rsidP="00692991">
      <w:pPr>
        <w:pStyle w:val="FootnoteText"/>
        <w:keepNext/>
        <w:keepLines/>
        <w:widowControl/>
        <w:spacing w:after="120"/>
        <w:ind w:firstLine="720"/>
        <w:rPr>
          <w:sz w:val="26"/>
          <w:szCs w:val="26"/>
        </w:rPr>
      </w:pPr>
      <w:r w:rsidRPr="006E2177">
        <w:rPr>
          <w:rStyle w:val="FootnoteReference"/>
          <w:sz w:val="26"/>
          <w:szCs w:val="26"/>
        </w:rPr>
        <w:footnoteRef/>
      </w:r>
      <w:r w:rsidRPr="006E2177">
        <w:rPr>
          <w:sz w:val="26"/>
          <w:szCs w:val="26"/>
        </w:rPr>
        <w:t xml:space="preserve"> </w:t>
      </w:r>
      <w:r w:rsidRPr="006E2177">
        <w:rPr>
          <w:sz w:val="26"/>
          <w:szCs w:val="26"/>
        </w:rPr>
        <w:tab/>
        <w:t xml:space="preserve">PIOGA asserts </w:t>
      </w:r>
      <w:r>
        <w:rPr>
          <w:sz w:val="26"/>
          <w:szCs w:val="26"/>
        </w:rPr>
        <w:t>that</w:t>
      </w:r>
      <w:r w:rsidRPr="006E2177">
        <w:rPr>
          <w:sz w:val="26"/>
          <w:szCs w:val="26"/>
        </w:rPr>
        <w:t xml:space="preserve"> under the UFG Mitigation Plan, the </w:t>
      </w:r>
      <w:r>
        <w:rPr>
          <w:sz w:val="26"/>
          <w:szCs w:val="26"/>
        </w:rPr>
        <w:t>Peoples</w:t>
      </w:r>
      <w:r w:rsidRPr="006E2177">
        <w:rPr>
          <w:sz w:val="26"/>
          <w:szCs w:val="26"/>
        </w:rPr>
        <w:t xml:space="preserve"> Companies are only committing $21.1 million to gathering system compared to almost $822.5 million for distribution system over the next five years.  </w:t>
      </w:r>
      <w:r>
        <w:rPr>
          <w:sz w:val="26"/>
          <w:szCs w:val="26"/>
        </w:rPr>
        <w:t>PIOGA Exc. at 4.</w:t>
      </w:r>
    </w:p>
  </w:footnote>
  <w:footnote w:id="21">
    <w:p w14:paraId="53CAD623" w14:textId="72F44590" w:rsidR="00734951" w:rsidRPr="004F170C" w:rsidRDefault="00734951" w:rsidP="00692991">
      <w:pPr>
        <w:keepNext/>
        <w:keepLines/>
        <w:widowControl/>
        <w:tabs>
          <w:tab w:val="left" w:pos="720"/>
        </w:tabs>
        <w:autoSpaceDE w:val="0"/>
        <w:autoSpaceDN w:val="0"/>
        <w:adjustRightInd w:val="0"/>
        <w:spacing w:after="120"/>
        <w:rPr>
          <w:sz w:val="26"/>
          <w:szCs w:val="26"/>
        </w:rPr>
      </w:pPr>
      <w:r>
        <w:rPr>
          <w:sz w:val="26"/>
          <w:szCs w:val="26"/>
        </w:rPr>
        <w:tab/>
      </w:r>
      <w:r w:rsidRPr="004F170C">
        <w:rPr>
          <w:rStyle w:val="FootnoteReference"/>
          <w:sz w:val="26"/>
          <w:szCs w:val="26"/>
        </w:rPr>
        <w:footnoteRef/>
      </w:r>
      <w:r>
        <w:rPr>
          <w:sz w:val="26"/>
          <w:szCs w:val="26"/>
        </w:rPr>
        <w:tab/>
      </w:r>
      <w:r w:rsidRPr="004F170C">
        <w:rPr>
          <w:sz w:val="26"/>
          <w:szCs w:val="26"/>
        </w:rPr>
        <w:t xml:space="preserve">Settlement Paragraph 25 states </w:t>
      </w:r>
      <w:r>
        <w:rPr>
          <w:sz w:val="26"/>
          <w:szCs w:val="26"/>
        </w:rPr>
        <w:t>“</w:t>
      </w:r>
      <w:r w:rsidRPr="004F170C">
        <w:rPr>
          <w:sz w:val="26"/>
          <w:szCs w:val="26"/>
        </w:rPr>
        <w:t>Peoples Natural Gas will be subject to a gathering system UFG target (</w:t>
      </w:r>
      <w:r>
        <w:rPr>
          <w:sz w:val="26"/>
          <w:szCs w:val="26"/>
        </w:rPr>
        <w:t>“</w:t>
      </w:r>
      <w:r w:rsidRPr="004F170C">
        <w:rPr>
          <w:sz w:val="26"/>
          <w:szCs w:val="26"/>
        </w:rPr>
        <w:t>UFG target</w:t>
      </w:r>
      <w:r>
        <w:rPr>
          <w:sz w:val="26"/>
          <w:szCs w:val="26"/>
        </w:rPr>
        <w:t>”</w:t>
      </w:r>
      <w:r w:rsidRPr="004F170C">
        <w:rPr>
          <w:sz w:val="26"/>
          <w:szCs w:val="26"/>
        </w:rPr>
        <w:t>) of 9.0% for the year ending August 31, 2019, 8.5% for the year ending August 31, 2020, and 7.5% for the year ending August 31, 2021.</w:t>
      </w:r>
      <w:r>
        <w:rPr>
          <w:sz w:val="26"/>
          <w:szCs w:val="26"/>
        </w:rPr>
        <w:t xml:space="preserve">  Joint Petition at 3.</w:t>
      </w:r>
    </w:p>
  </w:footnote>
  <w:footnote w:id="22">
    <w:p w14:paraId="2785E4DE" w14:textId="04D786B9" w:rsidR="00734951" w:rsidRPr="00042D46" w:rsidRDefault="00734951" w:rsidP="00692991">
      <w:pPr>
        <w:pStyle w:val="FootnoteText"/>
        <w:keepNext/>
        <w:keepLines/>
        <w:widowControl/>
        <w:spacing w:after="120"/>
        <w:ind w:firstLine="720"/>
        <w:rPr>
          <w:sz w:val="26"/>
          <w:szCs w:val="26"/>
        </w:rPr>
      </w:pPr>
      <w:r w:rsidRPr="00042D46">
        <w:rPr>
          <w:rStyle w:val="FootnoteReference"/>
          <w:sz w:val="26"/>
          <w:szCs w:val="26"/>
        </w:rPr>
        <w:footnoteRef/>
      </w:r>
      <w:r w:rsidRPr="00042D46">
        <w:rPr>
          <w:sz w:val="26"/>
          <w:szCs w:val="26"/>
        </w:rPr>
        <w:tab/>
        <w:t>Peoples</w:t>
      </w:r>
      <w:r>
        <w:rPr>
          <w:sz w:val="26"/>
          <w:szCs w:val="26"/>
        </w:rPr>
        <w:t>’</w:t>
      </w:r>
      <w:r w:rsidRPr="00042D46">
        <w:rPr>
          <w:sz w:val="26"/>
          <w:szCs w:val="26"/>
        </w:rPr>
        <w:t xml:space="preserve"> gathering system UFG has steadily increased in the past three years, including: 8.9% for the reporting year ended August 31, 2015; 9.2% for the year ended August 31, 2016; and 10.2% for the year ended August 31, 2017.  OCA St. 1 at 7.</w:t>
      </w:r>
    </w:p>
  </w:footnote>
  <w:footnote w:id="23">
    <w:p w14:paraId="56A9DE8E" w14:textId="5E85D76D" w:rsidR="00734951" w:rsidRPr="00FD2ABA" w:rsidRDefault="00734951" w:rsidP="00692991">
      <w:pPr>
        <w:pStyle w:val="FootnoteText"/>
        <w:keepNext/>
        <w:keepLines/>
        <w:widowControl/>
        <w:spacing w:after="120"/>
        <w:ind w:firstLine="720"/>
        <w:rPr>
          <w:sz w:val="26"/>
          <w:szCs w:val="26"/>
        </w:rPr>
      </w:pPr>
      <w:r w:rsidRPr="00FD2ABA">
        <w:rPr>
          <w:rStyle w:val="FootnoteReference"/>
          <w:sz w:val="26"/>
          <w:szCs w:val="26"/>
        </w:rPr>
        <w:footnoteRef/>
      </w:r>
      <w:r w:rsidRPr="00FD2ABA">
        <w:rPr>
          <w:sz w:val="26"/>
          <w:szCs w:val="26"/>
        </w:rPr>
        <w:tab/>
        <w:t>PIOGA argues</w:t>
      </w:r>
      <w:r>
        <w:rPr>
          <w:sz w:val="26"/>
          <w:szCs w:val="26"/>
        </w:rPr>
        <w:t xml:space="preserve"> Peoples’</w:t>
      </w:r>
      <w:r w:rsidRPr="00FD2ABA">
        <w:rPr>
          <w:sz w:val="26"/>
          <w:szCs w:val="26"/>
        </w:rPr>
        <w:t xml:space="preserve"> experience with the Goodwin and Tombaugh systems demonstrate that incentivizing producers with a gathering retainage charge does not work.  Exc. at 9 (citing PIOGA M.B. at 14</w:t>
      </w:r>
      <w:r>
        <w:rPr>
          <w:sz w:val="26"/>
          <w:szCs w:val="26"/>
        </w:rPr>
        <w:t>)</w:t>
      </w:r>
      <w:r w:rsidRPr="00FD2ABA">
        <w:rPr>
          <w:sz w:val="26"/>
          <w:szCs w:val="26"/>
        </w:rPr>
        <w:t>.</w:t>
      </w:r>
    </w:p>
  </w:footnote>
  <w:footnote w:id="24">
    <w:p w14:paraId="4DCBD97B" w14:textId="434C3BFB" w:rsidR="00734951" w:rsidRPr="00042B3C" w:rsidRDefault="00734951" w:rsidP="00692991">
      <w:pPr>
        <w:pStyle w:val="FootnoteText"/>
        <w:keepNext/>
        <w:keepLines/>
        <w:widowControl/>
        <w:spacing w:after="120"/>
        <w:ind w:firstLine="720"/>
        <w:rPr>
          <w:sz w:val="26"/>
          <w:szCs w:val="26"/>
        </w:rPr>
      </w:pPr>
      <w:r w:rsidRPr="00042B3C">
        <w:rPr>
          <w:rStyle w:val="FootnoteReference"/>
          <w:sz w:val="26"/>
          <w:szCs w:val="26"/>
        </w:rPr>
        <w:footnoteRef/>
      </w:r>
      <w:r w:rsidRPr="00042B3C">
        <w:rPr>
          <w:sz w:val="26"/>
          <w:szCs w:val="26"/>
        </w:rPr>
        <w:tab/>
        <w:t>Volumes under this service are subject to a gathering rate and a gas-in-kind retainage rate (for the recovery of gathering UFG) that is determined by negotiations.  PNG R. Exc. at 11 (citing PNG R.B. at 8).</w:t>
      </w:r>
    </w:p>
  </w:footnote>
  <w:footnote w:id="25">
    <w:p w14:paraId="2063331B" w14:textId="5EA5E80B" w:rsidR="00734951" w:rsidRPr="00933080" w:rsidRDefault="00734951" w:rsidP="00692991">
      <w:pPr>
        <w:pStyle w:val="FootnoteText"/>
        <w:keepNext/>
        <w:keepLines/>
        <w:widowControl/>
        <w:spacing w:after="120"/>
        <w:ind w:firstLine="720"/>
        <w:rPr>
          <w:sz w:val="26"/>
          <w:szCs w:val="26"/>
        </w:rPr>
      </w:pPr>
      <w:r w:rsidRPr="00933080">
        <w:rPr>
          <w:rStyle w:val="FootnoteReference"/>
          <w:sz w:val="26"/>
          <w:szCs w:val="26"/>
        </w:rPr>
        <w:footnoteRef/>
      </w:r>
      <w:r w:rsidRPr="00933080">
        <w:rPr>
          <w:sz w:val="26"/>
          <w:szCs w:val="26"/>
        </w:rPr>
        <w:tab/>
        <w:t>According to Peoples, Equitrans charges 9.5% gathering retainage rate, as of August 1, 2016, Dominion Energy Transmission</w:t>
      </w:r>
      <w:r>
        <w:rPr>
          <w:sz w:val="26"/>
          <w:szCs w:val="26"/>
        </w:rPr>
        <w:t>’</w:t>
      </w:r>
      <w:r w:rsidRPr="00933080">
        <w:rPr>
          <w:sz w:val="26"/>
          <w:szCs w:val="26"/>
        </w:rPr>
        <w:t>s FERC-approved gathering retainage rate was 9.34%, Columbia Gas Transmission LLC charges a 4.5% rate, which will increase annually by 0.5% until it reaches 6.0% in 2021.  PNG R. Exc. at 11</w:t>
      </w:r>
      <w:r>
        <w:rPr>
          <w:sz w:val="26"/>
          <w:szCs w:val="26"/>
        </w:rPr>
        <w:t>-12</w:t>
      </w:r>
      <w:r w:rsidRPr="00933080">
        <w:rPr>
          <w:sz w:val="26"/>
          <w:szCs w:val="26"/>
        </w:rPr>
        <w:t xml:space="preserve"> (citing </w:t>
      </w:r>
      <w:r>
        <w:rPr>
          <w:sz w:val="26"/>
          <w:szCs w:val="26"/>
        </w:rPr>
        <w:t xml:space="preserve">PNG M.B. at 12-13; </w:t>
      </w:r>
      <w:r w:rsidRPr="00933080">
        <w:rPr>
          <w:sz w:val="26"/>
          <w:szCs w:val="26"/>
        </w:rPr>
        <w:t>PNG R.B. at 8-9)</w:t>
      </w:r>
      <w:r w:rsidR="00406DE7">
        <w:rPr>
          <w:sz w:val="26"/>
          <w:szCs w:val="26"/>
        </w:rPr>
        <w:t>.</w:t>
      </w:r>
    </w:p>
  </w:footnote>
  <w:footnote w:id="26">
    <w:p w14:paraId="18AC4A1C" w14:textId="142A0FB2" w:rsidR="00734951" w:rsidRPr="00FC1B56" w:rsidRDefault="00734951" w:rsidP="00692991">
      <w:pPr>
        <w:pStyle w:val="FootnoteText"/>
        <w:keepNext/>
        <w:keepLines/>
        <w:widowControl/>
        <w:spacing w:after="120"/>
        <w:ind w:firstLine="720"/>
        <w:rPr>
          <w:sz w:val="26"/>
          <w:szCs w:val="26"/>
        </w:rPr>
      </w:pPr>
      <w:r w:rsidRPr="00FC1B56">
        <w:rPr>
          <w:rStyle w:val="FootnoteReference"/>
          <w:sz w:val="26"/>
          <w:szCs w:val="26"/>
        </w:rPr>
        <w:footnoteRef/>
      </w:r>
      <w:r w:rsidRPr="00FC1B56">
        <w:rPr>
          <w:sz w:val="26"/>
          <w:szCs w:val="26"/>
        </w:rPr>
        <w:tab/>
        <w:t>According to Peoples, Mr. Hillebrand</w:t>
      </w:r>
      <w:r>
        <w:rPr>
          <w:sz w:val="26"/>
          <w:szCs w:val="26"/>
        </w:rPr>
        <w:t xml:space="preserve">, who admitted he was unaware that FERC uses an established “modified primary function test” to determine if pipelines are non-jurisdictional gathering facilities, among other things, never even knew of situations where Commission-regulated customers were served directly </w:t>
      </w:r>
      <w:proofErr w:type="gramStart"/>
      <w:r>
        <w:rPr>
          <w:sz w:val="26"/>
          <w:szCs w:val="26"/>
        </w:rPr>
        <w:t>off of</w:t>
      </w:r>
      <w:proofErr w:type="gramEnd"/>
      <w:r>
        <w:rPr>
          <w:sz w:val="26"/>
          <w:szCs w:val="26"/>
        </w:rPr>
        <w:t xml:space="preserve"> an interstate transmission line.  Peoples further argue</w:t>
      </w:r>
      <w:r w:rsidR="007F5786">
        <w:rPr>
          <w:sz w:val="26"/>
          <w:szCs w:val="26"/>
        </w:rPr>
        <w:t>s</w:t>
      </w:r>
      <w:r>
        <w:rPr>
          <w:sz w:val="26"/>
          <w:szCs w:val="26"/>
        </w:rPr>
        <w:t xml:space="preserve">, Mr. Hillebrand </w:t>
      </w:r>
      <w:r w:rsidRPr="00FC1B56">
        <w:rPr>
          <w:sz w:val="26"/>
          <w:szCs w:val="26"/>
        </w:rPr>
        <w:t>does not know what main line tap customers, field line customers, or what dual purpose meters are.  PNG R. Exc. at</w:t>
      </w:r>
      <w:r w:rsidR="007F5786">
        <w:rPr>
          <w:sz w:val="26"/>
          <w:szCs w:val="26"/>
        </w:rPr>
        <w:t> </w:t>
      </w:r>
      <w:r w:rsidRPr="00FC1B56">
        <w:rPr>
          <w:sz w:val="26"/>
          <w:szCs w:val="26"/>
        </w:rPr>
        <w:t>15</w:t>
      </w:r>
      <w:r w:rsidR="007F5786">
        <w:rPr>
          <w:sz w:val="26"/>
          <w:szCs w:val="26"/>
        </w:rPr>
        <w:noBreakHyphen/>
      </w:r>
      <w:r>
        <w:rPr>
          <w:sz w:val="26"/>
          <w:szCs w:val="26"/>
        </w:rPr>
        <w:t xml:space="preserve">16 </w:t>
      </w:r>
      <w:r w:rsidRPr="00FC1B56">
        <w:rPr>
          <w:sz w:val="26"/>
          <w:szCs w:val="26"/>
        </w:rPr>
        <w:t>(citing Tr. at 8</w:t>
      </w:r>
      <w:r>
        <w:rPr>
          <w:sz w:val="26"/>
          <w:szCs w:val="26"/>
        </w:rPr>
        <w:t>4</w:t>
      </w:r>
      <w:r w:rsidRPr="00FC1B56">
        <w:rPr>
          <w:sz w:val="26"/>
          <w:szCs w:val="26"/>
        </w:rPr>
        <w:t xml:space="preserve">-86).  </w:t>
      </w:r>
    </w:p>
  </w:footnote>
  <w:footnote w:id="27">
    <w:p w14:paraId="24A3C999" w14:textId="4F7B8D76" w:rsidR="00734951" w:rsidRPr="00CD22D4" w:rsidRDefault="00734951" w:rsidP="00692991">
      <w:pPr>
        <w:pStyle w:val="FootnoteText"/>
        <w:keepNext/>
        <w:keepLines/>
        <w:widowControl/>
        <w:spacing w:after="120"/>
        <w:ind w:firstLine="720"/>
        <w:rPr>
          <w:sz w:val="26"/>
          <w:szCs w:val="26"/>
        </w:rPr>
      </w:pPr>
      <w:r w:rsidRPr="00CD22D4">
        <w:rPr>
          <w:rStyle w:val="FootnoteReference"/>
          <w:sz w:val="26"/>
          <w:szCs w:val="26"/>
        </w:rPr>
        <w:footnoteRef/>
      </w:r>
      <w:r w:rsidRPr="00CD22D4">
        <w:rPr>
          <w:sz w:val="26"/>
          <w:szCs w:val="26"/>
        </w:rPr>
        <w:t xml:space="preserve"> </w:t>
      </w:r>
      <w:r w:rsidRPr="00CD22D4">
        <w:rPr>
          <w:sz w:val="26"/>
          <w:szCs w:val="26"/>
        </w:rPr>
        <w:tab/>
        <w:t>PIOGA avers Finding of Fact Nos. 27, 28, 47, 48, 51, 53-56, 58, 59, 61-63, 69-72, 74, 79-81, all suggests that the Rate GS applies only to gathering lines.</w:t>
      </w:r>
    </w:p>
  </w:footnote>
  <w:footnote w:id="28">
    <w:p w14:paraId="3A79B99D" w14:textId="7A382C4C" w:rsidR="00734951" w:rsidRPr="009272B8" w:rsidRDefault="00734951" w:rsidP="00692991">
      <w:pPr>
        <w:pStyle w:val="FootnoteText"/>
        <w:keepNext/>
        <w:keepLines/>
        <w:widowControl/>
        <w:spacing w:after="120"/>
        <w:ind w:firstLine="720"/>
        <w:rPr>
          <w:sz w:val="26"/>
          <w:szCs w:val="26"/>
        </w:rPr>
      </w:pPr>
      <w:r w:rsidRPr="009272B8">
        <w:rPr>
          <w:rStyle w:val="FootnoteReference"/>
          <w:sz w:val="26"/>
          <w:szCs w:val="26"/>
        </w:rPr>
        <w:footnoteRef/>
      </w:r>
      <w:r w:rsidRPr="009272B8">
        <w:rPr>
          <w:sz w:val="26"/>
          <w:szCs w:val="26"/>
        </w:rPr>
        <w:t xml:space="preserve"> </w:t>
      </w:r>
      <w:r w:rsidRPr="009272B8">
        <w:rPr>
          <w:sz w:val="26"/>
          <w:szCs w:val="26"/>
        </w:rPr>
        <w:tab/>
        <w:t xml:space="preserve">Finding of Fact No. 71 states </w:t>
      </w:r>
      <w:r>
        <w:rPr>
          <w:sz w:val="26"/>
          <w:szCs w:val="26"/>
        </w:rPr>
        <w:t>“</w:t>
      </w:r>
      <w:r w:rsidRPr="009272B8">
        <w:rPr>
          <w:sz w:val="26"/>
          <w:szCs w:val="26"/>
        </w:rPr>
        <w:t>[a]s the system improves and UFG loss declines, the retainage collected from producers can also decline.</w:t>
      </w:r>
      <w:r>
        <w:rPr>
          <w:sz w:val="26"/>
          <w:szCs w:val="26"/>
        </w:rPr>
        <w:t>”</w:t>
      </w:r>
      <w:r w:rsidRPr="009272B8">
        <w:rPr>
          <w:sz w:val="26"/>
          <w:szCs w:val="26"/>
        </w:rPr>
        <w:t xml:space="preserve">  R.D. at 19 (citing PNG St. 1 at 13-14).</w:t>
      </w:r>
    </w:p>
    <w:p w14:paraId="6AD29D5D" w14:textId="77777777" w:rsidR="00734951" w:rsidRPr="009272B8" w:rsidRDefault="00734951" w:rsidP="00692991">
      <w:pPr>
        <w:pStyle w:val="FootnoteText"/>
        <w:keepNext/>
        <w:keepLines/>
        <w:widowControl/>
        <w:spacing w:after="120"/>
        <w:ind w:firstLine="720"/>
        <w:rPr>
          <w:sz w:val="26"/>
          <w:szCs w:val="26"/>
        </w:rPr>
      </w:pPr>
    </w:p>
  </w:footnote>
  <w:footnote w:id="29">
    <w:p w14:paraId="73F2CDED" w14:textId="0B7431C6" w:rsidR="00734951" w:rsidRPr="00FF2C63" w:rsidRDefault="00734951" w:rsidP="00692991">
      <w:pPr>
        <w:pStyle w:val="FootnoteText"/>
        <w:keepNext/>
        <w:keepLines/>
        <w:widowControl/>
        <w:spacing w:after="120"/>
        <w:ind w:firstLine="720"/>
        <w:rPr>
          <w:sz w:val="26"/>
          <w:szCs w:val="26"/>
        </w:rPr>
      </w:pPr>
      <w:r w:rsidRPr="00FF2C63">
        <w:rPr>
          <w:rStyle w:val="FootnoteReference"/>
          <w:sz w:val="26"/>
          <w:szCs w:val="26"/>
        </w:rPr>
        <w:footnoteRef/>
      </w:r>
      <w:r w:rsidRPr="00FF2C63">
        <w:rPr>
          <w:sz w:val="26"/>
          <w:szCs w:val="26"/>
        </w:rPr>
        <w:t xml:space="preserve"> </w:t>
      </w:r>
      <w:r w:rsidRPr="00FF2C63">
        <w:rPr>
          <w:sz w:val="26"/>
          <w:szCs w:val="26"/>
        </w:rPr>
        <w:tab/>
        <w:t xml:space="preserve">PNG Exh. 7 contains the proposed tariff which states that </w:t>
      </w:r>
      <w:r>
        <w:rPr>
          <w:sz w:val="26"/>
          <w:szCs w:val="26"/>
        </w:rPr>
        <w:t>“</w:t>
      </w:r>
      <w:r w:rsidRPr="00FF2C63">
        <w:rPr>
          <w:sz w:val="26"/>
          <w:szCs w:val="26"/>
        </w:rPr>
        <w:t>[a]</w:t>
      </w:r>
      <w:proofErr w:type="spellStart"/>
      <w:r w:rsidRPr="00FF2C63">
        <w:rPr>
          <w:sz w:val="26"/>
          <w:szCs w:val="26"/>
        </w:rPr>
        <w:t>ll</w:t>
      </w:r>
      <w:proofErr w:type="spellEnd"/>
      <w:r w:rsidRPr="00FF2C63">
        <w:rPr>
          <w:sz w:val="26"/>
          <w:szCs w:val="26"/>
        </w:rPr>
        <w:t xml:space="preserve"> volumes of gas received at any point under this service will be subject to a 2.0% retainage rate.</w:t>
      </w:r>
      <w:r>
        <w:rPr>
          <w:sz w:val="26"/>
          <w:szCs w:val="26"/>
        </w:rPr>
        <w:t>”</w:t>
      </w:r>
      <w:r w:rsidRPr="00FF2C63">
        <w:rPr>
          <w:sz w:val="26"/>
          <w:szCs w:val="26"/>
        </w:rPr>
        <w:t xml:space="preserve">  Gas – Pa. P.U.C. No. 46, Original Page No. 82 states</w:t>
      </w:r>
      <w:r>
        <w:rPr>
          <w:sz w:val="26"/>
          <w:szCs w:val="26"/>
        </w:rPr>
        <w:t xml:space="preserve"> </w:t>
      </w:r>
      <w:r w:rsidRPr="00FF2C63">
        <w:rPr>
          <w:sz w:val="26"/>
          <w:szCs w:val="26"/>
        </w:rPr>
        <w:t xml:space="preserve">that </w:t>
      </w:r>
      <w:r>
        <w:rPr>
          <w:sz w:val="26"/>
          <w:szCs w:val="26"/>
        </w:rPr>
        <w:t>“</w:t>
      </w:r>
      <w:r w:rsidRPr="00FF2C63">
        <w:rPr>
          <w:sz w:val="26"/>
          <w:szCs w:val="26"/>
        </w:rPr>
        <w:t>[a]</w:t>
      </w:r>
      <w:proofErr w:type="spellStart"/>
      <w:r w:rsidRPr="00FF2C63">
        <w:rPr>
          <w:sz w:val="26"/>
          <w:szCs w:val="26"/>
        </w:rPr>
        <w:t>ll</w:t>
      </w:r>
      <w:proofErr w:type="spellEnd"/>
      <w:r w:rsidRPr="00FF2C63">
        <w:rPr>
          <w:sz w:val="26"/>
          <w:szCs w:val="26"/>
        </w:rPr>
        <w:t xml:space="preserve"> volumes of gas received at any point under this service will be subject to a </w:t>
      </w:r>
      <w:r>
        <w:rPr>
          <w:sz w:val="26"/>
          <w:szCs w:val="26"/>
        </w:rPr>
        <w:t xml:space="preserve">gathering rate (billed in dekatherms) and a </w:t>
      </w:r>
      <w:r w:rsidRPr="00FF2C63">
        <w:rPr>
          <w:sz w:val="26"/>
          <w:szCs w:val="26"/>
        </w:rPr>
        <w:t>retainage</w:t>
      </w:r>
      <w:r>
        <w:rPr>
          <w:sz w:val="26"/>
          <w:szCs w:val="26"/>
        </w:rPr>
        <w:t xml:space="preserve"> charge.  All rates for this service shall be determined by negotiation</w:t>
      </w:r>
      <w:r w:rsidRPr="00FF2C63">
        <w:rPr>
          <w:sz w:val="26"/>
          <w:szCs w:val="26"/>
        </w:rPr>
        <w:t>.</w:t>
      </w:r>
      <w:r>
        <w:rPr>
          <w:sz w:val="26"/>
          <w:szCs w:val="26"/>
        </w:rPr>
        <w:t>”</w:t>
      </w:r>
      <w:r w:rsidRPr="00FF2C63">
        <w:rPr>
          <w:sz w:val="26"/>
          <w:szCs w:val="26"/>
        </w:rP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03115F"/>
    <w:multiLevelType w:val="hybridMultilevel"/>
    <w:tmpl w:val="F97800C8"/>
    <w:lvl w:ilvl="0" w:tplc="BDAE3A78">
      <w:start w:val="1"/>
      <w:numFmt w:val="decimal"/>
      <w:lvlText w:val="%1."/>
      <w:lvlJc w:val="left"/>
      <w:pPr>
        <w:ind w:left="2160" w:hanging="720"/>
      </w:pPr>
      <w:rPr>
        <w:rFonts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15:restartNumberingAfterBreak="0">
    <w:nsid w:val="04F37EDB"/>
    <w:multiLevelType w:val="hybridMultilevel"/>
    <w:tmpl w:val="8D9E4C52"/>
    <w:lvl w:ilvl="0" w:tplc="4D68F1B6">
      <w:start w:val="1"/>
      <w:numFmt w:val="upperLetter"/>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A8376FC"/>
    <w:multiLevelType w:val="hybridMultilevel"/>
    <w:tmpl w:val="5F549AAE"/>
    <w:lvl w:ilvl="0" w:tplc="6F5E0050">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15:restartNumberingAfterBreak="0">
    <w:nsid w:val="2436642F"/>
    <w:multiLevelType w:val="hybridMultilevel"/>
    <w:tmpl w:val="C570FD4A"/>
    <w:lvl w:ilvl="0" w:tplc="89680358">
      <w:start w:val="3"/>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 w15:restartNumberingAfterBreak="0">
    <w:nsid w:val="29305764"/>
    <w:multiLevelType w:val="hybridMultilevel"/>
    <w:tmpl w:val="4E2C5A64"/>
    <w:lvl w:ilvl="0" w:tplc="6480213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31926EB5"/>
    <w:multiLevelType w:val="hybridMultilevel"/>
    <w:tmpl w:val="1B1C7054"/>
    <w:lvl w:ilvl="0" w:tplc="BD840C38">
      <w:start w:val="1"/>
      <w:numFmt w:val="upperRoman"/>
      <w:pStyle w:val="Heading1"/>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50D71BE"/>
    <w:multiLevelType w:val="hybridMultilevel"/>
    <w:tmpl w:val="B850857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5C86A95"/>
    <w:multiLevelType w:val="hybridMultilevel"/>
    <w:tmpl w:val="9FA02F0E"/>
    <w:lvl w:ilvl="0" w:tplc="92B0112A">
      <w:start w:val="1"/>
      <w:numFmt w:val="lowerLetter"/>
      <w:pStyle w:val="Heading4"/>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8" w15:restartNumberingAfterBreak="0">
    <w:nsid w:val="3C746620"/>
    <w:multiLevelType w:val="hybridMultilevel"/>
    <w:tmpl w:val="85440D4A"/>
    <w:lvl w:ilvl="0" w:tplc="4A88BB1A">
      <w:start w:val="1"/>
      <w:numFmt w:val="decimal"/>
      <w:pStyle w:val="Heading3"/>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474F5658"/>
    <w:multiLevelType w:val="hybridMultilevel"/>
    <w:tmpl w:val="A9ACC0BA"/>
    <w:lvl w:ilvl="0" w:tplc="04090015">
      <w:start w:val="1"/>
      <w:numFmt w:val="upp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488F6D04"/>
    <w:multiLevelType w:val="hybridMultilevel"/>
    <w:tmpl w:val="6270C83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9D363FC"/>
    <w:multiLevelType w:val="hybridMultilevel"/>
    <w:tmpl w:val="A1B2A16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F3B41B9"/>
    <w:multiLevelType w:val="hybridMultilevel"/>
    <w:tmpl w:val="CCAEB434"/>
    <w:lvl w:ilvl="0" w:tplc="C9EA9926">
      <w:start w:val="1"/>
      <w:numFmt w:val="lowerLetter"/>
      <w:lvlText w:val="%1."/>
      <w:lvlJc w:val="left"/>
      <w:pPr>
        <w:ind w:left="1800" w:hanging="360"/>
      </w:pPr>
      <w:rPr>
        <w:rFonts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3" w15:restartNumberingAfterBreak="0">
    <w:nsid w:val="4F692E6F"/>
    <w:multiLevelType w:val="hybridMultilevel"/>
    <w:tmpl w:val="C94861F6"/>
    <w:lvl w:ilvl="0" w:tplc="7A9C4902">
      <w:start w:val="1"/>
      <w:numFmt w:val="upperLetter"/>
      <w:pStyle w:val="Heading2"/>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4B325C7"/>
    <w:multiLevelType w:val="hybridMultilevel"/>
    <w:tmpl w:val="EF2AB04C"/>
    <w:lvl w:ilvl="0" w:tplc="04090001">
      <w:start w:val="1"/>
      <w:numFmt w:val="bullet"/>
      <w:lvlText w:val=""/>
      <w:lvlJc w:val="left"/>
      <w:pPr>
        <w:ind w:left="864" w:hanging="360"/>
      </w:pPr>
      <w:rPr>
        <w:rFonts w:ascii="Symbol" w:hAnsi="Symbol" w:hint="default"/>
      </w:rPr>
    </w:lvl>
    <w:lvl w:ilvl="1" w:tplc="0409000F">
      <w:start w:val="1"/>
      <w:numFmt w:val="decimal"/>
      <w:lvlText w:val="%2."/>
      <w:lvlJc w:val="left"/>
      <w:pPr>
        <w:ind w:left="1584" w:hanging="360"/>
      </w:pPr>
      <w:rPr>
        <w:rFonts w:hint="default"/>
      </w:rPr>
    </w:lvl>
    <w:lvl w:ilvl="2" w:tplc="04090005">
      <w:start w:val="1"/>
      <w:numFmt w:val="bullet"/>
      <w:lvlText w:val=""/>
      <w:lvlJc w:val="left"/>
      <w:pPr>
        <w:ind w:left="2304" w:hanging="360"/>
      </w:pPr>
      <w:rPr>
        <w:rFonts w:ascii="Wingdings" w:hAnsi="Wingdings" w:hint="default"/>
      </w:rPr>
    </w:lvl>
    <w:lvl w:ilvl="3" w:tplc="04090001" w:tentative="1">
      <w:start w:val="1"/>
      <w:numFmt w:val="bullet"/>
      <w:lvlText w:val=""/>
      <w:lvlJc w:val="left"/>
      <w:pPr>
        <w:ind w:left="3024" w:hanging="360"/>
      </w:pPr>
      <w:rPr>
        <w:rFonts w:ascii="Symbol" w:hAnsi="Symbol" w:hint="default"/>
      </w:rPr>
    </w:lvl>
    <w:lvl w:ilvl="4" w:tplc="04090003" w:tentative="1">
      <w:start w:val="1"/>
      <w:numFmt w:val="bullet"/>
      <w:lvlText w:val="o"/>
      <w:lvlJc w:val="left"/>
      <w:pPr>
        <w:ind w:left="3744" w:hanging="360"/>
      </w:pPr>
      <w:rPr>
        <w:rFonts w:ascii="Courier New" w:hAnsi="Courier New" w:cs="Courier New" w:hint="default"/>
      </w:rPr>
    </w:lvl>
    <w:lvl w:ilvl="5" w:tplc="04090005" w:tentative="1">
      <w:start w:val="1"/>
      <w:numFmt w:val="bullet"/>
      <w:lvlText w:val=""/>
      <w:lvlJc w:val="left"/>
      <w:pPr>
        <w:ind w:left="4464" w:hanging="360"/>
      </w:pPr>
      <w:rPr>
        <w:rFonts w:ascii="Wingdings" w:hAnsi="Wingdings" w:hint="default"/>
      </w:rPr>
    </w:lvl>
    <w:lvl w:ilvl="6" w:tplc="04090001" w:tentative="1">
      <w:start w:val="1"/>
      <w:numFmt w:val="bullet"/>
      <w:lvlText w:val=""/>
      <w:lvlJc w:val="left"/>
      <w:pPr>
        <w:ind w:left="5184" w:hanging="360"/>
      </w:pPr>
      <w:rPr>
        <w:rFonts w:ascii="Symbol" w:hAnsi="Symbol" w:hint="default"/>
      </w:rPr>
    </w:lvl>
    <w:lvl w:ilvl="7" w:tplc="04090003" w:tentative="1">
      <w:start w:val="1"/>
      <w:numFmt w:val="bullet"/>
      <w:lvlText w:val="o"/>
      <w:lvlJc w:val="left"/>
      <w:pPr>
        <w:ind w:left="5904" w:hanging="360"/>
      </w:pPr>
      <w:rPr>
        <w:rFonts w:ascii="Courier New" w:hAnsi="Courier New" w:cs="Courier New" w:hint="default"/>
      </w:rPr>
    </w:lvl>
    <w:lvl w:ilvl="8" w:tplc="04090005" w:tentative="1">
      <w:start w:val="1"/>
      <w:numFmt w:val="bullet"/>
      <w:lvlText w:val=""/>
      <w:lvlJc w:val="left"/>
      <w:pPr>
        <w:ind w:left="6624" w:hanging="360"/>
      </w:pPr>
      <w:rPr>
        <w:rFonts w:ascii="Wingdings" w:hAnsi="Wingdings" w:hint="default"/>
      </w:rPr>
    </w:lvl>
  </w:abstractNum>
  <w:abstractNum w:abstractNumId="15" w15:restartNumberingAfterBreak="0">
    <w:nsid w:val="57720285"/>
    <w:multiLevelType w:val="hybridMultilevel"/>
    <w:tmpl w:val="332A2B2A"/>
    <w:lvl w:ilvl="0" w:tplc="D5D02F54">
      <w:start w:val="1"/>
      <w:numFmt w:val="upperLetter"/>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6" w15:restartNumberingAfterBreak="0">
    <w:nsid w:val="58591DA4"/>
    <w:multiLevelType w:val="hybridMultilevel"/>
    <w:tmpl w:val="007CDA4A"/>
    <w:lvl w:ilvl="0" w:tplc="29D2C292">
      <w:start w:val="1"/>
      <w:numFmt w:val="decimal"/>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7" w15:restartNumberingAfterBreak="0">
    <w:nsid w:val="5BF500ED"/>
    <w:multiLevelType w:val="hybridMultilevel"/>
    <w:tmpl w:val="5D8E8CFC"/>
    <w:lvl w:ilvl="0" w:tplc="1D8AB640">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8" w15:restartNumberingAfterBreak="0">
    <w:nsid w:val="61EE41E4"/>
    <w:multiLevelType w:val="hybridMultilevel"/>
    <w:tmpl w:val="040ED5EE"/>
    <w:lvl w:ilvl="0" w:tplc="AFAE3D5A">
      <w:start w:val="9"/>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9" w15:restartNumberingAfterBreak="0">
    <w:nsid w:val="6CA42FFA"/>
    <w:multiLevelType w:val="hybridMultilevel"/>
    <w:tmpl w:val="BDB69984"/>
    <w:lvl w:ilvl="0" w:tplc="9D705E80">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0" w15:restartNumberingAfterBreak="0">
    <w:nsid w:val="7DAB63AE"/>
    <w:multiLevelType w:val="hybridMultilevel"/>
    <w:tmpl w:val="A9ACC0BA"/>
    <w:lvl w:ilvl="0" w:tplc="04090015">
      <w:start w:val="1"/>
      <w:numFmt w:val="upp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7E194BB8"/>
    <w:multiLevelType w:val="hybridMultilevel"/>
    <w:tmpl w:val="723A884C"/>
    <w:lvl w:ilvl="0" w:tplc="25F0E518">
      <w:start w:val="1"/>
      <w:numFmt w:val="lowerRoman"/>
      <w:lvlText w:val="%1."/>
      <w:lvlJc w:val="left"/>
      <w:pPr>
        <w:ind w:left="2160" w:hanging="720"/>
      </w:pPr>
      <w:rPr>
        <w:rFonts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5"/>
  </w:num>
  <w:num w:numId="2">
    <w:abstractNumId w:val="13"/>
  </w:num>
  <w:num w:numId="3">
    <w:abstractNumId w:val="10"/>
  </w:num>
  <w:num w:numId="4">
    <w:abstractNumId w:val="15"/>
  </w:num>
  <w:num w:numId="5">
    <w:abstractNumId w:val="14"/>
  </w:num>
  <w:num w:numId="6">
    <w:abstractNumId w:val="20"/>
  </w:num>
  <w:num w:numId="7">
    <w:abstractNumId w:val="21"/>
  </w:num>
  <w:num w:numId="8">
    <w:abstractNumId w:val="12"/>
  </w:num>
  <w:num w:numId="9">
    <w:abstractNumId w:val="17"/>
  </w:num>
  <w:num w:numId="10">
    <w:abstractNumId w:val="16"/>
  </w:num>
  <w:num w:numId="11">
    <w:abstractNumId w:val="0"/>
  </w:num>
  <w:num w:numId="12">
    <w:abstractNumId w:val="6"/>
  </w:num>
  <w:num w:numId="13">
    <w:abstractNumId w:val="9"/>
  </w:num>
  <w:num w:numId="14">
    <w:abstractNumId w:val="18"/>
  </w:num>
  <w:num w:numId="15">
    <w:abstractNumId w:val="1"/>
  </w:num>
  <w:num w:numId="16">
    <w:abstractNumId w:val="19"/>
  </w:num>
  <w:num w:numId="17">
    <w:abstractNumId w:val="3"/>
  </w:num>
  <w:num w:numId="18">
    <w:abstractNumId w:val="2"/>
  </w:num>
  <w:num w:numId="19">
    <w:abstractNumId w:val="4"/>
  </w:num>
  <w:num w:numId="20">
    <w:abstractNumId w:val="11"/>
  </w:num>
  <w:num w:numId="21">
    <w:abstractNumId w:val="13"/>
    <w:lvlOverride w:ilvl="0">
      <w:startOverride w:val="1"/>
    </w:lvlOverride>
  </w:num>
  <w:num w:numId="22">
    <w:abstractNumId w:val="13"/>
    <w:lvlOverride w:ilvl="0">
      <w:startOverride w:val="1"/>
    </w:lvlOverride>
  </w:num>
  <w:num w:numId="23">
    <w:abstractNumId w:val="8"/>
  </w:num>
  <w:num w:numId="24">
    <w:abstractNumId w:val="7"/>
  </w:num>
  <w:num w:numId="25">
    <w:abstractNumId w:val="7"/>
    <w:lvlOverride w:ilvl="0">
      <w:startOverride w:val="1"/>
    </w:lvlOverride>
  </w:num>
  <w:num w:numId="26">
    <w:abstractNumId w:val="8"/>
    <w:lvlOverride w:ilvl="0">
      <w:startOverride w:val="1"/>
    </w:lvlOverride>
  </w:num>
  <w:num w:numId="27">
    <w:abstractNumId w:val="8"/>
    <w:lvlOverride w:ilvl="0">
      <w:startOverride w:val="1"/>
    </w:lvlOverride>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A17EC"/>
    <w:rsid w:val="000001BD"/>
    <w:rsid w:val="00000223"/>
    <w:rsid w:val="00000651"/>
    <w:rsid w:val="00000CE2"/>
    <w:rsid w:val="00000D47"/>
    <w:rsid w:val="00001277"/>
    <w:rsid w:val="00001486"/>
    <w:rsid w:val="0000153D"/>
    <w:rsid w:val="000017F2"/>
    <w:rsid w:val="00001FC8"/>
    <w:rsid w:val="00002644"/>
    <w:rsid w:val="00002724"/>
    <w:rsid w:val="00002876"/>
    <w:rsid w:val="00002CF0"/>
    <w:rsid w:val="00002E0E"/>
    <w:rsid w:val="00002F13"/>
    <w:rsid w:val="00003444"/>
    <w:rsid w:val="00003A72"/>
    <w:rsid w:val="000040C2"/>
    <w:rsid w:val="0000451E"/>
    <w:rsid w:val="00004671"/>
    <w:rsid w:val="00004817"/>
    <w:rsid w:val="000048E0"/>
    <w:rsid w:val="00004D03"/>
    <w:rsid w:val="00005318"/>
    <w:rsid w:val="00005BE7"/>
    <w:rsid w:val="000061ED"/>
    <w:rsid w:val="00006579"/>
    <w:rsid w:val="000065FB"/>
    <w:rsid w:val="00006685"/>
    <w:rsid w:val="00006A65"/>
    <w:rsid w:val="00006F35"/>
    <w:rsid w:val="00006FEE"/>
    <w:rsid w:val="0000721A"/>
    <w:rsid w:val="000075A6"/>
    <w:rsid w:val="00007813"/>
    <w:rsid w:val="00007980"/>
    <w:rsid w:val="00007AF7"/>
    <w:rsid w:val="00007D7F"/>
    <w:rsid w:val="00007ECA"/>
    <w:rsid w:val="00010E93"/>
    <w:rsid w:val="000117EB"/>
    <w:rsid w:val="00011AB1"/>
    <w:rsid w:val="00011D98"/>
    <w:rsid w:val="0001221F"/>
    <w:rsid w:val="000122A4"/>
    <w:rsid w:val="000124ED"/>
    <w:rsid w:val="0001297C"/>
    <w:rsid w:val="00012C28"/>
    <w:rsid w:val="00013358"/>
    <w:rsid w:val="00013812"/>
    <w:rsid w:val="0001474B"/>
    <w:rsid w:val="000147AA"/>
    <w:rsid w:val="00014BE5"/>
    <w:rsid w:val="00014E95"/>
    <w:rsid w:val="00015314"/>
    <w:rsid w:val="000154E2"/>
    <w:rsid w:val="000157D7"/>
    <w:rsid w:val="00015A97"/>
    <w:rsid w:val="00016482"/>
    <w:rsid w:val="000168E4"/>
    <w:rsid w:val="0001695C"/>
    <w:rsid w:val="00016D57"/>
    <w:rsid w:val="00016FB2"/>
    <w:rsid w:val="000171BD"/>
    <w:rsid w:val="0001775C"/>
    <w:rsid w:val="00017852"/>
    <w:rsid w:val="000179A4"/>
    <w:rsid w:val="00017F40"/>
    <w:rsid w:val="00017F8B"/>
    <w:rsid w:val="00020117"/>
    <w:rsid w:val="000205EA"/>
    <w:rsid w:val="000206EB"/>
    <w:rsid w:val="00020817"/>
    <w:rsid w:val="00021130"/>
    <w:rsid w:val="000213A0"/>
    <w:rsid w:val="00021850"/>
    <w:rsid w:val="00021E31"/>
    <w:rsid w:val="00021E46"/>
    <w:rsid w:val="00021F58"/>
    <w:rsid w:val="000222E8"/>
    <w:rsid w:val="00022572"/>
    <w:rsid w:val="000225A9"/>
    <w:rsid w:val="00022B74"/>
    <w:rsid w:val="0002304F"/>
    <w:rsid w:val="0002305B"/>
    <w:rsid w:val="0002315D"/>
    <w:rsid w:val="000231E3"/>
    <w:rsid w:val="0002326C"/>
    <w:rsid w:val="0002332C"/>
    <w:rsid w:val="00023423"/>
    <w:rsid w:val="00023B72"/>
    <w:rsid w:val="00023CFE"/>
    <w:rsid w:val="0002415E"/>
    <w:rsid w:val="0002417D"/>
    <w:rsid w:val="000242BD"/>
    <w:rsid w:val="0002453E"/>
    <w:rsid w:val="0002467F"/>
    <w:rsid w:val="00024F85"/>
    <w:rsid w:val="0002501D"/>
    <w:rsid w:val="0002523F"/>
    <w:rsid w:val="0002524C"/>
    <w:rsid w:val="000252D6"/>
    <w:rsid w:val="0002556C"/>
    <w:rsid w:val="00025CEC"/>
    <w:rsid w:val="00025E34"/>
    <w:rsid w:val="00025E8F"/>
    <w:rsid w:val="00025F3F"/>
    <w:rsid w:val="00025FF6"/>
    <w:rsid w:val="0002606A"/>
    <w:rsid w:val="00026703"/>
    <w:rsid w:val="000267E5"/>
    <w:rsid w:val="00026CD2"/>
    <w:rsid w:val="00027140"/>
    <w:rsid w:val="00027EF2"/>
    <w:rsid w:val="0003055F"/>
    <w:rsid w:val="0003093F"/>
    <w:rsid w:val="00030A62"/>
    <w:rsid w:val="00030AFB"/>
    <w:rsid w:val="00030F6D"/>
    <w:rsid w:val="00031433"/>
    <w:rsid w:val="0003180C"/>
    <w:rsid w:val="00032635"/>
    <w:rsid w:val="00032863"/>
    <w:rsid w:val="00032CDA"/>
    <w:rsid w:val="0003325E"/>
    <w:rsid w:val="00033512"/>
    <w:rsid w:val="000338FE"/>
    <w:rsid w:val="0003393B"/>
    <w:rsid w:val="00033D2F"/>
    <w:rsid w:val="00033EFA"/>
    <w:rsid w:val="00033FBF"/>
    <w:rsid w:val="0003417F"/>
    <w:rsid w:val="0003453C"/>
    <w:rsid w:val="00034A42"/>
    <w:rsid w:val="00034C2C"/>
    <w:rsid w:val="00034E13"/>
    <w:rsid w:val="00034EB0"/>
    <w:rsid w:val="00034FAE"/>
    <w:rsid w:val="00034FF1"/>
    <w:rsid w:val="000351D9"/>
    <w:rsid w:val="00035288"/>
    <w:rsid w:val="00035748"/>
    <w:rsid w:val="000359E1"/>
    <w:rsid w:val="00035A3B"/>
    <w:rsid w:val="00035DB7"/>
    <w:rsid w:val="00036DBB"/>
    <w:rsid w:val="00036E5A"/>
    <w:rsid w:val="00036E85"/>
    <w:rsid w:val="00036EF1"/>
    <w:rsid w:val="00037341"/>
    <w:rsid w:val="000374E7"/>
    <w:rsid w:val="00037641"/>
    <w:rsid w:val="00037BB4"/>
    <w:rsid w:val="00037FC0"/>
    <w:rsid w:val="0004008E"/>
    <w:rsid w:val="000407B1"/>
    <w:rsid w:val="00040A8E"/>
    <w:rsid w:val="00040AEA"/>
    <w:rsid w:val="00040F7D"/>
    <w:rsid w:val="000411B5"/>
    <w:rsid w:val="00041967"/>
    <w:rsid w:val="00041C4C"/>
    <w:rsid w:val="000426D8"/>
    <w:rsid w:val="0004297F"/>
    <w:rsid w:val="00042A86"/>
    <w:rsid w:val="00042B3C"/>
    <w:rsid w:val="00042D46"/>
    <w:rsid w:val="00042D84"/>
    <w:rsid w:val="000434C1"/>
    <w:rsid w:val="00043D65"/>
    <w:rsid w:val="000441C7"/>
    <w:rsid w:val="00044260"/>
    <w:rsid w:val="00044AA9"/>
    <w:rsid w:val="00044CDF"/>
    <w:rsid w:val="00044F62"/>
    <w:rsid w:val="00044FDB"/>
    <w:rsid w:val="000452A6"/>
    <w:rsid w:val="00045306"/>
    <w:rsid w:val="00045800"/>
    <w:rsid w:val="000458B7"/>
    <w:rsid w:val="00045A17"/>
    <w:rsid w:val="00045FE8"/>
    <w:rsid w:val="000469E6"/>
    <w:rsid w:val="00046D2C"/>
    <w:rsid w:val="0004768B"/>
    <w:rsid w:val="000477D8"/>
    <w:rsid w:val="00047874"/>
    <w:rsid w:val="00047A50"/>
    <w:rsid w:val="00047F4A"/>
    <w:rsid w:val="00050004"/>
    <w:rsid w:val="000502EF"/>
    <w:rsid w:val="000507F6"/>
    <w:rsid w:val="00050B9E"/>
    <w:rsid w:val="00050F9B"/>
    <w:rsid w:val="00051A5C"/>
    <w:rsid w:val="00051F1D"/>
    <w:rsid w:val="000523D1"/>
    <w:rsid w:val="000523F4"/>
    <w:rsid w:val="00052638"/>
    <w:rsid w:val="00052B8F"/>
    <w:rsid w:val="00052F5B"/>
    <w:rsid w:val="00052FCD"/>
    <w:rsid w:val="000536BC"/>
    <w:rsid w:val="000538C9"/>
    <w:rsid w:val="00053CA1"/>
    <w:rsid w:val="00053D76"/>
    <w:rsid w:val="00054000"/>
    <w:rsid w:val="00054612"/>
    <w:rsid w:val="00054A0E"/>
    <w:rsid w:val="000556C5"/>
    <w:rsid w:val="0005572E"/>
    <w:rsid w:val="00055788"/>
    <w:rsid w:val="00055993"/>
    <w:rsid w:val="00055BAD"/>
    <w:rsid w:val="00056286"/>
    <w:rsid w:val="00056CE2"/>
    <w:rsid w:val="00056ED4"/>
    <w:rsid w:val="0005720D"/>
    <w:rsid w:val="00057D06"/>
    <w:rsid w:val="00057EB5"/>
    <w:rsid w:val="00057F80"/>
    <w:rsid w:val="0006040E"/>
    <w:rsid w:val="00060712"/>
    <w:rsid w:val="00060803"/>
    <w:rsid w:val="0006086C"/>
    <w:rsid w:val="000609F5"/>
    <w:rsid w:val="00060ADE"/>
    <w:rsid w:val="00060B72"/>
    <w:rsid w:val="00061022"/>
    <w:rsid w:val="00061077"/>
    <w:rsid w:val="00061141"/>
    <w:rsid w:val="000612FD"/>
    <w:rsid w:val="0006142D"/>
    <w:rsid w:val="0006152B"/>
    <w:rsid w:val="00061C8B"/>
    <w:rsid w:val="000623C6"/>
    <w:rsid w:val="00062601"/>
    <w:rsid w:val="0006342E"/>
    <w:rsid w:val="0006356A"/>
    <w:rsid w:val="00063752"/>
    <w:rsid w:val="00063985"/>
    <w:rsid w:val="00064188"/>
    <w:rsid w:val="000642AA"/>
    <w:rsid w:val="00064879"/>
    <w:rsid w:val="00064973"/>
    <w:rsid w:val="000649EC"/>
    <w:rsid w:val="00064A1B"/>
    <w:rsid w:val="00064DEC"/>
    <w:rsid w:val="00064E81"/>
    <w:rsid w:val="00065291"/>
    <w:rsid w:val="00065708"/>
    <w:rsid w:val="00065EB4"/>
    <w:rsid w:val="00065F24"/>
    <w:rsid w:val="0006634C"/>
    <w:rsid w:val="00066408"/>
    <w:rsid w:val="00066476"/>
    <w:rsid w:val="00066822"/>
    <w:rsid w:val="000669D9"/>
    <w:rsid w:val="000669FF"/>
    <w:rsid w:val="00066ADC"/>
    <w:rsid w:val="00066EE5"/>
    <w:rsid w:val="00066FFF"/>
    <w:rsid w:val="00067260"/>
    <w:rsid w:val="0006759F"/>
    <w:rsid w:val="0006784C"/>
    <w:rsid w:val="00070469"/>
    <w:rsid w:val="00070D2F"/>
    <w:rsid w:val="00070E54"/>
    <w:rsid w:val="00070EFA"/>
    <w:rsid w:val="000715E8"/>
    <w:rsid w:val="00071916"/>
    <w:rsid w:val="00071A6D"/>
    <w:rsid w:val="0007209F"/>
    <w:rsid w:val="00072808"/>
    <w:rsid w:val="00073CF0"/>
    <w:rsid w:val="00073CFA"/>
    <w:rsid w:val="00074144"/>
    <w:rsid w:val="00074297"/>
    <w:rsid w:val="000744A7"/>
    <w:rsid w:val="000745C3"/>
    <w:rsid w:val="0007521D"/>
    <w:rsid w:val="000753F6"/>
    <w:rsid w:val="00075C51"/>
    <w:rsid w:val="00075D36"/>
    <w:rsid w:val="00075D7D"/>
    <w:rsid w:val="00075F10"/>
    <w:rsid w:val="000763B7"/>
    <w:rsid w:val="00076514"/>
    <w:rsid w:val="00076CE7"/>
    <w:rsid w:val="00076D52"/>
    <w:rsid w:val="00076E71"/>
    <w:rsid w:val="00076F35"/>
    <w:rsid w:val="000770DB"/>
    <w:rsid w:val="0007718B"/>
    <w:rsid w:val="00077B2D"/>
    <w:rsid w:val="00077B6C"/>
    <w:rsid w:val="0008021B"/>
    <w:rsid w:val="00080230"/>
    <w:rsid w:val="000804B3"/>
    <w:rsid w:val="000804C5"/>
    <w:rsid w:val="00080A8B"/>
    <w:rsid w:val="00080AF2"/>
    <w:rsid w:val="00081189"/>
    <w:rsid w:val="00081416"/>
    <w:rsid w:val="00081968"/>
    <w:rsid w:val="00081A7F"/>
    <w:rsid w:val="00081AB6"/>
    <w:rsid w:val="00082A18"/>
    <w:rsid w:val="00082B23"/>
    <w:rsid w:val="00082C5F"/>
    <w:rsid w:val="00082CBC"/>
    <w:rsid w:val="00082F69"/>
    <w:rsid w:val="00083125"/>
    <w:rsid w:val="000835AA"/>
    <w:rsid w:val="000839C2"/>
    <w:rsid w:val="00083EBE"/>
    <w:rsid w:val="0008454A"/>
    <w:rsid w:val="00084573"/>
    <w:rsid w:val="000845E4"/>
    <w:rsid w:val="0008490E"/>
    <w:rsid w:val="00084919"/>
    <w:rsid w:val="00084AF9"/>
    <w:rsid w:val="00084C67"/>
    <w:rsid w:val="000852B8"/>
    <w:rsid w:val="000853E6"/>
    <w:rsid w:val="00085475"/>
    <w:rsid w:val="00085972"/>
    <w:rsid w:val="000863DB"/>
    <w:rsid w:val="00086DE9"/>
    <w:rsid w:val="0008711E"/>
    <w:rsid w:val="00087299"/>
    <w:rsid w:val="0008735C"/>
    <w:rsid w:val="0008785F"/>
    <w:rsid w:val="000878C9"/>
    <w:rsid w:val="00087A69"/>
    <w:rsid w:val="00090825"/>
    <w:rsid w:val="00090B69"/>
    <w:rsid w:val="00090BCD"/>
    <w:rsid w:val="00091849"/>
    <w:rsid w:val="000918D4"/>
    <w:rsid w:val="00091C59"/>
    <w:rsid w:val="00091E81"/>
    <w:rsid w:val="000922E7"/>
    <w:rsid w:val="0009236E"/>
    <w:rsid w:val="0009246F"/>
    <w:rsid w:val="0009261B"/>
    <w:rsid w:val="00092A8F"/>
    <w:rsid w:val="00093164"/>
    <w:rsid w:val="00093660"/>
    <w:rsid w:val="00093731"/>
    <w:rsid w:val="00093732"/>
    <w:rsid w:val="000939BA"/>
    <w:rsid w:val="00093AFD"/>
    <w:rsid w:val="00094851"/>
    <w:rsid w:val="000948F8"/>
    <w:rsid w:val="00094907"/>
    <w:rsid w:val="00094C63"/>
    <w:rsid w:val="000958D8"/>
    <w:rsid w:val="00095AD5"/>
    <w:rsid w:val="00095DBE"/>
    <w:rsid w:val="00095F1B"/>
    <w:rsid w:val="00095F46"/>
    <w:rsid w:val="0009612D"/>
    <w:rsid w:val="000966CA"/>
    <w:rsid w:val="00096944"/>
    <w:rsid w:val="00096CE2"/>
    <w:rsid w:val="00096F13"/>
    <w:rsid w:val="000973A2"/>
    <w:rsid w:val="00097504"/>
    <w:rsid w:val="00097922"/>
    <w:rsid w:val="00097B8D"/>
    <w:rsid w:val="000A0104"/>
    <w:rsid w:val="000A013F"/>
    <w:rsid w:val="000A0142"/>
    <w:rsid w:val="000A0272"/>
    <w:rsid w:val="000A037F"/>
    <w:rsid w:val="000A06E0"/>
    <w:rsid w:val="000A0C23"/>
    <w:rsid w:val="000A0EE5"/>
    <w:rsid w:val="000A0F2D"/>
    <w:rsid w:val="000A1358"/>
    <w:rsid w:val="000A1E70"/>
    <w:rsid w:val="000A2E5F"/>
    <w:rsid w:val="000A35C0"/>
    <w:rsid w:val="000A35CC"/>
    <w:rsid w:val="000A3603"/>
    <w:rsid w:val="000A365D"/>
    <w:rsid w:val="000A3AA7"/>
    <w:rsid w:val="000A3BE9"/>
    <w:rsid w:val="000A41EA"/>
    <w:rsid w:val="000A443E"/>
    <w:rsid w:val="000A484F"/>
    <w:rsid w:val="000A49EE"/>
    <w:rsid w:val="000A4EDB"/>
    <w:rsid w:val="000A4F51"/>
    <w:rsid w:val="000A5209"/>
    <w:rsid w:val="000A52B5"/>
    <w:rsid w:val="000A55F8"/>
    <w:rsid w:val="000A5638"/>
    <w:rsid w:val="000A5913"/>
    <w:rsid w:val="000A61FA"/>
    <w:rsid w:val="000A6356"/>
    <w:rsid w:val="000A63C5"/>
    <w:rsid w:val="000A672E"/>
    <w:rsid w:val="000A69B1"/>
    <w:rsid w:val="000A6E70"/>
    <w:rsid w:val="000A76C2"/>
    <w:rsid w:val="000B04F4"/>
    <w:rsid w:val="000B0B9A"/>
    <w:rsid w:val="000B0BFE"/>
    <w:rsid w:val="000B216D"/>
    <w:rsid w:val="000B2375"/>
    <w:rsid w:val="000B26FD"/>
    <w:rsid w:val="000B2755"/>
    <w:rsid w:val="000B2E1C"/>
    <w:rsid w:val="000B2F28"/>
    <w:rsid w:val="000B353F"/>
    <w:rsid w:val="000B363C"/>
    <w:rsid w:val="000B3BB4"/>
    <w:rsid w:val="000B41CC"/>
    <w:rsid w:val="000B4780"/>
    <w:rsid w:val="000B4EAE"/>
    <w:rsid w:val="000B5039"/>
    <w:rsid w:val="000B5206"/>
    <w:rsid w:val="000B5238"/>
    <w:rsid w:val="000B57C0"/>
    <w:rsid w:val="000B607A"/>
    <w:rsid w:val="000B6562"/>
    <w:rsid w:val="000B69A3"/>
    <w:rsid w:val="000B6B15"/>
    <w:rsid w:val="000B6F68"/>
    <w:rsid w:val="000B72CF"/>
    <w:rsid w:val="000B7363"/>
    <w:rsid w:val="000C00B5"/>
    <w:rsid w:val="000C00E1"/>
    <w:rsid w:val="000C073D"/>
    <w:rsid w:val="000C07BC"/>
    <w:rsid w:val="000C111F"/>
    <w:rsid w:val="000C1515"/>
    <w:rsid w:val="000C1811"/>
    <w:rsid w:val="000C183B"/>
    <w:rsid w:val="000C1D1F"/>
    <w:rsid w:val="000C2975"/>
    <w:rsid w:val="000C2AE3"/>
    <w:rsid w:val="000C2E8E"/>
    <w:rsid w:val="000C31E4"/>
    <w:rsid w:val="000C3270"/>
    <w:rsid w:val="000C332D"/>
    <w:rsid w:val="000C3CA0"/>
    <w:rsid w:val="000C4058"/>
    <w:rsid w:val="000C4C97"/>
    <w:rsid w:val="000C55FB"/>
    <w:rsid w:val="000C5665"/>
    <w:rsid w:val="000C56E0"/>
    <w:rsid w:val="000C58DE"/>
    <w:rsid w:val="000C5927"/>
    <w:rsid w:val="000C5F15"/>
    <w:rsid w:val="000C6430"/>
    <w:rsid w:val="000C678E"/>
    <w:rsid w:val="000C67AC"/>
    <w:rsid w:val="000C67F5"/>
    <w:rsid w:val="000C69F0"/>
    <w:rsid w:val="000C709A"/>
    <w:rsid w:val="000C70AB"/>
    <w:rsid w:val="000C7255"/>
    <w:rsid w:val="000C75DB"/>
    <w:rsid w:val="000C76B5"/>
    <w:rsid w:val="000C786B"/>
    <w:rsid w:val="000C79A0"/>
    <w:rsid w:val="000C79CE"/>
    <w:rsid w:val="000C7AB6"/>
    <w:rsid w:val="000C7AFC"/>
    <w:rsid w:val="000C7BBD"/>
    <w:rsid w:val="000D008C"/>
    <w:rsid w:val="000D0702"/>
    <w:rsid w:val="000D12E1"/>
    <w:rsid w:val="000D1481"/>
    <w:rsid w:val="000D1CA8"/>
    <w:rsid w:val="000D1F8E"/>
    <w:rsid w:val="000D206C"/>
    <w:rsid w:val="000D209A"/>
    <w:rsid w:val="000D2275"/>
    <w:rsid w:val="000D22B4"/>
    <w:rsid w:val="000D22EB"/>
    <w:rsid w:val="000D23AC"/>
    <w:rsid w:val="000D267E"/>
    <w:rsid w:val="000D29C8"/>
    <w:rsid w:val="000D2DF9"/>
    <w:rsid w:val="000D3069"/>
    <w:rsid w:val="000D36C8"/>
    <w:rsid w:val="000D36F2"/>
    <w:rsid w:val="000D3CAA"/>
    <w:rsid w:val="000D3DB0"/>
    <w:rsid w:val="000D3E1C"/>
    <w:rsid w:val="000D4090"/>
    <w:rsid w:val="000D42E2"/>
    <w:rsid w:val="000D4460"/>
    <w:rsid w:val="000D460C"/>
    <w:rsid w:val="000D47F4"/>
    <w:rsid w:val="000D48BE"/>
    <w:rsid w:val="000D4AF7"/>
    <w:rsid w:val="000D5413"/>
    <w:rsid w:val="000D59B3"/>
    <w:rsid w:val="000D5ADC"/>
    <w:rsid w:val="000D6E1E"/>
    <w:rsid w:val="000D72E0"/>
    <w:rsid w:val="000D7AA0"/>
    <w:rsid w:val="000D7AB5"/>
    <w:rsid w:val="000D7D00"/>
    <w:rsid w:val="000E0271"/>
    <w:rsid w:val="000E02B6"/>
    <w:rsid w:val="000E071F"/>
    <w:rsid w:val="000E0B08"/>
    <w:rsid w:val="000E0C67"/>
    <w:rsid w:val="000E0E0C"/>
    <w:rsid w:val="000E1467"/>
    <w:rsid w:val="000E16B6"/>
    <w:rsid w:val="000E16F2"/>
    <w:rsid w:val="000E1A02"/>
    <w:rsid w:val="000E1AF2"/>
    <w:rsid w:val="000E1DC9"/>
    <w:rsid w:val="000E215E"/>
    <w:rsid w:val="000E231D"/>
    <w:rsid w:val="000E3310"/>
    <w:rsid w:val="000E35AE"/>
    <w:rsid w:val="000E43D9"/>
    <w:rsid w:val="000E4568"/>
    <w:rsid w:val="000E4596"/>
    <w:rsid w:val="000E45F6"/>
    <w:rsid w:val="000E4A44"/>
    <w:rsid w:val="000E4D5C"/>
    <w:rsid w:val="000E53B9"/>
    <w:rsid w:val="000E55B2"/>
    <w:rsid w:val="000E5DC8"/>
    <w:rsid w:val="000E5EB7"/>
    <w:rsid w:val="000E60E7"/>
    <w:rsid w:val="000E64D8"/>
    <w:rsid w:val="000E65D4"/>
    <w:rsid w:val="000E6929"/>
    <w:rsid w:val="000E6955"/>
    <w:rsid w:val="000E6A73"/>
    <w:rsid w:val="000E6DC6"/>
    <w:rsid w:val="000E723C"/>
    <w:rsid w:val="000E72D4"/>
    <w:rsid w:val="000E7415"/>
    <w:rsid w:val="000E7A90"/>
    <w:rsid w:val="000F174A"/>
    <w:rsid w:val="000F179E"/>
    <w:rsid w:val="000F1AAA"/>
    <w:rsid w:val="000F1B98"/>
    <w:rsid w:val="000F1C84"/>
    <w:rsid w:val="000F1D8D"/>
    <w:rsid w:val="000F1DC2"/>
    <w:rsid w:val="000F2397"/>
    <w:rsid w:val="000F2501"/>
    <w:rsid w:val="000F2514"/>
    <w:rsid w:val="000F27FE"/>
    <w:rsid w:val="000F2DE3"/>
    <w:rsid w:val="000F345B"/>
    <w:rsid w:val="000F3B52"/>
    <w:rsid w:val="000F3DFE"/>
    <w:rsid w:val="000F3E12"/>
    <w:rsid w:val="000F3FFE"/>
    <w:rsid w:val="000F4307"/>
    <w:rsid w:val="000F44EC"/>
    <w:rsid w:val="000F4C4B"/>
    <w:rsid w:val="000F551B"/>
    <w:rsid w:val="000F5694"/>
    <w:rsid w:val="000F584F"/>
    <w:rsid w:val="000F5D47"/>
    <w:rsid w:val="000F621C"/>
    <w:rsid w:val="000F6548"/>
    <w:rsid w:val="000F68FB"/>
    <w:rsid w:val="000F6DB1"/>
    <w:rsid w:val="000F6E93"/>
    <w:rsid w:val="000F712A"/>
    <w:rsid w:val="000F717E"/>
    <w:rsid w:val="000F717F"/>
    <w:rsid w:val="000F735E"/>
    <w:rsid w:val="000F758D"/>
    <w:rsid w:val="000F78C5"/>
    <w:rsid w:val="000F7C03"/>
    <w:rsid w:val="00100044"/>
    <w:rsid w:val="0010059D"/>
    <w:rsid w:val="00100639"/>
    <w:rsid w:val="001006A8"/>
    <w:rsid w:val="00100BF5"/>
    <w:rsid w:val="00100F06"/>
    <w:rsid w:val="0010134B"/>
    <w:rsid w:val="00101387"/>
    <w:rsid w:val="0010147F"/>
    <w:rsid w:val="0010158F"/>
    <w:rsid w:val="001016E4"/>
    <w:rsid w:val="001017F6"/>
    <w:rsid w:val="00101AB8"/>
    <w:rsid w:val="00101F51"/>
    <w:rsid w:val="001022A1"/>
    <w:rsid w:val="001026CA"/>
    <w:rsid w:val="00102B12"/>
    <w:rsid w:val="00102E54"/>
    <w:rsid w:val="00102FEB"/>
    <w:rsid w:val="0010341F"/>
    <w:rsid w:val="001035AF"/>
    <w:rsid w:val="001038DD"/>
    <w:rsid w:val="00103CE0"/>
    <w:rsid w:val="00103DC6"/>
    <w:rsid w:val="00104041"/>
    <w:rsid w:val="001040BB"/>
    <w:rsid w:val="0010425F"/>
    <w:rsid w:val="001043B3"/>
    <w:rsid w:val="001044B6"/>
    <w:rsid w:val="00104652"/>
    <w:rsid w:val="00104A0D"/>
    <w:rsid w:val="00104D61"/>
    <w:rsid w:val="00104D9B"/>
    <w:rsid w:val="00105C8E"/>
    <w:rsid w:val="00105CC8"/>
    <w:rsid w:val="00106006"/>
    <w:rsid w:val="001060E5"/>
    <w:rsid w:val="001062CD"/>
    <w:rsid w:val="00106312"/>
    <w:rsid w:val="00106C0E"/>
    <w:rsid w:val="00107388"/>
    <w:rsid w:val="00107609"/>
    <w:rsid w:val="001076E3"/>
    <w:rsid w:val="00107958"/>
    <w:rsid w:val="001079A5"/>
    <w:rsid w:val="00107A0C"/>
    <w:rsid w:val="00107EE2"/>
    <w:rsid w:val="00110650"/>
    <w:rsid w:val="001106DA"/>
    <w:rsid w:val="00110F2F"/>
    <w:rsid w:val="0011122E"/>
    <w:rsid w:val="00111581"/>
    <w:rsid w:val="00112039"/>
    <w:rsid w:val="001129F3"/>
    <w:rsid w:val="00112A63"/>
    <w:rsid w:val="00112E9E"/>
    <w:rsid w:val="00112F81"/>
    <w:rsid w:val="00112FDA"/>
    <w:rsid w:val="00113277"/>
    <w:rsid w:val="00113574"/>
    <w:rsid w:val="00113776"/>
    <w:rsid w:val="001138D3"/>
    <w:rsid w:val="00114656"/>
    <w:rsid w:val="00114DFB"/>
    <w:rsid w:val="00114E82"/>
    <w:rsid w:val="00114FF4"/>
    <w:rsid w:val="0011518A"/>
    <w:rsid w:val="0011535C"/>
    <w:rsid w:val="001155A7"/>
    <w:rsid w:val="001156D2"/>
    <w:rsid w:val="001158C1"/>
    <w:rsid w:val="00115DA8"/>
    <w:rsid w:val="001169AE"/>
    <w:rsid w:val="00116A05"/>
    <w:rsid w:val="00116C59"/>
    <w:rsid w:val="00116DC1"/>
    <w:rsid w:val="00117176"/>
    <w:rsid w:val="0011757D"/>
    <w:rsid w:val="001175E3"/>
    <w:rsid w:val="0011763D"/>
    <w:rsid w:val="001176EC"/>
    <w:rsid w:val="00117A05"/>
    <w:rsid w:val="00117A06"/>
    <w:rsid w:val="00117CB2"/>
    <w:rsid w:val="0012026F"/>
    <w:rsid w:val="0012032E"/>
    <w:rsid w:val="00120880"/>
    <w:rsid w:val="00120B39"/>
    <w:rsid w:val="00120B8F"/>
    <w:rsid w:val="00120CC2"/>
    <w:rsid w:val="00120D10"/>
    <w:rsid w:val="0012110E"/>
    <w:rsid w:val="0012131E"/>
    <w:rsid w:val="00121388"/>
    <w:rsid w:val="00122222"/>
    <w:rsid w:val="00122645"/>
    <w:rsid w:val="00122CB2"/>
    <w:rsid w:val="00122EFA"/>
    <w:rsid w:val="0012361C"/>
    <w:rsid w:val="0012370F"/>
    <w:rsid w:val="001238E5"/>
    <w:rsid w:val="001239CD"/>
    <w:rsid w:val="00123A2E"/>
    <w:rsid w:val="00123C4E"/>
    <w:rsid w:val="00124071"/>
    <w:rsid w:val="00124164"/>
    <w:rsid w:val="00124683"/>
    <w:rsid w:val="00124727"/>
    <w:rsid w:val="00124787"/>
    <w:rsid w:val="00125174"/>
    <w:rsid w:val="0012523B"/>
    <w:rsid w:val="001253FB"/>
    <w:rsid w:val="001255CB"/>
    <w:rsid w:val="00125938"/>
    <w:rsid w:val="001259C6"/>
    <w:rsid w:val="00125AD6"/>
    <w:rsid w:val="00125F0A"/>
    <w:rsid w:val="001266DB"/>
    <w:rsid w:val="001267D4"/>
    <w:rsid w:val="0012696F"/>
    <w:rsid w:val="00126D31"/>
    <w:rsid w:val="00126E93"/>
    <w:rsid w:val="00127062"/>
    <w:rsid w:val="00127766"/>
    <w:rsid w:val="001278AF"/>
    <w:rsid w:val="0013007C"/>
    <w:rsid w:val="001303B4"/>
    <w:rsid w:val="00130860"/>
    <w:rsid w:val="00130BA7"/>
    <w:rsid w:val="00130EA2"/>
    <w:rsid w:val="00130EA9"/>
    <w:rsid w:val="00131482"/>
    <w:rsid w:val="00131919"/>
    <w:rsid w:val="0013226D"/>
    <w:rsid w:val="00132392"/>
    <w:rsid w:val="0013266A"/>
    <w:rsid w:val="0013269E"/>
    <w:rsid w:val="00132900"/>
    <w:rsid w:val="00134325"/>
    <w:rsid w:val="00134395"/>
    <w:rsid w:val="0013443B"/>
    <w:rsid w:val="00134A49"/>
    <w:rsid w:val="00135157"/>
    <w:rsid w:val="00135480"/>
    <w:rsid w:val="00135670"/>
    <w:rsid w:val="001358B2"/>
    <w:rsid w:val="00135972"/>
    <w:rsid w:val="00135CEE"/>
    <w:rsid w:val="001360FC"/>
    <w:rsid w:val="00136BE4"/>
    <w:rsid w:val="00136C22"/>
    <w:rsid w:val="00136F48"/>
    <w:rsid w:val="00136F53"/>
    <w:rsid w:val="001373AF"/>
    <w:rsid w:val="00137585"/>
    <w:rsid w:val="00137B55"/>
    <w:rsid w:val="001400A9"/>
    <w:rsid w:val="0014036B"/>
    <w:rsid w:val="00140F2B"/>
    <w:rsid w:val="001414CD"/>
    <w:rsid w:val="0014164D"/>
    <w:rsid w:val="00142219"/>
    <w:rsid w:val="001423BE"/>
    <w:rsid w:val="0014251E"/>
    <w:rsid w:val="001425F9"/>
    <w:rsid w:val="0014269B"/>
    <w:rsid w:val="00142B7E"/>
    <w:rsid w:val="00142B93"/>
    <w:rsid w:val="00142BD8"/>
    <w:rsid w:val="00142C15"/>
    <w:rsid w:val="00142CF7"/>
    <w:rsid w:val="00142EAA"/>
    <w:rsid w:val="00143267"/>
    <w:rsid w:val="001435CD"/>
    <w:rsid w:val="0014360F"/>
    <w:rsid w:val="00143757"/>
    <w:rsid w:val="00143956"/>
    <w:rsid w:val="00143EF5"/>
    <w:rsid w:val="00143F09"/>
    <w:rsid w:val="00144688"/>
    <w:rsid w:val="001447A0"/>
    <w:rsid w:val="00144801"/>
    <w:rsid w:val="0014497F"/>
    <w:rsid w:val="00144F43"/>
    <w:rsid w:val="00145197"/>
    <w:rsid w:val="00145890"/>
    <w:rsid w:val="001463A5"/>
    <w:rsid w:val="00146A23"/>
    <w:rsid w:val="00146B06"/>
    <w:rsid w:val="00146DDD"/>
    <w:rsid w:val="00146E58"/>
    <w:rsid w:val="00146FB3"/>
    <w:rsid w:val="00147145"/>
    <w:rsid w:val="00147407"/>
    <w:rsid w:val="001476D4"/>
    <w:rsid w:val="00150096"/>
    <w:rsid w:val="0015032B"/>
    <w:rsid w:val="00150446"/>
    <w:rsid w:val="001504A6"/>
    <w:rsid w:val="00150583"/>
    <w:rsid w:val="001508E4"/>
    <w:rsid w:val="00150D50"/>
    <w:rsid w:val="00150E30"/>
    <w:rsid w:val="0015155C"/>
    <w:rsid w:val="001515A8"/>
    <w:rsid w:val="001516C3"/>
    <w:rsid w:val="001519B6"/>
    <w:rsid w:val="00151A01"/>
    <w:rsid w:val="00152532"/>
    <w:rsid w:val="00152599"/>
    <w:rsid w:val="001525E2"/>
    <w:rsid w:val="001526C2"/>
    <w:rsid w:val="001527A9"/>
    <w:rsid w:val="00152D02"/>
    <w:rsid w:val="00152DFB"/>
    <w:rsid w:val="0015380A"/>
    <w:rsid w:val="00153BAF"/>
    <w:rsid w:val="00153BD6"/>
    <w:rsid w:val="00153EBD"/>
    <w:rsid w:val="001542D1"/>
    <w:rsid w:val="0015449F"/>
    <w:rsid w:val="001544DD"/>
    <w:rsid w:val="00154C08"/>
    <w:rsid w:val="00154CB6"/>
    <w:rsid w:val="0015566F"/>
    <w:rsid w:val="0015570D"/>
    <w:rsid w:val="00155FCB"/>
    <w:rsid w:val="00156329"/>
    <w:rsid w:val="00157346"/>
    <w:rsid w:val="00157622"/>
    <w:rsid w:val="00157BCA"/>
    <w:rsid w:val="00157F0B"/>
    <w:rsid w:val="00157F1C"/>
    <w:rsid w:val="00157FB2"/>
    <w:rsid w:val="00160152"/>
    <w:rsid w:val="00160CB4"/>
    <w:rsid w:val="00160F7E"/>
    <w:rsid w:val="00160FB6"/>
    <w:rsid w:val="00160FB9"/>
    <w:rsid w:val="001611EF"/>
    <w:rsid w:val="00162094"/>
    <w:rsid w:val="00162782"/>
    <w:rsid w:val="001628D0"/>
    <w:rsid w:val="001628FE"/>
    <w:rsid w:val="00162EAE"/>
    <w:rsid w:val="00162F5B"/>
    <w:rsid w:val="00162F5C"/>
    <w:rsid w:val="001630EB"/>
    <w:rsid w:val="0016314D"/>
    <w:rsid w:val="00163778"/>
    <w:rsid w:val="00163859"/>
    <w:rsid w:val="00163B25"/>
    <w:rsid w:val="00163D79"/>
    <w:rsid w:val="001641FF"/>
    <w:rsid w:val="00164520"/>
    <w:rsid w:val="00164D32"/>
    <w:rsid w:val="00164D39"/>
    <w:rsid w:val="00164DA4"/>
    <w:rsid w:val="001655AC"/>
    <w:rsid w:val="0016571B"/>
    <w:rsid w:val="00166298"/>
    <w:rsid w:val="001663C8"/>
    <w:rsid w:val="0016653A"/>
    <w:rsid w:val="001665C7"/>
    <w:rsid w:val="00166918"/>
    <w:rsid w:val="00166B35"/>
    <w:rsid w:val="00166ED2"/>
    <w:rsid w:val="001678D9"/>
    <w:rsid w:val="00167EFB"/>
    <w:rsid w:val="00170268"/>
    <w:rsid w:val="001705FC"/>
    <w:rsid w:val="00170622"/>
    <w:rsid w:val="001707D7"/>
    <w:rsid w:val="00170C5D"/>
    <w:rsid w:val="00170D25"/>
    <w:rsid w:val="00170FB3"/>
    <w:rsid w:val="00171199"/>
    <w:rsid w:val="00171755"/>
    <w:rsid w:val="00171CF5"/>
    <w:rsid w:val="00172060"/>
    <w:rsid w:val="0017209B"/>
    <w:rsid w:val="00172188"/>
    <w:rsid w:val="00172549"/>
    <w:rsid w:val="001728FC"/>
    <w:rsid w:val="00172A96"/>
    <w:rsid w:val="00172AB2"/>
    <w:rsid w:val="00172E6F"/>
    <w:rsid w:val="00172F06"/>
    <w:rsid w:val="00173D77"/>
    <w:rsid w:val="00174D3D"/>
    <w:rsid w:val="00174E3F"/>
    <w:rsid w:val="001751D7"/>
    <w:rsid w:val="001755D8"/>
    <w:rsid w:val="00175729"/>
    <w:rsid w:val="001764BF"/>
    <w:rsid w:val="0017682B"/>
    <w:rsid w:val="00176DB6"/>
    <w:rsid w:val="001770B0"/>
    <w:rsid w:val="00177A80"/>
    <w:rsid w:val="00177D98"/>
    <w:rsid w:val="00177F78"/>
    <w:rsid w:val="00177FCE"/>
    <w:rsid w:val="001803F4"/>
    <w:rsid w:val="00180601"/>
    <w:rsid w:val="00181222"/>
    <w:rsid w:val="001813CD"/>
    <w:rsid w:val="001814C4"/>
    <w:rsid w:val="00181BBA"/>
    <w:rsid w:val="001820D8"/>
    <w:rsid w:val="00182478"/>
    <w:rsid w:val="00182607"/>
    <w:rsid w:val="0018274A"/>
    <w:rsid w:val="00182CCF"/>
    <w:rsid w:val="00183034"/>
    <w:rsid w:val="001831AC"/>
    <w:rsid w:val="001839F1"/>
    <w:rsid w:val="00184326"/>
    <w:rsid w:val="0018480F"/>
    <w:rsid w:val="001848F3"/>
    <w:rsid w:val="00184D47"/>
    <w:rsid w:val="00184FCC"/>
    <w:rsid w:val="00185167"/>
    <w:rsid w:val="0018518D"/>
    <w:rsid w:val="001855CA"/>
    <w:rsid w:val="00185739"/>
    <w:rsid w:val="001857B0"/>
    <w:rsid w:val="0018583E"/>
    <w:rsid w:val="00185AFF"/>
    <w:rsid w:val="00185B0D"/>
    <w:rsid w:val="00185EBA"/>
    <w:rsid w:val="00185F18"/>
    <w:rsid w:val="00185F46"/>
    <w:rsid w:val="001865F4"/>
    <w:rsid w:val="00186A97"/>
    <w:rsid w:val="00186B6B"/>
    <w:rsid w:val="00186D7E"/>
    <w:rsid w:val="00187303"/>
    <w:rsid w:val="00187831"/>
    <w:rsid w:val="00187930"/>
    <w:rsid w:val="0019020C"/>
    <w:rsid w:val="00190621"/>
    <w:rsid w:val="001906B1"/>
    <w:rsid w:val="00190992"/>
    <w:rsid w:val="00190A1D"/>
    <w:rsid w:val="001911B3"/>
    <w:rsid w:val="00191412"/>
    <w:rsid w:val="00191763"/>
    <w:rsid w:val="0019182E"/>
    <w:rsid w:val="00191A20"/>
    <w:rsid w:val="00192DF3"/>
    <w:rsid w:val="00192FCD"/>
    <w:rsid w:val="001934A1"/>
    <w:rsid w:val="001939BB"/>
    <w:rsid w:val="00194077"/>
    <w:rsid w:val="00194322"/>
    <w:rsid w:val="001944F6"/>
    <w:rsid w:val="00194799"/>
    <w:rsid w:val="00194940"/>
    <w:rsid w:val="00194B66"/>
    <w:rsid w:val="00194E02"/>
    <w:rsid w:val="0019530E"/>
    <w:rsid w:val="0019530F"/>
    <w:rsid w:val="001953DA"/>
    <w:rsid w:val="00195735"/>
    <w:rsid w:val="00195C58"/>
    <w:rsid w:val="00195DB7"/>
    <w:rsid w:val="00195EF7"/>
    <w:rsid w:val="00195F2A"/>
    <w:rsid w:val="00195F2E"/>
    <w:rsid w:val="00196A8E"/>
    <w:rsid w:val="0019788F"/>
    <w:rsid w:val="00197A58"/>
    <w:rsid w:val="001A004E"/>
    <w:rsid w:val="001A0137"/>
    <w:rsid w:val="001A0B18"/>
    <w:rsid w:val="001A137B"/>
    <w:rsid w:val="001A1400"/>
    <w:rsid w:val="001A1671"/>
    <w:rsid w:val="001A1946"/>
    <w:rsid w:val="001A1BAC"/>
    <w:rsid w:val="001A1BF1"/>
    <w:rsid w:val="001A2355"/>
    <w:rsid w:val="001A239E"/>
    <w:rsid w:val="001A24D0"/>
    <w:rsid w:val="001A24F6"/>
    <w:rsid w:val="001A2745"/>
    <w:rsid w:val="001A280F"/>
    <w:rsid w:val="001A2AD6"/>
    <w:rsid w:val="001A2B3D"/>
    <w:rsid w:val="001A2BE9"/>
    <w:rsid w:val="001A2D0F"/>
    <w:rsid w:val="001A3165"/>
    <w:rsid w:val="001A4960"/>
    <w:rsid w:val="001A4F80"/>
    <w:rsid w:val="001A512B"/>
    <w:rsid w:val="001A53BC"/>
    <w:rsid w:val="001A597D"/>
    <w:rsid w:val="001A5A0E"/>
    <w:rsid w:val="001A60FA"/>
    <w:rsid w:val="001A6C22"/>
    <w:rsid w:val="001A732F"/>
    <w:rsid w:val="001A76C4"/>
    <w:rsid w:val="001A7A13"/>
    <w:rsid w:val="001A7EFE"/>
    <w:rsid w:val="001B0145"/>
    <w:rsid w:val="001B05EC"/>
    <w:rsid w:val="001B074A"/>
    <w:rsid w:val="001B0919"/>
    <w:rsid w:val="001B0C7B"/>
    <w:rsid w:val="001B1151"/>
    <w:rsid w:val="001B1188"/>
    <w:rsid w:val="001B1350"/>
    <w:rsid w:val="001B187D"/>
    <w:rsid w:val="001B18A7"/>
    <w:rsid w:val="001B1D75"/>
    <w:rsid w:val="001B1DB4"/>
    <w:rsid w:val="001B1E07"/>
    <w:rsid w:val="001B2603"/>
    <w:rsid w:val="001B26D8"/>
    <w:rsid w:val="001B27AA"/>
    <w:rsid w:val="001B28B1"/>
    <w:rsid w:val="001B35D7"/>
    <w:rsid w:val="001B3723"/>
    <w:rsid w:val="001B4387"/>
    <w:rsid w:val="001B4A65"/>
    <w:rsid w:val="001B4B12"/>
    <w:rsid w:val="001B539F"/>
    <w:rsid w:val="001B5865"/>
    <w:rsid w:val="001B59F0"/>
    <w:rsid w:val="001B5BBD"/>
    <w:rsid w:val="001B6382"/>
    <w:rsid w:val="001B6CB1"/>
    <w:rsid w:val="001B6CCD"/>
    <w:rsid w:val="001B70B2"/>
    <w:rsid w:val="001B7907"/>
    <w:rsid w:val="001B7B91"/>
    <w:rsid w:val="001C00E7"/>
    <w:rsid w:val="001C054E"/>
    <w:rsid w:val="001C0809"/>
    <w:rsid w:val="001C0C68"/>
    <w:rsid w:val="001C0E39"/>
    <w:rsid w:val="001C1183"/>
    <w:rsid w:val="001C182A"/>
    <w:rsid w:val="001C1F06"/>
    <w:rsid w:val="001C27BF"/>
    <w:rsid w:val="001C2AE1"/>
    <w:rsid w:val="001C2B92"/>
    <w:rsid w:val="001C3512"/>
    <w:rsid w:val="001C3670"/>
    <w:rsid w:val="001C3BAA"/>
    <w:rsid w:val="001C3D3F"/>
    <w:rsid w:val="001C4117"/>
    <w:rsid w:val="001C41FE"/>
    <w:rsid w:val="001C42C0"/>
    <w:rsid w:val="001C446B"/>
    <w:rsid w:val="001C44F6"/>
    <w:rsid w:val="001C492F"/>
    <w:rsid w:val="001C4943"/>
    <w:rsid w:val="001C4978"/>
    <w:rsid w:val="001C4B6C"/>
    <w:rsid w:val="001C4B92"/>
    <w:rsid w:val="001C4C51"/>
    <w:rsid w:val="001C4DB9"/>
    <w:rsid w:val="001C5ECF"/>
    <w:rsid w:val="001C5F74"/>
    <w:rsid w:val="001C61F9"/>
    <w:rsid w:val="001C6859"/>
    <w:rsid w:val="001C71ED"/>
    <w:rsid w:val="001C73CD"/>
    <w:rsid w:val="001C7779"/>
    <w:rsid w:val="001C7AAE"/>
    <w:rsid w:val="001C7E18"/>
    <w:rsid w:val="001D05A7"/>
    <w:rsid w:val="001D05F3"/>
    <w:rsid w:val="001D0EA8"/>
    <w:rsid w:val="001D0ED2"/>
    <w:rsid w:val="001D1628"/>
    <w:rsid w:val="001D1715"/>
    <w:rsid w:val="001D1D6B"/>
    <w:rsid w:val="001D1FFA"/>
    <w:rsid w:val="001D25F3"/>
    <w:rsid w:val="001D2C08"/>
    <w:rsid w:val="001D3414"/>
    <w:rsid w:val="001D3751"/>
    <w:rsid w:val="001D376D"/>
    <w:rsid w:val="001D38E9"/>
    <w:rsid w:val="001D3EA4"/>
    <w:rsid w:val="001D3EED"/>
    <w:rsid w:val="001D419E"/>
    <w:rsid w:val="001D4247"/>
    <w:rsid w:val="001D4719"/>
    <w:rsid w:val="001D4B11"/>
    <w:rsid w:val="001D537B"/>
    <w:rsid w:val="001D538E"/>
    <w:rsid w:val="001D5AB3"/>
    <w:rsid w:val="001D5E90"/>
    <w:rsid w:val="001D5EFC"/>
    <w:rsid w:val="001D5FBB"/>
    <w:rsid w:val="001D6140"/>
    <w:rsid w:val="001D6361"/>
    <w:rsid w:val="001D656E"/>
    <w:rsid w:val="001D6778"/>
    <w:rsid w:val="001D6941"/>
    <w:rsid w:val="001D69F4"/>
    <w:rsid w:val="001D6E04"/>
    <w:rsid w:val="001D705F"/>
    <w:rsid w:val="001E0067"/>
    <w:rsid w:val="001E0B61"/>
    <w:rsid w:val="001E0D80"/>
    <w:rsid w:val="001E1195"/>
    <w:rsid w:val="001E1276"/>
    <w:rsid w:val="001E1610"/>
    <w:rsid w:val="001E1FD6"/>
    <w:rsid w:val="001E2949"/>
    <w:rsid w:val="001E3F37"/>
    <w:rsid w:val="001E3F7F"/>
    <w:rsid w:val="001E4ECA"/>
    <w:rsid w:val="001E4FF4"/>
    <w:rsid w:val="001E570D"/>
    <w:rsid w:val="001E5807"/>
    <w:rsid w:val="001E60EE"/>
    <w:rsid w:val="001E6381"/>
    <w:rsid w:val="001E662B"/>
    <w:rsid w:val="001E6ACA"/>
    <w:rsid w:val="001E7091"/>
    <w:rsid w:val="001E751C"/>
    <w:rsid w:val="001E786F"/>
    <w:rsid w:val="001E7AB8"/>
    <w:rsid w:val="001E7FD4"/>
    <w:rsid w:val="001F0025"/>
    <w:rsid w:val="001F014E"/>
    <w:rsid w:val="001F016E"/>
    <w:rsid w:val="001F0509"/>
    <w:rsid w:val="001F12F3"/>
    <w:rsid w:val="001F1EC2"/>
    <w:rsid w:val="001F2069"/>
    <w:rsid w:val="001F2669"/>
    <w:rsid w:val="001F2686"/>
    <w:rsid w:val="001F26FE"/>
    <w:rsid w:val="001F285E"/>
    <w:rsid w:val="001F28C4"/>
    <w:rsid w:val="001F2916"/>
    <w:rsid w:val="001F2BC0"/>
    <w:rsid w:val="001F2CDC"/>
    <w:rsid w:val="001F2D64"/>
    <w:rsid w:val="001F3B32"/>
    <w:rsid w:val="001F3C93"/>
    <w:rsid w:val="001F4275"/>
    <w:rsid w:val="001F42E4"/>
    <w:rsid w:val="001F43EB"/>
    <w:rsid w:val="001F4BCA"/>
    <w:rsid w:val="001F4CEE"/>
    <w:rsid w:val="001F4FA1"/>
    <w:rsid w:val="001F4FC9"/>
    <w:rsid w:val="001F55B4"/>
    <w:rsid w:val="001F5939"/>
    <w:rsid w:val="001F5ADE"/>
    <w:rsid w:val="001F5DEA"/>
    <w:rsid w:val="001F62E7"/>
    <w:rsid w:val="001F67C2"/>
    <w:rsid w:val="001F6938"/>
    <w:rsid w:val="001F6A60"/>
    <w:rsid w:val="001F6FBD"/>
    <w:rsid w:val="001F7250"/>
    <w:rsid w:val="001F75FF"/>
    <w:rsid w:val="00200E73"/>
    <w:rsid w:val="00200F14"/>
    <w:rsid w:val="00201CF6"/>
    <w:rsid w:val="00202524"/>
    <w:rsid w:val="002027BD"/>
    <w:rsid w:val="00202A4F"/>
    <w:rsid w:val="00202A57"/>
    <w:rsid w:val="00202AA8"/>
    <w:rsid w:val="00202B57"/>
    <w:rsid w:val="00202B9D"/>
    <w:rsid w:val="00202CA5"/>
    <w:rsid w:val="00203025"/>
    <w:rsid w:val="002037C0"/>
    <w:rsid w:val="00203F94"/>
    <w:rsid w:val="00203FE4"/>
    <w:rsid w:val="00203FFC"/>
    <w:rsid w:val="002042D2"/>
    <w:rsid w:val="00204400"/>
    <w:rsid w:val="0020442F"/>
    <w:rsid w:val="00204E9A"/>
    <w:rsid w:val="0020580B"/>
    <w:rsid w:val="00205A0B"/>
    <w:rsid w:val="00205A42"/>
    <w:rsid w:val="00205AF4"/>
    <w:rsid w:val="002061A4"/>
    <w:rsid w:val="0020644D"/>
    <w:rsid w:val="00206592"/>
    <w:rsid w:val="00206642"/>
    <w:rsid w:val="0020688A"/>
    <w:rsid w:val="00206A13"/>
    <w:rsid w:val="00206E03"/>
    <w:rsid w:val="00206FA1"/>
    <w:rsid w:val="00207DDC"/>
    <w:rsid w:val="00210519"/>
    <w:rsid w:val="002105C5"/>
    <w:rsid w:val="00210736"/>
    <w:rsid w:val="002108C7"/>
    <w:rsid w:val="00210E85"/>
    <w:rsid w:val="00210F81"/>
    <w:rsid w:val="00211622"/>
    <w:rsid w:val="00212080"/>
    <w:rsid w:val="00212364"/>
    <w:rsid w:val="00212413"/>
    <w:rsid w:val="00212B80"/>
    <w:rsid w:val="00212CE0"/>
    <w:rsid w:val="002137B2"/>
    <w:rsid w:val="002138A8"/>
    <w:rsid w:val="002142B5"/>
    <w:rsid w:val="002143F8"/>
    <w:rsid w:val="002149E4"/>
    <w:rsid w:val="00214B3E"/>
    <w:rsid w:val="00214DC8"/>
    <w:rsid w:val="00214E5F"/>
    <w:rsid w:val="002150F5"/>
    <w:rsid w:val="002156D1"/>
    <w:rsid w:val="00215C08"/>
    <w:rsid w:val="00215F30"/>
    <w:rsid w:val="0021638A"/>
    <w:rsid w:val="0021655D"/>
    <w:rsid w:val="00216588"/>
    <w:rsid w:val="0021693E"/>
    <w:rsid w:val="00216A86"/>
    <w:rsid w:val="00216E7E"/>
    <w:rsid w:val="00216FC2"/>
    <w:rsid w:val="00217262"/>
    <w:rsid w:val="0021751E"/>
    <w:rsid w:val="00217581"/>
    <w:rsid w:val="002175F6"/>
    <w:rsid w:val="00217A4E"/>
    <w:rsid w:val="0022004A"/>
    <w:rsid w:val="002200D1"/>
    <w:rsid w:val="002201FE"/>
    <w:rsid w:val="002202F4"/>
    <w:rsid w:val="002204CC"/>
    <w:rsid w:val="00220E13"/>
    <w:rsid w:val="00221533"/>
    <w:rsid w:val="00221B12"/>
    <w:rsid w:val="00221BF0"/>
    <w:rsid w:val="00221F05"/>
    <w:rsid w:val="00221F1A"/>
    <w:rsid w:val="0022202F"/>
    <w:rsid w:val="002224E6"/>
    <w:rsid w:val="00222C36"/>
    <w:rsid w:val="00222F6B"/>
    <w:rsid w:val="00223BE6"/>
    <w:rsid w:val="00223CD5"/>
    <w:rsid w:val="002246AF"/>
    <w:rsid w:val="00224CEA"/>
    <w:rsid w:val="00225A8D"/>
    <w:rsid w:val="00225AE5"/>
    <w:rsid w:val="00225AFF"/>
    <w:rsid w:val="00225D7B"/>
    <w:rsid w:val="00226066"/>
    <w:rsid w:val="002260F4"/>
    <w:rsid w:val="002263A6"/>
    <w:rsid w:val="002263D2"/>
    <w:rsid w:val="0022698E"/>
    <w:rsid w:val="00226DDF"/>
    <w:rsid w:val="00227003"/>
    <w:rsid w:val="00227354"/>
    <w:rsid w:val="002276B4"/>
    <w:rsid w:val="00227912"/>
    <w:rsid w:val="00227B50"/>
    <w:rsid w:val="00227C5B"/>
    <w:rsid w:val="00227CD2"/>
    <w:rsid w:val="00227FAB"/>
    <w:rsid w:val="00230210"/>
    <w:rsid w:val="002303B2"/>
    <w:rsid w:val="002305D8"/>
    <w:rsid w:val="002309E9"/>
    <w:rsid w:val="00230A11"/>
    <w:rsid w:val="002311C3"/>
    <w:rsid w:val="002311EE"/>
    <w:rsid w:val="002317AB"/>
    <w:rsid w:val="002319A0"/>
    <w:rsid w:val="002323FA"/>
    <w:rsid w:val="00232A1C"/>
    <w:rsid w:val="00232B20"/>
    <w:rsid w:val="00232E6B"/>
    <w:rsid w:val="00233488"/>
    <w:rsid w:val="00233D6E"/>
    <w:rsid w:val="00233EAF"/>
    <w:rsid w:val="00233ED1"/>
    <w:rsid w:val="0023417F"/>
    <w:rsid w:val="002346B6"/>
    <w:rsid w:val="0023471E"/>
    <w:rsid w:val="0023477E"/>
    <w:rsid w:val="00234B16"/>
    <w:rsid w:val="00234CBD"/>
    <w:rsid w:val="002351A2"/>
    <w:rsid w:val="002352CC"/>
    <w:rsid w:val="00235322"/>
    <w:rsid w:val="0023585C"/>
    <w:rsid w:val="00235DAD"/>
    <w:rsid w:val="00235F21"/>
    <w:rsid w:val="00235F63"/>
    <w:rsid w:val="00236205"/>
    <w:rsid w:val="00236209"/>
    <w:rsid w:val="002366C0"/>
    <w:rsid w:val="002367AB"/>
    <w:rsid w:val="002368BA"/>
    <w:rsid w:val="00236B20"/>
    <w:rsid w:val="00236BAC"/>
    <w:rsid w:val="00236E16"/>
    <w:rsid w:val="002370F5"/>
    <w:rsid w:val="00237AB0"/>
    <w:rsid w:val="00237B46"/>
    <w:rsid w:val="00237D06"/>
    <w:rsid w:val="00237E48"/>
    <w:rsid w:val="0024007E"/>
    <w:rsid w:val="0024086F"/>
    <w:rsid w:val="0024088A"/>
    <w:rsid w:val="00240ACA"/>
    <w:rsid w:val="00240D0E"/>
    <w:rsid w:val="00240D7B"/>
    <w:rsid w:val="00241299"/>
    <w:rsid w:val="00242308"/>
    <w:rsid w:val="00242387"/>
    <w:rsid w:val="002425AB"/>
    <w:rsid w:val="00242B89"/>
    <w:rsid w:val="00242C42"/>
    <w:rsid w:val="00242CB0"/>
    <w:rsid w:val="002430AA"/>
    <w:rsid w:val="00243162"/>
    <w:rsid w:val="00243350"/>
    <w:rsid w:val="002434EB"/>
    <w:rsid w:val="0024399A"/>
    <w:rsid w:val="00243FBA"/>
    <w:rsid w:val="002442B4"/>
    <w:rsid w:val="00244543"/>
    <w:rsid w:val="00244659"/>
    <w:rsid w:val="002449C2"/>
    <w:rsid w:val="00244C06"/>
    <w:rsid w:val="00244E09"/>
    <w:rsid w:val="00244EBA"/>
    <w:rsid w:val="00245E13"/>
    <w:rsid w:val="00246005"/>
    <w:rsid w:val="00246C59"/>
    <w:rsid w:val="00246C9A"/>
    <w:rsid w:val="002471BD"/>
    <w:rsid w:val="0024733E"/>
    <w:rsid w:val="002474B9"/>
    <w:rsid w:val="00247A24"/>
    <w:rsid w:val="00247F35"/>
    <w:rsid w:val="002505B3"/>
    <w:rsid w:val="00250623"/>
    <w:rsid w:val="0025071A"/>
    <w:rsid w:val="00250A8D"/>
    <w:rsid w:val="00250FDE"/>
    <w:rsid w:val="00251355"/>
    <w:rsid w:val="0025166B"/>
    <w:rsid w:val="00251708"/>
    <w:rsid w:val="0025170A"/>
    <w:rsid w:val="00251918"/>
    <w:rsid w:val="00251E40"/>
    <w:rsid w:val="002520E9"/>
    <w:rsid w:val="0025232A"/>
    <w:rsid w:val="0025266F"/>
    <w:rsid w:val="002526E7"/>
    <w:rsid w:val="00252D75"/>
    <w:rsid w:val="00252D7F"/>
    <w:rsid w:val="00252FCA"/>
    <w:rsid w:val="00253137"/>
    <w:rsid w:val="002531BC"/>
    <w:rsid w:val="0025340A"/>
    <w:rsid w:val="0025348B"/>
    <w:rsid w:val="00253BF7"/>
    <w:rsid w:val="0025430A"/>
    <w:rsid w:val="00254995"/>
    <w:rsid w:val="00254B97"/>
    <w:rsid w:val="00254DA9"/>
    <w:rsid w:val="00254FE8"/>
    <w:rsid w:val="00255462"/>
    <w:rsid w:val="00255D39"/>
    <w:rsid w:val="002561EB"/>
    <w:rsid w:val="00256233"/>
    <w:rsid w:val="00256A8F"/>
    <w:rsid w:val="00256BA9"/>
    <w:rsid w:val="00256D56"/>
    <w:rsid w:val="00256EA7"/>
    <w:rsid w:val="002572AF"/>
    <w:rsid w:val="00257D32"/>
    <w:rsid w:val="00257D64"/>
    <w:rsid w:val="00257D94"/>
    <w:rsid w:val="00260044"/>
    <w:rsid w:val="00260613"/>
    <w:rsid w:val="00260957"/>
    <w:rsid w:val="00260B6B"/>
    <w:rsid w:val="00261032"/>
    <w:rsid w:val="002621B2"/>
    <w:rsid w:val="00262D9F"/>
    <w:rsid w:val="002630C4"/>
    <w:rsid w:val="002630E2"/>
    <w:rsid w:val="00263D24"/>
    <w:rsid w:val="002643F9"/>
    <w:rsid w:val="002645D2"/>
    <w:rsid w:val="00264646"/>
    <w:rsid w:val="00264E86"/>
    <w:rsid w:val="00265019"/>
    <w:rsid w:val="002651BE"/>
    <w:rsid w:val="002654AD"/>
    <w:rsid w:val="002654F0"/>
    <w:rsid w:val="00265506"/>
    <w:rsid w:val="00265AE4"/>
    <w:rsid w:val="00265E0C"/>
    <w:rsid w:val="0026638B"/>
    <w:rsid w:val="00266444"/>
    <w:rsid w:val="0026687E"/>
    <w:rsid w:val="00266B56"/>
    <w:rsid w:val="00266D46"/>
    <w:rsid w:val="00266DDD"/>
    <w:rsid w:val="00266F29"/>
    <w:rsid w:val="00267188"/>
    <w:rsid w:val="002671A2"/>
    <w:rsid w:val="002673DF"/>
    <w:rsid w:val="0026794B"/>
    <w:rsid w:val="002679C4"/>
    <w:rsid w:val="00267B63"/>
    <w:rsid w:val="00267F1F"/>
    <w:rsid w:val="0027025F"/>
    <w:rsid w:val="002702FC"/>
    <w:rsid w:val="002704D3"/>
    <w:rsid w:val="002705C6"/>
    <w:rsid w:val="0027060B"/>
    <w:rsid w:val="00270683"/>
    <w:rsid w:val="002707FF"/>
    <w:rsid w:val="00270DFB"/>
    <w:rsid w:val="0027114C"/>
    <w:rsid w:val="00271BBD"/>
    <w:rsid w:val="00271CF4"/>
    <w:rsid w:val="00271E76"/>
    <w:rsid w:val="00271FC3"/>
    <w:rsid w:val="0027232D"/>
    <w:rsid w:val="002723A1"/>
    <w:rsid w:val="002726A4"/>
    <w:rsid w:val="00272746"/>
    <w:rsid w:val="0027292C"/>
    <w:rsid w:val="00272D1F"/>
    <w:rsid w:val="00272E9D"/>
    <w:rsid w:val="00272EC8"/>
    <w:rsid w:val="00272F5D"/>
    <w:rsid w:val="00273379"/>
    <w:rsid w:val="00273C41"/>
    <w:rsid w:val="00274137"/>
    <w:rsid w:val="002747C1"/>
    <w:rsid w:val="00274B3C"/>
    <w:rsid w:val="00274D0F"/>
    <w:rsid w:val="00275037"/>
    <w:rsid w:val="00275489"/>
    <w:rsid w:val="00275D60"/>
    <w:rsid w:val="002766CE"/>
    <w:rsid w:val="00276A05"/>
    <w:rsid w:val="00276C15"/>
    <w:rsid w:val="00276DF2"/>
    <w:rsid w:val="00277500"/>
    <w:rsid w:val="0027788B"/>
    <w:rsid w:val="00277B7B"/>
    <w:rsid w:val="00277BF4"/>
    <w:rsid w:val="00277D6D"/>
    <w:rsid w:val="00277DF3"/>
    <w:rsid w:val="00277ECA"/>
    <w:rsid w:val="00280750"/>
    <w:rsid w:val="00280A0D"/>
    <w:rsid w:val="00280A4A"/>
    <w:rsid w:val="00280AF1"/>
    <w:rsid w:val="00280B64"/>
    <w:rsid w:val="00281061"/>
    <w:rsid w:val="0028125E"/>
    <w:rsid w:val="00281290"/>
    <w:rsid w:val="002813EE"/>
    <w:rsid w:val="0028183D"/>
    <w:rsid w:val="002818FA"/>
    <w:rsid w:val="00281A5F"/>
    <w:rsid w:val="00281AA7"/>
    <w:rsid w:val="00281B12"/>
    <w:rsid w:val="00282502"/>
    <w:rsid w:val="00282529"/>
    <w:rsid w:val="002825A7"/>
    <w:rsid w:val="00282F3A"/>
    <w:rsid w:val="00282FAA"/>
    <w:rsid w:val="00283266"/>
    <w:rsid w:val="00283539"/>
    <w:rsid w:val="00284243"/>
    <w:rsid w:val="002842A8"/>
    <w:rsid w:val="002847B0"/>
    <w:rsid w:val="00284E86"/>
    <w:rsid w:val="0028500A"/>
    <w:rsid w:val="00285073"/>
    <w:rsid w:val="00285437"/>
    <w:rsid w:val="002857E6"/>
    <w:rsid w:val="002859FB"/>
    <w:rsid w:val="00285A47"/>
    <w:rsid w:val="00285A8E"/>
    <w:rsid w:val="00285AEC"/>
    <w:rsid w:val="00285C26"/>
    <w:rsid w:val="0028602D"/>
    <w:rsid w:val="0028641A"/>
    <w:rsid w:val="0028701F"/>
    <w:rsid w:val="002872B6"/>
    <w:rsid w:val="002873E6"/>
    <w:rsid w:val="00287681"/>
    <w:rsid w:val="0028781E"/>
    <w:rsid w:val="00287BA9"/>
    <w:rsid w:val="00287EF7"/>
    <w:rsid w:val="00287F5B"/>
    <w:rsid w:val="00287FEF"/>
    <w:rsid w:val="002904D8"/>
    <w:rsid w:val="002911F0"/>
    <w:rsid w:val="00291F2F"/>
    <w:rsid w:val="00291F68"/>
    <w:rsid w:val="00292043"/>
    <w:rsid w:val="002920D7"/>
    <w:rsid w:val="0029235E"/>
    <w:rsid w:val="00292647"/>
    <w:rsid w:val="00292927"/>
    <w:rsid w:val="00292975"/>
    <w:rsid w:val="00292CF7"/>
    <w:rsid w:val="00292F23"/>
    <w:rsid w:val="00294181"/>
    <w:rsid w:val="00294230"/>
    <w:rsid w:val="0029438E"/>
    <w:rsid w:val="002946AB"/>
    <w:rsid w:val="002946B2"/>
    <w:rsid w:val="00294BD5"/>
    <w:rsid w:val="00295407"/>
    <w:rsid w:val="0029645F"/>
    <w:rsid w:val="0029672A"/>
    <w:rsid w:val="00296998"/>
    <w:rsid w:val="00296AF4"/>
    <w:rsid w:val="00297B94"/>
    <w:rsid w:val="00297C35"/>
    <w:rsid w:val="002A0493"/>
    <w:rsid w:val="002A060A"/>
    <w:rsid w:val="002A0783"/>
    <w:rsid w:val="002A0915"/>
    <w:rsid w:val="002A0AF5"/>
    <w:rsid w:val="002A0D22"/>
    <w:rsid w:val="002A0D42"/>
    <w:rsid w:val="002A1164"/>
    <w:rsid w:val="002A127E"/>
    <w:rsid w:val="002A17C8"/>
    <w:rsid w:val="002A2BEB"/>
    <w:rsid w:val="002A2C78"/>
    <w:rsid w:val="002A3A93"/>
    <w:rsid w:val="002A3FE4"/>
    <w:rsid w:val="002A4450"/>
    <w:rsid w:val="002A46FA"/>
    <w:rsid w:val="002A49CD"/>
    <w:rsid w:val="002A4A73"/>
    <w:rsid w:val="002A522A"/>
    <w:rsid w:val="002A5255"/>
    <w:rsid w:val="002A5EB0"/>
    <w:rsid w:val="002A60A4"/>
    <w:rsid w:val="002A60F1"/>
    <w:rsid w:val="002A61DE"/>
    <w:rsid w:val="002A61E2"/>
    <w:rsid w:val="002A635B"/>
    <w:rsid w:val="002A6444"/>
    <w:rsid w:val="002A658F"/>
    <w:rsid w:val="002A6750"/>
    <w:rsid w:val="002A6855"/>
    <w:rsid w:val="002A6DC5"/>
    <w:rsid w:val="002A71EC"/>
    <w:rsid w:val="002A7206"/>
    <w:rsid w:val="002A7208"/>
    <w:rsid w:val="002A75D0"/>
    <w:rsid w:val="002A7BAF"/>
    <w:rsid w:val="002A7ED8"/>
    <w:rsid w:val="002B0382"/>
    <w:rsid w:val="002B03E7"/>
    <w:rsid w:val="002B044E"/>
    <w:rsid w:val="002B0BDF"/>
    <w:rsid w:val="002B11EA"/>
    <w:rsid w:val="002B15AA"/>
    <w:rsid w:val="002B18F9"/>
    <w:rsid w:val="002B1DAA"/>
    <w:rsid w:val="002B2296"/>
    <w:rsid w:val="002B26E1"/>
    <w:rsid w:val="002B283D"/>
    <w:rsid w:val="002B28A9"/>
    <w:rsid w:val="002B29F8"/>
    <w:rsid w:val="002B2A55"/>
    <w:rsid w:val="002B2B14"/>
    <w:rsid w:val="002B2C40"/>
    <w:rsid w:val="002B2F63"/>
    <w:rsid w:val="002B3040"/>
    <w:rsid w:val="002B30FD"/>
    <w:rsid w:val="002B333B"/>
    <w:rsid w:val="002B4244"/>
    <w:rsid w:val="002B4377"/>
    <w:rsid w:val="002B4407"/>
    <w:rsid w:val="002B5B77"/>
    <w:rsid w:val="002B5B80"/>
    <w:rsid w:val="002B5D3D"/>
    <w:rsid w:val="002B5D8D"/>
    <w:rsid w:val="002B5DA9"/>
    <w:rsid w:val="002B60C5"/>
    <w:rsid w:val="002B6575"/>
    <w:rsid w:val="002B6679"/>
    <w:rsid w:val="002B67B7"/>
    <w:rsid w:val="002B68E3"/>
    <w:rsid w:val="002B6B97"/>
    <w:rsid w:val="002B748C"/>
    <w:rsid w:val="002B757C"/>
    <w:rsid w:val="002B76AC"/>
    <w:rsid w:val="002B7882"/>
    <w:rsid w:val="002C03B7"/>
    <w:rsid w:val="002C0429"/>
    <w:rsid w:val="002C06B2"/>
    <w:rsid w:val="002C0767"/>
    <w:rsid w:val="002C092D"/>
    <w:rsid w:val="002C0EE9"/>
    <w:rsid w:val="002C166E"/>
    <w:rsid w:val="002C16BE"/>
    <w:rsid w:val="002C171A"/>
    <w:rsid w:val="002C19E4"/>
    <w:rsid w:val="002C1CCB"/>
    <w:rsid w:val="002C1D3D"/>
    <w:rsid w:val="002C232D"/>
    <w:rsid w:val="002C24D8"/>
    <w:rsid w:val="002C257A"/>
    <w:rsid w:val="002C27FE"/>
    <w:rsid w:val="002C2838"/>
    <w:rsid w:val="002C2B9F"/>
    <w:rsid w:val="002C3577"/>
    <w:rsid w:val="002C3676"/>
    <w:rsid w:val="002C3B39"/>
    <w:rsid w:val="002C3B97"/>
    <w:rsid w:val="002C3C03"/>
    <w:rsid w:val="002C3C10"/>
    <w:rsid w:val="002C3E84"/>
    <w:rsid w:val="002C40D6"/>
    <w:rsid w:val="002C44E1"/>
    <w:rsid w:val="002C4A1B"/>
    <w:rsid w:val="002C4E48"/>
    <w:rsid w:val="002C4F72"/>
    <w:rsid w:val="002C518B"/>
    <w:rsid w:val="002C5256"/>
    <w:rsid w:val="002C56C1"/>
    <w:rsid w:val="002C5992"/>
    <w:rsid w:val="002C666D"/>
    <w:rsid w:val="002C6CC4"/>
    <w:rsid w:val="002C6EF5"/>
    <w:rsid w:val="002C7166"/>
    <w:rsid w:val="002C7368"/>
    <w:rsid w:val="002C7542"/>
    <w:rsid w:val="002C79B8"/>
    <w:rsid w:val="002C7DE7"/>
    <w:rsid w:val="002D09D1"/>
    <w:rsid w:val="002D0A56"/>
    <w:rsid w:val="002D0B66"/>
    <w:rsid w:val="002D106A"/>
    <w:rsid w:val="002D13C4"/>
    <w:rsid w:val="002D141E"/>
    <w:rsid w:val="002D1791"/>
    <w:rsid w:val="002D18E6"/>
    <w:rsid w:val="002D19F7"/>
    <w:rsid w:val="002D2191"/>
    <w:rsid w:val="002D22E1"/>
    <w:rsid w:val="002D2678"/>
    <w:rsid w:val="002D275E"/>
    <w:rsid w:val="002D2A1D"/>
    <w:rsid w:val="002D2C16"/>
    <w:rsid w:val="002D313F"/>
    <w:rsid w:val="002D3226"/>
    <w:rsid w:val="002D339E"/>
    <w:rsid w:val="002D33EC"/>
    <w:rsid w:val="002D39E4"/>
    <w:rsid w:val="002D402C"/>
    <w:rsid w:val="002D41FE"/>
    <w:rsid w:val="002D422F"/>
    <w:rsid w:val="002D4735"/>
    <w:rsid w:val="002D48DA"/>
    <w:rsid w:val="002D4C0F"/>
    <w:rsid w:val="002D4DA3"/>
    <w:rsid w:val="002D5320"/>
    <w:rsid w:val="002D5452"/>
    <w:rsid w:val="002D548A"/>
    <w:rsid w:val="002D5AFD"/>
    <w:rsid w:val="002D5FF2"/>
    <w:rsid w:val="002D6357"/>
    <w:rsid w:val="002D6366"/>
    <w:rsid w:val="002D65B8"/>
    <w:rsid w:val="002D65D5"/>
    <w:rsid w:val="002D6683"/>
    <w:rsid w:val="002D6997"/>
    <w:rsid w:val="002D6AB7"/>
    <w:rsid w:val="002D6E7F"/>
    <w:rsid w:val="002D73B3"/>
    <w:rsid w:val="002D743D"/>
    <w:rsid w:val="002D7514"/>
    <w:rsid w:val="002D7584"/>
    <w:rsid w:val="002D7A10"/>
    <w:rsid w:val="002E013D"/>
    <w:rsid w:val="002E01A0"/>
    <w:rsid w:val="002E02EE"/>
    <w:rsid w:val="002E039A"/>
    <w:rsid w:val="002E04F8"/>
    <w:rsid w:val="002E0697"/>
    <w:rsid w:val="002E07F1"/>
    <w:rsid w:val="002E0A68"/>
    <w:rsid w:val="002E0FA9"/>
    <w:rsid w:val="002E1293"/>
    <w:rsid w:val="002E1B16"/>
    <w:rsid w:val="002E1E97"/>
    <w:rsid w:val="002E2CCD"/>
    <w:rsid w:val="002E2D97"/>
    <w:rsid w:val="002E2F2E"/>
    <w:rsid w:val="002E3026"/>
    <w:rsid w:val="002E3731"/>
    <w:rsid w:val="002E3A8B"/>
    <w:rsid w:val="002E3C21"/>
    <w:rsid w:val="002E3F06"/>
    <w:rsid w:val="002E4786"/>
    <w:rsid w:val="002E4A4B"/>
    <w:rsid w:val="002E4B04"/>
    <w:rsid w:val="002E4C29"/>
    <w:rsid w:val="002E521A"/>
    <w:rsid w:val="002E56A9"/>
    <w:rsid w:val="002E5839"/>
    <w:rsid w:val="002E5E87"/>
    <w:rsid w:val="002E5F97"/>
    <w:rsid w:val="002E6295"/>
    <w:rsid w:val="002E643A"/>
    <w:rsid w:val="002E64A9"/>
    <w:rsid w:val="002E656C"/>
    <w:rsid w:val="002E6BCF"/>
    <w:rsid w:val="002E6DDD"/>
    <w:rsid w:val="002E6FFA"/>
    <w:rsid w:val="002E7381"/>
    <w:rsid w:val="002E75F3"/>
    <w:rsid w:val="002E765B"/>
    <w:rsid w:val="002E7B14"/>
    <w:rsid w:val="002E7BAB"/>
    <w:rsid w:val="002E7F8F"/>
    <w:rsid w:val="002F0094"/>
    <w:rsid w:val="002F053D"/>
    <w:rsid w:val="002F112F"/>
    <w:rsid w:val="002F15C6"/>
    <w:rsid w:val="002F1A77"/>
    <w:rsid w:val="002F20D9"/>
    <w:rsid w:val="002F2342"/>
    <w:rsid w:val="002F24F7"/>
    <w:rsid w:val="002F251E"/>
    <w:rsid w:val="002F2559"/>
    <w:rsid w:val="002F25AE"/>
    <w:rsid w:val="002F2733"/>
    <w:rsid w:val="002F2BB0"/>
    <w:rsid w:val="002F2D9C"/>
    <w:rsid w:val="002F2F9E"/>
    <w:rsid w:val="002F3213"/>
    <w:rsid w:val="002F37D3"/>
    <w:rsid w:val="002F3877"/>
    <w:rsid w:val="002F3F04"/>
    <w:rsid w:val="002F41BA"/>
    <w:rsid w:val="002F49DD"/>
    <w:rsid w:val="002F4D3A"/>
    <w:rsid w:val="002F5A50"/>
    <w:rsid w:val="002F5B4A"/>
    <w:rsid w:val="002F5E86"/>
    <w:rsid w:val="002F5F3C"/>
    <w:rsid w:val="002F621F"/>
    <w:rsid w:val="002F64E6"/>
    <w:rsid w:val="002F662D"/>
    <w:rsid w:val="002F6BEE"/>
    <w:rsid w:val="002F6BFA"/>
    <w:rsid w:val="002F6C34"/>
    <w:rsid w:val="002F6F81"/>
    <w:rsid w:val="002F7228"/>
    <w:rsid w:val="002F7249"/>
    <w:rsid w:val="002F750E"/>
    <w:rsid w:val="002F755A"/>
    <w:rsid w:val="002F759D"/>
    <w:rsid w:val="002F7DB7"/>
    <w:rsid w:val="002F7DF1"/>
    <w:rsid w:val="002F7F13"/>
    <w:rsid w:val="00300137"/>
    <w:rsid w:val="0030016D"/>
    <w:rsid w:val="0030019C"/>
    <w:rsid w:val="0030049C"/>
    <w:rsid w:val="0030077C"/>
    <w:rsid w:val="00300AD2"/>
    <w:rsid w:val="00300C2E"/>
    <w:rsid w:val="00300C6B"/>
    <w:rsid w:val="00300FDA"/>
    <w:rsid w:val="003010FC"/>
    <w:rsid w:val="003018AA"/>
    <w:rsid w:val="00301B60"/>
    <w:rsid w:val="00302B6C"/>
    <w:rsid w:val="00303031"/>
    <w:rsid w:val="003030BC"/>
    <w:rsid w:val="003031CA"/>
    <w:rsid w:val="00303885"/>
    <w:rsid w:val="00303B99"/>
    <w:rsid w:val="00303BDD"/>
    <w:rsid w:val="00303D6C"/>
    <w:rsid w:val="00303E8C"/>
    <w:rsid w:val="00303F34"/>
    <w:rsid w:val="00304790"/>
    <w:rsid w:val="00305DFB"/>
    <w:rsid w:val="00306145"/>
    <w:rsid w:val="00306313"/>
    <w:rsid w:val="003065CD"/>
    <w:rsid w:val="0030665C"/>
    <w:rsid w:val="00306700"/>
    <w:rsid w:val="0030682C"/>
    <w:rsid w:val="00306D1F"/>
    <w:rsid w:val="00307009"/>
    <w:rsid w:val="0030714F"/>
    <w:rsid w:val="0030737B"/>
    <w:rsid w:val="003073E2"/>
    <w:rsid w:val="00307549"/>
    <w:rsid w:val="003079A1"/>
    <w:rsid w:val="00307A38"/>
    <w:rsid w:val="00307DDF"/>
    <w:rsid w:val="003108F7"/>
    <w:rsid w:val="00310F4C"/>
    <w:rsid w:val="0031109A"/>
    <w:rsid w:val="003114C6"/>
    <w:rsid w:val="00311AE6"/>
    <w:rsid w:val="00311F54"/>
    <w:rsid w:val="00311F63"/>
    <w:rsid w:val="003120C9"/>
    <w:rsid w:val="003129EF"/>
    <w:rsid w:val="00312B14"/>
    <w:rsid w:val="003134B2"/>
    <w:rsid w:val="003135E2"/>
    <w:rsid w:val="00313706"/>
    <w:rsid w:val="003143EC"/>
    <w:rsid w:val="00314A43"/>
    <w:rsid w:val="00315102"/>
    <w:rsid w:val="0031520C"/>
    <w:rsid w:val="00315514"/>
    <w:rsid w:val="00315694"/>
    <w:rsid w:val="00315A0E"/>
    <w:rsid w:val="00315A3D"/>
    <w:rsid w:val="00315E01"/>
    <w:rsid w:val="00316486"/>
    <w:rsid w:val="00316699"/>
    <w:rsid w:val="00316963"/>
    <w:rsid w:val="003169F2"/>
    <w:rsid w:val="00316E99"/>
    <w:rsid w:val="003170B2"/>
    <w:rsid w:val="003172C2"/>
    <w:rsid w:val="00317441"/>
    <w:rsid w:val="003177CA"/>
    <w:rsid w:val="0031788C"/>
    <w:rsid w:val="003178CA"/>
    <w:rsid w:val="0031792E"/>
    <w:rsid w:val="00317F31"/>
    <w:rsid w:val="00320F00"/>
    <w:rsid w:val="00320FE4"/>
    <w:rsid w:val="00321083"/>
    <w:rsid w:val="003216D1"/>
    <w:rsid w:val="00321B05"/>
    <w:rsid w:val="00321D59"/>
    <w:rsid w:val="00322040"/>
    <w:rsid w:val="00322AF6"/>
    <w:rsid w:val="0032372F"/>
    <w:rsid w:val="00323755"/>
    <w:rsid w:val="00323BAB"/>
    <w:rsid w:val="00323C9D"/>
    <w:rsid w:val="003240B8"/>
    <w:rsid w:val="003244CC"/>
    <w:rsid w:val="00324681"/>
    <w:rsid w:val="0032494C"/>
    <w:rsid w:val="00325422"/>
    <w:rsid w:val="00325F50"/>
    <w:rsid w:val="00326735"/>
    <w:rsid w:val="003268C2"/>
    <w:rsid w:val="0032727E"/>
    <w:rsid w:val="003274BA"/>
    <w:rsid w:val="0032758B"/>
    <w:rsid w:val="00327B64"/>
    <w:rsid w:val="00330980"/>
    <w:rsid w:val="00330F93"/>
    <w:rsid w:val="003310EE"/>
    <w:rsid w:val="003316AB"/>
    <w:rsid w:val="0033170A"/>
    <w:rsid w:val="00331CDF"/>
    <w:rsid w:val="00331D1F"/>
    <w:rsid w:val="00331E31"/>
    <w:rsid w:val="00331EA4"/>
    <w:rsid w:val="00331EB6"/>
    <w:rsid w:val="003324FA"/>
    <w:rsid w:val="0033254C"/>
    <w:rsid w:val="00332B17"/>
    <w:rsid w:val="00332D49"/>
    <w:rsid w:val="00333110"/>
    <w:rsid w:val="003332D4"/>
    <w:rsid w:val="003337C4"/>
    <w:rsid w:val="00333A25"/>
    <w:rsid w:val="00333FDA"/>
    <w:rsid w:val="003340DE"/>
    <w:rsid w:val="00334417"/>
    <w:rsid w:val="00334872"/>
    <w:rsid w:val="00334887"/>
    <w:rsid w:val="00334DD6"/>
    <w:rsid w:val="00334EC2"/>
    <w:rsid w:val="00334F48"/>
    <w:rsid w:val="003353B5"/>
    <w:rsid w:val="003353E3"/>
    <w:rsid w:val="0033540C"/>
    <w:rsid w:val="003355F8"/>
    <w:rsid w:val="00335804"/>
    <w:rsid w:val="0033584A"/>
    <w:rsid w:val="00335A8F"/>
    <w:rsid w:val="00335BE9"/>
    <w:rsid w:val="00335D17"/>
    <w:rsid w:val="00335FFE"/>
    <w:rsid w:val="0033657E"/>
    <w:rsid w:val="00336C57"/>
    <w:rsid w:val="00336D81"/>
    <w:rsid w:val="0033732D"/>
    <w:rsid w:val="00337716"/>
    <w:rsid w:val="00337723"/>
    <w:rsid w:val="003379A9"/>
    <w:rsid w:val="00337BA8"/>
    <w:rsid w:val="00340C6D"/>
    <w:rsid w:val="00340D19"/>
    <w:rsid w:val="0034168D"/>
    <w:rsid w:val="00341B27"/>
    <w:rsid w:val="00341F2F"/>
    <w:rsid w:val="00342193"/>
    <w:rsid w:val="003428C3"/>
    <w:rsid w:val="00342956"/>
    <w:rsid w:val="00342D6A"/>
    <w:rsid w:val="00343230"/>
    <w:rsid w:val="0034336D"/>
    <w:rsid w:val="00343461"/>
    <w:rsid w:val="003436BD"/>
    <w:rsid w:val="0034395C"/>
    <w:rsid w:val="00343B61"/>
    <w:rsid w:val="00343C6C"/>
    <w:rsid w:val="00343EC0"/>
    <w:rsid w:val="00344705"/>
    <w:rsid w:val="00344804"/>
    <w:rsid w:val="00344D49"/>
    <w:rsid w:val="00344E30"/>
    <w:rsid w:val="00345372"/>
    <w:rsid w:val="00345518"/>
    <w:rsid w:val="003456C8"/>
    <w:rsid w:val="00345E29"/>
    <w:rsid w:val="00345F9E"/>
    <w:rsid w:val="00346162"/>
    <w:rsid w:val="003463D1"/>
    <w:rsid w:val="00346812"/>
    <w:rsid w:val="003468E7"/>
    <w:rsid w:val="00346C47"/>
    <w:rsid w:val="00346C69"/>
    <w:rsid w:val="00346C74"/>
    <w:rsid w:val="003473C2"/>
    <w:rsid w:val="00347863"/>
    <w:rsid w:val="00347A1F"/>
    <w:rsid w:val="0035014D"/>
    <w:rsid w:val="003508D7"/>
    <w:rsid w:val="00350B6D"/>
    <w:rsid w:val="003510FF"/>
    <w:rsid w:val="00351208"/>
    <w:rsid w:val="00351416"/>
    <w:rsid w:val="003518C8"/>
    <w:rsid w:val="0035194C"/>
    <w:rsid w:val="00351A51"/>
    <w:rsid w:val="00351E48"/>
    <w:rsid w:val="003520E4"/>
    <w:rsid w:val="00352155"/>
    <w:rsid w:val="00352831"/>
    <w:rsid w:val="00352BC7"/>
    <w:rsid w:val="00352C9E"/>
    <w:rsid w:val="0035337A"/>
    <w:rsid w:val="0035338B"/>
    <w:rsid w:val="003533B5"/>
    <w:rsid w:val="0035342E"/>
    <w:rsid w:val="00353436"/>
    <w:rsid w:val="0035394B"/>
    <w:rsid w:val="00353CE3"/>
    <w:rsid w:val="00353DC0"/>
    <w:rsid w:val="00353F83"/>
    <w:rsid w:val="00354187"/>
    <w:rsid w:val="003542D3"/>
    <w:rsid w:val="00354B2F"/>
    <w:rsid w:val="0035508D"/>
    <w:rsid w:val="0035559B"/>
    <w:rsid w:val="00355C37"/>
    <w:rsid w:val="00356024"/>
    <w:rsid w:val="00356155"/>
    <w:rsid w:val="003561D9"/>
    <w:rsid w:val="003562B0"/>
    <w:rsid w:val="00356313"/>
    <w:rsid w:val="003566BA"/>
    <w:rsid w:val="003568D9"/>
    <w:rsid w:val="0035728C"/>
    <w:rsid w:val="00357901"/>
    <w:rsid w:val="0036035C"/>
    <w:rsid w:val="00360426"/>
    <w:rsid w:val="003604D3"/>
    <w:rsid w:val="0036063F"/>
    <w:rsid w:val="00360AF9"/>
    <w:rsid w:val="00360B65"/>
    <w:rsid w:val="00360C62"/>
    <w:rsid w:val="00361146"/>
    <w:rsid w:val="0036139E"/>
    <w:rsid w:val="00361563"/>
    <w:rsid w:val="0036158F"/>
    <w:rsid w:val="00361619"/>
    <w:rsid w:val="00361F8D"/>
    <w:rsid w:val="0036204E"/>
    <w:rsid w:val="003622CA"/>
    <w:rsid w:val="0036258C"/>
    <w:rsid w:val="00362730"/>
    <w:rsid w:val="003628E7"/>
    <w:rsid w:val="003629F0"/>
    <w:rsid w:val="00362F8E"/>
    <w:rsid w:val="00363030"/>
    <w:rsid w:val="0036347F"/>
    <w:rsid w:val="00363603"/>
    <w:rsid w:val="00363EC5"/>
    <w:rsid w:val="00363F8F"/>
    <w:rsid w:val="00363FF4"/>
    <w:rsid w:val="00364563"/>
    <w:rsid w:val="0036462C"/>
    <w:rsid w:val="00364A42"/>
    <w:rsid w:val="00364CC8"/>
    <w:rsid w:val="00364FC9"/>
    <w:rsid w:val="00365285"/>
    <w:rsid w:val="00365313"/>
    <w:rsid w:val="00365369"/>
    <w:rsid w:val="003653A1"/>
    <w:rsid w:val="0036588C"/>
    <w:rsid w:val="00365E02"/>
    <w:rsid w:val="00366018"/>
    <w:rsid w:val="00366549"/>
    <w:rsid w:val="00366736"/>
    <w:rsid w:val="00366747"/>
    <w:rsid w:val="003667FD"/>
    <w:rsid w:val="00366DA3"/>
    <w:rsid w:val="00366E0E"/>
    <w:rsid w:val="003674CA"/>
    <w:rsid w:val="0036754F"/>
    <w:rsid w:val="00367FFC"/>
    <w:rsid w:val="003702A2"/>
    <w:rsid w:val="0037077D"/>
    <w:rsid w:val="0037081A"/>
    <w:rsid w:val="00370A42"/>
    <w:rsid w:val="00370BCD"/>
    <w:rsid w:val="00370C11"/>
    <w:rsid w:val="00370FE2"/>
    <w:rsid w:val="003714D9"/>
    <w:rsid w:val="003715F6"/>
    <w:rsid w:val="00371732"/>
    <w:rsid w:val="00371750"/>
    <w:rsid w:val="0037180B"/>
    <w:rsid w:val="00371A4B"/>
    <w:rsid w:val="00371E49"/>
    <w:rsid w:val="003722BF"/>
    <w:rsid w:val="003723CB"/>
    <w:rsid w:val="00372643"/>
    <w:rsid w:val="00372A35"/>
    <w:rsid w:val="00372C94"/>
    <w:rsid w:val="00372D90"/>
    <w:rsid w:val="003732C1"/>
    <w:rsid w:val="003733B9"/>
    <w:rsid w:val="0037352F"/>
    <w:rsid w:val="00373753"/>
    <w:rsid w:val="00373B32"/>
    <w:rsid w:val="00373B5C"/>
    <w:rsid w:val="00373CD4"/>
    <w:rsid w:val="00374099"/>
    <w:rsid w:val="00374329"/>
    <w:rsid w:val="0037432C"/>
    <w:rsid w:val="003743C4"/>
    <w:rsid w:val="00374C5B"/>
    <w:rsid w:val="00374F23"/>
    <w:rsid w:val="0037525E"/>
    <w:rsid w:val="003752D2"/>
    <w:rsid w:val="003755FB"/>
    <w:rsid w:val="003756AA"/>
    <w:rsid w:val="0037577C"/>
    <w:rsid w:val="00375A38"/>
    <w:rsid w:val="0037606A"/>
    <w:rsid w:val="0037608C"/>
    <w:rsid w:val="003767B2"/>
    <w:rsid w:val="0037682D"/>
    <w:rsid w:val="00376A1D"/>
    <w:rsid w:val="00376D53"/>
    <w:rsid w:val="00376F22"/>
    <w:rsid w:val="00377201"/>
    <w:rsid w:val="00377263"/>
    <w:rsid w:val="003775B8"/>
    <w:rsid w:val="0037768A"/>
    <w:rsid w:val="00377862"/>
    <w:rsid w:val="003778B6"/>
    <w:rsid w:val="00377CB7"/>
    <w:rsid w:val="00377DF7"/>
    <w:rsid w:val="00380EAB"/>
    <w:rsid w:val="003810DD"/>
    <w:rsid w:val="00381421"/>
    <w:rsid w:val="0038188D"/>
    <w:rsid w:val="00381FEF"/>
    <w:rsid w:val="0038218A"/>
    <w:rsid w:val="0038235F"/>
    <w:rsid w:val="0038254A"/>
    <w:rsid w:val="0038284B"/>
    <w:rsid w:val="00382B40"/>
    <w:rsid w:val="00382F20"/>
    <w:rsid w:val="003832D4"/>
    <w:rsid w:val="00383513"/>
    <w:rsid w:val="003841E8"/>
    <w:rsid w:val="003845E1"/>
    <w:rsid w:val="00384627"/>
    <w:rsid w:val="00384AEA"/>
    <w:rsid w:val="00384F64"/>
    <w:rsid w:val="0038539F"/>
    <w:rsid w:val="00385502"/>
    <w:rsid w:val="00385526"/>
    <w:rsid w:val="0038569C"/>
    <w:rsid w:val="003857E9"/>
    <w:rsid w:val="00385917"/>
    <w:rsid w:val="00385977"/>
    <w:rsid w:val="0038623A"/>
    <w:rsid w:val="003863E7"/>
    <w:rsid w:val="0038648E"/>
    <w:rsid w:val="003866CA"/>
    <w:rsid w:val="00386D03"/>
    <w:rsid w:val="00387620"/>
    <w:rsid w:val="003878C9"/>
    <w:rsid w:val="003904F7"/>
    <w:rsid w:val="003907BE"/>
    <w:rsid w:val="0039085E"/>
    <w:rsid w:val="00390A62"/>
    <w:rsid w:val="00390D0C"/>
    <w:rsid w:val="003915CB"/>
    <w:rsid w:val="00391A43"/>
    <w:rsid w:val="00391CAA"/>
    <w:rsid w:val="00392715"/>
    <w:rsid w:val="00392734"/>
    <w:rsid w:val="003927B4"/>
    <w:rsid w:val="00393123"/>
    <w:rsid w:val="0039331D"/>
    <w:rsid w:val="003933D9"/>
    <w:rsid w:val="003937D5"/>
    <w:rsid w:val="003944E0"/>
    <w:rsid w:val="003944E5"/>
    <w:rsid w:val="00394A04"/>
    <w:rsid w:val="00394EE1"/>
    <w:rsid w:val="00394F8D"/>
    <w:rsid w:val="00394FFE"/>
    <w:rsid w:val="003958EB"/>
    <w:rsid w:val="00395B3E"/>
    <w:rsid w:val="00396375"/>
    <w:rsid w:val="00396541"/>
    <w:rsid w:val="00396928"/>
    <w:rsid w:val="00396968"/>
    <w:rsid w:val="00396E47"/>
    <w:rsid w:val="00396EC9"/>
    <w:rsid w:val="00397467"/>
    <w:rsid w:val="00397918"/>
    <w:rsid w:val="00397ACA"/>
    <w:rsid w:val="003A0125"/>
    <w:rsid w:val="003A0178"/>
    <w:rsid w:val="003A01C0"/>
    <w:rsid w:val="003A0619"/>
    <w:rsid w:val="003A071C"/>
    <w:rsid w:val="003A07D6"/>
    <w:rsid w:val="003A0A0B"/>
    <w:rsid w:val="003A0A71"/>
    <w:rsid w:val="003A0D28"/>
    <w:rsid w:val="003A15FF"/>
    <w:rsid w:val="003A1921"/>
    <w:rsid w:val="003A1A55"/>
    <w:rsid w:val="003A1D43"/>
    <w:rsid w:val="003A25FB"/>
    <w:rsid w:val="003A2604"/>
    <w:rsid w:val="003A27CC"/>
    <w:rsid w:val="003A286F"/>
    <w:rsid w:val="003A2CA9"/>
    <w:rsid w:val="003A301D"/>
    <w:rsid w:val="003A31BD"/>
    <w:rsid w:val="003A32CB"/>
    <w:rsid w:val="003A3B84"/>
    <w:rsid w:val="003A3D1C"/>
    <w:rsid w:val="003A4038"/>
    <w:rsid w:val="003A4773"/>
    <w:rsid w:val="003A4E6C"/>
    <w:rsid w:val="003A4EE9"/>
    <w:rsid w:val="003A534F"/>
    <w:rsid w:val="003A5623"/>
    <w:rsid w:val="003A56AB"/>
    <w:rsid w:val="003A56D8"/>
    <w:rsid w:val="003A58E0"/>
    <w:rsid w:val="003A5AF1"/>
    <w:rsid w:val="003A60F2"/>
    <w:rsid w:val="003A63E9"/>
    <w:rsid w:val="003A6E02"/>
    <w:rsid w:val="003A6FF0"/>
    <w:rsid w:val="003A721E"/>
    <w:rsid w:val="003A7B45"/>
    <w:rsid w:val="003A7E3A"/>
    <w:rsid w:val="003B011C"/>
    <w:rsid w:val="003B016A"/>
    <w:rsid w:val="003B0517"/>
    <w:rsid w:val="003B0611"/>
    <w:rsid w:val="003B0ADD"/>
    <w:rsid w:val="003B0D66"/>
    <w:rsid w:val="003B0D72"/>
    <w:rsid w:val="003B1546"/>
    <w:rsid w:val="003B220B"/>
    <w:rsid w:val="003B23A8"/>
    <w:rsid w:val="003B23C7"/>
    <w:rsid w:val="003B2B48"/>
    <w:rsid w:val="003B2CB6"/>
    <w:rsid w:val="003B2DBB"/>
    <w:rsid w:val="003B2F91"/>
    <w:rsid w:val="003B2FD2"/>
    <w:rsid w:val="003B304D"/>
    <w:rsid w:val="003B346D"/>
    <w:rsid w:val="003B3617"/>
    <w:rsid w:val="003B3844"/>
    <w:rsid w:val="003B39E7"/>
    <w:rsid w:val="003B3E6C"/>
    <w:rsid w:val="003B42D9"/>
    <w:rsid w:val="003B465B"/>
    <w:rsid w:val="003B50DA"/>
    <w:rsid w:val="003B54B5"/>
    <w:rsid w:val="003B5957"/>
    <w:rsid w:val="003B5F4E"/>
    <w:rsid w:val="003B6017"/>
    <w:rsid w:val="003B666F"/>
    <w:rsid w:val="003B66C0"/>
    <w:rsid w:val="003B6BE4"/>
    <w:rsid w:val="003B7029"/>
    <w:rsid w:val="003B7073"/>
    <w:rsid w:val="003B71A3"/>
    <w:rsid w:val="003C02BA"/>
    <w:rsid w:val="003C052F"/>
    <w:rsid w:val="003C0656"/>
    <w:rsid w:val="003C06D8"/>
    <w:rsid w:val="003C0E7C"/>
    <w:rsid w:val="003C0F84"/>
    <w:rsid w:val="003C1203"/>
    <w:rsid w:val="003C168A"/>
    <w:rsid w:val="003C27D0"/>
    <w:rsid w:val="003C28B1"/>
    <w:rsid w:val="003C28ED"/>
    <w:rsid w:val="003C2AC8"/>
    <w:rsid w:val="003C2B4A"/>
    <w:rsid w:val="003C2E13"/>
    <w:rsid w:val="003C2EB2"/>
    <w:rsid w:val="003C3140"/>
    <w:rsid w:val="003C31C9"/>
    <w:rsid w:val="003C327C"/>
    <w:rsid w:val="003C3A63"/>
    <w:rsid w:val="003C3E02"/>
    <w:rsid w:val="003C3EC8"/>
    <w:rsid w:val="003C3EDB"/>
    <w:rsid w:val="003C3FE8"/>
    <w:rsid w:val="003C41DA"/>
    <w:rsid w:val="003C464B"/>
    <w:rsid w:val="003C4E62"/>
    <w:rsid w:val="003C56D4"/>
    <w:rsid w:val="003C5783"/>
    <w:rsid w:val="003C5C37"/>
    <w:rsid w:val="003C6A69"/>
    <w:rsid w:val="003C6B13"/>
    <w:rsid w:val="003C734B"/>
    <w:rsid w:val="003C73F9"/>
    <w:rsid w:val="003C768D"/>
    <w:rsid w:val="003C77B2"/>
    <w:rsid w:val="003C7EC4"/>
    <w:rsid w:val="003D06EA"/>
    <w:rsid w:val="003D07BC"/>
    <w:rsid w:val="003D116E"/>
    <w:rsid w:val="003D1BF0"/>
    <w:rsid w:val="003D1C7F"/>
    <w:rsid w:val="003D1E07"/>
    <w:rsid w:val="003D1F70"/>
    <w:rsid w:val="003D2152"/>
    <w:rsid w:val="003D234E"/>
    <w:rsid w:val="003D2AC7"/>
    <w:rsid w:val="003D394E"/>
    <w:rsid w:val="003D3971"/>
    <w:rsid w:val="003D3AAA"/>
    <w:rsid w:val="003D3FAA"/>
    <w:rsid w:val="003D3FE9"/>
    <w:rsid w:val="003D4168"/>
    <w:rsid w:val="003D4398"/>
    <w:rsid w:val="003D447C"/>
    <w:rsid w:val="003D45F6"/>
    <w:rsid w:val="003D4DB8"/>
    <w:rsid w:val="003D4DE1"/>
    <w:rsid w:val="003D51DE"/>
    <w:rsid w:val="003D57BB"/>
    <w:rsid w:val="003D5967"/>
    <w:rsid w:val="003D5B76"/>
    <w:rsid w:val="003D5F07"/>
    <w:rsid w:val="003D5F21"/>
    <w:rsid w:val="003D6153"/>
    <w:rsid w:val="003D62DA"/>
    <w:rsid w:val="003D6463"/>
    <w:rsid w:val="003D6AAF"/>
    <w:rsid w:val="003D6AB5"/>
    <w:rsid w:val="003D6CF4"/>
    <w:rsid w:val="003D77FE"/>
    <w:rsid w:val="003D79CB"/>
    <w:rsid w:val="003E02E7"/>
    <w:rsid w:val="003E071C"/>
    <w:rsid w:val="003E0759"/>
    <w:rsid w:val="003E0BCA"/>
    <w:rsid w:val="003E0BCF"/>
    <w:rsid w:val="003E0FAE"/>
    <w:rsid w:val="003E121E"/>
    <w:rsid w:val="003E1902"/>
    <w:rsid w:val="003E2090"/>
    <w:rsid w:val="003E25AA"/>
    <w:rsid w:val="003E2890"/>
    <w:rsid w:val="003E2B61"/>
    <w:rsid w:val="003E3908"/>
    <w:rsid w:val="003E3988"/>
    <w:rsid w:val="003E3BDC"/>
    <w:rsid w:val="003E3FF5"/>
    <w:rsid w:val="003E414C"/>
    <w:rsid w:val="003E44DD"/>
    <w:rsid w:val="003E4B34"/>
    <w:rsid w:val="003E4D95"/>
    <w:rsid w:val="003E5354"/>
    <w:rsid w:val="003E565C"/>
    <w:rsid w:val="003E585A"/>
    <w:rsid w:val="003E58FC"/>
    <w:rsid w:val="003E5C36"/>
    <w:rsid w:val="003E615E"/>
    <w:rsid w:val="003E67A3"/>
    <w:rsid w:val="003E709C"/>
    <w:rsid w:val="003E75D2"/>
    <w:rsid w:val="003E76F4"/>
    <w:rsid w:val="003E7AC0"/>
    <w:rsid w:val="003E7CF3"/>
    <w:rsid w:val="003E7EB7"/>
    <w:rsid w:val="003F018C"/>
    <w:rsid w:val="003F068A"/>
    <w:rsid w:val="003F0CA8"/>
    <w:rsid w:val="003F134B"/>
    <w:rsid w:val="003F17A7"/>
    <w:rsid w:val="003F19E1"/>
    <w:rsid w:val="003F1B91"/>
    <w:rsid w:val="003F1C48"/>
    <w:rsid w:val="003F1EFB"/>
    <w:rsid w:val="003F1F93"/>
    <w:rsid w:val="003F20A0"/>
    <w:rsid w:val="003F21C4"/>
    <w:rsid w:val="003F230F"/>
    <w:rsid w:val="003F23E9"/>
    <w:rsid w:val="003F27F5"/>
    <w:rsid w:val="003F2A8B"/>
    <w:rsid w:val="003F2DF5"/>
    <w:rsid w:val="003F2E6C"/>
    <w:rsid w:val="003F2EC1"/>
    <w:rsid w:val="003F33C1"/>
    <w:rsid w:val="003F3CF2"/>
    <w:rsid w:val="003F45AC"/>
    <w:rsid w:val="003F4752"/>
    <w:rsid w:val="003F4B73"/>
    <w:rsid w:val="003F4FAA"/>
    <w:rsid w:val="003F5033"/>
    <w:rsid w:val="003F51F4"/>
    <w:rsid w:val="003F52C6"/>
    <w:rsid w:val="003F54E5"/>
    <w:rsid w:val="003F558E"/>
    <w:rsid w:val="003F5673"/>
    <w:rsid w:val="003F5C0C"/>
    <w:rsid w:val="003F6692"/>
    <w:rsid w:val="003F683A"/>
    <w:rsid w:val="003F6944"/>
    <w:rsid w:val="003F6A2E"/>
    <w:rsid w:val="003F6BE9"/>
    <w:rsid w:val="003F723C"/>
    <w:rsid w:val="003F7285"/>
    <w:rsid w:val="003F74E3"/>
    <w:rsid w:val="003F76B1"/>
    <w:rsid w:val="003F77B3"/>
    <w:rsid w:val="003F7B70"/>
    <w:rsid w:val="004007FF"/>
    <w:rsid w:val="00400E63"/>
    <w:rsid w:val="00400F8F"/>
    <w:rsid w:val="0040126F"/>
    <w:rsid w:val="004012F8"/>
    <w:rsid w:val="0040170F"/>
    <w:rsid w:val="00401733"/>
    <w:rsid w:val="00402C58"/>
    <w:rsid w:val="00402F37"/>
    <w:rsid w:val="00403056"/>
    <w:rsid w:val="00403501"/>
    <w:rsid w:val="0040377C"/>
    <w:rsid w:val="004037AD"/>
    <w:rsid w:val="00403D6E"/>
    <w:rsid w:val="00403F84"/>
    <w:rsid w:val="00404019"/>
    <w:rsid w:val="00404050"/>
    <w:rsid w:val="00404155"/>
    <w:rsid w:val="00404859"/>
    <w:rsid w:val="00404998"/>
    <w:rsid w:val="00404C7A"/>
    <w:rsid w:val="00404E64"/>
    <w:rsid w:val="00405083"/>
    <w:rsid w:val="00405AA2"/>
    <w:rsid w:val="00405E03"/>
    <w:rsid w:val="00406194"/>
    <w:rsid w:val="00406DE7"/>
    <w:rsid w:val="00407246"/>
    <w:rsid w:val="00407792"/>
    <w:rsid w:val="004077D8"/>
    <w:rsid w:val="00407AC0"/>
    <w:rsid w:val="00410652"/>
    <w:rsid w:val="00410E5A"/>
    <w:rsid w:val="00411024"/>
    <w:rsid w:val="00411713"/>
    <w:rsid w:val="00411814"/>
    <w:rsid w:val="004118D4"/>
    <w:rsid w:val="004119A4"/>
    <w:rsid w:val="004121C0"/>
    <w:rsid w:val="00412BDA"/>
    <w:rsid w:val="00412CBA"/>
    <w:rsid w:val="00412E30"/>
    <w:rsid w:val="00413840"/>
    <w:rsid w:val="00413B67"/>
    <w:rsid w:val="00413BEB"/>
    <w:rsid w:val="00413E9D"/>
    <w:rsid w:val="00413FA9"/>
    <w:rsid w:val="004142FF"/>
    <w:rsid w:val="004143F7"/>
    <w:rsid w:val="00414752"/>
    <w:rsid w:val="00414907"/>
    <w:rsid w:val="00414F42"/>
    <w:rsid w:val="00415341"/>
    <w:rsid w:val="00415346"/>
    <w:rsid w:val="004158F5"/>
    <w:rsid w:val="00415B78"/>
    <w:rsid w:val="00415E2B"/>
    <w:rsid w:val="00416041"/>
    <w:rsid w:val="004165AA"/>
    <w:rsid w:val="0041665C"/>
    <w:rsid w:val="004166BD"/>
    <w:rsid w:val="00416724"/>
    <w:rsid w:val="00416846"/>
    <w:rsid w:val="004169A6"/>
    <w:rsid w:val="00416A7A"/>
    <w:rsid w:val="004170AF"/>
    <w:rsid w:val="00417228"/>
    <w:rsid w:val="004173B4"/>
    <w:rsid w:val="00417DE8"/>
    <w:rsid w:val="00420114"/>
    <w:rsid w:val="0042044F"/>
    <w:rsid w:val="0042057D"/>
    <w:rsid w:val="004206A4"/>
    <w:rsid w:val="00421583"/>
    <w:rsid w:val="004215AB"/>
    <w:rsid w:val="00421861"/>
    <w:rsid w:val="0042189B"/>
    <w:rsid w:val="004222F5"/>
    <w:rsid w:val="00422309"/>
    <w:rsid w:val="00422AA9"/>
    <w:rsid w:val="00422C55"/>
    <w:rsid w:val="00422F58"/>
    <w:rsid w:val="00423004"/>
    <w:rsid w:val="004232A6"/>
    <w:rsid w:val="00423633"/>
    <w:rsid w:val="00423830"/>
    <w:rsid w:val="00423E40"/>
    <w:rsid w:val="0042431A"/>
    <w:rsid w:val="004245D6"/>
    <w:rsid w:val="004248CC"/>
    <w:rsid w:val="004249FA"/>
    <w:rsid w:val="00424E25"/>
    <w:rsid w:val="00425457"/>
    <w:rsid w:val="0042552C"/>
    <w:rsid w:val="00425698"/>
    <w:rsid w:val="00425AB6"/>
    <w:rsid w:val="00425B5A"/>
    <w:rsid w:val="00425ED2"/>
    <w:rsid w:val="004262B4"/>
    <w:rsid w:val="004263AE"/>
    <w:rsid w:val="00426AD3"/>
    <w:rsid w:val="00426AF8"/>
    <w:rsid w:val="00426B9D"/>
    <w:rsid w:val="00426C84"/>
    <w:rsid w:val="004272E4"/>
    <w:rsid w:val="0042766E"/>
    <w:rsid w:val="00427BEA"/>
    <w:rsid w:val="0043065C"/>
    <w:rsid w:val="00430AB5"/>
    <w:rsid w:val="00430BC5"/>
    <w:rsid w:val="00430CD0"/>
    <w:rsid w:val="004310F4"/>
    <w:rsid w:val="00431111"/>
    <w:rsid w:val="004312BD"/>
    <w:rsid w:val="00431380"/>
    <w:rsid w:val="00431C4F"/>
    <w:rsid w:val="00431F67"/>
    <w:rsid w:val="00431F73"/>
    <w:rsid w:val="004320D6"/>
    <w:rsid w:val="00432BB7"/>
    <w:rsid w:val="00432F2F"/>
    <w:rsid w:val="004331E9"/>
    <w:rsid w:val="0043390D"/>
    <w:rsid w:val="00433E8D"/>
    <w:rsid w:val="00433FAA"/>
    <w:rsid w:val="004342EE"/>
    <w:rsid w:val="00434437"/>
    <w:rsid w:val="004346C9"/>
    <w:rsid w:val="004347D4"/>
    <w:rsid w:val="00434A60"/>
    <w:rsid w:val="00434D53"/>
    <w:rsid w:val="00434E88"/>
    <w:rsid w:val="004353EF"/>
    <w:rsid w:val="0043541B"/>
    <w:rsid w:val="0043559E"/>
    <w:rsid w:val="0043592C"/>
    <w:rsid w:val="00435BD0"/>
    <w:rsid w:val="00435F1D"/>
    <w:rsid w:val="00436062"/>
    <w:rsid w:val="00436139"/>
    <w:rsid w:val="00436217"/>
    <w:rsid w:val="00436345"/>
    <w:rsid w:val="00436380"/>
    <w:rsid w:val="00436430"/>
    <w:rsid w:val="00436742"/>
    <w:rsid w:val="00436DDF"/>
    <w:rsid w:val="00436F2F"/>
    <w:rsid w:val="00437967"/>
    <w:rsid w:val="00437E39"/>
    <w:rsid w:val="00437F74"/>
    <w:rsid w:val="0044061D"/>
    <w:rsid w:val="00440626"/>
    <w:rsid w:val="004411B9"/>
    <w:rsid w:val="00441207"/>
    <w:rsid w:val="00441462"/>
    <w:rsid w:val="00441E91"/>
    <w:rsid w:val="00441FEE"/>
    <w:rsid w:val="004422CA"/>
    <w:rsid w:val="0044232D"/>
    <w:rsid w:val="004423F1"/>
    <w:rsid w:val="0044266F"/>
    <w:rsid w:val="00442EFB"/>
    <w:rsid w:val="00442FAD"/>
    <w:rsid w:val="00443597"/>
    <w:rsid w:val="00443807"/>
    <w:rsid w:val="00443A1C"/>
    <w:rsid w:val="00443F03"/>
    <w:rsid w:val="004443E1"/>
    <w:rsid w:val="00444710"/>
    <w:rsid w:val="004449AC"/>
    <w:rsid w:val="00444CB0"/>
    <w:rsid w:val="00444F35"/>
    <w:rsid w:val="0044506F"/>
    <w:rsid w:val="0044555D"/>
    <w:rsid w:val="00445D5A"/>
    <w:rsid w:val="00445D76"/>
    <w:rsid w:val="00445F2B"/>
    <w:rsid w:val="004462F7"/>
    <w:rsid w:val="0044636A"/>
    <w:rsid w:val="00447347"/>
    <w:rsid w:val="00447571"/>
    <w:rsid w:val="0044764F"/>
    <w:rsid w:val="00447A90"/>
    <w:rsid w:val="00447F08"/>
    <w:rsid w:val="0045041B"/>
    <w:rsid w:val="004505EB"/>
    <w:rsid w:val="00451116"/>
    <w:rsid w:val="004515CF"/>
    <w:rsid w:val="00451656"/>
    <w:rsid w:val="0045171E"/>
    <w:rsid w:val="00451A09"/>
    <w:rsid w:val="00451AC5"/>
    <w:rsid w:val="00451C12"/>
    <w:rsid w:val="004522B0"/>
    <w:rsid w:val="00453809"/>
    <w:rsid w:val="00453938"/>
    <w:rsid w:val="00453C7E"/>
    <w:rsid w:val="004545C9"/>
    <w:rsid w:val="00454835"/>
    <w:rsid w:val="004548B6"/>
    <w:rsid w:val="00454C06"/>
    <w:rsid w:val="00454F06"/>
    <w:rsid w:val="004550AC"/>
    <w:rsid w:val="004554CF"/>
    <w:rsid w:val="0045554B"/>
    <w:rsid w:val="00455AAF"/>
    <w:rsid w:val="00455C2C"/>
    <w:rsid w:val="0045650D"/>
    <w:rsid w:val="00456667"/>
    <w:rsid w:val="0045691C"/>
    <w:rsid w:val="00456B54"/>
    <w:rsid w:val="0045709D"/>
    <w:rsid w:val="0045716C"/>
    <w:rsid w:val="00457A7F"/>
    <w:rsid w:val="00457CF8"/>
    <w:rsid w:val="00457E6A"/>
    <w:rsid w:val="00457EFD"/>
    <w:rsid w:val="00457F7B"/>
    <w:rsid w:val="0046019D"/>
    <w:rsid w:val="00460250"/>
    <w:rsid w:val="004603B6"/>
    <w:rsid w:val="00460CC2"/>
    <w:rsid w:val="00460DCD"/>
    <w:rsid w:val="00461099"/>
    <w:rsid w:val="00461668"/>
    <w:rsid w:val="00461C9F"/>
    <w:rsid w:val="00461F55"/>
    <w:rsid w:val="00462220"/>
    <w:rsid w:val="00462292"/>
    <w:rsid w:val="004623FA"/>
    <w:rsid w:val="00462431"/>
    <w:rsid w:val="004626FF"/>
    <w:rsid w:val="00463641"/>
    <w:rsid w:val="00463D97"/>
    <w:rsid w:val="0046410F"/>
    <w:rsid w:val="00464274"/>
    <w:rsid w:val="00464536"/>
    <w:rsid w:val="00464790"/>
    <w:rsid w:val="00464FF2"/>
    <w:rsid w:val="0046514E"/>
    <w:rsid w:val="0046532C"/>
    <w:rsid w:val="0046623C"/>
    <w:rsid w:val="0046686A"/>
    <w:rsid w:val="00466A11"/>
    <w:rsid w:val="00466F96"/>
    <w:rsid w:val="004670EA"/>
    <w:rsid w:val="0046744A"/>
    <w:rsid w:val="00467739"/>
    <w:rsid w:val="00470376"/>
    <w:rsid w:val="004703BD"/>
    <w:rsid w:val="004705D8"/>
    <w:rsid w:val="00470D0C"/>
    <w:rsid w:val="00470F3C"/>
    <w:rsid w:val="0047104F"/>
    <w:rsid w:val="00471632"/>
    <w:rsid w:val="00471900"/>
    <w:rsid w:val="00471D6B"/>
    <w:rsid w:val="00472472"/>
    <w:rsid w:val="00472BC5"/>
    <w:rsid w:val="00472E12"/>
    <w:rsid w:val="00473B75"/>
    <w:rsid w:val="00473CF4"/>
    <w:rsid w:val="00474104"/>
    <w:rsid w:val="00474150"/>
    <w:rsid w:val="00474167"/>
    <w:rsid w:val="004748E9"/>
    <w:rsid w:val="00474E22"/>
    <w:rsid w:val="00475022"/>
    <w:rsid w:val="004750E9"/>
    <w:rsid w:val="00475AE2"/>
    <w:rsid w:val="00475D86"/>
    <w:rsid w:val="0047608F"/>
    <w:rsid w:val="004762EF"/>
    <w:rsid w:val="004763FD"/>
    <w:rsid w:val="00476554"/>
    <w:rsid w:val="0047672A"/>
    <w:rsid w:val="004769F6"/>
    <w:rsid w:val="004770D4"/>
    <w:rsid w:val="0047739F"/>
    <w:rsid w:val="0047753F"/>
    <w:rsid w:val="0047758F"/>
    <w:rsid w:val="004776EC"/>
    <w:rsid w:val="0047798B"/>
    <w:rsid w:val="00477EDE"/>
    <w:rsid w:val="004813D4"/>
    <w:rsid w:val="00481804"/>
    <w:rsid w:val="004821A1"/>
    <w:rsid w:val="004823A3"/>
    <w:rsid w:val="004823C9"/>
    <w:rsid w:val="004823DE"/>
    <w:rsid w:val="004824CF"/>
    <w:rsid w:val="00482A39"/>
    <w:rsid w:val="00482B78"/>
    <w:rsid w:val="00482DB7"/>
    <w:rsid w:val="00482DF7"/>
    <w:rsid w:val="00482EAA"/>
    <w:rsid w:val="00482F56"/>
    <w:rsid w:val="004830B7"/>
    <w:rsid w:val="0048337B"/>
    <w:rsid w:val="00484814"/>
    <w:rsid w:val="0048493F"/>
    <w:rsid w:val="00484AB4"/>
    <w:rsid w:val="00484D63"/>
    <w:rsid w:val="00484DCD"/>
    <w:rsid w:val="00485023"/>
    <w:rsid w:val="00485132"/>
    <w:rsid w:val="0048613A"/>
    <w:rsid w:val="0048620B"/>
    <w:rsid w:val="004864AC"/>
    <w:rsid w:val="004864B3"/>
    <w:rsid w:val="00486BF6"/>
    <w:rsid w:val="004875B9"/>
    <w:rsid w:val="004875D5"/>
    <w:rsid w:val="00487EF4"/>
    <w:rsid w:val="0049004B"/>
    <w:rsid w:val="00490054"/>
    <w:rsid w:val="00490093"/>
    <w:rsid w:val="00490467"/>
    <w:rsid w:val="00490FFE"/>
    <w:rsid w:val="004912CE"/>
    <w:rsid w:val="0049166E"/>
    <w:rsid w:val="00491A3E"/>
    <w:rsid w:val="00491D91"/>
    <w:rsid w:val="004921F3"/>
    <w:rsid w:val="00492232"/>
    <w:rsid w:val="004922E1"/>
    <w:rsid w:val="00492754"/>
    <w:rsid w:val="00492C28"/>
    <w:rsid w:val="00492D8F"/>
    <w:rsid w:val="00492DCE"/>
    <w:rsid w:val="00493355"/>
    <w:rsid w:val="00493D27"/>
    <w:rsid w:val="004943A4"/>
    <w:rsid w:val="004944DB"/>
    <w:rsid w:val="0049489D"/>
    <w:rsid w:val="00494916"/>
    <w:rsid w:val="00494B1A"/>
    <w:rsid w:val="004951BC"/>
    <w:rsid w:val="00495421"/>
    <w:rsid w:val="0049580C"/>
    <w:rsid w:val="0049598A"/>
    <w:rsid w:val="00495AC6"/>
    <w:rsid w:val="004960C3"/>
    <w:rsid w:val="004963EA"/>
    <w:rsid w:val="00496874"/>
    <w:rsid w:val="00496A58"/>
    <w:rsid w:val="00496BF5"/>
    <w:rsid w:val="00496CF9"/>
    <w:rsid w:val="00496E5A"/>
    <w:rsid w:val="00496F53"/>
    <w:rsid w:val="004975C7"/>
    <w:rsid w:val="00497671"/>
    <w:rsid w:val="0049768F"/>
    <w:rsid w:val="00497D74"/>
    <w:rsid w:val="00497EFB"/>
    <w:rsid w:val="004A00AF"/>
    <w:rsid w:val="004A0479"/>
    <w:rsid w:val="004A04E5"/>
    <w:rsid w:val="004A0768"/>
    <w:rsid w:val="004A0EA4"/>
    <w:rsid w:val="004A1495"/>
    <w:rsid w:val="004A14BC"/>
    <w:rsid w:val="004A15B2"/>
    <w:rsid w:val="004A167D"/>
    <w:rsid w:val="004A17BE"/>
    <w:rsid w:val="004A1C78"/>
    <w:rsid w:val="004A2089"/>
    <w:rsid w:val="004A2105"/>
    <w:rsid w:val="004A212F"/>
    <w:rsid w:val="004A2165"/>
    <w:rsid w:val="004A2B4F"/>
    <w:rsid w:val="004A313D"/>
    <w:rsid w:val="004A3172"/>
    <w:rsid w:val="004A350D"/>
    <w:rsid w:val="004A38A4"/>
    <w:rsid w:val="004A3B7B"/>
    <w:rsid w:val="004A3E61"/>
    <w:rsid w:val="004A3F91"/>
    <w:rsid w:val="004A46FA"/>
    <w:rsid w:val="004A4993"/>
    <w:rsid w:val="004A4C41"/>
    <w:rsid w:val="004A4DCA"/>
    <w:rsid w:val="004A5084"/>
    <w:rsid w:val="004A5256"/>
    <w:rsid w:val="004A566E"/>
    <w:rsid w:val="004A5AA4"/>
    <w:rsid w:val="004A5F74"/>
    <w:rsid w:val="004A6063"/>
    <w:rsid w:val="004A60E1"/>
    <w:rsid w:val="004A6212"/>
    <w:rsid w:val="004A67D7"/>
    <w:rsid w:val="004A6C0A"/>
    <w:rsid w:val="004A715A"/>
    <w:rsid w:val="004A7373"/>
    <w:rsid w:val="004A7BEF"/>
    <w:rsid w:val="004A7C15"/>
    <w:rsid w:val="004A7DB7"/>
    <w:rsid w:val="004B0043"/>
    <w:rsid w:val="004B021D"/>
    <w:rsid w:val="004B04B7"/>
    <w:rsid w:val="004B0B54"/>
    <w:rsid w:val="004B0C65"/>
    <w:rsid w:val="004B0E84"/>
    <w:rsid w:val="004B1052"/>
    <w:rsid w:val="004B1661"/>
    <w:rsid w:val="004B17B5"/>
    <w:rsid w:val="004B1A65"/>
    <w:rsid w:val="004B1F88"/>
    <w:rsid w:val="004B28F9"/>
    <w:rsid w:val="004B35AF"/>
    <w:rsid w:val="004B38CE"/>
    <w:rsid w:val="004B3A13"/>
    <w:rsid w:val="004B3E32"/>
    <w:rsid w:val="004B3ED0"/>
    <w:rsid w:val="004B3F02"/>
    <w:rsid w:val="004B5366"/>
    <w:rsid w:val="004B5A1F"/>
    <w:rsid w:val="004B5EE7"/>
    <w:rsid w:val="004B5F4A"/>
    <w:rsid w:val="004B604A"/>
    <w:rsid w:val="004B6A8C"/>
    <w:rsid w:val="004B6B14"/>
    <w:rsid w:val="004B6EA0"/>
    <w:rsid w:val="004B75A8"/>
    <w:rsid w:val="004B788C"/>
    <w:rsid w:val="004B7C5F"/>
    <w:rsid w:val="004C0691"/>
    <w:rsid w:val="004C0725"/>
    <w:rsid w:val="004C072E"/>
    <w:rsid w:val="004C07BB"/>
    <w:rsid w:val="004C08E7"/>
    <w:rsid w:val="004C0FC8"/>
    <w:rsid w:val="004C1223"/>
    <w:rsid w:val="004C14FC"/>
    <w:rsid w:val="004C19E6"/>
    <w:rsid w:val="004C1A65"/>
    <w:rsid w:val="004C1CE8"/>
    <w:rsid w:val="004C1FDB"/>
    <w:rsid w:val="004C22C4"/>
    <w:rsid w:val="004C2526"/>
    <w:rsid w:val="004C264D"/>
    <w:rsid w:val="004C28ED"/>
    <w:rsid w:val="004C328B"/>
    <w:rsid w:val="004C3390"/>
    <w:rsid w:val="004C38A2"/>
    <w:rsid w:val="004C38BD"/>
    <w:rsid w:val="004C3DD7"/>
    <w:rsid w:val="004C445C"/>
    <w:rsid w:val="004C44E9"/>
    <w:rsid w:val="004C4D76"/>
    <w:rsid w:val="004C4E4F"/>
    <w:rsid w:val="004C5088"/>
    <w:rsid w:val="004C516F"/>
    <w:rsid w:val="004C5995"/>
    <w:rsid w:val="004C6198"/>
    <w:rsid w:val="004C650A"/>
    <w:rsid w:val="004C68A0"/>
    <w:rsid w:val="004C692A"/>
    <w:rsid w:val="004C717A"/>
    <w:rsid w:val="004C748A"/>
    <w:rsid w:val="004C780C"/>
    <w:rsid w:val="004C7842"/>
    <w:rsid w:val="004C7B23"/>
    <w:rsid w:val="004C7CFE"/>
    <w:rsid w:val="004D035C"/>
    <w:rsid w:val="004D0EB9"/>
    <w:rsid w:val="004D1201"/>
    <w:rsid w:val="004D1313"/>
    <w:rsid w:val="004D17EA"/>
    <w:rsid w:val="004D1D82"/>
    <w:rsid w:val="004D1D85"/>
    <w:rsid w:val="004D206D"/>
    <w:rsid w:val="004D2451"/>
    <w:rsid w:val="004D2D46"/>
    <w:rsid w:val="004D2E4E"/>
    <w:rsid w:val="004D2E50"/>
    <w:rsid w:val="004D3590"/>
    <w:rsid w:val="004D35BD"/>
    <w:rsid w:val="004D3A9D"/>
    <w:rsid w:val="004D4277"/>
    <w:rsid w:val="004D4534"/>
    <w:rsid w:val="004D4C2B"/>
    <w:rsid w:val="004D4CB2"/>
    <w:rsid w:val="004D5837"/>
    <w:rsid w:val="004D5EDC"/>
    <w:rsid w:val="004D60F8"/>
    <w:rsid w:val="004D6153"/>
    <w:rsid w:val="004D6732"/>
    <w:rsid w:val="004D6AC4"/>
    <w:rsid w:val="004D6FBC"/>
    <w:rsid w:val="004D7316"/>
    <w:rsid w:val="004D73E1"/>
    <w:rsid w:val="004D7771"/>
    <w:rsid w:val="004E02AB"/>
    <w:rsid w:val="004E0876"/>
    <w:rsid w:val="004E08AB"/>
    <w:rsid w:val="004E09E9"/>
    <w:rsid w:val="004E0C01"/>
    <w:rsid w:val="004E0CBF"/>
    <w:rsid w:val="004E1516"/>
    <w:rsid w:val="004E155A"/>
    <w:rsid w:val="004E20B2"/>
    <w:rsid w:val="004E2226"/>
    <w:rsid w:val="004E2295"/>
    <w:rsid w:val="004E248A"/>
    <w:rsid w:val="004E2497"/>
    <w:rsid w:val="004E27AF"/>
    <w:rsid w:val="004E2F87"/>
    <w:rsid w:val="004E3A84"/>
    <w:rsid w:val="004E3C56"/>
    <w:rsid w:val="004E42DA"/>
    <w:rsid w:val="004E4328"/>
    <w:rsid w:val="004E4662"/>
    <w:rsid w:val="004E47EC"/>
    <w:rsid w:val="004E4B84"/>
    <w:rsid w:val="004E514F"/>
    <w:rsid w:val="004E5441"/>
    <w:rsid w:val="004E6B31"/>
    <w:rsid w:val="004E6D0A"/>
    <w:rsid w:val="004E6D2A"/>
    <w:rsid w:val="004E6E06"/>
    <w:rsid w:val="004E6EF3"/>
    <w:rsid w:val="004E7038"/>
    <w:rsid w:val="004E737F"/>
    <w:rsid w:val="004E738D"/>
    <w:rsid w:val="004E73FD"/>
    <w:rsid w:val="004E7782"/>
    <w:rsid w:val="004E7944"/>
    <w:rsid w:val="004E7D5B"/>
    <w:rsid w:val="004E7DA1"/>
    <w:rsid w:val="004F006C"/>
    <w:rsid w:val="004F01A3"/>
    <w:rsid w:val="004F03DE"/>
    <w:rsid w:val="004F0681"/>
    <w:rsid w:val="004F0BB3"/>
    <w:rsid w:val="004F0F16"/>
    <w:rsid w:val="004F0FAD"/>
    <w:rsid w:val="004F121E"/>
    <w:rsid w:val="004F13D4"/>
    <w:rsid w:val="004F1502"/>
    <w:rsid w:val="004F1674"/>
    <w:rsid w:val="004F170C"/>
    <w:rsid w:val="004F22DA"/>
    <w:rsid w:val="004F2512"/>
    <w:rsid w:val="004F2521"/>
    <w:rsid w:val="004F29CB"/>
    <w:rsid w:val="004F2AF9"/>
    <w:rsid w:val="004F2B86"/>
    <w:rsid w:val="004F2C30"/>
    <w:rsid w:val="004F2C6A"/>
    <w:rsid w:val="004F2D4C"/>
    <w:rsid w:val="004F315C"/>
    <w:rsid w:val="004F3A0F"/>
    <w:rsid w:val="004F40C9"/>
    <w:rsid w:val="004F420D"/>
    <w:rsid w:val="004F438C"/>
    <w:rsid w:val="004F442A"/>
    <w:rsid w:val="004F4640"/>
    <w:rsid w:val="004F47BD"/>
    <w:rsid w:val="004F4847"/>
    <w:rsid w:val="004F5715"/>
    <w:rsid w:val="004F58F8"/>
    <w:rsid w:val="004F5A5B"/>
    <w:rsid w:val="004F5E09"/>
    <w:rsid w:val="004F5E7A"/>
    <w:rsid w:val="004F61F4"/>
    <w:rsid w:val="004F65E7"/>
    <w:rsid w:val="004F6B1C"/>
    <w:rsid w:val="004F760D"/>
    <w:rsid w:val="004F7CC1"/>
    <w:rsid w:val="0050002D"/>
    <w:rsid w:val="00500141"/>
    <w:rsid w:val="00500C5A"/>
    <w:rsid w:val="00500E33"/>
    <w:rsid w:val="00500FE0"/>
    <w:rsid w:val="005010E2"/>
    <w:rsid w:val="005012B3"/>
    <w:rsid w:val="0050149E"/>
    <w:rsid w:val="00501ECF"/>
    <w:rsid w:val="00502165"/>
    <w:rsid w:val="00502432"/>
    <w:rsid w:val="00502DC0"/>
    <w:rsid w:val="00502FAE"/>
    <w:rsid w:val="005031DD"/>
    <w:rsid w:val="00503B58"/>
    <w:rsid w:val="00503FCD"/>
    <w:rsid w:val="00504779"/>
    <w:rsid w:val="005047C6"/>
    <w:rsid w:val="00504834"/>
    <w:rsid w:val="00504B4E"/>
    <w:rsid w:val="00504C7A"/>
    <w:rsid w:val="0050520C"/>
    <w:rsid w:val="00505480"/>
    <w:rsid w:val="00505489"/>
    <w:rsid w:val="00505589"/>
    <w:rsid w:val="00505AEE"/>
    <w:rsid w:val="00505C62"/>
    <w:rsid w:val="00505E50"/>
    <w:rsid w:val="005060D7"/>
    <w:rsid w:val="00506198"/>
    <w:rsid w:val="0050632E"/>
    <w:rsid w:val="0050671F"/>
    <w:rsid w:val="00506A1B"/>
    <w:rsid w:val="00506CD3"/>
    <w:rsid w:val="00506D07"/>
    <w:rsid w:val="005072F1"/>
    <w:rsid w:val="00507355"/>
    <w:rsid w:val="00507512"/>
    <w:rsid w:val="0050752D"/>
    <w:rsid w:val="00507AAE"/>
    <w:rsid w:val="00510F99"/>
    <w:rsid w:val="00511272"/>
    <w:rsid w:val="005112D9"/>
    <w:rsid w:val="0051132E"/>
    <w:rsid w:val="00511696"/>
    <w:rsid w:val="00511EF3"/>
    <w:rsid w:val="00512411"/>
    <w:rsid w:val="00512540"/>
    <w:rsid w:val="0051266A"/>
    <w:rsid w:val="005127B6"/>
    <w:rsid w:val="00512A86"/>
    <w:rsid w:val="00512B89"/>
    <w:rsid w:val="00512C0B"/>
    <w:rsid w:val="00512F20"/>
    <w:rsid w:val="005131A5"/>
    <w:rsid w:val="00513441"/>
    <w:rsid w:val="00513574"/>
    <w:rsid w:val="00513598"/>
    <w:rsid w:val="0051380C"/>
    <w:rsid w:val="005138FD"/>
    <w:rsid w:val="00513C01"/>
    <w:rsid w:val="00513C84"/>
    <w:rsid w:val="00514507"/>
    <w:rsid w:val="00514597"/>
    <w:rsid w:val="005148C2"/>
    <w:rsid w:val="005153F5"/>
    <w:rsid w:val="005154AE"/>
    <w:rsid w:val="00515D75"/>
    <w:rsid w:val="0051664D"/>
    <w:rsid w:val="0051670B"/>
    <w:rsid w:val="0051699C"/>
    <w:rsid w:val="00516F75"/>
    <w:rsid w:val="00516F9D"/>
    <w:rsid w:val="005170BA"/>
    <w:rsid w:val="005176C9"/>
    <w:rsid w:val="00520711"/>
    <w:rsid w:val="00520DD2"/>
    <w:rsid w:val="00520E08"/>
    <w:rsid w:val="00521002"/>
    <w:rsid w:val="00521350"/>
    <w:rsid w:val="005213F7"/>
    <w:rsid w:val="005214EA"/>
    <w:rsid w:val="0052196B"/>
    <w:rsid w:val="00522186"/>
    <w:rsid w:val="005221FE"/>
    <w:rsid w:val="00522CFD"/>
    <w:rsid w:val="00522FF5"/>
    <w:rsid w:val="00523065"/>
    <w:rsid w:val="0052391A"/>
    <w:rsid w:val="005240B8"/>
    <w:rsid w:val="0052466F"/>
    <w:rsid w:val="005251E1"/>
    <w:rsid w:val="00525830"/>
    <w:rsid w:val="00525849"/>
    <w:rsid w:val="00525C6E"/>
    <w:rsid w:val="00525DDA"/>
    <w:rsid w:val="0052607F"/>
    <w:rsid w:val="00526208"/>
    <w:rsid w:val="00526381"/>
    <w:rsid w:val="0052640D"/>
    <w:rsid w:val="0052670C"/>
    <w:rsid w:val="005268BA"/>
    <w:rsid w:val="005269E6"/>
    <w:rsid w:val="00526E71"/>
    <w:rsid w:val="00527844"/>
    <w:rsid w:val="00527DB2"/>
    <w:rsid w:val="00530379"/>
    <w:rsid w:val="00530AF6"/>
    <w:rsid w:val="00530B8E"/>
    <w:rsid w:val="00530BFA"/>
    <w:rsid w:val="00530CCD"/>
    <w:rsid w:val="00530CF5"/>
    <w:rsid w:val="00530EE7"/>
    <w:rsid w:val="0053112A"/>
    <w:rsid w:val="0053147D"/>
    <w:rsid w:val="00531E27"/>
    <w:rsid w:val="0053205C"/>
    <w:rsid w:val="00532168"/>
    <w:rsid w:val="005321A3"/>
    <w:rsid w:val="00532271"/>
    <w:rsid w:val="0053247C"/>
    <w:rsid w:val="005328FB"/>
    <w:rsid w:val="00533168"/>
    <w:rsid w:val="0053364E"/>
    <w:rsid w:val="0053371F"/>
    <w:rsid w:val="00533B6E"/>
    <w:rsid w:val="0053400C"/>
    <w:rsid w:val="005346A9"/>
    <w:rsid w:val="0053471B"/>
    <w:rsid w:val="00534A7E"/>
    <w:rsid w:val="00534ABA"/>
    <w:rsid w:val="00534D85"/>
    <w:rsid w:val="005351B9"/>
    <w:rsid w:val="005355D3"/>
    <w:rsid w:val="00535C84"/>
    <w:rsid w:val="00536011"/>
    <w:rsid w:val="0053705B"/>
    <w:rsid w:val="005370F1"/>
    <w:rsid w:val="00537A31"/>
    <w:rsid w:val="00537F9D"/>
    <w:rsid w:val="00540404"/>
    <w:rsid w:val="0054081E"/>
    <w:rsid w:val="00540B0F"/>
    <w:rsid w:val="00540D66"/>
    <w:rsid w:val="00540D7B"/>
    <w:rsid w:val="00540DAC"/>
    <w:rsid w:val="00541BA5"/>
    <w:rsid w:val="00542BD6"/>
    <w:rsid w:val="00542ED1"/>
    <w:rsid w:val="005430C4"/>
    <w:rsid w:val="00543C89"/>
    <w:rsid w:val="00543E5B"/>
    <w:rsid w:val="00544884"/>
    <w:rsid w:val="0054498C"/>
    <w:rsid w:val="00544EA3"/>
    <w:rsid w:val="005451A6"/>
    <w:rsid w:val="0054558C"/>
    <w:rsid w:val="00545770"/>
    <w:rsid w:val="00545802"/>
    <w:rsid w:val="005461BC"/>
    <w:rsid w:val="005466D1"/>
    <w:rsid w:val="00546BB9"/>
    <w:rsid w:val="00546C59"/>
    <w:rsid w:val="00546D1F"/>
    <w:rsid w:val="00546F26"/>
    <w:rsid w:val="00546F58"/>
    <w:rsid w:val="00547376"/>
    <w:rsid w:val="00547606"/>
    <w:rsid w:val="0054794B"/>
    <w:rsid w:val="00547A90"/>
    <w:rsid w:val="00550072"/>
    <w:rsid w:val="005500C7"/>
    <w:rsid w:val="005501C9"/>
    <w:rsid w:val="0055043E"/>
    <w:rsid w:val="00550B55"/>
    <w:rsid w:val="00550B79"/>
    <w:rsid w:val="00550E15"/>
    <w:rsid w:val="00550FD5"/>
    <w:rsid w:val="005510C6"/>
    <w:rsid w:val="00551446"/>
    <w:rsid w:val="00551506"/>
    <w:rsid w:val="0055150B"/>
    <w:rsid w:val="0055193B"/>
    <w:rsid w:val="005519A7"/>
    <w:rsid w:val="0055205F"/>
    <w:rsid w:val="00552425"/>
    <w:rsid w:val="00552672"/>
    <w:rsid w:val="00552951"/>
    <w:rsid w:val="0055315B"/>
    <w:rsid w:val="005532F9"/>
    <w:rsid w:val="00553CBB"/>
    <w:rsid w:val="005540F0"/>
    <w:rsid w:val="005543B4"/>
    <w:rsid w:val="0055440B"/>
    <w:rsid w:val="00554CCF"/>
    <w:rsid w:val="00555595"/>
    <w:rsid w:val="005556EC"/>
    <w:rsid w:val="00555F40"/>
    <w:rsid w:val="00555FCE"/>
    <w:rsid w:val="005561DB"/>
    <w:rsid w:val="0055623E"/>
    <w:rsid w:val="00556569"/>
    <w:rsid w:val="0055680E"/>
    <w:rsid w:val="00556A77"/>
    <w:rsid w:val="00557017"/>
    <w:rsid w:val="0055708D"/>
    <w:rsid w:val="005572BA"/>
    <w:rsid w:val="00557A3A"/>
    <w:rsid w:val="00557A7D"/>
    <w:rsid w:val="00557C37"/>
    <w:rsid w:val="00557CFC"/>
    <w:rsid w:val="00557E1D"/>
    <w:rsid w:val="005606C3"/>
    <w:rsid w:val="005609A2"/>
    <w:rsid w:val="00560A54"/>
    <w:rsid w:val="00560BD7"/>
    <w:rsid w:val="00561AE8"/>
    <w:rsid w:val="00561CA6"/>
    <w:rsid w:val="00562087"/>
    <w:rsid w:val="0056218C"/>
    <w:rsid w:val="005623BF"/>
    <w:rsid w:val="005624BD"/>
    <w:rsid w:val="00562DCE"/>
    <w:rsid w:val="00562E45"/>
    <w:rsid w:val="00562F8A"/>
    <w:rsid w:val="00563103"/>
    <w:rsid w:val="005634FC"/>
    <w:rsid w:val="00563649"/>
    <w:rsid w:val="00563A02"/>
    <w:rsid w:val="00563F27"/>
    <w:rsid w:val="00563FDB"/>
    <w:rsid w:val="005642B2"/>
    <w:rsid w:val="005642F3"/>
    <w:rsid w:val="00564300"/>
    <w:rsid w:val="00564565"/>
    <w:rsid w:val="005645D7"/>
    <w:rsid w:val="0056462F"/>
    <w:rsid w:val="005647BE"/>
    <w:rsid w:val="00564A12"/>
    <w:rsid w:val="00565450"/>
    <w:rsid w:val="005654A1"/>
    <w:rsid w:val="00565EE0"/>
    <w:rsid w:val="00565FD3"/>
    <w:rsid w:val="00566299"/>
    <w:rsid w:val="00566BF6"/>
    <w:rsid w:val="00566BF9"/>
    <w:rsid w:val="00566EE4"/>
    <w:rsid w:val="00566FF7"/>
    <w:rsid w:val="00567053"/>
    <w:rsid w:val="005673AF"/>
    <w:rsid w:val="00567695"/>
    <w:rsid w:val="005709FF"/>
    <w:rsid w:val="00570C29"/>
    <w:rsid w:val="0057127D"/>
    <w:rsid w:val="00571B4B"/>
    <w:rsid w:val="005722F6"/>
    <w:rsid w:val="005725F6"/>
    <w:rsid w:val="005727F7"/>
    <w:rsid w:val="00573A76"/>
    <w:rsid w:val="005742B6"/>
    <w:rsid w:val="00574453"/>
    <w:rsid w:val="005746E9"/>
    <w:rsid w:val="005749CC"/>
    <w:rsid w:val="00574BC0"/>
    <w:rsid w:val="00574DB8"/>
    <w:rsid w:val="00575000"/>
    <w:rsid w:val="00575E80"/>
    <w:rsid w:val="0057693F"/>
    <w:rsid w:val="005778AA"/>
    <w:rsid w:val="00577BCE"/>
    <w:rsid w:val="005802AF"/>
    <w:rsid w:val="00580308"/>
    <w:rsid w:val="00580B4F"/>
    <w:rsid w:val="00580DFA"/>
    <w:rsid w:val="00580E74"/>
    <w:rsid w:val="005823F1"/>
    <w:rsid w:val="00582976"/>
    <w:rsid w:val="005829DD"/>
    <w:rsid w:val="005832FC"/>
    <w:rsid w:val="00583710"/>
    <w:rsid w:val="0058385C"/>
    <w:rsid w:val="00583C85"/>
    <w:rsid w:val="00583CBB"/>
    <w:rsid w:val="00584CF8"/>
    <w:rsid w:val="00584E2D"/>
    <w:rsid w:val="005854FF"/>
    <w:rsid w:val="005856D6"/>
    <w:rsid w:val="005856FE"/>
    <w:rsid w:val="005865B6"/>
    <w:rsid w:val="005867DF"/>
    <w:rsid w:val="00586817"/>
    <w:rsid w:val="00586A4E"/>
    <w:rsid w:val="00586D73"/>
    <w:rsid w:val="00586D92"/>
    <w:rsid w:val="00586DD1"/>
    <w:rsid w:val="00586EB2"/>
    <w:rsid w:val="00586FB7"/>
    <w:rsid w:val="00586FD5"/>
    <w:rsid w:val="0058715E"/>
    <w:rsid w:val="00587244"/>
    <w:rsid w:val="00587260"/>
    <w:rsid w:val="0058728E"/>
    <w:rsid w:val="005872CB"/>
    <w:rsid w:val="00587507"/>
    <w:rsid w:val="0058770F"/>
    <w:rsid w:val="005878C1"/>
    <w:rsid w:val="00587D64"/>
    <w:rsid w:val="00587FE0"/>
    <w:rsid w:val="005900C9"/>
    <w:rsid w:val="00590184"/>
    <w:rsid w:val="00590453"/>
    <w:rsid w:val="005904F0"/>
    <w:rsid w:val="00590FF6"/>
    <w:rsid w:val="00591226"/>
    <w:rsid w:val="00591475"/>
    <w:rsid w:val="0059169A"/>
    <w:rsid w:val="005918B1"/>
    <w:rsid w:val="00592686"/>
    <w:rsid w:val="00592B10"/>
    <w:rsid w:val="0059325A"/>
    <w:rsid w:val="00593755"/>
    <w:rsid w:val="00594029"/>
    <w:rsid w:val="00594257"/>
    <w:rsid w:val="00594294"/>
    <w:rsid w:val="00594479"/>
    <w:rsid w:val="00594B94"/>
    <w:rsid w:val="0059500F"/>
    <w:rsid w:val="00595745"/>
    <w:rsid w:val="00595CDA"/>
    <w:rsid w:val="00595D46"/>
    <w:rsid w:val="005964E0"/>
    <w:rsid w:val="00596A0B"/>
    <w:rsid w:val="00596AAA"/>
    <w:rsid w:val="00596BF4"/>
    <w:rsid w:val="00596D7F"/>
    <w:rsid w:val="00596DE8"/>
    <w:rsid w:val="00596E05"/>
    <w:rsid w:val="00596F85"/>
    <w:rsid w:val="005970FA"/>
    <w:rsid w:val="00597D58"/>
    <w:rsid w:val="005A0117"/>
    <w:rsid w:val="005A0176"/>
    <w:rsid w:val="005A088E"/>
    <w:rsid w:val="005A1097"/>
    <w:rsid w:val="005A139C"/>
    <w:rsid w:val="005A174F"/>
    <w:rsid w:val="005A1C76"/>
    <w:rsid w:val="005A2298"/>
    <w:rsid w:val="005A28C1"/>
    <w:rsid w:val="005A2950"/>
    <w:rsid w:val="005A3075"/>
    <w:rsid w:val="005A3309"/>
    <w:rsid w:val="005A3AEF"/>
    <w:rsid w:val="005A3E3D"/>
    <w:rsid w:val="005A426F"/>
    <w:rsid w:val="005A42EA"/>
    <w:rsid w:val="005A4583"/>
    <w:rsid w:val="005A469F"/>
    <w:rsid w:val="005A5150"/>
    <w:rsid w:val="005A5587"/>
    <w:rsid w:val="005A57F0"/>
    <w:rsid w:val="005A5EC9"/>
    <w:rsid w:val="005A6033"/>
    <w:rsid w:val="005A6A38"/>
    <w:rsid w:val="005A7001"/>
    <w:rsid w:val="005A72DB"/>
    <w:rsid w:val="005A72FC"/>
    <w:rsid w:val="005A7537"/>
    <w:rsid w:val="005A7937"/>
    <w:rsid w:val="005A7B85"/>
    <w:rsid w:val="005B0115"/>
    <w:rsid w:val="005B0388"/>
    <w:rsid w:val="005B066D"/>
    <w:rsid w:val="005B0C34"/>
    <w:rsid w:val="005B0D19"/>
    <w:rsid w:val="005B109A"/>
    <w:rsid w:val="005B197F"/>
    <w:rsid w:val="005B274B"/>
    <w:rsid w:val="005B28C5"/>
    <w:rsid w:val="005B2B60"/>
    <w:rsid w:val="005B2DB6"/>
    <w:rsid w:val="005B2E8B"/>
    <w:rsid w:val="005B367F"/>
    <w:rsid w:val="005B36EF"/>
    <w:rsid w:val="005B36FB"/>
    <w:rsid w:val="005B41E2"/>
    <w:rsid w:val="005B4219"/>
    <w:rsid w:val="005B4891"/>
    <w:rsid w:val="005B536B"/>
    <w:rsid w:val="005B53AF"/>
    <w:rsid w:val="005B55F4"/>
    <w:rsid w:val="005B59E7"/>
    <w:rsid w:val="005B5D1F"/>
    <w:rsid w:val="005B6E15"/>
    <w:rsid w:val="005B7567"/>
    <w:rsid w:val="005B75D1"/>
    <w:rsid w:val="005C04BB"/>
    <w:rsid w:val="005C0532"/>
    <w:rsid w:val="005C0948"/>
    <w:rsid w:val="005C0A3A"/>
    <w:rsid w:val="005C1618"/>
    <w:rsid w:val="005C1BBA"/>
    <w:rsid w:val="005C1FB0"/>
    <w:rsid w:val="005C2913"/>
    <w:rsid w:val="005C2D6C"/>
    <w:rsid w:val="005C2E4A"/>
    <w:rsid w:val="005C2FD5"/>
    <w:rsid w:val="005C30ED"/>
    <w:rsid w:val="005C31EB"/>
    <w:rsid w:val="005C3473"/>
    <w:rsid w:val="005C399D"/>
    <w:rsid w:val="005C3CA7"/>
    <w:rsid w:val="005C3F5A"/>
    <w:rsid w:val="005C4B09"/>
    <w:rsid w:val="005C4EFD"/>
    <w:rsid w:val="005C50A8"/>
    <w:rsid w:val="005C525C"/>
    <w:rsid w:val="005C5363"/>
    <w:rsid w:val="005C5378"/>
    <w:rsid w:val="005C5388"/>
    <w:rsid w:val="005C5567"/>
    <w:rsid w:val="005C6431"/>
    <w:rsid w:val="005C64D0"/>
    <w:rsid w:val="005C6703"/>
    <w:rsid w:val="005C67DE"/>
    <w:rsid w:val="005C6AF6"/>
    <w:rsid w:val="005C72F0"/>
    <w:rsid w:val="005C7637"/>
    <w:rsid w:val="005C7976"/>
    <w:rsid w:val="005D1063"/>
    <w:rsid w:val="005D14F9"/>
    <w:rsid w:val="005D15C0"/>
    <w:rsid w:val="005D161F"/>
    <w:rsid w:val="005D1ACD"/>
    <w:rsid w:val="005D22DB"/>
    <w:rsid w:val="005D2693"/>
    <w:rsid w:val="005D2AB9"/>
    <w:rsid w:val="005D2DCB"/>
    <w:rsid w:val="005D2E4F"/>
    <w:rsid w:val="005D2E7D"/>
    <w:rsid w:val="005D3097"/>
    <w:rsid w:val="005D30B3"/>
    <w:rsid w:val="005D34E2"/>
    <w:rsid w:val="005D38D3"/>
    <w:rsid w:val="005D38E4"/>
    <w:rsid w:val="005D3B15"/>
    <w:rsid w:val="005D4933"/>
    <w:rsid w:val="005D496E"/>
    <w:rsid w:val="005D4B0B"/>
    <w:rsid w:val="005D4CDC"/>
    <w:rsid w:val="005D56DA"/>
    <w:rsid w:val="005D5E97"/>
    <w:rsid w:val="005D5EDC"/>
    <w:rsid w:val="005D5F48"/>
    <w:rsid w:val="005D5FB0"/>
    <w:rsid w:val="005D6170"/>
    <w:rsid w:val="005D61A3"/>
    <w:rsid w:val="005D61F3"/>
    <w:rsid w:val="005D6673"/>
    <w:rsid w:val="005D68A5"/>
    <w:rsid w:val="005D6E0A"/>
    <w:rsid w:val="005D76F2"/>
    <w:rsid w:val="005D7C20"/>
    <w:rsid w:val="005D7E85"/>
    <w:rsid w:val="005E016E"/>
    <w:rsid w:val="005E03EA"/>
    <w:rsid w:val="005E04E9"/>
    <w:rsid w:val="005E0C1B"/>
    <w:rsid w:val="005E0DCB"/>
    <w:rsid w:val="005E11CB"/>
    <w:rsid w:val="005E17B4"/>
    <w:rsid w:val="005E19AF"/>
    <w:rsid w:val="005E19F7"/>
    <w:rsid w:val="005E1CA5"/>
    <w:rsid w:val="005E208C"/>
    <w:rsid w:val="005E20C5"/>
    <w:rsid w:val="005E23A9"/>
    <w:rsid w:val="005E28DB"/>
    <w:rsid w:val="005E2EDE"/>
    <w:rsid w:val="005E4628"/>
    <w:rsid w:val="005E47FB"/>
    <w:rsid w:val="005E49A6"/>
    <w:rsid w:val="005E4A6D"/>
    <w:rsid w:val="005E4A95"/>
    <w:rsid w:val="005E4E4E"/>
    <w:rsid w:val="005E5108"/>
    <w:rsid w:val="005E5345"/>
    <w:rsid w:val="005E5618"/>
    <w:rsid w:val="005E590A"/>
    <w:rsid w:val="005E5C1D"/>
    <w:rsid w:val="005E5E87"/>
    <w:rsid w:val="005E656A"/>
    <w:rsid w:val="005E6960"/>
    <w:rsid w:val="005E6D97"/>
    <w:rsid w:val="005E6DD6"/>
    <w:rsid w:val="005E6DE3"/>
    <w:rsid w:val="005E6E51"/>
    <w:rsid w:val="005E725A"/>
    <w:rsid w:val="005E75AB"/>
    <w:rsid w:val="005E7610"/>
    <w:rsid w:val="005E78A8"/>
    <w:rsid w:val="005E78F3"/>
    <w:rsid w:val="005E7D93"/>
    <w:rsid w:val="005E7EB8"/>
    <w:rsid w:val="005E7FA3"/>
    <w:rsid w:val="005F00E5"/>
    <w:rsid w:val="005F011E"/>
    <w:rsid w:val="005F03AB"/>
    <w:rsid w:val="005F04B3"/>
    <w:rsid w:val="005F0801"/>
    <w:rsid w:val="005F0AD0"/>
    <w:rsid w:val="005F0BE0"/>
    <w:rsid w:val="005F110E"/>
    <w:rsid w:val="005F149B"/>
    <w:rsid w:val="005F1577"/>
    <w:rsid w:val="005F184F"/>
    <w:rsid w:val="005F18D6"/>
    <w:rsid w:val="005F1FA5"/>
    <w:rsid w:val="005F24FE"/>
    <w:rsid w:val="005F2BA8"/>
    <w:rsid w:val="005F320F"/>
    <w:rsid w:val="005F34AB"/>
    <w:rsid w:val="005F3582"/>
    <w:rsid w:val="005F3611"/>
    <w:rsid w:val="005F3750"/>
    <w:rsid w:val="005F3A6D"/>
    <w:rsid w:val="005F3C19"/>
    <w:rsid w:val="005F3FFE"/>
    <w:rsid w:val="005F40BA"/>
    <w:rsid w:val="005F4434"/>
    <w:rsid w:val="005F4B1A"/>
    <w:rsid w:val="005F4E4C"/>
    <w:rsid w:val="005F501A"/>
    <w:rsid w:val="005F50DF"/>
    <w:rsid w:val="005F5318"/>
    <w:rsid w:val="005F5324"/>
    <w:rsid w:val="005F603A"/>
    <w:rsid w:val="005F61D7"/>
    <w:rsid w:val="005F77AB"/>
    <w:rsid w:val="005F7877"/>
    <w:rsid w:val="005F7A62"/>
    <w:rsid w:val="005F7C99"/>
    <w:rsid w:val="005F7E1A"/>
    <w:rsid w:val="005F7EB1"/>
    <w:rsid w:val="006003FF"/>
    <w:rsid w:val="006006E4"/>
    <w:rsid w:val="0060083B"/>
    <w:rsid w:val="00600D34"/>
    <w:rsid w:val="00601089"/>
    <w:rsid w:val="00601171"/>
    <w:rsid w:val="0060153E"/>
    <w:rsid w:val="00601651"/>
    <w:rsid w:val="0060168A"/>
    <w:rsid w:val="00601925"/>
    <w:rsid w:val="00601A52"/>
    <w:rsid w:val="00601B28"/>
    <w:rsid w:val="00601DC7"/>
    <w:rsid w:val="00602064"/>
    <w:rsid w:val="00602A5E"/>
    <w:rsid w:val="00602AEB"/>
    <w:rsid w:val="00602B21"/>
    <w:rsid w:val="00602C1D"/>
    <w:rsid w:val="00603024"/>
    <w:rsid w:val="006030B6"/>
    <w:rsid w:val="0060327A"/>
    <w:rsid w:val="00603342"/>
    <w:rsid w:val="006036DE"/>
    <w:rsid w:val="006037BB"/>
    <w:rsid w:val="0060408F"/>
    <w:rsid w:val="00604211"/>
    <w:rsid w:val="00604269"/>
    <w:rsid w:val="006042D8"/>
    <w:rsid w:val="0060448B"/>
    <w:rsid w:val="006045C1"/>
    <w:rsid w:val="00604C81"/>
    <w:rsid w:val="00604DC1"/>
    <w:rsid w:val="0060553C"/>
    <w:rsid w:val="00605996"/>
    <w:rsid w:val="006059DF"/>
    <w:rsid w:val="00605F3F"/>
    <w:rsid w:val="00606047"/>
    <w:rsid w:val="00606176"/>
    <w:rsid w:val="006061D6"/>
    <w:rsid w:val="006062B4"/>
    <w:rsid w:val="00606753"/>
    <w:rsid w:val="00606C88"/>
    <w:rsid w:val="00606DD4"/>
    <w:rsid w:val="00606F87"/>
    <w:rsid w:val="00607011"/>
    <w:rsid w:val="0060703F"/>
    <w:rsid w:val="0060731E"/>
    <w:rsid w:val="00607349"/>
    <w:rsid w:val="00607374"/>
    <w:rsid w:val="0060742A"/>
    <w:rsid w:val="00607495"/>
    <w:rsid w:val="006075A4"/>
    <w:rsid w:val="00607F85"/>
    <w:rsid w:val="00607FE1"/>
    <w:rsid w:val="00610057"/>
    <w:rsid w:val="006102C2"/>
    <w:rsid w:val="0061079B"/>
    <w:rsid w:val="00610809"/>
    <w:rsid w:val="006108D0"/>
    <w:rsid w:val="00610A57"/>
    <w:rsid w:val="00610BD9"/>
    <w:rsid w:val="00611041"/>
    <w:rsid w:val="0061117F"/>
    <w:rsid w:val="00611196"/>
    <w:rsid w:val="006116E3"/>
    <w:rsid w:val="00611AFF"/>
    <w:rsid w:val="00612146"/>
    <w:rsid w:val="006123B5"/>
    <w:rsid w:val="00612D6B"/>
    <w:rsid w:val="00612DE6"/>
    <w:rsid w:val="00612E7D"/>
    <w:rsid w:val="00612FC6"/>
    <w:rsid w:val="006130C0"/>
    <w:rsid w:val="006137C2"/>
    <w:rsid w:val="00613888"/>
    <w:rsid w:val="00613A81"/>
    <w:rsid w:val="00613C76"/>
    <w:rsid w:val="00613EB3"/>
    <w:rsid w:val="006140C8"/>
    <w:rsid w:val="0061425C"/>
    <w:rsid w:val="0061434A"/>
    <w:rsid w:val="0061454D"/>
    <w:rsid w:val="006147C6"/>
    <w:rsid w:val="00614BBB"/>
    <w:rsid w:val="00614C2C"/>
    <w:rsid w:val="00614E10"/>
    <w:rsid w:val="006150C0"/>
    <w:rsid w:val="0061566C"/>
    <w:rsid w:val="00615EF4"/>
    <w:rsid w:val="006164CF"/>
    <w:rsid w:val="00616785"/>
    <w:rsid w:val="00616FF1"/>
    <w:rsid w:val="00617B29"/>
    <w:rsid w:val="00617B95"/>
    <w:rsid w:val="00620718"/>
    <w:rsid w:val="00620A06"/>
    <w:rsid w:val="00620A8B"/>
    <w:rsid w:val="00620B4E"/>
    <w:rsid w:val="00620B76"/>
    <w:rsid w:val="00621402"/>
    <w:rsid w:val="00622512"/>
    <w:rsid w:val="006226C1"/>
    <w:rsid w:val="00622A43"/>
    <w:rsid w:val="0062318C"/>
    <w:rsid w:val="006233C3"/>
    <w:rsid w:val="00623493"/>
    <w:rsid w:val="006237A2"/>
    <w:rsid w:val="0062386C"/>
    <w:rsid w:val="00623F8A"/>
    <w:rsid w:val="0062402E"/>
    <w:rsid w:val="00624125"/>
    <w:rsid w:val="0062427C"/>
    <w:rsid w:val="00624400"/>
    <w:rsid w:val="006244CA"/>
    <w:rsid w:val="0062456E"/>
    <w:rsid w:val="006245D0"/>
    <w:rsid w:val="00624639"/>
    <w:rsid w:val="00624648"/>
    <w:rsid w:val="00624E51"/>
    <w:rsid w:val="0062534C"/>
    <w:rsid w:val="006258CF"/>
    <w:rsid w:val="00625A05"/>
    <w:rsid w:val="00625ACD"/>
    <w:rsid w:val="00625B0D"/>
    <w:rsid w:val="00625D27"/>
    <w:rsid w:val="00625EA0"/>
    <w:rsid w:val="00626162"/>
    <w:rsid w:val="006278EF"/>
    <w:rsid w:val="00627A90"/>
    <w:rsid w:val="00627A9E"/>
    <w:rsid w:val="00630852"/>
    <w:rsid w:val="006313A2"/>
    <w:rsid w:val="00631D5D"/>
    <w:rsid w:val="00631FEE"/>
    <w:rsid w:val="00632937"/>
    <w:rsid w:val="0063299C"/>
    <w:rsid w:val="00633A95"/>
    <w:rsid w:val="00633C3C"/>
    <w:rsid w:val="00633C57"/>
    <w:rsid w:val="006342F0"/>
    <w:rsid w:val="00634719"/>
    <w:rsid w:val="00634837"/>
    <w:rsid w:val="006348F3"/>
    <w:rsid w:val="006353D2"/>
    <w:rsid w:val="00635923"/>
    <w:rsid w:val="00635B87"/>
    <w:rsid w:val="0063624E"/>
    <w:rsid w:val="006362C6"/>
    <w:rsid w:val="00636485"/>
    <w:rsid w:val="006367B8"/>
    <w:rsid w:val="00636B09"/>
    <w:rsid w:val="00637236"/>
    <w:rsid w:val="0063759E"/>
    <w:rsid w:val="00637A81"/>
    <w:rsid w:val="00637DCF"/>
    <w:rsid w:val="006400F3"/>
    <w:rsid w:val="006403AB"/>
    <w:rsid w:val="006406BF"/>
    <w:rsid w:val="0064094A"/>
    <w:rsid w:val="00640B51"/>
    <w:rsid w:val="00640C34"/>
    <w:rsid w:val="00640E84"/>
    <w:rsid w:val="0064106B"/>
    <w:rsid w:val="0064134E"/>
    <w:rsid w:val="006419A1"/>
    <w:rsid w:val="00641A92"/>
    <w:rsid w:val="00641DB9"/>
    <w:rsid w:val="00642493"/>
    <w:rsid w:val="00642985"/>
    <w:rsid w:val="00642C76"/>
    <w:rsid w:val="00642EB6"/>
    <w:rsid w:val="00643078"/>
    <w:rsid w:val="006433AA"/>
    <w:rsid w:val="0064353C"/>
    <w:rsid w:val="00643641"/>
    <w:rsid w:val="0064368D"/>
    <w:rsid w:val="006436F6"/>
    <w:rsid w:val="00643850"/>
    <w:rsid w:val="006438C4"/>
    <w:rsid w:val="00643935"/>
    <w:rsid w:val="006439A2"/>
    <w:rsid w:val="00643A9E"/>
    <w:rsid w:val="00643BC4"/>
    <w:rsid w:val="00643FB4"/>
    <w:rsid w:val="00644143"/>
    <w:rsid w:val="0064558B"/>
    <w:rsid w:val="0064586F"/>
    <w:rsid w:val="00645E82"/>
    <w:rsid w:val="00646EF4"/>
    <w:rsid w:val="006476DF"/>
    <w:rsid w:val="00647C98"/>
    <w:rsid w:val="00647E2D"/>
    <w:rsid w:val="00647EE6"/>
    <w:rsid w:val="0065017D"/>
    <w:rsid w:val="006503DC"/>
    <w:rsid w:val="006503E8"/>
    <w:rsid w:val="0065040E"/>
    <w:rsid w:val="00650570"/>
    <w:rsid w:val="006505A1"/>
    <w:rsid w:val="006505CD"/>
    <w:rsid w:val="006507A6"/>
    <w:rsid w:val="00650B31"/>
    <w:rsid w:val="0065114F"/>
    <w:rsid w:val="006514BA"/>
    <w:rsid w:val="00651A4F"/>
    <w:rsid w:val="00651B2E"/>
    <w:rsid w:val="00652018"/>
    <w:rsid w:val="00652143"/>
    <w:rsid w:val="00652291"/>
    <w:rsid w:val="006525C1"/>
    <w:rsid w:val="006526BE"/>
    <w:rsid w:val="00652747"/>
    <w:rsid w:val="00653059"/>
    <w:rsid w:val="00653260"/>
    <w:rsid w:val="00653A6C"/>
    <w:rsid w:val="00653ED7"/>
    <w:rsid w:val="0065440B"/>
    <w:rsid w:val="00654590"/>
    <w:rsid w:val="00654A4A"/>
    <w:rsid w:val="0065509F"/>
    <w:rsid w:val="006552EB"/>
    <w:rsid w:val="0065545A"/>
    <w:rsid w:val="0065585B"/>
    <w:rsid w:val="00655DD8"/>
    <w:rsid w:val="006560FD"/>
    <w:rsid w:val="00656892"/>
    <w:rsid w:val="00656A34"/>
    <w:rsid w:val="00656DA1"/>
    <w:rsid w:val="00656EBB"/>
    <w:rsid w:val="006571E4"/>
    <w:rsid w:val="0065760C"/>
    <w:rsid w:val="0065765D"/>
    <w:rsid w:val="0066026E"/>
    <w:rsid w:val="0066037C"/>
    <w:rsid w:val="0066044B"/>
    <w:rsid w:val="0066085B"/>
    <w:rsid w:val="00660C73"/>
    <w:rsid w:val="006610EC"/>
    <w:rsid w:val="00661123"/>
    <w:rsid w:val="00661153"/>
    <w:rsid w:val="00661FCE"/>
    <w:rsid w:val="00662006"/>
    <w:rsid w:val="00662269"/>
    <w:rsid w:val="006625D0"/>
    <w:rsid w:val="006627B9"/>
    <w:rsid w:val="00662A6B"/>
    <w:rsid w:val="00662F7A"/>
    <w:rsid w:val="00663111"/>
    <w:rsid w:val="006631F8"/>
    <w:rsid w:val="00664867"/>
    <w:rsid w:val="006648C8"/>
    <w:rsid w:val="00664A6C"/>
    <w:rsid w:val="00664DAC"/>
    <w:rsid w:val="00664EC0"/>
    <w:rsid w:val="00665CDA"/>
    <w:rsid w:val="00665F85"/>
    <w:rsid w:val="00666184"/>
    <w:rsid w:val="006661CF"/>
    <w:rsid w:val="0066627C"/>
    <w:rsid w:val="00666334"/>
    <w:rsid w:val="006668F8"/>
    <w:rsid w:val="006669AB"/>
    <w:rsid w:val="00667465"/>
    <w:rsid w:val="00667A22"/>
    <w:rsid w:val="00667B12"/>
    <w:rsid w:val="00667B44"/>
    <w:rsid w:val="00667DD2"/>
    <w:rsid w:val="00667E9F"/>
    <w:rsid w:val="0067003E"/>
    <w:rsid w:val="006700FB"/>
    <w:rsid w:val="0067037F"/>
    <w:rsid w:val="006708B0"/>
    <w:rsid w:val="00670BFD"/>
    <w:rsid w:val="00670D49"/>
    <w:rsid w:val="00670DC6"/>
    <w:rsid w:val="00670ED6"/>
    <w:rsid w:val="00670EE0"/>
    <w:rsid w:val="00671ADF"/>
    <w:rsid w:val="00671E4C"/>
    <w:rsid w:val="0067264C"/>
    <w:rsid w:val="0067299B"/>
    <w:rsid w:val="00672E0F"/>
    <w:rsid w:val="00673235"/>
    <w:rsid w:val="00673461"/>
    <w:rsid w:val="00673866"/>
    <w:rsid w:val="00674237"/>
    <w:rsid w:val="00674295"/>
    <w:rsid w:val="006743AB"/>
    <w:rsid w:val="006748A8"/>
    <w:rsid w:val="0067491C"/>
    <w:rsid w:val="00674B4A"/>
    <w:rsid w:val="00674BB7"/>
    <w:rsid w:val="00674D90"/>
    <w:rsid w:val="00674DBA"/>
    <w:rsid w:val="00674FFD"/>
    <w:rsid w:val="00675059"/>
    <w:rsid w:val="00675164"/>
    <w:rsid w:val="006752CE"/>
    <w:rsid w:val="00675548"/>
    <w:rsid w:val="0067608E"/>
    <w:rsid w:val="00676234"/>
    <w:rsid w:val="0067625D"/>
    <w:rsid w:val="00676410"/>
    <w:rsid w:val="00676D25"/>
    <w:rsid w:val="006770DB"/>
    <w:rsid w:val="0067725C"/>
    <w:rsid w:val="00677350"/>
    <w:rsid w:val="006774CC"/>
    <w:rsid w:val="006775AB"/>
    <w:rsid w:val="0068071B"/>
    <w:rsid w:val="00680905"/>
    <w:rsid w:val="00680979"/>
    <w:rsid w:val="006809DB"/>
    <w:rsid w:val="0068114E"/>
    <w:rsid w:val="0068139E"/>
    <w:rsid w:val="006818A8"/>
    <w:rsid w:val="00681927"/>
    <w:rsid w:val="00681984"/>
    <w:rsid w:val="00681A51"/>
    <w:rsid w:val="0068211F"/>
    <w:rsid w:val="00682141"/>
    <w:rsid w:val="00682424"/>
    <w:rsid w:val="00682469"/>
    <w:rsid w:val="006831BC"/>
    <w:rsid w:val="0068337B"/>
    <w:rsid w:val="00683490"/>
    <w:rsid w:val="0068355B"/>
    <w:rsid w:val="0068376D"/>
    <w:rsid w:val="006837CF"/>
    <w:rsid w:val="0068399A"/>
    <w:rsid w:val="00683D97"/>
    <w:rsid w:val="00683F6B"/>
    <w:rsid w:val="00684784"/>
    <w:rsid w:val="00684BD7"/>
    <w:rsid w:val="00684C3A"/>
    <w:rsid w:val="00684F61"/>
    <w:rsid w:val="00684FCA"/>
    <w:rsid w:val="0068524B"/>
    <w:rsid w:val="0068582B"/>
    <w:rsid w:val="00685A01"/>
    <w:rsid w:val="00685E4A"/>
    <w:rsid w:val="00686844"/>
    <w:rsid w:val="00686965"/>
    <w:rsid w:val="00686A56"/>
    <w:rsid w:val="00686B5C"/>
    <w:rsid w:val="00686F01"/>
    <w:rsid w:val="0068744F"/>
    <w:rsid w:val="006877BC"/>
    <w:rsid w:val="00687BC0"/>
    <w:rsid w:val="00690276"/>
    <w:rsid w:val="0069030C"/>
    <w:rsid w:val="00690677"/>
    <w:rsid w:val="00690B8A"/>
    <w:rsid w:val="00690BBA"/>
    <w:rsid w:val="00691338"/>
    <w:rsid w:val="006915C8"/>
    <w:rsid w:val="00691680"/>
    <w:rsid w:val="00691BBF"/>
    <w:rsid w:val="0069205D"/>
    <w:rsid w:val="0069227B"/>
    <w:rsid w:val="00692333"/>
    <w:rsid w:val="00692346"/>
    <w:rsid w:val="0069268A"/>
    <w:rsid w:val="00692850"/>
    <w:rsid w:val="006928E6"/>
    <w:rsid w:val="00692983"/>
    <w:rsid w:val="00692991"/>
    <w:rsid w:val="006929FA"/>
    <w:rsid w:val="00692DC9"/>
    <w:rsid w:val="00692F2E"/>
    <w:rsid w:val="0069309B"/>
    <w:rsid w:val="00693271"/>
    <w:rsid w:val="0069347D"/>
    <w:rsid w:val="006934FD"/>
    <w:rsid w:val="0069356A"/>
    <w:rsid w:val="00693B5B"/>
    <w:rsid w:val="00693D0C"/>
    <w:rsid w:val="00693E5A"/>
    <w:rsid w:val="0069418C"/>
    <w:rsid w:val="00694A7A"/>
    <w:rsid w:val="00694FE9"/>
    <w:rsid w:val="00695271"/>
    <w:rsid w:val="0069536E"/>
    <w:rsid w:val="00695429"/>
    <w:rsid w:val="0069544D"/>
    <w:rsid w:val="006955CF"/>
    <w:rsid w:val="00695D55"/>
    <w:rsid w:val="00696997"/>
    <w:rsid w:val="00696A67"/>
    <w:rsid w:val="00697656"/>
    <w:rsid w:val="006977EC"/>
    <w:rsid w:val="00697B6F"/>
    <w:rsid w:val="006A02D6"/>
    <w:rsid w:val="006A0DB1"/>
    <w:rsid w:val="006A1AE9"/>
    <w:rsid w:val="006A1AFD"/>
    <w:rsid w:val="006A1E82"/>
    <w:rsid w:val="006A1FE8"/>
    <w:rsid w:val="006A20B0"/>
    <w:rsid w:val="006A22B6"/>
    <w:rsid w:val="006A26C3"/>
    <w:rsid w:val="006A2854"/>
    <w:rsid w:val="006A335B"/>
    <w:rsid w:val="006A3948"/>
    <w:rsid w:val="006A3AE6"/>
    <w:rsid w:val="006A4295"/>
    <w:rsid w:val="006A42C3"/>
    <w:rsid w:val="006A4418"/>
    <w:rsid w:val="006A473A"/>
    <w:rsid w:val="006A4766"/>
    <w:rsid w:val="006A489A"/>
    <w:rsid w:val="006A4C25"/>
    <w:rsid w:val="006A4EB7"/>
    <w:rsid w:val="006A4F51"/>
    <w:rsid w:val="006A5E30"/>
    <w:rsid w:val="006A60ED"/>
    <w:rsid w:val="006A6375"/>
    <w:rsid w:val="006A651F"/>
    <w:rsid w:val="006A65A5"/>
    <w:rsid w:val="006A65F0"/>
    <w:rsid w:val="006A6D0E"/>
    <w:rsid w:val="006A6DCF"/>
    <w:rsid w:val="006A6DD8"/>
    <w:rsid w:val="006A6EED"/>
    <w:rsid w:val="006A6EEF"/>
    <w:rsid w:val="006A7001"/>
    <w:rsid w:val="006A71CE"/>
    <w:rsid w:val="006A7284"/>
    <w:rsid w:val="006A758C"/>
    <w:rsid w:val="006A7805"/>
    <w:rsid w:val="006A7BB0"/>
    <w:rsid w:val="006A7E7D"/>
    <w:rsid w:val="006A7E95"/>
    <w:rsid w:val="006B0264"/>
    <w:rsid w:val="006B03FD"/>
    <w:rsid w:val="006B0682"/>
    <w:rsid w:val="006B08C7"/>
    <w:rsid w:val="006B0F4D"/>
    <w:rsid w:val="006B18AD"/>
    <w:rsid w:val="006B191A"/>
    <w:rsid w:val="006B1D18"/>
    <w:rsid w:val="006B1F97"/>
    <w:rsid w:val="006B2608"/>
    <w:rsid w:val="006B2718"/>
    <w:rsid w:val="006B29D1"/>
    <w:rsid w:val="006B30EF"/>
    <w:rsid w:val="006B3119"/>
    <w:rsid w:val="006B3126"/>
    <w:rsid w:val="006B3C1A"/>
    <w:rsid w:val="006B3D6E"/>
    <w:rsid w:val="006B41FB"/>
    <w:rsid w:val="006B443D"/>
    <w:rsid w:val="006B447D"/>
    <w:rsid w:val="006B4493"/>
    <w:rsid w:val="006B460F"/>
    <w:rsid w:val="006B480B"/>
    <w:rsid w:val="006B52F4"/>
    <w:rsid w:val="006B56DF"/>
    <w:rsid w:val="006B5C98"/>
    <w:rsid w:val="006B6180"/>
    <w:rsid w:val="006B6297"/>
    <w:rsid w:val="006B6C95"/>
    <w:rsid w:val="006B72EC"/>
    <w:rsid w:val="006B72F5"/>
    <w:rsid w:val="006B7995"/>
    <w:rsid w:val="006B79AA"/>
    <w:rsid w:val="006B7D99"/>
    <w:rsid w:val="006C03A9"/>
    <w:rsid w:val="006C07A9"/>
    <w:rsid w:val="006C08AB"/>
    <w:rsid w:val="006C09DD"/>
    <w:rsid w:val="006C0C49"/>
    <w:rsid w:val="006C0D0F"/>
    <w:rsid w:val="006C0F46"/>
    <w:rsid w:val="006C1D3C"/>
    <w:rsid w:val="006C1EEC"/>
    <w:rsid w:val="006C2855"/>
    <w:rsid w:val="006C319D"/>
    <w:rsid w:val="006C352C"/>
    <w:rsid w:val="006C3732"/>
    <w:rsid w:val="006C3A33"/>
    <w:rsid w:val="006C3CD9"/>
    <w:rsid w:val="006C3D37"/>
    <w:rsid w:val="006C3FEA"/>
    <w:rsid w:val="006C4A89"/>
    <w:rsid w:val="006C4BC7"/>
    <w:rsid w:val="006C4D9B"/>
    <w:rsid w:val="006C4FEE"/>
    <w:rsid w:val="006C50C8"/>
    <w:rsid w:val="006C5A01"/>
    <w:rsid w:val="006C5FAD"/>
    <w:rsid w:val="006C63EF"/>
    <w:rsid w:val="006C65E9"/>
    <w:rsid w:val="006C6666"/>
    <w:rsid w:val="006C69E7"/>
    <w:rsid w:val="006C6B8E"/>
    <w:rsid w:val="006D09FD"/>
    <w:rsid w:val="006D10AE"/>
    <w:rsid w:val="006D1414"/>
    <w:rsid w:val="006D159B"/>
    <w:rsid w:val="006D1688"/>
    <w:rsid w:val="006D1B5E"/>
    <w:rsid w:val="006D1BBB"/>
    <w:rsid w:val="006D1D6B"/>
    <w:rsid w:val="006D1E54"/>
    <w:rsid w:val="006D24DC"/>
    <w:rsid w:val="006D25C3"/>
    <w:rsid w:val="006D25E8"/>
    <w:rsid w:val="006D2765"/>
    <w:rsid w:val="006D29F2"/>
    <w:rsid w:val="006D2A2D"/>
    <w:rsid w:val="006D3674"/>
    <w:rsid w:val="006D3BBB"/>
    <w:rsid w:val="006D4290"/>
    <w:rsid w:val="006D4ACC"/>
    <w:rsid w:val="006D4B12"/>
    <w:rsid w:val="006D4B4A"/>
    <w:rsid w:val="006D4BE9"/>
    <w:rsid w:val="006D4CD6"/>
    <w:rsid w:val="006D4D28"/>
    <w:rsid w:val="006D4D5B"/>
    <w:rsid w:val="006D4DDF"/>
    <w:rsid w:val="006D5276"/>
    <w:rsid w:val="006D54B0"/>
    <w:rsid w:val="006D5A39"/>
    <w:rsid w:val="006D5A49"/>
    <w:rsid w:val="006D5D21"/>
    <w:rsid w:val="006D5E20"/>
    <w:rsid w:val="006D69D6"/>
    <w:rsid w:val="006D6F85"/>
    <w:rsid w:val="006D71F9"/>
    <w:rsid w:val="006D7620"/>
    <w:rsid w:val="006D76F8"/>
    <w:rsid w:val="006D7CA2"/>
    <w:rsid w:val="006D7FAC"/>
    <w:rsid w:val="006E0219"/>
    <w:rsid w:val="006E025F"/>
    <w:rsid w:val="006E065B"/>
    <w:rsid w:val="006E09D3"/>
    <w:rsid w:val="006E10DB"/>
    <w:rsid w:val="006E1692"/>
    <w:rsid w:val="006E1828"/>
    <w:rsid w:val="006E1E6C"/>
    <w:rsid w:val="006E20CB"/>
    <w:rsid w:val="006E2177"/>
    <w:rsid w:val="006E221B"/>
    <w:rsid w:val="006E24BB"/>
    <w:rsid w:val="006E2785"/>
    <w:rsid w:val="006E2F02"/>
    <w:rsid w:val="006E351D"/>
    <w:rsid w:val="006E3966"/>
    <w:rsid w:val="006E39D2"/>
    <w:rsid w:val="006E39DC"/>
    <w:rsid w:val="006E3B09"/>
    <w:rsid w:val="006E417D"/>
    <w:rsid w:val="006E42CE"/>
    <w:rsid w:val="006E4B37"/>
    <w:rsid w:val="006E533A"/>
    <w:rsid w:val="006E5505"/>
    <w:rsid w:val="006E5539"/>
    <w:rsid w:val="006E5657"/>
    <w:rsid w:val="006E56CB"/>
    <w:rsid w:val="006E576A"/>
    <w:rsid w:val="006E59A4"/>
    <w:rsid w:val="006E5B6E"/>
    <w:rsid w:val="006E6052"/>
    <w:rsid w:val="006E6323"/>
    <w:rsid w:val="006E637A"/>
    <w:rsid w:val="006E63F8"/>
    <w:rsid w:val="006E6534"/>
    <w:rsid w:val="006E69BD"/>
    <w:rsid w:val="006E6BBE"/>
    <w:rsid w:val="006E6C74"/>
    <w:rsid w:val="006E6F95"/>
    <w:rsid w:val="006E71BB"/>
    <w:rsid w:val="006E71DC"/>
    <w:rsid w:val="006E7EC1"/>
    <w:rsid w:val="006F016E"/>
    <w:rsid w:val="006F0665"/>
    <w:rsid w:val="006F0815"/>
    <w:rsid w:val="006F0968"/>
    <w:rsid w:val="006F0D0A"/>
    <w:rsid w:val="006F0EF7"/>
    <w:rsid w:val="006F136D"/>
    <w:rsid w:val="006F1754"/>
    <w:rsid w:val="006F1774"/>
    <w:rsid w:val="006F1AC9"/>
    <w:rsid w:val="006F1F84"/>
    <w:rsid w:val="006F1FB6"/>
    <w:rsid w:val="006F226D"/>
    <w:rsid w:val="006F22CD"/>
    <w:rsid w:val="006F240A"/>
    <w:rsid w:val="006F27EF"/>
    <w:rsid w:val="006F2A5B"/>
    <w:rsid w:val="006F2D27"/>
    <w:rsid w:val="006F2FB3"/>
    <w:rsid w:val="006F3369"/>
    <w:rsid w:val="006F3B4E"/>
    <w:rsid w:val="006F3CE3"/>
    <w:rsid w:val="006F3D02"/>
    <w:rsid w:val="006F3D23"/>
    <w:rsid w:val="006F44E6"/>
    <w:rsid w:val="006F4E35"/>
    <w:rsid w:val="006F531B"/>
    <w:rsid w:val="006F5647"/>
    <w:rsid w:val="006F56B6"/>
    <w:rsid w:val="006F582E"/>
    <w:rsid w:val="006F5AE6"/>
    <w:rsid w:val="006F5C09"/>
    <w:rsid w:val="006F5E33"/>
    <w:rsid w:val="006F62BC"/>
    <w:rsid w:val="006F6379"/>
    <w:rsid w:val="006F670F"/>
    <w:rsid w:val="006F688B"/>
    <w:rsid w:val="006F690A"/>
    <w:rsid w:val="006F70BD"/>
    <w:rsid w:val="006F760F"/>
    <w:rsid w:val="006F7BF2"/>
    <w:rsid w:val="0070023A"/>
    <w:rsid w:val="007008AF"/>
    <w:rsid w:val="007009EF"/>
    <w:rsid w:val="00700C69"/>
    <w:rsid w:val="00700E96"/>
    <w:rsid w:val="00700EE1"/>
    <w:rsid w:val="0070100B"/>
    <w:rsid w:val="007023B5"/>
    <w:rsid w:val="00702493"/>
    <w:rsid w:val="007034D1"/>
    <w:rsid w:val="00703AB1"/>
    <w:rsid w:val="00703D6E"/>
    <w:rsid w:val="00703F40"/>
    <w:rsid w:val="00704104"/>
    <w:rsid w:val="00704310"/>
    <w:rsid w:val="0070433D"/>
    <w:rsid w:val="00704B34"/>
    <w:rsid w:val="007051D8"/>
    <w:rsid w:val="00705B01"/>
    <w:rsid w:val="007064FE"/>
    <w:rsid w:val="0070678D"/>
    <w:rsid w:val="00706A77"/>
    <w:rsid w:val="007078A9"/>
    <w:rsid w:val="00707C3A"/>
    <w:rsid w:val="0071035D"/>
    <w:rsid w:val="007109A0"/>
    <w:rsid w:val="00710D88"/>
    <w:rsid w:val="00710F92"/>
    <w:rsid w:val="00711060"/>
    <w:rsid w:val="00711295"/>
    <w:rsid w:val="007115E8"/>
    <w:rsid w:val="00711670"/>
    <w:rsid w:val="00711D49"/>
    <w:rsid w:val="00711DFA"/>
    <w:rsid w:val="00711F58"/>
    <w:rsid w:val="00712119"/>
    <w:rsid w:val="007122F9"/>
    <w:rsid w:val="00712AE6"/>
    <w:rsid w:val="00712FF6"/>
    <w:rsid w:val="00713074"/>
    <w:rsid w:val="00713170"/>
    <w:rsid w:val="00713210"/>
    <w:rsid w:val="007135AE"/>
    <w:rsid w:val="00713664"/>
    <w:rsid w:val="0071382F"/>
    <w:rsid w:val="007139DA"/>
    <w:rsid w:val="00713C47"/>
    <w:rsid w:val="00714652"/>
    <w:rsid w:val="00714A8A"/>
    <w:rsid w:val="00714B44"/>
    <w:rsid w:val="00714BDE"/>
    <w:rsid w:val="00714F3B"/>
    <w:rsid w:val="007157E0"/>
    <w:rsid w:val="00715816"/>
    <w:rsid w:val="007165C5"/>
    <w:rsid w:val="0071660D"/>
    <w:rsid w:val="007166F7"/>
    <w:rsid w:val="00716AEF"/>
    <w:rsid w:val="00716B51"/>
    <w:rsid w:val="00717076"/>
    <w:rsid w:val="00717296"/>
    <w:rsid w:val="007172CB"/>
    <w:rsid w:val="00717638"/>
    <w:rsid w:val="00717746"/>
    <w:rsid w:val="00717CA8"/>
    <w:rsid w:val="00717FE7"/>
    <w:rsid w:val="0072026C"/>
    <w:rsid w:val="0072028E"/>
    <w:rsid w:val="00720335"/>
    <w:rsid w:val="00720487"/>
    <w:rsid w:val="0072052A"/>
    <w:rsid w:val="007207B8"/>
    <w:rsid w:val="00720CF6"/>
    <w:rsid w:val="00720F1D"/>
    <w:rsid w:val="00720F5C"/>
    <w:rsid w:val="007214FE"/>
    <w:rsid w:val="0072163E"/>
    <w:rsid w:val="007216CC"/>
    <w:rsid w:val="00721A20"/>
    <w:rsid w:val="00721BE3"/>
    <w:rsid w:val="00721D30"/>
    <w:rsid w:val="00721FDF"/>
    <w:rsid w:val="007220C6"/>
    <w:rsid w:val="00722945"/>
    <w:rsid w:val="0072295E"/>
    <w:rsid w:val="00722B15"/>
    <w:rsid w:val="00722F3F"/>
    <w:rsid w:val="00722F55"/>
    <w:rsid w:val="00723603"/>
    <w:rsid w:val="00723A4A"/>
    <w:rsid w:val="00723C89"/>
    <w:rsid w:val="00723F3A"/>
    <w:rsid w:val="00723F4D"/>
    <w:rsid w:val="00724162"/>
    <w:rsid w:val="00724A27"/>
    <w:rsid w:val="00724C63"/>
    <w:rsid w:val="00724F65"/>
    <w:rsid w:val="0072513A"/>
    <w:rsid w:val="00725197"/>
    <w:rsid w:val="00725370"/>
    <w:rsid w:val="007253AD"/>
    <w:rsid w:val="007253B2"/>
    <w:rsid w:val="007253FF"/>
    <w:rsid w:val="0072668D"/>
    <w:rsid w:val="007269D9"/>
    <w:rsid w:val="00726B79"/>
    <w:rsid w:val="00727038"/>
    <w:rsid w:val="00727328"/>
    <w:rsid w:val="00727370"/>
    <w:rsid w:val="00727551"/>
    <w:rsid w:val="00727B2A"/>
    <w:rsid w:val="007306A2"/>
    <w:rsid w:val="0073092A"/>
    <w:rsid w:val="0073144A"/>
    <w:rsid w:val="00731542"/>
    <w:rsid w:val="0073160D"/>
    <w:rsid w:val="007319AD"/>
    <w:rsid w:val="007320A9"/>
    <w:rsid w:val="007321FD"/>
    <w:rsid w:val="007324E1"/>
    <w:rsid w:val="007326A9"/>
    <w:rsid w:val="0073277B"/>
    <w:rsid w:val="00732A29"/>
    <w:rsid w:val="00732E51"/>
    <w:rsid w:val="00733957"/>
    <w:rsid w:val="007339F8"/>
    <w:rsid w:val="00733AA7"/>
    <w:rsid w:val="0073435D"/>
    <w:rsid w:val="00734536"/>
    <w:rsid w:val="007345B7"/>
    <w:rsid w:val="007347D0"/>
    <w:rsid w:val="00734951"/>
    <w:rsid w:val="00734A6F"/>
    <w:rsid w:val="00734BAD"/>
    <w:rsid w:val="0073508A"/>
    <w:rsid w:val="00735329"/>
    <w:rsid w:val="00735D9E"/>
    <w:rsid w:val="00735DD9"/>
    <w:rsid w:val="007365CD"/>
    <w:rsid w:val="00736707"/>
    <w:rsid w:val="00736F5B"/>
    <w:rsid w:val="007374D3"/>
    <w:rsid w:val="007374FA"/>
    <w:rsid w:val="0073758A"/>
    <w:rsid w:val="007377CB"/>
    <w:rsid w:val="00737B8B"/>
    <w:rsid w:val="00737F4E"/>
    <w:rsid w:val="00737FFD"/>
    <w:rsid w:val="00740561"/>
    <w:rsid w:val="00740B6A"/>
    <w:rsid w:val="00740F87"/>
    <w:rsid w:val="0074109C"/>
    <w:rsid w:val="0074109D"/>
    <w:rsid w:val="0074157C"/>
    <w:rsid w:val="007415A9"/>
    <w:rsid w:val="0074216D"/>
    <w:rsid w:val="00742335"/>
    <w:rsid w:val="00742445"/>
    <w:rsid w:val="007424F2"/>
    <w:rsid w:val="0074282E"/>
    <w:rsid w:val="00742842"/>
    <w:rsid w:val="007428F6"/>
    <w:rsid w:val="0074312B"/>
    <w:rsid w:val="0074319F"/>
    <w:rsid w:val="007431EB"/>
    <w:rsid w:val="00743714"/>
    <w:rsid w:val="007444CB"/>
    <w:rsid w:val="0074492D"/>
    <w:rsid w:val="00744A41"/>
    <w:rsid w:val="00744FD2"/>
    <w:rsid w:val="0074571B"/>
    <w:rsid w:val="00745A2F"/>
    <w:rsid w:val="00745B0F"/>
    <w:rsid w:val="00745E38"/>
    <w:rsid w:val="00745E7F"/>
    <w:rsid w:val="00745E99"/>
    <w:rsid w:val="0074620D"/>
    <w:rsid w:val="007466D4"/>
    <w:rsid w:val="00747171"/>
    <w:rsid w:val="00747215"/>
    <w:rsid w:val="007473F2"/>
    <w:rsid w:val="00747549"/>
    <w:rsid w:val="00750270"/>
    <w:rsid w:val="00750740"/>
    <w:rsid w:val="00750E70"/>
    <w:rsid w:val="0075132B"/>
    <w:rsid w:val="00751808"/>
    <w:rsid w:val="00751B3E"/>
    <w:rsid w:val="0075211A"/>
    <w:rsid w:val="00752542"/>
    <w:rsid w:val="007526AB"/>
    <w:rsid w:val="00752C6B"/>
    <w:rsid w:val="00752CD0"/>
    <w:rsid w:val="00753107"/>
    <w:rsid w:val="0075323B"/>
    <w:rsid w:val="00753255"/>
    <w:rsid w:val="00753376"/>
    <w:rsid w:val="007537F4"/>
    <w:rsid w:val="00753909"/>
    <w:rsid w:val="00753FB9"/>
    <w:rsid w:val="007543B0"/>
    <w:rsid w:val="007547DC"/>
    <w:rsid w:val="007548E3"/>
    <w:rsid w:val="00754A5A"/>
    <w:rsid w:val="007550F7"/>
    <w:rsid w:val="007561BC"/>
    <w:rsid w:val="007564F6"/>
    <w:rsid w:val="007565BF"/>
    <w:rsid w:val="007568A9"/>
    <w:rsid w:val="00756CB9"/>
    <w:rsid w:val="00756CCE"/>
    <w:rsid w:val="00756DEC"/>
    <w:rsid w:val="007570C7"/>
    <w:rsid w:val="007576E5"/>
    <w:rsid w:val="00757722"/>
    <w:rsid w:val="00757C7D"/>
    <w:rsid w:val="007614DA"/>
    <w:rsid w:val="00761514"/>
    <w:rsid w:val="00761DB7"/>
    <w:rsid w:val="00761FBC"/>
    <w:rsid w:val="00761FE1"/>
    <w:rsid w:val="007623E8"/>
    <w:rsid w:val="0076267A"/>
    <w:rsid w:val="007627E7"/>
    <w:rsid w:val="007629F0"/>
    <w:rsid w:val="00762EBF"/>
    <w:rsid w:val="00763318"/>
    <w:rsid w:val="007633E0"/>
    <w:rsid w:val="007637E3"/>
    <w:rsid w:val="007638F4"/>
    <w:rsid w:val="00763C22"/>
    <w:rsid w:val="00763CE7"/>
    <w:rsid w:val="00763D0E"/>
    <w:rsid w:val="00763EE5"/>
    <w:rsid w:val="007643DE"/>
    <w:rsid w:val="00764923"/>
    <w:rsid w:val="00764F16"/>
    <w:rsid w:val="0076508A"/>
    <w:rsid w:val="007654FF"/>
    <w:rsid w:val="007659E2"/>
    <w:rsid w:val="00765AE4"/>
    <w:rsid w:val="007663B3"/>
    <w:rsid w:val="0076673D"/>
    <w:rsid w:val="007669EA"/>
    <w:rsid w:val="00766A7F"/>
    <w:rsid w:val="00766DB2"/>
    <w:rsid w:val="007673C3"/>
    <w:rsid w:val="00767696"/>
    <w:rsid w:val="00767793"/>
    <w:rsid w:val="00770127"/>
    <w:rsid w:val="007701DE"/>
    <w:rsid w:val="00770533"/>
    <w:rsid w:val="0077064B"/>
    <w:rsid w:val="00770AA7"/>
    <w:rsid w:val="00770ABA"/>
    <w:rsid w:val="00770DE1"/>
    <w:rsid w:val="00771830"/>
    <w:rsid w:val="00771EC1"/>
    <w:rsid w:val="00772177"/>
    <w:rsid w:val="00772532"/>
    <w:rsid w:val="0077265F"/>
    <w:rsid w:val="0077314E"/>
    <w:rsid w:val="00773264"/>
    <w:rsid w:val="0077328B"/>
    <w:rsid w:val="007732C9"/>
    <w:rsid w:val="00773D20"/>
    <w:rsid w:val="0077508F"/>
    <w:rsid w:val="0077510D"/>
    <w:rsid w:val="0077576E"/>
    <w:rsid w:val="00775C65"/>
    <w:rsid w:val="00775FA9"/>
    <w:rsid w:val="0077639A"/>
    <w:rsid w:val="00776574"/>
    <w:rsid w:val="00776C7C"/>
    <w:rsid w:val="00776D55"/>
    <w:rsid w:val="00777128"/>
    <w:rsid w:val="00777BEE"/>
    <w:rsid w:val="00777D9E"/>
    <w:rsid w:val="007800AF"/>
    <w:rsid w:val="00780360"/>
    <w:rsid w:val="00780B83"/>
    <w:rsid w:val="00780DB1"/>
    <w:rsid w:val="0078100C"/>
    <w:rsid w:val="0078157F"/>
    <w:rsid w:val="00781779"/>
    <w:rsid w:val="0078185E"/>
    <w:rsid w:val="0078186E"/>
    <w:rsid w:val="007818BA"/>
    <w:rsid w:val="007819B3"/>
    <w:rsid w:val="00781E54"/>
    <w:rsid w:val="00781E9C"/>
    <w:rsid w:val="0078236C"/>
    <w:rsid w:val="007825D2"/>
    <w:rsid w:val="00782799"/>
    <w:rsid w:val="00782D12"/>
    <w:rsid w:val="00782D44"/>
    <w:rsid w:val="007834FA"/>
    <w:rsid w:val="007837B0"/>
    <w:rsid w:val="00783827"/>
    <w:rsid w:val="00783BF7"/>
    <w:rsid w:val="007840F5"/>
    <w:rsid w:val="0078438D"/>
    <w:rsid w:val="007846C0"/>
    <w:rsid w:val="007847CB"/>
    <w:rsid w:val="00784B94"/>
    <w:rsid w:val="00785208"/>
    <w:rsid w:val="007858FD"/>
    <w:rsid w:val="00785F7E"/>
    <w:rsid w:val="007863CB"/>
    <w:rsid w:val="00786F48"/>
    <w:rsid w:val="0078725D"/>
    <w:rsid w:val="00787364"/>
    <w:rsid w:val="0078772C"/>
    <w:rsid w:val="00787866"/>
    <w:rsid w:val="007878E4"/>
    <w:rsid w:val="00787953"/>
    <w:rsid w:val="007879E4"/>
    <w:rsid w:val="0079082B"/>
    <w:rsid w:val="0079090E"/>
    <w:rsid w:val="00790984"/>
    <w:rsid w:val="00791054"/>
    <w:rsid w:val="007911B8"/>
    <w:rsid w:val="00791481"/>
    <w:rsid w:val="0079173F"/>
    <w:rsid w:val="0079190D"/>
    <w:rsid w:val="00791CDC"/>
    <w:rsid w:val="00792076"/>
    <w:rsid w:val="00792289"/>
    <w:rsid w:val="0079228D"/>
    <w:rsid w:val="00792338"/>
    <w:rsid w:val="00792628"/>
    <w:rsid w:val="0079267C"/>
    <w:rsid w:val="007932B7"/>
    <w:rsid w:val="0079345F"/>
    <w:rsid w:val="00793613"/>
    <w:rsid w:val="007937F1"/>
    <w:rsid w:val="00793B65"/>
    <w:rsid w:val="00793CC0"/>
    <w:rsid w:val="007940AC"/>
    <w:rsid w:val="00794177"/>
    <w:rsid w:val="00794BB6"/>
    <w:rsid w:val="007955F3"/>
    <w:rsid w:val="007958ED"/>
    <w:rsid w:val="007960DD"/>
    <w:rsid w:val="007962EC"/>
    <w:rsid w:val="007963BD"/>
    <w:rsid w:val="007966E6"/>
    <w:rsid w:val="00796983"/>
    <w:rsid w:val="00796BD9"/>
    <w:rsid w:val="0079723B"/>
    <w:rsid w:val="00797A64"/>
    <w:rsid w:val="00797BB8"/>
    <w:rsid w:val="007A00CA"/>
    <w:rsid w:val="007A0361"/>
    <w:rsid w:val="007A0505"/>
    <w:rsid w:val="007A0A90"/>
    <w:rsid w:val="007A1190"/>
    <w:rsid w:val="007A1924"/>
    <w:rsid w:val="007A200B"/>
    <w:rsid w:val="007A2081"/>
    <w:rsid w:val="007A24D5"/>
    <w:rsid w:val="007A3268"/>
    <w:rsid w:val="007A384D"/>
    <w:rsid w:val="007A3BC8"/>
    <w:rsid w:val="007A3DCA"/>
    <w:rsid w:val="007A4155"/>
    <w:rsid w:val="007A4783"/>
    <w:rsid w:val="007A5191"/>
    <w:rsid w:val="007A647F"/>
    <w:rsid w:val="007A64D4"/>
    <w:rsid w:val="007A64E0"/>
    <w:rsid w:val="007A6A15"/>
    <w:rsid w:val="007A6BDA"/>
    <w:rsid w:val="007A6CBB"/>
    <w:rsid w:val="007A6ED6"/>
    <w:rsid w:val="007A715C"/>
    <w:rsid w:val="007A756D"/>
    <w:rsid w:val="007A791A"/>
    <w:rsid w:val="007A7AEE"/>
    <w:rsid w:val="007A7F33"/>
    <w:rsid w:val="007B03A0"/>
    <w:rsid w:val="007B0500"/>
    <w:rsid w:val="007B0BE5"/>
    <w:rsid w:val="007B111B"/>
    <w:rsid w:val="007B1403"/>
    <w:rsid w:val="007B1441"/>
    <w:rsid w:val="007B17FD"/>
    <w:rsid w:val="007B1B4D"/>
    <w:rsid w:val="007B23D0"/>
    <w:rsid w:val="007B2418"/>
    <w:rsid w:val="007B25E8"/>
    <w:rsid w:val="007B25FE"/>
    <w:rsid w:val="007B270F"/>
    <w:rsid w:val="007B27E0"/>
    <w:rsid w:val="007B2B2E"/>
    <w:rsid w:val="007B2E18"/>
    <w:rsid w:val="007B330D"/>
    <w:rsid w:val="007B374F"/>
    <w:rsid w:val="007B376C"/>
    <w:rsid w:val="007B3AE8"/>
    <w:rsid w:val="007B3B59"/>
    <w:rsid w:val="007B4414"/>
    <w:rsid w:val="007B4418"/>
    <w:rsid w:val="007B453B"/>
    <w:rsid w:val="007B4600"/>
    <w:rsid w:val="007B4EA6"/>
    <w:rsid w:val="007B5168"/>
    <w:rsid w:val="007B5237"/>
    <w:rsid w:val="007B5346"/>
    <w:rsid w:val="007B570B"/>
    <w:rsid w:val="007B59E1"/>
    <w:rsid w:val="007B5DAC"/>
    <w:rsid w:val="007B5F62"/>
    <w:rsid w:val="007B60E6"/>
    <w:rsid w:val="007B621D"/>
    <w:rsid w:val="007B625E"/>
    <w:rsid w:val="007B640C"/>
    <w:rsid w:val="007B654F"/>
    <w:rsid w:val="007B66B3"/>
    <w:rsid w:val="007B7077"/>
    <w:rsid w:val="007B718D"/>
    <w:rsid w:val="007B73FD"/>
    <w:rsid w:val="007C0133"/>
    <w:rsid w:val="007C086C"/>
    <w:rsid w:val="007C0A1B"/>
    <w:rsid w:val="007C0FD5"/>
    <w:rsid w:val="007C1042"/>
    <w:rsid w:val="007C1420"/>
    <w:rsid w:val="007C14B6"/>
    <w:rsid w:val="007C17D3"/>
    <w:rsid w:val="007C1B30"/>
    <w:rsid w:val="007C1B73"/>
    <w:rsid w:val="007C1EE8"/>
    <w:rsid w:val="007C20B1"/>
    <w:rsid w:val="007C2DB5"/>
    <w:rsid w:val="007C2E2A"/>
    <w:rsid w:val="007C3003"/>
    <w:rsid w:val="007C3244"/>
    <w:rsid w:val="007C385F"/>
    <w:rsid w:val="007C3F53"/>
    <w:rsid w:val="007C43A6"/>
    <w:rsid w:val="007C46E9"/>
    <w:rsid w:val="007C4863"/>
    <w:rsid w:val="007C4924"/>
    <w:rsid w:val="007C4DB0"/>
    <w:rsid w:val="007C4E8C"/>
    <w:rsid w:val="007C511F"/>
    <w:rsid w:val="007C5201"/>
    <w:rsid w:val="007C574E"/>
    <w:rsid w:val="007C5923"/>
    <w:rsid w:val="007C59AB"/>
    <w:rsid w:val="007C59C5"/>
    <w:rsid w:val="007C5F20"/>
    <w:rsid w:val="007C64E9"/>
    <w:rsid w:val="007C65DE"/>
    <w:rsid w:val="007C6B60"/>
    <w:rsid w:val="007C6F85"/>
    <w:rsid w:val="007C703D"/>
    <w:rsid w:val="007C71DC"/>
    <w:rsid w:val="007C768A"/>
    <w:rsid w:val="007C7B99"/>
    <w:rsid w:val="007C7C17"/>
    <w:rsid w:val="007D06E9"/>
    <w:rsid w:val="007D0CF8"/>
    <w:rsid w:val="007D0F9A"/>
    <w:rsid w:val="007D16CC"/>
    <w:rsid w:val="007D2368"/>
    <w:rsid w:val="007D23B3"/>
    <w:rsid w:val="007D2E1E"/>
    <w:rsid w:val="007D311E"/>
    <w:rsid w:val="007D357D"/>
    <w:rsid w:val="007D3AA0"/>
    <w:rsid w:val="007D3B71"/>
    <w:rsid w:val="007D3CA5"/>
    <w:rsid w:val="007D3FE2"/>
    <w:rsid w:val="007D4359"/>
    <w:rsid w:val="007D4EC2"/>
    <w:rsid w:val="007D5064"/>
    <w:rsid w:val="007D50A6"/>
    <w:rsid w:val="007D564D"/>
    <w:rsid w:val="007D5690"/>
    <w:rsid w:val="007D57B7"/>
    <w:rsid w:val="007D5930"/>
    <w:rsid w:val="007D5CB6"/>
    <w:rsid w:val="007D5DAC"/>
    <w:rsid w:val="007D61D6"/>
    <w:rsid w:val="007D67EA"/>
    <w:rsid w:val="007D69FA"/>
    <w:rsid w:val="007D6BA9"/>
    <w:rsid w:val="007D75E9"/>
    <w:rsid w:val="007D77C4"/>
    <w:rsid w:val="007D77D7"/>
    <w:rsid w:val="007D7CC9"/>
    <w:rsid w:val="007E0536"/>
    <w:rsid w:val="007E07E3"/>
    <w:rsid w:val="007E08CE"/>
    <w:rsid w:val="007E0A33"/>
    <w:rsid w:val="007E11D8"/>
    <w:rsid w:val="007E1600"/>
    <w:rsid w:val="007E1B38"/>
    <w:rsid w:val="007E1E93"/>
    <w:rsid w:val="007E1FBF"/>
    <w:rsid w:val="007E2817"/>
    <w:rsid w:val="007E2F09"/>
    <w:rsid w:val="007E38C7"/>
    <w:rsid w:val="007E3A75"/>
    <w:rsid w:val="007E3F3E"/>
    <w:rsid w:val="007E4641"/>
    <w:rsid w:val="007E4778"/>
    <w:rsid w:val="007E516B"/>
    <w:rsid w:val="007E5504"/>
    <w:rsid w:val="007E5A20"/>
    <w:rsid w:val="007E5D6C"/>
    <w:rsid w:val="007E5D72"/>
    <w:rsid w:val="007E60D8"/>
    <w:rsid w:val="007E6689"/>
    <w:rsid w:val="007E6838"/>
    <w:rsid w:val="007E6F58"/>
    <w:rsid w:val="007E7060"/>
    <w:rsid w:val="007E73F1"/>
    <w:rsid w:val="007E7AD3"/>
    <w:rsid w:val="007E7B1E"/>
    <w:rsid w:val="007E7FA7"/>
    <w:rsid w:val="007F02B9"/>
    <w:rsid w:val="007F078E"/>
    <w:rsid w:val="007F07A1"/>
    <w:rsid w:val="007F0965"/>
    <w:rsid w:val="007F0B0D"/>
    <w:rsid w:val="007F0C0E"/>
    <w:rsid w:val="007F0CE1"/>
    <w:rsid w:val="007F10A1"/>
    <w:rsid w:val="007F1199"/>
    <w:rsid w:val="007F1417"/>
    <w:rsid w:val="007F1868"/>
    <w:rsid w:val="007F1ABA"/>
    <w:rsid w:val="007F1C7F"/>
    <w:rsid w:val="007F23DB"/>
    <w:rsid w:val="007F282F"/>
    <w:rsid w:val="007F28B0"/>
    <w:rsid w:val="007F2A03"/>
    <w:rsid w:val="007F310A"/>
    <w:rsid w:val="007F3517"/>
    <w:rsid w:val="007F3616"/>
    <w:rsid w:val="007F366B"/>
    <w:rsid w:val="007F3D42"/>
    <w:rsid w:val="007F43DA"/>
    <w:rsid w:val="007F4847"/>
    <w:rsid w:val="007F490D"/>
    <w:rsid w:val="007F4CD9"/>
    <w:rsid w:val="007F4D92"/>
    <w:rsid w:val="007F4ED7"/>
    <w:rsid w:val="007F5371"/>
    <w:rsid w:val="007F545B"/>
    <w:rsid w:val="007F5786"/>
    <w:rsid w:val="007F59AB"/>
    <w:rsid w:val="007F5C09"/>
    <w:rsid w:val="007F60F8"/>
    <w:rsid w:val="007F694F"/>
    <w:rsid w:val="007F699F"/>
    <w:rsid w:val="007F6A59"/>
    <w:rsid w:val="007F6DE8"/>
    <w:rsid w:val="007F77B2"/>
    <w:rsid w:val="007F7883"/>
    <w:rsid w:val="007F7D0C"/>
    <w:rsid w:val="008003A7"/>
    <w:rsid w:val="00800499"/>
    <w:rsid w:val="00800FE2"/>
    <w:rsid w:val="008014ED"/>
    <w:rsid w:val="0080201A"/>
    <w:rsid w:val="008022C9"/>
    <w:rsid w:val="00802570"/>
    <w:rsid w:val="00802660"/>
    <w:rsid w:val="008027E2"/>
    <w:rsid w:val="008029DB"/>
    <w:rsid w:val="00802B1E"/>
    <w:rsid w:val="00802CA3"/>
    <w:rsid w:val="008031C2"/>
    <w:rsid w:val="00803992"/>
    <w:rsid w:val="008041B6"/>
    <w:rsid w:val="008041F5"/>
    <w:rsid w:val="0080426F"/>
    <w:rsid w:val="00805346"/>
    <w:rsid w:val="008055E7"/>
    <w:rsid w:val="008055F3"/>
    <w:rsid w:val="00805808"/>
    <w:rsid w:val="00805C75"/>
    <w:rsid w:val="008061CA"/>
    <w:rsid w:val="008063D8"/>
    <w:rsid w:val="00806FFB"/>
    <w:rsid w:val="0080713F"/>
    <w:rsid w:val="008071C3"/>
    <w:rsid w:val="008072B2"/>
    <w:rsid w:val="008072D7"/>
    <w:rsid w:val="00807647"/>
    <w:rsid w:val="00807FA3"/>
    <w:rsid w:val="0081059D"/>
    <w:rsid w:val="00810603"/>
    <w:rsid w:val="00810D15"/>
    <w:rsid w:val="00810F1B"/>
    <w:rsid w:val="00811145"/>
    <w:rsid w:val="00811263"/>
    <w:rsid w:val="008112E2"/>
    <w:rsid w:val="00811742"/>
    <w:rsid w:val="008119F9"/>
    <w:rsid w:val="00811FA1"/>
    <w:rsid w:val="008123AF"/>
    <w:rsid w:val="008126B4"/>
    <w:rsid w:val="00812B83"/>
    <w:rsid w:val="00812C2D"/>
    <w:rsid w:val="00813487"/>
    <w:rsid w:val="00813813"/>
    <w:rsid w:val="00813C03"/>
    <w:rsid w:val="00813FBF"/>
    <w:rsid w:val="008141D2"/>
    <w:rsid w:val="00814283"/>
    <w:rsid w:val="00814503"/>
    <w:rsid w:val="00814A09"/>
    <w:rsid w:val="00814ACC"/>
    <w:rsid w:val="00814E85"/>
    <w:rsid w:val="00814F25"/>
    <w:rsid w:val="008150EB"/>
    <w:rsid w:val="0081569A"/>
    <w:rsid w:val="0081647F"/>
    <w:rsid w:val="00816C67"/>
    <w:rsid w:val="00817C6C"/>
    <w:rsid w:val="00820209"/>
    <w:rsid w:val="008203C4"/>
    <w:rsid w:val="00820434"/>
    <w:rsid w:val="008206FC"/>
    <w:rsid w:val="00820AA8"/>
    <w:rsid w:val="00820B67"/>
    <w:rsid w:val="00820C71"/>
    <w:rsid w:val="00820DD6"/>
    <w:rsid w:val="00820F35"/>
    <w:rsid w:val="00820FEC"/>
    <w:rsid w:val="00821131"/>
    <w:rsid w:val="008214D8"/>
    <w:rsid w:val="00821AE8"/>
    <w:rsid w:val="00821D5B"/>
    <w:rsid w:val="00821E82"/>
    <w:rsid w:val="00821EEB"/>
    <w:rsid w:val="008229CF"/>
    <w:rsid w:val="00822FF3"/>
    <w:rsid w:val="00823046"/>
    <w:rsid w:val="008231CF"/>
    <w:rsid w:val="008231EA"/>
    <w:rsid w:val="00823443"/>
    <w:rsid w:val="0082393D"/>
    <w:rsid w:val="00823DE0"/>
    <w:rsid w:val="008245C4"/>
    <w:rsid w:val="00824BFC"/>
    <w:rsid w:val="00824FAC"/>
    <w:rsid w:val="0082577B"/>
    <w:rsid w:val="00825FA0"/>
    <w:rsid w:val="00826090"/>
    <w:rsid w:val="00826501"/>
    <w:rsid w:val="00826550"/>
    <w:rsid w:val="008267E8"/>
    <w:rsid w:val="00826CA6"/>
    <w:rsid w:val="00827454"/>
    <w:rsid w:val="00827A85"/>
    <w:rsid w:val="00827EEB"/>
    <w:rsid w:val="00830475"/>
    <w:rsid w:val="008306D0"/>
    <w:rsid w:val="00830758"/>
    <w:rsid w:val="00830821"/>
    <w:rsid w:val="00830BC4"/>
    <w:rsid w:val="00830D92"/>
    <w:rsid w:val="008314F2"/>
    <w:rsid w:val="00831DF7"/>
    <w:rsid w:val="00831ED5"/>
    <w:rsid w:val="00832177"/>
    <w:rsid w:val="00832C36"/>
    <w:rsid w:val="0083324D"/>
    <w:rsid w:val="00833AA0"/>
    <w:rsid w:val="00833AFA"/>
    <w:rsid w:val="00834160"/>
    <w:rsid w:val="00834634"/>
    <w:rsid w:val="00834929"/>
    <w:rsid w:val="00835045"/>
    <w:rsid w:val="008353D9"/>
    <w:rsid w:val="00835595"/>
    <w:rsid w:val="0083585E"/>
    <w:rsid w:val="0083606C"/>
    <w:rsid w:val="0083636A"/>
    <w:rsid w:val="0083688D"/>
    <w:rsid w:val="00837A8F"/>
    <w:rsid w:val="008400DB"/>
    <w:rsid w:val="008401FA"/>
    <w:rsid w:val="00840FF9"/>
    <w:rsid w:val="0084143B"/>
    <w:rsid w:val="008414EB"/>
    <w:rsid w:val="00841733"/>
    <w:rsid w:val="008418C9"/>
    <w:rsid w:val="008419DF"/>
    <w:rsid w:val="00841FAE"/>
    <w:rsid w:val="00842484"/>
    <w:rsid w:val="0084272C"/>
    <w:rsid w:val="00842B9B"/>
    <w:rsid w:val="008433D2"/>
    <w:rsid w:val="00843447"/>
    <w:rsid w:val="00843C0B"/>
    <w:rsid w:val="008440F5"/>
    <w:rsid w:val="00844354"/>
    <w:rsid w:val="00844434"/>
    <w:rsid w:val="0084487B"/>
    <w:rsid w:val="00844B46"/>
    <w:rsid w:val="00844BD4"/>
    <w:rsid w:val="00844CB4"/>
    <w:rsid w:val="00844D38"/>
    <w:rsid w:val="00844D85"/>
    <w:rsid w:val="00844DA6"/>
    <w:rsid w:val="00845282"/>
    <w:rsid w:val="0084563E"/>
    <w:rsid w:val="008457E7"/>
    <w:rsid w:val="0084591F"/>
    <w:rsid w:val="00845B92"/>
    <w:rsid w:val="00846051"/>
    <w:rsid w:val="008460B0"/>
    <w:rsid w:val="00846164"/>
    <w:rsid w:val="008463E2"/>
    <w:rsid w:val="0084660B"/>
    <w:rsid w:val="008466C5"/>
    <w:rsid w:val="00846C55"/>
    <w:rsid w:val="008473CB"/>
    <w:rsid w:val="0084777B"/>
    <w:rsid w:val="00847A58"/>
    <w:rsid w:val="00847F30"/>
    <w:rsid w:val="00847F98"/>
    <w:rsid w:val="00850149"/>
    <w:rsid w:val="0085038D"/>
    <w:rsid w:val="0085046A"/>
    <w:rsid w:val="008504AD"/>
    <w:rsid w:val="00850993"/>
    <w:rsid w:val="008509D5"/>
    <w:rsid w:val="00850E71"/>
    <w:rsid w:val="008513E1"/>
    <w:rsid w:val="0085146E"/>
    <w:rsid w:val="0085166B"/>
    <w:rsid w:val="008516B0"/>
    <w:rsid w:val="008519FF"/>
    <w:rsid w:val="00851B6E"/>
    <w:rsid w:val="00851F2A"/>
    <w:rsid w:val="0085246F"/>
    <w:rsid w:val="008524BE"/>
    <w:rsid w:val="00852505"/>
    <w:rsid w:val="00853008"/>
    <w:rsid w:val="0085306F"/>
    <w:rsid w:val="008530E9"/>
    <w:rsid w:val="008531A4"/>
    <w:rsid w:val="00853243"/>
    <w:rsid w:val="008538FA"/>
    <w:rsid w:val="00853BC2"/>
    <w:rsid w:val="00853C7E"/>
    <w:rsid w:val="00854278"/>
    <w:rsid w:val="008549E5"/>
    <w:rsid w:val="00854E88"/>
    <w:rsid w:val="00854F07"/>
    <w:rsid w:val="00854F54"/>
    <w:rsid w:val="00855B24"/>
    <w:rsid w:val="00855BD0"/>
    <w:rsid w:val="00855F7B"/>
    <w:rsid w:val="00856038"/>
    <w:rsid w:val="00856063"/>
    <w:rsid w:val="00856333"/>
    <w:rsid w:val="0085653E"/>
    <w:rsid w:val="00856652"/>
    <w:rsid w:val="008566B2"/>
    <w:rsid w:val="00856CA2"/>
    <w:rsid w:val="00856D1A"/>
    <w:rsid w:val="00856F66"/>
    <w:rsid w:val="00857172"/>
    <w:rsid w:val="00857585"/>
    <w:rsid w:val="008578FB"/>
    <w:rsid w:val="00860CEE"/>
    <w:rsid w:val="00860DE4"/>
    <w:rsid w:val="008613A2"/>
    <w:rsid w:val="0086147D"/>
    <w:rsid w:val="008619F0"/>
    <w:rsid w:val="008622D4"/>
    <w:rsid w:val="0086236A"/>
    <w:rsid w:val="00862A93"/>
    <w:rsid w:val="00862B94"/>
    <w:rsid w:val="00863175"/>
    <w:rsid w:val="0086341D"/>
    <w:rsid w:val="008635B7"/>
    <w:rsid w:val="00863F3B"/>
    <w:rsid w:val="008649E3"/>
    <w:rsid w:val="00864A80"/>
    <w:rsid w:val="00864AE4"/>
    <w:rsid w:val="0086569A"/>
    <w:rsid w:val="0086592C"/>
    <w:rsid w:val="00865A85"/>
    <w:rsid w:val="00866A01"/>
    <w:rsid w:val="008671C0"/>
    <w:rsid w:val="008671F9"/>
    <w:rsid w:val="00867463"/>
    <w:rsid w:val="00867739"/>
    <w:rsid w:val="00867A36"/>
    <w:rsid w:val="00867A8E"/>
    <w:rsid w:val="00867C26"/>
    <w:rsid w:val="00867C3F"/>
    <w:rsid w:val="00870002"/>
    <w:rsid w:val="0087006E"/>
    <w:rsid w:val="008700CE"/>
    <w:rsid w:val="00870150"/>
    <w:rsid w:val="008702A8"/>
    <w:rsid w:val="0087035A"/>
    <w:rsid w:val="00870A04"/>
    <w:rsid w:val="00870FD4"/>
    <w:rsid w:val="008714CE"/>
    <w:rsid w:val="008719F9"/>
    <w:rsid w:val="00871C1E"/>
    <w:rsid w:val="00871D15"/>
    <w:rsid w:val="00871D17"/>
    <w:rsid w:val="00871E05"/>
    <w:rsid w:val="00872058"/>
    <w:rsid w:val="00872172"/>
    <w:rsid w:val="00872345"/>
    <w:rsid w:val="00872381"/>
    <w:rsid w:val="00872842"/>
    <w:rsid w:val="00872B3E"/>
    <w:rsid w:val="00872C75"/>
    <w:rsid w:val="00872FEF"/>
    <w:rsid w:val="0087329C"/>
    <w:rsid w:val="00873456"/>
    <w:rsid w:val="0087347D"/>
    <w:rsid w:val="00873706"/>
    <w:rsid w:val="00873CA1"/>
    <w:rsid w:val="008740B3"/>
    <w:rsid w:val="00874424"/>
    <w:rsid w:val="0087524E"/>
    <w:rsid w:val="0087556D"/>
    <w:rsid w:val="008756F2"/>
    <w:rsid w:val="00875CDC"/>
    <w:rsid w:val="00875DDF"/>
    <w:rsid w:val="00876025"/>
    <w:rsid w:val="00876CE9"/>
    <w:rsid w:val="00877372"/>
    <w:rsid w:val="008773C9"/>
    <w:rsid w:val="00877660"/>
    <w:rsid w:val="0087773A"/>
    <w:rsid w:val="00877B0B"/>
    <w:rsid w:val="00880121"/>
    <w:rsid w:val="008809AE"/>
    <w:rsid w:val="00881332"/>
    <w:rsid w:val="0088185C"/>
    <w:rsid w:val="0088192E"/>
    <w:rsid w:val="00881F8B"/>
    <w:rsid w:val="0088208B"/>
    <w:rsid w:val="0088214A"/>
    <w:rsid w:val="0088253A"/>
    <w:rsid w:val="008825AB"/>
    <w:rsid w:val="008825CD"/>
    <w:rsid w:val="00882CF6"/>
    <w:rsid w:val="00882DAD"/>
    <w:rsid w:val="00882E12"/>
    <w:rsid w:val="0088313D"/>
    <w:rsid w:val="008834A2"/>
    <w:rsid w:val="0088390A"/>
    <w:rsid w:val="00883F74"/>
    <w:rsid w:val="0088403A"/>
    <w:rsid w:val="008843B9"/>
    <w:rsid w:val="008843F5"/>
    <w:rsid w:val="00884830"/>
    <w:rsid w:val="00884848"/>
    <w:rsid w:val="00884E5B"/>
    <w:rsid w:val="00884F32"/>
    <w:rsid w:val="00885263"/>
    <w:rsid w:val="0088625F"/>
    <w:rsid w:val="00886878"/>
    <w:rsid w:val="008868A8"/>
    <w:rsid w:val="008869B1"/>
    <w:rsid w:val="00886AC8"/>
    <w:rsid w:val="00886C15"/>
    <w:rsid w:val="00886EAF"/>
    <w:rsid w:val="008873A0"/>
    <w:rsid w:val="008902F2"/>
    <w:rsid w:val="00890BEB"/>
    <w:rsid w:val="00890D93"/>
    <w:rsid w:val="0089103C"/>
    <w:rsid w:val="008916FE"/>
    <w:rsid w:val="00891D35"/>
    <w:rsid w:val="00891E34"/>
    <w:rsid w:val="00891F3B"/>
    <w:rsid w:val="0089266A"/>
    <w:rsid w:val="00892C4B"/>
    <w:rsid w:val="00892C7F"/>
    <w:rsid w:val="00892D0E"/>
    <w:rsid w:val="00892DA5"/>
    <w:rsid w:val="00892DEE"/>
    <w:rsid w:val="00892ECB"/>
    <w:rsid w:val="00892FA4"/>
    <w:rsid w:val="00893665"/>
    <w:rsid w:val="00893AAE"/>
    <w:rsid w:val="00894009"/>
    <w:rsid w:val="00894822"/>
    <w:rsid w:val="008949B1"/>
    <w:rsid w:val="00894B16"/>
    <w:rsid w:val="00895396"/>
    <w:rsid w:val="008954DE"/>
    <w:rsid w:val="008959A5"/>
    <w:rsid w:val="00896995"/>
    <w:rsid w:val="00896DA2"/>
    <w:rsid w:val="00896DCD"/>
    <w:rsid w:val="00896E2B"/>
    <w:rsid w:val="00896F55"/>
    <w:rsid w:val="0089713E"/>
    <w:rsid w:val="008971A4"/>
    <w:rsid w:val="008972AA"/>
    <w:rsid w:val="008972FB"/>
    <w:rsid w:val="008A014D"/>
    <w:rsid w:val="008A033F"/>
    <w:rsid w:val="008A0621"/>
    <w:rsid w:val="008A07D1"/>
    <w:rsid w:val="008A08DA"/>
    <w:rsid w:val="008A0900"/>
    <w:rsid w:val="008A0A19"/>
    <w:rsid w:val="008A0A26"/>
    <w:rsid w:val="008A0CF0"/>
    <w:rsid w:val="008A10F3"/>
    <w:rsid w:val="008A1A2F"/>
    <w:rsid w:val="008A2270"/>
    <w:rsid w:val="008A2507"/>
    <w:rsid w:val="008A27CD"/>
    <w:rsid w:val="008A28FA"/>
    <w:rsid w:val="008A2E81"/>
    <w:rsid w:val="008A3032"/>
    <w:rsid w:val="008A3049"/>
    <w:rsid w:val="008A306A"/>
    <w:rsid w:val="008A306E"/>
    <w:rsid w:val="008A3522"/>
    <w:rsid w:val="008A3F15"/>
    <w:rsid w:val="008A4171"/>
    <w:rsid w:val="008A42E9"/>
    <w:rsid w:val="008A43F3"/>
    <w:rsid w:val="008A447D"/>
    <w:rsid w:val="008A46D6"/>
    <w:rsid w:val="008A4887"/>
    <w:rsid w:val="008A4A49"/>
    <w:rsid w:val="008A4D60"/>
    <w:rsid w:val="008A53EE"/>
    <w:rsid w:val="008A5AA9"/>
    <w:rsid w:val="008A5C0F"/>
    <w:rsid w:val="008A6156"/>
    <w:rsid w:val="008A6703"/>
    <w:rsid w:val="008A67B2"/>
    <w:rsid w:val="008A6CF5"/>
    <w:rsid w:val="008A6FE4"/>
    <w:rsid w:val="008A714C"/>
    <w:rsid w:val="008A7373"/>
    <w:rsid w:val="008A751D"/>
    <w:rsid w:val="008A7696"/>
    <w:rsid w:val="008A7AA1"/>
    <w:rsid w:val="008B00BA"/>
    <w:rsid w:val="008B012A"/>
    <w:rsid w:val="008B0998"/>
    <w:rsid w:val="008B1036"/>
    <w:rsid w:val="008B10E4"/>
    <w:rsid w:val="008B126E"/>
    <w:rsid w:val="008B1596"/>
    <w:rsid w:val="008B16F0"/>
    <w:rsid w:val="008B31A6"/>
    <w:rsid w:val="008B3ACF"/>
    <w:rsid w:val="008B3BE7"/>
    <w:rsid w:val="008B3BFE"/>
    <w:rsid w:val="008B4062"/>
    <w:rsid w:val="008B4FCA"/>
    <w:rsid w:val="008B506A"/>
    <w:rsid w:val="008B56D7"/>
    <w:rsid w:val="008B5812"/>
    <w:rsid w:val="008B5977"/>
    <w:rsid w:val="008B6206"/>
    <w:rsid w:val="008B6218"/>
    <w:rsid w:val="008B6287"/>
    <w:rsid w:val="008B63EC"/>
    <w:rsid w:val="008B6E2F"/>
    <w:rsid w:val="008B7A43"/>
    <w:rsid w:val="008B7A80"/>
    <w:rsid w:val="008B7A9F"/>
    <w:rsid w:val="008C01CF"/>
    <w:rsid w:val="008C03FD"/>
    <w:rsid w:val="008C04B8"/>
    <w:rsid w:val="008C04D5"/>
    <w:rsid w:val="008C06A5"/>
    <w:rsid w:val="008C0807"/>
    <w:rsid w:val="008C09C4"/>
    <w:rsid w:val="008C0B7B"/>
    <w:rsid w:val="008C0D83"/>
    <w:rsid w:val="008C144D"/>
    <w:rsid w:val="008C1492"/>
    <w:rsid w:val="008C1598"/>
    <w:rsid w:val="008C165B"/>
    <w:rsid w:val="008C1C12"/>
    <w:rsid w:val="008C1C4E"/>
    <w:rsid w:val="008C1C76"/>
    <w:rsid w:val="008C1F44"/>
    <w:rsid w:val="008C20D9"/>
    <w:rsid w:val="008C219C"/>
    <w:rsid w:val="008C22F1"/>
    <w:rsid w:val="008C2446"/>
    <w:rsid w:val="008C256E"/>
    <w:rsid w:val="008C2593"/>
    <w:rsid w:val="008C2875"/>
    <w:rsid w:val="008C2FCC"/>
    <w:rsid w:val="008C340A"/>
    <w:rsid w:val="008C3A4A"/>
    <w:rsid w:val="008C3AAF"/>
    <w:rsid w:val="008C4014"/>
    <w:rsid w:val="008C4392"/>
    <w:rsid w:val="008C4496"/>
    <w:rsid w:val="008C44F9"/>
    <w:rsid w:val="008C476A"/>
    <w:rsid w:val="008C4857"/>
    <w:rsid w:val="008C507B"/>
    <w:rsid w:val="008C5C68"/>
    <w:rsid w:val="008C5CDB"/>
    <w:rsid w:val="008C5D53"/>
    <w:rsid w:val="008C5EAA"/>
    <w:rsid w:val="008C5F0F"/>
    <w:rsid w:val="008C6205"/>
    <w:rsid w:val="008C646F"/>
    <w:rsid w:val="008C65B6"/>
    <w:rsid w:val="008C6B6E"/>
    <w:rsid w:val="008C6C1C"/>
    <w:rsid w:val="008C73E8"/>
    <w:rsid w:val="008D016B"/>
    <w:rsid w:val="008D0258"/>
    <w:rsid w:val="008D0538"/>
    <w:rsid w:val="008D08DC"/>
    <w:rsid w:val="008D0EE3"/>
    <w:rsid w:val="008D12D0"/>
    <w:rsid w:val="008D12D7"/>
    <w:rsid w:val="008D1D6A"/>
    <w:rsid w:val="008D1FF2"/>
    <w:rsid w:val="008D2996"/>
    <w:rsid w:val="008D2AC2"/>
    <w:rsid w:val="008D3C8E"/>
    <w:rsid w:val="008D41F1"/>
    <w:rsid w:val="008D429B"/>
    <w:rsid w:val="008D4349"/>
    <w:rsid w:val="008D4374"/>
    <w:rsid w:val="008D45B1"/>
    <w:rsid w:val="008D4689"/>
    <w:rsid w:val="008D48FF"/>
    <w:rsid w:val="008D4C78"/>
    <w:rsid w:val="008D4D22"/>
    <w:rsid w:val="008D50EA"/>
    <w:rsid w:val="008D53A4"/>
    <w:rsid w:val="008D56D8"/>
    <w:rsid w:val="008D5D46"/>
    <w:rsid w:val="008D6133"/>
    <w:rsid w:val="008D61A7"/>
    <w:rsid w:val="008D61F2"/>
    <w:rsid w:val="008D64F1"/>
    <w:rsid w:val="008D6812"/>
    <w:rsid w:val="008D76CA"/>
    <w:rsid w:val="008E0007"/>
    <w:rsid w:val="008E0179"/>
    <w:rsid w:val="008E0374"/>
    <w:rsid w:val="008E0583"/>
    <w:rsid w:val="008E0CE9"/>
    <w:rsid w:val="008E126E"/>
    <w:rsid w:val="008E130E"/>
    <w:rsid w:val="008E1426"/>
    <w:rsid w:val="008E145C"/>
    <w:rsid w:val="008E16B0"/>
    <w:rsid w:val="008E1AA7"/>
    <w:rsid w:val="008E1D5A"/>
    <w:rsid w:val="008E2254"/>
    <w:rsid w:val="008E2589"/>
    <w:rsid w:val="008E2AAC"/>
    <w:rsid w:val="008E2B77"/>
    <w:rsid w:val="008E2D53"/>
    <w:rsid w:val="008E3825"/>
    <w:rsid w:val="008E3879"/>
    <w:rsid w:val="008E3DA5"/>
    <w:rsid w:val="008E3E4B"/>
    <w:rsid w:val="008E43A6"/>
    <w:rsid w:val="008E45E7"/>
    <w:rsid w:val="008E4710"/>
    <w:rsid w:val="008E4923"/>
    <w:rsid w:val="008E4EF9"/>
    <w:rsid w:val="008E557B"/>
    <w:rsid w:val="008E5A0C"/>
    <w:rsid w:val="008E5C7E"/>
    <w:rsid w:val="008E6286"/>
    <w:rsid w:val="008E62F5"/>
    <w:rsid w:val="008E632E"/>
    <w:rsid w:val="008E692A"/>
    <w:rsid w:val="008E693F"/>
    <w:rsid w:val="008E6DFC"/>
    <w:rsid w:val="008E6F6F"/>
    <w:rsid w:val="008E71F0"/>
    <w:rsid w:val="008E720C"/>
    <w:rsid w:val="008E7710"/>
    <w:rsid w:val="008E7A20"/>
    <w:rsid w:val="008E7A26"/>
    <w:rsid w:val="008F082F"/>
    <w:rsid w:val="008F0909"/>
    <w:rsid w:val="008F0A1E"/>
    <w:rsid w:val="008F0FD3"/>
    <w:rsid w:val="008F104E"/>
    <w:rsid w:val="008F13D6"/>
    <w:rsid w:val="008F1E9C"/>
    <w:rsid w:val="008F2795"/>
    <w:rsid w:val="008F2A0E"/>
    <w:rsid w:val="008F2DE7"/>
    <w:rsid w:val="008F2F6F"/>
    <w:rsid w:val="008F31E9"/>
    <w:rsid w:val="008F3320"/>
    <w:rsid w:val="008F356B"/>
    <w:rsid w:val="008F35D0"/>
    <w:rsid w:val="008F3AB7"/>
    <w:rsid w:val="008F3D19"/>
    <w:rsid w:val="008F3D6C"/>
    <w:rsid w:val="008F3F3F"/>
    <w:rsid w:val="008F4846"/>
    <w:rsid w:val="008F485A"/>
    <w:rsid w:val="008F4E06"/>
    <w:rsid w:val="008F55CC"/>
    <w:rsid w:val="008F58B6"/>
    <w:rsid w:val="008F660E"/>
    <w:rsid w:val="008F6791"/>
    <w:rsid w:val="008F67EC"/>
    <w:rsid w:val="008F6978"/>
    <w:rsid w:val="008F6980"/>
    <w:rsid w:val="008F7C79"/>
    <w:rsid w:val="008F7D12"/>
    <w:rsid w:val="008F7DB1"/>
    <w:rsid w:val="00900285"/>
    <w:rsid w:val="0090028B"/>
    <w:rsid w:val="009002E7"/>
    <w:rsid w:val="009003D0"/>
    <w:rsid w:val="009003ED"/>
    <w:rsid w:val="00900461"/>
    <w:rsid w:val="00900D4D"/>
    <w:rsid w:val="009010DF"/>
    <w:rsid w:val="00901176"/>
    <w:rsid w:val="00901180"/>
    <w:rsid w:val="009012FC"/>
    <w:rsid w:val="0090131A"/>
    <w:rsid w:val="009015DD"/>
    <w:rsid w:val="00901D76"/>
    <w:rsid w:val="00902338"/>
    <w:rsid w:val="00902AD0"/>
    <w:rsid w:val="00902D59"/>
    <w:rsid w:val="009030EF"/>
    <w:rsid w:val="009032BC"/>
    <w:rsid w:val="00903483"/>
    <w:rsid w:val="0090380F"/>
    <w:rsid w:val="00903835"/>
    <w:rsid w:val="00903865"/>
    <w:rsid w:val="00903F34"/>
    <w:rsid w:val="00904255"/>
    <w:rsid w:val="009042F9"/>
    <w:rsid w:val="00904623"/>
    <w:rsid w:val="009046F5"/>
    <w:rsid w:val="00905449"/>
    <w:rsid w:val="009055C4"/>
    <w:rsid w:val="009056BA"/>
    <w:rsid w:val="009056DA"/>
    <w:rsid w:val="009059F9"/>
    <w:rsid w:val="00905A5C"/>
    <w:rsid w:val="00905C0A"/>
    <w:rsid w:val="00906028"/>
    <w:rsid w:val="009063D4"/>
    <w:rsid w:val="00906B32"/>
    <w:rsid w:val="00906D6E"/>
    <w:rsid w:val="00906DFF"/>
    <w:rsid w:val="00906E4E"/>
    <w:rsid w:val="00906F6E"/>
    <w:rsid w:val="00907110"/>
    <w:rsid w:val="00907827"/>
    <w:rsid w:val="0090795B"/>
    <w:rsid w:val="00911342"/>
    <w:rsid w:val="00911BC8"/>
    <w:rsid w:val="00911D3A"/>
    <w:rsid w:val="009122F8"/>
    <w:rsid w:val="009123DC"/>
    <w:rsid w:val="009124CB"/>
    <w:rsid w:val="00912568"/>
    <w:rsid w:val="00912915"/>
    <w:rsid w:val="00912CAE"/>
    <w:rsid w:val="00912F1A"/>
    <w:rsid w:val="009132BB"/>
    <w:rsid w:val="00913870"/>
    <w:rsid w:val="00913A0B"/>
    <w:rsid w:val="0091416C"/>
    <w:rsid w:val="009142F6"/>
    <w:rsid w:val="00914F48"/>
    <w:rsid w:val="009151EE"/>
    <w:rsid w:val="009152CF"/>
    <w:rsid w:val="009154B5"/>
    <w:rsid w:val="00915520"/>
    <w:rsid w:val="009155DC"/>
    <w:rsid w:val="009155F7"/>
    <w:rsid w:val="00915EA2"/>
    <w:rsid w:val="00915F3D"/>
    <w:rsid w:val="00916681"/>
    <w:rsid w:val="00917281"/>
    <w:rsid w:val="009172FC"/>
    <w:rsid w:val="0091784D"/>
    <w:rsid w:val="009178DF"/>
    <w:rsid w:val="00917AA0"/>
    <w:rsid w:val="00917BCC"/>
    <w:rsid w:val="00920033"/>
    <w:rsid w:val="009201BD"/>
    <w:rsid w:val="0092075A"/>
    <w:rsid w:val="00920AE6"/>
    <w:rsid w:val="00920B55"/>
    <w:rsid w:val="00921131"/>
    <w:rsid w:val="009213FB"/>
    <w:rsid w:val="00922615"/>
    <w:rsid w:val="00922980"/>
    <w:rsid w:val="00922B82"/>
    <w:rsid w:val="00922D8A"/>
    <w:rsid w:val="00922E7F"/>
    <w:rsid w:val="00922FDC"/>
    <w:rsid w:val="009233FC"/>
    <w:rsid w:val="0092363C"/>
    <w:rsid w:val="009238F7"/>
    <w:rsid w:val="00923C63"/>
    <w:rsid w:val="00923E1F"/>
    <w:rsid w:val="00924605"/>
    <w:rsid w:val="009247F5"/>
    <w:rsid w:val="00924966"/>
    <w:rsid w:val="00924EBC"/>
    <w:rsid w:val="00924F81"/>
    <w:rsid w:val="0092501C"/>
    <w:rsid w:val="0092505E"/>
    <w:rsid w:val="00925717"/>
    <w:rsid w:val="00925875"/>
    <w:rsid w:val="009258B0"/>
    <w:rsid w:val="00925E66"/>
    <w:rsid w:val="009263C1"/>
    <w:rsid w:val="00926AB2"/>
    <w:rsid w:val="00926DD4"/>
    <w:rsid w:val="009272B8"/>
    <w:rsid w:val="00927471"/>
    <w:rsid w:val="00927593"/>
    <w:rsid w:val="00927A95"/>
    <w:rsid w:val="00927C17"/>
    <w:rsid w:val="00927C43"/>
    <w:rsid w:val="00927C5C"/>
    <w:rsid w:val="00927CA6"/>
    <w:rsid w:val="00927CEF"/>
    <w:rsid w:val="00930A54"/>
    <w:rsid w:val="00931648"/>
    <w:rsid w:val="00931854"/>
    <w:rsid w:val="00931CE0"/>
    <w:rsid w:val="0093226B"/>
    <w:rsid w:val="009324E2"/>
    <w:rsid w:val="0093262B"/>
    <w:rsid w:val="00932B80"/>
    <w:rsid w:val="00932CFD"/>
    <w:rsid w:val="00933080"/>
    <w:rsid w:val="00933589"/>
    <w:rsid w:val="0093394F"/>
    <w:rsid w:val="00933B58"/>
    <w:rsid w:val="00933FF6"/>
    <w:rsid w:val="0093409F"/>
    <w:rsid w:val="009343E5"/>
    <w:rsid w:val="009348FE"/>
    <w:rsid w:val="0093493D"/>
    <w:rsid w:val="00934AA9"/>
    <w:rsid w:val="00935085"/>
    <w:rsid w:val="0093510F"/>
    <w:rsid w:val="0093523F"/>
    <w:rsid w:val="0093553B"/>
    <w:rsid w:val="009356BA"/>
    <w:rsid w:val="00935723"/>
    <w:rsid w:val="0093575B"/>
    <w:rsid w:val="009357D0"/>
    <w:rsid w:val="00935864"/>
    <w:rsid w:val="00935D1D"/>
    <w:rsid w:val="00936715"/>
    <w:rsid w:val="00936D0E"/>
    <w:rsid w:val="00936E79"/>
    <w:rsid w:val="00937264"/>
    <w:rsid w:val="009373D3"/>
    <w:rsid w:val="009376F6"/>
    <w:rsid w:val="00940237"/>
    <w:rsid w:val="0094075F"/>
    <w:rsid w:val="009407FE"/>
    <w:rsid w:val="009408C8"/>
    <w:rsid w:val="00940B92"/>
    <w:rsid w:val="00940D71"/>
    <w:rsid w:val="00940FAF"/>
    <w:rsid w:val="009410B7"/>
    <w:rsid w:val="009413D6"/>
    <w:rsid w:val="00941596"/>
    <w:rsid w:val="00941710"/>
    <w:rsid w:val="009417AA"/>
    <w:rsid w:val="00941A2E"/>
    <w:rsid w:val="00941E3E"/>
    <w:rsid w:val="00942066"/>
    <w:rsid w:val="00942436"/>
    <w:rsid w:val="00942944"/>
    <w:rsid w:val="00942D30"/>
    <w:rsid w:val="00942F78"/>
    <w:rsid w:val="009430D6"/>
    <w:rsid w:val="00943263"/>
    <w:rsid w:val="00943358"/>
    <w:rsid w:val="0094344C"/>
    <w:rsid w:val="00943D7E"/>
    <w:rsid w:val="00944217"/>
    <w:rsid w:val="00945827"/>
    <w:rsid w:val="00945B1A"/>
    <w:rsid w:val="00945F98"/>
    <w:rsid w:val="009462BB"/>
    <w:rsid w:val="009468B5"/>
    <w:rsid w:val="00946A2C"/>
    <w:rsid w:val="00946F1E"/>
    <w:rsid w:val="00946FCB"/>
    <w:rsid w:val="009472B6"/>
    <w:rsid w:val="00947716"/>
    <w:rsid w:val="009478F2"/>
    <w:rsid w:val="009479D1"/>
    <w:rsid w:val="00947BFD"/>
    <w:rsid w:val="00947D7E"/>
    <w:rsid w:val="00950019"/>
    <w:rsid w:val="00950146"/>
    <w:rsid w:val="009507C1"/>
    <w:rsid w:val="009509A6"/>
    <w:rsid w:val="00950B3A"/>
    <w:rsid w:val="00950E1B"/>
    <w:rsid w:val="00950F35"/>
    <w:rsid w:val="0095154F"/>
    <w:rsid w:val="00951563"/>
    <w:rsid w:val="009515CA"/>
    <w:rsid w:val="00951CD9"/>
    <w:rsid w:val="00951FA4"/>
    <w:rsid w:val="009522EE"/>
    <w:rsid w:val="00952623"/>
    <w:rsid w:val="00952AC8"/>
    <w:rsid w:val="00952B49"/>
    <w:rsid w:val="00952B8A"/>
    <w:rsid w:val="00952CA0"/>
    <w:rsid w:val="00952FFB"/>
    <w:rsid w:val="00953422"/>
    <w:rsid w:val="009535DE"/>
    <w:rsid w:val="0095361B"/>
    <w:rsid w:val="00953A5A"/>
    <w:rsid w:val="00953D70"/>
    <w:rsid w:val="00954726"/>
    <w:rsid w:val="00954740"/>
    <w:rsid w:val="009548F4"/>
    <w:rsid w:val="00954A61"/>
    <w:rsid w:val="00954DDD"/>
    <w:rsid w:val="00954FE0"/>
    <w:rsid w:val="00955B2E"/>
    <w:rsid w:val="00956110"/>
    <w:rsid w:val="00956D44"/>
    <w:rsid w:val="00956F14"/>
    <w:rsid w:val="0095738D"/>
    <w:rsid w:val="00957603"/>
    <w:rsid w:val="009576F3"/>
    <w:rsid w:val="009577E3"/>
    <w:rsid w:val="009579A2"/>
    <w:rsid w:val="00957A1D"/>
    <w:rsid w:val="00957BC0"/>
    <w:rsid w:val="00957E46"/>
    <w:rsid w:val="00957E81"/>
    <w:rsid w:val="009600F7"/>
    <w:rsid w:val="00960369"/>
    <w:rsid w:val="0096068A"/>
    <w:rsid w:val="009606E1"/>
    <w:rsid w:val="009607A2"/>
    <w:rsid w:val="009610A9"/>
    <w:rsid w:val="00961671"/>
    <w:rsid w:val="0096176B"/>
    <w:rsid w:val="00961AC1"/>
    <w:rsid w:val="00961BBD"/>
    <w:rsid w:val="009620C5"/>
    <w:rsid w:val="0096276A"/>
    <w:rsid w:val="0096277D"/>
    <w:rsid w:val="00962BC9"/>
    <w:rsid w:val="00963F8F"/>
    <w:rsid w:val="00964013"/>
    <w:rsid w:val="00964263"/>
    <w:rsid w:val="0096487B"/>
    <w:rsid w:val="00964990"/>
    <w:rsid w:val="00964A07"/>
    <w:rsid w:val="00964F58"/>
    <w:rsid w:val="00965462"/>
    <w:rsid w:val="00965885"/>
    <w:rsid w:val="00965B76"/>
    <w:rsid w:val="00965CD1"/>
    <w:rsid w:val="00966934"/>
    <w:rsid w:val="00966C39"/>
    <w:rsid w:val="00966E0C"/>
    <w:rsid w:val="009679EC"/>
    <w:rsid w:val="0097029C"/>
    <w:rsid w:val="00970350"/>
    <w:rsid w:val="00970460"/>
    <w:rsid w:val="009705CC"/>
    <w:rsid w:val="009705F4"/>
    <w:rsid w:val="00970874"/>
    <w:rsid w:val="00970B08"/>
    <w:rsid w:val="009711FF"/>
    <w:rsid w:val="0097154A"/>
    <w:rsid w:val="0097168A"/>
    <w:rsid w:val="00971B48"/>
    <w:rsid w:val="00971BFC"/>
    <w:rsid w:val="00971F97"/>
    <w:rsid w:val="00972103"/>
    <w:rsid w:val="00972583"/>
    <w:rsid w:val="00972963"/>
    <w:rsid w:val="00972ECE"/>
    <w:rsid w:val="0097326D"/>
    <w:rsid w:val="009734B3"/>
    <w:rsid w:val="00973500"/>
    <w:rsid w:val="009735C9"/>
    <w:rsid w:val="009736FE"/>
    <w:rsid w:val="00973AC4"/>
    <w:rsid w:val="00973B6F"/>
    <w:rsid w:val="00973E29"/>
    <w:rsid w:val="0097488A"/>
    <w:rsid w:val="0097528C"/>
    <w:rsid w:val="009757D1"/>
    <w:rsid w:val="00975968"/>
    <w:rsid w:val="00975EB9"/>
    <w:rsid w:val="00976A76"/>
    <w:rsid w:val="00976AB7"/>
    <w:rsid w:val="00976ABE"/>
    <w:rsid w:val="00977212"/>
    <w:rsid w:val="009777B0"/>
    <w:rsid w:val="00980381"/>
    <w:rsid w:val="00980754"/>
    <w:rsid w:val="009808FC"/>
    <w:rsid w:val="00980D7C"/>
    <w:rsid w:val="00980F74"/>
    <w:rsid w:val="00980FAC"/>
    <w:rsid w:val="00981035"/>
    <w:rsid w:val="0098123B"/>
    <w:rsid w:val="0098133A"/>
    <w:rsid w:val="00981372"/>
    <w:rsid w:val="00981443"/>
    <w:rsid w:val="00981535"/>
    <w:rsid w:val="009825C8"/>
    <w:rsid w:val="00982B12"/>
    <w:rsid w:val="009832B9"/>
    <w:rsid w:val="009832E0"/>
    <w:rsid w:val="00983531"/>
    <w:rsid w:val="00983A38"/>
    <w:rsid w:val="0098409F"/>
    <w:rsid w:val="009840AE"/>
    <w:rsid w:val="0098437C"/>
    <w:rsid w:val="00984616"/>
    <w:rsid w:val="0098474E"/>
    <w:rsid w:val="00984A55"/>
    <w:rsid w:val="00984B8B"/>
    <w:rsid w:val="00984BF1"/>
    <w:rsid w:val="0098527B"/>
    <w:rsid w:val="00985473"/>
    <w:rsid w:val="00985537"/>
    <w:rsid w:val="00985945"/>
    <w:rsid w:val="00985C01"/>
    <w:rsid w:val="00986130"/>
    <w:rsid w:val="00986438"/>
    <w:rsid w:val="00986885"/>
    <w:rsid w:val="00986B6C"/>
    <w:rsid w:val="00987663"/>
    <w:rsid w:val="009877E3"/>
    <w:rsid w:val="00987A81"/>
    <w:rsid w:val="00987C5E"/>
    <w:rsid w:val="00987CB5"/>
    <w:rsid w:val="009903BA"/>
    <w:rsid w:val="009903D4"/>
    <w:rsid w:val="00990ADD"/>
    <w:rsid w:val="009911B1"/>
    <w:rsid w:val="00991698"/>
    <w:rsid w:val="009917DA"/>
    <w:rsid w:val="009917E7"/>
    <w:rsid w:val="00991AE2"/>
    <w:rsid w:val="00991C17"/>
    <w:rsid w:val="00991C34"/>
    <w:rsid w:val="00991E73"/>
    <w:rsid w:val="00991EC6"/>
    <w:rsid w:val="00991F66"/>
    <w:rsid w:val="00991FFF"/>
    <w:rsid w:val="0099274D"/>
    <w:rsid w:val="00992D1E"/>
    <w:rsid w:val="00992D66"/>
    <w:rsid w:val="00993405"/>
    <w:rsid w:val="009934CE"/>
    <w:rsid w:val="0099370D"/>
    <w:rsid w:val="00993E88"/>
    <w:rsid w:val="009946A1"/>
    <w:rsid w:val="009947D7"/>
    <w:rsid w:val="00994819"/>
    <w:rsid w:val="00994A54"/>
    <w:rsid w:val="00994C7B"/>
    <w:rsid w:val="00994D1A"/>
    <w:rsid w:val="0099509C"/>
    <w:rsid w:val="00995231"/>
    <w:rsid w:val="00995D8E"/>
    <w:rsid w:val="009965D6"/>
    <w:rsid w:val="00996728"/>
    <w:rsid w:val="009967D0"/>
    <w:rsid w:val="009969E4"/>
    <w:rsid w:val="009969FD"/>
    <w:rsid w:val="0099743F"/>
    <w:rsid w:val="00997DB4"/>
    <w:rsid w:val="00997EB2"/>
    <w:rsid w:val="009A036C"/>
    <w:rsid w:val="009A054C"/>
    <w:rsid w:val="009A06F5"/>
    <w:rsid w:val="009A0788"/>
    <w:rsid w:val="009A0E92"/>
    <w:rsid w:val="009A0EF5"/>
    <w:rsid w:val="009A0FF3"/>
    <w:rsid w:val="009A12D9"/>
    <w:rsid w:val="009A1417"/>
    <w:rsid w:val="009A17EC"/>
    <w:rsid w:val="009A1A4A"/>
    <w:rsid w:val="009A231F"/>
    <w:rsid w:val="009A236A"/>
    <w:rsid w:val="009A25D3"/>
    <w:rsid w:val="009A2E01"/>
    <w:rsid w:val="009A3345"/>
    <w:rsid w:val="009A33B2"/>
    <w:rsid w:val="009A3690"/>
    <w:rsid w:val="009A3D83"/>
    <w:rsid w:val="009A3F02"/>
    <w:rsid w:val="009A4B99"/>
    <w:rsid w:val="009A555A"/>
    <w:rsid w:val="009A5827"/>
    <w:rsid w:val="009A5C31"/>
    <w:rsid w:val="009A63AE"/>
    <w:rsid w:val="009A64C5"/>
    <w:rsid w:val="009A667A"/>
    <w:rsid w:val="009A6DB2"/>
    <w:rsid w:val="009A759F"/>
    <w:rsid w:val="009A7743"/>
    <w:rsid w:val="009A79BB"/>
    <w:rsid w:val="009A7C0F"/>
    <w:rsid w:val="009A7FD0"/>
    <w:rsid w:val="009B01D4"/>
    <w:rsid w:val="009B02E4"/>
    <w:rsid w:val="009B03DF"/>
    <w:rsid w:val="009B0675"/>
    <w:rsid w:val="009B069F"/>
    <w:rsid w:val="009B183F"/>
    <w:rsid w:val="009B1B2E"/>
    <w:rsid w:val="009B1E3A"/>
    <w:rsid w:val="009B1EAB"/>
    <w:rsid w:val="009B208B"/>
    <w:rsid w:val="009B21AE"/>
    <w:rsid w:val="009B2232"/>
    <w:rsid w:val="009B2307"/>
    <w:rsid w:val="009B2505"/>
    <w:rsid w:val="009B2A43"/>
    <w:rsid w:val="009B2D84"/>
    <w:rsid w:val="009B2E5B"/>
    <w:rsid w:val="009B3BD3"/>
    <w:rsid w:val="009B3E2E"/>
    <w:rsid w:val="009B3FBB"/>
    <w:rsid w:val="009B4B4A"/>
    <w:rsid w:val="009B4D62"/>
    <w:rsid w:val="009B50F4"/>
    <w:rsid w:val="009B5608"/>
    <w:rsid w:val="009B5BAE"/>
    <w:rsid w:val="009B636F"/>
    <w:rsid w:val="009B63FB"/>
    <w:rsid w:val="009B6609"/>
    <w:rsid w:val="009B6AF0"/>
    <w:rsid w:val="009B6B7E"/>
    <w:rsid w:val="009B6CE4"/>
    <w:rsid w:val="009B6D7F"/>
    <w:rsid w:val="009B75F8"/>
    <w:rsid w:val="009B7EE8"/>
    <w:rsid w:val="009C0579"/>
    <w:rsid w:val="009C09F3"/>
    <w:rsid w:val="009C0CD2"/>
    <w:rsid w:val="009C0E43"/>
    <w:rsid w:val="009C0F4E"/>
    <w:rsid w:val="009C10E9"/>
    <w:rsid w:val="009C128C"/>
    <w:rsid w:val="009C1604"/>
    <w:rsid w:val="009C1893"/>
    <w:rsid w:val="009C1B42"/>
    <w:rsid w:val="009C1B46"/>
    <w:rsid w:val="009C1E96"/>
    <w:rsid w:val="009C20A8"/>
    <w:rsid w:val="009C24C9"/>
    <w:rsid w:val="009C256E"/>
    <w:rsid w:val="009C292D"/>
    <w:rsid w:val="009C2E0C"/>
    <w:rsid w:val="009C3726"/>
    <w:rsid w:val="009C3903"/>
    <w:rsid w:val="009C4094"/>
    <w:rsid w:val="009C4770"/>
    <w:rsid w:val="009C4DE6"/>
    <w:rsid w:val="009C4F80"/>
    <w:rsid w:val="009C50F1"/>
    <w:rsid w:val="009C5398"/>
    <w:rsid w:val="009C55DE"/>
    <w:rsid w:val="009C5A51"/>
    <w:rsid w:val="009C5F0C"/>
    <w:rsid w:val="009C622F"/>
    <w:rsid w:val="009C624E"/>
    <w:rsid w:val="009C643B"/>
    <w:rsid w:val="009C67C0"/>
    <w:rsid w:val="009C6C4B"/>
    <w:rsid w:val="009C788D"/>
    <w:rsid w:val="009C79DD"/>
    <w:rsid w:val="009C7B31"/>
    <w:rsid w:val="009C7CD5"/>
    <w:rsid w:val="009C7D32"/>
    <w:rsid w:val="009D0088"/>
    <w:rsid w:val="009D0814"/>
    <w:rsid w:val="009D0B9E"/>
    <w:rsid w:val="009D0BD7"/>
    <w:rsid w:val="009D0C18"/>
    <w:rsid w:val="009D1035"/>
    <w:rsid w:val="009D1059"/>
    <w:rsid w:val="009D13D0"/>
    <w:rsid w:val="009D1A36"/>
    <w:rsid w:val="009D1B09"/>
    <w:rsid w:val="009D1B4C"/>
    <w:rsid w:val="009D2068"/>
    <w:rsid w:val="009D2836"/>
    <w:rsid w:val="009D28F0"/>
    <w:rsid w:val="009D2DD7"/>
    <w:rsid w:val="009D31CB"/>
    <w:rsid w:val="009D363D"/>
    <w:rsid w:val="009D38C0"/>
    <w:rsid w:val="009D41CC"/>
    <w:rsid w:val="009D4D46"/>
    <w:rsid w:val="009D5130"/>
    <w:rsid w:val="009D51D1"/>
    <w:rsid w:val="009D5285"/>
    <w:rsid w:val="009D575B"/>
    <w:rsid w:val="009D5788"/>
    <w:rsid w:val="009D5A47"/>
    <w:rsid w:val="009D6113"/>
    <w:rsid w:val="009D6193"/>
    <w:rsid w:val="009D670C"/>
    <w:rsid w:val="009D6BC5"/>
    <w:rsid w:val="009D6D5D"/>
    <w:rsid w:val="009D6DA4"/>
    <w:rsid w:val="009D7158"/>
    <w:rsid w:val="009D7470"/>
    <w:rsid w:val="009D74D1"/>
    <w:rsid w:val="009D7624"/>
    <w:rsid w:val="009D7861"/>
    <w:rsid w:val="009D7D33"/>
    <w:rsid w:val="009E01FC"/>
    <w:rsid w:val="009E0317"/>
    <w:rsid w:val="009E0419"/>
    <w:rsid w:val="009E0C8D"/>
    <w:rsid w:val="009E13F9"/>
    <w:rsid w:val="009E1999"/>
    <w:rsid w:val="009E1E79"/>
    <w:rsid w:val="009E1E81"/>
    <w:rsid w:val="009E208B"/>
    <w:rsid w:val="009E237C"/>
    <w:rsid w:val="009E24E7"/>
    <w:rsid w:val="009E258B"/>
    <w:rsid w:val="009E25A0"/>
    <w:rsid w:val="009E2D79"/>
    <w:rsid w:val="009E2F1C"/>
    <w:rsid w:val="009E305C"/>
    <w:rsid w:val="009E324D"/>
    <w:rsid w:val="009E39E2"/>
    <w:rsid w:val="009E3BFE"/>
    <w:rsid w:val="009E4376"/>
    <w:rsid w:val="009E4478"/>
    <w:rsid w:val="009E459A"/>
    <w:rsid w:val="009E46BF"/>
    <w:rsid w:val="009E4DD4"/>
    <w:rsid w:val="009E4E3F"/>
    <w:rsid w:val="009E5B49"/>
    <w:rsid w:val="009E600C"/>
    <w:rsid w:val="009E6224"/>
    <w:rsid w:val="009E64B8"/>
    <w:rsid w:val="009E698B"/>
    <w:rsid w:val="009E69E8"/>
    <w:rsid w:val="009E6D4A"/>
    <w:rsid w:val="009E7B36"/>
    <w:rsid w:val="009E7C04"/>
    <w:rsid w:val="009E7C2F"/>
    <w:rsid w:val="009E7CC2"/>
    <w:rsid w:val="009F004F"/>
    <w:rsid w:val="009F0118"/>
    <w:rsid w:val="009F044B"/>
    <w:rsid w:val="009F06AA"/>
    <w:rsid w:val="009F0BB6"/>
    <w:rsid w:val="009F0BED"/>
    <w:rsid w:val="009F0F0A"/>
    <w:rsid w:val="009F0F77"/>
    <w:rsid w:val="009F0FBE"/>
    <w:rsid w:val="009F1067"/>
    <w:rsid w:val="009F1070"/>
    <w:rsid w:val="009F1547"/>
    <w:rsid w:val="009F169E"/>
    <w:rsid w:val="009F1A08"/>
    <w:rsid w:val="009F1A1B"/>
    <w:rsid w:val="009F1B6F"/>
    <w:rsid w:val="009F1CB5"/>
    <w:rsid w:val="009F1CBF"/>
    <w:rsid w:val="009F1E07"/>
    <w:rsid w:val="009F1E7A"/>
    <w:rsid w:val="009F2542"/>
    <w:rsid w:val="009F29E6"/>
    <w:rsid w:val="009F2BAF"/>
    <w:rsid w:val="009F2D6C"/>
    <w:rsid w:val="009F3350"/>
    <w:rsid w:val="009F3475"/>
    <w:rsid w:val="009F3836"/>
    <w:rsid w:val="009F3B7D"/>
    <w:rsid w:val="009F3BF4"/>
    <w:rsid w:val="009F47E8"/>
    <w:rsid w:val="009F4806"/>
    <w:rsid w:val="009F4ABA"/>
    <w:rsid w:val="009F4E65"/>
    <w:rsid w:val="009F50F4"/>
    <w:rsid w:val="009F5415"/>
    <w:rsid w:val="009F55FF"/>
    <w:rsid w:val="009F561B"/>
    <w:rsid w:val="009F636C"/>
    <w:rsid w:val="009F6FEF"/>
    <w:rsid w:val="009F702D"/>
    <w:rsid w:val="009F71BE"/>
    <w:rsid w:val="009F7257"/>
    <w:rsid w:val="009F76E3"/>
    <w:rsid w:val="009F7706"/>
    <w:rsid w:val="009F7AA4"/>
    <w:rsid w:val="00A00317"/>
    <w:rsid w:val="00A008C2"/>
    <w:rsid w:val="00A00963"/>
    <w:rsid w:val="00A00D5D"/>
    <w:rsid w:val="00A01159"/>
    <w:rsid w:val="00A0167D"/>
    <w:rsid w:val="00A01913"/>
    <w:rsid w:val="00A01D0B"/>
    <w:rsid w:val="00A02078"/>
    <w:rsid w:val="00A02A9B"/>
    <w:rsid w:val="00A02BBE"/>
    <w:rsid w:val="00A02D14"/>
    <w:rsid w:val="00A03456"/>
    <w:rsid w:val="00A03560"/>
    <w:rsid w:val="00A03ABC"/>
    <w:rsid w:val="00A03C7A"/>
    <w:rsid w:val="00A042AB"/>
    <w:rsid w:val="00A04CFB"/>
    <w:rsid w:val="00A0511F"/>
    <w:rsid w:val="00A0530B"/>
    <w:rsid w:val="00A053F6"/>
    <w:rsid w:val="00A05782"/>
    <w:rsid w:val="00A057DA"/>
    <w:rsid w:val="00A057FA"/>
    <w:rsid w:val="00A0598C"/>
    <w:rsid w:val="00A05C7D"/>
    <w:rsid w:val="00A063D6"/>
    <w:rsid w:val="00A066AE"/>
    <w:rsid w:val="00A06BEF"/>
    <w:rsid w:val="00A0711B"/>
    <w:rsid w:val="00A109AC"/>
    <w:rsid w:val="00A10DD9"/>
    <w:rsid w:val="00A1117F"/>
    <w:rsid w:val="00A11ACF"/>
    <w:rsid w:val="00A11D21"/>
    <w:rsid w:val="00A11F1F"/>
    <w:rsid w:val="00A12565"/>
    <w:rsid w:val="00A12758"/>
    <w:rsid w:val="00A12914"/>
    <w:rsid w:val="00A12C6B"/>
    <w:rsid w:val="00A12E41"/>
    <w:rsid w:val="00A12FE6"/>
    <w:rsid w:val="00A13151"/>
    <w:rsid w:val="00A13321"/>
    <w:rsid w:val="00A13376"/>
    <w:rsid w:val="00A1345C"/>
    <w:rsid w:val="00A13525"/>
    <w:rsid w:val="00A13E8A"/>
    <w:rsid w:val="00A1407B"/>
    <w:rsid w:val="00A14117"/>
    <w:rsid w:val="00A145F3"/>
    <w:rsid w:val="00A14757"/>
    <w:rsid w:val="00A147AD"/>
    <w:rsid w:val="00A14828"/>
    <w:rsid w:val="00A149A2"/>
    <w:rsid w:val="00A149FA"/>
    <w:rsid w:val="00A14E09"/>
    <w:rsid w:val="00A15050"/>
    <w:rsid w:val="00A153A1"/>
    <w:rsid w:val="00A15719"/>
    <w:rsid w:val="00A158AE"/>
    <w:rsid w:val="00A15FB8"/>
    <w:rsid w:val="00A16587"/>
    <w:rsid w:val="00A166F7"/>
    <w:rsid w:val="00A16F34"/>
    <w:rsid w:val="00A171AF"/>
    <w:rsid w:val="00A17630"/>
    <w:rsid w:val="00A17DF0"/>
    <w:rsid w:val="00A2058C"/>
    <w:rsid w:val="00A20C1A"/>
    <w:rsid w:val="00A20D01"/>
    <w:rsid w:val="00A20F78"/>
    <w:rsid w:val="00A21383"/>
    <w:rsid w:val="00A218F1"/>
    <w:rsid w:val="00A21A7D"/>
    <w:rsid w:val="00A21BA4"/>
    <w:rsid w:val="00A21D1D"/>
    <w:rsid w:val="00A21DAC"/>
    <w:rsid w:val="00A22250"/>
    <w:rsid w:val="00A22380"/>
    <w:rsid w:val="00A2263C"/>
    <w:rsid w:val="00A228E6"/>
    <w:rsid w:val="00A23594"/>
    <w:rsid w:val="00A23625"/>
    <w:rsid w:val="00A2436A"/>
    <w:rsid w:val="00A24394"/>
    <w:rsid w:val="00A2448F"/>
    <w:rsid w:val="00A24DEE"/>
    <w:rsid w:val="00A24F2A"/>
    <w:rsid w:val="00A258FB"/>
    <w:rsid w:val="00A25AB1"/>
    <w:rsid w:val="00A25BCD"/>
    <w:rsid w:val="00A26060"/>
    <w:rsid w:val="00A26560"/>
    <w:rsid w:val="00A2691C"/>
    <w:rsid w:val="00A269C9"/>
    <w:rsid w:val="00A27070"/>
    <w:rsid w:val="00A27271"/>
    <w:rsid w:val="00A273E8"/>
    <w:rsid w:val="00A2784E"/>
    <w:rsid w:val="00A27CED"/>
    <w:rsid w:val="00A27DEE"/>
    <w:rsid w:val="00A30C52"/>
    <w:rsid w:val="00A311E9"/>
    <w:rsid w:val="00A31563"/>
    <w:rsid w:val="00A315A8"/>
    <w:rsid w:val="00A31803"/>
    <w:rsid w:val="00A31932"/>
    <w:rsid w:val="00A31B93"/>
    <w:rsid w:val="00A31F82"/>
    <w:rsid w:val="00A3202D"/>
    <w:rsid w:val="00A321B1"/>
    <w:rsid w:val="00A32217"/>
    <w:rsid w:val="00A32EB7"/>
    <w:rsid w:val="00A3376E"/>
    <w:rsid w:val="00A33BD6"/>
    <w:rsid w:val="00A34802"/>
    <w:rsid w:val="00A3489E"/>
    <w:rsid w:val="00A34C4D"/>
    <w:rsid w:val="00A34E06"/>
    <w:rsid w:val="00A34FFC"/>
    <w:rsid w:val="00A35910"/>
    <w:rsid w:val="00A35ADD"/>
    <w:rsid w:val="00A35B9D"/>
    <w:rsid w:val="00A35C46"/>
    <w:rsid w:val="00A35D32"/>
    <w:rsid w:val="00A36749"/>
    <w:rsid w:val="00A36BD6"/>
    <w:rsid w:val="00A36F9C"/>
    <w:rsid w:val="00A373F7"/>
    <w:rsid w:val="00A375EF"/>
    <w:rsid w:val="00A37711"/>
    <w:rsid w:val="00A377CD"/>
    <w:rsid w:val="00A37896"/>
    <w:rsid w:val="00A37F6A"/>
    <w:rsid w:val="00A40643"/>
    <w:rsid w:val="00A407C8"/>
    <w:rsid w:val="00A40839"/>
    <w:rsid w:val="00A40938"/>
    <w:rsid w:val="00A40981"/>
    <w:rsid w:val="00A40A12"/>
    <w:rsid w:val="00A41757"/>
    <w:rsid w:val="00A41D13"/>
    <w:rsid w:val="00A423C4"/>
    <w:rsid w:val="00A4294B"/>
    <w:rsid w:val="00A42EA9"/>
    <w:rsid w:val="00A43195"/>
    <w:rsid w:val="00A4342E"/>
    <w:rsid w:val="00A43B8C"/>
    <w:rsid w:val="00A440E1"/>
    <w:rsid w:val="00A444BE"/>
    <w:rsid w:val="00A444FC"/>
    <w:rsid w:val="00A44C0A"/>
    <w:rsid w:val="00A4509B"/>
    <w:rsid w:val="00A457C2"/>
    <w:rsid w:val="00A45BB0"/>
    <w:rsid w:val="00A45BB3"/>
    <w:rsid w:val="00A46751"/>
    <w:rsid w:val="00A46CD5"/>
    <w:rsid w:val="00A46D7F"/>
    <w:rsid w:val="00A46DD8"/>
    <w:rsid w:val="00A470A0"/>
    <w:rsid w:val="00A47356"/>
    <w:rsid w:val="00A475C5"/>
    <w:rsid w:val="00A478A9"/>
    <w:rsid w:val="00A47B68"/>
    <w:rsid w:val="00A47D10"/>
    <w:rsid w:val="00A51415"/>
    <w:rsid w:val="00A5155D"/>
    <w:rsid w:val="00A51751"/>
    <w:rsid w:val="00A517B6"/>
    <w:rsid w:val="00A517F5"/>
    <w:rsid w:val="00A519B0"/>
    <w:rsid w:val="00A51E31"/>
    <w:rsid w:val="00A5221B"/>
    <w:rsid w:val="00A525A0"/>
    <w:rsid w:val="00A526BD"/>
    <w:rsid w:val="00A528C2"/>
    <w:rsid w:val="00A52B18"/>
    <w:rsid w:val="00A53929"/>
    <w:rsid w:val="00A53930"/>
    <w:rsid w:val="00A53A5D"/>
    <w:rsid w:val="00A53B8A"/>
    <w:rsid w:val="00A53BEB"/>
    <w:rsid w:val="00A5433A"/>
    <w:rsid w:val="00A549A2"/>
    <w:rsid w:val="00A54AFD"/>
    <w:rsid w:val="00A54E69"/>
    <w:rsid w:val="00A54EB9"/>
    <w:rsid w:val="00A55857"/>
    <w:rsid w:val="00A55F6A"/>
    <w:rsid w:val="00A5656E"/>
    <w:rsid w:val="00A567BB"/>
    <w:rsid w:val="00A56BFE"/>
    <w:rsid w:val="00A56F2F"/>
    <w:rsid w:val="00A5710D"/>
    <w:rsid w:val="00A576D3"/>
    <w:rsid w:val="00A603C7"/>
    <w:rsid w:val="00A60C98"/>
    <w:rsid w:val="00A60F2A"/>
    <w:rsid w:val="00A60FC9"/>
    <w:rsid w:val="00A61080"/>
    <w:rsid w:val="00A61652"/>
    <w:rsid w:val="00A61833"/>
    <w:rsid w:val="00A61A32"/>
    <w:rsid w:val="00A61B06"/>
    <w:rsid w:val="00A61C8F"/>
    <w:rsid w:val="00A61F1A"/>
    <w:rsid w:val="00A61FF9"/>
    <w:rsid w:val="00A62113"/>
    <w:rsid w:val="00A62736"/>
    <w:rsid w:val="00A62A01"/>
    <w:rsid w:val="00A62B40"/>
    <w:rsid w:val="00A62BD7"/>
    <w:rsid w:val="00A62D1C"/>
    <w:rsid w:val="00A62F8B"/>
    <w:rsid w:val="00A630BE"/>
    <w:rsid w:val="00A63230"/>
    <w:rsid w:val="00A63379"/>
    <w:rsid w:val="00A633EB"/>
    <w:rsid w:val="00A63774"/>
    <w:rsid w:val="00A6386A"/>
    <w:rsid w:val="00A64872"/>
    <w:rsid w:val="00A64AD7"/>
    <w:rsid w:val="00A65256"/>
    <w:rsid w:val="00A65529"/>
    <w:rsid w:val="00A65900"/>
    <w:rsid w:val="00A65B15"/>
    <w:rsid w:val="00A65D04"/>
    <w:rsid w:val="00A65EE2"/>
    <w:rsid w:val="00A66321"/>
    <w:rsid w:val="00A6649C"/>
    <w:rsid w:val="00A666DC"/>
    <w:rsid w:val="00A66711"/>
    <w:rsid w:val="00A66796"/>
    <w:rsid w:val="00A66B9B"/>
    <w:rsid w:val="00A66DCF"/>
    <w:rsid w:val="00A67357"/>
    <w:rsid w:val="00A674DE"/>
    <w:rsid w:val="00A6759C"/>
    <w:rsid w:val="00A6760C"/>
    <w:rsid w:val="00A67639"/>
    <w:rsid w:val="00A67923"/>
    <w:rsid w:val="00A70033"/>
    <w:rsid w:val="00A7015E"/>
    <w:rsid w:val="00A702ED"/>
    <w:rsid w:val="00A70837"/>
    <w:rsid w:val="00A70932"/>
    <w:rsid w:val="00A70F53"/>
    <w:rsid w:val="00A711A4"/>
    <w:rsid w:val="00A71345"/>
    <w:rsid w:val="00A713ED"/>
    <w:rsid w:val="00A7148E"/>
    <w:rsid w:val="00A714B8"/>
    <w:rsid w:val="00A71906"/>
    <w:rsid w:val="00A71AD2"/>
    <w:rsid w:val="00A721A7"/>
    <w:rsid w:val="00A72227"/>
    <w:rsid w:val="00A723E0"/>
    <w:rsid w:val="00A72619"/>
    <w:rsid w:val="00A72C4F"/>
    <w:rsid w:val="00A72C65"/>
    <w:rsid w:val="00A72CE7"/>
    <w:rsid w:val="00A73331"/>
    <w:rsid w:val="00A73505"/>
    <w:rsid w:val="00A738C1"/>
    <w:rsid w:val="00A73A3B"/>
    <w:rsid w:val="00A73B02"/>
    <w:rsid w:val="00A73DA8"/>
    <w:rsid w:val="00A74256"/>
    <w:rsid w:val="00A744BD"/>
    <w:rsid w:val="00A74751"/>
    <w:rsid w:val="00A74901"/>
    <w:rsid w:val="00A75031"/>
    <w:rsid w:val="00A75580"/>
    <w:rsid w:val="00A75733"/>
    <w:rsid w:val="00A757F8"/>
    <w:rsid w:val="00A76308"/>
    <w:rsid w:val="00A768B4"/>
    <w:rsid w:val="00A76DE3"/>
    <w:rsid w:val="00A776C7"/>
    <w:rsid w:val="00A77717"/>
    <w:rsid w:val="00A7781A"/>
    <w:rsid w:val="00A77AC1"/>
    <w:rsid w:val="00A77C08"/>
    <w:rsid w:val="00A802DF"/>
    <w:rsid w:val="00A80ACB"/>
    <w:rsid w:val="00A81384"/>
    <w:rsid w:val="00A813FB"/>
    <w:rsid w:val="00A81492"/>
    <w:rsid w:val="00A81515"/>
    <w:rsid w:val="00A81527"/>
    <w:rsid w:val="00A815B9"/>
    <w:rsid w:val="00A82058"/>
    <w:rsid w:val="00A82735"/>
    <w:rsid w:val="00A82756"/>
    <w:rsid w:val="00A82BFD"/>
    <w:rsid w:val="00A82D90"/>
    <w:rsid w:val="00A82DE6"/>
    <w:rsid w:val="00A8365D"/>
    <w:rsid w:val="00A83BCA"/>
    <w:rsid w:val="00A841DD"/>
    <w:rsid w:val="00A84AE7"/>
    <w:rsid w:val="00A84B52"/>
    <w:rsid w:val="00A84DAF"/>
    <w:rsid w:val="00A84E8D"/>
    <w:rsid w:val="00A851E6"/>
    <w:rsid w:val="00A85E5C"/>
    <w:rsid w:val="00A86576"/>
    <w:rsid w:val="00A8668D"/>
    <w:rsid w:val="00A8669C"/>
    <w:rsid w:val="00A8672E"/>
    <w:rsid w:val="00A869B0"/>
    <w:rsid w:val="00A869B8"/>
    <w:rsid w:val="00A86C13"/>
    <w:rsid w:val="00A86FA6"/>
    <w:rsid w:val="00A87053"/>
    <w:rsid w:val="00A8734C"/>
    <w:rsid w:val="00A876D7"/>
    <w:rsid w:val="00A87AC5"/>
    <w:rsid w:val="00A90420"/>
    <w:rsid w:val="00A9044B"/>
    <w:rsid w:val="00A91051"/>
    <w:rsid w:val="00A910CB"/>
    <w:rsid w:val="00A91BF0"/>
    <w:rsid w:val="00A91DC1"/>
    <w:rsid w:val="00A9289F"/>
    <w:rsid w:val="00A92908"/>
    <w:rsid w:val="00A929F4"/>
    <w:rsid w:val="00A929FD"/>
    <w:rsid w:val="00A92C1D"/>
    <w:rsid w:val="00A92C22"/>
    <w:rsid w:val="00A92DCC"/>
    <w:rsid w:val="00A92FA0"/>
    <w:rsid w:val="00A93307"/>
    <w:rsid w:val="00A93633"/>
    <w:rsid w:val="00A938E8"/>
    <w:rsid w:val="00A93CB5"/>
    <w:rsid w:val="00A943CC"/>
    <w:rsid w:val="00A9443C"/>
    <w:rsid w:val="00A946D2"/>
    <w:rsid w:val="00A94824"/>
    <w:rsid w:val="00A9546A"/>
    <w:rsid w:val="00A95565"/>
    <w:rsid w:val="00A955A1"/>
    <w:rsid w:val="00A9587F"/>
    <w:rsid w:val="00A95B11"/>
    <w:rsid w:val="00A961D7"/>
    <w:rsid w:val="00A963A5"/>
    <w:rsid w:val="00A9696D"/>
    <w:rsid w:val="00A96A31"/>
    <w:rsid w:val="00A97082"/>
    <w:rsid w:val="00A972DB"/>
    <w:rsid w:val="00A97301"/>
    <w:rsid w:val="00A975CC"/>
    <w:rsid w:val="00A9774D"/>
    <w:rsid w:val="00A97A90"/>
    <w:rsid w:val="00A97BEE"/>
    <w:rsid w:val="00A97F1C"/>
    <w:rsid w:val="00AA0175"/>
    <w:rsid w:val="00AA03A9"/>
    <w:rsid w:val="00AA0413"/>
    <w:rsid w:val="00AA0965"/>
    <w:rsid w:val="00AA0A36"/>
    <w:rsid w:val="00AA0B33"/>
    <w:rsid w:val="00AA0C77"/>
    <w:rsid w:val="00AA13C3"/>
    <w:rsid w:val="00AA13F1"/>
    <w:rsid w:val="00AA146B"/>
    <w:rsid w:val="00AA1D27"/>
    <w:rsid w:val="00AA204C"/>
    <w:rsid w:val="00AA2D57"/>
    <w:rsid w:val="00AA2E65"/>
    <w:rsid w:val="00AA3000"/>
    <w:rsid w:val="00AA3941"/>
    <w:rsid w:val="00AA3C70"/>
    <w:rsid w:val="00AA40F7"/>
    <w:rsid w:val="00AA4262"/>
    <w:rsid w:val="00AA433E"/>
    <w:rsid w:val="00AA43EB"/>
    <w:rsid w:val="00AA4482"/>
    <w:rsid w:val="00AA464A"/>
    <w:rsid w:val="00AA538E"/>
    <w:rsid w:val="00AA56D0"/>
    <w:rsid w:val="00AA588E"/>
    <w:rsid w:val="00AA5E4E"/>
    <w:rsid w:val="00AA5FDB"/>
    <w:rsid w:val="00AA610F"/>
    <w:rsid w:val="00AA6223"/>
    <w:rsid w:val="00AA63A5"/>
    <w:rsid w:val="00AA6418"/>
    <w:rsid w:val="00AA652B"/>
    <w:rsid w:val="00AA6BC0"/>
    <w:rsid w:val="00AA7233"/>
    <w:rsid w:val="00AB008E"/>
    <w:rsid w:val="00AB01BE"/>
    <w:rsid w:val="00AB056E"/>
    <w:rsid w:val="00AB09DB"/>
    <w:rsid w:val="00AB0A5D"/>
    <w:rsid w:val="00AB0C9F"/>
    <w:rsid w:val="00AB0F63"/>
    <w:rsid w:val="00AB0F65"/>
    <w:rsid w:val="00AB10D6"/>
    <w:rsid w:val="00AB1104"/>
    <w:rsid w:val="00AB143A"/>
    <w:rsid w:val="00AB155C"/>
    <w:rsid w:val="00AB1693"/>
    <w:rsid w:val="00AB20F2"/>
    <w:rsid w:val="00AB230C"/>
    <w:rsid w:val="00AB2940"/>
    <w:rsid w:val="00AB2C71"/>
    <w:rsid w:val="00AB2C82"/>
    <w:rsid w:val="00AB2D61"/>
    <w:rsid w:val="00AB30D8"/>
    <w:rsid w:val="00AB315C"/>
    <w:rsid w:val="00AB34F6"/>
    <w:rsid w:val="00AB3798"/>
    <w:rsid w:val="00AB3971"/>
    <w:rsid w:val="00AB3E3E"/>
    <w:rsid w:val="00AB433D"/>
    <w:rsid w:val="00AB45CA"/>
    <w:rsid w:val="00AB4745"/>
    <w:rsid w:val="00AB47A8"/>
    <w:rsid w:val="00AB54D2"/>
    <w:rsid w:val="00AB5BCE"/>
    <w:rsid w:val="00AB5D69"/>
    <w:rsid w:val="00AB6064"/>
    <w:rsid w:val="00AB61C0"/>
    <w:rsid w:val="00AB62B4"/>
    <w:rsid w:val="00AB632A"/>
    <w:rsid w:val="00AB67DC"/>
    <w:rsid w:val="00AB67E1"/>
    <w:rsid w:val="00AB68F9"/>
    <w:rsid w:val="00AB6F6F"/>
    <w:rsid w:val="00AB717A"/>
    <w:rsid w:val="00AB71C6"/>
    <w:rsid w:val="00AB7C18"/>
    <w:rsid w:val="00AB7E96"/>
    <w:rsid w:val="00AC003B"/>
    <w:rsid w:val="00AC003C"/>
    <w:rsid w:val="00AC0103"/>
    <w:rsid w:val="00AC098B"/>
    <w:rsid w:val="00AC0A0A"/>
    <w:rsid w:val="00AC0A36"/>
    <w:rsid w:val="00AC0A8E"/>
    <w:rsid w:val="00AC0F1E"/>
    <w:rsid w:val="00AC0F37"/>
    <w:rsid w:val="00AC1043"/>
    <w:rsid w:val="00AC11A7"/>
    <w:rsid w:val="00AC13E7"/>
    <w:rsid w:val="00AC1404"/>
    <w:rsid w:val="00AC14BD"/>
    <w:rsid w:val="00AC19FF"/>
    <w:rsid w:val="00AC223D"/>
    <w:rsid w:val="00AC277B"/>
    <w:rsid w:val="00AC2A73"/>
    <w:rsid w:val="00AC2CDF"/>
    <w:rsid w:val="00AC2D3A"/>
    <w:rsid w:val="00AC2E8D"/>
    <w:rsid w:val="00AC316F"/>
    <w:rsid w:val="00AC31EA"/>
    <w:rsid w:val="00AC32B7"/>
    <w:rsid w:val="00AC32FB"/>
    <w:rsid w:val="00AC38BD"/>
    <w:rsid w:val="00AC3C71"/>
    <w:rsid w:val="00AC458A"/>
    <w:rsid w:val="00AC4881"/>
    <w:rsid w:val="00AC4A71"/>
    <w:rsid w:val="00AC4A91"/>
    <w:rsid w:val="00AC50A2"/>
    <w:rsid w:val="00AC52F0"/>
    <w:rsid w:val="00AC54A8"/>
    <w:rsid w:val="00AC5AF8"/>
    <w:rsid w:val="00AC5BF4"/>
    <w:rsid w:val="00AC5F91"/>
    <w:rsid w:val="00AC68B3"/>
    <w:rsid w:val="00AC6E82"/>
    <w:rsid w:val="00AC7363"/>
    <w:rsid w:val="00AC73DC"/>
    <w:rsid w:val="00AC7B1B"/>
    <w:rsid w:val="00AC7F3A"/>
    <w:rsid w:val="00AD039F"/>
    <w:rsid w:val="00AD0464"/>
    <w:rsid w:val="00AD0559"/>
    <w:rsid w:val="00AD077D"/>
    <w:rsid w:val="00AD09B5"/>
    <w:rsid w:val="00AD09FD"/>
    <w:rsid w:val="00AD0F88"/>
    <w:rsid w:val="00AD10DF"/>
    <w:rsid w:val="00AD1113"/>
    <w:rsid w:val="00AD11A5"/>
    <w:rsid w:val="00AD1258"/>
    <w:rsid w:val="00AD1EC4"/>
    <w:rsid w:val="00AD24F3"/>
    <w:rsid w:val="00AD2DDF"/>
    <w:rsid w:val="00AD3018"/>
    <w:rsid w:val="00AD37E0"/>
    <w:rsid w:val="00AD3847"/>
    <w:rsid w:val="00AD3902"/>
    <w:rsid w:val="00AD3C07"/>
    <w:rsid w:val="00AD3E47"/>
    <w:rsid w:val="00AD3E5D"/>
    <w:rsid w:val="00AD3F61"/>
    <w:rsid w:val="00AD4716"/>
    <w:rsid w:val="00AD49D1"/>
    <w:rsid w:val="00AD4D95"/>
    <w:rsid w:val="00AD4FEE"/>
    <w:rsid w:val="00AD505D"/>
    <w:rsid w:val="00AD523F"/>
    <w:rsid w:val="00AD5255"/>
    <w:rsid w:val="00AD57F8"/>
    <w:rsid w:val="00AD58A0"/>
    <w:rsid w:val="00AD5F26"/>
    <w:rsid w:val="00AD6010"/>
    <w:rsid w:val="00AD6132"/>
    <w:rsid w:val="00AD6258"/>
    <w:rsid w:val="00AD67CB"/>
    <w:rsid w:val="00AD6D22"/>
    <w:rsid w:val="00AD6DFC"/>
    <w:rsid w:val="00AD770A"/>
    <w:rsid w:val="00AD7746"/>
    <w:rsid w:val="00AD77F9"/>
    <w:rsid w:val="00AE0075"/>
    <w:rsid w:val="00AE03CC"/>
    <w:rsid w:val="00AE0551"/>
    <w:rsid w:val="00AE05F8"/>
    <w:rsid w:val="00AE1264"/>
    <w:rsid w:val="00AE218D"/>
    <w:rsid w:val="00AE2212"/>
    <w:rsid w:val="00AE319E"/>
    <w:rsid w:val="00AE339E"/>
    <w:rsid w:val="00AE33C0"/>
    <w:rsid w:val="00AE33FF"/>
    <w:rsid w:val="00AE3483"/>
    <w:rsid w:val="00AE36F9"/>
    <w:rsid w:val="00AE3881"/>
    <w:rsid w:val="00AE38D4"/>
    <w:rsid w:val="00AE3C2B"/>
    <w:rsid w:val="00AE46B3"/>
    <w:rsid w:val="00AE4854"/>
    <w:rsid w:val="00AE499D"/>
    <w:rsid w:val="00AE4AE2"/>
    <w:rsid w:val="00AE4B14"/>
    <w:rsid w:val="00AE4E99"/>
    <w:rsid w:val="00AE4FF8"/>
    <w:rsid w:val="00AE5753"/>
    <w:rsid w:val="00AE5E94"/>
    <w:rsid w:val="00AE63F9"/>
    <w:rsid w:val="00AE64D5"/>
    <w:rsid w:val="00AE6794"/>
    <w:rsid w:val="00AE6856"/>
    <w:rsid w:val="00AE6D12"/>
    <w:rsid w:val="00AE6F55"/>
    <w:rsid w:val="00AE7928"/>
    <w:rsid w:val="00AF0220"/>
    <w:rsid w:val="00AF026B"/>
    <w:rsid w:val="00AF05DB"/>
    <w:rsid w:val="00AF06D5"/>
    <w:rsid w:val="00AF09DD"/>
    <w:rsid w:val="00AF0A33"/>
    <w:rsid w:val="00AF0DD3"/>
    <w:rsid w:val="00AF15B0"/>
    <w:rsid w:val="00AF1846"/>
    <w:rsid w:val="00AF246B"/>
    <w:rsid w:val="00AF2632"/>
    <w:rsid w:val="00AF2B88"/>
    <w:rsid w:val="00AF33EE"/>
    <w:rsid w:val="00AF3A0F"/>
    <w:rsid w:val="00AF3C3E"/>
    <w:rsid w:val="00AF3F10"/>
    <w:rsid w:val="00AF4042"/>
    <w:rsid w:val="00AF40DE"/>
    <w:rsid w:val="00AF4375"/>
    <w:rsid w:val="00AF4817"/>
    <w:rsid w:val="00AF4830"/>
    <w:rsid w:val="00AF48F3"/>
    <w:rsid w:val="00AF4BEE"/>
    <w:rsid w:val="00AF4C0C"/>
    <w:rsid w:val="00AF4E49"/>
    <w:rsid w:val="00AF56BE"/>
    <w:rsid w:val="00AF5B27"/>
    <w:rsid w:val="00AF5B2F"/>
    <w:rsid w:val="00AF6067"/>
    <w:rsid w:val="00AF60EC"/>
    <w:rsid w:val="00AF61F1"/>
    <w:rsid w:val="00AF6557"/>
    <w:rsid w:val="00AF6637"/>
    <w:rsid w:val="00AF666D"/>
    <w:rsid w:val="00AF6F96"/>
    <w:rsid w:val="00AF7DB4"/>
    <w:rsid w:val="00B00513"/>
    <w:rsid w:val="00B0052C"/>
    <w:rsid w:val="00B00827"/>
    <w:rsid w:val="00B009CC"/>
    <w:rsid w:val="00B00B92"/>
    <w:rsid w:val="00B00E0D"/>
    <w:rsid w:val="00B01192"/>
    <w:rsid w:val="00B016BB"/>
    <w:rsid w:val="00B01A94"/>
    <w:rsid w:val="00B01CEC"/>
    <w:rsid w:val="00B02066"/>
    <w:rsid w:val="00B024CA"/>
    <w:rsid w:val="00B024F0"/>
    <w:rsid w:val="00B02655"/>
    <w:rsid w:val="00B026E9"/>
    <w:rsid w:val="00B028A7"/>
    <w:rsid w:val="00B028BC"/>
    <w:rsid w:val="00B029C9"/>
    <w:rsid w:val="00B02A2D"/>
    <w:rsid w:val="00B02B99"/>
    <w:rsid w:val="00B02CF8"/>
    <w:rsid w:val="00B02E72"/>
    <w:rsid w:val="00B0339B"/>
    <w:rsid w:val="00B04768"/>
    <w:rsid w:val="00B04B53"/>
    <w:rsid w:val="00B04FA5"/>
    <w:rsid w:val="00B05094"/>
    <w:rsid w:val="00B05102"/>
    <w:rsid w:val="00B05227"/>
    <w:rsid w:val="00B05261"/>
    <w:rsid w:val="00B053D6"/>
    <w:rsid w:val="00B054DE"/>
    <w:rsid w:val="00B058C6"/>
    <w:rsid w:val="00B06130"/>
    <w:rsid w:val="00B06B4C"/>
    <w:rsid w:val="00B06CDC"/>
    <w:rsid w:val="00B06F57"/>
    <w:rsid w:val="00B0706B"/>
    <w:rsid w:val="00B071DF"/>
    <w:rsid w:val="00B0739D"/>
    <w:rsid w:val="00B07504"/>
    <w:rsid w:val="00B079F9"/>
    <w:rsid w:val="00B07BBB"/>
    <w:rsid w:val="00B10263"/>
    <w:rsid w:val="00B102DD"/>
    <w:rsid w:val="00B10376"/>
    <w:rsid w:val="00B105D3"/>
    <w:rsid w:val="00B1060F"/>
    <w:rsid w:val="00B109EA"/>
    <w:rsid w:val="00B10B3C"/>
    <w:rsid w:val="00B10D36"/>
    <w:rsid w:val="00B10FA7"/>
    <w:rsid w:val="00B1128E"/>
    <w:rsid w:val="00B11485"/>
    <w:rsid w:val="00B11A26"/>
    <w:rsid w:val="00B11C26"/>
    <w:rsid w:val="00B11DEE"/>
    <w:rsid w:val="00B11FD7"/>
    <w:rsid w:val="00B12343"/>
    <w:rsid w:val="00B12661"/>
    <w:rsid w:val="00B1269A"/>
    <w:rsid w:val="00B1276F"/>
    <w:rsid w:val="00B12D23"/>
    <w:rsid w:val="00B131B1"/>
    <w:rsid w:val="00B1335F"/>
    <w:rsid w:val="00B1348E"/>
    <w:rsid w:val="00B13544"/>
    <w:rsid w:val="00B142AA"/>
    <w:rsid w:val="00B14A9B"/>
    <w:rsid w:val="00B14BD1"/>
    <w:rsid w:val="00B14BDB"/>
    <w:rsid w:val="00B14E4B"/>
    <w:rsid w:val="00B1527F"/>
    <w:rsid w:val="00B15884"/>
    <w:rsid w:val="00B15DCD"/>
    <w:rsid w:val="00B15F9A"/>
    <w:rsid w:val="00B165A0"/>
    <w:rsid w:val="00B16A34"/>
    <w:rsid w:val="00B16BC7"/>
    <w:rsid w:val="00B17121"/>
    <w:rsid w:val="00B17445"/>
    <w:rsid w:val="00B17635"/>
    <w:rsid w:val="00B179BA"/>
    <w:rsid w:val="00B17F59"/>
    <w:rsid w:val="00B2042B"/>
    <w:rsid w:val="00B2079A"/>
    <w:rsid w:val="00B207ED"/>
    <w:rsid w:val="00B2083E"/>
    <w:rsid w:val="00B20C58"/>
    <w:rsid w:val="00B20DF8"/>
    <w:rsid w:val="00B20EF8"/>
    <w:rsid w:val="00B213F2"/>
    <w:rsid w:val="00B21401"/>
    <w:rsid w:val="00B2153C"/>
    <w:rsid w:val="00B217D6"/>
    <w:rsid w:val="00B21CB5"/>
    <w:rsid w:val="00B22A4C"/>
    <w:rsid w:val="00B236E2"/>
    <w:rsid w:val="00B23933"/>
    <w:rsid w:val="00B244BD"/>
    <w:rsid w:val="00B24787"/>
    <w:rsid w:val="00B2489D"/>
    <w:rsid w:val="00B249C5"/>
    <w:rsid w:val="00B24FAF"/>
    <w:rsid w:val="00B24FB0"/>
    <w:rsid w:val="00B25113"/>
    <w:rsid w:val="00B25453"/>
    <w:rsid w:val="00B2572F"/>
    <w:rsid w:val="00B257DA"/>
    <w:rsid w:val="00B25813"/>
    <w:rsid w:val="00B25C5E"/>
    <w:rsid w:val="00B25E56"/>
    <w:rsid w:val="00B25ED6"/>
    <w:rsid w:val="00B26968"/>
    <w:rsid w:val="00B26E48"/>
    <w:rsid w:val="00B273E5"/>
    <w:rsid w:val="00B274F7"/>
    <w:rsid w:val="00B27DA7"/>
    <w:rsid w:val="00B27E1D"/>
    <w:rsid w:val="00B30080"/>
    <w:rsid w:val="00B3042C"/>
    <w:rsid w:val="00B3057E"/>
    <w:rsid w:val="00B30730"/>
    <w:rsid w:val="00B31425"/>
    <w:rsid w:val="00B315BC"/>
    <w:rsid w:val="00B31B9C"/>
    <w:rsid w:val="00B31C96"/>
    <w:rsid w:val="00B31CD6"/>
    <w:rsid w:val="00B3202A"/>
    <w:rsid w:val="00B3239B"/>
    <w:rsid w:val="00B33618"/>
    <w:rsid w:val="00B33653"/>
    <w:rsid w:val="00B33AA8"/>
    <w:rsid w:val="00B33C57"/>
    <w:rsid w:val="00B33C8D"/>
    <w:rsid w:val="00B34205"/>
    <w:rsid w:val="00B34260"/>
    <w:rsid w:val="00B344DA"/>
    <w:rsid w:val="00B34753"/>
    <w:rsid w:val="00B347C2"/>
    <w:rsid w:val="00B34D58"/>
    <w:rsid w:val="00B34D6C"/>
    <w:rsid w:val="00B34DCA"/>
    <w:rsid w:val="00B354CE"/>
    <w:rsid w:val="00B35559"/>
    <w:rsid w:val="00B3559C"/>
    <w:rsid w:val="00B35D7E"/>
    <w:rsid w:val="00B36171"/>
    <w:rsid w:val="00B363F2"/>
    <w:rsid w:val="00B36678"/>
    <w:rsid w:val="00B36A96"/>
    <w:rsid w:val="00B36B03"/>
    <w:rsid w:val="00B36BF8"/>
    <w:rsid w:val="00B3725B"/>
    <w:rsid w:val="00B37432"/>
    <w:rsid w:val="00B37824"/>
    <w:rsid w:val="00B37F79"/>
    <w:rsid w:val="00B40417"/>
    <w:rsid w:val="00B4041C"/>
    <w:rsid w:val="00B4068F"/>
    <w:rsid w:val="00B40E80"/>
    <w:rsid w:val="00B40E9F"/>
    <w:rsid w:val="00B4118A"/>
    <w:rsid w:val="00B4145D"/>
    <w:rsid w:val="00B41516"/>
    <w:rsid w:val="00B416C6"/>
    <w:rsid w:val="00B419CA"/>
    <w:rsid w:val="00B41C10"/>
    <w:rsid w:val="00B42C50"/>
    <w:rsid w:val="00B42E5C"/>
    <w:rsid w:val="00B4346F"/>
    <w:rsid w:val="00B43485"/>
    <w:rsid w:val="00B43B92"/>
    <w:rsid w:val="00B43C84"/>
    <w:rsid w:val="00B44658"/>
    <w:rsid w:val="00B44FDB"/>
    <w:rsid w:val="00B45080"/>
    <w:rsid w:val="00B4511E"/>
    <w:rsid w:val="00B456BD"/>
    <w:rsid w:val="00B45711"/>
    <w:rsid w:val="00B458C5"/>
    <w:rsid w:val="00B45F29"/>
    <w:rsid w:val="00B466DA"/>
    <w:rsid w:val="00B46905"/>
    <w:rsid w:val="00B4696B"/>
    <w:rsid w:val="00B46A92"/>
    <w:rsid w:val="00B47113"/>
    <w:rsid w:val="00B47CC6"/>
    <w:rsid w:val="00B47F3F"/>
    <w:rsid w:val="00B50314"/>
    <w:rsid w:val="00B505B6"/>
    <w:rsid w:val="00B50C79"/>
    <w:rsid w:val="00B50CA0"/>
    <w:rsid w:val="00B51514"/>
    <w:rsid w:val="00B5200E"/>
    <w:rsid w:val="00B526F6"/>
    <w:rsid w:val="00B52BFF"/>
    <w:rsid w:val="00B530B3"/>
    <w:rsid w:val="00B5333A"/>
    <w:rsid w:val="00B537FD"/>
    <w:rsid w:val="00B5384F"/>
    <w:rsid w:val="00B53C37"/>
    <w:rsid w:val="00B53CCF"/>
    <w:rsid w:val="00B543A0"/>
    <w:rsid w:val="00B54421"/>
    <w:rsid w:val="00B549FB"/>
    <w:rsid w:val="00B552E3"/>
    <w:rsid w:val="00B5544F"/>
    <w:rsid w:val="00B55553"/>
    <w:rsid w:val="00B55787"/>
    <w:rsid w:val="00B55C9A"/>
    <w:rsid w:val="00B55CFB"/>
    <w:rsid w:val="00B55E5D"/>
    <w:rsid w:val="00B564E7"/>
    <w:rsid w:val="00B56826"/>
    <w:rsid w:val="00B56DB3"/>
    <w:rsid w:val="00B56E3E"/>
    <w:rsid w:val="00B56E71"/>
    <w:rsid w:val="00B56FF7"/>
    <w:rsid w:val="00B57577"/>
    <w:rsid w:val="00B5766E"/>
    <w:rsid w:val="00B577A8"/>
    <w:rsid w:val="00B577EA"/>
    <w:rsid w:val="00B577FF"/>
    <w:rsid w:val="00B57D58"/>
    <w:rsid w:val="00B57FF7"/>
    <w:rsid w:val="00B606DC"/>
    <w:rsid w:val="00B6093F"/>
    <w:rsid w:val="00B6099B"/>
    <w:rsid w:val="00B609C3"/>
    <w:rsid w:val="00B60A36"/>
    <w:rsid w:val="00B60A8B"/>
    <w:rsid w:val="00B60B74"/>
    <w:rsid w:val="00B60FBC"/>
    <w:rsid w:val="00B610E3"/>
    <w:rsid w:val="00B61155"/>
    <w:rsid w:val="00B61C3C"/>
    <w:rsid w:val="00B6285D"/>
    <w:rsid w:val="00B6293C"/>
    <w:rsid w:val="00B62AC2"/>
    <w:rsid w:val="00B63371"/>
    <w:rsid w:val="00B63385"/>
    <w:rsid w:val="00B63EB9"/>
    <w:rsid w:val="00B64407"/>
    <w:rsid w:val="00B6468B"/>
    <w:rsid w:val="00B6514E"/>
    <w:rsid w:val="00B65169"/>
    <w:rsid w:val="00B65409"/>
    <w:rsid w:val="00B654EB"/>
    <w:rsid w:val="00B65540"/>
    <w:rsid w:val="00B65F18"/>
    <w:rsid w:val="00B667B0"/>
    <w:rsid w:val="00B66867"/>
    <w:rsid w:val="00B66994"/>
    <w:rsid w:val="00B66C77"/>
    <w:rsid w:val="00B66EF5"/>
    <w:rsid w:val="00B6715A"/>
    <w:rsid w:val="00B67761"/>
    <w:rsid w:val="00B6785D"/>
    <w:rsid w:val="00B67A14"/>
    <w:rsid w:val="00B67BFA"/>
    <w:rsid w:val="00B67D62"/>
    <w:rsid w:val="00B67DEE"/>
    <w:rsid w:val="00B67E09"/>
    <w:rsid w:val="00B67E27"/>
    <w:rsid w:val="00B703F6"/>
    <w:rsid w:val="00B704AA"/>
    <w:rsid w:val="00B70754"/>
    <w:rsid w:val="00B70757"/>
    <w:rsid w:val="00B7079D"/>
    <w:rsid w:val="00B707FE"/>
    <w:rsid w:val="00B70E7F"/>
    <w:rsid w:val="00B70EAE"/>
    <w:rsid w:val="00B710D8"/>
    <w:rsid w:val="00B71A1E"/>
    <w:rsid w:val="00B71AFB"/>
    <w:rsid w:val="00B71F3A"/>
    <w:rsid w:val="00B727ED"/>
    <w:rsid w:val="00B7292C"/>
    <w:rsid w:val="00B72C8B"/>
    <w:rsid w:val="00B73368"/>
    <w:rsid w:val="00B73C97"/>
    <w:rsid w:val="00B74B8F"/>
    <w:rsid w:val="00B74E5A"/>
    <w:rsid w:val="00B757D1"/>
    <w:rsid w:val="00B76129"/>
    <w:rsid w:val="00B761DB"/>
    <w:rsid w:val="00B76340"/>
    <w:rsid w:val="00B763BC"/>
    <w:rsid w:val="00B76526"/>
    <w:rsid w:val="00B769D7"/>
    <w:rsid w:val="00B76A88"/>
    <w:rsid w:val="00B76B19"/>
    <w:rsid w:val="00B76CEC"/>
    <w:rsid w:val="00B772DE"/>
    <w:rsid w:val="00B809ED"/>
    <w:rsid w:val="00B80C43"/>
    <w:rsid w:val="00B80DF0"/>
    <w:rsid w:val="00B81141"/>
    <w:rsid w:val="00B815B2"/>
    <w:rsid w:val="00B81C32"/>
    <w:rsid w:val="00B81F24"/>
    <w:rsid w:val="00B821F8"/>
    <w:rsid w:val="00B82278"/>
    <w:rsid w:val="00B8264D"/>
    <w:rsid w:val="00B828F0"/>
    <w:rsid w:val="00B831A8"/>
    <w:rsid w:val="00B835A5"/>
    <w:rsid w:val="00B836F5"/>
    <w:rsid w:val="00B83811"/>
    <w:rsid w:val="00B83855"/>
    <w:rsid w:val="00B838F3"/>
    <w:rsid w:val="00B8465E"/>
    <w:rsid w:val="00B84CF8"/>
    <w:rsid w:val="00B852D6"/>
    <w:rsid w:val="00B85B4E"/>
    <w:rsid w:val="00B85F5E"/>
    <w:rsid w:val="00B86126"/>
    <w:rsid w:val="00B865DB"/>
    <w:rsid w:val="00B867F4"/>
    <w:rsid w:val="00B868E2"/>
    <w:rsid w:val="00B86F78"/>
    <w:rsid w:val="00B87121"/>
    <w:rsid w:val="00B8744D"/>
    <w:rsid w:val="00B874AE"/>
    <w:rsid w:val="00B87B6D"/>
    <w:rsid w:val="00B87E7C"/>
    <w:rsid w:val="00B87F76"/>
    <w:rsid w:val="00B900D5"/>
    <w:rsid w:val="00B908A3"/>
    <w:rsid w:val="00B90B39"/>
    <w:rsid w:val="00B90DEF"/>
    <w:rsid w:val="00B90DF3"/>
    <w:rsid w:val="00B912FB"/>
    <w:rsid w:val="00B9144F"/>
    <w:rsid w:val="00B91478"/>
    <w:rsid w:val="00B931BC"/>
    <w:rsid w:val="00B93CDB"/>
    <w:rsid w:val="00B93F81"/>
    <w:rsid w:val="00B93FF5"/>
    <w:rsid w:val="00B944D5"/>
    <w:rsid w:val="00B94552"/>
    <w:rsid w:val="00B94624"/>
    <w:rsid w:val="00B94786"/>
    <w:rsid w:val="00B95029"/>
    <w:rsid w:val="00B95189"/>
    <w:rsid w:val="00B9551C"/>
    <w:rsid w:val="00B957A5"/>
    <w:rsid w:val="00B95860"/>
    <w:rsid w:val="00B95A7E"/>
    <w:rsid w:val="00B9607E"/>
    <w:rsid w:val="00B9695E"/>
    <w:rsid w:val="00B970A6"/>
    <w:rsid w:val="00B970C7"/>
    <w:rsid w:val="00B9714B"/>
    <w:rsid w:val="00B9773F"/>
    <w:rsid w:val="00B97DBF"/>
    <w:rsid w:val="00B97DE2"/>
    <w:rsid w:val="00B97F8A"/>
    <w:rsid w:val="00BA0D64"/>
    <w:rsid w:val="00BA10EF"/>
    <w:rsid w:val="00BA1F69"/>
    <w:rsid w:val="00BA202C"/>
    <w:rsid w:val="00BA208A"/>
    <w:rsid w:val="00BA20B1"/>
    <w:rsid w:val="00BA258B"/>
    <w:rsid w:val="00BA2B9C"/>
    <w:rsid w:val="00BA2BA7"/>
    <w:rsid w:val="00BA3351"/>
    <w:rsid w:val="00BA3B2F"/>
    <w:rsid w:val="00BA44ED"/>
    <w:rsid w:val="00BA45B1"/>
    <w:rsid w:val="00BA4B72"/>
    <w:rsid w:val="00BA53A1"/>
    <w:rsid w:val="00BA5B53"/>
    <w:rsid w:val="00BA5F6E"/>
    <w:rsid w:val="00BA6349"/>
    <w:rsid w:val="00BA63B1"/>
    <w:rsid w:val="00BA641D"/>
    <w:rsid w:val="00BA6505"/>
    <w:rsid w:val="00BA66BA"/>
    <w:rsid w:val="00BA68A6"/>
    <w:rsid w:val="00BA6D05"/>
    <w:rsid w:val="00BA7136"/>
    <w:rsid w:val="00BA7631"/>
    <w:rsid w:val="00BA7715"/>
    <w:rsid w:val="00BA774F"/>
    <w:rsid w:val="00BA78B6"/>
    <w:rsid w:val="00BA79A8"/>
    <w:rsid w:val="00BA79B5"/>
    <w:rsid w:val="00BA7DE9"/>
    <w:rsid w:val="00BB016A"/>
    <w:rsid w:val="00BB03B2"/>
    <w:rsid w:val="00BB0499"/>
    <w:rsid w:val="00BB05CE"/>
    <w:rsid w:val="00BB0840"/>
    <w:rsid w:val="00BB112D"/>
    <w:rsid w:val="00BB18AD"/>
    <w:rsid w:val="00BB20BA"/>
    <w:rsid w:val="00BB2193"/>
    <w:rsid w:val="00BB24DF"/>
    <w:rsid w:val="00BB26AD"/>
    <w:rsid w:val="00BB28F4"/>
    <w:rsid w:val="00BB2930"/>
    <w:rsid w:val="00BB2EC7"/>
    <w:rsid w:val="00BB3D1F"/>
    <w:rsid w:val="00BB3D25"/>
    <w:rsid w:val="00BB3F38"/>
    <w:rsid w:val="00BB447D"/>
    <w:rsid w:val="00BB4692"/>
    <w:rsid w:val="00BB488D"/>
    <w:rsid w:val="00BB4C05"/>
    <w:rsid w:val="00BB4EF1"/>
    <w:rsid w:val="00BB5320"/>
    <w:rsid w:val="00BB53CD"/>
    <w:rsid w:val="00BB53F9"/>
    <w:rsid w:val="00BB5743"/>
    <w:rsid w:val="00BB575A"/>
    <w:rsid w:val="00BB5E6F"/>
    <w:rsid w:val="00BB5E96"/>
    <w:rsid w:val="00BB600A"/>
    <w:rsid w:val="00BB6D2B"/>
    <w:rsid w:val="00BB716E"/>
    <w:rsid w:val="00BB7613"/>
    <w:rsid w:val="00BB79BD"/>
    <w:rsid w:val="00BC0EA7"/>
    <w:rsid w:val="00BC10E6"/>
    <w:rsid w:val="00BC1220"/>
    <w:rsid w:val="00BC1250"/>
    <w:rsid w:val="00BC189D"/>
    <w:rsid w:val="00BC196C"/>
    <w:rsid w:val="00BC1B1B"/>
    <w:rsid w:val="00BC20B3"/>
    <w:rsid w:val="00BC2EA2"/>
    <w:rsid w:val="00BC3211"/>
    <w:rsid w:val="00BC3516"/>
    <w:rsid w:val="00BC364C"/>
    <w:rsid w:val="00BC37B8"/>
    <w:rsid w:val="00BC3A2F"/>
    <w:rsid w:val="00BC4128"/>
    <w:rsid w:val="00BC491B"/>
    <w:rsid w:val="00BC55A3"/>
    <w:rsid w:val="00BC56DF"/>
    <w:rsid w:val="00BC570A"/>
    <w:rsid w:val="00BC57D6"/>
    <w:rsid w:val="00BC59B3"/>
    <w:rsid w:val="00BC666B"/>
    <w:rsid w:val="00BC68EC"/>
    <w:rsid w:val="00BC6918"/>
    <w:rsid w:val="00BC6DC2"/>
    <w:rsid w:val="00BC7208"/>
    <w:rsid w:val="00BD0A76"/>
    <w:rsid w:val="00BD0B48"/>
    <w:rsid w:val="00BD0C97"/>
    <w:rsid w:val="00BD0CA7"/>
    <w:rsid w:val="00BD1052"/>
    <w:rsid w:val="00BD1425"/>
    <w:rsid w:val="00BD15FD"/>
    <w:rsid w:val="00BD1643"/>
    <w:rsid w:val="00BD17C0"/>
    <w:rsid w:val="00BD1DF0"/>
    <w:rsid w:val="00BD1E24"/>
    <w:rsid w:val="00BD257F"/>
    <w:rsid w:val="00BD271D"/>
    <w:rsid w:val="00BD2761"/>
    <w:rsid w:val="00BD2A0A"/>
    <w:rsid w:val="00BD2DEA"/>
    <w:rsid w:val="00BD3452"/>
    <w:rsid w:val="00BD3609"/>
    <w:rsid w:val="00BD3653"/>
    <w:rsid w:val="00BD3DA7"/>
    <w:rsid w:val="00BD3EE6"/>
    <w:rsid w:val="00BD41FD"/>
    <w:rsid w:val="00BD462E"/>
    <w:rsid w:val="00BD4A83"/>
    <w:rsid w:val="00BD4CE7"/>
    <w:rsid w:val="00BD5006"/>
    <w:rsid w:val="00BD55E2"/>
    <w:rsid w:val="00BD57F5"/>
    <w:rsid w:val="00BD59BD"/>
    <w:rsid w:val="00BD59C1"/>
    <w:rsid w:val="00BD5BEA"/>
    <w:rsid w:val="00BD5D0F"/>
    <w:rsid w:val="00BD674C"/>
    <w:rsid w:val="00BD6826"/>
    <w:rsid w:val="00BD6B5C"/>
    <w:rsid w:val="00BD6D8F"/>
    <w:rsid w:val="00BD7025"/>
    <w:rsid w:val="00BD7176"/>
    <w:rsid w:val="00BD75BA"/>
    <w:rsid w:val="00BD761A"/>
    <w:rsid w:val="00BD77C6"/>
    <w:rsid w:val="00BD7863"/>
    <w:rsid w:val="00BD7A45"/>
    <w:rsid w:val="00BD7A71"/>
    <w:rsid w:val="00BD7C68"/>
    <w:rsid w:val="00BD7EDB"/>
    <w:rsid w:val="00BE034B"/>
    <w:rsid w:val="00BE061D"/>
    <w:rsid w:val="00BE08AA"/>
    <w:rsid w:val="00BE0CC9"/>
    <w:rsid w:val="00BE0EAD"/>
    <w:rsid w:val="00BE10C0"/>
    <w:rsid w:val="00BE15B2"/>
    <w:rsid w:val="00BE15E8"/>
    <w:rsid w:val="00BE18D1"/>
    <w:rsid w:val="00BE199F"/>
    <w:rsid w:val="00BE1B7B"/>
    <w:rsid w:val="00BE1CBC"/>
    <w:rsid w:val="00BE1F49"/>
    <w:rsid w:val="00BE27AA"/>
    <w:rsid w:val="00BE27F9"/>
    <w:rsid w:val="00BE291C"/>
    <w:rsid w:val="00BE29DC"/>
    <w:rsid w:val="00BE306A"/>
    <w:rsid w:val="00BE358D"/>
    <w:rsid w:val="00BE4254"/>
    <w:rsid w:val="00BE4F69"/>
    <w:rsid w:val="00BE50DB"/>
    <w:rsid w:val="00BE5132"/>
    <w:rsid w:val="00BE5158"/>
    <w:rsid w:val="00BE5393"/>
    <w:rsid w:val="00BE56C4"/>
    <w:rsid w:val="00BE578C"/>
    <w:rsid w:val="00BE5C7D"/>
    <w:rsid w:val="00BE62E9"/>
    <w:rsid w:val="00BE668F"/>
    <w:rsid w:val="00BE696F"/>
    <w:rsid w:val="00BE6BD1"/>
    <w:rsid w:val="00BE70D7"/>
    <w:rsid w:val="00BE78C2"/>
    <w:rsid w:val="00BE78C5"/>
    <w:rsid w:val="00BE7F4B"/>
    <w:rsid w:val="00BF014E"/>
    <w:rsid w:val="00BF1393"/>
    <w:rsid w:val="00BF1AF7"/>
    <w:rsid w:val="00BF1CFD"/>
    <w:rsid w:val="00BF1EA0"/>
    <w:rsid w:val="00BF2170"/>
    <w:rsid w:val="00BF254B"/>
    <w:rsid w:val="00BF31E5"/>
    <w:rsid w:val="00BF383F"/>
    <w:rsid w:val="00BF38C7"/>
    <w:rsid w:val="00BF393C"/>
    <w:rsid w:val="00BF3A71"/>
    <w:rsid w:val="00BF3F53"/>
    <w:rsid w:val="00BF4341"/>
    <w:rsid w:val="00BF486D"/>
    <w:rsid w:val="00BF4A4D"/>
    <w:rsid w:val="00BF4B12"/>
    <w:rsid w:val="00BF5A64"/>
    <w:rsid w:val="00BF5AAA"/>
    <w:rsid w:val="00BF5B14"/>
    <w:rsid w:val="00BF60E7"/>
    <w:rsid w:val="00BF65EA"/>
    <w:rsid w:val="00BF6724"/>
    <w:rsid w:val="00BF697A"/>
    <w:rsid w:val="00BF6ADB"/>
    <w:rsid w:val="00BF6D5A"/>
    <w:rsid w:val="00BF6E2E"/>
    <w:rsid w:val="00BF78A0"/>
    <w:rsid w:val="00BF7BC4"/>
    <w:rsid w:val="00C004FE"/>
    <w:rsid w:val="00C00DFD"/>
    <w:rsid w:val="00C01EB9"/>
    <w:rsid w:val="00C02D18"/>
    <w:rsid w:val="00C02DA5"/>
    <w:rsid w:val="00C02F96"/>
    <w:rsid w:val="00C0303B"/>
    <w:rsid w:val="00C030C4"/>
    <w:rsid w:val="00C03776"/>
    <w:rsid w:val="00C03E66"/>
    <w:rsid w:val="00C04138"/>
    <w:rsid w:val="00C041E3"/>
    <w:rsid w:val="00C04320"/>
    <w:rsid w:val="00C046A1"/>
    <w:rsid w:val="00C04845"/>
    <w:rsid w:val="00C04B9F"/>
    <w:rsid w:val="00C051EF"/>
    <w:rsid w:val="00C0523C"/>
    <w:rsid w:val="00C0578D"/>
    <w:rsid w:val="00C067EF"/>
    <w:rsid w:val="00C07129"/>
    <w:rsid w:val="00C074D9"/>
    <w:rsid w:val="00C0753E"/>
    <w:rsid w:val="00C077B4"/>
    <w:rsid w:val="00C078B4"/>
    <w:rsid w:val="00C07B11"/>
    <w:rsid w:val="00C07C10"/>
    <w:rsid w:val="00C1007B"/>
    <w:rsid w:val="00C10287"/>
    <w:rsid w:val="00C10A80"/>
    <w:rsid w:val="00C10A86"/>
    <w:rsid w:val="00C10F1C"/>
    <w:rsid w:val="00C112F0"/>
    <w:rsid w:val="00C11C8D"/>
    <w:rsid w:val="00C12078"/>
    <w:rsid w:val="00C120E9"/>
    <w:rsid w:val="00C12199"/>
    <w:rsid w:val="00C125FA"/>
    <w:rsid w:val="00C12BED"/>
    <w:rsid w:val="00C12C3F"/>
    <w:rsid w:val="00C13585"/>
    <w:rsid w:val="00C13821"/>
    <w:rsid w:val="00C13A14"/>
    <w:rsid w:val="00C13BBA"/>
    <w:rsid w:val="00C13E76"/>
    <w:rsid w:val="00C13E83"/>
    <w:rsid w:val="00C14051"/>
    <w:rsid w:val="00C144A1"/>
    <w:rsid w:val="00C14808"/>
    <w:rsid w:val="00C14908"/>
    <w:rsid w:val="00C14DC6"/>
    <w:rsid w:val="00C15070"/>
    <w:rsid w:val="00C15667"/>
    <w:rsid w:val="00C159C2"/>
    <w:rsid w:val="00C15C49"/>
    <w:rsid w:val="00C15F73"/>
    <w:rsid w:val="00C16889"/>
    <w:rsid w:val="00C20143"/>
    <w:rsid w:val="00C2037B"/>
    <w:rsid w:val="00C2069C"/>
    <w:rsid w:val="00C20A4C"/>
    <w:rsid w:val="00C20C13"/>
    <w:rsid w:val="00C20CB3"/>
    <w:rsid w:val="00C20FC2"/>
    <w:rsid w:val="00C217CB"/>
    <w:rsid w:val="00C2181D"/>
    <w:rsid w:val="00C21A19"/>
    <w:rsid w:val="00C21F30"/>
    <w:rsid w:val="00C2205A"/>
    <w:rsid w:val="00C22935"/>
    <w:rsid w:val="00C229EE"/>
    <w:rsid w:val="00C22B0B"/>
    <w:rsid w:val="00C22FF7"/>
    <w:rsid w:val="00C23261"/>
    <w:rsid w:val="00C23844"/>
    <w:rsid w:val="00C23C7A"/>
    <w:rsid w:val="00C23DC9"/>
    <w:rsid w:val="00C23EDF"/>
    <w:rsid w:val="00C2433F"/>
    <w:rsid w:val="00C2442B"/>
    <w:rsid w:val="00C24D6C"/>
    <w:rsid w:val="00C25009"/>
    <w:rsid w:val="00C25670"/>
    <w:rsid w:val="00C25773"/>
    <w:rsid w:val="00C25F93"/>
    <w:rsid w:val="00C26760"/>
    <w:rsid w:val="00C26945"/>
    <w:rsid w:val="00C26B34"/>
    <w:rsid w:val="00C26C9C"/>
    <w:rsid w:val="00C26E5B"/>
    <w:rsid w:val="00C27064"/>
    <w:rsid w:val="00C27A10"/>
    <w:rsid w:val="00C27A2F"/>
    <w:rsid w:val="00C27AC0"/>
    <w:rsid w:val="00C27C3B"/>
    <w:rsid w:val="00C27DBA"/>
    <w:rsid w:val="00C27F75"/>
    <w:rsid w:val="00C27F76"/>
    <w:rsid w:val="00C27F82"/>
    <w:rsid w:val="00C27F83"/>
    <w:rsid w:val="00C30155"/>
    <w:rsid w:val="00C30193"/>
    <w:rsid w:val="00C3055E"/>
    <w:rsid w:val="00C30655"/>
    <w:rsid w:val="00C30DA4"/>
    <w:rsid w:val="00C3110C"/>
    <w:rsid w:val="00C313CB"/>
    <w:rsid w:val="00C31545"/>
    <w:rsid w:val="00C31A81"/>
    <w:rsid w:val="00C31B4F"/>
    <w:rsid w:val="00C31CEC"/>
    <w:rsid w:val="00C320EE"/>
    <w:rsid w:val="00C33221"/>
    <w:rsid w:val="00C3329F"/>
    <w:rsid w:val="00C332A8"/>
    <w:rsid w:val="00C334EC"/>
    <w:rsid w:val="00C334F9"/>
    <w:rsid w:val="00C33B79"/>
    <w:rsid w:val="00C33D7F"/>
    <w:rsid w:val="00C33E25"/>
    <w:rsid w:val="00C341E4"/>
    <w:rsid w:val="00C34334"/>
    <w:rsid w:val="00C34BA3"/>
    <w:rsid w:val="00C35470"/>
    <w:rsid w:val="00C35F65"/>
    <w:rsid w:val="00C36087"/>
    <w:rsid w:val="00C364E4"/>
    <w:rsid w:val="00C36513"/>
    <w:rsid w:val="00C365BE"/>
    <w:rsid w:val="00C36E65"/>
    <w:rsid w:val="00C375B4"/>
    <w:rsid w:val="00C3788C"/>
    <w:rsid w:val="00C400FB"/>
    <w:rsid w:val="00C40CF2"/>
    <w:rsid w:val="00C4111A"/>
    <w:rsid w:val="00C41124"/>
    <w:rsid w:val="00C41688"/>
    <w:rsid w:val="00C41954"/>
    <w:rsid w:val="00C41A87"/>
    <w:rsid w:val="00C41BB0"/>
    <w:rsid w:val="00C42033"/>
    <w:rsid w:val="00C427AF"/>
    <w:rsid w:val="00C427CE"/>
    <w:rsid w:val="00C4289D"/>
    <w:rsid w:val="00C4337B"/>
    <w:rsid w:val="00C43536"/>
    <w:rsid w:val="00C43A44"/>
    <w:rsid w:val="00C43B98"/>
    <w:rsid w:val="00C44046"/>
    <w:rsid w:val="00C44719"/>
    <w:rsid w:val="00C44A9B"/>
    <w:rsid w:val="00C44BF7"/>
    <w:rsid w:val="00C44D76"/>
    <w:rsid w:val="00C44DB6"/>
    <w:rsid w:val="00C44FE1"/>
    <w:rsid w:val="00C4505B"/>
    <w:rsid w:val="00C455B8"/>
    <w:rsid w:val="00C455CD"/>
    <w:rsid w:val="00C4589D"/>
    <w:rsid w:val="00C45D83"/>
    <w:rsid w:val="00C461D2"/>
    <w:rsid w:val="00C46874"/>
    <w:rsid w:val="00C4690E"/>
    <w:rsid w:val="00C46EDD"/>
    <w:rsid w:val="00C47162"/>
    <w:rsid w:val="00C471ED"/>
    <w:rsid w:val="00C4736E"/>
    <w:rsid w:val="00C47438"/>
    <w:rsid w:val="00C4779C"/>
    <w:rsid w:val="00C47B4D"/>
    <w:rsid w:val="00C47D00"/>
    <w:rsid w:val="00C47D5C"/>
    <w:rsid w:val="00C47F43"/>
    <w:rsid w:val="00C50108"/>
    <w:rsid w:val="00C50E40"/>
    <w:rsid w:val="00C5120C"/>
    <w:rsid w:val="00C51610"/>
    <w:rsid w:val="00C51BBF"/>
    <w:rsid w:val="00C51BC8"/>
    <w:rsid w:val="00C51BFF"/>
    <w:rsid w:val="00C51E37"/>
    <w:rsid w:val="00C51F1E"/>
    <w:rsid w:val="00C51F6A"/>
    <w:rsid w:val="00C5211B"/>
    <w:rsid w:val="00C5248F"/>
    <w:rsid w:val="00C529DD"/>
    <w:rsid w:val="00C52DCD"/>
    <w:rsid w:val="00C53422"/>
    <w:rsid w:val="00C537C4"/>
    <w:rsid w:val="00C53EA6"/>
    <w:rsid w:val="00C54757"/>
    <w:rsid w:val="00C54D1E"/>
    <w:rsid w:val="00C54DFD"/>
    <w:rsid w:val="00C557D1"/>
    <w:rsid w:val="00C55AC6"/>
    <w:rsid w:val="00C55B40"/>
    <w:rsid w:val="00C55CF3"/>
    <w:rsid w:val="00C560BC"/>
    <w:rsid w:val="00C56224"/>
    <w:rsid w:val="00C563B7"/>
    <w:rsid w:val="00C5692C"/>
    <w:rsid w:val="00C56B36"/>
    <w:rsid w:val="00C56D1E"/>
    <w:rsid w:val="00C56FB5"/>
    <w:rsid w:val="00C57145"/>
    <w:rsid w:val="00C57790"/>
    <w:rsid w:val="00C57857"/>
    <w:rsid w:val="00C57A19"/>
    <w:rsid w:val="00C57AB0"/>
    <w:rsid w:val="00C57C7F"/>
    <w:rsid w:val="00C57D74"/>
    <w:rsid w:val="00C57E30"/>
    <w:rsid w:val="00C60128"/>
    <w:rsid w:val="00C60972"/>
    <w:rsid w:val="00C60AF4"/>
    <w:rsid w:val="00C60E5A"/>
    <w:rsid w:val="00C60ED4"/>
    <w:rsid w:val="00C61FDC"/>
    <w:rsid w:val="00C620CA"/>
    <w:rsid w:val="00C6247C"/>
    <w:rsid w:val="00C62593"/>
    <w:rsid w:val="00C628FD"/>
    <w:rsid w:val="00C62919"/>
    <w:rsid w:val="00C63309"/>
    <w:rsid w:val="00C63CF7"/>
    <w:rsid w:val="00C63F77"/>
    <w:rsid w:val="00C64110"/>
    <w:rsid w:val="00C6419A"/>
    <w:rsid w:val="00C64200"/>
    <w:rsid w:val="00C64F8B"/>
    <w:rsid w:val="00C6519C"/>
    <w:rsid w:val="00C6572C"/>
    <w:rsid w:val="00C659E3"/>
    <w:rsid w:val="00C65A1D"/>
    <w:rsid w:val="00C65BB5"/>
    <w:rsid w:val="00C667B1"/>
    <w:rsid w:val="00C66B30"/>
    <w:rsid w:val="00C66DAE"/>
    <w:rsid w:val="00C66F88"/>
    <w:rsid w:val="00C6700A"/>
    <w:rsid w:val="00C6706B"/>
    <w:rsid w:val="00C672C6"/>
    <w:rsid w:val="00C674CB"/>
    <w:rsid w:val="00C6799A"/>
    <w:rsid w:val="00C67AC4"/>
    <w:rsid w:val="00C67ACF"/>
    <w:rsid w:val="00C67CA4"/>
    <w:rsid w:val="00C708F7"/>
    <w:rsid w:val="00C70CFF"/>
    <w:rsid w:val="00C710A0"/>
    <w:rsid w:val="00C71531"/>
    <w:rsid w:val="00C7179B"/>
    <w:rsid w:val="00C7191A"/>
    <w:rsid w:val="00C71954"/>
    <w:rsid w:val="00C71A6A"/>
    <w:rsid w:val="00C71E7E"/>
    <w:rsid w:val="00C71F2A"/>
    <w:rsid w:val="00C72274"/>
    <w:rsid w:val="00C724D8"/>
    <w:rsid w:val="00C72A86"/>
    <w:rsid w:val="00C73148"/>
    <w:rsid w:val="00C74092"/>
    <w:rsid w:val="00C7417D"/>
    <w:rsid w:val="00C74286"/>
    <w:rsid w:val="00C74608"/>
    <w:rsid w:val="00C748BE"/>
    <w:rsid w:val="00C74A1C"/>
    <w:rsid w:val="00C750DD"/>
    <w:rsid w:val="00C75141"/>
    <w:rsid w:val="00C7528A"/>
    <w:rsid w:val="00C755BF"/>
    <w:rsid w:val="00C75655"/>
    <w:rsid w:val="00C75A81"/>
    <w:rsid w:val="00C75D4E"/>
    <w:rsid w:val="00C76026"/>
    <w:rsid w:val="00C761ED"/>
    <w:rsid w:val="00C761FB"/>
    <w:rsid w:val="00C764C3"/>
    <w:rsid w:val="00C7672B"/>
    <w:rsid w:val="00C7691A"/>
    <w:rsid w:val="00C76AF3"/>
    <w:rsid w:val="00C76BE0"/>
    <w:rsid w:val="00C76E2F"/>
    <w:rsid w:val="00C771F5"/>
    <w:rsid w:val="00C77501"/>
    <w:rsid w:val="00C77802"/>
    <w:rsid w:val="00C7790E"/>
    <w:rsid w:val="00C77A1F"/>
    <w:rsid w:val="00C77AF4"/>
    <w:rsid w:val="00C8021F"/>
    <w:rsid w:val="00C80CA5"/>
    <w:rsid w:val="00C819B7"/>
    <w:rsid w:val="00C81A21"/>
    <w:rsid w:val="00C81B25"/>
    <w:rsid w:val="00C81C5B"/>
    <w:rsid w:val="00C81DE1"/>
    <w:rsid w:val="00C82414"/>
    <w:rsid w:val="00C8255A"/>
    <w:rsid w:val="00C82562"/>
    <w:rsid w:val="00C8277C"/>
    <w:rsid w:val="00C82819"/>
    <w:rsid w:val="00C82CCD"/>
    <w:rsid w:val="00C82D00"/>
    <w:rsid w:val="00C82FAF"/>
    <w:rsid w:val="00C83083"/>
    <w:rsid w:val="00C830DF"/>
    <w:rsid w:val="00C837C3"/>
    <w:rsid w:val="00C83EF4"/>
    <w:rsid w:val="00C84497"/>
    <w:rsid w:val="00C844C6"/>
    <w:rsid w:val="00C84768"/>
    <w:rsid w:val="00C854A6"/>
    <w:rsid w:val="00C85651"/>
    <w:rsid w:val="00C857FE"/>
    <w:rsid w:val="00C85AF2"/>
    <w:rsid w:val="00C85F17"/>
    <w:rsid w:val="00C85F76"/>
    <w:rsid w:val="00C868E3"/>
    <w:rsid w:val="00C868F6"/>
    <w:rsid w:val="00C86953"/>
    <w:rsid w:val="00C869F3"/>
    <w:rsid w:val="00C86A40"/>
    <w:rsid w:val="00C86ACE"/>
    <w:rsid w:val="00C86B48"/>
    <w:rsid w:val="00C86B7A"/>
    <w:rsid w:val="00C877A8"/>
    <w:rsid w:val="00C87823"/>
    <w:rsid w:val="00C87F6C"/>
    <w:rsid w:val="00C9039E"/>
    <w:rsid w:val="00C90BCA"/>
    <w:rsid w:val="00C90D91"/>
    <w:rsid w:val="00C9137C"/>
    <w:rsid w:val="00C914E0"/>
    <w:rsid w:val="00C91644"/>
    <w:rsid w:val="00C916E9"/>
    <w:rsid w:val="00C917B7"/>
    <w:rsid w:val="00C91F44"/>
    <w:rsid w:val="00C91FE4"/>
    <w:rsid w:val="00C926EC"/>
    <w:rsid w:val="00C92A17"/>
    <w:rsid w:val="00C92C23"/>
    <w:rsid w:val="00C930D3"/>
    <w:rsid w:val="00C93556"/>
    <w:rsid w:val="00C9368B"/>
    <w:rsid w:val="00C93703"/>
    <w:rsid w:val="00C9383B"/>
    <w:rsid w:val="00C93C3C"/>
    <w:rsid w:val="00C93F15"/>
    <w:rsid w:val="00C9427C"/>
    <w:rsid w:val="00C94C93"/>
    <w:rsid w:val="00C94E88"/>
    <w:rsid w:val="00C9506A"/>
    <w:rsid w:val="00C95590"/>
    <w:rsid w:val="00C95698"/>
    <w:rsid w:val="00C9603F"/>
    <w:rsid w:val="00C9620A"/>
    <w:rsid w:val="00C9663B"/>
    <w:rsid w:val="00C96D64"/>
    <w:rsid w:val="00C9712A"/>
    <w:rsid w:val="00C97271"/>
    <w:rsid w:val="00C973E1"/>
    <w:rsid w:val="00C978D6"/>
    <w:rsid w:val="00C97ED4"/>
    <w:rsid w:val="00C97F72"/>
    <w:rsid w:val="00CA0B12"/>
    <w:rsid w:val="00CA0B25"/>
    <w:rsid w:val="00CA1356"/>
    <w:rsid w:val="00CA157E"/>
    <w:rsid w:val="00CA2144"/>
    <w:rsid w:val="00CA230A"/>
    <w:rsid w:val="00CA24F3"/>
    <w:rsid w:val="00CA267F"/>
    <w:rsid w:val="00CA269E"/>
    <w:rsid w:val="00CA2807"/>
    <w:rsid w:val="00CA2953"/>
    <w:rsid w:val="00CA2A39"/>
    <w:rsid w:val="00CA2A52"/>
    <w:rsid w:val="00CA2D50"/>
    <w:rsid w:val="00CA2E99"/>
    <w:rsid w:val="00CA3290"/>
    <w:rsid w:val="00CA330F"/>
    <w:rsid w:val="00CA348A"/>
    <w:rsid w:val="00CA34D2"/>
    <w:rsid w:val="00CA35C7"/>
    <w:rsid w:val="00CA3669"/>
    <w:rsid w:val="00CA382D"/>
    <w:rsid w:val="00CA435B"/>
    <w:rsid w:val="00CA435D"/>
    <w:rsid w:val="00CA4393"/>
    <w:rsid w:val="00CA43A5"/>
    <w:rsid w:val="00CA44FF"/>
    <w:rsid w:val="00CA4B46"/>
    <w:rsid w:val="00CA4EFA"/>
    <w:rsid w:val="00CA515E"/>
    <w:rsid w:val="00CA5227"/>
    <w:rsid w:val="00CA551D"/>
    <w:rsid w:val="00CA5591"/>
    <w:rsid w:val="00CA5AB3"/>
    <w:rsid w:val="00CA5CC9"/>
    <w:rsid w:val="00CA5F25"/>
    <w:rsid w:val="00CA5FDE"/>
    <w:rsid w:val="00CA64B6"/>
    <w:rsid w:val="00CA6DB1"/>
    <w:rsid w:val="00CA6E89"/>
    <w:rsid w:val="00CA7063"/>
    <w:rsid w:val="00CA7240"/>
    <w:rsid w:val="00CA74A6"/>
    <w:rsid w:val="00CA7C0B"/>
    <w:rsid w:val="00CA7FE7"/>
    <w:rsid w:val="00CB0C94"/>
    <w:rsid w:val="00CB1041"/>
    <w:rsid w:val="00CB13FD"/>
    <w:rsid w:val="00CB14EB"/>
    <w:rsid w:val="00CB15D2"/>
    <w:rsid w:val="00CB170A"/>
    <w:rsid w:val="00CB18EB"/>
    <w:rsid w:val="00CB18FC"/>
    <w:rsid w:val="00CB1B09"/>
    <w:rsid w:val="00CB1DCF"/>
    <w:rsid w:val="00CB2039"/>
    <w:rsid w:val="00CB217B"/>
    <w:rsid w:val="00CB244C"/>
    <w:rsid w:val="00CB27E5"/>
    <w:rsid w:val="00CB28AA"/>
    <w:rsid w:val="00CB2993"/>
    <w:rsid w:val="00CB2EB9"/>
    <w:rsid w:val="00CB2F4C"/>
    <w:rsid w:val="00CB37B7"/>
    <w:rsid w:val="00CB45B6"/>
    <w:rsid w:val="00CB4616"/>
    <w:rsid w:val="00CB492C"/>
    <w:rsid w:val="00CB4F30"/>
    <w:rsid w:val="00CB529C"/>
    <w:rsid w:val="00CB56AB"/>
    <w:rsid w:val="00CB57F8"/>
    <w:rsid w:val="00CB5C32"/>
    <w:rsid w:val="00CB5C5E"/>
    <w:rsid w:val="00CB5F88"/>
    <w:rsid w:val="00CB65BF"/>
    <w:rsid w:val="00CB678B"/>
    <w:rsid w:val="00CB6B9A"/>
    <w:rsid w:val="00CB6C39"/>
    <w:rsid w:val="00CB6D78"/>
    <w:rsid w:val="00CB6DDB"/>
    <w:rsid w:val="00CB6E2B"/>
    <w:rsid w:val="00CB6FF7"/>
    <w:rsid w:val="00CB70C2"/>
    <w:rsid w:val="00CB7302"/>
    <w:rsid w:val="00CB7371"/>
    <w:rsid w:val="00CB776F"/>
    <w:rsid w:val="00CB792D"/>
    <w:rsid w:val="00CB7B64"/>
    <w:rsid w:val="00CC041F"/>
    <w:rsid w:val="00CC05C7"/>
    <w:rsid w:val="00CC086F"/>
    <w:rsid w:val="00CC0C4B"/>
    <w:rsid w:val="00CC0CC3"/>
    <w:rsid w:val="00CC13CF"/>
    <w:rsid w:val="00CC1D86"/>
    <w:rsid w:val="00CC1E9F"/>
    <w:rsid w:val="00CC1F3B"/>
    <w:rsid w:val="00CC2028"/>
    <w:rsid w:val="00CC21F5"/>
    <w:rsid w:val="00CC28CE"/>
    <w:rsid w:val="00CC2DE8"/>
    <w:rsid w:val="00CC3138"/>
    <w:rsid w:val="00CC322E"/>
    <w:rsid w:val="00CC36A5"/>
    <w:rsid w:val="00CC396E"/>
    <w:rsid w:val="00CC39DC"/>
    <w:rsid w:val="00CC3AB6"/>
    <w:rsid w:val="00CC4551"/>
    <w:rsid w:val="00CC45EC"/>
    <w:rsid w:val="00CC46A4"/>
    <w:rsid w:val="00CC4F88"/>
    <w:rsid w:val="00CC5684"/>
    <w:rsid w:val="00CC5896"/>
    <w:rsid w:val="00CC5ADD"/>
    <w:rsid w:val="00CC5AFC"/>
    <w:rsid w:val="00CC5C86"/>
    <w:rsid w:val="00CC6417"/>
    <w:rsid w:val="00CC6453"/>
    <w:rsid w:val="00CC6ED1"/>
    <w:rsid w:val="00CC6F89"/>
    <w:rsid w:val="00CC7578"/>
    <w:rsid w:val="00CC7829"/>
    <w:rsid w:val="00CC7842"/>
    <w:rsid w:val="00CC7F6E"/>
    <w:rsid w:val="00CD045F"/>
    <w:rsid w:val="00CD0C56"/>
    <w:rsid w:val="00CD12FE"/>
    <w:rsid w:val="00CD13B7"/>
    <w:rsid w:val="00CD163A"/>
    <w:rsid w:val="00CD17C6"/>
    <w:rsid w:val="00CD1D31"/>
    <w:rsid w:val="00CD1EAB"/>
    <w:rsid w:val="00CD2207"/>
    <w:rsid w:val="00CD22D4"/>
    <w:rsid w:val="00CD23BF"/>
    <w:rsid w:val="00CD2B54"/>
    <w:rsid w:val="00CD2D39"/>
    <w:rsid w:val="00CD3113"/>
    <w:rsid w:val="00CD317B"/>
    <w:rsid w:val="00CD3927"/>
    <w:rsid w:val="00CD3A9D"/>
    <w:rsid w:val="00CD4158"/>
    <w:rsid w:val="00CD498E"/>
    <w:rsid w:val="00CD50AF"/>
    <w:rsid w:val="00CD521D"/>
    <w:rsid w:val="00CD538E"/>
    <w:rsid w:val="00CD5988"/>
    <w:rsid w:val="00CD5A0D"/>
    <w:rsid w:val="00CD613D"/>
    <w:rsid w:val="00CD6379"/>
    <w:rsid w:val="00CD699B"/>
    <w:rsid w:val="00CD6A2B"/>
    <w:rsid w:val="00CD6C9C"/>
    <w:rsid w:val="00CD7032"/>
    <w:rsid w:val="00CD7887"/>
    <w:rsid w:val="00CD7C24"/>
    <w:rsid w:val="00CD7ECC"/>
    <w:rsid w:val="00CD7F9A"/>
    <w:rsid w:val="00CE00B9"/>
    <w:rsid w:val="00CE02FA"/>
    <w:rsid w:val="00CE042C"/>
    <w:rsid w:val="00CE0483"/>
    <w:rsid w:val="00CE0C35"/>
    <w:rsid w:val="00CE10F2"/>
    <w:rsid w:val="00CE2078"/>
    <w:rsid w:val="00CE20F3"/>
    <w:rsid w:val="00CE241A"/>
    <w:rsid w:val="00CE2717"/>
    <w:rsid w:val="00CE3603"/>
    <w:rsid w:val="00CE3810"/>
    <w:rsid w:val="00CE38A0"/>
    <w:rsid w:val="00CE3A1B"/>
    <w:rsid w:val="00CE3B64"/>
    <w:rsid w:val="00CE44B9"/>
    <w:rsid w:val="00CE4531"/>
    <w:rsid w:val="00CE49D1"/>
    <w:rsid w:val="00CE4F4D"/>
    <w:rsid w:val="00CE52B4"/>
    <w:rsid w:val="00CE543C"/>
    <w:rsid w:val="00CE59BB"/>
    <w:rsid w:val="00CE5A42"/>
    <w:rsid w:val="00CE5DCD"/>
    <w:rsid w:val="00CE6875"/>
    <w:rsid w:val="00CE693F"/>
    <w:rsid w:val="00CE6A22"/>
    <w:rsid w:val="00CE6C8C"/>
    <w:rsid w:val="00CE6CBC"/>
    <w:rsid w:val="00CE6E0B"/>
    <w:rsid w:val="00CE701C"/>
    <w:rsid w:val="00CE7262"/>
    <w:rsid w:val="00CE7599"/>
    <w:rsid w:val="00CE7AC7"/>
    <w:rsid w:val="00CE7B2A"/>
    <w:rsid w:val="00CF04EC"/>
    <w:rsid w:val="00CF0A6F"/>
    <w:rsid w:val="00CF0F99"/>
    <w:rsid w:val="00CF1528"/>
    <w:rsid w:val="00CF17FD"/>
    <w:rsid w:val="00CF1AA5"/>
    <w:rsid w:val="00CF2095"/>
    <w:rsid w:val="00CF236A"/>
    <w:rsid w:val="00CF2597"/>
    <w:rsid w:val="00CF28BA"/>
    <w:rsid w:val="00CF2A9C"/>
    <w:rsid w:val="00CF2C3A"/>
    <w:rsid w:val="00CF2FE2"/>
    <w:rsid w:val="00CF3046"/>
    <w:rsid w:val="00CF351D"/>
    <w:rsid w:val="00CF362E"/>
    <w:rsid w:val="00CF414A"/>
    <w:rsid w:val="00CF4552"/>
    <w:rsid w:val="00CF47E1"/>
    <w:rsid w:val="00CF4F67"/>
    <w:rsid w:val="00CF4FF0"/>
    <w:rsid w:val="00CF57B0"/>
    <w:rsid w:val="00CF5B47"/>
    <w:rsid w:val="00CF5B9C"/>
    <w:rsid w:val="00CF5D3A"/>
    <w:rsid w:val="00CF607B"/>
    <w:rsid w:val="00CF6368"/>
    <w:rsid w:val="00CF66AA"/>
    <w:rsid w:val="00CF6869"/>
    <w:rsid w:val="00CF6AF0"/>
    <w:rsid w:val="00CF6D17"/>
    <w:rsid w:val="00CF6D28"/>
    <w:rsid w:val="00CF7154"/>
    <w:rsid w:val="00CF797A"/>
    <w:rsid w:val="00CF7D2A"/>
    <w:rsid w:val="00CF7FB2"/>
    <w:rsid w:val="00D0009A"/>
    <w:rsid w:val="00D00AEE"/>
    <w:rsid w:val="00D00B76"/>
    <w:rsid w:val="00D00C6D"/>
    <w:rsid w:val="00D01099"/>
    <w:rsid w:val="00D0111A"/>
    <w:rsid w:val="00D013CF"/>
    <w:rsid w:val="00D01FBC"/>
    <w:rsid w:val="00D020B8"/>
    <w:rsid w:val="00D023E5"/>
    <w:rsid w:val="00D032BC"/>
    <w:rsid w:val="00D0356A"/>
    <w:rsid w:val="00D03D68"/>
    <w:rsid w:val="00D04FDD"/>
    <w:rsid w:val="00D06547"/>
    <w:rsid w:val="00D0675D"/>
    <w:rsid w:val="00D06F3B"/>
    <w:rsid w:val="00D074EA"/>
    <w:rsid w:val="00D076EF"/>
    <w:rsid w:val="00D07944"/>
    <w:rsid w:val="00D07E12"/>
    <w:rsid w:val="00D1017C"/>
    <w:rsid w:val="00D104F9"/>
    <w:rsid w:val="00D10A33"/>
    <w:rsid w:val="00D10CC6"/>
    <w:rsid w:val="00D10D62"/>
    <w:rsid w:val="00D10EEF"/>
    <w:rsid w:val="00D10F99"/>
    <w:rsid w:val="00D11050"/>
    <w:rsid w:val="00D11216"/>
    <w:rsid w:val="00D11E1A"/>
    <w:rsid w:val="00D123E9"/>
    <w:rsid w:val="00D1270A"/>
    <w:rsid w:val="00D12A6E"/>
    <w:rsid w:val="00D12DD6"/>
    <w:rsid w:val="00D1385B"/>
    <w:rsid w:val="00D139E7"/>
    <w:rsid w:val="00D13A13"/>
    <w:rsid w:val="00D14323"/>
    <w:rsid w:val="00D1457A"/>
    <w:rsid w:val="00D14763"/>
    <w:rsid w:val="00D14E10"/>
    <w:rsid w:val="00D15088"/>
    <w:rsid w:val="00D1581D"/>
    <w:rsid w:val="00D15A20"/>
    <w:rsid w:val="00D15B6D"/>
    <w:rsid w:val="00D15C8A"/>
    <w:rsid w:val="00D15D9F"/>
    <w:rsid w:val="00D16008"/>
    <w:rsid w:val="00D16148"/>
    <w:rsid w:val="00D166D4"/>
    <w:rsid w:val="00D16AC3"/>
    <w:rsid w:val="00D1715F"/>
    <w:rsid w:val="00D1748D"/>
    <w:rsid w:val="00D17EDB"/>
    <w:rsid w:val="00D20522"/>
    <w:rsid w:val="00D207DC"/>
    <w:rsid w:val="00D2099C"/>
    <w:rsid w:val="00D20D57"/>
    <w:rsid w:val="00D21856"/>
    <w:rsid w:val="00D21F68"/>
    <w:rsid w:val="00D22631"/>
    <w:rsid w:val="00D22C8B"/>
    <w:rsid w:val="00D232E0"/>
    <w:rsid w:val="00D23576"/>
    <w:rsid w:val="00D244B9"/>
    <w:rsid w:val="00D24991"/>
    <w:rsid w:val="00D24A38"/>
    <w:rsid w:val="00D24B8F"/>
    <w:rsid w:val="00D25093"/>
    <w:rsid w:val="00D2555A"/>
    <w:rsid w:val="00D25B17"/>
    <w:rsid w:val="00D2656C"/>
    <w:rsid w:val="00D268F8"/>
    <w:rsid w:val="00D2691F"/>
    <w:rsid w:val="00D2714A"/>
    <w:rsid w:val="00D27F29"/>
    <w:rsid w:val="00D27F8D"/>
    <w:rsid w:val="00D30254"/>
    <w:rsid w:val="00D3039D"/>
    <w:rsid w:val="00D30ED2"/>
    <w:rsid w:val="00D31641"/>
    <w:rsid w:val="00D31EAE"/>
    <w:rsid w:val="00D3204A"/>
    <w:rsid w:val="00D32572"/>
    <w:rsid w:val="00D3258D"/>
    <w:rsid w:val="00D32931"/>
    <w:rsid w:val="00D32A20"/>
    <w:rsid w:val="00D335CB"/>
    <w:rsid w:val="00D335E7"/>
    <w:rsid w:val="00D33768"/>
    <w:rsid w:val="00D337BC"/>
    <w:rsid w:val="00D338CA"/>
    <w:rsid w:val="00D33AF7"/>
    <w:rsid w:val="00D33B0F"/>
    <w:rsid w:val="00D33C02"/>
    <w:rsid w:val="00D33C5C"/>
    <w:rsid w:val="00D33D87"/>
    <w:rsid w:val="00D3420B"/>
    <w:rsid w:val="00D34244"/>
    <w:rsid w:val="00D3433C"/>
    <w:rsid w:val="00D34943"/>
    <w:rsid w:val="00D34C7A"/>
    <w:rsid w:val="00D34F4A"/>
    <w:rsid w:val="00D35077"/>
    <w:rsid w:val="00D350C2"/>
    <w:rsid w:val="00D353B7"/>
    <w:rsid w:val="00D35A6E"/>
    <w:rsid w:val="00D3618E"/>
    <w:rsid w:val="00D3631D"/>
    <w:rsid w:val="00D36B48"/>
    <w:rsid w:val="00D36F5E"/>
    <w:rsid w:val="00D3717A"/>
    <w:rsid w:val="00D37193"/>
    <w:rsid w:val="00D374CE"/>
    <w:rsid w:val="00D37B0B"/>
    <w:rsid w:val="00D37B2F"/>
    <w:rsid w:val="00D37B88"/>
    <w:rsid w:val="00D4004C"/>
    <w:rsid w:val="00D4007F"/>
    <w:rsid w:val="00D405AE"/>
    <w:rsid w:val="00D40612"/>
    <w:rsid w:val="00D408A8"/>
    <w:rsid w:val="00D40B57"/>
    <w:rsid w:val="00D40ECC"/>
    <w:rsid w:val="00D40FA8"/>
    <w:rsid w:val="00D41281"/>
    <w:rsid w:val="00D41458"/>
    <w:rsid w:val="00D415D6"/>
    <w:rsid w:val="00D41844"/>
    <w:rsid w:val="00D418FE"/>
    <w:rsid w:val="00D41A2E"/>
    <w:rsid w:val="00D41A37"/>
    <w:rsid w:val="00D41A48"/>
    <w:rsid w:val="00D41A9C"/>
    <w:rsid w:val="00D41F54"/>
    <w:rsid w:val="00D4230A"/>
    <w:rsid w:val="00D43570"/>
    <w:rsid w:val="00D43656"/>
    <w:rsid w:val="00D438BF"/>
    <w:rsid w:val="00D43C3C"/>
    <w:rsid w:val="00D43DC1"/>
    <w:rsid w:val="00D4404F"/>
    <w:rsid w:val="00D44A7C"/>
    <w:rsid w:val="00D451D2"/>
    <w:rsid w:val="00D45204"/>
    <w:rsid w:val="00D4596B"/>
    <w:rsid w:val="00D45B05"/>
    <w:rsid w:val="00D45BCD"/>
    <w:rsid w:val="00D45DD3"/>
    <w:rsid w:val="00D4647A"/>
    <w:rsid w:val="00D4691C"/>
    <w:rsid w:val="00D46DAE"/>
    <w:rsid w:val="00D46F65"/>
    <w:rsid w:val="00D47334"/>
    <w:rsid w:val="00D474F1"/>
    <w:rsid w:val="00D47583"/>
    <w:rsid w:val="00D47717"/>
    <w:rsid w:val="00D47FE0"/>
    <w:rsid w:val="00D5028B"/>
    <w:rsid w:val="00D5033F"/>
    <w:rsid w:val="00D504D7"/>
    <w:rsid w:val="00D50955"/>
    <w:rsid w:val="00D51346"/>
    <w:rsid w:val="00D51478"/>
    <w:rsid w:val="00D517C5"/>
    <w:rsid w:val="00D51C8F"/>
    <w:rsid w:val="00D51CB6"/>
    <w:rsid w:val="00D51EA2"/>
    <w:rsid w:val="00D5204B"/>
    <w:rsid w:val="00D525BB"/>
    <w:rsid w:val="00D527DA"/>
    <w:rsid w:val="00D528B0"/>
    <w:rsid w:val="00D529D0"/>
    <w:rsid w:val="00D52D14"/>
    <w:rsid w:val="00D52E05"/>
    <w:rsid w:val="00D53460"/>
    <w:rsid w:val="00D53776"/>
    <w:rsid w:val="00D53D59"/>
    <w:rsid w:val="00D53EB7"/>
    <w:rsid w:val="00D5407C"/>
    <w:rsid w:val="00D54256"/>
    <w:rsid w:val="00D54479"/>
    <w:rsid w:val="00D5491A"/>
    <w:rsid w:val="00D54C10"/>
    <w:rsid w:val="00D54C35"/>
    <w:rsid w:val="00D55191"/>
    <w:rsid w:val="00D5520D"/>
    <w:rsid w:val="00D5548F"/>
    <w:rsid w:val="00D5567A"/>
    <w:rsid w:val="00D55ACD"/>
    <w:rsid w:val="00D55CD0"/>
    <w:rsid w:val="00D56D07"/>
    <w:rsid w:val="00D5705E"/>
    <w:rsid w:val="00D570E2"/>
    <w:rsid w:val="00D57106"/>
    <w:rsid w:val="00D57275"/>
    <w:rsid w:val="00D57302"/>
    <w:rsid w:val="00D57544"/>
    <w:rsid w:val="00D57973"/>
    <w:rsid w:val="00D60704"/>
    <w:rsid w:val="00D60710"/>
    <w:rsid w:val="00D60758"/>
    <w:rsid w:val="00D60C12"/>
    <w:rsid w:val="00D60CE2"/>
    <w:rsid w:val="00D61285"/>
    <w:rsid w:val="00D612EC"/>
    <w:rsid w:val="00D6153E"/>
    <w:rsid w:val="00D616AF"/>
    <w:rsid w:val="00D61B32"/>
    <w:rsid w:val="00D61B65"/>
    <w:rsid w:val="00D61B6A"/>
    <w:rsid w:val="00D6219E"/>
    <w:rsid w:val="00D62365"/>
    <w:rsid w:val="00D623C4"/>
    <w:rsid w:val="00D62932"/>
    <w:rsid w:val="00D62CE8"/>
    <w:rsid w:val="00D62E5A"/>
    <w:rsid w:val="00D6334E"/>
    <w:rsid w:val="00D63452"/>
    <w:rsid w:val="00D6355F"/>
    <w:rsid w:val="00D63641"/>
    <w:rsid w:val="00D6373F"/>
    <w:rsid w:val="00D63964"/>
    <w:rsid w:val="00D63C73"/>
    <w:rsid w:val="00D6412B"/>
    <w:rsid w:val="00D64417"/>
    <w:rsid w:val="00D650C7"/>
    <w:rsid w:val="00D658DC"/>
    <w:rsid w:val="00D659A8"/>
    <w:rsid w:val="00D65EB9"/>
    <w:rsid w:val="00D65F5E"/>
    <w:rsid w:val="00D661BD"/>
    <w:rsid w:val="00D66722"/>
    <w:rsid w:val="00D669D3"/>
    <w:rsid w:val="00D67908"/>
    <w:rsid w:val="00D67A13"/>
    <w:rsid w:val="00D67A77"/>
    <w:rsid w:val="00D67A7E"/>
    <w:rsid w:val="00D67BDB"/>
    <w:rsid w:val="00D67D9E"/>
    <w:rsid w:val="00D67E77"/>
    <w:rsid w:val="00D67F40"/>
    <w:rsid w:val="00D70090"/>
    <w:rsid w:val="00D7040F"/>
    <w:rsid w:val="00D70501"/>
    <w:rsid w:val="00D705B2"/>
    <w:rsid w:val="00D7065C"/>
    <w:rsid w:val="00D70AEB"/>
    <w:rsid w:val="00D716B1"/>
    <w:rsid w:val="00D71943"/>
    <w:rsid w:val="00D722BD"/>
    <w:rsid w:val="00D722DF"/>
    <w:rsid w:val="00D72425"/>
    <w:rsid w:val="00D72A2E"/>
    <w:rsid w:val="00D72F01"/>
    <w:rsid w:val="00D73123"/>
    <w:rsid w:val="00D7314B"/>
    <w:rsid w:val="00D733D6"/>
    <w:rsid w:val="00D73A11"/>
    <w:rsid w:val="00D73BDC"/>
    <w:rsid w:val="00D73D21"/>
    <w:rsid w:val="00D741FF"/>
    <w:rsid w:val="00D74ADE"/>
    <w:rsid w:val="00D7569F"/>
    <w:rsid w:val="00D7587C"/>
    <w:rsid w:val="00D75B71"/>
    <w:rsid w:val="00D769B9"/>
    <w:rsid w:val="00D76C5D"/>
    <w:rsid w:val="00D77530"/>
    <w:rsid w:val="00D77699"/>
    <w:rsid w:val="00D7780F"/>
    <w:rsid w:val="00D77ACD"/>
    <w:rsid w:val="00D80577"/>
    <w:rsid w:val="00D80587"/>
    <w:rsid w:val="00D80635"/>
    <w:rsid w:val="00D80795"/>
    <w:rsid w:val="00D80A83"/>
    <w:rsid w:val="00D81A84"/>
    <w:rsid w:val="00D81C1D"/>
    <w:rsid w:val="00D81FE3"/>
    <w:rsid w:val="00D82B3C"/>
    <w:rsid w:val="00D82B81"/>
    <w:rsid w:val="00D82E05"/>
    <w:rsid w:val="00D82E97"/>
    <w:rsid w:val="00D83043"/>
    <w:rsid w:val="00D8308A"/>
    <w:rsid w:val="00D83897"/>
    <w:rsid w:val="00D83FF3"/>
    <w:rsid w:val="00D84461"/>
    <w:rsid w:val="00D84675"/>
    <w:rsid w:val="00D84966"/>
    <w:rsid w:val="00D84D58"/>
    <w:rsid w:val="00D84F14"/>
    <w:rsid w:val="00D8526A"/>
    <w:rsid w:val="00D857AA"/>
    <w:rsid w:val="00D85B30"/>
    <w:rsid w:val="00D8617A"/>
    <w:rsid w:val="00D86252"/>
    <w:rsid w:val="00D865E6"/>
    <w:rsid w:val="00D866F8"/>
    <w:rsid w:val="00D86B05"/>
    <w:rsid w:val="00D86EF5"/>
    <w:rsid w:val="00D86FE2"/>
    <w:rsid w:val="00D8720D"/>
    <w:rsid w:val="00D87928"/>
    <w:rsid w:val="00D87CC5"/>
    <w:rsid w:val="00D87DA9"/>
    <w:rsid w:val="00D901CF"/>
    <w:rsid w:val="00D90841"/>
    <w:rsid w:val="00D910BE"/>
    <w:rsid w:val="00D912B8"/>
    <w:rsid w:val="00D9147A"/>
    <w:rsid w:val="00D917F3"/>
    <w:rsid w:val="00D91A48"/>
    <w:rsid w:val="00D924FB"/>
    <w:rsid w:val="00D92CA4"/>
    <w:rsid w:val="00D92E61"/>
    <w:rsid w:val="00D9350B"/>
    <w:rsid w:val="00D9354F"/>
    <w:rsid w:val="00D935BB"/>
    <w:rsid w:val="00D936DB"/>
    <w:rsid w:val="00D93C6B"/>
    <w:rsid w:val="00D93D91"/>
    <w:rsid w:val="00D93E1A"/>
    <w:rsid w:val="00D94136"/>
    <w:rsid w:val="00D942C7"/>
    <w:rsid w:val="00D9480E"/>
    <w:rsid w:val="00D94C33"/>
    <w:rsid w:val="00D95091"/>
    <w:rsid w:val="00D954DF"/>
    <w:rsid w:val="00D955CA"/>
    <w:rsid w:val="00D95AF0"/>
    <w:rsid w:val="00D95CB0"/>
    <w:rsid w:val="00D966F5"/>
    <w:rsid w:val="00D96854"/>
    <w:rsid w:val="00D96D38"/>
    <w:rsid w:val="00D96E1A"/>
    <w:rsid w:val="00D973B2"/>
    <w:rsid w:val="00D9779A"/>
    <w:rsid w:val="00D97968"/>
    <w:rsid w:val="00D97AA4"/>
    <w:rsid w:val="00D97B23"/>
    <w:rsid w:val="00D97BAA"/>
    <w:rsid w:val="00D97C1A"/>
    <w:rsid w:val="00DA0017"/>
    <w:rsid w:val="00DA01B6"/>
    <w:rsid w:val="00DA0435"/>
    <w:rsid w:val="00DA0469"/>
    <w:rsid w:val="00DA06A2"/>
    <w:rsid w:val="00DA0837"/>
    <w:rsid w:val="00DA0A4D"/>
    <w:rsid w:val="00DA0AA0"/>
    <w:rsid w:val="00DA0EF6"/>
    <w:rsid w:val="00DA13EF"/>
    <w:rsid w:val="00DA149D"/>
    <w:rsid w:val="00DA154E"/>
    <w:rsid w:val="00DA1872"/>
    <w:rsid w:val="00DA1902"/>
    <w:rsid w:val="00DA1AE9"/>
    <w:rsid w:val="00DA1B08"/>
    <w:rsid w:val="00DA2144"/>
    <w:rsid w:val="00DA24EB"/>
    <w:rsid w:val="00DA2A42"/>
    <w:rsid w:val="00DA2E7B"/>
    <w:rsid w:val="00DA2F5D"/>
    <w:rsid w:val="00DA3358"/>
    <w:rsid w:val="00DA3621"/>
    <w:rsid w:val="00DA365C"/>
    <w:rsid w:val="00DA3AF3"/>
    <w:rsid w:val="00DA3B40"/>
    <w:rsid w:val="00DA3B68"/>
    <w:rsid w:val="00DA468D"/>
    <w:rsid w:val="00DA495A"/>
    <w:rsid w:val="00DA4C31"/>
    <w:rsid w:val="00DA4FC9"/>
    <w:rsid w:val="00DA544F"/>
    <w:rsid w:val="00DA5455"/>
    <w:rsid w:val="00DA56D5"/>
    <w:rsid w:val="00DA57F0"/>
    <w:rsid w:val="00DA5C2B"/>
    <w:rsid w:val="00DA5C3E"/>
    <w:rsid w:val="00DA5DCC"/>
    <w:rsid w:val="00DA604F"/>
    <w:rsid w:val="00DA65CD"/>
    <w:rsid w:val="00DA66BE"/>
    <w:rsid w:val="00DA6A06"/>
    <w:rsid w:val="00DA6C17"/>
    <w:rsid w:val="00DA6F07"/>
    <w:rsid w:val="00DA7573"/>
    <w:rsid w:val="00DA75AE"/>
    <w:rsid w:val="00DA790E"/>
    <w:rsid w:val="00DA79B6"/>
    <w:rsid w:val="00DA7A20"/>
    <w:rsid w:val="00DB045B"/>
    <w:rsid w:val="00DB0632"/>
    <w:rsid w:val="00DB0A77"/>
    <w:rsid w:val="00DB0B1C"/>
    <w:rsid w:val="00DB0CF6"/>
    <w:rsid w:val="00DB1369"/>
    <w:rsid w:val="00DB154A"/>
    <w:rsid w:val="00DB1563"/>
    <w:rsid w:val="00DB165A"/>
    <w:rsid w:val="00DB169E"/>
    <w:rsid w:val="00DB18A0"/>
    <w:rsid w:val="00DB1A5E"/>
    <w:rsid w:val="00DB1B04"/>
    <w:rsid w:val="00DB2AC0"/>
    <w:rsid w:val="00DB2E03"/>
    <w:rsid w:val="00DB2F67"/>
    <w:rsid w:val="00DB352C"/>
    <w:rsid w:val="00DB3661"/>
    <w:rsid w:val="00DB39A0"/>
    <w:rsid w:val="00DB3B2A"/>
    <w:rsid w:val="00DB3E83"/>
    <w:rsid w:val="00DB422A"/>
    <w:rsid w:val="00DB4237"/>
    <w:rsid w:val="00DB438A"/>
    <w:rsid w:val="00DB4568"/>
    <w:rsid w:val="00DB4754"/>
    <w:rsid w:val="00DB4897"/>
    <w:rsid w:val="00DB4C27"/>
    <w:rsid w:val="00DB4F28"/>
    <w:rsid w:val="00DB5271"/>
    <w:rsid w:val="00DB5373"/>
    <w:rsid w:val="00DB57E5"/>
    <w:rsid w:val="00DB5EFB"/>
    <w:rsid w:val="00DB6758"/>
    <w:rsid w:val="00DB6E33"/>
    <w:rsid w:val="00DB6EF1"/>
    <w:rsid w:val="00DB6F95"/>
    <w:rsid w:val="00DB7027"/>
    <w:rsid w:val="00DB74DC"/>
    <w:rsid w:val="00DB7560"/>
    <w:rsid w:val="00DB7732"/>
    <w:rsid w:val="00DC05E9"/>
    <w:rsid w:val="00DC0798"/>
    <w:rsid w:val="00DC0FB0"/>
    <w:rsid w:val="00DC100A"/>
    <w:rsid w:val="00DC1055"/>
    <w:rsid w:val="00DC1448"/>
    <w:rsid w:val="00DC15C1"/>
    <w:rsid w:val="00DC1766"/>
    <w:rsid w:val="00DC188E"/>
    <w:rsid w:val="00DC19BB"/>
    <w:rsid w:val="00DC1E49"/>
    <w:rsid w:val="00DC1E51"/>
    <w:rsid w:val="00DC20F3"/>
    <w:rsid w:val="00DC2172"/>
    <w:rsid w:val="00DC220E"/>
    <w:rsid w:val="00DC230F"/>
    <w:rsid w:val="00DC24FF"/>
    <w:rsid w:val="00DC2728"/>
    <w:rsid w:val="00DC2916"/>
    <w:rsid w:val="00DC2982"/>
    <w:rsid w:val="00DC3557"/>
    <w:rsid w:val="00DC39C0"/>
    <w:rsid w:val="00DC3A34"/>
    <w:rsid w:val="00DC3A8D"/>
    <w:rsid w:val="00DC45C9"/>
    <w:rsid w:val="00DC4834"/>
    <w:rsid w:val="00DC4D3A"/>
    <w:rsid w:val="00DC4F32"/>
    <w:rsid w:val="00DC56CA"/>
    <w:rsid w:val="00DC597C"/>
    <w:rsid w:val="00DC6404"/>
    <w:rsid w:val="00DC6B80"/>
    <w:rsid w:val="00DC6B92"/>
    <w:rsid w:val="00DC71CB"/>
    <w:rsid w:val="00DC72B1"/>
    <w:rsid w:val="00DC7B30"/>
    <w:rsid w:val="00DC7B44"/>
    <w:rsid w:val="00DD0248"/>
    <w:rsid w:val="00DD09C9"/>
    <w:rsid w:val="00DD0F88"/>
    <w:rsid w:val="00DD113B"/>
    <w:rsid w:val="00DD1715"/>
    <w:rsid w:val="00DD1D8B"/>
    <w:rsid w:val="00DD2186"/>
    <w:rsid w:val="00DD24BD"/>
    <w:rsid w:val="00DD256C"/>
    <w:rsid w:val="00DD2711"/>
    <w:rsid w:val="00DD2CC2"/>
    <w:rsid w:val="00DD323D"/>
    <w:rsid w:val="00DD332A"/>
    <w:rsid w:val="00DD3D6B"/>
    <w:rsid w:val="00DD3D8D"/>
    <w:rsid w:val="00DD3F27"/>
    <w:rsid w:val="00DD4237"/>
    <w:rsid w:val="00DD4463"/>
    <w:rsid w:val="00DD4818"/>
    <w:rsid w:val="00DD5343"/>
    <w:rsid w:val="00DD57B3"/>
    <w:rsid w:val="00DD5848"/>
    <w:rsid w:val="00DD5D3F"/>
    <w:rsid w:val="00DD613D"/>
    <w:rsid w:val="00DD64C5"/>
    <w:rsid w:val="00DD6F5E"/>
    <w:rsid w:val="00DD701A"/>
    <w:rsid w:val="00DD71B9"/>
    <w:rsid w:val="00DD720C"/>
    <w:rsid w:val="00DD7541"/>
    <w:rsid w:val="00DD7ABC"/>
    <w:rsid w:val="00DD7FDF"/>
    <w:rsid w:val="00DE0776"/>
    <w:rsid w:val="00DE07D9"/>
    <w:rsid w:val="00DE07F7"/>
    <w:rsid w:val="00DE0A68"/>
    <w:rsid w:val="00DE0B09"/>
    <w:rsid w:val="00DE10F6"/>
    <w:rsid w:val="00DE119B"/>
    <w:rsid w:val="00DE12A4"/>
    <w:rsid w:val="00DE1487"/>
    <w:rsid w:val="00DE1703"/>
    <w:rsid w:val="00DE1DEC"/>
    <w:rsid w:val="00DE22D4"/>
    <w:rsid w:val="00DE25AC"/>
    <w:rsid w:val="00DE28B4"/>
    <w:rsid w:val="00DE3132"/>
    <w:rsid w:val="00DE3277"/>
    <w:rsid w:val="00DE33D2"/>
    <w:rsid w:val="00DE34A8"/>
    <w:rsid w:val="00DE3616"/>
    <w:rsid w:val="00DE49C9"/>
    <w:rsid w:val="00DE52EC"/>
    <w:rsid w:val="00DE531D"/>
    <w:rsid w:val="00DE59CD"/>
    <w:rsid w:val="00DE5C58"/>
    <w:rsid w:val="00DE6567"/>
    <w:rsid w:val="00DE6744"/>
    <w:rsid w:val="00DE6CF9"/>
    <w:rsid w:val="00DE795B"/>
    <w:rsid w:val="00DE7FAE"/>
    <w:rsid w:val="00DF01D7"/>
    <w:rsid w:val="00DF035A"/>
    <w:rsid w:val="00DF03CC"/>
    <w:rsid w:val="00DF07F4"/>
    <w:rsid w:val="00DF0806"/>
    <w:rsid w:val="00DF0B38"/>
    <w:rsid w:val="00DF0DBE"/>
    <w:rsid w:val="00DF0EE3"/>
    <w:rsid w:val="00DF0F0F"/>
    <w:rsid w:val="00DF102A"/>
    <w:rsid w:val="00DF147E"/>
    <w:rsid w:val="00DF15E3"/>
    <w:rsid w:val="00DF1CB2"/>
    <w:rsid w:val="00DF212C"/>
    <w:rsid w:val="00DF231F"/>
    <w:rsid w:val="00DF23B6"/>
    <w:rsid w:val="00DF252C"/>
    <w:rsid w:val="00DF26C7"/>
    <w:rsid w:val="00DF2791"/>
    <w:rsid w:val="00DF2A76"/>
    <w:rsid w:val="00DF2B56"/>
    <w:rsid w:val="00DF2D10"/>
    <w:rsid w:val="00DF3514"/>
    <w:rsid w:val="00DF359B"/>
    <w:rsid w:val="00DF405B"/>
    <w:rsid w:val="00DF5355"/>
    <w:rsid w:val="00DF53A8"/>
    <w:rsid w:val="00DF568D"/>
    <w:rsid w:val="00DF5813"/>
    <w:rsid w:val="00DF5CA2"/>
    <w:rsid w:val="00DF6365"/>
    <w:rsid w:val="00DF67D2"/>
    <w:rsid w:val="00DF6CAC"/>
    <w:rsid w:val="00DF7317"/>
    <w:rsid w:val="00DF7469"/>
    <w:rsid w:val="00DF7AA0"/>
    <w:rsid w:val="00DF7E51"/>
    <w:rsid w:val="00E0055D"/>
    <w:rsid w:val="00E008B9"/>
    <w:rsid w:val="00E00C1D"/>
    <w:rsid w:val="00E00CCB"/>
    <w:rsid w:val="00E00EC5"/>
    <w:rsid w:val="00E0145C"/>
    <w:rsid w:val="00E0147F"/>
    <w:rsid w:val="00E01653"/>
    <w:rsid w:val="00E0165D"/>
    <w:rsid w:val="00E016AB"/>
    <w:rsid w:val="00E01C96"/>
    <w:rsid w:val="00E01C97"/>
    <w:rsid w:val="00E01CF9"/>
    <w:rsid w:val="00E0227D"/>
    <w:rsid w:val="00E02940"/>
    <w:rsid w:val="00E02C1E"/>
    <w:rsid w:val="00E0315C"/>
    <w:rsid w:val="00E03206"/>
    <w:rsid w:val="00E0368B"/>
    <w:rsid w:val="00E03E2C"/>
    <w:rsid w:val="00E03EB3"/>
    <w:rsid w:val="00E0427E"/>
    <w:rsid w:val="00E042C7"/>
    <w:rsid w:val="00E04421"/>
    <w:rsid w:val="00E045CC"/>
    <w:rsid w:val="00E046BB"/>
    <w:rsid w:val="00E04C73"/>
    <w:rsid w:val="00E055E3"/>
    <w:rsid w:val="00E05D53"/>
    <w:rsid w:val="00E06010"/>
    <w:rsid w:val="00E0607D"/>
    <w:rsid w:val="00E0651F"/>
    <w:rsid w:val="00E06B1B"/>
    <w:rsid w:val="00E06BB6"/>
    <w:rsid w:val="00E06CF3"/>
    <w:rsid w:val="00E073AC"/>
    <w:rsid w:val="00E0781A"/>
    <w:rsid w:val="00E07DB6"/>
    <w:rsid w:val="00E10368"/>
    <w:rsid w:val="00E10B66"/>
    <w:rsid w:val="00E10B7B"/>
    <w:rsid w:val="00E10CDE"/>
    <w:rsid w:val="00E10D09"/>
    <w:rsid w:val="00E10DA1"/>
    <w:rsid w:val="00E11058"/>
    <w:rsid w:val="00E11475"/>
    <w:rsid w:val="00E116C5"/>
    <w:rsid w:val="00E119E3"/>
    <w:rsid w:val="00E11B88"/>
    <w:rsid w:val="00E11F40"/>
    <w:rsid w:val="00E1275A"/>
    <w:rsid w:val="00E12A46"/>
    <w:rsid w:val="00E13165"/>
    <w:rsid w:val="00E134E0"/>
    <w:rsid w:val="00E13699"/>
    <w:rsid w:val="00E1383C"/>
    <w:rsid w:val="00E13E04"/>
    <w:rsid w:val="00E146D2"/>
    <w:rsid w:val="00E14881"/>
    <w:rsid w:val="00E1494A"/>
    <w:rsid w:val="00E149C5"/>
    <w:rsid w:val="00E14C69"/>
    <w:rsid w:val="00E15CF7"/>
    <w:rsid w:val="00E16142"/>
    <w:rsid w:val="00E167D3"/>
    <w:rsid w:val="00E16D52"/>
    <w:rsid w:val="00E1745B"/>
    <w:rsid w:val="00E175A7"/>
    <w:rsid w:val="00E17C7F"/>
    <w:rsid w:val="00E20168"/>
    <w:rsid w:val="00E203FA"/>
    <w:rsid w:val="00E20695"/>
    <w:rsid w:val="00E20740"/>
    <w:rsid w:val="00E207A3"/>
    <w:rsid w:val="00E20E92"/>
    <w:rsid w:val="00E21106"/>
    <w:rsid w:val="00E21A9B"/>
    <w:rsid w:val="00E21CE2"/>
    <w:rsid w:val="00E21FA5"/>
    <w:rsid w:val="00E22788"/>
    <w:rsid w:val="00E22A6A"/>
    <w:rsid w:val="00E22C01"/>
    <w:rsid w:val="00E23729"/>
    <w:rsid w:val="00E23B80"/>
    <w:rsid w:val="00E23E2E"/>
    <w:rsid w:val="00E2448F"/>
    <w:rsid w:val="00E245DA"/>
    <w:rsid w:val="00E24645"/>
    <w:rsid w:val="00E24817"/>
    <w:rsid w:val="00E24A2B"/>
    <w:rsid w:val="00E24D0D"/>
    <w:rsid w:val="00E24DF7"/>
    <w:rsid w:val="00E2514E"/>
    <w:rsid w:val="00E255C3"/>
    <w:rsid w:val="00E2627F"/>
    <w:rsid w:val="00E268FE"/>
    <w:rsid w:val="00E26AA7"/>
    <w:rsid w:val="00E26BB0"/>
    <w:rsid w:val="00E26BDC"/>
    <w:rsid w:val="00E27177"/>
    <w:rsid w:val="00E274B5"/>
    <w:rsid w:val="00E27DF6"/>
    <w:rsid w:val="00E3066D"/>
    <w:rsid w:val="00E31056"/>
    <w:rsid w:val="00E3157F"/>
    <w:rsid w:val="00E31A74"/>
    <w:rsid w:val="00E31B92"/>
    <w:rsid w:val="00E31BCB"/>
    <w:rsid w:val="00E31C2D"/>
    <w:rsid w:val="00E3286C"/>
    <w:rsid w:val="00E32963"/>
    <w:rsid w:val="00E32D9B"/>
    <w:rsid w:val="00E32DA1"/>
    <w:rsid w:val="00E32DF1"/>
    <w:rsid w:val="00E32E7D"/>
    <w:rsid w:val="00E336E7"/>
    <w:rsid w:val="00E337BC"/>
    <w:rsid w:val="00E33E66"/>
    <w:rsid w:val="00E34160"/>
    <w:rsid w:val="00E34D7C"/>
    <w:rsid w:val="00E34E11"/>
    <w:rsid w:val="00E350CD"/>
    <w:rsid w:val="00E3573A"/>
    <w:rsid w:val="00E36469"/>
    <w:rsid w:val="00E3655C"/>
    <w:rsid w:val="00E36B2E"/>
    <w:rsid w:val="00E36DD1"/>
    <w:rsid w:val="00E36DFD"/>
    <w:rsid w:val="00E36FC6"/>
    <w:rsid w:val="00E372A9"/>
    <w:rsid w:val="00E376F7"/>
    <w:rsid w:val="00E37A16"/>
    <w:rsid w:val="00E4001B"/>
    <w:rsid w:val="00E412A0"/>
    <w:rsid w:val="00E41737"/>
    <w:rsid w:val="00E419BA"/>
    <w:rsid w:val="00E4230B"/>
    <w:rsid w:val="00E42B25"/>
    <w:rsid w:val="00E42CAC"/>
    <w:rsid w:val="00E42D7F"/>
    <w:rsid w:val="00E43094"/>
    <w:rsid w:val="00E435A7"/>
    <w:rsid w:val="00E437FA"/>
    <w:rsid w:val="00E4392B"/>
    <w:rsid w:val="00E43B54"/>
    <w:rsid w:val="00E43C8D"/>
    <w:rsid w:val="00E43E14"/>
    <w:rsid w:val="00E43E7D"/>
    <w:rsid w:val="00E44118"/>
    <w:rsid w:val="00E44CC2"/>
    <w:rsid w:val="00E45240"/>
    <w:rsid w:val="00E45711"/>
    <w:rsid w:val="00E45A4C"/>
    <w:rsid w:val="00E461C0"/>
    <w:rsid w:val="00E46B7C"/>
    <w:rsid w:val="00E46B9D"/>
    <w:rsid w:val="00E46C8C"/>
    <w:rsid w:val="00E46E9E"/>
    <w:rsid w:val="00E47262"/>
    <w:rsid w:val="00E477D3"/>
    <w:rsid w:val="00E47C2E"/>
    <w:rsid w:val="00E500A8"/>
    <w:rsid w:val="00E50274"/>
    <w:rsid w:val="00E506CB"/>
    <w:rsid w:val="00E507F3"/>
    <w:rsid w:val="00E50B9E"/>
    <w:rsid w:val="00E50D03"/>
    <w:rsid w:val="00E50E3D"/>
    <w:rsid w:val="00E50F64"/>
    <w:rsid w:val="00E51E10"/>
    <w:rsid w:val="00E51FDE"/>
    <w:rsid w:val="00E522E2"/>
    <w:rsid w:val="00E52A16"/>
    <w:rsid w:val="00E52D5F"/>
    <w:rsid w:val="00E5333A"/>
    <w:rsid w:val="00E534B2"/>
    <w:rsid w:val="00E535E3"/>
    <w:rsid w:val="00E53C01"/>
    <w:rsid w:val="00E53CBB"/>
    <w:rsid w:val="00E54173"/>
    <w:rsid w:val="00E54670"/>
    <w:rsid w:val="00E54730"/>
    <w:rsid w:val="00E55255"/>
    <w:rsid w:val="00E55391"/>
    <w:rsid w:val="00E55C43"/>
    <w:rsid w:val="00E55CD2"/>
    <w:rsid w:val="00E5659E"/>
    <w:rsid w:val="00E565C1"/>
    <w:rsid w:val="00E56A68"/>
    <w:rsid w:val="00E56B66"/>
    <w:rsid w:val="00E56EDF"/>
    <w:rsid w:val="00E5718E"/>
    <w:rsid w:val="00E57676"/>
    <w:rsid w:val="00E57807"/>
    <w:rsid w:val="00E5794C"/>
    <w:rsid w:val="00E579AF"/>
    <w:rsid w:val="00E57B5A"/>
    <w:rsid w:val="00E57CF3"/>
    <w:rsid w:val="00E602FD"/>
    <w:rsid w:val="00E6046D"/>
    <w:rsid w:val="00E60545"/>
    <w:rsid w:val="00E606F8"/>
    <w:rsid w:val="00E60BEA"/>
    <w:rsid w:val="00E622CC"/>
    <w:rsid w:val="00E62523"/>
    <w:rsid w:val="00E631EB"/>
    <w:rsid w:val="00E63D14"/>
    <w:rsid w:val="00E64377"/>
    <w:rsid w:val="00E64563"/>
    <w:rsid w:val="00E6468A"/>
    <w:rsid w:val="00E64C81"/>
    <w:rsid w:val="00E64EB2"/>
    <w:rsid w:val="00E65035"/>
    <w:rsid w:val="00E6591E"/>
    <w:rsid w:val="00E65A5A"/>
    <w:rsid w:val="00E65D4D"/>
    <w:rsid w:val="00E661B0"/>
    <w:rsid w:val="00E6643C"/>
    <w:rsid w:val="00E665AC"/>
    <w:rsid w:val="00E67B06"/>
    <w:rsid w:val="00E67C7F"/>
    <w:rsid w:val="00E67FF0"/>
    <w:rsid w:val="00E705B7"/>
    <w:rsid w:val="00E7086E"/>
    <w:rsid w:val="00E70A6F"/>
    <w:rsid w:val="00E70B13"/>
    <w:rsid w:val="00E70B1D"/>
    <w:rsid w:val="00E70ECC"/>
    <w:rsid w:val="00E71109"/>
    <w:rsid w:val="00E7156C"/>
    <w:rsid w:val="00E7180E"/>
    <w:rsid w:val="00E71839"/>
    <w:rsid w:val="00E719CE"/>
    <w:rsid w:val="00E71A89"/>
    <w:rsid w:val="00E71AD9"/>
    <w:rsid w:val="00E71C09"/>
    <w:rsid w:val="00E71C3C"/>
    <w:rsid w:val="00E71C98"/>
    <w:rsid w:val="00E71DE5"/>
    <w:rsid w:val="00E71FC7"/>
    <w:rsid w:val="00E7208C"/>
    <w:rsid w:val="00E724E0"/>
    <w:rsid w:val="00E729D9"/>
    <w:rsid w:val="00E730D9"/>
    <w:rsid w:val="00E73745"/>
    <w:rsid w:val="00E7396B"/>
    <w:rsid w:val="00E73B25"/>
    <w:rsid w:val="00E73EAD"/>
    <w:rsid w:val="00E744A6"/>
    <w:rsid w:val="00E74CFD"/>
    <w:rsid w:val="00E754BA"/>
    <w:rsid w:val="00E757CF"/>
    <w:rsid w:val="00E7694D"/>
    <w:rsid w:val="00E770B5"/>
    <w:rsid w:val="00E77100"/>
    <w:rsid w:val="00E77197"/>
    <w:rsid w:val="00E771D0"/>
    <w:rsid w:val="00E77A3E"/>
    <w:rsid w:val="00E77ABB"/>
    <w:rsid w:val="00E77BDC"/>
    <w:rsid w:val="00E77CA4"/>
    <w:rsid w:val="00E80176"/>
    <w:rsid w:val="00E801A5"/>
    <w:rsid w:val="00E805D1"/>
    <w:rsid w:val="00E80927"/>
    <w:rsid w:val="00E80A7D"/>
    <w:rsid w:val="00E80AFC"/>
    <w:rsid w:val="00E8125A"/>
    <w:rsid w:val="00E815BB"/>
    <w:rsid w:val="00E81930"/>
    <w:rsid w:val="00E81AE1"/>
    <w:rsid w:val="00E81B1A"/>
    <w:rsid w:val="00E820D3"/>
    <w:rsid w:val="00E82B43"/>
    <w:rsid w:val="00E82B77"/>
    <w:rsid w:val="00E82FD8"/>
    <w:rsid w:val="00E83213"/>
    <w:rsid w:val="00E833E5"/>
    <w:rsid w:val="00E8459C"/>
    <w:rsid w:val="00E848A0"/>
    <w:rsid w:val="00E84AC6"/>
    <w:rsid w:val="00E84F5C"/>
    <w:rsid w:val="00E84FB3"/>
    <w:rsid w:val="00E856FD"/>
    <w:rsid w:val="00E85F4A"/>
    <w:rsid w:val="00E8659A"/>
    <w:rsid w:val="00E86727"/>
    <w:rsid w:val="00E86A3E"/>
    <w:rsid w:val="00E86D40"/>
    <w:rsid w:val="00E86E52"/>
    <w:rsid w:val="00E86E7B"/>
    <w:rsid w:val="00E86F68"/>
    <w:rsid w:val="00E87037"/>
    <w:rsid w:val="00E870BC"/>
    <w:rsid w:val="00E870F1"/>
    <w:rsid w:val="00E871A4"/>
    <w:rsid w:val="00E90092"/>
    <w:rsid w:val="00E9045C"/>
    <w:rsid w:val="00E9069A"/>
    <w:rsid w:val="00E90A37"/>
    <w:rsid w:val="00E90BAB"/>
    <w:rsid w:val="00E90ED5"/>
    <w:rsid w:val="00E921B5"/>
    <w:rsid w:val="00E924B4"/>
    <w:rsid w:val="00E92854"/>
    <w:rsid w:val="00E92BD2"/>
    <w:rsid w:val="00E92D47"/>
    <w:rsid w:val="00E932F4"/>
    <w:rsid w:val="00E93851"/>
    <w:rsid w:val="00E93C69"/>
    <w:rsid w:val="00E940E0"/>
    <w:rsid w:val="00E94373"/>
    <w:rsid w:val="00E945C3"/>
    <w:rsid w:val="00E9599F"/>
    <w:rsid w:val="00E95E22"/>
    <w:rsid w:val="00E96A24"/>
    <w:rsid w:val="00E96D70"/>
    <w:rsid w:val="00E97299"/>
    <w:rsid w:val="00E9756E"/>
    <w:rsid w:val="00E9767C"/>
    <w:rsid w:val="00E97F43"/>
    <w:rsid w:val="00EA00E9"/>
    <w:rsid w:val="00EA02BC"/>
    <w:rsid w:val="00EA0F03"/>
    <w:rsid w:val="00EA0F81"/>
    <w:rsid w:val="00EA1D5F"/>
    <w:rsid w:val="00EA1EF9"/>
    <w:rsid w:val="00EA22F0"/>
    <w:rsid w:val="00EA252B"/>
    <w:rsid w:val="00EA2642"/>
    <w:rsid w:val="00EA2CA0"/>
    <w:rsid w:val="00EA2F04"/>
    <w:rsid w:val="00EA2F09"/>
    <w:rsid w:val="00EA3031"/>
    <w:rsid w:val="00EA31C2"/>
    <w:rsid w:val="00EA38EC"/>
    <w:rsid w:val="00EA49B0"/>
    <w:rsid w:val="00EA4A6F"/>
    <w:rsid w:val="00EA5134"/>
    <w:rsid w:val="00EA5760"/>
    <w:rsid w:val="00EA5B41"/>
    <w:rsid w:val="00EA5C13"/>
    <w:rsid w:val="00EA5D50"/>
    <w:rsid w:val="00EA600A"/>
    <w:rsid w:val="00EA60B4"/>
    <w:rsid w:val="00EA60D1"/>
    <w:rsid w:val="00EA638B"/>
    <w:rsid w:val="00EA693A"/>
    <w:rsid w:val="00EA6BDE"/>
    <w:rsid w:val="00EA6E44"/>
    <w:rsid w:val="00EA7237"/>
    <w:rsid w:val="00EA7309"/>
    <w:rsid w:val="00EA7BBA"/>
    <w:rsid w:val="00EB055B"/>
    <w:rsid w:val="00EB070A"/>
    <w:rsid w:val="00EB0DC2"/>
    <w:rsid w:val="00EB0F83"/>
    <w:rsid w:val="00EB0F9A"/>
    <w:rsid w:val="00EB112A"/>
    <w:rsid w:val="00EB1868"/>
    <w:rsid w:val="00EB1B82"/>
    <w:rsid w:val="00EB1C86"/>
    <w:rsid w:val="00EB2620"/>
    <w:rsid w:val="00EB2A5A"/>
    <w:rsid w:val="00EB2B91"/>
    <w:rsid w:val="00EB2FE6"/>
    <w:rsid w:val="00EB3330"/>
    <w:rsid w:val="00EB37CB"/>
    <w:rsid w:val="00EB3902"/>
    <w:rsid w:val="00EB4040"/>
    <w:rsid w:val="00EB4605"/>
    <w:rsid w:val="00EB46AF"/>
    <w:rsid w:val="00EB47AB"/>
    <w:rsid w:val="00EB47FD"/>
    <w:rsid w:val="00EB4EDE"/>
    <w:rsid w:val="00EB51BA"/>
    <w:rsid w:val="00EB52F5"/>
    <w:rsid w:val="00EB5478"/>
    <w:rsid w:val="00EB57D6"/>
    <w:rsid w:val="00EB5AB2"/>
    <w:rsid w:val="00EB5DD1"/>
    <w:rsid w:val="00EB5F34"/>
    <w:rsid w:val="00EB6050"/>
    <w:rsid w:val="00EB6570"/>
    <w:rsid w:val="00EB67F6"/>
    <w:rsid w:val="00EB6AFC"/>
    <w:rsid w:val="00EB73D7"/>
    <w:rsid w:val="00EB788A"/>
    <w:rsid w:val="00EB7999"/>
    <w:rsid w:val="00EB7AFB"/>
    <w:rsid w:val="00EB7BA4"/>
    <w:rsid w:val="00EC0587"/>
    <w:rsid w:val="00EC0A68"/>
    <w:rsid w:val="00EC1212"/>
    <w:rsid w:val="00EC13D6"/>
    <w:rsid w:val="00EC18EA"/>
    <w:rsid w:val="00EC1D3D"/>
    <w:rsid w:val="00EC1DF2"/>
    <w:rsid w:val="00EC2085"/>
    <w:rsid w:val="00EC25E4"/>
    <w:rsid w:val="00EC2624"/>
    <w:rsid w:val="00EC2CBA"/>
    <w:rsid w:val="00EC313F"/>
    <w:rsid w:val="00EC3151"/>
    <w:rsid w:val="00EC3331"/>
    <w:rsid w:val="00EC34D4"/>
    <w:rsid w:val="00EC35CF"/>
    <w:rsid w:val="00EC4139"/>
    <w:rsid w:val="00EC45E0"/>
    <w:rsid w:val="00EC48E1"/>
    <w:rsid w:val="00EC49CE"/>
    <w:rsid w:val="00EC4A6B"/>
    <w:rsid w:val="00EC4D83"/>
    <w:rsid w:val="00EC518F"/>
    <w:rsid w:val="00EC52CC"/>
    <w:rsid w:val="00EC537B"/>
    <w:rsid w:val="00EC59DE"/>
    <w:rsid w:val="00EC5B5B"/>
    <w:rsid w:val="00EC5BEA"/>
    <w:rsid w:val="00EC5E2A"/>
    <w:rsid w:val="00EC677E"/>
    <w:rsid w:val="00EC6E37"/>
    <w:rsid w:val="00EC6F31"/>
    <w:rsid w:val="00EC7071"/>
    <w:rsid w:val="00EC7B7E"/>
    <w:rsid w:val="00EC7E67"/>
    <w:rsid w:val="00EC7FED"/>
    <w:rsid w:val="00ED03E8"/>
    <w:rsid w:val="00ED0585"/>
    <w:rsid w:val="00ED05BA"/>
    <w:rsid w:val="00ED0903"/>
    <w:rsid w:val="00ED0CCD"/>
    <w:rsid w:val="00ED10AF"/>
    <w:rsid w:val="00ED1435"/>
    <w:rsid w:val="00ED1AD3"/>
    <w:rsid w:val="00ED1D98"/>
    <w:rsid w:val="00ED1F5D"/>
    <w:rsid w:val="00ED2457"/>
    <w:rsid w:val="00ED3143"/>
    <w:rsid w:val="00ED389B"/>
    <w:rsid w:val="00ED3E97"/>
    <w:rsid w:val="00ED3F10"/>
    <w:rsid w:val="00ED496E"/>
    <w:rsid w:val="00ED4CE6"/>
    <w:rsid w:val="00ED5206"/>
    <w:rsid w:val="00ED5536"/>
    <w:rsid w:val="00ED56CF"/>
    <w:rsid w:val="00ED58DA"/>
    <w:rsid w:val="00ED592A"/>
    <w:rsid w:val="00ED5A48"/>
    <w:rsid w:val="00ED5B5C"/>
    <w:rsid w:val="00ED5DC1"/>
    <w:rsid w:val="00ED6542"/>
    <w:rsid w:val="00ED6787"/>
    <w:rsid w:val="00ED6958"/>
    <w:rsid w:val="00ED6B5A"/>
    <w:rsid w:val="00ED6C2B"/>
    <w:rsid w:val="00ED70BD"/>
    <w:rsid w:val="00ED757F"/>
    <w:rsid w:val="00ED7934"/>
    <w:rsid w:val="00ED7A88"/>
    <w:rsid w:val="00ED7D28"/>
    <w:rsid w:val="00EE0B3E"/>
    <w:rsid w:val="00EE0BAA"/>
    <w:rsid w:val="00EE1FD6"/>
    <w:rsid w:val="00EE2536"/>
    <w:rsid w:val="00EE2572"/>
    <w:rsid w:val="00EE3556"/>
    <w:rsid w:val="00EE37BB"/>
    <w:rsid w:val="00EE37C3"/>
    <w:rsid w:val="00EE3EB9"/>
    <w:rsid w:val="00EE433C"/>
    <w:rsid w:val="00EE4784"/>
    <w:rsid w:val="00EE499B"/>
    <w:rsid w:val="00EE4DC2"/>
    <w:rsid w:val="00EE4FEA"/>
    <w:rsid w:val="00EE5100"/>
    <w:rsid w:val="00EE5259"/>
    <w:rsid w:val="00EE5E03"/>
    <w:rsid w:val="00EE60E0"/>
    <w:rsid w:val="00EE612E"/>
    <w:rsid w:val="00EE64CC"/>
    <w:rsid w:val="00EE64EA"/>
    <w:rsid w:val="00EE7C48"/>
    <w:rsid w:val="00EE7D69"/>
    <w:rsid w:val="00EF0098"/>
    <w:rsid w:val="00EF0EBC"/>
    <w:rsid w:val="00EF0F35"/>
    <w:rsid w:val="00EF1BEB"/>
    <w:rsid w:val="00EF259B"/>
    <w:rsid w:val="00EF2BBC"/>
    <w:rsid w:val="00EF2D2F"/>
    <w:rsid w:val="00EF3296"/>
    <w:rsid w:val="00EF3F1B"/>
    <w:rsid w:val="00EF4058"/>
    <w:rsid w:val="00EF4099"/>
    <w:rsid w:val="00EF40E0"/>
    <w:rsid w:val="00EF4802"/>
    <w:rsid w:val="00EF4919"/>
    <w:rsid w:val="00EF54F5"/>
    <w:rsid w:val="00EF5634"/>
    <w:rsid w:val="00EF5E81"/>
    <w:rsid w:val="00EF6012"/>
    <w:rsid w:val="00EF618A"/>
    <w:rsid w:val="00EF6BDC"/>
    <w:rsid w:val="00EF6CCE"/>
    <w:rsid w:val="00EF7866"/>
    <w:rsid w:val="00EF7C74"/>
    <w:rsid w:val="00F00129"/>
    <w:rsid w:val="00F00756"/>
    <w:rsid w:val="00F00757"/>
    <w:rsid w:val="00F0079B"/>
    <w:rsid w:val="00F00853"/>
    <w:rsid w:val="00F00F91"/>
    <w:rsid w:val="00F011EB"/>
    <w:rsid w:val="00F017EF"/>
    <w:rsid w:val="00F0190F"/>
    <w:rsid w:val="00F0197A"/>
    <w:rsid w:val="00F01A8C"/>
    <w:rsid w:val="00F01C4C"/>
    <w:rsid w:val="00F02069"/>
    <w:rsid w:val="00F02786"/>
    <w:rsid w:val="00F0305E"/>
    <w:rsid w:val="00F0322B"/>
    <w:rsid w:val="00F041E3"/>
    <w:rsid w:val="00F042BC"/>
    <w:rsid w:val="00F0434F"/>
    <w:rsid w:val="00F047C3"/>
    <w:rsid w:val="00F04824"/>
    <w:rsid w:val="00F04911"/>
    <w:rsid w:val="00F0501F"/>
    <w:rsid w:val="00F0515B"/>
    <w:rsid w:val="00F0548B"/>
    <w:rsid w:val="00F05A0F"/>
    <w:rsid w:val="00F05D0A"/>
    <w:rsid w:val="00F05F44"/>
    <w:rsid w:val="00F0625B"/>
    <w:rsid w:val="00F063E9"/>
    <w:rsid w:val="00F0670F"/>
    <w:rsid w:val="00F06894"/>
    <w:rsid w:val="00F0692E"/>
    <w:rsid w:val="00F06E8B"/>
    <w:rsid w:val="00F06ED2"/>
    <w:rsid w:val="00F0714B"/>
    <w:rsid w:val="00F07B6E"/>
    <w:rsid w:val="00F07BE9"/>
    <w:rsid w:val="00F07D9C"/>
    <w:rsid w:val="00F07FA6"/>
    <w:rsid w:val="00F07FF2"/>
    <w:rsid w:val="00F10212"/>
    <w:rsid w:val="00F10335"/>
    <w:rsid w:val="00F107A7"/>
    <w:rsid w:val="00F10DA2"/>
    <w:rsid w:val="00F111FB"/>
    <w:rsid w:val="00F1148B"/>
    <w:rsid w:val="00F11BB3"/>
    <w:rsid w:val="00F12DA2"/>
    <w:rsid w:val="00F12DFC"/>
    <w:rsid w:val="00F13036"/>
    <w:rsid w:val="00F130D3"/>
    <w:rsid w:val="00F1313D"/>
    <w:rsid w:val="00F1321A"/>
    <w:rsid w:val="00F1340F"/>
    <w:rsid w:val="00F13821"/>
    <w:rsid w:val="00F138C2"/>
    <w:rsid w:val="00F13A28"/>
    <w:rsid w:val="00F13B29"/>
    <w:rsid w:val="00F141A4"/>
    <w:rsid w:val="00F143B4"/>
    <w:rsid w:val="00F143D8"/>
    <w:rsid w:val="00F14C5E"/>
    <w:rsid w:val="00F15A96"/>
    <w:rsid w:val="00F15E45"/>
    <w:rsid w:val="00F16434"/>
    <w:rsid w:val="00F16E23"/>
    <w:rsid w:val="00F171B6"/>
    <w:rsid w:val="00F174C5"/>
    <w:rsid w:val="00F1768E"/>
    <w:rsid w:val="00F20226"/>
    <w:rsid w:val="00F2026F"/>
    <w:rsid w:val="00F2045B"/>
    <w:rsid w:val="00F206C3"/>
    <w:rsid w:val="00F208BF"/>
    <w:rsid w:val="00F21040"/>
    <w:rsid w:val="00F21044"/>
    <w:rsid w:val="00F21269"/>
    <w:rsid w:val="00F2127D"/>
    <w:rsid w:val="00F212C0"/>
    <w:rsid w:val="00F215DE"/>
    <w:rsid w:val="00F2184C"/>
    <w:rsid w:val="00F21C3E"/>
    <w:rsid w:val="00F21D1A"/>
    <w:rsid w:val="00F22865"/>
    <w:rsid w:val="00F22D41"/>
    <w:rsid w:val="00F23537"/>
    <w:rsid w:val="00F23D2E"/>
    <w:rsid w:val="00F24605"/>
    <w:rsid w:val="00F24857"/>
    <w:rsid w:val="00F24A24"/>
    <w:rsid w:val="00F24B2C"/>
    <w:rsid w:val="00F24D75"/>
    <w:rsid w:val="00F25267"/>
    <w:rsid w:val="00F255E7"/>
    <w:rsid w:val="00F25CD9"/>
    <w:rsid w:val="00F261DB"/>
    <w:rsid w:val="00F261E3"/>
    <w:rsid w:val="00F263E1"/>
    <w:rsid w:val="00F26ED4"/>
    <w:rsid w:val="00F26F16"/>
    <w:rsid w:val="00F272D0"/>
    <w:rsid w:val="00F27507"/>
    <w:rsid w:val="00F30382"/>
    <w:rsid w:val="00F306D5"/>
    <w:rsid w:val="00F3070F"/>
    <w:rsid w:val="00F30BC8"/>
    <w:rsid w:val="00F30EA8"/>
    <w:rsid w:val="00F30EB3"/>
    <w:rsid w:val="00F30F36"/>
    <w:rsid w:val="00F310F2"/>
    <w:rsid w:val="00F31292"/>
    <w:rsid w:val="00F313BB"/>
    <w:rsid w:val="00F315FB"/>
    <w:rsid w:val="00F3221A"/>
    <w:rsid w:val="00F32AD1"/>
    <w:rsid w:val="00F32DE1"/>
    <w:rsid w:val="00F32E80"/>
    <w:rsid w:val="00F33672"/>
    <w:rsid w:val="00F33897"/>
    <w:rsid w:val="00F33D57"/>
    <w:rsid w:val="00F33E16"/>
    <w:rsid w:val="00F34273"/>
    <w:rsid w:val="00F3465D"/>
    <w:rsid w:val="00F34B2F"/>
    <w:rsid w:val="00F34DE5"/>
    <w:rsid w:val="00F34F33"/>
    <w:rsid w:val="00F354B1"/>
    <w:rsid w:val="00F35DC9"/>
    <w:rsid w:val="00F35E03"/>
    <w:rsid w:val="00F36247"/>
    <w:rsid w:val="00F366D8"/>
    <w:rsid w:val="00F369B6"/>
    <w:rsid w:val="00F369C8"/>
    <w:rsid w:val="00F36D1F"/>
    <w:rsid w:val="00F3712A"/>
    <w:rsid w:val="00F3733E"/>
    <w:rsid w:val="00F3754C"/>
    <w:rsid w:val="00F3769E"/>
    <w:rsid w:val="00F37897"/>
    <w:rsid w:val="00F37910"/>
    <w:rsid w:val="00F379DF"/>
    <w:rsid w:val="00F40017"/>
    <w:rsid w:val="00F40370"/>
    <w:rsid w:val="00F4040D"/>
    <w:rsid w:val="00F4053E"/>
    <w:rsid w:val="00F4062C"/>
    <w:rsid w:val="00F40A8D"/>
    <w:rsid w:val="00F40DF6"/>
    <w:rsid w:val="00F40F06"/>
    <w:rsid w:val="00F40FC3"/>
    <w:rsid w:val="00F41172"/>
    <w:rsid w:val="00F4136E"/>
    <w:rsid w:val="00F41929"/>
    <w:rsid w:val="00F41A10"/>
    <w:rsid w:val="00F41A2A"/>
    <w:rsid w:val="00F41CE6"/>
    <w:rsid w:val="00F42187"/>
    <w:rsid w:val="00F4232F"/>
    <w:rsid w:val="00F4262C"/>
    <w:rsid w:val="00F42669"/>
    <w:rsid w:val="00F42C0E"/>
    <w:rsid w:val="00F42D65"/>
    <w:rsid w:val="00F43342"/>
    <w:rsid w:val="00F4374F"/>
    <w:rsid w:val="00F439E0"/>
    <w:rsid w:val="00F44A42"/>
    <w:rsid w:val="00F44B8E"/>
    <w:rsid w:val="00F451CA"/>
    <w:rsid w:val="00F453DA"/>
    <w:rsid w:val="00F456F9"/>
    <w:rsid w:val="00F464B4"/>
    <w:rsid w:val="00F46A6E"/>
    <w:rsid w:val="00F46AE4"/>
    <w:rsid w:val="00F47128"/>
    <w:rsid w:val="00F4720B"/>
    <w:rsid w:val="00F4749B"/>
    <w:rsid w:val="00F47EE7"/>
    <w:rsid w:val="00F50598"/>
    <w:rsid w:val="00F50870"/>
    <w:rsid w:val="00F50B4B"/>
    <w:rsid w:val="00F511A1"/>
    <w:rsid w:val="00F5140F"/>
    <w:rsid w:val="00F514FB"/>
    <w:rsid w:val="00F52083"/>
    <w:rsid w:val="00F5219A"/>
    <w:rsid w:val="00F52B73"/>
    <w:rsid w:val="00F52B7B"/>
    <w:rsid w:val="00F5315D"/>
    <w:rsid w:val="00F53931"/>
    <w:rsid w:val="00F53C92"/>
    <w:rsid w:val="00F53DBF"/>
    <w:rsid w:val="00F546C8"/>
    <w:rsid w:val="00F547B8"/>
    <w:rsid w:val="00F54832"/>
    <w:rsid w:val="00F5608D"/>
    <w:rsid w:val="00F562BC"/>
    <w:rsid w:val="00F5670C"/>
    <w:rsid w:val="00F56942"/>
    <w:rsid w:val="00F56B1B"/>
    <w:rsid w:val="00F56C0C"/>
    <w:rsid w:val="00F56CE9"/>
    <w:rsid w:val="00F56D53"/>
    <w:rsid w:val="00F56F70"/>
    <w:rsid w:val="00F56FB1"/>
    <w:rsid w:val="00F57D5B"/>
    <w:rsid w:val="00F60636"/>
    <w:rsid w:val="00F60666"/>
    <w:rsid w:val="00F60F4E"/>
    <w:rsid w:val="00F61151"/>
    <w:rsid w:val="00F614BE"/>
    <w:rsid w:val="00F619D1"/>
    <w:rsid w:val="00F61CAA"/>
    <w:rsid w:val="00F620A2"/>
    <w:rsid w:val="00F628E9"/>
    <w:rsid w:val="00F62E6E"/>
    <w:rsid w:val="00F62FCB"/>
    <w:rsid w:val="00F62FF9"/>
    <w:rsid w:val="00F63723"/>
    <w:rsid w:val="00F63779"/>
    <w:rsid w:val="00F63E5F"/>
    <w:rsid w:val="00F64223"/>
    <w:rsid w:val="00F64CFA"/>
    <w:rsid w:val="00F64D46"/>
    <w:rsid w:val="00F64E44"/>
    <w:rsid w:val="00F64ECE"/>
    <w:rsid w:val="00F65200"/>
    <w:rsid w:val="00F652DC"/>
    <w:rsid w:val="00F65417"/>
    <w:rsid w:val="00F655A1"/>
    <w:rsid w:val="00F655EB"/>
    <w:rsid w:val="00F65C69"/>
    <w:rsid w:val="00F66CFB"/>
    <w:rsid w:val="00F66DD9"/>
    <w:rsid w:val="00F670E4"/>
    <w:rsid w:val="00F6719C"/>
    <w:rsid w:val="00F67501"/>
    <w:rsid w:val="00F67B6E"/>
    <w:rsid w:val="00F67DAF"/>
    <w:rsid w:val="00F70129"/>
    <w:rsid w:val="00F703E2"/>
    <w:rsid w:val="00F7087A"/>
    <w:rsid w:val="00F70B07"/>
    <w:rsid w:val="00F70BBD"/>
    <w:rsid w:val="00F71561"/>
    <w:rsid w:val="00F7174B"/>
    <w:rsid w:val="00F71BB8"/>
    <w:rsid w:val="00F71D1A"/>
    <w:rsid w:val="00F71D42"/>
    <w:rsid w:val="00F71E44"/>
    <w:rsid w:val="00F721B0"/>
    <w:rsid w:val="00F721F3"/>
    <w:rsid w:val="00F7260D"/>
    <w:rsid w:val="00F72953"/>
    <w:rsid w:val="00F72A85"/>
    <w:rsid w:val="00F72B0D"/>
    <w:rsid w:val="00F72CE9"/>
    <w:rsid w:val="00F73459"/>
    <w:rsid w:val="00F73B5B"/>
    <w:rsid w:val="00F73BBF"/>
    <w:rsid w:val="00F74731"/>
    <w:rsid w:val="00F749AF"/>
    <w:rsid w:val="00F74D3B"/>
    <w:rsid w:val="00F75686"/>
    <w:rsid w:val="00F75EB9"/>
    <w:rsid w:val="00F76088"/>
    <w:rsid w:val="00F7633D"/>
    <w:rsid w:val="00F764A4"/>
    <w:rsid w:val="00F76A4E"/>
    <w:rsid w:val="00F76E6E"/>
    <w:rsid w:val="00F77765"/>
    <w:rsid w:val="00F77907"/>
    <w:rsid w:val="00F77EC3"/>
    <w:rsid w:val="00F8049C"/>
    <w:rsid w:val="00F80806"/>
    <w:rsid w:val="00F815B3"/>
    <w:rsid w:val="00F816B4"/>
    <w:rsid w:val="00F817D2"/>
    <w:rsid w:val="00F819B0"/>
    <w:rsid w:val="00F81D98"/>
    <w:rsid w:val="00F81FF1"/>
    <w:rsid w:val="00F823C6"/>
    <w:rsid w:val="00F828C3"/>
    <w:rsid w:val="00F82D53"/>
    <w:rsid w:val="00F82EB4"/>
    <w:rsid w:val="00F842C0"/>
    <w:rsid w:val="00F84E21"/>
    <w:rsid w:val="00F84E26"/>
    <w:rsid w:val="00F84E2D"/>
    <w:rsid w:val="00F84FB1"/>
    <w:rsid w:val="00F85141"/>
    <w:rsid w:val="00F853B8"/>
    <w:rsid w:val="00F85496"/>
    <w:rsid w:val="00F85BB3"/>
    <w:rsid w:val="00F85E98"/>
    <w:rsid w:val="00F86A35"/>
    <w:rsid w:val="00F86BC4"/>
    <w:rsid w:val="00F86F36"/>
    <w:rsid w:val="00F901BF"/>
    <w:rsid w:val="00F90F30"/>
    <w:rsid w:val="00F91036"/>
    <w:rsid w:val="00F9122E"/>
    <w:rsid w:val="00F91762"/>
    <w:rsid w:val="00F91943"/>
    <w:rsid w:val="00F91EDE"/>
    <w:rsid w:val="00F9242E"/>
    <w:rsid w:val="00F92562"/>
    <w:rsid w:val="00F92924"/>
    <w:rsid w:val="00F92A6F"/>
    <w:rsid w:val="00F93086"/>
    <w:rsid w:val="00F930B8"/>
    <w:rsid w:val="00F93675"/>
    <w:rsid w:val="00F9388B"/>
    <w:rsid w:val="00F93A21"/>
    <w:rsid w:val="00F94032"/>
    <w:rsid w:val="00F945ED"/>
    <w:rsid w:val="00F94824"/>
    <w:rsid w:val="00F94C4E"/>
    <w:rsid w:val="00F94D42"/>
    <w:rsid w:val="00F94FA2"/>
    <w:rsid w:val="00F951A5"/>
    <w:rsid w:val="00F9596E"/>
    <w:rsid w:val="00F95989"/>
    <w:rsid w:val="00F96798"/>
    <w:rsid w:val="00F96907"/>
    <w:rsid w:val="00F96919"/>
    <w:rsid w:val="00F9720D"/>
    <w:rsid w:val="00F97A96"/>
    <w:rsid w:val="00FA05EB"/>
    <w:rsid w:val="00FA0A7C"/>
    <w:rsid w:val="00FA10F4"/>
    <w:rsid w:val="00FA18D9"/>
    <w:rsid w:val="00FA19EB"/>
    <w:rsid w:val="00FA1BA5"/>
    <w:rsid w:val="00FA2F63"/>
    <w:rsid w:val="00FA2FFA"/>
    <w:rsid w:val="00FA320A"/>
    <w:rsid w:val="00FA3331"/>
    <w:rsid w:val="00FA3500"/>
    <w:rsid w:val="00FA3EC6"/>
    <w:rsid w:val="00FA3F05"/>
    <w:rsid w:val="00FA40C3"/>
    <w:rsid w:val="00FA46C9"/>
    <w:rsid w:val="00FA480F"/>
    <w:rsid w:val="00FA49B5"/>
    <w:rsid w:val="00FA4BA0"/>
    <w:rsid w:val="00FA511A"/>
    <w:rsid w:val="00FA56B2"/>
    <w:rsid w:val="00FA57AA"/>
    <w:rsid w:val="00FA5833"/>
    <w:rsid w:val="00FA5B48"/>
    <w:rsid w:val="00FA5C88"/>
    <w:rsid w:val="00FA6371"/>
    <w:rsid w:val="00FA6372"/>
    <w:rsid w:val="00FA6845"/>
    <w:rsid w:val="00FA6974"/>
    <w:rsid w:val="00FA6C0A"/>
    <w:rsid w:val="00FA6C8A"/>
    <w:rsid w:val="00FA7188"/>
    <w:rsid w:val="00FA7554"/>
    <w:rsid w:val="00FA7B64"/>
    <w:rsid w:val="00FA7C8B"/>
    <w:rsid w:val="00FB0249"/>
    <w:rsid w:val="00FB0836"/>
    <w:rsid w:val="00FB09C6"/>
    <w:rsid w:val="00FB0AB9"/>
    <w:rsid w:val="00FB1096"/>
    <w:rsid w:val="00FB1257"/>
    <w:rsid w:val="00FB126C"/>
    <w:rsid w:val="00FB130D"/>
    <w:rsid w:val="00FB14BD"/>
    <w:rsid w:val="00FB18A9"/>
    <w:rsid w:val="00FB2004"/>
    <w:rsid w:val="00FB21FA"/>
    <w:rsid w:val="00FB2BEC"/>
    <w:rsid w:val="00FB2D58"/>
    <w:rsid w:val="00FB2E08"/>
    <w:rsid w:val="00FB32EA"/>
    <w:rsid w:val="00FB3362"/>
    <w:rsid w:val="00FB35BA"/>
    <w:rsid w:val="00FB3CE5"/>
    <w:rsid w:val="00FB3E16"/>
    <w:rsid w:val="00FB3ED8"/>
    <w:rsid w:val="00FB407C"/>
    <w:rsid w:val="00FB42F7"/>
    <w:rsid w:val="00FB4E94"/>
    <w:rsid w:val="00FB5337"/>
    <w:rsid w:val="00FB5502"/>
    <w:rsid w:val="00FB575C"/>
    <w:rsid w:val="00FB5971"/>
    <w:rsid w:val="00FB5D88"/>
    <w:rsid w:val="00FB5F1D"/>
    <w:rsid w:val="00FB6235"/>
    <w:rsid w:val="00FB6425"/>
    <w:rsid w:val="00FB6433"/>
    <w:rsid w:val="00FB6485"/>
    <w:rsid w:val="00FB7560"/>
    <w:rsid w:val="00FB77D5"/>
    <w:rsid w:val="00FB789B"/>
    <w:rsid w:val="00FB791F"/>
    <w:rsid w:val="00FB793A"/>
    <w:rsid w:val="00FC01F3"/>
    <w:rsid w:val="00FC0662"/>
    <w:rsid w:val="00FC08E1"/>
    <w:rsid w:val="00FC0B12"/>
    <w:rsid w:val="00FC0E31"/>
    <w:rsid w:val="00FC12B4"/>
    <w:rsid w:val="00FC139C"/>
    <w:rsid w:val="00FC166F"/>
    <w:rsid w:val="00FC18A2"/>
    <w:rsid w:val="00FC1B56"/>
    <w:rsid w:val="00FC1BBE"/>
    <w:rsid w:val="00FC1EDA"/>
    <w:rsid w:val="00FC24A5"/>
    <w:rsid w:val="00FC265F"/>
    <w:rsid w:val="00FC2DFD"/>
    <w:rsid w:val="00FC2E91"/>
    <w:rsid w:val="00FC32C9"/>
    <w:rsid w:val="00FC32F4"/>
    <w:rsid w:val="00FC34B4"/>
    <w:rsid w:val="00FC3A22"/>
    <w:rsid w:val="00FC429F"/>
    <w:rsid w:val="00FC42A6"/>
    <w:rsid w:val="00FC487E"/>
    <w:rsid w:val="00FC4AAB"/>
    <w:rsid w:val="00FC529E"/>
    <w:rsid w:val="00FC53A6"/>
    <w:rsid w:val="00FC5915"/>
    <w:rsid w:val="00FC5D6D"/>
    <w:rsid w:val="00FC5EAF"/>
    <w:rsid w:val="00FC5EED"/>
    <w:rsid w:val="00FC60E1"/>
    <w:rsid w:val="00FC6209"/>
    <w:rsid w:val="00FC641E"/>
    <w:rsid w:val="00FC6C0F"/>
    <w:rsid w:val="00FC6C6C"/>
    <w:rsid w:val="00FC6D3C"/>
    <w:rsid w:val="00FC77E8"/>
    <w:rsid w:val="00FC7890"/>
    <w:rsid w:val="00FC78C3"/>
    <w:rsid w:val="00FC7931"/>
    <w:rsid w:val="00FC7A07"/>
    <w:rsid w:val="00FC7AB2"/>
    <w:rsid w:val="00FC7BDE"/>
    <w:rsid w:val="00FD02B0"/>
    <w:rsid w:val="00FD0544"/>
    <w:rsid w:val="00FD07DD"/>
    <w:rsid w:val="00FD0B0F"/>
    <w:rsid w:val="00FD0B25"/>
    <w:rsid w:val="00FD1ABB"/>
    <w:rsid w:val="00FD2233"/>
    <w:rsid w:val="00FD2786"/>
    <w:rsid w:val="00FD28E1"/>
    <w:rsid w:val="00FD28EA"/>
    <w:rsid w:val="00FD2ABA"/>
    <w:rsid w:val="00FD2BAB"/>
    <w:rsid w:val="00FD391A"/>
    <w:rsid w:val="00FD3BC7"/>
    <w:rsid w:val="00FD3D4F"/>
    <w:rsid w:val="00FD42A0"/>
    <w:rsid w:val="00FD466B"/>
    <w:rsid w:val="00FD4F74"/>
    <w:rsid w:val="00FD55AE"/>
    <w:rsid w:val="00FD57AC"/>
    <w:rsid w:val="00FD600F"/>
    <w:rsid w:val="00FD6657"/>
    <w:rsid w:val="00FD7187"/>
    <w:rsid w:val="00FD72D8"/>
    <w:rsid w:val="00FD76B9"/>
    <w:rsid w:val="00FE015F"/>
    <w:rsid w:val="00FE0276"/>
    <w:rsid w:val="00FE033E"/>
    <w:rsid w:val="00FE1103"/>
    <w:rsid w:val="00FE1190"/>
    <w:rsid w:val="00FE127E"/>
    <w:rsid w:val="00FE13CA"/>
    <w:rsid w:val="00FE25A0"/>
    <w:rsid w:val="00FE2D64"/>
    <w:rsid w:val="00FE2EDE"/>
    <w:rsid w:val="00FE339F"/>
    <w:rsid w:val="00FE3522"/>
    <w:rsid w:val="00FE3546"/>
    <w:rsid w:val="00FE3B5F"/>
    <w:rsid w:val="00FE3D81"/>
    <w:rsid w:val="00FE4043"/>
    <w:rsid w:val="00FE4D61"/>
    <w:rsid w:val="00FE4FB6"/>
    <w:rsid w:val="00FE5873"/>
    <w:rsid w:val="00FE59C2"/>
    <w:rsid w:val="00FE61B0"/>
    <w:rsid w:val="00FE6527"/>
    <w:rsid w:val="00FE6824"/>
    <w:rsid w:val="00FE68C6"/>
    <w:rsid w:val="00FE6ADE"/>
    <w:rsid w:val="00FE6DB7"/>
    <w:rsid w:val="00FE6FB1"/>
    <w:rsid w:val="00FE733C"/>
    <w:rsid w:val="00FE77DD"/>
    <w:rsid w:val="00FE7F90"/>
    <w:rsid w:val="00FF00D3"/>
    <w:rsid w:val="00FF02BC"/>
    <w:rsid w:val="00FF0330"/>
    <w:rsid w:val="00FF0584"/>
    <w:rsid w:val="00FF0CD1"/>
    <w:rsid w:val="00FF1167"/>
    <w:rsid w:val="00FF11E9"/>
    <w:rsid w:val="00FF166A"/>
    <w:rsid w:val="00FF1A54"/>
    <w:rsid w:val="00FF1FC4"/>
    <w:rsid w:val="00FF238F"/>
    <w:rsid w:val="00FF253D"/>
    <w:rsid w:val="00FF2C63"/>
    <w:rsid w:val="00FF2F20"/>
    <w:rsid w:val="00FF40EF"/>
    <w:rsid w:val="00FF4A1B"/>
    <w:rsid w:val="00FF5F8B"/>
    <w:rsid w:val="00FF6396"/>
    <w:rsid w:val="00FF659E"/>
    <w:rsid w:val="00FF6B17"/>
    <w:rsid w:val="00FF6B55"/>
    <w:rsid w:val="00FF7052"/>
    <w:rsid w:val="00FF75F6"/>
    <w:rsid w:val="00FF7D34"/>
    <w:rsid w:val="00FF7E2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B4C91F4"/>
  <w15:docId w15:val="{4470452F-0641-4888-8022-60B68D5698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06A13"/>
    <w:pPr>
      <w:widowControl w:val="0"/>
      <w:spacing w:after="0" w:line="240" w:lineRule="auto"/>
    </w:pPr>
    <w:rPr>
      <w:rFonts w:ascii="Times New Roman" w:eastAsia="Times New Roman" w:hAnsi="Times New Roman" w:cs="Times New Roman"/>
      <w:sz w:val="20"/>
      <w:szCs w:val="20"/>
    </w:rPr>
  </w:style>
  <w:style w:type="paragraph" w:styleId="Heading1">
    <w:name w:val="heading 1"/>
    <w:basedOn w:val="ListParagraph"/>
    <w:next w:val="Normal"/>
    <w:link w:val="Heading1Char"/>
    <w:qFormat/>
    <w:rsid w:val="003D116E"/>
    <w:pPr>
      <w:keepNext/>
      <w:widowControl/>
      <w:numPr>
        <w:numId w:val="1"/>
      </w:numPr>
      <w:autoSpaceDE w:val="0"/>
      <w:autoSpaceDN w:val="0"/>
      <w:spacing w:line="360" w:lineRule="auto"/>
      <w:jc w:val="center"/>
      <w:outlineLvl w:val="0"/>
    </w:pPr>
    <w:rPr>
      <w:b/>
      <w:bCs/>
      <w:sz w:val="26"/>
      <w:szCs w:val="26"/>
    </w:rPr>
  </w:style>
  <w:style w:type="paragraph" w:styleId="Heading2">
    <w:name w:val="heading 2"/>
    <w:basedOn w:val="Normal"/>
    <w:next w:val="Normal"/>
    <w:link w:val="Heading2Char"/>
    <w:uiPriority w:val="9"/>
    <w:unhideWhenUsed/>
    <w:qFormat/>
    <w:rsid w:val="003D116E"/>
    <w:pPr>
      <w:keepNext/>
      <w:keepLines/>
      <w:widowControl/>
      <w:numPr>
        <w:numId w:val="2"/>
      </w:numPr>
      <w:spacing w:line="360" w:lineRule="auto"/>
      <w:ind w:hanging="720"/>
      <w:contextualSpacing/>
      <w:outlineLvl w:val="1"/>
    </w:pPr>
    <w:rPr>
      <w:b/>
      <w:sz w:val="26"/>
      <w:szCs w:val="24"/>
    </w:rPr>
  </w:style>
  <w:style w:type="paragraph" w:styleId="Heading3">
    <w:name w:val="heading 3"/>
    <w:basedOn w:val="Heading2"/>
    <w:next w:val="Normal"/>
    <w:link w:val="Heading3Char"/>
    <w:uiPriority w:val="9"/>
    <w:unhideWhenUsed/>
    <w:qFormat/>
    <w:rsid w:val="009C7B31"/>
    <w:pPr>
      <w:numPr>
        <w:numId w:val="23"/>
      </w:numPr>
      <w:spacing w:line="240" w:lineRule="auto"/>
      <w:ind w:left="1440" w:hanging="720"/>
      <w:outlineLvl w:val="2"/>
    </w:pPr>
    <w:rPr>
      <w:szCs w:val="26"/>
    </w:rPr>
  </w:style>
  <w:style w:type="paragraph" w:styleId="Heading4">
    <w:name w:val="heading 4"/>
    <w:basedOn w:val="Normal"/>
    <w:next w:val="Normal"/>
    <w:link w:val="Heading4Char"/>
    <w:uiPriority w:val="9"/>
    <w:unhideWhenUsed/>
    <w:qFormat/>
    <w:rsid w:val="0059169A"/>
    <w:pPr>
      <w:keepNext/>
      <w:keepLines/>
      <w:widowControl/>
      <w:numPr>
        <w:numId w:val="24"/>
      </w:numPr>
      <w:autoSpaceDE w:val="0"/>
      <w:autoSpaceDN w:val="0"/>
      <w:adjustRightInd w:val="0"/>
      <w:spacing w:line="360" w:lineRule="auto"/>
      <w:ind w:left="2160" w:hanging="720"/>
      <w:contextualSpacing/>
      <w:outlineLvl w:val="3"/>
    </w:pPr>
    <w:rPr>
      <w:b/>
      <w:sz w:val="26"/>
      <w:szCs w:val="26"/>
    </w:rPr>
  </w:style>
  <w:style w:type="paragraph" w:styleId="Heading5">
    <w:name w:val="heading 5"/>
    <w:basedOn w:val="Heading4"/>
    <w:next w:val="Normal"/>
    <w:link w:val="Heading5Char"/>
    <w:uiPriority w:val="9"/>
    <w:unhideWhenUsed/>
    <w:qFormat/>
    <w:rsid w:val="00592B10"/>
    <w:pPr>
      <w:outlineLvl w:val="4"/>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9A17EC"/>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FootnoteReference">
    <w:name w:val="footnote reference"/>
    <w:aliases w:val="o,fr"/>
    <w:basedOn w:val="DefaultParagraphFont"/>
    <w:rsid w:val="00671E4C"/>
    <w:rPr>
      <w:vertAlign w:val="superscript"/>
    </w:rPr>
  </w:style>
  <w:style w:type="character" w:styleId="Hyperlink">
    <w:name w:val="Hyperlink"/>
    <w:basedOn w:val="DefaultParagraphFont"/>
    <w:uiPriority w:val="99"/>
    <w:rsid w:val="00154CB6"/>
    <w:rPr>
      <w:color w:val="0000FF"/>
      <w:u w:val="single"/>
    </w:rPr>
  </w:style>
  <w:style w:type="character" w:customStyle="1" w:styleId="term1">
    <w:name w:val="term1"/>
    <w:basedOn w:val="DefaultParagraphFont"/>
    <w:rsid w:val="00154CB6"/>
    <w:rPr>
      <w:b/>
      <w:bCs/>
    </w:rPr>
  </w:style>
  <w:style w:type="character" w:styleId="Emphasis">
    <w:name w:val="Emphasis"/>
    <w:basedOn w:val="DefaultParagraphFont"/>
    <w:qFormat/>
    <w:rsid w:val="00214B3E"/>
    <w:rPr>
      <w:i/>
      <w:iCs/>
    </w:rPr>
  </w:style>
  <w:style w:type="paragraph" w:styleId="BalloonText">
    <w:name w:val="Balloon Text"/>
    <w:basedOn w:val="Normal"/>
    <w:link w:val="BalloonTextChar"/>
    <w:uiPriority w:val="99"/>
    <w:semiHidden/>
    <w:unhideWhenUsed/>
    <w:rsid w:val="0043592C"/>
    <w:rPr>
      <w:rFonts w:ascii="Tahoma" w:hAnsi="Tahoma" w:cs="Tahoma"/>
      <w:sz w:val="16"/>
      <w:szCs w:val="16"/>
    </w:rPr>
  </w:style>
  <w:style w:type="character" w:customStyle="1" w:styleId="BalloonTextChar">
    <w:name w:val="Balloon Text Char"/>
    <w:basedOn w:val="DefaultParagraphFont"/>
    <w:link w:val="BalloonText"/>
    <w:uiPriority w:val="99"/>
    <w:semiHidden/>
    <w:rsid w:val="0043592C"/>
    <w:rPr>
      <w:rFonts w:ascii="Tahoma" w:eastAsia="Times New Roman" w:hAnsi="Tahoma" w:cs="Tahoma"/>
      <w:sz w:val="16"/>
      <w:szCs w:val="16"/>
    </w:rPr>
  </w:style>
  <w:style w:type="paragraph" w:styleId="EndnoteText">
    <w:name w:val="endnote text"/>
    <w:basedOn w:val="Normal"/>
    <w:link w:val="EndnoteTextChar"/>
    <w:uiPriority w:val="99"/>
    <w:semiHidden/>
    <w:unhideWhenUsed/>
    <w:rsid w:val="00F7174B"/>
  </w:style>
  <w:style w:type="character" w:customStyle="1" w:styleId="EndnoteTextChar">
    <w:name w:val="Endnote Text Char"/>
    <w:basedOn w:val="DefaultParagraphFont"/>
    <w:link w:val="EndnoteText"/>
    <w:uiPriority w:val="99"/>
    <w:semiHidden/>
    <w:rsid w:val="00F7174B"/>
    <w:rPr>
      <w:rFonts w:ascii="Times New Roman" w:eastAsia="Times New Roman" w:hAnsi="Times New Roman" w:cs="Times New Roman"/>
      <w:sz w:val="20"/>
      <w:szCs w:val="20"/>
    </w:rPr>
  </w:style>
  <w:style w:type="character" w:styleId="EndnoteReference">
    <w:name w:val="endnote reference"/>
    <w:basedOn w:val="DefaultParagraphFont"/>
    <w:uiPriority w:val="99"/>
    <w:semiHidden/>
    <w:unhideWhenUsed/>
    <w:rsid w:val="00F7174B"/>
    <w:rPr>
      <w:vertAlign w:val="superscript"/>
    </w:rPr>
  </w:style>
  <w:style w:type="paragraph" w:styleId="FootnoteText">
    <w:name w:val="footnote text"/>
    <w:aliases w:val="Car,fn,ALTS FOOTNOTE,Footnote Text 2,Footnote text,FOOTNOTE,fn Char Char,fn Char,Footnote Text Char1 Char,Footnote Text Char Char Char,ALTS FOOTNOTE Char Char Char,Footnote Text Char2 Char Char Char,Footnote Text Char1,Footnote Text Char2"/>
    <w:basedOn w:val="Normal"/>
    <w:link w:val="FootnoteTextChar"/>
    <w:uiPriority w:val="99"/>
    <w:unhideWhenUsed/>
    <w:qFormat/>
    <w:rsid w:val="00F7174B"/>
  </w:style>
  <w:style w:type="character" w:customStyle="1" w:styleId="FootnoteTextChar">
    <w:name w:val="Footnote Text Char"/>
    <w:aliases w:val="Car Char,fn Char1,ALTS FOOTNOTE Char,Footnote Text 2 Char,Footnote text Char,FOOTNOTE Char,fn Char Char Char,fn Char Char1,Footnote Text Char1 Char Char,Footnote Text Char Char Char Char,ALTS FOOTNOTE Char Char Char Char"/>
    <w:basedOn w:val="DefaultParagraphFont"/>
    <w:link w:val="FootnoteText"/>
    <w:uiPriority w:val="99"/>
    <w:rsid w:val="00F7174B"/>
    <w:rPr>
      <w:rFonts w:ascii="Times New Roman" w:eastAsia="Times New Roman" w:hAnsi="Times New Roman" w:cs="Times New Roman"/>
      <w:sz w:val="20"/>
      <w:szCs w:val="20"/>
    </w:rPr>
  </w:style>
  <w:style w:type="paragraph" w:styleId="Header">
    <w:name w:val="header"/>
    <w:basedOn w:val="Normal"/>
    <w:link w:val="HeaderChar"/>
    <w:uiPriority w:val="99"/>
    <w:unhideWhenUsed/>
    <w:rsid w:val="004770D4"/>
    <w:pPr>
      <w:tabs>
        <w:tab w:val="center" w:pos="4680"/>
        <w:tab w:val="right" w:pos="9360"/>
      </w:tabs>
    </w:pPr>
  </w:style>
  <w:style w:type="character" w:customStyle="1" w:styleId="HeaderChar">
    <w:name w:val="Header Char"/>
    <w:basedOn w:val="DefaultParagraphFont"/>
    <w:link w:val="Header"/>
    <w:uiPriority w:val="99"/>
    <w:rsid w:val="004770D4"/>
    <w:rPr>
      <w:rFonts w:ascii="Times New Roman" w:eastAsia="Times New Roman" w:hAnsi="Times New Roman" w:cs="Times New Roman"/>
      <w:sz w:val="20"/>
      <w:szCs w:val="20"/>
    </w:rPr>
  </w:style>
  <w:style w:type="paragraph" w:styleId="Footer">
    <w:name w:val="footer"/>
    <w:basedOn w:val="Normal"/>
    <w:link w:val="FooterChar"/>
    <w:uiPriority w:val="99"/>
    <w:unhideWhenUsed/>
    <w:rsid w:val="004770D4"/>
    <w:pPr>
      <w:tabs>
        <w:tab w:val="center" w:pos="4680"/>
        <w:tab w:val="right" w:pos="9360"/>
      </w:tabs>
    </w:pPr>
  </w:style>
  <w:style w:type="character" w:customStyle="1" w:styleId="FooterChar">
    <w:name w:val="Footer Char"/>
    <w:basedOn w:val="DefaultParagraphFont"/>
    <w:link w:val="Footer"/>
    <w:uiPriority w:val="99"/>
    <w:rsid w:val="004770D4"/>
    <w:rPr>
      <w:rFonts w:ascii="Times New Roman" w:eastAsia="Times New Roman" w:hAnsi="Times New Roman" w:cs="Times New Roman"/>
      <w:sz w:val="20"/>
      <w:szCs w:val="20"/>
    </w:rPr>
  </w:style>
  <w:style w:type="paragraph" w:styleId="ListParagraph">
    <w:name w:val="List Paragraph"/>
    <w:basedOn w:val="Normal"/>
    <w:uiPriority w:val="34"/>
    <w:qFormat/>
    <w:rsid w:val="00251918"/>
    <w:pPr>
      <w:ind w:left="720"/>
      <w:contextualSpacing/>
    </w:pPr>
  </w:style>
  <w:style w:type="character" w:styleId="CommentReference">
    <w:name w:val="annotation reference"/>
    <w:basedOn w:val="DefaultParagraphFont"/>
    <w:uiPriority w:val="99"/>
    <w:semiHidden/>
    <w:unhideWhenUsed/>
    <w:rsid w:val="00AF3C3E"/>
    <w:rPr>
      <w:sz w:val="16"/>
      <w:szCs w:val="16"/>
    </w:rPr>
  </w:style>
  <w:style w:type="paragraph" w:styleId="CommentText">
    <w:name w:val="annotation text"/>
    <w:basedOn w:val="Normal"/>
    <w:link w:val="CommentTextChar"/>
    <w:uiPriority w:val="99"/>
    <w:semiHidden/>
    <w:unhideWhenUsed/>
    <w:rsid w:val="00AF3C3E"/>
  </w:style>
  <w:style w:type="character" w:customStyle="1" w:styleId="CommentTextChar">
    <w:name w:val="Comment Text Char"/>
    <w:basedOn w:val="DefaultParagraphFont"/>
    <w:link w:val="CommentText"/>
    <w:uiPriority w:val="99"/>
    <w:semiHidden/>
    <w:rsid w:val="00AF3C3E"/>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AF3C3E"/>
    <w:rPr>
      <w:b/>
      <w:bCs/>
    </w:rPr>
  </w:style>
  <w:style w:type="character" w:customStyle="1" w:styleId="CommentSubjectChar">
    <w:name w:val="Comment Subject Char"/>
    <w:basedOn w:val="CommentTextChar"/>
    <w:link w:val="CommentSubject"/>
    <w:uiPriority w:val="99"/>
    <w:semiHidden/>
    <w:rsid w:val="00AF3C3E"/>
    <w:rPr>
      <w:rFonts w:ascii="Times New Roman" w:eastAsia="Times New Roman" w:hAnsi="Times New Roman" w:cs="Times New Roman"/>
      <w:b/>
      <w:bCs/>
      <w:sz w:val="20"/>
      <w:szCs w:val="20"/>
    </w:rPr>
  </w:style>
  <w:style w:type="paragraph" w:styleId="NormalWeb">
    <w:name w:val="Normal (Web)"/>
    <w:basedOn w:val="Normal"/>
    <w:uiPriority w:val="99"/>
    <w:unhideWhenUsed/>
    <w:rsid w:val="00BB53F9"/>
    <w:pPr>
      <w:widowControl/>
      <w:spacing w:before="100" w:beforeAutospacing="1" w:after="100" w:afterAutospacing="1"/>
    </w:pPr>
    <w:rPr>
      <w:sz w:val="24"/>
      <w:szCs w:val="24"/>
    </w:rPr>
  </w:style>
  <w:style w:type="paragraph" w:customStyle="1" w:styleId="ParaTab1">
    <w:name w:val="ParaTab 1"/>
    <w:rsid w:val="00B00827"/>
    <w:pPr>
      <w:tabs>
        <w:tab w:val="left" w:pos="-720"/>
      </w:tabs>
      <w:suppressAutoHyphens/>
      <w:autoSpaceDE w:val="0"/>
      <w:autoSpaceDN w:val="0"/>
      <w:spacing w:after="0" w:line="240" w:lineRule="auto"/>
      <w:ind w:firstLine="1440"/>
    </w:pPr>
    <w:rPr>
      <w:rFonts w:ascii="CG Times" w:eastAsia="Times New Roman" w:hAnsi="CG Times" w:cs="CG Times"/>
      <w:sz w:val="24"/>
      <w:szCs w:val="24"/>
    </w:rPr>
  </w:style>
  <w:style w:type="paragraph" w:styleId="BodyText">
    <w:name w:val="Body Text"/>
    <w:basedOn w:val="Normal"/>
    <w:link w:val="BodyTextChar"/>
    <w:rsid w:val="00B00827"/>
    <w:pPr>
      <w:widowControl/>
      <w:tabs>
        <w:tab w:val="left" w:pos="-1440"/>
        <w:tab w:val="left" w:pos="-720"/>
        <w:tab w:val="left" w:pos="0"/>
        <w:tab w:val="left" w:pos="720"/>
        <w:tab w:val="left" w:pos="1440"/>
      </w:tabs>
      <w:spacing w:line="480" w:lineRule="auto"/>
      <w:jc w:val="both"/>
    </w:pPr>
    <w:rPr>
      <w:sz w:val="24"/>
    </w:rPr>
  </w:style>
  <w:style w:type="character" w:customStyle="1" w:styleId="BodyTextChar">
    <w:name w:val="Body Text Char"/>
    <w:basedOn w:val="DefaultParagraphFont"/>
    <w:link w:val="BodyText"/>
    <w:rsid w:val="00B00827"/>
    <w:rPr>
      <w:rFonts w:ascii="Times New Roman" w:eastAsia="Times New Roman" w:hAnsi="Times New Roman" w:cs="Times New Roman"/>
      <w:sz w:val="24"/>
      <w:szCs w:val="20"/>
    </w:rPr>
  </w:style>
  <w:style w:type="paragraph" w:styleId="BlockText">
    <w:name w:val="Block Text"/>
    <w:basedOn w:val="Normal"/>
    <w:rsid w:val="00AF4817"/>
    <w:pPr>
      <w:tabs>
        <w:tab w:val="left" w:pos="-720"/>
      </w:tabs>
      <w:spacing w:line="360" w:lineRule="auto"/>
      <w:ind w:left="1440" w:right="2160"/>
    </w:pPr>
    <w:rPr>
      <w:sz w:val="26"/>
    </w:rPr>
  </w:style>
  <w:style w:type="character" w:customStyle="1" w:styleId="Heading1Char">
    <w:name w:val="Heading 1 Char"/>
    <w:basedOn w:val="DefaultParagraphFont"/>
    <w:link w:val="Heading1"/>
    <w:rsid w:val="003D116E"/>
    <w:rPr>
      <w:rFonts w:ascii="Times New Roman" w:eastAsia="Times New Roman" w:hAnsi="Times New Roman" w:cs="Times New Roman"/>
      <w:b/>
      <w:bCs/>
      <w:sz w:val="26"/>
      <w:szCs w:val="26"/>
    </w:rPr>
  </w:style>
  <w:style w:type="character" w:styleId="Strong">
    <w:name w:val="Strong"/>
    <w:basedOn w:val="DefaultParagraphFont"/>
    <w:uiPriority w:val="22"/>
    <w:qFormat/>
    <w:rsid w:val="003F2A8B"/>
    <w:rPr>
      <w:b/>
      <w:bCs/>
    </w:rPr>
  </w:style>
  <w:style w:type="paragraph" w:customStyle="1" w:styleId="Default">
    <w:name w:val="Default"/>
    <w:rsid w:val="00970B08"/>
    <w:pPr>
      <w:autoSpaceDE w:val="0"/>
      <w:autoSpaceDN w:val="0"/>
      <w:adjustRightInd w:val="0"/>
      <w:spacing w:after="0" w:line="240" w:lineRule="auto"/>
    </w:pPr>
    <w:rPr>
      <w:rFonts w:ascii="Times New Roman" w:hAnsi="Times New Roman" w:cs="Times New Roman"/>
      <w:color w:val="000000"/>
      <w:sz w:val="24"/>
      <w:szCs w:val="24"/>
    </w:rPr>
  </w:style>
  <w:style w:type="paragraph" w:styleId="TOCHeading">
    <w:name w:val="TOC Heading"/>
    <w:basedOn w:val="Heading1"/>
    <w:next w:val="Normal"/>
    <w:uiPriority w:val="39"/>
    <w:unhideWhenUsed/>
    <w:qFormat/>
    <w:rsid w:val="007561BC"/>
    <w:pPr>
      <w:keepLines/>
      <w:spacing w:before="240" w:line="259" w:lineRule="auto"/>
      <w:outlineLvl w:val="9"/>
    </w:pPr>
    <w:rPr>
      <w:rFonts w:asciiTheme="majorHAnsi" w:eastAsiaTheme="majorEastAsia" w:hAnsiTheme="majorHAnsi" w:cstheme="majorBidi"/>
      <w:b w:val="0"/>
      <w:color w:val="365F91" w:themeColor="accent1" w:themeShade="BF"/>
      <w:sz w:val="32"/>
      <w:szCs w:val="32"/>
    </w:rPr>
  </w:style>
  <w:style w:type="paragraph" w:styleId="TOC1">
    <w:name w:val="toc 1"/>
    <w:basedOn w:val="Normal"/>
    <w:next w:val="Normal"/>
    <w:autoRedefine/>
    <w:uiPriority w:val="39"/>
    <w:unhideWhenUsed/>
    <w:rsid w:val="00CF7D2A"/>
    <w:pPr>
      <w:spacing w:after="100"/>
    </w:pPr>
    <w:rPr>
      <w:sz w:val="26"/>
    </w:rPr>
  </w:style>
  <w:style w:type="character" w:customStyle="1" w:styleId="Heading2Char">
    <w:name w:val="Heading 2 Char"/>
    <w:basedOn w:val="DefaultParagraphFont"/>
    <w:link w:val="Heading2"/>
    <w:uiPriority w:val="9"/>
    <w:rsid w:val="003D116E"/>
    <w:rPr>
      <w:rFonts w:ascii="Times New Roman" w:eastAsia="Times New Roman" w:hAnsi="Times New Roman" w:cs="Times New Roman"/>
      <w:b/>
      <w:sz w:val="26"/>
      <w:szCs w:val="24"/>
    </w:rPr>
  </w:style>
  <w:style w:type="character" w:customStyle="1" w:styleId="Heading3Char">
    <w:name w:val="Heading 3 Char"/>
    <w:basedOn w:val="DefaultParagraphFont"/>
    <w:link w:val="Heading3"/>
    <w:uiPriority w:val="9"/>
    <w:rsid w:val="009C7B31"/>
    <w:rPr>
      <w:rFonts w:ascii="Times New Roman" w:eastAsia="Times New Roman" w:hAnsi="Times New Roman" w:cs="Times New Roman"/>
      <w:b/>
      <w:sz w:val="26"/>
      <w:szCs w:val="26"/>
    </w:rPr>
  </w:style>
  <w:style w:type="character" w:customStyle="1" w:styleId="Heading4Char">
    <w:name w:val="Heading 4 Char"/>
    <w:basedOn w:val="DefaultParagraphFont"/>
    <w:link w:val="Heading4"/>
    <w:uiPriority w:val="9"/>
    <w:rsid w:val="0059169A"/>
    <w:rPr>
      <w:rFonts w:ascii="Times New Roman" w:eastAsia="Times New Roman" w:hAnsi="Times New Roman" w:cs="Times New Roman"/>
      <w:b/>
      <w:sz w:val="26"/>
      <w:szCs w:val="26"/>
    </w:rPr>
  </w:style>
  <w:style w:type="paragraph" w:styleId="TOC2">
    <w:name w:val="toc 2"/>
    <w:basedOn w:val="Normal"/>
    <w:next w:val="Normal"/>
    <w:autoRedefine/>
    <w:uiPriority w:val="39"/>
    <w:unhideWhenUsed/>
    <w:rsid w:val="00C159C2"/>
    <w:pPr>
      <w:spacing w:after="100"/>
      <w:ind w:left="200"/>
    </w:pPr>
    <w:rPr>
      <w:sz w:val="26"/>
    </w:rPr>
  </w:style>
  <w:style w:type="paragraph" w:styleId="TOC3">
    <w:name w:val="toc 3"/>
    <w:basedOn w:val="Normal"/>
    <w:next w:val="Normal"/>
    <w:autoRedefine/>
    <w:uiPriority w:val="39"/>
    <w:unhideWhenUsed/>
    <w:rsid w:val="009056BA"/>
    <w:pPr>
      <w:tabs>
        <w:tab w:val="left" w:pos="1100"/>
        <w:tab w:val="right" w:leader="dot" w:pos="9350"/>
      </w:tabs>
      <w:spacing w:after="100"/>
      <w:ind w:left="720" w:hanging="320"/>
    </w:pPr>
    <w:rPr>
      <w:sz w:val="26"/>
    </w:rPr>
  </w:style>
  <w:style w:type="character" w:customStyle="1" w:styleId="Heading5Char">
    <w:name w:val="Heading 5 Char"/>
    <w:basedOn w:val="DefaultParagraphFont"/>
    <w:link w:val="Heading5"/>
    <w:uiPriority w:val="9"/>
    <w:rsid w:val="00592B10"/>
    <w:rPr>
      <w:rFonts w:ascii="Times New Roman" w:eastAsia="Times New Roman" w:hAnsi="Times New Roman" w:cs="Times New Roman"/>
      <w:b/>
      <w:sz w:val="26"/>
      <w:szCs w:val="26"/>
    </w:rPr>
  </w:style>
  <w:style w:type="paragraph" w:styleId="TOC4">
    <w:name w:val="toc 4"/>
    <w:basedOn w:val="Normal"/>
    <w:next w:val="Normal"/>
    <w:autoRedefine/>
    <w:uiPriority w:val="39"/>
    <w:unhideWhenUsed/>
    <w:rsid w:val="00C159C2"/>
    <w:pPr>
      <w:spacing w:after="100"/>
      <w:ind w:left="600"/>
    </w:pPr>
    <w:rPr>
      <w:sz w:val="24"/>
    </w:rPr>
  </w:style>
  <w:style w:type="paragraph" w:styleId="TOC5">
    <w:name w:val="toc 5"/>
    <w:basedOn w:val="Normal"/>
    <w:next w:val="Normal"/>
    <w:autoRedefine/>
    <w:uiPriority w:val="39"/>
    <w:unhideWhenUsed/>
    <w:rsid w:val="007911B8"/>
    <w:pPr>
      <w:spacing w:after="100"/>
      <w:ind w:left="800"/>
    </w:pPr>
  </w:style>
  <w:style w:type="paragraph" w:styleId="NoSpacing">
    <w:name w:val="No Spacing"/>
    <w:uiPriority w:val="1"/>
    <w:qFormat/>
    <w:rsid w:val="006A4766"/>
    <w:pPr>
      <w:spacing w:after="0" w:line="240" w:lineRule="auto"/>
    </w:pPr>
    <w:rPr>
      <w:rFonts w:ascii="Times New Roman" w:eastAsia="Calibri" w:hAnsi="Times New Roman" w:cs="Times New Roman"/>
      <w:sz w:val="24"/>
    </w:rPr>
  </w:style>
  <w:style w:type="paragraph" w:styleId="BodyText3">
    <w:name w:val="Body Text 3"/>
    <w:basedOn w:val="Normal"/>
    <w:link w:val="BodyText3Char"/>
    <w:uiPriority w:val="99"/>
    <w:unhideWhenUsed/>
    <w:rsid w:val="005D7E85"/>
    <w:pPr>
      <w:widowControl/>
      <w:spacing w:after="120" w:line="360" w:lineRule="auto"/>
    </w:pPr>
    <w:rPr>
      <w:rFonts w:ascii="CG Times" w:hAnsi="CG Times"/>
      <w:sz w:val="16"/>
      <w:szCs w:val="16"/>
    </w:rPr>
  </w:style>
  <w:style w:type="character" w:customStyle="1" w:styleId="BodyText3Char">
    <w:name w:val="Body Text 3 Char"/>
    <w:basedOn w:val="DefaultParagraphFont"/>
    <w:link w:val="BodyText3"/>
    <w:uiPriority w:val="99"/>
    <w:rsid w:val="005D7E85"/>
    <w:rPr>
      <w:rFonts w:ascii="CG Times" w:eastAsia="Times New Roman" w:hAnsi="CG Times" w:cs="Times New Roman"/>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54748948">
      <w:bodyDiv w:val="1"/>
      <w:marLeft w:val="0"/>
      <w:marRight w:val="0"/>
      <w:marTop w:val="0"/>
      <w:marBottom w:val="0"/>
      <w:divBdr>
        <w:top w:val="none" w:sz="0" w:space="0" w:color="auto"/>
        <w:left w:val="none" w:sz="0" w:space="0" w:color="auto"/>
        <w:bottom w:val="none" w:sz="0" w:space="0" w:color="auto"/>
        <w:right w:val="none" w:sz="0" w:space="0" w:color="auto"/>
      </w:divBdr>
    </w:div>
    <w:div w:id="984240014">
      <w:bodyDiv w:val="1"/>
      <w:marLeft w:val="0"/>
      <w:marRight w:val="0"/>
      <w:marTop w:val="0"/>
      <w:marBottom w:val="0"/>
      <w:divBdr>
        <w:top w:val="none" w:sz="0" w:space="0" w:color="auto"/>
        <w:left w:val="none" w:sz="0" w:space="0" w:color="auto"/>
        <w:bottom w:val="none" w:sz="0" w:space="0" w:color="auto"/>
        <w:right w:val="none" w:sz="0" w:space="0" w:color="auto"/>
      </w:divBdr>
    </w:div>
    <w:div w:id="1089156363">
      <w:bodyDiv w:val="1"/>
      <w:marLeft w:val="0"/>
      <w:marRight w:val="0"/>
      <w:marTop w:val="0"/>
      <w:marBottom w:val="0"/>
      <w:divBdr>
        <w:top w:val="none" w:sz="0" w:space="0" w:color="auto"/>
        <w:left w:val="none" w:sz="0" w:space="0" w:color="auto"/>
        <w:bottom w:val="none" w:sz="0" w:space="0" w:color="auto"/>
        <w:right w:val="none" w:sz="0" w:space="0" w:color="auto"/>
      </w:divBdr>
    </w:div>
    <w:div w:id="1368873713">
      <w:bodyDiv w:val="1"/>
      <w:marLeft w:val="0"/>
      <w:marRight w:val="0"/>
      <w:marTop w:val="0"/>
      <w:marBottom w:val="0"/>
      <w:divBdr>
        <w:top w:val="none" w:sz="0" w:space="0" w:color="auto"/>
        <w:left w:val="none" w:sz="0" w:space="0" w:color="auto"/>
        <w:bottom w:val="none" w:sz="0" w:space="0" w:color="auto"/>
        <w:right w:val="none" w:sz="0" w:space="0" w:color="auto"/>
      </w:divBdr>
    </w:div>
    <w:div w:id="1893881066">
      <w:bodyDiv w:val="1"/>
      <w:marLeft w:val="0"/>
      <w:marRight w:val="0"/>
      <w:marTop w:val="0"/>
      <w:marBottom w:val="0"/>
      <w:divBdr>
        <w:top w:val="none" w:sz="0" w:space="0" w:color="auto"/>
        <w:left w:val="none" w:sz="0" w:space="0" w:color="auto"/>
        <w:bottom w:val="none" w:sz="0" w:space="0" w:color="auto"/>
        <w:right w:val="none" w:sz="0" w:space="0" w:color="auto"/>
      </w:divBdr>
    </w:div>
    <w:div w:id="19909428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image" Target="media/image1.emf"/><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1.next.westlaw.com/Link/Document/FullText?findType=Y&amp;serNum=1981152534&amp;pubNum=162&amp;originatingDoc=Ia414e0560bd811e4a795ac035416da91&amp;refType=RP&amp;originationContext=document&amp;transitionType=DocumentItem&amp;contextData=(sc.Search)"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4.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1.next.westlaw.com/Link/Document/FullText?findType=Y&amp;serNum=1980100003&amp;pubNum=162&amp;originatingDoc=Ia414e0560bd811e4a795ac035416da91&amp;refType=RP&amp;originationContext=document&amp;transitionType=DocumentItem&amp;contextData=(sc.Search)" TargetMode="External"/><Relationship Id="rId5" Type="http://schemas.openxmlformats.org/officeDocument/2006/relationships/webSettings" Target="webSettings.xml"/><Relationship Id="rId15" Type="http://schemas.openxmlformats.org/officeDocument/2006/relationships/image" Target="media/image3.emf"/><Relationship Id="rId10" Type="http://schemas.openxmlformats.org/officeDocument/2006/relationships/hyperlink" Target="https://1.next.westlaw.com/Link/Document/FullText?findType=L&amp;pubNum=1000262&amp;cite=PA66S315&amp;originatingDoc=Ia414e0560bd811e4a795ac035416da91&amp;refType=LQ&amp;originationContext=document&amp;transitionType=DocumentItem&amp;contextData=(sc.Search)" TargetMode="Externa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image" Target="media/image2.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10353D5-4AF6-466C-A0EC-07D6CBFC27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85</Pages>
  <Words>22523</Words>
  <Characters>128384</Characters>
  <Application>Microsoft Office Word</Application>
  <DocSecurity>0</DocSecurity>
  <Lines>1069</Lines>
  <Paragraphs>301</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150606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eberzonsky</dc:creator>
  <cp:lastModifiedBy>Wagner, Nathan R</cp:lastModifiedBy>
  <cp:revision>3</cp:revision>
  <cp:lastPrinted>2018-09-05T18:21:00Z</cp:lastPrinted>
  <dcterms:created xsi:type="dcterms:W3CDTF">2018-09-13T20:48:00Z</dcterms:created>
  <dcterms:modified xsi:type="dcterms:W3CDTF">2018-09-20T12:37:00Z</dcterms:modified>
</cp:coreProperties>
</file>