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4E2" w:rsidRPr="00472E12" w:rsidRDefault="009324E2" w:rsidP="00844225">
      <w:pPr>
        <w:widowControl/>
        <w:jc w:val="center"/>
        <w:rPr>
          <w:b/>
          <w:sz w:val="26"/>
          <w:szCs w:val="26"/>
        </w:rPr>
      </w:pPr>
      <w:r w:rsidRPr="00472E12">
        <w:rPr>
          <w:b/>
          <w:sz w:val="26"/>
          <w:szCs w:val="26"/>
        </w:rPr>
        <w:t>PENNSYLVANIA</w:t>
      </w:r>
    </w:p>
    <w:p w:rsidR="009324E2" w:rsidRDefault="009324E2" w:rsidP="00844225">
      <w:pPr>
        <w:widowControl/>
        <w:tabs>
          <w:tab w:val="center" w:pos="4680"/>
        </w:tabs>
        <w:suppressAutoHyphens/>
        <w:jc w:val="center"/>
        <w:rPr>
          <w:b/>
          <w:sz w:val="26"/>
        </w:rPr>
      </w:pPr>
      <w:r>
        <w:rPr>
          <w:b/>
          <w:sz w:val="26"/>
        </w:rPr>
        <w:t>PUBLIC UTILITY COMMISSION</w:t>
      </w:r>
    </w:p>
    <w:p w:rsidR="009324E2" w:rsidRDefault="009324E2" w:rsidP="00844225">
      <w:pPr>
        <w:widowControl/>
        <w:tabs>
          <w:tab w:val="center" w:pos="4680"/>
        </w:tabs>
        <w:suppressAutoHyphens/>
        <w:jc w:val="center"/>
        <w:rPr>
          <w:b/>
          <w:sz w:val="26"/>
        </w:rPr>
      </w:pPr>
      <w:r>
        <w:rPr>
          <w:b/>
          <w:sz w:val="26"/>
        </w:rPr>
        <w:t>Harrisburg, PA  17105-3265</w:t>
      </w:r>
    </w:p>
    <w:p w:rsidR="009324E2" w:rsidRDefault="009324E2" w:rsidP="00844225">
      <w:pPr>
        <w:widowControl/>
        <w:tabs>
          <w:tab w:val="left" w:pos="-720"/>
        </w:tabs>
        <w:suppressAutoHyphens/>
        <w:rPr>
          <w:b/>
          <w:sz w:val="26"/>
        </w:rPr>
      </w:pPr>
    </w:p>
    <w:p w:rsidR="009324E2" w:rsidRDefault="009324E2" w:rsidP="00844225">
      <w:pPr>
        <w:widowControl/>
        <w:tabs>
          <w:tab w:val="right" w:pos="9360"/>
        </w:tabs>
        <w:suppressAutoHyphens/>
        <w:rPr>
          <w:sz w:val="26"/>
        </w:rPr>
      </w:pPr>
    </w:p>
    <w:p w:rsidR="009324E2" w:rsidRDefault="009324E2" w:rsidP="00844225">
      <w:pPr>
        <w:widowControl/>
        <w:tabs>
          <w:tab w:val="right" w:pos="9360"/>
        </w:tabs>
        <w:suppressAutoHyphens/>
        <w:jc w:val="right"/>
        <w:rPr>
          <w:sz w:val="26"/>
        </w:rPr>
      </w:pPr>
      <w:r>
        <w:rPr>
          <w:sz w:val="26"/>
        </w:rPr>
        <w:tab/>
        <w:t xml:space="preserve">Public Meeting held </w:t>
      </w:r>
      <w:r w:rsidR="004E155A">
        <w:rPr>
          <w:sz w:val="26"/>
        </w:rPr>
        <w:t>September 20</w:t>
      </w:r>
      <w:r w:rsidR="006503DC">
        <w:rPr>
          <w:sz w:val="26"/>
        </w:rPr>
        <w:t>, 2018</w:t>
      </w:r>
    </w:p>
    <w:p w:rsidR="009324E2" w:rsidRDefault="009324E2" w:rsidP="00844225">
      <w:pPr>
        <w:widowControl/>
        <w:tabs>
          <w:tab w:val="left" w:pos="-720"/>
        </w:tabs>
        <w:suppressAutoHyphens/>
        <w:rPr>
          <w:sz w:val="26"/>
        </w:rPr>
      </w:pPr>
    </w:p>
    <w:p w:rsidR="009324E2" w:rsidRDefault="009324E2" w:rsidP="00844225">
      <w:pPr>
        <w:widowControl/>
        <w:tabs>
          <w:tab w:val="left" w:pos="-720"/>
        </w:tabs>
        <w:suppressAutoHyphens/>
        <w:rPr>
          <w:sz w:val="26"/>
        </w:rPr>
      </w:pPr>
      <w:r>
        <w:rPr>
          <w:sz w:val="26"/>
        </w:rPr>
        <w:t>Commissioners Present:</w:t>
      </w:r>
    </w:p>
    <w:p w:rsidR="009324E2" w:rsidRDefault="009324E2" w:rsidP="00844225">
      <w:pPr>
        <w:widowControl/>
        <w:tabs>
          <w:tab w:val="left" w:pos="-720"/>
        </w:tabs>
        <w:suppressAutoHyphens/>
        <w:rPr>
          <w:sz w:val="26"/>
        </w:rPr>
      </w:pPr>
    </w:p>
    <w:p w:rsidR="009324E2" w:rsidRPr="0060709A" w:rsidRDefault="009324E2" w:rsidP="00844225">
      <w:pPr>
        <w:widowControl/>
        <w:tabs>
          <w:tab w:val="left" w:pos="705"/>
        </w:tabs>
        <w:ind w:firstLine="720"/>
        <w:rPr>
          <w:sz w:val="26"/>
          <w:szCs w:val="26"/>
        </w:rPr>
      </w:pPr>
      <w:r w:rsidRPr="0060709A">
        <w:rPr>
          <w:sz w:val="26"/>
          <w:szCs w:val="26"/>
        </w:rPr>
        <w:t>Gladys M. Brown, Chairman</w:t>
      </w:r>
    </w:p>
    <w:p w:rsidR="009324E2" w:rsidRPr="0060709A" w:rsidRDefault="009324E2" w:rsidP="00844225">
      <w:pPr>
        <w:widowControl/>
        <w:tabs>
          <w:tab w:val="left" w:pos="705"/>
        </w:tabs>
        <w:ind w:firstLine="720"/>
        <w:rPr>
          <w:sz w:val="26"/>
          <w:szCs w:val="26"/>
        </w:rPr>
      </w:pPr>
      <w:r w:rsidRPr="0060709A">
        <w:rPr>
          <w:sz w:val="26"/>
          <w:szCs w:val="26"/>
        </w:rPr>
        <w:t>Andrew G. Place, Vice Chairman</w:t>
      </w:r>
      <w:r w:rsidR="00BA452A">
        <w:rPr>
          <w:sz w:val="26"/>
          <w:szCs w:val="26"/>
        </w:rPr>
        <w:t>, Statement</w:t>
      </w:r>
      <w:bookmarkStart w:id="0" w:name="_GoBack"/>
      <w:bookmarkEnd w:id="0"/>
    </w:p>
    <w:p w:rsidR="009324E2" w:rsidRDefault="006503DC" w:rsidP="00844225">
      <w:pPr>
        <w:widowControl/>
        <w:tabs>
          <w:tab w:val="left" w:pos="705"/>
        </w:tabs>
        <w:ind w:firstLine="720"/>
        <w:rPr>
          <w:sz w:val="26"/>
          <w:szCs w:val="26"/>
        </w:rPr>
      </w:pPr>
      <w:r>
        <w:rPr>
          <w:sz w:val="26"/>
          <w:szCs w:val="26"/>
        </w:rPr>
        <w:t>Norman J. Kennard</w:t>
      </w:r>
    </w:p>
    <w:p w:rsidR="006503DC" w:rsidRPr="0060709A" w:rsidRDefault="006503DC" w:rsidP="00844225">
      <w:pPr>
        <w:widowControl/>
        <w:tabs>
          <w:tab w:val="left" w:pos="705"/>
        </w:tabs>
        <w:ind w:firstLine="720"/>
        <w:rPr>
          <w:sz w:val="26"/>
          <w:szCs w:val="26"/>
        </w:rPr>
      </w:pPr>
      <w:r>
        <w:rPr>
          <w:sz w:val="26"/>
          <w:szCs w:val="26"/>
        </w:rPr>
        <w:t>David W. Sweet</w:t>
      </w:r>
    </w:p>
    <w:p w:rsidR="009324E2" w:rsidRPr="0060709A" w:rsidRDefault="009324E2" w:rsidP="00844225">
      <w:pPr>
        <w:widowControl/>
        <w:tabs>
          <w:tab w:val="left" w:pos="705"/>
        </w:tabs>
        <w:ind w:firstLine="720"/>
        <w:rPr>
          <w:sz w:val="26"/>
          <w:szCs w:val="26"/>
        </w:rPr>
      </w:pPr>
      <w:r w:rsidRPr="0060709A">
        <w:rPr>
          <w:sz w:val="26"/>
          <w:szCs w:val="26"/>
        </w:rPr>
        <w:t>John F. Coleman, Jr.</w:t>
      </w:r>
    </w:p>
    <w:p w:rsidR="009324E2" w:rsidRDefault="009324E2" w:rsidP="00844225">
      <w:pPr>
        <w:widowControl/>
        <w:tabs>
          <w:tab w:val="left" w:pos="-720"/>
        </w:tabs>
        <w:suppressAutoHyphens/>
        <w:rPr>
          <w:sz w:val="26"/>
        </w:rPr>
      </w:pPr>
    </w:p>
    <w:p w:rsidR="004864AC" w:rsidRPr="008401FA" w:rsidRDefault="004864AC" w:rsidP="00844225">
      <w:pPr>
        <w:widowControl/>
        <w:tabs>
          <w:tab w:val="left" w:pos="-720"/>
        </w:tabs>
        <w:suppressAutoHyphens/>
        <w:rPr>
          <w:sz w:val="26"/>
        </w:rPr>
      </w:pPr>
    </w:p>
    <w:tbl>
      <w:tblPr>
        <w:tblW w:w="0" w:type="auto"/>
        <w:jc w:val="center"/>
        <w:tblLook w:val="00A0" w:firstRow="1" w:lastRow="0" w:firstColumn="1" w:lastColumn="0" w:noHBand="0" w:noVBand="0"/>
      </w:tblPr>
      <w:tblGrid>
        <w:gridCol w:w="4688"/>
        <w:gridCol w:w="4672"/>
      </w:tblGrid>
      <w:tr w:rsidR="004864AC" w:rsidRPr="004864AC" w:rsidTr="004864AC">
        <w:trPr>
          <w:jc w:val="center"/>
        </w:trPr>
        <w:tc>
          <w:tcPr>
            <w:tcW w:w="4788" w:type="dxa"/>
          </w:tcPr>
          <w:p w:rsidR="004864AC" w:rsidRDefault="001F1EC2" w:rsidP="00844225">
            <w:pPr>
              <w:widowControl/>
              <w:rPr>
                <w:sz w:val="26"/>
                <w:szCs w:val="26"/>
              </w:rPr>
            </w:pPr>
            <w:r>
              <w:rPr>
                <w:sz w:val="26"/>
                <w:szCs w:val="26"/>
              </w:rPr>
              <w:t>Pennsylvania Public Utility Commission</w:t>
            </w:r>
          </w:p>
          <w:p w:rsidR="001F1EC2" w:rsidRDefault="001F1EC2" w:rsidP="00844225">
            <w:pPr>
              <w:widowControl/>
              <w:rPr>
                <w:sz w:val="26"/>
                <w:szCs w:val="26"/>
              </w:rPr>
            </w:pPr>
            <w:r>
              <w:rPr>
                <w:sz w:val="26"/>
                <w:szCs w:val="26"/>
              </w:rPr>
              <w:t>Office of Small Business Advocate</w:t>
            </w:r>
          </w:p>
          <w:p w:rsidR="001F1EC2" w:rsidRDefault="001F1EC2" w:rsidP="00844225">
            <w:pPr>
              <w:widowControl/>
              <w:rPr>
                <w:sz w:val="26"/>
                <w:szCs w:val="26"/>
              </w:rPr>
            </w:pPr>
            <w:r>
              <w:rPr>
                <w:sz w:val="26"/>
                <w:szCs w:val="26"/>
              </w:rPr>
              <w:t>Office of Consumer Advocate</w:t>
            </w:r>
          </w:p>
          <w:p w:rsidR="002400F7" w:rsidRDefault="002400F7" w:rsidP="00844225">
            <w:pPr>
              <w:widowControl/>
              <w:rPr>
                <w:sz w:val="26"/>
                <w:szCs w:val="26"/>
              </w:rPr>
            </w:pPr>
          </w:p>
          <w:p w:rsidR="002400F7" w:rsidRDefault="002400F7" w:rsidP="00844225">
            <w:pPr>
              <w:widowControl/>
              <w:rPr>
                <w:sz w:val="26"/>
                <w:szCs w:val="26"/>
              </w:rPr>
            </w:pPr>
            <w:r>
              <w:rPr>
                <w:sz w:val="26"/>
                <w:szCs w:val="26"/>
              </w:rPr>
              <w:tab/>
            </w:r>
            <w:r>
              <w:rPr>
                <w:sz w:val="26"/>
                <w:szCs w:val="26"/>
              </w:rPr>
              <w:tab/>
              <w:t>v.</w:t>
            </w:r>
          </w:p>
          <w:p w:rsidR="002400F7" w:rsidRDefault="002400F7" w:rsidP="00844225">
            <w:pPr>
              <w:widowControl/>
              <w:rPr>
                <w:sz w:val="26"/>
                <w:szCs w:val="26"/>
              </w:rPr>
            </w:pPr>
          </w:p>
          <w:p w:rsidR="002400F7" w:rsidRDefault="002400F7" w:rsidP="00844225">
            <w:pPr>
              <w:widowControl/>
              <w:rPr>
                <w:sz w:val="26"/>
                <w:szCs w:val="26"/>
              </w:rPr>
            </w:pPr>
            <w:r>
              <w:rPr>
                <w:sz w:val="26"/>
                <w:szCs w:val="26"/>
              </w:rPr>
              <w:t>Peoples Gas Company, LLC</w:t>
            </w:r>
          </w:p>
          <w:p w:rsidR="002400F7" w:rsidRPr="001F1EC2" w:rsidRDefault="002400F7" w:rsidP="00844225">
            <w:pPr>
              <w:widowControl/>
              <w:rPr>
                <w:sz w:val="26"/>
                <w:szCs w:val="26"/>
              </w:rPr>
            </w:pPr>
          </w:p>
        </w:tc>
        <w:tc>
          <w:tcPr>
            <w:tcW w:w="4788" w:type="dxa"/>
          </w:tcPr>
          <w:p w:rsidR="004864AC" w:rsidRDefault="001F1EC2" w:rsidP="00844225">
            <w:pPr>
              <w:widowControl/>
              <w:jc w:val="right"/>
              <w:rPr>
                <w:sz w:val="26"/>
                <w:szCs w:val="26"/>
              </w:rPr>
            </w:pPr>
            <w:r>
              <w:rPr>
                <w:sz w:val="26"/>
                <w:szCs w:val="26"/>
              </w:rPr>
              <w:t>R-2018-2645296</w:t>
            </w:r>
          </w:p>
          <w:p w:rsidR="001F1EC2" w:rsidRDefault="001F1EC2" w:rsidP="00844225">
            <w:pPr>
              <w:widowControl/>
              <w:jc w:val="right"/>
              <w:rPr>
                <w:sz w:val="26"/>
                <w:szCs w:val="26"/>
              </w:rPr>
            </w:pPr>
            <w:r>
              <w:rPr>
                <w:sz w:val="26"/>
                <w:szCs w:val="26"/>
              </w:rPr>
              <w:t>C-2018-3000574</w:t>
            </w:r>
          </w:p>
          <w:p w:rsidR="001F1EC2" w:rsidRPr="004864AC" w:rsidRDefault="001F1EC2" w:rsidP="00844225">
            <w:pPr>
              <w:widowControl/>
              <w:jc w:val="right"/>
              <w:rPr>
                <w:sz w:val="26"/>
                <w:szCs w:val="26"/>
              </w:rPr>
            </w:pPr>
            <w:r>
              <w:rPr>
                <w:sz w:val="26"/>
                <w:szCs w:val="26"/>
              </w:rPr>
              <w:t>C-2018-3000497</w:t>
            </w:r>
          </w:p>
          <w:p w:rsidR="004864AC" w:rsidRPr="004864AC" w:rsidRDefault="004864AC" w:rsidP="00844225">
            <w:pPr>
              <w:widowControl/>
              <w:rPr>
                <w:sz w:val="26"/>
                <w:szCs w:val="26"/>
              </w:rPr>
            </w:pPr>
          </w:p>
        </w:tc>
      </w:tr>
    </w:tbl>
    <w:p w:rsidR="008401FA" w:rsidRDefault="008401FA" w:rsidP="00844225">
      <w:pPr>
        <w:widowControl/>
        <w:tabs>
          <w:tab w:val="left" w:pos="-720"/>
        </w:tabs>
        <w:suppressAutoHyphens/>
        <w:rPr>
          <w:sz w:val="26"/>
        </w:rPr>
      </w:pPr>
    </w:p>
    <w:p w:rsidR="004864AC" w:rsidRDefault="004864AC" w:rsidP="00844225">
      <w:pPr>
        <w:widowControl/>
        <w:tabs>
          <w:tab w:val="left" w:pos="-720"/>
        </w:tabs>
        <w:suppressAutoHyphens/>
        <w:rPr>
          <w:sz w:val="26"/>
        </w:rPr>
      </w:pPr>
    </w:p>
    <w:p w:rsidR="009324E2" w:rsidRPr="008401FA" w:rsidRDefault="009324E2" w:rsidP="00844225">
      <w:pPr>
        <w:widowControl/>
        <w:tabs>
          <w:tab w:val="center" w:pos="4680"/>
        </w:tabs>
        <w:suppressAutoHyphens/>
        <w:rPr>
          <w:sz w:val="26"/>
        </w:rPr>
      </w:pPr>
    </w:p>
    <w:p w:rsidR="00E33DCE" w:rsidRDefault="00E33DCE" w:rsidP="00844225">
      <w:pPr>
        <w:widowControl/>
        <w:tabs>
          <w:tab w:val="center" w:pos="4680"/>
        </w:tabs>
        <w:suppressAutoHyphens/>
        <w:jc w:val="center"/>
        <w:rPr>
          <w:b/>
          <w:sz w:val="26"/>
        </w:rPr>
      </w:pPr>
      <w:r>
        <w:rPr>
          <w:b/>
          <w:sz w:val="26"/>
        </w:rPr>
        <w:t>OPINION AND ORDER</w:t>
      </w:r>
    </w:p>
    <w:p w:rsidR="00E33DCE" w:rsidRDefault="00E33DCE" w:rsidP="00844225">
      <w:pPr>
        <w:widowControl/>
        <w:tabs>
          <w:tab w:val="left" w:pos="2432"/>
        </w:tabs>
        <w:rPr>
          <w:sz w:val="26"/>
        </w:rPr>
      </w:pPr>
    </w:p>
    <w:p w:rsidR="00E33DCE" w:rsidRDefault="00E33DCE" w:rsidP="00844225">
      <w:pPr>
        <w:widowControl/>
        <w:tabs>
          <w:tab w:val="left" w:pos="1576"/>
        </w:tabs>
        <w:rPr>
          <w:sz w:val="26"/>
        </w:rPr>
      </w:pPr>
    </w:p>
    <w:p w:rsidR="00E33DCE" w:rsidRPr="00E33DCE" w:rsidRDefault="00E33DCE" w:rsidP="00844225">
      <w:pPr>
        <w:widowControl/>
        <w:rPr>
          <w:sz w:val="26"/>
        </w:rPr>
        <w:sectPr w:rsidR="00E33DCE" w:rsidRPr="00E33DCE" w:rsidSect="00E11EC0">
          <w:footerReference w:type="default" r:id="rId8"/>
          <w:pgSz w:w="12240" w:h="15840"/>
          <w:pgMar w:top="1440" w:right="1440" w:bottom="1440" w:left="1440" w:header="720" w:footer="720" w:gutter="0"/>
          <w:pgNumType w:start="1"/>
          <w:cols w:space="720"/>
          <w:titlePg/>
          <w:docGrid w:linePitch="360"/>
        </w:sectPr>
      </w:pPr>
    </w:p>
    <w:bookmarkStart w:id="1" w:name="_Hlk523834991" w:displacedByCustomXml="next"/>
    <w:sdt>
      <w:sdtPr>
        <w:rPr>
          <w:sz w:val="26"/>
          <w:szCs w:val="24"/>
        </w:rPr>
        <w:id w:val="934635144"/>
        <w:docPartObj>
          <w:docPartGallery w:val="Table of Contents"/>
          <w:docPartUnique/>
        </w:docPartObj>
      </w:sdtPr>
      <w:sdtEndPr>
        <w:rPr>
          <w:noProof/>
        </w:rPr>
      </w:sdtEndPr>
      <w:sdtContent>
        <w:p w:rsidR="00563579" w:rsidRPr="00563579" w:rsidRDefault="00563579" w:rsidP="00844225">
          <w:pPr>
            <w:keepNext/>
            <w:keepLines/>
            <w:widowControl/>
            <w:spacing w:before="480" w:line="276" w:lineRule="auto"/>
            <w:jc w:val="center"/>
            <w:rPr>
              <w:rFonts w:eastAsiaTheme="majorEastAsia"/>
              <w:b/>
              <w:bCs/>
              <w:sz w:val="26"/>
              <w:szCs w:val="26"/>
              <w:lang w:eastAsia="ja-JP"/>
            </w:rPr>
          </w:pPr>
          <w:r w:rsidRPr="00563579">
            <w:rPr>
              <w:rFonts w:eastAsiaTheme="majorEastAsia"/>
              <w:b/>
              <w:bCs/>
              <w:sz w:val="26"/>
              <w:szCs w:val="26"/>
              <w:lang w:eastAsia="ja-JP"/>
            </w:rPr>
            <w:t>Contents</w:t>
          </w:r>
        </w:p>
        <w:p w:rsidR="00563579" w:rsidRPr="00563579" w:rsidRDefault="00563579" w:rsidP="00844225">
          <w:pPr>
            <w:widowControl/>
            <w:spacing w:line="360" w:lineRule="auto"/>
            <w:ind w:firstLine="1440"/>
            <w:rPr>
              <w:sz w:val="26"/>
              <w:szCs w:val="24"/>
              <w:lang w:eastAsia="ja-JP"/>
            </w:rPr>
          </w:pPr>
        </w:p>
        <w:p w:rsidR="00B113BF" w:rsidRDefault="00563579" w:rsidP="00844225">
          <w:pPr>
            <w:pStyle w:val="TOC1"/>
            <w:widowControl/>
            <w:rPr>
              <w:rFonts w:asciiTheme="minorHAnsi" w:eastAsiaTheme="minorEastAsia" w:hAnsiTheme="minorHAnsi" w:cstheme="minorBidi"/>
              <w:noProof/>
              <w:sz w:val="22"/>
              <w:szCs w:val="22"/>
            </w:rPr>
          </w:pPr>
          <w:r w:rsidRPr="00563579">
            <w:rPr>
              <w:szCs w:val="24"/>
            </w:rPr>
            <w:fldChar w:fldCharType="begin"/>
          </w:r>
          <w:r w:rsidRPr="00563579">
            <w:rPr>
              <w:szCs w:val="24"/>
            </w:rPr>
            <w:instrText xml:space="preserve"> TOC \o "1-3" \h \z \u </w:instrText>
          </w:r>
          <w:r w:rsidRPr="00563579">
            <w:rPr>
              <w:szCs w:val="24"/>
            </w:rPr>
            <w:fldChar w:fldCharType="separate"/>
          </w:r>
          <w:hyperlink w:anchor="_Toc524347669" w:history="1">
            <w:r w:rsidR="00B113BF" w:rsidRPr="00925E6C">
              <w:rPr>
                <w:rStyle w:val="Hyperlink"/>
                <w:noProof/>
              </w:rPr>
              <w:t>I.</w:t>
            </w:r>
            <w:r w:rsidR="00B113BF">
              <w:rPr>
                <w:rFonts w:asciiTheme="minorHAnsi" w:eastAsiaTheme="minorEastAsia" w:hAnsiTheme="minorHAnsi" w:cstheme="minorBidi"/>
                <w:noProof/>
                <w:sz w:val="22"/>
                <w:szCs w:val="22"/>
              </w:rPr>
              <w:tab/>
            </w:r>
            <w:r w:rsidR="00B113BF" w:rsidRPr="00925E6C">
              <w:rPr>
                <w:rStyle w:val="Hyperlink"/>
                <w:noProof/>
              </w:rPr>
              <w:t>Background</w:t>
            </w:r>
            <w:r w:rsidR="00B113BF">
              <w:rPr>
                <w:noProof/>
                <w:webHidden/>
              </w:rPr>
              <w:tab/>
            </w:r>
            <w:r w:rsidR="00B113BF">
              <w:rPr>
                <w:noProof/>
                <w:webHidden/>
              </w:rPr>
              <w:fldChar w:fldCharType="begin"/>
            </w:r>
            <w:r w:rsidR="00B113BF">
              <w:rPr>
                <w:noProof/>
                <w:webHidden/>
              </w:rPr>
              <w:instrText xml:space="preserve"> PAGEREF _Toc524347669 \h </w:instrText>
            </w:r>
            <w:r w:rsidR="00B113BF">
              <w:rPr>
                <w:noProof/>
                <w:webHidden/>
              </w:rPr>
            </w:r>
            <w:r w:rsidR="00B113BF">
              <w:rPr>
                <w:noProof/>
                <w:webHidden/>
              </w:rPr>
              <w:fldChar w:fldCharType="separate"/>
            </w:r>
            <w:r w:rsidR="00037F2D">
              <w:rPr>
                <w:noProof/>
                <w:webHidden/>
              </w:rPr>
              <w:t>2</w:t>
            </w:r>
            <w:r w:rsidR="00B113BF">
              <w:rPr>
                <w:noProof/>
                <w:webHidden/>
              </w:rPr>
              <w:fldChar w:fldCharType="end"/>
            </w:r>
          </w:hyperlink>
        </w:p>
        <w:p w:rsidR="00B113BF" w:rsidRDefault="00332FCA" w:rsidP="00844225">
          <w:pPr>
            <w:pStyle w:val="TOC1"/>
            <w:widowControl/>
            <w:rPr>
              <w:rFonts w:asciiTheme="minorHAnsi" w:eastAsiaTheme="minorEastAsia" w:hAnsiTheme="minorHAnsi" w:cstheme="minorBidi"/>
              <w:noProof/>
              <w:sz w:val="22"/>
              <w:szCs w:val="22"/>
            </w:rPr>
          </w:pPr>
          <w:hyperlink w:anchor="_Toc524347670" w:history="1">
            <w:r w:rsidR="00B113BF" w:rsidRPr="00925E6C">
              <w:rPr>
                <w:rStyle w:val="Hyperlink"/>
                <w:noProof/>
              </w:rPr>
              <w:t>II.</w:t>
            </w:r>
            <w:r w:rsidR="00B113BF">
              <w:rPr>
                <w:rFonts w:asciiTheme="minorHAnsi" w:eastAsiaTheme="minorEastAsia" w:hAnsiTheme="minorHAnsi" w:cstheme="minorBidi"/>
                <w:noProof/>
                <w:sz w:val="22"/>
                <w:szCs w:val="22"/>
              </w:rPr>
              <w:tab/>
            </w:r>
            <w:r w:rsidR="00B113BF" w:rsidRPr="00925E6C">
              <w:rPr>
                <w:rStyle w:val="Hyperlink"/>
                <w:noProof/>
              </w:rPr>
              <w:t>History of the Proceeding</w:t>
            </w:r>
            <w:r w:rsidR="00B113BF">
              <w:rPr>
                <w:noProof/>
                <w:webHidden/>
              </w:rPr>
              <w:tab/>
            </w:r>
            <w:r w:rsidR="00B113BF">
              <w:rPr>
                <w:noProof/>
                <w:webHidden/>
              </w:rPr>
              <w:fldChar w:fldCharType="begin"/>
            </w:r>
            <w:r w:rsidR="00B113BF">
              <w:rPr>
                <w:noProof/>
                <w:webHidden/>
              </w:rPr>
              <w:instrText xml:space="preserve"> PAGEREF _Toc524347670 \h </w:instrText>
            </w:r>
            <w:r w:rsidR="00B113BF">
              <w:rPr>
                <w:noProof/>
                <w:webHidden/>
              </w:rPr>
            </w:r>
            <w:r w:rsidR="00B113BF">
              <w:rPr>
                <w:noProof/>
                <w:webHidden/>
              </w:rPr>
              <w:fldChar w:fldCharType="separate"/>
            </w:r>
            <w:r w:rsidR="00037F2D">
              <w:rPr>
                <w:noProof/>
                <w:webHidden/>
              </w:rPr>
              <w:t>3</w:t>
            </w:r>
            <w:r w:rsidR="00B113BF">
              <w:rPr>
                <w:noProof/>
                <w:webHidden/>
              </w:rPr>
              <w:fldChar w:fldCharType="end"/>
            </w:r>
          </w:hyperlink>
        </w:p>
        <w:p w:rsidR="00B113BF" w:rsidRDefault="00332FCA" w:rsidP="00844225">
          <w:pPr>
            <w:pStyle w:val="TOC1"/>
            <w:widowControl/>
            <w:rPr>
              <w:rFonts w:asciiTheme="minorHAnsi" w:eastAsiaTheme="minorEastAsia" w:hAnsiTheme="minorHAnsi" w:cstheme="minorBidi"/>
              <w:noProof/>
              <w:sz w:val="22"/>
              <w:szCs w:val="22"/>
            </w:rPr>
          </w:pPr>
          <w:hyperlink w:anchor="_Toc524347671" w:history="1">
            <w:r w:rsidR="00B113BF" w:rsidRPr="00925E6C">
              <w:rPr>
                <w:rStyle w:val="Hyperlink"/>
                <w:noProof/>
              </w:rPr>
              <w:t>III.</w:t>
            </w:r>
            <w:r w:rsidR="00B113BF">
              <w:rPr>
                <w:rFonts w:asciiTheme="minorHAnsi" w:eastAsiaTheme="minorEastAsia" w:hAnsiTheme="minorHAnsi" w:cstheme="minorBidi"/>
                <w:noProof/>
                <w:sz w:val="22"/>
                <w:szCs w:val="22"/>
              </w:rPr>
              <w:tab/>
            </w:r>
            <w:r w:rsidR="00B113BF" w:rsidRPr="00925E6C">
              <w:rPr>
                <w:rStyle w:val="Hyperlink"/>
                <w:noProof/>
              </w:rPr>
              <w:t>Introduction</w:t>
            </w:r>
            <w:r w:rsidR="00B113BF">
              <w:rPr>
                <w:noProof/>
                <w:webHidden/>
              </w:rPr>
              <w:tab/>
            </w:r>
            <w:r w:rsidR="00B113BF">
              <w:rPr>
                <w:noProof/>
                <w:webHidden/>
              </w:rPr>
              <w:fldChar w:fldCharType="begin"/>
            </w:r>
            <w:r w:rsidR="00B113BF">
              <w:rPr>
                <w:noProof/>
                <w:webHidden/>
              </w:rPr>
              <w:instrText xml:space="preserve"> PAGEREF _Toc524347671 \h </w:instrText>
            </w:r>
            <w:r w:rsidR="00B113BF">
              <w:rPr>
                <w:noProof/>
                <w:webHidden/>
              </w:rPr>
            </w:r>
            <w:r w:rsidR="00B113BF">
              <w:rPr>
                <w:noProof/>
                <w:webHidden/>
              </w:rPr>
              <w:fldChar w:fldCharType="separate"/>
            </w:r>
            <w:r w:rsidR="00037F2D">
              <w:rPr>
                <w:noProof/>
                <w:webHidden/>
              </w:rPr>
              <w:t>5</w:t>
            </w:r>
            <w:r w:rsidR="00B113BF">
              <w:rPr>
                <w:noProof/>
                <w:webHidden/>
              </w:rPr>
              <w:fldChar w:fldCharType="end"/>
            </w:r>
          </w:hyperlink>
        </w:p>
        <w:p w:rsidR="00B113BF" w:rsidRDefault="00332FCA" w:rsidP="00844225">
          <w:pPr>
            <w:pStyle w:val="TOC2"/>
            <w:widowControl/>
            <w:tabs>
              <w:tab w:val="left" w:pos="800"/>
              <w:tab w:val="right" w:leader="dot" w:pos="9350"/>
            </w:tabs>
            <w:rPr>
              <w:rFonts w:asciiTheme="minorHAnsi" w:eastAsiaTheme="minorEastAsia" w:hAnsiTheme="minorHAnsi" w:cstheme="minorBidi"/>
              <w:noProof/>
              <w:sz w:val="22"/>
              <w:szCs w:val="22"/>
            </w:rPr>
          </w:pPr>
          <w:hyperlink w:anchor="_Toc524347672" w:history="1">
            <w:r w:rsidR="00B113BF" w:rsidRPr="00925E6C">
              <w:rPr>
                <w:rStyle w:val="Hyperlink"/>
                <w:noProof/>
              </w:rPr>
              <w:t>A.</w:t>
            </w:r>
            <w:r w:rsidR="00B113BF">
              <w:rPr>
                <w:rFonts w:asciiTheme="minorHAnsi" w:eastAsiaTheme="minorEastAsia" w:hAnsiTheme="minorHAnsi" w:cstheme="minorBidi"/>
                <w:noProof/>
                <w:sz w:val="22"/>
                <w:szCs w:val="22"/>
              </w:rPr>
              <w:tab/>
            </w:r>
            <w:r w:rsidR="00B113BF" w:rsidRPr="00925E6C">
              <w:rPr>
                <w:rStyle w:val="Hyperlink"/>
                <w:noProof/>
              </w:rPr>
              <w:t>Legal Standards</w:t>
            </w:r>
            <w:r w:rsidR="00B113BF">
              <w:rPr>
                <w:noProof/>
                <w:webHidden/>
              </w:rPr>
              <w:tab/>
            </w:r>
            <w:r w:rsidR="00B113BF">
              <w:rPr>
                <w:noProof/>
                <w:webHidden/>
              </w:rPr>
              <w:fldChar w:fldCharType="begin"/>
            </w:r>
            <w:r w:rsidR="00B113BF">
              <w:rPr>
                <w:noProof/>
                <w:webHidden/>
              </w:rPr>
              <w:instrText xml:space="preserve"> PAGEREF _Toc524347672 \h </w:instrText>
            </w:r>
            <w:r w:rsidR="00B113BF">
              <w:rPr>
                <w:noProof/>
                <w:webHidden/>
              </w:rPr>
            </w:r>
            <w:r w:rsidR="00B113BF">
              <w:rPr>
                <w:noProof/>
                <w:webHidden/>
              </w:rPr>
              <w:fldChar w:fldCharType="separate"/>
            </w:r>
            <w:r w:rsidR="00037F2D">
              <w:rPr>
                <w:noProof/>
                <w:webHidden/>
              </w:rPr>
              <w:t>6</w:t>
            </w:r>
            <w:r w:rsidR="00B113BF">
              <w:rPr>
                <w:noProof/>
                <w:webHidden/>
              </w:rPr>
              <w:fldChar w:fldCharType="end"/>
            </w:r>
          </w:hyperlink>
        </w:p>
        <w:p w:rsidR="00B113BF" w:rsidRDefault="00332FCA" w:rsidP="00844225">
          <w:pPr>
            <w:pStyle w:val="TOC3"/>
            <w:widowControl/>
            <w:tabs>
              <w:tab w:val="left" w:pos="1100"/>
              <w:tab w:val="right" w:leader="dot" w:pos="9350"/>
            </w:tabs>
            <w:rPr>
              <w:rFonts w:asciiTheme="minorHAnsi" w:eastAsiaTheme="minorEastAsia" w:hAnsiTheme="minorHAnsi" w:cstheme="minorBidi"/>
              <w:noProof/>
              <w:sz w:val="22"/>
              <w:szCs w:val="22"/>
            </w:rPr>
          </w:pPr>
          <w:hyperlink w:anchor="_Toc524347673" w:history="1">
            <w:r w:rsidR="00B113BF" w:rsidRPr="00925E6C">
              <w:rPr>
                <w:rStyle w:val="Hyperlink"/>
                <w:noProof/>
              </w:rPr>
              <w:t>1.</w:t>
            </w:r>
            <w:r w:rsidR="00B113BF">
              <w:rPr>
                <w:rFonts w:asciiTheme="minorHAnsi" w:eastAsiaTheme="minorEastAsia" w:hAnsiTheme="minorHAnsi" w:cstheme="minorBidi"/>
                <w:noProof/>
                <w:sz w:val="22"/>
                <w:szCs w:val="22"/>
              </w:rPr>
              <w:tab/>
            </w:r>
            <w:r w:rsidR="00B113BF" w:rsidRPr="00925E6C">
              <w:rPr>
                <w:rStyle w:val="Hyperlink"/>
                <w:noProof/>
              </w:rPr>
              <w:t>Burden of Proof</w:t>
            </w:r>
            <w:r w:rsidR="00B113BF">
              <w:rPr>
                <w:noProof/>
                <w:webHidden/>
              </w:rPr>
              <w:tab/>
            </w:r>
            <w:r w:rsidR="00B113BF">
              <w:rPr>
                <w:noProof/>
                <w:webHidden/>
              </w:rPr>
              <w:fldChar w:fldCharType="begin"/>
            </w:r>
            <w:r w:rsidR="00B113BF">
              <w:rPr>
                <w:noProof/>
                <w:webHidden/>
              </w:rPr>
              <w:instrText xml:space="preserve"> PAGEREF _Toc524347673 \h </w:instrText>
            </w:r>
            <w:r w:rsidR="00B113BF">
              <w:rPr>
                <w:noProof/>
                <w:webHidden/>
              </w:rPr>
            </w:r>
            <w:r w:rsidR="00B113BF">
              <w:rPr>
                <w:noProof/>
                <w:webHidden/>
              </w:rPr>
              <w:fldChar w:fldCharType="separate"/>
            </w:r>
            <w:r w:rsidR="00037F2D">
              <w:rPr>
                <w:noProof/>
                <w:webHidden/>
              </w:rPr>
              <w:t>6</w:t>
            </w:r>
            <w:r w:rsidR="00B113BF">
              <w:rPr>
                <w:noProof/>
                <w:webHidden/>
              </w:rPr>
              <w:fldChar w:fldCharType="end"/>
            </w:r>
          </w:hyperlink>
        </w:p>
        <w:p w:rsidR="00B113BF" w:rsidRDefault="00332FCA" w:rsidP="00844225">
          <w:pPr>
            <w:pStyle w:val="TOC3"/>
            <w:widowControl/>
            <w:tabs>
              <w:tab w:val="left" w:pos="1100"/>
              <w:tab w:val="right" w:leader="dot" w:pos="9350"/>
            </w:tabs>
            <w:rPr>
              <w:rFonts w:asciiTheme="minorHAnsi" w:eastAsiaTheme="minorEastAsia" w:hAnsiTheme="minorHAnsi" w:cstheme="minorBidi"/>
              <w:noProof/>
              <w:sz w:val="22"/>
              <w:szCs w:val="22"/>
            </w:rPr>
          </w:pPr>
          <w:hyperlink w:anchor="_Toc524347674" w:history="1">
            <w:r w:rsidR="00B113BF" w:rsidRPr="00925E6C">
              <w:rPr>
                <w:rStyle w:val="Hyperlink"/>
                <w:noProof/>
              </w:rPr>
              <w:t>2.</w:t>
            </w:r>
            <w:r w:rsidR="00B113BF">
              <w:rPr>
                <w:rFonts w:asciiTheme="minorHAnsi" w:eastAsiaTheme="minorEastAsia" w:hAnsiTheme="minorHAnsi" w:cstheme="minorBidi"/>
                <w:noProof/>
                <w:sz w:val="22"/>
                <w:szCs w:val="22"/>
              </w:rPr>
              <w:tab/>
            </w:r>
            <w:r w:rsidR="00B113BF" w:rsidRPr="00925E6C">
              <w:rPr>
                <w:rStyle w:val="Hyperlink"/>
                <w:noProof/>
              </w:rPr>
              <w:t>Least Cost Fuel Procurement Policy</w:t>
            </w:r>
            <w:r w:rsidR="00B113BF">
              <w:rPr>
                <w:noProof/>
                <w:webHidden/>
              </w:rPr>
              <w:tab/>
            </w:r>
            <w:r w:rsidR="00B113BF">
              <w:rPr>
                <w:noProof/>
                <w:webHidden/>
              </w:rPr>
              <w:fldChar w:fldCharType="begin"/>
            </w:r>
            <w:r w:rsidR="00B113BF">
              <w:rPr>
                <w:noProof/>
                <w:webHidden/>
              </w:rPr>
              <w:instrText xml:space="preserve"> PAGEREF _Toc524347674 \h </w:instrText>
            </w:r>
            <w:r w:rsidR="00B113BF">
              <w:rPr>
                <w:noProof/>
                <w:webHidden/>
              </w:rPr>
            </w:r>
            <w:r w:rsidR="00B113BF">
              <w:rPr>
                <w:noProof/>
                <w:webHidden/>
              </w:rPr>
              <w:fldChar w:fldCharType="separate"/>
            </w:r>
            <w:r w:rsidR="00037F2D">
              <w:rPr>
                <w:noProof/>
                <w:webHidden/>
              </w:rPr>
              <w:t>7</w:t>
            </w:r>
            <w:r w:rsidR="00B113BF">
              <w:rPr>
                <w:noProof/>
                <w:webHidden/>
              </w:rPr>
              <w:fldChar w:fldCharType="end"/>
            </w:r>
          </w:hyperlink>
        </w:p>
        <w:p w:rsidR="00B113BF" w:rsidRDefault="00332FCA" w:rsidP="00844225">
          <w:pPr>
            <w:pStyle w:val="TOC3"/>
            <w:widowControl/>
            <w:tabs>
              <w:tab w:val="left" w:pos="1100"/>
              <w:tab w:val="right" w:leader="dot" w:pos="9350"/>
            </w:tabs>
            <w:rPr>
              <w:rFonts w:asciiTheme="minorHAnsi" w:eastAsiaTheme="minorEastAsia" w:hAnsiTheme="minorHAnsi" w:cstheme="minorBidi"/>
              <w:noProof/>
              <w:sz w:val="22"/>
              <w:szCs w:val="22"/>
            </w:rPr>
          </w:pPr>
          <w:hyperlink w:anchor="_Toc524347675" w:history="1">
            <w:r w:rsidR="00B113BF" w:rsidRPr="00925E6C">
              <w:rPr>
                <w:rStyle w:val="Hyperlink"/>
                <w:noProof/>
              </w:rPr>
              <w:t>3.</w:t>
            </w:r>
            <w:r w:rsidR="00B113BF">
              <w:rPr>
                <w:rFonts w:asciiTheme="minorHAnsi" w:eastAsiaTheme="minorEastAsia" w:hAnsiTheme="minorHAnsi" w:cstheme="minorBidi"/>
                <w:noProof/>
                <w:sz w:val="22"/>
                <w:szCs w:val="22"/>
              </w:rPr>
              <w:tab/>
            </w:r>
            <w:r w:rsidR="00B113BF" w:rsidRPr="00925E6C">
              <w:rPr>
                <w:rStyle w:val="Hyperlink"/>
                <w:noProof/>
              </w:rPr>
              <w:t>Settlements</w:t>
            </w:r>
            <w:r w:rsidR="00B113BF">
              <w:rPr>
                <w:noProof/>
                <w:webHidden/>
              </w:rPr>
              <w:tab/>
            </w:r>
            <w:r w:rsidR="00B113BF">
              <w:rPr>
                <w:noProof/>
                <w:webHidden/>
              </w:rPr>
              <w:fldChar w:fldCharType="begin"/>
            </w:r>
            <w:r w:rsidR="00B113BF">
              <w:rPr>
                <w:noProof/>
                <w:webHidden/>
              </w:rPr>
              <w:instrText xml:space="preserve"> PAGEREF _Toc524347675 \h </w:instrText>
            </w:r>
            <w:r w:rsidR="00B113BF">
              <w:rPr>
                <w:noProof/>
                <w:webHidden/>
              </w:rPr>
            </w:r>
            <w:r w:rsidR="00B113BF">
              <w:rPr>
                <w:noProof/>
                <w:webHidden/>
              </w:rPr>
              <w:fldChar w:fldCharType="separate"/>
            </w:r>
            <w:r w:rsidR="00037F2D">
              <w:rPr>
                <w:noProof/>
                <w:webHidden/>
              </w:rPr>
              <w:t>9</w:t>
            </w:r>
            <w:r w:rsidR="00B113BF">
              <w:rPr>
                <w:noProof/>
                <w:webHidden/>
              </w:rPr>
              <w:fldChar w:fldCharType="end"/>
            </w:r>
          </w:hyperlink>
        </w:p>
        <w:p w:rsidR="00B113BF" w:rsidRDefault="00332FCA" w:rsidP="00844225">
          <w:pPr>
            <w:pStyle w:val="TOC1"/>
            <w:widowControl/>
            <w:rPr>
              <w:rFonts w:asciiTheme="minorHAnsi" w:eastAsiaTheme="minorEastAsia" w:hAnsiTheme="minorHAnsi" w:cstheme="minorBidi"/>
              <w:noProof/>
              <w:sz w:val="22"/>
              <w:szCs w:val="22"/>
            </w:rPr>
          </w:pPr>
          <w:hyperlink w:anchor="_Toc524347676" w:history="1">
            <w:r w:rsidR="00B113BF" w:rsidRPr="00925E6C">
              <w:rPr>
                <w:rStyle w:val="Hyperlink"/>
                <w:noProof/>
              </w:rPr>
              <w:t>IV.</w:t>
            </w:r>
            <w:r w:rsidR="00B113BF">
              <w:rPr>
                <w:rFonts w:asciiTheme="minorHAnsi" w:eastAsiaTheme="minorEastAsia" w:hAnsiTheme="minorHAnsi" w:cstheme="minorBidi"/>
                <w:noProof/>
                <w:sz w:val="22"/>
                <w:szCs w:val="22"/>
              </w:rPr>
              <w:tab/>
            </w:r>
            <w:r w:rsidR="00B113BF" w:rsidRPr="00925E6C">
              <w:rPr>
                <w:rStyle w:val="Hyperlink"/>
                <w:noProof/>
              </w:rPr>
              <w:t>The Joint Petition for Partial Settlement</w:t>
            </w:r>
            <w:r w:rsidR="00B113BF">
              <w:rPr>
                <w:noProof/>
                <w:webHidden/>
              </w:rPr>
              <w:tab/>
            </w:r>
            <w:r w:rsidR="00B113BF">
              <w:rPr>
                <w:noProof/>
                <w:webHidden/>
              </w:rPr>
              <w:fldChar w:fldCharType="begin"/>
            </w:r>
            <w:r w:rsidR="00B113BF">
              <w:rPr>
                <w:noProof/>
                <w:webHidden/>
              </w:rPr>
              <w:instrText xml:space="preserve"> PAGEREF _Toc524347676 \h </w:instrText>
            </w:r>
            <w:r w:rsidR="00B113BF">
              <w:rPr>
                <w:noProof/>
                <w:webHidden/>
              </w:rPr>
            </w:r>
            <w:r w:rsidR="00B113BF">
              <w:rPr>
                <w:noProof/>
                <w:webHidden/>
              </w:rPr>
              <w:fldChar w:fldCharType="separate"/>
            </w:r>
            <w:r w:rsidR="00037F2D">
              <w:rPr>
                <w:noProof/>
                <w:webHidden/>
              </w:rPr>
              <w:t>10</w:t>
            </w:r>
            <w:r w:rsidR="00B113BF">
              <w:rPr>
                <w:noProof/>
                <w:webHidden/>
              </w:rPr>
              <w:fldChar w:fldCharType="end"/>
            </w:r>
          </w:hyperlink>
        </w:p>
        <w:p w:rsidR="00B113BF" w:rsidRDefault="00332FCA" w:rsidP="00844225">
          <w:pPr>
            <w:pStyle w:val="TOC2"/>
            <w:widowControl/>
            <w:tabs>
              <w:tab w:val="left" w:pos="800"/>
              <w:tab w:val="right" w:leader="dot" w:pos="9350"/>
            </w:tabs>
            <w:rPr>
              <w:rFonts w:asciiTheme="minorHAnsi" w:eastAsiaTheme="minorEastAsia" w:hAnsiTheme="minorHAnsi" w:cstheme="minorBidi"/>
              <w:noProof/>
              <w:sz w:val="22"/>
              <w:szCs w:val="22"/>
            </w:rPr>
          </w:pPr>
          <w:hyperlink w:anchor="_Toc524347677" w:history="1">
            <w:r w:rsidR="00B113BF" w:rsidRPr="00925E6C">
              <w:rPr>
                <w:rStyle w:val="Hyperlink"/>
                <w:noProof/>
              </w:rPr>
              <w:t>A.</w:t>
            </w:r>
            <w:r w:rsidR="00B113BF">
              <w:rPr>
                <w:rFonts w:asciiTheme="minorHAnsi" w:eastAsiaTheme="minorEastAsia" w:hAnsiTheme="minorHAnsi" w:cstheme="minorBidi"/>
                <w:noProof/>
                <w:sz w:val="22"/>
                <w:szCs w:val="22"/>
              </w:rPr>
              <w:tab/>
            </w:r>
            <w:r w:rsidR="00B113BF" w:rsidRPr="00925E6C">
              <w:rPr>
                <w:rStyle w:val="Hyperlink"/>
                <w:noProof/>
              </w:rPr>
              <w:t>Least Cost Fuel Procurement Policy</w:t>
            </w:r>
            <w:r w:rsidR="00B113BF">
              <w:rPr>
                <w:noProof/>
                <w:webHidden/>
              </w:rPr>
              <w:tab/>
            </w:r>
            <w:r w:rsidR="00B113BF">
              <w:rPr>
                <w:noProof/>
                <w:webHidden/>
              </w:rPr>
              <w:fldChar w:fldCharType="begin"/>
            </w:r>
            <w:r w:rsidR="00B113BF">
              <w:rPr>
                <w:noProof/>
                <w:webHidden/>
              </w:rPr>
              <w:instrText xml:space="preserve"> PAGEREF _Toc524347677 \h </w:instrText>
            </w:r>
            <w:r w:rsidR="00B113BF">
              <w:rPr>
                <w:noProof/>
                <w:webHidden/>
              </w:rPr>
            </w:r>
            <w:r w:rsidR="00B113BF">
              <w:rPr>
                <w:noProof/>
                <w:webHidden/>
              </w:rPr>
              <w:fldChar w:fldCharType="separate"/>
            </w:r>
            <w:r w:rsidR="00037F2D">
              <w:rPr>
                <w:noProof/>
                <w:webHidden/>
              </w:rPr>
              <w:t>10</w:t>
            </w:r>
            <w:r w:rsidR="00B113BF">
              <w:rPr>
                <w:noProof/>
                <w:webHidden/>
              </w:rPr>
              <w:fldChar w:fldCharType="end"/>
            </w:r>
          </w:hyperlink>
        </w:p>
        <w:p w:rsidR="00B113BF" w:rsidRDefault="00332FCA" w:rsidP="00844225">
          <w:pPr>
            <w:pStyle w:val="TOC2"/>
            <w:widowControl/>
            <w:tabs>
              <w:tab w:val="left" w:pos="800"/>
              <w:tab w:val="right" w:leader="dot" w:pos="9350"/>
            </w:tabs>
            <w:rPr>
              <w:rFonts w:asciiTheme="minorHAnsi" w:eastAsiaTheme="minorEastAsia" w:hAnsiTheme="minorHAnsi" w:cstheme="minorBidi"/>
              <w:noProof/>
              <w:sz w:val="22"/>
              <w:szCs w:val="22"/>
            </w:rPr>
          </w:pPr>
          <w:hyperlink w:anchor="_Toc524347678" w:history="1">
            <w:r w:rsidR="00B113BF" w:rsidRPr="00925E6C">
              <w:rPr>
                <w:rStyle w:val="Hyperlink"/>
                <w:noProof/>
              </w:rPr>
              <w:t>B.</w:t>
            </w:r>
            <w:r w:rsidR="00B113BF">
              <w:rPr>
                <w:rFonts w:asciiTheme="minorHAnsi" w:eastAsiaTheme="minorEastAsia" w:hAnsiTheme="minorHAnsi" w:cstheme="minorBidi"/>
                <w:noProof/>
                <w:sz w:val="22"/>
                <w:szCs w:val="22"/>
              </w:rPr>
              <w:tab/>
            </w:r>
            <w:r w:rsidR="00B113BF" w:rsidRPr="00925E6C">
              <w:rPr>
                <w:rStyle w:val="Hyperlink"/>
                <w:noProof/>
              </w:rPr>
              <w:t>Terms and Conditions of the Partial Settlement</w:t>
            </w:r>
            <w:r w:rsidR="00B113BF">
              <w:rPr>
                <w:noProof/>
                <w:webHidden/>
              </w:rPr>
              <w:tab/>
            </w:r>
            <w:r w:rsidR="00B113BF">
              <w:rPr>
                <w:noProof/>
                <w:webHidden/>
              </w:rPr>
              <w:fldChar w:fldCharType="begin"/>
            </w:r>
            <w:r w:rsidR="00B113BF">
              <w:rPr>
                <w:noProof/>
                <w:webHidden/>
              </w:rPr>
              <w:instrText xml:space="preserve"> PAGEREF _Toc524347678 \h </w:instrText>
            </w:r>
            <w:r w:rsidR="00B113BF">
              <w:rPr>
                <w:noProof/>
                <w:webHidden/>
              </w:rPr>
            </w:r>
            <w:r w:rsidR="00B113BF">
              <w:rPr>
                <w:noProof/>
                <w:webHidden/>
              </w:rPr>
              <w:fldChar w:fldCharType="separate"/>
            </w:r>
            <w:r w:rsidR="00037F2D">
              <w:rPr>
                <w:noProof/>
                <w:webHidden/>
              </w:rPr>
              <w:t>11</w:t>
            </w:r>
            <w:r w:rsidR="00B113BF">
              <w:rPr>
                <w:noProof/>
                <w:webHidden/>
              </w:rPr>
              <w:fldChar w:fldCharType="end"/>
            </w:r>
          </w:hyperlink>
        </w:p>
        <w:p w:rsidR="00B113BF" w:rsidRDefault="00332FCA" w:rsidP="00844225">
          <w:pPr>
            <w:pStyle w:val="TOC2"/>
            <w:widowControl/>
            <w:tabs>
              <w:tab w:val="left" w:pos="800"/>
              <w:tab w:val="right" w:leader="dot" w:pos="9350"/>
            </w:tabs>
            <w:rPr>
              <w:rFonts w:asciiTheme="minorHAnsi" w:eastAsiaTheme="minorEastAsia" w:hAnsiTheme="minorHAnsi" w:cstheme="minorBidi"/>
              <w:noProof/>
              <w:sz w:val="22"/>
              <w:szCs w:val="22"/>
            </w:rPr>
          </w:pPr>
          <w:hyperlink w:anchor="_Toc524347679" w:history="1">
            <w:r w:rsidR="00B113BF" w:rsidRPr="00925E6C">
              <w:rPr>
                <w:rStyle w:val="Hyperlink"/>
                <w:noProof/>
              </w:rPr>
              <w:t>C.</w:t>
            </w:r>
            <w:r w:rsidR="00B113BF">
              <w:rPr>
                <w:rFonts w:asciiTheme="minorHAnsi" w:eastAsiaTheme="minorEastAsia" w:hAnsiTheme="minorHAnsi" w:cstheme="minorBidi"/>
                <w:noProof/>
                <w:sz w:val="22"/>
                <w:szCs w:val="22"/>
              </w:rPr>
              <w:tab/>
            </w:r>
            <w:r w:rsidR="00B113BF" w:rsidRPr="00925E6C">
              <w:rPr>
                <w:rStyle w:val="Hyperlink"/>
                <w:noProof/>
              </w:rPr>
              <w:t>ALJ</w:t>
            </w:r>
            <w:r w:rsidR="001A5BA1">
              <w:rPr>
                <w:rStyle w:val="Hyperlink"/>
                <w:noProof/>
              </w:rPr>
              <w:t>’</w:t>
            </w:r>
            <w:r w:rsidR="00B113BF" w:rsidRPr="00925E6C">
              <w:rPr>
                <w:rStyle w:val="Hyperlink"/>
                <w:noProof/>
              </w:rPr>
              <w:t>s Recommendation</w:t>
            </w:r>
            <w:r w:rsidR="00B113BF">
              <w:rPr>
                <w:noProof/>
                <w:webHidden/>
              </w:rPr>
              <w:tab/>
            </w:r>
            <w:r w:rsidR="00B113BF">
              <w:rPr>
                <w:noProof/>
                <w:webHidden/>
              </w:rPr>
              <w:fldChar w:fldCharType="begin"/>
            </w:r>
            <w:r w:rsidR="00B113BF">
              <w:rPr>
                <w:noProof/>
                <w:webHidden/>
              </w:rPr>
              <w:instrText xml:space="preserve"> PAGEREF _Toc524347679 \h </w:instrText>
            </w:r>
            <w:r w:rsidR="00B113BF">
              <w:rPr>
                <w:noProof/>
                <w:webHidden/>
              </w:rPr>
            </w:r>
            <w:r w:rsidR="00B113BF">
              <w:rPr>
                <w:noProof/>
                <w:webHidden/>
              </w:rPr>
              <w:fldChar w:fldCharType="separate"/>
            </w:r>
            <w:r w:rsidR="00037F2D">
              <w:rPr>
                <w:noProof/>
                <w:webHidden/>
              </w:rPr>
              <w:t>17</w:t>
            </w:r>
            <w:r w:rsidR="00B113BF">
              <w:rPr>
                <w:noProof/>
                <w:webHidden/>
              </w:rPr>
              <w:fldChar w:fldCharType="end"/>
            </w:r>
          </w:hyperlink>
        </w:p>
        <w:p w:rsidR="00B113BF" w:rsidRDefault="00332FCA" w:rsidP="00844225">
          <w:pPr>
            <w:pStyle w:val="TOC2"/>
            <w:widowControl/>
            <w:tabs>
              <w:tab w:val="left" w:pos="800"/>
              <w:tab w:val="right" w:leader="dot" w:pos="9350"/>
            </w:tabs>
            <w:rPr>
              <w:rFonts w:asciiTheme="minorHAnsi" w:eastAsiaTheme="minorEastAsia" w:hAnsiTheme="minorHAnsi" w:cstheme="minorBidi"/>
              <w:noProof/>
              <w:sz w:val="22"/>
              <w:szCs w:val="22"/>
            </w:rPr>
          </w:pPr>
          <w:hyperlink w:anchor="_Toc524347680" w:history="1">
            <w:r w:rsidR="00B113BF" w:rsidRPr="00925E6C">
              <w:rPr>
                <w:rStyle w:val="Hyperlink"/>
                <w:noProof/>
              </w:rPr>
              <w:t>D.</w:t>
            </w:r>
            <w:r w:rsidR="00B113BF">
              <w:rPr>
                <w:rFonts w:asciiTheme="minorHAnsi" w:eastAsiaTheme="minorEastAsia" w:hAnsiTheme="minorHAnsi" w:cstheme="minorBidi"/>
                <w:noProof/>
                <w:sz w:val="22"/>
                <w:szCs w:val="22"/>
              </w:rPr>
              <w:tab/>
            </w:r>
            <w:r w:rsidR="00B113BF" w:rsidRPr="00925E6C">
              <w:rPr>
                <w:rStyle w:val="Hyperlink"/>
                <w:noProof/>
              </w:rPr>
              <w:t>Disposition</w:t>
            </w:r>
            <w:r w:rsidR="00B113BF">
              <w:rPr>
                <w:noProof/>
                <w:webHidden/>
              </w:rPr>
              <w:tab/>
            </w:r>
            <w:r w:rsidR="00B113BF">
              <w:rPr>
                <w:noProof/>
                <w:webHidden/>
              </w:rPr>
              <w:fldChar w:fldCharType="begin"/>
            </w:r>
            <w:r w:rsidR="00B113BF">
              <w:rPr>
                <w:noProof/>
                <w:webHidden/>
              </w:rPr>
              <w:instrText xml:space="preserve"> PAGEREF _Toc524347680 \h </w:instrText>
            </w:r>
            <w:r w:rsidR="00B113BF">
              <w:rPr>
                <w:noProof/>
                <w:webHidden/>
              </w:rPr>
            </w:r>
            <w:r w:rsidR="00B113BF">
              <w:rPr>
                <w:noProof/>
                <w:webHidden/>
              </w:rPr>
              <w:fldChar w:fldCharType="separate"/>
            </w:r>
            <w:r w:rsidR="00037F2D">
              <w:rPr>
                <w:noProof/>
                <w:webHidden/>
              </w:rPr>
              <w:t>18</w:t>
            </w:r>
            <w:r w:rsidR="00B113BF">
              <w:rPr>
                <w:noProof/>
                <w:webHidden/>
              </w:rPr>
              <w:fldChar w:fldCharType="end"/>
            </w:r>
          </w:hyperlink>
        </w:p>
        <w:p w:rsidR="00B113BF" w:rsidRDefault="00332FCA" w:rsidP="00844225">
          <w:pPr>
            <w:pStyle w:val="TOC1"/>
            <w:widowControl/>
            <w:rPr>
              <w:rFonts w:asciiTheme="minorHAnsi" w:eastAsiaTheme="minorEastAsia" w:hAnsiTheme="minorHAnsi" w:cstheme="minorBidi"/>
              <w:noProof/>
              <w:sz w:val="22"/>
              <w:szCs w:val="22"/>
            </w:rPr>
          </w:pPr>
          <w:hyperlink w:anchor="_Toc524347681" w:history="1">
            <w:r w:rsidR="00B113BF" w:rsidRPr="00925E6C">
              <w:rPr>
                <w:rStyle w:val="Hyperlink"/>
                <w:noProof/>
              </w:rPr>
              <w:t>V.</w:t>
            </w:r>
            <w:r w:rsidR="00B113BF">
              <w:rPr>
                <w:rFonts w:asciiTheme="minorHAnsi" w:eastAsiaTheme="minorEastAsia" w:hAnsiTheme="minorHAnsi" w:cstheme="minorBidi"/>
                <w:noProof/>
                <w:sz w:val="22"/>
                <w:szCs w:val="22"/>
              </w:rPr>
              <w:tab/>
            </w:r>
            <w:r w:rsidR="00B113BF" w:rsidRPr="00925E6C">
              <w:rPr>
                <w:rStyle w:val="Hyperlink"/>
                <w:noProof/>
              </w:rPr>
              <w:t>Contested Issue</w:t>
            </w:r>
            <w:r w:rsidR="00B113BF">
              <w:rPr>
                <w:noProof/>
                <w:webHidden/>
              </w:rPr>
              <w:tab/>
            </w:r>
            <w:r w:rsidR="00B113BF">
              <w:rPr>
                <w:noProof/>
                <w:webHidden/>
              </w:rPr>
              <w:fldChar w:fldCharType="begin"/>
            </w:r>
            <w:r w:rsidR="00B113BF">
              <w:rPr>
                <w:noProof/>
                <w:webHidden/>
              </w:rPr>
              <w:instrText xml:space="preserve"> PAGEREF _Toc524347681 \h </w:instrText>
            </w:r>
            <w:r w:rsidR="00B113BF">
              <w:rPr>
                <w:noProof/>
                <w:webHidden/>
              </w:rPr>
            </w:r>
            <w:r w:rsidR="00B113BF">
              <w:rPr>
                <w:noProof/>
                <w:webHidden/>
              </w:rPr>
              <w:fldChar w:fldCharType="separate"/>
            </w:r>
            <w:r w:rsidR="00037F2D">
              <w:rPr>
                <w:noProof/>
                <w:webHidden/>
              </w:rPr>
              <w:t>20</w:t>
            </w:r>
            <w:r w:rsidR="00B113BF">
              <w:rPr>
                <w:noProof/>
                <w:webHidden/>
              </w:rPr>
              <w:fldChar w:fldCharType="end"/>
            </w:r>
          </w:hyperlink>
        </w:p>
        <w:p w:rsidR="00B113BF" w:rsidRDefault="00332FCA" w:rsidP="00844225">
          <w:pPr>
            <w:pStyle w:val="TOC2"/>
            <w:widowControl/>
            <w:tabs>
              <w:tab w:val="left" w:pos="800"/>
              <w:tab w:val="right" w:leader="dot" w:pos="9350"/>
            </w:tabs>
            <w:rPr>
              <w:rFonts w:asciiTheme="minorHAnsi" w:eastAsiaTheme="minorEastAsia" w:hAnsiTheme="minorHAnsi" w:cstheme="minorBidi"/>
              <w:noProof/>
              <w:sz w:val="22"/>
              <w:szCs w:val="22"/>
            </w:rPr>
          </w:pPr>
          <w:hyperlink w:anchor="_Toc524347682" w:history="1">
            <w:r w:rsidR="00B113BF" w:rsidRPr="00925E6C">
              <w:rPr>
                <w:rStyle w:val="Hyperlink"/>
                <w:noProof/>
              </w:rPr>
              <w:t>A.</w:t>
            </w:r>
            <w:r w:rsidR="00B113BF">
              <w:rPr>
                <w:rFonts w:asciiTheme="minorHAnsi" w:eastAsiaTheme="minorEastAsia" w:hAnsiTheme="minorHAnsi" w:cstheme="minorBidi"/>
                <w:noProof/>
                <w:sz w:val="22"/>
                <w:szCs w:val="22"/>
              </w:rPr>
              <w:tab/>
            </w:r>
            <w:r w:rsidR="00B113BF" w:rsidRPr="00925E6C">
              <w:rPr>
                <w:rStyle w:val="Hyperlink"/>
                <w:noProof/>
              </w:rPr>
              <w:t>Proposed Producer Retainage Charge</w:t>
            </w:r>
            <w:r w:rsidR="00B113BF">
              <w:rPr>
                <w:noProof/>
                <w:webHidden/>
              </w:rPr>
              <w:tab/>
            </w:r>
            <w:r w:rsidR="00B113BF">
              <w:rPr>
                <w:noProof/>
                <w:webHidden/>
              </w:rPr>
              <w:fldChar w:fldCharType="begin"/>
            </w:r>
            <w:r w:rsidR="00B113BF">
              <w:rPr>
                <w:noProof/>
                <w:webHidden/>
              </w:rPr>
              <w:instrText xml:space="preserve"> PAGEREF _Toc524347682 \h </w:instrText>
            </w:r>
            <w:r w:rsidR="00B113BF">
              <w:rPr>
                <w:noProof/>
                <w:webHidden/>
              </w:rPr>
            </w:r>
            <w:r w:rsidR="00B113BF">
              <w:rPr>
                <w:noProof/>
                <w:webHidden/>
              </w:rPr>
              <w:fldChar w:fldCharType="separate"/>
            </w:r>
            <w:r w:rsidR="00037F2D">
              <w:rPr>
                <w:noProof/>
                <w:webHidden/>
              </w:rPr>
              <w:t>20</w:t>
            </w:r>
            <w:r w:rsidR="00B113BF">
              <w:rPr>
                <w:noProof/>
                <w:webHidden/>
              </w:rPr>
              <w:fldChar w:fldCharType="end"/>
            </w:r>
          </w:hyperlink>
        </w:p>
        <w:p w:rsidR="00B113BF" w:rsidRDefault="00332FCA" w:rsidP="00844225">
          <w:pPr>
            <w:pStyle w:val="TOC3"/>
            <w:widowControl/>
            <w:tabs>
              <w:tab w:val="left" w:pos="1100"/>
              <w:tab w:val="right" w:leader="dot" w:pos="9350"/>
            </w:tabs>
            <w:rPr>
              <w:rFonts w:asciiTheme="minorHAnsi" w:eastAsiaTheme="minorEastAsia" w:hAnsiTheme="minorHAnsi" w:cstheme="minorBidi"/>
              <w:noProof/>
              <w:sz w:val="22"/>
              <w:szCs w:val="22"/>
            </w:rPr>
          </w:pPr>
          <w:hyperlink w:anchor="_Toc524347683" w:history="1">
            <w:r w:rsidR="00B113BF" w:rsidRPr="00925E6C">
              <w:rPr>
                <w:rStyle w:val="Hyperlink"/>
                <w:noProof/>
              </w:rPr>
              <w:t>1.</w:t>
            </w:r>
            <w:r w:rsidR="00B113BF">
              <w:rPr>
                <w:rFonts w:asciiTheme="minorHAnsi" w:eastAsiaTheme="minorEastAsia" w:hAnsiTheme="minorHAnsi" w:cstheme="minorBidi"/>
                <w:noProof/>
                <w:sz w:val="22"/>
                <w:szCs w:val="22"/>
              </w:rPr>
              <w:tab/>
            </w:r>
            <w:r w:rsidR="00B113BF" w:rsidRPr="00925E6C">
              <w:rPr>
                <w:rStyle w:val="Hyperlink"/>
                <w:noProof/>
              </w:rPr>
              <w:t>Background</w:t>
            </w:r>
            <w:r w:rsidR="00B113BF">
              <w:rPr>
                <w:noProof/>
                <w:webHidden/>
              </w:rPr>
              <w:tab/>
            </w:r>
            <w:r w:rsidR="00B113BF">
              <w:rPr>
                <w:noProof/>
                <w:webHidden/>
              </w:rPr>
              <w:fldChar w:fldCharType="begin"/>
            </w:r>
            <w:r w:rsidR="00B113BF">
              <w:rPr>
                <w:noProof/>
                <w:webHidden/>
              </w:rPr>
              <w:instrText xml:space="preserve"> PAGEREF _Toc524347683 \h </w:instrText>
            </w:r>
            <w:r w:rsidR="00B113BF">
              <w:rPr>
                <w:noProof/>
                <w:webHidden/>
              </w:rPr>
            </w:r>
            <w:r w:rsidR="00B113BF">
              <w:rPr>
                <w:noProof/>
                <w:webHidden/>
              </w:rPr>
              <w:fldChar w:fldCharType="separate"/>
            </w:r>
            <w:r w:rsidR="00037F2D">
              <w:rPr>
                <w:noProof/>
                <w:webHidden/>
              </w:rPr>
              <w:t>20</w:t>
            </w:r>
            <w:r w:rsidR="00B113BF">
              <w:rPr>
                <w:noProof/>
                <w:webHidden/>
              </w:rPr>
              <w:fldChar w:fldCharType="end"/>
            </w:r>
          </w:hyperlink>
        </w:p>
        <w:p w:rsidR="00B113BF" w:rsidRDefault="00332FCA" w:rsidP="00844225">
          <w:pPr>
            <w:pStyle w:val="TOC3"/>
            <w:widowControl/>
            <w:tabs>
              <w:tab w:val="left" w:pos="1100"/>
              <w:tab w:val="right" w:leader="dot" w:pos="9350"/>
            </w:tabs>
            <w:rPr>
              <w:rFonts w:asciiTheme="minorHAnsi" w:eastAsiaTheme="minorEastAsia" w:hAnsiTheme="minorHAnsi" w:cstheme="minorBidi"/>
              <w:noProof/>
              <w:sz w:val="22"/>
              <w:szCs w:val="22"/>
            </w:rPr>
          </w:pPr>
          <w:hyperlink w:anchor="_Toc524347684" w:history="1">
            <w:r w:rsidR="00B113BF" w:rsidRPr="00925E6C">
              <w:rPr>
                <w:rStyle w:val="Hyperlink"/>
                <w:noProof/>
              </w:rPr>
              <w:t>2.</w:t>
            </w:r>
            <w:r w:rsidR="00B113BF">
              <w:rPr>
                <w:rFonts w:asciiTheme="minorHAnsi" w:eastAsiaTheme="minorEastAsia" w:hAnsiTheme="minorHAnsi" w:cstheme="minorBidi"/>
                <w:noProof/>
                <w:sz w:val="22"/>
                <w:szCs w:val="22"/>
              </w:rPr>
              <w:tab/>
            </w:r>
            <w:r w:rsidR="00B113BF" w:rsidRPr="00925E6C">
              <w:rPr>
                <w:rStyle w:val="Hyperlink"/>
                <w:noProof/>
              </w:rPr>
              <w:t>Positions of the Parties</w:t>
            </w:r>
            <w:r w:rsidR="00B113BF">
              <w:rPr>
                <w:noProof/>
                <w:webHidden/>
              </w:rPr>
              <w:tab/>
            </w:r>
            <w:r w:rsidR="00B113BF">
              <w:rPr>
                <w:noProof/>
                <w:webHidden/>
              </w:rPr>
              <w:fldChar w:fldCharType="begin"/>
            </w:r>
            <w:r w:rsidR="00B113BF">
              <w:rPr>
                <w:noProof/>
                <w:webHidden/>
              </w:rPr>
              <w:instrText xml:space="preserve"> PAGEREF _Toc524347684 \h </w:instrText>
            </w:r>
            <w:r w:rsidR="00B113BF">
              <w:rPr>
                <w:noProof/>
                <w:webHidden/>
              </w:rPr>
            </w:r>
            <w:r w:rsidR="00B113BF">
              <w:rPr>
                <w:noProof/>
                <w:webHidden/>
              </w:rPr>
              <w:fldChar w:fldCharType="separate"/>
            </w:r>
            <w:r w:rsidR="00037F2D">
              <w:rPr>
                <w:noProof/>
                <w:webHidden/>
              </w:rPr>
              <w:t>25</w:t>
            </w:r>
            <w:r w:rsidR="00B113BF">
              <w:rPr>
                <w:noProof/>
                <w:webHidden/>
              </w:rPr>
              <w:fldChar w:fldCharType="end"/>
            </w:r>
          </w:hyperlink>
        </w:p>
        <w:p w:rsidR="00B113BF" w:rsidRDefault="00332FCA" w:rsidP="00844225">
          <w:pPr>
            <w:pStyle w:val="TOC2"/>
            <w:widowControl/>
            <w:tabs>
              <w:tab w:val="left" w:pos="800"/>
              <w:tab w:val="right" w:leader="dot" w:pos="9350"/>
            </w:tabs>
            <w:rPr>
              <w:rFonts w:asciiTheme="minorHAnsi" w:eastAsiaTheme="minorEastAsia" w:hAnsiTheme="minorHAnsi" w:cstheme="minorBidi"/>
              <w:noProof/>
              <w:sz w:val="22"/>
              <w:szCs w:val="22"/>
            </w:rPr>
          </w:pPr>
          <w:hyperlink w:anchor="_Toc524347685" w:history="1">
            <w:r w:rsidR="00B113BF" w:rsidRPr="00925E6C">
              <w:rPr>
                <w:rStyle w:val="Hyperlink"/>
                <w:noProof/>
              </w:rPr>
              <w:t>B.</w:t>
            </w:r>
            <w:r w:rsidR="00B113BF">
              <w:rPr>
                <w:rFonts w:asciiTheme="minorHAnsi" w:eastAsiaTheme="minorEastAsia" w:hAnsiTheme="minorHAnsi" w:cstheme="minorBidi"/>
                <w:noProof/>
                <w:sz w:val="22"/>
                <w:szCs w:val="22"/>
              </w:rPr>
              <w:tab/>
            </w:r>
            <w:r w:rsidR="00B113BF" w:rsidRPr="00925E6C">
              <w:rPr>
                <w:rStyle w:val="Hyperlink"/>
                <w:noProof/>
              </w:rPr>
              <w:t>ALJ</w:t>
            </w:r>
            <w:r w:rsidR="001A5BA1">
              <w:rPr>
                <w:rStyle w:val="Hyperlink"/>
                <w:noProof/>
              </w:rPr>
              <w:t>’</w:t>
            </w:r>
            <w:r w:rsidR="00B113BF" w:rsidRPr="00925E6C">
              <w:rPr>
                <w:rStyle w:val="Hyperlink"/>
                <w:noProof/>
              </w:rPr>
              <w:t>s Recommendation</w:t>
            </w:r>
            <w:r w:rsidR="00B113BF">
              <w:rPr>
                <w:noProof/>
                <w:webHidden/>
              </w:rPr>
              <w:tab/>
            </w:r>
            <w:r w:rsidR="00B113BF">
              <w:rPr>
                <w:noProof/>
                <w:webHidden/>
              </w:rPr>
              <w:fldChar w:fldCharType="begin"/>
            </w:r>
            <w:r w:rsidR="00B113BF">
              <w:rPr>
                <w:noProof/>
                <w:webHidden/>
              </w:rPr>
              <w:instrText xml:space="preserve"> PAGEREF _Toc524347685 \h </w:instrText>
            </w:r>
            <w:r w:rsidR="00B113BF">
              <w:rPr>
                <w:noProof/>
                <w:webHidden/>
              </w:rPr>
            </w:r>
            <w:r w:rsidR="00B113BF">
              <w:rPr>
                <w:noProof/>
                <w:webHidden/>
              </w:rPr>
              <w:fldChar w:fldCharType="separate"/>
            </w:r>
            <w:r w:rsidR="00037F2D">
              <w:rPr>
                <w:noProof/>
                <w:webHidden/>
              </w:rPr>
              <w:t>42</w:t>
            </w:r>
            <w:r w:rsidR="00B113BF">
              <w:rPr>
                <w:noProof/>
                <w:webHidden/>
              </w:rPr>
              <w:fldChar w:fldCharType="end"/>
            </w:r>
          </w:hyperlink>
        </w:p>
        <w:p w:rsidR="00B113BF" w:rsidRDefault="00332FCA" w:rsidP="00844225">
          <w:pPr>
            <w:pStyle w:val="TOC2"/>
            <w:widowControl/>
            <w:tabs>
              <w:tab w:val="left" w:pos="800"/>
              <w:tab w:val="right" w:leader="dot" w:pos="9350"/>
            </w:tabs>
            <w:rPr>
              <w:rFonts w:asciiTheme="minorHAnsi" w:eastAsiaTheme="minorEastAsia" w:hAnsiTheme="minorHAnsi" w:cstheme="minorBidi"/>
              <w:noProof/>
              <w:sz w:val="22"/>
              <w:szCs w:val="22"/>
            </w:rPr>
          </w:pPr>
          <w:hyperlink w:anchor="_Toc524347686" w:history="1">
            <w:r w:rsidR="00B113BF" w:rsidRPr="00925E6C">
              <w:rPr>
                <w:rStyle w:val="Hyperlink"/>
                <w:noProof/>
              </w:rPr>
              <w:t>C.</w:t>
            </w:r>
            <w:r w:rsidR="00B113BF">
              <w:rPr>
                <w:rFonts w:asciiTheme="minorHAnsi" w:eastAsiaTheme="minorEastAsia" w:hAnsiTheme="minorHAnsi" w:cstheme="minorBidi"/>
                <w:noProof/>
                <w:sz w:val="22"/>
                <w:szCs w:val="22"/>
              </w:rPr>
              <w:tab/>
            </w:r>
            <w:r w:rsidR="00B113BF" w:rsidRPr="00925E6C">
              <w:rPr>
                <w:rStyle w:val="Hyperlink"/>
                <w:noProof/>
              </w:rPr>
              <w:t>Exceptions, Replies and Dispositions</w:t>
            </w:r>
            <w:r w:rsidR="00B113BF">
              <w:rPr>
                <w:noProof/>
                <w:webHidden/>
              </w:rPr>
              <w:tab/>
            </w:r>
            <w:r w:rsidR="00B113BF">
              <w:rPr>
                <w:noProof/>
                <w:webHidden/>
              </w:rPr>
              <w:fldChar w:fldCharType="begin"/>
            </w:r>
            <w:r w:rsidR="00B113BF">
              <w:rPr>
                <w:noProof/>
                <w:webHidden/>
              </w:rPr>
              <w:instrText xml:space="preserve"> PAGEREF _Toc524347686 \h </w:instrText>
            </w:r>
            <w:r w:rsidR="00B113BF">
              <w:rPr>
                <w:noProof/>
                <w:webHidden/>
              </w:rPr>
            </w:r>
            <w:r w:rsidR="00B113BF">
              <w:rPr>
                <w:noProof/>
                <w:webHidden/>
              </w:rPr>
              <w:fldChar w:fldCharType="separate"/>
            </w:r>
            <w:r w:rsidR="00037F2D">
              <w:rPr>
                <w:noProof/>
                <w:webHidden/>
              </w:rPr>
              <w:t>44</w:t>
            </w:r>
            <w:r w:rsidR="00B113BF">
              <w:rPr>
                <w:noProof/>
                <w:webHidden/>
              </w:rPr>
              <w:fldChar w:fldCharType="end"/>
            </w:r>
          </w:hyperlink>
        </w:p>
        <w:p w:rsidR="00B113BF" w:rsidRDefault="00332FCA" w:rsidP="00844225">
          <w:pPr>
            <w:pStyle w:val="TOC3"/>
            <w:widowControl/>
            <w:tabs>
              <w:tab w:val="left" w:pos="1100"/>
              <w:tab w:val="right" w:leader="dot" w:pos="9350"/>
            </w:tabs>
            <w:rPr>
              <w:rFonts w:asciiTheme="minorHAnsi" w:eastAsiaTheme="minorEastAsia" w:hAnsiTheme="minorHAnsi" w:cstheme="minorBidi"/>
              <w:noProof/>
              <w:sz w:val="22"/>
              <w:szCs w:val="22"/>
            </w:rPr>
          </w:pPr>
          <w:hyperlink w:anchor="_Toc524347687" w:history="1">
            <w:r w:rsidR="00B113BF" w:rsidRPr="00925E6C">
              <w:rPr>
                <w:rStyle w:val="Hyperlink"/>
                <w:noProof/>
              </w:rPr>
              <w:t>1.</w:t>
            </w:r>
            <w:r w:rsidR="00B113BF">
              <w:rPr>
                <w:rFonts w:asciiTheme="minorHAnsi" w:eastAsiaTheme="minorEastAsia" w:hAnsiTheme="minorHAnsi" w:cstheme="minorBidi"/>
                <w:noProof/>
                <w:sz w:val="22"/>
                <w:szCs w:val="22"/>
              </w:rPr>
              <w:tab/>
            </w:r>
            <w:r w:rsidR="00B113BF" w:rsidRPr="00925E6C">
              <w:rPr>
                <w:rStyle w:val="Hyperlink"/>
                <w:noProof/>
              </w:rPr>
              <w:t>PIOGA Exception No. 1</w:t>
            </w:r>
            <w:r w:rsidR="00B113BF">
              <w:rPr>
                <w:noProof/>
                <w:webHidden/>
              </w:rPr>
              <w:tab/>
            </w:r>
            <w:r w:rsidR="00B113BF">
              <w:rPr>
                <w:noProof/>
                <w:webHidden/>
              </w:rPr>
              <w:fldChar w:fldCharType="begin"/>
            </w:r>
            <w:r w:rsidR="00B113BF">
              <w:rPr>
                <w:noProof/>
                <w:webHidden/>
              </w:rPr>
              <w:instrText xml:space="preserve"> PAGEREF _Toc524347687 \h </w:instrText>
            </w:r>
            <w:r w:rsidR="00B113BF">
              <w:rPr>
                <w:noProof/>
                <w:webHidden/>
              </w:rPr>
            </w:r>
            <w:r w:rsidR="00B113BF">
              <w:rPr>
                <w:noProof/>
                <w:webHidden/>
              </w:rPr>
              <w:fldChar w:fldCharType="separate"/>
            </w:r>
            <w:r w:rsidR="00037F2D">
              <w:rPr>
                <w:noProof/>
                <w:webHidden/>
              </w:rPr>
              <w:t>44</w:t>
            </w:r>
            <w:r w:rsidR="00B113BF">
              <w:rPr>
                <w:noProof/>
                <w:webHidden/>
              </w:rPr>
              <w:fldChar w:fldCharType="end"/>
            </w:r>
          </w:hyperlink>
        </w:p>
        <w:p w:rsidR="00B113BF" w:rsidRDefault="00332FCA" w:rsidP="00844225">
          <w:pPr>
            <w:pStyle w:val="TOC3"/>
            <w:widowControl/>
            <w:tabs>
              <w:tab w:val="left" w:pos="1100"/>
              <w:tab w:val="right" w:leader="dot" w:pos="9350"/>
            </w:tabs>
            <w:rPr>
              <w:rFonts w:asciiTheme="minorHAnsi" w:eastAsiaTheme="minorEastAsia" w:hAnsiTheme="minorHAnsi" w:cstheme="minorBidi"/>
              <w:noProof/>
              <w:sz w:val="22"/>
              <w:szCs w:val="22"/>
            </w:rPr>
          </w:pPr>
          <w:hyperlink w:anchor="_Toc524347688" w:history="1">
            <w:r w:rsidR="00B113BF" w:rsidRPr="00925E6C">
              <w:rPr>
                <w:rStyle w:val="Hyperlink"/>
                <w:noProof/>
              </w:rPr>
              <w:t>2.</w:t>
            </w:r>
            <w:r w:rsidR="00B113BF">
              <w:rPr>
                <w:rFonts w:asciiTheme="minorHAnsi" w:eastAsiaTheme="minorEastAsia" w:hAnsiTheme="minorHAnsi" w:cstheme="minorBidi"/>
                <w:noProof/>
                <w:sz w:val="22"/>
                <w:szCs w:val="22"/>
              </w:rPr>
              <w:tab/>
            </w:r>
            <w:r w:rsidR="00B113BF" w:rsidRPr="00925E6C">
              <w:rPr>
                <w:rStyle w:val="Hyperlink"/>
                <w:noProof/>
              </w:rPr>
              <w:t>PIOGA Exception No. 2</w:t>
            </w:r>
            <w:r w:rsidR="00B113BF">
              <w:rPr>
                <w:noProof/>
                <w:webHidden/>
              </w:rPr>
              <w:tab/>
            </w:r>
            <w:r w:rsidR="00B113BF">
              <w:rPr>
                <w:noProof/>
                <w:webHidden/>
              </w:rPr>
              <w:fldChar w:fldCharType="begin"/>
            </w:r>
            <w:r w:rsidR="00B113BF">
              <w:rPr>
                <w:noProof/>
                <w:webHidden/>
              </w:rPr>
              <w:instrText xml:space="preserve"> PAGEREF _Toc524347688 \h </w:instrText>
            </w:r>
            <w:r w:rsidR="00B113BF">
              <w:rPr>
                <w:noProof/>
                <w:webHidden/>
              </w:rPr>
            </w:r>
            <w:r w:rsidR="00B113BF">
              <w:rPr>
                <w:noProof/>
                <w:webHidden/>
              </w:rPr>
              <w:fldChar w:fldCharType="separate"/>
            </w:r>
            <w:r w:rsidR="00037F2D">
              <w:rPr>
                <w:noProof/>
                <w:webHidden/>
              </w:rPr>
              <w:t>55</w:t>
            </w:r>
            <w:r w:rsidR="00B113BF">
              <w:rPr>
                <w:noProof/>
                <w:webHidden/>
              </w:rPr>
              <w:fldChar w:fldCharType="end"/>
            </w:r>
          </w:hyperlink>
        </w:p>
        <w:p w:rsidR="00B113BF" w:rsidRDefault="00332FCA" w:rsidP="00844225">
          <w:pPr>
            <w:pStyle w:val="TOC3"/>
            <w:widowControl/>
            <w:tabs>
              <w:tab w:val="left" w:pos="1100"/>
              <w:tab w:val="right" w:leader="dot" w:pos="9350"/>
            </w:tabs>
            <w:rPr>
              <w:rFonts w:asciiTheme="minorHAnsi" w:eastAsiaTheme="minorEastAsia" w:hAnsiTheme="minorHAnsi" w:cstheme="minorBidi"/>
              <w:noProof/>
              <w:sz w:val="22"/>
              <w:szCs w:val="22"/>
            </w:rPr>
          </w:pPr>
          <w:hyperlink w:anchor="_Toc524347689" w:history="1">
            <w:r w:rsidR="00B113BF" w:rsidRPr="00925E6C">
              <w:rPr>
                <w:rStyle w:val="Hyperlink"/>
                <w:noProof/>
              </w:rPr>
              <w:t>3.</w:t>
            </w:r>
            <w:r w:rsidR="00B113BF">
              <w:rPr>
                <w:rFonts w:asciiTheme="minorHAnsi" w:eastAsiaTheme="minorEastAsia" w:hAnsiTheme="minorHAnsi" w:cstheme="minorBidi"/>
                <w:noProof/>
                <w:sz w:val="22"/>
                <w:szCs w:val="22"/>
              </w:rPr>
              <w:tab/>
            </w:r>
            <w:r w:rsidR="00B113BF" w:rsidRPr="00925E6C">
              <w:rPr>
                <w:rStyle w:val="Hyperlink"/>
                <w:noProof/>
              </w:rPr>
              <w:t>PIOGA Exception No. 3</w:t>
            </w:r>
            <w:r w:rsidR="00B113BF">
              <w:rPr>
                <w:noProof/>
                <w:webHidden/>
              </w:rPr>
              <w:tab/>
            </w:r>
            <w:r w:rsidR="00B113BF">
              <w:rPr>
                <w:noProof/>
                <w:webHidden/>
              </w:rPr>
              <w:fldChar w:fldCharType="begin"/>
            </w:r>
            <w:r w:rsidR="00B113BF">
              <w:rPr>
                <w:noProof/>
                <w:webHidden/>
              </w:rPr>
              <w:instrText xml:space="preserve"> PAGEREF _Toc524347689 \h </w:instrText>
            </w:r>
            <w:r w:rsidR="00B113BF">
              <w:rPr>
                <w:noProof/>
                <w:webHidden/>
              </w:rPr>
            </w:r>
            <w:r w:rsidR="00B113BF">
              <w:rPr>
                <w:noProof/>
                <w:webHidden/>
              </w:rPr>
              <w:fldChar w:fldCharType="separate"/>
            </w:r>
            <w:r w:rsidR="00037F2D">
              <w:rPr>
                <w:noProof/>
                <w:webHidden/>
              </w:rPr>
              <w:t>60</w:t>
            </w:r>
            <w:r w:rsidR="00B113BF">
              <w:rPr>
                <w:noProof/>
                <w:webHidden/>
              </w:rPr>
              <w:fldChar w:fldCharType="end"/>
            </w:r>
          </w:hyperlink>
        </w:p>
        <w:p w:rsidR="00B113BF" w:rsidRDefault="00332FCA" w:rsidP="00844225">
          <w:pPr>
            <w:pStyle w:val="TOC3"/>
            <w:widowControl/>
            <w:tabs>
              <w:tab w:val="left" w:pos="1100"/>
              <w:tab w:val="right" w:leader="dot" w:pos="9350"/>
            </w:tabs>
            <w:rPr>
              <w:rFonts w:asciiTheme="minorHAnsi" w:eastAsiaTheme="minorEastAsia" w:hAnsiTheme="minorHAnsi" w:cstheme="minorBidi"/>
              <w:noProof/>
              <w:sz w:val="22"/>
              <w:szCs w:val="22"/>
            </w:rPr>
          </w:pPr>
          <w:hyperlink w:anchor="_Toc524347690" w:history="1">
            <w:r w:rsidR="00B113BF" w:rsidRPr="00925E6C">
              <w:rPr>
                <w:rStyle w:val="Hyperlink"/>
                <w:noProof/>
              </w:rPr>
              <w:t>4.</w:t>
            </w:r>
            <w:r w:rsidR="00B113BF">
              <w:rPr>
                <w:rFonts w:asciiTheme="minorHAnsi" w:eastAsiaTheme="minorEastAsia" w:hAnsiTheme="minorHAnsi" w:cstheme="minorBidi"/>
                <w:noProof/>
                <w:sz w:val="22"/>
                <w:szCs w:val="22"/>
              </w:rPr>
              <w:tab/>
            </w:r>
            <w:r w:rsidR="00B113BF" w:rsidRPr="00925E6C">
              <w:rPr>
                <w:rStyle w:val="Hyperlink"/>
                <w:noProof/>
              </w:rPr>
              <w:t>PIOGA Exception No. 4</w:t>
            </w:r>
            <w:r w:rsidR="00B113BF">
              <w:rPr>
                <w:noProof/>
                <w:webHidden/>
              </w:rPr>
              <w:tab/>
            </w:r>
            <w:r w:rsidR="00B113BF">
              <w:rPr>
                <w:noProof/>
                <w:webHidden/>
              </w:rPr>
              <w:fldChar w:fldCharType="begin"/>
            </w:r>
            <w:r w:rsidR="00B113BF">
              <w:rPr>
                <w:noProof/>
                <w:webHidden/>
              </w:rPr>
              <w:instrText xml:space="preserve"> PAGEREF _Toc524347690 \h </w:instrText>
            </w:r>
            <w:r w:rsidR="00B113BF">
              <w:rPr>
                <w:noProof/>
                <w:webHidden/>
              </w:rPr>
            </w:r>
            <w:r w:rsidR="00B113BF">
              <w:rPr>
                <w:noProof/>
                <w:webHidden/>
              </w:rPr>
              <w:fldChar w:fldCharType="separate"/>
            </w:r>
            <w:r w:rsidR="00037F2D">
              <w:rPr>
                <w:noProof/>
                <w:webHidden/>
              </w:rPr>
              <w:t>66</w:t>
            </w:r>
            <w:r w:rsidR="00B113BF">
              <w:rPr>
                <w:noProof/>
                <w:webHidden/>
              </w:rPr>
              <w:fldChar w:fldCharType="end"/>
            </w:r>
          </w:hyperlink>
        </w:p>
        <w:p w:rsidR="00B113BF" w:rsidRDefault="00332FCA" w:rsidP="00844225">
          <w:pPr>
            <w:pStyle w:val="TOC3"/>
            <w:widowControl/>
            <w:tabs>
              <w:tab w:val="left" w:pos="1100"/>
              <w:tab w:val="right" w:leader="dot" w:pos="9350"/>
            </w:tabs>
            <w:rPr>
              <w:rFonts w:asciiTheme="minorHAnsi" w:eastAsiaTheme="minorEastAsia" w:hAnsiTheme="minorHAnsi" w:cstheme="minorBidi"/>
              <w:noProof/>
              <w:sz w:val="22"/>
              <w:szCs w:val="22"/>
            </w:rPr>
          </w:pPr>
          <w:hyperlink w:anchor="_Toc524347691" w:history="1">
            <w:r w:rsidR="00B113BF" w:rsidRPr="00925E6C">
              <w:rPr>
                <w:rStyle w:val="Hyperlink"/>
                <w:noProof/>
              </w:rPr>
              <w:t>5.</w:t>
            </w:r>
            <w:r w:rsidR="00B113BF">
              <w:rPr>
                <w:rFonts w:asciiTheme="minorHAnsi" w:eastAsiaTheme="minorEastAsia" w:hAnsiTheme="minorHAnsi" w:cstheme="minorBidi"/>
                <w:noProof/>
                <w:sz w:val="22"/>
                <w:szCs w:val="22"/>
              </w:rPr>
              <w:tab/>
            </w:r>
            <w:r w:rsidR="00B113BF" w:rsidRPr="00925E6C">
              <w:rPr>
                <w:rStyle w:val="Hyperlink"/>
                <w:noProof/>
              </w:rPr>
              <w:t>PIOGA Exception No. 5</w:t>
            </w:r>
            <w:r w:rsidR="00B113BF">
              <w:rPr>
                <w:noProof/>
                <w:webHidden/>
              </w:rPr>
              <w:tab/>
            </w:r>
            <w:r w:rsidR="00B113BF">
              <w:rPr>
                <w:noProof/>
                <w:webHidden/>
              </w:rPr>
              <w:fldChar w:fldCharType="begin"/>
            </w:r>
            <w:r w:rsidR="00B113BF">
              <w:rPr>
                <w:noProof/>
                <w:webHidden/>
              </w:rPr>
              <w:instrText xml:space="preserve"> PAGEREF _Toc524347691 \h </w:instrText>
            </w:r>
            <w:r w:rsidR="00B113BF">
              <w:rPr>
                <w:noProof/>
                <w:webHidden/>
              </w:rPr>
            </w:r>
            <w:r w:rsidR="00B113BF">
              <w:rPr>
                <w:noProof/>
                <w:webHidden/>
              </w:rPr>
              <w:fldChar w:fldCharType="separate"/>
            </w:r>
            <w:r w:rsidR="00037F2D">
              <w:rPr>
                <w:noProof/>
                <w:webHidden/>
              </w:rPr>
              <w:t>68</w:t>
            </w:r>
            <w:r w:rsidR="00B113BF">
              <w:rPr>
                <w:noProof/>
                <w:webHidden/>
              </w:rPr>
              <w:fldChar w:fldCharType="end"/>
            </w:r>
          </w:hyperlink>
        </w:p>
        <w:p w:rsidR="00B113BF" w:rsidRDefault="00332FCA" w:rsidP="00844225">
          <w:pPr>
            <w:pStyle w:val="TOC3"/>
            <w:widowControl/>
            <w:tabs>
              <w:tab w:val="left" w:pos="1100"/>
              <w:tab w:val="right" w:leader="dot" w:pos="9350"/>
            </w:tabs>
            <w:rPr>
              <w:rFonts w:asciiTheme="minorHAnsi" w:eastAsiaTheme="minorEastAsia" w:hAnsiTheme="minorHAnsi" w:cstheme="minorBidi"/>
              <w:noProof/>
              <w:sz w:val="22"/>
              <w:szCs w:val="22"/>
            </w:rPr>
          </w:pPr>
          <w:hyperlink w:anchor="_Toc524347692" w:history="1">
            <w:r w:rsidR="00B113BF" w:rsidRPr="00925E6C">
              <w:rPr>
                <w:rStyle w:val="Hyperlink"/>
                <w:noProof/>
              </w:rPr>
              <w:t>6.</w:t>
            </w:r>
            <w:r w:rsidR="00B113BF">
              <w:rPr>
                <w:rFonts w:asciiTheme="minorHAnsi" w:eastAsiaTheme="minorEastAsia" w:hAnsiTheme="minorHAnsi" w:cstheme="minorBidi"/>
                <w:noProof/>
                <w:sz w:val="22"/>
                <w:szCs w:val="22"/>
              </w:rPr>
              <w:tab/>
            </w:r>
            <w:r w:rsidR="00B113BF" w:rsidRPr="00925E6C">
              <w:rPr>
                <w:rStyle w:val="Hyperlink"/>
                <w:noProof/>
              </w:rPr>
              <w:t>PIOGA Exception No. 6</w:t>
            </w:r>
            <w:r w:rsidR="00B113BF">
              <w:rPr>
                <w:noProof/>
                <w:webHidden/>
              </w:rPr>
              <w:tab/>
            </w:r>
            <w:r w:rsidR="00B113BF">
              <w:rPr>
                <w:noProof/>
                <w:webHidden/>
              </w:rPr>
              <w:fldChar w:fldCharType="begin"/>
            </w:r>
            <w:r w:rsidR="00B113BF">
              <w:rPr>
                <w:noProof/>
                <w:webHidden/>
              </w:rPr>
              <w:instrText xml:space="preserve"> PAGEREF _Toc524347692 \h </w:instrText>
            </w:r>
            <w:r w:rsidR="00B113BF">
              <w:rPr>
                <w:noProof/>
                <w:webHidden/>
              </w:rPr>
            </w:r>
            <w:r w:rsidR="00B113BF">
              <w:rPr>
                <w:noProof/>
                <w:webHidden/>
              </w:rPr>
              <w:fldChar w:fldCharType="separate"/>
            </w:r>
            <w:r w:rsidR="00037F2D">
              <w:rPr>
                <w:noProof/>
                <w:webHidden/>
              </w:rPr>
              <w:t>71</w:t>
            </w:r>
            <w:r w:rsidR="00B113BF">
              <w:rPr>
                <w:noProof/>
                <w:webHidden/>
              </w:rPr>
              <w:fldChar w:fldCharType="end"/>
            </w:r>
          </w:hyperlink>
        </w:p>
        <w:p w:rsidR="00B113BF" w:rsidRDefault="00332FCA" w:rsidP="00844225">
          <w:pPr>
            <w:pStyle w:val="TOC3"/>
            <w:widowControl/>
            <w:tabs>
              <w:tab w:val="left" w:pos="1100"/>
              <w:tab w:val="right" w:leader="dot" w:pos="9350"/>
            </w:tabs>
            <w:rPr>
              <w:rFonts w:asciiTheme="minorHAnsi" w:eastAsiaTheme="minorEastAsia" w:hAnsiTheme="minorHAnsi" w:cstheme="minorBidi"/>
              <w:noProof/>
              <w:sz w:val="22"/>
              <w:szCs w:val="22"/>
            </w:rPr>
          </w:pPr>
          <w:hyperlink w:anchor="_Toc524347693" w:history="1">
            <w:r w:rsidR="00B113BF" w:rsidRPr="00925E6C">
              <w:rPr>
                <w:rStyle w:val="Hyperlink"/>
                <w:noProof/>
              </w:rPr>
              <w:t>7.</w:t>
            </w:r>
            <w:r w:rsidR="00B113BF">
              <w:rPr>
                <w:rFonts w:asciiTheme="minorHAnsi" w:eastAsiaTheme="minorEastAsia" w:hAnsiTheme="minorHAnsi" w:cstheme="minorBidi"/>
                <w:noProof/>
                <w:sz w:val="22"/>
                <w:szCs w:val="22"/>
              </w:rPr>
              <w:tab/>
            </w:r>
            <w:r w:rsidR="00B113BF" w:rsidRPr="00925E6C">
              <w:rPr>
                <w:rStyle w:val="Hyperlink"/>
                <w:noProof/>
              </w:rPr>
              <w:t>PIOGA Exception No. 7</w:t>
            </w:r>
            <w:r w:rsidR="00B113BF">
              <w:rPr>
                <w:noProof/>
                <w:webHidden/>
              </w:rPr>
              <w:tab/>
            </w:r>
            <w:r w:rsidR="00B113BF">
              <w:rPr>
                <w:noProof/>
                <w:webHidden/>
              </w:rPr>
              <w:fldChar w:fldCharType="begin"/>
            </w:r>
            <w:r w:rsidR="00B113BF">
              <w:rPr>
                <w:noProof/>
                <w:webHidden/>
              </w:rPr>
              <w:instrText xml:space="preserve"> PAGEREF _Toc524347693 \h </w:instrText>
            </w:r>
            <w:r w:rsidR="00B113BF">
              <w:rPr>
                <w:noProof/>
                <w:webHidden/>
              </w:rPr>
            </w:r>
            <w:r w:rsidR="00B113BF">
              <w:rPr>
                <w:noProof/>
                <w:webHidden/>
              </w:rPr>
              <w:fldChar w:fldCharType="separate"/>
            </w:r>
            <w:r w:rsidR="00037F2D">
              <w:rPr>
                <w:noProof/>
                <w:webHidden/>
              </w:rPr>
              <w:t>77</w:t>
            </w:r>
            <w:r w:rsidR="00B113BF">
              <w:rPr>
                <w:noProof/>
                <w:webHidden/>
              </w:rPr>
              <w:fldChar w:fldCharType="end"/>
            </w:r>
          </w:hyperlink>
        </w:p>
        <w:p w:rsidR="00B113BF" w:rsidRDefault="00332FCA" w:rsidP="00844225">
          <w:pPr>
            <w:pStyle w:val="TOC1"/>
            <w:widowControl/>
            <w:rPr>
              <w:rFonts w:asciiTheme="minorHAnsi" w:eastAsiaTheme="minorEastAsia" w:hAnsiTheme="minorHAnsi" w:cstheme="minorBidi"/>
              <w:noProof/>
              <w:sz w:val="22"/>
              <w:szCs w:val="22"/>
            </w:rPr>
          </w:pPr>
          <w:hyperlink w:anchor="_Toc524347694" w:history="1">
            <w:r w:rsidR="00B113BF" w:rsidRPr="00925E6C">
              <w:rPr>
                <w:rStyle w:val="Hyperlink"/>
                <w:noProof/>
              </w:rPr>
              <w:t>VI.</w:t>
            </w:r>
            <w:r w:rsidR="00B113BF">
              <w:rPr>
                <w:rFonts w:asciiTheme="minorHAnsi" w:eastAsiaTheme="minorEastAsia" w:hAnsiTheme="minorHAnsi" w:cstheme="minorBidi"/>
                <w:noProof/>
                <w:sz w:val="22"/>
                <w:szCs w:val="22"/>
              </w:rPr>
              <w:tab/>
            </w:r>
            <w:r w:rsidR="00B113BF" w:rsidRPr="00925E6C">
              <w:rPr>
                <w:rStyle w:val="Hyperlink"/>
                <w:noProof/>
              </w:rPr>
              <w:t>Conclusion</w:t>
            </w:r>
            <w:r w:rsidR="00B113BF">
              <w:rPr>
                <w:noProof/>
                <w:webHidden/>
              </w:rPr>
              <w:tab/>
            </w:r>
            <w:r w:rsidR="00B113BF">
              <w:rPr>
                <w:noProof/>
                <w:webHidden/>
              </w:rPr>
              <w:fldChar w:fldCharType="begin"/>
            </w:r>
            <w:r w:rsidR="00B113BF">
              <w:rPr>
                <w:noProof/>
                <w:webHidden/>
              </w:rPr>
              <w:instrText xml:space="preserve"> PAGEREF _Toc524347694 \h </w:instrText>
            </w:r>
            <w:r w:rsidR="00B113BF">
              <w:rPr>
                <w:noProof/>
                <w:webHidden/>
              </w:rPr>
            </w:r>
            <w:r w:rsidR="00B113BF">
              <w:rPr>
                <w:noProof/>
                <w:webHidden/>
              </w:rPr>
              <w:fldChar w:fldCharType="separate"/>
            </w:r>
            <w:r w:rsidR="00037F2D">
              <w:rPr>
                <w:noProof/>
                <w:webHidden/>
              </w:rPr>
              <w:t>79</w:t>
            </w:r>
            <w:r w:rsidR="00B113BF">
              <w:rPr>
                <w:noProof/>
                <w:webHidden/>
              </w:rPr>
              <w:fldChar w:fldCharType="end"/>
            </w:r>
          </w:hyperlink>
        </w:p>
        <w:p w:rsidR="00563579" w:rsidRPr="00563579" w:rsidRDefault="00563579" w:rsidP="00844225">
          <w:pPr>
            <w:widowControl/>
            <w:spacing w:line="360" w:lineRule="auto"/>
            <w:ind w:firstLine="1440"/>
            <w:rPr>
              <w:noProof/>
              <w:sz w:val="26"/>
              <w:szCs w:val="24"/>
            </w:rPr>
          </w:pPr>
          <w:r w:rsidRPr="00563579">
            <w:rPr>
              <w:b/>
              <w:bCs/>
              <w:noProof/>
              <w:sz w:val="26"/>
              <w:szCs w:val="24"/>
            </w:rPr>
            <w:fldChar w:fldCharType="end"/>
          </w:r>
        </w:p>
      </w:sdtContent>
    </w:sdt>
    <w:bookmarkEnd w:id="1" w:displacedByCustomXml="prev"/>
    <w:p w:rsidR="00563579" w:rsidRPr="00563579" w:rsidRDefault="00563579" w:rsidP="00844225">
      <w:pPr>
        <w:keepNext/>
        <w:widowControl/>
        <w:autoSpaceDE w:val="0"/>
        <w:autoSpaceDN w:val="0"/>
        <w:outlineLvl w:val="0"/>
        <w:rPr>
          <w:b/>
          <w:sz w:val="26"/>
        </w:rPr>
      </w:pPr>
    </w:p>
    <w:p w:rsidR="00E33DCE" w:rsidRDefault="00E33DCE" w:rsidP="00844225">
      <w:pPr>
        <w:widowControl/>
        <w:tabs>
          <w:tab w:val="left" w:pos="-720"/>
        </w:tabs>
        <w:suppressAutoHyphens/>
        <w:spacing w:after="120"/>
        <w:rPr>
          <w:b/>
          <w:sz w:val="26"/>
        </w:rPr>
        <w:sectPr w:rsidR="00E33DCE" w:rsidSect="00E11EC0">
          <w:pgSz w:w="12240" w:h="15840"/>
          <w:pgMar w:top="1440" w:right="1440" w:bottom="1440" w:left="1440" w:header="720" w:footer="720" w:gutter="0"/>
          <w:pgNumType w:start="1"/>
          <w:cols w:space="720"/>
          <w:titlePg/>
          <w:docGrid w:linePitch="360"/>
        </w:sectPr>
      </w:pPr>
    </w:p>
    <w:p w:rsidR="00503B58" w:rsidRDefault="00503B58" w:rsidP="003439AF">
      <w:pPr>
        <w:keepNext/>
        <w:keepLines/>
        <w:widowControl/>
        <w:tabs>
          <w:tab w:val="left" w:pos="-720"/>
        </w:tabs>
        <w:suppressAutoHyphens/>
        <w:spacing w:after="120"/>
        <w:rPr>
          <w:sz w:val="26"/>
        </w:rPr>
      </w:pPr>
      <w:r>
        <w:rPr>
          <w:b/>
          <w:sz w:val="26"/>
        </w:rPr>
        <w:lastRenderedPageBreak/>
        <w:t>BY THE COMMISSION:</w:t>
      </w:r>
    </w:p>
    <w:p w:rsidR="009324E2" w:rsidRDefault="009324E2" w:rsidP="003439AF">
      <w:pPr>
        <w:keepNext/>
        <w:keepLines/>
        <w:widowControl/>
        <w:tabs>
          <w:tab w:val="left" w:pos="-720"/>
        </w:tabs>
        <w:suppressAutoHyphens/>
        <w:spacing w:line="360" w:lineRule="auto"/>
        <w:rPr>
          <w:sz w:val="26"/>
        </w:rPr>
      </w:pPr>
    </w:p>
    <w:p w:rsidR="007C7633" w:rsidRDefault="009324E2" w:rsidP="00844225">
      <w:pPr>
        <w:widowControl/>
        <w:tabs>
          <w:tab w:val="left" w:pos="-720"/>
        </w:tabs>
        <w:suppressAutoHyphens/>
        <w:spacing w:line="360" w:lineRule="auto"/>
        <w:ind w:firstLine="1440"/>
        <w:rPr>
          <w:sz w:val="26"/>
        </w:rPr>
      </w:pPr>
      <w:r>
        <w:rPr>
          <w:sz w:val="26"/>
        </w:rPr>
        <w:t xml:space="preserve">Before the Pennsylvania Public Utility Commission (Commission) for consideration and disposition </w:t>
      </w:r>
      <w:r w:rsidR="00D06F3B">
        <w:rPr>
          <w:sz w:val="26"/>
        </w:rPr>
        <w:t>is the Joint Petition for Partial Settlement (Joint Petition or Partial Settlement) filed on June 22, 2018, by the Commission</w:t>
      </w:r>
      <w:r w:rsidR="001A5BA1">
        <w:rPr>
          <w:sz w:val="26"/>
        </w:rPr>
        <w:t>’</w:t>
      </w:r>
      <w:r w:rsidR="00D06F3B">
        <w:rPr>
          <w:sz w:val="26"/>
        </w:rPr>
        <w:t>s Bureau of Investigation and Enforcement (I&amp;E)</w:t>
      </w:r>
      <w:r w:rsidR="00AA5E5E">
        <w:rPr>
          <w:sz w:val="26"/>
        </w:rPr>
        <w:t>,</w:t>
      </w:r>
      <w:r w:rsidR="00D06F3B">
        <w:rPr>
          <w:sz w:val="26"/>
        </w:rPr>
        <w:t xml:space="preserve"> the Office of Consumer Advocate (OCA)</w:t>
      </w:r>
      <w:r w:rsidR="00AA5E5E">
        <w:rPr>
          <w:sz w:val="26"/>
        </w:rPr>
        <w:t>,</w:t>
      </w:r>
      <w:r w:rsidR="00D06F3B">
        <w:rPr>
          <w:sz w:val="26"/>
        </w:rPr>
        <w:t xml:space="preserve"> the Office of Small Business Advocate (OSBA) and Peoples Gas Company LLC (Peoples Gas or the Company) (collectively, the Joint Petitioners)</w:t>
      </w:r>
      <w:r w:rsidR="006559D9">
        <w:rPr>
          <w:sz w:val="26"/>
        </w:rPr>
        <w:t xml:space="preserve"> with regard </w:t>
      </w:r>
      <w:r w:rsidR="003B31BA">
        <w:rPr>
          <w:sz w:val="26"/>
        </w:rPr>
        <w:t xml:space="preserve">to </w:t>
      </w:r>
      <w:r w:rsidR="006559D9">
        <w:rPr>
          <w:sz w:val="26"/>
        </w:rPr>
        <w:t>the Company</w:t>
      </w:r>
      <w:r w:rsidR="001A5BA1">
        <w:rPr>
          <w:sz w:val="26"/>
        </w:rPr>
        <w:t>’</w:t>
      </w:r>
      <w:r w:rsidR="006559D9">
        <w:rPr>
          <w:sz w:val="26"/>
        </w:rPr>
        <w:t xml:space="preserve">s annual </w:t>
      </w:r>
      <w:r w:rsidR="006559D9" w:rsidRPr="00CD521D">
        <w:rPr>
          <w:sz w:val="26"/>
          <w:szCs w:val="24"/>
        </w:rPr>
        <w:t>adjustment and reconciliation of its natural gas cost recovery rates</w:t>
      </w:r>
      <w:r w:rsidR="006559D9">
        <w:rPr>
          <w:sz w:val="26"/>
          <w:szCs w:val="24"/>
        </w:rPr>
        <w:t xml:space="preserve"> that was filed </w:t>
      </w:r>
      <w:r w:rsidR="003B31BA">
        <w:rPr>
          <w:sz w:val="26"/>
          <w:szCs w:val="24"/>
        </w:rPr>
        <w:t xml:space="preserve">pursuant </w:t>
      </w:r>
      <w:r w:rsidR="003B31BA" w:rsidRPr="00CD521D">
        <w:rPr>
          <w:sz w:val="26"/>
          <w:szCs w:val="24"/>
        </w:rPr>
        <w:t>Section 1307</w:t>
      </w:r>
      <w:r w:rsidR="003B31BA">
        <w:rPr>
          <w:sz w:val="26"/>
          <w:szCs w:val="24"/>
        </w:rPr>
        <w:t xml:space="preserve">(f) of </w:t>
      </w:r>
      <w:r w:rsidR="006559D9" w:rsidRPr="00CD521D">
        <w:rPr>
          <w:sz w:val="26"/>
          <w:szCs w:val="24"/>
        </w:rPr>
        <w:t>the Public Utility Code (Code), 66 Pa. C.S. § 1307</w:t>
      </w:r>
      <w:r w:rsidR="003B31BA">
        <w:rPr>
          <w:sz w:val="26"/>
          <w:szCs w:val="24"/>
        </w:rPr>
        <w:t>, to become effective October 1, 2018</w:t>
      </w:r>
      <w:r w:rsidR="006559D9" w:rsidRPr="00CD521D">
        <w:rPr>
          <w:sz w:val="26"/>
          <w:szCs w:val="24"/>
        </w:rPr>
        <w:t>.</w:t>
      </w:r>
      <w:r w:rsidR="00D06F3B">
        <w:rPr>
          <w:rStyle w:val="FootnoteReference"/>
          <w:sz w:val="26"/>
        </w:rPr>
        <w:footnoteReference w:id="1"/>
      </w:r>
      <w:r w:rsidR="003B31BA">
        <w:rPr>
          <w:sz w:val="26"/>
          <w:szCs w:val="24"/>
        </w:rPr>
        <w:t xml:space="preserve">  </w:t>
      </w:r>
      <w:r w:rsidR="003A60F2">
        <w:rPr>
          <w:sz w:val="26"/>
        </w:rPr>
        <w:t xml:space="preserve">Also before the Commission for consideration and disposition are the Exceptions of </w:t>
      </w:r>
      <w:r w:rsidR="003B31BA">
        <w:rPr>
          <w:sz w:val="26"/>
        </w:rPr>
        <w:t xml:space="preserve">the </w:t>
      </w:r>
      <w:r w:rsidR="003B31BA" w:rsidRPr="00F22D41">
        <w:rPr>
          <w:sz w:val="26"/>
          <w:szCs w:val="26"/>
        </w:rPr>
        <w:t>Pennsylvania Independent Oil &amp; Gas Association (PIOGA)</w:t>
      </w:r>
      <w:r w:rsidR="003B31BA">
        <w:rPr>
          <w:sz w:val="26"/>
          <w:szCs w:val="26"/>
        </w:rPr>
        <w:t xml:space="preserve"> </w:t>
      </w:r>
      <w:r w:rsidR="003A60F2">
        <w:rPr>
          <w:sz w:val="26"/>
        </w:rPr>
        <w:t xml:space="preserve">filed on </w:t>
      </w:r>
      <w:r w:rsidR="002A61E2">
        <w:rPr>
          <w:sz w:val="26"/>
        </w:rPr>
        <w:t>August 3, 2018</w:t>
      </w:r>
      <w:r w:rsidR="002A61E2">
        <w:rPr>
          <w:rStyle w:val="FootnoteReference"/>
          <w:sz w:val="26"/>
        </w:rPr>
        <w:footnoteReference w:id="2"/>
      </w:r>
      <w:r w:rsidR="002A61E2">
        <w:rPr>
          <w:sz w:val="26"/>
        </w:rPr>
        <w:t xml:space="preserve">, to the Recommended Decision (R.D.) of Administrative Law Judge (ALJ) Jeffrey A. Watson, which was issued on July 25, 2018, in the above-captioned proceeding.  Replies to Exceptions were filed by </w:t>
      </w:r>
      <w:r w:rsidR="00D924FB">
        <w:rPr>
          <w:sz w:val="26"/>
        </w:rPr>
        <w:t xml:space="preserve">the OCA, the </w:t>
      </w:r>
      <w:r w:rsidR="00D924FB">
        <w:rPr>
          <w:sz w:val="26"/>
        </w:rPr>
        <w:lastRenderedPageBreak/>
        <w:t>OSBA and Peoples Gas on August 8, 2018.</w:t>
      </w:r>
      <w:r w:rsidR="00130CB3">
        <w:rPr>
          <w:sz w:val="26"/>
        </w:rPr>
        <w:t xml:space="preserve"> </w:t>
      </w:r>
      <w:r w:rsidR="00D924FB">
        <w:rPr>
          <w:sz w:val="26"/>
        </w:rPr>
        <w:t xml:space="preserve"> </w:t>
      </w:r>
      <w:r w:rsidR="00130CB3">
        <w:rPr>
          <w:sz w:val="26"/>
        </w:rPr>
        <w:t>In addition, on August 17, 2018, PIOGA filed a Motion to Strike certain statements of fact it alleges Peoples Gas made for the first time in these proceedings in its Replies to Exceptions (Motion to Strike).  On August 27, 2018, Peoples Gas filed an Answer to the Motion to Strike (Answer).</w:t>
      </w:r>
      <w:r w:rsidR="00D924FB">
        <w:rPr>
          <w:sz w:val="26"/>
        </w:rPr>
        <w:t xml:space="preserve"> </w:t>
      </w:r>
      <w:r w:rsidR="00130CB3">
        <w:rPr>
          <w:sz w:val="26"/>
        </w:rPr>
        <w:t xml:space="preserve"> </w:t>
      </w:r>
      <w:r w:rsidR="005430C4" w:rsidRPr="007C7633">
        <w:rPr>
          <w:sz w:val="26"/>
        </w:rPr>
        <w:t xml:space="preserve">For the reasons </w:t>
      </w:r>
      <w:r w:rsidR="007C7633">
        <w:rPr>
          <w:sz w:val="26"/>
        </w:rPr>
        <w:t xml:space="preserve">stated, </w:t>
      </w:r>
      <w:r w:rsidR="007C7633" w:rsidRPr="007C7633">
        <w:rPr>
          <w:i/>
          <w:sz w:val="26"/>
        </w:rPr>
        <w:t>infra</w:t>
      </w:r>
      <w:r w:rsidR="007C7633">
        <w:rPr>
          <w:sz w:val="26"/>
        </w:rPr>
        <w:t xml:space="preserve">, we shall </w:t>
      </w:r>
      <w:r w:rsidR="003B31BA">
        <w:rPr>
          <w:sz w:val="26"/>
        </w:rPr>
        <w:t xml:space="preserve">deny the Exceptions filed by PIOGA and </w:t>
      </w:r>
      <w:r w:rsidR="007C7633">
        <w:rPr>
          <w:sz w:val="26"/>
        </w:rPr>
        <w:t xml:space="preserve">adopt the </w:t>
      </w:r>
      <w:r w:rsidR="003B31BA">
        <w:rPr>
          <w:sz w:val="26"/>
        </w:rPr>
        <w:t>ALJ</w:t>
      </w:r>
      <w:r w:rsidR="001A5BA1">
        <w:rPr>
          <w:sz w:val="26"/>
        </w:rPr>
        <w:t>’</w:t>
      </w:r>
      <w:r w:rsidR="003B31BA">
        <w:rPr>
          <w:sz w:val="26"/>
        </w:rPr>
        <w:t xml:space="preserve">s </w:t>
      </w:r>
      <w:r w:rsidR="007C7633">
        <w:rPr>
          <w:sz w:val="26"/>
        </w:rPr>
        <w:t xml:space="preserve">Recommended Decision </w:t>
      </w:r>
      <w:r w:rsidR="003B31BA">
        <w:rPr>
          <w:sz w:val="26"/>
        </w:rPr>
        <w:t xml:space="preserve">that grants the Joint Petition, </w:t>
      </w:r>
      <w:r w:rsidR="007C7633">
        <w:rPr>
          <w:sz w:val="26"/>
        </w:rPr>
        <w:t>consistent with this Opinion</w:t>
      </w:r>
      <w:r w:rsidR="003B31BA">
        <w:rPr>
          <w:sz w:val="26"/>
        </w:rPr>
        <w:t>.</w:t>
      </w:r>
    </w:p>
    <w:p w:rsidR="003B31BA" w:rsidRDefault="003B31BA" w:rsidP="00844225">
      <w:pPr>
        <w:widowControl/>
        <w:tabs>
          <w:tab w:val="left" w:pos="-720"/>
        </w:tabs>
        <w:suppressAutoHyphens/>
        <w:spacing w:line="360" w:lineRule="auto"/>
        <w:ind w:firstLine="1440"/>
        <w:rPr>
          <w:sz w:val="26"/>
        </w:rPr>
      </w:pPr>
    </w:p>
    <w:p w:rsidR="00CD521D" w:rsidRPr="00A2066B" w:rsidRDefault="00CD521D" w:rsidP="00844225">
      <w:pPr>
        <w:pStyle w:val="Heading1"/>
        <w:numPr>
          <w:ilvl w:val="0"/>
          <w:numId w:val="12"/>
        </w:numPr>
        <w:ind w:left="720"/>
      </w:pPr>
      <w:bookmarkStart w:id="2" w:name="_Toc522887309"/>
      <w:bookmarkStart w:id="3" w:name="_Toc524347669"/>
      <w:r w:rsidRPr="00A2066B">
        <w:t>Background</w:t>
      </w:r>
      <w:bookmarkEnd w:id="2"/>
      <w:bookmarkEnd w:id="3"/>
    </w:p>
    <w:p w:rsidR="00CD521D" w:rsidRPr="00CD521D" w:rsidRDefault="00CD521D" w:rsidP="00844225">
      <w:pPr>
        <w:keepNext/>
        <w:widowControl/>
        <w:spacing w:line="360" w:lineRule="auto"/>
        <w:ind w:firstLine="1440"/>
        <w:rPr>
          <w:sz w:val="26"/>
          <w:szCs w:val="24"/>
        </w:rPr>
      </w:pPr>
    </w:p>
    <w:p w:rsidR="00597D58" w:rsidRDefault="00CD521D" w:rsidP="00844225">
      <w:pPr>
        <w:widowControl/>
        <w:spacing w:line="360" w:lineRule="auto"/>
        <w:ind w:firstLine="1440"/>
        <w:rPr>
          <w:sz w:val="26"/>
          <w:szCs w:val="24"/>
        </w:rPr>
      </w:pPr>
      <w:r>
        <w:rPr>
          <w:sz w:val="26"/>
          <w:szCs w:val="24"/>
        </w:rPr>
        <w:t>Peoples Gas</w:t>
      </w:r>
      <w:r w:rsidR="001A5BA1">
        <w:rPr>
          <w:sz w:val="26"/>
          <w:szCs w:val="24"/>
        </w:rPr>
        <w:t>’</w:t>
      </w:r>
      <w:r w:rsidRPr="00CD521D">
        <w:rPr>
          <w:sz w:val="26"/>
          <w:szCs w:val="24"/>
        </w:rPr>
        <w:t xml:space="preserve"> filing in this case was made pursuant to </w:t>
      </w:r>
      <w:bookmarkStart w:id="4" w:name="_Hlk524396333"/>
      <w:r w:rsidRPr="00CD521D">
        <w:rPr>
          <w:sz w:val="26"/>
          <w:szCs w:val="24"/>
        </w:rPr>
        <w:t xml:space="preserve">Section 1307 of the Public Utility Code (Code), 66 Pa. C.S. § 1307.  This is an annual filing </w:t>
      </w:r>
      <w:r w:rsidR="003B31BA">
        <w:rPr>
          <w:sz w:val="26"/>
          <w:szCs w:val="24"/>
        </w:rPr>
        <w:t xml:space="preserve">made by </w:t>
      </w:r>
      <w:r w:rsidRPr="00CD521D">
        <w:rPr>
          <w:sz w:val="26"/>
          <w:szCs w:val="24"/>
        </w:rPr>
        <w:t>all large natural gas distribution companies (NGDCs)</w:t>
      </w:r>
      <w:r w:rsidR="003B31BA">
        <w:rPr>
          <w:sz w:val="26"/>
          <w:szCs w:val="24"/>
        </w:rPr>
        <w:t xml:space="preserve"> that </w:t>
      </w:r>
      <w:r w:rsidRPr="00CD521D">
        <w:rPr>
          <w:sz w:val="26"/>
          <w:szCs w:val="24"/>
        </w:rPr>
        <w:t>provides for the Company</w:t>
      </w:r>
      <w:r w:rsidR="001A5BA1">
        <w:rPr>
          <w:sz w:val="26"/>
          <w:szCs w:val="24"/>
        </w:rPr>
        <w:t>’</w:t>
      </w:r>
      <w:r w:rsidRPr="00CD521D">
        <w:rPr>
          <w:sz w:val="26"/>
          <w:szCs w:val="24"/>
        </w:rPr>
        <w:t xml:space="preserve">s </w:t>
      </w:r>
      <w:bookmarkStart w:id="5" w:name="_Hlk524396574"/>
      <w:r w:rsidRPr="00CD521D">
        <w:rPr>
          <w:sz w:val="26"/>
          <w:szCs w:val="24"/>
        </w:rPr>
        <w:t>annual adjustment and reconciliation of its natural gas cost recovery rates</w:t>
      </w:r>
      <w:bookmarkEnd w:id="4"/>
      <w:bookmarkEnd w:id="5"/>
      <w:r w:rsidRPr="00CD521D">
        <w:rPr>
          <w:sz w:val="26"/>
          <w:szCs w:val="24"/>
        </w:rPr>
        <w:t xml:space="preserve">.  More specifically, Section 1307(f) governs </w:t>
      </w:r>
      <w:r w:rsidR="00844225">
        <w:rPr>
          <w:sz w:val="26"/>
          <w:szCs w:val="24"/>
        </w:rPr>
        <w:t xml:space="preserve">the </w:t>
      </w:r>
      <w:r w:rsidRPr="00CD521D">
        <w:rPr>
          <w:sz w:val="26"/>
          <w:szCs w:val="24"/>
        </w:rPr>
        <w:t xml:space="preserve">recovery of natural gas costs and </w:t>
      </w:r>
      <w:r w:rsidR="00844225">
        <w:rPr>
          <w:sz w:val="26"/>
          <w:szCs w:val="24"/>
        </w:rPr>
        <w:t xml:space="preserve">permits </w:t>
      </w:r>
      <w:r w:rsidRPr="00CD521D">
        <w:rPr>
          <w:sz w:val="26"/>
          <w:szCs w:val="24"/>
        </w:rPr>
        <w:t xml:space="preserve">NGDCs with gross intrastate annual operating revenues in excess of $40,000,000 to file tariffs reflecting actual and projected increases or decreases in their natural gas costs, </w:t>
      </w:r>
      <w:r w:rsidR="00844225">
        <w:rPr>
          <w:sz w:val="26"/>
          <w:szCs w:val="24"/>
        </w:rPr>
        <w:t xml:space="preserve">to become effective </w:t>
      </w:r>
      <w:r w:rsidRPr="00CD521D">
        <w:rPr>
          <w:sz w:val="26"/>
          <w:szCs w:val="24"/>
        </w:rPr>
        <w:t xml:space="preserve">effective six months from the date of filing.  66 Pa. C.S. § 1307(f)(1).  </w:t>
      </w:r>
      <w:r w:rsidR="00597D58">
        <w:rPr>
          <w:sz w:val="26"/>
          <w:szCs w:val="24"/>
        </w:rPr>
        <w:t xml:space="preserve">In </w:t>
      </w:r>
      <w:r w:rsidR="00844225">
        <w:rPr>
          <w:sz w:val="26"/>
          <w:szCs w:val="24"/>
        </w:rPr>
        <w:t>this case, Peoples Gas filed a t</w:t>
      </w:r>
      <w:r w:rsidR="00597D58">
        <w:rPr>
          <w:sz w:val="26"/>
          <w:szCs w:val="24"/>
        </w:rPr>
        <w:t xml:space="preserve">ariff supplement </w:t>
      </w:r>
      <w:r w:rsidR="00844225">
        <w:rPr>
          <w:sz w:val="26"/>
          <w:szCs w:val="24"/>
        </w:rPr>
        <w:t xml:space="preserve">in which it </w:t>
      </w:r>
      <w:r w:rsidR="00597D58">
        <w:rPr>
          <w:sz w:val="26"/>
          <w:szCs w:val="24"/>
        </w:rPr>
        <w:t xml:space="preserve">proposed, </w:t>
      </w:r>
      <w:r w:rsidR="00597D58" w:rsidRPr="00597D58">
        <w:rPr>
          <w:i/>
          <w:sz w:val="26"/>
          <w:szCs w:val="24"/>
        </w:rPr>
        <w:t>inter alia</w:t>
      </w:r>
      <w:r w:rsidR="00597D58">
        <w:rPr>
          <w:sz w:val="26"/>
          <w:szCs w:val="24"/>
        </w:rPr>
        <w:t>, a decrease of $0.58/Mcf in its rates for recovery of purchased gas costs</w:t>
      </w:r>
      <w:r w:rsidR="00D4596B">
        <w:rPr>
          <w:sz w:val="26"/>
          <w:szCs w:val="24"/>
        </w:rPr>
        <w:t xml:space="preserve"> (PGC)</w:t>
      </w:r>
      <w:r w:rsidR="00597D58">
        <w:rPr>
          <w:sz w:val="26"/>
          <w:szCs w:val="24"/>
        </w:rPr>
        <w:t xml:space="preserve"> applicable to residential sales service customers for service</w:t>
      </w:r>
      <w:r w:rsidR="00D4596B">
        <w:rPr>
          <w:sz w:val="26"/>
          <w:szCs w:val="24"/>
        </w:rPr>
        <w:t xml:space="preserve"> rendered on and after October 1, 2018.  In addition, </w:t>
      </w:r>
      <w:r w:rsidR="00844225">
        <w:rPr>
          <w:sz w:val="26"/>
          <w:szCs w:val="24"/>
        </w:rPr>
        <w:t xml:space="preserve">the Company proposed </w:t>
      </w:r>
      <w:r w:rsidR="00D4596B">
        <w:rPr>
          <w:sz w:val="26"/>
          <w:szCs w:val="24"/>
        </w:rPr>
        <w:t>PGC rate changes for other customer classes as follows:</w:t>
      </w:r>
    </w:p>
    <w:p w:rsidR="00D4596B" w:rsidRDefault="00D4596B" w:rsidP="00844225">
      <w:pPr>
        <w:widowControl/>
        <w:spacing w:line="360" w:lineRule="auto"/>
        <w:rPr>
          <w:sz w:val="26"/>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889"/>
        <w:gridCol w:w="2338"/>
        <w:gridCol w:w="1803"/>
      </w:tblGrid>
      <w:tr w:rsidR="00D4596B" w:rsidTr="00587D64">
        <w:tc>
          <w:tcPr>
            <w:tcW w:w="2785" w:type="dxa"/>
            <w:vAlign w:val="bottom"/>
          </w:tcPr>
          <w:p w:rsidR="00D4596B" w:rsidRPr="00587D64" w:rsidRDefault="00D4596B" w:rsidP="00844225">
            <w:pPr>
              <w:keepNext/>
              <w:keepLines/>
              <w:widowControl/>
              <w:jc w:val="center"/>
              <w:rPr>
                <w:b/>
                <w:sz w:val="26"/>
                <w:szCs w:val="24"/>
                <w:u w:val="single"/>
              </w:rPr>
            </w:pPr>
            <w:r w:rsidRPr="00587D64">
              <w:rPr>
                <w:b/>
                <w:sz w:val="26"/>
                <w:szCs w:val="24"/>
                <w:u w:val="single"/>
              </w:rPr>
              <w:lastRenderedPageBreak/>
              <w:t>Rate Schedule</w:t>
            </w:r>
          </w:p>
        </w:tc>
        <w:tc>
          <w:tcPr>
            <w:tcW w:w="1889" w:type="dxa"/>
            <w:vAlign w:val="bottom"/>
          </w:tcPr>
          <w:p w:rsidR="00D4596B" w:rsidRPr="00587D64" w:rsidRDefault="00D4596B" w:rsidP="00844225">
            <w:pPr>
              <w:keepNext/>
              <w:keepLines/>
              <w:widowControl/>
              <w:jc w:val="center"/>
              <w:rPr>
                <w:b/>
                <w:sz w:val="26"/>
                <w:szCs w:val="24"/>
              </w:rPr>
            </w:pPr>
            <w:r w:rsidRPr="00587D64">
              <w:rPr>
                <w:b/>
                <w:sz w:val="26"/>
                <w:szCs w:val="24"/>
              </w:rPr>
              <w:t>Existing</w:t>
            </w:r>
          </w:p>
          <w:p w:rsidR="00D4596B" w:rsidRPr="00587D64" w:rsidRDefault="00D4596B" w:rsidP="00844225">
            <w:pPr>
              <w:keepNext/>
              <w:keepLines/>
              <w:widowControl/>
              <w:jc w:val="center"/>
              <w:rPr>
                <w:b/>
                <w:sz w:val="26"/>
                <w:szCs w:val="24"/>
                <w:u w:val="single"/>
              </w:rPr>
            </w:pPr>
            <w:r w:rsidRPr="00587D64">
              <w:rPr>
                <w:b/>
                <w:sz w:val="26"/>
                <w:szCs w:val="24"/>
                <w:u w:val="single"/>
              </w:rPr>
              <w:t>Tariff Rates</w:t>
            </w:r>
            <w:r w:rsidR="005E5C1D">
              <w:rPr>
                <w:rStyle w:val="FootnoteReference"/>
                <w:b/>
                <w:sz w:val="26"/>
                <w:szCs w:val="24"/>
                <w:u w:val="single"/>
              </w:rPr>
              <w:footnoteReference w:id="3"/>
            </w:r>
          </w:p>
        </w:tc>
        <w:tc>
          <w:tcPr>
            <w:tcW w:w="2338" w:type="dxa"/>
            <w:vAlign w:val="bottom"/>
          </w:tcPr>
          <w:p w:rsidR="00D4596B" w:rsidRPr="00587D64" w:rsidRDefault="00D4596B" w:rsidP="00844225">
            <w:pPr>
              <w:keepNext/>
              <w:keepLines/>
              <w:widowControl/>
              <w:jc w:val="center"/>
              <w:rPr>
                <w:b/>
                <w:sz w:val="26"/>
                <w:szCs w:val="24"/>
              </w:rPr>
            </w:pPr>
            <w:r w:rsidRPr="00587D64">
              <w:rPr>
                <w:b/>
                <w:sz w:val="26"/>
                <w:szCs w:val="24"/>
              </w:rPr>
              <w:t>As-Filed Gas Cost</w:t>
            </w:r>
          </w:p>
          <w:p w:rsidR="00D4596B" w:rsidRPr="00587D64" w:rsidRDefault="00D4596B" w:rsidP="00844225">
            <w:pPr>
              <w:keepNext/>
              <w:keepLines/>
              <w:widowControl/>
              <w:jc w:val="center"/>
              <w:rPr>
                <w:b/>
                <w:sz w:val="26"/>
                <w:szCs w:val="24"/>
                <w:u w:val="single"/>
              </w:rPr>
            </w:pPr>
            <w:r w:rsidRPr="00587D64">
              <w:rPr>
                <w:b/>
                <w:sz w:val="26"/>
                <w:szCs w:val="24"/>
                <w:u w:val="single"/>
              </w:rPr>
              <w:t>Change</w:t>
            </w:r>
          </w:p>
        </w:tc>
        <w:tc>
          <w:tcPr>
            <w:tcW w:w="1803" w:type="dxa"/>
            <w:vAlign w:val="bottom"/>
          </w:tcPr>
          <w:p w:rsidR="00D4596B" w:rsidRPr="00587D64" w:rsidRDefault="00D4596B" w:rsidP="00844225">
            <w:pPr>
              <w:keepNext/>
              <w:keepLines/>
              <w:widowControl/>
              <w:jc w:val="center"/>
              <w:rPr>
                <w:b/>
                <w:sz w:val="26"/>
                <w:szCs w:val="24"/>
              </w:rPr>
            </w:pPr>
            <w:r w:rsidRPr="00587D64">
              <w:rPr>
                <w:b/>
                <w:sz w:val="26"/>
                <w:szCs w:val="24"/>
              </w:rPr>
              <w:t>Percent</w:t>
            </w:r>
          </w:p>
          <w:p w:rsidR="00D4596B" w:rsidRPr="00587D64" w:rsidRDefault="00D4596B" w:rsidP="00844225">
            <w:pPr>
              <w:keepNext/>
              <w:keepLines/>
              <w:widowControl/>
              <w:jc w:val="center"/>
              <w:rPr>
                <w:b/>
                <w:sz w:val="26"/>
                <w:szCs w:val="24"/>
                <w:u w:val="single"/>
              </w:rPr>
            </w:pPr>
            <w:r w:rsidRPr="00587D64">
              <w:rPr>
                <w:b/>
                <w:sz w:val="26"/>
                <w:szCs w:val="24"/>
                <w:u w:val="single"/>
              </w:rPr>
              <w:t>Change</w:t>
            </w:r>
          </w:p>
        </w:tc>
      </w:tr>
      <w:tr w:rsidR="005E5C1D" w:rsidTr="00587D64">
        <w:trPr>
          <w:trHeight w:val="467"/>
        </w:trPr>
        <w:tc>
          <w:tcPr>
            <w:tcW w:w="2785" w:type="dxa"/>
            <w:vAlign w:val="center"/>
          </w:tcPr>
          <w:p w:rsidR="005E5C1D" w:rsidRPr="00587D64" w:rsidRDefault="005E5C1D" w:rsidP="00844225">
            <w:pPr>
              <w:keepNext/>
              <w:keepLines/>
              <w:widowControl/>
              <w:jc w:val="center"/>
              <w:rPr>
                <w:sz w:val="26"/>
                <w:szCs w:val="24"/>
              </w:rPr>
            </w:pPr>
          </w:p>
        </w:tc>
        <w:tc>
          <w:tcPr>
            <w:tcW w:w="1889" w:type="dxa"/>
            <w:vAlign w:val="center"/>
          </w:tcPr>
          <w:p w:rsidR="005E5C1D" w:rsidRDefault="005E5C1D" w:rsidP="00844225">
            <w:pPr>
              <w:keepNext/>
              <w:keepLines/>
              <w:widowControl/>
              <w:jc w:val="center"/>
              <w:rPr>
                <w:sz w:val="26"/>
                <w:szCs w:val="24"/>
              </w:rPr>
            </w:pPr>
            <w:r>
              <w:rPr>
                <w:sz w:val="26"/>
                <w:szCs w:val="24"/>
              </w:rPr>
              <w:t>($/Mcf)</w:t>
            </w:r>
          </w:p>
        </w:tc>
        <w:tc>
          <w:tcPr>
            <w:tcW w:w="2338" w:type="dxa"/>
            <w:vAlign w:val="center"/>
          </w:tcPr>
          <w:p w:rsidR="005E5C1D" w:rsidRDefault="005E5C1D" w:rsidP="00844225">
            <w:pPr>
              <w:keepNext/>
              <w:keepLines/>
              <w:widowControl/>
              <w:jc w:val="center"/>
              <w:rPr>
                <w:sz w:val="26"/>
                <w:szCs w:val="24"/>
              </w:rPr>
            </w:pPr>
            <w:r>
              <w:rPr>
                <w:sz w:val="26"/>
                <w:szCs w:val="24"/>
              </w:rPr>
              <w:t>($/Mcf)</w:t>
            </w:r>
          </w:p>
        </w:tc>
        <w:tc>
          <w:tcPr>
            <w:tcW w:w="1803" w:type="dxa"/>
            <w:vAlign w:val="center"/>
          </w:tcPr>
          <w:p w:rsidR="005E5C1D" w:rsidRDefault="005E5C1D" w:rsidP="00844225">
            <w:pPr>
              <w:keepNext/>
              <w:keepLines/>
              <w:widowControl/>
              <w:jc w:val="center"/>
              <w:rPr>
                <w:sz w:val="26"/>
                <w:szCs w:val="24"/>
              </w:rPr>
            </w:pPr>
          </w:p>
        </w:tc>
      </w:tr>
      <w:tr w:rsidR="00D4596B" w:rsidTr="00587D64">
        <w:trPr>
          <w:trHeight w:val="467"/>
        </w:trPr>
        <w:tc>
          <w:tcPr>
            <w:tcW w:w="2785" w:type="dxa"/>
            <w:vAlign w:val="center"/>
          </w:tcPr>
          <w:p w:rsidR="00D4596B" w:rsidRPr="00587D64" w:rsidRDefault="00D4596B" w:rsidP="00844225">
            <w:pPr>
              <w:keepNext/>
              <w:keepLines/>
              <w:widowControl/>
              <w:jc w:val="center"/>
              <w:rPr>
                <w:sz w:val="26"/>
                <w:szCs w:val="24"/>
              </w:rPr>
            </w:pPr>
            <w:r w:rsidRPr="00587D64">
              <w:rPr>
                <w:sz w:val="26"/>
                <w:szCs w:val="24"/>
              </w:rPr>
              <w:t>RS</w:t>
            </w:r>
          </w:p>
        </w:tc>
        <w:tc>
          <w:tcPr>
            <w:tcW w:w="1889" w:type="dxa"/>
            <w:vAlign w:val="center"/>
          </w:tcPr>
          <w:p w:rsidR="00D4596B" w:rsidRDefault="00587D64" w:rsidP="00844225">
            <w:pPr>
              <w:keepNext/>
              <w:keepLines/>
              <w:widowControl/>
              <w:jc w:val="center"/>
              <w:rPr>
                <w:sz w:val="26"/>
                <w:szCs w:val="24"/>
              </w:rPr>
            </w:pPr>
            <w:r>
              <w:rPr>
                <w:sz w:val="26"/>
                <w:szCs w:val="24"/>
              </w:rPr>
              <w:t>$11.5505</w:t>
            </w:r>
          </w:p>
        </w:tc>
        <w:tc>
          <w:tcPr>
            <w:tcW w:w="2338" w:type="dxa"/>
            <w:vAlign w:val="center"/>
          </w:tcPr>
          <w:p w:rsidR="00D4596B" w:rsidRDefault="00587D64" w:rsidP="00844225">
            <w:pPr>
              <w:keepNext/>
              <w:keepLines/>
              <w:widowControl/>
              <w:jc w:val="center"/>
              <w:rPr>
                <w:sz w:val="26"/>
                <w:szCs w:val="24"/>
              </w:rPr>
            </w:pPr>
            <w:r>
              <w:rPr>
                <w:sz w:val="26"/>
                <w:szCs w:val="24"/>
              </w:rPr>
              <w:t>($0.5800)</w:t>
            </w:r>
          </w:p>
        </w:tc>
        <w:tc>
          <w:tcPr>
            <w:tcW w:w="1803" w:type="dxa"/>
            <w:vAlign w:val="center"/>
          </w:tcPr>
          <w:p w:rsidR="00D4596B" w:rsidRDefault="00587D64" w:rsidP="00844225">
            <w:pPr>
              <w:keepNext/>
              <w:keepLines/>
              <w:widowControl/>
              <w:jc w:val="center"/>
              <w:rPr>
                <w:sz w:val="26"/>
                <w:szCs w:val="24"/>
              </w:rPr>
            </w:pPr>
            <w:r>
              <w:rPr>
                <w:sz w:val="26"/>
                <w:szCs w:val="24"/>
              </w:rPr>
              <w:t>-5.0%</w:t>
            </w:r>
          </w:p>
        </w:tc>
      </w:tr>
      <w:tr w:rsidR="00D4596B" w:rsidTr="00587D64">
        <w:trPr>
          <w:trHeight w:val="458"/>
        </w:trPr>
        <w:tc>
          <w:tcPr>
            <w:tcW w:w="2785" w:type="dxa"/>
            <w:vAlign w:val="center"/>
          </w:tcPr>
          <w:p w:rsidR="00D4596B" w:rsidRPr="00587D64" w:rsidRDefault="00D4596B" w:rsidP="00844225">
            <w:pPr>
              <w:keepNext/>
              <w:keepLines/>
              <w:widowControl/>
              <w:jc w:val="center"/>
              <w:rPr>
                <w:sz w:val="26"/>
                <w:szCs w:val="24"/>
              </w:rPr>
            </w:pPr>
            <w:r w:rsidRPr="00587D64">
              <w:rPr>
                <w:sz w:val="26"/>
                <w:szCs w:val="24"/>
              </w:rPr>
              <w:t>SGS</w:t>
            </w:r>
          </w:p>
        </w:tc>
        <w:tc>
          <w:tcPr>
            <w:tcW w:w="1889" w:type="dxa"/>
            <w:vAlign w:val="center"/>
          </w:tcPr>
          <w:p w:rsidR="00D4596B" w:rsidRDefault="00587D64" w:rsidP="00844225">
            <w:pPr>
              <w:keepNext/>
              <w:keepLines/>
              <w:widowControl/>
              <w:jc w:val="center"/>
              <w:rPr>
                <w:sz w:val="26"/>
                <w:szCs w:val="24"/>
              </w:rPr>
            </w:pPr>
            <w:r>
              <w:rPr>
                <w:sz w:val="26"/>
                <w:szCs w:val="24"/>
              </w:rPr>
              <w:t>$9.2255</w:t>
            </w:r>
          </w:p>
        </w:tc>
        <w:tc>
          <w:tcPr>
            <w:tcW w:w="2338" w:type="dxa"/>
            <w:vAlign w:val="center"/>
          </w:tcPr>
          <w:p w:rsidR="00D4596B" w:rsidRDefault="00587D64" w:rsidP="00844225">
            <w:pPr>
              <w:keepNext/>
              <w:keepLines/>
              <w:widowControl/>
              <w:jc w:val="center"/>
              <w:rPr>
                <w:sz w:val="26"/>
                <w:szCs w:val="24"/>
              </w:rPr>
            </w:pPr>
            <w:r>
              <w:rPr>
                <w:sz w:val="26"/>
                <w:szCs w:val="24"/>
              </w:rPr>
              <w:t>($0.5751)</w:t>
            </w:r>
          </w:p>
        </w:tc>
        <w:tc>
          <w:tcPr>
            <w:tcW w:w="1803" w:type="dxa"/>
            <w:vAlign w:val="center"/>
          </w:tcPr>
          <w:p w:rsidR="00D4596B" w:rsidRDefault="00587D64" w:rsidP="00844225">
            <w:pPr>
              <w:keepNext/>
              <w:keepLines/>
              <w:widowControl/>
              <w:jc w:val="center"/>
              <w:rPr>
                <w:sz w:val="26"/>
                <w:szCs w:val="24"/>
              </w:rPr>
            </w:pPr>
            <w:r>
              <w:rPr>
                <w:sz w:val="26"/>
                <w:szCs w:val="24"/>
              </w:rPr>
              <w:t>-6.2%</w:t>
            </w:r>
          </w:p>
        </w:tc>
      </w:tr>
      <w:tr w:rsidR="00D4596B" w:rsidTr="00587D64">
        <w:trPr>
          <w:trHeight w:val="422"/>
        </w:trPr>
        <w:tc>
          <w:tcPr>
            <w:tcW w:w="2785" w:type="dxa"/>
            <w:vAlign w:val="center"/>
          </w:tcPr>
          <w:p w:rsidR="00D4596B" w:rsidRPr="00587D64" w:rsidRDefault="00587D64" w:rsidP="00844225">
            <w:pPr>
              <w:keepNext/>
              <w:keepLines/>
              <w:widowControl/>
              <w:jc w:val="center"/>
              <w:rPr>
                <w:sz w:val="26"/>
                <w:szCs w:val="24"/>
              </w:rPr>
            </w:pPr>
            <w:r w:rsidRPr="00587D64">
              <w:rPr>
                <w:sz w:val="26"/>
                <w:szCs w:val="24"/>
              </w:rPr>
              <w:t>MGS</w:t>
            </w:r>
          </w:p>
        </w:tc>
        <w:tc>
          <w:tcPr>
            <w:tcW w:w="1889" w:type="dxa"/>
            <w:vAlign w:val="center"/>
          </w:tcPr>
          <w:p w:rsidR="00D4596B" w:rsidRDefault="00587D64" w:rsidP="00844225">
            <w:pPr>
              <w:keepNext/>
              <w:keepLines/>
              <w:widowControl/>
              <w:jc w:val="center"/>
              <w:rPr>
                <w:sz w:val="26"/>
                <w:szCs w:val="24"/>
              </w:rPr>
            </w:pPr>
            <w:r>
              <w:rPr>
                <w:sz w:val="26"/>
                <w:szCs w:val="24"/>
              </w:rPr>
              <w:t>$9.0214</w:t>
            </w:r>
          </w:p>
        </w:tc>
        <w:tc>
          <w:tcPr>
            <w:tcW w:w="2338" w:type="dxa"/>
            <w:vAlign w:val="center"/>
          </w:tcPr>
          <w:p w:rsidR="00D4596B" w:rsidRDefault="00587D64" w:rsidP="00844225">
            <w:pPr>
              <w:keepNext/>
              <w:keepLines/>
              <w:widowControl/>
              <w:jc w:val="center"/>
              <w:rPr>
                <w:sz w:val="26"/>
                <w:szCs w:val="24"/>
              </w:rPr>
            </w:pPr>
            <w:r>
              <w:rPr>
                <w:sz w:val="26"/>
                <w:szCs w:val="24"/>
              </w:rPr>
              <w:t>($0.5632)</w:t>
            </w:r>
          </w:p>
        </w:tc>
        <w:tc>
          <w:tcPr>
            <w:tcW w:w="1803" w:type="dxa"/>
            <w:vAlign w:val="center"/>
          </w:tcPr>
          <w:p w:rsidR="00D4596B" w:rsidRDefault="00587D64" w:rsidP="00844225">
            <w:pPr>
              <w:keepNext/>
              <w:keepLines/>
              <w:widowControl/>
              <w:jc w:val="center"/>
              <w:rPr>
                <w:sz w:val="26"/>
                <w:szCs w:val="24"/>
              </w:rPr>
            </w:pPr>
            <w:r>
              <w:rPr>
                <w:sz w:val="26"/>
                <w:szCs w:val="24"/>
              </w:rPr>
              <w:t>-6.2%</w:t>
            </w:r>
          </w:p>
        </w:tc>
      </w:tr>
      <w:tr w:rsidR="00D4596B" w:rsidTr="00587D64">
        <w:trPr>
          <w:trHeight w:val="458"/>
        </w:trPr>
        <w:tc>
          <w:tcPr>
            <w:tcW w:w="2785" w:type="dxa"/>
            <w:vAlign w:val="center"/>
          </w:tcPr>
          <w:p w:rsidR="00D4596B" w:rsidRPr="00587D64" w:rsidRDefault="00587D64" w:rsidP="00844225">
            <w:pPr>
              <w:keepNext/>
              <w:keepLines/>
              <w:widowControl/>
              <w:jc w:val="center"/>
              <w:rPr>
                <w:sz w:val="26"/>
                <w:szCs w:val="24"/>
              </w:rPr>
            </w:pPr>
            <w:r w:rsidRPr="00587D64">
              <w:rPr>
                <w:sz w:val="26"/>
                <w:szCs w:val="24"/>
              </w:rPr>
              <w:t>LGS ˂ 100,000 Mcf/yr</w:t>
            </w:r>
          </w:p>
        </w:tc>
        <w:tc>
          <w:tcPr>
            <w:tcW w:w="1889" w:type="dxa"/>
            <w:vAlign w:val="center"/>
          </w:tcPr>
          <w:p w:rsidR="00D4596B" w:rsidRDefault="00587D64" w:rsidP="00844225">
            <w:pPr>
              <w:keepNext/>
              <w:keepLines/>
              <w:widowControl/>
              <w:jc w:val="center"/>
              <w:rPr>
                <w:sz w:val="26"/>
                <w:szCs w:val="24"/>
              </w:rPr>
            </w:pPr>
            <w:r>
              <w:rPr>
                <w:sz w:val="26"/>
                <w:szCs w:val="24"/>
              </w:rPr>
              <w:t>$8.0549</w:t>
            </w:r>
          </w:p>
        </w:tc>
        <w:tc>
          <w:tcPr>
            <w:tcW w:w="2338" w:type="dxa"/>
            <w:vAlign w:val="center"/>
          </w:tcPr>
          <w:p w:rsidR="00D4596B" w:rsidRDefault="00587D64" w:rsidP="00844225">
            <w:pPr>
              <w:keepNext/>
              <w:keepLines/>
              <w:widowControl/>
              <w:jc w:val="center"/>
              <w:rPr>
                <w:sz w:val="26"/>
                <w:szCs w:val="24"/>
              </w:rPr>
            </w:pPr>
            <w:r>
              <w:rPr>
                <w:sz w:val="26"/>
                <w:szCs w:val="24"/>
              </w:rPr>
              <w:t>($0.5954)</w:t>
            </w:r>
          </w:p>
        </w:tc>
        <w:tc>
          <w:tcPr>
            <w:tcW w:w="1803" w:type="dxa"/>
            <w:vAlign w:val="center"/>
          </w:tcPr>
          <w:p w:rsidR="00D4596B" w:rsidRDefault="00587D64" w:rsidP="00844225">
            <w:pPr>
              <w:keepNext/>
              <w:keepLines/>
              <w:widowControl/>
              <w:jc w:val="center"/>
              <w:rPr>
                <w:sz w:val="26"/>
                <w:szCs w:val="24"/>
              </w:rPr>
            </w:pPr>
            <w:r>
              <w:rPr>
                <w:sz w:val="26"/>
                <w:szCs w:val="24"/>
              </w:rPr>
              <w:t>-7.4%</w:t>
            </w:r>
          </w:p>
        </w:tc>
      </w:tr>
    </w:tbl>
    <w:p w:rsidR="00844225" w:rsidRDefault="00844225" w:rsidP="003439AF">
      <w:pPr>
        <w:keepNext/>
        <w:keepLines/>
        <w:widowControl/>
        <w:rPr>
          <w:sz w:val="26"/>
          <w:szCs w:val="24"/>
        </w:rPr>
      </w:pPr>
    </w:p>
    <w:p w:rsidR="00844225" w:rsidRDefault="00844225" w:rsidP="003439AF">
      <w:pPr>
        <w:keepNext/>
        <w:keepLines/>
        <w:widowControl/>
        <w:rPr>
          <w:sz w:val="26"/>
          <w:szCs w:val="24"/>
        </w:rPr>
      </w:pPr>
    </w:p>
    <w:p w:rsidR="00D924FB" w:rsidRPr="005E5C1D" w:rsidRDefault="00D4596B" w:rsidP="00844225">
      <w:pPr>
        <w:widowControl/>
        <w:spacing w:line="360" w:lineRule="auto"/>
        <w:rPr>
          <w:sz w:val="26"/>
          <w:szCs w:val="24"/>
        </w:rPr>
      </w:pPr>
      <w:r>
        <w:rPr>
          <w:sz w:val="26"/>
          <w:szCs w:val="24"/>
        </w:rPr>
        <w:t>Partial Settlement at ¶ 35.</w:t>
      </w:r>
    </w:p>
    <w:p w:rsidR="00AF6A62" w:rsidRDefault="00AF6A62" w:rsidP="00844225">
      <w:pPr>
        <w:widowControl/>
        <w:tabs>
          <w:tab w:val="left" w:pos="-720"/>
        </w:tabs>
        <w:suppressAutoHyphens/>
        <w:spacing w:line="360" w:lineRule="auto"/>
        <w:rPr>
          <w:sz w:val="26"/>
        </w:rPr>
      </w:pPr>
    </w:p>
    <w:p w:rsidR="009324E2" w:rsidRPr="00F3762D" w:rsidRDefault="009324E2" w:rsidP="00844225">
      <w:pPr>
        <w:pStyle w:val="Heading1"/>
        <w:keepLines/>
        <w:numPr>
          <w:ilvl w:val="0"/>
          <w:numId w:val="12"/>
        </w:numPr>
        <w:ind w:left="720"/>
      </w:pPr>
      <w:bookmarkStart w:id="6" w:name="_Toc524347670"/>
      <w:r w:rsidRPr="00F3762D">
        <w:t>History of the Proceeding</w:t>
      </w:r>
      <w:bookmarkEnd w:id="6"/>
    </w:p>
    <w:p w:rsidR="009324E2" w:rsidRPr="00F3762D" w:rsidRDefault="009324E2" w:rsidP="00844225">
      <w:pPr>
        <w:keepNext/>
        <w:keepLines/>
        <w:widowControl/>
        <w:spacing w:line="360" w:lineRule="auto"/>
        <w:rPr>
          <w:sz w:val="26"/>
          <w:szCs w:val="26"/>
        </w:rPr>
      </w:pPr>
    </w:p>
    <w:p w:rsidR="00C57A19" w:rsidRPr="00F3762D" w:rsidRDefault="00C57A19" w:rsidP="00844225">
      <w:pPr>
        <w:widowControl/>
        <w:tabs>
          <w:tab w:val="left" w:pos="1445"/>
        </w:tabs>
        <w:autoSpaceDE w:val="0"/>
        <w:autoSpaceDN w:val="0"/>
        <w:adjustRightInd w:val="0"/>
        <w:spacing w:line="360" w:lineRule="auto"/>
        <w:ind w:firstLine="1440"/>
        <w:rPr>
          <w:sz w:val="26"/>
          <w:szCs w:val="26"/>
        </w:rPr>
      </w:pPr>
      <w:r w:rsidRPr="00F3762D">
        <w:rPr>
          <w:sz w:val="26"/>
          <w:szCs w:val="26"/>
        </w:rPr>
        <w:t>On March 2, 2018, Peoples Gas submitted its pre-filing information in support of its annual PGC filing to the Commission pursuant to 52 Pa. Code §§ 53.64 and 53.65.</w:t>
      </w:r>
    </w:p>
    <w:p w:rsidR="00C57A19" w:rsidRDefault="00C57A19" w:rsidP="00844225">
      <w:pPr>
        <w:widowControl/>
        <w:tabs>
          <w:tab w:val="left" w:pos="1445"/>
        </w:tabs>
        <w:autoSpaceDE w:val="0"/>
        <w:autoSpaceDN w:val="0"/>
        <w:adjustRightInd w:val="0"/>
        <w:spacing w:line="360" w:lineRule="auto"/>
        <w:ind w:firstLine="1440"/>
        <w:rPr>
          <w:sz w:val="26"/>
          <w:szCs w:val="26"/>
        </w:rPr>
      </w:pPr>
    </w:p>
    <w:p w:rsidR="00C57A19" w:rsidRDefault="00C57A19" w:rsidP="00844225">
      <w:pPr>
        <w:widowControl/>
        <w:tabs>
          <w:tab w:val="left" w:pos="1445"/>
        </w:tabs>
        <w:autoSpaceDE w:val="0"/>
        <w:autoSpaceDN w:val="0"/>
        <w:adjustRightInd w:val="0"/>
        <w:spacing w:line="360" w:lineRule="auto"/>
        <w:ind w:firstLine="1440"/>
        <w:rPr>
          <w:sz w:val="26"/>
          <w:szCs w:val="26"/>
        </w:rPr>
      </w:pPr>
      <w:r>
        <w:rPr>
          <w:sz w:val="26"/>
          <w:szCs w:val="26"/>
        </w:rPr>
        <w:t xml:space="preserve">I&amp;E entered a Notice </w:t>
      </w:r>
      <w:r w:rsidR="004A5AA4">
        <w:rPr>
          <w:sz w:val="26"/>
          <w:szCs w:val="26"/>
        </w:rPr>
        <w:t xml:space="preserve">of Appearance on March 9, 2018.  </w:t>
      </w:r>
      <w:r>
        <w:rPr>
          <w:sz w:val="26"/>
          <w:szCs w:val="26"/>
        </w:rPr>
        <w:t xml:space="preserve">On March 15, 2018, the OCA filed a </w:t>
      </w:r>
      <w:r w:rsidR="005F320F">
        <w:rPr>
          <w:sz w:val="26"/>
          <w:szCs w:val="26"/>
        </w:rPr>
        <w:t>Notice of Appearance</w:t>
      </w:r>
      <w:r>
        <w:rPr>
          <w:sz w:val="26"/>
          <w:szCs w:val="26"/>
        </w:rPr>
        <w:t xml:space="preserve">, Public Statement, and </w:t>
      </w:r>
      <w:r w:rsidR="005F320F">
        <w:rPr>
          <w:sz w:val="26"/>
          <w:szCs w:val="26"/>
        </w:rPr>
        <w:t>Formal Complaint at Docket No. C-2018-3000497</w:t>
      </w:r>
      <w:r>
        <w:rPr>
          <w:sz w:val="26"/>
          <w:szCs w:val="26"/>
        </w:rPr>
        <w:t>.</w:t>
      </w:r>
      <w:r w:rsidR="004A5AA4">
        <w:rPr>
          <w:sz w:val="26"/>
          <w:szCs w:val="26"/>
        </w:rPr>
        <w:t xml:space="preserve">  </w:t>
      </w:r>
      <w:r>
        <w:rPr>
          <w:sz w:val="26"/>
          <w:szCs w:val="26"/>
        </w:rPr>
        <w:t xml:space="preserve">On March 20, 2018, the OSBA filed a </w:t>
      </w:r>
      <w:r w:rsidR="005F320F">
        <w:rPr>
          <w:sz w:val="26"/>
          <w:szCs w:val="26"/>
        </w:rPr>
        <w:t>Notice of Appearance</w:t>
      </w:r>
      <w:r>
        <w:rPr>
          <w:sz w:val="26"/>
          <w:szCs w:val="26"/>
        </w:rPr>
        <w:t>, Public Sta</w:t>
      </w:r>
      <w:r w:rsidR="005F320F">
        <w:rPr>
          <w:sz w:val="26"/>
          <w:szCs w:val="26"/>
        </w:rPr>
        <w:t>tement, and Formal Complaint at Docket No. C-2018-3000574</w:t>
      </w:r>
      <w:r>
        <w:rPr>
          <w:sz w:val="26"/>
          <w:szCs w:val="26"/>
        </w:rPr>
        <w:t>.</w:t>
      </w:r>
      <w:r w:rsidR="007E7AD3">
        <w:rPr>
          <w:sz w:val="26"/>
          <w:szCs w:val="26"/>
        </w:rPr>
        <w:t xml:space="preserve">  </w:t>
      </w:r>
      <w:r w:rsidR="00807564">
        <w:rPr>
          <w:sz w:val="26"/>
          <w:szCs w:val="26"/>
        </w:rPr>
        <w:t>Also,</w:t>
      </w:r>
      <w:r w:rsidR="007E7AD3">
        <w:rPr>
          <w:sz w:val="26"/>
          <w:szCs w:val="26"/>
        </w:rPr>
        <w:t xml:space="preserve"> on April 2, 2018, PIOGA filed a Petition to Intervene.</w:t>
      </w:r>
    </w:p>
    <w:p w:rsidR="00C57A19" w:rsidRDefault="00C57A19" w:rsidP="00844225">
      <w:pPr>
        <w:widowControl/>
        <w:tabs>
          <w:tab w:val="left" w:pos="1445"/>
        </w:tabs>
        <w:autoSpaceDE w:val="0"/>
        <w:autoSpaceDN w:val="0"/>
        <w:adjustRightInd w:val="0"/>
        <w:spacing w:line="360" w:lineRule="auto"/>
        <w:ind w:firstLine="1440"/>
        <w:rPr>
          <w:sz w:val="26"/>
          <w:szCs w:val="26"/>
        </w:rPr>
      </w:pPr>
    </w:p>
    <w:p w:rsidR="00C57A19" w:rsidRDefault="007E7AD3" w:rsidP="00844225">
      <w:pPr>
        <w:widowControl/>
        <w:tabs>
          <w:tab w:val="left" w:pos="1445"/>
        </w:tabs>
        <w:autoSpaceDE w:val="0"/>
        <w:autoSpaceDN w:val="0"/>
        <w:adjustRightInd w:val="0"/>
        <w:spacing w:line="360" w:lineRule="auto"/>
        <w:ind w:firstLine="1440"/>
        <w:rPr>
          <w:sz w:val="26"/>
          <w:szCs w:val="26"/>
        </w:rPr>
      </w:pPr>
      <w:r>
        <w:rPr>
          <w:sz w:val="26"/>
          <w:szCs w:val="26"/>
        </w:rPr>
        <w:t>O</w:t>
      </w:r>
      <w:r w:rsidR="00C66B30">
        <w:rPr>
          <w:sz w:val="26"/>
          <w:szCs w:val="26"/>
        </w:rPr>
        <w:t>n</w:t>
      </w:r>
      <w:r w:rsidR="00472472">
        <w:rPr>
          <w:sz w:val="26"/>
          <w:szCs w:val="26"/>
        </w:rPr>
        <w:t xml:space="preserve"> April 2, 2018, Peoples Gas filed with the Commission its definitive PGC filing, including supporting information required by the Commission </w:t>
      </w:r>
      <w:r w:rsidR="00BF4797">
        <w:rPr>
          <w:sz w:val="26"/>
          <w:szCs w:val="26"/>
        </w:rPr>
        <w:t>R</w:t>
      </w:r>
      <w:r w:rsidR="00472472">
        <w:rPr>
          <w:sz w:val="26"/>
          <w:szCs w:val="26"/>
        </w:rPr>
        <w:t>egulations, Peoples Gas</w:t>
      </w:r>
      <w:r w:rsidR="001A5BA1">
        <w:rPr>
          <w:sz w:val="26"/>
          <w:szCs w:val="26"/>
        </w:rPr>
        <w:t>’</w:t>
      </w:r>
      <w:r w:rsidR="00472472">
        <w:rPr>
          <w:sz w:val="26"/>
          <w:szCs w:val="26"/>
        </w:rPr>
        <w:t xml:space="preserve"> direct testimony, exhibits, and Pro Forma Tariff Supplement reflecting actual and projected changes in natural gas costs and other tariff changes.</w:t>
      </w:r>
    </w:p>
    <w:p w:rsidR="00472472" w:rsidRDefault="00472472" w:rsidP="00844225">
      <w:pPr>
        <w:widowControl/>
        <w:tabs>
          <w:tab w:val="left" w:pos="1445"/>
        </w:tabs>
        <w:autoSpaceDE w:val="0"/>
        <w:autoSpaceDN w:val="0"/>
        <w:adjustRightInd w:val="0"/>
        <w:spacing w:line="360" w:lineRule="auto"/>
        <w:ind w:firstLine="1440"/>
        <w:rPr>
          <w:sz w:val="26"/>
          <w:szCs w:val="26"/>
        </w:rPr>
      </w:pPr>
    </w:p>
    <w:p w:rsidR="001953DA" w:rsidRDefault="001953DA" w:rsidP="00844225">
      <w:pPr>
        <w:widowControl/>
        <w:tabs>
          <w:tab w:val="left" w:pos="1445"/>
        </w:tabs>
        <w:autoSpaceDE w:val="0"/>
        <w:autoSpaceDN w:val="0"/>
        <w:adjustRightInd w:val="0"/>
        <w:spacing w:line="360" w:lineRule="auto"/>
        <w:ind w:firstLine="1440"/>
        <w:rPr>
          <w:sz w:val="26"/>
          <w:szCs w:val="26"/>
        </w:rPr>
      </w:pPr>
      <w:r>
        <w:rPr>
          <w:sz w:val="26"/>
          <w:szCs w:val="26"/>
        </w:rPr>
        <w:lastRenderedPageBreak/>
        <w:t>On April 6, 2018, the ALJ issued a Prehearing Order, establishing the litigation schedule, granting PIOGA</w:t>
      </w:r>
      <w:r w:rsidR="001A5BA1">
        <w:rPr>
          <w:sz w:val="26"/>
          <w:szCs w:val="26"/>
        </w:rPr>
        <w:t>’</w:t>
      </w:r>
      <w:r>
        <w:rPr>
          <w:sz w:val="26"/>
          <w:szCs w:val="26"/>
        </w:rPr>
        <w:t xml:space="preserve">s Petition to Intervene, and consolidating the Formal Complaints of the OCA and the OSBA with this Section 1307(f) rate proceeding.  In addition, the ALJ consolidated </w:t>
      </w:r>
      <w:r w:rsidR="00BF4797">
        <w:rPr>
          <w:sz w:val="26"/>
          <w:szCs w:val="26"/>
        </w:rPr>
        <w:t xml:space="preserve">the </w:t>
      </w:r>
      <w:r>
        <w:rPr>
          <w:sz w:val="26"/>
          <w:szCs w:val="26"/>
        </w:rPr>
        <w:t>Peoples Gas PGC proceeding with the PGC proceeding for Peoples Natural Gas</w:t>
      </w:r>
      <w:r w:rsidR="001A5BA1">
        <w:rPr>
          <w:sz w:val="26"/>
          <w:szCs w:val="26"/>
        </w:rPr>
        <w:t>’</w:t>
      </w:r>
      <w:r>
        <w:rPr>
          <w:sz w:val="26"/>
          <w:szCs w:val="26"/>
        </w:rPr>
        <w:t xml:space="preserve"> Peoples</w:t>
      </w:r>
      <w:r w:rsidR="00BF4797">
        <w:rPr>
          <w:sz w:val="26"/>
          <w:szCs w:val="26"/>
        </w:rPr>
        <w:t>-Division</w:t>
      </w:r>
      <w:r>
        <w:rPr>
          <w:sz w:val="26"/>
          <w:szCs w:val="26"/>
        </w:rPr>
        <w:t xml:space="preserve"> and Peoples-Equitable Division at Docket Nos. R-2018-2645278 and R-2018-3000236 for purposes of hearing.</w:t>
      </w:r>
    </w:p>
    <w:p w:rsidR="001953DA" w:rsidRDefault="001953DA" w:rsidP="00844225">
      <w:pPr>
        <w:widowControl/>
        <w:tabs>
          <w:tab w:val="left" w:pos="1445"/>
        </w:tabs>
        <w:autoSpaceDE w:val="0"/>
        <w:autoSpaceDN w:val="0"/>
        <w:adjustRightInd w:val="0"/>
        <w:spacing w:line="360" w:lineRule="auto"/>
        <w:ind w:firstLine="1440"/>
        <w:rPr>
          <w:sz w:val="26"/>
          <w:szCs w:val="26"/>
        </w:rPr>
      </w:pPr>
    </w:p>
    <w:p w:rsidR="00CC39DC" w:rsidRDefault="00CC39DC" w:rsidP="00844225">
      <w:pPr>
        <w:widowControl/>
        <w:tabs>
          <w:tab w:val="left" w:pos="1445"/>
        </w:tabs>
        <w:autoSpaceDE w:val="0"/>
        <w:autoSpaceDN w:val="0"/>
        <w:adjustRightInd w:val="0"/>
        <w:spacing w:line="360" w:lineRule="auto"/>
        <w:ind w:firstLine="1440"/>
        <w:rPr>
          <w:sz w:val="26"/>
          <w:szCs w:val="26"/>
        </w:rPr>
      </w:pPr>
      <w:r>
        <w:rPr>
          <w:sz w:val="26"/>
          <w:szCs w:val="26"/>
        </w:rPr>
        <w:t xml:space="preserve">On April 30, 2018, </w:t>
      </w:r>
      <w:r w:rsidR="003F36B3">
        <w:rPr>
          <w:sz w:val="26"/>
          <w:szCs w:val="26"/>
        </w:rPr>
        <w:t>Direct Energy Services</w:t>
      </w:r>
      <w:r>
        <w:rPr>
          <w:sz w:val="26"/>
          <w:szCs w:val="26"/>
        </w:rPr>
        <w:t xml:space="preserve">, LLC (Direct Energy) </w:t>
      </w:r>
      <w:r w:rsidR="00BF4797">
        <w:rPr>
          <w:sz w:val="26"/>
          <w:szCs w:val="26"/>
        </w:rPr>
        <w:t xml:space="preserve">filed </w:t>
      </w:r>
      <w:r>
        <w:rPr>
          <w:sz w:val="26"/>
          <w:szCs w:val="26"/>
        </w:rPr>
        <w:t>a Petition to Intervene, and on May 9, 2018 the ALJ issued an Interim Order granting Direct Energy</w:t>
      </w:r>
      <w:r w:rsidR="001A5BA1">
        <w:rPr>
          <w:sz w:val="26"/>
          <w:szCs w:val="26"/>
        </w:rPr>
        <w:t>’</w:t>
      </w:r>
      <w:r>
        <w:rPr>
          <w:sz w:val="26"/>
          <w:szCs w:val="26"/>
        </w:rPr>
        <w:t>s Petition.</w:t>
      </w:r>
    </w:p>
    <w:p w:rsidR="00CC39DC" w:rsidRDefault="00CC39DC" w:rsidP="00844225">
      <w:pPr>
        <w:widowControl/>
        <w:tabs>
          <w:tab w:val="left" w:pos="1445"/>
        </w:tabs>
        <w:autoSpaceDE w:val="0"/>
        <w:autoSpaceDN w:val="0"/>
        <w:adjustRightInd w:val="0"/>
        <w:spacing w:line="360" w:lineRule="auto"/>
        <w:ind w:firstLine="1440"/>
        <w:rPr>
          <w:sz w:val="26"/>
          <w:szCs w:val="26"/>
        </w:rPr>
      </w:pPr>
    </w:p>
    <w:p w:rsidR="00351208" w:rsidRDefault="00351208" w:rsidP="00844225">
      <w:pPr>
        <w:widowControl/>
        <w:tabs>
          <w:tab w:val="left" w:pos="1445"/>
        </w:tabs>
        <w:autoSpaceDE w:val="0"/>
        <w:autoSpaceDN w:val="0"/>
        <w:adjustRightInd w:val="0"/>
        <w:spacing w:line="360" w:lineRule="auto"/>
        <w:ind w:firstLine="1440"/>
        <w:rPr>
          <w:sz w:val="26"/>
          <w:szCs w:val="26"/>
        </w:rPr>
      </w:pPr>
      <w:r>
        <w:rPr>
          <w:sz w:val="26"/>
          <w:szCs w:val="26"/>
        </w:rPr>
        <w:t>As a result of settlement discussions, the Joint Petitioners were successful at resolving all but one issue in this proceeding prior to the scheduled evidentiary hearings.</w:t>
      </w:r>
      <w:r w:rsidR="00423124">
        <w:rPr>
          <w:rStyle w:val="FootnoteReference"/>
          <w:sz w:val="26"/>
          <w:szCs w:val="26"/>
        </w:rPr>
        <w:footnoteReference w:id="4"/>
      </w:r>
      <w:r>
        <w:rPr>
          <w:sz w:val="26"/>
          <w:szCs w:val="26"/>
        </w:rPr>
        <w:t xml:space="preserve">  The issue reserved for litigation is Peoples Gas</w:t>
      </w:r>
      <w:r w:rsidR="001A5BA1">
        <w:rPr>
          <w:sz w:val="26"/>
          <w:szCs w:val="26"/>
        </w:rPr>
        <w:t>’</w:t>
      </w:r>
      <w:r>
        <w:rPr>
          <w:sz w:val="26"/>
          <w:szCs w:val="26"/>
        </w:rPr>
        <w:t xml:space="preserve"> proposal to charge producers a retainage charge of 2.9% to contribute toward the costs associated with unaccounted for gas (UFG)</w:t>
      </w:r>
      <w:r w:rsidR="00E15CF7">
        <w:rPr>
          <w:sz w:val="26"/>
          <w:szCs w:val="26"/>
        </w:rPr>
        <w:t>, sometimes referred to as lost and unaccounted for gas (LUFG),</w:t>
      </w:r>
      <w:r>
        <w:rPr>
          <w:sz w:val="26"/>
          <w:szCs w:val="26"/>
        </w:rPr>
        <w:t xml:space="preserve"> on the Company</w:t>
      </w:r>
      <w:r w:rsidR="001A5BA1">
        <w:rPr>
          <w:sz w:val="26"/>
          <w:szCs w:val="26"/>
        </w:rPr>
        <w:t>’</w:t>
      </w:r>
      <w:r>
        <w:rPr>
          <w:sz w:val="26"/>
          <w:szCs w:val="26"/>
        </w:rPr>
        <w:t>s gathering system.</w:t>
      </w:r>
    </w:p>
    <w:p w:rsidR="00351208" w:rsidRDefault="00351208" w:rsidP="00844225">
      <w:pPr>
        <w:widowControl/>
        <w:tabs>
          <w:tab w:val="left" w:pos="1445"/>
        </w:tabs>
        <w:autoSpaceDE w:val="0"/>
        <w:autoSpaceDN w:val="0"/>
        <w:adjustRightInd w:val="0"/>
        <w:spacing w:line="360" w:lineRule="auto"/>
        <w:ind w:firstLine="1440"/>
        <w:rPr>
          <w:sz w:val="26"/>
          <w:szCs w:val="26"/>
        </w:rPr>
      </w:pPr>
    </w:p>
    <w:p w:rsidR="00472472" w:rsidRDefault="00351208" w:rsidP="00844225">
      <w:pPr>
        <w:widowControl/>
        <w:tabs>
          <w:tab w:val="left" w:pos="1445"/>
        </w:tabs>
        <w:autoSpaceDE w:val="0"/>
        <w:autoSpaceDN w:val="0"/>
        <w:adjustRightInd w:val="0"/>
        <w:spacing w:line="360" w:lineRule="auto"/>
        <w:ind w:firstLine="1440"/>
        <w:rPr>
          <w:sz w:val="26"/>
          <w:szCs w:val="26"/>
        </w:rPr>
      </w:pPr>
      <w:r>
        <w:rPr>
          <w:sz w:val="26"/>
          <w:szCs w:val="26"/>
        </w:rPr>
        <w:t>An evidentiary hearing was held on June 4, 2018, at which time the Joint Petitioners</w:t>
      </w:r>
      <w:r w:rsidR="001A5BA1">
        <w:rPr>
          <w:sz w:val="26"/>
          <w:szCs w:val="26"/>
        </w:rPr>
        <w:t>’</w:t>
      </w:r>
      <w:r>
        <w:rPr>
          <w:sz w:val="26"/>
          <w:szCs w:val="26"/>
        </w:rPr>
        <w:t xml:space="preserve"> pre-filed testimony</w:t>
      </w:r>
      <w:r w:rsidR="00A55537">
        <w:rPr>
          <w:sz w:val="26"/>
          <w:szCs w:val="26"/>
        </w:rPr>
        <w:t xml:space="preserve">, </w:t>
      </w:r>
      <w:r>
        <w:rPr>
          <w:sz w:val="26"/>
          <w:szCs w:val="26"/>
        </w:rPr>
        <w:t>exhibits were admitted into the record, and certain witnesses were cross-examined with respect to the issue reserved for litigation.</w:t>
      </w:r>
      <w:r w:rsidR="006D5D21">
        <w:rPr>
          <w:sz w:val="26"/>
          <w:szCs w:val="26"/>
        </w:rPr>
        <w:t xml:space="preserve">  During cross-examination of Company witness Lynda W. Petrichevich, PIOGA made an On the Record Data Request, and on June 14, 2018, the Company filed its response.</w:t>
      </w:r>
    </w:p>
    <w:p w:rsidR="006D5D21" w:rsidRDefault="006D5D21" w:rsidP="00844225">
      <w:pPr>
        <w:widowControl/>
        <w:tabs>
          <w:tab w:val="left" w:pos="1445"/>
        </w:tabs>
        <w:autoSpaceDE w:val="0"/>
        <w:autoSpaceDN w:val="0"/>
        <w:adjustRightInd w:val="0"/>
        <w:spacing w:line="360" w:lineRule="auto"/>
        <w:ind w:firstLine="1440"/>
        <w:rPr>
          <w:sz w:val="26"/>
          <w:szCs w:val="26"/>
        </w:rPr>
      </w:pPr>
    </w:p>
    <w:p w:rsidR="00FD02B0" w:rsidRDefault="006D5D21" w:rsidP="00844225">
      <w:pPr>
        <w:widowControl/>
        <w:tabs>
          <w:tab w:val="left" w:pos="1445"/>
        </w:tabs>
        <w:autoSpaceDE w:val="0"/>
        <w:autoSpaceDN w:val="0"/>
        <w:adjustRightInd w:val="0"/>
        <w:spacing w:line="360" w:lineRule="auto"/>
        <w:ind w:firstLine="1440"/>
        <w:rPr>
          <w:sz w:val="26"/>
          <w:szCs w:val="26"/>
        </w:rPr>
      </w:pPr>
      <w:r>
        <w:rPr>
          <w:sz w:val="26"/>
          <w:szCs w:val="26"/>
        </w:rPr>
        <w:t>On</w:t>
      </w:r>
      <w:r w:rsidR="00FD02B0">
        <w:rPr>
          <w:sz w:val="26"/>
          <w:szCs w:val="26"/>
        </w:rPr>
        <w:t xml:space="preserve"> June 19, 2018, Main Briefs were filed by Peoples Gas, the OCA, and the OSBA.  PIOGA filed its Main Brief on June 20, 2018.  Also, on June 20, 2018, </w:t>
      </w:r>
      <w:r w:rsidR="00FD02B0">
        <w:rPr>
          <w:sz w:val="26"/>
          <w:szCs w:val="26"/>
        </w:rPr>
        <w:lastRenderedPageBreak/>
        <w:t>PIOGA</w:t>
      </w:r>
      <w:r w:rsidR="001A5BA1">
        <w:rPr>
          <w:sz w:val="26"/>
          <w:szCs w:val="26"/>
        </w:rPr>
        <w:t>’</w:t>
      </w:r>
      <w:r w:rsidR="00FD02B0">
        <w:rPr>
          <w:sz w:val="26"/>
          <w:szCs w:val="26"/>
        </w:rPr>
        <w:t>s late filed cross-examination Exhibit No. 4, which consisted of the Company</w:t>
      </w:r>
      <w:r w:rsidR="001A5BA1">
        <w:rPr>
          <w:sz w:val="26"/>
          <w:szCs w:val="26"/>
        </w:rPr>
        <w:t>’</w:t>
      </w:r>
      <w:r w:rsidR="00FD02B0">
        <w:rPr>
          <w:sz w:val="26"/>
          <w:szCs w:val="26"/>
        </w:rPr>
        <w:t>s answer to PIOGA</w:t>
      </w:r>
      <w:r w:rsidR="001A5BA1">
        <w:rPr>
          <w:sz w:val="26"/>
          <w:szCs w:val="26"/>
        </w:rPr>
        <w:t>’</w:t>
      </w:r>
      <w:r w:rsidR="00FD02B0">
        <w:rPr>
          <w:sz w:val="26"/>
          <w:szCs w:val="26"/>
        </w:rPr>
        <w:t>s On the Record Data Request, was admitted by interim order.</w:t>
      </w:r>
    </w:p>
    <w:p w:rsidR="00351208" w:rsidRDefault="00351208" w:rsidP="00844225">
      <w:pPr>
        <w:widowControl/>
        <w:tabs>
          <w:tab w:val="left" w:pos="1445"/>
        </w:tabs>
        <w:autoSpaceDE w:val="0"/>
        <w:autoSpaceDN w:val="0"/>
        <w:adjustRightInd w:val="0"/>
        <w:spacing w:line="360" w:lineRule="auto"/>
        <w:ind w:firstLine="1440"/>
        <w:rPr>
          <w:sz w:val="26"/>
          <w:szCs w:val="26"/>
        </w:rPr>
      </w:pPr>
    </w:p>
    <w:p w:rsidR="00FD02B0" w:rsidRDefault="00681984" w:rsidP="00844225">
      <w:pPr>
        <w:widowControl/>
        <w:tabs>
          <w:tab w:val="left" w:pos="1445"/>
        </w:tabs>
        <w:autoSpaceDE w:val="0"/>
        <w:autoSpaceDN w:val="0"/>
        <w:adjustRightInd w:val="0"/>
        <w:spacing w:line="360" w:lineRule="auto"/>
        <w:ind w:firstLine="1440"/>
        <w:rPr>
          <w:sz w:val="26"/>
          <w:szCs w:val="26"/>
        </w:rPr>
      </w:pPr>
      <w:r>
        <w:rPr>
          <w:sz w:val="26"/>
          <w:szCs w:val="26"/>
        </w:rPr>
        <w:t>On June 22, 2018, the Joint Petition was filed by the Joint Petitioners.  The Joint Petitioners</w:t>
      </w:r>
      <w:r w:rsidR="001A5BA1">
        <w:rPr>
          <w:sz w:val="26"/>
          <w:szCs w:val="26"/>
        </w:rPr>
        <w:t>’</w:t>
      </w:r>
      <w:r>
        <w:rPr>
          <w:sz w:val="26"/>
          <w:szCs w:val="26"/>
        </w:rPr>
        <w:t xml:space="preserve"> Statements in Support of the Partial Settlement were attached to the Joint Petition as appendices.  The non-signatory parties, PIOGA and Direct Energy, did not oppose the Joint Petition.</w:t>
      </w:r>
    </w:p>
    <w:p w:rsidR="00FD02B0" w:rsidRDefault="00FD02B0" w:rsidP="00844225">
      <w:pPr>
        <w:widowControl/>
        <w:tabs>
          <w:tab w:val="left" w:pos="1445"/>
        </w:tabs>
        <w:autoSpaceDE w:val="0"/>
        <w:autoSpaceDN w:val="0"/>
        <w:adjustRightInd w:val="0"/>
        <w:spacing w:line="360" w:lineRule="auto"/>
        <w:rPr>
          <w:sz w:val="26"/>
          <w:szCs w:val="26"/>
        </w:rPr>
      </w:pPr>
    </w:p>
    <w:p w:rsidR="00351208" w:rsidRDefault="006D5D21" w:rsidP="00844225">
      <w:pPr>
        <w:widowControl/>
        <w:tabs>
          <w:tab w:val="left" w:pos="1445"/>
        </w:tabs>
        <w:autoSpaceDE w:val="0"/>
        <w:autoSpaceDN w:val="0"/>
        <w:adjustRightInd w:val="0"/>
        <w:spacing w:line="360" w:lineRule="auto"/>
        <w:ind w:firstLine="1440"/>
        <w:rPr>
          <w:sz w:val="26"/>
          <w:szCs w:val="26"/>
        </w:rPr>
      </w:pPr>
      <w:r>
        <w:rPr>
          <w:sz w:val="26"/>
          <w:szCs w:val="26"/>
        </w:rPr>
        <w:t xml:space="preserve">On </w:t>
      </w:r>
      <w:r w:rsidR="00FD02B0">
        <w:rPr>
          <w:sz w:val="26"/>
          <w:szCs w:val="26"/>
        </w:rPr>
        <w:t xml:space="preserve">June 26, 2018 Peoples Gas filed its Reply Brief, and PIOGA filed its Reply Brief on June 27, 2018.  </w:t>
      </w:r>
    </w:p>
    <w:p w:rsidR="00472472" w:rsidRDefault="00472472" w:rsidP="00844225">
      <w:pPr>
        <w:widowControl/>
        <w:tabs>
          <w:tab w:val="left" w:pos="1445"/>
        </w:tabs>
        <w:autoSpaceDE w:val="0"/>
        <w:autoSpaceDN w:val="0"/>
        <w:adjustRightInd w:val="0"/>
        <w:spacing w:line="360" w:lineRule="auto"/>
        <w:ind w:firstLine="1440"/>
        <w:rPr>
          <w:sz w:val="26"/>
          <w:szCs w:val="26"/>
        </w:rPr>
      </w:pPr>
    </w:p>
    <w:p w:rsidR="00C57E30" w:rsidRDefault="00C57E30" w:rsidP="00844225">
      <w:pPr>
        <w:widowControl/>
        <w:tabs>
          <w:tab w:val="left" w:pos="1445"/>
        </w:tabs>
        <w:autoSpaceDE w:val="0"/>
        <w:autoSpaceDN w:val="0"/>
        <w:adjustRightInd w:val="0"/>
        <w:spacing w:line="360" w:lineRule="auto"/>
        <w:ind w:firstLine="1440"/>
        <w:rPr>
          <w:sz w:val="26"/>
          <w:szCs w:val="26"/>
        </w:rPr>
      </w:pPr>
      <w:r>
        <w:rPr>
          <w:sz w:val="26"/>
          <w:szCs w:val="26"/>
        </w:rPr>
        <w:t xml:space="preserve">On July 12, 2018, the ALJ issued an order, admitting the Joint Petition into the record </w:t>
      </w:r>
      <w:r w:rsidR="00745E7F">
        <w:rPr>
          <w:sz w:val="26"/>
          <w:szCs w:val="26"/>
        </w:rPr>
        <w:t>along with the attached appendices, and closing the record.  In a Recommended Decision issued on July 25, 2018, ALJ Watson recommended approval of the Joint Petition, without modification, and People Gas</w:t>
      </w:r>
      <w:r w:rsidR="001A5BA1">
        <w:rPr>
          <w:sz w:val="26"/>
          <w:szCs w:val="26"/>
        </w:rPr>
        <w:t>’</w:t>
      </w:r>
      <w:r w:rsidR="00745E7F">
        <w:rPr>
          <w:sz w:val="26"/>
          <w:szCs w:val="26"/>
        </w:rPr>
        <w:t xml:space="preserve"> request to apply additional retainage charges to producers to recover gathering system unaccounted for gas.  R.D. at</w:t>
      </w:r>
      <w:r w:rsidR="002D7974">
        <w:rPr>
          <w:sz w:val="26"/>
          <w:szCs w:val="26"/>
        </w:rPr>
        <w:t> </w:t>
      </w:r>
      <w:r w:rsidR="00745E7F">
        <w:rPr>
          <w:sz w:val="26"/>
          <w:szCs w:val="26"/>
        </w:rPr>
        <w:t>5, 39 and 78.</w:t>
      </w:r>
    </w:p>
    <w:p w:rsidR="00472472" w:rsidRDefault="00472472" w:rsidP="00844225">
      <w:pPr>
        <w:widowControl/>
        <w:tabs>
          <w:tab w:val="left" w:pos="1445"/>
        </w:tabs>
        <w:autoSpaceDE w:val="0"/>
        <w:autoSpaceDN w:val="0"/>
        <w:adjustRightInd w:val="0"/>
        <w:spacing w:line="360" w:lineRule="auto"/>
        <w:ind w:firstLine="1440"/>
        <w:rPr>
          <w:sz w:val="26"/>
          <w:szCs w:val="26"/>
        </w:rPr>
      </w:pPr>
    </w:p>
    <w:p w:rsidR="00472472" w:rsidRDefault="00BE578C" w:rsidP="00844225">
      <w:pPr>
        <w:widowControl/>
        <w:tabs>
          <w:tab w:val="left" w:pos="1445"/>
        </w:tabs>
        <w:autoSpaceDE w:val="0"/>
        <w:autoSpaceDN w:val="0"/>
        <w:adjustRightInd w:val="0"/>
        <w:spacing w:line="360" w:lineRule="auto"/>
        <w:ind w:firstLine="1440"/>
        <w:rPr>
          <w:sz w:val="26"/>
          <w:szCs w:val="26"/>
        </w:rPr>
      </w:pPr>
      <w:r>
        <w:rPr>
          <w:sz w:val="26"/>
          <w:szCs w:val="26"/>
        </w:rPr>
        <w:t>As noted, Exceptions were filed by PIOGA on August 3, 2018.  Replies to Exceptions were filed by Peoples Gas, the OCA and the OSBA on August 8, 2018.</w:t>
      </w:r>
    </w:p>
    <w:p w:rsidR="00353DC0" w:rsidRPr="00353DC0" w:rsidRDefault="00353DC0" w:rsidP="00844225">
      <w:pPr>
        <w:widowControl/>
        <w:spacing w:line="360" w:lineRule="auto"/>
        <w:rPr>
          <w:sz w:val="26"/>
          <w:szCs w:val="26"/>
        </w:rPr>
      </w:pPr>
    </w:p>
    <w:p w:rsidR="00353DC0" w:rsidRPr="003D07BC" w:rsidRDefault="00353DC0" w:rsidP="002D7974">
      <w:pPr>
        <w:pStyle w:val="Heading1"/>
        <w:keepLines/>
        <w:numPr>
          <w:ilvl w:val="0"/>
          <w:numId w:val="12"/>
        </w:numPr>
        <w:ind w:left="720"/>
      </w:pPr>
      <w:bookmarkStart w:id="7" w:name="_Toc524347671"/>
      <w:r>
        <w:t>Introduction</w:t>
      </w:r>
      <w:bookmarkEnd w:id="7"/>
    </w:p>
    <w:p w:rsidR="00353DC0" w:rsidRDefault="00353DC0" w:rsidP="002D7974">
      <w:pPr>
        <w:keepNext/>
        <w:keepLines/>
        <w:widowControl/>
        <w:tabs>
          <w:tab w:val="left" w:pos="1445"/>
        </w:tabs>
        <w:autoSpaceDE w:val="0"/>
        <w:autoSpaceDN w:val="0"/>
        <w:adjustRightInd w:val="0"/>
        <w:spacing w:line="360" w:lineRule="auto"/>
        <w:ind w:firstLine="1440"/>
        <w:rPr>
          <w:sz w:val="26"/>
          <w:szCs w:val="26"/>
        </w:rPr>
      </w:pPr>
    </w:p>
    <w:p w:rsidR="00472472" w:rsidRDefault="00353DC0" w:rsidP="00844225">
      <w:pPr>
        <w:widowControl/>
        <w:tabs>
          <w:tab w:val="left" w:pos="1445"/>
        </w:tabs>
        <w:autoSpaceDE w:val="0"/>
        <w:autoSpaceDN w:val="0"/>
        <w:adjustRightInd w:val="0"/>
        <w:spacing w:line="360" w:lineRule="auto"/>
        <w:ind w:firstLine="1440"/>
        <w:rPr>
          <w:sz w:val="26"/>
          <w:szCs w:val="26"/>
        </w:rPr>
      </w:pPr>
      <w:r w:rsidRPr="00353DC0">
        <w:rPr>
          <w:sz w:val="26"/>
          <w:szCs w:val="26"/>
        </w:rPr>
        <w:t xml:space="preserve">As a preliminary matter, we note that any issue that we do not specifically delineate shall be deemed to have been duly considered and denied without further discussion.  The Commission is not required to consider expressly or at length each contention or argument raised by the parties.  </w:t>
      </w:r>
      <w:r w:rsidRPr="00453B72">
        <w:rPr>
          <w:i/>
          <w:sz w:val="26"/>
          <w:szCs w:val="26"/>
        </w:rPr>
        <w:t>Consolidated Rail Corp. v. Pa. PUC</w:t>
      </w:r>
      <w:r w:rsidRPr="00353DC0">
        <w:rPr>
          <w:sz w:val="26"/>
          <w:szCs w:val="26"/>
        </w:rPr>
        <w:t xml:space="preserve">, 625 A.2d 741 (Pa. Cmwlth. 1993); </w:t>
      </w:r>
      <w:r w:rsidRPr="00453B72">
        <w:rPr>
          <w:i/>
          <w:sz w:val="26"/>
          <w:szCs w:val="26"/>
        </w:rPr>
        <w:t>also see, generally, University of Pennsylvania v. Pa. PUC</w:t>
      </w:r>
      <w:r w:rsidRPr="00353DC0">
        <w:rPr>
          <w:sz w:val="26"/>
          <w:szCs w:val="26"/>
        </w:rPr>
        <w:t>, 485 A.2d 1217 (Pa. Cmwlth. 1984).</w:t>
      </w:r>
    </w:p>
    <w:p w:rsidR="00353DC0" w:rsidRDefault="00353DC0" w:rsidP="00844225">
      <w:pPr>
        <w:widowControl/>
        <w:tabs>
          <w:tab w:val="left" w:pos="1445"/>
        </w:tabs>
        <w:autoSpaceDE w:val="0"/>
        <w:autoSpaceDN w:val="0"/>
        <w:adjustRightInd w:val="0"/>
        <w:spacing w:line="360" w:lineRule="auto"/>
        <w:ind w:firstLine="1440"/>
        <w:rPr>
          <w:sz w:val="26"/>
          <w:szCs w:val="26"/>
        </w:rPr>
      </w:pPr>
    </w:p>
    <w:p w:rsidR="00353DC0" w:rsidRPr="00353DC0" w:rsidRDefault="00353DC0" w:rsidP="00844225">
      <w:pPr>
        <w:widowControl/>
        <w:spacing w:line="360" w:lineRule="auto"/>
        <w:ind w:firstLine="1440"/>
        <w:rPr>
          <w:rFonts w:eastAsia="Calibri"/>
          <w:sz w:val="26"/>
          <w:szCs w:val="24"/>
        </w:rPr>
      </w:pPr>
      <w:r w:rsidRPr="00353DC0">
        <w:rPr>
          <w:rFonts w:eastAsia="Calibri"/>
          <w:sz w:val="26"/>
          <w:szCs w:val="24"/>
        </w:rPr>
        <w:t>In his Recommend</w:t>
      </w:r>
      <w:r>
        <w:rPr>
          <w:rFonts w:eastAsia="Calibri"/>
          <w:sz w:val="26"/>
          <w:szCs w:val="24"/>
        </w:rPr>
        <w:t>ed Decision, the ALJ made seventy</w:t>
      </w:r>
      <w:r w:rsidRPr="00353DC0">
        <w:rPr>
          <w:rFonts w:eastAsia="Calibri"/>
          <w:sz w:val="26"/>
          <w:szCs w:val="24"/>
        </w:rPr>
        <w:t xml:space="preserve"> Findings o</w:t>
      </w:r>
      <w:r>
        <w:rPr>
          <w:rFonts w:eastAsia="Calibri"/>
          <w:sz w:val="26"/>
          <w:szCs w:val="24"/>
        </w:rPr>
        <w:t>f Fact and reached twenty-eight</w:t>
      </w:r>
      <w:r w:rsidRPr="00353DC0">
        <w:rPr>
          <w:rFonts w:eastAsia="Calibri"/>
          <w:sz w:val="26"/>
          <w:szCs w:val="24"/>
        </w:rPr>
        <w:t xml:space="preserve"> Conclus</w:t>
      </w:r>
      <w:r>
        <w:rPr>
          <w:rFonts w:eastAsia="Calibri"/>
          <w:sz w:val="26"/>
          <w:szCs w:val="24"/>
        </w:rPr>
        <w:t>ions of Law.  R.D. at 5-17, 78-83</w:t>
      </w:r>
      <w:r w:rsidRPr="00353DC0">
        <w:rPr>
          <w:rFonts w:eastAsia="Calibri"/>
          <w:sz w:val="26"/>
          <w:szCs w:val="24"/>
        </w:rPr>
        <w:t xml:space="preserve">.  The Findings of Fact and Conclusions of Law are incorporated herein by reference and are adopted without comment unless they are either expressly or by necessary implication rejected or modified by the Opinion and Order.  </w:t>
      </w:r>
    </w:p>
    <w:p w:rsidR="00353DC0" w:rsidRDefault="00353DC0" w:rsidP="00844225">
      <w:pPr>
        <w:widowControl/>
        <w:tabs>
          <w:tab w:val="left" w:pos="1445"/>
        </w:tabs>
        <w:autoSpaceDE w:val="0"/>
        <w:autoSpaceDN w:val="0"/>
        <w:adjustRightInd w:val="0"/>
        <w:spacing w:line="360" w:lineRule="auto"/>
        <w:ind w:firstLine="1440"/>
        <w:rPr>
          <w:sz w:val="26"/>
          <w:szCs w:val="26"/>
        </w:rPr>
      </w:pPr>
    </w:p>
    <w:p w:rsidR="00372C94" w:rsidRPr="00F3762D" w:rsidRDefault="00856918" w:rsidP="00423124">
      <w:pPr>
        <w:pStyle w:val="Heading2"/>
        <w:numPr>
          <w:ilvl w:val="0"/>
          <w:numId w:val="0"/>
        </w:numPr>
        <w:ind w:left="720" w:hanging="720"/>
        <w:rPr>
          <w:szCs w:val="26"/>
        </w:rPr>
      </w:pPr>
      <w:bookmarkStart w:id="8" w:name="_Toc524347672"/>
      <w:r>
        <w:rPr>
          <w:szCs w:val="26"/>
        </w:rPr>
        <w:t>A.</w:t>
      </w:r>
      <w:r>
        <w:rPr>
          <w:szCs w:val="26"/>
        </w:rPr>
        <w:tab/>
      </w:r>
      <w:r w:rsidR="00F3762D" w:rsidRPr="00F3762D">
        <w:rPr>
          <w:szCs w:val="26"/>
        </w:rPr>
        <w:t>Legal Standards</w:t>
      </w:r>
      <w:bookmarkEnd w:id="8"/>
    </w:p>
    <w:p w:rsidR="00F3762D" w:rsidRPr="00F3762D" w:rsidRDefault="00F3762D" w:rsidP="00423124">
      <w:pPr>
        <w:keepNext/>
        <w:keepLines/>
        <w:widowControl/>
        <w:spacing w:line="360" w:lineRule="auto"/>
        <w:rPr>
          <w:sz w:val="26"/>
          <w:szCs w:val="26"/>
        </w:rPr>
      </w:pPr>
    </w:p>
    <w:p w:rsidR="00353DC0" w:rsidRPr="00F3762D" w:rsidRDefault="00F3762D" w:rsidP="00423124">
      <w:pPr>
        <w:pStyle w:val="Heading3"/>
        <w:keepNext/>
        <w:keepLines/>
      </w:pPr>
      <w:bookmarkStart w:id="9" w:name="_Toc524347673"/>
      <w:r w:rsidRPr="00F3762D">
        <w:t>Burden of Proof</w:t>
      </w:r>
      <w:bookmarkEnd w:id="9"/>
    </w:p>
    <w:p w:rsidR="00F3762D" w:rsidRPr="00F3762D" w:rsidRDefault="00F3762D" w:rsidP="00423124">
      <w:pPr>
        <w:keepNext/>
        <w:keepLines/>
        <w:widowControl/>
        <w:tabs>
          <w:tab w:val="left" w:pos="1445"/>
        </w:tabs>
        <w:autoSpaceDE w:val="0"/>
        <w:autoSpaceDN w:val="0"/>
        <w:adjustRightInd w:val="0"/>
        <w:spacing w:line="360" w:lineRule="auto"/>
        <w:ind w:left="720"/>
        <w:rPr>
          <w:b/>
          <w:sz w:val="26"/>
          <w:szCs w:val="26"/>
        </w:rPr>
      </w:pPr>
    </w:p>
    <w:p w:rsidR="00A42345" w:rsidRPr="00B42C5B" w:rsidRDefault="00A42345" w:rsidP="00844225">
      <w:pPr>
        <w:widowControl/>
        <w:spacing w:line="360" w:lineRule="auto"/>
        <w:rPr>
          <w:sz w:val="26"/>
          <w:szCs w:val="26"/>
        </w:rPr>
      </w:pPr>
      <w:r>
        <w:rPr>
          <w:sz w:val="26"/>
          <w:szCs w:val="26"/>
        </w:rPr>
        <w:tab/>
      </w:r>
      <w:r>
        <w:rPr>
          <w:sz w:val="26"/>
          <w:szCs w:val="26"/>
        </w:rPr>
        <w:tab/>
      </w:r>
      <w:r w:rsidRPr="00B42C5B">
        <w:rPr>
          <w:sz w:val="26"/>
          <w:szCs w:val="26"/>
        </w:rPr>
        <w:t xml:space="preserve">Section </w:t>
      </w:r>
      <w:r w:rsidRPr="00B42C5B">
        <w:rPr>
          <w:bCs/>
          <w:sz w:val="26"/>
          <w:szCs w:val="26"/>
        </w:rPr>
        <w:t>315</w:t>
      </w:r>
      <w:r w:rsidRPr="00B42C5B">
        <w:rPr>
          <w:sz w:val="26"/>
          <w:szCs w:val="26"/>
        </w:rPr>
        <w:t>(a) of the Code provides:</w:t>
      </w:r>
    </w:p>
    <w:p w:rsidR="00A42345" w:rsidRDefault="00A42345" w:rsidP="00844225">
      <w:pPr>
        <w:widowControl/>
        <w:spacing w:line="360" w:lineRule="auto"/>
        <w:rPr>
          <w:sz w:val="26"/>
          <w:szCs w:val="26"/>
        </w:rPr>
      </w:pPr>
    </w:p>
    <w:p w:rsidR="00A42345" w:rsidRPr="00B42C5B" w:rsidRDefault="00A42345" w:rsidP="00844225">
      <w:pPr>
        <w:widowControl/>
        <w:ind w:left="1440" w:right="1440"/>
        <w:rPr>
          <w:sz w:val="26"/>
          <w:szCs w:val="26"/>
        </w:rPr>
      </w:pPr>
      <w:r w:rsidRPr="00B42C5B">
        <w:rPr>
          <w:sz w:val="26"/>
          <w:szCs w:val="26"/>
        </w:rPr>
        <w:t>(a) Reasonableness of Rates. - In any proceeding upon the motion of the commission, involving any proposed or existing rate of any public utility, or in any proceedings upon complaint involving any proposed increase in rates, the burden of proof to show that the rate involved is just and reasonable shall be upon the public utility.</w:t>
      </w:r>
    </w:p>
    <w:p w:rsidR="00A42345" w:rsidRDefault="00A42345" w:rsidP="00844225">
      <w:pPr>
        <w:widowControl/>
        <w:spacing w:line="360" w:lineRule="auto"/>
        <w:rPr>
          <w:sz w:val="26"/>
          <w:szCs w:val="26"/>
        </w:rPr>
      </w:pPr>
    </w:p>
    <w:p w:rsidR="00A42345" w:rsidRDefault="00332FCA" w:rsidP="00844225">
      <w:pPr>
        <w:widowControl/>
        <w:spacing w:line="360" w:lineRule="auto"/>
        <w:rPr>
          <w:sz w:val="26"/>
          <w:szCs w:val="26"/>
        </w:rPr>
      </w:pPr>
      <w:hyperlink r:id="rId9" w:history="1">
        <w:r w:rsidR="00A42345" w:rsidRPr="00B42C5B">
          <w:rPr>
            <w:sz w:val="26"/>
            <w:szCs w:val="26"/>
          </w:rPr>
          <w:t xml:space="preserve">66 Pa. C.S. § </w:t>
        </w:r>
        <w:r w:rsidR="00A42345" w:rsidRPr="00453B72">
          <w:rPr>
            <w:bCs/>
            <w:sz w:val="26"/>
            <w:szCs w:val="26"/>
          </w:rPr>
          <w:t>315</w:t>
        </w:r>
        <w:r w:rsidR="00A42345" w:rsidRPr="00B42C5B">
          <w:rPr>
            <w:sz w:val="26"/>
            <w:szCs w:val="26"/>
          </w:rPr>
          <w:t>(a)</w:t>
        </w:r>
      </w:hyperlink>
      <w:r w:rsidR="00A42345">
        <w:rPr>
          <w:sz w:val="26"/>
          <w:szCs w:val="26"/>
        </w:rPr>
        <w:t xml:space="preserve">.  A public utility has the burden of proof to show that a proposed rate is </w:t>
      </w:r>
      <w:r w:rsidR="001A5BA1">
        <w:rPr>
          <w:sz w:val="26"/>
          <w:szCs w:val="26"/>
        </w:rPr>
        <w:t>“</w:t>
      </w:r>
      <w:r w:rsidR="00A42345">
        <w:rPr>
          <w:sz w:val="26"/>
          <w:szCs w:val="26"/>
        </w:rPr>
        <w:t>just and reasonable</w:t>
      </w:r>
      <w:r w:rsidR="001A5BA1">
        <w:rPr>
          <w:sz w:val="26"/>
          <w:szCs w:val="26"/>
        </w:rPr>
        <w:t>”</w:t>
      </w:r>
      <w:r w:rsidR="00A42345">
        <w:rPr>
          <w:sz w:val="26"/>
          <w:szCs w:val="26"/>
        </w:rPr>
        <w:t xml:space="preserve"> and the </w:t>
      </w:r>
      <w:r w:rsidR="00A42345" w:rsidRPr="00B42C5B">
        <w:rPr>
          <w:sz w:val="26"/>
          <w:szCs w:val="26"/>
        </w:rPr>
        <w:t>evidence produced by a utility in meeting its burden must be substantial</w:t>
      </w:r>
      <w:r w:rsidR="00A42345">
        <w:rPr>
          <w:sz w:val="26"/>
          <w:szCs w:val="26"/>
        </w:rPr>
        <w:t xml:space="preserve">.  </w:t>
      </w:r>
      <w:hyperlink r:id="rId10" w:history="1">
        <w:r w:rsidR="00A42345" w:rsidRPr="00B42C5B">
          <w:rPr>
            <w:i/>
            <w:iCs/>
            <w:sz w:val="26"/>
            <w:szCs w:val="26"/>
          </w:rPr>
          <w:t>Lower Frederick Twp. Water Co. v. Pa. PUC,</w:t>
        </w:r>
        <w:r w:rsidR="00A42345" w:rsidRPr="00B42C5B">
          <w:rPr>
            <w:sz w:val="26"/>
            <w:szCs w:val="26"/>
          </w:rPr>
          <w:t xml:space="preserve"> 409 A.2d 505 (Pa. Cmwlth. 1980)</w:t>
        </w:r>
      </w:hyperlink>
      <w:r w:rsidR="00DE45A5">
        <w:rPr>
          <w:sz w:val="26"/>
          <w:szCs w:val="26"/>
        </w:rPr>
        <w:t>,</w:t>
      </w:r>
      <w:r w:rsidR="00A42345" w:rsidRPr="00B42C5B">
        <w:rPr>
          <w:sz w:val="26"/>
          <w:szCs w:val="26"/>
        </w:rPr>
        <w:t xml:space="preserve"> and </w:t>
      </w:r>
      <w:hyperlink r:id="rId11" w:history="1">
        <w:r w:rsidR="00A42345" w:rsidRPr="00B42C5B">
          <w:rPr>
            <w:i/>
            <w:iCs/>
            <w:sz w:val="26"/>
            <w:szCs w:val="26"/>
          </w:rPr>
          <w:t>Brockway Glass v. Pa. PUC,</w:t>
        </w:r>
        <w:r w:rsidR="00A42345" w:rsidRPr="00B42C5B">
          <w:rPr>
            <w:sz w:val="26"/>
            <w:szCs w:val="26"/>
          </w:rPr>
          <w:t xml:space="preserve"> 437 A.2d 1067 (Pa. Cmwlth. 1981)</w:t>
        </w:r>
      </w:hyperlink>
      <w:r w:rsidR="00A42345" w:rsidRPr="00B42C5B">
        <w:rPr>
          <w:sz w:val="26"/>
          <w:szCs w:val="26"/>
        </w:rPr>
        <w:t xml:space="preserve">. </w:t>
      </w:r>
    </w:p>
    <w:p w:rsidR="00453B72" w:rsidRPr="00B42C5B" w:rsidRDefault="00453B72" w:rsidP="00844225">
      <w:pPr>
        <w:widowControl/>
        <w:spacing w:line="360" w:lineRule="auto"/>
        <w:rPr>
          <w:sz w:val="26"/>
          <w:szCs w:val="26"/>
        </w:rPr>
      </w:pPr>
    </w:p>
    <w:p w:rsidR="00372C94" w:rsidRPr="00372C94" w:rsidRDefault="00372C94" w:rsidP="00844225">
      <w:pPr>
        <w:keepNext/>
        <w:widowControl/>
        <w:spacing w:line="360" w:lineRule="auto"/>
        <w:ind w:firstLine="1440"/>
        <w:rPr>
          <w:rFonts w:eastAsia="Calibri"/>
          <w:iCs/>
          <w:sz w:val="26"/>
          <w:szCs w:val="24"/>
        </w:rPr>
      </w:pPr>
      <w:r w:rsidRPr="00372C94">
        <w:rPr>
          <w:rFonts w:eastAsia="Calibri"/>
          <w:iCs/>
          <w:sz w:val="26"/>
          <w:szCs w:val="24"/>
        </w:rPr>
        <w:t xml:space="preserve">In this instance, </w:t>
      </w:r>
      <w:r>
        <w:rPr>
          <w:color w:val="000000"/>
          <w:sz w:val="26"/>
          <w:szCs w:val="26"/>
        </w:rPr>
        <w:t>the Peoples Gas</w:t>
      </w:r>
      <w:r w:rsidRPr="00372C94">
        <w:rPr>
          <w:color w:val="000000"/>
          <w:sz w:val="26"/>
          <w:szCs w:val="26"/>
        </w:rPr>
        <w:t xml:space="preserve"> has the burden of proof in this proceeding to establish that it is entitled to the relief it is</w:t>
      </w:r>
      <w:r>
        <w:rPr>
          <w:color w:val="000000"/>
          <w:sz w:val="26"/>
          <w:szCs w:val="26"/>
        </w:rPr>
        <w:t xml:space="preserve"> seeking with regard to the rates and modifications included in its filing.</w:t>
      </w:r>
    </w:p>
    <w:p w:rsidR="00372C94" w:rsidRPr="00372C94" w:rsidRDefault="00372C94" w:rsidP="00844225">
      <w:pPr>
        <w:widowControl/>
        <w:spacing w:line="360" w:lineRule="auto"/>
        <w:ind w:firstLine="1440"/>
        <w:rPr>
          <w:rFonts w:eastAsia="Calibri"/>
          <w:iCs/>
          <w:sz w:val="26"/>
          <w:szCs w:val="24"/>
        </w:rPr>
      </w:pPr>
    </w:p>
    <w:p w:rsidR="002042D2" w:rsidRPr="002042D2" w:rsidRDefault="002042D2" w:rsidP="00423124">
      <w:pPr>
        <w:pStyle w:val="Heading3"/>
        <w:keepNext/>
        <w:keepLines/>
      </w:pPr>
      <w:bookmarkStart w:id="10" w:name="_Toc524347674"/>
      <w:r w:rsidRPr="002042D2">
        <w:lastRenderedPageBreak/>
        <w:t>Least Cost Fuel Procurement Policy</w:t>
      </w:r>
      <w:bookmarkEnd w:id="10"/>
    </w:p>
    <w:p w:rsidR="00353DC0" w:rsidRDefault="00353DC0" w:rsidP="00423124">
      <w:pPr>
        <w:keepNext/>
        <w:keepLines/>
        <w:widowControl/>
        <w:tabs>
          <w:tab w:val="left" w:pos="1445"/>
        </w:tabs>
        <w:autoSpaceDE w:val="0"/>
        <w:autoSpaceDN w:val="0"/>
        <w:adjustRightInd w:val="0"/>
        <w:spacing w:line="360" w:lineRule="auto"/>
        <w:rPr>
          <w:sz w:val="26"/>
          <w:szCs w:val="26"/>
        </w:rPr>
      </w:pPr>
    </w:p>
    <w:p w:rsidR="00023423" w:rsidRPr="00023423" w:rsidRDefault="00023423" w:rsidP="003439AF">
      <w:pPr>
        <w:widowControl/>
        <w:spacing w:line="360" w:lineRule="auto"/>
        <w:ind w:firstLine="1440"/>
        <w:rPr>
          <w:sz w:val="26"/>
          <w:szCs w:val="26"/>
        </w:rPr>
      </w:pPr>
      <w:r w:rsidRPr="00023423">
        <w:rPr>
          <w:sz w:val="26"/>
          <w:szCs w:val="26"/>
        </w:rPr>
        <w:t xml:space="preserve">As discussed, </w:t>
      </w:r>
      <w:r w:rsidRPr="00023423">
        <w:rPr>
          <w:i/>
          <w:sz w:val="26"/>
          <w:szCs w:val="26"/>
        </w:rPr>
        <w:t>supra</w:t>
      </w:r>
      <w:r w:rsidRPr="00023423">
        <w:rPr>
          <w:sz w:val="26"/>
          <w:szCs w:val="26"/>
        </w:rPr>
        <w:t xml:space="preserve">, Section 1307(f) of the Code governs recovery of natural gas costs and allows </w:t>
      </w:r>
      <w:r>
        <w:rPr>
          <w:sz w:val="26"/>
          <w:szCs w:val="26"/>
        </w:rPr>
        <w:t>NGDCs</w:t>
      </w:r>
      <w:r w:rsidRPr="00023423">
        <w:rPr>
          <w:sz w:val="26"/>
          <w:szCs w:val="26"/>
        </w:rPr>
        <w:t xml:space="preserve"> with gross intrastate annual operating revenues in excess of $40,000,000 to file tariffs reflecting actual and projected increases or decreases in their natural gas costs, with the tariffs be</w:t>
      </w:r>
      <w:r w:rsidR="00D8094C">
        <w:rPr>
          <w:sz w:val="26"/>
          <w:szCs w:val="26"/>
        </w:rPr>
        <w:t xml:space="preserve">coming </w:t>
      </w:r>
      <w:r w:rsidRPr="00023423">
        <w:rPr>
          <w:sz w:val="26"/>
          <w:szCs w:val="26"/>
        </w:rPr>
        <w:t>effective six months from the date of filing.  66 Pa. C.S. § 1307(f)(1).  Section 1307 further provides that the Commission, after a hearing, shall determine the portion of the Company</w:t>
      </w:r>
      <w:r w:rsidR="001A5BA1">
        <w:rPr>
          <w:sz w:val="26"/>
          <w:szCs w:val="26"/>
        </w:rPr>
        <w:t>’</w:t>
      </w:r>
      <w:r w:rsidRPr="00023423">
        <w:rPr>
          <w:sz w:val="26"/>
          <w:szCs w:val="26"/>
        </w:rPr>
        <w:t>s natural gas distribution costs in the previous twelve-month period that meet the standards set out in Section 1318 of the Code.  66 Pa. C.S. § 1307(f)(5).  Section 1318 provides that no rates for a natural gas distribution utility shall be deemed just and reasonable unless the Commission finds that the</w:t>
      </w:r>
      <w:r w:rsidRPr="00023423">
        <w:rPr>
          <w:sz w:val="24"/>
          <w:szCs w:val="24"/>
        </w:rPr>
        <w:t xml:space="preserve"> </w:t>
      </w:r>
      <w:r w:rsidRPr="00023423">
        <w:rPr>
          <w:sz w:val="26"/>
          <w:szCs w:val="26"/>
        </w:rPr>
        <w:t>utility is pursuing a least cost fuel procurement policy, consistent with the utility</w:t>
      </w:r>
      <w:r w:rsidR="001A5BA1">
        <w:rPr>
          <w:sz w:val="26"/>
          <w:szCs w:val="26"/>
        </w:rPr>
        <w:t>’</w:t>
      </w:r>
      <w:r w:rsidRPr="00023423">
        <w:rPr>
          <w:sz w:val="26"/>
          <w:szCs w:val="26"/>
        </w:rPr>
        <w:t>s obligation to provide safe, adequate and reliable service to its customers.  66 Pa. C.S. § 1308(a).</w:t>
      </w:r>
    </w:p>
    <w:p w:rsidR="00353DC0" w:rsidRDefault="00353DC0" w:rsidP="00844225">
      <w:pPr>
        <w:widowControl/>
        <w:tabs>
          <w:tab w:val="left" w:pos="1445"/>
        </w:tabs>
        <w:autoSpaceDE w:val="0"/>
        <w:autoSpaceDN w:val="0"/>
        <w:adjustRightInd w:val="0"/>
        <w:spacing w:line="360" w:lineRule="auto"/>
        <w:ind w:firstLine="1440"/>
        <w:rPr>
          <w:sz w:val="26"/>
          <w:szCs w:val="26"/>
        </w:rPr>
      </w:pPr>
    </w:p>
    <w:p w:rsidR="009D51D1" w:rsidRPr="009D51D1" w:rsidRDefault="009D51D1" w:rsidP="00844225">
      <w:pPr>
        <w:widowControl/>
        <w:spacing w:line="360" w:lineRule="auto"/>
        <w:ind w:firstLine="1440"/>
        <w:rPr>
          <w:sz w:val="26"/>
          <w:szCs w:val="24"/>
        </w:rPr>
      </w:pPr>
      <w:r>
        <w:rPr>
          <w:sz w:val="26"/>
          <w:szCs w:val="24"/>
        </w:rPr>
        <w:t>In determining whether Peoples Gas</w:t>
      </w:r>
      <w:r w:rsidRPr="009D51D1">
        <w:rPr>
          <w:sz w:val="26"/>
          <w:szCs w:val="24"/>
        </w:rPr>
        <w:t xml:space="preserve"> is pursuing a least cost fuel procurement policy under Section 1318 of the Code, specific findings must be made as follows:</w:t>
      </w:r>
    </w:p>
    <w:p w:rsidR="009D51D1" w:rsidRPr="009D51D1" w:rsidRDefault="009D51D1" w:rsidP="00844225">
      <w:pPr>
        <w:widowControl/>
        <w:autoSpaceDE w:val="0"/>
        <w:autoSpaceDN w:val="0"/>
        <w:rPr>
          <w:sz w:val="26"/>
          <w:szCs w:val="26"/>
        </w:rPr>
      </w:pPr>
    </w:p>
    <w:p w:rsidR="009D51D1" w:rsidRPr="009D51D1" w:rsidRDefault="009D51D1" w:rsidP="00844225">
      <w:pPr>
        <w:widowControl/>
        <w:autoSpaceDE w:val="0"/>
        <w:autoSpaceDN w:val="0"/>
        <w:ind w:left="1440" w:right="1440" w:firstLine="288"/>
        <w:rPr>
          <w:sz w:val="26"/>
          <w:szCs w:val="26"/>
        </w:rPr>
      </w:pPr>
      <w:r w:rsidRPr="009D51D1">
        <w:rPr>
          <w:sz w:val="26"/>
          <w:szCs w:val="26"/>
        </w:rPr>
        <w:t>(1)</w:t>
      </w:r>
      <w:r w:rsidRPr="009D51D1">
        <w:rPr>
          <w:sz w:val="26"/>
          <w:szCs w:val="26"/>
        </w:rPr>
        <w:tab/>
        <w:t>The utility has fully and vigorously represented its ratepayers</w:t>
      </w:r>
      <w:r w:rsidR="001A5BA1">
        <w:rPr>
          <w:sz w:val="26"/>
          <w:szCs w:val="26"/>
        </w:rPr>
        <w:t>’</w:t>
      </w:r>
      <w:r w:rsidRPr="009D51D1">
        <w:rPr>
          <w:sz w:val="26"/>
          <w:szCs w:val="26"/>
        </w:rPr>
        <w:t xml:space="preserve"> interests before the Federal Energy Regulatory Commission.</w:t>
      </w:r>
    </w:p>
    <w:p w:rsidR="009D51D1" w:rsidRPr="009D51D1" w:rsidRDefault="009D51D1" w:rsidP="00844225">
      <w:pPr>
        <w:widowControl/>
        <w:autoSpaceDE w:val="0"/>
        <w:autoSpaceDN w:val="0"/>
        <w:ind w:left="1440" w:right="1440"/>
        <w:rPr>
          <w:sz w:val="26"/>
          <w:szCs w:val="26"/>
        </w:rPr>
      </w:pPr>
    </w:p>
    <w:p w:rsidR="009D51D1" w:rsidRPr="009D51D1" w:rsidRDefault="009D51D1" w:rsidP="00844225">
      <w:pPr>
        <w:widowControl/>
        <w:autoSpaceDE w:val="0"/>
        <w:autoSpaceDN w:val="0"/>
        <w:ind w:left="1440" w:right="1440" w:firstLine="288"/>
        <w:rPr>
          <w:sz w:val="26"/>
          <w:szCs w:val="26"/>
        </w:rPr>
      </w:pPr>
      <w:r w:rsidRPr="009D51D1">
        <w:rPr>
          <w:sz w:val="26"/>
          <w:szCs w:val="26"/>
        </w:rPr>
        <w:t>(2)</w:t>
      </w:r>
      <w:r w:rsidRPr="009D51D1">
        <w:rPr>
          <w:sz w:val="26"/>
          <w:szCs w:val="26"/>
        </w:rPr>
        <w:tab/>
        <w:t>The utility has taken all prudent steps necessary to negotiate favorable gas supply contracts and to relieve the utility from terms in existing contracts with its gas suppliers which are or may be adverse to the interests of the utility</w:t>
      </w:r>
      <w:r w:rsidR="001A5BA1">
        <w:rPr>
          <w:sz w:val="26"/>
          <w:szCs w:val="26"/>
        </w:rPr>
        <w:t>’</w:t>
      </w:r>
      <w:r w:rsidRPr="009D51D1">
        <w:rPr>
          <w:sz w:val="26"/>
          <w:szCs w:val="26"/>
        </w:rPr>
        <w:t>s ratepayers.</w:t>
      </w:r>
    </w:p>
    <w:p w:rsidR="009D51D1" w:rsidRPr="009D51D1" w:rsidRDefault="009D51D1" w:rsidP="00844225">
      <w:pPr>
        <w:widowControl/>
        <w:autoSpaceDE w:val="0"/>
        <w:autoSpaceDN w:val="0"/>
        <w:ind w:left="1440" w:right="1440" w:firstLine="288"/>
        <w:rPr>
          <w:sz w:val="26"/>
          <w:szCs w:val="26"/>
        </w:rPr>
      </w:pPr>
    </w:p>
    <w:p w:rsidR="009D51D1" w:rsidRPr="009D51D1" w:rsidRDefault="009D51D1" w:rsidP="00844225">
      <w:pPr>
        <w:widowControl/>
        <w:autoSpaceDE w:val="0"/>
        <w:autoSpaceDN w:val="0"/>
        <w:ind w:left="1440" w:right="1440" w:firstLine="288"/>
        <w:rPr>
          <w:sz w:val="26"/>
          <w:szCs w:val="26"/>
        </w:rPr>
      </w:pPr>
      <w:r w:rsidRPr="009D51D1">
        <w:rPr>
          <w:sz w:val="26"/>
          <w:szCs w:val="26"/>
        </w:rPr>
        <w:t>(3)</w:t>
      </w:r>
      <w:r w:rsidRPr="009D51D1">
        <w:rPr>
          <w:sz w:val="26"/>
          <w:szCs w:val="26"/>
        </w:rPr>
        <w:tab/>
        <w:t>The utility has taken all prudent steps necessary to obtain lower cost gas supplies on both short-term and long-term bases both within and outside the Commonwealth, including the use of gas transportation arrangements with pipelines and other distribution companies.</w:t>
      </w:r>
    </w:p>
    <w:p w:rsidR="009D51D1" w:rsidRPr="009D51D1" w:rsidRDefault="009D51D1" w:rsidP="00844225">
      <w:pPr>
        <w:widowControl/>
        <w:autoSpaceDE w:val="0"/>
        <w:autoSpaceDN w:val="0"/>
        <w:ind w:left="1440" w:right="1440" w:firstLine="288"/>
        <w:rPr>
          <w:sz w:val="26"/>
          <w:szCs w:val="26"/>
        </w:rPr>
      </w:pPr>
    </w:p>
    <w:p w:rsidR="00A607E0" w:rsidRDefault="009D51D1" w:rsidP="00A607E0">
      <w:pPr>
        <w:widowControl/>
        <w:autoSpaceDE w:val="0"/>
        <w:autoSpaceDN w:val="0"/>
        <w:ind w:left="1440" w:right="1440" w:firstLine="288"/>
        <w:rPr>
          <w:sz w:val="26"/>
          <w:szCs w:val="26"/>
        </w:rPr>
      </w:pPr>
      <w:r w:rsidRPr="009D51D1">
        <w:rPr>
          <w:sz w:val="26"/>
          <w:szCs w:val="26"/>
        </w:rPr>
        <w:t>(4)</w:t>
      </w:r>
      <w:r w:rsidRPr="009D51D1">
        <w:rPr>
          <w:sz w:val="26"/>
          <w:szCs w:val="26"/>
        </w:rPr>
        <w:tab/>
        <w:t xml:space="preserve">The utility has not withheld from the market or caused to be withheld from the market any gas supplies which should </w:t>
      </w:r>
    </w:p>
    <w:p w:rsidR="009D51D1" w:rsidRPr="009D51D1" w:rsidRDefault="009D51D1" w:rsidP="00A607E0">
      <w:pPr>
        <w:keepNext/>
        <w:keepLines/>
        <w:widowControl/>
        <w:autoSpaceDE w:val="0"/>
        <w:autoSpaceDN w:val="0"/>
        <w:ind w:left="1440" w:right="1440"/>
        <w:rPr>
          <w:sz w:val="26"/>
          <w:szCs w:val="26"/>
        </w:rPr>
      </w:pPr>
      <w:r w:rsidRPr="009D51D1">
        <w:rPr>
          <w:sz w:val="26"/>
          <w:szCs w:val="26"/>
        </w:rPr>
        <w:t>have been utilized as part of a least cost fuel procurement policy.</w:t>
      </w:r>
    </w:p>
    <w:p w:rsidR="009D51D1" w:rsidRDefault="009D51D1" w:rsidP="00A607E0">
      <w:pPr>
        <w:keepNext/>
        <w:keepLines/>
        <w:widowControl/>
        <w:autoSpaceDE w:val="0"/>
        <w:autoSpaceDN w:val="0"/>
        <w:ind w:left="1440" w:right="1440"/>
        <w:rPr>
          <w:sz w:val="26"/>
          <w:szCs w:val="26"/>
        </w:rPr>
      </w:pPr>
    </w:p>
    <w:p w:rsidR="00D54C35" w:rsidRPr="009D51D1" w:rsidRDefault="00D54C35" w:rsidP="00A607E0">
      <w:pPr>
        <w:keepNext/>
        <w:keepLines/>
        <w:widowControl/>
        <w:autoSpaceDE w:val="0"/>
        <w:autoSpaceDN w:val="0"/>
        <w:ind w:left="1440" w:right="1440"/>
        <w:rPr>
          <w:sz w:val="26"/>
          <w:szCs w:val="26"/>
        </w:rPr>
      </w:pPr>
    </w:p>
    <w:p w:rsidR="009D51D1" w:rsidRPr="009D51D1" w:rsidRDefault="009D51D1" w:rsidP="00844225">
      <w:pPr>
        <w:widowControl/>
        <w:autoSpaceDE w:val="0"/>
        <w:autoSpaceDN w:val="0"/>
        <w:spacing w:line="360" w:lineRule="auto"/>
        <w:rPr>
          <w:sz w:val="26"/>
          <w:szCs w:val="26"/>
        </w:rPr>
      </w:pPr>
      <w:r w:rsidRPr="009D51D1">
        <w:rPr>
          <w:sz w:val="26"/>
          <w:szCs w:val="26"/>
        </w:rPr>
        <w:t>66 Pa. C.S. § 1318(a)(1)-(4).</w:t>
      </w:r>
    </w:p>
    <w:p w:rsidR="00372C94" w:rsidRDefault="00372C94" w:rsidP="00844225">
      <w:pPr>
        <w:widowControl/>
        <w:tabs>
          <w:tab w:val="left" w:pos="1445"/>
        </w:tabs>
        <w:autoSpaceDE w:val="0"/>
        <w:autoSpaceDN w:val="0"/>
        <w:adjustRightInd w:val="0"/>
        <w:spacing w:line="360" w:lineRule="auto"/>
        <w:ind w:firstLine="1440"/>
        <w:rPr>
          <w:sz w:val="26"/>
          <w:szCs w:val="26"/>
        </w:rPr>
      </w:pPr>
    </w:p>
    <w:p w:rsidR="00C57790" w:rsidRDefault="00C57790" w:rsidP="00844225">
      <w:pPr>
        <w:keepNext/>
        <w:keepLines/>
        <w:widowControl/>
        <w:tabs>
          <w:tab w:val="left" w:pos="1445"/>
        </w:tabs>
        <w:autoSpaceDE w:val="0"/>
        <w:autoSpaceDN w:val="0"/>
        <w:adjustRightInd w:val="0"/>
        <w:spacing w:line="360" w:lineRule="auto"/>
        <w:ind w:firstLine="1440"/>
        <w:rPr>
          <w:sz w:val="26"/>
          <w:szCs w:val="26"/>
        </w:rPr>
      </w:pPr>
      <w:r>
        <w:rPr>
          <w:sz w:val="26"/>
          <w:szCs w:val="26"/>
        </w:rPr>
        <w:t>Peoples Gas does not purchase gas, transportation or storage from an affiliated interest</w:t>
      </w:r>
      <w:r w:rsidR="00A11F1F">
        <w:rPr>
          <w:sz w:val="26"/>
          <w:szCs w:val="26"/>
        </w:rPr>
        <w:t xml:space="preserve">, as defined at 66 Pa. C.S. § 2101.  However, the Company is a party to a number of affiliated interest, natural gas exchange agreements.  </w:t>
      </w:r>
      <w:r w:rsidR="00A11F1F" w:rsidRPr="00A11F1F">
        <w:rPr>
          <w:i/>
          <w:sz w:val="26"/>
          <w:szCs w:val="26"/>
        </w:rPr>
        <w:t>See</w:t>
      </w:r>
      <w:r w:rsidR="00A11F1F" w:rsidRPr="00A11F1F">
        <w:rPr>
          <w:sz w:val="26"/>
          <w:szCs w:val="26"/>
        </w:rPr>
        <w:t xml:space="preserve"> PGC 30-day Pre</w:t>
      </w:r>
      <w:r w:rsidR="00A11F1F">
        <w:rPr>
          <w:sz w:val="26"/>
          <w:szCs w:val="26"/>
        </w:rPr>
        <w:noBreakHyphen/>
      </w:r>
      <w:r w:rsidR="00A11F1F" w:rsidRPr="00A11F1F">
        <w:rPr>
          <w:sz w:val="26"/>
          <w:szCs w:val="26"/>
        </w:rPr>
        <w:t>filing</w:t>
      </w:r>
      <w:r w:rsidR="00A11F1F">
        <w:rPr>
          <w:sz w:val="26"/>
          <w:szCs w:val="26"/>
        </w:rPr>
        <w:t xml:space="preserve"> at 127.  </w:t>
      </w:r>
      <w:r w:rsidR="00930A54">
        <w:rPr>
          <w:sz w:val="26"/>
          <w:szCs w:val="26"/>
        </w:rPr>
        <w:t>W</w:t>
      </w:r>
      <w:r w:rsidR="00D54C35">
        <w:rPr>
          <w:sz w:val="26"/>
          <w:szCs w:val="26"/>
        </w:rPr>
        <w:t>ith respect to purchases from affiliates, the Commission is required to make the following specific findings:</w:t>
      </w:r>
    </w:p>
    <w:p w:rsidR="00372C94" w:rsidRDefault="00372C94" w:rsidP="00844225">
      <w:pPr>
        <w:widowControl/>
        <w:tabs>
          <w:tab w:val="left" w:pos="1445"/>
        </w:tabs>
        <w:autoSpaceDE w:val="0"/>
        <w:autoSpaceDN w:val="0"/>
        <w:adjustRightInd w:val="0"/>
        <w:spacing w:line="360" w:lineRule="auto"/>
        <w:ind w:firstLine="1440"/>
        <w:rPr>
          <w:sz w:val="26"/>
          <w:szCs w:val="26"/>
        </w:rPr>
      </w:pPr>
    </w:p>
    <w:p w:rsidR="00D54C35" w:rsidRPr="00D54C35" w:rsidRDefault="00D54C35" w:rsidP="00844225">
      <w:pPr>
        <w:widowControl/>
        <w:autoSpaceDE w:val="0"/>
        <w:autoSpaceDN w:val="0"/>
        <w:ind w:left="1440" w:right="1440" w:firstLine="288"/>
        <w:rPr>
          <w:sz w:val="26"/>
          <w:szCs w:val="26"/>
        </w:rPr>
      </w:pPr>
      <w:r w:rsidRPr="00D54C35">
        <w:rPr>
          <w:sz w:val="26"/>
          <w:szCs w:val="26"/>
        </w:rPr>
        <w:t>(1)</w:t>
      </w:r>
      <w:r w:rsidRPr="00D54C35">
        <w:rPr>
          <w:sz w:val="26"/>
          <w:szCs w:val="26"/>
        </w:rPr>
        <w:tab/>
        <w:t>That the utility has fully and vigorously attempted to obtain less costly gas supplies on both short-term and long-term bases from nonaffiliated interests.</w:t>
      </w:r>
    </w:p>
    <w:p w:rsidR="00D54C35" w:rsidRPr="00D54C35" w:rsidRDefault="00D54C35" w:rsidP="00844225">
      <w:pPr>
        <w:widowControl/>
        <w:autoSpaceDE w:val="0"/>
        <w:autoSpaceDN w:val="0"/>
        <w:ind w:left="1440" w:right="1440" w:firstLine="288"/>
        <w:rPr>
          <w:sz w:val="26"/>
          <w:szCs w:val="26"/>
        </w:rPr>
      </w:pPr>
    </w:p>
    <w:p w:rsidR="00D54C35" w:rsidRPr="00D54C35" w:rsidRDefault="00D54C35" w:rsidP="00844225">
      <w:pPr>
        <w:widowControl/>
        <w:autoSpaceDE w:val="0"/>
        <w:autoSpaceDN w:val="0"/>
        <w:ind w:left="1440" w:right="1440" w:firstLine="288"/>
        <w:rPr>
          <w:sz w:val="26"/>
          <w:szCs w:val="26"/>
        </w:rPr>
      </w:pPr>
      <w:r w:rsidRPr="00D54C35">
        <w:rPr>
          <w:sz w:val="26"/>
          <w:szCs w:val="26"/>
        </w:rPr>
        <w:t>(2)</w:t>
      </w:r>
      <w:r w:rsidRPr="00D54C35">
        <w:rPr>
          <w:sz w:val="26"/>
          <w:szCs w:val="26"/>
        </w:rPr>
        <w:tab/>
        <w:t>That each contract for the purchase of gas from an affiliated interest is consistent with a least cost fuel procurement policy.</w:t>
      </w:r>
    </w:p>
    <w:p w:rsidR="00D54C35" w:rsidRPr="00D54C35" w:rsidRDefault="00D54C35" w:rsidP="00844225">
      <w:pPr>
        <w:widowControl/>
        <w:autoSpaceDE w:val="0"/>
        <w:autoSpaceDN w:val="0"/>
        <w:ind w:left="1440" w:right="1440" w:firstLine="288"/>
        <w:rPr>
          <w:sz w:val="26"/>
          <w:szCs w:val="26"/>
        </w:rPr>
      </w:pPr>
    </w:p>
    <w:p w:rsidR="00D54C35" w:rsidRPr="00D54C35" w:rsidRDefault="00D54C35" w:rsidP="00844225">
      <w:pPr>
        <w:widowControl/>
        <w:autoSpaceDE w:val="0"/>
        <w:autoSpaceDN w:val="0"/>
        <w:ind w:left="1440" w:right="1440" w:firstLine="288"/>
        <w:rPr>
          <w:sz w:val="26"/>
          <w:szCs w:val="26"/>
        </w:rPr>
      </w:pPr>
      <w:r w:rsidRPr="00D54C35">
        <w:rPr>
          <w:sz w:val="26"/>
          <w:szCs w:val="26"/>
        </w:rPr>
        <w:t>(3)</w:t>
      </w:r>
      <w:r w:rsidRPr="00D54C35">
        <w:rPr>
          <w:sz w:val="26"/>
          <w:szCs w:val="26"/>
        </w:rPr>
        <w:tab/>
        <w:t>That neither the utility nor its affiliated interest has withheld from the market any gas supplies which should have been utilized as part of a least cost fuel procurement policy.</w:t>
      </w:r>
    </w:p>
    <w:p w:rsidR="00D54C35" w:rsidRDefault="00D54C35" w:rsidP="00844225">
      <w:pPr>
        <w:widowControl/>
        <w:rPr>
          <w:rFonts w:eastAsia="Calibri"/>
          <w:sz w:val="26"/>
          <w:szCs w:val="26"/>
        </w:rPr>
      </w:pPr>
    </w:p>
    <w:p w:rsidR="00D54C35" w:rsidRPr="00D54C35" w:rsidRDefault="00D54C35" w:rsidP="00844225">
      <w:pPr>
        <w:widowControl/>
        <w:rPr>
          <w:rFonts w:eastAsia="Calibri"/>
          <w:sz w:val="26"/>
          <w:szCs w:val="26"/>
        </w:rPr>
      </w:pPr>
    </w:p>
    <w:p w:rsidR="00D54C35" w:rsidRPr="00D54C35" w:rsidRDefault="00D54C35" w:rsidP="00844225">
      <w:pPr>
        <w:widowControl/>
        <w:spacing w:line="360" w:lineRule="auto"/>
        <w:rPr>
          <w:rFonts w:eastAsia="Calibri"/>
          <w:sz w:val="26"/>
          <w:szCs w:val="26"/>
        </w:rPr>
      </w:pPr>
      <w:r w:rsidRPr="00D54C35">
        <w:rPr>
          <w:rFonts w:eastAsia="Calibri"/>
          <w:sz w:val="26"/>
          <w:szCs w:val="26"/>
        </w:rPr>
        <w:t>66 Pa. C.S. § 1318(b)(1)-(3).</w:t>
      </w:r>
    </w:p>
    <w:p w:rsidR="00372C94" w:rsidRDefault="00372C94" w:rsidP="00844225">
      <w:pPr>
        <w:widowControl/>
        <w:tabs>
          <w:tab w:val="left" w:pos="1445"/>
        </w:tabs>
        <w:autoSpaceDE w:val="0"/>
        <w:autoSpaceDN w:val="0"/>
        <w:adjustRightInd w:val="0"/>
        <w:spacing w:line="360" w:lineRule="auto"/>
        <w:ind w:firstLine="1440"/>
        <w:rPr>
          <w:sz w:val="26"/>
          <w:szCs w:val="26"/>
        </w:rPr>
      </w:pPr>
    </w:p>
    <w:p w:rsidR="00930A54" w:rsidRPr="00930A54" w:rsidRDefault="00930A54" w:rsidP="00844225">
      <w:pPr>
        <w:widowControl/>
        <w:autoSpaceDE w:val="0"/>
        <w:autoSpaceDN w:val="0"/>
        <w:spacing w:line="360" w:lineRule="auto"/>
        <w:ind w:firstLine="1440"/>
        <w:rPr>
          <w:rFonts w:eastAsia="Calibri"/>
          <w:sz w:val="26"/>
          <w:szCs w:val="26"/>
        </w:rPr>
      </w:pPr>
      <w:r w:rsidRPr="00930A54">
        <w:rPr>
          <w:sz w:val="26"/>
          <w:szCs w:val="26"/>
        </w:rPr>
        <w:t xml:space="preserve">Section 1317 of the Code, 66 Pa. C.S. § 1317, requires the submission of certain information to enable the Commission to make a least cost fuel procurement finding.  </w:t>
      </w:r>
      <w:r w:rsidRPr="00930A54">
        <w:rPr>
          <w:rFonts w:eastAsia="Calibri"/>
          <w:sz w:val="26"/>
          <w:szCs w:val="26"/>
        </w:rPr>
        <w:t xml:space="preserve">The Commission has promulgated regulations pursuant to the statutes that include extensive filing requirements that also govern such filings.  </w:t>
      </w:r>
      <w:r w:rsidRPr="00930A54">
        <w:rPr>
          <w:rFonts w:eastAsia="Calibri"/>
          <w:i/>
          <w:sz w:val="26"/>
          <w:szCs w:val="26"/>
        </w:rPr>
        <w:t>See</w:t>
      </w:r>
      <w:r w:rsidRPr="00930A54">
        <w:rPr>
          <w:rFonts w:eastAsia="Calibri"/>
          <w:sz w:val="26"/>
          <w:szCs w:val="26"/>
        </w:rPr>
        <w:t xml:space="preserve">, 52 Pa. Code §§ 53.64 (filing requirements for natural gas distributors with gross intrastate annual </w:t>
      </w:r>
      <w:r w:rsidRPr="00930A54">
        <w:rPr>
          <w:rFonts w:eastAsia="Calibri"/>
          <w:sz w:val="26"/>
          <w:szCs w:val="26"/>
        </w:rPr>
        <w:lastRenderedPageBreak/>
        <w:t xml:space="preserve">operating revenues in excess of $40 million) and 53.65 (special provisions relating to natural gas distributors with gross intrastate annual operating revenues in excess of $40 million with affiliated interests).  The ALJ concluded that </w:t>
      </w:r>
      <w:r>
        <w:rPr>
          <w:rFonts w:eastAsia="Calibri"/>
          <w:sz w:val="26"/>
          <w:szCs w:val="26"/>
        </w:rPr>
        <w:t>Peoples Gas</w:t>
      </w:r>
      <w:r w:rsidRPr="00930A54">
        <w:rPr>
          <w:rFonts w:eastAsia="Calibri"/>
          <w:sz w:val="26"/>
          <w:szCs w:val="26"/>
        </w:rPr>
        <w:t xml:space="preserve"> complied with these requirements.</w:t>
      </w:r>
      <w:r w:rsidR="00233EAF">
        <w:rPr>
          <w:rFonts w:eastAsia="Calibri"/>
          <w:sz w:val="26"/>
          <w:szCs w:val="26"/>
        </w:rPr>
        <w:t xml:space="preserve">  R.D. at 10</w:t>
      </w:r>
      <w:r w:rsidRPr="00930A54">
        <w:rPr>
          <w:rFonts w:eastAsia="Calibri"/>
          <w:sz w:val="26"/>
          <w:szCs w:val="26"/>
        </w:rPr>
        <w:t xml:space="preserve">. </w:t>
      </w:r>
    </w:p>
    <w:p w:rsidR="00930A54" w:rsidRDefault="00930A54" w:rsidP="00844225">
      <w:pPr>
        <w:widowControl/>
        <w:tabs>
          <w:tab w:val="left" w:pos="1445"/>
        </w:tabs>
        <w:autoSpaceDE w:val="0"/>
        <w:autoSpaceDN w:val="0"/>
        <w:adjustRightInd w:val="0"/>
        <w:spacing w:line="360" w:lineRule="auto"/>
        <w:rPr>
          <w:sz w:val="26"/>
          <w:szCs w:val="26"/>
        </w:rPr>
      </w:pPr>
    </w:p>
    <w:p w:rsidR="001D3EED" w:rsidRPr="002042D2" w:rsidRDefault="001D3EED" w:rsidP="003439AF">
      <w:pPr>
        <w:pStyle w:val="Heading3"/>
        <w:keepNext/>
        <w:keepLines/>
      </w:pPr>
      <w:bookmarkStart w:id="11" w:name="_Toc524347675"/>
      <w:r>
        <w:t>Settlements</w:t>
      </w:r>
      <w:bookmarkEnd w:id="11"/>
    </w:p>
    <w:p w:rsidR="00372C94" w:rsidRDefault="00372C94" w:rsidP="003439AF">
      <w:pPr>
        <w:keepNext/>
        <w:keepLines/>
        <w:widowControl/>
        <w:tabs>
          <w:tab w:val="left" w:pos="1445"/>
        </w:tabs>
        <w:autoSpaceDE w:val="0"/>
        <w:autoSpaceDN w:val="0"/>
        <w:adjustRightInd w:val="0"/>
        <w:spacing w:line="360" w:lineRule="auto"/>
        <w:rPr>
          <w:sz w:val="26"/>
          <w:szCs w:val="26"/>
        </w:rPr>
      </w:pPr>
    </w:p>
    <w:p w:rsidR="00365285" w:rsidRPr="00365285" w:rsidRDefault="00365285" w:rsidP="00844225">
      <w:pPr>
        <w:widowControl/>
        <w:spacing w:line="360" w:lineRule="auto"/>
        <w:ind w:firstLine="1440"/>
        <w:rPr>
          <w:sz w:val="26"/>
          <w:szCs w:val="26"/>
        </w:rPr>
      </w:pPr>
      <w:r w:rsidRPr="00365285">
        <w:rPr>
          <w:sz w:val="26"/>
          <w:szCs w:val="26"/>
        </w:rPr>
        <w:t xml:space="preserve">The policy of the Commission is to encourage settlements, and the Commission has stated that settlement rates are often preferable to those achieved at the conclusion of a fully litigated proceeding.  52 Pa. Code §§ 5.231, 69.401.  A full settlement of all the issues in a proceeding eliminates the time, effort and expense that otherwise would have been used in litigating the proceeding, while a partial settlement may significantly reduce the time, effort and expense of litigating a case.  A settlement, whether whole or partial, benefits not only the named parties directly, but, indirectly, all customers of the public utility involved in the case.  </w:t>
      </w:r>
    </w:p>
    <w:p w:rsidR="00372C94" w:rsidRDefault="00372C94" w:rsidP="00844225">
      <w:pPr>
        <w:widowControl/>
        <w:tabs>
          <w:tab w:val="left" w:pos="1445"/>
        </w:tabs>
        <w:autoSpaceDE w:val="0"/>
        <w:autoSpaceDN w:val="0"/>
        <w:adjustRightInd w:val="0"/>
        <w:spacing w:line="360" w:lineRule="auto"/>
        <w:ind w:firstLine="1440"/>
        <w:rPr>
          <w:sz w:val="26"/>
          <w:szCs w:val="26"/>
        </w:rPr>
      </w:pPr>
    </w:p>
    <w:p w:rsidR="00365285" w:rsidRPr="00365285" w:rsidRDefault="00365285" w:rsidP="00844225">
      <w:pPr>
        <w:widowControl/>
        <w:suppressAutoHyphens/>
        <w:spacing w:line="360" w:lineRule="auto"/>
        <w:ind w:firstLine="1440"/>
        <w:rPr>
          <w:sz w:val="26"/>
          <w:szCs w:val="26"/>
        </w:rPr>
      </w:pPr>
      <w:r w:rsidRPr="00365285">
        <w:rPr>
          <w:sz w:val="26"/>
          <w:szCs w:val="26"/>
        </w:rPr>
        <w:t>Regulatory proceedings are expensive to litigate, and the reasonable cost of such litigation is an operating expense recovered in the rates approved by the Commission.  Partial or full settlements allow the parties to avoid the substantial costs of preparing and serving testimony and the cross-examination of witnesses in lengthy hearings, the preparation and service of briefs, reply briefs, exceptions and replies to exceptions, together with the briefs and reply briefs necessitated by any appeal of the Commission</w:t>
      </w:r>
      <w:r w:rsidR="001A5BA1">
        <w:rPr>
          <w:sz w:val="26"/>
          <w:szCs w:val="26"/>
        </w:rPr>
        <w:t>’</w:t>
      </w:r>
      <w:r w:rsidRPr="00365285">
        <w:rPr>
          <w:sz w:val="26"/>
          <w:szCs w:val="26"/>
        </w:rPr>
        <w:t>s decision, yielding significant expense savings for the company</w:t>
      </w:r>
      <w:r w:rsidR="001A5BA1">
        <w:rPr>
          <w:sz w:val="26"/>
          <w:szCs w:val="26"/>
        </w:rPr>
        <w:t>’</w:t>
      </w:r>
      <w:r w:rsidRPr="00365285">
        <w:rPr>
          <w:sz w:val="26"/>
          <w:szCs w:val="26"/>
        </w:rPr>
        <w:t>s customers.  For this and other sound reasons, settlements are encouraged by long-standing Commission policy.</w:t>
      </w:r>
    </w:p>
    <w:p w:rsidR="00372C94" w:rsidRDefault="00372C94" w:rsidP="00844225">
      <w:pPr>
        <w:widowControl/>
        <w:tabs>
          <w:tab w:val="left" w:pos="1445"/>
        </w:tabs>
        <w:autoSpaceDE w:val="0"/>
        <w:autoSpaceDN w:val="0"/>
        <w:adjustRightInd w:val="0"/>
        <w:spacing w:line="360" w:lineRule="auto"/>
        <w:ind w:firstLine="1440"/>
        <w:rPr>
          <w:sz w:val="26"/>
          <w:szCs w:val="26"/>
        </w:rPr>
      </w:pPr>
    </w:p>
    <w:p w:rsidR="00365285" w:rsidRPr="00365285" w:rsidRDefault="00365285" w:rsidP="00844225">
      <w:pPr>
        <w:widowControl/>
        <w:spacing w:line="360" w:lineRule="auto"/>
        <w:ind w:firstLine="1440"/>
        <w:rPr>
          <w:sz w:val="26"/>
          <w:szCs w:val="26"/>
        </w:rPr>
      </w:pPr>
      <w:r w:rsidRPr="00365285">
        <w:rPr>
          <w:sz w:val="26"/>
          <w:szCs w:val="26"/>
        </w:rPr>
        <w:t xml:space="preserve">Despite the policy favoring settlements, the Commission does not simply rubber stamp settlements without further inquiry.  In order to accept a settlement such as that proposed here, the Commission must determine that the proposed terms and </w:t>
      </w:r>
      <w:r w:rsidRPr="00365285">
        <w:rPr>
          <w:sz w:val="26"/>
          <w:szCs w:val="26"/>
        </w:rPr>
        <w:lastRenderedPageBreak/>
        <w:t xml:space="preserve">conditions are in the public interest.  </w:t>
      </w:r>
      <w:r w:rsidRPr="00365285">
        <w:rPr>
          <w:i/>
          <w:sz w:val="26"/>
          <w:szCs w:val="26"/>
        </w:rPr>
        <w:t>Pa. PUC v. York Water Co.</w:t>
      </w:r>
      <w:r w:rsidRPr="00365285">
        <w:rPr>
          <w:sz w:val="26"/>
          <w:szCs w:val="26"/>
        </w:rPr>
        <w:t>, Docket No. R</w:t>
      </w:r>
      <w:r w:rsidRPr="00365285">
        <w:rPr>
          <w:sz w:val="26"/>
          <w:szCs w:val="26"/>
        </w:rPr>
        <w:noBreakHyphen/>
        <w:t xml:space="preserve">00049165 (Order entered October 4, 2004); </w:t>
      </w:r>
      <w:r w:rsidRPr="00365285">
        <w:rPr>
          <w:i/>
          <w:sz w:val="26"/>
          <w:szCs w:val="26"/>
        </w:rPr>
        <w:t>Pa. PUC v. C. S. Water and Sewer Assoc.</w:t>
      </w:r>
      <w:r w:rsidRPr="00365285">
        <w:rPr>
          <w:sz w:val="26"/>
          <w:szCs w:val="26"/>
        </w:rPr>
        <w:t>, 74 Pa. P.U.C. 767 (1991).</w:t>
      </w:r>
    </w:p>
    <w:p w:rsidR="00372C94" w:rsidRDefault="00372C94" w:rsidP="00844225">
      <w:pPr>
        <w:widowControl/>
        <w:tabs>
          <w:tab w:val="left" w:pos="1445"/>
        </w:tabs>
        <w:autoSpaceDE w:val="0"/>
        <w:autoSpaceDN w:val="0"/>
        <w:adjustRightInd w:val="0"/>
        <w:spacing w:line="360" w:lineRule="auto"/>
        <w:ind w:firstLine="1440"/>
        <w:rPr>
          <w:sz w:val="26"/>
          <w:szCs w:val="26"/>
        </w:rPr>
      </w:pPr>
    </w:p>
    <w:p w:rsidR="00140F2B" w:rsidRPr="00140F2B" w:rsidRDefault="00140F2B" w:rsidP="00844225">
      <w:pPr>
        <w:widowControl/>
        <w:spacing w:line="360" w:lineRule="auto"/>
        <w:ind w:firstLine="1440"/>
        <w:rPr>
          <w:sz w:val="26"/>
          <w:szCs w:val="26"/>
        </w:rPr>
      </w:pPr>
      <w:r w:rsidRPr="00140F2B">
        <w:rPr>
          <w:color w:val="000000"/>
          <w:sz w:val="26"/>
          <w:szCs w:val="26"/>
        </w:rPr>
        <w:t>In this case, the</w:t>
      </w:r>
      <w:r w:rsidRPr="00140F2B">
        <w:rPr>
          <w:sz w:val="26"/>
          <w:szCs w:val="26"/>
        </w:rPr>
        <w:t xml:space="preserve"> Joint Petitioners have reached an accord on many of the issues and claims that arose in this proceeding and submitted the Partial Settlement.  The Joint Petitioners have the burden to prove that the Partial Settlement is in the public interest. </w:t>
      </w:r>
    </w:p>
    <w:p w:rsidR="00365285" w:rsidRDefault="00365285" w:rsidP="00844225">
      <w:pPr>
        <w:widowControl/>
        <w:tabs>
          <w:tab w:val="left" w:pos="1445"/>
        </w:tabs>
        <w:autoSpaceDE w:val="0"/>
        <w:autoSpaceDN w:val="0"/>
        <w:adjustRightInd w:val="0"/>
        <w:spacing w:line="360" w:lineRule="auto"/>
        <w:ind w:firstLine="1440"/>
        <w:rPr>
          <w:sz w:val="26"/>
          <w:szCs w:val="26"/>
        </w:rPr>
      </w:pPr>
    </w:p>
    <w:p w:rsidR="00206A13" w:rsidRPr="003D07BC" w:rsidRDefault="00206A13" w:rsidP="003439AF">
      <w:pPr>
        <w:pStyle w:val="Heading1"/>
        <w:keepLines/>
        <w:numPr>
          <w:ilvl w:val="0"/>
          <w:numId w:val="12"/>
        </w:numPr>
        <w:ind w:left="720"/>
      </w:pPr>
      <w:bookmarkStart w:id="12" w:name="_Toc524347676"/>
      <w:bookmarkStart w:id="13" w:name="_Hlk524347167"/>
      <w:r>
        <w:t>The Joint Petition for Partial Settlement</w:t>
      </w:r>
      <w:bookmarkEnd w:id="12"/>
    </w:p>
    <w:bookmarkEnd w:id="13"/>
    <w:p w:rsidR="00372C94" w:rsidRDefault="00372C94" w:rsidP="003439AF">
      <w:pPr>
        <w:keepNext/>
        <w:keepLines/>
        <w:widowControl/>
        <w:tabs>
          <w:tab w:val="left" w:pos="1445"/>
        </w:tabs>
        <w:autoSpaceDE w:val="0"/>
        <w:autoSpaceDN w:val="0"/>
        <w:adjustRightInd w:val="0"/>
        <w:spacing w:line="360" w:lineRule="auto"/>
        <w:ind w:firstLine="1440"/>
        <w:rPr>
          <w:sz w:val="26"/>
          <w:szCs w:val="26"/>
        </w:rPr>
      </w:pPr>
    </w:p>
    <w:p w:rsidR="00206A13" w:rsidRPr="00F3762D" w:rsidRDefault="00206A13" w:rsidP="003439AF">
      <w:pPr>
        <w:pStyle w:val="Heading2"/>
        <w:numPr>
          <w:ilvl w:val="0"/>
          <w:numId w:val="29"/>
        </w:numPr>
        <w:ind w:left="720" w:hanging="720"/>
      </w:pPr>
      <w:bookmarkStart w:id="14" w:name="_Toc524347677"/>
      <w:r w:rsidRPr="00F3762D">
        <w:t>Least Cost Fuel Procurement Policy</w:t>
      </w:r>
      <w:bookmarkEnd w:id="14"/>
    </w:p>
    <w:p w:rsidR="00206A13" w:rsidRDefault="00206A13" w:rsidP="003439AF">
      <w:pPr>
        <w:keepNext/>
        <w:keepLines/>
        <w:widowControl/>
        <w:tabs>
          <w:tab w:val="left" w:pos="1445"/>
        </w:tabs>
        <w:autoSpaceDE w:val="0"/>
        <w:autoSpaceDN w:val="0"/>
        <w:adjustRightInd w:val="0"/>
        <w:spacing w:line="360" w:lineRule="auto"/>
        <w:ind w:firstLine="1440"/>
        <w:rPr>
          <w:sz w:val="26"/>
          <w:szCs w:val="26"/>
        </w:rPr>
      </w:pPr>
    </w:p>
    <w:p w:rsidR="004C1FDB" w:rsidRPr="004C1FDB" w:rsidRDefault="004C1FDB" w:rsidP="00844225">
      <w:pPr>
        <w:widowControl/>
        <w:spacing w:line="360" w:lineRule="auto"/>
        <w:ind w:firstLine="1440"/>
        <w:rPr>
          <w:sz w:val="26"/>
          <w:szCs w:val="24"/>
        </w:rPr>
      </w:pPr>
      <w:r w:rsidRPr="004C1FDB">
        <w:rPr>
          <w:sz w:val="26"/>
          <w:szCs w:val="24"/>
        </w:rPr>
        <w:t xml:space="preserve">As discussed, </w:t>
      </w:r>
      <w:r w:rsidRPr="004C1FDB">
        <w:rPr>
          <w:i/>
          <w:sz w:val="26"/>
          <w:szCs w:val="24"/>
        </w:rPr>
        <w:t>supra</w:t>
      </w:r>
      <w:r w:rsidRPr="004C1FDB">
        <w:rPr>
          <w:sz w:val="26"/>
          <w:szCs w:val="24"/>
        </w:rPr>
        <w:t>, i</w:t>
      </w:r>
      <w:r>
        <w:rPr>
          <w:sz w:val="26"/>
          <w:szCs w:val="24"/>
        </w:rPr>
        <w:t>n determining whether Peoples Gas</w:t>
      </w:r>
      <w:r w:rsidRPr="004C1FDB">
        <w:rPr>
          <w:sz w:val="26"/>
          <w:szCs w:val="24"/>
        </w:rPr>
        <w:t xml:space="preserve"> is pursuing a least cost fuel procurement policy, the Commission must make specific findings set forth in Sections 1318(a) and (b) of the Code.  The Joint Petitioners requested that the Commission make specific findings of fact in that regard that are set forth in Paragraphs </w:t>
      </w:r>
      <w:r>
        <w:rPr>
          <w:sz w:val="26"/>
          <w:szCs w:val="24"/>
        </w:rPr>
        <w:t>36 through 56</w:t>
      </w:r>
      <w:r w:rsidRPr="004C1FDB">
        <w:rPr>
          <w:sz w:val="26"/>
          <w:szCs w:val="24"/>
        </w:rPr>
        <w:t xml:space="preserve"> of the Joint Petition and which the ALJ has adopted and included in the Recommended Decision as Findings of Fact No</w:t>
      </w:r>
      <w:r>
        <w:rPr>
          <w:sz w:val="26"/>
          <w:szCs w:val="24"/>
        </w:rPr>
        <w:t>s. 1 through 70</w:t>
      </w:r>
      <w:r w:rsidRPr="004C1FDB">
        <w:rPr>
          <w:sz w:val="26"/>
          <w:szCs w:val="24"/>
        </w:rPr>
        <w:t xml:space="preserve">.  </w:t>
      </w:r>
      <w:r>
        <w:rPr>
          <w:sz w:val="26"/>
          <w:szCs w:val="24"/>
        </w:rPr>
        <w:t>Joint Petition at 7-13</w:t>
      </w:r>
      <w:r w:rsidR="00ED6542">
        <w:rPr>
          <w:sz w:val="26"/>
          <w:szCs w:val="24"/>
        </w:rPr>
        <w:t>;</w:t>
      </w:r>
      <w:r w:rsidRPr="004C1FDB">
        <w:rPr>
          <w:sz w:val="26"/>
          <w:szCs w:val="24"/>
        </w:rPr>
        <w:t xml:space="preserve"> </w:t>
      </w:r>
      <w:r>
        <w:rPr>
          <w:sz w:val="26"/>
          <w:szCs w:val="24"/>
        </w:rPr>
        <w:t>R.D. at 5-17</w:t>
      </w:r>
      <w:r w:rsidRPr="004C1FDB">
        <w:rPr>
          <w:sz w:val="26"/>
          <w:szCs w:val="24"/>
        </w:rPr>
        <w:t xml:space="preserve">.  </w:t>
      </w:r>
      <w:r w:rsidRPr="00B74E5A">
        <w:rPr>
          <w:sz w:val="26"/>
          <w:szCs w:val="24"/>
        </w:rPr>
        <w:t>In addition, the</w:t>
      </w:r>
      <w:r w:rsidRPr="004C1FDB">
        <w:rPr>
          <w:sz w:val="26"/>
          <w:szCs w:val="24"/>
        </w:rPr>
        <w:t xml:space="preserve"> Joint Petitioners request</w:t>
      </w:r>
      <w:r w:rsidR="00ED6542">
        <w:rPr>
          <w:sz w:val="26"/>
          <w:szCs w:val="24"/>
        </w:rPr>
        <w:t>ed</w:t>
      </w:r>
      <w:r w:rsidRPr="004C1FDB">
        <w:rPr>
          <w:sz w:val="26"/>
          <w:szCs w:val="24"/>
        </w:rPr>
        <w:t xml:space="preserve"> that the Commission find, based on the evidence presented by</w:t>
      </w:r>
      <w:r w:rsidR="00ED6542">
        <w:rPr>
          <w:sz w:val="26"/>
          <w:szCs w:val="24"/>
        </w:rPr>
        <w:t xml:space="preserve"> the Parties, that: (1) Peoples Gas</w:t>
      </w:r>
      <w:r w:rsidR="001A5BA1">
        <w:rPr>
          <w:sz w:val="26"/>
          <w:szCs w:val="24"/>
        </w:rPr>
        <w:t>’</w:t>
      </w:r>
      <w:r w:rsidRPr="004C1FDB">
        <w:rPr>
          <w:sz w:val="26"/>
          <w:szCs w:val="24"/>
        </w:rPr>
        <w:t xml:space="preserve"> gas purchases and gas purchasing practices during the twelve-month historic reconciliati</w:t>
      </w:r>
      <w:r w:rsidR="00ED6542">
        <w:rPr>
          <w:sz w:val="26"/>
          <w:szCs w:val="24"/>
        </w:rPr>
        <w:t>on period ended January 31, 2018</w:t>
      </w:r>
      <w:r w:rsidR="00A147AD">
        <w:rPr>
          <w:sz w:val="26"/>
          <w:szCs w:val="24"/>
        </w:rPr>
        <w:t>; and (2) Peoples Gas</w:t>
      </w:r>
      <w:r w:rsidR="001A5BA1">
        <w:rPr>
          <w:sz w:val="26"/>
          <w:szCs w:val="24"/>
        </w:rPr>
        <w:t>’</w:t>
      </w:r>
      <w:r w:rsidR="00A147AD">
        <w:rPr>
          <w:sz w:val="26"/>
          <w:szCs w:val="24"/>
        </w:rPr>
        <w:t xml:space="preserve"> projected purchases and</w:t>
      </w:r>
      <w:r w:rsidRPr="004C1FDB">
        <w:rPr>
          <w:sz w:val="26"/>
          <w:szCs w:val="24"/>
        </w:rPr>
        <w:t xml:space="preserve"> purchasing policies during the </w:t>
      </w:r>
      <w:r w:rsidR="00A147AD">
        <w:rPr>
          <w:sz w:val="26"/>
          <w:szCs w:val="24"/>
        </w:rPr>
        <w:t xml:space="preserve">eight-month interim period beginning February 1, 2018, and the projected </w:t>
      </w:r>
      <w:r w:rsidRPr="004C1FDB">
        <w:rPr>
          <w:sz w:val="26"/>
          <w:szCs w:val="24"/>
        </w:rPr>
        <w:t xml:space="preserve">twelve-month </w:t>
      </w:r>
      <w:r w:rsidR="00A147AD">
        <w:rPr>
          <w:sz w:val="26"/>
          <w:szCs w:val="24"/>
        </w:rPr>
        <w:t>period beginning October 1, 2018</w:t>
      </w:r>
      <w:r w:rsidRPr="004C1FDB">
        <w:rPr>
          <w:sz w:val="26"/>
          <w:szCs w:val="24"/>
        </w:rPr>
        <w:t xml:space="preserve"> (the period of time the proposed rates would be in effect), meet the standards set forth in Sections </w:t>
      </w:r>
      <w:r w:rsidRPr="004C1FDB">
        <w:rPr>
          <w:sz w:val="26"/>
          <w:szCs w:val="24"/>
        </w:rPr>
        <w:lastRenderedPageBreak/>
        <w:t>1318(a) an</w:t>
      </w:r>
      <w:r w:rsidR="00A147AD">
        <w:rPr>
          <w:sz w:val="26"/>
          <w:szCs w:val="24"/>
        </w:rPr>
        <w:t>d (b).</w:t>
      </w:r>
      <w:r w:rsidR="00B74E5A">
        <w:rPr>
          <w:rStyle w:val="FootnoteReference"/>
          <w:sz w:val="26"/>
          <w:szCs w:val="24"/>
        </w:rPr>
        <w:footnoteReference w:id="5"/>
      </w:r>
      <w:r w:rsidR="00A147AD">
        <w:rPr>
          <w:sz w:val="26"/>
          <w:szCs w:val="24"/>
        </w:rPr>
        <w:t xml:space="preserve">  Joint Petition at 13-15</w:t>
      </w:r>
      <w:r w:rsidR="00B74E5A">
        <w:rPr>
          <w:sz w:val="26"/>
          <w:szCs w:val="24"/>
        </w:rPr>
        <w:t>.  The ALJ found that Peoples Gas</w:t>
      </w:r>
      <w:r w:rsidRPr="004C1FDB">
        <w:rPr>
          <w:sz w:val="26"/>
          <w:szCs w:val="24"/>
        </w:rPr>
        <w:t xml:space="preserve"> is pursuing a least-cost fuel procurement policy pursuant to Section 1318 in his Conclusions of Law </w:t>
      </w:r>
      <w:r w:rsidR="00B74E5A">
        <w:rPr>
          <w:sz w:val="26"/>
          <w:szCs w:val="24"/>
        </w:rPr>
        <w:t>Nos. 2 through 9.  R.D. at 78-80</w:t>
      </w:r>
      <w:r w:rsidRPr="004C1FDB">
        <w:rPr>
          <w:sz w:val="26"/>
          <w:szCs w:val="24"/>
        </w:rPr>
        <w:t>.  Notwithsta</w:t>
      </w:r>
      <w:r w:rsidR="00B74E5A">
        <w:rPr>
          <w:sz w:val="26"/>
          <w:szCs w:val="24"/>
        </w:rPr>
        <w:t>nding our disposition of the one</w:t>
      </w:r>
      <w:r w:rsidRPr="004C1FDB">
        <w:rPr>
          <w:sz w:val="26"/>
          <w:szCs w:val="24"/>
        </w:rPr>
        <w:t xml:space="preserve"> outstanding issues in this proceeding, </w:t>
      </w:r>
      <w:r w:rsidRPr="004C1FDB">
        <w:rPr>
          <w:i/>
          <w:sz w:val="26"/>
          <w:szCs w:val="24"/>
        </w:rPr>
        <w:t>infra</w:t>
      </w:r>
      <w:r w:rsidRPr="004C1FDB">
        <w:rPr>
          <w:sz w:val="26"/>
          <w:szCs w:val="24"/>
        </w:rPr>
        <w:t xml:space="preserve">, based on our review of the record and the terms of the Joint Petition, </w:t>
      </w:r>
      <w:r w:rsidRPr="004C1FDB">
        <w:rPr>
          <w:i/>
          <w:sz w:val="26"/>
          <w:szCs w:val="24"/>
        </w:rPr>
        <w:t>infra</w:t>
      </w:r>
      <w:r w:rsidR="00B74E5A">
        <w:rPr>
          <w:sz w:val="26"/>
          <w:szCs w:val="24"/>
        </w:rPr>
        <w:t>, we find that Peoples Gas</w:t>
      </w:r>
      <w:r w:rsidRPr="004C1FDB">
        <w:rPr>
          <w:sz w:val="26"/>
          <w:szCs w:val="24"/>
        </w:rPr>
        <w:t xml:space="preserve"> has met the terms of Section 1318 of the Code.</w:t>
      </w:r>
    </w:p>
    <w:p w:rsidR="00372C94" w:rsidRDefault="00372C94" w:rsidP="00844225">
      <w:pPr>
        <w:widowControl/>
        <w:tabs>
          <w:tab w:val="left" w:pos="1445"/>
        </w:tabs>
        <w:autoSpaceDE w:val="0"/>
        <w:autoSpaceDN w:val="0"/>
        <w:adjustRightInd w:val="0"/>
        <w:spacing w:line="360" w:lineRule="auto"/>
        <w:ind w:firstLine="1440"/>
        <w:rPr>
          <w:sz w:val="26"/>
          <w:szCs w:val="26"/>
        </w:rPr>
      </w:pPr>
    </w:p>
    <w:p w:rsidR="00B20EF8" w:rsidRPr="002042D2" w:rsidRDefault="00B20EF8" w:rsidP="003439AF">
      <w:pPr>
        <w:pStyle w:val="Heading2"/>
        <w:numPr>
          <w:ilvl w:val="0"/>
          <w:numId w:val="29"/>
        </w:numPr>
        <w:ind w:left="720" w:hanging="720"/>
      </w:pPr>
      <w:bookmarkStart w:id="15" w:name="_Toc524347678"/>
      <w:r>
        <w:t>Terms and Conditions of the Partial Settlement</w:t>
      </w:r>
      <w:bookmarkEnd w:id="15"/>
    </w:p>
    <w:p w:rsidR="00372C94" w:rsidRDefault="00372C94" w:rsidP="003439AF">
      <w:pPr>
        <w:keepNext/>
        <w:keepLines/>
        <w:widowControl/>
        <w:tabs>
          <w:tab w:val="left" w:pos="1445"/>
        </w:tabs>
        <w:autoSpaceDE w:val="0"/>
        <w:autoSpaceDN w:val="0"/>
        <w:adjustRightInd w:val="0"/>
        <w:spacing w:line="360" w:lineRule="auto"/>
        <w:rPr>
          <w:sz w:val="26"/>
          <w:szCs w:val="26"/>
        </w:rPr>
      </w:pPr>
    </w:p>
    <w:p w:rsidR="00372C94" w:rsidRDefault="00A92C22" w:rsidP="00844225">
      <w:pPr>
        <w:widowControl/>
        <w:tabs>
          <w:tab w:val="left" w:pos="1445"/>
        </w:tabs>
        <w:autoSpaceDE w:val="0"/>
        <w:autoSpaceDN w:val="0"/>
        <w:adjustRightInd w:val="0"/>
        <w:spacing w:line="360" w:lineRule="auto"/>
        <w:ind w:firstLine="1440"/>
        <w:rPr>
          <w:sz w:val="26"/>
          <w:szCs w:val="26"/>
        </w:rPr>
      </w:pPr>
      <w:r>
        <w:rPr>
          <w:sz w:val="26"/>
          <w:szCs w:val="26"/>
        </w:rPr>
        <w:t xml:space="preserve">The Joint Petitioners have agreed to the Partial Settlement covering all issues except for one.  </w:t>
      </w:r>
      <w:r w:rsidR="00DC3557">
        <w:rPr>
          <w:sz w:val="26"/>
          <w:szCs w:val="26"/>
        </w:rPr>
        <w:t xml:space="preserve">The remaining Parties to this proceeding, PIOGA and Direct Energy, did not oppose the Partial Settlement.  In the Partial Settlement, the Joint Petitioners reached agreement on the findings pursuant </w:t>
      </w:r>
      <w:r w:rsidR="00DC3557" w:rsidRPr="00DC3557">
        <w:rPr>
          <w:sz w:val="26"/>
          <w:szCs w:val="26"/>
        </w:rPr>
        <w:t>to 66 Pa.</w:t>
      </w:r>
      <w:r w:rsidR="00DC3557">
        <w:rPr>
          <w:sz w:val="26"/>
          <w:szCs w:val="26"/>
        </w:rPr>
        <w:t xml:space="preserve"> </w:t>
      </w:r>
      <w:r w:rsidR="00DC3557" w:rsidRPr="00DC3557">
        <w:rPr>
          <w:sz w:val="26"/>
          <w:szCs w:val="26"/>
        </w:rPr>
        <w:t>C.S. §</w:t>
      </w:r>
      <w:r w:rsidR="00DC3557">
        <w:rPr>
          <w:sz w:val="26"/>
          <w:szCs w:val="26"/>
        </w:rPr>
        <w:t xml:space="preserve"> </w:t>
      </w:r>
      <w:r w:rsidR="00DC3557" w:rsidRPr="00DC3557">
        <w:rPr>
          <w:sz w:val="26"/>
          <w:szCs w:val="26"/>
        </w:rPr>
        <w:t>1307(f) and 66 Pa.</w:t>
      </w:r>
      <w:r w:rsidR="00DC3557">
        <w:rPr>
          <w:sz w:val="26"/>
          <w:szCs w:val="26"/>
        </w:rPr>
        <w:t xml:space="preserve"> </w:t>
      </w:r>
      <w:r w:rsidR="00DC3557" w:rsidRPr="00DC3557">
        <w:rPr>
          <w:sz w:val="26"/>
          <w:szCs w:val="26"/>
        </w:rPr>
        <w:t>C.S. §</w:t>
      </w:r>
      <w:r w:rsidR="00DC3557">
        <w:rPr>
          <w:sz w:val="26"/>
          <w:szCs w:val="26"/>
        </w:rPr>
        <w:t xml:space="preserve"> </w:t>
      </w:r>
      <w:r w:rsidR="00DC3557" w:rsidRPr="00DC3557">
        <w:rPr>
          <w:sz w:val="26"/>
          <w:szCs w:val="26"/>
        </w:rPr>
        <w:t>1318 of the Code</w:t>
      </w:r>
      <w:r w:rsidR="00DC3557">
        <w:rPr>
          <w:sz w:val="26"/>
          <w:szCs w:val="26"/>
        </w:rPr>
        <w:t>.  Additionally, the Joint Petitioners expressed their agreement with respect to the following issues: (1) Lost and Unaccounted for Gas; (2)</w:t>
      </w:r>
      <w:r w:rsidR="00C42943">
        <w:rPr>
          <w:sz w:val="26"/>
          <w:szCs w:val="26"/>
        </w:rPr>
        <w:t> </w:t>
      </w:r>
      <w:r w:rsidR="00DC3557">
        <w:rPr>
          <w:sz w:val="26"/>
          <w:szCs w:val="26"/>
        </w:rPr>
        <w:t>Calculation of Retainage Charge; and (3) Miscellaneous Issues.  Joint Petition at 5-6.</w:t>
      </w:r>
    </w:p>
    <w:p w:rsidR="00372C94" w:rsidRDefault="00372C94" w:rsidP="00844225">
      <w:pPr>
        <w:widowControl/>
        <w:tabs>
          <w:tab w:val="left" w:pos="1445"/>
        </w:tabs>
        <w:autoSpaceDE w:val="0"/>
        <w:autoSpaceDN w:val="0"/>
        <w:adjustRightInd w:val="0"/>
        <w:spacing w:line="360" w:lineRule="auto"/>
        <w:ind w:firstLine="1440"/>
        <w:rPr>
          <w:sz w:val="26"/>
          <w:szCs w:val="26"/>
        </w:rPr>
      </w:pPr>
    </w:p>
    <w:p w:rsidR="007F545B" w:rsidRPr="007F545B" w:rsidRDefault="007F545B" w:rsidP="00844225">
      <w:pPr>
        <w:widowControl/>
        <w:spacing w:line="360" w:lineRule="auto"/>
        <w:ind w:firstLine="1440"/>
        <w:rPr>
          <w:bCs/>
          <w:sz w:val="26"/>
          <w:szCs w:val="26"/>
        </w:rPr>
      </w:pPr>
      <w:r w:rsidRPr="007F545B">
        <w:rPr>
          <w:bCs/>
          <w:sz w:val="26"/>
          <w:szCs w:val="26"/>
        </w:rPr>
        <w:t>The Partial Settlement consists of the Joint Petition containing the terms and conditions of the Partial Settl</w:t>
      </w:r>
      <w:r>
        <w:rPr>
          <w:bCs/>
          <w:sz w:val="26"/>
          <w:szCs w:val="26"/>
        </w:rPr>
        <w:t>ement and Appendices A through E, which include the tariff supplement describing the agreed-upon rates in Appendix A, and</w:t>
      </w:r>
      <w:r w:rsidRPr="007F545B">
        <w:rPr>
          <w:bCs/>
          <w:sz w:val="26"/>
          <w:szCs w:val="26"/>
        </w:rPr>
        <w:t xml:space="preserve"> the Stateme</w:t>
      </w:r>
      <w:r>
        <w:rPr>
          <w:bCs/>
          <w:sz w:val="26"/>
          <w:szCs w:val="26"/>
        </w:rPr>
        <w:t>nts in Support filed by Peoples Gas</w:t>
      </w:r>
      <w:r w:rsidR="00117244">
        <w:rPr>
          <w:bCs/>
          <w:sz w:val="26"/>
          <w:szCs w:val="26"/>
        </w:rPr>
        <w:t>, OCA, the I&amp;E</w:t>
      </w:r>
      <w:r w:rsidRPr="007F545B">
        <w:rPr>
          <w:bCs/>
          <w:sz w:val="26"/>
          <w:szCs w:val="26"/>
        </w:rPr>
        <w:t xml:space="preserve"> and the OSBA</w:t>
      </w:r>
      <w:r>
        <w:rPr>
          <w:bCs/>
          <w:sz w:val="26"/>
          <w:szCs w:val="26"/>
        </w:rPr>
        <w:t xml:space="preserve"> in Appendix B through E, respectively</w:t>
      </w:r>
      <w:r w:rsidRPr="007F545B">
        <w:rPr>
          <w:bCs/>
          <w:sz w:val="26"/>
          <w:szCs w:val="26"/>
        </w:rPr>
        <w:t>.</w:t>
      </w:r>
    </w:p>
    <w:p w:rsidR="007F545B" w:rsidRPr="007F545B" w:rsidRDefault="007F545B" w:rsidP="00844225">
      <w:pPr>
        <w:widowControl/>
        <w:spacing w:line="360" w:lineRule="auto"/>
        <w:ind w:firstLine="1440"/>
        <w:rPr>
          <w:bCs/>
          <w:sz w:val="26"/>
          <w:szCs w:val="26"/>
        </w:rPr>
      </w:pPr>
    </w:p>
    <w:p w:rsidR="007F545B" w:rsidRPr="007F545B" w:rsidRDefault="007F545B" w:rsidP="00844225">
      <w:pPr>
        <w:widowControl/>
        <w:spacing w:line="360" w:lineRule="auto"/>
        <w:ind w:firstLine="1440"/>
        <w:rPr>
          <w:bCs/>
          <w:sz w:val="26"/>
          <w:szCs w:val="26"/>
        </w:rPr>
      </w:pPr>
      <w:r w:rsidRPr="007F545B">
        <w:rPr>
          <w:bCs/>
          <w:sz w:val="26"/>
          <w:szCs w:val="26"/>
        </w:rPr>
        <w:lastRenderedPageBreak/>
        <w:t>The essential terms of the Partial Settlement are set forth in ¶</w:t>
      </w:r>
      <w:r>
        <w:rPr>
          <w:bCs/>
          <w:sz w:val="26"/>
          <w:szCs w:val="26"/>
        </w:rPr>
        <w:t>¶ 24-33</w:t>
      </w:r>
      <w:r w:rsidRPr="007F545B">
        <w:rPr>
          <w:bCs/>
          <w:sz w:val="26"/>
          <w:szCs w:val="26"/>
        </w:rPr>
        <w:t>.  The Joint Petitioners agreed to the following terms and conditions:</w:t>
      </w:r>
      <w:r>
        <w:rPr>
          <w:rStyle w:val="FootnoteReference"/>
          <w:bCs/>
          <w:sz w:val="26"/>
          <w:szCs w:val="26"/>
        </w:rPr>
        <w:footnoteReference w:id="6"/>
      </w:r>
    </w:p>
    <w:p w:rsidR="007F545B" w:rsidRDefault="007F545B" w:rsidP="00844225">
      <w:pPr>
        <w:widowControl/>
        <w:tabs>
          <w:tab w:val="left" w:pos="1445"/>
        </w:tabs>
        <w:autoSpaceDE w:val="0"/>
        <w:autoSpaceDN w:val="0"/>
        <w:adjustRightInd w:val="0"/>
        <w:spacing w:line="360" w:lineRule="auto"/>
        <w:rPr>
          <w:sz w:val="26"/>
          <w:szCs w:val="26"/>
        </w:rPr>
      </w:pPr>
    </w:p>
    <w:p w:rsidR="007F545B" w:rsidRPr="007F545B" w:rsidRDefault="0061434A" w:rsidP="003439AF">
      <w:pPr>
        <w:keepNext/>
        <w:keepLines/>
        <w:widowControl/>
        <w:numPr>
          <w:ilvl w:val="0"/>
          <w:numId w:val="3"/>
        </w:numPr>
        <w:spacing w:line="360" w:lineRule="auto"/>
        <w:ind w:right="1440"/>
        <w:contextualSpacing/>
        <w:rPr>
          <w:b/>
          <w:bCs/>
          <w:sz w:val="26"/>
          <w:szCs w:val="26"/>
        </w:rPr>
      </w:pPr>
      <w:r>
        <w:rPr>
          <w:b/>
          <w:bCs/>
          <w:sz w:val="26"/>
          <w:szCs w:val="26"/>
        </w:rPr>
        <w:t>LOST AND UNACCOUNTED FOR GAS</w:t>
      </w:r>
    </w:p>
    <w:p w:rsidR="007F545B" w:rsidRPr="007F545B" w:rsidRDefault="007F545B" w:rsidP="003439AF">
      <w:pPr>
        <w:keepNext/>
        <w:keepLines/>
        <w:widowControl/>
        <w:ind w:right="1440" w:firstLine="1440"/>
        <w:rPr>
          <w:b/>
          <w:bCs/>
          <w:sz w:val="26"/>
          <w:szCs w:val="26"/>
        </w:rPr>
      </w:pPr>
    </w:p>
    <w:p w:rsidR="007F545B" w:rsidRDefault="0032758B" w:rsidP="00844225">
      <w:pPr>
        <w:widowControl/>
        <w:ind w:left="1440" w:right="1440"/>
        <w:rPr>
          <w:bCs/>
          <w:sz w:val="26"/>
          <w:szCs w:val="26"/>
        </w:rPr>
      </w:pPr>
      <w:r>
        <w:rPr>
          <w:bCs/>
          <w:sz w:val="26"/>
          <w:szCs w:val="26"/>
        </w:rPr>
        <w:t>24.</w:t>
      </w:r>
      <w:r>
        <w:rPr>
          <w:bCs/>
          <w:sz w:val="26"/>
          <w:szCs w:val="26"/>
        </w:rPr>
        <w:tab/>
        <w:t>Peoples Gas will be subject to a gathering UFG target (</w:t>
      </w:r>
      <w:r w:rsidR="001A5BA1">
        <w:rPr>
          <w:bCs/>
          <w:sz w:val="26"/>
          <w:szCs w:val="26"/>
        </w:rPr>
        <w:t>“</w:t>
      </w:r>
      <w:r>
        <w:rPr>
          <w:bCs/>
          <w:sz w:val="26"/>
          <w:szCs w:val="26"/>
        </w:rPr>
        <w:t>UFG target</w:t>
      </w:r>
      <w:r w:rsidR="001A5BA1">
        <w:rPr>
          <w:bCs/>
          <w:sz w:val="26"/>
          <w:szCs w:val="26"/>
        </w:rPr>
        <w:t>”</w:t>
      </w:r>
      <w:r>
        <w:rPr>
          <w:bCs/>
          <w:sz w:val="26"/>
          <w:szCs w:val="26"/>
        </w:rPr>
        <w:t>) of 9.0% for the year ending August 31, 2019, 8.5% for the year ending August 31, 2020, and 7.5% for the year ending August 31, 2021.</w:t>
      </w:r>
    </w:p>
    <w:p w:rsidR="0032758B" w:rsidRDefault="0032758B" w:rsidP="00844225">
      <w:pPr>
        <w:widowControl/>
        <w:ind w:left="1440" w:right="1440"/>
        <w:rPr>
          <w:bCs/>
          <w:sz w:val="26"/>
          <w:szCs w:val="26"/>
        </w:rPr>
      </w:pPr>
    </w:p>
    <w:p w:rsidR="0032758B" w:rsidRPr="007F545B" w:rsidRDefault="0032758B" w:rsidP="00844225">
      <w:pPr>
        <w:widowControl/>
        <w:ind w:left="1440" w:right="1440"/>
        <w:rPr>
          <w:bCs/>
          <w:sz w:val="26"/>
          <w:szCs w:val="26"/>
        </w:rPr>
      </w:pPr>
      <w:r>
        <w:rPr>
          <w:bCs/>
          <w:sz w:val="26"/>
          <w:szCs w:val="26"/>
        </w:rPr>
        <w:t>25.</w:t>
      </w:r>
      <w:r>
        <w:rPr>
          <w:bCs/>
          <w:sz w:val="26"/>
          <w:szCs w:val="26"/>
        </w:rPr>
        <w:tab/>
        <w:t xml:space="preserve">There will be </w:t>
      </w:r>
      <w:r w:rsidRPr="0032758B">
        <w:rPr>
          <w:bCs/>
          <w:sz w:val="26"/>
          <w:szCs w:val="26"/>
        </w:rPr>
        <w:t xml:space="preserve">no adjustment for gathering system </w:t>
      </w:r>
      <w:r>
        <w:rPr>
          <w:bCs/>
          <w:sz w:val="26"/>
          <w:szCs w:val="26"/>
        </w:rPr>
        <w:t xml:space="preserve">UFG for the year ending August </w:t>
      </w:r>
      <w:r w:rsidRPr="0032758B">
        <w:rPr>
          <w:bCs/>
          <w:sz w:val="26"/>
          <w:szCs w:val="26"/>
        </w:rPr>
        <w:t>31, 2017, and no gathering UFG target for the year ending August 31, 2018.</w:t>
      </w:r>
    </w:p>
    <w:p w:rsidR="007F545B" w:rsidRDefault="007F545B" w:rsidP="00844225">
      <w:pPr>
        <w:widowControl/>
        <w:tabs>
          <w:tab w:val="left" w:pos="1445"/>
        </w:tabs>
        <w:autoSpaceDE w:val="0"/>
        <w:autoSpaceDN w:val="0"/>
        <w:adjustRightInd w:val="0"/>
        <w:ind w:firstLine="1440"/>
        <w:rPr>
          <w:sz w:val="26"/>
          <w:szCs w:val="26"/>
        </w:rPr>
      </w:pPr>
    </w:p>
    <w:p w:rsidR="0032758B" w:rsidRDefault="0032758B" w:rsidP="00844225">
      <w:pPr>
        <w:widowControl/>
        <w:tabs>
          <w:tab w:val="left" w:pos="1445"/>
        </w:tabs>
        <w:autoSpaceDE w:val="0"/>
        <w:autoSpaceDN w:val="0"/>
        <w:adjustRightInd w:val="0"/>
        <w:ind w:left="1440" w:right="1440"/>
        <w:rPr>
          <w:sz w:val="26"/>
          <w:szCs w:val="26"/>
        </w:rPr>
      </w:pPr>
      <w:r>
        <w:rPr>
          <w:sz w:val="26"/>
          <w:szCs w:val="26"/>
        </w:rPr>
        <w:t>26.</w:t>
      </w:r>
      <w:r>
        <w:rPr>
          <w:sz w:val="26"/>
          <w:szCs w:val="26"/>
        </w:rPr>
        <w:tab/>
        <w:t xml:space="preserve">In evaluating whether the gathering UFG target is achieved, there will be </w:t>
      </w:r>
      <w:r w:rsidRPr="0032758B">
        <w:rPr>
          <w:sz w:val="26"/>
          <w:szCs w:val="26"/>
        </w:rPr>
        <w:t>volumetric credits for (1) actual producer retainage charges or (2) any additional gathering retainage charges approved because producer retainage charges are not approved by the Commission.</w:t>
      </w:r>
    </w:p>
    <w:p w:rsidR="0032758B" w:rsidRDefault="0032758B" w:rsidP="00844225">
      <w:pPr>
        <w:widowControl/>
        <w:tabs>
          <w:tab w:val="left" w:pos="1445"/>
        </w:tabs>
        <w:autoSpaceDE w:val="0"/>
        <w:autoSpaceDN w:val="0"/>
        <w:adjustRightInd w:val="0"/>
        <w:ind w:left="1440" w:right="1440"/>
        <w:rPr>
          <w:sz w:val="26"/>
          <w:szCs w:val="26"/>
        </w:rPr>
      </w:pPr>
    </w:p>
    <w:p w:rsidR="0032758B" w:rsidRDefault="0032758B" w:rsidP="00844225">
      <w:pPr>
        <w:widowControl/>
        <w:tabs>
          <w:tab w:val="left" w:pos="1445"/>
        </w:tabs>
        <w:autoSpaceDE w:val="0"/>
        <w:autoSpaceDN w:val="0"/>
        <w:adjustRightInd w:val="0"/>
        <w:ind w:left="1440" w:right="1440"/>
        <w:rPr>
          <w:sz w:val="26"/>
          <w:szCs w:val="26"/>
        </w:rPr>
      </w:pPr>
      <w:r>
        <w:rPr>
          <w:sz w:val="26"/>
          <w:szCs w:val="26"/>
        </w:rPr>
        <w:t>27.</w:t>
      </w:r>
      <w:r>
        <w:rPr>
          <w:sz w:val="26"/>
          <w:szCs w:val="26"/>
        </w:rPr>
        <w:tab/>
        <w:t xml:space="preserve">Exceedances </w:t>
      </w:r>
      <w:r w:rsidRPr="0032758B">
        <w:rPr>
          <w:sz w:val="26"/>
          <w:szCs w:val="26"/>
        </w:rPr>
        <w:t>of the gathering UFG target after reflection of the above credits will create a rebuttable presumption that t</w:t>
      </w:r>
      <w:r w:rsidR="00957E46">
        <w:rPr>
          <w:sz w:val="26"/>
          <w:szCs w:val="26"/>
        </w:rPr>
        <w:t xml:space="preserve">he excess is unreasonable. </w:t>
      </w:r>
      <w:r w:rsidR="00911DD1">
        <w:rPr>
          <w:sz w:val="26"/>
          <w:szCs w:val="26"/>
        </w:rPr>
        <w:t xml:space="preserve"> </w:t>
      </w:r>
      <w:r w:rsidR="00957E46">
        <w:rPr>
          <w:sz w:val="26"/>
          <w:szCs w:val="26"/>
        </w:rPr>
        <w:t xml:space="preserve">That </w:t>
      </w:r>
      <w:r w:rsidRPr="0032758B">
        <w:rPr>
          <w:sz w:val="26"/>
          <w:szCs w:val="26"/>
        </w:rPr>
        <w:t xml:space="preserve">presumption may be rebutted by a demonstration that Peoples Gas has taken reasonable actions to reduce gathering UFG and/or demonstration that other factors, such as but not limited to, production on the gathering systems has declined thereby increasing the percentage of gathering UFG experienced. </w:t>
      </w:r>
      <w:r w:rsidR="001A5BA1">
        <w:rPr>
          <w:sz w:val="26"/>
          <w:szCs w:val="26"/>
        </w:rPr>
        <w:t xml:space="preserve"> </w:t>
      </w:r>
      <w:r w:rsidRPr="0032758B">
        <w:rPr>
          <w:sz w:val="26"/>
          <w:szCs w:val="26"/>
        </w:rPr>
        <w:t>The overall level of Peoples Gas</w:t>
      </w:r>
      <w:r w:rsidR="001A5BA1">
        <w:rPr>
          <w:sz w:val="26"/>
          <w:szCs w:val="26"/>
        </w:rPr>
        <w:t>’</w:t>
      </w:r>
      <w:r w:rsidRPr="0032758B">
        <w:rPr>
          <w:sz w:val="26"/>
          <w:szCs w:val="26"/>
        </w:rPr>
        <w:t xml:space="preserve"> UFG will also be considered.</w:t>
      </w:r>
    </w:p>
    <w:p w:rsidR="00373CD4" w:rsidRDefault="00373CD4" w:rsidP="00844225">
      <w:pPr>
        <w:widowControl/>
        <w:tabs>
          <w:tab w:val="left" w:pos="1445"/>
        </w:tabs>
        <w:autoSpaceDE w:val="0"/>
        <w:autoSpaceDN w:val="0"/>
        <w:adjustRightInd w:val="0"/>
        <w:ind w:left="1440" w:right="1440"/>
        <w:rPr>
          <w:sz w:val="26"/>
          <w:szCs w:val="26"/>
        </w:rPr>
      </w:pPr>
    </w:p>
    <w:p w:rsidR="0032758B" w:rsidRPr="0032758B" w:rsidRDefault="0032758B" w:rsidP="00844225">
      <w:pPr>
        <w:widowControl/>
        <w:tabs>
          <w:tab w:val="left" w:pos="1445"/>
        </w:tabs>
        <w:autoSpaceDE w:val="0"/>
        <w:autoSpaceDN w:val="0"/>
        <w:adjustRightInd w:val="0"/>
        <w:ind w:left="1440" w:right="1440"/>
        <w:rPr>
          <w:sz w:val="26"/>
          <w:szCs w:val="26"/>
        </w:rPr>
      </w:pPr>
      <w:r>
        <w:rPr>
          <w:sz w:val="26"/>
          <w:szCs w:val="26"/>
        </w:rPr>
        <w:t>28.</w:t>
      </w:r>
      <w:r>
        <w:rPr>
          <w:sz w:val="26"/>
          <w:szCs w:val="26"/>
        </w:rPr>
        <w:tab/>
        <w:t xml:space="preserve">Peoples Gas </w:t>
      </w:r>
      <w:r w:rsidRPr="0032758B">
        <w:rPr>
          <w:sz w:val="26"/>
          <w:szCs w:val="26"/>
        </w:rPr>
        <w:t>will aggressively implement the Peoples Companies</w:t>
      </w:r>
      <w:r w:rsidR="001A5BA1">
        <w:rPr>
          <w:sz w:val="26"/>
          <w:szCs w:val="26"/>
        </w:rPr>
        <w:t>’</w:t>
      </w:r>
      <w:r w:rsidRPr="0032758B">
        <w:rPr>
          <w:sz w:val="26"/>
          <w:szCs w:val="26"/>
        </w:rPr>
        <w:t xml:space="preserve"> Combined UFG Mitigation Plan to Address Gathering Pipelines (</w:t>
      </w:r>
      <w:r w:rsidR="001A5BA1">
        <w:rPr>
          <w:sz w:val="26"/>
          <w:szCs w:val="26"/>
        </w:rPr>
        <w:t>“</w:t>
      </w:r>
      <w:r w:rsidRPr="0032758B">
        <w:rPr>
          <w:sz w:val="26"/>
          <w:szCs w:val="26"/>
        </w:rPr>
        <w:t>UFG Mitigation Plan</w:t>
      </w:r>
      <w:r w:rsidR="001A5BA1">
        <w:rPr>
          <w:sz w:val="26"/>
          <w:szCs w:val="26"/>
        </w:rPr>
        <w:t>”</w:t>
      </w:r>
      <w:r w:rsidRPr="0032758B">
        <w:rPr>
          <w:sz w:val="26"/>
          <w:szCs w:val="26"/>
        </w:rPr>
        <w:t xml:space="preserve">) presented in this proceeding, including: (1) the </w:t>
      </w:r>
      <w:r w:rsidR="001A5BA1">
        <w:rPr>
          <w:sz w:val="26"/>
          <w:szCs w:val="26"/>
        </w:rPr>
        <w:t>“</w:t>
      </w:r>
      <w:r w:rsidRPr="0032758B">
        <w:rPr>
          <w:sz w:val="26"/>
          <w:szCs w:val="26"/>
        </w:rPr>
        <w:t>find-it / fix it</w:t>
      </w:r>
      <w:r w:rsidR="001A5BA1">
        <w:rPr>
          <w:sz w:val="26"/>
          <w:szCs w:val="26"/>
        </w:rPr>
        <w:t>”</w:t>
      </w:r>
      <w:r w:rsidRPr="0032758B">
        <w:rPr>
          <w:sz w:val="26"/>
          <w:szCs w:val="26"/>
        </w:rPr>
        <w:t xml:space="preserve"> program under which bare steel gathering lines</w:t>
      </w:r>
      <w:r>
        <w:rPr>
          <w:sz w:val="26"/>
          <w:szCs w:val="26"/>
        </w:rPr>
        <w:t xml:space="preserve"> </w:t>
      </w:r>
      <w:r w:rsidRPr="0032758B">
        <w:rPr>
          <w:sz w:val="26"/>
          <w:szCs w:val="26"/>
        </w:rPr>
        <w:t xml:space="preserve">will be leak surveyed on an annual basis and found leaks will be prioritized for </w:t>
      </w:r>
      <w:r w:rsidRPr="0032758B">
        <w:rPr>
          <w:sz w:val="26"/>
          <w:szCs w:val="26"/>
        </w:rPr>
        <w:lastRenderedPageBreak/>
        <w:t>repair, and (2) the plan to remove and replace at-risk gathering pipelines.</w:t>
      </w:r>
    </w:p>
    <w:p w:rsidR="0032758B" w:rsidRDefault="0032758B" w:rsidP="00844225">
      <w:pPr>
        <w:widowControl/>
        <w:tabs>
          <w:tab w:val="left" w:pos="1445"/>
        </w:tabs>
        <w:autoSpaceDE w:val="0"/>
        <w:autoSpaceDN w:val="0"/>
        <w:adjustRightInd w:val="0"/>
        <w:ind w:left="1440" w:right="1440"/>
        <w:rPr>
          <w:sz w:val="26"/>
          <w:szCs w:val="26"/>
        </w:rPr>
      </w:pPr>
    </w:p>
    <w:p w:rsidR="003439AF" w:rsidRDefault="0032758B" w:rsidP="00844225">
      <w:pPr>
        <w:widowControl/>
        <w:tabs>
          <w:tab w:val="left" w:pos="1445"/>
        </w:tabs>
        <w:autoSpaceDE w:val="0"/>
        <w:autoSpaceDN w:val="0"/>
        <w:adjustRightInd w:val="0"/>
        <w:ind w:left="1440" w:right="1440"/>
        <w:rPr>
          <w:sz w:val="26"/>
          <w:szCs w:val="26"/>
        </w:rPr>
      </w:pPr>
      <w:r>
        <w:rPr>
          <w:sz w:val="26"/>
          <w:szCs w:val="26"/>
        </w:rPr>
        <w:t>29.</w:t>
      </w:r>
      <w:r>
        <w:rPr>
          <w:sz w:val="26"/>
          <w:szCs w:val="26"/>
        </w:rPr>
        <w:tab/>
        <w:t xml:space="preserve">In order to ensure </w:t>
      </w:r>
      <w:r w:rsidRPr="0032758B">
        <w:rPr>
          <w:sz w:val="26"/>
          <w:szCs w:val="26"/>
        </w:rPr>
        <w:t>ongoing safe operations of all gathering facil</w:t>
      </w:r>
      <w:r>
        <w:rPr>
          <w:sz w:val="26"/>
          <w:szCs w:val="26"/>
        </w:rPr>
        <w:t xml:space="preserve">ities, Peoples Gas </w:t>
      </w:r>
      <w:r w:rsidRPr="0032758B">
        <w:rPr>
          <w:sz w:val="26"/>
          <w:szCs w:val="26"/>
        </w:rPr>
        <w:t xml:space="preserve">agrees to continue the practice of treating all non-jurisdictional </w:t>
      </w:r>
      <w:r w:rsidR="00A8160E">
        <w:rPr>
          <w:sz w:val="26"/>
          <w:szCs w:val="26"/>
        </w:rPr>
        <w:t>(</w:t>
      </w:r>
      <w:r w:rsidRPr="0032758B">
        <w:rPr>
          <w:sz w:val="26"/>
          <w:szCs w:val="26"/>
        </w:rPr>
        <w:t xml:space="preserve">DOT) </w:t>
      </w:r>
      <w:r w:rsidR="00A8160E">
        <w:rPr>
          <w:sz w:val="26"/>
          <w:szCs w:val="26"/>
        </w:rPr>
        <w:t xml:space="preserve">[U.S. Department of Transportation] </w:t>
      </w:r>
      <w:r w:rsidRPr="0032758B">
        <w:rPr>
          <w:sz w:val="26"/>
          <w:szCs w:val="26"/>
        </w:rPr>
        <w:t xml:space="preserve">gathering lines (which account for 92% of all gathering lines) as part of its normal distribution compliance program. </w:t>
      </w:r>
      <w:r w:rsidR="00F974C8">
        <w:rPr>
          <w:sz w:val="26"/>
          <w:szCs w:val="26"/>
        </w:rPr>
        <w:t xml:space="preserve"> </w:t>
      </w:r>
      <w:r w:rsidRPr="0032758B">
        <w:rPr>
          <w:sz w:val="26"/>
          <w:szCs w:val="26"/>
        </w:rPr>
        <w:t xml:space="preserve">This would include damage prevention locates, corrosion prevention, leak </w:t>
      </w:r>
    </w:p>
    <w:p w:rsidR="0032758B" w:rsidRDefault="0032758B" w:rsidP="003439AF">
      <w:pPr>
        <w:keepNext/>
        <w:keepLines/>
        <w:widowControl/>
        <w:tabs>
          <w:tab w:val="left" w:pos="1445"/>
        </w:tabs>
        <w:autoSpaceDE w:val="0"/>
        <w:autoSpaceDN w:val="0"/>
        <w:adjustRightInd w:val="0"/>
        <w:ind w:left="1440" w:right="1440"/>
        <w:rPr>
          <w:sz w:val="26"/>
          <w:szCs w:val="26"/>
        </w:rPr>
      </w:pPr>
      <w:r w:rsidRPr="0032758B">
        <w:rPr>
          <w:sz w:val="26"/>
          <w:szCs w:val="26"/>
        </w:rPr>
        <w:t>surveys, placement of line markers, and atmospheric corrosion surveys.</w:t>
      </w:r>
    </w:p>
    <w:p w:rsidR="00F974C8" w:rsidRDefault="00F974C8" w:rsidP="003439AF">
      <w:pPr>
        <w:keepNext/>
        <w:keepLines/>
        <w:widowControl/>
        <w:tabs>
          <w:tab w:val="left" w:pos="1445"/>
        </w:tabs>
        <w:autoSpaceDE w:val="0"/>
        <w:autoSpaceDN w:val="0"/>
        <w:adjustRightInd w:val="0"/>
        <w:ind w:left="1440" w:right="1440"/>
        <w:rPr>
          <w:sz w:val="26"/>
          <w:szCs w:val="26"/>
        </w:rPr>
      </w:pPr>
    </w:p>
    <w:p w:rsidR="00F974C8" w:rsidRDefault="00F974C8" w:rsidP="003439AF">
      <w:pPr>
        <w:keepNext/>
        <w:keepLines/>
        <w:widowControl/>
        <w:tabs>
          <w:tab w:val="left" w:pos="1445"/>
        </w:tabs>
        <w:autoSpaceDE w:val="0"/>
        <w:autoSpaceDN w:val="0"/>
        <w:adjustRightInd w:val="0"/>
        <w:ind w:left="1440" w:right="1440"/>
        <w:rPr>
          <w:sz w:val="26"/>
          <w:szCs w:val="26"/>
        </w:rPr>
      </w:pPr>
    </w:p>
    <w:p w:rsidR="0061434A" w:rsidRDefault="0061434A" w:rsidP="00844225">
      <w:pPr>
        <w:widowControl/>
        <w:tabs>
          <w:tab w:val="left" w:pos="1445"/>
        </w:tabs>
        <w:autoSpaceDE w:val="0"/>
        <w:autoSpaceDN w:val="0"/>
        <w:adjustRightInd w:val="0"/>
        <w:spacing w:line="360" w:lineRule="auto"/>
        <w:ind w:right="1440"/>
        <w:rPr>
          <w:sz w:val="26"/>
          <w:szCs w:val="26"/>
        </w:rPr>
      </w:pPr>
      <w:r>
        <w:rPr>
          <w:sz w:val="26"/>
          <w:szCs w:val="26"/>
        </w:rPr>
        <w:t>Joint Petition at 5-6.</w:t>
      </w:r>
    </w:p>
    <w:p w:rsidR="00373CD4" w:rsidRDefault="00373CD4" w:rsidP="00844225">
      <w:pPr>
        <w:widowControl/>
        <w:tabs>
          <w:tab w:val="left" w:pos="1445"/>
        </w:tabs>
        <w:autoSpaceDE w:val="0"/>
        <w:autoSpaceDN w:val="0"/>
        <w:adjustRightInd w:val="0"/>
        <w:spacing w:line="360" w:lineRule="auto"/>
        <w:ind w:firstLine="1440"/>
        <w:rPr>
          <w:sz w:val="26"/>
          <w:szCs w:val="26"/>
        </w:rPr>
      </w:pPr>
    </w:p>
    <w:p w:rsidR="00E15CF7" w:rsidRDefault="00E15CF7" w:rsidP="00844225">
      <w:pPr>
        <w:widowControl/>
        <w:tabs>
          <w:tab w:val="left" w:pos="1445"/>
        </w:tabs>
        <w:autoSpaceDE w:val="0"/>
        <w:autoSpaceDN w:val="0"/>
        <w:adjustRightInd w:val="0"/>
        <w:spacing w:line="360" w:lineRule="auto"/>
        <w:ind w:firstLine="1440"/>
        <w:rPr>
          <w:sz w:val="26"/>
          <w:szCs w:val="26"/>
        </w:rPr>
      </w:pPr>
      <w:r>
        <w:rPr>
          <w:sz w:val="26"/>
          <w:szCs w:val="26"/>
        </w:rPr>
        <w:t xml:space="preserve">Paragraphs 24 through 29 represent a resolution between the Peoples Gas and I&amp;E on the issue of whether a cap should be set on gathering system UFG and whether Peoples Gas should be prevented from recovering the costs of UFG volumes that are in excess of the cap.  </w:t>
      </w:r>
      <w:r w:rsidR="00644143">
        <w:rPr>
          <w:sz w:val="26"/>
          <w:szCs w:val="26"/>
        </w:rPr>
        <w:t>I&amp;E</w:t>
      </w:r>
      <w:r w:rsidR="001A5BA1">
        <w:rPr>
          <w:sz w:val="26"/>
          <w:szCs w:val="26"/>
        </w:rPr>
        <w:t>’</w:t>
      </w:r>
      <w:r w:rsidR="00644143">
        <w:rPr>
          <w:sz w:val="26"/>
          <w:szCs w:val="26"/>
        </w:rPr>
        <w:t>s concern regarding the level of Peoples Gas</w:t>
      </w:r>
      <w:r w:rsidR="001A5BA1">
        <w:rPr>
          <w:sz w:val="26"/>
          <w:szCs w:val="26"/>
        </w:rPr>
        <w:t>’</w:t>
      </w:r>
      <w:r w:rsidR="00644143">
        <w:rPr>
          <w:sz w:val="26"/>
          <w:szCs w:val="26"/>
        </w:rPr>
        <w:t xml:space="preserve"> gathering system UFG stemmed from</w:t>
      </w:r>
      <w:r w:rsidR="007B5237">
        <w:rPr>
          <w:sz w:val="26"/>
          <w:szCs w:val="26"/>
        </w:rPr>
        <w:t xml:space="preserve"> the Company</w:t>
      </w:r>
      <w:r w:rsidR="001A5BA1">
        <w:rPr>
          <w:sz w:val="26"/>
          <w:szCs w:val="26"/>
        </w:rPr>
        <w:t>’</w:t>
      </w:r>
      <w:r w:rsidR="007B5237">
        <w:rPr>
          <w:sz w:val="26"/>
          <w:szCs w:val="26"/>
        </w:rPr>
        <w:t>s</w:t>
      </w:r>
      <w:r w:rsidR="00644143">
        <w:rPr>
          <w:sz w:val="26"/>
          <w:szCs w:val="26"/>
        </w:rPr>
        <w:t xml:space="preserve"> 2017 UFG report to the Commission, which was the first year Peoples Gas separately reported gathering system UFG volume.</w:t>
      </w:r>
      <w:r w:rsidR="00644143">
        <w:rPr>
          <w:rStyle w:val="FootnoteReference"/>
          <w:sz w:val="26"/>
          <w:szCs w:val="26"/>
        </w:rPr>
        <w:footnoteReference w:id="7"/>
      </w:r>
      <w:r w:rsidR="007B5237">
        <w:rPr>
          <w:sz w:val="26"/>
          <w:szCs w:val="26"/>
        </w:rPr>
        <w:t xml:space="preserve">  I&amp;E explained the UFG targets for distribution systems set by the Commission for NGDCs but notes an absence of similar UFG goals for gathering systems.</w:t>
      </w:r>
      <w:r w:rsidR="005645D7">
        <w:rPr>
          <w:sz w:val="26"/>
          <w:szCs w:val="26"/>
        </w:rPr>
        <w:t xml:space="preserve">  I&amp;E Statement in Support at 5-6.  Commission Regulations at 52 Pa. Code § 59.111</w:t>
      </w:r>
      <w:r w:rsidR="00BF4797">
        <w:rPr>
          <w:sz w:val="26"/>
          <w:szCs w:val="26"/>
        </w:rPr>
        <w:t>(c)</w:t>
      </w:r>
      <w:r w:rsidR="005645D7">
        <w:rPr>
          <w:sz w:val="26"/>
          <w:szCs w:val="26"/>
        </w:rPr>
        <w:t xml:space="preserve"> address UFG as follows:</w:t>
      </w:r>
    </w:p>
    <w:p w:rsidR="005645D7" w:rsidRDefault="005645D7" w:rsidP="00844225">
      <w:pPr>
        <w:widowControl/>
        <w:tabs>
          <w:tab w:val="left" w:pos="1445"/>
        </w:tabs>
        <w:autoSpaceDE w:val="0"/>
        <w:autoSpaceDN w:val="0"/>
        <w:adjustRightInd w:val="0"/>
        <w:spacing w:line="360" w:lineRule="auto"/>
        <w:ind w:firstLine="1440"/>
        <w:rPr>
          <w:sz w:val="26"/>
          <w:szCs w:val="26"/>
        </w:rPr>
      </w:pPr>
    </w:p>
    <w:p w:rsidR="005645D7" w:rsidRPr="0032758B" w:rsidRDefault="005645D7" w:rsidP="00844225">
      <w:pPr>
        <w:widowControl/>
        <w:ind w:left="1440" w:right="1440"/>
        <w:rPr>
          <w:bCs/>
          <w:sz w:val="26"/>
          <w:szCs w:val="26"/>
        </w:rPr>
      </w:pPr>
      <w:r>
        <w:rPr>
          <w:bCs/>
          <w:sz w:val="26"/>
          <w:szCs w:val="26"/>
        </w:rPr>
        <w:t>(1)</w:t>
      </w:r>
      <w:r>
        <w:rPr>
          <w:bCs/>
          <w:sz w:val="26"/>
          <w:szCs w:val="26"/>
        </w:rPr>
        <w:tab/>
        <w:t xml:space="preserve">Each NGDC and city natural gas distribution operation shall, at a minimum, reduce distribution system loss performance in accordance with the metrics in the following table, beginning with its first subsequent Purchased Gas Cost (PGC) or Gas Cost Rate (GCR) filing after August 11, 2014.  The metric stars with 5% in the first year and decreases by </w:t>
      </w:r>
      <w:r>
        <w:rPr>
          <w:bCs/>
          <w:sz w:val="26"/>
          <w:szCs w:val="26"/>
        </w:rPr>
        <w:lastRenderedPageBreak/>
        <w:t>0.5% every year in the subsequent years until it reaches 3% as shown in the following table:</w:t>
      </w:r>
    </w:p>
    <w:p w:rsidR="005645D7" w:rsidRDefault="005645D7" w:rsidP="00844225">
      <w:pPr>
        <w:widowControl/>
        <w:tabs>
          <w:tab w:val="left" w:pos="1445"/>
        </w:tabs>
        <w:autoSpaceDE w:val="0"/>
        <w:autoSpaceDN w:val="0"/>
        <w:adjustRightInd w:val="0"/>
        <w:spacing w:line="360" w:lineRule="auto"/>
        <w:ind w:firstLine="1440"/>
        <w:rPr>
          <w:sz w:val="26"/>
          <w:szCs w:val="26"/>
        </w:rPr>
      </w:pPr>
    </w:p>
    <w:tbl>
      <w:tblPr>
        <w:tblStyle w:val="TableGrid"/>
        <w:tblW w:w="0" w:type="auto"/>
        <w:tblInd w:w="2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980"/>
      </w:tblGrid>
      <w:tr w:rsidR="005645D7" w:rsidTr="00225AFF">
        <w:tc>
          <w:tcPr>
            <w:tcW w:w="2160" w:type="dxa"/>
          </w:tcPr>
          <w:p w:rsidR="005645D7" w:rsidRPr="005645D7" w:rsidRDefault="005645D7" w:rsidP="00844225">
            <w:pPr>
              <w:widowControl/>
              <w:tabs>
                <w:tab w:val="left" w:pos="1445"/>
              </w:tabs>
              <w:autoSpaceDE w:val="0"/>
              <w:autoSpaceDN w:val="0"/>
              <w:adjustRightInd w:val="0"/>
              <w:jc w:val="center"/>
              <w:rPr>
                <w:b/>
                <w:sz w:val="26"/>
                <w:szCs w:val="26"/>
                <w:u w:val="single"/>
              </w:rPr>
            </w:pPr>
            <w:r w:rsidRPr="005645D7">
              <w:rPr>
                <w:b/>
                <w:sz w:val="26"/>
                <w:szCs w:val="26"/>
                <w:u w:val="single"/>
              </w:rPr>
              <w:t>Year</w:t>
            </w:r>
          </w:p>
        </w:tc>
        <w:tc>
          <w:tcPr>
            <w:tcW w:w="1980" w:type="dxa"/>
          </w:tcPr>
          <w:p w:rsidR="005645D7" w:rsidRPr="005645D7" w:rsidRDefault="005645D7" w:rsidP="00844225">
            <w:pPr>
              <w:widowControl/>
              <w:tabs>
                <w:tab w:val="left" w:pos="1445"/>
              </w:tabs>
              <w:autoSpaceDE w:val="0"/>
              <w:autoSpaceDN w:val="0"/>
              <w:adjustRightInd w:val="0"/>
              <w:jc w:val="center"/>
              <w:rPr>
                <w:b/>
                <w:sz w:val="26"/>
                <w:szCs w:val="26"/>
                <w:u w:val="single"/>
              </w:rPr>
            </w:pPr>
            <w:r w:rsidRPr="005645D7">
              <w:rPr>
                <w:b/>
                <w:sz w:val="26"/>
                <w:szCs w:val="26"/>
                <w:u w:val="single"/>
              </w:rPr>
              <w:t>Percent UFG</w:t>
            </w:r>
          </w:p>
        </w:tc>
      </w:tr>
      <w:tr w:rsidR="005645D7" w:rsidTr="00225AFF">
        <w:tc>
          <w:tcPr>
            <w:tcW w:w="2160" w:type="dxa"/>
          </w:tcPr>
          <w:p w:rsidR="005645D7" w:rsidRDefault="005645D7" w:rsidP="00844225">
            <w:pPr>
              <w:widowControl/>
              <w:tabs>
                <w:tab w:val="left" w:pos="1445"/>
              </w:tabs>
              <w:autoSpaceDE w:val="0"/>
              <w:autoSpaceDN w:val="0"/>
              <w:adjustRightInd w:val="0"/>
              <w:jc w:val="center"/>
              <w:rPr>
                <w:sz w:val="26"/>
                <w:szCs w:val="26"/>
              </w:rPr>
            </w:pPr>
            <w:r>
              <w:rPr>
                <w:sz w:val="26"/>
                <w:szCs w:val="26"/>
              </w:rPr>
              <w:t>1</w:t>
            </w:r>
          </w:p>
        </w:tc>
        <w:tc>
          <w:tcPr>
            <w:tcW w:w="1980" w:type="dxa"/>
          </w:tcPr>
          <w:p w:rsidR="005645D7" w:rsidRDefault="005645D7" w:rsidP="00844225">
            <w:pPr>
              <w:widowControl/>
              <w:tabs>
                <w:tab w:val="left" w:pos="1445"/>
              </w:tabs>
              <w:autoSpaceDE w:val="0"/>
              <w:autoSpaceDN w:val="0"/>
              <w:adjustRightInd w:val="0"/>
              <w:jc w:val="center"/>
              <w:rPr>
                <w:sz w:val="26"/>
                <w:szCs w:val="26"/>
              </w:rPr>
            </w:pPr>
            <w:r>
              <w:rPr>
                <w:sz w:val="26"/>
                <w:szCs w:val="26"/>
              </w:rPr>
              <w:t>5.00 %</w:t>
            </w:r>
          </w:p>
        </w:tc>
      </w:tr>
      <w:tr w:rsidR="005645D7" w:rsidTr="00225AFF">
        <w:tc>
          <w:tcPr>
            <w:tcW w:w="2160" w:type="dxa"/>
          </w:tcPr>
          <w:p w:rsidR="005645D7" w:rsidRDefault="005645D7" w:rsidP="00844225">
            <w:pPr>
              <w:widowControl/>
              <w:tabs>
                <w:tab w:val="left" w:pos="1445"/>
              </w:tabs>
              <w:autoSpaceDE w:val="0"/>
              <w:autoSpaceDN w:val="0"/>
              <w:adjustRightInd w:val="0"/>
              <w:ind w:left="-15"/>
              <w:jc w:val="center"/>
              <w:rPr>
                <w:sz w:val="26"/>
                <w:szCs w:val="26"/>
              </w:rPr>
            </w:pPr>
            <w:r>
              <w:rPr>
                <w:sz w:val="26"/>
                <w:szCs w:val="26"/>
              </w:rPr>
              <w:t>2</w:t>
            </w:r>
          </w:p>
        </w:tc>
        <w:tc>
          <w:tcPr>
            <w:tcW w:w="1980" w:type="dxa"/>
          </w:tcPr>
          <w:p w:rsidR="005645D7" w:rsidRDefault="005645D7" w:rsidP="00844225">
            <w:pPr>
              <w:widowControl/>
              <w:tabs>
                <w:tab w:val="left" w:pos="1445"/>
              </w:tabs>
              <w:autoSpaceDE w:val="0"/>
              <w:autoSpaceDN w:val="0"/>
              <w:adjustRightInd w:val="0"/>
              <w:jc w:val="center"/>
              <w:rPr>
                <w:sz w:val="26"/>
                <w:szCs w:val="26"/>
              </w:rPr>
            </w:pPr>
            <w:r>
              <w:rPr>
                <w:sz w:val="26"/>
                <w:szCs w:val="26"/>
              </w:rPr>
              <w:t>4.50 %</w:t>
            </w:r>
          </w:p>
        </w:tc>
      </w:tr>
      <w:tr w:rsidR="005645D7" w:rsidTr="00225AFF">
        <w:tc>
          <w:tcPr>
            <w:tcW w:w="2160" w:type="dxa"/>
          </w:tcPr>
          <w:p w:rsidR="005645D7" w:rsidRDefault="005645D7" w:rsidP="00844225">
            <w:pPr>
              <w:widowControl/>
              <w:tabs>
                <w:tab w:val="left" w:pos="1445"/>
              </w:tabs>
              <w:autoSpaceDE w:val="0"/>
              <w:autoSpaceDN w:val="0"/>
              <w:adjustRightInd w:val="0"/>
              <w:jc w:val="center"/>
              <w:rPr>
                <w:sz w:val="26"/>
                <w:szCs w:val="26"/>
              </w:rPr>
            </w:pPr>
            <w:r>
              <w:rPr>
                <w:sz w:val="26"/>
                <w:szCs w:val="26"/>
              </w:rPr>
              <w:t>3</w:t>
            </w:r>
          </w:p>
        </w:tc>
        <w:tc>
          <w:tcPr>
            <w:tcW w:w="1980" w:type="dxa"/>
          </w:tcPr>
          <w:p w:rsidR="005645D7" w:rsidRDefault="005645D7" w:rsidP="00844225">
            <w:pPr>
              <w:widowControl/>
              <w:tabs>
                <w:tab w:val="left" w:pos="1445"/>
              </w:tabs>
              <w:autoSpaceDE w:val="0"/>
              <w:autoSpaceDN w:val="0"/>
              <w:adjustRightInd w:val="0"/>
              <w:jc w:val="center"/>
              <w:rPr>
                <w:sz w:val="26"/>
                <w:szCs w:val="26"/>
              </w:rPr>
            </w:pPr>
            <w:r>
              <w:rPr>
                <w:sz w:val="26"/>
                <w:szCs w:val="26"/>
              </w:rPr>
              <w:t>4.00 %</w:t>
            </w:r>
          </w:p>
        </w:tc>
      </w:tr>
      <w:tr w:rsidR="005645D7" w:rsidTr="00225AFF">
        <w:tc>
          <w:tcPr>
            <w:tcW w:w="2160" w:type="dxa"/>
          </w:tcPr>
          <w:p w:rsidR="005645D7" w:rsidRDefault="005645D7" w:rsidP="00844225">
            <w:pPr>
              <w:widowControl/>
              <w:tabs>
                <w:tab w:val="left" w:pos="1445"/>
              </w:tabs>
              <w:autoSpaceDE w:val="0"/>
              <w:autoSpaceDN w:val="0"/>
              <w:adjustRightInd w:val="0"/>
              <w:jc w:val="center"/>
              <w:rPr>
                <w:sz w:val="26"/>
                <w:szCs w:val="26"/>
              </w:rPr>
            </w:pPr>
            <w:r>
              <w:rPr>
                <w:sz w:val="26"/>
                <w:szCs w:val="26"/>
              </w:rPr>
              <w:t>4</w:t>
            </w:r>
          </w:p>
        </w:tc>
        <w:tc>
          <w:tcPr>
            <w:tcW w:w="1980" w:type="dxa"/>
          </w:tcPr>
          <w:p w:rsidR="005645D7" w:rsidRDefault="005645D7" w:rsidP="00844225">
            <w:pPr>
              <w:widowControl/>
              <w:tabs>
                <w:tab w:val="left" w:pos="1445"/>
              </w:tabs>
              <w:autoSpaceDE w:val="0"/>
              <w:autoSpaceDN w:val="0"/>
              <w:adjustRightInd w:val="0"/>
              <w:jc w:val="center"/>
              <w:rPr>
                <w:sz w:val="26"/>
                <w:szCs w:val="26"/>
              </w:rPr>
            </w:pPr>
            <w:r>
              <w:rPr>
                <w:sz w:val="26"/>
                <w:szCs w:val="26"/>
              </w:rPr>
              <w:t>3.50 %</w:t>
            </w:r>
          </w:p>
        </w:tc>
      </w:tr>
      <w:tr w:rsidR="005645D7" w:rsidTr="00225AFF">
        <w:tc>
          <w:tcPr>
            <w:tcW w:w="2160" w:type="dxa"/>
          </w:tcPr>
          <w:p w:rsidR="005645D7" w:rsidRDefault="005645D7" w:rsidP="00844225">
            <w:pPr>
              <w:widowControl/>
              <w:tabs>
                <w:tab w:val="left" w:pos="1445"/>
              </w:tabs>
              <w:autoSpaceDE w:val="0"/>
              <w:autoSpaceDN w:val="0"/>
              <w:adjustRightInd w:val="0"/>
              <w:jc w:val="center"/>
              <w:rPr>
                <w:sz w:val="26"/>
                <w:szCs w:val="26"/>
              </w:rPr>
            </w:pPr>
            <w:r>
              <w:rPr>
                <w:sz w:val="26"/>
                <w:szCs w:val="26"/>
              </w:rPr>
              <w:t>5</w:t>
            </w:r>
          </w:p>
        </w:tc>
        <w:tc>
          <w:tcPr>
            <w:tcW w:w="1980" w:type="dxa"/>
          </w:tcPr>
          <w:p w:rsidR="005645D7" w:rsidRDefault="005645D7" w:rsidP="00844225">
            <w:pPr>
              <w:widowControl/>
              <w:tabs>
                <w:tab w:val="left" w:pos="1445"/>
              </w:tabs>
              <w:autoSpaceDE w:val="0"/>
              <w:autoSpaceDN w:val="0"/>
              <w:adjustRightInd w:val="0"/>
              <w:jc w:val="center"/>
              <w:rPr>
                <w:sz w:val="26"/>
                <w:szCs w:val="26"/>
              </w:rPr>
            </w:pPr>
            <w:r>
              <w:rPr>
                <w:sz w:val="26"/>
                <w:szCs w:val="26"/>
              </w:rPr>
              <w:t>3.00 %</w:t>
            </w:r>
          </w:p>
        </w:tc>
      </w:tr>
    </w:tbl>
    <w:p w:rsidR="00E15CF7" w:rsidRDefault="00E15CF7" w:rsidP="00844225">
      <w:pPr>
        <w:widowControl/>
        <w:tabs>
          <w:tab w:val="left" w:pos="1445"/>
        </w:tabs>
        <w:autoSpaceDE w:val="0"/>
        <w:autoSpaceDN w:val="0"/>
        <w:adjustRightInd w:val="0"/>
        <w:rPr>
          <w:sz w:val="26"/>
          <w:szCs w:val="26"/>
        </w:rPr>
      </w:pPr>
    </w:p>
    <w:p w:rsidR="004D40A9" w:rsidRDefault="004D40A9" w:rsidP="00844225">
      <w:pPr>
        <w:widowControl/>
        <w:tabs>
          <w:tab w:val="left" w:pos="1445"/>
        </w:tabs>
        <w:autoSpaceDE w:val="0"/>
        <w:autoSpaceDN w:val="0"/>
        <w:adjustRightInd w:val="0"/>
        <w:rPr>
          <w:sz w:val="26"/>
          <w:szCs w:val="26"/>
        </w:rPr>
      </w:pPr>
    </w:p>
    <w:p w:rsidR="00373CD4" w:rsidRDefault="008D56D8" w:rsidP="00844225">
      <w:pPr>
        <w:widowControl/>
        <w:tabs>
          <w:tab w:val="left" w:pos="1445"/>
        </w:tabs>
        <w:autoSpaceDE w:val="0"/>
        <w:autoSpaceDN w:val="0"/>
        <w:adjustRightInd w:val="0"/>
        <w:spacing w:line="360" w:lineRule="auto"/>
        <w:ind w:firstLine="1440"/>
        <w:rPr>
          <w:sz w:val="26"/>
          <w:szCs w:val="26"/>
        </w:rPr>
      </w:pPr>
      <w:r>
        <w:rPr>
          <w:sz w:val="26"/>
          <w:szCs w:val="26"/>
        </w:rPr>
        <w:t>Consequently, the UFG target for distribution lines</w:t>
      </w:r>
      <w:r w:rsidR="00656A34">
        <w:rPr>
          <w:sz w:val="26"/>
          <w:szCs w:val="26"/>
        </w:rPr>
        <w:t>,</w:t>
      </w:r>
      <w:r>
        <w:rPr>
          <w:sz w:val="26"/>
          <w:szCs w:val="26"/>
        </w:rPr>
        <w:t xml:space="preserve"> mandated by </w:t>
      </w:r>
      <w:r w:rsidR="00CA6E89">
        <w:rPr>
          <w:sz w:val="26"/>
          <w:szCs w:val="26"/>
        </w:rPr>
        <w:t>Commission Regulations</w:t>
      </w:r>
      <w:r w:rsidR="00656A34">
        <w:rPr>
          <w:sz w:val="26"/>
          <w:szCs w:val="26"/>
        </w:rPr>
        <w:t>,</w:t>
      </w:r>
      <w:r w:rsidR="00CA6E89">
        <w:rPr>
          <w:sz w:val="26"/>
          <w:szCs w:val="26"/>
        </w:rPr>
        <w:t xml:space="preserve"> </w:t>
      </w:r>
      <w:r w:rsidR="00BF4797">
        <w:rPr>
          <w:sz w:val="26"/>
          <w:szCs w:val="26"/>
        </w:rPr>
        <w:t>was</w:t>
      </w:r>
      <w:r>
        <w:rPr>
          <w:sz w:val="26"/>
          <w:szCs w:val="26"/>
        </w:rPr>
        <w:t xml:space="preserve"> set at 3.5% and </w:t>
      </w:r>
      <w:r w:rsidR="00BF4797">
        <w:rPr>
          <w:sz w:val="26"/>
          <w:szCs w:val="26"/>
        </w:rPr>
        <w:t xml:space="preserve">decreased </w:t>
      </w:r>
      <w:r>
        <w:rPr>
          <w:sz w:val="26"/>
          <w:szCs w:val="26"/>
        </w:rPr>
        <w:t>to 3% for the twelve months en</w:t>
      </w:r>
      <w:r w:rsidR="008809AE">
        <w:rPr>
          <w:sz w:val="26"/>
          <w:szCs w:val="26"/>
        </w:rPr>
        <w:t>ding August 31, 2018.  I&amp;E noted</w:t>
      </w:r>
      <w:r>
        <w:rPr>
          <w:sz w:val="26"/>
          <w:szCs w:val="26"/>
        </w:rPr>
        <w:t xml:space="preserve"> that the Company is currently under those targets with a reported 2.47% UFG on its distribution </w:t>
      </w:r>
      <w:r w:rsidR="00B947B7">
        <w:rPr>
          <w:sz w:val="26"/>
          <w:szCs w:val="26"/>
        </w:rPr>
        <w:t>system but</w:t>
      </w:r>
      <w:r w:rsidR="007F694F">
        <w:rPr>
          <w:sz w:val="26"/>
          <w:szCs w:val="26"/>
        </w:rPr>
        <w:t xml:space="preserve"> expressed concern with regards to the Company</w:t>
      </w:r>
      <w:r w:rsidR="001A5BA1">
        <w:rPr>
          <w:sz w:val="26"/>
          <w:szCs w:val="26"/>
        </w:rPr>
        <w:t>’</w:t>
      </w:r>
      <w:r w:rsidR="007F694F">
        <w:rPr>
          <w:sz w:val="26"/>
          <w:szCs w:val="26"/>
        </w:rPr>
        <w:t>s reported 9.5% UFG on its gathering system.</w:t>
      </w:r>
      <w:r w:rsidR="00F36247">
        <w:rPr>
          <w:sz w:val="26"/>
          <w:szCs w:val="26"/>
        </w:rPr>
        <w:t xml:space="preserve">  </w:t>
      </w:r>
      <w:r w:rsidR="00BF31E5">
        <w:rPr>
          <w:sz w:val="26"/>
          <w:szCs w:val="26"/>
        </w:rPr>
        <w:t>Through its testimony in this case, I&amp;E proposed setting an initial cap of 8% on gathering system UFG and stepping the cap down to 5% over three years.  In addition, I&amp;E recommended disallowance of gathering system UFG volumes in excess of its proposed initial 8% cap.  I&amp;E Statement in Support at 5-6 (citing I&amp;E St. No. 1 at 11-12).</w:t>
      </w:r>
    </w:p>
    <w:p w:rsidR="005634FC" w:rsidRDefault="005634FC" w:rsidP="00844225">
      <w:pPr>
        <w:widowControl/>
        <w:tabs>
          <w:tab w:val="left" w:pos="1445"/>
        </w:tabs>
        <w:autoSpaceDE w:val="0"/>
        <w:autoSpaceDN w:val="0"/>
        <w:adjustRightInd w:val="0"/>
        <w:spacing w:line="360" w:lineRule="auto"/>
        <w:ind w:firstLine="1440"/>
        <w:rPr>
          <w:sz w:val="26"/>
          <w:szCs w:val="26"/>
        </w:rPr>
      </w:pPr>
    </w:p>
    <w:p w:rsidR="005634FC" w:rsidRDefault="00D942C7" w:rsidP="00844225">
      <w:pPr>
        <w:widowControl/>
        <w:tabs>
          <w:tab w:val="left" w:pos="1445"/>
        </w:tabs>
        <w:autoSpaceDE w:val="0"/>
        <w:autoSpaceDN w:val="0"/>
        <w:adjustRightInd w:val="0"/>
        <w:spacing w:line="360" w:lineRule="auto"/>
        <w:ind w:firstLine="1440"/>
        <w:rPr>
          <w:sz w:val="26"/>
          <w:szCs w:val="26"/>
        </w:rPr>
      </w:pPr>
      <w:r>
        <w:rPr>
          <w:sz w:val="26"/>
          <w:szCs w:val="26"/>
        </w:rPr>
        <w:t>Peoples Gas opposed I&amp;E</w:t>
      </w:r>
      <w:r w:rsidR="001A5BA1">
        <w:rPr>
          <w:sz w:val="26"/>
          <w:szCs w:val="26"/>
        </w:rPr>
        <w:t>’</w:t>
      </w:r>
      <w:r>
        <w:rPr>
          <w:sz w:val="26"/>
          <w:szCs w:val="26"/>
        </w:rPr>
        <w:t xml:space="preserve">s recommendations in rebuttal testimony; nonetheless, the Joint Petitioners reached a resolution of these issues as reflected in the Partial Settlement.  Joint Petition at ¶¶ 24-29.  </w:t>
      </w:r>
      <w:r w:rsidR="005634FC">
        <w:rPr>
          <w:sz w:val="26"/>
          <w:szCs w:val="26"/>
        </w:rPr>
        <w:t>The Partial Settlement establishes UFG targets for Peoples Gas</w:t>
      </w:r>
      <w:r w:rsidR="001A5BA1">
        <w:rPr>
          <w:sz w:val="26"/>
          <w:szCs w:val="26"/>
        </w:rPr>
        <w:t>’</w:t>
      </w:r>
      <w:r w:rsidR="005634FC">
        <w:rPr>
          <w:sz w:val="26"/>
          <w:szCs w:val="26"/>
        </w:rPr>
        <w:t xml:space="preserve"> gathering system for three consecutive years beginning with the twelve months ending August 31, 2019.  For that year the target will be 9.0%.  For the year ending August 31, 2020, the target will be 8.5%, and for the year ending August 31, 2021, it will be 7.5%.</w:t>
      </w:r>
      <w:r w:rsidR="007E516B">
        <w:rPr>
          <w:sz w:val="26"/>
          <w:szCs w:val="26"/>
        </w:rPr>
        <w:t xml:space="preserve">  Partial Settlement at ¶ 24.  There will be no target for the year ending August 31, 2018 and there will be no retroactive adjustment for gathering system UFG for the twelve months ending August 31, 2017.  </w:t>
      </w:r>
      <w:r w:rsidR="007E516B" w:rsidRPr="007E516B">
        <w:rPr>
          <w:i/>
          <w:sz w:val="26"/>
          <w:szCs w:val="26"/>
        </w:rPr>
        <w:t>Id</w:t>
      </w:r>
      <w:r w:rsidR="007E516B">
        <w:rPr>
          <w:sz w:val="26"/>
          <w:szCs w:val="26"/>
        </w:rPr>
        <w:t>. at ¶ 25.</w:t>
      </w:r>
      <w:r w:rsidR="00C60E5A">
        <w:rPr>
          <w:sz w:val="26"/>
          <w:szCs w:val="26"/>
        </w:rPr>
        <w:t xml:space="preserve">  Further, the Partial Settlement employs the use of rebuttable presumption to allow Peoples Gas to offer a </w:t>
      </w:r>
      <w:r w:rsidR="00C60E5A">
        <w:rPr>
          <w:sz w:val="26"/>
          <w:szCs w:val="26"/>
        </w:rPr>
        <w:lastRenderedPageBreak/>
        <w:t>reasonable explanation for why the cap is exceeded in a given year and calls for aggressive implementation of Peoples Gas</w:t>
      </w:r>
      <w:r w:rsidR="001A5BA1">
        <w:rPr>
          <w:sz w:val="26"/>
          <w:szCs w:val="26"/>
        </w:rPr>
        <w:t>’</w:t>
      </w:r>
      <w:r w:rsidR="00C60E5A">
        <w:rPr>
          <w:sz w:val="26"/>
          <w:szCs w:val="26"/>
        </w:rPr>
        <w:t xml:space="preserve"> UFG Mitigation Plan.</w:t>
      </w:r>
      <w:r w:rsidR="00C60E5A" w:rsidRPr="00C60E5A">
        <w:rPr>
          <w:i/>
          <w:sz w:val="26"/>
          <w:szCs w:val="26"/>
        </w:rPr>
        <w:t xml:space="preserve"> </w:t>
      </w:r>
      <w:r w:rsidR="0057693F">
        <w:rPr>
          <w:i/>
          <w:sz w:val="26"/>
          <w:szCs w:val="26"/>
        </w:rPr>
        <w:t xml:space="preserve"> </w:t>
      </w:r>
      <w:r w:rsidR="00C60E5A" w:rsidRPr="007E516B">
        <w:rPr>
          <w:i/>
          <w:sz w:val="26"/>
          <w:szCs w:val="26"/>
        </w:rPr>
        <w:t>Id</w:t>
      </w:r>
      <w:r w:rsidR="00C60E5A">
        <w:rPr>
          <w:sz w:val="26"/>
          <w:szCs w:val="26"/>
        </w:rPr>
        <w:t>. at ¶¶ 27-28.</w:t>
      </w:r>
    </w:p>
    <w:p w:rsidR="00CA6E89" w:rsidRDefault="00CA6E89" w:rsidP="00844225">
      <w:pPr>
        <w:widowControl/>
        <w:tabs>
          <w:tab w:val="left" w:pos="1445"/>
        </w:tabs>
        <w:autoSpaceDE w:val="0"/>
        <w:autoSpaceDN w:val="0"/>
        <w:adjustRightInd w:val="0"/>
        <w:spacing w:line="360" w:lineRule="auto"/>
        <w:rPr>
          <w:sz w:val="26"/>
          <w:szCs w:val="26"/>
        </w:rPr>
      </w:pPr>
    </w:p>
    <w:p w:rsidR="0032758B" w:rsidRPr="007F545B" w:rsidRDefault="0061434A" w:rsidP="003439AF">
      <w:pPr>
        <w:keepNext/>
        <w:keepLines/>
        <w:widowControl/>
        <w:numPr>
          <w:ilvl w:val="0"/>
          <w:numId w:val="3"/>
        </w:numPr>
        <w:spacing w:line="360" w:lineRule="auto"/>
        <w:ind w:right="1440"/>
        <w:contextualSpacing/>
        <w:rPr>
          <w:b/>
          <w:bCs/>
          <w:sz w:val="26"/>
          <w:szCs w:val="26"/>
        </w:rPr>
      </w:pPr>
      <w:r>
        <w:rPr>
          <w:b/>
          <w:bCs/>
          <w:sz w:val="26"/>
          <w:szCs w:val="26"/>
        </w:rPr>
        <w:t>CALCULATION OF RETAINAGE CHARGE</w:t>
      </w:r>
    </w:p>
    <w:p w:rsidR="0032758B" w:rsidRPr="007F545B" w:rsidRDefault="0032758B" w:rsidP="003439AF">
      <w:pPr>
        <w:keepNext/>
        <w:keepLines/>
        <w:widowControl/>
        <w:ind w:right="1440" w:firstLine="1440"/>
        <w:rPr>
          <w:b/>
          <w:bCs/>
          <w:sz w:val="26"/>
          <w:szCs w:val="26"/>
        </w:rPr>
      </w:pPr>
    </w:p>
    <w:p w:rsidR="003439AF" w:rsidRDefault="0032758B" w:rsidP="00844225">
      <w:pPr>
        <w:widowControl/>
        <w:ind w:left="1440" w:right="1440"/>
        <w:rPr>
          <w:bCs/>
          <w:sz w:val="26"/>
          <w:szCs w:val="26"/>
        </w:rPr>
      </w:pPr>
      <w:r>
        <w:rPr>
          <w:bCs/>
          <w:sz w:val="26"/>
          <w:szCs w:val="26"/>
        </w:rPr>
        <w:t>30.</w:t>
      </w:r>
      <w:r>
        <w:rPr>
          <w:bCs/>
          <w:sz w:val="26"/>
          <w:szCs w:val="26"/>
        </w:rPr>
        <w:tab/>
        <w:t>Peoples Gas</w:t>
      </w:r>
      <w:r w:rsidR="001A5BA1">
        <w:rPr>
          <w:bCs/>
          <w:sz w:val="26"/>
          <w:szCs w:val="26"/>
        </w:rPr>
        <w:t>’</w:t>
      </w:r>
      <w:r>
        <w:rPr>
          <w:bCs/>
          <w:sz w:val="26"/>
          <w:szCs w:val="26"/>
        </w:rPr>
        <w:t xml:space="preserve"> </w:t>
      </w:r>
      <w:r w:rsidRPr="0032758B">
        <w:rPr>
          <w:bCs/>
          <w:sz w:val="26"/>
          <w:szCs w:val="26"/>
        </w:rPr>
        <w:t>method of calculating its retainage charge with respect to storage</w:t>
      </w:r>
      <w:r>
        <w:rPr>
          <w:bCs/>
          <w:sz w:val="26"/>
          <w:szCs w:val="26"/>
        </w:rPr>
        <w:t xml:space="preserve"> </w:t>
      </w:r>
      <w:r w:rsidRPr="0032758B">
        <w:rPr>
          <w:bCs/>
          <w:sz w:val="26"/>
          <w:szCs w:val="26"/>
        </w:rPr>
        <w:t xml:space="preserve">losses and company-use gas will be maintained. </w:t>
      </w:r>
      <w:r w:rsidR="00BF4797">
        <w:rPr>
          <w:bCs/>
          <w:sz w:val="26"/>
          <w:szCs w:val="26"/>
        </w:rPr>
        <w:t xml:space="preserve"> </w:t>
      </w:r>
      <w:r w:rsidRPr="0032758B">
        <w:rPr>
          <w:bCs/>
          <w:sz w:val="26"/>
          <w:szCs w:val="26"/>
        </w:rPr>
        <w:t xml:space="preserve">This agreement is for purposes of </w:t>
      </w:r>
    </w:p>
    <w:p w:rsidR="0032758B" w:rsidRDefault="0032758B" w:rsidP="003439AF">
      <w:pPr>
        <w:keepNext/>
        <w:keepLines/>
        <w:widowControl/>
        <w:ind w:left="1440" w:right="1440"/>
        <w:rPr>
          <w:bCs/>
          <w:sz w:val="26"/>
          <w:szCs w:val="26"/>
        </w:rPr>
      </w:pPr>
      <w:r w:rsidRPr="0032758B">
        <w:rPr>
          <w:bCs/>
          <w:sz w:val="26"/>
          <w:szCs w:val="26"/>
        </w:rPr>
        <w:t>settlement of the current case only and this matter may be revisited in future PGC cases.</w:t>
      </w:r>
    </w:p>
    <w:p w:rsidR="006E0DF4" w:rsidRDefault="006E0DF4" w:rsidP="003439AF">
      <w:pPr>
        <w:keepNext/>
        <w:keepLines/>
        <w:widowControl/>
        <w:ind w:left="1440" w:right="1440"/>
        <w:rPr>
          <w:bCs/>
          <w:sz w:val="26"/>
          <w:szCs w:val="26"/>
        </w:rPr>
      </w:pPr>
    </w:p>
    <w:p w:rsidR="006E0DF4" w:rsidRDefault="006E0DF4" w:rsidP="003439AF">
      <w:pPr>
        <w:keepNext/>
        <w:keepLines/>
        <w:widowControl/>
        <w:ind w:left="1440" w:right="1440"/>
        <w:rPr>
          <w:bCs/>
          <w:sz w:val="26"/>
          <w:szCs w:val="26"/>
        </w:rPr>
      </w:pPr>
    </w:p>
    <w:p w:rsidR="0061434A" w:rsidRPr="0032758B" w:rsidRDefault="0061434A" w:rsidP="00844225">
      <w:pPr>
        <w:widowControl/>
        <w:spacing w:line="360" w:lineRule="auto"/>
        <w:ind w:right="1440"/>
        <w:rPr>
          <w:bCs/>
          <w:sz w:val="26"/>
          <w:szCs w:val="26"/>
        </w:rPr>
      </w:pPr>
      <w:r>
        <w:rPr>
          <w:bCs/>
          <w:sz w:val="26"/>
          <w:szCs w:val="26"/>
        </w:rPr>
        <w:t>Joint Petition at 6.</w:t>
      </w:r>
    </w:p>
    <w:p w:rsidR="0032758B" w:rsidRDefault="0032758B" w:rsidP="00844225">
      <w:pPr>
        <w:widowControl/>
        <w:spacing w:line="360" w:lineRule="auto"/>
        <w:ind w:left="1440" w:right="1440"/>
        <w:rPr>
          <w:bCs/>
          <w:sz w:val="26"/>
          <w:szCs w:val="26"/>
        </w:rPr>
      </w:pPr>
    </w:p>
    <w:p w:rsidR="00E606F8" w:rsidRDefault="004119A4" w:rsidP="00844225">
      <w:pPr>
        <w:widowControl/>
        <w:spacing w:line="360" w:lineRule="auto"/>
        <w:ind w:firstLine="1440"/>
        <w:rPr>
          <w:bCs/>
          <w:sz w:val="26"/>
          <w:szCs w:val="26"/>
        </w:rPr>
      </w:pPr>
      <w:r>
        <w:rPr>
          <w:bCs/>
          <w:sz w:val="26"/>
          <w:szCs w:val="26"/>
        </w:rPr>
        <w:t>I&amp;E</w:t>
      </w:r>
      <w:r w:rsidR="0042044F">
        <w:rPr>
          <w:bCs/>
          <w:sz w:val="26"/>
          <w:szCs w:val="26"/>
        </w:rPr>
        <w:t xml:space="preserve"> opines that it is </w:t>
      </w:r>
      <w:r>
        <w:rPr>
          <w:bCs/>
          <w:sz w:val="26"/>
          <w:szCs w:val="26"/>
        </w:rPr>
        <w:t>critical that transportation customers are charged the appropriate</w:t>
      </w:r>
      <w:r w:rsidR="006B1F97">
        <w:rPr>
          <w:bCs/>
          <w:sz w:val="26"/>
          <w:szCs w:val="26"/>
        </w:rPr>
        <w:t xml:space="preserve"> retainage rate to protect all customer classifications by ensuring they all contribute to the costs of UFG and Com</w:t>
      </w:r>
      <w:r w:rsidR="0057693F">
        <w:rPr>
          <w:bCs/>
          <w:sz w:val="26"/>
          <w:szCs w:val="26"/>
        </w:rPr>
        <w:t>pany use (CU) gas.  I&amp;E explained</w:t>
      </w:r>
      <w:r w:rsidR="006B1F97">
        <w:rPr>
          <w:bCs/>
          <w:sz w:val="26"/>
          <w:szCs w:val="26"/>
        </w:rPr>
        <w:t xml:space="preserve"> that a retainage rate that is higher than UFG and CU harms the Company</w:t>
      </w:r>
      <w:r w:rsidR="001A5BA1">
        <w:rPr>
          <w:bCs/>
          <w:sz w:val="26"/>
          <w:szCs w:val="26"/>
        </w:rPr>
        <w:t>’</w:t>
      </w:r>
      <w:r w:rsidR="006B1F97">
        <w:rPr>
          <w:bCs/>
          <w:sz w:val="26"/>
          <w:szCs w:val="26"/>
        </w:rPr>
        <w:t>s transportation customers by requiring them to pay more than their share of losses, and a retainage rate that is too low harms non-transportation customers by causing them to pay for UFG and CU that should be paid by transportation customers</w:t>
      </w:r>
      <w:r w:rsidR="00B15F9A">
        <w:rPr>
          <w:bCs/>
          <w:sz w:val="26"/>
          <w:szCs w:val="26"/>
        </w:rPr>
        <w:t>.  I&amp;E St. No. 1 at 19.</w:t>
      </w:r>
    </w:p>
    <w:p w:rsidR="00B15F9A" w:rsidRDefault="00B15F9A" w:rsidP="00844225">
      <w:pPr>
        <w:widowControl/>
        <w:spacing w:line="360" w:lineRule="auto"/>
        <w:ind w:firstLine="1440"/>
        <w:rPr>
          <w:bCs/>
          <w:sz w:val="26"/>
          <w:szCs w:val="26"/>
        </w:rPr>
      </w:pPr>
    </w:p>
    <w:p w:rsidR="00B15F9A" w:rsidRDefault="009D5285" w:rsidP="00844225">
      <w:pPr>
        <w:widowControl/>
        <w:spacing w:line="360" w:lineRule="auto"/>
        <w:ind w:firstLine="1440"/>
        <w:rPr>
          <w:bCs/>
          <w:sz w:val="26"/>
          <w:szCs w:val="26"/>
        </w:rPr>
      </w:pPr>
      <w:r>
        <w:rPr>
          <w:bCs/>
          <w:sz w:val="26"/>
          <w:szCs w:val="26"/>
        </w:rPr>
        <w:t>Peoples Gas</w:t>
      </w:r>
      <w:r w:rsidR="001A5BA1">
        <w:rPr>
          <w:bCs/>
          <w:sz w:val="26"/>
          <w:szCs w:val="26"/>
        </w:rPr>
        <w:t>’</w:t>
      </w:r>
      <w:r>
        <w:rPr>
          <w:bCs/>
          <w:sz w:val="26"/>
          <w:szCs w:val="26"/>
        </w:rPr>
        <w:t xml:space="preserve"> proposed retainage charges are based on a three-year average of its actual total system UFG experienced adjusted for: (1) a share of storage losses</w:t>
      </w:r>
      <w:r w:rsidR="00404E64">
        <w:rPr>
          <w:bCs/>
          <w:sz w:val="26"/>
          <w:szCs w:val="26"/>
        </w:rPr>
        <w:t xml:space="preserve"> and storage-related compressor fuel; (2) company-use gas; (3</w:t>
      </w:r>
      <w:r>
        <w:rPr>
          <w:bCs/>
          <w:sz w:val="26"/>
          <w:szCs w:val="26"/>
        </w:rPr>
        <w:t>) a newly proposed producer retainage charge</w:t>
      </w:r>
      <w:r w:rsidR="006355FD">
        <w:rPr>
          <w:bCs/>
          <w:sz w:val="26"/>
          <w:szCs w:val="26"/>
        </w:rPr>
        <w:t>;</w:t>
      </w:r>
      <w:r>
        <w:rPr>
          <w:rStyle w:val="FootnoteReference"/>
          <w:bCs/>
          <w:sz w:val="26"/>
          <w:szCs w:val="26"/>
        </w:rPr>
        <w:footnoteReference w:id="8"/>
      </w:r>
      <w:r w:rsidR="00404E64">
        <w:rPr>
          <w:bCs/>
          <w:sz w:val="26"/>
          <w:szCs w:val="26"/>
        </w:rPr>
        <w:t xml:space="preserve"> and (4</w:t>
      </w:r>
      <w:r>
        <w:rPr>
          <w:bCs/>
          <w:sz w:val="26"/>
          <w:szCs w:val="26"/>
        </w:rPr>
        <w:t xml:space="preserve">) the retainage not collected from customers that have been </w:t>
      </w:r>
      <w:r>
        <w:rPr>
          <w:bCs/>
          <w:sz w:val="26"/>
          <w:szCs w:val="26"/>
        </w:rPr>
        <w:lastRenderedPageBreak/>
        <w:t>granted a discount from the otherwise applicable system retainage charge.  Peoples Gas Exh. No. 5.</w:t>
      </w:r>
      <w:r>
        <w:rPr>
          <w:rStyle w:val="FootnoteReference"/>
          <w:bCs/>
          <w:sz w:val="26"/>
          <w:szCs w:val="26"/>
        </w:rPr>
        <w:footnoteReference w:id="9"/>
      </w:r>
    </w:p>
    <w:p w:rsidR="00CC2028" w:rsidRDefault="00CC2028" w:rsidP="00844225">
      <w:pPr>
        <w:widowControl/>
        <w:spacing w:line="360" w:lineRule="auto"/>
        <w:ind w:firstLine="1440"/>
        <w:rPr>
          <w:bCs/>
          <w:sz w:val="26"/>
          <w:szCs w:val="26"/>
        </w:rPr>
      </w:pPr>
    </w:p>
    <w:p w:rsidR="00373CD4" w:rsidRDefault="00CC2028" w:rsidP="00844225">
      <w:pPr>
        <w:widowControl/>
        <w:spacing w:line="360" w:lineRule="auto"/>
        <w:ind w:firstLine="1440"/>
        <w:rPr>
          <w:bCs/>
          <w:sz w:val="26"/>
          <w:szCs w:val="26"/>
        </w:rPr>
      </w:pPr>
      <w:r>
        <w:rPr>
          <w:bCs/>
          <w:sz w:val="26"/>
          <w:szCs w:val="26"/>
        </w:rPr>
        <w:t>Both I&amp;E and the OCA opposed the Company</w:t>
      </w:r>
      <w:r w:rsidR="001A5BA1">
        <w:rPr>
          <w:bCs/>
          <w:sz w:val="26"/>
          <w:szCs w:val="26"/>
        </w:rPr>
        <w:t>’</w:t>
      </w:r>
      <w:r>
        <w:rPr>
          <w:bCs/>
          <w:sz w:val="26"/>
          <w:szCs w:val="26"/>
        </w:rPr>
        <w:t>s proposed 5.4% retainage rate assesse</w:t>
      </w:r>
      <w:r w:rsidR="00F84E21">
        <w:rPr>
          <w:bCs/>
          <w:sz w:val="26"/>
          <w:szCs w:val="26"/>
        </w:rPr>
        <w:t>d to transportation customers and recommended modifications be made to People</w:t>
      </w:r>
      <w:r w:rsidR="00860CEE">
        <w:rPr>
          <w:bCs/>
          <w:sz w:val="26"/>
          <w:szCs w:val="26"/>
        </w:rPr>
        <w:t>s</w:t>
      </w:r>
      <w:r w:rsidR="00F84E21">
        <w:rPr>
          <w:bCs/>
          <w:sz w:val="26"/>
          <w:szCs w:val="26"/>
        </w:rPr>
        <w:t xml:space="preserve"> Gas</w:t>
      </w:r>
      <w:r w:rsidR="001A5BA1">
        <w:rPr>
          <w:bCs/>
          <w:sz w:val="26"/>
          <w:szCs w:val="26"/>
        </w:rPr>
        <w:t>’</w:t>
      </w:r>
      <w:r w:rsidR="00F84E21">
        <w:rPr>
          <w:bCs/>
          <w:sz w:val="26"/>
          <w:szCs w:val="26"/>
        </w:rPr>
        <w:t xml:space="preserve"> method of calculating its retainage rate.  OCA St. No. 1 at 9; I&amp;E St. No. 1 at</w:t>
      </w:r>
      <w:r w:rsidR="00D80A64">
        <w:rPr>
          <w:bCs/>
          <w:sz w:val="26"/>
          <w:szCs w:val="26"/>
        </w:rPr>
        <w:t> </w:t>
      </w:r>
      <w:r w:rsidR="00F84E21">
        <w:rPr>
          <w:bCs/>
          <w:sz w:val="26"/>
          <w:szCs w:val="26"/>
        </w:rPr>
        <w:t>20</w:t>
      </w:r>
      <w:r w:rsidR="00860CEE">
        <w:rPr>
          <w:bCs/>
          <w:sz w:val="26"/>
          <w:szCs w:val="26"/>
        </w:rPr>
        <w:t>.  Paragraph 30 of the Partial Settlement, however, pertains to an issue concerning the allocation of compressor fuel and storage losses</w:t>
      </w:r>
      <w:r w:rsidR="001B0919">
        <w:rPr>
          <w:bCs/>
          <w:sz w:val="26"/>
          <w:szCs w:val="26"/>
        </w:rPr>
        <w:t xml:space="preserve">, in which </w:t>
      </w:r>
      <w:r w:rsidR="00BF4797">
        <w:rPr>
          <w:bCs/>
          <w:sz w:val="26"/>
          <w:szCs w:val="26"/>
        </w:rPr>
        <w:t xml:space="preserve">the </w:t>
      </w:r>
      <w:r w:rsidR="001B0919">
        <w:rPr>
          <w:bCs/>
          <w:sz w:val="26"/>
          <w:szCs w:val="26"/>
        </w:rPr>
        <w:t>OCA argued in favor of an increase to the allocation.  OCA Statement in Support at 5.</w:t>
      </w:r>
      <w:r w:rsidR="00F3070F">
        <w:rPr>
          <w:bCs/>
          <w:sz w:val="26"/>
          <w:szCs w:val="26"/>
        </w:rPr>
        <w:t xml:space="preserve">  In the interest of settlement, the OCA agreed to the Company</w:t>
      </w:r>
      <w:r w:rsidR="00A04986">
        <w:rPr>
          <w:bCs/>
          <w:sz w:val="26"/>
          <w:szCs w:val="26"/>
        </w:rPr>
        <w:t xml:space="preserve"> continuing its </w:t>
      </w:r>
      <w:r w:rsidR="00F3070F">
        <w:rPr>
          <w:bCs/>
          <w:sz w:val="26"/>
          <w:szCs w:val="26"/>
        </w:rPr>
        <w:t xml:space="preserve">current method of calculating retainage </w:t>
      </w:r>
      <w:r w:rsidR="00A04986">
        <w:rPr>
          <w:bCs/>
          <w:sz w:val="26"/>
          <w:szCs w:val="26"/>
        </w:rPr>
        <w:t xml:space="preserve">but </w:t>
      </w:r>
      <w:r w:rsidR="00F3070F">
        <w:rPr>
          <w:bCs/>
          <w:sz w:val="26"/>
          <w:szCs w:val="26"/>
        </w:rPr>
        <w:t>preserving the right of the OCA to revisit the issue in the future.  I&amp;E indicated that it does not oppose the inclusion of this provision in the Partial Settlement as this issue may be addressed in future PGC cases.  I&amp;E Statement in Support at 9.</w:t>
      </w:r>
    </w:p>
    <w:p w:rsidR="0061434A" w:rsidRPr="003A32CB" w:rsidRDefault="0061434A" w:rsidP="00844225">
      <w:pPr>
        <w:widowControl/>
        <w:spacing w:line="360" w:lineRule="auto"/>
        <w:ind w:firstLine="1440"/>
        <w:rPr>
          <w:bCs/>
          <w:sz w:val="26"/>
          <w:szCs w:val="26"/>
        </w:rPr>
      </w:pPr>
    </w:p>
    <w:p w:rsidR="0032758B" w:rsidRPr="007F545B" w:rsidRDefault="0061434A" w:rsidP="003439AF">
      <w:pPr>
        <w:keepNext/>
        <w:keepLines/>
        <w:widowControl/>
        <w:numPr>
          <w:ilvl w:val="0"/>
          <w:numId w:val="3"/>
        </w:numPr>
        <w:spacing w:line="360" w:lineRule="auto"/>
        <w:ind w:right="1440"/>
        <w:contextualSpacing/>
        <w:rPr>
          <w:b/>
          <w:bCs/>
          <w:sz w:val="26"/>
          <w:szCs w:val="26"/>
        </w:rPr>
      </w:pPr>
      <w:r>
        <w:rPr>
          <w:b/>
          <w:bCs/>
          <w:sz w:val="26"/>
          <w:szCs w:val="26"/>
        </w:rPr>
        <w:t>MISCELLANEOUS</w:t>
      </w:r>
    </w:p>
    <w:p w:rsidR="0032758B" w:rsidRPr="007F545B" w:rsidRDefault="0032758B" w:rsidP="003439AF">
      <w:pPr>
        <w:keepNext/>
        <w:keepLines/>
        <w:widowControl/>
        <w:ind w:right="1440" w:firstLine="1440"/>
        <w:rPr>
          <w:b/>
          <w:bCs/>
          <w:sz w:val="26"/>
          <w:szCs w:val="26"/>
        </w:rPr>
      </w:pPr>
    </w:p>
    <w:p w:rsidR="0032758B" w:rsidRPr="0032758B" w:rsidRDefault="00957E46" w:rsidP="00844225">
      <w:pPr>
        <w:widowControl/>
        <w:ind w:left="1440" w:right="1440"/>
        <w:rPr>
          <w:bCs/>
          <w:sz w:val="26"/>
          <w:szCs w:val="26"/>
        </w:rPr>
      </w:pPr>
      <w:r>
        <w:rPr>
          <w:bCs/>
          <w:sz w:val="26"/>
          <w:szCs w:val="26"/>
        </w:rPr>
        <w:t>31.</w:t>
      </w:r>
      <w:r>
        <w:rPr>
          <w:bCs/>
          <w:sz w:val="26"/>
          <w:szCs w:val="26"/>
        </w:rPr>
        <w:tab/>
        <w:t xml:space="preserve">Except </w:t>
      </w:r>
      <w:r w:rsidRPr="00957E46">
        <w:rPr>
          <w:bCs/>
          <w:sz w:val="26"/>
          <w:szCs w:val="26"/>
        </w:rPr>
        <w:t>as revised by this Partial Settlement and subject to a de</w:t>
      </w:r>
      <w:r>
        <w:rPr>
          <w:bCs/>
          <w:sz w:val="26"/>
          <w:szCs w:val="26"/>
        </w:rPr>
        <w:t xml:space="preserve">cision on the issue </w:t>
      </w:r>
      <w:r w:rsidRPr="00957E46">
        <w:rPr>
          <w:bCs/>
          <w:sz w:val="26"/>
          <w:szCs w:val="26"/>
        </w:rPr>
        <w:t xml:space="preserve">reserved for litigation </w:t>
      </w:r>
      <w:r>
        <w:rPr>
          <w:bCs/>
          <w:i/>
          <w:sz w:val="26"/>
          <w:szCs w:val="26"/>
        </w:rPr>
        <w:t xml:space="preserve">(i.e., </w:t>
      </w:r>
      <w:r w:rsidRPr="00957E46">
        <w:rPr>
          <w:bCs/>
          <w:sz w:val="26"/>
          <w:szCs w:val="26"/>
        </w:rPr>
        <w:t>gathering system retainage), the proposed rates and other requested approvals contained in the Company</w:t>
      </w:r>
      <w:r w:rsidR="001A5BA1">
        <w:rPr>
          <w:bCs/>
          <w:sz w:val="26"/>
          <w:szCs w:val="26"/>
        </w:rPr>
        <w:t>’</w:t>
      </w:r>
      <w:r w:rsidRPr="00957E46">
        <w:rPr>
          <w:bCs/>
          <w:sz w:val="26"/>
          <w:szCs w:val="26"/>
        </w:rPr>
        <w:t>s PGC filing should be approved.</w:t>
      </w:r>
    </w:p>
    <w:p w:rsidR="00373CD4" w:rsidRDefault="00373CD4" w:rsidP="00844225">
      <w:pPr>
        <w:widowControl/>
        <w:tabs>
          <w:tab w:val="left" w:pos="1445"/>
        </w:tabs>
        <w:autoSpaceDE w:val="0"/>
        <w:autoSpaceDN w:val="0"/>
        <w:adjustRightInd w:val="0"/>
        <w:ind w:firstLine="1440"/>
        <w:rPr>
          <w:sz w:val="26"/>
          <w:szCs w:val="26"/>
        </w:rPr>
      </w:pPr>
    </w:p>
    <w:p w:rsidR="00373CD4" w:rsidRDefault="00957E46" w:rsidP="00844225">
      <w:pPr>
        <w:widowControl/>
        <w:tabs>
          <w:tab w:val="left" w:pos="1445"/>
        </w:tabs>
        <w:autoSpaceDE w:val="0"/>
        <w:autoSpaceDN w:val="0"/>
        <w:adjustRightInd w:val="0"/>
        <w:ind w:left="1440" w:right="1440"/>
        <w:rPr>
          <w:sz w:val="26"/>
          <w:szCs w:val="26"/>
        </w:rPr>
      </w:pPr>
      <w:r>
        <w:rPr>
          <w:sz w:val="26"/>
          <w:szCs w:val="26"/>
        </w:rPr>
        <w:t>32.</w:t>
      </w:r>
      <w:r>
        <w:rPr>
          <w:sz w:val="26"/>
          <w:szCs w:val="26"/>
        </w:rPr>
        <w:tab/>
        <w:t xml:space="preserve">In accordance </w:t>
      </w:r>
      <w:r w:rsidRPr="00957E46">
        <w:rPr>
          <w:sz w:val="26"/>
          <w:szCs w:val="26"/>
        </w:rPr>
        <w:t>with the provisions of 52 Pa. Code §</w:t>
      </w:r>
      <w:r w:rsidR="00B34582">
        <w:rPr>
          <w:sz w:val="26"/>
          <w:szCs w:val="26"/>
        </w:rPr>
        <w:t> </w:t>
      </w:r>
      <w:r w:rsidRPr="00957E46">
        <w:rPr>
          <w:sz w:val="26"/>
          <w:szCs w:val="26"/>
        </w:rPr>
        <w:t xml:space="preserve">53.64(i)(5), </w:t>
      </w:r>
      <w:r>
        <w:rPr>
          <w:sz w:val="26"/>
          <w:szCs w:val="26"/>
        </w:rPr>
        <w:t>the Company</w:t>
      </w:r>
      <w:r w:rsidR="001A5BA1">
        <w:rPr>
          <w:sz w:val="26"/>
          <w:szCs w:val="26"/>
        </w:rPr>
        <w:t>’</w:t>
      </w:r>
      <w:r>
        <w:rPr>
          <w:sz w:val="26"/>
          <w:szCs w:val="26"/>
        </w:rPr>
        <w:t xml:space="preserve">s compliance filing in this </w:t>
      </w:r>
      <w:r w:rsidRPr="00957E46">
        <w:rPr>
          <w:sz w:val="26"/>
          <w:szCs w:val="26"/>
        </w:rPr>
        <w:t>proceeding will reflect updated actual and projected over/undercollections through September 30, 2018.</w:t>
      </w:r>
    </w:p>
    <w:p w:rsidR="00373CD4" w:rsidRDefault="00373CD4" w:rsidP="00844225">
      <w:pPr>
        <w:widowControl/>
        <w:tabs>
          <w:tab w:val="left" w:pos="1445"/>
        </w:tabs>
        <w:autoSpaceDE w:val="0"/>
        <w:autoSpaceDN w:val="0"/>
        <w:adjustRightInd w:val="0"/>
        <w:ind w:left="1440" w:right="1440"/>
        <w:rPr>
          <w:sz w:val="26"/>
          <w:szCs w:val="26"/>
        </w:rPr>
      </w:pPr>
    </w:p>
    <w:p w:rsidR="003439AF" w:rsidRDefault="00957E46" w:rsidP="00844225">
      <w:pPr>
        <w:widowControl/>
        <w:tabs>
          <w:tab w:val="left" w:pos="1445"/>
        </w:tabs>
        <w:autoSpaceDE w:val="0"/>
        <w:autoSpaceDN w:val="0"/>
        <w:adjustRightInd w:val="0"/>
        <w:ind w:left="1440" w:right="1440"/>
        <w:rPr>
          <w:sz w:val="26"/>
          <w:szCs w:val="26"/>
        </w:rPr>
      </w:pPr>
      <w:r>
        <w:rPr>
          <w:sz w:val="26"/>
          <w:szCs w:val="26"/>
        </w:rPr>
        <w:t>33.</w:t>
      </w:r>
      <w:r>
        <w:rPr>
          <w:sz w:val="26"/>
          <w:szCs w:val="26"/>
        </w:rPr>
        <w:tab/>
        <w:t xml:space="preserve">Joint Petitioners </w:t>
      </w:r>
      <w:r w:rsidRPr="00957E46">
        <w:rPr>
          <w:sz w:val="26"/>
          <w:szCs w:val="26"/>
        </w:rPr>
        <w:t>J</w:t>
      </w:r>
      <w:r>
        <w:rPr>
          <w:sz w:val="26"/>
          <w:szCs w:val="26"/>
        </w:rPr>
        <w:t xml:space="preserve">oint Petitioners agree that the </w:t>
      </w:r>
      <w:r w:rsidRPr="00957E46">
        <w:rPr>
          <w:sz w:val="26"/>
          <w:szCs w:val="26"/>
        </w:rPr>
        <w:t>Commission s</w:t>
      </w:r>
      <w:r>
        <w:rPr>
          <w:sz w:val="26"/>
          <w:szCs w:val="26"/>
        </w:rPr>
        <w:t xml:space="preserve">hould approve the renewals and </w:t>
      </w:r>
      <w:r w:rsidRPr="00957E46">
        <w:rPr>
          <w:sz w:val="26"/>
          <w:szCs w:val="26"/>
        </w:rPr>
        <w:t>changes in gas supply, pipeline, and stor</w:t>
      </w:r>
      <w:r>
        <w:rPr>
          <w:sz w:val="26"/>
          <w:szCs w:val="26"/>
        </w:rPr>
        <w:t xml:space="preserve">age capacity contracts that are </w:t>
      </w:r>
    </w:p>
    <w:p w:rsidR="00373CD4" w:rsidRDefault="00957E46" w:rsidP="003439AF">
      <w:pPr>
        <w:keepNext/>
        <w:keepLines/>
        <w:widowControl/>
        <w:tabs>
          <w:tab w:val="left" w:pos="1445"/>
        </w:tabs>
        <w:autoSpaceDE w:val="0"/>
        <w:autoSpaceDN w:val="0"/>
        <w:adjustRightInd w:val="0"/>
        <w:ind w:left="1440" w:right="1440"/>
        <w:rPr>
          <w:sz w:val="26"/>
          <w:szCs w:val="26"/>
        </w:rPr>
      </w:pPr>
      <w:r w:rsidRPr="00957E46">
        <w:rPr>
          <w:sz w:val="26"/>
          <w:szCs w:val="26"/>
        </w:rPr>
        <w:lastRenderedPageBreak/>
        <w:t>explained in Peoples Gas Statement No. 2 and related exhibits included in the 1307(f)-2018 definitive filing.</w:t>
      </w:r>
    </w:p>
    <w:p w:rsidR="003439AF" w:rsidRDefault="003439AF" w:rsidP="003439AF">
      <w:pPr>
        <w:keepNext/>
        <w:keepLines/>
        <w:widowControl/>
        <w:tabs>
          <w:tab w:val="left" w:pos="1445"/>
        </w:tabs>
        <w:autoSpaceDE w:val="0"/>
        <w:autoSpaceDN w:val="0"/>
        <w:adjustRightInd w:val="0"/>
        <w:ind w:left="1440" w:right="1440"/>
        <w:rPr>
          <w:sz w:val="26"/>
          <w:szCs w:val="26"/>
        </w:rPr>
      </w:pPr>
    </w:p>
    <w:p w:rsidR="003439AF" w:rsidRDefault="003439AF" w:rsidP="003439AF">
      <w:pPr>
        <w:keepNext/>
        <w:keepLines/>
        <w:widowControl/>
        <w:tabs>
          <w:tab w:val="left" w:pos="1445"/>
        </w:tabs>
        <w:autoSpaceDE w:val="0"/>
        <w:autoSpaceDN w:val="0"/>
        <w:adjustRightInd w:val="0"/>
        <w:ind w:left="1440" w:right="1440"/>
        <w:rPr>
          <w:sz w:val="26"/>
          <w:szCs w:val="26"/>
        </w:rPr>
      </w:pPr>
    </w:p>
    <w:p w:rsidR="0061434A" w:rsidRDefault="0061434A" w:rsidP="00844225">
      <w:pPr>
        <w:widowControl/>
        <w:tabs>
          <w:tab w:val="left" w:pos="1445"/>
        </w:tabs>
        <w:autoSpaceDE w:val="0"/>
        <w:autoSpaceDN w:val="0"/>
        <w:adjustRightInd w:val="0"/>
        <w:spacing w:line="360" w:lineRule="auto"/>
        <w:ind w:right="1440"/>
        <w:rPr>
          <w:sz w:val="26"/>
          <w:szCs w:val="26"/>
        </w:rPr>
      </w:pPr>
      <w:r>
        <w:rPr>
          <w:sz w:val="26"/>
          <w:szCs w:val="26"/>
        </w:rPr>
        <w:t>Joint Petition at 6.</w:t>
      </w:r>
    </w:p>
    <w:p w:rsidR="00373CD4" w:rsidRDefault="00373CD4" w:rsidP="00844225">
      <w:pPr>
        <w:widowControl/>
        <w:tabs>
          <w:tab w:val="left" w:pos="1445"/>
        </w:tabs>
        <w:autoSpaceDE w:val="0"/>
        <w:autoSpaceDN w:val="0"/>
        <w:adjustRightInd w:val="0"/>
        <w:spacing w:line="360" w:lineRule="auto"/>
        <w:ind w:left="1440" w:right="1440"/>
        <w:rPr>
          <w:sz w:val="26"/>
          <w:szCs w:val="26"/>
        </w:rPr>
      </w:pPr>
    </w:p>
    <w:p w:rsidR="00E54670" w:rsidRDefault="00C51BBF" w:rsidP="00844225">
      <w:pPr>
        <w:widowControl/>
        <w:autoSpaceDE w:val="0"/>
        <w:autoSpaceDN w:val="0"/>
        <w:adjustRightInd w:val="0"/>
        <w:spacing w:line="360" w:lineRule="auto"/>
        <w:ind w:firstLine="1350"/>
        <w:rPr>
          <w:sz w:val="26"/>
          <w:szCs w:val="26"/>
        </w:rPr>
      </w:pPr>
      <w:r>
        <w:rPr>
          <w:sz w:val="26"/>
          <w:szCs w:val="26"/>
        </w:rPr>
        <w:t>In addition to the specific terms to which the Joint Petitioners have agreed, the Pa</w:t>
      </w:r>
      <w:r w:rsidR="0061434A">
        <w:rPr>
          <w:sz w:val="26"/>
          <w:szCs w:val="26"/>
        </w:rPr>
        <w:t xml:space="preserve">rtial Settlement contains </w:t>
      </w:r>
      <w:r w:rsidR="00E54670">
        <w:rPr>
          <w:sz w:val="26"/>
          <w:szCs w:val="26"/>
        </w:rPr>
        <w:t>certain general, miscellaneous terms.  The Partial Settlement is conditioned upon the Commission</w:t>
      </w:r>
      <w:r w:rsidR="001A5BA1">
        <w:rPr>
          <w:sz w:val="26"/>
          <w:szCs w:val="26"/>
        </w:rPr>
        <w:t>’</w:t>
      </w:r>
      <w:r w:rsidR="00E54670">
        <w:rPr>
          <w:sz w:val="26"/>
          <w:szCs w:val="26"/>
        </w:rPr>
        <w:t>s approval of the terms and conditions without modification.  The Partial Settlement establishes the procedure by which any of the Joint Petitioners may withdraw from the Partial Settlement and proceed to litigate this case, if the Commission should act to modify the Partial Settlement.  Partial Settlement at ¶</w:t>
      </w:r>
      <w:r w:rsidR="00E7562C">
        <w:rPr>
          <w:sz w:val="26"/>
          <w:szCs w:val="26"/>
        </w:rPr>
        <w:t> </w:t>
      </w:r>
      <w:r w:rsidR="00E54670">
        <w:rPr>
          <w:sz w:val="26"/>
          <w:szCs w:val="26"/>
        </w:rPr>
        <w:t xml:space="preserve">78.  </w:t>
      </w:r>
      <w:r w:rsidR="00E54670" w:rsidRPr="00E54670">
        <w:rPr>
          <w:sz w:val="26"/>
          <w:szCs w:val="26"/>
        </w:rPr>
        <w:t>The Joint Petitioners reserved their respective rights to brief and argue their respective positions if the Commission does not approve the Joint Petition.  The Joint Petition also provides that the Joint Petition reflects a compromise of competing positions and may not be cited as precedent in any future proceeding, except as required to implement the Joint Pe</w:t>
      </w:r>
      <w:r w:rsidR="00E54670">
        <w:rPr>
          <w:sz w:val="26"/>
          <w:szCs w:val="26"/>
        </w:rPr>
        <w:t>tition.  Joint Petition at 18</w:t>
      </w:r>
      <w:r w:rsidR="00E54670" w:rsidRPr="00E54670">
        <w:rPr>
          <w:sz w:val="26"/>
          <w:szCs w:val="26"/>
        </w:rPr>
        <w:t>.</w:t>
      </w:r>
    </w:p>
    <w:p w:rsidR="00C86B48" w:rsidRPr="00E459D9" w:rsidRDefault="00C86B48" w:rsidP="00844225">
      <w:pPr>
        <w:widowControl/>
        <w:autoSpaceDE w:val="0"/>
        <w:autoSpaceDN w:val="0"/>
        <w:adjustRightInd w:val="0"/>
        <w:spacing w:line="360" w:lineRule="auto"/>
        <w:ind w:firstLine="1350"/>
        <w:rPr>
          <w:sz w:val="26"/>
          <w:szCs w:val="26"/>
        </w:rPr>
      </w:pPr>
    </w:p>
    <w:p w:rsidR="00C86B48" w:rsidRPr="00E459D9" w:rsidRDefault="00C86B48" w:rsidP="00844225">
      <w:pPr>
        <w:widowControl/>
        <w:spacing w:line="360" w:lineRule="auto"/>
        <w:ind w:firstLine="1440"/>
        <w:rPr>
          <w:sz w:val="26"/>
          <w:szCs w:val="26"/>
        </w:rPr>
      </w:pPr>
      <w:bookmarkStart w:id="16" w:name="_Toc522887310"/>
      <w:r w:rsidRPr="00E459D9">
        <w:rPr>
          <w:sz w:val="26"/>
          <w:szCs w:val="26"/>
        </w:rPr>
        <w:t>The Joint Petitioners respectfully requested that the ALJ and the Commission approve the Partial Settlement, including all terms and conditions thereof, subject to the resolution of the issue reserved for briefing.  Partial Settlement at 19.</w:t>
      </w:r>
      <w:bookmarkEnd w:id="16"/>
    </w:p>
    <w:p w:rsidR="00373CD4" w:rsidRDefault="00373CD4" w:rsidP="00844225">
      <w:pPr>
        <w:widowControl/>
        <w:autoSpaceDE w:val="0"/>
        <w:autoSpaceDN w:val="0"/>
        <w:adjustRightInd w:val="0"/>
        <w:spacing w:line="360" w:lineRule="auto"/>
        <w:rPr>
          <w:sz w:val="26"/>
          <w:szCs w:val="26"/>
        </w:rPr>
      </w:pPr>
    </w:p>
    <w:p w:rsidR="0085653E" w:rsidRPr="002042D2" w:rsidRDefault="0085653E" w:rsidP="00844225">
      <w:pPr>
        <w:pStyle w:val="Heading2"/>
        <w:numPr>
          <w:ilvl w:val="0"/>
          <w:numId w:val="29"/>
        </w:numPr>
        <w:ind w:left="720" w:hanging="720"/>
      </w:pPr>
      <w:bookmarkStart w:id="17" w:name="_Toc524347679"/>
      <w:r>
        <w:t>ALJ</w:t>
      </w:r>
      <w:r w:rsidR="001A5BA1">
        <w:t>’</w:t>
      </w:r>
      <w:r>
        <w:t>s Recommendation</w:t>
      </w:r>
      <w:bookmarkEnd w:id="17"/>
    </w:p>
    <w:p w:rsidR="00373CD4" w:rsidRDefault="00373CD4" w:rsidP="00844225">
      <w:pPr>
        <w:widowControl/>
        <w:tabs>
          <w:tab w:val="left" w:pos="1445"/>
        </w:tabs>
        <w:autoSpaceDE w:val="0"/>
        <w:autoSpaceDN w:val="0"/>
        <w:adjustRightInd w:val="0"/>
        <w:spacing w:line="360" w:lineRule="auto"/>
        <w:ind w:right="1440"/>
        <w:rPr>
          <w:sz w:val="26"/>
          <w:szCs w:val="26"/>
        </w:rPr>
      </w:pPr>
    </w:p>
    <w:p w:rsidR="00D912B8" w:rsidRDefault="00D912B8" w:rsidP="00844225">
      <w:pPr>
        <w:widowControl/>
        <w:tabs>
          <w:tab w:val="left" w:pos="1445"/>
          <w:tab w:val="left" w:pos="7290"/>
        </w:tabs>
        <w:autoSpaceDE w:val="0"/>
        <w:autoSpaceDN w:val="0"/>
        <w:adjustRightInd w:val="0"/>
        <w:spacing w:line="360" w:lineRule="auto"/>
        <w:ind w:firstLine="1440"/>
        <w:rPr>
          <w:sz w:val="26"/>
          <w:szCs w:val="26"/>
        </w:rPr>
      </w:pPr>
      <w:r>
        <w:rPr>
          <w:sz w:val="26"/>
          <w:szCs w:val="26"/>
        </w:rPr>
        <w:t xml:space="preserve">The ALJ found that the proposed Partial Settlement was reasonable, was in the public interest, and therefore, recommended its approval without modification.  The ALJ noted that the settlement finds support from the Joint Petitioners, as well as their experts and counsel, who have considerable knowledge and experience in PGC proceedings and who have participated in numerous settlement discussions and formal negotiations, </w:t>
      </w:r>
      <w:r w:rsidR="004B1A65">
        <w:rPr>
          <w:sz w:val="26"/>
          <w:szCs w:val="26"/>
        </w:rPr>
        <w:t xml:space="preserve">providing a strong base upon which to build a consensus on the settled </w:t>
      </w:r>
      <w:r w:rsidR="004B1A65">
        <w:rPr>
          <w:sz w:val="26"/>
          <w:szCs w:val="26"/>
        </w:rPr>
        <w:lastRenderedPageBreak/>
        <w:t xml:space="preserve">issues.  R.D. at 24-25.  Furthermore, the ALJ found that the proposed Partial Settlement is in the public interest because the resultant rates are just and reasonable and comply with the requirements of the Code for PGC proceedings.  </w:t>
      </w:r>
      <w:r w:rsidR="004B1A65" w:rsidRPr="004B1A65">
        <w:rPr>
          <w:i/>
          <w:sz w:val="26"/>
          <w:szCs w:val="26"/>
        </w:rPr>
        <w:t xml:space="preserve">Id. </w:t>
      </w:r>
      <w:r w:rsidR="004B1A65">
        <w:rPr>
          <w:sz w:val="26"/>
          <w:szCs w:val="26"/>
        </w:rPr>
        <w:t xml:space="preserve">at 37-38.  </w:t>
      </w:r>
    </w:p>
    <w:p w:rsidR="00D912B8" w:rsidRDefault="00D912B8" w:rsidP="00844225">
      <w:pPr>
        <w:widowControl/>
        <w:tabs>
          <w:tab w:val="left" w:pos="1445"/>
          <w:tab w:val="left" w:pos="7290"/>
        </w:tabs>
        <w:autoSpaceDE w:val="0"/>
        <w:autoSpaceDN w:val="0"/>
        <w:adjustRightInd w:val="0"/>
        <w:spacing w:line="360" w:lineRule="auto"/>
        <w:rPr>
          <w:sz w:val="26"/>
          <w:szCs w:val="26"/>
        </w:rPr>
      </w:pPr>
    </w:p>
    <w:p w:rsidR="00C86B48" w:rsidRDefault="006B6180" w:rsidP="00844225">
      <w:pPr>
        <w:widowControl/>
        <w:tabs>
          <w:tab w:val="left" w:pos="1445"/>
          <w:tab w:val="left" w:pos="7290"/>
        </w:tabs>
        <w:autoSpaceDE w:val="0"/>
        <w:autoSpaceDN w:val="0"/>
        <w:adjustRightInd w:val="0"/>
        <w:spacing w:line="360" w:lineRule="auto"/>
        <w:ind w:firstLine="1440"/>
        <w:rPr>
          <w:sz w:val="26"/>
          <w:szCs w:val="26"/>
        </w:rPr>
      </w:pPr>
      <w:r>
        <w:rPr>
          <w:sz w:val="26"/>
          <w:szCs w:val="26"/>
        </w:rPr>
        <w:t>Additionally</w:t>
      </w:r>
      <w:r w:rsidR="007537F4">
        <w:rPr>
          <w:sz w:val="26"/>
          <w:szCs w:val="26"/>
        </w:rPr>
        <w:t>, the ALJ stated that resolution of all issues in this case by Partial Settlement, while reserving for litigation only one issue that was not resolved by agreement among the parties, minimizes the substantial time and effort involved in continuing to formally pursue all issues in this proceeding at the risk of accumulating excessive expense, which is ultimately passed on to the ratepayers, while securing for ratepayers a settlement of all other issues t</w:t>
      </w:r>
      <w:r>
        <w:rPr>
          <w:sz w:val="26"/>
          <w:szCs w:val="26"/>
        </w:rPr>
        <w:t xml:space="preserve">hat is in the public interest.  </w:t>
      </w:r>
      <w:r w:rsidRPr="006B6180">
        <w:rPr>
          <w:i/>
          <w:sz w:val="26"/>
          <w:szCs w:val="26"/>
        </w:rPr>
        <w:t>Id</w:t>
      </w:r>
      <w:r>
        <w:rPr>
          <w:sz w:val="26"/>
          <w:szCs w:val="26"/>
        </w:rPr>
        <w:t>. at 38.</w:t>
      </w:r>
    </w:p>
    <w:p w:rsidR="00302B6C" w:rsidRDefault="00302B6C" w:rsidP="00844225">
      <w:pPr>
        <w:widowControl/>
        <w:tabs>
          <w:tab w:val="left" w:pos="1445"/>
          <w:tab w:val="left" w:pos="7290"/>
        </w:tabs>
        <w:autoSpaceDE w:val="0"/>
        <w:autoSpaceDN w:val="0"/>
        <w:adjustRightInd w:val="0"/>
        <w:spacing w:line="360" w:lineRule="auto"/>
        <w:ind w:firstLine="1440"/>
        <w:rPr>
          <w:sz w:val="26"/>
          <w:szCs w:val="26"/>
        </w:rPr>
      </w:pPr>
    </w:p>
    <w:p w:rsidR="00302B6C" w:rsidRDefault="00302B6C" w:rsidP="00844225">
      <w:pPr>
        <w:widowControl/>
        <w:tabs>
          <w:tab w:val="left" w:pos="1445"/>
          <w:tab w:val="left" w:pos="7290"/>
        </w:tabs>
        <w:autoSpaceDE w:val="0"/>
        <w:autoSpaceDN w:val="0"/>
        <w:adjustRightInd w:val="0"/>
        <w:spacing w:line="360" w:lineRule="auto"/>
        <w:ind w:firstLine="1440"/>
        <w:rPr>
          <w:sz w:val="26"/>
          <w:szCs w:val="26"/>
        </w:rPr>
      </w:pPr>
      <w:r>
        <w:rPr>
          <w:sz w:val="26"/>
          <w:szCs w:val="26"/>
        </w:rPr>
        <w:t xml:space="preserve">The ALJ states that each of the provisions of the Partial Settlement is reasonable, supported by substantial evidence and supports the finding that, as a whole, the Partial Settlement is in the public interest.  Therefore, the ALJ concluded that the Joint Petition is in the public interest and thus recommended that the Joint Petition be granted without modification.  </w:t>
      </w:r>
      <w:r w:rsidRPr="00302B6C">
        <w:rPr>
          <w:i/>
          <w:sz w:val="26"/>
          <w:szCs w:val="26"/>
        </w:rPr>
        <w:t>Id</w:t>
      </w:r>
      <w:r>
        <w:rPr>
          <w:sz w:val="26"/>
          <w:szCs w:val="26"/>
        </w:rPr>
        <w:t>. at 38-39.</w:t>
      </w:r>
    </w:p>
    <w:p w:rsidR="00373CD4" w:rsidRDefault="00373CD4" w:rsidP="00844225">
      <w:pPr>
        <w:widowControl/>
        <w:tabs>
          <w:tab w:val="left" w:pos="1445"/>
          <w:tab w:val="left" w:pos="7920"/>
        </w:tabs>
        <w:autoSpaceDE w:val="0"/>
        <w:autoSpaceDN w:val="0"/>
        <w:adjustRightInd w:val="0"/>
        <w:spacing w:line="360" w:lineRule="auto"/>
        <w:ind w:firstLine="1440"/>
        <w:rPr>
          <w:sz w:val="26"/>
          <w:szCs w:val="26"/>
        </w:rPr>
      </w:pPr>
    </w:p>
    <w:p w:rsidR="00257D64" w:rsidRPr="002042D2" w:rsidRDefault="00257D64" w:rsidP="00844225">
      <w:pPr>
        <w:pStyle w:val="Heading2"/>
        <w:numPr>
          <w:ilvl w:val="0"/>
          <w:numId w:val="29"/>
        </w:numPr>
        <w:ind w:left="720" w:hanging="720"/>
      </w:pPr>
      <w:bookmarkStart w:id="18" w:name="_Toc524347680"/>
      <w:r>
        <w:t>Disposition</w:t>
      </w:r>
      <w:bookmarkEnd w:id="18"/>
    </w:p>
    <w:p w:rsidR="00373CD4" w:rsidRDefault="00373CD4" w:rsidP="00844225">
      <w:pPr>
        <w:widowControl/>
        <w:tabs>
          <w:tab w:val="left" w:pos="1445"/>
          <w:tab w:val="left" w:pos="7920"/>
        </w:tabs>
        <w:autoSpaceDE w:val="0"/>
        <w:autoSpaceDN w:val="0"/>
        <w:adjustRightInd w:val="0"/>
        <w:spacing w:line="360" w:lineRule="auto"/>
        <w:rPr>
          <w:sz w:val="26"/>
          <w:szCs w:val="26"/>
        </w:rPr>
      </w:pPr>
    </w:p>
    <w:p w:rsidR="00081A7F" w:rsidRPr="00081A7F" w:rsidRDefault="00081A7F" w:rsidP="00844225">
      <w:pPr>
        <w:widowControl/>
        <w:spacing w:line="360" w:lineRule="auto"/>
        <w:ind w:firstLine="1440"/>
        <w:contextualSpacing/>
        <w:rPr>
          <w:sz w:val="26"/>
          <w:szCs w:val="24"/>
        </w:rPr>
      </w:pPr>
      <w:r w:rsidRPr="00081A7F">
        <w:rPr>
          <w:sz w:val="26"/>
          <w:szCs w:val="24"/>
        </w:rPr>
        <w:t xml:space="preserve">The </w:t>
      </w:r>
      <w:r w:rsidR="00BF4797">
        <w:rPr>
          <w:sz w:val="26"/>
          <w:szCs w:val="24"/>
        </w:rPr>
        <w:t xml:space="preserve">majority of the issues in the </w:t>
      </w:r>
      <w:r w:rsidRPr="00081A7F">
        <w:rPr>
          <w:sz w:val="26"/>
          <w:szCs w:val="24"/>
        </w:rPr>
        <w:t xml:space="preserve">Partial Settlement </w:t>
      </w:r>
      <w:r w:rsidR="00BF4797">
        <w:rPr>
          <w:sz w:val="26"/>
          <w:szCs w:val="24"/>
        </w:rPr>
        <w:t>were resolved in principle</w:t>
      </w:r>
      <w:r w:rsidRPr="00081A7F">
        <w:rPr>
          <w:sz w:val="26"/>
          <w:szCs w:val="24"/>
        </w:rPr>
        <w:t xml:space="preserve"> prior to the evidentiary hearing.  At the hearing, the Parties</w:t>
      </w:r>
      <w:r w:rsidR="001A5BA1">
        <w:rPr>
          <w:sz w:val="26"/>
          <w:szCs w:val="24"/>
        </w:rPr>
        <w:t>’</w:t>
      </w:r>
      <w:r w:rsidRPr="00081A7F">
        <w:rPr>
          <w:sz w:val="26"/>
          <w:szCs w:val="24"/>
        </w:rPr>
        <w:t xml:space="preserve"> pre-served testimony and exhibits were admitted into the record and cross-examination was waived</w:t>
      </w:r>
      <w:r>
        <w:rPr>
          <w:sz w:val="26"/>
          <w:szCs w:val="24"/>
        </w:rPr>
        <w:t>, excluding those witnesses being called to address the remaining contested issue of the producer retainage charge</w:t>
      </w:r>
      <w:r w:rsidRPr="00081A7F">
        <w:rPr>
          <w:sz w:val="26"/>
          <w:szCs w:val="24"/>
        </w:rPr>
        <w:t>.  The Partial Settlement was not signed by all the Parties, but also was unopposed by any Party.</w:t>
      </w:r>
    </w:p>
    <w:p w:rsidR="00257D64" w:rsidRDefault="00257D64" w:rsidP="00844225">
      <w:pPr>
        <w:widowControl/>
        <w:tabs>
          <w:tab w:val="left" w:pos="1445"/>
          <w:tab w:val="left" w:pos="7920"/>
        </w:tabs>
        <w:autoSpaceDE w:val="0"/>
        <w:autoSpaceDN w:val="0"/>
        <w:adjustRightInd w:val="0"/>
        <w:spacing w:line="360" w:lineRule="auto"/>
        <w:ind w:firstLine="1440"/>
        <w:rPr>
          <w:sz w:val="26"/>
          <w:szCs w:val="26"/>
        </w:rPr>
      </w:pPr>
    </w:p>
    <w:p w:rsidR="00EB5478" w:rsidRDefault="00B67E27" w:rsidP="00844225">
      <w:pPr>
        <w:widowControl/>
        <w:tabs>
          <w:tab w:val="left" w:pos="1445"/>
          <w:tab w:val="left" w:pos="7920"/>
        </w:tabs>
        <w:autoSpaceDE w:val="0"/>
        <w:autoSpaceDN w:val="0"/>
        <w:adjustRightInd w:val="0"/>
        <w:spacing w:line="360" w:lineRule="auto"/>
        <w:ind w:firstLine="1440"/>
        <w:rPr>
          <w:sz w:val="26"/>
          <w:szCs w:val="26"/>
        </w:rPr>
      </w:pPr>
      <w:r>
        <w:rPr>
          <w:sz w:val="26"/>
          <w:szCs w:val="26"/>
        </w:rPr>
        <w:t xml:space="preserve">As </w:t>
      </w:r>
      <w:r w:rsidR="00EB5478" w:rsidRPr="00EB5478">
        <w:rPr>
          <w:sz w:val="26"/>
          <w:szCs w:val="26"/>
        </w:rPr>
        <w:t>note</w:t>
      </w:r>
      <w:r>
        <w:rPr>
          <w:sz w:val="26"/>
          <w:szCs w:val="26"/>
        </w:rPr>
        <w:t>d,</w:t>
      </w:r>
      <w:r w:rsidR="00EB5478" w:rsidRPr="00EB5478">
        <w:rPr>
          <w:sz w:val="26"/>
          <w:szCs w:val="26"/>
        </w:rPr>
        <w:t xml:space="preserve"> the areas of concern r</w:t>
      </w:r>
      <w:r>
        <w:rPr>
          <w:sz w:val="26"/>
          <w:szCs w:val="26"/>
        </w:rPr>
        <w:t>aised by the Parties</w:t>
      </w:r>
      <w:r w:rsidR="00EB5478" w:rsidRPr="00EB5478">
        <w:rPr>
          <w:sz w:val="26"/>
          <w:szCs w:val="26"/>
        </w:rPr>
        <w:t xml:space="preserve"> were extensively addressed in pre-served testimony that was admitted into the record of this proceeding.  Therefore, we find that the Joint Petition is supported by substantial evidence.</w:t>
      </w:r>
    </w:p>
    <w:p w:rsidR="00B67E27" w:rsidRDefault="00B67E27" w:rsidP="00844225">
      <w:pPr>
        <w:widowControl/>
        <w:tabs>
          <w:tab w:val="left" w:pos="1445"/>
          <w:tab w:val="left" w:pos="7920"/>
        </w:tabs>
        <w:autoSpaceDE w:val="0"/>
        <w:autoSpaceDN w:val="0"/>
        <w:adjustRightInd w:val="0"/>
        <w:spacing w:line="360" w:lineRule="auto"/>
        <w:ind w:firstLine="1440"/>
        <w:rPr>
          <w:sz w:val="26"/>
          <w:szCs w:val="26"/>
        </w:rPr>
      </w:pPr>
    </w:p>
    <w:p w:rsidR="00B67E27" w:rsidRPr="00B67E27" w:rsidRDefault="00B67E27" w:rsidP="00844225">
      <w:pPr>
        <w:widowControl/>
        <w:spacing w:line="360" w:lineRule="auto"/>
        <w:ind w:firstLine="1440"/>
        <w:rPr>
          <w:rFonts w:eastAsiaTheme="minorHAnsi"/>
          <w:sz w:val="26"/>
          <w:szCs w:val="24"/>
        </w:rPr>
      </w:pPr>
      <w:r w:rsidRPr="00B67E27">
        <w:rPr>
          <w:sz w:val="26"/>
          <w:szCs w:val="24"/>
        </w:rPr>
        <w:t xml:space="preserve">As discussed, </w:t>
      </w:r>
      <w:r w:rsidRPr="00B67E27">
        <w:rPr>
          <w:i/>
          <w:sz w:val="26"/>
          <w:szCs w:val="24"/>
        </w:rPr>
        <w:t>supra,</w:t>
      </w:r>
      <w:r w:rsidRPr="00B67E27">
        <w:rPr>
          <w:sz w:val="26"/>
          <w:szCs w:val="24"/>
        </w:rPr>
        <w:t xml:space="preserve"> the benchmark for determining the acceptability of a settlement or partial settlement is whether the proposed terms and conditions are in the public interest.  </w:t>
      </w:r>
      <w:r w:rsidRPr="00B67E27">
        <w:rPr>
          <w:rFonts w:eastAsiaTheme="minorHAnsi"/>
          <w:sz w:val="26"/>
          <w:szCs w:val="24"/>
        </w:rPr>
        <w:t>Specifically, the proposed terms o</w:t>
      </w:r>
      <w:r w:rsidR="001F3C93">
        <w:rPr>
          <w:rFonts w:eastAsiaTheme="minorHAnsi"/>
          <w:sz w:val="26"/>
          <w:szCs w:val="24"/>
        </w:rPr>
        <w:t>f the Joint Petition ensure</w:t>
      </w:r>
      <w:r w:rsidRPr="00B67E27">
        <w:rPr>
          <w:rFonts w:eastAsiaTheme="minorHAnsi"/>
          <w:sz w:val="26"/>
          <w:szCs w:val="24"/>
        </w:rPr>
        <w:t xml:space="preserve">, </w:t>
      </w:r>
      <w:r w:rsidRPr="00B67E27">
        <w:rPr>
          <w:rFonts w:eastAsiaTheme="minorHAnsi"/>
          <w:i/>
          <w:sz w:val="26"/>
          <w:szCs w:val="24"/>
        </w:rPr>
        <w:t>inter alia</w:t>
      </w:r>
      <w:r w:rsidRPr="00B67E27">
        <w:rPr>
          <w:rFonts w:eastAsiaTheme="minorHAnsi"/>
          <w:sz w:val="26"/>
          <w:szCs w:val="24"/>
        </w:rPr>
        <w:t xml:space="preserve">: </w:t>
      </w:r>
    </w:p>
    <w:p w:rsidR="00B67E27" w:rsidRPr="00B67E27" w:rsidRDefault="00B67E27" w:rsidP="00844225">
      <w:pPr>
        <w:widowControl/>
        <w:ind w:firstLine="1440"/>
        <w:rPr>
          <w:rFonts w:eastAsiaTheme="minorHAnsi"/>
          <w:sz w:val="26"/>
          <w:szCs w:val="24"/>
        </w:rPr>
      </w:pPr>
    </w:p>
    <w:p w:rsidR="00F24857" w:rsidRDefault="001F3C93" w:rsidP="00844225">
      <w:pPr>
        <w:widowControl/>
        <w:numPr>
          <w:ilvl w:val="0"/>
          <w:numId w:val="4"/>
        </w:numPr>
        <w:spacing w:after="120"/>
        <w:ind w:left="1440" w:hanging="720"/>
        <w:rPr>
          <w:rFonts w:eastAsiaTheme="minorHAnsi"/>
          <w:sz w:val="26"/>
          <w:szCs w:val="24"/>
        </w:rPr>
      </w:pPr>
      <w:r>
        <w:rPr>
          <w:rFonts w:eastAsiaTheme="minorHAnsi"/>
          <w:sz w:val="26"/>
          <w:szCs w:val="24"/>
        </w:rPr>
        <w:t>the ongoing safe operations of all Peoples Gas</w:t>
      </w:r>
      <w:r w:rsidR="001A5BA1">
        <w:rPr>
          <w:rFonts w:eastAsiaTheme="minorHAnsi"/>
          <w:sz w:val="26"/>
          <w:szCs w:val="24"/>
        </w:rPr>
        <w:t>’</w:t>
      </w:r>
      <w:r>
        <w:rPr>
          <w:rFonts w:eastAsiaTheme="minorHAnsi"/>
          <w:sz w:val="26"/>
          <w:szCs w:val="24"/>
        </w:rPr>
        <w:t xml:space="preserve"> gathering facilities by</w:t>
      </w:r>
      <w:r w:rsidR="00CF7154">
        <w:rPr>
          <w:rFonts w:eastAsiaTheme="minorHAnsi"/>
          <w:sz w:val="26"/>
          <w:szCs w:val="24"/>
        </w:rPr>
        <w:t>:</w:t>
      </w:r>
    </w:p>
    <w:p w:rsidR="001F3C93" w:rsidRDefault="001F3C93" w:rsidP="00844225">
      <w:pPr>
        <w:widowControl/>
        <w:numPr>
          <w:ilvl w:val="1"/>
          <w:numId w:val="4"/>
        </w:numPr>
        <w:spacing w:after="120"/>
        <w:ind w:left="1800"/>
        <w:rPr>
          <w:rFonts w:eastAsiaTheme="minorHAnsi"/>
          <w:sz w:val="26"/>
          <w:szCs w:val="24"/>
        </w:rPr>
      </w:pPr>
      <w:r>
        <w:rPr>
          <w:rFonts w:eastAsiaTheme="minorHAnsi"/>
          <w:sz w:val="26"/>
          <w:szCs w:val="24"/>
        </w:rPr>
        <w:t>creating measurable standards for UFG on the Peoples Gas gathering system, designed to further reduce UFG;</w:t>
      </w:r>
    </w:p>
    <w:p w:rsidR="001F3C93" w:rsidRDefault="001F3C93" w:rsidP="00844225">
      <w:pPr>
        <w:widowControl/>
        <w:numPr>
          <w:ilvl w:val="1"/>
          <w:numId w:val="4"/>
        </w:numPr>
        <w:spacing w:after="120"/>
        <w:ind w:left="1800"/>
        <w:rPr>
          <w:rFonts w:eastAsiaTheme="minorHAnsi"/>
          <w:sz w:val="26"/>
          <w:szCs w:val="24"/>
        </w:rPr>
      </w:pPr>
      <w:r>
        <w:rPr>
          <w:rFonts w:eastAsiaTheme="minorHAnsi"/>
          <w:sz w:val="26"/>
          <w:szCs w:val="24"/>
        </w:rPr>
        <w:t>aggressive</w:t>
      </w:r>
      <w:r w:rsidR="00CF7154">
        <w:rPr>
          <w:rFonts w:eastAsiaTheme="minorHAnsi"/>
          <w:sz w:val="26"/>
          <w:szCs w:val="24"/>
        </w:rPr>
        <w:t>ly</w:t>
      </w:r>
      <w:r>
        <w:rPr>
          <w:rFonts w:eastAsiaTheme="minorHAnsi"/>
          <w:sz w:val="26"/>
          <w:szCs w:val="24"/>
        </w:rPr>
        <w:t xml:space="preserve"> </w:t>
      </w:r>
      <w:r w:rsidR="00CF7154">
        <w:rPr>
          <w:rFonts w:eastAsiaTheme="minorHAnsi"/>
          <w:sz w:val="26"/>
          <w:szCs w:val="24"/>
        </w:rPr>
        <w:t>implementing</w:t>
      </w:r>
      <w:r>
        <w:rPr>
          <w:rFonts w:eastAsiaTheme="minorHAnsi"/>
          <w:sz w:val="26"/>
          <w:szCs w:val="24"/>
        </w:rPr>
        <w:t xml:space="preserve"> the Company</w:t>
      </w:r>
      <w:r w:rsidR="001A5BA1">
        <w:rPr>
          <w:rFonts w:eastAsiaTheme="minorHAnsi"/>
          <w:sz w:val="26"/>
          <w:szCs w:val="24"/>
        </w:rPr>
        <w:t>’</w:t>
      </w:r>
      <w:r>
        <w:rPr>
          <w:rFonts w:eastAsiaTheme="minorHAnsi"/>
          <w:sz w:val="26"/>
          <w:szCs w:val="24"/>
        </w:rPr>
        <w:t>s UFG Mitigation Plan, designed to find solutions to redu</w:t>
      </w:r>
      <w:r w:rsidR="00CF7154">
        <w:rPr>
          <w:rFonts w:eastAsiaTheme="minorHAnsi"/>
          <w:sz w:val="26"/>
          <w:szCs w:val="24"/>
        </w:rPr>
        <w:t>cing UFG on the Company</w:t>
      </w:r>
      <w:r w:rsidR="001A5BA1">
        <w:rPr>
          <w:rFonts w:eastAsiaTheme="minorHAnsi"/>
          <w:sz w:val="26"/>
          <w:szCs w:val="24"/>
        </w:rPr>
        <w:t>’</w:t>
      </w:r>
      <w:r w:rsidR="00CF7154">
        <w:rPr>
          <w:rFonts w:eastAsiaTheme="minorHAnsi"/>
          <w:sz w:val="26"/>
          <w:szCs w:val="24"/>
        </w:rPr>
        <w:t xml:space="preserve">s gathering system; and </w:t>
      </w:r>
    </w:p>
    <w:p w:rsidR="00CF7154" w:rsidRDefault="00446C20" w:rsidP="00844225">
      <w:pPr>
        <w:widowControl/>
        <w:numPr>
          <w:ilvl w:val="1"/>
          <w:numId w:val="4"/>
        </w:numPr>
        <w:spacing w:after="120"/>
        <w:ind w:left="1800"/>
        <w:rPr>
          <w:rFonts w:eastAsiaTheme="minorHAnsi"/>
          <w:sz w:val="26"/>
          <w:szCs w:val="24"/>
        </w:rPr>
      </w:pPr>
      <w:r>
        <w:rPr>
          <w:rFonts w:eastAsiaTheme="minorHAnsi"/>
          <w:sz w:val="26"/>
          <w:szCs w:val="24"/>
        </w:rPr>
        <w:t xml:space="preserve">continuing </w:t>
      </w:r>
      <w:r w:rsidR="00CF7154">
        <w:rPr>
          <w:rFonts w:eastAsiaTheme="minorHAnsi"/>
          <w:sz w:val="26"/>
          <w:szCs w:val="24"/>
        </w:rPr>
        <w:t>the Company</w:t>
      </w:r>
      <w:r w:rsidR="001A5BA1">
        <w:rPr>
          <w:rFonts w:eastAsiaTheme="minorHAnsi"/>
          <w:sz w:val="26"/>
          <w:szCs w:val="24"/>
        </w:rPr>
        <w:t>’</w:t>
      </w:r>
      <w:r w:rsidR="00CF7154">
        <w:rPr>
          <w:rFonts w:eastAsiaTheme="minorHAnsi"/>
          <w:sz w:val="26"/>
          <w:szCs w:val="24"/>
        </w:rPr>
        <w:t>s practice of treating all non-jurisdictional (DOT) gathering lines as part of its normal distribution compliance program.</w:t>
      </w:r>
    </w:p>
    <w:p w:rsidR="00CF7154" w:rsidRDefault="00CF7154" w:rsidP="00844225">
      <w:pPr>
        <w:widowControl/>
        <w:spacing w:after="120"/>
        <w:ind w:left="1800"/>
        <w:rPr>
          <w:rFonts w:eastAsiaTheme="minorHAnsi"/>
          <w:sz w:val="26"/>
          <w:szCs w:val="24"/>
        </w:rPr>
      </w:pPr>
    </w:p>
    <w:p w:rsidR="009E7C04" w:rsidRDefault="009E7C04" w:rsidP="00844225">
      <w:pPr>
        <w:widowControl/>
        <w:numPr>
          <w:ilvl w:val="0"/>
          <w:numId w:val="4"/>
        </w:numPr>
        <w:spacing w:after="120"/>
        <w:ind w:left="1440" w:hanging="720"/>
        <w:rPr>
          <w:rFonts w:eastAsiaTheme="minorHAnsi"/>
          <w:sz w:val="26"/>
          <w:szCs w:val="24"/>
        </w:rPr>
      </w:pPr>
      <w:r>
        <w:rPr>
          <w:rFonts w:eastAsiaTheme="minorHAnsi"/>
          <w:sz w:val="26"/>
          <w:szCs w:val="24"/>
        </w:rPr>
        <w:t>a reasonable compromise</w:t>
      </w:r>
      <w:r w:rsidR="00273C41">
        <w:rPr>
          <w:rFonts w:eastAsiaTheme="minorHAnsi"/>
          <w:sz w:val="26"/>
          <w:szCs w:val="24"/>
        </w:rPr>
        <w:t xml:space="preserve"> regarding the issue of accurately allocating retainage costs to transportation customers by maintaining the Company</w:t>
      </w:r>
      <w:r w:rsidR="001A5BA1">
        <w:rPr>
          <w:rFonts w:eastAsiaTheme="minorHAnsi"/>
          <w:sz w:val="26"/>
          <w:szCs w:val="24"/>
        </w:rPr>
        <w:t>’</w:t>
      </w:r>
      <w:r w:rsidR="00273C41">
        <w:rPr>
          <w:rFonts w:eastAsiaTheme="minorHAnsi"/>
          <w:sz w:val="26"/>
          <w:szCs w:val="24"/>
        </w:rPr>
        <w:t>s current method of calculating the retainage charge with respect to storage losses and company-use gas, and preserving the right of the Parties to revisit the issue in future PGC proceedings;</w:t>
      </w:r>
    </w:p>
    <w:p w:rsidR="00B67E27" w:rsidRDefault="00B67E27" w:rsidP="00844225">
      <w:pPr>
        <w:widowControl/>
        <w:tabs>
          <w:tab w:val="left" w:pos="1445"/>
          <w:tab w:val="left" w:pos="7920"/>
        </w:tabs>
        <w:autoSpaceDE w:val="0"/>
        <w:autoSpaceDN w:val="0"/>
        <w:adjustRightInd w:val="0"/>
        <w:ind w:firstLine="1440"/>
        <w:rPr>
          <w:sz w:val="26"/>
          <w:szCs w:val="26"/>
        </w:rPr>
      </w:pPr>
    </w:p>
    <w:p w:rsidR="00EB5478" w:rsidRDefault="00EB5478" w:rsidP="00844225">
      <w:pPr>
        <w:widowControl/>
        <w:tabs>
          <w:tab w:val="left" w:pos="1445"/>
          <w:tab w:val="left" w:pos="7920"/>
        </w:tabs>
        <w:autoSpaceDE w:val="0"/>
        <w:autoSpaceDN w:val="0"/>
        <w:adjustRightInd w:val="0"/>
        <w:ind w:firstLine="1440"/>
        <w:rPr>
          <w:sz w:val="26"/>
          <w:szCs w:val="26"/>
        </w:rPr>
      </w:pPr>
    </w:p>
    <w:p w:rsidR="0023471E" w:rsidRPr="0023471E" w:rsidRDefault="0023471E" w:rsidP="00844225">
      <w:pPr>
        <w:widowControl/>
        <w:spacing w:line="360" w:lineRule="auto"/>
        <w:rPr>
          <w:rFonts w:eastAsiaTheme="minorHAnsi"/>
          <w:sz w:val="26"/>
          <w:szCs w:val="24"/>
        </w:rPr>
      </w:pPr>
      <w:r w:rsidRPr="0023471E">
        <w:rPr>
          <w:rFonts w:eastAsiaTheme="minorHAnsi"/>
          <w:sz w:val="26"/>
          <w:szCs w:val="24"/>
        </w:rPr>
        <w:t>Accordingly, we concur with the ALJ and the Joint Petitioners that each of the provisions of the Joint Petition are reasonable</w:t>
      </w:r>
      <w:r w:rsidR="00A8160E">
        <w:rPr>
          <w:rFonts w:eastAsiaTheme="minorHAnsi"/>
          <w:sz w:val="26"/>
          <w:szCs w:val="24"/>
        </w:rPr>
        <w:t>,</w:t>
      </w:r>
      <w:r w:rsidRPr="0023471E">
        <w:rPr>
          <w:rFonts w:eastAsiaTheme="minorHAnsi"/>
          <w:sz w:val="26"/>
          <w:szCs w:val="24"/>
        </w:rPr>
        <w:t xml:space="preserve"> and we shall adopt the Joint Petition in its entirety, without modification, as being in the public interest and consistent with applicable statutes governing Section 1307(f) filings.</w:t>
      </w:r>
    </w:p>
    <w:p w:rsidR="00EB5478" w:rsidRDefault="00EB5478" w:rsidP="00844225">
      <w:pPr>
        <w:widowControl/>
        <w:tabs>
          <w:tab w:val="left" w:pos="1445"/>
          <w:tab w:val="left" w:pos="7920"/>
        </w:tabs>
        <w:autoSpaceDE w:val="0"/>
        <w:autoSpaceDN w:val="0"/>
        <w:adjustRightInd w:val="0"/>
        <w:spacing w:line="360" w:lineRule="auto"/>
        <w:ind w:firstLine="1440"/>
        <w:rPr>
          <w:sz w:val="26"/>
          <w:szCs w:val="26"/>
        </w:rPr>
      </w:pPr>
    </w:p>
    <w:p w:rsidR="00DF2D10" w:rsidRDefault="00DF2D10" w:rsidP="00844225">
      <w:pPr>
        <w:widowControl/>
        <w:tabs>
          <w:tab w:val="left" w:pos="1445"/>
          <w:tab w:val="left" w:pos="7920"/>
        </w:tabs>
        <w:autoSpaceDE w:val="0"/>
        <w:autoSpaceDN w:val="0"/>
        <w:adjustRightInd w:val="0"/>
        <w:spacing w:line="360" w:lineRule="auto"/>
        <w:ind w:firstLine="1440"/>
        <w:rPr>
          <w:sz w:val="26"/>
          <w:szCs w:val="26"/>
        </w:rPr>
      </w:pPr>
      <w:r w:rsidRPr="00DF2D10">
        <w:rPr>
          <w:sz w:val="26"/>
          <w:szCs w:val="26"/>
        </w:rPr>
        <w:t>Additionally, as with most settlements, this settlement is also in the public interest because it will conserve the resources of the Commission and the Parties.  The resolution of the issues contained in the Joint Petition will avoid further litigation on those issues, thereby, serving judicial efficiency and allowing the Parties and the Commission to conserve their resources, the costs of which will ultimately be borne by ratepayers.</w:t>
      </w:r>
    </w:p>
    <w:p w:rsidR="00EB5478" w:rsidRDefault="00EB5478" w:rsidP="00844225">
      <w:pPr>
        <w:widowControl/>
        <w:tabs>
          <w:tab w:val="left" w:pos="1445"/>
          <w:tab w:val="left" w:pos="7920"/>
        </w:tabs>
        <w:autoSpaceDE w:val="0"/>
        <w:autoSpaceDN w:val="0"/>
        <w:adjustRightInd w:val="0"/>
        <w:spacing w:line="360" w:lineRule="auto"/>
        <w:ind w:firstLine="1440"/>
        <w:rPr>
          <w:sz w:val="26"/>
          <w:szCs w:val="26"/>
        </w:rPr>
      </w:pPr>
    </w:p>
    <w:p w:rsidR="00856918" w:rsidRPr="003D07BC" w:rsidRDefault="00856918" w:rsidP="00D337CE">
      <w:pPr>
        <w:pStyle w:val="Heading1"/>
        <w:keepLines/>
        <w:numPr>
          <w:ilvl w:val="0"/>
          <w:numId w:val="12"/>
        </w:numPr>
        <w:ind w:left="720"/>
      </w:pPr>
      <w:bookmarkStart w:id="19" w:name="_Toc524347681"/>
      <w:bookmarkStart w:id="20" w:name="_Hlk524347584"/>
      <w:r>
        <w:t>Contested Issue</w:t>
      </w:r>
      <w:bookmarkEnd w:id="19"/>
    </w:p>
    <w:bookmarkEnd w:id="20"/>
    <w:p w:rsidR="00EB5478" w:rsidRDefault="00EB5478" w:rsidP="00D337CE">
      <w:pPr>
        <w:keepNext/>
        <w:keepLines/>
        <w:widowControl/>
        <w:tabs>
          <w:tab w:val="left" w:pos="1445"/>
          <w:tab w:val="left" w:pos="7920"/>
        </w:tabs>
        <w:autoSpaceDE w:val="0"/>
        <w:autoSpaceDN w:val="0"/>
        <w:adjustRightInd w:val="0"/>
        <w:spacing w:line="360" w:lineRule="auto"/>
        <w:rPr>
          <w:sz w:val="26"/>
          <w:szCs w:val="26"/>
        </w:rPr>
      </w:pPr>
    </w:p>
    <w:p w:rsidR="00704B34" w:rsidRPr="00704B34" w:rsidRDefault="00704B34" w:rsidP="00D337CE">
      <w:pPr>
        <w:pStyle w:val="Heading2"/>
        <w:numPr>
          <w:ilvl w:val="0"/>
          <w:numId w:val="30"/>
        </w:numPr>
        <w:ind w:left="720" w:hanging="720"/>
      </w:pPr>
      <w:bookmarkStart w:id="21" w:name="_Toc524347682"/>
      <w:r>
        <w:t>Proposed Producer Retainage Charge</w:t>
      </w:r>
      <w:bookmarkEnd w:id="21"/>
    </w:p>
    <w:p w:rsidR="00704B34" w:rsidRDefault="00704B34" w:rsidP="00D337CE">
      <w:pPr>
        <w:keepNext/>
        <w:keepLines/>
        <w:widowControl/>
        <w:tabs>
          <w:tab w:val="left" w:pos="1445"/>
          <w:tab w:val="left" w:pos="7920"/>
        </w:tabs>
        <w:autoSpaceDE w:val="0"/>
        <w:autoSpaceDN w:val="0"/>
        <w:adjustRightInd w:val="0"/>
        <w:spacing w:line="360" w:lineRule="auto"/>
        <w:rPr>
          <w:sz w:val="26"/>
          <w:szCs w:val="26"/>
        </w:rPr>
      </w:pPr>
    </w:p>
    <w:p w:rsidR="00D3020D" w:rsidRDefault="00D3020D" w:rsidP="00D337CE">
      <w:pPr>
        <w:pStyle w:val="Heading3"/>
        <w:keepNext/>
        <w:keepLines/>
        <w:numPr>
          <w:ilvl w:val="0"/>
          <w:numId w:val="9"/>
        </w:numPr>
        <w:ind w:left="1440" w:hanging="720"/>
      </w:pPr>
      <w:bookmarkStart w:id="22" w:name="_Toc524347683"/>
      <w:r>
        <w:t>Background</w:t>
      </w:r>
      <w:bookmarkEnd w:id="22"/>
    </w:p>
    <w:p w:rsidR="00D3020D" w:rsidRDefault="00D3020D" w:rsidP="00D337CE">
      <w:pPr>
        <w:keepNext/>
        <w:keepLines/>
        <w:widowControl/>
        <w:tabs>
          <w:tab w:val="left" w:pos="1445"/>
          <w:tab w:val="left" w:pos="7920"/>
        </w:tabs>
        <w:autoSpaceDE w:val="0"/>
        <w:autoSpaceDN w:val="0"/>
        <w:adjustRightInd w:val="0"/>
        <w:spacing w:line="360" w:lineRule="auto"/>
        <w:ind w:left="720"/>
        <w:rPr>
          <w:b/>
          <w:sz w:val="26"/>
          <w:szCs w:val="26"/>
        </w:rPr>
      </w:pPr>
    </w:p>
    <w:p w:rsidR="0031129E" w:rsidRPr="001A32A3" w:rsidRDefault="0031129E" w:rsidP="00D337CE">
      <w:pPr>
        <w:pStyle w:val="Heading4"/>
        <w:keepNext/>
        <w:keepLines/>
      </w:pPr>
      <w:r w:rsidRPr="001A32A3">
        <w:t>Unaccounted for Gas</w:t>
      </w:r>
      <w:r w:rsidR="0000446B" w:rsidRPr="001A32A3">
        <w:t xml:space="preserve"> and Retainage Charges</w:t>
      </w:r>
    </w:p>
    <w:p w:rsidR="0031129E" w:rsidRPr="0031129E" w:rsidRDefault="0031129E" w:rsidP="00D337CE">
      <w:pPr>
        <w:pStyle w:val="ListParagraph"/>
        <w:keepNext/>
        <w:keepLines/>
        <w:widowControl/>
        <w:tabs>
          <w:tab w:val="left" w:pos="1445"/>
          <w:tab w:val="left" w:pos="7920"/>
        </w:tabs>
        <w:autoSpaceDE w:val="0"/>
        <w:autoSpaceDN w:val="0"/>
        <w:adjustRightInd w:val="0"/>
        <w:spacing w:line="360" w:lineRule="auto"/>
        <w:ind w:left="2160"/>
        <w:rPr>
          <w:b/>
          <w:sz w:val="26"/>
          <w:szCs w:val="26"/>
        </w:rPr>
      </w:pPr>
    </w:p>
    <w:p w:rsidR="004F59F1" w:rsidRDefault="0004450B" w:rsidP="00844225">
      <w:pPr>
        <w:widowControl/>
        <w:tabs>
          <w:tab w:val="left" w:pos="1445"/>
          <w:tab w:val="left" w:pos="7920"/>
        </w:tabs>
        <w:autoSpaceDE w:val="0"/>
        <w:autoSpaceDN w:val="0"/>
        <w:adjustRightInd w:val="0"/>
        <w:spacing w:line="360" w:lineRule="auto"/>
        <w:ind w:firstLine="1440"/>
        <w:rPr>
          <w:sz w:val="26"/>
          <w:szCs w:val="26"/>
        </w:rPr>
      </w:pPr>
      <w:r w:rsidRPr="0004450B">
        <w:rPr>
          <w:sz w:val="26"/>
          <w:szCs w:val="26"/>
        </w:rPr>
        <w:t>In his direct testimony, OCA witness Mr. Mierzwa explained that a portion of the gas de</w:t>
      </w:r>
      <w:r>
        <w:rPr>
          <w:sz w:val="26"/>
          <w:szCs w:val="26"/>
        </w:rPr>
        <w:t xml:space="preserve">livered to customers is either </w:t>
      </w:r>
      <w:r w:rsidRPr="0004450B">
        <w:rPr>
          <w:sz w:val="26"/>
          <w:szCs w:val="26"/>
        </w:rPr>
        <w:t>UFG</w:t>
      </w:r>
      <w:r>
        <w:rPr>
          <w:sz w:val="26"/>
          <w:szCs w:val="26"/>
        </w:rPr>
        <w:t>, storage losses</w:t>
      </w:r>
      <w:r w:rsidRPr="0004450B">
        <w:rPr>
          <w:sz w:val="26"/>
          <w:szCs w:val="26"/>
        </w:rPr>
        <w:t xml:space="preserve"> or used in company operations.  He also explained that, for sales customers, these losses are recovered </w:t>
      </w:r>
      <w:r>
        <w:rPr>
          <w:sz w:val="26"/>
          <w:szCs w:val="26"/>
        </w:rPr>
        <w:t>through PGC</w:t>
      </w:r>
      <w:r w:rsidRPr="0004450B">
        <w:rPr>
          <w:sz w:val="26"/>
          <w:szCs w:val="26"/>
        </w:rPr>
        <w:t xml:space="preserve"> rates, and for transportation customers, these losses are typically recovered through a retainage charge.</w:t>
      </w:r>
      <w:r w:rsidR="006F6FCB">
        <w:rPr>
          <w:sz w:val="26"/>
          <w:szCs w:val="26"/>
        </w:rPr>
        <w:t xml:space="preserve">  OCA St. No. 1 at 6.  </w:t>
      </w:r>
      <w:r w:rsidR="001843FC">
        <w:rPr>
          <w:sz w:val="26"/>
          <w:szCs w:val="26"/>
        </w:rPr>
        <w:t xml:space="preserve">The Company currently charges a 5.4% retainage rate across all </w:t>
      </w:r>
      <w:r w:rsidR="00DE2FBF">
        <w:rPr>
          <w:sz w:val="26"/>
          <w:szCs w:val="26"/>
        </w:rPr>
        <w:t xml:space="preserve">non-discounted transportation </w:t>
      </w:r>
      <w:r w:rsidR="001843FC">
        <w:rPr>
          <w:sz w:val="26"/>
          <w:szCs w:val="26"/>
        </w:rPr>
        <w:t>customer classes.</w:t>
      </w:r>
      <w:r w:rsidR="001843FC">
        <w:rPr>
          <w:rStyle w:val="FootnoteReference"/>
          <w:sz w:val="26"/>
          <w:szCs w:val="26"/>
        </w:rPr>
        <w:footnoteReference w:id="10"/>
      </w:r>
      <w:r w:rsidR="00840F58">
        <w:rPr>
          <w:sz w:val="26"/>
          <w:szCs w:val="26"/>
        </w:rPr>
        <w:t xml:space="preserve">  Peoples Gas St. No. 3 at 3.  Those customers that have been granted a </w:t>
      </w:r>
      <w:r>
        <w:rPr>
          <w:sz w:val="26"/>
          <w:szCs w:val="26"/>
        </w:rPr>
        <w:t>discounted retainage charge</w:t>
      </w:r>
      <w:r w:rsidR="00840F58">
        <w:rPr>
          <w:sz w:val="26"/>
          <w:szCs w:val="26"/>
        </w:rPr>
        <w:t xml:space="preserve"> pay an average of 2.5%.  When combined, the discounted and non-discounted retainage charges result in an overall effective retainage charge of 3.4%.  Peoples Gas Exh. No. 5.</w:t>
      </w:r>
    </w:p>
    <w:p w:rsidR="004F59F1" w:rsidRDefault="004F59F1" w:rsidP="00844225">
      <w:pPr>
        <w:widowControl/>
        <w:tabs>
          <w:tab w:val="left" w:pos="1445"/>
          <w:tab w:val="left" w:pos="7920"/>
        </w:tabs>
        <w:autoSpaceDE w:val="0"/>
        <w:autoSpaceDN w:val="0"/>
        <w:adjustRightInd w:val="0"/>
        <w:spacing w:line="360" w:lineRule="auto"/>
        <w:ind w:firstLine="1440"/>
        <w:rPr>
          <w:sz w:val="26"/>
          <w:szCs w:val="26"/>
        </w:rPr>
      </w:pPr>
    </w:p>
    <w:p w:rsidR="00D3020D" w:rsidRDefault="001843FC" w:rsidP="00844225">
      <w:pPr>
        <w:widowControl/>
        <w:tabs>
          <w:tab w:val="left" w:pos="1445"/>
          <w:tab w:val="left" w:pos="7920"/>
        </w:tabs>
        <w:autoSpaceDE w:val="0"/>
        <w:autoSpaceDN w:val="0"/>
        <w:adjustRightInd w:val="0"/>
        <w:spacing w:line="360" w:lineRule="auto"/>
        <w:ind w:firstLine="1440"/>
        <w:rPr>
          <w:sz w:val="26"/>
          <w:szCs w:val="26"/>
        </w:rPr>
      </w:pPr>
      <w:r>
        <w:rPr>
          <w:sz w:val="26"/>
          <w:szCs w:val="26"/>
        </w:rPr>
        <w:t>In this proceeding</w:t>
      </w:r>
      <w:r w:rsidR="004F59F1">
        <w:rPr>
          <w:sz w:val="26"/>
          <w:szCs w:val="26"/>
        </w:rPr>
        <w:t>, Peoples Gas updated its calculation of UFG and CU based upon a new three-year average ended August 31, 2017, which is consistent with the recently filed UFG reports to the Commission.  Peoples Gas Exh. No. 5.</w:t>
      </w:r>
    </w:p>
    <w:p w:rsidR="00856918" w:rsidRDefault="00856918" w:rsidP="00844225">
      <w:pPr>
        <w:widowControl/>
        <w:tabs>
          <w:tab w:val="left" w:pos="1445"/>
          <w:tab w:val="left" w:pos="7920"/>
        </w:tabs>
        <w:autoSpaceDE w:val="0"/>
        <w:autoSpaceDN w:val="0"/>
        <w:adjustRightInd w:val="0"/>
        <w:spacing w:line="360" w:lineRule="auto"/>
        <w:rPr>
          <w:sz w:val="26"/>
          <w:szCs w:val="26"/>
        </w:rPr>
      </w:pPr>
    </w:p>
    <w:p w:rsidR="00990F06" w:rsidRPr="00F14507" w:rsidRDefault="00F14507" w:rsidP="001C0CF7">
      <w:pPr>
        <w:keepNext/>
        <w:keepLines/>
        <w:widowControl/>
        <w:pBdr>
          <w:bottom w:val="single" w:sz="4" w:space="1" w:color="auto"/>
        </w:pBdr>
        <w:tabs>
          <w:tab w:val="left" w:pos="1445"/>
          <w:tab w:val="left" w:pos="7920"/>
        </w:tabs>
        <w:autoSpaceDE w:val="0"/>
        <w:autoSpaceDN w:val="0"/>
        <w:adjustRightInd w:val="0"/>
        <w:jc w:val="center"/>
        <w:rPr>
          <w:b/>
          <w:sz w:val="26"/>
          <w:szCs w:val="26"/>
        </w:rPr>
      </w:pPr>
      <w:r w:rsidRPr="00F14507">
        <w:rPr>
          <w:b/>
          <w:sz w:val="26"/>
          <w:szCs w:val="26"/>
        </w:rPr>
        <w:lastRenderedPageBreak/>
        <w:t>TABLE 1</w:t>
      </w:r>
    </w:p>
    <w:p w:rsidR="00FD0D5A" w:rsidRDefault="00FD0D5A" w:rsidP="001C0CF7">
      <w:pPr>
        <w:keepNext/>
        <w:keepLines/>
        <w:widowControl/>
        <w:tabs>
          <w:tab w:val="left" w:pos="1445"/>
          <w:tab w:val="left" w:pos="7920"/>
        </w:tabs>
        <w:autoSpaceDE w:val="0"/>
        <w:autoSpaceDN w:val="0"/>
        <w:adjustRightInd w:val="0"/>
        <w:spacing w:line="360" w:lineRule="auto"/>
        <w:rPr>
          <w:sz w:val="26"/>
          <w:szCs w:val="26"/>
        </w:rPr>
      </w:pPr>
      <w:r w:rsidRPr="00FD0D5A">
        <w:rPr>
          <w:noProof/>
        </w:rPr>
        <w:drawing>
          <wp:inline distT="0" distB="0" distL="0" distR="0" wp14:anchorId="2E8FA94D" wp14:editId="720F12CE">
            <wp:extent cx="5943600" cy="1751717"/>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751717"/>
                    </a:xfrm>
                    <a:prstGeom prst="rect">
                      <a:avLst/>
                    </a:prstGeom>
                    <a:noFill/>
                    <a:ln>
                      <a:noFill/>
                    </a:ln>
                  </pic:spPr>
                </pic:pic>
              </a:graphicData>
            </a:graphic>
          </wp:inline>
        </w:drawing>
      </w:r>
    </w:p>
    <w:p w:rsidR="00646644" w:rsidRDefault="00646644" w:rsidP="001C0CF7">
      <w:pPr>
        <w:keepNext/>
        <w:keepLines/>
        <w:widowControl/>
        <w:tabs>
          <w:tab w:val="left" w:pos="1445"/>
          <w:tab w:val="left" w:pos="7920"/>
        </w:tabs>
        <w:autoSpaceDE w:val="0"/>
        <w:autoSpaceDN w:val="0"/>
        <w:adjustRightInd w:val="0"/>
        <w:spacing w:line="360" w:lineRule="auto"/>
        <w:rPr>
          <w:sz w:val="26"/>
          <w:szCs w:val="26"/>
        </w:rPr>
      </w:pPr>
    </w:p>
    <w:p w:rsidR="0031129E" w:rsidRDefault="006F6FCB" w:rsidP="00844225">
      <w:pPr>
        <w:widowControl/>
        <w:tabs>
          <w:tab w:val="left" w:pos="1445"/>
          <w:tab w:val="left" w:pos="7920"/>
        </w:tabs>
        <w:autoSpaceDE w:val="0"/>
        <w:autoSpaceDN w:val="0"/>
        <w:adjustRightInd w:val="0"/>
        <w:spacing w:line="360" w:lineRule="auto"/>
        <w:ind w:firstLine="1440"/>
        <w:rPr>
          <w:sz w:val="26"/>
          <w:szCs w:val="26"/>
        </w:rPr>
      </w:pPr>
      <w:r>
        <w:rPr>
          <w:sz w:val="26"/>
          <w:szCs w:val="26"/>
        </w:rPr>
        <w:t xml:space="preserve">As shown </w:t>
      </w:r>
      <w:r w:rsidR="00F4722A">
        <w:rPr>
          <w:sz w:val="26"/>
          <w:szCs w:val="26"/>
        </w:rPr>
        <w:t xml:space="preserve">in TABLE 1, </w:t>
      </w:r>
      <w:r>
        <w:rPr>
          <w:sz w:val="26"/>
          <w:szCs w:val="26"/>
        </w:rPr>
        <w:t xml:space="preserve">above, for the first time since the Commission required UFG reporting in 2014, the 2017 UFG report for Peoples Gas has segmented the loss of </w:t>
      </w:r>
      <w:r w:rsidR="00370DAC">
        <w:rPr>
          <w:sz w:val="26"/>
          <w:szCs w:val="26"/>
        </w:rPr>
        <w:t>its</w:t>
      </w:r>
      <w:r>
        <w:rPr>
          <w:sz w:val="26"/>
          <w:szCs w:val="26"/>
        </w:rPr>
        <w:t xml:space="preserve"> gathering pipelines from the other functional pipeline systems.  </w:t>
      </w:r>
      <w:r w:rsidR="005634E8">
        <w:rPr>
          <w:sz w:val="26"/>
          <w:szCs w:val="26"/>
        </w:rPr>
        <w:t>Peoples Gas St. No. 1 at</w:t>
      </w:r>
      <w:r w:rsidR="00F4722A">
        <w:rPr>
          <w:sz w:val="26"/>
          <w:szCs w:val="26"/>
        </w:rPr>
        <w:t> </w:t>
      </w:r>
      <w:r w:rsidR="005634E8">
        <w:rPr>
          <w:sz w:val="26"/>
          <w:szCs w:val="26"/>
        </w:rPr>
        <w:t>12.</w:t>
      </w:r>
    </w:p>
    <w:p w:rsidR="0031129E" w:rsidRDefault="0031129E" w:rsidP="00844225">
      <w:pPr>
        <w:widowControl/>
        <w:tabs>
          <w:tab w:val="left" w:pos="1445"/>
          <w:tab w:val="left" w:pos="7920"/>
        </w:tabs>
        <w:autoSpaceDE w:val="0"/>
        <w:autoSpaceDN w:val="0"/>
        <w:adjustRightInd w:val="0"/>
        <w:spacing w:line="360" w:lineRule="auto"/>
        <w:rPr>
          <w:sz w:val="26"/>
          <w:szCs w:val="26"/>
        </w:rPr>
      </w:pPr>
    </w:p>
    <w:p w:rsidR="0031129E" w:rsidRDefault="0031129E" w:rsidP="00D35AE5">
      <w:pPr>
        <w:pStyle w:val="Heading4"/>
        <w:keepNext/>
        <w:keepLines/>
      </w:pPr>
      <w:r>
        <w:t>UFG Mitigation Plan</w:t>
      </w:r>
    </w:p>
    <w:p w:rsidR="0031129E" w:rsidRPr="0031129E" w:rsidRDefault="0031129E" w:rsidP="00D35AE5">
      <w:pPr>
        <w:keepNext/>
        <w:keepLines/>
        <w:widowControl/>
        <w:tabs>
          <w:tab w:val="left" w:pos="1445"/>
          <w:tab w:val="left" w:pos="7920"/>
        </w:tabs>
        <w:autoSpaceDE w:val="0"/>
        <w:autoSpaceDN w:val="0"/>
        <w:adjustRightInd w:val="0"/>
        <w:spacing w:line="360" w:lineRule="auto"/>
        <w:ind w:firstLine="1440"/>
        <w:rPr>
          <w:b/>
          <w:sz w:val="26"/>
          <w:szCs w:val="26"/>
        </w:rPr>
      </w:pPr>
    </w:p>
    <w:p w:rsidR="00C85492" w:rsidRDefault="00370DAC" w:rsidP="00844225">
      <w:pPr>
        <w:widowControl/>
        <w:tabs>
          <w:tab w:val="left" w:pos="1445"/>
          <w:tab w:val="left" w:pos="7920"/>
        </w:tabs>
        <w:autoSpaceDE w:val="0"/>
        <w:autoSpaceDN w:val="0"/>
        <w:adjustRightInd w:val="0"/>
        <w:spacing w:line="360" w:lineRule="auto"/>
        <w:ind w:firstLine="1440"/>
        <w:rPr>
          <w:sz w:val="26"/>
          <w:szCs w:val="26"/>
        </w:rPr>
      </w:pPr>
      <w:r>
        <w:rPr>
          <w:sz w:val="26"/>
          <w:szCs w:val="26"/>
        </w:rPr>
        <w:t xml:space="preserve">In addition to the installation of segmentation metering on its gathering system, </w:t>
      </w:r>
      <w:r w:rsidR="00C74E7D">
        <w:rPr>
          <w:sz w:val="26"/>
          <w:szCs w:val="26"/>
        </w:rPr>
        <w:t xml:space="preserve">allowing for the identification of the isolated loss rates for those areas, </w:t>
      </w:r>
      <w:r w:rsidR="00395D52">
        <w:rPr>
          <w:sz w:val="26"/>
          <w:szCs w:val="26"/>
        </w:rPr>
        <w:t>as part of its filing in this proceeding, and as provided in the 2017 PGC settlements, the Peoples Companies</w:t>
      </w:r>
      <w:r w:rsidR="00026669">
        <w:rPr>
          <w:rStyle w:val="FootnoteReference"/>
          <w:sz w:val="26"/>
          <w:szCs w:val="26"/>
        </w:rPr>
        <w:footnoteReference w:id="11"/>
      </w:r>
      <w:r w:rsidR="00395D52">
        <w:rPr>
          <w:sz w:val="26"/>
          <w:szCs w:val="26"/>
        </w:rPr>
        <w:t xml:space="preserve"> (Peoples Gas and Peoples Natural Gas LLC) submitted a detailed UFG Mitigation Plan, entitled: </w:t>
      </w:r>
      <w:r w:rsidR="00395D52" w:rsidRPr="00C74E7D">
        <w:rPr>
          <w:i/>
          <w:sz w:val="26"/>
          <w:szCs w:val="26"/>
        </w:rPr>
        <w:t>The Peoples Companies</w:t>
      </w:r>
      <w:r w:rsidR="00395D52">
        <w:rPr>
          <w:i/>
          <w:sz w:val="26"/>
          <w:szCs w:val="26"/>
        </w:rPr>
        <w:t xml:space="preserve"> Combined</w:t>
      </w:r>
      <w:r w:rsidR="00395D52" w:rsidRPr="00C74E7D">
        <w:rPr>
          <w:i/>
          <w:sz w:val="26"/>
          <w:szCs w:val="26"/>
        </w:rPr>
        <w:t xml:space="preserve"> UFG Mitigation Plan to Address Gathering Pipelines</w:t>
      </w:r>
      <w:r w:rsidR="00395D52">
        <w:rPr>
          <w:sz w:val="26"/>
          <w:szCs w:val="26"/>
        </w:rPr>
        <w:t>, in their respective PGC procee</w:t>
      </w:r>
      <w:r w:rsidR="00653438">
        <w:rPr>
          <w:sz w:val="26"/>
          <w:szCs w:val="26"/>
        </w:rPr>
        <w:t>dings.  Peoples Gas Exh. No.</w:t>
      </w:r>
      <w:r w:rsidR="00D35AE5">
        <w:rPr>
          <w:sz w:val="26"/>
          <w:szCs w:val="26"/>
        </w:rPr>
        <w:t> </w:t>
      </w:r>
      <w:r w:rsidR="00653438">
        <w:rPr>
          <w:sz w:val="26"/>
          <w:szCs w:val="26"/>
        </w:rPr>
        <w:t xml:space="preserve">2.  </w:t>
      </w:r>
      <w:r w:rsidR="00395D52">
        <w:rPr>
          <w:sz w:val="26"/>
          <w:szCs w:val="26"/>
        </w:rPr>
        <w:t>In its</w:t>
      </w:r>
      <w:r w:rsidR="000A6EC6">
        <w:rPr>
          <w:sz w:val="26"/>
          <w:szCs w:val="26"/>
        </w:rPr>
        <w:t xml:space="preserve"> UFG Mitigation Plan, the Company makes several recommendations on areas for additional UFG mitigation activities, including: (1) additional segmentation to </w:t>
      </w:r>
      <w:r w:rsidR="000A6EC6">
        <w:rPr>
          <w:sz w:val="26"/>
          <w:szCs w:val="26"/>
        </w:rPr>
        <w:lastRenderedPageBreak/>
        <w:t>enhance identification of potential UFG targets; (2) accelerated leak repair for bare steel gathering; (3)</w:t>
      </w:r>
      <w:r w:rsidR="00117244">
        <w:rPr>
          <w:sz w:val="26"/>
          <w:szCs w:val="26"/>
        </w:rPr>
        <w:t xml:space="preserve"> gathering pipeline improvement strategy; (4) removal/replacement of at-risk gathering pipelines; (5) further analysis</w:t>
      </w:r>
      <w:r w:rsidR="00B93221">
        <w:rPr>
          <w:sz w:val="26"/>
          <w:szCs w:val="26"/>
        </w:rPr>
        <w:t xml:space="preserve"> to be performed concerning</w:t>
      </w:r>
      <w:r w:rsidR="00117244">
        <w:rPr>
          <w:sz w:val="26"/>
          <w:szCs w:val="26"/>
        </w:rPr>
        <w:t xml:space="preserve"> certain gathering pipelines; (6) gathering pipelines abandonment considerations and communication</w:t>
      </w:r>
      <w:r w:rsidR="00646644">
        <w:rPr>
          <w:sz w:val="26"/>
          <w:szCs w:val="26"/>
        </w:rPr>
        <w:t xml:space="preserve">; (7) gas measurement enhancements; (8) unauthorized use; and (9) mapping enhancements.  Peoples Gas St. No. 1 at 13.  </w:t>
      </w:r>
    </w:p>
    <w:p w:rsidR="00495B50" w:rsidRDefault="00495B50" w:rsidP="00844225">
      <w:pPr>
        <w:widowControl/>
        <w:tabs>
          <w:tab w:val="left" w:pos="1445"/>
          <w:tab w:val="left" w:pos="7920"/>
        </w:tabs>
        <w:autoSpaceDE w:val="0"/>
        <w:autoSpaceDN w:val="0"/>
        <w:adjustRightInd w:val="0"/>
        <w:spacing w:line="360" w:lineRule="auto"/>
        <w:ind w:firstLine="1440"/>
        <w:rPr>
          <w:sz w:val="26"/>
          <w:szCs w:val="26"/>
        </w:rPr>
      </w:pPr>
    </w:p>
    <w:p w:rsidR="00495B50" w:rsidRDefault="00495B50" w:rsidP="00844225">
      <w:pPr>
        <w:widowControl/>
        <w:tabs>
          <w:tab w:val="left" w:pos="1445"/>
          <w:tab w:val="left" w:pos="7920"/>
        </w:tabs>
        <w:autoSpaceDE w:val="0"/>
        <w:autoSpaceDN w:val="0"/>
        <w:adjustRightInd w:val="0"/>
        <w:spacing w:line="360" w:lineRule="auto"/>
        <w:ind w:firstLine="1440"/>
        <w:rPr>
          <w:sz w:val="26"/>
          <w:szCs w:val="26"/>
        </w:rPr>
      </w:pPr>
      <w:r>
        <w:rPr>
          <w:sz w:val="26"/>
          <w:szCs w:val="26"/>
        </w:rPr>
        <w:t>The Peoples Companies have explained that the need for the UFG Mitigation Plan, and the primary driver for separating the removal and replacement of gathering from the removal and replacement of the remaining at-risk distribution pipelines, is that the gathering systems generally have a lower density of customers and a lower risk ranking than distribution system pipelines.</w:t>
      </w:r>
      <w:r>
        <w:rPr>
          <w:rStyle w:val="FootnoteReference"/>
          <w:sz w:val="26"/>
          <w:szCs w:val="26"/>
        </w:rPr>
        <w:footnoteReference w:id="12"/>
      </w:r>
      <w:r>
        <w:rPr>
          <w:sz w:val="26"/>
          <w:szCs w:val="26"/>
        </w:rPr>
        <w:t xml:space="preserve">  The PUC-approved Combined Distribution Long Term Infrastructure Improvement Plan (LTIIP) focuses on the Peoples Companies</w:t>
      </w:r>
      <w:r w:rsidR="001A5BA1">
        <w:rPr>
          <w:sz w:val="26"/>
          <w:szCs w:val="26"/>
        </w:rPr>
        <w:t>’</w:t>
      </w:r>
      <w:r>
        <w:rPr>
          <w:sz w:val="26"/>
          <w:szCs w:val="26"/>
        </w:rPr>
        <w:t xml:space="preserve"> distribution and transmission systems, while</w:t>
      </w:r>
      <w:r w:rsidR="00102FE7">
        <w:rPr>
          <w:sz w:val="26"/>
          <w:szCs w:val="26"/>
        </w:rPr>
        <w:t xml:space="preserve"> the UFG Mitigation Plan is designed to find solutions to reducing UFG</w:t>
      </w:r>
      <w:r>
        <w:rPr>
          <w:sz w:val="26"/>
          <w:szCs w:val="26"/>
        </w:rPr>
        <w:t xml:space="preserve"> on the Peoples Companies</w:t>
      </w:r>
      <w:r w:rsidR="001A5BA1">
        <w:rPr>
          <w:sz w:val="26"/>
          <w:szCs w:val="26"/>
        </w:rPr>
        <w:t>’</w:t>
      </w:r>
      <w:r>
        <w:rPr>
          <w:sz w:val="26"/>
          <w:szCs w:val="26"/>
        </w:rPr>
        <w:t xml:space="preserve"> gathering system</w:t>
      </w:r>
      <w:r w:rsidR="007A276D">
        <w:rPr>
          <w:sz w:val="26"/>
          <w:szCs w:val="26"/>
        </w:rPr>
        <w:t>s</w:t>
      </w:r>
      <w:r w:rsidR="006F7B7D">
        <w:rPr>
          <w:sz w:val="26"/>
          <w:szCs w:val="26"/>
        </w:rPr>
        <w:t xml:space="preserve"> that collect conventional or shallow gas to serve their customers</w:t>
      </w:r>
      <w:r>
        <w:rPr>
          <w:sz w:val="26"/>
          <w:szCs w:val="26"/>
        </w:rPr>
        <w:t>.</w:t>
      </w:r>
      <w:r w:rsidR="002B0145">
        <w:rPr>
          <w:sz w:val="26"/>
          <w:szCs w:val="26"/>
        </w:rPr>
        <w:t xml:space="preserve">  </w:t>
      </w:r>
      <w:r w:rsidR="007A276D">
        <w:rPr>
          <w:sz w:val="26"/>
          <w:szCs w:val="26"/>
        </w:rPr>
        <w:t xml:space="preserve">The Peoples Companies have shown that distribution has 71% of the at-risk pipe and about 99% of the customers served </w:t>
      </w:r>
      <w:r w:rsidR="00657303">
        <w:rPr>
          <w:sz w:val="26"/>
          <w:szCs w:val="26"/>
        </w:rPr>
        <w:t>off</w:t>
      </w:r>
      <w:r w:rsidR="007A276D">
        <w:rPr>
          <w:sz w:val="26"/>
          <w:szCs w:val="26"/>
        </w:rPr>
        <w:t xml:space="preserve"> at-risk pipe, while gathering has 29% of the at-risk pipe and only about 1% of the customers.  </w:t>
      </w:r>
      <w:r w:rsidR="002B0145">
        <w:rPr>
          <w:sz w:val="26"/>
          <w:szCs w:val="26"/>
        </w:rPr>
        <w:t>Peoples Gas Exh. No. 2 at 13-15.</w:t>
      </w:r>
    </w:p>
    <w:p w:rsidR="00BA2D0A" w:rsidRDefault="00BA2D0A" w:rsidP="00844225">
      <w:pPr>
        <w:widowControl/>
        <w:tabs>
          <w:tab w:val="left" w:pos="1445"/>
          <w:tab w:val="left" w:pos="7920"/>
        </w:tabs>
        <w:autoSpaceDE w:val="0"/>
        <w:autoSpaceDN w:val="0"/>
        <w:adjustRightInd w:val="0"/>
        <w:spacing w:line="360" w:lineRule="auto"/>
        <w:ind w:firstLine="1440"/>
        <w:rPr>
          <w:sz w:val="26"/>
          <w:szCs w:val="26"/>
        </w:rPr>
      </w:pPr>
    </w:p>
    <w:p w:rsidR="0031129E" w:rsidRDefault="0031129E" w:rsidP="00844225">
      <w:pPr>
        <w:pStyle w:val="Heading4"/>
      </w:pPr>
      <w:r>
        <w:t>Gathering Systems</w:t>
      </w:r>
    </w:p>
    <w:p w:rsidR="0031129E" w:rsidRDefault="0031129E" w:rsidP="00844225">
      <w:pPr>
        <w:widowControl/>
        <w:tabs>
          <w:tab w:val="left" w:pos="1445"/>
          <w:tab w:val="left" w:pos="7920"/>
        </w:tabs>
        <w:autoSpaceDE w:val="0"/>
        <w:autoSpaceDN w:val="0"/>
        <w:adjustRightInd w:val="0"/>
        <w:spacing w:line="360" w:lineRule="auto"/>
        <w:ind w:firstLine="1440"/>
        <w:rPr>
          <w:sz w:val="26"/>
          <w:szCs w:val="26"/>
        </w:rPr>
      </w:pPr>
    </w:p>
    <w:p w:rsidR="00BA2D0A" w:rsidRDefault="00086C62" w:rsidP="00844225">
      <w:pPr>
        <w:widowControl/>
        <w:tabs>
          <w:tab w:val="left" w:pos="1445"/>
          <w:tab w:val="left" w:pos="7920"/>
        </w:tabs>
        <w:autoSpaceDE w:val="0"/>
        <w:autoSpaceDN w:val="0"/>
        <w:adjustRightInd w:val="0"/>
        <w:spacing w:line="360" w:lineRule="auto"/>
        <w:ind w:firstLine="1440"/>
        <w:rPr>
          <w:sz w:val="26"/>
          <w:szCs w:val="26"/>
        </w:rPr>
      </w:pPr>
      <w:r>
        <w:rPr>
          <w:sz w:val="26"/>
          <w:szCs w:val="26"/>
        </w:rPr>
        <w:t>The</w:t>
      </w:r>
      <w:r w:rsidR="000948C9">
        <w:rPr>
          <w:sz w:val="26"/>
          <w:szCs w:val="26"/>
        </w:rPr>
        <w:t xml:space="preserve"> Peoples Companies explain that</w:t>
      </w:r>
      <w:r w:rsidR="000D3F18">
        <w:rPr>
          <w:sz w:val="26"/>
          <w:szCs w:val="26"/>
        </w:rPr>
        <w:t>, unlike other Pennsylvania NGDCs,</w:t>
      </w:r>
      <w:r w:rsidR="000948C9">
        <w:rPr>
          <w:sz w:val="26"/>
          <w:szCs w:val="26"/>
        </w:rPr>
        <w:t xml:space="preserve"> gathering systems are a substantial portion of their</w:t>
      </w:r>
      <w:r>
        <w:rPr>
          <w:sz w:val="26"/>
          <w:szCs w:val="26"/>
        </w:rPr>
        <w:t xml:space="preserve"> integrated natural gas systems, consisting of distribution, transmission, storage and gathering p</w:t>
      </w:r>
      <w:r w:rsidR="000948C9">
        <w:rPr>
          <w:sz w:val="26"/>
          <w:szCs w:val="26"/>
        </w:rPr>
        <w:t>ipelines and related facilities</w:t>
      </w:r>
      <w:r>
        <w:rPr>
          <w:sz w:val="26"/>
          <w:szCs w:val="26"/>
        </w:rPr>
        <w:t>.  Peop</w:t>
      </w:r>
      <w:r w:rsidR="008F2BA3">
        <w:rPr>
          <w:sz w:val="26"/>
          <w:szCs w:val="26"/>
        </w:rPr>
        <w:t xml:space="preserve">les Gas Exh. No. 2 at 1.  Peoples Gas explains </w:t>
      </w:r>
      <w:r w:rsidR="007B22BE">
        <w:rPr>
          <w:sz w:val="26"/>
          <w:szCs w:val="26"/>
        </w:rPr>
        <w:t>its</w:t>
      </w:r>
      <w:r w:rsidR="008F2BA3">
        <w:rPr>
          <w:sz w:val="26"/>
          <w:szCs w:val="26"/>
        </w:rPr>
        <w:t xml:space="preserve"> </w:t>
      </w:r>
      <w:r w:rsidR="007B22BE">
        <w:rPr>
          <w:sz w:val="26"/>
          <w:szCs w:val="26"/>
        </w:rPr>
        <w:t>gathering system is</w:t>
      </w:r>
      <w:r w:rsidR="00BA2D0A">
        <w:rPr>
          <w:sz w:val="26"/>
          <w:szCs w:val="26"/>
        </w:rPr>
        <w:t xml:space="preserve"> </w:t>
      </w:r>
      <w:r w:rsidR="00BA2D0A">
        <w:rPr>
          <w:sz w:val="26"/>
          <w:szCs w:val="26"/>
        </w:rPr>
        <w:lastRenderedPageBreak/>
        <w:t>comprise</w:t>
      </w:r>
      <w:r w:rsidR="007B22BE">
        <w:rPr>
          <w:sz w:val="26"/>
          <w:szCs w:val="26"/>
        </w:rPr>
        <w:t>d of</w:t>
      </w:r>
      <w:r w:rsidR="006740D5">
        <w:rPr>
          <w:sz w:val="26"/>
          <w:szCs w:val="26"/>
        </w:rPr>
        <w:t xml:space="preserve"> </w:t>
      </w:r>
      <w:r w:rsidR="007B22BE">
        <w:rPr>
          <w:sz w:val="26"/>
          <w:szCs w:val="26"/>
        </w:rPr>
        <w:t>533 miles of pipelines (</w:t>
      </w:r>
      <w:r w:rsidR="00BA2D0A">
        <w:rPr>
          <w:sz w:val="26"/>
          <w:szCs w:val="26"/>
        </w:rPr>
        <w:t>approxima</w:t>
      </w:r>
      <w:r w:rsidR="008F2BA3">
        <w:rPr>
          <w:sz w:val="26"/>
          <w:szCs w:val="26"/>
        </w:rPr>
        <w:t>tely</w:t>
      </w:r>
      <w:r w:rsidR="007B22BE">
        <w:rPr>
          <w:sz w:val="26"/>
          <w:szCs w:val="26"/>
        </w:rPr>
        <w:t xml:space="preserve"> 25% of the Peoples Companies</w:t>
      </w:r>
      <w:r w:rsidR="001A5BA1">
        <w:rPr>
          <w:sz w:val="26"/>
          <w:szCs w:val="26"/>
        </w:rPr>
        <w:t>’</w:t>
      </w:r>
      <w:r w:rsidR="007B22BE">
        <w:rPr>
          <w:sz w:val="26"/>
          <w:szCs w:val="26"/>
        </w:rPr>
        <w:t xml:space="preserve"> total 2,100 miles of gathering pipelines</w:t>
      </w:r>
      <w:r w:rsidR="00B57749">
        <w:rPr>
          <w:sz w:val="26"/>
          <w:szCs w:val="26"/>
        </w:rPr>
        <w:t>)</w:t>
      </w:r>
      <w:r w:rsidR="00BE400C">
        <w:rPr>
          <w:sz w:val="26"/>
          <w:szCs w:val="26"/>
        </w:rPr>
        <w:t>, which provide direct access to local natural gas supplies</w:t>
      </w:r>
      <w:r w:rsidR="002270AD">
        <w:rPr>
          <w:sz w:val="26"/>
          <w:szCs w:val="26"/>
        </w:rPr>
        <w:t xml:space="preserve"> from approximately 130 local Pennsylvania producers at over 2,000 conventional local Pennsylvania gas meters</w:t>
      </w:r>
      <w:r w:rsidR="008F2BA3">
        <w:rPr>
          <w:sz w:val="26"/>
          <w:szCs w:val="26"/>
        </w:rPr>
        <w:t>.  Peoples Gas Statement in Support at 4</w:t>
      </w:r>
      <w:r w:rsidR="002270AD">
        <w:rPr>
          <w:sz w:val="26"/>
          <w:szCs w:val="26"/>
        </w:rPr>
        <w:t>;</w:t>
      </w:r>
      <w:r w:rsidR="002270AD" w:rsidRPr="002270AD">
        <w:rPr>
          <w:sz w:val="26"/>
          <w:szCs w:val="26"/>
        </w:rPr>
        <w:t xml:space="preserve"> </w:t>
      </w:r>
      <w:r w:rsidR="002270AD" w:rsidRPr="00A11F1F">
        <w:rPr>
          <w:sz w:val="26"/>
          <w:szCs w:val="26"/>
        </w:rPr>
        <w:t>PGC 30-day Pre</w:t>
      </w:r>
      <w:r w:rsidR="002270AD">
        <w:rPr>
          <w:sz w:val="26"/>
          <w:szCs w:val="26"/>
        </w:rPr>
        <w:noBreakHyphen/>
      </w:r>
      <w:r w:rsidR="002270AD" w:rsidRPr="00A11F1F">
        <w:rPr>
          <w:sz w:val="26"/>
          <w:szCs w:val="26"/>
        </w:rPr>
        <w:t>filing</w:t>
      </w:r>
      <w:r w:rsidR="003F23BE">
        <w:rPr>
          <w:sz w:val="26"/>
          <w:szCs w:val="26"/>
        </w:rPr>
        <w:t xml:space="preserve"> at 113; Peoples Gas Exh. No. 2 at 17</w:t>
      </w:r>
      <w:r w:rsidR="008F2BA3">
        <w:rPr>
          <w:sz w:val="26"/>
          <w:szCs w:val="26"/>
        </w:rPr>
        <w:t xml:space="preserve">.  </w:t>
      </w:r>
      <w:r w:rsidR="00170673">
        <w:rPr>
          <w:sz w:val="26"/>
          <w:szCs w:val="26"/>
        </w:rPr>
        <w:t>According to the Company</w:t>
      </w:r>
      <w:r w:rsidR="001A5BA1">
        <w:rPr>
          <w:sz w:val="26"/>
          <w:szCs w:val="26"/>
        </w:rPr>
        <w:t>’</w:t>
      </w:r>
      <w:r w:rsidR="00170673">
        <w:rPr>
          <w:sz w:val="26"/>
          <w:szCs w:val="26"/>
        </w:rPr>
        <w:t>s most recent UFG Report for the twelve months ending August 31, 2017, l</w:t>
      </w:r>
      <w:r w:rsidR="000F26AB">
        <w:rPr>
          <w:sz w:val="26"/>
          <w:szCs w:val="26"/>
        </w:rPr>
        <w:t>ocal gas delivered through Peoples Gas</w:t>
      </w:r>
      <w:r w:rsidR="001A5BA1">
        <w:rPr>
          <w:sz w:val="26"/>
          <w:szCs w:val="26"/>
        </w:rPr>
        <w:t>’</w:t>
      </w:r>
      <w:r w:rsidR="000F26AB">
        <w:rPr>
          <w:sz w:val="26"/>
          <w:szCs w:val="26"/>
        </w:rPr>
        <w:t xml:space="preserve"> gathering syst</w:t>
      </w:r>
      <w:r w:rsidR="00EB6F59">
        <w:rPr>
          <w:sz w:val="26"/>
          <w:szCs w:val="26"/>
        </w:rPr>
        <w:t>em represents approximately 84%</w:t>
      </w:r>
      <w:r w:rsidR="00E816AB">
        <w:rPr>
          <w:rStyle w:val="FootnoteReference"/>
          <w:sz w:val="26"/>
          <w:szCs w:val="26"/>
        </w:rPr>
        <w:footnoteReference w:id="13"/>
      </w:r>
      <w:r w:rsidR="00EA119E">
        <w:rPr>
          <w:sz w:val="26"/>
          <w:szCs w:val="26"/>
        </w:rPr>
        <w:t xml:space="preserve"> (</w:t>
      </w:r>
      <w:r w:rsidR="005853CC">
        <w:rPr>
          <w:sz w:val="26"/>
          <w:szCs w:val="26"/>
        </w:rPr>
        <w:t>11.96 B</w:t>
      </w:r>
      <w:r w:rsidR="00EA119E">
        <w:rPr>
          <w:sz w:val="26"/>
          <w:szCs w:val="26"/>
        </w:rPr>
        <w:t xml:space="preserve">cf / </w:t>
      </w:r>
      <w:r w:rsidR="005853CC">
        <w:rPr>
          <w:sz w:val="26"/>
          <w:szCs w:val="26"/>
        </w:rPr>
        <w:t>14.17 B</w:t>
      </w:r>
      <w:r w:rsidR="00EA119E">
        <w:rPr>
          <w:sz w:val="26"/>
          <w:szCs w:val="26"/>
        </w:rPr>
        <w:t>cf)</w:t>
      </w:r>
      <w:r w:rsidR="00EB6F59">
        <w:rPr>
          <w:sz w:val="26"/>
          <w:szCs w:val="26"/>
        </w:rPr>
        <w:t xml:space="preserve"> of the total </w:t>
      </w:r>
      <w:r w:rsidR="00170673">
        <w:rPr>
          <w:sz w:val="26"/>
          <w:szCs w:val="26"/>
        </w:rPr>
        <w:t>local gas supplies and approximately 48%</w:t>
      </w:r>
      <w:r w:rsidR="00EA119E">
        <w:rPr>
          <w:sz w:val="26"/>
          <w:szCs w:val="26"/>
        </w:rPr>
        <w:t xml:space="preserve"> (11.</w:t>
      </w:r>
      <w:r w:rsidR="005853CC">
        <w:rPr>
          <w:sz w:val="26"/>
          <w:szCs w:val="26"/>
        </w:rPr>
        <w:t>96 B</w:t>
      </w:r>
      <w:r w:rsidR="00EA119E">
        <w:rPr>
          <w:sz w:val="26"/>
          <w:szCs w:val="26"/>
        </w:rPr>
        <w:t xml:space="preserve">cf / </w:t>
      </w:r>
      <w:r w:rsidR="005853CC">
        <w:rPr>
          <w:sz w:val="26"/>
          <w:szCs w:val="26"/>
        </w:rPr>
        <w:t>25.1 B</w:t>
      </w:r>
      <w:r w:rsidR="0050213D">
        <w:rPr>
          <w:sz w:val="26"/>
          <w:szCs w:val="26"/>
        </w:rPr>
        <w:t>cf)</w:t>
      </w:r>
      <w:r w:rsidR="00170673">
        <w:rPr>
          <w:sz w:val="26"/>
          <w:szCs w:val="26"/>
        </w:rPr>
        <w:t xml:space="preserve"> of all gas delivered to Peoples Gas</w:t>
      </w:r>
      <w:r w:rsidR="001A5BA1">
        <w:rPr>
          <w:sz w:val="26"/>
          <w:szCs w:val="26"/>
        </w:rPr>
        <w:t>’</w:t>
      </w:r>
      <w:r w:rsidR="00170673">
        <w:rPr>
          <w:sz w:val="26"/>
          <w:szCs w:val="26"/>
        </w:rPr>
        <w:t xml:space="preserve"> system annually.  I&amp;E Exh. No. 1, Sch. 1.</w:t>
      </w:r>
      <w:r w:rsidR="00C26C7F">
        <w:rPr>
          <w:sz w:val="26"/>
          <w:szCs w:val="26"/>
        </w:rPr>
        <w:t xml:space="preserve">  Peoples Gas overall system customer requirement, including sales and transportation, in 2017 was approximately </w:t>
      </w:r>
      <w:r w:rsidR="005853CC">
        <w:rPr>
          <w:sz w:val="26"/>
          <w:szCs w:val="26"/>
        </w:rPr>
        <w:t>23.4 Bcf, and was satisfied using supply from on-system local production and from off-system sources that are transported onto the system from various interstate pipelines.</w:t>
      </w:r>
      <w:r w:rsidR="005853CC" w:rsidRPr="005853CC">
        <w:rPr>
          <w:sz w:val="26"/>
          <w:szCs w:val="26"/>
        </w:rPr>
        <w:t xml:space="preserve"> </w:t>
      </w:r>
      <w:r w:rsidR="005853CC" w:rsidRPr="00A11F1F">
        <w:rPr>
          <w:sz w:val="26"/>
          <w:szCs w:val="26"/>
        </w:rPr>
        <w:t>PGC 30-day Pre</w:t>
      </w:r>
      <w:r w:rsidR="005853CC">
        <w:rPr>
          <w:sz w:val="26"/>
          <w:szCs w:val="26"/>
        </w:rPr>
        <w:noBreakHyphen/>
      </w:r>
      <w:r w:rsidR="005853CC" w:rsidRPr="00A11F1F">
        <w:rPr>
          <w:sz w:val="26"/>
          <w:szCs w:val="26"/>
        </w:rPr>
        <w:t>filing</w:t>
      </w:r>
      <w:r w:rsidR="005E78E2">
        <w:rPr>
          <w:sz w:val="26"/>
          <w:szCs w:val="26"/>
        </w:rPr>
        <w:t xml:space="preserve"> at 101, 103</w:t>
      </w:r>
      <w:r w:rsidR="005853CC">
        <w:rPr>
          <w:sz w:val="26"/>
          <w:szCs w:val="26"/>
        </w:rPr>
        <w:t>.</w:t>
      </w:r>
      <w:r w:rsidR="00A42D8A">
        <w:rPr>
          <w:sz w:val="26"/>
          <w:szCs w:val="26"/>
        </w:rPr>
        <w:t xml:space="preserve">  </w:t>
      </w:r>
    </w:p>
    <w:p w:rsidR="008F6AC3" w:rsidRDefault="008F6AC3" w:rsidP="00844225">
      <w:pPr>
        <w:widowControl/>
        <w:tabs>
          <w:tab w:val="left" w:pos="1445"/>
          <w:tab w:val="left" w:pos="7920"/>
        </w:tabs>
        <w:autoSpaceDE w:val="0"/>
        <w:autoSpaceDN w:val="0"/>
        <w:adjustRightInd w:val="0"/>
        <w:spacing w:line="360" w:lineRule="auto"/>
        <w:rPr>
          <w:sz w:val="26"/>
          <w:szCs w:val="26"/>
        </w:rPr>
      </w:pPr>
    </w:p>
    <w:p w:rsidR="008F6AC3" w:rsidRDefault="008F6AC3" w:rsidP="00844225">
      <w:pPr>
        <w:pStyle w:val="Heading4"/>
      </w:pPr>
      <w:r>
        <w:t>Capital Investments</w:t>
      </w:r>
    </w:p>
    <w:p w:rsidR="008F6AC3" w:rsidRDefault="008F6AC3" w:rsidP="00844225">
      <w:pPr>
        <w:widowControl/>
        <w:tabs>
          <w:tab w:val="left" w:pos="1445"/>
          <w:tab w:val="left" w:pos="7920"/>
        </w:tabs>
        <w:autoSpaceDE w:val="0"/>
        <w:autoSpaceDN w:val="0"/>
        <w:adjustRightInd w:val="0"/>
        <w:spacing w:line="360" w:lineRule="auto"/>
        <w:ind w:firstLine="1440"/>
        <w:rPr>
          <w:sz w:val="26"/>
          <w:szCs w:val="26"/>
        </w:rPr>
      </w:pPr>
    </w:p>
    <w:p w:rsidR="00536C9A" w:rsidRDefault="00823DC8" w:rsidP="00844225">
      <w:pPr>
        <w:widowControl/>
        <w:tabs>
          <w:tab w:val="left" w:pos="1445"/>
          <w:tab w:val="left" w:pos="7920"/>
        </w:tabs>
        <w:autoSpaceDE w:val="0"/>
        <w:autoSpaceDN w:val="0"/>
        <w:adjustRightInd w:val="0"/>
        <w:spacing w:line="360" w:lineRule="auto"/>
        <w:ind w:firstLine="1440"/>
        <w:rPr>
          <w:sz w:val="26"/>
          <w:szCs w:val="26"/>
        </w:rPr>
      </w:pPr>
      <w:r>
        <w:rPr>
          <w:sz w:val="26"/>
          <w:szCs w:val="26"/>
        </w:rPr>
        <w:t>Peoples Gas explained that the task of reducing UFG on its distribution and gathering pipelines has been made a priority, exemplified by its</w:t>
      </w:r>
      <w:r w:rsidR="00C94F85">
        <w:rPr>
          <w:sz w:val="26"/>
          <w:szCs w:val="26"/>
        </w:rPr>
        <w:t xml:space="preserve"> substantial capital investments to improve and upgrade their pipeline infrastructure.  Peoples Gas St. No. 5</w:t>
      </w:r>
      <w:r w:rsidR="00C94F85">
        <w:rPr>
          <w:sz w:val="26"/>
          <w:szCs w:val="26"/>
        </w:rPr>
        <w:noBreakHyphen/>
      </w:r>
      <w:r w:rsidR="008D786A">
        <w:rPr>
          <w:sz w:val="26"/>
          <w:szCs w:val="26"/>
        </w:rPr>
        <w:t xml:space="preserve">R at 5-7.  Specifically, </w:t>
      </w:r>
      <w:r w:rsidR="00864F67">
        <w:rPr>
          <w:sz w:val="26"/>
          <w:szCs w:val="26"/>
        </w:rPr>
        <w:t>a</w:t>
      </w:r>
      <w:r w:rsidR="008D786A">
        <w:rPr>
          <w:sz w:val="26"/>
          <w:szCs w:val="26"/>
        </w:rPr>
        <w:t xml:space="preserve">ccording to Peoples Gas, under current ownership, for the five years prior to the acquisitions of the Peoples Companies and the current five-year period of 2014-2018, Peoples Gas </w:t>
      </w:r>
      <w:r w:rsidR="00864F67">
        <w:rPr>
          <w:sz w:val="26"/>
          <w:szCs w:val="26"/>
        </w:rPr>
        <w:t xml:space="preserve">has </w:t>
      </w:r>
      <w:r w:rsidR="008D786A">
        <w:rPr>
          <w:sz w:val="26"/>
          <w:szCs w:val="26"/>
        </w:rPr>
        <w:t>in</w:t>
      </w:r>
      <w:r w:rsidR="00FD0D5A">
        <w:rPr>
          <w:sz w:val="26"/>
          <w:szCs w:val="26"/>
        </w:rPr>
        <w:t>creased its capital spending fro</w:t>
      </w:r>
      <w:r w:rsidR="008D786A">
        <w:rPr>
          <w:sz w:val="26"/>
          <w:szCs w:val="26"/>
        </w:rPr>
        <w:t>m $49.3 million to $102.6 million (108%</w:t>
      </w:r>
      <w:r w:rsidR="0058385F">
        <w:rPr>
          <w:sz w:val="26"/>
          <w:szCs w:val="26"/>
        </w:rPr>
        <w:t xml:space="preserve"> increase).  </w:t>
      </w:r>
      <w:r w:rsidR="00536C9A">
        <w:rPr>
          <w:sz w:val="26"/>
          <w:szCs w:val="26"/>
        </w:rPr>
        <w:t xml:space="preserve">Peoples Gas St. No. 5-R at 5.  </w:t>
      </w:r>
      <w:r w:rsidR="0058385F">
        <w:rPr>
          <w:sz w:val="26"/>
          <w:szCs w:val="26"/>
        </w:rPr>
        <w:t>As shown in Table 1 above</w:t>
      </w:r>
      <w:r w:rsidR="00FD0D5A">
        <w:rPr>
          <w:sz w:val="26"/>
          <w:szCs w:val="26"/>
        </w:rPr>
        <w:t xml:space="preserve">, </w:t>
      </w:r>
      <w:r w:rsidR="0058385F">
        <w:rPr>
          <w:sz w:val="26"/>
          <w:szCs w:val="26"/>
        </w:rPr>
        <w:t>contrary to the Company</w:t>
      </w:r>
      <w:r w:rsidR="001A5BA1">
        <w:rPr>
          <w:sz w:val="26"/>
          <w:szCs w:val="26"/>
        </w:rPr>
        <w:t>’</w:t>
      </w:r>
      <w:r w:rsidR="0058385F">
        <w:rPr>
          <w:sz w:val="26"/>
          <w:szCs w:val="26"/>
        </w:rPr>
        <w:t xml:space="preserve">s efforts, UFG increased by 75% in 2017 over 2016.  Although gathering UFG was not directly measured by the Peoples Gas during the twelve months ending August 31, 2016, distribution system UFG, which was specifically </w:t>
      </w:r>
      <w:r w:rsidR="0058385F">
        <w:rPr>
          <w:sz w:val="26"/>
          <w:szCs w:val="26"/>
        </w:rPr>
        <w:lastRenderedPageBreak/>
        <w:t>measured, declined slightly over the period and, therefore, the recent increase in total system UFG is shown to be attributable to an i</w:t>
      </w:r>
      <w:r w:rsidR="00913065">
        <w:rPr>
          <w:sz w:val="26"/>
          <w:szCs w:val="26"/>
        </w:rPr>
        <w:t>ncrease in gathering system UFG, as calculated in Table 2 below.</w:t>
      </w:r>
    </w:p>
    <w:p w:rsidR="0031129E" w:rsidRDefault="0031129E" w:rsidP="00844225">
      <w:pPr>
        <w:widowControl/>
        <w:tabs>
          <w:tab w:val="left" w:pos="1445"/>
          <w:tab w:val="left" w:pos="7920"/>
        </w:tabs>
        <w:autoSpaceDE w:val="0"/>
        <w:autoSpaceDN w:val="0"/>
        <w:adjustRightInd w:val="0"/>
        <w:spacing w:line="360" w:lineRule="auto"/>
        <w:rPr>
          <w:sz w:val="26"/>
          <w:szCs w:val="26"/>
        </w:rPr>
      </w:pPr>
    </w:p>
    <w:p w:rsidR="00536C9A" w:rsidRPr="00536C9A" w:rsidRDefault="00536C9A" w:rsidP="00844225">
      <w:pPr>
        <w:widowControl/>
        <w:pBdr>
          <w:bottom w:val="single" w:sz="4" w:space="1" w:color="auto"/>
        </w:pBdr>
        <w:tabs>
          <w:tab w:val="left" w:pos="1445"/>
          <w:tab w:val="left" w:pos="7920"/>
        </w:tabs>
        <w:autoSpaceDE w:val="0"/>
        <w:autoSpaceDN w:val="0"/>
        <w:adjustRightInd w:val="0"/>
        <w:jc w:val="center"/>
        <w:rPr>
          <w:b/>
          <w:sz w:val="26"/>
          <w:szCs w:val="26"/>
        </w:rPr>
      </w:pPr>
      <w:bookmarkStart w:id="23" w:name="_Hlk523896104"/>
      <w:r>
        <w:rPr>
          <w:b/>
          <w:sz w:val="26"/>
          <w:szCs w:val="26"/>
        </w:rPr>
        <w:t>TABLE 2</w:t>
      </w:r>
    </w:p>
    <w:p w:rsidR="00536C9A" w:rsidRDefault="00536C9A" w:rsidP="00844225">
      <w:pPr>
        <w:widowControl/>
        <w:tabs>
          <w:tab w:val="left" w:pos="1445"/>
          <w:tab w:val="left" w:pos="7920"/>
        </w:tabs>
        <w:autoSpaceDE w:val="0"/>
        <w:autoSpaceDN w:val="0"/>
        <w:adjustRightInd w:val="0"/>
        <w:spacing w:line="360" w:lineRule="auto"/>
        <w:rPr>
          <w:sz w:val="26"/>
          <w:szCs w:val="26"/>
        </w:rPr>
      </w:pPr>
      <w:r w:rsidRPr="00776B86">
        <w:rPr>
          <w:noProof/>
        </w:rPr>
        <w:drawing>
          <wp:inline distT="0" distB="0" distL="0" distR="0" wp14:anchorId="0324CC17" wp14:editId="16C94E5A">
            <wp:extent cx="5943600" cy="29673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967355"/>
                    </a:xfrm>
                    <a:prstGeom prst="rect">
                      <a:avLst/>
                    </a:prstGeom>
                    <a:noFill/>
                    <a:ln>
                      <a:noFill/>
                    </a:ln>
                  </pic:spPr>
                </pic:pic>
              </a:graphicData>
            </a:graphic>
          </wp:inline>
        </w:drawing>
      </w:r>
    </w:p>
    <w:p w:rsidR="00536C9A" w:rsidRDefault="00536C9A" w:rsidP="00844225">
      <w:pPr>
        <w:widowControl/>
        <w:tabs>
          <w:tab w:val="left" w:pos="1445"/>
          <w:tab w:val="left" w:pos="7920"/>
        </w:tabs>
        <w:autoSpaceDE w:val="0"/>
        <w:autoSpaceDN w:val="0"/>
        <w:adjustRightInd w:val="0"/>
        <w:spacing w:line="360" w:lineRule="auto"/>
        <w:rPr>
          <w:sz w:val="26"/>
          <w:szCs w:val="26"/>
        </w:rPr>
      </w:pPr>
    </w:p>
    <w:bookmarkEnd w:id="23"/>
    <w:p w:rsidR="00AC55BE" w:rsidRDefault="00F43374" w:rsidP="00844225">
      <w:pPr>
        <w:widowControl/>
        <w:tabs>
          <w:tab w:val="left" w:pos="1445"/>
          <w:tab w:val="left" w:pos="7920"/>
        </w:tabs>
        <w:autoSpaceDE w:val="0"/>
        <w:autoSpaceDN w:val="0"/>
        <w:adjustRightInd w:val="0"/>
        <w:spacing w:line="360" w:lineRule="auto"/>
        <w:ind w:firstLine="1440"/>
        <w:rPr>
          <w:sz w:val="26"/>
          <w:szCs w:val="26"/>
        </w:rPr>
      </w:pPr>
      <w:r>
        <w:rPr>
          <w:sz w:val="26"/>
          <w:szCs w:val="26"/>
        </w:rPr>
        <w:t>Peoples Gas acknowledged</w:t>
      </w:r>
      <w:r w:rsidR="00975D9B">
        <w:rPr>
          <w:sz w:val="26"/>
          <w:szCs w:val="26"/>
        </w:rPr>
        <w:t xml:space="preserve"> its challenge to reduce UFG on its pipelines that gather gas from local production wells.  </w:t>
      </w:r>
      <w:r w:rsidR="00587317">
        <w:rPr>
          <w:sz w:val="26"/>
          <w:szCs w:val="26"/>
        </w:rPr>
        <w:t xml:space="preserve">Peoples Gas St. No. 1 at 11.  </w:t>
      </w:r>
      <w:r w:rsidR="00AC55BE">
        <w:rPr>
          <w:sz w:val="26"/>
          <w:szCs w:val="26"/>
        </w:rPr>
        <w:t>Under their proposed UFG Mitigation Plan, the Peoples Companies are proposing to spend approximately $21.1 million over the next four years.  Over the last four years alone, Peoples Gas has spent $9.7 million in capital expenditures on gathering line replacements and over $3.0 million in gathering maintenance expenditures.  Peoples Gas St. No. 1-R at 3.</w:t>
      </w:r>
      <w:r w:rsidR="00177653">
        <w:rPr>
          <w:sz w:val="26"/>
          <w:szCs w:val="26"/>
        </w:rPr>
        <w:t xml:space="preserve">  </w:t>
      </w:r>
    </w:p>
    <w:p w:rsidR="00990F06" w:rsidRDefault="00990F06" w:rsidP="00844225">
      <w:pPr>
        <w:widowControl/>
        <w:tabs>
          <w:tab w:val="left" w:pos="1445"/>
          <w:tab w:val="left" w:pos="7920"/>
        </w:tabs>
        <w:autoSpaceDE w:val="0"/>
        <w:autoSpaceDN w:val="0"/>
        <w:adjustRightInd w:val="0"/>
        <w:spacing w:line="360" w:lineRule="auto"/>
        <w:ind w:firstLine="1440"/>
        <w:rPr>
          <w:sz w:val="26"/>
          <w:szCs w:val="26"/>
        </w:rPr>
      </w:pPr>
    </w:p>
    <w:p w:rsidR="00551C2D" w:rsidRDefault="00551C2D" w:rsidP="00383DC7">
      <w:pPr>
        <w:pStyle w:val="Heading3"/>
        <w:keepNext/>
        <w:keepLines/>
      </w:pPr>
      <w:bookmarkStart w:id="24" w:name="_Toc524347684"/>
      <w:r>
        <w:lastRenderedPageBreak/>
        <w:t>Positions of the Parties</w:t>
      </w:r>
      <w:bookmarkEnd w:id="24"/>
    </w:p>
    <w:p w:rsidR="00990F06" w:rsidRDefault="00990F06" w:rsidP="00383DC7">
      <w:pPr>
        <w:keepNext/>
        <w:keepLines/>
        <w:widowControl/>
        <w:tabs>
          <w:tab w:val="left" w:pos="1445"/>
          <w:tab w:val="left" w:pos="7920"/>
        </w:tabs>
        <w:autoSpaceDE w:val="0"/>
        <w:autoSpaceDN w:val="0"/>
        <w:adjustRightInd w:val="0"/>
        <w:spacing w:line="360" w:lineRule="auto"/>
        <w:ind w:firstLine="1440"/>
        <w:rPr>
          <w:sz w:val="26"/>
          <w:szCs w:val="26"/>
        </w:rPr>
      </w:pPr>
    </w:p>
    <w:p w:rsidR="00591274" w:rsidRDefault="00591274" w:rsidP="00383DC7">
      <w:pPr>
        <w:pStyle w:val="Heading4"/>
        <w:keepNext/>
        <w:keepLines/>
        <w:numPr>
          <w:ilvl w:val="0"/>
          <w:numId w:val="10"/>
        </w:numPr>
        <w:ind w:left="2160" w:hanging="720"/>
      </w:pPr>
      <w:r>
        <w:t>Description of the Company</w:t>
      </w:r>
      <w:r w:rsidR="001A5BA1">
        <w:t>’</w:t>
      </w:r>
      <w:r>
        <w:t>s Proposal</w:t>
      </w:r>
    </w:p>
    <w:p w:rsidR="00591274" w:rsidRDefault="00591274" w:rsidP="00383DC7">
      <w:pPr>
        <w:pStyle w:val="ListParagraph"/>
        <w:keepNext/>
        <w:keepLines/>
        <w:widowControl/>
        <w:tabs>
          <w:tab w:val="left" w:pos="1445"/>
          <w:tab w:val="left" w:pos="7920"/>
        </w:tabs>
        <w:autoSpaceDE w:val="0"/>
        <w:autoSpaceDN w:val="0"/>
        <w:adjustRightInd w:val="0"/>
        <w:spacing w:line="360" w:lineRule="auto"/>
        <w:ind w:left="2160"/>
        <w:rPr>
          <w:b/>
          <w:sz w:val="26"/>
          <w:szCs w:val="26"/>
        </w:rPr>
      </w:pPr>
    </w:p>
    <w:p w:rsidR="000C07B6" w:rsidRDefault="00EE1CBF" w:rsidP="00844225">
      <w:pPr>
        <w:pStyle w:val="ListParagraph"/>
        <w:widowControl/>
        <w:tabs>
          <w:tab w:val="left" w:pos="1445"/>
          <w:tab w:val="left" w:pos="7920"/>
        </w:tabs>
        <w:autoSpaceDE w:val="0"/>
        <w:autoSpaceDN w:val="0"/>
        <w:adjustRightInd w:val="0"/>
        <w:spacing w:line="360" w:lineRule="auto"/>
        <w:ind w:left="0" w:firstLine="1440"/>
        <w:rPr>
          <w:sz w:val="26"/>
          <w:szCs w:val="26"/>
        </w:rPr>
      </w:pPr>
      <w:r>
        <w:rPr>
          <w:sz w:val="26"/>
          <w:szCs w:val="26"/>
        </w:rPr>
        <w:t>In addition to the activities included in the Peoples Companies</w:t>
      </w:r>
      <w:r w:rsidR="001A5BA1">
        <w:rPr>
          <w:sz w:val="26"/>
          <w:szCs w:val="26"/>
        </w:rPr>
        <w:t>’</w:t>
      </w:r>
      <w:r>
        <w:rPr>
          <w:sz w:val="26"/>
          <w:szCs w:val="26"/>
        </w:rPr>
        <w:t xml:space="preserve"> UFG Mitigation Plan, Peoples Gas has proposed to </w:t>
      </w:r>
      <w:r w:rsidR="00DE7377">
        <w:rPr>
          <w:sz w:val="26"/>
          <w:szCs w:val="26"/>
        </w:rPr>
        <w:t>charge gas producers a retainage rate of 2.9% on all gas volumes from conventional wells</w:t>
      </w:r>
      <w:r w:rsidR="00FF0E5C">
        <w:rPr>
          <w:rStyle w:val="FootnoteReference"/>
          <w:sz w:val="26"/>
          <w:szCs w:val="26"/>
        </w:rPr>
        <w:footnoteReference w:id="14"/>
      </w:r>
      <w:r w:rsidR="00F53951">
        <w:rPr>
          <w:sz w:val="26"/>
          <w:szCs w:val="26"/>
        </w:rPr>
        <w:t xml:space="preserve"> delivered into its system</w:t>
      </w:r>
      <w:r w:rsidR="00CD14BE">
        <w:rPr>
          <w:sz w:val="26"/>
          <w:szCs w:val="26"/>
        </w:rPr>
        <w:t>, in lieu of proposing any increase to its current 5.4% retainage rate charged to its transportation customers.  Peoples Gas St. No. 1 at 13; Peoples Gas St. No. 3 at 3.  The Company</w:t>
      </w:r>
      <w:r w:rsidR="001A5BA1">
        <w:rPr>
          <w:sz w:val="26"/>
          <w:szCs w:val="26"/>
        </w:rPr>
        <w:t>’</w:t>
      </w:r>
      <w:r w:rsidR="00CD14BE">
        <w:rPr>
          <w:sz w:val="26"/>
          <w:szCs w:val="26"/>
        </w:rPr>
        <w:t xml:space="preserve">s proposed tariff supplement </w:t>
      </w:r>
      <w:r w:rsidR="003B31BA">
        <w:rPr>
          <w:sz w:val="26"/>
          <w:szCs w:val="26"/>
        </w:rPr>
        <w:t xml:space="preserve">that was filed </w:t>
      </w:r>
      <w:r w:rsidR="00CD14BE">
        <w:rPr>
          <w:sz w:val="26"/>
          <w:szCs w:val="26"/>
        </w:rPr>
        <w:t>to be</w:t>
      </w:r>
      <w:r w:rsidR="003B31BA">
        <w:rPr>
          <w:sz w:val="26"/>
          <w:szCs w:val="26"/>
        </w:rPr>
        <w:t>come</w:t>
      </w:r>
      <w:r w:rsidR="00CD14BE">
        <w:rPr>
          <w:sz w:val="26"/>
          <w:szCs w:val="26"/>
        </w:rPr>
        <w:t xml:space="preserve"> effective October 1, 2018</w:t>
      </w:r>
      <w:r w:rsidR="003B31BA">
        <w:rPr>
          <w:sz w:val="26"/>
          <w:szCs w:val="26"/>
        </w:rPr>
        <w:t>,</w:t>
      </w:r>
      <w:r w:rsidR="00CD14BE">
        <w:rPr>
          <w:sz w:val="26"/>
          <w:szCs w:val="26"/>
        </w:rPr>
        <w:t xml:space="preserve"> </w:t>
      </w:r>
      <w:bookmarkStart w:id="25" w:name="_Hlk524429699"/>
      <w:r w:rsidR="00CD14BE">
        <w:rPr>
          <w:sz w:val="26"/>
          <w:szCs w:val="26"/>
        </w:rPr>
        <w:t>sets forth the proposed</w:t>
      </w:r>
      <w:r w:rsidR="00F53951">
        <w:rPr>
          <w:sz w:val="26"/>
          <w:szCs w:val="26"/>
        </w:rPr>
        <w:t xml:space="preserve"> Rate GS – Gathering </w:t>
      </w:r>
      <w:r w:rsidR="00CD14BE">
        <w:rPr>
          <w:sz w:val="26"/>
          <w:szCs w:val="26"/>
        </w:rPr>
        <w:t>Service, imposing</w:t>
      </w:r>
      <w:r w:rsidR="00F53951">
        <w:rPr>
          <w:sz w:val="26"/>
          <w:szCs w:val="26"/>
        </w:rPr>
        <w:t xml:space="preserve"> a 2.9% retainage rate on deliveries of </w:t>
      </w:r>
      <w:r w:rsidR="001A5BA1">
        <w:rPr>
          <w:sz w:val="26"/>
          <w:szCs w:val="26"/>
        </w:rPr>
        <w:t>“</w:t>
      </w:r>
      <w:r w:rsidR="00F53951">
        <w:rPr>
          <w:sz w:val="26"/>
          <w:szCs w:val="26"/>
        </w:rPr>
        <w:t>conventional well gas directly into the Company</w:t>
      </w:r>
      <w:r w:rsidR="001A5BA1">
        <w:rPr>
          <w:sz w:val="26"/>
          <w:szCs w:val="26"/>
        </w:rPr>
        <w:t>’</w:t>
      </w:r>
      <w:r w:rsidR="00F53951">
        <w:rPr>
          <w:sz w:val="26"/>
          <w:szCs w:val="26"/>
        </w:rPr>
        <w:t>s system.</w:t>
      </w:r>
      <w:r w:rsidR="001A5BA1">
        <w:rPr>
          <w:sz w:val="26"/>
          <w:szCs w:val="26"/>
        </w:rPr>
        <w:t>”</w:t>
      </w:r>
      <w:r w:rsidR="00F53951">
        <w:rPr>
          <w:sz w:val="26"/>
          <w:szCs w:val="26"/>
        </w:rPr>
        <w:t xml:space="preserve">  </w:t>
      </w:r>
      <w:bookmarkEnd w:id="25"/>
      <w:r w:rsidR="00CD14BE">
        <w:rPr>
          <w:sz w:val="26"/>
          <w:szCs w:val="26"/>
        </w:rPr>
        <w:t>Peoples Gas Exh. No. 7 at 5.</w:t>
      </w:r>
      <w:r w:rsidR="0089677D">
        <w:rPr>
          <w:sz w:val="26"/>
          <w:szCs w:val="26"/>
        </w:rPr>
        <w:t xml:space="preserve">  </w:t>
      </w:r>
      <w:r w:rsidR="000C07B6">
        <w:rPr>
          <w:sz w:val="26"/>
          <w:szCs w:val="26"/>
        </w:rPr>
        <w:t xml:space="preserve">According to Peoples Gas, </w:t>
      </w:r>
      <w:r w:rsidR="00515C84">
        <w:rPr>
          <w:sz w:val="26"/>
          <w:szCs w:val="26"/>
        </w:rPr>
        <w:t xml:space="preserve">since conventional gas producers do not currently contribute toward the recovery of system UFG, </w:t>
      </w:r>
      <w:r w:rsidR="000C07B6">
        <w:rPr>
          <w:sz w:val="26"/>
          <w:szCs w:val="26"/>
        </w:rPr>
        <w:t>the UFG and company use recovered from conventional gas producers through the proposed retainage charge would reduce the amount of UFG and company use recovered from the Company</w:t>
      </w:r>
      <w:r w:rsidR="001A5BA1">
        <w:rPr>
          <w:sz w:val="26"/>
          <w:szCs w:val="26"/>
        </w:rPr>
        <w:t>’</w:t>
      </w:r>
      <w:r w:rsidR="000C07B6">
        <w:rPr>
          <w:sz w:val="26"/>
          <w:szCs w:val="26"/>
        </w:rPr>
        <w:t>s sales and transportation customers.  Peoples Gas M.B. at 10.</w:t>
      </w:r>
    </w:p>
    <w:p w:rsidR="004C1FDD" w:rsidRDefault="004C1FDD" w:rsidP="00844225">
      <w:pPr>
        <w:pStyle w:val="ListParagraph"/>
        <w:widowControl/>
        <w:tabs>
          <w:tab w:val="left" w:pos="1445"/>
          <w:tab w:val="left" w:pos="7920"/>
        </w:tabs>
        <w:autoSpaceDE w:val="0"/>
        <w:autoSpaceDN w:val="0"/>
        <w:adjustRightInd w:val="0"/>
        <w:spacing w:line="360" w:lineRule="auto"/>
        <w:ind w:left="0" w:firstLine="1440"/>
        <w:rPr>
          <w:sz w:val="26"/>
          <w:szCs w:val="26"/>
        </w:rPr>
      </w:pPr>
    </w:p>
    <w:p w:rsidR="004C1FDD" w:rsidRDefault="00457B9F" w:rsidP="00844225">
      <w:pPr>
        <w:pStyle w:val="ListParagraph"/>
        <w:widowControl/>
        <w:tabs>
          <w:tab w:val="left" w:pos="1445"/>
          <w:tab w:val="left" w:pos="7920"/>
        </w:tabs>
        <w:autoSpaceDE w:val="0"/>
        <w:autoSpaceDN w:val="0"/>
        <w:adjustRightInd w:val="0"/>
        <w:spacing w:line="360" w:lineRule="auto"/>
        <w:ind w:left="0" w:firstLine="1440"/>
        <w:rPr>
          <w:sz w:val="26"/>
          <w:szCs w:val="26"/>
        </w:rPr>
      </w:pPr>
      <w:r>
        <w:rPr>
          <w:sz w:val="26"/>
          <w:szCs w:val="26"/>
        </w:rPr>
        <w:t>Peoples Gas asserted</w:t>
      </w:r>
      <w:r w:rsidR="003345B2">
        <w:rPr>
          <w:sz w:val="26"/>
          <w:szCs w:val="26"/>
        </w:rPr>
        <w:t xml:space="preserve"> that conventional gas producers should pay at least a portion of the UFG on the gathering system for several reasons.  First, </w:t>
      </w:r>
      <w:r w:rsidR="00BC3A16">
        <w:rPr>
          <w:sz w:val="26"/>
          <w:szCs w:val="26"/>
        </w:rPr>
        <w:t>Peoples G</w:t>
      </w:r>
      <w:r>
        <w:rPr>
          <w:sz w:val="26"/>
          <w:szCs w:val="26"/>
        </w:rPr>
        <w:t>as argued</w:t>
      </w:r>
      <w:r w:rsidR="005411CF">
        <w:rPr>
          <w:sz w:val="26"/>
          <w:szCs w:val="26"/>
        </w:rPr>
        <w:t xml:space="preserve">, conventional gas producers are the primary users and beneficiaries of the gathering system, so it is reasonable for those producers to finally contribute towards the costs of gathering system UFG.  (Peoples Gas St. No. 1-R at 17-19).  As described by Company witness Petrichevich, the producer retainage charge is intended to begin </w:t>
      </w:r>
      <w:r w:rsidR="001A5BA1">
        <w:rPr>
          <w:sz w:val="26"/>
          <w:szCs w:val="26"/>
        </w:rPr>
        <w:t>“</w:t>
      </w:r>
      <w:r w:rsidR="005411CF">
        <w:rPr>
          <w:sz w:val="26"/>
          <w:szCs w:val="26"/>
        </w:rPr>
        <w:t xml:space="preserve">a long-term process of rationalizing the costs and the recovery of costs of systems that were </w:t>
      </w:r>
      <w:r w:rsidR="005411CF">
        <w:rPr>
          <w:sz w:val="26"/>
          <w:szCs w:val="26"/>
        </w:rPr>
        <w:lastRenderedPageBreak/>
        <w:t>constructed primarily for the purpose of gathering gas rather than serving end use customers.</w:t>
      </w:r>
      <w:r w:rsidR="001A5BA1">
        <w:rPr>
          <w:sz w:val="26"/>
          <w:szCs w:val="26"/>
        </w:rPr>
        <w:t>”</w:t>
      </w:r>
      <w:r w:rsidR="005411CF">
        <w:rPr>
          <w:sz w:val="26"/>
          <w:szCs w:val="26"/>
        </w:rPr>
        <w:t xml:space="preserve">  Peoples Gas St. No. 1 at 13.  </w:t>
      </w:r>
    </w:p>
    <w:p w:rsidR="00990F06" w:rsidRDefault="00990F06" w:rsidP="00844225">
      <w:pPr>
        <w:widowControl/>
        <w:tabs>
          <w:tab w:val="left" w:pos="1445"/>
          <w:tab w:val="left" w:pos="7920"/>
        </w:tabs>
        <w:autoSpaceDE w:val="0"/>
        <w:autoSpaceDN w:val="0"/>
        <w:adjustRightInd w:val="0"/>
        <w:spacing w:line="360" w:lineRule="auto"/>
        <w:ind w:firstLine="1440"/>
        <w:rPr>
          <w:sz w:val="26"/>
          <w:szCs w:val="26"/>
        </w:rPr>
      </w:pPr>
    </w:p>
    <w:p w:rsidR="00DF0524" w:rsidRDefault="00457B9F" w:rsidP="00844225">
      <w:pPr>
        <w:widowControl/>
        <w:tabs>
          <w:tab w:val="left" w:pos="1445"/>
          <w:tab w:val="left" w:pos="7920"/>
        </w:tabs>
        <w:autoSpaceDE w:val="0"/>
        <w:autoSpaceDN w:val="0"/>
        <w:adjustRightInd w:val="0"/>
        <w:spacing w:line="360" w:lineRule="auto"/>
        <w:ind w:firstLine="1440"/>
        <w:rPr>
          <w:sz w:val="26"/>
          <w:szCs w:val="26"/>
        </w:rPr>
      </w:pPr>
      <w:r>
        <w:rPr>
          <w:sz w:val="26"/>
          <w:szCs w:val="26"/>
        </w:rPr>
        <w:t>Second, Peoples Gas asserted</w:t>
      </w:r>
      <w:r w:rsidR="00FD7D9C">
        <w:rPr>
          <w:sz w:val="26"/>
          <w:szCs w:val="26"/>
        </w:rPr>
        <w:t xml:space="preserve"> that PIOGA acknowledges that someone other than the Company should be responsible to pay for UFG on the gathering pipeline.  Peoples Gas St. No. 1-SR </w:t>
      </w:r>
      <w:r>
        <w:rPr>
          <w:sz w:val="26"/>
          <w:szCs w:val="26"/>
        </w:rPr>
        <w:t>at 5.  Peoples Gas further noted</w:t>
      </w:r>
      <w:r w:rsidR="00FD7D9C">
        <w:rPr>
          <w:sz w:val="26"/>
          <w:szCs w:val="26"/>
        </w:rPr>
        <w:t xml:space="preserve"> PIOGA</w:t>
      </w:r>
      <w:r w:rsidR="001A5BA1">
        <w:rPr>
          <w:sz w:val="26"/>
          <w:szCs w:val="26"/>
        </w:rPr>
        <w:t>’</w:t>
      </w:r>
      <w:r w:rsidR="00FD7D9C">
        <w:rPr>
          <w:sz w:val="26"/>
          <w:szCs w:val="26"/>
        </w:rPr>
        <w:t xml:space="preserve">s </w:t>
      </w:r>
      <w:r w:rsidR="00BC6A3B">
        <w:rPr>
          <w:sz w:val="26"/>
          <w:szCs w:val="26"/>
        </w:rPr>
        <w:t>aversion to producers sharing in the cost of gathering UFG and</w:t>
      </w:r>
      <w:r w:rsidR="005B2598">
        <w:rPr>
          <w:sz w:val="26"/>
          <w:szCs w:val="26"/>
        </w:rPr>
        <w:t xml:space="preserve"> asserts that PIOGA should not be</w:t>
      </w:r>
      <w:r w:rsidR="00BC6A3B">
        <w:rPr>
          <w:sz w:val="26"/>
          <w:szCs w:val="26"/>
        </w:rPr>
        <w:t xml:space="preserve"> permitted to disclaim all responsibility for gathering system </w:t>
      </w:r>
      <w:r w:rsidR="005B2598">
        <w:rPr>
          <w:sz w:val="26"/>
          <w:szCs w:val="26"/>
        </w:rPr>
        <w:t>UFG, forcing</w:t>
      </w:r>
      <w:r w:rsidR="00BC6A3B">
        <w:rPr>
          <w:sz w:val="26"/>
          <w:szCs w:val="26"/>
        </w:rPr>
        <w:t xml:space="preserve"> customers and the Company to bear </w:t>
      </w:r>
      <w:r w:rsidR="004B2BDC">
        <w:rPr>
          <w:sz w:val="26"/>
          <w:szCs w:val="26"/>
        </w:rPr>
        <w:t>all</w:t>
      </w:r>
      <w:r w:rsidR="00BC6A3B">
        <w:rPr>
          <w:sz w:val="26"/>
          <w:szCs w:val="26"/>
        </w:rPr>
        <w:t xml:space="preserve"> the costs of gathering system UFG.  Peoples Gas </w:t>
      </w:r>
      <w:r w:rsidR="001643F2">
        <w:rPr>
          <w:sz w:val="26"/>
          <w:szCs w:val="26"/>
        </w:rPr>
        <w:t>M.B.</w:t>
      </w:r>
      <w:r w:rsidR="00BC6A3B">
        <w:rPr>
          <w:sz w:val="26"/>
          <w:szCs w:val="26"/>
        </w:rPr>
        <w:t xml:space="preserve"> at 11.</w:t>
      </w:r>
    </w:p>
    <w:p w:rsidR="00F6575C" w:rsidRDefault="00F6575C" w:rsidP="00844225">
      <w:pPr>
        <w:widowControl/>
        <w:tabs>
          <w:tab w:val="left" w:pos="1445"/>
          <w:tab w:val="left" w:pos="7920"/>
        </w:tabs>
        <w:autoSpaceDE w:val="0"/>
        <w:autoSpaceDN w:val="0"/>
        <w:adjustRightInd w:val="0"/>
        <w:spacing w:line="360" w:lineRule="auto"/>
        <w:ind w:firstLine="1440"/>
        <w:rPr>
          <w:sz w:val="26"/>
          <w:szCs w:val="26"/>
        </w:rPr>
      </w:pPr>
    </w:p>
    <w:p w:rsidR="00DF0524" w:rsidRDefault="00457B9F" w:rsidP="00844225">
      <w:pPr>
        <w:widowControl/>
        <w:tabs>
          <w:tab w:val="left" w:pos="1445"/>
          <w:tab w:val="left" w:pos="7920"/>
        </w:tabs>
        <w:autoSpaceDE w:val="0"/>
        <w:autoSpaceDN w:val="0"/>
        <w:adjustRightInd w:val="0"/>
        <w:spacing w:line="360" w:lineRule="auto"/>
        <w:ind w:firstLine="1440"/>
        <w:rPr>
          <w:sz w:val="26"/>
          <w:szCs w:val="26"/>
        </w:rPr>
      </w:pPr>
      <w:r>
        <w:rPr>
          <w:sz w:val="26"/>
          <w:szCs w:val="26"/>
        </w:rPr>
        <w:t>Third, Peoples Gas asserted</w:t>
      </w:r>
      <w:r w:rsidR="00DF0524">
        <w:rPr>
          <w:sz w:val="26"/>
          <w:szCs w:val="26"/>
        </w:rPr>
        <w:t xml:space="preserve"> that</w:t>
      </w:r>
      <w:r w:rsidR="00226A70">
        <w:rPr>
          <w:sz w:val="26"/>
          <w:szCs w:val="26"/>
        </w:rPr>
        <w:t xml:space="preserve"> gathering charges for recovering UFG are common, and that</w:t>
      </w:r>
      <w:r w:rsidR="00DF0524">
        <w:rPr>
          <w:sz w:val="26"/>
          <w:szCs w:val="26"/>
        </w:rPr>
        <w:t xml:space="preserve"> the Company</w:t>
      </w:r>
      <w:r w:rsidR="001A5BA1">
        <w:rPr>
          <w:sz w:val="26"/>
          <w:szCs w:val="26"/>
        </w:rPr>
        <w:t>’</w:t>
      </w:r>
      <w:r w:rsidR="00DF0524">
        <w:rPr>
          <w:sz w:val="26"/>
          <w:szCs w:val="26"/>
        </w:rPr>
        <w:t>s proposal is similar to charges already imposed by Peoples Natural Gas</w:t>
      </w:r>
      <w:r w:rsidR="001A5BA1">
        <w:rPr>
          <w:sz w:val="26"/>
          <w:szCs w:val="26"/>
        </w:rPr>
        <w:t>’</w:t>
      </w:r>
      <w:r w:rsidR="003B7460">
        <w:rPr>
          <w:sz w:val="26"/>
          <w:szCs w:val="26"/>
        </w:rPr>
        <w:t xml:space="preserve"> </w:t>
      </w:r>
      <w:r w:rsidR="00DF0524">
        <w:rPr>
          <w:sz w:val="26"/>
          <w:szCs w:val="26"/>
        </w:rPr>
        <w:t>Equitable Division</w:t>
      </w:r>
      <w:r w:rsidR="002E2635">
        <w:rPr>
          <w:sz w:val="26"/>
          <w:szCs w:val="26"/>
        </w:rPr>
        <w:t xml:space="preserve"> and other gathering pipelines in the area.</w:t>
      </w:r>
      <w:r w:rsidR="00507045">
        <w:rPr>
          <w:rStyle w:val="FootnoteReference"/>
          <w:sz w:val="26"/>
          <w:szCs w:val="26"/>
        </w:rPr>
        <w:footnoteReference w:id="15"/>
      </w:r>
      <w:r w:rsidR="002E2635">
        <w:rPr>
          <w:sz w:val="26"/>
          <w:szCs w:val="26"/>
        </w:rPr>
        <w:t xml:space="preserve">  R.D.</w:t>
      </w:r>
      <w:r w:rsidR="00783F92">
        <w:rPr>
          <w:sz w:val="26"/>
          <w:szCs w:val="26"/>
        </w:rPr>
        <w:t> </w:t>
      </w:r>
      <w:r w:rsidR="002E2635">
        <w:rPr>
          <w:sz w:val="26"/>
          <w:szCs w:val="26"/>
        </w:rPr>
        <w:t xml:space="preserve">at 44-45.  </w:t>
      </w:r>
      <w:r w:rsidR="00FB70C1">
        <w:rPr>
          <w:sz w:val="26"/>
          <w:szCs w:val="26"/>
        </w:rPr>
        <w:t xml:space="preserve">Company witness Petrichevich stated that </w:t>
      </w:r>
      <w:r w:rsidR="001A5BA1">
        <w:rPr>
          <w:sz w:val="26"/>
          <w:szCs w:val="26"/>
        </w:rPr>
        <w:t>“</w:t>
      </w:r>
      <w:r w:rsidR="00FB70C1">
        <w:rPr>
          <w:sz w:val="26"/>
          <w:szCs w:val="26"/>
        </w:rPr>
        <w:t>Peoples Natural Gas</w:t>
      </w:r>
      <w:r w:rsidR="001A5BA1">
        <w:rPr>
          <w:sz w:val="26"/>
          <w:szCs w:val="26"/>
        </w:rPr>
        <w:t>’</w:t>
      </w:r>
      <w:r w:rsidR="005A0ACF">
        <w:rPr>
          <w:sz w:val="26"/>
          <w:szCs w:val="26"/>
        </w:rPr>
        <w:t xml:space="preserve"> Peoples D</w:t>
      </w:r>
      <w:r w:rsidR="00FB70C1">
        <w:rPr>
          <w:sz w:val="26"/>
          <w:szCs w:val="26"/>
        </w:rPr>
        <w:t>ivision and Peoples Gas</w:t>
      </w:r>
      <w:r w:rsidR="005A0ACF">
        <w:rPr>
          <w:sz w:val="26"/>
          <w:szCs w:val="26"/>
        </w:rPr>
        <w:t xml:space="preserve"> may be the only such gatherers in the region that do not collect retainage on gas delivered into the system</w:t>
      </w:r>
      <w:r w:rsidR="001A5BA1">
        <w:rPr>
          <w:sz w:val="26"/>
          <w:szCs w:val="26"/>
        </w:rPr>
        <w:t>”</w:t>
      </w:r>
      <w:r w:rsidR="005A0ACF">
        <w:rPr>
          <w:sz w:val="26"/>
          <w:szCs w:val="26"/>
        </w:rPr>
        <w:t xml:space="preserve"> and that Peoples Gas seeks to retain </w:t>
      </w:r>
      <w:r w:rsidR="001A5BA1">
        <w:rPr>
          <w:sz w:val="26"/>
          <w:szCs w:val="26"/>
        </w:rPr>
        <w:t>“</w:t>
      </w:r>
      <w:r w:rsidR="005A0ACF">
        <w:rPr>
          <w:sz w:val="26"/>
          <w:szCs w:val="26"/>
        </w:rPr>
        <w:t>a small fraction, compared to that collected by other gatherers in the region, of the producers</w:t>
      </w:r>
      <w:r w:rsidR="001A5BA1">
        <w:rPr>
          <w:sz w:val="26"/>
          <w:szCs w:val="26"/>
        </w:rPr>
        <w:t>’</w:t>
      </w:r>
      <w:r w:rsidR="005A0ACF">
        <w:rPr>
          <w:sz w:val="26"/>
          <w:szCs w:val="26"/>
        </w:rPr>
        <w:t xml:space="preserve"> gas delivered into the Companies</w:t>
      </w:r>
      <w:r w:rsidR="001A5BA1">
        <w:rPr>
          <w:sz w:val="26"/>
          <w:szCs w:val="26"/>
        </w:rPr>
        <w:t>’</w:t>
      </w:r>
      <w:r w:rsidR="005A0ACF">
        <w:rPr>
          <w:sz w:val="26"/>
          <w:szCs w:val="26"/>
        </w:rPr>
        <w:t xml:space="preserve"> systems.</w:t>
      </w:r>
      <w:r w:rsidR="001A5BA1">
        <w:rPr>
          <w:sz w:val="26"/>
          <w:szCs w:val="26"/>
        </w:rPr>
        <w:t>”</w:t>
      </w:r>
      <w:r w:rsidR="005A0ACF">
        <w:rPr>
          <w:sz w:val="26"/>
          <w:szCs w:val="26"/>
        </w:rPr>
        <w:t xml:space="preserve">  Peoples Gas St. No. 1R at 16-17.</w:t>
      </w:r>
      <w:r>
        <w:rPr>
          <w:sz w:val="26"/>
          <w:szCs w:val="26"/>
        </w:rPr>
        <w:t xml:space="preserve">  Further, Peoples Gas explained</w:t>
      </w:r>
      <w:r w:rsidR="003B7460">
        <w:rPr>
          <w:sz w:val="26"/>
          <w:szCs w:val="26"/>
        </w:rPr>
        <w:t xml:space="preserve"> that Peoples Natural Gas</w:t>
      </w:r>
      <w:r w:rsidR="001A5BA1">
        <w:rPr>
          <w:sz w:val="26"/>
          <w:szCs w:val="26"/>
        </w:rPr>
        <w:t>’</w:t>
      </w:r>
      <w:r w:rsidR="003B7460">
        <w:rPr>
          <w:sz w:val="26"/>
          <w:szCs w:val="26"/>
        </w:rPr>
        <w:t xml:space="preserve"> Equitable Division currently has a Commission-authorized charge in its tariff (Rate AGS)</w:t>
      </w:r>
      <w:r w:rsidR="00D3221D">
        <w:rPr>
          <w:sz w:val="26"/>
          <w:szCs w:val="26"/>
        </w:rPr>
        <w:t>, which subjects volumes under such service to</w:t>
      </w:r>
      <w:r w:rsidR="005661DA">
        <w:rPr>
          <w:sz w:val="26"/>
          <w:szCs w:val="26"/>
        </w:rPr>
        <w:t xml:space="preserve"> </w:t>
      </w:r>
      <w:r w:rsidR="00D3221D">
        <w:rPr>
          <w:sz w:val="26"/>
          <w:szCs w:val="26"/>
        </w:rPr>
        <w:t xml:space="preserve">a gathering rate and a gas-in kind retainage rate (for the recovery of gathering UFG) that is determined by negotiations.  Rate AGS is applicable to any </w:t>
      </w:r>
      <w:r w:rsidR="00D3221D">
        <w:rPr>
          <w:sz w:val="26"/>
          <w:szCs w:val="26"/>
        </w:rPr>
        <w:lastRenderedPageBreak/>
        <w:t>producer desiring to transport gas through the gathering system as well as to deliver gas directly into the distribution system of the Equitable Division.  Rate AGS R.D. at 45, citing Peoples Gas St. No. 5-R at 22</w:t>
      </w:r>
      <w:r w:rsidR="00383057">
        <w:rPr>
          <w:sz w:val="26"/>
          <w:szCs w:val="26"/>
        </w:rPr>
        <w:t>.</w:t>
      </w:r>
      <w:r w:rsidR="007006F6">
        <w:rPr>
          <w:sz w:val="26"/>
          <w:szCs w:val="26"/>
        </w:rPr>
        <w:t xml:space="preserve">  As explained by Company witness Petr</w:t>
      </w:r>
      <w:r w:rsidR="00B947B7">
        <w:rPr>
          <w:sz w:val="26"/>
          <w:szCs w:val="26"/>
        </w:rPr>
        <w:t>i</w:t>
      </w:r>
      <w:r w:rsidR="007006F6">
        <w:rPr>
          <w:sz w:val="26"/>
          <w:szCs w:val="26"/>
        </w:rPr>
        <w:t xml:space="preserve">chevich, </w:t>
      </w:r>
      <w:r w:rsidR="001A5BA1">
        <w:rPr>
          <w:sz w:val="26"/>
          <w:szCs w:val="26"/>
        </w:rPr>
        <w:t>“</w:t>
      </w:r>
      <w:r w:rsidR="007006F6">
        <w:rPr>
          <w:sz w:val="26"/>
          <w:szCs w:val="26"/>
        </w:rPr>
        <w:t>the Company</w:t>
      </w:r>
      <w:r w:rsidR="001A5BA1">
        <w:rPr>
          <w:sz w:val="26"/>
          <w:szCs w:val="26"/>
        </w:rPr>
        <w:t>’</w:t>
      </w:r>
      <w:r w:rsidR="007006F6">
        <w:rPr>
          <w:sz w:val="26"/>
          <w:szCs w:val="26"/>
        </w:rPr>
        <w:t>s intent was to model the charge after the Commission</w:t>
      </w:r>
      <w:r w:rsidR="00783F92">
        <w:rPr>
          <w:sz w:val="26"/>
          <w:szCs w:val="26"/>
        </w:rPr>
        <w:t>-</w:t>
      </w:r>
      <w:r w:rsidR="007006F6">
        <w:rPr>
          <w:sz w:val="26"/>
          <w:szCs w:val="26"/>
        </w:rPr>
        <w:t xml:space="preserve">approved AGS tariff of the Equitable Division which specifically applies both gathering fees and retainage to production entering into </w:t>
      </w:r>
      <w:r w:rsidR="001A5BA1">
        <w:rPr>
          <w:sz w:val="26"/>
          <w:szCs w:val="26"/>
        </w:rPr>
        <w:t>‘</w:t>
      </w:r>
      <w:r w:rsidR="007006F6">
        <w:rPr>
          <w:sz w:val="26"/>
          <w:szCs w:val="26"/>
        </w:rPr>
        <w:t>distribution and gathering</w:t>
      </w:r>
      <w:r w:rsidR="001A5BA1">
        <w:rPr>
          <w:sz w:val="26"/>
          <w:szCs w:val="26"/>
        </w:rPr>
        <w:t>’</w:t>
      </w:r>
      <w:r w:rsidR="007006F6">
        <w:rPr>
          <w:sz w:val="26"/>
          <w:szCs w:val="26"/>
        </w:rPr>
        <w:t xml:space="preserve"> lines.</w:t>
      </w:r>
      <w:r w:rsidR="001A5BA1">
        <w:rPr>
          <w:sz w:val="26"/>
          <w:szCs w:val="26"/>
        </w:rPr>
        <w:t>”</w:t>
      </w:r>
      <w:r w:rsidR="007006F6">
        <w:rPr>
          <w:sz w:val="26"/>
          <w:szCs w:val="26"/>
        </w:rPr>
        <w:t xml:space="preserve">  Thus, </w:t>
      </w:r>
      <w:r w:rsidR="001A5BA1">
        <w:rPr>
          <w:sz w:val="26"/>
          <w:szCs w:val="26"/>
        </w:rPr>
        <w:t>“</w:t>
      </w:r>
      <w:r w:rsidR="007006F6">
        <w:rPr>
          <w:sz w:val="26"/>
          <w:szCs w:val="26"/>
        </w:rPr>
        <w:t>the Company would prefer the administrative ease of applying the same rate to both its Companies and not have to introduce different rules depending on which company a well ties into.</w:t>
      </w:r>
      <w:r w:rsidR="001A5BA1">
        <w:rPr>
          <w:sz w:val="26"/>
          <w:szCs w:val="26"/>
        </w:rPr>
        <w:t>”</w:t>
      </w:r>
      <w:r w:rsidR="007006F6">
        <w:rPr>
          <w:sz w:val="26"/>
          <w:szCs w:val="26"/>
        </w:rPr>
        <w:t xml:space="preserve">  Peoples Gas St. No. 1-R at 26.</w:t>
      </w:r>
    </w:p>
    <w:p w:rsidR="00383057" w:rsidRDefault="00383057" w:rsidP="00844225">
      <w:pPr>
        <w:widowControl/>
        <w:tabs>
          <w:tab w:val="left" w:pos="1445"/>
          <w:tab w:val="left" w:pos="7920"/>
        </w:tabs>
        <w:autoSpaceDE w:val="0"/>
        <w:autoSpaceDN w:val="0"/>
        <w:adjustRightInd w:val="0"/>
        <w:spacing w:line="360" w:lineRule="auto"/>
        <w:ind w:firstLine="1440"/>
        <w:rPr>
          <w:sz w:val="26"/>
          <w:szCs w:val="26"/>
        </w:rPr>
      </w:pPr>
    </w:p>
    <w:p w:rsidR="00383057" w:rsidRPr="00026669" w:rsidRDefault="00A1744F" w:rsidP="00844225">
      <w:pPr>
        <w:widowControl/>
        <w:tabs>
          <w:tab w:val="left" w:pos="1445"/>
          <w:tab w:val="left" w:pos="7920"/>
        </w:tabs>
        <w:autoSpaceDE w:val="0"/>
        <w:autoSpaceDN w:val="0"/>
        <w:adjustRightInd w:val="0"/>
        <w:spacing w:line="360" w:lineRule="auto"/>
        <w:ind w:firstLine="1440"/>
        <w:rPr>
          <w:sz w:val="26"/>
          <w:szCs w:val="26"/>
        </w:rPr>
      </w:pPr>
      <w:r>
        <w:rPr>
          <w:sz w:val="26"/>
          <w:szCs w:val="26"/>
        </w:rPr>
        <w:t>Another rationale, as posed by Peoples Gas, for its producer retainage proposal is that by allocating some of the gathering system UFG to producers, the Company hopes to incent the producers to partner with Peoples Gas in developing UFG mitigation initiatives</w:t>
      </w:r>
      <w:r w:rsidR="00336867">
        <w:rPr>
          <w:sz w:val="26"/>
          <w:szCs w:val="26"/>
        </w:rPr>
        <w:t xml:space="preserve">.  Peoples Gas M.B. at 12-13.  For example, as claimed by the Company, the charge could </w:t>
      </w:r>
      <w:r w:rsidR="001A5BA1">
        <w:rPr>
          <w:sz w:val="26"/>
          <w:szCs w:val="26"/>
        </w:rPr>
        <w:t>“</w:t>
      </w:r>
      <w:r w:rsidR="00336867">
        <w:rPr>
          <w:sz w:val="26"/>
          <w:szCs w:val="26"/>
        </w:rPr>
        <w:t>incent producers to use a common line to bring gas to the Company</w:t>
      </w:r>
      <w:r w:rsidR="001A5BA1">
        <w:rPr>
          <w:sz w:val="26"/>
          <w:szCs w:val="26"/>
        </w:rPr>
        <w:t>’</w:t>
      </w:r>
      <w:r w:rsidR="00336867">
        <w:rPr>
          <w:sz w:val="26"/>
          <w:szCs w:val="26"/>
        </w:rPr>
        <w:t>s system and eliminate the need for replacement of old at-risk gathering lines.</w:t>
      </w:r>
      <w:r w:rsidR="001A5BA1">
        <w:rPr>
          <w:sz w:val="26"/>
          <w:szCs w:val="26"/>
        </w:rPr>
        <w:t>”</w:t>
      </w:r>
      <w:r w:rsidR="00336867">
        <w:rPr>
          <w:sz w:val="26"/>
          <w:szCs w:val="26"/>
        </w:rPr>
        <w:t xml:space="preserve">  Peoples Gas contends, as the system improves and UFG loss declines, the retainage collected from producers can also decline.  Peoples Gas St. No. 1 at 14.  Absent the proposed producer retainage rate being imposed, Peoples Gas argues there is no incentive for </w:t>
      </w:r>
      <w:r w:rsidR="00336867" w:rsidRPr="00026669">
        <w:rPr>
          <w:sz w:val="26"/>
          <w:szCs w:val="26"/>
        </w:rPr>
        <w:t>producers to help the Company reduce gathering system UFG.  Peoples M.B. at 13.</w:t>
      </w:r>
    </w:p>
    <w:p w:rsidR="00EB3865" w:rsidRPr="00026669" w:rsidRDefault="00EB3865" w:rsidP="00844225">
      <w:pPr>
        <w:widowControl/>
        <w:tabs>
          <w:tab w:val="left" w:pos="1445"/>
          <w:tab w:val="left" w:pos="7920"/>
        </w:tabs>
        <w:autoSpaceDE w:val="0"/>
        <w:autoSpaceDN w:val="0"/>
        <w:adjustRightInd w:val="0"/>
        <w:spacing w:line="360" w:lineRule="auto"/>
        <w:rPr>
          <w:sz w:val="26"/>
          <w:szCs w:val="26"/>
        </w:rPr>
      </w:pPr>
    </w:p>
    <w:p w:rsidR="00026669" w:rsidRPr="00026669" w:rsidRDefault="00026669" w:rsidP="00C75F07">
      <w:pPr>
        <w:pStyle w:val="Heading4"/>
        <w:keepNext/>
        <w:keepLines/>
      </w:pPr>
      <w:r w:rsidRPr="00026669">
        <w:t>The OCA</w:t>
      </w:r>
    </w:p>
    <w:p w:rsidR="00026669" w:rsidRDefault="00026669" w:rsidP="00C75F07">
      <w:pPr>
        <w:keepNext/>
        <w:keepLines/>
        <w:widowControl/>
        <w:spacing w:line="360" w:lineRule="auto"/>
        <w:rPr>
          <w:sz w:val="26"/>
          <w:szCs w:val="26"/>
        </w:rPr>
      </w:pPr>
    </w:p>
    <w:p w:rsidR="00491D9F" w:rsidRDefault="00457B9F" w:rsidP="00844225">
      <w:pPr>
        <w:widowControl/>
        <w:spacing w:line="360" w:lineRule="auto"/>
        <w:ind w:firstLine="1440"/>
        <w:rPr>
          <w:sz w:val="26"/>
          <w:szCs w:val="26"/>
        </w:rPr>
      </w:pPr>
      <w:r>
        <w:rPr>
          <w:sz w:val="26"/>
          <w:szCs w:val="26"/>
        </w:rPr>
        <w:t xml:space="preserve">The OCA </w:t>
      </w:r>
      <w:r w:rsidR="00B947B7">
        <w:rPr>
          <w:sz w:val="26"/>
          <w:szCs w:val="26"/>
        </w:rPr>
        <w:t>submitted</w:t>
      </w:r>
      <w:r w:rsidR="00D14A12">
        <w:rPr>
          <w:sz w:val="26"/>
          <w:szCs w:val="26"/>
        </w:rPr>
        <w:t xml:space="preserve"> that the Commission should approve the Company</w:t>
      </w:r>
      <w:r w:rsidR="001A5BA1">
        <w:rPr>
          <w:sz w:val="26"/>
          <w:szCs w:val="26"/>
        </w:rPr>
        <w:t>’</w:t>
      </w:r>
      <w:r w:rsidR="00D14A12">
        <w:rPr>
          <w:sz w:val="26"/>
          <w:szCs w:val="26"/>
        </w:rPr>
        <w:t xml:space="preserve">s proposal to assess a producer retainage charge.  </w:t>
      </w:r>
      <w:r w:rsidR="00446C20">
        <w:rPr>
          <w:sz w:val="26"/>
          <w:szCs w:val="26"/>
        </w:rPr>
        <w:t xml:space="preserve">The </w:t>
      </w:r>
      <w:r>
        <w:rPr>
          <w:sz w:val="26"/>
          <w:szCs w:val="26"/>
        </w:rPr>
        <w:t>OCA explained</w:t>
      </w:r>
      <w:r w:rsidR="00491D9F">
        <w:rPr>
          <w:sz w:val="26"/>
          <w:szCs w:val="26"/>
        </w:rPr>
        <w:t xml:space="preserve"> that because transportation and PGC customers do not utilize the gathering system to the same degree it is not appropriate to impose the same retainage charge upon each group of customers, and that approving the proposed producer retainage charge is a way to begin appropriately assigning responsibility for gathering UFG to those that benefit from, or </w:t>
      </w:r>
      <w:r w:rsidR="00491D9F">
        <w:rPr>
          <w:sz w:val="26"/>
          <w:szCs w:val="26"/>
        </w:rPr>
        <w:lastRenderedPageBreak/>
        <w:t>use, the Peoples Gas gathering system.  OCA St. No. 1 at 9; OCA M. B. at 5-6</w:t>
      </w:r>
      <w:r>
        <w:rPr>
          <w:sz w:val="26"/>
          <w:szCs w:val="26"/>
        </w:rPr>
        <w:t xml:space="preserve">.  Furthermore, </w:t>
      </w:r>
      <w:r w:rsidR="00446C20">
        <w:rPr>
          <w:sz w:val="26"/>
          <w:szCs w:val="26"/>
        </w:rPr>
        <w:t xml:space="preserve">the </w:t>
      </w:r>
      <w:r>
        <w:rPr>
          <w:sz w:val="26"/>
          <w:szCs w:val="26"/>
        </w:rPr>
        <w:t>OCA echoed</w:t>
      </w:r>
      <w:r w:rsidR="002E2747">
        <w:rPr>
          <w:sz w:val="26"/>
          <w:szCs w:val="26"/>
        </w:rPr>
        <w:t xml:space="preserve"> the Company</w:t>
      </w:r>
      <w:r w:rsidR="001A5BA1">
        <w:rPr>
          <w:sz w:val="26"/>
          <w:szCs w:val="26"/>
        </w:rPr>
        <w:t>’</w:t>
      </w:r>
      <w:r w:rsidR="002E2747">
        <w:rPr>
          <w:sz w:val="26"/>
          <w:szCs w:val="26"/>
        </w:rPr>
        <w:t xml:space="preserve">s contention that it is not unusual for gatherers to collect a retainage charge on gas delivered into the gathering system and it is reasonable for producers, who benefit from the gathering system, to be assigned responsibility for UFG.  OCA M.B. at 6.  </w:t>
      </w:r>
    </w:p>
    <w:p w:rsidR="00491D9F" w:rsidRDefault="00491D9F" w:rsidP="00844225">
      <w:pPr>
        <w:widowControl/>
        <w:spacing w:line="360" w:lineRule="auto"/>
        <w:ind w:firstLine="1440"/>
        <w:rPr>
          <w:sz w:val="26"/>
          <w:szCs w:val="26"/>
        </w:rPr>
      </w:pPr>
    </w:p>
    <w:p w:rsidR="00A72FD4" w:rsidRDefault="00457B9F" w:rsidP="00844225">
      <w:pPr>
        <w:widowControl/>
        <w:spacing w:line="360" w:lineRule="auto"/>
        <w:ind w:firstLine="1440"/>
        <w:rPr>
          <w:sz w:val="26"/>
          <w:szCs w:val="26"/>
        </w:rPr>
      </w:pPr>
      <w:r>
        <w:rPr>
          <w:sz w:val="26"/>
          <w:szCs w:val="26"/>
        </w:rPr>
        <w:t>Alternatively, the OCA proposed</w:t>
      </w:r>
      <w:r w:rsidR="008B2460">
        <w:rPr>
          <w:sz w:val="26"/>
          <w:szCs w:val="26"/>
        </w:rPr>
        <w:t xml:space="preserve"> the imposition of an additional retainage charge on the transportation customer volumes delivered on the gathering system</w:t>
      </w:r>
      <w:r w:rsidR="00C75F07">
        <w:rPr>
          <w:sz w:val="26"/>
          <w:szCs w:val="26"/>
        </w:rPr>
        <w:t>,</w:t>
      </w:r>
      <w:r w:rsidR="00A72FD4">
        <w:rPr>
          <w:rStyle w:val="FootnoteReference"/>
          <w:sz w:val="26"/>
          <w:szCs w:val="26"/>
        </w:rPr>
        <w:footnoteReference w:id="16"/>
      </w:r>
      <w:r w:rsidR="00D14A12">
        <w:rPr>
          <w:sz w:val="26"/>
          <w:szCs w:val="26"/>
        </w:rPr>
        <w:t xml:space="preserve"> which also serves to recognize the differences in the responsibility for gathering system UFG</w:t>
      </w:r>
      <w:r w:rsidR="00A72FD4">
        <w:rPr>
          <w:sz w:val="26"/>
          <w:szCs w:val="26"/>
        </w:rPr>
        <w:t xml:space="preserve">.  OCA M.B. at 6-7.  </w:t>
      </w:r>
      <w:r w:rsidR="004D7065">
        <w:rPr>
          <w:sz w:val="26"/>
          <w:szCs w:val="26"/>
        </w:rPr>
        <w:t>OCA witness Mierzwa rationalizes this alternative proposal, offering the following:</w:t>
      </w:r>
    </w:p>
    <w:p w:rsidR="004D7065" w:rsidRPr="007F545B" w:rsidRDefault="004D7065" w:rsidP="00844225">
      <w:pPr>
        <w:widowControl/>
        <w:ind w:right="1440"/>
        <w:rPr>
          <w:b/>
          <w:bCs/>
          <w:sz w:val="26"/>
          <w:szCs w:val="26"/>
        </w:rPr>
      </w:pPr>
    </w:p>
    <w:p w:rsidR="004D7065" w:rsidRDefault="004D7065" w:rsidP="00844225">
      <w:pPr>
        <w:widowControl/>
        <w:ind w:left="1440" w:right="1440"/>
        <w:rPr>
          <w:bCs/>
          <w:sz w:val="26"/>
          <w:szCs w:val="26"/>
        </w:rPr>
      </w:pPr>
      <w:r>
        <w:rPr>
          <w:bCs/>
          <w:sz w:val="26"/>
          <w:szCs w:val="26"/>
        </w:rPr>
        <w:t>Peoples Gas</w:t>
      </w:r>
      <w:r w:rsidR="001A5BA1">
        <w:rPr>
          <w:bCs/>
          <w:sz w:val="26"/>
          <w:szCs w:val="26"/>
        </w:rPr>
        <w:t>’</w:t>
      </w:r>
      <w:r>
        <w:rPr>
          <w:bCs/>
          <w:sz w:val="26"/>
          <w:szCs w:val="26"/>
        </w:rPr>
        <w:t xml:space="preserve"> gathering system is used to collect gas from local production wells and deliver that gas to Peoples Gas</w:t>
      </w:r>
      <w:r w:rsidR="001A5BA1">
        <w:rPr>
          <w:bCs/>
          <w:sz w:val="26"/>
          <w:szCs w:val="26"/>
        </w:rPr>
        <w:t>’</w:t>
      </w:r>
      <w:r>
        <w:rPr>
          <w:bCs/>
          <w:sz w:val="26"/>
          <w:szCs w:val="26"/>
        </w:rPr>
        <w:t xml:space="preserve"> distribution system.  Those customers that do not utilize Peoples Gas</w:t>
      </w:r>
      <w:r w:rsidR="001A5BA1">
        <w:rPr>
          <w:bCs/>
          <w:sz w:val="26"/>
          <w:szCs w:val="26"/>
        </w:rPr>
        <w:t>’</w:t>
      </w:r>
      <w:r>
        <w:rPr>
          <w:bCs/>
          <w:sz w:val="26"/>
          <w:szCs w:val="26"/>
        </w:rPr>
        <w:t xml:space="preserve"> gathering system to obtain their gas supplies from local production wells utilize interstate pipelines to have their gas delivered to Peoples Gas</w:t>
      </w:r>
      <w:r w:rsidR="001A5BA1">
        <w:rPr>
          <w:bCs/>
          <w:sz w:val="26"/>
          <w:szCs w:val="26"/>
        </w:rPr>
        <w:t>’</w:t>
      </w:r>
      <w:r>
        <w:rPr>
          <w:bCs/>
          <w:sz w:val="26"/>
          <w:szCs w:val="26"/>
        </w:rPr>
        <w:t xml:space="preserve"> distribution system.  Customers using interstate pipelines to acquire gas supplies are required to pay retainage to the interstate pipelines.  Customers relying on Peoples Gas</w:t>
      </w:r>
      <w:r w:rsidR="001A5BA1">
        <w:rPr>
          <w:bCs/>
          <w:sz w:val="26"/>
          <w:szCs w:val="26"/>
        </w:rPr>
        <w:t>’</w:t>
      </w:r>
      <w:r>
        <w:rPr>
          <w:bCs/>
          <w:sz w:val="26"/>
          <w:szCs w:val="26"/>
        </w:rPr>
        <w:t xml:space="preserve"> gathering system to deliver gas to Peoples Gas</w:t>
      </w:r>
      <w:r w:rsidR="001A5BA1">
        <w:rPr>
          <w:bCs/>
          <w:sz w:val="26"/>
          <w:szCs w:val="26"/>
        </w:rPr>
        <w:t>’</w:t>
      </w:r>
      <w:r>
        <w:rPr>
          <w:bCs/>
          <w:sz w:val="26"/>
          <w:szCs w:val="26"/>
        </w:rPr>
        <w:t xml:space="preserve"> distribution system are not required to pay any portion of the interstate pipeline retainage assessed to customers relying on interstate pipelines to deliver gas to Peoples Gas</w:t>
      </w:r>
      <w:r w:rsidR="001A5BA1">
        <w:rPr>
          <w:bCs/>
          <w:sz w:val="26"/>
          <w:szCs w:val="26"/>
        </w:rPr>
        <w:t>’</w:t>
      </w:r>
      <w:r>
        <w:rPr>
          <w:bCs/>
          <w:sz w:val="26"/>
          <w:szCs w:val="26"/>
        </w:rPr>
        <w:t xml:space="preserve"> distribution system. </w:t>
      </w:r>
    </w:p>
    <w:p w:rsidR="004D7065" w:rsidRDefault="004D7065" w:rsidP="00844225">
      <w:pPr>
        <w:widowControl/>
        <w:ind w:right="1440"/>
        <w:rPr>
          <w:bCs/>
          <w:sz w:val="26"/>
          <w:szCs w:val="26"/>
        </w:rPr>
      </w:pPr>
    </w:p>
    <w:p w:rsidR="004D7065" w:rsidRDefault="004D7065" w:rsidP="00844225">
      <w:pPr>
        <w:widowControl/>
        <w:ind w:right="1440"/>
        <w:rPr>
          <w:bCs/>
          <w:sz w:val="26"/>
          <w:szCs w:val="26"/>
        </w:rPr>
      </w:pPr>
    </w:p>
    <w:p w:rsidR="00A72FD4" w:rsidRDefault="004D7065" w:rsidP="00844225">
      <w:pPr>
        <w:widowControl/>
        <w:spacing w:line="360" w:lineRule="auto"/>
        <w:ind w:right="1440"/>
        <w:rPr>
          <w:bCs/>
          <w:sz w:val="26"/>
          <w:szCs w:val="26"/>
        </w:rPr>
      </w:pPr>
      <w:r>
        <w:rPr>
          <w:bCs/>
          <w:sz w:val="26"/>
          <w:szCs w:val="26"/>
        </w:rPr>
        <w:t>OCA St. No. 1 at 9.</w:t>
      </w:r>
    </w:p>
    <w:p w:rsidR="00630501" w:rsidRPr="00630501" w:rsidRDefault="00630501" w:rsidP="00844225">
      <w:pPr>
        <w:widowControl/>
        <w:spacing w:line="360" w:lineRule="auto"/>
        <w:ind w:right="1440"/>
        <w:rPr>
          <w:bCs/>
          <w:sz w:val="26"/>
          <w:szCs w:val="26"/>
        </w:rPr>
      </w:pPr>
    </w:p>
    <w:p w:rsidR="00026669" w:rsidRPr="006D15C4" w:rsidRDefault="00D14A12" w:rsidP="00844225">
      <w:pPr>
        <w:widowControl/>
        <w:spacing w:line="360" w:lineRule="auto"/>
        <w:ind w:firstLine="1440"/>
        <w:rPr>
          <w:sz w:val="26"/>
          <w:szCs w:val="26"/>
        </w:rPr>
      </w:pPr>
      <w:r>
        <w:rPr>
          <w:sz w:val="26"/>
          <w:szCs w:val="26"/>
        </w:rPr>
        <w:t>Further, if the Commission does not approve the producer retainage charge or</w:t>
      </w:r>
      <w:r w:rsidR="003923D5">
        <w:rPr>
          <w:sz w:val="26"/>
          <w:szCs w:val="26"/>
        </w:rPr>
        <w:t>,</w:t>
      </w:r>
      <w:r>
        <w:rPr>
          <w:sz w:val="26"/>
          <w:szCs w:val="26"/>
        </w:rPr>
        <w:t xml:space="preserve"> </w:t>
      </w:r>
      <w:r w:rsidR="003923D5">
        <w:rPr>
          <w:sz w:val="26"/>
          <w:szCs w:val="26"/>
        </w:rPr>
        <w:t>as an alternative, the OCA</w:t>
      </w:r>
      <w:r w:rsidR="001A5BA1">
        <w:rPr>
          <w:sz w:val="26"/>
          <w:szCs w:val="26"/>
        </w:rPr>
        <w:t>’</w:t>
      </w:r>
      <w:r w:rsidR="003923D5">
        <w:rPr>
          <w:sz w:val="26"/>
          <w:szCs w:val="26"/>
        </w:rPr>
        <w:t>s proposed</w:t>
      </w:r>
      <w:r>
        <w:rPr>
          <w:sz w:val="26"/>
          <w:szCs w:val="26"/>
        </w:rPr>
        <w:t xml:space="preserve"> gathering system r</w:t>
      </w:r>
      <w:r w:rsidR="00457B9F">
        <w:rPr>
          <w:sz w:val="26"/>
          <w:szCs w:val="26"/>
        </w:rPr>
        <w:t xml:space="preserve">etainage charge, the OCA </w:t>
      </w:r>
      <w:r w:rsidR="00B947B7">
        <w:rPr>
          <w:sz w:val="26"/>
          <w:szCs w:val="26"/>
        </w:rPr>
        <w:lastRenderedPageBreak/>
        <w:t>submitted</w:t>
      </w:r>
      <w:r>
        <w:rPr>
          <w:sz w:val="26"/>
          <w:szCs w:val="26"/>
        </w:rPr>
        <w:t xml:space="preserve"> that the Commission should increase Peoples Gas</w:t>
      </w:r>
      <w:r w:rsidR="001A5BA1">
        <w:rPr>
          <w:sz w:val="26"/>
          <w:szCs w:val="26"/>
        </w:rPr>
        <w:t>’</w:t>
      </w:r>
      <w:r>
        <w:rPr>
          <w:sz w:val="26"/>
          <w:szCs w:val="26"/>
        </w:rPr>
        <w:t xml:space="preserve"> proposed retainage charge to account for the retainage deficiency.  OCA M.B. at </w:t>
      </w:r>
      <w:r w:rsidR="001A7C7A">
        <w:rPr>
          <w:sz w:val="26"/>
          <w:szCs w:val="26"/>
        </w:rPr>
        <w:t>7-8</w:t>
      </w:r>
      <w:r w:rsidR="001A7C7A" w:rsidRPr="003C7861">
        <w:rPr>
          <w:sz w:val="26"/>
          <w:szCs w:val="26"/>
        </w:rPr>
        <w:t xml:space="preserve">.  </w:t>
      </w:r>
      <w:r w:rsidR="00446C20">
        <w:rPr>
          <w:sz w:val="26"/>
          <w:szCs w:val="26"/>
        </w:rPr>
        <w:t xml:space="preserve">The </w:t>
      </w:r>
      <w:r w:rsidR="00457B9F">
        <w:rPr>
          <w:sz w:val="26"/>
          <w:szCs w:val="26"/>
        </w:rPr>
        <w:t>OCA argued</w:t>
      </w:r>
      <w:r w:rsidR="003C7861" w:rsidRPr="003C7861">
        <w:rPr>
          <w:sz w:val="26"/>
          <w:szCs w:val="26"/>
        </w:rPr>
        <w:t xml:space="preserve"> if neither the producer retainage charge nor </w:t>
      </w:r>
      <w:r w:rsidR="003C7861" w:rsidRPr="006D15C4">
        <w:rPr>
          <w:sz w:val="26"/>
          <w:szCs w:val="26"/>
        </w:rPr>
        <w:t>the gathering system retainage charges are approved, the Commission should increase the retainage charge proposed by Peoples Gas to 10.4%.</w:t>
      </w:r>
      <w:r w:rsidR="00501442">
        <w:rPr>
          <w:rStyle w:val="FootnoteReference"/>
          <w:sz w:val="26"/>
          <w:szCs w:val="26"/>
        </w:rPr>
        <w:footnoteReference w:id="17"/>
      </w:r>
      <w:r w:rsidR="0001497B" w:rsidRPr="0001497B">
        <w:rPr>
          <w:sz w:val="26"/>
          <w:szCs w:val="26"/>
          <w:vertAlign w:val="superscript"/>
        </w:rPr>
        <w:t>,</w:t>
      </w:r>
      <w:r w:rsidR="005D6EA5">
        <w:rPr>
          <w:rStyle w:val="FootnoteReference"/>
          <w:sz w:val="26"/>
          <w:szCs w:val="26"/>
        </w:rPr>
        <w:footnoteReference w:id="18"/>
      </w:r>
      <w:r w:rsidR="006D15C4">
        <w:rPr>
          <w:sz w:val="26"/>
          <w:szCs w:val="26"/>
        </w:rPr>
        <w:t xml:space="preserve"> OCA St. No. 1 at 10.</w:t>
      </w:r>
    </w:p>
    <w:p w:rsidR="00026669" w:rsidRPr="00026669" w:rsidRDefault="00026669" w:rsidP="00844225">
      <w:pPr>
        <w:widowControl/>
        <w:spacing w:line="360" w:lineRule="auto"/>
        <w:rPr>
          <w:sz w:val="26"/>
          <w:szCs w:val="26"/>
        </w:rPr>
      </w:pPr>
    </w:p>
    <w:p w:rsidR="00A2066B" w:rsidRPr="00A2066B" w:rsidRDefault="00A2066B" w:rsidP="00844225">
      <w:pPr>
        <w:pStyle w:val="Heading4"/>
      </w:pPr>
      <w:r w:rsidRPr="00A2066B">
        <w:t>The OSBA</w:t>
      </w:r>
    </w:p>
    <w:p w:rsidR="00A2066B" w:rsidRPr="00A2066B" w:rsidRDefault="00A2066B" w:rsidP="00844225">
      <w:pPr>
        <w:widowControl/>
        <w:spacing w:line="360" w:lineRule="auto"/>
        <w:rPr>
          <w:sz w:val="26"/>
          <w:szCs w:val="26"/>
        </w:rPr>
      </w:pPr>
    </w:p>
    <w:p w:rsidR="00A2066B" w:rsidRDefault="002567EB" w:rsidP="00844225">
      <w:pPr>
        <w:widowControl/>
        <w:spacing w:line="360" w:lineRule="auto"/>
        <w:ind w:firstLine="1440"/>
        <w:rPr>
          <w:sz w:val="26"/>
          <w:szCs w:val="26"/>
        </w:rPr>
      </w:pPr>
      <w:r>
        <w:rPr>
          <w:sz w:val="26"/>
          <w:szCs w:val="26"/>
        </w:rPr>
        <w:t>Similar to the OCA, the OSBA</w:t>
      </w:r>
      <w:r w:rsidR="001A5BA1">
        <w:rPr>
          <w:sz w:val="26"/>
          <w:szCs w:val="26"/>
        </w:rPr>
        <w:t>’</w:t>
      </w:r>
      <w:r>
        <w:rPr>
          <w:sz w:val="26"/>
          <w:szCs w:val="26"/>
        </w:rPr>
        <w:t>s concurrence with Peoples Gas</w:t>
      </w:r>
      <w:r w:rsidR="001A5BA1">
        <w:rPr>
          <w:sz w:val="26"/>
          <w:szCs w:val="26"/>
        </w:rPr>
        <w:t>’</w:t>
      </w:r>
      <w:r>
        <w:rPr>
          <w:sz w:val="26"/>
          <w:szCs w:val="26"/>
        </w:rPr>
        <w:t xml:space="preserve"> proposal is in conformity with its</w:t>
      </w:r>
      <w:r w:rsidR="00110725">
        <w:rPr>
          <w:sz w:val="26"/>
          <w:szCs w:val="26"/>
        </w:rPr>
        <w:t xml:space="preserve"> assertion that since producers benefit from their connections to the Company</w:t>
      </w:r>
      <w:r w:rsidR="001A5BA1">
        <w:rPr>
          <w:sz w:val="26"/>
          <w:szCs w:val="26"/>
        </w:rPr>
        <w:t>’</w:t>
      </w:r>
      <w:r w:rsidR="00110725">
        <w:rPr>
          <w:sz w:val="26"/>
          <w:szCs w:val="26"/>
        </w:rPr>
        <w:t>s system, they should pay their fair share of UFG costs and help to mitigate increases in Peoples Gas</w:t>
      </w:r>
      <w:r w:rsidR="001A5BA1">
        <w:rPr>
          <w:sz w:val="26"/>
          <w:szCs w:val="26"/>
        </w:rPr>
        <w:t>’</w:t>
      </w:r>
      <w:r w:rsidR="00110725">
        <w:rPr>
          <w:sz w:val="26"/>
          <w:szCs w:val="26"/>
        </w:rPr>
        <w:t xml:space="preserve"> end use retainage rate.</w:t>
      </w:r>
      <w:r w:rsidR="00445DBB">
        <w:rPr>
          <w:sz w:val="26"/>
          <w:szCs w:val="26"/>
        </w:rPr>
        <w:t xml:space="preserve">  </w:t>
      </w:r>
      <w:r w:rsidR="00457B9F">
        <w:rPr>
          <w:sz w:val="26"/>
          <w:szCs w:val="26"/>
        </w:rPr>
        <w:t>The OSBA further echoed</w:t>
      </w:r>
      <w:r w:rsidR="00110725">
        <w:rPr>
          <w:sz w:val="26"/>
          <w:szCs w:val="26"/>
        </w:rPr>
        <w:t xml:space="preserve"> the Company</w:t>
      </w:r>
      <w:r w:rsidR="001A5BA1">
        <w:rPr>
          <w:sz w:val="26"/>
          <w:szCs w:val="26"/>
        </w:rPr>
        <w:t>’</w:t>
      </w:r>
      <w:r w:rsidR="00110725">
        <w:rPr>
          <w:sz w:val="26"/>
          <w:szCs w:val="26"/>
        </w:rPr>
        <w:t>s assertion that charging producers a retainage rate is not at all uncommon or unreasonable, citing to the Company</w:t>
      </w:r>
      <w:r w:rsidR="001A5BA1">
        <w:rPr>
          <w:sz w:val="26"/>
          <w:szCs w:val="26"/>
        </w:rPr>
        <w:t>’</w:t>
      </w:r>
      <w:r w:rsidR="00110725">
        <w:rPr>
          <w:sz w:val="26"/>
          <w:szCs w:val="26"/>
        </w:rPr>
        <w:t xml:space="preserve">s </w:t>
      </w:r>
      <w:r w:rsidR="00445DBB">
        <w:rPr>
          <w:sz w:val="26"/>
          <w:szCs w:val="26"/>
        </w:rPr>
        <w:t>statements that Peoples Gas may be one of the few, if only, gatherers tha</w:t>
      </w:r>
      <w:r w:rsidR="00940D62">
        <w:rPr>
          <w:sz w:val="26"/>
          <w:szCs w:val="26"/>
        </w:rPr>
        <w:t>t does n</w:t>
      </w:r>
      <w:r w:rsidR="00457B9F">
        <w:rPr>
          <w:sz w:val="26"/>
          <w:szCs w:val="26"/>
        </w:rPr>
        <w:t xml:space="preserve">ot.  Therefore, the OSBA </w:t>
      </w:r>
      <w:r w:rsidR="00B947B7">
        <w:rPr>
          <w:sz w:val="26"/>
          <w:szCs w:val="26"/>
        </w:rPr>
        <w:t>submitted</w:t>
      </w:r>
      <w:r w:rsidR="00940D62">
        <w:rPr>
          <w:sz w:val="26"/>
          <w:szCs w:val="26"/>
        </w:rPr>
        <w:t xml:space="preserve"> that the Commission should approve Peoples Gas</w:t>
      </w:r>
      <w:r w:rsidR="001A5BA1">
        <w:rPr>
          <w:sz w:val="26"/>
          <w:szCs w:val="26"/>
        </w:rPr>
        <w:t>’</w:t>
      </w:r>
      <w:r w:rsidR="00940D62">
        <w:rPr>
          <w:sz w:val="26"/>
          <w:szCs w:val="26"/>
        </w:rPr>
        <w:t xml:space="preserve"> proposal to assess a producer retainage charge.  OSBA M.B. at 3-4.</w:t>
      </w:r>
    </w:p>
    <w:p w:rsidR="00445DBB" w:rsidRDefault="00445DBB" w:rsidP="00844225">
      <w:pPr>
        <w:widowControl/>
        <w:spacing w:line="360" w:lineRule="auto"/>
        <w:ind w:firstLine="1440"/>
        <w:rPr>
          <w:sz w:val="26"/>
          <w:szCs w:val="26"/>
        </w:rPr>
      </w:pPr>
    </w:p>
    <w:p w:rsidR="00445DBB" w:rsidRPr="00A2066B" w:rsidRDefault="00457B9F" w:rsidP="00844225">
      <w:pPr>
        <w:widowControl/>
        <w:spacing w:line="360" w:lineRule="auto"/>
        <w:ind w:firstLine="1440"/>
        <w:rPr>
          <w:sz w:val="26"/>
          <w:szCs w:val="26"/>
        </w:rPr>
      </w:pPr>
      <w:r>
        <w:rPr>
          <w:sz w:val="26"/>
          <w:szCs w:val="26"/>
        </w:rPr>
        <w:t>The OSBA noted</w:t>
      </w:r>
      <w:r w:rsidR="008D794F">
        <w:rPr>
          <w:sz w:val="26"/>
          <w:szCs w:val="26"/>
        </w:rPr>
        <w:t>, Peoples Gas</w:t>
      </w:r>
      <w:r w:rsidR="001A5BA1">
        <w:rPr>
          <w:sz w:val="26"/>
          <w:szCs w:val="26"/>
        </w:rPr>
        <w:t>’</w:t>
      </w:r>
      <w:r w:rsidR="008D794F">
        <w:rPr>
          <w:sz w:val="26"/>
          <w:szCs w:val="26"/>
        </w:rPr>
        <w:t xml:space="preserve"> current retainage rate is 5.4%, and in lieu of proposing an increase in this proceeding, has proposed to implement the producers</w:t>
      </w:r>
      <w:r w:rsidR="001A5BA1">
        <w:rPr>
          <w:sz w:val="26"/>
          <w:szCs w:val="26"/>
        </w:rPr>
        <w:t>’</w:t>
      </w:r>
      <w:r w:rsidR="008D794F">
        <w:rPr>
          <w:sz w:val="26"/>
          <w:szCs w:val="26"/>
        </w:rPr>
        <w:t xml:space="preserve"> </w:t>
      </w:r>
      <w:r w:rsidR="008D794F">
        <w:rPr>
          <w:sz w:val="26"/>
          <w:szCs w:val="26"/>
        </w:rPr>
        <w:lastRenderedPageBreak/>
        <w:t xml:space="preserve">retainage rate of 2.9%.  OSBA St. No. 2-R at 2-3.  If the producer retainage charge is not approved by </w:t>
      </w:r>
      <w:r>
        <w:rPr>
          <w:sz w:val="26"/>
          <w:szCs w:val="26"/>
        </w:rPr>
        <w:t>the Commission, the OSBA asserted</w:t>
      </w:r>
      <w:r w:rsidR="008D794F">
        <w:rPr>
          <w:sz w:val="26"/>
          <w:szCs w:val="26"/>
        </w:rPr>
        <w:t xml:space="preserve"> </w:t>
      </w:r>
      <w:r w:rsidR="008D794F" w:rsidRPr="006D15C4">
        <w:rPr>
          <w:sz w:val="26"/>
          <w:szCs w:val="26"/>
        </w:rPr>
        <w:t>the Commission should increase the retainage charge</w:t>
      </w:r>
      <w:r w:rsidR="008D794F">
        <w:rPr>
          <w:sz w:val="26"/>
          <w:szCs w:val="26"/>
        </w:rPr>
        <w:t xml:space="preserve"> proposed by Peoples Gas to 10.2</w:t>
      </w:r>
      <w:r w:rsidR="008D794F" w:rsidRPr="006D15C4">
        <w:rPr>
          <w:sz w:val="26"/>
          <w:szCs w:val="26"/>
        </w:rPr>
        <w:t>%.</w:t>
      </w:r>
      <w:r w:rsidR="008D794F">
        <w:rPr>
          <w:rStyle w:val="FootnoteReference"/>
          <w:sz w:val="26"/>
          <w:szCs w:val="26"/>
        </w:rPr>
        <w:footnoteReference w:id="19"/>
      </w:r>
      <w:r w:rsidR="008D794F">
        <w:rPr>
          <w:sz w:val="26"/>
          <w:szCs w:val="26"/>
        </w:rPr>
        <w:t xml:space="preserve">  </w:t>
      </w:r>
    </w:p>
    <w:p w:rsidR="00A2066B" w:rsidRPr="00A2066B" w:rsidRDefault="00A2066B" w:rsidP="00844225">
      <w:pPr>
        <w:widowControl/>
        <w:spacing w:line="360" w:lineRule="auto"/>
        <w:rPr>
          <w:sz w:val="26"/>
          <w:szCs w:val="26"/>
        </w:rPr>
      </w:pPr>
    </w:p>
    <w:p w:rsidR="00560EA2" w:rsidRPr="00A2066B" w:rsidRDefault="00560EA2" w:rsidP="00686133">
      <w:pPr>
        <w:pStyle w:val="Heading4"/>
        <w:keepNext/>
        <w:keepLines/>
      </w:pPr>
      <w:r w:rsidRPr="00A2066B">
        <w:t>PIOGA</w:t>
      </w:r>
      <w:r w:rsidR="001A5BA1">
        <w:t>’</w:t>
      </w:r>
      <w:r w:rsidRPr="00A2066B">
        <w:t>s Opposition to the Producer Retainage Charge</w:t>
      </w:r>
    </w:p>
    <w:p w:rsidR="00773B1E" w:rsidRPr="00A2066B" w:rsidRDefault="00773B1E" w:rsidP="00686133">
      <w:pPr>
        <w:keepNext/>
        <w:keepLines/>
        <w:widowControl/>
        <w:tabs>
          <w:tab w:val="left" w:pos="1445"/>
          <w:tab w:val="left" w:pos="7920"/>
        </w:tabs>
        <w:autoSpaceDE w:val="0"/>
        <w:autoSpaceDN w:val="0"/>
        <w:adjustRightInd w:val="0"/>
        <w:spacing w:line="360" w:lineRule="auto"/>
        <w:rPr>
          <w:sz w:val="26"/>
          <w:szCs w:val="26"/>
        </w:rPr>
      </w:pPr>
    </w:p>
    <w:p w:rsidR="00773B1E" w:rsidRDefault="00617197" w:rsidP="00844225">
      <w:pPr>
        <w:widowControl/>
        <w:tabs>
          <w:tab w:val="left" w:pos="1445"/>
          <w:tab w:val="left" w:pos="7920"/>
        </w:tabs>
        <w:autoSpaceDE w:val="0"/>
        <w:autoSpaceDN w:val="0"/>
        <w:adjustRightInd w:val="0"/>
        <w:spacing w:line="360" w:lineRule="auto"/>
        <w:ind w:firstLine="1440"/>
        <w:rPr>
          <w:sz w:val="26"/>
          <w:szCs w:val="26"/>
        </w:rPr>
      </w:pPr>
      <w:r>
        <w:rPr>
          <w:sz w:val="26"/>
          <w:szCs w:val="26"/>
        </w:rPr>
        <w:t xml:space="preserve">As described above, </w:t>
      </w:r>
      <w:r w:rsidR="003A3603">
        <w:rPr>
          <w:sz w:val="26"/>
          <w:szCs w:val="26"/>
        </w:rPr>
        <w:t>the OCA and the OSBA</w:t>
      </w:r>
      <w:r w:rsidR="00A514D8">
        <w:rPr>
          <w:sz w:val="26"/>
          <w:szCs w:val="26"/>
        </w:rPr>
        <w:t xml:space="preserve"> both</w:t>
      </w:r>
      <w:r w:rsidR="003A3603">
        <w:rPr>
          <w:sz w:val="26"/>
          <w:szCs w:val="26"/>
        </w:rPr>
        <w:t xml:space="preserve"> support</w:t>
      </w:r>
      <w:r>
        <w:rPr>
          <w:sz w:val="26"/>
          <w:szCs w:val="26"/>
        </w:rPr>
        <w:t xml:space="preserve"> Peoples Gas</w:t>
      </w:r>
      <w:r w:rsidR="001A5BA1">
        <w:rPr>
          <w:sz w:val="26"/>
          <w:szCs w:val="26"/>
        </w:rPr>
        <w:t>’</w:t>
      </w:r>
      <w:r>
        <w:rPr>
          <w:sz w:val="26"/>
          <w:szCs w:val="26"/>
        </w:rPr>
        <w:t xml:space="preserve"> proposed producer retainage charge to recover a portion of gathering system UFG from conventional gas producers.  PIOGA was the only party who submitted a Main Brief in opposition to the Company</w:t>
      </w:r>
      <w:r w:rsidR="001A5BA1">
        <w:rPr>
          <w:sz w:val="26"/>
          <w:szCs w:val="26"/>
        </w:rPr>
        <w:t>’</w:t>
      </w:r>
      <w:r>
        <w:rPr>
          <w:sz w:val="26"/>
          <w:szCs w:val="26"/>
        </w:rPr>
        <w:t>s proposal.</w:t>
      </w:r>
      <w:r w:rsidR="003A3603">
        <w:rPr>
          <w:sz w:val="26"/>
          <w:szCs w:val="26"/>
        </w:rPr>
        <w:t xml:space="preserve">  </w:t>
      </w:r>
      <w:r w:rsidR="00582BE1">
        <w:rPr>
          <w:sz w:val="26"/>
          <w:szCs w:val="26"/>
        </w:rPr>
        <w:t>I</w:t>
      </w:r>
      <w:r w:rsidR="00457B9F">
        <w:rPr>
          <w:sz w:val="26"/>
          <w:szCs w:val="26"/>
        </w:rPr>
        <w:t>n its Main Brief, PIOGA presented</w:t>
      </w:r>
      <w:r w:rsidR="00582BE1">
        <w:rPr>
          <w:sz w:val="26"/>
          <w:szCs w:val="26"/>
        </w:rPr>
        <w:t xml:space="preserve"> several arguments in its effort to exempt conventional gas producers from paying anything toward UFG on the gathering system.  PIOGA M.B. at 4-15.  </w:t>
      </w:r>
      <w:r w:rsidR="00103EF6">
        <w:rPr>
          <w:sz w:val="26"/>
          <w:szCs w:val="26"/>
        </w:rPr>
        <w:t>Coupled with PIOGA</w:t>
      </w:r>
      <w:r w:rsidR="001A5BA1">
        <w:rPr>
          <w:sz w:val="26"/>
          <w:szCs w:val="26"/>
        </w:rPr>
        <w:t>’</w:t>
      </w:r>
      <w:r w:rsidR="00103EF6">
        <w:rPr>
          <w:sz w:val="26"/>
          <w:szCs w:val="26"/>
        </w:rPr>
        <w:t>s opposition to the Company</w:t>
      </w:r>
      <w:r w:rsidR="001A5BA1">
        <w:rPr>
          <w:sz w:val="26"/>
          <w:szCs w:val="26"/>
        </w:rPr>
        <w:t>’</w:t>
      </w:r>
      <w:r w:rsidR="00103EF6">
        <w:rPr>
          <w:sz w:val="26"/>
          <w:szCs w:val="26"/>
        </w:rPr>
        <w:t>s proposed producer retainage charge is</w:t>
      </w:r>
      <w:r w:rsidR="005623A3">
        <w:rPr>
          <w:sz w:val="26"/>
          <w:szCs w:val="26"/>
        </w:rPr>
        <w:t>, what Peoples Gas characterizes as</w:t>
      </w:r>
      <w:r w:rsidR="00BC2E2D">
        <w:rPr>
          <w:sz w:val="26"/>
          <w:szCs w:val="26"/>
        </w:rPr>
        <w:t>,</w:t>
      </w:r>
      <w:r w:rsidR="005623A3">
        <w:rPr>
          <w:sz w:val="26"/>
          <w:szCs w:val="26"/>
        </w:rPr>
        <w:t xml:space="preserve"> PIOGA</w:t>
      </w:r>
      <w:r w:rsidR="001A5BA1">
        <w:rPr>
          <w:sz w:val="26"/>
          <w:szCs w:val="26"/>
        </w:rPr>
        <w:t>’</w:t>
      </w:r>
      <w:r w:rsidR="005623A3">
        <w:rPr>
          <w:sz w:val="26"/>
          <w:szCs w:val="26"/>
        </w:rPr>
        <w:t>s acknowledgement that someone other than the Company should be responsible to pay for UFG on the gathering pipeline</w:t>
      </w:r>
      <w:r w:rsidR="00446C20">
        <w:rPr>
          <w:sz w:val="26"/>
          <w:szCs w:val="26"/>
        </w:rPr>
        <w:t>,</w:t>
      </w:r>
      <w:r w:rsidR="005623A3">
        <w:rPr>
          <w:rStyle w:val="FootnoteReference"/>
          <w:sz w:val="26"/>
          <w:szCs w:val="26"/>
        </w:rPr>
        <w:footnoteReference w:id="20"/>
      </w:r>
      <w:r w:rsidR="005623A3">
        <w:rPr>
          <w:sz w:val="26"/>
          <w:szCs w:val="26"/>
        </w:rPr>
        <w:t xml:space="preserve"> and</w:t>
      </w:r>
      <w:r w:rsidR="00103EF6">
        <w:rPr>
          <w:sz w:val="26"/>
          <w:szCs w:val="26"/>
        </w:rPr>
        <w:t xml:space="preserve"> its submission of alternate solutions to the issue: (1) a collaborative between the Company and conventional gas producers; and (2) the Company</w:t>
      </w:r>
      <w:r w:rsidR="001A5BA1">
        <w:rPr>
          <w:sz w:val="26"/>
          <w:szCs w:val="26"/>
        </w:rPr>
        <w:t>’</w:t>
      </w:r>
      <w:r w:rsidR="00103EF6">
        <w:rPr>
          <w:sz w:val="26"/>
          <w:szCs w:val="26"/>
        </w:rPr>
        <w:t>s installation of custody exchange meters on the gathering system.  PIOGA St. No. 1 at 16; PIOGA St. No. 1-SR at 9.</w:t>
      </w:r>
    </w:p>
    <w:p w:rsidR="004D6E13" w:rsidRDefault="004D6E13" w:rsidP="00844225">
      <w:pPr>
        <w:widowControl/>
        <w:tabs>
          <w:tab w:val="left" w:pos="1445"/>
          <w:tab w:val="left" w:pos="7920"/>
        </w:tabs>
        <w:autoSpaceDE w:val="0"/>
        <w:autoSpaceDN w:val="0"/>
        <w:adjustRightInd w:val="0"/>
        <w:spacing w:line="360" w:lineRule="auto"/>
        <w:ind w:firstLine="1440"/>
        <w:rPr>
          <w:sz w:val="26"/>
          <w:szCs w:val="26"/>
        </w:rPr>
      </w:pPr>
    </w:p>
    <w:p w:rsidR="004D6E13" w:rsidRDefault="004D6E13" w:rsidP="00FE695C">
      <w:pPr>
        <w:keepNext/>
        <w:keepLines/>
        <w:widowControl/>
        <w:tabs>
          <w:tab w:val="left" w:pos="1445"/>
          <w:tab w:val="left" w:pos="4410"/>
          <w:tab w:val="left" w:pos="7920"/>
        </w:tabs>
        <w:autoSpaceDE w:val="0"/>
        <w:autoSpaceDN w:val="0"/>
        <w:adjustRightInd w:val="0"/>
        <w:spacing w:line="360" w:lineRule="auto"/>
        <w:ind w:firstLine="1440"/>
        <w:rPr>
          <w:sz w:val="26"/>
          <w:szCs w:val="26"/>
        </w:rPr>
      </w:pPr>
      <w:r>
        <w:rPr>
          <w:sz w:val="26"/>
          <w:szCs w:val="26"/>
        </w:rPr>
        <w:lastRenderedPageBreak/>
        <w:t xml:space="preserve">Initially, PIOGA posed two primary concerns, followed by its assertion of why it believes Peoples Gas made its producer retainage rate proposal in this PGC proceeding.  PIOGA witness Hillebrand argues, in part, that: </w:t>
      </w:r>
      <w:r w:rsidR="00955054">
        <w:rPr>
          <w:sz w:val="26"/>
          <w:szCs w:val="26"/>
        </w:rPr>
        <w:t>(</w:t>
      </w:r>
      <w:r>
        <w:rPr>
          <w:sz w:val="26"/>
          <w:szCs w:val="26"/>
        </w:rPr>
        <w:t>1) the Company</w:t>
      </w:r>
      <w:r w:rsidR="001A5BA1">
        <w:rPr>
          <w:sz w:val="26"/>
          <w:szCs w:val="26"/>
        </w:rPr>
        <w:t>’</w:t>
      </w:r>
      <w:r>
        <w:rPr>
          <w:sz w:val="26"/>
          <w:szCs w:val="26"/>
        </w:rPr>
        <w:t>s testimony in support of its retainage proposal (which suggests that the retainage rate would only apply to conventional gas volumes delivered into Peoples Gas</w:t>
      </w:r>
      <w:r w:rsidR="001A5BA1">
        <w:rPr>
          <w:sz w:val="26"/>
          <w:szCs w:val="26"/>
        </w:rPr>
        <w:t>’</w:t>
      </w:r>
      <w:r>
        <w:rPr>
          <w:sz w:val="26"/>
          <w:szCs w:val="26"/>
        </w:rPr>
        <w:t xml:space="preserve"> </w:t>
      </w:r>
      <w:r w:rsidR="00BB5B65">
        <w:rPr>
          <w:sz w:val="26"/>
          <w:szCs w:val="26"/>
        </w:rPr>
        <w:t>gathering system) is inconsistent with the Company</w:t>
      </w:r>
      <w:r w:rsidR="001A5BA1">
        <w:rPr>
          <w:sz w:val="26"/>
          <w:szCs w:val="26"/>
        </w:rPr>
        <w:t>’</w:t>
      </w:r>
      <w:r w:rsidR="00BB5B65">
        <w:rPr>
          <w:sz w:val="26"/>
          <w:szCs w:val="26"/>
        </w:rPr>
        <w:t xml:space="preserve">s proposed tariff language (which specifies that the producer retainage rate would apply to </w:t>
      </w:r>
      <w:r w:rsidR="00BB5B65" w:rsidRPr="00AD57D9">
        <w:rPr>
          <w:i/>
          <w:sz w:val="26"/>
          <w:szCs w:val="26"/>
        </w:rPr>
        <w:t>all</w:t>
      </w:r>
      <w:r w:rsidR="00BB5B65">
        <w:rPr>
          <w:sz w:val="26"/>
          <w:szCs w:val="26"/>
        </w:rPr>
        <w:t xml:space="preserve"> delivered conventional gas volumes); and </w:t>
      </w:r>
      <w:r w:rsidR="00955054">
        <w:rPr>
          <w:sz w:val="26"/>
          <w:szCs w:val="26"/>
        </w:rPr>
        <w:t>(</w:t>
      </w:r>
      <w:r w:rsidR="00BB5B65">
        <w:rPr>
          <w:sz w:val="26"/>
          <w:szCs w:val="26"/>
        </w:rPr>
        <w:t xml:space="preserve">2) production </w:t>
      </w:r>
      <w:r w:rsidR="00EE3876">
        <w:rPr>
          <w:sz w:val="26"/>
          <w:szCs w:val="26"/>
        </w:rPr>
        <w:t>from conventional wells is not the cause of the Company</w:t>
      </w:r>
      <w:r w:rsidR="001A5BA1">
        <w:rPr>
          <w:sz w:val="26"/>
          <w:szCs w:val="26"/>
        </w:rPr>
        <w:t>’</w:t>
      </w:r>
      <w:r w:rsidR="00EE3876">
        <w:rPr>
          <w:sz w:val="26"/>
          <w:szCs w:val="26"/>
        </w:rPr>
        <w:t>s high gathering system losses and, therefore, the cost associated with such losses should</w:t>
      </w:r>
      <w:r w:rsidR="00437066">
        <w:rPr>
          <w:sz w:val="26"/>
          <w:szCs w:val="26"/>
        </w:rPr>
        <w:t xml:space="preserve"> not</w:t>
      </w:r>
      <w:r w:rsidR="00EE3876">
        <w:rPr>
          <w:sz w:val="26"/>
          <w:szCs w:val="26"/>
        </w:rPr>
        <w:t xml:space="preserve"> be shifted to producers.  PIOGA St. No. 1 at 4-5.  </w:t>
      </w:r>
      <w:r w:rsidR="00145689">
        <w:rPr>
          <w:sz w:val="26"/>
          <w:szCs w:val="26"/>
        </w:rPr>
        <w:t>Following its two primary concerns</w:t>
      </w:r>
      <w:r w:rsidR="00446C20">
        <w:rPr>
          <w:sz w:val="26"/>
          <w:szCs w:val="26"/>
        </w:rPr>
        <w:t>,</w:t>
      </w:r>
      <w:r w:rsidR="00145689">
        <w:rPr>
          <w:sz w:val="26"/>
          <w:szCs w:val="26"/>
        </w:rPr>
        <w:t xml:space="preserve"> PIOGA asserted that Peoples Gas suddenly proposed in this PGC proceeding to change its historical integrated cost allocation methodology because of its concern that, without the producers</w:t>
      </w:r>
      <w:r w:rsidR="001A5BA1">
        <w:rPr>
          <w:sz w:val="26"/>
          <w:szCs w:val="26"/>
        </w:rPr>
        <w:t>’</w:t>
      </w:r>
      <w:r w:rsidR="00145689">
        <w:rPr>
          <w:sz w:val="26"/>
          <w:szCs w:val="26"/>
        </w:rPr>
        <w:t xml:space="preserve"> contribution, the UFG recovery from Peoples Gas</w:t>
      </w:r>
      <w:r w:rsidR="001A5BA1">
        <w:rPr>
          <w:sz w:val="26"/>
          <w:szCs w:val="26"/>
        </w:rPr>
        <w:t>’</w:t>
      </w:r>
      <w:r w:rsidR="00145689">
        <w:rPr>
          <w:sz w:val="26"/>
          <w:szCs w:val="26"/>
        </w:rPr>
        <w:t xml:space="preserve"> sales and transportation customers would be more than the representatives of the customers would accept based on the Statement of </w:t>
      </w:r>
      <w:r w:rsidR="0051609B">
        <w:rPr>
          <w:sz w:val="26"/>
          <w:szCs w:val="26"/>
        </w:rPr>
        <w:t xml:space="preserve">the Pennsylvania Public Utility Commission’s </w:t>
      </w:r>
      <w:r w:rsidR="00145689">
        <w:rPr>
          <w:sz w:val="26"/>
          <w:szCs w:val="26"/>
        </w:rPr>
        <w:t>Vice Chairman Andrew G. Place</w:t>
      </w:r>
      <w:r w:rsidR="00913D1B">
        <w:rPr>
          <w:sz w:val="26"/>
          <w:szCs w:val="26"/>
        </w:rPr>
        <w:t xml:space="preserve"> in last year</w:t>
      </w:r>
      <w:r w:rsidR="001A5BA1">
        <w:rPr>
          <w:sz w:val="26"/>
          <w:szCs w:val="26"/>
        </w:rPr>
        <w:t>’</w:t>
      </w:r>
      <w:r w:rsidR="00913D1B">
        <w:rPr>
          <w:sz w:val="26"/>
          <w:szCs w:val="26"/>
        </w:rPr>
        <w:t>s PGC proceeding, indicating that Peoples Gas should face potential UFG cost disallowance in this year</w:t>
      </w:r>
      <w:r w:rsidR="001A5BA1">
        <w:rPr>
          <w:sz w:val="26"/>
          <w:szCs w:val="26"/>
        </w:rPr>
        <w:t>’</w:t>
      </w:r>
      <w:r w:rsidR="00924482">
        <w:rPr>
          <w:sz w:val="26"/>
          <w:szCs w:val="26"/>
        </w:rPr>
        <w:t>s proceeding if its UFG mitigation p</w:t>
      </w:r>
      <w:r w:rsidR="00913D1B">
        <w:rPr>
          <w:sz w:val="26"/>
          <w:szCs w:val="26"/>
        </w:rPr>
        <w:t xml:space="preserve">lan failed to show positive results.  </w:t>
      </w:r>
      <w:r w:rsidR="00924482">
        <w:rPr>
          <w:sz w:val="26"/>
          <w:szCs w:val="26"/>
        </w:rPr>
        <w:t>PIOGA St. No. 1 at</w:t>
      </w:r>
      <w:r w:rsidR="00955054">
        <w:rPr>
          <w:sz w:val="26"/>
          <w:szCs w:val="26"/>
        </w:rPr>
        <w:t> </w:t>
      </w:r>
      <w:r w:rsidR="00924482">
        <w:rPr>
          <w:sz w:val="26"/>
          <w:szCs w:val="26"/>
        </w:rPr>
        <w:t xml:space="preserve">15-16.  </w:t>
      </w:r>
    </w:p>
    <w:p w:rsidR="00924482" w:rsidRDefault="00924482" w:rsidP="00844225">
      <w:pPr>
        <w:widowControl/>
        <w:tabs>
          <w:tab w:val="left" w:pos="1445"/>
          <w:tab w:val="left" w:pos="4410"/>
          <w:tab w:val="left" w:pos="7920"/>
        </w:tabs>
        <w:autoSpaceDE w:val="0"/>
        <w:autoSpaceDN w:val="0"/>
        <w:adjustRightInd w:val="0"/>
        <w:spacing w:line="360" w:lineRule="auto"/>
        <w:ind w:firstLine="1440"/>
        <w:rPr>
          <w:sz w:val="26"/>
          <w:szCs w:val="26"/>
        </w:rPr>
      </w:pPr>
    </w:p>
    <w:p w:rsidR="00924482" w:rsidRPr="0096477E" w:rsidRDefault="00CB0535" w:rsidP="00B42D0F">
      <w:pPr>
        <w:pStyle w:val="Heading5"/>
      </w:pPr>
      <w:r w:rsidRPr="0096477E">
        <w:t>PIOGA argues that application of the proposed Rate GS tariff to producers</w:t>
      </w:r>
      <w:r w:rsidR="001A5BA1">
        <w:t>’</w:t>
      </w:r>
      <w:r w:rsidRPr="0096477E">
        <w:t xml:space="preserve"> deliveries of Pennsylvania natural supplies from conventional wells into Peoples G</w:t>
      </w:r>
      <w:r w:rsidR="006B4BB3">
        <w:t>as</w:t>
      </w:r>
      <w:r w:rsidR="001A5BA1">
        <w:t>’</w:t>
      </w:r>
      <w:r w:rsidR="006B4BB3">
        <w:t xml:space="preserve"> distribution</w:t>
      </w:r>
      <w:r w:rsidRPr="0096477E">
        <w:t xml:space="preserve"> pipelines is not just and reasonable.</w:t>
      </w:r>
    </w:p>
    <w:p w:rsidR="00CB0535" w:rsidRDefault="00CB0535" w:rsidP="00844225">
      <w:pPr>
        <w:widowControl/>
        <w:tabs>
          <w:tab w:val="left" w:pos="1445"/>
          <w:tab w:val="left" w:pos="4410"/>
          <w:tab w:val="left" w:pos="7920"/>
        </w:tabs>
        <w:autoSpaceDE w:val="0"/>
        <w:autoSpaceDN w:val="0"/>
        <w:adjustRightInd w:val="0"/>
        <w:spacing w:line="360" w:lineRule="auto"/>
        <w:ind w:firstLine="1440"/>
        <w:rPr>
          <w:sz w:val="26"/>
          <w:szCs w:val="26"/>
        </w:rPr>
      </w:pPr>
    </w:p>
    <w:p w:rsidR="00832159" w:rsidRDefault="00457B9F" w:rsidP="00844225">
      <w:pPr>
        <w:widowControl/>
        <w:tabs>
          <w:tab w:val="left" w:pos="1445"/>
          <w:tab w:val="left" w:pos="4410"/>
          <w:tab w:val="left" w:pos="7920"/>
        </w:tabs>
        <w:autoSpaceDE w:val="0"/>
        <w:autoSpaceDN w:val="0"/>
        <w:adjustRightInd w:val="0"/>
        <w:spacing w:line="360" w:lineRule="auto"/>
        <w:ind w:firstLine="1440"/>
        <w:rPr>
          <w:sz w:val="26"/>
          <w:szCs w:val="26"/>
        </w:rPr>
      </w:pPr>
      <w:r>
        <w:rPr>
          <w:sz w:val="26"/>
          <w:szCs w:val="26"/>
        </w:rPr>
        <w:t>PIOGA challenged</w:t>
      </w:r>
      <w:r w:rsidR="006B4BB3">
        <w:rPr>
          <w:sz w:val="26"/>
          <w:szCs w:val="26"/>
        </w:rPr>
        <w:t xml:space="preserve"> the Company</w:t>
      </w:r>
      <w:r w:rsidR="001A5BA1">
        <w:rPr>
          <w:sz w:val="26"/>
          <w:szCs w:val="26"/>
        </w:rPr>
        <w:t>’</w:t>
      </w:r>
      <w:r w:rsidR="006B4BB3">
        <w:rPr>
          <w:sz w:val="26"/>
          <w:szCs w:val="26"/>
        </w:rPr>
        <w:t>s proposed producer retainage charge on the grounds that</w:t>
      </w:r>
      <w:r w:rsidR="00F32010">
        <w:rPr>
          <w:sz w:val="26"/>
          <w:szCs w:val="26"/>
        </w:rPr>
        <w:t>, according to PIOGA, the Company has provided differing descriptions of the proposed producer retainage charge in testimony and discovery compared to the notice sent to producers</w:t>
      </w:r>
      <w:r w:rsidR="00865F3D">
        <w:rPr>
          <w:sz w:val="26"/>
          <w:szCs w:val="26"/>
        </w:rPr>
        <w:t>,</w:t>
      </w:r>
      <w:r w:rsidR="00F32010">
        <w:rPr>
          <w:sz w:val="26"/>
          <w:szCs w:val="26"/>
        </w:rPr>
        <w:t xml:space="preserve"> and that</w:t>
      </w:r>
      <w:r w:rsidR="006B4BB3">
        <w:rPr>
          <w:sz w:val="26"/>
          <w:szCs w:val="26"/>
        </w:rPr>
        <w:t xml:space="preserve"> it will apply to all production from conventional gas </w:t>
      </w:r>
    </w:p>
    <w:p w:rsidR="006B4BB3" w:rsidRDefault="006B4BB3" w:rsidP="00832159">
      <w:pPr>
        <w:keepNext/>
        <w:keepLines/>
        <w:widowControl/>
        <w:tabs>
          <w:tab w:val="left" w:pos="1445"/>
          <w:tab w:val="left" w:pos="4410"/>
          <w:tab w:val="left" w:pos="7920"/>
        </w:tabs>
        <w:autoSpaceDE w:val="0"/>
        <w:autoSpaceDN w:val="0"/>
        <w:adjustRightInd w:val="0"/>
        <w:spacing w:line="360" w:lineRule="auto"/>
        <w:rPr>
          <w:sz w:val="26"/>
          <w:szCs w:val="26"/>
        </w:rPr>
      </w:pPr>
      <w:r>
        <w:rPr>
          <w:sz w:val="26"/>
          <w:szCs w:val="26"/>
        </w:rPr>
        <w:lastRenderedPageBreak/>
        <w:t>producers delivered into Peoples Gas</w:t>
      </w:r>
      <w:r w:rsidR="001A5BA1">
        <w:rPr>
          <w:sz w:val="26"/>
          <w:szCs w:val="26"/>
        </w:rPr>
        <w:t>’</w:t>
      </w:r>
      <w:r>
        <w:rPr>
          <w:sz w:val="26"/>
          <w:szCs w:val="26"/>
        </w:rPr>
        <w:t xml:space="preserve"> system</w:t>
      </w:r>
      <w:r w:rsidR="005A689A">
        <w:rPr>
          <w:sz w:val="26"/>
          <w:szCs w:val="26"/>
        </w:rPr>
        <w:t>.</w:t>
      </w:r>
      <w:r>
        <w:rPr>
          <w:sz w:val="26"/>
          <w:szCs w:val="26"/>
        </w:rPr>
        <w:t xml:space="preserve">  PIOGA M.B. at 14-17</w:t>
      </w:r>
      <w:r w:rsidR="00F32010">
        <w:rPr>
          <w:sz w:val="26"/>
          <w:szCs w:val="26"/>
        </w:rPr>
        <w:t>; PIOGA St. No. 1 at</w:t>
      </w:r>
      <w:r w:rsidR="00B22221">
        <w:rPr>
          <w:sz w:val="26"/>
          <w:szCs w:val="26"/>
        </w:rPr>
        <w:t> </w:t>
      </w:r>
      <w:r w:rsidR="00F32010">
        <w:rPr>
          <w:sz w:val="26"/>
          <w:szCs w:val="26"/>
        </w:rPr>
        <w:t>5, 8</w:t>
      </w:r>
      <w:r>
        <w:rPr>
          <w:sz w:val="26"/>
          <w:szCs w:val="26"/>
        </w:rPr>
        <w:t>.  As support, PIOGA clai</w:t>
      </w:r>
      <w:r w:rsidR="00457B9F">
        <w:rPr>
          <w:sz w:val="26"/>
          <w:szCs w:val="26"/>
        </w:rPr>
        <w:t>med</w:t>
      </w:r>
      <w:r>
        <w:rPr>
          <w:sz w:val="26"/>
          <w:szCs w:val="26"/>
        </w:rPr>
        <w:t xml:space="preserve"> that the Company failed to provide evidence supporting the charge</w:t>
      </w:r>
      <w:r w:rsidR="001A5BA1">
        <w:rPr>
          <w:sz w:val="26"/>
          <w:szCs w:val="26"/>
        </w:rPr>
        <w:t>’</w:t>
      </w:r>
      <w:r>
        <w:rPr>
          <w:sz w:val="26"/>
          <w:szCs w:val="26"/>
        </w:rPr>
        <w:t>s application to production from those wells that is delivered directly into distribution lines</w:t>
      </w:r>
      <w:r w:rsidR="005A689A">
        <w:rPr>
          <w:sz w:val="26"/>
          <w:szCs w:val="26"/>
        </w:rPr>
        <w:t>.  PIOGA M.B. at 12-13.</w:t>
      </w:r>
    </w:p>
    <w:p w:rsidR="00865F3D" w:rsidRDefault="00865F3D" w:rsidP="00844225">
      <w:pPr>
        <w:widowControl/>
        <w:tabs>
          <w:tab w:val="left" w:pos="1445"/>
          <w:tab w:val="left" w:pos="4410"/>
          <w:tab w:val="left" w:pos="7920"/>
        </w:tabs>
        <w:autoSpaceDE w:val="0"/>
        <w:autoSpaceDN w:val="0"/>
        <w:adjustRightInd w:val="0"/>
        <w:spacing w:line="360" w:lineRule="auto"/>
        <w:ind w:firstLine="1440"/>
        <w:rPr>
          <w:sz w:val="26"/>
          <w:szCs w:val="26"/>
        </w:rPr>
      </w:pPr>
    </w:p>
    <w:p w:rsidR="00471E79" w:rsidRPr="00471E79" w:rsidRDefault="00865F3D" w:rsidP="00844225">
      <w:pPr>
        <w:widowControl/>
        <w:tabs>
          <w:tab w:val="left" w:pos="1445"/>
          <w:tab w:val="left" w:pos="4410"/>
          <w:tab w:val="left" w:pos="7920"/>
        </w:tabs>
        <w:autoSpaceDE w:val="0"/>
        <w:autoSpaceDN w:val="0"/>
        <w:adjustRightInd w:val="0"/>
        <w:spacing w:line="360" w:lineRule="auto"/>
        <w:ind w:firstLine="1440"/>
        <w:rPr>
          <w:sz w:val="26"/>
          <w:szCs w:val="26"/>
        </w:rPr>
      </w:pPr>
      <w:r>
        <w:rPr>
          <w:sz w:val="26"/>
          <w:szCs w:val="26"/>
        </w:rPr>
        <w:t>Peoples Gas asserted that it clarified the charge</w:t>
      </w:r>
      <w:r w:rsidR="001A5BA1">
        <w:rPr>
          <w:sz w:val="26"/>
          <w:szCs w:val="26"/>
        </w:rPr>
        <w:t>’</w:t>
      </w:r>
      <w:r>
        <w:rPr>
          <w:sz w:val="26"/>
          <w:szCs w:val="26"/>
        </w:rPr>
        <w:t>s application in its discovery responses and testimony in this proceeding.  Peoples Gas M.B. at 14.  According to Peoples Gas PIOGA conceded in it testimony that the Company made this clarification: it applies to all conventional production delivered to Company facilities.</w:t>
      </w:r>
      <w:r w:rsidR="008F3DE4">
        <w:rPr>
          <w:sz w:val="26"/>
          <w:szCs w:val="26"/>
        </w:rPr>
        <w:t xml:space="preserve">  PIOGA St. No. 1 at 5-7.  Moreover, the Company asserted it presented sufficient evidentiary support for its proposal.  As explained by Company witness Petr</w:t>
      </w:r>
      <w:r w:rsidR="00B947B7">
        <w:rPr>
          <w:sz w:val="26"/>
          <w:szCs w:val="26"/>
        </w:rPr>
        <w:t>i</w:t>
      </w:r>
      <w:r w:rsidR="008F3DE4">
        <w:rPr>
          <w:sz w:val="26"/>
          <w:szCs w:val="26"/>
        </w:rPr>
        <w:t xml:space="preserve">chevich, </w:t>
      </w:r>
      <w:r w:rsidR="001A5BA1">
        <w:rPr>
          <w:sz w:val="26"/>
          <w:szCs w:val="26"/>
        </w:rPr>
        <w:t>“</w:t>
      </w:r>
      <w:r w:rsidR="008F3DE4">
        <w:rPr>
          <w:sz w:val="26"/>
          <w:szCs w:val="26"/>
        </w:rPr>
        <w:t>the Company</w:t>
      </w:r>
      <w:r w:rsidR="001A5BA1">
        <w:rPr>
          <w:sz w:val="26"/>
          <w:szCs w:val="26"/>
        </w:rPr>
        <w:t>’</w:t>
      </w:r>
      <w:r w:rsidR="008F3DE4">
        <w:rPr>
          <w:sz w:val="26"/>
          <w:szCs w:val="26"/>
        </w:rPr>
        <w:t xml:space="preserve">s intent was to model the charge after the Commission approved AGS tariff of the Equitable Division which specifically applies both gathering fees and retainage to production entering into </w:t>
      </w:r>
      <w:r w:rsidR="001A5BA1">
        <w:rPr>
          <w:sz w:val="26"/>
          <w:szCs w:val="26"/>
        </w:rPr>
        <w:t>‘</w:t>
      </w:r>
      <w:r w:rsidR="008F3DE4">
        <w:rPr>
          <w:sz w:val="26"/>
          <w:szCs w:val="26"/>
        </w:rPr>
        <w:t>distribution and gathering</w:t>
      </w:r>
      <w:r w:rsidR="001A5BA1">
        <w:rPr>
          <w:sz w:val="26"/>
          <w:szCs w:val="26"/>
        </w:rPr>
        <w:t>’</w:t>
      </w:r>
      <w:r w:rsidR="008F3DE4">
        <w:rPr>
          <w:sz w:val="26"/>
          <w:szCs w:val="26"/>
        </w:rPr>
        <w:t xml:space="preserve"> lines.</w:t>
      </w:r>
      <w:r w:rsidR="001A5BA1">
        <w:rPr>
          <w:sz w:val="26"/>
          <w:szCs w:val="26"/>
        </w:rPr>
        <w:t>”</w:t>
      </w:r>
      <w:r w:rsidR="008F3DE4">
        <w:rPr>
          <w:sz w:val="26"/>
          <w:szCs w:val="26"/>
        </w:rPr>
        <w:t xml:space="preserve">  Peoples Gas St. No. 1-R at 26.  </w:t>
      </w:r>
      <w:r w:rsidR="00471E79" w:rsidRPr="00471E79">
        <w:rPr>
          <w:sz w:val="26"/>
          <w:szCs w:val="26"/>
        </w:rPr>
        <w:t xml:space="preserve">Although, in its Main Brief, PIOGA disputed that there is </w:t>
      </w:r>
      <w:r w:rsidR="001A5BA1">
        <w:rPr>
          <w:sz w:val="26"/>
          <w:szCs w:val="26"/>
        </w:rPr>
        <w:t>“</w:t>
      </w:r>
      <w:r w:rsidR="00471E79" w:rsidRPr="00471E79">
        <w:rPr>
          <w:sz w:val="26"/>
          <w:szCs w:val="26"/>
        </w:rPr>
        <w:t>administrative ease of applying the same rate to both its Companies and not hav[ing] to introduce different rules depending on which company a well ties into,</w:t>
      </w:r>
      <w:r w:rsidR="001A5BA1">
        <w:rPr>
          <w:sz w:val="26"/>
          <w:szCs w:val="26"/>
        </w:rPr>
        <w:t>”</w:t>
      </w:r>
      <w:r w:rsidR="00471E79" w:rsidRPr="00471E79">
        <w:rPr>
          <w:sz w:val="26"/>
          <w:szCs w:val="26"/>
        </w:rPr>
        <w:t xml:space="preserve"> PIOGA never presented any evidence </w:t>
      </w:r>
      <w:r w:rsidR="00471E79">
        <w:rPr>
          <w:sz w:val="26"/>
          <w:szCs w:val="26"/>
        </w:rPr>
        <w:t>to refute the Company</w:t>
      </w:r>
      <w:r w:rsidR="001A5BA1">
        <w:rPr>
          <w:sz w:val="26"/>
          <w:szCs w:val="26"/>
        </w:rPr>
        <w:t>’</w:t>
      </w:r>
      <w:r w:rsidR="00471E79">
        <w:rPr>
          <w:sz w:val="26"/>
          <w:szCs w:val="26"/>
        </w:rPr>
        <w:t>s claim.  Peoples Gas Statement No. 1-R at 26; Peoples Gas R.B. at</w:t>
      </w:r>
      <w:r w:rsidR="003B3875">
        <w:rPr>
          <w:sz w:val="26"/>
          <w:szCs w:val="26"/>
        </w:rPr>
        <w:t xml:space="preserve"> 13.</w:t>
      </w:r>
    </w:p>
    <w:p w:rsidR="00865F3D" w:rsidRDefault="00865F3D" w:rsidP="00844225">
      <w:pPr>
        <w:widowControl/>
        <w:tabs>
          <w:tab w:val="left" w:pos="1445"/>
          <w:tab w:val="left" w:pos="4410"/>
          <w:tab w:val="left" w:pos="7920"/>
        </w:tabs>
        <w:autoSpaceDE w:val="0"/>
        <w:autoSpaceDN w:val="0"/>
        <w:adjustRightInd w:val="0"/>
        <w:spacing w:line="360" w:lineRule="auto"/>
        <w:ind w:firstLine="1440"/>
        <w:rPr>
          <w:sz w:val="26"/>
          <w:szCs w:val="26"/>
        </w:rPr>
      </w:pPr>
    </w:p>
    <w:p w:rsidR="00FE695C" w:rsidRDefault="00E26AFB" w:rsidP="00844225">
      <w:pPr>
        <w:widowControl/>
        <w:tabs>
          <w:tab w:val="left" w:pos="1445"/>
          <w:tab w:val="left" w:pos="4410"/>
          <w:tab w:val="left" w:pos="7920"/>
        </w:tabs>
        <w:autoSpaceDE w:val="0"/>
        <w:autoSpaceDN w:val="0"/>
        <w:adjustRightInd w:val="0"/>
        <w:spacing w:line="360" w:lineRule="auto"/>
        <w:ind w:firstLine="1440"/>
        <w:rPr>
          <w:sz w:val="26"/>
          <w:szCs w:val="26"/>
        </w:rPr>
      </w:pPr>
      <w:r>
        <w:rPr>
          <w:sz w:val="26"/>
          <w:szCs w:val="26"/>
        </w:rPr>
        <w:t xml:space="preserve">Further, </w:t>
      </w:r>
      <w:r w:rsidRPr="00E26AFB">
        <w:rPr>
          <w:sz w:val="26"/>
          <w:szCs w:val="26"/>
        </w:rPr>
        <w:t>Peoples Gas explained, even if the proposed charge were only applied to volumes delivered into the gathering system, there would be a negligible difference between that charge and th</w:t>
      </w:r>
      <w:r>
        <w:rPr>
          <w:sz w:val="26"/>
          <w:szCs w:val="26"/>
        </w:rPr>
        <w:t>e one proposed by the Company.  Peoples Gas M.B. at 15.</w:t>
      </w:r>
      <w:r w:rsidRPr="00E26AFB">
        <w:rPr>
          <w:sz w:val="26"/>
          <w:szCs w:val="26"/>
        </w:rPr>
        <w:t xml:space="preserve"> </w:t>
      </w:r>
      <w:r>
        <w:rPr>
          <w:sz w:val="26"/>
          <w:szCs w:val="26"/>
        </w:rPr>
        <w:t xml:space="preserve"> </w:t>
      </w:r>
      <w:r w:rsidRPr="00E26AFB">
        <w:rPr>
          <w:sz w:val="26"/>
          <w:szCs w:val="26"/>
        </w:rPr>
        <w:t xml:space="preserve">The Company argued that if it </w:t>
      </w:r>
      <w:r w:rsidR="001A5BA1">
        <w:rPr>
          <w:sz w:val="26"/>
          <w:szCs w:val="26"/>
        </w:rPr>
        <w:t>“</w:t>
      </w:r>
      <w:r w:rsidRPr="00E26AFB">
        <w:rPr>
          <w:sz w:val="26"/>
          <w:szCs w:val="26"/>
        </w:rPr>
        <w:t>were to recalculate the retainage charge on the basis of using only gathering and try to get the same amount of collection of UFG from that charge,</w:t>
      </w:r>
      <w:r w:rsidR="001A5BA1">
        <w:rPr>
          <w:sz w:val="26"/>
          <w:szCs w:val="26"/>
        </w:rPr>
        <w:t>”</w:t>
      </w:r>
      <w:r w:rsidRPr="00E26AFB">
        <w:rPr>
          <w:sz w:val="26"/>
          <w:szCs w:val="26"/>
        </w:rPr>
        <w:t xml:space="preserve"> there would </w:t>
      </w:r>
      <w:r>
        <w:rPr>
          <w:sz w:val="26"/>
          <w:szCs w:val="26"/>
        </w:rPr>
        <w:t xml:space="preserve">be a small change to the rate. </w:t>
      </w:r>
      <w:r w:rsidRPr="00E26AFB">
        <w:rPr>
          <w:sz w:val="26"/>
          <w:szCs w:val="26"/>
        </w:rPr>
        <w:t>Tr.</w:t>
      </w:r>
      <w:r>
        <w:rPr>
          <w:sz w:val="26"/>
          <w:szCs w:val="26"/>
        </w:rPr>
        <w:t xml:space="preserve"> at 56.</w:t>
      </w:r>
      <w:r w:rsidRPr="00E26AFB">
        <w:rPr>
          <w:sz w:val="26"/>
          <w:szCs w:val="26"/>
        </w:rPr>
        <w:t xml:space="preserve"> </w:t>
      </w:r>
      <w:r>
        <w:rPr>
          <w:sz w:val="26"/>
          <w:szCs w:val="26"/>
        </w:rPr>
        <w:t xml:space="preserve"> </w:t>
      </w:r>
      <w:r w:rsidRPr="00E26AFB">
        <w:rPr>
          <w:sz w:val="26"/>
          <w:szCs w:val="26"/>
        </w:rPr>
        <w:t xml:space="preserve">In fact, the Company demonstrated for Peoples Natural Gas, </w:t>
      </w:r>
      <w:r w:rsidR="001A5BA1">
        <w:rPr>
          <w:sz w:val="26"/>
          <w:szCs w:val="26"/>
        </w:rPr>
        <w:t>“</w:t>
      </w:r>
      <w:r w:rsidRPr="00E26AFB">
        <w:rPr>
          <w:sz w:val="26"/>
          <w:szCs w:val="26"/>
        </w:rPr>
        <w:t>the charge would increas</w:t>
      </w:r>
      <w:r w:rsidR="00DE6BFA">
        <w:rPr>
          <w:sz w:val="26"/>
          <w:szCs w:val="26"/>
        </w:rPr>
        <w:t>e from 2 percent to 2.17 percent</w:t>
      </w:r>
      <w:r w:rsidRPr="00E26AFB">
        <w:rPr>
          <w:sz w:val="26"/>
          <w:szCs w:val="26"/>
        </w:rPr>
        <w:t>, so a small,</w:t>
      </w:r>
      <w:r>
        <w:rPr>
          <w:sz w:val="26"/>
          <w:szCs w:val="26"/>
        </w:rPr>
        <w:t xml:space="preserve"> less than 10 percent change.</w:t>
      </w:r>
      <w:r w:rsidR="001A5BA1">
        <w:rPr>
          <w:sz w:val="26"/>
          <w:szCs w:val="26"/>
        </w:rPr>
        <w:t>”</w:t>
      </w:r>
      <w:r>
        <w:rPr>
          <w:sz w:val="26"/>
          <w:szCs w:val="26"/>
        </w:rPr>
        <w:t xml:space="preserve">  </w:t>
      </w:r>
      <w:r w:rsidRPr="00E26AFB">
        <w:rPr>
          <w:sz w:val="26"/>
          <w:szCs w:val="26"/>
        </w:rPr>
        <w:t>Tr.</w:t>
      </w:r>
      <w:r>
        <w:rPr>
          <w:sz w:val="26"/>
          <w:szCs w:val="26"/>
        </w:rPr>
        <w:t xml:space="preserve"> at 56. </w:t>
      </w:r>
      <w:r w:rsidRPr="00E26AFB">
        <w:rPr>
          <w:sz w:val="26"/>
          <w:szCs w:val="26"/>
        </w:rPr>
        <w:t xml:space="preserve"> The Company explained that similar numbers would be expected for Peoples Gas because </w:t>
      </w:r>
      <w:r w:rsidR="001A5BA1">
        <w:rPr>
          <w:sz w:val="26"/>
          <w:szCs w:val="26"/>
        </w:rPr>
        <w:t>“</w:t>
      </w:r>
      <w:r w:rsidRPr="00E26AFB">
        <w:rPr>
          <w:sz w:val="26"/>
          <w:szCs w:val="26"/>
        </w:rPr>
        <w:t xml:space="preserve">the systems operate very </w:t>
      </w:r>
    </w:p>
    <w:p w:rsidR="00E26AFB" w:rsidRPr="00E26AFB" w:rsidRDefault="00E26AFB" w:rsidP="00FE695C">
      <w:pPr>
        <w:keepNext/>
        <w:keepLines/>
        <w:widowControl/>
        <w:tabs>
          <w:tab w:val="left" w:pos="1445"/>
          <w:tab w:val="left" w:pos="4410"/>
          <w:tab w:val="left" w:pos="7920"/>
        </w:tabs>
        <w:autoSpaceDE w:val="0"/>
        <w:autoSpaceDN w:val="0"/>
        <w:adjustRightInd w:val="0"/>
        <w:spacing w:line="360" w:lineRule="auto"/>
        <w:rPr>
          <w:sz w:val="26"/>
          <w:szCs w:val="26"/>
        </w:rPr>
      </w:pPr>
      <w:r w:rsidRPr="00E26AFB">
        <w:rPr>
          <w:sz w:val="26"/>
          <w:szCs w:val="26"/>
        </w:rPr>
        <w:lastRenderedPageBreak/>
        <w:t>much the same, same age.</w:t>
      </w:r>
      <w:r w:rsidR="001A5BA1">
        <w:rPr>
          <w:sz w:val="26"/>
          <w:szCs w:val="26"/>
        </w:rPr>
        <w:t>”</w:t>
      </w:r>
      <w:r>
        <w:rPr>
          <w:sz w:val="26"/>
          <w:szCs w:val="26"/>
        </w:rPr>
        <w:t xml:space="preserve">  </w:t>
      </w:r>
      <w:r w:rsidRPr="00E26AFB">
        <w:rPr>
          <w:sz w:val="26"/>
          <w:szCs w:val="26"/>
        </w:rPr>
        <w:t>Tr.</w:t>
      </w:r>
      <w:r>
        <w:rPr>
          <w:sz w:val="26"/>
          <w:szCs w:val="26"/>
        </w:rPr>
        <w:t xml:space="preserve"> at 56. </w:t>
      </w:r>
      <w:r w:rsidRPr="00E26AFB">
        <w:rPr>
          <w:sz w:val="26"/>
          <w:szCs w:val="26"/>
        </w:rPr>
        <w:t xml:space="preserve"> PIOGA did not introduce any evidence to dispute that calculation or claim. </w:t>
      </w:r>
      <w:r>
        <w:rPr>
          <w:sz w:val="26"/>
          <w:szCs w:val="26"/>
        </w:rPr>
        <w:t xml:space="preserve"> </w:t>
      </w:r>
      <w:r w:rsidRPr="00E26AFB">
        <w:rPr>
          <w:sz w:val="26"/>
          <w:szCs w:val="26"/>
        </w:rPr>
        <w:t>Thus, the unrebutted evidence of record established little difference between the Company</w:t>
      </w:r>
      <w:r w:rsidR="001A5BA1">
        <w:rPr>
          <w:sz w:val="26"/>
          <w:szCs w:val="26"/>
        </w:rPr>
        <w:t>’</w:t>
      </w:r>
      <w:r w:rsidRPr="00E26AFB">
        <w:rPr>
          <w:sz w:val="26"/>
          <w:szCs w:val="26"/>
        </w:rPr>
        <w:t>s proposed charge and a charge calculated based on gas volumes delivered into t</w:t>
      </w:r>
      <w:r>
        <w:rPr>
          <w:sz w:val="26"/>
          <w:szCs w:val="26"/>
        </w:rPr>
        <w:t>he gathering system.  Peoples Gas R.B. at 14.</w:t>
      </w:r>
    </w:p>
    <w:p w:rsidR="0096477E" w:rsidRDefault="0096477E" w:rsidP="00844225">
      <w:pPr>
        <w:widowControl/>
        <w:tabs>
          <w:tab w:val="left" w:pos="1445"/>
          <w:tab w:val="left" w:pos="4410"/>
          <w:tab w:val="left" w:pos="7920"/>
        </w:tabs>
        <w:autoSpaceDE w:val="0"/>
        <w:autoSpaceDN w:val="0"/>
        <w:adjustRightInd w:val="0"/>
        <w:spacing w:line="360" w:lineRule="auto"/>
        <w:ind w:firstLine="1440"/>
        <w:rPr>
          <w:sz w:val="26"/>
          <w:szCs w:val="26"/>
        </w:rPr>
      </w:pPr>
    </w:p>
    <w:p w:rsidR="0096477E" w:rsidRPr="0096477E" w:rsidRDefault="0096477E" w:rsidP="007130D8">
      <w:pPr>
        <w:pStyle w:val="Heading5"/>
        <w:keepNext/>
        <w:keepLines/>
      </w:pPr>
      <w:r>
        <w:t>PIOGA argues UFG on what Peoples Gas characterizes as gathering pipelines is not the fault of producers</w:t>
      </w:r>
      <w:r w:rsidRPr="0096477E">
        <w:t>.</w:t>
      </w:r>
    </w:p>
    <w:p w:rsidR="00CB0535" w:rsidRDefault="00CB0535" w:rsidP="007130D8">
      <w:pPr>
        <w:keepNext/>
        <w:keepLines/>
        <w:widowControl/>
        <w:tabs>
          <w:tab w:val="left" w:pos="1445"/>
          <w:tab w:val="left" w:pos="4410"/>
          <w:tab w:val="left" w:pos="7920"/>
        </w:tabs>
        <w:autoSpaceDE w:val="0"/>
        <w:autoSpaceDN w:val="0"/>
        <w:adjustRightInd w:val="0"/>
        <w:spacing w:line="360" w:lineRule="auto"/>
        <w:ind w:firstLine="1440"/>
        <w:rPr>
          <w:sz w:val="26"/>
          <w:szCs w:val="26"/>
        </w:rPr>
      </w:pPr>
    </w:p>
    <w:p w:rsidR="0096477E" w:rsidRDefault="00457B9F" w:rsidP="00844225">
      <w:pPr>
        <w:widowControl/>
        <w:tabs>
          <w:tab w:val="left" w:pos="1445"/>
          <w:tab w:val="left" w:pos="4410"/>
          <w:tab w:val="left" w:pos="7920"/>
        </w:tabs>
        <w:autoSpaceDE w:val="0"/>
        <w:autoSpaceDN w:val="0"/>
        <w:adjustRightInd w:val="0"/>
        <w:spacing w:line="360" w:lineRule="auto"/>
        <w:ind w:firstLine="1440"/>
        <w:rPr>
          <w:sz w:val="26"/>
          <w:szCs w:val="26"/>
        </w:rPr>
      </w:pPr>
      <w:r>
        <w:rPr>
          <w:sz w:val="26"/>
          <w:szCs w:val="26"/>
        </w:rPr>
        <w:t>PIOGA contended</w:t>
      </w:r>
      <w:r w:rsidR="009D249C" w:rsidRPr="009D249C">
        <w:rPr>
          <w:sz w:val="26"/>
          <w:szCs w:val="26"/>
        </w:rPr>
        <w:t xml:space="preserve"> the proposed producer retainage charge should be rejected because UFG on the gathering system is not the producers</w:t>
      </w:r>
      <w:r w:rsidR="001A5BA1">
        <w:rPr>
          <w:sz w:val="26"/>
          <w:szCs w:val="26"/>
        </w:rPr>
        <w:t>’</w:t>
      </w:r>
      <w:r w:rsidR="009D249C" w:rsidRPr="009D249C">
        <w:rPr>
          <w:sz w:val="26"/>
          <w:szCs w:val="26"/>
        </w:rPr>
        <w:t xml:space="preserve"> fault or respon</w:t>
      </w:r>
      <w:r w:rsidR="009D249C">
        <w:rPr>
          <w:sz w:val="26"/>
          <w:szCs w:val="26"/>
        </w:rPr>
        <w:t xml:space="preserve">sibility. </w:t>
      </w:r>
      <w:r w:rsidR="00446C20">
        <w:rPr>
          <w:sz w:val="26"/>
          <w:szCs w:val="26"/>
        </w:rPr>
        <w:t xml:space="preserve"> </w:t>
      </w:r>
      <w:r w:rsidR="009D249C">
        <w:rPr>
          <w:sz w:val="26"/>
          <w:szCs w:val="26"/>
        </w:rPr>
        <w:t xml:space="preserve">PIOGA M.B. at 11-12. </w:t>
      </w:r>
      <w:r>
        <w:rPr>
          <w:sz w:val="26"/>
          <w:szCs w:val="26"/>
        </w:rPr>
        <w:t xml:space="preserve"> In support, PIOGA alleged</w:t>
      </w:r>
      <w:r w:rsidR="009D249C" w:rsidRPr="009D249C">
        <w:rPr>
          <w:sz w:val="26"/>
          <w:szCs w:val="26"/>
        </w:rPr>
        <w:t xml:space="preserve"> that the Company has neglected its gathering system and only spent 12.4% of its capital expenditures on the gathe</w:t>
      </w:r>
      <w:r w:rsidR="009D249C">
        <w:rPr>
          <w:sz w:val="26"/>
          <w:szCs w:val="26"/>
        </w:rPr>
        <w:t>ring system.  PIOGA M.B. at 12.</w:t>
      </w:r>
    </w:p>
    <w:p w:rsidR="0096477E" w:rsidRDefault="0096477E" w:rsidP="00844225">
      <w:pPr>
        <w:widowControl/>
        <w:tabs>
          <w:tab w:val="left" w:pos="1445"/>
          <w:tab w:val="left" w:pos="4410"/>
          <w:tab w:val="left" w:pos="7920"/>
        </w:tabs>
        <w:autoSpaceDE w:val="0"/>
        <w:autoSpaceDN w:val="0"/>
        <w:adjustRightInd w:val="0"/>
        <w:spacing w:line="360" w:lineRule="auto"/>
        <w:ind w:firstLine="1440"/>
        <w:rPr>
          <w:sz w:val="26"/>
          <w:szCs w:val="26"/>
        </w:rPr>
      </w:pPr>
    </w:p>
    <w:p w:rsidR="008117AD" w:rsidRDefault="00457B9F" w:rsidP="00844225">
      <w:pPr>
        <w:widowControl/>
        <w:tabs>
          <w:tab w:val="left" w:pos="1445"/>
          <w:tab w:val="left" w:pos="4410"/>
          <w:tab w:val="left" w:pos="7920"/>
        </w:tabs>
        <w:autoSpaceDE w:val="0"/>
        <w:autoSpaceDN w:val="0"/>
        <w:adjustRightInd w:val="0"/>
        <w:spacing w:line="360" w:lineRule="auto"/>
        <w:ind w:firstLine="1440"/>
        <w:rPr>
          <w:sz w:val="26"/>
          <w:szCs w:val="26"/>
        </w:rPr>
      </w:pPr>
      <w:r>
        <w:rPr>
          <w:sz w:val="26"/>
          <w:szCs w:val="26"/>
        </w:rPr>
        <w:t>Peoples Gas noted</w:t>
      </w:r>
      <w:r w:rsidR="008117AD" w:rsidRPr="008117AD">
        <w:rPr>
          <w:sz w:val="26"/>
          <w:szCs w:val="26"/>
        </w:rPr>
        <w:t xml:space="preserve"> that fault is not the standard for recovering a portion of gathering system UFG from conventional gas producers. </w:t>
      </w:r>
      <w:r w:rsidR="008117AD">
        <w:rPr>
          <w:sz w:val="26"/>
          <w:szCs w:val="26"/>
        </w:rPr>
        <w:t xml:space="preserve"> </w:t>
      </w:r>
      <w:r w:rsidR="008117AD" w:rsidRPr="008117AD">
        <w:rPr>
          <w:sz w:val="26"/>
          <w:szCs w:val="26"/>
        </w:rPr>
        <w:t>As explained by the OSBA in its Main Brief, if PIOGA</w:t>
      </w:r>
      <w:r w:rsidR="001A5BA1">
        <w:rPr>
          <w:sz w:val="26"/>
          <w:szCs w:val="26"/>
        </w:rPr>
        <w:t>’</w:t>
      </w:r>
      <w:r w:rsidR="008117AD" w:rsidRPr="008117AD">
        <w:rPr>
          <w:sz w:val="26"/>
          <w:szCs w:val="26"/>
        </w:rPr>
        <w:t xml:space="preserve">s </w:t>
      </w:r>
      <w:r w:rsidR="001A5BA1">
        <w:rPr>
          <w:sz w:val="26"/>
          <w:szCs w:val="26"/>
        </w:rPr>
        <w:t>“</w:t>
      </w:r>
      <w:r w:rsidR="008117AD" w:rsidRPr="008117AD">
        <w:rPr>
          <w:sz w:val="26"/>
          <w:szCs w:val="26"/>
        </w:rPr>
        <w:t>argument against cost assignment were valid in the case of producers, it must also be valid in the case of sales and transportation customers,</w:t>
      </w:r>
      <w:r w:rsidR="001A5BA1">
        <w:rPr>
          <w:sz w:val="26"/>
          <w:szCs w:val="26"/>
        </w:rPr>
        <w:t>”</w:t>
      </w:r>
      <w:r w:rsidR="008117AD" w:rsidRPr="008117AD">
        <w:rPr>
          <w:sz w:val="26"/>
          <w:szCs w:val="26"/>
        </w:rPr>
        <w:t xml:space="preserve"> which would lead to an unreasonable conclusion that natural gas distribution companies (NGDCs) should be responsible f</w:t>
      </w:r>
      <w:r w:rsidR="008117AD">
        <w:rPr>
          <w:sz w:val="26"/>
          <w:szCs w:val="26"/>
        </w:rPr>
        <w:t>or 100% of the costs of LUFG.</w:t>
      </w:r>
      <w:r w:rsidR="001A5BA1">
        <w:rPr>
          <w:sz w:val="26"/>
          <w:szCs w:val="26"/>
        </w:rPr>
        <w:t>”</w:t>
      </w:r>
      <w:r w:rsidR="008117AD">
        <w:rPr>
          <w:sz w:val="26"/>
          <w:szCs w:val="26"/>
        </w:rPr>
        <w:t xml:space="preserve">  OSBA M.B. at 3.  </w:t>
      </w:r>
      <w:r w:rsidR="008117AD" w:rsidRPr="008117AD">
        <w:rPr>
          <w:sz w:val="26"/>
          <w:szCs w:val="26"/>
        </w:rPr>
        <w:t xml:space="preserve">Rather, Peoples Gas has demonstrated that a proper standard to be applied in this proceeding is that beneficiaries of a particular system should pay their fair share of the UFG on that system. </w:t>
      </w:r>
      <w:r w:rsidR="008117AD">
        <w:rPr>
          <w:sz w:val="26"/>
          <w:szCs w:val="26"/>
        </w:rPr>
        <w:t xml:space="preserve"> </w:t>
      </w:r>
      <w:r>
        <w:rPr>
          <w:sz w:val="26"/>
          <w:szCs w:val="26"/>
        </w:rPr>
        <w:t>Here, the Company asserted</w:t>
      </w:r>
      <w:r w:rsidR="008117AD" w:rsidRPr="008117AD">
        <w:rPr>
          <w:sz w:val="26"/>
          <w:szCs w:val="26"/>
        </w:rPr>
        <w:t xml:space="preserve"> that the conventional gas producers are primary beneficiaries of the Company</w:t>
      </w:r>
      <w:r w:rsidR="001A5BA1">
        <w:rPr>
          <w:sz w:val="26"/>
          <w:szCs w:val="26"/>
        </w:rPr>
        <w:t>’</w:t>
      </w:r>
      <w:r w:rsidR="008117AD" w:rsidRPr="008117AD">
        <w:rPr>
          <w:sz w:val="26"/>
          <w:szCs w:val="26"/>
        </w:rPr>
        <w:t>s gathering system.</w:t>
      </w:r>
      <w:r w:rsidR="008117AD">
        <w:rPr>
          <w:sz w:val="26"/>
          <w:szCs w:val="26"/>
        </w:rPr>
        <w:t xml:space="preserve"> </w:t>
      </w:r>
      <w:r w:rsidR="008117AD" w:rsidRPr="008117AD">
        <w:rPr>
          <w:sz w:val="26"/>
          <w:szCs w:val="26"/>
        </w:rPr>
        <w:t xml:space="preserve"> Therefore,</w:t>
      </w:r>
      <w:r w:rsidR="008117AD">
        <w:rPr>
          <w:sz w:val="26"/>
          <w:szCs w:val="26"/>
        </w:rPr>
        <w:t xml:space="preserve"> according to the Company,</w:t>
      </w:r>
      <w:r w:rsidR="008117AD" w:rsidRPr="008117AD">
        <w:rPr>
          <w:sz w:val="26"/>
          <w:szCs w:val="26"/>
        </w:rPr>
        <w:t xml:space="preserve"> they should share in some of the associated costs of gathering system UFG in the circumstances</w:t>
      </w:r>
      <w:r w:rsidR="008117AD">
        <w:rPr>
          <w:sz w:val="26"/>
          <w:szCs w:val="26"/>
        </w:rPr>
        <w:t xml:space="preserve"> presented in this proceeding.  Peoples Gas R.B. at 11-12.</w:t>
      </w:r>
    </w:p>
    <w:p w:rsidR="008117AD" w:rsidRDefault="008117AD" w:rsidP="00844225">
      <w:pPr>
        <w:widowControl/>
        <w:tabs>
          <w:tab w:val="left" w:pos="1445"/>
          <w:tab w:val="left" w:pos="4410"/>
          <w:tab w:val="left" w:pos="7920"/>
        </w:tabs>
        <w:autoSpaceDE w:val="0"/>
        <w:autoSpaceDN w:val="0"/>
        <w:adjustRightInd w:val="0"/>
        <w:spacing w:line="360" w:lineRule="auto"/>
        <w:ind w:firstLine="1440"/>
        <w:rPr>
          <w:sz w:val="26"/>
          <w:szCs w:val="26"/>
        </w:rPr>
      </w:pPr>
    </w:p>
    <w:p w:rsidR="00CA65BC" w:rsidRDefault="00CA65BC" w:rsidP="00FE695C">
      <w:pPr>
        <w:keepNext/>
        <w:keepLines/>
        <w:widowControl/>
        <w:tabs>
          <w:tab w:val="left" w:pos="1445"/>
          <w:tab w:val="left" w:pos="4410"/>
          <w:tab w:val="left" w:pos="7920"/>
        </w:tabs>
        <w:autoSpaceDE w:val="0"/>
        <w:autoSpaceDN w:val="0"/>
        <w:adjustRightInd w:val="0"/>
        <w:spacing w:line="360" w:lineRule="auto"/>
        <w:ind w:firstLine="1440"/>
        <w:rPr>
          <w:sz w:val="26"/>
          <w:szCs w:val="26"/>
        </w:rPr>
      </w:pPr>
      <w:r>
        <w:rPr>
          <w:sz w:val="26"/>
          <w:szCs w:val="26"/>
        </w:rPr>
        <w:lastRenderedPageBreak/>
        <w:t>In response to PIOGA</w:t>
      </w:r>
      <w:r w:rsidR="001A5BA1">
        <w:rPr>
          <w:sz w:val="26"/>
          <w:szCs w:val="26"/>
        </w:rPr>
        <w:t>’</w:t>
      </w:r>
      <w:r>
        <w:rPr>
          <w:sz w:val="26"/>
          <w:szCs w:val="26"/>
        </w:rPr>
        <w:t>s assertion that the Company has neglected its gathe</w:t>
      </w:r>
      <w:r w:rsidR="00457B9F">
        <w:rPr>
          <w:sz w:val="26"/>
          <w:szCs w:val="26"/>
        </w:rPr>
        <w:t xml:space="preserve">ring system, Peoples Gas </w:t>
      </w:r>
      <w:r w:rsidR="00B947B7">
        <w:rPr>
          <w:sz w:val="26"/>
          <w:szCs w:val="26"/>
        </w:rPr>
        <w:t>submitted</w:t>
      </w:r>
      <w:r>
        <w:rPr>
          <w:sz w:val="26"/>
          <w:szCs w:val="26"/>
        </w:rPr>
        <w:t xml:space="preserve"> the following:</w:t>
      </w:r>
    </w:p>
    <w:p w:rsidR="00CA65BC" w:rsidRDefault="00CA65BC" w:rsidP="00844225">
      <w:pPr>
        <w:widowControl/>
        <w:tabs>
          <w:tab w:val="left" w:pos="1445"/>
          <w:tab w:val="left" w:pos="4410"/>
          <w:tab w:val="left" w:pos="7920"/>
        </w:tabs>
        <w:autoSpaceDE w:val="0"/>
        <w:autoSpaceDN w:val="0"/>
        <w:adjustRightInd w:val="0"/>
        <w:spacing w:line="360" w:lineRule="auto"/>
        <w:ind w:left="1440" w:right="1440"/>
        <w:rPr>
          <w:sz w:val="26"/>
          <w:szCs w:val="26"/>
        </w:rPr>
      </w:pPr>
    </w:p>
    <w:p w:rsidR="00A71725" w:rsidRDefault="00966A73" w:rsidP="00A71725">
      <w:pPr>
        <w:keepNext/>
        <w:keepLines/>
        <w:widowControl/>
        <w:tabs>
          <w:tab w:val="left" w:pos="1445"/>
          <w:tab w:val="left" w:pos="4410"/>
          <w:tab w:val="left" w:pos="7920"/>
        </w:tabs>
        <w:autoSpaceDE w:val="0"/>
        <w:autoSpaceDN w:val="0"/>
        <w:adjustRightInd w:val="0"/>
        <w:ind w:left="1440" w:right="1440"/>
        <w:rPr>
          <w:sz w:val="26"/>
          <w:szCs w:val="26"/>
        </w:rPr>
      </w:pPr>
      <w:r w:rsidRPr="00966A73">
        <w:rPr>
          <w:sz w:val="26"/>
          <w:szCs w:val="26"/>
        </w:rPr>
        <w:t xml:space="preserve">Peoples Gas spent $12.7 million in capital expenditures over the past four years to improve and upgrade its gathering pipeline infrastructure. (Peoples Gas Statement No. 1-R, p. 3, lines 7-10) </w:t>
      </w:r>
      <w:r w:rsidR="00446C20">
        <w:rPr>
          <w:sz w:val="26"/>
          <w:szCs w:val="26"/>
        </w:rPr>
        <w:t xml:space="preserve"> </w:t>
      </w:r>
      <w:r w:rsidRPr="00966A73">
        <w:rPr>
          <w:sz w:val="26"/>
          <w:szCs w:val="26"/>
        </w:rPr>
        <w:t xml:space="preserve">Although this amount is much smaller than the </w:t>
      </w:r>
    </w:p>
    <w:p w:rsidR="00966A73" w:rsidRPr="00966A73" w:rsidRDefault="00966A73" w:rsidP="00844225">
      <w:pPr>
        <w:widowControl/>
        <w:tabs>
          <w:tab w:val="left" w:pos="1445"/>
          <w:tab w:val="left" w:pos="4410"/>
          <w:tab w:val="left" w:pos="7920"/>
        </w:tabs>
        <w:autoSpaceDE w:val="0"/>
        <w:autoSpaceDN w:val="0"/>
        <w:adjustRightInd w:val="0"/>
        <w:ind w:left="1440" w:right="1440"/>
        <w:rPr>
          <w:sz w:val="26"/>
          <w:szCs w:val="26"/>
        </w:rPr>
      </w:pPr>
      <w:r w:rsidRPr="00966A73">
        <w:rPr>
          <w:sz w:val="26"/>
          <w:szCs w:val="26"/>
        </w:rPr>
        <w:t xml:space="preserve">amount of capital spent on the distribution system, Company witness Gregorini explained at length that for safety reasons, the Peoples Companies have devoted the vast majority of their initial post-acquisition capital investment toward replacing at-risk distribution pipelines. (Peoples Gas Statement No. 5-R, p. 7 to p. 8, line 12) </w:t>
      </w:r>
      <w:r w:rsidR="00446C20">
        <w:rPr>
          <w:sz w:val="26"/>
          <w:szCs w:val="26"/>
        </w:rPr>
        <w:t xml:space="preserve"> </w:t>
      </w:r>
      <w:r w:rsidRPr="00966A73">
        <w:rPr>
          <w:sz w:val="26"/>
          <w:szCs w:val="26"/>
        </w:rPr>
        <w:t>Specifically, distribution pipelines represent 71% of the targeted pipeline miles and serve 99% of the customers, whereas the gathering pipelines represent 29% of the targeted pipeline miles and directly serve only 1% of the Peoples Companies</w:t>
      </w:r>
      <w:r w:rsidR="001A5BA1">
        <w:rPr>
          <w:sz w:val="26"/>
          <w:szCs w:val="26"/>
        </w:rPr>
        <w:t>’</w:t>
      </w:r>
      <w:r w:rsidRPr="00966A73">
        <w:rPr>
          <w:sz w:val="26"/>
          <w:szCs w:val="26"/>
        </w:rPr>
        <w:t xml:space="preserve"> customers. (Peoples Gas Statement No. 5-R, p. 8, lines 1-8) </w:t>
      </w:r>
      <w:r w:rsidR="00446C20">
        <w:rPr>
          <w:sz w:val="26"/>
          <w:szCs w:val="26"/>
        </w:rPr>
        <w:t xml:space="preserve"> </w:t>
      </w:r>
      <w:r w:rsidRPr="00966A73">
        <w:rPr>
          <w:sz w:val="26"/>
          <w:szCs w:val="26"/>
        </w:rPr>
        <w:t>Further, due to the criteria utilized in risk rankings under the federally mandated Distribution Integrity Management Plan (</w:t>
      </w:r>
      <w:r w:rsidR="001A5BA1">
        <w:rPr>
          <w:sz w:val="26"/>
          <w:szCs w:val="26"/>
        </w:rPr>
        <w:t>“</w:t>
      </w:r>
      <w:r w:rsidRPr="00966A73">
        <w:rPr>
          <w:sz w:val="26"/>
          <w:szCs w:val="26"/>
        </w:rPr>
        <w:t>DIMP</w:t>
      </w:r>
      <w:r w:rsidR="001A5BA1">
        <w:rPr>
          <w:sz w:val="26"/>
          <w:szCs w:val="26"/>
        </w:rPr>
        <w:t>”</w:t>
      </w:r>
      <w:r w:rsidRPr="00966A73">
        <w:rPr>
          <w:sz w:val="26"/>
          <w:szCs w:val="26"/>
        </w:rPr>
        <w:t>), the Company effectively must use most of its available funds to address at-risk distribution pipe. (Peoples Gas Statement No. 5-R, p. 9, lines 1-5)</w:t>
      </w:r>
    </w:p>
    <w:p w:rsidR="00966A73" w:rsidRDefault="00966A73" w:rsidP="00844225">
      <w:pPr>
        <w:widowControl/>
        <w:tabs>
          <w:tab w:val="left" w:pos="1445"/>
          <w:tab w:val="left" w:pos="4410"/>
          <w:tab w:val="left" w:pos="7920"/>
        </w:tabs>
        <w:autoSpaceDE w:val="0"/>
        <w:autoSpaceDN w:val="0"/>
        <w:adjustRightInd w:val="0"/>
        <w:spacing w:line="360" w:lineRule="auto"/>
        <w:ind w:left="1440" w:right="1440"/>
        <w:rPr>
          <w:sz w:val="26"/>
          <w:szCs w:val="26"/>
        </w:rPr>
      </w:pPr>
    </w:p>
    <w:p w:rsidR="00966A73" w:rsidRDefault="00966A73" w:rsidP="00844225">
      <w:pPr>
        <w:widowControl/>
        <w:tabs>
          <w:tab w:val="left" w:pos="1445"/>
          <w:tab w:val="left" w:pos="2160"/>
          <w:tab w:val="left" w:pos="7920"/>
        </w:tabs>
        <w:autoSpaceDE w:val="0"/>
        <w:autoSpaceDN w:val="0"/>
        <w:adjustRightInd w:val="0"/>
        <w:ind w:left="1440" w:right="1440"/>
        <w:rPr>
          <w:sz w:val="26"/>
          <w:szCs w:val="26"/>
        </w:rPr>
      </w:pPr>
      <w:r>
        <w:rPr>
          <w:sz w:val="26"/>
          <w:szCs w:val="26"/>
        </w:rPr>
        <w:tab/>
      </w:r>
      <w:r>
        <w:rPr>
          <w:sz w:val="26"/>
          <w:szCs w:val="26"/>
        </w:rPr>
        <w:tab/>
      </w:r>
      <w:r w:rsidRPr="00966A73">
        <w:rPr>
          <w:sz w:val="26"/>
          <w:szCs w:val="26"/>
        </w:rPr>
        <w:t xml:space="preserve">Notwithstanding, the Peoples Companies are proposing to spend approximately $21.1 million over the next four years to further address their gathering systems. (Peoples Gas Statement No. 1-R, p. 3, lines 10-12) </w:t>
      </w:r>
      <w:r w:rsidR="00446C20">
        <w:rPr>
          <w:sz w:val="26"/>
          <w:szCs w:val="26"/>
        </w:rPr>
        <w:t xml:space="preserve"> </w:t>
      </w:r>
      <w:r w:rsidRPr="00966A73">
        <w:rPr>
          <w:sz w:val="26"/>
          <w:szCs w:val="26"/>
        </w:rPr>
        <w:t>In that four-year period, the Peoples Companies will remove 115.2 miles of at-risk gathering pipeline, which will save $90 million that would be spent if these lines were replaced, and will replace 20.0 miles</w:t>
      </w:r>
      <w:r w:rsidR="00E2573B">
        <w:rPr>
          <w:sz w:val="26"/>
          <w:szCs w:val="26"/>
        </w:rPr>
        <w:t xml:space="preserve"> of gathering pipeline. (Peoples </w:t>
      </w:r>
      <w:r w:rsidRPr="00966A73">
        <w:rPr>
          <w:sz w:val="26"/>
          <w:szCs w:val="26"/>
        </w:rPr>
        <w:t xml:space="preserve">Gas Exhibit No. 2, pp. 18-19) </w:t>
      </w:r>
      <w:r w:rsidR="00446C20">
        <w:rPr>
          <w:sz w:val="26"/>
          <w:szCs w:val="26"/>
        </w:rPr>
        <w:t xml:space="preserve"> </w:t>
      </w:r>
      <w:r w:rsidRPr="00966A73">
        <w:rPr>
          <w:sz w:val="26"/>
          <w:szCs w:val="26"/>
        </w:rPr>
        <w:t xml:space="preserve">These 135.2 miles of gathering pipeline are over 11% of the total 1,221 miles of at-risk gathering pipeline. (Peoples Gas Exhibit No. 2, pp. 17-19) </w:t>
      </w:r>
      <w:r w:rsidR="00446C20">
        <w:rPr>
          <w:sz w:val="26"/>
          <w:szCs w:val="26"/>
        </w:rPr>
        <w:t xml:space="preserve"> </w:t>
      </w:r>
      <w:r w:rsidRPr="00966A73">
        <w:rPr>
          <w:sz w:val="26"/>
          <w:szCs w:val="26"/>
        </w:rPr>
        <w:t>Thus, the Company has not neglected its gathering system, nor will it going forward.</w:t>
      </w:r>
    </w:p>
    <w:p w:rsidR="00C31067" w:rsidRDefault="00C31067" w:rsidP="00844225">
      <w:pPr>
        <w:widowControl/>
        <w:tabs>
          <w:tab w:val="left" w:pos="1445"/>
          <w:tab w:val="left" w:pos="2160"/>
          <w:tab w:val="left" w:pos="7920"/>
        </w:tabs>
        <w:autoSpaceDE w:val="0"/>
        <w:autoSpaceDN w:val="0"/>
        <w:adjustRightInd w:val="0"/>
        <w:ind w:left="1440" w:right="1440"/>
        <w:rPr>
          <w:sz w:val="26"/>
          <w:szCs w:val="26"/>
        </w:rPr>
      </w:pPr>
    </w:p>
    <w:p w:rsidR="00C31067" w:rsidRPr="00966A73" w:rsidRDefault="00C31067" w:rsidP="00844225">
      <w:pPr>
        <w:widowControl/>
        <w:tabs>
          <w:tab w:val="left" w:pos="1445"/>
          <w:tab w:val="left" w:pos="2160"/>
          <w:tab w:val="left" w:pos="7920"/>
        </w:tabs>
        <w:autoSpaceDE w:val="0"/>
        <w:autoSpaceDN w:val="0"/>
        <w:adjustRightInd w:val="0"/>
        <w:ind w:left="1440" w:right="1440"/>
        <w:rPr>
          <w:sz w:val="26"/>
          <w:szCs w:val="26"/>
        </w:rPr>
      </w:pPr>
    </w:p>
    <w:p w:rsidR="00CA65BC" w:rsidRDefault="00966A73" w:rsidP="00844225">
      <w:pPr>
        <w:widowControl/>
        <w:tabs>
          <w:tab w:val="left" w:pos="1445"/>
          <w:tab w:val="left" w:pos="4410"/>
          <w:tab w:val="left" w:pos="7920"/>
        </w:tabs>
        <w:autoSpaceDE w:val="0"/>
        <w:autoSpaceDN w:val="0"/>
        <w:adjustRightInd w:val="0"/>
        <w:spacing w:line="360" w:lineRule="auto"/>
        <w:rPr>
          <w:sz w:val="26"/>
          <w:szCs w:val="26"/>
        </w:rPr>
      </w:pPr>
      <w:r>
        <w:rPr>
          <w:sz w:val="26"/>
          <w:szCs w:val="26"/>
        </w:rPr>
        <w:t>Peoples Gas R.B. at 12-13.</w:t>
      </w:r>
    </w:p>
    <w:p w:rsidR="00CA65BC" w:rsidRDefault="00CA65BC" w:rsidP="00844225">
      <w:pPr>
        <w:widowControl/>
        <w:tabs>
          <w:tab w:val="left" w:pos="1445"/>
          <w:tab w:val="left" w:pos="4410"/>
          <w:tab w:val="left" w:pos="7920"/>
        </w:tabs>
        <w:autoSpaceDE w:val="0"/>
        <w:autoSpaceDN w:val="0"/>
        <w:adjustRightInd w:val="0"/>
        <w:spacing w:line="360" w:lineRule="auto"/>
        <w:ind w:firstLine="1440"/>
        <w:rPr>
          <w:sz w:val="26"/>
          <w:szCs w:val="26"/>
        </w:rPr>
      </w:pPr>
    </w:p>
    <w:p w:rsidR="00CA65BC" w:rsidRDefault="00656E07" w:rsidP="00A71725">
      <w:pPr>
        <w:keepNext/>
        <w:keepLines/>
        <w:widowControl/>
        <w:tabs>
          <w:tab w:val="left" w:pos="1445"/>
          <w:tab w:val="left" w:pos="4410"/>
          <w:tab w:val="left" w:pos="7920"/>
        </w:tabs>
        <w:autoSpaceDE w:val="0"/>
        <w:autoSpaceDN w:val="0"/>
        <w:adjustRightInd w:val="0"/>
        <w:spacing w:line="360" w:lineRule="auto"/>
        <w:ind w:firstLine="1440"/>
        <w:rPr>
          <w:sz w:val="26"/>
          <w:szCs w:val="26"/>
        </w:rPr>
      </w:pPr>
      <w:r>
        <w:rPr>
          <w:sz w:val="26"/>
          <w:szCs w:val="26"/>
        </w:rPr>
        <w:t>PIOGA</w:t>
      </w:r>
      <w:r w:rsidR="001A5BA1">
        <w:rPr>
          <w:sz w:val="26"/>
          <w:szCs w:val="26"/>
        </w:rPr>
        <w:t>’</w:t>
      </w:r>
      <w:r>
        <w:rPr>
          <w:sz w:val="26"/>
          <w:szCs w:val="26"/>
        </w:rPr>
        <w:t>s opposition to the producer retainage charge continues with assertions that the Company</w:t>
      </w:r>
      <w:r w:rsidR="001A5BA1">
        <w:rPr>
          <w:sz w:val="26"/>
          <w:szCs w:val="26"/>
        </w:rPr>
        <w:t>’</w:t>
      </w:r>
      <w:r>
        <w:rPr>
          <w:sz w:val="26"/>
          <w:szCs w:val="26"/>
        </w:rPr>
        <w:t xml:space="preserve">s proposed producer retainage charge should not be adopted because the Company has not charged conventional gas producers for UFG on the gathering system previously and is </w:t>
      </w:r>
      <w:r w:rsidR="001A5BA1">
        <w:rPr>
          <w:sz w:val="26"/>
          <w:szCs w:val="26"/>
        </w:rPr>
        <w:t>“</w:t>
      </w:r>
      <w:r>
        <w:rPr>
          <w:sz w:val="26"/>
          <w:szCs w:val="26"/>
        </w:rPr>
        <w:t>contrary to how Peoples Gas natural gas distribution pipeline systems were developed.  PIOGA M.B. at 8.</w:t>
      </w:r>
    </w:p>
    <w:p w:rsidR="00E2573B" w:rsidRDefault="00E2573B" w:rsidP="00844225">
      <w:pPr>
        <w:widowControl/>
        <w:tabs>
          <w:tab w:val="left" w:pos="1445"/>
          <w:tab w:val="left" w:pos="4410"/>
          <w:tab w:val="left" w:pos="7920"/>
        </w:tabs>
        <w:autoSpaceDE w:val="0"/>
        <w:autoSpaceDN w:val="0"/>
        <w:adjustRightInd w:val="0"/>
        <w:spacing w:line="360" w:lineRule="auto"/>
        <w:ind w:firstLine="1440"/>
        <w:rPr>
          <w:sz w:val="26"/>
          <w:szCs w:val="26"/>
        </w:rPr>
      </w:pPr>
    </w:p>
    <w:p w:rsidR="00656E07" w:rsidRPr="0096477E" w:rsidRDefault="00656E07" w:rsidP="00C31067">
      <w:pPr>
        <w:pStyle w:val="Heading5"/>
        <w:keepNext/>
        <w:keepLines/>
      </w:pPr>
      <w:r>
        <w:t>PIOGA argues that the Company</w:t>
      </w:r>
      <w:r w:rsidR="001A5BA1">
        <w:t>’</w:t>
      </w:r>
      <w:r>
        <w:t>s proposed prod</w:t>
      </w:r>
      <w:r w:rsidR="00BE57A7">
        <w:t>ucer retainage charge should not</w:t>
      </w:r>
      <w:r>
        <w:t xml:space="preserve"> be adopted because the Company has not charged conventional</w:t>
      </w:r>
      <w:r w:rsidR="00BE57A7">
        <w:t xml:space="preserve"> gas producers for UF</w:t>
      </w:r>
      <w:r>
        <w:t>G on the gathering system previously</w:t>
      </w:r>
      <w:r w:rsidR="00C46235">
        <w:t>.</w:t>
      </w:r>
    </w:p>
    <w:p w:rsidR="00E2573B" w:rsidRDefault="00E2573B" w:rsidP="00C31067">
      <w:pPr>
        <w:keepNext/>
        <w:keepLines/>
        <w:widowControl/>
        <w:tabs>
          <w:tab w:val="left" w:pos="1445"/>
          <w:tab w:val="left" w:pos="4410"/>
          <w:tab w:val="left" w:pos="7920"/>
        </w:tabs>
        <w:autoSpaceDE w:val="0"/>
        <w:autoSpaceDN w:val="0"/>
        <w:adjustRightInd w:val="0"/>
        <w:spacing w:line="360" w:lineRule="auto"/>
        <w:ind w:firstLine="1440"/>
        <w:rPr>
          <w:sz w:val="26"/>
          <w:szCs w:val="26"/>
        </w:rPr>
      </w:pPr>
    </w:p>
    <w:p w:rsidR="00E2573B" w:rsidRDefault="00457B9F" w:rsidP="00844225">
      <w:pPr>
        <w:widowControl/>
        <w:tabs>
          <w:tab w:val="left" w:pos="1445"/>
          <w:tab w:val="left" w:pos="4410"/>
          <w:tab w:val="left" w:pos="7920"/>
        </w:tabs>
        <w:autoSpaceDE w:val="0"/>
        <w:autoSpaceDN w:val="0"/>
        <w:adjustRightInd w:val="0"/>
        <w:spacing w:line="360" w:lineRule="auto"/>
        <w:ind w:firstLine="1440"/>
        <w:rPr>
          <w:sz w:val="26"/>
          <w:szCs w:val="26"/>
        </w:rPr>
      </w:pPr>
      <w:r>
        <w:rPr>
          <w:sz w:val="26"/>
          <w:szCs w:val="26"/>
        </w:rPr>
        <w:t>PIOGA asserted</w:t>
      </w:r>
      <w:r w:rsidR="00BE57A7" w:rsidRPr="00BE57A7">
        <w:rPr>
          <w:sz w:val="26"/>
          <w:szCs w:val="26"/>
        </w:rPr>
        <w:t xml:space="preserve"> that Peoples Gas does not explain, after decades of integrated operations of the three utility distribution pipeline systems now under common ownership, why now is the time to begin separating costs related to what the</w:t>
      </w:r>
      <w:r w:rsidR="00BE57A7">
        <w:rPr>
          <w:sz w:val="26"/>
          <w:szCs w:val="26"/>
        </w:rPr>
        <w:t xml:space="preserve"> Peoples</w:t>
      </w:r>
      <w:r w:rsidR="00BE57A7" w:rsidRPr="00BE57A7">
        <w:rPr>
          <w:sz w:val="26"/>
          <w:szCs w:val="26"/>
        </w:rPr>
        <w:t xml:space="preserve"> Companies characterize as gathering pipelines and assigning a portion of those costs for UFG to producers delivering supplies from conventional wells into the gathering system.</w:t>
      </w:r>
      <w:r w:rsidR="00BE57A7">
        <w:rPr>
          <w:sz w:val="26"/>
          <w:szCs w:val="26"/>
        </w:rPr>
        <w:t xml:space="preserve"> </w:t>
      </w:r>
      <w:r>
        <w:rPr>
          <w:sz w:val="26"/>
          <w:szCs w:val="26"/>
        </w:rPr>
        <w:t xml:space="preserve"> PIOGA asserted</w:t>
      </w:r>
      <w:r w:rsidR="00BE57A7" w:rsidRPr="00BE57A7">
        <w:rPr>
          <w:sz w:val="26"/>
          <w:szCs w:val="26"/>
        </w:rPr>
        <w:t xml:space="preserve"> the integrated nature of the operation of the </w:t>
      </w:r>
      <w:r w:rsidR="00297609">
        <w:rPr>
          <w:sz w:val="26"/>
          <w:szCs w:val="26"/>
        </w:rPr>
        <w:t xml:space="preserve">Peoples </w:t>
      </w:r>
      <w:r w:rsidR="00BE57A7" w:rsidRPr="00BE57A7">
        <w:rPr>
          <w:sz w:val="26"/>
          <w:szCs w:val="26"/>
        </w:rPr>
        <w:t>Companies</w:t>
      </w:r>
      <w:r w:rsidR="001A5BA1">
        <w:rPr>
          <w:sz w:val="26"/>
          <w:szCs w:val="26"/>
        </w:rPr>
        <w:t>’</w:t>
      </w:r>
      <w:r w:rsidR="00BE57A7" w:rsidRPr="00BE57A7">
        <w:rPr>
          <w:sz w:val="26"/>
          <w:szCs w:val="26"/>
        </w:rPr>
        <w:t xml:space="preserve"> pipeline systems has not changed, and the </w:t>
      </w:r>
      <w:r w:rsidR="00297609">
        <w:rPr>
          <w:sz w:val="26"/>
          <w:szCs w:val="26"/>
        </w:rPr>
        <w:t xml:space="preserve">Peoples </w:t>
      </w:r>
      <w:r w:rsidR="00BE57A7" w:rsidRPr="00BE57A7">
        <w:rPr>
          <w:sz w:val="26"/>
          <w:szCs w:val="26"/>
        </w:rPr>
        <w:t>Companies opposed</w:t>
      </w:r>
      <w:r w:rsidR="00297609">
        <w:rPr>
          <w:sz w:val="26"/>
          <w:szCs w:val="26"/>
        </w:rPr>
        <w:t xml:space="preserve"> the</w:t>
      </w:r>
      <w:r w:rsidR="00BE57A7" w:rsidRPr="00BE57A7">
        <w:rPr>
          <w:sz w:val="26"/>
          <w:szCs w:val="26"/>
        </w:rPr>
        <w:t xml:space="preserve"> OCA</w:t>
      </w:r>
      <w:r w:rsidR="001A5BA1">
        <w:rPr>
          <w:sz w:val="26"/>
          <w:szCs w:val="26"/>
        </w:rPr>
        <w:t>’</w:t>
      </w:r>
      <w:r w:rsidR="00BE57A7" w:rsidRPr="00BE57A7">
        <w:rPr>
          <w:sz w:val="26"/>
          <w:szCs w:val="26"/>
        </w:rPr>
        <w:t>s proposal to Peoples Natural Gas in last year</w:t>
      </w:r>
      <w:r w:rsidR="001A5BA1">
        <w:rPr>
          <w:sz w:val="26"/>
          <w:szCs w:val="26"/>
        </w:rPr>
        <w:t>’</w:t>
      </w:r>
      <w:r w:rsidR="00BE57A7" w:rsidRPr="00BE57A7">
        <w:rPr>
          <w:sz w:val="26"/>
          <w:szCs w:val="26"/>
        </w:rPr>
        <w:t xml:space="preserve">s PGC proceeding for a separate gathering system retainage charge on transportation customers </w:t>
      </w:r>
      <w:r w:rsidR="001A5BA1">
        <w:rPr>
          <w:sz w:val="26"/>
          <w:szCs w:val="26"/>
        </w:rPr>
        <w:t>“</w:t>
      </w:r>
      <w:r w:rsidR="00BE57A7" w:rsidRPr="00BE57A7">
        <w:rPr>
          <w:sz w:val="26"/>
          <w:szCs w:val="26"/>
        </w:rPr>
        <w:t>using</w:t>
      </w:r>
      <w:r w:rsidR="001A5BA1">
        <w:rPr>
          <w:sz w:val="26"/>
          <w:szCs w:val="26"/>
        </w:rPr>
        <w:t>”</w:t>
      </w:r>
      <w:r w:rsidR="00BE57A7" w:rsidRPr="00BE57A7">
        <w:rPr>
          <w:sz w:val="26"/>
          <w:szCs w:val="26"/>
        </w:rPr>
        <w:t xml:space="preserve"> the so-called gatheri</w:t>
      </w:r>
      <w:r w:rsidR="00297609">
        <w:rPr>
          <w:sz w:val="26"/>
          <w:szCs w:val="26"/>
        </w:rPr>
        <w:t>ng system.  PIOGA R.B. at 1-2.</w:t>
      </w:r>
    </w:p>
    <w:p w:rsidR="00E2573B" w:rsidRDefault="00E2573B" w:rsidP="00844225">
      <w:pPr>
        <w:widowControl/>
        <w:tabs>
          <w:tab w:val="left" w:pos="1445"/>
          <w:tab w:val="left" w:pos="4410"/>
          <w:tab w:val="left" w:pos="7920"/>
        </w:tabs>
        <w:autoSpaceDE w:val="0"/>
        <w:autoSpaceDN w:val="0"/>
        <w:adjustRightInd w:val="0"/>
        <w:spacing w:line="360" w:lineRule="auto"/>
        <w:ind w:firstLine="1440"/>
        <w:rPr>
          <w:sz w:val="26"/>
          <w:szCs w:val="26"/>
        </w:rPr>
      </w:pPr>
    </w:p>
    <w:p w:rsidR="00FE695C" w:rsidRDefault="00457B9F" w:rsidP="00844225">
      <w:pPr>
        <w:widowControl/>
        <w:tabs>
          <w:tab w:val="left" w:pos="1445"/>
          <w:tab w:val="left" w:pos="4410"/>
          <w:tab w:val="left" w:pos="7920"/>
        </w:tabs>
        <w:autoSpaceDE w:val="0"/>
        <w:autoSpaceDN w:val="0"/>
        <w:adjustRightInd w:val="0"/>
        <w:spacing w:line="360" w:lineRule="auto"/>
        <w:ind w:firstLine="1440"/>
        <w:rPr>
          <w:sz w:val="26"/>
          <w:szCs w:val="26"/>
        </w:rPr>
      </w:pPr>
      <w:r>
        <w:rPr>
          <w:sz w:val="26"/>
          <w:szCs w:val="26"/>
        </w:rPr>
        <w:t>Peoples Gas argued</w:t>
      </w:r>
      <w:r w:rsidR="00662FDB" w:rsidRPr="00662FDB">
        <w:rPr>
          <w:sz w:val="26"/>
          <w:szCs w:val="26"/>
        </w:rPr>
        <w:t xml:space="preserve"> that the Company</w:t>
      </w:r>
      <w:r w:rsidR="001A5BA1">
        <w:rPr>
          <w:sz w:val="26"/>
          <w:szCs w:val="26"/>
        </w:rPr>
        <w:t>’</w:t>
      </w:r>
      <w:r w:rsidR="00662FDB" w:rsidRPr="00662FDB">
        <w:rPr>
          <w:sz w:val="26"/>
          <w:szCs w:val="26"/>
        </w:rPr>
        <w:t xml:space="preserve">s historical practice of not charging producers a gathering retainage does not govern prospective changes. </w:t>
      </w:r>
      <w:r w:rsidR="00662FDB">
        <w:rPr>
          <w:sz w:val="26"/>
          <w:szCs w:val="26"/>
        </w:rPr>
        <w:t xml:space="preserve"> </w:t>
      </w:r>
      <w:r w:rsidR="00662FDB" w:rsidRPr="00662FDB">
        <w:rPr>
          <w:sz w:val="26"/>
          <w:szCs w:val="26"/>
        </w:rPr>
        <w:t xml:space="preserve">Every year, parties are afforded the opportunity to examine whether the PGC rates are just and reasonable and whether prospective changes are appropriate. </w:t>
      </w:r>
      <w:r w:rsidR="00662FDB">
        <w:rPr>
          <w:sz w:val="26"/>
          <w:szCs w:val="26"/>
        </w:rPr>
        <w:t xml:space="preserve"> </w:t>
      </w:r>
      <w:r w:rsidR="00662FDB" w:rsidRPr="00662FDB">
        <w:rPr>
          <w:i/>
          <w:sz w:val="26"/>
          <w:szCs w:val="26"/>
        </w:rPr>
        <w:t xml:space="preserve">See </w:t>
      </w:r>
      <w:r w:rsidR="00662FDB" w:rsidRPr="00662FDB">
        <w:rPr>
          <w:sz w:val="26"/>
          <w:szCs w:val="26"/>
        </w:rPr>
        <w:t>66 Pa.</w:t>
      </w:r>
      <w:r w:rsidR="00662FDB">
        <w:rPr>
          <w:sz w:val="26"/>
          <w:szCs w:val="26"/>
        </w:rPr>
        <w:t xml:space="preserve"> </w:t>
      </w:r>
      <w:r w:rsidR="00662FDB" w:rsidRPr="00662FDB">
        <w:rPr>
          <w:sz w:val="26"/>
          <w:szCs w:val="26"/>
        </w:rPr>
        <w:t>C.S.</w:t>
      </w:r>
      <w:r w:rsidR="00662FDB">
        <w:rPr>
          <w:sz w:val="26"/>
          <w:szCs w:val="26"/>
        </w:rPr>
        <w:t xml:space="preserve"> </w:t>
      </w:r>
      <w:r w:rsidR="00662FDB" w:rsidRPr="00662FDB">
        <w:rPr>
          <w:sz w:val="26"/>
          <w:szCs w:val="26"/>
        </w:rPr>
        <w:t xml:space="preserve">§ 1307(f). </w:t>
      </w:r>
      <w:r w:rsidR="00662FDB">
        <w:rPr>
          <w:sz w:val="26"/>
          <w:szCs w:val="26"/>
        </w:rPr>
        <w:t xml:space="preserve"> </w:t>
      </w:r>
      <w:r w:rsidR="00662FDB" w:rsidRPr="00662FDB">
        <w:rPr>
          <w:sz w:val="26"/>
          <w:szCs w:val="26"/>
        </w:rPr>
        <w:t xml:space="preserve">Several issues arose in this case concerning the recovery of the cost of UFG other than the </w:t>
      </w:r>
    </w:p>
    <w:p w:rsidR="00C76E49" w:rsidRDefault="00662FDB" w:rsidP="00FE695C">
      <w:pPr>
        <w:keepNext/>
        <w:keepLines/>
        <w:widowControl/>
        <w:tabs>
          <w:tab w:val="left" w:pos="1445"/>
          <w:tab w:val="left" w:pos="4410"/>
          <w:tab w:val="left" w:pos="7920"/>
        </w:tabs>
        <w:autoSpaceDE w:val="0"/>
        <w:autoSpaceDN w:val="0"/>
        <w:adjustRightInd w:val="0"/>
        <w:spacing w:line="360" w:lineRule="auto"/>
        <w:rPr>
          <w:sz w:val="26"/>
          <w:szCs w:val="26"/>
        </w:rPr>
      </w:pPr>
      <w:r w:rsidRPr="00662FDB">
        <w:rPr>
          <w:sz w:val="26"/>
          <w:szCs w:val="26"/>
        </w:rPr>
        <w:lastRenderedPageBreak/>
        <w:t xml:space="preserve">proposed producer retainage charge. </w:t>
      </w:r>
      <w:r>
        <w:rPr>
          <w:sz w:val="26"/>
          <w:szCs w:val="26"/>
        </w:rPr>
        <w:t xml:space="preserve"> </w:t>
      </w:r>
      <w:r w:rsidRPr="00662FDB">
        <w:rPr>
          <w:sz w:val="26"/>
          <w:szCs w:val="26"/>
        </w:rPr>
        <w:t>Peoples Gas notes, for example, I&amp;E proposed disallowing the Company</w:t>
      </w:r>
      <w:r w:rsidR="001A5BA1">
        <w:rPr>
          <w:sz w:val="26"/>
          <w:szCs w:val="26"/>
        </w:rPr>
        <w:t>’</w:t>
      </w:r>
      <w:r w:rsidRPr="00662FDB">
        <w:rPr>
          <w:sz w:val="26"/>
          <w:szCs w:val="26"/>
        </w:rPr>
        <w:t>s recovery of 179,489 Mcf in gathering system UFG, which equated to the amount of UFG in excess of I&amp;E</w:t>
      </w:r>
      <w:r w:rsidR="001A5BA1">
        <w:rPr>
          <w:sz w:val="26"/>
          <w:szCs w:val="26"/>
        </w:rPr>
        <w:t>’</w:t>
      </w:r>
      <w:r w:rsidRPr="00662FDB">
        <w:rPr>
          <w:sz w:val="26"/>
          <w:szCs w:val="26"/>
        </w:rPr>
        <w:t>s propo</w:t>
      </w:r>
      <w:r>
        <w:rPr>
          <w:sz w:val="26"/>
          <w:szCs w:val="26"/>
        </w:rPr>
        <w:t xml:space="preserve">sed 8% gathering UFG standard. </w:t>
      </w:r>
      <w:r w:rsidRPr="00662FDB">
        <w:rPr>
          <w:sz w:val="26"/>
          <w:szCs w:val="26"/>
        </w:rPr>
        <w:t>I&amp;E Sta</w:t>
      </w:r>
      <w:r>
        <w:rPr>
          <w:sz w:val="26"/>
          <w:szCs w:val="26"/>
        </w:rPr>
        <w:t xml:space="preserve">tement No. 1 at 16. </w:t>
      </w:r>
      <w:r w:rsidRPr="00662FDB">
        <w:rPr>
          <w:sz w:val="26"/>
          <w:szCs w:val="26"/>
        </w:rPr>
        <w:t xml:space="preserve"> In other words, I&amp;E</w:t>
      </w:r>
      <w:r w:rsidR="001A5BA1">
        <w:rPr>
          <w:sz w:val="26"/>
          <w:szCs w:val="26"/>
        </w:rPr>
        <w:t>’</w:t>
      </w:r>
      <w:r w:rsidRPr="00662FDB">
        <w:rPr>
          <w:sz w:val="26"/>
          <w:szCs w:val="26"/>
        </w:rPr>
        <w:t xml:space="preserve">s proposal would have allocated those </w:t>
      </w:r>
    </w:p>
    <w:p w:rsidR="00662FDB" w:rsidRPr="00662FDB" w:rsidRDefault="00662FDB" w:rsidP="00C76E49">
      <w:pPr>
        <w:keepNext/>
        <w:keepLines/>
        <w:widowControl/>
        <w:tabs>
          <w:tab w:val="left" w:pos="1445"/>
          <w:tab w:val="left" w:pos="4410"/>
          <w:tab w:val="left" w:pos="7920"/>
        </w:tabs>
        <w:autoSpaceDE w:val="0"/>
        <w:autoSpaceDN w:val="0"/>
        <w:adjustRightInd w:val="0"/>
        <w:spacing w:line="360" w:lineRule="auto"/>
        <w:rPr>
          <w:sz w:val="26"/>
          <w:szCs w:val="26"/>
        </w:rPr>
      </w:pPr>
      <w:r w:rsidRPr="00662FDB">
        <w:rPr>
          <w:sz w:val="26"/>
          <w:szCs w:val="26"/>
        </w:rPr>
        <w:t>gathering UFG costs to the Company.</w:t>
      </w:r>
      <w:r>
        <w:rPr>
          <w:sz w:val="26"/>
          <w:szCs w:val="26"/>
        </w:rPr>
        <w:t xml:space="preserve"> </w:t>
      </w:r>
      <w:r w:rsidRPr="00662FDB">
        <w:rPr>
          <w:sz w:val="26"/>
          <w:szCs w:val="26"/>
        </w:rPr>
        <w:t xml:space="preserve"> Further, as an alternative to the Company</w:t>
      </w:r>
      <w:r w:rsidR="001A5BA1">
        <w:rPr>
          <w:sz w:val="26"/>
          <w:szCs w:val="26"/>
        </w:rPr>
        <w:t>’</w:t>
      </w:r>
      <w:r w:rsidRPr="00662FDB">
        <w:rPr>
          <w:sz w:val="26"/>
          <w:szCs w:val="26"/>
        </w:rPr>
        <w:t xml:space="preserve">s proposed producer retainage charge, </w:t>
      </w:r>
      <w:r>
        <w:rPr>
          <w:sz w:val="26"/>
          <w:szCs w:val="26"/>
        </w:rPr>
        <w:t xml:space="preserve">the </w:t>
      </w:r>
      <w:r w:rsidRPr="00662FDB">
        <w:rPr>
          <w:sz w:val="26"/>
          <w:szCs w:val="26"/>
        </w:rPr>
        <w:t xml:space="preserve">OCA recommended </w:t>
      </w:r>
      <w:r w:rsidR="001A5BA1">
        <w:rPr>
          <w:sz w:val="26"/>
          <w:szCs w:val="26"/>
        </w:rPr>
        <w:t>“</w:t>
      </w:r>
      <w:r w:rsidRPr="00662FDB">
        <w:rPr>
          <w:sz w:val="26"/>
          <w:szCs w:val="26"/>
        </w:rPr>
        <w:t>an additional gathering retainage charge of 2.9 percent that would be assessed on the volumes deliv</w:t>
      </w:r>
      <w:r>
        <w:rPr>
          <w:sz w:val="26"/>
          <w:szCs w:val="26"/>
        </w:rPr>
        <w:t>ered on the gathering system.</w:t>
      </w:r>
      <w:r w:rsidR="001A5BA1">
        <w:rPr>
          <w:sz w:val="26"/>
          <w:szCs w:val="26"/>
        </w:rPr>
        <w:t>”</w:t>
      </w:r>
      <w:r>
        <w:rPr>
          <w:sz w:val="26"/>
          <w:szCs w:val="26"/>
        </w:rPr>
        <w:t xml:space="preserve">  </w:t>
      </w:r>
      <w:r w:rsidRPr="00662FDB">
        <w:rPr>
          <w:sz w:val="26"/>
          <w:szCs w:val="26"/>
        </w:rPr>
        <w:t>OCA Stat</w:t>
      </w:r>
      <w:r>
        <w:rPr>
          <w:sz w:val="26"/>
          <w:szCs w:val="26"/>
        </w:rPr>
        <w:t>ement No. 1 at 9.</w:t>
      </w:r>
      <w:r w:rsidRPr="00662FDB">
        <w:rPr>
          <w:sz w:val="26"/>
          <w:szCs w:val="26"/>
        </w:rPr>
        <w:t xml:space="preserve"> </w:t>
      </w:r>
      <w:r w:rsidR="00A53EAC">
        <w:rPr>
          <w:sz w:val="26"/>
          <w:szCs w:val="26"/>
        </w:rPr>
        <w:t xml:space="preserve"> </w:t>
      </w:r>
      <w:r w:rsidRPr="00662FDB">
        <w:rPr>
          <w:sz w:val="26"/>
          <w:szCs w:val="26"/>
        </w:rPr>
        <w:t>Therefore,</w:t>
      </w:r>
      <w:r w:rsidR="00457B9F">
        <w:rPr>
          <w:sz w:val="26"/>
          <w:szCs w:val="26"/>
        </w:rPr>
        <w:t xml:space="preserve"> Peoples Gas asserted</w:t>
      </w:r>
      <w:r>
        <w:rPr>
          <w:sz w:val="26"/>
          <w:szCs w:val="26"/>
        </w:rPr>
        <w:t xml:space="preserve"> that</w:t>
      </w:r>
      <w:r w:rsidRPr="00662FDB">
        <w:rPr>
          <w:sz w:val="26"/>
          <w:szCs w:val="26"/>
        </w:rPr>
        <w:t xml:space="preserve"> it is reasonable to conclude that the Company was not precluded from proposing to partially unbundle the costs associa</w:t>
      </w:r>
      <w:r>
        <w:rPr>
          <w:sz w:val="26"/>
          <w:szCs w:val="26"/>
        </w:rPr>
        <w:t>ted with gathering system UFG.  Peoples Gas R.B. at 6.</w:t>
      </w:r>
    </w:p>
    <w:p w:rsidR="00662FDB" w:rsidRPr="00662FDB" w:rsidRDefault="00662FDB" w:rsidP="00844225">
      <w:pPr>
        <w:widowControl/>
        <w:tabs>
          <w:tab w:val="left" w:pos="1445"/>
          <w:tab w:val="left" w:pos="4410"/>
          <w:tab w:val="left" w:pos="7920"/>
        </w:tabs>
        <w:autoSpaceDE w:val="0"/>
        <w:autoSpaceDN w:val="0"/>
        <w:adjustRightInd w:val="0"/>
        <w:spacing w:line="360" w:lineRule="auto"/>
        <w:ind w:firstLine="1440"/>
        <w:rPr>
          <w:sz w:val="26"/>
          <w:szCs w:val="26"/>
        </w:rPr>
      </w:pPr>
    </w:p>
    <w:p w:rsidR="00C46235" w:rsidRPr="0096477E" w:rsidRDefault="00C46235" w:rsidP="00C31067">
      <w:pPr>
        <w:pStyle w:val="Heading5"/>
        <w:keepNext/>
        <w:keepLines/>
      </w:pPr>
      <w:r>
        <w:t>PIOGA argues that the Company</w:t>
      </w:r>
      <w:r w:rsidR="001A5BA1">
        <w:t>’</w:t>
      </w:r>
      <w:r>
        <w:t xml:space="preserve">s proposed producer retainage charge </w:t>
      </w:r>
      <w:r w:rsidR="002437ED">
        <w:t>is inconsistent with the integrated nature of the Company</w:t>
      </w:r>
      <w:r w:rsidR="001A5BA1">
        <w:t>’</w:t>
      </w:r>
      <w:r w:rsidR="002437ED">
        <w:t>s distribution, transmission and gathering systems.</w:t>
      </w:r>
    </w:p>
    <w:p w:rsidR="00231001" w:rsidRDefault="00231001" w:rsidP="00C31067">
      <w:pPr>
        <w:keepNext/>
        <w:keepLines/>
        <w:widowControl/>
        <w:tabs>
          <w:tab w:val="left" w:pos="1445"/>
          <w:tab w:val="left" w:pos="4410"/>
          <w:tab w:val="left" w:pos="7920"/>
        </w:tabs>
        <w:autoSpaceDE w:val="0"/>
        <w:autoSpaceDN w:val="0"/>
        <w:adjustRightInd w:val="0"/>
        <w:spacing w:line="360" w:lineRule="auto"/>
        <w:ind w:firstLine="1440"/>
        <w:rPr>
          <w:sz w:val="26"/>
          <w:szCs w:val="26"/>
        </w:rPr>
      </w:pPr>
    </w:p>
    <w:p w:rsidR="00F84DDC" w:rsidRPr="00F84DDC" w:rsidRDefault="00F84DDC" w:rsidP="00844225">
      <w:pPr>
        <w:widowControl/>
        <w:tabs>
          <w:tab w:val="left" w:pos="1445"/>
          <w:tab w:val="left" w:pos="4410"/>
          <w:tab w:val="left" w:pos="7920"/>
        </w:tabs>
        <w:autoSpaceDE w:val="0"/>
        <w:autoSpaceDN w:val="0"/>
        <w:adjustRightInd w:val="0"/>
        <w:spacing w:line="360" w:lineRule="auto"/>
        <w:ind w:firstLine="1440"/>
        <w:rPr>
          <w:sz w:val="26"/>
          <w:szCs w:val="26"/>
        </w:rPr>
      </w:pPr>
      <w:r w:rsidRPr="00F84DDC">
        <w:rPr>
          <w:sz w:val="26"/>
          <w:szCs w:val="26"/>
        </w:rPr>
        <w:t>PIOGA argued that the Company</w:t>
      </w:r>
      <w:r w:rsidR="001A5BA1">
        <w:rPr>
          <w:sz w:val="26"/>
          <w:szCs w:val="26"/>
        </w:rPr>
        <w:t>’</w:t>
      </w:r>
      <w:r w:rsidRPr="00F84DDC">
        <w:rPr>
          <w:sz w:val="26"/>
          <w:szCs w:val="26"/>
        </w:rPr>
        <w:t xml:space="preserve">s proposal is </w:t>
      </w:r>
      <w:r w:rsidR="001A5BA1">
        <w:rPr>
          <w:sz w:val="26"/>
          <w:szCs w:val="26"/>
        </w:rPr>
        <w:t>“</w:t>
      </w:r>
      <w:r w:rsidRPr="00F84DDC">
        <w:rPr>
          <w:sz w:val="26"/>
          <w:szCs w:val="26"/>
        </w:rPr>
        <w:t>contrary to how the Peoples Gas</w:t>
      </w:r>
      <w:r w:rsidR="001A5BA1">
        <w:rPr>
          <w:sz w:val="26"/>
          <w:szCs w:val="26"/>
        </w:rPr>
        <w:t>’</w:t>
      </w:r>
      <w:r w:rsidRPr="00F84DDC">
        <w:rPr>
          <w:sz w:val="26"/>
          <w:szCs w:val="26"/>
        </w:rPr>
        <w:t>s natural gas distribution pip</w:t>
      </w:r>
      <w:r>
        <w:rPr>
          <w:sz w:val="26"/>
          <w:szCs w:val="26"/>
        </w:rPr>
        <w:t>eline systems were developed.</w:t>
      </w:r>
      <w:r w:rsidR="001A5BA1">
        <w:rPr>
          <w:sz w:val="26"/>
          <w:szCs w:val="26"/>
        </w:rPr>
        <w:t>”</w:t>
      </w:r>
      <w:r>
        <w:rPr>
          <w:sz w:val="26"/>
          <w:szCs w:val="26"/>
        </w:rPr>
        <w:t xml:space="preserve">  PIOGA M.B. at 8. </w:t>
      </w:r>
      <w:r w:rsidRPr="00F84DDC">
        <w:rPr>
          <w:sz w:val="26"/>
          <w:szCs w:val="26"/>
        </w:rPr>
        <w:t xml:space="preserve"> Because the</w:t>
      </w:r>
      <w:r>
        <w:rPr>
          <w:sz w:val="26"/>
          <w:szCs w:val="26"/>
        </w:rPr>
        <w:t xml:space="preserve"> </w:t>
      </w:r>
      <w:r w:rsidRPr="00F84DDC">
        <w:rPr>
          <w:sz w:val="26"/>
          <w:szCs w:val="26"/>
        </w:rPr>
        <w:t>Company</w:t>
      </w:r>
      <w:r w:rsidR="001A5BA1">
        <w:rPr>
          <w:sz w:val="26"/>
          <w:szCs w:val="26"/>
        </w:rPr>
        <w:t>’</w:t>
      </w:r>
      <w:r w:rsidRPr="00F84DDC">
        <w:rPr>
          <w:sz w:val="26"/>
          <w:szCs w:val="26"/>
        </w:rPr>
        <w:t xml:space="preserve">s gathering system was </w:t>
      </w:r>
      <w:r w:rsidR="001A5BA1">
        <w:rPr>
          <w:sz w:val="26"/>
          <w:szCs w:val="26"/>
        </w:rPr>
        <w:t>“</w:t>
      </w:r>
      <w:r w:rsidRPr="00F84DDC">
        <w:rPr>
          <w:sz w:val="26"/>
          <w:szCs w:val="26"/>
        </w:rPr>
        <w:t>constructed as part of an integrated operation to provide natural gas to custo</w:t>
      </w:r>
      <w:r w:rsidR="00457B9F">
        <w:rPr>
          <w:sz w:val="26"/>
          <w:szCs w:val="26"/>
        </w:rPr>
        <w:t>mers,</w:t>
      </w:r>
      <w:r w:rsidR="001A5BA1">
        <w:rPr>
          <w:sz w:val="26"/>
          <w:szCs w:val="26"/>
        </w:rPr>
        <w:t>”</w:t>
      </w:r>
      <w:r w:rsidR="00457B9F">
        <w:rPr>
          <w:sz w:val="26"/>
          <w:szCs w:val="26"/>
        </w:rPr>
        <w:t xml:space="preserve"> PIOGA claimed</w:t>
      </w:r>
      <w:r w:rsidRPr="00F84DDC">
        <w:rPr>
          <w:sz w:val="26"/>
          <w:szCs w:val="26"/>
        </w:rPr>
        <w:t xml:space="preserve"> that the Company cannot impose a producer retainage charge to recover a po</w:t>
      </w:r>
      <w:r>
        <w:rPr>
          <w:sz w:val="26"/>
          <w:szCs w:val="26"/>
        </w:rPr>
        <w:t xml:space="preserve">rtion of gathering system UFG. PIOGA M.B. at 8, 10-11. </w:t>
      </w:r>
      <w:r w:rsidR="00457B9F">
        <w:rPr>
          <w:sz w:val="26"/>
          <w:szCs w:val="26"/>
        </w:rPr>
        <w:t xml:space="preserve"> PIOGA also argued</w:t>
      </w:r>
      <w:r w:rsidRPr="00F84DDC">
        <w:rPr>
          <w:sz w:val="26"/>
          <w:szCs w:val="26"/>
        </w:rPr>
        <w:t xml:space="preserve"> that because the Commission</w:t>
      </w:r>
      <w:r w:rsidR="001A5BA1">
        <w:rPr>
          <w:sz w:val="26"/>
          <w:szCs w:val="26"/>
        </w:rPr>
        <w:t>’</w:t>
      </w:r>
      <w:r w:rsidRPr="00F84DDC">
        <w:rPr>
          <w:sz w:val="26"/>
          <w:szCs w:val="26"/>
        </w:rPr>
        <w:t>s interpretation of a statute is not entitled to much deference if it is contrary to the Commission</w:t>
      </w:r>
      <w:r w:rsidR="001A5BA1">
        <w:rPr>
          <w:sz w:val="26"/>
          <w:szCs w:val="26"/>
        </w:rPr>
        <w:t>’</w:t>
      </w:r>
      <w:r w:rsidRPr="00F84DDC">
        <w:rPr>
          <w:sz w:val="26"/>
          <w:szCs w:val="26"/>
        </w:rPr>
        <w:t>s previous interpretation, Peoples Gas</w:t>
      </w:r>
      <w:r w:rsidR="001A5BA1">
        <w:rPr>
          <w:sz w:val="26"/>
          <w:szCs w:val="26"/>
        </w:rPr>
        <w:t>’</w:t>
      </w:r>
      <w:r w:rsidRPr="00F84DDC">
        <w:rPr>
          <w:sz w:val="26"/>
          <w:szCs w:val="26"/>
        </w:rPr>
        <w:t>s changing view on its integrated</w:t>
      </w:r>
      <w:r w:rsidR="00457B9F">
        <w:rPr>
          <w:sz w:val="26"/>
          <w:szCs w:val="26"/>
        </w:rPr>
        <w:t xml:space="preserve"> </w:t>
      </w:r>
      <w:r w:rsidRPr="00F84DDC">
        <w:rPr>
          <w:sz w:val="26"/>
          <w:szCs w:val="26"/>
        </w:rPr>
        <w:lastRenderedPageBreak/>
        <w:t>system should not be a</w:t>
      </w:r>
      <w:r>
        <w:rPr>
          <w:sz w:val="26"/>
          <w:szCs w:val="26"/>
        </w:rPr>
        <w:t>fforded much deference either.</w:t>
      </w:r>
      <w:r w:rsidR="000C17E6">
        <w:rPr>
          <w:rStyle w:val="FootnoteReference"/>
          <w:sz w:val="26"/>
          <w:szCs w:val="26"/>
        </w:rPr>
        <w:footnoteReference w:id="21"/>
      </w:r>
      <w:r>
        <w:rPr>
          <w:sz w:val="26"/>
          <w:szCs w:val="26"/>
        </w:rPr>
        <w:t xml:space="preserve">  PIOGA M.B. at 4-5; Peoples Gas R.B. at 7.</w:t>
      </w:r>
    </w:p>
    <w:p w:rsidR="00E2573B" w:rsidRDefault="00E2573B" w:rsidP="00844225">
      <w:pPr>
        <w:widowControl/>
        <w:tabs>
          <w:tab w:val="left" w:pos="1445"/>
          <w:tab w:val="left" w:pos="4410"/>
          <w:tab w:val="left" w:pos="7920"/>
        </w:tabs>
        <w:autoSpaceDE w:val="0"/>
        <w:autoSpaceDN w:val="0"/>
        <w:adjustRightInd w:val="0"/>
        <w:spacing w:line="360" w:lineRule="auto"/>
        <w:rPr>
          <w:sz w:val="26"/>
          <w:szCs w:val="26"/>
        </w:rPr>
      </w:pPr>
    </w:p>
    <w:p w:rsidR="00AE1F98" w:rsidRDefault="00AE1F98" w:rsidP="00844225">
      <w:pPr>
        <w:widowControl/>
        <w:tabs>
          <w:tab w:val="left" w:pos="1445"/>
          <w:tab w:val="left" w:pos="4410"/>
          <w:tab w:val="left" w:pos="7920"/>
        </w:tabs>
        <w:autoSpaceDE w:val="0"/>
        <w:autoSpaceDN w:val="0"/>
        <w:adjustRightInd w:val="0"/>
        <w:spacing w:line="360" w:lineRule="auto"/>
        <w:ind w:firstLine="1440"/>
        <w:rPr>
          <w:sz w:val="26"/>
          <w:szCs w:val="26"/>
        </w:rPr>
      </w:pPr>
      <w:r w:rsidRPr="00AE1F98">
        <w:rPr>
          <w:sz w:val="26"/>
          <w:szCs w:val="26"/>
        </w:rPr>
        <w:t>Peoples Gas disputed PIOGA</w:t>
      </w:r>
      <w:r w:rsidR="001A5BA1">
        <w:rPr>
          <w:sz w:val="26"/>
          <w:szCs w:val="26"/>
        </w:rPr>
        <w:t>’</w:t>
      </w:r>
      <w:r w:rsidRPr="00AE1F98">
        <w:rPr>
          <w:sz w:val="26"/>
          <w:szCs w:val="26"/>
        </w:rPr>
        <w:t xml:space="preserve">s characterization of the integrated distribution, transmission, and gathering systems as meaning that the Company cannot charge different rates for different components of its system. </w:t>
      </w:r>
      <w:r>
        <w:rPr>
          <w:sz w:val="26"/>
          <w:szCs w:val="26"/>
        </w:rPr>
        <w:t xml:space="preserve"> </w:t>
      </w:r>
      <w:r w:rsidRPr="00AE1F98">
        <w:rPr>
          <w:sz w:val="26"/>
          <w:szCs w:val="26"/>
        </w:rPr>
        <w:t>The Company asserts that Peoples-Equitable Division</w:t>
      </w:r>
      <w:r w:rsidR="001A5BA1">
        <w:rPr>
          <w:sz w:val="26"/>
          <w:szCs w:val="26"/>
        </w:rPr>
        <w:t>’</w:t>
      </w:r>
      <w:r w:rsidRPr="00AE1F98">
        <w:rPr>
          <w:sz w:val="26"/>
          <w:szCs w:val="26"/>
        </w:rPr>
        <w:t xml:space="preserve">s Commission-approved Rate AGS applies to any producer wanting to transport gas through the gathering system as well as to deliver gas directly into the distribution system </w:t>
      </w:r>
      <w:r>
        <w:rPr>
          <w:sz w:val="26"/>
          <w:szCs w:val="26"/>
        </w:rPr>
        <w:t xml:space="preserve">of Peoples-Equitable Division.  </w:t>
      </w:r>
      <w:r w:rsidR="004A6608">
        <w:rPr>
          <w:sz w:val="26"/>
          <w:szCs w:val="26"/>
        </w:rPr>
        <w:t>Peoples Gas St.</w:t>
      </w:r>
      <w:r>
        <w:rPr>
          <w:sz w:val="26"/>
          <w:szCs w:val="26"/>
        </w:rPr>
        <w:t xml:space="preserve"> No. 5-R at</w:t>
      </w:r>
      <w:r w:rsidR="00832159">
        <w:rPr>
          <w:sz w:val="26"/>
          <w:szCs w:val="26"/>
        </w:rPr>
        <w:t> </w:t>
      </w:r>
      <w:r>
        <w:rPr>
          <w:sz w:val="26"/>
          <w:szCs w:val="26"/>
        </w:rPr>
        <w:t>22.</w:t>
      </w:r>
      <w:r w:rsidRPr="00AE1F98">
        <w:rPr>
          <w:sz w:val="26"/>
          <w:szCs w:val="26"/>
        </w:rPr>
        <w:t xml:space="preserve"> </w:t>
      </w:r>
      <w:r>
        <w:rPr>
          <w:sz w:val="26"/>
          <w:szCs w:val="26"/>
        </w:rPr>
        <w:t xml:space="preserve"> </w:t>
      </w:r>
      <w:r w:rsidRPr="00AE1F98">
        <w:rPr>
          <w:sz w:val="26"/>
          <w:szCs w:val="26"/>
        </w:rPr>
        <w:t xml:space="preserve">Volumes under this service are subject to a gathering rate and a gas-in kind retainage rate (for the recovery of gathering UFG) that </w:t>
      </w:r>
      <w:r w:rsidR="004A6608">
        <w:rPr>
          <w:sz w:val="26"/>
          <w:szCs w:val="26"/>
        </w:rPr>
        <w:t xml:space="preserve">is determined by negotiations.  Peoples Gas St. No. 5-R at 22. </w:t>
      </w:r>
      <w:r w:rsidRPr="00AE1F98">
        <w:rPr>
          <w:sz w:val="26"/>
          <w:szCs w:val="26"/>
        </w:rPr>
        <w:t xml:space="preserve"> Therefore, according to Peoples Gas, Rate AGS is a prime example of charging different rates for the gathering comp</w:t>
      </w:r>
      <w:r w:rsidR="004A6608">
        <w:rPr>
          <w:sz w:val="26"/>
          <w:szCs w:val="26"/>
        </w:rPr>
        <w:t>onent of an integrated system.  Peoples Gas R.B. at 7-8.</w:t>
      </w:r>
    </w:p>
    <w:p w:rsidR="00072015" w:rsidRPr="00072015" w:rsidRDefault="00457B9F" w:rsidP="00844225">
      <w:pPr>
        <w:widowControl/>
        <w:tabs>
          <w:tab w:val="left" w:pos="1445"/>
          <w:tab w:val="left" w:pos="4410"/>
          <w:tab w:val="left" w:pos="7920"/>
        </w:tabs>
        <w:autoSpaceDE w:val="0"/>
        <w:autoSpaceDN w:val="0"/>
        <w:adjustRightInd w:val="0"/>
        <w:spacing w:line="360" w:lineRule="auto"/>
        <w:ind w:firstLine="1440"/>
        <w:rPr>
          <w:sz w:val="26"/>
          <w:szCs w:val="26"/>
        </w:rPr>
      </w:pPr>
      <w:r>
        <w:rPr>
          <w:sz w:val="26"/>
          <w:szCs w:val="26"/>
        </w:rPr>
        <w:lastRenderedPageBreak/>
        <w:t>Peoples Gas also argued</w:t>
      </w:r>
      <w:r w:rsidR="00072015" w:rsidRPr="00072015">
        <w:rPr>
          <w:sz w:val="26"/>
          <w:szCs w:val="26"/>
        </w:rPr>
        <w:t xml:space="preserve"> that PIOGA fails to acknowledge that, at the interstate level, integrated pipelines charge separately for gathering retainage. </w:t>
      </w:r>
      <w:r w:rsidR="00072015">
        <w:rPr>
          <w:sz w:val="26"/>
          <w:szCs w:val="26"/>
        </w:rPr>
        <w:t xml:space="preserve"> </w:t>
      </w:r>
      <w:r w:rsidR="00072015" w:rsidRPr="00072015">
        <w:rPr>
          <w:sz w:val="26"/>
          <w:szCs w:val="26"/>
        </w:rPr>
        <w:t>As explained in the Company</w:t>
      </w:r>
      <w:r w:rsidR="001A5BA1">
        <w:rPr>
          <w:sz w:val="26"/>
          <w:szCs w:val="26"/>
        </w:rPr>
        <w:t>’</w:t>
      </w:r>
      <w:r w:rsidR="00072015" w:rsidRPr="00072015">
        <w:rPr>
          <w:sz w:val="26"/>
          <w:szCs w:val="26"/>
        </w:rPr>
        <w:t>s Main Brief, Equitrans L.P.</w:t>
      </w:r>
      <w:r w:rsidR="001A5BA1">
        <w:rPr>
          <w:sz w:val="26"/>
          <w:szCs w:val="26"/>
        </w:rPr>
        <w:t>’</w:t>
      </w:r>
      <w:r w:rsidR="00072015" w:rsidRPr="00072015">
        <w:rPr>
          <w:sz w:val="26"/>
          <w:szCs w:val="26"/>
        </w:rPr>
        <w:t xml:space="preserve">s current FERC-approved tariff provides for 9.5% gathering system retainage, and as of August 1, 2016, which is the effective date of Dominion Energy Transmission spinning down its Appalachian gathering system to its unregulated gathering affiliate, its FERC-approved tariff provided </w:t>
      </w:r>
      <w:r w:rsidR="00072015">
        <w:rPr>
          <w:sz w:val="26"/>
          <w:szCs w:val="26"/>
        </w:rPr>
        <w:t>for 9.34% gathering retainage.  Peoples Gas St. No. 1-R, at 7.</w:t>
      </w:r>
      <w:r w:rsidR="00072015" w:rsidRPr="00072015">
        <w:rPr>
          <w:sz w:val="26"/>
          <w:szCs w:val="26"/>
        </w:rPr>
        <w:t xml:space="preserve"> </w:t>
      </w:r>
      <w:r w:rsidR="00072015">
        <w:rPr>
          <w:sz w:val="26"/>
          <w:szCs w:val="26"/>
        </w:rPr>
        <w:t xml:space="preserve"> </w:t>
      </w:r>
      <w:r w:rsidR="00072015" w:rsidRPr="00072015">
        <w:rPr>
          <w:sz w:val="26"/>
          <w:szCs w:val="26"/>
        </w:rPr>
        <w:t>Additionally, Columbia Gas Transmission, LLC (TCo) currently recovers 4.5% UFG on its gathering facilities in its low-pressure systems in southwest Pennsylvania and West Virginia, and that amount will increase annually by 0.5</w:t>
      </w:r>
      <w:r w:rsidR="00072015">
        <w:rPr>
          <w:sz w:val="26"/>
          <w:szCs w:val="26"/>
        </w:rPr>
        <w:t>% until reaching 6.0% in 2021.  Peoples Gas St. No. 1-R at</w:t>
      </w:r>
      <w:r w:rsidR="00832159">
        <w:rPr>
          <w:sz w:val="26"/>
          <w:szCs w:val="26"/>
        </w:rPr>
        <w:t> </w:t>
      </w:r>
      <w:r w:rsidR="00072015">
        <w:rPr>
          <w:sz w:val="26"/>
          <w:szCs w:val="26"/>
        </w:rPr>
        <w:t xml:space="preserve">24. </w:t>
      </w:r>
      <w:r w:rsidR="00072015" w:rsidRPr="00072015">
        <w:rPr>
          <w:sz w:val="26"/>
          <w:szCs w:val="26"/>
        </w:rPr>
        <w:t xml:space="preserve"> As a result, Peoples Gas argues it is common for interstate pipelines in the area to charge for gathering retainage, even though their systems are integrated.</w:t>
      </w:r>
      <w:r w:rsidR="00072015">
        <w:rPr>
          <w:sz w:val="26"/>
          <w:szCs w:val="26"/>
        </w:rPr>
        <w:t xml:space="preserve"> </w:t>
      </w:r>
      <w:r w:rsidR="00072015" w:rsidRPr="00072015">
        <w:rPr>
          <w:sz w:val="26"/>
          <w:szCs w:val="26"/>
        </w:rPr>
        <w:t xml:space="preserve"> Due to the Company</w:t>
      </w:r>
      <w:r w:rsidR="001A5BA1">
        <w:rPr>
          <w:sz w:val="26"/>
          <w:szCs w:val="26"/>
        </w:rPr>
        <w:t>’</w:t>
      </w:r>
      <w:r w:rsidR="00072015" w:rsidRPr="00072015">
        <w:rPr>
          <w:sz w:val="26"/>
          <w:szCs w:val="26"/>
        </w:rPr>
        <w:t xml:space="preserve">s </w:t>
      </w:r>
      <w:r w:rsidR="001A5BA1">
        <w:rPr>
          <w:sz w:val="26"/>
          <w:szCs w:val="26"/>
        </w:rPr>
        <w:t>“</w:t>
      </w:r>
      <w:r w:rsidR="00072015" w:rsidRPr="00072015">
        <w:rPr>
          <w:sz w:val="26"/>
          <w:szCs w:val="26"/>
        </w:rPr>
        <w:t>unique</w:t>
      </w:r>
      <w:r w:rsidR="001A5BA1">
        <w:rPr>
          <w:sz w:val="26"/>
          <w:szCs w:val="26"/>
        </w:rPr>
        <w:t>”</w:t>
      </w:r>
      <w:r w:rsidR="00072015" w:rsidRPr="00072015">
        <w:rPr>
          <w:sz w:val="26"/>
          <w:szCs w:val="26"/>
        </w:rPr>
        <w:t xml:space="preserve"> position as a Pennsylvania</w:t>
      </w:r>
      <w:r w:rsidR="00072015">
        <w:rPr>
          <w:sz w:val="26"/>
          <w:szCs w:val="26"/>
        </w:rPr>
        <w:t xml:space="preserve"> </w:t>
      </w:r>
      <w:r w:rsidR="00072015" w:rsidRPr="00072015">
        <w:rPr>
          <w:sz w:val="26"/>
          <w:szCs w:val="26"/>
        </w:rPr>
        <w:t xml:space="preserve">gas utility that owns gathering pipelines, its integrated operations are comparable to these interstate integrated pipelines. </w:t>
      </w:r>
      <w:r w:rsidR="00072015">
        <w:rPr>
          <w:sz w:val="26"/>
          <w:szCs w:val="26"/>
        </w:rPr>
        <w:t xml:space="preserve"> Thus, according to Peoples Gas, its</w:t>
      </w:r>
      <w:r w:rsidR="00072015" w:rsidRPr="00072015">
        <w:rPr>
          <w:sz w:val="26"/>
          <w:szCs w:val="26"/>
        </w:rPr>
        <w:t xml:space="preserve"> proposed producer retainage charge is not inconsistent with the Company</w:t>
      </w:r>
      <w:r w:rsidR="001A5BA1">
        <w:rPr>
          <w:sz w:val="26"/>
          <w:szCs w:val="26"/>
        </w:rPr>
        <w:t>’</w:t>
      </w:r>
      <w:r w:rsidR="00072015" w:rsidRPr="00072015">
        <w:rPr>
          <w:sz w:val="26"/>
          <w:szCs w:val="26"/>
        </w:rPr>
        <w:t>s integrated systems and appears consistent with practice in the Appalachian</w:t>
      </w:r>
      <w:r w:rsidR="00072015">
        <w:rPr>
          <w:sz w:val="26"/>
          <w:szCs w:val="26"/>
        </w:rPr>
        <w:t xml:space="preserve"> Basin.  Peoples Gas R.B. at 8.</w:t>
      </w:r>
    </w:p>
    <w:p w:rsidR="00072015" w:rsidRPr="00072015" w:rsidRDefault="00072015" w:rsidP="00844225">
      <w:pPr>
        <w:widowControl/>
        <w:tabs>
          <w:tab w:val="left" w:pos="1445"/>
          <w:tab w:val="left" w:pos="4410"/>
          <w:tab w:val="left" w:pos="7920"/>
        </w:tabs>
        <w:autoSpaceDE w:val="0"/>
        <w:autoSpaceDN w:val="0"/>
        <w:adjustRightInd w:val="0"/>
        <w:spacing w:line="360" w:lineRule="auto"/>
        <w:ind w:firstLine="1440"/>
        <w:rPr>
          <w:sz w:val="26"/>
          <w:szCs w:val="26"/>
        </w:rPr>
      </w:pPr>
    </w:p>
    <w:p w:rsidR="00A53EAC" w:rsidRDefault="007E1FFE" w:rsidP="00844225">
      <w:pPr>
        <w:widowControl/>
        <w:tabs>
          <w:tab w:val="left" w:pos="1445"/>
          <w:tab w:val="left" w:pos="4410"/>
          <w:tab w:val="left" w:pos="7920"/>
        </w:tabs>
        <w:autoSpaceDE w:val="0"/>
        <w:autoSpaceDN w:val="0"/>
        <w:adjustRightInd w:val="0"/>
        <w:spacing w:line="360" w:lineRule="auto"/>
        <w:ind w:firstLine="1440"/>
        <w:rPr>
          <w:sz w:val="26"/>
          <w:szCs w:val="26"/>
        </w:rPr>
      </w:pPr>
      <w:r w:rsidRPr="007E1FFE">
        <w:rPr>
          <w:sz w:val="26"/>
          <w:szCs w:val="26"/>
        </w:rPr>
        <w:t>Further,</w:t>
      </w:r>
      <w:r w:rsidR="00457B9F">
        <w:rPr>
          <w:sz w:val="26"/>
          <w:szCs w:val="26"/>
        </w:rPr>
        <w:t xml:space="preserve"> Peoples Gas asserted</w:t>
      </w:r>
      <w:r>
        <w:rPr>
          <w:sz w:val="26"/>
          <w:szCs w:val="26"/>
        </w:rPr>
        <w:t xml:space="preserve"> that</w:t>
      </w:r>
      <w:r w:rsidRPr="007E1FFE">
        <w:rPr>
          <w:sz w:val="26"/>
          <w:szCs w:val="26"/>
        </w:rPr>
        <w:t xml:space="preserve"> PIOGA</w:t>
      </w:r>
      <w:r w:rsidR="001A5BA1">
        <w:rPr>
          <w:sz w:val="26"/>
          <w:szCs w:val="26"/>
        </w:rPr>
        <w:t>’</w:t>
      </w:r>
      <w:r w:rsidRPr="007E1FFE">
        <w:rPr>
          <w:sz w:val="26"/>
          <w:szCs w:val="26"/>
        </w:rPr>
        <w:t>s reliance on the Commonwealth Court</w:t>
      </w:r>
      <w:r w:rsidR="001A5BA1">
        <w:rPr>
          <w:sz w:val="26"/>
          <w:szCs w:val="26"/>
        </w:rPr>
        <w:t>’</w:t>
      </w:r>
      <w:r w:rsidRPr="007E1FFE">
        <w:rPr>
          <w:sz w:val="26"/>
          <w:szCs w:val="26"/>
        </w:rPr>
        <w:t xml:space="preserve">s decision in </w:t>
      </w:r>
      <w:r w:rsidRPr="007E1FFE">
        <w:rPr>
          <w:i/>
          <w:sz w:val="26"/>
          <w:szCs w:val="26"/>
        </w:rPr>
        <w:t xml:space="preserve">Crown Castle </w:t>
      </w:r>
      <w:r>
        <w:rPr>
          <w:sz w:val="26"/>
          <w:szCs w:val="26"/>
        </w:rPr>
        <w:t xml:space="preserve">is completely inapposite, explaining the referenced case </w:t>
      </w:r>
      <w:r w:rsidRPr="007E1FFE">
        <w:rPr>
          <w:sz w:val="26"/>
          <w:szCs w:val="26"/>
        </w:rPr>
        <w:t>concerned the Commission</w:t>
      </w:r>
      <w:r w:rsidR="001A5BA1">
        <w:rPr>
          <w:sz w:val="26"/>
          <w:szCs w:val="26"/>
        </w:rPr>
        <w:t>’</w:t>
      </w:r>
      <w:r w:rsidRPr="007E1FFE">
        <w:rPr>
          <w:sz w:val="26"/>
          <w:szCs w:val="26"/>
        </w:rPr>
        <w:t>s interpretation of a statute, not how a utility classifies its facilities or recovers the costs of providing services on those facilities</w:t>
      </w:r>
      <w:r>
        <w:rPr>
          <w:sz w:val="26"/>
          <w:szCs w:val="26"/>
        </w:rPr>
        <w:t xml:space="preserve">.  Peoples Gas R.B. at 9.  </w:t>
      </w:r>
      <w:r w:rsidRPr="007E1FFE">
        <w:rPr>
          <w:sz w:val="26"/>
          <w:szCs w:val="26"/>
        </w:rPr>
        <w:t>Furthermore, as explained in the Company</w:t>
      </w:r>
      <w:r w:rsidR="001A5BA1">
        <w:rPr>
          <w:sz w:val="26"/>
          <w:szCs w:val="26"/>
        </w:rPr>
        <w:t>’</w:t>
      </w:r>
      <w:r w:rsidRPr="007E1FFE">
        <w:rPr>
          <w:sz w:val="26"/>
          <w:szCs w:val="26"/>
        </w:rPr>
        <w:t>s Main Brief, the Company utilizes the regulatory definitions of the Commission and PHSMA, as well as FERC</w:t>
      </w:r>
      <w:r w:rsidR="001A5BA1">
        <w:rPr>
          <w:sz w:val="26"/>
          <w:szCs w:val="26"/>
        </w:rPr>
        <w:t>’</w:t>
      </w:r>
      <w:r w:rsidRPr="007E1FFE">
        <w:rPr>
          <w:sz w:val="26"/>
          <w:szCs w:val="26"/>
        </w:rPr>
        <w:t xml:space="preserve">s </w:t>
      </w:r>
      <w:r w:rsidR="001A5BA1">
        <w:rPr>
          <w:sz w:val="26"/>
          <w:szCs w:val="26"/>
        </w:rPr>
        <w:t>“</w:t>
      </w:r>
      <w:r w:rsidRPr="007E1FFE">
        <w:rPr>
          <w:sz w:val="26"/>
          <w:szCs w:val="26"/>
        </w:rPr>
        <w:t>modified primary function tes</w:t>
      </w:r>
      <w:r>
        <w:rPr>
          <w:sz w:val="26"/>
          <w:szCs w:val="26"/>
        </w:rPr>
        <w:t>t,</w:t>
      </w:r>
      <w:r w:rsidR="001A5BA1">
        <w:rPr>
          <w:sz w:val="26"/>
          <w:szCs w:val="26"/>
        </w:rPr>
        <w:t>”</w:t>
      </w:r>
      <w:r>
        <w:rPr>
          <w:sz w:val="26"/>
          <w:szCs w:val="26"/>
        </w:rPr>
        <w:t xml:space="preserve"> to classify its pipelines.  Peoples Gas M.B. at 17-18.</w:t>
      </w:r>
    </w:p>
    <w:p w:rsidR="00A53EAC" w:rsidRDefault="00A53EAC" w:rsidP="00844225">
      <w:pPr>
        <w:widowControl/>
        <w:tabs>
          <w:tab w:val="left" w:pos="1445"/>
          <w:tab w:val="left" w:pos="4410"/>
          <w:tab w:val="left" w:pos="7920"/>
        </w:tabs>
        <w:autoSpaceDE w:val="0"/>
        <w:autoSpaceDN w:val="0"/>
        <w:adjustRightInd w:val="0"/>
        <w:spacing w:line="360" w:lineRule="auto"/>
        <w:rPr>
          <w:sz w:val="26"/>
          <w:szCs w:val="26"/>
        </w:rPr>
      </w:pPr>
    </w:p>
    <w:p w:rsidR="00AE7175" w:rsidRDefault="00C57680" w:rsidP="00844225">
      <w:pPr>
        <w:widowControl/>
        <w:tabs>
          <w:tab w:val="left" w:pos="1445"/>
          <w:tab w:val="left" w:pos="4410"/>
          <w:tab w:val="left" w:pos="7920"/>
        </w:tabs>
        <w:autoSpaceDE w:val="0"/>
        <w:autoSpaceDN w:val="0"/>
        <w:adjustRightInd w:val="0"/>
        <w:spacing w:line="360" w:lineRule="auto"/>
        <w:ind w:firstLine="1440"/>
        <w:rPr>
          <w:sz w:val="26"/>
          <w:szCs w:val="26"/>
        </w:rPr>
      </w:pPr>
      <w:r>
        <w:rPr>
          <w:sz w:val="26"/>
          <w:szCs w:val="26"/>
        </w:rPr>
        <w:t>The la</w:t>
      </w:r>
      <w:r w:rsidR="00423696">
        <w:rPr>
          <w:sz w:val="26"/>
          <w:szCs w:val="26"/>
        </w:rPr>
        <w:t xml:space="preserve">st two </w:t>
      </w:r>
      <w:r w:rsidR="00457B9F">
        <w:rPr>
          <w:sz w:val="26"/>
          <w:szCs w:val="26"/>
        </w:rPr>
        <w:t>arguments PIOGA advanced</w:t>
      </w:r>
      <w:r>
        <w:rPr>
          <w:sz w:val="26"/>
          <w:szCs w:val="26"/>
        </w:rPr>
        <w:t xml:space="preserve"> in opposition to the Company</w:t>
      </w:r>
      <w:r w:rsidR="001A5BA1">
        <w:rPr>
          <w:sz w:val="26"/>
          <w:szCs w:val="26"/>
        </w:rPr>
        <w:t>’</w:t>
      </w:r>
      <w:r>
        <w:rPr>
          <w:sz w:val="26"/>
          <w:szCs w:val="26"/>
        </w:rPr>
        <w:t>s proposed producer retainage charge</w:t>
      </w:r>
      <w:r w:rsidR="001067BB">
        <w:rPr>
          <w:sz w:val="26"/>
          <w:szCs w:val="26"/>
        </w:rPr>
        <w:t xml:space="preserve"> are based on what PIOGA views as a unique situation, where the Company has constructed pipelines to gather local production as part </w:t>
      </w:r>
      <w:r w:rsidR="001067BB">
        <w:rPr>
          <w:sz w:val="26"/>
          <w:szCs w:val="26"/>
        </w:rPr>
        <w:lastRenderedPageBreak/>
        <w:t>of an integrated operation to provide natural gas to their utility customers and connected potential customers located adjacent to those lines to them</w:t>
      </w:r>
      <w:r w:rsidR="002A3ECA">
        <w:rPr>
          <w:sz w:val="26"/>
          <w:szCs w:val="26"/>
        </w:rPr>
        <w:t>, including</w:t>
      </w:r>
      <w:r w:rsidR="00F3338A">
        <w:rPr>
          <w:sz w:val="26"/>
          <w:szCs w:val="26"/>
        </w:rPr>
        <w:t xml:space="preserve"> Peoples Gas</w:t>
      </w:r>
      <w:r w:rsidR="001A5BA1">
        <w:rPr>
          <w:sz w:val="26"/>
          <w:szCs w:val="26"/>
        </w:rPr>
        <w:t>’</w:t>
      </w:r>
      <w:r w:rsidR="00F3338A">
        <w:rPr>
          <w:sz w:val="26"/>
          <w:szCs w:val="26"/>
        </w:rPr>
        <w:t xml:space="preserve"> mischaracterizations of those pipelines</w:t>
      </w:r>
      <w:r w:rsidR="002A3ECA">
        <w:rPr>
          <w:sz w:val="26"/>
          <w:szCs w:val="26"/>
        </w:rPr>
        <w:t>,</w:t>
      </w:r>
      <w:r w:rsidR="00F3338A">
        <w:rPr>
          <w:sz w:val="26"/>
          <w:szCs w:val="26"/>
        </w:rPr>
        <w:t xml:space="preserve"> and PIOGA</w:t>
      </w:r>
      <w:r w:rsidR="001A5BA1">
        <w:rPr>
          <w:sz w:val="26"/>
          <w:szCs w:val="26"/>
        </w:rPr>
        <w:t>’</w:t>
      </w:r>
      <w:r w:rsidR="00F3338A">
        <w:rPr>
          <w:sz w:val="26"/>
          <w:szCs w:val="26"/>
        </w:rPr>
        <w:t>s assertion that the proposed producer retainage charge is bad policy for such a unique situation.</w:t>
      </w:r>
    </w:p>
    <w:p w:rsidR="00F3338A" w:rsidRDefault="00F3338A" w:rsidP="00844225">
      <w:pPr>
        <w:widowControl/>
        <w:tabs>
          <w:tab w:val="left" w:pos="1445"/>
          <w:tab w:val="left" w:pos="4410"/>
          <w:tab w:val="left" w:pos="7920"/>
        </w:tabs>
        <w:autoSpaceDE w:val="0"/>
        <w:autoSpaceDN w:val="0"/>
        <w:adjustRightInd w:val="0"/>
        <w:spacing w:line="360" w:lineRule="auto"/>
        <w:ind w:firstLine="1440"/>
        <w:rPr>
          <w:sz w:val="26"/>
          <w:szCs w:val="26"/>
        </w:rPr>
      </w:pPr>
    </w:p>
    <w:p w:rsidR="00AE7175" w:rsidRPr="0096477E" w:rsidRDefault="00023F93" w:rsidP="00832159">
      <w:pPr>
        <w:pStyle w:val="Heading5"/>
        <w:keepNext/>
        <w:keepLines/>
      </w:pPr>
      <w:r>
        <w:t>PIOGA argues that the Peoples Companies are not gatherers.</w:t>
      </w:r>
    </w:p>
    <w:p w:rsidR="00A53EAC" w:rsidRDefault="00A53EAC" w:rsidP="00832159">
      <w:pPr>
        <w:keepNext/>
        <w:keepLines/>
        <w:widowControl/>
        <w:tabs>
          <w:tab w:val="left" w:pos="1445"/>
          <w:tab w:val="left" w:pos="4410"/>
          <w:tab w:val="left" w:pos="7920"/>
        </w:tabs>
        <w:autoSpaceDE w:val="0"/>
        <w:autoSpaceDN w:val="0"/>
        <w:adjustRightInd w:val="0"/>
        <w:spacing w:line="360" w:lineRule="auto"/>
        <w:rPr>
          <w:sz w:val="26"/>
          <w:szCs w:val="26"/>
        </w:rPr>
      </w:pPr>
    </w:p>
    <w:p w:rsidR="00023F93" w:rsidRDefault="00457B9F" w:rsidP="00844225">
      <w:pPr>
        <w:widowControl/>
        <w:tabs>
          <w:tab w:val="left" w:pos="1445"/>
          <w:tab w:val="left" w:pos="4410"/>
          <w:tab w:val="left" w:pos="7920"/>
        </w:tabs>
        <w:autoSpaceDE w:val="0"/>
        <w:autoSpaceDN w:val="0"/>
        <w:adjustRightInd w:val="0"/>
        <w:spacing w:line="360" w:lineRule="auto"/>
        <w:ind w:firstLine="1440"/>
        <w:rPr>
          <w:sz w:val="26"/>
          <w:szCs w:val="26"/>
        </w:rPr>
      </w:pPr>
      <w:r>
        <w:rPr>
          <w:sz w:val="26"/>
          <w:szCs w:val="26"/>
        </w:rPr>
        <w:t xml:space="preserve">PIOGA </w:t>
      </w:r>
      <w:r w:rsidR="00B947B7">
        <w:rPr>
          <w:sz w:val="26"/>
          <w:szCs w:val="26"/>
        </w:rPr>
        <w:t>averred</w:t>
      </w:r>
      <w:r w:rsidR="00F63815">
        <w:rPr>
          <w:sz w:val="26"/>
          <w:szCs w:val="26"/>
        </w:rPr>
        <w:t xml:space="preserve"> that the Company is not a </w:t>
      </w:r>
      <w:r w:rsidR="001A5BA1">
        <w:rPr>
          <w:sz w:val="26"/>
          <w:szCs w:val="26"/>
        </w:rPr>
        <w:t>“</w:t>
      </w:r>
      <w:r w:rsidR="00F63815">
        <w:rPr>
          <w:sz w:val="26"/>
          <w:szCs w:val="26"/>
        </w:rPr>
        <w:t>true</w:t>
      </w:r>
      <w:r w:rsidR="001A5BA1">
        <w:rPr>
          <w:sz w:val="26"/>
          <w:szCs w:val="26"/>
        </w:rPr>
        <w:t>”</w:t>
      </w:r>
      <w:r w:rsidR="0006353D">
        <w:rPr>
          <w:sz w:val="26"/>
          <w:szCs w:val="26"/>
        </w:rPr>
        <w:t xml:space="preserve"> gatherer because</w:t>
      </w:r>
      <w:r w:rsidR="00F63815">
        <w:rPr>
          <w:sz w:val="26"/>
          <w:szCs w:val="26"/>
        </w:rPr>
        <w:t xml:space="preserve"> distribution customers are served directly </w:t>
      </w:r>
      <w:r w:rsidR="00B51FC1">
        <w:rPr>
          <w:sz w:val="26"/>
          <w:szCs w:val="26"/>
        </w:rPr>
        <w:t>off</w:t>
      </w:r>
      <w:r w:rsidR="00F63815">
        <w:rPr>
          <w:sz w:val="26"/>
          <w:szCs w:val="26"/>
        </w:rPr>
        <w:t xml:space="preserve"> the gathering pipelines.  PIOG</w:t>
      </w:r>
      <w:r w:rsidR="00824CB3">
        <w:rPr>
          <w:sz w:val="26"/>
          <w:szCs w:val="26"/>
        </w:rPr>
        <w:t>A M.B. at</w:t>
      </w:r>
      <w:r w:rsidR="00832159">
        <w:rPr>
          <w:sz w:val="26"/>
          <w:szCs w:val="26"/>
        </w:rPr>
        <w:t> </w:t>
      </w:r>
      <w:r w:rsidR="00824CB3">
        <w:rPr>
          <w:sz w:val="26"/>
          <w:szCs w:val="26"/>
        </w:rPr>
        <w:t>9-11.  PIOGA also set</w:t>
      </w:r>
      <w:r w:rsidR="00F63815">
        <w:rPr>
          <w:sz w:val="26"/>
          <w:szCs w:val="26"/>
        </w:rPr>
        <w:t xml:space="preserve"> forth its own definitions of </w:t>
      </w:r>
      <w:r w:rsidR="001A5BA1">
        <w:rPr>
          <w:sz w:val="26"/>
          <w:szCs w:val="26"/>
        </w:rPr>
        <w:t>“</w:t>
      </w:r>
      <w:r w:rsidR="00F63815">
        <w:rPr>
          <w:sz w:val="26"/>
          <w:szCs w:val="26"/>
        </w:rPr>
        <w:t>distribution pipeline</w:t>
      </w:r>
      <w:r w:rsidR="001A5BA1">
        <w:rPr>
          <w:sz w:val="26"/>
          <w:szCs w:val="26"/>
        </w:rPr>
        <w:t>”</w:t>
      </w:r>
      <w:r w:rsidR="00F63815">
        <w:rPr>
          <w:sz w:val="26"/>
          <w:szCs w:val="26"/>
        </w:rPr>
        <w:t xml:space="preserve"> and </w:t>
      </w:r>
      <w:r w:rsidR="001A5BA1">
        <w:rPr>
          <w:sz w:val="26"/>
          <w:szCs w:val="26"/>
        </w:rPr>
        <w:t>“</w:t>
      </w:r>
      <w:r w:rsidR="00F63815">
        <w:rPr>
          <w:sz w:val="26"/>
          <w:szCs w:val="26"/>
        </w:rPr>
        <w:t>gathering pipeline</w:t>
      </w:r>
      <w:r w:rsidR="001A5BA1">
        <w:rPr>
          <w:sz w:val="26"/>
          <w:szCs w:val="26"/>
        </w:rPr>
        <w:t>”</w:t>
      </w:r>
      <w:r w:rsidR="00F63815">
        <w:rPr>
          <w:sz w:val="26"/>
          <w:szCs w:val="26"/>
        </w:rPr>
        <w:t xml:space="preserve"> and claims that </w:t>
      </w:r>
      <w:r w:rsidR="001A5BA1">
        <w:rPr>
          <w:sz w:val="26"/>
          <w:szCs w:val="26"/>
        </w:rPr>
        <w:t>“</w:t>
      </w:r>
      <w:r w:rsidR="00F63815">
        <w:rPr>
          <w:sz w:val="26"/>
          <w:szCs w:val="26"/>
        </w:rPr>
        <w:t>the Peoples Companies rely upon accounting definitions or classifications to support their characterizations of pipelines.</w:t>
      </w:r>
      <w:r w:rsidR="001A5BA1">
        <w:rPr>
          <w:sz w:val="26"/>
          <w:szCs w:val="26"/>
        </w:rPr>
        <w:t>”</w:t>
      </w:r>
      <w:r w:rsidR="00F63815">
        <w:rPr>
          <w:sz w:val="26"/>
          <w:szCs w:val="26"/>
        </w:rPr>
        <w:t xml:space="preserve">  PIOGA M.B</w:t>
      </w:r>
      <w:r w:rsidR="00824CB3">
        <w:rPr>
          <w:sz w:val="26"/>
          <w:szCs w:val="26"/>
        </w:rPr>
        <w:t>. at 9.  Further, PIOGA presented</w:t>
      </w:r>
      <w:r w:rsidR="00F63815">
        <w:rPr>
          <w:sz w:val="26"/>
          <w:szCs w:val="26"/>
        </w:rPr>
        <w:t xml:space="preserve">, for the first time in its Main Brief, a factual stipulation between PIOGA and the Commission in a Commonwealth Court proceeding that references gathering systems.  PIOGA M.B. at 11, Appx. D.  </w:t>
      </w:r>
    </w:p>
    <w:p w:rsidR="00F63815" w:rsidRDefault="00F63815" w:rsidP="00844225">
      <w:pPr>
        <w:widowControl/>
        <w:tabs>
          <w:tab w:val="left" w:pos="1445"/>
          <w:tab w:val="left" w:pos="4410"/>
          <w:tab w:val="left" w:pos="7920"/>
        </w:tabs>
        <w:autoSpaceDE w:val="0"/>
        <w:autoSpaceDN w:val="0"/>
        <w:adjustRightInd w:val="0"/>
        <w:spacing w:line="360" w:lineRule="auto"/>
        <w:ind w:firstLine="1440"/>
        <w:rPr>
          <w:sz w:val="26"/>
          <w:szCs w:val="26"/>
        </w:rPr>
      </w:pPr>
    </w:p>
    <w:p w:rsidR="001C5073" w:rsidRDefault="001C5073" w:rsidP="00844225">
      <w:pPr>
        <w:widowControl/>
        <w:tabs>
          <w:tab w:val="left" w:pos="1445"/>
          <w:tab w:val="left" w:pos="4410"/>
          <w:tab w:val="left" w:pos="7920"/>
        </w:tabs>
        <w:autoSpaceDE w:val="0"/>
        <w:autoSpaceDN w:val="0"/>
        <w:adjustRightInd w:val="0"/>
        <w:spacing w:line="360" w:lineRule="auto"/>
        <w:ind w:firstLine="1440"/>
        <w:rPr>
          <w:sz w:val="26"/>
          <w:szCs w:val="26"/>
        </w:rPr>
      </w:pPr>
      <w:r>
        <w:rPr>
          <w:sz w:val="26"/>
          <w:szCs w:val="26"/>
        </w:rPr>
        <w:t xml:space="preserve">PIOGA suggested the following definitions that, in its view, more accurately describe the facilities of these unique natural gas distribution pipeline systems for the purpose of addressing UFG: </w:t>
      </w:r>
    </w:p>
    <w:p w:rsidR="00F63815" w:rsidRDefault="00F63815" w:rsidP="00844225">
      <w:pPr>
        <w:widowControl/>
        <w:tabs>
          <w:tab w:val="left" w:pos="1445"/>
          <w:tab w:val="left" w:pos="4410"/>
          <w:tab w:val="left" w:pos="7920"/>
        </w:tabs>
        <w:autoSpaceDE w:val="0"/>
        <w:autoSpaceDN w:val="0"/>
        <w:adjustRightInd w:val="0"/>
        <w:spacing w:line="360" w:lineRule="auto"/>
        <w:ind w:firstLine="1440"/>
        <w:rPr>
          <w:sz w:val="26"/>
          <w:szCs w:val="26"/>
        </w:rPr>
      </w:pPr>
    </w:p>
    <w:p w:rsidR="00CA7F9F" w:rsidRDefault="00CA7F9F" w:rsidP="00844225">
      <w:pPr>
        <w:widowControl/>
        <w:tabs>
          <w:tab w:val="left" w:pos="1445"/>
          <w:tab w:val="left" w:pos="4410"/>
          <w:tab w:val="left" w:pos="7920"/>
        </w:tabs>
        <w:autoSpaceDE w:val="0"/>
        <w:autoSpaceDN w:val="0"/>
        <w:adjustRightInd w:val="0"/>
        <w:ind w:left="1526" w:right="1440"/>
        <w:rPr>
          <w:sz w:val="26"/>
          <w:szCs w:val="26"/>
        </w:rPr>
      </w:pPr>
      <w:r w:rsidRPr="00CA7F9F">
        <w:rPr>
          <w:sz w:val="26"/>
          <w:szCs w:val="26"/>
        </w:rPr>
        <w:t>Production Pipeline – a pipeline connecting a single well to either a gathering pipeline or a Distribution Pipeline, and that may have a free gas landowner customer connected to it.</w:t>
      </w:r>
    </w:p>
    <w:p w:rsidR="00CA7F9F" w:rsidRPr="00CA7F9F" w:rsidRDefault="00CA7F9F" w:rsidP="00844225">
      <w:pPr>
        <w:widowControl/>
        <w:tabs>
          <w:tab w:val="left" w:pos="1445"/>
          <w:tab w:val="left" w:pos="4410"/>
          <w:tab w:val="left" w:pos="7920"/>
        </w:tabs>
        <w:autoSpaceDE w:val="0"/>
        <w:autoSpaceDN w:val="0"/>
        <w:adjustRightInd w:val="0"/>
        <w:ind w:left="1526" w:right="1440"/>
        <w:rPr>
          <w:sz w:val="26"/>
          <w:szCs w:val="26"/>
        </w:rPr>
      </w:pPr>
    </w:p>
    <w:p w:rsidR="00CA7F9F" w:rsidRDefault="00CA7F9F" w:rsidP="00844225">
      <w:pPr>
        <w:widowControl/>
        <w:tabs>
          <w:tab w:val="left" w:pos="1445"/>
          <w:tab w:val="left" w:pos="4410"/>
          <w:tab w:val="left" w:pos="7920"/>
        </w:tabs>
        <w:autoSpaceDE w:val="0"/>
        <w:autoSpaceDN w:val="0"/>
        <w:adjustRightInd w:val="0"/>
        <w:ind w:left="1526" w:right="1440"/>
        <w:rPr>
          <w:sz w:val="26"/>
          <w:szCs w:val="26"/>
        </w:rPr>
      </w:pPr>
      <w:r w:rsidRPr="00CA7F9F">
        <w:rPr>
          <w:sz w:val="26"/>
          <w:szCs w:val="26"/>
        </w:rPr>
        <w:t>Gathering Pipeline – a pipeline that may have free gas landowner customers connected but no PUC regulated customers connected, that aggregates production from multiple Production Pipelines and then connects with a Distribution Pipeline or a Transmission Pipeline.</w:t>
      </w:r>
    </w:p>
    <w:p w:rsidR="00CA7F9F" w:rsidRPr="00CA7F9F" w:rsidRDefault="00CA7F9F" w:rsidP="00844225">
      <w:pPr>
        <w:widowControl/>
        <w:tabs>
          <w:tab w:val="left" w:pos="1445"/>
          <w:tab w:val="left" w:pos="4410"/>
          <w:tab w:val="left" w:pos="7920"/>
        </w:tabs>
        <w:autoSpaceDE w:val="0"/>
        <w:autoSpaceDN w:val="0"/>
        <w:adjustRightInd w:val="0"/>
        <w:ind w:left="1526" w:right="1440"/>
        <w:rPr>
          <w:sz w:val="26"/>
          <w:szCs w:val="26"/>
        </w:rPr>
      </w:pPr>
    </w:p>
    <w:p w:rsidR="00023F93" w:rsidRDefault="00CA7F9F" w:rsidP="00832159">
      <w:pPr>
        <w:keepNext/>
        <w:keepLines/>
        <w:widowControl/>
        <w:tabs>
          <w:tab w:val="left" w:pos="1445"/>
          <w:tab w:val="left" w:pos="4410"/>
          <w:tab w:val="left" w:pos="7920"/>
        </w:tabs>
        <w:autoSpaceDE w:val="0"/>
        <w:autoSpaceDN w:val="0"/>
        <w:adjustRightInd w:val="0"/>
        <w:ind w:left="1526" w:right="1440"/>
        <w:rPr>
          <w:sz w:val="26"/>
          <w:szCs w:val="26"/>
        </w:rPr>
      </w:pPr>
      <w:r w:rsidRPr="00CA7F9F">
        <w:rPr>
          <w:sz w:val="26"/>
          <w:szCs w:val="26"/>
        </w:rPr>
        <w:lastRenderedPageBreak/>
        <w:t>Distribution Pipeline – a pipeline that has PUC regulated customers connected to it.</w:t>
      </w:r>
    </w:p>
    <w:p w:rsidR="00CA7F9F" w:rsidRDefault="00CA7F9F" w:rsidP="00832159">
      <w:pPr>
        <w:keepNext/>
        <w:keepLines/>
        <w:widowControl/>
        <w:tabs>
          <w:tab w:val="left" w:pos="1445"/>
          <w:tab w:val="left" w:pos="4410"/>
          <w:tab w:val="left" w:pos="7920"/>
        </w:tabs>
        <w:autoSpaceDE w:val="0"/>
        <w:autoSpaceDN w:val="0"/>
        <w:adjustRightInd w:val="0"/>
        <w:spacing w:line="360" w:lineRule="auto"/>
        <w:rPr>
          <w:sz w:val="26"/>
          <w:szCs w:val="26"/>
        </w:rPr>
      </w:pPr>
    </w:p>
    <w:p w:rsidR="00A53EAC" w:rsidRDefault="00CA7F9F" w:rsidP="00844225">
      <w:pPr>
        <w:widowControl/>
        <w:tabs>
          <w:tab w:val="left" w:pos="1445"/>
          <w:tab w:val="left" w:pos="4410"/>
          <w:tab w:val="left" w:pos="7920"/>
        </w:tabs>
        <w:autoSpaceDE w:val="0"/>
        <w:autoSpaceDN w:val="0"/>
        <w:adjustRightInd w:val="0"/>
        <w:spacing w:line="360" w:lineRule="auto"/>
        <w:rPr>
          <w:sz w:val="26"/>
          <w:szCs w:val="26"/>
        </w:rPr>
      </w:pPr>
      <w:r>
        <w:rPr>
          <w:sz w:val="26"/>
          <w:szCs w:val="26"/>
        </w:rPr>
        <w:t>PIOGA St. No. 1-SR at 7.</w:t>
      </w:r>
    </w:p>
    <w:p w:rsidR="00CA7F9F" w:rsidRDefault="00CA7F9F" w:rsidP="00844225">
      <w:pPr>
        <w:widowControl/>
        <w:tabs>
          <w:tab w:val="left" w:pos="1445"/>
          <w:tab w:val="left" w:pos="4410"/>
          <w:tab w:val="left" w:pos="7920"/>
        </w:tabs>
        <w:autoSpaceDE w:val="0"/>
        <w:autoSpaceDN w:val="0"/>
        <w:adjustRightInd w:val="0"/>
        <w:spacing w:line="360" w:lineRule="auto"/>
        <w:rPr>
          <w:sz w:val="26"/>
          <w:szCs w:val="26"/>
        </w:rPr>
      </w:pPr>
    </w:p>
    <w:p w:rsidR="00CA7F9F" w:rsidRDefault="00812BCE" w:rsidP="00844225">
      <w:pPr>
        <w:widowControl/>
        <w:tabs>
          <w:tab w:val="left" w:pos="1445"/>
          <w:tab w:val="left" w:pos="4410"/>
          <w:tab w:val="left" w:pos="7920"/>
        </w:tabs>
        <w:autoSpaceDE w:val="0"/>
        <w:autoSpaceDN w:val="0"/>
        <w:adjustRightInd w:val="0"/>
        <w:spacing w:line="360" w:lineRule="auto"/>
        <w:rPr>
          <w:sz w:val="26"/>
          <w:szCs w:val="26"/>
        </w:rPr>
      </w:pPr>
      <w:r>
        <w:rPr>
          <w:sz w:val="26"/>
          <w:szCs w:val="26"/>
        </w:rPr>
        <w:tab/>
        <w:t>According to Peoples Gas, t</w:t>
      </w:r>
      <w:r w:rsidR="00C76EFC">
        <w:rPr>
          <w:sz w:val="26"/>
          <w:szCs w:val="26"/>
        </w:rPr>
        <w:t xml:space="preserve">hese definitions effectively seek to redefine any gathering pipelines that have Commission-regulated customers connected to them as distribution pipelines, so that PIOGA can disclaim any responsibility for UFG on those lines.  Peoples Gas M.B. at 16.  </w:t>
      </w:r>
    </w:p>
    <w:p w:rsidR="00A8509B" w:rsidRDefault="00A8509B" w:rsidP="00844225">
      <w:pPr>
        <w:widowControl/>
        <w:tabs>
          <w:tab w:val="left" w:pos="1445"/>
          <w:tab w:val="left" w:pos="4410"/>
          <w:tab w:val="left" w:pos="7920"/>
        </w:tabs>
        <w:autoSpaceDE w:val="0"/>
        <w:autoSpaceDN w:val="0"/>
        <w:adjustRightInd w:val="0"/>
        <w:spacing w:line="360" w:lineRule="auto"/>
        <w:rPr>
          <w:sz w:val="26"/>
          <w:szCs w:val="26"/>
        </w:rPr>
      </w:pPr>
    </w:p>
    <w:p w:rsidR="00A8509B" w:rsidRDefault="00824CB3" w:rsidP="00844225">
      <w:pPr>
        <w:widowControl/>
        <w:tabs>
          <w:tab w:val="left" w:pos="1445"/>
          <w:tab w:val="left" w:pos="4410"/>
          <w:tab w:val="left" w:pos="7920"/>
        </w:tabs>
        <w:autoSpaceDE w:val="0"/>
        <w:autoSpaceDN w:val="0"/>
        <w:adjustRightInd w:val="0"/>
        <w:spacing w:line="360" w:lineRule="auto"/>
        <w:ind w:firstLine="1350"/>
        <w:rPr>
          <w:sz w:val="26"/>
          <w:szCs w:val="26"/>
        </w:rPr>
      </w:pPr>
      <w:r>
        <w:rPr>
          <w:sz w:val="26"/>
          <w:szCs w:val="26"/>
        </w:rPr>
        <w:t>The Company responded</w:t>
      </w:r>
      <w:r w:rsidR="00A8509B">
        <w:rPr>
          <w:sz w:val="26"/>
          <w:szCs w:val="26"/>
        </w:rPr>
        <w:t xml:space="preserve"> by first noting PIOGA</w:t>
      </w:r>
      <w:r w:rsidR="001A5BA1">
        <w:rPr>
          <w:sz w:val="26"/>
          <w:szCs w:val="26"/>
        </w:rPr>
        <w:t>’</w:t>
      </w:r>
      <w:r w:rsidR="00A8509B">
        <w:rPr>
          <w:sz w:val="26"/>
          <w:szCs w:val="26"/>
        </w:rPr>
        <w:t xml:space="preserve">s erroneous claim that the Company uses </w:t>
      </w:r>
      <w:r w:rsidR="001A5BA1">
        <w:rPr>
          <w:sz w:val="26"/>
          <w:szCs w:val="26"/>
        </w:rPr>
        <w:t>“</w:t>
      </w:r>
      <w:r w:rsidR="00A8509B">
        <w:rPr>
          <w:sz w:val="26"/>
          <w:szCs w:val="26"/>
        </w:rPr>
        <w:t>accounting definitions or classifications to support</w:t>
      </w:r>
      <w:r w:rsidR="001A5BA1">
        <w:rPr>
          <w:sz w:val="26"/>
          <w:szCs w:val="26"/>
        </w:rPr>
        <w:t>”</w:t>
      </w:r>
      <w:r w:rsidR="00A8509B">
        <w:rPr>
          <w:sz w:val="26"/>
          <w:szCs w:val="26"/>
        </w:rPr>
        <w:t xml:space="preserve"> its characterization of pipelines.  According to Peoples Gas, it utilizes the definitions set forth in the </w:t>
      </w:r>
      <w:r w:rsidR="00812BCE">
        <w:rPr>
          <w:sz w:val="26"/>
          <w:szCs w:val="26"/>
        </w:rPr>
        <w:t>R</w:t>
      </w:r>
      <w:r w:rsidR="00A8509B">
        <w:rPr>
          <w:sz w:val="26"/>
          <w:szCs w:val="26"/>
        </w:rPr>
        <w:t>egulations of the Commission and PHMSA as well as FERC</w:t>
      </w:r>
      <w:r w:rsidR="001A5BA1">
        <w:rPr>
          <w:sz w:val="26"/>
          <w:szCs w:val="26"/>
        </w:rPr>
        <w:t>’</w:t>
      </w:r>
      <w:r w:rsidR="00A8509B">
        <w:rPr>
          <w:sz w:val="26"/>
          <w:szCs w:val="26"/>
        </w:rPr>
        <w:t xml:space="preserve">s </w:t>
      </w:r>
      <w:r w:rsidR="001A5BA1">
        <w:rPr>
          <w:sz w:val="26"/>
          <w:szCs w:val="26"/>
        </w:rPr>
        <w:t>“</w:t>
      </w:r>
      <w:r w:rsidR="00A8509B">
        <w:rPr>
          <w:sz w:val="26"/>
          <w:szCs w:val="26"/>
        </w:rPr>
        <w:t>modified primary function test</w:t>
      </w:r>
      <w:r w:rsidR="001A5BA1">
        <w:rPr>
          <w:sz w:val="26"/>
          <w:szCs w:val="26"/>
        </w:rPr>
        <w:t>”</w:t>
      </w:r>
      <w:r w:rsidR="00A8509B">
        <w:rPr>
          <w:sz w:val="26"/>
          <w:szCs w:val="26"/>
        </w:rPr>
        <w:t xml:space="preserve"> to classify its pipelines for safety and operational purposes.  Peoples Gas M.B. at 17-18.</w:t>
      </w:r>
    </w:p>
    <w:p w:rsidR="000E017E" w:rsidRDefault="000E017E" w:rsidP="00844225">
      <w:pPr>
        <w:widowControl/>
        <w:tabs>
          <w:tab w:val="left" w:pos="1445"/>
          <w:tab w:val="left" w:pos="4410"/>
          <w:tab w:val="left" w:pos="7920"/>
        </w:tabs>
        <w:autoSpaceDE w:val="0"/>
        <w:autoSpaceDN w:val="0"/>
        <w:adjustRightInd w:val="0"/>
        <w:spacing w:line="360" w:lineRule="auto"/>
        <w:ind w:firstLine="1350"/>
        <w:rPr>
          <w:sz w:val="26"/>
          <w:szCs w:val="26"/>
        </w:rPr>
      </w:pPr>
    </w:p>
    <w:p w:rsidR="000E017E" w:rsidRDefault="000E017E" w:rsidP="00844225">
      <w:pPr>
        <w:widowControl/>
        <w:tabs>
          <w:tab w:val="left" w:pos="1445"/>
          <w:tab w:val="left" w:pos="4410"/>
          <w:tab w:val="left" w:pos="7920"/>
        </w:tabs>
        <w:autoSpaceDE w:val="0"/>
        <w:autoSpaceDN w:val="0"/>
        <w:adjustRightInd w:val="0"/>
        <w:spacing w:line="360" w:lineRule="auto"/>
        <w:ind w:firstLine="1350"/>
        <w:rPr>
          <w:sz w:val="26"/>
          <w:szCs w:val="26"/>
        </w:rPr>
      </w:pPr>
      <w:r>
        <w:rPr>
          <w:sz w:val="26"/>
          <w:szCs w:val="26"/>
        </w:rPr>
        <w:t xml:space="preserve">Further, as explained </w:t>
      </w:r>
      <w:r w:rsidR="00812BCE">
        <w:rPr>
          <w:sz w:val="26"/>
          <w:szCs w:val="26"/>
        </w:rPr>
        <w:t xml:space="preserve">in </w:t>
      </w:r>
      <w:r>
        <w:rPr>
          <w:sz w:val="26"/>
          <w:szCs w:val="26"/>
        </w:rPr>
        <w:t>the Company</w:t>
      </w:r>
      <w:r w:rsidR="001A5BA1">
        <w:rPr>
          <w:sz w:val="26"/>
          <w:szCs w:val="26"/>
        </w:rPr>
        <w:t>’</w:t>
      </w:r>
      <w:r>
        <w:rPr>
          <w:sz w:val="26"/>
          <w:szCs w:val="26"/>
        </w:rPr>
        <w:t>s Main Brief, PIOGA</w:t>
      </w:r>
      <w:r w:rsidR="001A5BA1">
        <w:rPr>
          <w:sz w:val="26"/>
          <w:szCs w:val="26"/>
        </w:rPr>
        <w:t>’</w:t>
      </w:r>
      <w:r>
        <w:rPr>
          <w:sz w:val="26"/>
          <w:szCs w:val="26"/>
        </w:rPr>
        <w:t xml:space="preserve">s definitions are not industry recognized definitions, are not applied by any regulatory agency and are contrary to Commission and FERC precedent, in which pipelines were referred to as </w:t>
      </w:r>
      <w:r w:rsidR="001A5BA1">
        <w:rPr>
          <w:sz w:val="26"/>
          <w:szCs w:val="26"/>
        </w:rPr>
        <w:t>“</w:t>
      </w:r>
      <w:r>
        <w:rPr>
          <w:sz w:val="26"/>
          <w:szCs w:val="26"/>
        </w:rPr>
        <w:t>gathering</w:t>
      </w:r>
      <w:r w:rsidR="001A5BA1">
        <w:rPr>
          <w:sz w:val="26"/>
          <w:szCs w:val="26"/>
        </w:rPr>
        <w:t>”</w:t>
      </w:r>
      <w:r>
        <w:rPr>
          <w:sz w:val="26"/>
          <w:szCs w:val="26"/>
        </w:rPr>
        <w:t xml:space="preserve"> even though there may be distribution customers served </w:t>
      </w:r>
      <w:r w:rsidR="00B51FC1">
        <w:rPr>
          <w:sz w:val="26"/>
          <w:szCs w:val="26"/>
        </w:rPr>
        <w:t>off</w:t>
      </w:r>
      <w:r>
        <w:rPr>
          <w:sz w:val="26"/>
          <w:szCs w:val="26"/>
        </w:rPr>
        <w:t xml:space="preserve"> those pipelines.  Peoples Gas M.B. at 16-18.</w:t>
      </w:r>
    </w:p>
    <w:p w:rsidR="00E12078" w:rsidRDefault="00E12078" w:rsidP="00844225">
      <w:pPr>
        <w:widowControl/>
        <w:tabs>
          <w:tab w:val="left" w:pos="1445"/>
          <w:tab w:val="left" w:pos="4410"/>
          <w:tab w:val="left" w:pos="7920"/>
        </w:tabs>
        <w:autoSpaceDE w:val="0"/>
        <w:autoSpaceDN w:val="0"/>
        <w:adjustRightInd w:val="0"/>
        <w:spacing w:line="360" w:lineRule="auto"/>
        <w:ind w:firstLine="1350"/>
        <w:rPr>
          <w:sz w:val="26"/>
          <w:szCs w:val="26"/>
        </w:rPr>
      </w:pPr>
    </w:p>
    <w:p w:rsidR="00E12078" w:rsidRPr="00E12078" w:rsidRDefault="00824CB3" w:rsidP="00844225">
      <w:pPr>
        <w:widowControl/>
        <w:tabs>
          <w:tab w:val="left" w:pos="1445"/>
          <w:tab w:val="left" w:pos="4410"/>
          <w:tab w:val="left" w:pos="7920"/>
        </w:tabs>
        <w:autoSpaceDE w:val="0"/>
        <w:autoSpaceDN w:val="0"/>
        <w:adjustRightInd w:val="0"/>
        <w:spacing w:line="360" w:lineRule="auto"/>
        <w:ind w:firstLine="1350"/>
        <w:rPr>
          <w:sz w:val="26"/>
          <w:szCs w:val="26"/>
        </w:rPr>
      </w:pPr>
      <w:r>
        <w:rPr>
          <w:sz w:val="26"/>
          <w:szCs w:val="26"/>
        </w:rPr>
        <w:t>Lastly, the Company asserted</w:t>
      </w:r>
      <w:r w:rsidR="00E12078">
        <w:rPr>
          <w:sz w:val="26"/>
          <w:szCs w:val="26"/>
        </w:rPr>
        <w:t xml:space="preserve"> that </w:t>
      </w:r>
      <w:r w:rsidR="00E12078" w:rsidRPr="00E12078">
        <w:rPr>
          <w:sz w:val="26"/>
          <w:szCs w:val="26"/>
        </w:rPr>
        <w:t>PIOGA</w:t>
      </w:r>
      <w:r w:rsidR="001A5BA1">
        <w:rPr>
          <w:sz w:val="26"/>
          <w:szCs w:val="26"/>
        </w:rPr>
        <w:t>’</w:t>
      </w:r>
      <w:r w:rsidR="00E12078" w:rsidRPr="00E12078">
        <w:rPr>
          <w:sz w:val="26"/>
          <w:szCs w:val="26"/>
        </w:rPr>
        <w:t>s reliance on the extra-record stipulation to claim that the Company is not a true gatherer is improper</w:t>
      </w:r>
      <w:r w:rsidR="00E12078">
        <w:rPr>
          <w:sz w:val="26"/>
          <w:szCs w:val="26"/>
        </w:rPr>
        <w:t xml:space="preserve">.  </w:t>
      </w:r>
      <w:r w:rsidR="00E12078" w:rsidRPr="00E12078">
        <w:rPr>
          <w:sz w:val="26"/>
          <w:szCs w:val="26"/>
        </w:rPr>
        <w:t xml:space="preserve">Although PIOGA asks for judicial notice of this document, </w:t>
      </w:r>
      <w:r w:rsidR="00E12078">
        <w:rPr>
          <w:sz w:val="26"/>
          <w:szCs w:val="26"/>
        </w:rPr>
        <w:t xml:space="preserve">Peoples Gas avers </w:t>
      </w:r>
      <w:r w:rsidR="00E12078" w:rsidRPr="00E12078">
        <w:rPr>
          <w:sz w:val="26"/>
          <w:szCs w:val="26"/>
        </w:rPr>
        <w:t>such notice is inappropriate here and should be rejected.</w:t>
      </w:r>
      <w:r w:rsidR="00E12078">
        <w:rPr>
          <w:sz w:val="26"/>
          <w:szCs w:val="26"/>
        </w:rPr>
        <w:t xml:space="preserve">  </w:t>
      </w:r>
      <w:r w:rsidR="00E12078" w:rsidRPr="00E12078">
        <w:rPr>
          <w:sz w:val="26"/>
          <w:szCs w:val="26"/>
        </w:rPr>
        <w:t xml:space="preserve">As a signatory of this stipulation, </w:t>
      </w:r>
      <w:r>
        <w:rPr>
          <w:sz w:val="26"/>
          <w:szCs w:val="26"/>
        </w:rPr>
        <w:t>the Company stated</w:t>
      </w:r>
      <w:r w:rsidR="00E12078">
        <w:rPr>
          <w:sz w:val="26"/>
          <w:szCs w:val="26"/>
        </w:rPr>
        <w:t xml:space="preserve"> that </w:t>
      </w:r>
      <w:r w:rsidR="00E12078" w:rsidRPr="00E12078">
        <w:rPr>
          <w:sz w:val="26"/>
          <w:szCs w:val="26"/>
        </w:rPr>
        <w:t xml:space="preserve">PIOGA should have had this document in hand throughout this entire proceeding. </w:t>
      </w:r>
      <w:r w:rsidR="00E12078">
        <w:rPr>
          <w:sz w:val="26"/>
          <w:szCs w:val="26"/>
        </w:rPr>
        <w:t xml:space="preserve"> </w:t>
      </w:r>
      <w:r w:rsidR="00E12078" w:rsidRPr="00E12078">
        <w:rPr>
          <w:sz w:val="26"/>
          <w:szCs w:val="26"/>
        </w:rPr>
        <w:t xml:space="preserve">After multiple rounds of written testimony and oral rejoinder </w:t>
      </w:r>
      <w:r w:rsidR="00E12078" w:rsidRPr="00E12078">
        <w:rPr>
          <w:sz w:val="26"/>
          <w:szCs w:val="26"/>
        </w:rPr>
        <w:lastRenderedPageBreak/>
        <w:t xml:space="preserve">testimony at the evidentiary hearing, only now at the briefing stage does PIOGA present this stipulation. </w:t>
      </w:r>
      <w:r>
        <w:rPr>
          <w:sz w:val="26"/>
          <w:szCs w:val="26"/>
        </w:rPr>
        <w:t xml:space="preserve"> Peoples Gas noted</w:t>
      </w:r>
      <w:r w:rsidR="00E12078" w:rsidRPr="00E12078">
        <w:rPr>
          <w:sz w:val="26"/>
          <w:szCs w:val="26"/>
        </w:rPr>
        <w:t xml:space="preserve"> PIOGA</w:t>
      </w:r>
      <w:r w:rsidR="001A5BA1">
        <w:rPr>
          <w:sz w:val="26"/>
          <w:szCs w:val="26"/>
        </w:rPr>
        <w:t>’</w:t>
      </w:r>
      <w:r w:rsidR="00E12078">
        <w:rPr>
          <w:sz w:val="26"/>
          <w:szCs w:val="26"/>
        </w:rPr>
        <w:t>s</w:t>
      </w:r>
      <w:r w:rsidR="00E12078" w:rsidRPr="00E12078">
        <w:rPr>
          <w:sz w:val="26"/>
          <w:szCs w:val="26"/>
        </w:rPr>
        <w:t xml:space="preserve"> </w:t>
      </w:r>
      <w:r w:rsidR="00E12078">
        <w:rPr>
          <w:sz w:val="26"/>
          <w:szCs w:val="26"/>
        </w:rPr>
        <w:t>lack of any</w:t>
      </w:r>
      <w:r w:rsidR="00E12078" w:rsidRPr="00E12078">
        <w:rPr>
          <w:sz w:val="26"/>
          <w:szCs w:val="26"/>
        </w:rPr>
        <w:t xml:space="preserve"> justification for its failure to introduce the stipulation at one of its several previous opportunities.</w:t>
      </w:r>
      <w:r w:rsidR="00E12078">
        <w:rPr>
          <w:sz w:val="26"/>
          <w:szCs w:val="26"/>
        </w:rPr>
        <w:t xml:space="preserve"> </w:t>
      </w:r>
      <w:r w:rsidR="00E12078" w:rsidRPr="00E12078">
        <w:rPr>
          <w:sz w:val="26"/>
          <w:szCs w:val="26"/>
        </w:rPr>
        <w:t xml:space="preserve"> </w:t>
      </w:r>
      <w:r w:rsidR="00E12078" w:rsidRPr="00E12078">
        <w:rPr>
          <w:i/>
          <w:sz w:val="26"/>
          <w:szCs w:val="26"/>
        </w:rPr>
        <w:t xml:space="preserve">See </w:t>
      </w:r>
      <w:r w:rsidR="00E12078" w:rsidRPr="00E12078">
        <w:rPr>
          <w:sz w:val="26"/>
          <w:szCs w:val="26"/>
        </w:rPr>
        <w:t>PIOGA MB at</w:t>
      </w:r>
      <w:r w:rsidR="00F15BF0">
        <w:rPr>
          <w:sz w:val="26"/>
          <w:szCs w:val="26"/>
        </w:rPr>
        <w:t> </w:t>
      </w:r>
      <w:r w:rsidR="00E12078" w:rsidRPr="00E12078">
        <w:rPr>
          <w:sz w:val="26"/>
          <w:szCs w:val="26"/>
        </w:rPr>
        <w:t>11</w:t>
      </w:r>
      <w:r w:rsidR="00E12078">
        <w:rPr>
          <w:sz w:val="26"/>
          <w:szCs w:val="26"/>
        </w:rPr>
        <w:t xml:space="preserve">. </w:t>
      </w:r>
      <w:r>
        <w:rPr>
          <w:sz w:val="26"/>
          <w:szCs w:val="26"/>
        </w:rPr>
        <w:t xml:space="preserve"> Peoples Gas, therefore, asserted</w:t>
      </w:r>
      <w:r w:rsidR="00E12078" w:rsidRPr="00E12078">
        <w:rPr>
          <w:sz w:val="26"/>
          <w:szCs w:val="26"/>
        </w:rPr>
        <w:t xml:space="preserve"> PIOGA</w:t>
      </w:r>
      <w:r w:rsidR="001A5BA1">
        <w:rPr>
          <w:sz w:val="26"/>
          <w:szCs w:val="26"/>
        </w:rPr>
        <w:t>’</w:t>
      </w:r>
      <w:r w:rsidR="00E12078" w:rsidRPr="00E12078">
        <w:rPr>
          <w:sz w:val="26"/>
          <w:szCs w:val="26"/>
        </w:rPr>
        <w:t>s actions prevented the Company from reviewing the</w:t>
      </w:r>
      <w:r w:rsidR="00E12078">
        <w:rPr>
          <w:sz w:val="26"/>
          <w:szCs w:val="26"/>
        </w:rPr>
        <w:t xml:space="preserve"> </w:t>
      </w:r>
      <w:r w:rsidR="00E12078" w:rsidRPr="00E12078">
        <w:rPr>
          <w:sz w:val="26"/>
          <w:szCs w:val="26"/>
        </w:rPr>
        <w:t xml:space="preserve">stipulation during the evidentiary phase of the proceeding and presenting evidence in rebuttal. </w:t>
      </w:r>
      <w:r w:rsidR="0004458F">
        <w:rPr>
          <w:sz w:val="26"/>
          <w:szCs w:val="26"/>
        </w:rPr>
        <w:t xml:space="preserve"> According to the Company</w:t>
      </w:r>
      <w:r w:rsidR="00E12078" w:rsidRPr="00E12078">
        <w:rPr>
          <w:sz w:val="26"/>
          <w:szCs w:val="26"/>
        </w:rPr>
        <w:t xml:space="preserve">, if judicial notice of the stipulation is taken, the Company would be denied due process. </w:t>
      </w:r>
      <w:r w:rsidR="00812BCE">
        <w:rPr>
          <w:i/>
          <w:sz w:val="26"/>
          <w:szCs w:val="26"/>
        </w:rPr>
        <w:t xml:space="preserve">Id. </w:t>
      </w:r>
      <w:r w:rsidR="00812BCE">
        <w:rPr>
          <w:sz w:val="26"/>
          <w:szCs w:val="26"/>
        </w:rPr>
        <w:t xml:space="preserve">(citing </w:t>
      </w:r>
      <w:r w:rsidR="00E12078" w:rsidRPr="00E12078">
        <w:rPr>
          <w:i/>
          <w:sz w:val="26"/>
          <w:szCs w:val="26"/>
        </w:rPr>
        <w:t xml:space="preserve"> Schneider v. Pa. PUC, </w:t>
      </w:r>
      <w:r w:rsidR="00E12078" w:rsidRPr="00E12078">
        <w:rPr>
          <w:sz w:val="26"/>
          <w:szCs w:val="26"/>
        </w:rPr>
        <w:t xml:space="preserve">479 A.2d 10, 15 (Pa. Cmwlth. 1984) (stating that due process is satisfied when a party is </w:t>
      </w:r>
      <w:r w:rsidR="001A5BA1">
        <w:rPr>
          <w:sz w:val="26"/>
          <w:szCs w:val="26"/>
        </w:rPr>
        <w:t>“</w:t>
      </w:r>
      <w:r w:rsidR="00E12078" w:rsidRPr="00E12078">
        <w:rPr>
          <w:sz w:val="26"/>
          <w:szCs w:val="26"/>
        </w:rPr>
        <w:t>afforded notice and the opportunity to appear and be heard</w:t>
      </w:r>
      <w:r w:rsidR="001A5BA1">
        <w:rPr>
          <w:sz w:val="26"/>
          <w:szCs w:val="26"/>
        </w:rPr>
        <w:t>”</w:t>
      </w:r>
      <w:r w:rsidR="00E12078" w:rsidRPr="00E12078">
        <w:rPr>
          <w:sz w:val="26"/>
          <w:szCs w:val="26"/>
        </w:rPr>
        <w:t xml:space="preserve">). </w:t>
      </w:r>
      <w:r w:rsidR="005C1D5F">
        <w:rPr>
          <w:sz w:val="26"/>
          <w:szCs w:val="26"/>
        </w:rPr>
        <w:t xml:space="preserve"> </w:t>
      </w:r>
      <w:r w:rsidR="00E12078" w:rsidRPr="00E12078">
        <w:rPr>
          <w:sz w:val="26"/>
          <w:szCs w:val="26"/>
        </w:rPr>
        <w:t>Thus,</w:t>
      </w:r>
      <w:r>
        <w:rPr>
          <w:sz w:val="26"/>
          <w:szCs w:val="26"/>
        </w:rPr>
        <w:t xml:space="preserve"> Peoples Gas asserted</w:t>
      </w:r>
      <w:r w:rsidR="0004458F">
        <w:rPr>
          <w:sz w:val="26"/>
          <w:szCs w:val="26"/>
        </w:rPr>
        <w:t xml:space="preserve"> that</w:t>
      </w:r>
      <w:r w:rsidR="00E12078" w:rsidRPr="00E12078">
        <w:rPr>
          <w:sz w:val="26"/>
          <w:szCs w:val="26"/>
        </w:rPr>
        <w:t xml:space="preserve"> the stipulation should be disregarded entirely.</w:t>
      </w:r>
      <w:r w:rsidR="0004458F">
        <w:rPr>
          <w:sz w:val="26"/>
          <w:szCs w:val="26"/>
        </w:rPr>
        <w:t xml:space="preserve">  Peoples Gas R.B. at 10-11.</w:t>
      </w:r>
      <w:r w:rsidR="00BD4CE3">
        <w:rPr>
          <w:rStyle w:val="FootnoteReference"/>
          <w:sz w:val="26"/>
          <w:szCs w:val="26"/>
        </w:rPr>
        <w:footnoteReference w:id="22"/>
      </w:r>
    </w:p>
    <w:p w:rsidR="00594626" w:rsidRDefault="00594626" w:rsidP="00844225">
      <w:pPr>
        <w:widowControl/>
        <w:tabs>
          <w:tab w:val="left" w:pos="1445"/>
          <w:tab w:val="left" w:pos="4410"/>
          <w:tab w:val="left" w:pos="7920"/>
        </w:tabs>
        <w:autoSpaceDE w:val="0"/>
        <w:autoSpaceDN w:val="0"/>
        <w:adjustRightInd w:val="0"/>
        <w:spacing w:line="360" w:lineRule="auto"/>
        <w:rPr>
          <w:sz w:val="26"/>
          <w:szCs w:val="26"/>
        </w:rPr>
      </w:pPr>
    </w:p>
    <w:p w:rsidR="00023F93" w:rsidRPr="0096477E" w:rsidRDefault="00023F93" w:rsidP="00F15BF0">
      <w:pPr>
        <w:pStyle w:val="Heading5"/>
        <w:keepNext/>
        <w:keepLines/>
      </w:pPr>
      <w:r>
        <w:t>PIOGA argues that the proposed producer retainage charge is an inappropriate policy for the unique situation presented in this proceeding.</w:t>
      </w:r>
    </w:p>
    <w:p w:rsidR="00023F93" w:rsidRDefault="00023F93" w:rsidP="00F15BF0">
      <w:pPr>
        <w:keepNext/>
        <w:keepLines/>
        <w:widowControl/>
        <w:tabs>
          <w:tab w:val="left" w:pos="1445"/>
          <w:tab w:val="left" w:pos="4410"/>
          <w:tab w:val="left" w:pos="7920"/>
        </w:tabs>
        <w:autoSpaceDE w:val="0"/>
        <w:autoSpaceDN w:val="0"/>
        <w:adjustRightInd w:val="0"/>
        <w:spacing w:line="360" w:lineRule="auto"/>
        <w:rPr>
          <w:sz w:val="26"/>
          <w:szCs w:val="26"/>
        </w:rPr>
      </w:pPr>
    </w:p>
    <w:p w:rsidR="000B2273" w:rsidRPr="000B2273" w:rsidRDefault="000B2273" w:rsidP="00844225">
      <w:pPr>
        <w:widowControl/>
        <w:tabs>
          <w:tab w:val="left" w:pos="1445"/>
          <w:tab w:val="left" w:pos="4410"/>
          <w:tab w:val="left" w:pos="7920"/>
        </w:tabs>
        <w:autoSpaceDE w:val="0"/>
        <w:autoSpaceDN w:val="0"/>
        <w:adjustRightInd w:val="0"/>
        <w:spacing w:line="360" w:lineRule="auto"/>
        <w:ind w:firstLine="1440"/>
        <w:rPr>
          <w:sz w:val="26"/>
          <w:szCs w:val="26"/>
        </w:rPr>
      </w:pPr>
      <w:r w:rsidRPr="000B2273">
        <w:rPr>
          <w:sz w:val="26"/>
          <w:szCs w:val="26"/>
        </w:rPr>
        <w:t xml:space="preserve">PIOGA argued that the proposed producer retainage charge is </w:t>
      </w:r>
      <w:r w:rsidR="001A5BA1">
        <w:rPr>
          <w:sz w:val="26"/>
          <w:szCs w:val="26"/>
        </w:rPr>
        <w:t>“</w:t>
      </w:r>
      <w:r w:rsidRPr="000B2273">
        <w:rPr>
          <w:sz w:val="26"/>
          <w:szCs w:val="26"/>
        </w:rPr>
        <w:t>bad</w:t>
      </w:r>
      <w:r w:rsidR="005C1D5F">
        <w:rPr>
          <w:sz w:val="26"/>
          <w:szCs w:val="26"/>
        </w:rPr>
        <w:t xml:space="preserve"> policy.</w:t>
      </w:r>
      <w:r w:rsidR="001A5BA1">
        <w:rPr>
          <w:sz w:val="26"/>
          <w:szCs w:val="26"/>
        </w:rPr>
        <w:t>”</w:t>
      </w:r>
      <w:r w:rsidR="005C1D5F">
        <w:rPr>
          <w:sz w:val="26"/>
          <w:szCs w:val="26"/>
        </w:rPr>
        <w:t xml:space="preserve">  PIOGA M.B. at 13-14. </w:t>
      </w:r>
      <w:r w:rsidRPr="000B2273">
        <w:rPr>
          <w:sz w:val="26"/>
          <w:szCs w:val="26"/>
        </w:rPr>
        <w:t xml:space="preserve"> To support this position, PIOGA claimed that </w:t>
      </w:r>
      <w:r w:rsidR="001A5BA1">
        <w:rPr>
          <w:sz w:val="26"/>
          <w:szCs w:val="26"/>
        </w:rPr>
        <w:t>“</w:t>
      </w:r>
      <w:r w:rsidRPr="000B2273">
        <w:rPr>
          <w:sz w:val="26"/>
          <w:szCs w:val="26"/>
        </w:rPr>
        <w:t>this is just the beginning of a process</w:t>
      </w:r>
      <w:r w:rsidR="001A5BA1">
        <w:rPr>
          <w:sz w:val="26"/>
          <w:szCs w:val="26"/>
        </w:rPr>
        <w:t>”</w:t>
      </w:r>
      <w:r w:rsidRPr="000B2273">
        <w:rPr>
          <w:sz w:val="26"/>
          <w:szCs w:val="26"/>
        </w:rPr>
        <w:t xml:space="preserve"> of Peoples Gas </w:t>
      </w:r>
      <w:r w:rsidR="001A5BA1">
        <w:rPr>
          <w:sz w:val="26"/>
          <w:szCs w:val="26"/>
        </w:rPr>
        <w:t>“</w:t>
      </w:r>
      <w:r w:rsidRPr="000B2273">
        <w:rPr>
          <w:sz w:val="26"/>
          <w:szCs w:val="26"/>
        </w:rPr>
        <w:t>attempting to assign capital and operating costs related to what [the Company] characterizes as its gathering systems to conventional pro</w:t>
      </w:r>
      <w:r w:rsidR="005C1D5F">
        <w:rPr>
          <w:sz w:val="26"/>
          <w:szCs w:val="26"/>
        </w:rPr>
        <w:t>ducers in future proceedings.</w:t>
      </w:r>
      <w:r w:rsidR="001A5BA1">
        <w:rPr>
          <w:sz w:val="26"/>
          <w:szCs w:val="26"/>
        </w:rPr>
        <w:t>”</w:t>
      </w:r>
      <w:r w:rsidR="005C1D5F">
        <w:rPr>
          <w:sz w:val="26"/>
          <w:szCs w:val="26"/>
        </w:rPr>
        <w:t xml:space="preserve">  PIOGA M.B. at 13.</w:t>
      </w:r>
      <w:r w:rsidRPr="000B2273">
        <w:rPr>
          <w:sz w:val="26"/>
          <w:szCs w:val="26"/>
        </w:rPr>
        <w:t xml:space="preserve"> </w:t>
      </w:r>
      <w:r w:rsidR="005C1D5F">
        <w:rPr>
          <w:sz w:val="26"/>
          <w:szCs w:val="26"/>
        </w:rPr>
        <w:t xml:space="preserve"> </w:t>
      </w:r>
      <w:r w:rsidRPr="000B2273">
        <w:rPr>
          <w:sz w:val="26"/>
          <w:szCs w:val="26"/>
        </w:rPr>
        <w:t xml:space="preserve">Further, PIOGA asserted that the proposed producer retainage charge will exacerbate the decline of conventional gas production and will </w:t>
      </w:r>
      <w:r w:rsidR="001A5BA1">
        <w:rPr>
          <w:sz w:val="26"/>
          <w:szCs w:val="26"/>
        </w:rPr>
        <w:t>“</w:t>
      </w:r>
      <w:r w:rsidRPr="000B2273">
        <w:rPr>
          <w:sz w:val="26"/>
          <w:szCs w:val="26"/>
        </w:rPr>
        <w:t>jeopardize the provision of safe, reliable and continuous service to the customers</w:t>
      </w:r>
      <w:r w:rsidR="001A5BA1">
        <w:rPr>
          <w:sz w:val="26"/>
          <w:szCs w:val="26"/>
        </w:rPr>
        <w:t>”</w:t>
      </w:r>
      <w:r w:rsidRPr="000B2273">
        <w:rPr>
          <w:sz w:val="26"/>
          <w:szCs w:val="26"/>
        </w:rPr>
        <w:t xml:space="preserve"> connected to the gathering pipelines and those</w:t>
      </w:r>
      <w:r w:rsidR="005C1D5F">
        <w:rPr>
          <w:sz w:val="26"/>
          <w:szCs w:val="26"/>
        </w:rPr>
        <w:t xml:space="preserve"> customers located downstream.  PIOGA M.B. at 13-14. </w:t>
      </w:r>
      <w:r w:rsidRPr="000B2273">
        <w:rPr>
          <w:sz w:val="26"/>
          <w:szCs w:val="26"/>
        </w:rPr>
        <w:t xml:space="preserve"> PIOGA also argued that the proposed charge runs contrary to the Company</w:t>
      </w:r>
      <w:r w:rsidR="001A5BA1">
        <w:rPr>
          <w:sz w:val="26"/>
          <w:szCs w:val="26"/>
        </w:rPr>
        <w:t>’</w:t>
      </w:r>
      <w:r w:rsidRPr="000B2273">
        <w:rPr>
          <w:sz w:val="26"/>
          <w:szCs w:val="26"/>
        </w:rPr>
        <w:t>s intent to use local produ</w:t>
      </w:r>
      <w:r w:rsidR="005C1D5F">
        <w:rPr>
          <w:sz w:val="26"/>
          <w:szCs w:val="26"/>
        </w:rPr>
        <w:t>ction to supply its customers.</w:t>
      </w:r>
      <w:r w:rsidR="00862E5C">
        <w:rPr>
          <w:sz w:val="26"/>
          <w:szCs w:val="26"/>
        </w:rPr>
        <w:t xml:space="preserve"> </w:t>
      </w:r>
      <w:r w:rsidR="005C1D5F">
        <w:rPr>
          <w:sz w:val="26"/>
          <w:szCs w:val="26"/>
        </w:rPr>
        <w:t xml:space="preserve"> PIOGA M.B. at 13.</w:t>
      </w:r>
      <w:r w:rsidRPr="000B2273">
        <w:rPr>
          <w:sz w:val="26"/>
          <w:szCs w:val="26"/>
        </w:rPr>
        <w:t xml:space="preserve"> </w:t>
      </w:r>
    </w:p>
    <w:p w:rsidR="00A53EAC" w:rsidRDefault="00A53EAC" w:rsidP="00844225">
      <w:pPr>
        <w:widowControl/>
        <w:tabs>
          <w:tab w:val="left" w:pos="1445"/>
          <w:tab w:val="left" w:pos="4410"/>
          <w:tab w:val="left" w:pos="7920"/>
        </w:tabs>
        <w:autoSpaceDE w:val="0"/>
        <w:autoSpaceDN w:val="0"/>
        <w:adjustRightInd w:val="0"/>
        <w:spacing w:line="360" w:lineRule="auto"/>
        <w:rPr>
          <w:sz w:val="26"/>
          <w:szCs w:val="26"/>
        </w:rPr>
      </w:pPr>
    </w:p>
    <w:p w:rsidR="00665AE9" w:rsidRPr="00665AE9" w:rsidRDefault="00665AE9" w:rsidP="00844225">
      <w:pPr>
        <w:widowControl/>
        <w:tabs>
          <w:tab w:val="left" w:pos="1445"/>
          <w:tab w:val="left" w:pos="4410"/>
          <w:tab w:val="left" w:pos="7920"/>
        </w:tabs>
        <w:autoSpaceDE w:val="0"/>
        <w:autoSpaceDN w:val="0"/>
        <w:adjustRightInd w:val="0"/>
        <w:spacing w:line="360" w:lineRule="auto"/>
        <w:ind w:firstLine="1440"/>
        <w:rPr>
          <w:sz w:val="26"/>
          <w:szCs w:val="26"/>
        </w:rPr>
      </w:pPr>
      <w:r w:rsidRPr="00665AE9">
        <w:rPr>
          <w:sz w:val="26"/>
          <w:szCs w:val="26"/>
        </w:rPr>
        <w:lastRenderedPageBreak/>
        <w:t>Peoples Gas argued that findings in this proceeding should not be based on speculation about what may or may not happen in other future pro</w:t>
      </w:r>
      <w:r>
        <w:rPr>
          <w:sz w:val="26"/>
          <w:szCs w:val="26"/>
        </w:rPr>
        <w:t xml:space="preserve">ceedings.  Peoples Gas R.B. at 15. </w:t>
      </w:r>
      <w:r w:rsidRPr="00665AE9">
        <w:rPr>
          <w:sz w:val="26"/>
          <w:szCs w:val="26"/>
        </w:rPr>
        <w:t xml:space="preserve"> Peoples Gas also argued there is no evidence that the proposal will jeopardize the provision of safe and reliable service or would exacerbate the decline of conventional wells.</w:t>
      </w:r>
      <w:r>
        <w:rPr>
          <w:sz w:val="26"/>
          <w:szCs w:val="26"/>
        </w:rPr>
        <w:t xml:space="preserve"> </w:t>
      </w:r>
      <w:r w:rsidRPr="00665AE9">
        <w:rPr>
          <w:sz w:val="26"/>
          <w:szCs w:val="26"/>
        </w:rPr>
        <w:t xml:space="preserve"> Although PIOGA witness Hillebrand made this assertion in testimony, no actual analysis or data was present</w:t>
      </w:r>
      <w:r>
        <w:rPr>
          <w:sz w:val="26"/>
          <w:szCs w:val="26"/>
        </w:rPr>
        <w:t xml:space="preserve">ed to support this conclusion.  Peoples Gas St. No. 5-R at 23; Peoples Gas St. No. 5-R at 23; Peoples Gas R.B. at 15. </w:t>
      </w:r>
      <w:r w:rsidRPr="00665AE9">
        <w:rPr>
          <w:sz w:val="26"/>
          <w:szCs w:val="26"/>
        </w:rPr>
        <w:t xml:space="preserve"> Peoples Gas explained that PIOGA stipulated </w:t>
      </w:r>
      <w:r w:rsidR="001A5BA1">
        <w:rPr>
          <w:sz w:val="26"/>
          <w:szCs w:val="26"/>
        </w:rPr>
        <w:t>“</w:t>
      </w:r>
      <w:r w:rsidRPr="00665AE9">
        <w:rPr>
          <w:sz w:val="26"/>
          <w:szCs w:val="26"/>
        </w:rPr>
        <w:t xml:space="preserve">that the proposed producer retainage charges are not, by themselves, of sufficient magnitude to materially affect existing production from wells </w:t>
      </w:r>
      <w:r>
        <w:rPr>
          <w:sz w:val="26"/>
          <w:szCs w:val="26"/>
        </w:rPr>
        <w:t>or the drilling of new wells.</w:t>
      </w:r>
      <w:r w:rsidR="001A5BA1">
        <w:rPr>
          <w:sz w:val="26"/>
          <w:szCs w:val="26"/>
        </w:rPr>
        <w:t>”</w:t>
      </w:r>
      <w:r>
        <w:rPr>
          <w:sz w:val="26"/>
          <w:szCs w:val="26"/>
        </w:rPr>
        <w:t xml:space="preserve">  </w:t>
      </w:r>
      <w:r w:rsidRPr="00665AE9">
        <w:rPr>
          <w:sz w:val="26"/>
          <w:szCs w:val="26"/>
        </w:rPr>
        <w:t xml:space="preserve">Peoples Gas </w:t>
      </w:r>
      <w:r>
        <w:rPr>
          <w:sz w:val="26"/>
          <w:szCs w:val="26"/>
        </w:rPr>
        <w:t xml:space="preserve">St. No. 5-R at 23. </w:t>
      </w:r>
      <w:r w:rsidRPr="00665AE9">
        <w:rPr>
          <w:sz w:val="26"/>
          <w:szCs w:val="26"/>
        </w:rPr>
        <w:t xml:space="preserve"> Peoples Gas has demonstrated its concern for safety and reliability of service by establishing the extensive efforts and by investing substantial ca</w:t>
      </w:r>
      <w:r>
        <w:rPr>
          <w:sz w:val="26"/>
          <w:szCs w:val="26"/>
        </w:rPr>
        <w:t>pital to replace at-risk pipe.  Peoples Gas St. No. 5-R at</w:t>
      </w:r>
      <w:r w:rsidRPr="00665AE9">
        <w:rPr>
          <w:sz w:val="26"/>
          <w:szCs w:val="26"/>
        </w:rPr>
        <w:t xml:space="preserve"> 23</w:t>
      </w:r>
      <w:r>
        <w:rPr>
          <w:sz w:val="26"/>
          <w:szCs w:val="26"/>
        </w:rPr>
        <w:t xml:space="preserve">; Peoples Gas R.B. at 15. </w:t>
      </w:r>
    </w:p>
    <w:p w:rsidR="00A53EAC" w:rsidRDefault="00A53EAC" w:rsidP="00844225">
      <w:pPr>
        <w:widowControl/>
        <w:tabs>
          <w:tab w:val="left" w:pos="1445"/>
          <w:tab w:val="left" w:pos="4410"/>
          <w:tab w:val="left" w:pos="7920"/>
        </w:tabs>
        <w:autoSpaceDE w:val="0"/>
        <w:autoSpaceDN w:val="0"/>
        <w:adjustRightInd w:val="0"/>
        <w:spacing w:line="360" w:lineRule="auto"/>
        <w:rPr>
          <w:sz w:val="26"/>
          <w:szCs w:val="26"/>
        </w:rPr>
      </w:pPr>
    </w:p>
    <w:p w:rsidR="00A53EAC" w:rsidRPr="00A53EAC" w:rsidRDefault="00A53EAC" w:rsidP="00F15BF0">
      <w:pPr>
        <w:pStyle w:val="Heading2"/>
        <w:numPr>
          <w:ilvl w:val="0"/>
          <w:numId w:val="30"/>
        </w:numPr>
        <w:ind w:left="720" w:hanging="720"/>
      </w:pPr>
      <w:bookmarkStart w:id="26" w:name="_Toc524347685"/>
      <w:r w:rsidRPr="00A53EAC">
        <w:t>ALJ</w:t>
      </w:r>
      <w:r w:rsidR="001A5BA1">
        <w:t>’</w:t>
      </w:r>
      <w:r w:rsidRPr="00A53EAC">
        <w:t>s Recommendation</w:t>
      </w:r>
      <w:bookmarkEnd w:id="26"/>
    </w:p>
    <w:p w:rsidR="00A53EAC" w:rsidRDefault="00A53EAC" w:rsidP="00F15BF0">
      <w:pPr>
        <w:keepNext/>
        <w:keepLines/>
        <w:widowControl/>
        <w:tabs>
          <w:tab w:val="left" w:pos="1445"/>
          <w:tab w:val="left" w:pos="4410"/>
          <w:tab w:val="left" w:pos="7920"/>
        </w:tabs>
        <w:autoSpaceDE w:val="0"/>
        <w:autoSpaceDN w:val="0"/>
        <w:adjustRightInd w:val="0"/>
        <w:spacing w:line="360" w:lineRule="auto"/>
        <w:rPr>
          <w:sz w:val="26"/>
          <w:szCs w:val="26"/>
        </w:rPr>
      </w:pPr>
    </w:p>
    <w:p w:rsidR="00556923" w:rsidRDefault="00556923" w:rsidP="00844225">
      <w:pPr>
        <w:widowControl/>
        <w:tabs>
          <w:tab w:val="left" w:pos="1445"/>
          <w:tab w:val="left" w:pos="4410"/>
          <w:tab w:val="left" w:pos="7920"/>
        </w:tabs>
        <w:autoSpaceDE w:val="0"/>
        <w:autoSpaceDN w:val="0"/>
        <w:adjustRightInd w:val="0"/>
        <w:spacing w:line="360" w:lineRule="auto"/>
        <w:ind w:firstLine="1440"/>
        <w:rPr>
          <w:sz w:val="26"/>
          <w:szCs w:val="26"/>
        </w:rPr>
      </w:pPr>
      <w:r>
        <w:rPr>
          <w:sz w:val="26"/>
          <w:szCs w:val="26"/>
        </w:rPr>
        <w:t xml:space="preserve">The ALJ </w:t>
      </w:r>
      <w:r w:rsidR="0011406D">
        <w:rPr>
          <w:sz w:val="26"/>
          <w:szCs w:val="26"/>
        </w:rPr>
        <w:t>noted the Company</w:t>
      </w:r>
      <w:r w:rsidR="001A5BA1">
        <w:rPr>
          <w:sz w:val="26"/>
          <w:szCs w:val="26"/>
        </w:rPr>
        <w:t>’</w:t>
      </w:r>
      <w:r w:rsidR="0011406D">
        <w:rPr>
          <w:sz w:val="26"/>
          <w:szCs w:val="26"/>
        </w:rPr>
        <w:t>s responsibility, as the proponent of the proposed producer retainage charge, to meet its burden of proof, demonstrating that the proposed charge is just and reasonable.</w:t>
      </w:r>
      <w:r w:rsidR="00170622">
        <w:rPr>
          <w:sz w:val="26"/>
          <w:szCs w:val="26"/>
        </w:rPr>
        <w:t xml:space="preserve">  Based on</w:t>
      </w:r>
      <w:r>
        <w:rPr>
          <w:sz w:val="26"/>
          <w:szCs w:val="26"/>
        </w:rPr>
        <w:t xml:space="preserve"> review of the record evidence established in this</w:t>
      </w:r>
      <w:r w:rsidR="00170622">
        <w:rPr>
          <w:sz w:val="26"/>
          <w:szCs w:val="26"/>
        </w:rPr>
        <w:t xml:space="preserve"> proceeding, and the particular circumstances identified in this proceeding, the ALJ found that Peoples Gas has demonstrated that the proposed charge is just and reasonable.  As a result, the ALJ recommended that the producer retainage charge proposed by Peoples Gas be approved.</w:t>
      </w:r>
      <w:r w:rsidR="00782A04">
        <w:rPr>
          <w:sz w:val="26"/>
          <w:szCs w:val="26"/>
        </w:rPr>
        <w:t xml:space="preserve">  R.D. at 76, 78.  </w:t>
      </w:r>
    </w:p>
    <w:p w:rsidR="00556923" w:rsidRDefault="00556923" w:rsidP="00844225">
      <w:pPr>
        <w:widowControl/>
        <w:tabs>
          <w:tab w:val="left" w:pos="1445"/>
          <w:tab w:val="left" w:pos="4410"/>
          <w:tab w:val="left" w:pos="7920"/>
        </w:tabs>
        <w:autoSpaceDE w:val="0"/>
        <w:autoSpaceDN w:val="0"/>
        <w:adjustRightInd w:val="0"/>
        <w:spacing w:line="360" w:lineRule="auto"/>
        <w:rPr>
          <w:sz w:val="26"/>
          <w:szCs w:val="26"/>
        </w:rPr>
      </w:pPr>
    </w:p>
    <w:p w:rsidR="00584A45" w:rsidRDefault="00556923" w:rsidP="00844225">
      <w:pPr>
        <w:widowControl/>
        <w:tabs>
          <w:tab w:val="left" w:pos="1445"/>
          <w:tab w:val="left" w:pos="4410"/>
          <w:tab w:val="left" w:pos="7920"/>
        </w:tabs>
        <w:autoSpaceDE w:val="0"/>
        <w:autoSpaceDN w:val="0"/>
        <w:adjustRightInd w:val="0"/>
        <w:spacing w:line="360" w:lineRule="auto"/>
        <w:ind w:firstLine="1440"/>
        <w:rPr>
          <w:sz w:val="26"/>
          <w:szCs w:val="26"/>
        </w:rPr>
      </w:pPr>
      <w:r>
        <w:rPr>
          <w:sz w:val="26"/>
          <w:szCs w:val="26"/>
        </w:rPr>
        <w:t xml:space="preserve">The ALJ </w:t>
      </w:r>
      <w:r w:rsidR="00451B28">
        <w:rPr>
          <w:sz w:val="26"/>
          <w:szCs w:val="26"/>
        </w:rPr>
        <w:t xml:space="preserve">concurs with the contentions and justifications for the proposed producer retainage charge submitted by Peoples Gas as discussed </w:t>
      </w:r>
      <w:r w:rsidR="00451B28" w:rsidRPr="00451B28">
        <w:rPr>
          <w:i/>
          <w:sz w:val="26"/>
          <w:szCs w:val="26"/>
        </w:rPr>
        <w:t>supra</w:t>
      </w:r>
      <w:r w:rsidR="00451B28">
        <w:rPr>
          <w:sz w:val="26"/>
          <w:szCs w:val="26"/>
        </w:rPr>
        <w:t>, and reiterates the following Company assertions on which he based his recommendation:</w:t>
      </w:r>
    </w:p>
    <w:p w:rsidR="00451B28" w:rsidRDefault="00451B28" w:rsidP="00844225">
      <w:pPr>
        <w:widowControl/>
        <w:tabs>
          <w:tab w:val="left" w:pos="1445"/>
          <w:tab w:val="left" w:pos="4410"/>
          <w:tab w:val="left" w:pos="7920"/>
        </w:tabs>
        <w:autoSpaceDE w:val="0"/>
        <w:autoSpaceDN w:val="0"/>
        <w:adjustRightInd w:val="0"/>
        <w:spacing w:line="360" w:lineRule="auto"/>
        <w:rPr>
          <w:sz w:val="26"/>
          <w:szCs w:val="26"/>
        </w:rPr>
      </w:pPr>
    </w:p>
    <w:p w:rsidR="00512D5C" w:rsidRDefault="00512D5C" w:rsidP="00844225">
      <w:pPr>
        <w:pStyle w:val="ListParagraph"/>
        <w:widowControl/>
        <w:numPr>
          <w:ilvl w:val="0"/>
          <w:numId w:val="13"/>
        </w:numPr>
        <w:tabs>
          <w:tab w:val="left" w:pos="1445"/>
          <w:tab w:val="left" w:pos="4410"/>
          <w:tab w:val="left" w:pos="7920"/>
        </w:tabs>
        <w:autoSpaceDE w:val="0"/>
        <w:autoSpaceDN w:val="0"/>
        <w:adjustRightInd w:val="0"/>
        <w:ind w:left="1080"/>
        <w:rPr>
          <w:sz w:val="26"/>
          <w:szCs w:val="26"/>
        </w:rPr>
      </w:pPr>
      <w:r w:rsidRPr="00512D5C">
        <w:rPr>
          <w:sz w:val="26"/>
          <w:szCs w:val="26"/>
        </w:rPr>
        <w:lastRenderedPageBreak/>
        <w:t>Peoples Gas explained that conventional producers are primary beneficiaries of the gathering system because it often provides the only way to move their gas to market; that gathering charges for the recovery of UFG, such as the one proposed by the Company, are common in Pennsylvania (such as the Peoples Natural Gas</w:t>
      </w:r>
      <w:r w:rsidR="001A5BA1">
        <w:rPr>
          <w:sz w:val="26"/>
          <w:szCs w:val="26"/>
        </w:rPr>
        <w:t>’</w:t>
      </w:r>
      <w:r w:rsidRPr="00512D5C">
        <w:rPr>
          <w:sz w:val="26"/>
          <w:szCs w:val="26"/>
        </w:rPr>
        <w:t>s Equitable Division tariffed UFG retainage charge to producers that was previously approved by the Commission); and that without the proposed charge, conventional producers have no incentive to help the Company reduce UFG on the gathering system.</w:t>
      </w:r>
      <w:r>
        <w:rPr>
          <w:sz w:val="26"/>
          <w:szCs w:val="26"/>
        </w:rPr>
        <w:t xml:space="preserve">  Therefore, as conventional gas producers are the primary beneficiaries of the gathering system, it is reasonable to conclude they should be assessed the producer retainage charge as part of the costs to deliver their product and to create an incentive to encourage them to help the Company reduce gathering system UFG. </w:t>
      </w:r>
    </w:p>
    <w:p w:rsidR="00512D5C" w:rsidRPr="00512D5C" w:rsidRDefault="00512D5C" w:rsidP="00844225">
      <w:pPr>
        <w:pStyle w:val="ListParagraph"/>
        <w:widowControl/>
        <w:tabs>
          <w:tab w:val="left" w:pos="1445"/>
          <w:tab w:val="left" w:pos="4410"/>
          <w:tab w:val="left" w:pos="7920"/>
        </w:tabs>
        <w:autoSpaceDE w:val="0"/>
        <w:autoSpaceDN w:val="0"/>
        <w:adjustRightInd w:val="0"/>
        <w:ind w:left="1080"/>
        <w:rPr>
          <w:sz w:val="26"/>
          <w:szCs w:val="26"/>
        </w:rPr>
      </w:pPr>
    </w:p>
    <w:p w:rsidR="00451B28" w:rsidRDefault="00512D5C" w:rsidP="00844225">
      <w:pPr>
        <w:pStyle w:val="ListParagraph"/>
        <w:widowControl/>
        <w:numPr>
          <w:ilvl w:val="0"/>
          <w:numId w:val="13"/>
        </w:numPr>
        <w:tabs>
          <w:tab w:val="left" w:pos="1445"/>
          <w:tab w:val="left" w:pos="4410"/>
          <w:tab w:val="left" w:pos="7920"/>
        </w:tabs>
        <w:autoSpaceDE w:val="0"/>
        <w:autoSpaceDN w:val="0"/>
        <w:adjustRightInd w:val="0"/>
        <w:ind w:left="1080"/>
        <w:rPr>
          <w:sz w:val="26"/>
          <w:szCs w:val="26"/>
        </w:rPr>
      </w:pPr>
      <w:r>
        <w:rPr>
          <w:sz w:val="26"/>
          <w:szCs w:val="26"/>
        </w:rPr>
        <w:t>T</w:t>
      </w:r>
      <w:r w:rsidRPr="00512D5C">
        <w:rPr>
          <w:sz w:val="26"/>
          <w:szCs w:val="26"/>
        </w:rPr>
        <w:t>he Company</w:t>
      </w:r>
      <w:r w:rsidR="001A5BA1">
        <w:rPr>
          <w:sz w:val="26"/>
          <w:szCs w:val="26"/>
        </w:rPr>
        <w:t>’</w:t>
      </w:r>
      <w:r w:rsidRPr="00512D5C">
        <w:rPr>
          <w:sz w:val="26"/>
          <w:szCs w:val="26"/>
        </w:rPr>
        <w:t>s historical practice of not charging producers for gathering retainage does not foreclose such a charge from being adopted in this proceeding.</w:t>
      </w:r>
      <w:r>
        <w:rPr>
          <w:sz w:val="26"/>
          <w:szCs w:val="26"/>
        </w:rPr>
        <w:t xml:space="preserve"> </w:t>
      </w:r>
      <w:r w:rsidRPr="00512D5C">
        <w:rPr>
          <w:sz w:val="26"/>
          <w:szCs w:val="26"/>
        </w:rPr>
        <w:t xml:space="preserve"> Every year, parties are entitled in 1307(f) cases to examine the existing PGC rates and charges and propose changes to them.</w:t>
      </w:r>
    </w:p>
    <w:p w:rsidR="00512D5C" w:rsidRPr="00512D5C" w:rsidRDefault="00512D5C" w:rsidP="00844225">
      <w:pPr>
        <w:pStyle w:val="ListParagraph"/>
        <w:widowControl/>
        <w:rPr>
          <w:sz w:val="26"/>
          <w:szCs w:val="26"/>
        </w:rPr>
      </w:pPr>
    </w:p>
    <w:p w:rsidR="00512D5C" w:rsidRDefault="00512D5C" w:rsidP="00844225">
      <w:pPr>
        <w:pStyle w:val="ListParagraph"/>
        <w:widowControl/>
        <w:numPr>
          <w:ilvl w:val="0"/>
          <w:numId w:val="13"/>
        </w:numPr>
        <w:tabs>
          <w:tab w:val="left" w:pos="1445"/>
          <w:tab w:val="left" w:pos="4410"/>
          <w:tab w:val="left" w:pos="7920"/>
        </w:tabs>
        <w:autoSpaceDE w:val="0"/>
        <w:autoSpaceDN w:val="0"/>
        <w:adjustRightInd w:val="0"/>
        <w:ind w:left="1080"/>
        <w:rPr>
          <w:sz w:val="26"/>
          <w:szCs w:val="26"/>
        </w:rPr>
      </w:pPr>
      <w:r w:rsidRPr="00512D5C">
        <w:rPr>
          <w:sz w:val="26"/>
          <w:szCs w:val="26"/>
        </w:rPr>
        <w:t>Even though the Company operates an integrated system, it can, like Peoples Natural Gas Company LLC</w:t>
      </w:r>
      <w:r w:rsidR="001A5BA1">
        <w:rPr>
          <w:sz w:val="26"/>
          <w:szCs w:val="26"/>
        </w:rPr>
        <w:t>’</w:t>
      </w:r>
      <w:r w:rsidRPr="00512D5C">
        <w:rPr>
          <w:sz w:val="26"/>
          <w:szCs w:val="26"/>
        </w:rPr>
        <w:t xml:space="preserve">s (Peoples Natural Gas) Equitable Division, impose charges for individual cost components of that system, such as gathering pipelines. </w:t>
      </w:r>
      <w:r>
        <w:rPr>
          <w:sz w:val="26"/>
          <w:szCs w:val="26"/>
        </w:rPr>
        <w:t xml:space="preserve"> </w:t>
      </w:r>
      <w:r w:rsidRPr="00512D5C">
        <w:rPr>
          <w:sz w:val="26"/>
          <w:szCs w:val="26"/>
        </w:rPr>
        <w:t>Peoples Gas explained that other integrated pipeline systems impose charges by components of their syste</w:t>
      </w:r>
      <w:r>
        <w:rPr>
          <w:sz w:val="26"/>
          <w:szCs w:val="26"/>
        </w:rPr>
        <w:t xml:space="preserve">ms as proposed by the Company.  Peoples Gas R.B. at </w:t>
      </w:r>
      <w:r w:rsidRPr="00512D5C">
        <w:rPr>
          <w:sz w:val="26"/>
          <w:szCs w:val="26"/>
        </w:rPr>
        <w:t>2.</w:t>
      </w:r>
    </w:p>
    <w:p w:rsidR="00512D5C" w:rsidRPr="00512D5C" w:rsidRDefault="00512D5C" w:rsidP="00844225">
      <w:pPr>
        <w:pStyle w:val="ListParagraph"/>
        <w:widowControl/>
        <w:rPr>
          <w:sz w:val="26"/>
          <w:szCs w:val="26"/>
        </w:rPr>
      </w:pPr>
    </w:p>
    <w:p w:rsidR="00512D5C" w:rsidRDefault="00512D5C" w:rsidP="00844225">
      <w:pPr>
        <w:pStyle w:val="ListParagraph"/>
        <w:widowControl/>
        <w:numPr>
          <w:ilvl w:val="0"/>
          <w:numId w:val="13"/>
        </w:numPr>
        <w:tabs>
          <w:tab w:val="left" w:pos="1445"/>
          <w:tab w:val="left" w:pos="4410"/>
          <w:tab w:val="left" w:pos="7920"/>
        </w:tabs>
        <w:autoSpaceDE w:val="0"/>
        <w:autoSpaceDN w:val="0"/>
        <w:adjustRightInd w:val="0"/>
        <w:ind w:left="1080"/>
        <w:rPr>
          <w:sz w:val="26"/>
          <w:szCs w:val="26"/>
        </w:rPr>
      </w:pPr>
      <w:r w:rsidRPr="00512D5C">
        <w:rPr>
          <w:sz w:val="26"/>
          <w:szCs w:val="26"/>
        </w:rPr>
        <w:t>PIOGA</w:t>
      </w:r>
      <w:r w:rsidR="001A5BA1">
        <w:rPr>
          <w:sz w:val="26"/>
          <w:szCs w:val="26"/>
        </w:rPr>
        <w:t>’</w:t>
      </w:r>
      <w:r w:rsidRPr="00512D5C">
        <w:rPr>
          <w:sz w:val="26"/>
          <w:szCs w:val="26"/>
        </w:rPr>
        <w:t>s definitions of gathering and distribution pipelines to support its challenge to the Company</w:t>
      </w:r>
      <w:r w:rsidR="001A5BA1">
        <w:rPr>
          <w:sz w:val="26"/>
          <w:szCs w:val="26"/>
        </w:rPr>
        <w:t>’</w:t>
      </w:r>
      <w:r w:rsidRPr="00512D5C">
        <w:rPr>
          <w:sz w:val="26"/>
          <w:szCs w:val="26"/>
        </w:rPr>
        <w:t>s segregation of the gathering systems are not recognized in the industry and are not consistent with the regulations of the modified primary function test, which the Company uses to classify its pipelines.</w:t>
      </w:r>
    </w:p>
    <w:p w:rsidR="00512D5C" w:rsidRPr="00512D5C" w:rsidRDefault="00512D5C" w:rsidP="00844225">
      <w:pPr>
        <w:pStyle w:val="ListParagraph"/>
        <w:widowControl/>
        <w:rPr>
          <w:sz w:val="26"/>
          <w:szCs w:val="26"/>
        </w:rPr>
      </w:pPr>
    </w:p>
    <w:p w:rsidR="00512D5C" w:rsidRDefault="00512D5C" w:rsidP="00844225">
      <w:pPr>
        <w:pStyle w:val="ListParagraph"/>
        <w:widowControl/>
        <w:numPr>
          <w:ilvl w:val="0"/>
          <w:numId w:val="13"/>
        </w:numPr>
        <w:tabs>
          <w:tab w:val="left" w:pos="1445"/>
          <w:tab w:val="left" w:pos="4410"/>
          <w:tab w:val="left" w:pos="7920"/>
        </w:tabs>
        <w:autoSpaceDE w:val="0"/>
        <w:autoSpaceDN w:val="0"/>
        <w:adjustRightInd w:val="0"/>
        <w:ind w:left="1080"/>
        <w:rPr>
          <w:sz w:val="26"/>
          <w:szCs w:val="26"/>
        </w:rPr>
      </w:pPr>
      <w:r w:rsidRPr="00512D5C">
        <w:rPr>
          <w:sz w:val="26"/>
          <w:szCs w:val="26"/>
        </w:rPr>
        <w:t>Additionally, PIOGA</w:t>
      </w:r>
      <w:r w:rsidR="001A5BA1">
        <w:rPr>
          <w:sz w:val="26"/>
          <w:szCs w:val="26"/>
        </w:rPr>
        <w:t>’</w:t>
      </w:r>
      <w:r w:rsidRPr="00512D5C">
        <w:rPr>
          <w:sz w:val="26"/>
          <w:szCs w:val="26"/>
        </w:rPr>
        <w:t xml:space="preserve">s claims that conventional gas producers should not have to pay for gathering system UFG because they did not cause the losses are not sufficiently persuasive to deny the charge proposed by the Company. </w:t>
      </w:r>
      <w:r>
        <w:rPr>
          <w:sz w:val="26"/>
          <w:szCs w:val="26"/>
        </w:rPr>
        <w:t xml:space="preserve"> </w:t>
      </w:r>
      <w:r w:rsidRPr="00512D5C">
        <w:rPr>
          <w:sz w:val="26"/>
          <w:szCs w:val="26"/>
        </w:rPr>
        <w:t>PIOGA</w:t>
      </w:r>
      <w:r w:rsidR="001A5BA1">
        <w:rPr>
          <w:sz w:val="26"/>
          <w:szCs w:val="26"/>
        </w:rPr>
        <w:t>’</w:t>
      </w:r>
      <w:r w:rsidRPr="00512D5C">
        <w:rPr>
          <w:sz w:val="26"/>
          <w:szCs w:val="26"/>
        </w:rPr>
        <w:t xml:space="preserve">s own testimony demonstrates that the gathering lines were built to gather conventional gas supplies, and the producers are primary beneficiaries of the gathering systems. </w:t>
      </w:r>
      <w:r>
        <w:rPr>
          <w:sz w:val="26"/>
          <w:szCs w:val="26"/>
        </w:rPr>
        <w:t xml:space="preserve"> </w:t>
      </w:r>
      <w:r w:rsidRPr="00512D5C">
        <w:rPr>
          <w:sz w:val="26"/>
          <w:szCs w:val="26"/>
        </w:rPr>
        <w:t>Therefore, the producers should pay a portion of the gathering system UFG, based upon the facts established and the circumstanc</w:t>
      </w:r>
      <w:r>
        <w:rPr>
          <w:sz w:val="26"/>
          <w:szCs w:val="26"/>
        </w:rPr>
        <w:t>es present in this proceeding.  Peoples Gas R.B. at 2-3.</w:t>
      </w:r>
    </w:p>
    <w:p w:rsidR="00512D5C" w:rsidRPr="00512D5C" w:rsidRDefault="00512D5C" w:rsidP="00844225">
      <w:pPr>
        <w:pStyle w:val="ListParagraph"/>
        <w:widowControl/>
        <w:rPr>
          <w:sz w:val="26"/>
          <w:szCs w:val="26"/>
        </w:rPr>
      </w:pPr>
    </w:p>
    <w:p w:rsidR="00512D5C" w:rsidRDefault="00512D5C" w:rsidP="00844225">
      <w:pPr>
        <w:pStyle w:val="ListParagraph"/>
        <w:widowControl/>
        <w:numPr>
          <w:ilvl w:val="0"/>
          <w:numId w:val="13"/>
        </w:numPr>
        <w:tabs>
          <w:tab w:val="left" w:pos="1445"/>
          <w:tab w:val="left" w:pos="4410"/>
          <w:tab w:val="left" w:pos="7920"/>
        </w:tabs>
        <w:autoSpaceDE w:val="0"/>
        <w:autoSpaceDN w:val="0"/>
        <w:adjustRightInd w:val="0"/>
        <w:ind w:left="1080"/>
        <w:rPr>
          <w:sz w:val="26"/>
          <w:szCs w:val="26"/>
        </w:rPr>
      </w:pPr>
      <w:r w:rsidRPr="00512D5C">
        <w:rPr>
          <w:sz w:val="26"/>
          <w:szCs w:val="26"/>
        </w:rPr>
        <w:t>PIOGA claims that the Company has failed to prove that the proposed producer retainage charge should apply to volumes delivered into the Company</w:t>
      </w:r>
      <w:r w:rsidR="001A5BA1">
        <w:rPr>
          <w:sz w:val="26"/>
          <w:szCs w:val="26"/>
        </w:rPr>
        <w:t>’</w:t>
      </w:r>
      <w:r w:rsidRPr="00512D5C">
        <w:rPr>
          <w:sz w:val="26"/>
          <w:szCs w:val="26"/>
        </w:rPr>
        <w:t xml:space="preserve">s system </w:t>
      </w:r>
      <w:r w:rsidR="00812BCE">
        <w:rPr>
          <w:sz w:val="26"/>
          <w:szCs w:val="26"/>
        </w:rPr>
        <w:t xml:space="preserve">[and] </w:t>
      </w:r>
      <w:r w:rsidRPr="00512D5C">
        <w:rPr>
          <w:sz w:val="26"/>
          <w:szCs w:val="26"/>
        </w:rPr>
        <w:t xml:space="preserve">whether it is delivered to gathering or distribution </w:t>
      </w:r>
      <w:r w:rsidRPr="00512D5C">
        <w:rPr>
          <w:sz w:val="26"/>
          <w:szCs w:val="26"/>
        </w:rPr>
        <w:lastRenderedPageBreak/>
        <w:t xml:space="preserve">facilities. </w:t>
      </w:r>
      <w:r>
        <w:rPr>
          <w:sz w:val="26"/>
          <w:szCs w:val="26"/>
        </w:rPr>
        <w:t xml:space="preserve"> </w:t>
      </w:r>
      <w:r w:rsidRPr="00512D5C">
        <w:rPr>
          <w:sz w:val="26"/>
          <w:szCs w:val="26"/>
        </w:rPr>
        <w:t>However, the Company has demonstrated there is a negligible difference between calculating the charge based upon volumes delivered into gathering only versus delive</w:t>
      </w:r>
      <w:r>
        <w:rPr>
          <w:sz w:val="26"/>
          <w:szCs w:val="26"/>
        </w:rPr>
        <w:t>red into the system generally.  Peoples Gas R.B. at</w:t>
      </w:r>
      <w:r w:rsidR="00E659BD">
        <w:rPr>
          <w:sz w:val="26"/>
          <w:szCs w:val="26"/>
        </w:rPr>
        <w:t> </w:t>
      </w:r>
      <w:r>
        <w:rPr>
          <w:sz w:val="26"/>
          <w:szCs w:val="26"/>
        </w:rPr>
        <w:t>3.</w:t>
      </w:r>
    </w:p>
    <w:p w:rsidR="00512D5C" w:rsidRPr="00512D5C" w:rsidRDefault="00512D5C" w:rsidP="00844225">
      <w:pPr>
        <w:pStyle w:val="ListParagraph"/>
        <w:widowControl/>
        <w:rPr>
          <w:sz w:val="26"/>
          <w:szCs w:val="26"/>
        </w:rPr>
      </w:pPr>
    </w:p>
    <w:p w:rsidR="00512D5C" w:rsidRPr="00512D5C" w:rsidRDefault="00512D5C" w:rsidP="00844225">
      <w:pPr>
        <w:pStyle w:val="ListParagraph"/>
        <w:widowControl/>
        <w:numPr>
          <w:ilvl w:val="0"/>
          <w:numId w:val="13"/>
        </w:numPr>
        <w:tabs>
          <w:tab w:val="left" w:pos="1445"/>
          <w:tab w:val="left" w:pos="4410"/>
          <w:tab w:val="left" w:pos="7920"/>
        </w:tabs>
        <w:autoSpaceDE w:val="0"/>
        <w:autoSpaceDN w:val="0"/>
        <w:adjustRightInd w:val="0"/>
        <w:ind w:left="1080"/>
        <w:rPr>
          <w:sz w:val="26"/>
          <w:szCs w:val="26"/>
        </w:rPr>
      </w:pPr>
      <w:r>
        <w:rPr>
          <w:sz w:val="26"/>
          <w:szCs w:val="26"/>
        </w:rPr>
        <w:t>T</w:t>
      </w:r>
      <w:r w:rsidRPr="00512D5C">
        <w:rPr>
          <w:sz w:val="26"/>
          <w:szCs w:val="26"/>
        </w:rPr>
        <w:t xml:space="preserve">he proposed producer retainage charge is not poor policy, as alleged by PIOGA. There is no evidence that this proposal will jeopardize the provision of safe and reliable service to customers, nor has PIOGA presented any data or analysis to support its general claim that the proposed charge will exacerbate the decline of conventional gas production. </w:t>
      </w:r>
      <w:r>
        <w:rPr>
          <w:sz w:val="26"/>
          <w:szCs w:val="26"/>
        </w:rPr>
        <w:t xml:space="preserve"> </w:t>
      </w:r>
      <w:r w:rsidRPr="00512D5C">
        <w:rPr>
          <w:sz w:val="26"/>
          <w:szCs w:val="26"/>
        </w:rPr>
        <w:t>To the contrary, PIOGA stipulated that the charge will not have a material effect on the production from existing wells or the production from new wells.</w:t>
      </w:r>
      <w:r>
        <w:rPr>
          <w:sz w:val="26"/>
          <w:szCs w:val="26"/>
        </w:rPr>
        <w:t xml:space="preserve"> </w:t>
      </w:r>
      <w:r w:rsidRPr="00512D5C">
        <w:rPr>
          <w:sz w:val="26"/>
          <w:szCs w:val="26"/>
        </w:rPr>
        <w:t xml:space="preserve"> As Peoples Gas explains, the producer retainage</w:t>
      </w:r>
      <w:r>
        <w:rPr>
          <w:sz w:val="26"/>
          <w:szCs w:val="26"/>
        </w:rPr>
        <w:t xml:space="preserve"> </w:t>
      </w:r>
      <w:r w:rsidRPr="00512D5C">
        <w:rPr>
          <w:sz w:val="26"/>
          <w:szCs w:val="26"/>
        </w:rPr>
        <w:t xml:space="preserve">charge would properly balance the interests of both customers and producers, where there is currently no balance </w:t>
      </w:r>
      <w:r>
        <w:rPr>
          <w:sz w:val="26"/>
          <w:szCs w:val="26"/>
        </w:rPr>
        <w:t>at all.  Peoples Gas R.B. at 3.</w:t>
      </w:r>
    </w:p>
    <w:p w:rsidR="00584A45" w:rsidRDefault="00584A45" w:rsidP="00844225">
      <w:pPr>
        <w:widowControl/>
        <w:tabs>
          <w:tab w:val="left" w:pos="1445"/>
          <w:tab w:val="left" w:pos="4410"/>
          <w:tab w:val="left" w:pos="7920"/>
        </w:tabs>
        <w:autoSpaceDE w:val="0"/>
        <w:autoSpaceDN w:val="0"/>
        <w:adjustRightInd w:val="0"/>
        <w:spacing w:line="360" w:lineRule="auto"/>
        <w:rPr>
          <w:sz w:val="26"/>
          <w:szCs w:val="26"/>
        </w:rPr>
      </w:pPr>
    </w:p>
    <w:p w:rsidR="005169F1" w:rsidRDefault="00512D5C" w:rsidP="00844225">
      <w:pPr>
        <w:widowControl/>
        <w:tabs>
          <w:tab w:val="left" w:pos="1445"/>
          <w:tab w:val="left" w:pos="4410"/>
          <w:tab w:val="left" w:pos="7920"/>
        </w:tabs>
        <w:autoSpaceDE w:val="0"/>
        <w:autoSpaceDN w:val="0"/>
        <w:adjustRightInd w:val="0"/>
        <w:spacing w:line="360" w:lineRule="auto"/>
        <w:rPr>
          <w:sz w:val="26"/>
          <w:szCs w:val="26"/>
        </w:rPr>
      </w:pPr>
      <w:r>
        <w:rPr>
          <w:sz w:val="26"/>
          <w:szCs w:val="26"/>
        </w:rPr>
        <w:t>R.D. at 76-78.</w:t>
      </w:r>
    </w:p>
    <w:p w:rsidR="005169F1" w:rsidRDefault="005169F1" w:rsidP="00844225">
      <w:pPr>
        <w:widowControl/>
        <w:tabs>
          <w:tab w:val="left" w:pos="1445"/>
          <w:tab w:val="left" w:pos="4410"/>
          <w:tab w:val="left" w:pos="7920"/>
        </w:tabs>
        <w:autoSpaceDE w:val="0"/>
        <w:autoSpaceDN w:val="0"/>
        <w:adjustRightInd w:val="0"/>
        <w:spacing w:line="360" w:lineRule="auto"/>
        <w:rPr>
          <w:sz w:val="26"/>
          <w:szCs w:val="26"/>
        </w:rPr>
      </w:pPr>
    </w:p>
    <w:p w:rsidR="005169F1" w:rsidRPr="002270DC" w:rsidRDefault="008730C4" w:rsidP="00E659BD">
      <w:pPr>
        <w:pStyle w:val="Heading2"/>
        <w:numPr>
          <w:ilvl w:val="0"/>
          <w:numId w:val="30"/>
        </w:numPr>
        <w:ind w:left="720" w:hanging="720"/>
        <w:rPr>
          <w:szCs w:val="26"/>
        </w:rPr>
      </w:pPr>
      <w:bookmarkStart w:id="27" w:name="_Toc524347686"/>
      <w:bookmarkStart w:id="28" w:name="_Hlk523909465"/>
      <w:r>
        <w:rPr>
          <w:szCs w:val="26"/>
        </w:rPr>
        <w:t xml:space="preserve">Exceptions, </w:t>
      </w:r>
      <w:r w:rsidR="005169F1" w:rsidRPr="002270DC">
        <w:rPr>
          <w:szCs w:val="26"/>
        </w:rPr>
        <w:t>Replies</w:t>
      </w:r>
      <w:r>
        <w:rPr>
          <w:szCs w:val="26"/>
        </w:rPr>
        <w:t xml:space="preserve"> and Dispositions</w:t>
      </w:r>
      <w:bookmarkEnd w:id="27"/>
    </w:p>
    <w:bookmarkEnd w:id="28"/>
    <w:p w:rsidR="005169F1" w:rsidRDefault="005169F1" w:rsidP="00E659BD">
      <w:pPr>
        <w:keepNext/>
        <w:keepLines/>
        <w:widowControl/>
        <w:spacing w:line="360" w:lineRule="auto"/>
        <w:rPr>
          <w:sz w:val="26"/>
          <w:szCs w:val="26"/>
        </w:rPr>
      </w:pPr>
    </w:p>
    <w:p w:rsidR="00325C56" w:rsidRDefault="00325C56" w:rsidP="00844225">
      <w:pPr>
        <w:widowControl/>
        <w:spacing w:line="360" w:lineRule="auto"/>
        <w:ind w:firstLine="1440"/>
        <w:rPr>
          <w:sz w:val="26"/>
          <w:szCs w:val="26"/>
        </w:rPr>
      </w:pPr>
      <w:r w:rsidRPr="00EB6AFC">
        <w:rPr>
          <w:sz w:val="26"/>
          <w:szCs w:val="26"/>
        </w:rPr>
        <w:t xml:space="preserve">In its </w:t>
      </w:r>
      <w:r>
        <w:rPr>
          <w:sz w:val="26"/>
          <w:szCs w:val="26"/>
        </w:rPr>
        <w:t>Exceptions, PIOGA generally criticizes Peoples Gas</w:t>
      </w:r>
      <w:r w:rsidR="001A5BA1">
        <w:rPr>
          <w:sz w:val="26"/>
          <w:szCs w:val="26"/>
        </w:rPr>
        <w:t>’</w:t>
      </w:r>
      <w:r>
        <w:rPr>
          <w:sz w:val="26"/>
          <w:szCs w:val="26"/>
        </w:rPr>
        <w:t xml:space="preserve"> </w:t>
      </w:r>
      <w:r w:rsidR="001A5BA1">
        <w:rPr>
          <w:sz w:val="26"/>
          <w:szCs w:val="26"/>
        </w:rPr>
        <w:t>“</w:t>
      </w:r>
      <w:r>
        <w:rPr>
          <w:sz w:val="26"/>
          <w:szCs w:val="26"/>
        </w:rPr>
        <w:t>about-face</w:t>
      </w:r>
      <w:r w:rsidR="001A5BA1">
        <w:rPr>
          <w:sz w:val="26"/>
          <w:szCs w:val="26"/>
        </w:rPr>
        <w:t>”</w:t>
      </w:r>
      <w:r>
        <w:rPr>
          <w:sz w:val="26"/>
          <w:szCs w:val="26"/>
        </w:rPr>
        <w:t xml:space="preserve"> position on this matter, the timing of the request, and the procedure used by Peoples in requesting the proposed producer retainage charge in the instant proceeding.  Exc. at 1-4.  PIOGA requests that the Commission reject the ALJ</w:t>
      </w:r>
      <w:r w:rsidR="001A5BA1">
        <w:rPr>
          <w:sz w:val="26"/>
          <w:szCs w:val="26"/>
        </w:rPr>
        <w:t>’</w:t>
      </w:r>
      <w:r>
        <w:rPr>
          <w:sz w:val="26"/>
          <w:szCs w:val="26"/>
        </w:rPr>
        <w:t>s recommendation and approve either of the OCA</w:t>
      </w:r>
      <w:r w:rsidR="001A5BA1">
        <w:rPr>
          <w:sz w:val="26"/>
          <w:szCs w:val="26"/>
        </w:rPr>
        <w:t>’</w:t>
      </w:r>
      <w:r>
        <w:rPr>
          <w:sz w:val="26"/>
          <w:szCs w:val="26"/>
        </w:rPr>
        <w:t xml:space="preserve">s retainage rate proposals, </w:t>
      </w:r>
      <w:r w:rsidR="00615F46">
        <w:rPr>
          <w:sz w:val="26"/>
          <w:szCs w:val="26"/>
        </w:rPr>
        <w:t>which are: (1) an additional 2.9</w:t>
      </w:r>
      <w:r>
        <w:rPr>
          <w:sz w:val="26"/>
          <w:szCs w:val="26"/>
        </w:rPr>
        <w:t>% gathering retainage charge assessed to transportation customers on volumes delivered on the Company</w:t>
      </w:r>
      <w:r w:rsidR="001A5BA1">
        <w:rPr>
          <w:sz w:val="26"/>
          <w:szCs w:val="26"/>
        </w:rPr>
        <w:t>’</w:t>
      </w:r>
      <w:r>
        <w:rPr>
          <w:sz w:val="26"/>
          <w:szCs w:val="26"/>
        </w:rPr>
        <w:t>s gathering system; or (2)</w:t>
      </w:r>
      <w:r w:rsidR="00615F46">
        <w:rPr>
          <w:sz w:val="26"/>
          <w:szCs w:val="26"/>
        </w:rPr>
        <w:t xml:space="preserve"> a 10.4</w:t>
      </w:r>
      <w:r>
        <w:rPr>
          <w:sz w:val="26"/>
          <w:szCs w:val="26"/>
        </w:rPr>
        <w:t xml:space="preserve">% customer retainage rate.  </w:t>
      </w:r>
      <w:r w:rsidRPr="00BA3B2F">
        <w:rPr>
          <w:i/>
          <w:sz w:val="26"/>
          <w:szCs w:val="26"/>
        </w:rPr>
        <w:t xml:space="preserve">Id. </w:t>
      </w:r>
      <w:r w:rsidR="00615F46">
        <w:rPr>
          <w:sz w:val="26"/>
          <w:szCs w:val="26"/>
        </w:rPr>
        <w:t xml:space="preserve">at 22 </w:t>
      </w:r>
      <w:r w:rsidR="00812BCE">
        <w:rPr>
          <w:sz w:val="26"/>
          <w:szCs w:val="26"/>
        </w:rPr>
        <w:t>(</w:t>
      </w:r>
      <w:r>
        <w:rPr>
          <w:sz w:val="26"/>
          <w:szCs w:val="26"/>
        </w:rPr>
        <w:t>citing OCA</w:t>
      </w:r>
      <w:r w:rsidR="00615F46">
        <w:rPr>
          <w:sz w:val="26"/>
          <w:szCs w:val="26"/>
        </w:rPr>
        <w:t xml:space="preserve"> St. 1 at 3</w:t>
      </w:r>
      <w:r>
        <w:rPr>
          <w:sz w:val="26"/>
          <w:szCs w:val="26"/>
        </w:rPr>
        <w:t>).</w:t>
      </w:r>
    </w:p>
    <w:p w:rsidR="00325C56" w:rsidRDefault="00325C56" w:rsidP="00844225">
      <w:pPr>
        <w:widowControl/>
        <w:spacing w:line="360" w:lineRule="auto"/>
        <w:rPr>
          <w:sz w:val="26"/>
          <w:szCs w:val="26"/>
        </w:rPr>
      </w:pPr>
    </w:p>
    <w:p w:rsidR="001225AB" w:rsidRDefault="001225AB" w:rsidP="00844225">
      <w:pPr>
        <w:pStyle w:val="Heading3"/>
        <w:numPr>
          <w:ilvl w:val="0"/>
          <w:numId w:val="14"/>
        </w:numPr>
        <w:ind w:left="1440" w:hanging="720"/>
      </w:pPr>
      <w:bookmarkStart w:id="29" w:name="_Toc524347687"/>
      <w:r>
        <w:t>PIOGA Exception No. 1</w:t>
      </w:r>
      <w:bookmarkEnd w:id="29"/>
      <w:r w:rsidR="00AA359F">
        <w:t>, Replies and Disposition</w:t>
      </w:r>
    </w:p>
    <w:p w:rsidR="001225AB" w:rsidRPr="002270DC" w:rsidRDefault="001225AB" w:rsidP="00844225">
      <w:pPr>
        <w:widowControl/>
        <w:spacing w:line="360" w:lineRule="auto"/>
        <w:rPr>
          <w:sz w:val="26"/>
          <w:szCs w:val="26"/>
        </w:rPr>
      </w:pPr>
    </w:p>
    <w:p w:rsidR="005169F1" w:rsidRDefault="002270DC" w:rsidP="00844225">
      <w:pPr>
        <w:widowControl/>
        <w:spacing w:line="360" w:lineRule="auto"/>
        <w:ind w:firstLine="1440"/>
        <w:rPr>
          <w:sz w:val="26"/>
          <w:szCs w:val="26"/>
        </w:rPr>
      </w:pPr>
      <w:r>
        <w:rPr>
          <w:sz w:val="26"/>
          <w:szCs w:val="26"/>
        </w:rPr>
        <w:t>In its Exception No. 1, PIOGA argues that the ALJ erred in concluding that Peoples Gas</w:t>
      </w:r>
      <w:r w:rsidR="001A5BA1">
        <w:rPr>
          <w:sz w:val="26"/>
          <w:szCs w:val="26"/>
        </w:rPr>
        <w:t>’</w:t>
      </w:r>
      <w:r>
        <w:rPr>
          <w:sz w:val="26"/>
          <w:szCs w:val="26"/>
        </w:rPr>
        <w:t xml:space="preserve"> proposed 2.9% producer retainage charge is just and reasonable.  </w:t>
      </w:r>
      <w:r w:rsidR="001D5867">
        <w:rPr>
          <w:sz w:val="26"/>
          <w:szCs w:val="26"/>
        </w:rPr>
        <w:t>PIOGA disputes the ALJ</w:t>
      </w:r>
      <w:r w:rsidR="001A5BA1">
        <w:rPr>
          <w:sz w:val="26"/>
          <w:szCs w:val="26"/>
        </w:rPr>
        <w:t>’</w:t>
      </w:r>
      <w:r w:rsidR="001D5867">
        <w:rPr>
          <w:sz w:val="26"/>
          <w:szCs w:val="26"/>
        </w:rPr>
        <w:t xml:space="preserve">s finding that conventional gas producers are the primary beneficiaries </w:t>
      </w:r>
      <w:r w:rsidR="001D5867">
        <w:rPr>
          <w:sz w:val="26"/>
          <w:szCs w:val="26"/>
        </w:rPr>
        <w:lastRenderedPageBreak/>
        <w:t>of the gathering system and challenges the ALJ</w:t>
      </w:r>
      <w:r w:rsidR="001A5BA1">
        <w:rPr>
          <w:sz w:val="26"/>
          <w:szCs w:val="26"/>
        </w:rPr>
        <w:t>’</w:t>
      </w:r>
      <w:r w:rsidR="00A87A0E">
        <w:rPr>
          <w:sz w:val="26"/>
          <w:szCs w:val="26"/>
        </w:rPr>
        <w:t>s conclusion that Peoples Gas has</w:t>
      </w:r>
      <w:r w:rsidR="001D5867">
        <w:rPr>
          <w:sz w:val="26"/>
          <w:szCs w:val="26"/>
        </w:rPr>
        <w:t xml:space="preserve"> made substantial commitments to reduce gathering system UFG.  PIOGA Exc. at 4-6.  </w:t>
      </w:r>
      <w:r w:rsidR="001E48BA">
        <w:rPr>
          <w:sz w:val="26"/>
          <w:szCs w:val="26"/>
        </w:rPr>
        <w:t xml:space="preserve">PIOGA concludes that because such commitment is only $7.36 million over the next four years, the prospective gathering system UFG expenditures are </w:t>
      </w:r>
      <w:r w:rsidR="001A5BA1">
        <w:rPr>
          <w:sz w:val="26"/>
          <w:szCs w:val="26"/>
        </w:rPr>
        <w:t>“</w:t>
      </w:r>
      <w:r w:rsidR="001E48BA">
        <w:rPr>
          <w:sz w:val="26"/>
          <w:szCs w:val="26"/>
        </w:rPr>
        <w:t>not substantial</w:t>
      </w:r>
      <w:r w:rsidR="001A5BA1">
        <w:rPr>
          <w:sz w:val="26"/>
          <w:szCs w:val="26"/>
        </w:rPr>
        <w:t>”</w:t>
      </w:r>
      <w:r w:rsidR="001E48BA">
        <w:rPr>
          <w:sz w:val="26"/>
          <w:szCs w:val="26"/>
        </w:rPr>
        <w:t xml:space="preserve"> as compared to distribution system UFG expenditures.  PIOGA Exc. at 4.  </w:t>
      </w:r>
    </w:p>
    <w:p w:rsidR="001E48BA" w:rsidRDefault="001E48BA" w:rsidP="00844225">
      <w:pPr>
        <w:widowControl/>
        <w:spacing w:line="360" w:lineRule="auto"/>
        <w:ind w:firstLine="1440"/>
        <w:rPr>
          <w:sz w:val="26"/>
          <w:szCs w:val="26"/>
        </w:rPr>
      </w:pPr>
    </w:p>
    <w:p w:rsidR="001E48BA" w:rsidRDefault="001E48BA" w:rsidP="00844225">
      <w:pPr>
        <w:widowControl/>
        <w:spacing w:line="360" w:lineRule="auto"/>
        <w:ind w:firstLine="1440"/>
        <w:rPr>
          <w:sz w:val="26"/>
          <w:szCs w:val="26"/>
        </w:rPr>
      </w:pPr>
      <w:r>
        <w:rPr>
          <w:sz w:val="26"/>
          <w:szCs w:val="26"/>
        </w:rPr>
        <w:t>Next PIOGA notes the ALJ</w:t>
      </w:r>
      <w:r w:rsidR="001A5BA1">
        <w:rPr>
          <w:sz w:val="26"/>
          <w:szCs w:val="26"/>
        </w:rPr>
        <w:t>’</w:t>
      </w:r>
      <w:r>
        <w:rPr>
          <w:sz w:val="26"/>
          <w:szCs w:val="26"/>
        </w:rPr>
        <w:t xml:space="preserve">s Findings of Fact Nos. 43 and 44, that conventional gas producers are the primary users and beneficiaries of the gathering system and without the gathering lines, conventional gas producers would not be able to get their gas to market.  PIOGA argues in response that without these gathering lines, Peoples Gas would not have been able to serve its customers with conventional production.  PIOGA Exc. at 4.  </w:t>
      </w:r>
    </w:p>
    <w:p w:rsidR="001E48BA" w:rsidRDefault="001E48BA" w:rsidP="00844225">
      <w:pPr>
        <w:widowControl/>
        <w:spacing w:line="360" w:lineRule="auto"/>
        <w:ind w:firstLine="1440"/>
        <w:rPr>
          <w:sz w:val="26"/>
          <w:szCs w:val="26"/>
        </w:rPr>
      </w:pPr>
    </w:p>
    <w:p w:rsidR="001E48BA" w:rsidRDefault="00F257F6" w:rsidP="00844225">
      <w:pPr>
        <w:widowControl/>
        <w:spacing w:line="360" w:lineRule="auto"/>
        <w:ind w:firstLine="1440"/>
        <w:rPr>
          <w:sz w:val="26"/>
          <w:szCs w:val="26"/>
        </w:rPr>
      </w:pPr>
      <w:r>
        <w:rPr>
          <w:sz w:val="26"/>
          <w:szCs w:val="26"/>
        </w:rPr>
        <w:t>In its Replies to Exceptions, Peoples Gas refutes PIOGA</w:t>
      </w:r>
      <w:r w:rsidR="001A5BA1">
        <w:rPr>
          <w:sz w:val="26"/>
          <w:szCs w:val="26"/>
        </w:rPr>
        <w:t>’</w:t>
      </w:r>
      <w:r>
        <w:rPr>
          <w:sz w:val="26"/>
          <w:szCs w:val="26"/>
        </w:rPr>
        <w:t>s position, stating that the ALJ properly found that conventional gas producers are the primary beneficiaries of the gathering lines.  According to the Company, PIOGA ignores its own evidence that, absent conventional production, the Company could serve all, or nearly all, of its customers</w:t>
      </w:r>
      <w:r w:rsidR="001A5BA1">
        <w:rPr>
          <w:sz w:val="26"/>
          <w:szCs w:val="26"/>
        </w:rPr>
        <w:t>’</w:t>
      </w:r>
      <w:r>
        <w:rPr>
          <w:sz w:val="26"/>
          <w:szCs w:val="26"/>
        </w:rPr>
        <w:t xml:space="preserve"> requirements with other supplies, and the fact that conventional gas producers would be unable to move their gas to market without these gathering pipelines remains unrebutted.  Peoples Gas R. Exc. at 4.</w:t>
      </w:r>
    </w:p>
    <w:p w:rsidR="000029BB" w:rsidRDefault="000029BB" w:rsidP="00844225">
      <w:pPr>
        <w:widowControl/>
        <w:spacing w:line="360" w:lineRule="auto"/>
        <w:ind w:firstLine="1440"/>
        <w:rPr>
          <w:sz w:val="26"/>
          <w:szCs w:val="26"/>
        </w:rPr>
      </w:pPr>
    </w:p>
    <w:p w:rsidR="000029BB" w:rsidRDefault="000029BB" w:rsidP="00844225">
      <w:pPr>
        <w:widowControl/>
        <w:spacing w:line="360" w:lineRule="auto"/>
        <w:ind w:firstLine="1440"/>
        <w:rPr>
          <w:sz w:val="26"/>
          <w:szCs w:val="26"/>
        </w:rPr>
      </w:pPr>
      <w:r>
        <w:rPr>
          <w:sz w:val="26"/>
          <w:szCs w:val="26"/>
        </w:rPr>
        <w:t xml:space="preserve">Furthermore, </w:t>
      </w:r>
      <w:r w:rsidR="00444355">
        <w:rPr>
          <w:sz w:val="26"/>
          <w:szCs w:val="26"/>
        </w:rPr>
        <w:t xml:space="preserve">Peoples Gas notes that PIOGA does not deny that conventional gas producers benefit from the gathering system, but rather alleges that the Company and its customers </w:t>
      </w:r>
      <w:r w:rsidR="001A5BA1">
        <w:rPr>
          <w:sz w:val="26"/>
          <w:szCs w:val="26"/>
        </w:rPr>
        <w:t>“</w:t>
      </w:r>
      <w:r w:rsidR="00444355">
        <w:rPr>
          <w:sz w:val="26"/>
          <w:szCs w:val="26"/>
        </w:rPr>
        <w:t>benefit more</w:t>
      </w:r>
      <w:r w:rsidR="001A5BA1">
        <w:rPr>
          <w:sz w:val="26"/>
          <w:szCs w:val="26"/>
        </w:rPr>
        <w:t>”</w:t>
      </w:r>
      <w:r w:rsidR="00444355">
        <w:rPr>
          <w:sz w:val="26"/>
          <w:szCs w:val="26"/>
        </w:rPr>
        <w:t xml:space="preserve"> than conventional producers from the gathering lines because the lines enable the Company to provide those customers with natural gas service sourced from local production, as part of an </w:t>
      </w:r>
      <w:r w:rsidR="001A5BA1">
        <w:rPr>
          <w:sz w:val="26"/>
          <w:szCs w:val="26"/>
        </w:rPr>
        <w:t>“</w:t>
      </w:r>
      <w:r w:rsidR="00444355">
        <w:rPr>
          <w:sz w:val="26"/>
          <w:szCs w:val="26"/>
        </w:rPr>
        <w:t>integrated pipeline system.</w:t>
      </w:r>
      <w:r w:rsidR="001A5BA1">
        <w:rPr>
          <w:sz w:val="26"/>
          <w:szCs w:val="26"/>
        </w:rPr>
        <w:t>”</w:t>
      </w:r>
      <w:r w:rsidR="00444355">
        <w:rPr>
          <w:sz w:val="26"/>
          <w:szCs w:val="26"/>
        </w:rPr>
        <w:t xml:space="preserve">  Peoples Gas R. Exc. at 4 </w:t>
      </w:r>
      <w:r w:rsidR="00812BCE">
        <w:rPr>
          <w:sz w:val="26"/>
          <w:szCs w:val="26"/>
        </w:rPr>
        <w:t>(</w:t>
      </w:r>
      <w:r w:rsidR="00444355">
        <w:rPr>
          <w:sz w:val="26"/>
          <w:szCs w:val="26"/>
        </w:rPr>
        <w:t>citing PIOGA Exc. at 4-6</w:t>
      </w:r>
      <w:r w:rsidR="00812BCE">
        <w:rPr>
          <w:sz w:val="26"/>
          <w:szCs w:val="26"/>
        </w:rPr>
        <w:t>)</w:t>
      </w:r>
      <w:r w:rsidR="00444355">
        <w:rPr>
          <w:sz w:val="26"/>
          <w:szCs w:val="26"/>
        </w:rPr>
        <w:t xml:space="preserve">.  </w:t>
      </w:r>
      <w:r w:rsidR="00B10F72">
        <w:rPr>
          <w:sz w:val="26"/>
          <w:szCs w:val="26"/>
        </w:rPr>
        <w:t>The Company contends that even if PIOGA</w:t>
      </w:r>
      <w:r w:rsidR="001A5BA1">
        <w:rPr>
          <w:sz w:val="26"/>
          <w:szCs w:val="26"/>
        </w:rPr>
        <w:t>’</w:t>
      </w:r>
      <w:r w:rsidR="00B10F72">
        <w:rPr>
          <w:sz w:val="26"/>
          <w:szCs w:val="26"/>
        </w:rPr>
        <w:t>s weighting of benefits were accurate, it would not alter the ALJ</w:t>
      </w:r>
      <w:r w:rsidR="001A5BA1">
        <w:rPr>
          <w:sz w:val="26"/>
          <w:szCs w:val="26"/>
        </w:rPr>
        <w:t>’</w:t>
      </w:r>
      <w:r w:rsidR="00B10F72">
        <w:rPr>
          <w:sz w:val="26"/>
          <w:szCs w:val="26"/>
        </w:rPr>
        <w:t xml:space="preserve">s conclusion that the proposed producer retainage charge is just and reasonable.  The </w:t>
      </w:r>
      <w:r w:rsidR="00B10F72">
        <w:rPr>
          <w:sz w:val="26"/>
          <w:szCs w:val="26"/>
        </w:rPr>
        <w:lastRenderedPageBreak/>
        <w:t>Company explains that it has not proposed to charge conventional gas producers all of the costs of the gathering system UFG, but instead has simply proposed to charge a fraction of gathering system losses to conventional gas producers.</w:t>
      </w:r>
      <w:r w:rsidR="00B10F72">
        <w:rPr>
          <w:rStyle w:val="FootnoteReference"/>
          <w:sz w:val="26"/>
          <w:szCs w:val="26"/>
        </w:rPr>
        <w:footnoteReference w:id="23"/>
      </w:r>
      <w:r w:rsidR="00B10F72">
        <w:rPr>
          <w:sz w:val="26"/>
          <w:szCs w:val="26"/>
        </w:rPr>
        <w:t xml:space="preserve">  Thus, </w:t>
      </w:r>
      <w:r>
        <w:rPr>
          <w:sz w:val="26"/>
          <w:szCs w:val="26"/>
        </w:rPr>
        <w:t xml:space="preserve">the </w:t>
      </w:r>
      <w:r w:rsidR="00B10F72">
        <w:rPr>
          <w:sz w:val="26"/>
          <w:szCs w:val="26"/>
        </w:rPr>
        <w:t>Company avers</w:t>
      </w:r>
      <w:r>
        <w:rPr>
          <w:sz w:val="26"/>
          <w:szCs w:val="26"/>
        </w:rPr>
        <w:t xml:space="preserve"> that its approach is just and reasonable because it equitably allocates the responsibility for the costs of gathering system UFG.  </w:t>
      </w:r>
      <w:r w:rsidR="00B10F72">
        <w:rPr>
          <w:sz w:val="26"/>
          <w:szCs w:val="26"/>
        </w:rPr>
        <w:t>Peoples Gas R. Exc. at 4-5.</w:t>
      </w:r>
    </w:p>
    <w:p w:rsidR="00934FCE" w:rsidRDefault="00934FCE" w:rsidP="00844225">
      <w:pPr>
        <w:widowControl/>
        <w:spacing w:line="360" w:lineRule="auto"/>
        <w:ind w:firstLine="1440"/>
        <w:rPr>
          <w:sz w:val="26"/>
          <w:szCs w:val="26"/>
        </w:rPr>
      </w:pPr>
    </w:p>
    <w:p w:rsidR="0052743F" w:rsidRDefault="002F78C9" w:rsidP="00844225">
      <w:pPr>
        <w:widowControl/>
        <w:spacing w:line="360" w:lineRule="auto"/>
        <w:ind w:firstLine="1440"/>
        <w:rPr>
          <w:sz w:val="26"/>
          <w:szCs w:val="26"/>
        </w:rPr>
      </w:pPr>
      <w:r>
        <w:rPr>
          <w:sz w:val="26"/>
          <w:szCs w:val="26"/>
        </w:rPr>
        <w:t>Additionally, Peoples Gas refutes PIOGA</w:t>
      </w:r>
      <w:r w:rsidR="001A5BA1">
        <w:rPr>
          <w:sz w:val="26"/>
          <w:szCs w:val="26"/>
        </w:rPr>
        <w:t>’</w:t>
      </w:r>
      <w:r>
        <w:rPr>
          <w:sz w:val="26"/>
          <w:szCs w:val="26"/>
        </w:rPr>
        <w:t>s contention that the ALJ should not have given credit to the Peoples Companies</w:t>
      </w:r>
      <w:r w:rsidR="001A5BA1">
        <w:rPr>
          <w:sz w:val="26"/>
          <w:szCs w:val="26"/>
        </w:rPr>
        <w:t>’</w:t>
      </w:r>
      <w:r>
        <w:rPr>
          <w:sz w:val="26"/>
          <w:szCs w:val="26"/>
        </w:rPr>
        <w:t xml:space="preserve"> commitments to reduce UFG on the gathering systems in measuring the reasonableness of the producer retainage charge.  Peoples Gas points to the Peoples Companies</w:t>
      </w:r>
      <w:r w:rsidR="001A5BA1">
        <w:rPr>
          <w:sz w:val="26"/>
          <w:szCs w:val="26"/>
        </w:rPr>
        <w:t>’</w:t>
      </w:r>
      <w:r>
        <w:rPr>
          <w:sz w:val="26"/>
          <w:szCs w:val="26"/>
        </w:rPr>
        <w:t xml:space="preserve"> development of the detailed and comprehensive UFG Mitigation Plan</w:t>
      </w:r>
      <w:r w:rsidR="0052743F">
        <w:rPr>
          <w:sz w:val="26"/>
          <w:szCs w:val="26"/>
        </w:rPr>
        <w:t xml:space="preserve">, the commitments made by the Company under the Partial Settlement, and the substantial capital the Peoples Companies have invested and will continue to invest to improve their gathering systems.  Peoples Gas R. Exc. at 5-7.  </w:t>
      </w:r>
    </w:p>
    <w:p w:rsidR="0052743F" w:rsidRDefault="0052743F" w:rsidP="00844225">
      <w:pPr>
        <w:widowControl/>
        <w:spacing w:line="360" w:lineRule="auto"/>
        <w:ind w:firstLine="1440"/>
        <w:rPr>
          <w:sz w:val="26"/>
          <w:szCs w:val="26"/>
        </w:rPr>
      </w:pPr>
    </w:p>
    <w:p w:rsidR="00E74F93" w:rsidRDefault="0052743F" w:rsidP="00844225">
      <w:pPr>
        <w:widowControl/>
        <w:spacing w:line="360" w:lineRule="auto"/>
        <w:ind w:firstLine="1440"/>
        <w:rPr>
          <w:sz w:val="26"/>
          <w:szCs w:val="26"/>
        </w:rPr>
      </w:pPr>
      <w:r>
        <w:rPr>
          <w:sz w:val="26"/>
          <w:szCs w:val="26"/>
        </w:rPr>
        <w:t xml:space="preserve">As described </w:t>
      </w:r>
      <w:r w:rsidRPr="0052743F">
        <w:rPr>
          <w:i/>
          <w:sz w:val="26"/>
          <w:szCs w:val="26"/>
        </w:rPr>
        <w:t>supra</w:t>
      </w:r>
      <w:r>
        <w:rPr>
          <w:sz w:val="26"/>
          <w:szCs w:val="26"/>
        </w:rPr>
        <w:t>, in the UFG Mitigation Plan, the Company</w:t>
      </w:r>
      <w:r w:rsidR="002F78C9">
        <w:rPr>
          <w:sz w:val="26"/>
          <w:szCs w:val="26"/>
        </w:rPr>
        <w:t xml:space="preserve"> makes several commitments to help reduce UFG, including: (1) additional segmentation to enhance identification of potential UFG targets; (2) accelerated leak repair program for bare steel gathering; (3) gathering pipeline improvement strategy; (4) removal/replacement of at-risk gathering pipelines; (5) further analysis to be performed concerning certain gathering pipelines; (6) gathering pipeline abandonment considerations and communication; (7) gas measurement enhancements; (8) unauthorized use; and (9) mapping enhancements.  </w:t>
      </w:r>
      <w:r w:rsidR="00812BCE" w:rsidRPr="00FF0417">
        <w:rPr>
          <w:i/>
          <w:sz w:val="26"/>
          <w:szCs w:val="26"/>
        </w:rPr>
        <w:t>Id.</w:t>
      </w:r>
      <w:r w:rsidR="00812BCE">
        <w:rPr>
          <w:sz w:val="26"/>
          <w:szCs w:val="26"/>
        </w:rPr>
        <w:t xml:space="preserve"> at 5-6.</w:t>
      </w:r>
    </w:p>
    <w:p w:rsidR="00254871" w:rsidRDefault="00254871" w:rsidP="00844225">
      <w:pPr>
        <w:widowControl/>
        <w:spacing w:line="360" w:lineRule="auto"/>
        <w:ind w:firstLine="1440"/>
        <w:rPr>
          <w:sz w:val="26"/>
          <w:szCs w:val="26"/>
        </w:rPr>
      </w:pPr>
    </w:p>
    <w:p w:rsidR="00254871" w:rsidRDefault="00254871" w:rsidP="00844225">
      <w:pPr>
        <w:widowControl/>
        <w:spacing w:line="360" w:lineRule="auto"/>
        <w:ind w:firstLine="1440"/>
        <w:rPr>
          <w:sz w:val="26"/>
          <w:szCs w:val="26"/>
        </w:rPr>
      </w:pPr>
      <w:r>
        <w:rPr>
          <w:sz w:val="26"/>
          <w:szCs w:val="26"/>
        </w:rPr>
        <w:t>The reduction of gathering system UFG is additionally targeted by the Company</w:t>
      </w:r>
      <w:r w:rsidR="001A5BA1">
        <w:rPr>
          <w:sz w:val="26"/>
          <w:szCs w:val="26"/>
        </w:rPr>
        <w:t>’</w:t>
      </w:r>
      <w:r>
        <w:rPr>
          <w:sz w:val="26"/>
          <w:szCs w:val="26"/>
        </w:rPr>
        <w:t>s commitments under the Partial Settlement</w:t>
      </w:r>
      <w:r w:rsidR="006C4C13">
        <w:rPr>
          <w:sz w:val="26"/>
          <w:szCs w:val="26"/>
        </w:rPr>
        <w:t xml:space="preserve">, in which the Company </w:t>
      </w:r>
      <w:r w:rsidR="006C4C13" w:rsidRPr="006C4C13">
        <w:rPr>
          <w:sz w:val="26"/>
          <w:szCs w:val="26"/>
        </w:rPr>
        <w:t xml:space="preserve">has agreed </w:t>
      </w:r>
      <w:r w:rsidR="006C4C13" w:rsidRPr="006C4C13">
        <w:rPr>
          <w:sz w:val="26"/>
          <w:szCs w:val="26"/>
        </w:rPr>
        <w:lastRenderedPageBreak/>
        <w:t>to be subject to a gathering UFG target (UFG target) of 9.0% for the year ending August</w:t>
      </w:r>
      <w:r w:rsidR="00FA360A">
        <w:rPr>
          <w:sz w:val="26"/>
          <w:szCs w:val="26"/>
        </w:rPr>
        <w:t> </w:t>
      </w:r>
      <w:r w:rsidR="006C4C13" w:rsidRPr="006C4C13">
        <w:rPr>
          <w:sz w:val="26"/>
          <w:szCs w:val="26"/>
        </w:rPr>
        <w:t>31, 2019, 8.5% for the year ending August 31, 2020, and 7.5% for the year en</w:t>
      </w:r>
      <w:r w:rsidR="006C4C13">
        <w:rPr>
          <w:sz w:val="26"/>
          <w:szCs w:val="26"/>
        </w:rPr>
        <w:t>ding August 31, 2021.</w:t>
      </w:r>
      <w:r w:rsidR="00FF0417">
        <w:rPr>
          <w:sz w:val="26"/>
          <w:szCs w:val="26"/>
        </w:rPr>
        <w:t xml:space="preserve">  Joint Petition at 5.</w:t>
      </w:r>
      <w:r w:rsidR="006C4C13" w:rsidRPr="006C4C13">
        <w:rPr>
          <w:sz w:val="26"/>
          <w:szCs w:val="26"/>
        </w:rPr>
        <w:t xml:space="preserve"> </w:t>
      </w:r>
      <w:r w:rsidR="00FF0417">
        <w:rPr>
          <w:sz w:val="26"/>
          <w:szCs w:val="26"/>
        </w:rPr>
        <w:t xml:space="preserve"> </w:t>
      </w:r>
      <w:r w:rsidR="006C4C13" w:rsidRPr="006C4C13">
        <w:rPr>
          <w:sz w:val="26"/>
          <w:szCs w:val="26"/>
        </w:rPr>
        <w:t>The Company also will aggressively implement the UFG Mitigation Plan presented in this proceeding</w:t>
      </w:r>
      <w:r w:rsidR="006C4C13">
        <w:rPr>
          <w:sz w:val="26"/>
          <w:szCs w:val="26"/>
        </w:rPr>
        <w:t>.  Peoples Gas R. Exc. at</w:t>
      </w:r>
      <w:r w:rsidR="00FA360A">
        <w:rPr>
          <w:sz w:val="26"/>
          <w:szCs w:val="26"/>
        </w:rPr>
        <w:t> </w:t>
      </w:r>
      <w:r w:rsidR="006C4C13">
        <w:rPr>
          <w:sz w:val="26"/>
          <w:szCs w:val="26"/>
        </w:rPr>
        <w:t>6.</w:t>
      </w:r>
    </w:p>
    <w:p w:rsidR="00AC5F1A" w:rsidRDefault="00AC5F1A" w:rsidP="00844225">
      <w:pPr>
        <w:widowControl/>
        <w:spacing w:line="360" w:lineRule="auto"/>
        <w:ind w:firstLine="1440"/>
        <w:rPr>
          <w:sz w:val="26"/>
          <w:szCs w:val="26"/>
        </w:rPr>
      </w:pPr>
    </w:p>
    <w:p w:rsidR="00B35857" w:rsidRDefault="00955627" w:rsidP="00844225">
      <w:pPr>
        <w:widowControl/>
        <w:spacing w:line="360" w:lineRule="auto"/>
        <w:ind w:firstLine="1440"/>
        <w:rPr>
          <w:sz w:val="26"/>
          <w:szCs w:val="26"/>
        </w:rPr>
      </w:pPr>
      <w:r>
        <w:rPr>
          <w:sz w:val="26"/>
          <w:szCs w:val="26"/>
        </w:rPr>
        <w:t xml:space="preserve">The Company </w:t>
      </w:r>
      <w:r w:rsidR="00812BCE">
        <w:rPr>
          <w:sz w:val="26"/>
          <w:szCs w:val="26"/>
        </w:rPr>
        <w:t xml:space="preserve">challenges </w:t>
      </w:r>
      <w:r>
        <w:rPr>
          <w:sz w:val="26"/>
          <w:szCs w:val="26"/>
        </w:rPr>
        <w:t>PIOGA</w:t>
      </w:r>
      <w:r w:rsidR="001A5BA1">
        <w:rPr>
          <w:sz w:val="26"/>
          <w:szCs w:val="26"/>
        </w:rPr>
        <w:t>’</w:t>
      </w:r>
      <w:r>
        <w:rPr>
          <w:sz w:val="26"/>
          <w:szCs w:val="26"/>
        </w:rPr>
        <w:t>s criticisms of the Peoples Companies</w:t>
      </w:r>
      <w:r w:rsidR="001A5BA1">
        <w:rPr>
          <w:sz w:val="26"/>
          <w:szCs w:val="26"/>
        </w:rPr>
        <w:t>’</w:t>
      </w:r>
      <w:r>
        <w:rPr>
          <w:sz w:val="26"/>
          <w:szCs w:val="26"/>
        </w:rPr>
        <w:t xml:space="preserve"> gathering system expenditures for being much smaller than the amount of capital spent on the distribution system by explaining that the Peoples Companies have devoted the vast majority of their initial post-acquisition capital investment toward replacing at-risk distribution pipelines for safety reasons.  </w:t>
      </w:r>
      <w:r w:rsidR="000D7870">
        <w:rPr>
          <w:sz w:val="26"/>
          <w:szCs w:val="26"/>
        </w:rPr>
        <w:t xml:space="preserve">The Company explains that the criteria </w:t>
      </w:r>
      <w:r w:rsidR="000D7870" w:rsidRPr="000D7870">
        <w:rPr>
          <w:sz w:val="26"/>
          <w:szCs w:val="26"/>
        </w:rPr>
        <w:t>utilized in pipeline risk rankings under the federally mandated DIMP places substantial emphasis on the number of customers located on or near an at-risk pipeline</w:t>
      </w:r>
      <w:r w:rsidR="000D7870">
        <w:rPr>
          <w:sz w:val="26"/>
          <w:szCs w:val="26"/>
        </w:rPr>
        <w:t>, and that d</w:t>
      </w:r>
      <w:r w:rsidR="000D7870" w:rsidRPr="000D7870">
        <w:rPr>
          <w:sz w:val="26"/>
          <w:szCs w:val="26"/>
        </w:rPr>
        <w:t>istribution pipelines represent 71% of the targeted pipeline miles and serve 99% of the customers, whereas the gathering pipelines represent 29% of the targeted pipeline miles and directly serve only 1% of the Peoples Companies</w:t>
      </w:r>
      <w:r w:rsidR="001A5BA1">
        <w:rPr>
          <w:sz w:val="26"/>
          <w:szCs w:val="26"/>
        </w:rPr>
        <w:t>’</w:t>
      </w:r>
      <w:r w:rsidR="000D7870" w:rsidRPr="000D7870">
        <w:rPr>
          <w:sz w:val="26"/>
          <w:szCs w:val="26"/>
        </w:rPr>
        <w:t xml:space="preserve"> customers.</w:t>
      </w:r>
      <w:r w:rsidR="000D7870">
        <w:rPr>
          <w:sz w:val="26"/>
          <w:szCs w:val="26"/>
        </w:rPr>
        <w:t xml:space="preserve">  </w:t>
      </w:r>
      <w:r w:rsidR="000D7870" w:rsidRPr="000D7870">
        <w:rPr>
          <w:sz w:val="26"/>
          <w:szCs w:val="26"/>
        </w:rPr>
        <w:t>As a result, the Company effectively must use most of its available funds to address at-risk distribution pipe.</w:t>
      </w:r>
      <w:r w:rsidR="000D7870">
        <w:rPr>
          <w:sz w:val="26"/>
          <w:szCs w:val="26"/>
        </w:rPr>
        <w:t xml:space="preserve">  Peoples Gas R. Exc. at 7.</w:t>
      </w:r>
    </w:p>
    <w:p w:rsidR="000D7870" w:rsidRDefault="000D7870" w:rsidP="00844225">
      <w:pPr>
        <w:widowControl/>
        <w:spacing w:line="360" w:lineRule="auto"/>
        <w:ind w:firstLine="1440"/>
        <w:rPr>
          <w:sz w:val="26"/>
          <w:szCs w:val="26"/>
        </w:rPr>
      </w:pPr>
    </w:p>
    <w:p w:rsidR="000D7870" w:rsidRDefault="000D7870" w:rsidP="00844225">
      <w:pPr>
        <w:widowControl/>
        <w:spacing w:line="360" w:lineRule="auto"/>
        <w:ind w:firstLine="1440"/>
        <w:rPr>
          <w:sz w:val="26"/>
          <w:szCs w:val="26"/>
        </w:rPr>
      </w:pPr>
      <w:r>
        <w:rPr>
          <w:sz w:val="26"/>
          <w:szCs w:val="26"/>
        </w:rPr>
        <w:t xml:space="preserve">In its Replies to Exceptions, the OCA reiterates its </w:t>
      </w:r>
      <w:r w:rsidR="007F206D">
        <w:rPr>
          <w:sz w:val="26"/>
          <w:szCs w:val="26"/>
        </w:rPr>
        <w:t>contention that the current process of assessing the same retainage charge to all customers whether or not they use the gathering system is inappropriate and that the producer retainage charge proposed by the Company is one way to begin the process of recognizing the differences in the responsibility for gathering system UFG.  Therefore, the OCA submits that the ALJ correctly determined that the 2.9% producer retainage charge is just and reasonable and necessary to account for differences in the responsibility of UFG.  OCA R. Exc. at 3.</w:t>
      </w:r>
    </w:p>
    <w:p w:rsidR="007F206D" w:rsidRDefault="007F206D" w:rsidP="00844225">
      <w:pPr>
        <w:widowControl/>
        <w:spacing w:line="360" w:lineRule="auto"/>
        <w:ind w:firstLine="1440"/>
        <w:rPr>
          <w:sz w:val="26"/>
          <w:szCs w:val="26"/>
        </w:rPr>
      </w:pPr>
    </w:p>
    <w:p w:rsidR="007F206D" w:rsidRDefault="007F206D" w:rsidP="00844225">
      <w:pPr>
        <w:widowControl/>
        <w:spacing w:line="360" w:lineRule="auto"/>
        <w:ind w:firstLine="1440"/>
        <w:rPr>
          <w:sz w:val="26"/>
          <w:szCs w:val="26"/>
        </w:rPr>
      </w:pPr>
      <w:r>
        <w:rPr>
          <w:sz w:val="26"/>
          <w:szCs w:val="26"/>
        </w:rPr>
        <w:t>The OCA further notes PIOGA</w:t>
      </w:r>
      <w:r w:rsidR="001A5BA1">
        <w:rPr>
          <w:sz w:val="26"/>
          <w:szCs w:val="26"/>
        </w:rPr>
        <w:t>’</w:t>
      </w:r>
      <w:r>
        <w:rPr>
          <w:sz w:val="26"/>
          <w:szCs w:val="26"/>
        </w:rPr>
        <w:t xml:space="preserve">s agreement </w:t>
      </w:r>
      <w:r w:rsidR="00B955D9">
        <w:rPr>
          <w:sz w:val="26"/>
          <w:szCs w:val="26"/>
        </w:rPr>
        <w:t xml:space="preserve">with </w:t>
      </w:r>
      <w:r w:rsidR="005716EE">
        <w:rPr>
          <w:sz w:val="26"/>
          <w:szCs w:val="26"/>
        </w:rPr>
        <w:t xml:space="preserve">the </w:t>
      </w:r>
      <w:r w:rsidR="00B955D9">
        <w:rPr>
          <w:sz w:val="26"/>
          <w:szCs w:val="26"/>
        </w:rPr>
        <w:t>OCA</w:t>
      </w:r>
      <w:r w:rsidR="001A5BA1">
        <w:rPr>
          <w:sz w:val="26"/>
          <w:szCs w:val="26"/>
        </w:rPr>
        <w:t>’</w:t>
      </w:r>
      <w:r w:rsidR="00B955D9">
        <w:rPr>
          <w:sz w:val="26"/>
          <w:szCs w:val="26"/>
        </w:rPr>
        <w:t xml:space="preserve">s alternative approach to recognizing differences in the responsibility for gathering system UFG </w:t>
      </w:r>
      <w:r w:rsidR="00B955D9">
        <w:rPr>
          <w:sz w:val="26"/>
          <w:szCs w:val="26"/>
        </w:rPr>
        <w:lastRenderedPageBreak/>
        <w:t xml:space="preserve">through an additional transportation customer gathering retainage charge.  The </w:t>
      </w:r>
      <w:r w:rsidR="002A0E6C">
        <w:rPr>
          <w:sz w:val="26"/>
          <w:szCs w:val="26"/>
        </w:rPr>
        <w:t>OCA, once more, submits that, if</w:t>
      </w:r>
      <w:r w:rsidR="00B955D9">
        <w:rPr>
          <w:sz w:val="26"/>
          <w:szCs w:val="26"/>
        </w:rPr>
        <w:t xml:space="preserve"> the Commission finds that the ALJ</w:t>
      </w:r>
      <w:r w:rsidR="001A5BA1">
        <w:rPr>
          <w:sz w:val="26"/>
          <w:szCs w:val="26"/>
        </w:rPr>
        <w:t>’</w:t>
      </w:r>
      <w:r w:rsidR="00B955D9">
        <w:rPr>
          <w:sz w:val="26"/>
          <w:szCs w:val="26"/>
        </w:rPr>
        <w:t>s determination to approve the producer retainage charge is improper, the 2.9% gathering system retainage charge should be adopted</w:t>
      </w:r>
      <w:r w:rsidR="002A0E6C">
        <w:rPr>
          <w:sz w:val="26"/>
          <w:szCs w:val="26"/>
        </w:rPr>
        <w:t xml:space="preserve">.  Further, the OCA submits that if neither the producer retainage charge nor the alternative gathering system retainage charge </w:t>
      </w:r>
      <w:r w:rsidR="005716EE">
        <w:rPr>
          <w:sz w:val="26"/>
          <w:szCs w:val="26"/>
        </w:rPr>
        <w:t xml:space="preserve">is </w:t>
      </w:r>
      <w:r w:rsidR="002A0E6C">
        <w:rPr>
          <w:sz w:val="26"/>
          <w:szCs w:val="26"/>
        </w:rPr>
        <w:t>approved, the Commission should increase the Peoples Gas</w:t>
      </w:r>
      <w:r w:rsidR="001A5BA1">
        <w:rPr>
          <w:sz w:val="26"/>
          <w:szCs w:val="26"/>
        </w:rPr>
        <w:t>’</w:t>
      </w:r>
      <w:r w:rsidR="002A0E6C">
        <w:rPr>
          <w:sz w:val="26"/>
          <w:szCs w:val="26"/>
        </w:rPr>
        <w:t xml:space="preserve"> retainage rate to 10.4% to account for a retainage deficiency amounting to 4.8 percentage points that would need to be recovered form sales and non-discounted transportation customers.  OCA R. Exc. at 3-4.</w:t>
      </w:r>
    </w:p>
    <w:p w:rsidR="002A0E6C" w:rsidRDefault="002A0E6C" w:rsidP="00844225">
      <w:pPr>
        <w:widowControl/>
        <w:spacing w:line="360" w:lineRule="auto"/>
        <w:ind w:firstLine="1440"/>
        <w:rPr>
          <w:sz w:val="26"/>
          <w:szCs w:val="26"/>
        </w:rPr>
      </w:pPr>
    </w:p>
    <w:p w:rsidR="002A0E6C" w:rsidRDefault="002A0E6C" w:rsidP="00844225">
      <w:pPr>
        <w:widowControl/>
        <w:spacing w:line="360" w:lineRule="auto"/>
        <w:ind w:firstLine="1440"/>
        <w:rPr>
          <w:sz w:val="26"/>
          <w:szCs w:val="26"/>
        </w:rPr>
      </w:pPr>
      <w:r>
        <w:rPr>
          <w:sz w:val="26"/>
          <w:szCs w:val="26"/>
        </w:rPr>
        <w:t xml:space="preserve">In its Replies to Exceptions, the OSBA echoes the arguments submitted </w:t>
      </w:r>
      <w:r w:rsidR="005716EE">
        <w:rPr>
          <w:sz w:val="26"/>
          <w:szCs w:val="26"/>
        </w:rPr>
        <w:t xml:space="preserve">in the </w:t>
      </w:r>
      <w:r>
        <w:rPr>
          <w:sz w:val="26"/>
          <w:szCs w:val="26"/>
        </w:rPr>
        <w:t>Company</w:t>
      </w:r>
      <w:r w:rsidR="001A5BA1">
        <w:rPr>
          <w:sz w:val="26"/>
          <w:szCs w:val="26"/>
        </w:rPr>
        <w:t>’</w:t>
      </w:r>
      <w:r>
        <w:rPr>
          <w:sz w:val="26"/>
          <w:szCs w:val="26"/>
        </w:rPr>
        <w:t>s Reply Exceptions.  The OSBA avers that PIOGA</w:t>
      </w:r>
      <w:r w:rsidR="001A5BA1">
        <w:rPr>
          <w:sz w:val="26"/>
          <w:szCs w:val="26"/>
        </w:rPr>
        <w:t>’</w:t>
      </w:r>
      <w:r>
        <w:rPr>
          <w:sz w:val="26"/>
          <w:szCs w:val="26"/>
        </w:rPr>
        <w:t>s argument fails to recognize that Peoples Gas</w:t>
      </w:r>
      <w:r w:rsidR="001A5BA1">
        <w:rPr>
          <w:sz w:val="26"/>
          <w:szCs w:val="26"/>
        </w:rPr>
        <w:t>’</w:t>
      </w:r>
      <w:r>
        <w:rPr>
          <w:sz w:val="26"/>
          <w:szCs w:val="26"/>
        </w:rPr>
        <w:t xml:space="preserve"> expenditures on at-risk gathering versus distribution pipelines is a function of both customer safety and UFG, and since more customers are served per mile of distribution pipe than gathering pipe, one should expect Peoples Gas</w:t>
      </w:r>
      <w:r w:rsidR="001A5BA1">
        <w:rPr>
          <w:sz w:val="26"/>
          <w:szCs w:val="26"/>
        </w:rPr>
        <w:t>’</w:t>
      </w:r>
      <w:r>
        <w:rPr>
          <w:sz w:val="26"/>
          <w:szCs w:val="26"/>
        </w:rPr>
        <w:t xml:space="preserve"> expenditures to focus primarily on its distribution system.  </w:t>
      </w:r>
      <w:r w:rsidR="00362164">
        <w:rPr>
          <w:sz w:val="26"/>
          <w:szCs w:val="26"/>
        </w:rPr>
        <w:t xml:space="preserve">The OSBA further submits </w:t>
      </w:r>
      <w:r>
        <w:rPr>
          <w:sz w:val="26"/>
          <w:szCs w:val="26"/>
        </w:rPr>
        <w:t xml:space="preserve">that </w:t>
      </w:r>
      <w:r w:rsidR="00362164">
        <w:rPr>
          <w:sz w:val="26"/>
          <w:szCs w:val="26"/>
        </w:rPr>
        <w:t xml:space="preserve">$7.36 million in gathering system UFG expenditures is significant and in no way </w:t>
      </w:r>
      <w:r w:rsidR="005716EE">
        <w:rPr>
          <w:sz w:val="26"/>
          <w:szCs w:val="26"/>
        </w:rPr>
        <w:t>in</w:t>
      </w:r>
      <w:r w:rsidR="00362164">
        <w:rPr>
          <w:sz w:val="26"/>
          <w:szCs w:val="26"/>
        </w:rPr>
        <w:t>substantial.  OSBA R. Exc. at 3.</w:t>
      </w:r>
    </w:p>
    <w:p w:rsidR="00A913A9" w:rsidRDefault="00A913A9" w:rsidP="00844225">
      <w:pPr>
        <w:widowControl/>
        <w:spacing w:line="360" w:lineRule="auto"/>
        <w:ind w:firstLine="1440"/>
        <w:rPr>
          <w:sz w:val="26"/>
          <w:szCs w:val="26"/>
        </w:rPr>
      </w:pPr>
    </w:p>
    <w:p w:rsidR="00A913A9" w:rsidRDefault="00A913A9" w:rsidP="00844225">
      <w:pPr>
        <w:widowControl/>
        <w:spacing w:line="360" w:lineRule="auto"/>
        <w:ind w:firstLine="1440"/>
        <w:rPr>
          <w:sz w:val="26"/>
          <w:szCs w:val="26"/>
        </w:rPr>
      </w:pPr>
      <w:r>
        <w:rPr>
          <w:sz w:val="26"/>
          <w:szCs w:val="26"/>
        </w:rPr>
        <w:t>The OSBA reinforces the Company</w:t>
      </w:r>
      <w:r w:rsidR="001A5BA1">
        <w:rPr>
          <w:sz w:val="26"/>
          <w:szCs w:val="26"/>
        </w:rPr>
        <w:t>’</w:t>
      </w:r>
      <w:r>
        <w:rPr>
          <w:sz w:val="26"/>
          <w:szCs w:val="26"/>
        </w:rPr>
        <w:t xml:space="preserve">s assertion that PIOGA does not deny that conventional gas producers benefit from the gathering system, but rather alleges that the Company and its customers </w:t>
      </w:r>
      <w:r w:rsidR="001A5BA1">
        <w:rPr>
          <w:sz w:val="26"/>
          <w:szCs w:val="26"/>
        </w:rPr>
        <w:t>“</w:t>
      </w:r>
      <w:r>
        <w:rPr>
          <w:sz w:val="26"/>
          <w:szCs w:val="26"/>
        </w:rPr>
        <w:t>benefit more</w:t>
      </w:r>
      <w:r w:rsidR="001A5BA1">
        <w:rPr>
          <w:sz w:val="26"/>
          <w:szCs w:val="26"/>
        </w:rPr>
        <w:t>”</w:t>
      </w:r>
      <w:r>
        <w:rPr>
          <w:sz w:val="26"/>
          <w:szCs w:val="26"/>
        </w:rPr>
        <w:t xml:space="preserve"> than conventional producers from the gathering lines.  The OSBA states that PIOGA</w:t>
      </w:r>
      <w:r w:rsidR="001A5BA1">
        <w:rPr>
          <w:sz w:val="26"/>
          <w:szCs w:val="26"/>
        </w:rPr>
        <w:t>’</w:t>
      </w:r>
      <w:r>
        <w:rPr>
          <w:sz w:val="26"/>
          <w:szCs w:val="26"/>
        </w:rPr>
        <w:t xml:space="preserve">s argument that the gathering lines are part of an integrated system that benefits ratepayers does not negate the fact that the gathering system also benefits conventional gas </w:t>
      </w:r>
      <w:r w:rsidR="00397C0C">
        <w:rPr>
          <w:sz w:val="26"/>
          <w:szCs w:val="26"/>
        </w:rPr>
        <w:t>producers,</w:t>
      </w:r>
      <w:r>
        <w:rPr>
          <w:sz w:val="26"/>
          <w:szCs w:val="26"/>
        </w:rPr>
        <w:t xml:space="preserve"> and </w:t>
      </w:r>
      <w:r w:rsidR="002A0BA3">
        <w:rPr>
          <w:sz w:val="26"/>
          <w:szCs w:val="26"/>
        </w:rPr>
        <w:t xml:space="preserve">this is why Peoples Gas </w:t>
      </w:r>
      <w:r w:rsidR="00F22DFE">
        <w:rPr>
          <w:sz w:val="26"/>
          <w:szCs w:val="26"/>
        </w:rPr>
        <w:t xml:space="preserve">proposed only a portion, rather than all, </w:t>
      </w:r>
      <w:r w:rsidR="002A0BA3">
        <w:rPr>
          <w:sz w:val="26"/>
          <w:szCs w:val="26"/>
        </w:rPr>
        <w:t>of the gathering system UFG expenditures</w:t>
      </w:r>
      <w:r w:rsidR="00F22DFE">
        <w:rPr>
          <w:sz w:val="26"/>
          <w:szCs w:val="26"/>
        </w:rPr>
        <w:t>.</w:t>
      </w:r>
      <w:r w:rsidR="002A0BA3">
        <w:rPr>
          <w:sz w:val="26"/>
          <w:szCs w:val="26"/>
        </w:rPr>
        <w:t xml:space="preserve">  According to OSBA, </w:t>
      </w:r>
      <w:r w:rsidR="001A5BA1">
        <w:rPr>
          <w:sz w:val="26"/>
          <w:szCs w:val="26"/>
        </w:rPr>
        <w:t>“</w:t>
      </w:r>
      <w:r w:rsidR="002A0BA3">
        <w:rPr>
          <w:sz w:val="26"/>
          <w:szCs w:val="26"/>
        </w:rPr>
        <w:t>[b]oth use it. Both benefit from it.</w:t>
      </w:r>
      <w:r w:rsidR="00AF3956">
        <w:rPr>
          <w:sz w:val="26"/>
          <w:szCs w:val="26"/>
        </w:rPr>
        <w:t xml:space="preserve"> </w:t>
      </w:r>
      <w:r w:rsidR="002A0BA3">
        <w:rPr>
          <w:sz w:val="26"/>
          <w:szCs w:val="26"/>
        </w:rPr>
        <w:t xml:space="preserve"> Both should contribute towards UFG expenditures.</w:t>
      </w:r>
      <w:r w:rsidR="001A5BA1">
        <w:rPr>
          <w:sz w:val="26"/>
          <w:szCs w:val="26"/>
        </w:rPr>
        <w:t>”</w:t>
      </w:r>
      <w:r w:rsidR="002A0BA3">
        <w:rPr>
          <w:sz w:val="26"/>
          <w:szCs w:val="26"/>
        </w:rPr>
        <w:t xml:space="preserve">  OSBA R. Exc. at 3-4.</w:t>
      </w:r>
    </w:p>
    <w:p w:rsidR="00586248" w:rsidRDefault="00586248" w:rsidP="00844225">
      <w:pPr>
        <w:widowControl/>
        <w:spacing w:line="360" w:lineRule="auto"/>
        <w:ind w:firstLine="1440"/>
        <w:rPr>
          <w:sz w:val="26"/>
          <w:szCs w:val="26"/>
        </w:rPr>
      </w:pPr>
    </w:p>
    <w:p w:rsidR="004A26B2" w:rsidRPr="00A2066B" w:rsidRDefault="004A26B2" w:rsidP="00AF3956">
      <w:pPr>
        <w:pStyle w:val="Heading4"/>
        <w:keepNext/>
        <w:keepLines/>
        <w:numPr>
          <w:ilvl w:val="0"/>
          <w:numId w:val="16"/>
        </w:numPr>
        <w:ind w:left="2160" w:hanging="720"/>
      </w:pPr>
      <w:r>
        <w:lastRenderedPageBreak/>
        <w:t>Disposition</w:t>
      </w:r>
    </w:p>
    <w:p w:rsidR="00586248" w:rsidRDefault="00586248" w:rsidP="00AF3956">
      <w:pPr>
        <w:keepNext/>
        <w:keepLines/>
        <w:widowControl/>
        <w:spacing w:line="360" w:lineRule="auto"/>
        <w:ind w:firstLine="1440"/>
        <w:rPr>
          <w:sz w:val="26"/>
          <w:szCs w:val="26"/>
        </w:rPr>
      </w:pPr>
    </w:p>
    <w:p w:rsidR="004B6FA4" w:rsidRDefault="004B6FA4" w:rsidP="00844225">
      <w:pPr>
        <w:widowControl/>
        <w:spacing w:line="360" w:lineRule="auto"/>
        <w:ind w:firstLine="1440"/>
        <w:rPr>
          <w:sz w:val="26"/>
          <w:szCs w:val="26"/>
        </w:rPr>
      </w:pPr>
      <w:r w:rsidRPr="004B6FA4">
        <w:rPr>
          <w:sz w:val="26"/>
          <w:szCs w:val="26"/>
        </w:rPr>
        <w:t>Upon review, we shall deny PIOGA</w:t>
      </w:r>
      <w:r w:rsidR="001A5BA1">
        <w:rPr>
          <w:sz w:val="26"/>
          <w:szCs w:val="26"/>
        </w:rPr>
        <w:t>’</w:t>
      </w:r>
      <w:r w:rsidRPr="004B6FA4">
        <w:rPr>
          <w:sz w:val="26"/>
          <w:szCs w:val="26"/>
        </w:rPr>
        <w:t>s Exception No. 1 and adopt the ALJ</w:t>
      </w:r>
      <w:r w:rsidR="001A5BA1">
        <w:rPr>
          <w:sz w:val="26"/>
          <w:szCs w:val="26"/>
        </w:rPr>
        <w:t>’</w:t>
      </w:r>
      <w:r w:rsidRPr="004B6FA4">
        <w:rPr>
          <w:sz w:val="26"/>
          <w:szCs w:val="26"/>
        </w:rPr>
        <w:t>s recommendation approving the proposed producer charge.  Ho</w:t>
      </w:r>
      <w:r>
        <w:rPr>
          <w:sz w:val="26"/>
          <w:szCs w:val="26"/>
        </w:rPr>
        <w:t>wever, while we approve Peoples Gas</w:t>
      </w:r>
      <w:r w:rsidR="001A5BA1">
        <w:rPr>
          <w:sz w:val="26"/>
          <w:szCs w:val="26"/>
        </w:rPr>
        <w:t>’</w:t>
      </w:r>
      <w:r w:rsidRPr="004B6FA4">
        <w:rPr>
          <w:sz w:val="26"/>
          <w:szCs w:val="26"/>
        </w:rPr>
        <w:t xml:space="preserve"> proposed producer charge, we are also putting Peoples</w:t>
      </w:r>
      <w:r>
        <w:rPr>
          <w:sz w:val="26"/>
          <w:szCs w:val="26"/>
        </w:rPr>
        <w:t xml:space="preserve"> Gas</w:t>
      </w:r>
      <w:r w:rsidRPr="004B6FA4">
        <w:rPr>
          <w:sz w:val="26"/>
          <w:szCs w:val="26"/>
        </w:rPr>
        <w:t xml:space="preserve"> on notice regarding its gathering system UFG going forward, especi</w:t>
      </w:r>
      <w:r>
        <w:rPr>
          <w:sz w:val="26"/>
          <w:szCs w:val="26"/>
        </w:rPr>
        <w:t>ally, as it pertains to Peoples Gas</w:t>
      </w:r>
      <w:r w:rsidR="001A5BA1">
        <w:rPr>
          <w:sz w:val="26"/>
          <w:szCs w:val="26"/>
        </w:rPr>
        <w:t>’</w:t>
      </w:r>
      <w:r w:rsidRPr="004B6FA4">
        <w:rPr>
          <w:sz w:val="26"/>
          <w:szCs w:val="26"/>
        </w:rPr>
        <w:t xml:space="preserve"> </w:t>
      </w:r>
      <w:r w:rsidR="00881D74">
        <w:rPr>
          <w:sz w:val="26"/>
          <w:szCs w:val="26"/>
        </w:rPr>
        <w:t xml:space="preserve">commitment and </w:t>
      </w:r>
      <w:r w:rsidRPr="004B6FA4">
        <w:rPr>
          <w:sz w:val="26"/>
          <w:szCs w:val="26"/>
        </w:rPr>
        <w:t>compliance with the settlement terms regarding its gathering system UFG in the instant proceeding.</w:t>
      </w:r>
      <w:r w:rsidRPr="004B6FA4">
        <w:rPr>
          <w:sz w:val="26"/>
          <w:szCs w:val="26"/>
          <w:vertAlign w:val="superscript"/>
        </w:rPr>
        <w:footnoteReference w:id="24"/>
      </w:r>
      <w:r>
        <w:rPr>
          <w:sz w:val="26"/>
          <w:szCs w:val="26"/>
        </w:rPr>
        <w:t xml:space="preserve">  Joint Petition at 5</w:t>
      </w:r>
      <w:r w:rsidRPr="004B6FA4">
        <w:rPr>
          <w:sz w:val="26"/>
          <w:szCs w:val="26"/>
        </w:rPr>
        <w:t>.</w:t>
      </w:r>
    </w:p>
    <w:p w:rsidR="00A15654" w:rsidRDefault="00A15654" w:rsidP="00844225">
      <w:pPr>
        <w:widowControl/>
        <w:spacing w:line="360" w:lineRule="auto"/>
        <w:ind w:firstLine="1440"/>
        <w:rPr>
          <w:sz w:val="26"/>
          <w:szCs w:val="26"/>
        </w:rPr>
      </w:pPr>
    </w:p>
    <w:p w:rsidR="00FD69D6" w:rsidRDefault="005716EE" w:rsidP="00844225">
      <w:pPr>
        <w:pStyle w:val="ListParagraph"/>
        <w:widowControl/>
        <w:tabs>
          <w:tab w:val="left" w:pos="1445"/>
          <w:tab w:val="left" w:pos="7920"/>
        </w:tabs>
        <w:autoSpaceDE w:val="0"/>
        <w:autoSpaceDN w:val="0"/>
        <w:adjustRightInd w:val="0"/>
        <w:spacing w:line="360" w:lineRule="auto"/>
        <w:ind w:left="0" w:firstLine="720"/>
        <w:rPr>
          <w:sz w:val="26"/>
          <w:szCs w:val="26"/>
        </w:rPr>
      </w:pPr>
      <w:r>
        <w:rPr>
          <w:sz w:val="26"/>
          <w:szCs w:val="26"/>
        </w:rPr>
        <w:tab/>
      </w:r>
      <w:r w:rsidR="00700508" w:rsidRPr="00700508">
        <w:rPr>
          <w:sz w:val="26"/>
          <w:szCs w:val="26"/>
        </w:rPr>
        <w:t xml:space="preserve">We note that despite agreeing to improve its UFG, </w:t>
      </w:r>
      <w:r w:rsidR="00700508">
        <w:rPr>
          <w:sz w:val="26"/>
          <w:szCs w:val="26"/>
        </w:rPr>
        <w:t>consistent with the settlement of the 2017 PGC proceeding</w:t>
      </w:r>
      <w:r w:rsidR="00700508" w:rsidRPr="00700508">
        <w:rPr>
          <w:sz w:val="26"/>
          <w:szCs w:val="26"/>
        </w:rPr>
        <w:t>, Peoples</w:t>
      </w:r>
      <w:r w:rsidR="00700508">
        <w:rPr>
          <w:sz w:val="26"/>
          <w:szCs w:val="26"/>
        </w:rPr>
        <w:t xml:space="preserve"> Gas</w:t>
      </w:r>
      <w:r w:rsidR="00700508" w:rsidRPr="00700508">
        <w:rPr>
          <w:sz w:val="26"/>
          <w:szCs w:val="26"/>
        </w:rPr>
        <w:t>, nonetheless, reported an increase in its</w:t>
      </w:r>
      <w:r w:rsidR="00F80699">
        <w:rPr>
          <w:sz w:val="26"/>
          <w:szCs w:val="26"/>
        </w:rPr>
        <w:t xml:space="preserve"> total</w:t>
      </w:r>
      <w:r w:rsidR="00700508" w:rsidRPr="00700508">
        <w:rPr>
          <w:sz w:val="26"/>
          <w:szCs w:val="26"/>
        </w:rPr>
        <w:t xml:space="preserve"> </w:t>
      </w:r>
      <w:r w:rsidR="00731DA8">
        <w:rPr>
          <w:sz w:val="26"/>
          <w:szCs w:val="26"/>
        </w:rPr>
        <w:t xml:space="preserve">system </w:t>
      </w:r>
      <w:r w:rsidR="00700508" w:rsidRPr="00700508">
        <w:rPr>
          <w:sz w:val="26"/>
          <w:szCs w:val="26"/>
        </w:rPr>
        <w:t>UFG in the instant proceeding.</w:t>
      </w:r>
      <w:r w:rsidR="00700508">
        <w:rPr>
          <w:sz w:val="26"/>
          <w:szCs w:val="26"/>
        </w:rPr>
        <w:t xml:space="preserve"> </w:t>
      </w:r>
      <w:r w:rsidR="000D5C6B">
        <w:rPr>
          <w:sz w:val="26"/>
          <w:szCs w:val="26"/>
        </w:rPr>
        <w:t xml:space="preserve"> For example,</w:t>
      </w:r>
      <w:r w:rsidR="00700508">
        <w:rPr>
          <w:sz w:val="26"/>
          <w:szCs w:val="26"/>
        </w:rPr>
        <w:t xml:space="preserve"> </w:t>
      </w:r>
      <w:r w:rsidR="00F80699">
        <w:rPr>
          <w:sz w:val="26"/>
          <w:szCs w:val="26"/>
        </w:rPr>
        <w:t>while Peoples Gas</w:t>
      </w:r>
      <w:r w:rsidR="001A5BA1">
        <w:rPr>
          <w:sz w:val="26"/>
          <w:szCs w:val="26"/>
        </w:rPr>
        <w:t>’</w:t>
      </w:r>
      <w:r w:rsidR="00F80699">
        <w:rPr>
          <w:sz w:val="26"/>
          <w:szCs w:val="26"/>
        </w:rPr>
        <w:t xml:space="preserve"> reported distribution system UFG of 2.47% for the year ended Au</w:t>
      </w:r>
      <w:r w:rsidR="00D3683E">
        <w:rPr>
          <w:sz w:val="26"/>
          <w:szCs w:val="26"/>
        </w:rPr>
        <w:t>gust 31, 2017</w:t>
      </w:r>
      <w:r w:rsidR="00881D74">
        <w:rPr>
          <w:sz w:val="26"/>
          <w:szCs w:val="26"/>
        </w:rPr>
        <w:t>,</w:t>
      </w:r>
      <w:r w:rsidR="00D3683E">
        <w:rPr>
          <w:sz w:val="26"/>
          <w:szCs w:val="26"/>
        </w:rPr>
        <w:t xml:space="preserve"> is less than </w:t>
      </w:r>
      <w:r w:rsidR="00F80699">
        <w:rPr>
          <w:sz w:val="26"/>
          <w:szCs w:val="26"/>
        </w:rPr>
        <w:t>the Commission</w:t>
      </w:r>
      <w:r w:rsidR="001A5BA1">
        <w:rPr>
          <w:sz w:val="26"/>
          <w:szCs w:val="26"/>
        </w:rPr>
        <w:t>’</w:t>
      </w:r>
      <w:r w:rsidR="00F80699">
        <w:rPr>
          <w:sz w:val="26"/>
          <w:szCs w:val="26"/>
        </w:rPr>
        <w:t>s mandated target of 3.5%, the Company</w:t>
      </w:r>
      <w:r w:rsidR="001A5BA1">
        <w:rPr>
          <w:sz w:val="26"/>
          <w:szCs w:val="26"/>
        </w:rPr>
        <w:t>’</w:t>
      </w:r>
      <w:r w:rsidR="00D3683E">
        <w:rPr>
          <w:sz w:val="26"/>
          <w:szCs w:val="26"/>
        </w:rPr>
        <w:t>s</w:t>
      </w:r>
      <w:r w:rsidR="00F80699">
        <w:rPr>
          <w:sz w:val="26"/>
          <w:szCs w:val="26"/>
        </w:rPr>
        <w:t xml:space="preserve"> reported </w:t>
      </w:r>
      <w:r w:rsidR="00D3683E">
        <w:rPr>
          <w:sz w:val="26"/>
          <w:szCs w:val="26"/>
        </w:rPr>
        <w:t xml:space="preserve">total </w:t>
      </w:r>
      <w:r w:rsidR="00731DA8">
        <w:rPr>
          <w:sz w:val="26"/>
          <w:szCs w:val="26"/>
        </w:rPr>
        <w:t xml:space="preserve">system </w:t>
      </w:r>
      <w:r w:rsidR="00D3683E">
        <w:rPr>
          <w:sz w:val="26"/>
          <w:szCs w:val="26"/>
        </w:rPr>
        <w:t>UFG for the year ended August 31, 2017</w:t>
      </w:r>
      <w:r w:rsidR="00881D74">
        <w:rPr>
          <w:sz w:val="26"/>
          <w:szCs w:val="26"/>
        </w:rPr>
        <w:t>,</w:t>
      </w:r>
      <w:r w:rsidR="00D3683E">
        <w:rPr>
          <w:sz w:val="26"/>
          <w:szCs w:val="26"/>
        </w:rPr>
        <w:t xml:space="preserve"> was 6.8%, </w:t>
      </w:r>
      <w:r w:rsidR="0080577D">
        <w:rPr>
          <w:sz w:val="26"/>
          <w:szCs w:val="26"/>
        </w:rPr>
        <w:t xml:space="preserve">which is </w:t>
      </w:r>
      <w:r w:rsidR="00D3683E">
        <w:rPr>
          <w:sz w:val="26"/>
          <w:szCs w:val="26"/>
        </w:rPr>
        <w:t xml:space="preserve">a 75% increase </w:t>
      </w:r>
      <w:r w:rsidR="0080577D">
        <w:rPr>
          <w:sz w:val="26"/>
          <w:szCs w:val="26"/>
        </w:rPr>
        <w:t xml:space="preserve">over </w:t>
      </w:r>
      <w:r w:rsidR="00D3683E">
        <w:rPr>
          <w:sz w:val="26"/>
          <w:szCs w:val="26"/>
        </w:rPr>
        <w:t xml:space="preserve">the 3.91% total </w:t>
      </w:r>
      <w:r w:rsidR="00731DA8">
        <w:rPr>
          <w:sz w:val="26"/>
          <w:szCs w:val="26"/>
        </w:rPr>
        <w:t xml:space="preserve">system </w:t>
      </w:r>
      <w:r w:rsidR="00D3683E">
        <w:rPr>
          <w:sz w:val="26"/>
          <w:szCs w:val="26"/>
        </w:rPr>
        <w:t>UFG for the year ending August 31, 2016.</w:t>
      </w:r>
      <w:r w:rsidR="00D3683E">
        <w:rPr>
          <w:rStyle w:val="FootnoteReference"/>
          <w:sz w:val="26"/>
          <w:szCs w:val="26"/>
        </w:rPr>
        <w:footnoteReference w:id="25"/>
      </w:r>
      <w:r w:rsidR="00D3683E">
        <w:rPr>
          <w:sz w:val="26"/>
          <w:szCs w:val="26"/>
        </w:rPr>
        <w:t xml:space="preserve">  Peoples Gas Exh. No. 5.</w:t>
      </w:r>
    </w:p>
    <w:p w:rsidR="00FD69D6" w:rsidRDefault="00FD69D6" w:rsidP="00844225">
      <w:pPr>
        <w:pStyle w:val="ListParagraph"/>
        <w:widowControl/>
        <w:tabs>
          <w:tab w:val="left" w:pos="1445"/>
          <w:tab w:val="left" w:pos="7920"/>
        </w:tabs>
        <w:autoSpaceDE w:val="0"/>
        <w:autoSpaceDN w:val="0"/>
        <w:adjustRightInd w:val="0"/>
        <w:spacing w:line="360" w:lineRule="auto"/>
        <w:ind w:left="0" w:firstLine="720"/>
        <w:rPr>
          <w:sz w:val="26"/>
          <w:szCs w:val="26"/>
          <w:highlight w:val="yellow"/>
        </w:rPr>
      </w:pPr>
    </w:p>
    <w:p w:rsidR="00FD69D6" w:rsidRDefault="00FD69D6" w:rsidP="00844225">
      <w:pPr>
        <w:pStyle w:val="ListParagraph"/>
        <w:widowControl/>
        <w:tabs>
          <w:tab w:val="left" w:pos="1445"/>
          <w:tab w:val="left" w:pos="7920"/>
        </w:tabs>
        <w:autoSpaceDE w:val="0"/>
        <w:autoSpaceDN w:val="0"/>
        <w:adjustRightInd w:val="0"/>
        <w:spacing w:line="360" w:lineRule="auto"/>
        <w:ind w:left="0" w:firstLine="720"/>
        <w:rPr>
          <w:sz w:val="26"/>
          <w:szCs w:val="26"/>
          <w:highlight w:val="yellow"/>
        </w:rPr>
      </w:pPr>
      <w:r>
        <w:rPr>
          <w:sz w:val="26"/>
          <w:szCs w:val="26"/>
        </w:rPr>
        <w:tab/>
      </w:r>
      <w:r w:rsidRPr="00FD69D6">
        <w:rPr>
          <w:sz w:val="26"/>
          <w:szCs w:val="26"/>
        </w:rPr>
        <w:t>Furthermore, as previously noted, the Company’s 2017 UFG Report was the first time since the Commission required UFG reporting in 2014, that Peoples Gas had segmented the loss of the gathering pipelines from the other functional pipelines.  As such, gathering UFG was not directly measured by the Company for the 2016 reporting period.  However, distribution system UFG</w:t>
      </w:r>
      <w:r w:rsidR="006F1362">
        <w:rPr>
          <w:sz w:val="26"/>
          <w:szCs w:val="26"/>
        </w:rPr>
        <w:t xml:space="preserve"> that </w:t>
      </w:r>
      <w:r w:rsidRPr="00FD69D6">
        <w:rPr>
          <w:sz w:val="26"/>
          <w:szCs w:val="26"/>
        </w:rPr>
        <w:t>was specifically measured</w:t>
      </w:r>
      <w:r w:rsidR="006F1362">
        <w:rPr>
          <w:sz w:val="26"/>
          <w:szCs w:val="26"/>
        </w:rPr>
        <w:t xml:space="preserve"> </w:t>
      </w:r>
      <w:r w:rsidRPr="00FD69D6">
        <w:rPr>
          <w:sz w:val="26"/>
          <w:szCs w:val="26"/>
        </w:rPr>
        <w:t xml:space="preserve">declined </w:t>
      </w:r>
      <w:r w:rsidRPr="00FD69D6">
        <w:rPr>
          <w:sz w:val="26"/>
          <w:szCs w:val="26"/>
        </w:rPr>
        <w:lastRenderedPageBreak/>
        <w:t>slightly over the 2016 and 2017 reporting periods</w:t>
      </w:r>
      <w:r w:rsidR="006F1362">
        <w:rPr>
          <w:sz w:val="26"/>
          <w:szCs w:val="26"/>
        </w:rPr>
        <w:t xml:space="preserve">.  Thus, </w:t>
      </w:r>
      <w:r w:rsidRPr="00FD69D6">
        <w:rPr>
          <w:sz w:val="26"/>
          <w:szCs w:val="26"/>
        </w:rPr>
        <w:t>the recent increase in total system UFG is attributable to an increase in gathering system UFG.</w:t>
      </w:r>
    </w:p>
    <w:p w:rsidR="00071450" w:rsidRDefault="00071450" w:rsidP="00844225">
      <w:pPr>
        <w:pStyle w:val="ListParagraph"/>
        <w:widowControl/>
        <w:tabs>
          <w:tab w:val="left" w:pos="1445"/>
          <w:tab w:val="left" w:pos="7920"/>
        </w:tabs>
        <w:autoSpaceDE w:val="0"/>
        <w:autoSpaceDN w:val="0"/>
        <w:adjustRightInd w:val="0"/>
        <w:spacing w:line="360" w:lineRule="auto"/>
        <w:ind w:left="0" w:firstLine="720"/>
        <w:rPr>
          <w:sz w:val="26"/>
          <w:szCs w:val="26"/>
        </w:rPr>
      </w:pPr>
    </w:p>
    <w:p w:rsidR="00F63ADC" w:rsidRDefault="00071450" w:rsidP="00844225">
      <w:pPr>
        <w:pStyle w:val="ListParagraph"/>
        <w:widowControl/>
        <w:tabs>
          <w:tab w:val="left" w:pos="1445"/>
          <w:tab w:val="left" w:pos="7920"/>
        </w:tabs>
        <w:autoSpaceDE w:val="0"/>
        <w:autoSpaceDN w:val="0"/>
        <w:adjustRightInd w:val="0"/>
        <w:spacing w:line="360" w:lineRule="auto"/>
        <w:ind w:left="0" w:firstLine="720"/>
        <w:rPr>
          <w:sz w:val="26"/>
          <w:szCs w:val="26"/>
        </w:rPr>
      </w:pPr>
      <w:r>
        <w:rPr>
          <w:sz w:val="26"/>
          <w:szCs w:val="26"/>
        </w:rPr>
        <w:tab/>
      </w:r>
      <w:r w:rsidR="00F63ADC">
        <w:rPr>
          <w:sz w:val="26"/>
          <w:szCs w:val="26"/>
        </w:rPr>
        <w:t xml:space="preserve">Also, we note that while </w:t>
      </w:r>
      <w:r w:rsidR="00814675">
        <w:rPr>
          <w:sz w:val="26"/>
          <w:szCs w:val="26"/>
        </w:rPr>
        <w:t xml:space="preserve">our </w:t>
      </w:r>
      <w:r w:rsidR="00F63ADC">
        <w:rPr>
          <w:sz w:val="26"/>
          <w:szCs w:val="26"/>
        </w:rPr>
        <w:t xml:space="preserve">Regulations only address losses on the distribution system and not gathering systems, </w:t>
      </w:r>
      <w:r w:rsidR="00A72C6F">
        <w:rPr>
          <w:sz w:val="26"/>
          <w:szCs w:val="26"/>
        </w:rPr>
        <w:t xml:space="preserve">we are concerned about the </w:t>
      </w:r>
      <w:r w:rsidR="00F63ADC">
        <w:rPr>
          <w:sz w:val="26"/>
          <w:szCs w:val="26"/>
        </w:rPr>
        <w:t>increasing levels of the Peoples Companies UFG</w:t>
      </w:r>
      <w:r w:rsidR="005716EE">
        <w:rPr>
          <w:sz w:val="26"/>
          <w:szCs w:val="26"/>
        </w:rPr>
        <w:t xml:space="preserve"> in past PGC proceedings.  I</w:t>
      </w:r>
      <w:r w:rsidR="00F63ADC">
        <w:rPr>
          <w:sz w:val="26"/>
          <w:szCs w:val="26"/>
        </w:rPr>
        <w:t xml:space="preserve">n </w:t>
      </w:r>
      <w:r w:rsidR="00A72C6F">
        <w:rPr>
          <w:sz w:val="26"/>
          <w:szCs w:val="26"/>
        </w:rPr>
        <w:t>this regard, the comments made by</w:t>
      </w:r>
      <w:r w:rsidR="00F63ADC">
        <w:rPr>
          <w:sz w:val="26"/>
          <w:szCs w:val="26"/>
        </w:rPr>
        <w:t xml:space="preserve"> Vice Chairman Place</w:t>
      </w:r>
      <w:r w:rsidR="00A72C6F">
        <w:rPr>
          <w:sz w:val="26"/>
          <w:szCs w:val="26"/>
        </w:rPr>
        <w:t xml:space="preserve"> in his Statement </w:t>
      </w:r>
      <w:r w:rsidR="00BB0C0D">
        <w:rPr>
          <w:sz w:val="26"/>
          <w:szCs w:val="26"/>
        </w:rPr>
        <w:t xml:space="preserve">concerning </w:t>
      </w:r>
      <w:r w:rsidR="00A72C6F">
        <w:rPr>
          <w:sz w:val="26"/>
          <w:szCs w:val="26"/>
        </w:rPr>
        <w:t xml:space="preserve">the </w:t>
      </w:r>
      <w:r w:rsidR="0021417A" w:rsidRPr="00C76E57">
        <w:rPr>
          <w:i/>
          <w:sz w:val="26"/>
          <w:szCs w:val="26"/>
        </w:rPr>
        <w:t>Peoples TWP LLC</w:t>
      </w:r>
      <w:r w:rsidR="0021417A">
        <w:rPr>
          <w:sz w:val="26"/>
          <w:szCs w:val="26"/>
        </w:rPr>
        <w:t xml:space="preserve"> </w:t>
      </w:r>
      <w:r w:rsidR="00A72C6F">
        <w:rPr>
          <w:sz w:val="26"/>
          <w:szCs w:val="26"/>
        </w:rPr>
        <w:t>2017 PGC proceedings</w:t>
      </w:r>
      <w:r w:rsidR="00F520FF">
        <w:rPr>
          <w:sz w:val="26"/>
          <w:szCs w:val="26"/>
        </w:rPr>
        <w:t xml:space="preserve"> </w:t>
      </w:r>
      <w:r>
        <w:rPr>
          <w:sz w:val="26"/>
          <w:szCs w:val="26"/>
        </w:rPr>
        <w:t>are</w:t>
      </w:r>
      <w:r w:rsidR="00F520FF">
        <w:rPr>
          <w:sz w:val="26"/>
          <w:szCs w:val="26"/>
        </w:rPr>
        <w:t xml:space="preserve"> particularly relevant in our disposition here</w:t>
      </w:r>
      <w:r w:rsidR="00F63ADC">
        <w:rPr>
          <w:sz w:val="26"/>
          <w:szCs w:val="26"/>
        </w:rPr>
        <w:t>:</w:t>
      </w:r>
    </w:p>
    <w:p w:rsidR="00F63ADC" w:rsidRDefault="00F63ADC" w:rsidP="00844225">
      <w:pPr>
        <w:pStyle w:val="ListParagraph"/>
        <w:widowControl/>
        <w:tabs>
          <w:tab w:val="left" w:pos="1445"/>
          <w:tab w:val="left" w:pos="7920"/>
        </w:tabs>
        <w:autoSpaceDE w:val="0"/>
        <w:autoSpaceDN w:val="0"/>
        <w:adjustRightInd w:val="0"/>
        <w:spacing w:line="360" w:lineRule="auto"/>
        <w:ind w:left="0" w:firstLine="720"/>
        <w:rPr>
          <w:sz w:val="26"/>
          <w:szCs w:val="26"/>
        </w:rPr>
      </w:pPr>
    </w:p>
    <w:p w:rsidR="00F63ADC" w:rsidRDefault="00F63ADC" w:rsidP="00844225">
      <w:pPr>
        <w:pStyle w:val="ListParagraph"/>
        <w:widowControl/>
        <w:tabs>
          <w:tab w:val="left" w:pos="1445"/>
          <w:tab w:val="left" w:pos="7920"/>
        </w:tabs>
        <w:autoSpaceDE w:val="0"/>
        <w:autoSpaceDN w:val="0"/>
        <w:adjustRightInd w:val="0"/>
        <w:ind w:left="1440" w:right="1440"/>
        <w:rPr>
          <w:sz w:val="26"/>
          <w:szCs w:val="26"/>
        </w:rPr>
      </w:pPr>
      <w:r>
        <w:rPr>
          <w:sz w:val="26"/>
          <w:szCs w:val="26"/>
        </w:rPr>
        <w:t>While I am supportive of the Settlement, I want to express my concern about the increasing levels of Lost and Unaccounted for Gas (LUFG).  Specifically, for the 12 months ending August 31, LUFG on the Peoples/Equitable system has increased steadily from 3.79% to 4.4% to 5.54%, respectively over the last 3 years.  Similarly, LUFG on TWP has increased steadily from 2.27% to 2.88% to 3.36% to 3.91%, respectively over the last 4 years.  Moreover, LUFG has increased in absolute terms, despite lower throughput in 2016 for all Companies.</w:t>
      </w:r>
    </w:p>
    <w:p w:rsidR="00F63ADC" w:rsidRDefault="00F63ADC" w:rsidP="00844225">
      <w:pPr>
        <w:pStyle w:val="ListParagraph"/>
        <w:widowControl/>
        <w:tabs>
          <w:tab w:val="left" w:pos="1445"/>
          <w:tab w:val="left" w:pos="7920"/>
        </w:tabs>
        <w:autoSpaceDE w:val="0"/>
        <w:autoSpaceDN w:val="0"/>
        <w:adjustRightInd w:val="0"/>
        <w:ind w:left="1440" w:right="1440"/>
        <w:rPr>
          <w:sz w:val="26"/>
          <w:szCs w:val="26"/>
        </w:rPr>
      </w:pPr>
    </w:p>
    <w:p w:rsidR="00F63ADC" w:rsidRDefault="00F63ADC" w:rsidP="00844225">
      <w:pPr>
        <w:pStyle w:val="ListParagraph"/>
        <w:widowControl/>
        <w:tabs>
          <w:tab w:val="left" w:pos="1445"/>
          <w:tab w:val="left" w:pos="7920"/>
        </w:tabs>
        <w:autoSpaceDE w:val="0"/>
        <w:autoSpaceDN w:val="0"/>
        <w:adjustRightInd w:val="0"/>
        <w:ind w:left="1440" w:right="1440"/>
        <w:rPr>
          <w:sz w:val="26"/>
          <w:szCs w:val="26"/>
        </w:rPr>
      </w:pPr>
      <w:r>
        <w:rPr>
          <w:sz w:val="26"/>
          <w:szCs w:val="26"/>
        </w:rPr>
        <w:t>The Companies have been on notice for some time about these high loss factors.  As far back as August 30, 2007, Vice Chairman Cawley expressed concern regarding Equitable</w:t>
      </w:r>
      <w:r w:rsidR="001A5BA1">
        <w:rPr>
          <w:sz w:val="26"/>
          <w:szCs w:val="26"/>
        </w:rPr>
        <w:t>’</w:t>
      </w:r>
      <w:r>
        <w:rPr>
          <w:sz w:val="26"/>
          <w:szCs w:val="26"/>
        </w:rPr>
        <w:t>s large values for LUFG and Company Use.  Equitable was reminded of these concerns in similar statements in 2008 and again in 2014.</w:t>
      </w:r>
    </w:p>
    <w:p w:rsidR="00F63ADC" w:rsidRDefault="00F63ADC" w:rsidP="00844225">
      <w:pPr>
        <w:pStyle w:val="ListParagraph"/>
        <w:widowControl/>
        <w:tabs>
          <w:tab w:val="left" w:pos="1445"/>
          <w:tab w:val="left" w:pos="7920"/>
        </w:tabs>
        <w:autoSpaceDE w:val="0"/>
        <w:autoSpaceDN w:val="0"/>
        <w:adjustRightInd w:val="0"/>
        <w:ind w:left="1440" w:right="1440"/>
        <w:rPr>
          <w:sz w:val="26"/>
          <w:szCs w:val="26"/>
        </w:rPr>
      </w:pPr>
    </w:p>
    <w:p w:rsidR="00F63ADC" w:rsidRDefault="00F63ADC" w:rsidP="00844225">
      <w:pPr>
        <w:pStyle w:val="ListParagraph"/>
        <w:widowControl/>
        <w:tabs>
          <w:tab w:val="left" w:pos="1445"/>
          <w:tab w:val="left" w:pos="7920"/>
        </w:tabs>
        <w:autoSpaceDE w:val="0"/>
        <w:autoSpaceDN w:val="0"/>
        <w:adjustRightInd w:val="0"/>
        <w:ind w:left="1440" w:right="1440"/>
        <w:rPr>
          <w:sz w:val="26"/>
          <w:szCs w:val="26"/>
        </w:rPr>
      </w:pPr>
      <w:r>
        <w:rPr>
          <w:sz w:val="26"/>
          <w:szCs w:val="26"/>
        </w:rPr>
        <w:t>Similarly, Peoples was on notice for its high LUFG volumes beginning on September 13, 2017.  Peoples was reminded of these concerns in similar statements in 2008, and again in 2010, but given time to allow their new LUFG mitigation measures to take effect.  Further, TWP was also provided notice about these concerns on June 16, 2010.</w:t>
      </w:r>
    </w:p>
    <w:p w:rsidR="00F63ADC" w:rsidRDefault="00F63ADC" w:rsidP="00844225">
      <w:pPr>
        <w:pStyle w:val="ListParagraph"/>
        <w:widowControl/>
        <w:tabs>
          <w:tab w:val="left" w:pos="1445"/>
          <w:tab w:val="left" w:pos="7920"/>
        </w:tabs>
        <w:autoSpaceDE w:val="0"/>
        <w:autoSpaceDN w:val="0"/>
        <w:adjustRightInd w:val="0"/>
        <w:ind w:left="1440" w:right="1440"/>
        <w:rPr>
          <w:sz w:val="26"/>
          <w:szCs w:val="26"/>
        </w:rPr>
      </w:pPr>
    </w:p>
    <w:p w:rsidR="00F63ADC" w:rsidRPr="00C857FE" w:rsidRDefault="00F63ADC" w:rsidP="00844225">
      <w:pPr>
        <w:widowControl/>
        <w:ind w:left="1440" w:right="1440"/>
        <w:rPr>
          <w:sz w:val="26"/>
          <w:szCs w:val="26"/>
        </w:rPr>
      </w:pPr>
      <w:r w:rsidRPr="00C857FE">
        <w:rPr>
          <w:sz w:val="26"/>
          <w:szCs w:val="26"/>
        </w:rPr>
        <w:t xml:space="preserve">As early as 2008, Peoples committed to monitoring LUFG on gathering systems and quantify these [loss] levels under its PGC settlement agreement.  Additionally, measurement was to occur at customer offtakes, company use points and gas </w:t>
      </w:r>
      <w:r w:rsidRPr="00C857FE">
        <w:rPr>
          <w:sz w:val="26"/>
          <w:szCs w:val="26"/>
        </w:rPr>
        <w:lastRenderedPageBreak/>
        <w:t>receipt points into the transmission system.  In Peoples 2009 PGC Settlement, the Company further agreed to report, in its next 1307(f) filing, on the progress of its LUFG mitigation measures as described in the Direct Testimony of Joseph</w:t>
      </w:r>
      <w:r w:rsidR="00F520FF">
        <w:rPr>
          <w:sz w:val="26"/>
          <w:szCs w:val="26"/>
        </w:rPr>
        <w:t> </w:t>
      </w:r>
      <w:r w:rsidRPr="00C857FE">
        <w:rPr>
          <w:sz w:val="26"/>
          <w:szCs w:val="26"/>
        </w:rPr>
        <w:t>A.</w:t>
      </w:r>
      <w:r w:rsidR="00F520FF">
        <w:rPr>
          <w:sz w:val="26"/>
          <w:szCs w:val="26"/>
        </w:rPr>
        <w:t> </w:t>
      </w:r>
      <w:r w:rsidRPr="00C857FE">
        <w:rPr>
          <w:sz w:val="26"/>
          <w:szCs w:val="26"/>
        </w:rPr>
        <w:t xml:space="preserve">Gregorini.  As part of the settlement in this case, Peoples agreed to provide and had attached thereto an Appendix </w:t>
      </w:r>
      <w:r w:rsidR="001A5BA1">
        <w:rPr>
          <w:sz w:val="26"/>
          <w:szCs w:val="26"/>
        </w:rPr>
        <w:t>“</w:t>
      </w:r>
      <w:r w:rsidRPr="00C857FE">
        <w:rPr>
          <w:sz w:val="26"/>
          <w:szCs w:val="26"/>
        </w:rPr>
        <w:t>B</w:t>
      </w:r>
      <w:r w:rsidR="001A5BA1">
        <w:rPr>
          <w:sz w:val="26"/>
          <w:szCs w:val="26"/>
        </w:rPr>
        <w:t>”</w:t>
      </w:r>
      <w:r w:rsidRPr="00C857FE">
        <w:rPr>
          <w:sz w:val="26"/>
          <w:szCs w:val="26"/>
        </w:rPr>
        <w:t xml:space="preserve"> - a summary of ten mitigation measures and approximate completion dates.  In its 2011 PGC, Peoples committed to use reasonable efforts to implement its </w:t>
      </w:r>
      <w:r w:rsidR="001A5BA1">
        <w:rPr>
          <w:sz w:val="26"/>
          <w:szCs w:val="26"/>
        </w:rPr>
        <w:t>“</w:t>
      </w:r>
      <w:r w:rsidRPr="00C857FE">
        <w:rPr>
          <w:sz w:val="26"/>
          <w:szCs w:val="26"/>
        </w:rPr>
        <w:t>2011 Unaccounted-For-Gas Plan and Report</w:t>
      </w:r>
      <w:r w:rsidR="001A5BA1">
        <w:rPr>
          <w:sz w:val="26"/>
          <w:szCs w:val="26"/>
        </w:rPr>
        <w:t>”</w:t>
      </w:r>
      <w:r w:rsidRPr="00C857FE">
        <w:rPr>
          <w:sz w:val="26"/>
          <w:szCs w:val="26"/>
        </w:rPr>
        <w:t xml:space="preserve"> (LUFG Plan).  The LUFG Plan set forth a target LUFG rate of 4.65% by 2014.  In its 2014 PGC settlement, Peoples committed to continuing its efforts to reduce lost and unaccounted for gas on its gathering, distribution and transmission facilities.  More specifically, Peoples explained that it would identify gathering pipelines with high leak frequency and prioritize them for its Repair//Replace program, in order to further reduce LUFG. In its 2016 PGC settlement, the Company again committed to continue its efforts to reduce LUFG.</w:t>
      </w:r>
    </w:p>
    <w:p w:rsidR="00F63ADC" w:rsidRDefault="00F63ADC" w:rsidP="00844225">
      <w:pPr>
        <w:pStyle w:val="ListParagraph"/>
        <w:widowControl/>
        <w:tabs>
          <w:tab w:val="left" w:pos="1445"/>
          <w:tab w:val="left" w:pos="7920"/>
        </w:tabs>
        <w:autoSpaceDE w:val="0"/>
        <w:autoSpaceDN w:val="0"/>
        <w:adjustRightInd w:val="0"/>
        <w:ind w:left="1440" w:right="1440"/>
        <w:rPr>
          <w:sz w:val="26"/>
          <w:szCs w:val="26"/>
        </w:rPr>
      </w:pPr>
    </w:p>
    <w:p w:rsidR="00F63ADC" w:rsidRDefault="00F63ADC" w:rsidP="00844225">
      <w:pPr>
        <w:pStyle w:val="ListParagraph"/>
        <w:widowControl/>
        <w:tabs>
          <w:tab w:val="left" w:pos="1445"/>
          <w:tab w:val="left" w:pos="7920"/>
        </w:tabs>
        <w:autoSpaceDE w:val="0"/>
        <w:autoSpaceDN w:val="0"/>
        <w:adjustRightInd w:val="0"/>
        <w:ind w:left="1440" w:right="1440"/>
        <w:rPr>
          <w:sz w:val="26"/>
          <w:szCs w:val="26"/>
        </w:rPr>
      </w:pPr>
      <w:r w:rsidRPr="00C857FE">
        <w:rPr>
          <w:sz w:val="26"/>
          <w:szCs w:val="26"/>
        </w:rPr>
        <w:t>As far back as 2008, Equitable has been developing plans to mitigate LUFG.  In Equitable</w:t>
      </w:r>
      <w:r w:rsidR="001A5BA1">
        <w:rPr>
          <w:sz w:val="26"/>
          <w:szCs w:val="26"/>
        </w:rPr>
        <w:t>’</w:t>
      </w:r>
      <w:r w:rsidRPr="00C857FE">
        <w:rPr>
          <w:sz w:val="26"/>
          <w:szCs w:val="26"/>
        </w:rPr>
        <w:t xml:space="preserve">s 2008 PGC docket, Equitable agreed to track and report efforts made to reduce LUFG on its system.  Equitable further articulated its LUFG reduction measures in its 2009 PGC filing.  These measures included main line replacement, pressure testing of house lines, leak surveys, third-party damage reduction strategies, theft reduction, and elimination of measurement error.  In its 2010 PGC filing, Equitable identified its primary UFG reduction initiatives to include: (1) segmentation of the gathering system; (2) line walking; (3) meter-size testing; and (4) a more stringent large meter calibration program.  In 2014, Equitable again committed to continue its efforts to reduce lost and unaccounted for gas on its gathering, distribution and transmission facilities, and reiterated its intention to execute its (1) Enhanced Leak Repair Program, which prioritizes leak repairs; (2) Measurement Improvement Program, designed to audit and improve measurements at producer interconnects and to study the impact of temperature on the measurement accuracy of non-compensated meters; (3) Interconnect Improvement Program, designed to eliminate the possibility of gas backflow; and (4) Pipeline Improvement Plan, to abandon or replace pipelines that are obsolete or cannot be </w:t>
      </w:r>
      <w:r w:rsidRPr="00C857FE">
        <w:rPr>
          <w:sz w:val="26"/>
          <w:szCs w:val="26"/>
        </w:rPr>
        <w:lastRenderedPageBreak/>
        <w:t>repaired.  Under last year</w:t>
      </w:r>
      <w:r w:rsidR="001A5BA1">
        <w:rPr>
          <w:sz w:val="26"/>
          <w:szCs w:val="26"/>
        </w:rPr>
        <w:t>’</w:t>
      </w:r>
      <w:r w:rsidRPr="00C857FE">
        <w:rPr>
          <w:sz w:val="26"/>
          <w:szCs w:val="26"/>
        </w:rPr>
        <w:t>s joint PGC filing in 2016, Equitable and Peoples</w:t>
      </w:r>
      <w:r w:rsidR="001A5BA1">
        <w:rPr>
          <w:sz w:val="26"/>
          <w:szCs w:val="26"/>
        </w:rPr>
        <w:t>’</w:t>
      </w:r>
      <w:r w:rsidRPr="00C857FE">
        <w:rPr>
          <w:sz w:val="26"/>
          <w:szCs w:val="26"/>
        </w:rPr>
        <w:t xml:space="preserve"> mitigation plan included increased leak repair on Class 2 and Class 3 leaks to reduce the duration of leaks and resulting UFG, more frequent monitoring of high or low volume meters to ensure they are operating within an acceptable measurement range, and review of producer and customer meters that appear inactive to mitigate gas theft or unintended reverse flow.  Lastly, Peoples asserts it monitors system pressures to make sure the Company is not operating at pressures higher than what is required to serve its customers, thus reducing gas loss through pipe leakage or measurement errors.</w:t>
      </w:r>
    </w:p>
    <w:p w:rsidR="00F520FF" w:rsidRDefault="00F520FF" w:rsidP="00844225">
      <w:pPr>
        <w:pStyle w:val="ListParagraph"/>
        <w:widowControl/>
        <w:tabs>
          <w:tab w:val="left" w:pos="1445"/>
          <w:tab w:val="left" w:pos="7920"/>
        </w:tabs>
        <w:autoSpaceDE w:val="0"/>
        <w:autoSpaceDN w:val="0"/>
        <w:adjustRightInd w:val="0"/>
        <w:ind w:left="1440" w:right="1440"/>
        <w:rPr>
          <w:sz w:val="26"/>
          <w:szCs w:val="26"/>
        </w:rPr>
      </w:pPr>
    </w:p>
    <w:p w:rsidR="00F63ADC" w:rsidRPr="00B93CDB" w:rsidRDefault="00F63ADC" w:rsidP="00844225">
      <w:pPr>
        <w:widowControl/>
        <w:ind w:left="1440" w:right="1440"/>
        <w:rPr>
          <w:sz w:val="26"/>
          <w:szCs w:val="26"/>
        </w:rPr>
      </w:pPr>
      <w:r w:rsidRPr="00B93CDB">
        <w:rPr>
          <w:sz w:val="26"/>
          <w:szCs w:val="26"/>
        </w:rPr>
        <w:t>Under the current settlements before us, the Companies propose to assemble a cross-functional team to assess, analyze and take deliberate steps to mitigate LUFG. The LUFG team will be led by a new, senior, full-time manager with a primary job description of managing LUFG activity. Peoples</w:t>
      </w:r>
      <w:r w:rsidR="001A5BA1">
        <w:rPr>
          <w:sz w:val="26"/>
          <w:szCs w:val="26"/>
        </w:rPr>
        <w:t>’</w:t>
      </w:r>
      <w:r w:rsidRPr="00B93CDB">
        <w:rPr>
          <w:sz w:val="26"/>
          <w:szCs w:val="26"/>
        </w:rPr>
        <w:t xml:space="preserve"> immediate plan is to continue the LUFG reduction initiatives described in their filing, which the Companies claim have proven over time to be effective.  In addition, the Companies have started a process to review the ongoing value of owning, operating and maintaining various portions of its gathering system.  Peoples plans to study the projected cost of owning and operating various segments of its gathering system in the future and to assess options, recognizing that while customers served directly from the gathering system comprise less than 1% of Peoples</w:t>
      </w:r>
      <w:r w:rsidR="001A5BA1">
        <w:rPr>
          <w:sz w:val="26"/>
          <w:szCs w:val="26"/>
        </w:rPr>
        <w:t>’</w:t>
      </w:r>
      <w:r w:rsidRPr="00B93CDB">
        <w:rPr>
          <w:sz w:val="26"/>
          <w:szCs w:val="26"/>
        </w:rPr>
        <w:t xml:space="preserve"> total customer base, this is still a substantial number of customers, and even more are served from distribution systems connected to the gathering system.  The Company will prioritize Enhanced Leak Repair, will continue to monitor supply interconnects to ensure accurate measurement and backflow prevention equipment is effective, and will continue system segmentation efforts to identify and report LUFG based on pipeline function. However, Peoples explains that it is not feasible to expect immediate and significant reductions in UFG as a result of UFG mitigation efforts.</w:t>
      </w:r>
    </w:p>
    <w:p w:rsidR="00F63ADC" w:rsidRPr="00B93CDB" w:rsidRDefault="00F63ADC" w:rsidP="00844225">
      <w:pPr>
        <w:widowControl/>
        <w:ind w:left="1440" w:right="1440" w:firstLine="720"/>
        <w:rPr>
          <w:sz w:val="26"/>
          <w:szCs w:val="26"/>
        </w:rPr>
      </w:pPr>
    </w:p>
    <w:p w:rsidR="00F63ADC" w:rsidRDefault="00F63ADC" w:rsidP="00844225">
      <w:pPr>
        <w:widowControl/>
        <w:ind w:left="1440" w:right="1440"/>
        <w:rPr>
          <w:sz w:val="26"/>
          <w:szCs w:val="26"/>
        </w:rPr>
      </w:pPr>
      <w:r w:rsidRPr="00B93CDB">
        <w:rPr>
          <w:sz w:val="26"/>
          <w:szCs w:val="26"/>
        </w:rPr>
        <w:t xml:space="preserve">I take exception to this statement.  Many of these LUFG reduction plans have been on the books since at least 2008 – over a decade, as documented in the previous cases addressed by the Commission.  The Companies have had sufficient time </w:t>
      </w:r>
      <w:r w:rsidRPr="00B93CDB">
        <w:rPr>
          <w:sz w:val="26"/>
          <w:szCs w:val="26"/>
        </w:rPr>
        <w:lastRenderedPageBreak/>
        <w:t xml:space="preserve">to explore the effectiveness of these strategies.  I agree with the Office of Investigation and Enforcement (I&amp;E) and the Office of Small Business Advocate (OSBA) </w:t>
      </w:r>
      <w:r w:rsidR="00B42D0F">
        <w:rPr>
          <w:sz w:val="26"/>
          <w:szCs w:val="26"/>
        </w:rPr>
        <w:t>–</w:t>
      </w:r>
      <w:r w:rsidRPr="00B93CDB">
        <w:rPr>
          <w:sz w:val="26"/>
          <w:szCs w:val="26"/>
        </w:rPr>
        <w:t xml:space="preserve"> it is time for Peoples</w:t>
      </w:r>
      <w:r w:rsidR="001A5BA1">
        <w:rPr>
          <w:sz w:val="26"/>
          <w:szCs w:val="26"/>
        </w:rPr>
        <w:t>’</w:t>
      </w:r>
      <w:r w:rsidRPr="00B93CDB">
        <w:rPr>
          <w:sz w:val="26"/>
          <w:szCs w:val="26"/>
        </w:rPr>
        <w:t xml:space="preserve"> UFG mitigation plan to show positive results.  This is fundamentally important as the Companies current LUFG is not only costing customers upwards of $23.9M per year but also losing to the atmosphere substantial quantities of a potent greenhouse gas.</w:t>
      </w:r>
    </w:p>
    <w:p w:rsidR="00F520FF" w:rsidRDefault="00F520FF" w:rsidP="00844225">
      <w:pPr>
        <w:widowControl/>
        <w:ind w:left="1440" w:right="1440"/>
        <w:rPr>
          <w:sz w:val="26"/>
          <w:szCs w:val="26"/>
        </w:rPr>
      </w:pPr>
    </w:p>
    <w:p w:rsidR="00F63ADC" w:rsidRDefault="00F63ADC" w:rsidP="00844225">
      <w:pPr>
        <w:pStyle w:val="ListParagraph"/>
        <w:widowControl/>
        <w:tabs>
          <w:tab w:val="left" w:pos="1445"/>
          <w:tab w:val="left" w:pos="7920"/>
        </w:tabs>
        <w:autoSpaceDE w:val="0"/>
        <w:autoSpaceDN w:val="0"/>
        <w:adjustRightInd w:val="0"/>
        <w:ind w:left="1440" w:right="1440"/>
        <w:rPr>
          <w:sz w:val="26"/>
          <w:szCs w:val="26"/>
        </w:rPr>
      </w:pPr>
    </w:p>
    <w:p w:rsidR="00F63ADC" w:rsidRDefault="0019030F" w:rsidP="00844225">
      <w:pPr>
        <w:pStyle w:val="ListParagraph"/>
        <w:widowControl/>
        <w:tabs>
          <w:tab w:val="left" w:pos="1445"/>
          <w:tab w:val="left" w:pos="7920"/>
        </w:tabs>
        <w:autoSpaceDE w:val="0"/>
        <w:autoSpaceDN w:val="0"/>
        <w:adjustRightInd w:val="0"/>
        <w:spacing w:line="360" w:lineRule="auto"/>
        <w:ind w:left="0"/>
        <w:rPr>
          <w:sz w:val="26"/>
          <w:szCs w:val="26"/>
        </w:rPr>
      </w:pPr>
      <w:r w:rsidRPr="00C76E57">
        <w:rPr>
          <w:i/>
          <w:sz w:val="26"/>
          <w:szCs w:val="26"/>
        </w:rPr>
        <w:t>Pa. PUC, et al. v. Peoples TWP LLC</w:t>
      </w:r>
      <w:r>
        <w:rPr>
          <w:sz w:val="26"/>
          <w:szCs w:val="26"/>
        </w:rPr>
        <w:t>,</w:t>
      </w:r>
      <w:r w:rsidR="00EF507C" w:rsidRPr="00EF507C">
        <w:rPr>
          <w:sz w:val="26"/>
          <w:szCs w:val="26"/>
        </w:rPr>
        <w:t xml:space="preserve"> </w:t>
      </w:r>
      <w:r w:rsidR="00EF507C">
        <w:rPr>
          <w:sz w:val="26"/>
          <w:szCs w:val="26"/>
        </w:rPr>
        <w:t>Docket No. R-2017-2586317</w:t>
      </w:r>
      <w:r w:rsidR="00FD69D6">
        <w:rPr>
          <w:sz w:val="26"/>
          <w:szCs w:val="26"/>
        </w:rPr>
        <w:t xml:space="preserve"> (</w:t>
      </w:r>
      <w:r w:rsidR="00FD69D6" w:rsidRPr="00C76E57">
        <w:rPr>
          <w:i/>
          <w:sz w:val="26"/>
          <w:szCs w:val="26"/>
        </w:rPr>
        <w:t>Peoples TWP LLC</w:t>
      </w:r>
      <w:r w:rsidR="00FD69D6" w:rsidRPr="00FD69D6">
        <w:rPr>
          <w:sz w:val="26"/>
          <w:szCs w:val="26"/>
        </w:rPr>
        <w:t>)</w:t>
      </w:r>
      <w:r w:rsidR="00EF507C">
        <w:rPr>
          <w:sz w:val="26"/>
          <w:szCs w:val="26"/>
        </w:rPr>
        <w:t xml:space="preserve">, </w:t>
      </w:r>
      <w:r w:rsidR="00F63ADC">
        <w:rPr>
          <w:sz w:val="26"/>
          <w:szCs w:val="26"/>
        </w:rPr>
        <w:t>Statement</w:t>
      </w:r>
      <w:r>
        <w:rPr>
          <w:sz w:val="26"/>
          <w:szCs w:val="26"/>
        </w:rPr>
        <w:t xml:space="preserve"> of Vice Chairman Andrew G. Place</w:t>
      </w:r>
      <w:r w:rsidR="00F63ADC">
        <w:rPr>
          <w:sz w:val="26"/>
          <w:szCs w:val="26"/>
        </w:rPr>
        <w:t xml:space="preserve"> at 1-2, 4 (</w:t>
      </w:r>
      <w:r>
        <w:rPr>
          <w:sz w:val="26"/>
          <w:szCs w:val="26"/>
        </w:rPr>
        <w:t>August 31, 2017</w:t>
      </w:r>
      <w:r w:rsidR="00F63ADC">
        <w:rPr>
          <w:sz w:val="26"/>
          <w:szCs w:val="26"/>
        </w:rPr>
        <w:t>).</w:t>
      </w:r>
    </w:p>
    <w:p w:rsidR="000D5C6B" w:rsidRDefault="000D5C6B" w:rsidP="00844225">
      <w:pPr>
        <w:widowControl/>
        <w:spacing w:line="360" w:lineRule="auto"/>
        <w:ind w:firstLine="1440"/>
        <w:rPr>
          <w:sz w:val="26"/>
          <w:szCs w:val="26"/>
        </w:rPr>
      </w:pPr>
    </w:p>
    <w:p w:rsidR="00F63ADC" w:rsidRDefault="00F63ADC" w:rsidP="00844225">
      <w:pPr>
        <w:pStyle w:val="ListParagraph"/>
        <w:widowControl/>
        <w:tabs>
          <w:tab w:val="left" w:pos="1445"/>
          <w:tab w:val="left" w:pos="7920"/>
        </w:tabs>
        <w:autoSpaceDE w:val="0"/>
        <w:autoSpaceDN w:val="0"/>
        <w:adjustRightInd w:val="0"/>
        <w:spacing w:line="360" w:lineRule="auto"/>
        <w:ind w:left="0" w:firstLine="1440"/>
        <w:rPr>
          <w:sz w:val="26"/>
          <w:szCs w:val="26"/>
        </w:rPr>
      </w:pPr>
      <w:r>
        <w:rPr>
          <w:sz w:val="26"/>
          <w:szCs w:val="26"/>
        </w:rPr>
        <w:t xml:space="preserve">We acknowledge the substantial and laudable steps the Companies have taken since the 2017 PGC proceedings.  For instance, </w:t>
      </w:r>
      <w:r w:rsidR="00975819">
        <w:rPr>
          <w:sz w:val="26"/>
          <w:szCs w:val="26"/>
        </w:rPr>
        <w:t>s</w:t>
      </w:r>
      <w:r w:rsidR="00975819" w:rsidRPr="00975819">
        <w:rPr>
          <w:sz w:val="26"/>
          <w:szCs w:val="26"/>
        </w:rPr>
        <w:t>ince last year</w:t>
      </w:r>
      <w:r w:rsidR="001A5BA1">
        <w:rPr>
          <w:sz w:val="26"/>
          <w:szCs w:val="26"/>
        </w:rPr>
        <w:t>’</w:t>
      </w:r>
      <w:r w:rsidR="00975819" w:rsidRPr="00975819">
        <w:rPr>
          <w:sz w:val="26"/>
          <w:szCs w:val="26"/>
        </w:rPr>
        <w:t>s PGC proceeding, the Peoples Companies</w:t>
      </w:r>
      <w:r w:rsidR="001A5BA1">
        <w:rPr>
          <w:sz w:val="26"/>
          <w:szCs w:val="26"/>
        </w:rPr>
        <w:t>’</w:t>
      </w:r>
      <w:r w:rsidR="00975819" w:rsidRPr="00975819">
        <w:rPr>
          <w:sz w:val="26"/>
          <w:szCs w:val="26"/>
        </w:rPr>
        <w:t xml:space="preserve"> UFG Mitigation Team developed the detailed and comprehensive UFG Mitigation Plan.</w:t>
      </w:r>
      <w:r w:rsidR="00975819">
        <w:rPr>
          <w:sz w:val="26"/>
          <w:szCs w:val="26"/>
        </w:rPr>
        <w:t xml:space="preserve">  Peoples Gas M.B. at 8.  </w:t>
      </w:r>
      <w:r w:rsidR="00B9709D">
        <w:rPr>
          <w:sz w:val="26"/>
          <w:szCs w:val="26"/>
        </w:rPr>
        <w:t>Peoples Gas</w:t>
      </w:r>
      <w:r>
        <w:rPr>
          <w:sz w:val="26"/>
          <w:szCs w:val="26"/>
        </w:rPr>
        <w:t xml:space="preserve"> ha</w:t>
      </w:r>
      <w:r w:rsidR="005716EE">
        <w:rPr>
          <w:sz w:val="26"/>
          <w:szCs w:val="26"/>
        </w:rPr>
        <w:t>s</w:t>
      </w:r>
      <w:r>
        <w:rPr>
          <w:sz w:val="26"/>
          <w:szCs w:val="26"/>
        </w:rPr>
        <w:t xml:space="preserve"> indicated</w:t>
      </w:r>
      <w:r w:rsidR="00975819">
        <w:rPr>
          <w:sz w:val="26"/>
          <w:szCs w:val="26"/>
        </w:rPr>
        <w:t xml:space="preserve"> </w:t>
      </w:r>
      <w:r w:rsidR="005637B0">
        <w:rPr>
          <w:sz w:val="26"/>
          <w:szCs w:val="26"/>
        </w:rPr>
        <w:t xml:space="preserve">that </w:t>
      </w:r>
      <w:r w:rsidR="00397C0C">
        <w:rPr>
          <w:sz w:val="26"/>
          <w:szCs w:val="26"/>
        </w:rPr>
        <w:t>to</w:t>
      </w:r>
      <w:r w:rsidR="005637B0">
        <w:rPr>
          <w:sz w:val="26"/>
          <w:szCs w:val="26"/>
        </w:rPr>
        <w:t xml:space="preserve"> implement these plans effectively, the conventional gas producers need to be part of the solution.  </w:t>
      </w:r>
      <w:r>
        <w:rPr>
          <w:sz w:val="26"/>
          <w:szCs w:val="26"/>
        </w:rPr>
        <w:t xml:space="preserve">The charge, they say, is intended to recognize that the producers substantially benefit from the existence of the gathering systems and should share in the cost of UFG incurred to carry conventional production to the city gate.  But most importantly, the </w:t>
      </w:r>
      <w:r w:rsidR="00B9709D">
        <w:rPr>
          <w:sz w:val="26"/>
          <w:szCs w:val="26"/>
        </w:rPr>
        <w:t>Company</w:t>
      </w:r>
      <w:r>
        <w:rPr>
          <w:sz w:val="26"/>
          <w:szCs w:val="26"/>
        </w:rPr>
        <w:t xml:space="preserve"> allege</w:t>
      </w:r>
      <w:r w:rsidR="00B9709D">
        <w:rPr>
          <w:sz w:val="26"/>
          <w:szCs w:val="26"/>
        </w:rPr>
        <w:t>s</w:t>
      </w:r>
      <w:r>
        <w:rPr>
          <w:sz w:val="26"/>
          <w:szCs w:val="26"/>
        </w:rPr>
        <w:t xml:space="preserve"> the proposed producer charge will help incent the producers to help contribute to the reducti</w:t>
      </w:r>
      <w:r w:rsidR="005637B0">
        <w:rPr>
          <w:sz w:val="26"/>
          <w:szCs w:val="26"/>
        </w:rPr>
        <w:t>on of gathering system UFG.  Peoples Gas</w:t>
      </w:r>
      <w:r>
        <w:rPr>
          <w:sz w:val="26"/>
          <w:szCs w:val="26"/>
        </w:rPr>
        <w:t xml:space="preserve"> R.</w:t>
      </w:r>
      <w:r w:rsidR="007226C7">
        <w:rPr>
          <w:sz w:val="26"/>
          <w:szCs w:val="26"/>
        </w:rPr>
        <w:t> </w:t>
      </w:r>
      <w:r>
        <w:rPr>
          <w:sz w:val="26"/>
          <w:szCs w:val="26"/>
        </w:rPr>
        <w:t>Exc. at 2-3.  As earlier indicated, the Peoples Companies made several recommendations on areas for additional UFG mitigation activities, including: (1)</w:t>
      </w:r>
      <w:r w:rsidR="007226C7">
        <w:rPr>
          <w:sz w:val="26"/>
          <w:szCs w:val="26"/>
        </w:rPr>
        <w:t> </w:t>
      </w:r>
      <w:r>
        <w:rPr>
          <w:sz w:val="26"/>
          <w:szCs w:val="26"/>
        </w:rPr>
        <w:t>additional segmentation to enhance identification of potential UFG targets; (2)</w:t>
      </w:r>
      <w:r w:rsidR="007226C7">
        <w:rPr>
          <w:sz w:val="26"/>
          <w:szCs w:val="26"/>
        </w:rPr>
        <w:t> </w:t>
      </w:r>
      <w:r>
        <w:rPr>
          <w:sz w:val="26"/>
          <w:szCs w:val="26"/>
        </w:rPr>
        <w:t xml:space="preserve">accelerated leak repair for bare steel gathering; (3) gathering pipeline improvement strategy; (4) removal/replacement of at-risk gathering pipelines; (5) further analysis to be performed concerning certain gathering pipelines; (6) gathering pipelines abandonment considerations and communication; (7) gas measurement enhancements; (8) unauthorized use; and (9) mapping enhancements.  </w:t>
      </w:r>
      <w:r w:rsidR="005637B0">
        <w:rPr>
          <w:sz w:val="26"/>
          <w:szCs w:val="26"/>
        </w:rPr>
        <w:t>Peoples Gas St. 1 at 13</w:t>
      </w:r>
      <w:r w:rsidRPr="00D74ADE">
        <w:rPr>
          <w:sz w:val="26"/>
          <w:szCs w:val="26"/>
        </w:rPr>
        <w:t>.</w:t>
      </w:r>
    </w:p>
    <w:p w:rsidR="000D5C6B" w:rsidRDefault="000D5C6B" w:rsidP="00844225">
      <w:pPr>
        <w:widowControl/>
        <w:spacing w:line="360" w:lineRule="auto"/>
        <w:ind w:firstLine="1440"/>
        <w:rPr>
          <w:sz w:val="26"/>
          <w:szCs w:val="26"/>
        </w:rPr>
      </w:pPr>
    </w:p>
    <w:p w:rsidR="00A96FE4" w:rsidRDefault="00FC328E" w:rsidP="00844225">
      <w:pPr>
        <w:widowControl/>
        <w:tabs>
          <w:tab w:val="left" w:pos="1445"/>
          <w:tab w:val="left" w:pos="4410"/>
          <w:tab w:val="left" w:pos="7920"/>
        </w:tabs>
        <w:autoSpaceDE w:val="0"/>
        <w:autoSpaceDN w:val="0"/>
        <w:adjustRightInd w:val="0"/>
        <w:spacing w:line="360" w:lineRule="auto"/>
        <w:ind w:firstLine="1440"/>
        <w:rPr>
          <w:sz w:val="26"/>
          <w:szCs w:val="26"/>
        </w:rPr>
      </w:pPr>
      <w:r>
        <w:rPr>
          <w:sz w:val="26"/>
          <w:szCs w:val="26"/>
        </w:rPr>
        <w:lastRenderedPageBreak/>
        <w:t>Nonetheless, as highlighted in Vice Chairman Place</w:t>
      </w:r>
      <w:r w:rsidR="001A5BA1">
        <w:rPr>
          <w:sz w:val="26"/>
          <w:szCs w:val="26"/>
        </w:rPr>
        <w:t>’</w:t>
      </w:r>
      <w:r>
        <w:rPr>
          <w:sz w:val="26"/>
          <w:szCs w:val="26"/>
        </w:rPr>
        <w:t>s Statement, the Peoples Companies have been making similar commitments</w:t>
      </w:r>
      <w:r w:rsidRPr="00EF7C74">
        <w:rPr>
          <w:sz w:val="26"/>
          <w:szCs w:val="26"/>
        </w:rPr>
        <w:t xml:space="preserve"> </w:t>
      </w:r>
      <w:r>
        <w:rPr>
          <w:sz w:val="26"/>
          <w:szCs w:val="26"/>
        </w:rPr>
        <w:t>to monitor and reduce UFG on their systems since 2008 but has, over the years, not effectively complied with reducing UFG, as shown in Peoples Gas</w:t>
      </w:r>
      <w:r w:rsidR="001A5BA1">
        <w:rPr>
          <w:sz w:val="26"/>
          <w:szCs w:val="26"/>
        </w:rPr>
        <w:t>’</w:t>
      </w:r>
      <w:r>
        <w:rPr>
          <w:sz w:val="26"/>
          <w:szCs w:val="26"/>
        </w:rPr>
        <w:t xml:space="preserve"> steadily increasing total system UFG levels for the past three years, which is shown in Peoples Gas Exhibit No. 5 in the instant proceeding. </w:t>
      </w:r>
      <w:r w:rsidRPr="00FC328E">
        <w:rPr>
          <w:sz w:val="26"/>
          <w:szCs w:val="26"/>
        </w:rPr>
        <w:t xml:space="preserve"> </w:t>
      </w:r>
      <w:r>
        <w:rPr>
          <w:sz w:val="26"/>
          <w:szCs w:val="26"/>
        </w:rPr>
        <w:t xml:space="preserve">Hence, while we acknowledge the </w:t>
      </w:r>
      <w:r w:rsidR="00B9709D">
        <w:rPr>
          <w:sz w:val="26"/>
          <w:szCs w:val="26"/>
        </w:rPr>
        <w:t>Company</w:t>
      </w:r>
      <w:r w:rsidR="001A5BA1">
        <w:rPr>
          <w:sz w:val="26"/>
          <w:szCs w:val="26"/>
        </w:rPr>
        <w:t>’</w:t>
      </w:r>
      <w:r w:rsidR="00B9709D">
        <w:rPr>
          <w:sz w:val="26"/>
          <w:szCs w:val="26"/>
        </w:rPr>
        <w:t>s</w:t>
      </w:r>
      <w:r>
        <w:rPr>
          <w:sz w:val="26"/>
          <w:szCs w:val="26"/>
        </w:rPr>
        <w:t xml:space="preserve"> claim that the proposed producer charge is one component of a comprehensive plan to address gathering system UFG, we are also cognizant of the Peoples Companies</w:t>
      </w:r>
      <w:r w:rsidR="001A5BA1">
        <w:rPr>
          <w:sz w:val="26"/>
          <w:szCs w:val="26"/>
        </w:rPr>
        <w:t>’</w:t>
      </w:r>
      <w:r>
        <w:rPr>
          <w:sz w:val="26"/>
          <w:szCs w:val="26"/>
        </w:rPr>
        <w:t xml:space="preserve"> past commitments to address gathering system losses with no accompanying positive results.</w:t>
      </w:r>
      <w:r w:rsidR="00BB6F7A">
        <w:rPr>
          <w:sz w:val="26"/>
          <w:szCs w:val="26"/>
        </w:rPr>
        <w:t xml:space="preserve">  Here, per the Partial Settlement, Peoples Gas has agreed to reduce its gathering system UFG to </w:t>
      </w:r>
      <w:r w:rsidR="00BB6F7A" w:rsidRPr="004F170C">
        <w:rPr>
          <w:sz w:val="26"/>
          <w:szCs w:val="26"/>
        </w:rPr>
        <w:t>9.0% for the year ending August 31, 2019, 8.5% for the year ending August 31, 2020, and 7.5% for the year ending August 31, 2021</w:t>
      </w:r>
      <w:r w:rsidR="00020C63">
        <w:rPr>
          <w:sz w:val="26"/>
          <w:szCs w:val="26"/>
        </w:rPr>
        <w:t xml:space="preserve"> (Joint Petition at 5)</w:t>
      </w:r>
      <w:r w:rsidR="00BB6F7A">
        <w:rPr>
          <w:sz w:val="26"/>
          <w:szCs w:val="26"/>
        </w:rPr>
        <w:t>, howev</w:t>
      </w:r>
      <w:r w:rsidR="00020C63">
        <w:rPr>
          <w:sz w:val="26"/>
          <w:szCs w:val="26"/>
        </w:rPr>
        <w:t>er, we are of the opinion that it is time for the Peoples Companies</w:t>
      </w:r>
      <w:r w:rsidR="001A5BA1">
        <w:rPr>
          <w:sz w:val="26"/>
          <w:szCs w:val="26"/>
        </w:rPr>
        <w:t>’</w:t>
      </w:r>
      <w:r w:rsidR="00020C63">
        <w:rPr>
          <w:sz w:val="26"/>
          <w:szCs w:val="26"/>
        </w:rPr>
        <w:t xml:space="preserve"> Mitigation Plan to show positive results</w:t>
      </w:r>
      <w:r w:rsidR="00BB6F7A">
        <w:rPr>
          <w:sz w:val="26"/>
          <w:szCs w:val="26"/>
        </w:rPr>
        <w:t>.</w:t>
      </w:r>
    </w:p>
    <w:p w:rsidR="00A96FE4" w:rsidRDefault="00A96FE4" w:rsidP="00844225">
      <w:pPr>
        <w:widowControl/>
        <w:tabs>
          <w:tab w:val="left" w:pos="1445"/>
          <w:tab w:val="left" w:pos="4410"/>
          <w:tab w:val="left" w:pos="7920"/>
        </w:tabs>
        <w:autoSpaceDE w:val="0"/>
        <w:autoSpaceDN w:val="0"/>
        <w:adjustRightInd w:val="0"/>
        <w:spacing w:line="360" w:lineRule="auto"/>
        <w:ind w:firstLine="1440"/>
        <w:rPr>
          <w:sz w:val="26"/>
          <w:szCs w:val="26"/>
        </w:rPr>
      </w:pPr>
    </w:p>
    <w:p w:rsidR="00BB6F7A" w:rsidRDefault="00A96FE4" w:rsidP="00844225">
      <w:pPr>
        <w:widowControl/>
        <w:tabs>
          <w:tab w:val="left" w:pos="1445"/>
          <w:tab w:val="left" w:pos="4410"/>
          <w:tab w:val="left" w:pos="7920"/>
        </w:tabs>
        <w:autoSpaceDE w:val="0"/>
        <w:autoSpaceDN w:val="0"/>
        <w:adjustRightInd w:val="0"/>
        <w:spacing w:line="360" w:lineRule="auto"/>
        <w:ind w:firstLine="1440"/>
        <w:rPr>
          <w:sz w:val="26"/>
          <w:szCs w:val="26"/>
        </w:rPr>
      </w:pPr>
      <w:r w:rsidRPr="005279E0">
        <w:rPr>
          <w:sz w:val="26"/>
          <w:szCs w:val="26"/>
        </w:rPr>
        <w:t xml:space="preserve">The reasonableness of a mitigation measure depends on whether the measure was successful in reducing UFG, not whether such measures were carried out.  </w:t>
      </w:r>
      <w:r w:rsidR="00DA3D62" w:rsidRPr="005279E0">
        <w:rPr>
          <w:sz w:val="26"/>
          <w:szCs w:val="26"/>
        </w:rPr>
        <w:t>Nonetheless, in the instant proceeding, we are permitting the Company to recover its UFG costs despite the fact that its total UFG cost</w:t>
      </w:r>
      <w:r w:rsidR="00E4753D" w:rsidRPr="005279E0">
        <w:rPr>
          <w:sz w:val="26"/>
          <w:szCs w:val="26"/>
        </w:rPr>
        <w:t>s</w:t>
      </w:r>
      <w:r w:rsidR="00DA3D62" w:rsidRPr="005279E0">
        <w:rPr>
          <w:sz w:val="26"/>
          <w:szCs w:val="26"/>
        </w:rPr>
        <w:t xml:space="preserve"> ha</w:t>
      </w:r>
      <w:r w:rsidR="00E4753D" w:rsidRPr="005279E0">
        <w:rPr>
          <w:sz w:val="26"/>
          <w:szCs w:val="26"/>
        </w:rPr>
        <w:t>ve</w:t>
      </w:r>
      <w:r w:rsidR="00DA3D62" w:rsidRPr="005279E0">
        <w:rPr>
          <w:sz w:val="26"/>
          <w:szCs w:val="26"/>
        </w:rPr>
        <w:t xml:space="preserve"> increased from 2016 to 2017.  </w:t>
      </w:r>
      <w:r w:rsidR="00E4753D" w:rsidRPr="005279E0">
        <w:rPr>
          <w:sz w:val="26"/>
          <w:szCs w:val="26"/>
        </w:rPr>
        <w:t>We put the Company on notice, however, that if its</w:t>
      </w:r>
      <w:r w:rsidR="004710CB" w:rsidRPr="005279E0">
        <w:rPr>
          <w:sz w:val="26"/>
          <w:szCs w:val="26"/>
        </w:rPr>
        <w:t xml:space="preserve"> </w:t>
      </w:r>
      <w:r w:rsidR="004F0F95" w:rsidRPr="005279E0">
        <w:rPr>
          <w:sz w:val="26"/>
          <w:szCs w:val="26"/>
        </w:rPr>
        <w:t xml:space="preserve">reported </w:t>
      </w:r>
      <w:r w:rsidR="00C6564A" w:rsidRPr="005279E0">
        <w:rPr>
          <w:sz w:val="26"/>
          <w:szCs w:val="26"/>
        </w:rPr>
        <w:t xml:space="preserve">total </w:t>
      </w:r>
      <w:r w:rsidR="004710CB" w:rsidRPr="005279E0">
        <w:rPr>
          <w:sz w:val="26"/>
          <w:szCs w:val="26"/>
        </w:rPr>
        <w:t>UFG in next year</w:t>
      </w:r>
      <w:r w:rsidR="001A5BA1" w:rsidRPr="005279E0">
        <w:rPr>
          <w:sz w:val="26"/>
          <w:szCs w:val="26"/>
        </w:rPr>
        <w:t>’</w:t>
      </w:r>
      <w:r w:rsidR="004710CB" w:rsidRPr="005279E0">
        <w:rPr>
          <w:sz w:val="26"/>
          <w:szCs w:val="26"/>
        </w:rPr>
        <w:t>s Section 1307(f) proceeding</w:t>
      </w:r>
      <w:r w:rsidR="00E4753D" w:rsidRPr="005279E0">
        <w:rPr>
          <w:sz w:val="26"/>
          <w:szCs w:val="26"/>
        </w:rPr>
        <w:t xml:space="preserve"> (</w:t>
      </w:r>
      <w:r w:rsidR="004F0F95" w:rsidRPr="005279E0">
        <w:rPr>
          <w:i/>
          <w:sz w:val="26"/>
          <w:szCs w:val="26"/>
        </w:rPr>
        <w:t>i.e</w:t>
      </w:r>
      <w:r w:rsidR="0042357D" w:rsidRPr="005279E0">
        <w:rPr>
          <w:sz w:val="26"/>
          <w:szCs w:val="26"/>
        </w:rPr>
        <w:t>.</w:t>
      </w:r>
      <w:r w:rsidR="004F0F95" w:rsidRPr="005279E0">
        <w:rPr>
          <w:sz w:val="26"/>
          <w:szCs w:val="26"/>
        </w:rPr>
        <w:t>, for the twelve months ending August 31, 2018</w:t>
      </w:r>
      <w:r w:rsidR="00E4753D" w:rsidRPr="005279E0">
        <w:rPr>
          <w:sz w:val="26"/>
          <w:szCs w:val="26"/>
        </w:rPr>
        <w:t>) should</w:t>
      </w:r>
      <w:r w:rsidR="004710CB" w:rsidRPr="005279E0">
        <w:rPr>
          <w:sz w:val="26"/>
          <w:szCs w:val="26"/>
        </w:rPr>
        <w:t xml:space="preserve"> exceed the Company</w:t>
      </w:r>
      <w:r w:rsidR="001A5BA1" w:rsidRPr="005279E0">
        <w:rPr>
          <w:sz w:val="26"/>
          <w:szCs w:val="26"/>
        </w:rPr>
        <w:t>’</w:t>
      </w:r>
      <w:r w:rsidR="004710CB" w:rsidRPr="005279E0">
        <w:rPr>
          <w:sz w:val="26"/>
          <w:szCs w:val="26"/>
        </w:rPr>
        <w:t xml:space="preserve">s </w:t>
      </w:r>
      <w:r w:rsidR="004F0F95" w:rsidRPr="005279E0">
        <w:rPr>
          <w:sz w:val="26"/>
          <w:szCs w:val="26"/>
        </w:rPr>
        <w:t xml:space="preserve">total </w:t>
      </w:r>
      <w:r w:rsidR="00E4753D" w:rsidRPr="005279E0">
        <w:rPr>
          <w:sz w:val="26"/>
          <w:szCs w:val="26"/>
        </w:rPr>
        <w:t xml:space="preserve">6.8% </w:t>
      </w:r>
      <w:r w:rsidR="004710CB" w:rsidRPr="005279E0">
        <w:rPr>
          <w:sz w:val="26"/>
          <w:szCs w:val="26"/>
        </w:rPr>
        <w:t xml:space="preserve">UFG level </w:t>
      </w:r>
      <w:r w:rsidR="004F0F95" w:rsidRPr="005279E0">
        <w:rPr>
          <w:sz w:val="26"/>
          <w:szCs w:val="26"/>
        </w:rPr>
        <w:t xml:space="preserve">reported </w:t>
      </w:r>
      <w:r w:rsidR="004710CB" w:rsidRPr="005279E0">
        <w:rPr>
          <w:sz w:val="26"/>
          <w:szCs w:val="26"/>
        </w:rPr>
        <w:t xml:space="preserve">for the </w:t>
      </w:r>
      <w:r w:rsidR="004F0F95" w:rsidRPr="005279E0">
        <w:rPr>
          <w:sz w:val="26"/>
          <w:szCs w:val="26"/>
        </w:rPr>
        <w:t xml:space="preserve">twelve months ending August 31, 2017, </w:t>
      </w:r>
      <w:r w:rsidR="007226C7" w:rsidRPr="005279E0">
        <w:rPr>
          <w:sz w:val="26"/>
          <w:szCs w:val="26"/>
        </w:rPr>
        <w:t xml:space="preserve">we </w:t>
      </w:r>
      <w:r w:rsidR="0042357D" w:rsidRPr="005279E0">
        <w:rPr>
          <w:sz w:val="26"/>
          <w:szCs w:val="26"/>
        </w:rPr>
        <w:t xml:space="preserve">may consider </w:t>
      </w:r>
      <w:r w:rsidR="001F0BCD" w:rsidRPr="005279E0">
        <w:rPr>
          <w:sz w:val="26"/>
          <w:szCs w:val="26"/>
        </w:rPr>
        <w:t xml:space="preserve">disallowing the </w:t>
      </w:r>
      <w:r w:rsidR="004F0F95" w:rsidRPr="005279E0">
        <w:rPr>
          <w:sz w:val="26"/>
          <w:szCs w:val="26"/>
        </w:rPr>
        <w:t>recovery of the costs associated with the excess UFG, unless the Company could justify its failure in reducing UFG levels.</w:t>
      </w:r>
    </w:p>
    <w:p w:rsidR="00F63ADC" w:rsidRDefault="00F63ADC" w:rsidP="00844225">
      <w:pPr>
        <w:widowControl/>
        <w:spacing w:line="360" w:lineRule="auto"/>
        <w:rPr>
          <w:sz w:val="26"/>
          <w:szCs w:val="26"/>
        </w:rPr>
      </w:pPr>
    </w:p>
    <w:p w:rsidR="00FB1CA4" w:rsidRDefault="006F1362" w:rsidP="00844225">
      <w:pPr>
        <w:pStyle w:val="ListParagraph"/>
        <w:widowControl/>
        <w:tabs>
          <w:tab w:val="left" w:pos="1445"/>
          <w:tab w:val="left" w:pos="7920"/>
        </w:tabs>
        <w:autoSpaceDE w:val="0"/>
        <w:autoSpaceDN w:val="0"/>
        <w:adjustRightInd w:val="0"/>
        <w:spacing w:line="360" w:lineRule="auto"/>
        <w:ind w:left="0" w:firstLine="1440"/>
        <w:rPr>
          <w:sz w:val="26"/>
          <w:szCs w:val="26"/>
        </w:rPr>
      </w:pPr>
      <w:r>
        <w:rPr>
          <w:sz w:val="26"/>
          <w:szCs w:val="26"/>
        </w:rPr>
        <w:t>Before concluding this disposition, we note that our approval of the Company-</w:t>
      </w:r>
      <w:r w:rsidR="009E5459">
        <w:rPr>
          <w:sz w:val="26"/>
          <w:szCs w:val="26"/>
        </w:rPr>
        <w:t>proposed producer retainage charge</w:t>
      </w:r>
      <w:r>
        <w:rPr>
          <w:sz w:val="26"/>
          <w:szCs w:val="26"/>
        </w:rPr>
        <w:t xml:space="preserve"> is consistent with the ALJ’s </w:t>
      </w:r>
      <w:r w:rsidR="009E5459">
        <w:rPr>
          <w:sz w:val="26"/>
          <w:szCs w:val="26"/>
        </w:rPr>
        <w:t>conclusion that because the producers are also beneficiaries of Peoples Gas</w:t>
      </w:r>
      <w:r w:rsidR="001A5BA1">
        <w:rPr>
          <w:sz w:val="26"/>
          <w:szCs w:val="26"/>
        </w:rPr>
        <w:t>’</w:t>
      </w:r>
      <w:r w:rsidR="009E5459">
        <w:rPr>
          <w:sz w:val="26"/>
          <w:szCs w:val="26"/>
        </w:rPr>
        <w:t xml:space="preserve"> gathering system, it is only logical that they also contribute to the costs associated with the gathering system UFG.  R.D. at 76-78.  </w:t>
      </w:r>
      <w:r w:rsidR="00CD2A09">
        <w:rPr>
          <w:sz w:val="26"/>
          <w:szCs w:val="26"/>
        </w:rPr>
        <w:t>Currently</w:t>
      </w:r>
      <w:r w:rsidR="00AA3080">
        <w:rPr>
          <w:sz w:val="26"/>
          <w:szCs w:val="26"/>
        </w:rPr>
        <w:t xml:space="preserve"> </w:t>
      </w:r>
      <w:r w:rsidR="009E5459">
        <w:rPr>
          <w:sz w:val="26"/>
          <w:szCs w:val="26"/>
        </w:rPr>
        <w:t xml:space="preserve">only transportation and sales customers bear the burden </w:t>
      </w:r>
      <w:r w:rsidR="009E5459">
        <w:rPr>
          <w:sz w:val="26"/>
          <w:szCs w:val="26"/>
        </w:rPr>
        <w:lastRenderedPageBreak/>
        <w:t>of Peoples Gas</w:t>
      </w:r>
      <w:r w:rsidR="001A5BA1">
        <w:rPr>
          <w:sz w:val="26"/>
          <w:szCs w:val="26"/>
        </w:rPr>
        <w:t>’</w:t>
      </w:r>
      <w:r w:rsidR="009E5459">
        <w:rPr>
          <w:sz w:val="26"/>
          <w:szCs w:val="26"/>
        </w:rPr>
        <w:t xml:space="preserve"> gathering system UFG.  As beneficiaries of the gathering system, we believe it is fair </w:t>
      </w:r>
      <w:r>
        <w:rPr>
          <w:sz w:val="26"/>
          <w:szCs w:val="26"/>
        </w:rPr>
        <w:t xml:space="preserve">and in the public interest </w:t>
      </w:r>
      <w:r w:rsidR="009E5459">
        <w:rPr>
          <w:sz w:val="26"/>
          <w:szCs w:val="26"/>
        </w:rPr>
        <w:t>that the producers also contribute to the costs associated with the Company</w:t>
      </w:r>
      <w:r w:rsidR="001A5BA1">
        <w:rPr>
          <w:sz w:val="26"/>
          <w:szCs w:val="26"/>
        </w:rPr>
        <w:t>’</w:t>
      </w:r>
      <w:r w:rsidR="009E5459">
        <w:rPr>
          <w:sz w:val="26"/>
          <w:szCs w:val="26"/>
        </w:rPr>
        <w:t xml:space="preserve">s gathering system.  The record </w:t>
      </w:r>
      <w:r>
        <w:rPr>
          <w:sz w:val="26"/>
          <w:szCs w:val="26"/>
        </w:rPr>
        <w:t xml:space="preserve">in this proceeding is </w:t>
      </w:r>
      <w:r w:rsidR="009E5459">
        <w:rPr>
          <w:sz w:val="26"/>
          <w:szCs w:val="26"/>
        </w:rPr>
        <w:t xml:space="preserve">clear that the gathering system often provides the only way </w:t>
      </w:r>
      <w:r>
        <w:rPr>
          <w:sz w:val="26"/>
          <w:szCs w:val="26"/>
        </w:rPr>
        <w:t xml:space="preserve">that </w:t>
      </w:r>
      <w:r w:rsidR="009E5459">
        <w:rPr>
          <w:sz w:val="26"/>
          <w:szCs w:val="26"/>
        </w:rPr>
        <w:t xml:space="preserve">the producers </w:t>
      </w:r>
      <w:r>
        <w:rPr>
          <w:sz w:val="26"/>
          <w:szCs w:val="26"/>
        </w:rPr>
        <w:t xml:space="preserve">can </w:t>
      </w:r>
      <w:r w:rsidR="009E5459">
        <w:rPr>
          <w:sz w:val="26"/>
          <w:szCs w:val="26"/>
        </w:rPr>
        <w:t>move their gas to market.  It is also clear that the Equitable Division already has a gathering system retainage charge for producers, as shown in in Equitable Division Rate AGS.  We note that PIOGA</w:t>
      </w:r>
      <w:r w:rsidR="001A5BA1">
        <w:rPr>
          <w:sz w:val="26"/>
          <w:szCs w:val="26"/>
        </w:rPr>
        <w:t>’</w:t>
      </w:r>
      <w:r w:rsidR="009E5459">
        <w:rPr>
          <w:sz w:val="26"/>
          <w:szCs w:val="26"/>
        </w:rPr>
        <w:t xml:space="preserve">s witness testified, that without the proposed producer charge, producers have no incentive to </w:t>
      </w:r>
      <w:r w:rsidR="00FB1CA4">
        <w:rPr>
          <w:sz w:val="26"/>
          <w:szCs w:val="26"/>
        </w:rPr>
        <w:t xml:space="preserve">reduce UFG on </w:t>
      </w:r>
      <w:r w:rsidR="009E5459">
        <w:rPr>
          <w:sz w:val="26"/>
          <w:szCs w:val="26"/>
        </w:rPr>
        <w:t>Peoples Gas</w:t>
      </w:r>
      <w:r w:rsidR="00FB1CA4">
        <w:rPr>
          <w:sz w:val="26"/>
          <w:szCs w:val="26"/>
        </w:rPr>
        <w:t>’</w:t>
      </w:r>
      <w:r w:rsidR="009E5459">
        <w:rPr>
          <w:sz w:val="26"/>
          <w:szCs w:val="26"/>
        </w:rPr>
        <w:t xml:space="preserve"> gathering system.  Tr. at 92.  </w:t>
      </w:r>
      <w:r w:rsidR="00FB1CA4">
        <w:rPr>
          <w:sz w:val="26"/>
          <w:szCs w:val="26"/>
        </w:rPr>
        <w:t xml:space="preserve">Thus, we agree with the OCA that approval of </w:t>
      </w:r>
      <w:r w:rsidR="009E5459">
        <w:rPr>
          <w:sz w:val="26"/>
          <w:szCs w:val="26"/>
        </w:rPr>
        <w:t xml:space="preserve">the proposed charge </w:t>
      </w:r>
      <w:r w:rsidR="00FB1CA4">
        <w:rPr>
          <w:sz w:val="26"/>
          <w:szCs w:val="26"/>
        </w:rPr>
        <w:t xml:space="preserve">will </w:t>
      </w:r>
      <w:r w:rsidR="009E5459">
        <w:rPr>
          <w:sz w:val="26"/>
          <w:szCs w:val="26"/>
        </w:rPr>
        <w:t>begin the process of assigning responsibility for gathering UFG to those that benefit and/or use the gathering system</w:t>
      </w:r>
      <w:r w:rsidR="00FB1CA4">
        <w:rPr>
          <w:sz w:val="26"/>
          <w:szCs w:val="26"/>
        </w:rPr>
        <w:t xml:space="preserve"> and that this will r</w:t>
      </w:r>
      <w:r w:rsidR="009E5459">
        <w:rPr>
          <w:sz w:val="26"/>
          <w:szCs w:val="26"/>
        </w:rPr>
        <w:t xml:space="preserve">educe the losses </w:t>
      </w:r>
      <w:r w:rsidR="00FB1CA4">
        <w:rPr>
          <w:sz w:val="26"/>
          <w:szCs w:val="26"/>
        </w:rPr>
        <w:t xml:space="preserve">that otherwise would have been </w:t>
      </w:r>
      <w:r w:rsidR="009E5459">
        <w:rPr>
          <w:sz w:val="26"/>
          <w:szCs w:val="26"/>
        </w:rPr>
        <w:t xml:space="preserve">recovered from retail sales and transportation </w:t>
      </w:r>
      <w:r w:rsidR="009E5459" w:rsidRPr="00A22CDA">
        <w:rPr>
          <w:sz w:val="26"/>
          <w:szCs w:val="26"/>
        </w:rPr>
        <w:t>customers.  OCA St.</w:t>
      </w:r>
      <w:r w:rsidR="00A22CDA">
        <w:rPr>
          <w:sz w:val="26"/>
          <w:szCs w:val="26"/>
        </w:rPr>
        <w:t xml:space="preserve"> No. 1 at 8-9</w:t>
      </w:r>
      <w:r w:rsidR="009E5459" w:rsidRPr="00A22CDA">
        <w:rPr>
          <w:sz w:val="26"/>
          <w:szCs w:val="26"/>
        </w:rPr>
        <w:t>.</w:t>
      </w:r>
      <w:r w:rsidR="009E5459">
        <w:rPr>
          <w:sz w:val="26"/>
          <w:szCs w:val="26"/>
        </w:rPr>
        <w:t xml:space="preserve">  </w:t>
      </w:r>
    </w:p>
    <w:p w:rsidR="00FB1CA4" w:rsidRDefault="00FB1CA4" w:rsidP="00844225">
      <w:pPr>
        <w:pStyle w:val="ListParagraph"/>
        <w:widowControl/>
        <w:tabs>
          <w:tab w:val="left" w:pos="1445"/>
          <w:tab w:val="left" w:pos="7920"/>
        </w:tabs>
        <w:autoSpaceDE w:val="0"/>
        <w:autoSpaceDN w:val="0"/>
        <w:adjustRightInd w:val="0"/>
        <w:spacing w:line="360" w:lineRule="auto"/>
        <w:ind w:left="0" w:firstLine="1440"/>
        <w:rPr>
          <w:sz w:val="26"/>
          <w:szCs w:val="26"/>
        </w:rPr>
      </w:pPr>
    </w:p>
    <w:p w:rsidR="009E5459" w:rsidRDefault="00FB1CA4" w:rsidP="00844225">
      <w:pPr>
        <w:pStyle w:val="ListParagraph"/>
        <w:widowControl/>
        <w:tabs>
          <w:tab w:val="left" w:pos="1445"/>
          <w:tab w:val="left" w:pos="7920"/>
        </w:tabs>
        <w:autoSpaceDE w:val="0"/>
        <w:autoSpaceDN w:val="0"/>
        <w:adjustRightInd w:val="0"/>
        <w:spacing w:line="360" w:lineRule="auto"/>
        <w:ind w:left="0" w:firstLine="1440"/>
        <w:rPr>
          <w:sz w:val="26"/>
          <w:szCs w:val="26"/>
        </w:rPr>
      </w:pPr>
      <w:r>
        <w:rPr>
          <w:sz w:val="26"/>
          <w:szCs w:val="26"/>
        </w:rPr>
        <w:t xml:space="preserve">Therefore, in light of the foregoing discussion, we conclude that the ALJ appropriately determined that the 2.9% producer retainage charge proposed by Peoples Gas is just and reasonable.  </w:t>
      </w:r>
      <w:r w:rsidR="00193910">
        <w:rPr>
          <w:sz w:val="26"/>
          <w:szCs w:val="26"/>
        </w:rPr>
        <w:t xml:space="preserve">Accordingly, </w:t>
      </w:r>
      <w:r w:rsidR="009E5459">
        <w:rPr>
          <w:sz w:val="26"/>
          <w:szCs w:val="26"/>
        </w:rPr>
        <w:t>PIOGA</w:t>
      </w:r>
      <w:r w:rsidR="001A5BA1">
        <w:rPr>
          <w:sz w:val="26"/>
          <w:szCs w:val="26"/>
        </w:rPr>
        <w:t>’</w:t>
      </w:r>
      <w:r w:rsidR="009E5459">
        <w:rPr>
          <w:sz w:val="26"/>
          <w:szCs w:val="26"/>
        </w:rPr>
        <w:t>s Exception No. 1</w:t>
      </w:r>
      <w:r w:rsidR="00193910">
        <w:rPr>
          <w:sz w:val="26"/>
          <w:szCs w:val="26"/>
        </w:rPr>
        <w:t xml:space="preserve"> is denied</w:t>
      </w:r>
      <w:r w:rsidR="009E5459">
        <w:rPr>
          <w:sz w:val="26"/>
          <w:szCs w:val="26"/>
        </w:rPr>
        <w:t>.</w:t>
      </w:r>
    </w:p>
    <w:p w:rsidR="005169F1" w:rsidRPr="00470DD2" w:rsidRDefault="005169F1" w:rsidP="00844225">
      <w:pPr>
        <w:widowControl/>
        <w:spacing w:line="360" w:lineRule="auto"/>
        <w:rPr>
          <w:sz w:val="26"/>
          <w:szCs w:val="26"/>
        </w:rPr>
      </w:pPr>
    </w:p>
    <w:p w:rsidR="00CF4F5E" w:rsidRPr="00B17E13" w:rsidRDefault="00CF4F5E" w:rsidP="007226C7">
      <w:pPr>
        <w:pStyle w:val="Heading3"/>
        <w:keepNext/>
        <w:keepLines/>
        <w:numPr>
          <w:ilvl w:val="0"/>
          <w:numId w:val="14"/>
        </w:numPr>
        <w:ind w:left="1440" w:hanging="720"/>
      </w:pPr>
      <w:bookmarkStart w:id="30" w:name="_Toc524347688"/>
      <w:r w:rsidRPr="00B17E13">
        <w:t>PIOGA Exception No. 2</w:t>
      </w:r>
      <w:bookmarkEnd w:id="30"/>
      <w:r w:rsidR="00AA359F">
        <w:t>, Replies and Disposition</w:t>
      </w:r>
    </w:p>
    <w:p w:rsidR="00B17E13" w:rsidRPr="00B17E13" w:rsidRDefault="00B17E13" w:rsidP="007226C7">
      <w:pPr>
        <w:keepNext/>
        <w:keepLines/>
        <w:widowControl/>
        <w:spacing w:line="360" w:lineRule="auto"/>
        <w:rPr>
          <w:sz w:val="26"/>
          <w:szCs w:val="26"/>
        </w:rPr>
      </w:pPr>
    </w:p>
    <w:p w:rsidR="00B17E13" w:rsidRPr="00B17E13" w:rsidRDefault="000F7982" w:rsidP="00844225">
      <w:pPr>
        <w:widowControl/>
        <w:spacing w:line="360" w:lineRule="auto"/>
        <w:ind w:firstLine="1440"/>
        <w:rPr>
          <w:sz w:val="26"/>
          <w:szCs w:val="26"/>
        </w:rPr>
      </w:pPr>
      <w:r>
        <w:rPr>
          <w:sz w:val="26"/>
          <w:szCs w:val="26"/>
        </w:rPr>
        <w:t xml:space="preserve">In its Exception No. 2, </w:t>
      </w:r>
      <w:r w:rsidR="00B17E13" w:rsidRPr="00B17E13">
        <w:rPr>
          <w:sz w:val="26"/>
          <w:szCs w:val="26"/>
        </w:rPr>
        <w:t xml:space="preserve">PIOGA contends that </w:t>
      </w:r>
      <w:r w:rsidR="004713FE">
        <w:rPr>
          <w:sz w:val="26"/>
          <w:szCs w:val="26"/>
        </w:rPr>
        <w:t xml:space="preserve">the ALJ </w:t>
      </w:r>
      <w:r w:rsidR="001A5BA1">
        <w:rPr>
          <w:sz w:val="26"/>
          <w:szCs w:val="26"/>
        </w:rPr>
        <w:t>“</w:t>
      </w:r>
      <w:r w:rsidR="004713FE">
        <w:rPr>
          <w:sz w:val="26"/>
          <w:szCs w:val="26"/>
        </w:rPr>
        <w:t>misunderstood</w:t>
      </w:r>
      <w:r w:rsidR="001A5BA1">
        <w:rPr>
          <w:sz w:val="26"/>
          <w:szCs w:val="26"/>
        </w:rPr>
        <w:t>”</w:t>
      </w:r>
      <w:r w:rsidR="004713FE">
        <w:rPr>
          <w:sz w:val="26"/>
          <w:szCs w:val="26"/>
        </w:rPr>
        <w:t xml:space="preserve"> its argument that Peoples Gas did not provide </w:t>
      </w:r>
      <w:r w:rsidR="0042357D">
        <w:rPr>
          <w:sz w:val="26"/>
          <w:szCs w:val="26"/>
        </w:rPr>
        <w:t xml:space="preserve">an </w:t>
      </w:r>
      <w:r w:rsidR="004713FE">
        <w:rPr>
          <w:sz w:val="26"/>
          <w:szCs w:val="26"/>
        </w:rPr>
        <w:t xml:space="preserve">adequate explanation for why it is now changing course and proposing a producer retainage rate.  PIOGA asserts that the ALJ simply </w:t>
      </w:r>
      <w:r w:rsidR="00193910">
        <w:rPr>
          <w:sz w:val="26"/>
          <w:szCs w:val="26"/>
        </w:rPr>
        <w:t>addressed w</w:t>
      </w:r>
      <w:r w:rsidR="004713FE">
        <w:rPr>
          <w:sz w:val="26"/>
          <w:szCs w:val="26"/>
        </w:rPr>
        <w:t>hether past practice prohibited such a change now</w:t>
      </w:r>
      <w:r w:rsidR="00193910">
        <w:rPr>
          <w:sz w:val="26"/>
          <w:szCs w:val="26"/>
        </w:rPr>
        <w:t xml:space="preserve"> </w:t>
      </w:r>
      <w:r w:rsidR="004713FE">
        <w:rPr>
          <w:sz w:val="26"/>
          <w:szCs w:val="26"/>
        </w:rPr>
        <w:t xml:space="preserve">but </w:t>
      </w:r>
      <w:r w:rsidR="00193910">
        <w:rPr>
          <w:sz w:val="26"/>
          <w:szCs w:val="26"/>
        </w:rPr>
        <w:t xml:space="preserve">the ALJ did not address PIOGA’s argument that </w:t>
      </w:r>
      <w:r w:rsidR="004713FE">
        <w:rPr>
          <w:sz w:val="26"/>
          <w:szCs w:val="26"/>
        </w:rPr>
        <w:t xml:space="preserve">the Company did not provide sufficient support for its decision to </w:t>
      </w:r>
      <w:r w:rsidR="00193910">
        <w:rPr>
          <w:sz w:val="26"/>
          <w:szCs w:val="26"/>
        </w:rPr>
        <w:t>establish the proposed</w:t>
      </w:r>
      <w:r w:rsidR="004713FE">
        <w:rPr>
          <w:sz w:val="26"/>
          <w:szCs w:val="26"/>
        </w:rPr>
        <w:t xml:space="preserve"> producer retainage charge.  PIOGA Exc.at 7-8</w:t>
      </w:r>
      <w:r w:rsidR="000B665D">
        <w:rPr>
          <w:sz w:val="26"/>
          <w:szCs w:val="26"/>
        </w:rPr>
        <w:t>, citing R.D. at 66-67; Finding of Fact No. 54</w:t>
      </w:r>
      <w:r w:rsidR="00CB1F3C">
        <w:rPr>
          <w:sz w:val="26"/>
          <w:szCs w:val="26"/>
        </w:rPr>
        <w:t>; Conclusions of Law No. 28; Ordering Paragraph Nos. 2,4,7,8</w:t>
      </w:r>
      <w:r w:rsidR="004713FE">
        <w:rPr>
          <w:sz w:val="26"/>
          <w:szCs w:val="26"/>
        </w:rPr>
        <w:t xml:space="preserve">.  </w:t>
      </w:r>
      <w:r w:rsidR="00193910">
        <w:rPr>
          <w:sz w:val="26"/>
          <w:szCs w:val="26"/>
        </w:rPr>
        <w:t xml:space="preserve">In support of </w:t>
      </w:r>
      <w:r w:rsidR="000F49EB">
        <w:rPr>
          <w:sz w:val="26"/>
          <w:szCs w:val="26"/>
        </w:rPr>
        <w:t xml:space="preserve">this </w:t>
      </w:r>
      <w:r w:rsidR="00193910">
        <w:rPr>
          <w:sz w:val="26"/>
          <w:szCs w:val="26"/>
        </w:rPr>
        <w:t xml:space="preserve">Exception, </w:t>
      </w:r>
      <w:r w:rsidR="00B17E13" w:rsidRPr="00B17E13">
        <w:rPr>
          <w:sz w:val="26"/>
          <w:szCs w:val="26"/>
        </w:rPr>
        <w:t xml:space="preserve">PIOGA </w:t>
      </w:r>
      <w:r w:rsidR="000F49EB">
        <w:rPr>
          <w:sz w:val="26"/>
          <w:szCs w:val="26"/>
        </w:rPr>
        <w:t xml:space="preserve">asserts that in last year’s PGC proceeding, </w:t>
      </w:r>
      <w:r w:rsidR="00B17E13" w:rsidRPr="00B17E13">
        <w:rPr>
          <w:sz w:val="26"/>
          <w:szCs w:val="26"/>
        </w:rPr>
        <w:t>Peoples Natural Gas</w:t>
      </w:r>
      <w:r w:rsidR="001A5BA1">
        <w:rPr>
          <w:sz w:val="26"/>
          <w:szCs w:val="26"/>
        </w:rPr>
        <w:t>’</w:t>
      </w:r>
      <w:r w:rsidR="00B17E13" w:rsidRPr="00B17E13">
        <w:rPr>
          <w:sz w:val="26"/>
          <w:szCs w:val="26"/>
        </w:rPr>
        <w:t xml:space="preserve"> oppos</w:t>
      </w:r>
      <w:r w:rsidR="000F49EB">
        <w:rPr>
          <w:sz w:val="26"/>
          <w:szCs w:val="26"/>
        </w:rPr>
        <w:t>ed</w:t>
      </w:r>
      <w:r w:rsidR="00B17E13" w:rsidRPr="00B17E13">
        <w:rPr>
          <w:sz w:val="26"/>
          <w:szCs w:val="26"/>
        </w:rPr>
        <w:t xml:space="preserve"> the OCA</w:t>
      </w:r>
      <w:r w:rsidR="001A5BA1">
        <w:rPr>
          <w:sz w:val="26"/>
          <w:szCs w:val="26"/>
        </w:rPr>
        <w:t>’</w:t>
      </w:r>
      <w:r w:rsidR="00B17E13" w:rsidRPr="00B17E13">
        <w:rPr>
          <w:sz w:val="26"/>
          <w:szCs w:val="26"/>
        </w:rPr>
        <w:t xml:space="preserve">s proposal </w:t>
      </w:r>
      <w:r w:rsidR="000F49EB">
        <w:rPr>
          <w:sz w:val="26"/>
          <w:szCs w:val="26"/>
        </w:rPr>
        <w:t>that</w:t>
      </w:r>
      <w:r w:rsidR="00B17E13" w:rsidRPr="00B17E13">
        <w:rPr>
          <w:sz w:val="26"/>
          <w:szCs w:val="26"/>
        </w:rPr>
        <w:t xml:space="preserve"> would have instituted a separate gathering system retainage charge on tran</w:t>
      </w:r>
      <w:r w:rsidR="00B17E13">
        <w:rPr>
          <w:sz w:val="26"/>
          <w:szCs w:val="26"/>
        </w:rPr>
        <w:t>sportation customers</w:t>
      </w:r>
      <w:r w:rsidR="000F49EB">
        <w:rPr>
          <w:sz w:val="26"/>
          <w:szCs w:val="26"/>
        </w:rPr>
        <w:t xml:space="preserve"> similar to what </w:t>
      </w:r>
      <w:r w:rsidR="000F49EB">
        <w:rPr>
          <w:sz w:val="26"/>
          <w:szCs w:val="26"/>
        </w:rPr>
        <w:lastRenderedPageBreak/>
        <w:t>is now being proposed here</w:t>
      </w:r>
      <w:r w:rsidR="00B17E13">
        <w:rPr>
          <w:sz w:val="26"/>
          <w:szCs w:val="26"/>
        </w:rPr>
        <w:t xml:space="preserve">.  PIOGA Exc. at 8. </w:t>
      </w:r>
      <w:r w:rsidR="00B17E13" w:rsidRPr="00B17E13">
        <w:rPr>
          <w:sz w:val="26"/>
          <w:szCs w:val="26"/>
        </w:rPr>
        <w:t xml:space="preserve"> PIOGA also claims that the proposed producer retainage charge will not incent conventional gas producers to help reduce UFG on the gather</w:t>
      </w:r>
      <w:r w:rsidR="00B17E13">
        <w:rPr>
          <w:sz w:val="26"/>
          <w:szCs w:val="26"/>
        </w:rPr>
        <w:t>ing system.  PIOGA Exc. at 8-10.</w:t>
      </w:r>
    </w:p>
    <w:p w:rsidR="00CF4F5E" w:rsidRPr="00B17E13" w:rsidRDefault="00CF4F5E" w:rsidP="00844225">
      <w:pPr>
        <w:widowControl/>
        <w:spacing w:line="360" w:lineRule="auto"/>
        <w:rPr>
          <w:sz w:val="26"/>
          <w:szCs w:val="26"/>
        </w:rPr>
      </w:pPr>
    </w:p>
    <w:p w:rsidR="00CF4F5E" w:rsidRDefault="000F49EB" w:rsidP="00844225">
      <w:pPr>
        <w:widowControl/>
        <w:spacing w:line="360" w:lineRule="auto"/>
        <w:ind w:firstLine="1440"/>
        <w:rPr>
          <w:sz w:val="26"/>
          <w:szCs w:val="26"/>
        </w:rPr>
      </w:pPr>
      <w:r>
        <w:rPr>
          <w:sz w:val="26"/>
          <w:szCs w:val="26"/>
        </w:rPr>
        <w:t xml:space="preserve">Peoples Gas rejoins that </w:t>
      </w:r>
      <w:r w:rsidR="004626CE">
        <w:rPr>
          <w:sz w:val="26"/>
          <w:szCs w:val="26"/>
        </w:rPr>
        <w:t>contrary to PIOGA</w:t>
      </w:r>
      <w:r w:rsidR="001A5BA1">
        <w:rPr>
          <w:sz w:val="26"/>
          <w:szCs w:val="26"/>
        </w:rPr>
        <w:t>’</w:t>
      </w:r>
      <w:r w:rsidR="004626CE">
        <w:rPr>
          <w:sz w:val="26"/>
          <w:szCs w:val="26"/>
        </w:rPr>
        <w:t>s allegations, the ALJ fully understood PIOGA</w:t>
      </w:r>
      <w:r w:rsidR="001A5BA1">
        <w:rPr>
          <w:sz w:val="26"/>
          <w:szCs w:val="26"/>
        </w:rPr>
        <w:t>’</w:t>
      </w:r>
      <w:r w:rsidR="004626CE">
        <w:rPr>
          <w:sz w:val="26"/>
          <w:szCs w:val="26"/>
        </w:rPr>
        <w:t xml:space="preserve">s arguments and soundly rejected them.  </w:t>
      </w:r>
      <w:r>
        <w:rPr>
          <w:sz w:val="26"/>
          <w:szCs w:val="26"/>
        </w:rPr>
        <w:t xml:space="preserve">Peoples Gas submits that Section 1307(f) of the Code provides all parties an opportunity every year </w:t>
      </w:r>
      <w:r w:rsidR="00301B7C">
        <w:rPr>
          <w:sz w:val="26"/>
          <w:szCs w:val="26"/>
        </w:rPr>
        <w:t xml:space="preserve">to examine </w:t>
      </w:r>
      <w:r w:rsidR="00301B7C" w:rsidRPr="00301B7C">
        <w:rPr>
          <w:sz w:val="26"/>
          <w:szCs w:val="26"/>
        </w:rPr>
        <w:t>whether the PGC rates are just and reasonable and whether prospective changes are appropriate</w:t>
      </w:r>
      <w:r w:rsidR="00301B7C">
        <w:rPr>
          <w:sz w:val="26"/>
          <w:szCs w:val="26"/>
        </w:rPr>
        <w:t xml:space="preserve">.  </w:t>
      </w:r>
      <w:r>
        <w:rPr>
          <w:sz w:val="26"/>
          <w:szCs w:val="26"/>
        </w:rPr>
        <w:t>A</w:t>
      </w:r>
      <w:r w:rsidR="00301B7C">
        <w:rPr>
          <w:sz w:val="26"/>
          <w:szCs w:val="26"/>
        </w:rPr>
        <w:t xml:space="preserve">ccording to the Company, nothing prohibited any party, including the Company from proposing </w:t>
      </w:r>
      <w:r w:rsidR="00301B7C" w:rsidRPr="00301B7C">
        <w:rPr>
          <w:sz w:val="26"/>
          <w:szCs w:val="26"/>
        </w:rPr>
        <w:t>to partially unbundle the costs associated with gathering system UFG, even if different proposals to charge transportation providers directly and customers indirectly for gathering UFG were proposed by other parties in previous proceedings</w:t>
      </w:r>
      <w:r w:rsidR="00301B7C">
        <w:rPr>
          <w:sz w:val="26"/>
          <w:szCs w:val="26"/>
        </w:rPr>
        <w:t>.</w:t>
      </w:r>
      <w:r w:rsidR="0042357D">
        <w:rPr>
          <w:sz w:val="26"/>
          <w:szCs w:val="26"/>
        </w:rPr>
        <w:t xml:space="preserve">  Peoples Gas R. Exc. at 8.</w:t>
      </w:r>
    </w:p>
    <w:p w:rsidR="00022A78" w:rsidRDefault="00022A78" w:rsidP="00844225">
      <w:pPr>
        <w:widowControl/>
        <w:spacing w:line="360" w:lineRule="auto"/>
        <w:ind w:firstLine="1440"/>
        <w:rPr>
          <w:sz w:val="26"/>
          <w:szCs w:val="26"/>
        </w:rPr>
      </w:pPr>
    </w:p>
    <w:p w:rsidR="0061047A" w:rsidRDefault="0061047A" w:rsidP="00844225">
      <w:pPr>
        <w:widowControl/>
        <w:spacing w:line="360" w:lineRule="auto"/>
        <w:ind w:firstLine="1440"/>
        <w:rPr>
          <w:sz w:val="26"/>
          <w:szCs w:val="26"/>
        </w:rPr>
      </w:pPr>
      <w:r>
        <w:rPr>
          <w:sz w:val="26"/>
          <w:szCs w:val="26"/>
        </w:rPr>
        <w:t>Additionally, the Company submits that it provided substantial support for its decision to propose the producer retainage charge in this year</w:t>
      </w:r>
      <w:r w:rsidR="001A5BA1">
        <w:rPr>
          <w:sz w:val="26"/>
          <w:szCs w:val="26"/>
        </w:rPr>
        <w:t>’</w:t>
      </w:r>
      <w:r w:rsidR="00E66FB5">
        <w:rPr>
          <w:sz w:val="26"/>
          <w:szCs w:val="26"/>
        </w:rPr>
        <w:t xml:space="preserve">s proceeding.  The Company contends that to effectively implement its plans to reduce gathering UFG, </w:t>
      </w:r>
      <w:r w:rsidR="006421D0">
        <w:rPr>
          <w:sz w:val="26"/>
          <w:szCs w:val="26"/>
        </w:rPr>
        <w:t xml:space="preserve">it undertook an </w:t>
      </w:r>
      <w:r>
        <w:rPr>
          <w:sz w:val="26"/>
          <w:szCs w:val="26"/>
        </w:rPr>
        <w:t xml:space="preserve">in-depth, comprehensive analysis of ways in which to reduce gathering system UFG, </w:t>
      </w:r>
      <w:r w:rsidR="006421D0">
        <w:rPr>
          <w:sz w:val="26"/>
          <w:szCs w:val="26"/>
        </w:rPr>
        <w:t xml:space="preserve">developed </w:t>
      </w:r>
      <w:r>
        <w:rPr>
          <w:sz w:val="26"/>
          <w:szCs w:val="26"/>
        </w:rPr>
        <w:t>the UFG Mitigation Plan, and committ</w:t>
      </w:r>
      <w:r w:rsidR="006421D0">
        <w:rPr>
          <w:sz w:val="26"/>
          <w:szCs w:val="26"/>
        </w:rPr>
        <w:t>ed</w:t>
      </w:r>
      <w:r>
        <w:rPr>
          <w:sz w:val="26"/>
          <w:szCs w:val="26"/>
        </w:rPr>
        <w:t xml:space="preserve"> to invest substantial capital </w:t>
      </w:r>
      <w:r w:rsidR="00E66FB5">
        <w:rPr>
          <w:sz w:val="26"/>
          <w:szCs w:val="26"/>
        </w:rPr>
        <w:t>in its gathering infrastructure</w:t>
      </w:r>
      <w:r w:rsidR="006421D0">
        <w:rPr>
          <w:sz w:val="26"/>
          <w:szCs w:val="26"/>
        </w:rPr>
        <w:t>.  Notwithstanding these measures</w:t>
      </w:r>
      <w:r w:rsidR="00E66FB5">
        <w:rPr>
          <w:sz w:val="26"/>
          <w:szCs w:val="26"/>
        </w:rPr>
        <w:t xml:space="preserve">, </w:t>
      </w:r>
      <w:r w:rsidR="006421D0">
        <w:rPr>
          <w:sz w:val="26"/>
          <w:szCs w:val="26"/>
        </w:rPr>
        <w:t>the Company asserts that the</w:t>
      </w:r>
      <w:r w:rsidR="00E66FB5">
        <w:rPr>
          <w:sz w:val="26"/>
          <w:szCs w:val="26"/>
        </w:rPr>
        <w:t xml:space="preserve"> conventional producers </w:t>
      </w:r>
      <w:r w:rsidR="006421D0">
        <w:rPr>
          <w:sz w:val="26"/>
          <w:szCs w:val="26"/>
        </w:rPr>
        <w:t xml:space="preserve">also </w:t>
      </w:r>
      <w:r w:rsidR="00E66FB5">
        <w:rPr>
          <w:sz w:val="26"/>
          <w:szCs w:val="26"/>
        </w:rPr>
        <w:t>need to be part of the solution</w:t>
      </w:r>
      <w:r w:rsidR="006421D0">
        <w:rPr>
          <w:sz w:val="26"/>
          <w:szCs w:val="26"/>
        </w:rPr>
        <w:t xml:space="preserve"> that would </w:t>
      </w:r>
      <w:r w:rsidR="00E66FB5">
        <w:rPr>
          <w:sz w:val="26"/>
          <w:szCs w:val="26"/>
        </w:rPr>
        <w:t>include paying some of the costs of gathering UFG to incent them to help reduce that UFG.  Peoples Gas R. Exc. at 8-9.</w:t>
      </w:r>
    </w:p>
    <w:p w:rsidR="00E66FB5" w:rsidRDefault="00E66FB5" w:rsidP="00844225">
      <w:pPr>
        <w:widowControl/>
        <w:spacing w:line="360" w:lineRule="auto"/>
        <w:ind w:firstLine="1440"/>
        <w:rPr>
          <w:sz w:val="26"/>
          <w:szCs w:val="26"/>
        </w:rPr>
      </w:pPr>
    </w:p>
    <w:p w:rsidR="00C441B9" w:rsidRPr="00761109" w:rsidRDefault="00F229CD" w:rsidP="00844225">
      <w:pPr>
        <w:widowControl/>
        <w:spacing w:line="360" w:lineRule="auto"/>
        <w:ind w:firstLine="1440"/>
        <w:rPr>
          <w:sz w:val="26"/>
          <w:szCs w:val="26"/>
        </w:rPr>
      </w:pPr>
      <w:r>
        <w:rPr>
          <w:sz w:val="26"/>
          <w:szCs w:val="26"/>
        </w:rPr>
        <w:t xml:space="preserve">Next, Peoples Gas </w:t>
      </w:r>
      <w:r w:rsidR="005E4A18">
        <w:rPr>
          <w:sz w:val="26"/>
          <w:szCs w:val="26"/>
        </w:rPr>
        <w:t>contends that</w:t>
      </w:r>
      <w:r>
        <w:rPr>
          <w:sz w:val="26"/>
          <w:szCs w:val="26"/>
        </w:rPr>
        <w:t xml:space="preserve"> PIOGA </w:t>
      </w:r>
      <w:r w:rsidR="006421D0">
        <w:rPr>
          <w:sz w:val="26"/>
          <w:szCs w:val="26"/>
        </w:rPr>
        <w:t>i</w:t>
      </w:r>
      <w:r>
        <w:rPr>
          <w:sz w:val="26"/>
          <w:szCs w:val="26"/>
        </w:rPr>
        <w:t xml:space="preserve">ncorrectly asserted that the proposed producer retainage charge will not incent producers to help reduce gathering system UFG.  </w:t>
      </w:r>
      <w:r w:rsidR="00C441B9">
        <w:rPr>
          <w:sz w:val="26"/>
          <w:szCs w:val="26"/>
        </w:rPr>
        <w:t xml:space="preserve">The Company </w:t>
      </w:r>
      <w:r w:rsidR="001C31A9">
        <w:rPr>
          <w:sz w:val="26"/>
          <w:szCs w:val="26"/>
        </w:rPr>
        <w:t>avers</w:t>
      </w:r>
      <w:r w:rsidR="00C441B9">
        <w:rPr>
          <w:sz w:val="26"/>
          <w:szCs w:val="26"/>
        </w:rPr>
        <w:t xml:space="preserve"> that </w:t>
      </w:r>
      <w:r w:rsidR="00C441B9" w:rsidRPr="00C441B9">
        <w:rPr>
          <w:sz w:val="26"/>
          <w:szCs w:val="26"/>
        </w:rPr>
        <w:t>PIOGA</w:t>
      </w:r>
      <w:r w:rsidR="001A5BA1">
        <w:rPr>
          <w:sz w:val="26"/>
          <w:szCs w:val="26"/>
        </w:rPr>
        <w:t>’</w:t>
      </w:r>
      <w:r w:rsidR="00C441B9" w:rsidRPr="00C441B9">
        <w:rPr>
          <w:sz w:val="26"/>
          <w:szCs w:val="26"/>
        </w:rPr>
        <w:t>s own witness testified that absent the proposed producer retainage charge being imposed, conventional producers have no incentive to help reduc</w:t>
      </w:r>
      <w:r w:rsidR="00C441B9">
        <w:rPr>
          <w:sz w:val="26"/>
          <w:szCs w:val="26"/>
        </w:rPr>
        <w:t xml:space="preserve">e UFG on the gathering system.  Peoples Gas R.B. at 7; Tr. at 92. </w:t>
      </w:r>
      <w:r w:rsidR="00C441B9" w:rsidRPr="00C441B9">
        <w:rPr>
          <w:sz w:val="26"/>
          <w:szCs w:val="26"/>
        </w:rPr>
        <w:t xml:space="preserve"> </w:t>
      </w:r>
      <w:r w:rsidR="00C441B9" w:rsidRPr="00C441B9">
        <w:rPr>
          <w:sz w:val="26"/>
          <w:szCs w:val="26"/>
        </w:rPr>
        <w:lastRenderedPageBreak/>
        <w:t>By imposing the producer retainage charge, however, conventional gas producers have a financial stake in reducing the Company</w:t>
      </w:r>
      <w:r w:rsidR="001A5BA1">
        <w:rPr>
          <w:sz w:val="26"/>
          <w:szCs w:val="26"/>
        </w:rPr>
        <w:t>’</w:t>
      </w:r>
      <w:r w:rsidR="00C441B9" w:rsidRPr="00C441B9">
        <w:rPr>
          <w:sz w:val="26"/>
          <w:szCs w:val="26"/>
        </w:rPr>
        <w:t xml:space="preserve">s gathering system UFG level. </w:t>
      </w:r>
      <w:r w:rsidR="00C441B9">
        <w:rPr>
          <w:sz w:val="26"/>
          <w:szCs w:val="26"/>
        </w:rPr>
        <w:t xml:space="preserve"> </w:t>
      </w:r>
      <w:r w:rsidR="00C441B9" w:rsidRPr="00C441B9">
        <w:rPr>
          <w:sz w:val="26"/>
          <w:szCs w:val="26"/>
        </w:rPr>
        <w:t xml:space="preserve">Conventional producers must have a financial stake in addressing this issue, or they will continue doing nothing to help reduce gathering system </w:t>
      </w:r>
      <w:r w:rsidR="00C441B9">
        <w:rPr>
          <w:sz w:val="26"/>
          <w:szCs w:val="26"/>
        </w:rPr>
        <w:t xml:space="preserve">UFG.  Peoples Gas R. Exc. at 9 </w:t>
      </w:r>
      <w:r w:rsidR="0042357D">
        <w:rPr>
          <w:sz w:val="26"/>
          <w:szCs w:val="26"/>
        </w:rPr>
        <w:t>(</w:t>
      </w:r>
      <w:r w:rsidR="00C441B9">
        <w:rPr>
          <w:sz w:val="26"/>
          <w:szCs w:val="26"/>
        </w:rPr>
        <w:t>citing Peoples Gas R.B. at 7</w:t>
      </w:r>
      <w:r w:rsidR="0042357D">
        <w:rPr>
          <w:sz w:val="26"/>
          <w:szCs w:val="26"/>
        </w:rPr>
        <w:t>)</w:t>
      </w:r>
      <w:r w:rsidR="00C441B9">
        <w:rPr>
          <w:sz w:val="26"/>
          <w:szCs w:val="26"/>
        </w:rPr>
        <w:t xml:space="preserve">.  </w:t>
      </w:r>
      <w:r w:rsidR="006421D0">
        <w:rPr>
          <w:sz w:val="26"/>
          <w:szCs w:val="26"/>
        </w:rPr>
        <w:t>In response</w:t>
      </w:r>
      <w:r w:rsidR="00761109">
        <w:rPr>
          <w:sz w:val="26"/>
          <w:szCs w:val="26"/>
        </w:rPr>
        <w:t xml:space="preserve"> to </w:t>
      </w:r>
      <w:r w:rsidR="00C441B9">
        <w:rPr>
          <w:sz w:val="26"/>
          <w:szCs w:val="26"/>
        </w:rPr>
        <w:t>PIOGA</w:t>
      </w:r>
      <w:r w:rsidR="001A5BA1">
        <w:rPr>
          <w:sz w:val="26"/>
          <w:szCs w:val="26"/>
        </w:rPr>
        <w:t>’</w:t>
      </w:r>
      <w:r w:rsidR="00C441B9">
        <w:rPr>
          <w:sz w:val="26"/>
          <w:szCs w:val="26"/>
        </w:rPr>
        <w:t>s claims</w:t>
      </w:r>
      <w:r w:rsidR="00C441B9" w:rsidRPr="00C441B9">
        <w:rPr>
          <w:sz w:val="26"/>
          <w:szCs w:val="26"/>
        </w:rPr>
        <w:t xml:space="preserve"> that the Peoples Companies</w:t>
      </w:r>
      <w:r w:rsidR="001A5BA1">
        <w:rPr>
          <w:sz w:val="26"/>
          <w:szCs w:val="26"/>
        </w:rPr>
        <w:t>’</w:t>
      </w:r>
      <w:r w:rsidR="00C441B9" w:rsidRPr="00C441B9">
        <w:rPr>
          <w:sz w:val="26"/>
          <w:szCs w:val="26"/>
        </w:rPr>
        <w:t xml:space="preserve"> experience with the Goodwin and Tombaugh systems demonstrate that incentivizing producers with a gathering r</w:t>
      </w:r>
      <w:r w:rsidR="00C441B9">
        <w:rPr>
          <w:sz w:val="26"/>
          <w:szCs w:val="26"/>
        </w:rPr>
        <w:t>etainage charge does not work</w:t>
      </w:r>
      <w:r w:rsidR="00761109">
        <w:rPr>
          <w:sz w:val="26"/>
          <w:szCs w:val="26"/>
        </w:rPr>
        <w:t xml:space="preserve">, </w:t>
      </w:r>
      <w:r w:rsidR="00C441B9">
        <w:rPr>
          <w:sz w:val="26"/>
          <w:szCs w:val="26"/>
        </w:rPr>
        <w:t>PIOGA Exc. at</w:t>
      </w:r>
      <w:r w:rsidR="001C31A9">
        <w:rPr>
          <w:sz w:val="26"/>
          <w:szCs w:val="26"/>
        </w:rPr>
        <w:t> </w:t>
      </w:r>
      <w:r w:rsidR="00C441B9">
        <w:rPr>
          <w:sz w:val="26"/>
          <w:szCs w:val="26"/>
        </w:rPr>
        <w:t>8</w:t>
      </w:r>
      <w:r w:rsidR="00C441B9">
        <w:rPr>
          <w:sz w:val="26"/>
          <w:szCs w:val="26"/>
        </w:rPr>
        <w:softHyphen/>
        <w:t>9</w:t>
      </w:r>
      <w:r w:rsidR="00761109">
        <w:rPr>
          <w:sz w:val="26"/>
          <w:szCs w:val="26"/>
        </w:rPr>
        <w:t xml:space="preserve">, Peoples Gas points out that </w:t>
      </w:r>
      <w:r w:rsidR="00C441B9" w:rsidRPr="00C441B9">
        <w:rPr>
          <w:sz w:val="26"/>
          <w:szCs w:val="26"/>
        </w:rPr>
        <w:t>the Peoples Companies</w:t>
      </w:r>
      <w:r w:rsidR="001A5BA1">
        <w:rPr>
          <w:sz w:val="26"/>
          <w:szCs w:val="26"/>
        </w:rPr>
        <w:t>’</w:t>
      </w:r>
      <w:r w:rsidR="00C441B9" w:rsidRPr="00C441B9">
        <w:rPr>
          <w:sz w:val="26"/>
          <w:szCs w:val="26"/>
        </w:rPr>
        <w:t xml:space="preserve"> witness Ms. Petrichevich </w:t>
      </w:r>
      <w:r w:rsidR="00761109">
        <w:rPr>
          <w:sz w:val="26"/>
          <w:szCs w:val="26"/>
        </w:rPr>
        <w:t xml:space="preserve">addressed this issue when she </w:t>
      </w:r>
      <w:r w:rsidR="00C441B9" w:rsidRPr="00C441B9">
        <w:rPr>
          <w:sz w:val="26"/>
          <w:szCs w:val="26"/>
        </w:rPr>
        <w:t>explained</w:t>
      </w:r>
      <w:r w:rsidR="00761109">
        <w:rPr>
          <w:sz w:val="26"/>
          <w:szCs w:val="26"/>
        </w:rPr>
        <w:t xml:space="preserve"> that </w:t>
      </w:r>
      <w:r w:rsidR="00C441B9" w:rsidRPr="00C441B9">
        <w:rPr>
          <w:sz w:val="26"/>
          <w:szCs w:val="26"/>
        </w:rPr>
        <w:t>the Peoples Companies</w:t>
      </w:r>
      <w:r w:rsidR="001A5BA1">
        <w:rPr>
          <w:sz w:val="26"/>
          <w:szCs w:val="26"/>
        </w:rPr>
        <w:t>’</w:t>
      </w:r>
      <w:r w:rsidR="00C441B9" w:rsidRPr="00C441B9">
        <w:rPr>
          <w:sz w:val="26"/>
          <w:szCs w:val="26"/>
        </w:rPr>
        <w:t xml:space="preserve"> parent, PNG Companies LLC, is in the midst of analyzing these two systems, and thus has not yet implemented a proposal to</w:t>
      </w:r>
      <w:r w:rsidR="00C441B9">
        <w:rPr>
          <w:sz w:val="26"/>
          <w:szCs w:val="26"/>
        </w:rPr>
        <w:t xml:space="preserve"> address UFG on those systems. </w:t>
      </w:r>
      <w:r w:rsidR="00231E04">
        <w:rPr>
          <w:sz w:val="26"/>
          <w:szCs w:val="26"/>
        </w:rPr>
        <w:t xml:space="preserve"> Peoples Gas R. Exc. at 9</w:t>
      </w:r>
      <w:r w:rsidR="0042357D">
        <w:rPr>
          <w:sz w:val="26"/>
          <w:szCs w:val="26"/>
        </w:rPr>
        <w:t>;</w:t>
      </w:r>
      <w:r w:rsidR="00231E04">
        <w:rPr>
          <w:sz w:val="26"/>
          <w:szCs w:val="26"/>
        </w:rPr>
        <w:t xml:space="preserve"> </w:t>
      </w:r>
      <w:r w:rsidR="0042357D" w:rsidRPr="00C441B9">
        <w:rPr>
          <w:sz w:val="26"/>
          <w:szCs w:val="26"/>
        </w:rPr>
        <w:t xml:space="preserve">Peoples Gas </w:t>
      </w:r>
      <w:r w:rsidR="0042357D">
        <w:rPr>
          <w:sz w:val="26"/>
          <w:szCs w:val="26"/>
        </w:rPr>
        <w:t>St. No. 1-SR at 4.</w:t>
      </w:r>
    </w:p>
    <w:p w:rsidR="00E66FB5" w:rsidRDefault="00E66FB5" w:rsidP="00844225">
      <w:pPr>
        <w:widowControl/>
        <w:spacing w:line="360" w:lineRule="auto"/>
        <w:ind w:firstLine="1440"/>
        <w:rPr>
          <w:sz w:val="26"/>
          <w:szCs w:val="26"/>
        </w:rPr>
      </w:pPr>
    </w:p>
    <w:p w:rsidR="00022A78" w:rsidRPr="00B17E13" w:rsidRDefault="006211EA" w:rsidP="00844225">
      <w:pPr>
        <w:widowControl/>
        <w:spacing w:line="360" w:lineRule="auto"/>
        <w:ind w:firstLine="1440"/>
        <w:rPr>
          <w:sz w:val="26"/>
          <w:szCs w:val="26"/>
        </w:rPr>
      </w:pPr>
      <w:r>
        <w:rPr>
          <w:sz w:val="26"/>
          <w:szCs w:val="26"/>
        </w:rPr>
        <w:t>Peoples Gas</w:t>
      </w:r>
      <w:r w:rsidR="001A5BA1">
        <w:rPr>
          <w:sz w:val="26"/>
          <w:szCs w:val="26"/>
        </w:rPr>
        <w:t>’</w:t>
      </w:r>
      <w:r>
        <w:rPr>
          <w:sz w:val="26"/>
          <w:szCs w:val="26"/>
        </w:rPr>
        <w:t xml:space="preserve"> final </w:t>
      </w:r>
      <w:r w:rsidR="00761109">
        <w:rPr>
          <w:sz w:val="26"/>
          <w:szCs w:val="26"/>
        </w:rPr>
        <w:t xml:space="preserve">response to </w:t>
      </w:r>
      <w:r>
        <w:rPr>
          <w:sz w:val="26"/>
          <w:szCs w:val="26"/>
        </w:rPr>
        <w:t>PIOGA</w:t>
      </w:r>
      <w:r w:rsidR="001A5BA1">
        <w:rPr>
          <w:sz w:val="26"/>
          <w:szCs w:val="26"/>
        </w:rPr>
        <w:t>’</w:t>
      </w:r>
      <w:r>
        <w:rPr>
          <w:sz w:val="26"/>
          <w:szCs w:val="26"/>
        </w:rPr>
        <w:t xml:space="preserve">s Exception No. 2, addresses </w:t>
      </w:r>
      <w:r w:rsidRPr="006211EA">
        <w:rPr>
          <w:sz w:val="26"/>
          <w:szCs w:val="26"/>
        </w:rPr>
        <w:t>PIOGA</w:t>
      </w:r>
      <w:r w:rsidR="001A5BA1">
        <w:rPr>
          <w:sz w:val="26"/>
          <w:szCs w:val="26"/>
        </w:rPr>
        <w:t>’</w:t>
      </w:r>
      <w:r w:rsidRPr="006211EA">
        <w:rPr>
          <w:sz w:val="26"/>
          <w:szCs w:val="26"/>
        </w:rPr>
        <w:t xml:space="preserve">s claim that </w:t>
      </w:r>
      <w:bookmarkStart w:id="31" w:name="_Hlk524468776"/>
      <w:r w:rsidRPr="006211EA">
        <w:rPr>
          <w:sz w:val="26"/>
          <w:szCs w:val="26"/>
        </w:rPr>
        <w:t xml:space="preserve">eliminating </w:t>
      </w:r>
      <w:r w:rsidR="001A5BA1">
        <w:rPr>
          <w:sz w:val="26"/>
          <w:szCs w:val="26"/>
        </w:rPr>
        <w:t>“</w:t>
      </w:r>
      <w:r w:rsidRPr="006211EA">
        <w:rPr>
          <w:sz w:val="26"/>
          <w:szCs w:val="26"/>
        </w:rPr>
        <w:t>gathering fees</w:t>
      </w:r>
      <w:r w:rsidR="001A5BA1">
        <w:rPr>
          <w:sz w:val="26"/>
          <w:szCs w:val="26"/>
        </w:rPr>
        <w:t>”</w:t>
      </w:r>
      <w:r w:rsidRPr="006211EA">
        <w:rPr>
          <w:sz w:val="26"/>
          <w:szCs w:val="26"/>
        </w:rPr>
        <w:t xml:space="preserve"> and </w:t>
      </w:r>
      <w:r w:rsidR="001A5BA1">
        <w:rPr>
          <w:sz w:val="26"/>
          <w:szCs w:val="26"/>
        </w:rPr>
        <w:t>“</w:t>
      </w:r>
      <w:r w:rsidRPr="006211EA">
        <w:rPr>
          <w:sz w:val="26"/>
          <w:szCs w:val="26"/>
        </w:rPr>
        <w:t>production enhancement fees</w:t>
      </w:r>
      <w:r w:rsidR="001A5BA1">
        <w:rPr>
          <w:sz w:val="26"/>
          <w:szCs w:val="26"/>
        </w:rPr>
        <w:t>”</w:t>
      </w:r>
      <w:r w:rsidRPr="006211EA">
        <w:rPr>
          <w:sz w:val="26"/>
          <w:szCs w:val="26"/>
        </w:rPr>
        <w:t xml:space="preserve"> </w:t>
      </w:r>
      <w:bookmarkEnd w:id="31"/>
      <w:r w:rsidRPr="006211EA">
        <w:rPr>
          <w:sz w:val="26"/>
          <w:szCs w:val="26"/>
        </w:rPr>
        <w:t>would be more of an incentive to producers</w:t>
      </w:r>
      <w:r>
        <w:rPr>
          <w:sz w:val="26"/>
          <w:szCs w:val="26"/>
        </w:rPr>
        <w:t xml:space="preserve"> and would expand conventional gas production.  The Company asserts that PIOGA</w:t>
      </w:r>
      <w:r w:rsidR="001A5BA1">
        <w:rPr>
          <w:sz w:val="26"/>
          <w:szCs w:val="26"/>
        </w:rPr>
        <w:t>’</w:t>
      </w:r>
      <w:r>
        <w:rPr>
          <w:sz w:val="26"/>
          <w:szCs w:val="26"/>
        </w:rPr>
        <w:t xml:space="preserve">s claims concerning its proposal are unfounded and completely fail to explain how the proposal </w:t>
      </w:r>
      <w:r w:rsidR="00761109">
        <w:rPr>
          <w:sz w:val="26"/>
          <w:szCs w:val="26"/>
        </w:rPr>
        <w:t xml:space="preserve">of </w:t>
      </w:r>
      <w:r w:rsidR="00761109" w:rsidRPr="006211EA">
        <w:rPr>
          <w:sz w:val="26"/>
          <w:szCs w:val="26"/>
        </w:rPr>
        <w:t xml:space="preserve">eliminating </w:t>
      </w:r>
      <w:r w:rsidR="00761109">
        <w:rPr>
          <w:sz w:val="26"/>
          <w:szCs w:val="26"/>
        </w:rPr>
        <w:t>“</w:t>
      </w:r>
      <w:r w:rsidR="00761109" w:rsidRPr="006211EA">
        <w:rPr>
          <w:sz w:val="26"/>
          <w:szCs w:val="26"/>
        </w:rPr>
        <w:t>gathering fees</w:t>
      </w:r>
      <w:r w:rsidR="00761109">
        <w:rPr>
          <w:sz w:val="26"/>
          <w:szCs w:val="26"/>
        </w:rPr>
        <w:t>”</w:t>
      </w:r>
      <w:r w:rsidR="00761109" w:rsidRPr="006211EA">
        <w:rPr>
          <w:sz w:val="26"/>
          <w:szCs w:val="26"/>
        </w:rPr>
        <w:t xml:space="preserve"> and </w:t>
      </w:r>
      <w:r w:rsidR="00761109">
        <w:rPr>
          <w:sz w:val="26"/>
          <w:szCs w:val="26"/>
        </w:rPr>
        <w:t>“</w:t>
      </w:r>
      <w:r w:rsidR="00761109" w:rsidRPr="006211EA">
        <w:rPr>
          <w:sz w:val="26"/>
          <w:szCs w:val="26"/>
        </w:rPr>
        <w:t>production enhancement fees</w:t>
      </w:r>
      <w:r w:rsidR="00761109">
        <w:rPr>
          <w:sz w:val="26"/>
          <w:szCs w:val="26"/>
        </w:rPr>
        <w:t>”</w:t>
      </w:r>
      <w:r w:rsidR="00761109" w:rsidRPr="006211EA">
        <w:rPr>
          <w:sz w:val="26"/>
          <w:szCs w:val="26"/>
        </w:rPr>
        <w:t xml:space="preserve"> </w:t>
      </w:r>
      <w:r>
        <w:rPr>
          <w:sz w:val="26"/>
          <w:szCs w:val="26"/>
        </w:rPr>
        <w:t xml:space="preserve">would reduce UFG on the gathering system.  Peoples </w:t>
      </w:r>
      <w:r w:rsidR="00761109">
        <w:rPr>
          <w:sz w:val="26"/>
          <w:szCs w:val="26"/>
        </w:rPr>
        <w:t>G</w:t>
      </w:r>
      <w:r>
        <w:rPr>
          <w:sz w:val="26"/>
          <w:szCs w:val="26"/>
        </w:rPr>
        <w:t>as states that PIOGA</w:t>
      </w:r>
      <w:r w:rsidR="001A5BA1">
        <w:rPr>
          <w:sz w:val="26"/>
          <w:szCs w:val="26"/>
        </w:rPr>
        <w:t>’</w:t>
      </w:r>
      <w:r>
        <w:rPr>
          <w:sz w:val="26"/>
          <w:szCs w:val="26"/>
        </w:rPr>
        <w:t>s proposal would only decrease existing costs of conventional gas producers</w:t>
      </w:r>
      <w:r w:rsidR="00AD040B">
        <w:rPr>
          <w:sz w:val="26"/>
          <w:szCs w:val="26"/>
        </w:rPr>
        <w:t xml:space="preserve">, who, according to the Company, should not be given a special break as compared to other sources of production, such as Marcellus wells or potentially interstate supplies, especially when other supplies place the cost of UFG on the producers.  Peoples Gas R. Exc. at 9-10 </w:t>
      </w:r>
      <w:r w:rsidR="0042357D">
        <w:rPr>
          <w:sz w:val="26"/>
          <w:szCs w:val="26"/>
        </w:rPr>
        <w:t>(</w:t>
      </w:r>
      <w:r w:rsidR="00AD040B">
        <w:rPr>
          <w:sz w:val="26"/>
          <w:szCs w:val="26"/>
        </w:rPr>
        <w:t>citing Peoples Gas St. No. 5-R at</w:t>
      </w:r>
      <w:r w:rsidR="001C31A9">
        <w:rPr>
          <w:sz w:val="26"/>
          <w:szCs w:val="26"/>
        </w:rPr>
        <w:t> </w:t>
      </w:r>
      <w:r w:rsidR="00AD040B">
        <w:rPr>
          <w:sz w:val="26"/>
          <w:szCs w:val="26"/>
        </w:rPr>
        <w:t>24</w:t>
      </w:r>
      <w:r w:rsidR="0042357D">
        <w:rPr>
          <w:sz w:val="26"/>
          <w:szCs w:val="26"/>
        </w:rPr>
        <w:t>)</w:t>
      </w:r>
      <w:r w:rsidR="00AD040B">
        <w:rPr>
          <w:sz w:val="26"/>
          <w:szCs w:val="26"/>
        </w:rPr>
        <w:t>.</w:t>
      </w:r>
    </w:p>
    <w:p w:rsidR="0006387D" w:rsidRDefault="0006387D" w:rsidP="00844225">
      <w:pPr>
        <w:widowControl/>
        <w:spacing w:line="360" w:lineRule="auto"/>
        <w:rPr>
          <w:sz w:val="26"/>
          <w:szCs w:val="26"/>
        </w:rPr>
      </w:pPr>
    </w:p>
    <w:p w:rsidR="0006387D" w:rsidRDefault="00C64E12" w:rsidP="00844225">
      <w:pPr>
        <w:widowControl/>
        <w:spacing w:line="360" w:lineRule="auto"/>
        <w:ind w:firstLine="1440"/>
        <w:rPr>
          <w:i/>
          <w:sz w:val="26"/>
          <w:szCs w:val="26"/>
        </w:rPr>
      </w:pPr>
      <w:r>
        <w:rPr>
          <w:sz w:val="26"/>
          <w:szCs w:val="26"/>
        </w:rPr>
        <w:t xml:space="preserve">In its Replies to Exceptions, the OSBA </w:t>
      </w:r>
      <w:r w:rsidR="00761109">
        <w:rPr>
          <w:sz w:val="26"/>
          <w:szCs w:val="26"/>
        </w:rPr>
        <w:t xml:space="preserve">also </w:t>
      </w:r>
      <w:r>
        <w:rPr>
          <w:sz w:val="26"/>
          <w:szCs w:val="26"/>
        </w:rPr>
        <w:t>submits that the ALJ did not misunderstand PIOGA</w:t>
      </w:r>
      <w:r w:rsidR="001A5BA1">
        <w:rPr>
          <w:sz w:val="26"/>
          <w:szCs w:val="26"/>
        </w:rPr>
        <w:t>’</w:t>
      </w:r>
      <w:r>
        <w:rPr>
          <w:sz w:val="26"/>
          <w:szCs w:val="26"/>
        </w:rPr>
        <w:t>s argument, but rather considered and rejected it.  The OSBA asserts that the ALJ explicitly accepted Peoples Gas</w:t>
      </w:r>
      <w:r w:rsidR="001A5BA1">
        <w:rPr>
          <w:sz w:val="26"/>
          <w:szCs w:val="26"/>
        </w:rPr>
        <w:t>’</w:t>
      </w:r>
      <w:r>
        <w:rPr>
          <w:sz w:val="26"/>
          <w:szCs w:val="26"/>
        </w:rPr>
        <w:t xml:space="preserve"> justification for this new proposal, namely that conventional gas producers have no incentive to reduce ever increasing UFG on the gathering system absent the producer retainage charge.  OSBA R. Exc. at 4.  The </w:t>
      </w:r>
      <w:r>
        <w:rPr>
          <w:sz w:val="26"/>
          <w:szCs w:val="26"/>
        </w:rPr>
        <w:lastRenderedPageBreak/>
        <w:t xml:space="preserve">OSBA notes that with increasing levels of UFG, despite mitigation efforts, it is reasonable for the ALJ to conclude that increasing incentives to help reduce UFG is desirable and supports </w:t>
      </w:r>
      <w:r w:rsidR="00742FC0">
        <w:rPr>
          <w:sz w:val="26"/>
          <w:szCs w:val="26"/>
        </w:rPr>
        <w:t xml:space="preserve">approval of a producer retainage charge.  </w:t>
      </w:r>
      <w:r w:rsidR="00742FC0" w:rsidRPr="00742FC0">
        <w:rPr>
          <w:i/>
          <w:sz w:val="26"/>
          <w:szCs w:val="26"/>
        </w:rPr>
        <w:t>Id.</w:t>
      </w:r>
    </w:p>
    <w:p w:rsidR="00731DA8" w:rsidRDefault="00731DA8" w:rsidP="00844225">
      <w:pPr>
        <w:widowControl/>
        <w:spacing w:line="360" w:lineRule="auto"/>
        <w:ind w:firstLine="1440"/>
        <w:rPr>
          <w:sz w:val="26"/>
          <w:szCs w:val="26"/>
        </w:rPr>
      </w:pPr>
    </w:p>
    <w:p w:rsidR="002278F6" w:rsidRPr="00A2066B" w:rsidRDefault="002278F6" w:rsidP="001C31A9">
      <w:pPr>
        <w:pStyle w:val="Heading4"/>
        <w:keepNext/>
        <w:keepLines/>
        <w:numPr>
          <w:ilvl w:val="0"/>
          <w:numId w:val="17"/>
        </w:numPr>
        <w:ind w:left="2160" w:hanging="720"/>
      </w:pPr>
      <w:r>
        <w:t>Disposition</w:t>
      </w:r>
    </w:p>
    <w:p w:rsidR="002278F6" w:rsidRDefault="002278F6" w:rsidP="001C31A9">
      <w:pPr>
        <w:keepNext/>
        <w:keepLines/>
        <w:widowControl/>
        <w:spacing w:line="360" w:lineRule="auto"/>
        <w:ind w:firstLine="1440"/>
        <w:rPr>
          <w:sz w:val="26"/>
          <w:szCs w:val="26"/>
        </w:rPr>
      </w:pPr>
    </w:p>
    <w:p w:rsidR="007157FC" w:rsidRDefault="006152FE" w:rsidP="00844225">
      <w:pPr>
        <w:widowControl/>
        <w:spacing w:line="360" w:lineRule="auto"/>
        <w:ind w:firstLine="1440"/>
        <w:rPr>
          <w:sz w:val="26"/>
          <w:szCs w:val="26"/>
        </w:rPr>
      </w:pPr>
      <w:r>
        <w:rPr>
          <w:sz w:val="26"/>
          <w:szCs w:val="26"/>
        </w:rPr>
        <w:t>We shall</w:t>
      </w:r>
      <w:r w:rsidR="002278F6">
        <w:rPr>
          <w:sz w:val="26"/>
          <w:szCs w:val="26"/>
        </w:rPr>
        <w:t xml:space="preserve"> deny PIOGA</w:t>
      </w:r>
      <w:r w:rsidR="001A5BA1">
        <w:rPr>
          <w:sz w:val="26"/>
          <w:szCs w:val="26"/>
        </w:rPr>
        <w:t>’</w:t>
      </w:r>
      <w:r w:rsidR="002278F6">
        <w:rPr>
          <w:sz w:val="26"/>
          <w:szCs w:val="26"/>
        </w:rPr>
        <w:t xml:space="preserve">s Exception No. 2.  </w:t>
      </w:r>
      <w:r w:rsidR="00CD2A09">
        <w:rPr>
          <w:sz w:val="26"/>
          <w:szCs w:val="26"/>
        </w:rPr>
        <w:t>Based on</w:t>
      </w:r>
      <w:r w:rsidR="002278F6">
        <w:rPr>
          <w:sz w:val="26"/>
          <w:szCs w:val="26"/>
        </w:rPr>
        <w:t xml:space="preserve"> the</w:t>
      </w:r>
      <w:r w:rsidR="002278F6" w:rsidRPr="008104F5">
        <w:rPr>
          <w:sz w:val="26"/>
          <w:szCs w:val="26"/>
        </w:rPr>
        <w:t xml:space="preserve"> record, we </w:t>
      </w:r>
      <w:r w:rsidR="00761109">
        <w:rPr>
          <w:sz w:val="26"/>
          <w:szCs w:val="26"/>
        </w:rPr>
        <w:t xml:space="preserve">conclude that the ALJ adequately </w:t>
      </w:r>
      <w:r w:rsidR="00C30FB1">
        <w:rPr>
          <w:sz w:val="26"/>
          <w:szCs w:val="26"/>
        </w:rPr>
        <w:t>considered the argument</w:t>
      </w:r>
      <w:r w:rsidR="007157FC">
        <w:rPr>
          <w:sz w:val="26"/>
          <w:szCs w:val="26"/>
        </w:rPr>
        <w:t xml:space="preserve">s of all Parties on this issue.  Based on our review of the record, we conclude that </w:t>
      </w:r>
      <w:r w:rsidR="002278F6">
        <w:rPr>
          <w:sz w:val="26"/>
          <w:szCs w:val="26"/>
        </w:rPr>
        <w:t>the evidence presented b</w:t>
      </w:r>
      <w:r w:rsidR="00C30FB1">
        <w:rPr>
          <w:sz w:val="26"/>
          <w:szCs w:val="26"/>
        </w:rPr>
        <w:t xml:space="preserve">y the Company outweighs </w:t>
      </w:r>
      <w:r w:rsidR="007157FC">
        <w:rPr>
          <w:sz w:val="26"/>
          <w:szCs w:val="26"/>
        </w:rPr>
        <w:t xml:space="preserve">the evidence presented by </w:t>
      </w:r>
      <w:r w:rsidR="00C30FB1">
        <w:rPr>
          <w:sz w:val="26"/>
          <w:szCs w:val="26"/>
        </w:rPr>
        <w:t>PIOGA</w:t>
      </w:r>
      <w:r w:rsidR="007157FC">
        <w:rPr>
          <w:sz w:val="26"/>
          <w:szCs w:val="26"/>
        </w:rPr>
        <w:t>.</w:t>
      </w:r>
      <w:r w:rsidR="00C30FB1">
        <w:rPr>
          <w:sz w:val="26"/>
          <w:szCs w:val="26"/>
        </w:rPr>
        <w:t xml:space="preserve">  </w:t>
      </w:r>
    </w:p>
    <w:p w:rsidR="007157FC" w:rsidRDefault="007157FC" w:rsidP="00844225">
      <w:pPr>
        <w:widowControl/>
        <w:spacing w:line="360" w:lineRule="auto"/>
        <w:ind w:firstLine="1440"/>
        <w:rPr>
          <w:sz w:val="26"/>
          <w:szCs w:val="26"/>
        </w:rPr>
      </w:pPr>
    </w:p>
    <w:p w:rsidR="00C81EE8" w:rsidRDefault="007157FC" w:rsidP="00844225">
      <w:pPr>
        <w:widowControl/>
        <w:spacing w:line="360" w:lineRule="auto"/>
        <w:ind w:firstLine="1440"/>
        <w:rPr>
          <w:sz w:val="26"/>
          <w:szCs w:val="26"/>
        </w:rPr>
      </w:pPr>
      <w:r>
        <w:rPr>
          <w:sz w:val="26"/>
          <w:szCs w:val="26"/>
        </w:rPr>
        <w:t xml:space="preserve">With regard to </w:t>
      </w:r>
      <w:r w:rsidR="00C30FB1">
        <w:rPr>
          <w:sz w:val="26"/>
          <w:szCs w:val="26"/>
        </w:rPr>
        <w:t>PIOGA</w:t>
      </w:r>
      <w:r>
        <w:rPr>
          <w:sz w:val="26"/>
          <w:szCs w:val="26"/>
        </w:rPr>
        <w:t>’s</w:t>
      </w:r>
      <w:r w:rsidR="00C30FB1">
        <w:rPr>
          <w:sz w:val="26"/>
          <w:szCs w:val="26"/>
        </w:rPr>
        <w:t xml:space="preserve"> </w:t>
      </w:r>
      <w:r>
        <w:rPr>
          <w:sz w:val="26"/>
          <w:szCs w:val="26"/>
        </w:rPr>
        <w:t xml:space="preserve">argument that </w:t>
      </w:r>
      <w:r w:rsidR="00C30FB1">
        <w:rPr>
          <w:sz w:val="26"/>
          <w:szCs w:val="26"/>
        </w:rPr>
        <w:t>Peoples Natural Gas opposed</w:t>
      </w:r>
      <w:r w:rsidR="0016481A">
        <w:rPr>
          <w:sz w:val="26"/>
          <w:szCs w:val="26"/>
        </w:rPr>
        <w:t xml:space="preserve"> the OCA</w:t>
      </w:r>
      <w:r w:rsidR="001A5BA1">
        <w:rPr>
          <w:sz w:val="26"/>
          <w:szCs w:val="26"/>
        </w:rPr>
        <w:t>’</w:t>
      </w:r>
      <w:r w:rsidR="00C30FB1" w:rsidRPr="00B17E13">
        <w:rPr>
          <w:sz w:val="26"/>
          <w:szCs w:val="26"/>
        </w:rPr>
        <w:t>s proposa</w:t>
      </w:r>
      <w:r w:rsidR="00C30FB1">
        <w:rPr>
          <w:sz w:val="26"/>
          <w:szCs w:val="26"/>
        </w:rPr>
        <w:t>l in last year</w:t>
      </w:r>
      <w:r w:rsidR="001A5BA1">
        <w:rPr>
          <w:sz w:val="26"/>
          <w:szCs w:val="26"/>
        </w:rPr>
        <w:t>’</w:t>
      </w:r>
      <w:r w:rsidR="00C30FB1">
        <w:rPr>
          <w:sz w:val="26"/>
          <w:szCs w:val="26"/>
        </w:rPr>
        <w:t>s PGC proceeding</w:t>
      </w:r>
      <w:r>
        <w:rPr>
          <w:sz w:val="26"/>
          <w:szCs w:val="26"/>
        </w:rPr>
        <w:t xml:space="preserve"> that</w:t>
      </w:r>
      <w:r w:rsidRPr="00B17E13">
        <w:rPr>
          <w:sz w:val="26"/>
          <w:szCs w:val="26"/>
        </w:rPr>
        <w:t xml:space="preserve"> would have instituted a separate gathering system retainage charge on tran</w:t>
      </w:r>
      <w:r>
        <w:rPr>
          <w:sz w:val="26"/>
          <w:szCs w:val="26"/>
        </w:rPr>
        <w:t>sportation customers similar to what is now being proposed here</w:t>
      </w:r>
      <w:r w:rsidR="00C30FB1">
        <w:rPr>
          <w:sz w:val="26"/>
          <w:szCs w:val="26"/>
        </w:rPr>
        <w:t xml:space="preserve">.  </w:t>
      </w:r>
      <w:r w:rsidR="00083580">
        <w:rPr>
          <w:sz w:val="26"/>
          <w:szCs w:val="26"/>
        </w:rPr>
        <w:t>Our review of the record indicates that t</w:t>
      </w:r>
      <w:r w:rsidR="0042357D">
        <w:rPr>
          <w:sz w:val="26"/>
          <w:szCs w:val="26"/>
        </w:rPr>
        <w:t xml:space="preserve">he </w:t>
      </w:r>
      <w:r w:rsidR="00C30FB1">
        <w:rPr>
          <w:sz w:val="26"/>
          <w:szCs w:val="26"/>
        </w:rPr>
        <w:t>OCA</w:t>
      </w:r>
      <w:r w:rsidR="001A5BA1">
        <w:rPr>
          <w:sz w:val="26"/>
          <w:szCs w:val="26"/>
        </w:rPr>
        <w:t>’</w:t>
      </w:r>
      <w:r w:rsidR="00C30FB1">
        <w:rPr>
          <w:sz w:val="26"/>
          <w:szCs w:val="26"/>
        </w:rPr>
        <w:t>s proposal in the previous PGC proceeding was similar</w:t>
      </w:r>
      <w:r w:rsidR="00824CB3">
        <w:rPr>
          <w:sz w:val="26"/>
          <w:szCs w:val="26"/>
        </w:rPr>
        <w:t xml:space="preserve"> to</w:t>
      </w:r>
      <w:r w:rsidR="00C30FB1">
        <w:rPr>
          <w:sz w:val="26"/>
          <w:szCs w:val="26"/>
        </w:rPr>
        <w:t xml:space="preserve"> the Company</w:t>
      </w:r>
      <w:r w:rsidR="001A5BA1">
        <w:rPr>
          <w:sz w:val="26"/>
          <w:szCs w:val="26"/>
        </w:rPr>
        <w:t>’</w:t>
      </w:r>
      <w:r w:rsidR="00C30FB1">
        <w:rPr>
          <w:sz w:val="26"/>
          <w:szCs w:val="26"/>
        </w:rPr>
        <w:t xml:space="preserve">s proposal in the present proceeding, in that both attempt to partially unbundle the integrated cost allocation on the system and reassign responsibility for UFG on the gathering system.  </w:t>
      </w:r>
      <w:r w:rsidR="008A1FB6">
        <w:rPr>
          <w:sz w:val="26"/>
          <w:szCs w:val="26"/>
        </w:rPr>
        <w:t>However, the Company</w:t>
      </w:r>
      <w:r w:rsidR="001A5BA1">
        <w:rPr>
          <w:sz w:val="26"/>
          <w:szCs w:val="26"/>
        </w:rPr>
        <w:t>’</w:t>
      </w:r>
      <w:r w:rsidR="008A1FB6">
        <w:rPr>
          <w:sz w:val="26"/>
          <w:szCs w:val="26"/>
        </w:rPr>
        <w:t xml:space="preserve">s proposal in the instant proceeding is both different than that proposed by </w:t>
      </w:r>
      <w:r>
        <w:rPr>
          <w:sz w:val="26"/>
          <w:szCs w:val="26"/>
        </w:rPr>
        <w:t xml:space="preserve">the </w:t>
      </w:r>
      <w:r w:rsidR="008A1FB6">
        <w:rPr>
          <w:sz w:val="26"/>
          <w:szCs w:val="26"/>
        </w:rPr>
        <w:t>OCA and based on information that was not available until recently.</w:t>
      </w:r>
    </w:p>
    <w:p w:rsidR="00C81EE8" w:rsidRDefault="00C81EE8" w:rsidP="00844225">
      <w:pPr>
        <w:widowControl/>
        <w:spacing w:line="360" w:lineRule="auto"/>
        <w:ind w:firstLine="1440"/>
        <w:rPr>
          <w:sz w:val="26"/>
          <w:szCs w:val="26"/>
        </w:rPr>
      </w:pPr>
    </w:p>
    <w:p w:rsidR="009C7A5A" w:rsidRDefault="00C81EE8" w:rsidP="00844225">
      <w:pPr>
        <w:widowControl/>
        <w:spacing w:line="360" w:lineRule="auto"/>
        <w:ind w:firstLine="1440"/>
        <w:rPr>
          <w:sz w:val="26"/>
          <w:szCs w:val="26"/>
        </w:rPr>
      </w:pPr>
      <w:r>
        <w:rPr>
          <w:sz w:val="26"/>
          <w:szCs w:val="26"/>
        </w:rPr>
        <w:t>The OCA</w:t>
      </w:r>
      <w:r w:rsidR="001A5BA1">
        <w:rPr>
          <w:sz w:val="26"/>
          <w:szCs w:val="26"/>
        </w:rPr>
        <w:t>’</w:t>
      </w:r>
      <w:r>
        <w:rPr>
          <w:sz w:val="26"/>
          <w:szCs w:val="26"/>
        </w:rPr>
        <w:t>s proposal, referenced by PIOGA, was an attempt to assign responsibility for UFG on the gathering system to only those transportation customers who use the gas delivered through the gathering system by adopting separate</w:t>
      </w:r>
      <w:r w:rsidR="00A54A85">
        <w:rPr>
          <w:sz w:val="26"/>
          <w:szCs w:val="26"/>
        </w:rPr>
        <w:t xml:space="preserve"> retainage charges for</w:t>
      </w:r>
      <w:r>
        <w:rPr>
          <w:sz w:val="26"/>
          <w:szCs w:val="26"/>
        </w:rPr>
        <w:t xml:space="preserve"> distribution and gathering systems.  </w:t>
      </w:r>
      <w:r w:rsidR="00F65160">
        <w:rPr>
          <w:sz w:val="26"/>
          <w:szCs w:val="26"/>
        </w:rPr>
        <w:t xml:space="preserve">Peoples Natural Gas opposed </w:t>
      </w:r>
      <w:r w:rsidR="0042357D">
        <w:rPr>
          <w:sz w:val="26"/>
          <w:szCs w:val="26"/>
        </w:rPr>
        <w:t xml:space="preserve">the </w:t>
      </w:r>
      <w:r w:rsidR="00F65160">
        <w:rPr>
          <w:sz w:val="26"/>
          <w:szCs w:val="26"/>
        </w:rPr>
        <w:t>OCA</w:t>
      </w:r>
      <w:r w:rsidR="001A5BA1">
        <w:rPr>
          <w:sz w:val="26"/>
          <w:szCs w:val="26"/>
        </w:rPr>
        <w:t>’</w:t>
      </w:r>
      <w:r w:rsidR="00F65160">
        <w:rPr>
          <w:sz w:val="26"/>
          <w:szCs w:val="26"/>
        </w:rPr>
        <w:t>s proposal based on its belief that</w:t>
      </w:r>
      <w:r w:rsidR="009C7A5A">
        <w:rPr>
          <w:sz w:val="26"/>
          <w:szCs w:val="26"/>
        </w:rPr>
        <w:t xml:space="preserve"> the assessment of an unbundled gathering system retainage rate to transportation customers would potentially create some practical and fairness issues </w:t>
      </w:r>
      <w:r w:rsidR="00CD2A09">
        <w:rPr>
          <w:sz w:val="26"/>
          <w:szCs w:val="26"/>
        </w:rPr>
        <w:t>because of</w:t>
      </w:r>
      <w:r w:rsidR="009C7A5A">
        <w:rPr>
          <w:sz w:val="26"/>
          <w:szCs w:val="26"/>
        </w:rPr>
        <w:t xml:space="preserve"> the integrated nature of its gathering system:</w:t>
      </w:r>
    </w:p>
    <w:p w:rsidR="00F65160" w:rsidRDefault="00F65160" w:rsidP="00844225">
      <w:pPr>
        <w:widowControl/>
        <w:spacing w:line="360" w:lineRule="auto"/>
        <w:ind w:firstLine="1440"/>
        <w:rPr>
          <w:sz w:val="26"/>
          <w:szCs w:val="26"/>
        </w:rPr>
      </w:pPr>
    </w:p>
    <w:p w:rsidR="00F65160" w:rsidRDefault="00CF7360" w:rsidP="00844225">
      <w:pPr>
        <w:widowControl/>
        <w:ind w:left="1440" w:right="1440"/>
        <w:rPr>
          <w:sz w:val="26"/>
          <w:szCs w:val="26"/>
        </w:rPr>
      </w:pPr>
      <w:r w:rsidRPr="00CF7360">
        <w:rPr>
          <w:sz w:val="26"/>
          <w:szCs w:val="26"/>
        </w:rPr>
        <w:lastRenderedPageBreak/>
        <w:t>Gas does not flow</w:t>
      </w:r>
      <w:r>
        <w:rPr>
          <w:sz w:val="26"/>
          <w:szCs w:val="26"/>
        </w:rPr>
        <w:t xml:space="preserve"> </w:t>
      </w:r>
      <w:r w:rsidRPr="00CF7360">
        <w:rPr>
          <w:sz w:val="26"/>
          <w:szCs w:val="26"/>
        </w:rPr>
        <w:t>from the gatherin</w:t>
      </w:r>
      <w:r>
        <w:rPr>
          <w:sz w:val="26"/>
          <w:szCs w:val="26"/>
        </w:rPr>
        <w:t xml:space="preserve">g system to a limited number of </w:t>
      </w:r>
      <w:r w:rsidRPr="00CF7360">
        <w:rPr>
          <w:sz w:val="26"/>
          <w:szCs w:val="26"/>
        </w:rPr>
        <w:t>interconnection points with the</w:t>
      </w:r>
      <w:r>
        <w:rPr>
          <w:sz w:val="26"/>
          <w:szCs w:val="26"/>
        </w:rPr>
        <w:t xml:space="preserve"> </w:t>
      </w:r>
      <w:r w:rsidRPr="00CF7360">
        <w:rPr>
          <w:sz w:val="26"/>
          <w:szCs w:val="26"/>
        </w:rPr>
        <w:t>Peoples system; rather, gas in the gathering system is already in the Peoples</w:t>
      </w:r>
      <w:r>
        <w:rPr>
          <w:sz w:val="26"/>
          <w:szCs w:val="26"/>
        </w:rPr>
        <w:t xml:space="preserve"> </w:t>
      </w:r>
      <w:r w:rsidRPr="00CF7360">
        <w:rPr>
          <w:sz w:val="26"/>
          <w:szCs w:val="26"/>
        </w:rPr>
        <w:t xml:space="preserve">system. </w:t>
      </w:r>
      <w:r>
        <w:rPr>
          <w:sz w:val="26"/>
          <w:szCs w:val="26"/>
        </w:rPr>
        <w:t xml:space="preserve"> </w:t>
      </w:r>
      <w:r w:rsidRPr="00CF7360">
        <w:rPr>
          <w:sz w:val="26"/>
          <w:szCs w:val="26"/>
        </w:rPr>
        <w:t>The gathering system is integrated with the distribution system and</w:t>
      </w:r>
      <w:r>
        <w:rPr>
          <w:sz w:val="26"/>
          <w:szCs w:val="26"/>
        </w:rPr>
        <w:t xml:space="preserve"> </w:t>
      </w:r>
      <w:r w:rsidRPr="00CF7360">
        <w:rPr>
          <w:sz w:val="26"/>
          <w:szCs w:val="26"/>
        </w:rPr>
        <w:t>serves all customers who use the integrated system.</w:t>
      </w:r>
    </w:p>
    <w:p w:rsidR="004A086F" w:rsidRDefault="004A086F" w:rsidP="00844225">
      <w:pPr>
        <w:widowControl/>
        <w:ind w:left="1440" w:right="1440"/>
        <w:rPr>
          <w:sz w:val="26"/>
          <w:szCs w:val="26"/>
        </w:rPr>
      </w:pPr>
    </w:p>
    <w:p w:rsidR="004A086F" w:rsidRDefault="004A086F" w:rsidP="00844225">
      <w:pPr>
        <w:widowControl/>
        <w:ind w:left="1440" w:right="1440"/>
        <w:rPr>
          <w:sz w:val="26"/>
          <w:szCs w:val="26"/>
        </w:rPr>
      </w:pPr>
      <w:r w:rsidRPr="004A086F">
        <w:rPr>
          <w:sz w:val="26"/>
          <w:szCs w:val="26"/>
        </w:rPr>
        <w:t>As long as the Company has h</w:t>
      </w:r>
      <w:r>
        <w:rPr>
          <w:sz w:val="26"/>
          <w:szCs w:val="26"/>
        </w:rPr>
        <w:t xml:space="preserve">ad a transportation program, it </w:t>
      </w:r>
      <w:r w:rsidRPr="004A086F">
        <w:rPr>
          <w:sz w:val="26"/>
          <w:szCs w:val="26"/>
        </w:rPr>
        <w:t>has charged</w:t>
      </w:r>
      <w:r>
        <w:rPr>
          <w:sz w:val="26"/>
          <w:szCs w:val="26"/>
        </w:rPr>
        <w:t xml:space="preserve"> </w:t>
      </w:r>
      <w:r w:rsidRPr="004A086F">
        <w:rPr>
          <w:sz w:val="26"/>
          <w:szCs w:val="26"/>
        </w:rPr>
        <w:t>a single retainage rate to transportation customers, regardless of where the</w:t>
      </w:r>
      <w:r>
        <w:rPr>
          <w:sz w:val="26"/>
          <w:szCs w:val="26"/>
        </w:rPr>
        <w:t xml:space="preserve"> </w:t>
      </w:r>
      <w:r w:rsidRPr="004A086F">
        <w:rPr>
          <w:sz w:val="26"/>
          <w:szCs w:val="26"/>
        </w:rPr>
        <w:t>transportation customers source their gas.</w:t>
      </w:r>
      <w:r>
        <w:rPr>
          <w:sz w:val="26"/>
          <w:szCs w:val="26"/>
        </w:rPr>
        <w:t xml:space="preserve"> </w:t>
      </w:r>
      <w:r w:rsidRPr="004A086F">
        <w:rPr>
          <w:sz w:val="26"/>
          <w:szCs w:val="26"/>
        </w:rPr>
        <w:t xml:space="preserve"> This is consistent with the</w:t>
      </w:r>
      <w:r>
        <w:rPr>
          <w:sz w:val="26"/>
          <w:szCs w:val="26"/>
        </w:rPr>
        <w:t xml:space="preserve"> </w:t>
      </w:r>
      <w:r w:rsidRPr="004A086F">
        <w:rPr>
          <w:sz w:val="26"/>
          <w:szCs w:val="26"/>
        </w:rPr>
        <w:t>Company</w:t>
      </w:r>
      <w:r w:rsidR="001A5BA1">
        <w:rPr>
          <w:sz w:val="26"/>
          <w:szCs w:val="26"/>
        </w:rPr>
        <w:t>’</w:t>
      </w:r>
      <w:r w:rsidRPr="004A086F">
        <w:rPr>
          <w:sz w:val="26"/>
          <w:szCs w:val="26"/>
        </w:rPr>
        <w:t xml:space="preserve">s operation of its system as if </w:t>
      </w:r>
      <w:r>
        <w:rPr>
          <w:sz w:val="26"/>
          <w:szCs w:val="26"/>
        </w:rPr>
        <w:t xml:space="preserve">it is an integrated whole, even </w:t>
      </w:r>
      <w:r w:rsidRPr="004A086F">
        <w:rPr>
          <w:sz w:val="26"/>
          <w:szCs w:val="26"/>
        </w:rPr>
        <w:t>though</w:t>
      </w:r>
      <w:r>
        <w:rPr>
          <w:sz w:val="26"/>
          <w:szCs w:val="26"/>
        </w:rPr>
        <w:t xml:space="preserve"> </w:t>
      </w:r>
      <w:r w:rsidRPr="004A086F">
        <w:rPr>
          <w:sz w:val="26"/>
          <w:szCs w:val="26"/>
        </w:rPr>
        <w:t>there are discrete sections of the system that are not fully integrated with the rest</w:t>
      </w:r>
      <w:r>
        <w:rPr>
          <w:sz w:val="26"/>
          <w:szCs w:val="26"/>
        </w:rPr>
        <w:t xml:space="preserve"> </w:t>
      </w:r>
      <w:r w:rsidRPr="004A086F">
        <w:rPr>
          <w:sz w:val="26"/>
          <w:szCs w:val="26"/>
        </w:rPr>
        <w:t>of the system.</w:t>
      </w:r>
    </w:p>
    <w:p w:rsidR="00CF7360" w:rsidRDefault="00CF7360" w:rsidP="00844225">
      <w:pPr>
        <w:widowControl/>
        <w:ind w:left="1440" w:right="1440"/>
        <w:rPr>
          <w:sz w:val="26"/>
          <w:szCs w:val="26"/>
        </w:rPr>
      </w:pPr>
    </w:p>
    <w:p w:rsidR="00CF7360" w:rsidRPr="00CF7360" w:rsidRDefault="00CF7360" w:rsidP="00844225">
      <w:pPr>
        <w:widowControl/>
        <w:autoSpaceDE w:val="0"/>
        <w:autoSpaceDN w:val="0"/>
        <w:ind w:left="1440" w:right="1440"/>
        <w:contextualSpacing/>
        <w:jc w:val="center"/>
        <w:rPr>
          <w:rFonts w:eastAsia="Calibri"/>
          <w:sz w:val="26"/>
          <w:szCs w:val="26"/>
        </w:rPr>
      </w:pPr>
      <w:bookmarkStart w:id="32" w:name="_Hlk523730734"/>
      <w:r w:rsidRPr="00CF7360">
        <w:rPr>
          <w:rFonts w:eastAsia="Calibri"/>
          <w:sz w:val="26"/>
          <w:szCs w:val="26"/>
        </w:rPr>
        <w:t>*</w:t>
      </w:r>
      <w:r w:rsidRPr="00CF7360">
        <w:rPr>
          <w:rFonts w:eastAsia="Calibri"/>
          <w:sz w:val="26"/>
          <w:szCs w:val="26"/>
        </w:rPr>
        <w:tab/>
        <w:t>*</w:t>
      </w:r>
      <w:r w:rsidRPr="00CF7360">
        <w:rPr>
          <w:rFonts w:eastAsia="Calibri"/>
          <w:sz w:val="26"/>
          <w:szCs w:val="26"/>
        </w:rPr>
        <w:tab/>
        <w:t>*</w:t>
      </w:r>
    </w:p>
    <w:bookmarkEnd w:id="32"/>
    <w:p w:rsidR="009851A9" w:rsidRDefault="009851A9" w:rsidP="00844225">
      <w:pPr>
        <w:widowControl/>
        <w:spacing w:line="360" w:lineRule="auto"/>
        <w:rPr>
          <w:sz w:val="26"/>
          <w:szCs w:val="26"/>
        </w:rPr>
      </w:pPr>
    </w:p>
    <w:p w:rsidR="00CF7360" w:rsidRDefault="004A086F" w:rsidP="00844225">
      <w:pPr>
        <w:widowControl/>
        <w:ind w:left="1440" w:right="1440"/>
        <w:rPr>
          <w:sz w:val="26"/>
          <w:szCs w:val="26"/>
        </w:rPr>
      </w:pPr>
      <w:r w:rsidRPr="004A086F">
        <w:rPr>
          <w:sz w:val="26"/>
          <w:szCs w:val="26"/>
        </w:rPr>
        <w:t>Even more basic to the specific issue raised by the OCA, if a</w:t>
      </w:r>
      <w:r>
        <w:rPr>
          <w:sz w:val="26"/>
          <w:szCs w:val="26"/>
        </w:rPr>
        <w:t xml:space="preserve"> </w:t>
      </w:r>
      <w:r w:rsidRPr="004A086F">
        <w:rPr>
          <w:sz w:val="26"/>
          <w:szCs w:val="26"/>
        </w:rPr>
        <w:t>transportation customer pu</w:t>
      </w:r>
      <w:r>
        <w:rPr>
          <w:sz w:val="26"/>
          <w:szCs w:val="26"/>
        </w:rPr>
        <w:t xml:space="preserve">rchases gas from a supplier who </w:t>
      </w:r>
      <w:r w:rsidRPr="004A086F">
        <w:rPr>
          <w:sz w:val="26"/>
          <w:szCs w:val="26"/>
        </w:rPr>
        <w:t>delivers gas to the</w:t>
      </w:r>
      <w:r>
        <w:rPr>
          <w:sz w:val="26"/>
          <w:szCs w:val="26"/>
        </w:rPr>
        <w:t xml:space="preserve"> </w:t>
      </w:r>
      <w:r w:rsidRPr="004A086F">
        <w:rPr>
          <w:sz w:val="26"/>
          <w:szCs w:val="26"/>
        </w:rPr>
        <w:t>Peoples system only from an interstate pipeline, but that customer is located downstream of the gathering system and is physically consuming gas that is</w:t>
      </w:r>
      <w:r>
        <w:rPr>
          <w:sz w:val="26"/>
          <w:szCs w:val="26"/>
        </w:rPr>
        <w:t xml:space="preserve"> </w:t>
      </w:r>
      <w:r w:rsidRPr="004A086F">
        <w:rPr>
          <w:sz w:val="26"/>
          <w:szCs w:val="26"/>
        </w:rPr>
        <w:t>delivered through the gathering system, should that customer pay the gathering</w:t>
      </w:r>
      <w:r>
        <w:rPr>
          <w:sz w:val="26"/>
          <w:szCs w:val="26"/>
        </w:rPr>
        <w:t xml:space="preserve"> </w:t>
      </w:r>
      <w:r w:rsidRPr="004A086F">
        <w:rPr>
          <w:sz w:val="26"/>
          <w:szCs w:val="26"/>
        </w:rPr>
        <w:t>system retainage? Should that customer also pay retainage on the distribution</w:t>
      </w:r>
      <w:r>
        <w:rPr>
          <w:sz w:val="26"/>
          <w:szCs w:val="26"/>
        </w:rPr>
        <w:t xml:space="preserve"> </w:t>
      </w:r>
      <w:r w:rsidRPr="004A086F">
        <w:rPr>
          <w:sz w:val="26"/>
          <w:szCs w:val="26"/>
        </w:rPr>
        <w:t>system? Should that customer also pay retainage on the upstream pipeline that</w:t>
      </w:r>
      <w:r>
        <w:rPr>
          <w:sz w:val="26"/>
          <w:szCs w:val="26"/>
        </w:rPr>
        <w:t xml:space="preserve"> </w:t>
      </w:r>
      <w:r w:rsidRPr="004A086F">
        <w:rPr>
          <w:sz w:val="26"/>
          <w:szCs w:val="26"/>
        </w:rPr>
        <w:t>its supplier is using?</w:t>
      </w:r>
    </w:p>
    <w:p w:rsidR="004A086F" w:rsidRDefault="004A086F" w:rsidP="00844225">
      <w:pPr>
        <w:widowControl/>
        <w:spacing w:line="360" w:lineRule="auto"/>
        <w:rPr>
          <w:sz w:val="26"/>
          <w:szCs w:val="26"/>
        </w:rPr>
      </w:pPr>
    </w:p>
    <w:p w:rsidR="009851A9" w:rsidRPr="009851A9" w:rsidRDefault="009851A9" w:rsidP="00844225">
      <w:pPr>
        <w:widowControl/>
        <w:spacing w:line="360" w:lineRule="auto"/>
        <w:rPr>
          <w:sz w:val="26"/>
          <w:szCs w:val="26"/>
        </w:rPr>
      </w:pPr>
      <w:r w:rsidRPr="007944B2">
        <w:rPr>
          <w:i/>
          <w:sz w:val="26"/>
        </w:rPr>
        <w:t>Pennsylvania Public Utility Commission</w:t>
      </w:r>
      <w:r>
        <w:rPr>
          <w:i/>
          <w:sz w:val="26"/>
        </w:rPr>
        <w:t xml:space="preserve"> v. Peoples Natural Gas Company LLC, </w:t>
      </w:r>
      <w:r>
        <w:rPr>
          <w:sz w:val="26"/>
        </w:rPr>
        <w:t>Docket Nos. R-2017-2586310, R-2017-2586318, Peoples St. No. 4-R at</w:t>
      </w:r>
      <w:r w:rsidR="00135E9E">
        <w:rPr>
          <w:sz w:val="26"/>
        </w:rPr>
        <w:t xml:space="preserve"> 14-16.</w:t>
      </w:r>
    </w:p>
    <w:p w:rsidR="002278F6" w:rsidRDefault="002278F6" w:rsidP="00844225">
      <w:pPr>
        <w:widowControl/>
        <w:spacing w:line="360" w:lineRule="auto"/>
        <w:ind w:firstLine="1440"/>
        <w:rPr>
          <w:sz w:val="26"/>
          <w:szCs w:val="26"/>
        </w:rPr>
      </w:pPr>
    </w:p>
    <w:p w:rsidR="00E947ED" w:rsidRDefault="0094080B" w:rsidP="00844225">
      <w:pPr>
        <w:widowControl/>
        <w:spacing w:line="360" w:lineRule="auto"/>
        <w:ind w:firstLine="1440"/>
        <w:rPr>
          <w:sz w:val="26"/>
          <w:szCs w:val="26"/>
        </w:rPr>
      </w:pPr>
      <w:r>
        <w:rPr>
          <w:sz w:val="26"/>
          <w:szCs w:val="26"/>
        </w:rPr>
        <w:t>It is shown that the unbundling of gathering related costs and the task of reassigning them amongst specific customers is a complex undertaking.  However, the Company</w:t>
      </w:r>
      <w:r w:rsidR="001A5BA1">
        <w:rPr>
          <w:sz w:val="26"/>
          <w:szCs w:val="26"/>
        </w:rPr>
        <w:t>’</w:t>
      </w:r>
      <w:r>
        <w:rPr>
          <w:sz w:val="26"/>
          <w:szCs w:val="26"/>
        </w:rPr>
        <w:t xml:space="preserve">s proposal in the instant proceeding is </w:t>
      </w:r>
      <w:r w:rsidR="00E947ED">
        <w:rPr>
          <w:sz w:val="26"/>
          <w:szCs w:val="26"/>
        </w:rPr>
        <w:t>not such a proposal.  We are of the opinion that the Company has provided substantial support for its proposed producer retainage charge, designed to recover a portion of gathering system UFG (31%) from conventional gas producers, who likewise benefit from the use of the gathering system.</w:t>
      </w:r>
    </w:p>
    <w:p w:rsidR="00E947ED" w:rsidRDefault="00E947ED" w:rsidP="00844225">
      <w:pPr>
        <w:widowControl/>
        <w:spacing w:line="360" w:lineRule="auto"/>
        <w:ind w:firstLine="1440"/>
        <w:rPr>
          <w:sz w:val="26"/>
          <w:szCs w:val="26"/>
        </w:rPr>
      </w:pPr>
    </w:p>
    <w:p w:rsidR="00E22870" w:rsidRDefault="00936247" w:rsidP="00844225">
      <w:pPr>
        <w:widowControl/>
        <w:spacing w:line="360" w:lineRule="auto"/>
        <w:ind w:firstLine="1440"/>
        <w:rPr>
          <w:sz w:val="26"/>
          <w:szCs w:val="26"/>
        </w:rPr>
      </w:pPr>
      <w:r>
        <w:rPr>
          <w:sz w:val="26"/>
          <w:szCs w:val="26"/>
        </w:rPr>
        <w:t xml:space="preserve">Furthermore, as explained </w:t>
      </w:r>
      <w:r w:rsidRPr="00936247">
        <w:rPr>
          <w:i/>
          <w:sz w:val="26"/>
          <w:szCs w:val="26"/>
        </w:rPr>
        <w:t>supra</w:t>
      </w:r>
      <w:r>
        <w:rPr>
          <w:sz w:val="26"/>
          <w:szCs w:val="26"/>
        </w:rPr>
        <w:t xml:space="preserve">, the Company has undertaken an in-depth, comprehensive analysis of ways in which to reduce gathering system UFG, developed the UFG Mitigation Plan, committed to invest substantial capital in its gathering system, and </w:t>
      </w:r>
      <w:r w:rsidR="00237C25">
        <w:rPr>
          <w:sz w:val="26"/>
          <w:szCs w:val="26"/>
        </w:rPr>
        <w:t>has begun to directly measure</w:t>
      </w:r>
      <w:r>
        <w:rPr>
          <w:sz w:val="26"/>
          <w:szCs w:val="26"/>
        </w:rPr>
        <w:t xml:space="preserve"> gathering UFG through its recent segmentation measurement capabilities</w:t>
      </w:r>
      <w:r w:rsidR="002359A5">
        <w:rPr>
          <w:sz w:val="26"/>
          <w:szCs w:val="26"/>
        </w:rPr>
        <w:t>,</w:t>
      </w:r>
      <w:r>
        <w:rPr>
          <w:sz w:val="26"/>
          <w:szCs w:val="26"/>
        </w:rPr>
        <w:t xml:space="preserve"> all of which </w:t>
      </w:r>
      <w:r w:rsidR="002359A5">
        <w:rPr>
          <w:sz w:val="26"/>
          <w:szCs w:val="26"/>
        </w:rPr>
        <w:t xml:space="preserve">have </w:t>
      </w:r>
      <w:r>
        <w:rPr>
          <w:sz w:val="26"/>
          <w:szCs w:val="26"/>
        </w:rPr>
        <w:t>been accomplished since last year</w:t>
      </w:r>
      <w:r w:rsidR="001A5BA1">
        <w:rPr>
          <w:sz w:val="26"/>
          <w:szCs w:val="26"/>
        </w:rPr>
        <w:t>’</w:t>
      </w:r>
      <w:r>
        <w:rPr>
          <w:sz w:val="26"/>
          <w:szCs w:val="26"/>
        </w:rPr>
        <w:t xml:space="preserve">s PGC proceeding.  </w:t>
      </w:r>
      <w:r w:rsidR="00AF6901">
        <w:rPr>
          <w:sz w:val="26"/>
          <w:szCs w:val="26"/>
        </w:rPr>
        <w:t xml:space="preserve">Additionally, as we </w:t>
      </w:r>
      <w:r w:rsidR="00083580">
        <w:rPr>
          <w:sz w:val="26"/>
          <w:szCs w:val="26"/>
        </w:rPr>
        <w:t xml:space="preserve">discussed </w:t>
      </w:r>
      <w:r w:rsidR="00AF6901">
        <w:rPr>
          <w:sz w:val="26"/>
          <w:szCs w:val="26"/>
        </w:rPr>
        <w:t>in our earlier disposition, the producers</w:t>
      </w:r>
      <w:r w:rsidR="00083580">
        <w:rPr>
          <w:sz w:val="26"/>
          <w:szCs w:val="26"/>
        </w:rPr>
        <w:t xml:space="preserve">, as </w:t>
      </w:r>
      <w:r w:rsidR="00AF6901">
        <w:rPr>
          <w:sz w:val="26"/>
          <w:szCs w:val="26"/>
        </w:rPr>
        <w:t>beneficiaries of the gathering system</w:t>
      </w:r>
      <w:r w:rsidR="00083580">
        <w:rPr>
          <w:sz w:val="26"/>
          <w:szCs w:val="26"/>
        </w:rPr>
        <w:t xml:space="preserve">, </w:t>
      </w:r>
      <w:r w:rsidR="00AF6901">
        <w:rPr>
          <w:sz w:val="26"/>
          <w:szCs w:val="26"/>
        </w:rPr>
        <w:t xml:space="preserve">should also </w:t>
      </w:r>
      <w:r w:rsidR="00083580">
        <w:rPr>
          <w:sz w:val="26"/>
          <w:szCs w:val="26"/>
        </w:rPr>
        <w:t xml:space="preserve">be required to </w:t>
      </w:r>
      <w:r w:rsidR="00AF6901">
        <w:rPr>
          <w:sz w:val="26"/>
          <w:szCs w:val="26"/>
        </w:rPr>
        <w:t>contribute to the cost of the Company</w:t>
      </w:r>
      <w:r w:rsidR="001A5BA1">
        <w:rPr>
          <w:sz w:val="26"/>
          <w:szCs w:val="26"/>
        </w:rPr>
        <w:t>’</w:t>
      </w:r>
      <w:r w:rsidR="00AF6901">
        <w:rPr>
          <w:sz w:val="26"/>
          <w:szCs w:val="26"/>
        </w:rPr>
        <w:t xml:space="preserve">s gathering system UFG.  </w:t>
      </w:r>
      <w:r w:rsidR="00E22870">
        <w:rPr>
          <w:sz w:val="26"/>
          <w:szCs w:val="26"/>
        </w:rPr>
        <w:t xml:space="preserve">Thus, approval of the </w:t>
      </w:r>
      <w:r w:rsidR="00737718">
        <w:rPr>
          <w:sz w:val="26"/>
          <w:szCs w:val="26"/>
        </w:rPr>
        <w:t xml:space="preserve">producer </w:t>
      </w:r>
      <w:r w:rsidR="00CD2A09">
        <w:rPr>
          <w:sz w:val="26"/>
          <w:szCs w:val="26"/>
        </w:rPr>
        <w:t>retainage</w:t>
      </w:r>
      <w:r w:rsidR="00E22870">
        <w:rPr>
          <w:sz w:val="26"/>
          <w:szCs w:val="26"/>
        </w:rPr>
        <w:t xml:space="preserve"> charge will (2)</w:t>
      </w:r>
      <w:r w:rsidR="00737718">
        <w:rPr>
          <w:sz w:val="26"/>
          <w:szCs w:val="26"/>
        </w:rPr>
        <w:t> </w:t>
      </w:r>
      <w:r w:rsidR="00E22870">
        <w:rPr>
          <w:sz w:val="26"/>
          <w:szCs w:val="26"/>
        </w:rPr>
        <w:t xml:space="preserve">incentivize the producers to contribute toward Peoples Gas’ efforts to reduce its gathering system UFG; and (3) </w:t>
      </w:r>
      <w:r w:rsidR="00AF6901">
        <w:rPr>
          <w:sz w:val="26"/>
          <w:szCs w:val="26"/>
        </w:rPr>
        <w:t>reduce the cost currently borne by the Company</w:t>
      </w:r>
      <w:r w:rsidR="001A5BA1">
        <w:rPr>
          <w:sz w:val="26"/>
          <w:szCs w:val="26"/>
        </w:rPr>
        <w:t>’</w:t>
      </w:r>
      <w:r w:rsidR="00AF6901">
        <w:rPr>
          <w:sz w:val="26"/>
          <w:szCs w:val="26"/>
        </w:rPr>
        <w:t>s other customers</w:t>
      </w:r>
      <w:r w:rsidR="00E22870">
        <w:rPr>
          <w:sz w:val="26"/>
          <w:szCs w:val="26"/>
        </w:rPr>
        <w:t>.</w:t>
      </w:r>
    </w:p>
    <w:p w:rsidR="00E22870" w:rsidRDefault="00E22870" w:rsidP="00844225">
      <w:pPr>
        <w:widowControl/>
        <w:spacing w:line="360" w:lineRule="auto"/>
        <w:ind w:firstLine="1440"/>
        <w:rPr>
          <w:sz w:val="26"/>
          <w:szCs w:val="26"/>
        </w:rPr>
      </w:pPr>
    </w:p>
    <w:p w:rsidR="00E947ED" w:rsidRDefault="00E947ED" w:rsidP="00844225">
      <w:pPr>
        <w:widowControl/>
        <w:spacing w:line="360" w:lineRule="auto"/>
        <w:ind w:firstLine="1440"/>
        <w:rPr>
          <w:sz w:val="26"/>
          <w:szCs w:val="26"/>
        </w:rPr>
      </w:pPr>
      <w:r>
        <w:rPr>
          <w:sz w:val="26"/>
          <w:szCs w:val="26"/>
        </w:rPr>
        <w:t xml:space="preserve">Consistent with </w:t>
      </w:r>
      <w:r w:rsidR="00737718">
        <w:rPr>
          <w:sz w:val="26"/>
          <w:szCs w:val="26"/>
        </w:rPr>
        <w:t>th</w:t>
      </w:r>
      <w:r>
        <w:rPr>
          <w:sz w:val="26"/>
          <w:szCs w:val="26"/>
        </w:rPr>
        <w:t>e</w:t>
      </w:r>
      <w:r w:rsidR="00737718">
        <w:rPr>
          <w:sz w:val="26"/>
          <w:szCs w:val="26"/>
        </w:rPr>
        <w:t xml:space="preserve"> foregoing discussion, we conclude that Peoples</w:t>
      </w:r>
      <w:r w:rsidR="00432394">
        <w:rPr>
          <w:sz w:val="26"/>
          <w:szCs w:val="26"/>
        </w:rPr>
        <w:t xml:space="preserve"> Gas provided sufficient support for its decision to establish the proposed producer retainage charge and that t</w:t>
      </w:r>
      <w:r w:rsidR="00737718">
        <w:rPr>
          <w:sz w:val="26"/>
          <w:szCs w:val="26"/>
        </w:rPr>
        <w:t>he ALJ adequately considered each Party’s position in his recommendation to adopt the retainage charge</w:t>
      </w:r>
      <w:r w:rsidR="00432394">
        <w:rPr>
          <w:sz w:val="26"/>
          <w:szCs w:val="26"/>
        </w:rPr>
        <w:t xml:space="preserve">. </w:t>
      </w:r>
      <w:r>
        <w:rPr>
          <w:sz w:val="26"/>
          <w:szCs w:val="26"/>
        </w:rPr>
        <w:t xml:space="preserve"> </w:t>
      </w:r>
      <w:r w:rsidR="00432394">
        <w:rPr>
          <w:sz w:val="26"/>
          <w:szCs w:val="26"/>
        </w:rPr>
        <w:t xml:space="preserve">Accordingly, </w:t>
      </w:r>
      <w:r>
        <w:rPr>
          <w:sz w:val="26"/>
          <w:szCs w:val="26"/>
        </w:rPr>
        <w:t>PIOGA</w:t>
      </w:r>
      <w:r w:rsidR="001A5BA1">
        <w:rPr>
          <w:sz w:val="26"/>
          <w:szCs w:val="26"/>
        </w:rPr>
        <w:t>’</w:t>
      </w:r>
      <w:r>
        <w:rPr>
          <w:sz w:val="26"/>
          <w:szCs w:val="26"/>
        </w:rPr>
        <w:t>s Excepti</w:t>
      </w:r>
      <w:r w:rsidR="00936247">
        <w:rPr>
          <w:sz w:val="26"/>
          <w:szCs w:val="26"/>
        </w:rPr>
        <w:t>on No. 2</w:t>
      </w:r>
      <w:r w:rsidR="00737718">
        <w:rPr>
          <w:sz w:val="26"/>
          <w:szCs w:val="26"/>
        </w:rPr>
        <w:t xml:space="preserve"> is denied</w:t>
      </w:r>
      <w:r>
        <w:rPr>
          <w:sz w:val="26"/>
          <w:szCs w:val="26"/>
        </w:rPr>
        <w:t>.</w:t>
      </w:r>
    </w:p>
    <w:p w:rsidR="00B22F84" w:rsidRDefault="00B22F84" w:rsidP="00844225">
      <w:pPr>
        <w:widowControl/>
        <w:spacing w:line="360" w:lineRule="auto"/>
        <w:rPr>
          <w:sz w:val="26"/>
          <w:szCs w:val="26"/>
        </w:rPr>
      </w:pPr>
    </w:p>
    <w:p w:rsidR="00432394" w:rsidRPr="00B17E13" w:rsidRDefault="00432394" w:rsidP="00844225">
      <w:pPr>
        <w:widowControl/>
        <w:spacing w:line="360" w:lineRule="auto"/>
        <w:rPr>
          <w:sz w:val="26"/>
          <w:szCs w:val="26"/>
        </w:rPr>
      </w:pPr>
    </w:p>
    <w:p w:rsidR="00CF4F5E" w:rsidRPr="00322A48" w:rsidRDefault="00CF4F5E" w:rsidP="002F156F">
      <w:pPr>
        <w:pStyle w:val="Heading3"/>
        <w:keepNext/>
        <w:keepLines/>
        <w:numPr>
          <w:ilvl w:val="0"/>
          <w:numId w:val="14"/>
        </w:numPr>
        <w:ind w:left="1440" w:hanging="720"/>
      </w:pPr>
      <w:bookmarkStart w:id="33" w:name="_Toc524347689"/>
      <w:r w:rsidRPr="00322A48">
        <w:t>PIOGA Exception No. 3</w:t>
      </w:r>
      <w:bookmarkEnd w:id="33"/>
      <w:r w:rsidR="00AA359F">
        <w:t>, Replies and Disposition</w:t>
      </w:r>
    </w:p>
    <w:p w:rsidR="00322A48" w:rsidRPr="00322A48" w:rsidRDefault="00322A48" w:rsidP="002F156F">
      <w:pPr>
        <w:keepNext/>
        <w:keepLines/>
        <w:widowControl/>
        <w:spacing w:line="360" w:lineRule="auto"/>
        <w:rPr>
          <w:sz w:val="26"/>
          <w:szCs w:val="26"/>
        </w:rPr>
      </w:pPr>
    </w:p>
    <w:p w:rsidR="00322A48" w:rsidRDefault="00B3034B" w:rsidP="00844225">
      <w:pPr>
        <w:widowControl/>
        <w:spacing w:line="360" w:lineRule="auto"/>
        <w:ind w:firstLine="1440"/>
        <w:rPr>
          <w:sz w:val="26"/>
          <w:szCs w:val="26"/>
        </w:rPr>
      </w:pPr>
      <w:r>
        <w:rPr>
          <w:sz w:val="26"/>
          <w:szCs w:val="26"/>
        </w:rPr>
        <w:t>In its Exception No. 3, PIOGA addresses the ALJ</w:t>
      </w:r>
      <w:r w:rsidR="001A5BA1">
        <w:rPr>
          <w:sz w:val="26"/>
          <w:szCs w:val="26"/>
        </w:rPr>
        <w:t>’</w:t>
      </w:r>
      <w:r>
        <w:rPr>
          <w:sz w:val="26"/>
          <w:szCs w:val="26"/>
        </w:rPr>
        <w:t>s acceptance of Peoples Gas</w:t>
      </w:r>
      <w:r w:rsidR="001A5BA1">
        <w:rPr>
          <w:sz w:val="26"/>
          <w:szCs w:val="26"/>
        </w:rPr>
        <w:t>’</w:t>
      </w:r>
      <w:r>
        <w:rPr>
          <w:sz w:val="26"/>
          <w:szCs w:val="26"/>
        </w:rPr>
        <w:t xml:space="preserve"> arguments that the Peoples Companies are the same as FERC-related interstate integrated pipelines and unregulated gathering pipelines with respect to charging producers separately for gathering retainage.  PIOGA also addresses the ALJ</w:t>
      </w:r>
      <w:r w:rsidR="001A5BA1">
        <w:rPr>
          <w:sz w:val="26"/>
          <w:szCs w:val="26"/>
        </w:rPr>
        <w:t>’</w:t>
      </w:r>
      <w:r>
        <w:rPr>
          <w:sz w:val="26"/>
          <w:szCs w:val="26"/>
        </w:rPr>
        <w:t>s decision not to consider the Joint Stipulation and Request to Discontinue between the Commission and PIOGA attached to PIOGA</w:t>
      </w:r>
      <w:r w:rsidR="001A5BA1">
        <w:rPr>
          <w:sz w:val="26"/>
          <w:szCs w:val="26"/>
        </w:rPr>
        <w:t>’</w:t>
      </w:r>
      <w:r>
        <w:rPr>
          <w:sz w:val="26"/>
          <w:szCs w:val="26"/>
        </w:rPr>
        <w:t>s Main Brief.  PIOGA Exc. at 10</w:t>
      </w:r>
      <w:r w:rsidR="0080486D">
        <w:rPr>
          <w:sz w:val="26"/>
          <w:szCs w:val="26"/>
        </w:rPr>
        <w:t xml:space="preserve">-12 </w:t>
      </w:r>
      <w:r w:rsidR="002359A5">
        <w:rPr>
          <w:sz w:val="26"/>
          <w:szCs w:val="26"/>
        </w:rPr>
        <w:t>(</w:t>
      </w:r>
      <w:r w:rsidR="0080486D">
        <w:rPr>
          <w:sz w:val="26"/>
          <w:szCs w:val="26"/>
        </w:rPr>
        <w:t xml:space="preserve">citing R.D. </w:t>
      </w:r>
      <w:r w:rsidR="0080486D">
        <w:rPr>
          <w:sz w:val="26"/>
          <w:szCs w:val="26"/>
        </w:rPr>
        <w:lastRenderedPageBreak/>
        <w:t>at</w:t>
      </w:r>
      <w:r w:rsidR="0071077E">
        <w:rPr>
          <w:sz w:val="26"/>
          <w:szCs w:val="26"/>
        </w:rPr>
        <w:t> </w:t>
      </w:r>
      <w:r w:rsidR="0080486D">
        <w:rPr>
          <w:sz w:val="26"/>
          <w:szCs w:val="26"/>
        </w:rPr>
        <w:t>67</w:t>
      </w:r>
      <w:r w:rsidR="005864AB">
        <w:rPr>
          <w:sz w:val="26"/>
          <w:szCs w:val="26"/>
        </w:rPr>
        <w:noBreakHyphen/>
      </w:r>
      <w:r w:rsidR="0080486D">
        <w:rPr>
          <w:sz w:val="26"/>
          <w:szCs w:val="26"/>
        </w:rPr>
        <w:t>73, Findings of Fact Nos. 45,47, 48, 50-53; Conclusions of Law Nos. 18 n.55, 28; Ordering Paragraph Nos. 2, 4, 7, 8</w:t>
      </w:r>
      <w:r w:rsidR="002359A5">
        <w:rPr>
          <w:sz w:val="26"/>
          <w:szCs w:val="26"/>
        </w:rPr>
        <w:t>)</w:t>
      </w:r>
      <w:r w:rsidR="0080486D">
        <w:rPr>
          <w:sz w:val="26"/>
          <w:szCs w:val="26"/>
        </w:rPr>
        <w:t>.</w:t>
      </w:r>
    </w:p>
    <w:p w:rsidR="008E2D0D" w:rsidRDefault="008E2D0D" w:rsidP="00844225">
      <w:pPr>
        <w:widowControl/>
        <w:spacing w:line="360" w:lineRule="auto"/>
        <w:ind w:firstLine="1440"/>
        <w:rPr>
          <w:sz w:val="26"/>
          <w:szCs w:val="26"/>
        </w:rPr>
      </w:pPr>
    </w:p>
    <w:p w:rsidR="008E2D0D" w:rsidRDefault="008E2D0D" w:rsidP="00844225">
      <w:pPr>
        <w:widowControl/>
        <w:spacing w:line="360" w:lineRule="auto"/>
        <w:ind w:firstLine="1440"/>
        <w:rPr>
          <w:sz w:val="26"/>
          <w:szCs w:val="26"/>
        </w:rPr>
      </w:pPr>
      <w:r>
        <w:rPr>
          <w:sz w:val="26"/>
          <w:szCs w:val="26"/>
        </w:rPr>
        <w:t>PIOGA claims that the ALJ</w:t>
      </w:r>
      <w:r w:rsidRPr="008E2D0D">
        <w:rPr>
          <w:sz w:val="26"/>
          <w:szCs w:val="26"/>
        </w:rPr>
        <w:t xml:space="preserve"> erred in finding that Peoples Gas can impose a charge for the gathering component of th</w:t>
      </w:r>
      <w:r>
        <w:rPr>
          <w:sz w:val="26"/>
          <w:szCs w:val="26"/>
        </w:rPr>
        <w:t>e Company</w:t>
      </w:r>
      <w:r w:rsidR="001A5BA1">
        <w:rPr>
          <w:sz w:val="26"/>
          <w:szCs w:val="26"/>
        </w:rPr>
        <w:t>’</w:t>
      </w:r>
      <w:r>
        <w:rPr>
          <w:sz w:val="26"/>
          <w:szCs w:val="26"/>
        </w:rPr>
        <w:t>s integrated system.  PIOGA Exc. at</w:t>
      </w:r>
      <w:r w:rsidR="005864AB">
        <w:rPr>
          <w:sz w:val="26"/>
          <w:szCs w:val="26"/>
        </w:rPr>
        <w:t> </w:t>
      </w:r>
      <w:r>
        <w:rPr>
          <w:sz w:val="26"/>
          <w:szCs w:val="26"/>
        </w:rPr>
        <w:t xml:space="preserve">10-11. </w:t>
      </w:r>
      <w:r w:rsidRPr="008E2D0D">
        <w:rPr>
          <w:sz w:val="26"/>
          <w:szCs w:val="26"/>
        </w:rPr>
        <w:t xml:space="preserve"> According to PIOGA, the ALJ should not have relied on the fact that other entities in Pennsylvania who own gathering lines </w:t>
      </w:r>
      <w:r w:rsidRPr="00432394">
        <w:rPr>
          <w:sz w:val="26"/>
          <w:szCs w:val="26"/>
        </w:rPr>
        <w:t>(</w:t>
      </w:r>
      <w:r w:rsidRPr="008E2D0D">
        <w:rPr>
          <w:i/>
          <w:sz w:val="26"/>
          <w:szCs w:val="26"/>
        </w:rPr>
        <w:t xml:space="preserve">i.e., </w:t>
      </w:r>
      <w:r w:rsidRPr="008E2D0D">
        <w:rPr>
          <w:sz w:val="26"/>
          <w:szCs w:val="26"/>
        </w:rPr>
        <w:t>Peoples-Equitable Division and several interstate pipelines) charge separately f</w:t>
      </w:r>
      <w:r>
        <w:rPr>
          <w:sz w:val="26"/>
          <w:szCs w:val="26"/>
        </w:rPr>
        <w:t xml:space="preserve">or gathering system retainage.  PIOGA Exc. at 10-11. </w:t>
      </w:r>
      <w:r w:rsidRPr="008E2D0D">
        <w:rPr>
          <w:sz w:val="26"/>
          <w:szCs w:val="26"/>
        </w:rPr>
        <w:t xml:space="preserve"> Mo</w:t>
      </w:r>
      <w:r>
        <w:rPr>
          <w:sz w:val="26"/>
          <w:szCs w:val="26"/>
        </w:rPr>
        <w:t>reover, PIOGA avers that the ALJ</w:t>
      </w:r>
      <w:r w:rsidRPr="008E2D0D">
        <w:rPr>
          <w:sz w:val="26"/>
          <w:szCs w:val="26"/>
        </w:rPr>
        <w:t xml:space="preserve"> should have taken judicial notice of the Joint Stipulation between PIOGA and the Commission, which was submitted to the Commonwealth Court at Docket No. 1790 C.D. 2011, because it allegedly sets forth a </w:t>
      </w:r>
      <w:r w:rsidR="001A5BA1">
        <w:rPr>
          <w:sz w:val="26"/>
          <w:szCs w:val="26"/>
        </w:rPr>
        <w:t>“</w:t>
      </w:r>
      <w:r w:rsidRPr="008E2D0D">
        <w:rPr>
          <w:sz w:val="26"/>
          <w:szCs w:val="26"/>
        </w:rPr>
        <w:t>legal position,</w:t>
      </w:r>
      <w:r w:rsidR="001A5BA1">
        <w:rPr>
          <w:sz w:val="26"/>
          <w:szCs w:val="26"/>
        </w:rPr>
        <w:t>”</w:t>
      </w:r>
      <w:r w:rsidRPr="008E2D0D">
        <w:rPr>
          <w:sz w:val="26"/>
          <w:szCs w:val="26"/>
        </w:rPr>
        <w:t xml:space="preserve"> not fa</w:t>
      </w:r>
      <w:r>
        <w:rPr>
          <w:sz w:val="26"/>
          <w:szCs w:val="26"/>
        </w:rPr>
        <w:t>cts.  PIOGA Exc. at 11-12.</w:t>
      </w:r>
    </w:p>
    <w:p w:rsidR="008E2D0D" w:rsidRDefault="008E2D0D" w:rsidP="00844225">
      <w:pPr>
        <w:widowControl/>
        <w:spacing w:line="360" w:lineRule="auto"/>
        <w:ind w:firstLine="1440"/>
        <w:rPr>
          <w:sz w:val="26"/>
          <w:szCs w:val="26"/>
        </w:rPr>
      </w:pPr>
    </w:p>
    <w:p w:rsidR="008E2D0D" w:rsidRDefault="008E2D0D" w:rsidP="00844225">
      <w:pPr>
        <w:widowControl/>
        <w:spacing w:line="360" w:lineRule="auto"/>
        <w:ind w:firstLine="1440"/>
        <w:rPr>
          <w:sz w:val="26"/>
          <w:szCs w:val="26"/>
        </w:rPr>
      </w:pPr>
      <w:r>
        <w:rPr>
          <w:sz w:val="26"/>
          <w:szCs w:val="26"/>
        </w:rPr>
        <w:t>In its Replies to Exceptions, the Company</w:t>
      </w:r>
      <w:r w:rsidR="008B02C8">
        <w:rPr>
          <w:sz w:val="26"/>
          <w:szCs w:val="26"/>
        </w:rPr>
        <w:t xml:space="preserve"> does not deny that in every example </w:t>
      </w:r>
      <w:r w:rsidR="00432394">
        <w:rPr>
          <w:sz w:val="26"/>
          <w:szCs w:val="26"/>
        </w:rPr>
        <w:t xml:space="preserve">it </w:t>
      </w:r>
      <w:r w:rsidR="008B02C8">
        <w:rPr>
          <w:sz w:val="26"/>
          <w:szCs w:val="26"/>
        </w:rPr>
        <w:t xml:space="preserve">provided </w:t>
      </w:r>
      <w:r w:rsidR="000B602F">
        <w:rPr>
          <w:sz w:val="26"/>
          <w:szCs w:val="26"/>
        </w:rPr>
        <w:t xml:space="preserve">that </w:t>
      </w:r>
      <w:r w:rsidR="008B02C8">
        <w:rPr>
          <w:sz w:val="26"/>
          <w:szCs w:val="26"/>
        </w:rPr>
        <w:t>involv</w:t>
      </w:r>
      <w:r w:rsidR="000B602F">
        <w:rPr>
          <w:sz w:val="26"/>
          <w:szCs w:val="26"/>
        </w:rPr>
        <w:t>es</w:t>
      </w:r>
      <w:r w:rsidR="008B02C8">
        <w:rPr>
          <w:sz w:val="26"/>
          <w:szCs w:val="26"/>
        </w:rPr>
        <w:t xml:space="preserve"> a FERC-regulated interstate integrated pipeline, the gathering pipelines serving state-regulated public utility customers are owned by the FERC-regulated pipelines and not by the NGDC whose customers are served</w:t>
      </w:r>
      <w:r w:rsidR="000B602F">
        <w:rPr>
          <w:sz w:val="26"/>
          <w:szCs w:val="26"/>
        </w:rPr>
        <w:t xml:space="preserve">.  Nor does the Company deny that it </w:t>
      </w:r>
      <w:r w:rsidR="008B02C8">
        <w:rPr>
          <w:sz w:val="26"/>
          <w:szCs w:val="26"/>
        </w:rPr>
        <w:t>has not identified any Commission-regulated NGDCs that charge separately for gathering retainage, except its Equitable Division.  Peoples Gas admits that it is the Peoples Companies</w:t>
      </w:r>
      <w:r w:rsidR="001A5BA1">
        <w:rPr>
          <w:sz w:val="26"/>
          <w:szCs w:val="26"/>
        </w:rPr>
        <w:t>’</w:t>
      </w:r>
      <w:r w:rsidR="008B02C8">
        <w:rPr>
          <w:sz w:val="26"/>
          <w:szCs w:val="26"/>
        </w:rPr>
        <w:t xml:space="preserve"> </w:t>
      </w:r>
      <w:r w:rsidR="001A5BA1">
        <w:rPr>
          <w:sz w:val="26"/>
          <w:szCs w:val="26"/>
        </w:rPr>
        <w:t>“</w:t>
      </w:r>
      <w:r w:rsidR="008B02C8">
        <w:rPr>
          <w:sz w:val="26"/>
          <w:szCs w:val="26"/>
        </w:rPr>
        <w:t>unique</w:t>
      </w:r>
      <w:r w:rsidR="001A5BA1">
        <w:rPr>
          <w:sz w:val="26"/>
          <w:szCs w:val="26"/>
        </w:rPr>
        <w:t>”</w:t>
      </w:r>
      <w:r w:rsidR="008B02C8">
        <w:rPr>
          <w:sz w:val="26"/>
          <w:szCs w:val="26"/>
        </w:rPr>
        <w:t xml:space="preserve"> position as Pennsylvania gas utilities that own gathering pipelines</w:t>
      </w:r>
      <w:r w:rsidR="00A76F6C">
        <w:rPr>
          <w:sz w:val="26"/>
          <w:szCs w:val="26"/>
        </w:rPr>
        <w:t xml:space="preserve"> that lends their integrated operations to a comparison to interstate integrated pipelines.  The Company therefore asserts that the ALJ correctly held that the Company</w:t>
      </w:r>
      <w:r w:rsidR="001A5BA1">
        <w:rPr>
          <w:sz w:val="26"/>
          <w:szCs w:val="26"/>
        </w:rPr>
        <w:t>’</w:t>
      </w:r>
      <w:r w:rsidR="00A76F6C">
        <w:rPr>
          <w:sz w:val="26"/>
          <w:szCs w:val="26"/>
        </w:rPr>
        <w:t xml:space="preserve">s </w:t>
      </w:r>
      <w:r w:rsidR="001A5BA1">
        <w:rPr>
          <w:sz w:val="26"/>
          <w:szCs w:val="26"/>
        </w:rPr>
        <w:t>“</w:t>
      </w:r>
      <w:r w:rsidR="00A76F6C">
        <w:rPr>
          <w:sz w:val="26"/>
          <w:szCs w:val="26"/>
        </w:rPr>
        <w:t>proposed producer retainage charge is not inconsistent with the Company</w:t>
      </w:r>
      <w:r w:rsidR="001A5BA1">
        <w:rPr>
          <w:sz w:val="26"/>
          <w:szCs w:val="26"/>
        </w:rPr>
        <w:t>’</w:t>
      </w:r>
      <w:r w:rsidR="00A76F6C">
        <w:rPr>
          <w:sz w:val="26"/>
          <w:szCs w:val="26"/>
        </w:rPr>
        <w:t>s integrated systems and appears consistent with practice in the Appalachian Basin.</w:t>
      </w:r>
      <w:r w:rsidR="001A5BA1">
        <w:rPr>
          <w:sz w:val="26"/>
          <w:szCs w:val="26"/>
        </w:rPr>
        <w:t>”</w:t>
      </w:r>
      <w:r w:rsidR="00A76F6C">
        <w:rPr>
          <w:sz w:val="26"/>
          <w:szCs w:val="26"/>
        </w:rPr>
        <w:t xml:space="preserve">  Peoples Gas R. Exc. at 11 </w:t>
      </w:r>
      <w:r w:rsidR="002359A5">
        <w:rPr>
          <w:sz w:val="26"/>
          <w:szCs w:val="26"/>
        </w:rPr>
        <w:t>(</w:t>
      </w:r>
      <w:r w:rsidR="00A76F6C">
        <w:rPr>
          <w:sz w:val="26"/>
          <w:szCs w:val="26"/>
        </w:rPr>
        <w:t>citing R.D. at 69</w:t>
      </w:r>
      <w:r w:rsidR="002359A5">
        <w:rPr>
          <w:sz w:val="26"/>
          <w:szCs w:val="26"/>
        </w:rPr>
        <w:t>)</w:t>
      </w:r>
      <w:r w:rsidR="00A76F6C">
        <w:rPr>
          <w:sz w:val="26"/>
          <w:szCs w:val="26"/>
        </w:rPr>
        <w:t>.</w:t>
      </w:r>
    </w:p>
    <w:p w:rsidR="00A76F6C" w:rsidRDefault="00A76F6C" w:rsidP="00844225">
      <w:pPr>
        <w:widowControl/>
        <w:spacing w:line="360" w:lineRule="auto"/>
        <w:ind w:firstLine="1440"/>
        <w:rPr>
          <w:sz w:val="26"/>
          <w:szCs w:val="26"/>
        </w:rPr>
      </w:pPr>
    </w:p>
    <w:p w:rsidR="00A76F6C" w:rsidRDefault="00A76F6C" w:rsidP="00844225">
      <w:pPr>
        <w:widowControl/>
        <w:spacing w:line="360" w:lineRule="auto"/>
        <w:ind w:firstLine="1440"/>
        <w:rPr>
          <w:sz w:val="26"/>
          <w:szCs w:val="26"/>
        </w:rPr>
      </w:pPr>
      <w:r>
        <w:rPr>
          <w:sz w:val="26"/>
          <w:szCs w:val="26"/>
        </w:rPr>
        <w:t>The Company further explains that PIOGA</w:t>
      </w:r>
      <w:r w:rsidR="001A5BA1">
        <w:rPr>
          <w:sz w:val="26"/>
          <w:szCs w:val="26"/>
        </w:rPr>
        <w:t>’</w:t>
      </w:r>
      <w:r>
        <w:rPr>
          <w:sz w:val="26"/>
          <w:szCs w:val="26"/>
        </w:rPr>
        <w:t xml:space="preserve">s argument fails to </w:t>
      </w:r>
      <w:r w:rsidR="00C10897">
        <w:rPr>
          <w:sz w:val="26"/>
          <w:szCs w:val="26"/>
        </w:rPr>
        <w:t>consider</w:t>
      </w:r>
      <w:r>
        <w:rPr>
          <w:sz w:val="26"/>
          <w:szCs w:val="26"/>
        </w:rPr>
        <w:t xml:space="preserve"> whether any other Pennsylvania distribution utilities even have substantial </w:t>
      </w:r>
      <w:r w:rsidRPr="00A76F6C">
        <w:rPr>
          <w:sz w:val="26"/>
          <w:szCs w:val="26"/>
        </w:rPr>
        <w:t>gathering facilities like the Peoples Companies.</w:t>
      </w:r>
      <w:r>
        <w:rPr>
          <w:sz w:val="26"/>
          <w:szCs w:val="26"/>
        </w:rPr>
        <w:t xml:space="preserve"> </w:t>
      </w:r>
      <w:r w:rsidRPr="00A76F6C">
        <w:rPr>
          <w:sz w:val="26"/>
          <w:szCs w:val="26"/>
        </w:rPr>
        <w:t xml:space="preserve"> </w:t>
      </w:r>
      <w:r w:rsidR="000B602F">
        <w:rPr>
          <w:sz w:val="26"/>
          <w:szCs w:val="26"/>
        </w:rPr>
        <w:t xml:space="preserve">In this regard, Peoples Gas references </w:t>
      </w:r>
      <w:r w:rsidRPr="00A76F6C">
        <w:rPr>
          <w:sz w:val="26"/>
          <w:szCs w:val="26"/>
        </w:rPr>
        <w:t xml:space="preserve">Peoples </w:t>
      </w:r>
      <w:r w:rsidRPr="00A76F6C">
        <w:rPr>
          <w:sz w:val="26"/>
          <w:szCs w:val="26"/>
        </w:rPr>
        <w:lastRenderedPageBreak/>
        <w:t>Companies</w:t>
      </w:r>
      <w:r w:rsidR="001A5BA1">
        <w:rPr>
          <w:sz w:val="26"/>
          <w:szCs w:val="26"/>
        </w:rPr>
        <w:t>’</w:t>
      </w:r>
      <w:r w:rsidRPr="00A76F6C">
        <w:rPr>
          <w:sz w:val="26"/>
          <w:szCs w:val="26"/>
        </w:rPr>
        <w:t xml:space="preserve"> witness Mr.</w:t>
      </w:r>
      <w:r w:rsidR="00C93B26">
        <w:rPr>
          <w:sz w:val="26"/>
          <w:szCs w:val="26"/>
        </w:rPr>
        <w:t> </w:t>
      </w:r>
      <w:r w:rsidRPr="00A76F6C">
        <w:rPr>
          <w:sz w:val="26"/>
          <w:szCs w:val="26"/>
        </w:rPr>
        <w:t xml:space="preserve">Gregorini </w:t>
      </w:r>
      <w:r w:rsidR="000B602F">
        <w:rPr>
          <w:sz w:val="26"/>
          <w:szCs w:val="26"/>
        </w:rPr>
        <w:t xml:space="preserve">who </w:t>
      </w:r>
      <w:r w:rsidRPr="00A76F6C">
        <w:rPr>
          <w:sz w:val="26"/>
          <w:szCs w:val="26"/>
        </w:rPr>
        <w:t xml:space="preserve">explained that to his knowledge, </w:t>
      </w:r>
      <w:r w:rsidR="001A5BA1">
        <w:rPr>
          <w:sz w:val="26"/>
          <w:szCs w:val="26"/>
        </w:rPr>
        <w:t>“</w:t>
      </w:r>
      <w:r w:rsidRPr="00A76F6C">
        <w:rPr>
          <w:sz w:val="26"/>
          <w:szCs w:val="26"/>
        </w:rPr>
        <w:t>the Peoples Companies now operate in Pennsylvania the only significant gathering systems owned by a Commission-regulated utility</w:t>
      </w:r>
      <w:r w:rsidR="001A5BA1">
        <w:rPr>
          <w:sz w:val="26"/>
          <w:szCs w:val="26"/>
        </w:rPr>
        <w:t>”</w:t>
      </w:r>
      <w:r w:rsidRPr="00A76F6C">
        <w:rPr>
          <w:sz w:val="26"/>
          <w:szCs w:val="26"/>
        </w:rPr>
        <w:t xml:space="preserve"> and that </w:t>
      </w:r>
      <w:r w:rsidR="001A5BA1">
        <w:rPr>
          <w:sz w:val="26"/>
          <w:szCs w:val="26"/>
        </w:rPr>
        <w:t>“</w:t>
      </w:r>
      <w:r w:rsidRPr="00A76F6C">
        <w:rPr>
          <w:sz w:val="26"/>
          <w:szCs w:val="26"/>
        </w:rPr>
        <w:t>[m]ost other gathering systems are operated by non-utili</w:t>
      </w:r>
      <w:r>
        <w:rPr>
          <w:sz w:val="26"/>
          <w:szCs w:val="26"/>
        </w:rPr>
        <w:t>ties or interstate pipelines.</w:t>
      </w:r>
      <w:r w:rsidR="001A5BA1">
        <w:rPr>
          <w:sz w:val="26"/>
          <w:szCs w:val="26"/>
        </w:rPr>
        <w:t>”</w:t>
      </w:r>
      <w:r>
        <w:rPr>
          <w:sz w:val="26"/>
          <w:szCs w:val="26"/>
        </w:rPr>
        <w:t xml:space="preserve"> Peoples Gas R. Exc. at </w:t>
      </w:r>
      <w:r w:rsidR="00B2268C">
        <w:rPr>
          <w:sz w:val="26"/>
          <w:szCs w:val="26"/>
        </w:rPr>
        <w:t xml:space="preserve">12 </w:t>
      </w:r>
      <w:r w:rsidR="002359A5">
        <w:rPr>
          <w:sz w:val="26"/>
          <w:szCs w:val="26"/>
        </w:rPr>
        <w:t>(</w:t>
      </w:r>
      <w:r w:rsidR="00B2268C">
        <w:rPr>
          <w:sz w:val="26"/>
          <w:szCs w:val="26"/>
        </w:rPr>
        <w:t>citing Peoples Gas St. No. 5-R at 13</w:t>
      </w:r>
      <w:r w:rsidR="002359A5">
        <w:rPr>
          <w:sz w:val="26"/>
          <w:szCs w:val="26"/>
        </w:rPr>
        <w:t>)</w:t>
      </w:r>
      <w:r w:rsidR="00B2268C">
        <w:rPr>
          <w:sz w:val="26"/>
          <w:szCs w:val="26"/>
        </w:rPr>
        <w:t xml:space="preserve">. </w:t>
      </w:r>
    </w:p>
    <w:p w:rsidR="0012107A" w:rsidRDefault="0012107A" w:rsidP="00844225">
      <w:pPr>
        <w:widowControl/>
        <w:spacing w:line="360" w:lineRule="auto"/>
        <w:ind w:firstLine="1440"/>
        <w:rPr>
          <w:sz w:val="26"/>
          <w:szCs w:val="26"/>
        </w:rPr>
      </w:pPr>
    </w:p>
    <w:p w:rsidR="0012107A" w:rsidRDefault="000B602F" w:rsidP="00844225">
      <w:pPr>
        <w:widowControl/>
        <w:spacing w:line="360" w:lineRule="auto"/>
        <w:ind w:firstLine="1440"/>
        <w:rPr>
          <w:sz w:val="26"/>
          <w:szCs w:val="26"/>
        </w:rPr>
      </w:pPr>
      <w:r>
        <w:rPr>
          <w:sz w:val="26"/>
          <w:szCs w:val="26"/>
        </w:rPr>
        <w:t xml:space="preserve">In response to </w:t>
      </w:r>
      <w:r w:rsidR="0012107A">
        <w:rPr>
          <w:sz w:val="26"/>
          <w:szCs w:val="26"/>
        </w:rPr>
        <w:t>PIOGA</w:t>
      </w:r>
      <w:r w:rsidR="001A5BA1">
        <w:rPr>
          <w:sz w:val="26"/>
          <w:szCs w:val="26"/>
        </w:rPr>
        <w:t>’</w:t>
      </w:r>
      <w:r w:rsidR="0012107A">
        <w:rPr>
          <w:sz w:val="26"/>
          <w:szCs w:val="26"/>
        </w:rPr>
        <w:t>s challenge to the ALJ</w:t>
      </w:r>
      <w:r w:rsidR="001A5BA1">
        <w:rPr>
          <w:sz w:val="26"/>
          <w:szCs w:val="26"/>
        </w:rPr>
        <w:t>’</w:t>
      </w:r>
      <w:r w:rsidR="0012107A">
        <w:rPr>
          <w:sz w:val="26"/>
          <w:szCs w:val="26"/>
        </w:rPr>
        <w:t xml:space="preserve">s rejection of the Joint Stipulation, </w:t>
      </w:r>
      <w:r>
        <w:rPr>
          <w:sz w:val="26"/>
          <w:szCs w:val="26"/>
        </w:rPr>
        <w:t xml:space="preserve">the Company </w:t>
      </w:r>
      <w:r w:rsidR="0012107A">
        <w:rPr>
          <w:sz w:val="26"/>
          <w:szCs w:val="26"/>
        </w:rPr>
        <w:t>providing several reasons</w:t>
      </w:r>
      <w:r w:rsidR="00D362A3">
        <w:rPr>
          <w:sz w:val="26"/>
          <w:szCs w:val="26"/>
        </w:rPr>
        <w:t xml:space="preserve"> why it is without merit</w:t>
      </w:r>
      <w:r>
        <w:rPr>
          <w:sz w:val="26"/>
          <w:szCs w:val="26"/>
        </w:rPr>
        <w:t xml:space="preserve"> which we have summarized below</w:t>
      </w:r>
      <w:r w:rsidR="0012107A">
        <w:rPr>
          <w:sz w:val="26"/>
          <w:szCs w:val="26"/>
        </w:rPr>
        <w:t>:</w:t>
      </w:r>
    </w:p>
    <w:p w:rsidR="0012107A" w:rsidRDefault="0012107A" w:rsidP="00844225">
      <w:pPr>
        <w:widowControl/>
        <w:spacing w:line="360" w:lineRule="auto"/>
        <w:ind w:firstLine="1440"/>
        <w:rPr>
          <w:sz w:val="26"/>
          <w:szCs w:val="26"/>
        </w:rPr>
      </w:pPr>
    </w:p>
    <w:p w:rsidR="0012107A" w:rsidRDefault="00D362A3" w:rsidP="00844225">
      <w:pPr>
        <w:widowControl/>
        <w:numPr>
          <w:ilvl w:val="0"/>
          <w:numId w:val="15"/>
        </w:numPr>
        <w:rPr>
          <w:sz w:val="26"/>
          <w:szCs w:val="26"/>
        </w:rPr>
      </w:pPr>
      <w:r w:rsidRPr="00D362A3">
        <w:rPr>
          <w:sz w:val="26"/>
          <w:szCs w:val="26"/>
        </w:rPr>
        <w:t xml:space="preserve">PIOGA mischaracterizes the Joint Stipulation as a </w:t>
      </w:r>
      <w:r w:rsidR="001A5BA1">
        <w:rPr>
          <w:sz w:val="26"/>
          <w:szCs w:val="26"/>
        </w:rPr>
        <w:t>“</w:t>
      </w:r>
      <w:r w:rsidRPr="00D362A3">
        <w:rPr>
          <w:sz w:val="26"/>
          <w:szCs w:val="26"/>
        </w:rPr>
        <w:t>legal position</w:t>
      </w:r>
      <w:r w:rsidR="001A5BA1">
        <w:rPr>
          <w:sz w:val="26"/>
          <w:szCs w:val="26"/>
        </w:rPr>
        <w:t>”</w:t>
      </w:r>
      <w:r w:rsidRPr="00D362A3">
        <w:rPr>
          <w:sz w:val="26"/>
          <w:szCs w:val="26"/>
        </w:rPr>
        <w:t xml:space="preserve"> and not a stipulation of facts. </w:t>
      </w:r>
      <w:r w:rsidR="00EF233A">
        <w:rPr>
          <w:sz w:val="26"/>
          <w:szCs w:val="26"/>
        </w:rPr>
        <w:t xml:space="preserve"> </w:t>
      </w:r>
      <w:r w:rsidRPr="00D362A3">
        <w:rPr>
          <w:sz w:val="26"/>
          <w:szCs w:val="26"/>
        </w:rPr>
        <w:t xml:space="preserve">The relevant portion of the Joint Stipulation states, </w:t>
      </w:r>
      <w:r w:rsidR="001A5BA1">
        <w:rPr>
          <w:sz w:val="26"/>
          <w:szCs w:val="26"/>
        </w:rPr>
        <w:t>“</w:t>
      </w:r>
      <w:r w:rsidRPr="00D362A3">
        <w:rPr>
          <w:sz w:val="26"/>
          <w:szCs w:val="26"/>
        </w:rPr>
        <w:t xml:space="preserve">[T]he Commission acknowledges that due to the technical and operational nature of the midstream gathering service, such services are generally provided on a private contract basis rather than on a </w:t>
      </w:r>
      <w:r w:rsidR="001A5BA1">
        <w:rPr>
          <w:sz w:val="26"/>
          <w:szCs w:val="26"/>
        </w:rPr>
        <w:t>‘</w:t>
      </w:r>
      <w:r w:rsidRPr="00D362A3">
        <w:rPr>
          <w:sz w:val="26"/>
          <w:szCs w:val="26"/>
        </w:rPr>
        <w:t>public utility</w:t>
      </w:r>
      <w:r w:rsidR="001A5BA1">
        <w:rPr>
          <w:sz w:val="26"/>
          <w:szCs w:val="26"/>
        </w:rPr>
        <w:t>’</w:t>
      </w:r>
      <w:r w:rsidR="00EF233A">
        <w:rPr>
          <w:sz w:val="26"/>
          <w:szCs w:val="26"/>
        </w:rPr>
        <w:t xml:space="preserve"> service basis.</w:t>
      </w:r>
      <w:r w:rsidR="001A5BA1">
        <w:rPr>
          <w:sz w:val="26"/>
          <w:szCs w:val="26"/>
        </w:rPr>
        <w:t>”</w:t>
      </w:r>
      <w:r w:rsidR="00EF233A">
        <w:rPr>
          <w:sz w:val="26"/>
          <w:szCs w:val="26"/>
        </w:rPr>
        <w:t xml:space="preserve"> </w:t>
      </w:r>
      <w:r w:rsidRPr="00D362A3">
        <w:rPr>
          <w:sz w:val="26"/>
          <w:szCs w:val="26"/>
        </w:rPr>
        <w:t>PIOGA M</w:t>
      </w:r>
      <w:r w:rsidR="00EF233A">
        <w:rPr>
          <w:sz w:val="26"/>
          <w:szCs w:val="26"/>
        </w:rPr>
        <w:t>.</w:t>
      </w:r>
      <w:r w:rsidRPr="00D362A3">
        <w:rPr>
          <w:sz w:val="26"/>
          <w:szCs w:val="26"/>
        </w:rPr>
        <w:t>B</w:t>
      </w:r>
      <w:r w:rsidR="00EF233A">
        <w:rPr>
          <w:sz w:val="26"/>
          <w:szCs w:val="26"/>
        </w:rPr>
        <w:t xml:space="preserve">., Appx. D at 7. </w:t>
      </w:r>
      <w:r w:rsidRPr="00D362A3">
        <w:rPr>
          <w:sz w:val="26"/>
          <w:szCs w:val="26"/>
        </w:rPr>
        <w:t xml:space="preserve"> A statement as to how gathering services are generally provided in Pennsylvania is not a legal position. I</w:t>
      </w:r>
      <w:r>
        <w:rPr>
          <w:sz w:val="26"/>
          <w:szCs w:val="26"/>
        </w:rPr>
        <w:t>t is a plain statement of fact.</w:t>
      </w:r>
    </w:p>
    <w:p w:rsidR="00EF233A" w:rsidRDefault="00EF233A" w:rsidP="00844225">
      <w:pPr>
        <w:widowControl/>
        <w:ind w:left="360"/>
        <w:rPr>
          <w:sz w:val="26"/>
          <w:szCs w:val="26"/>
        </w:rPr>
      </w:pPr>
    </w:p>
    <w:p w:rsidR="00EF233A" w:rsidRDefault="00EF233A" w:rsidP="00844225">
      <w:pPr>
        <w:widowControl/>
        <w:numPr>
          <w:ilvl w:val="0"/>
          <w:numId w:val="15"/>
        </w:numPr>
        <w:rPr>
          <w:sz w:val="26"/>
          <w:szCs w:val="26"/>
        </w:rPr>
      </w:pPr>
      <w:r w:rsidRPr="00EF233A">
        <w:rPr>
          <w:sz w:val="26"/>
          <w:szCs w:val="26"/>
        </w:rPr>
        <w:t>PIOGA never justifies its failure to present the Joint Stipulation prior to its Main Brief.</w:t>
      </w:r>
      <w:r w:rsidRPr="00EF233A">
        <w:rPr>
          <w:color w:val="000000"/>
          <w:spacing w:val="1"/>
          <w:sz w:val="24"/>
          <w:szCs w:val="22"/>
        </w:rPr>
        <w:t xml:space="preserve"> </w:t>
      </w:r>
      <w:r>
        <w:rPr>
          <w:color w:val="000000"/>
          <w:spacing w:val="1"/>
          <w:sz w:val="24"/>
          <w:szCs w:val="22"/>
        </w:rPr>
        <w:t xml:space="preserve"> </w:t>
      </w:r>
      <w:r w:rsidRPr="00EF233A">
        <w:rPr>
          <w:sz w:val="26"/>
          <w:szCs w:val="26"/>
        </w:rPr>
        <w:t>PIOGA</w:t>
      </w:r>
      <w:r w:rsidR="001A5BA1">
        <w:rPr>
          <w:sz w:val="26"/>
          <w:szCs w:val="26"/>
        </w:rPr>
        <w:t>’</w:t>
      </w:r>
      <w:r w:rsidRPr="00EF233A">
        <w:rPr>
          <w:sz w:val="26"/>
          <w:szCs w:val="26"/>
        </w:rPr>
        <w:t>s claim that the Peoples Companies</w:t>
      </w:r>
      <w:r w:rsidR="001A5BA1">
        <w:rPr>
          <w:sz w:val="26"/>
          <w:szCs w:val="26"/>
        </w:rPr>
        <w:t>’</w:t>
      </w:r>
      <w:r w:rsidRPr="00EF233A">
        <w:rPr>
          <w:sz w:val="26"/>
          <w:szCs w:val="26"/>
        </w:rPr>
        <w:t xml:space="preserve"> due process rights were protected by the ability to respond to the factual assertions contained in the Joint Stipulation in its Reply Brief is a wholly deficient solution to the due process violation that would occur if the Joint Stipulation were considered.</w:t>
      </w:r>
    </w:p>
    <w:p w:rsidR="00EF233A" w:rsidRDefault="00EF233A" w:rsidP="00844225">
      <w:pPr>
        <w:pStyle w:val="ListParagraph"/>
        <w:widowControl/>
        <w:rPr>
          <w:sz w:val="26"/>
          <w:szCs w:val="26"/>
        </w:rPr>
      </w:pPr>
    </w:p>
    <w:p w:rsidR="00EF233A" w:rsidRDefault="00AA58D5" w:rsidP="00844225">
      <w:pPr>
        <w:widowControl/>
        <w:numPr>
          <w:ilvl w:val="0"/>
          <w:numId w:val="15"/>
        </w:numPr>
        <w:rPr>
          <w:sz w:val="26"/>
          <w:szCs w:val="26"/>
        </w:rPr>
      </w:pPr>
      <w:r>
        <w:rPr>
          <w:sz w:val="26"/>
          <w:szCs w:val="26"/>
        </w:rPr>
        <w:t>T</w:t>
      </w:r>
      <w:r w:rsidRPr="00AA58D5">
        <w:rPr>
          <w:sz w:val="26"/>
          <w:szCs w:val="26"/>
        </w:rPr>
        <w:t>he violation of the Peoples Companies</w:t>
      </w:r>
      <w:r w:rsidR="001A5BA1">
        <w:rPr>
          <w:sz w:val="26"/>
          <w:szCs w:val="26"/>
        </w:rPr>
        <w:t>’</w:t>
      </w:r>
      <w:r w:rsidRPr="00AA58D5">
        <w:rPr>
          <w:sz w:val="26"/>
          <w:szCs w:val="26"/>
        </w:rPr>
        <w:t xml:space="preserve"> due process rights is compounded by the fact that the Joint Stipulation was submitted to resolve an appeal in a case between PIOGA and the Commission that did not co</w:t>
      </w:r>
      <w:r>
        <w:rPr>
          <w:sz w:val="26"/>
          <w:szCs w:val="26"/>
        </w:rPr>
        <w:t>ncern Peoples Gas.  Peoples Gas R.B. at 11.</w:t>
      </w:r>
    </w:p>
    <w:p w:rsidR="000B602F" w:rsidRDefault="000B602F" w:rsidP="000B602F">
      <w:pPr>
        <w:widowControl/>
        <w:rPr>
          <w:sz w:val="26"/>
          <w:szCs w:val="26"/>
        </w:rPr>
      </w:pPr>
    </w:p>
    <w:p w:rsidR="00EF233A" w:rsidRPr="0012107A" w:rsidRDefault="00EF233A" w:rsidP="00844225">
      <w:pPr>
        <w:widowControl/>
        <w:rPr>
          <w:sz w:val="26"/>
          <w:szCs w:val="26"/>
        </w:rPr>
      </w:pPr>
    </w:p>
    <w:p w:rsidR="0012107A" w:rsidRDefault="00AA58D5" w:rsidP="00844225">
      <w:pPr>
        <w:widowControl/>
        <w:spacing w:line="360" w:lineRule="auto"/>
        <w:rPr>
          <w:sz w:val="26"/>
          <w:szCs w:val="26"/>
        </w:rPr>
      </w:pPr>
      <w:r>
        <w:rPr>
          <w:sz w:val="26"/>
          <w:szCs w:val="26"/>
        </w:rPr>
        <w:t>Peoples Gas R. Exc. at 12-13.</w:t>
      </w:r>
    </w:p>
    <w:p w:rsidR="00BB4D45" w:rsidRDefault="00BB4D45" w:rsidP="00844225">
      <w:pPr>
        <w:widowControl/>
        <w:spacing w:line="360" w:lineRule="auto"/>
        <w:rPr>
          <w:sz w:val="26"/>
          <w:szCs w:val="26"/>
        </w:rPr>
      </w:pPr>
    </w:p>
    <w:p w:rsidR="00BB4D45" w:rsidRPr="00322A48" w:rsidRDefault="002359A5" w:rsidP="00844225">
      <w:pPr>
        <w:widowControl/>
        <w:spacing w:line="360" w:lineRule="auto"/>
        <w:rPr>
          <w:sz w:val="26"/>
          <w:szCs w:val="26"/>
        </w:rPr>
      </w:pPr>
      <w:r>
        <w:rPr>
          <w:sz w:val="26"/>
          <w:szCs w:val="26"/>
        </w:rPr>
        <w:tab/>
      </w:r>
      <w:r>
        <w:rPr>
          <w:sz w:val="26"/>
          <w:szCs w:val="26"/>
        </w:rPr>
        <w:tab/>
      </w:r>
      <w:r w:rsidR="00BB4D45">
        <w:rPr>
          <w:sz w:val="26"/>
          <w:szCs w:val="26"/>
        </w:rPr>
        <w:t>In its Replies to Exceptions, the OSBA echoes the Company</w:t>
      </w:r>
      <w:r w:rsidR="001A5BA1">
        <w:rPr>
          <w:sz w:val="26"/>
          <w:szCs w:val="26"/>
        </w:rPr>
        <w:t>’</w:t>
      </w:r>
      <w:r w:rsidR="00BB4D45">
        <w:rPr>
          <w:sz w:val="26"/>
          <w:szCs w:val="26"/>
        </w:rPr>
        <w:t xml:space="preserve">s statements that the Equitable Division already has a Commission-approved Rate AGS that charges a different rate for the gathering component of an integrated system, and at the interstate </w:t>
      </w:r>
      <w:r w:rsidR="00BB4D45">
        <w:rPr>
          <w:sz w:val="26"/>
          <w:szCs w:val="26"/>
        </w:rPr>
        <w:lastRenderedPageBreak/>
        <w:t>level, integrated systems charge separately for gathering retainage</w:t>
      </w:r>
      <w:r w:rsidR="00472AB5">
        <w:rPr>
          <w:sz w:val="26"/>
          <w:szCs w:val="26"/>
        </w:rPr>
        <w:t xml:space="preserve">.  OSBA R. Exc. at 4 </w:t>
      </w:r>
      <w:r>
        <w:rPr>
          <w:sz w:val="26"/>
          <w:szCs w:val="26"/>
        </w:rPr>
        <w:t>(</w:t>
      </w:r>
      <w:r w:rsidR="00472AB5">
        <w:rPr>
          <w:sz w:val="26"/>
          <w:szCs w:val="26"/>
        </w:rPr>
        <w:t>citing R.D. at 68-69</w:t>
      </w:r>
      <w:r>
        <w:rPr>
          <w:sz w:val="26"/>
          <w:szCs w:val="26"/>
        </w:rPr>
        <w:t>)</w:t>
      </w:r>
      <w:r w:rsidR="00472AB5">
        <w:rPr>
          <w:sz w:val="26"/>
          <w:szCs w:val="26"/>
        </w:rPr>
        <w:t>.  Therefore, the OSBA submits that PIOGA has offered no compelling reason to treat Peoples Gas</w:t>
      </w:r>
      <w:r w:rsidR="001A5BA1">
        <w:rPr>
          <w:sz w:val="26"/>
          <w:szCs w:val="26"/>
        </w:rPr>
        <w:t>’</w:t>
      </w:r>
      <w:r w:rsidR="00472AB5">
        <w:rPr>
          <w:sz w:val="26"/>
          <w:szCs w:val="26"/>
        </w:rPr>
        <w:t xml:space="preserve"> integrated system any differently.  OSBA R. Exc. at</w:t>
      </w:r>
      <w:r w:rsidR="00C93B26">
        <w:rPr>
          <w:sz w:val="26"/>
          <w:szCs w:val="26"/>
        </w:rPr>
        <w:t> </w:t>
      </w:r>
      <w:r w:rsidR="00472AB5">
        <w:rPr>
          <w:sz w:val="26"/>
          <w:szCs w:val="26"/>
        </w:rPr>
        <w:t>4.</w:t>
      </w:r>
    </w:p>
    <w:p w:rsidR="00CF4F5E" w:rsidRDefault="00CF4F5E" w:rsidP="00844225">
      <w:pPr>
        <w:widowControl/>
        <w:spacing w:line="360" w:lineRule="auto"/>
        <w:rPr>
          <w:sz w:val="26"/>
          <w:szCs w:val="26"/>
        </w:rPr>
      </w:pPr>
    </w:p>
    <w:p w:rsidR="00C86B8A" w:rsidRPr="00A2066B" w:rsidRDefault="00C86B8A" w:rsidP="002F156F">
      <w:pPr>
        <w:pStyle w:val="Heading4"/>
        <w:keepNext/>
        <w:keepLines/>
        <w:numPr>
          <w:ilvl w:val="0"/>
          <w:numId w:val="19"/>
        </w:numPr>
        <w:ind w:left="2160" w:hanging="720"/>
      </w:pPr>
      <w:r>
        <w:t>Disposition</w:t>
      </w:r>
    </w:p>
    <w:p w:rsidR="00C86B8A" w:rsidRDefault="00C86B8A" w:rsidP="002F156F">
      <w:pPr>
        <w:keepNext/>
        <w:keepLines/>
        <w:widowControl/>
        <w:spacing w:line="360" w:lineRule="auto"/>
        <w:rPr>
          <w:sz w:val="26"/>
          <w:szCs w:val="26"/>
        </w:rPr>
      </w:pPr>
    </w:p>
    <w:p w:rsidR="00EF6224" w:rsidRDefault="00EF6224" w:rsidP="00844225">
      <w:pPr>
        <w:widowControl/>
        <w:tabs>
          <w:tab w:val="left" w:pos="1445"/>
          <w:tab w:val="left" w:pos="4410"/>
          <w:tab w:val="left" w:pos="7920"/>
        </w:tabs>
        <w:autoSpaceDE w:val="0"/>
        <w:autoSpaceDN w:val="0"/>
        <w:adjustRightInd w:val="0"/>
        <w:spacing w:line="360" w:lineRule="auto"/>
        <w:ind w:firstLine="1440"/>
        <w:rPr>
          <w:sz w:val="26"/>
          <w:szCs w:val="26"/>
        </w:rPr>
      </w:pPr>
      <w:r>
        <w:rPr>
          <w:sz w:val="26"/>
          <w:szCs w:val="26"/>
        </w:rPr>
        <w:t>Clearly, Peoples Gas</w:t>
      </w:r>
      <w:r w:rsidR="001A5BA1">
        <w:rPr>
          <w:sz w:val="26"/>
          <w:szCs w:val="26"/>
        </w:rPr>
        <w:t>’</w:t>
      </w:r>
      <w:r>
        <w:rPr>
          <w:sz w:val="26"/>
          <w:szCs w:val="26"/>
        </w:rPr>
        <w:t xml:space="preserve"> UFG rate has been a longstanding problem and must be mitigated as expeditiously as possible.  The historic trend of increasing UFG rates on Peoples Gas</w:t>
      </w:r>
      <w:r w:rsidR="001A5BA1">
        <w:rPr>
          <w:sz w:val="26"/>
          <w:szCs w:val="26"/>
        </w:rPr>
        <w:t>’</w:t>
      </w:r>
      <w:r>
        <w:rPr>
          <w:sz w:val="26"/>
          <w:szCs w:val="26"/>
        </w:rPr>
        <w:t xml:space="preserve"> system has resulted in negative consequences on public safety and the cost of service on sales and transportation customers.  In response to that problem, Peoples Gas has repeatedly committed to review, report, analyze and monitor its UFG levels.  However, the Company</w:t>
      </w:r>
      <w:r w:rsidR="001A5BA1">
        <w:rPr>
          <w:sz w:val="26"/>
          <w:szCs w:val="26"/>
        </w:rPr>
        <w:t>’</w:t>
      </w:r>
      <w:r>
        <w:rPr>
          <w:sz w:val="26"/>
          <w:szCs w:val="26"/>
        </w:rPr>
        <w:t>s UFG levels are continuing to increase.  The Company attributes its high UFG levels to the uniqueness of its system compared to the systems of many other NGDCs, in that it includes gathering, transmission and storage assets.</w:t>
      </w:r>
    </w:p>
    <w:p w:rsidR="00DC05D8" w:rsidRDefault="00DC05D8" w:rsidP="00844225">
      <w:pPr>
        <w:widowControl/>
        <w:tabs>
          <w:tab w:val="left" w:pos="1445"/>
          <w:tab w:val="left" w:pos="4410"/>
          <w:tab w:val="left" w:pos="7920"/>
        </w:tabs>
        <w:autoSpaceDE w:val="0"/>
        <w:autoSpaceDN w:val="0"/>
        <w:adjustRightInd w:val="0"/>
        <w:spacing w:line="360" w:lineRule="auto"/>
        <w:ind w:firstLine="1440"/>
        <w:rPr>
          <w:sz w:val="26"/>
          <w:szCs w:val="26"/>
        </w:rPr>
      </w:pPr>
    </w:p>
    <w:p w:rsidR="00DC05D8" w:rsidRPr="004975A5" w:rsidRDefault="00DC05D8" w:rsidP="00844225">
      <w:pPr>
        <w:widowControl/>
        <w:tabs>
          <w:tab w:val="left" w:pos="1445"/>
          <w:tab w:val="left" w:pos="4410"/>
          <w:tab w:val="left" w:pos="7920"/>
        </w:tabs>
        <w:autoSpaceDE w:val="0"/>
        <w:autoSpaceDN w:val="0"/>
        <w:adjustRightInd w:val="0"/>
        <w:spacing w:line="360" w:lineRule="auto"/>
        <w:ind w:firstLine="1440"/>
        <w:rPr>
          <w:sz w:val="26"/>
          <w:szCs w:val="26"/>
        </w:rPr>
      </w:pPr>
      <w:r>
        <w:rPr>
          <w:sz w:val="26"/>
          <w:szCs w:val="26"/>
        </w:rPr>
        <w:t>We concur with PIOGA</w:t>
      </w:r>
      <w:r w:rsidR="001A5BA1">
        <w:rPr>
          <w:sz w:val="26"/>
          <w:szCs w:val="26"/>
        </w:rPr>
        <w:t>’</w:t>
      </w:r>
      <w:r>
        <w:rPr>
          <w:sz w:val="26"/>
          <w:szCs w:val="26"/>
        </w:rPr>
        <w:t xml:space="preserve">s position that NGDCs charging producers separately for gathering retainage is not common.  </w:t>
      </w:r>
      <w:r w:rsidR="00A76206">
        <w:rPr>
          <w:sz w:val="26"/>
          <w:szCs w:val="26"/>
        </w:rPr>
        <w:t>We further do not dispute PIOGA</w:t>
      </w:r>
      <w:r w:rsidR="001A5BA1">
        <w:rPr>
          <w:sz w:val="26"/>
          <w:szCs w:val="26"/>
        </w:rPr>
        <w:t>’</w:t>
      </w:r>
      <w:r w:rsidR="00A76206">
        <w:rPr>
          <w:sz w:val="26"/>
          <w:szCs w:val="26"/>
        </w:rPr>
        <w:t xml:space="preserve">s assertions that </w:t>
      </w:r>
      <w:r w:rsidR="001A5BA1">
        <w:rPr>
          <w:sz w:val="26"/>
          <w:szCs w:val="26"/>
        </w:rPr>
        <w:t>“</w:t>
      </w:r>
      <w:r w:rsidR="00A76206">
        <w:rPr>
          <w:sz w:val="26"/>
          <w:szCs w:val="26"/>
        </w:rPr>
        <w:t xml:space="preserve">in every example provided by </w:t>
      </w:r>
      <w:r w:rsidR="00EF507C">
        <w:rPr>
          <w:sz w:val="26"/>
          <w:szCs w:val="26"/>
        </w:rPr>
        <w:t>[Peoples Gas]</w:t>
      </w:r>
      <w:r w:rsidR="00A76206">
        <w:rPr>
          <w:sz w:val="26"/>
          <w:szCs w:val="26"/>
        </w:rPr>
        <w:t xml:space="preserve"> involving a FERC-regulated interstate integrated pipeline, the gathering pipelines serving state regulated public utility customers are owned by the FERC-regulated pipeline and not by the natural gas distribution public utility whose customers are served</w:t>
      </w:r>
      <w:r w:rsidR="001A5BA1">
        <w:rPr>
          <w:sz w:val="26"/>
          <w:szCs w:val="26"/>
        </w:rPr>
        <w:t>”</w:t>
      </w:r>
      <w:r w:rsidR="00A76206">
        <w:rPr>
          <w:sz w:val="26"/>
          <w:szCs w:val="26"/>
        </w:rPr>
        <w:t xml:space="preserve"> or </w:t>
      </w:r>
      <w:r w:rsidR="001A5BA1">
        <w:rPr>
          <w:sz w:val="26"/>
          <w:szCs w:val="26"/>
        </w:rPr>
        <w:t>“</w:t>
      </w:r>
      <w:r w:rsidR="00A76206">
        <w:rPr>
          <w:sz w:val="26"/>
          <w:szCs w:val="26"/>
        </w:rPr>
        <w:t xml:space="preserve">that [Peoples Gas] has not identified </w:t>
      </w:r>
      <w:r w:rsidR="00A76206" w:rsidRPr="00A76206">
        <w:rPr>
          <w:i/>
          <w:sz w:val="26"/>
          <w:szCs w:val="26"/>
        </w:rPr>
        <w:t>any</w:t>
      </w:r>
      <w:r w:rsidR="00A76206">
        <w:rPr>
          <w:sz w:val="26"/>
          <w:szCs w:val="26"/>
        </w:rPr>
        <w:t xml:space="preserve"> Commission-regulated natural gas distribution company that charges separately for gathering retainage, except its Equitable Division.</w:t>
      </w:r>
      <w:r w:rsidR="001A5BA1">
        <w:rPr>
          <w:sz w:val="26"/>
          <w:szCs w:val="26"/>
        </w:rPr>
        <w:t>”</w:t>
      </w:r>
      <w:r w:rsidR="00EF507C">
        <w:rPr>
          <w:sz w:val="26"/>
          <w:szCs w:val="26"/>
        </w:rPr>
        <w:t xml:space="preserve">  See PIOGA Exc. at 11.</w:t>
      </w:r>
    </w:p>
    <w:p w:rsidR="003E6067" w:rsidRDefault="003E6067" w:rsidP="00844225">
      <w:pPr>
        <w:widowControl/>
        <w:spacing w:line="360" w:lineRule="auto"/>
        <w:ind w:firstLine="1440"/>
        <w:rPr>
          <w:sz w:val="26"/>
          <w:szCs w:val="26"/>
        </w:rPr>
      </w:pPr>
    </w:p>
    <w:p w:rsidR="003E6067" w:rsidRDefault="005B4DA6" w:rsidP="00844225">
      <w:pPr>
        <w:widowControl/>
        <w:spacing w:line="360" w:lineRule="auto"/>
        <w:ind w:firstLine="1440"/>
        <w:rPr>
          <w:sz w:val="26"/>
          <w:szCs w:val="26"/>
        </w:rPr>
      </w:pPr>
      <w:r>
        <w:rPr>
          <w:sz w:val="26"/>
          <w:szCs w:val="26"/>
        </w:rPr>
        <w:t>Notwithstanding our agreement with PIOGA above assertions, it is important to note, however, that Peoples Gas is a unique gas utility entity in Pennsylvania.  I</w:t>
      </w:r>
      <w:r w:rsidR="00DF71EB">
        <w:rPr>
          <w:sz w:val="26"/>
          <w:szCs w:val="26"/>
        </w:rPr>
        <w:t>n the process of providi</w:t>
      </w:r>
      <w:r w:rsidR="002C7C84">
        <w:rPr>
          <w:sz w:val="26"/>
          <w:szCs w:val="26"/>
        </w:rPr>
        <w:t>ng gas distribution service,</w:t>
      </w:r>
      <w:r w:rsidR="00DF71EB">
        <w:rPr>
          <w:sz w:val="26"/>
          <w:szCs w:val="26"/>
        </w:rPr>
        <w:t xml:space="preserve"> Peoples Gas operates its gathering, transmission, storage and distribution facilities as an integrated system.</w:t>
      </w:r>
      <w:r w:rsidR="00CE7009">
        <w:rPr>
          <w:sz w:val="26"/>
          <w:szCs w:val="26"/>
        </w:rPr>
        <w:t xml:space="preserve">  </w:t>
      </w:r>
      <w:r w:rsidR="00CE7009">
        <w:rPr>
          <w:sz w:val="26"/>
          <w:szCs w:val="26"/>
        </w:rPr>
        <w:lastRenderedPageBreak/>
        <w:t>The Company includes the capital costs of the investment in these pipeline f</w:t>
      </w:r>
      <w:r w:rsidR="0039317B">
        <w:rPr>
          <w:sz w:val="26"/>
          <w:szCs w:val="26"/>
        </w:rPr>
        <w:t xml:space="preserve">acilities, including gathering pipelines, in rate base for ratemaking purposes.  Furthermore, the Company includes the cost of operating and maintaining these pipeline facilities, as well as the associated depreciation expense, in its cost of service for ratemaking purposes.  </w:t>
      </w:r>
      <w:r w:rsidR="00A721AE">
        <w:rPr>
          <w:sz w:val="26"/>
          <w:szCs w:val="26"/>
        </w:rPr>
        <w:t>As noted by the Company</w:t>
      </w:r>
      <w:r>
        <w:rPr>
          <w:sz w:val="26"/>
          <w:szCs w:val="26"/>
        </w:rPr>
        <w:t>,</w:t>
      </w:r>
      <w:r w:rsidR="00A721AE">
        <w:rPr>
          <w:sz w:val="26"/>
          <w:szCs w:val="26"/>
        </w:rPr>
        <w:t xml:space="preserve"> b</w:t>
      </w:r>
      <w:r w:rsidR="00A721AE" w:rsidRPr="00A721AE">
        <w:rPr>
          <w:sz w:val="26"/>
          <w:szCs w:val="26"/>
        </w:rPr>
        <w:t xml:space="preserve">oth the Commission and PHMSA define </w:t>
      </w:r>
      <w:r w:rsidR="001A5BA1">
        <w:rPr>
          <w:sz w:val="26"/>
          <w:szCs w:val="26"/>
        </w:rPr>
        <w:t>“</w:t>
      </w:r>
      <w:r w:rsidR="00A721AE" w:rsidRPr="00A721AE">
        <w:rPr>
          <w:sz w:val="26"/>
          <w:szCs w:val="26"/>
        </w:rPr>
        <w:t>gathering line</w:t>
      </w:r>
      <w:r w:rsidR="001A5BA1">
        <w:rPr>
          <w:sz w:val="26"/>
          <w:szCs w:val="26"/>
        </w:rPr>
        <w:t>”</w:t>
      </w:r>
      <w:r w:rsidR="00A721AE" w:rsidRPr="00A721AE">
        <w:rPr>
          <w:sz w:val="26"/>
          <w:szCs w:val="26"/>
        </w:rPr>
        <w:t xml:space="preserve"> as a </w:t>
      </w:r>
      <w:r w:rsidR="001A5BA1">
        <w:rPr>
          <w:sz w:val="26"/>
          <w:szCs w:val="26"/>
        </w:rPr>
        <w:t>“</w:t>
      </w:r>
      <w:r w:rsidR="00A721AE" w:rsidRPr="00A721AE">
        <w:rPr>
          <w:sz w:val="26"/>
          <w:szCs w:val="26"/>
        </w:rPr>
        <w:t>pipeline that transports gas from a current production facility to a transmission line or main</w:t>
      </w:r>
      <w:r w:rsidR="001A5BA1">
        <w:rPr>
          <w:sz w:val="26"/>
          <w:szCs w:val="26"/>
        </w:rPr>
        <w:t>”</w:t>
      </w:r>
      <w:r w:rsidR="00A721AE" w:rsidRPr="00A721AE">
        <w:rPr>
          <w:sz w:val="26"/>
          <w:szCs w:val="26"/>
        </w:rPr>
        <w:t xml:space="preserve"> and define </w:t>
      </w:r>
      <w:r w:rsidR="001A5BA1">
        <w:rPr>
          <w:sz w:val="26"/>
          <w:szCs w:val="26"/>
        </w:rPr>
        <w:t>“</w:t>
      </w:r>
      <w:r w:rsidR="00A721AE" w:rsidRPr="00A721AE">
        <w:rPr>
          <w:sz w:val="26"/>
          <w:szCs w:val="26"/>
        </w:rPr>
        <w:t>distribution line</w:t>
      </w:r>
      <w:r w:rsidR="001A5BA1">
        <w:rPr>
          <w:sz w:val="26"/>
          <w:szCs w:val="26"/>
        </w:rPr>
        <w:t>”</w:t>
      </w:r>
      <w:r w:rsidR="00A721AE" w:rsidRPr="00A721AE">
        <w:rPr>
          <w:sz w:val="26"/>
          <w:szCs w:val="26"/>
        </w:rPr>
        <w:t xml:space="preserve"> as a </w:t>
      </w:r>
      <w:r w:rsidR="001A5BA1">
        <w:rPr>
          <w:sz w:val="26"/>
          <w:szCs w:val="26"/>
        </w:rPr>
        <w:t>“</w:t>
      </w:r>
      <w:r w:rsidR="00A721AE" w:rsidRPr="00A721AE">
        <w:rPr>
          <w:sz w:val="26"/>
          <w:szCs w:val="26"/>
        </w:rPr>
        <w:t>pipeline other than a gathering or transmission line.</w:t>
      </w:r>
      <w:r w:rsidR="001A5BA1">
        <w:rPr>
          <w:sz w:val="26"/>
          <w:szCs w:val="26"/>
        </w:rPr>
        <w:t>”</w:t>
      </w:r>
      <w:r w:rsidR="00A721AE" w:rsidRPr="00A721AE">
        <w:rPr>
          <w:sz w:val="26"/>
          <w:szCs w:val="26"/>
        </w:rPr>
        <w:t xml:space="preserve"> </w:t>
      </w:r>
      <w:r w:rsidR="00A721AE">
        <w:rPr>
          <w:sz w:val="26"/>
          <w:szCs w:val="26"/>
        </w:rPr>
        <w:t xml:space="preserve"> Peoples Gas M.B. at 17 </w:t>
      </w:r>
      <w:r w:rsidR="002359A5">
        <w:rPr>
          <w:sz w:val="26"/>
          <w:szCs w:val="26"/>
        </w:rPr>
        <w:t>(</w:t>
      </w:r>
      <w:r w:rsidR="00A721AE">
        <w:rPr>
          <w:sz w:val="26"/>
          <w:szCs w:val="26"/>
        </w:rPr>
        <w:t xml:space="preserve">citing </w:t>
      </w:r>
      <w:r w:rsidR="00A721AE" w:rsidRPr="00A721AE">
        <w:rPr>
          <w:sz w:val="26"/>
          <w:szCs w:val="26"/>
        </w:rPr>
        <w:t>52 Pa. Code § 59.1; 49 C.F.R. § 192.3</w:t>
      </w:r>
      <w:r w:rsidR="002359A5">
        <w:rPr>
          <w:sz w:val="26"/>
          <w:szCs w:val="26"/>
        </w:rPr>
        <w:t>)</w:t>
      </w:r>
      <w:r w:rsidR="00734F7A">
        <w:rPr>
          <w:sz w:val="26"/>
          <w:szCs w:val="26"/>
        </w:rPr>
        <w:t xml:space="preserve">.  </w:t>
      </w:r>
      <w:r>
        <w:rPr>
          <w:sz w:val="26"/>
          <w:szCs w:val="26"/>
        </w:rPr>
        <w:t xml:space="preserve">I&amp;E witness Cline explained that </w:t>
      </w:r>
      <w:r w:rsidR="001A661C">
        <w:rPr>
          <w:sz w:val="26"/>
          <w:szCs w:val="26"/>
        </w:rPr>
        <w:t>a distribution system is designed to deliver natural gas directly to customers in high density population areas where</w:t>
      </w:r>
      <w:r>
        <w:rPr>
          <w:sz w:val="26"/>
          <w:szCs w:val="26"/>
        </w:rPr>
        <w:t>as</w:t>
      </w:r>
      <w:r w:rsidR="001A661C">
        <w:rPr>
          <w:sz w:val="26"/>
          <w:szCs w:val="26"/>
        </w:rPr>
        <w:t xml:space="preserve"> Peoples Gas</w:t>
      </w:r>
      <w:r w:rsidR="001A5BA1">
        <w:rPr>
          <w:sz w:val="26"/>
          <w:szCs w:val="26"/>
        </w:rPr>
        <w:t>’</w:t>
      </w:r>
      <w:r w:rsidR="001A661C">
        <w:rPr>
          <w:sz w:val="26"/>
          <w:szCs w:val="26"/>
        </w:rPr>
        <w:t xml:space="preserve"> gathering systems were originally designed to gather natural gas from local production wells for the benefit of the entire system.  Attaching customers to these lines was incidental to the original goal of obtaining local supply.  I&amp;E St. No. 1 at 9 </w:t>
      </w:r>
      <w:r w:rsidR="002359A5">
        <w:rPr>
          <w:sz w:val="26"/>
          <w:szCs w:val="26"/>
        </w:rPr>
        <w:t>(</w:t>
      </w:r>
      <w:r w:rsidR="001A661C">
        <w:rPr>
          <w:sz w:val="26"/>
          <w:szCs w:val="26"/>
        </w:rPr>
        <w:t>citing Peoples Gas Exh. No. 2 at 13-16</w:t>
      </w:r>
      <w:r w:rsidR="002359A5">
        <w:rPr>
          <w:sz w:val="26"/>
          <w:szCs w:val="26"/>
        </w:rPr>
        <w:t>)</w:t>
      </w:r>
      <w:r w:rsidR="001A661C">
        <w:rPr>
          <w:sz w:val="26"/>
          <w:szCs w:val="26"/>
        </w:rPr>
        <w:t xml:space="preserve">.  </w:t>
      </w:r>
      <w:r w:rsidR="004C369A">
        <w:rPr>
          <w:sz w:val="26"/>
          <w:szCs w:val="26"/>
        </w:rPr>
        <w:t>Therefore,</w:t>
      </w:r>
      <w:r w:rsidR="00B44E1C">
        <w:rPr>
          <w:sz w:val="26"/>
          <w:szCs w:val="26"/>
        </w:rPr>
        <w:t xml:space="preserve"> Peoples Gas is not dissimilar from FERC-regulated companies that own gathering pipelines serving state regulated public utility customers.</w:t>
      </w:r>
    </w:p>
    <w:p w:rsidR="00EA76BB" w:rsidRDefault="00EA76BB" w:rsidP="00844225">
      <w:pPr>
        <w:widowControl/>
        <w:spacing w:line="360" w:lineRule="auto"/>
        <w:ind w:firstLine="1440"/>
        <w:rPr>
          <w:sz w:val="26"/>
          <w:szCs w:val="26"/>
        </w:rPr>
      </w:pPr>
    </w:p>
    <w:p w:rsidR="00E8097A" w:rsidRDefault="00EA76BB" w:rsidP="00844225">
      <w:pPr>
        <w:widowControl/>
        <w:spacing w:line="360" w:lineRule="auto"/>
        <w:ind w:firstLine="1440"/>
        <w:rPr>
          <w:sz w:val="26"/>
          <w:szCs w:val="26"/>
        </w:rPr>
      </w:pPr>
      <w:r>
        <w:rPr>
          <w:sz w:val="26"/>
          <w:szCs w:val="26"/>
        </w:rPr>
        <w:t>Furthermore</w:t>
      </w:r>
      <w:r w:rsidR="00C81B5E">
        <w:rPr>
          <w:sz w:val="26"/>
          <w:szCs w:val="26"/>
        </w:rPr>
        <w:t xml:space="preserve">, we concur with the Company that </w:t>
      </w:r>
      <w:r w:rsidR="00253405">
        <w:rPr>
          <w:sz w:val="26"/>
          <w:szCs w:val="26"/>
        </w:rPr>
        <w:t xml:space="preserve">its facilities in question are correctly classified as gathering facilities </w:t>
      </w:r>
      <w:r w:rsidR="00C81B5E">
        <w:rPr>
          <w:sz w:val="26"/>
          <w:szCs w:val="26"/>
        </w:rPr>
        <w:t>under FERC</w:t>
      </w:r>
      <w:r w:rsidR="001A5BA1">
        <w:rPr>
          <w:sz w:val="26"/>
          <w:szCs w:val="26"/>
        </w:rPr>
        <w:t>’</w:t>
      </w:r>
      <w:r w:rsidR="00C81B5E">
        <w:rPr>
          <w:sz w:val="26"/>
          <w:szCs w:val="26"/>
        </w:rPr>
        <w:t xml:space="preserve">s modified </w:t>
      </w:r>
      <w:r w:rsidR="001A5BA1">
        <w:rPr>
          <w:sz w:val="26"/>
          <w:szCs w:val="26"/>
        </w:rPr>
        <w:t>“</w:t>
      </w:r>
      <w:r w:rsidR="00C81B5E">
        <w:rPr>
          <w:sz w:val="26"/>
          <w:szCs w:val="26"/>
        </w:rPr>
        <w:t>primary function test</w:t>
      </w:r>
      <w:r w:rsidR="001A5BA1">
        <w:rPr>
          <w:sz w:val="26"/>
          <w:szCs w:val="26"/>
        </w:rPr>
        <w:t>”</w:t>
      </w:r>
      <w:r w:rsidR="00C81B5E">
        <w:rPr>
          <w:sz w:val="26"/>
          <w:szCs w:val="26"/>
        </w:rPr>
        <w:t xml:space="preserve"> which includes consideration of physical and geographical factors including: (1) </w:t>
      </w:r>
      <w:r w:rsidR="00E8097A" w:rsidRPr="00E8097A">
        <w:rPr>
          <w:sz w:val="26"/>
          <w:szCs w:val="26"/>
        </w:rPr>
        <w:t>the length and diameter of the pipelines; (2) the facilities</w:t>
      </w:r>
      <w:r w:rsidR="001A5BA1">
        <w:rPr>
          <w:sz w:val="26"/>
          <w:szCs w:val="26"/>
        </w:rPr>
        <w:t>’</w:t>
      </w:r>
      <w:r w:rsidR="00E8097A" w:rsidRPr="00E8097A">
        <w:rPr>
          <w:sz w:val="26"/>
          <w:szCs w:val="26"/>
        </w:rPr>
        <w:t xml:space="preserve"> geographical configuration; (3) the extension of the facilities beyond the central point in the field; (4) the location of compressors and processing plants; (5) the location of the wells along all or part of a facility; and (6) the</w:t>
      </w:r>
      <w:r w:rsidR="00E8097A" w:rsidRPr="00E8097A">
        <w:rPr>
          <w:color w:val="000000"/>
          <w:sz w:val="23"/>
          <w:szCs w:val="22"/>
        </w:rPr>
        <w:t xml:space="preserve"> </w:t>
      </w:r>
      <w:r w:rsidR="00E8097A" w:rsidRPr="00E8097A">
        <w:rPr>
          <w:sz w:val="26"/>
          <w:szCs w:val="26"/>
        </w:rPr>
        <w:t>operati</w:t>
      </w:r>
      <w:r w:rsidR="00E8097A">
        <w:rPr>
          <w:sz w:val="26"/>
          <w:szCs w:val="26"/>
        </w:rPr>
        <w:t>ng pressures of the pipelines.  Peoples M.B. at</w:t>
      </w:r>
      <w:r w:rsidR="00C93B26">
        <w:rPr>
          <w:sz w:val="26"/>
          <w:szCs w:val="26"/>
        </w:rPr>
        <w:t> </w:t>
      </w:r>
      <w:r w:rsidR="00E8097A">
        <w:rPr>
          <w:sz w:val="26"/>
          <w:szCs w:val="26"/>
        </w:rPr>
        <w:t>17</w:t>
      </w:r>
      <w:r w:rsidR="00C93B26">
        <w:rPr>
          <w:sz w:val="26"/>
          <w:szCs w:val="26"/>
        </w:rPr>
        <w:noBreakHyphen/>
      </w:r>
      <w:r w:rsidR="00E8097A">
        <w:rPr>
          <w:sz w:val="26"/>
          <w:szCs w:val="26"/>
        </w:rPr>
        <w:t>18.</w:t>
      </w:r>
    </w:p>
    <w:p w:rsidR="00824CB3" w:rsidRPr="00E8097A" w:rsidRDefault="00824CB3" w:rsidP="00844225">
      <w:pPr>
        <w:widowControl/>
        <w:spacing w:line="360" w:lineRule="auto"/>
        <w:ind w:firstLine="1440"/>
        <w:rPr>
          <w:sz w:val="26"/>
          <w:szCs w:val="26"/>
        </w:rPr>
      </w:pPr>
    </w:p>
    <w:p w:rsidR="00AD1F76" w:rsidRPr="00AD1F76" w:rsidRDefault="00C25A05" w:rsidP="00844225">
      <w:pPr>
        <w:widowControl/>
        <w:spacing w:line="360" w:lineRule="auto"/>
        <w:ind w:firstLine="1440"/>
        <w:rPr>
          <w:sz w:val="26"/>
          <w:szCs w:val="26"/>
        </w:rPr>
      </w:pPr>
      <w:r>
        <w:rPr>
          <w:sz w:val="26"/>
          <w:szCs w:val="26"/>
        </w:rPr>
        <w:t xml:space="preserve">Based on our review of the record, </w:t>
      </w:r>
      <w:r w:rsidR="008E6538">
        <w:rPr>
          <w:sz w:val="26"/>
          <w:szCs w:val="26"/>
        </w:rPr>
        <w:t>PIOGA</w:t>
      </w:r>
      <w:r w:rsidR="001A5BA1">
        <w:rPr>
          <w:sz w:val="26"/>
          <w:szCs w:val="26"/>
        </w:rPr>
        <w:t>’</w:t>
      </w:r>
      <w:r w:rsidR="00B44896">
        <w:rPr>
          <w:sz w:val="26"/>
          <w:szCs w:val="26"/>
        </w:rPr>
        <w:t>s argument against the use of FERC</w:t>
      </w:r>
      <w:r w:rsidR="001A5BA1">
        <w:rPr>
          <w:sz w:val="26"/>
          <w:szCs w:val="26"/>
        </w:rPr>
        <w:t>’</w:t>
      </w:r>
      <w:r w:rsidR="00B44896">
        <w:rPr>
          <w:sz w:val="26"/>
          <w:szCs w:val="26"/>
        </w:rPr>
        <w:t>s primary function test is weakened by its witness</w:t>
      </w:r>
      <w:r w:rsidR="001A5BA1">
        <w:rPr>
          <w:sz w:val="26"/>
          <w:szCs w:val="26"/>
        </w:rPr>
        <w:t>’</w:t>
      </w:r>
      <w:r w:rsidR="00B44896">
        <w:rPr>
          <w:sz w:val="26"/>
          <w:szCs w:val="26"/>
        </w:rPr>
        <w:t xml:space="preserve"> lack of knowledge of the </w:t>
      </w:r>
      <w:r w:rsidR="00AD1F76">
        <w:rPr>
          <w:sz w:val="26"/>
          <w:szCs w:val="26"/>
        </w:rPr>
        <w:t>method</w:t>
      </w:r>
      <w:r w:rsidR="00A844BE">
        <w:rPr>
          <w:sz w:val="26"/>
          <w:szCs w:val="26"/>
        </w:rPr>
        <w:t xml:space="preserve"> </w:t>
      </w:r>
      <w:r w:rsidR="002359A5">
        <w:rPr>
          <w:sz w:val="26"/>
          <w:szCs w:val="26"/>
        </w:rPr>
        <w:t xml:space="preserve">of the test </w:t>
      </w:r>
      <w:r w:rsidR="00A844BE">
        <w:rPr>
          <w:sz w:val="26"/>
          <w:szCs w:val="26"/>
        </w:rPr>
        <w:t>or its existence</w:t>
      </w:r>
      <w:r w:rsidR="00AD1F76">
        <w:rPr>
          <w:sz w:val="26"/>
          <w:szCs w:val="26"/>
        </w:rPr>
        <w:t xml:space="preserve">.  </w:t>
      </w:r>
      <w:r w:rsidR="00AD1F76" w:rsidRPr="00AD1F76">
        <w:rPr>
          <w:sz w:val="26"/>
          <w:szCs w:val="26"/>
        </w:rPr>
        <w:t>We highlight the testimony o</w:t>
      </w:r>
      <w:r w:rsidR="008E6538">
        <w:rPr>
          <w:sz w:val="26"/>
          <w:szCs w:val="26"/>
        </w:rPr>
        <w:t>f PIOGA</w:t>
      </w:r>
      <w:r w:rsidR="00AD1F76">
        <w:rPr>
          <w:sz w:val="26"/>
          <w:szCs w:val="26"/>
        </w:rPr>
        <w:t xml:space="preserve"> witness, Mr. Hillebrand</w:t>
      </w:r>
      <w:r w:rsidR="00AD1F76" w:rsidRPr="00AD1F76">
        <w:rPr>
          <w:sz w:val="26"/>
          <w:szCs w:val="26"/>
        </w:rPr>
        <w:t>:</w:t>
      </w:r>
    </w:p>
    <w:p w:rsidR="00AD1F76" w:rsidRPr="00AD1F76" w:rsidRDefault="00AD1F76" w:rsidP="00844225">
      <w:pPr>
        <w:widowControl/>
        <w:spacing w:line="360" w:lineRule="auto"/>
        <w:ind w:firstLine="1440"/>
        <w:rPr>
          <w:sz w:val="26"/>
          <w:szCs w:val="26"/>
        </w:rPr>
      </w:pPr>
    </w:p>
    <w:p w:rsidR="00AD1F76" w:rsidRPr="00AD1F76" w:rsidRDefault="00AD1F76" w:rsidP="00844225">
      <w:pPr>
        <w:widowControl/>
        <w:ind w:left="1440" w:right="1440"/>
        <w:rPr>
          <w:sz w:val="26"/>
          <w:szCs w:val="26"/>
        </w:rPr>
      </w:pPr>
      <w:r w:rsidRPr="00AD1F76">
        <w:rPr>
          <w:sz w:val="26"/>
          <w:szCs w:val="26"/>
        </w:rPr>
        <w:lastRenderedPageBreak/>
        <w:t>Q.</w:t>
      </w:r>
      <w:r w:rsidRPr="00AD1F76">
        <w:rPr>
          <w:sz w:val="26"/>
          <w:szCs w:val="26"/>
        </w:rPr>
        <w:tab/>
      </w:r>
      <w:r>
        <w:rPr>
          <w:sz w:val="26"/>
          <w:szCs w:val="26"/>
        </w:rPr>
        <w:t>Are you aware whether the Federal Energy Regulatory Commission uses a primary function test to determine whether facilities are gathering</w:t>
      </w:r>
      <w:r w:rsidRPr="00AD1F76">
        <w:rPr>
          <w:sz w:val="26"/>
          <w:szCs w:val="26"/>
        </w:rPr>
        <w:t>?</w:t>
      </w:r>
    </w:p>
    <w:p w:rsidR="00AD1F76" w:rsidRPr="00AD1F76" w:rsidRDefault="00AD1F76" w:rsidP="00844225">
      <w:pPr>
        <w:widowControl/>
        <w:ind w:left="1440" w:right="1440"/>
        <w:rPr>
          <w:sz w:val="26"/>
          <w:szCs w:val="26"/>
        </w:rPr>
      </w:pPr>
    </w:p>
    <w:p w:rsidR="00AD1F76" w:rsidRPr="00AD1F76" w:rsidRDefault="00AD1F76" w:rsidP="00844225">
      <w:pPr>
        <w:widowControl/>
        <w:ind w:left="1440" w:right="1440"/>
        <w:rPr>
          <w:sz w:val="26"/>
          <w:szCs w:val="26"/>
        </w:rPr>
      </w:pPr>
      <w:r>
        <w:rPr>
          <w:sz w:val="26"/>
          <w:szCs w:val="26"/>
        </w:rPr>
        <w:t>A.</w:t>
      </w:r>
      <w:r>
        <w:rPr>
          <w:sz w:val="26"/>
          <w:szCs w:val="26"/>
        </w:rPr>
        <w:tab/>
        <w:t>I am not</w:t>
      </w:r>
      <w:r w:rsidRPr="00AD1F76">
        <w:rPr>
          <w:sz w:val="26"/>
          <w:szCs w:val="26"/>
        </w:rPr>
        <w:t>.</w:t>
      </w:r>
    </w:p>
    <w:p w:rsidR="00AD1F76" w:rsidRDefault="00AD1F76" w:rsidP="00844225">
      <w:pPr>
        <w:widowControl/>
        <w:ind w:left="1440" w:right="1440"/>
        <w:rPr>
          <w:sz w:val="26"/>
          <w:szCs w:val="26"/>
        </w:rPr>
      </w:pPr>
    </w:p>
    <w:p w:rsidR="00AD1F76" w:rsidRPr="00AD1F76" w:rsidRDefault="00AD1F76" w:rsidP="00844225">
      <w:pPr>
        <w:widowControl/>
        <w:ind w:left="1440" w:right="1440"/>
        <w:jc w:val="center"/>
        <w:rPr>
          <w:sz w:val="26"/>
          <w:szCs w:val="26"/>
        </w:rPr>
      </w:pPr>
      <w:r w:rsidRPr="00AD1F76">
        <w:rPr>
          <w:sz w:val="26"/>
          <w:szCs w:val="26"/>
        </w:rPr>
        <w:t>*</w:t>
      </w:r>
      <w:r w:rsidRPr="00AD1F76">
        <w:rPr>
          <w:sz w:val="26"/>
          <w:szCs w:val="26"/>
        </w:rPr>
        <w:tab/>
        <w:t>*</w:t>
      </w:r>
      <w:r w:rsidRPr="00AD1F76">
        <w:rPr>
          <w:sz w:val="26"/>
          <w:szCs w:val="26"/>
        </w:rPr>
        <w:tab/>
        <w:t>*</w:t>
      </w:r>
    </w:p>
    <w:p w:rsidR="00AD1F76" w:rsidRPr="00AD1F76" w:rsidRDefault="00AD1F76" w:rsidP="00844225">
      <w:pPr>
        <w:widowControl/>
        <w:ind w:right="1440"/>
        <w:rPr>
          <w:sz w:val="26"/>
          <w:szCs w:val="26"/>
        </w:rPr>
      </w:pPr>
    </w:p>
    <w:p w:rsidR="00AD1F76" w:rsidRPr="00AD1F76" w:rsidRDefault="00AD1F76" w:rsidP="00844225">
      <w:pPr>
        <w:widowControl/>
        <w:ind w:left="1440" w:right="1440"/>
        <w:rPr>
          <w:sz w:val="26"/>
          <w:szCs w:val="26"/>
        </w:rPr>
      </w:pPr>
      <w:r w:rsidRPr="00AD1F76">
        <w:rPr>
          <w:sz w:val="26"/>
          <w:szCs w:val="26"/>
        </w:rPr>
        <w:t>Q.</w:t>
      </w:r>
      <w:r w:rsidRPr="00AD1F76">
        <w:rPr>
          <w:sz w:val="26"/>
          <w:szCs w:val="26"/>
        </w:rPr>
        <w:tab/>
      </w:r>
      <w:r w:rsidR="003121F1">
        <w:rPr>
          <w:sz w:val="26"/>
          <w:szCs w:val="26"/>
        </w:rPr>
        <w:t>Could you read that definition for the record please</w:t>
      </w:r>
      <w:r w:rsidRPr="00AD1F76">
        <w:rPr>
          <w:sz w:val="26"/>
          <w:szCs w:val="26"/>
        </w:rPr>
        <w:t>?</w:t>
      </w:r>
    </w:p>
    <w:p w:rsidR="00AD1F76" w:rsidRPr="00AD1F76" w:rsidRDefault="00AD1F76" w:rsidP="00844225">
      <w:pPr>
        <w:widowControl/>
        <w:ind w:left="1440" w:right="1440"/>
        <w:rPr>
          <w:sz w:val="26"/>
          <w:szCs w:val="26"/>
        </w:rPr>
      </w:pPr>
    </w:p>
    <w:p w:rsidR="00AD1F76" w:rsidRPr="00AD1F76" w:rsidRDefault="00AD1F76" w:rsidP="00844225">
      <w:pPr>
        <w:keepNext/>
        <w:keepLines/>
        <w:widowControl/>
        <w:ind w:left="1440" w:right="1440"/>
        <w:rPr>
          <w:sz w:val="26"/>
          <w:szCs w:val="26"/>
        </w:rPr>
      </w:pPr>
      <w:r w:rsidRPr="00AD1F76">
        <w:rPr>
          <w:sz w:val="26"/>
          <w:szCs w:val="26"/>
        </w:rPr>
        <w:t>A.</w:t>
      </w:r>
      <w:r w:rsidRPr="00AD1F76">
        <w:rPr>
          <w:sz w:val="26"/>
          <w:szCs w:val="26"/>
        </w:rPr>
        <w:tab/>
      </w:r>
      <w:r w:rsidR="001A5BA1">
        <w:rPr>
          <w:sz w:val="26"/>
          <w:szCs w:val="26"/>
        </w:rPr>
        <w:t>“</w:t>
      </w:r>
      <w:r w:rsidR="003121F1">
        <w:rPr>
          <w:sz w:val="26"/>
          <w:szCs w:val="26"/>
        </w:rPr>
        <w:t>Gathering line means a pipeline that transports gas from a current production facility to a transportation line or main</w:t>
      </w:r>
      <w:r w:rsidRPr="00AD1F76">
        <w:rPr>
          <w:sz w:val="26"/>
          <w:szCs w:val="26"/>
        </w:rPr>
        <w:t>.</w:t>
      </w:r>
      <w:r w:rsidR="001A5BA1">
        <w:rPr>
          <w:sz w:val="26"/>
          <w:szCs w:val="26"/>
        </w:rPr>
        <w:t>”</w:t>
      </w:r>
    </w:p>
    <w:p w:rsidR="00AD1F76" w:rsidRPr="00AD1F76" w:rsidRDefault="00AD1F76" w:rsidP="00844225">
      <w:pPr>
        <w:widowControl/>
        <w:ind w:left="1440" w:right="1440"/>
        <w:rPr>
          <w:sz w:val="26"/>
          <w:szCs w:val="26"/>
        </w:rPr>
      </w:pPr>
    </w:p>
    <w:p w:rsidR="00AD1F76" w:rsidRPr="00AD1F76" w:rsidRDefault="00AD1F76" w:rsidP="00844225">
      <w:pPr>
        <w:widowControl/>
        <w:ind w:left="1440" w:right="1440"/>
        <w:rPr>
          <w:sz w:val="26"/>
          <w:szCs w:val="26"/>
        </w:rPr>
      </w:pPr>
      <w:r w:rsidRPr="00AD1F76">
        <w:rPr>
          <w:sz w:val="26"/>
          <w:szCs w:val="26"/>
        </w:rPr>
        <w:t>Q.</w:t>
      </w:r>
      <w:r w:rsidRPr="00AD1F76">
        <w:rPr>
          <w:sz w:val="26"/>
          <w:szCs w:val="26"/>
        </w:rPr>
        <w:tab/>
      </w:r>
      <w:r w:rsidR="003121F1">
        <w:rPr>
          <w:sz w:val="26"/>
          <w:szCs w:val="26"/>
        </w:rPr>
        <w:t>Again, is there anything in that definition that establishes whether or not there are customers on a gathering line</w:t>
      </w:r>
      <w:r w:rsidRPr="00AD1F76">
        <w:rPr>
          <w:sz w:val="26"/>
          <w:szCs w:val="26"/>
        </w:rPr>
        <w:t>?</w:t>
      </w:r>
    </w:p>
    <w:p w:rsidR="00AD1F76" w:rsidRPr="00AD1F76" w:rsidRDefault="00AD1F76" w:rsidP="00844225">
      <w:pPr>
        <w:widowControl/>
        <w:ind w:left="1440" w:right="1440"/>
        <w:rPr>
          <w:sz w:val="26"/>
          <w:szCs w:val="26"/>
        </w:rPr>
      </w:pPr>
    </w:p>
    <w:p w:rsidR="00AD1F76" w:rsidRPr="00AD1F76" w:rsidRDefault="003121F1" w:rsidP="00844225">
      <w:pPr>
        <w:widowControl/>
        <w:ind w:left="1440" w:right="1440"/>
        <w:rPr>
          <w:sz w:val="26"/>
          <w:szCs w:val="26"/>
        </w:rPr>
      </w:pPr>
      <w:r>
        <w:rPr>
          <w:sz w:val="26"/>
          <w:szCs w:val="26"/>
        </w:rPr>
        <w:t>A.</w:t>
      </w:r>
      <w:r>
        <w:rPr>
          <w:sz w:val="26"/>
          <w:szCs w:val="26"/>
        </w:rPr>
        <w:tab/>
        <w:t>No</w:t>
      </w:r>
      <w:r w:rsidR="00AD1F76" w:rsidRPr="00AD1F76">
        <w:rPr>
          <w:sz w:val="26"/>
          <w:szCs w:val="26"/>
        </w:rPr>
        <w:t>.</w:t>
      </w:r>
    </w:p>
    <w:p w:rsidR="00AD1F76" w:rsidRPr="00AD1F76" w:rsidRDefault="00AD1F76" w:rsidP="00844225">
      <w:pPr>
        <w:widowControl/>
        <w:ind w:left="1440" w:right="1440"/>
        <w:rPr>
          <w:sz w:val="26"/>
          <w:szCs w:val="26"/>
        </w:rPr>
      </w:pPr>
    </w:p>
    <w:p w:rsidR="00AD1F76" w:rsidRPr="00AD1F76" w:rsidRDefault="00AD1F76" w:rsidP="00844225">
      <w:pPr>
        <w:widowControl/>
        <w:ind w:left="1440" w:right="1440"/>
        <w:rPr>
          <w:sz w:val="26"/>
          <w:szCs w:val="26"/>
        </w:rPr>
      </w:pPr>
      <w:r w:rsidRPr="00AD1F76">
        <w:rPr>
          <w:sz w:val="26"/>
          <w:szCs w:val="26"/>
        </w:rPr>
        <w:t xml:space="preserve">Q. </w:t>
      </w:r>
      <w:r w:rsidRPr="00AD1F76">
        <w:rPr>
          <w:sz w:val="26"/>
          <w:szCs w:val="26"/>
        </w:rPr>
        <w:tab/>
      </w:r>
      <w:r w:rsidR="003121F1">
        <w:rPr>
          <w:sz w:val="26"/>
          <w:szCs w:val="26"/>
        </w:rPr>
        <w:t xml:space="preserve">Are you aware of the term </w:t>
      </w:r>
      <w:r w:rsidR="001A5BA1">
        <w:rPr>
          <w:sz w:val="26"/>
          <w:szCs w:val="26"/>
        </w:rPr>
        <w:t>“</w:t>
      </w:r>
      <w:r w:rsidR="003121F1">
        <w:rPr>
          <w:sz w:val="26"/>
          <w:szCs w:val="26"/>
        </w:rPr>
        <w:t>mainline tap customers</w:t>
      </w:r>
      <w:r w:rsidRPr="00AD1F76">
        <w:rPr>
          <w:sz w:val="26"/>
          <w:szCs w:val="26"/>
        </w:rPr>
        <w:t>?</w:t>
      </w:r>
      <w:r w:rsidR="001A5BA1">
        <w:rPr>
          <w:sz w:val="26"/>
          <w:szCs w:val="26"/>
        </w:rPr>
        <w:t>”</w:t>
      </w:r>
    </w:p>
    <w:p w:rsidR="00AD1F76" w:rsidRPr="00AD1F76" w:rsidRDefault="00AD1F76" w:rsidP="00844225">
      <w:pPr>
        <w:widowControl/>
        <w:ind w:left="1440" w:right="1440"/>
        <w:rPr>
          <w:sz w:val="26"/>
          <w:szCs w:val="26"/>
        </w:rPr>
      </w:pPr>
    </w:p>
    <w:p w:rsidR="00AD1F76" w:rsidRDefault="003121F1" w:rsidP="00844225">
      <w:pPr>
        <w:widowControl/>
        <w:ind w:left="1440" w:right="1440"/>
        <w:rPr>
          <w:sz w:val="26"/>
          <w:szCs w:val="26"/>
        </w:rPr>
      </w:pPr>
      <w:r>
        <w:rPr>
          <w:sz w:val="26"/>
          <w:szCs w:val="26"/>
        </w:rPr>
        <w:t>A.</w:t>
      </w:r>
      <w:r>
        <w:rPr>
          <w:sz w:val="26"/>
          <w:szCs w:val="26"/>
        </w:rPr>
        <w:tab/>
        <w:t>No</w:t>
      </w:r>
      <w:r w:rsidR="00AD1F76" w:rsidRPr="00AD1F76">
        <w:rPr>
          <w:sz w:val="26"/>
          <w:szCs w:val="26"/>
        </w:rPr>
        <w:t>.</w:t>
      </w:r>
    </w:p>
    <w:p w:rsidR="003121F1" w:rsidRDefault="003121F1" w:rsidP="00844225">
      <w:pPr>
        <w:widowControl/>
        <w:ind w:left="1440" w:right="1440"/>
        <w:rPr>
          <w:sz w:val="26"/>
          <w:szCs w:val="26"/>
        </w:rPr>
      </w:pPr>
    </w:p>
    <w:p w:rsidR="003121F1" w:rsidRDefault="003121F1" w:rsidP="00844225">
      <w:pPr>
        <w:widowControl/>
        <w:ind w:left="1440" w:right="1440"/>
        <w:rPr>
          <w:sz w:val="26"/>
          <w:szCs w:val="26"/>
        </w:rPr>
      </w:pPr>
      <w:r>
        <w:rPr>
          <w:sz w:val="26"/>
          <w:szCs w:val="26"/>
        </w:rPr>
        <w:t>Q.</w:t>
      </w:r>
      <w:r>
        <w:rPr>
          <w:sz w:val="26"/>
          <w:szCs w:val="26"/>
        </w:rPr>
        <w:tab/>
        <w:t xml:space="preserve">How about the term </w:t>
      </w:r>
      <w:r w:rsidR="001A5BA1">
        <w:rPr>
          <w:sz w:val="26"/>
          <w:szCs w:val="26"/>
        </w:rPr>
        <w:t>“</w:t>
      </w:r>
      <w:r>
        <w:rPr>
          <w:sz w:val="26"/>
          <w:szCs w:val="26"/>
        </w:rPr>
        <w:t>field line customers?</w:t>
      </w:r>
      <w:r w:rsidR="001A5BA1">
        <w:rPr>
          <w:sz w:val="26"/>
          <w:szCs w:val="26"/>
        </w:rPr>
        <w:t>”</w:t>
      </w:r>
    </w:p>
    <w:p w:rsidR="003121F1" w:rsidRDefault="003121F1" w:rsidP="00844225">
      <w:pPr>
        <w:widowControl/>
        <w:ind w:left="1440" w:right="1440"/>
        <w:rPr>
          <w:sz w:val="26"/>
          <w:szCs w:val="26"/>
        </w:rPr>
      </w:pPr>
    </w:p>
    <w:p w:rsidR="003121F1" w:rsidRDefault="003121F1" w:rsidP="00844225">
      <w:pPr>
        <w:widowControl/>
        <w:ind w:left="1440" w:right="1440"/>
        <w:rPr>
          <w:sz w:val="26"/>
          <w:szCs w:val="26"/>
        </w:rPr>
      </w:pPr>
      <w:r>
        <w:rPr>
          <w:sz w:val="26"/>
          <w:szCs w:val="26"/>
        </w:rPr>
        <w:t>A.</w:t>
      </w:r>
      <w:r>
        <w:rPr>
          <w:sz w:val="26"/>
          <w:szCs w:val="26"/>
        </w:rPr>
        <w:tab/>
        <w:t>No.</w:t>
      </w:r>
    </w:p>
    <w:p w:rsidR="003121F1" w:rsidRDefault="003121F1" w:rsidP="00844225">
      <w:pPr>
        <w:widowControl/>
        <w:ind w:left="1440" w:right="1440"/>
        <w:rPr>
          <w:sz w:val="26"/>
          <w:szCs w:val="26"/>
        </w:rPr>
      </w:pPr>
    </w:p>
    <w:p w:rsidR="003121F1" w:rsidRDefault="003121F1" w:rsidP="00844225">
      <w:pPr>
        <w:widowControl/>
        <w:ind w:left="1440" w:right="1440"/>
        <w:rPr>
          <w:sz w:val="26"/>
          <w:szCs w:val="26"/>
        </w:rPr>
      </w:pPr>
      <w:r>
        <w:rPr>
          <w:sz w:val="26"/>
          <w:szCs w:val="26"/>
        </w:rPr>
        <w:t>Q.</w:t>
      </w:r>
      <w:r>
        <w:rPr>
          <w:sz w:val="26"/>
          <w:szCs w:val="26"/>
        </w:rPr>
        <w:tab/>
        <w:t xml:space="preserve">The term </w:t>
      </w:r>
      <w:r w:rsidR="001A5BA1">
        <w:rPr>
          <w:sz w:val="26"/>
          <w:szCs w:val="26"/>
        </w:rPr>
        <w:t>“</w:t>
      </w:r>
      <w:r>
        <w:rPr>
          <w:sz w:val="26"/>
          <w:szCs w:val="26"/>
        </w:rPr>
        <w:t>dual purpose meters?</w:t>
      </w:r>
      <w:r w:rsidR="001A5BA1">
        <w:rPr>
          <w:sz w:val="26"/>
          <w:szCs w:val="26"/>
        </w:rPr>
        <w:t>”</w:t>
      </w:r>
    </w:p>
    <w:p w:rsidR="003121F1" w:rsidRDefault="003121F1" w:rsidP="00844225">
      <w:pPr>
        <w:widowControl/>
        <w:ind w:left="1440" w:right="1440"/>
        <w:rPr>
          <w:sz w:val="26"/>
          <w:szCs w:val="26"/>
        </w:rPr>
      </w:pPr>
    </w:p>
    <w:p w:rsidR="003121F1" w:rsidRDefault="003121F1" w:rsidP="00844225">
      <w:pPr>
        <w:widowControl/>
        <w:ind w:left="1440" w:right="1440"/>
        <w:rPr>
          <w:sz w:val="26"/>
          <w:szCs w:val="26"/>
        </w:rPr>
      </w:pPr>
      <w:r>
        <w:rPr>
          <w:sz w:val="26"/>
          <w:szCs w:val="26"/>
        </w:rPr>
        <w:t>A.</w:t>
      </w:r>
      <w:r>
        <w:rPr>
          <w:sz w:val="26"/>
          <w:szCs w:val="26"/>
        </w:rPr>
        <w:tab/>
        <w:t xml:space="preserve">No.  </w:t>
      </w:r>
    </w:p>
    <w:p w:rsidR="003121F1" w:rsidRDefault="003121F1" w:rsidP="00844225">
      <w:pPr>
        <w:widowControl/>
        <w:ind w:left="1440" w:right="1440"/>
        <w:rPr>
          <w:sz w:val="26"/>
          <w:szCs w:val="26"/>
        </w:rPr>
      </w:pPr>
    </w:p>
    <w:p w:rsidR="003121F1" w:rsidRDefault="003121F1" w:rsidP="00844225">
      <w:pPr>
        <w:widowControl/>
        <w:ind w:left="1440" w:right="1440"/>
        <w:rPr>
          <w:sz w:val="26"/>
          <w:szCs w:val="26"/>
        </w:rPr>
      </w:pPr>
      <w:r>
        <w:rPr>
          <w:sz w:val="26"/>
          <w:szCs w:val="26"/>
        </w:rPr>
        <w:t>Q.</w:t>
      </w:r>
      <w:r>
        <w:rPr>
          <w:sz w:val="26"/>
          <w:szCs w:val="26"/>
        </w:rPr>
        <w:tab/>
        <w:t>What about situations where a PUC-regulated customer is served directly off an interstate transmission line, are you aware of those situations, any of those situations?</w:t>
      </w:r>
    </w:p>
    <w:p w:rsidR="003121F1" w:rsidRDefault="003121F1" w:rsidP="00844225">
      <w:pPr>
        <w:widowControl/>
        <w:ind w:left="1440" w:right="1440"/>
        <w:rPr>
          <w:sz w:val="26"/>
          <w:szCs w:val="26"/>
        </w:rPr>
      </w:pPr>
    </w:p>
    <w:p w:rsidR="003121F1" w:rsidRPr="00AD1F76" w:rsidRDefault="003121F1" w:rsidP="00844225">
      <w:pPr>
        <w:widowControl/>
        <w:ind w:left="1440" w:right="1440"/>
        <w:rPr>
          <w:sz w:val="26"/>
          <w:szCs w:val="26"/>
        </w:rPr>
      </w:pPr>
      <w:r>
        <w:rPr>
          <w:sz w:val="26"/>
          <w:szCs w:val="26"/>
        </w:rPr>
        <w:t>A.</w:t>
      </w:r>
      <w:r>
        <w:rPr>
          <w:sz w:val="26"/>
          <w:szCs w:val="26"/>
        </w:rPr>
        <w:tab/>
        <w:t>Only through prior testimony here.</w:t>
      </w:r>
    </w:p>
    <w:p w:rsidR="00AD1F76" w:rsidRPr="00AD1F76" w:rsidRDefault="00AD1F76" w:rsidP="00844225">
      <w:pPr>
        <w:widowControl/>
        <w:ind w:left="1440" w:right="1440"/>
        <w:rPr>
          <w:sz w:val="26"/>
          <w:szCs w:val="26"/>
        </w:rPr>
      </w:pPr>
    </w:p>
    <w:p w:rsidR="00AD1F76" w:rsidRPr="00AD1F76" w:rsidRDefault="00AD1F76" w:rsidP="00844225">
      <w:pPr>
        <w:widowControl/>
        <w:ind w:left="1440" w:right="1440"/>
        <w:rPr>
          <w:sz w:val="26"/>
          <w:szCs w:val="26"/>
        </w:rPr>
      </w:pPr>
    </w:p>
    <w:p w:rsidR="00582CE1" w:rsidRDefault="003121F1" w:rsidP="00C25A05">
      <w:pPr>
        <w:widowControl/>
        <w:spacing w:line="360" w:lineRule="auto"/>
        <w:rPr>
          <w:sz w:val="26"/>
          <w:szCs w:val="26"/>
        </w:rPr>
      </w:pPr>
      <w:r>
        <w:rPr>
          <w:rFonts w:eastAsia="Calibri"/>
          <w:sz w:val="26"/>
          <w:szCs w:val="26"/>
        </w:rPr>
        <w:t>Tr. at 84-86</w:t>
      </w:r>
      <w:r w:rsidR="00AD1F76" w:rsidRPr="00AD1F76">
        <w:rPr>
          <w:rFonts w:eastAsia="Calibri"/>
          <w:sz w:val="26"/>
          <w:szCs w:val="26"/>
        </w:rPr>
        <w:t>.</w:t>
      </w:r>
      <w:r w:rsidR="00C25A05">
        <w:rPr>
          <w:rFonts w:eastAsia="Calibri"/>
          <w:sz w:val="26"/>
          <w:szCs w:val="26"/>
        </w:rPr>
        <w:t xml:space="preserve">  </w:t>
      </w:r>
      <w:r w:rsidR="008E6538">
        <w:rPr>
          <w:sz w:val="26"/>
          <w:szCs w:val="26"/>
        </w:rPr>
        <w:t>Th</w:t>
      </w:r>
      <w:r w:rsidR="00C25A05">
        <w:rPr>
          <w:sz w:val="26"/>
          <w:szCs w:val="26"/>
        </w:rPr>
        <w:t>us</w:t>
      </w:r>
      <w:r w:rsidR="008E6538">
        <w:rPr>
          <w:sz w:val="26"/>
          <w:szCs w:val="26"/>
        </w:rPr>
        <w:t>, we are not persuaded by PI</w:t>
      </w:r>
      <w:r w:rsidR="00237106">
        <w:rPr>
          <w:sz w:val="26"/>
          <w:szCs w:val="26"/>
        </w:rPr>
        <w:t>OGA</w:t>
      </w:r>
      <w:r w:rsidR="001A5BA1">
        <w:rPr>
          <w:sz w:val="26"/>
          <w:szCs w:val="26"/>
        </w:rPr>
        <w:t>’</w:t>
      </w:r>
      <w:r w:rsidR="00237106">
        <w:rPr>
          <w:sz w:val="26"/>
          <w:szCs w:val="26"/>
        </w:rPr>
        <w:t>s argument on this issue</w:t>
      </w:r>
      <w:r w:rsidR="00262D1F">
        <w:rPr>
          <w:sz w:val="26"/>
          <w:szCs w:val="26"/>
        </w:rPr>
        <w:t xml:space="preserve">.  </w:t>
      </w:r>
      <w:r w:rsidR="00C25A05">
        <w:rPr>
          <w:sz w:val="26"/>
          <w:szCs w:val="26"/>
        </w:rPr>
        <w:t>Accordingly, w</w:t>
      </w:r>
      <w:r w:rsidR="00262D1F">
        <w:rPr>
          <w:sz w:val="26"/>
          <w:szCs w:val="26"/>
        </w:rPr>
        <w:t>e a</w:t>
      </w:r>
      <w:r w:rsidR="008E6538">
        <w:rPr>
          <w:sz w:val="26"/>
          <w:szCs w:val="26"/>
        </w:rPr>
        <w:t xml:space="preserve">cknowledge </w:t>
      </w:r>
      <w:r w:rsidR="00C25A05">
        <w:rPr>
          <w:sz w:val="26"/>
          <w:szCs w:val="26"/>
        </w:rPr>
        <w:t>that Peoples Gas’</w:t>
      </w:r>
      <w:r w:rsidR="008E6538">
        <w:rPr>
          <w:sz w:val="26"/>
          <w:szCs w:val="26"/>
        </w:rPr>
        <w:t xml:space="preserve"> </w:t>
      </w:r>
      <w:r w:rsidR="00C25A05">
        <w:rPr>
          <w:sz w:val="26"/>
          <w:szCs w:val="26"/>
        </w:rPr>
        <w:t xml:space="preserve">is </w:t>
      </w:r>
      <w:r w:rsidR="001A5BA1">
        <w:rPr>
          <w:sz w:val="26"/>
          <w:szCs w:val="26"/>
        </w:rPr>
        <w:t>“</w:t>
      </w:r>
      <w:r w:rsidR="008E6538" w:rsidRPr="00072015">
        <w:rPr>
          <w:sz w:val="26"/>
          <w:szCs w:val="26"/>
        </w:rPr>
        <w:t>unique</w:t>
      </w:r>
      <w:r w:rsidR="001A5BA1">
        <w:rPr>
          <w:sz w:val="26"/>
          <w:szCs w:val="26"/>
        </w:rPr>
        <w:t>”</w:t>
      </w:r>
      <w:r w:rsidR="008E6538" w:rsidRPr="00072015">
        <w:rPr>
          <w:sz w:val="26"/>
          <w:szCs w:val="26"/>
        </w:rPr>
        <w:t xml:space="preserve"> </w:t>
      </w:r>
      <w:r w:rsidR="00C25A05">
        <w:rPr>
          <w:sz w:val="26"/>
          <w:szCs w:val="26"/>
        </w:rPr>
        <w:t xml:space="preserve">in its </w:t>
      </w:r>
      <w:r w:rsidR="008E6538" w:rsidRPr="00072015">
        <w:rPr>
          <w:sz w:val="26"/>
          <w:szCs w:val="26"/>
        </w:rPr>
        <w:t>position as a Pennsylvania</w:t>
      </w:r>
      <w:r w:rsidR="008E6538">
        <w:rPr>
          <w:sz w:val="26"/>
          <w:szCs w:val="26"/>
        </w:rPr>
        <w:t xml:space="preserve"> </w:t>
      </w:r>
      <w:r w:rsidR="008E6538" w:rsidRPr="00072015">
        <w:rPr>
          <w:sz w:val="26"/>
          <w:szCs w:val="26"/>
        </w:rPr>
        <w:t>gas utility th</w:t>
      </w:r>
      <w:r w:rsidR="008E6538">
        <w:rPr>
          <w:sz w:val="26"/>
          <w:szCs w:val="26"/>
        </w:rPr>
        <w:t>at owns gathering pipelines</w:t>
      </w:r>
      <w:r w:rsidR="00C25A05">
        <w:rPr>
          <w:sz w:val="26"/>
          <w:szCs w:val="26"/>
        </w:rPr>
        <w:t xml:space="preserve">. </w:t>
      </w:r>
      <w:r w:rsidR="00583C07">
        <w:rPr>
          <w:sz w:val="26"/>
          <w:szCs w:val="26"/>
        </w:rPr>
        <w:t xml:space="preserve"> </w:t>
      </w:r>
      <w:r w:rsidR="00C25A05">
        <w:rPr>
          <w:sz w:val="26"/>
          <w:szCs w:val="26"/>
        </w:rPr>
        <w:t xml:space="preserve">Therefore, </w:t>
      </w:r>
      <w:r w:rsidR="00583C07">
        <w:rPr>
          <w:sz w:val="26"/>
          <w:szCs w:val="26"/>
        </w:rPr>
        <w:t xml:space="preserve">we view </w:t>
      </w:r>
      <w:r w:rsidR="002359A5">
        <w:rPr>
          <w:sz w:val="26"/>
          <w:szCs w:val="26"/>
        </w:rPr>
        <w:t xml:space="preserve">the </w:t>
      </w:r>
      <w:r w:rsidR="002359A5">
        <w:rPr>
          <w:sz w:val="26"/>
          <w:szCs w:val="26"/>
        </w:rPr>
        <w:lastRenderedPageBreak/>
        <w:t>Company</w:t>
      </w:r>
      <w:r w:rsidR="001A5BA1">
        <w:rPr>
          <w:sz w:val="26"/>
          <w:szCs w:val="26"/>
        </w:rPr>
        <w:t>’</w:t>
      </w:r>
      <w:r w:rsidR="002359A5">
        <w:rPr>
          <w:sz w:val="26"/>
          <w:szCs w:val="26"/>
        </w:rPr>
        <w:t>s</w:t>
      </w:r>
      <w:r w:rsidR="002359A5" w:rsidRPr="00072015">
        <w:rPr>
          <w:sz w:val="26"/>
          <w:szCs w:val="26"/>
        </w:rPr>
        <w:t xml:space="preserve"> </w:t>
      </w:r>
      <w:r w:rsidR="008E6538" w:rsidRPr="00072015">
        <w:rPr>
          <w:sz w:val="26"/>
          <w:szCs w:val="26"/>
        </w:rPr>
        <w:t>integrated op</w:t>
      </w:r>
      <w:r w:rsidR="008E6538">
        <w:rPr>
          <w:sz w:val="26"/>
          <w:szCs w:val="26"/>
        </w:rPr>
        <w:t xml:space="preserve">erations </w:t>
      </w:r>
      <w:r w:rsidR="00583C07">
        <w:rPr>
          <w:sz w:val="26"/>
          <w:szCs w:val="26"/>
        </w:rPr>
        <w:t xml:space="preserve">as </w:t>
      </w:r>
      <w:r w:rsidR="008E6538">
        <w:rPr>
          <w:sz w:val="26"/>
          <w:szCs w:val="26"/>
        </w:rPr>
        <w:t>comparable to</w:t>
      </w:r>
      <w:r w:rsidR="008E6538" w:rsidRPr="00072015">
        <w:rPr>
          <w:sz w:val="26"/>
          <w:szCs w:val="26"/>
        </w:rPr>
        <w:t xml:space="preserve"> interstate integrated pipelines</w:t>
      </w:r>
      <w:r w:rsidR="00C25A05">
        <w:rPr>
          <w:sz w:val="26"/>
          <w:szCs w:val="26"/>
        </w:rPr>
        <w:t xml:space="preserve"> and conclude that d</w:t>
      </w:r>
      <w:r w:rsidR="00583C07">
        <w:rPr>
          <w:sz w:val="26"/>
          <w:szCs w:val="26"/>
        </w:rPr>
        <w:t xml:space="preserve">ue to </w:t>
      </w:r>
      <w:r w:rsidR="00C25A05">
        <w:rPr>
          <w:sz w:val="26"/>
          <w:szCs w:val="26"/>
        </w:rPr>
        <w:t xml:space="preserve">its </w:t>
      </w:r>
      <w:r w:rsidR="00583C07">
        <w:rPr>
          <w:sz w:val="26"/>
          <w:szCs w:val="26"/>
        </w:rPr>
        <w:t xml:space="preserve">unique integrated system, </w:t>
      </w:r>
      <w:r w:rsidR="00FB6362">
        <w:rPr>
          <w:sz w:val="26"/>
          <w:szCs w:val="26"/>
        </w:rPr>
        <w:t xml:space="preserve">the proposed </w:t>
      </w:r>
      <w:r w:rsidR="00582CE1">
        <w:rPr>
          <w:sz w:val="26"/>
          <w:szCs w:val="26"/>
        </w:rPr>
        <w:t xml:space="preserve">retainage </w:t>
      </w:r>
      <w:r w:rsidR="00FB6362">
        <w:rPr>
          <w:sz w:val="26"/>
          <w:szCs w:val="26"/>
        </w:rPr>
        <w:t xml:space="preserve">charge </w:t>
      </w:r>
      <w:r w:rsidR="00582CE1">
        <w:rPr>
          <w:sz w:val="26"/>
          <w:szCs w:val="26"/>
        </w:rPr>
        <w:t xml:space="preserve">on producers is </w:t>
      </w:r>
      <w:r w:rsidR="002359A5">
        <w:rPr>
          <w:sz w:val="26"/>
          <w:szCs w:val="26"/>
        </w:rPr>
        <w:t>appropriate</w:t>
      </w:r>
      <w:r w:rsidR="00582CE1">
        <w:rPr>
          <w:sz w:val="26"/>
          <w:szCs w:val="26"/>
        </w:rPr>
        <w:t>.</w:t>
      </w:r>
      <w:r w:rsidR="00583C07">
        <w:rPr>
          <w:sz w:val="26"/>
          <w:szCs w:val="26"/>
        </w:rPr>
        <w:t xml:space="preserve">  </w:t>
      </w:r>
      <w:r w:rsidR="009A7FD2">
        <w:rPr>
          <w:sz w:val="26"/>
          <w:szCs w:val="26"/>
        </w:rPr>
        <w:t xml:space="preserve">As such, we </w:t>
      </w:r>
      <w:r w:rsidR="00FB6362">
        <w:rPr>
          <w:sz w:val="26"/>
          <w:szCs w:val="26"/>
        </w:rPr>
        <w:t>agree with the ALJ</w:t>
      </w:r>
      <w:r w:rsidR="00582CE1">
        <w:rPr>
          <w:sz w:val="26"/>
          <w:szCs w:val="26"/>
        </w:rPr>
        <w:t>’s rationale</w:t>
      </w:r>
      <w:r w:rsidR="00FB6362">
        <w:rPr>
          <w:sz w:val="26"/>
          <w:szCs w:val="26"/>
        </w:rPr>
        <w:t xml:space="preserve"> that even though </w:t>
      </w:r>
      <w:r w:rsidR="00582CE1">
        <w:rPr>
          <w:sz w:val="26"/>
          <w:szCs w:val="26"/>
        </w:rPr>
        <w:t>Peoples Gas</w:t>
      </w:r>
      <w:r w:rsidR="002359A5">
        <w:rPr>
          <w:sz w:val="26"/>
          <w:szCs w:val="26"/>
        </w:rPr>
        <w:t xml:space="preserve"> operates</w:t>
      </w:r>
      <w:r w:rsidR="00FB6362">
        <w:rPr>
          <w:sz w:val="26"/>
          <w:szCs w:val="26"/>
        </w:rPr>
        <w:t xml:space="preserve"> an integrated system, </w:t>
      </w:r>
      <w:r w:rsidR="009A7FD2">
        <w:rPr>
          <w:sz w:val="26"/>
          <w:szCs w:val="26"/>
        </w:rPr>
        <w:t>like Equitable,</w:t>
      </w:r>
      <w:r w:rsidR="00FB6362">
        <w:rPr>
          <w:sz w:val="26"/>
          <w:szCs w:val="26"/>
        </w:rPr>
        <w:t xml:space="preserve"> </w:t>
      </w:r>
      <w:r w:rsidR="00582CE1">
        <w:rPr>
          <w:sz w:val="26"/>
          <w:szCs w:val="26"/>
        </w:rPr>
        <w:t xml:space="preserve">it may </w:t>
      </w:r>
      <w:r w:rsidR="00FB6362">
        <w:rPr>
          <w:sz w:val="26"/>
          <w:szCs w:val="26"/>
        </w:rPr>
        <w:t xml:space="preserve">also impose charges </w:t>
      </w:r>
      <w:r w:rsidR="00582CE1">
        <w:rPr>
          <w:sz w:val="26"/>
          <w:szCs w:val="26"/>
        </w:rPr>
        <w:t xml:space="preserve">associated with the </w:t>
      </w:r>
      <w:r w:rsidR="00FB6362">
        <w:rPr>
          <w:sz w:val="26"/>
          <w:szCs w:val="26"/>
        </w:rPr>
        <w:t>individual cost components of its system</w:t>
      </w:r>
      <w:r w:rsidR="009A7FD2">
        <w:rPr>
          <w:sz w:val="26"/>
          <w:szCs w:val="26"/>
        </w:rPr>
        <w:t>,</w:t>
      </w:r>
      <w:r w:rsidR="00FB6362">
        <w:rPr>
          <w:sz w:val="26"/>
          <w:szCs w:val="26"/>
        </w:rPr>
        <w:t xml:space="preserve"> including gathering pipelines.  R.D. at 77.  We note that Equitable already charges a separate Commission-approved negotiated producer rate for its gathering system and so we find no issues with approving the proposed producer retainage charge</w:t>
      </w:r>
      <w:r w:rsidR="009A7FD2">
        <w:rPr>
          <w:sz w:val="26"/>
          <w:szCs w:val="26"/>
        </w:rPr>
        <w:t xml:space="preserve"> for Peoples Gas in this proceeding</w:t>
      </w:r>
      <w:r w:rsidR="00FB6362">
        <w:rPr>
          <w:sz w:val="26"/>
          <w:szCs w:val="26"/>
        </w:rPr>
        <w:t xml:space="preserve">.  Also, while there currently </w:t>
      </w:r>
      <w:r w:rsidR="00582CE1">
        <w:rPr>
          <w:sz w:val="26"/>
          <w:szCs w:val="26"/>
        </w:rPr>
        <w:t xml:space="preserve">are </w:t>
      </w:r>
      <w:r w:rsidR="00FB6362">
        <w:rPr>
          <w:sz w:val="26"/>
          <w:szCs w:val="26"/>
        </w:rPr>
        <w:t xml:space="preserve">no regulated NGDCs </w:t>
      </w:r>
      <w:r w:rsidR="00582CE1">
        <w:rPr>
          <w:sz w:val="26"/>
          <w:szCs w:val="26"/>
        </w:rPr>
        <w:t xml:space="preserve">operating in Pennsylvania that employ </w:t>
      </w:r>
      <w:r w:rsidR="00FB6362">
        <w:rPr>
          <w:sz w:val="26"/>
          <w:szCs w:val="26"/>
        </w:rPr>
        <w:t xml:space="preserve">a similar charge, the record </w:t>
      </w:r>
      <w:r w:rsidR="00582CE1">
        <w:rPr>
          <w:sz w:val="26"/>
          <w:szCs w:val="26"/>
        </w:rPr>
        <w:t xml:space="preserve">in this proceeding </w:t>
      </w:r>
      <w:r w:rsidR="00FB6362">
        <w:rPr>
          <w:sz w:val="26"/>
          <w:szCs w:val="26"/>
        </w:rPr>
        <w:t xml:space="preserve">is inundated with evidence regarding similar systems including FERC-regulated interstate integrated pipelines and unregulated gathering companies that charge producers separately for gathering retainage.  According to Peoples Gas, its proposed 2.9% producer charge is very reasonable compared to the FERC-regulated interstate integrated pipelines </w:t>
      </w:r>
      <w:r w:rsidR="002359A5">
        <w:rPr>
          <w:sz w:val="26"/>
          <w:szCs w:val="26"/>
        </w:rPr>
        <w:t xml:space="preserve">which </w:t>
      </w:r>
      <w:r w:rsidR="00FB6362">
        <w:rPr>
          <w:sz w:val="26"/>
          <w:szCs w:val="26"/>
        </w:rPr>
        <w:t>charges an average of 9.0% retainage rate.  Furthermore, we acknowledge the Peoples Companies explanation that following the 2017 PGC proceedings, it decided to aggressively tackle its high gathering system UFG.  Consequently, it developed a UFG Mitigation Plan and ultimately proposed the producer retainage charge to help mitigate gathering system UFG.</w:t>
      </w:r>
      <w:r w:rsidR="00A168B2">
        <w:rPr>
          <w:sz w:val="26"/>
          <w:szCs w:val="26"/>
        </w:rPr>
        <w:t xml:space="preserve">  </w:t>
      </w:r>
    </w:p>
    <w:p w:rsidR="00582CE1" w:rsidRDefault="00582CE1" w:rsidP="00C25A05">
      <w:pPr>
        <w:widowControl/>
        <w:spacing w:line="360" w:lineRule="auto"/>
        <w:rPr>
          <w:sz w:val="26"/>
          <w:szCs w:val="26"/>
        </w:rPr>
      </w:pPr>
    </w:p>
    <w:p w:rsidR="00C86B8A" w:rsidRDefault="00582CE1" w:rsidP="00C25A05">
      <w:pPr>
        <w:widowControl/>
        <w:spacing w:line="360" w:lineRule="auto"/>
        <w:rPr>
          <w:sz w:val="26"/>
          <w:szCs w:val="26"/>
        </w:rPr>
      </w:pPr>
      <w:r>
        <w:rPr>
          <w:sz w:val="26"/>
          <w:szCs w:val="26"/>
        </w:rPr>
        <w:tab/>
      </w:r>
      <w:r>
        <w:rPr>
          <w:sz w:val="26"/>
          <w:szCs w:val="26"/>
        </w:rPr>
        <w:tab/>
        <w:t>In light of the foregoing discussion, we conclude that the ALJ</w:t>
      </w:r>
      <w:r w:rsidRPr="008E2D0D">
        <w:rPr>
          <w:sz w:val="26"/>
          <w:szCs w:val="26"/>
        </w:rPr>
        <w:t xml:space="preserve"> </w:t>
      </w:r>
      <w:r>
        <w:rPr>
          <w:sz w:val="26"/>
          <w:szCs w:val="26"/>
        </w:rPr>
        <w:t xml:space="preserve">did not </w:t>
      </w:r>
      <w:r w:rsidRPr="008E2D0D">
        <w:rPr>
          <w:sz w:val="26"/>
          <w:szCs w:val="26"/>
        </w:rPr>
        <w:t xml:space="preserve">err in finding that Peoples Gas can impose a </w:t>
      </w:r>
      <w:r>
        <w:rPr>
          <w:sz w:val="26"/>
          <w:szCs w:val="26"/>
        </w:rPr>
        <w:t xml:space="preserve">producer retainage </w:t>
      </w:r>
      <w:r w:rsidRPr="008E2D0D">
        <w:rPr>
          <w:sz w:val="26"/>
          <w:szCs w:val="26"/>
        </w:rPr>
        <w:t>charge for the gathering component of th</w:t>
      </w:r>
      <w:r>
        <w:rPr>
          <w:sz w:val="26"/>
          <w:szCs w:val="26"/>
        </w:rPr>
        <w:t xml:space="preserve">e Company’s integrated system.  Therefore, </w:t>
      </w:r>
      <w:r w:rsidR="008E6538">
        <w:rPr>
          <w:sz w:val="26"/>
          <w:szCs w:val="26"/>
        </w:rPr>
        <w:t>we shall adopt the ALJ</w:t>
      </w:r>
      <w:r w:rsidR="001A5BA1">
        <w:rPr>
          <w:sz w:val="26"/>
          <w:szCs w:val="26"/>
        </w:rPr>
        <w:t>’</w:t>
      </w:r>
      <w:r w:rsidR="008E6538">
        <w:rPr>
          <w:sz w:val="26"/>
          <w:szCs w:val="26"/>
        </w:rPr>
        <w:t>s decision on this issue and deny PIOGA</w:t>
      </w:r>
      <w:r w:rsidR="001A5BA1">
        <w:rPr>
          <w:sz w:val="26"/>
          <w:szCs w:val="26"/>
        </w:rPr>
        <w:t>’</w:t>
      </w:r>
      <w:r w:rsidR="008E6538">
        <w:rPr>
          <w:sz w:val="26"/>
          <w:szCs w:val="26"/>
        </w:rPr>
        <w:t>s Exception No. 3.</w:t>
      </w:r>
    </w:p>
    <w:p w:rsidR="00856918" w:rsidRPr="00322A48" w:rsidRDefault="00856918" w:rsidP="00844225">
      <w:pPr>
        <w:widowControl/>
        <w:spacing w:line="360" w:lineRule="auto"/>
        <w:ind w:firstLine="1440"/>
        <w:rPr>
          <w:sz w:val="26"/>
          <w:szCs w:val="26"/>
        </w:rPr>
      </w:pPr>
    </w:p>
    <w:p w:rsidR="00CF4F5E" w:rsidRPr="00322A48" w:rsidRDefault="00CF4F5E" w:rsidP="002F156F">
      <w:pPr>
        <w:pStyle w:val="Heading3"/>
        <w:keepNext/>
        <w:keepLines/>
        <w:numPr>
          <w:ilvl w:val="0"/>
          <w:numId w:val="14"/>
        </w:numPr>
        <w:ind w:left="1440" w:hanging="720"/>
      </w:pPr>
      <w:bookmarkStart w:id="34" w:name="_Toc524347690"/>
      <w:r w:rsidRPr="00322A48">
        <w:t>PIOGA Exception No. 4</w:t>
      </w:r>
      <w:bookmarkEnd w:id="34"/>
      <w:r w:rsidR="00AA359F">
        <w:t>, Replies and Disposition</w:t>
      </w:r>
    </w:p>
    <w:p w:rsidR="005169F1" w:rsidRDefault="005169F1" w:rsidP="002F156F">
      <w:pPr>
        <w:keepNext/>
        <w:keepLines/>
        <w:widowControl/>
        <w:spacing w:line="360" w:lineRule="auto"/>
        <w:rPr>
          <w:sz w:val="26"/>
          <w:szCs w:val="26"/>
        </w:rPr>
      </w:pPr>
    </w:p>
    <w:p w:rsidR="00EC0B60" w:rsidRDefault="00D676B7" w:rsidP="00844225">
      <w:pPr>
        <w:widowControl/>
        <w:spacing w:line="360" w:lineRule="auto"/>
        <w:ind w:firstLine="1440"/>
        <w:rPr>
          <w:sz w:val="26"/>
          <w:szCs w:val="26"/>
        </w:rPr>
      </w:pPr>
      <w:r>
        <w:rPr>
          <w:sz w:val="26"/>
          <w:szCs w:val="26"/>
        </w:rPr>
        <w:t xml:space="preserve">In its Exception No. 4, PIOGA contends that </w:t>
      </w:r>
      <w:bookmarkStart w:id="35" w:name="_Hlk524475596"/>
      <w:r>
        <w:rPr>
          <w:sz w:val="26"/>
          <w:szCs w:val="26"/>
        </w:rPr>
        <w:t>th</w:t>
      </w:r>
      <w:r w:rsidR="00D118E6">
        <w:rPr>
          <w:sz w:val="26"/>
          <w:szCs w:val="26"/>
        </w:rPr>
        <w:t xml:space="preserve">e ALJ should not have rejected </w:t>
      </w:r>
      <w:r>
        <w:rPr>
          <w:sz w:val="26"/>
          <w:szCs w:val="26"/>
        </w:rPr>
        <w:t>its witness</w:t>
      </w:r>
      <w:r w:rsidR="001A5BA1">
        <w:rPr>
          <w:sz w:val="26"/>
          <w:szCs w:val="26"/>
        </w:rPr>
        <w:t>’</w:t>
      </w:r>
      <w:r>
        <w:rPr>
          <w:sz w:val="26"/>
          <w:szCs w:val="26"/>
        </w:rPr>
        <w:t xml:space="preserve"> definitions of gathering and distrib</w:t>
      </w:r>
      <w:r w:rsidR="00D118E6">
        <w:rPr>
          <w:sz w:val="26"/>
          <w:szCs w:val="26"/>
        </w:rPr>
        <w:t>ution pipelines</w:t>
      </w:r>
      <w:r>
        <w:rPr>
          <w:sz w:val="26"/>
          <w:szCs w:val="26"/>
        </w:rPr>
        <w:t xml:space="preserve">.  </w:t>
      </w:r>
      <w:r w:rsidR="00D118E6">
        <w:rPr>
          <w:sz w:val="26"/>
          <w:szCs w:val="26"/>
        </w:rPr>
        <w:t xml:space="preserve">PIOGA maintains </w:t>
      </w:r>
      <w:r w:rsidR="00D118E6">
        <w:rPr>
          <w:sz w:val="26"/>
          <w:szCs w:val="26"/>
        </w:rPr>
        <w:lastRenderedPageBreak/>
        <w:t xml:space="preserve">that the definitions put forth by its witness are more appropriate than those used by the Commission, PHMSA, and FERC because its witness has experience as an engineer in the oil and gas industry. </w:t>
      </w:r>
      <w:bookmarkEnd w:id="35"/>
      <w:r w:rsidR="00D118E6">
        <w:rPr>
          <w:sz w:val="26"/>
          <w:szCs w:val="26"/>
        </w:rPr>
        <w:t xml:space="preserve"> PIOGA Exc. at 12-16</w:t>
      </w:r>
      <w:r w:rsidR="00A168B2">
        <w:rPr>
          <w:sz w:val="26"/>
          <w:szCs w:val="26"/>
        </w:rPr>
        <w:t xml:space="preserve"> </w:t>
      </w:r>
      <w:r w:rsidR="002359A5">
        <w:rPr>
          <w:sz w:val="26"/>
          <w:szCs w:val="26"/>
        </w:rPr>
        <w:t>(</w:t>
      </w:r>
      <w:r w:rsidR="00A168B2">
        <w:rPr>
          <w:sz w:val="26"/>
          <w:szCs w:val="26"/>
        </w:rPr>
        <w:t>citing R.D at 69-81; Finding of Fact No.</w:t>
      </w:r>
      <w:r w:rsidR="002F156F">
        <w:rPr>
          <w:sz w:val="26"/>
          <w:szCs w:val="26"/>
        </w:rPr>
        <w:t> </w:t>
      </w:r>
      <w:r w:rsidR="00A168B2">
        <w:rPr>
          <w:sz w:val="26"/>
          <w:szCs w:val="26"/>
        </w:rPr>
        <w:t>64; Conclusion of Law No. 28; Ordering Paragraph Nos. 2, 4, 7, 8</w:t>
      </w:r>
      <w:r w:rsidR="002359A5">
        <w:rPr>
          <w:sz w:val="26"/>
          <w:szCs w:val="26"/>
        </w:rPr>
        <w:t>)</w:t>
      </w:r>
      <w:r w:rsidR="00D118E6">
        <w:rPr>
          <w:sz w:val="26"/>
          <w:szCs w:val="26"/>
        </w:rPr>
        <w:t xml:space="preserve">.  </w:t>
      </w:r>
      <w:r w:rsidR="00923B04">
        <w:rPr>
          <w:sz w:val="26"/>
          <w:szCs w:val="26"/>
        </w:rPr>
        <w:t xml:space="preserve">Further, PIOGA alleges that </w:t>
      </w:r>
      <w:r w:rsidR="00FE518C">
        <w:rPr>
          <w:sz w:val="26"/>
          <w:szCs w:val="26"/>
        </w:rPr>
        <w:t>Peoples Gas</w:t>
      </w:r>
      <w:r w:rsidR="00923B04">
        <w:rPr>
          <w:sz w:val="26"/>
          <w:szCs w:val="26"/>
        </w:rPr>
        <w:t xml:space="preserve"> was inconsistent in how it reported gas deliveries in its UFG reports for 2016 and 2017.  PIOGA Exc. at 13-15.  </w:t>
      </w:r>
    </w:p>
    <w:p w:rsidR="00923B04" w:rsidRDefault="00923B04" w:rsidP="00844225">
      <w:pPr>
        <w:widowControl/>
        <w:spacing w:line="360" w:lineRule="auto"/>
        <w:ind w:firstLine="1440"/>
        <w:rPr>
          <w:sz w:val="26"/>
          <w:szCs w:val="26"/>
        </w:rPr>
      </w:pPr>
    </w:p>
    <w:p w:rsidR="00923B04" w:rsidRDefault="00FE518C" w:rsidP="00844225">
      <w:pPr>
        <w:widowControl/>
        <w:spacing w:line="360" w:lineRule="auto"/>
        <w:ind w:firstLine="1440"/>
        <w:rPr>
          <w:sz w:val="26"/>
          <w:szCs w:val="26"/>
        </w:rPr>
      </w:pPr>
      <w:r>
        <w:rPr>
          <w:sz w:val="26"/>
          <w:szCs w:val="26"/>
        </w:rPr>
        <w:t>Peoples Gas replies that</w:t>
      </w:r>
      <w:r w:rsidR="00E532DD">
        <w:rPr>
          <w:sz w:val="26"/>
          <w:szCs w:val="26"/>
        </w:rPr>
        <w:t xml:space="preserve"> the classification of pipelines should be driven by the definitions and analyses used by the Commission, PHMSA and FERC</w:t>
      </w:r>
      <w:r>
        <w:rPr>
          <w:sz w:val="26"/>
          <w:szCs w:val="26"/>
        </w:rPr>
        <w:t xml:space="preserve"> –</w:t>
      </w:r>
      <w:r w:rsidR="00E532DD">
        <w:rPr>
          <w:sz w:val="26"/>
          <w:szCs w:val="26"/>
        </w:rPr>
        <w:t xml:space="preserve"> not PIOGA</w:t>
      </w:r>
      <w:r w:rsidR="001A5BA1">
        <w:rPr>
          <w:sz w:val="26"/>
          <w:szCs w:val="26"/>
        </w:rPr>
        <w:t>’</w:t>
      </w:r>
      <w:r w:rsidR="00E532DD">
        <w:rPr>
          <w:sz w:val="26"/>
          <w:szCs w:val="26"/>
        </w:rPr>
        <w:t>s unprecedented and unfounded definitions</w:t>
      </w:r>
      <w:r>
        <w:rPr>
          <w:sz w:val="26"/>
          <w:szCs w:val="26"/>
        </w:rPr>
        <w:t xml:space="preserve">.  The Company </w:t>
      </w:r>
      <w:r w:rsidR="00E532DD">
        <w:rPr>
          <w:sz w:val="26"/>
          <w:szCs w:val="26"/>
        </w:rPr>
        <w:t>submit</w:t>
      </w:r>
      <w:r>
        <w:rPr>
          <w:sz w:val="26"/>
          <w:szCs w:val="26"/>
        </w:rPr>
        <w:t xml:space="preserve">s </w:t>
      </w:r>
      <w:r w:rsidR="00E532DD">
        <w:rPr>
          <w:sz w:val="26"/>
          <w:szCs w:val="26"/>
        </w:rPr>
        <w:t>that PIOGA</w:t>
      </w:r>
      <w:r w:rsidR="001A5BA1">
        <w:rPr>
          <w:sz w:val="26"/>
          <w:szCs w:val="26"/>
        </w:rPr>
        <w:t>’</w:t>
      </w:r>
      <w:r w:rsidR="00E532DD">
        <w:rPr>
          <w:sz w:val="26"/>
          <w:szCs w:val="26"/>
        </w:rPr>
        <w:t>s definitions were designed solely to avoid responsibility for UFG on the gathering system.  The Company further notes the ALJ</w:t>
      </w:r>
      <w:r w:rsidR="001A5BA1">
        <w:rPr>
          <w:sz w:val="26"/>
          <w:szCs w:val="26"/>
        </w:rPr>
        <w:t>’</w:t>
      </w:r>
      <w:r w:rsidR="00E532DD">
        <w:rPr>
          <w:sz w:val="26"/>
          <w:szCs w:val="26"/>
        </w:rPr>
        <w:t xml:space="preserve">s </w:t>
      </w:r>
      <w:r>
        <w:rPr>
          <w:sz w:val="26"/>
          <w:szCs w:val="26"/>
        </w:rPr>
        <w:t xml:space="preserve">determination </w:t>
      </w:r>
      <w:r w:rsidR="00E532DD">
        <w:rPr>
          <w:sz w:val="26"/>
          <w:szCs w:val="26"/>
        </w:rPr>
        <w:t xml:space="preserve">that </w:t>
      </w:r>
      <w:r w:rsidR="001A5BA1">
        <w:rPr>
          <w:sz w:val="26"/>
          <w:szCs w:val="26"/>
        </w:rPr>
        <w:t>“</w:t>
      </w:r>
      <w:r w:rsidR="00E532DD">
        <w:rPr>
          <w:sz w:val="26"/>
          <w:szCs w:val="26"/>
        </w:rPr>
        <w:t>no persuasive evidence was presented to establish that the connection of customers to gathering plant would alter the essential nature of the plant as gathering.</w:t>
      </w:r>
      <w:r w:rsidR="001A5BA1">
        <w:rPr>
          <w:sz w:val="26"/>
          <w:szCs w:val="26"/>
        </w:rPr>
        <w:t>”</w:t>
      </w:r>
      <w:r w:rsidR="00E532DD">
        <w:rPr>
          <w:sz w:val="26"/>
          <w:szCs w:val="26"/>
        </w:rPr>
        <w:t xml:space="preserve">  Peoples Gas R. Exc. at 14-19 </w:t>
      </w:r>
      <w:r w:rsidR="002359A5">
        <w:rPr>
          <w:sz w:val="26"/>
          <w:szCs w:val="26"/>
        </w:rPr>
        <w:t>(</w:t>
      </w:r>
      <w:r w:rsidR="00E532DD">
        <w:rPr>
          <w:sz w:val="26"/>
          <w:szCs w:val="26"/>
        </w:rPr>
        <w:t>citing R.D. at</w:t>
      </w:r>
      <w:r>
        <w:rPr>
          <w:sz w:val="26"/>
          <w:szCs w:val="26"/>
        </w:rPr>
        <w:t> </w:t>
      </w:r>
      <w:r w:rsidR="00E532DD">
        <w:rPr>
          <w:sz w:val="26"/>
          <w:szCs w:val="26"/>
        </w:rPr>
        <w:t>71</w:t>
      </w:r>
      <w:r w:rsidR="002359A5">
        <w:rPr>
          <w:sz w:val="26"/>
          <w:szCs w:val="26"/>
        </w:rPr>
        <w:t>)</w:t>
      </w:r>
      <w:r w:rsidR="00E532DD">
        <w:rPr>
          <w:sz w:val="26"/>
          <w:szCs w:val="26"/>
        </w:rPr>
        <w:t>.</w:t>
      </w:r>
    </w:p>
    <w:p w:rsidR="00E532DD" w:rsidRDefault="00E532DD" w:rsidP="00844225">
      <w:pPr>
        <w:widowControl/>
        <w:spacing w:line="360" w:lineRule="auto"/>
        <w:ind w:firstLine="1440"/>
        <w:rPr>
          <w:sz w:val="26"/>
          <w:szCs w:val="26"/>
        </w:rPr>
      </w:pPr>
    </w:p>
    <w:p w:rsidR="00E532DD" w:rsidRDefault="00661AEE" w:rsidP="00844225">
      <w:pPr>
        <w:widowControl/>
        <w:spacing w:line="360" w:lineRule="auto"/>
        <w:ind w:firstLine="1440"/>
        <w:rPr>
          <w:sz w:val="26"/>
          <w:szCs w:val="26"/>
        </w:rPr>
      </w:pPr>
      <w:r>
        <w:rPr>
          <w:sz w:val="26"/>
          <w:szCs w:val="26"/>
        </w:rPr>
        <w:t>Further, the Company explains the alleged flaws with PIOGA</w:t>
      </w:r>
      <w:r w:rsidR="001A5BA1">
        <w:rPr>
          <w:sz w:val="26"/>
          <w:szCs w:val="26"/>
        </w:rPr>
        <w:t>’</w:t>
      </w:r>
      <w:r>
        <w:rPr>
          <w:sz w:val="26"/>
          <w:szCs w:val="26"/>
        </w:rPr>
        <w:t xml:space="preserve">s definitions, which include the lack of critical and basic knowledge of its witness to classify these pipelines properly, </w:t>
      </w:r>
      <w:r w:rsidR="006B678E">
        <w:rPr>
          <w:sz w:val="26"/>
          <w:szCs w:val="26"/>
        </w:rPr>
        <w:t xml:space="preserve">the lack of its </w:t>
      </w:r>
      <w:r>
        <w:rPr>
          <w:sz w:val="26"/>
          <w:szCs w:val="26"/>
        </w:rPr>
        <w:t>witness</w:t>
      </w:r>
      <w:r w:rsidR="001A5BA1">
        <w:rPr>
          <w:sz w:val="26"/>
          <w:szCs w:val="26"/>
        </w:rPr>
        <w:t>’</w:t>
      </w:r>
      <w:r>
        <w:rPr>
          <w:sz w:val="26"/>
          <w:szCs w:val="26"/>
        </w:rPr>
        <w:t xml:space="preserve"> experience on the natural gas utility side of the industry, the contradiction of PIOGA</w:t>
      </w:r>
      <w:r w:rsidR="001A5BA1">
        <w:rPr>
          <w:sz w:val="26"/>
          <w:szCs w:val="26"/>
        </w:rPr>
        <w:t>’</w:t>
      </w:r>
      <w:r>
        <w:rPr>
          <w:sz w:val="26"/>
          <w:szCs w:val="26"/>
        </w:rPr>
        <w:t>s definitions with those set forth in Commission and PHMSA regulations, as well as FERC</w:t>
      </w:r>
      <w:r w:rsidR="001A5BA1">
        <w:rPr>
          <w:sz w:val="26"/>
          <w:szCs w:val="26"/>
        </w:rPr>
        <w:t>’</w:t>
      </w:r>
      <w:r>
        <w:rPr>
          <w:sz w:val="26"/>
          <w:szCs w:val="26"/>
        </w:rPr>
        <w:t xml:space="preserve">s </w:t>
      </w:r>
      <w:r w:rsidR="001A5BA1">
        <w:rPr>
          <w:sz w:val="26"/>
          <w:szCs w:val="26"/>
        </w:rPr>
        <w:t>“</w:t>
      </w:r>
      <w:r>
        <w:rPr>
          <w:sz w:val="26"/>
          <w:szCs w:val="26"/>
        </w:rPr>
        <w:t>modified primary function test</w:t>
      </w:r>
      <w:r w:rsidR="00FD7710">
        <w:rPr>
          <w:sz w:val="26"/>
          <w:szCs w:val="26"/>
        </w:rPr>
        <w:t>,</w:t>
      </w:r>
      <w:r w:rsidR="001A5BA1">
        <w:rPr>
          <w:sz w:val="26"/>
          <w:szCs w:val="26"/>
        </w:rPr>
        <w:t>”</w:t>
      </w:r>
      <w:r>
        <w:rPr>
          <w:sz w:val="26"/>
          <w:szCs w:val="26"/>
        </w:rPr>
        <w:t xml:space="preserve"> which FERC uses to determine if facilities are non-jurisdictional gathering facilities, and the possibility that PIOGA</w:t>
      </w:r>
      <w:r w:rsidR="001A5BA1">
        <w:rPr>
          <w:sz w:val="26"/>
          <w:szCs w:val="26"/>
        </w:rPr>
        <w:t>’</w:t>
      </w:r>
      <w:r>
        <w:rPr>
          <w:sz w:val="26"/>
          <w:szCs w:val="26"/>
        </w:rPr>
        <w:t xml:space="preserve">s definitions would lead to irrational outcomes.  </w:t>
      </w:r>
      <w:r w:rsidR="00C558AB">
        <w:rPr>
          <w:sz w:val="26"/>
          <w:szCs w:val="26"/>
        </w:rPr>
        <w:t>Peoples Gas R.</w:t>
      </w:r>
      <w:r w:rsidR="00863861">
        <w:rPr>
          <w:sz w:val="26"/>
          <w:szCs w:val="26"/>
        </w:rPr>
        <w:t> </w:t>
      </w:r>
      <w:r w:rsidR="00C558AB">
        <w:rPr>
          <w:sz w:val="26"/>
          <w:szCs w:val="26"/>
        </w:rPr>
        <w:t xml:space="preserve"> Exc. at 15-17.</w:t>
      </w:r>
    </w:p>
    <w:p w:rsidR="00C558AB" w:rsidRDefault="00C558AB" w:rsidP="00844225">
      <w:pPr>
        <w:widowControl/>
        <w:spacing w:line="360" w:lineRule="auto"/>
        <w:ind w:firstLine="1440"/>
        <w:rPr>
          <w:sz w:val="26"/>
          <w:szCs w:val="26"/>
        </w:rPr>
      </w:pPr>
    </w:p>
    <w:p w:rsidR="00C558AB" w:rsidRDefault="005948A2" w:rsidP="00844225">
      <w:pPr>
        <w:widowControl/>
        <w:spacing w:line="360" w:lineRule="auto"/>
        <w:ind w:firstLine="1440"/>
        <w:rPr>
          <w:sz w:val="26"/>
          <w:szCs w:val="26"/>
        </w:rPr>
      </w:pPr>
      <w:r>
        <w:rPr>
          <w:sz w:val="26"/>
          <w:szCs w:val="26"/>
        </w:rPr>
        <w:t>Next, the Company asserts that PIOGA erroneously relied on the Company</w:t>
      </w:r>
      <w:r w:rsidR="001A5BA1">
        <w:rPr>
          <w:sz w:val="26"/>
          <w:szCs w:val="26"/>
        </w:rPr>
        <w:t>’</w:t>
      </w:r>
      <w:r>
        <w:rPr>
          <w:sz w:val="26"/>
          <w:szCs w:val="26"/>
        </w:rPr>
        <w:t xml:space="preserve">s UFG reports as support for its disregard of the regulatory definitions used by the Commission, PHMSA, and FERC to classify pipelines.  The Company </w:t>
      </w:r>
      <w:r w:rsidR="00FE518C">
        <w:rPr>
          <w:sz w:val="26"/>
          <w:szCs w:val="26"/>
        </w:rPr>
        <w:t>contends</w:t>
      </w:r>
      <w:r>
        <w:rPr>
          <w:sz w:val="26"/>
          <w:szCs w:val="26"/>
        </w:rPr>
        <w:t xml:space="preserve"> that the classification of pipelines cannot change based upon a UFG </w:t>
      </w:r>
      <w:r w:rsidR="00B947B7">
        <w:rPr>
          <w:sz w:val="26"/>
          <w:szCs w:val="26"/>
        </w:rPr>
        <w:t>report but</w:t>
      </w:r>
      <w:r w:rsidR="00227208">
        <w:rPr>
          <w:sz w:val="26"/>
          <w:szCs w:val="26"/>
        </w:rPr>
        <w:t xml:space="preserve"> should be </w:t>
      </w:r>
      <w:r w:rsidR="00227208">
        <w:rPr>
          <w:sz w:val="26"/>
          <w:szCs w:val="26"/>
        </w:rPr>
        <w:lastRenderedPageBreak/>
        <w:t xml:space="preserve">classified based </w:t>
      </w:r>
      <w:r>
        <w:rPr>
          <w:sz w:val="26"/>
          <w:szCs w:val="26"/>
        </w:rPr>
        <w:t xml:space="preserve">on the definitions and methods employed by the Commission, PHMSA, and FERC.  Peoples Gas R. Exc. at 18.  </w:t>
      </w:r>
    </w:p>
    <w:p w:rsidR="00EC0B60" w:rsidRDefault="00EC0B60" w:rsidP="00844225">
      <w:pPr>
        <w:widowControl/>
        <w:spacing w:line="360" w:lineRule="auto"/>
        <w:rPr>
          <w:sz w:val="26"/>
          <w:szCs w:val="26"/>
        </w:rPr>
      </w:pPr>
    </w:p>
    <w:p w:rsidR="00EC0B60" w:rsidRDefault="005948A2" w:rsidP="00844225">
      <w:pPr>
        <w:widowControl/>
        <w:spacing w:line="360" w:lineRule="auto"/>
        <w:ind w:firstLine="1440"/>
        <w:rPr>
          <w:sz w:val="26"/>
          <w:szCs w:val="26"/>
        </w:rPr>
      </w:pPr>
      <w:r>
        <w:rPr>
          <w:sz w:val="26"/>
          <w:szCs w:val="26"/>
        </w:rPr>
        <w:t>In its Replies to Exceptions, the OSBA asserted that even if PIOGA</w:t>
      </w:r>
      <w:r w:rsidR="001A5BA1">
        <w:rPr>
          <w:sz w:val="26"/>
          <w:szCs w:val="26"/>
        </w:rPr>
        <w:t>’</w:t>
      </w:r>
      <w:r>
        <w:rPr>
          <w:sz w:val="26"/>
          <w:szCs w:val="26"/>
        </w:rPr>
        <w:t>s alternative definitions were adopted, it does not change the fact that conventional gas producers use the Company</w:t>
      </w:r>
      <w:r w:rsidR="001A5BA1">
        <w:rPr>
          <w:sz w:val="26"/>
          <w:szCs w:val="26"/>
        </w:rPr>
        <w:t>’</w:t>
      </w:r>
      <w:r>
        <w:rPr>
          <w:sz w:val="26"/>
          <w:szCs w:val="26"/>
        </w:rPr>
        <w:t xml:space="preserve">s gathering system and clearly benefit from their connection to it.  Therefore, </w:t>
      </w:r>
      <w:r w:rsidR="002F1E13">
        <w:rPr>
          <w:sz w:val="26"/>
          <w:szCs w:val="26"/>
        </w:rPr>
        <w:t>the OSBA asserts that the producers</w:t>
      </w:r>
      <w:r>
        <w:rPr>
          <w:sz w:val="26"/>
          <w:szCs w:val="26"/>
        </w:rPr>
        <w:t xml:space="preserve"> should pay their fair share of UFG costs </w:t>
      </w:r>
      <w:r w:rsidR="002F1E13">
        <w:rPr>
          <w:sz w:val="26"/>
          <w:szCs w:val="26"/>
        </w:rPr>
        <w:t xml:space="preserve">to </w:t>
      </w:r>
      <w:r>
        <w:rPr>
          <w:sz w:val="26"/>
          <w:szCs w:val="26"/>
        </w:rPr>
        <w:t xml:space="preserve">help </w:t>
      </w:r>
      <w:r w:rsidR="002F1E13">
        <w:rPr>
          <w:sz w:val="26"/>
          <w:szCs w:val="26"/>
        </w:rPr>
        <w:t>m</w:t>
      </w:r>
      <w:r>
        <w:rPr>
          <w:sz w:val="26"/>
          <w:szCs w:val="26"/>
        </w:rPr>
        <w:t>itigate increases in Peoples Gas</w:t>
      </w:r>
      <w:r w:rsidR="001A5BA1">
        <w:rPr>
          <w:sz w:val="26"/>
          <w:szCs w:val="26"/>
        </w:rPr>
        <w:t>’</w:t>
      </w:r>
      <w:r>
        <w:rPr>
          <w:sz w:val="26"/>
          <w:szCs w:val="26"/>
        </w:rPr>
        <w:t xml:space="preserve"> end use retainage rate.  OSBA R. Exc. at </w:t>
      </w:r>
      <w:r w:rsidR="002F1E13">
        <w:rPr>
          <w:sz w:val="26"/>
          <w:szCs w:val="26"/>
        </w:rPr>
        <w:t> </w:t>
      </w:r>
      <w:r>
        <w:rPr>
          <w:sz w:val="26"/>
          <w:szCs w:val="26"/>
        </w:rPr>
        <w:t>5.</w:t>
      </w:r>
    </w:p>
    <w:p w:rsidR="00D118E6" w:rsidRDefault="00D118E6" w:rsidP="00844225">
      <w:pPr>
        <w:widowControl/>
        <w:spacing w:line="360" w:lineRule="auto"/>
        <w:rPr>
          <w:sz w:val="26"/>
          <w:szCs w:val="26"/>
        </w:rPr>
      </w:pPr>
    </w:p>
    <w:p w:rsidR="00C86B8A" w:rsidRPr="00A2066B" w:rsidRDefault="00C86B8A" w:rsidP="006B678E">
      <w:pPr>
        <w:pStyle w:val="Heading4"/>
        <w:keepNext/>
        <w:keepLines/>
        <w:numPr>
          <w:ilvl w:val="0"/>
          <w:numId w:val="20"/>
        </w:numPr>
        <w:ind w:left="2160" w:hanging="720"/>
      </w:pPr>
      <w:r>
        <w:t>Disposition</w:t>
      </w:r>
    </w:p>
    <w:p w:rsidR="00C86B8A" w:rsidRDefault="00C86B8A" w:rsidP="006B678E">
      <w:pPr>
        <w:keepNext/>
        <w:keepLines/>
        <w:widowControl/>
        <w:spacing w:line="360" w:lineRule="auto"/>
        <w:rPr>
          <w:sz w:val="26"/>
          <w:szCs w:val="26"/>
        </w:rPr>
      </w:pPr>
    </w:p>
    <w:p w:rsidR="00623A1A" w:rsidRDefault="008B5F80" w:rsidP="00844225">
      <w:pPr>
        <w:widowControl/>
        <w:tabs>
          <w:tab w:val="left" w:pos="1445"/>
          <w:tab w:val="left" w:pos="7920"/>
        </w:tabs>
        <w:autoSpaceDE w:val="0"/>
        <w:autoSpaceDN w:val="0"/>
        <w:adjustRightInd w:val="0"/>
        <w:spacing w:line="360" w:lineRule="auto"/>
        <w:ind w:firstLine="1440"/>
        <w:rPr>
          <w:sz w:val="26"/>
          <w:szCs w:val="26"/>
        </w:rPr>
      </w:pPr>
      <w:r>
        <w:rPr>
          <w:sz w:val="26"/>
          <w:szCs w:val="26"/>
        </w:rPr>
        <w:t>Upon our review, we shall deny PIOGA</w:t>
      </w:r>
      <w:r w:rsidR="001A5BA1">
        <w:rPr>
          <w:sz w:val="26"/>
          <w:szCs w:val="26"/>
        </w:rPr>
        <w:t>’</w:t>
      </w:r>
      <w:r>
        <w:rPr>
          <w:sz w:val="26"/>
          <w:szCs w:val="26"/>
        </w:rPr>
        <w:t xml:space="preserve">s Exception No. 4.  </w:t>
      </w:r>
      <w:r w:rsidR="00623A1A">
        <w:rPr>
          <w:sz w:val="26"/>
          <w:szCs w:val="26"/>
        </w:rPr>
        <w:t xml:space="preserve">As discussed in more detail below, we believe the ALJ correctly rejected PIOGA’s witness’ definition of gathering and distribution pipelines.  </w:t>
      </w:r>
      <w:r>
        <w:rPr>
          <w:sz w:val="26"/>
          <w:szCs w:val="26"/>
        </w:rPr>
        <w:t xml:space="preserve">We </w:t>
      </w:r>
      <w:r w:rsidR="00623A1A">
        <w:rPr>
          <w:sz w:val="26"/>
          <w:szCs w:val="26"/>
        </w:rPr>
        <w:t xml:space="preserve">also </w:t>
      </w:r>
      <w:r>
        <w:rPr>
          <w:sz w:val="26"/>
          <w:szCs w:val="26"/>
        </w:rPr>
        <w:t>note that unlike the alternative definitions presented by PIOGA, Peoples Gas utilized the definitions set forth in PHMSA and the Commission</w:t>
      </w:r>
      <w:r w:rsidR="001A5BA1">
        <w:rPr>
          <w:sz w:val="26"/>
          <w:szCs w:val="26"/>
        </w:rPr>
        <w:t>’</w:t>
      </w:r>
      <w:r>
        <w:rPr>
          <w:sz w:val="26"/>
          <w:szCs w:val="26"/>
        </w:rPr>
        <w:t xml:space="preserve">s Regulations.  </w:t>
      </w:r>
      <w:r w:rsidR="00623A1A">
        <w:rPr>
          <w:sz w:val="26"/>
          <w:szCs w:val="26"/>
        </w:rPr>
        <w:t xml:space="preserve">Instead of using </w:t>
      </w:r>
      <w:r w:rsidRPr="00623A1A">
        <w:rPr>
          <w:sz w:val="26"/>
          <w:szCs w:val="26"/>
        </w:rPr>
        <w:t>PIOGA</w:t>
      </w:r>
      <w:r w:rsidR="001A5BA1" w:rsidRPr="00623A1A">
        <w:rPr>
          <w:sz w:val="26"/>
          <w:szCs w:val="26"/>
        </w:rPr>
        <w:t>’</w:t>
      </w:r>
      <w:r w:rsidRPr="00623A1A">
        <w:rPr>
          <w:sz w:val="26"/>
          <w:szCs w:val="26"/>
        </w:rPr>
        <w:t>s definitions, Peoples Gas</w:t>
      </w:r>
      <w:r w:rsidR="001A5BA1" w:rsidRPr="00623A1A">
        <w:rPr>
          <w:sz w:val="26"/>
          <w:szCs w:val="26"/>
        </w:rPr>
        <w:t>’</w:t>
      </w:r>
      <w:r w:rsidRPr="00623A1A">
        <w:rPr>
          <w:sz w:val="26"/>
          <w:szCs w:val="26"/>
        </w:rPr>
        <w:t xml:space="preserve"> complied with FERC</w:t>
      </w:r>
      <w:r w:rsidR="001A5BA1" w:rsidRPr="00623A1A">
        <w:rPr>
          <w:sz w:val="26"/>
          <w:szCs w:val="26"/>
        </w:rPr>
        <w:t>’</w:t>
      </w:r>
      <w:r w:rsidRPr="00623A1A">
        <w:rPr>
          <w:sz w:val="26"/>
          <w:szCs w:val="26"/>
        </w:rPr>
        <w:t xml:space="preserve">s </w:t>
      </w:r>
      <w:r w:rsidR="001A5BA1" w:rsidRPr="00623A1A">
        <w:rPr>
          <w:sz w:val="26"/>
          <w:szCs w:val="26"/>
        </w:rPr>
        <w:t>“</w:t>
      </w:r>
      <w:r w:rsidRPr="00623A1A">
        <w:rPr>
          <w:sz w:val="26"/>
          <w:szCs w:val="26"/>
        </w:rPr>
        <w:t>modified primary function test</w:t>
      </w:r>
      <w:r w:rsidR="001A5BA1" w:rsidRPr="00623A1A">
        <w:rPr>
          <w:sz w:val="26"/>
          <w:szCs w:val="26"/>
        </w:rPr>
        <w:t>”</w:t>
      </w:r>
      <w:r w:rsidRPr="00623A1A">
        <w:rPr>
          <w:sz w:val="26"/>
          <w:szCs w:val="26"/>
        </w:rPr>
        <w:t xml:space="preserve"> in the classification of its pipelines for safety and opera</w:t>
      </w:r>
      <w:r w:rsidR="00706C1B" w:rsidRPr="00623A1A">
        <w:rPr>
          <w:sz w:val="26"/>
          <w:szCs w:val="26"/>
        </w:rPr>
        <w:t>tional purposes.  Tr. at 55; Peoples Gas M.B. at 17; Peoples Gas R.B. at 10</w:t>
      </w:r>
      <w:r w:rsidRPr="00623A1A">
        <w:rPr>
          <w:sz w:val="26"/>
          <w:szCs w:val="26"/>
        </w:rPr>
        <w:t>.</w:t>
      </w:r>
      <w:r>
        <w:rPr>
          <w:sz w:val="26"/>
          <w:szCs w:val="26"/>
        </w:rPr>
        <w:t xml:space="preserve">  </w:t>
      </w:r>
    </w:p>
    <w:p w:rsidR="00623A1A" w:rsidRDefault="00623A1A" w:rsidP="00844225">
      <w:pPr>
        <w:widowControl/>
        <w:tabs>
          <w:tab w:val="left" w:pos="1445"/>
          <w:tab w:val="left" w:pos="7920"/>
        </w:tabs>
        <w:autoSpaceDE w:val="0"/>
        <w:autoSpaceDN w:val="0"/>
        <w:adjustRightInd w:val="0"/>
        <w:spacing w:line="360" w:lineRule="auto"/>
        <w:ind w:firstLine="1440"/>
        <w:rPr>
          <w:sz w:val="26"/>
          <w:szCs w:val="26"/>
        </w:rPr>
      </w:pPr>
    </w:p>
    <w:p w:rsidR="008B5F80" w:rsidRDefault="00777B66" w:rsidP="00844225">
      <w:pPr>
        <w:widowControl/>
        <w:tabs>
          <w:tab w:val="left" w:pos="1445"/>
          <w:tab w:val="left" w:pos="7920"/>
        </w:tabs>
        <w:autoSpaceDE w:val="0"/>
        <w:autoSpaceDN w:val="0"/>
        <w:adjustRightInd w:val="0"/>
        <w:spacing w:line="360" w:lineRule="auto"/>
        <w:ind w:firstLine="1440"/>
        <w:rPr>
          <w:sz w:val="26"/>
          <w:szCs w:val="26"/>
        </w:rPr>
      </w:pPr>
      <w:r>
        <w:rPr>
          <w:sz w:val="26"/>
          <w:szCs w:val="26"/>
        </w:rPr>
        <w:t xml:space="preserve">As noted, PIOGA excepts to the ALJ’s rejection of its witness Mr.  Hillebrand’s definitions because it believes that they are more appropriate than those used by the Commission, PHMSA, and FERC because of its witness’ experience as an engineer in the oil and gas industry.  However, </w:t>
      </w:r>
      <w:r w:rsidR="008B5F80">
        <w:rPr>
          <w:sz w:val="26"/>
          <w:szCs w:val="26"/>
        </w:rPr>
        <w:t>Mr. Hillebrand testified during the hearing that he could not identify the source of his definitions but that he had developed the definitions based on his extensive and long-standing experience in the industry.  Mr.</w:t>
      </w:r>
      <w:r>
        <w:rPr>
          <w:sz w:val="26"/>
          <w:szCs w:val="26"/>
        </w:rPr>
        <w:t> H</w:t>
      </w:r>
      <w:r w:rsidR="008B5F80">
        <w:rPr>
          <w:sz w:val="26"/>
          <w:szCs w:val="26"/>
        </w:rPr>
        <w:t>illebrand also testified he is not aware of the Uniform System of Accounts for gas utilities or FERC</w:t>
      </w:r>
      <w:r w:rsidR="001A5BA1">
        <w:rPr>
          <w:sz w:val="26"/>
          <w:szCs w:val="26"/>
        </w:rPr>
        <w:t>’</w:t>
      </w:r>
      <w:r w:rsidR="008B5F80">
        <w:rPr>
          <w:sz w:val="26"/>
          <w:szCs w:val="26"/>
        </w:rPr>
        <w:t xml:space="preserve">s </w:t>
      </w:r>
      <w:r w:rsidR="001A5BA1">
        <w:rPr>
          <w:sz w:val="26"/>
          <w:szCs w:val="26"/>
        </w:rPr>
        <w:t>“</w:t>
      </w:r>
      <w:r w:rsidR="008B5F80">
        <w:rPr>
          <w:sz w:val="26"/>
          <w:szCs w:val="26"/>
        </w:rPr>
        <w:t>modified primary function test</w:t>
      </w:r>
      <w:r w:rsidR="001A5BA1">
        <w:rPr>
          <w:sz w:val="26"/>
          <w:szCs w:val="26"/>
        </w:rPr>
        <w:t>”</w:t>
      </w:r>
      <w:r w:rsidR="008B5F80">
        <w:rPr>
          <w:sz w:val="26"/>
          <w:szCs w:val="26"/>
        </w:rPr>
        <w:t xml:space="preserve"> that is used to classify pipelines.  </w:t>
      </w:r>
      <w:r w:rsidR="008B5F80">
        <w:rPr>
          <w:sz w:val="26"/>
          <w:szCs w:val="26"/>
        </w:rPr>
        <w:lastRenderedPageBreak/>
        <w:t>Tr.</w:t>
      </w:r>
      <w:r>
        <w:rPr>
          <w:sz w:val="26"/>
          <w:szCs w:val="26"/>
        </w:rPr>
        <w:t> </w:t>
      </w:r>
      <w:r w:rsidR="008B5F80">
        <w:rPr>
          <w:sz w:val="26"/>
          <w:szCs w:val="26"/>
        </w:rPr>
        <w:t xml:space="preserve">at 81-84.  </w:t>
      </w:r>
      <w:r>
        <w:rPr>
          <w:sz w:val="26"/>
          <w:szCs w:val="26"/>
        </w:rPr>
        <w:t>For these reasons, w</w:t>
      </w:r>
      <w:r w:rsidR="008B5F80">
        <w:rPr>
          <w:sz w:val="26"/>
          <w:szCs w:val="26"/>
        </w:rPr>
        <w:t>e find Mr. Hillebrand</w:t>
      </w:r>
      <w:r w:rsidR="001A5BA1">
        <w:rPr>
          <w:sz w:val="26"/>
          <w:szCs w:val="26"/>
        </w:rPr>
        <w:t>’</w:t>
      </w:r>
      <w:r w:rsidR="008B5F80">
        <w:rPr>
          <w:sz w:val="26"/>
          <w:szCs w:val="26"/>
        </w:rPr>
        <w:t xml:space="preserve">s display of lack of knowledge regarding the regulatory requirements in terms of pipeline classifications and definitions to be </w:t>
      </w:r>
      <w:r>
        <w:rPr>
          <w:sz w:val="26"/>
          <w:szCs w:val="26"/>
        </w:rPr>
        <w:t xml:space="preserve">disconcerting </w:t>
      </w:r>
      <w:r w:rsidR="008B5F80">
        <w:rPr>
          <w:sz w:val="26"/>
          <w:szCs w:val="26"/>
        </w:rPr>
        <w:t xml:space="preserve">and we question the legitimacy of his proposed definitions on that basis.  Nevertheless, </w:t>
      </w:r>
      <w:r>
        <w:rPr>
          <w:sz w:val="26"/>
          <w:szCs w:val="26"/>
        </w:rPr>
        <w:t xml:space="preserve">as averred by the </w:t>
      </w:r>
      <w:r w:rsidR="008B5F80">
        <w:rPr>
          <w:sz w:val="26"/>
          <w:szCs w:val="26"/>
        </w:rPr>
        <w:t>OSBA</w:t>
      </w:r>
      <w:r>
        <w:rPr>
          <w:sz w:val="26"/>
          <w:szCs w:val="26"/>
        </w:rPr>
        <w:t xml:space="preserve">, </w:t>
      </w:r>
      <w:r w:rsidR="008B5F80">
        <w:rPr>
          <w:sz w:val="26"/>
          <w:szCs w:val="26"/>
        </w:rPr>
        <w:t>even if we were to adopt PIOGA</w:t>
      </w:r>
      <w:r w:rsidR="001A5BA1">
        <w:rPr>
          <w:sz w:val="26"/>
          <w:szCs w:val="26"/>
        </w:rPr>
        <w:t>’</w:t>
      </w:r>
      <w:r w:rsidR="008B5F80">
        <w:rPr>
          <w:sz w:val="26"/>
          <w:szCs w:val="26"/>
        </w:rPr>
        <w:t>s alternative definitions, it still does not change the fact that the conventional gas producers benefit from their connection to</w:t>
      </w:r>
      <w:r w:rsidR="00706C1B">
        <w:rPr>
          <w:sz w:val="26"/>
          <w:szCs w:val="26"/>
        </w:rPr>
        <w:t xml:space="preserve"> Peoples Gas</w:t>
      </w:r>
      <w:r w:rsidR="001A5BA1">
        <w:rPr>
          <w:sz w:val="26"/>
          <w:szCs w:val="26"/>
        </w:rPr>
        <w:t>’</w:t>
      </w:r>
      <w:r w:rsidR="008B5F80">
        <w:rPr>
          <w:sz w:val="26"/>
          <w:szCs w:val="26"/>
        </w:rPr>
        <w:t xml:space="preserve"> gathering system and should contribute their fair share to the Company</w:t>
      </w:r>
      <w:r w:rsidR="001A5BA1">
        <w:rPr>
          <w:sz w:val="26"/>
          <w:szCs w:val="26"/>
        </w:rPr>
        <w:t>’</w:t>
      </w:r>
      <w:r w:rsidR="008B5F80">
        <w:rPr>
          <w:sz w:val="26"/>
          <w:szCs w:val="26"/>
        </w:rPr>
        <w:t>s gathering system UFG costs.  OSBA R. Exc. at 5.  Therefore, we conclude that PIOGA</w:t>
      </w:r>
      <w:r w:rsidR="001A5BA1">
        <w:rPr>
          <w:sz w:val="26"/>
          <w:szCs w:val="26"/>
        </w:rPr>
        <w:t>’</w:t>
      </w:r>
      <w:r w:rsidR="008B5F80">
        <w:rPr>
          <w:sz w:val="26"/>
          <w:szCs w:val="26"/>
        </w:rPr>
        <w:t>s proposed alternative definitions do not prohibit them from contributing to the cost of the Company</w:t>
      </w:r>
      <w:r w:rsidR="001A5BA1">
        <w:rPr>
          <w:sz w:val="26"/>
          <w:szCs w:val="26"/>
        </w:rPr>
        <w:t>’</w:t>
      </w:r>
      <w:r w:rsidR="008B5F80">
        <w:rPr>
          <w:sz w:val="26"/>
          <w:szCs w:val="26"/>
        </w:rPr>
        <w:t>s gathering system UFG.  As such, PIOGA</w:t>
      </w:r>
      <w:r w:rsidR="001A5BA1">
        <w:rPr>
          <w:sz w:val="26"/>
          <w:szCs w:val="26"/>
        </w:rPr>
        <w:t>’</w:t>
      </w:r>
      <w:r w:rsidR="008B5F80">
        <w:rPr>
          <w:sz w:val="26"/>
          <w:szCs w:val="26"/>
        </w:rPr>
        <w:t>s Exception No. 4, is hereby denied.</w:t>
      </w:r>
    </w:p>
    <w:p w:rsidR="00C86B8A" w:rsidRPr="00320EC1" w:rsidRDefault="00C86B8A" w:rsidP="00844225">
      <w:pPr>
        <w:widowControl/>
        <w:spacing w:line="360" w:lineRule="auto"/>
        <w:rPr>
          <w:sz w:val="26"/>
          <w:szCs w:val="26"/>
        </w:rPr>
      </w:pPr>
    </w:p>
    <w:p w:rsidR="00CF4F5E" w:rsidRPr="00320EC1" w:rsidRDefault="00CF4F5E" w:rsidP="00863861">
      <w:pPr>
        <w:pStyle w:val="Heading3"/>
        <w:keepNext/>
        <w:keepLines/>
        <w:numPr>
          <w:ilvl w:val="0"/>
          <w:numId w:val="14"/>
        </w:numPr>
        <w:ind w:left="1440" w:hanging="720"/>
      </w:pPr>
      <w:bookmarkStart w:id="36" w:name="_Toc524347691"/>
      <w:r w:rsidRPr="00320EC1">
        <w:t>PIOGA Exception No. 5</w:t>
      </w:r>
      <w:bookmarkEnd w:id="36"/>
      <w:r w:rsidR="00AA359F">
        <w:t>, Replies and Disposition</w:t>
      </w:r>
    </w:p>
    <w:p w:rsidR="00320EC1" w:rsidRPr="00320EC1" w:rsidRDefault="00320EC1" w:rsidP="00863861">
      <w:pPr>
        <w:keepNext/>
        <w:keepLines/>
        <w:widowControl/>
        <w:spacing w:line="360" w:lineRule="auto"/>
        <w:rPr>
          <w:sz w:val="26"/>
          <w:szCs w:val="26"/>
        </w:rPr>
      </w:pPr>
    </w:p>
    <w:p w:rsidR="00320EC1" w:rsidRPr="00320EC1" w:rsidRDefault="00CF3C6A" w:rsidP="00844225">
      <w:pPr>
        <w:widowControl/>
        <w:spacing w:line="360" w:lineRule="auto"/>
        <w:ind w:firstLine="1440"/>
        <w:rPr>
          <w:sz w:val="26"/>
          <w:szCs w:val="26"/>
        </w:rPr>
      </w:pPr>
      <w:r>
        <w:rPr>
          <w:sz w:val="26"/>
          <w:szCs w:val="26"/>
        </w:rPr>
        <w:t>In its Exception No. 5,</w:t>
      </w:r>
      <w:r w:rsidRPr="00CF3C6A">
        <w:rPr>
          <w:color w:val="000000"/>
          <w:sz w:val="24"/>
          <w:szCs w:val="22"/>
        </w:rPr>
        <w:t xml:space="preserve"> </w:t>
      </w:r>
      <w:r w:rsidRPr="00CF3C6A">
        <w:rPr>
          <w:sz w:val="26"/>
          <w:szCs w:val="26"/>
        </w:rPr>
        <w:t xml:space="preserve">PIOGA claims that </w:t>
      </w:r>
      <w:r>
        <w:rPr>
          <w:sz w:val="26"/>
          <w:szCs w:val="26"/>
        </w:rPr>
        <w:t>the ALJ</w:t>
      </w:r>
      <w:r w:rsidRPr="00CF3C6A">
        <w:rPr>
          <w:sz w:val="26"/>
          <w:szCs w:val="26"/>
        </w:rPr>
        <w:t xml:space="preserve"> erred in rejecting its argument that conventional gas producers are not responsible for</w:t>
      </w:r>
      <w:r>
        <w:rPr>
          <w:sz w:val="26"/>
          <w:szCs w:val="26"/>
        </w:rPr>
        <w:t xml:space="preserve"> UFG on the gathering systems. </w:t>
      </w:r>
      <w:r w:rsidRPr="00CF3C6A">
        <w:rPr>
          <w:sz w:val="26"/>
          <w:szCs w:val="26"/>
        </w:rPr>
        <w:t xml:space="preserve"> As alleged support, PIOGA contends that the Peoples Companies have neglected their gathering systems and that the level of spending to address gathering system UFG has been substantially lower than the exp</w:t>
      </w:r>
      <w:r>
        <w:rPr>
          <w:sz w:val="26"/>
          <w:szCs w:val="26"/>
        </w:rPr>
        <w:t>enditures on distribution UFG.  PIOGA Exc. at 16-17</w:t>
      </w:r>
      <w:r w:rsidR="00E67B69">
        <w:rPr>
          <w:sz w:val="26"/>
          <w:szCs w:val="26"/>
        </w:rPr>
        <w:t xml:space="preserve"> </w:t>
      </w:r>
      <w:r w:rsidR="00FD7710">
        <w:rPr>
          <w:sz w:val="26"/>
          <w:szCs w:val="26"/>
        </w:rPr>
        <w:t>(</w:t>
      </w:r>
      <w:r w:rsidR="00E67B69">
        <w:rPr>
          <w:sz w:val="26"/>
          <w:szCs w:val="26"/>
        </w:rPr>
        <w:t>citing R.D. at 72-73; Conclusion of Law No. 28; Ordering Paragraph Nos. 2, 4, 7, 8</w:t>
      </w:r>
      <w:r w:rsidR="00FD7710">
        <w:rPr>
          <w:sz w:val="26"/>
          <w:szCs w:val="26"/>
        </w:rPr>
        <w:t>)</w:t>
      </w:r>
      <w:r>
        <w:rPr>
          <w:sz w:val="26"/>
          <w:szCs w:val="26"/>
        </w:rPr>
        <w:t xml:space="preserve">. </w:t>
      </w:r>
      <w:r w:rsidRPr="00CF3C6A">
        <w:rPr>
          <w:sz w:val="26"/>
          <w:szCs w:val="26"/>
        </w:rPr>
        <w:t xml:space="preserve"> </w:t>
      </w:r>
      <w:r>
        <w:rPr>
          <w:sz w:val="26"/>
          <w:szCs w:val="26"/>
        </w:rPr>
        <w:t>Further, PIOGA avers that the ALJ</w:t>
      </w:r>
      <w:r w:rsidRPr="00CF3C6A">
        <w:rPr>
          <w:sz w:val="26"/>
          <w:szCs w:val="26"/>
        </w:rPr>
        <w:t xml:space="preserve"> should not have relied on the OSBA</w:t>
      </w:r>
      <w:r w:rsidR="001A5BA1">
        <w:rPr>
          <w:sz w:val="26"/>
          <w:szCs w:val="26"/>
        </w:rPr>
        <w:t>’</w:t>
      </w:r>
      <w:r w:rsidRPr="00CF3C6A">
        <w:rPr>
          <w:sz w:val="26"/>
          <w:szCs w:val="26"/>
        </w:rPr>
        <w:t>s argument which posited that if PIOGA were correct that conventional gas producers do not cause UFG on the gathering system, the same could be said of sales</w:t>
      </w:r>
      <w:r>
        <w:rPr>
          <w:sz w:val="26"/>
          <w:szCs w:val="26"/>
        </w:rPr>
        <w:t xml:space="preserve"> and transportation customers.  PIOGA Exc. at 17.</w:t>
      </w:r>
    </w:p>
    <w:p w:rsidR="00CF4F5E" w:rsidRDefault="00CF4F5E" w:rsidP="00844225">
      <w:pPr>
        <w:widowControl/>
        <w:spacing w:line="360" w:lineRule="auto"/>
        <w:rPr>
          <w:sz w:val="26"/>
          <w:szCs w:val="26"/>
        </w:rPr>
      </w:pPr>
    </w:p>
    <w:p w:rsidR="000475CD" w:rsidRDefault="00BC5321" w:rsidP="00844225">
      <w:pPr>
        <w:widowControl/>
        <w:spacing w:line="360" w:lineRule="auto"/>
        <w:ind w:firstLine="1440"/>
        <w:rPr>
          <w:sz w:val="26"/>
          <w:szCs w:val="26"/>
        </w:rPr>
      </w:pPr>
      <w:r>
        <w:rPr>
          <w:sz w:val="26"/>
          <w:szCs w:val="26"/>
        </w:rPr>
        <w:t>In its Replies to Exception</w:t>
      </w:r>
      <w:r w:rsidR="00EB19FB">
        <w:rPr>
          <w:sz w:val="26"/>
          <w:szCs w:val="26"/>
        </w:rPr>
        <w:t>s</w:t>
      </w:r>
      <w:r>
        <w:rPr>
          <w:sz w:val="26"/>
          <w:szCs w:val="26"/>
        </w:rPr>
        <w:t>, the Company</w:t>
      </w:r>
      <w:r w:rsidR="009820BC">
        <w:rPr>
          <w:sz w:val="26"/>
          <w:szCs w:val="26"/>
        </w:rPr>
        <w:t xml:space="preserve"> submits three reasons it believes the ALJ correctly determined that PIOGA</w:t>
      </w:r>
      <w:r w:rsidR="001A5BA1">
        <w:rPr>
          <w:sz w:val="26"/>
          <w:szCs w:val="26"/>
        </w:rPr>
        <w:t>’</w:t>
      </w:r>
      <w:r w:rsidR="009820BC">
        <w:rPr>
          <w:sz w:val="26"/>
          <w:szCs w:val="26"/>
        </w:rPr>
        <w:t xml:space="preserve">s allegations of </w:t>
      </w:r>
      <w:r w:rsidR="001A5BA1">
        <w:rPr>
          <w:sz w:val="26"/>
          <w:szCs w:val="26"/>
        </w:rPr>
        <w:t>“</w:t>
      </w:r>
      <w:r w:rsidR="009820BC">
        <w:rPr>
          <w:sz w:val="26"/>
          <w:szCs w:val="26"/>
        </w:rPr>
        <w:t>fault</w:t>
      </w:r>
      <w:r w:rsidR="001A5BA1">
        <w:rPr>
          <w:sz w:val="26"/>
          <w:szCs w:val="26"/>
        </w:rPr>
        <w:t>”</w:t>
      </w:r>
      <w:r w:rsidR="009820BC">
        <w:rPr>
          <w:sz w:val="26"/>
          <w:szCs w:val="26"/>
        </w:rPr>
        <w:t xml:space="preserve"> are not a basis for denying the recovery of a portion of gathering system UFG from conventional gas producers.</w:t>
      </w:r>
    </w:p>
    <w:p w:rsidR="005F66DC" w:rsidRDefault="005F66DC" w:rsidP="00844225">
      <w:pPr>
        <w:widowControl/>
        <w:spacing w:line="360" w:lineRule="auto"/>
        <w:ind w:firstLine="1440"/>
        <w:rPr>
          <w:sz w:val="26"/>
          <w:szCs w:val="26"/>
        </w:rPr>
      </w:pPr>
    </w:p>
    <w:p w:rsidR="009820BC" w:rsidRDefault="009820BC" w:rsidP="00844225">
      <w:pPr>
        <w:widowControl/>
        <w:spacing w:line="360" w:lineRule="auto"/>
        <w:ind w:firstLine="1440"/>
        <w:rPr>
          <w:sz w:val="26"/>
          <w:szCs w:val="26"/>
        </w:rPr>
      </w:pPr>
      <w:r>
        <w:rPr>
          <w:sz w:val="26"/>
          <w:szCs w:val="26"/>
        </w:rPr>
        <w:lastRenderedPageBreak/>
        <w:t xml:space="preserve">First, </w:t>
      </w:r>
      <w:r w:rsidR="004B532A">
        <w:rPr>
          <w:sz w:val="26"/>
          <w:szCs w:val="26"/>
        </w:rPr>
        <w:t>Peoples Gas</w:t>
      </w:r>
      <w:r w:rsidR="00000C36">
        <w:rPr>
          <w:sz w:val="26"/>
          <w:szCs w:val="26"/>
        </w:rPr>
        <w:t xml:space="preserve"> notes the ALJ</w:t>
      </w:r>
      <w:r w:rsidR="001A5BA1">
        <w:rPr>
          <w:sz w:val="26"/>
          <w:szCs w:val="26"/>
        </w:rPr>
        <w:t>’</w:t>
      </w:r>
      <w:r w:rsidR="00000C36">
        <w:rPr>
          <w:sz w:val="26"/>
          <w:szCs w:val="26"/>
        </w:rPr>
        <w:t>s finding that</w:t>
      </w:r>
      <w:r w:rsidR="00000C36" w:rsidRPr="00000C36">
        <w:rPr>
          <w:sz w:val="26"/>
          <w:szCs w:val="26"/>
        </w:rPr>
        <w:t xml:space="preserve"> the </w:t>
      </w:r>
      <w:r w:rsidR="001A5BA1">
        <w:rPr>
          <w:sz w:val="26"/>
          <w:szCs w:val="26"/>
        </w:rPr>
        <w:t>“</w:t>
      </w:r>
      <w:r w:rsidR="00000C36" w:rsidRPr="00000C36">
        <w:rPr>
          <w:sz w:val="26"/>
          <w:szCs w:val="26"/>
        </w:rPr>
        <w:t>proper standard to be applied in this proceeding is that beneficiaries of a particular system should pay their fair sha</w:t>
      </w:r>
      <w:r w:rsidR="00000C36">
        <w:rPr>
          <w:sz w:val="26"/>
          <w:szCs w:val="26"/>
        </w:rPr>
        <w:t>re of the UFG on that system.</w:t>
      </w:r>
      <w:r w:rsidR="001A5BA1">
        <w:rPr>
          <w:sz w:val="26"/>
          <w:szCs w:val="26"/>
        </w:rPr>
        <w:t>”</w:t>
      </w:r>
      <w:r w:rsidR="00000C36">
        <w:rPr>
          <w:sz w:val="26"/>
          <w:szCs w:val="26"/>
        </w:rPr>
        <w:t xml:space="preserve">  </w:t>
      </w:r>
      <w:r w:rsidR="00000C36" w:rsidRPr="00000C36">
        <w:rPr>
          <w:sz w:val="26"/>
          <w:szCs w:val="26"/>
        </w:rPr>
        <w:t>R</w:t>
      </w:r>
      <w:r w:rsidR="00000C36">
        <w:rPr>
          <w:sz w:val="26"/>
          <w:szCs w:val="26"/>
        </w:rPr>
        <w:t>.</w:t>
      </w:r>
      <w:r w:rsidR="00000C36" w:rsidRPr="00000C36">
        <w:rPr>
          <w:sz w:val="26"/>
          <w:szCs w:val="26"/>
        </w:rPr>
        <w:t>D</w:t>
      </w:r>
      <w:r w:rsidR="00000C36">
        <w:rPr>
          <w:sz w:val="26"/>
          <w:szCs w:val="26"/>
        </w:rPr>
        <w:t xml:space="preserve">. at 72. </w:t>
      </w:r>
      <w:r w:rsidR="00000C36" w:rsidRPr="00000C36">
        <w:rPr>
          <w:sz w:val="26"/>
          <w:szCs w:val="26"/>
        </w:rPr>
        <w:t xml:space="preserve"> </w:t>
      </w:r>
      <w:r w:rsidR="00000C36">
        <w:rPr>
          <w:sz w:val="26"/>
          <w:szCs w:val="26"/>
        </w:rPr>
        <w:t>As submitted by the Company</w:t>
      </w:r>
      <w:r w:rsidR="007F75DB">
        <w:rPr>
          <w:sz w:val="26"/>
          <w:szCs w:val="26"/>
        </w:rPr>
        <w:t xml:space="preserve"> and explained</w:t>
      </w:r>
      <w:r w:rsidR="00000C36" w:rsidRPr="00000C36">
        <w:rPr>
          <w:i/>
          <w:sz w:val="26"/>
          <w:szCs w:val="26"/>
        </w:rPr>
        <w:t xml:space="preserve"> supra</w:t>
      </w:r>
      <w:r w:rsidR="00000C36" w:rsidRPr="00000C36">
        <w:rPr>
          <w:sz w:val="26"/>
          <w:szCs w:val="26"/>
        </w:rPr>
        <w:t>, conventional gas producers are the primary beneficiaries of the gathering</w:t>
      </w:r>
      <w:r w:rsidR="00000C36">
        <w:rPr>
          <w:sz w:val="26"/>
          <w:szCs w:val="26"/>
        </w:rPr>
        <w:t xml:space="preserve"> </w:t>
      </w:r>
      <w:r w:rsidR="00000C36" w:rsidRPr="00000C36">
        <w:rPr>
          <w:sz w:val="26"/>
          <w:szCs w:val="26"/>
        </w:rPr>
        <w:t xml:space="preserve">system. </w:t>
      </w:r>
      <w:r w:rsidR="007F75DB">
        <w:rPr>
          <w:sz w:val="26"/>
          <w:szCs w:val="26"/>
        </w:rPr>
        <w:t xml:space="preserve"> </w:t>
      </w:r>
      <w:r w:rsidR="00000C36" w:rsidRPr="00000C36">
        <w:rPr>
          <w:sz w:val="26"/>
          <w:szCs w:val="26"/>
        </w:rPr>
        <w:t xml:space="preserve">Therefore, </w:t>
      </w:r>
      <w:r w:rsidR="00000C36">
        <w:rPr>
          <w:sz w:val="26"/>
          <w:szCs w:val="26"/>
        </w:rPr>
        <w:t xml:space="preserve">Peoples Gas asserts that </w:t>
      </w:r>
      <w:r w:rsidR="00000C36" w:rsidRPr="00000C36">
        <w:rPr>
          <w:sz w:val="26"/>
          <w:szCs w:val="26"/>
        </w:rPr>
        <w:t>conventional gas producers should contribute toward the cost of UFG on the gathering system.</w:t>
      </w:r>
      <w:r w:rsidR="00000C36">
        <w:rPr>
          <w:sz w:val="26"/>
          <w:szCs w:val="26"/>
        </w:rPr>
        <w:t xml:space="preserve">  Peoples Gas R. Exc. at</w:t>
      </w:r>
      <w:r w:rsidR="00E97C32">
        <w:rPr>
          <w:sz w:val="26"/>
          <w:szCs w:val="26"/>
        </w:rPr>
        <w:t> </w:t>
      </w:r>
      <w:r w:rsidR="00000C36">
        <w:rPr>
          <w:sz w:val="26"/>
          <w:szCs w:val="26"/>
        </w:rPr>
        <w:t>19</w:t>
      </w:r>
      <w:r w:rsidR="00E97C32">
        <w:rPr>
          <w:sz w:val="26"/>
          <w:szCs w:val="26"/>
        </w:rPr>
        <w:noBreakHyphen/>
      </w:r>
      <w:r w:rsidR="00000C36">
        <w:rPr>
          <w:sz w:val="26"/>
          <w:szCs w:val="26"/>
        </w:rPr>
        <w:t>20.</w:t>
      </w:r>
    </w:p>
    <w:p w:rsidR="00000C36" w:rsidRDefault="00000C36" w:rsidP="00844225">
      <w:pPr>
        <w:widowControl/>
        <w:spacing w:line="360" w:lineRule="auto"/>
        <w:ind w:firstLine="1440"/>
        <w:rPr>
          <w:sz w:val="26"/>
          <w:szCs w:val="26"/>
        </w:rPr>
      </w:pPr>
    </w:p>
    <w:p w:rsidR="00000C36" w:rsidRDefault="005F66DC" w:rsidP="00844225">
      <w:pPr>
        <w:widowControl/>
        <w:spacing w:line="360" w:lineRule="auto"/>
        <w:ind w:firstLine="1440"/>
        <w:rPr>
          <w:sz w:val="26"/>
          <w:szCs w:val="26"/>
        </w:rPr>
      </w:pPr>
      <w:r>
        <w:rPr>
          <w:sz w:val="26"/>
          <w:szCs w:val="26"/>
        </w:rPr>
        <w:t>Second, the Company asserts that it has not neglected its gathering system, noting its past capital expenditures and those it has committed to going forward</w:t>
      </w:r>
      <w:r w:rsidR="00DC2285">
        <w:rPr>
          <w:sz w:val="26"/>
          <w:szCs w:val="26"/>
        </w:rPr>
        <w:t>, described</w:t>
      </w:r>
      <w:r w:rsidR="00DC2285" w:rsidRPr="00DC2285">
        <w:rPr>
          <w:i/>
          <w:sz w:val="26"/>
          <w:szCs w:val="26"/>
        </w:rPr>
        <w:t xml:space="preserve"> supra</w:t>
      </w:r>
      <w:r>
        <w:rPr>
          <w:sz w:val="26"/>
          <w:szCs w:val="26"/>
        </w:rPr>
        <w:t>.  Additionally, it cites the ALJ</w:t>
      </w:r>
      <w:r w:rsidR="001A5BA1">
        <w:rPr>
          <w:sz w:val="26"/>
          <w:szCs w:val="26"/>
        </w:rPr>
        <w:t>’</w:t>
      </w:r>
      <w:r>
        <w:rPr>
          <w:sz w:val="26"/>
          <w:szCs w:val="26"/>
        </w:rPr>
        <w:t xml:space="preserve">s finding that </w:t>
      </w:r>
      <w:r w:rsidR="001A5BA1">
        <w:rPr>
          <w:sz w:val="26"/>
          <w:szCs w:val="26"/>
        </w:rPr>
        <w:t>“</w:t>
      </w:r>
      <w:r>
        <w:rPr>
          <w:sz w:val="26"/>
          <w:szCs w:val="26"/>
        </w:rPr>
        <w:t>PIOGA</w:t>
      </w:r>
      <w:r w:rsidR="001A5BA1">
        <w:rPr>
          <w:sz w:val="26"/>
          <w:szCs w:val="26"/>
        </w:rPr>
        <w:t>’</w:t>
      </w:r>
      <w:r>
        <w:rPr>
          <w:sz w:val="26"/>
          <w:szCs w:val="26"/>
        </w:rPr>
        <w:t>s assertion that the Company has neglected its gathering system, under the circumstances, is not persuasive to support a denial of the proposed charge.</w:t>
      </w:r>
      <w:r w:rsidR="001A5BA1">
        <w:rPr>
          <w:sz w:val="26"/>
          <w:szCs w:val="26"/>
        </w:rPr>
        <w:t>”</w:t>
      </w:r>
      <w:r>
        <w:rPr>
          <w:sz w:val="26"/>
          <w:szCs w:val="26"/>
        </w:rPr>
        <w:t xml:space="preserve">  Peoples R. Exc. at 20 </w:t>
      </w:r>
      <w:r w:rsidR="00FD7710">
        <w:rPr>
          <w:sz w:val="26"/>
          <w:szCs w:val="26"/>
        </w:rPr>
        <w:t>(</w:t>
      </w:r>
      <w:r>
        <w:rPr>
          <w:sz w:val="26"/>
          <w:szCs w:val="26"/>
        </w:rPr>
        <w:t>citing R.D. at 73</w:t>
      </w:r>
      <w:r w:rsidR="00FD7710">
        <w:rPr>
          <w:sz w:val="26"/>
          <w:szCs w:val="26"/>
        </w:rPr>
        <w:t>)</w:t>
      </w:r>
      <w:r>
        <w:rPr>
          <w:sz w:val="26"/>
          <w:szCs w:val="26"/>
        </w:rPr>
        <w:t>.</w:t>
      </w:r>
    </w:p>
    <w:p w:rsidR="005F66DC" w:rsidRDefault="005F66DC" w:rsidP="00844225">
      <w:pPr>
        <w:widowControl/>
        <w:spacing w:line="360" w:lineRule="auto"/>
        <w:ind w:firstLine="1440"/>
        <w:rPr>
          <w:sz w:val="26"/>
          <w:szCs w:val="26"/>
        </w:rPr>
      </w:pPr>
    </w:p>
    <w:p w:rsidR="005F66DC" w:rsidRDefault="0044167D" w:rsidP="00844225">
      <w:pPr>
        <w:widowControl/>
        <w:spacing w:line="360" w:lineRule="auto"/>
        <w:ind w:firstLine="1440"/>
        <w:rPr>
          <w:sz w:val="26"/>
          <w:szCs w:val="26"/>
        </w:rPr>
      </w:pPr>
      <w:r>
        <w:rPr>
          <w:sz w:val="26"/>
          <w:szCs w:val="26"/>
        </w:rPr>
        <w:t xml:space="preserve">Third, </w:t>
      </w:r>
      <w:r w:rsidR="006969AE">
        <w:rPr>
          <w:sz w:val="26"/>
          <w:szCs w:val="26"/>
        </w:rPr>
        <w:t>the Company asserts that PIOGA</w:t>
      </w:r>
      <w:r w:rsidR="001A5BA1">
        <w:rPr>
          <w:sz w:val="26"/>
          <w:szCs w:val="26"/>
        </w:rPr>
        <w:t>’</w:t>
      </w:r>
      <w:r w:rsidR="006969AE">
        <w:rPr>
          <w:sz w:val="26"/>
          <w:szCs w:val="26"/>
        </w:rPr>
        <w:t xml:space="preserve">s attempt to criticize </w:t>
      </w:r>
      <w:r w:rsidR="00E97C32">
        <w:rPr>
          <w:sz w:val="26"/>
          <w:szCs w:val="26"/>
        </w:rPr>
        <w:t xml:space="preserve">the </w:t>
      </w:r>
      <w:r w:rsidR="006969AE">
        <w:rPr>
          <w:sz w:val="26"/>
          <w:szCs w:val="26"/>
        </w:rPr>
        <w:t>OSBA</w:t>
      </w:r>
      <w:r w:rsidR="001A5BA1">
        <w:rPr>
          <w:sz w:val="26"/>
          <w:szCs w:val="26"/>
        </w:rPr>
        <w:t>’</w:t>
      </w:r>
      <w:r w:rsidR="006969AE">
        <w:rPr>
          <w:sz w:val="26"/>
          <w:szCs w:val="26"/>
        </w:rPr>
        <w:t xml:space="preserve">s argument </w:t>
      </w:r>
      <w:r w:rsidR="004B532A" w:rsidRPr="00CF3C6A">
        <w:rPr>
          <w:sz w:val="26"/>
          <w:szCs w:val="26"/>
        </w:rPr>
        <w:t>that</w:t>
      </w:r>
      <w:r w:rsidR="004B532A">
        <w:rPr>
          <w:sz w:val="26"/>
          <w:szCs w:val="26"/>
        </w:rPr>
        <w:t xml:space="preserve"> if</w:t>
      </w:r>
      <w:r w:rsidR="004B532A" w:rsidRPr="00CF3C6A">
        <w:rPr>
          <w:sz w:val="26"/>
          <w:szCs w:val="26"/>
        </w:rPr>
        <w:t xml:space="preserve"> conventional gas producers do not cause UFG on the gathering system, the same could be said of sales</w:t>
      </w:r>
      <w:r w:rsidR="004B532A">
        <w:rPr>
          <w:sz w:val="26"/>
          <w:szCs w:val="26"/>
        </w:rPr>
        <w:t xml:space="preserve"> and transportation customers, </w:t>
      </w:r>
      <w:r w:rsidR="006969AE">
        <w:rPr>
          <w:sz w:val="26"/>
          <w:szCs w:val="26"/>
        </w:rPr>
        <w:t xml:space="preserve">is unfounded.  The Company </w:t>
      </w:r>
      <w:r w:rsidR="00E21159">
        <w:rPr>
          <w:sz w:val="26"/>
          <w:szCs w:val="26"/>
        </w:rPr>
        <w:t xml:space="preserve">opines </w:t>
      </w:r>
      <w:r w:rsidR="006969AE">
        <w:rPr>
          <w:sz w:val="26"/>
          <w:szCs w:val="26"/>
        </w:rPr>
        <w:t xml:space="preserve">that </w:t>
      </w:r>
      <w:r w:rsidR="006969AE" w:rsidRPr="006969AE">
        <w:rPr>
          <w:sz w:val="26"/>
          <w:szCs w:val="26"/>
        </w:rPr>
        <w:t>PIOGA claims that sales and transportation customers should pay for UFG because they receive natural gas from the system, but conventional gas producers should not pay for UFG because they supply</w:t>
      </w:r>
      <w:r w:rsidR="006969AE">
        <w:rPr>
          <w:sz w:val="26"/>
          <w:szCs w:val="26"/>
        </w:rPr>
        <w:t xml:space="preserve"> natural gas to the system</w:t>
      </w:r>
      <w:r w:rsidR="00E21159">
        <w:rPr>
          <w:sz w:val="26"/>
          <w:szCs w:val="26"/>
        </w:rPr>
        <w:t>,</w:t>
      </w:r>
      <w:r w:rsidR="006969AE" w:rsidRPr="006969AE">
        <w:rPr>
          <w:sz w:val="26"/>
          <w:szCs w:val="26"/>
        </w:rPr>
        <w:t xml:space="preserve"> is a distinction without a difference</w:t>
      </w:r>
      <w:r w:rsidR="00E21159">
        <w:rPr>
          <w:sz w:val="26"/>
          <w:szCs w:val="26"/>
        </w:rPr>
        <w:t>.  The Company avers that i</w:t>
      </w:r>
      <w:r w:rsidR="006969AE">
        <w:rPr>
          <w:sz w:val="26"/>
          <w:szCs w:val="26"/>
        </w:rPr>
        <w:t>t is reasonable for the conventional gas producers to contribute toward the cost of UFG on the gathering system</w:t>
      </w:r>
      <w:r w:rsidR="00E21159">
        <w:rPr>
          <w:sz w:val="26"/>
          <w:szCs w:val="26"/>
        </w:rPr>
        <w:t xml:space="preserve"> because the </w:t>
      </w:r>
      <w:r w:rsidR="006969AE">
        <w:rPr>
          <w:sz w:val="26"/>
          <w:szCs w:val="26"/>
        </w:rPr>
        <w:t>producers would not be able to transport their product to market without the gathering pipelines.  Peoples Gas R. Exc. at 20.</w:t>
      </w:r>
    </w:p>
    <w:p w:rsidR="00E573B1" w:rsidRDefault="00E573B1" w:rsidP="00844225">
      <w:pPr>
        <w:widowControl/>
        <w:spacing w:line="360" w:lineRule="auto"/>
        <w:ind w:firstLine="1440"/>
        <w:rPr>
          <w:sz w:val="26"/>
          <w:szCs w:val="26"/>
        </w:rPr>
      </w:pPr>
    </w:p>
    <w:p w:rsidR="00DF628B" w:rsidRDefault="00DF628B" w:rsidP="00844225">
      <w:pPr>
        <w:widowControl/>
        <w:spacing w:line="360" w:lineRule="auto"/>
        <w:ind w:firstLine="1440"/>
        <w:rPr>
          <w:sz w:val="26"/>
          <w:szCs w:val="26"/>
        </w:rPr>
      </w:pPr>
      <w:r>
        <w:rPr>
          <w:sz w:val="26"/>
          <w:szCs w:val="26"/>
        </w:rPr>
        <w:t xml:space="preserve">In its </w:t>
      </w:r>
      <w:r w:rsidR="00E21159">
        <w:rPr>
          <w:sz w:val="26"/>
          <w:szCs w:val="26"/>
        </w:rPr>
        <w:t>reply</w:t>
      </w:r>
      <w:r>
        <w:rPr>
          <w:sz w:val="26"/>
          <w:szCs w:val="26"/>
        </w:rPr>
        <w:t>, the OSBA</w:t>
      </w:r>
      <w:r w:rsidR="00AD6693">
        <w:rPr>
          <w:sz w:val="26"/>
          <w:szCs w:val="26"/>
        </w:rPr>
        <w:t xml:space="preserve"> avers that the ALJ correctly rejected PIOGA</w:t>
      </w:r>
      <w:r w:rsidR="001A5BA1">
        <w:rPr>
          <w:sz w:val="26"/>
          <w:szCs w:val="26"/>
        </w:rPr>
        <w:t>’</w:t>
      </w:r>
      <w:r w:rsidR="00AD6693">
        <w:rPr>
          <w:sz w:val="26"/>
          <w:szCs w:val="26"/>
        </w:rPr>
        <w:t>s argument that producers should not be responsible for the costs of UFG because they are not responsible for causing th</w:t>
      </w:r>
      <w:r w:rsidR="00E21159">
        <w:rPr>
          <w:sz w:val="26"/>
          <w:szCs w:val="26"/>
        </w:rPr>
        <w:t>ose costs</w:t>
      </w:r>
      <w:r w:rsidR="0016305A">
        <w:rPr>
          <w:sz w:val="26"/>
          <w:szCs w:val="26"/>
        </w:rPr>
        <w:t xml:space="preserve">.  The OSBA avers that the ALJ </w:t>
      </w:r>
      <w:r w:rsidR="00AD6693">
        <w:rPr>
          <w:sz w:val="26"/>
          <w:szCs w:val="26"/>
        </w:rPr>
        <w:t>correctly focus</w:t>
      </w:r>
      <w:r w:rsidR="0016305A">
        <w:rPr>
          <w:sz w:val="26"/>
          <w:szCs w:val="26"/>
        </w:rPr>
        <w:t>ed</w:t>
      </w:r>
      <w:r w:rsidR="00AD6693">
        <w:rPr>
          <w:sz w:val="26"/>
          <w:szCs w:val="26"/>
        </w:rPr>
        <w:t xml:space="preserve"> not on who is to blame for UFG, but rather who benefits from the gathering system.  </w:t>
      </w:r>
      <w:r w:rsidR="00AD6693">
        <w:rPr>
          <w:sz w:val="26"/>
          <w:szCs w:val="26"/>
        </w:rPr>
        <w:lastRenderedPageBreak/>
        <w:t xml:space="preserve">OSBA R. Exc. at 5, citing R.D. at 72.  </w:t>
      </w:r>
      <w:r w:rsidR="009C70FA">
        <w:rPr>
          <w:sz w:val="26"/>
          <w:szCs w:val="26"/>
        </w:rPr>
        <w:t xml:space="preserve">The OSBA maintains </w:t>
      </w:r>
      <w:r w:rsidR="0016305A">
        <w:rPr>
          <w:sz w:val="26"/>
          <w:szCs w:val="26"/>
        </w:rPr>
        <w:t xml:space="preserve">a similar </w:t>
      </w:r>
      <w:r w:rsidR="009C70FA">
        <w:rPr>
          <w:sz w:val="26"/>
          <w:szCs w:val="26"/>
        </w:rPr>
        <w:t>position</w:t>
      </w:r>
      <w:r w:rsidR="0016305A">
        <w:rPr>
          <w:sz w:val="26"/>
          <w:szCs w:val="26"/>
        </w:rPr>
        <w:t xml:space="preserve"> to the ALJ </w:t>
      </w:r>
      <w:r w:rsidR="009C70FA">
        <w:rPr>
          <w:sz w:val="26"/>
          <w:szCs w:val="26"/>
        </w:rPr>
        <w:t>that because producers clearly benefit from their connections to the Company</w:t>
      </w:r>
      <w:r w:rsidR="001A5BA1">
        <w:rPr>
          <w:sz w:val="26"/>
          <w:szCs w:val="26"/>
        </w:rPr>
        <w:t>’</w:t>
      </w:r>
      <w:r w:rsidR="009C70FA">
        <w:rPr>
          <w:sz w:val="26"/>
          <w:szCs w:val="26"/>
        </w:rPr>
        <w:t>s system, they should pay their fair share of UFG costs to help to mitigate increases in Peoples Gas</w:t>
      </w:r>
      <w:r w:rsidR="001A5BA1">
        <w:rPr>
          <w:sz w:val="26"/>
          <w:szCs w:val="26"/>
        </w:rPr>
        <w:t>’</w:t>
      </w:r>
      <w:r w:rsidR="009C70FA">
        <w:rPr>
          <w:sz w:val="26"/>
          <w:szCs w:val="26"/>
        </w:rPr>
        <w:t xml:space="preserve"> end use retainage rate.  </w:t>
      </w:r>
      <w:r w:rsidR="009C70FA" w:rsidRPr="009C70FA">
        <w:rPr>
          <w:i/>
          <w:sz w:val="26"/>
          <w:szCs w:val="26"/>
        </w:rPr>
        <w:t>Id.</w:t>
      </w:r>
      <w:r w:rsidR="009C70FA">
        <w:rPr>
          <w:sz w:val="26"/>
          <w:szCs w:val="26"/>
        </w:rPr>
        <w:t xml:space="preserve"> at 6.</w:t>
      </w:r>
    </w:p>
    <w:p w:rsidR="000475CD" w:rsidRDefault="000475CD" w:rsidP="00844225">
      <w:pPr>
        <w:widowControl/>
        <w:spacing w:line="360" w:lineRule="auto"/>
        <w:rPr>
          <w:sz w:val="26"/>
          <w:szCs w:val="26"/>
        </w:rPr>
      </w:pPr>
    </w:p>
    <w:p w:rsidR="00C86B8A" w:rsidRPr="00A2066B" w:rsidRDefault="00C86B8A" w:rsidP="00E97C32">
      <w:pPr>
        <w:pStyle w:val="Heading4"/>
        <w:keepNext/>
        <w:keepLines/>
        <w:numPr>
          <w:ilvl w:val="0"/>
          <w:numId w:val="21"/>
        </w:numPr>
        <w:ind w:left="2160" w:hanging="720"/>
      </w:pPr>
      <w:r>
        <w:t>Disposition</w:t>
      </w:r>
    </w:p>
    <w:p w:rsidR="00C86B8A" w:rsidRDefault="00C86B8A" w:rsidP="00E97C32">
      <w:pPr>
        <w:keepNext/>
        <w:keepLines/>
        <w:widowControl/>
        <w:spacing w:line="360" w:lineRule="auto"/>
        <w:rPr>
          <w:sz w:val="26"/>
          <w:szCs w:val="26"/>
        </w:rPr>
      </w:pPr>
    </w:p>
    <w:p w:rsidR="001D75B3" w:rsidRDefault="001D75B3" w:rsidP="00844225">
      <w:pPr>
        <w:widowControl/>
        <w:spacing w:line="360" w:lineRule="auto"/>
        <w:ind w:firstLine="1440"/>
        <w:rPr>
          <w:sz w:val="26"/>
          <w:szCs w:val="26"/>
        </w:rPr>
      </w:pPr>
      <w:r>
        <w:rPr>
          <w:sz w:val="26"/>
          <w:szCs w:val="26"/>
        </w:rPr>
        <w:t>Based on the record and the Parties</w:t>
      </w:r>
      <w:r w:rsidR="001A5BA1">
        <w:rPr>
          <w:sz w:val="26"/>
          <w:szCs w:val="26"/>
        </w:rPr>
        <w:t>’</w:t>
      </w:r>
      <w:r>
        <w:rPr>
          <w:sz w:val="26"/>
          <w:szCs w:val="26"/>
        </w:rPr>
        <w:t xml:space="preserve"> positions, we find that PIOGA</w:t>
      </w:r>
      <w:r w:rsidR="001A5BA1">
        <w:rPr>
          <w:sz w:val="26"/>
          <w:szCs w:val="26"/>
        </w:rPr>
        <w:t>’</w:t>
      </w:r>
      <w:r>
        <w:rPr>
          <w:sz w:val="26"/>
          <w:szCs w:val="26"/>
        </w:rPr>
        <w:t xml:space="preserve">s argument </w:t>
      </w:r>
      <w:r w:rsidR="00FD7710">
        <w:rPr>
          <w:sz w:val="26"/>
          <w:szCs w:val="26"/>
        </w:rPr>
        <w:t xml:space="preserve">– </w:t>
      </w:r>
      <w:r>
        <w:rPr>
          <w:sz w:val="26"/>
          <w:szCs w:val="26"/>
        </w:rPr>
        <w:t>that the Company</w:t>
      </w:r>
      <w:r w:rsidR="001A5BA1">
        <w:rPr>
          <w:sz w:val="26"/>
          <w:szCs w:val="26"/>
        </w:rPr>
        <w:t>’</w:t>
      </w:r>
      <w:r>
        <w:rPr>
          <w:sz w:val="26"/>
          <w:szCs w:val="26"/>
        </w:rPr>
        <w:t>s proposal to recover of a portion of gathering system UFG from conventional gas producers should be denied based on PIOGA</w:t>
      </w:r>
      <w:r w:rsidR="001A5BA1">
        <w:rPr>
          <w:sz w:val="26"/>
          <w:szCs w:val="26"/>
        </w:rPr>
        <w:t>’</w:t>
      </w:r>
      <w:r>
        <w:rPr>
          <w:sz w:val="26"/>
          <w:szCs w:val="26"/>
        </w:rPr>
        <w:t>s contention that the level of UFG</w:t>
      </w:r>
      <w:r w:rsidR="00843621">
        <w:rPr>
          <w:sz w:val="26"/>
          <w:szCs w:val="26"/>
        </w:rPr>
        <w:t xml:space="preserve"> on the gathering system</w:t>
      </w:r>
      <w:r>
        <w:rPr>
          <w:sz w:val="26"/>
          <w:szCs w:val="26"/>
        </w:rPr>
        <w:t xml:space="preserve"> is not the </w:t>
      </w:r>
      <w:r w:rsidR="00843621">
        <w:rPr>
          <w:sz w:val="26"/>
          <w:szCs w:val="26"/>
        </w:rPr>
        <w:t>producers</w:t>
      </w:r>
      <w:r w:rsidR="001A5BA1">
        <w:rPr>
          <w:sz w:val="26"/>
          <w:szCs w:val="26"/>
        </w:rPr>
        <w:t>’</w:t>
      </w:r>
      <w:r>
        <w:rPr>
          <w:sz w:val="26"/>
          <w:szCs w:val="26"/>
        </w:rPr>
        <w:t xml:space="preserve"> responsibility</w:t>
      </w:r>
      <w:r w:rsidR="00843621">
        <w:rPr>
          <w:sz w:val="26"/>
          <w:szCs w:val="26"/>
        </w:rPr>
        <w:t xml:space="preserve"> </w:t>
      </w:r>
      <w:r w:rsidR="00FD7710">
        <w:rPr>
          <w:sz w:val="26"/>
          <w:szCs w:val="26"/>
        </w:rPr>
        <w:t xml:space="preserve">– </w:t>
      </w:r>
      <w:r w:rsidR="00843621">
        <w:rPr>
          <w:sz w:val="26"/>
          <w:szCs w:val="26"/>
        </w:rPr>
        <w:t>is without merit.</w:t>
      </w:r>
    </w:p>
    <w:p w:rsidR="003909E5" w:rsidRDefault="003909E5" w:rsidP="00844225">
      <w:pPr>
        <w:widowControl/>
        <w:spacing w:line="360" w:lineRule="auto"/>
        <w:ind w:firstLine="1440"/>
        <w:rPr>
          <w:sz w:val="26"/>
          <w:szCs w:val="26"/>
        </w:rPr>
      </w:pPr>
    </w:p>
    <w:p w:rsidR="00B75A15" w:rsidRDefault="003909E5" w:rsidP="00844225">
      <w:pPr>
        <w:widowControl/>
        <w:spacing w:line="360" w:lineRule="auto"/>
        <w:ind w:firstLine="1440"/>
        <w:rPr>
          <w:sz w:val="26"/>
          <w:szCs w:val="26"/>
        </w:rPr>
      </w:pPr>
      <w:r>
        <w:rPr>
          <w:sz w:val="26"/>
          <w:szCs w:val="26"/>
        </w:rPr>
        <w:t>We concur with the ALJ</w:t>
      </w:r>
      <w:r w:rsidR="001A5BA1">
        <w:rPr>
          <w:sz w:val="26"/>
          <w:szCs w:val="26"/>
        </w:rPr>
        <w:t>’</w:t>
      </w:r>
      <w:r>
        <w:rPr>
          <w:sz w:val="26"/>
          <w:szCs w:val="26"/>
        </w:rPr>
        <w:t>s finding that</w:t>
      </w:r>
      <w:r w:rsidRPr="00000C36">
        <w:rPr>
          <w:sz w:val="26"/>
          <w:szCs w:val="26"/>
        </w:rPr>
        <w:t xml:space="preserve"> the </w:t>
      </w:r>
      <w:r w:rsidR="001A5BA1">
        <w:rPr>
          <w:sz w:val="26"/>
          <w:szCs w:val="26"/>
        </w:rPr>
        <w:t>“</w:t>
      </w:r>
      <w:r w:rsidRPr="00000C36">
        <w:rPr>
          <w:sz w:val="26"/>
          <w:szCs w:val="26"/>
        </w:rPr>
        <w:t>proper standard to be applied in this proceeding is that beneficiaries of a particular system should pay their fair sha</w:t>
      </w:r>
      <w:r>
        <w:rPr>
          <w:sz w:val="26"/>
          <w:szCs w:val="26"/>
        </w:rPr>
        <w:t>re of the UFG on that system,</w:t>
      </w:r>
      <w:r w:rsidR="001A5BA1">
        <w:rPr>
          <w:sz w:val="26"/>
          <w:szCs w:val="26"/>
        </w:rPr>
        <w:t>”</w:t>
      </w:r>
      <w:r>
        <w:rPr>
          <w:sz w:val="26"/>
          <w:szCs w:val="26"/>
        </w:rPr>
        <w:t xml:space="preserve"> and </w:t>
      </w:r>
      <w:r w:rsidR="00127284">
        <w:rPr>
          <w:sz w:val="26"/>
          <w:szCs w:val="26"/>
        </w:rPr>
        <w:t xml:space="preserve">we </w:t>
      </w:r>
      <w:r>
        <w:rPr>
          <w:sz w:val="26"/>
          <w:szCs w:val="26"/>
        </w:rPr>
        <w:t>reject PIOGA</w:t>
      </w:r>
      <w:r w:rsidR="001A5BA1">
        <w:rPr>
          <w:sz w:val="26"/>
          <w:szCs w:val="26"/>
        </w:rPr>
        <w:t>’</w:t>
      </w:r>
      <w:r>
        <w:rPr>
          <w:sz w:val="26"/>
          <w:szCs w:val="26"/>
        </w:rPr>
        <w:t>s argument that producers should not be responsible for the costs of UFG because they are not responsible for causing them</w:t>
      </w:r>
      <w:r w:rsidR="001371FF">
        <w:rPr>
          <w:sz w:val="26"/>
          <w:szCs w:val="26"/>
        </w:rPr>
        <w:t>.</w:t>
      </w:r>
      <w:r>
        <w:rPr>
          <w:sz w:val="26"/>
          <w:szCs w:val="26"/>
        </w:rPr>
        <w:t xml:space="preserve">  </w:t>
      </w:r>
      <w:r w:rsidRPr="00000C36">
        <w:rPr>
          <w:sz w:val="26"/>
          <w:szCs w:val="26"/>
        </w:rPr>
        <w:t>R</w:t>
      </w:r>
      <w:r>
        <w:rPr>
          <w:sz w:val="26"/>
          <w:szCs w:val="26"/>
        </w:rPr>
        <w:t>.</w:t>
      </w:r>
      <w:r w:rsidRPr="00000C36">
        <w:rPr>
          <w:sz w:val="26"/>
          <w:szCs w:val="26"/>
        </w:rPr>
        <w:t>D</w:t>
      </w:r>
      <w:r>
        <w:rPr>
          <w:sz w:val="26"/>
          <w:szCs w:val="26"/>
        </w:rPr>
        <w:t>.</w:t>
      </w:r>
      <w:r w:rsidR="00E97C32">
        <w:rPr>
          <w:sz w:val="26"/>
          <w:szCs w:val="26"/>
        </w:rPr>
        <w:t> </w:t>
      </w:r>
      <w:r>
        <w:rPr>
          <w:sz w:val="26"/>
          <w:szCs w:val="26"/>
        </w:rPr>
        <w:t>at</w:t>
      </w:r>
      <w:r w:rsidR="00E97C32">
        <w:rPr>
          <w:sz w:val="26"/>
          <w:szCs w:val="26"/>
        </w:rPr>
        <w:t> </w:t>
      </w:r>
      <w:r>
        <w:rPr>
          <w:sz w:val="26"/>
          <w:szCs w:val="26"/>
        </w:rPr>
        <w:t>72</w:t>
      </w:r>
      <w:r w:rsidR="00DE0DA6">
        <w:rPr>
          <w:sz w:val="26"/>
          <w:szCs w:val="26"/>
        </w:rPr>
        <w:t>.  Producers clearly benefit from their connections to the Company</w:t>
      </w:r>
      <w:r w:rsidR="001A5BA1">
        <w:rPr>
          <w:sz w:val="26"/>
          <w:szCs w:val="26"/>
        </w:rPr>
        <w:t>’</w:t>
      </w:r>
      <w:r w:rsidR="00DE0DA6">
        <w:rPr>
          <w:sz w:val="26"/>
          <w:szCs w:val="26"/>
        </w:rPr>
        <w:t>s system, as do customers</w:t>
      </w:r>
      <w:r w:rsidR="00FD7710">
        <w:rPr>
          <w:sz w:val="26"/>
          <w:szCs w:val="26"/>
        </w:rPr>
        <w:t>;</w:t>
      </w:r>
      <w:r w:rsidR="001A11DC">
        <w:rPr>
          <w:sz w:val="26"/>
          <w:szCs w:val="26"/>
        </w:rPr>
        <w:t xml:space="preserve"> therefore, </w:t>
      </w:r>
      <w:r w:rsidR="00FD7710">
        <w:rPr>
          <w:sz w:val="26"/>
          <w:szCs w:val="26"/>
        </w:rPr>
        <w:t xml:space="preserve">producers </w:t>
      </w:r>
      <w:r w:rsidR="001A11DC">
        <w:rPr>
          <w:sz w:val="26"/>
          <w:szCs w:val="26"/>
        </w:rPr>
        <w:t>should pay their fair share of UFG costs to help mitigate increases in Peoples Gas</w:t>
      </w:r>
      <w:r w:rsidR="001A5BA1">
        <w:rPr>
          <w:sz w:val="26"/>
          <w:szCs w:val="26"/>
        </w:rPr>
        <w:t>’</w:t>
      </w:r>
      <w:r w:rsidR="001A11DC">
        <w:rPr>
          <w:sz w:val="26"/>
          <w:szCs w:val="26"/>
        </w:rPr>
        <w:t xml:space="preserve"> end use retainage rate.</w:t>
      </w:r>
    </w:p>
    <w:p w:rsidR="00B75A15" w:rsidRDefault="00B75A15" w:rsidP="00844225">
      <w:pPr>
        <w:widowControl/>
        <w:spacing w:line="360" w:lineRule="auto"/>
        <w:ind w:firstLine="1440"/>
        <w:rPr>
          <w:sz w:val="26"/>
          <w:szCs w:val="26"/>
        </w:rPr>
      </w:pPr>
    </w:p>
    <w:p w:rsidR="003909E5" w:rsidRDefault="00A052C0" w:rsidP="00844225">
      <w:pPr>
        <w:widowControl/>
        <w:spacing w:line="360" w:lineRule="auto"/>
        <w:ind w:firstLine="1440"/>
        <w:rPr>
          <w:sz w:val="26"/>
          <w:szCs w:val="26"/>
        </w:rPr>
      </w:pPr>
      <w:r>
        <w:rPr>
          <w:sz w:val="26"/>
          <w:szCs w:val="26"/>
        </w:rPr>
        <w:t>Furthermore</w:t>
      </w:r>
      <w:r w:rsidR="00B4734A">
        <w:rPr>
          <w:sz w:val="26"/>
          <w:szCs w:val="26"/>
        </w:rPr>
        <w:t xml:space="preserve">, </w:t>
      </w:r>
      <w:r w:rsidR="001072F0">
        <w:rPr>
          <w:sz w:val="26"/>
          <w:szCs w:val="26"/>
        </w:rPr>
        <w:t xml:space="preserve">as discussed </w:t>
      </w:r>
      <w:r w:rsidR="001072F0" w:rsidRPr="001072F0">
        <w:rPr>
          <w:i/>
          <w:sz w:val="26"/>
          <w:szCs w:val="26"/>
        </w:rPr>
        <w:t>supra</w:t>
      </w:r>
      <w:r w:rsidR="001072F0">
        <w:rPr>
          <w:sz w:val="26"/>
          <w:szCs w:val="26"/>
        </w:rPr>
        <w:t>,</w:t>
      </w:r>
      <w:r>
        <w:rPr>
          <w:sz w:val="26"/>
          <w:szCs w:val="26"/>
        </w:rPr>
        <w:t xml:space="preserve"> the substantial capital the Peoples Companies have invested and will continue to invest to improve their gathering systems</w:t>
      </w:r>
      <w:r w:rsidR="00B4734A">
        <w:rPr>
          <w:sz w:val="26"/>
          <w:szCs w:val="26"/>
        </w:rPr>
        <w:t xml:space="preserve"> is contrary to PIOGA</w:t>
      </w:r>
      <w:r w:rsidR="001A5BA1">
        <w:rPr>
          <w:sz w:val="26"/>
          <w:szCs w:val="26"/>
        </w:rPr>
        <w:t>’</w:t>
      </w:r>
      <w:r w:rsidR="00B4734A">
        <w:rPr>
          <w:sz w:val="26"/>
          <w:szCs w:val="26"/>
        </w:rPr>
        <w:t>s contention that the Company has neglected its gathering system</w:t>
      </w:r>
      <w:r>
        <w:rPr>
          <w:sz w:val="26"/>
          <w:szCs w:val="26"/>
        </w:rPr>
        <w:t>.</w:t>
      </w:r>
      <w:r w:rsidR="00B4734A">
        <w:rPr>
          <w:sz w:val="26"/>
          <w:szCs w:val="26"/>
        </w:rPr>
        <w:t xml:space="preserve">  As the Company explained, accelerating the pipeline replacement program will not necessarily produce immediate UFG reductions because determining which pipelines should be scheduled for replacement is contingent on a risk analysis under the Company</w:t>
      </w:r>
      <w:r w:rsidR="001A5BA1">
        <w:rPr>
          <w:sz w:val="26"/>
          <w:szCs w:val="26"/>
        </w:rPr>
        <w:t>’</w:t>
      </w:r>
      <w:r w:rsidR="00B4734A">
        <w:rPr>
          <w:sz w:val="26"/>
          <w:szCs w:val="26"/>
        </w:rPr>
        <w:t>s LTIIP.  Although leakage is a relevant factor in that risk analysis, it is not the only factor.  For example, as the Company has indicated, a leaking pipeline in a non-</w:t>
      </w:r>
      <w:r w:rsidR="00B4734A">
        <w:rPr>
          <w:sz w:val="26"/>
          <w:szCs w:val="26"/>
        </w:rPr>
        <w:lastRenderedPageBreak/>
        <w:t xml:space="preserve">populated rural area may not receive a higher risk ranking than a non-leaking pipeline in a highly populated area.  </w:t>
      </w:r>
      <w:r w:rsidR="00B75A15">
        <w:rPr>
          <w:sz w:val="26"/>
          <w:szCs w:val="26"/>
        </w:rPr>
        <w:t xml:space="preserve">For these safety reasons, the Company explains that it has devoted the vast majority of its capital investment toward replacing at-risk distribution pipelines.  Peoples Gas St. No. 5-R at 7.  </w:t>
      </w:r>
      <w:r w:rsidR="005D0E47">
        <w:rPr>
          <w:sz w:val="26"/>
          <w:szCs w:val="26"/>
        </w:rPr>
        <w:t>Peoples Gas has indicated that the distribution pipelines represent 71% of the targeted pipelines and serve 99% of the Peoples Companies</w:t>
      </w:r>
      <w:r w:rsidR="001A5BA1">
        <w:rPr>
          <w:sz w:val="26"/>
          <w:szCs w:val="26"/>
        </w:rPr>
        <w:t>’</w:t>
      </w:r>
      <w:r w:rsidR="005D0E47">
        <w:rPr>
          <w:sz w:val="26"/>
          <w:szCs w:val="26"/>
        </w:rPr>
        <w:t xml:space="preserve"> customers compared to the gathering pipelines which represent 29% of the targeted pipeline miles and directly serve only 1% of the Peoples Companies</w:t>
      </w:r>
      <w:r w:rsidR="001A5BA1">
        <w:rPr>
          <w:sz w:val="26"/>
          <w:szCs w:val="26"/>
        </w:rPr>
        <w:t>’</w:t>
      </w:r>
      <w:r w:rsidR="005D0E47">
        <w:rPr>
          <w:sz w:val="26"/>
          <w:szCs w:val="26"/>
        </w:rPr>
        <w:t xml:space="preserve"> customers.  </w:t>
      </w:r>
      <w:r w:rsidR="00C25915">
        <w:rPr>
          <w:sz w:val="26"/>
          <w:szCs w:val="26"/>
        </w:rPr>
        <w:t>Peoples Gas</w:t>
      </w:r>
      <w:r w:rsidR="005D0E47">
        <w:rPr>
          <w:sz w:val="26"/>
          <w:szCs w:val="26"/>
        </w:rPr>
        <w:t xml:space="preserve"> St. 5-R at 8.  </w:t>
      </w:r>
      <w:r w:rsidR="00B75A15">
        <w:rPr>
          <w:sz w:val="26"/>
          <w:szCs w:val="26"/>
        </w:rPr>
        <w:t xml:space="preserve">Additionally, Peoples Gas explains the Peoples Companies proposal to spend approximately $21.1 million over the next four years to further address their gathering systems.  Peoples Gas St. No. 1-R at 3.  </w:t>
      </w:r>
      <w:r w:rsidR="00DD3170">
        <w:rPr>
          <w:sz w:val="26"/>
          <w:szCs w:val="26"/>
        </w:rPr>
        <w:t>More importantly, we reiterate that</w:t>
      </w:r>
      <w:r w:rsidR="00127284">
        <w:rPr>
          <w:sz w:val="26"/>
          <w:szCs w:val="26"/>
        </w:rPr>
        <w:t>, consistent</w:t>
      </w:r>
      <w:r w:rsidR="00DD3170">
        <w:rPr>
          <w:sz w:val="26"/>
          <w:szCs w:val="26"/>
        </w:rPr>
        <w:t xml:space="preserve"> with the </w:t>
      </w:r>
      <w:r w:rsidR="00FD7710">
        <w:rPr>
          <w:sz w:val="26"/>
          <w:szCs w:val="26"/>
        </w:rPr>
        <w:t>Company</w:t>
      </w:r>
      <w:r w:rsidR="001A5BA1">
        <w:rPr>
          <w:sz w:val="26"/>
          <w:szCs w:val="26"/>
        </w:rPr>
        <w:t>’</w:t>
      </w:r>
      <w:r w:rsidR="00FD7710">
        <w:rPr>
          <w:sz w:val="26"/>
          <w:szCs w:val="26"/>
        </w:rPr>
        <w:t xml:space="preserve">s </w:t>
      </w:r>
      <w:r w:rsidR="00DD3170">
        <w:rPr>
          <w:sz w:val="26"/>
          <w:szCs w:val="26"/>
        </w:rPr>
        <w:t>commitment to reduce gathering system UFG and the fact that the producers are also beneficiaries of the Company</w:t>
      </w:r>
      <w:r w:rsidR="001A5BA1">
        <w:rPr>
          <w:sz w:val="26"/>
          <w:szCs w:val="26"/>
        </w:rPr>
        <w:t>’</w:t>
      </w:r>
      <w:r w:rsidR="00DD3170">
        <w:rPr>
          <w:sz w:val="26"/>
          <w:szCs w:val="26"/>
        </w:rPr>
        <w:t>s gathering system, we find it is appropriate for the producers to contribute toward the cost of the gathering system UFG.  As such, PIOGA</w:t>
      </w:r>
      <w:r w:rsidR="001A5BA1">
        <w:rPr>
          <w:sz w:val="26"/>
          <w:szCs w:val="26"/>
        </w:rPr>
        <w:t>’</w:t>
      </w:r>
      <w:r w:rsidR="00DD3170">
        <w:rPr>
          <w:sz w:val="26"/>
          <w:szCs w:val="26"/>
        </w:rPr>
        <w:t>s Exception No. 5</w:t>
      </w:r>
      <w:r w:rsidR="00127284">
        <w:rPr>
          <w:sz w:val="26"/>
          <w:szCs w:val="26"/>
        </w:rPr>
        <w:t xml:space="preserve"> is denied</w:t>
      </w:r>
      <w:r w:rsidR="00DD3170">
        <w:rPr>
          <w:sz w:val="26"/>
          <w:szCs w:val="26"/>
        </w:rPr>
        <w:t>.</w:t>
      </w:r>
    </w:p>
    <w:p w:rsidR="001371FF" w:rsidRDefault="001371FF" w:rsidP="00844225">
      <w:pPr>
        <w:widowControl/>
        <w:spacing w:line="360" w:lineRule="auto"/>
        <w:rPr>
          <w:sz w:val="26"/>
          <w:szCs w:val="26"/>
        </w:rPr>
      </w:pPr>
    </w:p>
    <w:p w:rsidR="00CF4F5E" w:rsidRPr="00320EC1" w:rsidRDefault="00CF4F5E" w:rsidP="00E97C32">
      <w:pPr>
        <w:pStyle w:val="Heading3"/>
        <w:keepNext/>
        <w:keepLines/>
        <w:numPr>
          <w:ilvl w:val="0"/>
          <w:numId w:val="14"/>
        </w:numPr>
        <w:ind w:left="1440" w:hanging="720"/>
      </w:pPr>
      <w:bookmarkStart w:id="37" w:name="_Toc524347692"/>
      <w:r w:rsidRPr="00320EC1">
        <w:t>PIOGA Exception No. 6</w:t>
      </w:r>
      <w:bookmarkEnd w:id="37"/>
      <w:r w:rsidR="00AA359F">
        <w:t>, Replies and Disposition</w:t>
      </w:r>
    </w:p>
    <w:p w:rsidR="00CF4F5E" w:rsidRDefault="00CF4F5E" w:rsidP="00E97C32">
      <w:pPr>
        <w:keepNext/>
        <w:keepLines/>
        <w:widowControl/>
        <w:spacing w:line="360" w:lineRule="auto"/>
        <w:rPr>
          <w:sz w:val="26"/>
          <w:szCs w:val="26"/>
        </w:rPr>
      </w:pPr>
    </w:p>
    <w:p w:rsidR="00A819FD" w:rsidRDefault="00937D46" w:rsidP="00844225">
      <w:pPr>
        <w:widowControl/>
        <w:spacing w:line="360" w:lineRule="auto"/>
        <w:ind w:firstLine="1440"/>
        <w:rPr>
          <w:sz w:val="26"/>
          <w:szCs w:val="26"/>
        </w:rPr>
      </w:pPr>
      <w:r>
        <w:rPr>
          <w:sz w:val="26"/>
          <w:szCs w:val="26"/>
        </w:rPr>
        <w:t>In its Exception No. 6, PIOGA challenges the ALJ</w:t>
      </w:r>
      <w:r w:rsidR="001A5BA1">
        <w:rPr>
          <w:sz w:val="26"/>
          <w:szCs w:val="26"/>
        </w:rPr>
        <w:t>’</w:t>
      </w:r>
      <w:r>
        <w:rPr>
          <w:sz w:val="26"/>
          <w:szCs w:val="26"/>
        </w:rPr>
        <w:t>s conclusion that the proposed producer retainage charge should apply to all conventional gas production.  PIOGA Exc. at 18-21</w:t>
      </w:r>
      <w:r w:rsidR="00D428F2">
        <w:rPr>
          <w:sz w:val="26"/>
          <w:szCs w:val="26"/>
        </w:rPr>
        <w:t xml:space="preserve"> </w:t>
      </w:r>
      <w:r w:rsidR="00FD7710">
        <w:rPr>
          <w:sz w:val="26"/>
          <w:szCs w:val="26"/>
        </w:rPr>
        <w:t>(</w:t>
      </w:r>
      <w:r w:rsidR="00D428F2">
        <w:rPr>
          <w:sz w:val="26"/>
          <w:szCs w:val="26"/>
        </w:rPr>
        <w:t>citing R.D. at 73-74; Findings of Fact Nos. 20, 36, 37, 40, 42, 43, 44, 47, 48, 54, 55, 57, 59, 60-63; Conclusions of Law Nos. 11-15, 28; Ordering Paragraph Nos. 2, 4, 7, 8</w:t>
      </w:r>
      <w:r w:rsidR="00FD7710">
        <w:rPr>
          <w:sz w:val="26"/>
          <w:szCs w:val="26"/>
        </w:rPr>
        <w:t>)</w:t>
      </w:r>
      <w:r>
        <w:rPr>
          <w:sz w:val="26"/>
          <w:szCs w:val="26"/>
        </w:rPr>
        <w:t xml:space="preserve">.  </w:t>
      </w:r>
      <w:r w:rsidR="00B645F5" w:rsidRPr="00B645F5">
        <w:rPr>
          <w:sz w:val="26"/>
          <w:szCs w:val="26"/>
        </w:rPr>
        <w:t>According to PIOGA, the evidence presented in this proceeding supports, at most, the application of the proposed charge to deliveries of conventional gas volumes into the gathering pipelines only, not t</w:t>
      </w:r>
      <w:r w:rsidR="00B645F5">
        <w:rPr>
          <w:sz w:val="26"/>
          <w:szCs w:val="26"/>
        </w:rPr>
        <w:t>he Company</w:t>
      </w:r>
      <w:r w:rsidR="001A5BA1">
        <w:rPr>
          <w:sz w:val="26"/>
          <w:szCs w:val="26"/>
        </w:rPr>
        <w:t>’</w:t>
      </w:r>
      <w:r w:rsidR="00B645F5">
        <w:rPr>
          <w:sz w:val="26"/>
          <w:szCs w:val="26"/>
        </w:rPr>
        <w:t>s system generally.  PIOGA Exc.</w:t>
      </w:r>
      <w:r w:rsidR="00B645F5" w:rsidRPr="00B645F5">
        <w:rPr>
          <w:sz w:val="26"/>
          <w:szCs w:val="26"/>
        </w:rPr>
        <w:t xml:space="preserve"> at 18</w:t>
      </w:r>
      <w:r w:rsidR="00B645F5">
        <w:rPr>
          <w:sz w:val="26"/>
          <w:szCs w:val="26"/>
        </w:rPr>
        <w:t>.</w:t>
      </w:r>
    </w:p>
    <w:p w:rsidR="00A819FD" w:rsidRDefault="00A819FD" w:rsidP="00844225">
      <w:pPr>
        <w:widowControl/>
        <w:spacing w:line="360" w:lineRule="auto"/>
        <w:ind w:firstLine="1440"/>
        <w:rPr>
          <w:sz w:val="26"/>
          <w:szCs w:val="26"/>
        </w:rPr>
      </w:pPr>
    </w:p>
    <w:p w:rsidR="00A819FD" w:rsidRDefault="00B645F5" w:rsidP="00844225">
      <w:pPr>
        <w:widowControl/>
        <w:tabs>
          <w:tab w:val="left" w:pos="1445"/>
          <w:tab w:val="left" w:pos="7920"/>
        </w:tabs>
        <w:autoSpaceDE w:val="0"/>
        <w:autoSpaceDN w:val="0"/>
        <w:adjustRightInd w:val="0"/>
        <w:spacing w:line="360" w:lineRule="auto"/>
        <w:ind w:firstLine="1440"/>
        <w:rPr>
          <w:sz w:val="26"/>
          <w:szCs w:val="26"/>
        </w:rPr>
      </w:pPr>
      <w:r w:rsidRPr="00B645F5">
        <w:rPr>
          <w:sz w:val="26"/>
          <w:szCs w:val="26"/>
        </w:rPr>
        <w:t>PIOGA also maintains that it had no obligation to present evidence rebutting the Company</w:t>
      </w:r>
      <w:r w:rsidR="001A5BA1">
        <w:rPr>
          <w:sz w:val="26"/>
          <w:szCs w:val="26"/>
        </w:rPr>
        <w:t>’</w:t>
      </w:r>
      <w:r w:rsidRPr="00B645F5">
        <w:rPr>
          <w:sz w:val="26"/>
          <w:szCs w:val="26"/>
        </w:rPr>
        <w:t xml:space="preserve">s claims that there would be </w:t>
      </w:r>
      <w:r w:rsidR="001A5BA1">
        <w:rPr>
          <w:sz w:val="26"/>
          <w:szCs w:val="26"/>
        </w:rPr>
        <w:t>“</w:t>
      </w:r>
      <w:r w:rsidRPr="00B645F5">
        <w:rPr>
          <w:sz w:val="26"/>
          <w:szCs w:val="26"/>
        </w:rPr>
        <w:t>administrative ease</w:t>
      </w:r>
      <w:r w:rsidR="001A5BA1">
        <w:rPr>
          <w:sz w:val="26"/>
          <w:szCs w:val="26"/>
        </w:rPr>
        <w:t>”</w:t>
      </w:r>
      <w:r w:rsidRPr="00B645F5">
        <w:rPr>
          <w:sz w:val="26"/>
          <w:szCs w:val="26"/>
        </w:rPr>
        <w:t xml:space="preserve"> in applying the same rate to both of the Company</w:t>
      </w:r>
      <w:r w:rsidR="001A5BA1">
        <w:rPr>
          <w:sz w:val="26"/>
          <w:szCs w:val="26"/>
        </w:rPr>
        <w:t>’</w:t>
      </w:r>
      <w:r w:rsidRPr="00B645F5">
        <w:rPr>
          <w:sz w:val="26"/>
          <w:szCs w:val="26"/>
        </w:rPr>
        <w:t xml:space="preserve">s divisions and that there is a negligible difference </w:t>
      </w:r>
      <w:r w:rsidRPr="00B645F5">
        <w:rPr>
          <w:sz w:val="26"/>
          <w:szCs w:val="26"/>
        </w:rPr>
        <w:lastRenderedPageBreak/>
        <w:t xml:space="preserve">between calculating the charge on a system-wide basis versus </w:t>
      </w:r>
      <w:r>
        <w:rPr>
          <w:sz w:val="26"/>
          <w:szCs w:val="26"/>
        </w:rPr>
        <w:t xml:space="preserve">a gathering system-only basis.  PIOGA Exc. </w:t>
      </w:r>
      <w:r w:rsidRPr="00B645F5">
        <w:rPr>
          <w:sz w:val="26"/>
          <w:szCs w:val="26"/>
        </w:rPr>
        <w:t>at 18-21</w:t>
      </w:r>
      <w:r>
        <w:rPr>
          <w:sz w:val="26"/>
          <w:szCs w:val="26"/>
        </w:rPr>
        <w:t>.</w:t>
      </w:r>
      <w:r w:rsidR="00A819FD">
        <w:rPr>
          <w:sz w:val="26"/>
          <w:szCs w:val="26"/>
        </w:rPr>
        <w:t xml:space="preserve">  PIOGA argues that while it agrees that when a proponent of a request presents a </w:t>
      </w:r>
      <w:r w:rsidR="00A819FD" w:rsidRPr="00A0711B">
        <w:rPr>
          <w:i/>
          <w:sz w:val="26"/>
          <w:szCs w:val="26"/>
        </w:rPr>
        <w:t>prima facie case</w:t>
      </w:r>
      <w:r w:rsidR="00A819FD">
        <w:rPr>
          <w:i/>
          <w:sz w:val="26"/>
          <w:szCs w:val="26"/>
        </w:rPr>
        <w:t xml:space="preserve"> </w:t>
      </w:r>
      <w:r w:rsidR="00A819FD">
        <w:rPr>
          <w:sz w:val="26"/>
          <w:szCs w:val="26"/>
        </w:rPr>
        <w:t xml:space="preserve">the burden shifts to the opposing party to present evidence to rebut the </w:t>
      </w:r>
      <w:r w:rsidR="00A819FD" w:rsidRPr="00A0711B">
        <w:rPr>
          <w:i/>
          <w:sz w:val="26"/>
          <w:szCs w:val="26"/>
        </w:rPr>
        <w:t>prima facie</w:t>
      </w:r>
      <w:r w:rsidR="00A819FD">
        <w:rPr>
          <w:sz w:val="26"/>
          <w:szCs w:val="26"/>
        </w:rPr>
        <w:t xml:space="preserve"> case, it also agrees that the </w:t>
      </w:r>
      <w:r w:rsidR="001A5BA1">
        <w:rPr>
          <w:sz w:val="26"/>
          <w:szCs w:val="26"/>
        </w:rPr>
        <w:t>“</w:t>
      </w:r>
      <w:r w:rsidR="00A819FD">
        <w:rPr>
          <w:sz w:val="26"/>
          <w:szCs w:val="26"/>
        </w:rPr>
        <w:t>preponderance of evidence</w:t>
      </w:r>
      <w:r w:rsidR="00C137DA">
        <w:rPr>
          <w:sz w:val="26"/>
          <w:szCs w:val="26"/>
        </w:rPr>
        <w:t xml:space="preserve">” </w:t>
      </w:r>
      <w:r w:rsidR="00A819FD">
        <w:rPr>
          <w:sz w:val="26"/>
          <w:szCs w:val="26"/>
        </w:rPr>
        <w:t xml:space="preserve">standard is satisfied by presenting evidence that makes the </w:t>
      </w:r>
      <w:r w:rsidR="00A819FD" w:rsidRPr="00A0711B">
        <w:rPr>
          <w:b/>
          <w:i/>
          <w:sz w:val="26"/>
          <w:szCs w:val="26"/>
        </w:rPr>
        <w:t>existence of a contested</w:t>
      </w:r>
      <w:r w:rsidR="00A819FD">
        <w:rPr>
          <w:sz w:val="26"/>
          <w:szCs w:val="26"/>
        </w:rPr>
        <w:t xml:space="preserve"> fact more likely than its non-existence.</w:t>
      </w:r>
      <w:r w:rsidR="001A5BA1">
        <w:rPr>
          <w:sz w:val="26"/>
          <w:szCs w:val="26"/>
        </w:rPr>
        <w:t>”</w:t>
      </w:r>
      <w:r w:rsidR="00A819FD">
        <w:rPr>
          <w:sz w:val="26"/>
          <w:szCs w:val="26"/>
        </w:rPr>
        <w:t xml:space="preserve">  </w:t>
      </w:r>
      <w:r w:rsidR="00A819FD" w:rsidRPr="00A0711B">
        <w:rPr>
          <w:i/>
          <w:sz w:val="26"/>
          <w:szCs w:val="26"/>
        </w:rPr>
        <w:t>Id.</w:t>
      </w:r>
      <w:r w:rsidR="00A819FD">
        <w:rPr>
          <w:i/>
          <w:sz w:val="26"/>
          <w:szCs w:val="26"/>
        </w:rPr>
        <w:t xml:space="preserve"> </w:t>
      </w:r>
      <w:r w:rsidR="00A819FD">
        <w:rPr>
          <w:sz w:val="26"/>
          <w:szCs w:val="26"/>
        </w:rPr>
        <w:t xml:space="preserve">at 19, </w:t>
      </w:r>
      <w:r w:rsidR="00FD7710">
        <w:rPr>
          <w:sz w:val="26"/>
          <w:szCs w:val="26"/>
        </w:rPr>
        <w:t>(</w:t>
      </w:r>
      <w:r w:rsidR="00A819FD">
        <w:rPr>
          <w:sz w:val="26"/>
          <w:szCs w:val="26"/>
        </w:rPr>
        <w:t>citing R.D. at 40; Conclusion of Law Nos</w:t>
      </w:r>
      <w:r w:rsidR="001470D1">
        <w:rPr>
          <w:sz w:val="26"/>
          <w:szCs w:val="26"/>
        </w:rPr>
        <w:t> </w:t>
      </w:r>
      <w:r w:rsidR="00A819FD">
        <w:rPr>
          <w:sz w:val="26"/>
          <w:szCs w:val="26"/>
        </w:rPr>
        <w:t xml:space="preserve">13, 14) (emphasis </w:t>
      </w:r>
      <w:r w:rsidR="00FD7710">
        <w:rPr>
          <w:sz w:val="26"/>
          <w:szCs w:val="26"/>
        </w:rPr>
        <w:t>in original</w:t>
      </w:r>
      <w:r w:rsidR="00A819FD">
        <w:rPr>
          <w:sz w:val="26"/>
          <w:szCs w:val="26"/>
        </w:rPr>
        <w:t>).  PIOGA contends it is clear from the record that Peoples</w:t>
      </w:r>
      <w:r w:rsidR="00E7095F">
        <w:rPr>
          <w:sz w:val="26"/>
          <w:szCs w:val="26"/>
        </w:rPr>
        <w:t xml:space="preserve"> Gas</w:t>
      </w:r>
      <w:r w:rsidR="00A819FD">
        <w:rPr>
          <w:sz w:val="26"/>
          <w:szCs w:val="26"/>
        </w:rPr>
        <w:t xml:space="preserve"> failed to present evidence to support the language in its proposed Rate GS tariff and that Peoples</w:t>
      </w:r>
      <w:r w:rsidR="00E7095F">
        <w:rPr>
          <w:sz w:val="26"/>
          <w:szCs w:val="26"/>
        </w:rPr>
        <w:t xml:space="preserve"> Gas</w:t>
      </w:r>
      <w:r w:rsidR="001A5BA1">
        <w:rPr>
          <w:sz w:val="26"/>
          <w:szCs w:val="26"/>
        </w:rPr>
        <w:t>’</w:t>
      </w:r>
      <w:r w:rsidR="00A819FD">
        <w:rPr>
          <w:sz w:val="26"/>
          <w:szCs w:val="26"/>
        </w:rPr>
        <w:t xml:space="preserve"> reliance on an already existing Equitable Rate AGS tariff in this proceeding is misplaced.  </w:t>
      </w:r>
      <w:r w:rsidR="00A819FD" w:rsidRPr="00124164">
        <w:rPr>
          <w:i/>
          <w:sz w:val="26"/>
          <w:szCs w:val="26"/>
        </w:rPr>
        <w:t>Id.</w:t>
      </w:r>
      <w:r w:rsidR="00A819FD">
        <w:rPr>
          <w:sz w:val="26"/>
          <w:szCs w:val="26"/>
        </w:rPr>
        <w:t xml:space="preserve"> at </w:t>
      </w:r>
      <w:r w:rsidR="00E7095F">
        <w:rPr>
          <w:sz w:val="26"/>
          <w:szCs w:val="26"/>
        </w:rPr>
        <w:t xml:space="preserve">20-21 </w:t>
      </w:r>
      <w:r w:rsidR="00FD7710">
        <w:rPr>
          <w:sz w:val="26"/>
          <w:szCs w:val="26"/>
        </w:rPr>
        <w:t>(</w:t>
      </w:r>
      <w:r w:rsidR="00E7095F">
        <w:rPr>
          <w:sz w:val="26"/>
          <w:szCs w:val="26"/>
        </w:rPr>
        <w:t>citing PIOGA St. 1 at 7-8; PIOGA St. 1-SR at</w:t>
      </w:r>
      <w:r w:rsidR="001470D1">
        <w:rPr>
          <w:sz w:val="26"/>
          <w:szCs w:val="26"/>
        </w:rPr>
        <w:t> </w:t>
      </w:r>
      <w:r w:rsidR="00E7095F">
        <w:rPr>
          <w:sz w:val="26"/>
          <w:szCs w:val="26"/>
        </w:rPr>
        <w:t>11; PIOGA Exh. MAH-4 (PG), 1,2</w:t>
      </w:r>
      <w:r w:rsidR="00FD7710">
        <w:rPr>
          <w:sz w:val="26"/>
          <w:szCs w:val="26"/>
        </w:rPr>
        <w:t>)</w:t>
      </w:r>
      <w:r w:rsidR="00A819FD">
        <w:rPr>
          <w:sz w:val="26"/>
          <w:szCs w:val="26"/>
        </w:rPr>
        <w:t>.</w:t>
      </w:r>
    </w:p>
    <w:p w:rsidR="00CF0FBE" w:rsidRDefault="00CF0FBE" w:rsidP="00844225">
      <w:pPr>
        <w:widowControl/>
        <w:spacing w:line="360" w:lineRule="auto"/>
        <w:rPr>
          <w:sz w:val="26"/>
          <w:szCs w:val="26"/>
        </w:rPr>
      </w:pPr>
    </w:p>
    <w:p w:rsidR="004F133A" w:rsidRDefault="00B645F5" w:rsidP="00844225">
      <w:pPr>
        <w:widowControl/>
        <w:spacing w:line="360" w:lineRule="auto"/>
        <w:ind w:firstLine="1440"/>
        <w:rPr>
          <w:sz w:val="26"/>
          <w:szCs w:val="26"/>
        </w:rPr>
      </w:pPr>
      <w:r>
        <w:rPr>
          <w:sz w:val="26"/>
          <w:szCs w:val="26"/>
        </w:rPr>
        <w:t>In its Replies to Exceptions, the Company</w:t>
      </w:r>
      <w:r w:rsidR="004F133A">
        <w:rPr>
          <w:sz w:val="26"/>
          <w:szCs w:val="26"/>
        </w:rPr>
        <w:t xml:space="preserve"> asserts that, although PIOGA is under the impression that it did not need to rebut the Company</w:t>
      </w:r>
      <w:r w:rsidR="001A5BA1">
        <w:rPr>
          <w:sz w:val="26"/>
          <w:szCs w:val="26"/>
        </w:rPr>
        <w:t>’</w:t>
      </w:r>
      <w:r w:rsidR="004F133A">
        <w:rPr>
          <w:sz w:val="26"/>
          <w:szCs w:val="26"/>
        </w:rPr>
        <w:t>s claims, the fact remains that the only evidence in the record supports the Company</w:t>
      </w:r>
      <w:r w:rsidR="001A5BA1">
        <w:rPr>
          <w:sz w:val="26"/>
          <w:szCs w:val="26"/>
        </w:rPr>
        <w:t>’</w:t>
      </w:r>
      <w:r w:rsidR="004F133A">
        <w:rPr>
          <w:sz w:val="26"/>
          <w:szCs w:val="26"/>
        </w:rPr>
        <w:t>s proposal.  The Company avers that to meet its burden of proof, it only needed to establish that the proposed application of its charge to all conventional production is supported by the preponderance of the evidence, citing to the ALJ</w:t>
      </w:r>
      <w:r w:rsidR="001A5BA1">
        <w:rPr>
          <w:sz w:val="26"/>
          <w:szCs w:val="26"/>
        </w:rPr>
        <w:t>’</w:t>
      </w:r>
      <w:r w:rsidR="004F133A">
        <w:rPr>
          <w:sz w:val="26"/>
          <w:szCs w:val="26"/>
        </w:rPr>
        <w:t xml:space="preserve">s Recommended Decision, in which the ALJ noted that </w:t>
      </w:r>
      <w:r w:rsidR="001A5BA1">
        <w:rPr>
          <w:sz w:val="26"/>
          <w:szCs w:val="26"/>
        </w:rPr>
        <w:t>“</w:t>
      </w:r>
      <w:r w:rsidR="004F133A">
        <w:rPr>
          <w:sz w:val="26"/>
          <w:szCs w:val="26"/>
        </w:rPr>
        <w:t>the preponderance of evidence standard requires proof by a greater weight of the evidence.</w:t>
      </w:r>
      <w:r w:rsidR="001A5BA1">
        <w:rPr>
          <w:sz w:val="26"/>
          <w:szCs w:val="26"/>
        </w:rPr>
        <w:t>”</w:t>
      </w:r>
      <w:r w:rsidR="004F133A">
        <w:rPr>
          <w:sz w:val="26"/>
          <w:szCs w:val="26"/>
        </w:rPr>
        <w:t xml:space="preserve"> </w:t>
      </w:r>
      <w:r w:rsidR="004F133A" w:rsidRPr="004F133A">
        <w:rPr>
          <w:sz w:val="26"/>
          <w:szCs w:val="26"/>
        </w:rPr>
        <w:t xml:space="preserve"> Here, the Company</w:t>
      </w:r>
      <w:r w:rsidR="004F133A">
        <w:rPr>
          <w:sz w:val="26"/>
          <w:szCs w:val="26"/>
        </w:rPr>
        <w:t xml:space="preserve"> indicates that it</w:t>
      </w:r>
      <w:r w:rsidR="004F133A" w:rsidRPr="004F133A">
        <w:rPr>
          <w:sz w:val="26"/>
          <w:szCs w:val="26"/>
        </w:rPr>
        <w:t xml:space="preserve"> presented evidence supporting the application of its charge, particularly: (1) the administrative ease of applying the charge as it is currently applied by Peoples-Equitable Division; (2) the negligible difference between the Company</w:t>
      </w:r>
      <w:r w:rsidR="001A5BA1">
        <w:rPr>
          <w:sz w:val="26"/>
          <w:szCs w:val="26"/>
        </w:rPr>
        <w:t>’</w:t>
      </w:r>
      <w:r w:rsidR="004F133A" w:rsidRPr="004F133A">
        <w:rPr>
          <w:sz w:val="26"/>
          <w:szCs w:val="26"/>
        </w:rPr>
        <w:t>s and PIOGA</w:t>
      </w:r>
      <w:r w:rsidR="001A5BA1">
        <w:rPr>
          <w:sz w:val="26"/>
          <w:szCs w:val="26"/>
        </w:rPr>
        <w:t>’</w:t>
      </w:r>
      <w:r w:rsidR="004F133A" w:rsidRPr="004F133A">
        <w:rPr>
          <w:sz w:val="26"/>
          <w:szCs w:val="26"/>
        </w:rPr>
        <w:t>s proposals; and (3) the equal treatment of producers in both the Peoples Gas and Peoples-</w:t>
      </w:r>
      <w:r w:rsidR="004F133A" w:rsidRPr="004F133A">
        <w:rPr>
          <w:color w:val="000000"/>
          <w:sz w:val="24"/>
          <w:szCs w:val="22"/>
        </w:rPr>
        <w:t xml:space="preserve"> </w:t>
      </w:r>
      <w:r w:rsidR="004F133A" w:rsidRPr="004F133A">
        <w:rPr>
          <w:sz w:val="26"/>
          <w:szCs w:val="26"/>
        </w:rPr>
        <w:t>Equitable Division territories</w:t>
      </w:r>
      <w:r w:rsidR="004F133A">
        <w:rPr>
          <w:sz w:val="26"/>
          <w:szCs w:val="26"/>
        </w:rPr>
        <w:t xml:space="preserve">. </w:t>
      </w:r>
      <w:r w:rsidR="009A3C55">
        <w:rPr>
          <w:sz w:val="26"/>
          <w:szCs w:val="26"/>
        </w:rPr>
        <w:t xml:space="preserve"> Peoples Gas R. Exc. at 22-23.  </w:t>
      </w:r>
    </w:p>
    <w:p w:rsidR="004F133A" w:rsidRDefault="004F133A" w:rsidP="00844225">
      <w:pPr>
        <w:widowControl/>
        <w:spacing w:line="360" w:lineRule="auto"/>
        <w:ind w:firstLine="1440"/>
        <w:rPr>
          <w:sz w:val="26"/>
          <w:szCs w:val="26"/>
        </w:rPr>
      </w:pPr>
    </w:p>
    <w:p w:rsidR="00ED7E5A" w:rsidRPr="00ED7E5A" w:rsidRDefault="004F133A" w:rsidP="00ED7E5A">
      <w:pPr>
        <w:widowControl/>
        <w:spacing w:line="360" w:lineRule="auto"/>
        <w:ind w:firstLine="1440"/>
        <w:rPr>
          <w:sz w:val="26"/>
          <w:szCs w:val="26"/>
        </w:rPr>
      </w:pPr>
      <w:r>
        <w:rPr>
          <w:sz w:val="26"/>
          <w:szCs w:val="26"/>
        </w:rPr>
        <w:t xml:space="preserve">Additionally, the Company maintains that the administrative ease of applying the same rate to both </w:t>
      </w:r>
      <w:r w:rsidR="00FD7710">
        <w:rPr>
          <w:sz w:val="26"/>
          <w:szCs w:val="26"/>
        </w:rPr>
        <w:t xml:space="preserve">the </w:t>
      </w:r>
      <w:r w:rsidR="00B947B7">
        <w:rPr>
          <w:sz w:val="26"/>
          <w:szCs w:val="26"/>
        </w:rPr>
        <w:t>Peoples Companies</w:t>
      </w:r>
      <w:r>
        <w:rPr>
          <w:sz w:val="26"/>
          <w:szCs w:val="26"/>
        </w:rPr>
        <w:t xml:space="preserve"> and not having to introduce different rules depending on which company a well ties into is evidence to support its </w:t>
      </w:r>
      <w:r>
        <w:rPr>
          <w:sz w:val="26"/>
          <w:szCs w:val="26"/>
        </w:rPr>
        <w:lastRenderedPageBreak/>
        <w:t xml:space="preserve">proposed application of the producer retainage charge.  </w:t>
      </w:r>
      <w:r w:rsidR="00ED7E5A">
        <w:rPr>
          <w:sz w:val="26"/>
          <w:szCs w:val="26"/>
        </w:rPr>
        <w:t xml:space="preserve">The </w:t>
      </w:r>
      <w:r w:rsidR="00ED7E5A" w:rsidRPr="00ED7E5A">
        <w:rPr>
          <w:sz w:val="26"/>
          <w:szCs w:val="26"/>
        </w:rPr>
        <w:t xml:space="preserve">Company </w:t>
      </w:r>
      <w:r w:rsidR="00ED7E5A">
        <w:rPr>
          <w:sz w:val="26"/>
          <w:szCs w:val="26"/>
        </w:rPr>
        <w:t xml:space="preserve">further </w:t>
      </w:r>
      <w:r w:rsidR="00ED7E5A" w:rsidRPr="00ED7E5A">
        <w:rPr>
          <w:sz w:val="26"/>
          <w:szCs w:val="26"/>
        </w:rPr>
        <w:t>notes that the vast majority of conventional production actually flows into the gathering system.</w:t>
      </w:r>
      <w:r w:rsidR="00ED7E5A">
        <w:rPr>
          <w:sz w:val="26"/>
          <w:szCs w:val="26"/>
        </w:rPr>
        <w:t xml:space="preserve"> </w:t>
      </w:r>
      <w:r w:rsidR="00ED7E5A" w:rsidRPr="00ED7E5A">
        <w:rPr>
          <w:sz w:val="26"/>
          <w:szCs w:val="26"/>
        </w:rPr>
        <w:t xml:space="preserve"> Therefore, as the ALJ </w:t>
      </w:r>
      <w:r w:rsidR="00ED7E5A">
        <w:rPr>
          <w:sz w:val="26"/>
          <w:szCs w:val="26"/>
        </w:rPr>
        <w:t>noted</w:t>
      </w:r>
      <w:r w:rsidR="00ED7E5A" w:rsidRPr="00ED7E5A">
        <w:rPr>
          <w:sz w:val="26"/>
          <w:szCs w:val="26"/>
        </w:rPr>
        <w:t>, there is a negligible difference between the Company’s proposed charge and a recalculated charge to collect the same losses that appl</w:t>
      </w:r>
      <w:r w:rsidR="00ED7E5A">
        <w:rPr>
          <w:sz w:val="26"/>
          <w:szCs w:val="26"/>
        </w:rPr>
        <w:t>y</w:t>
      </w:r>
      <w:r w:rsidR="00ED7E5A" w:rsidRPr="00ED7E5A">
        <w:rPr>
          <w:sz w:val="26"/>
          <w:szCs w:val="26"/>
        </w:rPr>
        <w:t xml:space="preserve"> only to volumes delivered by producers into the gathering system.</w:t>
      </w:r>
      <w:r w:rsidR="00ED7E5A">
        <w:rPr>
          <w:sz w:val="26"/>
          <w:szCs w:val="26"/>
        </w:rPr>
        <w:t xml:space="preserve"> </w:t>
      </w:r>
      <w:r w:rsidR="00ED7E5A" w:rsidRPr="00ED7E5A">
        <w:rPr>
          <w:sz w:val="26"/>
          <w:szCs w:val="26"/>
        </w:rPr>
        <w:t xml:space="preserve"> Peoples Gas R. Exc. at 21-22 (citing R.D. at 74).</w:t>
      </w:r>
    </w:p>
    <w:p w:rsidR="001470D1" w:rsidRDefault="001470D1" w:rsidP="00844225">
      <w:pPr>
        <w:widowControl/>
        <w:spacing w:line="360" w:lineRule="auto"/>
        <w:ind w:firstLine="1440"/>
        <w:rPr>
          <w:sz w:val="26"/>
          <w:szCs w:val="26"/>
        </w:rPr>
      </w:pPr>
    </w:p>
    <w:p w:rsidR="00C86B8A" w:rsidRDefault="00C86B8A" w:rsidP="00844225">
      <w:pPr>
        <w:pStyle w:val="Heading4"/>
        <w:numPr>
          <w:ilvl w:val="0"/>
          <w:numId w:val="22"/>
        </w:numPr>
        <w:ind w:left="2160" w:hanging="720"/>
      </w:pPr>
      <w:r>
        <w:t>Disposition</w:t>
      </w:r>
      <w:r w:rsidR="00780DF2">
        <w:t xml:space="preserve"> of Motion to Strike</w:t>
      </w:r>
    </w:p>
    <w:p w:rsidR="00780DF2" w:rsidRPr="00C137DA" w:rsidRDefault="00780DF2" w:rsidP="00844225">
      <w:pPr>
        <w:widowControl/>
        <w:rPr>
          <w:sz w:val="26"/>
          <w:szCs w:val="26"/>
        </w:rPr>
      </w:pPr>
    </w:p>
    <w:p w:rsidR="00780DF2" w:rsidRDefault="00780DF2" w:rsidP="00844225">
      <w:pPr>
        <w:widowControl/>
        <w:tabs>
          <w:tab w:val="left" w:pos="1445"/>
          <w:tab w:val="left" w:pos="7920"/>
        </w:tabs>
        <w:autoSpaceDE w:val="0"/>
        <w:autoSpaceDN w:val="0"/>
        <w:adjustRightInd w:val="0"/>
        <w:spacing w:line="360" w:lineRule="auto"/>
        <w:ind w:firstLine="1440"/>
        <w:rPr>
          <w:sz w:val="26"/>
          <w:szCs w:val="26"/>
        </w:rPr>
      </w:pPr>
      <w:r>
        <w:rPr>
          <w:sz w:val="26"/>
          <w:szCs w:val="26"/>
        </w:rPr>
        <w:t>As a preliminary matter, we shall address PIOGA</w:t>
      </w:r>
      <w:r w:rsidR="001A5BA1">
        <w:rPr>
          <w:sz w:val="26"/>
          <w:szCs w:val="26"/>
        </w:rPr>
        <w:t>’</w:t>
      </w:r>
      <w:r>
        <w:rPr>
          <w:sz w:val="26"/>
          <w:szCs w:val="26"/>
        </w:rPr>
        <w:t xml:space="preserve">s Motion to Strike because it </w:t>
      </w:r>
      <w:r w:rsidR="00FD7710">
        <w:rPr>
          <w:sz w:val="26"/>
          <w:szCs w:val="26"/>
        </w:rPr>
        <w:t xml:space="preserve">pertains to </w:t>
      </w:r>
      <w:r>
        <w:rPr>
          <w:sz w:val="26"/>
          <w:szCs w:val="26"/>
        </w:rPr>
        <w:t xml:space="preserve">statements made by the Company in response to Exception No. 6.  </w:t>
      </w:r>
      <w:r w:rsidRPr="007F0B0D">
        <w:rPr>
          <w:sz w:val="26"/>
          <w:szCs w:val="26"/>
        </w:rPr>
        <w:t xml:space="preserve">In its </w:t>
      </w:r>
      <w:r>
        <w:rPr>
          <w:sz w:val="26"/>
          <w:szCs w:val="26"/>
        </w:rPr>
        <w:t>Motion to Strike, PIOGA argues that</w:t>
      </w:r>
      <w:r w:rsidR="00F554BB">
        <w:rPr>
          <w:sz w:val="26"/>
          <w:szCs w:val="26"/>
        </w:rPr>
        <w:t>, for the first time in this proceeding,</w:t>
      </w:r>
      <w:r>
        <w:rPr>
          <w:sz w:val="26"/>
          <w:szCs w:val="26"/>
        </w:rPr>
        <w:t xml:space="preserve"> </w:t>
      </w:r>
      <w:r w:rsidR="00F554BB">
        <w:rPr>
          <w:sz w:val="26"/>
          <w:szCs w:val="26"/>
        </w:rPr>
        <w:t xml:space="preserve">Peoples Gas made the </w:t>
      </w:r>
      <w:r w:rsidR="00F73F6C">
        <w:rPr>
          <w:sz w:val="26"/>
          <w:szCs w:val="26"/>
        </w:rPr>
        <w:t xml:space="preserve">two </w:t>
      </w:r>
      <w:r>
        <w:rPr>
          <w:sz w:val="26"/>
          <w:szCs w:val="26"/>
        </w:rPr>
        <w:t>following statements of fact</w:t>
      </w:r>
      <w:r w:rsidR="00F554BB">
        <w:rPr>
          <w:sz w:val="26"/>
          <w:szCs w:val="26"/>
        </w:rPr>
        <w:t xml:space="preserve"> i</w:t>
      </w:r>
      <w:r>
        <w:rPr>
          <w:sz w:val="26"/>
          <w:szCs w:val="26"/>
        </w:rPr>
        <w:t xml:space="preserve">n its Replies to Exceptions </w:t>
      </w:r>
      <w:r w:rsidR="00462CE7">
        <w:rPr>
          <w:sz w:val="26"/>
          <w:szCs w:val="26"/>
        </w:rPr>
        <w:t xml:space="preserve">in support of its </w:t>
      </w:r>
      <w:r w:rsidR="001A5BA1">
        <w:rPr>
          <w:sz w:val="26"/>
          <w:szCs w:val="26"/>
        </w:rPr>
        <w:t>“</w:t>
      </w:r>
      <w:r>
        <w:rPr>
          <w:sz w:val="26"/>
          <w:szCs w:val="26"/>
        </w:rPr>
        <w:t>administrative ease</w:t>
      </w:r>
      <w:r w:rsidR="001A5BA1">
        <w:rPr>
          <w:sz w:val="26"/>
          <w:szCs w:val="26"/>
        </w:rPr>
        <w:t>”</w:t>
      </w:r>
      <w:r>
        <w:rPr>
          <w:sz w:val="26"/>
          <w:szCs w:val="26"/>
        </w:rPr>
        <w:t xml:space="preserve"> argument</w:t>
      </w:r>
      <w:r w:rsidR="00F554BB">
        <w:rPr>
          <w:sz w:val="26"/>
          <w:szCs w:val="26"/>
        </w:rPr>
        <w:t xml:space="preserve">.  </w:t>
      </w:r>
      <w:r w:rsidR="00462CE7">
        <w:rPr>
          <w:sz w:val="26"/>
          <w:szCs w:val="26"/>
        </w:rPr>
        <w:t xml:space="preserve">Therefore, PIOGA </w:t>
      </w:r>
      <w:r w:rsidR="00F554BB">
        <w:rPr>
          <w:sz w:val="26"/>
          <w:szCs w:val="26"/>
        </w:rPr>
        <w:t>requests that the</w:t>
      </w:r>
      <w:r w:rsidR="00462CE7">
        <w:rPr>
          <w:sz w:val="26"/>
          <w:szCs w:val="26"/>
        </w:rPr>
        <w:t>y</w:t>
      </w:r>
      <w:r>
        <w:rPr>
          <w:sz w:val="26"/>
          <w:szCs w:val="26"/>
        </w:rPr>
        <w:t xml:space="preserve"> be stricken because, according to PIOGA, they are not in the record:</w:t>
      </w:r>
    </w:p>
    <w:p w:rsidR="00780DF2" w:rsidRDefault="00780DF2" w:rsidP="00844225">
      <w:pPr>
        <w:widowControl/>
        <w:tabs>
          <w:tab w:val="left" w:pos="1445"/>
          <w:tab w:val="left" w:pos="7920"/>
        </w:tabs>
        <w:autoSpaceDE w:val="0"/>
        <w:autoSpaceDN w:val="0"/>
        <w:adjustRightInd w:val="0"/>
        <w:spacing w:line="360" w:lineRule="auto"/>
        <w:rPr>
          <w:sz w:val="26"/>
          <w:szCs w:val="26"/>
        </w:rPr>
      </w:pPr>
    </w:p>
    <w:p w:rsidR="00780DF2" w:rsidRDefault="00780DF2" w:rsidP="00844225">
      <w:pPr>
        <w:pStyle w:val="ListParagraph"/>
        <w:widowControl/>
        <w:numPr>
          <w:ilvl w:val="0"/>
          <w:numId w:val="27"/>
        </w:numPr>
        <w:tabs>
          <w:tab w:val="left" w:pos="1445"/>
          <w:tab w:val="left" w:pos="7920"/>
        </w:tabs>
        <w:autoSpaceDE w:val="0"/>
        <w:autoSpaceDN w:val="0"/>
        <w:adjustRightInd w:val="0"/>
        <w:ind w:left="1440" w:right="1440"/>
        <w:rPr>
          <w:sz w:val="26"/>
          <w:szCs w:val="26"/>
        </w:rPr>
      </w:pPr>
      <w:r w:rsidRPr="001076E3">
        <w:rPr>
          <w:sz w:val="26"/>
          <w:szCs w:val="26"/>
        </w:rPr>
        <w:t xml:space="preserve">Otherwise, the Company </w:t>
      </w:r>
      <w:r w:rsidRPr="001076E3">
        <w:rPr>
          <w:b/>
          <w:sz w:val="26"/>
          <w:szCs w:val="26"/>
        </w:rPr>
        <w:t>would have to track the point of delivery of the volumes of gas delivered by every conventional gas producer who is c</w:t>
      </w:r>
      <w:r>
        <w:rPr>
          <w:b/>
          <w:sz w:val="26"/>
          <w:szCs w:val="26"/>
        </w:rPr>
        <w:t>onnected to the Peoples Gas</w:t>
      </w:r>
      <w:r w:rsidR="001A5BA1">
        <w:rPr>
          <w:b/>
          <w:sz w:val="26"/>
          <w:szCs w:val="26"/>
        </w:rPr>
        <w:t>’</w:t>
      </w:r>
      <w:r w:rsidRPr="001076E3">
        <w:rPr>
          <w:b/>
          <w:sz w:val="26"/>
          <w:szCs w:val="26"/>
        </w:rPr>
        <w:t xml:space="preserve"> gathering system</w:t>
      </w:r>
      <w:r w:rsidRPr="001076E3">
        <w:rPr>
          <w:sz w:val="26"/>
          <w:szCs w:val="26"/>
        </w:rPr>
        <w:t xml:space="preserve"> and compute the charge accordingly, but not have to do so for Peoples-Equitable Division</w:t>
      </w:r>
      <w:r w:rsidR="001A5BA1">
        <w:rPr>
          <w:sz w:val="26"/>
          <w:szCs w:val="26"/>
        </w:rPr>
        <w:t>’</w:t>
      </w:r>
      <w:r w:rsidRPr="001076E3">
        <w:rPr>
          <w:sz w:val="26"/>
          <w:szCs w:val="26"/>
        </w:rPr>
        <w:t xml:space="preserve">s gathering system.  Further, </w:t>
      </w:r>
      <w:r w:rsidRPr="001076E3">
        <w:rPr>
          <w:b/>
          <w:sz w:val="26"/>
          <w:szCs w:val="26"/>
        </w:rPr>
        <w:t>conventional gas producers would be treated differently</w:t>
      </w:r>
      <w:r w:rsidRPr="001076E3">
        <w:rPr>
          <w:sz w:val="26"/>
          <w:szCs w:val="26"/>
        </w:rPr>
        <w:t xml:space="preserve"> depending on whether they are</w:t>
      </w:r>
      <w:r>
        <w:rPr>
          <w:sz w:val="26"/>
          <w:szCs w:val="26"/>
        </w:rPr>
        <w:t xml:space="preserve"> connected to a Peoples Gas</w:t>
      </w:r>
      <w:r w:rsidRPr="001076E3">
        <w:rPr>
          <w:sz w:val="26"/>
          <w:szCs w:val="26"/>
        </w:rPr>
        <w:t xml:space="preserve"> or Peoples-Equitabl</w:t>
      </w:r>
      <w:r>
        <w:rPr>
          <w:sz w:val="26"/>
          <w:szCs w:val="26"/>
        </w:rPr>
        <w:t>e Division gathering system.  P</w:t>
      </w:r>
      <w:r w:rsidRPr="001076E3">
        <w:rPr>
          <w:sz w:val="26"/>
          <w:szCs w:val="26"/>
        </w:rPr>
        <w:t xml:space="preserve">G Replies to Exceptions at </w:t>
      </w:r>
      <w:r>
        <w:rPr>
          <w:sz w:val="26"/>
          <w:szCs w:val="26"/>
        </w:rPr>
        <w:t>21-</w:t>
      </w:r>
      <w:r w:rsidRPr="001076E3">
        <w:rPr>
          <w:sz w:val="26"/>
          <w:szCs w:val="26"/>
        </w:rPr>
        <w:t>22 (emphasis added).</w:t>
      </w:r>
    </w:p>
    <w:p w:rsidR="00F73F6C" w:rsidRDefault="00F73F6C" w:rsidP="00844225">
      <w:pPr>
        <w:pStyle w:val="ListParagraph"/>
        <w:widowControl/>
        <w:numPr>
          <w:ilvl w:val="0"/>
          <w:numId w:val="27"/>
        </w:numPr>
        <w:tabs>
          <w:tab w:val="left" w:pos="1445"/>
          <w:tab w:val="left" w:pos="7920"/>
        </w:tabs>
        <w:autoSpaceDE w:val="0"/>
        <w:autoSpaceDN w:val="0"/>
        <w:adjustRightInd w:val="0"/>
        <w:ind w:left="1440" w:right="1440"/>
        <w:rPr>
          <w:sz w:val="26"/>
          <w:szCs w:val="26"/>
        </w:rPr>
      </w:pPr>
      <w:r>
        <w:rPr>
          <w:sz w:val="26"/>
          <w:szCs w:val="26"/>
        </w:rPr>
        <w:t xml:space="preserve">“and (3) </w:t>
      </w:r>
      <w:r w:rsidRPr="001076E3">
        <w:rPr>
          <w:b/>
          <w:sz w:val="26"/>
          <w:szCs w:val="26"/>
        </w:rPr>
        <w:t>the equal treatment of producers in bo</w:t>
      </w:r>
      <w:r>
        <w:rPr>
          <w:b/>
          <w:sz w:val="26"/>
          <w:szCs w:val="26"/>
        </w:rPr>
        <w:t>th the Peoples Gas</w:t>
      </w:r>
      <w:r w:rsidRPr="001076E3">
        <w:rPr>
          <w:b/>
          <w:sz w:val="26"/>
          <w:szCs w:val="26"/>
        </w:rPr>
        <w:t xml:space="preserve"> and </w:t>
      </w:r>
      <w:r>
        <w:rPr>
          <w:b/>
          <w:sz w:val="26"/>
          <w:szCs w:val="26"/>
        </w:rPr>
        <w:t>Peoples-</w:t>
      </w:r>
      <w:r w:rsidRPr="001076E3">
        <w:rPr>
          <w:b/>
          <w:sz w:val="26"/>
          <w:szCs w:val="26"/>
        </w:rPr>
        <w:t>Equitable Division territories.</w:t>
      </w:r>
      <w:r>
        <w:rPr>
          <w:sz w:val="26"/>
          <w:szCs w:val="26"/>
        </w:rPr>
        <w:t>”  PG Replies to Exceptions at 22-23 (emphasis added).</w:t>
      </w:r>
    </w:p>
    <w:p w:rsidR="00F73F6C" w:rsidRDefault="00F73F6C" w:rsidP="00F73F6C">
      <w:pPr>
        <w:widowControl/>
        <w:tabs>
          <w:tab w:val="left" w:pos="1445"/>
          <w:tab w:val="left" w:pos="7920"/>
        </w:tabs>
        <w:autoSpaceDE w:val="0"/>
        <w:autoSpaceDN w:val="0"/>
        <w:adjustRightInd w:val="0"/>
        <w:ind w:right="1440"/>
        <w:rPr>
          <w:sz w:val="26"/>
          <w:szCs w:val="26"/>
        </w:rPr>
      </w:pPr>
    </w:p>
    <w:p w:rsidR="00F73F6C" w:rsidRPr="00F73F6C" w:rsidRDefault="00F73F6C" w:rsidP="00F73F6C">
      <w:pPr>
        <w:widowControl/>
        <w:tabs>
          <w:tab w:val="left" w:pos="1445"/>
          <w:tab w:val="left" w:pos="7920"/>
        </w:tabs>
        <w:autoSpaceDE w:val="0"/>
        <w:autoSpaceDN w:val="0"/>
        <w:adjustRightInd w:val="0"/>
        <w:ind w:right="1440"/>
        <w:rPr>
          <w:sz w:val="26"/>
          <w:szCs w:val="26"/>
        </w:rPr>
      </w:pPr>
    </w:p>
    <w:p w:rsidR="00780DF2" w:rsidRDefault="00780DF2" w:rsidP="00844225">
      <w:pPr>
        <w:widowControl/>
        <w:tabs>
          <w:tab w:val="left" w:pos="1445"/>
          <w:tab w:val="left" w:pos="7920"/>
        </w:tabs>
        <w:autoSpaceDE w:val="0"/>
        <w:autoSpaceDN w:val="0"/>
        <w:adjustRightInd w:val="0"/>
        <w:spacing w:line="360" w:lineRule="auto"/>
        <w:rPr>
          <w:sz w:val="26"/>
          <w:szCs w:val="26"/>
        </w:rPr>
      </w:pPr>
      <w:r>
        <w:rPr>
          <w:sz w:val="26"/>
          <w:szCs w:val="26"/>
        </w:rPr>
        <w:t xml:space="preserve">Motion to Strike at 2, 4-5.  According to PIOGA, Peoples Gas could not </w:t>
      </w:r>
      <w:r w:rsidR="001E65CB">
        <w:rPr>
          <w:sz w:val="26"/>
          <w:szCs w:val="26"/>
        </w:rPr>
        <w:t xml:space="preserve">cite to the </w:t>
      </w:r>
      <w:r>
        <w:rPr>
          <w:sz w:val="26"/>
          <w:szCs w:val="26"/>
        </w:rPr>
        <w:t xml:space="preserve">record </w:t>
      </w:r>
      <w:r w:rsidR="001E65CB">
        <w:rPr>
          <w:sz w:val="26"/>
          <w:szCs w:val="26"/>
        </w:rPr>
        <w:t xml:space="preserve">where </w:t>
      </w:r>
      <w:r>
        <w:rPr>
          <w:sz w:val="26"/>
          <w:szCs w:val="26"/>
        </w:rPr>
        <w:t xml:space="preserve">the above purported facts are stated because they are obviously not in the record.  </w:t>
      </w:r>
      <w:r w:rsidRPr="001076E3">
        <w:rPr>
          <w:i/>
          <w:sz w:val="26"/>
          <w:szCs w:val="26"/>
        </w:rPr>
        <w:t>Id.</w:t>
      </w:r>
      <w:r>
        <w:rPr>
          <w:sz w:val="26"/>
          <w:szCs w:val="26"/>
        </w:rPr>
        <w:t xml:space="preserve"> at 5.  PIOGA argues the Commission should reject Peoples Gas</w:t>
      </w:r>
      <w:r w:rsidR="001A5BA1">
        <w:rPr>
          <w:sz w:val="26"/>
          <w:szCs w:val="26"/>
        </w:rPr>
        <w:t>’</w:t>
      </w:r>
      <w:r>
        <w:rPr>
          <w:sz w:val="26"/>
          <w:szCs w:val="26"/>
        </w:rPr>
        <w:t xml:space="preserve"> last-minute attempt </w:t>
      </w:r>
      <w:r>
        <w:rPr>
          <w:sz w:val="26"/>
          <w:szCs w:val="26"/>
        </w:rPr>
        <w:lastRenderedPageBreak/>
        <w:t>to introduce extra-record evidence to support its administrative ease argument.  According to PIOGA, Peoples Gas</w:t>
      </w:r>
      <w:r w:rsidR="001A5BA1">
        <w:rPr>
          <w:sz w:val="26"/>
          <w:szCs w:val="26"/>
        </w:rPr>
        <w:t>’</w:t>
      </w:r>
      <w:r>
        <w:rPr>
          <w:sz w:val="26"/>
          <w:szCs w:val="26"/>
        </w:rPr>
        <w:t xml:space="preserve"> attempt to introduce extra-record evidence by way of its Reply Exceptions, is a testament to the fact that Peoples Gas could not present adequate evidence in this proceeding to justify approval of its proposal.  </w:t>
      </w:r>
      <w:r w:rsidRPr="001076E3">
        <w:rPr>
          <w:i/>
          <w:sz w:val="26"/>
          <w:szCs w:val="26"/>
        </w:rPr>
        <w:t>Id.</w:t>
      </w:r>
      <w:r>
        <w:rPr>
          <w:sz w:val="26"/>
          <w:szCs w:val="26"/>
        </w:rPr>
        <w:t xml:space="preserve"> at 5-7.</w:t>
      </w:r>
    </w:p>
    <w:p w:rsidR="00780DF2" w:rsidRDefault="00780DF2" w:rsidP="00844225">
      <w:pPr>
        <w:widowControl/>
        <w:tabs>
          <w:tab w:val="left" w:pos="1445"/>
          <w:tab w:val="left" w:pos="7920"/>
        </w:tabs>
        <w:autoSpaceDE w:val="0"/>
        <w:autoSpaceDN w:val="0"/>
        <w:adjustRightInd w:val="0"/>
        <w:spacing w:line="360" w:lineRule="auto"/>
        <w:rPr>
          <w:sz w:val="26"/>
          <w:szCs w:val="26"/>
        </w:rPr>
      </w:pPr>
    </w:p>
    <w:p w:rsidR="00780DF2" w:rsidRDefault="00780DF2" w:rsidP="00844225">
      <w:pPr>
        <w:widowControl/>
        <w:tabs>
          <w:tab w:val="left" w:pos="1445"/>
          <w:tab w:val="left" w:pos="7920"/>
        </w:tabs>
        <w:autoSpaceDE w:val="0"/>
        <w:autoSpaceDN w:val="0"/>
        <w:adjustRightInd w:val="0"/>
        <w:spacing w:line="360" w:lineRule="auto"/>
        <w:rPr>
          <w:sz w:val="26"/>
          <w:szCs w:val="26"/>
        </w:rPr>
      </w:pPr>
      <w:r>
        <w:rPr>
          <w:sz w:val="26"/>
          <w:szCs w:val="26"/>
        </w:rPr>
        <w:tab/>
        <w:t>In its Answer, Peoples Gas requests that the Commission deny PIOGA</w:t>
      </w:r>
      <w:r w:rsidR="001A5BA1">
        <w:rPr>
          <w:sz w:val="26"/>
          <w:szCs w:val="26"/>
        </w:rPr>
        <w:t>’</w:t>
      </w:r>
      <w:r>
        <w:rPr>
          <w:sz w:val="26"/>
          <w:szCs w:val="26"/>
        </w:rPr>
        <w:t>s Motion to Strike because the statements of fact in the Motion are well-supported by the record evidence and from logistical inferences.  Answer at 2, 4.  Peoples Gas avers the ALJ appropriately rejected PIOGA</w:t>
      </w:r>
      <w:r w:rsidR="001A5BA1">
        <w:rPr>
          <w:sz w:val="26"/>
          <w:szCs w:val="26"/>
        </w:rPr>
        <w:t>’</w:t>
      </w:r>
      <w:r>
        <w:rPr>
          <w:sz w:val="26"/>
          <w:szCs w:val="26"/>
        </w:rPr>
        <w:t>s unfounded arguments against the proposal and approved the Company</w:t>
      </w:r>
      <w:r w:rsidR="001A5BA1">
        <w:rPr>
          <w:sz w:val="26"/>
          <w:szCs w:val="26"/>
        </w:rPr>
        <w:t>’</w:t>
      </w:r>
      <w:r>
        <w:rPr>
          <w:sz w:val="26"/>
          <w:szCs w:val="26"/>
        </w:rPr>
        <w:t xml:space="preserve">s well-reasoned argument regarding the proposed charge.  </w:t>
      </w:r>
      <w:r w:rsidRPr="00C041E3">
        <w:rPr>
          <w:i/>
          <w:sz w:val="26"/>
          <w:szCs w:val="26"/>
        </w:rPr>
        <w:t>Id</w:t>
      </w:r>
      <w:r>
        <w:rPr>
          <w:sz w:val="26"/>
          <w:szCs w:val="26"/>
        </w:rPr>
        <w:t>. at 2 (citing R.D. at 73-74).  Peoples Gas argues</w:t>
      </w:r>
      <w:r w:rsidR="00AF7D8E">
        <w:rPr>
          <w:sz w:val="26"/>
          <w:szCs w:val="26"/>
        </w:rPr>
        <w:t xml:space="preserve"> that</w:t>
      </w:r>
      <w:r>
        <w:rPr>
          <w:sz w:val="26"/>
          <w:szCs w:val="26"/>
        </w:rPr>
        <w:t xml:space="preserve"> it is axiomatic that under PIOGA</w:t>
      </w:r>
      <w:r w:rsidR="001A5BA1">
        <w:rPr>
          <w:sz w:val="26"/>
          <w:szCs w:val="26"/>
        </w:rPr>
        <w:t>’</w:t>
      </w:r>
      <w:r>
        <w:rPr>
          <w:sz w:val="26"/>
          <w:szCs w:val="26"/>
        </w:rPr>
        <w:t xml:space="preserve">s proposal to charge the fee to only some conventional producers, </w:t>
      </w:r>
      <w:r w:rsidR="001A5BA1">
        <w:rPr>
          <w:sz w:val="26"/>
          <w:szCs w:val="26"/>
        </w:rPr>
        <w:t>“</w:t>
      </w:r>
      <w:r>
        <w:rPr>
          <w:sz w:val="26"/>
          <w:szCs w:val="26"/>
        </w:rPr>
        <w:t>the Company would have to track the point of delivery of the volumes of gas delivered by every conventional gas producer who is connected to Peoples Gas</w:t>
      </w:r>
      <w:r w:rsidR="001A5BA1">
        <w:rPr>
          <w:sz w:val="26"/>
          <w:szCs w:val="26"/>
        </w:rPr>
        <w:t>’</w:t>
      </w:r>
      <w:r>
        <w:rPr>
          <w:sz w:val="26"/>
          <w:szCs w:val="26"/>
        </w:rPr>
        <w:t xml:space="preserve"> gathering system and compute the charge accordingly, but not have to do so for Peoples-Equitable Division</w:t>
      </w:r>
      <w:r w:rsidR="001A5BA1">
        <w:rPr>
          <w:sz w:val="26"/>
          <w:szCs w:val="26"/>
        </w:rPr>
        <w:t>’</w:t>
      </w:r>
      <w:r>
        <w:rPr>
          <w:sz w:val="26"/>
          <w:szCs w:val="26"/>
        </w:rPr>
        <w:t>s gathering system.</w:t>
      </w:r>
      <w:r w:rsidR="001A5BA1">
        <w:rPr>
          <w:sz w:val="26"/>
          <w:szCs w:val="26"/>
        </w:rPr>
        <w:t>”</w:t>
      </w:r>
      <w:r>
        <w:rPr>
          <w:sz w:val="26"/>
          <w:szCs w:val="26"/>
        </w:rPr>
        <w:t xml:space="preserve">  Answer at 4 (citing Peoples Gas R. Exc. at 21).  </w:t>
      </w:r>
    </w:p>
    <w:p w:rsidR="00780DF2" w:rsidRDefault="00780DF2" w:rsidP="00844225">
      <w:pPr>
        <w:widowControl/>
        <w:tabs>
          <w:tab w:val="left" w:pos="1445"/>
          <w:tab w:val="left" w:pos="7920"/>
        </w:tabs>
        <w:autoSpaceDE w:val="0"/>
        <w:autoSpaceDN w:val="0"/>
        <w:adjustRightInd w:val="0"/>
        <w:spacing w:line="360" w:lineRule="auto"/>
        <w:rPr>
          <w:sz w:val="26"/>
          <w:szCs w:val="26"/>
        </w:rPr>
      </w:pPr>
    </w:p>
    <w:p w:rsidR="00780DF2" w:rsidRDefault="00780DF2" w:rsidP="00844225">
      <w:pPr>
        <w:widowControl/>
        <w:tabs>
          <w:tab w:val="left" w:pos="1445"/>
          <w:tab w:val="left" w:pos="7920"/>
        </w:tabs>
        <w:autoSpaceDE w:val="0"/>
        <w:autoSpaceDN w:val="0"/>
        <w:adjustRightInd w:val="0"/>
        <w:spacing w:line="360" w:lineRule="auto"/>
        <w:rPr>
          <w:sz w:val="26"/>
          <w:szCs w:val="26"/>
        </w:rPr>
      </w:pPr>
      <w:r>
        <w:rPr>
          <w:sz w:val="26"/>
          <w:szCs w:val="26"/>
        </w:rPr>
        <w:tab/>
        <w:t>Peoples Gas further notes that both Equitable Rate AGS and the proposed Rate GS producer retainage charge are volumetric rates and that the only way to compute the charges correctly is to track volumes delivered.  Answer at 4 (citing Peoples Gas St. 1 at</w:t>
      </w:r>
      <w:r w:rsidR="00AF7D8E">
        <w:rPr>
          <w:sz w:val="26"/>
          <w:szCs w:val="26"/>
        </w:rPr>
        <w:t> </w:t>
      </w:r>
      <w:r>
        <w:rPr>
          <w:sz w:val="26"/>
          <w:szCs w:val="26"/>
        </w:rPr>
        <w:t>13, 15; Peoples Gas Exh. 7 at 5; Gas – Pa. P.U.C. No. 46, Original Page No. 82).</w:t>
      </w:r>
      <w:r>
        <w:rPr>
          <w:rStyle w:val="FootnoteReference"/>
          <w:sz w:val="26"/>
          <w:szCs w:val="26"/>
        </w:rPr>
        <w:footnoteReference w:id="26"/>
      </w:r>
      <w:r>
        <w:rPr>
          <w:sz w:val="26"/>
          <w:szCs w:val="26"/>
        </w:rPr>
        <w:t xml:space="preserve">  Reiterating its arguments for the proposal, Peoples Gas, among other things, asserts it has made it abundantly clear throughout this proceeding that it does not want to treat conventional gas producers connected to Peoples Gas</w:t>
      </w:r>
      <w:r w:rsidR="001A5BA1">
        <w:rPr>
          <w:sz w:val="26"/>
          <w:szCs w:val="26"/>
        </w:rPr>
        <w:t>’</w:t>
      </w:r>
      <w:r>
        <w:rPr>
          <w:sz w:val="26"/>
          <w:szCs w:val="26"/>
        </w:rPr>
        <w:t xml:space="preserve"> system differently from those in </w:t>
      </w:r>
      <w:r>
        <w:rPr>
          <w:sz w:val="26"/>
          <w:szCs w:val="26"/>
        </w:rPr>
        <w:lastRenderedPageBreak/>
        <w:t>the Peoples-Equitable Division.  Therefore, for uniformity, it is only logical to apply the charge to production delivered to both gathering and distribution lines, similar to Equitable</w:t>
      </w:r>
      <w:r w:rsidR="001A5BA1">
        <w:rPr>
          <w:sz w:val="26"/>
          <w:szCs w:val="26"/>
        </w:rPr>
        <w:t>’</w:t>
      </w:r>
      <w:r>
        <w:rPr>
          <w:sz w:val="26"/>
          <w:szCs w:val="26"/>
        </w:rPr>
        <w:t>s Rate AGS tariff, Peoples Gas argues.  Answer at 4-5.</w:t>
      </w:r>
    </w:p>
    <w:p w:rsidR="00780DF2" w:rsidRDefault="00780DF2" w:rsidP="00844225">
      <w:pPr>
        <w:widowControl/>
        <w:tabs>
          <w:tab w:val="left" w:pos="1445"/>
          <w:tab w:val="left" w:pos="7920"/>
        </w:tabs>
        <w:autoSpaceDE w:val="0"/>
        <w:autoSpaceDN w:val="0"/>
        <w:adjustRightInd w:val="0"/>
        <w:spacing w:line="360" w:lineRule="auto"/>
        <w:rPr>
          <w:sz w:val="26"/>
          <w:szCs w:val="26"/>
        </w:rPr>
      </w:pPr>
    </w:p>
    <w:p w:rsidR="00780DF2" w:rsidRDefault="00780DF2" w:rsidP="00844225">
      <w:pPr>
        <w:widowControl/>
        <w:tabs>
          <w:tab w:val="left" w:pos="1445"/>
          <w:tab w:val="left" w:pos="7920"/>
        </w:tabs>
        <w:autoSpaceDE w:val="0"/>
        <w:autoSpaceDN w:val="0"/>
        <w:adjustRightInd w:val="0"/>
        <w:spacing w:line="360" w:lineRule="auto"/>
        <w:rPr>
          <w:sz w:val="26"/>
          <w:szCs w:val="26"/>
        </w:rPr>
      </w:pPr>
      <w:r>
        <w:rPr>
          <w:sz w:val="26"/>
          <w:szCs w:val="26"/>
        </w:rPr>
        <w:tab/>
        <w:t>Upon review, we find that the passages emphasized by PIOGA are supported by the record and the logical inferences deduced from them.  It seems clear in the record that both the Equitable Division</w:t>
      </w:r>
      <w:r w:rsidR="001A5BA1">
        <w:rPr>
          <w:sz w:val="26"/>
          <w:szCs w:val="26"/>
        </w:rPr>
        <w:t>’</w:t>
      </w:r>
      <w:r>
        <w:rPr>
          <w:sz w:val="26"/>
          <w:szCs w:val="26"/>
        </w:rPr>
        <w:t xml:space="preserve">s Rate AGS and the proposed producer retainage charge would apply to conventional gas production delivered into the distribution and gathering lines.  Peoples Gas St. 1-R at </w:t>
      </w:r>
      <w:r w:rsidR="00E10AB5">
        <w:rPr>
          <w:sz w:val="26"/>
          <w:szCs w:val="26"/>
        </w:rPr>
        <w:t>25-26</w:t>
      </w:r>
      <w:r>
        <w:rPr>
          <w:sz w:val="26"/>
          <w:szCs w:val="26"/>
        </w:rPr>
        <w:t xml:space="preserve">; PIOGA St. 1 at 5. Indeed, PIOGA conceded that the Company clarified how its proposed producer retainage charge would apply to all conventional production delivered to Peoples Gas facilities. </w:t>
      </w:r>
      <w:r w:rsidR="001B5862">
        <w:rPr>
          <w:sz w:val="26"/>
          <w:szCs w:val="26"/>
        </w:rPr>
        <w:t xml:space="preserve"> </w:t>
      </w:r>
      <w:r>
        <w:rPr>
          <w:sz w:val="26"/>
          <w:szCs w:val="26"/>
        </w:rPr>
        <w:t>PIOGA St.</w:t>
      </w:r>
      <w:r w:rsidR="0016721A">
        <w:rPr>
          <w:sz w:val="26"/>
          <w:szCs w:val="26"/>
        </w:rPr>
        <w:t> </w:t>
      </w:r>
      <w:r>
        <w:rPr>
          <w:sz w:val="26"/>
          <w:szCs w:val="26"/>
        </w:rPr>
        <w:t xml:space="preserve">1 at 5.  Here, the Company explained that its approach is intended to prevent </w:t>
      </w:r>
      <w:r w:rsidR="001A5BA1">
        <w:rPr>
          <w:sz w:val="26"/>
          <w:szCs w:val="26"/>
        </w:rPr>
        <w:t>“</w:t>
      </w:r>
      <w:r>
        <w:rPr>
          <w:sz w:val="26"/>
          <w:szCs w:val="26"/>
        </w:rPr>
        <w:t>different rules depending on which company a well ties into.</w:t>
      </w:r>
      <w:r w:rsidR="001A5BA1">
        <w:rPr>
          <w:sz w:val="26"/>
          <w:szCs w:val="26"/>
        </w:rPr>
        <w:t>”</w:t>
      </w:r>
      <w:r>
        <w:rPr>
          <w:sz w:val="26"/>
          <w:szCs w:val="26"/>
        </w:rPr>
        <w:t xml:space="preserve">  Peoples Gas St. No. 1-R at</w:t>
      </w:r>
      <w:r w:rsidR="0016721A">
        <w:rPr>
          <w:sz w:val="26"/>
          <w:szCs w:val="26"/>
        </w:rPr>
        <w:t> </w:t>
      </w:r>
      <w:r>
        <w:rPr>
          <w:sz w:val="26"/>
          <w:szCs w:val="26"/>
        </w:rPr>
        <w:t>26.  In this proceeding, PIOGA is attempting to limit the application of the Company</w:t>
      </w:r>
      <w:r w:rsidR="001A5BA1">
        <w:rPr>
          <w:sz w:val="26"/>
          <w:szCs w:val="26"/>
        </w:rPr>
        <w:t>’</w:t>
      </w:r>
      <w:r>
        <w:rPr>
          <w:sz w:val="26"/>
          <w:szCs w:val="26"/>
        </w:rPr>
        <w:t xml:space="preserve">s charge to volumes delivered solely to the gathering lines.  As such, it is appropriate to infer that </w:t>
      </w:r>
      <w:r w:rsidR="00B947B7">
        <w:rPr>
          <w:sz w:val="26"/>
          <w:szCs w:val="26"/>
        </w:rPr>
        <w:t>PIOGA</w:t>
      </w:r>
      <w:r w:rsidR="001A5BA1">
        <w:rPr>
          <w:sz w:val="26"/>
          <w:szCs w:val="26"/>
        </w:rPr>
        <w:t>’</w:t>
      </w:r>
      <w:r w:rsidR="00B947B7">
        <w:rPr>
          <w:sz w:val="26"/>
          <w:szCs w:val="26"/>
        </w:rPr>
        <w:t>s proposal</w:t>
      </w:r>
      <w:r>
        <w:rPr>
          <w:sz w:val="26"/>
          <w:szCs w:val="26"/>
        </w:rPr>
        <w:t xml:space="preserve"> would </w:t>
      </w:r>
      <w:r w:rsidR="00B947B7">
        <w:rPr>
          <w:sz w:val="26"/>
          <w:szCs w:val="26"/>
        </w:rPr>
        <w:t>require Peoples</w:t>
      </w:r>
      <w:r>
        <w:rPr>
          <w:sz w:val="26"/>
          <w:szCs w:val="26"/>
        </w:rPr>
        <w:t xml:space="preserve"> Gas to know which producers are only delivering conventional production into the Company</w:t>
      </w:r>
      <w:r w:rsidR="001A5BA1">
        <w:rPr>
          <w:sz w:val="26"/>
          <w:szCs w:val="26"/>
        </w:rPr>
        <w:t>’</w:t>
      </w:r>
      <w:r>
        <w:rPr>
          <w:sz w:val="26"/>
          <w:szCs w:val="26"/>
        </w:rPr>
        <w:t>s gathering system and the amount of the production being delivered.</w:t>
      </w:r>
    </w:p>
    <w:p w:rsidR="00780DF2" w:rsidRDefault="00780DF2" w:rsidP="00844225">
      <w:pPr>
        <w:widowControl/>
        <w:tabs>
          <w:tab w:val="left" w:pos="1445"/>
          <w:tab w:val="left" w:pos="7920"/>
        </w:tabs>
        <w:autoSpaceDE w:val="0"/>
        <w:autoSpaceDN w:val="0"/>
        <w:adjustRightInd w:val="0"/>
        <w:spacing w:line="360" w:lineRule="auto"/>
        <w:rPr>
          <w:sz w:val="26"/>
          <w:szCs w:val="26"/>
        </w:rPr>
      </w:pPr>
    </w:p>
    <w:p w:rsidR="00780DF2" w:rsidRDefault="00780DF2" w:rsidP="00844225">
      <w:pPr>
        <w:widowControl/>
        <w:tabs>
          <w:tab w:val="left" w:pos="1445"/>
          <w:tab w:val="left" w:pos="7920"/>
        </w:tabs>
        <w:autoSpaceDE w:val="0"/>
        <w:autoSpaceDN w:val="0"/>
        <w:adjustRightInd w:val="0"/>
        <w:spacing w:line="360" w:lineRule="auto"/>
        <w:rPr>
          <w:sz w:val="26"/>
          <w:szCs w:val="26"/>
        </w:rPr>
      </w:pPr>
      <w:r>
        <w:rPr>
          <w:sz w:val="26"/>
          <w:szCs w:val="26"/>
        </w:rPr>
        <w:tab/>
        <w:t>Additionally, the record appears to support a conclusion that PIOGA</w:t>
      </w:r>
      <w:r w:rsidR="001A5BA1">
        <w:rPr>
          <w:sz w:val="26"/>
          <w:szCs w:val="26"/>
        </w:rPr>
        <w:t>’</w:t>
      </w:r>
      <w:r>
        <w:rPr>
          <w:sz w:val="26"/>
          <w:szCs w:val="26"/>
        </w:rPr>
        <w:t>s proposal would result in the Company</w:t>
      </w:r>
      <w:r w:rsidR="001A5BA1">
        <w:rPr>
          <w:sz w:val="26"/>
          <w:szCs w:val="26"/>
        </w:rPr>
        <w:t>’</w:t>
      </w:r>
      <w:r>
        <w:rPr>
          <w:sz w:val="26"/>
          <w:szCs w:val="26"/>
        </w:rPr>
        <w:t>s proposed producer retainage charge only being applied to conventional gas production being delivered into the gathering system while the Equitable Division</w:t>
      </w:r>
      <w:r w:rsidR="001A5BA1">
        <w:rPr>
          <w:sz w:val="26"/>
          <w:szCs w:val="26"/>
        </w:rPr>
        <w:t>’</w:t>
      </w:r>
      <w:r>
        <w:rPr>
          <w:sz w:val="26"/>
          <w:szCs w:val="26"/>
        </w:rPr>
        <w:t xml:space="preserve">s Rate AGS would continue to apply to production delivered into both distribution and gathering lines.  Thus, it </w:t>
      </w:r>
      <w:r w:rsidR="002D4E1E">
        <w:rPr>
          <w:sz w:val="26"/>
          <w:szCs w:val="26"/>
        </w:rPr>
        <w:t>seems</w:t>
      </w:r>
      <w:r>
        <w:rPr>
          <w:sz w:val="26"/>
          <w:szCs w:val="26"/>
        </w:rPr>
        <w:t xml:space="preserve"> that the Company had a reasonable basis to state in its Replies to Exceptions that PIOGA</w:t>
      </w:r>
      <w:r w:rsidR="001A5BA1">
        <w:rPr>
          <w:sz w:val="26"/>
          <w:szCs w:val="26"/>
        </w:rPr>
        <w:t>’</w:t>
      </w:r>
      <w:r>
        <w:rPr>
          <w:sz w:val="26"/>
          <w:szCs w:val="26"/>
        </w:rPr>
        <w:t xml:space="preserve">s proposal would result in conventional gas producers being treated </w:t>
      </w:r>
      <w:r w:rsidR="001A5BA1">
        <w:rPr>
          <w:sz w:val="26"/>
          <w:szCs w:val="26"/>
        </w:rPr>
        <w:t>“</w:t>
      </w:r>
      <w:r>
        <w:rPr>
          <w:sz w:val="26"/>
          <w:szCs w:val="26"/>
        </w:rPr>
        <w:t>differently depending on whether they are connected to a Peoples Gas or Peoples-Equitable Division gathering system.</w:t>
      </w:r>
      <w:r w:rsidR="001A5BA1">
        <w:rPr>
          <w:sz w:val="26"/>
          <w:szCs w:val="26"/>
        </w:rPr>
        <w:t>”</w:t>
      </w:r>
      <w:r>
        <w:rPr>
          <w:sz w:val="26"/>
          <w:szCs w:val="26"/>
        </w:rPr>
        <w:t xml:space="preserve">  Under the circumstances, we find no basis to strike the language set forth in the Company</w:t>
      </w:r>
      <w:r w:rsidR="001A5BA1">
        <w:rPr>
          <w:sz w:val="26"/>
          <w:szCs w:val="26"/>
        </w:rPr>
        <w:t>’</w:t>
      </w:r>
      <w:r>
        <w:rPr>
          <w:sz w:val="26"/>
          <w:szCs w:val="26"/>
        </w:rPr>
        <w:t xml:space="preserve">s Replies to Exceptions because they are based on record evidence and logical inferences from the </w:t>
      </w:r>
      <w:r>
        <w:rPr>
          <w:sz w:val="26"/>
          <w:szCs w:val="26"/>
        </w:rPr>
        <w:lastRenderedPageBreak/>
        <w:t xml:space="preserve">facts of record.  </w:t>
      </w:r>
      <w:r w:rsidRPr="00BE1B4D">
        <w:rPr>
          <w:i/>
          <w:sz w:val="26"/>
          <w:szCs w:val="26"/>
        </w:rPr>
        <w:t>Kyu Son Yi v. State Bd. of Veterinary Med.</w:t>
      </w:r>
      <w:r>
        <w:rPr>
          <w:sz w:val="26"/>
          <w:szCs w:val="26"/>
        </w:rPr>
        <w:t>, 960 A.2d 864, 872 (Pa. Cmwlth. 2008).</w:t>
      </w:r>
    </w:p>
    <w:p w:rsidR="00780DF2" w:rsidRDefault="00780DF2" w:rsidP="00844225">
      <w:pPr>
        <w:widowControl/>
        <w:tabs>
          <w:tab w:val="left" w:pos="1445"/>
          <w:tab w:val="left" w:pos="7920"/>
        </w:tabs>
        <w:autoSpaceDE w:val="0"/>
        <w:autoSpaceDN w:val="0"/>
        <w:adjustRightInd w:val="0"/>
        <w:spacing w:line="360" w:lineRule="auto"/>
        <w:rPr>
          <w:sz w:val="26"/>
          <w:szCs w:val="26"/>
        </w:rPr>
      </w:pPr>
    </w:p>
    <w:p w:rsidR="00780DF2" w:rsidRPr="00453B72" w:rsidRDefault="00780DF2" w:rsidP="00AA56A9">
      <w:pPr>
        <w:pStyle w:val="Heading4"/>
        <w:keepNext/>
        <w:keepLines/>
      </w:pPr>
      <w:r w:rsidRPr="00C25915">
        <w:t>Disposition</w:t>
      </w:r>
      <w:r>
        <w:t xml:space="preserve"> of Exception No. 6</w:t>
      </w:r>
      <w:r w:rsidR="00AA359F">
        <w:t>, Replies and Disposition</w:t>
      </w:r>
    </w:p>
    <w:p w:rsidR="00C86B8A" w:rsidRDefault="00C86B8A" w:rsidP="00AA56A9">
      <w:pPr>
        <w:keepNext/>
        <w:keepLines/>
        <w:widowControl/>
        <w:spacing w:line="360" w:lineRule="auto"/>
        <w:rPr>
          <w:sz w:val="26"/>
          <w:szCs w:val="26"/>
        </w:rPr>
      </w:pPr>
    </w:p>
    <w:p w:rsidR="00C86B8A" w:rsidRDefault="00243B4F" w:rsidP="00844225">
      <w:pPr>
        <w:widowControl/>
        <w:tabs>
          <w:tab w:val="left" w:pos="1445"/>
          <w:tab w:val="left" w:pos="7920"/>
        </w:tabs>
        <w:autoSpaceDE w:val="0"/>
        <w:autoSpaceDN w:val="0"/>
        <w:adjustRightInd w:val="0"/>
        <w:spacing w:line="360" w:lineRule="auto"/>
        <w:ind w:firstLine="1440"/>
        <w:rPr>
          <w:sz w:val="26"/>
          <w:szCs w:val="26"/>
        </w:rPr>
      </w:pPr>
      <w:r>
        <w:rPr>
          <w:sz w:val="26"/>
          <w:szCs w:val="26"/>
        </w:rPr>
        <w:t xml:space="preserve">For the reasons presented by Peoples Gas, </w:t>
      </w:r>
      <w:r w:rsidRPr="00243B4F">
        <w:rPr>
          <w:i/>
          <w:sz w:val="26"/>
          <w:szCs w:val="26"/>
        </w:rPr>
        <w:t>supra</w:t>
      </w:r>
      <w:r>
        <w:rPr>
          <w:sz w:val="26"/>
          <w:szCs w:val="26"/>
        </w:rPr>
        <w:t>, we find that the evidence supports the application of the proposed producer retainage charge to all gas delivered by conventional gas producers to the Company</w:t>
      </w:r>
      <w:r w:rsidR="001A5BA1">
        <w:rPr>
          <w:sz w:val="26"/>
          <w:szCs w:val="26"/>
        </w:rPr>
        <w:t>’</w:t>
      </w:r>
      <w:r>
        <w:rPr>
          <w:sz w:val="26"/>
          <w:szCs w:val="26"/>
        </w:rPr>
        <w:t xml:space="preserve">s system.  </w:t>
      </w:r>
      <w:r w:rsidR="00966F74">
        <w:rPr>
          <w:sz w:val="26"/>
          <w:szCs w:val="26"/>
        </w:rPr>
        <w:t xml:space="preserve">We agree with </w:t>
      </w:r>
      <w:r w:rsidR="00AD3968">
        <w:rPr>
          <w:sz w:val="26"/>
          <w:szCs w:val="26"/>
        </w:rPr>
        <w:t xml:space="preserve">Peoples Gas </w:t>
      </w:r>
      <w:r w:rsidR="00966F74">
        <w:rPr>
          <w:sz w:val="26"/>
          <w:szCs w:val="26"/>
        </w:rPr>
        <w:t xml:space="preserve">that it would be more efficient </w:t>
      </w:r>
      <w:r w:rsidR="00A571B2">
        <w:rPr>
          <w:sz w:val="26"/>
          <w:szCs w:val="26"/>
        </w:rPr>
        <w:t>for Peoples Gas, Peoples Division of Peoples Natura</w:t>
      </w:r>
      <w:r w:rsidR="0068501F">
        <w:rPr>
          <w:sz w:val="26"/>
          <w:szCs w:val="26"/>
        </w:rPr>
        <w:t>l</w:t>
      </w:r>
      <w:r w:rsidR="00A571B2">
        <w:rPr>
          <w:sz w:val="26"/>
          <w:szCs w:val="26"/>
        </w:rPr>
        <w:t xml:space="preserve"> Gas</w:t>
      </w:r>
      <w:r w:rsidR="0068501F">
        <w:rPr>
          <w:sz w:val="26"/>
          <w:szCs w:val="26"/>
        </w:rPr>
        <w:t xml:space="preserve"> – Equitable Division </w:t>
      </w:r>
      <w:r w:rsidR="007C0616">
        <w:rPr>
          <w:sz w:val="26"/>
          <w:szCs w:val="26"/>
        </w:rPr>
        <w:t>if they all applied t</w:t>
      </w:r>
      <w:r w:rsidR="00A571B2">
        <w:rPr>
          <w:sz w:val="26"/>
          <w:szCs w:val="26"/>
        </w:rPr>
        <w:t>he proposed producer retainage charge in a similar manner</w:t>
      </w:r>
      <w:r w:rsidR="007C0616">
        <w:rPr>
          <w:sz w:val="26"/>
          <w:szCs w:val="26"/>
        </w:rPr>
        <w:t xml:space="preserve"> rather</w:t>
      </w:r>
      <w:r w:rsidR="00AD3968">
        <w:rPr>
          <w:sz w:val="26"/>
          <w:szCs w:val="26"/>
        </w:rPr>
        <w:t xml:space="preserve"> than having a different Rate GS tariff for Peoples Gas and the Peoples Division of Peoples Natural Gas and a different Rate AGS tariff for its Equitable Division.  </w:t>
      </w:r>
      <w:r w:rsidRPr="00243B4F">
        <w:rPr>
          <w:sz w:val="26"/>
          <w:szCs w:val="26"/>
        </w:rPr>
        <w:t xml:space="preserve">As explained by Company witness Petrichevich, </w:t>
      </w:r>
      <w:r w:rsidR="001A5BA1">
        <w:rPr>
          <w:sz w:val="26"/>
          <w:szCs w:val="26"/>
        </w:rPr>
        <w:t>“</w:t>
      </w:r>
      <w:r w:rsidRPr="00243B4F">
        <w:rPr>
          <w:sz w:val="26"/>
          <w:szCs w:val="26"/>
        </w:rPr>
        <w:t>the Company</w:t>
      </w:r>
      <w:r w:rsidR="001A5BA1">
        <w:rPr>
          <w:sz w:val="26"/>
          <w:szCs w:val="26"/>
        </w:rPr>
        <w:t>’</w:t>
      </w:r>
      <w:r w:rsidRPr="00243B4F">
        <w:rPr>
          <w:sz w:val="26"/>
          <w:szCs w:val="26"/>
        </w:rPr>
        <w:t>s intent was to model the charge after the Commission</w:t>
      </w:r>
      <w:r w:rsidR="00966F74">
        <w:rPr>
          <w:sz w:val="26"/>
          <w:szCs w:val="26"/>
        </w:rPr>
        <w:t>-</w:t>
      </w:r>
      <w:r w:rsidRPr="00243B4F">
        <w:rPr>
          <w:sz w:val="26"/>
          <w:szCs w:val="26"/>
        </w:rPr>
        <w:t xml:space="preserve">approved AGS tariff of the Equitable Division which specifically applies both gathering fees and retainage to production entering into </w:t>
      </w:r>
      <w:r w:rsidR="001A5BA1">
        <w:rPr>
          <w:sz w:val="26"/>
          <w:szCs w:val="26"/>
        </w:rPr>
        <w:t>‘</w:t>
      </w:r>
      <w:r w:rsidRPr="00243B4F">
        <w:rPr>
          <w:sz w:val="26"/>
          <w:szCs w:val="26"/>
        </w:rPr>
        <w:t>distr</w:t>
      </w:r>
      <w:r>
        <w:rPr>
          <w:sz w:val="26"/>
          <w:szCs w:val="26"/>
        </w:rPr>
        <w:t>ibution and gathering</w:t>
      </w:r>
      <w:r w:rsidR="001A5BA1">
        <w:rPr>
          <w:sz w:val="26"/>
          <w:szCs w:val="26"/>
        </w:rPr>
        <w:t>’</w:t>
      </w:r>
      <w:r>
        <w:rPr>
          <w:sz w:val="26"/>
          <w:szCs w:val="26"/>
        </w:rPr>
        <w:t xml:space="preserve"> lines.</w:t>
      </w:r>
      <w:r w:rsidR="001A5BA1">
        <w:rPr>
          <w:sz w:val="26"/>
          <w:szCs w:val="26"/>
        </w:rPr>
        <w:t>”</w:t>
      </w:r>
      <w:r>
        <w:rPr>
          <w:sz w:val="26"/>
          <w:szCs w:val="26"/>
        </w:rPr>
        <w:t xml:space="preserve">  Peoples Gas St. No. 1-R at</w:t>
      </w:r>
      <w:r w:rsidRPr="00243B4F">
        <w:rPr>
          <w:sz w:val="26"/>
          <w:szCs w:val="26"/>
        </w:rPr>
        <w:t xml:space="preserve"> </w:t>
      </w:r>
      <w:r>
        <w:rPr>
          <w:sz w:val="26"/>
          <w:szCs w:val="26"/>
        </w:rPr>
        <w:t xml:space="preserve">26.  </w:t>
      </w:r>
      <w:r w:rsidR="002071BD">
        <w:rPr>
          <w:sz w:val="26"/>
          <w:szCs w:val="26"/>
        </w:rPr>
        <w:t xml:space="preserve">Furthermore, </w:t>
      </w:r>
      <w:r w:rsidR="009E630E">
        <w:rPr>
          <w:sz w:val="26"/>
          <w:szCs w:val="26"/>
        </w:rPr>
        <w:t xml:space="preserve">the record demonstrates that the revenues obtained under the proposed </w:t>
      </w:r>
      <w:r w:rsidR="00B078F6">
        <w:rPr>
          <w:sz w:val="26"/>
          <w:szCs w:val="26"/>
        </w:rPr>
        <w:t xml:space="preserve">charge </w:t>
      </w:r>
      <w:r w:rsidR="009E630E">
        <w:rPr>
          <w:sz w:val="26"/>
          <w:szCs w:val="26"/>
        </w:rPr>
        <w:t xml:space="preserve">would </w:t>
      </w:r>
      <w:r w:rsidR="00B078F6">
        <w:rPr>
          <w:sz w:val="26"/>
          <w:szCs w:val="26"/>
        </w:rPr>
        <w:t xml:space="preserve">not </w:t>
      </w:r>
      <w:r w:rsidR="001D26B2">
        <w:rPr>
          <w:sz w:val="26"/>
          <w:szCs w:val="26"/>
        </w:rPr>
        <w:t xml:space="preserve">have a significant change in revenues </w:t>
      </w:r>
      <w:r w:rsidR="00B078F6">
        <w:rPr>
          <w:sz w:val="26"/>
          <w:szCs w:val="26"/>
        </w:rPr>
        <w:t>for the Company</w:t>
      </w:r>
      <w:r w:rsidR="001D26B2">
        <w:rPr>
          <w:sz w:val="26"/>
          <w:szCs w:val="26"/>
        </w:rPr>
        <w:t xml:space="preserve"> because it applies only to the </w:t>
      </w:r>
      <w:r w:rsidR="002071BD">
        <w:rPr>
          <w:sz w:val="26"/>
          <w:szCs w:val="26"/>
        </w:rPr>
        <w:t xml:space="preserve">volumes delivered by producers into the gathering system.  </w:t>
      </w:r>
      <w:r w:rsidR="00EA7428">
        <w:rPr>
          <w:sz w:val="26"/>
          <w:szCs w:val="26"/>
        </w:rPr>
        <w:t>According to Company witness Petrichevich</w:t>
      </w:r>
      <w:r w:rsidR="002071BD" w:rsidRPr="002071BD">
        <w:rPr>
          <w:sz w:val="26"/>
          <w:szCs w:val="26"/>
        </w:rPr>
        <w:t xml:space="preserve">, if the Company </w:t>
      </w:r>
      <w:r w:rsidR="001A5BA1">
        <w:rPr>
          <w:sz w:val="26"/>
          <w:szCs w:val="26"/>
        </w:rPr>
        <w:t>“</w:t>
      </w:r>
      <w:r w:rsidR="002071BD" w:rsidRPr="002071BD">
        <w:rPr>
          <w:sz w:val="26"/>
          <w:szCs w:val="26"/>
        </w:rPr>
        <w:t>were to recalculate the retainage charge on the basis of using only gathering and try to get the same amount of collection of UFG from that charge,</w:t>
      </w:r>
      <w:r w:rsidR="001A5BA1">
        <w:rPr>
          <w:sz w:val="26"/>
          <w:szCs w:val="26"/>
        </w:rPr>
        <w:t>”</w:t>
      </w:r>
      <w:r w:rsidR="002071BD" w:rsidRPr="002071BD">
        <w:rPr>
          <w:sz w:val="26"/>
          <w:szCs w:val="26"/>
        </w:rPr>
        <w:t xml:space="preserve"> there would be a small change t</w:t>
      </w:r>
      <w:r w:rsidR="00EA7428">
        <w:rPr>
          <w:sz w:val="26"/>
          <w:szCs w:val="26"/>
        </w:rPr>
        <w:t xml:space="preserve">o the rate.  Tr. at 56.  </w:t>
      </w:r>
      <w:r w:rsidR="002071BD" w:rsidRPr="002071BD">
        <w:rPr>
          <w:sz w:val="26"/>
          <w:szCs w:val="26"/>
        </w:rPr>
        <w:t xml:space="preserve">In fact, for Peoples Natural Gas, </w:t>
      </w:r>
      <w:r w:rsidR="001A5BA1">
        <w:rPr>
          <w:sz w:val="26"/>
          <w:szCs w:val="26"/>
        </w:rPr>
        <w:t>“</w:t>
      </w:r>
      <w:r w:rsidR="002071BD" w:rsidRPr="002071BD">
        <w:rPr>
          <w:sz w:val="26"/>
          <w:szCs w:val="26"/>
        </w:rPr>
        <w:t>the charge would increase from 2 percent to 2.17 percent, so a small,</w:t>
      </w:r>
      <w:r w:rsidR="00EA7428">
        <w:rPr>
          <w:sz w:val="26"/>
          <w:szCs w:val="26"/>
        </w:rPr>
        <w:t xml:space="preserve"> less than 10 percent change.</w:t>
      </w:r>
      <w:r w:rsidR="001A5BA1">
        <w:rPr>
          <w:sz w:val="26"/>
          <w:szCs w:val="26"/>
        </w:rPr>
        <w:t>”</w:t>
      </w:r>
      <w:r w:rsidR="00EA7428">
        <w:rPr>
          <w:sz w:val="26"/>
          <w:szCs w:val="26"/>
        </w:rPr>
        <w:t xml:space="preserve">  </w:t>
      </w:r>
      <w:r w:rsidR="00EA7428" w:rsidRPr="00EA7428">
        <w:rPr>
          <w:i/>
          <w:sz w:val="26"/>
          <w:szCs w:val="26"/>
        </w:rPr>
        <w:t>Id</w:t>
      </w:r>
      <w:r w:rsidR="00EA7428">
        <w:rPr>
          <w:sz w:val="26"/>
          <w:szCs w:val="26"/>
        </w:rPr>
        <w:t xml:space="preserve">. </w:t>
      </w:r>
      <w:r w:rsidR="002071BD" w:rsidRPr="002071BD">
        <w:rPr>
          <w:sz w:val="26"/>
          <w:szCs w:val="26"/>
        </w:rPr>
        <w:t xml:space="preserve"> Similar numbers would be expected for Peoples Gas because </w:t>
      </w:r>
      <w:r w:rsidR="001A5BA1">
        <w:rPr>
          <w:sz w:val="26"/>
          <w:szCs w:val="26"/>
        </w:rPr>
        <w:t>“</w:t>
      </w:r>
      <w:r w:rsidR="002071BD" w:rsidRPr="002071BD">
        <w:rPr>
          <w:sz w:val="26"/>
          <w:szCs w:val="26"/>
        </w:rPr>
        <w:t>the systems operate very much th</w:t>
      </w:r>
      <w:r w:rsidR="00EA7428">
        <w:rPr>
          <w:sz w:val="26"/>
          <w:szCs w:val="26"/>
        </w:rPr>
        <w:t>e same, same age.</w:t>
      </w:r>
      <w:r w:rsidR="001A5BA1">
        <w:rPr>
          <w:sz w:val="26"/>
          <w:szCs w:val="26"/>
        </w:rPr>
        <w:t>”</w:t>
      </w:r>
      <w:r w:rsidR="00EA7428">
        <w:rPr>
          <w:sz w:val="26"/>
          <w:szCs w:val="26"/>
        </w:rPr>
        <w:t xml:space="preserve"> </w:t>
      </w:r>
      <w:r w:rsidR="00EA7428" w:rsidRPr="00EA7428">
        <w:rPr>
          <w:i/>
          <w:sz w:val="26"/>
          <w:szCs w:val="26"/>
        </w:rPr>
        <w:t xml:space="preserve"> Id</w:t>
      </w:r>
      <w:r w:rsidR="00EA7428">
        <w:rPr>
          <w:sz w:val="26"/>
          <w:szCs w:val="26"/>
        </w:rPr>
        <w:t xml:space="preserve">.  </w:t>
      </w:r>
      <w:r w:rsidR="00910927">
        <w:rPr>
          <w:sz w:val="26"/>
          <w:szCs w:val="26"/>
        </w:rPr>
        <w:t>Finally, Peoples Gas contends the proposed Rate GS tariff also avoids the possibility of differential treatment for producers based on their point of connection to Peoples</w:t>
      </w:r>
      <w:r w:rsidR="0081571F">
        <w:rPr>
          <w:sz w:val="26"/>
          <w:szCs w:val="26"/>
        </w:rPr>
        <w:t xml:space="preserve"> Gas</w:t>
      </w:r>
      <w:r w:rsidR="001A5BA1">
        <w:rPr>
          <w:sz w:val="26"/>
          <w:szCs w:val="26"/>
        </w:rPr>
        <w:t>’</w:t>
      </w:r>
      <w:r w:rsidR="0081571F">
        <w:rPr>
          <w:sz w:val="26"/>
          <w:szCs w:val="26"/>
        </w:rPr>
        <w:t xml:space="preserve"> system.  Peoples Gas</w:t>
      </w:r>
      <w:r w:rsidR="00910927">
        <w:rPr>
          <w:sz w:val="26"/>
          <w:szCs w:val="26"/>
        </w:rPr>
        <w:t xml:space="preserve"> R. Exc. at 21-22.  Here, we find the reasons given by Peoples</w:t>
      </w:r>
      <w:r w:rsidR="0081571F">
        <w:rPr>
          <w:sz w:val="26"/>
          <w:szCs w:val="26"/>
        </w:rPr>
        <w:t xml:space="preserve"> Gas</w:t>
      </w:r>
      <w:r w:rsidR="00910927">
        <w:rPr>
          <w:sz w:val="26"/>
          <w:szCs w:val="26"/>
        </w:rPr>
        <w:t xml:space="preserve"> to support its proposed retainage charge to be reasonable.  We further note that PIOGA has not presented any </w:t>
      </w:r>
      <w:r w:rsidR="00910927">
        <w:rPr>
          <w:sz w:val="26"/>
          <w:szCs w:val="26"/>
        </w:rPr>
        <w:lastRenderedPageBreak/>
        <w:t>evidence in this proceeding to demonstrate that the application of the proposed producer charge to both gathering and distribution system similar to Equitable</w:t>
      </w:r>
      <w:r w:rsidR="001A5BA1">
        <w:rPr>
          <w:sz w:val="26"/>
          <w:szCs w:val="26"/>
        </w:rPr>
        <w:t>’</w:t>
      </w:r>
      <w:r w:rsidR="00910927">
        <w:rPr>
          <w:sz w:val="26"/>
          <w:szCs w:val="26"/>
        </w:rPr>
        <w:t xml:space="preserve">s already-existing Rate AGS is unreasonable.  As such, we shall deny </w:t>
      </w:r>
      <w:r w:rsidR="00747C85">
        <w:rPr>
          <w:sz w:val="26"/>
          <w:szCs w:val="26"/>
        </w:rPr>
        <w:t>PIOGA’s</w:t>
      </w:r>
      <w:r w:rsidR="00910927">
        <w:rPr>
          <w:sz w:val="26"/>
          <w:szCs w:val="26"/>
        </w:rPr>
        <w:t xml:space="preserve"> Exception No. 6.</w:t>
      </w:r>
    </w:p>
    <w:p w:rsidR="00780DF2" w:rsidRPr="00320EC1" w:rsidRDefault="00780DF2" w:rsidP="00844225">
      <w:pPr>
        <w:widowControl/>
        <w:tabs>
          <w:tab w:val="left" w:pos="1445"/>
          <w:tab w:val="left" w:pos="7920"/>
        </w:tabs>
        <w:autoSpaceDE w:val="0"/>
        <w:autoSpaceDN w:val="0"/>
        <w:adjustRightInd w:val="0"/>
        <w:spacing w:line="360" w:lineRule="auto"/>
        <w:ind w:firstLine="1440"/>
        <w:rPr>
          <w:sz w:val="26"/>
          <w:szCs w:val="26"/>
        </w:rPr>
      </w:pPr>
    </w:p>
    <w:p w:rsidR="00CF4F5E" w:rsidRPr="00320EC1" w:rsidRDefault="00CF4F5E" w:rsidP="00AA56A9">
      <w:pPr>
        <w:pStyle w:val="Heading3"/>
        <w:keepNext/>
        <w:keepLines/>
        <w:numPr>
          <w:ilvl w:val="0"/>
          <w:numId w:val="14"/>
        </w:numPr>
        <w:ind w:left="1440" w:hanging="720"/>
      </w:pPr>
      <w:bookmarkStart w:id="38" w:name="_Toc524347693"/>
      <w:r w:rsidRPr="00320EC1">
        <w:t>PIOGA Exception No. 7</w:t>
      </w:r>
      <w:bookmarkEnd w:id="38"/>
      <w:r w:rsidR="00AA359F">
        <w:t>, Replies and Disposition</w:t>
      </w:r>
    </w:p>
    <w:p w:rsidR="00CF4F5E" w:rsidRPr="00320EC1" w:rsidRDefault="00CF4F5E" w:rsidP="00AA56A9">
      <w:pPr>
        <w:keepNext/>
        <w:keepLines/>
        <w:widowControl/>
        <w:spacing w:line="360" w:lineRule="auto"/>
        <w:rPr>
          <w:sz w:val="26"/>
          <w:szCs w:val="26"/>
        </w:rPr>
      </w:pPr>
    </w:p>
    <w:p w:rsidR="004E6DDF" w:rsidRPr="004E6DDF" w:rsidRDefault="004E6DDF" w:rsidP="00844225">
      <w:pPr>
        <w:widowControl/>
        <w:spacing w:line="360" w:lineRule="auto"/>
        <w:ind w:firstLine="1440"/>
        <w:rPr>
          <w:sz w:val="26"/>
          <w:szCs w:val="26"/>
        </w:rPr>
      </w:pPr>
      <w:r>
        <w:rPr>
          <w:sz w:val="26"/>
          <w:szCs w:val="26"/>
        </w:rPr>
        <w:t>In its Exception No. 7, PIOGA claims that the ALJ</w:t>
      </w:r>
      <w:r w:rsidRPr="004E6DDF">
        <w:rPr>
          <w:sz w:val="26"/>
          <w:szCs w:val="26"/>
        </w:rPr>
        <w:t xml:space="preserve"> should not have rejected its evidence and arguments alleging that the proposed producer ret</w:t>
      </w:r>
      <w:r>
        <w:rPr>
          <w:sz w:val="26"/>
          <w:szCs w:val="26"/>
        </w:rPr>
        <w:t xml:space="preserve">ainage charge is </w:t>
      </w:r>
      <w:r w:rsidR="001A5BA1">
        <w:rPr>
          <w:sz w:val="26"/>
          <w:szCs w:val="26"/>
        </w:rPr>
        <w:t>“</w:t>
      </w:r>
      <w:r>
        <w:rPr>
          <w:sz w:val="26"/>
          <w:szCs w:val="26"/>
        </w:rPr>
        <w:t>bad policy.</w:t>
      </w:r>
      <w:r w:rsidR="001A5BA1">
        <w:rPr>
          <w:sz w:val="26"/>
          <w:szCs w:val="26"/>
        </w:rPr>
        <w:t>”</w:t>
      </w:r>
      <w:r>
        <w:rPr>
          <w:sz w:val="26"/>
          <w:szCs w:val="26"/>
        </w:rPr>
        <w:t xml:space="preserve">  PIOGA Exc. at 21-22</w:t>
      </w:r>
      <w:r w:rsidR="0081571F">
        <w:rPr>
          <w:sz w:val="26"/>
          <w:szCs w:val="26"/>
        </w:rPr>
        <w:t xml:space="preserve"> </w:t>
      </w:r>
      <w:r w:rsidR="002D4E1E">
        <w:rPr>
          <w:sz w:val="26"/>
          <w:szCs w:val="26"/>
        </w:rPr>
        <w:t>(</w:t>
      </w:r>
      <w:r w:rsidR="0081571F">
        <w:rPr>
          <w:sz w:val="26"/>
          <w:szCs w:val="26"/>
        </w:rPr>
        <w:t>citing R.D. at 75; Conclusion of Law No. 28; Ordering Paragraph Nos. 2, 4, 7, 8</w:t>
      </w:r>
      <w:r w:rsidR="002D4E1E">
        <w:rPr>
          <w:sz w:val="26"/>
          <w:szCs w:val="26"/>
        </w:rPr>
        <w:t>)</w:t>
      </w:r>
      <w:r>
        <w:rPr>
          <w:sz w:val="26"/>
          <w:szCs w:val="26"/>
        </w:rPr>
        <w:t>.  PIOGA alleges that the ALJ</w:t>
      </w:r>
      <w:r w:rsidRPr="004E6DDF">
        <w:rPr>
          <w:sz w:val="26"/>
          <w:szCs w:val="26"/>
        </w:rPr>
        <w:t xml:space="preserve"> failed to recognize that the Company</w:t>
      </w:r>
      <w:r w:rsidR="001A5BA1">
        <w:rPr>
          <w:sz w:val="26"/>
          <w:szCs w:val="26"/>
        </w:rPr>
        <w:t>’</w:t>
      </w:r>
      <w:r w:rsidRPr="004E6DDF">
        <w:rPr>
          <w:sz w:val="26"/>
          <w:szCs w:val="26"/>
        </w:rPr>
        <w:t xml:space="preserve">s proposed charge is the beginning of a </w:t>
      </w:r>
      <w:r w:rsidR="001A5BA1">
        <w:rPr>
          <w:sz w:val="26"/>
          <w:szCs w:val="26"/>
        </w:rPr>
        <w:t>“</w:t>
      </w:r>
      <w:r w:rsidRPr="004E6DDF">
        <w:rPr>
          <w:sz w:val="26"/>
          <w:szCs w:val="26"/>
        </w:rPr>
        <w:t>slippery slope toward assigning additional so-called gathering system cos</w:t>
      </w:r>
      <w:r>
        <w:rPr>
          <w:sz w:val="26"/>
          <w:szCs w:val="26"/>
        </w:rPr>
        <w:t>ts to conventional producers.</w:t>
      </w:r>
      <w:r w:rsidR="001A5BA1">
        <w:rPr>
          <w:sz w:val="26"/>
          <w:szCs w:val="26"/>
        </w:rPr>
        <w:t>”</w:t>
      </w:r>
      <w:r>
        <w:rPr>
          <w:sz w:val="26"/>
          <w:szCs w:val="26"/>
        </w:rPr>
        <w:t xml:space="preserve">  PIOGA Exc. at</w:t>
      </w:r>
      <w:r w:rsidR="0044208E">
        <w:rPr>
          <w:sz w:val="26"/>
          <w:szCs w:val="26"/>
        </w:rPr>
        <w:t> </w:t>
      </w:r>
      <w:r>
        <w:rPr>
          <w:sz w:val="26"/>
          <w:szCs w:val="26"/>
        </w:rPr>
        <w:t>12.</w:t>
      </w:r>
    </w:p>
    <w:p w:rsidR="00CF4F5E" w:rsidRPr="00320EC1" w:rsidRDefault="004E6DDF" w:rsidP="00844225">
      <w:pPr>
        <w:widowControl/>
        <w:spacing w:line="360" w:lineRule="auto"/>
        <w:ind w:firstLine="1440"/>
        <w:rPr>
          <w:sz w:val="26"/>
          <w:szCs w:val="26"/>
        </w:rPr>
      </w:pPr>
      <w:r>
        <w:rPr>
          <w:sz w:val="26"/>
          <w:szCs w:val="26"/>
        </w:rPr>
        <w:t xml:space="preserve"> </w:t>
      </w:r>
    </w:p>
    <w:p w:rsidR="00CF4F5E" w:rsidRPr="00320EC1" w:rsidRDefault="00990FEC" w:rsidP="00844225">
      <w:pPr>
        <w:widowControl/>
        <w:spacing w:line="360" w:lineRule="auto"/>
        <w:ind w:firstLine="1440"/>
        <w:rPr>
          <w:sz w:val="26"/>
          <w:szCs w:val="26"/>
        </w:rPr>
      </w:pPr>
      <w:r>
        <w:rPr>
          <w:sz w:val="26"/>
          <w:szCs w:val="26"/>
        </w:rPr>
        <w:t>In its Replies to Exceptions, the Company asserts that PIOGA</w:t>
      </w:r>
      <w:r w:rsidR="001A5BA1">
        <w:rPr>
          <w:sz w:val="26"/>
          <w:szCs w:val="26"/>
        </w:rPr>
        <w:t>’</w:t>
      </w:r>
      <w:r>
        <w:rPr>
          <w:sz w:val="26"/>
          <w:szCs w:val="26"/>
        </w:rPr>
        <w:t xml:space="preserve">s </w:t>
      </w:r>
      <w:r w:rsidR="001A5BA1">
        <w:rPr>
          <w:sz w:val="26"/>
          <w:szCs w:val="26"/>
        </w:rPr>
        <w:t>“</w:t>
      </w:r>
      <w:r>
        <w:rPr>
          <w:sz w:val="26"/>
          <w:szCs w:val="26"/>
        </w:rPr>
        <w:t>slippery slope</w:t>
      </w:r>
      <w:r w:rsidR="001A5BA1">
        <w:rPr>
          <w:sz w:val="26"/>
          <w:szCs w:val="26"/>
        </w:rPr>
        <w:t>”</w:t>
      </w:r>
      <w:r>
        <w:rPr>
          <w:sz w:val="26"/>
          <w:szCs w:val="26"/>
        </w:rPr>
        <w:t xml:space="preserve"> argument is a </w:t>
      </w:r>
      <w:r w:rsidR="001F3A09">
        <w:rPr>
          <w:sz w:val="26"/>
          <w:szCs w:val="26"/>
        </w:rPr>
        <w:t>“</w:t>
      </w:r>
      <w:r>
        <w:rPr>
          <w:sz w:val="26"/>
          <w:szCs w:val="26"/>
        </w:rPr>
        <w:t>red herring</w:t>
      </w:r>
      <w:r w:rsidR="001F3A09">
        <w:rPr>
          <w:sz w:val="26"/>
          <w:szCs w:val="26"/>
        </w:rPr>
        <w:t>”</w:t>
      </w:r>
      <w:r>
        <w:rPr>
          <w:sz w:val="26"/>
          <w:szCs w:val="26"/>
        </w:rPr>
        <w:t xml:space="preserve"> and that findings in this proceeding should not be based on speculation about what may or may not happen in other future proceedings.  The Company explains that if other proposals are ever made in future proceedings, parties will be able to fully vet the proposals and argue as to whether they should be approved.  Peoples Gas </w:t>
      </w:r>
      <w:r w:rsidR="00F07597">
        <w:rPr>
          <w:sz w:val="26"/>
          <w:szCs w:val="26"/>
        </w:rPr>
        <w:t>R. Exc. at 23</w:t>
      </w:r>
      <w:r>
        <w:rPr>
          <w:sz w:val="26"/>
          <w:szCs w:val="26"/>
        </w:rPr>
        <w:t xml:space="preserve">.  </w:t>
      </w:r>
    </w:p>
    <w:p w:rsidR="005169F1" w:rsidRPr="002270DC" w:rsidRDefault="005169F1" w:rsidP="00844225">
      <w:pPr>
        <w:widowControl/>
        <w:spacing w:line="360" w:lineRule="auto"/>
        <w:rPr>
          <w:sz w:val="26"/>
          <w:szCs w:val="26"/>
        </w:rPr>
      </w:pPr>
    </w:p>
    <w:p w:rsidR="00C86B8A" w:rsidRPr="00A2066B" w:rsidRDefault="00C86B8A" w:rsidP="00844225">
      <w:pPr>
        <w:pStyle w:val="Heading4"/>
        <w:numPr>
          <w:ilvl w:val="0"/>
          <w:numId w:val="23"/>
        </w:numPr>
        <w:ind w:left="2160" w:hanging="720"/>
      </w:pPr>
      <w:r>
        <w:t>Disposition</w:t>
      </w:r>
    </w:p>
    <w:p w:rsidR="00A53EAC" w:rsidRDefault="00A53EAC" w:rsidP="00844225">
      <w:pPr>
        <w:widowControl/>
        <w:tabs>
          <w:tab w:val="left" w:pos="1445"/>
          <w:tab w:val="left" w:pos="4410"/>
          <w:tab w:val="left" w:pos="7920"/>
        </w:tabs>
        <w:autoSpaceDE w:val="0"/>
        <w:autoSpaceDN w:val="0"/>
        <w:adjustRightInd w:val="0"/>
        <w:spacing w:line="360" w:lineRule="auto"/>
        <w:ind w:firstLine="1440"/>
        <w:rPr>
          <w:sz w:val="26"/>
          <w:szCs w:val="26"/>
        </w:rPr>
      </w:pPr>
    </w:p>
    <w:p w:rsidR="00700508" w:rsidRDefault="00C25205" w:rsidP="00844225">
      <w:pPr>
        <w:widowControl/>
        <w:tabs>
          <w:tab w:val="left" w:pos="1445"/>
          <w:tab w:val="left" w:pos="4410"/>
          <w:tab w:val="left" w:pos="7920"/>
        </w:tabs>
        <w:autoSpaceDE w:val="0"/>
        <w:autoSpaceDN w:val="0"/>
        <w:adjustRightInd w:val="0"/>
        <w:spacing w:line="360" w:lineRule="auto"/>
        <w:ind w:firstLine="1440"/>
        <w:rPr>
          <w:sz w:val="26"/>
          <w:szCs w:val="26"/>
        </w:rPr>
      </w:pPr>
      <w:r>
        <w:rPr>
          <w:sz w:val="26"/>
          <w:szCs w:val="26"/>
        </w:rPr>
        <w:t>PIOGA</w:t>
      </w:r>
      <w:r w:rsidR="001A5BA1">
        <w:rPr>
          <w:sz w:val="26"/>
          <w:szCs w:val="26"/>
        </w:rPr>
        <w:t>’</w:t>
      </w:r>
      <w:r>
        <w:rPr>
          <w:sz w:val="26"/>
          <w:szCs w:val="26"/>
        </w:rPr>
        <w:t>s concerns about what cost allocations may or may not be proposed</w:t>
      </w:r>
      <w:r w:rsidR="00176E1C">
        <w:rPr>
          <w:sz w:val="26"/>
          <w:szCs w:val="26"/>
        </w:rPr>
        <w:t xml:space="preserve"> in future proceedings and that the proposed producer retainage charge or any future cost shifting will reduce revenues to producers that are already dealing with problems caused by Pennsylvania</w:t>
      </w:r>
      <w:r w:rsidR="001A5BA1">
        <w:rPr>
          <w:sz w:val="26"/>
          <w:szCs w:val="26"/>
        </w:rPr>
        <w:t>’</w:t>
      </w:r>
      <w:r w:rsidR="00176E1C">
        <w:rPr>
          <w:sz w:val="26"/>
          <w:szCs w:val="26"/>
        </w:rPr>
        <w:t>s low-price natural gas environment, jeopardizing the provision of safe, reliable and continuous service to customers</w:t>
      </w:r>
      <w:r w:rsidR="002D4E1E">
        <w:rPr>
          <w:sz w:val="26"/>
          <w:szCs w:val="26"/>
        </w:rPr>
        <w:t>,</w:t>
      </w:r>
      <w:r w:rsidR="00176E1C">
        <w:rPr>
          <w:sz w:val="26"/>
          <w:szCs w:val="26"/>
        </w:rPr>
        <w:t xml:space="preserve"> </w:t>
      </w:r>
      <w:r w:rsidR="002D4E1E">
        <w:rPr>
          <w:sz w:val="26"/>
          <w:szCs w:val="26"/>
        </w:rPr>
        <w:t xml:space="preserve">are </w:t>
      </w:r>
      <w:r w:rsidR="00176E1C">
        <w:rPr>
          <w:sz w:val="26"/>
          <w:szCs w:val="26"/>
        </w:rPr>
        <w:t>without merit.</w:t>
      </w:r>
    </w:p>
    <w:p w:rsidR="00D014AB" w:rsidRDefault="00D014AB" w:rsidP="00844225">
      <w:pPr>
        <w:widowControl/>
        <w:tabs>
          <w:tab w:val="left" w:pos="1445"/>
          <w:tab w:val="left" w:pos="4410"/>
          <w:tab w:val="left" w:pos="7920"/>
        </w:tabs>
        <w:autoSpaceDE w:val="0"/>
        <w:autoSpaceDN w:val="0"/>
        <w:adjustRightInd w:val="0"/>
        <w:spacing w:line="360" w:lineRule="auto"/>
        <w:ind w:firstLine="1440"/>
        <w:rPr>
          <w:sz w:val="26"/>
          <w:szCs w:val="26"/>
        </w:rPr>
      </w:pPr>
    </w:p>
    <w:p w:rsidR="00D014AB" w:rsidRDefault="00D014AB" w:rsidP="00844225">
      <w:pPr>
        <w:widowControl/>
        <w:tabs>
          <w:tab w:val="left" w:pos="1445"/>
          <w:tab w:val="left" w:pos="4410"/>
          <w:tab w:val="left" w:pos="7920"/>
        </w:tabs>
        <w:autoSpaceDE w:val="0"/>
        <w:autoSpaceDN w:val="0"/>
        <w:adjustRightInd w:val="0"/>
        <w:spacing w:line="360" w:lineRule="auto"/>
        <w:ind w:firstLine="1440"/>
        <w:rPr>
          <w:sz w:val="26"/>
          <w:szCs w:val="26"/>
        </w:rPr>
      </w:pPr>
      <w:r>
        <w:rPr>
          <w:sz w:val="26"/>
          <w:szCs w:val="26"/>
        </w:rPr>
        <w:lastRenderedPageBreak/>
        <w:t xml:space="preserve">We concur with the Company that the findings in this proceeding should not be based on speculation about what may or may not happen in other future proceedings.  Not only has </w:t>
      </w:r>
      <w:r w:rsidR="00F7515B">
        <w:rPr>
          <w:sz w:val="26"/>
          <w:szCs w:val="26"/>
        </w:rPr>
        <w:t xml:space="preserve">PIOGA provided no evidence that the proposal will jeopardize the provision of safe and reliable service, but PIOGA has stipulated </w:t>
      </w:r>
      <w:r w:rsidR="001A5BA1">
        <w:rPr>
          <w:sz w:val="26"/>
          <w:szCs w:val="26"/>
        </w:rPr>
        <w:t>“</w:t>
      </w:r>
      <w:r w:rsidR="00F7515B">
        <w:rPr>
          <w:sz w:val="26"/>
          <w:szCs w:val="26"/>
        </w:rPr>
        <w:t>that the proposed producer retainage charges are not, by themselves, of sufficient magnitude to materially affect existing production from wells or the drilling of new wells.</w:t>
      </w:r>
      <w:r w:rsidR="001A5BA1">
        <w:rPr>
          <w:sz w:val="26"/>
          <w:szCs w:val="26"/>
        </w:rPr>
        <w:t>”</w:t>
      </w:r>
      <w:r w:rsidR="00F7515B">
        <w:rPr>
          <w:sz w:val="26"/>
          <w:szCs w:val="26"/>
        </w:rPr>
        <w:t xml:space="preserve">  Peoples Gas Exh. No.</w:t>
      </w:r>
      <w:r w:rsidR="001F3A09">
        <w:rPr>
          <w:sz w:val="26"/>
          <w:szCs w:val="26"/>
        </w:rPr>
        <w:t> </w:t>
      </w:r>
      <w:r w:rsidR="00F7515B">
        <w:rPr>
          <w:sz w:val="26"/>
          <w:szCs w:val="26"/>
        </w:rPr>
        <w:t xml:space="preserve">11-R.  </w:t>
      </w:r>
      <w:r w:rsidR="0082135B">
        <w:rPr>
          <w:sz w:val="26"/>
          <w:szCs w:val="26"/>
        </w:rPr>
        <w:t>In view of the above, as well as the Company</w:t>
      </w:r>
      <w:r w:rsidR="001A5BA1">
        <w:rPr>
          <w:sz w:val="26"/>
          <w:szCs w:val="26"/>
        </w:rPr>
        <w:t>’</w:t>
      </w:r>
      <w:r w:rsidR="0082135B">
        <w:rPr>
          <w:sz w:val="26"/>
          <w:szCs w:val="26"/>
        </w:rPr>
        <w:t>s investment of substantial capital to replace at-risk pipe, we are of the opinion that PIOGA</w:t>
      </w:r>
      <w:r w:rsidR="001A5BA1">
        <w:rPr>
          <w:sz w:val="26"/>
          <w:szCs w:val="26"/>
        </w:rPr>
        <w:t>’</w:t>
      </w:r>
      <w:r w:rsidR="0082135B">
        <w:rPr>
          <w:sz w:val="26"/>
          <w:szCs w:val="26"/>
        </w:rPr>
        <w:t>s arguments about the proposed producer retainage charge being poor policy are without merit.  Accordingly, PIOGA</w:t>
      </w:r>
      <w:r w:rsidR="001A5BA1">
        <w:rPr>
          <w:sz w:val="26"/>
          <w:szCs w:val="26"/>
        </w:rPr>
        <w:t>’</w:t>
      </w:r>
      <w:r w:rsidR="0082135B">
        <w:rPr>
          <w:sz w:val="26"/>
          <w:szCs w:val="26"/>
        </w:rPr>
        <w:t>s Exception No. 7 is denied.</w:t>
      </w:r>
    </w:p>
    <w:p w:rsidR="0082135B" w:rsidRDefault="0082135B" w:rsidP="00844225">
      <w:pPr>
        <w:widowControl/>
        <w:tabs>
          <w:tab w:val="left" w:pos="1445"/>
          <w:tab w:val="left" w:pos="4410"/>
          <w:tab w:val="left" w:pos="7920"/>
        </w:tabs>
        <w:autoSpaceDE w:val="0"/>
        <w:autoSpaceDN w:val="0"/>
        <w:adjustRightInd w:val="0"/>
        <w:spacing w:line="360" w:lineRule="auto"/>
        <w:ind w:firstLine="1440"/>
        <w:rPr>
          <w:sz w:val="26"/>
          <w:szCs w:val="26"/>
        </w:rPr>
      </w:pPr>
    </w:p>
    <w:p w:rsidR="00700508" w:rsidRDefault="007D63FD" w:rsidP="00844225">
      <w:pPr>
        <w:widowControl/>
        <w:tabs>
          <w:tab w:val="left" w:pos="1445"/>
          <w:tab w:val="left" w:pos="4410"/>
          <w:tab w:val="left" w:pos="7920"/>
        </w:tabs>
        <w:autoSpaceDE w:val="0"/>
        <w:autoSpaceDN w:val="0"/>
        <w:adjustRightInd w:val="0"/>
        <w:spacing w:line="360" w:lineRule="auto"/>
        <w:ind w:firstLine="1440"/>
        <w:rPr>
          <w:sz w:val="26"/>
          <w:szCs w:val="26"/>
        </w:rPr>
      </w:pPr>
      <w:r w:rsidRPr="0082135B">
        <w:rPr>
          <w:sz w:val="26"/>
          <w:szCs w:val="26"/>
        </w:rPr>
        <w:t xml:space="preserve">As previously indicated, currently the justifiable cost of all UFG is passed through to customers via </w:t>
      </w:r>
      <w:r w:rsidR="005216EB" w:rsidRPr="0082135B">
        <w:rPr>
          <w:sz w:val="26"/>
          <w:szCs w:val="26"/>
        </w:rPr>
        <w:t xml:space="preserve">PGC </w:t>
      </w:r>
      <w:r w:rsidRPr="0082135B">
        <w:rPr>
          <w:sz w:val="26"/>
          <w:szCs w:val="26"/>
        </w:rPr>
        <w:t xml:space="preserve">rates and retainage charges.  </w:t>
      </w:r>
      <w:r w:rsidR="00200321" w:rsidRPr="0082135B">
        <w:rPr>
          <w:sz w:val="26"/>
          <w:szCs w:val="26"/>
        </w:rPr>
        <w:t>While</w:t>
      </w:r>
      <w:r w:rsidR="00D03423">
        <w:rPr>
          <w:sz w:val="26"/>
          <w:szCs w:val="26"/>
        </w:rPr>
        <w:t>,</w:t>
      </w:r>
      <w:r w:rsidR="00200321" w:rsidRPr="0082135B">
        <w:rPr>
          <w:sz w:val="26"/>
          <w:szCs w:val="26"/>
        </w:rPr>
        <w:t xml:space="preserve"> presumably</w:t>
      </w:r>
      <w:r w:rsidR="00D03423">
        <w:rPr>
          <w:sz w:val="26"/>
          <w:szCs w:val="26"/>
        </w:rPr>
        <w:t>,</w:t>
      </w:r>
      <w:r w:rsidRPr="0082135B">
        <w:rPr>
          <w:sz w:val="26"/>
          <w:szCs w:val="26"/>
        </w:rPr>
        <w:t xml:space="preserve"> new investment in capital or costs associated with change in operations to reduce UFG should be paid for by customers</w:t>
      </w:r>
      <w:r w:rsidR="00200321" w:rsidRPr="0082135B">
        <w:rPr>
          <w:sz w:val="26"/>
          <w:szCs w:val="26"/>
        </w:rPr>
        <w:t xml:space="preserve"> through base rates</w:t>
      </w:r>
      <w:r w:rsidRPr="0082135B">
        <w:rPr>
          <w:sz w:val="26"/>
          <w:szCs w:val="26"/>
        </w:rPr>
        <w:t>, the underlying issue</w:t>
      </w:r>
      <w:r w:rsidR="006C2057" w:rsidRPr="0082135B">
        <w:rPr>
          <w:sz w:val="26"/>
          <w:szCs w:val="26"/>
        </w:rPr>
        <w:t>, should any</w:t>
      </w:r>
      <w:r w:rsidRPr="0082135B">
        <w:rPr>
          <w:sz w:val="26"/>
          <w:szCs w:val="26"/>
        </w:rPr>
        <w:t xml:space="preserve"> producer retainage charge be approved, is the appropriate cost sharing or level of reasonableness between</w:t>
      </w:r>
      <w:r w:rsidR="005216EB" w:rsidRPr="0082135B">
        <w:rPr>
          <w:sz w:val="26"/>
          <w:szCs w:val="26"/>
        </w:rPr>
        <w:t xml:space="preserve"> customers and conventional gas producers.</w:t>
      </w:r>
      <w:r w:rsidR="001D1BAF" w:rsidRPr="0082135B">
        <w:rPr>
          <w:sz w:val="26"/>
          <w:szCs w:val="26"/>
        </w:rPr>
        <w:t xml:space="preserve">  The producer retainage rate of 2.9% was simply proposed by Peoples Gas</w:t>
      </w:r>
      <w:r w:rsidR="008C4D24" w:rsidRPr="0082135B">
        <w:rPr>
          <w:sz w:val="26"/>
          <w:szCs w:val="26"/>
        </w:rPr>
        <w:t xml:space="preserve"> in this proceeding</w:t>
      </w:r>
      <w:r w:rsidR="004F5326" w:rsidRPr="0082135B">
        <w:rPr>
          <w:sz w:val="26"/>
          <w:szCs w:val="26"/>
        </w:rPr>
        <w:t xml:space="preserve"> in order to keep the current</w:t>
      </w:r>
      <w:r w:rsidR="001D1BAF" w:rsidRPr="0082135B">
        <w:rPr>
          <w:sz w:val="26"/>
          <w:szCs w:val="26"/>
        </w:rPr>
        <w:t xml:space="preserve"> ret</w:t>
      </w:r>
      <w:r w:rsidR="008D12E1" w:rsidRPr="0082135B">
        <w:rPr>
          <w:sz w:val="26"/>
          <w:szCs w:val="26"/>
        </w:rPr>
        <w:t xml:space="preserve">ainage charge of 5.4% unchanged, coincidentally recovering approximately 31% of gathering system UFG </w:t>
      </w:r>
      <w:r w:rsidR="00481F4D" w:rsidRPr="0082135B">
        <w:rPr>
          <w:sz w:val="26"/>
          <w:szCs w:val="26"/>
        </w:rPr>
        <w:t>from conventional gas producers.  However, this fact does not diminish the purpose and the reasoning behind the Company</w:t>
      </w:r>
      <w:r w:rsidR="001A5BA1">
        <w:rPr>
          <w:sz w:val="26"/>
          <w:szCs w:val="26"/>
        </w:rPr>
        <w:t>’</w:t>
      </w:r>
      <w:r w:rsidR="00481F4D" w:rsidRPr="0082135B">
        <w:rPr>
          <w:sz w:val="26"/>
          <w:szCs w:val="26"/>
        </w:rPr>
        <w:t>s proposal of such a charge.</w:t>
      </w:r>
      <w:r w:rsidR="00815760" w:rsidRPr="0082135B">
        <w:rPr>
          <w:sz w:val="26"/>
          <w:szCs w:val="26"/>
        </w:rPr>
        <w:t xml:space="preserve">  Therefore,</w:t>
      </w:r>
      <w:r w:rsidR="008B3172" w:rsidRPr="0082135B">
        <w:rPr>
          <w:sz w:val="26"/>
          <w:szCs w:val="26"/>
        </w:rPr>
        <w:t xml:space="preserve"> while we adopt the ALJ</w:t>
      </w:r>
      <w:r w:rsidR="001A5BA1">
        <w:rPr>
          <w:sz w:val="26"/>
          <w:szCs w:val="26"/>
        </w:rPr>
        <w:t>’</w:t>
      </w:r>
      <w:r w:rsidR="008B3172" w:rsidRPr="0082135B">
        <w:rPr>
          <w:sz w:val="26"/>
          <w:szCs w:val="26"/>
        </w:rPr>
        <w:t xml:space="preserve">s recommendation approving the proposed producer charge, we </w:t>
      </w:r>
      <w:r w:rsidR="00815760" w:rsidRPr="0082135B">
        <w:rPr>
          <w:sz w:val="26"/>
          <w:szCs w:val="26"/>
        </w:rPr>
        <w:t>direct Peoples Gas to develop and submit as part of its next Section 1307(f) filing, a cost allocation study, supported by either empirical evidence or compelling logic, to determine more accurately what portion of UFG costs should be recovered from conventional gas producers.</w:t>
      </w:r>
    </w:p>
    <w:p w:rsidR="00AF6A62" w:rsidRDefault="00AF6A62" w:rsidP="00844225">
      <w:pPr>
        <w:widowControl/>
        <w:tabs>
          <w:tab w:val="left" w:pos="1445"/>
          <w:tab w:val="left" w:pos="7920"/>
        </w:tabs>
        <w:autoSpaceDE w:val="0"/>
        <w:autoSpaceDN w:val="0"/>
        <w:adjustRightInd w:val="0"/>
        <w:spacing w:line="360" w:lineRule="auto"/>
        <w:rPr>
          <w:sz w:val="26"/>
          <w:szCs w:val="26"/>
        </w:rPr>
      </w:pPr>
    </w:p>
    <w:p w:rsidR="00AF6A62" w:rsidRPr="00A2066B" w:rsidRDefault="00B113BF" w:rsidP="00844225">
      <w:pPr>
        <w:pStyle w:val="Heading1"/>
        <w:numPr>
          <w:ilvl w:val="0"/>
          <w:numId w:val="12"/>
        </w:numPr>
        <w:ind w:left="720"/>
      </w:pPr>
      <w:bookmarkStart w:id="39" w:name="_Toc524347694"/>
      <w:r>
        <w:t>Conclusion</w:t>
      </w:r>
      <w:bookmarkEnd w:id="39"/>
    </w:p>
    <w:p w:rsidR="008D61F2" w:rsidRPr="00A2066B" w:rsidRDefault="008D61F2" w:rsidP="00844225">
      <w:pPr>
        <w:widowControl/>
        <w:spacing w:line="360" w:lineRule="auto"/>
        <w:rPr>
          <w:sz w:val="26"/>
          <w:szCs w:val="26"/>
        </w:rPr>
      </w:pPr>
    </w:p>
    <w:p w:rsidR="008D61F2" w:rsidRPr="008D61F2" w:rsidRDefault="008D61F2" w:rsidP="00844225">
      <w:pPr>
        <w:widowControl/>
        <w:spacing w:line="360" w:lineRule="auto"/>
        <w:ind w:firstLine="1440"/>
        <w:rPr>
          <w:sz w:val="26"/>
          <w:szCs w:val="26"/>
        </w:rPr>
      </w:pPr>
      <w:r w:rsidRPr="00A2066B">
        <w:rPr>
          <w:sz w:val="26"/>
          <w:szCs w:val="26"/>
        </w:rPr>
        <w:lastRenderedPageBreak/>
        <w:t>Based on our review of the record</w:t>
      </w:r>
      <w:r w:rsidRPr="008D61F2">
        <w:rPr>
          <w:sz w:val="26"/>
          <w:szCs w:val="26"/>
        </w:rPr>
        <w:t xml:space="preserve">, </w:t>
      </w:r>
      <w:r w:rsidR="003A301D">
        <w:rPr>
          <w:sz w:val="26"/>
          <w:szCs w:val="26"/>
        </w:rPr>
        <w:t xml:space="preserve">and consistent with the foregoing discussion </w:t>
      </w:r>
      <w:r w:rsidR="00C755BF">
        <w:rPr>
          <w:sz w:val="26"/>
          <w:szCs w:val="26"/>
        </w:rPr>
        <w:t>we shall</w:t>
      </w:r>
      <w:r w:rsidR="003A301D">
        <w:rPr>
          <w:sz w:val="26"/>
          <w:szCs w:val="26"/>
        </w:rPr>
        <w:t xml:space="preserve">: </w:t>
      </w:r>
      <w:r w:rsidR="003A301D" w:rsidRPr="00AE3C2B">
        <w:rPr>
          <w:sz w:val="26"/>
          <w:szCs w:val="26"/>
        </w:rPr>
        <w:t>(1)</w:t>
      </w:r>
      <w:r w:rsidR="00C755BF" w:rsidRPr="00AE3C2B">
        <w:rPr>
          <w:sz w:val="26"/>
          <w:szCs w:val="26"/>
        </w:rPr>
        <w:t xml:space="preserve"> deny the Exceptions filed by </w:t>
      </w:r>
      <w:r w:rsidR="00C22C0D">
        <w:rPr>
          <w:sz w:val="26"/>
          <w:szCs w:val="26"/>
        </w:rPr>
        <w:t>PIOGA</w:t>
      </w:r>
      <w:r w:rsidR="0072026C" w:rsidRPr="00AE3C2B">
        <w:rPr>
          <w:sz w:val="26"/>
          <w:szCs w:val="26"/>
        </w:rPr>
        <w:t xml:space="preserve"> </w:t>
      </w:r>
      <w:r w:rsidR="00260273">
        <w:rPr>
          <w:sz w:val="26"/>
          <w:szCs w:val="26"/>
        </w:rPr>
        <w:t>on August 3</w:t>
      </w:r>
      <w:r w:rsidR="0003180C">
        <w:rPr>
          <w:sz w:val="26"/>
          <w:szCs w:val="26"/>
        </w:rPr>
        <w:t xml:space="preserve">, 2018 </w:t>
      </w:r>
      <w:r w:rsidR="003A301D" w:rsidRPr="00AE3C2B">
        <w:rPr>
          <w:sz w:val="26"/>
          <w:szCs w:val="26"/>
        </w:rPr>
        <w:t xml:space="preserve">in this proceeding; </w:t>
      </w:r>
      <w:r w:rsidR="003A301D" w:rsidRPr="00EB2A5A">
        <w:rPr>
          <w:sz w:val="26"/>
          <w:szCs w:val="26"/>
        </w:rPr>
        <w:t>(2)</w:t>
      </w:r>
      <w:r w:rsidR="00F96B58">
        <w:rPr>
          <w:sz w:val="26"/>
          <w:szCs w:val="26"/>
        </w:rPr>
        <w:t xml:space="preserve"> </w:t>
      </w:r>
      <w:r w:rsidR="00D03423">
        <w:rPr>
          <w:sz w:val="26"/>
          <w:szCs w:val="26"/>
        </w:rPr>
        <w:t xml:space="preserve">deny the Motion to Strike filed by PIOGA on </w:t>
      </w:r>
      <w:r w:rsidR="004906D6">
        <w:rPr>
          <w:sz w:val="26"/>
          <w:szCs w:val="26"/>
        </w:rPr>
        <w:t>August 17, 2018</w:t>
      </w:r>
      <w:r w:rsidR="00D03423">
        <w:rPr>
          <w:sz w:val="26"/>
          <w:szCs w:val="26"/>
        </w:rPr>
        <w:t xml:space="preserve">; (3) </w:t>
      </w:r>
      <w:r w:rsidR="00F96B58">
        <w:rPr>
          <w:sz w:val="26"/>
          <w:szCs w:val="26"/>
        </w:rPr>
        <w:t>adopt the Partial Settlement of the Parties</w:t>
      </w:r>
      <w:r w:rsidR="00092B28">
        <w:rPr>
          <w:sz w:val="26"/>
          <w:szCs w:val="26"/>
        </w:rPr>
        <w:t>; and (</w:t>
      </w:r>
      <w:r w:rsidR="004906D6">
        <w:rPr>
          <w:sz w:val="26"/>
          <w:szCs w:val="26"/>
        </w:rPr>
        <w:t>4</w:t>
      </w:r>
      <w:r w:rsidR="00092B28">
        <w:rPr>
          <w:sz w:val="26"/>
          <w:szCs w:val="26"/>
        </w:rPr>
        <w:t>)</w:t>
      </w:r>
      <w:r w:rsidR="003A301D" w:rsidRPr="00EB2A5A">
        <w:rPr>
          <w:sz w:val="26"/>
          <w:szCs w:val="26"/>
        </w:rPr>
        <w:t xml:space="preserve"> </w:t>
      </w:r>
      <w:r w:rsidR="00457A7F">
        <w:rPr>
          <w:sz w:val="26"/>
          <w:szCs w:val="26"/>
        </w:rPr>
        <w:t>adopt</w:t>
      </w:r>
      <w:r w:rsidR="00092B28">
        <w:rPr>
          <w:sz w:val="26"/>
          <w:szCs w:val="26"/>
        </w:rPr>
        <w:t xml:space="preserve"> the ALJ</w:t>
      </w:r>
      <w:r w:rsidR="001A5BA1">
        <w:rPr>
          <w:sz w:val="26"/>
          <w:szCs w:val="26"/>
        </w:rPr>
        <w:t>’</w:t>
      </w:r>
      <w:r w:rsidR="00092B28">
        <w:rPr>
          <w:sz w:val="26"/>
          <w:szCs w:val="26"/>
        </w:rPr>
        <w:t>s</w:t>
      </w:r>
      <w:r w:rsidR="00A34802" w:rsidRPr="00EB2A5A">
        <w:rPr>
          <w:sz w:val="26"/>
          <w:szCs w:val="26"/>
        </w:rPr>
        <w:t xml:space="preserve"> Recommended Decision</w:t>
      </w:r>
      <w:r w:rsidR="00092B28">
        <w:rPr>
          <w:sz w:val="26"/>
          <w:szCs w:val="26"/>
        </w:rPr>
        <w:t xml:space="preserve"> consistent with this Opinion and Order</w:t>
      </w:r>
      <w:r w:rsidR="006525C1" w:rsidRPr="00EB2A5A">
        <w:rPr>
          <w:sz w:val="26"/>
          <w:szCs w:val="26"/>
        </w:rPr>
        <w:t>;</w:t>
      </w:r>
      <w:r w:rsidR="00727038" w:rsidRPr="00EB2A5A">
        <w:rPr>
          <w:sz w:val="26"/>
          <w:szCs w:val="26"/>
        </w:rPr>
        <w:t xml:space="preserve"> </w:t>
      </w:r>
      <w:r w:rsidRPr="00EB2A5A">
        <w:rPr>
          <w:b/>
          <w:sz w:val="26"/>
          <w:szCs w:val="26"/>
        </w:rPr>
        <w:t>THEREFORE,</w:t>
      </w:r>
    </w:p>
    <w:p w:rsidR="003D07BC" w:rsidRDefault="003D07BC" w:rsidP="00844225">
      <w:pPr>
        <w:widowControl/>
        <w:spacing w:after="200" w:line="276" w:lineRule="auto"/>
        <w:rPr>
          <w:b/>
          <w:sz w:val="26"/>
          <w:szCs w:val="26"/>
        </w:rPr>
      </w:pPr>
    </w:p>
    <w:p w:rsidR="008D61F2" w:rsidRPr="008D61F2" w:rsidRDefault="000741CD" w:rsidP="00844225">
      <w:pPr>
        <w:keepNext/>
        <w:keepLines/>
        <w:widowControl/>
        <w:spacing w:after="200" w:line="276" w:lineRule="auto"/>
        <w:rPr>
          <w:b/>
          <w:sz w:val="26"/>
          <w:szCs w:val="26"/>
        </w:rPr>
      </w:pPr>
      <w:r>
        <w:rPr>
          <w:b/>
          <w:sz w:val="26"/>
          <w:szCs w:val="26"/>
        </w:rPr>
        <w:tab/>
      </w:r>
      <w:r>
        <w:rPr>
          <w:b/>
          <w:sz w:val="26"/>
          <w:szCs w:val="26"/>
        </w:rPr>
        <w:tab/>
      </w:r>
      <w:r w:rsidR="008D61F2" w:rsidRPr="008D61F2">
        <w:rPr>
          <w:b/>
          <w:sz w:val="26"/>
          <w:szCs w:val="26"/>
        </w:rPr>
        <w:t>IT IS ORDERED:</w:t>
      </w:r>
    </w:p>
    <w:p w:rsidR="008D61F2" w:rsidRPr="008D61F2" w:rsidRDefault="008D61F2" w:rsidP="00844225">
      <w:pPr>
        <w:keepNext/>
        <w:keepLines/>
        <w:widowControl/>
        <w:spacing w:line="360" w:lineRule="auto"/>
        <w:ind w:firstLine="1440"/>
        <w:rPr>
          <w:b/>
          <w:sz w:val="26"/>
          <w:szCs w:val="26"/>
        </w:rPr>
      </w:pPr>
    </w:p>
    <w:p w:rsidR="00915983" w:rsidRPr="00C25915" w:rsidRDefault="00915983" w:rsidP="00844225">
      <w:pPr>
        <w:pStyle w:val="ListParagraph"/>
        <w:widowControl/>
        <w:numPr>
          <w:ilvl w:val="0"/>
          <w:numId w:val="24"/>
        </w:numPr>
        <w:spacing w:line="360" w:lineRule="auto"/>
        <w:ind w:left="0" w:firstLine="1440"/>
        <w:rPr>
          <w:b/>
          <w:sz w:val="26"/>
          <w:szCs w:val="26"/>
        </w:rPr>
      </w:pPr>
      <w:r w:rsidRPr="00092B28">
        <w:rPr>
          <w:sz w:val="26"/>
          <w:szCs w:val="26"/>
        </w:rPr>
        <w:t>That the Exceptions filed by The Pennsylvania Independent Oil &amp; Gas Association on August 3, 2018, are denied, consistent</w:t>
      </w:r>
      <w:r w:rsidRPr="00092B28">
        <w:rPr>
          <w:sz w:val="26"/>
        </w:rPr>
        <w:t xml:space="preserve"> with this Opinion and Order</w:t>
      </w:r>
      <w:r>
        <w:rPr>
          <w:sz w:val="26"/>
        </w:rPr>
        <w:t>.</w:t>
      </w:r>
    </w:p>
    <w:p w:rsidR="004906D6" w:rsidRPr="00C25915" w:rsidRDefault="004906D6" w:rsidP="00844225">
      <w:pPr>
        <w:pStyle w:val="ListParagraph"/>
        <w:widowControl/>
        <w:spacing w:line="360" w:lineRule="auto"/>
        <w:ind w:left="1440"/>
        <w:rPr>
          <w:b/>
          <w:sz w:val="26"/>
          <w:szCs w:val="26"/>
        </w:rPr>
      </w:pPr>
    </w:p>
    <w:p w:rsidR="004906D6" w:rsidRPr="00915983" w:rsidRDefault="004906D6" w:rsidP="00844225">
      <w:pPr>
        <w:pStyle w:val="ListParagraph"/>
        <w:widowControl/>
        <w:numPr>
          <w:ilvl w:val="0"/>
          <w:numId w:val="24"/>
        </w:numPr>
        <w:spacing w:line="360" w:lineRule="auto"/>
        <w:ind w:left="0" w:firstLine="1440"/>
        <w:rPr>
          <w:b/>
          <w:sz w:val="26"/>
          <w:szCs w:val="26"/>
        </w:rPr>
      </w:pPr>
      <w:r>
        <w:rPr>
          <w:sz w:val="26"/>
          <w:szCs w:val="26"/>
        </w:rPr>
        <w:t xml:space="preserve">That the Motion to Strike filed by </w:t>
      </w:r>
      <w:r w:rsidRPr="00092B28">
        <w:rPr>
          <w:sz w:val="26"/>
          <w:szCs w:val="26"/>
        </w:rPr>
        <w:t xml:space="preserve">The Pennsylvania Independent Oil &amp; Gas Association on August </w:t>
      </w:r>
      <w:r>
        <w:rPr>
          <w:sz w:val="26"/>
          <w:szCs w:val="26"/>
        </w:rPr>
        <w:t>17</w:t>
      </w:r>
      <w:r w:rsidRPr="00092B28">
        <w:rPr>
          <w:sz w:val="26"/>
          <w:szCs w:val="26"/>
        </w:rPr>
        <w:t>, 2018,</w:t>
      </w:r>
      <w:r w:rsidR="002E1C71">
        <w:rPr>
          <w:sz w:val="26"/>
          <w:szCs w:val="26"/>
        </w:rPr>
        <w:t xml:space="preserve"> is</w:t>
      </w:r>
      <w:r w:rsidRPr="00092B28">
        <w:rPr>
          <w:sz w:val="26"/>
          <w:szCs w:val="26"/>
        </w:rPr>
        <w:t xml:space="preserve"> denied, consistent</w:t>
      </w:r>
      <w:r w:rsidRPr="00092B28">
        <w:rPr>
          <w:sz w:val="26"/>
        </w:rPr>
        <w:t xml:space="preserve"> with this Opinion and Order</w:t>
      </w:r>
      <w:r>
        <w:rPr>
          <w:sz w:val="26"/>
        </w:rPr>
        <w:t>.</w:t>
      </w:r>
    </w:p>
    <w:p w:rsidR="00915983" w:rsidRPr="00915983" w:rsidRDefault="00915983" w:rsidP="00844225">
      <w:pPr>
        <w:pStyle w:val="ListParagraph"/>
        <w:widowControl/>
        <w:spacing w:line="360" w:lineRule="auto"/>
        <w:ind w:left="1440"/>
        <w:rPr>
          <w:b/>
          <w:sz w:val="26"/>
          <w:szCs w:val="26"/>
        </w:rPr>
      </w:pPr>
    </w:p>
    <w:p w:rsidR="00915983" w:rsidRPr="000741CD" w:rsidRDefault="00915983" w:rsidP="00844225">
      <w:pPr>
        <w:pStyle w:val="ListParagraph"/>
        <w:widowControl/>
        <w:numPr>
          <w:ilvl w:val="0"/>
          <w:numId w:val="24"/>
        </w:numPr>
        <w:spacing w:line="360" w:lineRule="auto"/>
        <w:ind w:left="0" w:firstLine="1440"/>
        <w:rPr>
          <w:b/>
          <w:sz w:val="26"/>
          <w:szCs w:val="26"/>
        </w:rPr>
      </w:pPr>
      <w:r w:rsidRPr="008D61F2">
        <w:rPr>
          <w:sz w:val="26"/>
          <w:szCs w:val="26"/>
        </w:rPr>
        <w:t>That the Recommended Decision of Administrative Law Judge</w:t>
      </w:r>
      <w:r>
        <w:rPr>
          <w:sz w:val="26"/>
        </w:rPr>
        <w:t xml:space="preserve"> Jeffrey A. Watson</w:t>
      </w:r>
      <w:r w:rsidRPr="008D61F2">
        <w:rPr>
          <w:sz w:val="26"/>
        </w:rPr>
        <w:t xml:space="preserve">, issued on </w:t>
      </w:r>
      <w:r>
        <w:rPr>
          <w:sz w:val="26"/>
        </w:rPr>
        <w:t>July 25</w:t>
      </w:r>
      <w:r w:rsidRPr="00EB2A5A">
        <w:rPr>
          <w:sz w:val="26"/>
        </w:rPr>
        <w:t xml:space="preserve">, 2018, is </w:t>
      </w:r>
      <w:r>
        <w:rPr>
          <w:sz w:val="26"/>
        </w:rPr>
        <w:t>adopted,</w:t>
      </w:r>
      <w:r w:rsidRPr="00EB2A5A">
        <w:rPr>
          <w:sz w:val="26"/>
        </w:rPr>
        <w:t xml:space="preserve"> consistent</w:t>
      </w:r>
      <w:r w:rsidRPr="008D61F2">
        <w:rPr>
          <w:sz w:val="26"/>
        </w:rPr>
        <w:t xml:space="preserve"> with this Opinion and Order.</w:t>
      </w:r>
    </w:p>
    <w:p w:rsidR="000741CD" w:rsidRPr="00915983" w:rsidRDefault="000741CD" w:rsidP="000741CD">
      <w:pPr>
        <w:pStyle w:val="ListParagraph"/>
        <w:widowControl/>
        <w:spacing w:line="360" w:lineRule="auto"/>
        <w:ind w:left="1440"/>
        <w:rPr>
          <w:b/>
          <w:sz w:val="26"/>
          <w:szCs w:val="26"/>
        </w:rPr>
      </w:pPr>
    </w:p>
    <w:p w:rsidR="00092B28" w:rsidRPr="00092B28" w:rsidRDefault="00092B28" w:rsidP="00844225">
      <w:pPr>
        <w:pStyle w:val="ListParagraph"/>
        <w:widowControl/>
        <w:numPr>
          <w:ilvl w:val="0"/>
          <w:numId w:val="24"/>
        </w:numPr>
        <w:spacing w:line="360" w:lineRule="auto"/>
        <w:ind w:left="0" w:firstLine="1440"/>
        <w:rPr>
          <w:b/>
          <w:sz w:val="26"/>
          <w:szCs w:val="26"/>
        </w:rPr>
      </w:pPr>
      <w:r>
        <w:rPr>
          <w:sz w:val="26"/>
          <w:szCs w:val="26"/>
        </w:rPr>
        <w:t>That the Joint Petition for Partial Settlement filed on June 22, 2018, by the Commission</w:t>
      </w:r>
      <w:r w:rsidR="001A5BA1">
        <w:rPr>
          <w:sz w:val="26"/>
          <w:szCs w:val="26"/>
        </w:rPr>
        <w:t>’</w:t>
      </w:r>
      <w:r>
        <w:rPr>
          <w:sz w:val="26"/>
          <w:szCs w:val="26"/>
        </w:rPr>
        <w:t xml:space="preserve">s Bureau of Investigation and Enforcement; the Office of Consumer Advocate; the Office of Small Business Advocate; and Peoples Gas Company LLC is </w:t>
      </w:r>
      <w:r w:rsidR="006F3D63">
        <w:rPr>
          <w:sz w:val="26"/>
          <w:szCs w:val="26"/>
        </w:rPr>
        <w:t>granted,</w:t>
      </w:r>
      <w:r w:rsidR="000741CD">
        <w:rPr>
          <w:sz w:val="26"/>
          <w:szCs w:val="26"/>
        </w:rPr>
        <w:t xml:space="preserve"> and the Partial Settlement is, hereby, </w:t>
      </w:r>
      <w:r>
        <w:rPr>
          <w:sz w:val="26"/>
          <w:szCs w:val="26"/>
        </w:rPr>
        <w:t>approved without modification.</w:t>
      </w:r>
    </w:p>
    <w:p w:rsidR="008D61F2" w:rsidRPr="008D61F2" w:rsidRDefault="008D61F2" w:rsidP="00844225">
      <w:pPr>
        <w:widowControl/>
        <w:spacing w:line="360" w:lineRule="auto"/>
        <w:ind w:firstLine="1440"/>
        <w:rPr>
          <w:sz w:val="26"/>
          <w:szCs w:val="26"/>
        </w:rPr>
      </w:pPr>
    </w:p>
    <w:p w:rsidR="00E50983" w:rsidRDefault="004906D6" w:rsidP="00844225">
      <w:pPr>
        <w:pStyle w:val="NoSpacing"/>
        <w:spacing w:line="360" w:lineRule="auto"/>
        <w:ind w:firstLine="1440"/>
        <w:rPr>
          <w:sz w:val="26"/>
          <w:szCs w:val="26"/>
        </w:rPr>
      </w:pPr>
      <w:bookmarkStart w:id="40" w:name="_Hlk523914844"/>
      <w:bookmarkStart w:id="41" w:name="_Hlk523741357"/>
      <w:r>
        <w:rPr>
          <w:sz w:val="26"/>
          <w:szCs w:val="26"/>
        </w:rPr>
        <w:t>5</w:t>
      </w:r>
      <w:r w:rsidR="008D61F2" w:rsidRPr="008D61F2">
        <w:rPr>
          <w:sz w:val="26"/>
          <w:szCs w:val="26"/>
        </w:rPr>
        <w:t>.</w:t>
      </w:r>
      <w:r w:rsidR="008D61F2" w:rsidRPr="008D61F2">
        <w:rPr>
          <w:sz w:val="26"/>
          <w:szCs w:val="26"/>
        </w:rPr>
        <w:tab/>
      </w:r>
      <w:r w:rsidR="00811BEF">
        <w:rPr>
          <w:sz w:val="26"/>
          <w:szCs w:val="26"/>
        </w:rPr>
        <w:t>That Peoples</w:t>
      </w:r>
      <w:r w:rsidR="00811BEF" w:rsidRPr="001848F3">
        <w:rPr>
          <w:sz w:val="26"/>
          <w:szCs w:val="26"/>
        </w:rPr>
        <w:t xml:space="preserve"> Gas Company LLC </w:t>
      </w:r>
      <w:r w:rsidR="00A816BD">
        <w:rPr>
          <w:sz w:val="26"/>
          <w:szCs w:val="26"/>
        </w:rPr>
        <w:t xml:space="preserve">shall </w:t>
      </w:r>
      <w:r w:rsidR="00811BEF" w:rsidRPr="001848F3">
        <w:rPr>
          <w:sz w:val="26"/>
          <w:szCs w:val="26"/>
        </w:rPr>
        <w:t>file</w:t>
      </w:r>
      <w:r w:rsidR="00811BEF">
        <w:rPr>
          <w:sz w:val="26"/>
          <w:szCs w:val="26"/>
        </w:rPr>
        <w:t xml:space="preserve"> a tariff supplement</w:t>
      </w:r>
      <w:r w:rsidR="00811BEF" w:rsidRPr="001848F3">
        <w:rPr>
          <w:sz w:val="26"/>
          <w:szCs w:val="26"/>
        </w:rPr>
        <w:t xml:space="preserve"> on at least one day</w:t>
      </w:r>
      <w:r w:rsidR="001A5BA1">
        <w:rPr>
          <w:sz w:val="26"/>
          <w:szCs w:val="26"/>
        </w:rPr>
        <w:t>’</w:t>
      </w:r>
      <w:r w:rsidR="00811BEF" w:rsidRPr="001848F3">
        <w:rPr>
          <w:sz w:val="26"/>
          <w:szCs w:val="26"/>
        </w:rPr>
        <w:t xml:space="preserve">s notice to the Commission, containing changes in rates to provide for the recovery of its costs of purchased </w:t>
      </w:r>
      <w:bookmarkEnd w:id="40"/>
      <w:r w:rsidR="00811BEF" w:rsidRPr="001848F3">
        <w:rPr>
          <w:sz w:val="26"/>
          <w:szCs w:val="26"/>
        </w:rPr>
        <w:t xml:space="preserve">gas, consistent with the terms and conditions of the Partial Settlement and the </w:t>
      </w:r>
      <w:r w:rsidR="00811BEF">
        <w:rPr>
          <w:sz w:val="26"/>
          <w:szCs w:val="26"/>
        </w:rPr>
        <w:t>2.9</w:t>
      </w:r>
      <w:r w:rsidR="00811BEF" w:rsidRPr="001848F3">
        <w:rPr>
          <w:sz w:val="26"/>
          <w:szCs w:val="26"/>
        </w:rPr>
        <w:t>% conventional gas producers retainage charge.</w:t>
      </w:r>
    </w:p>
    <w:bookmarkEnd w:id="41"/>
    <w:p w:rsidR="002B0382" w:rsidRDefault="002B0382" w:rsidP="00844225">
      <w:pPr>
        <w:widowControl/>
        <w:spacing w:line="360" w:lineRule="auto"/>
        <w:rPr>
          <w:sz w:val="26"/>
        </w:rPr>
      </w:pPr>
    </w:p>
    <w:p w:rsidR="00811BEF" w:rsidRDefault="004906D6" w:rsidP="00844225">
      <w:pPr>
        <w:pStyle w:val="NoSpacing"/>
        <w:spacing w:line="360" w:lineRule="auto"/>
        <w:ind w:firstLine="1440"/>
        <w:rPr>
          <w:sz w:val="26"/>
          <w:szCs w:val="26"/>
        </w:rPr>
      </w:pPr>
      <w:bookmarkStart w:id="42" w:name="_Hlk523741569"/>
      <w:r>
        <w:rPr>
          <w:sz w:val="26"/>
          <w:szCs w:val="26"/>
        </w:rPr>
        <w:t>6</w:t>
      </w:r>
      <w:r w:rsidR="009C7D32">
        <w:rPr>
          <w:sz w:val="26"/>
          <w:szCs w:val="26"/>
        </w:rPr>
        <w:t>.</w:t>
      </w:r>
      <w:r w:rsidR="009C7D32">
        <w:rPr>
          <w:sz w:val="26"/>
          <w:szCs w:val="26"/>
        </w:rPr>
        <w:tab/>
      </w:r>
      <w:r w:rsidR="00811BEF" w:rsidRPr="003907BE">
        <w:rPr>
          <w:sz w:val="26"/>
          <w:szCs w:val="26"/>
        </w:rPr>
        <w:t>T</w:t>
      </w:r>
      <w:r w:rsidR="00811BEF">
        <w:rPr>
          <w:sz w:val="26"/>
          <w:szCs w:val="26"/>
        </w:rPr>
        <w:t>hat Peoples</w:t>
      </w:r>
      <w:r w:rsidR="00811BEF" w:rsidRPr="003907BE">
        <w:rPr>
          <w:sz w:val="26"/>
          <w:szCs w:val="26"/>
        </w:rPr>
        <w:t xml:space="preserve"> Gas Company LLC, the Pennsylvania Public Utility Commission</w:t>
      </w:r>
      <w:r w:rsidR="001A5BA1">
        <w:rPr>
          <w:sz w:val="26"/>
          <w:szCs w:val="26"/>
        </w:rPr>
        <w:t>’</w:t>
      </w:r>
      <w:r w:rsidR="00811BEF" w:rsidRPr="003907BE">
        <w:rPr>
          <w:sz w:val="26"/>
          <w:szCs w:val="26"/>
        </w:rPr>
        <w:t xml:space="preserve">s Bureau of Investigation and Enforcement, the Office of Consumer Advocate, and the Office of Small Business Advocate shall comply with the terms and conditions of the Partial Settlement submitted in this proceeding as though each term and condition stated therein had been subject of an individual ordering paragraph. </w:t>
      </w:r>
    </w:p>
    <w:p w:rsidR="004906D6" w:rsidRPr="003907BE" w:rsidRDefault="004906D6" w:rsidP="00844225">
      <w:pPr>
        <w:pStyle w:val="NoSpacing"/>
        <w:spacing w:line="360" w:lineRule="auto"/>
        <w:ind w:firstLine="1440"/>
        <w:rPr>
          <w:sz w:val="26"/>
          <w:szCs w:val="26"/>
        </w:rPr>
      </w:pPr>
    </w:p>
    <w:p w:rsidR="00811BEF" w:rsidRDefault="004906D6" w:rsidP="00844225">
      <w:pPr>
        <w:widowControl/>
        <w:tabs>
          <w:tab w:val="left" w:pos="-720"/>
        </w:tabs>
        <w:spacing w:line="360" w:lineRule="auto"/>
        <w:ind w:firstLine="1440"/>
        <w:rPr>
          <w:sz w:val="26"/>
          <w:szCs w:val="26"/>
        </w:rPr>
      </w:pPr>
      <w:r>
        <w:rPr>
          <w:sz w:val="26"/>
          <w:szCs w:val="26"/>
        </w:rPr>
        <w:t>7</w:t>
      </w:r>
      <w:r w:rsidR="00811BEF" w:rsidRPr="008D61F2">
        <w:rPr>
          <w:sz w:val="26"/>
          <w:szCs w:val="26"/>
        </w:rPr>
        <w:t>.</w:t>
      </w:r>
      <w:r w:rsidR="00811BEF" w:rsidRPr="008D61F2">
        <w:rPr>
          <w:sz w:val="26"/>
          <w:szCs w:val="26"/>
        </w:rPr>
        <w:tab/>
      </w:r>
      <w:r w:rsidR="00811BEF">
        <w:rPr>
          <w:sz w:val="26"/>
          <w:szCs w:val="26"/>
        </w:rPr>
        <w:t>That upon Peoples</w:t>
      </w:r>
      <w:r w:rsidR="00811BEF" w:rsidRPr="003907BE">
        <w:rPr>
          <w:sz w:val="26"/>
          <w:szCs w:val="26"/>
        </w:rPr>
        <w:t xml:space="preserve"> Gas Company LLC</w:t>
      </w:r>
      <w:r w:rsidR="001A5BA1">
        <w:rPr>
          <w:sz w:val="26"/>
          <w:szCs w:val="26"/>
        </w:rPr>
        <w:t>’</w:t>
      </w:r>
      <w:r w:rsidR="00811BEF" w:rsidRPr="003907BE">
        <w:rPr>
          <w:sz w:val="26"/>
          <w:szCs w:val="26"/>
        </w:rPr>
        <w:t>s filing of tariff supplements acceptable to the Commission as conforming with this Opinion and Order and the Partial Settlement, the purchased gas rates established therein shall become effective for service rendered on and after October 1, 2018</w:t>
      </w:r>
      <w:r w:rsidR="00811BEF">
        <w:rPr>
          <w:sz w:val="26"/>
          <w:szCs w:val="26"/>
        </w:rPr>
        <w:t>.</w:t>
      </w:r>
    </w:p>
    <w:p w:rsidR="00811BEF" w:rsidRDefault="00811BEF" w:rsidP="00844225">
      <w:pPr>
        <w:widowControl/>
        <w:tabs>
          <w:tab w:val="left" w:pos="-720"/>
        </w:tabs>
        <w:spacing w:line="360" w:lineRule="auto"/>
        <w:ind w:firstLine="1440"/>
        <w:rPr>
          <w:sz w:val="26"/>
          <w:szCs w:val="26"/>
        </w:rPr>
      </w:pPr>
    </w:p>
    <w:p w:rsidR="00811BEF" w:rsidRDefault="004906D6" w:rsidP="00844225">
      <w:pPr>
        <w:pStyle w:val="Default"/>
        <w:spacing w:line="360" w:lineRule="auto"/>
        <w:ind w:firstLine="1440"/>
        <w:rPr>
          <w:color w:val="auto"/>
          <w:sz w:val="26"/>
          <w:szCs w:val="26"/>
        </w:rPr>
      </w:pPr>
      <w:r>
        <w:rPr>
          <w:sz w:val="26"/>
          <w:szCs w:val="26"/>
        </w:rPr>
        <w:t>8</w:t>
      </w:r>
      <w:r w:rsidR="00811BEF" w:rsidRPr="008D61F2">
        <w:rPr>
          <w:sz w:val="26"/>
          <w:szCs w:val="26"/>
        </w:rPr>
        <w:t>.</w:t>
      </w:r>
      <w:r w:rsidR="00811BEF" w:rsidRPr="008D61F2">
        <w:rPr>
          <w:sz w:val="26"/>
          <w:szCs w:val="26"/>
        </w:rPr>
        <w:tab/>
      </w:r>
      <w:r w:rsidR="00811BEF">
        <w:rPr>
          <w:color w:val="auto"/>
          <w:sz w:val="26"/>
          <w:szCs w:val="26"/>
        </w:rPr>
        <w:t>That Peoples</w:t>
      </w:r>
      <w:r w:rsidR="00811BEF" w:rsidRPr="00811BEF">
        <w:rPr>
          <w:color w:val="auto"/>
          <w:sz w:val="26"/>
          <w:szCs w:val="26"/>
        </w:rPr>
        <w:t xml:space="preserve"> Gas Company LLC</w:t>
      </w:r>
      <w:r w:rsidR="001A5BA1">
        <w:rPr>
          <w:color w:val="auto"/>
          <w:sz w:val="26"/>
          <w:szCs w:val="26"/>
        </w:rPr>
        <w:t>’</w:t>
      </w:r>
      <w:r w:rsidR="00811BEF" w:rsidRPr="00811BEF">
        <w:rPr>
          <w:color w:val="auto"/>
          <w:sz w:val="26"/>
          <w:szCs w:val="26"/>
        </w:rPr>
        <w:t>s proposal to charge conventional gas p</w:t>
      </w:r>
      <w:r w:rsidR="00811BEF">
        <w:rPr>
          <w:color w:val="auto"/>
          <w:sz w:val="26"/>
          <w:szCs w:val="26"/>
        </w:rPr>
        <w:t>roducers a retainage rate of 2.9</w:t>
      </w:r>
      <w:r w:rsidR="00811BEF" w:rsidRPr="00811BEF">
        <w:rPr>
          <w:color w:val="auto"/>
          <w:sz w:val="26"/>
          <w:szCs w:val="26"/>
        </w:rPr>
        <w:t>% for gas delivered into the Company</w:t>
      </w:r>
      <w:r w:rsidR="001A5BA1">
        <w:rPr>
          <w:color w:val="auto"/>
          <w:sz w:val="26"/>
          <w:szCs w:val="26"/>
        </w:rPr>
        <w:t>’</w:t>
      </w:r>
      <w:r w:rsidR="00811BEF" w:rsidRPr="00811BEF">
        <w:rPr>
          <w:color w:val="auto"/>
          <w:sz w:val="26"/>
          <w:szCs w:val="26"/>
        </w:rPr>
        <w:t>s system is hereby approved.</w:t>
      </w:r>
    </w:p>
    <w:p w:rsidR="00811BEF" w:rsidRPr="00811BEF" w:rsidRDefault="00811BEF" w:rsidP="00844225">
      <w:pPr>
        <w:pStyle w:val="Default"/>
        <w:spacing w:line="360" w:lineRule="auto"/>
        <w:ind w:firstLine="1440"/>
        <w:rPr>
          <w:color w:val="auto"/>
          <w:sz w:val="26"/>
          <w:szCs w:val="26"/>
        </w:rPr>
      </w:pPr>
    </w:p>
    <w:p w:rsidR="00811BEF" w:rsidRPr="00811BEF" w:rsidRDefault="004906D6" w:rsidP="00844225">
      <w:pPr>
        <w:pStyle w:val="Default"/>
        <w:spacing w:line="360" w:lineRule="auto"/>
        <w:ind w:firstLine="1440"/>
        <w:rPr>
          <w:color w:val="auto"/>
          <w:sz w:val="26"/>
          <w:szCs w:val="26"/>
        </w:rPr>
      </w:pPr>
      <w:r>
        <w:rPr>
          <w:sz w:val="26"/>
          <w:szCs w:val="26"/>
        </w:rPr>
        <w:t>9</w:t>
      </w:r>
      <w:r w:rsidR="00811BEF" w:rsidRPr="008D61F2">
        <w:rPr>
          <w:sz w:val="26"/>
          <w:szCs w:val="26"/>
        </w:rPr>
        <w:t>.</w:t>
      </w:r>
      <w:r w:rsidR="00811BEF" w:rsidRPr="008D61F2">
        <w:rPr>
          <w:sz w:val="26"/>
          <w:szCs w:val="26"/>
        </w:rPr>
        <w:tab/>
      </w:r>
      <w:r w:rsidR="00811BEF">
        <w:rPr>
          <w:color w:val="auto"/>
          <w:sz w:val="26"/>
          <w:szCs w:val="26"/>
        </w:rPr>
        <w:t>That Peoples</w:t>
      </w:r>
      <w:r w:rsidR="00811BEF" w:rsidRPr="00811BEF">
        <w:rPr>
          <w:color w:val="auto"/>
          <w:sz w:val="26"/>
          <w:szCs w:val="26"/>
        </w:rPr>
        <w:t xml:space="preserve"> Gas Company LLC shall</w:t>
      </w:r>
      <w:r w:rsidR="00811BEF">
        <w:rPr>
          <w:color w:val="auto"/>
          <w:sz w:val="26"/>
          <w:szCs w:val="26"/>
        </w:rPr>
        <w:t xml:space="preserve"> a file tariff supplement</w:t>
      </w:r>
      <w:r w:rsidR="00811BEF" w:rsidRPr="00811BEF">
        <w:rPr>
          <w:color w:val="auto"/>
          <w:sz w:val="26"/>
          <w:szCs w:val="26"/>
        </w:rPr>
        <w:t xml:space="preserve"> to be effective October 1, 2018, which set forth the producer ret</w:t>
      </w:r>
      <w:r w:rsidR="00811BEF">
        <w:rPr>
          <w:color w:val="auto"/>
          <w:sz w:val="26"/>
          <w:szCs w:val="26"/>
        </w:rPr>
        <w:t>ainage charge of 2.9</w:t>
      </w:r>
      <w:r w:rsidR="00811BEF" w:rsidRPr="00811BEF">
        <w:rPr>
          <w:color w:val="auto"/>
          <w:sz w:val="26"/>
          <w:szCs w:val="26"/>
        </w:rPr>
        <w:t>% as approved herein.</w:t>
      </w:r>
    </w:p>
    <w:p w:rsidR="00811BEF" w:rsidRDefault="00811BEF" w:rsidP="00844225">
      <w:pPr>
        <w:widowControl/>
        <w:tabs>
          <w:tab w:val="left" w:pos="-720"/>
        </w:tabs>
        <w:spacing w:line="360" w:lineRule="auto"/>
        <w:ind w:firstLine="1440"/>
        <w:rPr>
          <w:sz w:val="26"/>
          <w:szCs w:val="26"/>
        </w:rPr>
      </w:pPr>
    </w:p>
    <w:p w:rsidR="00811BEF" w:rsidRDefault="004906D6" w:rsidP="00844225">
      <w:pPr>
        <w:widowControl/>
        <w:tabs>
          <w:tab w:val="left" w:pos="-720"/>
        </w:tabs>
        <w:spacing w:line="360" w:lineRule="auto"/>
        <w:ind w:firstLine="1440"/>
        <w:rPr>
          <w:sz w:val="26"/>
          <w:szCs w:val="26"/>
        </w:rPr>
      </w:pPr>
      <w:r>
        <w:rPr>
          <w:sz w:val="26"/>
          <w:szCs w:val="26"/>
        </w:rPr>
        <w:t>10</w:t>
      </w:r>
      <w:r w:rsidR="00811BEF" w:rsidRPr="008D61F2">
        <w:rPr>
          <w:sz w:val="26"/>
          <w:szCs w:val="26"/>
        </w:rPr>
        <w:t>.</w:t>
      </w:r>
      <w:r w:rsidR="00811BEF" w:rsidRPr="008D61F2">
        <w:rPr>
          <w:sz w:val="26"/>
          <w:szCs w:val="26"/>
        </w:rPr>
        <w:tab/>
        <w:t xml:space="preserve">That the </w:t>
      </w:r>
      <w:r w:rsidR="00811BEF">
        <w:rPr>
          <w:sz w:val="26"/>
          <w:szCs w:val="26"/>
        </w:rPr>
        <w:t>Formal Complaint filed by the Office of Consumer Advocate at Docket No. C-2018-3000574 is deemed satisfied and marked closed.</w:t>
      </w:r>
    </w:p>
    <w:p w:rsidR="00811BEF" w:rsidRDefault="00811BEF" w:rsidP="00844225">
      <w:pPr>
        <w:widowControl/>
        <w:tabs>
          <w:tab w:val="left" w:pos="-720"/>
        </w:tabs>
        <w:spacing w:line="360" w:lineRule="auto"/>
        <w:ind w:firstLine="1440"/>
        <w:rPr>
          <w:sz w:val="26"/>
          <w:szCs w:val="26"/>
        </w:rPr>
      </w:pPr>
    </w:p>
    <w:p w:rsidR="009C7D32" w:rsidRDefault="00811BEF" w:rsidP="00844225">
      <w:pPr>
        <w:widowControl/>
        <w:tabs>
          <w:tab w:val="left" w:pos="-720"/>
        </w:tabs>
        <w:spacing w:line="360" w:lineRule="auto"/>
        <w:ind w:firstLine="1440"/>
        <w:rPr>
          <w:sz w:val="26"/>
          <w:szCs w:val="26"/>
        </w:rPr>
      </w:pPr>
      <w:r>
        <w:rPr>
          <w:sz w:val="26"/>
          <w:szCs w:val="26"/>
        </w:rPr>
        <w:t>1</w:t>
      </w:r>
      <w:r w:rsidR="004906D6">
        <w:rPr>
          <w:sz w:val="26"/>
          <w:szCs w:val="26"/>
        </w:rPr>
        <w:t>1</w:t>
      </w:r>
      <w:r>
        <w:rPr>
          <w:sz w:val="26"/>
          <w:szCs w:val="26"/>
        </w:rPr>
        <w:t>.</w:t>
      </w:r>
      <w:r>
        <w:rPr>
          <w:sz w:val="26"/>
          <w:szCs w:val="26"/>
        </w:rPr>
        <w:tab/>
      </w:r>
      <w:r w:rsidR="009C7D32" w:rsidRPr="008D61F2">
        <w:rPr>
          <w:sz w:val="26"/>
          <w:szCs w:val="26"/>
        </w:rPr>
        <w:t xml:space="preserve">That the Formal Complaint filed by the Office of </w:t>
      </w:r>
      <w:r w:rsidR="00092B28">
        <w:rPr>
          <w:sz w:val="26"/>
          <w:szCs w:val="26"/>
        </w:rPr>
        <w:t>Small Business Advocate</w:t>
      </w:r>
      <w:r w:rsidR="00D94467">
        <w:rPr>
          <w:sz w:val="26"/>
          <w:szCs w:val="26"/>
        </w:rPr>
        <w:t xml:space="preserve"> at Docket No. C-2018-3000497 is deemed sat</w:t>
      </w:r>
      <w:r>
        <w:rPr>
          <w:sz w:val="26"/>
          <w:szCs w:val="26"/>
        </w:rPr>
        <w:t>isfied and marked closed.</w:t>
      </w:r>
    </w:p>
    <w:bookmarkEnd w:id="42"/>
    <w:p w:rsidR="009C7D32" w:rsidRDefault="009C7D32" w:rsidP="00844225">
      <w:pPr>
        <w:widowControl/>
        <w:spacing w:line="360" w:lineRule="auto"/>
        <w:ind w:firstLine="1440"/>
        <w:rPr>
          <w:sz w:val="26"/>
        </w:rPr>
      </w:pPr>
    </w:p>
    <w:p w:rsidR="00EE6B85" w:rsidRPr="00EE6B85" w:rsidRDefault="00824CB3" w:rsidP="00844225">
      <w:pPr>
        <w:widowControl/>
        <w:tabs>
          <w:tab w:val="left" w:pos="-720"/>
        </w:tabs>
        <w:spacing w:line="360" w:lineRule="auto"/>
        <w:ind w:firstLine="1440"/>
        <w:rPr>
          <w:sz w:val="26"/>
          <w:szCs w:val="26"/>
        </w:rPr>
      </w:pPr>
      <w:bookmarkStart w:id="43" w:name="_Hlk523915236"/>
      <w:r>
        <w:rPr>
          <w:sz w:val="26"/>
          <w:szCs w:val="26"/>
        </w:rPr>
        <w:t>1</w:t>
      </w:r>
      <w:r w:rsidR="004906D6">
        <w:rPr>
          <w:sz w:val="26"/>
          <w:szCs w:val="26"/>
        </w:rPr>
        <w:t>2</w:t>
      </w:r>
      <w:r w:rsidR="00EE6B85" w:rsidRPr="00EE6B85">
        <w:rPr>
          <w:sz w:val="26"/>
          <w:szCs w:val="26"/>
        </w:rPr>
        <w:t>.</w:t>
      </w:r>
      <w:r w:rsidR="00EE6B85" w:rsidRPr="00EE6B85">
        <w:rPr>
          <w:sz w:val="26"/>
          <w:szCs w:val="26"/>
        </w:rPr>
        <w:tab/>
        <w:t>That, concurrent with the submission of the information required by 52 Pa. Code § 53.64 (c) to be filed in advance of</w:t>
      </w:r>
      <w:r w:rsidR="00EE6B85">
        <w:rPr>
          <w:sz w:val="26"/>
          <w:szCs w:val="26"/>
        </w:rPr>
        <w:t xml:space="preserve"> Peoples Gas Company LLC</w:t>
      </w:r>
      <w:r w:rsidR="001A5BA1">
        <w:rPr>
          <w:sz w:val="26"/>
          <w:szCs w:val="26"/>
        </w:rPr>
        <w:t>’</w:t>
      </w:r>
      <w:r w:rsidR="00EE6B85">
        <w:rPr>
          <w:sz w:val="26"/>
          <w:szCs w:val="26"/>
        </w:rPr>
        <w:t xml:space="preserve">s next annual tariff filed </w:t>
      </w:r>
      <w:r w:rsidR="00EE6B85" w:rsidRPr="00EE6B85">
        <w:rPr>
          <w:sz w:val="26"/>
          <w:szCs w:val="26"/>
        </w:rPr>
        <w:t>pursuant to 66 Pa. C.S. § 1307(f),</w:t>
      </w:r>
      <w:r w:rsidR="00EE6B85">
        <w:rPr>
          <w:sz w:val="26"/>
          <w:szCs w:val="26"/>
        </w:rPr>
        <w:t xml:space="preserve"> Peoples Gas Company LLC, shall </w:t>
      </w:r>
      <w:r w:rsidR="00EE6B85">
        <w:rPr>
          <w:sz w:val="26"/>
          <w:szCs w:val="26"/>
        </w:rPr>
        <w:lastRenderedPageBreak/>
        <w:t xml:space="preserve">submit </w:t>
      </w:r>
      <w:r w:rsidR="00EE6B85" w:rsidRPr="0082135B">
        <w:rPr>
          <w:sz w:val="26"/>
          <w:szCs w:val="26"/>
        </w:rPr>
        <w:t>a cost allocation study, supported by either empirical evidence or compelling logic, to determine more accurately what portion of UFG costs should be recovered from conventional gas producers.</w:t>
      </w:r>
    </w:p>
    <w:bookmarkEnd w:id="43"/>
    <w:p w:rsidR="00EE6B85" w:rsidRDefault="00EE6B85" w:rsidP="00844225">
      <w:pPr>
        <w:widowControl/>
        <w:spacing w:line="360" w:lineRule="auto"/>
        <w:ind w:firstLine="1440"/>
        <w:rPr>
          <w:sz w:val="26"/>
        </w:rPr>
      </w:pPr>
    </w:p>
    <w:p w:rsidR="007847CB" w:rsidRDefault="00824CB3" w:rsidP="00A816BD">
      <w:pPr>
        <w:keepNext/>
        <w:keepLines/>
        <w:widowControl/>
        <w:spacing w:line="360" w:lineRule="auto"/>
        <w:ind w:firstLine="1440"/>
        <w:rPr>
          <w:sz w:val="26"/>
          <w:szCs w:val="26"/>
        </w:rPr>
      </w:pPr>
      <w:r>
        <w:rPr>
          <w:sz w:val="26"/>
          <w:szCs w:val="26"/>
        </w:rPr>
        <w:t>1</w:t>
      </w:r>
      <w:r w:rsidR="004906D6">
        <w:rPr>
          <w:sz w:val="26"/>
          <w:szCs w:val="26"/>
        </w:rPr>
        <w:t>3</w:t>
      </w:r>
      <w:r w:rsidR="009C7D32" w:rsidRPr="008D61F2">
        <w:rPr>
          <w:sz w:val="26"/>
          <w:szCs w:val="26"/>
        </w:rPr>
        <w:t>.</w:t>
      </w:r>
      <w:r w:rsidR="009C7D32" w:rsidRPr="008D61F2">
        <w:rPr>
          <w:sz w:val="26"/>
          <w:szCs w:val="26"/>
        </w:rPr>
        <w:tab/>
      </w:r>
      <w:r w:rsidR="00A53929">
        <w:rPr>
          <w:sz w:val="26"/>
          <w:szCs w:val="26"/>
        </w:rPr>
        <w:t>That</w:t>
      </w:r>
      <w:r w:rsidR="00A53859">
        <w:rPr>
          <w:sz w:val="26"/>
          <w:szCs w:val="26"/>
        </w:rPr>
        <w:t xml:space="preserve"> upon acceptance and approval by the Commission of the tariff supplement filed by Peoples Gas Company LLC, as being consistent with the Joint Petition for Partial Settlement,</w:t>
      </w:r>
      <w:r w:rsidR="00A53929">
        <w:rPr>
          <w:sz w:val="26"/>
          <w:szCs w:val="26"/>
        </w:rPr>
        <w:t xml:space="preserve"> the </w:t>
      </w:r>
      <w:r w:rsidR="00260273">
        <w:rPr>
          <w:sz w:val="26"/>
          <w:szCs w:val="26"/>
        </w:rPr>
        <w:t>proceeding at Docket No. R-2018-2645296</w:t>
      </w:r>
      <w:r w:rsidR="00A53859">
        <w:rPr>
          <w:sz w:val="26"/>
          <w:szCs w:val="26"/>
        </w:rPr>
        <w:t xml:space="preserve"> shall</w:t>
      </w:r>
      <w:r w:rsidR="00A53929">
        <w:rPr>
          <w:sz w:val="26"/>
          <w:szCs w:val="26"/>
        </w:rPr>
        <w:t xml:space="preserve"> be marked closed.</w:t>
      </w:r>
    </w:p>
    <w:p w:rsidR="00DF2A76" w:rsidRDefault="00DF2A76" w:rsidP="00A816BD">
      <w:pPr>
        <w:keepNext/>
        <w:keepLines/>
        <w:widowControl/>
        <w:spacing w:line="360" w:lineRule="auto"/>
        <w:ind w:firstLine="1440"/>
        <w:rPr>
          <w:sz w:val="26"/>
          <w:szCs w:val="26"/>
        </w:rPr>
      </w:pPr>
    </w:p>
    <w:p w:rsidR="0032727E" w:rsidRPr="0032727E" w:rsidRDefault="0032727E" w:rsidP="00844225">
      <w:pPr>
        <w:keepNext/>
        <w:widowControl/>
        <w:tabs>
          <w:tab w:val="left" w:pos="-720"/>
        </w:tabs>
        <w:ind w:firstLine="5040"/>
        <w:rPr>
          <w:sz w:val="26"/>
          <w:szCs w:val="26"/>
        </w:rPr>
      </w:pPr>
    </w:p>
    <w:p w:rsidR="008D61F2" w:rsidRDefault="004C0335" w:rsidP="00844225">
      <w:pPr>
        <w:keepNext/>
        <w:widowControl/>
        <w:tabs>
          <w:tab w:val="left" w:pos="-720"/>
        </w:tabs>
        <w:ind w:firstLine="5040"/>
        <w:rPr>
          <w:b/>
          <w:sz w:val="26"/>
          <w:szCs w:val="26"/>
        </w:rPr>
      </w:pPr>
      <w:r w:rsidRPr="009F01BA">
        <w:rPr>
          <w:b/>
          <w:noProof/>
        </w:rPr>
        <w:drawing>
          <wp:anchor distT="0" distB="0" distL="114300" distR="114300" simplePos="0" relativeHeight="251659264" behindDoc="1" locked="0" layoutInCell="1" allowOverlap="1" wp14:anchorId="5087A76F" wp14:editId="7F2F2908">
            <wp:simplePos x="0" y="0"/>
            <wp:positionH relativeFrom="column">
              <wp:posOffset>3000375</wp:posOffset>
            </wp:positionH>
            <wp:positionV relativeFrom="paragraph">
              <wp:posOffset>191770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8D61F2" w:rsidRPr="008D61F2">
        <w:rPr>
          <w:b/>
          <w:sz w:val="26"/>
          <w:szCs w:val="26"/>
        </w:rPr>
        <w:t>BY THE COMMISSION,</w:t>
      </w:r>
    </w:p>
    <w:p w:rsidR="00FF7E23" w:rsidRDefault="00FF7E23" w:rsidP="00844225">
      <w:pPr>
        <w:keepNext/>
        <w:widowControl/>
        <w:tabs>
          <w:tab w:val="left" w:pos="-720"/>
        </w:tabs>
        <w:ind w:firstLine="5040"/>
        <w:rPr>
          <w:sz w:val="26"/>
          <w:szCs w:val="26"/>
        </w:rPr>
      </w:pPr>
    </w:p>
    <w:p w:rsidR="00FF7E23" w:rsidRDefault="00FF7E23" w:rsidP="00844225">
      <w:pPr>
        <w:keepNext/>
        <w:widowControl/>
        <w:tabs>
          <w:tab w:val="left" w:pos="-720"/>
        </w:tabs>
        <w:ind w:firstLine="5040"/>
        <w:rPr>
          <w:sz w:val="26"/>
          <w:szCs w:val="26"/>
        </w:rPr>
      </w:pPr>
    </w:p>
    <w:p w:rsidR="00AD3E5D" w:rsidRDefault="00AD3E5D" w:rsidP="00844225">
      <w:pPr>
        <w:keepNext/>
        <w:widowControl/>
        <w:tabs>
          <w:tab w:val="left" w:pos="-720"/>
        </w:tabs>
        <w:ind w:firstLine="5040"/>
        <w:rPr>
          <w:sz w:val="26"/>
          <w:szCs w:val="26"/>
        </w:rPr>
      </w:pPr>
    </w:p>
    <w:p w:rsidR="00FF7E23" w:rsidRPr="00AA5E5E" w:rsidRDefault="00FF7E23" w:rsidP="00844225">
      <w:pPr>
        <w:keepNext/>
        <w:widowControl/>
        <w:tabs>
          <w:tab w:val="left" w:pos="-720"/>
        </w:tabs>
        <w:ind w:firstLine="5040"/>
        <w:rPr>
          <w:sz w:val="26"/>
          <w:szCs w:val="26"/>
        </w:rPr>
      </w:pPr>
    </w:p>
    <w:p w:rsidR="008D61F2" w:rsidRPr="008D61F2" w:rsidRDefault="008D61F2" w:rsidP="00844225">
      <w:pPr>
        <w:keepNext/>
        <w:widowControl/>
        <w:tabs>
          <w:tab w:val="left" w:pos="-720"/>
        </w:tabs>
        <w:ind w:firstLine="5040"/>
        <w:rPr>
          <w:b/>
          <w:sz w:val="26"/>
          <w:szCs w:val="26"/>
        </w:rPr>
      </w:pPr>
      <w:r w:rsidRPr="008D61F2">
        <w:rPr>
          <w:sz w:val="26"/>
          <w:szCs w:val="26"/>
        </w:rPr>
        <w:t>Rosemary Chiavetta</w:t>
      </w:r>
    </w:p>
    <w:p w:rsidR="008D61F2" w:rsidRPr="008D61F2" w:rsidRDefault="008D61F2" w:rsidP="00844225">
      <w:pPr>
        <w:keepNext/>
        <w:widowControl/>
        <w:tabs>
          <w:tab w:val="left" w:pos="-720"/>
        </w:tabs>
        <w:ind w:firstLine="5040"/>
        <w:rPr>
          <w:sz w:val="26"/>
          <w:szCs w:val="26"/>
        </w:rPr>
      </w:pPr>
      <w:r w:rsidRPr="008D61F2">
        <w:rPr>
          <w:sz w:val="26"/>
          <w:szCs w:val="26"/>
        </w:rPr>
        <w:t>Secretary</w:t>
      </w:r>
    </w:p>
    <w:p w:rsidR="008D61F2" w:rsidRPr="008D61F2" w:rsidRDefault="008D61F2" w:rsidP="00844225">
      <w:pPr>
        <w:keepNext/>
        <w:widowControl/>
        <w:tabs>
          <w:tab w:val="left" w:pos="-720"/>
        </w:tabs>
        <w:rPr>
          <w:sz w:val="26"/>
          <w:szCs w:val="26"/>
        </w:rPr>
      </w:pPr>
    </w:p>
    <w:p w:rsidR="008D61F2" w:rsidRPr="008D61F2" w:rsidRDefault="008D61F2" w:rsidP="00844225">
      <w:pPr>
        <w:keepNext/>
        <w:widowControl/>
        <w:tabs>
          <w:tab w:val="left" w:pos="-720"/>
        </w:tabs>
        <w:rPr>
          <w:sz w:val="26"/>
          <w:szCs w:val="26"/>
        </w:rPr>
      </w:pPr>
      <w:r w:rsidRPr="008D61F2">
        <w:rPr>
          <w:sz w:val="26"/>
          <w:szCs w:val="26"/>
        </w:rPr>
        <w:t>(SEAL)</w:t>
      </w:r>
    </w:p>
    <w:p w:rsidR="008D61F2" w:rsidRPr="008D61F2" w:rsidRDefault="008D61F2" w:rsidP="00844225">
      <w:pPr>
        <w:keepNext/>
        <w:widowControl/>
        <w:tabs>
          <w:tab w:val="left" w:pos="-720"/>
        </w:tabs>
        <w:rPr>
          <w:sz w:val="26"/>
          <w:szCs w:val="26"/>
        </w:rPr>
      </w:pPr>
    </w:p>
    <w:p w:rsidR="008D61F2" w:rsidRPr="008D61F2" w:rsidRDefault="008D61F2" w:rsidP="00844225">
      <w:pPr>
        <w:keepNext/>
        <w:widowControl/>
        <w:tabs>
          <w:tab w:val="left" w:pos="-720"/>
        </w:tabs>
        <w:rPr>
          <w:sz w:val="26"/>
          <w:szCs w:val="26"/>
        </w:rPr>
      </w:pPr>
      <w:r w:rsidRPr="008D61F2">
        <w:rPr>
          <w:sz w:val="26"/>
          <w:szCs w:val="26"/>
        </w:rPr>
        <w:t xml:space="preserve">ORDER ADOPTED: </w:t>
      </w:r>
      <w:r w:rsidR="00FE02C7">
        <w:rPr>
          <w:sz w:val="26"/>
          <w:szCs w:val="26"/>
        </w:rPr>
        <w:t xml:space="preserve"> September 20</w:t>
      </w:r>
      <w:r w:rsidR="00F41A2A">
        <w:rPr>
          <w:sz w:val="26"/>
          <w:szCs w:val="26"/>
        </w:rPr>
        <w:t>,</w:t>
      </w:r>
      <w:r w:rsidR="006503DC">
        <w:rPr>
          <w:sz w:val="26"/>
          <w:szCs w:val="26"/>
        </w:rPr>
        <w:t xml:space="preserve"> 2018</w:t>
      </w:r>
    </w:p>
    <w:p w:rsidR="008D61F2" w:rsidRPr="008D61F2" w:rsidRDefault="008D61F2" w:rsidP="00844225">
      <w:pPr>
        <w:keepNext/>
        <w:widowControl/>
        <w:tabs>
          <w:tab w:val="left" w:pos="-720"/>
        </w:tabs>
        <w:rPr>
          <w:sz w:val="26"/>
          <w:szCs w:val="26"/>
        </w:rPr>
      </w:pPr>
    </w:p>
    <w:p w:rsidR="008D61F2" w:rsidRPr="003D1E07" w:rsidRDefault="008D61F2" w:rsidP="00844225">
      <w:pPr>
        <w:keepNext/>
        <w:widowControl/>
        <w:tabs>
          <w:tab w:val="left" w:pos="-720"/>
        </w:tabs>
        <w:rPr>
          <w:sz w:val="26"/>
          <w:szCs w:val="26"/>
        </w:rPr>
      </w:pPr>
      <w:r w:rsidRPr="008D61F2">
        <w:rPr>
          <w:sz w:val="26"/>
          <w:szCs w:val="26"/>
        </w:rPr>
        <w:t>ORDER ENTERED:</w:t>
      </w:r>
      <w:r w:rsidR="00FF7E23">
        <w:rPr>
          <w:sz w:val="26"/>
          <w:szCs w:val="26"/>
        </w:rPr>
        <w:t xml:space="preserve">  </w:t>
      </w:r>
      <w:r w:rsidR="004C0335">
        <w:rPr>
          <w:sz w:val="26"/>
          <w:szCs w:val="26"/>
        </w:rPr>
        <w:t>September 20, 2018</w:t>
      </w:r>
    </w:p>
    <w:sectPr w:rsidR="008D61F2" w:rsidRPr="003D1E07" w:rsidSect="00E11EC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FCA" w:rsidRDefault="00332FCA" w:rsidP="00F7174B">
      <w:r>
        <w:separator/>
      </w:r>
    </w:p>
    <w:p w:rsidR="00332FCA" w:rsidRDefault="00332FCA"/>
    <w:p w:rsidR="00332FCA" w:rsidRDefault="00332FCA" w:rsidP="00E459D9"/>
  </w:endnote>
  <w:endnote w:type="continuationSeparator" w:id="0">
    <w:p w:rsidR="00332FCA" w:rsidRDefault="00332FCA" w:rsidP="00F7174B">
      <w:r>
        <w:continuationSeparator/>
      </w:r>
    </w:p>
    <w:p w:rsidR="00332FCA" w:rsidRDefault="00332FCA"/>
    <w:p w:rsidR="00332FCA" w:rsidRDefault="00332FCA" w:rsidP="00E45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2671290"/>
      <w:docPartObj>
        <w:docPartGallery w:val="Page Numbers (Bottom of Page)"/>
        <w:docPartUnique/>
      </w:docPartObj>
    </w:sdtPr>
    <w:sdtEndPr>
      <w:rPr>
        <w:noProof/>
        <w:sz w:val="24"/>
      </w:rPr>
    </w:sdtEndPr>
    <w:sdtContent>
      <w:p w:rsidR="00A216B0" w:rsidRPr="000D36C8" w:rsidRDefault="00A216B0" w:rsidP="00643850">
        <w:pPr>
          <w:pStyle w:val="Footer"/>
          <w:jc w:val="center"/>
          <w:rPr>
            <w:sz w:val="24"/>
          </w:rPr>
        </w:pPr>
        <w:r w:rsidRPr="000D36C8">
          <w:rPr>
            <w:sz w:val="24"/>
          </w:rPr>
          <w:fldChar w:fldCharType="begin"/>
        </w:r>
        <w:r w:rsidRPr="000D36C8">
          <w:rPr>
            <w:sz w:val="24"/>
          </w:rPr>
          <w:instrText xml:space="preserve"> PAGE   \* MERGEFORMAT </w:instrText>
        </w:r>
        <w:r w:rsidRPr="000D36C8">
          <w:rPr>
            <w:sz w:val="24"/>
          </w:rPr>
          <w:fldChar w:fldCharType="separate"/>
        </w:r>
        <w:r>
          <w:rPr>
            <w:noProof/>
            <w:sz w:val="24"/>
          </w:rPr>
          <w:t>61</w:t>
        </w:r>
        <w:r w:rsidRPr="000D36C8">
          <w:rPr>
            <w:noProof/>
            <w:sz w:val="24"/>
          </w:rPr>
          <w:fldChar w:fldCharType="end"/>
        </w:r>
      </w:p>
    </w:sdtContent>
  </w:sdt>
  <w:p w:rsidR="00A216B0" w:rsidRPr="009F1A08" w:rsidRDefault="00A216B0" w:rsidP="00356313">
    <w:pPr>
      <w:pStyle w:val="Footer"/>
      <w:tabs>
        <w:tab w:val="left" w:pos="5295"/>
      </w:tabs>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FCA" w:rsidRDefault="00332FCA" w:rsidP="003C6652">
      <w:r>
        <w:separator/>
      </w:r>
    </w:p>
  </w:footnote>
  <w:footnote w:type="continuationSeparator" w:id="0">
    <w:p w:rsidR="00332FCA" w:rsidRDefault="00332FCA" w:rsidP="00F7174B">
      <w:r>
        <w:continuationSeparator/>
      </w:r>
    </w:p>
    <w:p w:rsidR="00332FCA" w:rsidRDefault="00332FCA"/>
    <w:p w:rsidR="00332FCA" w:rsidRDefault="00332FCA" w:rsidP="00E459D9"/>
  </w:footnote>
  <w:footnote w:id="1">
    <w:p w:rsidR="00A216B0" w:rsidRPr="002A61E2" w:rsidRDefault="00A216B0" w:rsidP="004B07B8">
      <w:pPr>
        <w:pStyle w:val="FootnoteText"/>
        <w:keepNext/>
        <w:keepLines/>
        <w:widowControl/>
        <w:spacing w:after="120"/>
        <w:ind w:firstLine="720"/>
        <w:rPr>
          <w:sz w:val="26"/>
          <w:szCs w:val="26"/>
        </w:rPr>
      </w:pPr>
      <w:r w:rsidRPr="00F22D41">
        <w:rPr>
          <w:rStyle w:val="FootnoteReference"/>
          <w:sz w:val="26"/>
          <w:szCs w:val="26"/>
        </w:rPr>
        <w:footnoteRef/>
      </w:r>
      <w:r>
        <w:rPr>
          <w:sz w:val="26"/>
          <w:szCs w:val="26"/>
        </w:rPr>
        <w:tab/>
      </w:r>
      <w:r w:rsidRPr="00F22D41">
        <w:rPr>
          <w:sz w:val="26"/>
          <w:szCs w:val="26"/>
        </w:rPr>
        <w:t xml:space="preserve">PIOGA and </w:t>
      </w:r>
      <w:r>
        <w:rPr>
          <w:sz w:val="26"/>
          <w:szCs w:val="26"/>
        </w:rPr>
        <w:t>Direct Energy</w:t>
      </w:r>
      <w:r w:rsidRPr="00F22D41">
        <w:rPr>
          <w:sz w:val="26"/>
          <w:szCs w:val="26"/>
        </w:rPr>
        <w:t xml:space="preserve"> have indicated that </w:t>
      </w:r>
      <w:r>
        <w:rPr>
          <w:sz w:val="26"/>
          <w:szCs w:val="26"/>
        </w:rPr>
        <w:t>although</w:t>
      </w:r>
      <w:r w:rsidRPr="00F22D41">
        <w:rPr>
          <w:sz w:val="26"/>
          <w:szCs w:val="26"/>
        </w:rPr>
        <w:t xml:space="preserve"> they are not a party to the Partial Settlement, they do not oppose the Partial Settlement.  PIOGA notes that it does object to the Proposed Findings of Fact, </w:t>
      </w:r>
      <w:r>
        <w:rPr>
          <w:sz w:val="26"/>
          <w:szCs w:val="26"/>
        </w:rPr>
        <w:t xml:space="preserve">and the Standards, </w:t>
      </w:r>
      <w:r w:rsidRPr="00F22D41">
        <w:rPr>
          <w:sz w:val="26"/>
          <w:szCs w:val="26"/>
        </w:rPr>
        <w:t xml:space="preserve">Findings and Proposed Conclusions of Law </w:t>
      </w:r>
      <w:r>
        <w:rPr>
          <w:sz w:val="26"/>
          <w:szCs w:val="26"/>
        </w:rPr>
        <w:t xml:space="preserve">contained in the Partial Settlement </w:t>
      </w:r>
      <w:r w:rsidRPr="00F22D41">
        <w:rPr>
          <w:sz w:val="26"/>
          <w:szCs w:val="26"/>
        </w:rPr>
        <w:t xml:space="preserve">to the extent that they are consistent with or </w:t>
      </w:r>
      <w:r>
        <w:rPr>
          <w:sz w:val="26"/>
          <w:szCs w:val="26"/>
        </w:rPr>
        <w:t xml:space="preserve">do not </w:t>
      </w:r>
      <w:r w:rsidRPr="00F22D41">
        <w:rPr>
          <w:sz w:val="26"/>
          <w:szCs w:val="26"/>
        </w:rPr>
        <w:t>conflict with PIOGA</w:t>
      </w:r>
      <w:r>
        <w:rPr>
          <w:sz w:val="26"/>
          <w:szCs w:val="26"/>
        </w:rPr>
        <w:t>’</w:t>
      </w:r>
      <w:r w:rsidRPr="00F22D41">
        <w:rPr>
          <w:sz w:val="26"/>
          <w:szCs w:val="26"/>
        </w:rPr>
        <w:t xml:space="preserve">s positions on the </w:t>
      </w:r>
      <w:r w:rsidRPr="002A61E2">
        <w:rPr>
          <w:sz w:val="26"/>
          <w:szCs w:val="26"/>
        </w:rPr>
        <w:t>contested producer retainage issues.</w:t>
      </w:r>
    </w:p>
  </w:footnote>
  <w:footnote w:id="2">
    <w:p w:rsidR="00A216B0" w:rsidRDefault="00A216B0" w:rsidP="004B07B8">
      <w:pPr>
        <w:pStyle w:val="FootnoteText"/>
        <w:keepNext/>
        <w:keepLines/>
        <w:widowControl/>
        <w:spacing w:after="120"/>
        <w:ind w:firstLine="720"/>
      </w:pPr>
      <w:r w:rsidRPr="002A61E2">
        <w:rPr>
          <w:rStyle w:val="FootnoteReference"/>
          <w:sz w:val="26"/>
          <w:szCs w:val="26"/>
        </w:rPr>
        <w:footnoteRef/>
      </w:r>
      <w:r>
        <w:rPr>
          <w:sz w:val="26"/>
          <w:szCs w:val="26"/>
        </w:rPr>
        <w:tab/>
        <w:t>By Secretarial Letter dated July 25, 2018, the</w:t>
      </w:r>
      <w:r w:rsidRPr="002A61E2">
        <w:rPr>
          <w:sz w:val="26"/>
          <w:szCs w:val="26"/>
        </w:rPr>
        <w:t xml:space="preserve"> deadlines for </w:t>
      </w:r>
      <w:r>
        <w:rPr>
          <w:sz w:val="26"/>
          <w:szCs w:val="26"/>
        </w:rPr>
        <w:t xml:space="preserve">filing </w:t>
      </w:r>
      <w:r w:rsidRPr="002A61E2">
        <w:rPr>
          <w:sz w:val="26"/>
          <w:szCs w:val="26"/>
        </w:rPr>
        <w:t>Exceptions and Reply Exceptions</w:t>
      </w:r>
      <w:r>
        <w:rPr>
          <w:sz w:val="26"/>
          <w:szCs w:val="26"/>
        </w:rPr>
        <w:t xml:space="preserve"> were shortened.  However, the deadlines were </w:t>
      </w:r>
      <w:r w:rsidRPr="002A61E2">
        <w:rPr>
          <w:sz w:val="26"/>
          <w:szCs w:val="26"/>
        </w:rPr>
        <w:t xml:space="preserve">later extended by agreement of the </w:t>
      </w:r>
      <w:r>
        <w:rPr>
          <w:sz w:val="26"/>
          <w:szCs w:val="26"/>
        </w:rPr>
        <w:t>P</w:t>
      </w:r>
      <w:r w:rsidRPr="002A61E2">
        <w:rPr>
          <w:sz w:val="26"/>
          <w:szCs w:val="26"/>
        </w:rPr>
        <w:t>arties and the Commission</w:t>
      </w:r>
      <w:r>
        <w:rPr>
          <w:sz w:val="26"/>
          <w:szCs w:val="26"/>
        </w:rPr>
        <w:t>’</w:t>
      </w:r>
      <w:r w:rsidRPr="002A61E2">
        <w:rPr>
          <w:sz w:val="26"/>
          <w:szCs w:val="26"/>
        </w:rPr>
        <w:t xml:space="preserve">s Office of Special Assistants </w:t>
      </w:r>
      <w:r>
        <w:rPr>
          <w:sz w:val="26"/>
          <w:szCs w:val="26"/>
        </w:rPr>
        <w:t xml:space="preserve">(OSA) </w:t>
      </w:r>
      <w:r w:rsidRPr="002A61E2">
        <w:rPr>
          <w:sz w:val="26"/>
          <w:szCs w:val="26"/>
        </w:rPr>
        <w:t>to August 2, 2018</w:t>
      </w:r>
      <w:r>
        <w:rPr>
          <w:sz w:val="26"/>
          <w:szCs w:val="26"/>
        </w:rPr>
        <w:t>,</w:t>
      </w:r>
      <w:r w:rsidRPr="002A61E2">
        <w:rPr>
          <w:sz w:val="26"/>
          <w:szCs w:val="26"/>
        </w:rPr>
        <w:t xml:space="preserve"> a</w:t>
      </w:r>
      <w:r>
        <w:rPr>
          <w:sz w:val="26"/>
          <w:szCs w:val="26"/>
        </w:rPr>
        <w:t>nd August 8, 2018, respectively.  On August 2, 2018, PIOGA notified the Parties and OSA that it was experiencing computer problems and would not be able to timely file its Exceptions.  However, PIOGA indicated that its arguments would be substantially similar to its timely filed Exceptions contained in the companion PGC proceeding for Peoples Natural Gas’ Peoples and Peoples-Equitable Divisions at Docket Nos. R-2018-2645278 and R-2018-3000236.  None of the Parties took issue with PIOGA’s Exceptions filed on August 3, 2018.  Furthermore, we do not find that any Party will be prejudiced by allowing PIOGA’s untimely filed Exceptions.  Pursuant to 52 Pa. Code § 1.2(a), we shall accept PIOGA’s Exceptions as being timely filed.</w:t>
      </w:r>
    </w:p>
  </w:footnote>
  <w:footnote w:id="3">
    <w:p w:rsidR="00A216B0" w:rsidRPr="005E5C1D" w:rsidRDefault="00A216B0" w:rsidP="004B07B8">
      <w:pPr>
        <w:pStyle w:val="FootnoteText"/>
        <w:keepNext/>
        <w:keepLines/>
        <w:widowControl/>
        <w:spacing w:after="120"/>
        <w:ind w:firstLine="720"/>
        <w:rPr>
          <w:sz w:val="26"/>
          <w:szCs w:val="26"/>
        </w:rPr>
      </w:pPr>
      <w:r w:rsidRPr="005E5C1D">
        <w:rPr>
          <w:rStyle w:val="FootnoteReference"/>
          <w:sz w:val="26"/>
          <w:szCs w:val="26"/>
        </w:rPr>
        <w:footnoteRef/>
      </w:r>
      <w:r>
        <w:rPr>
          <w:sz w:val="26"/>
          <w:szCs w:val="26"/>
        </w:rPr>
        <w:tab/>
        <w:t>Peoples Gas n</w:t>
      </w:r>
      <w:r w:rsidRPr="005E5C1D">
        <w:rPr>
          <w:sz w:val="26"/>
          <w:szCs w:val="26"/>
        </w:rPr>
        <w:t>et billing rate effective January 1, 2018.</w:t>
      </w:r>
    </w:p>
  </w:footnote>
  <w:footnote w:id="4">
    <w:p w:rsidR="00A216B0" w:rsidRPr="00423124" w:rsidRDefault="00A216B0">
      <w:pPr>
        <w:pStyle w:val="FootnoteText"/>
        <w:rPr>
          <w:sz w:val="26"/>
          <w:szCs w:val="26"/>
        </w:rPr>
      </w:pPr>
      <w:r w:rsidRPr="00423124">
        <w:rPr>
          <w:sz w:val="26"/>
          <w:szCs w:val="26"/>
        </w:rPr>
        <w:tab/>
      </w:r>
      <w:r w:rsidRPr="00423124">
        <w:rPr>
          <w:rStyle w:val="FootnoteReference"/>
          <w:sz w:val="26"/>
          <w:szCs w:val="26"/>
        </w:rPr>
        <w:footnoteRef/>
      </w:r>
      <w:r w:rsidRPr="00423124">
        <w:rPr>
          <w:sz w:val="26"/>
          <w:szCs w:val="26"/>
        </w:rPr>
        <w:tab/>
        <w:t xml:space="preserve">As discussed, </w:t>
      </w:r>
      <w:r w:rsidRPr="00423124">
        <w:rPr>
          <w:i/>
          <w:sz w:val="26"/>
          <w:szCs w:val="26"/>
        </w:rPr>
        <w:t>infra</w:t>
      </w:r>
      <w:r w:rsidRPr="00423124">
        <w:rPr>
          <w:sz w:val="26"/>
          <w:szCs w:val="26"/>
        </w:rPr>
        <w:t>, the one contested issue in this proceeding is the Company’s proposal to begin assessing producers a retainage charge of 2.9%.</w:t>
      </w:r>
    </w:p>
  </w:footnote>
  <w:footnote w:id="5">
    <w:p w:rsidR="00A216B0" w:rsidRPr="00B74E5A" w:rsidRDefault="00A216B0" w:rsidP="004B07B8">
      <w:pPr>
        <w:pStyle w:val="FootnoteText"/>
        <w:keepNext/>
        <w:keepLines/>
        <w:widowControl/>
        <w:spacing w:after="120"/>
        <w:ind w:firstLine="720"/>
        <w:rPr>
          <w:sz w:val="26"/>
          <w:szCs w:val="26"/>
        </w:rPr>
      </w:pPr>
      <w:r w:rsidRPr="00B74E5A">
        <w:rPr>
          <w:rStyle w:val="FootnoteReference"/>
          <w:sz w:val="26"/>
          <w:szCs w:val="26"/>
        </w:rPr>
        <w:footnoteRef/>
      </w:r>
      <w:r>
        <w:rPr>
          <w:sz w:val="26"/>
          <w:szCs w:val="26"/>
        </w:rPr>
        <w:tab/>
      </w:r>
      <w:r w:rsidRPr="00B74E5A">
        <w:rPr>
          <w:sz w:val="26"/>
          <w:szCs w:val="26"/>
        </w:rPr>
        <w:t>It is noted in the Joint Petition that, regarding the eight-month interim period and the twelve-month projected period, it is expressly understood and agreed that this finding is made solely for the purpose of setting prospective rates that shall continue to be subject to the standards of Sec</w:t>
      </w:r>
      <w:r>
        <w:rPr>
          <w:sz w:val="26"/>
          <w:szCs w:val="26"/>
        </w:rPr>
        <w:t xml:space="preserve">tion 1318 of the </w:t>
      </w:r>
      <w:r w:rsidRPr="00B74E5A">
        <w:rPr>
          <w:sz w:val="26"/>
          <w:szCs w:val="26"/>
        </w:rPr>
        <w:t>Code, 66 Pa. C.S. § 1318, and to further review in an appropriate future proceeding.  Joint Petition at 15.</w:t>
      </w:r>
    </w:p>
  </w:footnote>
  <w:footnote w:id="6">
    <w:p w:rsidR="00A216B0" w:rsidRPr="007F545B" w:rsidRDefault="00A216B0" w:rsidP="004B07B8">
      <w:pPr>
        <w:pStyle w:val="FootnoteText"/>
        <w:keepNext/>
        <w:keepLines/>
        <w:widowControl/>
        <w:spacing w:after="120"/>
        <w:ind w:firstLine="720"/>
        <w:rPr>
          <w:sz w:val="26"/>
          <w:szCs w:val="26"/>
        </w:rPr>
      </w:pPr>
      <w:r w:rsidRPr="007F545B">
        <w:rPr>
          <w:rStyle w:val="FootnoteReference"/>
          <w:sz w:val="26"/>
          <w:szCs w:val="26"/>
        </w:rPr>
        <w:footnoteRef/>
      </w:r>
      <w:r>
        <w:rPr>
          <w:sz w:val="26"/>
          <w:szCs w:val="26"/>
        </w:rPr>
        <w:tab/>
      </w:r>
      <w:r w:rsidRPr="007F545B">
        <w:rPr>
          <w:sz w:val="26"/>
          <w:szCs w:val="26"/>
        </w:rPr>
        <w:t>The terms of the Joint Petition are presented with the original paragraph numbering.</w:t>
      </w:r>
    </w:p>
  </w:footnote>
  <w:footnote w:id="7">
    <w:p w:rsidR="00A216B0" w:rsidRPr="007B5237" w:rsidRDefault="00A216B0" w:rsidP="004B07B8">
      <w:pPr>
        <w:pStyle w:val="FootnoteText"/>
        <w:keepNext/>
        <w:keepLines/>
        <w:widowControl/>
        <w:spacing w:after="120"/>
        <w:ind w:firstLine="720"/>
        <w:rPr>
          <w:sz w:val="26"/>
          <w:szCs w:val="26"/>
        </w:rPr>
      </w:pPr>
      <w:r w:rsidRPr="007B5237">
        <w:rPr>
          <w:rStyle w:val="FootnoteReference"/>
          <w:sz w:val="26"/>
          <w:szCs w:val="26"/>
        </w:rPr>
        <w:footnoteRef/>
      </w:r>
      <w:r>
        <w:rPr>
          <w:sz w:val="26"/>
          <w:szCs w:val="26"/>
        </w:rPr>
        <w:tab/>
      </w:r>
      <w:r w:rsidRPr="007B5237">
        <w:rPr>
          <w:sz w:val="26"/>
          <w:szCs w:val="26"/>
        </w:rPr>
        <w:t>Peoples Gas reported a distribution system UFG of 2.47% and a gathering system UFG of 9.5% for the twelve months ending August 31, 2017.</w:t>
      </w:r>
    </w:p>
  </w:footnote>
  <w:footnote w:id="8">
    <w:p w:rsidR="00A216B0" w:rsidRPr="009D5285" w:rsidRDefault="00A216B0" w:rsidP="004B07B8">
      <w:pPr>
        <w:pStyle w:val="FootnoteText"/>
        <w:keepNext/>
        <w:keepLines/>
        <w:widowControl/>
        <w:spacing w:after="120"/>
        <w:ind w:firstLine="720"/>
        <w:rPr>
          <w:sz w:val="26"/>
          <w:szCs w:val="26"/>
        </w:rPr>
      </w:pPr>
      <w:r w:rsidRPr="009D5285">
        <w:rPr>
          <w:rStyle w:val="FootnoteReference"/>
          <w:sz w:val="26"/>
          <w:szCs w:val="26"/>
        </w:rPr>
        <w:footnoteRef/>
      </w:r>
      <w:r>
        <w:rPr>
          <w:sz w:val="26"/>
          <w:szCs w:val="26"/>
        </w:rPr>
        <w:tab/>
        <w:t>As noted, t</w:t>
      </w:r>
      <w:r w:rsidRPr="009D5285">
        <w:rPr>
          <w:sz w:val="26"/>
          <w:szCs w:val="26"/>
        </w:rPr>
        <w:t>h</w:t>
      </w:r>
      <w:r>
        <w:rPr>
          <w:sz w:val="26"/>
          <w:szCs w:val="26"/>
        </w:rPr>
        <w:t xml:space="preserve">is is the </w:t>
      </w:r>
      <w:r w:rsidRPr="009D5285">
        <w:rPr>
          <w:sz w:val="26"/>
          <w:szCs w:val="26"/>
        </w:rPr>
        <w:t xml:space="preserve">one contested </w:t>
      </w:r>
      <w:r>
        <w:rPr>
          <w:sz w:val="26"/>
          <w:szCs w:val="26"/>
        </w:rPr>
        <w:t xml:space="preserve">Company-proposed </w:t>
      </w:r>
      <w:r w:rsidRPr="009D5285">
        <w:rPr>
          <w:sz w:val="26"/>
          <w:szCs w:val="26"/>
        </w:rPr>
        <w:t>issue remaining in this proceeding</w:t>
      </w:r>
      <w:r>
        <w:rPr>
          <w:sz w:val="26"/>
          <w:szCs w:val="26"/>
        </w:rPr>
        <w:t xml:space="preserve"> for which the Company proposes </w:t>
      </w:r>
      <w:r w:rsidRPr="009D5285">
        <w:rPr>
          <w:sz w:val="26"/>
          <w:szCs w:val="26"/>
        </w:rPr>
        <w:t>to begin assessing producers a retainage charge of 2.9%.</w:t>
      </w:r>
    </w:p>
  </w:footnote>
  <w:footnote w:id="9">
    <w:p w:rsidR="00A216B0" w:rsidRPr="009D5285" w:rsidRDefault="00A216B0" w:rsidP="004B07B8">
      <w:pPr>
        <w:pStyle w:val="FootnoteText"/>
        <w:keepNext/>
        <w:keepLines/>
        <w:widowControl/>
        <w:spacing w:after="120"/>
        <w:ind w:firstLine="720"/>
        <w:rPr>
          <w:sz w:val="26"/>
          <w:szCs w:val="26"/>
        </w:rPr>
      </w:pPr>
      <w:r w:rsidRPr="009D5285">
        <w:rPr>
          <w:rStyle w:val="FootnoteReference"/>
          <w:sz w:val="26"/>
          <w:szCs w:val="26"/>
        </w:rPr>
        <w:footnoteRef/>
      </w:r>
      <w:r>
        <w:rPr>
          <w:sz w:val="26"/>
          <w:szCs w:val="26"/>
        </w:rPr>
        <w:tab/>
      </w:r>
      <w:r w:rsidRPr="009D5285">
        <w:rPr>
          <w:sz w:val="26"/>
          <w:szCs w:val="26"/>
        </w:rPr>
        <w:t xml:space="preserve">Peoples Gas proposed a retainage charge of 5.4% for those </w:t>
      </w:r>
      <w:r>
        <w:rPr>
          <w:sz w:val="26"/>
          <w:szCs w:val="26"/>
        </w:rPr>
        <w:t xml:space="preserve">transportation </w:t>
      </w:r>
      <w:r w:rsidRPr="009D5285">
        <w:rPr>
          <w:sz w:val="26"/>
          <w:szCs w:val="26"/>
        </w:rPr>
        <w:t>customers that have not been granted a discounted retainage rate.  Peoples Gas Exh. No.</w:t>
      </w:r>
      <w:r>
        <w:rPr>
          <w:sz w:val="26"/>
          <w:szCs w:val="26"/>
        </w:rPr>
        <w:t> </w:t>
      </w:r>
      <w:r w:rsidRPr="009D5285">
        <w:rPr>
          <w:sz w:val="26"/>
          <w:szCs w:val="26"/>
        </w:rPr>
        <w:t>5.</w:t>
      </w:r>
    </w:p>
  </w:footnote>
  <w:footnote w:id="10">
    <w:p w:rsidR="00A216B0" w:rsidRPr="001843FC" w:rsidRDefault="00A216B0" w:rsidP="004B07B8">
      <w:pPr>
        <w:pStyle w:val="FootnoteText"/>
        <w:keepNext/>
        <w:keepLines/>
        <w:widowControl/>
        <w:spacing w:after="120"/>
        <w:ind w:firstLine="720"/>
        <w:rPr>
          <w:sz w:val="26"/>
          <w:szCs w:val="26"/>
        </w:rPr>
      </w:pPr>
      <w:r w:rsidRPr="001843FC">
        <w:rPr>
          <w:rStyle w:val="FootnoteReference"/>
          <w:sz w:val="26"/>
          <w:szCs w:val="26"/>
        </w:rPr>
        <w:footnoteRef/>
      </w:r>
      <w:r>
        <w:rPr>
          <w:sz w:val="26"/>
          <w:szCs w:val="26"/>
        </w:rPr>
        <w:tab/>
      </w:r>
      <w:r w:rsidRPr="001843FC">
        <w:rPr>
          <w:sz w:val="26"/>
          <w:szCs w:val="26"/>
        </w:rPr>
        <w:t>The Company is authorized by its tariff to discount retainage for customers when certain competitive circumstances exist.  Peoples Gas St. No. 3 at 4.</w:t>
      </w:r>
    </w:p>
  </w:footnote>
  <w:footnote w:id="11">
    <w:p w:rsidR="00A216B0" w:rsidRPr="00522F9C" w:rsidRDefault="00A216B0" w:rsidP="004B07B8">
      <w:pPr>
        <w:pStyle w:val="FootnoteText"/>
        <w:keepNext/>
        <w:keepLines/>
        <w:widowControl/>
        <w:spacing w:after="120"/>
        <w:ind w:firstLine="720"/>
        <w:rPr>
          <w:sz w:val="26"/>
          <w:szCs w:val="26"/>
        </w:rPr>
      </w:pPr>
      <w:r w:rsidRPr="00522F9C">
        <w:rPr>
          <w:rStyle w:val="FootnoteReference"/>
          <w:sz w:val="26"/>
          <w:szCs w:val="26"/>
        </w:rPr>
        <w:footnoteRef/>
      </w:r>
      <w:r>
        <w:rPr>
          <w:sz w:val="26"/>
          <w:szCs w:val="26"/>
        </w:rPr>
        <w:tab/>
      </w:r>
      <w:r w:rsidRPr="00522F9C">
        <w:rPr>
          <w:sz w:val="26"/>
          <w:szCs w:val="26"/>
        </w:rPr>
        <w:t>Because Peoples Gas</w:t>
      </w:r>
      <w:r>
        <w:rPr>
          <w:sz w:val="26"/>
          <w:szCs w:val="26"/>
        </w:rPr>
        <w:t>’</w:t>
      </w:r>
      <w:r w:rsidRPr="00522F9C">
        <w:rPr>
          <w:sz w:val="26"/>
          <w:szCs w:val="26"/>
        </w:rPr>
        <w:t xml:space="preserve"> sister company, Peoples Natural Gas Company LLC, and its Peoples and Equitable Divisions sponsored the same UFG Mitigation Plan Exhibit </w:t>
      </w:r>
      <w:r>
        <w:rPr>
          <w:sz w:val="26"/>
          <w:szCs w:val="26"/>
        </w:rPr>
        <w:t xml:space="preserve">in their respective proceedings </w:t>
      </w:r>
      <w:r w:rsidRPr="00522F9C">
        <w:rPr>
          <w:sz w:val="26"/>
          <w:szCs w:val="26"/>
        </w:rPr>
        <w:t>(</w:t>
      </w:r>
      <w:r>
        <w:rPr>
          <w:sz w:val="26"/>
          <w:szCs w:val="26"/>
        </w:rPr>
        <w:t xml:space="preserve">Peoples Gas </w:t>
      </w:r>
      <w:r w:rsidRPr="00522F9C">
        <w:rPr>
          <w:sz w:val="26"/>
          <w:szCs w:val="26"/>
        </w:rPr>
        <w:t xml:space="preserve">Exh. No. 2, </w:t>
      </w:r>
      <w:r>
        <w:rPr>
          <w:sz w:val="26"/>
          <w:szCs w:val="26"/>
        </w:rPr>
        <w:t>herein)</w:t>
      </w:r>
      <w:r w:rsidRPr="00522F9C">
        <w:rPr>
          <w:sz w:val="26"/>
          <w:szCs w:val="26"/>
        </w:rPr>
        <w:t>, and otherwise has provided substantially the same testimony and exhibits, as well as a Main Brief containing the same argument as Peoples Gas</w:t>
      </w:r>
      <w:r>
        <w:rPr>
          <w:sz w:val="26"/>
          <w:szCs w:val="26"/>
        </w:rPr>
        <w:t>’</w:t>
      </w:r>
      <w:r w:rsidRPr="00522F9C">
        <w:rPr>
          <w:sz w:val="26"/>
          <w:szCs w:val="26"/>
        </w:rPr>
        <w:t xml:space="preserve"> Main Brief, this Opinion and Order may also refer to the </w:t>
      </w:r>
      <w:r>
        <w:rPr>
          <w:sz w:val="26"/>
          <w:szCs w:val="26"/>
        </w:rPr>
        <w:t>“</w:t>
      </w:r>
      <w:r w:rsidRPr="00522F9C">
        <w:rPr>
          <w:sz w:val="26"/>
          <w:szCs w:val="26"/>
        </w:rPr>
        <w:t>Peoples Companies</w:t>
      </w:r>
      <w:r>
        <w:rPr>
          <w:sz w:val="26"/>
          <w:szCs w:val="26"/>
        </w:rPr>
        <w:t>”</w:t>
      </w:r>
      <w:r w:rsidRPr="00522F9C">
        <w:rPr>
          <w:sz w:val="26"/>
          <w:szCs w:val="26"/>
        </w:rPr>
        <w:t xml:space="preserve"> to include all three distribution utilities under common ownership.</w:t>
      </w:r>
    </w:p>
  </w:footnote>
  <w:footnote w:id="12">
    <w:p w:rsidR="00A216B0" w:rsidRPr="002B0145" w:rsidRDefault="00A216B0" w:rsidP="004B07B8">
      <w:pPr>
        <w:pStyle w:val="FootnoteText"/>
        <w:keepNext/>
        <w:keepLines/>
        <w:widowControl/>
        <w:spacing w:after="120"/>
        <w:ind w:firstLine="720"/>
        <w:rPr>
          <w:sz w:val="26"/>
          <w:szCs w:val="26"/>
        </w:rPr>
      </w:pPr>
      <w:r w:rsidRPr="002B0145">
        <w:rPr>
          <w:rStyle w:val="FootnoteReference"/>
          <w:sz w:val="26"/>
          <w:szCs w:val="26"/>
        </w:rPr>
        <w:footnoteRef/>
      </w:r>
      <w:r>
        <w:rPr>
          <w:sz w:val="26"/>
          <w:szCs w:val="26"/>
        </w:rPr>
        <w:tab/>
      </w:r>
      <w:r w:rsidRPr="002B0145">
        <w:rPr>
          <w:sz w:val="26"/>
          <w:szCs w:val="26"/>
        </w:rPr>
        <w:t xml:space="preserve">At-risk gathering pipelines have generally lower risk scores primarily due to the lack of population around the pipe.  Peoples Gas Exh. No. 2 at 14. </w:t>
      </w:r>
    </w:p>
  </w:footnote>
  <w:footnote w:id="13">
    <w:p w:rsidR="00A216B0" w:rsidRPr="00E816AB" w:rsidRDefault="00A216B0" w:rsidP="004B07B8">
      <w:pPr>
        <w:pStyle w:val="FootnoteText"/>
        <w:keepNext/>
        <w:keepLines/>
        <w:widowControl/>
        <w:spacing w:after="120"/>
        <w:ind w:firstLine="720"/>
        <w:rPr>
          <w:sz w:val="26"/>
          <w:szCs w:val="26"/>
        </w:rPr>
      </w:pPr>
      <w:r w:rsidRPr="00E816AB">
        <w:rPr>
          <w:rStyle w:val="FootnoteReference"/>
          <w:sz w:val="26"/>
          <w:szCs w:val="26"/>
        </w:rPr>
        <w:footnoteRef/>
      </w:r>
      <w:r w:rsidRPr="00E816AB">
        <w:rPr>
          <w:sz w:val="26"/>
          <w:szCs w:val="26"/>
        </w:rPr>
        <w:tab/>
        <w:t>The remaining 16% of the local production is delivered directly into Peoples Gas</w:t>
      </w:r>
      <w:r>
        <w:rPr>
          <w:sz w:val="26"/>
          <w:szCs w:val="26"/>
        </w:rPr>
        <w:t>’</w:t>
      </w:r>
      <w:r w:rsidRPr="00E816AB">
        <w:rPr>
          <w:sz w:val="26"/>
          <w:szCs w:val="26"/>
        </w:rPr>
        <w:t xml:space="preserve"> distribution system.  </w:t>
      </w:r>
    </w:p>
  </w:footnote>
  <w:footnote w:id="14">
    <w:p w:rsidR="00A216B0" w:rsidRPr="00F53951" w:rsidRDefault="00A216B0" w:rsidP="004B07B8">
      <w:pPr>
        <w:pStyle w:val="FootnoteText"/>
        <w:keepNext/>
        <w:keepLines/>
        <w:widowControl/>
        <w:spacing w:after="120"/>
        <w:ind w:firstLine="720"/>
        <w:rPr>
          <w:sz w:val="26"/>
          <w:szCs w:val="26"/>
        </w:rPr>
      </w:pPr>
      <w:r w:rsidRPr="003D5ECD">
        <w:rPr>
          <w:rStyle w:val="FootnoteReference"/>
          <w:sz w:val="26"/>
          <w:szCs w:val="26"/>
        </w:rPr>
        <w:footnoteRef/>
      </w:r>
      <w:r>
        <w:rPr>
          <w:sz w:val="26"/>
          <w:szCs w:val="26"/>
        </w:rPr>
        <w:tab/>
      </w:r>
      <w:r w:rsidRPr="003D5ECD">
        <w:rPr>
          <w:sz w:val="26"/>
          <w:szCs w:val="26"/>
        </w:rPr>
        <w:t>As defined in 25 Pa. Code § 78.1</w:t>
      </w:r>
      <w:r>
        <w:rPr>
          <w:sz w:val="26"/>
          <w:szCs w:val="26"/>
        </w:rPr>
        <w:t>, and as is relevant to this proceeding, conventional wells are wells drilled to produce natural gas from formations other than shale formations.</w:t>
      </w:r>
    </w:p>
  </w:footnote>
  <w:footnote w:id="15">
    <w:p w:rsidR="00A216B0" w:rsidRPr="00507045" w:rsidRDefault="00A216B0" w:rsidP="004B07B8">
      <w:pPr>
        <w:pStyle w:val="FootnoteText"/>
        <w:keepNext/>
        <w:keepLines/>
        <w:widowControl/>
        <w:spacing w:after="120"/>
        <w:ind w:firstLine="720"/>
        <w:rPr>
          <w:sz w:val="26"/>
          <w:szCs w:val="26"/>
        </w:rPr>
      </w:pPr>
      <w:r w:rsidRPr="00507045">
        <w:rPr>
          <w:rStyle w:val="FootnoteReference"/>
          <w:sz w:val="26"/>
          <w:szCs w:val="26"/>
        </w:rPr>
        <w:footnoteRef/>
      </w:r>
      <w:r>
        <w:rPr>
          <w:sz w:val="26"/>
          <w:szCs w:val="26"/>
        </w:rPr>
        <w:tab/>
      </w:r>
      <w:r w:rsidRPr="00507045">
        <w:rPr>
          <w:sz w:val="26"/>
          <w:szCs w:val="26"/>
        </w:rPr>
        <w:t>According to Peoples Gas, Equitrans L.P.</w:t>
      </w:r>
      <w:r>
        <w:rPr>
          <w:sz w:val="26"/>
          <w:szCs w:val="26"/>
        </w:rPr>
        <w:t>’</w:t>
      </w:r>
      <w:r w:rsidRPr="00507045">
        <w:rPr>
          <w:sz w:val="26"/>
          <w:szCs w:val="26"/>
        </w:rPr>
        <w:t>s current FERC-approved tariff provides for 9.5% gathering system retainage, and as of August 1, 2016, which is the effective date of Dominion Energy Transmission spinning down its Appalachian gathering system to its unregulated gathering affiliate, its FERC-approved tariff provided for 9.34% gathering retainage.  A</w:t>
      </w:r>
      <w:r>
        <w:rPr>
          <w:sz w:val="26"/>
          <w:szCs w:val="26"/>
        </w:rPr>
        <w:t>dditionally, Peoples Gas provides</w:t>
      </w:r>
      <w:r w:rsidRPr="00507045">
        <w:rPr>
          <w:sz w:val="26"/>
          <w:szCs w:val="26"/>
        </w:rPr>
        <w:t xml:space="preserve"> that Columbia Gas Transmission, LLC currently recovers 4.5% UFG on its gathering facilities in its low-pressure systems in southwest Pennsylvania and West Virginia, and that amount will increase annually by 0.5% until reaching 6.0% in 2021.  Peoples Gas St. No. 1-R at 7, 24.</w:t>
      </w:r>
    </w:p>
  </w:footnote>
  <w:footnote w:id="16">
    <w:p w:rsidR="00A216B0" w:rsidRPr="00A72FD4" w:rsidRDefault="00A216B0" w:rsidP="004B07B8">
      <w:pPr>
        <w:pStyle w:val="FootnoteText"/>
        <w:keepNext/>
        <w:keepLines/>
        <w:widowControl/>
        <w:spacing w:after="120"/>
        <w:ind w:firstLine="720"/>
        <w:rPr>
          <w:sz w:val="26"/>
          <w:szCs w:val="26"/>
        </w:rPr>
      </w:pPr>
      <w:r w:rsidRPr="00A72FD4">
        <w:rPr>
          <w:rStyle w:val="FootnoteReference"/>
          <w:sz w:val="26"/>
          <w:szCs w:val="26"/>
        </w:rPr>
        <w:footnoteRef/>
      </w:r>
      <w:r>
        <w:rPr>
          <w:sz w:val="26"/>
          <w:szCs w:val="26"/>
        </w:rPr>
        <w:tab/>
      </w:r>
      <w:r w:rsidRPr="00A72FD4">
        <w:rPr>
          <w:sz w:val="26"/>
          <w:szCs w:val="26"/>
        </w:rPr>
        <w:t>The OCA submits that at a gathering system retainage charge of 2.9% should be assessed on the volumes delivered on Peoples Gas</w:t>
      </w:r>
      <w:r>
        <w:rPr>
          <w:sz w:val="26"/>
          <w:szCs w:val="26"/>
        </w:rPr>
        <w:t>’</w:t>
      </w:r>
      <w:r w:rsidRPr="00A72FD4">
        <w:rPr>
          <w:sz w:val="26"/>
          <w:szCs w:val="26"/>
        </w:rPr>
        <w:t xml:space="preserve"> gathering system.  OCA M.B. at 7.</w:t>
      </w:r>
    </w:p>
  </w:footnote>
  <w:footnote w:id="17">
    <w:p w:rsidR="00A216B0" w:rsidRPr="00501442" w:rsidRDefault="00A216B0" w:rsidP="004B07B8">
      <w:pPr>
        <w:pStyle w:val="FootnoteText"/>
        <w:keepNext/>
        <w:keepLines/>
        <w:widowControl/>
        <w:spacing w:after="120"/>
        <w:ind w:firstLine="720"/>
        <w:rPr>
          <w:sz w:val="26"/>
          <w:szCs w:val="26"/>
        </w:rPr>
      </w:pPr>
      <w:r w:rsidRPr="00501442">
        <w:rPr>
          <w:rStyle w:val="FootnoteReference"/>
          <w:sz w:val="26"/>
          <w:szCs w:val="26"/>
        </w:rPr>
        <w:footnoteRef/>
      </w:r>
      <w:r>
        <w:rPr>
          <w:sz w:val="26"/>
          <w:szCs w:val="26"/>
        </w:rPr>
        <w:tab/>
      </w:r>
      <w:r w:rsidRPr="00501442">
        <w:rPr>
          <w:sz w:val="26"/>
          <w:szCs w:val="26"/>
        </w:rPr>
        <w:t>As shown on Peoples Gas Exhibit No. 5 at 1, the proposed producer retainage charge was designed to recover 347,014 Mcf.  Therefore, OCA witness Mierzwa explains that, should the 347,014 Mcf be recovered from PGC and non-discounted retainage transportation customers, Peoples Gas</w:t>
      </w:r>
      <w:r>
        <w:rPr>
          <w:sz w:val="26"/>
          <w:szCs w:val="26"/>
        </w:rPr>
        <w:t>’</w:t>
      </w:r>
      <w:r w:rsidRPr="00501442">
        <w:rPr>
          <w:sz w:val="26"/>
          <w:szCs w:val="26"/>
        </w:rPr>
        <w:t xml:space="preserve"> retainage rate would be increased by 4.8% from 5.6% to 10.4%.  OCA St. No. 1 at 10.  </w:t>
      </w:r>
    </w:p>
  </w:footnote>
  <w:footnote w:id="18">
    <w:p w:rsidR="00A216B0" w:rsidRPr="006370E0" w:rsidRDefault="00A216B0" w:rsidP="004B07B8">
      <w:pPr>
        <w:pStyle w:val="FootnoteText"/>
        <w:keepNext/>
        <w:keepLines/>
        <w:widowControl/>
        <w:spacing w:after="120"/>
        <w:ind w:firstLine="720"/>
        <w:rPr>
          <w:sz w:val="26"/>
          <w:szCs w:val="26"/>
        </w:rPr>
      </w:pPr>
      <w:r w:rsidRPr="006370E0">
        <w:rPr>
          <w:rStyle w:val="FootnoteReference"/>
          <w:sz w:val="26"/>
          <w:szCs w:val="26"/>
        </w:rPr>
        <w:footnoteRef/>
      </w:r>
      <w:r>
        <w:rPr>
          <w:sz w:val="26"/>
          <w:szCs w:val="26"/>
        </w:rPr>
        <w:tab/>
      </w:r>
      <w:r w:rsidRPr="006370E0">
        <w:rPr>
          <w:sz w:val="26"/>
          <w:szCs w:val="26"/>
        </w:rPr>
        <w:t>As discussed previously, OCA witness Mierzwa recommended modifications be made to Peoples Gas</w:t>
      </w:r>
      <w:r>
        <w:rPr>
          <w:sz w:val="26"/>
          <w:szCs w:val="26"/>
        </w:rPr>
        <w:t>’</w:t>
      </w:r>
      <w:r w:rsidRPr="006370E0">
        <w:rPr>
          <w:sz w:val="26"/>
          <w:szCs w:val="26"/>
        </w:rPr>
        <w:t xml:space="preserve"> method of calculating its retainage rate.  Schedule JDM-2 shows the result of his recommendation to be</w:t>
      </w:r>
      <w:r>
        <w:rPr>
          <w:sz w:val="26"/>
          <w:szCs w:val="26"/>
        </w:rPr>
        <w:t xml:space="preserve"> a 0.2% increase to its current retainage rate from 5.4% to</w:t>
      </w:r>
      <w:r w:rsidRPr="006370E0">
        <w:rPr>
          <w:sz w:val="26"/>
          <w:szCs w:val="26"/>
        </w:rPr>
        <w:t xml:space="preserve"> 5.6%.  However, the OCA and Peoples Gas have agreed to the terms of the Partial Settlement, allowing Peoples Gas</w:t>
      </w:r>
      <w:r>
        <w:rPr>
          <w:sz w:val="26"/>
          <w:szCs w:val="26"/>
        </w:rPr>
        <w:t>’</w:t>
      </w:r>
      <w:r w:rsidRPr="006370E0">
        <w:rPr>
          <w:sz w:val="26"/>
          <w:szCs w:val="26"/>
        </w:rPr>
        <w:t xml:space="preserve"> current method of calculating retainage to be continued.  OCA Statement in Support at 5.</w:t>
      </w:r>
    </w:p>
  </w:footnote>
  <w:footnote w:id="19">
    <w:p w:rsidR="00A216B0" w:rsidRPr="00501442" w:rsidRDefault="00A216B0" w:rsidP="004B07B8">
      <w:pPr>
        <w:pStyle w:val="FootnoteText"/>
        <w:keepNext/>
        <w:keepLines/>
        <w:widowControl/>
        <w:spacing w:after="120"/>
        <w:ind w:firstLine="720"/>
        <w:rPr>
          <w:sz w:val="26"/>
          <w:szCs w:val="26"/>
        </w:rPr>
      </w:pPr>
      <w:r w:rsidRPr="00501442">
        <w:rPr>
          <w:rStyle w:val="FootnoteReference"/>
          <w:sz w:val="26"/>
          <w:szCs w:val="26"/>
        </w:rPr>
        <w:footnoteRef/>
      </w:r>
      <w:r>
        <w:rPr>
          <w:sz w:val="26"/>
          <w:szCs w:val="26"/>
        </w:rPr>
        <w:tab/>
      </w:r>
      <w:r w:rsidRPr="00501442">
        <w:rPr>
          <w:sz w:val="26"/>
          <w:szCs w:val="26"/>
        </w:rPr>
        <w:t xml:space="preserve">As shown on Peoples Gas Exhibit No. 5 at 1, the proposed producer retainage charge was designed to recover 347,014 Mcf.  Therefore, </w:t>
      </w:r>
      <w:r>
        <w:rPr>
          <w:sz w:val="26"/>
          <w:szCs w:val="26"/>
        </w:rPr>
        <w:t>the OSBA explains that, should the 347,014 Mcf be recovered from PGC and non-discounted transportation customers, Peoples Gas’ retainage rate would be increased by 4.8% from 5.4% to 10.2%.  OSBA St. No. 2-R at 3.</w:t>
      </w:r>
    </w:p>
  </w:footnote>
  <w:footnote w:id="20">
    <w:p w:rsidR="00A216B0" w:rsidRPr="005623A3" w:rsidRDefault="00A216B0" w:rsidP="004B07B8">
      <w:pPr>
        <w:pStyle w:val="FootnoteText"/>
        <w:keepNext/>
        <w:keepLines/>
        <w:widowControl/>
        <w:spacing w:after="120"/>
        <w:ind w:firstLine="720"/>
        <w:rPr>
          <w:sz w:val="26"/>
          <w:szCs w:val="26"/>
        </w:rPr>
      </w:pPr>
      <w:r w:rsidRPr="005623A3">
        <w:rPr>
          <w:rStyle w:val="FootnoteReference"/>
          <w:sz w:val="26"/>
          <w:szCs w:val="26"/>
        </w:rPr>
        <w:footnoteRef/>
      </w:r>
      <w:r>
        <w:rPr>
          <w:sz w:val="26"/>
          <w:szCs w:val="26"/>
        </w:rPr>
        <w:tab/>
      </w:r>
      <w:r w:rsidRPr="005623A3">
        <w:rPr>
          <w:sz w:val="26"/>
          <w:szCs w:val="26"/>
        </w:rPr>
        <w:t xml:space="preserve">PIOGA witness Hillebrand stated that he agrees with </w:t>
      </w:r>
      <w:r>
        <w:rPr>
          <w:sz w:val="26"/>
          <w:szCs w:val="26"/>
        </w:rPr>
        <w:t xml:space="preserve">the </w:t>
      </w:r>
      <w:r w:rsidRPr="005623A3">
        <w:rPr>
          <w:sz w:val="26"/>
          <w:szCs w:val="26"/>
        </w:rPr>
        <w:t>OCA</w:t>
      </w:r>
      <w:r>
        <w:rPr>
          <w:sz w:val="26"/>
          <w:szCs w:val="26"/>
        </w:rPr>
        <w:t>’</w:t>
      </w:r>
      <w:r w:rsidRPr="005623A3">
        <w:rPr>
          <w:sz w:val="26"/>
          <w:szCs w:val="26"/>
        </w:rPr>
        <w:t>s alternative recommendations to either impose a transportation customer gathering retainage charge of 2.9% delivered into the Company</w:t>
      </w:r>
      <w:r>
        <w:rPr>
          <w:sz w:val="26"/>
          <w:szCs w:val="26"/>
        </w:rPr>
        <w:t>’</w:t>
      </w:r>
      <w:r w:rsidRPr="005623A3">
        <w:rPr>
          <w:sz w:val="26"/>
          <w:szCs w:val="26"/>
        </w:rPr>
        <w:t>s gathering system or approve a 10.4% tariffed retainage charge.  PIOGA St. No. 1-R at 5.</w:t>
      </w:r>
    </w:p>
  </w:footnote>
  <w:footnote w:id="21">
    <w:p w:rsidR="00A216B0" w:rsidRPr="000C17E6" w:rsidRDefault="00A216B0" w:rsidP="004B07B8">
      <w:pPr>
        <w:pStyle w:val="FootnoteText"/>
        <w:keepNext/>
        <w:keepLines/>
        <w:widowControl/>
        <w:spacing w:after="120"/>
        <w:ind w:firstLine="720"/>
        <w:rPr>
          <w:sz w:val="26"/>
          <w:szCs w:val="26"/>
        </w:rPr>
      </w:pPr>
      <w:r w:rsidRPr="000C17E6">
        <w:rPr>
          <w:rStyle w:val="FootnoteReference"/>
          <w:sz w:val="26"/>
          <w:szCs w:val="26"/>
        </w:rPr>
        <w:footnoteRef/>
      </w:r>
      <w:r>
        <w:rPr>
          <w:sz w:val="26"/>
          <w:szCs w:val="26"/>
        </w:rPr>
        <w:tab/>
      </w:r>
      <w:r w:rsidRPr="000C17E6">
        <w:rPr>
          <w:sz w:val="26"/>
          <w:szCs w:val="26"/>
        </w:rPr>
        <w:t>PIOGA</w:t>
      </w:r>
      <w:r>
        <w:rPr>
          <w:sz w:val="26"/>
          <w:szCs w:val="26"/>
        </w:rPr>
        <w:t>’</w:t>
      </w:r>
      <w:r w:rsidRPr="000C17E6">
        <w:rPr>
          <w:sz w:val="26"/>
          <w:szCs w:val="26"/>
        </w:rPr>
        <w:t xml:space="preserve">s Main Brief </w:t>
      </w:r>
      <w:r>
        <w:rPr>
          <w:sz w:val="26"/>
          <w:szCs w:val="26"/>
        </w:rPr>
        <w:t>at 4-5 (quoting</w:t>
      </w:r>
      <w:r w:rsidRPr="000C17E6">
        <w:rPr>
          <w:sz w:val="26"/>
          <w:szCs w:val="26"/>
        </w:rPr>
        <w:t xml:space="preserve"> </w:t>
      </w:r>
      <w:r w:rsidRPr="000C17E6">
        <w:rPr>
          <w:i/>
          <w:sz w:val="26"/>
          <w:szCs w:val="26"/>
        </w:rPr>
        <w:t xml:space="preserve">Crown Castle NG East LLC and Pennsylvania-CLE LLC v. Pa. PUC, </w:t>
      </w:r>
      <w:r>
        <w:rPr>
          <w:sz w:val="26"/>
          <w:szCs w:val="26"/>
        </w:rPr>
        <w:t>198 A.3d 617, 631-32</w:t>
      </w:r>
      <w:r w:rsidRPr="000C17E6">
        <w:rPr>
          <w:sz w:val="26"/>
          <w:szCs w:val="26"/>
        </w:rPr>
        <w:t xml:space="preserve"> (Pa.</w:t>
      </w:r>
      <w:r>
        <w:rPr>
          <w:sz w:val="26"/>
          <w:szCs w:val="26"/>
        </w:rPr>
        <w:t xml:space="preserve"> </w:t>
      </w:r>
      <w:r w:rsidRPr="000C17E6">
        <w:rPr>
          <w:sz w:val="26"/>
          <w:szCs w:val="26"/>
        </w:rPr>
        <w:t>Cmwlth. 2018)</w:t>
      </w:r>
      <w:r>
        <w:rPr>
          <w:sz w:val="26"/>
          <w:szCs w:val="26"/>
        </w:rPr>
        <w:t xml:space="preserve"> (</w:t>
      </w:r>
      <w:r w:rsidRPr="00FF0417">
        <w:rPr>
          <w:i/>
          <w:sz w:val="26"/>
          <w:szCs w:val="26"/>
        </w:rPr>
        <w:t>Crown Castle</w:t>
      </w:r>
      <w:r>
        <w:rPr>
          <w:sz w:val="26"/>
          <w:szCs w:val="26"/>
        </w:rPr>
        <w:t>)</w:t>
      </w:r>
      <w:r w:rsidRPr="000C17E6">
        <w:rPr>
          <w:sz w:val="26"/>
          <w:szCs w:val="26"/>
        </w:rPr>
        <w:t>:</w:t>
      </w:r>
    </w:p>
    <w:p w:rsidR="00A216B0" w:rsidRDefault="00A216B0" w:rsidP="004B07B8">
      <w:pPr>
        <w:pStyle w:val="FootnoteText"/>
        <w:keepNext/>
        <w:keepLines/>
        <w:widowControl/>
        <w:spacing w:after="120"/>
        <w:ind w:left="1440" w:right="1440"/>
      </w:pPr>
      <w:r>
        <w:rPr>
          <w:sz w:val="26"/>
          <w:szCs w:val="26"/>
        </w:rPr>
        <w:t>“</w:t>
      </w:r>
      <w:r w:rsidRPr="000C17E6">
        <w:rPr>
          <w:sz w:val="26"/>
          <w:szCs w:val="26"/>
        </w:rPr>
        <w:t>An administrative agency may revise and correct its prior interpretation of a statute</w:t>
      </w:r>
      <w:r>
        <w:rPr>
          <w:sz w:val="26"/>
          <w:szCs w:val="26"/>
        </w:rPr>
        <w:t>”</w:t>
      </w:r>
      <w:r w:rsidRPr="000C17E6">
        <w:rPr>
          <w:sz w:val="26"/>
          <w:szCs w:val="26"/>
        </w:rPr>
        <w:t xml:space="preserve">; but </w:t>
      </w:r>
      <w:r>
        <w:rPr>
          <w:sz w:val="26"/>
          <w:szCs w:val="26"/>
        </w:rPr>
        <w:t>“</w:t>
      </w:r>
      <w:r w:rsidRPr="000C17E6">
        <w:rPr>
          <w:sz w:val="26"/>
          <w:szCs w:val="26"/>
        </w:rPr>
        <w:t>it cannot expect that its later interpretation is entitled to very much deference.</w:t>
      </w:r>
      <w:r>
        <w:rPr>
          <w:sz w:val="26"/>
          <w:szCs w:val="26"/>
        </w:rPr>
        <w:t>”</w:t>
      </w:r>
      <w:r w:rsidRPr="000C17E6">
        <w:rPr>
          <w:sz w:val="26"/>
          <w:szCs w:val="26"/>
        </w:rPr>
        <w:t xml:space="preserve"> </w:t>
      </w:r>
      <w:r w:rsidRPr="000C17E6">
        <w:rPr>
          <w:i/>
          <w:sz w:val="26"/>
          <w:szCs w:val="26"/>
        </w:rPr>
        <w:t xml:space="preserve">Id. </w:t>
      </w:r>
      <w:r w:rsidRPr="000C17E6">
        <w:rPr>
          <w:sz w:val="26"/>
          <w:szCs w:val="26"/>
        </w:rPr>
        <w:t xml:space="preserve">at 1135 (emphasis added); </w:t>
      </w:r>
      <w:r w:rsidRPr="000C17E6">
        <w:rPr>
          <w:i/>
          <w:sz w:val="26"/>
          <w:szCs w:val="26"/>
        </w:rPr>
        <w:t>see also Mazza v. Sec</w:t>
      </w:r>
      <w:r>
        <w:rPr>
          <w:i/>
          <w:sz w:val="26"/>
          <w:szCs w:val="26"/>
        </w:rPr>
        <w:t>’</w:t>
      </w:r>
      <w:r w:rsidRPr="000C17E6">
        <w:rPr>
          <w:i/>
          <w:sz w:val="26"/>
          <w:szCs w:val="26"/>
        </w:rPr>
        <w:t>y of Dep</w:t>
      </w:r>
      <w:r>
        <w:rPr>
          <w:i/>
          <w:sz w:val="26"/>
          <w:szCs w:val="26"/>
        </w:rPr>
        <w:t>’</w:t>
      </w:r>
      <w:r w:rsidRPr="000C17E6">
        <w:rPr>
          <w:i/>
          <w:sz w:val="26"/>
          <w:szCs w:val="26"/>
        </w:rPr>
        <w:t xml:space="preserve">t of Health and Human Servs., </w:t>
      </w:r>
      <w:r w:rsidRPr="000C17E6">
        <w:rPr>
          <w:sz w:val="26"/>
          <w:szCs w:val="26"/>
        </w:rPr>
        <w:t>903 F.2d 953, 958 (3d Cir. 1990) (an agency</w:t>
      </w:r>
      <w:r>
        <w:rPr>
          <w:sz w:val="26"/>
          <w:szCs w:val="26"/>
        </w:rPr>
        <w:t>’</w:t>
      </w:r>
      <w:r w:rsidRPr="000C17E6">
        <w:rPr>
          <w:sz w:val="26"/>
          <w:szCs w:val="26"/>
        </w:rPr>
        <w:t xml:space="preserve">s interpretation of its statute is entitled to little deference when it is at odds with a prior interpretation). </w:t>
      </w:r>
      <w:r>
        <w:rPr>
          <w:sz w:val="26"/>
          <w:szCs w:val="26"/>
        </w:rPr>
        <w:t xml:space="preserve"> </w:t>
      </w:r>
      <w:r w:rsidRPr="000C17E6">
        <w:rPr>
          <w:sz w:val="26"/>
          <w:szCs w:val="26"/>
        </w:rPr>
        <w:t xml:space="preserve">There has been no change in the Code since the Commission began granting Certificates to DAS network operators in 2005. Yet, in 2017, the Commission reversed course and decided, notwithstanding this longstanding practice, that it no longer had jurisdiction because DAS network operators were not public utilities. </w:t>
      </w:r>
      <w:r>
        <w:rPr>
          <w:sz w:val="26"/>
          <w:szCs w:val="26"/>
        </w:rPr>
        <w:t xml:space="preserve"> </w:t>
      </w:r>
      <w:r w:rsidRPr="000C17E6">
        <w:rPr>
          <w:sz w:val="26"/>
          <w:szCs w:val="26"/>
        </w:rPr>
        <w:t>Given the very recent change in its interpretation of the Code, the Commission</w:t>
      </w:r>
      <w:r>
        <w:rPr>
          <w:sz w:val="26"/>
          <w:szCs w:val="26"/>
        </w:rPr>
        <w:t>’</w:t>
      </w:r>
      <w:r w:rsidRPr="000C17E6">
        <w:rPr>
          <w:sz w:val="26"/>
          <w:szCs w:val="26"/>
        </w:rPr>
        <w:t xml:space="preserve">s interpretation set forth in the DAS Order is not entitled to much deference. </w:t>
      </w:r>
      <w:r w:rsidRPr="000C17E6">
        <w:rPr>
          <w:i/>
          <w:sz w:val="26"/>
          <w:szCs w:val="26"/>
        </w:rPr>
        <w:t xml:space="preserve">Dauphin Cty. Indus. Dev. Auth., </w:t>
      </w:r>
      <w:r w:rsidRPr="000C17E6">
        <w:rPr>
          <w:sz w:val="26"/>
          <w:szCs w:val="26"/>
        </w:rPr>
        <w:t xml:space="preserve">123 A.3d at 1135; </w:t>
      </w:r>
      <w:r w:rsidRPr="000C17E6">
        <w:rPr>
          <w:i/>
          <w:sz w:val="26"/>
          <w:szCs w:val="26"/>
        </w:rPr>
        <w:t xml:space="preserve">Mazza, </w:t>
      </w:r>
      <w:r w:rsidRPr="000C17E6">
        <w:rPr>
          <w:sz w:val="26"/>
          <w:szCs w:val="26"/>
        </w:rPr>
        <w:t>903 F.2d at 958.</w:t>
      </w:r>
    </w:p>
  </w:footnote>
  <w:footnote w:id="22">
    <w:p w:rsidR="00A216B0" w:rsidRPr="00BD4CE3" w:rsidRDefault="00A216B0" w:rsidP="004B07B8">
      <w:pPr>
        <w:pStyle w:val="FootnoteText"/>
        <w:keepNext/>
        <w:keepLines/>
        <w:widowControl/>
        <w:spacing w:after="120"/>
        <w:ind w:firstLine="720"/>
        <w:rPr>
          <w:sz w:val="26"/>
          <w:szCs w:val="26"/>
        </w:rPr>
      </w:pPr>
      <w:r w:rsidRPr="00BD4CE3">
        <w:rPr>
          <w:rStyle w:val="FootnoteReference"/>
          <w:sz w:val="26"/>
          <w:szCs w:val="26"/>
        </w:rPr>
        <w:footnoteRef/>
      </w:r>
      <w:r>
        <w:rPr>
          <w:sz w:val="26"/>
          <w:szCs w:val="26"/>
        </w:rPr>
        <w:tab/>
      </w:r>
      <w:r w:rsidRPr="00BD4CE3">
        <w:rPr>
          <w:sz w:val="26"/>
          <w:szCs w:val="26"/>
        </w:rPr>
        <w:t>The ALJ indicated that the stipulation was not considered in this proceeding.  R.D. at 71.</w:t>
      </w:r>
    </w:p>
  </w:footnote>
  <w:footnote w:id="23">
    <w:p w:rsidR="00A216B0" w:rsidRPr="00B10F72" w:rsidRDefault="00A216B0" w:rsidP="004B07B8">
      <w:pPr>
        <w:pStyle w:val="FootnoteText"/>
        <w:keepNext/>
        <w:keepLines/>
        <w:widowControl/>
        <w:spacing w:after="120"/>
        <w:ind w:firstLine="720"/>
        <w:rPr>
          <w:sz w:val="26"/>
          <w:szCs w:val="26"/>
        </w:rPr>
      </w:pPr>
      <w:r w:rsidRPr="00B10F72">
        <w:rPr>
          <w:rStyle w:val="FootnoteReference"/>
          <w:sz w:val="26"/>
          <w:szCs w:val="26"/>
        </w:rPr>
        <w:footnoteRef/>
      </w:r>
      <w:r>
        <w:rPr>
          <w:sz w:val="26"/>
          <w:szCs w:val="26"/>
        </w:rPr>
        <w:tab/>
      </w:r>
      <w:r w:rsidRPr="00B10F72">
        <w:rPr>
          <w:sz w:val="26"/>
          <w:szCs w:val="26"/>
        </w:rPr>
        <w:t xml:space="preserve">According to the Company, the proposed producer retainage charge is designed to recover only approximately 31% of the gathering system UFG.  As a result, approximately 69% of the gathering system UFG would be recovered from customers.  Peoples Gas R. Exc. at 5. </w:t>
      </w:r>
    </w:p>
  </w:footnote>
  <w:footnote w:id="24">
    <w:p w:rsidR="00A216B0" w:rsidRPr="004F170C" w:rsidRDefault="00A216B0" w:rsidP="004B07B8">
      <w:pPr>
        <w:keepNext/>
        <w:keepLines/>
        <w:widowControl/>
        <w:tabs>
          <w:tab w:val="left" w:pos="720"/>
        </w:tabs>
        <w:autoSpaceDE w:val="0"/>
        <w:autoSpaceDN w:val="0"/>
        <w:adjustRightInd w:val="0"/>
        <w:spacing w:after="120"/>
        <w:rPr>
          <w:sz w:val="26"/>
          <w:szCs w:val="26"/>
        </w:rPr>
      </w:pPr>
      <w:r>
        <w:rPr>
          <w:sz w:val="26"/>
          <w:szCs w:val="26"/>
        </w:rPr>
        <w:tab/>
      </w:r>
      <w:r w:rsidRPr="004F170C">
        <w:rPr>
          <w:rStyle w:val="FootnoteReference"/>
          <w:sz w:val="26"/>
          <w:szCs w:val="26"/>
        </w:rPr>
        <w:footnoteRef/>
      </w:r>
      <w:r>
        <w:rPr>
          <w:sz w:val="26"/>
          <w:szCs w:val="26"/>
        </w:rPr>
        <w:tab/>
        <w:t xml:space="preserve">Settlement Paragraph 24 states “Peoples </w:t>
      </w:r>
      <w:r w:rsidRPr="004F170C">
        <w:rPr>
          <w:sz w:val="26"/>
          <w:szCs w:val="26"/>
        </w:rPr>
        <w:t xml:space="preserve">Gas will </w:t>
      </w:r>
      <w:r>
        <w:rPr>
          <w:sz w:val="26"/>
          <w:szCs w:val="26"/>
        </w:rPr>
        <w:t>be subject to a gathering</w:t>
      </w:r>
      <w:r w:rsidRPr="004F170C">
        <w:rPr>
          <w:sz w:val="26"/>
          <w:szCs w:val="26"/>
        </w:rPr>
        <w:t xml:space="preserve"> UFG target (</w:t>
      </w:r>
      <w:r>
        <w:rPr>
          <w:sz w:val="26"/>
          <w:szCs w:val="26"/>
        </w:rPr>
        <w:t>“</w:t>
      </w:r>
      <w:r w:rsidRPr="004F170C">
        <w:rPr>
          <w:sz w:val="26"/>
          <w:szCs w:val="26"/>
        </w:rPr>
        <w:t>UFG target</w:t>
      </w:r>
      <w:r>
        <w:rPr>
          <w:sz w:val="26"/>
          <w:szCs w:val="26"/>
        </w:rPr>
        <w:t>”</w:t>
      </w:r>
      <w:r w:rsidRPr="004F170C">
        <w:rPr>
          <w:sz w:val="26"/>
          <w:szCs w:val="26"/>
        </w:rPr>
        <w:t>) of 9.0% for the year ending August 31, 2019, 8.5% for the year ending August 31, 2020, and 7.5% for the year ending August 31, 2021.</w:t>
      </w:r>
      <w:r>
        <w:rPr>
          <w:sz w:val="26"/>
          <w:szCs w:val="26"/>
        </w:rPr>
        <w:t xml:space="preserve">  Joint Petition at 5.</w:t>
      </w:r>
    </w:p>
  </w:footnote>
  <w:footnote w:id="25">
    <w:p w:rsidR="00A216B0" w:rsidRPr="00A256F4" w:rsidRDefault="00A216B0" w:rsidP="004B07B8">
      <w:pPr>
        <w:pStyle w:val="FootnoteText"/>
        <w:keepNext/>
        <w:keepLines/>
        <w:widowControl/>
        <w:spacing w:after="120"/>
        <w:ind w:firstLine="720"/>
        <w:rPr>
          <w:sz w:val="26"/>
          <w:szCs w:val="26"/>
        </w:rPr>
      </w:pPr>
      <w:r w:rsidRPr="00A256F4">
        <w:rPr>
          <w:rStyle w:val="FootnoteReference"/>
          <w:sz w:val="26"/>
          <w:szCs w:val="26"/>
        </w:rPr>
        <w:footnoteRef/>
      </w:r>
      <w:r>
        <w:rPr>
          <w:sz w:val="26"/>
          <w:szCs w:val="26"/>
        </w:rPr>
        <w:tab/>
      </w:r>
      <w:r w:rsidRPr="00A256F4">
        <w:rPr>
          <w:sz w:val="26"/>
          <w:szCs w:val="26"/>
        </w:rPr>
        <w:t>Peoples Gas</w:t>
      </w:r>
      <w:r>
        <w:rPr>
          <w:sz w:val="26"/>
          <w:szCs w:val="26"/>
        </w:rPr>
        <w:t>’</w:t>
      </w:r>
      <w:r w:rsidRPr="00A256F4">
        <w:rPr>
          <w:sz w:val="26"/>
          <w:szCs w:val="26"/>
        </w:rPr>
        <w:t xml:space="preserve"> total system UFG has steadily increased in the past three years, including: 3.36% for the reporting year ended August 31, 2015; 3.91% for the reporting year ended August 31, 2016; and 6.80% for the reporting year ended August 31, 2017.  Peoples Gas Exh. No. 5.</w:t>
      </w:r>
    </w:p>
  </w:footnote>
  <w:footnote w:id="26">
    <w:p w:rsidR="00A216B0" w:rsidRPr="00FF2C63" w:rsidRDefault="00A216B0" w:rsidP="004B07B8">
      <w:pPr>
        <w:pStyle w:val="FootnoteText"/>
        <w:keepNext/>
        <w:keepLines/>
        <w:widowControl/>
        <w:spacing w:after="120"/>
        <w:ind w:firstLine="720"/>
        <w:rPr>
          <w:sz w:val="26"/>
          <w:szCs w:val="26"/>
        </w:rPr>
      </w:pPr>
      <w:r w:rsidRPr="00FF2C63">
        <w:rPr>
          <w:rStyle w:val="FootnoteReference"/>
          <w:sz w:val="26"/>
          <w:szCs w:val="26"/>
        </w:rPr>
        <w:footnoteRef/>
      </w:r>
      <w:r>
        <w:rPr>
          <w:sz w:val="26"/>
          <w:szCs w:val="26"/>
        </w:rPr>
        <w:tab/>
        <w:t xml:space="preserve">Peoples </w:t>
      </w:r>
      <w:r w:rsidRPr="00FF2C63">
        <w:rPr>
          <w:sz w:val="26"/>
          <w:szCs w:val="26"/>
        </w:rPr>
        <w:t>G</w:t>
      </w:r>
      <w:r>
        <w:rPr>
          <w:sz w:val="26"/>
          <w:szCs w:val="26"/>
        </w:rPr>
        <w:t>as</w:t>
      </w:r>
      <w:r w:rsidRPr="00FF2C63">
        <w:rPr>
          <w:sz w:val="26"/>
          <w:szCs w:val="26"/>
        </w:rPr>
        <w:t xml:space="preserve"> Exh. 7 contains the proposed tariff which states that </w:t>
      </w:r>
      <w:r>
        <w:rPr>
          <w:sz w:val="26"/>
          <w:szCs w:val="26"/>
        </w:rPr>
        <w:t>“</w:t>
      </w:r>
      <w:r w:rsidRPr="00FF2C63">
        <w:rPr>
          <w:sz w:val="26"/>
          <w:szCs w:val="26"/>
        </w:rPr>
        <w:t xml:space="preserve">[a]ll volumes of gas received at any point under this </w:t>
      </w:r>
      <w:r>
        <w:rPr>
          <w:sz w:val="26"/>
          <w:szCs w:val="26"/>
        </w:rPr>
        <w:t>service will be subject to a 2.9</w:t>
      </w:r>
      <w:r w:rsidRPr="00FF2C63">
        <w:rPr>
          <w:sz w:val="26"/>
          <w:szCs w:val="26"/>
        </w:rPr>
        <w:t>% retainage rate.</w:t>
      </w:r>
      <w:r>
        <w:rPr>
          <w:sz w:val="26"/>
          <w:szCs w:val="26"/>
        </w:rPr>
        <w:t>”</w:t>
      </w:r>
      <w:r w:rsidRPr="00FF2C63">
        <w:rPr>
          <w:sz w:val="26"/>
          <w:szCs w:val="26"/>
        </w:rPr>
        <w:t xml:space="preserve">  Gas – Pa. P.U.C. No. 46, Original Page No. 82 states</w:t>
      </w:r>
      <w:r>
        <w:rPr>
          <w:sz w:val="26"/>
          <w:szCs w:val="26"/>
        </w:rPr>
        <w:t xml:space="preserve"> </w:t>
      </w:r>
      <w:r w:rsidRPr="00FF2C63">
        <w:rPr>
          <w:sz w:val="26"/>
          <w:szCs w:val="26"/>
        </w:rPr>
        <w:t xml:space="preserve">that </w:t>
      </w:r>
      <w:r>
        <w:rPr>
          <w:sz w:val="26"/>
          <w:szCs w:val="26"/>
        </w:rPr>
        <w:t>“</w:t>
      </w:r>
      <w:r w:rsidRPr="00FF2C63">
        <w:rPr>
          <w:sz w:val="26"/>
          <w:szCs w:val="26"/>
        </w:rPr>
        <w:t xml:space="preserve">[a]ll volumes of gas received at any point under this service will be subject to a </w:t>
      </w:r>
      <w:r>
        <w:rPr>
          <w:sz w:val="26"/>
          <w:szCs w:val="26"/>
        </w:rPr>
        <w:t xml:space="preserve">gathering rate (billed in dekatherms) and a </w:t>
      </w:r>
      <w:r w:rsidRPr="00FF2C63">
        <w:rPr>
          <w:sz w:val="26"/>
          <w:szCs w:val="26"/>
        </w:rPr>
        <w:t>retainage</w:t>
      </w:r>
      <w:r>
        <w:rPr>
          <w:sz w:val="26"/>
          <w:szCs w:val="26"/>
        </w:rPr>
        <w:t xml:space="preserve"> charge.  All rates for this service shall be determined by negotiation</w:t>
      </w:r>
      <w:r w:rsidRPr="00FF2C63">
        <w:rPr>
          <w:sz w:val="26"/>
          <w:szCs w:val="26"/>
        </w:rPr>
        <w:t>.</w:t>
      </w:r>
      <w:r>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115F"/>
    <w:multiLevelType w:val="hybridMultilevel"/>
    <w:tmpl w:val="955698F8"/>
    <w:lvl w:ilvl="0" w:tplc="BDAE3A78">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4D1424"/>
    <w:multiLevelType w:val="hybridMultilevel"/>
    <w:tmpl w:val="5AD6248C"/>
    <w:lvl w:ilvl="0" w:tplc="58C27A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2B7A45"/>
    <w:multiLevelType w:val="hybridMultilevel"/>
    <w:tmpl w:val="3FD437B8"/>
    <w:lvl w:ilvl="0" w:tplc="9E76BFA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1926EB5"/>
    <w:multiLevelType w:val="hybridMultilevel"/>
    <w:tmpl w:val="E35CDFC6"/>
    <w:lvl w:ilvl="0" w:tplc="70D6435E">
      <w:start w:val="1"/>
      <w:numFmt w:val="upperRoman"/>
      <w:pStyle w:val="Heading1"/>
      <w:lvlText w:val="%1."/>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F0FCF"/>
    <w:multiLevelType w:val="hybridMultilevel"/>
    <w:tmpl w:val="CE449780"/>
    <w:lvl w:ilvl="0" w:tplc="C352A0B6">
      <w:start w:val="1"/>
      <w:numFmt w:val="decimal"/>
      <w:pStyle w:val="Heading5"/>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4DC10D6"/>
    <w:multiLevelType w:val="hybridMultilevel"/>
    <w:tmpl w:val="D8BAD53E"/>
    <w:lvl w:ilvl="0" w:tplc="48B6DC60">
      <w:start w:val="1"/>
      <w:numFmt w:val="decimal"/>
      <w:pStyle w:val="Heading3"/>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292C13"/>
    <w:multiLevelType w:val="hybridMultilevel"/>
    <w:tmpl w:val="6720A448"/>
    <w:lvl w:ilvl="0" w:tplc="456CB0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903D46"/>
    <w:multiLevelType w:val="hybridMultilevel"/>
    <w:tmpl w:val="7DD607D2"/>
    <w:lvl w:ilvl="0" w:tplc="9D8A4C8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DEE07E9"/>
    <w:multiLevelType w:val="hybridMultilevel"/>
    <w:tmpl w:val="20CA4D40"/>
    <w:lvl w:ilvl="0" w:tplc="28D4CAA4">
      <w:start w:val="1"/>
      <w:numFmt w:val="lowerLetter"/>
      <w:pStyle w:val="Heading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9823825"/>
    <w:multiLevelType w:val="hybridMultilevel"/>
    <w:tmpl w:val="85849FA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92E6F"/>
    <w:multiLevelType w:val="hybridMultilevel"/>
    <w:tmpl w:val="F03A93CC"/>
    <w:lvl w:ilvl="0" w:tplc="8F8A403E">
      <w:start w:val="1"/>
      <w:numFmt w:val="upperLetter"/>
      <w:pStyle w:val="Heading2"/>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B325C7"/>
    <w:multiLevelType w:val="hybridMultilevel"/>
    <w:tmpl w:val="EF2AB04C"/>
    <w:lvl w:ilvl="0" w:tplc="04090001">
      <w:start w:val="1"/>
      <w:numFmt w:val="bullet"/>
      <w:lvlText w:val=""/>
      <w:lvlJc w:val="left"/>
      <w:pPr>
        <w:ind w:left="864" w:hanging="360"/>
      </w:pPr>
      <w:rPr>
        <w:rFonts w:ascii="Symbol" w:hAnsi="Symbol" w:hint="default"/>
      </w:rPr>
    </w:lvl>
    <w:lvl w:ilvl="1" w:tplc="0409000F">
      <w:start w:val="1"/>
      <w:numFmt w:val="decimal"/>
      <w:lvlText w:val="%2."/>
      <w:lvlJc w:val="left"/>
      <w:pPr>
        <w:ind w:left="1584" w:hanging="360"/>
      </w:pPr>
      <w:rPr>
        <w:rFonts w:hint="default"/>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57720285"/>
    <w:multiLevelType w:val="hybridMultilevel"/>
    <w:tmpl w:val="FF364780"/>
    <w:lvl w:ilvl="0" w:tplc="D5D02F54">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1EE41E4"/>
    <w:multiLevelType w:val="hybridMultilevel"/>
    <w:tmpl w:val="2B2245A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2A05BB4"/>
    <w:multiLevelType w:val="hybridMultilevel"/>
    <w:tmpl w:val="238625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9017EE"/>
    <w:multiLevelType w:val="hybridMultilevel"/>
    <w:tmpl w:val="3BC20162"/>
    <w:lvl w:ilvl="0" w:tplc="C36A5C7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12"/>
  </w:num>
  <w:num w:numId="4">
    <w:abstractNumId w:val="11"/>
  </w:num>
  <w:num w:numId="5">
    <w:abstractNumId w:val="8"/>
  </w:num>
  <w:num w:numId="6">
    <w:abstractNumId w:val="5"/>
  </w:num>
  <w:num w:numId="7">
    <w:abstractNumId w:val="10"/>
    <w:lvlOverride w:ilvl="0">
      <w:startOverride w:val="1"/>
    </w:lvlOverride>
  </w:num>
  <w:num w:numId="8">
    <w:abstractNumId w:val="10"/>
    <w:lvlOverride w:ilvl="0">
      <w:startOverride w:val="1"/>
    </w:lvlOverride>
  </w:num>
  <w:num w:numId="9">
    <w:abstractNumId w:val="5"/>
    <w:lvlOverride w:ilvl="0">
      <w:startOverride w:val="1"/>
    </w:lvlOverride>
  </w:num>
  <w:num w:numId="10">
    <w:abstractNumId w:val="8"/>
    <w:lvlOverride w:ilvl="0">
      <w:startOverride w:val="1"/>
    </w:lvlOverride>
  </w:num>
  <w:num w:numId="11">
    <w:abstractNumId w:val="4"/>
  </w:num>
  <w:num w:numId="12">
    <w:abstractNumId w:val="15"/>
  </w:num>
  <w:num w:numId="13">
    <w:abstractNumId w:val="9"/>
  </w:num>
  <w:num w:numId="14">
    <w:abstractNumId w:val="5"/>
    <w:lvlOverride w:ilvl="0">
      <w:startOverride w:val="1"/>
    </w:lvlOverride>
  </w:num>
  <w:num w:numId="15">
    <w:abstractNumId w:val="14"/>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7"/>
  </w:num>
  <w:num w:numId="25">
    <w:abstractNumId w:val="2"/>
  </w:num>
  <w:num w:numId="26">
    <w:abstractNumId w:val="10"/>
  </w:num>
  <w:num w:numId="27">
    <w:abstractNumId w:val="13"/>
  </w:num>
  <w:num w:numId="28">
    <w:abstractNumId w:val="0"/>
  </w:num>
  <w:num w:numId="29">
    <w:abstractNumId w:val="6"/>
  </w:num>
  <w:num w:numId="3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1BD"/>
    <w:rsid w:val="00000223"/>
    <w:rsid w:val="00000651"/>
    <w:rsid w:val="00000C36"/>
    <w:rsid w:val="00000CE2"/>
    <w:rsid w:val="00000D47"/>
    <w:rsid w:val="00001277"/>
    <w:rsid w:val="00001323"/>
    <w:rsid w:val="00001486"/>
    <w:rsid w:val="0000153D"/>
    <w:rsid w:val="000017F2"/>
    <w:rsid w:val="00001FC8"/>
    <w:rsid w:val="00002644"/>
    <w:rsid w:val="00002876"/>
    <w:rsid w:val="000029BB"/>
    <w:rsid w:val="00002CF0"/>
    <w:rsid w:val="00002F13"/>
    <w:rsid w:val="00003444"/>
    <w:rsid w:val="00003A72"/>
    <w:rsid w:val="0000446B"/>
    <w:rsid w:val="0000451E"/>
    <w:rsid w:val="00004671"/>
    <w:rsid w:val="00004817"/>
    <w:rsid w:val="000048E0"/>
    <w:rsid w:val="00004D03"/>
    <w:rsid w:val="00005318"/>
    <w:rsid w:val="000054A3"/>
    <w:rsid w:val="00005BE7"/>
    <w:rsid w:val="00006579"/>
    <w:rsid w:val="000065FB"/>
    <w:rsid w:val="00006685"/>
    <w:rsid w:val="00006A65"/>
    <w:rsid w:val="00006F35"/>
    <w:rsid w:val="00006FEE"/>
    <w:rsid w:val="0000721A"/>
    <w:rsid w:val="000075A6"/>
    <w:rsid w:val="00007813"/>
    <w:rsid w:val="00007AF7"/>
    <w:rsid w:val="00007D7F"/>
    <w:rsid w:val="00007ECA"/>
    <w:rsid w:val="000117EB"/>
    <w:rsid w:val="00011AB1"/>
    <w:rsid w:val="00011D98"/>
    <w:rsid w:val="0001221F"/>
    <w:rsid w:val="000122A4"/>
    <w:rsid w:val="000124ED"/>
    <w:rsid w:val="00013358"/>
    <w:rsid w:val="00013812"/>
    <w:rsid w:val="000147AA"/>
    <w:rsid w:val="0001497B"/>
    <w:rsid w:val="00014E95"/>
    <w:rsid w:val="00015314"/>
    <w:rsid w:val="000154E2"/>
    <w:rsid w:val="000157D7"/>
    <w:rsid w:val="000168E4"/>
    <w:rsid w:val="00016D57"/>
    <w:rsid w:val="00016FB2"/>
    <w:rsid w:val="000171BD"/>
    <w:rsid w:val="0001775B"/>
    <w:rsid w:val="0001775C"/>
    <w:rsid w:val="00017852"/>
    <w:rsid w:val="00017F40"/>
    <w:rsid w:val="00017F8B"/>
    <w:rsid w:val="00020117"/>
    <w:rsid w:val="000205EA"/>
    <w:rsid w:val="000206EB"/>
    <w:rsid w:val="00020817"/>
    <w:rsid w:val="00020C63"/>
    <w:rsid w:val="00021130"/>
    <w:rsid w:val="000213A0"/>
    <w:rsid w:val="0002166B"/>
    <w:rsid w:val="00021850"/>
    <w:rsid w:val="00021E31"/>
    <w:rsid w:val="00021E46"/>
    <w:rsid w:val="00021F58"/>
    <w:rsid w:val="000222E8"/>
    <w:rsid w:val="00022572"/>
    <w:rsid w:val="000225A9"/>
    <w:rsid w:val="00022A78"/>
    <w:rsid w:val="00022B74"/>
    <w:rsid w:val="00022BB4"/>
    <w:rsid w:val="0002304F"/>
    <w:rsid w:val="0002315D"/>
    <w:rsid w:val="000231E3"/>
    <w:rsid w:val="0002332C"/>
    <w:rsid w:val="00023423"/>
    <w:rsid w:val="00023B72"/>
    <w:rsid w:val="00023CFE"/>
    <w:rsid w:val="00023F93"/>
    <w:rsid w:val="0002417D"/>
    <w:rsid w:val="000242BD"/>
    <w:rsid w:val="0002467F"/>
    <w:rsid w:val="00024D8D"/>
    <w:rsid w:val="00024F85"/>
    <w:rsid w:val="0002501D"/>
    <w:rsid w:val="0002523F"/>
    <w:rsid w:val="0002524C"/>
    <w:rsid w:val="0002556C"/>
    <w:rsid w:val="00025CEC"/>
    <w:rsid w:val="00025E34"/>
    <w:rsid w:val="00025F3F"/>
    <w:rsid w:val="00025FDE"/>
    <w:rsid w:val="00025FF6"/>
    <w:rsid w:val="0002606A"/>
    <w:rsid w:val="00026669"/>
    <w:rsid w:val="00026703"/>
    <w:rsid w:val="000267E5"/>
    <w:rsid w:val="00026CD2"/>
    <w:rsid w:val="00027EF2"/>
    <w:rsid w:val="0003055F"/>
    <w:rsid w:val="0003093F"/>
    <w:rsid w:val="00030A62"/>
    <w:rsid w:val="00030AFB"/>
    <w:rsid w:val="00030F6D"/>
    <w:rsid w:val="00031433"/>
    <w:rsid w:val="0003180C"/>
    <w:rsid w:val="00032635"/>
    <w:rsid w:val="00032863"/>
    <w:rsid w:val="0003325E"/>
    <w:rsid w:val="00033512"/>
    <w:rsid w:val="000338FE"/>
    <w:rsid w:val="0003393B"/>
    <w:rsid w:val="00033D2F"/>
    <w:rsid w:val="00033EFA"/>
    <w:rsid w:val="00033FBF"/>
    <w:rsid w:val="0003417F"/>
    <w:rsid w:val="0003453C"/>
    <w:rsid w:val="00034A42"/>
    <w:rsid w:val="00034E13"/>
    <w:rsid w:val="00034EB0"/>
    <w:rsid w:val="00034FAE"/>
    <w:rsid w:val="00034FF1"/>
    <w:rsid w:val="00035748"/>
    <w:rsid w:val="000359E1"/>
    <w:rsid w:val="00035A3B"/>
    <w:rsid w:val="00035DB7"/>
    <w:rsid w:val="00036DBB"/>
    <w:rsid w:val="00036E5A"/>
    <w:rsid w:val="00036E85"/>
    <w:rsid w:val="00036EF1"/>
    <w:rsid w:val="00037341"/>
    <w:rsid w:val="000374E7"/>
    <w:rsid w:val="00037641"/>
    <w:rsid w:val="00037BB4"/>
    <w:rsid w:val="00037F2D"/>
    <w:rsid w:val="00037FC0"/>
    <w:rsid w:val="0004008E"/>
    <w:rsid w:val="000407B1"/>
    <w:rsid w:val="00040A8E"/>
    <w:rsid w:val="00040AEA"/>
    <w:rsid w:val="00040F7D"/>
    <w:rsid w:val="000411B5"/>
    <w:rsid w:val="00041967"/>
    <w:rsid w:val="00041C4C"/>
    <w:rsid w:val="000426D8"/>
    <w:rsid w:val="0004297F"/>
    <w:rsid w:val="00042A86"/>
    <w:rsid w:val="00042D84"/>
    <w:rsid w:val="000434C1"/>
    <w:rsid w:val="00043D65"/>
    <w:rsid w:val="000441C7"/>
    <w:rsid w:val="0004422C"/>
    <w:rsid w:val="00044260"/>
    <w:rsid w:val="0004450B"/>
    <w:rsid w:val="0004458F"/>
    <w:rsid w:val="00044AA9"/>
    <w:rsid w:val="00044CDF"/>
    <w:rsid w:val="00044F62"/>
    <w:rsid w:val="00045306"/>
    <w:rsid w:val="00045800"/>
    <w:rsid w:val="000458B7"/>
    <w:rsid w:val="00045FE8"/>
    <w:rsid w:val="000469E6"/>
    <w:rsid w:val="00046D2C"/>
    <w:rsid w:val="000475CD"/>
    <w:rsid w:val="000477D8"/>
    <w:rsid w:val="00047874"/>
    <w:rsid w:val="00047A50"/>
    <w:rsid w:val="00047F4A"/>
    <w:rsid w:val="00047F4F"/>
    <w:rsid w:val="000502EF"/>
    <w:rsid w:val="00050B9E"/>
    <w:rsid w:val="00051A5C"/>
    <w:rsid w:val="00051F1D"/>
    <w:rsid w:val="000523D1"/>
    <w:rsid w:val="00052638"/>
    <w:rsid w:val="00052B8F"/>
    <w:rsid w:val="00052F5B"/>
    <w:rsid w:val="00052FCD"/>
    <w:rsid w:val="000536BC"/>
    <w:rsid w:val="00053CA1"/>
    <w:rsid w:val="00053D76"/>
    <w:rsid w:val="00054612"/>
    <w:rsid w:val="00054A0E"/>
    <w:rsid w:val="000556C5"/>
    <w:rsid w:val="0005572E"/>
    <w:rsid w:val="00055788"/>
    <w:rsid w:val="00055993"/>
    <w:rsid w:val="00055BAD"/>
    <w:rsid w:val="00056286"/>
    <w:rsid w:val="00056CBC"/>
    <w:rsid w:val="00056ED4"/>
    <w:rsid w:val="0005720D"/>
    <w:rsid w:val="00057D06"/>
    <w:rsid w:val="00057EB5"/>
    <w:rsid w:val="00057F80"/>
    <w:rsid w:val="00060712"/>
    <w:rsid w:val="00060803"/>
    <w:rsid w:val="000609F5"/>
    <w:rsid w:val="00060ADE"/>
    <w:rsid w:val="00060B72"/>
    <w:rsid w:val="00061022"/>
    <w:rsid w:val="000612FD"/>
    <w:rsid w:val="00061C8B"/>
    <w:rsid w:val="000623C6"/>
    <w:rsid w:val="00062601"/>
    <w:rsid w:val="0006342E"/>
    <w:rsid w:val="0006353D"/>
    <w:rsid w:val="0006356A"/>
    <w:rsid w:val="0006387D"/>
    <w:rsid w:val="00063985"/>
    <w:rsid w:val="00064188"/>
    <w:rsid w:val="000642AA"/>
    <w:rsid w:val="00064973"/>
    <w:rsid w:val="000649EC"/>
    <w:rsid w:val="00064A1B"/>
    <w:rsid w:val="00064DEC"/>
    <w:rsid w:val="00064E81"/>
    <w:rsid w:val="00065291"/>
    <w:rsid w:val="00065708"/>
    <w:rsid w:val="00065EB4"/>
    <w:rsid w:val="00065F24"/>
    <w:rsid w:val="0006634C"/>
    <w:rsid w:val="00066408"/>
    <w:rsid w:val="00066476"/>
    <w:rsid w:val="000669D9"/>
    <w:rsid w:val="000669FF"/>
    <w:rsid w:val="00066ADC"/>
    <w:rsid w:val="00066EE5"/>
    <w:rsid w:val="00066FFF"/>
    <w:rsid w:val="00067260"/>
    <w:rsid w:val="0006759F"/>
    <w:rsid w:val="0006784C"/>
    <w:rsid w:val="00070469"/>
    <w:rsid w:val="00070D2F"/>
    <w:rsid w:val="00070EFA"/>
    <w:rsid w:val="00071450"/>
    <w:rsid w:val="000715E8"/>
    <w:rsid w:val="00071916"/>
    <w:rsid w:val="00071A6D"/>
    <w:rsid w:val="00071BAE"/>
    <w:rsid w:val="00072015"/>
    <w:rsid w:val="0007209F"/>
    <w:rsid w:val="00072808"/>
    <w:rsid w:val="00073CF0"/>
    <w:rsid w:val="00073CFA"/>
    <w:rsid w:val="000741CD"/>
    <w:rsid w:val="000744A7"/>
    <w:rsid w:val="0007521D"/>
    <w:rsid w:val="000753F6"/>
    <w:rsid w:val="00075D7D"/>
    <w:rsid w:val="00075F10"/>
    <w:rsid w:val="00076514"/>
    <w:rsid w:val="00076CE7"/>
    <w:rsid w:val="00076CEC"/>
    <w:rsid w:val="00076D52"/>
    <w:rsid w:val="00076F35"/>
    <w:rsid w:val="000770DB"/>
    <w:rsid w:val="00077B2D"/>
    <w:rsid w:val="00077B6C"/>
    <w:rsid w:val="0008021B"/>
    <w:rsid w:val="00080230"/>
    <w:rsid w:val="000804B3"/>
    <w:rsid w:val="000804C5"/>
    <w:rsid w:val="00080A8B"/>
    <w:rsid w:val="00080AF2"/>
    <w:rsid w:val="00081416"/>
    <w:rsid w:val="00081A7F"/>
    <w:rsid w:val="00081AB6"/>
    <w:rsid w:val="00082A18"/>
    <w:rsid w:val="00082B23"/>
    <w:rsid w:val="00082C5F"/>
    <w:rsid w:val="00082CBC"/>
    <w:rsid w:val="00082F69"/>
    <w:rsid w:val="00083125"/>
    <w:rsid w:val="00083580"/>
    <w:rsid w:val="000835AA"/>
    <w:rsid w:val="000839C2"/>
    <w:rsid w:val="00084573"/>
    <w:rsid w:val="000845E4"/>
    <w:rsid w:val="0008490E"/>
    <w:rsid w:val="00084919"/>
    <w:rsid w:val="00084AF9"/>
    <w:rsid w:val="00084C67"/>
    <w:rsid w:val="000852B8"/>
    <w:rsid w:val="000853E6"/>
    <w:rsid w:val="00085475"/>
    <w:rsid w:val="00085972"/>
    <w:rsid w:val="000863DB"/>
    <w:rsid w:val="00086C62"/>
    <w:rsid w:val="00086DE9"/>
    <w:rsid w:val="0008711E"/>
    <w:rsid w:val="00087299"/>
    <w:rsid w:val="0008785F"/>
    <w:rsid w:val="000878C9"/>
    <w:rsid w:val="00087A69"/>
    <w:rsid w:val="00090825"/>
    <w:rsid w:val="00090B69"/>
    <w:rsid w:val="00090BCD"/>
    <w:rsid w:val="0009134A"/>
    <w:rsid w:val="000917DE"/>
    <w:rsid w:val="000918D4"/>
    <w:rsid w:val="00091C59"/>
    <w:rsid w:val="000922E7"/>
    <w:rsid w:val="0009261B"/>
    <w:rsid w:val="00092B28"/>
    <w:rsid w:val="00093164"/>
    <w:rsid w:val="00093660"/>
    <w:rsid w:val="00093731"/>
    <w:rsid w:val="00093732"/>
    <w:rsid w:val="00093AFD"/>
    <w:rsid w:val="00094851"/>
    <w:rsid w:val="000948C9"/>
    <w:rsid w:val="000948F8"/>
    <w:rsid w:val="00094907"/>
    <w:rsid w:val="00094C63"/>
    <w:rsid w:val="000958D8"/>
    <w:rsid w:val="00095AD5"/>
    <w:rsid w:val="00095DBE"/>
    <w:rsid w:val="00095F1B"/>
    <w:rsid w:val="00095F46"/>
    <w:rsid w:val="0009612D"/>
    <w:rsid w:val="000966CA"/>
    <w:rsid w:val="00096944"/>
    <w:rsid w:val="00096CE2"/>
    <w:rsid w:val="00096F13"/>
    <w:rsid w:val="000973A2"/>
    <w:rsid w:val="00097504"/>
    <w:rsid w:val="00097922"/>
    <w:rsid w:val="00097B8D"/>
    <w:rsid w:val="000A0104"/>
    <w:rsid w:val="000A013F"/>
    <w:rsid w:val="000A0142"/>
    <w:rsid w:val="000A06E0"/>
    <w:rsid w:val="000A0C23"/>
    <w:rsid w:val="000A0EE5"/>
    <w:rsid w:val="000A0F2D"/>
    <w:rsid w:val="000A1358"/>
    <w:rsid w:val="000A1E70"/>
    <w:rsid w:val="000A258F"/>
    <w:rsid w:val="000A2E5F"/>
    <w:rsid w:val="000A35C0"/>
    <w:rsid w:val="000A365D"/>
    <w:rsid w:val="000A3BE9"/>
    <w:rsid w:val="000A41EA"/>
    <w:rsid w:val="000A443E"/>
    <w:rsid w:val="000A484F"/>
    <w:rsid w:val="000A49EE"/>
    <w:rsid w:val="000A4EDB"/>
    <w:rsid w:val="000A4F51"/>
    <w:rsid w:val="000A52B5"/>
    <w:rsid w:val="000A55F8"/>
    <w:rsid w:val="000A5638"/>
    <w:rsid w:val="000A5913"/>
    <w:rsid w:val="000A61FA"/>
    <w:rsid w:val="000A6356"/>
    <w:rsid w:val="000A63C5"/>
    <w:rsid w:val="000A672E"/>
    <w:rsid w:val="000A69B1"/>
    <w:rsid w:val="000A6E70"/>
    <w:rsid w:val="000A6EC6"/>
    <w:rsid w:val="000A76C2"/>
    <w:rsid w:val="000B04F4"/>
    <w:rsid w:val="000B0BFE"/>
    <w:rsid w:val="000B216D"/>
    <w:rsid w:val="000B2273"/>
    <w:rsid w:val="000B26FD"/>
    <w:rsid w:val="000B2755"/>
    <w:rsid w:val="000B293F"/>
    <w:rsid w:val="000B2E1C"/>
    <w:rsid w:val="000B2F28"/>
    <w:rsid w:val="000B353F"/>
    <w:rsid w:val="000B363C"/>
    <w:rsid w:val="000B3BB4"/>
    <w:rsid w:val="000B41CC"/>
    <w:rsid w:val="000B4780"/>
    <w:rsid w:val="000B4EAE"/>
    <w:rsid w:val="000B5039"/>
    <w:rsid w:val="000B505B"/>
    <w:rsid w:val="000B5206"/>
    <w:rsid w:val="000B5238"/>
    <w:rsid w:val="000B57C0"/>
    <w:rsid w:val="000B602F"/>
    <w:rsid w:val="000B607A"/>
    <w:rsid w:val="000B665D"/>
    <w:rsid w:val="000B69A3"/>
    <w:rsid w:val="000B6B15"/>
    <w:rsid w:val="000B6F68"/>
    <w:rsid w:val="000B72CF"/>
    <w:rsid w:val="000B7310"/>
    <w:rsid w:val="000B7363"/>
    <w:rsid w:val="000C00B5"/>
    <w:rsid w:val="000C00E1"/>
    <w:rsid w:val="000C073D"/>
    <w:rsid w:val="000C07B6"/>
    <w:rsid w:val="000C07BC"/>
    <w:rsid w:val="000C111F"/>
    <w:rsid w:val="000C1515"/>
    <w:rsid w:val="000C17E6"/>
    <w:rsid w:val="000C1811"/>
    <w:rsid w:val="000C183B"/>
    <w:rsid w:val="000C1D1F"/>
    <w:rsid w:val="000C2975"/>
    <w:rsid w:val="000C2AE3"/>
    <w:rsid w:val="000C2E8E"/>
    <w:rsid w:val="000C31E4"/>
    <w:rsid w:val="000C3270"/>
    <w:rsid w:val="000C332D"/>
    <w:rsid w:val="000C3CA0"/>
    <w:rsid w:val="000C4058"/>
    <w:rsid w:val="000C4C97"/>
    <w:rsid w:val="000C55FB"/>
    <w:rsid w:val="000C5665"/>
    <w:rsid w:val="000C56E0"/>
    <w:rsid w:val="000C5927"/>
    <w:rsid w:val="000C5F15"/>
    <w:rsid w:val="000C6430"/>
    <w:rsid w:val="000C678E"/>
    <w:rsid w:val="000C67F5"/>
    <w:rsid w:val="000C69F0"/>
    <w:rsid w:val="000C709A"/>
    <w:rsid w:val="000C70AB"/>
    <w:rsid w:val="000C7255"/>
    <w:rsid w:val="000C75DB"/>
    <w:rsid w:val="000C76B5"/>
    <w:rsid w:val="000C786B"/>
    <w:rsid w:val="000C79A0"/>
    <w:rsid w:val="000C79CE"/>
    <w:rsid w:val="000C7AB6"/>
    <w:rsid w:val="000C7BBD"/>
    <w:rsid w:val="000D008C"/>
    <w:rsid w:val="000D0702"/>
    <w:rsid w:val="000D12E1"/>
    <w:rsid w:val="000D1481"/>
    <w:rsid w:val="000D1CA8"/>
    <w:rsid w:val="000D1F8E"/>
    <w:rsid w:val="000D209A"/>
    <w:rsid w:val="000D2275"/>
    <w:rsid w:val="000D22B4"/>
    <w:rsid w:val="000D22EB"/>
    <w:rsid w:val="000D23AC"/>
    <w:rsid w:val="000D267E"/>
    <w:rsid w:val="000D29C8"/>
    <w:rsid w:val="000D2DF9"/>
    <w:rsid w:val="000D3069"/>
    <w:rsid w:val="000D36C8"/>
    <w:rsid w:val="000D36F2"/>
    <w:rsid w:val="000D3CAA"/>
    <w:rsid w:val="000D3DB0"/>
    <w:rsid w:val="000D3E1C"/>
    <w:rsid w:val="000D3F18"/>
    <w:rsid w:val="000D4090"/>
    <w:rsid w:val="000D42E2"/>
    <w:rsid w:val="000D4460"/>
    <w:rsid w:val="000D45FB"/>
    <w:rsid w:val="000D460C"/>
    <w:rsid w:val="000D47F4"/>
    <w:rsid w:val="000D48BE"/>
    <w:rsid w:val="000D4AF7"/>
    <w:rsid w:val="000D52DF"/>
    <w:rsid w:val="000D59B3"/>
    <w:rsid w:val="000D5ADC"/>
    <w:rsid w:val="000D5C6B"/>
    <w:rsid w:val="000D6E1E"/>
    <w:rsid w:val="000D72E0"/>
    <w:rsid w:val="000D7870"/>
    <w:rsid w:val="000D7AB5"/>
    <w:rsid w:val="000D7D00"/>
    <w:rsid w:val="000E017E"/>
    <w:rsid w:val="000E0271"/>
    <w:rsid w:val="000E02B6"/>
    <w:rsid w:val="000E071F"/>
    <w:rsid w:val="000E0B08"/>
    <w:rsid w:val="000E0C67"/>
    <w:rsid w:val="000E0E0C"/>
    <w:rsid w:val="000E16B6"/>
    <w:rsid w:val="000E16F2"/>
    <w:rsid w:val="000E1A02"/>
    <w:rsid w:val="000E1DC9"/>
    <w:rsid w:val="000E215E"/>
    <w:rsid w:val="000E231D"/>
    <w:rsid w:val="000E3310"/>
    <w:rsid w:val="000E35AE"/>
    <w:rsid w:val="000E4568"/>
    <w:rsid w:val="000E4596"/>
    <w:rsid w:val="000E45F6"/>
    <w:rsid w:val="000E4D5C"/>
    <w:rsid w:val="000E53B9"/>
    <w:rsid w:val="000E55B2"/>
    <w:rsid w:val="000E5DC8"/>
    <w:rsid w:val="000E60E7"/>
    <w:rsid w:val="000E64D8"/>
    <w:rsid w:val="000E6929"/>
    <w:rsid w:val="000E6955"/>
    <w:rsid w:val="000E6A73"/>
    <w:rsid w:val="000E6DC6"/>
    <w:rsid w:val="000E72D4"/>
    <w:rsid w:val="000E7415"/>
    <w:rsid w:val="000E7A90"/>
    <w:rsid w:val="000F174A"/>
    <w:rsid w:val="000F179E"/>
    <w:rsid w:val="000F1AAA"/>
    <w:rsid w:val="000F1B98"/>
    <w:rsid w:val="000F1C84"/>
    <w:rsid w:val="000F1D8D"/>
    <w:rsid w:val="000F1DC2"/>
    <w:rsid w:val="000F2397"/>
    <w:rsid w:val="000F2501"/>
    <w:rsid w:val="000F2514"/>
    <w:rsid w:val="000F26AB"/>
    <w:rsid w:val="000F27FE"/>
    <w:rsid w:val="000F2DE3"/>
    <w:rsid w:val="000F3B52"/>
    <w:rsid w:val="000F3DFE"/>
    <w:rsid w:val="000F3E12"/>
    <w:rsid w:val="000F3FFE"/>
    <w:rsid w:val="000F4307"/>
    <w:rsid w:val="000F44C6"/>
    <w:rsid w:val="000F44EC"/>
    <w:rsid w:val="000F49EB"/>
    <w:rsid w:val="000F4C4B"/>
    <w:rsid w:val="000F551B"/>
    <w:rsid w:val="000F5694"/>
    <w:rsid w:val="000F584F"/>
    <w:rsid w:val="000F5D47"/>
    <w:rsid w:val="000F60CA"/>
    <w:rsid w:val="000F621C"/>
    <w:rsid w:val="000F6548"/>
    <w:rsid w:val="000F68FB"/>
    <w:rsid w:val="000F6CA5"/>
    <w:rsid w:val="000F6E93"/>
    <w:rsid w:val="000F712A"/>
    <w:rsid w:val="000F717E"/>
    <w:rsid w:val="000F717F"/>
    <w:rsid w:val="000F758D"/>
    <w:rsid w:val="000F7982"/>
    <w:rsid w:val="000F799C"/>
    <w:rsid w:val="0010059D"/>
    <w:rsid w:val="00100639"/>
    <w:rsid w:val="001006A8"/>
    <w:rsid w:val="001009E8"/>
    <w:rsid w:val="00100BF5"/>
    <w:rsid w:val="00100F06"/>
    <w:rsid w:val="0010134B"/>
    <w:rsid w:val="00101387"/>
    <w:rsid w:val="0010147F"/>
    <w:rsid w:val="0010158F"/>
    <w:rsid w:val="001017F6"/>
    <w:rsid w:val="00101AB8"/>
    <w:rsid w:val="00101F51"/>
    <w:rsid w:val="001022A1"/>
    <w:rsid w:val="001026CA"/>
    <w:rsid w:val="00102B12"/>
    <w:rsid w:val="00102E54"/>
    <w:rsid w:val="00102FE7"/>
    <w:rsid w:val="00102FEB"/>
    <w:rsid w:val="0010341F"/>
    <w:rsid w:val="001035AF"/>
    <w:rsid w:val="00103DC6"/>
    <w:rsid w:val="00103EF6"/>
    <w:rsid w:val="00104041"/>
    <w:rsid w:val="001040BB"/>
    <w:rsid w:val="0010425F"/>
    <w:rsid w:val="001043B3"/>
    <w:rsid w:val="001044B6"/>
    <w:rsid w:val="00104652"/>
    <w:rsid w:val="00104A0D"/>
    <w:rsid w:val="00104D61"/>
    <w:rsid w:val="00104D9B"/>
    <w:rsid w:val="00105C8E"/>
    <w:rsid w:val="00105CC8"/>
    <w:rsid w:val="00106006"/>
    <w:rsid w:val="001060E5"/>
    <w:rsid w:val="001062CD"/>
    <w:rsid w:val="00106312"/>
    <w:rsid w:val="001067BB"/>
    <w:rsid w:val="00106C0E"/>
    <w:rsid w:val="001072F0"/>
    <w:rsid w:val="00107388"/>
    <w:rsid w:val="00107609"/>
    <w:rsid w:val="00107958"/>
    <w:rsid w:val="001079A5"/>
    <w:rsid w:val="00107A0C"/>
    <w:rsid w:val="00107EE2"/>
    <w:rsid w:val="00110650"/>
    <w:rsid w:val="001106DA"/>
    <w:rsid w:val="00110725"/>
    <w:rsid w:val="00110F2F"/>
    <w:rsid w:val="0011122E"/>
    <w:rsid w:val="00111581"/>
    <w:rsid w:val="00112039"/>
    <w:rsid w:val="001129F3"/>
    <w:rsid w:val="00112E9E"/>
    <w:rsid w:val="00112F81"/>
    <w:rsid w:val="00112FDA"/>
    <w:rsid w:val="00113277"/>
    <w:rsid w:val="00113574"/>
    <w:rsid w:val="00113776"/>
    <w:rsid w:val="001138D3"/>
    <w:rsid w:val="0011406D"/>
    <w:rsid w:val="00114656"/>
    <w:rsid w:val="00114DFB"/>
    <w:rsid w:val="00114E82"/>
    <w:rsid w:val="00114FF4"/>
    <w:rsid w:val="0011535C"/>
    <w:rsid w:val="001158C1"/>
    <w:rsid w:val="00115DA8"/>
    <w:rsid w:val="001169AE"/>
    <w:rsid w:val="00116A05"/>
    <w:rsid w:val="00116DC1"/>
    <w:rsid w:val="00117244"/>
    <w:rsid w:val="0011757D"/>
    <w:rsid w:val="001175E3"/>
    <w:rsid w:val="0011763D"/>
    <w:rsid w:val="001176EC"/>
    <w:rsid w:val="00117A05"/>
    <w:rsid w:val="00117CB2"/>
    <w:rsid w:val="0012026F"/>
    <w:rsid w:val="0012032E"/>
    <w:rsid w:val="00120880"/>
    <w:rsid w:val="00120B39"/>
    <w:rsid w:val="00120B8F"/>
    <w:rsid w:val="00120CC2"/>
    <w:rsid w:val="00120D10"/>
    <w:rsid w:val="0012107A"/>
    <w:rsid w:val="0012110E"/>
    <w:rsid w:val="0012131E"/>
    <w:rsid w:val="00121388"/>
    <w:rsid w:val="00122222"/>
    <w:rsid w:val="001225AB"/>
    <w:rsid w:val="00122CB2"/>
    <w:rsid w:val="00122EFA"/>
    <w:rsid w:val="0012361C"/>
    <w:rsid w:val="0012370F"/>
    <w:rsid w:val="001238E5"/>
    <w:rsid w:val="001239CD"/>
    <w:rsid w:val="00123A2E"/>
    <w:rsid w:val="00124071"/>
    <w:rsid w:val="00124683"/>
    <w:rsid w:val="00124787"/>
    <w:rsid w:val="00125174"/>
    <w:rsid w:val="001253FB"/>
    <w:rsid w:val="001255CB"/>
    <w:rsid w:val="00125938"/>
    <w:rsid w:val="001259C6"/>
    <w:rsid w:val="00125AD6"/>
    <w:rsid w:val="00125F0A"/>
    <w:rsid w:val="001266DB"/>
    <w:rsid w:val="001267D4"/>
    <w:rsid w:val="0012696F"/>
    <w:rsid w:val="00126D31"/>
    <w:rsid w:val="00126E93"/>
    <w:rsid w:val="00127062"/>
    <w:rsid w:val="00127284"/>
    <w:rsid w:val="00127766"/>
    <w:rsid w:val="001303B4"/>
    <w:rsid w:val="00130860"/>
    <w:rsid w:val="00130BA7"/>
    <w:rsid w:val="00130CB3"/>
    <w:rsid w:val="00130EA2"/>
    <w:rsid w:val="00130EA9"/>
    <w:rsid w:val="00131482"/>
    <w:rsid w:val="00131919"/>
    <w:rsid w:val="0013266A"/>
    <w:rsid w:val="0013269E"/>
    <w:rsid w:val="00132900"/>
    <w:rsid w:val="00134325"/>
    <w:rsid w:val="00134395"/>
    <w:rsid w:val="0013443B"/>
    <w:rsid w:val="00135157"/>
    <w:rsid w:val="00135480"/>
    <w:rsid w:val="00135670"/>
    <w:rsid w:val="001358B2"/>
    <w:rsid w:val="00135972"/>
    <w:rsid w:val="00135E9E"/>
    <w:rsid w:val="001360FC"/>
    <w:rsid w:val="00136BE4"/>
    <w:rsid w:val="00136C22"/>
    <w:rsid w:val="00136F48"/>
    <w:rsid w:val="00136F53"/>
    <w:rsid w:val="001371FF"/>
    <w:rsid w:val="001373AF"/>
    <w:rsid w:val="00137B55"/>
    <w:rsid w:val="001400A9"/>
    <w:rsid w:val="0014036B"/>
    <w:rsid w:val="00140F2B"/>
    <w:rsid w:val="001414CD"/>
    <w:rsid w:val="00142219"/>
    <w:rsid w:val="0014251E"/>
    <w:rsid w:val="001425F9"/>
    <w:rsid w:val="0014269B"/>
    <w:rsid w:val="00142BD8"/>
    <w:rsid w:val="00142C15"/>
    <w:rsid w:val="00142CF7"/>
    <w:rsid w:val="00142EAA"/>
    <w:rsid w:val="00143267"/>
    <w:rsid w:val="001435CD"/>
    <w:rsid w:val="0014360F"/>
    <w:rsid w:val="00143757"/>
    <w:rsid w:val="00143EF5"/>
    <w:rsid w:val="00143F09"/>
    <w:rsid w:val="00144688"/>
    <w:rsid w:val="001447A0"/>
    <w:rsid w:val="0014497F"/>
    <w:rsid w:val="00144F43"/>
    <w:rsid w:val="00145197"/>
    <w:rsid w:val="00145689"/>
    <w:rsid w:val="00145890"/>
    <w:rsid w:val="001463A5"/>
    <w:rsid w:val="00146A23"/>
    <w:rsid w:val="00146B06"/>
    <w:rsid w:val="00146DDD"/>
    <w:rsid w:val="00146E58"/>
    <w:rsid w:val="00146FB3"/>
    <w:rsid w:val="001470D1"/>
    <w:rsid w:val="00147145"/>
    <w:rsid w:val="00147407"/>
    <w:rsid w:val="001476D4"/>
    <w:rsid w:val="00150096"/>
    <w:rsid w:val="0015032B"/>
    <w:rsid w:val="00150446"/>
    <w:rsid w:val="00150583"/>
    <w:rsid w:val="001508E4"/>
    <w:rsid w:val="00150D50"/>
    <w:rsid w:val="00150E30"/>
    <w:rsid w:val="0015155C"/>
    <w:rsid w:val="001515A8"/>
    <w:rsid w:val="001519B6"/>
    <w:rsid w:val="00151A01"/>
    <w:rsid w:val="00152532"/>
    <w:rsid w:val="00152599"/>
    <w:rsid w:val="001525E2"/>
    <w:rsid w:val="001526C2"/>
    <w:rsid w:val="001527A9"/>
    <w:rsid w:val="00152D02"/>
    <w:rsid w:val="00152DFB"/>
    <w:rsid w:val="0015380A"/>
    <w:rsid w:val="00153BAF"/>
    <w:rsid w:val="001542D1"/>
    <w:rsid w:val="0015449F"/>
    <w:rsid w:val="001544DD"/>
    <w:rsid w:val="00154C08"/>
    <w:rsid w:val="00154CB6"/>
    <w:rsid w:val="0015566F"/>
    <w:rsid w:val="0015570D"/>
    <w:rsid w:val="00155FCB"/>
    <w:rsid w:val="00156329"/>
    <w:rsid w:val="00157346"/>
    <w:rsid w:val="00157622"/>
    <w:rsid w:val="00157BCA"/>
    <w:rsid w:val="00157F0B"/>
    <w:rsid w:val="00157F1C"/>
    <w:rsid w:val="00157FB2"/>
    <w:rsid w:val="00160152"/>
    <w:rsid w:val="00160F7E"/>
    <w:rsid w:val="00160FB6"/>
    <w:rsid w:val="00160FB9"/>
    <w:rsid w:val="001611EF"/>
    <w:rsid w:val="00162782"/>
    <w:rsid w:val="001628FE"/>
    <w:rsid w:val="00162EAE"/>
    <w:rsid w:val="00162F5B"/>
    <w:rsid w:val="00162F5C"/>
    <w:rsid w:val="0016305A"/>
    <w:rsid w:val="001630EB"/>
    <w:rsid w:val="0016314D"/>
    <w:rsid w:val="00163778"/>
    <w:rsid w:val="00163859"/>
    <w:rsid w:val="00163B25"/>
    <w:rsid w:val="00163D79"/>
    <w:rsid w:val="001641FF"/>
    <w:rsid w:val="001643F2"/>
    <w:rsid w:val="00164520"/>
    <w:rsid w:val="0016481A"/>
    <w:rsid w:val="00164870"/>
    <w:rsid w:val="00164D32"/>
    <w:rsid w:val="00164DA4"/>
    <w:rsid w:val="00166298"/>
    <w:rsid w:val="001663C8"/>
    <w:rsid w:val="0016653A"/>
    <w:rsid w:val="00166B35"/>
    <w:rsid w:val="00166ED2"/>
    <w:rsid w:val="0016721A"/>
    <w:rsid w:val="001678D9"/>
    <w:rsid w:val="00167EFB"/>
    <w:rsid w:val="001705FC"/>
    <w:rsid w:val="00170622"/>
    <w:rsid w:val="00170673"/>
    <w:rsid w:val="001707D7"/>
    <w:rsid w:val="00170D25"/>
    <w:rsid w:val="00170FB3"/>
    <w:rsid w:val="00171199"/>
    <w:rsid w:val="00171CF5"/>
    <w:rsid w:val="00172060"/>
    <w:rsid w:val="0017209B"/>
    <w:rsid w:val="00172188"/>
    <w:rsid w:val="00172549"/>
    <w:rsid w:val="001728FC"/>
    <w:rsid w:val="001729FD"/>
    <w:rsid w:val="00172A96"/>
    <w:rsid w:val="00172AB2"/>
    <w:rsid w:val="00172E6F"/>
    <w:rsid w:val="00172F06"/>
    <w:rsid w:val="00174D3D"/>
    <w:rsid w:val="00174E3F"/>
    <w:rsid w:val="001751D7"/>
    <w:rsid w:val="001755CC"/>
    <w:rsid w:val="001755D8"/>
    <w:rsid w:val="00175729"/>
    <w:rsid w:val="001764BF"/>
    <w:rsid w:val="0017682B"/>
    <w:rsid w:val="00176DB6"/>
    <w:rsid w:val="00176E1C"/>
    <w:rsid w:val="001770B0"/>
    <w:rsid w:val="00177653"/>
    <w:rsid w:val="00177A80"/>
    <w:rsid w:val="00177D98"/>
    <w:rsid w:val="00177F78"/>
    <w:rsid w:val="001803F4"/>
    <w:rsid w:val="00180601"/>
    <w:rsid w:val="00181222"/>
    <w:rsid w:val="001814C4"/>
    <w:rsid w:val="00181BBA"/>
    <w:rsid w:val="001820D8"/>
    <w:rsid w:val="00182478"/>
    <w:rsid w:val="00182607"/>
    <w:rsid w:val="0018274A"/>
    <w:rsid w:val="00182CCF"/>
    <w:rsid w:val="00183034"/>
    <w:rsid w:val="001831AC"/>
    <w:rsid w:val="001839F1"/>
    <w:rsid w:val="00184326"/>
    <w:rsid w:val="001843FC"/>
    <w:rsid w:val="0018480F"/>
    <w:rsid w:val="00184D47"/>
    <w:rsid w:val="00184FCC"/>
    <w:rsid w:val="00185167"/>
    <w:rsid w:val="0018518D"/>
    <w:rsid w:val="001855CA"/>
    <w:rsid w:val="00185739"/>
    <w:rsid w:val="001857B0"/>
    <w:rsid w:val="0018583E"/>
    <w:rsid w:val="00185AFF"/>
    <w:rsid w:val="00185B0D"/>
    <w:rsid w:val="00185F18"/>
    <w:rsid w:val="00185F46"/>
    <w:rsid w:val="001865F4"/>
    <w:rsid w:val="00186A97"/>
    <w:rsid w:val="00186D7E"/>
    <w:rsid w:val="00187303"/>
    <w:rsid w:val="00187831"/>
    <w:rsid w:val="00187930"/>
    <w:rsid w:val="0019020C"/>
    <w:rsid w:val="0019030F"/>
    <w:rsid w:val="00190621"/>
    <w:rsid w:val="001906B1"/>
    <w:rsid w:val="00190992"/>
    <w:rsid w:val="00190A1D"/>
    <w:rsid w:val="001911B3"/>
    <w:rsid w:val="00191412"/>
    <w:rsid w:val="00191763"/>
    <w:rsid w:val="0019182E"/>
    <w:rsid w:val="00191A20"/>
    <w:rsid w:val="00192DF3"/>
    <w:rsid w:val="00192FCD"/>
    <w:rsid w:val="00193910"/>
    <w:rsid w:val="001939BB"/>
    <w:rsid w:val="00194077"/>
    <w:rsid w:val="00194322"/>
    <w:rsid w:val="001944F6"/>
    <w:rsid w:val="00194940"/>
    <w:rsid w:val="00194B66"/>
    <w:rsid w:val="00194E02"/>
    <w:rsid w:val="0019530E"/>
    <w:rsid w:val="0019530F"/>
    <w:rsid w:val="001953DA"/>
    <w:rsid w:val="00195735"/>
    <w:rsid w:val="00195C58"/>
    <w:rsid w:val="00195DB7"/>
    <w:rsid w:val="00195F2A"/>
    <w:rsid w:val="00195F2E"/>
    <w:rsid w:val="00196A8E"/>
    <w:rsid w:val="0019788F"/>
    <w:rsid w:val="00197A58"/>
    <w:rsid w:val="001A004E"/>
    <w:rsid w:val="001A06EF"/>
    <w:rsid w:val="001A0B18"/>
    <w:rsid w:val="001A11DC"/>
    <w:rsid w:val="001A137B"/>
    <w:rsid w:val="001A1400"/>
    <w:rsid w:val="001A1671"/>
    <w:rsid w:val="001A1946"/>
    <w:rsid w:val="001A1BAC"/>
    <w:rsid w:val="001A1BF1"/>
    <w:rsid w:val="001A2355"/>
    <w:rsid w:val="001A239E"/>
    <w:rsid w:val="001A24F6"/>
    <w:rsid w:val="001A2745"/>
    <w:rsid w:val="001A280F"/>
    <w:rsid w:val="001A2B3D"/>
    <w:rsid w:val="001A2BE9"/>
    <w:rsid w:val="001A2D0F"/>
    <w:rsid w:val="001A3165"/>
    <w:rsid w:val="001A32A3"/>
    <w:rsid w:val="001A4960"/>
    <w:rsid w:val="001A512B"/>
    <w:rsid w:val="001A597D"/>
    <w:rsid w:val="001A5A0E"/>
    <w:rsid w:val="001A5BA1"/>
    <w:rsid w:val="001A60FA"/>
    <w:rsid w:val="001A6346"/>
    <w:rsid w:val="001A661C"/>
    <w:rsid w:val="001A732F"/>
    <w:rsid w:val="001A76C4"/>
    <w:rsid w:val="001A7A13"/>
    <w:rsid w:val="001A7C7A"/>
    <w:rsid w:val="001A7EFE"/>
    <w:rsid w:val="001B0145"/>
    <w:rsid w:val="001B05EC"/>
    <w:rsid w:val="001B074A"/>
    <w:rsid w:val="001B0919"/>
    <w:rsid w:val="001B0C7B"/>
    <w:rsid w:val="001B1151"/>
    <w:rsid w:val="001B1188"/>
    <w:rsid w:val="001B1350"/>
    <w:rsid w:val="001B187D"/>
    <w:rsid w:val="001B18A7"/>
    <w:rsid w:val="001B1D75"/>
    <w:rsid w:val="001B1DB4"/>
    <w:rsid w:val="001B1E07"/>
    <w:rsid w:val="001B2603"/>
    <w:rsid w:val="001B2697"/>
    <w:rsid w:val="001B26D8"/>
    <w:rsid w:val="001B27AA"/>
    <w:rsid w:val="001B28B1"/>
    <w:rsid w:val="001B35D7"/>
    <w:rsid w:val="001B4A65"/>
    <w:rsid w:val="001B4B12"/>
    <w:rsid w:val="001B5862"/>
    <w:rsid w:val="001B5865"/>
    <w:rsid w:val="001B59F0"/>
    <w:rsid w:val="001B5BBD"/>
    <w:rsid w:val="001B6382"/>
    <w:rsid w:val="001B6CB1"/>
    <w:rsid w:val="001B6CCD"/>
    <w:rsid w:val="001B70B2"/>
    <w:rsid w:val="001B7907"/>
    <w:rsid w:val="001B7B91"/>
    <w:rsid w:val="001C0809"/>
    <w:rsid w:val="001C0C68"/>
    <w:rsid w:val="001C0CF7"/>
    <w:rsid w:val="001C0E39"/>
    <w:rsid w:val="001C1183"/>
    <w:rsid w:val="001C182A"/>
    <w:rsid w:val="001C1F06"/>
    <w:rsid w:val="001C27BF"/>
    <w:rsid w:val="001C2AE1"/>
    <w:rsid w:val="001C2B92"/>
    <w:rsid w:val="001C31A9"/>
    <w:rsid w:val="001C3670"/>
    <w:rsid w:val="001C3BAA"/>
    <w:rsid w:val="001C3D3F"/>
    <w:rsid w:val="001C4117"/>
    <w:rsid w:val="001C42C0"/>
    <w:rsid w:val="001C4482"/>
    <w:rsid w:val="001C492F"/>
    <w:rsid w:val="001C4978"/>
    <w:rsid w:val="001C4B6C"/>
    <w:rsid w:val="001C4B92"/>
    <w:rsid w:val="001C4DB9"/>
    <w:rsid w:val="001C5073"/>
    <w:rsid w:val="001C5ECF"/>
    <w:rsid w:val="001C5F74"/>
    <w:rsid w:val="001C61F9"/>
    <w:rsid w:val="001C71ED"/>
    <w:rsid w:val="001C73CD"/>
    <w:rsid w:val="001C7779"/>
    <w:rsid w:val="001C7AAE"/>
    <w:rsid w:val="001D05A7"/>
    <w:rsid w:val="001D05F3"/>
    <w:rsid w:val="001D0EA8"/>
    <w:rsid w:val="001D0ED2"/>
    <w:rsid w:val="001D1628"/>
    <w:rsid w:val="001D1715"/>
    <w:rsid w:val="001D1BAF"/>
    <w:rsid w:val="001D1D6B"/>
    <w:rsid w:val="001D1FFA"/>
    <w:rsid w:val="001D25F3"/>
    <w:rsid w:val="001D26B2"/>
    <w:rsid w:val="001D3751"/>
    <w:rsid w:val="001D376D"/>
    <w:rsid w:val="001D38E9"/>
    <w:rsid w:val="001D3EA4"/>
    <w:rsid w:val="001D3EED"/>
    <w:rsid w:val="001D419E"/>
    <w:rsid w:val="001D4247"/>
    <w:rsid w:val="001D4719"/>
    <w:rsid w:val="001D4B11"/>
    <w:rsid w:val="001D537B"/>
    <w:rsid w:val="001D538E"/>
    <w:rsid w:val="001D5867"/>
    <w:rsid w:val="001D5AB3"/>
    <w:rsid w:val="001D5E90"/>
    <w:rsid w:val="001D5EFC"/>
    <w:rsid w:val="001D6361"/>
    <w:rsid w:val="001D651C"/>
    <w:rsid w:val="001D656E"/>
    <w:rsid w:val="001D6778"/>
    <w:rsid w:val="001D6941"/>
    <w:rsid w:val="001D69F4"/>
    <w:rsid w:val="001D6E04"/>
    <w:rsid w:val="001D705F"/>
    <w:rsid w:val="001D75B3"/>
    <w:rsid w:val="001E0B61"/>
    <w:rsid w:val="001E1195"/>
    <w:rsid w:val="001E1276"/>
    <w:rsid w:val="001E1610"/>
    <w:rsid w:val="001E1FD6"/>
    <w:rsid w:val="001E2949"/>
    <w:rsid w:val="001E3F37"/>
    <w:rsid w:val="001E3F7F"/>
    <w:rsid w:val="001E48BA"/>
    <w:rsid w:val="001E54CF"/>
    <w:rsid w:val="001E570D"/>
    <w:rsid w:val="001E5807"/>
    <w:rsid w:val="001E60EE"/>
    <w:rsid w:val="001E6381"/>
    <w:rsid w:val="001E65CB"/>
    <w:rsid w:val="001E662B"/>
    <w:rsid w:val="001E6ACA"/>
    <w:rsid w:val="001E7091"/>
    <w:rsid w:val="001E751C"/>
    <w:rsid w:val="001E786F"/>
    <w:rsid w:val="001E7AB8"/>
    <w:rsid w:val="001E7FD4"/>
    <w:rsid w:val="001F0025"/>
    <w:rsid w:val="001F014E"/>
    <w:rsid w:val="001F0509"/>
    <w:rsid w:val="001F0BCD"/>
    <w:rsid w:val="001F1440"/>
    <w:rsid w:val="001F1EC2"/>
    <w:rsid w:val="001F2069"/>
    <w:rsid w:val="001F2669"/>
    <w:rsid w:val="001F2686"/>
    <w:rsid w:val="001F26FE"/>
    <w:rsid w:val="001F285E"/>
    <w:rsid w:val="001F28C4"/>
    <w:rsid w:val="001F2916"/>
    <w:rsid w:val="001F2BC0"/>
    <w:rsid w:val="001F2CDC"/>
    <w:rsid w:val="001F2D64"/>
    <w:rsid w:val="001F323C"/>
    <w:rsid w:val="001F3A09"/>
    <w:rsid w:val="001F3B32"/>
    <w:rsid w:val="001F3C93"/>
    <w:rsid w:val="001F4275"/>
    <w:rsid w:val="001F42E4"/>
    <w:rsid w:val="001F43EB"/>
    <w:rsid w:val="001F4BCA"/>
    <w:rsid w:val="001F4CEE"/>
    <w:rsid w:val="001F4FA1"/>
    <w:rsid w:val="001F4FC9"/>
    <w:rsid w:val="001F55B4"/>
    <w:rsid w:val="001F5939"/>
    <w:rsid w:val="001F5ADE"/>
    <w:rsid w:val="001F62E7"/>
    <w:rsid w:val="001F67C2"/>
    <w:rsid w:val="001F6938"/>
    <w:rsid w:val="001F6A60"/>
    <w:rsid w:val="001F6FBD"/>
    <w:rsid w:val="001F7250"/>
    <w:rsid w:val="001F75FF"/>
    <w:rsid w:val="00200321"/>
    <w:rsid w:val="00200E73"/>
    <w:rsid w:val="00201CF6"/>
    <w:rsid w:val="00202524"/>
    <w:rsid w:val="002027BD"/>
    <w:rsid w:val="00202A4F"/>
    <w:rsid w:val="00202A57"/>
    <w:rsid w:val="00202AA8"/>
    <w:rsid w:val="00202B57"/>
    <w:rsid w:val="00202B9D"/>
    <w:rsid w:val="00203025"/>
    <w:rsid w:val="002037C0"/>
    <w:rsid w:val="00203F94"/>
    <w:rsid w:val="00203FFC"/>
    <w:rsid w:val="002042D2"/>
    <w:rsid w:val="0020442F"/>
    <w:rsid w:val="0020580B"/>
    <w:rsid w:val="00205A0B"/>
    <w:rsid w:val="00205A42"/>
    <w:rsid w:val="00205AF4"/>
    <w:rsid w:val="002061A4"/>
    <w:rsid w:val="0020644D"/>
    <w:rsid w:val="00206592"/>
    <w:rsid w:val="00206642"/>
    <w:rsid w:val="0020688A"/>
    <w:rsid w:val="00206A13"/>
    <w:rsid w:val="00206FA1"/>
    <w:rsid w:val="002071BD"/>
    <w:rsid w:val="00207DDC"/>
    <w:rsid w:val="002105C5"/>
    <w:rsid w:val="00210736"/>
    <w:rsid w:val="002108C7"/>
    <w:rsid w:val="00210E85"/>
    <w:rsid w:val="00210F81"/>
    <w:rsid w:val="00211622"/>
    <w:rsid w:val="00212080"/>
    <w:rsid w:val="00212364"/>
    <w:rsid w:val="00212413"/>
    <w:rsid w:val="002137B2"/>
    <w:rsid w:val="002138A8"/>
    <w:rsid w:val="0021417A"/>
    <w:rsid w:val="002143F8"/>
    <w:rsid w:val="00214B3E"/>
    <w:rsid w:val="00214DC8"/>
    <w:rsid w:val="00214E5F"/>
    <w:rsid w:val="002150F5"/>
    <w:rsid w:val="002156D1"/>
    <w:rsid w:val="00215C08"/>
    <w:rsid w:val="00215F30"/>
    <w:rsid w:val="0021638A"/>
    <w:rsid w:val="0021693E"/>
    <w:rsid w:val="00216A86"/>
    <w:rsid w:val="00216E7E"/>
    <w:rsid w:val="00216FC2"/>
    <w:rsid w:val="0021751E"/>
    <w:rsid w:val="00217581"/>
    <w:rsid w:val="002175F6"/>
    <w:rsid w:val="00217A4E"/>
    <w:rsid w:val="0022004A"/>
    <w:rsid w:val="002200D1"/>
    <w:rsid w:val="002201FE"/>
    <w:rsid w:val="002202F4"/>
    <w:rsid w:val="00220E13"/>
    <w:rsid w:val="00221533"/>
    <w:rsid w:val="00221B12"/>
    <w:rsid w:val="00221BF0"/>
    <w:rsid w:val="00221F05"/>
    <w:rsid w:val="00221F1A"/>
    <w:rsid w:val="0022202F"/>
    <w:rsid w:val="002224E6"/>
    <w:rsid w:val="00222F6B"/>
    <w:rsid w:val="00223B8B"/>
    <w:rsid w:val="00223BE6"/>
    <w:rsid w:val="00223CD5"/>
    <w:rsid w:val="002246AF"/>
    <w:rsid w:val="00225A8D"/>
    <w:rsid w:val="00225AE5"/>
    <w:rsid w:val="00225AFF"/>
    <w:rsid w:val="00225D7B"/>
    <w:rsid w:val="002260F4"/>
    <w:rsid w:val="002263A6"/>
    <w:rsid w:val="002263D2"/>
    <w:rsid w:val="0022698E"/>
    <w:rsid w:val="00226A70"/>
    <w:rsid w:val="00226DDF"/>
    <w:rsid w:val="002270AD"/>
    <w:rsid w:val="002270DC"/>
    <w:rsid w:val="00227208"/>
    <w:rsid w:val="00227354"/>
    <w:rsid w:val="002276B4"/>
    <w:rsid w:val="002278F6"/>
    <w:rsid w:val="00227912"/>
    <w:rsid w:val="00227B50"/>
    <w:rsid w:val="00227CD2"/>
    <w:rsid w:val="00227FAB"/>
    <w:rsid w:val="00230210"/>
    <w:rsid w:val="002303B2"/>
    <w:rsid w:val="002305D8"/>
    <w:rsid w:val="002309E9"/>
    <w:rsid w:val="00230A11"/>
    <w:rsid w:val="00230AAE"/>
    <w:rsid w:val="00231001"/>
    <w:rsid w:val="00231102"/>
    <w:rsid w:val="002311C3"/>
    <w:rsid w:val="002311EE"/>
    <w:rsid w:val="002319A0"/>
    <w:rsid w:val="00231E04"/>
    <w:rsid w:val="002323FA"/>
    <w:rsid w:val="00232A1C"/>
    <w:rsid w:val="00232E6B"/>
    <w:rsid w:val="00233488"/>
    <w:rsid w:val="00233D6E"/>
    <w:rsid w:val="00233EAF"/>
    <w:rsid w:val="00233ED1"/>
    <w:rsid w:val="0023417F"/>
    <w:rsid w:val="002346B6"/>
    <w:rsid w:val="0023471E"/>
    <w:rsid w:val="00234B16"/>
    <w:rsid w:val="002351A2"/>
    <w:rsid w:val="00235322"/>
    <w:rsid w:val="002359A5"/>
    <w:rsid w:val="00235F21"/>
    <w:rsid w:val="00235F63"/>
    <w:rsid w:val="00236205"/>
    <w:rsid w:val="00236209"/>
    <w:rsid w:val="002366C0"/>
    <w:rsid w:val="002367AB"/>
    <w:rsid w:val="00236B20"/>
    <w:rsid w:val="00236BAC"/>
    <w:rsid w:val="00236E16"/>
    <w:rsid w:val="002370F5"/>
    <w:rsid w:val="00237106"/>
    <w:rsid w:val="00237B46"/>
    <w:rsid w:val="00237C25"/>
    <w:rsid w:val="00237E48"/>
    <w:rsid w:val="0024007E"/>
    <w:rsid w:val="002400F7"/>
    <w:rsid w:val="0024088A"/>
    <w:rsid w:val="00240ACA"/>
    <w:rsid w:val="00240D0E"/>
    <w:rsid w:val="00240D7B"/>
    <w:rsid w:val="00241299"/>
    <w:rsid w:val="00242308"/>
    <w:rsid w:val="00242387"/>
    <w:rsid w:val="002425AB"/>
    <w:rsid w:val="00242B89"/>
    <w:rsid w:val="00242C42"/>
    <w:rsid w:val="00242CB0"/>
    <w:rsid w:val="002430AA"/>
    <w:rsid w:val="00243162"/>
    <w:rsid w:val="00243350"/>
    <w:rsid w:val="002434EB"/>
    <w:rsid w:val="002437ED"/>
    <w:rsid w:val="0024399A"/>
    <w:rsid w:val="00243B4F"/>
    <w:rsid w:val="00243FBA"/>
    <w:rsid w:val="00244543"/>
    <w:rsid w:val="002449C2"/>
    <w:rsid w:val="00244EBA"/>
    <w:rsid w:val="00245E13"/>
    <w:rsid w:val="00246005"/>
    <w:rsid w:val="00246C59"/>
    <w:rsid w:val="00246C9A"/>
    <w:rsid w:val="002471BD"/>
    <w:rsid w:val="0024733E"/>
    <w:rsid w:val="002474B9"/>
    <w:rsid w:val="00247A24"/>
    <w:rsid w:val="00247F35"/>
    <w:rsid w:val="00250623"/>
    <w:rsid w:val="0025071A"/>
    <w:rsid w:val="00250A8D"/>
    <w:rsid w:val="00250FDE"/>
    <w:rsid w:val="00251355"/>
    <w:rsid w:val="0025166B"/>
    <w:rsid w:val="00251708"/>
    <w:rsid w:val="0025170A"/>
    <w:rsid w:val="00251918"/>
    <w:rsid w:val="00251E40"/>
    <w:rsid w:val="0025232A"/>
    <w:rsid w:val="0025266F"/>
    <w:rsid w:val="00252D75"/>
    <w:rsid w:val="00252D7F"/>
    <w:rsid w:val="00252FCA"/>
    <w:rsid w:val="00253137"/>
    <w:rsid w:val="002531BC"/>
    <w:rsid w:val="00253405"/>
    <w:rsid w:val="0025348B"/>
    <w:rsid w:val="00253BF7"/>
    <w:rsid w:val="00254871"/>
    <w:rsid w:val="00254995"/>
    <w:rsid w:val="00254B97"/>
    <w:rsid w:val="00254DA9"/>
    <w:rsid w:val="00254FE8"/>
    <w:rsid w:val="00255462"/>
    <w:rsid w:val="00255D39"/>
    <w:rsid w:val="002561EB"/>
    <w:rsid w:val="00256233"/>
    <w:rsid w:val="002567EB"/>
    <w:rsid w:val="00256A8F"/>
    <w:rsid w:val="00256BA9"/>
    <w:rsid w:val="00256D56"/>
    <w:rsid w:val="002572AF"/>
    <w:rsid w:val="00257D32"/>
    <w:rsid w:val="00257D64"/>
    <w:rsid w:val="00260044"/>
    <w:rsid w:val="00260273"/>
    <w:rsid w:val="00260613"/>
    <w:rsid w:val="00260957"/>
    <w:rsid w:val="00261032"/>
    <w:rsid w:val="002621B2"/>
    <w:rsid w:val="00262D1F"/>
    <w:rsid w:val="00262D9F"/>
    <w:rsid w:val="00262F33"/>
    <w:rsid w:val="002630C4"/>
    <w:rsid w:val="002630E2"/>
    <w:rsid w:val="00263D24"/>
    <w:rsid w:val="002643F9"/>
    <w:rsid w:val="00264646"/>
    <w:rsid w:val="00264E86"/>
    <w:rsid w:val="002654AD"/>
    <w:rsid w:val="002654F0"/>
    <w:rsid w:val="00265506"/>
    <w:rsid w:val="00265AE4"/>
    <w:rsid w:val="00265E0C"/>
    <w:rsid w:val="00266444"/>
    <w:rsid w:val="00266D46"/>
    <w:rsid w:val="00266DDD"/>
    <w:rsid w:val="00267188"/>
    <w:rsid w:val="002671A2"/>
    <w:rsid w:val="002673DF"/>
    <w:rsid w:val="002679C4"/>
    <w:rsid w:val="00267B63"/>
    <w:rsid w:val="00267F1F"/>
    <w:rsid w:val="002702FC"/>
    <w:rsid w:val="002704D3"/>
    <w:rsid w:val="002705C6"/>
    <w:rsid w:val="0027060B"/>
    <w:rsid w:val="00270683"/>
    <w:rsid w:val="00270DFB"/>
    <w:rsid w:val="0027114C"/>
    <w:rsid w:val="00271BBD"/>
    <w:rsid w:val="00271CF4"/>
    <w:rsid w:val="00271E76"/>
    <w:rsid w:val="00271FB6"/>
    <w:rsid w:val="00271FC3"/>
    <w:rsid w:val="0027232D"/>
    <w:rsid w:val="002723A1"/>
    <w:rsid w:val="002726A4"/>
    <w:rsid w:val="00272746"/>
    <w:rsid w:val="0027292C"/>
    <w:rsid w:val="00272D1F"/>
    <w:rsid w:val="00272E9D"/>
    <w:rsid w:val="00272EC8"/>
    <w:rsid w:val="00272F5D"/>
    <w:rsid w:val="00273379"/>
    <w:rsid w:val="00273C41"/>
    <w:rsid w:val="00274137"/>
    <w:rsid w:val="002747C1"/>
    <w:rsid w:val="00274D0F"/>
    <w:rsid w:val="00275037"/>
    <w:rsid w:val="00275489"/>
    <w:rsid w:val="00275D60"/>
    <w:rsid w:val="002766CE"/>
    <w:rsid w:val="00276A05"/>
    <w:rsid w:val="00277500"/>
    <w:rsid w:val="0027788B"/>
    <w:rsid w:val="00277B7B"/>
    <w:rsid w:val="00277BF4"/>
    <w:rsid w:val="00277D6D"/>
    <w:rsid w:val="00277ECA"/>
    <w:rsid w:val="00280750"/>
    <w:rsid w:val="00280A0D"/>
    <w:rsid w:val="00280A4A"/>
    <w:rsid w:val="00280AF1"/>
    <w:rsid w:val="00280B64"/>
    <w:rsid w:val="00281061"/>
    <w:rsid w:val="0028125E"/>
    <w:rsid w:val="00281290"/>
    <w:rsid w:val="0028183D"/>
    <w:rsid w:val="002818FA"/>
    <w:rsid w:val="00281A5F"/>
    <w:rsid w:val="00281B12"/>
    <w:rsid w:val="00282529"/>
    <w:rsid w:val="002825A7"/>
    <w:rsid w:val="00282F3A"/>
    <w:rsid w:val="00282FAA"/>
    <w:rsid w:val="00283266"/>
    <w:rsid w:val="00283539"/>
    <w:rsid w:val="002842A8"/>
    <w:rsid w:val="002847B0"/>
    <w:rsid w:val="00284E86"/>
    <w:rsid w:val="0028500A"/>
    <w:rsid w:val="00285073"/>
    <w:rsid w:val="00285437"/>
    <w:rsid w:val="002857E6"/>
    <w:rsid w:val="002859FB"/>
    <w:rsid w:val="00285A8E"/>
    <w:rsid w:val="00285AEC"/>
    <w:rsid w:val="00285C26"/>
    <w:rsid w:val="0028602D"/>
    <w:rsid w:val="0028641A"/>
    <w:rsid w:val="0028701F"/>
    <w:rsid w:val="002872B6"/>
    <w:rsid w:val="002873E6"/>
    <w:rsid w:val="00287681"/>
    <w:rsid w:val="0028781E"/>
    <w:rsid w:val="00287BA9"/>
    <w:rsid w:val="00287EF7"/>
    <w:rsid w:val="00287F5B"/>
    <w:rsid w:val="002904D8"/>
    <w:rsid w:val="002911F0"/>
    <w:rsid w:val="00291F2F"/>
    <w:rsid w:val="00291F68"/>
    <w:rsid w:val="00292043"/>
    <w:rsid w:val="002920D7"/>
    <w:rsid w:val="0029235E"/>
    <w:rsid w:val="00292647"/>
    <w:rsid w:val="00292927"/>
    <w:rsid w:val="00292CF7"/>
    <w:rsid w:val="00292F23"/>
    <w:rsid w:val="00294181"/>
    <w:rsid w:val="00294230"/>
    <w:rsid w:val="00294383"/>
    <w:rsid w:val="0029438E"/>
    <w:rsid w:val="002946AB"/>
    <w:rsid w:val="002946B2"/>
    <w:rsid w:val="00294BD5"/>
    <w:rsid w:val="0029672A"/>
    <w:rsid w:val="00296998"/>
    <w:rsid w:val="00296AF4"/>
    <w:rsid w:val="00297609"/>
    <w:rsid w:val="00297893"/>
    <w:rsid w:val="00297B94"/>
    <w:rsid w:val="00297C35"/>
    <w:rsid w:val="002A0493"/>
    <w:rsid w:val="002A060A"/>
    <w:rsid w:val="002A0783"/>
    <w:rsid w:val="002A0915"/>
    <w:rsid w:val="002A0AF5"/>
    <w:rsid w:val="002A0BA3"/>
    <w:rsid w:val="002A0D22"/>
    <w:rsid w:val="002A0D42"/>
    <w:rsid w:val="002A0E6C"/>
    <w:rsid w:val="002A1164"/>
    <w:rsid w:val="002A127E"/>
    <w:rsid w:val="002A2BEB"/>
    <w:rsid w:val="002A2C78"/>
    <w:rsid w:val="002A3A93"/>
    <w:rsid w:val="002A3ECA"/>
    <w:rsid w:val="002A3FE4"/>
    <w:rsid w:val="002A4450"/>
    <w:rsid w:val="002A46FA"/>
    <w:rsid w:val="002A49CD"/>
    <w:rsid w:val="002A4A73"/>
    <w:rsid w:val="002A522A"/>
    <w:rsid w:val="002A5255"/>
    <w:rsid w:val="002A5EB0"/>
    <w:rsid w:val="002A60F1"/>
    <w:rsid w:val="002A61DE"/>
    <w:rsid w:val="002A61E2"/>
    <w:rsid w:val="002A635B"/>
    <w:rsid w:val="002A6444"/>
    <w:rsid w:val="002A658F"/>
    <w:rsid w:val="002A6750"/>
    <w:rsid w:val="002A6855"/>
    <w:rsid w:val="002A6DC5"/>
    <w:rsid w:val="002A71EC"/>
    <w:rsid w:val="002A7208"/>
    <w:rsid w:val="002A75D0"/>
    <w:rsid w:val="002A7BAF"/>
    <w:rsid w:val="002A7ED8"/>
    <w:rsid w:val="002B0145"/>
    <w:rsid w:val="002B0382"/>
    <w:rsid w:val="002B03E7"/>
    <w:rsid w:val="002B044E"/>
    <w:rsid w:val="002B0BDF"/>
    <w:rsid w:val="002B18F9"/>
    <w:rsid w:val="002B1DAA"/>
    <w:rsid w:val="002B2296"/>
    <w:rsid w:val="002B26E1"/>
    <w:rsid w:val="002B283D"/>
    <w:rsid w:val="002B28A9"/>
    <w:rsid w:val="002B29F8"/>
    <w:rsid w:val="002B2B14"/>
    <w:rsid w:val="002B2C40"/>
    <w:rsid w:val="002B2F63"/>
    <w:rsid w:val="002B3040"/>
    <w:rsid w:val="002B30FD"/>
    <w:rsid w:val="002B333B"/>
    <w:rsid w:val="002B4244"/>
    <w:rsid w:val="002B4377"/>
    <w:rsid w:val="002B4407"/>
    <w:rsid w:val="002B5B77"/>
    <w:rsid w:val="002B5B80"/>
    <w:rsid w:val="002B5D3D"/>
    <w:rsid w:val="002B5D8D"/>
    <w:rsid w:val="002B5DA9"/>
    <w:rsid w:val="002B60C5"/>
    <w:rsid w:val="002B6575"/>
    <w:rsid w:val="002B6679"/>
    <w:rsid w:val="002B67B7"/>
    <w:rsid w:val="002B6B97"/>
    <w:rsid w:val="002B748C"/>
    <w:rsid w:val="002B757C"/>
    <w:rsid w:val="002B7882"/>
    <w:rsid w:val="002C03B7"/>
    <w:rsid w:val="002C0429"/>
    <w:rsid w:val="002C06B2"/>
    <w:rsid w:val="002C0767"/>
    <w:rsid w:val="002C092D"/>
    <w:rsid w:val="002C0EE9"/>
    <w:rsid w:val="002C166E"/>
    <w:rsid w:val="002C16BE"/>
    <w:rsid w:val="002C171A"/>
    <w:rsid w:val="002C19E4"/>
    <w:rsid w:val="002C1CCB"/>
    <w:rsid w:val="002C1D3D"/>
    <w:rsid w:val="002C232D"/>
    <w:rsid w:val="002C24D8"/>
    <w:rsid w:val="002C257A"/>
    <w:rsid w:val="002C27FE"/>
    <w:rsid w:val="002C2838"/>
    <w:rsid w:val="002C3577"/>
    <w:rsid w:val="002C3676"/>
    <w:rsid w:val="002C3B39"/>
    <w:rsid w:val="002C3B97"/>
    <w:rsid w:val="002C3C03"/>
    <w:rsid w:val="002C3C10"/>
    <w:rsid w:val="002C3E84"/>
    <w:rsid w:val="002C44E1"/>
    <w:rsid w:val="002C4A1B"/>
    <w:rsid w:val="002C4E48"/>
    <w:rsid w:val="002C4F72"/>
    <w:rsid w:val="002C518B"/>
    <w:rsid w:val="002C5256"/>
    <w:rsid w:val="002C5FC5"/>
    <w:rsid w:val="002C666D"/>
    <w:rsid w:val="002C6CC4"/>
    <w:rsid w:val="002C6EF5"/>
    <w:rsid w:val="002C7166"/>
    <w:rsid w:val="002C7368"/>
    <w:rsid w:val="002C7542"/>
    <w:rsid w:val="002C79B8"/>
    <w:rsid w:val="002C7C84"/>
    <w:rsid w:val="002D09D1"/>
    <w:rsid w:val="002D0A56"/>
    <w:rsid w:val="002D106A"/>
    <w:rsid w:val="002D13C4"/>
    <w:rsid w:val="002D141E"/>
    <w:rsid w:val="002D1791"/>
    <w:rsid w:val="002D2191"/>
    <w:rsid w:val="002D2678"/>
    <w:rsid w:val="002D275E"/>
    <w:rsid w:val="002D2A1D"/>
    <w:rsid w:val="002D2C16"/>
    <w:rsid w:val="002D313F"/>
    <w:rsid w:val="002D339E"/>
    <w:rsid w:val="002D402C"/>
    <w:rsid w:val="002D41FE"/>
    <w:rsid w:val="002D422F"/>
    <w:rsid w:val="002D48DA"/>
    <w:rsid w:val="002D4C0F"/>
    <w:rsid w:val="002D4DA3"/>
    <w:rsid w:val="002D4E1E"/>
    <w:rsid w:val="002D5320"/>
    <w:rsid w:val="002D5452"/>
    <w:rsid w:val="002D5AFD"/>
    <w:rsid w:val="002D5FF2"/>
    <w:rsid w:val="002D6357"/>
    <w:rsid w:val="002D6366"/>
    <w:rsid w:val="002D65B8"/>
    <w:rsid w:val="002D6683"/>
    <w:rsid w:val="002D6997"/>
    <w:rsid w:val="002D6AB7"/>
    <w:rsid w:val="002D73B3"/>
    <w:rsid w:val="002D743D"/>
    <w:rsid w:val="002D7514"/>
    <w:rsid w:val="002D7584"/>
    <w:rsid w:val="002D7974"/>
    <w:rsid w:val="002D7A10"/>
    <w:rsid w:val="002E013D"/>
    <w:rsid w:val="002E01A0"/>
    <w:rsid w:val="002E039A"/>
    <w:rsid w:val="002E04F8"/>
    <w:rsid w:val="002E0697"/>
    <w:rsid w:val="002E07F1"/>
    <w:rsid w:val="002E0A68"/>
    <w:rsid w:val="002E0FA9"/>
    <w:rsid w:val="002E1293"/>
    <w:rsid w:val="002E1B16"/>
    <w:rsid w:val="002E1C71"/>
    <w:rsid w:val="002E2635"/>
    <w:rsid w:val="002E2747"/>
    <w:rsid w:val="002E2CCD"/>
    <w:rsid w:val="002E2D97"/>
    <w:rsid w:val="002E2F2E"/>
    <w:rsid w:val="002E3026"/>
    <w:rsid w:val="002E3731"/>
    <w:rsid w:val="002E3A8B"/>
    <w:rsid w:val="002E3C21"/>
    <w:rsid w:val="002E3F06"/>
    <w:rsid w:val="002E4786"/>
    <w:rsid w:val="002E4A4B"/>
    <w:rsid w:val="002E4B04"/>
    <w:rsid w:val="002E5839"/>
    <w:rsid w:val="002E5E87"/>
    <w:rsid w:val="002E6295"/>
    <w:rsid w:val="002E643A"/>
    <w:rsid w:val="002E64A9"/>
    <w:rsid w:val="002E6BCF"/>
    <w:rsid w:val="002E6FFA"/>
    <w:rsid w:val="002E7381"/>
    <w:rsid w:val="002E75F3"/>
    <w:rsid w:val="002E765B"/>
    <w:rsid w:val="002E7BAB"/>
    <w:rsid w:val="002E7F8F"/>
    <w:rsid w:val="002F0094"/>
    <w:rsid w:val="002F053D"/>
    <w:rsid w:val="002F112F"/>
    <w:rsid w:val="002F156F"/>
    <w:rsid w:val="002F15C6"/>
    <w:rsid w:val="002F1A77"/>
    <w:rsid w:val="002F1E13"/>
    <w:rsid w:val="002F20BC"/>
    <w:rsid w:val="002F2342"/>
    <w:rsid w:val="002F24F7"/>
    <w:rsid w:val="002F251E"/>
    <w:rsid w:val="002F2559"/>
    <w:rsid w:val="002F25AE"/>
    <w:rsid w:val="002F2733"/>
    <w:rsid w:val="002F2BB0"/>
    <w:rsid w:val="002F2D9C"/>
    <w:rsid w:val="002F2F9E"/>
    <w:rsid w:val="002F3213"/>
    <w:rsid w:val="002F37D3"/>
    <w:rsid w:val="002F3877"/>
    <w:rsid w:val="002F3D4D"/>
    <w:rsid w:val="002F3F04"/>
    <w:rsid w:val="002F41BA"/>
    <w:rsid w:val="002F49DD"/>
    <w:rsid w:val="002F4D3A"/>
    <w:rsid w:val="002F5A50"/>
    <w:rsid w:val="002F5B4A"/>
    <w:rsid w:val="002F5E86"/>
    <w:rsid w:val="002F662D"/>
    <w:rsid w:val="002F6BFA"/>
    <w:rsid w:val="002F6C34"/>
    <w:rsid w:val="002F6F81"/>
    <w:rsid w:val="002F7228"/>
    <w:rsid w:val="002F7249"/>
    <w:rsid w:val="002F750E"/>
    <w:rsid w:val="002F755A"/>
    <w:rsid w:val="002F759D"/>
    <w:rsid w:val="002F78C9"/>
    <w:rsid w:val="002F7DB7"/>
    <w:rsid w:val="00300137"/>
    <w:rsid w:val="0030016D"/>
    <w:rsid w:val="0030019C"/>
    <w:rsid w:val="0030077C"/>
    <w:rsid w:val="00300AD2"/>
    <w:rsid w:val="00300C2E"/>
    <w:rsid w:val="00300FDA"/>
    <w:rsid w:val="003010FC"/>
    <w:rsid w:val="003018AA"/>
    <w:rsid w:val="00301B7C"/>
    <w:rsid w:val="00302B6C"/>
    <w:rsid w:val="00303031"/>
    <w:rsid w:val="003030BC"/>
    <w:rsid w:val="003031CA"/>
    <w:rsid w:val="00303885"/>
    <w:rsid w:val="00303B99"/>
    <w:rsid w:val="00303D6C"/>
    <w:rsid w:val="00303E8C"/>
    <w:rsid w:val="00303F34"/>
    <w:rsid w:val="00304583"/>
    <w:rsid w:val="00304790"/>
    <w:rsid w:val="00305DFB"/>
    <w:rsid w:val="00306145"/>
    <w:rsid w:val="00306313"/>
    <w:rsid w:val="003065CD"/>
    <w:rsid w:val="0030665C"/>
    <w:rsid w:val="0030682C"/>
    <w:rsid w:val="00306D1F"/>
    <w:rsid w:val="00307009"/>
    <w:rsid w:val="0030714F"/>
    <w:rsid w:val="0030737B"/>
    <w:rsid w:val="003073E2"/>
    <w:rsid w:val="00307549"/>
    <w:rsid w:val="003079A1"/>
    <w:rsid w:val="00307A38"/>
    <w:rsid w:val="00307A91"/>
    <w:rsid w:val="00307DDF"/>
    <w:rsid w:val="003108F7"/>
    <w:rsid w:val="00310F4C"/>
    <w:rsid w:val="0031129E"/>
    <w:rsid w:val="003114C6"/>
    <w:rsid w:val="00311AE6"/>
    <w:rsid w:val="00311E64"/>
    <w:rsid w:val="00311F54"/>
    <w:rsid w:val="00311F63"/>
    <w:rsid w:val="003120C9"/>
    <w:rsid w:val="003121F1"/>
    <w:rsid w:val="003129EF"/>
    <w:rsid w:val="00312B14"/>
    <w:rsid w:val="003134B2"/>
    <w:rsid w:val="003135E2"/>
    <w:rsid w:val="00313706"/>
    <w:rsid w:val="00314A43"/>
    <w:rsid w:val="00315102"/>
    <w:rsid w:val="0031520C"/>
    <w:rsid w:val="00315694"/>
    <w:rsid w:val="00315A0E"/>
    <w:rsid w:val="00315A3D"/>
    <w:rsid w:val="00316486"/>
    <w:rsid w:val="00316699"/>
    <w:rsid w:val="00316963"/>
    <w:rsid w:val="003169F2"/>
    <w:rsid w:val="003170B2"/>
    <w:rsid w:val="003172C2"/>
    <w:rsid w:val="00317441"/>
    <w:rsid w:val="0031788C"/>
    <w:rsid w:val="003178CA"/>
    <w:rsid w:val="00317C68"/>
    <w:rsid w:val="00317F31"/>
    <w:rsid w:val="00320EC1"/>
    <w:rsid w:val="00320F00"/>
    <w:rsid w:val="00320FE4"/>
    <w:rsid w:val="00321083"/>
    <w:rsid w:val="003216D1"/>
    <w:rsid w:val="00322040"/>
    <w:rsid w:val="00322A48"/>
    <w:rsid w:val="00322AF6"/>
    <w:rsid w:val="0032372F"/>
    <w:rsid w:val="00323BAB"/>
    <w:rsid w:val="00323C9D"/>
    <w:rsid w:val="003240B8"/>
    <w:rsid w:val="003244CC"/>
    <w:rsid w:val="00324681"/>
    <w:rsid w:val="0032494C"/>
    <w:rsid w:val="00325422"/>
    <w:rsid w:val="00325C56"/>
    <w:rsid w:val="00325F50"/>
    <w:rsid w:val="003268C2"/>
    <w:rsid w:val="0032727E"/>
    <w:rsid w:val="003274BA"/>
    <w:rsid w:val="0032758B"/>
    <w:rsid w:val="00327B64"/>
    <w:rsid w:val="00330980"/>
    <w:rsid w:val="003316AB"/>
    <w:rsid w:val="0033170A"/>
    <w:rsid w:val="00331A5D"/>
    <w:rsid w:val="00331E31"/>
    <w:rsid w:val="00331EA4"/>
    <w:rsid w:val="00331EB6"/>
    <w:rsid w:val="003324FA"/>
    <w:rsid w:val="0033254C"/>
    <w:rsid w:val="00332B17"/>
    <w:rsid w:val="00332D49"/>
    <w:rsid w:val="00332FCA"/>
    <w:rsid w:val="00333110"/>
    <w:rsid w:val="003332D4"/>
    <w:rsid w:val="003337C4"/>
    <w:rsid w:val="00333A25"/>
    <w:rsid w:val="00333FDA"/>
    <w:rsid w:val="003340DE"/>
    <w:rsid w:val="00334417"/>
    <w:rsid w:val="003345B2"/>
    <w:rsid w:val="00334887"/>
    <w:rsid w:val="00334DD6"/>
    <w:rsid w:val="00334EC2"/>
    <w:rsid w:val="00334F48"/>
    <w:rsid w:val="003353B5"/>
    <w:rsid w:val="003355F8"/>
    <w:rsid w:val="00335804"/>
    <w:rsid w:val="0033584A"/>
    <w:rsid w:val="00335A8F"/>
    <w:rsid w:val="00335BE9"/>
    <w:rsid w:val="00335D17"/>
    <w:rsid w:val="00335FFE"/>
    <w:rsid w:val="0033657E"/>
    <w:rsid w:val="00336867"/>
    <w:rsid w:val="0033732D"/>
    <w:rsid w:val="00337723"/>
    <w:rsid w:val="00337BA8"/>
    <w:rsid w:val="00340C6D"/>
    <w:rsid w:val="00340D19"/>
    <w:rsid w:val="0034168D"/>
    <w:rsid w:val="00341F2F"/>
    <w:rsid w:val="00342193"/>
    <w:rsid w:val="003428C3"/>
    <w:rsid w:val="00342956"/>
    <w:rsid w:val="00342D6A"/>
    <w:rsid w:val="00343230"/>
    <w:rsid w:val="0034336D"/>
    <w:rsid w:val="00343461"/>
    <w:rsid w:val="0034395C"/>
    <w:rsid w:val="003439AF"/>
    <w:rsid w:val="00343B61"/>
    <w:rsid w:val="00343C6C"/>
    <w:rsid w:val="00343EC0"/>
    <w:rsid w:val="00344705"/>
    <w:rsid w:val="00344804"/>
    <w:rsid w:val="00344D49"/>
    <w:rsid w:val="00344E30"/>
    <w:rsid w:val="00345372"/>
    <w:rsid w:val="00345518"/>
    <w:rsid w:val="003456C8"/>
    <w:rsid w:val="00345E29"/>
    <w:rsid w:val="00345F9E"/>
    <w:rsid w:val="00346162"/>
    <w:rsid w:val="003468E7"/>
    <w:rsid w:val="00346C47"/>
    <w:rsid w:val="00346C74"/>
    <w:rsid w:val="00346C93"/>
    <w:rsid w:val="003473C2"/>
    <w:rsid w:val="00347863"/>
    <w:rsid w:val="00347A1F"/>
    <w:rsid w:val="0035014D"/>
    <w:rsid w:val="003508D7"/>
    <w:rsid w:val="003510FF"/>
    <w:rsid w:val="00351208"/>
    <w:rsid w:val="003518C8"/>
    <w:rsid w:val="0035194C"/>
    <w:rsid w:val="00351A51"/>
    <w:rsid w:val="00351E48"/>
    <w:rsid w:val="00352155"/>
    <w:rsid w:val="00352BC7"/>
    <w:rsid w:val="0035338B"/>
    <w:rsid w:val="003533B5"/>
    <w:rsid w:val="0035342E"/>
    <w:rsid w:val="00353CE3"/>
    <w:rsid w:val="00353DC0"/>
    <w:rsid w:val="00354187"/>
    <w:rsid w:val="003542D3"/>
    <w:rsid w:val="00354B2F"/>
    <w:rsid w:val="0035508D"/>
    <w:rsid w:val="0035559B"/>
    <w:rsid w:val="00356024"/>
    <w:rsid w:val="00356155"/>
    <w:rsid w:val="003561D9"/>
    <w:rsid w:val="00356313"/>
    <w:rsid w:val="003566BA"/>
    <w:rsid w:val="003568D9"/>
    <w:rsid w:val="0035728C"/>
    <w:rsid w:val="0036035C"/>
    <w:rsid w:val="00360426"/>
    <w:rsid w:val="0036063F"/>
    <w:rsid w:val="00360AF9"/>
    <w:rsid w:val="00360B65"/>
    <w:rsid w:val="00360C62"/>
    <w:rsid w:val="00361146"/>
    <w:rsid w:val="0036139E"/>
    <w:rsid w:val="00361563"/>
    <w:rsid w:val="00361619"/>
    <w:rsid w:val="00361F8D"/>
    <w:rsid w:val="0036204E"/>
    <w:rsid w:val="00362164"/>
    <w:rsid w:val="003622CA"/>
    <w:rsid w:val="0036258C"/>
    <w:rsid w:val="003628E7"/>
    <w:rsid w:val="003629F0"/>
    <w:rsid w:val="00363030"/>
    <w:rsid w:val="0036347F"/>
    <w:rsid w:val="00363603"/>
    <w:rsid w:val="00363EC5"/>
    <w:rsid w:val="00363F26"/>
    <w:rsid w:val="00363FF4"/>
    <w:rsid w:val="00364563"/>
    <w:rsid w:val="0036462C"/>
    <w:rsid w:val="00364A42"/>
    <w:rsid w:val="00364CC8"/>
    <w:rsid w:val="00364DDD"/>
    <w:rsid w:val="00365285"/>
    <w:rsid w:val="00365313"/>
    <w:rsid w:val="00365369"/>
    <w:rsid w:val="003653A1"/>
    <w:rsid w:val="0036588C"/>
    <w:rsid w:val="00365E02"/>
    <w:rsid w:val="00366018"/>
    <w:rsid w:val="00366549"/>
    <w:rsid w:val="00366736"/>
    <w:rsid w:val="00366747"/>
    <w:rsid w:val="003667FD"/>
    <w:rsid w:val="00366DA3"/>
    <w:rsid w:val="00366E0E"/>
    <w:rsid w:val="003674CA"/>
    <w:rsid w:val="0036754F"/>
    <w:rsid w:val="00367FFC"/>
    <w:rsid w:val="003702A2"/>
    <w:rsid w:val="0037077D"/>
    <w:rsid w:val="0037081A"/>
    <w:rsid w:val="00370A42"/>
    <w:rsid w:val="00370BCD"/>
    <w:rsid w:val="00370C11"/>
    <w:rsid w:val="00370DAC"/>
    <w:rsid w:val="003714D9"/>
    <w:rsid w:val="003715F6"/>
    <w:rsid w:val="00371732"/>
    <w:rsid w:val="00371750"/>
    <w:rsid w:val="00371A4B"/>
    <w:rsid w:val="003722BF"/>
    <w:rsid w:val="00372643"/>
    <w:rsid w:val="00372A35"/>
    <w:rsid w:val="00372C94"/>
    <w:rsid w:val="00372D90"/>
    <w:rsid w:val="003732C1"/>
    <w:rsid w:val="003733B9"/>
    <w:rsid w:val="0037352F"/>
    <w:rsid w:val="00373753"/>
    <w:rsid w:val="00373B32"/>
    <w:rsid w:val="00373CD4"/>
    <w:rsid w:val="00374099"/>
    <w:rsid w:val="00374329"/>
    <w:rsid w:val="003743C4"/>
    <w:rsid w:val="00374C5B"/>
    <w:rsid w:val="00374F23"/>
    <w:rsid w:val="0037525E"/>
    <w:rsid w:val="003752D2"/>
    <w:rsid w:val="003755FB"/>
    <w:rsid w:val="0037577C"/>
    <w:rsid w:val="0037608C"/>
    <w:rsid w:val="003764E0"/>
    <w:rsid w:val="003767B2"/>
    <w:rsid w:val="0037682D"/>
    <w:rsid w:val="00376D53"/>
    <w:rsid w:val="00376F22"/>
    <w:rsid w:val="00377263"/>
    <w:rsid w:val="003775B8"/>
    <w:rsid w:val="00377862"/>
    <w:rsid w:val="003778B6"/>
    <w:rsid w:val="00377DF7"/>
    <w:rsid w:val="003810DD"/>
    <w:rsid w:val="00381421"/>
    <w:rsid w:val="0038188D"/>
    <w:rsid w:val="00381FEF"/>
    <w:rsid w:val="0038218A"/>
    <w:rsid w:val="0038254A"/>
    <w:rsid w:val="0038284B"/>
    <w:rsid w:val="00382AAF"/>
    <w:rsid w:val="00382B40"/>
    <w:rsid w:val="00382F20"/>
    <w:rsid w:val="00383057"/>
    <w:rsid w:val="003832D4"/>
    <w:rsid w:val="00383513"/>
    <w:rsid w:val="00383DC7"/>
    <w:rsid w:val="003841E8"/>
    <w:rsid w:val="00384AEA"/>
    <w:rsid w:val="00384F64"/>
    <w:rsid w:val="00385502"/>
    <w:rsid w:val="00385526"/>
    <w:rsid w:val="0038569C"/>
    <w:rsid w:val="003857E9"/>
    <w:rsid w:val="00385917"/>
    <w:rsid w:val="0038623A"/>
    <w:rsid w:val="003863E7"/>
    <w:rsid w:val="0038648E"/>
    <w:rsid w:val="003866CA"/>
    <w:rsid w:val="00386D03"/>
    <w:rsid w:val="003878C9"/>
    <w:rsid w:val="003904F7"/>
    <w:rsid w:val="0039085E"/>
    <w:rsid w:val="003909E5"/>
    <w:rsid w:val="00390A62"/>
    <w:rsid w:val="00390D0C"/>
    <w:rsid w:val="003915CB"/>
    <w:rsid w:val="00391A43"/>
    <w:rsid w:val="00391CAA"/>
    <w:rsid w:val="003923D5"/>
    <w:rsid w:val="00392715"/>
    <w:rsid w:val="00392734"/>
    <w:rsid w:val="003927B4"/>
    <w:rsid w:val="00393123"/>
    <w:rsid w:val="0039317B"/>
    <w:rsid w:val="0039331D"/>
    <w:rsid w:val="003933D9"/>
    <w:rsid w:val="003937D5"/>
    <w:rsid w:val="003944E5"/>
    <w:rsid w:val="00394A04"/>
    <w:rsid w:val="00394FFE"/>
    <w:rsid w:val="003958EB"/>
    <w:rsid w:val="00395B3E"/>
    <w:rsid w:val="00395D52"/>
    <w:rsid w:val="00396375"/>
    <w:rsid w:val="00396541"/>
    <w:rsid w:val="00396928"/>
    <w:rsid w:val="00396E47"/>
    <w:rsid w:val="00396EC9"/>
    <w:rsid w:val="00397467"/>
    <w:rsid w:val="00397918"/>
    <w:rsid w:val="00397ACA"/>
    <w:rsid w:val="00397C0C"/>
    <w:rsid w:val="003A0125"/>
    <w:rsid w:val="003A0178"/>
    <w:rsid w:val="003A01C0"/>
    <w:rsid w:val="003A071C"/>
    <w:rsid w:val="003A0A0B"/>
    <w:rsid w:val="003A0A71"/>
    <w:rsid w:val="003A0D28"/>
    <w:rsid w:val="003A15FF"/>
    <w:rsid w:val="003A1921"/>
    <w:rsid w:val="003A1A55"/>
    <w:rsid w:val="003A1D43"/>
    <w:rsid w:val="003A25FB"/>
    <w:rsid w:val="003A2604"/>
    <w:rsid w:val="003A286F"/>
    <w:rsid w:val="003A2CA9"/>
    <w:rsid w:val="003A301D"/>
    <w:rsid w:val="003A31BD"/>
    <w:rsid w:val="003A32CB"/>
    <w:rsid w:val="003A3603"/>
    <w:rsid w:val="003A3B84"/>
    <w:rsid w:val="003A3D1C"/>
    <w:rsid w:val="003A4773"/>
    <w:rsid w:val="003A4E6C"/>
    <w:rsid w:val="003A4EE9"/>
    <w:rsid w:val="003A534F"/>
    <w:rsid w:val="003A5623"/>
    <w:rsid w:val="003A56AB"/>
    <w:rsid w:val="003A56D8"/>
    <w:rsid w:val="003A58E0"/>
    <w:rsid w:val="003A5AF1"/>
    <w:rsid w:val="003A60F2"/>
    <w:rsid w:val="003A63E9"/>
    <w:rsid w:val="003A6E02"/>
    <w:rsid w:val="003A6FF0"/>
    <w:rsid w:val="003A7B45"/>
    <w:rsid w:val="003A7E3A"/>
    <w:rsid w:val="003B011C"/>
    <w:rsid w:val="003B016A"/>
    <w:rsid w:val="003B0517"/>
    <w:rsid w:val="003B0611"/>
    <w:rsid w:val="003B0ADD"/>
    <w:rsid w:val="003B0D66"/>
    <w:rsid w:val="003B0D72"/>
    <w:rsid w:val="003B220B"/>
    <w:rsid w:val="003B23C7"/>
    <w:rsid w:val="003B2B48"/>
    <w:rsid w:val="003B2CB6"/>
    <w:rsid w:val="003B2DBB"/>
    <w:rsid w:val="003B304D"/>
    <w:rsid w:val="003B31BA"/>
    <w:rsid w:val="003B346D"/>
    <w:rsid w:val="003B3617"/>
    <w:rsid w:val="003B3844"/>
    <w:rsid w:val="003B3875"/>
    <w:rsid w:val="003B39E7"/>
    <w:rsid w:val="003B3E6C"/>
    <w:rsid w:val="003B42D9"/>
    <w:rsid w:val="003B465B"/>
    <w:rsid w:val="003B50DA"/>
    <w:rsid w:val="003B54B5"/>
    <w:rsid w:val="003B5F4E"/>
    <w:rsid w:val="003B6017"/>
    <w:rsid w:val="003B66C0"/>
    <w:rsid w:val="003B6BE4"/>
    <w:rsid w:val="003B7029"/>
    <w:rsid w:val="003B7073"/>
    <w:rsid w:val="003B7460"/>
    <w:rsid w:val="003C02BA"/>
    <w:rsid w:val="003C052F"/>
    <w:rsid w:val="003C06D8"/>
    <w:rsid w:val="003C0F84"/>
    <w:rsid w:val="003C28B1"/>
    <w:rsid w:val="003C28ED"/>
    <w:rsid w:val="003C2AC8"/>
    <w:rsid w:val="003C2B4A"/>
    <w:rsid w:val="003C2E13"/>
    <w:rsid w:val="003C2EB2"/>
    <w:rsid w:val="003C3140"/>
    <w:rsid w:val="003C31C9"/>
    <w:rsid w:val="003C327C"/>
    <w:rsid w:val="003C3A63"/>
    <w:rsid w:val="003C3E02"/>
    <w:rsid w:val="003C3FE8"/>
    <w:rsid w:val="003C41DA"/>
    <w:rsid w:val="003C464B"/>
    <w:rsid w:val="003C4E62"/>
    <w:rsid w:val="003C5596"/>
    <w:rsid w:val="003C56D4"/>
    <w:rsid w:val="003C5783"/>
    <w:rsid w:val="003C5C37"/>
    <w:rsid w:val="003C6652"/>
    <w:rsid w:val="003C6A69"/>
    <w:rsid w:val="003C6B13"/>
    <w:rsid w:val="003C734B"/>
    <w:rsid w:val="003C73F9"/>
    <w:rsid w:val="003C768D"/>
    <w:rsid w:val="003C77B2"/>
    <w:rsid w:val="003C7861"/>
    <w:rsid w:val="003C7EC4"/>
    <w:rsid w:val="003D06EA"/>
    <w:rsid w:val="003D07BC"/>
    <w:rsid w:val="003D1BF0"/>
    <w:rsid w:val="003D1C7F"/>
    <w:rsid w:val="003D1E07"/>
    <w:rsid w:val="003D1F70"/>
    <w:rsid w:val="003D2152"/>
    <w:rsid w:val="003D234E"/>
    <w:rsid w:val="003D2AC7"/>
    <w:rsid w:val="003D394E"/>
    <w:rsid w:val="003D3971"/>
    <w:rsid w:val="003D3AAA"/>
    <w:rsid w:val="003D3FAA"/>
    <w:rsid w:val="003D3FE9"/>
    <w:rsid w:val="003D4168"/>
    <w:rsid w:val="003D447C"/>
    <w:rsid w:val="003D45F6"/>
    <w:rsid w:val="003D4DB8"/>
    <w:rsid w:val="003D4DE1"/>
    <w:rsid w:val="003D51DE"/>
    <w:rsid w:val="003D57BB"/>
    <w:rsid w:val="003D5967"/>
    <w:rsid w:val="003D5B76"/>
    <w:rsid w:val="003D5ECD"/>
    <w:rsid w:val="003D5F07"/>
    <w:rsid w:val="003D5F21"/>
    <w:rsid w:val="003D6153"/>
    <w:rsid w:val="003D62DA"/>
    <w:rsid w:val="003D6463"/>
    <w:rsid w:val="003D6AAF"/>
    <w:rsid w:val="003D6AB5"/>
    <w:rsid w:val="003D6CF4"/>
    <w:rsid w:val="003D79CB"/>
    <w:rsid w:val="003E02E7"/>
    <w:rsid w:val="003E071C"/>
    <w:rsid w:val="003E0759"/>
    <w:rsid w:val="003E0BCA"/>
    <w:rsid w:val="003E0BCF"/>
    <w:rsid w:val="003E0FAE"/>
    <w:rsid w:val="003E121E"/>
    <w:rsid w:val="003E1902"/>
    <w:rsid w:val="003E25AA"/>
    <w:rsid w:val="003E2890"/>
    <w:rsid w:val="003E2B61"/>
    <w:rsid w:val="003E3908"/>
    <w:rsid w:val="003E3988"/>
    <w:rsid w:val="003E3BDC"/>
    <w:rsid w:val="003E3FF5"/>
    <w:rsid w:val="003E414C"/>
    <w:rsid w:val="003E44DD"/>
    <w:rsid w:val="003E4B34"/>
    <w:rsid w:val="003E4D95"/>
    <w:rsid w:val="003E5354"/>
    <w:rsid w:val="003E585A"/>
    <w:rsid w:val="003E58FC"/>
    <w:rsid w:val="003E5C36"/>
    <w:rsid w:val="003E6067"/>
    <w:rsid w:val="003E67A3"/>
    <w:rsid w:val="003E75D2"/>
    <w:rsid w:val="003E76F4"/>
    <w:rsid w:val="003E7CF3"/>
    <w:rsid w:val="003E7EB7"/>
    <w:rsid w:val="003F018C"/>
    <w:rsid w:val="003F068A"/>
    <w:rsid w:val="003F0CA8"/>
    <w:rsid w:val="003F134B"/>
    <w:rsid w:val="003F17A7"/>
    <w:rsid w:val="003F19E1"/>
    <w:rsid w:val="003F1B91"/>
    <w:rsid w:val="003F1C48"/>
    <w:rsid w:val="003F1F93"/>
    <w:rsid w:val="003F20A0"/>
    <w:rsid w:val="003F21C4"/>
    <w:rsid w:val="003F23BE"/>
    <w:rsid w:val="003F23E9"/>
    <w:rsid w:val="003F2A8B"/>
    <w:rsid w:val="003F2DF5"/>
    <w:rsid w:val="003F2EC1"/>
    <w:rsid w:val="003F334F"/>
    <w:rsid w:val="003F33C1"/>
    <w:rsid w:val="003F36B3"/>
    <w:rsid w:val="003F3CF2"/>
    <w:rsid w:val="003F45AC"/>
    <w:rsid w:val="003F4B73"/>
    <w:rsid w:val="003F4FAA"/>
    <w:rsid w:val="003F5033"/>
    <w:rsid w:val="003F51F4"/>
    <w:rsid w:val="003F52C6"/>
    <w:rsid w:val="003F54E5"/>
    <w:rsid w:val="003F558E"/>
    <w:rsid w:val="003F5673"/>
    <w:rsid w:val="003F5C0C"/>
    <w:rsid w:val="003F6692"/>
    <w:rsid w:val="003F683A"/>
    <w:rsid w:val="003F6A2E"/>
    <w:rsid w:val="003F6BE9"/>
    <w:rsid w:val="003F723C"/>
    <w:rsid w:val="003F7285"/>
    <w:rsid w:val="003F74E3"/>
    <w:rsid w:val="003F76B1"/>
    <w:rsid w:val="003F77B3"/>
    <w:rsid w:val="003F7B70"/>
    <w:rsid w:val="004007FF"/>
    <w:rsid w:val="00400E63"/>
    <w:rsid w:val="00400F8F"/>
    <w:rsid w:val="0040126F"/>
    <w:rsid w:val="004012F8"/>
    <w:rsid w:val="00401733"/>
    <w:rsid w:val="00402F37"/>
    <w:rsid w:val="00403056"/>
    <w:rsid w:val="00403501"/>
    <w:rsid w:val="0040377C"/>
    <w:rsid w:val="004037AD"/>
    <w:rsid w:val="00403D6E"/>
    <w:rsid w:val="00403F84"/>
    <w:rsid w:val="00404019"/>
    <w:rsid w:val="00404050"/>
    <w:rsid w:val="00404155"/>
    <w:rsid w:val="00404859"/>
    <w:rsid w:val="00404998"/>
    <w:rsid w:val="00404C7A"/>
    <w:rsid w:val="00404E64"/>
    <w:rsid w:val="00405083"/>
    <w:rsid w:val="00405AA2"/>
    <w:rsid w:val="00405E03"/>
    <w:rsid w:val="00406194"/>
    <w:rsid w:val="00407246"/>
    <w:rsid w:val="00407792"/>
    <w:rsid w:val="004077D8"/>
    <w:rsid w:val="00407AC0"/>
    <w:rsid w:val="00410E5A"/>
    <w:rsid w:val="00411024"/>
    <w:rsid w:val="00411814"/>
    <w:rsid w:val="004118D4"/>
    <w:rsid w:val="004119A4"/>
    <w:rsid w:val="004121C0"/>
    <w:rsid w:val="00412BDA"/>
    <w:rsid w:val="00412CBA"/>
    <w:rsid w:val="00412E30"/>
    <w:rsid w:val="00413B67"/>
    <w:rsid w:val="00413BEB"/>
    <w:rsid w:val="00413E9D"/>
    <w:rsid w:val="00413FA9"/>
    <w:rsid w:val="004142FF"/>
    <w:rsid w:val="004143F7"/>
    <w:rsid w:val="00414752"/>
    <w:rsid w:val="00414907"/>
    <w:rsid w:val="00414F42"/>
    <w:rsid w:val="00415341"/>
    <w:rsid w:val="004158F5"/>
    <w:rsid w:val="00415B78"/>
    <w:rsid w:val="00415E2B"/>
    <w:rsid w:val="00416041"/>
    <w:rsid w:val="0041665C"/>
    <w:rsid w:val="004166BD"/>
    <w:rsid w:val="00416724"/>
    <w:rsid w:val="004169A6"/>
    <w:rsid w:val="004170AF"/>
    <w:rsid w:val="00417228"/>
    <w:rsid w:val="004173B4"/>
    <w:rsid w:val="00417DE8"/>
    <w:rsid w:val="00420114"/>
    <w:rsid w:val="0042044F"/>
    <w:rsid w:val="0042057D"/>
    <w:rsid w:val="004206A4"/>
    <w:rsid w:val="00421583"/>
    <w:rsid w:val="004215AB"/>
    <w:rsid w:val="00421861"/>
    <w:rsid w:val="0042189B"/>
    <w:rsid w:val="004222F5"/>
    <w:rsid w:val="00422309"/>
    <w:rsid w:val="00422AA9"/>
    <w:rsid w:val="00422C55"/>
    <w:rsid w:val="00422F58"/>
    <w:rsid w:val="00423004"/>
    <w:rsid w:val="00423124"/>
    <w:rsid w:val="004232A6"/>
    <w:rsid w:val="0042357D"/>
    <w:rsid w:val="00423696"/>
    <w:rsid w:val="00423830"/>
    <w:rsid w:val="00423E40"/>
    <w:rsid w:val="0042431A"/>
    <w:rsid w:val="004248CC"/>
    <w:rsid w:val="004249FA"/>
    <w:rsid w:val="00425457"/>
    <w:rsid w:val="00425698"/>
    <w:rsid w:val="00425AB6"/>
    <w:rsid w:val="00425B5A"/>
    <w:rsid w:val="00425ED2"/>
    <w:rsid w:val="004262B4"/>
    <w:rsid w:val="004263AE"/>
    <w:rsid w:val="00426C84"/>
    <w:rsid w:val="004272E4"/>
    <w:rsid w:val="00427BEA"/>
    <w:rsid w:val="0043065C"/>
    <w:rsid w:val="00430AB5"/>
    <w:rsid w:val="00430BC5"/>
    <w:rsid w:val="004310F4"/>
    <w:rsid w:val="00431111"/>
    <w:rsid w:val="00431C4F"/>
    <w:rsid w:val="00431F67"/>
    <w:rsid w:val="00432394"/>
    <w:rsid w:val="00432BB7"/>
    <w:rsid w:val="00432F2F"/>
    <w:rsid w:val="004331E9"/>
    <w:rsid w:val="0043390D"/>
    <w:rsid w:val="00433E8D"/>
    <w:rsid w:val="00433FAA"/>
    <w:rsid w:val="004342EE"/>
    <w:rsid w:val="00434437"/>
    <w:rsid w:val="004346C9"/>
    <w:rsid w:val="004347D4"/>
    <w:rsid w:val="00434A60"/>
    <w:rsid w:val="00434D53"/>
    <w:rsid w:val="00434E88"/>
    <w:rsid w:val="004353EF"/>
    <w:rsid w:val="0043541B"/>
    <w:rsid w:val="0043559E"/>
    <w:rsid w:val="0043592C"/>
    <w:rsid w:val="00435F1D"/>
    <w:rsid w:val="00436062"/>
    <w:rsid w:val="00436139"/>
    <w:rsid w:val="00436217"/>
    <w:rsid w:val="00436345"/>
    <w:rsid w:val="00436380"/>
    <w:rsid w:val="00436430"/>
    <w:rsid w:val="00436F2F"/>
    <w:rsid w:val="00437066"/>
    <w:rsid w:val="00437967"/>
    <w:rsid w:val="00437F74"/>
    <w:rsid w:val="0044061D"/>
    <w:rsid w:val="00440626"/>
    <w:rsid w:val="004411B9"/>
    <w:rsid w:val="00441207"/>
    <w:rsid w:val="00441462"/>
    <w:rsid w:val="0044167D"/>
    <w:rsid w:val="00441B91"/>
    <w:rsid w:val="00441E91"/>
    <w:rsid w:val="00441FEE"/>
    <w:rsid w:val="0044208E"/>
    <w:rsid w:val="004422CA"/>
    <w:rsid w:val="0044232D"/>
    <w:rsid w:val="004423F1"/>
    <w:rsid w:val="0044266F"/>
    <w:rsid w:val="00442EFB"/>
    <w:rsid w:val="00442FAD"/>
    <w:rsid w:val="00443807"/>
    <w:rsid w:val="00443A1C"/>
    <w:rsid w:val="00443F03"/>
    <w:rsid w:val="00444355"/>
    <w:rsid w:val="004443E1"/>
    <w:rsid w:val="00444710"/>
    <w:rsid w:val="004449AC"/>
    <w:rsid w:val="00444CB0"/>
    <w:rsid w:val="0044506F"/>
    <w:rsid w:val="0044555D"/>
    <w:rsid w:val="00445D5A"/>
    <w:rsid w:val="00445D76"/>
    <w:rsid w:val="00445DBB"/>
    <w:rsid w:val="004462F7"/>
    <w:rsid w:val="0044636A"/>
    <w:rsid w:val="00446C20"/>
    <w:rsid w:val="00447347"/>
    <w:rsid w:val="00447A90"/>
    <w:rsid w:val="00447F08"/>
    <w:rsid w:val="0045041B"/>
    <w:rsid w:val="004505EB"/>
    <w:rsid w:val="00451116"/>
    <w:rsid w:val="004515CF"/>
    <w:rsid w:val="00451656"/>
    <w:rsid w:val="0045171E"/>
    <w:rsid w:val="0045198C"/>
    <w:rsid w:val="00451AC5"/>
    <w:rsid w:val="00451B28"/>
    <w:rsid w:val="00451C12"/>
    <w:rsid w:val="004522B0"/>
    <w:rsid w:val="00453809"/>
    <w:rsid w:val="00453B72"/>
    <w:rsid w:val="00453C7E"/>
    <w:rsid w:val="00454835"/>
    <w:rsid w:val="004548B6"/>
    <w:rsid w:val="00454C06"/>
    <w:rsid w:val="00454F06"/>
    <w:rsid w:val="004550AC"/>
    <w:rsid w:val="0045554B"/>
    <w:rsid w:val="00455AAF"/>
    <w:rsid w:val="00455C2C"/>
    <w:rsid w:val="0045650D"/>
    <w:rsid w:val="00456667"/>
    <w:rsid w:val="0045691C"/>
    <w:rsid w:val="00456B54"/>
    <w:rsid w:val="0045709D"/>
    <w:rsid w:val="0045716C"/>
    <w:rsid w:val="00457A7F"/>
    <w:rsid w:val="00457B9F"/>
    <w:rsid w:val="00457E6A"/>
    <w:rsid w:val="00457EFD"/>
    <w:rsid w:val="0046019D"/>
    <w:rsid w:val="00460250"/>
    <w:rsid w:val="00460CC2"/>
    <w:rsid w:val="00461099"/>
    <w:rsid w:val="00461C9F"/>
    <w:rsid w:val="00461F55"/>
    <w:rsid w:val="004623FA"/>
    <w:rsid w:val="00462431"/>
    <w:rsid w:val="004626CE"/>
    <w:rsid w:val="004626FF"/>
    <w:rsid w:val="00462CE7"/>
    <w:rsid w:val="00463436"/>
    <w:rsid w:val="00464536"/>
    <w:rsid w:val="00464790"/>
    <w:rsid w:val="00464FF2"/>
    <w:rsid w:val="0046514E"/>
    <w:rsid w:val="0046532C"/>
    <w:rsid w:val="0046623C"/>
    <w:rsid w:val="0046686A"/>
    <w:rsid w:val="00466A11"/>
    <w:rsid w:val="00466F96"/>
    <w:rsid w:val="004670EA"/>
    <w:rsid w:val="0046744A"/>
    <w:rsid w:val="00467739"/>
    <w:rsid w:val="004703BD"/>
    <w:rsid w:val="004705D8"/>
    <w:rsid w:val="00470D0C"/>
    <w:rsid w:val="00470DD2"/>
    <w:rsid w:val="00470F3C"/>
    <w:rsid w:val="0047104F"/>
    <w:rsid w:val="004710CB"/>
    <w:rsid w:val="004713FE"/>
    <w:rsid w:val="00471632"/>
    <w:rsid w:val="00471900"/>
    <w:rsid w:val="00471D6B"/>
    <w:rsid w:val="00471E79"/>
    <w:rsid w:val="00472472"/>
    <w:rsid w:val="00472AB5"/>
    <w:rsid w:val="00472BC5"/>
    <w:rsid w:val="00472E12"/>
    <w:rsid w:val="00473B75"/>
    <w:rsid w:val="00474104"/>
    <w:rsid w:val="00474150"/>
    <w:rsid w:val="004748E9"/>
    <w:rsid w:val="00474E22"/>
    <w:rsid w:val="00475022"/>
    <w:rsid w:val="004750E9"/>
    <w:rsid w:val="00475D86"/>
    <w:rsid w:val="0047608F"/>
    <w:rsid w:val="004762EF"/>
    <w:rsid w:val="004763FD"/>
    <w:rsid w:val="00476554"/>
    <w:rsid w:val="0047672A"/>
    <w:rsid w:val="004769F6"/>
    <w:rsid w:val="004770D4"/>
    <w:rsid w:val="0047739F"/>
    <w:rsid w:val="0047758F"/>
    <w:rsid w:val="004776EC"/>
    <w:rsid w:val="0047798B"/>
    <w:rsid w:val="00477EDE"/>
    <w:rsid w:val="004813D4"/>
    <w:rsid w:val="00481F4D"/>
    <w:rsid w:val="004821A1"/>
    <w:rsid w:val="004823A3"/>
    <w:rsid w:val="004823DE"/>
    <w:rsid w:val="004824CF"/>
    <w:rsid w:val="00482A39"/>
    <w:rsid w:val="00482B78"/>
    <w:rsid w:val="00482DB7"/>
    <w:rsid w:val="00482DF7"/>
    <w:rsid w:val="004830B7"/>
    <w:rsid w:val="0048337B"/>
    <w:rsid w:val="0048493F"/>
    <w:rsid w:val="00484D63"/>
    <w:rsid w:val="00485023"/>
    <w:rsid w:val="00485132"/>
    <w:rsid w:val="0048613A"/>
    <w:rsid w:val="004864AC"/>
    <w:rsid w:val="004864B3"/>
    <w:rsid w:val="00486BF6"/>
    <w:rsid w:val="004871BF"/>
    <w:rsid w:val="004875B9"/>
    <w:rsid w:val="004875D5"/>
    <w:rsid w:val="0049004B"/>
    <w:rsid w:val="00490054"/>
    <w:rsid w:val="00490093"/>
    <w:rsid w:val="004906D6"/>
    <w:rsid w:val="00490FFE"/>
    <w:rsid w:val="004912CE"/>
    <w:rsid w:val="0049166E"/>
    <w:rsid w:val="004918A1"/>
    <w:rsid w:val="00491A3E"/>
    <w:rsid w:val="00491D91"/>
    <w:rsid w:val="00491D9F"/>
    <w:rsid w:val="004921F3"/>
    <w:rsid w:val="004922E1"/>
    <w:rsid w:val="00492754"/>
    <w:rsid w:val="00492C28"/>
    <w:rsid w:val="00492D8F"/>
    <w:rsid w:val="00492DCE"/>
    <w:rsid w:val="00493355"/>
    <w:rsid w:val="00493D27"/>
    <w:rsid w:val="004943A4"/>
    <w:rsid w:val="004944DB"/>
    <w:rsid w:val="0049489D"/>
    <w:rsid w:val="00494916"/>
    <w:rsid w:val="00494B9A"/>
    <w:rsid w:val="004951BC"/>
    <w:rsid w:val="00495421"/>
    <w:rsid w:val="0049580C"/>
    <w:rsid w:val="0049598A"/>
    <w:rsid w:val="00495AC6"/>
    <w:rsid w:val="00495B50"/>
    <w:rsid w:val="004960C3"/>
    <w:rsid w:val="004963EA"/>
    <w:rsid w:val="00496874"/>
    <w:rsid w:val="00496A58"/>
    <w:rsid w:val="00496BF5"/>
    <w:rsid w:val="00496CF9"/>
    <w:rsid w:val="00496E5A"/>
    <w:rsid w:val="00496F53"/>
    <w:rsid w:val="004975A5"/>
    <w:rsid w:val="0049768F"/>
    <w:rsid w:val="00497D74"/>
    <w:rsid w:val="00497EFB"/>
    <w:rsid w:val="004A00AF"/>
    <w:rsid w:val="004A04E5"/>
    <w:rsid w:val="004A074C"/>
    <w:rsid w:val="004A0768"/>
    <w:rsid w:val="004A086F"/>
    <w:rsid w:val="004A0EA4"/>
    <w:rsid w:val="004A1495"/>
    <w:rsid w:val="004A14BC"/>
    <w:rsid w:val="004A15B2"/>
    <w:rsid w:val="004A167D"/>
    <w:rsid w:val="004A17BE"/>
    <w:rsid w:val="004A1C78"/>
    <w:rsid w:val="004A2089"/>
    <w:rsid w:val="004A2105"/>
    <w:rsid w:val="004A212F"/>
    <w:rsid w:val="004A2165"/>
    <w:rsid w:val="004A26B2"/>
    <w:rsid w:val="004A2B4F"/>
    <w:rsid w:val="004A313D"/>
    <w:rsid w:val="004A38A4"/>
    <w:rsid w:val="004A3E61"/>
    <w:rsid w:val="004A3F91"/>
    <w:rsid w:val="004A46FA"/>
    <w:rsid w:val="004A4993"/>
    <w:rsid w:val="004A4C41"/>
    <w:rsid w:val="004A4DCA"/>
    <w:rsid w:val="004A5084"/>
    <w:rsid w:val="004A5256"/>
    <w:rsid w:val="004A566E"/>
    <w:rsid w:val="004A5AA4"/>
    <w:rsid w:val="004A5F74"/>
    <w:rsid w:val="004A6063"/>
    <w:rsid w:val="004A6212"/>
    <w:rsid w:val="004A6608"/>
    <w:rsid w:val="004A67D7"/>
    <w:rsid w:val="004A6C0A"/>
    <w:rsid w:val="004A7373"/>
    <w:rsid w:val="004A7BEF"/>
    <w:rsid w:val="004B0043"/>
    <w:rsid w:val="004B01C5"/>
    <w:rsid w:val="004B021D"/>
    <w:rsid w:val="004B04B7"/>
    <w:rsid w:val="004B07B8"/>
    <w:rsid w:val="004B0B54"/>
    <w:rsid w:val="004B0C65"/>
    <w:rsid w:val="004B0D6B"/>
    <w:rsid w:val="004B1052"/>
    <w:rsid w:val="004B17B5"/>
    <w:rsid w:val="004B1A65"/>
    <w:rsid w:val="004B1F88"/>
    <w:rsid w:val="004B28F9"/>
    <w:rsid w:val="004B2BDC"/>
    <w:rsid w:val="004B35AF"/>
    <w:rsid w:val="004B38CE"/>
    <w:rsid w:val="004B3E32"/>
    <w:rsid w:val="004B3F02"/>
    <w:rsid w:val="004B532A"/>
    <w:rsid w:val="004B5366"/>
    <w:rsid w:val="004B5A1F"/>
    <w:rsid w:val="004B5EE7"/>
    <w:rsid w:val="004B5F4A"/>
    <w:rsid w:val="004B604A"/>
    <w:rsid w:val="004B6A8C"/>
    <w:rsid w:val="004B6B14"/>
    <w:rsid w:val="004B6FA4"/>
    <w:rsid w:val="004B764C"/>
    <w:rsid w:val="004B788C"/>
    <w:rsid w:val="004B7C5F"/>
    <w:rsid w:val="004C0335"/>
    <w:rsid w:val="004C0725"/>
    <w:rsid w:val="004C07BB"/>
    <w:rsid w:val="004C08E7"/>
    <w:rsid w:val="004C0FC8"/>
    <w:rsid w:val="004C19E6"/>
    <w:rsid w:val="004C1A65"/>
    <w:rsid w:val="004C1CE8"/>
    <w:rsid w:val="004C1FDB"/>
    <w:rsid w:val="004C1FDD"/>
    <w:rsid w:val="004C2526"/>
    <w:rsid w:val="004C28ED"/>
    <w:rsid w:val="004C31B8"/>
    <w:rsid w:val="004C3390"/>
    <w:rsid w:val="004C369A"/>
    <w:rsid w:val="004C38A2"/>
    <w:rsid w:val="004C3F15"/>
    <w:rsid w:val="004C44E9"/>
    <w:rsid w:val="004C4E4F"/>
    <w:rsid w:val="004C5088"/>
    <w:rsid w:val="004C516F"/>
    <w:rsid w:val="004C5995"/>
    <w:rsid w:val="004C6198"/>
    <w:rsid w:val="004C650A"/>
    <w:rsid w:val="004C68A0"/>
    <w:rsid w:val="004C692A"/>
    <w:rsid w:val="004C717A"/>
    <w:rsid w:val="004C748A"/>
    <w:rsid w:val="004C7842"/>
    <w:rsid w:val="004C7B23"/>
    <w:rsid w:val="004C7CFE"/>
    <w:rsid w:val="004D035C"/>
    <w:rsid w:val="004D0EB9"/>
    <w:rsid w:val="004D1201"/>
    <w:rsid w:val="004D1313"/>
    <w:rsid w:val="004D17EA"/>
    <w:rsid w:val="004D1D82"/>
    <w:rsid w:val="004D1D85"/>
    <w:rsid w:val="004D2451"/>
    <w:rsid w:val="004D2D46"/>
    <w:rsid w:val="004D2E4E"/>
    <w:rsid w:val="004D2E50"/>
    <w:rsid w:val="004D3590"/>
    <w:rsid w:val="004D35BD"/>
    <w:rsid w:val="004D3A9D"/>
    <w:rsid w:val="004D40A9"/>
    <w:rsid w:val="004D4277"/>
    <w:rsid w:val="004D4C2B"/>
    <w:rsid w:val="004D4CB2"/>
    <w:rsid w:val="004D5837"/>
    <w:rsid w:val="004D5EDC"/>
    <w:rsid w:val="004D60F8"/>
    <w:rsid w:val="004D6153"/>
    <w:rsid w:val="004D64A4"/>
    <w:rsid w:val="004D6732"/>
    <w:rsid w:val="004D6AC4"/>
    <w:rsid w:val="004D6E13"/>
    <w:rsid w:val="004D7065"/>
    <w:rsid w:val="004D7316"/>
    <w:rsid w:val="004D73E1"/>
    <w:rsid w:val="004D7771"/>
    <w:rsid w:val="004E02AB"/>
    <w:rsid w:val="004E08AB"/>
    <w:rsid w:val="004E09E9"/>
    <w:rsid w:val="004E0C01"/>
    <w:rsid w:val="004E0CBF"/>
    <w:rsid w:val="004E155A"/>
    <w:rsid w:val="004E20B2"/>
    <w:rsid w:val="004E2226"/>
    <w:rsid w:val="004E248A"/>
    <w:rsid w:val="004E2497"/>
    <w:rsid w:val="004E27AF"/>
    <w:rsid w:val="004E2F87"/>
    <w:rsid w:val="004E3C56"/>
    <w:rsid w:val="004E42DA"/>
    <w:rsid w:val="004E4328"/>
    <w:rsid w:val="004E4662"/>
    <w:rsid w:val="004E47EC"/>
    <w:rsid w:val="004E4B84"/>
    <w:rsid w:val="004E514F"/>
    <w:rsid w:val="004E5441"/>
    <w:rsid w:val="004E5B24"/>
    <w:rsid w:val="004E6D0A"/>
    <w:rsid w:val="004E6D2A"/>
    <w:rsid w:val="004E6DDF"/>
    <w:rsid w:val="004E6E06"/>
    <w:rsid w:val="004E6EF3"/>
    <w:rsid w:val="004E7038"/>
    <w:rsid w:val="004E737F"/>
    <w:rsid w:val="004E73FD"/>
    <w:rsid w:val="004E7782"/>
    <w:rsid w:val="004E7944"/>
    <w:rsid w:val="004E7D5B"/>
    <w:rsid w:val="004F01A3"/>
    <w:rsid w:val="004F03DE"/>
    <w:rsid w:val="004F0F16"/>
    <w:rsid w:val="004F0F95"/>
    <w:rsid w:val="004F133A"/>
    <w:rsid w:val="004F1674"/>
    <w:rsid w:val="004F22DA"/>
    <w:rsid w:val="004F2512"/>
    <w:rsid w:val="004F2521"/>
    <w:rsid w:val="004F29CB"/>
    <w:rsid w:val="004F2AF9"/>
    <w:rsid w:val="004F2B86"/>
    <w:rsid w:val="004F2C30"/>
    <w:rsid w:val="004F2C6A"/>
    <w:rsid w:val="004F2D4C"/>
    <w:rsid w:val="004F315C"/>
    <w:rsid w:val="004F3A0F"/>
    <w:rsid w:val="004F40C9"/>
    <w:rsid w:val="004F420D"/>
    <w:rsid w:val="004F438C"/>
    <w:rsid w:val="004F442A"/>
    <w:rsid w:val="004F4640"/>
    <w:rsid w:val="004F4847"/>
    <w:rsid w:val="004F5326"/>
    <w:rsid w:val="004F5715"/>
    <w:rsid w:val="004F58F8"/>
    <w:rsid w:val="004F59F1"/>
    <w:rsid w:val="004F5E09"/>
    <w:rsid w:val="004F5E7A"/>
    <w:rsid w:val="004F61F4"/>
    <w:rsid w:val="004F6B1C"/>
    <w:rsid w:val="004F760D"/>
    <w:rsid w:val="0050002D"/>
    <w:rsid w:val="00500141"/>
    <w:rsid w:val="00500C5A"/>
    <w:rsid w:val="00500E33"/>
    <w:rsid w:val="005010E2"/>
    <w:rsid w:val="005012B3"/>
    <w:rsid w:val="00501442"/>
    <w:rsid w:val="00501ECF"/>
    <w:rsid w:val="0050213D"/>
    <w:rsid w:val="00502165"/>
    <w:rsid w:val="00502432"/>
    <w:rsid w:val="00502FAE"/>
    <w:rsid w:val="005031DD"/>
    <w:rsid w:val="00503B58"/>
    <w:rsid w:val="00503FCD"/>
    <w:rsid w:val="005047C6"/>
    <w:rsid w:val="00504834"/>
    <w:rsid w:val="00504B4E"/>
    <w:rsid w:val="00504C7A"/>
    <w:rsid w:val="0050520C"/>
    <w:rsid w:val="00505489"/>
    <w:rsid w:val="00505AEE"/>
    <w:rsid w:val="00505C62"/>
    <w:rsid w:val="00505E50"/>
    <w:rsid w:val="005060D7"/>
    <w:rsid w:val="0050632E"/>
    <w:rsid w:val="0050671F"/>
    <w:rsid w:val="00506A1B"/>
    <w:rsid w:val="00506CD3"/>
    <w:rsid w:val="00506D07"/>
    <w:rsid w:val="00507045"/>
    <w:rsid w:val="005072F1"/>
    <w:rsid w:val="00507355"/>
    <w:rsid w:val="00507512"/>
    <w:rsid w:val="0050752D"/>
    <w:rsid w:val="00510F99"/>
    <w:rsid w:val="00511272"/>
    <w:rsid w:val="005112D9"/>
    <w:rsid w:val="0051132E"/>
    <w:rsid w:val="00511EF3"/>
    <w:rsid w:val="00512411"/>
    <w:rsid w:val="00512540"/>
    <w:rsid w:val="0051266A"/>
    <w:rsid w:val="00512A86"/>
    <w:rsid w:val="00512B89"/>
    <w:rsid w:val="00512D5C"/>
    <w:rsid w:val="00512F20"/>
    <w:rsid w:val="005131A5"/>
    <w:rsid w:val="00513441"/>
    <w:rsid w:val="00513574"/>
    <w:rsid w:val="00513598"/>
    <w:rsid w:val="0051380C"/>
    <w:rsid w:val="005138FD"/>
    <w:rsid w:val="00513C84"/>
    <w:rsid w:val="00514507"/>
    <w:rsid w:val="00514597"/>
    <w:rsid w:val="005148C2"/>
    <w:rsid w:val="005153F5"/>
    <w:rsid w:val="00515C84"/>
    <w:rsid w:val="00515D75"/>
    <w:rsid w:val="0051609B"/>
    <w:rsid w:val="0051664D"/>
    <w:rsid w:val="0051670B"/>
    <w:rsid w:val="0051699C"/>
    <w:rsid w:val="005169F1"/>
    <w:rsid w:val="00516F9D"/>
    <w:rsid w:val="005170BA"/>
    <w:rsid w:val="005176C9"/>
    <w:rsid w:val="00520711"/>
    <w:rsid w:val="00520DD2"/>
    <w:rsid w:val="00520E08"/>
    <w:rsid w:val="00521002"/>
    <w:rsid w:val="00521350"/>
    <w:rsid w:val="005213F7"/>
    <w:rsid w:val="005214EA"/>
    <w:rsid w:val="005216EB"/>
    <w:rsid w:val="00522186"/>
    <w:rsid w:val="005221FE"/>
    <w:rsid w:val="00522CFD"/>
    <w:rsid w:val="00522F9C"/>
    <w:rsid w:val="00523065"/>
    <w:rsid w:val="005240B8"/>
    <w:rsid w:val="0052466F"/>
    <w:rsid w:val="005251E1"/>
    <w:rsid w:val="00525830"/>
    <w:rsid w:val="00525849"/>
    <w:rsid w:val="00525C6E"/>
    <w:rsid w:val="00525DDA"/>
    <w:rsid w:val="00526208"/>
    <w:rsid w:val="00526381"/>
    <w:rsid w:val="0052640D"/>
    <w:rsid w:val="005268BA"/>
    <w:rsid w:val="005269E6"/>
    <w:rsid w:val="00526E71"/>
    <w:rsid w:val="0052743F"/>
    <w:rsid w:val="00527844"/>
    <w:rsid w:val="005279E0"/>
    <w:rsid w:val="00530379"/>
    <w:rsid w:val="00530AF6"/>
    <w:rsid w:val="00530B8E"/>
    <w:rsid w:val="00530BFA"/>
    <w:rsid w:val="00530EE7"/>
    <w:rsid w:val="0053112A"/>
    <w:rsid w:val="00531E27"/>
    <w:rsid w:val="0053205C"/>
    <w:rsid w:val="00532168"/>
    <w:rsid w:val="00532271"/>
    <w:rsid w:val="0053247C"/>
    <w:rsid w:val="005328FB"/>
    <w:rsid w:val="00533168"/>
    <w:rsid w:val="0053364E"/>
    <w:rsid w:val="00533B6E"/>
    <w:rsid w:val="0053400C"/>
    <w:rsid w:val="005346A9"/>
    <w:rsid w:val="0053471B"/>
    <w:rsid w:val="00534A7E"/>
    <w:rsid w:val="00534ABA"/>
    <w:rsid w:val="00534D85"/>
    <w:rsid w:val="005351B9"/>
    <w:rsid w:val="005355D3"/>
    <w:rsid w:val="00535C84"/>
    <w:rsid w:val="00536011"/>
    <w:rsid w:val="00536C9A"/>
    <w:rsid w:val="0053705B"/>
    <w:rsid w:val="005370F1"/>
    <w:rsid w:val="00537A31"/>
    <w:rsid w:val="00537F9D"/>
    <w:rsid w:val="00540404"/>
    <w:rsid w:val="0054081E"/>
    <w:rsid w:val="00540B0F"/>
    <w:rsid w:val="00540D66"/>
    <w:rsid w:val="00540D7B"/>
    <w:rsid w:val="00540DAC"/>
    <w:rsid w:val="005411CF"/>
    <w:rsid w:val="00541BA5"/>
    <w:rsid w:val="00542BD6"/>
    <w:rsid w:val="00542ED1"/>
    <w:rsid w:val="005430C4"/>
    <w:rsid w:val="00543C89"/>
    <w:rsid w:val="00543E5B"/>
    <w:rsid w:val="0054498C"/>
    <w:rsid w:val="00544E42"/>
    <w:rsid w:val="00544EA3"/>
    <w:rsid w:val="005451A6"/>
    <w:rsid w:val="0054558C"/>
    <w:rsid w:val="00545770"/>
    <w:rsid w:val="00545802"/>
    <w:rsid w:val="005461BC"/>
    <w:rsid w:val="005466D1"/>
    <w:rsid w:val="00546BB9"/>
    <w:rsid w:val="00546C0F"/>
    <w:rsid w:val="00546C59"/>
    <w:rsid w:val="00546D1F"/>
    <w:rsid w:val="00546F26"/>
    <w:rsid w:val="00546F58"/>
    <w:rsid w:val="00547376"/>
    <w:rsid w:val="00547606"/>
    <w:rsid w:val="0054794B"/>
    <w:rsid w:val="00547A90"/>
    <w:rsid w:val="00547B21"/>
    <w:rsid w:val="00547D7B"/>
    <w:rsid w:val="00550072"/>
    <w:rsid w:val="005500C7"/>
    <w:rsid w:val="005501C9"/>
    <w:rsid w:val="00550B55"/>
    <w:rsid w:val="00550B79"/>
    <w:rsid w:val="00550E15"/>
    <w:rsid w:val="00550FD5"/>
    <w:rsid w:val="00551446"/>
    <w:rsid w:val="00551506"/>
    <w:rsid w:val="0055150B"/>
    <w:rsid w:val="0055175F"/>
    <w:rsid w:val="0055193B"/>
    <w:rsid w:val="005519A7"/>
    <w:rsid w:val="00551C2D"/>
    <w:rsid w:val="0055205F"/>
    <w:rsid w:val="00552672"/>
    <w:rsid w:val="0055315B"/>
    <w:rsid w:val="005532F9"/>
    <w:rsid w:val="00553CBB"/>
    <w:rsid w:val="005543B4"/>
    <w:rsid w:val="0055440B"/>
    <w:rsid w:val="00554CCF"/>
    <w:rsid w:val="00555595"/>
    <w:rsid w:val="005556EC"/>
    <w:rsid w:val="00555F40"/>
    <w:rsid w:val="00555FCE"/>
    <w:rsid w:val="0055680E"/>
    <w:rsid w:val="00556923"/>
    <w:rsid w:val="00556A77"/>
    <w:rsid w:val="0055708D"/>
    <w:rsid w:val="005572BA"/>
    <w:rsid w:val="00557A3A"/>
    <w:rsid w:val="00557A7D"/>
    <w:rsid w:val="00557C37"/>
    <w:rsid w:val="00557CFC"/>
    <w:rsid w:val="00557E1D"/>
    <w:rsid w:val="005606C3"/>
    <w:rsid w:val="005609A2"/>
    <w:rsid w:val="00560A54"/>
    <w:rsid w:val="00560BD7"/>
    <w:rsid w:val="00560EA2"/>
    <w:rsid w:val="00561AE8"/>
    <w:rsid w:val="00561CA6"/>
    <w:rsid w:val="00562087"/>
    <w:rsid w:val="005623A3"/>
    <w:rsid w:val="005623BF"/>
    <w:rsid w:val="005624BD"/>
    <w:rsid w:val="00562E45"/>
    <w:rsid w:val="00562F8A"/>
    <w:rsid w:val="00563103"/>
    <w:rsid w:val="005634E8"/>
    <w:rsid w:val="005634FC"/>
    <w:rsid w:val="00563579"/>
    <w:rsid w:val="00563649"/>
    <w:rsid w:val="005637B0"/>
    <w:rsid w:val="00563A02"/>
    <w:rsid w:val="00563F27"/>
    <w:rsid w:val="005642F3"/>
    <w:rsid w:val="00564300"/>
    <w:rsid w:val="00564565"/>
    <w:rsid w:val="005645D7"/>
    <w:rsid w:val="0056462F"/>
    <w:rsid w:val="005647BE"/>
    <w:rsid w:val="005647C8"/>
    <w:rsid w:val="00564A12"/>
    <w:rsid w:val="00565EE0"/>
    <w:rsid w:val="00565FD3"/>
    <w:rsid w:val="005661DA"/>
    <w:rsid w:val="00566299"/>
    <w:rsid w:val="00566BF6"/>
    <w:rsid w:val="00566EE4"/>
    <w:rsid w:val="00567053"/>
    <w:rsid w:val="005673AF"/>
    <w:rsid w:val="00567695"/>
    <w:rsid w:val="005709FF"/>
    <w:rsid w:val="0057127D"/>
    <w:rsid w:val="005716EE"/>
    <w:rsid w:val="00571B4B"/>
    <w:rsid w:val="005722F6"/>
    <w:rsid w:val="005725F6"/>
    <w:rsid w:val="005727F7"/>
    <w:rsid w:val="00573A76"/>
    <w:rsid w:val="005742B6"/>
    <w:rsid w:val="00574453"/>
    <w:rsid w:val="005746E9"/>
    <w:rsid w:val="005749CC"/>
    <w:rsid w:val="00574BC0"/>
    <w:rsid w:val="00574DB8"/>
    <w:rsid w:val="00575000"/>
    <w:rsid w:val="0057693F"/>
    <w:rsid w:val="005778AA"/>
    <w:rsid w:val="005802AF"/>
    <w:rsid w:val="00580308"/>
    <w:rsid w:val="00580DFA"/>
    <w:rsid w:val="00580E74"/>
    <w:rsid w:val="005823F1"/>
    <w:rsid w:val="00582976"/>
    <w:rsid w:val="005829DD"/>
    <w:rsid w:val="00582BE1"/>
    <w:rsid w:val="00582CE1"/>
    <w:rsid w:val="0058385C"/>
    <w:rsid w:val="0058385F"/>
    <w:rsid w:val="00583C07"/>
    <w:rsid w:val="00583C85"/>
    <w:rsid w:val="00584A45"/>
    <w:rsid w:val="00584CF8"/>
    <w:rsid w:val="00584E2D"/>
    <w:rsid w:val="005853CC"/>
    <w:rsid w:val="005854FF"/>
    <w:rsid w:val="005856D6"/>
    <w:rsid w:val="005856FE"/>
    <w:rsid w:val="00586248"/>
    <w:rsid w:val="005864AB"/>
    <w:rsid w:val="005867DF"/>
    <w:rsid w:val="00586817"/>
    <w:rsid w:val="00586A4E"/>
    <w:rsid w:val="00586D92"/>
    <w:rsid w:val="00586EB2"/>
    <w:rsid w:val="00586FB7"/>
    <w:rsid w:val="00586FD5"/>
    <w:rsid w:val="0058715E"/>
    <w:rsid w:val="00587244"/>
    <w:rsid w:val="00587260"/>
    <w:rsid w:val="0058728E"/>
    <w:rsid w:val="00587317"/>
    <w:rsid w:val="00587507"/>
    <w:rsid w:val="00587D64"/>
    <w:rsid w:val="00587FE0"/>
    <w:rsid w:val="005900C9"/>
    <w:rsid w:val="00590184"/>
    <w:rsid w:val="00590453"/>
    <w:rsid w:val="005904F0"/>
    <w:rsid w:val="00590FF6"/>
    <w:rsid w:val="00591226"/>
    <w:rsid w:val="00591274"/>
    <w:rsid w:val="00591475"/>
    <w:rsid w:val="00592686"/>
    <w:rsid w:val="00592B10"/>
    <w:rsid w:val="0059325A"/>
    <w:rsid w:val="00593755"/>
    <w:rsid w:val="00594294"/>
    <w:rsid w:val="00594479"/>
    <w:rsid w:val="00594626"/>
    <w:rsid w:val="005948A2"/>
    <w:rsid w:val="00594B94"/>
    <w:rsid w:val="0059500F"/>
    <w:rsid w:val="00595745"/>
    <w:rsid w:val="00595CDA"/>
    <w:rsid w:val="00595D46"/>
    <w:rsid w:val="005964E0"/>
    <w:rsid w:val="00596A0B"/>
    <w:rsid w:val="00596AAA"/>
    <w:rsid w:val="00596D7F"/>
    <w:rsid w:val="00596DE8"/>
    <w:rsid w:val="00596E05"/>
    <w:rsid w:val="00596F85"/>
    <w:rsid w:val="005970FA"/>
    <w:rsid w:val="00597D58"/>
    <w:rsid w:val="005A0117"/>
    <w:rsid w:val="005A0176"/>
    <w:rsid w:val="005A088E"/>
    <w:rsid w:val="005A0ACF"/>
    <w:rsid w:val="005A1097"/>
    <w:rsid w:val="005A139C"/>
    <w:rsid w:val="005A174F"/>
    <w:rsid w:val="005A1C76"/>
    <w:rsid w:val="005A2298"/>
    <w:rsid w:val="005A2632"/>
    <w:rsid w:val="005A28C1"/>
    <w:rsid w:val="005A2950"/>
    <w:rsid w:val="005A3309"/>
    <w:rsid w:val="005A3AEF"/>
    <w:rsid w:val="005A426F"/>
    <w:rsid w:val="005A42EA"/>
    <w:rsid w:val="005A4583"/>
    <w:rsid w:val="005A469F"/>
    <w:rsid w:val="005A5587"/>
    <w:rsid w:val="005A57F0"/>
    <w:rsid w:val="005A5EC9"/>
    <w:rsid w:val="005A6033"/>
    <w:rsid w:val="005A689A"/>
    <w:rsid w:val="005A6A38"/>
    <w:rsid w:val="005A7001"/>
    <w:rsid w:val="005A72DB"/>
    <w:rsid w:val="005A72FC"/>
    <w:rsid w:val="005A7537"/>
    <w:rsid w:val="005A7937"/>
    <w:rsid w:val="005A7B85"/>
    <w:rsid w:val="005B0115"/>
    <w:rsid w:val="005B0388"/>
    <w:rsid w:val="005B066D"/>
    <w:rsid w:val="005B0C34"/>
    <w:rsid w:val="005B0D19"/>
    <w:rsid w:val="005B109A"/>
    <w:rsid w:val="005B197F"/>
    <w:rsid w:val="005B2598"/>
    <w:rsid w:val="005B274B"/>
    <w:rsid w:val="005B28C5"/>
    <w:rsid w:val="005B2B60"/>
    <w:rsid w:val="005B2DB6"/>
    <w:rsid w:val="005B367F"/>
    <w:rsid w:val="005B36EF"/>
    <w:rsid w:val="005B41E2"/>
    <w:rsid w:val="005B4219"/>
    <w:rsid w:val="005B4891"/>
    <w:rsid w:val="005B4DA6"/>
    <w:rsid w:val="005B536B"/>
    <w:rsid w:val="005B53AF"/>
    <w:rsid w:val="005B55F4"/>
    <w:rsid w:val="005B59E7"/>
    <w:rsid w:val="005B5D1F"/>
    <w:rsid w:val="005B6E15"/>
    <w:rsid w:val="005B7567"/>
    <w:rsid w:val="005B75D1"/>
    <w:rsid w:val="005C04BB"/>
    <w:rsid w:val="005C0532"/>
    <w:rsid w:val="005C0948"/>
    <w:rsid w:val="005C0A3A"/>
    <w:rsid w:val="005C1618"/>
    <w:rsid w:val="005C1BBA"/>
    <w:rsid w:val="005C1D5F"/>
    <w:rsid w:val="005C1FB0"/>
    <w:rsid w:val="005C2913"/>
    <w:rsid w:val="005C2E4A"/>
    <w:rsid w:val="005C2FD5"/>
    <w:rsid w:val="005C30ED"/>
    <w:rsid w:val="005C31EB"/>
    <w:rsid w:val="005C399D"/>
    <w:rsid w:val="005C3CA7"/>
    <w:rsid w:val="005C3F5A"/>
    <w:rsid w:val="005C4EFD"/>
    <w:rsid w:val="005C50A8"/>
    <w:rsid w:val="005C525C"/>
    <w:rsid w:val="005C5378"/>
    <w:rsid w:val="005C5388"/>
    <w:rsid w:val="005C6431"/>
    <w:rsid w:val="005C64D0"/>
    <w:rsid w:val="005C6703"/>
    <w:rsid w:val="005C67DE"/>
    <w:rsid w:val="005C6AF6"/>
    <w:rsid w:val="005C718E"/>
    <w:rsid w:val="005C72F0"/>
    <w:rsid w:val="005C7976"/>
    <w:rsid w:val="005C7B2F"/>
    <w:rsid w:val="005D0E47"/>
    <w:rsid w:val="005D1063"/>
    <w:rsid w:val="005D15C0"/>
    <w:rsid w:val="005D161F"/>
    <w:rsid w:val="005D1ACD"/>
    <w:rsid w:val="005D22DB"/>
    <w:rsid w:val="005D2AB9"/>
    <w:rsid w:val="005D2DCB"/>
    <w:rsid w:val="005D2E4F"/>
    <w:rsid w:val="005D3097"/>
    <w:rsid w:val="005D30B3"/>
    <w:rsid w:val="005D34E2"/>
    <w:rsid w:val="005D38D3"/>
    <w:rsid w:val="005D3B15"/>
    <w:rsid w:val="005D442D"/>
    <w:rsid w:val="005D4933"/>
    <w:rsid w:val="005D496E"/>
    <w:rsid w:val="005D4B0B"/>
    <w:rsid w:val="005D4CDC"/>
    <w:rsid w:val="005D56DA"/>
    <w:rsid w:val="005D5E97"/>
    <w:rsid w:val="005D5EDC"/>
    <w:rsid w:val="005D5F48"/>
    <w:rsid w:val="005D6170"/>
    <w:rsid w:val="005D61A3"/>
    <w:rsid w:val="005D6EA5"/>
    <w:rsid w:val="005D76F2"/>
    <w:rsid w:val="005D7C20"/>
    <w:rsid w:val="005E016E"/>
    <w:rsid w:val="005E03EA"/>
    <w:rsid w:val="005E04E9"/>
    <w:rsid w:val="005E0C1B"/>
    <w:rsid w:val="005E0DCB"/>
    <w:rsid w:val="005E17B4"/>
    <w:rsid w:val="005E19AF"/>
    <w:rsid w:val="005E208C"/>
    <w:rsid w:val="005E20C5"/>
    <w:rsid w:val="005E28DB"/>
    <w:rsid w:val="005E2EDE"/>
    <w:rsid w:val="005E4628"/>
    <w:rsid w:val="005E47FB"/>
    <w:rsid w:val="005E49A6"/>
    <w:rsid w:val="005E4A18"/>
    <w:rsid w:val="005E4A95"/>
    <w:rsid w:val="005E4E4E"/>
    <w:rsid w:val="005E5108"/>
    <w:rsid w:val="005E5345"/>
    <w:rsid w:val="005E5618"/>
    <w:rsid w:val="005E590A"/>
    <w:rsid w:val="005E5C1D"/>
    <w:rsid w:val="005E5E87"/>
    <w:rsid w:val="005E656A"/>
    <w:rsid w:val="005E6960"/>
    <w:rsid w:val="005E6D97"/>
    <w:rsid w:val="005E6DE3"/>
    <w:rsid w:val="005E6E51"/>
    <w:rsid w:val="005E75AB"/>
    <w:rsid w:val="005E7610"/>
    <w:rsid w:val="005E78A8"/>
    <w:rsid w:val="005E78E2"/>
    <w:rsid w:val="005E78F3"/>
    <w:rsid w:val="005E7D93"/>
    <w:rsid w:val="005E7EB8"/>
    <w:rsid w:val="005F00E5"/>
    <w:rsid w:val="005F011E"/>
    <w:rsid w:val="005F03AB"/>
    <w:rsid w:val="005F04B3"/>
    <w:rsid w:val="005F0801"/>
    <w:rsid w:val="005F0BE0"/>
    <w:rsid w:val="005F110E"/>
    <w:rsid w:val="005F149B"/>
    <w:rsid w:val="005F1577"/>
    <w:rsid w:val="005F184F"/>
    <w:rsid w:val="005F18D6"/>
    <w:rsid w:val="005F1FA5"/>
    <w:rsid w:val="005F24FE"/>
    <w:rsid w:val="005F2ACD"/>
    <w:rsid w:val="005F2BA8"/>
    <w:rsid w:val="005F320F"/>
    <w:rsid w:val="005F3582"/>
    <w:rsid w:val="005F3611"/>
    <w:rsid w:val="005F3750"/>
    <w:rsid w:val="005F3A6D"/>
    <w:rsid w:val="005F3C19"/>
    <w:rsid w:val="005F3FFE"/>
    <w:rsid w:val="005F40BA"/>
    <w:rsid w:val="005F4434"/>
    <w:rsid w:val="005F4B1A"/>
    <w:rsid w:val="005F4E4C"/>
    <w:rsid w:val="005F501A"/>
    <w:rsid w:val="005F50DF"/>
    <w:rsid w:val="005F5318"/>
    <w:rsid w:val="005F5324"/>
    <w:rsid w:val="005F5DE3"/>
    <w:rsid w:val="005F603A"/>
    <w:rsid w:val="005F66DC"/>
    <w:rsid w:val="005F77AB"/>
    <w:rsid w:val="005F7877"/>
    <w:rsid w:val="005F7C99"/>
    <w:rsid w:val="005F7E1A"/>
    <w:rsid w:val="005F7EB1"/>
    <w:rsid w:val="006003FF"/>
    <w:rsid w:val="0060083B"/>
    <w:rsid w:val="00600D34"/>
    <w:rsid w:val="00601089"/>
    <w:rsid w:val="00601171"/>
    <w:rsid w:val="00601651"/>
    <w:rsid w:val="0060168A"/>
    <w:rsid w:val="00601925"/>
    <w:rsid w:val="00601B28"/>
    <w:rsid w:val="00601DC7"/>
    <w:rsid w:val="00602064"/>
    <w:rsid w:val="00602A5E"/>
    <w:rsid w:val="00602B21"/>
    <w:rsid w:val="00602C1D"/>
    <w:rsid w:val="00603024"/>
    <w:rsid w:val="0060327A"/>
    <w:rsid w:val="00603342"/>
    <w:rsid w:val="006036DE"/>
    <w:rsid w:val="006037BB"/>
    <w:rsid w:val="0060408F"/>
    <w:rsid w:val="00604211"/>
    <w:rsid w:val="006042D8"/>
    <w:rsid w:val="0060448B"/>
    <w:rsid w:val="006045C1"/>
    <w:rsid w:val="00604C81"/>
    <w:rsid w:val="0060553C"/>
    <w:rsid w:val="00605996"/>
    <w:rsid w:val="006059DF"/>
    <w:rsid w:val="00605F3F"/>
    <w:rsid w:val="00606047"/>
    <w:rsid w:val="00606176"/>
    <w:rsid w:val="006061D6"/>
    <w:rsid w:val="006062B4"/>
    <w:rsid w:val="00606C88"/>
    <w:rsid w:val="00606C8A"/>
    <w:rsid w:val="00606DD4"/>
    <w:rsid w:val="00606F87"/>
    <w:rsid w:val="00607011"/>
    <w:rsid w:val="0060703F"/>
    <w:rsid w:val="0060731E"/>
    <w:rsid w:val="00607374"/>
    <w:rsid w:val="00607495"/>
    <w:rsid w:val="006075A4"/>
    <w:rsid w:val="00607F85"/>
    <w:rsid w:val="00607FE1"/>
    <w:rsid w:val="00610057"/>
    <w:rsid w:val="006102C2"/>
    <w:rsid w:val="0061047A"/>
    <w:rsid w:val="0061079B"/>
    <w:rsid w:val="006108D0"/>
    <w:rsid w:val="00610A57"/>
    <w:rsid w:val="00610BD9"/>
    <w:rsid w:val="00611041"/>
    <w:rsid w:val="0061117F"/>
    <w:rsid w:val="00611196"/>
    <w:rsid w:val="00611495"/>
    <w:rsid w:val="006116E3"/>
    <w:rsid w:val="00611AFF"/>
    <w:rsid w:val="00612146"/>
    <w:rsid w:val="006123B5"/>
    <w:rsid w:val="00612D6B"/>
    <w:rsid w:val="00612DE6"/>
    <w:rsid w:val="00612FC6"/>
    <w:rsid w:val="006130C0"/>
    <w:rsid w:val="006137C2"/>
    <w:rsid w:val="00613888"/>
    <w:rsid w:val="00613A81"/>
    <w:rsid w:val="00613C76"/>
    <w:rsid w:val="006140C8"/>
    <w:rsid w:val="0061434A"/>
    <w:rsid w:val="0061454D"/>
    <w:rsid w:val="00614BBB"/>
    <w:rsid w:val="00614C2C"/>
    <w:rsid w:val="00614E10"/>
    <w:rsid w:val="006150C0"/>
    <w:rsid w:val="006152FE"/>
    <w:rsid w:val="00615EF4"/>
    <w:rsid w:val="00615F46"/>
    <w:rsid w:val="00616785"/>
    <w:rsid w:val="00616902"/>
    <w:rsid w:val="00616FF1"/>
    <w:rsid w:val="00617197"/>
    <w:rsid w:val="00617B95"/>
    <w:rsid w:val="00620718"/>
    <w:rsid w:val="00620A8B"/>
    <w:rsid w:val="00620B4E"/>
    <w:rsid w:val="00620B76"/>
    <w:rsid w:val="006211EA"/>
    <w:rsid w:val="00621402"/>
    <w:rsid w:val="00622512"/>
    <w:rsid w:val="006226C1"/>
    <w:rsid w:val="00622A43"/>
    <w:rsid w:val="0062318C"/>
    <w:rsid w:val="00623493"/>
    <w:rsid w:val="006237A2"/>
    <w:rsid w:val="0062386C"/>
    <w:rsid w:val="00623A1A"/>
    <w:rsid w:val="00623F8A"/>
    <w:rsid w:val="0062402E"/>
    <w:rsid w:val="00624125"/>
    <w:rsid w:val="0062427C"/>
    <w:rsid w:val="00624400"/>
    <w:rsid w:val="006244CA"/>
    <w:rsid w:val="006245D0"/>
    <w:rsid w:val="00624648"/>
    <w:rsid w:val="00624E51"/>
    <w:rsid w:val="0062534C"/>
    <w:rsid w:val="006258CF"/>
    <w:rsid w:val="00625A05"/>
    <w:rsid w:val="00625ACD"/>
    <w:rsid w:val="00625B0D"/>
    <w:rsid w:val="00625EA0"/>
    <w:rsid w:val="00626162"/>
    <w:rsid w:val="006278EF"/>
    <w:rsid w:val="00627A9E"/>
    <w:rsid w:val="00630501"/>
    <w:rsid w:val="00630852"/>
    <w:rsid w:val="006313A2"/>
    <w:rsid w:val="00631D5D"/>
    <w:rsid w:val="00631FEE"/>
    <w:rsid w:val="00632937"/>
    <w:rsid w:val="00633A95"/>
    <w:rsid w:val="00633C3C"/>
    <w:rsid w:val="00633C57"/>
    <w:rsid w:val="006342F0"/>
    <w:rsid w:val="00634719"/>
    <w:rsid w:val="006348F3"/>
    <w:rsid w:val="006353D2"/>
    <w:rsid w:val="006355FD"/>
    <w:rsid w:val="00635923"/>
    <w:rsid w:val="00635B87"/>
    <w:rsid w:val="0063624E"/>
    <w:rsid w:val="006362C6"/>
    <w:rsid w:val="006365E8"/>
    <w:rsid w:val="006367B8"/>
    <w:rsid w:val="00636B09"/>
    <w:rsid w:val="006370E0"/>
    <w:rsid w:val="00637236"/>
    <w:rsid w:val="0063759E"/>
    <w:rsid w:val="00637A81"/>
    <w:rsid w:val="006400F3"/>
    <w:rsid w:val="006406BF"/>
    <w:rsid w:val="0064094A"/>
    <w:rsid w:val="00640B51"/>
    <w:rsid w:val="00640C34"/>
    <w:rsid w:val="00640E84"/>
    <w:rsid w:val="0064106B"/>
    <w:rsid w:val="0064134E"/>
    <w:rsid w:val="006419A1"/>
    <w:rsid w:val="00641A92"/>
    <w:rsid w:val="00641DB9"/>
    <w:rsid w:val="006421D0"/>
    <w:rsid w:val="00642493"/>
    <w:rsid w:val="00642985"/>
    <w:rsid w:val="00642C76"/>
    <w:rsid w:val="00643078"/>
    <w:rsid w:val="006433AA"/>
    <w:rsid w:val="0064353C"/>
    <w:rsid w:val="00643641"/>
    <w:rsid w:val="006436F6"/>
    <w:rsid w:val="00643850"/>
    <w:rsid w:val="006438C4"/>
    <w:rsid w:val="00643A9E"/>
    <w:rsid w:val="00643BC4"/>
    <w:rsid w:val="00643FB4"/>
    <w:rsid w:val="00644143"/>
    <w:rsid w:val="006448FF"/>
    <w:rsid w:val="0064558B"/>
    <w:rsid w:val="0064586F"/>
    <w:rsid w:val="00645D73"/>
    <w:rsid w:val="00645E82"/>
    <w:rsid w:val="00646644"/>
    <w:rsid w:val="00646EF4"/>
    <w:rsid w:val="00647E2D"/>
    <w:rsid w:val="0065017D"/>
    <w:rsid w:val="006503DC"/>
    <w:rsid w:val="006503E8"/>
    <w:rsid w:val="0065040E"/>
    <w:rsid w:val="00650570"/>
    <w:rsid w:val="006505A1"/>
    <w:rsid w:val="006505CD"/>
    <w:rsid w:val="006507A6"/>
    <w:rsid w:val="00650A33"/>
    <w:rsid w:val="00650ABC"/>
    <w:rsid w:val="00650B31"/>
    <w:rsid w:val="0065114F"/>
    <w:rsid w:val="006514BA"/>
    <w:rsid w:val="00651A4F"/>
    <w:rsid w:val="00651B2E"/>
    <w:rsid w:val="00652018"/>
    <w:rsid w:val="00652143"/>
    <w:rsid w:val="00652291"/>
    <w:rsid w:val="006525C1"/>
    <w:rsid w:val="006526BE"/>
    <w:rsid w:val="00652747"/>
    <w:rsid w:val="00653059"/>
    <w:rsid w:val="00653260"/>
    <w:rsid w:val="00653438"/>
    <w:rsid w:val="00653A6C"/>
    <w:rsid w:val="00653ED7"/>
    <w:rsid w:val="00654590"/>
    <w:rsid w:val="00654A4A"/>
    <w:rsid w:val="0065509F"/>
    <w:rsid w:val="0065545A"/>
    <w:rsid w:val="0065585B"/>
    <w:rsid w:val="006559D9"/>
    <w:rsid w:val="006560FD"/>
    <w:rsid w:val="00656892"/>
    <w:rsid w:val="00656A34"/>
    <w:rsid w:val="00656DA1"/>
    <w:rsid w:val="00656E07"/>
    <w:rsid w:val="006571E4"/>
    <w:rsid w:val="00657303"/>
    <w:rsid w:val="0065760C"/>
    <w:rsid w:val="0065765D"/>
    <w:rsid w:val="0066037C"/>
    <w:rsid w:val="0066085B"/>
    <w:rsid w:val="006610EC"/>
    <w:rsid w:val="00661123"/>
    <w:rsid w:val="00661153"/>
    <w:rsid w:val="00661AEE"/>
    <w:rsid w:val="00661FCE"/>
    <w:rsid w:val="00662006"/>
    <w:rsid w:val="00662269"/>
    <w:rsid w:val="006625D0"/>
    <w:rsid w:val="006627B9"/>
    <w:rsid w:val="00662A6B"/>
    <w:rsid w:val="00662F7A"/>
    <w:rsid w:val="00662FDB"/>
    <w:rsid w:val="00663111"/>
    <w:rsid w:val="006631F8"/>
    <w:rsid w:val="00664867"/>
    <w:rsid w:val="006648C8"/>
    <w:rsid w:val="00664A6C"/>
    <w:rsid w:val="00664DAC"/>
    <w:rsid w:val="00664EC0"/>
    <w:rsid w:val="00665AE9"/>
    <w:rsid w:val="00665CDA"/>
    <w:rsid w:val="00665F85"/>
    <w:rsid w:val="00666184"/>
    <w:rsid w:val="006661CF"/>
    <w:rsid w:val="0066627C"/>
    <w:rsid w:val="006668F8"/>
    <w:rsid w:val="006669AB"/>
    <w:rsid w:val="00667A22"/>
    <w:rsid w:val="00667B12"/>
    <w:rsid w:val="00667B44"/>
    <w:rsid w:val="0067003E"/>
    <w:rsid w:val="006708B0"/>
    <w:rsid w:val="00670BFD"/>
    <w:rsid w:val="00670D49"/>
    <w:rsid w:val="00670DC6"/>
    <w:rsid w:val="00670ED6"/>
    <w:rsid w:val="00671ADF"/>
    <w:rsid w:val="00671E4C"/>
    <w:rsid w:val="0067299B"/>
    <w:rsid w:val="00673235"/>
    <w:rsid w:val="00673461"/>
    <w:rsid w:val="006740D5"/>
    <w:rsid w:val="00674237"/>
    <w:rsid w:val="00674295"/>
    <w:rsid w:val="006743AB"/>
    <w:rsid w:val="006748A8"/>
    <w:rsid w:val="00674B4A"/>
    <w:rsid w:val="00674BB7"/>
    <w:rsid w:val="00674D90"/>
    <w:rsid w:val="00674DBA"/>
    <w:rsid w:val="00674FFD"/>
    <w:rsid w:val="00675059"/>
    <w:rsid w:val="006752CE"/>
    <w:rsid w:val="00676234"/>
    <w:rsid w:val="0067625D"/>
    <w:rsid w:val="00676410"/>
    <w:rsid w:val="00676D25"/>
    <w:rsid w:val="006770DB"/>
    <w:rsid w:val="0067725C"/>
    <w:rsid w:val="00677350"/>
    <w:rsid w:val="006774CC"/>
    <w:rsid w:val="006775AB"/>
    <w:rsid w:val="0068071B"/>
    <w:rsid w:val="00680905"/>
    <w:rsid w:val="00680979"/>
    <w:rsid w:val="006809DB"/>
    <w:rsid w:val="0068114E"/>
    <w:rsid w:val="0068139E"/>
    <w:rsid w:val="006818A8"/>
    <w:rsid w:val="00681927"/>
    <w:rsid w:val="00681984"/>
    <w:rsid w:val="00681A51"/>
    <w:rsid w:val="0068211F"/>
    <w:rsid w:val="00682141"/>
    <w:rsid w:val="00682424"/>
    <w:rsid w:val="00682469"/>
    <w:rsid w:val="006831BC"/>
    <w:rsid w:val="0068337B"/>
    <w:rsid w:val="00683490"/>
    <w:rsid w:val="0068355B"/>
    <w:rsid w:val="0068376D"/>
    <w:rsid w:val="006837CF"/>
    <w:rsid w:val="00683D97"/>
    <w:rsid w:val="00683F6B"/>
    <w:rsid w:val="00684784"/>
    <w:rsid w:val="00684BD7"/>
    <w:rsid w:val="00684C3A"/>
    <w:rsid w:val="00684F61"/>
    <w:rsid w:val="00684FCA"/>
    <w:rsid w:val="0068501F"/>
    <w:rsid w:val="0068524B"/>
    <w:rsid w:val="0068582B"/>
    <w:rsid w:val="00685E4A"/>
    <w:rsid w:val="00686133"/>
    <w:rsid w:val="00686844"/>
    <w:rsid w:val="00686965"/>
    <w:rsid w:val="00686A56"/>
    <w:rsid w:val="00686B5C"/>
    <w:rsid w:val="00686F01"/>
    <w:rsid w:val="0068744F"/>
    <w:rsid w:val="006877BC"/>
    <w:rsid w:val="00687BC0"/>
    <w:rsid w:val="00690276"/>
    <w:rsid w:val="0069030C"/>
    <w:rsid w:val="00690677"/>
    <w:rsid w:val="00690B8A"/>
    <w:rsid w:val="00690BBA"/>
    <w:rsid w:val="006915C8"/>
    <w:rsid w:val="00691680"/>
    <w:rsid w:val="00691BBF"/>
    <w:rsid w:val="0069227B"/>
    <w:rsid w:val="0069268A"/>
    <w:rsid w:val="00692850"/>
    <w:rsid w:val="00692DC9"/>
    <w:rsid w:val="00692F2E"/>
    <w:rsid w:val="00693271"/>
    <w:rsid w:val="0069347D"/>
    <w:rsid w:val="006934FD"/>
    <w:rsid w:val="00693B5B"/>
    <w:rsid w:val="00693D0C"/>
    <w:rsid w:val="00693E5A"/>
    <w:rsid w:val="0069418C"/>
    <w:rsid w:val="00694A7A"/>
    <w:rsid w:val="00694FE9"/>
    <w:rsid w:val="00695271"/>
    <w:rsid w:val="0069544D"/>
    <w:rsid w:val="006955CF"/>
    <w:rsid w:val="00695D55"/>
    <w:rsid w:val="00696997"/>
    <w:rsid w:val="006969AE"/>
    <w:rsid w:val="00696B43"/>
    <w:rsid w:val="00697656"/>
    <w:rsid w:val="006977EC"/>
    <w:rsid w:val="00697B6F"/>
    <w:rsid w:val="006A02D6"/>
    <w:rsid w:val="006A0DB1"/>
    <w:rsid w:val="006A1AE9"/>
    <w:rsid w:val="006A1AFD"/>
    <w:rsid w:val="006A1E82"/>
    <w:rsid w:val="006A1FE8"/>
    <w:rsid w:val="006A22B6"/>
    <w:rsid w:val="006A2729"/>
    <w:rsid w:val="006A2854"/>
    <w:rsid w:val="006A335B"/>
    <w:rsid w:val="006A3AE6"/>
    <w:rsid w:val="006A4295"/>
    <w:rsid w:val="006A42C3"/>
    <w:rsid w:val="006A473A"/>
    <w:rsid w:val="006A489A"/>
    <w:rsid w:val="006A4C25"/>
    <w:rsid w:val="006A4EB7"/>
    <w:rsid w:val="006A4F51"/>
    <w:rsid w:val="006A5E30"/>
    <w:rsid w:val="006A60ED"/>
    <w:rsid w:val="006A6375"/>
    <w:rsid w:val="006A651F"/>
    <w:rsid w:val="006A65A5"/>
    <w:rsid w:val="006A65F0"/>
    <w:rsid w:val="006A6D0E"/>
    <w:rsid w:val="006A6DCF"/>
    <w:rsid w:val="006A6DD8"/>
    <w:rsid w:val="006A6EED"/>
    <w:rsid w:val="006A6EEF"/>
    <w:rsid w:val="006A7001"/>
    <w:rsid w:val="006A71CE"/>
    <w:rsid w:val="006A7284"/>
    <w:rsid w:val="006A758C"/>
    <w:rsid w:val="006A7805"/>
    <w:rsid w:val="006A7BB0"/>
    <w:rsid w:val="006A7E7D"/>
    <w:rsid w:val="006A7E95"/>
    <w:rsid w:val="006B03FD"/>
    <w:rsid w:val="006B0682"/>
    <w:rsid w:val="006B08C7"/>
    <w:rsid w:val="006B18AD"/>
    <w:rsid w:val="006B191A"/>
    <w:rsid w:val="006B1D18"/>
    <w:rsid w:val="006B1F97"/>
    <w:rsid w:val="006B2608"/>
    <w:rsid w:val="006B2718"/>
    <w:rsid w:val="006B29D1"/>
    <w:rsid w:val="006B30EF"/>
    <w:rsid w:val="006B3119"/>
    <w:rsid w:val="006B3126"/>
    <w:rsid w:val="006B3C1A"/>
    <w:rsid w:val="006B41FB"/>
    <w:rsid w:val="006B443D"/>
    <w:rsid w:val="006B447D"/>
    <w:rsid w:val="006B4493"/>
    <w:rsid w:val="006B460F"/>
    <w:rsid w:val="006B4BB3"/>
    <w:rsid w:val="006B52F4"/>
    <w:rsid w:val="006B56DF"/>
    <w:rsid w:val="006B5C98"/>
    <w:rsid w:val="006B6180"/>
    <w:rsid w:val="006B6297"/>
    <w:rsid w:val="006B678E"/>
    <w:rsid w:val="006B6C95"/>
    <w:rsid w:val="006B7995"/>
    <w:rsid w:val="006B79AA"/>
    <w:rsid w:val="006B7D99"/>
    <w:rsid w:val="006C03A9"/>
    <w:rsid w:val="006C07A9"/>
    <w:rsid w:val="006C08AB"/>
    <w:rsid w:val="006C0C49"/>
    <w:rsid w:val="006C0D0F"/>
    <w:rsid w:val="006C0F46"/>
    <w:rsid w:val="006C1D3C"/>
    <w:rsid w:val="006C1EEC"/>
    <w:rsid w:val="006C2057"/>
    <w:rsid w:val="006C2855"/>
    <w:rsid w:val="006C319D"/>
    <w:rsid w:val="006C352C"/>
    <w:rsid w:val="006C3732"/>
    <w:rsid w:val="006C3A33"/>
    <w:rsid w:val="006C3FEA"/>
    <w:rsid w:val="006C4BC7"/>
    <w:rsid w:val="006C4C13"/>
    <w:rsid w:val="006C4D9B"/>
    <w:rsid w:val="006C4FEE"/>
    <w:rsid w:val="006C50C8"/>
    <w:rsid w:val="006C5A01"/>
    <w:rsid w:val="006C63EF"/>
    <w:rsid w:val="006C65E9"/>
    <w:rsid w:val="006C6666"/>
    <w:rsid w:val="006C69E7"/>
    <w:rsid w:val="006C6B8E"/>
    <w:rsid w:val="006D09FD"/>
    <w:rsid w:val="006D10AE"/>
    <w:rsid w:val="006D1414"/>
    <w:rsid w:val="006D159B"/>
    <w:rsid w:val="006D15C4"/>
    <w:rsid w:val="006D1BBB"/>
    <w:rsid w:val="006D1D6B"/>
    <w:rsid w:val="006D1E54"/>
    <w:rsid w:val="006D24DC"/>
    <w:rsid w:val="006D25C3"/>
    <w:rsid w:val="006D25E8"/>
    <w:rsid w:val="006D2765"/>
    <w:rsid w:val="006D29F2"/>
    <w:rsid w:val="006D2A2D"/>
    <w:rsid w:val="006D3674"/>
    <w:rsid w:val="006D3BBB"/>
    <w:rsid w:val="006D4290"/>
    <w:rsid w:val="006D4ACC"/>
    <w:rsid w:val="006D4B12"/>
    <w:rsid w:val="006D4B4A"/>
    <w:rsid w:val="006D4BE9"/>
    <w:rsid w:val="006D4CD6"/>
    <w:rsid w:val="006D4D5B"/>
    <w:rsid w:val="006D4DDF"/>
    <w:rsid w:val="006D5276"/>
    <w:rsid w:val="006D54B0"/>
    <w:rsid w:val="006D5A49"/>
    <w:rsid w:val="006D5D21"/>
    <w:rsid w:val="006D5E20"/>
    <w:rsid w:val="006D69D6"/>
    <w:rsid w:val="006D6F85"/>
    <w:rsid w:val="006D71F9"/>
    <w:rsid w:val="006D7620"/>
    <w:rsid w:val="006D76F8"/>
    <w:rsid w:val="006D7CA2"/>
    <w:rsid w:val="006D7FAC"/>
    <w:rsid w:val="006E0219"/>
    <w:rsid w:val="006E025F"/>
    <w:rsid w:val="006E065B"/>
    <w:rsid w:val="006E09D3"/>
    <w:rsid w:val="006E0DF4"/>
    <w:rsid w:val="006E1692"/>
    <w:rsid w:val="006E1828"/>
    <w:rsid w:val="006E1E6C"/>
    <w:rsid w:val="006E20CB"/>
    <w:rsid w:val="006E221B"/>
    <w:rsid w:val="006E24BB"/>
    <w:rsid w:val="006E2785"/>
    <w:rsid w:val="006E2F02"/>
    <w:rsid w:val="006E351D"/>
    <w:rsid w:val="006E3966"/>
    <w:rsid w:val="006E39D2"/>
    <w:rsid w:val="006E39DC"/>
    <w:rsid w:val="006E42CE"/>
    <w:rsid w:val="006E4B37"/>
    <w:rsid w:val="006E533A"/>
    <w:rsid w:val="006E5505"/>
    <w:rsid w:val="006E5657"/>
    <w:rsid w:val="006E56CB"/>
    <w:rsid w:val="006E576A"/>
    <w:rsid w:val="006E59A4"/>
    <w:rsid w:val="006E5B6E"/>
    <w:rsid w:val="006E6052"/>
    <w:rsid w:val="006E6323"/>
    <w:rsid w:val="006E637A"/>
    <w:rsid w:val="006E69BD"/>
    <w:rsid w:val="006E6BBE"/>
    <w:rsid w:val="006E6C74"/>
    <w:rsid w:val="006E71BB"/>
    <w:rsid w:val="006E71DC"/>
    <w:rsid w:val="006E7EC1"/>
    <w:rsid w:val="006F016E"/>
    <w:rsid w:val="006F0665"/>
    <w:rsid w:val="006F0815"/>
    <w:rsid w:val="006F0968"/>
    <w:rsid w:val="006F0D0A"/>
    <w:rsid w:val="006F0EF7"/>
    <w:rsid w:val="006F1362"/>
    <w:rsid w:val="006F136D"/>
    <w:rsid w:val="006F1754"/>
    <w:rsid w:val="006F1774"/>
    <w:rsid w:val="006F1F84"/>
    <w:rsid w:val="006F1FB6"/>
    <w:rsid w:val="006F226D"/>
    <w:rsid w:val="006F240A"/>
    <w:rsid w:val="006F27EF"/>
    <w:rsid w:val="006F2A5B"/>
    <w:rsid w:val="006F2D27"/>
    <w:rsid w:val="006F2FB3"/>
    <w:rsid w:val="006F3369"/>
    <w:rsid w:val="006F3B4E"/>
    <w:rsid w:val="006F3CE3"/>
    <w:rsid w:val="006F3D02"/>
    <w:rsid w:val="006F3D23"/>
    <w:rsid w:val="006F3D63"/>
    <w:rsid w:val="006F461F"/>
    <w:rsid w:val="006F4E35"/>
    <w:rsid w:val="006F531B"/>
    <w:rsid w:val="006F5647"/>
    <w:rsid w:val="006F56B6"/>
    <w:rsid w:val="006F5AE6"/>
    <w:rsid w:val="006F5C09"/>
    <w:rsid w:val="006F5E33"/>
    <w:rsid w:val="006F62BC"/>
    <w:rsid w:val="006F670F"/>
    <w:rsid w:val="006F690A"/>
    <w:rsid w:val="006F6FCB"/>
    <w:rsid w:val="006F70BD"/>
    <w:rsid w:val="006F7B7D"/>
    <w:rsid w:val="0070023A"/>
    <w:rsid w:val="00700508"/>
    <w:rsid w:val="007006F6"/>
    <w:rsid w:val="007008AF"/>
    <w:rsid w:val="007009EF"/>
    <w:rsid w:val="00700E96"/>
    <w:rsid w:val="00700EE1"/>
    <w:rsid w:val="007023B5"/>
    <w:rsid w:val="00702493"/>
    <w:rsid w:val="007034D1"/>
    <w:rsid w:val="00703AB1"/>
    <w:rsid w:val="00703D6E"/>
    <w:rsid w:val="00703F40"/>
    <w:rsid w:val="00704310"/>
    <w:rsid w:val="00704B34"/>
    <w:rsid w:val="007051D8"/>
    <w:rsid w:val="00705B01"/>
    <w:rsid w:val="0070678D"/>
    <w:rsid w:val="00706A77"/>
    <w:rsid w:val="00706C1B"/>
    <w:rsid w:val="007078A9"/>
    <w:rsid w:val="00707C3A"/>
    <w:rsid w:val="0071035D"/>
    <w:rsid w:val="0071077E"/>
    <w:rsid w:val="007109A0"/>
    <w:rsid w:val="00710D88"/>
    <w:rsid w:val="00710F92"/>
    <w:rsid w:val="00711060"/>
    <w:rsid w:val="00711295"/>
    <w:rsid w:val="007115E8"/>
    <w:rsid w:val="00711670"/>
    <w:rsid w:val="00711D49"/>
    <w:rsid w:val="00711DFA"/>
    <w:rsid w:val="00711F58"/>
    <w:rsid w:val="00712119"/>
    <w:rsid w:val="007122F9"/>
    <w:rsid w:val="00713074"/>
    <w:rsid w:val="007130D8"/>
    <w:rsid w:val="00713170"/>
    <w:rsid w:val="00713210"/>
    <w:rsid w:val="007135AE"/>
    <w:rsid w:val="00713664"/>
    <w:rsid w:val="0071382F"/>
    <w:rsid w:val="00714652"/>
    <w:rsid w:val="00714A8A"/>
    <w:rsid w:val="00714B44"/>
    <w:rsid w:val="00714F3B"/>
    <w:rsid w:val="007157E0"/>
    <w:rsid w:val="007157FC"/>
    <w:rsid w:val="00715816"/>
    <w:rsid w:val="007165C5"/>
    <w:rsid w:val="007166F7"/>
    <w:rsid w:val="00716AEF"/>
    <w:rsid w:val="00716B51"/>
    <w:rsid w:val="00717076"/>
    <w:rsid w:val="00717296"/>
    <w:rsid w:val="007172CB"/>
    <w:rsid w:val="00717638"/>
    <w:rsid w:val="00717746"/>
    <w:rsid w:val="00717CA8"/>
    <w:rsid w:val="00717FE7"/>
    <w:rsid w:val="0072026C"/>
    <w:rsid w:val="00720335"/>
    <w:rsid w:val="0072052A"/>
    <w:rsid w:val="007207B8"/>
    <w:rsid w:val="00720CF6"/>
    <w:rsid w:val="00720F5C"/>
    <w:rsid w:val="007214FE"/>
    <w:rsid w:val="0072163E"/>
    <w:rsid w:val="007216CC"/>
    <w:rsid w:val="00721A20"/>
    <w:rsid w:val="00721BE3"/>
    <w:rsid w:val="00721D30"/>
    <w:rsid w:val="00721FDF"/>
    <w:rsid w:val="007220C6"/>
    <w:rsid w:val="007226C7"/>
    <w:rsid w:val="0072295E"/>
    <w:rsid w:val="00722B15"/>
    <w:rsid w:val="00723F3A"/>
    <w:rsid w:val="00724162"/>
    <w:rsid w:val="00724A27"/>
    <w:rsid w:val="00724EC0"/>
    <w:rsid w:val="00724F65"/>
    <w:rsid w:val="0072513A"/>
    <w:rsid w:val="00725370"/>
    <w:rsid w:val="007253B2"/>
    <w:rsid w:val="007253FF"/>
    <w:rsid w:val="0072668D"/>
    <w:rsid w:val="007269D9"/>
    <w:rsid w:val="00726B79"/>
    <w:rsid w:val="00727038"/>
    <w:rsid w:val="00727328"/>
    <w:rsid w:val="00727370"/>
    <w:rsid w:val="00727551"/>
    <w:rsid w:val="007306A2"/>
    <w:rsid w:val="007319AD"/>
    <w:rsid w:val="00731DA8"/>
    <w:rsid w:val="007320A9"/>
    <w:rsid w:val="007326A9"/>
    <w:rsid w:val="0073277B"/>
    <w:rsid w:val="00732A29"/>
    <w:rsid w:val="00732E51"/>
    <w:rsid w:val="00733957"/>
    <w:rsid w:val="007339F8"/>
    <w:rsid w:val="00733AA7"/>
    <w:rsid w:val="00733DAB"/>
    <w:rsid w:val="0073435D"/>
    <w:rsid w:val="00734536"/>
    <w:rsid w:val="007345B7"/>
    <w:rsid w:val="007347D0"/>
    <w:rsid w:val="00734A6F"/>
    <w:rsid w:val="00734BAD"/>
    <w:rsid w:val="00734F7A"/>
    <w:rsid w:val="0073508A"/>
    <w:rsid w:val="00735329"/>
    <w:rsid w:val="00735D9E"/>
    <w:rsid w:val="00735DD9"/>
    <w:rsid w:val="00736707"/>
    <w:rsid w:val="007374D3"/>
    <w:rsid w:val="0073758A"/>
    <w:rsid w:val="00737718"/>
    <w:rsid w:val="007377CB"/>
    <w:rsid w:val="00737B8B"/>
    <w:rsid w:val="00737FFD"/>
    <w:rsid w:val="00740561"/>
    <w:rsid w:val="00740F87"/>
    <w:rsid w:val="0074109C"/>
    <w:rsid w:val="0074109D"/>
    <w:rsid w:val="0074157C"/>
    <w:rsid w:val="0074216D"/>
    <w:rsid w:val="00742335"/>
    <w:rsid w:val="00742445"/>
    <w:rsid w:val="007424F2"/>
    <w:rsid w:val="00742842"/>
    <w:rsid w:val="007428F6"/>
    <w:rsid w:val="00742FC0"/>
    <w:rsid w:val="0074312B"/>
    <w:rsid w:val="0074319F"/>
    <w:rsid w:val="007431EB"/>
    <w:rsid w:val="00743714"/>
    <w:rsid w:val="007444CB"/>
    <w:rsid w:val="0074492D"/>
    <w:rsid w:val="00744A41"/>
    <w:rsid w:val="00744FD2"/>
    <w:rsid w:val="0074571B"/>
    <w:rsid w:val="00745A2F"/>
    <w:rsid w:val="00745B0F"/>
    <w:rsid w:val="00745E38"/>
    <w:rsid w:val="00745E7F"/>
    <w:rsid w:val="00745E99"/>
    <w:rsid w:val="0074620D"/>
    <w:rsid w:val="00747171"/>
    <w:rsid w:val="00747215"/>
    <w:rsid w:val="00747C85"/>
    <w:rsid w:val="00750270"/>
    <w:rsid w:val="00750740"/>
    <w:rsid w:val="00750E70"/>
    <w:rsid w:val="0075132B"/>
    <w:rsid w:val="00751808"/>
    <w:rsid w:val="00751B3E"/>
    <w:rsid w:val="007526AB"/>
    <w:rsid w:val="00753107"/>
    <w:rsid w:val="0075323B"/>
    <w:rsid w:val="00753255"/>
    <w:rsid w:val="00753376"/>
    <w:rsid w:val="007537F4"/>
    <w:rsid w:val="00753909"/>
    <w:rsid w:val="00753E6E"/>
    <w:rsid w:val="00753FB9"/>
    <w:rsid w:val="007543B0"/>
    <w:rsid w:val="007547DC"/>
    <w:rsid w:val="007548E3"/>
    <w:rsid w:val="00754A5A"/>
    <w:rsid w:val="007561BC"/>
    <w:rsid w:val="007564F6"/>
    <w:rsid w:val="007565BF"/>
    <w:rsid w:val="00756859"/>
    <w:rsid w:val="007568A9"/>
    <w:rsid w:val="00756CB9"/>
    <w:rsid w:val="00756CCE"/>
    <w:rsid w:val="00756DEC"/>
    <w:rsid w:val="00757722"/>
    <w:rsid w:val="00757C7D"/>
    <w:rsid w:val="00761109"/>
    <w:rsid w:val="00761514"/>
    <w:rsid w:val="00761DB7"/>
    <w:rsid w:val="00761FBC"/>
    <w:rsid w:val="00761FCC"/>
    <w:rsid w:val="00761FE1"/>
    <w:rsid w:val="0076267A"/>
    <w:rsid w:val="007629F0"/>
    <w:rsid w:val="00762EBF"/>
    <w:rsid w:val="00763318"/>
    <w:rsid w:val="0076372F"/>
    <w:rsid w:val="007637E3"/>
    <w:rsid w:val="00763C22"/>
    <w:rsid w:val="00763CE7"/>
    <w:rsid w:val="00763D0E"/>
    <w:rsid w:val="00763EE5"/>
    <w:rsid w:val="007643DE"/>
    <w:rsid w:val="00764923"/>
    <w:rsid w:val="00764F16"/>
    <w:rsid w:val="007659E2"/>
    <w:rsid w:val="00765AE4"/>
    <w:rsid w:val="0076673D"/>
    <w:rsid w:val="007669EA"/>
    <w:rsid w:val="00766A7F"/>
    <w:rsid w:val="00766DB2"/>
    <w:rsid w:val="007673C3"/>
    <w:rsid w:val="00767696"/>
    <w:rsid w:val="00767793"/>
    <w:rsid w:val="00770127"/>
    <w:rsid w:val="007701DE"/>
    <w:rsid w:val="00770533"/>
    <w:rsid w:val="00770AA7"/>
    <w:rsid w:val="00770ABA"/>
    <w:rsid w:val="00770DE1"/>
    <w:rsid w:val="00771830"/>
    <w:rsid w:val="00771EC1"/>
    <w:rsid w:val="00772177"/>
    <w:rsid w:val="00772532"/>
    <w:rsid w:val="0077265F"/>
    <w:rsid w:val="0077328B"/>
    <w:rsid w:val="007732C9"/>
    <w:rsid w:val="00773B1E"/>
    <w:rsid w:val="00773D20"/>
    <w:rsid w:val="0077510D"/>
    <w:rsid w:val="0077576E"/>
    <w:rsid w:val="00775789"/>
    <w:rsid w:val="00775C65"/>
    <w:rsid w:val="00775FA9"/>
    <w:rsid w:val="0077639A"/>
    <w:rsid w:val="00776B86"/>
    <w:rsid w:val="00776C7C"/>
    <w:rsid w:val="00776D55"/>
    <w:rsid w:val="00777B66"/>
    <w:rsid w:val="00777BEE"/>
    <w:rsid w:val="00777D9E"/>
    <w:rsid w:val="007800AF"/>
    <w:rsid w:val="00780360"/>
    <w:rsid w:val="00780B83"/>
    <w:rsid w:val="00780D0F"/>
    <w:rsid w:val="00780DB1"/>
    <w:rsid w:val="00780DF2"/>
    <w:rsid w:val="0078100C"/>
    <w:rsid w:val="0078157F"/>
    <w:rsid w:val="00781779"/>
    <w:rsid w:val="0078185E"/>
    <w:rsid w:val="0078186E"/>
    <w:rsid w:val="007818BA"/>
    <w:rsid w:val="007819B3"/>
    <w:rsid w:val="00781E54"/>
    <w:rsid w:val="00781E9C"/>
    <w:rsid w:val="0078236C"/>
    <w:rsid w:val="007825D2"/>
    <w:rsid w:val="00782799"/>
    <w:rsid w:val="0078292B"/>
    <w:rsid w:val="00782A04"/>
    <w:rsid w:val="00782D12"/>
    <w:rsid w:val="00782D44"/>
    <w:rsid w:val="007834FA"/>
    <w:rsid w:val="007837B0"/>
    <w:rsid w:val="00783827"/>
    <w:rsid w:val="00783BF7"/>
    <w:rsid w:val="00783F92"/>
    <w:rsid w:val="0078438D"/>
    <w:rsid w:val="007846C0"/>
    <w:rsid w:val="007847CB"/>
    <w:rsid w:val="00784B94"/>
    <w:rsid w:val="00785208"/>
    <w:rsid w:val="007858FD"/>
    <w:rsid w:val="00785F7E"/>
    <w:rsid w:val="007863CB"/>
    <w:rsid w:val="00786F48"/>
    <w:rsid w:val="0078725D"/>
    <w:rsid w:val="0078772C"/>
    <w:rsid w:val="00787866"/>
    <w:rsid w:val="007878E4"/>
    <w:rsid w:val="00787953"/>
    <w:rsid w:val="007879E4"/>
    <w:rsid w:val="0079082B"/>
    <w:rsid w:val="0079090E"/>
    <w:rsid w:val="00790984"/>
    <w:rsid w:val="00791054"/>
    <w:rsid w:val="007911B8"/>
    <w:rsid w:val="00791CDC"/>
    <w:rsid w:val="00792076"/>
    <w:rsid w:val="00792289"/>
    <w:rsid w:val="0079228D"/>
    <w:rsid w:val="00792628"/>
    <w:rsid w:val="0079267C"/>
    <w:rsid w:val="007932B7"/>
    <w:rsid w:val="0079345F"/>
    <w:rsid w:val="00793613"/>
    <w:rsid w:val="007937F1"/>
    <w:rsid w:val="00793B65"/>
    <w:rsid w:val="00793CC0"/>
    <w:rsid w:val="007940AC"/>
    <w:rsid w:val="00794177"/>
    <w:rsid w:val="00794BB6"/>
    <w:rsid w:val="007955F3"/>
    <w:rsid w:val="00795872"/>
    <w:rsid w:val="007958ED"/>
    <w:rsid w:val="007960DD"/>
    <w:rsid w:val="007962EC"/>
    <w:rsid w:val="007963BD"/>
    <w:rsid w:val="007966E6"/>
    <w:rsid w:val="00796983"/>
    <w:rsid w:val="0079723B"/>
    <w:rsid w:val="00797A64"/>
    <w:rsid w:val="007A0361"/>
    <w:rsid w:val="007A0505"/>
    <w:rsid w:val="007A0A90"/>
    <w:rsid w:val="007A1190"/>
    <w:rsid w:val="007A1924"/>
    <w:rsid w:val="007A2081"/>
    <w:rsid w:val="007A276D"/>
    <w:rsid w:val="007A3268"/>
    <w:rsid w:val="007A384D"/>
    <w:rsid w:val="007A3BC8"/>
    <w:rsid w:val="007A3DCA"/>
    <w:rsid w:val="007A4155"/>
    <w:rsid w:val="007A4783"/>
    <w:rsid w:val="007A5191"/>
    <w:rsid w:val="007A647F"/>
    <w:rsid w:val="007A64D4"/>
    <w:rsid w:val="007A64E0"/>
    <w:rsid w:val="007A6A15"/>
    <w:rsid w:val="007A6BDA"/>
    <w:rsid w:val="007A6CBB"/>
    <w:rsid w:val="007A6ED6"/>
    <w:rsid w:val="007A756D"/>
    <w:rsid w:val="007A791A"/>
    <w:rsid w:val="007A7AEE"/>
    <w:rsid w:val="007A7F33"/>
    <w:rsid w:val="007B03A0"/>
    <w:rsid w:val="007B0500"/>
    <w:rsid w:val="007B0BE5"/>
    <w:rsid w:val="007B111B"/>
    <w:rsid w:val="007B1441"/>
    <w:rsid w:val="007B17FD"/>
    <w:rsid w:val="007B1B4D"/>
    <w:rsid w:val="007B22BE"/>
    <w:rsid w:val="007B23D0"/>
    <w:rsid w:val="007B25E8"/>
    <w:rsid w:val="007B25FE"/>
    <w:rsid w:val="007B27E0"/>
    <w:rsid w:val="007B2E18"/>
    <w:rsid w:val="007B330D"/>
    <w:rsid w:val="007B374F"/>
    <w:rsid w:val="007B376C"/>
    <w:rsid w:val="007B3AE8"/>
    <w:rsid w:val="007B3B59"/>
    <w:rsid w:val="007B4414"/>
    <w:rsid w:val="007B4418"/>
    <w:rsid w:val="007B4EA6"/>
    <w:rsid w:val="007B5168"/>
    <w:rsid w:val="007B5237"/>
    <w:rsid w:val="007B5DAC"/>
    <w:rsid w:val="007B5F62"/>
    <w:rsid w:val="007B60E0"/>
    <w:rsid w:val="007B60E6"/>
    <w:rsid w:val="007B621D"/>
    <w:rsid w:val="007B625E"/>
    <w:rsid w:val="007B640C"/>
    <w:rsid w:val="007B654F"/>
    <w:rsid w:val="007B66B3"/>
    <w:rsid w:val="007B7077"/>
    <w:rsid w:val="007B718D"/>
    <w:rsid w:val="007B73FD"/>
    <w:rsid w:val="007C0616"/>
    <w:rsid w:val="007C0FD5"/>
    <w:rsid w:val="007C1042"/>
    <w:rsid w:val="007C14B6"/>
    <w:rsid w:val="007C17D3"/>
    <w:rsid w:val="007C1B30"/>
    <w:rsid w:val="007C1B73"/>
    <w:rsid w:val="007C1EE8"/>
    <w:rsid w:val="007C20B1"/>
    <w:rsid w:val="007C2DB5"/>
    <w:rsid w:val="007C2E2A"/>
    <w:rsid w:val="007C3003"/>
    <w:rsid w:val="007C3244"/>
    <w:rsid w:val="007C3686"/>
    <w:rsid w:val="007C385F"/>
    <w:rsid w:val="007C3F53"/>
    <w:rsid w:val="007C43A6"/>
    <w:rsid w:val="007C46E9"/>
    <w:rsid w:val="007C4863"/>
    <w:rsid w:val="007C4924"/>
    <w:rsid w:val="007C4DB0"/>
    <w:rsid w:val="007C4E8C"/>
    <w:rsid w:val="007C511F"/>
    <w:rsid w:val="007C5201"/>
    <w:rsid w:val="007C574E"/>
    <w:rsid w:val="007C5923"/>
    <w:rsid w:val="007C59AB"/>
    <w:rsid w:val="007C59C5"/>
    <w:rsid w:val="007C5F20"/>
    <w:rsid w:val="007C64E9"/>
    <w:rsid w:val="007C65DE"/>
    <w:rsid w:val="007C65E4"/>
    <w:rsid w:val="007C6B60"/>
    <w:rsid w:val="007C6F85"/>
    <w:rsid w:val="007C703D"/>
    <w:rsid w:val="007C71DC"/>
    <w:rsid w:val="007C7633"/>
    <w:rsid w:val="007C768A"/>
    <w:rsid w:val="007C7B99"/>
    <w:rsid w:val="007C7C17"/>
    <w:rsid w:val="007D06E9"/>
    <w:rsid w:val="007D0CF8"/>
    <w:rsid w:val="007D0F9A"/>
    <w:rsid w:val="007D16CC"/>
    <w:rsid w:val="007D187A"/>
    <w:rsid w:val="007D2368"/>
    <w:rsid w:val="007D23B3"/>
    <w:rsid w:val="007D2E1E"/>
    <w:rsid w:val="007D357D"/>
    <w:rsid w:val="007D3AA0"/>
    <w:rsid w:val="007D3B71"/>
    <w:rsid w:val="007D3FE2"/>
    <w:rsid w:val="007D4132"/>
    <w:rsid w:val="007D4359"/>
    <w:rsid w:val="007D4EC2"/>
    <w:rsid w:val="007D5064"/>
    <w:rsid w:val="007D564D"/>
    <w:rsid w:val="007D5690"/>
    <w:rsid w:val="007D57B7"/>
    <w:rsid w:val="007D58E3"/>
    <w:rsid w:val="007D5930"/>
    <w:rsid w:val="007D5CB6"/>
    <w:rsid w:val="007D5DAC"/>
    <w:rsid w:val="007D61D6"/>
    <w:rsid w:val="007D63FD"/>
    <w:rsid w:val="007D67EA"/>
    <w:rsid w:val="007D69FA"/>
    <w:rsid w:val="007D6BA9"/>
    <w:rsid w:val="007D75E9"/>
    <w:rsid w:val="007D77D7"/>
    <w:rsid w:val="007D7CC9"/>
    <w:rsid w:val="007E0536"/>
    <w:rsid w:val="007E07E3"/>
    <w:rsid w:val="007E0A33"/>
    <w:rsid w:val="007E11D8"/>
    <w:rsid w:val="007E1600"/>
    <w:rsid w:val="007E1B38"/>
    <w:rsid w:val="007E1E93"/>
    <w:rsid w:val="007E1FBF"/>
    <w:rsid w:val="007E1FFE"/>
    <w:rsid w:val="007E2817"/>
    <w:rsid w:val="007E2F09"/>
    <w:rsid w:val="007E38C7"/>
    <w:rsid w:val="007E3A75"/>
    <w:rsid w:val="007E3F3E"/>
    <w:rsid w:val="007E4641"/>
    <w:rsid w:val="007E4778"/>
    <w:rsid w:val="007E516B"/>
    <w:rsid w:val="007E5504"/>
    <w:rsid w:val="007E5A20"/>
    <w:rsid w:val="007E5D6C"/>
    <w:rsid w:val="007E5D72"/>
    <w:rsid w:val="007E60D8"/>
    <w:rsid w:val="007E6838"/>
    <w:rsid w:val="007E6F58"/>
    <w:rsid w:val="007E73F1"/>
    <w:rsid w:val="007E7AD3"/>
    <w:rsid w:val="007E7B1E"/>
    <w:rsid w:val="007E7FA7"/>
    <w:rsid w:val="007F02B9"/>
    <w:rsid w:val="007F078E"/>
    <w:rsid w:val="007F07A1"/>
    <w:rsid w:val="007F0C0E"/>
    <w:rsid w:val="007F0CE1"/>
    <w:rsid w:val="007F1199"/>
    <w:rsid w:val="007F1868"/>
    <w:rsid w:val="007F1ABA"/>
    <w:rsid w:val="007F1C7F"/>
    <w:rsid w:val="007F206D"/>
    <w:rsid w:val="007F23DB"/>
    <w:rsid w:val="007F282F"/>
    <w:rsid w:val="007F28B0"/>
    <w:rsid w:val="007F28FA"/>
    <w:rsid w:val="007F2A03"/>
    <w:rsid w:val="007F3517"/>
    <w:rsid w:val="007F3616"/>
    <w:rsid w:val="007F3D42"/>
    <w:rsid w:val="007F4847"/>
    <w:rsid w:val="007F4CD9"/>
    <w:rsid w:val="007F4D92"/>
    <w:rsid w:val="007F4ED7"/>
    <w:rsid w:val="007F5371"/>
    <w:rsid w:val="007F545B"/>
    <w:rsid w:val="007F59AB"/>
    <w:rsid w:val="007F5C09"/>
    <w:rsid w:val="007F60F8"/>
    <w:rsid w:val="007F6560"/>
    <w:rsid w:val="007F694F"/>
    <w:rsid w:val="007F699F"/>
    <w:rsid w:val="007F6DE8"/>
    <w:rsid w:val="007F75DB"/>
    <w:rsid w:val="007F77B2"/>
    <w:rsid w:val="007F7883"/>
    <w:rsid w:val="007F7D0C"/>
    <w:rsid w:val="008003A7"/>
    <w:rsid w:val="00800499"/>
    <w:rsid w:val="00800FE2"/>
    <w:rsid w:val="008014ED"/>
    <w:rsid w:val="0080201A"/>
    <w:rsid w:val="008022C9"/>
    <w:rsid w:val="00802570"/>
    <w:rsid w:val="008027E2"/>
    <w:rsid w:val="008029DB"/>
    <w:rsid w:val="00802CA3"/>
    <w:rsid w:val="00803992"/>
    <w:rsid w:val="008041B6"/>
    <w:rsid w:val="008041F5"/>
    <w:rsid w:val="0080486D"/>
    <w:rsid w:val="00805346"/>
    <w:rsid w:val="008055E7"/>
    <w:rsid w:val="008055F3"/>
    <w:rsid w:val="0080577D"/>
    <w:rsid w:val="00805808"/>
    <w:rsid w:val="00805C75"/>
    <w:rsid w:val="008063D8"/>
    <w:rsid w:val="00806FFB"/>
    <w:rsid w:val="0080713F"/>
    <w:rsid w:val="008071C3"/>
    <w:rsid w:val="008072D7"/>
    <w:rsid w:val="00807564"/>
    <w:rsid w:val="00807647"/>
    <w:rsid w:val="00807DB3"/>
    <w:rsid w:val="00810603"/>
    <w:rsid w:val="00810D15"/>
    <w:rsid w:val="00810F1B"/>
    <w:rsid w:val="00811145"/>
    <w:rsid w:val="00811263"/>
    <w:rsid w:val="008112E2"/>
    <w:rsid w:val="00811742"/>
    <w:rsid w:val="008117AD"/>
    <w:rsid w:val="00811BEF"/>
    <w:rsid w:val="008123AF"/>
    <w:rsid w:val="008126B4"/>
    <w:rsid w:val="00812B83"/>
    <w:rsid w:val="00812BCE"/>
    <w:rsid w:val="00812C2D"/>
    <w:rsid w:val="00813487"/>
    <w:rsid w:val="00813813"/>
    <w:rsid w:val="00813C03"/>
    <w:rsid w:val="00813FBF"/>
    <w:rsid w:val="008141D2"/>
    <w:rsid w:val="00814283"/>
    <w:rsid w:val="00814503"/>
    <w:rsid w:val="00814675"/>
    <w:rsid w:val="00814A09"/>
    <w:rsid w:val="00814E85"/>
    <w:rsid w:val="00814F25"/>
    <w:rsid w:val="0081569A"/>
    <w:rsid w:val="0081571F"/>
    <w:rsid w:val="00815760"/>
    <w:rsid w:val="0081647F"/>
    <w:rsid w:val="00816C67"/>
    <w:rsid w:val="00817C6C"/>
    <w:rsid w:val="00820209"/>
    <w:rsid w:val="008203C4"/>
    <w:rsid w:val="00820434"/>
    <w:rsid w:val="008206FC"/>
    <w:rsid w:val="00820AA8"/>
    <w:rsid w:val="00820B67"/>
    <w:rsid w:val="00820C71"/>
    <w:rsid w:val="00820F35"/>
    <w:rsid w:val="00820FEC"/>
    <w:rsid w:val="00821131"/>
    <w:rsid w:val="0082135B"/>
    <w:rsid w:val="008214D8"/>
    <w:rsid w:val="00821AE8"/>
    <w:rsid w:val="00821D5B"/>
    <w:rsid w:val="00821EEB"/>
    <w:rsid w:val="008229CF"/>
    <w:rsid w:val="00822FF3"/>
    <w:rsid w:val="00823046"/>
    <w:rsid w:val="008231CF"/>
    <w:rsid w:val="008231EA"/>
    <w:rsid w:val="00823443"/>
    <w:rsid w:val="0082393D"/>
    <w:rsid w:val="00823DC8"/>
    <w:rsid w:val="00823DE0"/>
    <w:rsid w:val="008245C4"/>
    <w:rsid w:val="00824BFC"/>
    <w:rsid w:val="00824CB3"/>
    <w:rsid w:val="00824FAC"/>
    <w:rsid w:val="00825FA0"/>
    <w:rsid w:val="00826501"/>
    <w:rsid w:val="00826550"/>
    <w:rsid w:val="00826CA6"/>
    <w:rsid w:val="00827A85"/>
    <w:rsid w:val="00827EEB"/>
    <w:rsid w:val="00830475"/>
    <w:rsid w:val="008306D0"/>
    <w:rsid w:val="00830821"/>
    <w:rsid w:val="00830BC4"/>
    <w:rsid w:val="00830D92"/>
    <w:rsid w:val="008314F2"/>
    <w:rsid w:val="00831DF7"/>
    <w:rsid w:val="00831ED5"/>
    <w:rsid w:val="00832159"/>
    <w:rsid w:val="00832177"/>
    <w:rsid w:val="0083324D"/>
    <w:rsid w:val="00833AA0"/>
    <w:rsid w:val="00833AFA"/>
    <w:rsid w:val="00834160"/>
    <w:rsid w:val="00834929"/>
    <w:rsid w:val="008353D9"/>
    <w:rsid w:val="00835595"/>
    <w:rsid w:val="0083585E"/>
    <w:rsid w:val="0083606C"/>
    <w:rsid w:val="0083636A"/>
    <w:rsid w:val="0083688D"/>
    <w:rsid w:val="00837A8F"/>
    <w:rsid w:val="008401FA"/>
    <w:rsid w:val="00840F58"/>
    <w:rsid w:val="00840FF9"/>
    <w:rsid w:val="0084143B"/>
    <w:rsid w:val="008414EB"/>
    <w:rsid w:val="00841733"/>
    <w:rsid w:val="008419DF"/>
    <w:rsid w:val="00842484"/>
    <w:rsid w:val="0084272C"/>
    <w:rsid w:val="008433D2"/>
    <w:rsid w:val="00843447"/>
    <w:rsid w:val="00843621"/>
    <w:rsid w:val="00843C0B"/>
    <w:rsid w:val="008440F5"/>
    <w:rsid w:val="00844225"/>
    <w:rsid w:val="00844354"/>
    <w:rsid w:val="00844434"/>
    <w:rsid w:val="0084487B"/>
    <w:rsid w:val="00844B46"/>
    <w:rsid w:val="00844BD4"/>
    <w:rsid w:val="00844CB4"/>
    <w:rsid w:val="00844D38"/>
    <w:rsid w:val="00844D85"/>
    <w:rsid w:val="00844DA6"/>
    <w:rsid w:val="00845282"/>
    <w:rsid w:val="0084563E"/>
    <w:rsid w:val="0084591F"/>
    <w:rsid w:val="00845B92"/>
    <w:rsid w:val="008460B0"/>
    <w:rsid w:val="00846164"/>
    <w:rsid w:val="008463E2"/>
    <w:rsid w:val="0084660B"/>
    <w:rsid w:val="008466C5"/>
    <w:rsid w:val="00846C55"/>
    <w:rsid w:val="008473CB"/>
    <w:rsid w:val="0084777B"/>
    <w:rsid w:val="00847A58"/>
    <w:rsid w:val="00847F30"/>
    <w:rsid w:val="00847F98"/>
    <w:rsid w:val="0085046A"/>
    <w:rsid w:val="00850993"/>
    <w:rsid w:val="008509D5"/>
    <w:rsid w:val="00850E71"/>
    <w:rsid w:val="008513E1"/>
    <w:rsid w:val="0085146E"/>
    <w:rsid w:val="00851B6E"/>
    <w:rsid w:val="00851F2A"/>
    <w:rsid w:val="0085246F"/>
    <w:rsid w:val="008524BE"/>
    <w:rsid w:val="00852505"/>
    <w:rsid w:val="00853008"/>
    <w:rsid w:val="0085306F"/>
    <w:rsid w:val="008530E9"/>
    <w:rsid w:val="008531A4"/>
    <w:rsid w:val="00853243"/>
    <w:rsid w:val="008538FA"/>
    <w:rsid w:val="00853BC2"/>
    <w:rsid w:val="00853C7E"/>
    <w:rsid w:val="00854225"/>
    <w:rsid w:val="00854278"/>
    <w:rsid w:val="008549E5"/>
    <w:rsid w:val="00854E88"/>
    <w:rsid w:val="00854F07"/>
    <w:rsid w:val="00854F54"/>
    <w:rsid w:val="00855B24"/>
    <w:rsid w:val="00855BD0"/>
    <w:rsid w:val="00855F7B"/>
    <w:rsid w:val="00856038"/>
    <w:rsid w:val="00856063"/>
    <w:rsid w:val="00856333"/>
    <w:rsid w:val="0085653E"/>
    <w:rsid w:val="00856652"/>
    <w:rsid w:val="008566B2"/>
    <w:rsid w:val="00856918"/>
    <w:rsid w:val="00856CA2"/>
    <w:rsid w:val="00856D1A"/>
    <w:rsid w:val="00857172"/>
    <w:rsid w:val="00857585"/>
    <w:rsid w:val="008578FB"/>
    <w:rsid w:val="00860CEE"/>
    <w:rsid w:val="00860DE4"/>
    <w:rsid w:val="008613A2"/>
    <w:rsid w:val="0086147D"/>
    <w:rsid w:val="008619F0"/>
    <w:rsid w:val="008622D4"/>
    <w:rsid w:val="0086236A"/>
    <w:rsid w:val="00862A93"/>
    <w:rsid w:val="00862B94"/>
    <w:rsid w:val="00862E5C"/>
    <w:rsid w:val="00863175"/>
    <w:rsid w:val="0086341D"/>
    <w:rsid w:val="00863861"/>
    <w:rsid w:val="00863F3B"/>
    <w:rsid w:val="008649E3"/>
    <w:rsid w:val="00864A80"/>
    <w:rsid w:val="00864AE4"/>
    <w:rsid w:val="00864F67"/>
    <w:rsid w:val="0086569A"/>
    <w:rsid w:val="00865A85"/>
    <w:rsid w:val="00865F3D"/>
    <w:rsid w:val="00866A01"/>
    <w:rsid w:val="008671C0"/>
    <w:rsid w:val="008671F9"/>
    <w:rsid w:val="00867A36"/>
    <w:rsid w:val="00867A8E"/>
    <w:rsid w:val="00867C26"/>
    <w:rsid w:val="00867C3F"/>
    <w:rsid w:val="00870002"/>
    <w:rsid w:val="008700CE"/>
    <w:rsid w:val="008702A8"/>
    <w:rsid w:val="0087035A"/>
    <w:rsid w:val="00870A04"/>
    <w:rsid w:val="00870FD4"/>
    <w:rsid w:val="008719F9"/>
    <w:rsid w:val="00871C1E"/>
    <w:rsid w:val="00871D15"/>
    <w:rsid w:val="00871D17"/>
    <w:rsid w:val="00871E05"/>
    <w:rsid w:val="00872058"/>
    <w:rsid w:val="00872172"/>
    <w:rsid w:val="00872345"/>
    <w:rsid w:val="00872842"/>
    <w:rsid w:val="00872B3E"/>
    <w:rsid w:val="00872C75"/>
    <w:rsid w:val="00872FEF"/>
    <w:rsid w:val="008730C4"/>
    <w:rsid w:val="00873456"/>
    <w:rsid w:val="0087347D"/>
    <w:rsid w:val="00873706"/>
    <w:rsid w:val="00873CA1"/>
    <w:rsid w:val="008740B3"/>
    <w:rsid w:val="0087524E"/>
    <w:rsid w:val="0087556D"/>
    <w:rsid w:val="008756F2"/>
    <w:rsid w:val="00875CDC"/>
    <w:rsid w:val="00875DDF"/>
    <w:rsid w:val="00876025"/>
    <w:rsid w:val="00877372"/>
    <w:rsid w:val="00877660"/>
    <w:rsid w:val="0087773A"/>
    <w:rsid w:val="00877B0B"/>
    <w:rsid w:val="00877F6B"/>
    <w:rsid w:val="00880121"/>
    <w:rsid w:val="008809AE"/>
    <w:rsid w:val="0088185C"/>
    <w:rsid w:val="0088192E"/>
    <w:rsid w:val="00881D74"/>
    <w:rsid w:val="0088208B"/>
    <w:rsid w:val="0088214A"/>
    <w:rsid w:val="0088253A"/>
    <w:rsid w:val="008825AB"/>
    <w:rsid w:val="008825CD"/>
    <w:rsid w:val="00882CF6"/>
    <w:rsid w:val="00882DAD"/>
    <w:rsid w:val="00882E12"/>
    <w:rsid w:val="0088313D"/>
    <w:rsid w:val="008834A2"/>
    <w:rsid w:val="0088390A"/>
    <w:rsid w:val="00883F74"/>
    <w:rsid w:val="008843B9"/>
    <w:rsid w:val="008843F5"/>
    <w:rsid w:val="00884848"/>
    <w:rsid w:val="00884E5B"/>
    <w:rsid w:val="00884F32"/>
    <w:rsid w:val="00885263"/>
    <w:rsid w:val="0088625F"/>
    <w:rsid w:val="00886878"/>
    <w:rsid w:val="008868A8"/>
    <w:rsid w:val="008869B1"/>
    <w:rsid w:val="00886C15"/>
    <w:rsid w:val="00886EAF"/>
    <w:rsid w:val="008873A0"/>
    <w:rsid w:val="008902F2"/>
    <w:rsid w:val="00890BEB"/>
    <w:rsid w:val="00890D93"/>
    <w:rsid w:val="0089103C"/>
    <w:rsid w:val="008916FE"/>
    <w:rsid w:val="00891D35"/>
    <w:rsid w:val="0089266A"/>
    <w:rsid w:val="00892C4B"/>
    <w:rsid w:val="00892C7F"/>
    <w:rsid w:val="00892D0E"/>
    <w:rsid w:val="00892DA5"/>
    <w:rsid w:val="00892DEE"/>
    <w:rsid w:val="00892ECB"/>
    <w:rsid w:val="00892FA4"/>
    <w:rsid w:val="00893665"/>
    <w:rsid w:val="00893AAE"/>
    <w:rsid w:val="00894009"/>
    <w:rsid w:val="00894261"/>
    <w:rsid w:val="00894822"/>
    <w:rsid w:val="008949B1"/>
    <w:rsid w:val="00894B16"/>
    <w:rsid w:val="00895396"/>
    <w:rsid w:val="008954DE"/>
    <w:rsid w:val="0089677D"/>
    <w:rsid w:val="00896995"/>
    <w:rsid w:val="00896DA2"/>
    <w:rsid w:val="00896E2B"/>
    <w:rsid w:val="00896F55"/>
    <w:rsid w:val="0089713E"/>
    <w:rsid w:val="008971A4"/>
    <w:rsid w:val="008972AA"/>
    <w:rsid w:val="008972FB"/>
    <w:rsid w:val="008A014D"/>
    <w:rsid w:val="008A0621"/>
    <w:rsid w:val="008A07D1"/>
    <w:rsid w:val="008A08DA"/>
    <w:rsid w:val="008A0900"/>
    <w:rsid w:val="008A0CF0"/>
    <w:rsid w:val="008A10F3"/>
    <w:rsid w:val="008A19F5"/>
    <w:rsid w:val="008A1A2F"/>
    <w:rsid w:val="008A1FB6"/>
    <w:rsid w:val="008A2270"/>
    <w:rsid w:val="008A27CD"/>
    <w:rsid w:val="008A28FA"/>
    <w:rsid w:val="008A2E81"/>
    <w:rsid w:val="008A3049"/>
    <w:rsid w:val="008A306A"/>
    <w:rsid w:val="008A306E"/>
    <w:rsid w:val="008A3F15"/>
    <w:rsid w:val="008A4171"/>
    <w:rsid w:val="008A42E9"/>
    <w:rsid w:val="008A46D6"/>
    <w:rsid w:val="008A4887"/>
    <w:rsid w:val="008A4A49"/>
    <w:rsid w:val="008A4D60"/>
    <w:rsid w:val="008A53EE"/>
    <w:rsid w:val="008A5AA9"/>
    <w:rsid w:val="008A5C0F"/>
    <w:rsid w:val="008A65E7"/>
    <w:rsid w:val="008A6703"/>
    <w:rsid w:val="008A67B2"/>
    <w:rsid w:val="008A6CF5"/>
    <w:rsid w:val="008A6FE4"/>
    <w:rsid w:val="008A714C"/>
    <w:rsid w:val="008A7373"/>
    <w:rsid w:val="008A7696"/>
    <w:rsid w:val="008A7AA1"/>
    <w:rsid w:val="008B00BA"/>
    <w:rsid w:val="008B012A"/>
    <w:rsid w:val="008B02C8"/>
    <w:rsid w:val="008B1036"/>
    <w:rsid w:val="008B10E4"/>
    <w:rsid w:val="008B1596"/>
    <w:rsid w:val="008B16F0"/>
    <w:rsid w:val="008B2460"/>
    <w:rsid w:val="008B3172"/>
    <w:rsid w:val="008B31A6"/>
    <w:rsid w:val="008B3ACF"/>
    <w:rsid w:val="008B4062"/>
    <w:rsid w:val="008B4FCA"/>
    <w:rsid w:val="008B506A"/>
    <w:rsid w:val="008B56D7"/>
    <w:rsid w:val="008B5977"/>
    <w:rsid w:val="008B5F80"/>
    <w:rsid w:val="008B6206"/>
    <w:rsid w:val="008B6218"/>
    <w:rsid w:val="008B6287"/>
    <w:rsid w:val="008B63EC"/>
    <w:rsid w:val="008B6E2F"/>
    <w:rsid w:val="008B7A43"/>
    <w:rsid w:val="008B7A80"/>
    <w:rsid w:val="008B7A9F"/>
    <w:rsid w:val="008C03FD"/>
    <w:rsid w:val="008C06A5"/>
    <w:rsid w:val="008C0807"/>
    <w:rsid w:val="008C09C4"/>
    <w:rsid w:val="008C0B7B"/>
    <w:rsid w:val="008C0D83"/>
    <w:rsid w:val="008C144D"/>
    <w:rsid w:val="008C1492"/>
    <w:rsid w:val="008C1598"/>
    <w:rsid w:val="008C165B"/>
    <w:rsid w:val="008C1C76"/>
    <w:rsid w:val="008C1F44"/>
    <w:rsid w:val="008C20D9"/>
    <w:rsid w:val="008C219C"/>
    <w:rsid w:val="008C22F1"/>
    <w:rsid w:val="008C2446"/>
    <w:rsid w:val="008C256E"/>
    <w:rsid w:val="008C2593"/>
    <w:rsid w:val="008C2875"/>
    <w:rsid w:val="008C2FCC"/>
    <w:rsid w:val="008C340A"/>
    <w:rsid w:val="008C3A4A"/>
    <w:rsid w:val="008C3AAF"/>
    <w:rsid w:val="008C4014"/>
    <w:rsid w:val="008C4392"/>
    <w:rsid w:val="008C4496"/>
    <w:rsid w:val="008C476A"/>
    <w:rsid w:val="008C4857"/>
    <w:rsid w:val="008C4D24"/>
    <w:rsid w:val="008C507B"/>
    <w:rsid w:val="008C5C68"/>
    <w:rsid w:val="008C5CDB"/>
    <w:rsid w:val="008C5F0F"/>
    <w:rsid w:val="008C646F"/>
    <w:rsid w:val="008C65B6"/>
    <w:rsid w:val="008C6B6E"/>
    <w:rsid w:val="008C6C1C"/>
    <w:rsid w:val="008C73E8"/>
    <w:rsid w:val="008C7B88"/>
    <w:rsid w:val="008C7BB5"/>
    <w:rsid w:val="008D016B"/>
    <w:rsid w:val="008D0258"/>
    <w:rsid w:val="008D08DC"/>
    <w:rsid w:val="008D0EE3"/>
    <w:rsid w:val="008D12D7"/>
    <w:rsid w:val="008D12E1"/>
    <w:rsid w:val="008D1D6A"/>
    <w:rsid w:val="008D2AC2"/>
    <w:rsid w:val="008D3C8E"/>
    <w:rsid w:val="008D41F1"/>
    <w:rsid w:val="008D429B"/>
    <w:rsid w:val="008D4349"/>
    <w:rsid w:val="008D4374"/>
    <w:rsid w:val="008D45B1"/>
    <w:rsid w:val="008D4689"/>
    <w:rsid w:val="008D48FF"/>
    <w:rsid w:val="008D4D22"/>
    <w:rsid w:val="008D50EA"/>
    <w:rsid w:val="008D53A4"/>
    <w:rsid w:val="008D56D8"/>
    <w:rsid w:val="008D6133"/>
    <w:rsid w:val="008D61A7"/>
    <w:rsid w:val="008D61F2"/>
    <w:rsid w:val="008D642E"/>
    <w:rsid w:val="008D64F1"/>
    <w:rsid w:val="008D6812"/>
    <w:rsid w:val="008D76CA"/>
    <w:rsid w:val="008D786A"/>
    <w:rsid w:val="008D794F"/>
    <w:rsid w:val="008E0007"/>
    <w:rsid w:val="008E0179"/>
    <w:rsid w:val="008E0374"/>
    <w:rsid w:val="008E130E"/>
    <w:rsid w:val="008E1426"/>
    <w:rsid w:val="008E145C"/>
    <w:rsid w:val="008E16B0"/>
    <w:rsid w:val="008E1A59"/>
    <w:rsid w:val="008E1AA7"/>
    <w:rsid w:val="008E1D5A"/>
    <w:rsid w:val="008E2197"/>
    <w:rsid w:val="008E2D0D"/>
    <w:rsid w:val="008E2D53"/>
    <w:rsid w:val="008E3E4B"/>
    <w:rsid w:val="008E43A6"/>
    <w:rsid w:val="008E45E7"/>
    <w:rsid w:val="008E4710"/>
    <w:rsid w:val="008E4923"/>
    <w:rsid w:val="008E4EF9"/>
    <w:rsid w:val="008E557B"/>
    <w:rsid w:val="008E5A0C"/>
    <w:rsid w:val="008E5C7E"/>
    <w:rsid w:val="008E6286"/>
    <w:rsid w:val="008E62F5"/>
    <w:rsid w:val="008E632E"/>
    <w:rsid w:val="008E6538"/>
    <w:rsid w:val="008E692A"/>
    <w:rsid w:val="008E693F"/>
    <w:rsid w:val="008E6DFC"/>
    <w:rsid w:val="008E6F6F"/>
    <w:rsid w:val="008E71F0"/>
    <w:rsid w:val="008E720C"/>
    <w:rsid w:val="008E7710"/>
    <w:rsid w:val="008E7A26"/>
    <w:rsid w:val="008F082F"/>
    <w:rsid w:val="008F0A1E"/>
    <w:rsid w:val="008F0FD3"/>
    <w:rsid w:val="008F104E"/>
    <w:rsid w:val="008F13D6"/>
    <w:rsid w:val="008F1E9C"/>
    <w:rsid w:val="008F2795"/>
    <w:rsid w:val="008F2BA3"/>
    <w:rsid w:val="008F2DE7"/>
    <w:rsid w:val="008F2F6F"/>
    <w:rsid w:val="008F3320"/>
    <w:rsid w:val="008F356B"/>
    <w:rsid w:val="008F35D0"/>
    <w:rsid w:val="008F3AB7"/>
    <w:rsid w:val="008F3D19"/>
    <w:rsid w:val="008F3D6C"/>
    <w:rsid w:val="008F3DE4"/>
    <w:rsid w:val="008F3F3F"/>
    <w:rsid w:val="008F4846"/>
    <w:rsid w:val="008F485A"/>
    <w:rsid w:val="008F4E06"/>
    <w:rsid w:val="008F55CC"/>
    <w:rsid w:val="008F58B6"/>
    <w:rsid w:val="008F5E13"/>
    <w:rsid w:val="008F660E"/>
    <w:rsid w:val="008F6791"/>
    <w:rsid w:val="008F6978"/>
    <w:rsid w:val="008F6980"/>
    <w:rsid w:val="008F6AC3"/>
    <w:rsid w:val="008F7D12"/>
    <w:rsid w:val="008F7DB1"/>
    <w:rsid w:val="0090028B"/>
    <w:rsid w:val="009002E7"/>
    <w:rsid w:val="009003D0"/>
    <w:rsid w:val="00900461"/>
    <w:rsid w:val="00900D4D"/>
    <w:rsid w:val="0090108E"/>
    <w:rsid w:val="009010DF"/>
    <w:rsid w:val="00901176"/>
    <w:rsid w:val="009012FC"/>
    <w:rsid w:val="0090131A"/>
    <w:rsid w:val="009015DD"/>
    <w:rsid w:val="00901D76"/>
    <w:rsid w:val="00902AD0"/>
    <w:rsid w:val="00902D59"/>
    <w:rsid w:val="009030EF"/>
    <w:rsid w:val="009032BC"/>
    <w:rsid w:val="00903483"/>
    <w:rsid w:val="0090380F"/>
    <w:rsid w:val="00903F34"/>
    <w:rsid w:val="00904255"/>
    <w:rsid w:val="009042F9"/>
    <w:rsid w:val="00904623"/>
    <w:rsid w:val="009046F5"/>
    <w:rsid w:val="00905449"/>
    <w:rsid w:val="009055C4"/>
    <w:rsid w:val="009056DA"/>
    <w:rsid w:val="009059F9"/>
    <w:rsid w:val="00905C0A"/>
    <w:rsid w:val="00906028"/>
    <w:rsid w:val="009063D4"/>
    <w:rsid w:val="00906B32"/>
    <w:rsid w:val="00906D2E"/>
    <w:rsid w:val="00906D6E"/>
    <w:rsid w:val="00906DFF"/>
    <w:rsid w:val="00906F6E"/>
    <w:rsid w:val="00907110"/>
    <w:rsid w:val="00907827"/>
    <w:rsid w:val="00910927"/>
    <w:rsid w:val="00911342"/>
    <w:rsid w:val="00911D3A"/>
    <w:rsid w:val="00911DD1"/>
    <w:rsid w:val="009122F8"/>
    <w:rsid w:val="009124CB"/>
    <w:rsid w:val="00912568"/>
    <w:rsid w:val="00912723"/>
    <w:rsid w:val="00912915"/>
    <w:rsid w:val="00912CAE"/>
    <w:rsid w:val="00912F1A"/>
    <w:rsid w:val="00913065"/>
    <w:rsid w:val="009132BB"/>
    <w:rsid w:val="00913414"/>
    <w:rsid w:val="00913870"/>
    <w:rsid w:val="00913A0B"/>
    <w:rsid w:val="00913D1B"/>
    <w:rsid w:val="0091416C"/>
    <w:rsid w:val="009142F6"/>
    <w:rsid w:val="00914AF2"/>
    <w:rsid w:val="00914F48"/>
    <w:rsid w:val="009151EE"/>
    <w:rsid w:val="009152CF"/>
    <w:rsid w:val="009154B5"/>
    <w:rsid w:val="00915520"/>
    <w:rsid w:val="009155DC"/>
    <w:rsid w:val="009155F7"/>
    <w:rsid w:val="00915983"/>
    <w:rsid w:val="00915EA2"/>
    <w:rsid w:val="00915F3D"/>
    <w:rsid w:val="00917281"/>
    <w:rsid w:val="009172FC"/>
    <w:rsid w:val="0091784D"/>
    <w:rsid w:val="009178DF"/>
    <w:rsid w:val="00917AA0"/>
    <w:rsid w:val="00917BCC"/>
    <w:rsid w:val="009201BD"/>
    <w:rsid w:val="0092075A"/>
    <w:rsid w:val="00920AE6"/>
    <w:rsid w:val="00920B55"/>
    <w:rsid w:val="00921131"/>
    <w:rsid w:val="009213FB"/>
    <w:rsid w:val="00922615"/>
    <w:rsid w:val="00922B82"/>
    <w:rsid w:val="00922D8A"/>
    <w:rsid w:val="00922FDC"/>
    <w:rsid w:val="0092363C"/>
    <w:rsid w:val="009238F7"/>
    <w:rsid w:val="00923B04"/>
    <w:rsid w:val="00923C63"/>
    <w:rsid w:val="00923E1F"/>
    <w:rsid w:val="00924482"/>
    <w:rsid w:val="00924605"/>
    <w:rsid w:val="009247F5"/>
    <w:rsid w:val="00924966"/>
    <w:rsid w:val="00924F81"/>
    <w:rsid w:val="0092505E"/>
    <w:rsid w:val="00925717"/>
    <w:rsid w:val="00925875"/>
    <w:rsid w:val="009258B0"/>
    <w:rsid w:val="009263C1"/>
    <w:rsid w:val="00926AB2"/>
    <w:rsid w:val="00926DD4"/>
    <w:rsid w:val="00927471"/>
    <w:rsid w:val="00927593"/>
    <w:rsid w:val="00927A95"/>
    <w:rsid w:val="00927C17"/>
    <w:rsid w:val="00927C43"/>
    <w:rsid w:val="00927C5C"/>
    <w:rsid w:val="00927CA6"/>
    <w:rsid w:val="00927CEF"/>
    <w:rsid w:val="00930A54"/>
    <w:rsid w:val="00931648"/>
    <w:rsid w:val="00931854"/>
    <w:rsid w:val="00931CE0"/>
    <w:rsid w:val="0093226B"/>
    <w:rsid w:val="009324E2"/>
    <w:rsid w:val="0093262B"/>
    <w:rsid w:val="00932B80"/>
    <w:rsid w:val="00932CFD"/>
    <w:rsid w:val="00933589"/>
    <w:rsid w:val="0093394F"/>
    <w:rsid w:val="00933FB1"/>
    <w:rsid w:val="00933FF6"/>
    <w:rsid w:val="0093409F"/>
    <w:rsid w:val="009343E5"/>
    <w:rsid w:val="009348FE"/>
    <w:rsid w:val="00934AA9"/>
    <w:rsid w:val="00934FCE"/>
    <w:rsid w:val="00935085"/>
    <w:rsid w:val="0093523F"/>
    <w:rsid w:val="009356BA"/>
    <w:rsid w:val="00935723"/>
    <w:rsid w:val="00935864"/>
    <w:rsid w:val="00936247"/>
    <w:rsid w:val="00936715"/>
    <w:rsid w:val="00936D0E"/>
    <w:rsid w:val="00937264"/>
    <w:rsid w:val="009373D3"/>
    <w:rsid w:val="009376F6"/>
    <w:rsid w:val="00937D46"/>
    <w:rsid w:val="00940237"/>
    <w:rsid w:val="0094075F"/>
    <w:rsid w:val="009407FE"/>
    <w:rsid w:val="0094080B"/>
    <w:rsid w:val="009408C8"/>
    <w:rsid w:val="00940D62"/>
    <w:rsid w:val="00940D71"/>
    <w:rsid w:val="009410B7"/>
    <w:rsid w:val="009413D6"/>
    <w:rsid w:val="00941710"/>
    <w:rsid w:val="00941A2E"/>
    <w:rsid w:val="00941E3E"/>
    <w:rsid w:val="00942066"/>
    <w:rsid w:val="00942436"/>
    <w:rsid w:val="00942944"/>
    <w:rsid w:val="00942F78"/>
    <w:rsid w:val="009430D6"/>
    <w:rsid w:val="00943263"/>
    <w:rsid w:val="00943358"/>
    <w:rsid w:val="0094344C"/>
    <w:rsid w:val="00943D7E"/>
    <w:rsid w:val="00944217"/>
    <w:rsid w:val="00945827"/>
    <w:rsid w:val="009459E8"/>
    <w:rsid w:val="00945B1A"/>
    <w:rsid w:val="00945F98"/>
    <w:rsid w:val="00946A2C"/>
    <w:rsid w:val="00946F1E"/>
    <w:rsid w:val="00947716"/>
    <w:rsid w:val="009478F2"/>
    <w:rsid w:val="009479D1"/>
    <w:rsid w:val="00947BFD"/>
    <w:rsid w:val="00947D7E"/>
    <w:rsid w:val="00950019"/>
    <w:rsid w:val="009507C1"/>
    <w:rsid w:val="00950B3A"/>
    <w:rsid w:val="00950F35"/>
    <w:rsid w:val="0095154F"/>
    <w:rsid w:val="00951563"/>
    <w:rsid w:val="00951CD9"/>
    <w:rsid w:val="00951FA4"/>
    <w:rsid w:val="009522EE"/>
    <w:rsid w:val="00952623"/>
    <w:rsid w:val="00952AC8"/>
    <w:rsid w:val="00952B49"/>
    <w:rsid w:val="00952B8A"/>
    <w:rsid w:val="00952CA0"/>
    <w:rsid w:val="00952FB1"/>
    <w:rsid w:val="00952FFB"/>
    <w:rsid w:val="009535DE"/>
    <w:rsid w:val="0095361B"/>
    <w:rsid w:val="00953A5A"/>
    <w:rsid w:val="00953D70"/>
    <w:rsid w:val="00954726"/>
    <w:rsid w:val="00954740"/>
    <w:rsid w:val="009548F4"/>
    <w:rsid w:val="00954A61"/>
    <w:rsid w:val="00954DC2"/>
    <w:rsid w:val="00954DDD"/>
    <w:rsid w:val="00954FE0"/>
    <w:rsid w:val="00955054"/>
    <w:rsid w:val="00955627"/>
    <w:rsid w:val="00955B2E"/>
    <w:rsid w:val="00956110"/>
    <w:rsid w:val="00956F14"/>
    <w:rsid w:val="0095738D"/>
    <w:rsid w:val="00957603"/>
    <w:rsid w:val="009576F3"/>
    <w:rsid w:val="009577E3"/>
    <w:rsid w:val="009579A2"/>
    <w:rsid w:val="00957A1D"/>
    <w:rsid w:val="00957BC0"/>
    <w:rsid w:val="00957E46"/>
    <w:rsid w:val="009600F7"/>
    <w:rsid w:val="00960369"/>
    <w:rsid w:val="0096068A"/>
    <w:rsid w:val="009607A2"/>
    <w:rsid w:val="009610A9"/>
    <w:rsid w:val="00961671"/>
    <w:rsid w:val="0096176B"/>
    <w:rsid w:val="00961AC1"/>
    <w:rsid w:val="00962098"/>
    <w:rsid w:val="0096276A"/>
    <w:rsid w:val="00962BC9"/>
    <w:rsid w:val="00963F8F"/>
    <w:rsid w:val="00964013"/>
    <w:rsid w:val="00964263"/>
    <w:rsid w:val="0096477E"/>
    <w:rsid w:val="0096487B"/>
    <w:rsid w:val="00964A07"/>
    <w:rsid w:val="00964F58"/>
    <w:rsid w:val="00965462"/>
    <w:rsid w:val="00965885"/>
    <w:rsid w:val="00965CD1"/>
    <w:rsid w:val="00965FD2"/>
    <w:rsid w:val="0096654C"/>
    <w:rsid w:val="00966934"/>
    <w:rsid w:val="00966A73"/>
    <w:rsid w:val="00966C39"/>
    <w:rsid w:val="00966F74"/>
    <w:rsid w:val="0097029C"/>
    <w:rsid w:val="00970460"/>
    <w:rsid w:val="009705CC"/>
    <w:rsid w:val="009705F4"/>
    <w:rsid w:val="00970874"/>
    <w:rsid w:val="00970B08"/>
    <w:rsid w:val="009711FF"/>
    <w:rsid w:val="00971539"/>
    <w:rsid w:val="0097168A"/>
    <w:rsid w:val="00971B48"/>
    <w:rsid w:val="00971BFC"/>
    <w:rsid w:val="00972583"/>
    <w:rsid w:val="00972963"/>
    <w:rsid w:val="00972ECE"/>
    <w:rsid w:val="0097326D"/>
    <w:rsid w:val="009734B3"/>
    <w:rsid w:val="00973500"/>
    <w:rsid w:val="009736FE"/>
    <w:rsid w:val="00973AC4"/>
    <w:rsid w:val="00973E29"/>
    <w:rsid w:val="0097488A"/>
    <w:rsid w:val="009757D1"/>
    <w:rsid w:val="00975819"/>
    <w:rsid w:val="00975968"/>
    <w:rsid w:val="00975D9B"/>
    <w:rsid w:val="00975EB9"/>
    <w:rsid w:val="00976A76"/>
    <w:rsid w:val="00976AB7"/>
    <w:rsid w:val="00976ABE"/>
    <w:rsid w:val="00977212"/>
    <w:rsid w:val="009777B0"/>
    <w:rsid w:val="00980381"/>
    <w:rsid w:val="00980754"/>
    <w:rsid w:val="009808FC"/>
    <w:rsid w:val="00980D7C"/>
    <w:rsid w:val="00980F74"/>
    <w:rsid w:val="00980FAC"/>
    <w:rsid w:val="00981035"/>
    <w:rsid w:val="0098133A"/>
    <w:rsid w:val="00981443"/>
    <w:rsid w:val="00981535"/>
    <w:rsid w:val="009820BC"/>
    <w:rsid w:val="009825C8"/>
    <w:rsid w:val="00982B12"/>
    <w:rsid w:val="009832B9"/>
    <w:rsid w:val="009832E0"/>
    <w:rsid w:val="00983531"/>
    <w:rsid w:val="00983A38"/>
    <w:rsid w:val="0098409F"/>
    <w:rsid w:val="009840AE"/>
    <w:rsid w:val="0098437C"/>
    <w:rsid w:val="00984616"/>
    <w:rsid w:val="00984A55"/>
    <w:rsid w:val="00984BF1"/>
    <w:rsid w:val="009851A9"/>
    <w:rsid w:val="0098527B"/>
    <w:rsid w:val="00985473"/>
    <w:rsid w:val="00985537"/>
    <w:rsid w:val="00985945"/>
    <w:rsid w:val="00985C01"/>
    <w:rsid w:val="00986130"/>
    <w:rsid w:val="00986438"/>
    <w:rsid w:val="00986885"/>
    <w:rsid w:val="00986B6C"/>
    <w:rsid w:val="00987663"/>
    <w:rsid w:val="00987A81"/>
    <w:rsid w:val="00987C5E"/>
    <w:rsid w:val="00987CB5"/>
    <w:rsid w:val="009903BA"/>
    <w:rsid w:val="009903D4"/>
    <w:rsid w:val="00990ADD"/>
    <w:rsid w:val="00990F06"/>
    <w:rsid w:val="00990FEC"/>
    <w:rsid w:val="009911B1"/>
    <w:rsid w:val="00991698"/>
    <w:rsid w:val="009917DA"/>
    <w:rsid w:val="009917E7"/>
    <w:rsid w:val="00991AE2"/>
    <w:rsid w:val="00991C17"/>
    <w:rsid w:val="00991C34"/>
    <w:rsid w:val="00991E73"/>
    <w:rsid w:val="00991EC6"/>
    <w:rsid w:val="00991F66"/>
    <w:rsid w:val="0099274D"/>
    <w:rsid w:val="00992D1E"/>
    <w:rsid w:val="00992D66"/>
    <w:rsid w:val="00993405"/>
    <w:rsid w:val="009934CE"/>
    <w:rsid w:val="0099370D"/>
    <w:rsid w:val="00993E88"/>
    <w:rsid w:val="009946A1"/>
    <w:rsid w:val="009947D7"/>
    <w:rsid w:val="00994819"/>
    <w:rsid w:val="00994A54"/>
    <w:rsid w:val="00994C7B"/>
    <w:rsid w:val="00994D1A"/>
    <w:rsid w:val="0099509C"/>
    <w:rsid w:val="00995D8E"/>
    <w:rsid w:val="009965D6"/>
    <w:rsid w:val="009967D0"/>
    <w:rsid w:val="009969E4"/>
    <w:rsid w:val="009969FD"/>
    <w:rsid w:val="0099743F"/>
    <w:rsid w:val="00997EB2"/>
    <w:rsid w:val="009A036C"/>
    <w:rsid w:val="009A054C"/>
    <w:rsid w:val="009A06F5"/>
    <w:rsid w:val="009A0788"/>
    <w:rsid w:val="009A0E92"/>
    <w:rsid w:val="009A0EF5"/>
    <w:rsid w:val="009A0FF3"/>
    <w:rsid w:val="009A12D9"/>
    <w:rsid w:val="009A1417"/>
    <w:rsid w:val="009A17EC"/>
    <w:rsid w:val="009A1A4A"/>
    <w:rsid w:val="009A231F"/>
    <w:rsid w:val="009A236A"/>
    <w:rsid w:val="009A25D3"/>
    <w:rsid w:val="009A3345"/>
    <w:rsid w:val="009A3C55"/>
    <w:rsid w:val="009A3D83"/>
    <w:rsid w:val="009A3F02"/>
    <w:rsid w:val="009A4B99"/>
    <w:rsid w:val="009A555A"/>
    <w:rsid w:val="009A5827"/>
    <w:rsid w:val="009A63AE"/>
    <w:rsid w:val="009A667A"/>
    <w:rsid w:val="009A6DB2"/>
    <w:rsid w:val="009A759F"/>
    <w:rsid w:val="009A7743"/>
    <w:rsid w:val="009A79BB"/>
    <w:rsid w:val="009A7C0F"/>
    <w:rsid w:val="009A7FD0"/>
    <w:rsid w:val="009A7FD2"/>
    <w:rsid w:val="009B01D4"/>
    <w:rsid w:val="009B03DF"/>
    <w:rsid w:val="009B0675"/>
    <w:rsid w:val="009B069F"/>
    <w:rsid w:val="009B183F"/>
    <w:rsid w:val="009B1B2E"/>
    <w:rsid w:val="009B1E3A"/>
    <w:rsid w:val="009B1EAB"/>
    <w:rsid w:val="009B208B"/>
    <w:rsid w:val="009B2232"/>
    <w:rsid w:val="009B2307"/>
    <w:rsid w:val="009B2505"/>
    <w:rsid w:val="009B2A43"/>
    <w:rsid w:val="009B2D84"/>
    <w:rsid w:val="009B3BD3"/>
    <w:rsid w:val="009B3E2E"/>
    <w:rsid w:val="009B3FBB"/>
    <w:rsid w:val="009B4B4A"/>
    <w:rsid w:val="009B4D62"/>
    <w:rsid w:val="009B5608"/>
    <w:rsid w:val="009B5BAE"/>
    <w:rsid w:val="009B636F"/>
    <w:rsid w:val="009B63FB"/>
    <w:rsid w:val="009B6609"/>
    <w:rsid w:val="009B6AF0"/>
    <w:rsid w:val="009B6B7E"/>
    <w:rsid w:val="009B6CE4"/>
    <w:rsid w:val="009B75F8"/>
    <w:rsid w:val="009B7EE8"/>
    <w:rsid w:val="009C0579"/>
    <w:rsid w:val="009C09F3"/>
    <w:rsid w:val="009C0B8E"/>
    <w:rsid w:val="009C0CD2"/>
    <w:rsid w:val="009C0E43"/>
    <w:rsid w:val="009C10E9"/>
    <w:rsid w:val="009C128C"/>
    <w:rsid w:val="009C1604"/>
    <w:rsid w:val="009C1893"/>
    <w:rsid w:val="009C1E96"/>
    <w:rsid w:val="009C20A8"/>
    <w:rsid w:val="009C24C9"/>
    <w:rsid w:val="009C256E"/>
    <w:rsid w:val="009C292D"/>
    <w:rsid w:val="009C2E0C"/>
    <w:rsid w:val="009C3726"/>
    <w:rsid w:val="009C3903"/>
    <w:rsid w:val="009C4094"/>
    <w:rsid w:val="009C4770"/>
    <w:rsid w:val="009C4DE6"/>
    <w:rsid w:val="009C4F80"/>
    <w:rsid w:val="009C50F1"/>
    <w:rsid w:val="009C5398"/>
    <w:rsid w:val="009C55DE"/>
    <w:rsid w:val="009C5A51"/>
    <w:rsid w:val="009C5F0C"/>
    <w:rsid w:val="009C67C0"/>
    <w:rsid w:val="009C6C4B"/>
    <w:rsid w:val="009C70FA"/>
    <w:rsid w:val="009C788D"/>
    <w:rsid w:val="009C79DD"/>
    <w:rsid w:val="009C7A5A"/>
    <w:rsid w:val="009C7CD5"/>
    <w:rsid w:val="009C7D32"/>
    <w:rsid w:val="009D0B9E"/>
    <w:rsid w:val="009D0BD7"/>
    <w:rsid w:val="009D0C18"/>
    <w:rsid w:val="009D1035"/>
    <w:rsid w:val="009D1059"/>
    <w:rsid w:val="009D13D0"/>
    <w:rsid w:val="009D1B09"/>
    <w:rsid w:val="009D1B4C"/>
    <w:rsid w:val="009D2068"/>
    <w:rsid w:val="009D249C"/>
    <w:rsid w:val="009D2836"/>
    <w:rsid w:val="009D2DD7"/>
    <w:rsid w:val="009D363D"/>
    <w:rsid w:val="009D38C0"/>
    <w:rsid w:val="009D41CC"/>
    <w:rsid w:val="009D4D46"/>
    <w:rsid w:val="009D51D1"/>
    <w:rsid w:val="009D5285"/>
    <w:rsid w:val="009D575B"/>
    <w:rsid w:val="009D5788"/>
    <w:rsid w:val="009D5A47"/>
    <w:rsid w:val="009D6113"/>
    <w:rsid w:val="009D6193"/>
    <w:rsid w:val="009D670C"/>
    <w:rsid w:val="009D6BC5"/>
    <w:rsid w:val="009D6D5D"/>
    <w:rsid w:val="009D6DA4"/>
    <w:rsid w:val="009D7158"/>
    <w:rsid w:val="009D7470"/>
    <w:rsid w:val="009D74D1"/>
    <w:rsid w:val="009D7861"/>
    <w:rsid w:val="009D7D33"/>
    <w:rsid w:val="009E01FC"/>
    <w:rsid w:val="009E0317"/>
    <w:rsid w:val="009E0419"/>
    <w:rsid w:val="009E0C8D"/>
    <w:rsid w:val="009E1999"/>
    <w:rsid w:val="009E1E79"/>
    <w:rsid w:val="009E1E81"/>
    <w:rsid w:val="009E208B"/>
    <w:rsid w:val="009E237C"/>
    <w:rsid w:val="009E24E7"/>
    <w:rsid w:val="009E258B"/>
    <w:rsid w:val="009E2F1C"/>
    <w:rsid w:val="009E305C"/>
    <w:rsid w:val="009E324D"/>
    <w:rsid w:val="009E39E2"/>
    <w:rsid w:val="009E3BFE"/>
    <w:rsid w:val="009E4478"/>
    <w:rsid w:val="009E459A"/>
    <w:rsid w:val="009E46BF"/>
    <w:rsid w:val="009E4DD4"/>
    <w:rsid w:val="009E4E3F"/>
    <w:rsid w:val="009E5459"/>
    <w:rsid w:val="009E5B49"/>
    <w:rsid w:val="009E600C"/>
    <w:rsid w:val="009E6224"/>
    <w:rsid w:val="009E630E"/>
    <w:rsid w:val="009E64B8"/>
    <w:rsid w:val="009E67AA"/>
    <w:rsid w:val="009E698B"/>
    <w:rsid w:val="009E69E8"/>
    <w:rsid w:val="009E6D4A"/>
    <w:rsid w:val="009E7B36"/>
    <w:rsid w:val="009E7C04"/>
    <w:rsid w:val="009E7C2F"/>
    <w:rsid w:val="009E7CC2"/>
    <w:rsid w:val="009F004F"/>
    <w:rsid w:val="009F044B"/>
    <w:rsid w:val="009F06AA"/>
    <w:rsid w:val="009F0BB6"/>
    <w:rsid w:val="009F0BED"/>
    <w:rsid w:val="009F0F0A"/>
    <w:rsid w:val="009F0F77"/>
    <w:rsid w:val="009F0FBE"/>
    <w:rsid w:val="009F1067"/>
    <w:rsid w:val="009F1070"/>
    <w:rsid w:val="009F1547"/>
    <w:rsid w:val="009F169E"/>
    <w:rsid w:val="009F1A08"/>
    <w:rsid w:val="009F1A1B"/>
    <w:rsid w:val="009F1B6F"/>
    <w:rsid w:val="009F1CB5"/>
    <w:rsid w:val="009F1CBF"/>
    <w:rsid w:val="009F1E07"/>
    <w:rsid w:val="009F2542"/>
    <w:rsid w:val="009F29E6"/>
    <w:rsid w:val="009F2BAF"/>
    <w:rsid w:val="009F2D6C"/>
    <w:rsid w:val="009F3350"/>
    <w:rsid w:val="009F3475"/>
    <w:rsid w:val="009F3836"/>
    <w:rsid w:val="009F3B7D"/>
    <w:rsid w:val="009F47E8"/>
    <w:rsid w:val="009F4806"/>
    <w:rsid w:val="009F4ABA"/>
    <w:rsid w:val="009F4E65"/>
    <w:rsid w:val="009F50F4"/>
    <w:rsid w:val="009F5415"/>
    <w:rsid w:val="009F55FF"/>
    <w:rsid w:val="009F561B"/>
    <w:rsid w:val="009F636C"/>
    <w:rsid w:val="009F6FEF"/>
    <w:rsid w:val="009F71BE"/>
    <w:rsid w:val="009F7257"/>
    <w:rsid w:val="009F76E3"/>
    <w:rsid w:val="009F7706"/>
    <w:rsid w:val="009F7AA4"/>
    <w:rsid w:val="00A00317"/>
    <w:rsid w:val="00A008C2"/>
    <w:rsid w:val="00A00963"/>
    <w:rsid w:val="00A01159"/>
    <w:rsid w:val="00A0167D"/>
    <w:rsid w:val="00A01913"/>
    <w:rsid w:val="00A01D0B"/>
    <w:rsid w:val="00A02078"/>
    <w:rsid w:val="00A02A9B"/>
    <w:rsid w:val="00A02BBE"/>
    <w:rsid w:val="00A02D14"/>
    <w:rsid w:val="00A03456"/>
    <w:rsid w:val="00A03C7A"/>
    <w:rsid w:val="00A042AB"/>
    <w:rsid w:val="00A04986"/>
    <w:rsid w:val="00A052C0"/>
    <w:rsid w:val="00A0530B"/>
    <w:rsid w:val="00A053F6"/>
    <w:rsid w:val="00A05782"/>
    <w:rsid w:val="00A057DA"/>
    <w:rsid w:val="00A057FA"/>
    <w:rsid w:val="00A0598C"/>
    <w:rsid w:val="00A05C7D"/>
    <w:rsid w:val="00A063D6"/>
    <w:rsid w:val="00A066AE"/>
    <w:rsid w:val="00A06BEF"/>
    <w:rsid w:val="00A10DD9"/>
    <w:rsid w:val="00A1117F"/>
    <w:rsid w:val="00A11ACF"/>
    <w:rsid w:val="00A11D21"/>
    <w:rsid w:val="00A11F1F"/>
    <w:rsid w:val="00A12565"/>
    <w:rsid w:val="00A12758"/>
    <w:rsid w:val="00A12C6B"/>
    <w:rsid w:val="00A12E41"/>
    <w:rsid w:val="00A12FE6"/>
    <w:rsid w:val="00A13151"/>
    <w:rsid w:val="00A13376"/>
    <w:rsid w:val="00A1345C"/>
    <w:rsid w:val="00A13525"/>
    <w:rsid w:val="00A13E8A"/>
    <w:rsid w:val="00A1407B"/>
    <w:rsid w:val="00A14117"/>
    <w:rsid w:val="00A145F3"/>
    <w:rsid w:val="00A14757"/>
    <w:rsid w:val="00A147AD"/>
    <w:rsid w:val="00A14828"/>
    <w:rsid w:val="00A149A2"/>
    <w:rsid w:val="00A149FA"/>
    <w:rsid w:val="00A14E09"/>
    <w:rsid w:val="00A15050"/>
    <w:rsid w:val="00A153A1"/>
    <w:rsid w:val="00A15654"/>
    <w:rsid w:val="00A15719"/>
    <w:rsid w:val="00A158AE"/>
    <w:rsid w:val="00A15FB8"/>
    <w:rsid w:val="00A16587"/>
    <w:rsid w:val="00A166F7"/>
    <w:rsid w:val="00A168B2"/>
    <w:rsid w:val="00A1744F"/>
    <w:rsid w:val="00A17630"/>
    <w:rsid w:val="00A17DF0"/>
    <w:rsid w:val="00A2058C"/>
    <w:rsid w:val="00A2066B"/>
    <w:rsid w:val="00A20C1A"/>
    <w:rsid w:val="00A20D01"/>
    <w:rsid w:val="00A20F78"/>
    <w:rsid w:val="00A21383"/>
    <w:rsid w:val="00A216B0"/>
    <w:rsid w:val="00A218F1"/>
    <w:rsid w:val="00A21BA4"/>
    <w:rsid w:val="00A21D1D"/>
    <w:rsid w:val="00A22250"/>
    <w:rsid w:val="00A22380"/>
    <w:rsid w:val="00A2263C"/>
    <w:rsid w:val="00A228E6"/>
    <w:rsid w:val="00A22CDA"/>
    <w:rsid w:val="00A2436A"/>
    <w:rsid w:val="00A24394"/>
    <w:rsid w:val="00A2448F"/>
    <w:rsid w:val="00A24F2A"/>
    <w:rsid w:val="00A256F4"/>
    <w:rsid w:val="00A258FB"/>
    <w:rsid w:val="00A25AB1"/>
    <w:rsid w:val="00A25BCD"/>
    <w:rsid w:val="00A26060"/>
    <w:rsid w:val="00A26560"/>
    <w:rsid w:val="00A269C9"/>
    <w:rsid w:val="00A27070"/>
    <w:rsid w:val="00A27271"/>
    <w:rsid w:val="00A273E8"/>
    <w:rsid w:val="00A2784E"/>
    <w:rsid w:val="00A27CED"/>
    <w:rsid w:val="00A27DEE"/>
    <w:rsid w:val="00A30C52"/>
    <w:rsid w:val="00A311E9"/>
    <w:rsid w:val="00A31563"/>
    <w:rsid w:val="00A315A8"/>
    <w:rsid w:val="00A31932"/>
    <w:rsid w:val="00A31B93"/>
    <w:rsid w:val="00A31F82"/>
    <w:rsid w:val="00A3202D"/>
    <w:rsid w:val="00A321B1"/>
    <w:rsid w:val="00A32217"/>
    <w:rsid w:val="00A32EB7"/>
    <w:rsid w:val="00A3376E"/>
    <w:rsid w:val="00A33BD6"/>
    <w:rsid w:val="00A34802"/>
    <w:rsid w:val="00A34C4D"/>
    <w:rsid w:val="00A34E06"/>
    <w:rsid w:val="00A34FFC"/>
    <w:rsid w:val="00A35910"/>
    <w:rsid w:val="00A35ADD"/>
    <w:rsid w:val="00A35B9D"/>
    <w:rsid w:val="00A35C46"/>
    <w:rsid w:val="00A35D32"/>
    <w:rsid w:val="00A36749"/>
    <w:rsid w:val="00A36BD6"/>
    <w:rsid w:val="00A36F9C"/>
    <w:rsid w:val="00A373F7"/>
    <w:rsid w:val="00A375EF"/>
    <w:rsid w:val="00A37711"/>
    <w:rsid w:val="00A377CD"/>
    <w:rsid w:val="00A37896"/>
    <w:rsid w:val="00A37F6A"/>
    <w:rsid w:val="00A40643"/>
    <w:rsid w:val="00A407C8"/>
    <w:rsid w:val="00A40981"/>
    <w:rsid w:val="00A41757"/>
    <w:rsid w:val="00A42345"/>
    <w:rsid w:val="00A423C4"/>
    <w:rsid w:val="00A4294B"/>
    <w:rsid w:val="00A42D8A"/>
    <w:rsid w:val="00A42EA9"/>
    <w:rsid w:val="00A43195"/>
    <w:rsid w:val="00A4342E"/>
    <w:rsid w:val="00A440E1"/>
    <w:rsid w:val="00A444BE"/>
    <w:rsid w:val="00A444FC"/>
    <w:rsid w:val="00A44C0A"/>
    <w:rsid w:val="00A4509B"/>
    <w:rsid w:val="00A457C2"/>
    <w:rsid w:val="00A45BB3"/>
    <w:rsid w:val="00A46CD5"/>
    <w:rsid w:val="00A46D7F"/>
    <w:rsid w:val="00A470A0"/>
    <w:rsid w:val="00A47356"/>
    <w:rsid w:val="00A475C5"/>
    <w:rsid w:val="00A47B68"/>
    <w:rsid w:val="00A51415"/>
    <w:rsid w:val="00A514D8"/>
    <w:rsid w:val="00A51751"/>
    <w:rsid w:val="00A517B6"/>
    <w:rsid w:val="00A517F5"/>
    <w:rsid w:val="00A519B0"/>
    <w:rsid w:val="00A5221B"/>
    <w:rsid w:val="00A525A0"/>
    <w:rsid w:val="00A526BD"/>
    <w:rsid w:val="00A528C2"/>
    <w:rsid w:val="00A52B18"/>
    <w:rsid w:val="00A53859"/>
    <w:rsid w:val="00A53929"/>
    <w:rsid w:val="00A53930"/>
    <w:rsid w:val="00A53A5D"/>
    <w:rsid w:val="00A53B8A"/>
    <w:rsid w:val="00A53BEB"/>
    <w:rsid w:val="00A53E06"/>
    <w:rsid w:val="00A53EAC"/>
    <w:rsid w:val="00A5433A"/>
    <w:rsid w:val="00A54A85"/>
    <w:rsid w:val="00A54AFD"/>
    <w:rsid w:val="00A54E69"/>
    <w:rsid w:val="00A55537"/>
    <w:rsid w:val="00A55857"/>
    <w:rsid w:val="00A5585B"/>
    <w:rsid w:val="00A5656E"/>
    <w:rsid w:val="00A567BB"/>
    <w:rsid w:val="00A56BFE"/>
    <w:rsid w:val="00A56F2F"/>
    <w:rsid w:val="00A571B2"/>
    <w:rsid w:val="00A576D3"/>
    <w:rsid w:val="00A603C7"/>
    <w:rsid w:val="00A607E0"/>
    <w:rsid w:val="00A60C98"/>
    <w:rsid w:val="00A60FC9"/>
    <w:rsid w:val="00A61080"/>
    <w:rsid w:val="00A61652"/>
    <w:rsid w:val="00A61833"/>
    <w:rsid w:val="00A61A32"/>
    <w:rsid w:val="00A61B06"/>
    <w:rsid w:val="00A61C8F"/>
    <w:rsid w:val="00A61F1A"/>
    <w:rsid w:val="00A61FF9"/>
    <w:rsid w:val="00A62113"/>
    <w:rsid w:val="00A62736"/>
    <w:rsid w:val="00A62A01"/>
    <w:rsid w:val="00A62B40"/>
    <w:rsid w:val="00A62BD7"/>
    <w:rsid w:val="00A62D1C"/>
    <w:rsid w:val="00A630BE"/>
    <w:rsid w:val="00A63230"/>
    <w:rsid w:val="00A63379"/>
    <w:rsid w:val="00A633EB"/>
    <w:rsid w:val="00A63774"/>
    <w:rsid w:val="00A6386A"/>
    <w:rsid w:val="00A64872"/>
    <w:rsid w:val="00A64AD7"/>
    <w:rsid w:val="00A65529"/>
    <w:rsid w:val="00A65900"/>
    <w:rsid w:val="00A65B15"/>
    <w:rsid w:val="00A65EE2"/>
    <w:rsid w:val="00A66321"/>
    <w:rsid w:val="00A6649C"/>
    <w:rsid w:val="00A66711"/>
    <w:rsid w:val="00A66796"/>
    <w:rsid w:val="00A66DCF"/>
    <w:rsid w:val="00A67357"/>
    <w:rsid w:val="00A674DE"/>
    <w:rsid w:val="00A6759C"/>
    <w:rsid w:val="00A6760C"/>
    <w:rsid w:val="00A67639"/>
    <w:rsid w:val="00A67923"/>
    <w:rsid w:val="00A70033"/>
    <w:rsid w:val="00A7015E"/>
    <w:rsid w:val="00A702ED"/>
    <w:rsid w:val="00A70932"/>
    <w:rsid w:val="00A711A4"/>
    <w:rsid w:val="00A71345"/>
    <w:rsid w:val="00A713ED"/>
    <w:rsid w:val="00A7148E"/>
    <w:rsid w:val="00A714B8"/>
    <w:rsid w:val="00A71725"/>
    <w:rsid w:val="00A71906"/>
    <w:rsid w:val="00A71AD2"/>
    <w:rsid w:val="00A721A7"/>
    <w:rsid w:val="00A721AE"/>
    <w:rsid w:val="00A72227"/>
    <w:rsid w:val="00A723E0"/>
    <w:rsid w:val="00A72619"/>
    <w:rsid w:val="00A72C4F"/>
    <w:rsid w:val="00A72C65"/>
    <w:rsid w:val="00A72C6F"/>
    <w:rsid w:val="00A72CE7"/>
    <w:rsid w:val="00A72FD4"/>
    <w:rsid w:val="00A73505"/>
    <w:rsid w:val="00A738C1"/>
    <w:rsid w:val="00A73A3B"/>
    <w:rsid w:val="00A73B02"/>
    <w:rsid w:val="00A73DA8"/>
    <w:rsid w:val="00A74256"/>
    <w:rsid w:val="00A74751"/>
    <w:rsid w:val="00A74901"/>
    <w:rsid w:val="00A75031"/>
    <w:rsid w:val="00A75580"/>
    <w:rsid w:val="00A75733"/>
    <w:rsid w:val="00A76206"/>
    <w:rsid w:val="00A76308"/>
    <w:rsid w:val="00A768B4"/>
    <w:rsid w:val="00A76DE3"/>
    <w:rsid w:val="00A76F6C"/>
    <w:rsid w:val="00A776C7"/>
    <w:rsid w:val="00A77717"/>
    <w:rsid w:val="00A7781A"/>
    <w:rsid w:val="00A77AC1"/>
    <w:rsid w:val="00A77C08"/>
    <w:rsid w:val="00A802DF"/>
    <w:rsid w:val="00A80ACB"/>
    <w:rsid w:val="00A81384"/>
    <w:rsid w:val="00A813FB"/>
    <w:rsid w:val="00A81492"/>
    <w:rsid w:val="00A81527"/>
    <w:rsid w:val="00A815B9"/>
    <w:rsid w:val="00A8160E"/>
    <w:rsid w:val="00A816BD"/>
    <w:rsid w:val="00A819FD"/>
    <w:rsid w:val="00A82058"/>
    <w:rsid w:val="00A82735"/>
    <w:rsid w:val="00A82BFD"/>
    <w:rsid w:val="00A82D90"/>
    <w:rsid w:val="00A82DE6"/>
    <w:rsid w:val="00A8365D"/>
    <w:rsid w:val="00A83BCA"/>
    <w:rsid w:val="00A841DD"/>
    <w:rsid w:val="00A844BE"/>
    <w:rsid w:val="00A84AE7"/>
    <w:rsid w:val="00A84B52"/>
    <w:rsid w:val="00A84DAF"/>
    <w:rsid w:val="00A84E8D"/>
    <w:rsid w:val="00A84ECF"/>
    <w:rsid w:val="00A8509B"/>
    <w:rsid w:val="00A851E6"/>
    <w:rsid w:val="00A85E5C"/>
    <w:rsid w:val="00A86576"/>
    <w:rsid w:val="00A8668D"/>
    <w:rsid w:val="00A8669C"/>
    <w:rsid w:val="00A8672E"/>
    <w:rsid w:val="00A869B0"/>
    <w:rsid w:val="00A869B8"/>
    <w:rsid w:val="00A86C13"/>
    <w:rsid w:val="00A86FA6"/>
    <w:rsid w:val="00A8734C"/>
    <w:rsid w:val="00A876D7"/>
    <w:rsid w:val="00A87A0E"/>
    <w:rsid w:val="00A87AC5"/>
    <w:rsid w:val="00A90420"/>
    <w:rsid w:val="00A9044B"/>
    <w:rsid w:val="00A90C1D"/>
    <w:rsid w:val="00A90F55"/>
    <w:rsid w:val="00A91051"/>
    <w:rsid w:val="00A910CB"/>
    <w:rsid w:val="00A913A9"/>
    <w:rsid w:val="00A91BF0"/>
    <w:rsid w:val="00A91DC1"/>
    <w:rsid w:val="00A9289F"/>
    <w:rsid w:val="00A92908"/>
    <w:rsid w:val="00A929F4"/>
    <w:rsid w:val="00A929FD"/>
    <w:rsid w:val="00A92C1D"/>
    <w:rsid w:val="00A92C22"/>
    <w:rsid w:val="00A92DCC"/>
    <w:rsid w:val="00A93307"/>
    <w:rsid w:val="00A93633"/>
    <w:rsid w:val="00A943CC"/>
    <w:rsid w:val="00A9443C"/>
    <w:rsid w:val="00A946D2"/>
    <w:rsid w:val="00A9546A"/>
    <w:rsid w:val="00A95565"/>
    <w:rsid w:val="00A95B11"/>
    <w:rsid w:val="00A961D7"/>
    <w:rsid w:val="00A963A5"/>
    <w:rsid w:val="00A9696D"/>
    <w:rsid w:val="00A96A31"/>
    <w:rsid w:val="00A96FE4"/>
    <w:rsid w:val="00A97082"/>
    <w:rsid w:val="00A97301"/>
    <w:rsid w:val="00A975CC"/>
    <w:rsid w:val="00A9774D"/>
    <w:rsid w:val="00A97A90"/>
    <w:rsid w:val="00A97BEE"/>
    <w:rsid w:val="00AA0175"/>
    <w:rsid w:val="00AA03A9"/>
    <w:rsid w:val="00AA05D6"/>
    <w:rsid w:val="00AA0965"/>
    <w:rsid w:val="00AA0A36"/>
    <w:rsid w:val="00AA0B33"/>
    <w:rsid w:val="00AA0C77"/>
    <w:rsid w:val="00AA13C3"/>
    <w:rsid w:val="00AA13F1"/>
    <w:rsid w:val="00AA146B"/>
    <w:rsid w:val="00AA1D27"/>
    <w:rsid w:val="00AA204C"/>
    <w:rsid w:val="00AA2D57"/>
    <w:rsid w:val="00AA2E65"/>
    <w:rsid w:val="00AA3000"/>
    <w:rsid w:val="00AA3080"/>
    <w:rsid w:val="00AA359F"/>
    <w:rsid w:val="00AA3941"/>
    <w:rsid w:val="00AA3C70"/>
    <w:rsid w:val="00AA40F7"/>
    <w:rsid w:val="00AA4262"/>
    <w:rsid w:val="00AA433E"/>
    <w:rsid w:val="00AA43EB"/>
    <w:rsid w:val="00AA4482"/>
    <w:rsid w:val="00AA464A"/>
    <w:rsid w:val="00AA538E"/>
    <w:rsid w:val="00AA56A9"/>
    <w:rsid w:val="00AA56D0"/>
    <w:rsid w:val="00AA588E"/>
    <w:rsid w:val="00AA58D5"/>
    <w:rsid w:val="00AA5E4E"/>
    <w:rsid w:val="00AA5E5E"/>
    <w:rsid w:val="00AA5FDB"/>
    <w:rsid w:val="00AA610F"/>
    <w:rsid w:val="00AA6223"/>
    <w:rsid w:val="00AA6418"/>
    <w:rsid w:val="00AA652B"/>
    <w:rsid w:val="00AB008E"/>
    <w:rsid w:val="00AB01BE"/>
    <w:rsid w:val="00AB056E"/>
    <w:rsid w:val="00AB09DB"/>
    <w:rsid w:val="00AB0C9F"/>
    <w:rsid w:val="00AB0F63"/>
    <w:rsid w:val="00AB0F65"/>
    <w:rsid w:val="00AB1104"/>
    <w:rsid w:val="00AB143A"/>
    <w:rsid w:val="00AB155C"/>
    <w:rsid w:val="00AB1693"/>
    <w:rsid w:val="00AB20F2"/>
    <w:rsid w:val="00AB2940"/>
    <w:rsid w:val="00AB2C71"/>
    <w:rsid w:val="00AB2C82"/>
    <w:rsid w:val="00AB315C"/>
    <w:rsid w:val="00AB34F6"/>
    <w:rsid w:val="00AB3798"/>
    <w:rsid w:val="00AB3971"/>
    <w:rsid w:val="00AB3E3E"/>
    <w:rsid w:val="00AB433D"/>
    <w:rsid w:val="00AB45CA"/>
    <w:rsid w:val="00AB4745"/>
    <w:rsid w:val="00AB47A8"/>
    <w:rsid w:val="00AB54D2"/>
    <w:rsid w:val="00AB5BCE"/>
    <w:rsid w:val="00AB6064"/>
    <w:rsid w:val="00AB61C0"/>
    <w:rsid w:val="00AB62B4"/>
    <w:rsid w:val="00AB632A"/>
    <w:rsid w:val="00AB67DC"/>
    <w:rsid w:val="00AB67E1"/>
    <w:rsid w:val="00AB68F9"/>
    <w:rsid w:val="00AB717A"/>
    <w:rsid w:val="00AB71C6"/>
    <w:rsid w:val="00AB7C18"/>
    <w:rsid w:val="00AB7E96"/>
    <w:rsid w:val="00AC003B"/>
    <w:rsid w:val="00AC003C"/>
    <w:rsid w:val="00AC0103"/>
    <w:rsid w:val="00AC098B"/>
    <w:rsid w:val="00AC0A0A"/>
    <w:rsid w:val="00AC0A8E"/>
    <w:rsid w:val="00AC0F1E"/>
    <w:rsid w:val="00AC0F37"/>
    <w:rsid w:val="00AC1043"/>
    <w:rsid w:val="00AC11A7"/>
    <w:rsid w:val="00AC13E7"/>
    <w:rsid w:val="00AC1404"/>
    <w:rsid w:val="00AC14BD"/>
    <w:rsid w:val="00AC19FF"/>
    <w:rsid w:val="00AC277B"/>
    <w:rsid w:val="00AC2CDF"/>
    <w:rsid w:val="00AC2E8D"/>
    <w:rsid w:val="00AC316F"/>
    <w:rsid w:val="00AC31EA"/>
    <w:rsid w:val="00AC32B7"/>
    <w:rsid w:val="00AC32FB"/>
    <w:rsid w:val="00AC38BD"/>
    <w:rsid w:val="00AC3C71"/>
    <w:rsid w:val="00AC4881"/>
    <w:rsid w:val="00AC4A71"/>
    <w:rsid w:val="00AC4A91"/>
    <w:rsid w:val="00AC52F0"/>
    <w:rsid w:val="00AC54A8"/>
    <w:rsid w:val="00AC55BE"/>
    <w:rsid w:val="00AC5BF4"/>
    <w:rsid w:val="00AC5F1A"/>
    <w:rsid w:val="00AC5F91"/>
    <w:rsid w:val="00AC68B3"/>
    <w:rsid w:val="00AC6E82"/>
    <w:rsid w:val="00AC7363"/>
    <w:rsid w:val="00AC73DC"/>
    <w:rsid w:val="00AC7B1B"/>
    <w:rsid w:val="00AC7F3A"/>
    <w:rsid w:val="00AD039F"/>
    <w:rsid w:val="00AD040B"/>
    <w:rsid w:val="00AD0464"/>
    <w:rsid w:val="00AD0559"/>
    <w:rsid w:val="00AD077D"/>
    <w:rsid w:val="00AD09FD"/>
    <w:rsid w:val="00AD0F88"/>
    <w:rsid w:val="00AD10DF"/>
    <w:rsid w:val="00AD1113"/>
    <w:rsid w:val="00AD11A5"/>
    <w:rsid w:val="00AD1A6C"/>
    <w:rsid w:val="00AD1EC4"/>
    <w:rsid w:val="00AD1F76"/>
    <w:rsid w:val="00AD24F3"/>
    <w:rsid w:val="00AD2DDF"/>
    <w:rsid w:val="00AD3018"/>
    <w:rsid w:val="00AD37E0"/>
    <w:rsid w:val="00AD3847"/>
    <w:rsid w:val="00AD3902"/>
    <w:rsid w:val="00AD3968"/>
    <w:rsid w:val="00AD3C07"/>
    <w:rsid w:val="00AD3E47"/>
    <w:rsid w:val="00AD3E5D"/>
    <w:rsid w:val="00AD3F61"/>
    <w:rsid w:val="00AD4716"/>
    <w:rsid w:val="00AD49D1"/>
    <w:rsid w:val="00AD4D95"/>
    <w:rsid w:val="00AD4FEE"/>
    <w:rsid w:val="00AD505D"/>
    <w:rsid w:val="00AD523F"/>
    <w:rsid w:val="00AD5255"/>
    <w:rsid w:val="00AD57D9"/>
    <w:rsid w:val="00AD57F8"/>
    <w:rsid w:val="00AD58A0"/>
    <w:rsid w:val="00AD5F26"/>
    <w:rsid w:val="00AD6010"/>
    <w:rsid w:val="00AD6132"/>
    <w:rsid w:val="00AD6258"/>
    <w:rsid w:val="00AD6693"/>
    <w:rsid w:val="00AD67CB"/>
    <w:rsid w:val="00AD6D22"/>
    <w:rsid w:val="00AD6DFC"/>
    <w:rsid w:val="00AD770A"/>
    <w:rsid w:val="00AD7746"/>
    <w:rsid w:val="00AD77F9"/>
    <w:rsid w:val="00AE0075"/>
    <w:rsid w:val="00AE03CC"/>
    <w:rsid w:val="00AE0551"/>
    <w:rsid w:val="00AE05F8"/>
    <w:rsid w:val="00AE1264"/>
    <w:rsid w:val="00AE1F98"/>
    <w:rsid w:val="00AE218D"/>
    <w:rsid w:val="00AE2212"/>
    <w:rsid w:val="00AE319E"/>
    <w:rsid w:val="00AE339E"/>
    <w:rsid w:val="00AE33FF"/>
    <w:rsid w:val="00AE36F9"/>
    <w:rsid w:val="00AE3881"/>
    <w:rsid w:val="00AE38D4"/>
    <w:rsid w:val="00AE3C2B"/>
    <w:rsid w:val="00AE4854"/>
    <w:rsid w:val="00AE499D"/>
    <w:rsid w:val="00AE4AE2"/>
    <w:rsid w:val="00AE4B14"/>
    <w:rsid w:val="00AE4E99"/>
    <w:rsid w:val="00AE4FF8"/>
    <w:rsid w:val="00AE5753"/>
    <w:rsid w:val="00AE5E94"/>
    <w:rsid w:val="00AE63F9"/>
    <w:rsid w:val="00AE64D5"/>
    <w:rsid w:val="00AE6794"/>
    <w:rsid w:val="00AE6856"/>
    <w:rsid w:val="00AE6D12"/>
    <w:rsid w:val="00AE7175"/>
    <w:rsid w:val="00AF026B"/>
    <w:rsid w:val="00AF05DB"/>
    <w:rsid w:val="00AF06D5"/>
    <w:rsid w:val="00AF09DD"/>
    <w:rsid w:val="00AF0A33"/>
    <w:rsid w:val="00AF0E61"/>
    <w:rsid w:val="00AF0F55"/>
    <w:rsid w:val="00AF15B0"/>
    <w:rsid w:val="00AF246B"/>
    <w:rsid w:val="00AF2B88"/>
    <w:rsid w:val="00AF3956"/>
    <w:rsid w:val="00AF3C3E"/>
    <w:rsid w:val="00AF3F10"/>
    <w:rsid w:val="00AF4042"/>
    <w:rsid w:val="00AF40DE"/>
    <w:rsid w:val="00AF4817"/>
    <w:rsid w:val="00AF4830"/>
    <w:rsid w:val="00AF4BEE"/>
    <w:rsid w:val="00AF4C0C"/>
    <w:rsid w:val="00AF4E49"/>
    <w:rsid w:val="00AF56BE"/>
    <w:rsid w:val="00AF5B27"/>
    <w:rsid w:val="00AF5B2F"/>
    <w:rsid w:val="00AF6067"/>
    <w:rsid w:val="00AF61F1"/>
    <w:rsid w:val="00AF6557"/>
    <w:rsid w:val="00AF6637"/>
    <w:rsid w:val="00AF666D"/>
    <w:rsid w:val="00AF6901"/>
    <w:rsid w:val="00AF6A62"/>
    <w:rsid w:val="00AF6F96"/>
    <w:rsid w:val="00AF7D8E"/>
    <w:rsid w:val="00AF7DB4"/>
    <w:rsid w:val="00B00827"/>
    <w:rsid w:val="00B009CC"/>
    <w:rsid w:val="00B00B92"/>
    <w:rsid w:val="00B00E0D"/>
    <w:rsid w:val="00B01192"/>
    <w:rsid w:val="00B016BB"/>
    <w:rsid w:val="00B01A94"/>
    <w:rsid w:val="00B01CEC"/>
    <w:rsid w:val="00B024CA"/>
    <w:rsid w:val="00B024F0"/>
    <w:rsid w:val="00B02655"/>
    <w:rsid w:val="00B028BC"/>
    <w:rsid w:val="00B029C9"/>
    <w:rsid w:val="00B02A2D"/>
    <w:rsid w:val="00B02B99"/>
    <w:rsid w:val="00B02CF8"/>
    <w:rsid w:val="00B02E72"/>
    <w:rsid w:val="00B0339B"/>
    <w:rsid w:val="00B04B53"/>
    <w:rsid w:val="00B04FA5"/>
    <w:rsid w:val="00B05094"/>
    <w:rsid w:val="00B05102"/>
    <w:rsid w:val="00B05227"/>
    <w:rsid w:val="00B05261"/>
    <w:rsid w:val="00B054DE"/>
    <w:rsid w:val="00B058C6"/>
    <w:rsid w:val="00B06130"/>
    <w:rsid w:val="00B06B4C"/>
    <w:rsid w:val="00B06CDC"/>
    <w:rsid w:val="00B06F57"/>
    <w:rsid w:val="00B0706B"/>
    <w:rsid w:val="00B071DF"/>
    <w:rsid w:val="00B07504"/>
    <w:rsid w:val="00B078F6"/>
    <w:rsid w:val="00B079F9"/>
    <w:rsid w:val="00B07BBB"/>
    <w:rsid w:val="00B07D54"/>
    <w:rsid w:val="00B10263"/>
    <w:rsid w:val="00B102DD"/>
    <w:rsid w:val="00B10376"/>
    <w:rsid w:val="00B105D3"/>
    <w:rsid w:val="00B109EA"/>
    <w:rsid w:val="00B10B3C"/>
    <w:rsid w:val="00B10D36"/>
    <w:rsid w:val="00B10F72"/>
    <w:rsid w:val="00B10FA7"/>
    <w:rsid w:val="00B113BF"/>
    <w:rsid w:val="00B11485"/>
    <w:rsid w:val="00B11A26"/>
    <w:rsid w:val="00B11C26"/>
    <w:rsid w:val="00B11DEE"/>
    <w:rsid w:val="00B12661"/>
    <w:rsid w:val="00B1269A"/>
    <w:rsid w:val="00B1276F"/>
    <w:rsid w:val="00B12D23"/>
    <w:rsid w:val="00B131B1"/>
    <w:rsid w:val="00B1335F"/>
    <w:rsid w:val="00B1348E"/>
    <w:rsid w:val="00B13544"/>
    <w:rsid w:val="00B142AA"/>
    <w:rsid w:val="00B14A9B"/>
    <w:rsid w:val="00B14BD1"/>
    <w:rsid w:val="00B14BDB"/>
    <w:rsid w:val="00B14E4B"/>
    <w:rsid w:val="00B1527F"/>
    <w:rsid w:val="00B15884"/>
    <w:rsid w:val="00B15DCD"/>
    <w:rsid w:val="00B15F9A"/>
    <w:rsid w:val="00B165A0"/>
    <w:rsid w:val="00B16A34"/>
    <w:rsid w:val="00B17121"/>
    <w:rsid w:val="00B17635"/>
    <w:rsid w:val="00B179BA"/>
    <w:rsid w:val="00B17E13"/>
    <w:rsid w:val="00B17F59"/>
    <w:rsid w:val="00B2042B"/>
    <w:rsid w:val="00B2079A"/>
    <w:rsid w:val="00B2083E"/>
    <w:rsid w:val="00B20C58"/>
    <w:rsid w:val="00B20DF8"/>
    <w:rsid w:val="00B20EF8"/>
    <w:rsid w:val="00B213F2"/>
    <w:rsid w:val="00B2153C"/>
    <w:rsid w:val="00B217D6"/>
    <w:rsid w:val="00B21CB5"/>
    <w:rsid w:val="00B22221"/>
    <w:rsid w:val="00B2268C"/>
    <w:rsid w:val="00B22F84"/>
    <w:rsid w:val="00B236E2"/>
    <w:rsid w:val="00B23933"/>
    <w:rsid w:val="00B244BD"/>
    <w:rsid w:val="00B24787"/>
    <w:rsid w:val="00B2489D"/>
    <w:rsid w:val="00B24FAF"/>
    <w:rsid w:val="00B24FB0"/>
    <w:rsid w:val="00B25453"/>
    <w:rsid w:val="00B2572F"/>
    <w:rsid w:val="00B257DA"/>
    <w:rsid w:val="00B25C5E"/>
    <w:rsid w:val="00B25E56"/>
    <w:rsid w:val="00B25ED6"/>
    <w:rsid w:val="00B26968"/>
    <w:rsid w:val="00B26E48"/>
    <w:rsid w:val="00B273E5"/>
    <w:rsid w:val="00B274F7"/>
    <w:rsid w:val="00B27DA7"/>
    <w:rsid w:val="00B27E1D"/>
    <w:rsid w:val="00B3034B"/>
    <w:rsid w:val="00B30558"/>
    <w:rsid w:val="00B3057E"/>
    <w:rsid w:val="00B30730"/>
    <w:rsid w:val="00B31B9C"/>
    <w:rsid w:val="00B31CD6"/>
    <w:rsid w:val="00B3202A"/>
    <w:rsid w:val="00B3239B"/>
    <w:rsid w:val="00B33618"/>
    <w:rsid w:val="00B33653"/>
    <w:rsid w:val="00B33AA8"/>
    <w:rsid w:val="00B33C57"/>
    <w:rsid w:val="00B34205"/>
    <w:rsid w:val="00B344DA"/>
    <w:rsid w:val="00B34582"/>
    <w:rsid w:val="00B34753"/>
    <w:rsid w:val="00B347C2"/>
    <w:rsid w:val="00B34D58"/>
    <w:rsid w:val="00B34D6C"/>
    <w:rsid w:val="00B34DCA"/>
    <w:rsid w:val="00B35559"/>
    <w:rsid w:val="00B3559C"/>
    <w:rsid w:val="00B35857"/>
    <w:rsid w:val="00B35D7E"/>
    <w:rsid w:val="00B363F2"/>
    <w:rsid w:val="00B36678"/>
    <w:rsid w:val="00B36A96"/>
    <w:rsid w:val="00B36B03"/>
    <w:rsid w:val="00B36BF8"/>
    <w:rsid w:val="00B3725B"/>
    <w:rsid w:val="00B37432"/>
    <w:rsid w:val="00B37824"/>
    <w:rsid w:val="00B37849"/>
    <w:rsid w:val="00B40417"/>
    <w:rsid w:val="00B4041C"/>
    <w:rsid w:val="00B4056A"/>
    <w:rsid w:val="00B4068F"/>
    <w:rsid w:val="00B40E80"/>
    <w:rsid w:val="00B40E9F"/>
    <w:rsid w:val="00B4118A"/>
    <w:rsid w:val="00B4145D"/>
    <w:rsid w:val="00B41516"/>
    <w:rsid w:val="00B416C6"/>
    <w:rsid w:val="00B419CA"/>
    <w:rsid w:val="00B42C50"/>
    <w:rsid w:val="00B42D0F"/>
    <w:rsid w:val="00B42E5C"/>
    <w:rsid w:val="00B4346F"/>
    <w:rsid w:val="00B43485"/>
    <w:rsid w:val="00B43C84"/>
    <w:rsid w:val="00B44658"/>
    <w:rsid w:val="00B44896"/>
    <w:rsid w:val="00B44E1C"/>
    <w:rsid w:val="00B44FDB"/>
    <w:rsid w:val="00B45080"/>
    <w:rsid w:val="00B45711"/>
    <w:rsid w:val="00B458C5"/>
    <w:rsid w:val="00B466DA"/>
    <w:rsid w:val="00B46905"/>
    <w:rsid w:val="00B4696B"/>
    <w:rsid w:val="00B46A92"/>
    <w:rsid w:val="00B47113"/>
    <w:rsid w:val="00B4734A"/>
    <w:rsid w:val="00B47CC6"/>
    <w:rsid w:val="00B47F3F"/>
    <w:rsid w:val="00B50314"/>
    <w:rsid w:val="00B505B6"/>
    <w:rsid w:val="00B50C79"/>
    <w:rsid w:val="00B5109C"/>
    <w:rsid w:val="00B51514"/>
    <w:rsid w:val="00B51FC1"/>
    <w:rsid w:val="00B5200E"/>
    <w:rsid w:val="00B526F6"/>
    <w:rsid w:val="00B530B3"/>
    <w:rsid w:val="00B5333A"/>
    <w:rsid w:val="00B537FD"/>
    <w:rsid w:val="00B5384F"/>
    <w:rsid w:val="00B53C37"/>
    <w:rsid w:val="00B53CCF"/>
    <w:rsid w:val="00B543AE"/>
    <w:rsid w:val="00B54421"/>
    <w:rsid w:val="00B549FB"/>
    <w:rsid w:val="00B552E3"/>
    <w:rsid w:val="00B5544F"/>
    <w:rsid w:val="00B55553"/>
    <w:rsid w:val="00B55787"/>
    <w:rsid w:val="00B55C9A"/>
    <w:rsid w:val="00B55CFB"/>
    <w:rsid w:val="00B55E5D"/>
    <w:rsid w:val="00B564E7"/>
    <w:rsid w:val="00B56826"/>
    <w:rsid w:val="00B56DB3"/>
    <w:rsid w:val="00B56E71"/>
    <w:rsid w:val="00B56FF7"/>
    <w:rsid w:val="00B5766E"/>
    <w:rsid w:val="00B57749"/>
    <w:rsid w:val="00B577A8"/>
    <w:rsid w:val="00B577EA"/>
    <w:rsid w:val="00B577FF"/>
    <w:rsid w:val="00B57D58"/>
    <w:rsid w:val="00B57FF7"/>
    <w:rsid w:val="00B606DC"/>
    <w:rsid w:val="00B6099B"/>
    <w:rsid w:val="00B60A36"/>
    <w:rsid w:val="00B60A8B"/>
    <w:rsid w:val="00B60B74"/>
    <w:rsid w:val="00B61155"/>
    <w:rsid w:val="00B61C3C"/>
    <w:rsid w:val="00B6285D"/>
    <w:rsid w:val="00B6293C"/>
    <w:rsid w:val="00B62AC2"/>
    <w:rsid w:val="00B63371"/>
    <w:rsid w:val="00B63385"/>
    <w:rsid w:val="00B63EB9"/>
    <w:rsid w:val="00B64407"/>
    <w:rsid w:val="00B645F5"/>
    <w:rsid w:val="00B6514E"/>
    <w:rsid w:val="00B65169"/>
    <w:rsid w:val="00B65409"/>
    <w:rsid w:val="00B654EB"/>
    <w:rsid w:val="00B65540"/>
    <w:rsid w:val="00B65F18"/>
    <w:rsid w:val="00B667B0"/>
    <w:rsid w:val="00B66867"/>
    <w:rsid w:val="00B66994"/>
    <w:rsid w:val="00B66EF5"/>
    <w:rsid w:val="00B6715A"/>
    <w:rsid w:val="00B6726B"/>
    <w:rsid w:val="00B67761"/>
    <w:rsid w:val="00B6785D"/>
    <w:rsid w:val="00B67A14"/>
    <w:rsid w:val="00B67BFA"/>
    <w:rsid w:val="00B67D62"/>
    <w:rsid w:val="00B67DEE"/>
    <w:rsid w:val="00B67E27"/>
    <w:rsid w:val="00B703F6"/>
    <w:rsid w:val="00B704AA"/>
    <w:rsid w:val="00B70754"/>
    <w:rsid w:val="00B70757"/>
    <w:rsid w:val="00B7079D"/>
    <w:rsid w:val="00B707FE"/>
    <w:rsid w:val="00B70E7F"/>
    <w:rsid w:val="00B70EAE"/>
    <w:rsid w:val="00B710D8"/>
    <w:rsid w:val="00B71A1E"/>
    <w:rsid w:val="00B71AFB"/>
    <w:rsid w:val="00B71F3A"/>
    <w:rsid w:val="00B727ED"/>
    <w:rsid w:val="00B7292C"/>
    <w:rsid w:val="00B72C8B"/>
    <w:rsid w:val="00B73C97"/>
    <w:rsid w:val="00B74E5A"/>
    <w:rsid w:val="00B75A15"/>
    <w:rsid w:val="00B76129"/>
    <w:rsid w:val="00B761DB"/>
    <w:rsid w:val="00B76340"/>
    <w:rsid w:val="00B763BC"/>
    <w:rsid w:val="00B769D7"/>
    <w:rsid w:val="00B76A88"/>
    <w:rsid w:val="00B76B19"/>
    <w:rsid w:val="00B76CEC"/>
    <w:rsid w:val="00B809ED"/>
    <w:rsid w:val="00B80C43"/>
    <w:rsid w:val="00B80DF0"/>
    <w:rsid w:val="00B81141"/>
    <w:rsid w:val="00B815B2"/>
    <w:rsid w:val="00B81F24"/>
    <w:rsid w:val="00B821F8"/>
    <w:rsid w:val="00B82278"/>
    <w:rsid w:val="00B8264D"/>
    <w:rsid w:val="00B828F0"/>
    <w:rsid w:val="00B835A5"/>
    <w:rsid w:val="00B836F5"/>
    <w:rsid w:val="00B83811"/>
    <w:rsid w:val="00B83855"/>
    <w:rsid w:val="00B84CF8"/>
    <w:rsid w:val="00B84E54"/>
    <w:rsid w:val="00B85B4E"/>
    <w:rsid w:val="00B86126"/>
    <w:rsid w:val="00B865DB"/>
    <w:rsid w:val="00B867F4"/>
    <w:rsid w:val="00B868E2"/>
    <w:rsid w:val="00B8744D"/>
    <w:rsid w:val="00B874AE"/>
    <w:rsid w:val="00B87B6D"/>
    <w:rsid w:val="00B87E7C"/>
    <w:rsid w:val="00B87F76"/>
    <w:rsid w:val="00B900D5"/>
    <w:rsid w:val="00B908A3"/>
    <w:rsid w:val="00B90B39"/>
    <w:rsid w:val="00B90DEF"/>
    <w:rsid w:val="00B90DF3"/>
    <w:rsid w:val="00B912FB"/>
    <w:rsid w:val="00B9144F"/>
    <w:rsid w:val="00B91478"/>
    <w:rsid w:val="00B93221"/>
    <w:rsid w:val="00B93FF5"/>
    <w:rsid w:val="00B94552"/>
    <w:rsid w:val="00B94624"/>
    <w:rsid w:val="00B94786"/>
    <w:rsid w:val="00B947B7"/>
    <w:rsid w:val="00B95029"/>
    <w:rsid w:val="00B95189"/>
    <w:rsid w:val="00B9551C"/>
    <w:rsid w:val="00B955D9"/>
    <w:rsid w:val="00B957A5"/>
    <w:rsid w:val="00B95A7E"/>
    <w:rsid w:val="00B9607E"/>
    <w:rsid w:val="00B9695E"/>
    <w:rsid w:val="00B9709D"/>
    <w:rsid w:val="00B970A6"/>
    <w:rsid w:val="00B970C7"/>
    <w:rsid w:val="00B9773F"/>
    <w:rsid w:val="00B97DBF"/>
    <w:rsid w:val="00B97DE2"/>
    <w:rsid w:val="00BA0D64"/>
    <w:rsid w:val="00BA10EF"/>
    <w:rsid w:val="00BA1F69"/>
    <w:rsid w:val="00BA202C"/>
    <w:rsid w:val="00BA208A"/>
    <w:rsid w:val="00BA20B1"/>
    <w:rsid w:val="00BA258B"/>
    <w:rsid w:val="00BA2B9C"/>
    <w:rsid w:val="00BA2D0A"/>
    <w:rsid w:val="00BA3351"/>
    <w:rsid w:val="00BA44ED"/>
    <w:rsid w:val="00BA452A"/>
    <w:rsid w:val="00BA45B1"/>
    <w:rsid w:val="00BA4B72"/>
    <w:rsid w:val="00BA53A1"/>
    <w:rsid w:val="00BA5B53"/>
    <w:rsid w:val="00BA5F6E"/>
    <w:rsid w:val="00BA606B"/>
    <w:rsid w:val="00BA6349"/>
    <w:rsid w:val="00BA63B1"/>
    <w:rsid w:val="00BA641D"/>
    <w:rsid w:val="00BA6505"/>
    <w:rsid w:val="00BA66BA"/>
    <w:rsid w:val="00BA68A6"/>
    <w:rsid w:val="00BA6D05"/>
    <w:rsid w:val="00BA7136"/>
    <w:rsid w:val="00BA7631"/>
    <w:rsid w:val="00BA7715"/>
    <w:rsid w:val="00BA774F"/>
    <w:rsid w:val="00BA78B6"/>
    <w:rsid w:val="00BA79B5"/>
    <w:rsid w:val="00BA7DE9"/>
    <w:rsid w:val="00BB016A"/>
    <w:rsid w:val="00BB03B2"/>
    <w:rsid w:val="00BB0499"/>
    <w:rsid w:val="00BB05CE"/>
    <w:rsid w:val="00BB0840"/>
    <w:rsid w:val="00BB0C0D"/>
    <w:rsid w:val="00BB112D"/>
    <w:rsid w:val="00BB18AD"/>
    <w:rsid w:val="00BB20BA"/>
    <w:rsid w:val="00BB2193"/>
    <w:rsid w:val="00BB24DF"/>
    <w:rsid w:val="00BB26AD"/>
    <w:rsid w:val="00BB2930"/>
    <w:rsid w:val="00BB2EC7"/>
    <w:rsid w:val="00BB3D25"/>
    <w:rsid w:val="00BB3F38"/>
    <w:rsid w:val="00BB447D"/>
    <w:rsid w:val="00BB4692"/>
    <w:rsid w:val="00BB488D"/>
    <w:rsid w:val="00BB4C05"/>
    <w:rsid w:val="00BB4D45"/>
    <w:rsid w:val="00BB4EF1"/>
    <w:rsid w:val="00BB5320"/>
    <w:rsid w:val="00BB53CD"/>
    <w:rsid w:val="00BB53F9"/>
    <w:rsid w:val="00BB5743"/>
    <w:rsid w:val="00BB5B65"/>
    <w:rsid w:val="00BB5E6F"/>
    <w:rsid w:val="00BB5E96"/>
    <w:rsid w:val="00BB6D2B"/>
    <w:rsid w:val="00BB6F7A"/>
    <w:rsid w:val="00BB716E"/>
    <w:rsid w:val="00BB7613"/>
    <w:rsid w:val="00BB79BD"/>
    <w:rsid w:val="00BC0EA7"/>
    <w:rsid w:val="00BC10E6"/>
    <w:rsid w:val="00BC1220"/>
    <w:rsid w:val="00BC1250"/>
    <w:rsid w:val="00BC189D"/>
    <w:rsid w:val="00BC20B3"/>
    <w:rsid w:val="00BC2E2D"/>
    <w:rsid w:val="00BC2EA2"/>
    <w:rsid w:val="00BC3211"/>
    <w:rsid w:val="00BC3516"/>
    <w:rsid w:val="00BC364C"/>
    <w:rsid w:val="00BC3A16"/>
    <w:rsid w:val="00BC491B"/>
    <w:rsid w:val="00BC5321"/>
    <w:rsid w:val="00BC55A3"/>
    <w:rsid w:val="00BC57D6"/>
    <w:rsid w:val="00BC59B3"/>
    <w:rsid w:val="00BC5ECA"/>
    <w:rsid w:val="00BC666B"/>
    <w:rsid w:val="00BC68EC"/>
    <w:rsid w:val="00BC6918"/>
    <w:rsid w:val="00BC6A3B"/>
    <w:rsid w:val="00BC6DC2"/>
    <w:rsid w:val="00BC7208"/>
    <w:rsid w:val="00BD0A76"/>
    <w:rsid w:val="00BD0B48"/>
    <w:rsid w:val="00BD0C97"/>
    <w:rsid w:val="00BD0CA7"/>
    <w:rsid w:val="00BD1052"/>
    <w:rsid w:val="00BD1425"/>
    <w:rsid w:val="00BD15FD"/>
    <w:rsid w:val="00BD1643"/>
    <w:rsid w:val="00BD1DF0"/>
    <w:rsid w:val="00BD1E24"/>
    <w:rsid w:val="00BD271D"/>
    <w:rsid w:val="00BD2761"/>
    <w:rsid w:val="00BD2A0A"/>
    <w:rsid w:val="00BD2DEA"/>
    <w:rsid w:val="00BD3609"/>
    <w:rsid w:val="00BD3653"/>
    <w:rsid w:val="00BD3DA7"/>
    <w:rsid w:val="00BD3EE6"/>
    <w:rsid w:val="00BD41FD"/>
    <w:rsid w:val="00BD462E"/>
    <w:rsid w:val="00BD4A83"/>
    <w:rsid w:val="00BD4CE3"/>
    <w:rsid w:val="00BD4CE7"/>
    <w:rsid w:val="00BD5006"/>
    <w:rsid w:val="00BD55E2"/>
    <w:rsid w:val="00BD57F5"/>
    <w:rsid w:val="00BD59BD"/>
    <w:rsid w:val="00BD59C1"/>
    <w:rsid w:val="00BD5BEA"/>
    <w:rsid w:val="00BD5D0F"/>
    <w:rsid w:val="00BD674C"/>
    <w:rsid w:val="00BD6B5C"/>
    <w:rsid w:val="00BD6D8F"/>
    <w:rsid w:val="00BD7025"/>
    <w:rsid w:val="00BD7176"/>
    <w:rsid w:val="00BD75BA"/>
    <w:rsid w:val="00BD761A"/>
    <w:rsid w:val="00BD77C6"/>
    <w:rsid w:val="00BD7863"/>
    <w:rsid w:val="00BD7A45"/>
    <w:rsid w:val="00BD7A71"/>
    <w:rsid w:val="00BD7B98"/>
    <w:rsid w:val="00BD7C68"/>
    <w:rsid w:val="00BD7EDB"/>
    <w:rsid w:val="00BE034B"/>
    <w:rsid w:val="00BE061D"/>
    <w:rsid w:val="00BE08AA"/>
    <w:rsid w:val="00BE0CC9"/>
    <w:rsid w:val="00BE0EAD"/>
    <w:rsid w:val="00BE15B2"/>
    <w:rsid w:val="00BE1CBC"/>
    <w:rsid w:val="00BE1D6A"/>
    <w:rsid w:val="00BE1F49"/>
    <w:rsid w:val="00BE27F9"/>
    <w:rsid w:val="00BE291C"/>
    <w:rsid w:val="00BE29DC"/>
    <w:rsid w:val="00BE358D"/>
    <w:rsid w:val="00BE400C"/>
    <w:rsid w:val="00BE4254"/>
    <w:rsid w:val="00BE4F69"/>
    <w:rsid w:val="00BE50DB"/>
    <w:rsid w:val="00BE5132"/>
    <w:rsid w:val="00BE5136"/>
    <w:rsid w:val="00BE5158"/>
    <w:rsid w:val="00BE5393"/>
    <w:rsid w:val="00BE578C"/>
    <w:rsid w:val="00BE57A7"/>
    <w:rsid w:val="00BE5C7D"/>
    <w:rsid w:val="00BE62E9"/>
    <w:rsid w:val="00BE6BD1"/>
    <w:rsid w:val="00BE70D7"/>
    <w:rsid w:val="00BE78C5"/>
    <w:rsid w:val="00BF014E"/>
    <w:rsid w:val="00BF07E6"/>
    <w:rsid w:val="00BF1393"/>
    <w:rsid w:val="00BF1CFD"/>
    <w:rsid w:val="00BF1EA0"/>
    <w:rsid w:val="00BF2170"/>
    <w:rsid w:val="00BF254B"/>
    <w:rsid w:val="00BF31E5"/>
    <w:rsid w:val="00BF383F"/>
    <w:rsid w:val="00BF393C"/>
    <w:rsid w:val="00BF3A71"/>
    <w:rsid w:val="00BF4341"/>
    <w:rsid w:val="00BF4797"/>
    <w:rsid w:val="00BF486D"/>
    <w:rsid w:val="00BF4A4D"/>
    <w:rsid w:val="00BF4B12"/>
    <w:rsid w:val="00BF60E7"/>
    <w:rsid w:val="00BF65EA"/>
    <w:rsid w:val="00BF6724"/>
    <w:rsid w:val="00BF697A"/>
    <w:rsid w:val="00BF6ADB"/>
    <w:rsid w:val="00BF6D5A"/>
    <w:rsid w:val="00BF6E2E"/>
    <w:rsid w:val="00BF78A0"/>
    <w:rsid w:val="00BF7BC4"/>
    <w:rsid w:val="00C01EB9"/>
    <w:rsid w:val="00C02DA5"/>
    <w:rsid w:val="00C02F96"/>
    <w:rsid w:val="00C0303B"/>
    <w:rsid w:val="00C030C4"/>
    <w:rsid w:val="00C03776"/>
    <w:rsid w:val="00C03E66"/>
    <w:rsid w:val="00C04138"/>
    <w:rsid w:val="00C04320"/>
    <w:rsid w:val="00C046A1"/>
    <w:rsid w:val="00C04845"/>
    <w:rsid w:val="00C04B9F"/>
    <w:rsid w:val="00C051EF"/>
    <w:rsid w:val="00C0523C"/>
    <w:rsid w:val="00C07129"/>
    <w:rsid w:val="00C074D9"/>
    <w:rsid w:val="00C0753E"/>
    <w:rsid w:val="00C077B4"/>
    <w:rsid w:val="00C078B4"/>
    <w:rsid w:val="00C07B11"/>
    <w:rsid w:val="00C07C10"/>
    <w:rsid w:val="00C1007B"/>
    <w:rsid w:val="00C10287"/>
    <w:rsid w:val="00C10897"/>
    <w:rsid w:val="00C10A80"/>
    <w:rsid w:val="00C10A86"/>
    <w:rsid w:val="00C10F1C"/>
    <w:rsid w:val="00C11C8D"/>
    <w:rsid w:val="00C12078"/>
    <w:rsid w:val="00C120E9"/>
    <w:rsid w:val="00C12199"/>
    <w:rsid w:val="00C125FA"/>
    <w:rsid w:val="00C12BED"/>
    <w:rsid w:val="00C12C3F"/>
    <w:rsid w:val="00C13585"/>
    <w:rsid w:val="00C137DA"/>
    <w:rsid w:val="00C13821"/>
    <w:rsid w:val="00C13A14"/>
    <w:rsid w:val="00C13BBA"/>
    <w:rsid w:val="00C13E76"/>
    <w:rsid w:val="00C14051"/>
    <w:rsid w:val="00C144A1"/>
    <w:rsid w:val="00C14808"/>
    <w:rsid w:val="00C14908"/>
    <w:rsid w:val="00C14DC6"/>
    <w:rsid w:val="00C15070"/>
    <w:rsid w:val="00C15667"/>
    <w:rsid w:val="00C159C2"/>
    <w:rsid w:val="00C15C49"/>
    <w:rsid w:val="00C15EAC"/>
    <w:rsid w:val="00C15F73"/>
    <w:rsid w:val="00C16889"/>
    <w:rsid w:val="00C20163"/>
    <w:rsid w:val="00C2037B"/>
    <w:rsid w:val="00C2069C"/>
    <w:rsid w:val="00C20A4C"/>
    <w:rsid w:val="00C20CB3"/>
    <w:rsid w:val="00C20FC2"/>
    <w:rsid w:val="00C217CB"/>
    <w:rsid w:val="00C2181D"/>
    <w:rsid w:val="00C21A19"/>
    <w:rsid w:val="00C21F30"/>
    <w:rsid w:val="00C2205A"/>
    <w:rsid w:val="00C22935"/>
    <w:rsid w:val="00C22B0B"/>
    <w:rsid w:val="00C22C0D"/>
    <w:rsid w:val="00C22FF7"/>
    <w:rsid w:val="00C23844"/>
    <w:rsid w:val="00C23C7A"/>
    <w:rsid w:val="00C23DC9"/>
    <w:rsid w:val="00C23EDF"/>
    <w:rsid w:val="00C2442B"/>
    <w:rsid w:val="00C24D6C"/>
    <w:rsid w:val="00C25009"/>
    <w:rsid w:val="00C25205"/>
    <w:rsid w:val="00C25670"/>
    <w:rsid w:val="00C25773"/>
    <w:rsid w:val="00C25915"/>
    <w:rsid w:val="00C25A05"/>
    <w:rsid w:val="00C25F93"/>
    <w:rsid w:val="00C26760"/>
    <w:rsid w:val="00C26945"/>
    <w:rsid w:val="00C26B34"/>
    <w:rsid w:val="00C26C7F"/>
    <w:rsid w:val="00C26C9C"/>
    <w:rsid w:val="00C26E5B"/>
    <w:rsid w:val="00C27064"/>
    <w:rsid w:val="00C27A10"/>
    <w:rsid w:val="00C27A2F"/>
    <w:rsid w:val="00C27AC0"/>
    <w:rsid w:val="00C27C3B"/>
    <w:rsid w:val="00C27DBA"/>
    <w:rsid w:val="00C27F75"/>
    <w:rsid w:val="00C27F76"/>
    <w:rsid w:val="00C27F82"/>
    <w:rsid w:val="00C27F83"/>
    <w:rsid w:val="00C30193"/>
    <w:rsid w:val="00C3055E"/>
    <w:rsid w:val="00C30655"/>
    <w:rsid w:val="00C30DA4"/>
    <w:rsid w:val="00C30FB1"/>
    <w:rsid w:val="00C31067"/>
    <w:rsid w:val="00C3110C"/>
    <w:rsid w:val="00C313CB"/>
    <w:rsid w:val="00C31B4F"/>
    <w:rsid w:val="00C320EE"/>
    <w:rsid w:val="00C33221"/>
    <w:rsid w:val="00C3329F"/>
    <w:rsid w:val="00C334EC"/>
    <w:rsid w:val="00C33B79"/>
    <w:rsid w:val="00C33D7F"/>
    <w:rsid w:val="00C33E25"/>
    <w:rsid w:val="00C341E4"/>
    <w:rsid w:val="00C34334"/>
    <w:rsid w:val="00C34BA3"/>
    <w:rsid w:val="00C35470"/>
    <w:rsid w:val="00C35F65"/>
    <w:rsid w:val="00C36087"/>
    <w:rsid w:val="00C36513"/>
    <w:rsid w:val="00C365BE"/>
    <w:rsid w:val="00C36E65"/>
    <w:rsid w:val="00C3788C"/>
    <w:rsid w:val="00C400FB"/>
    <w:rsid w:val="00C40CF2"/>
    <w:rsid w:val="00C4111A"/>
    <w:rsid w:val="00C41124"/>
    <w:rsid w:val="00C41688"/>
    <w:rsid w:val="00C41954"/>
    <w:rsid w:val="00C41A87"/>
    <w:rsid w:val="00C427AF"/>
    <w:rsid w:val="00C427CE"/>
    <w:rsid w:val="00C4289D"/>
    <w:rsid w:val="00C42943"/>
    <w:rsid w:val="00C4337B"/>
    <w:rsid w:val="00C43536"/>
    <w:rsid w:val="00C43726"/>
    <w:rsid w:val="00C43A44"/>
    <w:rsid w:val="00C43B98"/>
    <w:rsid w:val="00C44046"/>
    <w:rsid w:val="00C441B9"/>
    <w:rsid w:val="00C44719"/>
    <w:rsid w:val="00C4473F"/>
    <w:rsid w:val="00C44A9B"/>
    <w:rsid w:val="00C44BF7"/>
    <w:rsid w:val="00C44D76"/>
    <w:rsid w:val="00C4505B"/>
    <w:rsid w:val="00C455B8"/>
    <w:rsid w:val="00C45762"/>
    <w:rsid w:val="00C4589D"/>
    <w:rsid w:val="00C45D83"/>
    <w:rsid w:val="00C461D2"/>
    <w:rsid w:val="00C46235"/>
    <w:rsid w:val="00C46874"/>
    <w:rsid w:val="00C4690E"/>
    <w:rsid w:val="00C46EDD"/>
    <w:rsid w:val="00C471ED"/>
    <w:rsid w:val="00C47438"/>
    <w:rsid w:val="00C4779C"/>
    <w:rsid w:val="00C47B4D"/>
    <w:rsid w:val="00C47D00"/>
    <w:rsid w:val="00C47D5C"/>
    <w:rsid w:val="00C47F43"/>
    <w:rsid w:val="00C50108"/>
    <w:rsid w:val="00C50E40"/>
    <w:rsid w:val="00C5120C"/>
    <w:rsid w:val="00C51610"/>
    <w:rsid w:val="00C51BBF"/>
    <w:rsid w:val="00C51BC8"/>
    <w:rsid w:val="00C51BFF"/>
    <w:rsid w:val="00C51E37"/>
    <w:rsid w:val="00C51F6A"/>
    <w:rsid w:val="00C5211B"/>
    <w:rsid w:val="00C5248F"/>
    <w:rsid w:val="00C529DD"/>
    <w:rsid w:val="00C52DCD"/>
    <w:rsid w:val="00C53422"/>
    <w:rsid w:val="00C537C4"/>
    <w:rsid w:val="00C53EA6"/>
    <w:rsid w:val="00C54757"/>
    <w:rsid w:val="00C54D1E"/>
    <w:rsid w:val="00C54DFD"/>
    <w:rsid w:val="00C5516A"/>
    <w:rsid w:val="00C557D1"/>
    <w:rsid w:val="00C558AB"/>
    <w:rsid w:val="00C55AC6"/>
    <w:rsid w:val="00C55B40"/>
    <w:rsid w:val="00C55CF3"/>
    <w:rsid w:val="00C560BC"/>
    <w:rsid w:val="00C56224"/>
    <w:rsid w:val="00C563B7"/>
    <w:rsid w:val="00C5692C"/>
    <w:rsid w:val="00C56FB5"/>
    <w:rsid w:val="00C57680"/>
    <w:rsid w:val="00C57790"/>
    <w:rsid w:val="00C57857"/>
    <w:rsid w:val="00C57A19"/>
    <w:rsid w:val="00C57AB0"/>
    <w:rsid w:val="00C57C7F"/>
    <w:rsid w:val="00C57D74"/>
    <w:rsid w:val="00C57E30"/>
    <w:rsid w:val="00C60128"/>
    <w:rsid w:val="00C60E5A"/>
    <w:rsid w:val="00C60ED4"/>
    <w:rsid w:val="00C61FDC"/>
    <w:rsid w:val="00C6247C"/>
    <w:rsid w:val="00C62593"/>
    <w:rsid w:val="00C628FD"/>
    <w:rsid w:val="00C62919"/>
    <w:rsid w:val="00C62ED2"/>
    <w:rsid w:val="00C63309"/>
    <w:rsid w:val="00C63F77"/>
    <w:rsid w:val="00C64110"/>
    <w:rsid w:val="00C64200"/>
    <w:rsid w:val="00C64E12"/>
    <w:rsid w:val="00C64F8B"/>
    <w:rsid w:val="00C6519C"/>
    <w:rsid w:val="00C6564A"/>
    <w:rsid w:val="00C6572C"/>
    <w:rsid w:val="00C659E3"/>
    <w:rsid w:val="00C65BB5"/>
    <w:rsid w:val="00C66B30"/>
    <w:rsid w:val="00C66DAE"/>
    <w:rsid w:val="00C66F88"/>
    <w:rsid w:val="00C6700A"/>
    <w:rsid w:val="00C6706B"/>
    <w:rsid w:val="00C672C6"/>
    <w:rsid w:val="00C674CB"/>
    <w:rsid w:val="00C6799A"/>
    <w:rsid w:val="00C67AC4"/>
    <w:rsid w:val="00C67CA4"/>
    <w:rsid w:val="00C708F7"/>
    <w:rsid w:val="00C70CFF"/>
    <w:rsid w:val="00C7100E"/>
    <w:rsid w:val="00C71531"/>
    <w:rsid w:val="00C7179B"/>
    <w:rsid w:val="00C7191A"/>
    <w:rsid w:val="00C71954"/>
    <w:rsid w:val="00C71A6A"/>
    <w:rsid w:val="00C71E7E"/>
    <w:rsid w:val="00C71F2A"/>
    <w:rsid w:val="00C72274"/>
    <w:rsid w:val="00C724D8"/>
    <w:rsid w:val="00C72A86"/>
    <w:rsid w:val="00C74092"/>
    <w:rsid w:val="00C7417D"/>
    <w:rsid w:val="00C74286"/>
    <w:rsid w:val="00C74608"/>
    <w:rsid w:val="00C748BE"/>
    <w:rsid w:val="00C74A1C"/>
    <w:rsid w:val="00C74E7D"/>
    <w:rsid w:val="00C75141"/>
    <w:rsid w:val="00C7528A"/>
    <w:rsid w:val="00C753BE"/>
    <w:rsid w:val="00C753CD"/>
    <w:rsid w:val="00C755BF"/>
    <w:rsid w:val="00C75655"/>
    <w:rsid w:val="00C75D4E"/>
    <w:rsid w:val="00C75F07"/>
    <w:rsid w:val="00C76026"/>
    <w:rsid w:val="00C761FB"/>
    <w:rsid w:val="00C7672B"/>
    <w:rsid w:val="00C7691A"/>
    <w:rsid w:val="00C76AF3"/>
    <w:rsid w:val="00C76BE0"/>
    <w:rsid w:val="00C76E2F"/>
    <w:rsid w:val="00C76E49"/>
    <w:rsid w:val="00C76E57"/>
    <w:rsid w:val="00C76EFC"/>
    <w:rsid w:val="00C771F5"/>
    <w:rsid w:val="00C77501"/>
    <w:rsid w:val="00C77A1F"/>
    <w:rsid w:val="00C8021F"/>
    <w:rsid w:val="00C80CA5"/>
    <w:rsid w:val="00C819B7"/>
    <w:rsid w:val="00C81B25"/>
    <w:rsid w:val="00C81B5E"/>
    <w:rsid w:val="00C81C5B"/>
    <w:rsid w:val="00C81DE1"/>
    <w:rsid w:val="00C81EE8"/>
    <w:rsid w:val="00C82414"/>
    <w:rsid w:val="00C8255A"/>
    <w:rsid w:val="00C82562"/>
    <w:rsid w:val="00C8277C"/>
    <w:rsid w:val="00C82819"/>
    <w:rsid w:val="00C82D00"/>
    <w:rsid w:val="00C82FAF"/>
    <w:rsid w:val="00C83083"/>
    <w:rsid w:val="00C830DF"/>
    <w:rsid w:val="00C837C3"/>
    <w:rsid w:val="00C83EF4"/>
    <w:rsid w:val="00C84497"/>
    <w:rsid w:val="00C84768"/>
    <w:rsid w:val="00C85492"/>
    <w:rsid w:val="00C854A6"/>
    <w:rsid w:val="00C85651"/>
    <w:rsid w:val="00C85F17"/>
    <w:rsid w:val="00C85F76"/>
    <w:rsid w:val="00C868F6"/>
    <w:rsid w:val="00C86953"/>
    <w:rsid w:val="00C869F3"/>
    <w:rsid w:val="00C86A40"/>
    <w:rsid w:val="00C86ACE"/>
    <w:rsid w:val="00C86B48"/>
    <w:rsid w:val="00C86B7A"/>
    <w:rsid w:val="00C86B8A"/>
    <w:rsid w:val="00C87F6C"/>
    <w:rsid w:val="00C9039E"/>
    <w:rsid w:val="00C90BCA"/>
    <w:rsid w:val="00C90D91"/>
    <w:rsid w:val="00C9137C"/>
    <w:rsid w:val="00C914E0"/>
    <w:rsid w:val="00C91644"/>
    <w:rsid w:val="00C916E9"/>
    <w:rsid w:val="00C917B7"/>
    <w:rsid w:val="00C91F44"/>
    <w:rsid w:val="00C91FE4"/>
    <w:rsid w:val="00C924BA"/>
    <w:rsid w:val="00C926EC"/>
    <w:rsid w:val="00C92A17"/>
    <w:rsid w:val="00C92C23"/>
    <w:rsid w:val="00C930D3"/>
    <w:rsid w:val="00C93556"/>
    <w:rsid w:val="00C9368B"/>
    <w:rsid w:val="00C93703"/>
    <w:rsid w:val="00C93B26"/>
    <w:rsid w:val="00C93F15"/>
    <w:rsid w:val="00C94F85"/>
    <w:rsid w:val="00C9506A"/>
    <w:rsid w:val="00C95590"/>
    <w:rsid w:val="00C95698"/>
    <w:rsid w:val="00C9663B"/>
    <w:rsid w:val="00C96D64"/>
    <w:rsid w:val="00C9712A"/>
    <w:rsid w:val="00C973E1"/>
    <w:rsid w:val="00C97F72"/>
    <w:rsid w:val="00CA1356"/>
    <w:rsid w:val="00CA157E"/>
    <w:rsid w:val="00CA2144"/>
    <w:rsid w:val="00CA267F"/>
    <w:rsid w:val="00CA269E"/>
    <w:rsid w:val="00CA2807"/>
    <w:rsid w:val="00CA2953"/>
    <w:rsid w:val="00CA2A39"/>
    <w:rsid w:val="00CA2A52"/>
    <w:rsid w:val="00CA2D50"/>
    <w:rsid w:val="00CA2E99"/>
    <w:rsid w:val="00CA3290"/>
    <w:rsid w:val="00CA348A"/>
    <w:rsid w:val="00CA34D2"/>
    <w:rsid w:val="00CA35C7"/>
    <w:rsid w:val="00CA3669"/>
    <w:rsid w:val="00CA382D"/>
    <w:rsid w:val="00CA435B"/>
    <w:rsid w:val="00CA435D"/>
    <w:rsid w:val="00CA43A5"/>
    <w:rsid w:val="00CA44FF"/>
    <w:rsid w:val="00CA4B46"/>
    <w:rsid w:val="00CA4EFA"/>
    <w:rsid w:val="00CA515E"/>
    <w:rsid w:val="00CA5591"/>
    <w:rsid w:val="00CA5AB3"/>
    <w:rsid w:val="00CA5CC9"/>
    <w:rsid w:val="00CA5F25"/>
    <w:rsid w:val="00CA5FDE"/>
    <w:rsid w:val="00CA64B6"/>
    <w:rsid w:val="00CA65BC"/>
    <w:rsid w:val="00CA6DB1"/>
    <w:rsid w:val="00CA6E89"/>
    <w:rsid w:val="00CA7063"/>
    <w:rsid w:val="00CA7240"/>
    <w:rsid w:val="00CA7C0B"/>
    <w:rsid w:val="00CA7F9F"/>
    <w:rsid w:val="00CA7FE7"/>
    <w:rsid w:val="00CB0535"/>
    <w:rsid w:val="00CB09D0"/>
    <w:rsid w:val="00CB0C94"/>
    <w:rsid w:val="00CB1041"/>
    <w:rsid w:val="00CB14EB"/>
    <w:rsid w:val="00CB15D2"/>
    <w:rsid w:val="00CB170A"/>
    <w:rsid w:val="00CB18EB"/>
    <w:rsid w:val="00CB18FC"/>
    <w:rsid w:val="00CB1DCF"/>
    <w:rsid w:val="00CB1F3C"/>
    <w:rsid w:val="00CB2039"/>
    <w:rsid w:val="00CB217B"/>
    <w:rsid w:val="00CB244C"/>
    <w:rsid w:val="00CB27E5"/>
    <w:rsid w:val="00CB28AA"/>
    <w:rsid w:val="00CB2EB9"/>
    <w:rsid w:val="00CB45B6"/>
    <w:rsid w:val="00CB4616"/>
    <w:rsid w:val="00CB4F30"/>
    <w:rsid w:val="00CB529C"/>
    <w:rsid w:val="00CB56AB"/>
    <w:rsid w:val="00CB57F8"/>
    <w:rsid w:val="00CB5C32"/>
    <w:rsid w:val="00CB5C5E"/>
    <w:rsid w:val="00CB5F88"/>
    <w:rsid w:val="00CB65BF"/>
    <w:rsid w:val="00CB678B"/>
    <w:rsid w:val="00CB6B9A"/>
    <w:rsid w:val="00CB6C39"/>
    <w:rsid w:val="00CB6DDB"/>
    <w:rsid w:val="00CB6E2B"/>
    <w:rsid w:val="00CB6FF7"/>
    <w:rsid w:val="00CB70C2"/>
    <w:rsid w:val="00CB7302"/>
    <w:rsid w:val="00CB7371"/>
    <w:rsid w:val="00CB776F"/>
    <w:rsid w:val="00CB792D"/>
    <w:rsid w:val="00CB7B64"/>
    <w:rsid w:val="00CC05C7"/>
    <w:rsid w:val="00CC086F"/>
    <w:rsid w:val="00CC0C4B"/>
    <w:rsid w:val="00CC0CC3"/>
    <w:rsid w:val="00CC13CF"/>
    <w:rsid w:val="00CC1D86"/>
    <w:rsid w:val="00CC1E9F"/>
    <w:rsid w:val="00CC2028"/>
    <w:rsid w:val="00CC21F5"/>
    <w:rsid w:val="00CC28CE"/>
    <w:rsid w:val="00CC36A5"/>
    <w:rsid w:val="00CC396E"/>
    <w:rsid w:val="00CC39DC"/>
    <w:rsid w:val="00CC3AB6"/>
    <w:rsid w:val="00CC4551"/>
    <w:rsid w:val="00CC45EC"/>
    <w:rsid w:val="00CC46A4"/>
    <w:rsid w:val="00CC5684"/>
    <w:rsid w:val="00CC5896"/>
    <w:rsid w:val="00CC5ADD"/>
    <w:rsid w:val="00CC5AFC"/>
    <w:rsid w:val="00CC5C86"/>
    <w:rsid w:val="00CC6417"/>
    <w:rsid w:val="00CC6453"/>
    <w:rsid w:val="00CC6F89"/>
    <w:rsid w:val="00CC7829"/>
    <w:rsid w:val="00CC7842"/>
    <w:rsid w:val="00CC7BD4"/>
    <w:rsid w:val="00CC7F6E"/>
    <w:rsid w:val="00CD045F"/>
    <w:rsid w:val="00CD0C56"/>
    <w:rsid w:val="00CD12FE"/>
    <w:rsid w:val="00CD14BE"/>
    <w:rsid w:val="00CD163A"/>
    <w:rsid w:val="00CD17C6"/>
    <w:rsid w:val="00CD1D31"/>
    <w:rsid w:val="00CD1EAB"/>
    <w:rsid w:val="00CD2A09"/>
    <w:rsid w:val="00CD2B54"/>
    <w:rsid w:val="00CD2D39"/>
    <w:rsid w:val="00CD3113"/>
    <w:rsid w:val="00CD3927"/>
    <w:rsid w:val="00CD3A9D"/>
    <w:rsid w:val="00CD4158"/>
    <w:rsid w:val="00CD45B9"/>
    <w:rsid w:val="00CD498E"/>
    <w:rsid w:val="00CD50AF"/>
    <w:rsid w:val="00CD521D"/>
    <w:rsid w:val="00CD538E"/>
    <w:rsid w:val="00CD5988"/>
    <w:rsid w:val="00CD5A0D"/>
    <w:rsid w:val="00CD613D"/>
    <w:rsid w:val="00CD6379"/>
    <w:rsid w:val="00CD699B"/>
    <w:rsid w:val="00CD6A2B"/>
    <w:rsid w:val="00CD6C9C"/>
    <w:rsid w:val="00CD7032"/>
    <w:rsid w:val="00CD7887"/>
    <w:rsid w:val="00CD7ECC"/>
    <w:rsid w:val="00CD7F9A"/>
    <w:rsid w:val="00CE00B9"/>
    <w:rsid w:val="00CE02FA"/>
    <w:rsid w:val="00CE042C"/>
    <w:rsid w:val="00CE0483"/>
    <w:rsid w:val="00CE0C35"/>
    <w:rsid w:val="00CE10F2"/>
    <w:rsid w:val="00CE1DFF"/>
    <w:rsid w:val="00CE2078"/>
    <w:rsid w:val="00CE20F3"/>
    <w:rsid w:val="00CE241A"/>
    <w:rsid w:val="00CE2717"/>
    <w:rsid w:val="00CE3603"/>
    <w:rsid w:val="00CE3810"/>
    <w:rsid w:val="00CE38A0"/>
    <w:rsid w:val="00CE3A1B"/>
    <w:rsid w:val="00CE3B64"/>
    <w:rsid w:val="00CE44B9"/>
    <w:rsid w:val="00CE49D1"/>
    <w:rsid w:val="00CE4F4D"/>
    <w:rsid w:val="00CE52B4"/>
    <w:rsid w:val="00CE59BB"/>
    <w:rsid w:val="00CE5A42"/>
    <w:rsid w:val="00CE5DCD"/>
    <w:rsid w:val="00CE6875"/>
    <w:rsid w:val="00CE693F"/>
    <w:rsid w:val="00CE6A22"/>
    <w:rsid w:val="00CE6CBC"/>
    <w:rsid w:val="00CE6E0B"/>
    <w:rsid w:val="00CE7009"/>
    <w:rsid w:val="00CE701C"/>
    <w:rsid w:val="00CE7262"/>
    <w:rsid w:val="00CE7599"/>
    <w:rsid w:val="00CE7AC7"/>
    <w:rsid w:val="00CE7B2A"/>
    <w:rsid w:val="00CF04EC"/>
    <w:rsid w:val="00CF0A6F"/>
    <w:rsid w:val="00CF0F99"/>
    <w:rsid w:val="00CF0FBE"/>
    <w:rsid w:val="00CF1528"/>
    <w:rsid w:val="00CF17FD"/>
    <w:rsid w:val="00CF1AA5"/>
    <w:rsid w:val="00CF2095"/>
    <w:rsid w:val="00CF2597"/>
    <w:rsid w:val="00CF28BA"/>
    <w:rsid w:val="00CF2A9C"/>
    <w:rsid w:val="00CF2C3A"/>
    <w:rsid w:val="00CF3046"/>
    <w:rsid w:val="00CF362E"/>
    <w:rsid w:val="00CF3C6A"/>
    <w:rsid w:val="00CF414A"/>
    <w:rsid w:val="00CF4552"/>
    <w:rsid w:val="00CF47E1"/>
    <w:rsid w:val="00CF4F5E"/>
    <w:rsid w:val="00CF4FF0"/>
    <w:rsid w:val="00CF57B0"/>
    <w:rsid w:val="00CF5B47"/>
    <w:rsid w:val="00CF5D3A"/>
    <w:rsid w:val="00CF607B"/>
    <w:rsid w:val="00CF6368"/>
    <w:rsid w:val="00CF66AA"/>
    <w:rsid w:val="00CF6869"/>
    <w:rsid w:val="00CF6AF0"/>
    <w:rsid w:val="00CF6D28"/>
    <w:rsid w:val="00CF7154"/>
    <w:rsid w:val="00CF7360"/>
    <w:rsid w:val="00CF797A"/>
    <w:rsid w:val="00CF7D2A"/>
    <w:rsid w:val="00CF7FB2"/>
    <w:rsid w:val="00D00B76"/>
    <w:rsid w:val="00D00C6D"/>
    <w:rsid w:val="00D0111A"/>
    <w:rsid w:val="00D013CF"/>
    <w:rsid w:val="00D014AB"/>
    <w:rsid w:val="00D01FBC"/>
    <w:rsid w:val="00D020B8"/>
    <w:rsid w:val="00D032BC"/>
    <w:rsid w:val="00D03423"/>
    <w:rsid w:val="00D0356A"/>
    <w:rsid w:val="00D04FDD"/>
    <w:rsid w:val="00D0675D"/>
    <w:rsid w:val="00D06F3B"/>
    <w:rsid w:val="00D076EF"/>
    <w:rsid w:val="00D07E12"/>
    <w:rsid w:val="00D1017C"/>
    <w:rsid w:val="00D104F9"/>
    <w:rsid w:val="00D10A33"/>
    <w:rsid w:val="00D10CC6"/>
    <w:rsid w:val="00D10D62"/>
    <w:rsid w:val="00D10EEF"/>
    <w:rsid w:val="00D10F99"/>
    <w:rsid w:val="00D11050"/>
    <w:rsid w:val="00D11216"/>
    <w:rsid w:val="00D118E6"/>
    <w:rsid w:val="00D123E9"/>
    <w:rsid w:val="00D1270A"/>
    <w:rsid w:val="00D12A6E"/>
    <w:rsid w:val="00D12DD6"/>
    <w:rsid w:val="00D1385B"/>
    <w:rsid w:val="00D139E7"/>
    <w:rsid w:val="00D13A13"/>
    <w:rsid w:val="00D14323"/>
    <w:rsid w:val="00D1457A"/>
    <w:rsid w:val="00D14763"/>
    <w:rsid w:val="00D14A12"/>
    <w:rsid w:val="00D14E10"/>
    <w:rsid w:val="00D15088"/>
    <w:rsid w:val="00D1581D"/>
    <w:rsid w:val="00D15A20"/>
    <w:rsid w:val="00D15B6D"/>
    <w:rsid w:val="00D15C8A"/>
    <w:rsid w:val="00D15D9F"/>
    <w:rsid w:val="00D16008"/>
    <w:rsid w:val="00D16148"/>
    <w:rsid w:val="00D166D4"/>
    <w:rsid w:val="00D16AC3"/>
    <w:rsid w:val="00D1715F"/>
    <w:rsid w:val="00D20522"/>
    <w:rsid w:val="00D207DC"/>
    <w:rsid w:val="00D2099C"/>
    <w:rsid w:val="00D20D57"/>
    <w:rsid w:val="00D21631"/>
    <w:rsid w:val="00D21856"/>
    <w:rsid w:val="00D22631"/>
    <w:rsid w:val="00D22C8B"/>
    <w:rsid w:val="00D232E0"/>
    <w:rsid w:val="00D244B9"/>
    <w:rsid w:val="00D24991"/>
    <w:rsid w:val="00D24B8F"/>
    <w:rsid w:val="00D25093"/>
    <w:rsid w:val="00D2555A"/>
    <w:rsid w:val="00D25B17"/>
    <w:rsid w:val="00D25B87"/>
    <w:rsid w:val="00D2656C"/>
    <w:rsid w:val="00D2714A"/>
    <w:rsid w:val="00D27F29"/>
    <w:rsid w:val="00D3020D"/>
    <w:rsid w:val="00D30254"/>
    <w:rsid w:val="00D3039D"/>
    <w:rsid w:val="00D30ED2"/>
    <w:rsid w:val="00D31641"/>
    <w:rsid w:val="00D31EAE"/>
    <w:rsid w:val="00D3204A"/>
    <w:rsid w:val="00D3221D"/>
    <w:rsid w:val="00D32572"/>
    <w:rsid w:val="00D32931"/>
    <w:rsid w:val="00D32A20"/>
    <w:rsid w:val="00D33313"/>
    <w:rsid w:val="00D335CB"/>
    <w:rsid w:val="00D335E7"/>
    <w:rsid w:val="00D33768"/>
    <w:rsid w:val="00D337BC"/>
    <w:rsid w:val="00D337CE"/>
    <w:rsid w:val="00D338CA"/>
    <w:rsid w:val="00D33AF7"/>
    <w:rsid w:val="00D33B0F"/>
    <w:rsid w:val="00D33C5C"/>
    <w:rsid w:val="00D33D78"/>
    <w:rsid w:val="00D33D87"/>
    <w:rsid w:val="00D3420B"/>
    <w:rsid w:val="00D34244"/>
    <w:rsid w:val="00D3433C"/>
    <w:rsid w:val="00D34943"/>
    <w:rsid w:val="00D34C7A"/>
    <w:rsid w:val="00D34F4A"/>
    <w:rsid w:val="00D35077"/>
    <w:rsid w:val="00D350C2"/>
    <w:rsid w:val="00D353B7"/>
    <w:rsid w:val="00D35A6E"/>
    <w:rsid w:val="00D35AE5"/>
    <w:rsid w:val="00D35BAE"/>
    <w:rsid w:val="00D3618E"/>
    <w:rsid w:val="00D362A3"/>
    <w:rsid w:val="00D3631D"/>
    <w:rsid w:val="00D3683E"/>
    <w:rsid w:val="00D36B48"/>
    <w:rsid w:val="00D36F5E"/>
    <w:rsid w:val="00D3717A"/>
    <w:rsid w:val="00D37193"/>
    <w:rsid w:val="00D374CE"/>
    <w:rsid w:val="00D37B0B"/>
    <w:rsid w:val="00D37B2F"/>
    <w:rsid w:val="00D4004C"/>
    <w:rsid w:val="00D4007F"/>
    <w:rsid w:val="00D40612"/>
    <w:rsid w:val="00D408A8"/>
    <w:rsid w:val="00D40B57"/>
    <w:rsid w:val="00D40ECC"/>
    <w:rsid w:val="00D40FA8"/>
    <w:rsid w:val="00D41281"/>
    <w:rsid w:val="00D41458"/>
    <w:rsid w:val="00D415D6"/>
    <w:rsid w:val="00D41844"/>
    <w:rsid w:val="00D418FE"/>
    <w:rsid w:val="00D41A2E"/>
    <w:rsid w:val="00D41A37"/>
    <w:rsid w:val="00D41A48"/>
    <w:rsid w:val="00D41A9C"/>
    <w:rsid w:val="00D41F54"/>
    <w:rsid w:val="00D4230A"/>
    <w:rsid w:val="00D428F2"/>
    <w:rsid w:val="00D43570"/>
    <w:rsid w:val="00D438BF"/>
    <w:rsid w:val="00D43C3C"/>
    <w:rsid w:val="00D43DC1"/>
    <w:rsid w:val="00D4404F"/>
    <w:rsid w:val="00D44A7C"/>
    <w:rsid w:val="00D451D2"/>
    <w:rsid w:val="00D45204"/>
    <w:rsid w:val="00D4596B"/>
    <w:rsid w:val="00D45B05"/>
    <w:rsid w:val="00D45BCD"/>
    <w:rsid w:val="00D45DD3"/>
    <w:rsid w:val="00D4647A"/>
    <w:rsid w:val="00D4691C"/>
    <w:rsid w:val="00D46DAE"/>
    <w:rsid w:val="00D47717"/>
    <w:rsid w:val="00D47FE0"/>
    <w:rsid w:val="00D5028B"/>
    <w:rsid w:val="00D5033F"/>
    <w:rsid w:val="00D504D7"/>
    <w:rsid w:val="00D50955"/>
    <w:rsid w:val="00D51346"/>
    <w:rsid w:val="00D51478"/>
    <w:rsid w:val="00D517C5"/>
    <w:rsid w:val="00D51C8F"/>
    <w:rsid w:val="00D51CB6"/>
    <w:rsid w:val="00D5204B"/>
    <w:rsid w:val="00D525BB"/>
    <w:rsid w:val="00D527DA"/>
    <w:rsid w:val="00D528B0"/>
    <w:rsid w:val="00D52D14"/>
    <w:rsid w:val="00D52E05"/>
    <w:rsid w:val="00D53460"/>
    <w:rsid w:val="00D53776"/>
    <w:rsid w:val="00D53D59"/>
    <w:rsid w:val="00D53EB7"/>
    <w:rsid w:val="00D54256"/>
    <w:rsid w:val="00D54479"/>
    <w:rsid w:val="00D5491A"/>
    <w:rsid w:val="00D54C10"/>
    <w:rsid w:val="00D54C35"/>
    <w:rsid w:val="00D55191"/>
    <w:rsid w:val="00D5548F"/>
    <w:rsid w:val="00D5567A"/>
    <w:rsid w:val="00D55ACD"/>
    <w:rsid w:val="00D55CD0"/>
    <w:rsid w:val="00D56D07"/>
    <w:rsid w:val="00D5705E"/>
    <w:rsid w:val="00D57106"/>
    <w:rsid w:val="00D57275"/>
    <w:rsid w:val="00D57302"/>
    <w:rsid w:val="00D57544"/>
    <w:rsid w:val="00D57973"/>
    <w:rsid w:val="00D60704"/>
    <w:rsid w:val="00D60710"/>
    <w:rsid w:val="00D60758"/>
    <w:rsid w:val="00D60C12"/>
    <w:rsid w:val="00D60CE2"/>
    <w:rsid w:val="00D61285"/>
    <w:rsid w:val="00D612EC"/>
    <w:rsid w:val="00D6153E"/>
    <w:rsid w:val="00D61B65"/>
    <w:rsid w:val="00D61B6A"/>
    <w:rsid w:val="00D6219E"/>
    <w:rsid w:val="00D623C4"/>
    <w:rsid w:val="00D62932"/>
    <w:rsid w:val="00D62CE8"/>
    <w:rsid w:val="00D6334E"/>
    <w:rsid w:val="00D63452"/>
    <w:rsid w:val="00D6373F"/>
    <w:rsid w:val="00D63964"/>
    <w:rsid w:val="00D63C73"/>
    <w:rsid w:val="00D64417"/>
    <w:rsid w:val="00D659A8"/>
    <w:rsid w:val="00D65EB9"/>
    <w:rsid w:val="00D661BD"/>
    <w:rsid w:val="00D669D3"/>
    <w:rsid w:val="00D676B7"/>
    <w:rsid w:val="00D67908"/>
    <w:rsid w:val="00D67A13"/>
    <w:rsid w:val="00D67A77"/>
    <w:rsid w:val="00D67A7E"/>
    <w:rsid w:val="00D67BDB"/>
    <w:rsid w:val="00D67E77"/>
    <w:rsid w:val="00D67F40"/>
    <w:rsid w:val="00D70090"/>
    <w:rsid w:val="00D7040F"/>
    <w:rsid w:val="00D70501"/>
    <w:rsid w:val="00D705B2"/>
    <w:rsid w:val="00D7065C"/>
    <w:rsid w:val="00D70AEB"/>
    <w:rsid w:val="00D716B1"/>
    <w:rsid w:val="00D71943"/>
    <w:rsid w:val="00D722BD"/>
    <w:rsid w:val="00D722DF"/>
    <w:rsid w:val="00D72A2E"/>
    <w:rsid w:val="00D72F01"/>
    <w:rsid w:val="00D73123"/>
    <w:rsid w:val="00D7314B"/>
    <w:rsid w:val="00D733D6"/>
    <w:rsid w:val="00D73A11"/>
    <w:rsid w:val="00D73BDC"/>
    <w:rsid w:val="00D741FF"/>
    <w:rsid w:val="00D7587C"/>
    <w:rsid w:val="00D75B71"/>
    <w:rsid w:val="00D769B9"/>
    <w:rsid w:val="00D76C5D"/>
    <w:rsid w:val="00D77530"/>
    <w:rsid w:val="00D77699"/>
    <w:rsid w:val="00D7780F"/>
    <w:rsid w:val="00D77ACD"/>
    <w:rsid w:val="00D80577"/>
    <w:rsid w:val="00D80587"/>
    <w:rsid w:val="00D80635"/>
    <w:rsid w:val="00D80795"/>
    <w:rsid w:val="00D8094C"/>
    <w:rsid w:val="00D80A64"/>
    <w:rsid w:val="00D80A83"/>
    <w:rsid w:val="00D81A84"/>
    <w:rsid w:val="00D81C1D"/>
    <w:rsid w:val="00D81FE3"/>
    <w:rsid w:val="00D82B3C"/>
    <w:rsid w:val="00D82B81"/>
    <w:rsid w:val="00D82E05"/>
    <w:rsid w:val="00D82E97"/>
    <w:rsid w:val="00D83043"/>
    <w:rsid w:val="00D84675"/>
    <w:rsid w:val="00D84966"/>
    <w:rsid w:val="00D84D58"/>
    <w:rsid w:val="00D8526A"/>
    <w:rsid w:val="00D857AA"/>
    <w:rsid w:val="00D85B30"/>
    <w:rsid w:val="00D85F35"/>
    <w:rsid w:val="00D8617A"/>
    <w:rsid w:val="00D86252"/>
    <w:rsid w:val="00D865E6"/>
    <w:rsid w:val="00D866F8"/>
    <w:rsid w:val="00D86B05"/>
    <w:rsid w:val="00D86EF5"/>
    <w:rsid w:val="00D86FE2"/>
    <w:rsid w:val="00D8720D"/>
    <w:rsid w:val="00D87928"/>
    <w:rsid w:val="00D87CC5"/>
    <w:rsid w:val="00D87DA9"/>
    <w:rsid w:val="00D90124"/>
    <w:rsid w:val="00D910BE"/>
    <w:rsid w:val="00D912B8"/>
    <w:rsid w:val="00D912EE"/>
    <w:rsid w:val="00D9147A"/>
    <w:rsid w:val="00D917F3"/>
    <w:rsid w:val="00D91A48"/>
    <w:rsid w:val="00D924FB"/>
    <w:rsid w:val="00D92CA4"/>
    <w:rsid w:val="00D92E61"/>
    <w:rsid w:val="00D935BB"/>
    <w:rsid w:val="00D936DB"/>
    <w:rsid w:val="00D93C6B"/>
    <w:rsid w:val="00D93D91"/>
    <w:rsid w:val="00D94136"/>
    <w:rsid w:val="00D942C7"/>
    <w:rsid w:val="00D94467"/>
    <w:rsid w:val="00D9480E"/>
    <w:rsid w:val="00D95091"/>
    <w:rsid w:val="00D954DF"/>
    <w:rsid w:val="00D955CA"/>
    <w:rsid w:val="00D95A9F"/>
    <w:rsid w:val="00D95AF0"/>
    <w:rsid w:val="00D95CB0"/>
    <w:rsid w:val="00D966F5"/>
    <w:rsid w:val="00D96854"/>
    <w:rsid w:val="00D96D38"/>
    <w:rsid w:val="00D96E1A"/>
    <w:rsid w:val="00D973B2"/>
    <w:rsid w:val="00D9779A"/>
    <w:rsid w:val="00D97968"/>
    <w:rsid w:val="00D97AA4"/>
    <w:rsid w:val="00D97B23"/>
    <w:rsid w:val="00D97BAA"/>
    <w:rsid w:val="00D97C1A"/>
    <w:rsid w:val="00DA0017"/>
    <w:rsid w:val="00DA01B6"/>
    <w:rsid w:val="00DA0435"/>
    <w:rsid w:val="00DA06A2"/>
    <w:rsid w:val="00DA0837"/>
    <w:rsid w:val="00DA0A4D"/>
    <w:rsid w:val="00DA0AA0"/>
    <w:rsid w:val="00DA0EF6"/>
    <w:rsid w:val="00DA13EF"/>
    <w:rsid w:val="00DA149D"/>
    <w:rsid w:val="00DA1872"/>
    <w:rsid w:val="00DA1902"/>
    <w:rsid w:val="00DA1AE9"/>
    <w:rsid w:val="00DA1B08"/>
    <w:rsid w:val="00DA24EB"/>
    <w:rsid w:val="00DA2E7B"/>
    <w:rsid w:val="00DA3358"/>
    <w:rsid w:val="00DA3621"/>
    <w:rsid w:val="00DA3AF3"/>
    <w:rsid w:val="00DA3B68"/>
    <w:rsid w:val="00DA3D62"/>
    <w:rsid w:val="00DA468D"/>
    <w:rsid w:val="00DA495A"/>
    <w:rsid w:val="00DA4C31"/>
    <w:rsid w:val="00DA4FC9"/>
    <w:rsid w:val="00DA544F"/>
    <w:rsid w:val="00DA5455"/>
    <w:rsid w:val="00DA56D5"/>
    <w:rsid w:val="00DA57F0"/>
    <w:rsid w:val="00DA5C2B"/>
    <w:rsid w:val="00DA5DCC"/>
    <w:rsid w:val="00DA604F"/>
    <w:rsid w:val="00DA65CD"/>
    <w:rsid w:val="00DA6A06"/>
    <w:rsid w:val="00DA6C17"/>
    <w:rsid w:val="00DA6F07"/>
    <w:rsid w:val="00DA75AE"/>
    <w:rsid w:val="00DA79B6"/>
    <w:rsid w:val="00DA7A20"/>
    <w:rsid w:val="00DB045B"/>
    <w:rsid w:val="00DB0632"/>
    <w:rsid w:val="00DB0B1C"/>
    <w:rsid w:val="00DB0CF6"/>
    <w:rsid w:val="00DB11DC"/>
    <w:rsid w:val="00DB1369"/>
    <w:rsid w:val="00DB154A"/>
    <w:rsid w:val="00DB1563"/>
    <w:rsid w:val="00DB165A"/>
    <w:rsid w:val="00DB169E"/>
    <w:rsid w:val="00DB18A0"/>
    <w:rsid w:val="00DB1A5E"/>
    <w:rsid w:val="00DB1B04"/>
    <w:rsid w:val="00DB2AC0"/>
    <w:rsid w:val="00DB2E03"/>
    <w:rsid w:val="00DB2F67"/>
    <w:rsid w:val="00DB3661"/>
    <w:rsid w:val="00DB39A0"/>
    <w:rsid w:val="00DB3B2A"/>
    <w:rsid w:val="00DB3E83"/>
    <w:rsid w:val="00DB422A"/>
    <w:rsid w:val="00DB4237"/>
    <w:rsid w:val="00DB438A"/>
    <w:rsid w:val="00DB4568"/>
    <w:rsid w:val="00DB4754"/>
    <w:rsid w:val="00DB4897"/>
    <w:rsid w:val="00DB4C27"/>
    <w:rsid w:val="00DB4F28"/>
    <w:rsid w:val="00DB5271"/>
    <w:rsid w:val="00DB5373"/>
    <w:rsid w:val="00DB57E5"/>
    <w:rsid w:val="00DB5EFB"/>
    <w:rsid w:val="00DB6758"/>
    <w:rsid w:val="00DB6E33"/>
    <w:rsid w:val="00DB6EF1"/>
    <w:rsid w:val="00DB6F95"/>
    <w:rsid w:val="00DB7560"/>
    <w:rsid w:val="00DB7732"/>
    <w:rsid w:val="00DC05D8"/>
    <w:rsid w:val="00DC05E9"/>
    <w:rsid w:val="00DC0798"/>
    <w:rsid w:val="00DC0FB0"/>
    <w:rsid w:val="00DC100A"/>
    <w:rsid w:val="00DC1055"/>
    <w:rsid w:val="00DC1448"/>
    <w:rsid w:val="00DC15C1"/>
    <w:rsid w:val="00DC1766"/>
    <w:rsid w:val="00DC188E"/>
    <w:rsid w:val="00DC19BB"/>
    <w:rsid w:val="00DC1E49"/>
    <w:rsid w:val="00DC1E51"/>
    <w:rsid w:val="00DC20F3"/>
    <w:rsid w:val="00DC2172"/>
    <w:rsid w:val="00DC220E"/>
    <w:rsid w:val="00DC2285"/>
    <w:rsid w:val="00DC230F"/>
    <w:rsid w:val="00DC24FF"/>
    <w:rsid w:val="00DC2916"/>
    <w:rsid w:val="00DC2E85"/>
    <w:rsid w:val="00DC3557"/>
    <w:rsid w:val="00DC39C0"/>
    <w:rsid w:val="00DC3A34"/>
    <w:rsid w:val="00DC3A8D"/>
    <w:rsid w:val="00DC45C9"/>
    <w:rsid w:val="00DC4834"/>
    <w:rsid w:val="00DC4D3A"/>
    <w:rsid w:val="00DC4F32"/>
    <w:rsid w:val="00DC6404"/>
    <w:rsid w:val="00DC6B92"/>
    <w:rsid w:val="00DC71CB"/>
    <w:rsid w:val="00DC72B1"/>
    <w:rsid w:val="00DC74A6"/>
    <w:rsid w:val="00DC7B30"/>
    <w:rsid w:val="00DC7B44"/>
    <w:rsid w:val="00DD0248"/>
    <w:rsid w:val="00DD09C9"/>
    <w:rsid w:val="00DD0F88"/>
    <w:rsid w:val="00DD113B"/>
    <w:rsid w:val="00DD1715"/>
    <w:rsid w:val="00DD2186"/>
    <w:rsid w:val="00DD24BD"/>
    <w:rsid w:val="00DD256C"/>
    <w:rsid w:val="00DD2711"/>
    <w:rsid w:val="00DD2CC2"/>
    <w:rsid w:val="00DD3170"/>
    <w:rsid w:val="00DD323D"/>
    <w:rsid w:val="00DD332A"/>
    <w:rsid w:val="00DD3D8D"/>
    <w:rsid w:val="00DD3F27"/>
    <w:rsid w:val="00DD4237"/>
    <w:rsid w:val="00DD4463"/>
    <w:rsid w:val="00DD4818"/>
    <w:rsid w:val="00DD5343"/>
    <w:rsid w:val="00DD55A9"/>
    <w:rsid w:val="00DD57B3"/>
    <w:rsid w:val="00DD5848"/>
    <w:rsid w:val="00DD5D3F"/>
    <w:rsid w:val="00DD613D"/>
    <w:rsid w:val="00DD64C5"/>
    <w:rsid w:val="00DD6F5E"/>
    <w:rsid w:val="00DD701A"/>
    <w:rsid w:val="00DD7ABC"/>
    <w:rsid w:val="00DD7FDF"/>
    <w:rsid w:val="00DE0776"/>
    <w:rsid w:val="00DE07D9"/>
    <w:rsid w:val="00DE07F7"/>
    <w:rsid w:val="00DE0A68"/>
    <w:rsid w:val="00DE0B09"/>
    <w:rsid w:val="00DE0DA6"/>
    <w:rsid w:val="00DE119B"/>
    <w:rsid w:val="00DE12A4"/>
    <w:rsid w:val="00DE1703"/>
    <w:rsid w:val="00DE22D4"/>
    <w:rsid w:val="00DE25AC"/>
    <w:rsid w:val="00DE28B4"/>
    <w:rsid w:val="00DE2FBF"/>
    <w:rsid w:val="00DE3132"/>
    <w:rsid w:val="00DE3277"/>
    <w:rsid w:val="00DE33D2"/>
    <w:rsid w:val="00DE34A8"/>
    <w:rsid w:val="00DE3616"/>
    <w:rsid w:val="00DE45A5"/>
    <w:rsid w:val="00DE49C9"/>
    <w:rsid w:val="00DE52EC"/>
    <w:rsid w:val="00DE531D"/>
    <w:rsid w:val="00DE59CD"/>
    <w:rsid w:val="00DE5C58"/>
    <w:rsid w:val="00DE6744"/>
    <w:rsid w:val="00DE6BFA"/>
    <w:rsid w:val="00DE7377"/>
    <w:rsid w:val="00DE7FAE"/>
    <w:rsid w:val="00DF01D7"/>
    <w:rsid w:val="00DF035A"/>
    <w:rsid w:val="00DF03CC"/>
    <w:rsid w:val="00DF0524"/>
    <w:rsid w:val="00DF07F4"/>
    <w:rsid w:val="00DF0806"/>
    <w:rsid w:val="00DF0B38"/>
    <w:rsid w:val="00DF0EE3"/>
    <w:rsid w:val="00DF0F0F"/>
    <w:rsid w:val="00DF102A"/>
    <w:rsid w:val="00DF147E"/>
    <w:rsid w:val="00DF15E3"/>
    <w:rsid w:val="00DF212C"/>
    <w:rsid w:val="00DF231F"/>
    <w:rsid w:val="00DF23B6"/>
    <w:rsid w:val="00DF252C"/>
    <w:rsid w:val="00DF26C7"/>
    <w:rsid w:val="00DF2791"/>
    <w:rsid w:val="00DF2A76"/>
    <w:rsid w:val="00DF2B56"/>
    <w:rsid w:val="00DF2D10"/>
    <w:rsid w:val="00DF3514"/>
    <w:rsid w:val="00DF359B"/>
    <w:rsid w:val="00DF405B"/>
    <w:rsid w:val="00DF5355"/>
    <w:rsid w:val="00DF53A8"/>
    <w:rsid w:val="00DF568D"/>
    <w:rsid w:val="00DF5CA2"/>
    <w:rsid w:val="00DF628B"/>
    <w:rsid w:val="00DF67D2"/>
    <w:rsid w:val="00DF68CA"/>
    <w:rsid w:val="00DF6CAC"/>
    <w:rsid w:val="00DF71EB"/>
    <w:rsid w:val="00DF7317"/>
    <w:rsid w:val="00DF7469"/>
    <w:rsid w:val="00DF7AA0"/>
    <w:rsid w:val="00E0055D"/>
    <w:rsid w:val="00E008B9"/>
    <w:rsid w:val="00E00C1D"/>
    <w:rsid w:val="00E00CCB"/>
    <w:rsid w:val="00E00EC5"/>
    <w:rsid w:val="00E0145C"/>
    <w:rsid w:val="00E0147F"/>
    <w:rsid w:val="00E01653"/>
    <w:rsid w:val="00E016AB"/>
    <w:rsid w:val="00E01C96"/>
    <w:rsid w:val="00E01C97"/>
    <w:rsid w:val="00E0227D"/>
    <w:rsid w:val="00E02940"/>
    <w:rsid w:val="00E0315C"/>
    <w:rsid w:val="00E03206"/>
    <w:rsid w:val="00E0368B"/>
    <w:rsid w:val="00E03E2C"/>
    <w:rsid w:val="00E03EB3"/>
    <w:rsid w:val="00E0427E"/>
    <w:rsid w:val="00E042C7"/>
    <w:rsid w:val="00E04421"/>
    <w:rsid w:val="00E04C73"/>
    <w:rsid w:val="00E055E3"/>
    <w:rsid w:val="00E06010"/>
    <w:rsid w:val="00E0607D"/>
    <w:rsid w:val="00E0651F"/>
    <w:rsid w:val="00E06B1B"/>
    <w:rsid w:val="00E06BB6"/>
    <w:rsid w:val="00E06CF3"/>
    <w:rsid w:val="00E073AC"/>
    <w:rsid w:val="00E0781A"/>
    <w:rsid w:val="00E10368"/>
    <w:rsid w:val="00E10679"/>
    <w:rsid w:val="00E10AB5"/>
    <w:rsid w:val="00E10B66"/>
    <w:rsid w:val="00E10B7B"/>
    <w:rsid w:val="00E10D09"/>
    <w:rsid w:val="00E11058"/>
    <w:rsid w:val="00E11475"/>
    <w:rsid w:val="00E116C5"/>
    <w:rsid w:val="00E119E3"/>
    <w:rsid w:val="00E11B88"/>
    <w:rsid w:val="00E11EC0"/>
    <w:rsid w:val="00E11F40"/>
    <w:rsid w:val="00E12078"/>
    <w:rsid w:val="00E12A46"/>
    <w:rsid w:val="00E13165"/>
    <w:rsid w:val="00E134E0"/>
    <w:rsid w:val="00E13699"/>
    <w:rsid w:val="00E1383C"/>
    <w:rsid w:val="00E13CFB"/>
    <w:rsid w:val="00E13E04"/>
    <w:rsid w:val="00E146D2"/>
    <w:rsid w:val="00E14881"/>
    <w:rsid w:val="00E1494A"/>
    <w:rsid w:val="00E149C5"/>
    <w:rsid w:val="00E14C69"/>
    <w:rsid w:val="00E15CF7"/>
    <w:rsid w:val="00E16142"/>
    <w:rsid w:val="00E167D3"/>
    <w:rsid w:val="00E16D52"/>
    <w:rsid w:val="00E1745B"/>
    <w:rsid w:val="00E175A7"/>
    <w:rsid w:val="00E20168"/>
    <w:rsid w:val="00E203FA"/>
    <w:rsid w:val="00E20695"/>
    <w:rsid w:val="00E20740"/>
    <w:rsid w:val="00E207A3"/>
    <w:rsid w:val="00E20E20"/>
    <w:rsid w:val="00E20E92"/>
    <w:rsid w:val="00E21106"/>
    <w:rsid w:val="00E21159"/>
    <w:rsid w:val="00E21A9B"/>
    <w:rsid w:val="00E21CE2"/>
    <w:rsid w:val="00E21FA5"/>
    <w:rsid w:val="00E22788"/>
    <w:rsid w:val="00E22870"/>
    <w:rsid w:val="00E22A6A"/>
    <w:rsid w:val="00E22C01"/>
    <w:rsid w:val="00E23B80"/>
    <w:rsid w:val="00E2448F"/>
    <w:rsid w:val="00E245DA"/>
    <w:rsid w:val="00E24645"/>
    <w:rsid w:val="00E24817"/>
    <w:rsid w:val="00E24A2B"/>
    <w:rsid w:val="00E24D0D"/>
    <w:rsid w:val="00E24DF7"/>
    <w:rsid w:val="00E255C3"/>
    <w:rsid w:val="00E2573B"/>
    <w:rsid w:val="00E2627F"/>
    <w:rsid w:val="00E268FE"/>
    <w:rsid w:val="00E26AFB"/>
    <w:rsid w:val="00E26BB0"/>
    <w:rsid w:val="00E27177"/>
    <w:rsid w:val="00E274B5"/>
    <w:rsid w:val="00E27DF6"/>
    <w:rsid w:val="00E3066D"/>
    <w:rsid w:val="00E31056"/>
    <w:rsid w:val="00E3157F"/>
    <w:rsid w:val="00E31A74"/>
    <w:rsid w:val="00E31B92"/>
    <w:rsid w:val="00E31BCB"/>
    <w:rsid w:val="00E31C2D"/>
    <w:rsid w:val="00E31CB5"/>
    <w:rsid w:val="00E3286C"/>
    <w:rsid w:val="00E32963"/>
    <w:rsid w:val="00E32D9B"/>
    <w:rsid w:val="00E32DF1"/>
    <w:rsid w:val="00E32E7D"/>
    <w:rsid w:val="00E336E7"/>
    <w:rsid w:val="00E337BC"/>
    <w:rsid w:val="00E33DCE"/>
    <w:rsid w:val="00E34160"/>
    <w:rsid w:val="00E34D7C"/>
    <w:rsid w:val="00E34E11"/>
    <w:rsid w:val="00E350CD"/>
    <w:rsid w:val="00E3575B"/>
    <w:rsid w:val="00E36469"/>
    <w:rsid w:val="00E36B2E"/>
    <w:rsid w:val="00E36DD1"/>
    <w:rsid w:val="00E36DFD"/>
    <w:rsid w:val="00E36FC6"/>
    <w:rsid w:val="00E372A9"/>
    <w:rsid w:val="00E376F7"/>
    <w:rsid w:val="00E37A16"/>
    <w:rsid w:val="00E4001B"/>
    <w:rsid w:val="00E412A0"/>
    <w:rsid w:val="00E41737"/>
    <w:rsid w:val="00E4230B"/>
    <w:rsid w:val="00E42CAC"/>
    <w:rsid w:val="00E42D7F"/>
    <w:rsid w:val="00E43094"/>
    <w:rsid w:val="00E435A7"/>
    <w:rsid w:val="00E437FA"/>
    <w:rsid w:val="00E4392B"/>
    <w:rsid w:val="00E43E14"/>
    <w:rsid w:val="00E44118"/>
    <w:rsid w:val="00E4437A"/>
    <w:rsid w:val="00E45240"/>
    <w:rsid w:val="00E45711"/>
    <w:rsid w:val="00E459D9"/>
    <w:rsid w:val="00E45A4C"/>
    <w:rsid w:val="00E461C0"/>
    <w:rsid w:val="00E46B7C"/>
    <w:rsid w:val="00E46B9D"/>
    <w:rsid w:val="00E46C8C"/>
    <w:rsid w:val="00E46E9E"/>
    <w:rsid w:val="00E47262"/>
    <w:rsid w:val="00E4747E"/>
    <w:rsid w:val="00E4753D"/>
    <w:rsid w:val="00E477D3"/>
    <w:rsid w:val="00E500A8"/>
    <w:rsid w:val="00E50274"/>
    <w:rsid w:val="00E506CB"/>
    <w:rsid w:val="00E507F3"/>
    <w:rsid w:val="00E50983"/>
    <w:rsid w:val="00E50B9E"/>
    <w:rsid w:val="00E50E3D"/>
    <w:rsid w:val="00E50F64"/>
    <w:rsid w:val="00E51E10"/>
    <w:rsid w:val="00E51FDE"/>
    <w:rsid w:val="00E52970"/>
    <w:rsid w:val="00E52A16"/>
    <w:rsid w:val="00E52D5F"/>
    <w:rsid w:val="00E532DD"/>
    <w:rsid w:val="00E5333A"/>
    <w:rsid w:val="00E534B2"/>
    <w:rsid w:val="00E535E3"/>
    <w:rsid w:val="00E53CBB"/>
    <w:rsid w:val="00E54173"/>
    <w:rsid w:val="00E54670"/>
    <w:rsid w:val="00E54730"/>
    <w:rsid w:val="00E55255"/>
    <w:rsid w:val="00E55947"/>
    <w:rsid w:val="00E55CD2"/>
    <w:rsid w:val="00E5659E"/>
    <w:rsid w:val="00E565C1"/>
    <w:rsid w:val="00E56B66"/>
    <w:rsid w:val="00E56EDF"/>
    <w:rsid w:val="00E573B1"/>
    <w:rsid w:val="00E57676"/>
    <w:rsid w:val="00E57807"/>
    <w:rsid w:val="00E5794C"/>
    <w:rsid w:val="00E579AF"/>
    <w:rsid w:val="00E57B5A"/>
    <w:rsid w:val="00E57CF3"/>
    <w:rsid w:val="00E602FD"/>
    <w:rsid w:val="00E6046D"/>
    <w:rsid w:val="00E60545"/>
    <w:rsid w:val="00E606F8"/>
    <w:rsid w:val="00E60BEA"/>
    <w:rsid w:val="00E622CC"/>
    <w:rsid w:val="00E62523"/>
    <w:rsid w:val="00E631EB"/>
    <w:rsid w:val="00E63D14"/>
    <w:rsid w:val="00E64377"/>
    <w:rsid w:val="00E64563"/>
    <w:rsid w:val="00E6468A"/>
    <w:rsid w:val="00E64C81"/>
    <w:rsid w:val="00E64EB2"/>
    <w:rsid w:val="00E65035"/>
    <w:rsid w:val="00E659BD"/>
    <w:rsid w:val="00E65A5A"/>
    <w:rsid w:val="00E661B0"/>
    <w:rsid w:val="00E6643C"/>
    <w:rsid w:val="00E665AC"/>
    <w:rsid w:val="00E66FB5"/>
    <w:rsid w:val="00E67B06"/>
    <w:rsid w:val="00E67B69"/>
    <w:rsid w:val="00E67C7F"/>
    <w:rsid w:val="00E67FF0"/>
    <w:rsid w:val="00E705B7"/>
    <w:rsid w:val="00E70741"/>
    <w:rsid w:val="00E7086E"/>
    <w:rsid w:val="00E7095F"/>
    <w:rsid w:val="00E70A6F"/>
    <w:rsid w:val="00E70B13"/>
    <w:rsid w:val="00E70ECC"/>
    <w:rsid w:val="00E71109"/>
    <w:rsid w:val="00E7156C"/>
    <w:rsid w:val="00E7180E"/>
    <w:rsid w:val="00E71839"/>
    <w:rsid w:val="00E719CE"/>
    <w:rsid w:val="00E71A89"/>
    <w:rsid w:val="00E71AD9"/>
    <w:rsid w:val="00E71C09"/>
    <w:rsid w:val="00E71C3C"/>
    <w:rsid w:val="00E71C98"/>
    <w:rsid w:val="00E71DE5"/>
    <w:rsid w:val="00E71FC7"/>
    <w:rsid w:val="00E7208C"/>
    <w:rsid w:val="00E724E0"/>
    <w:rsid w:val="00E729D9"/>
    <w:rsid w:val="00E73745"/>
    <w:rsid w:val="00E73B25"/>
    <w:rsid w:val="00E73EAD"/>
    <w:rsid w:val="00E744A6"/>
    <w:rsid w:val="00E74CFD"/>
    <w:rsid w:val="00E74F93"/>
    <w:rsid w:val="00E754BA"/>
    <w:rsid w:val="00E7562C"/>
    <w:rsid w:val="00E757CF"/>
    <w:rsid w:val="00E7694D"/>
    <w:rsid w:val="00E770B5"/>
    <w:rsid w:val="00E77100"/>
    <w:rsid w:val="00E77197"/>
    <w:rsid w:val="00E771D0"/>
    <w:rsid w:val="00E77A3E"/>
    <w:rsid w:val="00E77ABB"/>
    <w:rsid w:val="00E77BDC"/>
    <w:rsid w:val="00E77CA4"/>
    <w:rsid w:val="00E80176"/>
    <w:rsid w:val="00E805D1"/>
    <w:rsid w:val="00E80927"/>
    <w:rsid w:val="00E8097A"/>
    <w:rsid w:val="00E80AFC"/>
    <w:rsid w:val="00E8125A"/>
    <w:rsid w:val="00E815BB"/>
    <w:rsid w:val="00E816AB"/>
    <w:rsid w:val="00E81AE1"/>
    <w:rsid w:val="00E81B1A"/>
    <w:rsid w:val="00E827CF"/>
    <w:rsid w:val="00E82B43"/>
    <w:rsid w:val="00E82B77"/>
    <w:rsid w:val="00E82FD8"/>
    <w:rsid w:val="00E833E5"/>
    <w:rsid w:val="00E8459C"/>
    <w:rsid w:val="00E8481E"/>
    <w:rsid w:val="00E84AC6"/>
    <w:rsid w:val="00E84F5C"/>
    <w:rsid w:val="00E84FB3"/>
    <w:rsid w:val="00E856FD"/>
    <w:rsid w:val="00E85F4A"/>
    <w:rsid w:val="00E8668A"/>
    <w:rsid w:val="00E86727"/>
    <w:rsid w:val="00E86A3E"/>
    <w:rsid w:val="00E86D40"/>
    <w:rsid w:val="00E86E52"/>
    <w:rsid w:val="00E86F68"/>
    <w:rsid w:val="00E87037"/>
    <w:rsid w:val="00E870BC"/>
    <w:rsid w:val="00E870F1"/>
    <w:rsid w:val="00E90092"/>
    <w:rsid w:val="00E9045C"/>
    <w:rsid w:val="00E9069A"/>
    <w:rsid w:val="00E90BAB"/>
    <w:rsid w:val="00E90ED5"/>
    <w:rsid w:val="00E921B5"/>
    <w:rsid w:val="00E924B4"/>
    <w:rsid w:val="00E92854"/>
    <w:rsid w:val="00E92BD2"/>
    <w:rsid w:val="00E932F4"/>
    <w:rsid w:val="00E93851"/>
    <w:rsid w:val="00E93C69"/>
    <w:rsid w:val="00E940E0"/>
    <w:rsid w:val="00E94373"/>
    <w:rsid w:val="00E945C3"/>
    <w:rsid w:val="00E947ED"/>
    <w:rsid w:val="00E9599F"/>
    <w:rsid w:val="00E95E22"/>
    <w:rsid w:val="00E96A24"/>
    <w:rsid w:val="00E96D70"/>
    <w:rsid w:val="00E9767C"/>
    <w:rsid w:val="00E97C32"/>
    <w:rsid w:val="00E97F43"/>
    <w:rsid w:val="00EA00E9"/>
    <w:rsid w:val="00EA0F03"/>
    <w:rsid w:val="00EA119E"/>
    <w:rsid w:val="00EA1D5F"/>
    <w:rsid w:val="00EA1EF9"/>
    <w:rsid w:val="00EA22F0"/>
    <w:rsid w:val="00EA2642"/>
    <w:rsid w:val="00EA26AD"/>
    <w:rsid w:val="00EA2CA0"/>
    <w:rsid w:val="00EA2F09"/>
    <w:rsid w:val="00EA3031"/>
    <w:rsid w:val="00EA31C2"/>
    <w:rsid w:val="00EA38EC"/>
    <w:rsid w:val="00EA49B0"/>
    <w:rsid w:val="00EA4A6F"/>
    <w:rsid w:val="00EA5760"/>
    <w:rsid w:val="00EA5B41"/>
    <w:rsid w:val="00EA5C13"/>
    <w:rsid w:val="00EA5D50"/>
    <w:rsid w:val="00EA600A"/>
    <w:rsid w:val="00EA60B4"/>
    <w:rsid w:val="00EA638B"/>
    <w:rsid w:val="00EA693A"/>
    <w:rsid w:val="00EA6BDE"/>
    <w:rsid w:val="00EA6E44"/>
    <w:rsid w:val="00EA7237"/>
    <w:rsid w:val="00EA7428"/>
    <w:rsid w:val="00EA76BB"/>
    <w:rsid w:val="00EB055B"/>
    <w:rsid w:val="00EB070A"/>
    <w:rsid w:val="00EB0D1C"/>
    <w:rsid w:val="00EB0DC2"/>
    <w:rsid w:val="00EB0F83"/>
    <w:rsid w:val="00EB0F9A"/>
    <w:rsid w:val="00EB112A"/>
    <w:rsid w:val="00EB19FB"/>
    <w:rsid w:val="00EB1B82"/>
    <w:rsid w:val="00EB1C86"/>
    <w:rsid w:val="00EB2A5A"/>
    <w:rsid w:val="00EB2B91"/>
    <w:rsid w:val="00EB2FE6"/>
    <w:rsid w:val="00EB3330"/>
    <w:rsid w:val="00EB37CB"/>
    <w:rsid w:val="00EB3865"/>
    <w:rsid w:val="00EB3902"/>
    <w:rsid w:val="00EB4040"/>
    <w:rsid w:val="00EB4605"/>
    <w:rsid w:val="00EB46AF"/>
    <w:rsid w:val="00EB47AB"/>
    <w:rsid w:val="00EB47FD"/>
    <w:rsid w:val="00EB4EDE"/>
    <w:rsid w:val="00EB51BA"/>
    <w:rsid w:val="00EB5478"/>
    <w:rsid w:val="00EB57D6"/>
    <w:rsid w:val="00EB5DD1"/>
    <w:rsid w:val="00EB5F34"/>
    <w:rsid w:val="00EB6050"/>
    <w:rsid w:val="00EB6570"/>
    <w:rsid w:val="00EB67F6"/>
    <w:rsid w:val="00EB6F59"/>
    <w:rsid w:val="00EB73D7"/>
    <w:rsid w:val="00EB788A"/>
    <w:rsid w:val="00EB7999"/>
    <w:rsid w:val="00EB7AFB"/>
    <w:rsid w:val="00EC0A68"/>
    <w:rsid w:val="00EC0B60"/>
    <w:rsid w:val="00EC1212"/>
    <w:rsid w:val="00EC13D6"/>
    <w:rsid w:val="00EC18EA"/>
    <w:rsid w:val="00EC1D3D"/>
    <w:rsid w:val="00EC1DF2"/>
    <w:rsid w:val="00EC2085"/>
    <w:rsid w:val="00EC2624"/>
    <w:rsid w:val="00EC2CBA"/>
    <w:rsid w:val="00EC313F"/>
    <w:rsid w:val="00EC3151"/>
    <w:rsid w:val="00EC3331"/>
    <w:rsid w:val="00EC4139"/>
    <w:rsid w:val="00EC45E0"/>
    <w:rsid w:val="00EC48E1"/>
    <w:rsid w:val="00EC49CE"/>
    <w:rsid w:val="00EC4A6B"/>
    <w:rsid w:val="00EC4D83"/>
    <w:rsid w:val="00EC518F"/>
    <w:rsid w:val="00EC52CC"/>
    <w:rsid w:val="00EC537B"/>
    <w:rsid w:val="00EC5A4E"/>
    <w:rsid w:val="00EC5B5B"/>
    <w:rsid w:val="00EC5BEA"/>
    <w:rsid w:val="00EC5E2A"/>
    <w:rsid w:val="00EC677E"/>
    <w:rsid w:val="00EC6E37"/>
    <w:rsid w:val="00EC6F31"/>
    <w:rsid w:val="00EC7071"/>
    <w:rsid w:val="00EC7B7E"/>
    <w:rsid w:val="00EC7E67"/>
    <w:rsid w:val="00ED03E8"/>
    <w:rsid w:val="00ED0585"/>
    <w:rsid w:val="00ED05BA"/>
    <w:rsid w:val="00ED0903"/>
    <w:rsid w:val="00ED0CCD"/>
    <w:rsid w:val="00ED10AF"/>
    <w:rsid w:val="00ED1435"/>
    <w:rsid w:val="00ED1AD3"/>
    <w:rsid w:val="00ED1D98"/>
    <w:rsid w:val="00ED1F5D"/>
    <w:rsid w:val="00ED2457"/>
    <w:rsid w:val="00ED2D44"/>
    <w:rsid w:val="00ED3143"/>
    <w:rsid w:val="00ED389B"/>
    <w:rsid w:val="00ED3E97"/>
    <w:rsid w:val="00ED3F10"/>
    <w:rsid w:val="00ED496E"/>
    <w:rsid w:val="00ED4CE6"/>
    <w:rsid w:val="00ED5206"/>
    <w:rsid w:val="00ED5536"/>
    <w:rsid w:val="00ED56CF"/>
    <w:rsid w:val="00ED5A48"/>
    <w:rsid w:val="00ED5B5C"/>
    <w:rsid w:val="00ED5DC1"/>
    <w:rsid w:val="00ED6542"/>
    <w:rsid w:val="00ED6787"/>
    <w:rsid w:val="00ED6958"/>
    <w:rsid w:val="00ED6B5A"/>
    <w:rsid w:val="00ED6C2B"/>
    <w:rsid w:val="00ED70BD"/>
    <w:rsid w:val="00ED757F"/>
    <w:rsid w:val="00ED7934"/>
    <w:rsid w:val="00ED7A88"/>
    <w:rsid w:val="00ED7D28"/>
    <w:rsid w:val="00ED7E5A"/>
    <w:rsid w:val="00EE0686"/>
    <w:rsid w:val="00EE0B3E"/>
    <w:rsid w:val="00EE0BAA"/>
    <w:rsid w:val="00EE1CBF"/>
    <w:rsid w:val="00EE1FD6"/>
    <w:rsid w:val="00EE2572"/>
    <w:rsid w:val="00EE3556"/>
    <w:rsid w:val="00EE37BB"/>
    <w:rsid w:val="00EE37C3"/>
    <w:rsid w:val="00EE3876"/>
    <w:rsid w:val="00EE433C"/>
    <w:rsid w:val="00EE4784"/>
    <w:rsid w:val="00EE499B"/>
    <w:rsid w:val="00EE4DC2"/>
    <w:rsid w:val="00EE4FEA"/>
    <w:rsid w:val="00EE5100"/>
    <w:rsid w:val="00EE5259"/>
    <w:rsid w:val="00EE5E03"/>
    <w:rsid w:val="00EE60E0"/>
    <w:rsid w:val="00EE612E"/>
    <w:rsid w:val="00EE64CC"/>
    <w:rsid w:val="00EE64EA"/>
    <w:rsid w:val="00EE6B85"/>
    <w:rsid w:val="00EE7C48"/>
    <w:rsid w:val="00EE7D69"/>
    <w:rsid w:val="00EF0098"/>
    <w:rsid w:val="00EF0EBC"/>
    <w:rsid w:val="00EF0F35"/>
    <w:rsid w:val="00EF1BEB"/>
    <w:rsid w:val="00EF233A"/>
    <w:rsid w:val="00EF259B"/>
    <w:rsid w:val="00EF2D2F"/>
    <w:rsid w:val="00EF3347"/>
    <w:rsid w:val="00EF3F1B"/>
    <w:rsid w:val="00EF4058"/>
    <w:rsid w:val="00EF4099"/>
    <w:rsid w:val="00EF40E0"/>
    <w:rsid w:val="00EF4802"/>
    <w:rsid w:val="00EF4919"/>
    <w:rsid w:val="00EF507C"/>
    <w:rsid w:val="00EF54F5"/>
    <w:rsid w:val="00EF5634"/>
    <w:rsid w:val="00EF5E81"/>
    <w:rsid w:val="00EF6012"/>
    <w:rsid w:val="00EF618A"/>
    <w:rsid w:val="00EF6224"/>
    <w:rsid w:val="00EF6BDC"/>
    <w:rsid w:val="00EF6CCE"/>
    <w:rsid w:val="00EF7866"/>
    <w:rsid w:val="00F00129"/>
    <w:rsid w:val="00F00756"/>
    <w:rsid w:val="00F00757"/>
    <w:rsid w:val="00F01325"/>
    <w:rsid w:val="00F017EF"/>
    <w:rsid w:val="00F0190F"/>
    <w:rsid w:val="00F0197A"/>
    <w:rsid w:val="00F01A8C"/>
    <w:rsid w:val="00F01C4C"/>
    <w:rsid w:val="00F02069"/>
    <w:rsid w:val="00F02786"/>
    <w:rsid w:val="00F041E3"/>
    <w:rsid w:val="00F042BC"/>
    <w:rsid w:val="00F0434F"/>
    <w:rsid w:val="00F047C3"/>
    <w:rsid w:val="00F04911"/>
    <w:rsid w:val="00F0501F"/>
    <w:rsid w:val="00F0515B"/>
    <w:rsid w:val="00F0548B"/>
    <w:rsid w:val="00F05D0A"/>
    <w:rsid w:val="00F05F44"/>
    <w:rsid w:val="00F0625B"/>
    <w:rsid w:val="00F063E9"/>
    <w:rsid w:val="00F0670F"/>
    <w:rsid w:val="00F06894"/>
    <w:rsid w:val="00F0692E"/>
    <w:rsid w:val="00F06E8B"/>
    <w:rsid w:val="00F06ED2"/>
    <w:rsid w:val="00F07597"/>
    <w:rsid w:val="00F07B6E"/>
    <w:rsid w:val="00F07BE9"/>
    <w:rsid w:val="00F07D9C"/>
    <w:rsid w:val="00F07FA6"/>
    <w:rsid w:val="00F07FF2"/>
    <w:rsid w:val="00F10335"/>
    <w:rsid w:val="00F107A7"/>
    <w:rsid w:val="00F10DA2"/>
    <w:rsid w:val="00F1148B"/>
    <w:rsid w:val="00F11BB3"/>
    <w:rsid w:val="00F12DA2"/>
    <w:rsid w:val="00F12DFC"/>
    <w:rsid w:val="00F13036"/>
    <w:rsid w:val="00F130D3"/>
    <w:rsid w:val="00F1321A"/>
    <w:rsid w:val="00F1340F"/>
    <w:rsid w:val="00F13821"/>
    <w:rsid w:val="00F138C2"/>
    <w:rsid w:val="00F13B29"/>
    <w:rsid w:val="00F141A4"/>
    <w:rsid w:val="00F143B4"/>
    <w:rsid w:val="00F143D8"/>
    <w:rsid w:val="00F14507"/>
    <w:rsid w:val="00F15A96"/>
    <w:rsid w:val="00F15BF0"/>
    <w:rsid w:val="00F15E45"/>
    <w:rsid w:val="00F16434"/>
    <w:rsid w:val="00F171B6"/>
    <w:rsid w:val="00F1768E"/>
    <w:rsid w:val="00F20226"/>
    <w:rsid w:val="00F2026F"/>
    <w:rsid w:val="00F2045B"/>
    <w:rsid w:val="00F206C3"/>
    <w:rsid w:val="00F208BF"/>
    <w:rsid w:val="00F21040"/>
    <w:rsid w:val="00F21044"/>
    <w:rsid w:val="00F21269"/>
    <w:rsid w:val="00F2127D"/>
    <w:rsid w:val="00F215DE"/>
    <w:rsid w:val="00F2184C"/>
    <w:rsid w:val="00F21C3E"/>
    <w:rsid w:val="00F21D1A"/>
    <w:rsid w:val="00F22865"/>
    <w:rsid w:val="00F229CD"/>
    <w:rsid w:val="00F22D41"/>
    <w:rsid w:val="00F22DFE"/>
    <w:rsid w:val="00F23537"/>
    <w:rsid w:val="00F23D2E"/>
    <w:rsid w:val="00F24605"/>
    <w:rsid w:val="00F24857"/>
    <w:rsid w:val="00F24A24"/>
    <w:rsid w:val="00F24B2C"/>
    <w:rsid w:val="00F24D75"/>
    <w:rsid w:val="00F25267"/>
    <w:rsid w:val="00F255E7"/>
    <w:rsid w:val="00F257F6"/>
    <w:rsid w:val="00F25CD9"/>
    <w:rsid w:val="00F261E3"/>
    <w:rsid w:val="00F263E1"/>
    <w:rsid w:val="00F26CDD"/>
    <w:rsid w:val="00F26ED4"/>
    <w:rsid w:val="00F26F16"/>
    <w:rsid w:val="00F272D0"/>
    <w:rsid w:val="00F27507"/>
    <w:rsid w:val="00F30382"/>
    <w:rsid w:val="00F306D5"/>
    <w:rsid w:val="00F3070F"/>
    <w:rsid w:val="00F30EA8"/>
    <w:rsid w:val="00F30EB3"/>
    <w:rsid w:val="00F30F36"/>
    <w:rsid w:val="00F310F2"/>
    <w:rsid w:val="00F31292"/>
    <w:rsid w:val="00F313BB"/>
    <w:rsid w:val="00F315FB"/>
    <w:rsid w:val="00F32010"/>
    <w:rsid w:val="00F3221A"/>
    <w:rsid w:val="00F32AD1"/>
    <w:rsid w:val="00F32DE1"/>
    <w:rsid w:val="00F32E80"/>
    <w:rsid w:val="00F3338A"/>
    <w:rsid w:val="00F33897"/>
    <w:rsid w:val="00F33D57"/>
    <w:rsid w:val="00F33E16"/>
    <w:rsid w:val="00F34273"/>
    <w:rsid w:val="00F34706"/>
    <w:rsid w:val="00F34B2F"/>
    <w:rsid w:val="00F34DE5"/>
    <w:rsid w:val="00F34F33"/>
    <w:rsid w:val="00F35DC9"/>
    <w:rsid w:val="00F35E03"/>
    <w:rsid w:val="00F36247"/>
    <w:rsid w:val="00F366D8"/>
    <w:rsid w:val="00F369B6"/>
    <w:rsid w:val="00F36D1F"/>
    <w:rsid w:val="00F3733E"/>
    <w:rsid w:val="00F3762D"/>
    <w:rsid w:val="00F3769E"/>
    <w:rsid w:val="00F37897"/>
    <w:rsid w:val="00F37910"/>
    <w:rsid w:val="00F379DF"/>
    <w:rsid w:val="00F40017"/>
    <w:rsid w:val="00F40370"/>
    <w:rsid w:val="00F4040D"/>
    <w:rsid w:val="00F4053E"/>
    <w:rsid w:val="00F4062C"/>
    <w:rsid w:val="00F40F06"/>
    <w:rsid w:val="00F40FC3"/>
    <w:rsid w:val="00F41172"/>
    <w:rsid w:val="00F4136E"/>
    <w:rsid w:val="00F41929"/>
    <w:rsid w:val="00F41A2A"/>
    <w:rsid w:val="00F41CE6"/>
    <w:rsid w:val="00F4232F"/>
    <w:rsid w:val="00F4262C"/>
    <w:rsid w:val="00F42669"/>
    <w:rsid w:val="00F428DF"/>
    <w:rsid w:val="00F42C0E"/>
    <w:rsid w:val="00F42D65"/>
    <w:rsid w:val="00F43374"/>
    <w:rsid w:val="00F4374F"/>
    <w:rsid w:val="00F439E0"/>
    <w:rsid w:val="00F44A42"/>
    <w:rsid w:val="00F44B8E"/>
    <w:rsid w:val="00F451CA"/>
    <w:rsid w:val="00F453DA"/>
    <w:rsid w:val="00F456F9"/>
    <w:rsid w:val="00F46A6E"/>
    <w:rsid w:val="00F46AE4"/>
    <w:rsid w:val="00F47128"/>
    <w:rsid w:val="00F4720B"/>
    <w:rsid w:val="00F4722A"/>
    <w:rsid w:val="00F4749B"/>
    <w:rsid w:val="00F50598"/>
    <w:rsid w:val="00F50870"/>
    <w:rsid w:val="00F50B4B"/>
    <w:rsid w:val="00F511A1"/>
    <w:rsid w:val="00F5140F"/>
    <w:rsid w:val="00F514FB"/>
    <w:rsid w:val="00F520FF"/>
    <w:rsid w:val="00F5219A"/>
    <w:rsid w:val="00F52B73"/>
    <w:rsid w:val="00F52B7B"/>
    <w:rsid w:val="00F53951"/>
    <w:rsid w:val="00F53C92"/>
    <w:rsid w:val="00F53DBF"/>
    <w:rsid w:val="00F54832"/>
    <w:rsid w:val="00F554BB"/>
    <w:rsid w:val="00F5608D"/>
    <w:rsid w:val="00F5670C"/>
    <w:rsid w:val="00F56942"/>
    <w:rsid w:val="00F56B1B"/>
    <w:rsid w:val="00F56C0C"/>
    <w:rsid w:val="00F56CE9"/>
    <w:rsid w:val="00F56D53"/>
    <w:rsid w:val="00F56F70"/>
    <w:rsid w:val="00F56FB1"/>
    <w:rsid w:val="00F57D5B"/>
    <w:rsid w:val="00F60636"/>
    <w:rsid w:val="00F60F4E"/>
    <w:rsid w:val="00F61151"/>
    <w:rsid w:val="00F614BE"/>
    <w:rsid w:val="00F619D1"/>
    <w:rsid w:val="00F620A2"/>
    <w:rsid w:val="00F628E9"/>
    <w:rsid w:val="00F62E6E"/>
    <w:rsid w:val="00F62FCB"/>
    <w:rsid w:val="00F62FF9"/>
    <w:rsid w:val="00F63723"/>
    <w:rsid w:val="00F63779"/>
    <w:rsid w:val="00F63815"/>
    <w:rsid w:val="00F63ADC"/>
    <w:rsid w:val="00F63E5F"/>
    <w:rsid w:val="00F64223"/>
    <w:rsid w:val="00F64CFA"/>
    <w:rsid w:val="00F64E44"/>
    <w:rsid w:val="00F64ECE"/>
    <w:rsid w:val="00F65160"/>
    <w:rsid w:val="00F65200"/>
    <w:rsid w:val="00F652DC"/>
    <w:rsid w:val="00F655A1"/>
    <w:rsid w:val="00F655EB"/>
    <w:rsid w:val="00F6575C"/>
    <w:rsid w:val="00F65C69"/>
    <w:rsid w:val="00F66DD9"/>
    <w:rsid w:val="00F670E4"/>
    <w:rsid w:val="00F6719C"/>
    <w:rsid w:val="00F67501"/>
    <w:rsid w:val="00F67B36"/>
    <w:rsid w:val="00F67B6E"/>
    <w:rsid w:val="00F67DAF"/>
    <w:rsid w:val="00F703E2"/>
    <w:rsid w:val="00F7087A"/>
    <w:rsid w:val="00F70B07"/>
    <w:rsid w:val="00F70BBD"/>
    <w:rsid w:val="00F71561"/>
    <w:rsid w:val="00F7174B"/>
    <w:rsid w:val="00F71BB8"/>
    <w:rsid w:val="00F71D1A"/>
    <w:rsid w:val="00F71D42"/>
    <w:rsid w:val="00F71E44"/>
    <w:rsid w:val="00F721B0"/>
    <w:rsid w:val="00F7260D"/>
    <w:rsid w:val="00F72953"/>
    <w:rsid w:val="00F72A85"/>
    <w:rsid w:val="00F72B0D"/>
    <w:rsid w:val="00F72CE9"/>
    <w:rsid w:val="00F73459"/>
    <w:rsid w:val="00F73B5B"/>
    <w:rsid w:val="00F73BBF"/>
    <w:rsid w:val="00F73F6C"/>
    <w:rsid w:val="00F749AF"/>
    <w:rsid w:val="00F74D3B"/>
    <w:rsid w:val="00F7515B"/>
    <w:rsid w:val="00F75686"/>
    <w:rsid w:val="00F75EB9"/>
    <w:rsid w:val="00F76A4E"/>
    <w:rsid w:val="00F76E6E"/>
    <w:rsid w:val="00F77765"/>
    <w:rsid w:val="00F77907"/>
    <w:rsid w:val="00F77EC3"/>
    <w:rsid w:val="00F8049C"/>
    <w:rsid w:val="00F80699"/>
    <w:rsid w:val="00F80806"/>
    <w:rsid w:val="00F816B4"/>
    <w:rsid w:val="00F817D2"/>
    <w:rsid w:val="00F819B0"/>
    <w:rsid w:val="00F81D98"/>
    <w:rsid w:val="00F81FF1"/>
    <w:rsid w:val="00F823C6"/>
    <w:rsid w:val="00F828C3"/>
    <w:rsid w:val="00F82D53"/>
    <w:rsid w:val="00F82EB4"/>
    <w:rsid w:val="00F842C0"/>
    <w:rsid w:val="00F84DDC"/>
    <w:rsid w:val="00F84E21"/>
    <w:rsid w:val="00F84E26"/>
    <w:rsid w:val="00F84E2D"/>
    <w:rsid w:val="00F84FB1"/>
    <w:rsid w:val="00F85141"/>
    <w:rsid w:val="00F853B8"/>
    <w:rsid w:val="00F85496"/>
    <w:rsid w:val="00F85BB3"/>
    <w:rsid w:val="00F85E98"/>
    <w:rsid w:val="00F86A35"/>
    <w:rsid w:val="00F86BC4"/>
    <w:rsid w:val="00F86F36"/>
    <w:rsid w:val="00F901BF"/>
    <w:rsid w:val="00F90F30"/>
    <w:rsid w:val="00F91036"/>
    <w:rsid w:val="00F9122E"/>
    <w:rsid w:val="00F91762"/>
    <w:rsid w:val="00F91943"/>
    <w:rsid w:val="00F91EDE"/>
    <w:rsid w:val="00F9242E"/>
    <w:rsid w:val="00F92562"/>
    <w:rsid w:val="00F92924"/>
    <w:rsid w:val="00F92A6F"/>
    <w:rsid w:val="00F93086"/>
    <w:rsid w:val="00F930B8"/>
    <w:rsid w:val="00F93675"/>
    <w:rsid w:val="00F9388B"/>
    <w:rsid w:val="00F93A21"/>
    <w:rsid w:val="00F93E65"/>
    <w:rsid w:val="00F94032"/>
    <w:rsid w:val="00F945ED"/>
    <w:rsid w:val="00F94824"/>
    <w:rsid w:val="00F94C4E"/>
    <w:rsid w:val="00F94D42"/>
    <w:rsid w:val="00F94FA2"/>
    <w:rsid w:val="00F951A5"/>
    <w:rsid w:val="00F9596E"/>
    <w:rsid w:val="00F95989"/>
    <w:rsid w:val="00F96798"/>
    <w:rsid w:val="00F96907"/>
    <w:rsid w:val="00F96919"/>
    <w:rsid w:val="00F96B58"/>
    <w:rsid w:val="00F974C8"/>
    <w:rsid w:val="00F97A96"/>
    <w:rsid w:val="00FA05EB"/>
    <w:rsid w:val="00FA0A7C"/>
    <w:rsid w:val="00FA10F4"/>
    <w:rsid w:val="00FA18D9"/>
    <w:rsid w:val="00FA19EB"/>
    <w:rsid w:val="00FA2F63"/>
    <w:rsid w:val="00FA320A"/>
    <w:rsid w:val="00FA3331"/>
    <w:rsid w:val="00FA3500"/>
    <w:rsid w:val="00FA360A"/>
    <w:rsid w:val="00FA3EC6"/>
    <w:rsid w:val="00FA3F05"/>
    <w:rsid w:val="00FA40C3"/>
    <w:rsid w:val="00FA46C9"/>
    <w:rsid w:val="00FA49B5"/>
    <w:rsid w:val="00FA511A"/>
    <w:rsid w:val="00FA56B2"/>
    <w:rsid w:val="00FA57AA"/>
    <w:rsid w:val="00FA5833"/>
    <w:rsid w:val="00FA5B48"/>
    <w:rsid w:val="00FA5C88"/>
    <w:rsid w:val="00FA6372"/>
    <w:rsid w:val="00FA6845"/>
    <w:rsid w:val="00FA6C8A"/>
    <w:rsid w:val="00FA7188"/>
    <w:rsid w:val="00FA7554"/>
    <w:rsid w:val="00FA7C8B"/>
    <w:rsid w:val="00FB0249"/>
    <w:rsid w:val="00FB0836"/>
    <w:rsid w:val="00FB09C6"/>
    <w:rsid w:val="00FB0AB9"/>
    <w:rsid w:val="00FB1096"/>
    <w:rsid w:val="00FB1257"/>
    <w:rsid w:val="00FB130D"/>
    <w:rsid w:val="00FB14BD"/>
    <w:rsid w:val="00FB18A9"/>
    <w:rsid w:val="00FB1CA4"/>
    <w:rsid w:val="00FB2004"/>
    <w:rsid w:val="00FB21FA"/>
    <w:rsid w:val="00FB2BEC"/>
    <w:rsid w:val="00FB2D58"/>
    <w:rsid w:val="00FB2E08"/>
    <w:rsid w:val="00FB32EA"/>
    <w:rsid w:val="00FB3362"/>
    <w:rsid w:val="00FB35BA"/>
    <w:rsid w:val="00FB372D"/>
    <w:rsid w:val="00FB3CE5"/>
    <w:rsid w:val="00FB3E16"/>
    <w:rsid w:val="00FB3ED8"/>
    <w:rsid w:val="00FB407C"/>
    <w:rsid w:val="00FB42F7"/>
    <w:rsid w:val="00FB4E94"/>
    <w:rsid w:val="00FB5337"/>
    <w:rsid w:val="00FB5502"/>
    <w:rsid w:val="00FB575C"/>
    <w:rsid w:val="00FB5971"/>
    <w:rsid w:val="00FB5D88"/>
    <w:rsid w:val="00FB5F1D"/>
    <w:rsid w:val="00FB6235"/>
    <w:rsid w:val="00FB6362"/>
    <w:rsid w:val="00FB6425"/>
    <w:rsid w:val="00FB6433"/>
    <w:rsid w:val="00FB6485"/>
    <w:rsid w:val="00FB70C1"/>
    <w:rsid w:val="00FB7560"/>
    <w:rsid w:val="00FB77D5"/>
    <w:rsid w:val="00FB789B"/>
    <w:rsid w:val="00FB791F"/>
    <w:rsid w:val="00FB793A"/>
    <w:rsid w:val="00FC01F3"/>
    <w:rsid w:val="00FC0662"/>
    <w:rsid w:val="00FC08E1"/>
    <w:rsid w:val="00FC0B12"/>
    <w:rsid w:val="00FC0E31"/>
    <w:rsid w:val="00FC12B4"/>
    <w:rsid w:val="00FC139C"/>
    <w:rsid w:val="00FC18A2"/>
    <w:rsid w:val="00FC1BBE"/>
    <w:rsid w:val="00FC1EDA"/>
    <w:rsid w:val="00FC265F"/>
    <w:rsid w:val="00FC2DFD"/>
    <w:rsid w:val="00FC2E91"/>
    <w:rsid w:val="00FC328E"/>
    <w:rsid w:val="00FC32C9"/>
    <w:rsid w:val="00FC32F4"/>
    <w:rsid w:val="00FC34B4"/>
    <w:rsid w:val="00FC429F"/>
    <w:rsid w:val="00FC42A6"/>
    <w:rsid w:val="00FC487E"/>
    <w:rsid w:val="00FC529E"/>
    <w:rsid w:val="00FC53A6"/>
    <w:rsid w:val="00FC5915"/>
    <w:rsid w:val="00FC5D6D"/>
    <w:rsid w:val="00FC5EED"/>
    <w:rsid w:val="00FC60E1"/>
    <w:rsid w:val="00FC6209"/>
    <w:rsid w:val="00FC641E"/>
    <w:rsid w:val="00FC6C0F"/>
    <w:rsid w:val="00FC6D3C"/>
    <w:rsid w:val="00FC7152"/>
    <w:rsid w:val="00FC7931"/>
    <w:rsid w:val="00FC7A07"/>
    <w:rsid w:val="00FC7AB2"/>
    <w:rsid w:val="00FC7BDE"/>
    <w:rsid w:val="00FD02B0"/>
    <w:rsid w:val="00FD0544"/>
    <w:rsid w:val="00FD07DD"/>
    <w:rsid w:val="00FD0B0F"/>
    <w:rsid w:val="00FD0D5A"/>
    <w:rsid w:val="00FD1ABB"/>
    <w:rsid w:val="00FD2233"/>
    <w:rsid w:val="00FD2786"/>
    <w:rsid w:val="00FD28E1"/>
    <w:rsid w:val="00FD28EA"/>
    <w:rsid w:val="00FD2BAB"/>
    <w:rsid w:val="00FD391A"/>
    <w:rsid w:val="00FD3D4F"/>
    <w:rsid w:val="00FD42A0"/>
    <w:rsid w:val="00FD466B"/>
    <w:rsid w:val="00FD4F74"/>
    <w:rsid w:val="00FD55AE"/>
    <w:rsid w:val="00FD57AC"/>
    <w:rsid w:val="00FD600F"/>
    <w:rsid w:val="00FD6657"/>
    <w:rsid w:val="00FD69D6"/>
    <w:rsid w:val="00FD7187"/>
    <w:rsid w:val="00FD72D8"/>
    <w:rsid w:val="00FD76B9"/>
    <w:rsid w:val="00FD7710"/>
    <w:rsid w:val="00FD7D9C"/>
    <w:rsid w:val="00FE015F"/>
    <w:rsid w:val="00FE0276"/>
    <w:rsid w:val="00FE02C7"/>
    <w:rsid w:val="00FE033E"/>
    <w:rsid w:val="00FE1190"/>
    <w:rsid w:val="00FE2EDE"/>
    <w:rsid w:val="00FE339F"/>
    <w:rsid w:val="00FE3522"/>
    <w:rsid w:val="00FE3546"/>
    <w:rsid w:val="00FE3B5F"/>
    <w:rsid w:val="00FE3D81"/>
    <w:rsid w:val="00FE4043"/>
    <w:rsid w:val="00FE4D61"/>
    <w:rsid w:val="00FE4FB6"/>
    <w:rsid w:val="00FE518C"/>
    <w:rsid w:val="00FE5873"/>
    <w:rsid w:val="00FE59C2"/>
    <w:rsid w:val="00FE61B0"/>
    <w:rsid w:val="00FE6527"/>
    <w:rsid w:val="00FE6824"/>
    <w:rsid w:val="00FE68C6"/>
    <w:rsid w:val="00FE695C"/>
    <w:rsid w:val="00FE6ADE"/>
    <w:rsid w:val="00FE6DB7"/>
    <w:rsid w:val="00FE6FB1"/>
    <w:rsid w:val="00FE733C"/>
    <w:rsid w:val="00FE77DD"/>
    <w:rsid w:val="00FE7F90"/>
    <w:rsid w:val="00FF02BC"/>
    <w:rsid w:val="00FF0330"/>
    <w:rsid w:val="00FF0417"/>
    <w:rsid w:val="00FF0584"/>
    <w:rsid w:val="00FF0CD1"/>
    <w:rsid w:val="00FF0E5C"/>
    <w:rsid w:val="00FF1167"/>
    <w:rsid w:val="00FF11E9"/>
    <w:rsid w:val="00FF166A"/>
    <w:rsid w:val="00FF1A54"/>
    <w:rsid w:val="00FF1FC4"/>
    <w:rsid w:val="00FF238F"/>
    <w:rsid w:val="00FF253D"/>
    <w:rsid w:val="00FF2F20"/>
    <w:rsid w:val="00FF40EF"/>
    <w:rsid w:val="00FF4A1B"/>
    <w:rsid w:val="00FF5F8B"/>
    <w:rsid w:val="00FF6396"/>
    <w:rsid w:val="00FF659E"/>
    <w:rsid w:val="00FF6B17"/>
    <w:rsid w:val="00FF6B55"/>
    <w:rsid w:val="00FF75F6"/>
    <w:rsid w:val="00FF7D34"/>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E4DE4"/>
  <w15:docId w15:val="{C6AE5E32-932D-438E-974D-CB00BB9E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F76"/>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ListParagraph"/>
    <w:next w:val="Normal"/>
    <w:link w:val="Heading1Char"/>
    <w:qFormat/>
    <w:rsid w:val="00F3762D"/>
    <w:pPr>
      <w:keepNext/>
      <w:widowControl/>
      <w:numPr>
        <w:numId w:val="1"/>
      </w:numPr>
      <w:autoSpaceDE w:val="0"/>
      <w:autoSpaceDN w:val="0"/>
      <w:spacing w:line="360" w:lineRule="auto"/>
      <w:ind w:left="720"/>
      <w:jc w:val="center"/>
      <w:outlineLvl w:val="0"/>
    </w:pPr>
    <w:rPr>
      <w:b/>
      <w:bCs/>
      <w:sz w:val="26"/>
      <w:szCs w:val="26"/>
    </w:rPr>
  </w:style>
  <w:style w:type="paragraph" w:styleId="Heading2">
    <w:name w:val="heading 2"/>
    <w:basedOn w:val="Normal"/>
    <w:next w:val="Normal"/>
    <w:link w:val="Heading2Char"/>
    <w:uiPriority w:val="9"/>
    <w:unhideWhenUsed/>
    <w:qFormat/>
    <w:rsid w:val="00F3762D"/>
    <w:pPr>
      <w:keepNext/>
      <w:keepLines/>
      <w:widowControl/>
      <w:numPr>
        <w:numId w:val="2"/>
      </w:numPr>
      <w:spacing w:line="360" w:lineRule="auto"/>
      <w:ind w:hanging="720"/>
      <w:contextualSpacing/>
      <w:outlineLvl w:val="1"/>
    </w:pPr>
    <w:rPr>
      <w:b/>
      <w:sz w:val="26"/>
      <w:szCs w:val="24"/>
    </w:rPr>
  </w:style>
  <w:style w:type="paragraph" w:styleId="Heading3">
    <w:name w:val="heading 3"/>
    <w:basedOn w:val="ListParagraph"/>
    <w:next w:val="Normal"/>
    <w:link w:val="Heading3Char"/>
    <w:uiPriority w:val="9"/>
    <w:unhideWhenUsed/>
    <w:qFormat/>
    <w:rsid w:val="00F3762D"/>
    <w:pPr>
      <w:widowControl/>
      <w:numPr>
        <w:numId w:val="6"/>
      </w:numPr>
      <w:tabs>
        <w:tab w:val="left" w:pos="1445"/>
      </w:tabs>
      <w:autoSpaceDE w:val="0"/>
      <w:autoSpaceDN w:val="0"/>
      <w:adjustRightInd w:val="0"/>
      <w:spacing w:line="360" w:lineRule="auto"/>
      <w:ind w:left="1440" w:hanging="720"/>
      <w:outlineLvl w:val="2"/>
    </w:pPr>
    <w:rPr>
      <w:b/>
      <w:sz w:val="26"/>
      <w:szCs w:val="26"/>
    </w:rPr>
  </w:style>
  <w:style w:type="paragraph" w:styleId="Heading4">
    <w:name w:val="heading 4"/>
    <w:basedOn w:val="ListParagraph"/>
    <w:next w:val="Normal"/>
    <w:link w:val="Heading4Char"/>
    <w:uiPriority w:val="9"/>
    <w:unhideWhenUsed/>
    <w:qFormat/>
    <w:rsid w:val="001A32A3"/>
    <w:pPr>
      <w:widowControl/>
      <w:numPr>
        <w:numId w:val="5"/>
      </w:numPr>
      <w:tabs>
        <w:tab w:val="left" w:pos="1445"/>
        <w:tab w:val="left" w:pos="7920"/>
      </w:tabs>
      <w:autoSpaceDE w:val="0"/>
      <w:autoSpaceDN w:val="0"/>
      <w:adjustRightInd w:val="0"/>
      <w:spacing w:line="360" w:lineRule="auto"/>
      <w:ind w:left="2160" w:hanging="720"/>
      <w:outlineLvl w:val="3"/>
    </w:pPr>
    <w:rPr>
      <w:b/>
      <w:sz w:val="26"/>
      <w:szCs w:val="26"/>
    </w:rPr>
  </w:style>
  <w:style w:type="paragraph" w:styleId="Heading5">
    <w:name w:val="heading 5"/>
    <w:basedOn w:val="ListParagraph"/>
    <w:next w:val="Normal"/>
    <w:link w:val="Heading5Char"/>
    <w:uiPriority w:val="9"/>
    <w:unhideWhenUsed/>
    <w:qFormat/>
    <w:rsid w:val="0096477E"/>
    <w:pPr>
      <w:widowControl/>
      <w:numPr>
        <w:numId w:val="11"/>
      </w:numPr>
      <w:tabs>
        <w:tab w:val="left" w:pos="1530"/>
        <w:tab w:val="left" w:pos="4410"/>
        <w:tab w:val="left" w:pos="7920"/>
      </w:tabs>
      <w:autoSpaceDE w:val="0"/>
      <w:autoSpaceDN w:val="0"/>
      <w:adjustRightInd w:val="0"/>
      <w:outlineLvl w:val="4"/>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Footnote Text Char1,Footnote Text Char2"/>
    <w:basedOn w:val="Normal"/>
    <w:link w:val="FootnoteTextChar"/>
    <w:uiPriority w:val="99"/>
    <w:unhideWhenUsed/>
    <w:qFormat/>
    <w:rsid w:val="00F7174B"/>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 w:type="paragraph" w:styleId="BlockText">
    <w:name w:val="Block Text"/>
    <w:basedOn w:val="Normal"/>
    <w:rsid w:val="00AF4817"/>
    <w:pPr>
      <w:tabs>
        <w:tab w:val="left" w:pos="-720"/>
      </w:tabs>
      <w:spacing w:line="360" w:lineRule="auto"/>
      <w:ind w:left="1440" w:right="2160"/>
    </w:pPr>
    <w:rPr>
      <w:sz w:val="26"/>
    </w:rPr>
  </w:style>
  <w:style w:type="character" w:customStyle="1" w:styleId="Heading1Char">
    <w:name w:val="Heading 1 Char"/>
    <w:basedOn w:val="DefaultParagraphFont"/>
    <w:link w:val="Heading1"/>
    <w:rsid w:val="00F3762D"/>
    <w:rPr>
      <w:rFonts w:ascii="Times New Roman" w:eastAsia="Times New Roman" w:hAnsi="Times New Roman" w:cs="Times New Roman"/>
      <w:b/>
      <w:bCs/>
      <w:sz w:val="26"/>
      <w:szCs w:val="26"/>
    </w:rPr>
  </w:style>
  <w:style w:type="character" w:styleId="Strong">
    <w:name w:val="Strong"/>
    <w:basedOn w:val="DefaultParagraphFont"/>
    <w:uiPriority w:val="22"/>
    <w:qFormat/>
    <w:rsid w:val="003F2A8B"/>
    <w:rPr>
      <w:b/>
      <w:bCs/>
    </w:rPr>
  </w:style>
  <w:style w:type="paragraph" w:customStyle="1" w:styleId="Default">
    <w:name w:val="Default"/>
    <w:rsid w:val="00970B08"/>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7561BC"/>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F07E6"/>
    <w:pPr>
      <w:tabs>
        <w:tab w:val="left" w:pos="630"/>
        <w:tab w:val="right" w:leader="dot" w:pos="9350"/>
      </w:tabs>
      <w:spacing w:after="100"/>
    </w:pPr>
    <w:rPr>
      <w:sz w:val="26"/>
    </w:rPr>
  </w:style>
  <w:style w:type="character" w:customStyle="1" w:styleId="Heading2Char">
    <w:name w:val="Heading 2 Char"/>
    <w:basedOn w:val="DefaultParagraphFont"/>
    <w:link w:val="Heading2"/>
    <w:uiPriority w:val="9"/>
    <w:rsid w:val="00F3762D"/>
    <w:rPr>
      <w:rFonts w:ascii="Times New Roman" w:eastAsia="Times New Roman" w:hAnsi="Times New Roman" w:cs="Times New Roman"/>
      <w:b/>
      <w:sz w:val="26"/>
      <w:szCs w:val="24"/>
    </w:rPr>
  </w:style>
  <w:style w:type="character" w:customStyle="1" w:styleId="Heading3Char">
    <w:name w:val="Heading 3 Char"/>
    <w:basedOn w:val="DefaultParagraphFont"/>
    <w:link w:val="Heading3"/>
    <w:uiPriority w:val="9"/>
    <w:rsid w:val="00F3762D"/>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1A32A3"/>
    <w:rPr>
      <w:rFonts w:ascii="Times New Roman" w:eastAsia="Times New Roman" w:hAnsi="Times New Roman" w:cs="Times New Roman"/>
      <w:b/>
      <w:sz w:val="26"/>
      <w:szCs w:val="26"/>
    </w:rPr>
  </w:style>
  <w:style w:type="paragraph" w:styleId="TOC2">
    <w:name w:val="toc 2"/>
    <w:basedOn w:val="Normal"/>
    <w:next w:val="Normal"/>
    <w:autoRedefine/>
    <w:uiPriority w:val="39"/>
    <w:unhideWhenUsed/>
    <w:rsid w:val="00C159C2"/>
    <w:pPr>
      <w:spacing w:after="100"/>
      <w:ind w:left="200"/>
    </w:pPr>
    <w:rPr>
      <w:sz w:val="26"/>
    </w:rPr>
  </w:style>
  <w:style w:type="paragraph" w:styleId="TOC3">
    <w:name w:val="toc 3"/>
    <w:basedOn w:val="Normal"/>
    <w:next w:val="Normal"/>
    <w:autoRedefine/>
    <w:uiPriority w:val="39"/>
    <w:unhideWhenUsed/>
    <w:rsid w:val="00C159C2"/>
    <w:pPr>
      <w:spacing w:after="100"/>
      <w:ind w:left="400"/>
    </w:pPr>
    <w:rPr>
      <w:sz w:val="26"/>
    </w:rPr>
  </w:style>
  <w:style w:type="character" w:customStyle="1" w:styleId="Heading5Char">
    <w:name w:val="Heading 5 Char"/>
    <w:basedOn w:val="DefaultParagraphFont"/>
    <w:link w:val="Heading5"/>
    <w:uiPriority w:val="9"/>
    <w:rsid w:val="0096477E"/>
    <w:rPr>
      <w:rFonts w:ascii="Times New Roman" w:eastAsia="Times New Roman" w:hAnsi="Times New Roman" w:cs="Times New Roman"/>
      <w:b/>
      <w:sz w:val="26"/>
      <w:szCs w:val="26"/>
    </w:rPr>
  </w:style>
  <w:style w:type="paragraph" w:styleId="TOC4">
    <w:name w:val="toc 4"/>
    <w:basedOn w:val="Normal"/>
    <w:next w:val="Normal"/>
    <w:autoRedefine/>
    <w:uiPriority w:val="39"/>
    <w:unhideWhenUsed/>
    <w:rsid w:val="00C159C2"/>
    <w:pPr>
      <w:spacing w:after="100"/>
      <w:ind w:left="600"/>
    </w:pPr>
    <w:rPr>
      <w:sz w:val="24"/>
    </w:rPr>
  </w:style>
  <w:style w:type="paragraph" w:styleId="TOC5">
    <w:name w:val="toc 5"/>
    <w:basedOn w:val="Normal"/>
    <w:next w:val="Normal"/>
    <w:autoRedefine/>
    <w:uiPriority w:val="39"/>
    <w:unhideWhenUsed/>
    <w:rsid w:val="007911B8"/>
    <w:pPr>
      <w:spacing w:after="100"/>
      <w:ind w:left="800"/>
    </w:pPr>
  </w:style>
  <w:style w:type="paragraph" w:styleId="NoSpacing">
    <w:name w:val="No Spacing"/>
    <w:uiPriority w:val="1"/>
    <w:qFormat/>
    <w:rsid w:val="00811BEF"/>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885278">
      <w:bodyDiv w:val="1"/>
      <w:marLeft w:val="0"/>
      <w:marRight w:val="0"/>
      <w:marTop w:val="0"/>
      <w:marBottom w:val="0"/>
      <w:divBdr>
        <w:top w:val="none" w:sz="0" w:space="0" w:color="auto"/>
        <w:left w:val="none" w:sz="0" w:space="0" w:color="auto"/>
        <w:bottom w:val="none" w:sz="0" w:space="0" w:color="auto"/>
        <w:right w:val="none" w:sz="0" w:space="0" w:color="auto"/>
      </w:divBdr>
    </w:div>
    <w:div w:id="954748948">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089156363">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89388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Y&amp;serNum=1981152534&amp;pubNum=162&amp;originatingDoc=Ia414e0560bd811e4a795ac035416da91&amp;refType=RP&amp;originationContext=document&amp;transitionType=DocumentItem&amp;contextData=(sc.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1.next.westlaw.com/Link/Document/FullText?findType=Y&amp;serNum=1980100003&amp;pubNum=162&amp;originatingDoc=Ia414e0560bd811e4a795ac035416da91&amp;refType=RP&amp;originationContext=document&amp;transitionType=DocumentItem&amp;contextData=(sc.Search)" TargetMode="External"/><Relationship Id="rId4" Type="http://schemas.openxmlformats.org/officeDocument/2006/relationships/settings" Target="settings.xml"/><Relationship Id="rId9" Type="http://schemas.openxmlformats.org/officeDocument/2006/relationships/hyperlink" Target="https://1.next.westlaw.com/Link/Document/FullText?findType=L&amp;pubNum=1000262&amp;cite=PA66S315&amp;originatingDoc=Ia414e0560bd811e4a795ac035416da91&amp;refType=LQ&amp;originationContext=document&amp;transitionType=DocumentItem&amp;contextData=(sc.Search)"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F496F-E5CB-45D5-BDB6-8D4B4A89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84</Pages>
  <Words>22315</Words>
  <Characters>127200</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eberzonsky</dc:creator>
  <cp:keywords/>
  <dc:description/>
  <cp:lastModifiedBy>Sheffer, Ryan</cp:lastModifiedBy>
  <cp:revision>4</cp:revision>
  <cp:lastPrinted>2018-09-11T19:38:00Z</cp:lastPrinted>
  <dcterms:created xsi:type="dcterms:W3CDTF">2018-09-12T13:51:00Z</dcterms:created>
  <dcterms:modified xsi:type="dcterms:W3CDTF">2018-09-20T12:38:00Z</dcterms:modified>
</cp:coreProperties>
</file>