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694" w:rsidRPr="002A5D4B" w:rsidRDefault="001E0694" w:rsidP="001E0694">
      <w:pPr>
        <w:spacing w:line="240" w:lineRule="auto"/>
        <w:ind w:firstLine="0"/>
        <w:rPr>
          <w:b/>
          <w:sz w:val="26"/>
          <w:szCs w:val="26"/>
        </w:rPr>
      </w:pPr>
      <w:r w:rsidRPr="002A5D4B">
        <w:rPr>
          <w:b/>
          <w:sz w:val="26"/>
          <w:szCs w:val="26"/>
        </w:rPr>
        <w:t>PENNSYLVANIA</w:t>
      </w:r>
    </w:p>
    <w:p w:rsidR="001E0694" w:rsidRPr="002A5D4B" w:rsidRDefault="001E0694" w:rsidP="001E0694">
      <w:pPr>
        <w:spacing w:line="240" w:lineRule="auto"/>
        <w:ind w:firstLine="0"/>
        <w:rPr>
          <w:b/>
          <w:sz w:val="26"/>
          <w:szCs w:val="26"/>
        </w:rPr>
      </w:pPr>
      <w:r w:rsidRPr="002A5D4B">
        <w:rPr>
          <w:b/>
          <w:sz w:val="26"/>
          <w:szCs w:val="26"/>
        </w:rPr>
        <w:t>PUBLIC UTILITY COMMISSION</w:t>
      </w:r>
    </w:p>
    <w:p w:rsidR="001E0694" w:rsidRDefault="001E0694" w:rsidP="001E0694">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1E0694" w:rsidRPr="00BA66A4" w:rsidRDefault="001E0694" w:rsidP="001E0694">
      <w:pPr>
        <w:spacing w:line="240" w:lineRule="auto"/>
        <w:ind w:firstLine="0"/>
        <w:jc w:val="left"/>
        <w:rPr>
          <w:sz w:val="26"/>
          <w:szCs w:val="26"/>
        </w:rPr>
      </w:pPr>
    </w:p>
    <w:p w:rsidR="001E0694" w:rsidRPr="002A5D4B" w:rsidRDefault="001E0694" w:rsidP="001E0694">
      <w:pPr>
        <w:ind w:firstLine="0"/>
        <w:jc w:val="right"/>
        <w:rPr>
          <w:sz w:val="26"/>
          <w:szCs w:val="26"/>
        </w:rPr>
      </w:pPr>
      <w:r>
        <w:rPr>
          <w:sz w:val="26"/>
          <w:szCs w:val="26"/>
        </w:rPr>
        <w:t>P</w:t>
      </w:r>
      <w:r w:rsidRPr="002A5D4B">
        <w:rPr>
          <w:sz w:val="26"/>
          <w:szCs w:val="26"/>
        </w:rPr>
        <w:t xml:space="preserve">ublic Meeting held </w:t>
      </w:r>
      <w:r w:rsidR="004E3D3C">
        <w:rPr>
          <w:sz w:val="26"/>
          <w:szCs w:val="26"/>
        </w:rPr>
        <w:t>September 20</w:t>
      </w:r>
      <w:r>
        <w:rPr>
          <w:sz w:val="26"/>
          <w:szCs w:val="26"/>
        </w:rPr>
        <w:t>,</w:t>
      </w:r>
      <w:r w:rsidRPr="00B01CA9">
        <w:rPr>
          <w:kern w:val="1"/>
          <w:sz w:val="26"/>
          <w:szCs w:val="26"/>
        </w:rPr>
        <w:t xml:space="preserve"> 20</w:t>
      </w:r>
      <w:r>
        <w:rPr>
          <w:kern w:val="1"/>
          <w:sz w:val="26"/>
          <w:szCs w:val="26"/>
        </w:rPr>
        <w:t>1</w:t>
      </w:r>
      <w:r w:rsidR="004E3D3C">
        <w:rPr>
          <w:kern w:val="1"/>
          <w:sz w:val="26"/>
          <w:szCs w:val="26"/>
        </w:rPr>
        <w:t>8</w:t>
      </w:r>
    </w:p>
    <w:p w:rsidR="001E0694" w:rsidRPr="002A5D4B" w:rsidRDefault="001E0694" w:rsidP="001E0694">
      <w:pPr>
        <w:spacing w:line="240" w:lineRule="auto"/>
        <w:ind w:firstLine="0"/>
        <w:jc w:val="left"/>
        <w:rPr>
          <w:sz w:val="26"/>
          <w:szCs w:val="26"/>
        </w:rPr>
      </w:pPr>
    </w:p>
    <w:p w:rsidR="001E0694" w:rsidRPr="002A5D4B" w:rsidRDefault="001E0694" w:rsidP="001E0694">
      <w:pPr>
        <w:spacing w:line="240" w:lineRule="auto"/>
        <w:ind w:firstLine="0"/>
        <w:jc w:val="left"/>
        <w:rPr>
          <w:sz w:val="26"/>
          <w:szCs w:val="26"/>
        </w:rPr>
      </w:pPr>
      <w:r w:rsidRPr="002A5D4B">
        <w:rPr>
          <w:sz w:val="26"/>
          <w:szCs w:val="26"/>
        </w:rPr>
        <w:t>Commissioners Present:</w:t>
      </w:r>
    </w:p>
    <w:p w:rsidR="001E0694" w:rsidRPr="002A5D4B" w:rsidRDefault="001E0694" w:rsidP="001E0694">
      <w:pPr>
        <w:spacing w:line="240" w:lineRule="auto"/>
        <w:ind w:firstLine="0"/>
        <w:jc w:val="left"/>
        <w:rPr>
          <w:sz w:val="26"/>
          <w:szCs w:val="26"/>
        </w:rPr>
      </w:pPr>
    </w:p>
    <w:p w:rsidR="001E0694" w:rsidRPr="002A5D4B" w:rsidRDefault="001E0694" w:rsidP="001E0694">
      <w:pPr>
        <w:spacing w:line="240" w:lineRule="auto"/>
        <w:ind w:firstLine="0"/>
        <w:jc w:val="left"/>
        <w:rPr>
          <w:sz w:val="26"/>
          <w:szCs w:val="26"/>
        </w:rPr>
      </w:pPr>
      <w:r>
        <w:rPr>
          <w:sz w:val="26"/>
          <w:szCs w:val="26"/>
        </w:rPr>
        <w:tab/>
        <w:t>Gladys M. Brown</w:t>
      </w:r>
      <w:r w:rsidRPr="002A5D4B">
        <w:rPr>
          <w:sz w:val="26"/>
          <w:szCs w:val="26"/>
        </w:rPr>
        <w:t>, Chairman</w:t>
      </w:r>
    </w:p>
    <w:p w:rsidR="001E0694" w:rsidRDefault="001E0694" w:rsidP="001E0694">
      <w:pPr>
        <w:spacing w:line="240" w:lineRule="auto"/>
        <w:ind w:firstLine="0"/>
        <w:jc w:val="left"/>
        <w:rPr>
          <w:sz w:val="26"/>
          <w:szCs w:val="26"/>
        </w:rPr>
      </w:pPr>
      <w:r>
        <w:rPr>
          <w:sz w:val="26"/>
          <w:szCs w:val="26"/>
        </w:rPr>
        <w:tab/>
        <w:t>Andrew G. Place</w:t>
      </w:r>
      <w:r w:rsidRPr="002A5D4B">
        <w:rPr>
          <w:sz w:val="26"/>
          <w:szCs w:val="26"/>
        </w:rPr>
        <w:t>, Vice Chairman</w:t>
      </w:r>
    </w:p>
    <w:p w:rsidR="001E0694" w:rsidRDefault="001E0694" w:rsidP="001E0694">
      <w:pPr>
        <w:spacing w:line="240" w:lineRule="auto"/>
        <w:ind w:firstLine="0"/>
        <w:jc w:val="left"/>
        <w:rPr>
          <w:sz w:val="26"/>
          <w:szCs w:val="26"/>
        </w:rPr>
      </w:pPr>
      <w:r>
        <w:rPr>
          <w:sz w:val="26"/>
          <w:szCs w:val="26"/>
        </w:rPr>
        <w:tab/>
        <w:t>Norman J. Kennard</w:t>
      </w:r>
    </w:p>
    <w:p w:rsidR="001E0694" w:rsidRDefault="007C28B7" w:rsidP="007C28B7">
      <w:pPr>
        <w:spacing w:line="240" w:lineRule="auto"/>
        <w:ind w:firstLine="0"/>
        <w:jc w:val="left"/>
        <w:rPr>
          <w:sz w:val="26"/>
          <w:szCs w:val="26"/>
        </w:rPr>
      </w:pPr>
      <w:r>
        <w:rPr>
          <w:sz w:val="26"/>
          <w:szCs w:val="26"/>
        </w:rPr>
        <w:tab/>
      </w:r>
      <w:r w:rsidR="001E0694">
        <w:rPr>
          <w:sz w:val="26"/>
          <w:szCs w:val="26"/>
        </w:rPr>
        <w:t>David W. Sweet</w:t>
      </w:r>
    </w:p>
    <w:p w:rsidR="001E0694" w:rsidRPr="002A5D4B" w:rsidRDefault="007C28B7" w:rsidP="007C28B7">
      <w:pPr>
        <w:spacing w:line="240" w:lineRule="auto"/>
        <w:ind w:firstLine="0"/>
        <w:jc w:val="left"/>
        <w:rPr>
          <w:sz w:val="26"/>
          <w:szCs w:val="26"/>
        </w:rPr>
      </w:pPr>
      <w:r>
        <w:rPr>
          <w:sz w:val="26"/>
          <w:szCs w:val="26"/>
        </w:rPr>
        <w:tab/>
      </w:r>
      <w:r w:rsidR="001E0694">
        <w:rPr>
          <w:sz w:val="26"/>
          <w:szCs w:val="26"/>
        </w:rPr>
        <w:t>John F. Coleman, Jr.</w:t>
      </w:r>
    </w:p>
    <w:p w:rsidR="001E0694" w:rsidRPr="002A5D4B" w:rsidRDefault="001E0694" w:rsidP="001E0694">
      <w:pPr>
        <w:spacing w:line="240" w:lineRule="auto"/>
        <w:ind w:firstLine="0"/>
        <w:jc w:val="left"/>
        <w:rPr>
          <w:sz w:val="26"/>
          <w:szCs w:val="26"/>
        </w:rPr>
      </w:pPr>
    </w:p>
    <w:p w:rsidR="001E0694" w:rsidRPr="007F73BF" w:rsidRDefault="001E0694" w:rsidP="001E0694">
      <w:pPr>
        <w:spacing w:line="240" w:lineRule="auto"/>
        <w:ind w:firstLine="0"/>
        <w:rPr>
          <w:sz w:val="26"/>
          <w:szCs w:val="26"/>
        </w:rPr>
      </w:pPr>
    </w:p>
    <w:p w:rsidR="001E0694" w:rsidRPr="007F73BF" w:rsidRDefault="001E0694" w:rsidP="001E0694">
      <w:pPr>
        <w:spacing w:line="240" w:lineRule="auto"/>
        <w:ind w:firstLine="0"/>
        <w:rPr>
          <w:sz w:val="26"/>
          <w:szCs w:val="26"/>
        </w:rPr>
      </w:pPr>
    </w:p>
    <w:p w:rsidR="001E0694" w:rsidRPr="004E3D3C" w:rsidRDefault="004E3D3C" w:rsidP="004E3D3C">
      <w:pPr>
        <w:pStyle w:val="ListParagraph"/>
        <w:numPr>
          <w:ilvl w:val="0"/>
          <w:numId w:val="1"/>
        </w:numPr>
        <w:tabs>
          <w:tab w:val="left" w:pos="-720"/>
          <w:tab w:val="left" w:pos="0"/>
        </w:tabs>
        <w:suppressAutoHyphens/>
        <w:spacing w:line="240" w:lineRule="auto"/>
        <w:ind w:left="360"/>
        <w:jc w:val="left"/>
        <w:rPr>
          <w:sz w:val="26"/>
          <w:szCs w:val="26"/>
        </w:rPr>
      </w:pPr>
      <w:r>
        <w:rPr>
          <w:sz w:val="26"/>
          <w:szCs w:val="26"/>
        </w:rPr>
        <w:t>Raymond Kochis</w:t>
      </w:r>
      <w:r w:rsidR="001E0694" w:rsidRPr="004E3D3C">
        <w:rPr>
          <w:sz w:val="26"/>
          <w:szCs w:val="26"/>
        </w:rPr>
        <w:tab/>
      </w:r>
      <w:r w:rsidR="001E0694" w:rsidRPr="004E3D3C">
        <w:rPr>
          <w:sz w:val="26"/>
          <w:szCs w:val="26"/>
        </w:rPr>
        <w:tab/>
      </w:r>
      <w:r w:rsidR="001E0694" w:rsidRPr="004E3D3C">
        <w:rPr>
          <w:sz w:val="26"/>
          <w:szCs w:val="26"/>
        </w:rPr>
        <w:tab/>
      </w:r>
      <w:r w:rsidR="001E0694" w:rsidRPr="004E3D3C">
        <w:rPr>
          <w:sz w:val="26"/>
          <w:szCs w:val="26"/>
        </w:rPr>
        <w:tab/>
      </w:r>
      <w:r w:rsidR="001E0694" w:rsidRPr="004E3D3C">
        <w:rPr>
          <w:sz w:val="26"/>
          <w:szCs w:val="26"/>
        </w:rPr>
        <w:tab/>
      </w:r>
      <w:r w:rsidR="001E0694" w:rsidRPr="004E3D3C">
        <w:rPr>
          <w:sz w:val="26"/>
          <w:szCs w:val="26"/>
        </w:rPr>
        <w:tab/>
      </w:r>
      <w:r w:rsidR="001E0694" w:rsidRPr="004E3D3C">
        <w:rPr>
          <w:sz w:val="26"/>
          <w:szCs w:val="26"/>
        </w:rPr>
        <w:tab/>
        <w:t xml:space="preserve">     C-201</w:t>
      </w:r>
      <w:r>
        <w:rPr>
          <w:sz w:val="26"/>
          <w:szCs w:val="26"/>
        </w:rPr>
        <w:t>7</w:t>
      </w:r>
      <w:r w:rsidR="001E0694" w:rsidRPr="004E3D3C">
        <w:rPr>
          <w:sz w:val="26"/>
          <w:szCs w:val="26"/>
        </w:rPr>
        <w:t>-2</w:t>
      </w:r>
      <w:r>
        <w:rPr>
          <w:sz w:val="26"/>
          <w:szCs w:val="26"/>
        </w:rPr>
        <w:t>601038</w:t>
      </w:r>
    </w:p>
    <w:p w:rsidR="001E0694" w:rsidRDefault="001E0694" w:rsidP="001E0694">
      <w:pPr>
        <w:tabs>
          <w:tab w:val="left" w:pos="-720"/>
          <w:tab w:val="left" w:pos="0"/>
        </w:tabs>
        <w:suppressAutoHyphens/>
        <w:spacing w:line="240" w:lineRule="auto"/>
        <w:ind w:firstLine="0"/>
        <w:jc w:val="left"/>
        <w:rPr>
          <w:b/>
          <w:sz w:val="26"/>
          <w:szCs w:val="26"/>
        </w:rPr>
      </w:pPr>
    </w:p>
    <w:p w:rsidR="001E0694" w:rsidRDefault="001E0694" w:rsidP="001E0694">
      <w:pPr>
        <w:tabs>
          <w:tab w:val="left" w:pos="-720"/>
          <w:tab w:val="left" w:pos="0"/>
        </w:tabs>
        <w:suppressAutoHyphens/>
        <w:spacing w:line="240" w:lineRule="auto"/>
        <w:ind w:firstLine="0"/>
        <w:jc w:val="left"/>
        <w:rPr>
          <w:sz w:val="26"/>
          <w:szCs w:val="26"/>
        </w:rPr>
      </w:pPr>
      <w:r>
        <w:rPr>
          <w:b/>
          <w:sz w:val="26"/>
          <w:szCs w:val="26"/>
        </w:rPr>
        <w:tab/>
      </w:r>
      <w:r>
        <w:rPr>
          <w:sz w:val="26"/>
          <w:szCs w:val="26"/>
        </w:rPr>
        <w:t>v.</w:t>
      </w:r>
    </w:p>
    <w:p w:rsidR="001E0694" w:rsidRDefault="001E0694" w:rsidP="001E0694">
      <w:pPr>
        <w:tabs>
          <w:tab w:val="left" w:pos="-720"/>
          <w:tab w:val="left" w:pos="0"/>
        </w:tabs>
        <w:suppressAutoHyphens/>
        <w:spacing w:line="240" w:lineRule="auto"/>
        <w:ind w:firstLine="0"/>
        <w:jc w:val="left"/>
        <w:rPr>
          <w:sz w:val="26"/>
          <w:szCs w:val="26"/>
        </w:rPr>
      </w:pPr>
    </w:p>
    <w:p w:rsidR="001E0694" w:rsidRPr="001E0694" w:rsidRDefault="004E3D3C" w:rsidP="001E0694">
      <w:pPr>
        <w:tabs>
          <w:tab w:val="left" w:pos="-720"/>
          <w:tab w:val="left" w:pos="0"/>
        </w:tabs>
        <w:suppressAutoHyphens/>
        <w:spacing w:line="240" w:lineRule="auto"/>
        <w:ind w:firstLine="0"/>
        <w:jc w:val="left"/>
        <w:rPr>
          <w:sz w:val="26"/>
          <w:szCs w:val="26"/>
        </w:rPr>
      </w:pPr>
      <w:r>
        <w:rPr>
          <w:sz w:val="26"/>
          <w:szCs w:val="26"/>
        </w:rPr>
        <w:t>Duquesne Light Company</w:t>
      </w:r>
    </w:p>
    <w:p w:rsidR="001E0694" w:rsidRDefault="001E0694" w:rsidP="001E0694">
      <w:pPr>
        <w:tabs>
          <w:tab w:val="left" w:pos="-720"/>
        </w:tabs>
        <w:suppressAutoHyphens/>
        <w:ind w:firstLine="0"/>
        <w:jc w:val="left"/>
        <w:rPr>
          <w:sz w:val="26"/>
        </w:rPr>
      </w:pPr>
    </w:p>
    <w:p w:rsidR="001E0694" w:rsidRDefault="001E0694" w:rsidP="0072516B">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1E0694" w:rsidRDefault="001E0694" w:rsidP="0072516B">
      <w:pPr>
        <w:suppressAutoHyphens/>
        <w:ind w:firstLine="0"/>
        <w:rPr>
          <w:b/>
          <w:sz w:val="26"/>
          <w:szCs w:val="26"/>
        </w:rPr>
      </w:pPr>
    </w:p>
    <w:p w:rsidR="001E0694" w:rsidRDefault="001E0694" w:rsidP="001E0694">
      <w:pPr>
        <w:tabs>
          <w:tab w:val="left" w:pos="-720"/>
        </w:tabs>
        <w:suppressAutoHyphens/>
        <w:ind w:firstLine="0"/>
        <w:jc w:val="left"/>
        <w:rPr>
          <w:sz w:val="26"/>
        </w:rPr>
      </w:pPr>
      <w:r w:rsidRPr="00624B80">
        <w:rPr>
          <w:b/>
          <w:sz w:val="26"/>
        </w:rPr>
        <w:t>BY THE COMMISSION:</w:t>
      </w:r>
    </w:p>
    <w:p w:rsidR="001E0694" w:rsidRDefault="001E0694" w:rsidP="0072516B">
      <w:pPr>
        <w:ind w:firstLine="0"/>
        <w:jc w:val="left"/>
        <w:rPr>
          <w:sz w:val="26"/>
          <w:szCs w:val="26"/>
        </w:rPr>
      </w:pPr>
    </w:p>
    <w:p w:rsidR="001E0694" w:rsidRDefault="001E0694" w:rsidP="001E0694">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sidR="00A92CCE">
        <w:rPr>
          <w:sz w:val="26"/>
          <w:szCs w:val="26"/>
        </w:rPr>
        <w:t>and disposition is a</w:t>
      </w:r>
      <w:r>
        <w:rPr>
          <w:sz w:val="26"/>
          <w:szCs w:val="26"/>
        </w:rPr>
        <w:t xml:space="preserve"> Petition </w:t>
      </w:r>
      <w:r w:rsidR="00CE25B3">
        <w:rPr>
          <w:sz w:val="26"/>
          <w:szCs w:val="26"/>
        </w:rPr>
        <w:t>for Rescission (Petition)</w:t>
      </w:r>
      <w:r w:rsidR="004E3D3C">
        <w:rPr>
          <w:rStyle w:val="FootnoteReference"/>
          <w:sz w:val="26"/>
          <w:szCs w:val="26"/>
        </w:rPr>
        <w:footnoteReference w:id="1"/>
      </w:r>
      <w:r w:rsidR="00CE25B3">
        <w:rPr>
          <w:sz w:val="26"/>
          <w:szCs w:val="26"/>
        </w:rPr>
        <w:t xml:space="preserve"> </w:t>
      </w:r>
      <w:bookmarkStart w:id="0" w:name="_Hlk500512169"/>
      <w:r w:rsidR="00CE25B3">
        <w:rPr>
          <w:sz w:val="26"/>
          <w:szCs w:val="26"/>
        </w:rPr>
        <w:t>of</w:t>
      </w:r>
      <w:r>
        <w:rPr>
          <w:sz w:val="26"/>
          <w:szCs w:val="26"/>
        </w:rPr>
        <w:t xml:space="preserve"> </w:t>
      </w:r>
      <w:r w:rsidR="00CE25B3">
        <w:rPr>
          <w:sz w:val="26"/>
          <w:szCs w:val="26"/>
        </w:rPr>
        <w:t xml:space="preserve">a Commission Opinion and Order filed by </w:t>
      </w:r>
      <w:r w:rsidR="004E3D3C">
        <w:rPr>
          <w:sz w:val="26"/>
          <w:szCs w:val="26"/>
        </w:rPr>
        <w:t>A. Raymond Kochis</w:t>
      </w:r>
      <w:r w:rsidR="00CE25B3">
        <w:rPr>
          <w:sz w:val="26"/>
          <w:szCs w:val="26"/>
        </w:rPr>
        <w:t xml:space="preserve"> (Complainant</w:t>
      </w:r>
      <w:r>
        <w:rPr>
          <w:sz w:val="26"/>
          <w:szCs w:val="26"/>
        </w:rPr>
        <w:t xml:space="preserve">) </w:t>
      </w:r>
      <w:r w:rsidR="00DD258F">
        <w:rPr>
          <w:sz w:val="26"/>
          <w:szCs w:val="26"/>
        </w:rPr>
        <w:t xml:space="preserve">on May </w:t>
      </w:r>
      <w:r w:rsidR="004E3D3C">
        <w:rPr>
          <w:sz w:val="26"/>
          <w:szCs w:val="26"/>
        </w:rPr>
        <w:t>17</w:t>
      </w:r>
      <w:r w:rsidR="00DD258F">
        <w:rPr>
          <w:sz w:val="26"/>
          <w:szCs w:val="26"/>
        </w:rPr>
        <w:t>, 201</w:t>
      </w:r>
      <w:r w:rsidR="004E3D3C">
        <w:rPr>
          <w:sz w:val="26"/>
          <w:szCs w:val="26"/>
        </w:rPr>
        <w:t>8</w:t>
      </w:r>
      <w:r w:rsidR="00DD258F">
        <w:rPr>
          <w:sz w:val="26"/>
          <w:szCs w:val="26"/>
        </w:rPr>
        <w:t xml:space="preserve">, </w:t>
      </w:r>
      <w:bookmarkEnd w:id="0"/>
      <w:r w:rsidR="00CE25B3">
        <w:rPr>
          <w:sz w:val="26"/>
          <w:szCs w:val="26"/>
        </w:rPr>
        <w:t>relative to the above-captioned proceeding.  Th</w:t>
      </w:r>
      <w:r w:rsidR="007C137E">
        <w:rPr>
          <w:sz w:val="26"/>
          <w:szCs w:val="26"/>
        </w:rPr>
        <w:t xml:space="preserve">is Petition concerns the Initial Decision (I.D.) of Administrative Law Judge (ALJ) Katrina L. Dunderdale, issued on </w:t>
      </w:r>
      <w:r w:rsidR="004E3D3C">
        <w:rPr>
          <w:sz w:val="26"/>
          <w:szCs w:val="26"/>
        </w:rPr>
        <w:t>January 30</w:t>
      </w:r>
      <w:r w:rsidR="00FC27BC">
        <w:rPr>
          <w:sz w:val="26"/>
          <w:szCs w:val="26"/>
        </w:rPr>
        <w:t>, 201</w:t>
      </w:r>
      <w:r w:rsidR="004E3D3C">
        <w:rPr>
          <w:sz w:val="26"/>
          <w:szCs w:val="26"/>
        </w:rPr>
        <w:t>8</w:t>
      </w:r>
      <w:r w:rsidR="007C137E">
        <w:rPr>
          <w:sz w:val="26"/>
          <w:szCs w:val="26"/>
        </w:rPr>
        <w:t xml:space="preserve">, in the above-captioned proceeding which became the final action of the Commission when </w:t>
      </w:r>
      <w:r w:rsidR="007C137E">
        <w:rPr>
          <w:sz w:val="26"/>
          <w:szCs w:val="26"/>
        </w:rPr>
        <w:lastRenderedPageBreak/>
        <w:t xml:space="preserve">no exceptions were filed.  </w:t>
      </w:r>
      <w:r w:rsidR="004E3D3C">
        <w:rPr>
          <w:sz w:val="26"/>
          <w:szCs w:val="26"/>
        </w:rPr>
        <w:t>Duquesne Light Company (D</w:t>
      </w:r>
      <w:r w:rsidR="007C137E">
        <w:rPr>
          <w:sz w:val="26"/>
          <w:szCs w:val="26"/>
        </w:rPr>
        <w:t>LC</w:t>
      </w:r>
      <w:r w:rsidR="004E3D3C">
        <w:rPr>
          <w:sz w:val="26"/>
          <w:szCs w:val="26"/>
        </w:rPr>
        <w:t>) filed a Motion to Quash</w:t>
      </w:r>
      <w:r w:rsidR="003149CA">
        <w:rPr>
          <w:rStyle w:val="FootnoteReference"/>
          <w:sz w:val="26"/>
          <w:szCs w:val="26"/>
        </w:rPr>
        <w:footnoteReference w:id="2"/>
      </w:r>
      <w:r w:rsidR="004E3D3C">
        <w:rPr>
          <w:sz w:val="26"/>
          <w:szCs w:val="26"/>
        </w:rPr>
        <w:t xml:space="preserve"> on May 24, 2018.  </w:t>
      </w:r>
      <w:r>
        <w:rPr>
          <w:sz w:val="26"/>
          <w:szCs w:val="26"/>
        </w:rPr>
        <w:t>For the reasons stated below</w:t>
      </w:r>
      <w:r w:rsidR="00105D2C">
        <w:rPr>
          <w:sz w:val="26"/>
          <w:szCs w:val="26"/>
        </w:rPr>
        <w:t>, we will deny the Complainant’s</w:t>
      </w:r>
      <w:r>
        <w:rPr>
          <w:sz w:val="26"/>
          <w:szCs w:val="26"/>
        </w:rPr>
        <w:t xml:space="preserve"> Petition.</w:t>
      </w:r>
    </w:p>
    <w:p w:rsidR="00105D2C" w:rsidRDefault="00105D2C" w:rsidP="001E0694">
      <w:pPr>
        <w:ind w:firstLine="1440"/>
        <w:jc w:val="left"/>
        <w:rPr>
          <w:sz w:val="26"/>
          <w:szCs w:val="26"/>
        </w:rPr>
      </w:pPr>
    </w:p>
    <w:p w:rsidR="001E0694" w:rsidRPr="005A358A" w:rsidRDefault="001E0694" w:rsidP="0072516B">
      <w:pPr>
        <w:keepNext/>
        <w:keepLines/>
        <w:ind w:firstLine="0"/>
        <w:rPr>
          <w:b/>
          <w:sz w:val="26"/>
          <w:szCs w:val="26"/>
        </w:rPr>
      </w:pPr>
      <w:r w:rsidRPr="005A358A">
        <w:rPr>
          <w:b/>
          <w:sz w:val="26"/>
          <w:szCs w:val="26"/>
        </w:rPr>
        <w:t>History of the Proceeding</w:t>
      </w:r>
    </w:p>
    <w:p w:rsidR="005A358A" w:rsidRPr="005A358A" w:rsidRDefault="005A358A" w:rsidP="005A358A">
      <w:pPr>
        <w:keepNext/>
        <w:keepLines/>
        <w:ind w:firstLine="0"/>
        <w:jc w:val="left"/>
        <w:rPr>
          <w:b/>
          <w:sz w:val="26"/>
          <w:szCs w:val="26"/>
        </w:rPr>
      </w:pPr>
    </w:p>
    <w:p w:rsidR="007C137E" w:rsidRDefault="007C137E" w:rsidP="005A358A">
      <w:pPr>
        <w:tabs>
          <w:tab w:val="left" w:pos="-720"/>
        </w:tabs>
        <w:suppressAutoHyphens/>
        <w:autoSpaceDE w:val="0"/>
        <w:autoSpaceDN w:val="0"/>
        <w:jc w:val="left"/>
        <w:rPr>
          <w:rFonts w:eastAsia="Times New Roman"/>
          <w:sz w:val="26"/>
          <w:szCs w:val="26"/>
        </w:rPr>
      </w:pPr>
      <w:r>
        <w:rPr>
          <w:rFonts w:eastAsia="Times New Roman"/>
          <w:sz w:val="26"/>
          <w:szCs w:val="26"/>
        </w:rPr>
        <w:tab/>
        <w:t xml:space="preserve">On April 26, 2017, </w:t>
      </w:r>
      <w:r w:rsidR="00EF0BBC">
        <w:rPr>
          <w:rFonts w:eastAsia="Times New Roman"/>
          <w:sz w:val="26"/>
          <w:szCs w:val="26"/>
        </w:rPr>
        <w:t>the Complainant filed</w:t>
      </w:r>
      <w:r>
        <w:rPr>
          <w:rFonts w:eastAsia="Times New Roman"/>
          <w:sz w:val="26"/>
          <w:szCs w:val="26"/>
        </w:rPr>
        <w:t xml:space="preserve"> a </w:t>
      </w:r>
      <w:r w:rsidR="002E17C0">
        <w:rPr>
          <w:rFonts w:eastAsia="Times New Roman"/>
          <w:sz w:val="26"/>
          <w:szCs w:val="26"/>
        </w:rPr>
        <w:t>F</w:t>
      </w:r>
      <w:r>
        <w:rPr>
          <w:rFonts w:eastAsia="Times New Roman"/>
          <w:sz w:val="26"/>
          <w:szCs w:val="26"/>
        </w:rPr>
        <w:t xml:space="preserve">ormal </w:t>
      </w:r>
      <w:r w:rsidR="002E17C0">
        <w:rPr>
          <w:rFonts w:eastAsia="Times New Roman"/>
          <w:sz w:val="26"/>
          <w:szCs w:val="26"/>
        </w:rPr>
        <w:t>C</w:t>
      </w:r>
      <w:r w:rsidR="00EF0BBC">
        <w:rPr>
          <w:rFonts w:eastAsia="Times New Roman"/>
          <w:sz w:val="26"/>
          <w:szCs w:val="26"/>
        </w:rPr>
        <w:t xml:space="preserve">omplaint </w:t>
      </w:r>
      <w:r w:rsidR="002E17C0">
        <w:rPr>
          <w:rFonts w:eastAsia="Times New Roman"/>
          <w:sz w:val="26"/>
          <w:szCs w:val="26"/>
        </w:rPr>
        <w:t xml:space="preserve">(Complaint) </w:t>
      </w:r>
      <w:r w:rsidR="00EF0BBC">
        <w:rPr>
          <w:rFonts w:eastAsia="Times New Roman"/>
          <w:sz w:val="26"/>
          <w:szCs w:val="26"/>
        </w:rPr>
        <w:t>alleging</w:t>
      </w:r>
      <w:r>
        <w:rPr>
          <w:rFonts w:eastAsia="Times New Roman"/>
          <w:sz w:val="26"/>
          <w:szCs w:val="26"/>
        </w:rPr>
        <w:t xml:space="preserve"> the Company </w:t>
      </w:r>
      <w:r w:rsidR="002E17C0">
        <w:rPr>
          <w:rFonts w:eastAsia="Times New Roman"/>
          <w:sz w:val="26"/>
          <w:szCs w:val="26"/>
        </w:rPr>
        <w:t xml:space="preserve">had </w:t>
      </w:r>
      <w:r>
        <w:rPr>
          <w:rFonts w:eastAsia="Times New Roman"/>
          <w:sz w:val="26"/>
          <w:szCs w:val="26"/>
        </w:rPr>
        <w:t>threatened to shut off his electric service and had</w:t>
      </w:r>
      <w:r w:rsidR="0026398F">
        <w:rPr>
          <w:rFonts w:eastAsia="Times New Roman"/>
          <w:sz w:val="26"/>
          <w:szCs w:val="26"/>
        </w:rPr>
        <w:t xml:space="preserve"> billed him</w:t>
      </w:r>
      <w:r>
        <w:rPr>
          <w:rFonts w:eastAsia="Times New Roman"/>
          <w:sz w:val="26"/>
          <w:szCs w:val="26"/>
        </w:rPr>
        <w:t xml:space="preserve"> incorrect</w:t>
      </w:r>
      <w:r w:rsidR="0026398F">
        <w:rPr>
          <w:rFonts w:eastAsia="Times New Roman"/>
          <w:sz w:val="26"/>
          <w:szCs w:val="26"/>
        </w:rPr>
        <w:t>ly.</w:t>
      </w:r>
      <w:r>
        <w:rPr>
          <w:rFonts w:eastAsia="Times New Roman"/>
          <w:sz w:val="26"/>
          <w:szCs w:val="26"/>
        </w:rPr>
        <w:t xml:space="preserve">  As relief, </w:t>
      </w:r>
      <w:r w:rsidR="0026398F">
        <w:rPr>
          <w:rFonts w:eastAsia="Times New Roman"/>
          <w:sz w:val="26"/>
          <w:szCs w:val="26"/>
        </w:rPr>
        <w:t xml:space="preserve">the </w:t>
      </w:r>
      <w:r>
        <w:rPr>
          <w:rFonts w:eastAsia="Times New Roman"/>
          <w:sz w:val="26"/>
          <w:szCs w:val="26"/>
        </w:rPr>
        <w:t xml:space="preserve">Complainant </w:t>
      </w:r>
      <w:r w:rsidR="00EF0BBC">
        <w:rPr>
          <w:rFonts w:eastAsia="Times New Roman"/>
          <w:sz w:val="26"/>
          <w:szCs w:val="26"/>
        </w:rPr>
        <w:t>requested</w:t>
      </w:r>
      <w:r w:rsidR="002E17C0">
        <w:rPr>
          <w:rFonts w:eastAsia="Times New Roman"/>
          <w:sz w:val="26"/>
          <w:szCs w:val="26"/>
        </w:rPr>
        <w:t>,</w:t>
      </w:r>
      <w:r>
        <w:rPr>
          <w:rFonts w:eastAsia="Times New Roman"/>
          <w:sz w:val="26"/>
          <w:szCs w:val="26"/>
        </w:rPr>
        <w:t xml:space="preserve"> </w:t>
      </w:r>
      <w:r w:rsidR="0026398F">
        <w:rPr>
          <w:rFonts w:eastAsia="Times New Roman"/>
          <w:sz w:val="26"/>
          <w:szCs w:val="26"/>
        </w:rPr>
        <w:t xml:space="preserve">for the </w:t>
      </w:r>
      <w:r w:rsidR="002E17C0">
        <w:rPr>
          <w:rFonts w:eastAsia="Times New Roman"/>
          <w:sz w:val="26"/>
          <w:szCs w:val="26"/>
        </w:rPr>
        <w:t>periods</w:t>
      </w:r>
      <w:r w:rsidR="0026398F">
        <w:rPr>
          <w:rFonts w:eastAsia="Times New Roman"/>
          <w:sz w:val="26"/>
          <w:szCs w:val="26"/>
        </w:rPr>
        <w:t xml:space="preserve"> January 2015 through April 2015, October 2015, and December 7, 2016 through April 11, 2017, that </w:t>
      </w:r>
      <w:r>
        <w:rPr>
          <w:rFonts w:eastAsia="Times New Roman"/>
          <w:sz w:val="26"/>
          <w:szCs w:val="26"/>
        </w:rPr>
        <w:t xml:space="preserve">the Commission order DLC not to charge him for electricity </w:t>
      </w:r>
      <w:r w:rsidR="007913CD">
        <w:rPr>
          <w:rFonts w:eastAsia="Times New Roman"/>
          <w:sz w:val="26"/>
          <w:szCs w:val="26"/>
        </w:rPr>
        <w:t xml:space="preserve">during those periods </w:t>
      </w:r>
      <w:r w:rsidR="0026398F">
        <w:rPr>
          <w:rFonts w:eastAsia="Times New Roman"/>
          <w:sz w:val="26"/>
          <w:szCs w:val="26"/>
        </w:rPr>
        <w:t>because</w:t>
      </w:r>
      <w:r>
        <w:rPr>
          <w:rFonts w:eastAsia="Times New Roman"/>
          <w:sz w:val="26"/>
          <w:szCs w:val="26"/>
        </w:rPr>
        <w:t xml:space="preserve"> he</w:t>
      </w:r>
      <w:r w:rsidR="00766849">
        <w:rPr>
          <w:rFonts w:eastAsia="Times New Roman"/>
          <w:sz w:val="26"/>
          <w:szCs w:val="26"/>
        </w:rPr>
        <w:t xml:space="preserve"> was</w:t>
      </w:r>
      <w:r>
        <w:rPr>
          <w:rFonts w:eastAsia="Times New Roman"/>
          <w:sz w:val="26"/>
          <w:szCs w:val="26"/>
        </w:rPr>
        <w:t xml:space="preserve"> visit</w:t>
      </w:r>
      <w:r w:rsidR="00766849">
        <w:rPr>
          <w:rFonts w:eastAsia="Times New Roman"/>
          <w:sz w:val="26"/>
          <w:szCs w:val="26"/>
        </w:rPr>
        <w:t>ing</w:t>
      </w:r>
      <w:r>
        <w:rPr>
          <w:rFonts w:eastAsia="Times New Roman"/>
          <w:sz w:val="26"/>
          <w:szCs w:val="26"/>
        </w:rPr>
        <w:t xml:space="preserve"> his daughters</w:t>
      </w:r>
      <w:r w:rsidR="00766849">
        <w:rPr>
          <w:rFonts w:eastAsia="Times New Roman"/>
          <w:sz w:val="26"/>
          <w:szCs w:val="26"/>
        </w:rPr>
        <w:t xml:space="preserve"> and therefore not using electricity at his </w:t>
      </w:r>
      <w:r w:rsidR="00EF0BBC">
        <w:rPr>
          <w:rFonts w:eastAsia="Times New Roman"/>
          <w:sz w:val="26"/>
          <w:szCs w:val="26"/>
        </w:rPr>
        <w:t xml:space="preserve">residence. </w:t>
      </w:r>
      <w:r w:rsidR="007913CD">
        <w:rPr>
          <w:rFonts w:eastAsia="Times New Roman"/>
          <w:sz w:val="26"/>
          <w:szCs w:val="26"/>
        </w:rPr>
        <w:t xml:space="preserve"> </w:t>
      </w:r>
      <w:r w:rsidR="00EF0BBC">
        <w:rPr>
          <w:rFonts w:eastAsia="Times New Roman"/>
          <w:sz w:val="26"/>
          <w:szCs w:val="26"/>
        </w:rPr>
        <w:t>The</w:t>
      </w:r>
      <w:r w:rsidR="00766849">
        <w:rPr>
          <w:rFonts w:eastAsia="Times New Roman"/>
          <w:sz w:val="26"/>
          <w:szCs w:val="26"/>
        </w:rPr>
        <w:t xml:space="preserve"> Complainant</w:t>
      </w:r>
      <w:r>
        <w:rPr>
          <w:rFonts w:eastAsia="Times New Roman"/>
          <w:sz w:val="26"/>
          <w:szCs w:val="26"/>
        </w:rPr>
        <w:t xml:space="preserve"> also alleged </w:t>
      </w:r>
      <w:r w:rsidR="007913CD">
        <w:rPr>
          <w:rFonts w:eastAsia="Times New Roman"/>
          <w:sz w:val="26"/>
          <w:szCs w:val="26"/>
        </w:rPr>
        <w:t xml:space="preserve">that </w:t>
      </w:r>
      <w:r>
        <w:rPr>
          <w:rFonts w:eastAsia="Times New Roman"/>
          <w:sz w:val="26"/>
          <w:szCs w:val="26"/>
        </w:rPr>
        <w:t>DLC’s installation of a new meter caused his furnace to tu</w:t>
      </w:r>
      <w:r w:rsidR="00766849">
        <w:rPr>
          <w:rFonts w:eastAsia="Times New Roman"/>
          <w:sz w:val="26"/>
          <w:szCs w:val="26"/>
        </w:rPr>
        <w:t>r</w:t>
      </w:r>
      <w:r>
        <w:rPr>
          <w:rFonts w:eastAsia="Times New Roman"/>
          <w:sz w:val="26"/>
          <w:szCs w:val="26"/>
        </w:rPr>
        <w:t xml:space="preserve">n on while he was out of town, and DLC’s </w:t>
      </w:r>
      <w:r w:rsidR="006C33BE">
        <w:rPr>
          <w:rFonts w:eastAsia="Times New Roman"/>
          <w:sz w:val="26"/>
          <w:szCs w:val="26"/>
        </w:rPr>
        <w:t xml:space="preserve">customer service </w:t>
      </w:r>
      <w:r>
        <w:rPr>
          <w:rFonts w:eastAsia="Times New Roman"/>
          <w:sz w:val="26"/>
          <w:szCs w:val="26"/>
        </w:rPr>
        <w:t>representatives refused to talk with him until he provided identifying information.</w:t>
      </w:r>
    </w:p>
    <w:p w:rsidR="007C137E" w:rsidRDefault="007C137E" w:rsidP="005A358A">
      <w:pPr>
        <w:tabs>
          <w:tab w:val="left" w:pos="-720"/>
        </w:tabs>
        <w:suppressAutoHyphens/>
        <w:autoSpaceDE w:val="0"/>
        <w:autoSpaceDN w:val="0"/>
        <w:jc w:val="left"/>
        <w:rPr>
          <w:rFonts w:eastAsia="Times New Roman"/>
          <w:sz w:val="26"/>
          <w:szCs w:val="26"/>
        </w:rPr>
      </w:pPr>
    </w:p>
    <w:p w:rsidR="007C137E" w:rsidRDefault="007C137E" w:rsidP="005A358A">
      <w:pPr>
        <w:tabs>
          <w:tab w:val="left" w:pos="-720"/>
        </w:tabs>
        <w:suppressAutoHyphens/>
        <w:autoSpaceDE w:val="0"/>
        <w:autoSpaceDN w:val="0"/>
        <w:jc w:val="left"/>
        <w:rPr>
          <w:rFonts w:eastAsia="Times New Roman"/>
          <w:sz w:val="26"/>
          <w:szCs w:val="26"/>
        </w:rPr>
      </w:pPr>
      <w:r>
        <w:rPr>
          <w:rFonts w:eastAsia="Times New Roman"/>
          <w:sz w:val="26"/>
          <w:szCs w:val="26"/>
        </w:rPr>
        <w:t xml:space="preserve">On </w:t>
      </w:r>
      <w:r w:rsidR="0040603D">
        <w:rPr>
          <w:rFonts w:eastAsia="Times New Roman"/>
          <w:sz w:val="26"/>
          <w:szCs w:val="26"/>
        </w:rPr>
        <w:t>May</w:t>
      </w:r>
      <w:r>
        <w:rPr>
          <w:rFonts w:eastAsia="Times New Roman"/>
          <w:sz w:val="26"/>
          <w:szCs w:val="26"/>
        </w:rPr>
        <w:t xml:space="preserve"> 17, 2017, </w:t>
      </w:r>
      <w:r w:rsidR="00766849">
        <w:rPr>
          <w:rFonts w:eastAsia="Times New Roman"/>
          <w:sz w:val="26"/>
          <w:szCs w:val="26"/>
        </w:rPr>
        <w:t>DLC</w:t>
      </w:r>
      <w:r>
        <w:rPr>
          <w:rFonts w:eastAsia="Times New Roman"/>
          <w:sz w:val="26"/>
          <w:szCs w:val="26"/>
        </w:rPr>
        <w:t xml:space="preserve"> filed an Answer in which </w:t>
      </w:r>
      <w:r w:rsidR="00766849">
        <w:rPr>
          <w:rFonts w:eastAsia="Times New Roman"/>
          <w:sz w:val="26"/>
          <w:szCs w:val="26"/>
        </w:rPr>
        <w:t>it</w:t>
      </w:r>
      <w:r>
        <w:rPr>
          <w:rFonts w:eastAsia="Times New Roman"/>
          <w:sz w:val="26"/>
          <w:szCs w:val="26"/>
        </w:rPr>
        <w:t xml:space="preserve"> </w:t>
      </w:r>
      <w:r w:rsidR="0040603D">
        <w:rPr>
          <w:rFonts w:eastAsia="Times New Roman"/>
          <w:sz w:val="26"/>
          <w:szCs w:val="26"/>
        </w:rPr>
        <w:t xml:space="preserve">generally denied the allegations.  DLC denied it had threatened to terminate electric service and denied there were incorrect charges on the billing statements.  </w:t>
      </w:r>
      <w:r w:rsidR="00D23BBA">
        <w:rPr>
          <w:rFonts w:eastAsia="Times New Roman"/>
          <w:sz w:val="26"/>
          <w:szCs w:val="26"/>
        </w:rPr>
        <w:t>DLC</w:t>
      </w:r>
      <w:r w:rsidR="0040603D">
        <w:rPr>
          <w:rFonts w:eastAsia="Times New Roman"/>
          <w:sz w:val="26"/>
          <w:szCs w:val="26"/>
        </w:rPr>
        <w:t xml:space="preserve"> </w:t>
      </w:r>
      <w:r w:rsidR="00766849">
        <w:rPr>
          <w:rFonts w:eastAsia="Times New Roman"/>
          <w:sz w:val="26"/>
          <w:szCs w:val="26"/>
        </w:rPr>
        <w:t xml:space="preserve">also </w:t>
      </w:r>
      <w:r w:rsidR="0040603D">
        <w:rPr>
          <w:rFonts w:eastAsia="Times New Roman"/>
          <w:sz w:val="26"/>
          <w:szCs w:val="26"/>
        </w:rPr>
        <w:t xml:space="preserve">denied </w:t>
      </w:r>
      <w:r w:rsidR="00766849">
        <w:rPr>
          <w:rFonts w:eastAsia="Times New Roman"/>
          <w:sz w:val="26"/>
          <w:szCs w:val="26"/>
        </w:rPr>
        <w:t xml:space="preserve">that </w:t>
      </w:r>
      <w:r w:rsidR="0040603D">
        <w:rPr>
          <w:rFonts w:eastAsia="Times New Roman"/>
          <w:sz w:val="26"/>
          <w:szCs w:val="26"/>
        </w:rPr>
        <w:t>the installation of the new advanced meter on November 17, 2016</w:t>
      </w:r>
      <w:r w:rsidR="00D15D8A">
        <w:rPr>
          <w:rFonts w:eastAsia="Times New Roman"/>
          <w:sz w:val="26"/>
          <w:szCs w:val="26"/>
        </w:rPr>
        <w:t>,</w:t>
      </w:r>
      <w:r w:rsidR="0040603D">
        <w:rPr>
          <w:rFonts w:eastAsia="Times New Roman"/>
          <w:sz w:val="26"/>
          <w:szCs w:val="26"/>
        </w:rPr>
        <w:t xml:space="preserve"> caused </w:t>
      </w:r>
      <w:r w:rsidR="00766849">
        <w:rPr>
          <w:rFonts w:eastAsia="Times New Roman"/>
          <w:sz w:val="26"/>
          <w:szCs w:val="26"/>
        </w:rPr>
        <w:t xml:space="preserve">the Complainant’s </w:t>
      </w:r>
      <w:r w:rsidR="0040603D">
        <w:rPr>
          <w:rFonts w:eastAsia="Times New Roman"/>
          <w:sz w:val="26"/>
          <w:szCs w:val="26"/>
        </w:rPr>
        <w:t xml:space="preserve">furnace to turn on.  DLC acknowledged numerous telephone calls from </w:t>
      </w:r>
      <w:r w:rsidR="00766849">
        <w:rPr>
          <w:rFonts w:eastAsia="Times New Roman"/>
          <w:sz w:val="26"/>
          <w:szCs w:val="26"/>
        </w:rPr>
        <w:t xml:space="preserve">the </w:t>
      </w:r>
      <w:r w:rsidR="0040603D">
        <w:rPr>
          <w:rFonts w:eastAsia="Times New Roman"/>
          <w:sz w:val="26"/>
          <w:szCs w:val="26"/>
        </w:rPr>
        <w:t xml:space="preserve">Complainant in which </w:t>
      </w:r>
      <w:r w:rsidR="00766849">
        <w:rPr>
          <w:rFonts w:eastAsia="Times New Roman"/>
          <w:sz w:val="26"/>
          <w:szCs w:val="26"/>
        </w:rPr>
        <w:t xml:space="preserve">the </w:t>
      </w:r>
      <w:r w:rsidR="0040603D">
        <w:rPr>
          <w:rFonts w:eastAsia="Times New Roman"/>
          <w:sz w:val="26"/>
          <w:szCs w:val="26"/>
        </w:rPr>
        <w:t>Complainant refused to provide his account password or identifying information.</w:t>
      </w:r>
    </w:p>
    <w:p w:rsidR="0040603D" w:rsidRDefault="0040603D" w:rsidP="005A358A">
      <w:pPr>
        <w:tabs>
          <w:tab w:val="left" w:pos="-720"/>
        </w:tabs>
        <w:suppressAutoHyphens/>
        <w:autoSpaceDE w:val="0"/>
        <w:autoSpaceDN w:val="0"/>
        <w:jc w:val="left"/>
        <w:rPr>
          <w:rFonts w:eastAsia="Times New Roman"/>
          <w:sz w:val="26"/>
          <w:szCs w:val="26"/>
        </w:rPr>
      </w:pPr>
    </w:p>
    <w:p w:rsidR="0040603D" w:rsidRDefault="00766849" w:rsidP="005A358A">
      <w:pPr>
        <w:tabs>
          <w:tab w:val="left" w:pos="-720"/>
        </w:tabs>
        <w:suppressAutoHyphens/>
        <w:autoSpaceDE w:val="0"/>
        <w:autoSpaceDN w:val="0"/>
        <w:jc w:val="left"/>
        <w:rPr>
          <w:rFonts w:eastAsia="Times New Roman"/>
          <w:sz w:val="26"/>
          <w:szCs w:val="26"/>
        </w:rPr>
      </w:pPr>
      <w:r>
        <w:rPr>
          <w:rFonts w:eastAsia="Times New Roman"/>
          <w:sz w:val="26"/>
          <w:szCs w:val="26"/>
        </w:rPr>
        <w:tab/>
      </w:r>
      <w:r w:rsidR="0040603D">
        <w:rPr>
          <w:rFonts w:eastAsia="Times New Roman"/>
          <w:sz w:val="26"/>
          <w:szCs w:val="26"/>
        </w:rPr>
        <w:t xml:space="preserve">On May 17, 2017, </w:t>
      </w:r>
      <w:r w:rsidR="00D23BBA">
        <w:rPr>
          <w:rFonts w:eastAsia="Times New Roman"/>
          <w:sz w:val="26"/>
          <w:szCs w:val="26"/>
        </w:rPr>
        <w:t>DLC</w:t>
      </w:r>
      <w:r w:rsidR="0040603D">
        <w:rPr>
          <w:rFonts w:eastAsia="Times New Roman"/>
          <w:sz w:val="26"/>
          <w:szCs w:val="26"/>
        </w:rPr>
        <w:t xml:space="preserve"> also filed Preliminary Objections again</w:t>
      </w:r>
      <w:r w:rsidR="00D673B0">
        <w:rPr>
          <w:rFonts w:eastAsia="Times New Roman"/>
          <w:sz w:val="26"/>
          <w:szCs w:val="26"/>
        </w:rPr>
        <w:t>s</w:t>
      </w:r>
      <w:r w:rsidR="0040603D">
        <w:rPr>
          <w:rFonts w:eastAsia="Times New Roman"/>
          <w:sz w:val="26"/>
          <w:szCs w:val="26"/>
        </w:rPr>
        <w:t xml:space="preserve">t </w:t>
      </w:r>
      <w:r w:rsidR="00D673B0">
        <w:rPr>
          <w:rFonts w:eastAsia="Times New Roman"/>
          <w:sz w:val="26"/>
          <w:szCs w:val="26"/>
        </w:rPr>
        <w:t xml:space="preserve">the </w:t>
      </w:r>
      <w:r w:rsidR="0040603D">
        <w:rPr>
          <w:rFonts w:eastAsia="Times New Roman"/>
          <w:sz w:val="26"/>
          <w:szCs w:val="26"/>
        </w:rPr>
        <w:t>Complainant</w:t>
      </w:r>
      <w:r w:rsidR="00D673B0">
        <w:rPr>
          <w:rFonts w:eastAsia="Times New Roman"/>
          <w:sz w:val="26"/>
          <w:szCs w:val="26"/>
        </w:rPr>
        <w:t>.  The Preliminary Objections</w:t>
      </w:r>
      <w:r w:rsidR="0040603D">
        <w:rPr>
          <w:rFonts w:eastAsia="Times New Roman"/>
          <w:sz w:val="26"/>
          <w:szCs w:val="26"/>
        </w:rPr>
        <w:t xml:space="preserve"> sought dismissal of the entire </w:t>
      </w:r>
      <w:r w:rsidR="00D15D8A">
        <w:rPr>
          <w:rFonts w:eastAsia="Times New Roman"/>
          <w:sz w:val="26"/>
          <w:szCs w:val="26"/>
        </w:rPr>
        <w:t>Complaint</w:t>
      </w:r>
      <w:r w:rsidR="0040603D">
        <w:rPr>
          <w:rFonts w:eastAsia="Times New Roman"/>
          <w:sz w:val="26"/>
          <w:szCs w:val="26"/>
        </w:rPr>
        <w:t>, or in the alternative</w:t>
      </w:r>
      <w:r w:rsidR="00D673B0">
        <w:rPr>
          <w:rFonts w:eastAsia="Times New Roman"/>
          <w:sz w:val="26"/>
          <w:szCs w:val="26"/>
        </w:rPr>
        <w:t>,</w:t>
      </w:r>
      <w:r w:rsidR="0040603D">
        <w:rPr>
          <w:rFonts w:eastAsia="Times New Roman"/>
          <w:sz w:val="26"/>
          <w:szCs w:val="26"/>
        </w:rPr>
        <w:t xml:space="preserve"> to strike the request for relief as impertinent.  </w:t>
      </w:r>
      <w:r w:rsidR="00D673B0">
        <w:rPr>
          <w:rFonts w:eastAsia="Times New Roman"/>
          <w:sz w:val="26"/>
          <w:szCs w:val="26"/>
        </w:rPr>
        <w:t xml:space="preserve">The </w:t>
      </w:r>
      <w:r w:rsidR="0040603D">
        <w:rPr>
          <w:rFonts w:eastAsia="Times New Roman"/>
          <w:sz w:val="26"/>
          <w:szCs w:val="26"/>
        </w:rPr>
        <w:t xml:space="preserve">Complainant did not respond to DLC’s </w:t>
      </w:r>
      <w:r w:rsidR="0091697D">
        <w:rPr>
          <w:rFonts w:eastAsia="Times New Roman"/>
          <w:sz w:val="26"/>
          <w:szCs w:val="26"/>
        </w:rPr>
        <w:t>Preliminary</w:t>
      </w:r>
      <w:r w:rsidR="0040603D">
        <w:rPr>
          <w:rFonts w:eastAsia="Times New Roman"/>
          <w:sz w:val="26"/>
          <w:szCs w:val="26"/>
        </w:rPr>
        <w:t xml:space="preserve"> Objections.</w:t>
      </w:r>
    </w:p>
    <w:p w:rsidR="00D673B0" w:rsidRDefault="00D673B0" w:rsidP="005A358A">
      <w:pPr>
        <w:tabs>
          <w:tab w:val="left" w:pos="-720"/>
        </w:tabs>
        <w:suppressAutoHyphens/>
        <w:autoSpaceDE w:val="0"/>
        <w:autoSpaceDN w:val="0"/>
        <w:jc w:val="left"/>
        <w:rPr>
          <w:rFonts w:eastAsia="Times New Roman"/>
          <w:sz w:val="26"/>
          <w:szCs w:val="26"/>
        </w:rPr>
      </w:pPr>
    </w:p>
    <w:p w:rsidR="0040603D" w:rsidRDefault="0040603D" w:rsidP="005A358A">
      <w:pPr>
        <w:tabs>
          <w:tab w:val="left" w:pos="-720"/>
        </w:tabs>
        <w:suppressAutoHyphens/>
        <w:autoSpaceDE w:val="0"/>
        <w:autoSpaceDN w:val="0"/>
        <w:jc w:val="left"/>
        <w:rPr>
          <w:rFonts w:eastAsia="Times New Roman"/>
          <w:sz w:val="26"/>
          <w:szCs w:val="26"/>
        </w:rPr>
      </w:pPr>
      <w:r>
        <w:rPr>
          <w:rFonts w:eastAsia="Times New Roman"/>
          <w:sz w:val="26"/>
          <w:szCs w:val="26"/>
        </w:rPr>
        <w:tab/>
        <w:t xml:space="preserve">On July 6, 2017, the </w:t>
      </w:r>
      <w:r w:rsidR="00D673B0">
        <w:rPr>
          <w:rFonts w:eastAsia="Times New Roman"/>
          <w:sz w:val="26"/>
          <w:szCs w:val="26"/>
        </w:rPr>
        <w:t>ALJ</w:t>
      </w:r>
      <w:r>
        <w:rPr>
          <w:rFonts w:eastAsia="Times New Roman"/>
          <w:sz w:val="26"/>
          <w:szCs w:val="26"/>
        </w:rPr>
        <w:t xml:space="preserve"> </w:t>
      </w:r>
      <w:r w:rsidR="0091697D">
        <w:rPr>
          <w:rFonts w:eastAsia="Times New Roman"/>
          <w:sz w:val="26"/>
          <w:szCs w:val="26"/>
        </w:rPr>
        <w:t>issued</w:t>
      </w:r>
      <w:r>
        <w:rPr>
          <w:rFonts w:eastAsia="Times New Roman"/>
          <w:sz w:val="26"/>
          <w:szCs w:val="26"/>
        </w:rPr>
        <w:t xml:space="preserve"> </w:t>
      </w:r>
      <w:r w:rsidR="00D673B0">
        <w:rPr>
          <w:rFonts w:eastAsia="Times New Roman"/>
          <w:sz w:val="26"/>
          <w:szCs w:val="26"/>
        </w:rPr>
        <w:t>an</w:t>
      </w:r>
      <w:r>
        <w:rPr>
          <w:rFonts w:eastAsia="Times New Roman"/>
          <w:sz w:val="26"/>
          <w:szCs w:val="26"/>
        </w:rPr>
        <w:t xml:space="preserve"> Interim Order in which </w:t>
      </w:r>
      <w:r w:rsidR="00D673B0">
        <w:rPr>
          <w:rFonts w:eastAsia="Times New Roman"/>
          <w:sz w:val="26"/>
          <w:szCs w:val="26"/>
        </w:rPr>
        <w:t xml:space="preserve">the </w:t>
      </w:r>
      <w:r w:rsidR="00D23BBA">
        <w:rPr>
          <w:rFonts w:eastAsia="Times New Roman"/>
          <w:sz w:val="26"/>
          <w:szCs w:val="26"/>
        </w:rPr>
        <w:t xml:space="preserve">DLC’s </w:t>
      </w:r>
      <w:r>
        <w:rPr>
          <w:rFonts w:eastAsia="Times New Roman"/>
          <w:sz w:val="26"/>
          <w:szCs w:val="26"/>
        </w:rPr>
        <w:t>Preliminary Objections were granted</w:t>
      </w:r>
      <w:r w:rsidR="00D15D8A">
        <w:rPr>
          <w:rFonts w:eastAsia="Times New Roman"/>
          <w:sz w:val="26"/>
          <w:szCs w:val="26"/>
        </w:rPr>
        <w:t>,</w:t>
      </w:r>
      <w:r>
        <w:rPr>
          <w:rFonts w:eastAsia="Times New Roman"/>
          <w:sz w:val="26"/>
          <w:szCs w:val="26"/>
        </w:rPr>
        <w:t xml:space="preserve"> in </w:t>
      </w:r>
      <w:r w:rsidR="00EF0BBC">
        <w:rPr>
          <w:rFonts w:eastAsia="Times New Roman"/>
          <w:sz w:val="26"/>
          <w:szCs w:val="26"/>
        </w:rPr>
        <w:t>part</w:t>
      </w:r>
      <w:r w:rsidR="00D15D8A">
        <w:rPr>
          <w:rFonts w:eastAsia="Times New Roman"/>
          <w:sz w:val="26"/>
          <w:szCs w:val="26"/>
        </w:rPr>
        <w:t>,</w:t>
      </w:r>
      <w:r w:rsidR="00EF0BBC">
        <w:rPr>
          <w:rFonts w:eastAsia="Times New Roman"/>
          <w:sz w:val="26"/>
          <w:szCs w:val="26"/>
        </w:rPr>
        <w:t xml:space="preserve"> and</w:t>
      </w:r>
      <w:r>
        <w:rPr>
          <w:rFonts w:eastAsia="Times New Roman"/>
          <w:sz w:val="26"/>
          <w:szCs w:val="26"/>
        </w:rPr>
        <w:t xml:space="preserve"> denied</w:t>
      </w:r>
      <w:r w:rsidR="00D15D8A">
        <w:rPr>
          <w:rFonts w:eastAsia="Times New Roman"/>
          <w:sz w:val="26"/>
          <w:szCs w:val="26"/>
        </w:rPr>
        <w:t>,</w:t>
      </w:r>
      <w:r>
        <w:rPr>
          <w:rFonts w:eastAsia="Times New Roman"/>
          <w:sz w:val="26"/>
          <w:szCs w:val="26"/>
        </w:rPr>
        <w:t xml:space="preserve"> in part.  The </w:t>
      </w:r>
      <w:r w:rsidR="00D673B0">
        <w:rPr>
          <w:rFonts w:eastAsia="Times New Roman"/>
          <w:sz w:val="26"/>
          <w:szCs w:val="26"/>
        </w:rPr>
        <w:t>ALJ</w:t>
      </w:r>
      <w:r>
        <w:rPr>
          <w:rFonts w:eastAsia="Times New Roman"/>
          <w:sz w:val="26"/>
          <w:szCs w:val="26"/>
        </w:rPr>
        <w:t xml:space="preserve"> dismissed the allegations that DLC violated federal statu</w:t>
      </w:r>
      <w:r w:rsidR="00D15D8A">
        <w:rPr>
          <w:rFonts w:eastAsia="Times New Roman"/>
          <w:sz w:val="26"/>
          <w:szCs w:val="26"/>
        </w:rPr>
        <w:t>t</w:t>
      </w:r>
      <w:r>
        <w:rPr>
          <w:rFonts w:eastAsia="Times New Roman"/>
          <w:sz w:val="26"/>
          <w:szCs w:val="26"/>
        </w:rPr>
        <w:t xml:space="preserve">es and/or </w:t>
      </w:r>
      <w:r w:rsidR="00EF0BBC">
        <w:rPr>
          <w:rFonts w:eastAsia="Times New Roman"/>
          <w:sz w:val="26"/>
          <w:szCs w:val="26"/>
        </w:rPr>
        <w:t>regulations but</w:t>
      </w:r>
      <w:r>
        <w:rPr>
          <w:rFonts w:eastAsia="Times New Roman"/>
          <w:sz w:val="26"/>
          <w:szCs w:val="26"/>
        </w:rPr>
        <w:t xml:space="preserve"> left intact </w:t>
      </w:r>
      <w:r w:rsidR="00D673B0">
        <w:rPr>
          <w:rFonts w:eastAsia="Times New Roman"/>
          <w:sz w:val="26"/>
          <w:szCs w:val="26"/>
        </w:rPr>
        <w:t>the Complainant’s</w:t>
      </w:r>
      <w:r>
        <w:rPr>
          <w:rFonts w:eastAsia="Times New Roman"/>
          <w:sz w:val="26"/>
          <w:szCs w:val="26"/>
        </w:rPr>
        <w:t xml:space="preserve"> </w:t>
      </w:r>
      <w:r w:rsidR="00D673B0">
        <w:rPr>
          <w:rFonts w:eastAsia="Times New Roman"/>
          <w:sz w:val="26"/>
          <w:szCs w:val="26"/>
        </w:rPr>
        <w:t>grievance</w:t>
      </w:r>
      <w:r>
        <w:rPr>
          <w:rFonts w:eastAsia="Times New Roman"/>
          <w:sz w:val="26"/>
          <w:szCs w:val="26"/>
        </w:rPr>
        <w:t xml:space="preserve"> concerning customer service and possible safety violations.</w:t>
      </w:r>
    </w:p>
    <w:p w:rsidR="0040603D" w:rsidRDefault="0040603D" w:rsidP="005A358A">
      <w:pPr>
        <w:tabs>
          <w:tab w:val="left" w:pos="-720"/>
        </w:tabs>
        <w:suppressAutoHyphens/>
        <w:autoSpaceDE w:val="0"/>
        <w:autoSpaceDN w:val="0"/>
        <w:jc w:val="left"/>
        <w:rPr>
          <w:rFonts w:eastAsia="Times New Roman"/>
          <w:sz w:val="26"/>
          <w:szCs w:val="26"/>
        </w:rPr>
      </w:pPr>
    </w:p>
    <w:p w:rsidR="0040603D" w:rsidRDefault="0040603D" w:rsidP="005A358A">
      <w:pPr>
        <w:tabs>
          <w:tab w:val="left" w:pos="-720"/>
        </w:tabs>
        <w:suppressAutoHyphens/>
        <w:autoSpaceDE w:val="0"/>
        <w:autoSpaceDN w:val="0"/>
        <w:jc w:val="left"/>
        <w:rPr>
          <w:rFonts w:eastAsia="Times New Roman"/>
          <w:sz w:val="26"/>
          <w:szCs w:val="26"/>
        </w:rPr>
      </w:pPr>
      <w:r>
        <w:rPr>
          <w:rFonts w:eastAsia="Times New Roman"/>
          <w:sz w:val="26"/>
          <w:szCs w:val="26"/>
        </w:rPr>
        <w:tab/>
        <w:t xml:space="preserve">The hearing convened as scheduled on October 4, 2017.  </w:t>
      </w:r>
      <w:r w:rsidR="00D673B0">
        <w:rPr>
          <w:rFonts w:eastAsia="Times New Roman"/>
          <w:sz w:val="26"/>
          <w:szCs w:val="26"/>
        </w:rPr>
        <w:t xml:space="preserve">The </w:t>
      </w:r>
      <w:r>
        <w:rPr>
          <w:rFonts w:eastAsia="Times New Roman"/>
          <w:sz w:val="26"/>
          <w:szCs w:val="26"/>
        </w:rPr>
        <w:t xml:space="preserve">Complainant appeared </w:t>
      </w:r>
      <w:r w:rsidRPr="0040603D">
        <w:rPr>
          <w:rFonts w:eastAsia="Times New Roman"/>
          <w:i/>
          <w:sz w:val="26"/>
          <w:szCs w:val="26"/>
        </w:rPr>
        <w:t>pro se</w:t>
      </w:r>
      <w:r>
        <w:rPr>
          <w:rFonts w:eastAsia="Times New Roman"/>
          <w:sz w:val="26"/>
          <w:szCs w:val="26"/>
        </w:rPr>
        <w:t xml:space="preserve"> and testified on his own behalf.  He offered no exhibits.  DLC was represented by counsel, who presented the testimony of one witness and offered fourteen exhibits which were admitted into evidence.</w:t>
      </w:r>
    </w:p>
    <w:p w:rsidR="005A358A" w:rsidRPr="005A358A" w:rsidRDefault="005A358A" w:rsidP="005A358A">
      <w:pPr>
        <w:tabs>
          <w:tab w:val="left" w:pos="-720"/>
        </w:tabs>
        <w:suppressAutoHyphens/>
        <w:autoSpaceDE w:val="0"/>
        <w:autoSpaceDN w:val="0"/>
        <w:jc w:val="left"/>
        <w:rPr>
          <w:rFonts w:eastAsia="Times New Roman"/>
          <w:sz w:val="26"/>
          <w:szCs w:val="26"/>
        </w:rPr>
      </w:pPr>
    </w:p>
    <w:p w:rsidR="005917A9" w:rsidRDefault="005A358A" w:rsidP="005A358A">
      <w:pPr>
        <w:tabs>
          <w:tab w:val="left" w:pos="-720"/>
        </w:tabs>
        <w:suppressAutoHyphens/>
        <w:autoSpaceDE w:val="0"/>
        <w:autoSpaceDN w:val="0"/>
        <w:jc w:val="left"/>
        <w:rPr>
          <w:rFonts w:eastAsia="Times New Roman"/>
          <w:sz w:val="26"/>
          <w:szCs w:val="26"/>
        </w:rPr>
      </w:pPr>
      <w:r w:rsidRPr="005A358A">
        <w:rPr>
          <w:rFonts w:eastAsia="Times New Roman"/>
          <w:sz w:val="26"/>
          <w:szCs w:val="26"/>
        </w:rPr>
        <w:tab/>
        <w:t xml:space="preserve">The record in this case </w:t>
      </w:r>
      <w:r w:rsidR="00F80B38">
        <w:rPr>
          <w:rFonts w:eastAsia="Times New Roman"/>
          <w:sz w:val="26"/>
          <w:szCs w:val="26"/>
        </w:rPr>
        <w:t>is comprised of</w:t>
      </w:r>
      <w:r w:rsidRPr="005A358A">
        <w:rPr>
          <w:rFonts w:eastAsia="Times New Roman"/>
          <w:sz w:val="26"/>
          <w:szCs w:val="26"/>
        </w:rPr>
        <w:t xml:space="preserve"> the hearing transcript of </w:t>
      </w:r>
      <w:r w:rsidR="0040603D">
        <w:rPr>
          <w:rFonts w:eastAsia="Times New Roman"/>
          <w:sz w:val="26"/>
          <w:szCs w:val="26"/>
        </w:rPr>
        <w:t xml:space="preserve">159 </w:t>
      </w:r>
      <w:r w:rsidRPr="005A358A">
        <w:rPr>
          <w:rFonts w:eastAsia="Times New Roman"/>
          <w:sz w:val="26"/>
          <w:szCs w:val="26"/>
        </w:rPr>
        <w:t>pages</w:t>
      </w:r>
      <w:r w:rsidR="0040603D">
        <w:rPr>
          <w:rFonts w:eastAsia="Times New Roman"/>
          <w:sz w:val="26"/>
          <w:szCs w:val="26"/>
        </w:rPr>
        <w:t xml:space="preserve"> and fourteen exhibits</w:t>
      </w:r>
      <w:r w:rsidRPr="005A358A">
        <w:rPr>
          <w:rFonts w:eastAsia="Times New Roman"/>
          <w:sz w:val="26"/>
          <w:szCs w:val="26"/>
        </w:rPr>
        <w:t xml:space="preserve">.  The record closed in this proceeding on </w:t>
      </w:r>
      <w:r w:rsidR="0040603D">
        <w:rPr>
          <w:rFonts w:eastAsia="Times New Roman"/>
          <w:sz w:val="26"/>
          <w:szCs w:val="26"/>
        </w:rPr>
        <w:t>November 2, 2017</w:t>
      </w:r>
      <w:r w:rsidRPr="005A358A">
        <w:rPr>
          <w:rFonts w:eastAsia="Times New Roman"/>
          <w:sz w:val="26"/>
          <w:szCs w:val="26"/>
        </w:rPr>
        <w:t>.</w:t>
      </w:r>
    </w:p>
    <w:p w:rsidR="005917A9" w:rsidRDefault="005917A9" w:rsidP="005A358A">
      <w:pPr>
        <w:tabs>
          <w:tab w:val="left" w:pos="-720"/>
        </w:tabs>
        <w:suppressAutoHyphens/>
        <w:autoSpaceDE w:val="0"/>
        <w:autoSpaceDN w:val="0"/>
        <w:jc w:val="left"/>
        <w:rPr>
          <w:rFonts w:eastAsia="Times New Roman"/>
          <w:sz w:val="26"/>
          <w:szCs w:val="26"/>
        </w:rPr>
      </w:pPr>
    </w:p>
    <w:p w:rsidR="006C33BE" w:rsidRDefault="005917A9" w:rsidP="00773E5C">
      <w:pPr>
        <w:tabs>
          <w:tab w:val="left" w:pos="-720"/>
        </w:tabs>
        <w:suppressAutoHyphens/>
        <w:autoSpaceDE w:val="0"/>
        <w:autoSpaceDN w:val="0"/>
        <w:jc w:val="left"/>
        <w:rPr>
          <w:rFonts w:eastAsia="Times New Roman"/>
          <w:sz w:val="26"/>
          <w:szCs w:val="26"/>
        </w:rPr>
      </w:pPr>
      <w:r>
        <w:rPr>
          <w:rFonts w:eastAsia="Times New Roman"/>
          <w:sz w:val="26"/>
          <w:szCs w:val="26"/>
        </w:rPr>
        <w:tab/>
      </w:r>
      <w:r w:rsidRPr="00773E5C">
        <w:rPr>
          <w:rFonts w:eastAsia="Times New Roman"/>
          <w:sz w:val="26"/>
          <w:szCs w:val="26"/>
        </w:rPr>
        <w:t>In h</w:t>
      </w:r>
      <w:r w:rsidR="00773E5C" w:rsidRPr="00773E5C">
        <w:rPr>
          <w:rFonts w:eastAsia="Times New Roman"/>
          <w:sz w:val="26"/>
          <w:szCs w:val="26"/>
        </w:rPr>
        <w:t>er</w:t>
      </w:r>
      <w:r w:rsidRPr="00773E5C">
        <w:rPr>
          <w:rFonts w:eastAsia="Times New Roman"/>
          <w:sz w:val="26"/>
          <w:szCs w:val="26"/>
        </w:rPr>
        <w:t xml:space="preserve"> Initial Decision issued on </w:t>
      </w:r>
      <w:r w:rsidR="00773E5C" w:rsidRPr="00773E5C">
        <w:rPr>
          <w:rFonts w:eastAsia="Times New Roman"/>
          <w:sz w:val="26"/>
          <w:szCs w:val="26"/>
        </w:rPr>
        <w:t>January 30, 2018</w:t>
      </w:r>
      <w:r w:rsidRPr="00773E5C">
        <w:rPr>
          <w:rFonts w:eastAsia="Times New Roman"/>
          <w:sz w:val="26"/>
          <w:szCs w:val="26"/>
        </w:rPr>
        <w:t xml:space="preserve">, </w:t>
      </w:r>
      <w:r w:rsidR="00D673B0">
        <w:rPr>
          <w:rFonts w:eastAsia="Times New Roman"/>
          <w:sz w:val="26"/>
          <w:szCs w:val="26"/>
        </w:rPr>
        <w:t xml:space="preserve">the </w:t>
      </w:r>
      <w:r w:rsidR="00EF0BBC" w:rsidRPr="00773E5C">
        <w:rPr>
          <w:rFonts w:eastAsia="Times New Roman"/>
          <w:sz w:val="26"/>
          <w:szCs w:val="26"/>
        </w:rPr>
        <w:t>ALJ denied</w:t>
      </w:r>
      <w:r w:rsidR="00773E5C" w:rsidRPr="00773E5C">
        <w:rPr>
          <w:rFonts w:eastAsia="Times New Roman"/>
          <w:sz w:val="26"/>
          <w:szCs w:val="26"/>
        </w:rPr>
        <w:t xml:space="preserve"> the Complaint. </w:t>
      </w:r>
      <w:r w:rsidR="005A358A" w:rsidRPr="00773E5C">
        <w:rPr>
          <w:rFonts w:eastAsia="Times New Roman"/>
          <w:sz w:val="26"/>
          <w:szCs w:val="26"/>
        </w:rPr>
        <w:t xml:space="preserve"> </w:t>
      </w:r>
      <w:r w:rsidR="00773E5C" w:rsidRPr="00773E5C">
        <w:rPr>
          <w:rFonts w:eastAsia="Times New Roman"/>
          <w:sz w:val="26"/>
          <w:szCs w:val="26"/>
        </w:rPr>
        <w:t xml:space="preserve">In a </w:t>
      </w:r>
      <w:r w:rsidR="006C33BE">
        <w:rPr>
          <w:rFonts w:eastAsia="Times New Roman"/>
          <w:sz w:val="26"/>
          <w:szCs w:val="26"/>
        </w:rPr>
        <w:t>S</w:t>
      </w:r>
      <w:r w:rsidR="00773E5C" w:rsidRPr="00773E5C">
        <w:rPr>
          <w:rFonts w:eastAsia="Times New Roman"/>
          <w:sz w:val="26"/>
          <w:szCs w:val="26"/>
        </w:rPr>
        <w:t xml:space="preserve">ecretarial Letter dated January 30, 2018, the </w:t>
      </w:r>
      <w:r w:rsidR="00C037F1">
        <w:rPr>
          <w:rFonts w:eastAsia="Times New Roman"/>
          <w:sz w:val="26"/>
          <w:szCs w:val="26"/>
        </w:rPr>
        <w:t>P</w:t>
      </w:r>
      <w:r w:rsidR="00773E5C" w:rsidRPr="00773E5C">
        <w:rPr>
          <w:rFonts w:eastAsia="Times New Roman"/>
          <w:sz w:val="26"/>
          <w:szCs w:val="26"/>
        </w:rPr>
        <w:t xml:space="preserve">arties were notified that Exceptions to the Initial Decision must be filed by February 18, 2018.  The Complainant filed a </w:t>
      </w:r>
      <w:r w:rsidR="00773E5C">
        <w:rPr>
          <w:rFonts w:eastAsia="Times New Roman"/>
          <w:sz w:val="26"/>
          <w:szCs w:val="26"/>
        </w:rPr>
        <w:t>P</w:t>
      </w:r>
      <w:r w:rsidR="00773E5C" w:rsidRPr="00773E5C">
        <w:rPr>
          <w:rFonts w:eastAsia="Times New Roman"/>
          <w:sz w:val="26"/>
          <w:szCs w:val="26"/>
        </w:rPr>
        <w:t>et</w:t>
      </w:r>
      <w:r w:rsidR="00773E5C">
        <w:rPr>
          <w:rFonts w:eastAsia="Times New Roman"/>
          <w:sz w:val="26"/>
          <w:szCs w:val="26"/>
        </w:rPr>
        <w:t>it</w:t>
      </w:r>
      <w:r w:rsidR="00773E5C" w:rsidRPr="00773E5C">
        <w:rPr>
          <w:rFonts w:eastAsia="Times New Roman"/>
          <w:sz w:val="26"/>
          <w:szCs w:val="26"/>
        </w:rPr>
        <w:t xml:space="preserve">ion for Additional Time to File Exceptions on February 14, 2018.  DLC did not object to </w:t>
      </w:r>
      <w:r w:rsidR="00D673B0">
        <w:rPr>
          <w:rFonts w:eastAsia="Times New Roman"/>
          <w:sz w:val="26"/>
          <w:szCs w:val="26"/>
        </w:rPr>
        <w:t xml:space="preserve">the </w:t>
      </w:r>
      <w:r w:rsidR="00773E5C" w:rsidRPr="00773E5C">
        <w:rPr>
          <w:rFonts w:eastAsia="Times New Roman"/>
          <w:sz w:val="26"/>
          <w:szCs w:val="26"/>
        </w:rPr>
        <w:t xml:space="preserve">Complainant’s request for an extension to file </w:t>
      </w:r>
      <w:r w:rsidR="00C037F1">
        <w:rPr>
          <w:rFonts w:eastAsia="Times New Roman"/>
          <w:sz w:val="26"/>
          <w:szCs w:val="26"/>
        </w:rPr>
        <w:t>E</w:t>
      </w:r>
      <w:r w:rsidR="00773E5C" w:rsidRPr="00773E5C">
        <w:rPr>
          <w:rFonts w:eastAsia="Times New Roman"/>
          <w:sz w:val="26"/>
          <w:szCs w:val="26"/>
        </w:rPr>
        <w:t xml:space="preserve">xceptions.  In a Secretarial Letter dated March 9, 2018, the Commission extended the period for all parties to file Exceptions </w:t>
      </w:r>
      <w:r w:rsidR="007775C4">
        <w:rPr>
          <w:rFonts w:eastAsia="Times New Roman"/>
          <w:sz w:val="26"/>
          <w:szCs w:val="26"/>
        </w:rPr>
        <w:t>until A</w:t>
      </w:r>
      <w:r w:rsidR="00773E5C" w:rsidRPr="00773E5C">
        <w:rPr>
          <w:rFonts w:eastAsia="Times New Roman"/>
          <w:sz w:val="26"/>
          <w:szCs w:val="26"/>
        </w:rPr>
        <w:t xml:space="preserve">pril 10, 2018.  </w:t>
      </w:r>
      <w:r w:rsidR="00884128">
        <w:rPr>
          <w:rFonts w:eastAsia="Times New Roman"/>
          <w:sz w:val="26"/>
          <w:szCs w:val="26"/>
        </w:rPr>
        <w:t>On April 25, 2018, t</w:t>
      </w:r>
      <w:r w:rsidR="00773E5C" w:rsidRPr="00773E5C">
        <w:rPr>
          <w:rFonts w:eastAsia="Times New Roman"/>
          <w:sz w:val="26"/>
          <w:szCs w:val="26"/>
        </w:rPr>
        <w:t>he Complainant attempted to file an unsigned version of his Exceptions</w:t>
      </w:r>
      <w:r w:rsidR="00884128">
        <w:rPr>
          <w:rFonts w:eastAsia="Times New Roman"/>
          <w:sz w:val="26"/>
          <w:szCs w:val="26"/>
        </w:rPr>
        <w:t>.</w:t>
      </w:r>
      <w:r w:rsidR="00773E5C" w:rsidRPr="00773E5C">
        <w:rPr>
          <w:rFonts w:eastAsia="Times New Roman"/>
          <w:sz w:val="26"/>
          <w:szCs w:val="26"/>
        </w:rPr>
        <w:t xml:space="preserve">  </w:t>
      </w:r>
      <w:r w:rsidR="00884128">
        <w:rPr>
          <w:rFonts w:eastAsia="Times New Roman"/>
          <w:sz w:val="26"/>
          <w:szCs w:val="26"/>
        </w:rPr>
        <w:t xml:space="preserve">By Secretarial Letter </w:t>
      </w:r>
      <w:r w:rsidR="007775C4">
        <w:rPr>
          <w:rFonts w:eastAsia="Times New Roman"/>
          <w:sz w:val="26"/>
          <w:szCs w:val="26"/>
        </w:rPr>
        <w:t xml:space="preserve">dated </w:t>
      </w:r>
      <w:r w:rsidR="00884128">
        <w:rPr>
          <w:rFonts w:eastAsia="Times New Roman"/>
          <w:sz w:val="26"/>
          <w:szCs w:val="26"/>
        </w:rPr>
        <w:t>April</w:t>
      </w:r>
      <w:r w:rsidR="007775C4">
        <w:rPr>
          <w:rFonts w:eastAsia="Times New Roman"/>
          <w:sz w:val="26"/>
          <w:szCs w:val="26"/>
        </w:rPr>
        <w:t> </w:t>
      </w:r>
      <w:r w:rsidR="00884128">
        <w:rPr>
          <w:rFonts w:eastAsia="Times New Roman"/>
          <w:sz w:val="26"/>
          <w:szCs w:val="26"/>
        </w:rPr>
        <w:t>26, 2018, t</w:t>
      </w:r>
      <w:r w:rsidR="00773E5C" w:rsidRPr="00773E5C">
        <w:rPr>
          <w:rFonts w:eastAsia="Times New Roman"/>
          <w:sz w:val="26"/>
          <w:szCs w:val="26"/>
        </w:rPr>
        <w:t>he Commission returned the Complainant’s Exceptions</w:t>
      </w:r>
      <w:r w:rsidR="00884128">
        <w:rPr>
          <w:rFonts w:eastAsia="Times New Roman"/>
          <w:sz w:val="26"/>
          <w:szCs w:val="26"/>
        </w:rPr>
        <w:t xml:space="preserve"> for a signature and requested a Certificate of Service.</w:t>
      </w:r>
      <w:r w:rsidR="00773E5C" w:rsidRPr="00773E5C">
        <w:rPr>
          <w:rFonts w:eastAsia="Times New Roman"/>
          <w:sz w:val="26"/>
          <w:szCs w:val="26"/>
        </w:rPr>
        <w:t xml:space="preserve">  </w:t>
      </w:r>
      <w:r w:rsidR="00773E5C">
        <w:rPr>
          <w:rFonts w:eastAsia="Times New Roman"/>
          <w:sz w:val="26"/>
          <w:szCs w:val="26"/>
        </w:rPr>
        <w:t xml:space="preserve">The </w:t>
      </w:r>
      <w:r w:rsidR="00884128">
        <w:rPr>
          <w:rFonts w:eastAsia="Times New Roman"/>
          <w:sz w:val="26"/>
          <w:szCs w:val="26"/>
        </w:rPr>
        <w:t xml:space="preserve">April 26, 2018 </w:t>
      </w:r>
      <w:r w:rsidR="00773E5C">
        <w:rPr>
          <w:rFonts w:eastAsia="Times New Roman"/>
          <w:sz w:val="26"/>
          <w:szCs w:val="26"/>
        </w:rPr>
        <w:t xml:space="preserve">Secretarial Letter </w:t>
      </w:r>
      <w:r w:rsidR="007775C4">
        <w:rPr>
          <w:rFonts w:eastAsia="Times New Roman"/>
          <w:sz w:val="26"/>
          <w:szCs w:val="26"/>
        </w:rPr>
        <w:t xml:space="preserve">also established </w:t>
      </w:r>
      <w:r w:rsidR="00773E5C">
        <w:rPr>
          <w:rFonts w:eastAsia="Times New Roman"/>
          <w:sz w:val="26"/>
          <w:szCs w:val="26"/>
        </w:rPr>
        <w:t>a</w:t>
      </w:r>
      <w:r w:rsidR="00773E5C" w:rsidRPr="00773E5C">
        <w:rPr>
          <w:rFonts w:eastAsia="Times New Roman"/>
          <w:sz w:val="26"/>
          <w:szCs w:val="26"/>
        </w:rPr>
        <w:t xml:space="preserve"> new d</w:t>
      </w:r>
      <w:r w:rsidR="007775C4">
        <w:rPr>
          <w:rFonts w:eastAsia="Times New Roman"/>
          <w:sz w:val="26"/>
          <w:szCs w:val="26"/>
        </w:rPr>
        <w:t xml:space="preserve">eadline to file </w:t>
      </w:r>
      <w:r w:rsidR="00773E5C" w:rsidRPr="00773E5C">
        <w:rPr>
          <w:rFonts w:eastAsia="Times New Roman"/>
          <w:sz w:val="26"/>
          <w:szCs w:val="26"/>
        </w:rPr>
        <w:t xml:space="preserve">Exceptions </w:t>
      </w:r>
      <w:r w:rsidR="00773E5C">
        <w:rPr>
          <w:rFonts w:eastAsia="Times New Roman"/>
          <w:sz w:val="26"/>
          <w:szCs w:val="26"/>
        </w:rPr>
        <w:t>as</w:t>
      </w:r>
      <w:r w:rsidR="00773E5C" w:rsidRPr="00773E5C">
        <w:rPr>
          <w:rFonts w:eastAsia="Times New Roman"/>
          <w:sz w:val="26"/>
          <w:szCs w:val="26"/>
        </w:rPr>
        <w:t xml:space="preserve"> </w:t>
      </w:r>
      <w:r w:rsidR="00884128">
        <w:rPr>
          <w:rFonts w:eastAsia="Times New Roman"/>
          <w:sz w:val="26"/>
          <w:szCs w:val="26"/>
        </w:rPr>
        <w:t>May 6, 2018</w:t>
      </w:r>
      <w:r w:rsidR="007775C4">
        <w:rPr>
          <w:rFonts w:eastAsia="Times New Roman"/>
          <w:sz w:val="26"/>
          <w:szCs w:val="26"/>
        </w:rPr>
        <w:t>,</w:t>
      </w:r>
      <w:r w:rsidR="00773E5C" w:rsidRPr="00773E5C">
        <w:rPr>
          <w:rFonts w:eastAsia="Times New Roman"/>
          <w:sz w:val="26"/>
          <w:szCs w:val="26"/>
        </w:rPr>
        <w:t xml:space="preserve"> with Reply Exceptions due May 7, 2018.  The Complainant filed his signed “Exceptions” on May 17, 2018.</w:t>
      </w:r>
    </w:p>
    <w:p w:rsidR="00D673B0" w:rsidRDefault="00D673B0" w:rsidP="00773E5C">
      <w:pPr>
        <w:tabs>
          <w:tab w:val="left" w:pos="-720"/>
        </w:tabs>
        <w:suppressAutoHyphens/>
        <w:autoSpaceDE w:val="0"/>
        <w:autoSpaceDN w:val="0"/>
        <w:jc w:val="left"/>
        <w:rPr>
          <w:rFonts w:eastAsia="Times New Roman"/>
          <w:sz w:val="26"/>
          <w:szCs w:val="26"/>
        </w:rPr>
      </w:pPr>
    </w:p>
    <w:p w:rsidR="0072516B" w:rsidRDefault="006C33BE" w:rsidP="00773E5C">
      <w:pPr>
        <w:tabs>
          <w:tab w:val="left" w:pos="-720"/>
        </w:tabs>
        <w:suppressAutoHyphens/>
        <w:autoSpaceDE w:val="0"/>
        <w:autoSpaceDN w:val="0"/>
        <w:jc w:val="left"/>
        <w:rPr>
          <w:rFonts w:eastAsia="Times New Roman"/>
          <w:sz w:val="26"/>
          <w:szCs w:val="26"/>
        </w:rPr>
      </w:pPr>
      <w:r>
        <w:rPr>
          <w:rFonts w:eastAsia="Times New Roman"/>
          <w:sz w:val="26"/>
          <w:szCs w:val="26"/>
        </w:rPr>
        <w:tab/>
      </w:r>
      <w:r w:rsidR="006522AE">
        <w:rPr>
          <w:rFonts w:eastAsia="Times New Roman"/>
          <w:sz w:val="26"/>
          <w:szCs w:val="26"/>
        </w:rPr>
        <w:t xml:space="preserve">DLC filed its Petition to Quash on May 24, 2018.  </w:t>
      </w:r>
      <w:r w:rsidR="006D1093">
        <w:rPr>
          <w:rFonts w:eastAsia="Times New Roman"/>
          <w:sz w:val="26"/>
          <w:szCs w:val="26"/>
        </w:rPr>
        <w:t xml:space="preserve">On </w:t>
      </w:r>
      <w:r w:rsidR="00734FBD">
        <w:rPr>
          <w:rFonts w:eastAsia="Times New Roman"/>
          <w:sz w:val="26"/>
          <w:szCs w:val="26"/>
        </w:rPr>
        <w:t>June 22</w:t>
      </w:r>
      <w:r w:rsidR="006D1093">
        <w:rPr>
          <w:rFonts w:eastAsia="Times New Roman"/>
          <w:sz w:val="26"/>
          <w:szCs w:val="26"/>
        </w:rPr>
        <w:t>, 201</w:t>
      </w:r>
      <w:r w:rsidR="00734FBD">
        <w:rPr>
          <w:rFonts w:eastAsia="Times New Roman"/>
          <w:sz w:val="26"/>
          <w:szCs w:val="26"/>
        </w:rPr>
        <w:t>8</w:t>
      </w:r>
      <w:r w:rsidR="006D1093">
        <w:rPr>
          <w:rFonts w:eastAsia="Times New Roman"/>
          <w:sz w:val="26"/>
          <w:szCs w:val="26"/>
        </w:rPr>
        <w:t xml:space="preserve">, the Complainant filed additional </w:t>
      </w:r>
      <w:r w:rsidR="00EF0BBC">
        <w:rPr>
          <w:rFonts w:eastAsia="Times New Roman"/>
          <w:sz w:val="26"/>
          <w:szCs w:val="26"/>
        </w:rPr>
        <w:t>information regarding</w:t>
      </w:r>
      <w:r w:rsidR="006D1093">
        <w:rPr>
          <w:rFonts w:eastAsia="Times New Roman"/>
          <w:sz w:val="26"/>
          <w:szCs w:val="26"/>
        </w:rPr>
        <w:t xml:space="preserve"> h</w:t>
      </w:r>
      <w:r w:rsidR="00734FBD">
        <w:rPr>
          <w:rFonts w:eastAsia="Times New Roman"/>
          <w:sz w:val="26"/>
          <w:szCs w:val="26"/>
        </w:rPr>
        <w:t>is</w:t>
      </w:r>
      <w:r w:rsidR="006D1093">
        <w:rPr>
          <w:rFonts w:eastAsia="Times New Roman"/>
          <w:sz w:val="26"/>
          <w:szCs w:val="26"/>
        </w:rPr>
        <w:t xml:space="preserve"> </w:t>
      </w:r>
      <w:r w:rsidR="006522AE">
        <w:rPr>
          <w:rFonts w:eastAsia="Times New Roman"/>
          <w:sz w:val="26"/>
          <w:szCs w:val="26"/>
        </w:rPr>
        <w:t>petition</w:t>
      </w:r>
      <w:r w:rsidR="006D1093">
        <w:rPr>
          <w:rFonts w:eastAsia="Times New Roman"/>
          <w:sz w:val="26"/>
          <w:szCs w:val="26"/>
        </w:rPr>
        <w:t>.</w:t>
      </w:r>
      <w:r w:rsidR="00EA3541">
        <w:rPr>
          <w:rStyle w:val="FootnoteReference"/>
          <w:rFonts w:eastAsia="Times New Roman"/>
          <w:sz w:val="26"/>
          <w:szCs w:val="26"/>
        </w:rPr>
        <w:footnoteReference w:id="3"/>
      </w:r>
    </w:p>
    <w:p w:rsidR="0072516B" w:rsidRDefault="0072516B" w:rsidP="00EA224F">
      <w:pPr>
        <w:tabs>
          <w:tab w:val="left" w:pos="-720"/>
        </w:tabs>
        <w:suppressAutoHyphens/>
        <w:autoSpaceDE w:val="0"/>
        <w:autoSpaceDN w:val="0"/>
        <w:ind w:firstLine="0"/>
        <w:jc w:val="left"/>
        <w:rPr>
          <w:rFonts w:eastAsia="Times New Roman"/>
          <w:sz w:val="26"/>
          <w:szCs w:val="26"/>
        </w:rPr>
      </w:pPr>
    </w:p>
    <w:p w:rsidR="00EA224F" w:rsidRDefault="0072516B" w:rsidP="0072516B">
      <w:pPr>
        <w:tabs>
          <w:tab w:val="left" w:pos="-720"/>
        </w:tabs>
        <w:suppressAutoHyphens/>
        <w:autoSpaceDE w:val="0"/>
        <w:autoSpaceDN w:val="0"/>
        <w:ind w:firstLine="0"/>
        <w:rPr>
          <w:rFonts w:eastAsia="Times New Roman"/>
          <w:b/>
          <w:sz w:val="26"/>
          <w:szCs w:val="26"/>
        </w:rPr>
      </w:pPr>
      <w:r>
        <w:rPr>
          <w:rFonts w:eastAsia="Times New Roman"/>
          <w:b/>
          <w:sz w:val="26"/>
          <w:szCs w:val="26"/>
        </w:rPr>
        <w:t>Discussion</w:t>
      </w:r>
    </w:p>
    <w:p w:rsidR="006522AE" w:rsidRDefault="006522AE" w:rsidP="0072516B">
      <w:pPr>
        <w:tabs>
          <w:tab w:val="left" w:pos="-720"/>
        </w:tabs>
        <w:suppressAutoHyphens/>
        <w:autoSpaceDE w:val="0"/>
        <w:autoSpaceDN w:val="0"/>
        <w:ind w:firstLine="0"/>
        <w:rPr>
          <w:rFonts w:eastAsia="Times New Roman"/>
          <w:b/>
          <w:sz w:val="26"/>
          <w:szCs w:val="26"/>
        </w:rPr>
      </w:pPr>
    </w:p>
    <w:p w:rsidR="006522AE" w:rsidRDefault="006522AE" w:rsidP="006522AE">
      <w:pPr>
        <w:tabs>
          <w:tab w:val="left" w:pos="-720"/>
        </w:tabs>
        <w:suppressAutoHyphens/>
        <w:autoSpaceDE w:val="0"/>
        <w:autoSpaceDN w:val="0"/>
        <w:ind w:firstLine="0"/>
        <w:jc w:val="left"/>
        <w:rPr>
          <w:rFonts w:eastAsia="Times New Roman"/>
          <w:sz w:val="26"/>
          <w:szCs w:val="26"/>
        </w:rPr>
      </w:pPr>
      <w:r>
        <w:rPr>
          <w:rFonts w:eastAsia="Times New Roman"/>
          <w:b/>
          <w:sz w:val="26"/>
          <w:szCs w:val="26"/>
        </w:rPr>
        <w:tab/>
      </w:r>
      <w:r>
        <w:rPr>
          <w:rFonts w:eastAsia="Times New Roman"/>
          <w:b/>
          <w:sz w:val="26"/>
          <w:szCs w:val="26"/>
        </w:rPr>
        <w:tab/>
      </w:r>
      <w:r w:rsidRPr="006522AE">
        <w:rPr>
          <w:rFonts w:eastAsia="Times New Roman"/>
          <w:sz w:val="26"/>
          <w:szCs w:val="26"/>
        </w:rPr>
        <w:t>We begin</w:t>
      </w:r>
      <w:r>
        <w:rPr>
          <w:rFonts w:eastAsia="Times New Roman"/>
          <w:sz w:val="26"/>
          <w:szCs w:val="26"/>
        </w:rPr>
        <w:t xml:space="preserve"> by considering the nature of the Complainant’s filing, because the analysis to be applied depends on the type of filing before us.  In this case, Exceptions to the Initial Decision were due on April 26, 2018.  Exceptions were not received by the Commission by the required due date.  Therefore, in accordance with Section 332(h) of the Public </w:t>
      </w:r>
      <w:r w:rsidR="0091697D">
        <w:rPr>
          <w:rFonts w:eastAsia="Times New Roman"/>
          <w:sz w:val="26"/>
          <w:szCs w:val="26"/>
        </w:rPr>
        <w:t>Utility</w:t>
      </w:r>
      <w:r>
        <w:rPr>
          <w:rFonts w:eastAsia="Times New Roman"/>
          <w:sz w:val="26"/>
          <w:szCs w:val="26"/>
        </w:rPr>
        <w:t xml:space="preserve"> Code (Code), 66 Pa. C.S. § 332(h), the decision of the ALJ became final with</w:t>
      </w:r>
      <w:r w:rsidR="006C33BE">
        <w:rPr>
          <w:rFonts w:eastAsia="Times New Roman"/>
          <w:sz w:val="26"/>
          <w:szCs w:val="26"/>
        </w:rPr>
        <w:t>out</w:t>
      </w:r>
      <w:r>
        <w:rPr>
          <w:rFonts w:eastAsia="Times New Roman"/>
          <w:sz w:val="26"/>
          <w:szCs w:val="26"/>
        </w:rPr>
        <w:t xml:space="preserve"> further Commission action on April 26, 2018.</w:t>
      </w:r>
    </w:p>
    <w:p w:rsidR="006522AE" w:rsidRDefault="006522AE" w:rsidP="006522AE">
      <w:pPr>
        <w:tabs>
          <w:tab w:val="left" w:pos="-720"/>
        </w:tabs>
        <w:suppressAutoHyphens/>
        <w:autoSpaceDE w:val="0"/>
        <w:autoSpaceDN w:val="0"/>
        <w:ind w:firstLine="0"/>
        <w:jc w:val="left"/>
        <w:rPr>
          <w:rFonts w:eastAsia="Times New Roman"/>
          <w:sz w:val="26"/>
          <w:szCs w:val="26"/>
        </w:rPr>
      </w:pPr>
    </w:p>
    <w:p w:rsidR="006522AE" w:rsidRPr="006522AE" w:rsidRDefault="006522AE" w:rsidP="006522AE">
      <w:pPr>
        <w:tabs>
          <w:tab w:val="left" w:pos="-720"/>
        </w:tabs>
        <w:suppressAutoHyphens/>
        <w:autoSpaceDE w:val="0"/>
        <w:autoSpaceDN w:val="0"/>
        <w:ind w:firstLine="0"/>
        <w:jc w:val="left"/>
        <w:rPr>
          <w:rFonts w:eastAsia="Times New Roman"/>
          <w:sz w:val="26"/>
          <w:szCs w:val="26"/>
        </w:rPr>
      </w:pPr>
      <w:r>
        <w:rPr>
          <w:rFonts w:eastAsia="Times New Roman"/>
          <w:sz w:val="26"/>
          <w:szCs w:val="26"/>
        </w:rPr>
        <w:tab/>
      </w:r>
      <w:r>
        <w:rPr>
          <w:rFonts w:eastAsia="Times New Roman"/>
          <w:sz w:val="26"/>
          <w:szCs w:val="26"/>
        </w:rPr>
        <w:tab/>
        <w:t>As discussed above, the Complainant filed “Exceptions” on May 17, 2018 (</w:t>
      </w:r>
      <w:r w:rsidRPr="00975500">
        <w:rPr>
          <w:rFonts w:eastAsia="Times New Roman"/>
          <w:i/>
          <w:sz w:val="26"/>
          <w:szCs w:val="26"/>
        </w:rPr>
        <w:t>i.e.</w:t>
      </w:r>
      <w:r w:rsidR="00975500">
        <w:rPr>
          <w:rFonts w:eastAsia="Times New Roman"/>
          <w:sz w:val="26"/>
          <w:szCs w:val="26"/>
        </w:rPr>
        <w:t>,</w:t>
      </w:r>
      <w:r>
        <w:rPr>
          <w:rFonts w:eastAsia="Times New Roman"/>
          <w:sz w:val="26"/>
          <w:szCs w:val="26"/>
        </w:rPr>
        <w:t xml:space="preserve"> </w:t>
      </w:r>
      <w:r w:rsidR="00975500">
        <w:rPr>
          <w:rFonts w:eastAsia="Times New Roman"/>
          <w:sz w:val="26"/>
          <w:szCs w:val="26"/>
        </w:rPr>
        <w:t>eleven</w:t>
      </w:r>
      <w:r w:rsidR="00884128">
        <w:rPr>
          <w:rFonts w:eastAsia="Times New Roman"/>
          <w:sz w:val="26"/>
          <w:szCs w:val="26"/>
        </w:rPr>
        <w:t xml:space="preserve"> days beyond the extension granted by the Secretary’s </w:t>
      </w:r>
      <w:r w:rsidR="00BF6B74">
        <w:rPr>
          <w:rFonts w:eastAsia="Times New Roman"/>
          <w:sz w:val="26"/>
          <w:szCs w:val="26"/>
        </w:rPr>
        <w:t>Bureau</w:t>
      </w:r>
      <w:r w:rsidR="00975500">
        <w:rPr>
          <w:rFonts w:eastAsia="Times New Roman"/>
          <w:sz w:val="26"/>
          <w:szCs w:val="26"/>
        </w:rPr>
        <w:t>)</w:t>
      </w:r>
      <w:r w:rsidR="00BF6B74">
        <w:rPr>
          <w:rFonts w:eastAsia="Times New Roman"/>
          <w:sz w:val="26"/>
          <w:szCs w:val="26"/>
        </w:rPr>
        <w:t>.</w:t>
      </w:r>
      <w:r>
        <w:rPr>
          <w:rFonts w:eastAsia="Times New Roman"/>
          <w:sz w:val="26"/>
          <w:szCs w:val="26"/>
        </w:rPr>
        <w:t xml:space="preserve">  Because the Complainant is appearing </w:t>
      </w:r>
      <w:r w:rsidRPr="006C33BE">
        <w:rPr>
          <w:rFonts w:eastAsia="Times New Roman"/>
          <w:i/>
          <w:sz w:val="26"/>
          <w:szCs w:val="26"/>
        </w:rPr>
        <w:t>pro se</w:t>
      </w:r>
      <w:r>
        <w:rPr>
          <w:rFonts w:eastAsia="Times New Roman"/>
          <w:sz w:val="26"/>
          <w:szCs w:val="26"/>
        </w:rPr>
        <w:t>, we will exercise our discretion and consider the Complainant’s “Exceptions” as a Petition for Rescission</w:t>
      </w:r>
      <w:r w:rsidR="00691AA4">
        <w:rPr>
          <w:rFonts w:eastAsia="Times New Roman"/>
          <w:sz w:val="26"/>
          <w:szCs w:val="26"/>
        </w:rPr>
        <w:t xml:space="preserve"> (Petition)</w:t>
      </w:r>
      <w:r>
        <w:rPr>
          <w:rFonts w:eastAsia="Times New Roman"/>
          <w:sz w:val="26"/>
          <w:szCs w:val="26"/>
        </w:rPr>
        <w:t xml:space="preserve"> of the Commission’s final decision.  52 Pa. Code § 5.572(d).  Consequently, we will treat DLC’s “</w:t>
      </w:r>
      <w:r w:rsidR="006C33BE">
        <w:rPr>
          <w:rFonts w:eastAsia="Times New Roman"/>
          <w:sz w:val="26"/>
          <w:szCs w:val="26"/>
        </w:rPr>
        <w:t>Mo</w:t>
      </w:r>
      <w:r>
        <w:rPr>
          <w:rFonts w:eastAsia="Times New Roman"/>
          <w:sz w:val="26"/>
          <w:szCs w:val="26"/>
        </w:rPr>
        <w:t>tion to Quash” as an Answer to the Petition for Rescission</w:t>
      </w:r>
      <w:r w:rsidR="00691AA4">
        <w:rPr>
          <w:rFonts w:eastAsia="Times New Roman"/>
          <w:sz w:val="26"/>
          <w:szCs w:val="26"/>
        </w:rPr>
        <w:t xml:space="preserve"> (Answer)</w:t>
      </w:r>
      <w:r>
        <w:rPr>
          <w:rFonts w:eastAsia="Times New Roman"/>
          <w:sz w:val="26"/>
          <w:szCs w:val="26"/>
        </w:rPr>
        <w:t>.</w:t>
      </w:r>
    </w:p>
    <w:p w:rsidR="0072516B" w:rsidRDefault="0072516B" w:rsidP="0072516B">
      <w:pPr>
        <w:tabs>
          <w:tab w:val="left" w:pos="-720"/>
        </w:tabs>
        <w:suppressAutoHyphens/>
        <w:autoSpaceDE w:val="0"/>
        <w:autoSpaceDN w:val="0"/>
        <w:ind w:firstLine="0"/>
        <w:rPr>
          <w:rFonts w:eastAsia="Times New Roman"/>
          <w:sz w:val="26"/>
          <w:szCs w:val="26"/>
        </w:rPr>
      </w:pPr>
    </w:p>
    <w:p w:rsidR="0072516B" w:rsidRDefault="0072516B" w:rsidP="0072516B">
      <w:pPr>
        <w:suppressAutoHyphens/>
        <w:ind w:firstLine="0"/>
        <w:jc w:val="left"/>
        <w:rPr>
          <w:b/>
          <w:spacing w:val="-3"/>
          <w:sz w:val="26"/>
        </w:rPr>
      </w:pPr>
      <w:r>
        <w:rPr>
          <w:b/>
          <w:spacing w:val="-3"/>
          <w:sz w:val="26"/>
        </w:rPr>
        <w:t>Legal Standards</w:t>
      </w:r>
    </w:p>
    <w:p w:rsidR="0072516B" w:rsidRPr="0003143E" w:rsidRDefault="0072516B" w:rsidP="0072516B">
      <w:pPr>
        <w:suppressAutoHyphens/>
        <w:jc w:val="left"/>
        <w:rPr>
          <w:b/>
          <w:spacing w:val="-3"/>
          <w:sz w:val="26"/>
        </w:rPr>
      </w:pPr>
    </w:p>
    <w:p w:rsidR="0072516B" w:rsidRDefault="0072516B" w:rsidP="0072516B">
      <w:pPr>
        <w:ind w:firstLine="1440"/>
        <w:jc w:val="left"/>
        <w:rPr>
          <w:rFonts w:ascii="Times New (W1)" w:hAnsi="Times New (W1)"/>
          <w:sz w:val="26"/>
        </w:rPr>
      </w:pPr>
      <w:r>
        <w:rPr>
          <w:rFonts w:ascii="Times New (W1)" w:hAnsi="Times New (W1)"/>
          <w:sz w:val="26"/>
        </w:rPr>
        <w:t xml:space="preserve">Before addressing the Petition, it is noted that any issue that we do not specifically discuss shall be deemed to have been duly considered and denied without further discussion.  The Commission is not required to consider expressly or at length each contention or argument raised by the parties.  </w:t>
      </w:r>
      <w:r>
        <w:rPr>
          <w:rFonts w:ascii="Times New (W1)" w:hAnsi="Times New (W1)"/>
          <w:i/>
          <w:sz w:val="26"/>
        </w:rPr>
        <w:t xml:space="preserve">Consolidated Rail Corp. v. Pennsylvania Public Utility Commission, </w:t>
      </w:r>
      <w:r>
        <w:rPr>
          <w:rFonts w:ascii="Times New (W1)" w:hAnsi="Times New (W1)"/>
          <w:sz w:val="26"/>
        </w:rPr>
        <w:t>625 A.2d 741 (Pa. Cmwlth. 1993).</w:t>
      </w:r>
    </w:p>
    <w:p w:rsidR="0072516B" w:rsidRDefault="0072516B" w:rsidP="0072516B">
      <w:pPr>
        <w:suppressAutoHyphens/>
        <w:ind w:firstLine="1440"/>
        <w:rPr>
          <w:spacing w:val="-3"/>
          <w:sz w:val="26"/>
        </w:rPr>
      </w:pPr>
    </w:p>
    <w:p w:rsidR="004C1691" w:rsidRPr="004C1691" w:rsidRDefault="004C1691" w:rsidP="004C1691">
      <w:pPr>
        <w:autoSpaceDE w:val="0"/>
        <w:autoSpaceDN w:val="0"/>
        <w:adjustRightInd w:val="0"/>
        <w:ind w:firstLine="1440"/>
        <w:jc w:val="left"/>
        <w:rPr>
          <w:rFonts w:eastAsia="Times New Roman"/>
          <w:sz w:val="26"/>
          <w:szCs w:val="20"/>
        </w:rPr>
      </w:pPr>
      <w:r w:rsidRPr="004C1691">
        <w:rPr>
          <w:rFonts w:eastAsia="Times New Roman"/>
          <w:sz w:val="26"/>
          <w:szCs w:val="20"/>
        </w:rPr>
        <w:t>The Code establishes a party’s right to seek relief following the issuance of our final decisions pursuant to Subsections 703(f) and (g), 66 Pa. C.S. § 703(f) and § 703(g), relating to rehearing</w:t>
      </w:r>
      <w:r w:rsidR="0084122B">
        <w:rPr>
          <w:rFonts w:eastAsia="Times New Roman"/>
          <w:sz w:val="26"/>
          <w:szCs w:val="20"/>
        </w:rPr>
        <w:t>s</w:t>
      </w:r>
      <w:r w:rsidRPr="004C1691">
        <w:rPr>
          <w:rFonts w:eastAsia="Times New Roman"/>
          <w:sz w:val="26"/>
          <w:szCs w:val="20"/>
        </w:rPr>
        <w:t>, as well as the rescission and amendment of orders.  Such requests for relief must be consistent with Section 5.572 of our Regulations, 52 Pa. Code § 5.572, relating to petitions for relief following the issuance of a final decision.</w:t>
      </w:r>
    </w:p>
    <w:p w:rsidR="004C1691" w:rsidRPr="004C1691" w:rsidRDefault="004C1691" w:rsidP="004C1691">
      <w:pPr>
        <w:widowControl w:val="0"/>
        <w:autoSpaceDE w:val="0"/>
        <w:autoSpaceDN w:val="0"/>
        <w:adjustRightInd w:val="0"/>
        <w:ind w:firstLine="1440"/>
        <w:jc w:val="left"/>
        <w:rPr>
          <w:rFonts w:eastAsia="Times New Roman"/>
          <w:sz w:val="26"/>
          <w:szCs w:val="20"/>
        </w:rPr>
      </w:pPr>
    </w:p>
    <w:p w:rsidR="004C1691" w:rsidRPr="004C1691" w:rsidRDefault="004C1691" w:rsidP="004C1691">
      <w:pPr>
        <w:autoSpaceDE w:val="0"/>
        <w:autoSpaceDN w:val="0"/>
        <w:adjustRightInd w:val="0"/>
        <w:ind w:firstLine="1440"/>
        <w:jc w:val="left"/>
        <w:rPr>
          <w:rFonts w:eastAsia="Times New Roman"/>
          <w:sz w:val="26"/>
          <w:szCs w:val="26"/>
        </w:rPr>
      </w:pPr>
      <w:r w:rsidRPr="004C1691">
        <w:rPr>
          <w:rFonts w:eastAsia="Times New Roman"/>
          <w:sz w:val="26"/>
          <w:szCs w:val="26"/>
        </w:rPr>
        <w:t xml:space="preserve">A petition to modify or rescind a final Commission order may only be granted judiciously and under appropriate circumstances, because such an action results in the disturbance of final orders.  </w:t>
      </w:r>
      <w:r w:rsidRPr="004C1691">
        <w:rPr>
          <w:rFonts w:eastAsia="Times New Roman"/>
          <w:i/>
          <w:sz w:val="26"/>
          <w:szCs w:val="26"/>
        </w:rPr>
        <w:t>City of Pittsburgh v. Pennsylvania Department of Transportation,</w:t>
      </w:r>
      <w:r w:rsidRPr="004C1691">
        <w:rPr>
          <w:rFonts w:eastAsia="Times New Roman"/>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4C1691">
        <w:rPr>
          <w:rFonts w:eastAsia="Times New Roman"/>
          <w:i/>
          <w:sz w:val="26"/>
          <w:szCs w:val="20"/>
        </w:rPr>
        <w:t>Duick v. Pennsylvania Gas and Water Company</w:t>
      </w:r>
      <w:r w:rsidRPr="004C1691">
        <w:rPr>
          <w:rFonts w:eastAsia="Times New Roman"/>
          <w:sz w:val="26"/>
          <w:szCs w:val="20"/>
        </w:rPr>
        <w:t>, 56 Pa. P.U.C. 553 (Order entered December 17, 1982)</w:t>
      </w:r>
      <w:r w:rsidRPr="004C1691">
        <w:rPr>
          <w:rFonts w:eastAsia="Times New Roman"/>
          <w:sz w:val="26"/>
          <w:szCs w:val="26"/>
        </w:rPr>
        <w:t xml:space="preserve"> (quoting </w:t>
      </w:r>
      <w:hyperlink r:id="rId8" w:tgtFrame="x" w:tooltip="Clicking this link retrieves the full text document in another window" w:history="1">
        <w:r w:rsidRPr="004C1691">
          <w:rPr>
            <w:rFonts w:eastAsia="Times New Roman"/>
            <w:i/>
            <w:sz w:val="26"/>
            <w:szCs w:val="26"/>
          </w:rPr>
          <w:t>Pennsylvania Railroad Co. v. Pennsylvania Public Service Commission</w:t>
        </w:r>
        <w:r w:rsidRPr="004C1691">
          <w:rPr>
            <w:rFonts w:eastAsia="Times New Roman"/>
            <w:sz w:val="26"/>
            <w:szCs w:val="26"/>
          </w:rPr>
          <w:t>, 179 A. 850, 854 (Pa. Super. Ct. 1935)</w:t>
        </w:r>
      </w:hyperlink>
      <w:r w:rsidRPr="004C1691">
        <w:rPr>
          <w:rFonts w:eastAsia="Times New Roman"/>
          <w:sz w:val="26"/>
          <w:szCs w:val="26"/>
        </w:rPr>
        <w:t xml:space="preserve">).  </w:t>
      </w:r>
      <w:r w:rsidRPr="004C1691">
        <w:rPr>
          <w:rFonts w:eastAsia="Times New Roman"/>
          <w:color w:val="000000"/>
          <w:spacing w:val="-3"/>
          <w:sz w:val="26"/>
          <w:szCs w:val="20"/>
          <w:u w:color="000000"/>
        </w:rPr>
        <w:t xml:space="preserve">Such petitions are likely to succeed only when they raise “new and novel arguments” not previously heard or considerations which appear to have been overlooked or not addressed by the Commission.  </w:t>
      </w:r>
      <w:r w:rsidRPr="004C1691">
        <w:rPr>
          <w:rFonts w:eastAsia="Times New Roman"/>
          <w:i/>
          <w:color w:val="000000"/>
          <w:spacing w:val="-3"/>
          <w:sz w:val="26"/>
          <w:szCs w:val="20"/>
          <w:u w:color="000000"/>
        </w:rPr>
        <w:t>Duick</w:t>
      </w:r>
      <w:r w:rsidRPr="004C1691">
        <w:rPr>
          <w:rFonts w:eastAsia="Times New Roman"/>
          <w:color w:val="000000"/>
          <w:spacing w:val="-3"/>
          <w:sz w:val="26"/>
          <w:szCs w:val="20"/>
          <w:u w:color="000000"/>
        </w:rPr>
        <w:t xml:space="preserve"> at 559.</w:t>
      </w:r>
    </w:p>
    <w:p w:rsidR="0064376C" w:rsidRDefault="0064376C">
      <w:pPr>
        <w:spacing w:after="200" w:line="276" w:lineRule="auto"/>
        <w:ind w:firstLine="0"/>
        <w:jc w:val="left"/>
        <w:rPr>
          <w:sz w:val="26"/>
        </w:rPr>
      </w:pPr>
    </w:p>
    <w:p w:rsidR="0072516B" w:rsidRPr="0032342A" w:rsidRDefault="0072516B" w:rsidP="00884128">
      <w:pPr>
        <w:keepNext/>
        <w:keepLines/>
        <w:ind w:firstLine="0"/>
        <w:jc w:val="left"/>
        <w:rPr>
          <w:b/>
          <w:sz w:val="26"/>
          <w:szCs w:val="26"/>
        </w:rPr>
      </w:pPr>
      <w:r>
        <w:rPr>
          <w:b/>
          <w:sz w:val="26"/>
          <w:szCs w:val="26"/>
        </w:rPr>
        <w:t>Initial Decision</w:t>
      </w:r>
    </w:p>
    <w:p w:rsidR="0072516B" w:rsidRDefault="0072516B" w:rsidP="00884128">
      <w:pPr>
        <w:keepNext/>
        <w:keepLines/>
        <w:ind w:firstLine="0"/>
        <w:jc w:val="left"/>
        <w:rPr>
          <w:sz w:val="26"/>
          <w:szCs w:val="26"/>
        </w:rPr>
      </w:pPr>
    </w:p>
    <w:p w:rsidR="00AB0010" w:rsidRDefault="00AB0010" w:rsidP="00140BC9">
      <w:pPr>
        <w:ind w:firstLine="1440"/>
        <w:jc w:val="left"/>
        <w:rPr>
          <w:sz w:val="26"/>
        </w:rPr>
      </w:pPr>
      <w:r>
        <w:rPr>
          <w:sz w:val="26"/>
        </w:rPr>
        <w:t>In her Initial Decision, t</w:t>
      </w:r>
      <w:r w:rsidR="00140BC9">
        <w:rPr>
          <w:sz w:val="26"/>
        </w:rPr>
        <w:t>he ALJ made twenty-three Findings of Fact and reached four Conclusions of Law.  I.D. at 3-6, 11.  We shall adopt and incorporate herein by reference the ALJ’s Findings of Fact and Conclusions of Law, unless they are reversed or modified by this Opinion and Order, either expressly or by necessary implication.</w:t>
      </w:r>
    </w:p>
    <w:p w:rsidR="00AB0010" w:rsidRDefault="00AB0010" w:rsidP="00140BC9">
      <w:pPr>
        <w:ind w:firstLine="1440"/>
        <w:jc w:val="left"/>
        <w:rPr>
          <w:sz w:val="26"/>
          <w:szCs w:val="26"/>
        </w:rPr>
      </w:pPr>
    </w:p>
    <w:p w:rsidR="0009319F" w:rsidRDefault="006158D5" w:rsidP="00140BC9">
      <w:pPr>
        <w:ind w:firstLine="1440"/>
        <w:jc w:val="left"/>
        <w:rPr>
          <w:sz w:val="26"/>
          <w:szCs w:val="26"/>
        </w:rPr>
      </w:pPr>
      <w:r>
        <w:rPr>
          <w:sz w:val="26"/>
          <w:szCs w:val="26"/>
        </w:rPr>
        <w:t>T</w:t>
      </w:r>
      <w:r w:rsidR="00241AFA">
        <w:rPr>
          <w:sz w:val="26"/>
          <w:szCs w:val="26"/>
        </w:rPr>
        <w:t xml:space="preserve">he ALJ dismissed the Complaint </w:t>
      </w:r>
      <w:r w:rsidR="00621797">
        <w:rPr>
          <w:sz w:val="26"/>
          <w:szCs w:val="26"/>
        </w:rPr>
        <w:t xml:space="preserve">because </w:t>
      </w:r>
      <w:r w:rsidR="002A5C42">
        <w:rPr>
          <w:sz w:val="26"/>
          <w:szCs w:val="26"/>
        </w:rPr>
        <w:t>t</w:t>
      </w:r>
      <w:r w:rsidR="00621797">
        <w:rPr>
          <w:sz w:val="26"/>
          <w:szCs w:val="26"/>
        </w:rPr>
        <w:t>he Complainant</w:t>
      </w:r>
      <w:r w:rsidR="0009319F">
        <w:rPr>
          <w:sz w:val="26"/>
          <w:szCs w:val="26"/>
        </w:rPr>
        <w:t xml:space="preserve">: </w:t>
      </w:r>
      <w:r w:rsidR="00621797">
        <w:rPr>
          <w:sz w:val="26"/>
          <w:szCs w:val="26"/>
        </w:rPr>
        <w:t xml:space="preserve"> </w:t>
      </w:r>
      <w:r w:rsidR="002A5C42">
        <w:rPr>
          <w:sz w:val="26"/>
          <w:szCs w:val="26"/>
        </w:rPr>
        <w:t xml:space="preserve">(1) </w:t>
      </w:r>
      <w:r w:rsidR="0009319F">
        <w:rPr>
          <w:sz w:val="26"/>
          <w:szCs w:val="26"/>
        </w:rPr>
        <w:t xml:space="preserve">failed to prove </w:t>
      </w:r>
      <w:r w:rsidR="00621797">
        <w:rPr>
          <w:sz w:val="26"/>
          <w:szCs w:val="26"/>
        </w:rPr>
        <w:t>that DLC overcharged him for electric service when he was absent from the service address for an extended period</w:t>
      </w:r>
      <w:r w:rsidR="002A5C42">
        <w:rPr>
          <w:sz w:val="26"/>
          <w:szCs w:val="26"/>
        </w:rPr>
        <w:t xml:space="preserve">; (2) </w:t>
      </w:r>
      <w:r w:rsidR="0009319F">
        <w:rPr>
          <w:sz w:val="26"/>
          <w:szCs w:val="26"/>
        </w:rPr>
        <w:t xml:space="preserve">failed to prove </w:t>
      </w:r>
      <w:r w:rsidR="002A5C42">
        <w:rPr>
          <w:sz w:val="26"/>
          <w:szCs w:val="26"/>
        </w:rPr>
        <w:t xml:space="preserve">that DLC provided unreasonable </w:t>
      </w:r>
      <w:r w:rsidR="009840B8">
        <w:rPr>
          <w:sz w:val="26"/>
          <w:szCs w:val="26"/>
        </w:rPr>
        <w:t xml:space="preserve">service and appropriate customer service when its customer service representatives declined to discuss his electric service account because he refused to provide his name; and (3) </w:t>
      </w:r>
      <w:r w:rsidR="0009319F">
        <w:rPr>
          <w:sz w:val="26"/>
          <w:szCs w:val="26"/>
        </w:rPr>
        <w:t xml:space="preserve">failed to prove </w:t>
      </w:r>
      <w:r w:rsidR="009840B8">
        <w:rPr>
          <w:sz w:val="26"/>
          <w:szCs w:val="26"/>
        </w:rPr>
        <w:t>that DLC provided unsafe and unreliable service by causing his furnace to turn on after a power surge.</w:t>
      </w:r>
      <w:r w:rsidR="0009319F">
        <w:rPr>
          <w:sz w:val="26"/>
          <w:szCs w:val="26"/>
        </w:rPr>
        <w:t xml:space="preserve">  (I.D. at 11).</w:t>
      </w:r>
    </w:p>
    <w:p w:rsidR="0009319F" w:rsidRDefault="0009319F" w:rsidP="00140BC9">
      <w:pPr>
        <w:ind w:firstLine="1440"/>
        <w:jc w:val="left"/>
        <w:rPr>
          <w:sz w:val="26"/>
          <w:szCs w:val="26"/>
        </w:rPr>
      </w:pPr>
    </w:p>
    <w:p w:rsidR="00880737" w:rsidRDefault="00C864EB" w:rsidP="00975500">
      <w:pPr>
        <w:ind w:firstLine="1440"/>
        <w:jc w:val="left"/>
        <w:rPr>
          <w:sz w:val="26"/>
          <w:szCs w:val="26"/>
        </w:rPr>
      </w:pPr>
      <w:r>
        <w:rPr>
          <w:sz w:val="26"/>
          <w:szCs w:val="26"/>
        </w:rPr>
        <w:t xml:space="preserve">The ALJ cited to </w:t>
      </w:r>
      <w:r w:rsidRPr="00C864EB">
        <w:rPr>
          <w:i/>
          <w:sz w:val="26"/>
          <w:szCs w:val="26"/>
        </w:rPr>
        <w:t>Waldron v. Philadelphia Electric Company</w:t>
      </w:r>
      <w:r>
        <w:rPr>
          <w:sz w:val="26"/>
          <w:szCs w:val="26"/>
        </w:rPr>
        <w:t>, 54 Pa. PUC</w:t>
      </w:r>
      <w:r w:rsidR="00975500">
        <w:rPr>
          <w:sz w:val="26"/>
          <w:szCs w:val="26"/>
        </w:rPr>
        <w:t> </w:t>
      </w:r>
      <w:r>
        <w:rPr>
          <w:sz w:val="26"/>
          <w:szCs w:val="26"/>
        </w:rPr>
        <w:t xml:space="preserve">98 (1980), where the Commission outlined the burden of proof in a case involving a high bill dispute.  The accuracy of a meter in an important factor in a billing dispute but is not the only factor.  The Commission held certain factors must be considered for a ratepayer to establish a </w:t>
      </w:r>
      <w:r w:rsidRPr="00C864EB">
        <w:rPr>
          <w:i/>
          <w:sz w:val="26"/>
          <w:szCs w:val="26"/>
        </w:rPr>
        <w:t>prima facie</w:t>
      </w:r>
      <w:r>
        <w:rPr>
          <w:sz w:val="26"/>
          <w:szCs w:val="26"/>
        </w:rPr>
        <w:t xml:space="preserve"> case whenever claiming unusually high bills:</w:t>
      </w:r>
    </w:p>
    <w:p w:rsidR="00C864EB" w:rsidRDefault="00C864EB" w:rsidP="007469DF">
      <w:pPr>
        <w:ind w:firstLine="1440"/>
        <w:jc w:val="left"/>
        <w:rPr>
          <w:sz w:val="26"/>
          <w:szCs w:val="26"/>
        </w:rPr>
      </w:pPr>
    </w:p>
    <w:p w:rsidR="00C864EB" w:rsidRDefault="00C864EB" w:rsidP="006158D5">
      <w:pPr>
        <w:pStyle w:val="ListParagraph"/>
        <w:numPr>
          <w:ilvl w:val="0"/>
          <w:numId w:val="2"/>
        </w:numPr>
        <w:spacing w:line="240" w:lineRule="auto"/>
        <w:ind w:left="2520" w:right="1440" w:hanging="720"/>
        <w:jc w:val="left"/>
        <w:rPr>
          <w:sz w:val="26"/>
          <w:szCs w:val="26"/>
        </w:rPr>
      </w:pPr>
      <w:r>
        <w:rPr>
          <w:sz w:val="26"/>
          <w:szCs w:val="26"/>
        </w:rPr>
        <w:t>The disputed bill was abnormally high when compared to prior usage patterns; and</w:t>
      </w:r>
    </w:p>
    <w:p w:rsidR="00C864EB" w:rsidRDefault="00C864EB" w:rsidP="006158D5">
      <w:pPr>
        <w:pStyle w:val="ListParagraph"/>
        <w:spacing w:line="240" w:lineRule="auto"/>
        <w:ind w:left="2520" w:right="1440" w:hanging="720"/>
        <w:jc w:val="left"/>
        <w:rPr>
          <w:sz w:val="26"/>
          <w:szCs w:val="26"/>
        </w:rPr>
      </w:pPr>
    </w:p>
    <w:p w:rsidR="00C864EB" w:rsidRPr="00C864EB" w:rsidRDefault="00C864EB" w:rsidP="006158D5">
      <w:pPr>
        <w:pStyle w:val="ListParagraph"/>
        <w:numPr>
          <w:ilvl w:val="0"/>
          <w:numId w:val="2"/>
        </w:numPr>
        <w:spacing w:line="240" w:lineRule="auto"/>
        <w:ind w:left="2520" w:right="1440" w:hanging="720"/>
        <w:jc w:val="left"/>
        <w:rPr>
          <w:sz w:val="26"/>
          <w:szCs w:val="26"/>
        </w:rPr>
      </w:pPr>
      <w:r>
        <w:rPr>
          <w:sz w:val="26"/>
          <w:szCs w:val="26"/>
        </w:rPr>
        <w:t>The ratepayer’s pattern of usage had not changed.</w:t>
      </w:r>
    </w:p>
    <w:p w:rsidR="00880737" w:rsidRDefault="00880737" w:rsidP="00C864EB">
      <w:pPr>
        <w:ind w:firstLine="1440"/>
        <w:jc w:val="left"/>
        <w:rPr>
          <w:sz w:val="26"/>
          <w:szCs w:val="26"/>
        </w:rPr>
      </w:pPr>
    </w:p>
    <w:p w:rsidR="005B7D34" w:rsidRDefault="00C864EB" w:rsidP="00C864EB">
      <w:pPr>
        <w:ind w:firstLine="0"/>
        <w:jc w:val="left"/>
        <w:rPr>
          <w:sz w:val="26"/>
          <w:szCs w:val="26"/>
        </w:rPr>
      </w:pPr>
      <w:r>
        <w:rPr>
          <w:sz w:val="26"/>
          <w:szCs w:val="26"/>
        </w:rPr>
        <w:tab/>
      </w:r>
      <w:r>
        <w:rPr>
          <w:sz w:val="26"/>
          <w:szCs w:val="26"/>
        </w:rPr>
        <w:tab/>
        <w:t xml:space="preserve">The ALJ concluded that the Complainant did not meet the requirements of the </w:t>
      </w:r>
      <w:r w:rsidRPr="00C864EB">
        <w:rPr>
          <w:i/>
          <w:sz w:val="26"/>
          <w:szCs w:val="26"/>
        </w:rPr>
        <w:t>Waldron</w:t>
      </w:r>
      <w:r>
        <w:rPr>
          <w:sz w:val="26"/>
          <w:szCs w:val="26"/>
        </w:rPr>
        <w:t xml:space="preserve"> test.  The ALJ opined that although </w:t>
      </w:r>
      <w:r w:rsidR="00975F8E">
        <w:rPr>
          <w:sz w:val="26"/>
          <w:szCs w:val="26"/>
        </w:rPr>
        <w:t>the Complainant</w:t>
      </w:r>
      <w:r>
        <w:rPr>
          <w:sz w:val="26"/>
          <w:szCs w:val="26"/>
        </w:rPr>
        <w:t xml:space="preserve"> presented credible and believable testimony about his extended absence from the service address, he did not show that the disputed bills </w:t>
      </w:r>
      <w:r w:rsidR="00691AA4">
        <w:rPr>
          <w:sz w:val="26"/>
          <w:szCs w:val="26"/>
        </w:rPr>
        <w:t>were</w:t>
      </w:r>
      <w:r>
        <w:rPr>
          <w:sz w:val="26"/>
          <w:szCs w:val="26"/>
        </w:rPr>
        <w:t xml:space="preserve"> “unreasonably high.”  The ALJ noted that the supplier charges are higher in January 2017 than in December 2016 even though the Complainant was at home until December 8, 2016</w:t>
      </w:r>
      <w:r w:rsidR="00975F8E">
        <w:rPr>
          <w:sz w:val="26"/>
          <w:szCs w:val="26"/>
        </w:rPr>
        <w:t>,</w:t>
      </w:r>
      <w:r>
        <w:rPr>
          <w:sz w:val="26"/>
          <w:szCs w:val="26"/>
        </w:rPr>
        <w:t xml:space="preserve"> and was not home during </w:t>
      </w:r>
      <w:r w:rsidR="003D4559">
        <w:rPr>
          <w:sz w:val="26"/>
          <w:szCs w:val="26"/>
        </w:rPr>
        <w:t xml:space="preserve">the entire month of January 2017.  The ALJ noted further that the </w:t>
      </w:r>
      <w:r w:rsidR="004F0366">
        <w:rPr>
          <w:sz w:val="26"/>
          <w:szCs w:val="26"/>
        </w:rPr>
        <w:t xml:space="preserve">Complainant’s </w:t>
      </w:r>
      <w:r w:rsidR="003D4559">
        <w:rPr>
          <w:sz w:val="26"/>
          <w:szCs w:val="26"/>
        </w:rPr>
        <w:t>increased consumption amounted to a $2.16 difference, which does not qualify as “unreasonably high.”</w:t>
      </w:r>
      <w:r>
        <w:rPr>
          <w:sz w:val="26"/>
          <w:szCs w:val="26"/>
        </w:rPr>
        <w:t xml:space="preserve">  </w:t>
      </w:r>
      <w:r w:rsidR="003D4559">
        <w:rPr>
          <w:sz w:val="26"/>
          <w:szCs w:val="26"/>
        </w:rPr>
        <w:t>I.D. at</w:t>
      </w:r>
      <w:r w:rsidR="004F0366">
        <w:rPr>
          <w:sz w:val="26"/>
          <w:szCs w:val="26"/>
        </w:rPr>
        <w:t> </w:t>
      </w:r>
      <w:r w:rsidR="003D4559">
        <w:rPr>
          <w:sz w:val="26"/>
          <w:szCs w:val="26"/>
        </w:rPr>
        <w:t>7-9.</w:t>
      </w:r>
    </w:p>
    <w:p w:rsidR="003D4559" w:rsidRDefault="003D4559" w:rsidP="00C864EB">
      <w:pPr>
        <w:ind w:firstLine="0"/>
        <w:jc w:val="left"/>
        <w:rPr>
          <w:sz w:val="26"/>
          <w:szCs w:val="26"/>
        </w:rPr>
      </w:pPr>
    </w:p>
    <w:p w:rsidR="003D4559" w:rsidRDefault="003D4559" w:rsidP="00C864EB">
      <w:pPr>
        <w:ind w:firstLine="0"/>
        <w:jc w:val="left"/>
        <w:rPr>
          <w:sz w:val="26"/>
          <w:szCs w:val="26"/>
        </w:rPr>
      </w:pPr>
      <w:r>
        <w:rPr>
          <w:sz w:val="26"/>
          <w:szCs w:val="26"/>
        </w:rPr>
        <w:tab/>
      </w:r>
      <w:r>
        <w:rPr>
          <w:sz w:val="26"/>
          <w:szCs w:val="26"/>
        </w:rPr>
        <w:tab/>
        <w:t xml:space="preserve">The ALJ </w:t>
      </w:r>
      <w:r w:rsidR="000B4C2E">
        <w:rPr>
          <w:sz w:val="26"/>
          <w:szCs w:val="26"/>
        </w:rPr>
        <w:t xml:space="preserve">determined </w:t>
      </w:r>
      <w:r w:rsidR="004F0366">
        <w:rPr>
          <w:sz w:val="26"/>
          <w:szCs w:val="26"/>
        </w:rPr>
        <w:t xml:space="preserve">that although </w:t>
      </w:r>
      <w:r>
        <w:rPr>
          <w:sz w:val="26"/>
          <w:szCs w:val="26"/>
        </w:rPr>
        <w:t xml:space="preserve">the Complainant </w:t>
      </w:r>
      <w:r w:rsidR="00362FB8">
        <w:rPr>
          <w:sz w:val="26"/>
          <w:szCs w:val="26"/>
        </w:rPr>
        <w:t xml:space="preserve">testified </w:t>
      </w:r>
      <w:r>
        <w:rPr>
          <w:sz w:val="26"/>
          <w:szCs w:val="26"/>
        </w:rPr>
        <w:t>that when</w:t>
      </w:r>
      <w:r w:rsidR="004F0366">
        <w:rPr>
          <w:sz w:val="26"/>
          <w:szCs w:val="26"/>
        </w:rPr>
        <w:t>ever</w:t>
      </w:r>
      <w:r>
        <w:rPr>
          <w:sz w:val="26"/>
          <w:szCs w:val="26"/>
        </w:rPr>
        <w:t xml:space="preserve"> a power surge occur</w:t>
      </w:r>
      <w:r w:rsidR="00362FB8">
        <w:rPr>
          <w:sz w:val="26"/>
          <w:szCs w:val="26"/>
        </w:rPr>
        <w:t>red</w:t>
      </w:r>
      <w:r>
        <w:rPr>
          <w:sz w:val="26"/>
          <w:szCs w:val="26"/>
        </w:rPr>
        <w:t xml:space="preserve"> on his electric service, the electronic ignition on his natural gas furnace w</w:t>
      </w:r>
      <w:r w:rsidR="00362FB8">
        <w:rPr>
          <w:sz w:val="26"/>
          <w:szCs w:val="26"/>
        </w:rPr>
        <w:t>ould</w:t>
      </w:r>
      <w:r>
        <w:rPr>
          <w:sz w:val="26"/>
          <w:szCs w:val="26"/>
        </w:rPr>
        <w:t xml:space="preserve"> ignite and cause the furnace to operate</w:t>
      </w:r>
      <w:r w:rsidR="000B4C2E">
        <w:rPr>
          <w:sz w:val="26"/>
          <w:szCs w:val="26"/>
        </w:rPr>
        <w:t xml:space="preserve">, </w:t>
      </w:r>
      <w:r>
        <w:rPr>
          <w:sz w:val="26"/>
          <w:szCs w:val="26"/>
        </w:rPr>
        <w:t xml:space="preserve">the Complainant’s testimony does not include any instance when he returned home from one of his extended absences to find </w:t>
      </w:r>
      <w:r w:rsidR="000B4C2E">
        <w:rPr>
          <w:sz w:val="26"/>
          <w:szCs w:val="26"/>
        </w:rPr>
        <w:t xml:space="preserve">that </w:t>
      </w:r>
      <w:r>
        <w:rPr>
          <w:sz w:val="26"/>
          <w:szCs w:val="26"/>
        </w:rPr>
        <w:t xml:space="preserve">the furnace was operating.  The ALJ concluded that the Complainant’s contention that DLC failed to provide adequate, efficient, safe and reasonable service and facilities was not </w:t>
      </w:r>
      <w:r w:rsidR="006541F8">
        <w:rPr>
          <w:sz w:val="26"/>
          <w:szCs w:val="26"/>
        </w:rPr>
        <w:t xml:space="preserve">supported </w:t>
      </w:r>
      <w:r>
        <w:rPr>
          <w:sz w:val="26"/>
          <w:szCs w:val="26"/>
        </w:rPr>
        <w:t xml:space="preserve">by substantial evidence.  </w:t>
      </w:r>
      <w:r w:rsidR="007115F7">
        <w:rPr>
          <w:sz w:val="26"/>
          <w:szCs w:val="26"/>
        </w:rPr>
        <w:t>I.D. at 10.</w:t>
      </w:r>
    </w:p>
    <w:p w:rsidR="003D4559" w:rsidRDefault="003D4559" w:rsidP="00C864EB">
      <w:pPr>
        <w:ind w:firstLine="0"/>
        <w:jc w:val="left"/>
        <w:rPr>
          <w:sz w:val="26"/>
          <w:szCs w:val="26"/>
        </w:rPr>
      </w:pPr>
    </w:p>
    <w:p w:rsidR="003D4559" w:rsidRDefault="003D4559" w:rsidP="00C864EB">
      <w:pPr>
        <w:ind w:firstLine="0"/>
        <w:jc w:val="left"/>
        <w:rPr>
          <w:sz w:val="26"/>
          <w:szCs w:val="26"/>
        </w:rPr>
      </w:pPr>
      <w:r>
        <w:rPr>
          <w:sz w:val="26"/>
          <w:szCs w:val="26"/>
        </w:rPr>
        <w:tab/>
      </w:r>
      <w:r>
        <w:rPr>
          <w:sz w:val="26"/>
          <w:szCs w:val="26"/>
        </w:rPr>
        <w:tab/>
        <w:t xml:space="preserve">Concerning </w:t>
      </w:r>
      <w:r w:rsidR="006541F8">
        <w:rPr>
          <w:sz w:val="26"/>
          <w:szCs w:val="26"/>
        </w:rPr>
        <w:t xml:space="preserve">the Complainant’s allegation that DLC failed to provide reasonable customer service, </w:t>
      </w:r>
      <w:r>
        <w:rPr>
          <w:sz w:val="26"/>
          <w:szCs w:val="26"/>
        </w:rPr>
        <w:t xml:space="preserve">the ALJ </w:t>
      </w:r>
      <w:r w:rsidR="006541F8">
        <w:rPr>
          <w:sz w:val="26"/>
          <w:szCs w:val="26"/>
        </w:rPr>
        <w:t xml:space="preserve">concluded that </w:t>
      </w:r>
      <w:r w:rsidR="007115F7">
        <w:rPr>
          <w:sz w:val="26"/>
          <w:szCs w:val="26"/>
        </w:rPr>
        <w:t xml:space="preserve">it is reasonable for </w:t>
      </w:r>
      <w:r w:rsidR="008F5D14">
        <w:rPr>
          <w:sz w:val="26"/>
          <w:szCs w:val="26"/>
        </w:rPr>
        <w:t xml:space="preserve">a </w:t>
      </w:r>
      <w:r w:rsidR="007115F7">
        <w:rPr>
          <w:sz w:val="26"/>
          <w:szCs w:val="26"/>
        </w:rPr>
        <w:t xml:space="preserve">DLC customer service representative to insist </w:t>
      </w:r>
      <w:r w:rsidR="008F5D14">
        <w:rPr>
          <w:sz w:val="26"/>
          <w:szCs w:val="26"/>
        </w:rPr>
        <w:t xml:space="preserve">that </w:t>
      </w:r>
      <w:r w:rsidR="00691AA4">
        <w:rPr>
          <w:sz w:val="26"/>
          <w:szCs w:val="26"/>
        </w:rPr>
        <w:t xml:space="preserve">the </w:t>
      </w:r>
      <w:r w:rsidR="007115F7">
        <w:rPr>
          <w:sz w:val="26"/>
          <w:szCs w:val="26"/>
        </w:rPr>
        <w:t>Complainant provide his name, as well as other account information, before discussi</w:t>
      </w:r>
      <w:r w:rsidR="006C33BE">
        <w:rPr>
          <w:sz w:val="26"/>
          <w:szCs w:val="26"/>
        </w:rPr>
        <w:t>ng</w:t>
      </w:r>
      <w:r w:rsidR="007115F7">
        <w:rPr>
          <w:sz w:val="26"/>
          <w:szCs w:val="26"/>
        </w:rPr>
        <w:t xml:space="preserve"> the details of his electric service account.  I.D. at</w:t>
      </w:r>
      <w:r w:rsidR="008F5D14">
        <w:rPr>
          <w:sz w:val="26"/>
          <w:szCs w:val="26"/>
        </w:rPr>
        <w:t> </w:t>
      </w:r>
      <w:r w:rsidR="007115F7">
        <w:rPr>
          <w:sz w:val="26"/>
          <w:szCs w:val="26"/>
        </w:rPr>
        <w:t>11.</w:t>
      </w:r>
    </w:p>
    <w:p w:rsidR="0072516B" w:rsidRDefault="0072516B" w:rsidP="00C864EB">
      <w:pPr>
        <w:ind w:firstLine="1440"/>
        <w:jc w:val="both"/>
        <w:rPr>
          <w:sz w:val="26"/>
          <w:szCs w:val="26"/>
        </w:rPr>
      </w:pPr>
    </w:p>
    <w:p w:rsidR="008F5D14" w:rsidRDefault="008F5D14" w:rsidP="00C864EB">
      <w:pPr>
        <w:ind w:firstLine="1440"/>
        <w:jc w:val="both"/>
        <w:rPr>
          <w:sz w:val="26"/>
          <w:szCs w:val="26"/>
        </w:rPr>
      </w:pPr>
      <w:r>
        <w:rPr>
          <w:sz w:val="26"/>
          <w:szCs w:val="26"/>
        </w:rPr>
        <w:t>For all of the above reasons, the ALJ dismissed the Complaint.</w:t>
      </w:r>
    </w:p>
    <w:p w:rsidR="008F5D14" w:rsidRDefault="008F5D14" w:rsidP="00C864EB">
      <w:pPr>
        <w:ind w:firstLine="1440"/>
        <w:jc w:val="both"/>
        <w:rPr>
          <w:sz w:val="26"/>
          <w:szCs w:val="26"/>
        </w:rPr>
      </w:pPr>
    </w:p>
    <w:p w:rsidR="0072516B" w:rsidRDefault="004A6F1C" w:rsidP="00975500">
      <w:pPr>
        <w:keepNext/>
        <w:keepLines/>
        <w:ind w:firstLine="0"/>
        <w:jc w:val="left"/>
        <w:rPr>
          <w:b/>
          <w:sz w:val="26"/>
          <w:szCs w:val="26"/>
        </w:rPr>
      </w:pPr>
      <w:r>
        <w:rPr>
          <w:b/>
          <w:sz w:val="26"/>
          <w:szCs w:val="26"/>
        </w:rPr>
        <w:t xml:space="preserve">The </w:t>
      </w:r>
      <w:r w:rsidR="0018317D">
        <w:rPr>
          <w:b/>
          <w:sz w:val="26"/>
          <w:szCs w:val="26"/>
        </w:rPr>
        <w:t xml:space="preserve">Complainant’s </w:t>
      </w:r>
      <w:r>
        <w:rPr>
          <w:b/>
          <w:sz w:val="26"/>
          <w:szCs w:val="26"/>
        </w:rPr>
        <w:t xml:space="preserve">Petition and </w:t>
      </w:r>
      <w:r w:rsidR="0018317D">
        <w:rPr>
          <w:b/>
          <w:sz w:val="26"/>
          <w:szCs w:val="26"/>
        </w:rPr>
        <w:t>DLC’s Answer</w:t>
      </w:r>
    </w:p>
    <w:p w:rsidR="007469DF" w:rsidRDefault="007469DF" w:rsidP="00975500">
      <w:pPr>
        <w:keepNext/>
        <w:keepLines/>
        <w:ind w:firstLine="0"/>
        <w:jc w:val="left"/>
        <w:rPr>
          <w:b/>
          <w:sz w:val="26"/>
          <w:szCs w:val="26"/>
        </w:rPr>
      </w:pPr>
    </w:p>
    <w:p w:rsidR="007469DF" w:rsidRDefault="007469DF" w:rsidP="007469DF">
      <w:pPr>
        <w:ind w:firstLine="0"/>
        <w:jc w:val="left"/>
        <w:rPr>
          <w:sz w:val="26"/>
          <w:szCs w:val="26"/>
        </w:rPr>
      </w:pPr>
      <w:r w:rsidRPr="001C1893">
        <w:rPr>
          <w:sz w:val="26"/>
          <w:szCs w:val="26"/>
        </w:rPr>
        <w:tab/>
      </w:r>
      <w:r w:rsidRPr="001C1893">
        <w:rPr>
          <w:sz w:val="26"/>
          <w:szCs w:val="26"/>
        </w:rPr>
        <w:tab/>
      </w:r>
      <w:r w:rsidR="001C1893">
        <w:rPr>
          <w:sz w:val="26"/>
          <w:szCs w:val="26"/>
        </w:rPr>
        <w:t xml:space="preserve">The Complainant’s </w:t>
      </w:r>
      <w:r>
        <w:rPr>
          <w:sz w:val="26"/>
          <w:szCs w:val="26"/>
        </w:rPr>
        <w:t>P</w:t>
      </w:r>
      <w:r w:rsidRPr="007469DF">
        <w:rPr>
          <w:sz w:val="26"/>
          <w:szCs w:val="26"/>
        </w:rPr>
        <w:t>etition</w:t>
      </w:r>
      <w:r w:rsidR="001C1893">
        <w:rPr>
          <w:sz w:val="26"/>
          <w:szCs w:val="26"/>
        </w:rPr>
        <w:t xml:space="preserve"> is comprised of </w:t>
      </w:r>
      <w:r w:rsidR="005B7D34">
        <w:rPr>
          <w:sz w:val="26"/>
          <w:szCs w:val="26"/>
        </w:rPr>
        <w:t>copies of utility bills from DLC</w:t>
      </w:r>
      <w:r w:rsidR="004632EF">
        <w:rPr>
          <w:sz w:val="26"/>
          <w:szCs w:val="26"/>
        </w:rPr>
        <w:t>,</w:t>
      </w:r>
      <w:r w:rsidR="005B7D34">
        <w:rPr>
          <w:sz w:val="26"/>
          <w:szCs w:val="26"/>
        </w:rPr>
        <w:t xml:space="preserve"> copies of </w:t>
      </w:r>
      <w:r w:rsidR="004632EF">
        <w:rPr>
          <w:sz w:val="26"/>
          <w:szCs w:val="26"/>
        </w:rPr>
        <w:t xml:space="preserve">his </w:t>
      </w:r>
      <w:r w:rsidR="005B7D34">
        <w:rPr>
          <w:sz w:val="26"/>
          <w:szCs w:val="26"/>
        </w:rPr>
        <w:t>bank statements,</w:t>
      </w:r>
      <w:r>
        <w:rPr>
          <w:sz w:val="26"/>
          <w:szCs w:val="26"/>
        </w:rPr>
        <w:t xml:space="preserve"> </w:t>
      </w:r>
      <w:r w:rsidR="004632EF">
        <w:rPr>
          <w:sz w:val="26"/>
          <w:szCs w:val="26"/>
        </w:rPr>
        <w:t xml:space="preserve">and handwritten notes in which he </w:t>
      </w:r>
      <w:r w:rsidR="006C33BE">
        <w:rPr>
          <w:sz w:val="26"/>
          <w:szCs w:val="26"/>
        </w:rPr>
        <w:t xml:space="preserve">reiterates </w:t>
      </w:r>
      <w:r w:rsidR="0059069C">
        <w:rPr>
          <w:sz w:val="26"/>
          <w:szCs w:val="26"/>
        </w:rPr>
        <w:t xml:space="preserve">many of </w:t>
      </w:r>
      <w:r w:rsidR="004632EF">
        <w:rPr>
          <w:sz w:val="26"/>
          <w:szCs w:val="26"/>
        </w:rPr>
        <w:t xml:space="preserve">the same </w:t>
      </w:r>
      <w:r w:rsidR="006C33BE">
        <w:rPr>
          <w:sz w:val="26"/>
          <w:szCs w:val="26"/>
        </w:rPr>
        <w:t>claims</w:t>
      </w:r>
      <w:r w:rsidR="004632EF">
        <w:rPr>
          <w:sz w:val="26"/>
          <w:szCs w:val="26"/>
        </w:rPr>
        <w:t xml:space="preserve"> he made at the hearing</w:t>
      </w:r>
      <w:r w:rsidR="006C33BE">
        <w:rPr>
          <w:sz w:val="26"/>
          <w:szCs w:val="26"/>
        </w:rPr>
        <w:t xml:space="preserve">.  </w:t>
      </w:r>
      <w:r w:rsidR="004632EF">
        <w:rPr>
          <w:sz w:val="26"/>
          <w:szCs w:val="26"/>
        </w:rPr>
        <w:t xml:space="preserve">The Complainant </w:t>
      </w:r>
      <w:r w:rsidR="0059069C">
        <w:rPr>
          <w:sz w:val="26"/>
          <w:szCs w:val="26"/>
        </w:rPr>
        <w:t xml:space="preserve">further </w:t>
      </w:r>
      <w:r>
        <w:rPr>
          <w:sz w:val="26"/>
          <w:szCs w:val="26"/>
        </w:rPr>
        <w:t xml:space="preserve">asserts </w:t>
      </w:r>
      <w:r w:rsidR="005B7D34">
        <w:rPr>
          <w:sz w:val="26"/>
          <w:szCs w:val="26"/>
        </w:rPr>
        <w:t xml:space="preserve">that </w:t>
      </w:r>
      <w:r w:rsidR="007115F7">
        <w:rPr>
          <w:sz w:val="26"/>
          <w:szCs w:val="26"/>
        </w:rPr>
        <w:t>the bank statements verif</w:t>
      </w:r>
      <w:r w:rsidR="0059069C">
        <w:rPr>
          <w:sz w:val="26"/>
          <w:szCs w:val="26"/>
        </w:rPr>
        <w:t>y</w:t>
      </w:r>
      <w:r w:rsidR="004632EF">
        <w:rPr>
          <w:sz w:val="26"/>
          <w:szCs w:val="26"/>
        </w:rPr>
        <w:t xml:space="preserve"> </w:t>
      </w:r>
      <w:r w:rsidR="00E30BBB">
        <w:rPr>
          <w:sz w:val="26"/>
          <w:szCs w:val="26"/>
        </w:rPr>
        <w:t xml:space="preserve">the dates that he was </w:t>
      </w:r>
      <w:r w:rsidR="007115F7">
        <w:rPr>
          <w:sz w:val="26"/>
          <w:szCs w:val="26"/>
        </w:rPr>
        <w:t xml:space="preserve">away from home.  He </w:t>
      </w:r>
      <w:r w:rsidR="00E30BBB">
        <w:rPr>
          <w:sz w:val="26"/>
          <w:szCs w:val="26"/>
        </w:rPr>
        <w:t xml:space="preserve">also </w:t>
      </w:r>
      <w:r w:rsidR="006C33BE">
        <w:rPr>
          <w:sz w:val="26"/>
          <w:szCs w:val="26"/>
        </w:rPr>
        <w:t>avers</w:t>
      </w:r>
      <w:r w:rsidR="007115F7">
        <w:rPr>
          <w:sz w:val="26"/>
          <w:szCs w:val="26"/>
        </w:rPr>
        <w:t xml:space="preserve"> that his utility bills are incorrect and takes issue with the </w:t>
      </w:r>
      <w:r w:rsidR="00E30BBB">
        <w:rPr>
          <w:sz w:val="26"/>
          <w:szCs w:val="26"/>
        </w:rPr>
        <w:t xml:space="preserve">accuracy of the </w:t>
      </w:r>
      <w:r w:rsidR="007115F7">
        <w:rPr>
          <w:sz w:val="26"/>
          <w:szCs w:val="26"/>
        </w:rPr>
        <w:t xml:space="preserve">bar graphs </w:t>
      </w:r>
      <w:r w:rsidR="003240D7">
        <w:rPr>
          <w:sz w:val="26"/>
          <w:szCs w:val="26"/>
        </w:rPr>
        <w:t xml:space="preserve">designating his </w:t>
      </w:r>
      <w:r w:rsidR="00E225E2">
        <w:rPr>
          <w:sz w:val="26"/>
          <w:szCs w:val="26"/>
        </w:rPr>
        <w:t>prior twelve</w:t>
      </w:r>
      <w:r w:rsidR="0059069C">
        <w:rPr>
          <w:sz w:val="26"/>
          <w:szCs w:val="26"/>
        </w:rPr>
        <w:t>-</w:t>
      </w:r>
      <w:r w:rsidR="00E225E2">
        <w:rPr>
          <w:sz w:val="26"/>
          <w:szCs w:val="26"/>
        </w:rPr>
        <w:t xml:space="preserve">month and </w:t>
      </w:r>
      <w:r w:rsidR="00884128">
        <w:rPr>
          <w:sz w:val="26"/>
          <w:szCs w:val="26"/>
        </w:rPr>
        <w:t xml:space="preserve">the </w:t>
      </w:r>
      <w:r w:rsidR="00E225E2">
        <w:rPr>
          <w:sz w:val="26"/>
          <w:szCs w:val="26"/>
        </w:rPr>
        <w:t xml:space="preserve">latest twelve-month average usages.  Petition at 2. </w:t>
      </w:r>
      <w:r w:rsidR="0059069C">
        <w:rPr>
          <w:sz w:val="26"/>
          <w:szCs w:val="26"/>
        </w:rPr>
        <w:t xml:space="preserve"> </w:t>
      </w:r>
      <w:r w:rsidR="00E225E2">
        <w:rPr>
          <w:sz w:val="26"/>
          <w:szCs w:val="26"/>
        </w:rPr>
        <w:t xml:space="preserve">The Complainant </w:t>
      </w:r>
      <w:r w:rsidR="003240D7">
        <w:rPr>
          <w:sz w:val="26"/>
          <w:szCs w:val="26"/>
        </w:rPr>
        <w:t xml:space="preserve">also </w:t>
      </w:r>
      <w:r w:rsidR="00E225E2">
        <w:rPr>
          <w:sz w:val="26"/>
          <w:szCs w:val="26"/>
        </w:rPr>
        <w:t xml:space="preserve">reiterates his claim that the new meter caused his furnace to come on and operate </w:t>
      </w:r>
      <w:r w:rsidR="003240D7">
        <w:rPr>
          <w:sz w:val="26"/>
          <w:szCs w:val="26"/>
        </w:rPr>
        <w:t xml:space="preserve">twenty-four </w:t>
      </w:r>
      <w:r w:rsidR="00E225E2">
        <w:rPr>
          <w:sz w:val="26"/>
          <w:szCs w:val="26"/>
        </w:rPr>
        <w:t>h</w:t>
      </w:r>
      <w:r w:rsidR="006C33BE">
        <w:rPr>
          <w:sz w:val="26"/>
          <w:szCs w:val="26"/>
        </w:rPr>
        <w:t>ours</w:t>
      </w:r>
      <w:r w:rsidR="003240D7">
        <w:rPr>
          <w:sz w:val="26"/>
          <w:szCs w:val="26"/>
        </w:rPr>
        <w:t xml:space="preserve"> per </w:t>
      </w:r>
      <w:r w:rsidR="00E225E2">
        <w:rPr>
          <w:sz w:val="26"/>
          <w:szCs w:val="26"/>
        </w:rPr>
        <w:t xml:space="preserve">day </w:t>
      </w:r>
      <w:r w:rsidR="003240D7">
        <w:rPr>
          <w:sz w:val="26"/>
          <w:szCs w:val="26"/>
        </w:rPr>
        <w:t xml:space="preserve">over </w:t>
      </w:r>
      <w:r w:rsidR="00E225E2">
        <w:rPr>
          <w:sz w:val="26"/>
          <w:szCs w:val="26"/>
        </w:rPr>
        <w:t xml:space="preserve">a period of eight to nine days.  </w:t>
      </w:r>
      <w:r w:rsidR="003240D7">
        <w:rPr>
          <w:sz w:val="26"/>
          <w:szCs w:val="26"/>
        </w:rPr>
        <w:t xml:space="preserve">The </w:t>
      </w:r>
      <w:r w:rsidR="00E225E2">
        <w:rPr>
          <w:sz w:val="26"/>
          <w:szCs w:val="26"/>
        </w:rPr>
        <w:t xml:space="preserve">Complainant suggests </w:t>
      </w:r>
      <w:r w:rsidR="003240D7">
        <w:rPr>
          <w:sz w:val="26"/>
          <w:szCs w:val="26"/>
        </w:rPr>
        <w:t xml:space="preserve">that </w:t>
      </w:r>
      <w:r w:rsidR="00E225E2">
        <w:rPr>
          <w:sz w:val="26"/>
          <w:szCs w:val="26"/>
        </w:rPr>
        <w:t xml:space="preserve">DLC send an electrician to </w:t>
      </w:r>
      <w:r w:rsidR="003240D7">
        <w:rPr>
          <w:sz w:val="26"/>
          <w:szCs w:val="26"/>
        </w:rPr>
        <w:t xml:space="preserve">his service address to </w:t>
      </w:r>
      <w:r w:rsidR="00E225E2">
        <w:rPr>
          <w:sz w:val="26"/>
          <w:szCs w:val="26"/>
        </w:rPr>
        <w:t xml:space="preserve">verify </w:t>
      </w:r>
      <w:r w:rsidR="003240D7">
        <w:rPr>
          <w:sz w:val="26"/>
          <w:szCs w:val="26"/>
        </w:rPr>
        <w:t xml:space="preserve">the </w:t>
      </w:r>
      <w:r w:rsidR="00E225E2">
        <w:rPr>
          <w:sz w:val="26"/>
          <w:szCs w:val="26"/>
        </w:rPr>
        <w:t xml:space="preserve">issues </w:t>
      </w:r>
      <w:r w:rsidR="003240D7">
        <w:rPr>
          <w:sz w:val="26"/>
          <w:szCs w:val="26"/>
        </w:rPr>
        <w:t xml:space="preserve">he claims he has </w:t>
      </w:r>
      <w:r w:rsidR="00E225E2">
        <w:rPr>
          <w:sz w:val="26"/>
          <w:szCs w:val="26"/>
        </w:rPr>
        <w:t xml:space="preserve">with his furnace.  </w:t>
      </w:r>
      <w:r w:rsidR="00E02C1B">
        <w:rPr>
          <w:sz w:val="26"/>
          <w:szCs w:val="26"/>
        </w:rPr>
        <w:t xml:space="preserve">Petition at </w:t>
      </w:r>
      <w:r w:rsidR="00E225E2">
        <w:rPr>
          <w:sz w:val="26"/>
          <w:szCs w:val="26"/>
        </w:rPr>
        <w:t>3</w:t>
      </w:r>
      <w:r w:rsidR="00E02C1B">
        <w:rPr>
          <w:sz w:val="26"/>
          <w:szCs w:val="26"/>
        </w:rPr>
        <w:t>.</w:t>
      </w:r>
    </w:p>
    <w:p w:rsidR="00AD2BEF" w:rsidRDefault="00AD2BEF" w:rsidP="007469DF">
      <w:pPr>
        <w:ind w:firstLine="0"/>
        <w:jc w:val="left"/>
        <w:rPr>
          <w:sz w:val="26"/>
          <w:szCs w:val="26"/>
        </w:rPr>
      </w:pPr>
    </w:p>
    <w:p w:rsidR="00AD2BEF" w:rsidRDefault="00AD2BEF" w:rsidP="007469DF">
      <w:pPr>
        <w:ind w:firstLine="0"/>
        <w:jc w:val="left"/>
        <w:rPr>
          <w:sz w:val="26"/>
          <w:szCs w:val="26"/>
        </w:rPr>
      </w:pPr>
      <w:r>
        <w:rPr>
          <w:sz w:val="26"/>
          <w:szCs w:val="26"/>
        </w:rPr>
        <w:tab/>
      </w:r>
      <w:r>
        <w:rPr>
          <w:sz w:val="26"/>
          <w:szCs w:val="26"/>
        </w:rPr>
        <w:tab/>
      </w:r>
      <w:r w:rsidR="00691AA4">
        <w:rPr>
          <w:sz w:val="26"/>
          <w:szCs w:val="26"/>
        </w:rPr>
        <w:t xml:space="preserve">In </w:t>
      </w:r>
      <w:r w:rsidR="0059069C">
        <w:rPr>
          <w:sz w:val="26"/>
          <w:szCs w:val="26"/>
        </w:rPr>
        <w:t xml:space="preserve">its Answer </w:t>
      </w:r>
      <w:r w:rsidR="00B83054">
        <w:rPr>
          <w:sz w:val="26"/>
          <w:szCs w:val="26"/>
        </w:rPr>
        <w:t>to the Complainant’s Petition</w:t>
      </w:r>
      <w:r w:rsidR="003240D7">
        <w:rPr>
          <w:sz w:val="26"/>
          <w:szCs w:val="26"/>
        </w:rPr>
        <w:t xml:space="preserve">, </w:t>
      </w:r>
      <w:r>
        <w:rPr>
          <w:sz w:val="26"/>
          <w:szCs w:val="26"/>
        </w:rPr>
        <w:t>DLC</w:t>
      </w:r>
      <w:r w:rsidR="00571416">
        <w:rPr>
          <w:sz w:val="26"/>
          <w:szCs w:val="26"/>
        </w:rPr>
        <w:t xml:space="preserve"> argues that the Petition should be quashed because the initial deadline to file Exceptions was February 18, 2018; but the Commission subsequently granted the Complainant’s request for additional time, until April 10, 2018, to file Exceptions.</w:t>
      </w:r>
      <w:r w:rsidR="00BE6E63">
        <w:rPr>
          <w:rStyle w:val="FootnoteReference"/>
          <w:sz w:val="26"/>
          <w:szCs w:val="26"/>
        </w:rPr>
        <w:footnoteReference w:id="4"/>
      </w:r>
      <w:r w:rsidR="00571416">
        <w:rPr>
          <w:sz w:val="26"/>
          <w:szCs w:val="26"/>
        </w:rPr>
        <w:t xml:space="preserve">  DLC asserts that neither Party filed Exceptions by April 10, 2018, but more than a month later, on May 13, 2018, the Complainant filed a seventy-two-page letter that generally disagrees with the Initial Decision.</w:t>
      </w:r>
      <w:r w:rsidR="00691AA4">
        <w:rPr>
          <w:sz w:val="26"/>
          <w:szCs w:val="26"/>
        </w:rPr>
        <w:t xml:space="preserve"> </w:t>
      </w:r>
      <w:r w:rsidR="00571416">
        <w:rPr>
          <w:sz w:val="26"/>
          <w:szCs w:val="26"/>
        </w:rPr>
        <w:t xml:space="preserve"> DLC </w:t>
      </w:r>
      <w:r>
        <w:rPr>
          <w:sz w:val="26"/>
          <w:szCs w:val="26"/>
        </w:rPr>
        <w:t>aver</w:t>
      </w:r>
      <w:r w:rsidR="00691AA4">
        <w:rPr>
          <w:sz w:val="26"/>
          <w:szCs w:val="26"/>
        </w:rPr>
        <w:t>s</w:t>
      </w:r>
      <w:r>
        <w:rPr>
          <w:sz w:val="26"/>
          <w:szCs w:val="26"/>
        </w:rPr>
        <w:t xml:space="preserve"> that the Initial Decision </w:t>
      </w:r>
      <w:r w:rsidR="001556A3">
        <w:rPr>
          <w:sz w:val="26"/>
          <w:szCs w:val="26"/>
        </w:rPr>
        <w:t xml:space="preserve">became final </w:t>
      </w:r>
      <w:r w:rsidR="00571416">
        <w:rPr>
          <w:sz w:val="26"/>
          <w:szCs w:val="26"/>
        </w:rPr>
        <w:t>on April 10, 2018</w:t>
      </w:r>
      <w:r w:rsidR="00B8386D">
        <w:rPr>
          <w:sz w:val="26"/>
          <w:szCs w:val="26"/>
        </w:rPr>
        <w:t xml:space="preserve">, </w:t>
      </w:r>
      <w:r w:rsidR="001556A3">
        <w:rPr>
          <w:sz w:val="26"/>
          <w:szCs w:val="26"/>
        </w:rPr>
        <w:t>pursuant to Section 5.536 of the Commission’s Regulations, 52</w:t>
      </w:r>
      <w:r w:rsidR="00B83054">
        <w:rPr>
          <w:sz w:val="26"/>
          <w:szCs w:val="26"/>
        </w:rPr>
        <w:t> </w:t>
      </w:r>
      <w:r w:rsidR="001556A3">
        <w:rPr>
          <w:sz w:val="26"/>
          <w:szCs w:val="26"/>
        </w:rPr>
        <w:t xml:space="preserve">Pa. Code §5.536, </w:t>
      </w:r>
      <w:r w:rsidR="00566968">
        <w:rPr>
          <w:sz w:val="26"/>
          <w:szCs w:val="26"/>
        </w:rPr>
        <w:t xml:space="preserve">because </w:t>
      </w:r>
      <w:r w:rsidR="004B7194">
        <w:rPr>
          <w:sz w:val="26"/>
          <w:szCs w:val="26"/>
        </w:rPr>
        <w:t>no party filed Exceptions</w:t>
      </w:r>
      <w:r w:rsidR="00B83054">
        <w:rPr>
          <w:sz w:val="26"/>
          <w:szCs w:val="26"/>
        </w:rPr>
        <w:t>,</w:t>
      </w:r>
      <w:r w:rsidR="004B7194">
        <w:rPr>
          <w:sz w:val="26"/>
          <w:szCs w:val="26"/>
        </w:rPr>
        <w:t xml:space="preserve"> and two or more Commissioners </w:t>
      </w:r>
      <w:r w:rsidR="00B83054">
        <w:rPr>
          <w:sz w:val="26"/>
          <w:szCs w:val="26"/>
        </w:rPr>
        <w:t xml:space="preserve">did not </w:t>
      </w:r>
      <w:r w:rsidR="004B7194">
        <w:rPr>
          <w:sz w:val="26"/>
          <w:szCs w:val="26"/>
        </w:rPr>
        <w:t>request to review the Initial Decision within fifteen days after it was issued.  Thus, DLC request</w:t>
      </w:r>
      <w:r w:rsidR="003160AE">
        <w:rPr>
          <w:sz w:val="26"/>
          <w:szCs w:val="26"/>
        </w:rPr>
        <w:t>s</w:t>
      </w:r>
      <w:r w:rsidR="004B7194">
        <w:rPr>
          <w:sz w:val="26"/>
          <w:szCs w:val="26"/>
        </w:rPr>
        <w:t xml:space="preserve"> that to the extent the Complainant’s letter dated </w:t>
      </w:r>
      <w:r w:rsidR="003160AE">
        <w:rPr>
          <w:sz w:val="26"/>
          <w:szCs w:val="26"/>
        </w:rPr>
        <w:t>M</w:t>
      </w:r>
      <w:r w:rsidR="004B7194">
        <w:rPr>
          <w:sz w:val="26"/>
          <w:szCs w:val="26"/>
        </w:rPr>
        <w:t>ay 13, 2018,</w:t>
      </w:r>
      <w:r w:rsidR="003160AE">
        <w:rPr>
          <w:rStyle w:val="FootnoteReference"/>
          <w:sz w:val="26"/>
          <w:szCs w:val="26"/>
        </w:rPr>
        <w:footnoteReference w:id="5"/>
      </w:r>
      <w:r w:rsidR="004B7194">
        <w:rPr>
          <w:sz w:val="26"/>
          <w:szCs w:val="26"/>
        </w:rPr>
        <w:t xml:space="preserve"> is an attempt to file Exceptions to the Initial Decision, it should be quashed because it is untimely.</w:t>
      </w:r>
      <w:r w:rsidR="00B83054">
        <w:rPr>
          <w:sz w:val="26"/>
          <w:szCs w:val="26"/>
        </w:rPr>
        <w:t xml:space="preserve">  </w:t>
      </w:r>
      <w:r w:rsidR="00B8386D">
        <w:rPr>
          <w:sz w:val="26"/>
          <w:szCs w:val="26"/>
        </w:rPr>
        <w:t xml:space="preserve">If the Commission denies its request to quash the Complainant’s Petition, </w:t>
      </w:r>
      <w:r w:rsidR="00181EC8">
        <w:rPr>
          <w:sz w:val="26"/>
          <w:szCs w:val="26"/>
        </w:rPr>
        <w:t>DLC requests that the Commission issue a briefing schedule to set deadlines by which the parties may submit written briefs relating to the Complainant’s Exceptions to the Initial Decision.</w:t>
      </w:r>
    </w:p>
    <w:p w:rsidR="00172F34" w:rsidRDefault="00172F34" w:rsidP="007469DF">
      <w:pPr>
        <w:ind w:firstLine="0"/>
        <w:jc w:val="left"/>
        <w:rPr>
          <w:sz w:val="26"/>
          <w:szCs w:val="26"/>
        </w:rPr>
      </w:pPr>
    </w:p>
    <w:p w:rsidR="00172F34" w:rsidRDefault="00172F34" w:rsidP="007469DF">
      <w:pPr>
        <w:ind w:firstLine="0"/>
        <w:jc w:val="left"/>
        <w:rPr>
          <w:b/>
          <w:sz w:val="26"/>
          <w:szCs w:val="26"/>
        </w:rPr>
      </w:pPr>
      <w:r>
        <w:rPr>
          <w:b/>
          <w:sz w:val="26"/>
          <w:szCs w:val="26"/>
        </w:rPr>
        <w:t>Disposition</w:t>
      </w:r>
    </w:p>
    <w:p w:rsidR="00172F34" w:rsidRDefault="00172F34" w:rsidP="007469DF">
      <w:pPr>
        <w:ind w:firstLine="0"/>
        <w:jc w:val="left"/>
        <w:rPr>
          <w:b/>
          <w:sz w:val="26"/>
          <w:szCs w:val="26"/>
        </w:rPr>
      </w:pPr>
    </w:p>
    <w:p w:rsidR="002E5252" w:rsidRDefault="00172F34" w:rsidP="001128E5">
      <w:pPr>
        <w:ind w:firstLine="1440"/>
        <w:jc w:val="left"/>
        <w:rPr>
          <w:sz w:val="26"/>
          <w:szCs w:val="26"/>
        </w:rPr>
      </w:pPr>
      <w:r w:rsidRPr="00E225E2">
        <w:rPr>
          <w:sz w:val="26"/>
          <w:szCs w:val="26"/>
        </w:rPr>
        <w:t xml:space="preserve">Based upon our review of the record of this proceeding, </w:t>
      </w:r>
      <w:r w:rsidR="006A1A86" w:rsidRPr="00E225E2">
        <w:rPr>
          <w:rFonts w:eastAsia="Times New Roman"/>
          <w:sz w:val="26"/>
          <w:szCs w:val="26"/>
        </w:rPr>
        <w:t xml:space="preserve">we find that the </w:t>
      </w:r>
      <w:r w:rsidR="00D936A3" w:rsidRPr="00E225E2">
        <w:rPr>
          <w:rFonts w:eastAsia="Times New Roman"/>
          <w:sz w:val="26"/>
          <w:szCs w:val="26"/>
        </w:rPr>
        <w:t xml:space="preserve">Complainant </w:t>
      </w:r>
      <w:r w:rsidR="006A1A86" w:rsidRPr="00E225E2">
        <w:rPr>
          <w:rFonts w:eastAsia="Times New Roman"/>
          <w:sz w:val="26"/>
          <w:szCs w:val="26"/>
        </w:rPr>
        <w:t>has failed to allege any new or novel arguments such as would persuade us to reverse, modify or amend our Final Order.  Thus, we shall decline to exercise our discretion to grant the requested relief and deny the Petitio</w:t>
      </w:r>
      <w:r w:rsidR="00181EC8">
        <w:rPr>
          <w:rFonts w:eastAsia="Times New Roman"/>
          <w:sz w:val="26"/>
          <w:szCs w:val="26"/>
        </w:rPr>
        <w:t xml:space="preserve">n.  Accordingly, </w:t>
      </w:r>
      <w:r w:rsidR="00FB12EA">
        <w:rPr>
          <w:rFonts w:eastAsia="Times New Roman"/>
          <w:sz w:val="26"/>
          <w:szCs w:val="26"/>
        </w:rPr>
        <w:t>there is no need to address DLC’s request to establish a briefing schedule pertaining to the Complainant’s Petition.</w:t>
      </w:r>
    </w:p>
    <w:p w:rsidR="00172F34" w:rsidRDefault="00172F34" w:rsidP="00172F34">
      <w:pPr>
        <w:jc w:val="left"/>
        <w:rPr>
          <w:sz w:val="26"/>
          <w:szCs w:val="26"/>
        </w:rPr>
      </w:pPr>
    </w:p>
    <w:p w:rsidR="00172F34" w:rsidRPr="00836D64" w:rsidRDefault="00172F34" w:rsidP="00FB12EA">
      <w:pPr>
        <w:keepNext/>
        <w:keepLines/>
        <w:ind w:firstLine="0"/>
        <w:rPr>
          <w:sz w:val="26"/>
          <w:szCs w:val="26"/>
        </w:rPr>
      </w:pPr>
      <w:r w:rsidRPr="00836D64">
        <w:rPr>
          <w:b/>
          <w:sz w:val="26"/>
          <w:szCs w:val="26"/>
        </w:rPr>
        <w:t>Conclusion</w:t>
      </w:r>
    </w:p>
    <w:p w:rsidR="00172F34" w:rsidRPr="00836D64" w:rsidRDefault="00172F34" w:rsidP="00FB12EA">
      <w:pPr>
        <w:keepNext/>
        <w:keepLines/>
        <w:ind w:firstLine="1440"/>
        <w:jc w:val="left"/>
        <w:rPr>
          <w:spacing w:val="-3"/>
          <w:sz w:val="26"/>
          <w:szCs w:val="26"/>
        </w:rPr>
      </w:pPr>
    </w:p>
    <w:p w:rsidR="00172F34" w:rsidRDefault="00172F34" w:rsidP="00172F34">
      <w:pPr>
        <w:ind w:firstLine="1440"/>
        <w:jc w:val="left"/>
        <w:rPr>
          <w:sz w:val="26"/>
          <w:szCs w:val="26"/>
        </w:rPr>
      </w:pPr>
      <w:r>
        <w:rPr>
          <w:spacing w:val="-3"/>
          <w:sz w:val="26"/>
          <w:szCs w:val="26"/>
        </w:rPr>
        <w:t>Based upon</w:t>
      </w:r>
      <w:r w:rsidRPr="00836D64">
        <w:rPr>
          <w:spacing w:val="-3"/>
          <w:sz w:val="26"/>
          <w:szCs w:val="26"/>
        </w:rPr>
        <w:t xml:space="preserve"> the</w:t>
      </w:r>
      <w:r>
        <w:rPr>
          <w:spacing w:val="-3"/>
          <w:sz w:val="26"/>
          <w:szCs w:val="26"/>
        </w:rPr>
        <w:t xml:space="preserve"> foregoing discussion, we shall deny the Complainant’s Petition</w:t>
      </w:r>
      <w:r w:rsidR="00FB12EA">
        <w:rPr>
          <w:spacing w:val="-3"/>
          <w:sz w:val="26"/>
          <w:szCs w:val="26"/>
        </w:rPr>
        <w:t xml:space="preserve">, </w:t>
      </w:r>
      <w:r>
        <w:rPr>
          <w:spacing w:val="-3"/>
          <w:sz w:val="26"/>
          <w:szCs w:val="26"/>
        </w:rPr>
        <w:t xml:space="preserve">consistent with this Opinion and Order; </w:t>
      </w:r>
      <w:r w:rsidRPr="001C7049">
        <w:rPr>
          <w:b/>
          <w:sz w:val="26"/>
          <w:szCs w:val="26"/>
        </w:rPr>
        <w:t>THEREFORE</w:t>
      </w:r>
      <w:r w:rsidRPr="001C7049">
        <w:rPr>
          <w:sz w:val="26"/>
          <w:szCs w:val="26"/>
        </w:rPr>
        <w:t>,</w:t>
      </w:r>
    </w:p>
    <w:p w:rsidR="00FB12EA" w:rsidRPr="001F35D1" w:rsidRDefault="00FB12EA" w:rsidP="00172F34">
      <w:pPr>
        <w:ind w:firstLine="1440"/>
        <w:jc w:val="left"/>
        <w:rPr>
          <w:spacing w:val="-3"/>
          <w:sz w:val="26"/>
          <w:szCs w:val="26"/>
        </w:rPr>
      </w:pPr>
    </w:p>
    <w:p w:rsidR="00172F34" w:rsidRDefault="00F66563" w:rsidP="006F57F4">
      <w:pPr>
        <w:keepNext/>
        <w:keepLines/>
        <w:jc w:val="left"/>
        <w:rPr>
          <w:sz w:val="26"/>
          <w:szCs w:val="26"/>
        </w:rPr>
      </w:pPr>
      <w:r>
        <w:rPr>
          <w:sz w:val="26"/>
          <w:szCs w:val="26"/>
        </w:rPr>
        <w:tab/>
      </w:r>
      <w:r w:rsidR="00172F34" w:rsidRPr="000D6043">
        <w:rPr>
          <w:b/>
          <w:sz w:val="26"/>
          <w:szCs w:val="26"/>
        </w:rPr>
        <w:t>IT IS ORDERED:</w:t>
      </w:r>
    </w:p>
    <w:p w:rsidR="00172F34" w:rsidRDefault="00172F34" w:rsidP="006F57F4">
      <w:pPr>
        <w:keepNext/>
        <w:keepLines/>
        <w:jc w:val="left"/>
        <w:rPr>
          <w:sz w:val="26"/>
          <w:szCs w:val="26"/>
        </w:rPr>
      </w:pPr>
    </w:p>
    <w:p w:rsidR="001128E5" w:rsidRPr="001128E5" w:rsidRDefault="00172F34" w:rsidP="001128E5">
      <w:pPr>
        <w:pStyle w:val="ListParagraph"/>
        <w:keepNext/>
        <w:keepLines/>
        <w:numPr>
          <w:ilvl w:val="0"/>
          <w:numId w:val="3"/>
        </w:numPr>
        <w:ind w:left="0" w:firstLine="1440"/>
        <w:jc w:val="left"/>
        <w:rPr>
          <w:sz w:val="26"/>
          <w:szCs w:val="26"/>
        </w:rPr>
      </w:pPr>
      <w:r w:rsidRPr="001128E5">
        <w:rPr>
          <w:sz w:val="26"/>
          <w:szCs w:val="26"/>
        </w:rPr>
        <w:t xml:space="preserve">That </w:t>
      </w:r>
      <w:r w:rsidR="00F66563" w:rsidRPr="001128E5">
        <w:rPr>
          <w:sz w:val="26"/>
          <w:szCs w:val="26"/>
        </w:rPr>
        <w:t xml:space="preserve">the Petition </w:t>
      </w:r>
      <w:r w:rsidR="001128E5" w:rsidRPr="001128E5">
        <w:rPr>
          <w:sz w:val="26"/>
          <w:szCs w:val="26"/>
        </w:rPr>
        <w:t>for Rescission of</w:t>
      </w:r>
      <w:r w:rsidR="00011A44" w:rsidRPr="001128E5">
        <w:rPr>
          <w:sz w:val="26"/>
          <w:szCs w:val="26"/>
        </w:rPr>
        <w:t xml:space="preserve"> </w:t>
      </w:r>
      <w:r w:rsidR="001128E5" w:rsidRPr="001128E5">
        <w:rPr>
          <w:sz w:val="26"/>
          <w:szCs w:val="26"/>
        </w:rPr>
        <w:t xml:space="preserve">A. Raymond Kochis, filed on </w:t>
      </w:r>
      <w:r w:rsidR="00011A44" w:rsidRPr="001128E5">
        <w:rPr>
          <w:sz w:val="26"/>
          <w:szCs w:val="26"/>
        </w:rPr>
        <w:t>May</w:t>
      </w:r>
      <w:r w:rsidR="001128E5" w:rsidRPr="001128E5">
        <w:rPr>
          <w:sz w:val="26"/>
          <w:szCs w:val="26"/>
        </w:rPr>
        <w:t>17</w:t>
      </w:r>
      <w:r w:rsidR="00011A44" w:rsidRPr="001128E5">
        <w:rPr>
          <w:sz w:val="26"/>
          <w:szCs w:val="26"/>
        </w:rPr>
        <w:t>, 201</w:t>
      </w:r>
      <w:r w:rsidR="001128E5" w:rsidRPr="001128E5">
        <w:rPr>
          <w:sz w:val="26"/>
          <w:szCs w:val="26"/>
        </w:rPr>
        <w:t>8</w:t>
      </w:r>
      <w:r w:rsidR="00011A44" w:rsidRPr="001128E5">
        <w:rPr>
          <w:sz w:val="26"/>
          <w:szCs w:val="26"/>
        </w:rPr>
        <w:t xml:space="preserve">, </w:t>
      </w:r>
      <w:r w:rsidR="001128E5" w:rsidRPr="001128E5">
        <w:rPr>
          <w:sz w:val="26"/>
          <w:szCs w:val="26"/>
        </w:rPr>
        <w:t xml:space="preserve">is denied, consistent with this Opinion and Order. </w:t>
      </w:r>
    </w:p>
    <w:p w:rsidR="001128E5" w:rsidRPr="001128E5" w:rsidRDefault="001128E5" w:rsidP="001128E5">
      <w:pPr>
        <w:keepNext/>
        <w:keepLines/>
        <w:ind w:firstLine="1440"/>
        <w:jc w:val="left"/>
        <w:rPr>
          <w:sz w:val="26"/>
          <w:szCs w:val="26"/>
        </w:rPr>
      </w:pPr>
    </w:p>
    <w:p w:rsidR="00172F34" w:rsidRPr="001128E5" w:rsidRDefault="001128E5" w:rsidP="001128E5">
      <w:pPr>
        <w:pStyle w:val="ListParagraph"/>
        <w:keepNext/>
        <w:keepLines/>
        <w:numPr>
          <w:ilvl w:val="0"/>
          <w:numId w:val="3"/>
        </w:numPr>
        <w:ind w:left="0" w:firstLine="1440"/>
        <w:jc w:val="left"/>
        <w:rPr>
          <w:sz w:val="26"/>
          <w:szCs w:val="26"/>
        </w:rPr>
      </w:pPr>
      <w:r w:rsidRPr="001128E5">
        <w:rPr>
          <w:sz w:val="26"/>
          <w:szCs w:val="26"/>
        </w:rPr>
        <w:t>That this proceeding be marked closed.</w:t>
      </w:r>
    </w:p>
    <w:p w:rsidR="00172F34" w:rsidRDefault="00172F34" w:rsidP="001128E5">
      <w:pPr>
        <w:keepNext/>
        <w:keepLines/>
        <w:ind w:firstLine="1440"/>
        <w:jc w:val="left"/>
        <w:rPr>
          <w:sz w:val="26"/>
          <w:szCs w:val="26"/>
        </w:rPr>
      </w:pPr>
    </w:p>
    <w:p w:rsidR="00172F34" w:rsidRDefault="00E10929" w:rsidP="00BF6B74">
      <w:pPr>
        <w:keepNext/>
        <w:keepLines/>
        <w:tabs>
          <w:tab w:val="left" w:pos="-720"/>
        </w:tabs>
        <w:spacing w:line="240" w:lineRule="auto"/>
        <w:ind w:firstLine="5040"/>
        <w:jc w:val="left"/>
        <w:rPr>
          <w:b/>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71898ABE" wp14:editId="449C8712">
            <wp:simplePos x="0" y="0"/>
            <wp:positionH relativeFrom="column">
              <wp:posOffset>2943225</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72F34">
        <w:rPr>
          <w:b/>
          <w:sz w:val="26"/>
          <w:szCs w:val="26"/>
        </w:rPr>
        <w:t>BY THE COMMISSION,</w:t>
      </w:r>
    </w:p>
    <w:p w:rsidR="00FB12EA" w:rsidRPr="00BF6B74" w:rsidRDefault="00FB12EA" w:rsidP="00BF6B74">
      <w:pPr>
        <w:keepNext/>
        <w:keepLines/>
        <w:tabs>
          <w:tab w:val="left" w:pos="-720"/>
        </w:tabs>
        <w:spacing w:line="240" w:lineRule="auto"/>
        <w:ind w:firstLine="5040"/>
        <w:jc w:val="left"/>
        <w:rPr>
          <w:sz w:val="26"/>
          <w:szCs w:val="26"/>
        </w:rPr>
      </w:pPr>
    </w:p>
    <w:p w:rsidR="00172F34" w:rsidRDefault="00172F34" w:rsidP="00BF6B74">
      <w:pPr>
        <w:keepNext/>
        <w:keepLines/>
        <w:tabs>
          <w:tab w:val="left" w:pos="-720"/>
        </w:tabs>
        <w:spacing w:line="240" w:lineRule="auto"/>
        <w:ind w:firstLine="5040"/>
        <w:jc w:val="left"/>
        <w:rPr>
          <w:sz w:val="26"/>
          <w:szCs w:val="26"/>
        </w:rPr>
      </w:pPr>
    </w:p>
    <w:p w:rsidR="00172F34" w:rsidRDefault="00172F34" w:rsidP="00BF6B74">
      <w:pPr>
        <w:keepNext/>
        <w:keepLines/>
        <w:tabs>
          <w:tab w:val="left" w:pos="-720"/>
        </w:tabs>
        <w:spacing w:line="240" w:lineRule="auto"/>
        <w:ind w:firstLine="5040"/>
        <w:jc w:val="left"/>
        <w:rPr>
          <w:sz w:val="26"/>
          <w:szCs w:val="26"/>
        </w:rPr>
      </w:pPr>
    </w:p>
    <w:p w:rsidR="00BF6B74" w:rsidRDefault="00BF6B74" w:rsidP="00BF6B74">
      <w:pPr>
        <w:keepNext/>
        <w:keepLines/>
        <w:tabs>
          <w:tab w:val="left" w:pos="-720"/>
        </w:tabs>
        <w:spacing w:line="240" w:lineRule="auto"/>
        <w:ind w:firstLine="5040"/>
        <w:jc w:val="left"/>
        <w:rPr>
          <w:sz w:val="26"/>
          <w:szCs w:val="26"/>
        </w:rPr>
      </w:pPr>
    </w:p>
    <w:p w:rsidR="00172F34" w:rsidRPr="00CA43A5" w:rsidRDefault="00172F34" w:rsidP="00BF6B74">
      <w:pPr>
        <w:keepNext/>
        <w:keepLines/>
        <w:tabs>
          <w:tab w:val="left" w:pos="-720"/>
        </w:tabs>
        <w:spacing w:line="240" w:lineRule="auto"/>
        <w:ind w:firstLine="5040"/>
        <w:jc w:val="left"/>
        <w:rPr>
          <w:b/>
          <w:sz w:val="26"/>
          <w:szCs w:val="26"/>
        </w:rPr>
      </w:pPr>
      <w:r>
        <w:rPr>
          <w:sz w:val="26"/>
          <w:szCs w:val="26"/>
        </w:rPr>
        <w:t>Rosemary Chiavetta</w:t>
      </w:r>
    </w:p>
    <w:p w:rsidR="00172F34" w:rsidRDefault="00172F34" w:rsidP="00BF6B74">
      <w:pPr>
        <w:keepNext/>
        <w:keepLines/>
        <w:tabs>
          <w:tab w:val="left" w:pos="-720"/>
        </w:tabs>
        <w:spacing w:line="240" w:lineRule="auto"/>
        <w:ind w:firstLine="5040"/>
        <w:jc w:val="left"/>
        <w:rPr>
          <w:sz w:val="26"/>
          <w:szCs w:val="26"/>
        </w:rPr>
      </w:pPr>
      <w:r w:rsidRPr="00CA43A5">
        <w:rPr>
          <w:sz w:val="26"/>
          <w:szCs w:val="26"/>
        </w:rPr>
        <w:t>Secretary</w:t>
      </w:r>
    </w:p>
    <w:p w:rsidR="00172F34" w:rsidRPr="00CA43A5" w:rsidRDefault="00172F34" w:rsidP="00BF6B74">
      <w:pPr>
        <w:keepNext/>
        <w:keepLines/>
        <w:tabs>
          <w:tab w:val="left" w:pos="-720"/>
        </w:tabs>
        <w:spacing w:line="240" w:lineRule="auto"/>
        <w:jc w:val="left"/>
        <w:rPr>
          <w:sz w:val="26"/>
          <w:szCs w:val="26"/>
        </w:rPr>
      </w:pPr>
    </w:p>
    <w:p w:rsidR="00172F34" w:rsidRPr="00CA43A5" w:rsidRDefault="00172F34" w:rsidP="00BF6B74">
      <w:pPr>
        <w:keepNext/>
        <w:keepLines/>
        <w:tabs>
          <w:tab w:val="left" w:pos="-720"/>
        </w:tabs>
        <w:spacing w:line="240" w:lineRule="auto"/>
        <w:ind w:firstLine="0"/>
        <w:jc w:val="left"/>
        <w:rPr>
          <w:sz w:val="26"/>
          <w:szCs w:val="26"/>
        </w:rPr>
      </w:pPr>
      <w:r w:rsidRPr="00CA43A5">
        <w:rPr>
          <w:sz w:val="26"/>
          <w:szCs w:val="26"/>
        </w:rPr>
        <w:t>(SEAL)</w:t>
      </w:r>
    </w:p>
    <w:p w:rsidR="00172F34" w:rsidRPr="00CA43A5" w:rsidRDefault="00172F34" w:rsidP="00BF6B74">
      <w:pPr>
        <w:keepNext/>
        <w:keepLines/>
        <w:tabs>
          <w:tab w:val="left" w:pos="-720"/>
        </w:tabs>
        <w:spacing w:line="240" w:lineRule="auto"/>
        <w:ind w:firstLine="0"/>
        <w:jc w:val="left"/>
        <w:rPr>
          <w:sz w:val="26"/>
          <w:szCs w:val="26"/>
        </w:rPr>
      </w:pPr>
    </w:p>
    <w:p w:rsidR="00172F34" w:rsidRDefault="00172F34" w:rsidP="00BF6B74">
      <w:pPr>
        <w:keepNext/>
        <w:keepLines/>
        <w:tabs>
          <w:tab w:val="left" w:pos="-720"/>
        </w:tabs>
        <w:spacing w:line="240" w:lineRule="auto"/>
        <w:ind w:firstLine="0"/>
        <w:jc w:val="left"/>
        <w:rPr>
          <w:sz w:val="26"/>
          <w:szCs w:val="26"/>
        </w:rPr>
      </w:pPr>
      <w:r w:rsidRPr="00CA43A5">
        <w:rPr>
          <w:sz w:val="26"/>
          <w:szCs w:val="26"/>
        </w:rPr>
        <w:t>ORDER ADOPTED:</w:t>
      </w:r>
      <w:r>
        <w:rPr>
          <w:sz w:val="26"/>
          <w:szCs w:val="26"/>
        </w:rPr>
        <w:t xml:space="preserve">  </w:t>
      </w:r>
      <w:r w:rsidR="004E3D3C">
        <w:rPr>
          <w:sz w:val="26"/>
          <w:szCs w:val="26"/>
        </w:rPr>
        <w:t>September</w:t>
      </w:r>
      <w:r>
        <w:rPr>
          <w:sz w:val="26"/>
          <w:szCs w:val="26"/>
        </w:rPr>
        <w:t xml:space="preserve"> 2</w:t>
      </w:r>
      <w:r w:rsidR="004E3D3C">
        <w:rPr>
          <w:sz w:val="26"/>
          <w:szCs w:val="26"/>
        </w:rPr>
        <w:t>0</w:t>
      </w:r>
      <w:r>
        <w:rPr>
          <w:sz w:val="26"/>
          <w:szCs w:val="26"/>
        </w:rPr>
        <w:t>, 201</w:t>
      </w:r>
      <w:r w:rsidR="004E3D3C">
        <w:rPr>
          <w:sz w:val="26"/>
          <w:szCs w:val="26"/>
        </w:rPr>
        <w:t>8</w:t>
      </w:r>
      <w:r w:rsidRPr="00CA43A5">
        <w:rPr>
          <w:sz w:val="26"/>
          <w:szCs w:val="26"/>
        </w:rPr>
        <w:t xml:space="preserve"> </w:t>
      </w:r>
    </w:p>
    <w:p w:rsidR="00BF6B74" w:rsidRDefault="00BF6B74" w:rsidP="00BF6B74">
      <w:pPr>
        <w:keepNext/>
        <w:keepLines/>
        <w:tabs>
          <w:tab w:val="left" w:pos="-720"/>
        </w:tabs>
        <w:spacing w:line="240" w:lineRule="auto"/>
        <w:ind w:firstLine="0"/>
        <w:jc w:val="left"/>
        <w:rPr>
          <w:sz w:val="26"/>
          <w:szCs w:val="26"/>
        </w:rPr>
      </w:pPr>
    </w:p>
    <w:p w:rsidR="00172F34" w:rsidRPr="00CA43A5" w:rsidRDefault="00172F34" w:rsidP="00BF6B74">
      <w:pPr>
        <w:keepNext/>
        <w:keepLines/>
        <w:tabs>
          <w:tab w:val="left" w:pos="-720"/>
        </w:tabs>
        <w:spacing w:line="240" w:lineRule="auto"/>
        <w:ind w:firstLine="0"/>
        <w:jc w:val="left"/>
        <w:rPr>
          <w:sz w:val="26"/>
          <w:szCs w:val="26"/>
        </w:rPr>
      </w:pPr>
      <w:r>
        <w:rPr>
          <w:sz w:val="26"/>
          <w:szCs w:val="26"/>
        </w:rPr>
        <w:t xml:space="preserve">ORDER ENTERED: </w:t>
      </w:r>
      <w:r w:rsidR="00E10929">
        <w:rPr>
          <w:sz w:val="26"/>
          <w:szCs w:val="26"/>
        </w:rPr>
        <w:t>September 20, 2018</w:t>
      </w:r>
    </w:p>
    <w:sectPr w:rsidR="00172F34" w:rsidRPr="00CA43A5" w:rsidSect="006A0B5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872" w:rsidRDefault="00035872" w:rsidP="005A358A">
      <w:pPr>
        <w:spacing w:line="240" w:lineRule="auto"/>
      </w:pPr>
      <w:r>
        <w:separator/>
      </w:r>
    </w:p>
  </w:endnote>
  <w:endnote w:type="continuationSeparator" w:id="0">
    <w:p w:rsidR="00035872" w:rsidRDefault="00035872" w:rsidP="005A3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669740"/>
      <w:docPartObj>
        <w:docPartGallery w:val="Page Numbers (Bottom of Page)"/>
        <w:docPartUnique/>
      </w:docPartObj>
    </w:sdtPr>
    <w:sdtEndPr>
      <w:rPr>
        <w:noProof/>
      </w:rPr>
    </w:sdtEndPr>
    <w:sdtContent>
      <w:p w:rsidR="006A0B5F" w:rsidRDefault="006A0B5F">
        <w:pPr>
          <w:pStyle w:val="Footer"/>
        </w:pPr>
        <w:r>
          <w:fldChar w:fldCharType="begin"/>
        </w:r>
        <w:r>
          <w:instrText xml:space="preserve"> PAGE   \* MERGEFORMAT </w:instrText>
        </w:r>
        <w:r>
          <w:fldChar w:fldCharType="separate"/>
        </w:r>
        <w:r w:rsidR="00E735AB">
          <w:rPr>
            <w:noProof/>
          </w:rPr>
          <w:t>6</w:t>
        </w:r>
        <w:r>
          <w:rPr>
            <w:noProof/>
          </w:rPr>
          <w:fldChar w:fldCharType="end"/>
        </w:r>
      </w:p>
    </w:sdtContent>
  </w:sdt>
  <w:p w:rsidR="006A0B5F" w:rsidRDefault="006A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872" w:rsidRDefault="00035872" w:rsidP="00753DF9">
      <w:pPr>
        <w:spacing w:line="240" w:lineRule="auto"/>
        <w:ind w:firstLine="0"/>
        <w:jc w:val="left"/>
      </w:pPr>
      <w:r>
        <w:separator/>
      </w:r>
    </w:p>
  </w:footnote>
  <w:footnote w:type="continuationSeparator" w:id="0">
    <w:p w:rsidR="00035872" w:rsidRDefault="00035872" w:rsidP="005A358A">
      <w:pPr>
        <w:spacing w:line="240" w:lineRule="auto"/>
      </w:pPr>
      <w:r>
        <w:continuationSeparator/>
      </w:r>
    </w:p>
  </w:footnote>
  <w:footnote w:id="1">
    <w:p w:rsidR="004E3D3C" w:rsidRPr="00F66474" w:rsidRDefault="004E3D3C">
      <w:pPr>
        <w:pStyle w:val="FootnoteText"/>
        <w:rPr>
          <w:rFonts w:ascii="Times New Roman" w:hAnsi="Times New Roman" w:cs="Times New Roman"/>
          <w:sz w:val="26"/>
          <w:szCs w:val="26"/>
        </w:rPr>
      </w:pPr>
      <w:r>
        <w:tab/>
      </w:r>
      <w:r w:rsidRPr="00F66474">
        <w:rPr>
          <w:rStyle w:val="FootnoteReference"/>
          <w:rFonts w:ascii="Times New Roman" w:hAnsi="Times New Roman" w:cs="Times New Roman"/>
          <w:sz w:val="26"/>
          <w:szCs w:val="26"/>
        </w:rPr>
        <w:footnoteRef/>
      </w:r>
      <w:r w:rsidRPr="00F66474">
        <w:rPr>
          <w:rFonts w:ascii="Times New Roman" w:hAnsi="Times New Roman" w:cs="Times New Roman"/>
          <w:sz w:val="26"/>
          <w:szCs w:val="26"/>
        </w:rPr>
        <w:tab/>
        <w:t xml:space="preserve">As discussed further herein, the filing was labeled “Exceptions,” but was not timely filed.  </w:t>
      </w:r>
      <w:r w:rsidR="00E050A6">
        <w:rPr>
          <w:rFonts w:ascii="Times New Roman" w:hAnsi="Times New Roman" w:cs="Times New Roman"/>
          <w:sz w:val="26"/>
          <w:szCs w:val="26"/>
        </w:rPr>
        <w:t>Therefore, w</w:t>
      </w:r>
      <w:r w:rsidRPr="00F66474">
        <w:rPr>
          <w:rFonts w:ascii="Times New Roman" w:hAnsi="Times New Roman" w:cs="Times New Roman"/>
          <w:sz w:val="26"/>
          <w:szCs w:val="26"/>
        </w:rPr>
        <w:t xml:space="preserve">e will treat </w:t>
      </w:r>
      <w:r w:rsidR="00E050A6">
        <w:rPr>
          <w:rFonts w:ascii="Times New Roman" w:hAnsi="Times New Roman" w:cs="Times New Roman"/>
          <w:sz w:val="26"/>
          <w:szCs w:val="26"/>
        </w:rPr>
        <w:t xml:space="preserve">the Complainant’s </w:t>
      </w:r>
      <w:r w:rsidR="003149CA">
        <w:rPr>
          <w:rFonts w:ascii="Times New Roman" w:hAnsi="Times New Roman" w:cs="Times New Roman"/>
          <w:sz w:val="26"/>
          <w:szCs w:val="26"/>
        </w:rPr>
        <w:t xml:space="preserve">“Exceptions” </w:t>
      </w:r>
      <w:r w:rsidRPr="00F66474">
        <w:rPr>
          <w:rFonts w:ascii="Times New Roman" w:hAnsi="Times New Roman" w:cs="Times New Roman"/>
          <w:sz w:val="26"/>
          <w:szCs w:val="26"/>
        </w:rPr>
        <w:t>as a Petition for Rescission</w:t>
      </w:r>
      <w:r w:rsidR="003149CA">
        <w:rPr>
          <w:rFonts w:ascii="Times New Roman" w:hAnsi="Times New Roman" w:cs="Times New Roman"/>
          <w:sz w:val="26"/>
          <w:szCs w:val="26"/>
        </w:rPr>
        <w:t>.</w:t>
      </w:r>
    </w:p>
  </w:footnote>
  <w:footnote w:id="2">
    <w:p w:rsidR="003149CA" w:rsidRPr="003149CA" w:rsidRDefault="003149CA">
      <w:pPr>
        <w:pStyle w:val="FootnoteText"/>
        <w:rPr>
          <w:rFonts w:ascii="Times New Roman" w:hAnsi="Times New Roman" w:cs="Times New Roman"/>
          <w:sz w:val="26"/>
          <w:szCs w:val="26"/>
        </w:rPr>
      </w:pPr>
      <w:r w:rsidRPr="003149CA">
        <w:rPr>
          <w:rFonts w:ascii="Times New Roman" w:hAnsi="Times New Roman" w:cs="Times New Roman"/>
          <w:sz w:val="26"/>
          <w:szCs w:val="26"/>
        </w:rPr>
        <w:tab/>
      </w:r>
      <w:r w:rsidRPr="003149CA">
        <w:rPr>
          <w:rStyle w:val="FootnoteReference"/>
          <w:rFonts w:ascii="Times New Roman" w:hAnsi="Times New Roman" w:cs="Times New Roman"/>
          <w:sz w:val="26"/>
          <w:szCs w:val="26"/>
        </w:rPr>
        <w:footnoteRef/>
      </w:r>
      <w:r>
        <w:rPr>
          <w:rFonts w:ascii="Times New Roman" w:hAnsi="Times New Roman" w:cs="Times New Roman"/>
          <w:sz w:val="26"/>
          <w:szCs w:val="26"/>
        </w:rPr>
        <w:tab/>
      </w:r>
      <w:r w:rsidR="007A3D0E">
        <w:rPr>
          <w:rFonts w:ascii="Times New Roman" w:hAnsi="Times New Roman" w:cs="Times New Roman"/>
          <w:sz w:val="26"/>
          <w:szCs w:val="26"/>
        </w:rPr>
        <w:t>Because</w:t>
      </w:r>
      <w:r>
        <w:rPr>
          <w:rFonts w:ascii="Times New Roman" w:hAnsi="Times New Roman" w:cs="Times New Roman"/>
          <w:sz w:val="26"/>
          <w:szCs w:val="26"/>
        </w:rPr>
        <w:t xml:space="preserve"> we are treating the Complainant’s “Exceptions” as a Petition for Rescission, we shall treat DLC’s Motion to Quash as </w:t>
      </w:r>
      <w:r w:rsidR="00600F04" w:rsidRPr="00F66474">
        <w:rPr>
          <w:rFonts w:ascii="Times New Roman" w:hAnsi="Times New Roman" w:cs="Times New Roman"/>
          <w:sz w:val="26"/>
          <w:szCs w:val="26"/>
        </w:rPr>
        <w:t>an Answer to the Petition for Rescission.</w:t>
      </w:r>
    </w:p>
  </w:footnote>
  <w:footnote w:id="3">
    <w:p w:rsidR="00EA3541" w:rsidRPr="0037477F" w:rsidRDefault="00EA3541">
      <w:pPr>
        <w:pStyle w:val="FootnoteText"/>
        <w:rPr>
          <w:rFonts w:ascii="Times New Roman" w:hAnsi="Times New Roman" w:cs="Times New Roman"/>
          <w:sz w:val="26"/>
          <w:szCs w:val="26"/>
        </w:rPr>
      </w:pPr>
      <w:r>
        <w:rPr>
          <w:rFonts w:ascii="Times New Roman" w:hAnsi="Times New Roman" w:cs="Times New Roman"/>
          <w:sz w:val="26"/>
          <w:szCs w:val="26"/>
        </w:rPr>
        <w:tab/>
      </w:r>
      <w:r w:rsidRPr="0037477F">
        <w:rPr>
          <w:rStyle w:val="FootnoteReference"/>
          <w:rFonts w:ascii="Times New Roman" w:hAnsi="Times New Roman" w:cs="Times New Roman"/>
          <w:sz w:val="26"/>
          <w:szCs w:val="26"/>
        </w:rPr>
        <w:footnoteRef/>
      </w:r>
      <w:r>
        <w:rPr>
          <w:rFonts w:ascii="Times New Roman" w:hAnsi="Times New Roman" w:cs="Times New Roman"/>
          <w:sz w:val="26"/>
          <w:szCs w:val="26"/>
        </w:rPr>
        <w:tab/>
      </w:r>
      <w:r w:rsidR="006A1A86">
        <w:rPr>
          <w:rFonts w:ascii="Times New Roman" w:hAnsi="Times New Roman" w:cs="Times New Roman"/>
          <w:sz w:val="26"/>
          <w:szCs w:val="26"/>
        </w:rPr>
        <w:t>Our Regulations do not provide for further filings regarding a petition for rescission.  Accordingly, we will not address the Complainant’s additional filing.</w:t>
      </w:r>
    </w:p>
  </w:footnote>
  <w:footnote w:id="4">
    <w:p w:rsidR="00BE6E63" w:rsidRPr="00C5534D" w:rsidRDefault="00BE6E63">
      <w:pPr>
        <w:pStyle w:val="FootnoteText"/>
        <w:rPr>
          <w:rFonts w:ascii="Times New Roman" w:hAnsi="Times New Roman" w:cs="Times New Roman"/>
          <w:sz w:val="26"/>
          <w:szCs w:val="26"/>
        </w:rPr>
      </w:pPr>
      <w:r w:rsidRPr="00BE6E63">
        <w:rPr>
          <w:rFonts w:ascii="Times New Roman" w:hAnsi="Times New Roman" w:cs="Times New Roman"/>
          <w:sz w:val="26"/>
          <w:szCs w:val="26"/>
        </w:rPr>
        <w:tab/>
      </w:r>
      <w:r w:rsidRPr="00BE6E63">
        <w:rPr>
          <w:rStyle w:val="FootnoteReference"/>
          <w:rFonts w:ascii="Times New Roman" w:hAnsi="Times New Roman" w:cs="Times New Roman"/>
          <w:sz w:val="26"/>
          <w:szCs w:val="26"/>
        </w:rPr>
        <w:footnoteRef/>
      </w:r>
      <w:r w:rsidRPr="00BE6E63">
        <w:rPr>
          <w:rFonts w:ascii="Times New Roman" w:hAnsi="Times New Roman" w:cs="Times New Roman"/>
          <w:sz w:val="26"/>
          <w:szCs w:val="26"/>
        </w:rPr>
        <w:tab/>
      </w:r>
      <w:r w:rsidR="00C5534D">
        <w:rPr>
          <w:rFonts w:ascii="Times New Roman" w:hAnsi="Times New Roman" w:cs="Times New Roman"/>
          <w:sz w:val="26"/>
          <w:szCs w:val="26"/>
        </w:rPr>
        <w:t xml:space="preserve">As we noted in the History of the Proceeding, </w:t>
      </w:r>
      <w:r w:rsidR="00C5534D">
        <w:rPr>
          <w:rFonts w:ascii="Times New Roman" w:hAnsi="Times New Roman" w:cs="Times New Roman"/>
          <w:i/>
          <w:sz w:val="26"/>
          <w:szCs w:val="26"/>
        </w:rPr>
        <w:t>supra</w:t>
      </w:r>
      <w:r w:rsidR="00C5534D" w:rsidRPr="00C5534D">
        <w:rPr>
          <w:rFonts w:ascii="Times New Roman" w:hAnsi="Times New Roman" w:cs="Times New Roman"/>
          <w:sz w:val="26"/>
          <w:szCs w:val="26"/>
        </w:rPr>
        <w:t>,</w:t>
      </w:r>
      <w:r w:rsidR="00C5534D">
        <w:rPr>
          <w:rFonts w:ascii="Times New Roman" w:hAnsi="Times New Roman" w:cs="Times New Roman"/>
          <w:sz w:val="26"/>
          <w:szCs w:val="26"/>
        </w:rPr>
        <w:t xml:space="preserve"> the Complainant’s original Exceptions </w:t>
      </w:r>
      <w:r w:rsidR="007C2F68">
        <w:rPr>
          <w:rFonts w:ascii="Times New Roman" w:hAnsi="Times New Roman" w:cs="Times New Roman"/>
          <w:sz w:val="26"/>
          <w:szCs w:val="26"/>
        </w:rPr>
        <w:t xml:space="preserve">that </w:t>
      </w:r>
      <w:r w:rsidR="00C5534D">
        <w:rPr>
          <w:rFonts w:ascii="Times New Roman" w:hAnsi="Times New Roman" w:cs="Times New Roman"/>
          <w:sz w:val="26"/>
          <w:szCs w:val="26"/>
        </w:rPr>
        <w:t xml:space="preserve">were filed on April 25, 2018, </w:t>
      </w:r>
      <w:r w:rsidR="00B514E4">
        <w:rPr>
          <w:rFonts w:ascii="Times New Roman" w:hAnsi="Times New Roman" w:cs="Times New Roman"/>
          <w:sz w:val="26"/>
          <w:szCs w:val="26"/>
        </w:rPr>
        <w:t xml:space="preserve">or </w:t>
      </w:r>
      <w:r w:rsidR="003F7A23">
        <w:rPr>
          <w:rFonts w:ascii="Times New Roman" w:hAnsi="Times New Roman" w:cs="Times New Roman"/>
          <w:sz w:val="26"/>
          <w:szCs w:val="26"/>
        </w:rPr>
        <w:t>ten days after the extended April</w:t>
      </w:r>
      <w:r w:rsidR="007C2F68">
        <w:rPr>
          <w:rFonts w:ascii="Times New Roman" w:hAnsi="Times New Roman" w:cs="Times New Roman"/>
          <w:sz w:val="26"/>
          <w:szCs w:val="26"/>
        </w:rPr>
        <w:t> </w:t>
      </w:r>
      <w:r w:rsidR="003F7A23">
        <w:rPr>
          <w:rFonts w:ascii="Times New Roman" w:hAnsi="Times New Roman" w:cs="Times New Roman"/>
          <w:sz w:val="26"/>
          <w:szCs w:val="26"/>
        </w:rPr>
        <w:t xml:space="preserve">10, 2018 deadline, </w:t>
      </w:r>
      <w:r w:rsidR="00C5534D">
        <w:rPr>
          <w:rFonts w:ascii="Times New Roman" w:hAnsi="Times New Roman" w:cs="Times New Roman"/>
          <w:sz w:val="26"/>
          <w:szCs w:val="26"/>
        </w:rPr>
        <w:t xml:space="preserve">were returned </w:t>
      </w:r>
      <w:r w:rsidR="009B6EC1">
        <w:rPr>
          <w:rFonts w:ascii="Times New Roman" w:hAnsi="Times New Roman" w:cs="Times New Roman"/>
          <w:sz w:val="26"/>
          <w:szCs w:val="26"/>
        </w:rPr>
        <w:t>to the Complainant because they did not contain an original signature</w:t>
      </w:r>
      <w:r w:rsidR="003F7A23">
        <w:rPr>
          <w:rFonts w:ascii="Times New Roman" w:hAnsi="Times New Roman" w:cs="Times New Roman"/>
          <w:sz w:val="26"/>
          <w:szCs w:val="26"/>
        </w:rPr>
        <w:t xml:space="preserve"> and </w:t>
      </w:r>
      <w:r w:rsidR="009B6EC1">
        <w:rPr>
          <w:rFonts w:ascii="Times New Roman" w:hAnsi="Times New Roman" w:cs="Times New Roman"/>
          <w:sz w:val="26"/>
          <w:szCs w:val="26"/>
        </w:rPr>
        <w:t xml:space="preserve">a Certificate of Service showing that </w:t>
      </w:r>
      <w:r w:rsidR="007A3D0E">
        <w:rPr>
          <w:rFonts w:ascii="Times New Roman" w:hAnsi="Times New Roman" w:cs="Times New Roman"/>
          <w:sz w:val="26"/>
          <w:szCs w:val="26"/>
        </w:rPr>
        <w:t>all parties had been notified</w:t>
      </w:r>
      <w:r w:rsidR="003F7A23">
        <w:rPr>
          <w:rFonts w:ascii="Times New Roman" w:hAnsi="Times New Roman" w:cs="Times New Roman"/>
          <w:sz w:val="26"/>
          <w:szCs w:val="26"/>
        </w:rPr>
        <w:t>.</w:t>
      </w:r>
      <w:r w:rsidR="0021634B">
        <w:rPr>
          <w:rFonts w:ascii="Times New Roman" w:hAnsi="Times New Roman" w:cs="Times New Roman"/>
          <w:sz w:val="26"/>
          <w:szCs w:val="26"/>
        </w:rPr>
        <w:t xml:space="preserve">  Thus, the Secretary’s Bureau issued a Secretarial Letter </w:t>
      </w:r>
      <w:r w:rsidR="007A3D0E">
        <w:rPr>
          <w:rFonts w:ascii="Times New Roman" w:hAnsi="Times New Roman" w:cs="Times New Roman"/>
          <w:sz w:val="26"/>
          <w:szCs w:val="26"/>
        </w:rPr>
        <w:t>on April</w:t>
      </w:r>
      <w:r w:rsidR="0021634B">
        <w:rPr>
          <w:rFonts w:ascii="Times New Roman" w:hAnsi="Times New Roman" w:cs="Times New Roman"/>
          <w:sz w:val="26"/>
          <w:szCs w:val="26"/>
        </w:rPr>
        <w:t xml:space="preserve"> 26, </w:t>
      </w:r>
      <w:r w:rsidR="007A3D0E">
        <w:rPr>
          <w:rFonts w:ascii="Times New Roman" w:hAnsi="Times New Roman" w:cs="Times New Roman"/>
          <w:sz w:val="26"/>
          <w:szCs w:val="26"/>
        </w:rPr>
        <w:t xml:space="preserve">2018, </w:t>
      </w:r>
      <w:r w:rsidR="0021634B">
        <w:rPr>
          <w:rFonts w:ascii="Times New Roman" w:hAnsi="Times New Roman" w:cs="Times New Roman"/>
          <w:sz w:val="26"/>
          <w:szCs w:val="26"/>
        </w:rPr>
        <w:t xml:space="preserve">requesting the additional information </w:t>
      </w:r>
      <w:r w:rsidR="007C2F68">
        <w:rPr>
          <w:rFonts w:ascii="Times New Roman" w:hAnsi="Times New Roman" w:cs="Times New Roman"/>
          <w:sz w:val="26"/>
          <w:szCs w:val="26"/>
        </w:rPr>
        <w:t xml:space="preserve">within ten days </w:t>
      </w:r>
      <w:r w:rsidR="0021634B">
        <w:rPr>
          <w:rFonts w:ascii="Times New Roman" w:hAnsi="Times New Roman" w:cs="Times New Roman"/>
          <w:sz w:val="26"/>
          <w:szCs w:val="26"/>
        </w:rPr>
        <w:t>and informing the Complainant that</w:t>
      </w:r>
      <w:r w:rsidR="007C2F68">
        <w:rPr>
          <w:rFonts w:ascii="Times New Roman" w:hAnsi="Times New Roman" w:cs="Times New Roman"/>
          <w:sz w:val="26"/>
          <w:szCs w:val="26"/>
        </w:rPr>
        <w:t xml:space="preserve"> the Exceptions will be processed after the signed Exceptions and Certificate of Service are received by the Commission.</w:t>
      </w:r>
    </w:p>
  </w:footnote>
  <w:footnote w:id="5">
    <w:p w:rsidR="003160AE" w:rsidRPr="001556A3" w:rsidRDefault="003160AE" w:rsidP="003160AE">
      <w:pPr>
        <w:pStyle w:val="FootnoteText"/>
        <w:rPr>
          <w:rFonts w:ascii="Times New Roman" w:hAnsi="Times New Roman" w:cs="Times New Roman"/>
          <w:sz w:val="26"/>
          <w:szCs w:val="26"/>
        </w:rPr>
      </w:pPr>
      <w:r w:rsidRPr="00BE6E63">
        <w:rPr>
          <w:rFonts w:ascii="Times New Roman" w:hAnsi="Times New Roman" w:cs="Times New Roman"/>
          <w:sz w:val="26"/>
          <w:szCs w:val="26"/>
        </w:rPr>
        <w:tab/>
      </w:r>
      <w:r w:rsidRPr="00BE6E63">
        <w:rPr>
          <w:rStyle w:val="FootnoteReference"/>
          <w:rFonts w:ascii="Times New Roman" w:hAnsi="Times New Roman" w:cs="Times New Roman"/>
          <w:sz w:val="26"/>
          <w:szCs w:val="26"/>
        </w:rPr>
        <w:footnoteRef/>
      </w:r>
      <w:r w:rsidRPr="00BE6E63">
        <w:rPr>
          <w:rFonts w:ascii="Times New Roman" w:hAnsi="Times New Roman" w:cs="Times New Roman"/>
          <w:sz w:val="26"/>
          <w:szCs w:val="26"/>
        </w:rPr>
        <w:tab/>
        <w:t>As noted, the</w:t>
      </w:r>
      <w:r w:rsidRPr="001556A3">
        <w:rPr>
          <w:rFonts w:ascii="Times New Roman" w:hAnsi="Times New Roman" w:cs="Times New Roman"/>
          <w:sz w:val="26"/>
          <w:szCs w:val="26"/>
        </w:rPr>
        <w:t xml:space="preserve"> Complainant’s Petition which was dated May 13, 2017, was received by the Commission on May 17,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7758"/>
    <w:multiLevelType w:val="hybridMultilevel"/>
    <w:tmpl w:val="D0CEEB94"/>
    <w:lvl w:ilvl="0" w:tplc="CD303F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D010870"/>
    <w:multiLevelType w:val="hybridMultilevel"/>
    <w:tmpl w:val="AA54EB6A"/>
    <w:lvl w:ilvl="0" w:tplc="22207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7356B3"/>
    <w:multiLevelType w:val="hybridMultilevel"/>
    <w:tmpl w:val="34727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4"/>
    <w:rsid w:val="00000DAA"/>
    <w:rsid w:val="00011A44"/>
    <w:rsid w:val="00025417"/>
    <w:rsid w:val="00035872"/>
    <w:rsid w:val="00060F22"/>
    <w:rsid w:val="00076B0D"/>
    <w:rsid w:val="0009319F"/>
    <w:rsid w:val="000959CE"/>
    <w:rsid w:val="000A633F"/>
    <w:rsid w:val="000B4C2E"/>
    <w:rsid w:val="000C06E7"/>
    <w:rsid w:val="000E0A20"/>
    <w:rsid w:val="000F1576"/>
    <w:rsid w:val="00105D2C"/>
    <w:rsid w:val="001128E5"/>
    <w:rsid w:val="00120DBE"/>
    <w:rsid w:val="00132AC6"/>
    <w:rsid w:val="00133396"/>
    <w:rsid w:val="00140BC9"/>
    <w:rsid w:val="0015021D"/>
    <w:rsid w:val="001556A3"/>
    <w:rsid w:val="00172D1C"/>
    <w:rsid w:val="00172F34"/>
    <w:rsid w:val="00181EC8"/>
    <w:rsid w:val="0018317D"/>
    <w:rsid w:val="00192A2E"/>
    <w:rsid w:val="001C1893"/>
    <w:rsid w:val="001E0694"/>
    <w:rsid w:val="0021634B"/>
    <w:rsid w:val="0022150B"/>
    <w:rsid w:val="00241787"/>
    <w:rsid w:val="00241AFA"/>
    <w:rsid w:val="0026398F"/>
    <w:rsid w:val="002963E1"/>
    <w:rsid w:val="002A5C42"/>
    <w:rsid w:val="002D1F33"/>
    <w:rsid w:val="002E17C0"/>
    <w:rsid w:val="002E5252"/>
    <w:rsid w:val="003149CA"/>
    <w:rsid w:val="003160AE"/>
    <w:rsid w:val="003240D7"/>
    <w:rsid w:val="0035767C"/>
    <w:rsid w:val="00362FB8"/>
    <w:rsid w:val="0037477F"/>
    <w:rsid w:val="00385969"/>
    <w:rsid w:val="003D4559"/>
    <w:rsid w:val="003F7A23"/>
    <w:rsid w:val="0040603D"/>
    <w:rsid w:val="00417F9C"/>
    <w:rsid w:val="004632EF"/>
    <w:rsid w:val="004A6F1C"/>
    <w:rsid w:val="004B48CB"/>
    <w:rsid w:val="004B7194"/>
    <w:rsid w:val="004C1691"/>
    <w:rsid w:val="004E3D3C"/>
    <w:rsid w:val="004F0366"/>
    <w:rsid w:val="00502B70"/>
    <w:rsid w:val="00566968"/>
    <w:rsid w:val="00571416"/>
    <w:rsid w:val="0059069C"/>
    <w:rsid w:val="005917A9"/>
    <w:rsid w:val="00592BE3"/>
    <w:rsid w:val="005A358A"/>
    <w:rsid w:val="005B7D34"/>
    <w:rsid w:val="00600B7E"/>
    <w:rsid w:val="00600F04"/>
    <w:rsid w:val="006158D5"/>
    <w:rsid w:val="00621797"/>
    <w:rsid w:val="006405B5"/>
    <w:rsid w:val="0064376C"/>
    <w:rsid w:val="006522AE"/>
    <w:rsid w:val="006541F8"/>
    <w:rsid w:val="00691AA4"/>
    <w:rsid w:val="006A0B5F"/>
    <w:rsid w:val="006A1A86"/>
    <w:rsid w:val="006C33BE"/>
    <w:rsid w:val="006D1093"/>
    <w:rsid w:val="006E49D7"/>
    <w:rsid w:val="006E724F"/>
    <w:rsid w:val="006F57F4"/>
    <w:rsid w:val="007115F7"/>
    <w:rsid w:val="0072516B"/>
    <w:rsid w:val="00734FBD"/>
    <w:rsid w:val="007469DF"/>
    <w:rsid w:val="00753DF9"/>
    <w:rsid w:val="00755C43"/>
    <w:rsid w:val="00765691"/>
    <w:rsid w:val="00766849"/>
    <w:rsid w:val="00773E5C"/>
    <w:rsid w:val="007775C4"/>
    <w:rsid w:val="00785CAD"/>
    <w:rsid w:val="007913CD"/>
    <w:rsid w:val="00796702"/>
    <w:rsid w:val="0079786D"/>
    <w:rsid w:val="007A3D0E"/>
    <w:rsid w:val="007C137E"/>
    <w:rsid w:val="007C28B7"/>
    <w:rsid w:val="007C2F68"/>
    <w:rsid w:val="007D4A07"/>
    <w:rsid w:val="0084019B"/>
    <w:rsid w:val="0084122B"/>
    <w:rsid w:val="00880737"/>
    <w:rsid w:val="00884128"/>
    <w:rsid w:val="008B51DC"/>
    <w:rsid w:val="008C2BDB"/>
    <w:rsid w:val="008D5645"/>
    <w:rsid w:val="008D69F9"/>
    <w:rsid w:val="008F5D14"/>
    <w:rsid w:val="0091697D"/>
    <w:rsid w:val="009335F7"/>
    <w:rsid w:val="009376DB"/>
    <w:rsid w:val="00967305"/>
    <w:rsid w:val="00975500"/>
    <w:rsid w:val="00975F8E"/>
    <w:rsid w:val="009840B8"/>
    <w:rsid w:val="0099285F"/>
    <w:rsid w:val="009B6EC1"/>
    <w:rsid w:val="00A40352"/>
    <w:rsid w:val="00A43B61"/>
    <w:rsid w:val="00A43C4E"/>
    <w:rsid w:val="00A92CCE"/>
    <w:rsid w:val="00AB0010"/>
    <w:rsid w:val="00AC20D8"/>
    <w:rsid w:val="00AD2BEF"/>
    <w:rsid w:val="00B118AF"/>
    <w:rsid w:val="00B17A1A"/>
    <w:rsid w:val="00B34AD7"/>
    <w:rsid w:val="00B514E4"/>
    <w:rsid w:val="00B55599"/>
    <w:rsid w:val="00B83054"/>
    <w:rsid w:val="00B8386D"/>
    <w:rsid w:val="00B9546B"/>
    <w:rsid w:val="00BE6E63"/>
    <w:rsid w:val="00BF51C1"/>
    <w:rsid w:val="00BF6B74"/>
    <w:rsid w:val="00C037F1"/>
    <w:rsid w:val="00C110F6"/>
    <w:rsid w:val="00C51A73"/>
    <w:rsid w:val="00C54CA9"/>
    <w:rsid w:val="00C5534D"/>
    <w:rsid w:val="00C82BE1"/>
    <w:rsid w:val="00C864EB"/>
    <w:rsid w:val="00CE25B3"/>
    <w:rsid w:val="00CF4E69"/>
    <w:rsid w:val="00D15D8A"/>
    <w:rsid w:val="00D23BBA"/>
    <w:rsid w:val="00D25574"/>
    <w:rsid w:val="00D60FF8"/>
    <w:rsid w:val="00D673B0"/>
    <w:rsid w:val="00D73D44"/>
    <w:rsid w:val="00D936A3"/>
    <w:rsid w:val="00DA1FFE"/>
    <w:rsid w:val="00DD258F"/>
    <w:rsid w:val="00DF56B0"/>
    <w:rsid w:val="00E02C1B"/>
    <w:rsid w:val="00E050A6"/>
    <w:rsid w:val="00E10929"/>
    <w:rsid w:val="00E15142"/>
    <w:rsid w:val="00E225E2"/>
    <w:rsid w:val="00E23422"/>
    <w:rsid w:val="00E30BBB"/>
    <w:rsid w:val="00E735AB"/>
    <w:rsid w:val="00EA224F"/>
    <w:rsid w:val="00EA3541"/>
    <w:rsid w:val="00EA4B71"/>
    <w:rsid w:val="00EC0380"/>
    <w:rsid w:val="00EC2967"/>
    <w:rsid w:val="00EF0BBC"/>
    <w:rsid w:val="00F14B8E"/>
    <w:rsid w:val="00F60C20"/>
    <w:rsid w:val="00F66474"/>
    <w:rsid w:val="00F66563"/>
    <w:rsid w:val="00F80079"/>
    <w:rsid w:val="00F80B38"/>
    <w:rsid w:val="00FA7569"/>
    <w:rsid w:val="00FB12EA"/>
    <w:rsid w:val="00FC27BC"/>
    <w:rsid w:val="00FD5D05"/>
    <w:rsid w:val="00FF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21904CFF"/>
  <w15:chartTrackingRefBased/>
  <w15:docId w15:val="{FFF43BFB-AD94-4A58-B422-328774BF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694"/>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A358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5A358A"/>
    <w:pPr>
      <w:spacing w:line="240" w:lineRule="auto"/>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358A"/>
    <w:rPr>
      <w:sz w:val="20"/>
      <w:szCs w:val="20"/>
    </w:rPr>
  </w:style>
  <w:style w:type="character" w:styleId="FootnoteReference">
    <w:name w:val="footnote reference"/>
    <w:basedOn w:val="DefaultParagraphFont"/>
    <w:uiPriority w:val="99"/>
    <w:semiHidden/>
    <w:unhideWhenUsed/>
    <w:rsid w:val="005A358A"/>
    <w:rPr>
      <w:vertAlign w:val="superscript"/>
    </w:rPr>
  </w:style>
  <w:style w:type="paragraph" w:styleId="BlockText">
    <w:name w:val="Block Text"/>
    <w:basedOn w:val="Normal"/>
    <w:rsid w:val="0072516B"/>
    <w:pPr>
      <w:widowControl w:val="0"/>
      <w:tabs>
        <w:tab w:val="left" w:pos="-720"/>
      </w:tabs>
      <w:ind w:left="1440" w:right="2160" w:firstLine="0"/>
      <w:jc w:val="left"/>
    </w:pPr>
    <w:rPr>
      <w:rFonts w:eastAsia="Times New Roman"/>
      <w:sz w:val="26"/>
      <w:szCs w:val="20"/>
    </w:rPr>
  </w:style>
  <w:style w:type="paragraph" w:styleId="Header">
    <w:name w:val="header"/>
    <w:basedOn w:val="Normal"/>
    <w:link w:val="HeaderChar"/>
    <w:uiPriority w:val="99"/>
    <w:unhideWhenUsed/>
    <w:rsid w:val="006A0B5F"/>
    <w:pPr>
      <w:tabs>
        <w:tab w:val="center" w:pos="4680"/>
        <w:tab w:val="right" w:pos="9360"/>
      </w:tabs>
      <w:spacing w:line="240" w:lineRule="auto"/>
    </w:pPr>
  </w:style>
  <w:style w:type="character" w:customStyle="1" w:styleId="HeaderChar">
    <w:name w:val="Header Char"/>
    <w:basedOn w:val="DefaultParagraphFont"/>
    <w:link w:val="Header"/>
    <w:uiPriority w:val="99"/>
    <w:rsid w:val="006A0B5F"/>
    <w:rPr>
      <w:rFonts w:ascii="Times New Roman" w:eastAsia="Calibri" w:hAnsi="Times New Roman" w:cs="Times New Roman"/>
      <w:sz w:val="24"/>
      <w:szCs w:val="24"/>
    </w:rPr>
  </w:style>
  <w:style w:type="paragraph" w:styleId="Footer">
    <w:name w:val="footer"/>
    <w:basedOn w:val="Normal"/>
    <w:link w:val="FooterChar"/>
    <w:uiPriority w:val="99"/>
    <w:unhideWhenUsed/>
    <w:rsid w:val="006A0B5F"/>
    <w:pPr>
      <w:tabs>
        <w:tab w:val="center" w:pos="4680"/>
        <w:tab w:val="right" w:pos="9360"/>
      </w:tabs>
      <w:spacing w:line="240" w:lineRule="auto"/>
    </w:pPr>
  </w:style>
  <w:style w:type="character" w:customStyle="1" w:styleId="FooterChar">
    <w:name w:val="Footer Char"/>
    <w:basedOn w:val="DefaultParagraphFont"/>
    <w:link w:val="Footer"/>
    <w:uiPriority w:val="99"/>
    <w:rsid w:val="006A0B5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A35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541"/>
    <w:rPr>
      <w:rFonts w:ascii="Segoe UI" w:eastAsia="Calibri" w:hAnsi="Segoe UI" w:cs="Segoe UI"/>
      <w:sz w:val="18"/>
      <w:szCs w:val="18"/>
    </w:rPr>
  </w:style>
  <w:style w:type="paragraph" w:styleId="ListParagraph">
    <w:name w:val="List Paragraph"/>
    <w:basedOn w:val="Normal"/>
    <w:uiPriority w:val="34"/>
    <w:qFormat/>
    <w:rsid w:val="004E3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8+Pa.+Super.+3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C5E0-56F7-42CE-9109-51B6AB51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Farner, Joyce</cp:lastModifiedBy>
  <cp:revision>3</cp:revision>
  <cp:lastPrinted>2018-09-20T11:06:00Z</cp:lastPrinted>
  <dcterms:created xsi:type="dcterms:W3CDTF">2018-09-05T14:00:00Z</dcterms:created>
  <dcterms:modified xsi:type="dcterms:W3CDTF">2018-09-20T11:06:00Z</dcterms:modified>
</cp:coreProperties>
</file>