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Layout w:type="fixed"/>
        <w:tblLook w:val="0000" w:firstRow="0" w:lastRow="0" w:firstColumn="0" w:lastColumn="0" w:noHBand="0" w:noVBand="0"/>
      </w:tblPr>
      <w:tblGrid>
        <w:gridCol w:w="2448"/>
        <w:gridCol w:w="5130"/>
        <w:gridCol w:w="2700"/>
      </w:tblGrid>
      <w:tr w:rsidR="00D850D4" w:rsidRPr="00C0451E" w14:paraId="5B14EB55" w14:textId="77777777">
        <w:tc>
          <w:tcPr>
            <w:tcW w:w="2448" w:type="dxa"/>
          </w:tcPr>
          <w:p w14:paraId="274CCACB" w14:textId="77777777" w:rsidR="00D850D4" w:rsidRPr="00C0451E" w:rsidRDefault="00D850D4" w:rsidP="00092C0A">
            <w:pPr>
              <w:pStyle w:val="Heading3"/>
              <w:rPr>
                <w:rFonts w:ascii="Times New Roman" w:hAnsi="Times New Roman" w:cs="Times New Roman"/>
              </w:rPr>
            </w:pPr>
          </w:p>
        </w:tc>
        <w:tc>
          <w:tcPr>
            <w:tcW w:w="5130" w:type="dxa"/>
          </w:tcPr>
          <w:p w14:paraId="480C9C0C" w14:textId="77777777" w:rsidR="00D850D4" w:rsidRPr="00C0451E" w:rsidRDefault="00D850D4">
            <w:pPr>
              <w:jc w:val="center"/>
              <w:rPr>
                <w:b/>
                <w:sz w:val="26"/>
                <w:szCs w:val="26"/>
              </w:rPr>
            </w:pPr>
            <w:r w:rsidRPr="00C0451E">
              <w:rPr>
                <w:b/>
                <w:sz w:val="26"/>
                <w:szCs w:val="26"/>
              </w:rPr>
              <w:t>PENNSYLVANIA</w:t>
            </w:r>
          </w:p>
          <w:p w14:paraId="26CB4B15" w14:textId="77777777" w:rsidR="00D850D4" w:rsidRPr="00C0451E" w:rsidRDefault="00D850D4">
            <w:pPr>
              <w:jc w:val="center"/>
              <w:rPr>
                <w:b/>
                <w:sz w:val="26"/>
                <w:szCs w:val="26"/>
              </w:rPr>
            </w:pPr>
            <w:r w:rsidRPr="00C0451E">
              <w:rPr>
                <w:b/>
                <w:sz w:val="26"/>
                <w:szCs w:val="26"/>
              </w:rPr>
              <w:t>PUBLIC UTILITY COMMISSION</w:t>
            </w:r>
          </w:p>
          <w:p w14:paraId="600C2C7C" w14:textId="77777777" w:rsidR="00D850D4" w:rsidRPr="00C0451E" w:rsidRDefault="00D850D4" w:rsidP="00092C0A">
            <w:pPr>
              <w:pStyle w:val="StyleCentered"/>
              <w:rPr>
                <w:b/>
                <w:sz w:val="26"/>
                <w:szCs w:val="26"/>
              </w:rPr>
            </w:pPr>
            <w:r w:rsidRPr="00C0451E">
              <w:rPr>
                <w:b/>
                <w:sz w:val="26"/>
                <w:szCs w:val="26"/>
              </w:rPr>
              <w:t>Harrisburg</w:t>
            </w:r>
            <w:r w:rsidR="006048E2" w:rsidRPr="00C0451E">
              <w:rPr>
                <w:b/>
                <w:sz w:val="26"/>
                <w:szCs w:val="26"/>
              </w:rPr>
              <w:t>, PA</w:t>
            </w:r>
            <w:r w:rsidRPr="00C0451E">
              <w:rPr>
                <w:b/>
                <w:sz w:val="26"/>
                <w:szCs w:val="26"/>
              </w:rPr>
              <w:t xml:space="preserve">  17105-3265</w:t>
            </w:r>
          </w:p>
        </w:tc>
        <w:tc>
          <w:tcPr>
            <w:tcW w:w="2700" w:type="dxa"/>
          </w:tcPr>
          <w:p w14:paraId="4E13724E" w14:textId="77777777" w:rsidR="00D850D4" w:rsidRPr="00C0451E" w:rsidRDefault="00D850D4">
            <w:pPr>
              <w:rPr>
                <w:sz w:val="26"/>
                <w:szCs w:val="26"/>
              </w:rPr>
            </w:pPr>
          </w:p>
        </w:tc>
      </w:tr>
    </w:tbl>
    <w:p w14:paraId="4C950348" w14:textId="77777777" w:rsidR="00D850D4" w:rsidRPr="00C0451E" w:rsidRDefault="00D850D4">
      <w:pPr>
        <w:rPr>
          <w:sz w:val="26"/>
          <w:szCs w:val="26"/>
        </w:rPr>
      </w:pPr>
    </w:p>
    <w:tbl>
      <w:tblPr>
        <w:tblW w:w="0" w:type="auto"/>
        <w:tblLayout w:type="fixed"/>
        <w:tblLook w:val="0000" w:firstRow="0" w:lastRow="0" w:firstColumn="0" w:lastColumn="0" w:noHBand="0" w:noVBand="0"/>
      </w:tblPr>
      <w:tblGrid>
        <w:gridCol w:w="5148"/>
        <w:gridCol w:w="5148"/>
      </w:tblGrid>
      <w:tr w:rsidR="00D850D4" w:rsidRPr="00C0451E" w14:paraId="30AA7CE5" w14:textId="77777777">
        <w:tc>
          <w:tcPr>
            <w:tcW w:w="5148" w:type="dxa"/>
          </w:tcPr>
          <w:p w14:paraId="0BABAE1C" w14:textId="77777777" w:rsidR="00D850D4" w:rsidRPr="00C0451E" w:rsidRDefault="00D850D4">
            <w:pPr>
              <w:rPr>
                <w:sz w:val="26"/>
                <w:szCs w:val="26"/>
              </w:rPr>
            </w:pPr>
          </w:p>
        </w:tc>
        <w:tc>
          <w:tcPr>
            <w:tcW w:w="5148" w:type="dxa"/>
          </w:tcPr>
          <w:p w14:paraId="5443308D" w14:textId="77777777" w:rsidR="00D850D4" w:rsidRPr="00C0451E" w:rsidRDefault="00D850D4">
            <w:pPr>
              <w:ind w:firstLine="612"/>
              <w:rPr>
                <w:sz w:val="26"/>
                <w:szCs w:val="26"/>
              </w:rPr>
            </w:pPr>
            <w:r w:rsidRPr="00C0451E">
              <w:rPr>
                <w:sz w:val="26"/>
                <w:szCs w:val="26"/>
              </w:rPr>
              <w:t xml:space="preserve">Public Meeting held </w:t>
            </w:r>
            <w:r w:rsidR="00DD6924">
              <w:rPr>
                <w:sz w:val="26"/>
                <w:szCs w:val="26"/>
              </w:rPr>
              <w:t>September 20, 2018</w:t>
            </w:r>
          </w:p>
        </w:tc>
      </w:tr>
      <w:tr w:rsidR="00D850D4" w:rsidRPr="00C0451E" w14:paraId="7C48632B" w14:textId="77777777">
        <w:tc>
          <w:tcPr>
            <w:tcW w:w="5148" w:type="dxa"/>
          </w:tcPr>
          <w:p w14:paraId="178637B5" w14:textId="77777777" w:rsidR="00D850D4" w:rsidRPr="00C0451E" w:rsidRDefault="00D850D4">
            <w:pPr>
              <w:rPr>
                <w:sz w:val="26"/>
                <w:szCs w:val="26"/>
              </w:rPr>
            </w:pPr>
            <w:r w:rsidRPr="00C0451E">
              <w:rPr>
                <w:sz w:val="26"/>
                <w:szCs w:val="26"/>
              </w:rPr>
              <w:t>Commissioners Present:</w:t>
            </w:r>
          </w:p>
        </w:tc>
        <w:tc>
          <w:tcPr>
            <w:tcW w:w="5148" w:type="dxa"/>
          </w:tcPr>
          <w:p w14:paraId="1313DE6B" w14:textId="77777777" w:rsidR="00D850D4" w:rsidRPr="00C0451E" w:rsidRDefault="00D850D4">
            <w:pPr>
              <w:rPr>
                <w:sz w:val="26"/>
                <w:szCs w:val="26"/>
              </w:rPr>
            </w:pPr>
          </w:p>
        </w:tc>
      </w:tr>
    </w:tbl>
    <w:p w14:paraId="00116096" w14:textId="77777777" w:rsidR="00D850D4" w:rsidRPr="00C0451E" w:rsidRDefault="00D850D4">
      <w:pPr>
        <w:rPr>
          <w:sz w:val="26"/>
          <w:szCs w:val="26"/>
        </w:rPr>
      </w:pPr>
    </w:p>
    <w:tbl>
      <w:tblPr>
        <w:tblW w:w="10296" w:type="dxa"/>
        <w:tblLayout w:type="fixed"/>
        <w:tblLook w:val="0000" w:firstRow="0" w:lastRow="0" w:firstColumn="0" w:lastColumn="0" w:noHBand="0" w:noVBand="0"/>
      </w:tblPr>
      <w:tblGrid>
        <w:gridCol w:w="5958"/>
        <w:gridCol w:w="2898"/>
        <w:gridCol w:w="522"/>
        <w:gridCol w:w="918"/>
      </w:tblGrid>
      <w:tr w:rsidR="004E58A5" w:rsidRPr="00C0451E" w14:paraId="3DCE20F2" w14:textId="77777777" w:rsidTr="00107AB8">
        <w:tc>
          <w:tcPr>
            <w:tcW w:w="9378" w:type="dxa"/>
            <w:gridSpan w:val="3"/>
          </w:tcPr>
          <w:p w14:paraId="35B306A0" w14:textId="77777777" w:rsidR="004E58A5" w:rsidRPr="00C0451E" w:rsidRDefault="00ED7D4C" w:rsidP="00AB738E">
            <w:pPr>
              <w:overflowPunct/>
              <w:ind w:left="720"/>
              <w:textAlignment w:val="auto"/>
              <w:rPr>
                <w:sz w:val="26"/>
                <w:szCs w:val="26"/>
              </w:rPr>
            </w:pPr>
            <w:r>
              <w:rPr>
                <w:sz w:val="26"/>
                <w:szCs w:val="26"/>
              </w:rPr>
              <w:t>Gladys M. Brown</w:t>
            </w:r>
            <w:r w:rsidR="00E15458">
              <w:rPr>
                <w:sz w:val="26"/>
                <w:szCs w:val="26"/>
              </w:rPr>
              <w:t>, Chairman</w:t>
            </w:r>
          </w:p>
        </w:tc>
        <w:tc>
          <w:tcPr>
            <w:tcW w:w="918" w:type="dxa"/>
          </w:tcPr>
          <w:p w14:paraId="30120171" w14:textId="77777777" w:rsidR="004E58A5" w:rsidRPr="00C0451E" w:rsidRDefault="004E58A5">
            <w:pPr>
              <w:rPr>
                <w:sz w:val="26"/>
                <w:szCs w:val="26"/>
              </w:rPr>
            </w:pPr>
          </w:p>
        </w:tc>
      </w:tr>
      <w:tr w:rsidR="004E58A5" w:rsidRPr="00C0451E" w14:paraId="2A0D6BAC" w14:textId="77777777" w:rsidTr="00107AB8">
        <w:tc>
          <w:tcPr>
            <w:tcW w:w="9378" w:type="dxa"/>
            <w:gridSpan w:val="3"/>
          </w:tcPr>
          <w:p w14:paraId="27D2B60A" w14:textId="77777777" w:rsidR="004E58A5" w:rsidRPr="00C0451E" w:rsidRDefault="005430BC" w:rsidP="00AB738E">
            <w:pPr>
              <w:overflowPunct/>
              <w:ind w:left="720"/>
              <w:textAlignment w:val="auto"/>
              <w:rPr>
                <w:sz w:val="26"/>
                <w:szCs w:val="26"/>
              </w:rPr>
            </w:pPr>
            <w:r>
              <w:rPr>
                <w:sz w:val="26"/>
                <w:szCs w:val="26"/>
              </w:rPr>
              <w:t>Andrew G. Place</w:t>
            </w:r>
            <w:r w:rsidR="00AB2CF1">
              <w:rPr>
                <w:sz w:val="26"/>
                <w:szCs w:val="26"/>
              </w:rPr>
              <w:t xml:space="preserve">, </w:t>
            </w:r>
            <w:r w:rsidR="004E58A5" w:rsidRPr="00C0451E">
              <w:rPr>
                <w:sz w:val="26"/>
                <w:szCs w:val="26"/>
              </w:rPr>
              <w:t>Vice Chairman</w:t>
            </w:r>
          </w:p>
        </w:tc>
        <w:tc>
          <w:tcPr>
            <w:tcW w:w="918" w:type="dxa"/>
          </w:tcPr>
          <w:p w14:paraId="599E541B" w14:textId="77777777" w:rsidR="004E58A5" w:rsidRPr="00C0451E" w:rsidRDefault="004E58A5">
            <w:pPr>
              <w:rPr>
                <w:sz w:val="26"/>
                <w:szCs w:val="26"/>
              </w:rPr>
            </w:pPr>
          </w:p>
        </w:tc>
      </w:tr>
      <w:tr w:rsidR="00061E62" w:rsidRPr="00C0451E" w14:paraId="57D87151" w14:textId="77777777" w:rsidTr="00571027">
        <w:trPr>
          <w:gridAfter w:val="2"/>
          <w:wAfter w:w="1440" w:type="dxa"/>
        </w:trPr>
        <w:tc>
          <w:tcPr>
            <w:tcW w:w="5958" w:type="dxa"/>
          </w:tcPr>
          <w:p w14:paraId="5FE8737C" w14:textId="77777777" w:rsidR="00061E62" w:rsidRDefault="00061E62" w:rsidP="00ED7D4C">
            <w:pPr>
              <w:ind w:left="720"/>
              <w:rPr>
                <w:sz w:val="26"/>
                <w:szCs w:val="26"/>
              </w:rPr>
            </w:pPr>
            <w:r>
              <w:rPr>
                <w:sz w:val="26"/>
                <w:szCs w:val="26"/>
              </w:rPr>
              <w:t>Norman J. Kennard</w:t>
            </w:r>
          </w:p>
        </w:tc>
        <w:tc>
          <w:tcPr>
            <w:tcW w:w="2898" w:type="dxa"/>
          </w:tcPr>
          <w:p w14:paraId="73A33941" w14:textId="77777777" w:rsidR="00061E62" w:rsidRPr="00C0451E" w:rsidRDefault="00061E62" w:rsidP="00A82FC9">
            <w:pPr>
              <w:rPr>
                <w:sz w:val="26"/>
                <w:szCs w:val="26"/>
              </w:rPr>
            </w:pPr>
          </w:p>
        </w:tc>
      </w:tr>
      <w:tr w:rsidR="00572CCC" w:rsidRPr="00C0451E" w14:paraId="41ADE785" w14:textId="77777777" w:rsidTr="00571027">
        <w:trPr>
          <w:gridAfter w:val="2"/>
          <w:wAfter w:w="1440" w:type="dxa"/>
        </w:trPr>
        <w:tc>
          <w:tcPr>
            <w:tcW w:w="5958" w:type="dxa"/>
          </w:tcPr>
          <w:p w14:paraId="25801043" w14:textId="77777777" w:rsidR="00572CCC" w:rsidRPr="00C0451E" w:rsidRDefault="00F90DC1" w:rsidP="00ED7D4C">
            <w:pPr>
              <w:ind w:left="720"/>
              <w:rPr>
                <w:sz w:val="26"/>
                <w:szCs w:val="26"/>
              </w:rPr>
            </w:pPr>
            <w:r>
              <w:rPr>
                <w:sz w:val="26"/>
                <w:szCs w:val="26"/>
              </w:rPr>
              <w:t>David W. Sweet</w:t>
            </w:r>
          </w:p>
        </w:tc>
        <w:tc>
          <w:tcPr>
            <w:tcW w:w="2898" w:type="dxa"/>
          </w:tcPr>
          <w:p w14:paraId="3CFC9A08" w14:textId="77777777" w:rsidR="00572CCC" w:rsidRPr="00C0451E" w:rsidRDefault="00572CCC" w:rsidP="00A82FC9">
            <w:pPr>
              <w:rPr>
                <w:sz w:val="26"/>
                <w:szCs w:val="26"/>
              </w:rPr>
            </w:pPr>
          </w:p>
        </w:tc>
      </w:tr>
      <w:tr w:rsidR="00E441EC" w:rsidRPr="00C0451E" w14:paraId="7A9C4E78" w14:textId="77777777" w:rsidTr="00571027">
        <w:trPr>
          <w:gridAfter w:val="2"/>
          <w:wAfter w:w="1440" w:type="dxa"/>
        </w:trPr>
        <w:tc>
          <w:tcPr>
            <w:tcW w:w="5958" w:type="dxa"/>
          </w:tcPr>
          <w:p w14:paraId="47979F26" w14:textId="77777777" w:rsidR="00E441EC" w:rsidRPr="00C0451E" w:rsidRDefault="00F90DC1" w:rsidP="005430BC">
            <w:pPr>
              <w:ind w:left="720"/>
              <w:rPr>
                <w:sz w:val="26"/>
                <w:szCs w:val="26"/>
              </w:rPr>
            </w:pPr>
            <w:r>
              <w:rPr>
                <w:sz w:val="26"/>
                <w:szCs w:val="26"/>
              </w:rPr>
              <w:t>John F. Coleman</w:t>
            </w:r>
            <w:r w:rsidRPr="00C0451E">
              <w:rPr>
                <w:sz w:val="26"/>
                <w:szCs w:val="26"/>
              </w:rPr>
              <w:t xml:space="preserve">, </w:t>
            </w:r>
            <w:r>
              <w:rPr>
                <w:sz w:val="26"/>
                <w:szCs w:val="26"/>
              </w:rPr>
              <w:t>Jr.</w:t>
            </w:r>
          </w:p>
        </w:tc>
        <w:tc>
          <w:tcPr>
            <w:tcW w:w="2898" w:type="dxa"/>
          </w:tcPr>
          <w:p w14:paraId="1EC159BC" w14:textId="77777777" w:rsidR="00E441EC" w:rsidRPr="00C0451E" w:rsidRDefault="00E441EC" w:rsidP="00A82FC9">
            <w:pPr>
              <w:rPr>
                <w:sz w:val="26"/>
                <w:szCs w:val="26"/>
              </w:rPr>
            </w:pPr>
          </w:p>
        </w:tc>
      </w:tr>
      <w:tr w:rsidR="00350758" w:rsidRPr="00C0451E" w14:paraId="76E948E2" w14:textId="77777777" w:rsidTr="00571027">
        <w:trPr>
          <w:gridAfter w:val="2"/>
          <w:wAfter w:w="1440" w:type="dxa"/>
        </w:trPr>
        <w:tc>
          <w:tcPr>
            <w:tcW w:w="5958" w:type="dxa"/>
          </w:tcPr>
          <w:p w14:paraId="597B553E" w14:textId="77777777" w:rsidR="00350758" w:rsidRDefault="00350758" w:rsidP="00350758">
            <w:pPr>
              <w:ind w:right="342"/>
              <w:rPr>
                <w:sz w:val="26"/>
                <w:szCs w:val="26"/>
              </w:rPr>
            </w:pPr>
          </w:p>
        </w:tc>
        <w:tc>
          <w:tcPr>
            <w:tcW w:w="2898" w:type="dxa"/>
          </w:tcPr>
          <w:p w14:paraId="6B820AE8" w14:textId="77777777" w:rsidR="00350758" w:rsidRDefault="00350758" w:rsidP="00350758">
            <w:pPr>
              <w:jc w:val="center"/>
              <w:rPr>
                <w:sz w:val="26"/>
                <w:szCs w:val="26"/>
              </w:rPr>
            </w:pPr>
          </w:p>
        </w:tc>
      </w:tr>
      <w:tr w:rsidR="00350758" w:rsidRPr="00C0451E" w14:paraId="32443BE0" w14:textId="77777777" w:rsidTr="00571027">
        <w:trPr>
          <w:gridAfter w:val="2"/>
          <w:wAfter w:w="1440" w:type="dxa"/>
        </w:trPr>
        <w:tc>
          <w:tcPr>
            <w:tcW w:w="5958" w:type="dxa"/>
          </w:tcPr>
          <w:p w14:paraId="6E9E07CD" w14:textId="77777777" w:rsidR="00350758" w:rsidRDefault="00DD6924" w:rsidP="00350758">
            <w:pPr>
              <w:ind w:right="342"/>
              <w:rPr>
                <w:sz w:val="26"/>
                <w:szCs w:val="26"/>
              </w:rPr>
            </w:pPr>
            <w:r>
              <w:rPr>
                <w:sz w:val="26"/>
                <w:szCs w:val="26"/>
              </w:rPr>
              <w:t>Petition of PECO Energy Company for Waiver of Standard Interconnection Application and Agreement Forms</w:t>
            </w:r>
          </w:p>
        </w:tc>
        <w:tc>
          <w:tcPr>
            <w:tcW w:w="2898" w:type="dxa"/>
          </w:tcPr>
          <w:p w14:paraId="3F9E2D7F" w14:textId="77777777" w:rsidR="00350758" w:rsidRPr="00C0451E" w:rsidRDefault="00DD6924" w:rsidP="00350758">
            <w:pPr>
              <w:jc w:val="center"/>
              <w:rPr>
                <w:sz w:val="26"/>
                <w:szCs w:val="26"/>
              </w:rPr>
            </w:pPr>
            <w:r>
              <w:rPr>
                <w:sz w:val="26"/>
                <w:szCs w:val="26"/>
              </w:rPr>
              <w:t>P-2018-3004086</w:t>
            </w:r>
          </w:p>
        </w:tc>
      </w:tr>
    </w:tbl>
    <w:p w14:paraId="7EB9D8F0" w14:textId="77777777" w:rsidR="00D850D4" w:rsidRDefault="00D850D4">
      <w:pPr>
        <w:jc w:val="center"/>
        <w:rPr>
          <w:b/>
          <w:sz w:val="26"/>
          <w:szCs w:val="26"/>
        </w:rPr>
      </w:pPr>
    </w:p>
    <w:p w14:paraId="3AC463DA" w14:textId="77777777" w:rsidR="0037498A" w:rsidRPr="00C0451E" w:rsidRDefault="0037498A">
      <w:pPr>
        <w:jc w:val="center"/>
        <w:rPr>
          <w:b/>
          <w:sz w:val="26"/>
          <w:szCs w:val="26"/>
        </w:rPr>
      </w:pPr>
      <w:r>
        <w:rPr>
          <w:b/>
          <w:sz w:val="26"/>
          <w:szCs w:val="26"/>
        </w:rPr>
        <w:t>ORDER</w:t>
      </w:r>
    </w:p>
    <w:p w14:paraId="1B3774FE" w14:textId="77777777" w:rsidR="00E96680" w:rsidRPr="00C0451E" w:rsidRDefault="00E96680">
      <w:pPr>
        <w:spacing w:line="360" w:lineRule="auto"/>
        <w:rPr>
          <w:sz w:val="26"/>
          <w:szCs w:val="26"/>
        </w:rPr>
      </w:pPr>
    </w:p>
    <w:p w14:paraId="39900319" w14:textId="7F97F37F" w:rsidR="00DF0470" w:rsidRDefault="00DF0470" w:rsidP="00DF0470">
      <w:pPr>
        <w:pStyle w:val="p3"/>
        <w:spacing w:line="360" w:lineRule="auto"/>
        <w:rPr>
          <w:b/>
          <w:sz w:val="26"/>
          <w:szCs w:val="26"/>
        </w:rPr>
      </w:pPr>
      <w:r w:rsidRPr="00C0451E">
        <w:rPr>
          <w:b/>
          <w:sz w:val="26"/>
          <w:szCs w:val="26"/>
        </w:rPr>
        <w:t>BY THE COMMISSION:</w:t>
      </w:r>
    </w:p>
    <w:p w14:paraId="03653DF6" w14:textId="77777777" w:rsidR="002A2048" w:rsidRPr="00C0451E" w:rsidRDefault="002A2048" w:rsidP="00442639">
      <w:pPr>
        <w:pStyle w:val="p3"/>
        <w:rPr>
          <w:b/>
          <w:sz w:val="26"/>
          <w:szCs w:val="26"/>
        </w:rPr>
      </w:pPr>
    </w:p>
    <w:p w14:paraId="64D3B337" w14:textId="77777777" w:rsidR="00DD6924" w:rsidRDefault="00DF0470" w:rsidP="00DD6924">
      <w:pPr>
        <w:pStyle w:val="p3"/>
        <w:tabs>
          <w:tab w:val="clear" w:pos="204"/>
          <w:tab w:val="left" w:pos="0"/>
        </w:tabs>
        <w:spacing w:line="360" w:lineRule="auto"/>
        <w:rPr>
          <w:sz w:val="26"/>
          <w:szCs w:val="26"/>
        </w:rPr>
      </w:pPr>
      <w:r w:rsidRPr="00C0451E">
        <w:rPr>
          <w:b/>
          <w:sz w:val="26"/>
          <w:szCs w:val="26"/>
        </w:rPr>
        <w:tab/>
      </w:r>
      <w:r w:rsidR="00DD6924" w:rsidRPr="00F95595">
        <w:rPr>
          <w:sz w:val="26"/>
          <w:szCs w:val="26"/>
        </w:rPr>
        <w:t>On</w:t>
      </w:r>
      <w:r w:rsidR="00DD6924">
        <w:rPr>
          <w:sz w:val="26"/>
          <w:szCs w:val="26"/>
        </w:rPr>
        <w:t xml:space="preserve"> August 15, 2018</w:t>
      </w:r>
      <w:r w:rsidR="00DD6924" w:rsidRPr="00F95595">
        <w:rPr>
          <w:sz w:val="26"/>
          <w:szCs w:val="26"/>
        </w:rPr>
        <w:t>,</w:t>
      </w:r>
      <w:r w:rsidR="00DD6924">
        <w:rPr>
          <w:sz w:val="26"/>
          <w:szCs w:val="26"/>
        </w:rPr>
        <w:t xml:space="preserve"> PECO Energy Company</w:t>
      </w:r>
      <w:r w:rsidR="00DD6924" w:rsidRPr="00F95595">
        <w:rPr>
          <w:sz w:val="26"/>
          <w:szCs w:val="26"/>
        </w:rPr>
        <w:t xml:space="preserve"> (</w:t>
      </w:r>
      <w:r w:rsidR="00DD6924">
        <w:rPr>
          <w:sz w:val="26"/>
          <w:szCs w:val="26"/>
        </w:rPr>
        <w:t>PECO</w:t>
      </w:r>
      <w:r w:rsidR="00DD6924" w:rsidRPr="00F95595">
        <w:rPr>
          <w:sz w:val="26"/>
          <w:szCs w:val="26"/>
        </w:rPr>
        <w:t xml:space="preserve"> or the Petitioner) filed a Petition pursuant to 52 Pa. Code § 5.4</w:t>
      </w:r>
      <w:r w:rsidR="00DD6924">
        <w:rPr>
          <w:sz w:val="26"/>
          <w:szCs w:val="26"/>
        </w:rPr>
        <w:t>1</w:t>
      </w:r>
      <w:r w:rsidR="00DD6924" w:rsidRPr="00F95595">
        <w:rPr>
          <w:sz w:val="26"/>
          <w:szCs w:val="26"/>
        </w:rPr>
        <w:t xml:space="preserve"> requesting</w:t>
      </w:r>
      <w:r w:rsidR="00DD6924">
        <w:rPr>
          <w:sz w:val="26"/>
          <w:szCs w:val="26"/>
        </w:rPr>
        <w:t xml:space="preserve"> that</w:t>
      </w:r>
      <w:r w:rsidR="00DD6924" w:rsidRPr="00F95595">
        <w:rPr>
          <w:sz w:val="26"/>
          <w:szCs w:val="26"/>
        </w:rPr>
        <w:t xml:space="preserve"> the Commission approve a waiver of the use of its standardized interconnection and application agreement forms for proposed interconnection projects.</w:t>
      </w:r>
      <w:r w:rsidR="00DD6924">
        <w:rPr>
          <w:sz w:val="26"/>
          <w:szCs w:val="26"/>
        </w:rPr>
        <w:t xml:space="preserve">  PECO</w:t>
      </w:r>
      <w:r w:rsidR="00DD6924" w:rsidRPr="00F95595">
        <w:rPr>
          <w:sz w:val="26"/>
          <w:szCs w:val="26"/>
        </w:rPr>
        <w:t xml:space="preserve"> seeks a waiver from using the Commission</w:t>
      </w:r>
      <w:r w:rsidR="00DD6924">
        <w:rPr>
          <w:sz w:val="26"/>
          <w:szCs w:val="26"/>
        </w:rPr>
        <w:noBreakHyphen/>
      </w:r>
      <w:r w:rsidR="00DD6924" w:rsidRPr="00F95595">
        <w:rPr>
          <w:sz w:val="26"/>
          <w:szCs w:val="26"/>
        </w:rPr>
        <w:t xml:space="preserve">adopted standardized interconnection forms </w:t>
      </w:r>
      <w:proofErr w:type="gramStart"/>
      <w:r w:rsidR="00DD6924" w:rsidRPr="00F95595">
        <w:rPr>
          <w:sz w:val="26"/>
          <w:szCs w:val="26"/>
        </w:rPr>
        <w:t>in order to</w:t>
      </w:r>
      <w:proofErr w:type="gramEnd"/>
      <w:r w:rsidR="00DD6924" w:rsidRPr="00F95595">
        <w:rPr>
          <w:sz w:val="26"/>
          <w:szCs w:val="26"/>
        </w:rPr>
        <w:t xml:space="preserve"> accommodate the Department of Conservation and Natural Resources’ (DCNR) request to modify the existing standardized terms and conditions in the </w:t>
      </w:r>
      <w:r w:rsidR="00DD6924">
        <w:rPr>
          <w:sz w:val="26"/>
          <w:szCs w:val="26"/>
        </w:rPr>
        <w:t xml:space="preserve">interconnection </w:t>
      </w:r>
      <w:r w:rsidR="00DD6924" w:rsidRPr="00F95595">
        <w:rPr>
          <w:sz w:val="26"/>
          <w:szCs w:val="26"/>
        </w:rPr>
        <w:t xml:space="preserve">agreement.  We </w:t>
      </w:r>
      <w:r w:rsidR="00DD6924">
        <w:rPr>
          <w:sz w:val="26"/>
          <w:szCs w:val="26"/>
        </w:rPr>
        <w:t>find</w:t>
      </w:r>
      <w:r w:rsidR="00DD6924" w:rsidRPr="00F95595">
        <w:rPr>
          <w:sz w:val="26"/>
          <w:szCs w:val="26"/>
        </w:rPr>
        <w:t xml:space="preserve"> that </w:t>
      </w:r>
      <w:r w:rsidR="00DD6924">
        <w:rPr>
          <w:sz w:val="26"/>
          <w:szCs w:val="26"/>
        </w:rPr>
        <w:t>PECO</w:t>
      </w:r>
      <w:r w:rsidR="00DD6924" w:rsidRPr="006C2352">
        <w:rPr>
          <w:sz w:val="26"/>
          <w:szCs w:val="26"/>
        </w:rPr>
        <w:t xml:space="preserve"> </w:t>
      </w:r>
      <w:r w:rsidR="00DD6924" w:rsidRPr="00F95595">
        <w:rPr>
          <w:sz w:val="26"/>
          <w:szCs w:val="26"/>
        </w:rPr>
        <w:t xml:space="preserve">has presented valid reasons for the Commission to waive </w:t>
      </w:r>
      <w:r w:rsidR="00DD6924">
        <w:rPr>
          <w:sz w:val="26"/>
          <w:szCs w:val="26"/>
        </w:rPr>
        <w:t xml:space="preserve">the </w:t>
      </w:r>
      <w:r w:rsidR="00DD6924" w:rsidRPr="00F95595">
        <w:rPr>
          <w:sz w:val="26"/>
          <w:szCs w:val="26"/>
        </w:rPr>
        <w:t xml:space="preserve">use of </w:t>
      </w:r>
      <w:r w:rsidR="00DD6924">
        <w:rPr>
          <w:sz w:val="26"/>
          <w:szCs w:val="26"/>
        </w:rPr>
        <w:t xml:space="preserve">specific language in </w:t>
      </w:r>
      <w:r w:rsidR="00DD6924" w:rsidRPr="00F95595">
        <w:rPr>
          <w:sz w:val="26"/>
          <w:szCs w:val="26"/>
        </w:rPr>
        <w:t xml:space="preserve">the standardized interconnection application and agreement forms for </w:t>
      </w:r>
      <w:r w:rsidR="00DD6924">
        <w:rPr>
          <w:sz w:val="26"/>
          <w:szCs w:val="26"/>
        </w:rPr>
        <w:t>the</w:t>
      </w:r>
      <w:r w:rsidR="00DD6924" w:rsidRPr="00F95595">
        <w:rPr>
          <w:sz w:val="26"/>
          <w:szCs w:val="26"/>
        </w:rPr>
        <w:t xml:space="preserve"> </w:t>
      </w:r>
      <w:r w:rsidR="00DD6924">
        <w:rPr>
          <w:sz w:val="26"/>
          <w:szCs w:val="26"/>
        </w:rPr>
        <w:t xml:space="preserve">DCNR </w:t>
      </w:r>
      <w:r w:rsidR="00DD6924" w:rsidRPr="00F95595">
        <w:rPr>
          <w:sz w:val="26"/>
          <w:szCs w:val="26"/>
        </w:rPr>
        <w:t xml:space="preserve">Level </w:t>
      </w:r>
      <w:r w:rsidR="00DD6924">
        <w:rPr>
          <w:sz w:val="26"/>
          <w:szCs w:val="26"/>
        </w:rPr>
        <w:t>2</w:t>
      </w:r>
      <w:r w:rsidR="00DD6924" w:rsidRPr="00F95595">
        <w:rPr>
          <w:sz w:val="26"/>
          <w:szCs w:val="26"/>
        </w:rPr>
        <w:t xml:space="preserve"> interconnection project.</w:t>
      </w:r>
    </w:p>
    <w:p w14:paraId="288F3CB8" w14:textId="77777777" w:rsidR="00DD6924" w:rsidRDefault="00DD6924" w:rsidP="00DD6924">
      <w:pPr>
        <w:pStyle w:val="p3"/>
        <w:tabs>
          <w:tab w:val="clear" w:pos="204"/>
          <w:tab w:val="left" w:pos="0"/>
        </w:tabs>
        <w:spacing w:line="360" w:lineRule="auto"/>
        <w:rPr>
          <w:sz w:val="26"/>
          <w:szCs w:val="26"/>
        </w:rPr>
      </w:pPr>
    </w:p>
    <w:p w14:paraId="1A191C5D" w14:textId="77777777" w:rsidR="00DD6924" w:rsidRDefault="00DD6924" w:rsidP="00DD6924">
      <w:pPr>
        <w:pStyle w:val="p3"/>
        <w:tabs>
          <w:tab w:val="clear" w:pos="204"/>
          <w:tab w:val="left" w:pos="0"/>
        </w:tabs>
        <w:jc w:val="both"/>
        <w:rPr>
          <w:sz w:val="26"/>
          <w:szCs w:val="26"/>
        </w:rPr>
      </w:pPr>
      <w:r>
        <w:rPr>
          <w:b/>
          <w:sz w:val="26"/>
          <w:szCs w:val="26"/>
        </w:rPr>
        <w:br w:type="page"/>
      </w:r>
      <w:r>
        <w:rPr>
          <w:b/>
          <w:sz w:val="26"/>
          <w:szCs w:val="26"/>
        </w:rPr>
        <w:lastRenderedPageBreak/>
        <w:t>PECO’s Petition</w:t>
      </w:r>
    </w:p>
    <w:p w14:paraId="5061D421" w14:textId="77777777" w:rsidR="00DD6924" w:rsidRDefault="00DD6924" w:rsidP="00DD6924">
      <w:pPr>
        <w:pStyle w:val="p3"/>
        <w:tabs>
          <w:tab w:val="clear" w:pos="204"/>
          <w:tab w:val="left" w:pos="0"/>
        </w:tabs>
        <w:rPr>
          <w:sz w:val="26"/>
          <w:szCs w:val="26"/>
        </w:rPr>
      </w:pPr>
    </w:p>
    <w:p w14:paraId="5413E69B" w14:textId="77777777" w:rsidR="00DD6924" w:rsidRDefault="00DD6924" w:rsidP="00DD6924">
      <w:pPr>
        <w:pStyle w:val="p3"/>
        <w:tabs>
          <w:tab w:val="clear" w:pos="204"/>
          <w:tab w:val="left" w:pos="0"/>
        </w:tabs>
        <w:spacing w:line="360" w:lineRule="auto"/>
        <w:rPr>
          <w:kern w:val="1"/>
          <w:sz w:val="26"/>
          <w:szCs w:val="26"/>
        </w:rPr>
      </w:pPr>
      <w:r>
        <w:rPr>
          <w:sz w:val="26"/>
          <w:szCs w:val="26"/>
        </w:rPr>
        <w:tab/>
        <w:t xml:space="preserve">PECO </w:t>
      </w:r>
      <w:r>
        <w:rPr>
          <w:kern w:val="1"/>
          <w:sz w:val="26"/>
        </w:rPr>
        <w:t>states that it has received a Level 2 application and request from the DCNR to interconnect a 25</w:t>
      </w:r>
      <w:r>
        <w:rPr>
          <w:kern w:val="1"/>
          <w:sz w:val="26"/>
        </w:rPr>
        <w:noBreakHyphen/>
        <w:t xml:space="preserve">kilowatt solar photovoltaic system at Fort Washington State Park in Montgomery County, Pennsylvania.  PECO asserts that it consistently uses the standard forms adopted by the Commission for interconnection projects.  </w:t>
      </w:r>
      <w:r w:rsidRPr="00733389">
        <w:rPr>
          <w:i/>
          <w:kern w:val="1"/>
          <w:sz w:val="26"/>
        </w:rPr>
        <w:t>See Implementation of the Alternative Energy Portfolio Standards Act of 2004:  Standard Interconnection Application Forms</w:t>
      </w:r>
      <w:r>
        <w:rPr>
          <w:kern w:val="1"/>
          <w:sz w:val="26"/>
        </w:rPr>
        <w:t xml:space="preserve">, Docket No. M-00051865 (February 27, 2009).  PECO states that DCNR requested modifications to the sections dealing with Indemnification (Section 9) and Limitation of Liability (Section 10).  </w:t>
      </w:r>
      <w:r>
        <w:rPr>
          <w:kern w:val="1"/>
          <w:sz w:val="26"/>
          <w:szCs w:val="26"/>
        </w:rPr>
        <w:t>The specific modifications are as follows:</w:t>
      </w:r>
    </w:p>
    <w:p w14:paraId="1A82A260" w14:textId="77777777" w:rsidR="00DD6924" w:rsidRDefault="00DD6924" w:rsidP="00DD6924">
      <w:pPr>
        <w:pStyle w:val="p3"/>
        <w:tabs>
          <w:tab w:val="clear" w:pos="204"/>
          <w:tab w:val="left" w:pos="0"/>
        </w:tabs>
        <w:spacing w:line="360" w:lineRule="auto"/>
        <w:rPr>
          <w:sz w:val="26"/>
          <w:szCs w:val="26"/>
        </w:rPr>
      </w:pPr>
    </w:p>
    <w:p w14:paraId="209BFD17" w14:textId="77777777" w:rsidR="00DD6924" w:rsidRDefault="00DD6924" w:rsidP="00DD6924">
      <w:pPr>
        <w:tabs>
          <w:tab w:val="left" w:pos="-1440"/>
          <w:tab w:val="left" w:pos="0"/>
        </w:tabs>
        <w:suppressAutoHyphens/>
        <w:ind w:left="1440"/>
        <w:rPr>
          <w:b/>
          <w:strike/>
          <w:kern w:val="1"/>
          <w:sz w:val="26"/>
        </w:rPr>
      </w:pPr>
      <w:r w:rsidRPr="00AD537E">
        <w:rPr>
          <w:b/>
          <w:strike/>
          <w:kern w:val="1"/>
          <w:sz w:val="26"/>
        </w:rPr>
        <w:t>9)</w:t>
      </w:r>
      <w:r w:rsidRPr="00AD537E">
        <w:rPr>
          <w:b/>
          <w:strike/>
          <w:kern w:val="1"/>
          <w:sz w:val="26"/>
        </w:rPr>
        <w:tab/>
        <w:t>Indemnification.</w:t>
      </w:r>
      <w:r w:rsidRPr="007E68D4">
        <w:rPr>
          <w:strike/>
          <w:kern w:val="1"/>
          <w:sz w:val="26"/>
        </w:rPr>
        <w:t xml:space="preserve">  The Parties shall at all times indemnify, defend, and save the other Party harmless from, any and all damages, losses, claims, including claims and actions relating to injury to or death of any person or damage to property, demand, suits, recoveries, costs and expenses, court costs, attorney fees, and all other obligations by or to third parties, arising out of or resulting from the other Party's action or inactions of its obligations under these terms and conditions on behalf of the indemnifying Party, except in cases of gross negligence or intentional wrongdoing by the indemnified Party.</w:t>
      </w:r>
    </w:p>
    <w:p w14:paraId="1B492862" w14:textId="77777777" w:rsidR="00DD6924" w:rsidRDefault="00DD6924" w:rsidP="00DD6924">
      <w:pPr>
        <w:tabs>
          <w:tab w:val="left" w:pos="-1440"/>
          <w:tab w:val="left" w:pos="0"/>
        </w:tabs>
        <w:suppressAutoHyphens/>
        <w:ind w:left="1440"/>
        <w:rPr>
          <w:strike/>
          <w:kern w:val="1"/>
          <w:sz w:val="26"/>
        </w:rPr>
      </w:pPr>
    </w:p>
    <w:p w14:paraId="609F06F3" w14:textId="77777777" w:rsidR="00DD6924" w:rsidRPr="00DC735D" w:rsidRDefault="00DD6924" w:rsidP="00DD6924">
      <w:pPr>
        <w:tabs>
          <w:tab w:val="left" w:pos="-1440"/>
          <w:tab w:val="left" w:pos="0"/>
        </w:tabs>
        <w:suppressAutoHyphens/>
        <w:ind w:left="1440"/>
        <w:rPr>
          <w:kern w:val="1"/>
          <w:sz w:val="26"/>
        </w:rPr>
      </w:pPr>
      <w:r>
        <w:rPr>
          <w:b/>
          <w:kern w:val="1"/>
          <w:sz w:val="26"/>
        </w:rPr>
        <w:t>10</w:t>
      </w:r>
      <w:r w:rsidRPr="00741D93">
        <w:rPr>
          <w:b/>
          <w:kern w:val="1"/>
          <w:sz w:val="26"/>
        </w:rPr>
        <w:t>.  Limitation of Liability</w:t>
      </w:r>
      <w:r>
        <w:rPr>
          <w:b/>
          <w:kern w:val="1"/>
          <w:sz w:val="26"/>
        </w:rPr>
        <w:t>.</w:t>
      </w:r>
      <w:r>
        <w:rPr>
          <w:kern w:val="1"/>
          <w:sz w:val="26"/>
        </w:rPr>
        <w:t xml:space="preserve"> </w:t>
      </w:r>
      <w:r w:rsidRPr="006C1FC3">
        <w:rPr>
          <w:kern w:val="1"/>
          <w:sz w:val="26"/>
        </w:rPr>
        <w:t xml:space="preserve"> Each party’s liability to the other party for any loss, cost, claim, injury, liability, or expense, </w:t>
      </w:r>
      <w:r>
        <w:rPr>
          <w:kern w:val="1"/>
          <w:sz w:val="26"/>
          <w:u w:val="single"/>
        </w:rPr>
        <w:t>excluding payment of any</w:t>
      </w:r>
      <w:r>
        <w:rPr>
          <w:kern w:val="1"/>
          <w:sz w:val="26"/>
        </w:rPr>
        <w:t xml:space="preserve"> </w:t>
      </w:r>
      <w:r w:rsidRPr="00232AA5">
        <w:rPr>
          <w:strike/>
          <w:kern w:val="1"/>
          <w:sz w:val="26"/>
        </w:rPr>
        <w:t>including reasonable</w:t>
      </w:r>
      <w:r w:rsidRPr="006C1FC3">
        <w:rPr>
          <w:kern w:val="1"/>
          <w:sz w:val="26"/>
        </w:rPr>
        <w:t xml:space="preserve"> attorney’s fees, relating to or arising from any act or omission in its performance of these terms and conditions, shall be limited to the amount of direct damage </w:t>
      </w:r>
      <w:proofErr w:type="gramStart"/>
      <w:r w:rsidRPr="006C1FC3">
        <w:rPr>
          <w:kern w:val="1"/>
          <w:sz w:val="26"/>
        </w:rPr>
        <w:t>actually incurred</w:t>
      </w:r>
      <w:proofErr w:type="gramEnd"/>
      <w:r w:rsidRPr="006C1FC3">
        <w:rPr>
          <w:kern w:val="1"/>
          <w:sz w:val="26"/>
        </w:rPr>
        <w:t xml:space="preserve">.  </w:t>
      </w:r>
      <w:r w:rsidRPr="003562AA">
        <w:rPr>
          <w:kern w:val="26"/>
          <w:sz w:val="26"/>
        </w:rPr>
        <w:t>In no event shall either party be liable to the other party for any indirect, incidental, special, consequential, or punitive damages of any kind whatsoever.</w:t>
      </w:r>
      <w:r w:rsidRPr="006C1FC3">
        <w:rPr>
          <w:kern w:val="1"/>
          <w:sz w:val="26"/>
        </w:rPr>
        <w:t xml:space="preserve">  </w:t>
      </w:r>
    </w:p>
    <w:p w14:paraId="4FDA7FD4" w14:textId="77777777" w:rsidR="00DD6924" w:rsidRDefault="00DD6924" w:rsidP="00DD6924">
      <w:pPr>
        <w:pStyle w:val="p3"/>
        <w:tabs>
          <w:tab w:val="clear" w:pos="204"/>
          <w:tab w:val="left" w:pos="0"/>
        </w:tabs>
        <w:spacing w:line="360" w:lineRule="auto"/>
        <w:rPr>
          <w:sz w:val="26"/>
          <w:szCs w:val="26"/>
        </w:rPr>
      </w:pPr>
    </w:p>
    <w:p w14:paraId="0C66C2E8" w14:textId="77777777" w:rsidR="00DD6924" w:rsidRDefault="00DD6924" w:rsidP="00DD6924">
      <w:pPr>
        <w:overflowPunct/>
        <w:autoSpaceDE/>
        <w:autoSpaceDN/>
        <w:adjustRightInd/>
        <w:textAlignment w:val="auto"/>
        <w:rPr>
          <w:sz w:val="26"/>
          <w:szCs w:val="26"/>
        </w:rPr>
      </w:pPr>
      <w:r>
        <w:rPr>
          <w:b/>
          <w:sz w:val="26"/>
          <w:szCs w:val="26"/>
        </w:rPr>
        <w:t>Discussion</w:t>
      </w:r>
    </w:p>
    <w:p w14:paraId="5D4FFE6B" w14:textId="77777777" w:rsidR="00DD6924" w:rsidRDefault="00DD6924" w:rsidP="00DD6924">
      <w:pPr>
        <w:pStyle w:val="p3"/>
        <w:tabs>
          <w:tab w:val="left" w:pos="0"/>
        </w:tabs>
        <w:rPr>
          <w:sz w:val="26"/>
          <w:szCs w:val="26"/>
        </w:rPr>
      </w:pPr>
    </w:p>
    <w:p w14:paraId="60E03B4A" w14:textId="77777777" w:rsidR="00DD6924" w:rsidRPr="00884BBB" w:rsidRDefault="00DD6924" w:rsidP="00DD6924">
      <w:pPr>
        <w:pStyle w:val="p3"/>
        <w:tabs>
          <w:tab w:val="clear" w:pos="204"/>
          <w:tab w:val="left" w:pos="0"/>
        </w:tabs>
        <w:spacing w:line="360" w:lineRule="auto"/>
        <w:rPr>
          <w:sz w:val="26"/>
          <w:szCs w:val="26"/>
        </w:rPr>
      </w:pPr>
      <w:r>
        <w:rPr>
          <w:sz w:val="26"/>
          <w:szCs w:val="26"/>
        </w:rPr>
        <w:tab/>
      </w:r>
      <w:r w:rsidRPr="00884BBB">
        <w:rPr>
          <w:sz w:val="26"/>
          <w:szCs w:val="26"/>
        </w:rPr>
        <w:t>The Commission has exclusive regulatory jurisdiction over the implementation of public utilities and seeks, where possible, to establish statewide standardization of all facets of operation of public utilities.  By Order entered February 27, 2009, the Commission established standardized interconnection application and agreement forms in accordance with the Alternative Energy Portfolio Standards Act of 2004 (AEPS Act), 73</w:t>
      </w:r>
      <w:r>
        <w:rPr>
          <w:sz w:val="26"/>
          <w:szCs w:val="26"/>
        </w:rPr>
        <w:t> </w:t>
      </w:r>
      <w:r w:rsidRPr="00884BBB">
        <w:rPr>
          <w:sz w:val="26"/>
          <w:szCs w:val="26"/>
        </w:rPr>
        <w:t>P.S.</w:t>
      </w:r>
      <w:r>
        <w:rPr>
          <w:sz w:val="26"/>
          <w:szCs w:val="26"/>
        </w:rPr>
        <w:t> </w:t>
      </w:r>
      <w:r w:rsidRPr="00884BBB">
        <w:rPr>
          <w:sz w:val="26"/>
          <w:szCs w:val="26"/>
        </w:rPr>
        <w:t>§§</w:t>
      </w:r>
      <w:r>
        <w:rPr>
          <w:sz w:val="26"/>
          <w:szCs w:val="26"/>
        </w:rPr>
        <w:t> </w:t>
      </w:r>
      <w:r w:rsidRPr="00756F4D">
        <w:rPr>
          <w:sz w:val="26"/>
          <w:szCs w:val="26"/>
        </w:rPr>
        <w:t>1648.1-1648.8</w:t>
      </w:r>
      <w:r w:rsidRPr="00884BBB">
        <w:rPr>
          <w:sz w:val="26"/>
          <w:szCs w:val="26"/>
        </w:rPr>
        <w:t>, and our Regulations at 52</w:t>
      </w:r>
      <w:r>
        <w:rPr>
          <w:sz w:val="26"/>
          <w:szCs w:val="26"/>
        </w:rPr>
        <w:t> </w:t>
      </w:r>
      <w:r w:rsidRPr="00884BBB">
        <w:rPr>
          <w:sz w:val="26"/>
          <w:szCs w:val="26"/>
        </w:rPr>
        <w:t>Pa.</w:t>
      </w:r>
      <w:r>
        <w:rPr>
          <w:sz w:val="26"/>
          <w:szCs w:val="26"/>
        </w:rPr>
        <w:t> </w:t>
      </w:r>
      <w:r w:rsidRPr="00884BBB">
        <w:rPr>
          <w:sz w:val="26"/>
          <w:szCs w:val="26"/>
        </w:rPr>
        <w:t>Code §§</w:t>
      </w:r>
      <w:r>
        <w:rPr>
          <w:sz w:val="26"/>
          <w:szCs w:val="26"/>
        </w:rPr>
        <w:t> </w:t>
      </w:r>
      <w:r w:rsidRPr="00756F4D">
        <w:rPr>
          <w:sz w:val="26"/>
          <w:szCs w:val="26"/>
        </w:rPr>
        <w:t>75.1 – 75.51</w:t>
      </w:r>
      <w:r w:rsidRPr="00884BBB">
        <w:rPr>
          <w:sz w:val="26"/>
          <w:szCs w:val="26"/>
        </w:rPr>
        <w:t xml:space="preserve">.  The standard application and agreement forms are intended to be used for all levels of review for proposed </w:t>
      </w:r>
      <w:r>
        <w:rPr>
          <w:sz w:val="26"/>
          <w:szCs w:val="26"/>
        </w:rPr>
        <w:t xml:space="preserve">alternative energy source </w:t>
      </w:r>
      <w:r w:rsidRPr="00884BBB">
        <w:rPr>
          <w:sz w:val="26"/>
          <w:szCs w:val="26"/>
        </w:rPr>
        <w:t xml:space="preserve">interconnection projects.  The Commission directed that the standard interconnection application and agreement forms are to be used by jurisdictional electric distribution companies (EDCs) for processing interconnection requests brought under the Commission’s Regulations at 52 Pa. Code §§ 75.1 through 75.51.  </w:t>
      </w:r>
    </w:p>
    <w:p w14:paraId="154F7FB8" w14:textId="77777777" w:rsidR="00DD6924" w:rsidRPr="00884BBB" w:rsidRDefault="00DD6924" w:rsidP="00DD6924">
      <w:pPr>
        <w:pStyle w:val="p3"/>
        <w:tabs>
          <w:tab w:val="left" w:pos="0"/>
        </w:tabs>
        <w:spacing w:line="360" w:lineRule="auto"/>
        <w:rPr>
          <w:sz w:val="26"/>
          <w:szCs w:val="26"/>
        </w:rPr>
      </w:pPr>
    </w:p>
    <w:p w14:paraId="25E376A9" w14:textId="77777777" w:rsidR="00DD6924" w:rsidRPr="00884BBB" w:rsidRDefault="00DD6924" w:rsidP="00DD6924">
      <w:pPr>
        <w:pStyle w:val="p3"/>
        <w:tabs>
          <w:tab w:val="clear" w:pos="204"/>
          <w:tab w:val="left" w:pos="0"/>
        </w:tabs>
        <w:spacing w:line="360" w:lineRule="auto"/>
        <w:rPr>
          <w:sz w:val="26"/>
          <w:szCs w:val="26"/>
        </w:rPr>
      </w:pPr>
      <w:r>
        <w:rPr>
          <w:sz w:val="26"/>
          <w:szCs w:val="26"/>
        </w:rPr>
        <w:tab/>
      </w:r>
      <w:r w:rsidRPr="00884BBB">
        <w:rPr>
          <w:sz w:val="26"/>
          <w:szCs w:val="26"/>
        </w:rPr>
        <w:t>The Interconnection Agreements for Levels 1-4 contain specific limitations on liability and indemnification provisions.  Since the Commission approved the provisions set within these standardized forms and directed their use by EDCs for all levels of interconnection projects, the Commission is the appropriate forum</w:t>
      </w:r>
      <w:r>
        <w:rPr>
          <w:sz w:val="26"/>
          <w:szCs w:val="26"/>
        </w:rPr>
        <w:t xml:space="preserve"> for PECO</w:t>
      </w:r>
      <w:r w:rsidRPr="00884BBB">
        <w:rPr>
          <w:sz w:val="26"/>
          <w:szCs w:val="26"/>
        </w:rPr>
        <w:t xml:space="preserve"> to seek</w:t>
      </w:r>
      <w:r>
        <w:rPr>
          <w:sz w:val="26"/>
          <w:szCs w:val="26"/>
        </w:rPr>
        <w:t xml:space="preserve"> permission</w:t>
      </w:r>
      <w:r w:rsidRPr="00884BBB">
        <w:rPr>
          <w:sz w:val="26"/>
          <w:szCs w:val="26"/>
        </w:rPr>
        <w:t xml:space="preserve"> to deviat</w:t>
      </w:r>
      <w:r>
        <w:rPr>
          <w:sz w:val="26"/>
          <w:szCs w:val="26"/>
        </w:rPr>
        <w:t>e</w:t>
      </w:r>
      <w:r w:rsidRPr="00884BBB">
        <w:rPr>
          <w:sz w:val="26"/>
          <w:szCs w:val="26"/>
        </w:rPr>
        <w:t xml:space="preserve"> from the standardized interconnection agreement forms.</w:t>
      </w:r>
    </w:p>
    <w:p w14:paraId="224BE971" w14:textId="77777777" w:rsidR="00DD6924" w:rsidRDefault="00DD6924" w:rsidP="00DD6924">
      <w:pPr>
        <w:pStyle w:val="p3"/>
        <w:tabs>
          <w:tab w:val="clear" w:pos="204"/>
          <w:tab w:val="left" w:pos="0"/>
        </w:tabs>
        <w:spacing w:line="360" w:lineRule="auto"/>
        <w:rPr>
          <w:sz w:val="26"/>
          <w:szCs w:val="26"/>
        </w:rPr>
      </w:pPr>
    </w:p>
    <w:p w14:paraId="554768CB" w14:textId="77777777" w:rsidR="00DD6924" w:rsidRDefault="00DD6924" w:rsidP="00DD6924">
      <w:pPr>
        <w:pStyle w:val="p3"/>
        <w:tabs>
          <w:tab w:val="clear" w:pos="204"/>
          <w:tab w:val="left" w:pos="0"/>
        </w:tabs>
        <w:spacing w:line="360" w:lineRule="auto"/>
        <w:rPr>
          <w:sz w:val="26"/>
          <w:szCs w:val="26"/>
        </w:rPr>
      </w:pPr>
      <w:r>
        <w:rPr>
          <w:sz w:val="26"/>
          <w:szCs w:val="26"/>
        </w:rPr>
        <w:tab/>
        <w:t>In its supplemental filing to a previous docket concerning the same issues,</w:t>
      </w:r>
      <w:r>
        <w:rPr>
          <w:rStyle w:val="FootnoteReference"/>
          <w:sz w:val="26"/>
          <w:szCs w:val="26"/>
        </w:rPr>
        <w:footnoteReference w:id="1"/>
      </w:r>
      <w:r>
        <w:rPr>
          <w:sz w:val="26"/>
          <w:szCs w:val="26"/>
        </w:rPr>
        <w:t xml:space="preserve"> </w:t>
      </w:r>
      <w:r w:rsidRPr="00884BBB">
        <w:rPr>
          <w:sz w:val="26"/>
          <w:szCs w:val="26"/>
        </w:rPr>
        <w:t xml:space="preserve">DCNR </w:t>
      </w:r>
      <w:r>
        <w:rPr>
          <w:sz w:val="26"/>
          <w:szCs w:val="26"/>
        </w:rPr>
        <w:t>asserted that, as an executive agency, it is legally prohibited from assuming responsibility for indemnifying third parties because such an indemnification would expose the Commonwealth to tort liability beyond the areas of tort and contractual</w:t>
      </w:r>
      <w:r w:rsidRPr="00706175">
        <w:rPr>
          <w:sz w:val="26"/>
          <w:szCs w:val="26"/>
        </w:rPr>
        <w:t xml:space="preserve"> </w:t>
      </w:r>
      <w:r>
        <w:rPr>
          <w:sz w:val="26"/>
          <w:szCs w:val="26"/>
        </w:rPr>
        <w:t xml:space="preserve">liability that the General Assembly has waived under 42 Pa. C.S.A. § 8522(b) and 62 Pa. C.S. § 1702 respectively.  </w:t>
      </w:r>
      <w:r w:rsidRPr="00884BBB">
        <w:rPr>
          <w:sz w:val="26"/>
          <w:szCs w:val="26"/>
        </w:rPr>
        <w:t>In addition, DCNR stated that the same rationale also prohibits it from assuming any potential liability to pay attorney fees of another party.</w:t>
      </w:r>
      <w:r>
        <w:rPr>
          <w:rStyle w:val="FootnoteReference"/>
          <w:sz w:val="26"/>
          <w:szCs w:val="26"/>
        </w:rPr>
        <w:footnoteReference w:id="2"/>
      </w:r>
      <w:r w:rsidRPr="00884BBB">
        <w:rPr>
          <w:sz w:val="26"/>
          <w:szCs w:val="26"/>
        </w:rPr>
        <w:t xml:space="preserve">  </w:t>
      </w:r>
    </w:p>
    <w:p w14:paraId="2F8C1E4C" w14:textId="77777777" w:rsidR="00DD6924" w:rsidRPr="00884BBB" w:rsidRDefault="00DD6924" w:rsidP="00DD6924">
      <w:pPr>
        <w:pStyle w:val="p3"/>
        <w:tabs>
          <w:tab w:val="clear" w:pos="204"/>
          <w:tab w:val="left" w:pos="0"/>
        </w:tabs>
        <w:spacing w:line="360" w:lineRule="auto"/>
        <w:rPr>
          <w:sz w:val="26"/>
          <w:szCs w:val="26"/>
        </w:rPr>
      </w:pPr>
    </w:p>
    <w:p w14:paraId="2D730853" w14:textId="77777777" w:rsidR="00DD6924" w:rsidRPr="00884BBB" w:rsidRDefault="00DD6924" w:rsidP="00DD6924">
      <w:pPr>
        <w:pStyle w:val="p3"/>
        <w:tabs>
          <w:tab w:val="clear" w:pos="204"/>
          <w:tab w:val="left" w:pos="0"/>
        </w:tabs>
        <w:spacing w:line="360" w:lineRule="auto"/>
        <w:rPr>
          <w:sz w:val="26"/>
          <w:szCs w:val="26"/>
        </w:rPr>
      </w:pPr>
      <w:r>
        <w:rPr>
          <w:sz w:val="26"/>
          <w:szCs w:val="26"/>
        </w:rPr>
        <w:tab/>
      </w:r>
      <w:r w:rsidRPr="00884BBB">
        <w:rPr>
          <w:sz w:val="26"/>
          <w:szCs w:val="26"/>
        </w:rPr>
        <w:t>It is well-settled that the Commonwealth of Pennsylvania, its officials and agencies are entitled to statutory sovereign immunity as set forth in 1 Pa. C.S. § 2310.  The DCNR is a state agency of the Commonwealth of Pennsylvania that is tasked with maintaining and preserving the 1</w:t>
      </w:r>
      <w:r>
        <w:rPr>
          <w:sz w:val="26"/>
          <w:szCs w:val="26"/>
        </w:rPr>
        <w:t>21</w:t>
      </w:r>
      <w:r w:rsidRPr="00884BBB">
        <w:rPr>
          <w:sz w:val="26"/>
          <w:szCs w:val="26"/>
        </w:rPr>
        <w:t xml:space="preserve"> state parks; managing the 2.</w:t>
      </w:r>
      <w:r>
        <w:rPr>
          <w:sz w:val="26"/>
          <w:szCs w:val="26"/>
        </w:rPr>
        <w:t>2</w:t>
      </w:r>
      <w:r w:rsidRPr="00884BBB">
        <w:rPr>
          <w:sz w:val="26"/>
          <w:szCs w:val="26"/>
        </w:rPr>
        <w:t xml:space="preserve"> million acres of state forest land; providing information on the state's ecological and geologic resources; and establishing community conservation partnerships with grants and technical assistance to benefit rivers, trails, greenways, local parks and recreation, regional heritage parks, open space</w:t>
      </w:r>
      <w:r>
        <w:rPr>
          <w:sz w:val="26"/>
          <w:szCs w:val="26"/>
        </w:rPr>
        <w:t>,</w:t>
      </w:r>
      <w:r w:rsidRPr="00884BBB">
        <w:rPr>
          <w:sz w:val="26"/>
          <w:szCs w:val="26"/>
        </w:rPr>
        <w:t xml:space="preserve"> and natural areas under the Conservation and Natural Resources Act, 71</w:t>
      </w:r>
      <w:r>
        <w:rPr>
          <w:sz w:val="26"/>
          <w:szCs w:val="26"/>
        </w:rPr>
        <w:t> </w:t>
      </w:r>
      <w:r w:rsidRPr="00884BBB">
        <w:rPr>
          <w:sz w:val="26"/>
          <w:szCs w:val="26"/>
        </w:rPr>
        <w:t>P.S.</w:t>
      </w:r>
      <w:r>
        <w:rPr>
          <w:sz w:val="26"/>
          <w:szCs w:val="26"/>
        </w:rPr>
        <w:t> </w:t>
      </w:r>
      <w:r w:rsidRPr="00884BBB">
        <w:rPr>
          <w:sz w:val="26"/>
          <w:szCs w:val="26"/>
        </w:rPr>
        <w:t>§§</w:t>
      </w:r>
      <w:r>
        <w:rPr>
          <w:sz w:val="26"/>
          <w:szCs w:val="26"/>
        </w:rPr>
        <w:t> </w:t>
      </w:r>
      <w:r w:rsidRPr="00884BBB">
        <w:rPr>
          <w:sz w:val="26"/>
          <w:szCs w:val="26"/>
        </w:rPr>
        <w:t>1340.101 et. seq.  Thus, the DCNR is a Commonwealth agency for purposes of the Sovereign Immunity Act.  42 Pa. C.S. §§ 8521-28.  As a result, DCNR is insulated from liability except in certain specified circumstances where the General Assembly has waived sovereign immunity protection</w:t>
      </w:r>
      <w:r>
        <w:rPr>
          <w:sz w:val="26"/>
          <w:szCs w:val="26"/>
        </w:rPr>
        <w:t xml:space="preserve"> for specified torts</w:t>
      </w:r>
      <w:r w:rsidRPr="00884BBB">
        <w:rPr>
          <w:sz w:val="26"/>
          <w:szCs w:val="26"/>
        </w:rPr>
        <w:t xml:space="preserve">.  </w:t>
      </w:r>
      <w:r w:rsidRPr="00FA4394">
        <w:rPr>
          <w:i/>
          <w:sz w:val="26"/>
          <w:szCs w:val="26"/>
        </w:rPr>
        <w:t>See</w:t>
      </w:r>
      <w:r w:rsidRPr="00884BBB">
        <w:rPr>
          <w:sz w:val="26"/>
          <w:szCs w:val="26"/>
        </w:rPr>
        <w:t xml:space="preserve"> 42</w:t>
      </w:r>
      <w:r>
        <w:rPr>
          <w:sz w:val="26"/>
          <w:szCs w:val="26"/>
        </w:rPr>
        <w:t> </w:t>
      </w:r>
      <w:r w:rsidRPr="00884BBB">
        <w:rPr>
          <w:sz w:val="26"/>
          <w:szCs w:val="26"/>
        </w:rPr>
        <w:t>Pa.</w:t>
      </w:r>
      <w:r>
        <w:rPr>
          <w:sz w:val="26"/>
          <w:szCs w:val="26"/>
        </w:rPr>
        <w:t> </w:t>
      </w:r>
      <w:r w:rsidRPr="00884BBB">
        <w:rPr>
          <w:sz w:val="26"/>
          <w:szCs w:val="26"/>
        </w:rPr>
        <w:t>C.S.</w:t>
      </w:r>
      <w:r>
        <w:rPr>
          <w:sz w:val="26"/>
          <w:szCs w:val="26"/>
        </w:rPr>
        <w:t> </w:t>
      </w:r>
      <w:r w:rsidRPr="00884BBB">
        <w:rPr>
          <w:sz w:val="26"/>
          <w:szCs w:val="26"/>
        </w:rPr>
        <w:t>§§</w:t>
      </w:r>
      <w:r>
        <w:rPr>
          <w:sz w:val="26"/>
          <w:szCs w:val="26"/>
        </w:rPr>
        <w:t> </w:t>
      </w:r>
      <w:r w:rsidRPr="00884BBB">
        <w:rPr>
          <w:sz w:val="26"/>
          <w:szCs w:val="26"/>
        </w:rPr>
        <w:t>8521(a); 8522(a) and (b).</w:t>
      </w:r>
    </w:p>
    <w:p w14:paraId="31133344" w14:textId="77777777" w:rsidR="00DD6924" w:rsidRPr="00884BBB" w:rsidRDefault="00DD6924" w:rsidP="00DD6924">
      <w:pPr>
        <w:pStyle w:val="p3"/>
        <w:tabs>
          <w:tab w:val="clear" w:pos="204"/>
          <w:tab w:val="left" w:pos="0"/>
        </w:tabs>
        <w:spacing w:line="360" w:lineRule="auto"/>
        <w:rPr>
          <w:sz w:val="26"/>
          <w:szCs w:val="26"/>
        </w:rPr>
      </w:pPr>
    </w:p>
    <w:p w14:paraId="48A28CBF" w14:textId="77777777" w:rsidR="00DD6924" w:rsidRPr="00884BBB" w:rsidRDefault="00DD6924" w:rsidP="00B81B5A">
      <w:pPr>
        <w:pStyle w:val="p3"/>
        <w:tabs>
          <w:tab w:val="clear" w:pos="204"/>
          <w:tab w:val="left" w:pos="0"/>
          <w:tab w:val="left" w:pos="720"/>
        </w:tabs>
        <w:spacing w:line="360" w:lineRule="auto"/>
        <w:rPr>
          <w:sz w:val="26"/>
          <w:szCs w:val="26"/>
        </w:rPr>
      </w:pPr>
      <w:r>
        <w:rPr>
          <w:sz w:val="26"/>
          <w:szCs w:val="26"/>
        </w:rPr>
        <w:tab/>
        <w:t xml:space="preserve">DCNR’s prior supplemental filing arguments remain valid, and we </w:t>
      </w:r>
      <w:r w:rsidRPr="00FC42CB">
        <w:rPr>
          <w:sz w:val="26"/>
          <w:szCs w:val="26"/>
        </w:rPr>
        <w:t>agree that it is appropriate to</w:t>
      </w:r>
      <w:r>
        <w:rPr>
          <w:sz w:val="26"/>
          <w:szCs w:val="26"/>
        </w:rPr>
        <w:t xml:space="preserve"> remove</w:t>
      </w:r>
      <w:r w:rsidRPr="00FC42CB">
        <w:rPr>
          <w:sz w:val="26"/>
          <w:szCs w:val="26"/>
        </w:rPr>
        <w:t xml:space="preserve"> the Indemnification and </w:t>
      </w:r>
      <w:r>
        <w:rPr>
          <w:sz w:val="26"/>
          <w:szCs w:val="26"/>
        </w:rPr>
        <w:t xml:space="preserve">modify the </w:t>
      </w:r>
      <w:r w:rsidRPr="00FC42CB">
        <w:rPr>
          <w:sz w:val="26"/>
          <w:szCs w:val="26"/>
        </w:rPr>
        <w:t xml:space="preserve">Limitation of Liability provisions set forth in the standardized interconnection agreements used by </w:t>
      </w:r>
      <w:r>
        <w:rPr>
          <w:sz w:val="26"/>
          <w:szCs w:val="26"/>
        </w:rPr>
        <w:t>PECO</w:t>
      </w:r>
      <w:r w:rsidRPr="00FC42CB">
        <w:rPr>
          <w:sz w:val="26"/>
          <w:szCs w:val="26"/>
        </w:rPr>
        <w:t xml:space="preserve"> for th</w:t>
      </w:r>
      <w:r>
        <w:rPr>
          <w:sz w:val="26"/>
          <w:szCs w:val="26"/>
        </w:rPr>
        <w:t>is</w:t>
      </w:r>
      <w:r w:rsidRPr="00FC42CB">
        <w:rPr>
          <w:sz w:val="26"/>
          <w:szCs w:val="26"/>
        </w:rPr>
        <w:t xml:space="preserve"> </w:t>
      </w:r>
      <w:proofErr w:type="gramStart"/>
      <w:r w:rsidRPr="00FC42CB">
        <w:rPr>
          <w:sz w:val="26"/>
          <w:szCs w:val="26"/>
        </w:rPr>
        <w:t>particular</w:t>
      </w:r>
      <w:r w:rsidRPr="00884BBB">
        <w:rPr>
          <w:sz w:val="26"/>
          <w:szCs w:val="26"/>
        </w:rPr>
        <w:t xml:space="preserve"> </w:t>
      </w:r>
      <w:r>
        <w:rPr>
          <w:sz w:val="26"/>
          <w:szCs w:val="26"/>
        </w:rPr>
        <w:t>DCNR</w:t>
      </w:r>
      <w:proofErr w:type="gramEnd"/>
      <w:r>
        <w:rPr>
          <w:sz w:val="26"/>
          <w:szCs w:val="26"/>
        </w:rPr>
        <w:t xml:space="preserve"> </w:t>
      </w:r>
      <w:r w:rsidRPr="00884BBB">
        <w:rPr>
          <w:sz w:val="26"/>
          <w:szCs w:val="26"/>
        </w:rPr>
        <w:t>interconnection project.  Retaining the indemnification clause in the standardized interconnection agreement with DCNR would have the effect of placing the Commonwealth, its assets and the Pennsylvania General Fund at risk</w:t>
      </w:r>
      <w:r>
        <w:rPr>
          <w:sz w:val="26"/>
          <w:szCs w:val="26"/>
        </w:rPr>
        <w:t>,</w:t>
      </w:r>
      <w:r w:rsidRPr="00884BBB">
        <w:rPr>
          <w:sz w:val="26"/>
          <w:szCs w:val="26"/>
        </w:rPr>
        <w:t xml:space="preserve"> </w:t>
      </w:r>
      <w:r>
        <w:rPr>
          <w:sz w:val="26"/>
          <w:szCs w:val="26"/>
        </w:rPr>
        <w:t>as the</w:t>
      </w:r>
      <w:r w:rsidRPr="00884BBB">
        <w:rPr>
          <w:sz w:val="26"/>
          <w:szCs w:val="26"/>
        </w:rPr>
        <w:t xml:space="preserve"> indemnification clause would expose the Commonwealth to liability for tort actions beyond what is statutorily allowed.  The purpose of sovereign immunity is to provide special protection against the loss of assets held in common for many people, specifically Pennsylvania citizens now and in the future, for the performance of vital government functions.  </w:t>
      </w:r>
    </w:p>
    <w:p w14:paraId="1EFE5B72" w14:textId="77777777" w:rsidR="00DD6924" w:rsidRDefault="00DD6924" w:rsidP="00DD6924">
      <w:pPr>
        <w:pStyle w:val="p3"/>
        <w:tabs>
          <w:tab w:val="clear" w:pos="204"/>
          <w:tab w:val="left" w:pos="0"/>
        </w:tabs>
        <w:spacing w:line="360" w:lineRule="auto"/>
        <w:rPr>
          <w:sz w:val="26"/>
          <w:szCs w:val="26"/>
        </w:rPr>
      </w:pPr>
    </w:p>
    <w:p w14:paraId="1F06F903" w14:textId="77777777" w:rsidR="00DD6924" w:rsidRPr="00884BBB" w:rsidRDefault="00DD6924" w:rsidP="00DD6924">
      <w:pPr>
        <w:pStyle w:val="p3"/>
        <w:tabs>
          <w:tab w:val="clear" w:pos="204"/>
          <w:tab w:val="left" w:pos="0"/>
        </w:tabs>
        <w:spacing w:line="360" w:lineRule="auto"/>
        <w:rPr>
          <w:sz w:val="26"/>
          <w:szCs w:val="26"/>
        </w:rPr>
      </w:pPr>
      <w:r>
        <w:rPr>
          <w:sz w:val="26"/>
          <w:szCs w:val="26"/>
        </w:rPr>
        <w:tab/>
      </w:r>
      <w:r w:rsidRPr="00884BBB">
        <w:rPr>
          <w:sz w:val="26"/>
          <w:szCs w:val="26"/>
        </w:rPr>
        <w:t xml:space="preserve">Moreover, we also note that the exceptions to sovereign immunity under the </w:t>
      </w:r>
      <w:r w:rsidRPr="00CF009C">
        <w:rPr>
          <w:i/>
          <w:sz w:val="26"/>
          <w:szCs w:val="26"/>
        </w:rPr>
        <w:t>Sovereign Immunity Act</w:t>
      </w:r>
      <w:r w:rsidRPr="00884BBB">
        <w:rPr>
          <w:sz w:val="26"/>
          <w:szCs w:val="26"/>
        </w:rPr>
        <w:t xml:space="preserve"> are to be strictly construed and are the only instances where immunization from liability for Commonwealth agencies is waived.  </w:t>
      </w:r>
      <w:r w:rsidRPr="001454F6">
        <w:rPr>
          <w:i/>
          <w:sz w:val="26"/>
          <w:szCs w:val="26"/>
        </w:rPr>
        <w:t>See</w:t>
      </w:r>
      <w:r w:rsidRPr="00884BBB">
        <w:rPr>
          <w:sz w:val="26"/>
          <w:szCs w:val="26"/>
        </w:rPr>
        <w:t xml:space="preserve"> 42</w:t>
      </w:r>
      <w:r>
        <w:rPr>
          <w:sz w:val="26"/>
          <w:szCs w:val="26"/>
        </w:rPr>
        <w:t> </w:t>
      </w:r>
      <w:r w:rsidRPr="00884BBB">
        <w:rPr>
          <w:sz w:val="26"/>
          <w:szCs w:val="26"/>
        </w:rPr>
        <w:t>Pa.</w:t>
      </w:r>
      <w:r>
        <w:rPr>
          <w:sz w:val="26"/>
          <w:szCs w:val="26"/>
        </w:rPr>
        <w:t> </w:t>
      </w:r>
      <w:r w:rsidRPr="00884BBB">
        <w:rPr>
          <w:sz w:val="26"/>
          <w:szCs w:val="26"/>
        </w:rPr>
        <w:t>C.S.</w:t>
      </w:r>
      <w:r>
        <w:rPr>
          <w:sz w:val="26"/>
          <w:szCs w:val="26"/>
        </w:rPr>
        <w:t> </w:t>
      </w:r>
      <w:r w:rsidRPr="00884BBB">
        <w:rPr>
          <w:sz w:val="26"/>
          <w:szCs w:val="26"/>
        </w:rPr>
        <w:t>§§</w:t>
      </w:r>
      <w:r>
        <w:rPr>
          <w:sz w:val="26"/>
          <w:szCs w:val="26"/>
        </w:rPr>
        <w:t> </w:t>
      </w:r>
      <w:r w:rsidRPr="00884BBB">
        <w:rPr>
          <w:sz w:val="26"/>
          <w:szCs w:val="26"/>
        </w:rPr>
        <w:t xml:space="preserve">8521(a); 8522(a) and (b).  There is no waiver exception of sovereign immunity in those instances where a state agency enters into an interconnection </w:t>
      </w:r>
      <w:r>
        <w:rPr>
          <w:sz w:val="26"/>
          <w:szCs w:val="26"/>
        </w:rPr>
        <w:t>agreement</w:t>
      </w:r>
      <w:r w:rsidRPr="00884BBB">
        <w:rPr>
          <w:sz w:val="26"/>
          <w:szCs w:val="26"/>
        </w:rPr>
        <w:t xml:space="preserve"> with a public utility.  We also agree that nothing in the Procurement Code generally</w:t>
      </w:r>
      <w:r>
        <w:rPr>
          <w:sz w:val="26"/>
          <w:szCs w:val="26"/>
        </w:rPr>
        <w:t>,</w:t>
      </w:r>
      <w:r w:rsidRPr="00884BBB">
        <w:rPr>
          <w:sz w:val="26"/>
          <w:szCs w:val="26"/>
        </w:rPr>
        <w:t xml:space="preserve"> addresses tort liability and decline to read such an exception therein.  Accordingly, we agree that requiring DCNR to execute the standardized interconnection agreement form that retains the Indemnification and Limitation of Liability provisions would constitute a waiver of sovereign immunity.</w:t>
      </w:r>
    </w:p>
    <w:p w14:paraId="698B9E56" w14:textId="77777777" w:rsidR="00DD6924" w:rsidRPr="00884BBB" w:rsidRDefault="00DD6924" w:rsidP="00DD6924">
      <w:pPr>
        <w:pStyle w:val="p3"/>
        <w:tabs>
          <w:tab w:val="clear" w:pos="204"/>
          <w:tab w:val="left" w:pos="0"/>
        </w:tabs>
        <w:spacing w:line="360" w:lineRule="auto"/>
        <w:rPr>
          <w:sz w:val="26"/>
          <w:szCs w:val="26"/>
        </w:rPr>
      </w:pPr>
    </w:p>
    <w:p w14:paraId="2C463690" w14:textId="77777777" w:rsidR="00DD6924" w:rsidRPr="009F63B9" w:rsidRDefault="00DD6924" w:rsidP="00DD6924">
      <w:pPr>
        <w:pStyle w:val="p3"/>
        <w:tabs>
          <w:tab w:val="clear" w:pos="204"/>
          <w:tab w:val="left" w:pos="0"/>
        </w:tabs>
        <w:rPr>
          <w:b/>
          <w:sz w:val="26"/>
          <w:szCs w:val="26"/>
        </w:rPr>
      </w:pPr>
      <w:r w:rsidRPr="009F63B9">
        <w:rPr>
          <w:b/>
          <w:sz w:val="26"/>
          <w:szCs w:val="26"/>
        </w:rPr>
        <w:t>Conclusion</w:t>
      </w:r>
    </w:p>
    <w:p w14:paraId="1CA80CAE" w14:textId="77777777" w:rsidR="00DD6924" w:rsidRDefault="00DD6924" w:rsidP="00DD6924">
      <w:pPr>
        <w:pStyle w:val="p3"/>
        <w:tabs>
          <w:tab w:val="clear" w:pos="204"/>
          <w:tab w:val="left" w:pos="0"/>
        </w:tabs>
        <w:rPr>
          <w:sz w:val="26"/>
          <w:szCs w:val="26"/>
        </w:rPr>
      </w:pPr>
    </w:p>
    <w:p w14:paraId="75FB24EE" w14:textId="77777777" w:rsidR="00DD6924" w:rsidRPr="00C0451E" w:rsidRDefault="00DD6924" w:rsidP="00DD6924">
      <w:pPr>
        <w:pStyle w:val="p3"/>
        <w:tabs>
          <w:tab w:val="clear" w:pos="204"/>
          <w:tab w:val="left" w:pos="0"/>
        </w:tabs>
        <w:spacing w:line="360" w:lineRule="auto"/>
        <w:rPr>
          <w:b/>
          <w:sz w:val="26"/>
          <w:szCs w:val="26"/>
        </w:rPr>
      </w:pPr>
      <w:r>
        <w:rPr>
          <w:sz w:val="26"/>
          <w:szCs w:val="26"/>
        </w:rPr>
        <w:tab/>
      </w:r>
      <w:r w:rsidRPr="00884BBB">
        <w:rPr>
          <w:sz w:val="26"/>
          <w:szCs w:val="26"/>
        </w:rPr>
        <w:t xml:space="preserve">Based upon Pennsylvania case law and the strict construction of the exceptions to sovereign immunity, we find that Petitioner’s reasons for seeking waiver are valid.  Accordingly, we </w:t>
      </w:r>
      <w:r>
        <w:rPr>
          <w:sz w:val="26"/>
          <w:szCs w:val="26"/>
        </w:rPr>
        <w:t>find</w:t>
      </w:r>
      <w:r w:rsidRPr="00884BBB">
        <w:rPr>
          <w:sz w:val="26"/>
          <w:szCs w:val="26"/>
        </w:rPr>
        <w:t xml:space="preserve"> it is in the public interest to grant </w:t>
      </w:r>
      <w:r>
        <w:rPr>
          <w:sz w:val="26"/>
          <w:szCs w:val="26"/>
        </w:rPr>
        <w:t>PECO</w:t>
      </w:r>
      <w:r w:rsidRPr="00884BBB">
        <w:rPr>
          <w:sz w:val="26"/>
          <w:szCs w:val="26"/>
        </w:rPr>
        <w:t>’s petition.  Granting</w:t>
      </w:r>
      <w:r>
        <w:rPr>
          <w:sz w:val="26"/>
          <w:szCs w:val="26"/>
        </w:rPr>
        <w:t xml:space="preserve"> PECO</w:t>
      </w:r>
      <w:r w:rsidRPr="00884BBB">
        <w:rPr>
          <w:sz w:val="26"/>
          <w:szCs w:val="26"/>
        </w:rPr>
        <w:t xml:space="preserve">’s request with respect to </w:t>
      </w:r>
      <w:r>
        <w:rPr>
          <w:sz w:val="26"/>
          <w:szCs w:val="26"/>
        </w:rPr>
        <w:t>this DCNR</w:t>
      </w:r>
      <w:r w:rsidRPr="00884BBB">
        <w:rPr>
          <w:sz w:val="26"/>
          <w:szCs w:val="26"/>
        </w:rPr>
        <w:t xml:space="preserve"> interconnection project protects the functions of government from litigation and damage claims</w:t>
      </w:r>
      <w:r>
        <w:rPr>
          <w:sz w:val="26"/>
          <w:szCs w:val="26"/>
        </w:rPr>
        <w:t xml:space="preserve">; </w:t>
      </w:r>
      <w:r w:rsidRPr="00C0451E">
        <w:rPr>
          <w:b/>
          <w:sz w:val="26"/>
          <w:szCs w:val="26"/>
        </w:rPr>
        <w:t>THEREFORE,</w:t>
      </w:r>
    </w:p>
    <w:p w14:paraId="3EC4C7BB" w14:textId="77777777" w:rsidR="00DD6924" w:rsidRPr="00C0451E" w:rsidRDefault="00DD6924" w:rsidP="00DD6924">
      <w:pPr>
        <w:tabs>
          <w:tab w:val="left" w:pos="0"/>
          <w:tab w:val="left" w:pos="742"/>
        </w:tabs>
        <w:spacing w:line="360" w:lineRule="auto"/>
        <w:rPr>
          <w:sz w:val="26"/>
          <w:szCs w:val="26"/>
        </w:rPr>
      </w:pPr>
    </w:p>
    <w:p w14:paraId="1E2F21C9" w14:textId="77777777" w:rsidR="00DD6924" w:rsidRDefault="00DD6924" w:rsidP="00DD6924">
      <w:pPr>
        <w:tabs>
          <w:tab w:val="left" w:pos="0"/>
        </w:tabs>
        <w:spacing w:line="360" w:lineRule="auto"/>
        <w:rPr>
          <w:b/>
          <w:bCs/>
          <w:sz w:val="26"/>
          <w:szCs w:val="26"/>
        </w:rPr>
      </w:pPr>
      <w:r w:rsidRPr="00C0451E">
        <w:rPr>
          <w:b/>
          <w:bCs/>
          <w:sz w:val="26"/>
          <w:szCs w:val="26"/>
        </w:rPr>
        <w:tab/>
        <w:t>IT IS ORDERED:</w:t>
      </w:r>
    </w:p>
    <w:p w14:paraId="112FCF20" w14:textId="77777777" w:rsidR="00B81B5A" w:rsidRDefault="00B81B5A" w:rsidP="00442639">
      <w:pPr>
        <w:tabs>
          <w:tab w:val="left" w:pos="0"/>
        </w:tabs>
        <w:rPr>
          <w:b/>
          <w:bCs/>
          <w:sz w:val="26"/>
          <w:szCs w:val="26"/>
        </w:rPr>
      </w:pPr>
    </w:p>
    <w:p w14:paraId="7229AD74" w14:textId="77777777" w:rsidR="00DD6924" w:rsidRDefault="00DD6924" w:rsidP="00B81B5A">
      <w:pPr>
        <w:numPr>
          <w:ilvl w:val="0"/>
          <w:numId w:val="2"/>
        </w:numPr>
        <w:tabs>
          <w:tab w:val="left" w:pos="-1440"/>
        </w:tabs>
        <w:suppressAutoHyphens/>
        <w:spacing w:line="360" w:lineRule="auto"/>
        <w:ind w:left="1440" w:hanging="720"/>
        <w:rPr>
          <w:kern w:val="1"/>
          <w:sz w:val="26"/>
        </w:rPr>
      </w:pPr>
      <w:r>
        <w:rPr>
          <w:kern w:val="1"/>
          <w:sz w:val="26"/>
        </w:rPr>
        <w:t xml:space="preserve">That PECO Power Company is granted a limited waiver of the use of </w:t>
      </w:r>
    </w:p>
    <w:p w14:paraId="43F02923" w14:textId="77777777" w:rsidR="00DD6924" w:rsidRDefault="00DD6924" w:rsidP="00DD6924">
      <w:pPr>
        <w:tabs>
          <w:tab w:val="left" w:pos="-1440"/>
        </w:tabs>
        <w:suppressAutoHyphens/>
        <w:spacing w:line="360" w:lineRule="auto"/>
        <w:rPr>
          <w:kern w:val="1"/>
          <w:sz w:val="26"/>
        </w:rPr>
      </w:pPr>
      <w:r>
        <w:rPr>
          <w:kern w:val="1"/>
          <w:sz w:val="26"/>
        </w:rPr>
        <w:t xml:space="preserve">the standardized interconnection forms established by the Commission in the proceeding at Docket No. </w:t>
      </w:r>
      <w:r w:rsidRPr="00B7542C">
        <w:rPr>
          <w:kern w:val="1"/>
          <w:sz w:val="26"/>
        </w:rPr>
        <w:t>M-00051865</w:t>
      </w:r>
      <w:r>
        <w:rPr>
          <w:kern w:val="1"/>
          <w:sz w:val="26"/>
        </w:rPr>
        <w:t>.</w:t>
      </w:r>
    </w:p>
    <w:p w14:paraId="6F66F010" w14:textId="77777777" w:rsidR="00DD6924" w:rsidRDefault="00DD6924" w:rsidP="00DD6924">
      <w:pPr>
        <w:tabs>
          <w:tab w:val="left" w:pos="-1440"/>
        </w:tabs>
        <w:suppressAutoHyphens/>
        <w:spacing w:line="360" w:lineRule="auto"/>
        <w:rPr>
          <w:kern w:val="1"/>
          <w:sz w:val="26"/>
        </w:rPr>
      </w:pPr>
    </w:p>
    <w:p w14:paraId="5B149989" w14:textId="77777777" w:rsidR="00DD6924" w:rsidRDefault="00DD6924" w:rsidP="00975C1F">
      <w:pPr>
        <w:tabs>
          <w:tab w:val="left" w:pos="-1440"/>
          <w:tab w:val="left" w:pos="720"/>
        </w:tabs>
        <w:suppressAutoHyphens/>
        <w:spacing w:line="360" w:lineRule="auto"/>
        <w:rPr>
          <w:kern w:val="1"/>
          <w:sz w:val="26"/>
        </w:rPr>
      </w:pPr>
      <w:r>
        <w:rPr>
          <w:kern w:val="1"/>
          <w:sz w:val="26"/>
        </w:rPr>
        <w:tab/>
        <w:t>2.</w:t>
      </w:r>
      <w:r>
        <w:rPr>
          <w:kern w:val="1"/>
          <w:sz w:val="26"/>
        </w:rPr>
        <w:tab/>
        <w:t>That PECO</w:t>
      </w:r>
      <w:r w:rsidRPr="003A0216">
        <w:rPr>
          <w:kern w:val="1"/>
          <w:sz w:val="26"/>
        </w:rPr>
        <w:t xml:space="preserve"> Power Company </w:t>
      </w:r>
      <w:r>
        <w:rPr>
          <w:kern w:val="1"/>
          <w:sz w:val="26"/>
        </w:rPr>
        <w:t>is permitted to strike in its entirety the Indemnification provision (Section 9) of the standardized interconnection application and agreement form.</w:t>
      </w:r>
    </w:p>
    <w:p w14:paraId="40530332" w14:textId="77777777" w:rsidR="00DD6924" w:rsidRDefault="00DD6924" w:rsidP="00DD6924">
      <w:pPr>
        <w:tabs>
          <w:tab w:val="left" w:pos="-1440"/>
        </w:tabs>
        <w:suppressAutoHyphens/>
        <w:spacing w:line="360" w:lineRule="auto"/>
        <w:rPr>
          <w:kern w:val="1"/>
          <w:sz w:val="26"/>
        </w:rPr>
      </w:pPr>
    </w:p>
    <w:p w14:paraId="4BAE7A9E" w14:textId="77777777" w:rsidR="00DD6924" w:rsidRDefault="00DD6924" w:rsidP="00DD6924">
      <w:pPr>
        <w:tabs>
          <w:tab w:val="left" w:pos="-1440"/>
        </w:tabs>
        <w:suppressAutoHyphens/>
        <w:spacing w:line="360" w:lineRule="auto"/>
        <w:rPr>
          <w:kern w:val="1"/>
          <w:sz w:val="26"/>
        </w:rPr>
      </w:pPr>
      <w:r>
        <w:rPr>
          <w:kern w:val="1"/>
          <w:sz w:val="26"/>
        </w:rPr>
        <w:tab/>
        <w:t xml:space="preserve">3.  </w:t>
      </w:r>
      <w:r>
        <w:rPr>
          <w:kern w:val="1"/>
          <w:sz w:val="26"/>
        </w:rPr>
        <w:tab/>
        <w:t>That PECO</w:t>
      </w:r>
      <w:r w:rsidRPr="00E02496">
        <w:rPr>
          <w:kern w:val="1"/>
          <w:sz w:val="26"/>
        </w:rPr>
        <w:t xml:space="preserve"> Power Company </w:t>
      </w:r>
      <w:r>
        <w:rPr>
          <w:kern w:val="1"/>
          <w:sz w:val="26"/>
        </w:rPr>
        <w:t>is permitted to modify the Limitation of Liability provision (Section 10) of the standardized interconnection application and agreement from by removing the reference to payment of attorney’s fees of another party.</w:t>
      </w:r>
    </w:p>
    <w:p w14:paraId="7FA2D6FC" w14:textId="77777777" w:rsidR="00DD6924" w:rsidRDefault="00DD6924" w:rsidP="00DD6924">
      <w:pPr>
        <w:tabs>
          <w:tab w:val="left" w:pos="-1440"/>
        </w:tabs>
        <w:suppressAutoHyphens/>
        <w:spacing w:line="360" w:lineRule="auto"/>
        <w:rPr>
          <w:kern w:val="1"/>
          <w:sz w:val="26"/>
        </w:rPr>
      </w:pPr>
    </w:p>
    <w:p w14:paraId="251E8EB7" w14:textId="40BA257F" w:rsidR="00DD6924" w:rsidRDefault="00DD6924" w:rsidP="00975C1F">
      <w:pPr>
        <w:tabs>
          <w:tab w:val="left" w:pos="-1440"/>
          <w:tab w:val="left" w:pos="1440"/>
        </w:tabs>
        <w:suppressAutoHyphens/>
        <w:spacing w:line="360" w:lineRule="auto"/>
        <w:ind w:firstLine="720"/>
        <w:rPr>
          <w:kern w:val="1"/>
          <w:sz w:val="26"/>
        </w:rPr>
      </w:pPr>
      <w:r>
        <w:rPr>
          <w:kern w:val="1"/>
          <w:sz w:val="26"/>
        </w:rPr>
        <w:t>4.</w:t>
      </w:r>
      <w:r>
        <w:rPr>
          <w:kern w:val="1"/>
          <w:sz w:val="26"/>
        </w:rPr>
        <w:tab/>
        <w:t xml:space="preserve">That this waiver is only applicable to the Department of Conservation and Natural Resources’ Level 2 request to interconnect a </w:t>
      </w:r>
      <w:r w:rsidRPr="00ED7040">
        <w:rPr>
          <w:kern w:val="1"/>
          <w:sz w:val="26"/>
        </w:rPr>
        <w:t>2</w:t>
      </w:r>
      <w:r>
        <w:rPr>
          <w:kern w:val="1"/>
          <w:sz w:val="26"/>
        </w:rPr>
        <w:t>5</w:t>
      </w:r>
      <w:r>
        <w:rPr>
          <w:kern w:val="1"/>
          <w:sz w:val="26"/>
        </w:rPr>
        <w:noBreakHyphen/>
        <w:t>kilowatt</w:t>
      </w:r>
      <w:r w:rsidRPr="00ED7040">
        <w:rPr>
          <w:kern w:val="1"/>
          <w:sz w:val="26"/>
        </w:rPr>
        <w:t xml:space="preserve"> solar photovoltaic system at </w:t>
      </w:r>
      <w:r>
        <w:rPr>
          <w:kern w:val="1"/>
          <w:sz w:val="26"/>
        </w:rPr>
        <w:t>Fort Washington</w:t>
      </w:r>
      <w:r w:rsidRPr="00ED7040">
        <w:rPr>
          <w:kern w:val="1"/>
          <w:sz w:val="26"/>
        </w:rPr>
        <w:t xml:space="preserve"> State Park in </w:t>
      </w:r>
      <w:r>
        <w:rPr>
          <w:kern w:val="1"/>
          <w:sz w:val="26"/>
        </w:rPr>
        <w:t>Montgomery</w:t>
      </w:r>
      <w:r w:rsidRPr="00ED7040">
        <w:rPr>
          <w:kern w:val="1"/>
          <w:sz w:val="26"/>
        </w:rPr>
        <w:t xml:space="preserve"> County, Pennsylvania</w:t>
      </w:r>
      <w:r>
        <w:rPr>
          <w:kern w:val="1"/>
          <w:sz w:val="26"/>
        </w:rPr>
        <w:t>.</w:t>
      </w:r>
    </w:p>
    <w:p w14:paraId="403D4E7B" w14:textId="77777777" w:rsidR="00975C1F" w:rsidRDefault="00975C1F" w:rsidP="00B81B5A">
      <w:pPr>
        <w:tabs>
          <w:tab w:val="left" w:pos="-1440"/>
          <w:tab w:val="left" w:pos="1440"/>
        </w:tabs>
        <w:suppressAutoHyphens/>
        <w:spacing w:line="360" w:lineRule="auto"/>
        <w:ind w:firstLine="576"/>
        <w:rPr>
          <w:kern w:val="1"/>
          <w:sz w:val="26"/>
        </w:rPr>
      </w:pPr>
    </w:p>
    <w:p w14:paraId="2055BE0D" w14:textId="77777777" w:rsidR="00E96680" w:rsidRPr="00C0451E" w:rsidRDefault="00DD6924" w:rsidP="00975C1F">
      <w:pPr>
        <w:pStyle w:val="p3"/>
        <w:tabs>
          <w:tab w:val="clear" w:pos="204"/>
          <w:tab w:val="left" w:pos="1440"/>
        </w:tabs>
        <w:spacing w:line="360" w:lineRule="auto"/>
        <w:ind w:firstLine="720"/>
        <w:rPr>
          <w:sz w:val="26"/>
          <w:szCs w:val="26"/>
        </w:rPr>
      </w:pPr>
      <w:r>
        <w:rPr>
          <w:kern w:val="1"/>
          <w:sz w:val="26"/>
        </w:rPr>
        <w:t>5.</w:t>
      </w:r>
      <w:r>
        <w:rPr>
          <w:kern w:val="1"/>
          <w:sz w:val="26"/>
        </w:rPr>
        <w:tab/>
        <w:t xml:space="preserve">That the matter at Docket No. </w:t>
      </w:r>
      <w:r w:rsidRPr="009800E1">
        <w:rPr>
          <w:kern w:val="1"/>
          <w:sz w:val="26"/>
        </w:rPr>
        <w:t>P-2018-</w:t>
      </w:r>
      <w:r>
        <w:t>3004086</w:t>
      </w:r>
      <w:r>
        <w:rPr>
          <w:kern w:val="1"/>
          <w:sz w:val="26"/>
        </w:rPr>
        <w:t xml:space="preserve"> be marked closed.</w:t>
      </w:r>
      <w:r w:rsidR="00E96680" w:rsidRPr="00C0451E">
        <w:rPr>
          <w:sz w:val="26"/>
          <w:szCs w:val="26"/>
        </w:rPr>
        <w:tab/>
      </w:r>
    </w:p>
    <w:p w14:paraId="1468BBB6" w14:textId="77777777" w:rsidR="00DF0470" w:rsidRPr="00C0451E" w:rsidRDefault="00DF0470" w:rsidP="00DF0470">
      <w:pPr>
        <w:tabs>
          <w:tab w:val="left" w:pos="4320"/>
        </w:tabs>
        <w:rPr>
          <w:sz w:val="26"/>
          <w:szCs w:val="26"/>
        </w:rPr>
      </w:pPr>
      <w:r w:rsidRPr="00C0451E">
        <w:rPr>
          <w:sz w:val="26"/>
          <w:szCs w:val="26"/>
        </w:rPr>
        <w:tab/>
      </w:r>
      <w:r w:rsidRPr="00C0451E">
        <w:rPr>
          <w:sz w:val="26"/>
          <w:szCs w:val="26"/>
        </w:rPr>
        <w:tab/>
      </w:r>
      <w:r w:rsidRPr="00C0451E">
        <w:rPr>
          <w:sz w:val="26"/>
          <w:szCs w:val="26"/>
        </w:rPr>
        <w:tab/>
      </w:r>
    </w:p>
    <w:p w14:paraId="10F5F76F" w14:textId="7A3C41A7" w:rsidR="00DF0470" w:rsidRPr="00C0451E" w:rsidRDefault="00783907" w:rsidP="00DF0470">
      <w:pPr>
        <w:tabs>
          <w:tab w:val="left" w:pos="742"/>
        </w:tabs>
        <w:rPr>
          <w:sz w:val="26"/>
          <w:szCs w:val="26"/>
        </w:rPr>
      </w:pPr>
      <w:bookmarkStart w:id="0" w:name="_GoBack"/>
      <w:r w:rsidRPr="009F01BA">
        <w:rPr>
          <w:b/>
          <w:noProof/>
          <w:sz w:val="20"/>
        </w:rPr>
        <w:drawing>
          <wp:anchor distT="0" distB="0" distL="114300" distR="114300" simplePos="0" relativeHeight="251659264" behindDoc="1" locked="0" layoutInCell="1" allowOverlap="1" wp14:anchorId="03E6CB13" wp14:editId="25159A3B">
            <wp:simplePos x="0" y="0"/>
            <wp:positionH relativeFrom="column">
              <wp:posOffset>3257550</wp:posOffset>
            </wp:positionH>
            <wp:positionV relativeFrom="paragraph">
              <wp:posOffset>130810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47220749" w14:textId="4101CC15" w:rsidR="00DF0470" w:rsidRPr="00C0451E" w:rsidRDefault="00DF0470" w:rsidP="00DF0470">
      <w:pPr>
        <w:pStyle w:val="p17"/>
        <w:ind w:left="5057"/>
        <w:rPr>
          <w:b/>
          <w:bCs/>
          <w:sz w:val="26"/>
          <w:szCs w:val="26"/>
        </w:rPr>
      </w:pPr>
      <w:r w:rsidRPr="00C0451E">
        <w:rPr>
          <w:b/>
          <w:bCs/>
          <w:sz w:val="26"/>
          <w:szCs w:val="26"/>
        </w:rPr>
        <w:t>BY THE COMMISSION</w:t>
      </w:r>
    </w:p>
    <w:p w14:paraId="7F7E4A91" w14:textId="34F63BA9" w:rsidR="00DF0470" w:rsidRPr="00C0451E" w:rsidRDefault="00DF0470" w:rsidP="00DF0470">
      <w:pPr>
        <w:tabs>
          <w:tab w:val="left" w:pos="5057"/>
        </w:tabs>
        <w:rPr>
          <w:bCs/>
          <w:sz w:val="26"/>
          <w:szCs w:val="26"/>
        </w:rPr>
      </w:pPr>
    </w:p>
    <w:p w14:paraId="2AFF8EB8" w14:textId="74AB889F" w:rsidR="00DF0470" w:rsidRPr="00C0451E" w:rsidRDefault="00DF0470" w:rsidP="00DF0470">
      <w:pPr>
        <w:tabs>
          <w:tab w:val="left" w:pos="5057"/>
        </w:tabs>
        <w:rPr>
          <w:b/>
          <w:bCs/>
          <w:sz w:val="26"/>
          <w:szCs w:val="26"/>
        </w:rPr>
      </w:pPr>
    </w:p>
    <w:p w14:paraId="2912EE01" w14:textId="5B4B7E61" w:rsidR="00DF0470" w:rsidRPr="00C0451E" w:rsidRDefault="00DF0470" w:rsidP="00DF0470">
      <w:pPr>
        <w:tabs>
          <w:tab w:val="left" w:pos="5057"/>
        </w:tabs>
        <w:rPr>
          <w:b/>
          <w:bCs/>
          <w:sz w:val="26"/>
          <w:szCs w:val="26"/>
        </w:rPr>
      </w:pPr>
    </w:p>
    <w:p w14:paraId="564168F0" w14:textId="77777777" w:rsidR="0022503C" w:rsidRPr="00C0451E" w:rsidRDefault="0022503C" w:rsidP="00DF0470">
      <w:pPr>
        <w:pStyle w:val="p18"/>
        <w:ind w:left="5062"/>
        <w:rPr>
          <w:sz w:val="26"/>
          <w:szCs w:val="26"/>
        </w:rPr>
      </w:pPr>
      <w:r w:rsidRPr="00C0451E">
        <w:rPr>
          <w:sz w:val="26"/>
          <w:szCs w:val="26"/>
        </w:rPr>
        <w:t>Rosemary Chiavetta</w:t>
      </w:r>
    </w:p>
    <w:p w14:paraId="2663B174" w14:textId="77777777" w:rsidR="00DF0470" w:rsidRPr="00C0451E" w:rsidRDefault="00DF0470" w:rsidP="00DF0470">
      <w:pPr>
        <w:pStyle w:val="p18"/>
        <w:ind w:left="5062"/>
        <w:rPr>
          <w:sz w:val="26"/>
          <w:szCs w:val="26"/>
        </w:rPr>
      </w:pPr>
      <w:r w:rsidRPr="00C0451E">
        <w:rPr>
          <w:sz w:val="26"/>
          <w:szCs w:val="26"/>
        </w:rPr>
        <w:t>Secretary</w:t>
      </w:r>
    </w:p>
    <w:p w14:paraId="599B890E" w14:textId="60F5C86D" w:rsidR="00DF0470" w:rsidRDefault="00DF0470" w:rsidP="00DF0470">
      <w:pPr>
        <w:tabs>
          <w:tab w:val="left" w:pos="5062"/>
        </w:tabs>
        <w:rPr>
          <w:sz w:val="26"/>
          <w:szCs w:val="26"/>
        </w:rPr>
      </w:pPr>
    </w:p>
    <w:p w14:paraId="5016F8B4" w14:textId="77777777" w:rsidR="00975C1F" w:rsidRPr="00C0451E" w:rsidRDefault="00975C1F" w:rsidP="00DF0470">
      <w:pPr>
        <w:tabs>
          <w:tab w:val="left" w:pos="5062"/>
        </w:tabs>
        <w:rPr>
          <w:sz w:val="26"/>
          <w:szCs w:val="26"/>
        </w:rPr>
      </w:pPr>
    </w:p>
    <w:p w14:paraId="3EE5B6BA" w14:textId="77777777" w:rsidR="00DF0470" w:rsidRPr="00C0451E" w:rsidRDefault="00DF0470" w:rsidP="00DF0470">
      <w:pPr>
        <w:pStyle w:val="p14"/>
        <w:rPr>
          <w:sz w:val="26"/>
          <w:szCs w:val="26"/>
        </w:rPr>
      </w:pPr>
      <w:r w:rsidRPr="00C0451E">
        <w:rPr>
          <w:sz w:val="26"/>
          <w:szCs w:val="26"/>
        </w:rPr>
        <w:t>(SEAL)</w:t>
      </w:r>
    </w:p>
    <w:p w14:paraId="0D9FD2D8" w14:textId="77777777" w:rsidR="00DF0470" w:rsidRPr="00C0451E" w:rsidRDefault="00DF0470" w:rsidP="00DF0470">
      <w:pPr>
        <w:tabs>
          <w:tab w:val="left" w:pos="204"/>
        </w:tabs>
        <w:rPr>
          <w:sz w:val="26"/>
          <w:szCs w:val="26"/>
        </w:rPr>
      </w:pPr>
    </w:p>
    <w:p w14:paraId="476850B5" w14:textId="77777777" w:rsidR="00DF0470" w:rsidRPr="00C0451E" w:rsidRDefault="00DF0470" w:rsidP="00BE499A">
      <w:pPr>
        <w:pStyle w:val="p14"/>
        <w:rPr>
          <w:sz w:val="26"/>
          <w:szCs w:val="26"/>
        </w:rPr>
      </w:pPr>
      <w:r w:rsidRPr="00C0451E">
        <w:rPr>
          <w:sz w:val="26"/>
          <w:szCs w:val="26"/>
        </w:rPr>
        <w:t xml:space="preserve">ORDER ADOPTED:  </w:t>
      </w:r>
      <w:r w:rsidR="00DD6924">
        <w:rPr>
          <w:sz w:val="26"/>
          <w:szCs w:val="26"/>
        </w:rPr>
        <w:t>September 20, 2018</w:t>
      </w:r>
    </w:p>
    <w:p w14:paraId="07ECF7FD" w14:textId="77777777" w:rsidR="00BE499A" w:rsidRPr="00C0451E" w:rsidRDefault="00BE499A" w:rsidP="00BE499A">
      <w:pPr>
        <w:pStyle w:val="p14"/>
        <w:rPr>
          <w:sz w:val="26"/>
          <w:szCs w:val="26"/>
        </w:rPr>
      </w:pPr>
    </w:p>
    <w:p w14:paraId="28F25C49" w14:textId="2FB3A95F" w:rsidR="00CD6C97" w:rsidRPr="00C0451E" w:rsidRDefault="00DF0470" w:rsidP="005A7356">
      <w:pPr>
        <w:pStyle w:val="p14"/>
        <w:rPr>
          <w:sz w:val="26"/>
          <w:szCs w:val="26"/>
        </w:rPr>
      </w:pPr>
      <w:r w:rsidRPr="00C0451E">
        <w:rPr>
          <w:sz w:val="26"/>
          <w:szCs w:val="26"/>
        </w:rPr>
        <w:t xml:space="preserve">ORDER ENTERED:  </w:t>
      </w:r>
      <w:r w:rsidR="00783907">
        <w:rPr>
          <w:sz w:val="26"/>
          <w:szCs w:val="26"/>
        </w:rPr>
        <w:t>September 20, 2018</w:t>
      </w:r>
    </w:p>
    <w:sectPr w:rsidR="00CD6C97" w:rsidRPr="00C0451E" w:rsidSect="00D83182">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F0716" w14:textId="77777777" w:rsidR="00C61F13" w:rsidRDefault="00C61F13">
      <w:r>
        <w:separator/>
      </w:r>
    </w:p>
  </w:endnote>
  <w:endnote w:type="continuationSeparator" w:id="0">
    <w:p w14:paraId="17CB2222" w14:textId="77777777" w:rsidR="00C61F13" w:rsidRDefault="00C6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5DE17" w14:textId="77777777" w:rsidR="006A01F9" w:rsidRDefault="006A0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D61D0E" w14:textId="77777777" w:rsidR="006A01F9" w:rsidRDefault="006A0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41976" w14:textId="77777777" w:rsidR="006A01F9" w:rsidRDefault="006A01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99A">
      <w:rPr>
        <w:rStyle w:val="PageNumber"/>
        <w:noProof/>
      </w:rPr>
      <w:t>2</w:t>
    </w:r>
    <w:r>
      <w:rPr>
        <w:rStyle w:val="PageNumber"/>
      </w:rPr>
      <w:fldChar w:fldCharType="end"/>
    </w:r>
  </w:p>
  <w:p w14:paraId="6091A473" w14:textId="77777777" w:rsidR="006A01F9" w:rsidRDefault="006A01F9" w:rsidP="00F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8C270" w14:textId="77777777" w:rsidR="00C61F13" w:rsidRDefault="00C61F13">
      <w:r>
        <w:separator/>
      </w:r>
    </w:p>
  </w:footnote>
  <w:footnote w:type="continuationSeparator" w:id="0">
    <w:p w14:paraId="5BCD1FD4" w14:textId="77777777" w:rsidR="00C61F13" w:rsidRDefault="00C61F13">
      <w:r>
        <w:continuationSeparator/>
      </w:r>
    </w:p>
  </w:footnote>
  <w:footnote w:id="1">
    <w:p w14:paraId="1D3DEA63" w14:textId="77777777" w:rsidR="00DD6924" w:rsidRPr="007325FD" w:rsidRDefault="00DD6924" w:rsidP="00DD6924">
      <w:pPr>
        <w:pStyle w:val="FootnoteText"/>
        <w:rPr>
          <w:sz w:val="22"/>
          <w:szCs w:val="22"/>
        </w:rPr>
      </w:pPr>
      <w:r w:rsidRPr="007325FD">
        <w:rPr>
          <w:rStyle w:val="FootnoteReference"/>
          <w:sz w:val="22"/>
          <w:szCs w:val="22"/>
        </w:rPr>
        <w:footnoteRef/>
      </w:r>
      <w:r w:rsidRPr="007325FD">
        <w:rPr>
          <w:sz w:val="22"/>
          <w:szCs w:val="22"/>
        </w:rPr>
        <w:t xml:space="preserve"> </w:t>
      </w:r>
      <w:r w:rsidRPr="007325FD">
        <w:rPr>
          <w:i/>
          <w:sz w:val="22"/>
          <w:szCs w:val="22"/>
        </w:rPr>
        <w:t>Petition of Metropolitan Edison Company for Waiver of Standard Interconnection Application and Agreement Forms</w:t>
      </w:r>
      <w:r w:rsidRPr="007325FD">
        <w:rPr>
          <w:sz w:val="22"/>
          <w:szCs w:val="22"/>
        </w:rPr>
        <w:t>, Docket No. P-2011-2238314 (October 28, 2011).</w:t>
      </w:r>
    </w:p>
  </w:footnote>
  <w:footnote w:id="2">
    <w:p w14:paraId="6B5599AD" w14:textId="77777777" w:rsidR="00DD6924" w:rsidRPr="007325FD" w:rsidRDefault="00DD6924" w:rsidP="00DD6924">
      <w:pPr>
        <w:pStyle w:val="FootnoteText"/>
        <w:rPr>
          <w:sz w:val="22"/>
          <w:szCs w:val="22"/>
        </w:rPr>
      </w:pPr>
      <w:r w:rsidRPr="007325FD">
        <w:rPr>
          <w:rStyle w:val="FootnoteReference"/>
          <w:sz w:val="22"/>
          <w:szCs w:val="22"/>
        </w:rPr>
        <w:footnoteRef/>
      </w:r>
      <w:r w:rsidRPr="007325FD">
        <w:rPr>
          <w:sz w:val="22"/>
          <w:szCs w:val="22"/>
        </w:rPr>
        <w:t xml:space="preserve"> Supplemental Filing of DCNR at 2, </w:t>
      </w:r>
      <w:r w:rsidRPr="007325FD">
        <w:rPr>
          <w:i/>
          <w:sz w:val="22"/>
          <w:szCs w:val="22"/>
        </w:rPr>
        <w:t>Petition of Metropolitan Edison Company for Waiver of Standard Interconnection Application and Agreement Forms</w:t>
      </w:r>
      <w:r w:rsidRPr="007325FD">
        <w:rPr>
          <w:sz w:val="22"/>
          <w:szCs w:val="22"/>
        </w:rPr>
        <w:t>, Docket No. P-2011-2238314.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4E0F48"/>
    <w:lvl w:ilvl="0">
      <w:numFmt w:val="bullet"/>
      <w:lvlText w:val="*"/>
      <w:lvlJc w:val="left"/>
      <w:pPr>
        <w:ind w:left="0" w:firstLine="0"/>
      </w:pPr>
    </w:lvl>
  </w:abstractNum>
  <w:abstractNum w:abstractNumId="1" w15:restartNumberingAfterBreak="0">
    <w:nsid w:val="15271FBD"/>
    <w:multiLevelType w:val="hybridMultilevel"/>
    <w:tmpl w:val="43F0AEEC"/>
    <w:lvl w:ilvl="0" w:tplc="2BF6E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D4"/>
    <w:rsid w:val="0000186B"/>
    <w:rsid w:val="00005703"/>
    <w:rsid w:val="00061E62"/>
    <w:rsid w:val="000675A4"/>
    <w:rsid w:val="000811B9"/>
    <w:rsid w:val="00092C0A"/>
    <w:rsid w:val="000A6AC7"/>
    <w:rsid w:val="000C0BC0"/>
    <w:rsid w:val="000E3ECD"/>
    <w:rsid w:val="00107AB8"/>
    <w:rsid w:val="001119EF"/>
    <w:rsid w:val="00142828"/>
    <w:rsid w:val="0015549B"/>
    <w:rsid w:val="001B6DC1"/>
    <w:rsid w:val="001B7588"/>
    <w:rsid w:val="001E3846"/>
    <w:rsid w:val="00214C36"/>
    <w:rsid w:val="00217EF7"/>
    <w:rsid w:val="00223465"/>
    <w:rsid w:val="0022503C"/>
    <w:rsid w:val="00250087"/>
    <w:rsid w:val="00251C6E"/>
    <w:rsid w:val="00275E07"/>
    <w:rsid w:val="00290A3D"/>
    <w:rsid w:val="002A2048"/>
    <w:rsid w:val="002A23AC"/>
    <w:rsid w:val="002B18E0"/>
    <w:rsid w:val="002B49E8"/>
    <w:rsid w:val="002C30F7"/>
    <w:rsid w:val="002C7630"/>
    <w:rsid w:val="002E2B14"/>
    <w:rsid w:val="002F7691"/>
    <w:rsid w:val="00304809"/>
    <w:rsid w:val="00333245"/>
    <w:rsid w:val="0035040B"/>
    <w:rsid w:val="00350758"/>
    <w:rsid w:val="00353A13"/>
    <w:rsid w:val="0037498A"/>
    <w:rsid w:val="003D3563"/>
    <w:rsid w:val="003D5A1D"/>
    <w:rsid w:val="00432646"/>
    <w:rsid w:val="00442639"/>
    <w:rsid w:val="004768B5"/>
    <w:rsid w:val="004E58A5"/>
    <w:rsid w:val="004F370A"/>
    <w:rsid w:val="00520427"/>
    <w:rsid w:val="00523A8C"/>
    <w:rsid w:val="00524B6D"/>
    <w:rsid w:val="0052639C"/>
    <w:rsid w:val="005430BC"/>
    <w:rsid w:val="005529E9"/>
    <w:rsid w:val="00571027"/>
    <w:rsid w:val="00572CCC"/>
    <w:rsid w:val="005A6FCE"/>
    <w:rsid w:val="005A7356"/>
    <w:rsid w:val="005D03E0"/>
    <w:rsid w:val="005F1C61"/>
    <w:rsid w:val="005F3889"/>
    <w:rsid w:val="00600A17"/>
    <w:rsid w:val="006027A7"/>
    <w:rsid w:val="006048E2"/>
    <w:rsid w:val="00613CD5"/>
    <w:rsid w:val="00621EEE"/>
    <w:rsid w:val="00622AFA"/>
    <w:rsid w:val="00664271"/>
    <w:rsid w:val="00697266"/>
    <w:rsid w:val="006A01F9"/>
    <w:rsid w:val="006B1962"/>
    <w:rsid w:val="006B2984"/>
    <w:rsid w:val="006B77BE"/>
    <w:rsid w:val="006E5824"/>
    <w:rsid w:val="00747283"/>
    <w:rsid w:val="007632B0"/>
    <w:rsid w:val="00776F80"/>
    <w:rsid w:val="00783907"/>
    <w:rsid w:val="007B2569"/>
    <w:rsid w:val="007B744C"/>
    <w:rsid w:val="007D368E"/>
    <w:rsid w:val="007E6598"/>
    <w:rsid w:val="007F20F0"/>
    <w:rsid w:val="007F37C1"/>
    <w:rsid w:val="00806E34"/>
    <w:rsid w:val="00816287"/>
    <w:rsid w:val="00835BE7"/>
    <w:rsid w:val="008844AF"/>
    <w:rsid w:val="008B5653"/>
    <w:rsid w:val="008C7ABF"/>
    <w:rsid w:val="009205C7"/>
    <w:rsid w:val="009248F5"/>
    <w:rsid w:val="00941451"/>
    <w:rsid w:val="00975C1F"/>
    <w:rsid w:val="00976012"/>
    <w:rsid w:val="00981EE0"/>
    <w:rsid w:val="00985472"/>
    <w:rsid w:val="009D5F04"/>
    <w:rsid w:val="00A172FF"/>
    <w:rsid w:val="00A20BE8"/>
    <w:rsid w:val="00A308AE"/>
    <w:rsid w:val="00A508B3"/>
    <w:rsid w:val="00A82B74"/>
    <w:rsid w:val="00A82FC9"/>
    <w:rsid w:val="00A9040A"/>
    <w:rsid w:val="00AB2CF1"/>
    <w:rsid w:val="00AB738E"/>
    <w:rsid w:val="00AC6AAA"/>
    <w:rsid w:val="00AD5F40"/>
    <w:rsid w:val="00AE3E24"/>
    <w:rsid w:val="00B10F16"/>
    <w:rsid w:val="00B3246D"/>
    <w:rsid w:val="00B363B0"/>
    <w:rsid w:val="00B57B62"/>
    <w:rsid w:val="00B61B17"/>
    <w:rsid w:val="00B81B5A"/>
    <w:rsid w:val="00B9643A"/>
    <w:rsid w:val="00BB02BC"/>
    <w:rsid w:val="00BD7C30"/>
    <w:rsid w:val="00BE2339"/>
    <w:rsid w:val="00BE499A"/>
    <w:rsid w:val="00C01D96"/>
    <w:rsid w:val="00C0451E"/>
    <w:rsid w:val="00C14B6E"/>
    <w:rsid w:val="00C410FE"/>
    <w:rsid w:val="00C5353F"/>
    <w:rsid w:val="00C61F13"/>
    <w:rsid w:val="00CD6C97"/>
    <w:rsid w:val="00D21FD0"/>
    <w:rsid w:val="00D53CF7"/>
    <w:rsid w:val="00D61F9F"/>
    <w:rsid w:val="00D83182"/>
    <w:rsid w:val="00D850D4"/>
    <w:rsid w:val="00DA4F7F"/>
    <w:rsid w:val="00DA5B65"/>
    <w:rsid w:val="00DB623A"/>
    <w:rsid w:val="00DC7F2D"/>
    <w:rsid w:val="00DD6924"/>
    <w:rsid w:val="00DE520F"/>
    <w:rsid w:val="00DF0470"/>
    <w:rsid w:val="00E15458"/>
    <w:rsid w:val="00E20E18"/>
    <w:rsid w:val="00E35B85"/>
    <w:rsid w:val="00E36544"/>
    <w:rsid w:val="00E441EC"/>
    <w:rsid w:val="00E52E18"/>
    <w:rsid w:val="00E61949"/>
    <w:rsid w:val="00E84866"/>
    <w:rsid w:val="00E96680"/>
    <w:rsid w:val="00EA5B39"/>
    <w:rsid w:val="00EA78E6"/>
    <w:rsid w:val="00ED7D4C"/>
    <w:rsid w:val="00F00ABF"/>
    <w:rsid w:val="00F12706"/>
    <w:rsid w:val="00F15A31"/>
    <w:rsid w:val="00F27679"/>
    <w:rsid w:val="00F55B91"/>
    <w:rsid w:val="00F649E4"/>
    <w:rsid w:val="00F80429"/>
    <w:rsid w:val="00F90DC1"/>
    <w:rsid w:val="00F91611"/>
    <w:rsid w:val="00FA29A2"/>
    <w:rsid w:val="00FA40BB"/>
    <w:rsid w:val="00FA58EC"/>
    <w:rsid w:val="00FC4B69"/>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FC355"/>
  <w15:chartTrackingRefBased/>
  <w15:docId w15:val="{F5CC4A2B-63A5-4FAE-978B-00ADE1A6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sid w:val="009248F5"/>
    <w:rPr>
      <w:sz w:val="20"/>
    </w:rPr>
  </w:style>
  <w:style w:type="character" w:styleId="FootnoteReference">
    <w:name w:val="footnote reference"/>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Moore, Vikki</dc:creator>
  <cp:keywords/>
  <cp:lastModifiedBy>Farner, Joyce</cp:lastModifiedBy>
  <cp:revision>3</cp:revision>
  <cp:lastPrinted>2018-09-20T11:15:00Z</cp:lastPrinted>
  <dcterms:created xsi:type="dcterms:W3CDTF">2018-09-17T14:32:00Z</dcterms:created>
  <dcterms:modified xsi:type="dcterms:W3CDTF">2018-09-20T11:15:00Z</dcterms:modified>
</cp:coreProperties>
</file>