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Layout w:type="fixed"/>
        <w:tblLook w:val="0000" w:firstRow="0" w:lastRow="0" w:firstColumn="0" w:lastColumn="0" w:noHBand="0" w:noVBand="0"/>
      </w:tblPr>
      <w:tblGrid>
        <w:gridCol w:w="2448"/>
        <w:gridCol w:w="5130"/>
        <w:gridCol w:w="2232"/>
      </w:tblGrid>
      <w:tr w:rsidR="00587CA5" w:rsidRPr="00C0451E" w14:paraId="4F2EFD84" w14:textId="77777777" w:rsidTr="00587CA5">
        <w:tc>
          <w:tcPr>
            <w:tcW w:w="2448" w:type="dxa"/>
          </w:tcPr>
          <w:p w14:paraId="095E35FE" w14:textId="77777777" w:rsidR="00587CA5" w:rsidRPr="00C0451E" w:rsidRDefault="00587CA5" w:rsidP="00F54084">
            <w:pPr>
              <w:pStyle w:val="Heading3"/>
              <w:rPr>
                <w:rFonts w:ascii="Times New Roman" w:hAnsi="Times New Roman" w:cs="Times New Roman"/>
              </w:rPr>
            </w:pPr>
          </w:p>
        </w:tc>
        <w:tc>
          <w:tcPr>
            <w:tcW w:w="5130" w:type="dxa"/>
          </w:tcPr>
          <w:p w14:paraId="7E49F5FC" w14:textId="77777777" w:rsidR="00587CA5" w:rsidRPr="00C0451E" w:rsidRDefault="00587CA5" w:rsidP="00F54084">
            <w:pPr>
              <w:jc w:val="center"/>
              <w:rPr>
                <w:b/>
                <w:sz w:val="26"/>
                <w:szCs w:val="26"/>
              </w:rPr>
            </w:pPr>
            <w:r w:rsidRPr="00C0451E">
              <w:rPr>
                <w:b/>
                <w:sz w:val="26"/>
                <w:szCs w:val="26"/>
              </w:rPr>
              <w:t>PENNSYLVANIA</w:t>
            </w:r>
          </w:p>
          <w:p w14:paraId="766EC4E5" w14:textId="77777777" w:rsidR="00587CA5" w:rsidRPr="00C0451E" w:rsidRDefault="00587CA5" w:rsidP="00F54084">
            <w:pPr>
              <w:jc w:val="center"/>
              <w:rPr>
                <w:b/>
                <w:sz w:val="26"/>
                <w:szCs w:val="26"/>
              </w:rPr>
            </w:pPr>
            <w:r w:rsidRPr="00C0451E">
              <w:rPr>
                <w:b/>
                <w:sz w:val="26"/>
                <w:szCs w:val="26"/>
              </w:rPr>
              <w:t>PUBLIC UTILITY COMMISSION</w:t>
            </w:r>
          </w:p>
          <w:p w14:paraId="12848B3E" w14:textId="77777777" w:rsidR="00587CA5" w:rsidRPr="00C0451E" w:rsidRDefault="00587CA5" w:rsidP="00F54084">
            <w:pPr>
              <w:pStyle w:val="StyleCentered"/>
              <w:rPr>
                <w:b/>
                <w:sz w:val="26"/>
                <w:szCs w:val="26"/>
              </w:rPr>
            </w:pPr>
            <w:r w:rsidRPr="00C0451E">
              <w:rPr>
                <w:b/>
                <w:sz w:val="26"/>
                <w:szCs w:val="26"/>
              </w:rPr>
              <w:t>Harrisburg, PA  17105-3265</w:t>
            </w:r>
          </w:p>
        </w:tc>
        <w:tc>
          <w:tcPr>
            <w:tcW w:w="2232" w:type="dxa"/>
          </w:tcPr>
          <w:p w14:paraId="01DE7B5B" w14:textId="77777777" w:rsidR="00587CA5" w:rsidRPr="00C0451E" w:rsidRDefault="00587CA5" w:rsidP="00F54084">
            <w:pPr>
              <w:rPr>
                <w:sz w:val="26"/>
                <w:szCs w:val="26"/>
              </w:rPr>
            </w:pPr>
          </w:p>
        </w:tc>
      </w:tr>
    </w:tbl>
    <w:p w14:paraId="58C09848" w14:textId="77777777" w:rsidR="00587CA5" w:rsidRPr="00C0451E" w:rsidRDefault="00587CA5" w:rsidP="00587CA5">
      <w:pPr>
        <w:rPr>
          <w:sz w:val="26"/>
          <w:szCs w:val="26"/>
        </w:rPr>
      </w:pPr>
    </w:p>
    <w:tbl>
      <w:tblPr>
        <w:tblW w:w="9810" w:type="dxa"/>
        <w:tblLayout w:type="fixed"/>
        <w:tblLook w:val="0000" w:firstRow="0" w:lastRow="0" w:firstColumn="0" w:lastColumn="0" w:noHBand="0" w:noVBand="0"/>
      </w:tblPr>
      <w:tblGrid>
        <w:gridCol w:w="5148"/>
        <w:gridCol w:w="4662"/>
      </w:tblGrid>
      <w:tr w:rsidR="00587CA5" w:rsidRPr="00C0451E" w14:paraId="77C8EA7E" w14:textId="77777777" w:rsidTr="00587CA5">
        <w:tc>
          <w:tcPr>
            <w:tcW w:w="5148" w:type="dxa"/>
          </w:tcPr>
          <w:p w14:paraId="6F9EDF24" w14:textId="77777777" w:rsidR="00587CA5" w:rsidRPr="00C0451E" w:rsidRDefault="00587CA5" w:rsidP="00F54084">
            <w:pPr>
              <w:rPr>
                <w:sz w:val="26"/>
                <w:szCs w:val="26"/>
              </w:rPr>
            </w:pPr>
          </w:p>
        </w:tc>
        <w:tc>
          <w:tcPr>
            <w:tcW w:w="4662" w:type="dxa"/>
          </w:tcPr>
          <w:p w14:paraId="3CE351E1" w14:textId="555596E0" w:rsidR="00587CA5" w:rsidRPr="00C0451E" w:rsidRDefault="00587CA5" w:rsidP="00587CA5">
            <w:pPr>
              <w:rPr>
                <w:sz w:val="26"/>
                <w:szCs w:val="26"/>
              </w:rPr>
            </w:pPr>
            <w:r w:rsidRPr="00C0451E">
              <w:rPr>
                <w:sz w:val="26"/>
                <w:szCs w:val="26"/>
              </w:rPr>
              <w:t xml:space="preserve">Public Meeting held </w:t>
            </w:r>
            <w:r>
              <w:rPr>
                <w:sz w:val="26"/>
                <w:szCs w:val="26"/>
              </w:rPr>
              <w:t>September 20, 2018</w:t>
            </w:r>
          </w:p>
        </w:tc>
      </w:tr>
      <w:tr w:rsidR="00587CA5" w:rsidRPr="00C0451E" w14:paraId="041B9DF8" w14:textId="77777777" w:rsidTr="00587CA5">
        <w:tc>
          <w:tcPr>
            <w:tcW w:w="5148" w:type="dxa"/>
          </w:tcPr>
          <w:p w14:paraId="71D8E818" w14:textId="77777777" w:rsidR="00587CA5" w:rsidRPr="00C0451E" w:rsidRDefault="00587CA5" w:rsidP="00F54084">
            <w:pPr>
              <w:rPr>
                <w:sz w:val="26"/>
                <w:szCs w:val="26"/>
              </w:rPr>
            </w:pPr>
            <w:r w:rsidRPr="00C0451E">
              <w:rPr>
                <w:sz w:val="26"/>
                <w:szCs w:val="26"/>
              </w:rPr>
              <w:t>Commissioners Present:</w:t>
            </w:r>
          </w:p>
        </w:tc>
        <w:tc>
          <w:tcPr>
            <w:tcW w:w="4662" w:type="dxa"/>
          </w:tcPr>
          <w:p w14:paraId="294CD888" w14:textId="77777777" w:rsidR="00587CA5" w:rsidRPr="00C0451E" w:rsidRDefault="00587CA5" w:rsidP="00F54084">
            <w:pPr>
              <w:rPr>
                <w:sz w:val="26"/>
                <w:szCs w:val="26"/>
              </w:rPr>
            </w:pPr>
          </w:p>
        </w:tc>
      </w:tr>
    </w:tbl>
    <w:p w14:paraId="3287EE4A" w14:textId="77777777" w:rsidR="00587CA5" w:rsidRPr="00C0451E" w:rsidRDefault="00587CA5" w:rsidP="00587CA5">
      <w:pPr>
        <w:rPr>
          <w:sz w:val="26"/>
          <w:szCs w:val="26"/>
        </w:rPr>
      </w:pPr>
    </w:p>
    <w:tbl>
      <w:tblPr>
        <w:tblW w:w="9810" w:type="dxa"/>
        <w:tblLayout w:type="fixed"/>
        <w:tblLook w:val="0000" w:firstRow="0" w:lastRow="0" w:firstColumn="0" w:lastColumn="0" w:noHBand="0" w:noVBand="0"/>
      </w:tblPr>
      <w:tblGrid>
        <w:gridCol w:w="5958"/>
        <w:gridCol w:w="3852"/>
      </w:tblGrid>
      <w:tr w:rsidR="00587CA5" w:rsidRPr="00C0451E" w14:paraId="1704FA3F" w14:textId="77777777" w:rsidTr="00587CA5">
        <w:tc>
          <w:tcPr>
            <w:tcW w:w="9810" w:type="dxa"/>
            <w:gridSpan w:val="2"/>
          </w:tcPr>
          <w:p w14:paraId="23CD5364" w14:textId="77777777" w:rsidR="00587CA5" w:rsidRPr="00C0451E" w:rsidRDefault="00587CA5" w:rsidP="00F54084">
            <w:pPr>
              <w:tabs>
                <w:tab w:val="left" w:pos="720"/>
              </w:tabs>
              <w:rPr>
                <w:sz w:val="26"/>
                <w:szCs w:val="26"/>
              </w:rPr>
            </w:pPr>
            <w:r>
              <w:rPr>
                <w:sz w:val="26"/>
                <w:szCs w:val="26"/>
              </w:rPr>
              <w:tab/>
              <w:t>Gladys M. Brown, Chairman</w:t>
            </w:r>
          </w:p>
        </w:tc>
      </w:tr>
      <w:tr w:rsidR="00587CA5" w:rsidRPr="00C0451E" w14:paraId="0502F0E7" w14:textId="77777777" w:rsidTr="00587CA5">
        <w:tc>
          <w:tcPr>
            <w:tcW w:w="9810" w:type="dxa"/>
            <w:gridSpan w:val="2"/>
          </w:tcPr>
          <w:p w14:paraId="35011156" w14:textId="77777777" w:rsidR="00587CA5" w:rsidRPr="00C0451E" w:rsidRDefault="00587CA5" w:rsidP="00F54084">
            <w:pPr>
              <w:tabs>
                <w:tab w:val="left" w:pos="720"/>
              </w:tabs>
              <w:rPr>
                <w:sz w:val="26"/>
                <w:szCs w:val="26"/>
              </w:rPr>
            </w:pPr>
            <w:r>
              <w:rPr>
                <w:sz w:val="26"/>
                <w:szCs w:val="26"/>
              </w:rPr>
              <w:tab/>
              <w:t xml:space="preserve">Andrew G. Place, </w:t>
            </w:r>
            <w:r w:rsidRPr="00C0451E">
              <w:rPr>
                <w:sz w:val="26"/>
                <w:szCs w:val="26"/>
              </w:rPr>
              <w:t>Vice Chairman</w:t>
            </w:r>
          </w:p>
        </w:tc>
      </w:tr>
      <w:tr w:rsidR="00587CA5" w:rsidRPr="00C0451E" w14:paraId="2DA27C6A" w14:textId="77777777" w:rsidTr="00587CA5">
        <w:tc>
          <w:tcPr>
            <w:tcW w:w="9810" w:type="dxa"/>
            <w:gridSpan w:val="2"/>
          </w:tcPr>
          <w:p w14:paraId="5CE08D88" w14:textId="77777777" w:rsidR="00587CA5" w:rsidRPr="00C0451E" w:rsidRDefault="00587CA5" w:rsidP="00F54084">
            <w:pPr>
              <w:tabs>
                <w:tab w:val="left" w:pos="720"/>
              </w:tabs>
              <w:rPr>
                <w:sz w:val="26"/>
                <w:szCs w:val="26"/>
              </w:rPr>
            </w:pPr>
            <w:r>
              <w:rPr>
                <w:sz w:val="26"/>
                <w:szCs w:val="26"/>
              </w:rPr>
              <w:tab/>
              <w:t>Norman J. Kennard</w:t>
            </w:r>
          </w:p>
        </w:tc>
      </w:tr>
      <w:tr w:rsidR="00587CA5" w:rsidRPr="00C0451E" w14:paraId="04306B6D" w14:textId="77777777" w:rsidTr="00587CA5">
        <w:tc>
          <w:tcPr>
            <w:tcW w:w="9810" w:type="dxa"/>
            <w:gridSpan w:val="2"/>
          </w:tcPr>
          <w:p w14:paraId="4D8BB876" w14:textId="77777777" w:rsidR="00587CA5" w:rsidRPr="00C0451E" w:rsidRDefault="00587CA5" w:rsidP="00F54084">
            <w:pPr>
              <w:tabs>
                <w:tab w:val="left" w:pos="720"/>
              </w:tabs>
              <w:rPr>
                <w:sz w:val="26"/>
                <w:szCs w:val="26"/>
              </w:rPr>
            </w:pPr>
            <w:r>
              <w:rPr>
                <w:sz w:val="26"/>
                <w:szCs w:val="26"/>
              </w:rPr>
              <w:tab/>
              <w:t>David W. Sweet</w:t>
            </w:r>
          </w:p>
        </w:tc>
      </w:tr>
      <w:tr w:rsidR="00587CA5" w:rsidRPr="00C0451E" w14:paraId="2096425B" w14:textId="77777777" w:rsidTr="00587CA5">
        <w:tc>
          <w:tcPr>
            <w:tcW w:w="9810" w:type="dxa"/>
            <w:gridSpan w:val="2"/>
          </w:tcPr>
          <w:p w14:paraId="5095DEEE" w14:textId="77777777" w:rsidR="00587CA5" w:rsidRPr="00C0451E" w:rsidRDefault="00587CA5" w:rsidP="00F54084">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587CA5" w:rsidRPr="00C0451E" w14:paraId="664FC831" w14:textId="77777777" w:rsidTr="00587CA5">
        <w:tc>
          <w:tcPr>
            <w:tcW w:w="5958" w:type="dxa"/>
          </w:tcPr>
          <w:p w14:paraId="3F7C5422" w14:textId="77777777" w:rsidR="00587CA5" w:rsidRDefault="00587CA5" w:rsidP="00F54084">
            <w:pPr>
              <w:ind w:right="342"/>
              <w:rPr>
                <w:sz w:val="26"/>
                <w:szCs w:val="26"/>
              </w:rPr>
            </w:pPr>
          </w:p>
        </w:tc>
        <w:tc>
          <w:tcPr>
            <w:tcW w:w="3852" w:type="dxa"/>
          </w:tcPr>
          <w:p w14:paraId="1FB4633C" w14:textId="77777777" w:rsidR="00587CA5" w:rsidRDefault="00587CA5" w:rsidP="00F54084">
            <w:pPr>
              <w:jc w:val="center"/>
              <w:rPr>
                <w:sz w:val="26"/>
                <w:szCs w:val="26"/>
              </w:rPr>
            </w:pPr>
          </w:p>
        </w:tc>
      </w:tr>
      <w:tr w:rsidR="00587CA5" w:rsidRPr="00C0451E" w14:paraId="07E1AB59" w14:textId="77777777" w:rsidTr="00587CA5">
        <w:tc>
          <w:tcPr>
            <w:tcW w:w="5958" w:type="dxa"/>
          </w:tcPr>
          <w:p w14:paraId="621FC9DE" w14:textId="3EFE84B7" w:rsidR="000548E0" w:rsidRDefault="00587CA5" w:rsidP="00587CA5">
            <w:pPr>
              <w:adjustRightInd w:val="0"/>
              <w:rPr>
                <w:sz w:val="26"/>
                <w:szCs w:val="26"/>
              </w:rPr>
            </w:pPr>
            <w:r w:rsidRPr="003520A1">
              <w:rPr>
                <w:sz w:val="26"/>
                <w:szCs w:val="26"/>
              </w:rPr>
              <w:t xml:space="preserve">Tax Cuts and Jobs Act of 2017 – </w:t>
            </w:r>
            <w:bookmarkStart w:id="0" w:name="_Hlk515958644"/>
            <w:r>
              <w:rPr>
                <w:sz w:val="26"/>
                <w:szCs w:val="26"/>
              </w:rPr>
              <w:t>Pike County Light &amp;</w:t>
            </w:r>
            <w:r w:rsidR="00311D17">
              <w:rPr>
                <w:sz w:val="26"/>
                <w:szCs w:val="26"/>
              </w:rPr>
              <w:t> </w:t>
            </w:r>
            <w:r>
              <w:rPr>
                <w:sz w:val="26"/>
                <w:szCs w:val="26"/>
              </w:rPr>
              <w:t xml:space="preserve">Power Company </w:t>
            </w:r>
          </w:p>
          <w:p w14:paraId="45363EBE" w14:textId="77777777" w:rsidR="000548E0" w:rsidRDefault="000548E0" w:rsidP="00587CA5">
            <w:pPr>
              <w:adjustRightInd w:val="0"/>
              <w:rPr>
                <w:sz w:val="26"/>
                <w:szCs w:val="26"/>
              </w:rPr>
            </w:pPr>
          </w:p>
          <w:p w14:paraId="789037F1" w14:textId="77777777" w:rsidR="000548E0" w:rsidRDefault="000548E0" w:rsidP="000548E0">
            <w:pPr>
              <w:adjustRightInd w:val="0"/>
              <w:rPr>
                <w:sz w:val="26"/>
                <w:szCs w:val="26"/>
              </w:rPr>
            </w:pPr>
            <w:r>
              <w:rPr>
                <w:sz w:val="26"/>
                <w:szCs w:val="26"/>
              </w:rPr>
              <w:t>Pike County Light &amp; Power Company (Electric) Request for Reconsideration May 17, 2018 Orders</w:t>
            </w:r>
          </w:p>
          <w:p w14:paraId="6CB3944B" w14:textId="13114B06" w:rsidR="00587CA5" w:rsidRDefault="000548E0" w:rsidP="00587CA5">
            <w:pPr>
              <w:adjustRightInd w:val="0"/>
              <w:rPr>
                <w:sz w:val="26"/>
                <w:szCs w:val="26"/>
              </w:rPr>
            </w:pPr>
            <w:r>
              <w:rPr>
                <w:sz w:val="26"/>
                <w:szCs w:val="26"/>
              </w:rPr>
              <w:t xml:space="preserve"> </w:t>
            </w:r>
            <w:bookmarkEnd w:id="0"/>
          </w:p>
          <w:p w14:paraId="1DBFE003" w14:textId="404CEC78" w:rsidR="00587CA5" w:rsidRDefault="00587CA5" w:rsidP="00587CA5">
            <w:pPr>
              <w:ind w:right="342"/>
              <w:rPr>
                <w:sz w:val="26"/>
                <w:szCs w:val="26"/>
              </w:rPr>
            </w:pPr>
            <w:r w:rsidRPr="003520A1">
              <w:rPr>
                <w:sz w:val="26"/>
                <w:szCs w:val="26"/>
              </w:rPr>
              <w:t>Tax Cuts and Jobs Act of 2017</w:t>
            </w:r>
          </w:p>
        </w:tc>
        <w:tc>
          <w:tcPr>
            <w:tcW w:w="3852" w:type="dxa"/>
          </w:tcPr>
          <w:p w14:paraId="12F8B423" w14:textId="112DD6D7" w:rsidR="00587CA5" w:rsidRDefault="00587CA5" w:rsidP="00587CA5">
            <w:pPr>
              <w:ind w:left="-198" w:firstLine="198"/>
              <w:jc w:val="center"/>
              <w:rPr>
                <w:sz w:val="26"/>
                <w:szCs w:val="26"/>
              </w:rPr>
            </w:pPr>
            <w:r w:rsidRPr="003520A1">
              <w:rPr>
                <w:sz w:val="26"/>
                <w:szCs w:val="26"/>
              </w:rPr>
              <w:t>R-2018-3000942</w:t>
            </w:r>
          </w:p>
          <w:p w14:paraId="7D53E339" w14:textId="77777777" w:rsidR="00311D17" w:rsidRDefault="00311D17" w:rsidP="00587CA5">
            <w:pPr>
              <w:ind w:left="-198" w:firstLine="198"/>
              <w:jc w:val="center"/>
              <w:rPr>
                <w:sz w:val="26"/>
                <w:szCs w:val="26"/>
              </w:rPr>
            </w:pPr>
            <w:bookmarkStart w:id="1" w:name="_Hlk516045368"/>
          </w:p>
          <w:p w14:paraId="54555799" w14:textId="77777777" w:rsidR="00311D17" w:rsidRDefault="00311D17" w:rsidP="00587CA5">
            <w:pPr>
              <w:ind w:left="-198" w:firstLine="198"/>
              <w:jc w:val="center"/>
              <w:rPr>
                <w:sz w:val="26"/>
                <w:szCs w:val="26"/>
              </w:rPr>
            </w:pPr>
          </w:p>
          <w:p w14:paraId="6A1321AF" w14:textId="1D628C6B" w:rsidR="00311D17" w:rsidRDefault="00311D17" w:rsidP="00587CA5">
            <w:pPr>
              <w:ind w:left="-198" w:firstLine="198"/>
              <w:jc w:val="center"/>
              <w:rPr>
                <w:sz w:val="26"/>
                <w:szCs w:val="26"/>
              </w:rPr>
            </w:pPr>
          </w:p>
          <w:p w14:paraId="68B19666" w14:textId="08459825" w:rsidR="000548E0" w:rsidRDefault="000548E0" w:rsidP="00587CA5">
            <w:pPr>
              <w:ind w:left="-198" w:firstLine="198"/>
              <w:jc w:val="center"/>
              <w:rPr>
                <w:sz w:val="26"/>
                <w:szCs w:val="26"/>
              </w:rPr>
            </w:pPr>
          </w:p>
          <w:p w14:paraId="46610533" w14:textId="77777777" w:rsidR="000548E0" w:rsidRDefault="000548E0" w:rsidP="00587CA5">
            <w:pPr>
              <w:ind w:left="-198" w:firstLine="198"/>
              <w:jc w:val="center"/>
              <w:rPr>
                <w:sz w:val="26"/>
                <w:szCs w:val="26"/>
              </w:rPr>
            </w:pPr>
          </w:p>
          <w:p w14:paraId="65018F41" w14:textId="5EB029E6" w:rsidR="00587CA5" w:rsidRPr="00C0451E" w:rsidRDefault="00587CA5" w:rsidP="00587CA5">
            <w:pPr>
              <w:ind w:left="-198" w:firstLine="198"/>
              <w:jc w:val="center"/>
              <w:rPr>
                <w:sz w:val="26"/>
                <w:szCs w:val="26"/>
              </w:rPr>
            </w:pPr>
            <w:r w:rsidRPr="003520A1">
              <w:rPr>
                <w:sz w:val="26"/>
                <w:szCs w:val="26"/>
              </w:rPr>
              <w:t>M-2018-2641242</w:t>
            </w:r>
            <w:bookmarkEnd w:id="1"/>
          </w:p>
        </w:tc>
      </w:tr>
    </w:tbl>
    <w:p w14:paraId="56BF5054" w14:textId="77777777" w:rsidR="00587CA5" w:rsidRDefault="00587CA5" w:rsidP="005D1233">
      <w:pPr>
        <w:jc w:val="center"/>
        <w:rPr>
          <w:b/>
          <w:sz w:val="26"/>
          <w:szCs w:val="26"/>
        </w:rPr>
      </w:pPr>
    </w:p>
    <w:p w14:paraId="2EE475EE" w14:textId="0F62A778" w:rsidR="0024294A" w:rsidRPr="00F514FB" w:rsidRDefault="0024294A" w:rsidP="005D1233">
      <w:pPr>
        <w:jc w:val="center"/>
        <w:rPr>
          <w:b/>
          <w:sz w:val="26"/>
          <w:szCs w:val="26"/>
        </w:rPr>
      </w:pPr>
      <w:r w:rsidRPr="00F514FB">
        <w:rPr>
          <w:b/>
          <w:sz w:val="26"/>
          <w:szCs w:val="26"/>
        </w:rPr>
        <w:t>ORDER</w:t>
      </w:r>
    </w:p>
    <w:p w14:paraId="0D8CE708" w14:textId="77777777" w:rsidR="0024294A" w:rsidRDefault="0024294A" w:rsidP="005D1233">
      <w:pPr>
        <w:jc w:val="center"/>
        <w:rPr>
          <w:b/>
          <w:sz w:val="26"/>
          <w:szCs w:val="26"/>
        </w:rPr>
      </w:pPr>
    </w:p>
    <w:p w14:paraId="7187E0E4" w14:textId="77777777" w:rsidR="00151DAD" w:rsidRPr="00F514FB" w:rsidRDefault="00151DAD" w:rsidP="005D1233">
      <w:pPr>
        <w:jc w:val="center"/>
        <w:rPr>
          <w:b/>
          <w:sz w:val="26"/>
          <w:szCs w:val="26"/>
        </w:rPr>
      </w:pPr>
    </w:p>
    <w:p w14:paraId="04CB7382" w14:textId="77777777" w:rsidR="0024294A" w:rsidRDefault="0024294A" w:rsidP="005D1233">
      <w:pPr>
        <w:rPr>
          <w:b/>
          <w:sz w:val="26"/>
          <w:szCs w:val="26"/>
        </w:rPr>
      </w:pPr>
      <w:r w:rsidRPr="00F514FB">
        <w:rPr>
          <w:b/>
          <w:sz w:val="26"/>
          <w:szCs w:val="26"/>
        </w:rPr>
        <w:t>BY THE COMMISSION:</w:t>
      </w:r>
    </w:p>
    <w:p w14:paraId="0C1AEC44" w14:textId="77777777" w:rsidR="00BC54D6" w:rsidRPr="00F514FB" w:rsidRDefault="00BC54D6" w:rsidP="005D1233">
      <w:pPr>
        <w:rPr>
          <w:b/>
          <w:sz w:val="26"/>
          <w:szCs w:val="26"/>
        </w:rPr>
      </w:pPr>
    </w:p>
    <w:p w14:paraId="7FE69C5B" w14:textId="77777777" w:rsidR="0024294A" w:rsidRDefault="0024294A" w:rsidP="005D1233">
      <w:pPr>
        <w:tabs>
          <w:tab w:val="left" w:pos="-720"/>
        </w:tabs>
        <w:suppressAutoHyphens/>
        <w:rPr>
          <w:b/>
          <w:sz w:val="26"/>
        </w:rPr>
      </w:pPr>
    </w:p>
    <w:p w14:paraId="0297FEBC" w14:textId="428A1AB5" w:rsidR="001D3698" w:rsidRDefault="009279D6" w:rsidP="0093478D">
      <w:pPr>
        <w:tabs>
          <w:tab w:val="left" w:pos="-720"/>
        </w:tabs>
        <w:suppressAutoHyphens/>
        <w:spacing w:line="360" w:lineRule="auto"/>
        <w:ind w:firstLine="720"/>
        <w:rPr>
          <w:sz w:val="26"/>
          <w:szCs w:val="20"/>
        </w:rPr>
      </w:pPr>
      <w:r w:rsidRPr="00027664">
        <w:rPr>
          <w:sz w:val="26"/>
        </w:rPr>
        <w:t xml:space="preserve">Before the </w:t>
      </w:r>
      <w:r>
        <w:rPr>
          <w:sz w:val="26"/>
        </w:rPr>
        <w:t xml:space="preserve">Pennsylvania Public Utility </w:t>
      </w:r>
      <w:r w:rsidRPr="00027664">
        <w:rPr>
          <w:sz w:val="26"/>
        </w:rPr>
        <w:t xml:space="preserve">Commission </w:t>
      </w:r>
      <w:r>
        <w:rPr>
          <w:sz w:val="26"/>
        </w:rPr>
        <w:t>(Commission) is review of the Petition for Re</w:t>
      </w:r>
      <w:r w:rsidR="00983060">
        <w:rPr>
          <w:sz w:val="26"/>
        </w:rPr>
        <w:t>consideration</w:t>
      </w:r>
      <w:r>
        <w:rPr>
          <w:sz w:val="26"/>
        </w:rPr>
        <w:t xml:space="preserve"> (Petition) </w:t>
      </w:r>
      <w:r w:rsidRPr="00027664">
        <w:rPr>
          <w:sz w:val="26"/>
        </w:rPr>
        <w:t>filed by</w:t>
      </w:r>
      <w:r w:rsidRPr="003520A1">
        <w:rPr>
          <w:sz w:val="26"/>
          <w:szCs w:val="26"/>
        </w:rPr>
        <w:t xml:space="preserve"> </w:t>
      </w:r>
      <w:r w:rsidRPr="003520A1">
        <w:rPr>
          <w:sz w:val="26"/>
        </w:rPr>
        <w:t>Pike County Light &amp; Power Company</w:t>
      </w:r>
      <w:r>
        <w:rPr>
          <w:sz w:val="26"/>
        </w:rPr>
        <w:t xml:space="preserve"> (Pike</w:t>
      </w:r>
      <w:r w:rsidR="00E052C1">
        <w:rPr>
          <w:sz w:val="26"/>
        </w:rPr>
        <w:t xml:space="preserve"> or Company</w:t>
      </w:r>
      <w:r>
        <w:rPr>
          <w:sz w:val="26"/>
        </w:rPr>
        <w:t xml:space="preserve">) </w:t>
      </w:r>
      <w:r w:rsidRPr="00027664">
        <w:rPr>
          <w:sz w:val="26"/>
        </w:rPr>
        <w:t>on</w:t>
      </w:r>
      <w:r>
        <w:rPr>
          <w:sz w:val="26"/>
        </w:rPr>
        <w:t xml:space="preserve"> June 1, 2018.  On June 1, Pike filed its Petition with the Commission </w:t>
      </w:r>
      <w:r>
        <w:rPr>
          <w:sz w:val="26"/>
          <w:szCs w:val="26"/>
        </w:rPr>
        <w:t>seeking reconsideration of the Commission’s Orders entered May 17, 2018 in the above-captioned proceeding</w:t>
      </w:r>
      <w:r w:rsidR="005B7AF8">
        <w:rPr>
          <w:sz w:val="26"/>
          <w:szCs w:val="26"/>
        </w:rPr>
        <w:t>s</w:t>
      </w:r>
      <w:r>
        <w:rPr>
          <w:sz w:val="26"/>
        </w:rPr>
        <w:t>.</w:t>
      </w:r>
      <w:r w:rsidR="001D3698">
        <w:rPr>
          <w:sz w:val="26"/>
        </w:rPr>
        <w:t xml:space="preserve">  </w:t>
      </w:r>
      <w:r w:rsidR="001D3698" w:rsidRPr="00BC54D6">
        <w:rPr>
          <w:sz w:val="26"/>
          <w:szCs w:val="20"/>
        </w:rPr>
        <w:t xml:space="preserve">Pursuant to Rule 1701 of the Pennsylvania Rules of Appellate Procedure, Pa. R.A.P. Rule 1701, the Commission must act to grant a </w:t>
      </w:r>
      <w:r w:rsidR="00B90657">
        <w:rPr>
          <w:sz w:val="26"/>
          <w:szCs w:val="20"/>
        </w:rPr>
        <w:t>P</w:t>
      </w:r>
      <w:r w:rsidR="001D3698" w:rsidRPr="00BC54D6">
        <w:rPr>
          <w:sz w:val="26"/>
          <w:szCs w:val="20"/>
        </w:rPr>
        <w:t xml:space="preserve">etition for </w:t>
      </w:r>
      <w:r w:rsidR="00B90657">
        <w:rPr>
          <w:sz w:val="26"/>
          <w:szCs w:val="20"/>
        </w:rPr>
        <w:t>R</w:t>
      </w:r>
      <w:r w:rsidR="001D3698" w:rsidRPr="00BC54D6">
        <w:rPr>
          <w:sz w:val="26"/>
          <w:szCs w:val="20"/>
        </w:rPr>
        <w:t xml:space="preserve">econsideration within thirty days of the date of entry of the order for which reconsideration is sought, or otherwise lose jurisdiction to do so if a </w:t>
      </w:r>
      <w:r w:rsidR="001D3698">
        <w:rPr>
          <w:sz w:val="26"/>
          <w:szCs w:val="20"/>
        </w:rPr>
        <w:t>P</w:t>
      </w:r>
      <w:r w:rsidR="001D3698" w:rsidRPr="00BC54D6">
        <w:rPr>
          <w:sz w:val="26"/>
          <w:szCs w:val="20"/>
        </w:rPr>
        <w:t xml:space="preserve">etition for </w:t>
      </w:r>
      <w:r w:rsidR="001D3698">
        <w:rPr>
          <w:sz w:val="26"/>
          <w:szCs w:val="20"/>
        </w:rPr>
        <w:t>R</w:t>
      </w:r>
      <w:r w:rsidR="001D3698" w:rsidRPr="00BC54D6">
        <w:rPr>
          <w:sz w:val="26"/>
          <w:szCs w:val="20"/>
        </w:rPr>
        <w:t>eview is timely filed</w:t>
      </w:r>
      <w:r w:rsidR="00983060">
        <w:rPr>
          <w:sz w:val="26"/>
          <w:szCs w:val="20"/>
        </w:rPr>
        <w:t xml:space="preserve"> with the Pennsylvania Commonwealth Court</w:t>
      </w:r>
      <w:r w:rsidR="001D3698" w:rsidRPr="00BC54D6">
        <w:rPr>
          <w:sz w:val="26"/>
          <w:szCs w:val="20"/>
        </w:rPr>
        <w:t>.  The thirty</w:t>
      </w:r>
      <w:r w:rsidR="001D3698" w:rsidRPr="00BC54D6">
        <w:rPr>
          <w:sz w:val="26"/>
          <w:szCs w:val="20"/>
        </w:rPr>
        <w:noBreakHyphen/>
        <w:t>day period within which the Commission must</w:t>
      </w:r>
      <w:r w:rsidR="001D3698">
        <w:rPr>
          <w:sz w:val="26"/>
          <w:szCs w:val="20"/>
        </w:rPr>
        <w:t xml:space="preserve"> have</w:t>
      </w:r>
      <w:r w:rsidR="001D3698" w:rsidRPr="00BC54D6">
        <w:rPr>
          <w:sz w:val="26"/>
          <w:szCs w:val="20"/>
        </w:rPr>
        <w:t xml:space="preserve"> act</w:t>
      </w:r>
      <w:r w:rsidR="001D3698">
        <w:rPr>
          <w:sz w:val="26"/>
          <w:szCs w:val="20"/>
        </w:rPr>
        <w:t>ed</w:t>
      </w:r>
      <w:r w:rsidR="001D3698" w:rsidRPr="00BC54D6">
        <w:rPr>
          <w:sz w:val="26"/>
          <w:szCs w:val="20"/>
        </w:rPr>
        <w:t xml:space="preserve"> upon the Petition </w:t>
      </w:r>
      <w:proofErr w:type="gramStart"/>
      <w:r w:rsidR="001D3698" w:rsidRPr="00BC54D6">
        <w:rPr>
          <w:sz w:val="26"/>
          <w:szCs w:val="20"/>
        </w:rPr>
        <w:t>in order to</w:t>
      </w:r>
      <w:proofErr w:type="gramEnd"/>
      <w:r w:rsidR="001D3698" w:rsidRPr="00BC54D6">
        <w:rPr>
          <w:sz w:val="26"/>
          <w:szCs w:val="20"/>
        </w:rPr>
        <w:t xml:space="preserve"> preserve jurisdiction </w:t>
      </w:r>
      <w:r w:rsidR="001D3698">
        <w:rPr>
          <w:sz w:val="26"/>
          <w:szCs w:val="20"/>
        </w:rPr>
        <w:t>was</w:t>
      </w:r>
      <w:r w:rsidR="001D3698" w:rsidRPr="00BC54D6">
        <w:rPr>
          <w:sz w:val="26"/>
          <w:szCs w:val="20"/>
        </w:rPr>
        <w:t xml:space="preserve"> </w:t>
      </w:r>
      <w:r w:rsidR="001D3698">
        <w:rPr>
          <w:sz w:val="26"/>
          <w:szCs w:val="20"/>
        </w:rPr>
        <w:t>July 2, 2018</w:t>
      </w:r>
      <w:r w:rsidR="001D3698" w:rsidRPr="00BC54D6">
        <w:rPr>
          <w:sz w:val="26"/>
          <w:szCs w:val="20"/>
        </w:rPr>
        <w:t xml:space="preserve">.  </w:t>
      </w:r>
      <w:r w:rsidR="001D3698">
        <w:rPr>
          <w:sz w:val="26"/>
          <w:szCs w:val="20"/>
        </w:rPr>
        <w:t xml:space="preserve">Therefore, on June 14, 2018, the Commission </w:t>
      </w:r>
      <w:r w:rsidR="001D3698" w:rsidRPr="00BC54D6">
        <w:rPr>
          <w:sz w:val="26"/>
          <w:szCs w:val="20"/>
        </w:rPr>
        <w:t>grant</w:t>
      </w:r>
      <w:r w:rsidR="001D3698">
        <w:rPr>
          <w:sz w:val="26"/>
          <w:szCs w:val="20"/>
        </w:rPr>
        <w:t>ed</w:t>
      </w:r>
      <w:r w:rsidR="001D3698" w:rsidRPr="00BC54D6">
        <w:rPr>
          <w:sz w:val="26"/>
          <w:szCs w:val="20"/>
        </w:rPr>
        <w:t xml:space="preserve"> reconsideration</w:t>
      </w:r>
      <w:r w:rsidR="001D3698">
        <w:rPr>
          <w:sz w:val="26"/>
          <w:szCs w:val="20"/>
        </w:rPr>
        <w:t xml:space="preserve"> </w:t>
      </w:r>
      <w:r w:rsidR="001D3698">
        <w:rPr>
          <w:sz w:val="26"/>
          <w:szCs w:val="20"/>
        </w:rPr>
        <w:lastRenderedPageBreak/>
        <w:t>of Pike’s Petition</w:t>
      </w:r>
      <w:r w:rsidR="001D3698" w:rsidRPr="00BC54D6">
        <w:rPr>
          <w:sz w:val="26"/>
          <w:szCs w:val="20"/>
        </w:rPr>
        <w:t>, pending review of, and consideration on, the merits of the Petition</w:t>
      </w:r>
      <w:r w:rsidR="001D3698">
        <w:rPr>
          <w:sz w:val="26"/>
          <w:szCs w:val="20"/>
        </w:rPr>
        <w:t xml:space="preserve"> and any responses thereto.  As such, th</w:t>
      </w:r>
      <w:r w:rsidR="00C9622A">
        <w:rPr>
          <w:sz w:val="26"/>
          <w:szCs w:val="20"/>
        </w:rPr>
        <w:t>e instant</w:t>
      </w:r>
      <w:r w:rsidR="001D3698">
        <w:rPr>
          <w:sz w:val="26"/>
          <w:szCs w:val="20"/>
        </w:rPr>
        <w:t xml:space="preserve"> Order addresses the merits of Pike’s Petition, as well as the Answer of the Pennsylvania Office of Consumer Advocate (OCA) </w:t>
      </w:r>
      <w:r w:rsidR="00083B2B">
        <w:rPr>
          <w:sz w:val="26"/>
          <w:szCs w:val="20"/>
        </w:rPr>
        <w:t xml:space="preserve">filed on June 11, 2018, </w:t>
      </w:r>
      <w:r w:rsidR="001D3698">
        <w:rPr>
          <w:sz w:val="26"/>
          <w:szCs w:val="20"/>
        </w:rPr>
        <w:t>in response to the Petition.</w:t>
      </w:r>
    </w:p>
    <w:p w14:paraId="58741A24" w14:textId="77777777" w:rsidR="00943444" w:rsidRDefault="00943444" w:rsidP="009279D6">
      <w:pPr>
        <w:tabs>
          <w:tab w:val="left" w:pos="-720"/>
        </w:tabs>
        <w:suppressAutoHyphens/>
        <w:spacing w:line="360" w:lineRule="auto"/>
        <w:rPr>
          <w:sz w:val="26"/>
        </w:rPr>
      </w:pPr>
    </w:p>
    <w:p w14:paraId="66CD28AF" w14:textId="0BF1D90A" w:rsidR="00A02535" w:rsidRDefault="00943444" w:rsidP="00311D17">
      <w:pPr>
        <w:tabs>
          <w:tab w:val="left" w:pos="-720"/>
        </w:tabs>
        <w:suppressAutoHyphens/>
        <w:spacing w:line="360" w:lineRule="auto"/>
        <w:ind w:firstLine="720"/>
        <w:rPr>
          <w:sz w:val="26"/>
          <w:szCs w:val="26"/>
        </w:rPr>
      </w:pPr>
      <w:r w:rsidRPr="00943444">
        <w:rPr>
          <w:sz w:val="26"/>
          <w:szCs w:val="26"/>
        </w:rPr>
        <w:t>In its Petition, Pike requests that the Commission reconsider and amend its May 17, 2018 Orders to exempt Pike from decreasing its distribution rates</w:t>
      </w:r>
      <w:r w:rsidR="00310C4A">
        <w:rPr>
          <w:sz w:val="26"/>
          <w:szCs w:val="26"/>
        </w:rPr>
        <w:t xml:space="preserve">.  Petition at 1.  By way of background, the Commission issued several Orders on May 17, 2018.  These Orders were </w:t>
      </w:r>
      <w:r w:rsidR="00CD2ADB">
        <w:rPr>
          <w:sz w:val="26"/>
          <w:szCs w:val="26"/>
        </w:rPr>
        <w:t>issued</w:t>
      </w:r>
      <w:r w:rsidR="00397116">
        <w:rPr>
          <w:sz w:val="26"/>
          <w:szCs w:val="26"/>
        </w:rPr>
        <w:t xml:space="preserve"> in response to</w:t>
      </w:r>
      <w:r w:rsidR="00310C4A" w:rsidRPr="004A2DF3">
        <w:rPr>
          <w:sz w:val="26"/>
          <w:szCs w:val="26"/>
        </w:rPr>
        <w:t xml:space="preserve"> Public Law No. 115-97 </w:t>
      </w:r>
      <w:r w:rsidR="00397116">
        <w:rPr>
          <w:sz w:val="26"/>
          <w:szCs w:val="26"/>
        </w:rPr>
        <w:t xml:space="preserve">which </w:t>
      </w:r>
      <w:r w:rsidR="00310C4A" w:rsidRPr="004A2DF3">
        <w:rPr>
          <w:sz w:val="26"/>
          <w:szCs w:val="26"/>
        </w:rPr>
        <w:t>was signed into law by the President</w:t>
      </w:r>
      <w:r w:rsidR="00397116">
        <w:rPr>
          <w:sz w:val="26"/>
          <w:szCs w:val="26"/>
        </w:rPr>
        <w:t xml:space="preserve"> in December of last year</w:t>
      </w:r>
      <w:r w:rsidR="00310C4A" w:rsidRPr="004A2DF3">
        <w:rPr>
          <w:sz w:val="26"/>
          <w:szCs w:val="26"/>
        </w:rPr>
        <w:t xml:space="preserve">.  The short title of this law is the Tax Cuts and Jobs Act (TCJA).  Pursuant to the TCJA, effective January 1, 2018, various provisions of the Tax Reform Act of 1986 (the governing tax law in the United States prior to the effective date of the TCJA) have been repealed or amended.  One of the many modifications to the Tax Reform Act of 1986 resulting from the passage of the TCJA is a reduction in the corporate Federal Income Tax rate.  </w:t>
      </w:r>
    </w:p>
    <w:p w14:paraId="4EF012D0" w14:textId="77777777" w:rsidR="00A02535" w:rsidRDefault="00A02535" w:rsidP="00311D17">
      <w:pPr>
        <w:tabs>
          <w:tab w:val="left" w:pos="-720"/>
        </w:tabs>
        <w:suppressAutoHyphens/>
        <w:spacing w:line="360" w:lineRule="auto"/>
        <w:ind w:firstLine="720"/>
        <w:rPr>
          <w:sz w:val="26"/>
          <w:szCs w:val="26"/>
        </w:rPr>
      </w:pPr>
    </w:p>
    <w:p w14:paraId="4D22924E" w14:textId="65D87FBA" w:rsidR="00E052C1" w:rsidRDefault="00310C4A" w:rsidP="00311D17">
      <w:pPr>
        <w:tabs>
          <w:tab w:val="left" w:pos="-720"/>
        </w:tabs>
        <w:suppressAutoHyphens/>
        <w:spacing w:line="360" w:lineRule="auto"/>
        <w:ind w:firstLine="720"/>
        <w:rPr>
          <w:sz w:val="26"/>
          <w:szCs w:val="26"/>
        </w:rPr>
      </w:pPr>
      <w:r w:rsidRPr="004A2DF3">
        <w:rPr>
          <w:sz w:val="26"/>
          <w:szCs w:val="26"/>
        </w:rPr>
        <w:t>Specifically, the TCJA reduces the corporate Federal Income Tax rate from 35% to 21%.</w:t>
      </w:r>
      <w:r>
        <w:rPr>
          <w:sz w:val="26"/>
          <w:szCs w:val="26"/>
        </w:rPr>
        <w:t xml:space="preserve">  Therefore, </w:t>
      </w:r>
      <w:r w:rsidR="001B276A">
        <w:rPr>
          <w:sz w:val="26"/>
          <w:szCs w:val="26"/>
        </w:rPr>
        <w:t>at the start of this year, t</w:t>
      </w:r>
      <w:r>
        <w:rPr>
          <w:sz w:val="26"/>
          <w:szCs w:val="26"/>
        </w:rPr>
        <w:t>he Commission</w:t>
      </w:r>
      <w:r w:rsidR="001B276A">
        <w:rPr>
          <w:sz w:val="26"/>
          <w:szCs w:val="26"/>
        </w:rPr>
        <w:t xml:space="preserve"> undertook the task of </w:t>
      </w:r>
      <w:r w:rsidRPr="004A2DF3">
        <w:rPr>
          <w:sz w:val="26"/>
          <w:szCs w:val="26"/>
        </w:rPr>
        <w:t>determin</w:t>
      </w:r>
      <w:r w:rsidR="001B276A">
        <w:rPr>
          <w:sz w:val="26"/>
          <w:szCs w:val="26"/>
        </w:rPr>
        <w:t>ing</w:t>
      </w:r>
      <w:r w:rsidRPr="004A2DF3">
        <w:rPr>
          <w:sz w:val="26"/>
          <w:szCs w:val="26"/>
        </w:rPr>
        <w:t xml:space="preserve"> the effects of the TCJA on the tax liabilities of Commission-regulated public utilities for 2018 and future years and the feasibility of reflecting such impacts in the rates charged to Pennsylvania utility ratepayers.</w:t>
      </w:r>
      <w:r w:rsidR="00397116">
        <w:rPr>
          <w:sz w:val="26"/>
          <w:szCs w:val="26"/>
        </w:rPr>
        <w:t xml:space="preserve">  As such, the Commission issued Temporary Rates Orders on March 15</w:t>
      </w:r>
      <w:r w:rsidR="00952DAA">
        <w:rPr>
          <w:sz w:val="26"/>
          <w:szCs w:val="26"/>
        </w:rPr>
        <w:t>, 2018,</w:t>
      </w:r>
      <w:r w:rsidR="00397116">
        <w:rPr>
          <w:sz w:val="26"/>
          <w:szCs w:val="26"/>
        </w:rPr>
        <w:t xml:space="preserve"> and May 17, 2018, while also issuing utility-specific Orders on May 17, 2018</w:t>
      </w:r>
      <w:r w:rsidR="00952DAA">
        <w:rPr>
          <w:sz w:val="26"/>
          <w:szCs w:val="26"/>
        </w:rPr>
        <w:t>.  These Orders</w:t>
      </w:r>
      <w:r w:rsidR="00397116">
        <w:rPr>
          <w:sz w:val="26"/>
          <w:szCs w:val="26"/>
        </w:rPr>
        <w:t xml:space="preserve"> address the </w:t>
      </w:r>
      <w:proofErr w:type="gramStart"/>
      <w:r w:rsidR="00397116">
        <w:rPr>
          <w:sz w:val="26"/>
          <w:szCs w:val="26"/>
        </w:rPr>
        <w:t>manner in which</w:t>
      </w:r>
      <w:proofErr w:type="gramEnd"/>
      <w:r w:rsidR="00397116">
        <w:rPr>
          <w:sz w:val="26"/>
          <w:szCs w:val="26"/>
        </w:rPr>
        <w:t xml:space="preserve"> </w:t>
      </w:r>
      <w:r w:rsidR="00BE5F73">
        <w:rPr>
          <w:sz w:val="26"/>
          <w:szCs w:val="26"/>
        </w:rPr>
        <w:t xml:space="preserve">utilities’ reduced tax obligations </w:t>
      </w:r>
      <w:r w:rsidR="00952DAA">
        <w:rPr>
          <w:sz w:val="26"/>
          <w:szCs w:val="26"/>
        </w:rPr>
        <w:t xml:space="preserve">as a result of the TCJA </w:t>
      </w:r>
      <w:r w:rsidR="00BE5F73">
        <w:rPr>
          <w:sz w:val="26"/>
          <w:szCs w:val="26"/>
        </w:rPr>
        <w:t>will be addressed in rates charged to Pennsylvania’s utility customers.</w:t>
      </w:r>
      <w:r w:rsidR="00C437A1">
        <w:rPr>
          <w:sz w:val="26"/>
          <w:szCs w:val="26"/>
        </w:rPr>
        <w:t xml:space="preserve">  For Pike</w:t>
      </w:r>
      <w:r w:rsidR="00FA3027">
        <w:rPr>
          <w:sz w:val="26"/>
          <w:szCs w:val="26"/>
        </w:rPr>
        <w:t>’s utility-specific Order</w:t>
      </w:r>
      <w:r w:rsidR="00952DAA">
        <w:rPr>
          <w:sz w:val="26"/>
          <w:szCs w:val="26"/>
        </w:rPr>
        <w:t xml:space="preserve"> issued on May 17, 2018</w:t>
      </w:r>
      <w:r w:rsidR="00FA3027">
        <w:rPr>
          <w:sz w:val="26"/>
          <w:szCs w:val="26"/>
        </w:rPr>
        <w:t xml:space="preserve">, </w:t>
      </w:r>
      <w:r w:rsidR="00E052C1">
        <w:rPr>
          <w:sz w:val="26"/>
          <w:szCs w:val="26"/>
        </w:rPr>
        <w:t>the Commission determined that the Company’s “</w:t>
      </w:r>
      <w:r w:rsidR="00E052C1" w:rsidRPr="00F26E29">
        <w:rPr>
          <w:sz w:val="26"/>
          <w:szCs w:val="26"/>
        </w:rPr>
        <w:t xml:space="preserve">existing rates are producing a return in excess of a fair return upon the fair value of the Respondent’s used and useful utility property, and that it is in the public interest to prescribe temporary rates under 66 Pa. C.S. § 1310(d) to reduce Respondent’s current gross annual intrastate operating revenues by </w:t>
      </w:r>
      <w:r w:rsidR="00E052C1">
        <w:rPr>
          <w:sz w:val="26"/>
          <w:szCs w:val="26"/>
        </w:rPr>
        <w:t>-0.67</w:t>
      </w:r>
      <w:r w:rsidR="00E052C1" w:rsidRPr="00BB7EC6">
        <w:rPr>
          <w:sz w:val="26"/>
          <w:szCs w:val="26"/>
        </w:rPr>
        <w:t>%</w:t>
      </w:r>
      <w:r w:rsidR="00E052C1">
        <w:rPr>
          <w:sz w:val="26"/>
          <w:szCs w:val="26"/>
        </w:rPr>
        <w:t>.”</w:t>
      </w:r>
      <w:r w:rsidR="00A02535">
        <w:rPr>
          <w:i/>
          <w:sz w:val="26"/>
          <w:szCs w:val="26"/>
        </w:rPr>
        <w:t xml:space="preserve">  </w:t>
      </w:r>
      <w:r w:rsidR="00E052C1" w:rsidRPr="00E052C1">
        <w:rPr>
          <w:i/>
          <w:sz w:val="26"/>
          <w:szCs w:val="26"/>
        </w:rPr>
        <w:t>See</w:t>
      </w:r>
      <w:r w:rsidR="00E052C1">
        <w:rPr>
          <w:sz w:val="26"/>
          <w:szCs w:val="26"/>
        </w:rPr>
        <w:t xml:space="preserve">, </w:t>
      </w:r>
      <w:r w:rsidR="00E052C1" w:rsidRPr="00E052C1">
        <w:rPr>
          <w:i/>
          <w:sz w:val="26"/>
          <w:szCs w:val="26"/>
        </w:rPr>
        <w:t>Tax Cuts and Jobs Act of 2017 – Pike County Light &amp; Power Company</w:t>
      </w:r>
      <w:r w:rsidR="00E052C1">
        <w:rPr>
          <w:sz w:val="26"/>
          <w:szCs w:val="26"/>
        </w:rPr>
        <w:t xml:space="preserve">, Docket No. R-2018-3000942 at 3. </w:t>
      </w:r>
    </w:p>
    <w:p w14:paraId="38AF1C66" w14:textId="30E14E12" w:rsidR="0093478D" w:rsidRDefault="0093478D" w:rsidP="00E052C1">
      <w:pPr>
        <w:tabs>
          <w:tab w:val="left" w:pos="-720"/>
        </w:tabs>
        <w:suppressAutoHyphens/>
        <w:spacing w:line="360" w:lineRule="auto"/>
        <w:rPr>
          <w:sz w:val="26"/>
          <w:szCs w:val="26"/>
        </w:rPr>
      </w:pPr>
    </w:p>
    <w:p w14:paraId="4E7CDA49" w14:textId="12F69BE3" w:rsidR="0093478D" w:rsidRPr="0093478D" w:rsidRDefault="0093478D" w:rsidP="0093478D">
      <w:pPr>
        <w:tabs>
          <w:tab w:val="left" w:pos="-720"/>
        </w:tabs>
        <w:suppressAutoHyphens/>
        <w:spacing w:line="360" w:lineRule="auto"/>
        <w:rPr>
          <w:sz w:val="26"/>
          <w:szCs w:val="26"/>
        </w:rPr>
      </w:pPr>
      <w:r w:rsidRPr="0093478D">
        <w:rPr>
          <w:sz w:val="26"/>
          <w:szCs w:val="26"/>
        </w:rPr>
        <w:tab/>
        <w:t>However, rather than reduce the subject rates by -0.67%, Pike filed its Petition</w:t>
      </w:r>
    </w:p>
    <w:p w14:paraId="54AAB170" w14:textId="2923F410" w:rsidR="002E2C56" w:rsidRDefault="0093478D" w:rsidP="000D19E8">
      <w:pPr>
        <w:autoSpaceDE w:val="0"/>
        <w:autoSpaceDN w:val="0"/>
        <w:adjustRightInd w:val="0"/>
        <w:spacing w:line="360" w:lineRule="auto"/>
        <w:rPr>
          <w:sz w:val="26"/>
          <w:szCs w:val="26"/>
        </w:rPr>
      </w:pPr>
      <w:r w:rsidRPr="0093478D">
        <w:rPr>
          <w:sz w:val="26"/>
          <w:szCs w:val="26"/>
        </w:rPr>
        <w:t xml:space="preserve">requesting that the Commission reconsider and amend its May 17, 2018 Orders to exempt Pike from decreasing its rates </w:t>
      </w:r>
      <w:r w:rsidR="005B7AF8">
        <w:rPr>
          <w:sz w:val="26"/>
          <w:szCs w:val="26"/>
        </w:rPr>
        <w:t>due to</w:t>
      </w:r>
      <w:r w:rsidRPr="0093478D">
        <w:rPr>
          <w:sz w:val="26"/>
          <w:szCs w:val="26"/>
        </w:rPr>
        <w:t xml:space="preserve"> the extraordinary losses and costs incurred in 2018 from winter </w:t>
      </w:r>
      <w:r w:rsidR="00AB09E4">
        <w:rPr>
          <w:sz w:val="26"/>
          <w:szCs w:val="26"/>
        </w:rPr>
        <w:t>S</w:t>
      </w:r>
      <w:r w:rsidRPr="0093478D">
        <w:rPr>
          <w:sz w:val="26"/>
          <w:szCs w:val="26"/>
        </w:rPr>
        <w:t xml:space="preserve">torm Riley, which if amortized over five years, shows Pike is not earning a return </w:t>
      </w:r>
      <w:proofErr w:type="gramStart"/>
      <w:r w:rsidRPr="0093478D">
        <w:rPr>
          <w:sz w:val="26"/>
          <w:szCs w:val="26"/>
        </w:rPr>
        <w:t>in excess of</w:t>
      </w:r>
      <w:proofErr w:type="gramEnd"/>
      <w:r w:rsidRPr="0093478D">
        <w:rPr>
          <w:sz w:val="26"/>
          <w:szCs w:val="26"/>
        </w:rPr>
        <w:t xml:space="preserve"> 5% of its rate base, but instead approximately 3.93%.</w:t>
      </w:r>
      <w:r w:rsidR="000D19E8">
        <w:rPr>
          <w:sz w:val="26"/>
          <w:szCs w:val="26"/>
        </w:rPr>
        <w:t xml:space="preserve"> P</w:t>
      </w:r>
      <w:r>
        <w:rPr>
          <w:sz w:val="26"/>
          <w:szCs w:val="26"/>
        </w:rPr>
        <w:t>etition at 1.</w:t>
      </w:r>
      <w:r w:rsidR="000D19E8">
        <w:rPr>
          <w:sz w:val="26"/>
          <w:szCs w:val="26"/>
        </w:rPr>
        <w:t xml:space="preserve">  Consequently, </w:t>
      </w:r>
      <w:r w:rsidR="002E2C56">
        <w:rPr>
          <w:sz w:val="26"/>
          <w:szCs w:val="26"/>
        </w:rPr>
        <w:t xml:space="preserve">in its Petition, </w:t>
      </w:r>
      <w:r w:rsidR="000D19E8">
        <w:rPr>
          <w:sz w:val="26"/>
          <w:szCs w:val="26"/>
        </w:rPr>
        <w:t xml:space="preserve">Pike asserts that the projected 3.93% return is less than the 5% rate of return standard required to be met under 66 Pa. C.S. § 1310 before the Commission can set temporary rates.  </w:t>
      </w:r>
      <w:r w:rsidR="000D19E8" w:rsidRPr="000D19E8">
        <w:rPr>
          <w:i/>
          <w:sz w:val="26"/>
          <w:szCs w:val="26"/>
        </w:rPr>
        <w:t>Id</w:t>
      </w:r>
      <w:r w:rsidR="000D19E8">
        <w:rPr>
          <w:sz w:val="26"/>
          <w:szCs w:val="26"/>
        </w:rPr>
        <w:t>. at 2.</w:t>
      </w:r>
      <w:r w:rsidR="00E458B4">
        <w:rPr>
          <w:sz w:val="26"/>
          <w:szCs w:val="26"/>
        </w:rPr>
        <w:t xml:space="preserve">  </w:t>
      </w:r>
    </w:p>
    <w:p w14:paraId="6A0D0F6B" w14:textId="77777777" w:rsidR="002E2C56" w:rsidRDefault="002E2C56" w:rsidP="002E2C56">
      <w:pPr>
        <w:autoSpaceDE w:val="0"/>
        <w:autoSpaceDN w:val="0"/>
        <w:adjustRightInd w:val="0"/>
        <w:spacing w:line="360" w:lineRule="auto"/>
        <w:ind w:left="720" w:firstLine="720"/>
        <w:rPr>
          <w:sz w:val="26"/>
          <w:szCs w:val="26"/>
        </w:rPr>
      </w:pPr>
    </w:p>
    <w:p w14:paraId="59D1CD37" w14:textId="7042D1A8" w:rsidR="0093478D" w:rsidRDefault="00E458B4" w:rsidP="002E2C56">
      <w:pPr>
        <w:autoSpaceDE w:val="0"/>
        <w:autoSpaceDN w:val="0"/>
        <w:adjustRightInd w:val="0"/>
        <w:spacing w:line="360" w:lineRule="auto"/>
        <w:ind w:firstLine="720"/>
        <w:rPr>
          <w:sz w:val="26"/>
          <w:szCs w:val="26"/>
        </w:rPr>
      </w:pPr>
      <w:r>
        <w:rPr>
          <w:sz w:val="26"/>
          <w:szCs w:val="26"/>
        </w:rPr>
        <w:t>In its Answer</w:t>
      </w:r>
      <w:r w:rsidR="00952DAA">
        <w:rPr>
          <w:sz w:val="26"/>
          <w:szCs w:val="26"/>
        </w:rPr>
        <w:t xml:space="preserve"> filed on June 11, 2018</w:t>
      </w:r>
      <w:r>
        <w:rPr>
          <w:sz w:val="26"/>
          <w:szCs w:val="26"/>
        </w:rPr>
        <w:t>, the OCA requests that the</w:t>
      </w:r>
      <w:r w:rsidR="002E2C56">
        <w:rPr>
          <w:sz w:val="26"/>
          <w:szCs w:val="26"/>
        </w:rPr>
        <w:t xml:space="preserve"> </w:t>
      </w:r>
      <w:r>
        <w:rPr>
          <w:sz w:val="26"/>
          <w:szCs w:val="26"/>
        </w:rPr>
        <w:t>Commission deny Pike’s Petition.</w:t>
      </w:r>
      <w:r w:rsidR="000D19E8">
        <w:rPr>
          <w:sz w:val="26"/>
          <w:szCs w:val="26"/>
        </w:rPr>
        <w:t xml:space="preserve">  </w:t>
      </w:r>
      <w:r w:rsidR="00933A9E">
        <w:rPr>
          <w:sz w:val="26"/>
          <w:szCs w:val="26"/>
        </w:rPr>
        <w:t xml:space="preserve">Specifically, the OCA </w:t>
      </w:r>
      <w:r w:rsidR="000B21D5">
        <w:rPr>
          <w:sz w:val="26"/>
          <w:szCs w:val="26"/>
        </w:rPr>
        <w:t xml:space="preserve">states that the Commission should: 1) carefully review Pike’s claimed 3.93% overall rate of return, and 2) decline to recognize the </w:t>
      </w:r>
      <w:r w:rsidR="00AB09E4">
        <w:rPr>
          <w:sz w:val="26"/>
          <w:szCs w:val="26"/>
        </w:rPr>
        <w:t>S</w:t>
      </w:r>
      <w:r w:rsidR="000B21D5">
        <w:rPr>
          <w:sz w:val="26"/>
          <w:szCs w:val="26"/>
        </w:rPr>
        <w:t xml:space="preserve">torm Riley expense as an offset to Pike’s annual operating income.  OCA Answer at 5-6.   </w:t>
      </w:r>
    </w:p>
    <w:p w14:paraId="030BBE7C" w14:textId="77777777" w:rsidR="0093478D" w:rsidRDefault="0093478D" w:rsidP="00E052C1">
      <w:pPr>
        <w:tabs>
          <w:tab w:val="left" w:pos="-720"/>
        </w:tabs>
        <w:suppressAutoHyphens/>
        <w:spacing w:line="360" w:lineRule="auto"/>
        <w:rPr>
          <w:sz w:val="26"/>
          <w:szCs w:val="26"/>
        </w:rPr>
      </w:pPr>
    </w:p>
    <w:p w14:paraId="1F54EEA9" w14:textId="735F168D" w:rsidR="00994AA0" w:rsidRDefault="00994AA0" w:rsidP="00994AA0">
      <w:pPr>
        <w:tabs>
          <w:tab w:val="left" w:pos="-720"/>
        </w:tabs>
        <w:suppressAutoHyphens/>
        <w:spacing w:line="360" w:lineRule="auto"/>
        <w:rPr>
          <w:sz w:val="26"/>
          <w:szCs w:val="26"/>
        </w:rPr>
      </w:pPr>
      <w:r>
        <w:rPr>
          <w:sz w:val="26"/>
          <w:szCs w:val="26"/>
        </w:rPr>
        <w:tab/>
      </w:r>
      <w:r w:rsidR="00742A60">
        <w:rPr>
          <w:sz w:val="26"/>
          <w:szCs w:val="26"/>
        </w:rPr>
        <w:t xml:space="preserve">Prior to the Commission granting reconsideration of </w:t>
      </w:r>
      <w:r w:rsidR="00037CC7">
        <w:rPr>
          <w:sz w:val="26"/>
          <w:szCs w:val="26"/>
        </w:rPr>
        <w:t xml:space="preserve">its May 17, 2018 Orders, it issued a letter to Pike on </w:t>
      </w:r>
      <w:r>
        <w:rPr>
          <w:sz w:val="26"/>
          <w:szCs w:val="26"/>
        </w:rPr>
        <w:t>June 7, 2018</w:t>
      </w:r>
      <w:r w:rsidR="00037CC7">
        <w:rPr>
          <w:sz w:val="26"/>
          <w:szCs w:val="26"/>
        </w:rPr>
        <w:t xml:space="preserve"> </w:t>
      </w:r>
      <w:r>
        <w:rPr>
          <w:sz w:val="26"/>
          <w:szCs w:val="26"/>
        </w:rPr>
        <w:t>which stated:</w:t>
      </w:r>
    </w:p>
    <w:p w14:paraId="61DB234C" w14:textId="22BB51E1" w:rsidR="00994AA0" w:rsidRDefault="00994AA0" w:rsidP="00994AA0">
      <w:pPr>
        <w:tabs>
          <w:tab w:val="left" w:pos="-720"/>
        </w:tabs>
        <w:suppressAutoHyphens/>
        <w:ind w:left="1440" w:right="1440"/>
        <w:rPr>
          <w:sz w:val="26"/>
          <w:szCs w:val="26"/>
        </w:rPr>
      </w:pPr>
      <w:r w:rsidRPr="005B1693">
        <w:rPr>
          <w:sz w:val="26"/>
          <w:szCs w:val="26"/>
        </w:rPr>
        <w:t xml:space="preserve">To assist the Commission in conducting </w:t>
      </w:r>
      <w:r>
        <w:rPr>
          <w:sz w:val="26"/>
          <w:szCs w:val="26"/>
        </w:rPr>
        <w:t>its</w:t>
      </w:r>
      <w:r w:rsidRPr="005B1693">
        <w:rPr>
          <w:sz w:val="26"/>
          <w:szCs w:val="26"/>
        </w:rPr>
        <w:t xml:space="preserve"> review of the proposed </w:t>
      </w:r>
      <w:r>
        <w:rPr>
          <w:sz w:val="26"/>
          <w:szCs w:val="26"/>
        </w:rPr>
        <w:t>petition for reconsideration</w:t>
      </w:r>
      <w:r w:rsidRPr="005B1693">
        <w:rPr>
          <w:sz w:val="26"/>
          <w:szCs w:val="26"/>
        </w:rPr>
        <w:t>, please respond with the information requested in Attachment 1</w:t>
      </w:r>
      <w:r w:rsidR="00AA7A4D">
        <w:rPr>
          <w:sz w:val="26"/>
          <w:szCs w:val="26"/>
        </w:rPr>
        <w:t xml:space="preserve"> [Data Request]</w:t>
      </w:r>
      <w:r w:rsidRPr="005B1693">
        <w:rPr>
          <w:sz w:val="26"/>
          <w:szCs w:val="26"/>
        </w:rPr>
        <w:t xml:space="preserve">. </w:t>
      </w:r>
      <w:r>
        <w:rPr>
          <w:sz w:val="26"/>
          <w:szCs w:val="26"/>
        </w:rPr>
        <w:t xml:space="preserve"> </w:t>
      </w:r>
    </w:p>
    <w:p w14:paraId="4C1F113C" w14:textId="77777777" w:rsidR="00994AA0" w:rsidRDefault="00994AA0" w:rsidP="00994AA0">
      <w:pPr>
        <w:tabs>
          <w:tab w:val="left" w:pos="-720"/>
        </w:tabs>
        <w:suppressAutoHyphens/>
        <w:spacing w:line="360" w:lineRule="auto"/>
        <w:rPr>
          <w:sz w:val="26"/>
          <w:szCs w:val="26"/>
        </w:rPr>
      </w:pPr>
    </w:p>
    <w:p w14:paraId="0B85E326" w14:textId="1A73DA63" w:rsidR="00A02535" w:rsidRDefault="00C714F7" w:rsidP="00E052C1">
      <w:pPr>
        <w:tabs>
          <w:tab w:val="left" w:pos="-720"/>
        </w:tabs>
        <w:suppressAutoHyphens/>
        <w:spacing w:line="360" w:lineRule="auto"/>
        <w:rPr>
          <w:sz w:val="26"/>
          <w:szCs w:val="26"/>
        </w:rPr>
      </w:pPr>
      <w:r w:rsidRPr="00C714F7">
        <w:rPr>
          <w:i/>
          <w:sz w:val="26"/>
          <w:szCs w:val="26"/>
        </w:rPr>
        <w:t>See</w:t>
      </w:r>
      <w:r>
        <w:rPr>
          <w:sz w:val="26"/>
          <w:szCs w:val="26"/>
        </w:rPr>
        <w:t xml:space="preserve">, Letter of June 7, 2018 in </w:t>
      </w:r>
      <w:r w:rsidR="00A74413" w:rsidRPr="00C714F7">
        <w:rPr>
          <w:i/>
          <w:sz w:val="26"/>
          <w:szCs w:val="26"/>
        </w:rPr>
        <w:t>Petition of Pike County Light &amp; Power Company (Electric) for Reconsideration of the Commission’s May 17, 2018 Order</w:t>
      </w:r>
      <w:r>
        <w:rPr>
          <w:sz w:val="26"/>
          <w:szCs w:val="26"/>
        </w:rPr>
        <w:t>, Docket Nos. R</w:t>
      </w:r>
      <w:r w:rsidR="00311D17">
        <w:rPr>
          <w:sz w:val="26"/>
          <w:szCs w:val="26"/>
        </w:rPr>
        <w:noBreakHyphen/>
      </w:r>
      <w:r>
        <w:rPr>
          <w:sz w:val="26"/>
          <w:szCs w:val="26"/>
        </w:rPr>
        <w:t>2018</w:t>
      </w:r>
      <w:r w:rsidR="00311D17">
        <w:rPr>
          <w:sz w:val="26"/>
          <w:szCs w:val="26"/>
        </w:rPr>
        <w:noBreakHyphen/>
      </w:r>
      <w:r>
        <w:rPr>
          <w:sz w:val="26"/>
          <w:szCs w:val="26"/>
        </w:rPr>
        <w:t>3000942 and M-2018-2641242.</w:t>
      </w:r>
      <w:r w:rsidR="00994AA0">
        <w:rPr>
          <w:sz w:val="26"/>
          <w:szCs w:val="26"/>
        </w:rPr>
        <w:t xml:space="preserve">  Attachment 1</w:t>
      </w:r>
      <w:r w:rsidR="00AA7A4D">
        <w:rPr>
          <w:sz w:val="26"/>
          <w:szCs w:val="26"/>
        </w:rPr>
        <w:t xml:space="preserve"> [Data Request]</w:t>
      </w:r>
      <w:r w:rsidR="00994AA0">
        <w:rPr>
          <w:sz w:val="26"/>
          <w:szCs w:val="26"/>
        </w:rPr>
        <w:t xml:space="preserve"> </w:t>
      </w:r>
      <w:r w:rsidR="00952DAA">
        <w:rPr>
          <w:sz w:val="26"/>
          <w:szCs w:val="26"/>
        </w:rPr>
        <w:t xml:space="preserve">to the letter </w:t>
      </w:r>
      <w:r w:rsidR="00994AA0">
        <w:rPr>
          <w:sz w:val="26"/>
          <w:szCs w:val="26"/>
        </w:rPr>
        <w:t xml:space="preserve">contains seven (7) </w:t>
      </w:r>
      <w:r w:rsidR="00036F7D">
        <w:rPr>
          <w:sz w:val="26"/>
          <w:szCs w:val="26"/>
        </w:rPr>
        <w:t>data requests</w:t>
      </w:r>
      <w:r w:rsidR="00994AA0">
        <w:rPr>
          <w:sz w:val="26"/>
          <w:szCs w:val="26"/>
        </w:rPr>
        <w:t xml:space="preserve">, including subparts, seeking information which the Commission could </w:t>
      </w:r>
      <w:r w:rsidR="00952DAA">
        <w:rPr>
          <w:sz w:val="26"/>
          <w:szCs w:val="26"/>
        </w:rPr>
        <w:t>consider</w:t>
      </w:r>
      <w:r w:rsidR="00994AA0">
        <w:rPr>
          <w:sz w:val="26"/>
          <w:szCs w:val="26"/>
        </w:rPr>
        <w:t xml:space="preserve"> in deciding the merits of Pike’s Petition.</w:t>
      </w:r>
      <w:r w:rsidR="003975BE">
        <w:rPr>
          <w:sz w:val="26"/>
          <w:szCs w:val="26"/>
        </w:rPr>
        <w:t xml:space="preserve">  </w:t>
      </w:r>
      <w:r w:rsidR="00AA7A4D">
        <w:rPr>
          <w:sz w:val="26"/>
          <w:szCs w:val="26"/>
        </w:rPr>
        <w:t xml:space="preserve">Specifically, the questions </w:t>
      </w:r>
      <w:r w:rsidR="00AA7A4D" w:rsidRPr="00AA7A4D">
        <w:rPr>
          <w:sz w:val="26"/>
          <w:szCs w:val="26"/>
        </w:rPr>
        <w:t>referenced the following three filings: (a) Pike’s 2017 Electric Annual Report (Annual Report) submitted on April 27, 2018; (b) Pike’s Public Utility Earnings Report (Quarterly Report) of electric department earnings for the twelve months ended December 31, 2017, filed on May 21, 2018; and, (c) Pike’s Petition</w:t>
      </w:r>
      <w:r w:rsidR="00AA7A4D">
        <w:rPr>
          <w:sz w:val="26"/>
          <w:szCs w:val="26"/>
        </w:rPr>
        <w:t xml:space="preserve"> (in particular, </w:t>
      </w:r>
      <w:r w:rsidR="00AA7A4D" w:rsidRPr="00AA7A4D">
        <w:rPr>
          <w:sz w:val="26"/>
          <w:szCs w:val="26"/>
        </w:rPr>
        <w:t xml:space="preserve">as </w:t>
      </w:r>
      <w:r w:rsidR="00036F7D">
        <w:rPr>
          <w:sz w:val="26"/>
          <w:szCs w:val="26"/>
        </w:rPr>
        <w:t>the Petition</w:t>
      </w:r>
      <w:r w:rsidR="00AA7A4D" w:rsidRPr="00AA7A4D">
        <w:rPr>
          <w:sz w:val="26"/>
          <w:szCs w:val="26"/>
        </w:rPr>
        <w:t xml:space="preserve"> relates to Attachment 1 of </w:t>
      </w:r>
      <w:r w:rsidR="00AA7A4D">
        <w:rPr>
          <w:sz w:val="26"/>
          <w:szCs w:val="26"/>
        </w:rPr>
        <w:t>Pike’s</w:t>
      </w:r>
      <w:r w:rsidR="00AA7A4D" w:rsidRPr="00AA7A4D">
        <w:rPr>
          <w:sz w:val="26"/>
          <w:szCs w:val="26"/>
        </w:rPr>
        <w:t xml:space="preserve"> Petition regarding </w:t>
      </w:r>
      <w:r w:rsidR="00AA7A4D">
        <w:rPr>
          <w:sz w:val="26"/>
          <w:szCs w:val="26"/>
        </w:rPr>
        <w:t>the Company’s</w:t>
      </w:r>
      <w:r w:rsidR="00AA7A4D" w:rsidRPr="00AA7A4D">
        <w:rPr>
          <w:sz w:val="26"/>
          <w:szCs w:val="26"/>
        </w:rPr>
        <w:t xml:space="preserve"> Income Statement for the 12 months ended April 30, 2018</w:t>
      </w:r>
      <w:r w:rsidR="00AA7A4D">
        <w:rPr>
          <w:sz w:val="26"/>
          <w:szCs w:val="26"/>
        </w:rPr>
        <w:t>)</w:t>
      </w:r>
      <w:r w:rsidR="00AA7A4D" w:rsidRPr="00AA7A4D">
        <w:rPr>
          <w:sz w:val="26"/>
          <w:szCs w:val="26"/>
        </w:rPr>
        <w:t xml:space="preserve">.  </w:t>
      </w:r>
    </w:p>
    <w:p w14:paraId="6EBF5936" w14:textId="77777777" w:rsidR="00A02535" w:rsidRDefault="00A02535" w:rsidP="00E052C1">
      <w:pPr>
        <w:tabs>
          <w:tab w:val="left" w:pos="-720"/>
        </w:tabs>
        <w:suppressAutoHyphens/>
        <w:spacing w:line="360" w:lineRule="auto"/>
        <w:rPr>
          <w:sz w:val="26"/>
          <w:szCs w:val="26"/>
        </w:rPr>
      </w:pPr>
    </w:p>
    <w:p w14:paraId="62C4EDEA" w14:textId="303AAAAE" w:rsidR="00A02535" w:rsidRDefault="00A02535" w:rsidP="00E052C1">
      <w:pPr>
        <w:tabs>
          <w:tab w:val="left" w:pos="-720"/>
        </w:tabs>
        <w:suppressAutoHyphens/>
        <w:spacing w:line="360" w:lineRule="auto"/>
        <w:rPr>
          <w:sz w:val="26"/>
          <w:szCs w:val="26"/>
        </w:rPr>
      </w:pPr>
      <w:r>
        <w:rPr>
          <w:sz w:val="26"/>
          <w:szCs w:val="26"/>
        </w:rPr>
        <w:tab/>
      </w:r>
      <w:r w:rsidR="00AA7A4D" w:rsidRPr="00AA7A4D">
        <w:rPr>
          <w:sz w:val="26"/>
          <w:szCs w:val="26"/>
        </w:rPr>
        <w:t>Within and across the</w:t>
      </w:r>
      <w:r w:rsidR="003975BE">
        <w:rPr>
          <w:sz w:val="26"/>
          <w:szCs w:val="26"/>
        </w:rPr>
        <w:t xml:space="preserve"> two reports</w:t>
      </w:r>
      <w:r w:rsidR="0018394B">
        <w:rPr>
          <w:sz w:val="26"/>
          <w:szCs w:val="26"/>
        </w:rPr>
        <w:t xml:space="preserve"> (Annual and Quarterly)</w:t>
      </w:r>
      <w:r w:rsidR="003975BE">
        <w:rPr>
          <w:sz w:val="26"/>
          <w:szCs w:val="26"/>
        </w:rPr>
        <w:t xml:space="preserve"> and </w:t>
      </w:r>
      <w:r w:rsidR="00036F7D">
        <w:rPr>
          <w:sz w:val="26"/>
          <w:szCs w:val="26"/>
        </w:rPr>
        <w:t>I</w:t>
      </w:r>
      <w:r w:rsidR="003975BE">
        <w:rPr>
          <w:sz w:val="26"/>
          <w:szCs w:val="26"/>
        </w:rPr>
        <w:t xml:space="preserve">ncome </w:t>
      </w:r>
      <w:r w:rsidR="00036F7D">
        <w:rPr>
          <w:sz w:val="26"/>
          <w:szCs w:val="26"/>
        </w:rPr>
        <w:t>S</w:t>
      </w:r>
      <w:r w:rsidR="003975BE">
        <w:rPr>
          <w:sz w:val="26"/>
          <w:szCs w:val="26"/>
        </w:rPr>
        <w:t>tatement</w:t>
      </w:r>
      <w:r w:rsidR="00AA7A4D" w:rsidRPr="00AA7A4D">
        <w:rPr>
          <w:sz w:val="26"/>
          <w:szCs w:val="26"/>
        </w:rPr>
        <w:t xml:space="preserve">, the Commission found </w:t>
      </w:r>
      <w:r w:rsidR="003975BE">
        <w:rPr>
          <w:sz w:val="26"/>
          <w:szCs w:val="26"/>
        </w:rPr>
        <w:t xml:space="preserve">numerous inconsistencies and </w:t>
      </w:r>
      <w:r w:rsidR="00024324">
        <w:rPr>
          <w:sz w:val="26"/>
          <w:szCs w:val="26"/>
        </w:rPr>
        <w:t>probable</w:t>
      </w:r>
      <w:r w:rsidR="003975BE">
        <w:rPr>
          <w:sz w:val="26"/>
          <w:szCs w:val="26"/>
        </w:rPr>
        <w:t xml:space="preserve"> errors</w:t>
      </w:r>
      <w:r w:rsidR="00AA7A4D" w:rsidRPr="00AA7A4D">
        <w:rPr>
          <w:sz w:val="26"/>
          <w:szCs w:val="26"/>
        </w:rPr>
        <w:t>.</w:t>
      </w:r>
      <w:r w:rsidR="0018394B">
        <w:rPr>
          <w:sz w:val="26"/>
          <w:szCs w:val="26"/>
        </w:rPr>
        <w:t xml:space="preserve">  </w:t>
      </w:r>
      <w:r w:rsidR="00024324">
        <w:rPr>
          <w:sz w:val="26"/>
          <w:szCs w:val="26"/>
        </w:rPr>
        <w:t xml:space="preserve">As such, the Commission’s </w:t>
      </w:r>
      <w:r w:rsidR="00036F7D">
        <w:rPr>
          <w:sz w:val="26"/>
          <w:szCs w:val="26"/>
        </w:rPr>
        <w:t>data requests</w:t>
      </w:r>
      <w:r w:rsidR="00024324">
        <w:rPr>
          <w:sz w:val="26"/>
          <w:szCs w:val="26"/>
        </w:rPr>
        <w:t xml:space="preserve"> </w:t>
      </w:r>
      <w:r w:rsidR="00AA7A4D" w:rsidRPr="00AA7A4D">
        <w:rPr>
          <w:sz w:val="26"/>
          <w:szCs w:val="26"/>
        </w:rPr>
        <w:t xml:space="preserve">revolved around the accuracy of several items and accounts within the </w:t>
      </w:r>
      <w:r w:rsidR="00036F7D">
        <w:rPr>
          <w:sz w:val="26"/>
          <w:szCs w:val="26"/>
        </w:rPr>
        <w:t xml:space="preserve">two </w:t>
      </w:r>
      <w:r w:rsidR="00024324">
        <w:rPr>
          <w:sz w:val="26"/>
          <w:szCs w:val="26"/>
        </w:rPr>
        <w:t xml:space="preserve">reports and </w:t>
      </w:r>
      <w:r w:rsidR="00036F7D">
        <w:rPr>
          <w:sz w:val="26"/>
          <w:szCs w:val="26"/>
        </w:rPr>
        <w:t xml:space="preserve">the </w:t>
      </w:r>
      <w:r w:rsidR="00024324">
        <w:rPr>
          <w:sz w:val="26"/>
          <w:szCs w:val="26"/>
        </w:rPr>
        <w:t>income statement</w:t>
      </w:r>
      <w:r w:rsidR="00AA7A4D" w:rsidRPr="00AA7A4D">
        <w:rPr>
          <w:sz w:val="26"/>
          <w:szCs w:val="26"/>
        </w:rPr>
        <w:t xml:space="preserve">, as well as the Company’s calculation of its rate of return within the Quarterly Report.  As directed by </w:t>
      </w:r>
      <w:r w:rsidR="00036F7D">
        <w:rPr>
          <w:sz w:val="26"/>
          <w:szCs w:val="26"/>
        </w:rPr>
        <w:t>Attachment 1 [</w:t>
      </w:r>
      <w:r w:rsidR="00AA7A4D" w:rsidRPr="00AA7A4D">
        <w:rPr>
          <w:sz w:val="26"/>
          <w:szCs w:val="26"/>
        </w:rPr>
        <w:t>Data Request</w:t>
      </w:r>
      <w:r w:rsidR="00036F7D">
        <w:rPr>
          <w:sz w:val="26"/>
          <w:szCs w:val="26"/>
        </w:rPr>
        <w:t>]</w:t>
      </w:r>
      <w:r w:rsidR="00AA7A4D" w:rsidRPr="00AA7A4D">
        <w:rPr>
          <w:sz w:val="26"/>
          <w:szCs w:val="26"/>
        </w:rPr>
        <w:t>, the Commission requested that the Company address these various issues and provide additional financial statements within a period of ten days</w:t>
      </w:r>
      <w:r w:rsidR="0018394B">
        <w:rPr>
          <w:sz w:val="26"/>
          <w:szCs w:val="26"/>
        </w:rPr>
        <w:t xml:space="preserve"> </w:t>
      </w:r>
      <w:proofErr w:type="gramStart"/>
      <w:r w:rsidR="0018394B">
        <w:rPr>
          <w:sz w:val="26"/>
          <w:szCs w:val="26"/>
        </w:rPr>
        <w:t>in order to</w:t>
      </w:r>
      <w:proofErr w:type="gramEnd"/>
      <w:r w:rsidR="0018394B">
        <w:rPr>
          <w:sz w:val="26"/>
          <w:szCs w:val="26"/>
        </w:rPr>
        <w:t xml:space="preserve"> address the merits of Pike’s Petition</w:t>
      </w:r>
      <w:r w:rsidR="00AA7A4D" w:rsidRPr="00AA7A4D">
        <w:rPr>
          <w:sz w:val="26"/>
          <w:szCs w:val="26"/>
        </w:rPr>
        <w:t xml:space="preserve">.  </w:t>
      </w:r>
    </w:p>
    <w:p w14:paraId="5F1B7D22" w14:textId="77777777" w:rsidR="00A02535" w:rsidRDefault="00A02535" w:rsidP="00E052C1">
      <w:pPr>
        <w:tabs>
          <w:tab w:val="left" w:pos="-720"/>
        </w:tabs>
        <w:suppressAutoHyphens/>
        <w:spacing w:line="360" w:lineRule="auto"/>
        <w:rPr>
          <w:sz w:val="26"/>
          <w:szCs w:val="26"/>
        </w:rPr>
      </w:pPr>
    </w:p>
    <w:p w14:paraId="16617E7F" w14:textId="79AEDFD4" w:rsidR="00854F3B" w:rsidRDefault="00A02535" w:rsidP="00E052C1">
      <w:pPr>
        <w:tabs>
          <w:tab w:val="left" w:pos="-720"/>
        </w:tabs>
        <w:suppressAutoHyphens/>
        <w:spacing w:line="360" w:lineRule="auto"/>
        <w:rPr>
          <w:sz w:val="26"/>
          <w:szCs w:val="26"/>
        </w:rPr>
      </w:pPr>
      <w:r>
        <w:rPr>
          <w:sz w:val="26"/>
          <w:szCs w:val="26"/>
        </w:rPr>
        <w:tab/>
      </w:r>
      <w:r w:rsidR="00CE3178">
        <w:rPr>
          <w:sz w:val="26"/>
          <w:szCs w:val="26"/>
        </w:rPr>
        <w:t>On August 10, 2018</w:t>
      </w:r>
      <w:r w:rsidR="00CE6455">
        <w:rPr>
          <w:sz w:val="26"/>
          <w:szCs w:val="26"/>
        </w:rPr>
        <w:t xml:space="preserve"> (</w:t>
      </w:r>
      <w:r w:rsidR="00AF2A31">
        <w:rPr>
          <w:sz w:val="26"/>
          <w:szCs w:val="26"/>
        </w:rPr>
        <w:t xml:space="preserve">53 days after the </w:t>
      </w:r>
      <w:r w:rsidR="005833C7">
        <w:rPr>
          <w:sz w:val="26"/>
          <w:szCs w:val="26"/>
        </w:rPr>
        <w:t>due date set by the Commission</w:t>
      </w:r>
      <w:r w:rsidR="00CE6455">
        <w:rPr>
          <w:sz w:val="26"/>
          <w:szCs w:val="26"/>
        </w:rPr>
        <w:t>)</w:t>
      </w:r>
      <w:r w:rsidR="005833C7">
        <w:rPr>
          <w:sz w:val="26"/>
          <w:szCs w:val="26"/>
        </w:rPr>
        <w:t>, Pike provided responses to the data request</w:t>
      </w:r>
      <w:r w:rsidR="009A54FF">
        <w:rPr>
          <w:sz w:val="26"/>
          <w:szCs w:val="26"/>
        </w:rPr>
        <w:t>s</w:t>
      </w:r>
      <w:r w:rsidR="005833C7">
        <w:rPr>
          <w:sz w:val="26"/>
          <w:szCs w:val="26"/>
        </w:rPr>
        <w:t xml:space="preserve"> issued on June 7</w:t>
      </w:r>
      <w:r w:rsidR="005833C7" w:rsidRPr="005833C7">
        <w:rPr>
          <w:sz w:val="26"/>
          <w:szCs w:val="26"/>
          <w:vertAlign w:val="superscript"/>
        </w:rPr>
        <w:t>th</w:t>
      </w:r>
      <w:r w:rsidR="005833C7">
        <w:rPr>
          <w:sz w:val="26"/>
          <w:szCs w:val="26"/>
        </w:rPr>
        <w:t>.</w:t>
      </w:r>
      <w:r w:rsidR="00CA209D">
        <w:rPr>
          <w:sz w:val="26"/>
          <w:szCs w:val="26"/>
        </w:rPr>
        <w:t xml:space="preserve">  </w:t>
      </w:r>
      <w:r w:rsidR="00660371">
        <w:rPr>
          <w:sz w:val="26"/>
          <w:szCs w:val="26"/>
        </w:rPr>
        <w:t xml:space="preserve">Included with its responses, </w:t>
      </w:r>
      <w:r w:rsidR="00CA209D">
        <w:rPr>
          <w:sz w:val="26"/>
          <w:szCs w:val="26"/>
        </w:rPr>
        <w:t>Pike also incl</w:t>
      </w:r>
      <w:r w:rsidR="00D20E4A">
        <w:rPr>
          <w:sz w:val="26"/>
          <w:szCs w:val="26"/>
        </w:rPr>
        <w:t>uded a revised Annual Report</w:t>
      </w:r>
      <w:r w:rsidR="00660371">
        <w:rPr>
          <w:sz w:val="26"/>
          <w:szCs w:val="26"/>
        </w:rPr>
        <w:t xml:space="preserve"> (filed on August 10</w:t>
      </w:r>
      <w:r w:rsidR="00660371" w:rsidRPr="00660371">
        <w:rPr>
          <w:sz w:val="26"/>
          <w:szCs w:val="26"/>
          <w:vertAlign w:val="superscript"/>
        </w:rPr>
        <w:t>th</w:t>
      </w:r>
      <w:r w:rsidR="00660371">
        <w:rPr>
          <w:sz w:val="26"/>
          <w:szCs w:val="26"/>
        </w:rPr>
        <w:t xml:space="preserve"> as well).</w:t>
      </w:r>
      <w:r w:rsidR="00667D63">
        <w:rPr>
          <w:sz w:val="26"/>
          <w:szCs w:val="26"/>
        </w:rPr>
        <w:t xml:space="preserve">  As explained below, </w:t>
      </w:r>
      <w:r w:rsidR="005B7AF8">
        <w:rPr>
          <w:sz w:val="26"/>
          <w:szCs w:val="26"/>
        </w:rPr>
        <w:t xml:space="preserve">based on its review of the financial data and other information submitted by Pike to date, </w:t>
      </w:r>
      <w:r w:rsidR="00667D63">
        <w:rPr>
          <w:sz w:val="26"/>
          <w:szCs w:val="26"/>
        </w:rPr>
        <w:t xml:space="preserve">the Commission hereby denies </w:t>
      </w:r>
      <w:r w:rsidR="005B7AF8">
        <w:rPr>
          <w:sz w:val="26"/>
          <w:szCs w:val="26"/>
        </w:rPr>
        <w:t>the Company</w:t>
      </w:r>
      <w:r w:rsidR="00667D63">
        <w:rPr>
          <w:sz w:val="26"/>
          <w:szCs w:val="26"/>
        </w:rPr>
        <w:t xml:space="preserve">’s Petition. </w:t>
      </w:r>
    </w:p>
    <w:p w14:paraId="3AD9ABE1" w14:textId="4DA33AA1" w:rsidR="00854F3B" w:rsidRDefault="00854F3B" w:rsidP="00E052C1">
      <w:pPr>
        <w:tabs>
          <w:tab w:val="left" w:pos="-720"/>
        </w:tabs>
        <w:suppressAutoHyphens/>
        <w:spacing w:line="360" w:lineRule="auto"/>
        <w:rPr>
          <w:sz w:val="26"/>
          <w:szCs w:val="26"/>
        </w:rPr>
      </w:pPr>
    </w:p>
    <w:p w14:paraId="0A0D1240" w14:textId="662FF6FF" w:rsidR="008C7340" w:rsidRDefault="008C7340" w:rsidP="00E052C1">
      <w:pPr>
        <w:tabs>
          <w:tab w:val="left" w:pos="-720"/>
        </w:tabs>
        <w:suppressAutoHyphens/>
        <w:spacing w:line="360" w:lineRule="auto"/>
        <w:rPr>
          <w:b/>
          <w:sz w:val="26"/>
          <w:szCs w:val="26"/>
        </w:rPr>
      </w:pPr>
      <w:r w:rsidRPr="0093478D">
        <w:rPr>
          <w:b/>
          <w:sz w:val="26"/>
          <w:szCs w:val="26"/>
        </w:rPr>
        <w:t>Discussion</w:t>
      </w:r>
    </w:p>
    <w:p w14:paraId="61D2C174" w14:textId="56875672" w:rsidR="00F71501" w:rsidRDefault="008C7340" w:rsidP="00E052C1">
      <w:pPr>
        <w:tabs>
          <w:tab w:val="left" w:pos="-720"/>
        </w:tabs>
        <w:suppressAutoHyphens/>
        <w:spacing w:line="360" w:lineRule="auto"/>
        <w:rPr>
          <w:sz w:val="26"/>
          <w:szCs w:val="26"/>
        </w:rPr>
      </w:pPr>
      <w:r>
        <w:rPr>
          <w:sz w:val="26"/>
          <w:szCs w:val="26"/>
        </w:rPr>
        <w:tab/>
        <w:t>Despite submitting its responses to the June 7</w:t>
      </w:r>
      <w:r w:rsidRPr="008C7340">
        <w:rPr>
          <w:sz w:val="26"/>
          <w:szCs w:val="26"/>
          <w:vertAlign w:val="superscript"/>
        </w:rPr>
        <w:t>th</w:t>
      </w:r>
      <w:r>
        <w:rPr>
          <w:sz w:val="26"/>
          <w:szCs w:val="26"/>
        </w:rPr>
        <w:t xml:space="preserve"> data requests nearly two months after the due date requested by the Commission, the information provided by the Company is still internally </w:t>
      </w:r>
      <w:r w:rsidR="00912C08">
        <w:rPr>
          <w:sz w:val="26"/>
          <w:szCs w:val="26"/>
        </w:rPr>
        <w:t>in</w:t>
      </w:r>
      <w:r>
        <w:rPr>
          <w:sz w:val="26"/>
          <w:szCs w:val="26"/>
        </w:rPr>
        <w:t>consistent</w:t>
      </w:r>
      <w:r w:rsidR="003749A0">
        <w:rPr>
          <w:sz w:val="26"/>
          <w:szCs w:val="26"/>
        </w:rPr>
        <w:t>, thereby, raising more questions than answers as the Commission address</w:t>
      </w:r>
      <w:r w:rsidR="00CD7A2D">
        <w:rPr>
          <w:sz w:val="26"/>
          <w:szCs w:val="26"/>
        </w:rPr>
        <w:t>es</w:t>
      </w:r>
      <w:r w:rsidR="003749A0">
        <w:rPr>
          <w:sz w:val="26"/>
          <w:szCs w:val="26"/>
        </w:rPr>
        <w:t xml:space="preserve"> the Company’s Petition on the merits</w:t>
      </w:r>
      <w:r w:rsidR="00CD7A2D">
        <w:rPr>
          <w:sz w:val="26"/>
          <w:szCs w:val="26"/>
        </w:rPr>
        <w:t xml:space="preserve"> as well as the Company’s overall rate of return</w:t>
      </w:r>
      <w:r w:rsidR="003749A0">
        <w:rPr>
          <w:sz w:val="26"/>
          <w:szCs w:val="26"/>
        </w:rPr>
        <w:t>.</w:t>
      </w:r>
      <w:r w:rsidR="00AA3D62">
        <w:rPr>
          <w:sz w:val="26"/>
          <w:szCs w:val="26"/>
        </w:rPr>
        <w:t xml:space="preserve">  </w:t>
      </w:r>
      <w:r w:rsidR="005F2E44">
        <w:rPr>
          <w:sz w:val="26"/>
          <w:szCs w:val="26"/>
        </w:rPr>
        <w:t>Most importantly, Pike</w:t>
      </w:r>
      <w:r w:rsidR="00013B8D">
        <w:rPr>
          <w:sz w:val="26"/>
          <w:szCs w:val="26"/>
        </w:rPr>
        <w:t>’s</w:t>
      </w:r>
      <w:r w:rsidR="005F2E44">
        <w:rPr>
          <w:sz w:val="26"/>
          <w:szCs w:val="26"/>
        </w:rPr>
        <w:t xml:space="preserve"> revised Income Statement</w:t>
      </w:r>
      <w:r w:rsidR="00013B8D">
        <w:rPr>
          <w:sz w:val="26"/>
          <w:szCs w:val="26"/>
        </w:rPr>
        <w:t xml:space="preserve"> reflects an overall rate of return that is reduced by</w:t>
      </w:r>
      <w:r w:rsidR="00353012">
        <w:rPr>
          <w:sz w:val="26"/>
          <w:szCs w:val="26"/>
        </w:rPr>
        <w:t xml:space="preserve"> the inclusion of</w:t>
      </w:r>
      <w:r w:rsidR="00013B8D">
        <w:rPr>
          <w:sz w:val="26"/>
          <w:szCs w:val="26"/>
        </w:rPr>
        <w:t xml:space="preserve"> claimed costs resulting from Storm Riley</w:t>
      </w:r>
      <w:r w:rsidR="00EA00B7">
        <w:rPr>
          <w:sz w:val="26"/>
          <w:szCs w:val="26"/>
        </w:rPr>
        <w:t>.</w:t>
      </w:r>
      <w:r w:rsidR="00D57061">
        <w:rPr>
          <w:sz w:val="26"/>
          <w:szCs w:val="26"/>
        </w:rPr>
        <w:t xml:space="preserve">  However, any treatment of these claimed costs would be more appropriately addressed in the Company’s next base rate proceeding.  </w:t>
      </w:r>
      <w:r w:rsidR="00BC6223">
        <w:rPr>
          <w:sz w:val="26"/>
          <w:szCs w:val="26"/>
        </w:rPr>
        <w:t>Similarly</w:t>
      </w:r>
      <w:r w:rsidR="00EA00B7">
        <w:rPr>
          <w:sz w:val="26"/>
          <w:szCs w:val="26"/>
        </w:rPr>
        <w:t>, the Income Statement reflects an immediate five-year amortization of the Storm Riley costs</w:t>
      </w:r>
      <w:r w:rsidR="00454100">
        <w:rPr>
          <w:sz w:val="26"/>
          <w:szCs w:val="26"/>
        </w:rPr>
        <w:t xml:space="preserve"> and such proposed ratemaking treatment of these costs</w:t>
      </w:r>
      <w:r w:rsidR="00BC6223">
        <w:rPr>
          <w:sz w:val="26"/>
          <w:szCs w:val="26"/>
        </w:rPr>
        <w:t xml:space="preserve"> would also be more appropriately addressed in the Company’s next base rate proceeding.</w:t>
      </w:r>
      <w:r w:rsidR="00AA3D62">
        <w:rPr>
          <w:sz w:val="26"/>
          <w:szCs w:val="26"/>
        </w:rPr>
        <w:t xml:space="preserve">  </w:t>
      </w:r>
      <w:r w:rsidR="00BC6223">
        <w:rPr>
          <w:sz w:val="26"/>
          <w:szCs w:val="26"/>
        </w:rPr>
        <w:t xml:space="preserve">  </w:t>
      </w:r>
    </w:p>
    <w:p w14:paraId="58B55D8B" w14:textId="77777777" w:rsidR="00F71501" w:rsidRDefault="00F71501" w:rsidP="00E052C1">
      <w:pPr>
        <w:tabs>
          <w:tab w:val="left" w:pos="-720"/>
        </w:tabs>
        <w:suppressAutoHyphens/>
        <w:spacing w:line="360" w:lineRule="auto"/>
        <w:rPr>
          <w:sz w:val="26"/>
          <w:szCs w:val="26"/>
        </w:rPr>
      </w:pPr>
    </w:p>
    <w:p w14:paraId="0B4B59F9" w14:textId="40D2813A" w:rsidR="00454100" w:rsidRDefault="00F71501" w:rsidP="00E052C1">
      <w:pPr>
        <w:tabs>
          <w:tab w:val="left" w:pos="-720"/>
        </w:tabs>
        <w:suppressAutoHyphens/>
        <w:spacing w:line="360" w:lineRule="auto"/>
        <w:rPr>
          <w:sz w:val="26"/>
          <w:szCs w:val="26"/>
        </w:rPr>
      </w:pPr>
      <w:r>
        <w:rPr>
          <w:sz w:val="26"/>
          <w:szCs w:val="26"/>
        </w:rPr>
        <w:tab/>
      </w:r>
      <w:r w:rsidR="00BC6223">
        <w:rPr>
          <w:sz w:val="26"/>
          <w:szCs w:val="26"/>
        </w:rPr>
        <w:t>Further</w:t>
      </w:r>
      <w:r w:rsidR="00EA00B7">
        <w:rPr>
          <w:sz w:val="26"/>
          <w:szCs w:val="26"/>
        </w:rPr>
        <w:t>, in its Petition, Pike reque</w:t>
      </w:r>
      <w:r w:rsidR="00B616A8">
        <w:rPr>
          <w:sz w:val="26"/>
          <w:szCs w:val="26"/>
        </w:rPr>
        <w:t xml:space="preserve">sts “permission to defer for accounting and financial reporting purposes extraordinary losses that were caused by Storm Riley and to </w:t>
      </w:r>
      <w:r w:rsidR="00B616A8" w:rsidRPr="00B616A8">
        <w:rPr>
          <w:i/>
          <w:sz w:val="26"/>
          <w:szCs w:val="26"/>
        </w:rPr>
        <w:t>amortize such losses commencing upon the effective date of changes in rates pursuant to the Commission’s final order in PCL&amp;P’s next general rate proceeding under Section 1308(d) of the Public Utility Code, 66 Pa. C.S. § 1308(d)</w:t>
      </w:r>
      <w:r w:rsidR="00B616A8">
        <w:rPr>
          <w:sz w:val="26"/>
          <w:szCs w:val="26"/>
        </w:rPr>
        <w:t>”.  Petition at 1 (</w:t>
      </w:r>
      <w:r w:rsidR="00B616A8" w:rsidRPr="00B616A8">
        <w:rPr>
          <w:i/>
          <w:sz w:val="26"/>
          <w:szCs w:val="26"/>
        </w:rPr>
        <w:t>emphasis added</w:t>
      </w:r>
      <w:r w:rsidR="00B616A8">
        <w:rPr>
          <w:sz w:val="26"/>
          <w:szCs w:val="26"/>
        </w:rPr>
        <w:t>).</w:t>
      </w:r>
      <w:r w:rsidR="00BC6223">
        <w:rPr>
          <w:sz w:val="26"/>
          <w:szCs w:val="26"/>
        </w:rPr>
        <w:t xml:space="preserve">  As such, the five-year </w:t>
      </w:r>
      <w:r w:rsidR="00BC1367">
        <w:rPr>
          <w:sz w:val="26"/>
          <w:szCs w:val="26"/>
        </w:rPr>
        <w:t xml:space="preserve">immediate </w:t>
      </w:r>
      <w:r w:rsidR="00BC6223">
        <w:rPr>
          <w:sz w:val="26"/>
          <w:szCs w:val="26"/>
        </w:rPr>
        <w:t xml:space="preserve">amortization in the revised Income Statement is not even consistent with the Company’s requested </w:t>
      </w:r>
      <w:r w:rsidR="00454100">
        <w:rPr>
          <w:sz w:val="26"/>
          <w:szCs w:val="26"/>
        </w:rPr>
        <w:t>implementation date for the recovery of these costs as stated</w:t>
      </w:r>
      <w:r w:rsidR="00BC6223">
        <w:rPr>
          <w:sz w:val="26"/>
          <w:szCs w:val="26"/>
        </w:rPr>
        <w:t xml:space="preserve"> in its Petition.</w:t>
      </w:r>
      <w:r w:rsidR="00454100">
        <w:rPr>
          <w:sz w:val="26"/>
          <w:szCs w:val="26"/>
        </w:rPr>
        <w:t xml:space="preserve">  Therefore, the Commission, hereby, rejects Pike’s request that it be </w:t>
      </w:r>
      <w:r w:rsidR="00454100" w:rsidRPr="0093478D">
        <w:rPr>
          <w:sz w:val="26"/>
          <w:szCs w:val="26"/>
        </w:rPr>
        <w:t>exempt</w:t>
      </w:r>
      <w:r w:rsidR="00454100">
        <w:rPr>
          <w:sz w:val="26"/>
          <w:szCs w:val="26"/>
        </w:rPr>
        <w:t>ed</w:t>
      </w:r>
      <w:r w:rsidR="00454100" w:rsidRPr="0093478D">
        <w:rPr>
          <w:sz w:val="26"/>
          <w:szCs w:val="26"/>
        </w:rPr>
        <w:t xml:space="preserve"> from decreasing its rates </w:t>
      </w:r>
      <w:r w:rsidR="00454100">
        <w:rPr>
          <w:sz w:val="26"/>
          <w:szCs w:val="26"/>
        </w:rPr>
        <w:t>due to</w:t>
      </w:r>
      <w:r w:rsidR="00454100" w:rsidRPr="0093478D">
        <w:rPr>
          <w:sz w:val="26"/>
          <w:szCs w:val="26"/>
        </w:rPr>
        <w:t xml:space="preserve"> </w:t>
      </w:r>
      <w:r w:rsidR="00454100">
        <w:rPr>
          <w:sz w:val="26"/>
          <w:szCs w:val="26"/>
        </w:rPr>
        <w:t>the Company’s claimed expenses associated with</w:t>
      </w:r>
      <w:r w:rsidR="00454100" w:rsidRPr="0093478D">
        <w:rPr>
          <w:sz w:val="26"/>
          <w:szCs w:val="26"/>
        </w:rPr>
        <w:t xml:space="preserve"> </w:t>
      </w:r>
      <w:r w:rsidR="00454100">
        <w:rPr>
          <w:sz w:val="26"/>
          <w:szCs w:val="26"/>
        </w:rPr>
        <w:t>S</w:t>
      </w:r>
      <w:r w:rsidR="00454100" w:rsidRPr="0093478D">
        <w:rPr>
          <w:sz w:val="26"/>
          <w:szCs w:val="26"/>
        </w:rPr>
        <w:t>torm Riley</w:t>
      </w:r>
      <w:r w:rsidR="00454100">
        <w:rPr>
          <w:sz w:val="26"/>
          <w:szCs w:val="26"/>
        </w:rPr>
        <w:t xml:space="preserve">.  Specifically, Pike has failed to establish that </w:t>
      </w:r>
      <w:r w:rsidR="0028023E">
        <w:rPr>
          <w:sz w:val="26"/>
          <w:szCs w:val="26"/>
        </w:rPr>
        <w:t xml:space="preserve">the Company is earning </w:t>
      </w:r>
      <w:r w:rsidR="00454100">
        <w:rPr>
          <w:sz w:val="26"/>
          <w:szCs w:val="26"/>
        </w:rPr>
        <w:t>an overall rate of return which warrants such an exemption</w:t>
      </w:r>
      <w:r w:rsidR="0028023E">
        <w:rPr>
          <w:sz w:val="26"/>
          <w:szCs w:val="26"/>
        </w:rPr>
        <w:t>.</w:t>
      </w:r>
    </w:p>
    <w:p w14:paraId="63A437DD" w14:textId="2E0015F8" w:rsidR="00D71295" w:rsidRDefault="00D71295" w:rsidP="00E052C1">
      <w:pPr>
        <w:tabs>
          <w:tab w:val="left" w:pos="-720"/>
        </w:tabs>
        <w:suppressAutoHyphens/>
        <w:spacing w:line="360" w:lineRule="auto"/>
        <w:rPr>
          <w:sz w:val="26"/>
          <w:szCs w:val="26"/>
        </w:rPr>
      </w:pPr>
    </w:p>
    <w:p w14:paraId="31B471B0" w14:textId="77777777" w:rsidR="002F115E" w:rsidRDefault="0055321F" w:rsidP="002F115E">
      <w:pPr>
        <w:tabs>
          <w:tab w:val="left" w:pos="-720"/>
        </w:tabs>
        <w:suppressAutoHyphens/>
        <w:spacing w:line="360" w:lineRule="auto"/>
        <w:rPr>
          <w:sz w:val="26"/>
          <w:szCs w:val="26"/>
        </w:rPr>
      </w:pPr>
      <w:r>
        <w:rPr>
          <w:sz w:val="26"/>
          <w:szCs w:val="26"/>
        </w:rPr>
        <w:tab/>
      </w:r>
      <w:r w:rsidR="002F115E">
        <w:rPr>
          <w:sz w:val="26"/>
          <w:szCs w:val="26"/>
        </w:rPr>
        <w:t>Finally, the Company is mistaken in its assertion that the Commission’s May 17, 2018 Orders are indicative of the fact that the Commission is prohibited from setting temporary rates pursuant to Section 1310 if a utility’s overall rate of return is less than 5%.  On the contrary, as set forth in the Commission’s May 17, 2018 Orders, including Pike’s utility-specific Order, temporary rates in this proceeding have been established pursuant to Section 1310(d) of the Public Utility Code, not Section 1310(a).  Unlike Section 1310(a), Section 1310(d), pertaining to “excessive rates”, contains no 5% threshold for Commission action.  Section 1310(d) of the Code states:</w:t>
      </w:r>
    </w:p>
    <w:p w14:paraId="54EC3524" w14:textId="77777777" w:rsidR="002F115E" w:rsidRPr="000C3E04" w:rsidRDefault="002F115E" w:rsidP="002F115E">
      <w:pPr>
        <w:tabs>
          <w:tab w:val="left" w:pos="-720"/>
        </w:tabs>
        <w:suppressAutoHyphens/>
        <w:ind w:left="1440" w:right="1440"/>
        <w:rPr>
          <w:rStyle w:val="ssparacontent"/>
          <w:color w:val="373739"/>
          <w:sz w:val="26"/>
          <w:szCs w:val="26"/>
        </w:rPr>
      </w:pPr>
      <w:r w:rsidRPr="000C3E04">
        <w:rPr>
          <w:rStyle w:val="ssit1"/>
          <w:b/>
          <w:bCs/>
          <w:color w:val="373739"/>
          <w:sz w:val="26"/>
          <w:szCs w:val="26"/>
        </w:rPr>
        <w:t xml:space="preserve">Excessive rates. </w:t>
      </w:r>
      <w:r w:rsidRPr="000C3E04">
        <w:rPr>
          <w:rStyle w:val="ssbf1"/>
          <w:sz w:val="26"/>
          <w:szCs w:val="26"/>
        </w:rPr>
        <w:t>—</w:t>
      </w:r>
      <w:r w:rsidRPr="000C3E04">
        <w:rPr>
          <w:rStyle w:val="ssparalabel"/>
          <w:color w:val="373739"/>
          <w:sz w:val="26"/>
          <w:szCs w:val="26"/>
        </w:rPr>
        <w:t> </w:t>
      </w:r>
      <w:r w:rsidRPr="000C3E04">
        <w:rPr>
          <w:rStyle w:val="ssparacontent"/>
          <w:color w:val="373739"/>
          <w:sz w:val="26"/>
          <w:szCs w:val="26"/>
        </w:rPr>
        <w:t>Whenever the commission, upon examination of any annual or other report, or of any papers, records, books, or documents, or of the property of any public utility, shall be of opinion that any rates of such public utility are producing a return in excess of a fair return upon the fair value of the property of such public utility, used and useful in its public service, the commission may, by order, prescribe for a trial period of at least six months, which trial period may be extended for one additional period of six months, such temporary rates to be observed by such public utility as, in the opinion of the commission, will produce a fair return upon such fair value, and the rates so prescribed shall become effective upon the date specified in the order of the commission. Such rates, so prescribed, shall become permanent at the end of such trial period, or extension thereof, unless at any time during such trial period, or extension thereof, the public utility involved shall complain to the commission that the rates so prescribed are unjust or unreasonable. Upon such complaint, the commission, after hearing, shall determine the issues involved, and pending final determination the rates so prescribed shall remain in effect.</w:t>
      </w:r>
    </w:p>
    <w:p w14:paraId="04BF8803" w14:textId="77777777" w:rsidR="002F115E" w:rsidRDefault="002F115E" w:rsidP="00311D17">
      <w:pPr>
        <w:tabs>
          <w:tab w:val="left" w:pos="-720"/>
        </w:tabs>
        <w:suppressAutoHyphens/>
        <w:rPr>
          <w:sz w:val="26"/>
          <w:szCs w:val="26"/>
        </w:rPr>
      </w:pPr>
    </w:p>
    <w:p w14:paraId="41883B21" w14:textId="6CA13D04" w:rsidR="001B7727" w:rsidRDefault="002F115E" w:rsidP="00E052C1">
      <w:pPr>
        <w:tabs>
          <w:tab w:val="left" w:pos="-720"/>
        </w:tabs>
        <w:suppressAutoHyphens/>
        <w:spacing w:line="360" w:lineRule="auto"/>
        <w:rPr>
          <w:sz w:val="26"/>
          <w:szCs w:val="26"/>
        </w:rPr>
      </w:pPr>
      <w:r>
        <w:rPr>
          <w:sz w:val="26"/>
          <w:szCs w:val="26"/>
        </w:rPr>
        <w:t>66 Pa. C.S. § 1310(d).  Although the Commission, of its own accord, elected to set a 5% threshold for then-current rates of return on rate base, pursuant to 1310(d), so as to exclude public utilities with marginal earnings under current rates, the Commission was not prohibited from establishing temporary rates for utilities even if such then-current rates of return were producing rates of return on rate base of less than 5%.</w:t>
      </w:r>
      <w:r w:rsidR="006864CD">
        <w:rPr>
          <w:sz w:val="26"/>
          <w:szCs w:val="26"/>
        </w:rPr>
        <w:t xml:space="preserve">  Nevertheless, even if a 5% threshold were applicable, Pike’s overall rate of return is 6.37% based on its August 10</w:t>
      </w:r>
      <w:r w:rsidR="006864CD" w:rsidRPr="00D9747A">
        <w:rPr>
          <w:sz w:val="26"/>
          <w:szCs w:val="26"/>
          <w:vertAlign w:val="superscript"/>
        </w:rPr>
        <w:t>th</w:t>
      </w:r>
      <w:r w:rsidR="006864CD">
        <w:rPr>
          <w:sz w:val="26"/>
          <w:szCs w:val="26"/>
        </w:rPr>
        <w:t xml:space="preserve"> revised financial data</w:t>
      </w:r>
      <w:r w:rsidR="00311D17">
        <w:rPr>
          <w:sz w:val="26"/>
          <w:szCs w:val="26"/>
        </w:rPr>
        <w:t>;</w:t>
      </w:r>
      <w:r w:rsidR="00285586">
        <w:rPr>
          <w:rStyle w:val="FootnoteReference"/>
          <w:sz w:val="26"/>
          <w:szCs w:val="26"/>
        </w:rPr>
        <w:footnoteReference w:id="1"/>
      </w:r>
      <w:r w:rsidR="006864CD">
        <w:rPr>
          <w:sz w:val="26"/>
          <w:szCs w:val="26"/>
        </w:rPr>
        <w:t xml:space="preserve"> </w:t>
      </w:r>
      <w:r w:rsidR="00ED30F0" w:rsidRPr="00ED30F0">
        <w:rPr>
          <w:b/>
          <w:sz w:val="26"/>
          <w:szCs w:val="26"/>
        </w:rPr>
        <w:t>THER</w:t>
      </w:r>
      <w:r w:rsidR="00554071" w:rsidRPr="00554071">
        <w:rPr>
          <w:b/>
          <w:sz w:val="26"/>
          <w:szCs w:val="26"/>
        </w:rPr>
        <w:t>EFORE,</w:t>
      </w:r>
    </w:p>
    <w:p w14:paraId="1C53DA19" w14:textId="707A6D91" w:rsidR="00554071" w:rsidRPr="00554071" w:rsidRDefault="00822166" w:rsidP="00ED30F0">
      <w:pPr>
        <w:keepNext/>
        <w:keepLines/>
        <w:tabs>
          <w:tab w:val="left" w:pos="-720"/>
        </w:tabs>
        <w:suppressAutoHyphens/>
        <w:spacing w:line="360" w:lineRule="auto"/>
        <w:rPr>
          <w:b/>
          <w:sz w:val="26"/>
          <w:szCs w:val="26"/>
        </w:rPr>
      </w:pPr>
      <w:r>
        <w:rPr>
          <w:b/>
          <w:sz w:val="26"/>
          <w:szCs w:val="26"/>
        </w:rPr>
        <w:tab/>
      </w:r>
      <w:r w:rsidR="00554071" w:rsidRPr="00554071">
        <w:rPr>
          <w:b/>
          <w:sz w:val="26"/>
          <w:szCs w:val="26"/>
        </w:rPr>
        <w:t>IT IS ORDERED:</w:t>
      </w:r>
    </w:p>
    <w:p w14:paraId="6A49F8C9" w14:textId="32DA198D" w:rsidR="00554071" w:rsidRDefault="00554071" w:rsidP="00ED30F0">
      <w:pPr>
        <w:keepNext/>
        <w:keepLines/>
        <w:tabs>
          <w:tab w:val="left" w:pos="-720"/>
        </w:tabs>
        <w:suppressAutoHyphens/>
        <w:spacing w:line="360" w:lineRule="auto"/>
        <w:rPr>
          <w:sz w:val="26"/>
          <w:szCs w:val="26"/>
        </w:rPr>
      </w:pPr>
    </w:p>
    <w:p w14:paraId="211FFE94" w14:textId="0B56401E" w:rsidR="00311D17" w:rsidRDefault="005C2D45" w:rsidP="00311D17">
      <w:pPr>
        <w:pStyle w:val="ListParagraph"/>
        <w:keepNext/>
        <w:keepLines/>
        <w:numPr>
          <w:ilvl w:val="0"/>
          <w:numId w:val="7"/>
        </w:numPr>
        <w:tabs>
          <w:tab w:val="left" w:pos="-720"/>
        </w:tabs>
        <w:suppressAutoHyphens/>
        <w:spacing w:line="360" w:lineRule="auto"/>
        <w:ind w:left="0" w:firstLine="720"/>
        <w:rPr>
          <w:sz w:val="26"/>
          <w:szCs w:val="26"/>
        </w:rPr>
      </w:pPr>
      <w:r>
        <w:rPr>
          <w:sz w:val="26"/>
          <w:szCs w:val="26"/>
        </w:rPr>
        <w:t>Th</w:t>
      </w:r>
      <w:r w:rsidR="001F31C0">
        <w:rPr>
          <w:sz w:val="26"/>
          <w:szCs w:val="26"/>
        </w:rPr>
        <w:t>at the Petition for Reconsideration filed by Pike County Light &amp; Power Company is denied.</w:t>
      </w:r>
    </w:p>
    <w:p w14:paraId="06E6644B" w14:textId="77777777" w:rsidR="00311D17" w:rsidRPr="00311D17" w:rsidRDefault="00311D17" w:rsidP="00311D17">
      <w:pPr>
        <w:pStyle w:val="ListParagraph"/>
        <w:keepNext/>
        <w:keepLines/>
        <w:tabs>
          <w:tab w:val="left" w:pos="-720"/>
        </w:tabs>
        <w:suppressAutoHyphens/>
        <w:spacing w:line="360" w:lineRule="auto"/>
        <w:rPr>
          <w:sz w:val="26"/>
          <w:szCs w:val="26"/>
        </w:rPr>
      </w:pPr>
    </w:p>
    <w:p w14:paraId="7616ACDF" w14:textId="6A062A74" w:rsidR="001F31C0" w:rsidRPr="005C2D45" w:rsidRDefault="001F31C0" w:rsidP="00311D17">
      <w:pPr>
        <w:pStyle w:val="ListParagraph"/>
        <w:keepNext/>
        <w:keepLines/>
        <w:numPr>
          <w:ilvl w:val="0"/>
          <w:numId w:val="7"/>
        </w:numPr>
        <w:tabs>
          <w:tab w:val="left" w:pos="-720"/>
        </w:tabs>
        <w:suppressAutoHyphens/>
        <w:spacing w:line="360" w:lineRule="auto"/>
        <w:ind w:left="0" w:firstLine="720"/>
        <w:rPr>
          <w:sz w:val="26"/>
          <w:szCs w:val="26"/>
        </w:rPr>
      </w:pPr>
      <w:r>
        <w:rPr>
          <w:sz w:val="26"/>
          <w:szCs w:val="26"/>
        </w:rPr>
        <w:t xml:space="preserve">That Pike County Light &amp; Power Company shall </w:t>
      </w:r>
      <w:r w:rsidR="00683FD8">
        <w:rPr>
          <w:sz w:val="26"/>
          <w:szCs w:val="26"/>
        </w:rPr>
        <w:t>immediately</w:t>
      </w:r>
      <w:r>
        <w:rPr>
          <w:sz w:val="26"/>
          <w:szCs w:val="26"/>
        </w:rPr>
        <w:t xml:space="preserve"> comply with all terms and conditions of the Commission’s Orders at Docket Nos. M-2018-2641242 and R-2018-3000942 entered on May 17, 2018.</w:t>
      </w:r>
    </w:p>
    <w:p w14:paraId="098F564F" w14:textId="6E43436B" w:rsidR="00E458B4" w:rsidRDefault="003772A2" w:rsidP="00E052C1">
      <w:pPr>
        <w:tabs>
          <w:tab w:val="left" w:pos="-720"/>
        </w:tabs>
        <w:suppressAutoHyphens/>
        <w:spacing w:line="360" w:lineRule="auto"/>
        <w:rPr>
          <w:sz w:val="26"/>
          <w:szCs w:val="26"/>
        </w:rPr>
      </w:pPr>
      <w:bookmarkStart w:id="2" w:name="_GoBack"/>
      <w:r w:rsidRPr="009F01BA">
        <w:rPr>
          <w:b/>
          <w:noProof/>
          <w:sz w:val="20"/>
          <w:szCs w:val="20"/>
        </w:rPr>
        <w:drawing>
          <wp:anchor distT="0" distB="0" distL="114300" distR="114300" simplePos="0" relativeHeight="251659264" behindDoc="1" locked="0" layoutInCell="1" allowOverlap="1" wp14:anchorId="26E6A5EF" wp14:editId="16958FE3">
            <wp:simplePos x="0" y="0"/>
            <wp:positionH relativeFrom="column">
              <wp:posOffset>3086100</wp:posOffset>
            </wp:positionH>
            <wp:positionV relativeFrom="paragraph">
              <wp:posOffset>159385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p>
    <w:p w14:paraId="6B2D809B" w14:textId="406D9A42" w:rsidR="00ED30F0" w:rsidRPr="00C0451E" w:rsidRDefault="00ED30F0" w:rsidP="00311D17">
      <w:pPr>
        <w:tabs>
          <w:tab w:val="left" w:pos="4320"/>
        </w:tabs>
        <w:rPr>
          <w:b/>
          <w:bCs/>
          <w:sz w:val="26"/>
          <w:szCs w:val="26"/>
        </w:rPr>
      </w:pPr>
      <w:r w:rsidRPr="00C0451E">
        <w:rPr>
          <w:sz w:val="26"/>
          <w:szCs w:val="26"/>
        </w:rPr>
        <w:tab/>
      </w:r>
      <w:r w:rsidRPr="00C0451E">
        <w:rPr>
          <w:sz w:val="26"/>
          <w:szCs w:val="26"/>
        </w:rPr>
        <w:tab/>
      </w:r>
      <w:r w:rsidRPr="00C0451E">
        <w:rPr>
          <w:b/>
          <w:bCs/>
          <w:sz w:val="26"/>
          <w:szCs w:val="26"/>
        </w:rPr>
        <w:t>BY THE COMMISSION</w:t>
      </w:r>
    </w:p>
    <w:p w14:paraId="4BABB005" w14:textId="77777777" w:rsidR="00ED30F0" w:rsidRPr="00C0451E" w:rsidRDefault="00ED30F0" w:rsidP="00ED30F0">
      <w:pPr>
        <w:tabs>
          <w:tab w:val="left" w:pos="5057"/>
        </w:tabs>
        <w:rPr>
          <w:bCs/>
          <w:sz w:val="26"/>
          <w:szCs w:val="26"/>
        </w:rPr>
      </w:pPr>
    </w:p>
    <w:p w14:paraId="148C9772" w14:textId="1C6BCA79" w:rsidR="00ED30F0" w:rsidRPr="00C0451E" w:rsidRDefault="00ED30F0" w:rsidP="00ED30F0">
      <w:pPr>
        <w:tabs>
          <w:tab w:val="left" w:pos="5057"/>
        </w:tabs>
        <w:rPr>
          <w:b/>
          <w:bCs/>
          <w:sz w:val="26"/>
          <w:szCs w:val="26"/>
        </w:rPr>
      </w:pPr>
    </w:p>
    <w:p w14:paraId="709AABE8" w14:textId="77777777" w:rsidR="00ED30F0" w:rsidRPr="00C0451E" w:rsidRDefault="00ED30F0" w:rsidP="00ED30F0">
      <w:pPr>
        <w:tabs>
          <w:tab w:val="left" w:pos="5057"/>
        </w:tabs>
        <w:rPr>
          <w:b/>
          <w:bCs/>
          <w:sz w:val="26"/>
          <w:szCs w:val="26"/>
        </w:rPr>
      </w:pPr>
    </w:p>
    <w:p w14:paraId="78C1C5A9" w14:textId="77777777" w:rsidR="00ED30F0" w:rsidRPr="00C0451E" w:rsidRDefault="00ED30F0" w:rsidP="00ED30F0">
      <w:pPr>
        <w:pStyle w:val="p18"/>
        <w:ind w:left="5062"/>
        <w:rPr>
          <w:sz w:val="26"/>
          <w:szCs w:val="26"/>
        </w:rPr>
      </w:pPr>
      <w:r w:rsidRPr="00C0451E">
        <w:rPr>
          <w:sz w:val="26"/>
          <w:szCs w:val="26"/>
        </w:rPr>
        <w:t>Rosemary Chiavetta</w:t>
      </w:r>
    </w:p>
    <w:p w14:paraId="3CC8D144" w14:textId="77777777" w:rsidR="00ED30F0" w:rsidRPr="00C0451E" w:rsidRDefault="00ED30F0" w:rsidP="00ED30F0">
      <w:pPr>
        <w:pStyle w:val="p18"/>
        <w:ind w:left="5062"/>
        <w:rPr>
          <w:sz w:val="26"/>
          <w:szCs w:val="26"/>
        </w:rPr>
      </w:pPr>
      <w:r w:rsidRPr="00C0451E">
        <w:rPr>
          <w:sz w:val="26"/>
          <w:szCs w:val="26"/>
        </w:rPr>
        <w:t>Secretary</w:t>
      </w:r>
    </w:p>
    <w:p w14:paraId="7F10F4B1" w14:textId="77777777" w:rsidR="00ED30F0" w:rsidRPr="00C0451E" w:rsidRDefault="00ED30F0" w:rsidP="00ED30F0">
      <w:pPr>
        <w:tabs>
          <w:tab w:val="left" w:pos="5062"/>
        </w:tabs>
        <w:rPr>
          <w:sz w:val="26"/>
          <w:szCs w:val="26"/>
        </w:rPr>
      </w:pPr>
    </w:p>
    <w:p w14:paraId="48882615" w14:textId="77777777" w:rsidR="00ED30F0" w:rsidRPr="00C0451E" w:rsidRDefault="00ED30F0" w:rsidP="00ED30F0">
      <w:pPr>
        <w:pStyle w:val="p14"/>
        <w:rPr>
          <w:sz w:val="26"/>
          <w:szCs w:val="26"/>
        </w:rPr>
      </w:pPr>
      <w:r w:rsidRPr="00C0451E">
        <w:rPr>
          <w:sz w:val="26"/>
          <w:szCs w:val="26"/>
        </w:rPr>
        <w:t>(SEAL)</w:t>
      </w:r>
    </w:p>
    <w:p w14:paraId="2A29D02B" w14:textId="77777777" w:rsidR="00ED30F0" w:rsidRPr="00C0451E" w:rsidRDefault="00ED30F0" w:rsidP="00ED30F0">
      <w:pPr>
        <w:tabs>
          <w:tab w:val="left" w:pos="204"/>
        </w:tabs>
        <w:rPr>
          <w:sz w:val="26"/>
          <w:szCs w:val="26"/>
        </w:rPr>
      </w:pPr>
    </w:p>
    <w:p w14:paraId="2123C19D" w14:textId="6CDC9AEA" w:rsidR="00ED30F0" w:rsidRPr="00C0451E" w:rsidRDefault="00ED30F0" w:rsidP="00ED30F0">
      <w:pPr>
        <w:pStyle w:val="p14"/>
        <w:rPr>
          <w:sz w:val="26"/>
          <w:szCs w:val="26"/>
        </w:rPr>
      </w:pPr>
      <w:r w:rsidRPr="00C0451E">
        <w:rPr>
          <w:sz w:val="26"/>
          <w:szCs w:val="26"/>
        </w:rPr>
        <w:t xml:space="preserve">ORDER ADOPTED:  </w:t>
      </w:r>
      <w:r>
        <w:rPr>
          <w:sz w:val="26"/>
          <w:szCs w:val="26"/>
        </w:rPr>
        <w:t>September 20, 2018</w:t>
      </w:r>
    </w:p>
    <w:p w14:paraId="73C75C27" w14:textId="77777777" w:rsidR="00ED30F0" w:rsidRPr="00C0451E" w:rsidRDefault="00ED30F0" w:rsidP="00ED30F0">
      <w:pPr>
        <w:pStyle w:val="p14"/>
        <w:rPr>
          <w:sz w:val="26"/>
          <w:szCs w:val="26"/>
        </w:rPr>
      </w:pPr>
    </w:p>
    <w:p w14:paraId="4227463E" w14:textId="64FF2C58" w:rsidR="00ED30F0" w:rsidRPr="00C0451E" w:rsidRDefault="00ED30F0" w:rsidP="00ED30F0">
      <w:pPr>
        <w:pStyle w:val="p14"/>
        <w:rPr>
          <w:sz w:val="26"/>
          <w:szCs w:val="26"/>
        </w:rPr>
      </w:pPr>
      <w:r w:rsidRPr="00C0451E">
        <w:rPr>
          <w:sz w:val="26"/>
          <w:szCs w:val="26"/>
        </w:rPr>
        <w:t xml:space="preserve">ORDER ENTERED:  </w:t>
      </w:r>
      <w:r w:rsidR="003772A2">
        <w:rPr>
          <w:sz w:val="26"/>
          <w:szCs w:val="26"/>
        </w:rPr>
        <w:t>September 20, 2018</w:t>
      </w:r>
    </w:p>
    <w:p w14:paraId="09019BCB" w14:textId="1DC25D84" w:rsidR="0093478D" w:rsidRDefault="0093478D" w:rsidP="00E052C1">
      <w:pPr>
        <w:tabs>
          <w:tab w:val="left" w:pos="-720"/>
        </w:tabs>
        <w:suppressAutoHyphens/>
        <w:spacing w:line="360" w:lineRule="auto"/>
        <w:rPr>
          <w:sz w:val="26"/>
          <w:szCs w:val="26"/>
        </w:rPr>
      </w:pPr>
    </w:p>
    <w:sectPr w:rsidR="0093478D" w:rsidSect="00C7220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37B7" w14:textId="77777777" w:rsidR="004524E1" w:rsidRDefault="004524E1">
      <w:r>
        <w:separator/>
      </w:r>
    </w:p>
  </w:endnote>
  <w:endnote w:type="continuationSeparator" w:id="0">
    <w:p w14:paraId="3DA69877" w14:textId="77777777" w:rsidR="004524E1" w:rsidRDefault="0045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6E79" w14:textId="77777777" w:rsidR="008E46E5" w:rsidRDefault="008E46E5" w:rsidP="00E8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F14A3" w14:textId="77777777" w:rsidR="008E46E5" w:rsidRDefault="008E4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05049"/>
      <w:docPartObj>
        <w:docPartGallery w:val="Page Numbers (Bottom of Page)"/>
        <w:docPartUnique/>
      </w:docPartObj>
    </w:sdtPr>
    <w:sdtEndPr>
      <w:rPr>
        <w:noProof/>
        <w:sz w:val="22"/>
        <w:szCs w:val="22"/>
      </w:rPr>
    </w:sdtEndPr>
    <w:sdtContent>
      <w:p w14:paraId="3A9102DF" w14:textId="3F6C00C1" w:rsidR="008E46E5" w:rsidRPr="00311D17" w:rsidRDefault="008E46E5" w:rsidP="00311D17">
        <w:pPr>
          <w:pStyle w:val="Footer"/>
          <w:jc w:val="center"/>
          <w:rPr>
            <w:sz w:val="22"/>
            <w:szCs w:val="22"/>
          </w:rPr>
        </w:pPr>
        <w:r w:rsidRPr="00311D17">
          <w:rPr>
            <w:sz w:val="22"/>
            <w:szCs w:val="22"/>
          </w:rPr>
          <w:fldChar w:fldCharType="begin"/>
        </w:r>
        <w:r w:rsidRPr="00311D17">
          <w:rPr>
            <w:sz w:val="22"/>
            <w:szCs w:val="22"/>
          </w:rPr>
          <w:instrText xml:space="preserve"> PAGE   \* MERGEFORMAT </w:instrText>
        </w:r>
        <w:r w:rsidRPr="00311D17">
          <w:rPr>
            <w:sz w:val="22"/>
            <w:szCs w:val="22"/>
          </w:rPr>
          <w:fldChar w:fldCharType="separate"/>
        </w:r>
        <w:r w:rsidRPr="00311D17">
          <w:rPr>
            <w:noProof/>
            <w:sz w:val="22"/>
            <w:szCs w:val="22"/>
          </w:rPr>
          <w:t>2</w:t>
        </w:r>
        <w:r w:rsidRPr="00311D17">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9E78" w14:textId="77777777" w:rsidR="004524E1" w:rsidRDefault="004524E1">
      <w:r>
        <w:separator/>
      </w:r>
    </w:p>
  </w:footnote>
  <w:footnote w:type="continuationSeparator" w:id="0">
    <w:p w14:paraId="0D58A4C1" w14:textId="77777777" w:rsidR="004524E1" w:rsidRDefault="004524E1">
      <w:r>
        <w:continuationSeparator/>
      </w:r>
    </w:p>
  </w:footnote>
  <w:footnote w:id="1">
    <w:p w14:paraId="69C88164" w14:textId="3AC99866" w:rsidR="00285586" w:rsidRPr="00311D17" w:rsidRDefault="00285586">
      <w:pPr>
        <w:pStyle w:val="FootnoteText"/>
        <w:rPr>
          <w:sz w:val="22"/>
          <w:szCs w:val="22"/>
        </w:rPr>
      </w:pPr>
      <w:r w:rsidRPr="00311D17">
        <w:rPr>
          <w:rStyle w:val="FootnoteReference"/>
          <w:sz w:val="22"/>
          <w:szCs w:val="22"/>
        </w:rPr>
        <w:footnoteRef/>
      </w:r>
      <w:r w:rsidR="00311D17">
        <w:rPr>
          <w:sz w:val="22"/>
          <w:szCs w:val="22"/>
        </w:rPr>
        <w:t xml:space="preserve"> </w:t>
      </w:r>
      <w:r w:rsidRPr="00311D17">
        <w:rPr>
          <w:sz w:val="22"/>
          <w:szCs w:val="22"/>
        </w:rPr>
        <w:t xml:space="preserve">This 6.37% overall rate of return is based on Pike’s financial data as of December 31, 2017.  The Company asserts that, by using financial data as of April 30, 2018, its overall rate of return would be 4.71%.  However, the Commission’s May 17, 2018 Orders, including </w:t>
      </w:r>
      <w:r w:rsidR="0002358E" w:rsidRPr="00311D17">
        <w:rPr>
          <w:sz w:val="22"/>
          <w:szCs w:val="22"/>
        </w:rPr>
        <w:t>the general Order applicable to all affected Pennsylvania utilities</w:t>
      </w:r>
      <w:r w:rsidRPr="00311D17">
        <w:rPr>
          <w:sz w:val="22"/>
          <w:szCs w:val="22"/>
        </w:rPr>
        <w:t xml:space="preserve"> </w:t>
      </w:r>
      <w:r w:rsidR="0002358E" w:rsidRPr="00311D17">
        <w:rPr>
          <w:sz w:val="22"/>
          <w:szCs w:val="22"/>
        </w:rPr>
        <w:t xml:space="preserve">and the utility-specific Orders, </w:t>
      </w:r>
      <w:r w:rsidRPr="00311D17">
        <w:rPr>
          <w:sz w:val="22"/>
          <w:szCs w:val="22"/>
        </w:rPr>
        <w:t>were based on December 31, 2017</w:t>
      </w:r>
      <w:r w:rsidR="0002358E" w:rsidRPr="00311D17">
        <w:rPr>
          <w:sz w:val="22"/>
          <w:szCs w:val="22"/>
        </w:rPr>
        <w:t xml:space="preserve"> </w:t>
      </w:r>
      <w:r w:rsidR="00D914D1" w:rsidRPr="00311D17">
        <w:rPr>
          <w:sz w:val="22"/>
          <w:szCs w:val="22"/>
        </w:rPr>
        <w:t xml:space="preserve">(or prior) </w:t>
      </w:r>
      <w:r w:rsidR="0002358E" w:rsidRPr="00311D17">
        <w:rPr>
          <w:sz w:val="22"/>
          <w:szCs w:val="22"/>
        </w:rPr>
        <w:t>financial data</w:t>
      </w:r>
      <w:r w:rsidR="007A3D42" w:rsidRPr="00311D17">
        <w:rPr>
          <w:sz w:val="22"/>
          <w:szCs w:val="22"/>
        </w:rPr>
        <w:t xml:space="preserve"> of utilities</w:t>
      </w:r>
      <w:r w:rsidR="0002358E" w:rsidRPr="00311D17">
        <w:rPr>
          <w:sz w:val="22"/>
          <w:szCs w:val="22"/>
        </w:rPr>
        <w:t xml:space="preserve">.  Therefore, Pike’s </w:t>
      </w:r>
      <w:r w:rsidR="007A3D42" w:rsidRPr="00311D17">
        <w:rPr>
          <w:sz w:val="22"/>
          <w:szCs w:val="22"/>
        </w:rPr>
        <w:t xml:space="preserve">submitted </w:t>
      </w:r>
      <w:r w:rsidR="0002358E" w:rsidRPr="00311D17">
        <w:rPr>
          <w:sz w:val="22"/>
          <w:szCs w:val="22"/>
        </w:rPr>
        <w:t>financial data as of December 31, 2017 is</w:t>
      </w:r>
      <w:r w:rsidR="007A3D42" w:rsidRPr="00311D17">
        <w:rPr>
          <w:sz w:val="22"/>
          <w:szCs w:val="22"/>
        </w:rPr>
        <w:t xml:space="preserve"> appropriate for calculating the Company’s overall rate of return.</w:t>
      </w:r>
      <w:r w:rsidR="0002358E" w:rsidRPr="00311D17">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3E69"/>
    <w:multiLevelType w:val="hybridMultilevel"/>
    <w:tmpl w:val="C7C2E742"/>
    <w:lvl w:ilvl="0" w:tplc="8042DA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9685613"/>
    <w:multiLevelType w:val="hybridMultilevel"/>
    <w:tmpl w:val="A94095E6"/>
    <w:lvl w:ilvl="0" w:tplc="F2928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65F13"/>
    <w:multiLevelType w:val="hybridMultilevel"/>
    <w:tmpl w:val="A16AFAA8"/>
    <w:lvl w:ilvl="0" w:tplc="9EB62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4D61D7"/>
    <w:multiLevelType w:val="hybridMultilevel"/>
    <w:tmpl w:val="75360572"/>
    <w:lvl w:ilvl="0" w:tplc="D420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751DB"/>
    <w:multiLevelType w:val="hybridMultilevel"/>
    <w:tmpl w:val="499AED54"/>
    <w:lvl w:ilvl="0" w:tplc="FDDCA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11271B0"/>
    <w:multiLevelType w:val="hybridMultilevel"/>
    <w:tmpl w:val="C9DA3EC4"/>
    <w:lvl w:ilvl="0" w:tplc="B310DC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43A2F0D"/>
    <w:multiLevelType w:val="hybridMultilevel"/>
    <w:tmpl w:val="6BF06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8D"/>
    <w:rsid w:val="00000817"/>
    <w:rsid w:val="000014E2"/>
    <w:rsid w:val="00001A28"/>
    <w:rsid w:val="00001D03"/>
    <w:rsid w:val="00003A57"/>
    <w:rsid w:val="00004B87"/>
    <w:rsid w:val="0000615E"/>
    <w:rsid w:val="00013088"/>
    <w:rsid w:val="000132B9"/>
    <w:rsid w:val="00013B8D"/>
    <w:rsid w:val="00016BB5"/>
    <w:rsid w:val="0002144F"/>
    <w:rsid w:val="0002358E"/>
    <w:rsid w:val="00023AAA"/>
    <w:rsid w:val="00024324"/>
    <w:rsid w:val="00025B81"/>
    <w:rsid w:val="00027D50"/>
    <w:rsid w:val="0003043C"/>
    <w:rsid w:val="000307E1"/>
    <w:rsid w:val="00032041"/>
    <w:rsid w:val="00034BFB"/>
    <w:rsid w:val="00034C98"/>
    <w:rsid w:val="00036F7D"/>
    <w:rsid w:val="00037CC7"/>
    <w:rsid w:val="00041AA2"/>
    <w:rsid w:val="000420B4"/>
    <w:rsid w:val="00046D85"/>
    <w:rsid w:val="00047572"/>
    <w:rsid w:val="00047C24"/>
    <w:rsid w:val="000512D6"/>
    <w:rsid w:val="00054818"/>
    <w:rsid w:val="000548E0"/>
    <w:rsid w:val="00054ED9"/>
    <w:rsid w:val="00057FB6"/>
    <w:rsid w:val="00060A63"/>
    <w:rsid w:val="00063B9B"/>
    <w:rsid w:val="00063E2F"/>
    <w:rsid w:val="000645D1"/>
    <w:rsid w:val="00065EC7"/>
    <w:rsid w:val="00067FB0"/>
    <w:rsid w:val="00070A91"/>
    <w:rsid w:val="00071467"/>
    <w:rsid w:val="000724E0"/>
    <w:rsid w:val="000729E6"/>
    <w:rsid w:val="00073582"/>
    <w:rsid w:val="00073620"/>
    <w:rsid w:val="0007690E"/>
    <w:rsid w:val="00083592"/>
    <w:rsid w:val="00083B2B"/>
    <w:rsid w:val="00083C2A"/>
    <w:rsid w:val="00084D36"/>
    <w:rsid w:val="00091964"/>
    <w:rsid w:val="00093803"/>
    <w:rsid w:val="00095D0E"/>
    <w:rsid w:val="00097516"/>
    <w:rsid w:val="0009752F"/>
    <w:rsid w:val="000A0831"/>
    <w:rsid w:val="000A08F5"/>
    <w:rsid w:val="000A1B2B"/>
    <w:rsid w:val="000A309F"/>
    <w:rsid w:val="000A4408"/>
    <w:rsid w:val="000A5551"/>
    <w:rsid w:val="000A671B"/>
    <w:rsid w:val="000A6C5B"/>
    <w:rsid w:val="000A70F6"/>
    <w:rsid w:val="000B0595"/>
    <w:rsid w:val="000B21D5"/>
    <w:rsid w:val="000B60B4"/>
    <w:rsid w:val="000B62B6"/>
    <w:rsid w:val="000B68C1"/>
    <w:rsid w:val="000B70D9"/>
    <w:rsid w:val="000C0139"/>
    <w:rsid w:val="000C3E04"/>
    <w:rsid w:val="000C3F2A"/>
    <w:rsid w:val="000C581F"/>
    <w:rsid w:val="000C5B2F"/>
    <w:rsid w:val="000D019C"/>
    <w:rsid w:val="000D0652"/>
    <w:rsid w:val="000D19E8"/>
    <w:rsid w:val="000D25BB"/>
    <w:rsid w:val="000D3A06"/>
    <w:rsid w:val="000D4688"/>
    <w:rsid w:val="000D47CF"/>
    <w:rsid w:val="000D5BF9"/>
    <w:rsid w:val="000D6296"/>
    <w:rsid w:val="000D6E69"/>
    <w:rsid w:val="000D7C97"/>
    <w:rsid w:val="000E03CF"/>
    <w:rsid w:val="000E42B2"/>
    <w:rsid w:val="000E611D"/>
    <w:rsid w:val="000E69CE"/>
    <w:rsid w:val="000E6F3C"/>
    <w:rsid w:val="000E7415"/>
    <w:rsid w:val="000E7464"/>
    <w:rsid w:val="000F25DD"/>
    <w:rsid w:val="000F3217"/>
    <w:rsid w:val="000F35FF"/>
    <w:rsid w:val="000F4B1B"/>
    <w:rsid w:val="000F59BC"/>
    <w:rsid w:val="001002D4"/>
    <w:rsid w:val="00100A2C"/>
    <w:rsid w:val="001010BF"/>
    <w:rsid w:val="001014F4"/>
    <w:rsid w:val="00102ECC"/>
    <w:rsid w:val="00104F39"/>
    <w:rsid w:val="00105D5B"/>
    <w:rsid w:val="001074BB"/>
    <w:rsid w:val="0011058E"/>
    <w:rsid w:val="00110F37"/>
    <w:rsid w:val="001144A9"/>
    <w:rsid w:val="00116ED6"/>
    <w:rsid w:val="001214B8"/>
    <w:rsid w:val="0012237B"/>
    <w:rsid w:val="00122C36"/>
    <w:rsid w:val="001232CD"/>
    <w:rsid w:val="00124B6D"/>
    <w:rsid w:val="00131E3B"/>
    <w:rsid w:val="001331E6"/>
    <w:rsid w:val="0013345E"/>
    <w:rsid w:val="00135281"/>
    <w:rsid w:val="00137F97"/>
    <w:rsid w:val="00140580"/>
    <w:rsid w:val="00140A0E"/>
    <w:rsid w:val="00141222"/>
    <w:rsid w:val="001414F6"/>
    <w:rsid w:val="00144CE3"/>
    <w:rsid w:val="00144E13"/>
    <w:rsid w:val="00146AAA"/>
    <w:rsid w:val="001475CF"/>
    <w:rsid w:val="00150274"/>
    <w:rsid w:val="0015076F"/>
    <w:rsid w:val="00151DAD"/>
    <w:rsid w:val="0015244A"/>
    <w:rsid w:val="00152794"/>
    <w:rsid w:val="0015336E"/>
    <w:rsid w:val="00155154"/>
    <w:rsid w:val="00155A77"/>
    <w:rsid w:val="00155DF8"/>
    <w:rsid w:val="0015723D"/>
    <w:rsid w:val="00157B47"/>
    <w:rsid w:val="00162528"/>
    <w:rsid w:val="0016384E"/>
    <w:rsid w:val="00163B8A"/>
    <w:rsid w:val="00163B8B"/>
    <w:rsid w:val="00164F04"/>
    <w:rsid w:val="00165BAA"/>
    <w:rsid w:val="00165E6E"/>
    <w:rsid w:val="00171F1E"/>
    <w:rsid w:val="00172662"/>
    <w:rsid w:val="00172F2C"/>
    <w:rsid w:val="0017384B"/>
    <w:rsid w:val="0017528A"/>
    <w:rsid w:val="00176E43"/>
    <w:rsid w:val="00180EF2"/>
    <w:rsid w:val="001820BC"/>
    <w:rsid w:val="0018394B"/>
    <w:rsid w:val="00190120"/>
    <w:rsid w:val="00191669"/>
    <w:rsid w:val="00191D43"/>
    <w:rsid w:val="001931D4"/>
    <w:rsid w:val="00193820"/>
    <w:rsid w:val="00194548"/>
    <w:rsid w:val="0019465E"/>
    <w:rsid w:val="00196C9A"/>
    <w:rsid w:val="00196D4B"/>
    <w:rsid w:val="001A3F35"/>
    <w:rsid w:val="001A7B40"/>
    <w:rsid w:val="001B05A8"/>
    <w:rsid w:val="001B0E69"/>
    <w:rsid w:val="001B13E8"/>
    <w:rsid w:val="001B17F0"/>
    <w:rsid w:val="001B276A"/>
    <w:rsid w:val="001B3964"/>
    <w:rsid w:val="001B455E"/>
    <w:rsid w:val="001B4DB9"/>
    <w:rsid w:val="001B526D"/>
    <w:rsid w:val="001B5721"/>
    <w:rsid w:val="001B7297"/>
    <w:rsid w:val="001B7727"/>
    <w:rsid w:val="001C0BF4"/>
    <w:rsid w:val="001C2E4A"/>
    <w:rsid w:val="001C335B"/>
    <w:rsid w:val="001C436B"/>
    <w:rsid w:val="001C457F"/>
    <w:rsid w:val="001C75C0"/>
    <w:rsid w:val="001C7C8E"/>
    <w:rsid w:val="001D3698"/>
    <w:rsid w:val="001D56AC"/>
    <w:rsid w:val="001D5DAD"/>
    <w:rsid w:val="001D7AAE"/>
    <w:rsid w:val="001E0158"/>
    <w:rsid w:val="001E27B3"/>
    <w:rsid w:val="001E6A87"/>
    <w:rsid w:val="001F31C0"/>
    <w:rsid w:val="001F39EA"/>
    <w:rsid w:val="001F4CEB"/>
    <w:rsid w:val="001F56D1"/>
    <w:rsid w:val="001F5ACF"/>
    <w:rsid w:val="001F7F11"/>
    <w:rsid w:val="002013E5"/>
    <w:rsid w:val="00201BCC"/>
    <w:rsid w:val="00204DC0"/>
    <w:rsid w:val="002066C1"/>
    <w:rsid w:val="00211DE2"/>
    <w:rsid w:val="00211E64"/>
    <w:rsid w:val="00212DE3"/>
    <w:rsid w:val="00213736"/>
    <w:rsid w:val="00214B92"/>
    <w:rsid w:val="002244E9"/>
    <w:rsid w:val="0022474B"/>
    <w:rsid w:val="00224F4A"/>
    <w:rsid w:val="00226B04"/>
    <w:rsid w:val="00230A66"/>
    <w:rsid w:val="00235707"/>
    <w:rsid w:val="00235844"/>
    <w:rsid w:val="0023615E"/>
    <w:rsid w:val="00236DDF"/>
    <w:rsid w:val="00240EF4"/>
    <w:rsid w:val="0024294A"/>
    <w:rsid w:val="00242B2D"/>
    <w:rsid w:val="00245C4E"/>
    <w:rsid w:val="002474CB"/>
    <w:rsid w:val="00251067"/>
    <w:rsid w:val="00253D86"/>
    <w:rsid w:val="00253FE5"/>
    <w:rsid w:val="002573FF"/>
    <w:rsid w:val="00257B04"/>
    <w:rsid w:val="00261002"/>
    <w:rsid w:val="00261626"/>
    <w:rsid w:val="00262A51"/>
    <w:rsid w:val="00262EE0"/>
    <w:rsid w:val="0026488E"/>
    <w:rsid w:val="002649FF"/>
    <w:rsid w:val="00264DCD"/>
    <w:rsid w:val="00266BBC"/>
    <w:rsid w:val="002703A9"/>
    <w:rsid w:val="00270CD2"/>
    <w:rsid w:val="002737CA"/>
    <w:rsid w:val="0027472E"/>
    <w:rsid w:val="0027521A"/>
    <w:rsid w:val="0027618F"/>
    <w:rsid w:val="00276AEE"/>
    <w:rsid w:val="0028023E"/>
    <w:rsid w:val="00285586"/>
    <w:rsid w:val="00287563"/>
    <w:rsid w:val="00287FDB"/>
    <w:rsid w:val="00294756"/>
    <w:rsid w:val="00295DD3"/>
    <w:rsid w:val="00295FA0"/>
    <w:rsid w:val="00297001"/>
    <w:rsid w:val="00297EB4"/>
    <w:rsid w:val="002A03E2"/>
    <w:rsid w:val="002A1D49"/>
    <w:rsid w:val="002A5BBD"/>
    <w:rsid w:val="002A79FF"/>
    <w:rsid w:val="002B04DD"/>
    <w:rsid w:val="002B0ED2"/>
    <w:rsid w:val="002B29EE"/>
    <w:rsid w:val="002B6F7F"/>
    <w:rsid w:val="002C0080"/>
    <w:rsid w:val="002C222B"/>
    <w:rsid w:val="002C2A37"/>
    <w:rsid w:val="002C37CD"/>
    <w:rsid w:val="002C66AB"/>
    <w:rsid w:val="002D3102"/>
    <w:rsid w:val="002D4029"/>
    <w:rsid w:val="002D627E"/>
    <w:rsid w:val="002D707D"/>
    <w:rsid w:val="002E0829"/>
    <w:rsid w:val="002E177B"/>
    <w:rsid w:val="002E2C56"/>
    <w:rsid w:val="002E2CC2"/>
    <w:rsid w:val="002E4F4B"/>
    <w:rsid w:val="002E538F"/>
    <w:rsid w:val="002F0AA2"/>
    <w:rsid w:val="002F0B8D"/>
    <w:rsid w:val="002F0E99"/>
    <w:rsid w:val="002F115E"/>
    <w:rsid w:val="002F1852"/>
    <w:rsid w:val="002F3ABF"/>
    <w:rsid w:val="002F72BA"/>
    <w:rsid w:val="00300727"/>
    <w:rsid w:val="00300C7D"/>
    <w:rsid w:val="00302CF6"/>
    <w:rsid w:val="00303075"/>
    <w:rsid w:val="0030343A"/>
    <w:rsid w:val="003100D9"/>
    <w:rsid w:val="00310C4A"/>
    <w:rsid w:val="003114F4"/>
    <w:rsid w:val="00311D17"/>
    <w:rsid w:val="00312C54"/>
    <w:rsid w:val="00313AD4"/>
    <w:rsid w:val="00315F39"/>
    <w:rsid w:val="00320377"/>
    <w:rsid w:val="00320A74"/>
    <w:rsid w:val="003239AD"/>
    <w:rsid w:val="00325333"/>
    <w:rsid w:val="00327A91"/>
    <w:rsid w:val="00327B60"/>
    <w:rsid w:val="003347F2"/>
    <w:rsid w:val="0033516C"/>
    <w:rsid w:val="00336357"/>
    <w:rsid w:val="00336399"/>
    <w:rsid w:val="003363E7"/>
    <w:rsid w:val="00337894"/>
    <w:rsid w:val="00340991"/>
    <w:rsid w:val="003512DE"/>
    <w:rsid w:val="003515BF"/>
    <w:rsid w:val="003520A1"/>
    <w:rsid w:val="0035243B"/>
    <w:rsid w:val="00353012"/>
    <w:rsid w:val="00353D68"/>
    <w:rsid w:val="00355CA8"/>
    <w:rsid w:val="00355EE6"/>
    <w:rsid w:val="0035624E"/>
    <w:rsid w:val="00356ABF"/>
    <w:rsid w:val="00356B22"/>
    <w:rsid w:val="0035740B"/>
    <w:rsid w:val="00357A55"/>
    <w:rsid w:val="00357E16"/>
    <w:rsid w:val="00360508"/>
    <w:rsid w:val="003605B2"/>
    <w:rsid w:val="00364C81"/>
    <w:rsid w:val="00365585"/>
    <w:rsid w:val="00370886"/>
    <w:rsid w:val="00370E81"/>
    <w:rsid w:val="00371A9E"/>
    <w:rsid w:val="00371DCC"/>
    <w:rsid w:val="00372BF8"/>
    <w:rsid w:val="00373160"/>
    <w:rsid w:val="003749A0"/>
    <w:rsid w:val="003750DB"/>
    <w:rsid w:val="00375218"/>
    <w:rsid w:val="0037631A"/>
    <w:rsid w:val="003772A2"/>
    <w:rsid w:val="00377B5E"/>
    <w:rsid w:val="00377F0F"/>
    <w:rsid w:val="00380EBE"/>
    <w:rsid w:val="00382024"/>
    <w:rsid w:val="0038509B"/>
    <w:rsid w:val="00385587"/>
    <w:rsid w:val="003857D0"/>
    <w:rsid w:val="00385B04"/>
    <w:rsid w:val="00386ED6"/>
    <w:rsid w:val="00392EC7"/>
    <w:rsid w:val="00396D92"/>
    <w:rsid w:val="00397116"/>
    <w:rsid w:val="003975BE"/>
    <w:rsid w:val="00397A39"/>
    <w:rsid w:val="003A0B70"/>
    <w:rsid w:val="003A255F"/>
    <w:rsid w:val="003A272C"/>
    <w:rsid w:val="003A38E1"/>
    <w:rsid w:val="003A3907"/>
    <w:rsid w:val="003B289C"/>
    <w:rsid w:val="003B4A48"/>
    <w:rsid w:val="003B7676"/>
    <w:rsid w:val="003C182C"/>
    <w:rsid w:val="003C18CF"/>
    <w:rsid w:val="003C20A7"/>
    <w:rsid w:val="003C636D"/>
    <w:rsid w:val="003D1BD7"/>
    <w:rsid w:val="003D3BA3"/>
    <w:rsid w:val="003D46DE"/>
    <w:rsid w:val="003D7882"/>
    <w:rsid w:val="003D7F25"/>
    <w:rsid w:val="003E02FF"/>
    <w:rsid w:val="003E0715"/>
    <w:rsid w:val="003E47D7"/>
    <w:rsid w:val="003F2550"/>
    <w:rsid w:val="003F258D"/>
    <w:rsid w:val="003F5EE7"/>
    <w:rsid w:val="003F6AD9"/>
    <w:rsid w:val="0040211B"/>
    <w:rsid w:val="00402AE4"/>
    <w:rsid w:val="00402F3E"/>
    <w:rsid w:val="00403782"/>
    <w:rsid w:val="00403CD2"/>
    <w:rsid w:val="00404DCA"/>
    <w:rsid w:val="00406413"/>
    <w:rsid w:val="00406A6B"/>
    <w:rsid w:val="00407EE3"/>
    <w:rsid w:val="004108BD"/>
    <w:rsid w:val="00410FE2"/>
    <w:rsid w:val="00414D66"/>
    <w:rsid w:val="0041669F"/>
    <w:rsid w:val="004177BD"/>
    <w:rsid w:val="00417B08"/>
    <w:rsid w:val="00417E68"/>
    <w:rsid w:val="00421727"/>
    <w:rsid w:val="00424444"/>
    <w:rsid w:val="00424ABD"/>
    <w:rsid w:val="00424CE4"/>
    <w:rsid w:val="004323C1"/>
    <w:rsid w:val="00433D64"/>
    <w:rsid w:val="0044021B"/>
    <w:rsid w:val="004412CD"/>
    <w:rsid w:val="00442F37"/>
    <w:rsid w:val="004433D5"/>
    <w:rsid w:val="004454FC"/>
    <w:rsid w:val="00447D43"/>
    <w:rsid w:val="004524E1"/>
    <w:rsid w:val="0045256E"/>
    <w:rsid w:val="004529AE"/>
    <w:rsid w:val="00452D4A"/>
    <w:rsid w:val="00452E45"/>
    <w:rsid w:val="00454100"/>
    <w:rsid w:val="004554BC"/>
    <w:rsid w:val="00456049"/>
    <w:rsid w:val="00461FB3"/>
    <w:rsid w:val="00464BCC"/>
    <w:rsid w:val="004714E4"/>
    <w:rsid w:val="004742DE"/>
    <w:rsid w:val="00474C76"/>
    <w:rsid w:val="0047610D"/>
    <w:rsid w:val="00476260"/>
    <w:rsid w:val="004776EA"/>
    <w:rsid w:val="0048019C"/>
    <w:rsid w:val="00480955"/>
    <w:rsid w:val="00483029"/>
    <w:rsid w:val="0048354D"/>
    <w:rsid w:val="00483BA7"/>
    <w:rsid w:val="00487E74"/>
    <w:rsid w:val="00493137"/>
    <w:rsid w:val="004A34D6"/>
    <w:rsid w:val="004B00DC"/>
    <w:rsid w:val="004B1708"/>
    <w:rsid w:val="004B27BF"/>
    <w:rsid w:val="004B2FFD"/>
    <w:rsid w:val="004B593E"/>
    <w:rsid w:val="004B61EC"/>
    <w:rsid w:val="004C0614"/>
    <w:rsid w:val="004C3850"/>
    <w:rsid w:val="004C6B42"/>
    <w:rsid w:val="004C73D3"/>
    <w:rsid w:val="004D01F8"/>
    <w:rsid w:val="004D0235"/>
    <w:rsid w:val="004D278E"/>
    <w:rsid w:val="004D33C0"/>
    <w:rsid w:val="004D3A95"/>
    <w:rsid w:val="004D4229"/>
    <w:rsid w:val="004D4D5A"/>
    <w:rsid w:val="004D5828"/>
    <w:rsid w:val="004E12FA"/>
    <w:rsid w:val="004E3CB4"/>
    <w:rsid w:val="004E3FF9"/>
    <w:rsid w:val="004E5A41"/>
    <w:rsid w:val="004E68EF"/>
    <w:rsid w:val="004E7140"/>
    <w:rsid w:val="004F0420"/>
    <w:rsid w:val="004F3D15"/>
    <w:rsid w:val="004F3F67"/>
    <w:rsid w:val="0050135E"/>
    <w:rsid w:val="00502020"/>
    <w:rsid w:val="005029F8"/>
    <w:rsid w:val="00504DED"/>
    <w:rsid w:val="005110D6"/>
    <w:rsid w:val="0051191D"/>
    <w:rsid w:val="0051597D"/>
    <w:rsid w:val="0052291D"/>
    <w:rsid w:val="00524004"/>
    <w:rsid w:val="00524639"/>
    <w:rsid w:val="005256D3"/>
    <w:rsid w:val="00525D06"/>
    <w:rsid w:val="005277F4"/>
    <w:rsid w:val="00527FE3"/>
    <w:rsid w:val="00530D2D"/>
    <w:rsid w:val="00531C2C"/>
    <w:rsid w:val="00532E32"/>
    <w:rsid w:val="005355F4"/>
    <w:rsid w:val="005356A3"/>
    <w:rsid w:val="00535C08"/>
    <w:rsid w:val="005414F9"/>
    <w:rsid w:val="00541DED"/>
    <w:rsid w:val="00543A60"/>
    <w:rsid w:val="00544155"/>
    <w:rsid w:val="00544C01"/>
    <w:rsid w:val="00551ADF"/>
    <w:rsid w:val="0055321F"/>
    <w:rsid w:val="0055357E"/>
    <w:rsid w:val="00553A70"/>
    <w:rsid w:val="00553A82"/>
    <w:rsid w:val="00554071"/>
    <w:rsid w:val="005625F3"/>
    <w:rsid w:val="005639E5"/>
    <w:rsid w:val="005672C4"/>
    <w:rsid w:val="0057361A"/>
    <w:rsid w:val="00575695"/>
    <w:rsid w:val="0058246C"/>
    <w:rsid w:val="005833C7"/>
    <w:rsid w:val="00584159"/>
    <w:rsid w:val="00584F79"/>
    <w:rsid w:val="005852D2"/>
    <w:rsid w:val="00587CA5"/>
    <w:rsid w:val="0059074A"/>
    <w:rsid w:val="005936A4"/>
    <w:rsid w:val="00593F29"/>
    <w:rsid w:val="00594418"/>
    <w:rsid w:val="00594774"/>
    <w:rsid w:val="00595C66"/>
    <w:rsid w:val="005A1E46"/>
    <w:rsid w:val="005A23CD"/>
    <w:rsid w:val="005A3C7E"/>
    <w:rsid w:val="005A63BE"/>
    <w:rsid w:val="005A7BF5"/>
    <w:rsid w:val="005B462F"/>
    <w:rsid w:val="005B5601"/>
    <w:rsid w:val="005B6B51"/>
    <w:rsid w:val="005B784B"/>
    <w:rsid w:val="005B7AF8"/>
    <w:rsid w:val="005C2D45"/>
    <w:rsid w:val="005C431D"/>
    <w:rsid w:val="005C6050"/>
    <w:rsid w:val="005D0CAA"/>
    <w:rsid w:val="005D1233"/>
    <w:rsid w:val="005D13D1"/>
    <w:rsid w:val="005D2438"/>
    <w:rsid w:val="005D30F6"/>
    <w:rsid w:val="005D3805"/>
    <w:rsid w:val="005D3ABC"/>
    <w:rsid w:val="005D5C55"/>
    <w:rsid w:val="005D6814"/>
    <w:rsid w:val="005D7007"/>
    <w:rsid w:val="005E468B"/>
    <w:rsid w:val="005E541E"/>
    <w:rsid w:val="005E7C4A"/>
    <w:rsid w:val="005F2516"/>
    <w:rsid w:val="005F2E44"/>
    <w:rsid w:val="005F544B"/>
    <w:rsid w:val="00600742"/>
    <w:rsid w:val="00601D9D"/>
    <w:rsid w:val="00604FC7"/>
    <w:rsid w:val="00605771"/>
    <w:rsid w:val="006070B0"/>
    <w:rsid w:val="00610E9B"/>
    <w:rsid w:val="00611063"/>
    <w:rsid w:val="0061234D"/>
    <w:rsid w:val="00612D97"/>
    <w:rsid w:val="00613EE9"/>
    <w:rsid w:val="006165A3"/>
    <w:rsid w:val="006218CE"/>
    <w:rsid w:val="006222FC"/>
    <w:rsid w:val="00622DA2"/>
    <w:rsid w:val="0062332C"/>
    <w:rsid w:val="0062476C"/>
    <w:rsid w:val="00625057"/>
    <w:rsid w:val="00627292"/>
    <w:rsid w:val="0063042F"/>
    <w:rsid w:val="00630DB0"/>
    <w:rsid w:val="00631ED5"/>
    <w:rsid w:val="00632FED"/>
    <w:rsid w:val="00636C9C"/>
    <w:rsid w:val="00641AD0"/>
    <w:rsid w:val="00642525"/>
    <w:rsid w:val="00643CA4"/>
    <w:rsid w:val="00644043"/>
    <w:rsid w:val="00645A21"/>
    <w:rsid w:val="00652153"/>
    <w:rsid w:val="00652665"/>
    <w:rsid w:val="00652B51"/>
    <w:rsid w:val="006565FF"/>
    <w:rsid w:val="00656DA0"/>
    <w:rsid w:val="00660371"/>
    <w:rsid w:val="00660A5B"/>
    <w:rsid w:val="00660B39"/>
    <w:rsid w:val="00663A27"/>
    <w:rsid w:val="00664CB2"/>
    <w:rsid w:val="0066648E"/>
    <w:rsid w:val="00666686"/>
    <w:rsid w:val="00667D63"/>
    <w:rsid w:val="00670F5C"/>
    <w:rsid w:val="0067114E"/>
    <w:rsid w:val="00675288"/>
    <w:rsid w:val="00675B72"/>
    <w:rsid w:val="006768BB"/>
    <w:rsid w:val="006806D3"/>
    <w:rsid w:val="00682688"/>
    <w:rsid w:val="00683FD8"/>
    <w:rsid w:val="006864CD"/>
    <w:rsid w:val="00690916"/>
    <w:rsid w:val="006910CF"/>
    <w:rsid w:val="006911B8"/>
    <w:rsid w:val="00692122"/>
    <w:rsid w:val="006A02D1"/>
    <w:rsid w:val="006A4E15"/>
    <w:rsid w:val="006A5C88"/>
    <w:rsid w:val="006B12E0"/>
    <w:rsid w:val="006B14C5"/>
    <w:rsid w:val="006B19E5"/>
    <w:rsid w:val="006B20CD"/>
    <w:rsid w:val="006B2BCE"/>
    <w:rsid w:val="006C0DD5"/>
    <w:rsid w:val="006C3312"/>
    <w:rsid w:val="006C33CB"/>
    <w:rsid w:val="006C4362"/>
    <w:rsid w:val="006C499E"/>
    <w:rsid w:val="006C55A2"/>
    <w:rsid w:val="006D0B8A"/>
    <w:rsid w:val="006D3BF5"/>
    <w:rsid w:val="006D4CE2"/>
    <w:rsid w:val="006D6396"/>
    <w:rsid w:val="006D76AA"/>
    <w:rsid w:val="006E5F27"/>
    <w:rsid w:val="006E6164"/>
    <w:rsid w:val="006F7603"/>
    <w:rsid w:val="006F7B4C"/>
    <w:rsid w:val="00701077"/>
    <w:rsid w:val="00702A4D"/>
    <w:rsid w:val="00704B2B"/>
    <w:rsid w:val="007054E0"/>
    <w:rsid w:val="00706E0C"/>
    <w:rsid w:val="00707762"/>
    <w:rsid w:val="00720CD1"/>
    <w:rsid w:val="007228F9"/>
    <w:rsid w:val="00722D2F"/>
    <w:rsid w:val="0072328C"/>
    <w:rsid w:val="00723ADD"/>
    <w:rsid w:val="007258EC"/>
    <w:rsid w:val="00725B64"/>
    <w:rsid w:val="00731F48"/>
    <w:rsid w:val="00732267"/>
    <w:rsid w:val="00732F6D"/>
    <w:rsid w:val="00733EC4"/>
    <w:rsid w:val="00742A60"/>
    <w:rsid w:val="0074340F"/>
    <w:rsid w:val="00743F20"/>
    <w:rsid w:val="00745661"/>
    <w:rsid w:val="007456E5"/>
    <w:rsid w:val="00751601"/>
    <w:rsid w:val="0075277A"/>
    <w:rsid w:val="00753A99"/>
    <w:rsid w:val="00753C99"/>
    <w:rsid w:val="007550E3"/>
    <w:rsid w:val="0075787E"/>
    <w:rsid w:val="00757FAD"/>
    <w:rsid w:val="00760C37"/>
    <w:rsid w:val="00761CCA"/>
    <w:rsid w:val="007635CF"/>
    <w:rsid w:val="00765326"/>
    <w:rsid w:val="00770634"/>
    <w:rsid w:val="00775794"/>
    <w:rsid w:val="007757F7"/>
    <w:rsid w:val="00776D79"/>
    <w:rsid w:val="00776DDB"/>
    <w:rsid w:val="007802A6"/>
    <w:rsid w:val="00780B15"/>
    <w:rsid w:val="00782DC2"/>
    <w:rsid w:val="007900BB"/>
    <w:rsid w:val="00793DBF"/>
    <w:rsid w:val="007948DB"/>
    <w:rsid w:val="00795C48"/>
    <w:rsid w:val="00795E0F"/>
    <w:rsid w:val="00795E20"/>
    <w:rsid w:val="00796BAB"/>
    <w:rsid w:val="007A0DA4"/>
    <w:rsid w:val="007A25FC"/>
    <w:rsid w:val="007A31AA"/>
    <w:rsid w:val="007A3408"/>
    <w:rsid w:val="007A368E"/>
    <w:rsid w:val="007A3D42"/>
    <w:rsid w:val="007A5E32"/>
    <w:rsid w:val="007A60B8"/>
    <w:rsid w:val="007A682C"/>
    <w:rsid w:val="007A75A3"/>
    <w:rsid w:val="007A784D"/>
    <w:rsid w:val="007B3C5C"/>
    <w:rsid w:val="007B4ECD"/>
    <w:rsid w:val="007B6DE8"/>
    <w:rsid w:val="007B73AD"/>
    <w:rsid w:val="007C5078"/>
    <w:rsid w:val="007C67B0"/>
    <w:rsid w:val="007C785E"/>
    <w:rsid w:val="007D126C"/>
    <w:rsid w:val="007D12F0"/>
    <w:rsid w:val="007D195C"/>
    <w:rsid w:val="007D2FFC"/>
    <w:rsid w:val="007D63B6"/>
    <w:rsid w:val="007D7942"/>
    <w:rsid w:val="007D7EDA"/>
    <w:rsid w:val="007E093E"/>
    <w:rsid w:val="007E383F"/>
    <w:rsid w:val="007E3BCF"/>
    <w:rsid w:val="007F1499"/>
    <w:rsid w:val="007F2057"/>
    <w:rsid w:val="007F2E46"/>
    <w:rsid w:val="007F459A"/>
    <w:rsid w:val="007F499D"/>
    <w:rsid w:val="007F5E7C"/>
    <w:rsid w:val="007F65FC"/>
    <w:rsid w:val="00800ED9"/>
    <w:rsid w:val="00802C18"/>
    <w:rsid w:val="00804BDE"/>
    <w:rsid w:val="0080517F"/>
    <w:rsid w:val="0080695B"/>
    <w:rsid w:val="00810DD8"/>
    <w:rsid w:val="00810DE7"/>
    <w:rsid w:val="00813ED3"/>
    <w:rsid w:val="00815EB9"/>
    <w:rsid w:val="008171D4"/>
    <w:rsid w:val="008175CA"/>
    <w:rsid w:val="0081765D"/>
    <w:rsid w:val="00817BC9"/>
    <w:rsid w:val="0082068B"/>
    <w:rsid w:val="008209EC"/>
    <w:rsid w:val="00822166"/>
    <w:rsid w:val="008222E2"/>
    <w:rsid w:val="00825620"/>
    <w:rsid w:val="00826F59"/>
    <w:rsid w:val="0082775C"/>
    <w:rsid w:val="00827FED"/>
    <w:rsid w:val="008303AE"/>
    <w:rsid w:val="00830A0C"/>
    <w:rsid w:val="00832272"/>
    <w:rsid w:val="00833327"/>
    <w:rsid w:val="00836235"/>
    <w:rsid w:val="00842D28"/>
    <w:rsid w:val="00842E24"/>
    <w:rsid w:val="008523E8"/>
    <w:rsid w:val="00852763"/>
    <w:rsid w:val="00852F81"/>
    <w:rsid w:val="00853860"/>
    <w:rsid w:val="0085437E"/>
    <w:rsid w:val="00854912"/>
    <w:rsid w:val="00854F3B"/>
    <w:rsid w:val="00862290"/>
    <w:rsid w:val="00862677"/>
    <w:rsid w:val="00864EE3"/>
    <w:rsid w:val="0086622E"/>
    <w:rsid w:val="00867AB2"/>
    <w:rsid w:val="00870580"/>
    <w:rsid w:val="00870CD3"/>
    <w:rsid w:val="008726BD"/>
    <w:rsid w:val="00877A41"/>
    <w:rsid w:val="00883213"/>
    <w:rsid w:val="00886AE5"/>
    <w:rsid w:val="00891652"/>
    <w:rsid w:val="00891D49"/>
    <w:rsid w:val="00893027"/>
    <w:rsid w:val="008943E8"/>
    <w:rsid w:val="00896056"/>
    <w:rsid w:val="00896213"/>
    <w:rsid w:val="0089720C"/>
    <w:rsid w:val="00897300"/>
    <w:rsid w:val="008A2C22"/>
    <w:rsid w:val="008B371E"/>
    <w:rsid w:val="008B3CAE"/>
    <w:rsid w:val="008B3FB9"/>
    <w:rsid w:val="008B4BB4"/>
    <w:rsid w:val="008B5450"/>
    <w:rsid w:val="008B5A71"/>
    <w:rsid w:val="008B7521"/>
    <w:rsid w:val="008B7CD4"/>
    <w:rsid w:val="008C0A2D"/>
    <w:rsid w:val="008C3058"/>
    <w:rsid w:val="008C7340"/>
    <w:rsid w:val="008D1D7C"/>
    <w:rsid w:val="008D2F62"/>
    <w:rsid w:val="008D53F3"/>
    <w:rsid w:val="008E0A74"/>
    <w:rsid w:val="008E1BE3"/>
    <w:rsid w:val="008E362E"/>
    <w:rsid w:val="008E40FB"/>
    <w:rsid w:val="008E46E5"/>
    <w:rsid w:val="008E4808"/>
    <w:rsid w:val="008E4AE8"/>
    <w:rsid w:val="008E506D"/>
    <w:rsid w:val="008E6BE5"/>
    <w:rsid w:val="008F0A92"/>
    <w:rsid w:val="008F1868"/>
    <w:rsid w:val="008F31AB"/>
    <w:rsid w:val="008F6FDA"/>
    <w:rsid w:val="008F72A0"/>
    <w:rsid w:val="008F7410"/>
    <w:rsid w:val="008F7D1C"/>
    <w:rsid w:val="00903348"/>
    <w:rsid w:val="00904697"/>
    <w:rsid w:val="0090562A"/>
    <w:rsid w:val="0090572E"/>
    <w:rsid w:val="00907E23"/>
    <w:rsid w:val="00911FCC"/>
    <w:rsid w:val="00912BF0"/>
    <w:rsid w:val="00912C08"/>
    <w:rsid w:val="0091374E"/>
    <w:rsid w:val="009143FA"/>
    <w:rsid w:val="009146B2"/>
    <w:rsid w:val="00915484"/>
    <w:rsid w:val="0091569E"/>
    <w:rsid w:val="00920CFC"/>
    <w:rsid w:val="00921103"/>
    <w:rsid w:val="00923C0C"/>
    <w:rsid w:val="009279D6"/>
    <w:rsid w:val="00930700"/>
    <w:rsid w:val="00932CCA"/>
    <w:rsid w:val="00933A9E"/>
    <w:rsid w:val="0093478D"/>
    <w:rsid w:val="00935B9F"/>
    <w:rsid w:val="009367F2"/>
    <w:rsid w:val="00940FC6"/>
    <w:rsid w:val="00943444"/>
    <w:rsid w:val="00943C3A"/>
    <w:rsid w:val="00943D2E"/>
    <w:rsid w:val="00952DAA"/>
    <w:rsid w:val="009567BF"/>
    <w:rsid w:val="009606C2"/>
    <w:rsid w:val="00960C7F"/>
    <w:rsid w:val="0096282A"/>
    <w:rsid w:val="00962BCA"/>
    <w:rsid w:val="00964576"/>
    <w:rsid w:val="00966022"/>
    <w:rsid w:val="00966320"/>
    <w:rsid w:val="00970593"/>
    <w:rsid w:val="0097174D"/>
    <w:rsid w:val="00972969"/>
    <w:rsid w:val="00973AA8"/>
    <w:rsid w:val="009805F6"/>
    <w:rsid w:val="00982C8A"/>
    <w:rsid w:val="00983060"/>
    <w:rsid w:val="00983524"/>
    <w:rsid w:val="009846FD"/>
    <w:rsid w:val="0099004D"/>
    <w:rsid w:val="00990C0A"/>
    <w:rsid w:val="00991E79"/>
    <w:rsid w:val="00992C15"/>
    <w:rsid w:val="00994AA0"/>
    <w:rsid w:val="00994E59"/>
    <w:rsid w:val="00996719"/>
    <w:rsid w:val="00996C79"/>
    <w:rsid w:val="009976DF"/>
    <w:rsid w:val="009A0B37"/>
    <w:rsid w:val="009A15FA"/>
    <w:rsid w:val="009A1A29"/>
    <w:rsid w:val="009A48C8"/>
    <w:rsid w:val="009A4B40"/>
    <w:rsid w:val="009A4D63"/>
    <w:rsid w:val="009A4FCD"/>
    <w:rsid w:val="009A54FF"/>
    <w:rsid w:val="009A55DB"/>
    <w:rsid w:val="009A750D"/>
    <w:rsid w:val="009B433A"/>
    <w:rsid w:val="009B444B"/>
    <w:rsid w:val="009B5FDC"/>
    <w:rsid w:val="009B6A80"/>
    <w:rsid w:val="009C152E"/>
    <w:rsid w:val="009C33D9"/>
    <w:rsid w:val="009C5005"/>
    <w:rsid w:val="009C588F"/>
    <w:rsid w:val="009C7542"/>
    <w:rsid w:val="009D15CF"/>
    <w:rsid w:val="009D1CB3"/>
    <w:rsid w:val="009D338B"/>
    <w:rsid w:val="009D40BC"/>
    <w:rsid w:val="009D5D73"/>
    <w:rsid w:val="009D6802"/>
    <w:rsid w:val="009D7224"/>
    <w:rsid w:val="009E04AF"/>
    <w:rsid w:val="009E37BA"/>
    <w:rsid w:val="009E4F3E"/>
    <w:rsid w:val="009E57BD"/>
    <w:rsid w:val="009E5B56"/>
    <w:rsid w:val="009F0546"/>
    <w:rsid w:val="009F0ADE"/>
    <w:rsid w:val="009F36CF"/>
    <w:rsid w:val="009F454C"/>
    <w:rsid w:val="00A02535"/>
    <w:rsid w:val="00A03621"/>
    <w:rsid w:val="00A0523B"/>
    <w:rsid w:val="00A05469"/>
    <w:rsid w:val="00A05BB2"/>
    <w:rsid w:val="00A06188"/>
    <w:rsid w:val="00A064C7"/>
    <w:rsid w:val="00A0658D"/>
    <w:rsid w:val="00A07AF1"/>
    <w:rsid w:val="00A07FB0"/>
    <w:rsid w:val="00A1009C"/>
    <w:rsid w:val="00A123E8"/>
    <w:rsid w:val="00A127AF"/>
    <w:rsid w:val="00A133C5"/>
    <w:rsid w:val="00A17991"/>
    <w:rsid w:val="00A232F7"/>
    <w:rsid w:val="00A23FBF"/>
    <w:rsid w:val="00A25139"/>
    <w:rsid w:val="00A25FE5"/>
    <w:rsid w:val="00A27587"/>
    <w:rsid w:val="00A308F5"/>
    <w:rsid w:val="00A315F4"/>
    <w:rsid w:val="00A31A6D"/>
    <w:rsid w:val="00A32E5C"/>
    <w:rsid w:val="00A330B6"/>
    <w:rsid w:val="00A3558F"/>
    <w:rsid w:val="00A35C60"/>
    <w:rsid w:val="00A404BF"/>
    <w:rsid w:val="00A4209D"/>
    <w:rsid w:val="00A42D84"/>
    <w:rsid w:val="00A45282"/>
    <w:rsid w:val="00A462B4"/>
    <w:rsid w:val="00A50F5A"/>
    <w:rsid w:val="00A53C75"/>
    <w:rsid w:val="00A5762D"/>
    <w:rsid w:val="00A60257"/>
    <w:rsid w:val="00A62580"/>
    <w:rsid w:val="00A66102"/>
    <w:rsid w:val="00A66381"/>
    <w:rsid w:val="00A72D59"/>
    <w:rsid w:val="00A73B33"/>
    <w:rsid w:val="00A73DE2"/>
    <w:rsid w:val="00A74413"/>
    <w:rsid w:val="00A7768B"/>
    <w:rsid w:val="00A81992"/>
    <w:rsid w:val="00A90EC6"/>
    <w:rsid w:val="00A91B13"/>
    <w:rsid w:val="00A94B2F"/>
    <w:rsid w:val="00A96430"/>
    <w:rsid w:val="00A96BF4"/>
    <w:rsid w:val="00A96FB9"/>
    <w:rsid w:val="00A97D90"/>
    <w:rsid w:val="00AA3D62"/>
    <w:rsid w:val="00AA4EDD"/>
    <w:rsid w:val="00AA7A4D"/>
    <w:rsid w:val="00AB00C4"/>
    <w:rsid w:val="00AB09E4"/>
    <w:rsid w:val="00AB0CFA"/>
    <w:rsid w:val="00AB34AD"/>
    <w:rsid w:val="00AB6C16"/>
    <w:rsid w:val="00AC1746"/>
    <w:rsid w:val="00AC1928"/>
    <w:rsid w:val="00AC4D3F"/>
    <w:rsid w:val="00AC510B"/>
    <w:rsid w:val="00AC6884"/>
    <w:rsid w:val="00AC7DAD"/>
    <w:rsid w:val="00AD05CE"/>
    <w:rsid w:val="00AD1B1D"/>
    <w:rsid w:val="00AD4C72"/>
    <w:rsid w:val="00AE114D"/>
    <w:rsid w:val="00AE3C23"/>
    <w:rsid w:val="00AE5F1A"/>
    <w:rsid w:val="00AF19BF"/>
    <w:rsid w:val="00AF2468"/>
    <w:rsid w:val="00AF25A9"/>
    <w:rsid w:val="00AF2A31"/>
    <w:rsid w:val="00AF3CDB"/>
    <w:rsid w:val="00AF4EAF"/>
    <w:rsid w:val="00B012C8"/>
    <w:rsid w:val="00B07014"/>
    <w:rsid w:val="00B07AEE"/>
    <w:rsid w:val="00B122B7"/>
    <w:rsid w:val="00B132CD"/>
    <w:rsid w:val="00B13A1B"/>
    <w:rsid w:val="00B15E20"/>
    <w:rsid w:val="00B222FB"/>
    <w:rsid w:val="00B24797"/>
    <w:rsid w:val="00B253B7"/>
    <w:rsid w:val="00B27B51"/>
    <w:rsid w:val="00B33ED3"/>
    <w:rsid w:val="00B363A2"/>
    <w:rsid w:val="00B400D7"/>
    <w:rsid w:val="00B42358"/>
    <w:rsid w:val="00B44EC0"/>
    <w:rsid w:val="00B45480"/>
    <w:rsid w:val="00B463C8"/>
    <w:rsid w:val="00B564DE"/>
    <w:rsid w:val="00B60344"/>
    <w:rsid w:val="00B616A8"/>
    <w:rsid w:val="00B62023"/>
    <w:rsid w:val="00B6311C"/>
    <w:rsid w:val="00B63570"/>
    <w:rsid w:val="00B71F0E"/>
    <w:rsid w:val="00B73877"/>
    <w:rsid w:val="00B741F1"/>
    <w:rsid w:val="00B76014"/>
    <w:rsid w:val="00B8171E"/>
    <w:rsid w:val="00B839A8"/>
    <w:rsid w:val="00B84AEA"/>
    <w:rsid w:val="00B865CE"/>
    <w:rsid w:val="00B90657"/>
    <w:rsid w:val="00B92CA3"/>
    <w:rsid w:val="00B9350C"/>
    <w:rsid w:val="00B963E7"/>
    <w:rsid w:val="00B969BB"/>
    <w:rsid w:val="00BA75C1"/>
    <w:rsid w:val="00BB0B85"/>
    <w:rsid w:val="00BB0F5C"/>
    <w:rsid w:val="00BB53FF"/>
    <w:rsid w:val="00BB7262"/>
    <w:rsid w:val="00BC1367"/>
    <w:rsid w:val="00BC3AC1"/>
    <w:rsid w:val="00BC4F95"/>
    <w:rsid w:val="00BC54D6"/>
    <w:rsid w:val="00BC6223"/>
    <w:rsid w:val="00BC6A96"/>
    <w:rsid w:val="00BD295A"/>
    <w:rsid w:val="00BD38B1"/>
    <w:rsid w:val="00BD5934"/>
    <w:rsid w:val="00BD5D44"/>
    <w:rsid w:val="00BD5F9D"/>
    <w:rsid w:val="00BE18CB"/>
    <w:rsid w:val="00BE1D85"/>
    <w:rsid w:val="00BE38BC"/>
    <w:rsid w:val="00BE5F73"/>
    <w:rsid w:val="00BF4316"/>
    <w:rsid w:val="00BF4CAA"/>
    <w:rsid w:val="00BF5249"/>
    <w:rsid w:val="00C003E8"/>
    <w:rsid w:val="00C01F33"/>
    <w:rsid w:val="00C02A22"/>
    <w:rsid w:val="00C0729C"/>
    <w:rsid w:val="00C104CD"/>
    <w:rsid w:val="00C110C0"/>
    <w:rsid w:val="00C14090"/>
    <w:rsid w:val="00C15924"/>
    <w:rsid w:val="00C1735B"/>
    <w:rsid w:val="00C17D8B"/>
    <w:rsid w:val="00C2140E"/>
    <w:rsid w:val="00C21C1E"/>
    <w:rsid w:val="00C22AE4"/>
    <w:rsid w:val="00C239C0"/>
    <w:rsid w:val="00C23E57"/>
    <w:rsid w:val="00C24D87"/>
    <w:rsid w:val="00C25B5B"/>
    <w:rsid w:val="00C3017D"/>
    <w:rsid w:val="00C30AD3"/>
    <w:rsid w:val="00C30EC7"/>
    <w:rsid w:val="00C33AA4"/>
    <w:rsid w:val="00C34593"/>
    <w:rsid w:val="00C4113C"/>
    <w:rsid w:val="00C437A1"/>
    <w:rsid w:val="00C44675"/>
    <w:rsid w:val="00C45F72"/>
    <w:rsid w:val="00C50AD6"/>
    <w:rsid w:val="00C5316B"/>
    <w:rsid w:val="00C53BE1"/>
    <w:rsid w:val="00C54E14"/>
    <w:rsid w:val="00C56FC0"/>
    <w:rsid w:val="00C60249"/>
    <w:rsid w:val="00C61BD9"/>
    <w:rsid w:val="00C637E3"/>
    <w:rsid w:val="00C65AF1"/>
    <w:rsid w:val="00C66488"/>
    <w:rsid w:val="00C67A9A"/>
    <w:rsid w:val="00C67D0D"/>
    <w:rsid w:val="00C67D7D"/>
    <w:rsid w:val="00C7058A"/>
    <w:rsid w:val="00C70DCC"/>
    <w:rsid w:val="00C714F7"/>
    <w:rsid w:val="00C72202"/>
    <w:rsid w:val="00C73B70"/>
    <w:rsid w:val="00C747FE"/>
    <w:rsid w:val="00C769FD"/>
    <w:rsid w:val="00C76AF4"/>
    <w:rsid w:val="00C81902"/>
    <w:rsid w:val="00C8410F"/>
    <w:rsid w:val="00C84F5C"/>
    <w:rsid w:val="00C865DB"/>
    <w:rsid w:val="00C8736B"/>
    <w:rsid w:val="00C91667"/>
    <w:rsid w:val="00C91C9C"/>
    <w:rsid w:val="00C922A9"/>
    <w:rsid w:val="00C9622A"/>
    <w:rsid w:val="00C97634"/>
    <w:rsid w:val="00C97B45"/>
    <w:rsid w:val="00CA0D35"/>
    <w:rsid w:val="00CA209D"/>
    <w:rsid w:val="00CA263A"/>
    <w:rsid w:val="00CA2848"/>
    <w:rsid w:val="00CA30E5"/>
    <w:rsid w:val="00CA3457"/>
    <w:rsid w:val="00CA54E7"/>
    <w:rsid w:val="00CA5E12"/>
    <w:rsid w:val="00CB2144"/>
    <w:rsid w:val="00CB2B0C"/>
    <w:rsid w:val="00CB3721"/>
    <w:rsid w:val="00CB54DA"/>
    <w:rsid w:val="00CB6AD1"/>
    <w:rsid w:val="00CB78B1"/>
    <w:rsid w:val="00CC0339"/>
    <w:rsid w:val="00CC341E"/>
    <w:rsid w:val="00CC3715"/>
    <w:rsid w:val="00CC456B"/>
    <w:rsid w:val="00CC5006"/>
    <w:rsid w:val="00CC5EA2"/>
    <w:rsid w:val="00CD2ADB"/>
    <w:rsid w:val="00CD585C"/>
    <w:rsid w:val="00CD5D6E"/>
    <w:rsid w:val="00CD6234"/>
    <w:rsid w:val="00CD75C0"/>
    <w:rsid w:val="00CD77EE"/>
    <w:rsid w:val="00CD7A2D"/>
    <w:rsid w:val="00CE0C74"/>
    <w:rsid w:val="00CE0F89"/>
    <w:rsid w:val="00CE1C19"/>
    <w:rsid w:val="00CE3178"/>
    <w:rsid w:val="00CE5042"/>
    <w:rsid w:val="00CE60C5"/>
    <w:rsid w:val="00CE6455"/>
    <w:rsid w:val="00CE7AA8"/>
    <w:rsid w:val="00CF4B20"/>
    <w:rsid w:val="00CF67BF"/>
    <w:rsid w:val="00CF68E3"/>
    <w:rsid w:val="00CF6B14"/>
    <w:rsid w:val="00CF7DA4"/>
    <w:rsid w:val="00D02CB6"/>
    <w:rsid w:val="00D02ECA"/>
    <w:rsid w:val="00D043A4"/>
    <w:rsid w:val="00D05F14"/>
    <w:rsid w:val="00D158D7"/>
    <w:rsid w:val="00D176DE"/>
    <w:rsid w:val="00D20805"/>
    <w:rsid w:val="00D20E4A"/>
    <w:rsid w:val="00D2498A"/>
    <w:rsid w:val="00D259D2"/>
    <w:rsid w:val="00D268EB"/>
    <w:rsid w:val="00D27753"/>
    <w:rsid w:val="00D3073E"/>
    <w:rsid w:val="00D3433E"/>
    <w:rsid w:val="00D3500C"/>
    <w:rsid w:val="00D37BCE"/>
    <w:rsid w:val="00D37CC3"/>
    <w:rsid w:val="00D43822"/>
    <w:rsid w:val="00D43991"/>
    <w:rsid w:val="00D43A74"/>
    <w:rsid w:val="00D4482C"/>
    <w:rsid w:val="00D448CA"/>
    <w:rsid w:val="00D45455"/>
    <w:rsid w:val="00D46B42"/>
    <w:rsid w:val="00D47FE0"/>
    <w:rsid w:val="00D50B9B"/>
    <w:rsid w:val="00D52BE0"/>
    <w:rsid w:val="00D52C3D"/>
    <w:rsid w:val="00D5339E"/>
    <w:rsid w:val="00D54917"/>
    <w:rsid w:val="00D54AEB"/>
    <w:rsid w:val="00D55219"/>
    <w:rsid w:val="00D57061"/>
    <w:rsid w:val="00D574DA"/>
    <w:rsid w:val="00D60E7D"/>
    <w:rsid w:val="00D61987"/>
    <w:rsid w:val="00D6321C"/>
    <w:rsid w:val="00D65F23"/>
    <w:rsid w:val="00D678E4"/>
    <w:rsid w:val="00D70CE7"/>
    <w:rsid w:val="00D71295"/>
    <w:rsid w:val="00D734E5"/>
    <w:rsid w:val="00D8024E"/>
    <w:rsid w:val="00D81127"/>
    <w:rsid w:val="00D844BD"/>
    <w:rsid w:val="00D84C75"/>
    <w:rsid w:val="00D8676F"/>
    <w:rsid w:val="00D914D1"/>
    <w:rsid w:val="00D921ED"/>
    <w:rsid w:val="00D942D2"/>
    <w:rsid w:val="00D96FE1"/>
    <w:rsid w:val="00D97214"/>
    <w:rsid w:val="00D9747A"/>
    <w:rsid w:val="00DA3761"/>
    <w:rsid w:val="00DA3C2A"/>
    <w:rsid w:val="00DB379F"/>
    <w:rsid w:val="00DB41C0"/>
    <w:rsid w:val="00DB6418"/>
    <w:rsid w:val="00DB65AC"/>
    <w:rsid w:val="00DC6EE1"/>
    <w:rsid w:val="00DC6FF2"/>
    <w:rsid w:val="00DD23D3"/>
    <w:rsid w:val="00DD3370"/>
    <w:rsid w:val="00DD3605"/>
    <w:rsid w:val="00DD4603"/>
    <w:rsid w:val="00DD71C3"/>
    <w:rsid w:val="00DE19FF"/>
    <w:rsid w:val="00DE3314"/>
    <w:rsid w:val="00DE470C"/>
    <w:rsid w:val="00DE4D6A"/>
    <w:rsid w:val="00DE70C0"/>
    <w:rsid w:val="00DF228E"/>
    <w:rsid w:val="00DF311F"/>
    <w:rsid w:val="00DF35FE"/>
    <w:rsid w:val="00DF4A2D"/>
    <w:rsid w:val="00E0196C"/>
    <w:rsid w:val="00E02186"/>
    <w:rsid w:val="00E04264"/>
    <w:rsid w:val="00E052C1"/>
    <w:rsid w:val="00E0542D"/>
    <w:rsid w:val="00E054C9"/>
    <w:rsid w:val="00E06E32"/>
    <w:rsid w:val="00E10C8C"/>
    <w:rsid w:val="00E1124A"/>
    <w:rsid w:val="00E11FA6"/>
    <w:rsid w:val="00E12638"/>
    <w:rsid w:val="00E12E90"/>
    <w:rsid w:val="00E14B4B"/>
    <w:rsid w:val="00E15C77"/>
    <w:rsid w:val="00E1681A"/>
    <w:rsid w:val="00E16C2C"/>
    <w:rsid w:val="00E1770E"/>
    <w:rsid w:val="00E17AFC"/>
    <w:rsid w:val="00E21817"/>
    <w:rsid w:val="00E2269A"/>
    <w:rsid w:val="00E33833"/>
    <w:rsid w:val="00E338DA"/>
    <w:rsid w:val="00E3479C"/>
    <w:rsid w:val="00E34817"/>
    <w:rsid w:val="00E355DE"/>
    <w:rsid w:val="00E364E9"/>
    <w:rsid w:val="00E36FC2"/>
    <w:rsid w:val="00E379B5"/>
    <w:rsid w:val="00E400C4"/>
    <w:rsid w:val="00E42E53"/>
    <w:rsid w:val="00E4520F"/>
    <w:rsid w:val="00E45422"/>
    <w:rsid w:val="00E458B4"/>
    <w:rsid w:val="00E46D9B"/>
    <w:rsid w:val="00E4715F"/>
    <w:rsid w:val="00E54B2B"/>
    <w:rsid w:val="00E552E0"/>
    <w:rsid w:val="00E56838"/>
    <w:rsid w:val="00E57930"/>
    <w:rsid w:val="00E636AF"/>
    <w:rsid w:val="00E64CDE"/>
    <w:rsid w:val="00E66FC3"/>
    <w:rsid w:val="00E70093"/>
    <w:rsid w:val="00E72AAA"/>
    <w:rsid w:val="00E74279"/>
    <w:rsid w:val="00E75605"/>
    <w:rsid w:val="00E759F1"/>
    <w:rsid w:val="00E76CF0"/>
    <w:rsid w:val="00E80538"/>
    <w:rsid w:val="00E80928"/>
    <w:rsid w:val="00E81F4A"/>
    <w:rsid w:val="00E825D1"/>
    <w:rsid w:val="00E82E98"/>
    <w:rsid w:val="00E8411C"/>
    <w:rsid w:val="00E8648A"/>
    <w:rsid w:val="00E9126B"/>
    <w:rsid w:val="00E92B7A"/>
    <w:rsid w:val="00E96BEA"/>
    <w:rsid w:val="00E97711"/>
    <w:rsid w:val="00EA009E"/>
    <w:rsid w:val="00EA00B7"/>
    <w:rsid w:val="00EA02E9"/>
    <w:rsid w:val="00EA0E28"/>
    <w:rsid w:val="00EB2EEE"/>
    <w:rsid w:val="00EB31F3"/>
    <w:rsid w:val="00EB363D"/>
    <w:rsid w:val="00EC5731"/>
    <w:rsid w:val="00EC716C"/>
    <w:rsid w:val="00EC7C25"/>
    <w:rsid w:val="00ED005C"/>
    <w:rsid w:val="00ED30F0"/>
    <w:rsid w:val="00ED428F"/>
    <w:rsid w:val="00ED6891"/>
    <w:rsid w:val="00ED6C51"/>
    <w:rsid w:val="00EE245D"/>
    <w:rsid w:val="00EE2772"/>
    <w:rsid w:val="00EE4FAE"/>
    <w:rsid w:val="00EF0B12"/>
    <w:rsid w:val="00EF359E"/>
    <w:rsid w:val="00EF6928"/>
    <w:rsid w:val="00F008AB"/>
    <w:rsid w:val="00F022F2"/>
    <w:rsid w:val="00F0400E"/>
    <w:rsid w:val="00F05C3E"/>
    <w:rsid w:val="00F0687F"/>
    <w:rsid w:val="00F06A61"/>
    <w:rsid w:val="00F07188"/>
    <w:rsid w:val="00F07AAC"/>
    <w:rsid w:val="00F106EB"/>
    <w:rsid w:val="00F11E4B"/>
    <w:rsid w:val="00F1400E"/>
    <w:rsid w:val="00F144AE"/>
    <w:rsid w:val="00F15E45"/>
    <w:rsid w:val="00F1604D"/>
    <w:rsid w:val="00F17D77"/>
    <w:rsid w:val="00F17E22"/>
    <w:rsid w:val="00F23D2E"/>
    <w:rsid w:val="00F2673B"/>
    <w:rsid w:val="00F27B30"/>
    <w:rsid w:val="00F41F36"/>
    <w:rsid w:val="00F42EA5"/>
    <w:rsid w:val="00F448F3"/>
    <w:rsid w:val="00F45DC8"/>
    <w:rsid w:val="00F479E8"/>
    <w:rsid w:val="00F50532"/>
    <w:rsid w:val="00F551A6"/>
    <w:rsid w:val="00F616FD"/>
    <w:rsid w:val="00F625DD"/>
    <w:rsid w:val="00F655C8"/>
    <w:rsid w:val="00F70F10"/>
    <w:rsid w:val="00F7107C"/>
    <w:rsid w:val="00F71501"/>
    <w:rsid w:val="00F728C6"/>
    <w:rsid w:val="00F72CE6"/>
    <w:rsid w:val="00F771DF"/>
    <w:rsid w:val="00F80045"/>
    <w:rsid w:val="00F81C19"/>
    <w:rsid w:val="00F854DD"/>
    <w:rsid w:val="00F85F59"/>
    <w:rsid w:val="00F87075"/>
    <w:rsid w:val="00F91AF7"/>
    <w:rsid w:val="00F91BCA"/>
    <w:rsid w:val="00F96C3A"/>
    <w:rsid w:val="00FA3027"/>
    <w:rsid w:val="00FA45E9"/>
    <w:rsid w:val="00FA474F"/>
    <w:rsid w:val="00FA49DD"/>
    <w:rsid w:val="00FA6213"/>
    <w:rsid w:val="00FB067A"/>
    <w:rsid w:val="00FB206D"/>
    <w:rsid w:val="00FB5F8B"/>
    <w:rsid w:val="00FB75E0"/>
    <w:rsid w:val="00FB7909"/>
    <w:rsid w:val="00FC080B"/>
    <w:rsid w:val="00FC0EE5"/>
    <w:rsid w:val="00FC3675"/>
    <w:rsid w:val="00FC48A4"/>
    <w:rsid w:val="00FC79C6"/>
    <w:rsid w:val="00FD1EAD"/>
    <w:rsid w:val="00FD5F90"/>
    <w:rsid w:val="00FD7C2A"/>
    <w:rsid w:val="00FE03AF"/>
    <w:rsid w:val="00FE0B3C"/>
    <w:rsid w:val="00FE1768"/>
    <w:rsid w:val="00FE4CC3"/>
    <w:rsid w:val="00FE6368"/>
    <w:rsid w:val="00FE6944"/>
    <w:rsid w:val="00FE6996"/>
    <w:rsid w:val="00FE7D3A"/>
    <w:rsid w:val="00FF4C32"/>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11063"/>
  <w15:docId w15:val="{9F731030-3FF1-4247-BF97-4B78556E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DE2"/>
    <w:rPr>
      <w:sz w:val="24"/>
      <w:szCs w:val="24"/>
    </w:rPr>
  </w:style>
  <w:style w:type="paragraph" w:styleId="Heading3">
    <w:name w:val="heading 3"/>
    <w:basedOn w:val="Normal"/>
    <w:next w:val="Normal"/>
    <w:link w:val="Heading3Char"/>
    <w:qFormat/>
    <w:rsid w:val="00587CA5"/>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link w:val="FooterChar"/>
    <w:uiPriority w:val="99"/>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 w:type="character" w:styleId="Hyperlink">
    <w:name w:val="Hyperlink"/>
    <w:rsid w:val="0024294A"/>
    <w:rPr>
      <w:color w:val="0000FF"/>
      <w:u w:val="single"/>
    </w:rPr>
  </w:style>
  <w:style w:type="character" w:styleId="Emphasis">
    <w:name w:val="Emphasis"/>
    <w:qFormat/>
    <w:rsid w:val="0024294A"/>
    <w:rPr>
      <w:i/>
      <w:iCs/>
    </w:rPr>
  </w:style>
  <w:style w:type="character" w:customStyle="1" w:styleId="FooterChar">
    <w:name w:val="Footer Char"/>
    <w:basedOn w:val="DefaultParagraphFont"/>
    <w:link w:val="Footer"/>
    <w:uiPriority w:val="99"/>
    <w:rsid w:val="001B526D"/>
    <w:rPr>
      <w:sz w:val="24"/>
      <w:szCs w:val="24"/>
    </w:rPr>
  </w:style>
  <w:style w:type="character" w:customStyle="1" w:styleId="ssbf1">
    <w:name w:val="ss_bf1"/>
    <w:basedOn w:val="DefaultParagraphFont"/>
    <w:rsid w:val="000C3E04"/>
    <w:rPr>
      <w:b/>
      <w:bCs/>
      <w:color w:val="373739"/>
    </w:rPr>
  </w:style>
  <w:style w:type="character" w:customStyle="1" w:styleId="ssparalabel">
    <w:name w:val="ss_paralabel"/>
    <w:basedOn w:val="DefaultParagraphFont"/>
    <w:rsid w:val="000C3E04"/>
  </w:style>
  <w:style w:type="character" w:customStyle="1" w:styleId="ssit1">
    <w:name w:val="ss_it1"/>
    <w:basedOn w:val="DefaultParagraphFont"/>
    <w:rsid w:val="000C3E04"/>
    <w:rPr>
      <w:i/>
      <w:iCs/>
    </w:rPr>
  </w:style>
  <w:style w:type="character" w:customStyle="1" w:styleId="ssparacontent">
    <w:name w:val="ss_paracontent"/>
    <w:basedOn w:val="DefaultParagraphFont"/>
    <w:rsid w:val="000C3E04"/>
  </w:style>
  <w:style w:type="character" w:customStyle="1" w:styleId="Heading3Char">
    <w:name w:val="Heading 3 Char"/>
    <w:basedOn w:val="DefaultParagraphFont"/>
    <w:link w:val="Heading3"/>
    <w:rsid w:val="00587CA5"/>
    <w:rPr>
      <w:rFonts w:ascii="Arial" w:hAnsi="Arial" w:cs="Arial"/>
      <w:b/>
      <w:bCs/>
      <w:sz w:val="26"/>
      <w:szCs w:val="26"/>
    </w:rPr>
  </w:style>
  <w:style w:type="paragraph" w:customStyle="1" w:styleId="StyleCentered">
    <w:name w:val="Style Centered"/>
    <w:basedOn w:val="Normal"/>
    <w:rsid w:val="00587CA5"/>
    <w:pPr>
      <w:overflowPunct w:val="0"/>
      <w:autoSpaceDE w:val="0"/>
      <w:autoSpaceDN w:val="0"/>
      <w:adjustRightInd w:val="0"/>
      <w:jc w:val="center"/>
      <w:textAlignment w:val="baseline"/>
    </w:pPr>
    <w:rPr>
      <w:szCs w:val="20"/>
    </w:rPr>
  </w:style>
  <w:style w:type="paragraph" w:customStyle="1" w:styleId="p14">
    <w:name w:val="p14"/>
    <w:basedOn w:val="Normal"/>
    <w:rsid w:val="00ED30F0"/>
    <w:pPr>
      <w:widowControl w:val="0"/>
      <w:tabs>
        <w:tab w:val="left" w:pos="204"/>
      </w:tabs>
      <w:autoSpaceDE w:val="0"/>
      <w:autoSpaceDN w:val="0"/>
      <w:adjustRightInd w:val="0"/>
    </w:pPr>
  </w:style>
  <w:style w:type="paragraph" w:customStyle="1" w:styleId="p17">
    <w:name w:val="p17"/>
    <w:basedOn w:val="Normal"/>
    <w:rsid w:val="00ED30F0"/>
    <w:pPr>
      <w:widowControl w:val="0"/>
      <w:tabs>
        <w:tab w:val="left" w:pos="5057"/>
      </w:tabs>
      <w:autoSpaceDE w:val="0"/>
      <w:autoSpaceDN w:val="0"/>
      <w:adjustRightInd w:val="0"/>
      <w:ind w:left="3617"/>
    </w:pPr>
  </w:style>
  <w:style w:type="paragraph" w:customStyle="1" w:styleId="p18">
    <w:name w:val="p18"/>
    <w:basedOn w:val="Normal"/>
    <w:rsid w:val="00ED30F0"/>
    <w:pPr>
      <w:widowControl w:val="0"/>
      <w:tabs>
        <w:tab w:val="left" w:pos="5062"/>
      </w:tabs>
      <w:autoSpaceDE w:val="0"/>
      <w:autoSpaceDN w:val="0"/>
      <w:adjustRightInd w:val="0"/>
      <w:ind w:left="36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33323">
      <w:bodyDiv w:val="1"/>
      <w:marLeft w:val="0"/>
      <w:marRight w:val="0"/>
      <w:marTop w:val="0"/>
      <w:marBottom w:val="0"/>
      <w:divBdr>
        <w:top w:val="none" w:sz="0" w:space="0" w:color="auto"/>
        <w:left w:val="none" w:sz="0" w:space="0" w:color="auto"/>
        <w:bottom w:val="none" w:sz="0" w:space="0" w:color="auto"/>
        <w:right w:val="none" w:sz="0" w:space="0" w:color="auto"/>
      </w:divBdr>
    </w:div>
    <w:div w:id="1814519341">
      <w:bodyDiv w:val="1"/>
      <w:marLeft w:val="0"/>
      <w:marRight w:val="0"/>
      <w:marTop w:val="0"/>
      <w:marBottom w:val="0"/>
      <w:divBdr>
        <w:top w:val="none" w:sz="0" w:space="0" w:color="auto"/>
        <w:left w:val="none" w:sz="0" w:space="0" w:color="auto"/>
        <w:bottom w:val="none" w:sz="0" w:space="0" w:color="auto"/>
        <w:right w:val="none" w:sz="0" w:space="0" w:color="auto"/>
      </w:divBdr>
    </w:div>
    <w:div w:id="20820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0E27-5DA3-4F89-900D-CA695322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Administrator</dc:creator>
  <cp:lastModifiedBy>Farner, Joyce</cp:lastModifiedBy>
  <cp:revision>4</cp:revision>
  <cp:lastPrinted>2018-09-06T12:56:00Z</cp:lastPrinted>
  <dcterms:created xsi:type="dcterms:W3CDTF">2018-09-10T15:59:00Z</dcterms:created>
  <dcterms:modified xsi:type="dcterms:W3CDTF">2018-09-20T11:20:00Z</dcterms:modified>
</cp:coreProperties>
</file>