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5D46E" w14:textId="77777777" w:rsidR="005D711E" w:rsidRPr="00925F30" w:rsidRDefault="005D711E">
      <w:pPr>
        <w:rPr>
          <w:b/>
        </w:rPr>
      </w:pPr>
    </w:p>
    <w:p w14:paraId="0C236EB5" w14:textId="77777777" w:rsidR="005D711E" w:rsidRDefault="005D711E">
      <w:pPr>
        <w:rPr>
          <w:b/>
        </w:rPr>
      </w:pPr>
    </w:p>
    <w:p w14:paraId="465ADB10" w14:textId="77777777" w:rsidR="004B4861" w:rsidRDefault="004B4861">
      <w:pPr>
        <w:pStyle w:val="Heading8"/>
        <w:ind w:left="270"/>
        <w:jc w:val="center"/>
        <w:rPr>
          <w:sz w:val="32"/>
          <w:szCs w:val="32"/>
        </w:rPr>
      </w:pPr>
    </w:p>
    <w:p w14:paraId="2692CF54" w14:textId="77777777" w:rsidR="004B4861" w:rsidRDefault="004B4861">
      <w:pPr>
        <w:pStyle w:val="Heading8"/>
        <w:ind w:left="270"/>
        <w:jc w:val="center"/>
        <w:rPr>
          <w:sz w:val="32"/>
          <w:szCs w:val="32"/>
        </w:rPr>
      </w:pPr>
    </w:p>
    <w:p w14:paraId="69288D2C" w14:textId="77777777" w:rsidR="006D7B1B" w:rsidRDefault="006D7B1B" w:rsidP="001032C8">
      <w:pPr>
        <w:jc w:val="center"/>
        <w:rPr>
          <w:rFonts w:ascii="Arial" w:hAnsi="Arial" w:cs="Arial"/>
          <w:b/>
          <w:sz w:val="40"/>
          <w:szCs w:val="24"/>
        </w:rPr>
      </w:pPr>
    </w:p>
    <w:p w14:paraId="53BCD203" w14:textId="77777777" w:rsidR="006D7B1B" w:rsidRDefault="006D7B1B" w:rsidP="001032C8">
      <w:pPr>
        <w:jc w:val="center"/>
        <w:rPr>
          <w:rFonts w:ascii="Arial" w:hAnsi="Arial" w:cs="Arial"/>
          <w:b/>
          <w:sz w:val="40"/>
          <w:szCs w:val="24"/>
        </w:rPr>
      </w:pPr>
    </w:p>
    <w:p w14:paraId="0DD18EB1" w14:textId="77777777" w:rsidR="006D7B1B" w:rsidRDefault="006D7B1B" w:rsidP="001032C8">
      <w:pPr>
        <w:jc w:val="center"/>
        <w:rPr>
          <w:rFonts w:ascii="Arial" w:hAnsi="Arial" w:cs="Arial"/>
          <w:b/>
          <w:sz w:val="40"/>
          <w:szCs w:val="24"/>
        </w:rPr>
      </w:pPr>
    </w:p>
    <w:p w14:paraId="3B5BC85C" w14:textId="77777777" w:rsidR="006D7B1B" w:rsidRDefault="006D7B1B" w:rsidP="001032C8">
      <w:pPr>
        <w:jc w:val="center"/>
        <w:rPr>
          <w:rFonts w:ascii="Arial" w:hAnsi="Arial" w:cs="Arial"/>
          <w:b/>
          <w:sz w:val="40"/>
          <w:szCs w:val="24"/>
        </w:rPr>
      </w:pPr>
    </w:p>
    <w:p w14:paraId="4B2243C5" w14:textId="77777777" w:rsidR="004A6AD9" w:rsidRDefault="004A6AD9" w:rsidP="001032C8">
      <w:pPr>
        <w:jc w:val="center"/>
        <w:rPr>
          <w:rFonts w:ascii="Arial" w:hAnsi="Arial" w:cs="Arial"/>
          <w:b/>
          <w:sz w:val="40"/>
          <w:szCs w:val="24"/>
        </w:rPr>
      </w:pPr>
    </w:p>
    <w:p w14:paraId="7C8EA7F1" w14:textId="77777777" w:rsidR="001032C8" w:rsidRPr="006D7B1B" w:rsidRDefault="00834DF8" w:rsidP="001032C8">
      <w:pPr>
        <w:jc w:val="center"/>
        <w:rPr>
          <w:rFonts w:ascii="Arial" w:hAnsi="Arial" w:cs="Arial"/>
          <w:b/>
          <w:sz w:val="36"/>
          <w:szCs w:val="36"/>
        </w:rPr>
      </w:pPr>
      <w:r w:rsidRPr="006D7B1B">
        <w:rPr>
          <w:rFonts w:ascii="Arial" w:hAnsi="Arial" w:cs="Arial"/>
          <w:b/>
          <w:sz w:val="36"/>
          <w:szCs w:val="36"/>
        </w:rPr>
        <w:t>PECO ENERGY COMPANY</w:t>
      </w:r>
    </w:p>
    <w:p w14:paraId="07CDBE6B" w14:textId="77777777" w:rsidR="005D711E" w:rsidRPr="00BE0936" w:rsidRDefault="005D711E" w:rsidP="007B2F04">
      <w:pPr>
        <w:pStyle w:val="Heading8"/>
        <w:jc w:val="center"/>
        <w:rPr>
          <w:rFonts w:ascii="Arial" w:hAnsi="Arial" w:cs="Arial"/>
          <w:sz w:val="24"/>
          <w:szCs w:val="24"/>
        </w:rPr>
      </w:pPr>
    </w:p>
    <w:p w14:paraId="7B0EB7B4" w14:textId="77777777" w:rsidR="005D711E" w:rsidRPr="00BE0936" w:rsidRDefault="005D711E" w:rsidP="007B2F04">
      <w:pPr>
        <w:pStyle w:val="BodyText2"/>
        <w:rPr>
          <w:rFonts w:ascii="Arial" w:hAnsi="Arial" w:cs="Arial"/>
          <w:sz w:val="24"/>
          <w:szCs w:val="24"/>
        </w:rPr>
      </w:pPr>
    </w:p>
    <w:p w14:paraId="7EAA745D" w14:textId="77777777" w:rsidR="004B4861" w:rsidRDefault="004B4861" w:rsidP="007B2F04">
      <w:pPr>
        <w:pStyle w:val="BodyText2"/>
        <w:tabs>
          <w:tab w:val="clear" w:pos="4680"/>
        </w:tabs>
        <w:rPr>
          <w:rFonts w:ascii="Arial" w:hAnsi="Arial" w:cs="Arial"/>
          <w:sz w:val="24"/>
          <w:szCs w:val="24"/>
        </w:rPr>
      </w:pPr>
    </w:p>
    <w:p w14:paraId="6C3F1D47" w14:textId="77777777" w:rsidR="00BE0936" w:rsidRDefault="00BE0936" w:rsidP="007B2F04">
      <w:pPr>
        <w:pStyle w:val="BodyText2"/>
        <w:tabs>
          <w:tab w:val="clear" w:pos="4680"/>
        </w:tabs>
        <w:rPr>
          <w:rFonts w:ascii="Arial" w:hAnsi="Arial" w:cs="Arial"/>
          <w:sz w:val="24"/>
          <w:szCs w:val="24"/>
        </w:rPr>
      </w:pPr>
    </w:p>
    <w:p w14:paraId="4C53129F" w14:textId="77777777" w:rsidR="00BE0936" w:rsidRDefault="00BE0936" w:rsidP="007B2F04">
      <w:pPr>
        <w:pStyle w:val="BodyText2"/>
        <w:tabs>
          <w:tab w:val="clear" w:pos="4680"/>
        </w:tabs>
        <w:rPr>
          <w:rFonts w:ascii="Arial" w:hAnsi="Arial" w:cs="Arial"/>
          <w:sz w:val="24"/>
          <w:szCs w:val="24"/>
        </w:rPr>
      </w:pPr>
    </w:p>
    <w:p w14:paraId="29FE31E8" w14:textId="77777777" w:rsidR="00BE0936" w:rsidRDefault="00BE0936" w:rsidP="007B2F04">
      <w:pPr>
        <w:pStyle w:val="BodyText2"/>
        <w:tabs>
          <w:tab w:val="clear" w:pos="4680"/>
        </w:tabs>
        <w:rPr>
          <w:rFonts w:ascii="Arial" w:hAnsi="Arial" w:cs="Arial"/>
          <w:sz w:val="24"/>
          <w:szCs w:val="24"/>
        </w:rPr>
      </w:pPr>
    </w:p>
    <w:p w14:paraId="17CD6A73" w14:textId="7156BCE6" w:rsidR="00DB0C40" w:rsidRDefault="00DB0C40" w:rsidP="00DB0C40">
      <w:pPr>
        <w:suppressAutoHyphens/>
        <w:jc w:val="center"/>
        <w:rPr>
          <w:rFonts w:ascii="Arial" w:hAnsi="Arial" w:cs="Arial"/>
          <w:b/>
          <w:sz w:val="28"/>
          <w:szCs w:val="28"/>
        </w:rPr>
      </w:pPr>
      <w:r w:rsidRPr="006D7B1B">
        <w:rPr>
          <w:rFonts w:ascii="Arial" w:hAnsi="Arial" w:cs="Arial"/>
          <w:b/>
          <w:sz w:val="28"/>
          <w:szCs w:val="28"/>
        </w:rPr>
        <w:t xml:space="preserve">REPORT ON THE </w:t>
      </w:r>
      <w:r>
        <w:rPr>
          <w:rFonts w:ascii="Arial" w:hAnsi="Arial" w:cs="Arial"/>
          <w:b/>
          <w:sz w:val="28"/>
          <w:szCs w:val="28"/>
        </w:rPr>
        <w:t xml:space="preserve">STATEMENT OF </w:t>
      </w:r>
    </w:p>
    <w:p w14:paraId="3E797719" w14:textId="77777777" w:rsidR="004B39C7" w:rsidRPr="00BE0936" w:rsidRDefault="004B39C7" w:rsidP="007B2F04">
      <w:pPr>
        <w:pStyle w:val="BodyText2"/>
        <w:tabs>
          <w:tab w:val="clear" w:pos="4680"/>
        </w:tabs>
        <w:rPr>
          <w:rFonts w:ascii="Arial" w:hAnsi="Arial" w:cs="Arial"/>
          <w:sz w:val="24"/>
          <w:szCs w:val="24"/>
        </w:rPr>
      </w:pPr>
    </w:p>
    <w:p w14:paraId="54DAD232" w14:textId="77777777" w:rsidR="004B4861" w:rsidRPr="00BE0936" w:rsidRDefault="00825E2D" w:rsidP="007B2F04">
      <w:pPr>
        <w:pStyle w:val="BodyText2"/>
        <w:tabs>
          <w:tab w:val="clear" w:pos="4680"/>
        </w:tabs>
        <w:rPr>
          <w:rFonts w:ascii="Arial" w:hAnsi="Arial" w:cs="Arial"/>
          <w:sz w:val="24"/>
          <w:szCs w:val="24"/>
        </w:rPr>
      </w:pPr>
      <w:r>
        <w:rPr>
          <w:rFonts w:ascii="Arial" w:hAnsi="Arial" w:cs="Arial"/>
          <w:sz w:val="28"/>
          <w:szCs w:val="28"/>
        </w:rPr>
        <w:t xml:space="preserve">NON-BYPASSABLE </w:t>
      </w:r>
      <w:r w:rsidR="00DB0C40" w:rsidRPr="006D7B1B">
        <w:rPr>
          <w:rFonts w:ascii="Arial" w:hAnsi="Arial" w:cs="Arial"/>
          <w:sz w:val="28"/>
          <w:szCs w:val="28"/>
        </w:rPr>
        <w:t>TRANSMISSION CHARGE</w:t>
      </w:r>
    </w:p>
    <w:p w14:paraId="69BEB961" w14:textId="77777777" w:rsidR="004B4861" w:rsidRPr="006D7B1B" w:rsidRDefault="004B4861" w:rsidP="007B2F04">
      <w:pPr>
        <w:pStyle w:val="BodyText2"/>
        <w:tabs>
          <w:tab w:val="clear" w:pos="4680"/>
        </w:tabs>
        <w:rPr>
          <w:rFonts w:ascii="Arial" w:hAnsi="Arial" w:cs="Arial"/>
          <w:sz w:val="28"/>
          <w:szCs w:val="28"/>
        </w:rPr>
      </w:pPr>
    </w:p>
    <w:p w14:paraId="6D4BECE1" w14:textId="77777777" w:rsidR="00BC0918" w:rsidRDefault="00554B9B" w:rsidP="00554B9B">
      <w:pPr>
        <w:suppressAutoHyphens/>
        <w:jc w:val="center"/>
        <w:rPr>
          <w:rFonts w:ascii="Arial" w:hAnsi="Arial" w:cs="Arial"/>
          <w:b/>
          <w:sz w:val="28"/>
          <w:szCs w:val="28"/>
        </w:rPr>
      </w:pPr>
      <w:r w:rsidRPr="006D7B1B">
        <w:rPr>
          <w:rFonts w:ascii="Arial" w:hAnsi="Arial" w:cs="Arial"/>
          <w:b/>
          <w:sz w:val="28"/>
          <w:szCs w:val="28"/>
        </w:rPr>
        <w:t xml:space="preserve">FOR THE </w:t>
      </w:r>
      <w:r w:rsidR="004A6AD9">
        <w:rPr>
          <w:rFonts w:ascii="Arial" w:hAnsi="Arial" w:cs="Arial"/>
          <w:b/>
          <w:sz w:val="28"/>
          <w:szCs w:val="28"/>
        </w:rPr>
        <w:t>SIX</w:t>
      </w:r>
      <w:r w:rsidR="00061843" w:rsidRPr="006D7B1B">
        <w:rPr>
          <w:rFonts w:ascii="Arial" w:hAnsi="Arial" w:cs="Arial"/>
          <w:b/>
          <w:sz w:val="28"/>
          <w:szCs w:val="28"/>
        </w:rPr>
        <w:t xml:space="preserve"> MONTHS ENDED </w:t>
      </w:r>
      <w:r w:rsidR="00E77C51">
        <w:rPr>
          <w:rFonts w:ascii="Arial" w:hAnsi="Arial" w:cs="Arial"/>
          <w:b/>
          <w:sz w:val="28"/>
          <w:szCs w:val="28"/>
        </w:rPr>
        <w:t>NOVEMBER</w:t>
      </w:r>
      <w:r w:rsidR="009C0A77" w:rsidRPr="006D7B1B">
        <w:rPr>
          <w:rFonts w:ascii="Arial" w:hAnsi="Arial" w:cs="Arial"/>
          <w:b/>
          <w:sz w:val="28"/>
          <w:szCs w:val="28"/>
        </w:rPr>
        <w:t xml:space="preserve"> 3</w:t>
      </w:r>
      <w:r w:rsidR="00E77C51">
        <w:rPr>
          <w:rFonts w:ascii="Arial" w:hAnsi="Arial" w:cs="Arial"/>
          <w:b/>
          <w:sz w:val="28"/>
          <w:szCs w:val="28"/>
        </w:rPr>
        <w:t>0</w:t>
      </w:r>
      <w:r w:rsidR="009C0A77" w:rsidRPr="006D7B1B">
        <w:rPr>
          <w:rFonts w:ascii="Arial" w:hAnsi="Arial" w:cs="Arial"/>
          <w:b/>
          <w:sz w:val="28"/>
          <w:szCs w:val="28"/>
        </w:rPr>
        <w:t>,</w:t>
      </w:r>
      <w:r w:rsidR="00061843" w:rsidRPr="006D7B1B">
        <w:rPr>
          <w:rFonts w:ascii="Arial" w:hAnsi="Arial" w:cs="Arial"/>
          <w:b/>
          <w:sz w:val="28"/>
          <w:szCs w:val="28"/>
        </w:rPr>
        <w:t xml:space="preserve"> 20</w:t>
      </w:r>
      <w:r w:rsidR="00834DF8" w:rsidRPr="006D7B1B">
        <w:rPr>
          <w:rFonts w:ascii="Arial" w:hAnsi="Arial" w:cs="Arial"/>
          <w:b/>
          <w:sz w:val="28"/>
          <w:szCs w:val="28"/>
        </w:rPr>
        <w:t>1</w:t>
      </w:r>
      <w:r w:rsidR="00A31DF6">
        <w:rPr>
          <w:rFonts w:ascii="Arial" w:hAnsi="Arial" w:cs="Arial"/>
          <w:b/>
          <w:sz w:val="28"/>
          <w:szCs w:val="28"/>
        </w:rPr>
        <w:t>5</w:t>
      </w:r>
      <w:r w:rsidR="00E77C51">
        <w:rPr>
          <w:rFonts w:ascii="Arial" w:hAnsi="Arial" w:cs="Arial"/>
          <w:b/>
          <w:sz w:val="28"/>
          <w:szCs w:val="28"/>
        </w:rPr>
        <w:t xml:space="preserve"> </w:t>
      </w:r>
    </w:p>
    <w:p w14:paraId="14CB73A5" w14:textId="77777777" w:rsidR="00BC0918" w:rsidRDefault="00BC0918" w:rsidP="00554B9B">
      <w:pPr>
        <w:suppressAutoHyphens/>
        <w:jc w:val="center"/>
        <w:rPr>
          <w:rFonts w:ascii="Arial" w:hAnsi="Arial" w:cs="Arial"/>
          <w:b/>
          <w:sz w:val="28"/>
          <w:szCs w:val="28"/>
        </w:rPr>
      </w:pPr>
    </w:p>
    <w:p w14:paraId="5C2036D0" w14:textId="77777777" w:rsidR="005D711E" w:rsidRPr="00BE0936" w:rsidRDefault="005D711E" w:rsidP="007B2F04">
      <w:pPr>
        <w:pStyle w:val="BodyText2"/>
        <w:tabs>
          <w:tab w:val="clear" w:pos="4680"/>
        </w:tabs>
        <w:outlineLvl w:val="0"/>
        <w:rPr>
          <w:rFonts w:ascii="Arial" w:hAnsi="Arial" w:cs="Arial"/>
          <w:sz w:val="24"/>
          <w:szCs w:val="24"/>
        </w:rPr>
      </w:pPr>
    </w:p>
    <w:p w14:paraId="5AE3BA67" w14:textId="77777777" w:rsidR="005D711E" w:rsidRPr="00BE0936" w:rsidRDefault="005D711E" w:rsidP="007B2F04">
      <w:pPr>
        <w:pStyle w:val="BodyText2"/>
        <w:rPr>
          <w:rFonts w:ascii="Arial" w:hAnsi="Arial" w:cs="Arial"/>
          <w:sz w:val="24"/>
          <w:szCs w:val="24"/>
        </w:rPr>
      </w:pPr>
    </w:p>
    <w:p w14:paraId="6D72F062" w14:textId="77777777" w:rsidR="005D711E" w:rsidRPr="00BE0936" w:rsidRDefault="005D711E" w:rsidP="007B2F04">
      <w:pPr>
        <w:pStyle w:val="BodyText2"/>
        <w:rPr>
          <w:rFonts w:ascii="Arial" w:hAnsi="Arial" w:cs="Arial"/>
          <w:sz w:val="24"/>
          <w:szCs w:val="24"/>
        </w:rPr>
      </w:pPr>
    </w:p>
    <w:p w14:paraId="6D7CE02D" w14:textId="77777777" w:rsidR="005D711E" w:rsidRPr="00BE0936" w:rsidRDefault="005D711E" w:rsidP="007B2F04">
      <w:pPr>
        <w:tabs>
          <w:tab w:val="left" w:pos="-720"/>
        </w:tabs>
        <w:suppressAutoHyphens/>
        <w:jc w:val="center"/>
        <w:rPr>
          <w:rFonts w:ascii="Arial" w:hAnsi="Arial" w:cs="Arial"/>
          <w:b/>
          <w:szCs w:val="24"/>
        </w:rPr>
      </w:pPr>
    </w:p>
    <w:p w14:paraId="6AB112DC" w14:textId="77777777" w:rsidR="005D711E" w:rsidRPr="00BE0936" w:rsidRDefault="005D711E" w:rsidP="007B2F04">
      <w:pPr>
        <w:tabs>
          <w:tab w:val="left" w:pos="-720"/>
        </w:tabs>
        <w:suppressAutoHyphens/>
        <w:jc w:val="center"/>
        <w:rPr>
          <w:rFonts w:ascii="Arial" w:hAnsi="Arial" w:cs="Arial"/>
          <w:b/>
          <w:szCs w:val="24"/>
        </w:rPr>
      </w:pPr>
    </w:p>
    <w:p w14:paraId="262D6D25" w14:textId="77777777" w:rsidR="004B39C7" w:rsidRPr="00BE0936" w:rsidRDefault="004B39C7" w:rsidP="007B2F04">
      <w:pPr>
        <w:tabs>
          <w:tab w:val="left" w:pos="-720"/>
        </w:tabs>
        <w:suppressAutoHyphens/>
        <w:jc w:val="center"/>
        <w:rPr>
          <w:rFonts w:ascii="Arial" w:hAnsi="Arial" w:cs="Arial"/>
          <w:b/>
          <w:szCs w:val="24"/>
        </w:rPr>
      </w:pPr>
    </w:p>
    <w:p w14:paraId="37C0FB82" w14:textId="77777777" w:rsidR="00BE0936" w:rsidRDefault="00BE0936" w:rsidP="007B2F04">
      <w:pPr>
        <w:tabs>
          <w:tab w:val="left" w:pos="-720"/>
        </w:tabs>
        <w:suppressAutoHyphens/>
        <w:jc w:val="center"/>
        <w:rPr>
          <w:rFonts w:ascii="Arial" w:hAnsi="Arial" w:cs="Arial"/>
          <w:b/>
          <w:szCs w:val="24"/>
        </w:rPr>
      </w:pPr>
    </w:p>
    <w:p w14:paraId="017D869E" w14:textId="77777777" w:rsidR="005D711E" w:rsidRPr="00BE0936" w:rsidRDefault="005D711E" w:rsidP="007B2F04">
      <w:pPr>
        <w:tabs>
          <w:tab w:val="center" w:pos="4680"/>
        </w:tabs>
        <w:suppressAutoHyphens/>
        <w:jc w:val="center"/>
        <w:rPr>
          <w:rFonts w:ascii="Arial" w:hAnsi="Arial" w:cs="Arial"/>
          <w:b/>
          <w:szCs w:val="24"/>
        </w:rPr>
      </w:pPr>
    </w:p>
    <w:p w14:paraId="47A20D73" w14:textId="77777777" w:rsidR="005D711E" w:rsidRPr="00BE0936" w:rsidRDefault="005D711E" w:rsidP="007B2F04">
      <w:pPr>
        <w:tabs>
          <w:tab w:val="center" w:pos="4680"/>
        </w:tabs>
        <w:suppressAutoHyphens/>
        <w:jc w:val="center"/>
        <w:rPr>
          <w:rFonts w:ascii="Arial" w:hAnsi="Arial" w:cs="Arial"/>
          <w:b/>
          <w:szCs w:val="24"/>
        </w:rPr>
      </w:pPr>
    </w:p>
    <w:p w14:paraId="458D330E" w14:textId="77777777" w:rsidR="00A83CBA" w:rsidRDefault="00A83CBA" w:rsidP="007B2F04">
      <w:pPr>
        <w:tabs>
          <w:tab w:val="center" w:pos="4680"/>
        </w:tabs>
        <w:suppressAutoHyphens/>
        <w:jc w:val="center"/>
        <w:outlineLvl w:val="0"/>
        <w:rPr>
          <w:rFonts w:ascii="Arial" w:hAnsi="Arial" w:cs="Arial"/>
          <w:b/>
          <w:sz w:val="28"/>
          <w:szCs w:val="24"/>
        </w:rPr>
      </w:pPr>
    </w:p>
    <w:p w14:paraId="1055FC08" w14:textId="77777777" w:rsidR="00A83CBA" w:rsidRDefault="00A83CBA" w:rsidP="007B2F04">
      <w:pPr>
        <w:tabs>
          <w:tab w:val="center" w:pos="4680"/>
        </w:tabs>
        <w:suppressAutoHyphens/>
        <w:jc w:val="center"/>
        <w:outlineLvl w:val="0"/>
        <w:rPr>
          <w:rFonts w:ascii="Arial" w:hAnsi="Arial" w:cs="Arial"/>
          <w:b/>
          <w:sz w:val="28"/>
          <w:szCs w:val="24"/>
        </w:rPr>
      </w:pPr>
    </w:p>
    <w:p w14:paraId="505F7C58" w14:textId="77777777" w:rsidR="00A83CBA" w:rsidRDefault="00A83CBA" w:rsidP="007B2F04">
      <w:pPr>
        <w:tabs>
          <w:tab w:val="center" w:pos="4680"/>
        </w:tabs>
        <w:suppressAutoHyphens/>
        <w:jc w:val="center"/>
        <w:outlineLvl w:val="0"/>
        <w:rPr>
          <w:rFonts w:ascii="Arial" w:hAnsi="Arial" w:cs="Arial"/>
          <w:b/>
          <w:sz w:val="28"/>
          <w:szCs w:val="24"/>
        </w:rPr>
      </w:pPr>
    </w:p>
    <w:p w14:paraId="6F72ACBF" w14:textId="77777777" w:rsidR="00A83CBA" w:rsidRDefault="00A83CBA" w:rsidP="007B2F04">
      <w:pPr>
        <w:tabs>
          <w:tab w:val="center" w:pos="4680"/>
        </w:tabs>
        <w:suppressAutoHyphens/>
        <w:jc w:val="center"/>
        <w:outlineLvl w:val="0"/>
        <w:rPr>
          <w:rFonts w:ascii="Arial" w:hAnsi="Arial" w:cs="Arial"/>
          <w:b/>
          <w:sz w:val="28"/>
          <w:szCs w:val="24"/>
        </w:rPr>
      </w:pPr>
    </w:p>
    <w:p w14:paraId="23715228" w14:textId="77777777" w:rsidR="00A83CBA" w:rsidRDefault="00A83CBA" w:rsidP="007B2F04">
      <w:pPr>
        <w:tabs>
          <w:tab w:val="center" w:pos="4680"/>
        </w:tabs>
        <w:suppressAutoHyphens/>
        <w:jc w:val="center"/>
        <w:outlineLvl w:val="0"/>
        <w:rPr>
          <w:rFonts w:ascii="Arial" w:hAnsi="Arial" w:cs="Arial"/>
          <w:b/>
          <w:sz w:val="28"/>
          <w:szCs w:val="24"/>
        </w:rPr>
      </w:pPr>
    </w:p>
    <w:p w14:paraId="02F3CA4B" w14:textId="1D5A1200" w:rsidR="005D711E"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Pennsylvania Public Utility Commission</w:t>
      </w:r>
    </w:p>
    <w:p w14:paraId="5DA45E56" w14:textId="77777777" w:rsidR="005D711E" w:rsidRPr="0043668B" w:rsidRDefault="00C06521" w:rsidP="00C06521">
      <w:pPr>
        <w:tabs>
          <w:tab w:val="center" w:pos="4680"/>
        </w:tabs>
        <w:suppressAutoHyphens/>
        <w:rPr>
          <w:rFonts w:ascii="Arial" w:hAnsi="Arial" w:cs="Arial"/>
          <w:b/>
          <w:sz w:val="28"/>
          <w:szCs w:val="24"/>
        </w:rPr>
      </w:pPr>
      <w:r w:rsidRPr="0043668B">
        <w:rPr>
          <w:rFonts w:ascii="Arial" w:hAnsi="Arial" w:cs="Arial"/>
          <w:b/>
          <w:sz w:val="28"/>
          <w:szCs w:val="24"/>
        </w:rPr>
        <w:tab/>
      </w:r>
      <w:r w:rsidR="005D711E" w:rsidRPr="0043668B">
        <w:rPr>
          <w:rFonts w:ascii="Arial" w:hAnsi="Arial" w:cs="Arial"/>
          <w:b/>
          <w:sz w:val="28"/>
          <w:szCs w:val="24"/>
        </w:rPr>
        <w:t xml:space="preserve">Bureau </w:t>
      </w:r>
      <w:r w:rsidR="006D7B1B">
        <w:rPr>
          <w:rFonts w:ascii="Arial" w:hAnsi="Arial" w:cs="Arial"/>
          <w:b/>
          <w:sz w:val="28"/>
          <w:szCs w:val="24"/>
        </w:rPr>
        <w:t>o</w:t>
      </w:r>
      <w:r w:rsidR="005D711E" w:rsidRPr="0043668B">
        <w:rPr>
          <w:rFonts w:ascii="Arial" w:hAnsi="Arial" w:cs="Arial"/>
          <w:b/>
          <w:sz w:val="28"/>
          <w:szCs w:val="24"/>
        </w:rPr>
        <w:t>f Audits</w:t>
      </w:r>
    </w:p>
    <w:p w14:paraId="05C3E0D7" w14:textId="55494635" w:rsidR="006D7B1B" w:rsidRDefault="00C06521" w:rsidP="006D7B1B">
      <w:pPr>
        <w:tabs>
          <w:tab w:val="center" w:pos="4680"/>
        </w:tabs>
        <w:suppressAutoHyphens/>
        <w:rPr>
          <w:rFonts w:ascii="Arial" w:hAnsi="Arial" w:cs="Arial"/>
          <w:b/>
          <w:sz w:val="28"/>
          <w:szCs w:val="28"/>
        </w:rPr>
      </w:pPr>
      <w:r w:rsidRPr="0043668B">
        <w:rPr>
          <w:rFonts w:ascii="Arial" w:hAnsi="Arial" w:cs="Arial"/>
          <w:b/>
          <w:sz w:val="28"/>
          <w:szCs w:val="24"/>
        </w:rPr>
        <w:tab/>
      </w:r>
      <w:r w:rsidR="006D7B1B" w:rsidRPr="00936DE2">
        <w:rPr>
          <w:rFonts w:ascii="Arial" w:hAnsi="Arial" w:cs="Arial"/>
          <w:b/>
          <w:sz w:val="28"/>
          <w:szCs w:val="28"/>
        </w:rPr>
        <w:t xml:space="preserve">Report Date:  </w:t>
      </w:r>
      <w:r w:rsidR="00A83CBA">
        <w:rPr>
          <w:rFonts w:ascii="Arial" w:hAnsi="Arial" w:cs="Arial"/>
          <w:b/>
          <w:sz w:val="28"/>
          <w:szCs w:val="28"/>
        </w:rPr>
        <w:t>August</w:t>
      </w:r>
      <w:r w:rsidR="005E3917" w:rsidRPr="00A83CBA">
        <w:rPr>
          <w:rFonts w:ascii="Arial" w:hAnsi="Arial" w:cs="Arial"/>
          <w:b/>
          <w:sz w:val="28"/>
          <w:szCs w:val="28"/>
        </w:rPr>
        <w:t xml:space="preserve"> </w:t>
      </w:r>
      <w:r w:rsidR="00A317DA">
        <w:rPr>
          <w:rFonts w:ascii="Arial" w:hAnsi="Arial" w:cs="Arial"/>
          <w:b/>
          <w:sz w:val="28"/>
          <w:szCs w:val="28"/>
        </w:rPr>
        <w:t>17</w:t>
      </w:r>
      <w:r w:rsidR="00C90AA9" w:rsidRPr="00A83CBA">
        <w:rPr>
          <w:rFonts w:ascii="Arial" w:hAnsi="Arial" w:cs="Arial"/>
          <w:b/>
          <w:sz w:val="28"/>
          <w:szCs w:val="28"/>
        </w:rPr>
        <w:t>, 201</w:t>
      </w:r>
      <w:r w:rsidR="00A317DA">
        <w:rPr>
          <w:rFonts w:ascii="Arial" w:hAnsi="Arial" w:cs="Arial"/>
          <w:b/>
          <w:sz w:val="28"/>
          <w:szCs w:val="28"/>
        </w:rPr>
        <w:t>8</w:t>
      </w:r>
    </w:p>
    <w:p w14:paraId="4695492F" w14:textId="77777777" w:rsidR="006D7B1B" w:rsidRDefault="006D7B1B" w:rsidP="006D7B1B">
      <w:pPr>
        <w:tabs>
          <w:tab w:val="center" w:pos="4680"/>
        </w:tabs>
        <w:suppressAutoHyphens/>
        <w:rPr>
          <w:rFonts w:ascii="Arial" w:hAnsi="Arial" w:cs="Arial"/>
          <w:b/>
          <w:sz w:val="28"/>
          <w:szCs w:val="28"/>
        </w:rPr>
      </w:pPr>
    </w:p>
    <w:p w14:paraId="682568F0" w14:textId="77777777" w:rsidR="005D711E" w:rsidRPr="0043668B" w:rsidRDefault="00C06521" w:rsidP="00BB133D">
      <w:pPr>
        <w:tabs>
          <w:tab w:val="center" w:pos="4680"/>
        </w:tabs>
        <w:suppressAutoHyphens/>
        <w:rPr>
          <w:rFonts w:ascii="Arial" w:hAnsi="Arial" w:cs="Arial"/>
          <w:b/>
          <w:sz w:val="28"/>
          <w:szCs w:val="24"/>
        </w:rPr>
        <w:sectPr w:rsidR="005D711E" w:rsidRPr="0043668B" w:rsidSect="003439C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008" w:left="1440" w:header="0" w:footer="720" w:gutter="0"/>
          <w:cols w:space="720"/>
          <w:noEndnote/>
          <w:docGrid w:linePitch="326"/>
        </w:sectPr>
      </w:pPr>
      <w:r w:rsidRPr="0043668B">
        <w:rPr>
          <w:rFonts w:ascii="Arial" w:hAnsi="Arial" w:cs="Arial"/>
          <w:b/>
          <w:sz w:val="28"/>
          <w:szCs w:val="24"/>
        </w:rPr>
        <w:tab/>
        <w:t>Docket</w:t>
      </w:r>
      <w:r w:rsidR="00E807BD">
        <w:rPr>
          <w:rFonts w:ascii="Arial" w:hAnsi="Arial" w:cs="Arial"/>
          <w:b/>
          <w:sz w:val="28"/>
          <w:szCs w:val="24"/>
        </w:rPr>
        <w:t>:</w:t>
      </w:r>
      <w:r w:rsidR="006D7B1B">
        <w:rPr>
          <w:rFonts w:ascii="Arial" w:hAnsi="Arial" w:cs="Arial"/>
          <w:b/>
          <w:sz w:val="28"/>
          <w:szCs w:val="24"/>
        </w:rPr>
        <w:t xml:space="preserve"> </w:t>
      </w:r>
      <w:r w:rsidRPr="0043668B">
        <w:rPr>
          <w:rFonts w:ascii="Arial" w:hAnsi="Arial" w:cs="Arial"/>
          <w:b/>
          <w:sz w:val="28"/>
          <w:szCs w:val="24"/>
        </w:rPr>
        <w:t xml:space="preserve"> </w:t>
      </w:r>
      <w:r w:rsidR="00E807BD">
        <w:rPr>
          <w:rFonts w:ascii="Arial" w:hAnsi="Arial" w:cs="Arial"/>
          <w:b/>
          <w:sz w:val="28"/>
          <w:szCs w:val="24"/>
        </w:rPr>
        <w:t>D-</w:t>
      </w:r>
      <w:r w:rsidR="00A972DB" w:rsidRPr="00F86A27">
        <w:rPr>
          <w:rFonts w:ascii="Arial" w:hAnsi="Arial" w:cs="Arial"/>
          <w:b/>
          <w:sz w:val="28"/>
          <w:szCs w:val="24"/>
        </w:rPr>
        <w:t>201</w:t>
      </w:r>
      <w:r w:rsidR="00F86A27" w:rsidRPr="00F86A27">
        <w:rPr>
          <w:rFonts w:ascii="Arial" w:hAnsi="Arial" w:cs="Arial"/>
          <w:b/>
          <w:sz w:val="28"/>
          <w:szCs w:val="24"/>
        </w:rPr>
        <w:t>7</w:t>
      </w:r>
      <w:r w:rsidR="00A972DB" w:rsidRPr="00F86A27">
        <w:rPr>
          <w:rFonts w:ascii="Arial" w:hAnsi="Arial" w:cs="Arial"/>
          <w:b/>
          <w:sz w:val="28"/>
          <w:szCs w:val="24"/>
        </w:rPr>
        <w:t>-</w:t>
      </w:r>
      <w:r w:rsidR="00AB08D6" w:rsidRPr="00F86A27">
        <w:rPr>
          <w:rFonts w:ascii="Arial" w:hAnsi="Arial" w:cs="Arial"/>
          <w:b/>
          <w:sz w:val="28"/>
          <w:szCs w:val="24"/>
        </w:rPr>
        <w:t>2</w:t>
      </w:r>
      <w:r w:rsidR="00F86A27" w:rsidRPr="00F86A27">
        <w:rPr>
          <w:rFonts w:ascii="Arial" w:hAnsi="Arial" w:cs="Arial"/>
          <w:b/>
          <w:sz w:val="28"/>
          <w:szCs w:val="24"/>
        </w:rPr>
        <w:t>604383</w:t>
      </w:r>
    </w:p>
    <w:p w14:paraId="32A50A89" w14:textId="77777777" w:rsidR="005D711E" w:rsidRPr="005440A5" w:rsidRDefault="005440A5" w:rsidP="009F6861">
      <w:pPr>
        <w:jc w:val="center"/>
        <w:rPr>
          <w:rFonts w:ascii="Arial" w:hAnsi="Arial" w:cs="Arial"/>
          <w:b/>
          <w:sz w:val="26"/>
          <w:szCs w:val="26"/>
        </w:rPr>
      </w:pPr>
      <w:r>
        <w:rPr>
          <w:rFonts w:ascii="Arial" w:hAnsi="Arial" w:cs="Arial"/>
          <w:b/>
          <w:sz w:val="26"/>
          <w:szCs w:val="26"/>
        </w:rPr>
        <w:lastRenderedPageBreak/>
        <w:t xml:space="preserve">Table of </w:t>
      </w:r>
      <w:r w:rsidR="005D711E" w:rsidRPr="005440A5">
        <w:rPr>
          <w:rFonts w:ascii="Arial" w:hAnsi="Arial" w:cs="Arial"/>
          <w:b/>
          <w:sz w:val="26"/>
          <w:szCs w:val="26"/>
        </w:rPr>
        <w:t>Contents</w:t>
      </w:r>
    </w:p>
    <w:tbl>
      <w:tblPr>
        <w:tblW w:w="9486" w:type="dxa"/>
        <w:tblLayout w:type="fixed"/>
        <w:tblLook w:val="0000" w:firstRow="0" w:lastRow="0" w:firstColumn="0" w:lastColumn="0" w:noHBand="0" w:noVBand="0"/>
      </w:tblPr>
      <w:tblGrid>
        <w:gridCol w:w="18"/>
        <w:gridCol w:w="8190"/>
        <w:gridCol w:w="1260"/>
        <w:gridCol w:w="18"/>
      </w:tblGrid>
      <w:tr w:rsidR="005D711E" w:rsidRPr="00BE0936" w14:paraId="7C0CBE16" w14:textId="77777777" w:rsidTr="00D24025">
        <w:trPr>
          <w:trHeight w:val="423"/>
        </w:trPr>
        <w:tc>
          <w:tcPr>
            <w:tcW w:w="8208" w:type="dxa"/>
            <w:gridSpan w:val="2"/>
          </w:tcPr>
          <w:p w14:paraId="0091FCF2" w14:textId="77777777" w:rsidR="005D711E" w:rsidRPr="00BE0936" w:rsidRDefault="005D711E">
            <w:pPr>
              <w:tabs>
                <w:tab w:val="left" w:pos="-720"/>
                <w:tab w:val="left" w:pos="180"/>
                <w:tab w:val="left" w:pos="270"/>
              </w:tabs>
              <w:suppressAutoHyphens/>
              <w:rPr>
                <w:rFonts w:ascii="Arial" w:hAnsi="Arial" w:cs="Arial"/>
                <w:b/>
                <w:szCs w:val="24"/>
              </w:rPr>
            </w:pPr>
          </w:p>
        </w:tc>
        <w:tc>
          <w:tcPr>
            <w:tcW w:w="1278" w:type="dxa"/>
            <w:gridSpan w:val="2"/>
          </w:tcPr>
          <w:p w14:paraId="7BA174DA" w14:textId="77777777" w:rsidR="005D711E" w:rsidRPr="00BE0936" w:rsidRDefault="005D711E" w:rsidP="00101D15">
            <w:pPr>
              <w:pStyle w:val="EndnoteText"/>
              <w:tabs>
                <w:tab w:val="right" w:pos="562"/>
              </w:tabs>
              <w:suppressAutoHyphens/>
              <w:rPr>
                <w:rFonts w:ascii="Arial" w:hAnsi="Arial" w:cs="Arial"/>
                <w:szCs w:val="24"/>
              </w:rPr>
            </w:pPr>
          </w:p>
        </w:tc>
      </w:tr>
      <w:tr w:rsidR="00101D15" w:rsidRPr="00BE0936" w14:paraId="5A092CC9" w14:textId="77777777" w:rsidTr="007765A6">
        <w:tc>
          <w:tcPr>
            <w:tcW w:w="8208" w:type="dxa"/>
            <w:gridSpan w:val="2"/>
          </w:tcPr>
          <w:p w14:paraId="0FE55725" w14:textId="77777777" w:rsidR="00101D15" w:rsidRPr="00BE0936"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6C4CD15F" w14:textId="77777777" w:rsidR="00101D15" w:rsidRPr="005440A5" w:rsidRDefault="005440A5" w:rsidP="00DB0C40">
            <w:pPr>
              <w:pStyle w:val="EndnoteText"/>
              <w:suppressAutoHyphens/>
              <w:jc w:val="center"/>
              <w:rPr>
                <w:rFonts w:ascii="Arial" w:hAnsi="Arial" w:cs="Arial"/>
                <w:b/>
                <w:szCs w:val="24"/>
                <w:u w:val="single"/>
              </w:rPr>
            </w:pPr>
            <w:r w:rsidRPr="005440A5">
              <w:rPr>
                <w:rFonts w:ascii="Arial" w:hAnsi="Arial" w:cs="Arial"/>
                <w:b/>
                <w:szCs w:val="24"/>
                <w:u w:val="single"/>
              </w:rPr>
              <w:t>Page</w:t>
            </w:r>
          </w:p>
        </w:tc>
      </w:tr>
      <w:tr w:rsidR="009668FF" w:rsidRPr="008C3E74" w14:paraId="3DFFDC7D" w14:textId="77777777" w:rsidTr="007765A6">
        <w:tc>
          <w:tcPr>
            <w:tcW w:w="8208" w:type="dxa"/>
            <w:gridSpan w:val="2"/>
            <w:vAlign w:val="bottom"/>
          </w:tcPr>
          <w:p w14:paraId="2D07FDDA" w14:textId="77777777" w:rsidR="009668FF" w:rsidRPr="00245DB5" w:rsidRDefault="009668FF" w:rsidP="00DB0C40">
            <w:pPr>
              <w:pStyle w:val="EndnoteText"/>
              <w:tabs>
                <w:tab w:val="left" w:pos="9180"/>
              </w:tabs>
              <w:rPr>
                <w:rFonts w:ascii="Arial" w:hAnsi="Arial" w:cs="Arial"/>
                <w:b/>
                <w:szCs w:val="24"/>
              </w:rPr>
            </w:pPr>
            <w:r w:rsidRPr="00245DB5">
              <w:rPr>
                <w:rFonts w:ascii="Arial" w:hAnsi="Arial" w:cs="Arial"/>
                <w:b/>
                <w:szCs w:val="24"/>
              </w:rPr>
              <w:t xml:space="preserve">FINANCIAL REVIEW </w:t>
            </w:r>
          </w:p>
        </w:tc>
        <w:tc>
          <w:tcPr>
            <w:tcW w:w="1278" w:type="dxa"/>
            <w:gridSpan w:val="2"/>
          </w:tcPr>
          <w:p w14:paraId="26A25E14" w14:textId="77777777" w:rsidR="009668FF" w:rsidRPr="008C3E74" w:rsidRDefault="009668FF" w:rsidP="00DD0B3A">
            <w:pPr>
              <w:pStyle w:val="EndnoteText"/>
              <w:tabs>
                <w:tab w:val="right" w:pos="562"/>
              </w:tabs>
              <w:suppressAutoHyphens/>
              <w:rPr>
                <w:rFonts w:ascii="Arial" w:hAnsi="Arial" w:cs="Arial"/>
                <w:szCs w:val="24"/>
              </w:rPr>
            </w:pPr>
          </w:p>
        </w:tc>
      </w:tr>
      <w:tr w:rsidR="009668FF" w:rsidRPr="008C3E74" w14:paraId="1F029174" w14:textId="77777777" w:rsidTr="007765A6">
        <w:tc>
          <w:tcPr>
            <w:tcW w:w="8208" w:type="dxa"/>
            <w:gridSpan w:val="2"/>
            <w:vAlign w:val="bottom"/>
          </w:tcPr>
          <w:p w14:paraId="1BBA7C3B" w14:textId="77777777" w:rsidR="009668FF" w:rsidRPr="00245DB5" w:rsidRDefault="009668FF"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tcPr>
          <w:p w14:paraId="5C3CAE96" w14:textId="77777777" w:rsidR="009668FF" w:rsidRPr="008C3E74" w:rsidRDefault="009668FF" w:rsidP="00DD0B3A">
            <w:pPr>
              <w:pStyle w:val="EndnoteText"/>
              <w:tabs>
                <w:tab w:val="right" w:pos="562"/>
              </w:tabs>
              <w:suppressAutoHyphens/>
              <w:rPr>
                <w:rFonts w:ascii="Arial" w:hAnsi="Arial" w:cs="Arial"/>
                <w:szCs w:val="24"/>
              </w:rPr>
            </w:pPr>
          </w:p>
        </w:tc>
      </w:tr>
      <w:tr w:rsidR="009668FF" w:rsidRPr="008C3E74" w14:paraId="26AD1A86" w14:textId="77777777" w:rsidTr="007765A6">
        <w:tc>
          <w:tcPr>
            <w:tcW w:w="8208" w:type="dxa"/>
            <w:gridSpan w:val="2"/>
            <w:vAlign w:val="bottom"/>
          </w:tcPr>
          <w:p w14:paraId="4092C444" w14:textId="77777777" w:rsidR="009668FF" w:rsidRPr="008C3E74" w:rsidRDefault="009668FF" w:rsidP="00340C22">
            <w:pPr>
              <w:pStyle w:val="EndnoteText"/>
              <w:tabs>
                <w:tab w:val="left" w:pos="360"/>
              </w:tabs>
              <w:suppressAutoHyphens/>
              <w:ind w:left="360"/>
              <w:rPr>
                <w:rFonts w:ascii="Arial" w:hAnsi="Arial" w:cs="Arial"/>
                <w:szCs w:val="24"/>
              </w:rPr>
            </w:pPr>
            <w:r w:rsidRPr="008C3E74">
              <w:rPr>
                <w:rFonts w:ascii="Arial" w:hAnsi="Arial" w:cs="Arial"/>
                <w:szCs w:val="24"/>
              </w:rPr>
              <w:t>Independent Auditor's Report</w:t>
            </w:r>
          </w:p>
        </w:tc>
        <w:tc>
          <w:tcPr>
            <w:tcW w:w="1278" w:type="dxa"/>
            <w:gridSpan w:val="2"/>
            <w:vAlign w:val="bottom"/>
          </w:tcPr>
          <w:p w14:paraId="59803639" w14:textId="77777777" w:rsidR="009668FF" w:rsidRPr="008C3E74" w:rsidRDefault="009668FF" w:rsidP="00DB0C40">
            <w:pPr>
              <w:pStyle w:val="EndnoteText"/>
              <w:tabs>
                <w:tab w:val="decimal" w:pos="576"/>
              </w:tabs>
              <w:suppressAutoHyphens/>
              <w:rPr>
                <w:rFonts w:ascii="Arial" w:hAnsi="Arial" w:cs="Arial"/>
                <w:szCs w:val="24"/>
              </w:rPr>
            </w:pPr>
            <w:r w:rsidRPr="008C3E74">
              <w:rPr>
                <w:rFonts w:ascii="Arial" w:hAnsi="Arial" w:cs="Arial"/>
                <w:szCs w:val="24"/>
              </w:rPr>
              <w:t>1</w:t>
            </w:r>
          </w:p>
        </w:tc>
      </w:tr>
      <w:tr w:rsidR="009668FF" w:rsidRPr="008C3E74" w14:paraId="0A53E939" w14:textId="77777777" w:rsidTr="007765A6">
        <w:tc>
          <w:tcPr>
            <w:tcW w:w="8208" w:type="dxa"/>
            <w:gridSpan w:val="2"/>
            <w:vAlign w:val="bottom"/>
          </w:tcPr>
          <w:p w14:paraId="59DF5D25" w14:textId="77777777" w:rsidR="009668FF" w:rsidRPr="008C3E74" w:rsidRDefault="009668FF" w:rsidP="00DB0C40">
            <w:pPr>
              <w:pStyle w:val="EndnoteText"/>
              <w:suppressAutoHyphens/>
              <w:rPr>
                <w:rFonts w:ascii="Arial" w:hAnsi="Arial" w:cs="Arial"/>
                <w:szCs w:val="24"/>
              </w:rPr>
            </w:pPr>
          </w:p>
        </w:tc>
        <w:tc>
          <w:tcPr>
            <w:tcW w:w="1278" w:type="dxa"/>
            <w:gridSpan w:val="2"/>
            <w:vAlign w:val="bottom"/>
          </w:tcPr>
          <w:p w14:paraId="690545CE" w14:textId="77777777" w:rsidR="009668FF" w:rsidRPr="008C3E74" w:rsidRDefault="009668FF" w:rsidP="00DB0C40">
            <w:pPr>
              <w:pStyle w:val="EndnoteText"/>
              <w:tabs>
                <w:tab w:val="decimal" w:pos="576"/>
              </w:tabs>
              <w:suppressAutoHyphens/>
              <w:rPr>
                <w:rFonts w:ascii="Arial" w:hAnsi="Arial" w:cs="Arial"/>
                <w:szCs w:val="24"/>
              </w:rPr>
            </w:pPr>
          </w:p>
        </w:tc>
      </w:tr>
      <w:tr w:rsidR="009668FF" w:rsidRPr="00DB0C40" w14:paraId="41763958" w14:textId="77777777" w:rsidTr="007765A6">
        <w:trPr>
          <w:gridBefore w:val="1"/>
          <w:gridAfter w:val="1"/>
          <w:wBefore w:w="18" w:type="dxa"/>
          <w:wAfter w:w="18" w:type="dxa"/>
        </w:trPr>
        <w:tc>
          <w:tcPr>
            <w:tcW w:w="8190" w:type="dxa"/>
            <w:vAlign w:val="bottom"/>
          </w:tcPr>
          <w:p w14:paraId="5026ED13" w14:textId="7D6F9A4D" w:rsidR="009668FF" w:rsidRPr="008C3E74" w:rsidRDefault="007F5E1F" w:rsidP="00340C22">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sidR="00251373">
              <w:rPr>
                <w:rFonts w:ascii="Arial" w:hAnsi="Arial" w:cs="Arial"/>
                <w:szCs w:val="24"/>
              </w:rPr>
              <w:t>o</w:t>
            </w:r>
            <w:r w:rsidRPr="00936DE2">
              <w:rPr>
                <w:rFonts w:ascii="Arial" w:hAnsi="Arial" w:cs="Arial"/>
                <w:szCs w:val="24"/>
              </w:rPr>
              <w:t xml:space="preserve">f </w:t>
            </w:r>
            <w:r w:rsidR="00825E2D">
              <w:rPr>
                <w:rFonts w:ascii="Arial" w:hAnsi="Arial" w:cs="Arial"/>
                <w:szCs w:val="24"/>
              </w:rPr>
              <w:t>Non-</w:t>
            </w:r>
            <w:proofErr w:type="spellStart"/>
            <w:r w:rsidR="00825E2D">
              <w:rPr>
                <w:rFonts w:ascii="Arial" w:hAnsi="Arial" w:cs="Arial"/>
                <w:szCs w:val="24"/>
              </w:rPr>
              <w:t>Bypassable</w:t>
            </w:r>
            <w:proofErr w:type="spellEnd"/>
            <w:r w:rsidR="00825E2D">
              <w:rPr>
                <w:rFonts w:ascii="Arial" w:hAnsi="Arial" w:cs="Arial"/>
                <w:szCs w:val="24"/>
              </w:rPr>
              <w:t xml:space="preserve"> </w:t>
            </w:r>
            <w:r w:rsidRPr="008C3E74">
              <w:rPr>
                <w:rFonts w:ascii="Arial" w:hAnsi="Arial" w:cs="Arial"/>
                <w:szCs w:val="24"/>
              </w:rPr>
              <w:t xml:space="preserve">Transmission Charge </w:t>
            </w:r>
            <w:r>
              <w:rPr>
                <w:rFonts w:ascii="Arial" w:hAnsi="Arial" w:cs="Arial"/>
                <w:szCs w:val="24"/>
              </w:rPr>
              <w:t>(</w:t>
            </w:r>
            <w:r w:rsidR="00D65E8F">
              <w:rPr>
                <w:rFonts w:ascii="Arial" w:hAnsi="Arial" w:cs="Arial"/>
                <w:szCs w:val="24"/>
              </w:rPr>
              <w:t>NBT</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D24025">
              <w:rPr>
                <w:rFonts w:ascii="Arial" w:hAnsi="Arial" w:cs="Arial"/>
                <w:szCs w:val="24"/>
              </w:rPr>
              <w:t>f</w:t>
            </w:r>
            <w:r w:rsidR="009668FF" w:rsidRPr="008C3E74">
              <w:rPr>
                <w:rFonts w:ascii="Arial" w:hAnsi="Arial" w:cs="Arial"/>
                <w:szCs w:val="24"/>
              </w:rPr>
              <w:t xml:space="preserve">or </w:t>
            </w:r>
            <w:r w:rsidR="00D24025">
              <w:rPr>
                <w:rFonts w:ascii="Arial" w:hAnsi="Arial" w:cs="Arial"/>
                <w:szCs w:val="24"/>
              </w:rPr>
              <w:t>t</w:t>
            </w:r>
            <w:r w:rsidR="009668FF" w:rsidRPr="008C3E74">
              <w:rPr>
                <w:rFonts w:ascii="Arial" w:hAnsi="Arial" w:cs="Arial"/>
                <w:szCs w:val="24"/>
              </w:rPr>
              <w:t xml:space="preserve">he </w:t>
            </w:r>
            <w:r w:rsidR="004A6AD9">
              <w:rPr>
                <w:rFonts w:ascii="Arial" w:hAnsi="Arial" w:cs="Arial"/>
                <w:szCs w:val="24"/>
              </w:rPr>
              <w:t>Six</w:t>
            </w:r>
            <w:r w:rsidR="009668FF" w:rsidRPr="008C3E74">
              <w:rPr>
                <w:rFonts w:ascii="Arial" w:hAnsi="Arial" w:cs="Arial"/>
                <w:szCs w:val="24"/>
              </w:rPr>
              <w:t xml:space="preserve"> Months </w:t>
            </w:r>
            <w:r w:rsidR="00D24025">
              <w:rPr>
                <w:rFonts w:ascii="Arial" w:hAnsi="Arial" w:cs="Arial"/>
                <w:szCs w:val="24"/>
              </w:rPr>
              <w:t>e</w:t>
            </w:r>
            <w:r w:rsidR="009668FF" w:rsidRPr="008C3E74">
              <w:rPr>
                <w:rFonts w:ascii="Arial" w:hAnsi="Arial" w:cs="Arial"/>
                <w:szCs w:val="24"/>
              </w:rPr>
              <w:t xml:space="preserve">nded </w:t>
            </w:r>
            <w:r w:rsidR="006C061F">
              <w:rPr>
                <w:rFonts w:ascii="Arial" w:hAnsi="Arial" w:cs="Arial"/>
                <w:szCs w:val="24"/>
              </w:rPr>
              <w:t>November</w:t>
            </w:r>
            <w:r w:rsidR="009668FF" w:rsidRPr="008C3E74">
              <w:rPr>
                <w:rFonts w:ascii="Arial" w:hAnsi="Arial" w:cs="Arial"/>
                <w:szCs w:val="24"/>
              </w:rPr>
              <w:t xml:space="preserve"> 3</w:t>
            </w:r>
            <w:r w:rsidR="006C061F">
              <w:rPr>
                <w:rFonts w:ascii="Arial" w:hAnsi="Arial" w:cs="Arial"/>
                <w:szCs w:val="24"/>
              </w:rPr>
              <w:t>0</w:t>
            </w:r>
            <w:r w:rsidR="009668FF" w:rsidRPr="008C3E74">
              <w:rPr>
                <w:rFonts w:ascii="Arial" w:hAnsi="Arial" w:cs="Arial"/>
                <w:szCs w:val="24"/>
              </w:rPr>
              <w:t>, 201</w:t>
            </w:r>
            <w:r w:rsidR="00EF298F">
              <w:rPr>
                <w:rFonts w:ascii="Arial" w:hAnsi="Arial" w:cs="Arial"/>
                <w:szCs w:val="24"/>
              </w:rPr>
              <w:t>5</w:t>
            </w:r>
          </w:p>
        </w:tc>
        <w:tc>
          <w:tcPr>
            <w:tcW w:w="1260" w:type="dxa"/>
            <w:vAlign w:val="bottom"/>
          </w:tcPr>
          <w:p w14:paraId="0061C2AE" w14:textId="77777777" w:rsidR="009668FF"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3</w:t>
            </w:r>
          </w:p>
        </w:tc>
      </w:tr>
      <w:tr w:rsidR="000B0FA7" w:rsidRPr="008C3E74" w14:paraId="50073269" w14:textId="77777777" w:rsidTr="007765A6">
        <w:tc>
          <w:tcPr>
            <w:tcW w:w="8208" w:type="dxa"/>
            <w:gridSpan w:val="2"/>
            <w:vAlign w:val="bottom"/>
          </w:tcPr>
          <w:p w14:paraId="6F82BE48" w14:textId="77777777" w:rsidR="000B0FA7" w:rsidRDefault="000B0FA7"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14:paraId="05CACC2B" w14:textId="77777777" w:rsidR="000B0FA7" w:rsidRPr="008C3E74" w:rsidRDefault="000B0FA7" w:rsidP="00DB0C40">
            <w:pPr>
              <w:pStyle w:val="EndnoteText"/>
              <w:tabs>
                <w:tab w:val="decimal" w:pos="576"/>
              </w:tabs>
              <w:suppressAutoHyphens/>
              <w:rPr>
                <w:rFonts w:ascii="Arial" w:hAnsi="Arial" w:cs="Arial"/>
                <w:szCs w:val="24"/>
              </w:rPr>
            </w:pPr>
          </w:p>
        </w:tc>
      </w:tr>
      <w:tr w:rsidR="00FC65A5" w:rsidRPr="008C3E74" w14:paraId="5E5AA158" w14:textId="77777777" w:rsidTr="007765A6">
        <w:tc>
          <w:tcPr>
            <w:tcW w:w="8208" w:type="dxa"/>
            <w:gridSpan w:val="2"/>
            <w:vAlign w:val="bottom"/>
          </w:tcPr>
          <w:p w14:paraId="3F25C71A" w14:textId="0B6CD252" w:rsidR="00FC65A5" w:rsidRPr="008C3E74" w:rsidRDefault="00FC65A5" w:rsidP="007765A6">
            <w:pPr>
              <w:pStyle w:val="EndnoteText"/>
              <w:ind w:left="360"/>
              <w:rPr>
                <w:rFonts w:ascii="Arial" w:hAnsi="Arial" w:cs="Arial"/>
                <w:szCs w:val="24"/>
              </w:rPr>
            </w:pPr>
            <w:r w:rsidRPr="008C3E74">
              <w:rPr>
                <w:rFonts w:ascii="Arial" w:hAnsi="Arial" w:cs="Arial"/>
                <w:szCs w:val="24"/>
              </w:rPr>
              <w:t xml:space="preserve">Notes </w:t>
            </w:r>
            <w:r w:rsidR="00755CB2">
              <w:rPr>
                <w:rFonts w:ascii="Arial" w:hAnsi="Arial" w:cs="Arial"/>
                <w:szCs w:val="24"/>
              </w:rPr>
              <w:t>t</w:t>
            </w:r>
            <w:r w:rsidRPr="008C3E74">
              <w:rPr>
                <w:rFonts w:ascii="Arial" w:hAnsi="Arial" w:cs="Arial"/>
                <w:szCs w:val="24"/>
              </w:rPr>
              <w:t xml:space="preserve">o </w:t>
            </w:r>
            <w:r w:rsidR="00755CB2">
              <w:rPr>
                <w:rFonts w:ascii="Arial" w:hAnsi="Arial" w:cs="Arial"/>
                <w:szCs w:val="24"/>
              </w:rPr>
              <w:t>t</w:t>
            </w:r>
            <w:r w:rsidRPr="008C3E74">
              <w:rPr>
                <w:rFonts w:ascii="Arial" w:hAnsi="Arial" w:cs="Arial"/>
                <w:szCs w:val="24"/>
              </w:rPr>
              <w:t>he Financial Statement</w:t>
            </w:r>
          </w:p>
        </w:tc>
        <w:tc>
          <w:tcPr>
            <w:tcW w:w="1278" w:type="dxa"/>
            <w:gridSpan w:val="2"/>
            <w:vAlign w:val="bottom"/>
          </w:tcPr>
          <w:p w14:paraId="27540BEF" w14:textId="77777777" w:rsidR="00FC65A5" w:rsidRPr="008C3E74" w:rsidRDefault="004A6AD9" w:rsidP="00DB0C40">
            <w:pPr>
              <w:pStyle w:val="EndnoteText"/>
              <w:tabs>
                <w:tab w:val="decimal" w:pos="576"/>
              </w:tabs>
              <w:suppressAutoHyphens/>
              <w:rPr>
                <w:rFonts w:ascii="Arial" w:hAnsi="Arial" w:cs="Arial"/>
                <w:szCs w:val="24"/>
              </w:rPr>
            </w:pPr>
            <w:r>
              <w:rPr>
                <w:rFonts w:ascii="Arial" w:hAnsi="Arial" w:cs="Arial"/>
                <w:szCs w:val="24"/>
              </w:rPr>
              <w:t>4</w:t>
            </w:r>
          </w:p>
        </w:tc>
      </w:tr>
      <w:tr w:rsidR="00FC65A5" w:rsidRPr="008C3E74" w14:paraId="63869569" w14:textId="77777777" w:rsidTr="007765A6">
        <w:tc>
          <w:tcPr>
            <w:tcW w:w="8208" w:type="dxa"/>
            <w:gridSpan w:val="2"/>
            <w:vAlign w:val="bottom"/>
          </w:tcPr>
          <w:p w14:paraId="55EC9EC9" w14:textId="77777777" w:rsidR="00FC65A5" w:rsidRPr="009668FF" w:rsidRDefault="00FC65A5" w:rsidP="00DB0C40">
            <w:pPr>
              <w:pStyle w:val="EndnoteText"/>
              <w:tabs>
                <w:tab w:val="left" w:pos="540"/>
                <w:tab w:val="left" w:pos="810"/>
              </w:tabs>
              <w:rPr>
                <w:rFonts w:ascii="Arial" w:hAnsi="Arial" w:cs="Arial"/>
                <w:szCs w:val="24"/>
              </w:rPr>
            </w:pPr>
          </w:p>
        </w:tc>
        <w:tc>
          <w:tcPr>
            <w:tcW w:w="1278" w:type="dxa"/>
            <w:gridSpan w:val="2"/>
            <w:vAlign w:val="bottom"/>
          </w:tcPr>
          <w:p w14:paraId="71945B7C" w14:textId="77777777" w:rsidR="00FC65A5" w:rsidRPr="008C3E74" w:rsidRDefault="00FC65A5" w:rsidP="00DB0C40">
            <w:pPr>
              <w:pStyle w:val="EndnoteText"/>
              <w:tabs>
                <w:tab w:val="decimal" w:pos="576"/>
              </w:tabs>
              <w:suppressAutoHyphens/>
              <w:rPr>
                <w:rFonts w:ascii="Arial" w:hAnsi="Arial" w:cs="Arial"/>
                <w:szCs w:val="24"/>
              </w:rPr>
            </w:pPr>
          </w:p>
        </w:tc>
      </w:tr>
      <w:tr w:rsidR="00340C22" w:rsidRPr="008C3E74" w14:paraId="3A20D298" w14:textId="77777777" w:rsidTr="007765A6">
        <w:tc>
          <w:tcPr>
            <w:tcW w:w="8208" w:type="dxa"/>
            <w:gridSpan w:val="2"/>
            <w:vAlign w:val="bottom"/>
          </w:tcPr>
          <w:p w14:paraId="3D1ED69B" w14:textId="040A7312" w:rsidR="00340C22" w:rsidRPr="00340C22" w:rsidRDefault="00340C22" w:rsidP="00DB0C40">
            <w:pPr>
              <w:pStyle w:val="EndnoteText"/>
              <w:tabs>
                <w:tab w:val="left" w:pos="540"/>
                <w:tab w:val="left" w:pos="810"/>
              </w:tabs>
              <w:rPr>
                <w:rFonts w:ascii="Arial" w:hAnsi="Arial" w:cs="Arial"/>
                <w:b/>
                <w:szCs w:val="24"/>
              </w:rPr>
            </w:pPr>
            <w:r>
              <w:rPr>
                <w:rFonts w:ascii="Arial" w:hAnsi="Arial" w:cs="Arial"/>
                <w:b/>
                <w:szCs w:val="24"/>
              </w:rPr>
              <w:t xml:space="preserve">BACKGROUND </w:t>
            </w:r>
          </w:p>
        </w:tc>
        <w:tc>
          <w:tcPr>
            <w:tcW w:w="1278" w:type="dxa"/>
            <w:gridSpan w:val="2"/>
            <w:vAlign w:val="bottom"/>
          </w:tcPr>
          <w:p w14:paraId="631BBCA4" w14:textId="587EA02E" w:rsidR="00340C22" w:rsidRPr="008C3E74" w:rsidRDefault="006E103C" w:rsidP="00DB0C40">
            <w:pPr>
              <w:pStyle w:val="EndnoteText"/>
              <w:tabs>
                <w:tab w:val="decimal" w:pos="576"/>
              </w:tabs>
              <w:suppressAutoHyphens/>
              <w:rPr>
                <w:rFonts w:ascii="Arial" w:hAnsi="Arial" w:cs="Arial"/>
                <w:szCs w:val="24"/>
              </w:rPr>
            </w:pPr>
            <w:r>
              <w:rPr>
                <w:rFonts w:ascii="Arial" w:hAnsi="Arial" w:cs="Arial"/>
                <w:szCs w:val="24"/>
              </w:rPr>
              <w:t>5</w:t>
            </w:r>
          </w:p>
        </w:tc>
      </w:tr>
      <w:tr w:rsidR="00340C22" w:rsidRPr="008C3E74" w14:paraId="57CC2F8D" w14:textId="77777777" w:rsidTr="007765A6">
        <w:tc>
          <w:tcPr>
            <w:tcW w:w="8208" w:type="dxa"/>
            <w:gridSpan w:val="2"/>
            <w:vAlign w:val="bottom"/>
          </w:tcPr>
          <w:p w14:paraId="14EA5E6C" w14:textId="77777777" w:rsidR="00340C22" w:rsidRDefault="00340C22" w:rsidP="00DB0C40">
            <w:pPr>
              <w:pStyle w:val="EndnoteText"/>
              <w:tabs>
                <w:tab w:val="left" w:pos="540"/>
                <w:tab w:val="left" w:pos="810"/>
              </w:tabs>
              <w:rPr>
                <w:rFonts w:ascii="Arial" w:hAnsi="Arial" w:cs="Arial"/>
                <w:szCs w:val="24"/>
              </w:rPr>
            </w:pPr>
          </w:p>
        </w:tc>
        <w:tc>
          <w:tcPr>
            <w:tcW w:w="1278" w:type="dxa"/>
            <w:gridSpan w:val="2"/>
            <w:vAlign w:val="bottom"/>
          </w:tcPr>
          <w:p w14:paraId="7E3524A8" w14:textId="77777777" w:rsidR="00340C22" w:rsidRPr="008C3E74" w:rsidRDefault="00340C22" w:rsidP="00DB0C40">
            <w:pPr>
              <w:pStyle w:val="EndnoteText"/>
              <w:tabs>
                <w:tab w:val="decimal" w:pos="576"/>
              </w:tabs>
              <w:suppressAutoHyphens/>
              <w:rPr>
                <w:rFonts w:ascii="Arial" w:hAnsi="Arial" w:cs="Arial"/>
                <w:szCs w:val="24"/>
              </w:rPr>
            </w:pPr>
          </w:p>
        </w:tc>
      </w:tr>
      <w:tr w:rsidR="00FC65A5" w:rsidRPr="008C3E74" w14:paraId="1881DBD0" w14:textId="77777777" w:rsidTr="007765A6">
        <w:tc>
          <w:tcPr>
            <w:tcW w:w="8208" w:type="dxa"/>
            <w:gridSpan w:val="2"/>
            <w:vAlign w:val="bottom"/>
          </w:tcPr>
          <w:p w14:paraId="4F490B10" w14:textId="538961ED" w:rsidR="00FC65A5" w:rsidRPr="009668FF" w:rsidRDefault="00340C22" w:rsidP="006E103C">
            <w:pPr>
              <w:pStyle w:val="EndnoteText"/>
              <w:tabs>
                <w:tab w:val="left" w:pos="540"/>
                <w:tab w:val="left" w:pos="810"/>
              </w:tabs>
              <w:rPr>
                <w:rFonts w:ascii="Arial" w:hAnsi="Arial" w:cs="Arial"/>
                <w:szCs w:val="24"/>
              </w:rPr>
            </w:pPr>
            <w:r w:rsidRPr="006E103C">
              <w:rPr>
                <w:rFonts w:ascii="Arial" w:hAnsi="Arial" w:cs="Arial"/>
                <w:b/>
                <w:szCs w:val="24"/>
              </w:rPr>
              <w:t>A</w:t>
            </w:r>
            <w:r w:rsidR="006E103C" w:rsidRPr="006E103C">
              <w:rPr>
                <w:rFonts w:ascii="Arial" w:hAnsi="Arial" w:cs="Arial"/>
                <w:b/>
                <w:szCs w:val="24"/>
              </w:rPr>
              <w:t>CKNOWLEDGEMENT</w:t>
            </w:r>
          </w:p>
        </w:tc>
        <w:tc>
          <w:tcPr>
            <w:tcW w:w="1278" w:type="dxa"/>
            <w:gridSpan w:val="2"/>
            <w:vAlign w:val="bottom"/>
          </w:tcPr>
          <w:p w14:paraId="403A52A8" w14:textId="39F057A9" w:rsidR="00FC65A5" w:rsidRPr="008C3E74" w:rsidRDefault="006E103C" w:rsidP="00DB0C40">
            <w:pPr>
              <w:pStyle w:val="EndnoteText"/>
              <w:tabs>
                <w:tab w:val="decimal" w:pos="576"/>
              </w:tabs>
              <w:suppressAutoHyphens/>
              <w:rPr>
                <w:rFonts w:ascii="Arial" w:hAnsi="Arial" w:cs="Arial"/>
                <w:szCs w:val="24"/>
              </w:rPr>
            </w:pPr>
            <w:r>
              <w:rPr>
                <w:rFonts w:ascii="Arial" w:hAnsi="Arial" w:cs="Arial"/>
                <w:szCs w:val="24"/>
              </w:rPr>
              <w:t>5</w:t>
            </w:r>
          </w:p>
        </w:tc>
      </w:tr>
    </w:tbl>
    <w:p w14:paraId="48DA79CD" w14:textId="77777777" w:rsidR="003662F1" w:rsidRDefault="003662F1" w:rsidP="00FB1D8B">
      <w:pPr>
        <w:tabs>
          <w:tab w:val="center" w:pos="4680"/>
        </w:tabs>
        <w:suppressAutoHyphens/>
        <w:rPr>
          <w:rFonts w:ascii="Arial" w:hAnsi="Arial" w:cs="Arial"/>
          <w:szCs w:val="24"/>
        </w:rPr>
        <w:sectPr w:rsidR="003662F1" w:rsidSect="00A83CBA">
          <w:headerReference w:type="even" r:id="rId14"/>
          <w:headerReference w:type="default" r:id="rId15"/>
          <w:footerReference w:type="default" r:id="rId16"/>
          <w:headerReference w:type="first" r:id="rId17"/>
          <w:endnotePr>
            <w:numFmt w:val="decimal"/>
          </w:endnotePr>
          <w:pgSz w:w="12240" w:h="15840" w:code="1"/>
          <w:pgMar w:top="1440" w:right="1440" w:bottom="1008" w:left="1440" w:header="720" w:footer="720" w:gutter="0"/>
          <w:pgNumType w:start="1"/>
          <w:cols w:space="720"/>
          <w:noEndnote/>
          <w:docGrid w:linePitch="326"/>
        </w:sectPr>
      </w:pPr>
    </w:p>
    <w:tbl>
      <w:tblPr>
        <w:tblpPr w:leftFromText="180" w:rightFromText="180" w:horzAnchor="margin" w:tblpXSpec="center" w:tblpY="-756"/>
        <w:tblW w:w="10890" w:type="dxa"/>
        <w:tblLayout w:type="fixed"/>
        <w:tblLook w:val="0000" w:firstRow="0" w:lastRow="0" w:firstColumn="0" w:lastColumn="0" w:noHBand="0" w:noVBand="0"/>
      </w:tblPr>
      <w:tblGrid>
        <w:gridCol w:w="1363"/>
        <w:gridCol w:w="8075"/>
        <w:gridCol w:w="1452"/>
      </w:tblGrid>
      <w:tr w:rsidR="005D711E" w:rsidRPr="00BE0936" w14:paraId="44BA82F2" w14:textId="77777777" w:rsidTr="00C10A74">
        <w:trPr>
          <w:trHeight w:val="990"/>
        </w:trPr>
        <w:tc>
          <w:tcPr>
            <w:tcW w:w="1363" w:type="dxa"/>
          </w:tcPr>
          <w:p w14:paraId="499108BE" w14:textId="77777777" w:rsidR="005D711E" w:rsidRPr="000A6589" w:rsidRDefault="00AD48B6" w:rsidP="00C10A74">
            <w:pPr>
              <w:rPr>
                <w:rFonts w:ascii="Arial" w:hAnsi="Arial" w:cs="Arial"/>
                <w:szCs w:val="24"/>
              </w:rPr>
            </w:pPr>
            <w:r>
              <w:rPr>
                <w:rFonts w:ascii="Arial" w:hAnsi="Arial" w:cs="Arial"/>
                <w:noProof/>
                <w:spacing w:val="-2"/>
                <w:szCs w:val="24"/>
              </w:rPr>
              <w:lastRenderedPageBreak/>
              <w:drawing>
                <wp:inline distT="0" distB="0" distL="0" distR="0" wp14:anchorId="63F0DA54" wp14:editId="29F4C559">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5C094640" w14:textId="77777777" w:rsidR="005D711E" w:rsidRPr="000A6589" w:rsidRDefault="005D711E" w:rsidP="00C10A74">
            <w:pPr>
              <w:suppressAutoHyphens/>
              <w:spacing w:line="204" w:lineRule="auto"/>
              <w:jc w:val="center"/>
              <w:rPr>
                <w:rFonts w:ascii="Arial" w:hAnsi="Arial" w:cs="Arial"/>
                <w:color w:val="000080"/>
                <w:spacing w:val="-3"/>
                <w:szCs w:val="24"/>
              </w:rPr>
            </w:pPr>
          </w:p>
          <w:p w14:paraId="12720395" w14:textId="77777777" w:rsidR="00C10A74" w:rsidRDefault="00C10A74" w:rsidP="00C10A7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B001C0F" w14:textId="77777777" w:rsidR="00C10A74" w:rsidRDefault="00C10A74" w:rsidP="00C10A74">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6C2F0814" w14:textId="0E413662" w:rsidR="005D711E" w:rsidRPr="000A6589" w:rsidRDefault="00C10A74" w:rsidP="00C10A74">
            <w:pPr>
              <w:jc w:val="center"/>
              <w:rPr>
                <w:rFonts w:ascii="Arial" w:hAnsi="Arial" w:cs="Arial"/>
                <w:szCs w:val="24"/>
              </w:rPr>
            </w:pPr>
            <w:r>
              <w:rPr>
                <w:rFonts w:ascii="Arial" w:hAnsi="Arial"/>
                <w:color w:val="000080"/>
                <w:spacing w:val="-3"/>
                <w:sz w:val="26"/>
              </w:rPr>
              <w:t>400 NORTH STREET, HARRISBURG, PA  17120</w:t>
            </w:r>
          </w:p>
        </w:tc>
        <w:tc>
          <w:tcPr>
            <w:tcW w:w="1452" w:type="dxa"/>
          </w:tcPr>
          <w:p w14:paraId="6355E345" w14:textId="77777777" w:rsidR="005D711E" w:rsidRPr="000A6589" w:rsidRDefault="005D711E" w:rsidP="00C10A74">
            <w:pPr>
              <w:rPr>
                <w:rFonts w:ascii="Arial" w:hAnsi="Arial" w:cs="Arial"/>
                <w:szCs w:val="24"/>
              </w:rPr>
            </w:pPr>
          </w:p>
          <w:p w14:paraId="70FCBF95" w14:textId="77777777" w:rsidR="005D711E" w:rsidRPr="000A6589" w:rsidRDefault="005D711E" w:rsidP="00C10A74">
            <w:pPr>
              <w:rPr>
                <w:rFonts w:ascii="Arial" w:hAnsi="Arial" w:cs="Arial"/>
                <w:szCs w:val="24"/>
              </w:rPr>
            </w:pPr>
          </w:p>
          <w:p w14:paraId="2B4E9816" w14:textId="77777777" w:rsidR="00B61414" w:rsidRPr="000A6589" w:rsidRDefault="00B61414" w:rsidP="00C10A74">
            <w:pPr>
              <w:rPr>
                <w:rFonts w:ascii="Arial" w:hAnsi="Arial" w:cs="Arial"/>
                <w:szCs w:val="24"/>
              </w:rPr>
            </w:pPr>
          </w:p>
          <w:p w14:paraId="012D5FA2" w14:textId="77777777" w:rsidR="005D711E" w:rsidRPr="00BE0936" w:rsidRDefault="005D711E" w:rsidP="00C10A74">
            <w:pPr>
              <w:jc w:val="center"/>
              <w:rPr>
                <w:rFonts w:ascii="Arial" w:hAnsi="Arial" w:cs="Arial"/>
                <w:szCs w:val="24"/>
              </w:rPr>
            </w:pPr>
            <w:r w:rsidRPr="000A6589">
              <w:rPr>
                <w:rFonts w:ascii="Arial" w:hAnsi="Arial" w:cs="Arial"/>
                <w:b/>
                <w:spacing w:val="-1"/>
                <w:sz w:val="12"/>
                <w:szCs w:val="24"/>
              </w:rPr>
              <w:t>IN REPLY PLEASE REFER TO OUR FILE</w:t>
            </w:r>
          </w:p>
        </w:tc>
      </w:tr>
    </w:tbl>
    <w:p w14:paraId="423E677D" w14:textId="77777777" w:rsidR="00BF0E3F" w:rsidRDefault="00BF0E3F">
      <w:pPr>
        <w:pStyle w:val="Heading1"/>
        <w:tabs>
          <w:tab w:val="clear" w:pos="4680"/>
        </w:tabs>
        <w:rPr>
          <w:rFonts w:ascii="Arial" w:hAnsi="Arial" w:cs="Arial"/>
          <w:sz w:val="26"/>
          <w:szCs w:val="24"/>
        </w:rPr>
      </w:pPr>
    </w:p>
    <w:p w14:paraId="150A99AA" w14:textId="060C4E60" w:rsidR="005D711E" w:rsidRPr="000272B6" w:rsidRDefault="00214215" w:rsidP="00B53B8C">
      <w:pPr>
        <w:pStyle w:val="Heading1"/>
        <w:tabs>
          <w:tab w:val="clear" w:pos="4680"/>
        </w:tabs>
        <w:rPr>
          <w:rFonts w:ascii="Arial" w:hAnsi="Arial" w:cs="Arial"/>
          <w:b w:val="0"/>
          <w:sz w:val="26"/>
          <w:szCs w:val="26"/>
        </w:rPr>
      </w:pPr>
      <w:r w:rsidRPr="000272B6">
        <w:rPr>
          <w:rFonts w:ascii="Arial" w:hAnsi="Arial" w:cs="Arial"/>
          <w:sz w:val="26"/>
          <w:szCs w:val="26"/>
          <w:u w:val="none"/>
        </w:rPr>
        <w:t xml:space="preserve">INDEPENDENT </w:t>
      </w:r>
      <w:r w:rsidR="005D711E" w:rsidRPr="000272B6">
        <w:rPr>
          <w:rFonts w:ascii="Arial" w:hAnsi="Arial" w:cs="Arial"/>
          <w:sz w:val="26"/>
          <w:szCs w:val="26"/>
          <w:u w:val="none"/>
        </w:rPr>
        <w:t>AUDITOR'S REPORT</w:t>
      </w:r>
    </w:p>
    <w:p w14:paraId="52B5CE39" w14:textId="147FCDF1" w:rsidR="005D711E" w:rsidRPr="000272B6" w:rsidRDefault="00B53B8C" w:rsidP="00CF2F5B">
      <w:pPr>
        <w:pStyle w:val="Heading1"/>
        <w:tabs>
          <w:tab w:val="clear" w:pos="4680"/>
        </w:tabs>
        <w:rPr>
          <w:rFonts w:ascii="Arial" w:hAnsi="Arial" w:cs="Arial"/>
          <w:sz w:val="26"/>
          <w:szCs w:val="26"/>
          <w:u w:val="none"/>
        </w:rPr>
      </w:pPr>
      <w:r>
        <w:rPr>
          <w:rFonts w:ascii="Arial" w:hAnsi="Arial" w:cs="Arial"/>
          <w:sz w:val="26"/>
          <w:szCs w:val="26"/>
          <w:u w:val="none"/>
        </w:rPr>
        <w:t>T</w:t>
      </w:r>
      <w:r w:rsidRPr="000272B6">
        <w:rPr>
          <w:rFonts w:ascii="Arial" w:hAnsi="Arial" w:cs="Arial"/>
          <w:sz w:val="26"/>
          <w:szCs w:val="26"/>
          <w:u w:val="none"/>
        </w:rPr>
        <w:t xml:space="preserve">O </w:t>
      </w:r>
      <w:r>
        <w:rPr>
          <w:rFonts w:ascii="Arial" w:hAnsi="Arial" w:cs="Arial"/>
          <w:sz w:val="26"/>
          <w:szCs w:val="26"/>
          <w:u w:val="none"/>
        </w:rPr>
        <w:t>T</w:t>
      </w:r>
      <w:r w:rsidRPr="000272B6">
        <w:rPr>
          <w:rFonts w:ascii="Arial" w:hAnsi="Arial" w:cs="Arial"/>
          <w:sz w:val="26"/>
          <w:szCs w:val="26"/>
          <w:u w:val="none"/>
        </w:rPr>
        <w:t>HE PUBLIC UTILITY COMMISSION</w:t>
      </w:r>
    </w:p>
    <w:p w14:paraId="23B534C7" w14:textId="77777777" w:rsidR="005D711E" w:rsidRPr="001B1FF2" w:rsidRDefault="005D711E" w:rsidP="00CF2F5B">
      <w:pPr>
        <w:suppressAutoHyphens/>
        <w:rPr>
          <w:rFonts w:ascii="Arial" w:hAnsi="Arial" w:cs="Arial"/>
          <w:sz w:val="20"/>
          <w:szCs w:val="24"/>
        </w:rPr>
      </w:pPr>
    </w:p>
    <w:p w14:paraId="79B6887C" w14:textId="77777777" w:rsidR="00CF2F5B" w:rsidRPr="001B1FF2" w:rsidRDefault="00CF2F5B" w:rsidP="00CF2F5B">
      <w:pPr>
        <w:suppressAutoHyphens/>
        <w:rPr>
          <w:rFonts w:ascii="Arial" w:hAnsi="Arial" w:cs="Arial"/>
          <w:sz w:val="20"/>
          <w:szCs w:val="24"/>
        </w:rPr>
      </w:pPr>
    </w:p>
    <w:p w14:paraId="6A9F0736" w14:textId="47BB458E" w:rsidR="003469AD" w:rsidRPr="004F00DD" w:rsidRDefault="003469AD" w:rsidP="003469A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w:t>
      </w:r>
    </w:p>
    <w:p w14:paraId="71E4A0B8" w14:textId="77777777" w:rsidR="003469AD" w:rsidRPr="004F00DD" w:rsidRDefault="003469AD" w:rsidP="003469AD">
      <w:pPr>
        <w:overflowPunct/>
        <w:autoSpaceDE/>
        <w:autoSpaceDN/>
        <w:adjustRightInd/>
        <w:textAlignment w:val="auto"/>
        <w:rPr>
          <w:rFonts w:ascii="Arial" w:hAnsi="Arial" w:cs="Arial"/>
          <w:b/>
          <w:bCs/>
          <w:szCs w:val="24"/>
        </w:rPr>
      </w:pPr>
    </w:p>
    <w:p w14:paraId="6AF6A794" w14:textId="2A3B747C" w:rsidR="003469AD" w:rsidRPr="004F00DD" w:rsidRDefault="003469AD" w:rsidP="003469A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 of </w:t>
      </w:r>
      <w:r w:rsidR="00825E2D">
        <w:rPr>
          <w:rFonts w:ascii="Arial" w:hAnsi="Arial" w:cs="Arial"/>
          <w:szCs w:val="24"/>
        </w:rPr>
        <w:t>Non-</w:t>
      </w:r>
      <w:proofErr w:type="spellStart"/>
      <w:r w:rsidR="00825E2D">
        <w:rPr>
          <w:rFonts w:ascii="Arial" w:hAnsi="Arial" w:cs="Arial"/>
          <w:szCs w:val="24"/>
        </w:rPr>
        <w:t>Bypassable</w:t>
      </w:r>
      <w:proofErr w:type="spellEnd"/>
      <w:r w:rsidR="00825E2D">
        <w:rPr>
          <w:rFonts w:ascii="Arial" w:hAnsi="Arial" w:cs="Arial"/>
          <w:szCs w:val="24"/>
        </w:rPr>
        <w:t xml:space="preserve"> </w:t>
      </w:r>
      <w:r>
        <w:rPr>
          <w:rFonts w:ascii="Arial" w:hAnsi="Arial" w:cs="Arial"/>
          <w:szCs w:val="24"/>
        </w:rPr>
        <w:t>Transmission C</w:t>
      </w:r>
      <w:r w:rsidRPr="00F16976">
        <w:rPr>
          <w:rFonts w:ascii="Arial" w:hAnsi="Arial" w:cs="Arial"/>
          <w:szCs w:val="24"/>
        </w:rPr>
        <w:t xml:space="preserve">harge Over/Under Collections for the </w:t>
      </w:r>
      <w:r w:rsidR="00513404">
        <w:rPr>
          <w:rFonts w:ascii="Arial" w:hAnsi="Arial" w:cs="Arial"/>
          <w:szCs w:val="24"/>
        </w:rPr>
        <w:t>six</w:t>
      </w:r>
      <w:r w:rsidR="00AC5F64">
        <w:rPr>
          <w:rFonts w:ascii="Arial" w:hAnsi="Arial" w:cs="Arial"/>
          <w:szCs w:val="24"/>
        </w:rPr>
        <w:t xml:space="preserve"> </w:t>
      </w:r>
      <w:r w:rsidRPr="00F16976">
        <w:rPr>
          <w:rFonts w:ascii="Arial" w:hAnsi="Arial" w:cs="Arial"/>
          <w:szCs w:val="24"/>
        </w:rPr>
        <w:t>month</w:t>
      </w:r>
      <w:r w:rsidR="00AC5F64">
        <w:rPr>
          <w:rFonts w:ascii="Arial" w:hAnsi="Arial" w:cs="Arial"/>
          <w:szCs w:val="24"/>
        </w:rPr>
        <w:t>s</w:t>
      </w:r>
      <w:r w:rsidRPr="00F16976">
        <w:rPr>
          <w:rFonts w:ascii="Arial" w:hAnsi="Arial" w:cs="Arial"/>
          <w:szCs w:val="24"/>
        </w:rPr>
        <w:t xml:space="preserve"> ended </w:t>
      </w:r>
      <w:r w:rsidR="00AC5F64">
        <w:rPr>
          <w:rFonts w:ascii="Arial" w:hAnsi="Arial" w:cs="Arial"/>
          <w:szCs w:val="24"/>
        </w:rPr>
        <w:t xml:space="preserve">November </w:t>
      </w:r>
      <w:r w:rsidRPr="00F16976">
        <w:rPr>
          <w:rFonts w:ascii="Arial" w:hAnsi="Arial" w:cs="Arial"/>
          <w:szCs w:val="24"/>
        </w:rPr>
        <w:t>3</w:t>
      </w:r>
      <w:r>
        <w:rPr>
          <w:rFonts w:ascii="Arial" w:hAnsi="Arial" w:cs="Arial"/>
          <w:szCs w:val="24"/>
        </w:rPr>
        <w:t>0</w:t>
      </w:r>
      <w:r w:rsidRPr="00F16976">
        <w:rPr>
          <w:rFonts w:ascii="Arial" w:hAnsi="Arial" w:cs="Arial"/>
          <w:szCs w:val="24"/>
        </w:rPr>
        <w:t>, 201</w:t>
      </w:r>
      <w:r w:rsidR="00D2068D">
        <w:rPr>
          <w:rFonts w:ascii="Arial" w:hAnsi="Arial" w:cs="Arial"/>
          <w:szCs w:val="24"/>
        </w:rPr>
        <w:t>5</w:t>
      </w:r>
      <w:r w:rsidRPr="00F16976">
        <w:rPr>
          <w:rFonts w:ascii="Arial" w:hAnsi="Arial" w:cs="Arial"/>
          <w:szCs w:val="24"/>
        </w:rPr>
        <w:t>.</w:t>
      </w:r>
    </w:p>
    <w:p w14:paraId="1387D8F9" w14:textId="77777777" w:rsidR="003469AD" w:rsidRPr="004F00DD" w:rsidRDefault="003469AD" w:rsidP="003469AD">
      <w:pPr>
        <w:overflowPunct/>
        <w:autoSpaceDE/>
        <w:autoSpaceDN/>
        <w:adjustRightInd/>
        <w:textAlignment w:val="auto"/>
        <w:rPr>
          <w:rFonts w:ascii="Arial" w:hAnsi="Arial" w:cs="Arial"/>
          <w:i/>
          <w:szCs w:val="24"/>
        </w:rPr>
      </w:pPr>
    </w:p>
    <w:p w14:paraId="5D9B73D7" w14:textId="76683053"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w:t>
      </w:r>
    </w:p>
    <w:p w14:paraId="2FB7DF77" w14:textId="77777777" w:rsidR="003469AD" w:rsidRPr="004F00DD" w:rsidRDefault="003469AD" w:rsidP="003469AD">
      <w:pPr>
        <w:overflowPunct/>
        <w:autoSpaceDE/>
        <w:autoSpaceDN/>
        <w:adjustRightInd/>
        <w:textAlignment w:val="auto"/>
        <w:rPr>
          <w:rFonts w:ascii="Arial" w:hAnsi="Arial" w:cs="Arial"/>
          <w:i/>
          <w:szCs w:val="24"/>
        </w:rPr>
      </w:pPr>
    </w:p>
    <w:p w14:paraId="3C04A256" w14:textId="289BB294" w:rsidR="003469AD" w:rsidRPr="004F00DD" w:rsidRDefault="003469AD" w:rsidP="003469A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w:t>
      </w:r>
      <w:r w:rsidR="003F2989">
        <w:rPr>
          <w:rFonts w:ascii="Arial" w:hAnsi="Arial" w:cs="Arial"/>
          <w:szCs w:val="24"/>
        </w:rPr>
        <w:t>is</w:t>
      </w:r>
      <w:r w:rsidRPr="004F00DD">
        <w:rPr>
          <w:rFonts w:ascii="Arial" w:hAnsi="Arial" w:cs="Arial"/>
          <w:szCs w:val="24"/>
        </w:rPr>
        <w:t xml:space="preserve"> statement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18D4895F" w14:textId="77777777" w:rsidR="003469AD" w:rsidRPr="004F00DD" w:rsidRDefault="003469AD" w:rsidP="003469AD">
      <w:pPr>
        <w:overflowPunct/>
        <w:autoSpaceDE/>
        <w:autoSpaceDN/>
        <w:adjustRightInd/>
        <w:textAlignment w:val="auto"/>
        <w:rPr>
          <w:rFonts w:ascii="Arial" w:hAnsi="Arial" w:cs="Arial"/>
          <w:i/>
          <w:szCs w:val="24"/>
        </w:rPr>
      </w:pPr>
    </w:p>
    <w:p w14:paraId="2CA6C9F8" w14:textId="77777777" w:rsidR="003469AD" w:rsidRPr="004F00DD" w:rsidRDefault="003469AD" w:rsidP="003469A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14:paraId="159EFB60" w14:textId="77777777" w:rsidR="003469AD" w:rsidRPr="004F00DD" w:rsidRDefault="003469AD" w:rsidP="003469AD">
      <w:pPr>
        <w:overflowPunct/>
        <w:autoSpaceDE/>
        <w:autoSpaceDN/>
        <w:adjustRightInd/>
        <w:textAlignment w:val="auto"/>
        <w:rPr>
          <w:rFonts w:ascii="Arial" w:hAnsi="Arial" w:cs="Arial"/>
          <w:szCs w:val="24"/>
        </w:rPr>
      </w:pPr>
    </w:p>
    <w:p w14:paraId="0F1E41E8" w14:textId="7FA5BFEE" w:rsidR="003469AD" w:rsidRDefault="003469AD" w:rsidP="003469AD">
      <w:pPr>
        <w:ind w:firstLine="720"/>
        <w:rPr>
          <w:rFonts w:ascii="Arial" w:hAnsi="Arial" w:cs="Arial"/>
          <w:szCs w:val="24"/>
        </w:rPr>
      </w:pPr>
      <w:r w:rsidRPr="00982C30">
        <w:rPr>
          <w:rFonts w:ascii="Arial" w:hAnsi="Arial" w:cs="Arial"/>
          <w:szCs w:val="24"/>
        </w:rPr>
        <w:t>Our responsibility is to express an opinion on th</w:t>
      </w:r>
      <w:r w:rsidR="00A60DC5">
        <w:rPr>
          <w:rFonts w:ascii="Arial" w:hAnsi="Arial" w:cs="Arial"/>
          <w:szCs w:val="24"/>
        </w:rPr>
        <w:t>is</w:t>
      </w:r>
      <w:r w:rsidRPr="00982C30">
        <w:rPr>
          <w:rFonts w:ascii="Arial" w:hAnsi="Arial" w:cs="Arial"/>
          <w:szCs w:val="24"/>
        </w:rPr>
        <w:t xml:space="preserve"> statement based on our audit.  We conducted our audit in accordance with auditing standards generally accepted in the United States of America.  </w:t>
      </w:r>
      <w:r w:rsidR="00721DD1">
        <w:rPr>
          <w:rFonts w:ascii="Arial" w:hAnsi="Arial" w:cs="Arial"/>
          <w:szCs w:val="24"/>
        </w:rPr>
        <w:t>These</w:t>
      </w:r>
      <w:r w:rsidR="00721DD1" w:rsidRPr="00982C30">
        <w:rPr>
          <w:rFonts w:ascii="Arial" w:hAnsi="Arial" w:cs="Arial"/>
          <w:szCs w:val="24"/>
        </w:rPr>
        <w:t xml:space="preserve"> </w:t>
      </w:r>
      <w:r w:rsidRPr="00982C30">
        <w:rPr>
          <w:rFonts w:ascii="Arial" w:hAnsi="Arial" w:cs="Arial"/>
          <w:szCs w:val="24"/>
        </w:rPr>
        <w:t>standards require that we plan and perform the audit to obtain reasonable assurance about whether th</w:t>
      </w:r>
      <w:r w:rsidR="00A60DC5">
        <w:rPr>
          <w:rFonts w:ascii="Arial" w:hAnsi="Arial" w:cs="Arial"/>
          <w:szCs w:val="24"/>
        </w:rPr>
        <w:t>is</w:t>
      </w:r>
      <w:r w:rsidRPr="00982C30">
        <w:rPr>
          <w:rFonts w:ascii="Arial" w:hAnsi="Arial" w:cs="Arial"/>
          <w:szCs w:val="24"/>
        </w:rPr>
        <w:t xml:space="preserve"> statement </w:t>
      </w:r>
      <w:r w:rsidR="00A60DC5">
        <w:rPr>
          <w:rFonts w:ascii="Arial" w:hAnsi="Arial" w:cs="Arial"/>
          <w:szCs w:val="24"/>
        </w:rPr>
        <w:t>is</w:t>
      </w:r>
      <w:r w:rsidRPr="00982C30">
        <w:rPr>
          <w:rFonts w:ascii="Arial" w:hAnsi="Arial" w:cs="Arial"/>
          <w:szCs w:val="24"/>
        </w:rPr>
        <w:t xml:space="preserve"> free from material misstatement.  An audit involves performing procedures to obtain audit evidence about the amounts and disclosures in th</w:t>
      </w:r>
      <w:r w:rsidR="00C1042A">
        <w:rPr>
          <w:rFonts w:ascii="Arial" w:hAnsi="Arial" w:cs="Arial"/>
          <w:szCs w:val="24"/>
        </w:rPr>
        <w:t>is</w:t>
      </w:r>
      <w:r w:rsidRPr="00982C30">
        <w:rPr>
          <w:rFonts w:ascii="Arial" w:hAnsi="Arial" w:cs="Arial"/>
          <w:szCs w:val="24"/>
        </w:rPr>
        <w:t xml:space="preserve"> statement.  The procedures selected depend on the auditor’s judgment, including the assessment of the risks of material misstatement of th</w:t>
      </w:r>
      <w:r w:rsidR="00983239">
        <w:rPr>
          <w:rFonts w:ascii="Arial" w:hAnsi="Arial" w:cs="Arial"/>
          <w:szCs w:val="24"/>
        </w:rPr>
        <w:t>is</w:t>
      </w:r>
      <w:r w:rsidRPr="00982C30">
        <w:rPr>
          <w:rFonts w:ascii="Arial" w:hAnsi="Arial" w:cs="Arial"/>
          <w:szCs w:val="24"/>
        </w:rPr>
        <w:t xml:space="preserve"> statement, whether due to fraud or error.  In making those risk assessments, the auditor considers internal control relevant to the entity’s preparation and fair presentation of th</w:t>
      </w:r>
      <w:r w:rsidR="006105CE">
        <w:rPr>
          <w:rFonts w:ascii="Arial" w:hAnsi="Arial" w:cs="Arial"/>
          <w:szCs w:val="24"/>
        </w:rPr>
        <w:t>is</w:t>
      </w:r>
      <w:r w:rsidRPr="00982C30">
        <w:rPr>
          <w:rFonts w:ascii="Arial" w:hAnsi="Arial" w:cs="Arial"/>
          <w:szCs w:val="24"/>
        </w:rPr>
        <w:t xml:space="preserve"> statement </w:t>
      </w:r>
      <w:proofErr w:type="gramStart"/>
      <w:r w:rsidRPr="00982C30">
        <w:rPr>
          <w:rFonts w:ascii="Arial" w:hAnsi="Arial" w:cs="Arial"/>
          <w:szCs w:val="24"/>
        </w:rPr>
        <w:t>in order to</w:t>
      </w:r>
      <w:proofErr w:type="gramEnd"/>
      <w:r w:rsidRPr="00982C30">
        <w:rPr>
          <w:rFonts w:ascii="Arial" w:hAnsi="Arial" w:cs="Arial"/>
          <w:szCs w:val="24"/>
        </w:rPr>
        <w:t xml:space="preserve"> design audit procedures that are appropriate in the circumstances, but not for the purpose of expressing an opinion on the effectiveness of the entity’s internal control</w:t>
      </w:r>
      <w:r w:rsidR="002C394B">
        <w:rPr>
          <w:rFonts w:ascii="Arial" w:hAnsi="Arial" w:cs="Arial"/>
          <w:szCs w:val="24"/>
        </w:rPr>
        <w:t>.</w:t>
      </w:r>
      <w:r w:rsidRPr="00982C30">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w:t>
      </w:r>
      <w:r w:rsidR="0002105E">
        <w:rPr>
          <w:rFonts w:ascii="Arial" w:hAnsi="Arial" w:cs="Arial"/>
          <w:szCs w:val="24"/>
        </w:rPr>
        <w:t>is</w:t>
      </w:r>
      <w:r w:rsidRPr="00982C30">
        <w:rPr>
          <w:rFonts w:ascii="Arial" w:hAnsi="Arial" w:cs="Arial"/>
          <w:szCs w:val="24"/>
        </w:rPr>
        <w:t xml:space="preserve"> statement.  We believe that the audit evidence we have obtained is sufficient and appropriate to provide a basis for our audit opinion.</w:t>
      </w:r>
    </w:p>
    <w:p w14:paraId="16D32552" w14:textId="77777777" w:rsidR="003469AD" w:rsidRDefault="003469AD" w:rsidP="003469AD">
      <w:pPr>
        <w:ind w:firstLine="720"/>
        <w:rPr>
          <w:rFonts w:ascii="Arial" w:hAnsi="Arial" w:cs="Arial"/>
          <w:szCs w:val="24"/>
        </w:rPr>
      </w:pPr>
    </w:p>
    <w:p w14:paraId="3D4B6B91" w14:textId="77777777" w:rsidR="003469AD" w:rsidRDefault="003469AD" w:rsidP="003469AD">
      <w:pPr>
        <w:ind w:firstLine="720"/>
        <w:rPr>
          <w:rFonts w:ascii="Arial" w:hAnsi="Arial" w:cs="Arial"/>
          <w:szCs w:val="24"/>
        </w:rPr>
      </w:pPr>
    </w:p>
    <w:p w14:paraId="116A7D09" w14:textId="77777777" w:rsidR="003469AD" w:rsidRDefault="003469AD" w:rsidP="003469AD">
      <w:pPr>
        <w:ind w:firstLine="720"/>
        <w:rPr>
          <w:rFonts w:ascii="Arial" w:hAnsi="Arial" w:cs="Arial"/>
          <w:szCs w:val="24"/>
        </w:rPr>
      </w:pPr>
    </w:p>
    <w:p w14:paraId="3D4B7033" w14:textId="77777777" w:rsidR="003469AD" w:rsidRDefault="003469AD" w:rsidP="003469AD">
      <w:pPr>
        <w:ind w:firstLine="720"/>
        <w:rPr>
          <w:rFonts w:ascii="Arial" w:hAnsi="Arial" w:cs="Arial"/>
          <w:szCs w:val="24"/>
        </w:rPr>
      </w:pPr>
    </w:p>
    <w:p w14:paraId="6FB260CA" w14:textId="36D74E90" w:rsidR="00446120" w:rsidRDefault="00446120" w:rsidP="003469AD">
      <w:pPr>
        <w:overflowPunct/>
        <w:autoSpaceDE/>
        <w:autoSpaceDN/>
        <w:adjustRightInd/>
        <w:textAlignment w:val="auto"/>
        <w:rPr>
          <w:rFonts w:ascii="Arial" w:hAnsi="Arial" w:cs="Arial"/>
          <w:b/>
          <w:bCs/>
          <w:iCs/>
          <w:szCs w:val="24"/>
        </w:rPr>
      </w:pPr>
    </w:p>
    <w:p w14:paraId="7CEDCB57" w14:textId="77777777" w:rsidR="00F6335A" w:rsidRDefault="00F6335A" w:rsidP="003469AD">
      <w:pPr>
        <w:overflowPunct/>
        <w:autoSpaceDE/>
        <w:autoSpaceDN/>
        <w:adjustRightInd/>
        <w:textAlignment w:val="auto"/>
        <w:rPr>
          <w:rFonts w:ascii="Arial" w:hAnsi="Arial" w:cs="Arial"/>
          <w:b/>
          <w:bCs/>
          <w:iCs/>
          <w:szCs w:val="24"/>
        </w:rPr>
      </w:pPr>
    </w:p>
    <w:p w14:paraId="6A0C7CFA" w14:textId="77777777" w:rsidR="00446120" w:rsidRDefault="00446120" w:rsidP="003469AD">
      <w:pPr>
        <w:overflowPunct/>
        <w:autoSpaceDE/>
        <w:autoSpaceDN/>
        <w:adjustRightInd/>
        <w:textAlignment w:val="auto"/>
        <w:rPr>
          <w:rFonts w:ascii="Arial" w:hAnsi="Arial" w:cs="Arial"/>
          <w:b/>
          <w:bCs/>
          <w:iCs/>
          <w:szCs w:val="24"/>
        </w:rPr>
      </w:pPr>
    </w:p>
    <w:p w14:paraId="792431D3" w14:textId="77777777" w:rsidR="00446120" w:rsidRDefault="00446120" w:rsidP="003469AD">
      <w:pPr>
        <w:overflowPunct/>
        <w:autoSpaceDE/>
        <w:autoSpaceDN/>
        <w:adjustRightInd/>
        <w:textAlignment w:val="auto"/>
        <w:rPr>
          <w:rFonts w:ascii="Arial" w:hAnsi="Arial" w:cs="Arial"/>
          <w:b/>
          <w:bCs/>
          <w:iCs/>
          <w:szCs w:val="24"/>
        </w:rPr>
      </w:pPr>
    </w:p>
    <w:p w14:paraId="7B5525FF" w14:textId="77777777" w:rsidR="00446120" w:rsidRDefault="00446120" w:rsidP="003469AD">
      <w:pPr>
        <w:overflowPunct/>
        <w:autoSpaceDE/>
        <w:autoSpaceDN/>
        <w:adjustRightInd/>
        <w:textAlignment w:val="auto"/>
        <w:rPr>
          <w:rFonts w:ascii="Arial" w:hAnsi="Arial" w:cs="Arial"/>
          <w:b/>
          <w:bCs/>
          <w:iCs/>
          <w:szCs w:val="24"/>
        </w:rPr>
      </w:pPr>
    </w:p>
    <w:p w14:paraId="62EE40C0" w14:textId="77777777" w:rsidR="00446120" w:rsidRDefault="00446120" w:rsidP="003469AD">
      <w:pPr>
        <w:overflowPunct/>
        <w:autoSpaceDE/>
        <w:autoSpaceDN/>
        <w:adjustRightInd/>
        <w:textAlignment w:val="auto"/>
        <w:rPr>
          <w:rFonts w:ascii="Arial" w:hAnsi="Arial" w:cs="Arial"/>
          <w:b/>
          <w:bCs/>
          <w:iCs/>
          <w:szCs w:val="24"/>
        </w:rPr>
      </w:pPr>
    </w:p>
    <w:p w14:paraId="121C3BA2" w14:textId="0C9FA0F3"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14:paraId="602866EE" w14:textId="77777777" w:rsidR="003469AD" w:rsidRPr="004F00DD" w:rsidRDefault="003469AD" w:rsidP="003469AD">
      <w:pPr>
        <w:overflowPunct/>
        <w:autoSpaceDE/>
        <w:autoSpaceDN/>
        <w:adjustRightInd/>
        <w:textAlignment w:val="auto"/>
        <w:rPr>
          <w:rFonts w:ascii="Arial" w:hAnsi="Arial" w:cs="Arial"/>
          <w:szCs w:val="24"/>
        </w:rPr>
      </w:pPr>
    </w:p>
    <w:p w14:paraId="09019154" w14:textId="5124695F" w:rsidR="003469AD" w:rsidRPr="004F00DD" w:rsidRDefault="003469AD" w:rsidP="003469AD">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 of </w:t>
      </w:r>
      <w:r w:rsidR="00825E2D">
        <w:rPr>
          <w:rFonts w:ascii="Arial" w:hAnsi="Arial" w:cs="Arial"/>
          <w:szCs w:val="24"/>
        </w:rPr>
        <w:t>Non-</w:t>
      </w:r>
      <w:proofErr w:type="spellStart"/>
      <w:r w:rsidR="00825E2D">
        <w:rPr>
          <w:rFonts w:ascii="Arial" w:hAnsi="Arial" w:cs="Arial"/>
          <w:szCs w:val="24"/>
        </w:rPr>
        <w:t>Bypassable</w:t>
      </w:r>
      <w:proofErr w:type="spellEnd"/>
      <w:r w:rsidR="00825E2D">
        <w:rPr>
          <w:rFonts w:ascii="Arial" w:hAnsi="Arial" w:cs="Arial"/>
          <w:szCs w:val="24"/>
        </w:rPr>
        <w:t xml:space="preserve"> </w:t>
      </w:r>
      <w:r w:rsidR="00534876">
        <w:rPr>
          <w:rFonts w:ascii="Arial" w:hAnsi="Arial" w:cs="Arial"/>
          <w:szCs w:val="24"/>
        </w:rPr>
        <w:t xml:space="preserve">Transmission </w:t>
      </w:r>
      <w:r w:rsidR="0083158E">
        <w:rPr>
          <w:rFonts w:ascii="Arial" w:hAnsi="Arial" w:cs="Arial"/>
          <w:szCs w:val="24"/>
        </w:rPr>
        <w:t>C</w:t>
      </w:r>
      <w:r w:rsidR="0083158E" w:rsidRPr="00F16976">
        <w:rPr>
          <w:rFonts w:ascii="Arial" w:hAnsi="Arial" w:cs="Arial"/>
          <w:szCs w:val="24"/>
        </w:rPr>
        <w:t xml:space="preserve">harge Over/Under Collections for the </w:t>
      </w:r>
      <w:r w:rsidR="00513404">
        <w:rPr>
          <w:rFonts w:ascii="Arial" w:hAnsi="Arial" w:cs="Arial"/>
          <w:szCs w:val="24"/>
        </w:rPr>
        <w:t>six</w:t>
      </w:r>
      <w:r w:rsidR="0083158E">
        <w:rPr>
          <w:rFonts w:ascii="Arial" w:hAnsi="Arial" w:cs="Arial"/>
          <w:szCs w:val="24"/>
        </w:rPr>
        <w:t xml:space="preserve"> </w:t>
      </w:r>
      <w:r w:rsidR="0083158E" w:rsidRPr="00F16976">
        <w:rPr>
          <w:rFonts w:ascii="Arial" w:hAnsi="Arial" w:cs="Arial"/>
          <w:szCs w:val="24"/>
        </w:rPr>
        <w:t>month</w:t>
      </w:r>
      <w:r w:rsidR="0083158E">
        <w:rPr>
          <w:rFonts w:ascii="Arial" w:hAnsi="Arial" w:cs="Arial"/>
          <w:szCs w:val="24"/>
        </w:rPr>
        <w:t>s</w:t>
      </w:r>
      <w:r w:rsidR="0083158E" w:rsidRPr="00F16976">
        <w:rPr>
          <w:rFonts w:ascii="Arial" w:hAnsi="Arial" w:cs="Arial"/>
          <w:szCs w:val="24"/>
        </w:rPr>
        <w:t xml:space="preserve"> ended </w:t>
      </w:r>
      <w:r w:rsidR="0083158E">
        <w:rPr>
          <w:rFonts w:ascii="Arial" w:hAnsi="Arial" w:cs="Arial"/>
          <w:szCs w:val="24"/>
        </w:rPr>
        <w:t xml:space="preserve">November </w:t>
      </w:r>
      <w:r w:rsidR="0083158E" w:rsidRPr="00F16976">
        <w:rPr>
          <w:rFonts w:ascii="Arial" w:hAnsi="Arial" w:cs="Arial"/>
          <w:szCs w:val="24"/>
        </w:rPr>
        <w:t>3</w:t>
      </w:r>
      <w:r w:rsidR="0083158E">
        <w:rPr>
          <w:rFonts w:ascii="Arial" w:hAnsi="Arial" w:cs="Arial"/>
          <w:szCs w:val="24"/>
        </w:rPr>
        <w:t>0</w:t>
      </w:r>
      <w:r w:rsidR="0083158E" w:rsidRPr="00F16976">
        <w:rPr>
          <w:rFonts w:ascii="Arial" w:hAnsi="Arial" w:cs="Arial"/>
          <w:szCs w:val="24"/>
        </w:rPr>
        <w:t>, 201</w:t>
      </w:r>
      <w:r w:rsidR="00D2068D">
        <w:rPr>
          <w:rFonts w:ascii="Arial" w:hAnsi="Arial" w:cs="Arial"/>
          <w:szCs w:val="24"/>
        </w:rPr>
        <w:t>5</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w:t>
      </w:r>
      <w:r w:rsidR="00707A25">
        <w:rPr>
          <w:rFonts w:ascii="Arial" w:hAnsi="Arial" w:cs="Arial"/>
          <w:szCs w:val="24"/>
        </w:rPr>
        <w:t>s</w:t>
      </w:r>
      <w:r w:rsidRPr="004F00DD">
        <w:rPr>
          <w:rFonts w:ascii="Arial" w:hAnsi="Arial" w:cs="Arial"/>
          <w:szCs w:val="24"/>
        </w:rPr>
        <w:t xml:space="preserve"> fairly, in all material respects, in relation to the audited financial statements from which </w:t>
      </w:r>
      <w:r w:rsidR="005600AD">
        <w:rPr>
          <w:rFonts w:ascii="Arial" w:hAnsi="Arial" w:cs="Arial"/>
          <w:szCs w:val="24"/>
        </w:rPr>
        <w:t>i</w:t>
      </w:r>
      <w:r>
        <w:rPr>
          <w:rFonts w:ascii="Arial" w:hAnsi="Arial" w:cs="Arial"/>
          <w:szCs w:val="24"/>
        </w:rPr>
        <w:t>t w</w:t>
      </w:r>
      <w:r w:rsidR="005600AD">
        <w:rPr>
          <w:rFonts w:ascii="Arial" w:hAnsi="Arial" w:cs="Arial"/>
          <w:szCs w:val="24"/>
        </w:rPr>
        <w:t>as</w:t>
      </w:r>
      <w:r w:rsidRPr="004F00DD">
        <w:rPr>
          <w:rFonts w:ascii="Arial" w:hAnsi="Arial" w:cs="Arial"/>
          <w:szCs w:val="24"/>
        </w:rPr>
        <w:t xml:space="preserve"> derived.</w:t>
      </w:r>
    </w:p>
    <w:p w14:paraId="1C310754" w14:textId="77777777" w:rsidR="003469AD" w:rsidRPr="004F00DD" w:rsidRDefault="003469AD" w:rsidP="003469AD">
      <w:pPr>
        <w:overflowPunct/>
        <w:autoSpaceDE/>
        <w:autoSpaceDN/>
        <w:adjustRightInd/>
        <w:textAlignment w:val="auto"/>
        <w:rPr>
          <w:rFonts w:ascii="Arial" w:hAnsi="Arial" w:cs="Arial"/>
          <w:szCs w:val="24"/>
        </w:rPr>
      </w:pPr>
    </w:p>
    <w:p w14:paraId="1FF2E3C1" w14:textId="77777777"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14:paraId="44182C78" w14:textId="77777777" w:rsidR="003469AD" w:rsidRPr="004F00DD" w:rsidRDefault="003469AD" w:rsidP="003469AD">
      <w:pPr>
        <w:overflowPunct/>
        <w:autoSpaceDE/>
        <w:autoSpaceDN/>
        <w:adjustRightInd/>
        <w:textAlignment w:val="auto"/>
        <w:rPr>
          <w:rFonts w:ascii="Arial" w:hAnsi="Arial" w:cs="Arial"/>
          <w:szCs w:val="24"/>
        </w:rPr>
      </w:pPr>
    </w:p>
    <w:p w14:paraId="6E6ECAC3" w14:textId="696A6ADA"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szCs w:val="24"/>
        </w:rPr>
        <w:tab/>
        <w:t>The accompanying statement w</w:t>
      </w:r>
      <w:r w:rsidR="005600AD">
        <w:rPr>
          <w:rFonts w:ascii="Arial" w:hAnsi="Arial" w:cs="Arial"/>
          <w:szCs w:val="24"/>
        </w:rPr>
        <w:t>as</w:t>
      </w:r>
      <w:r w:rsidRPr="004F00DD">
        <w:rPr>
          <w:rFonts w:ascii="Arial" w:hAnsi="Arial" w:cs="Arial"/>
          <w:szCs w:val="24"/>
        </w:rPr>
        <w:t xml:space="preserve"> prepared </w:t>
      </w:r>
      <w:proofErr w:type="gramStart"/>
      <w:r w:rsidRPr="004F00DD">
        <w:rPr>
          <w:rFonts w:ascii="Arial" w:hAnsi="Arial" w:cs="Arial"/>
          <w:szCs w:val="24"/>
        </w:rPr>
        <w:t>for the purpose of</w:t>
      </w:r>
      <w:proofErr w:type="gramEnd"/>
      <w:r w:rsidRPr="004F00DD">
        <w:rPr>
          <w:rFonts w:ascii="Arial" w:hAnsi="Arial" w:cs="Arial"/>
          <w:szCs w:val="24"/>
        </w:rPr>
        <w:t xml:space="preserve"> complying with the rules and regulations of the Pennsylvania Public Utility Commission and </w:t>
      </w:r>
      <w:r w:rsidR="00613678">
        <w:rPr>
          <w:rFonts w:ascii="Arial" w:hAnsi="Arial" w:cs="Arial"/>
          <w:szCs w:val="24"/>
        </w:rPr>
        <w:t>is</w:t>
      </w:r>
      <w:r w:rsidRPr="004F00DD">
        <w:rPr>
          <w:rFonts w:ascii="Arial" w:hAnsi="Arial" w:cs="Arial"/>
          <w:szCs w:val="24"/>
        </w:rPr>
        <w:t xml:space="preserve"> not intended to be a complete presentation of the </w:t>
      </w:r>
      <w:r>
        <w:rPr>
          <w:rFonts w:ascii="Arial" w:hAnsi="Arial" w:cs="Arial"/>
          <w:szCs w:val="24"/>
        </w:rPr>
        <w:t>PECO Energy Company’s</w:t>
      </w:r>
      <w:r w:rsidRPr="004F00DD">
        <w:rPr>
          <w:rFonts w:ascii="Arial" w:hAnsi="Arial" w:cs="Arial"/>
          <w:szCs w:val="24"/>
        </w:rPr>
        <w:t xml:space="preserve"> revenues and expenses.</w:t>
      </w:r>
    </w:p>
    <w:p w14:paraId="2B658C82" w14:textId="77777777" w:rsidR="003469AD" w:rsidRPr="00982C30" w:rsidRDefault="003469AD" w:rsidP="003469AD">
      <w:pPr>
        <w:ind w:firstLine="720"/>
        <w:rPr>
          <w:rFonts w:ascii="Arial" w:hAnsi="Arial" w:cs="Arial"/>
          <w:szCs w:val="24"/>
        </w:rPr>
      </w:pPr>
    </w:p>
    <w:p w14:paraId="71CC1FD4" w14:textId="77777777" w:rsidR="007C6911" w:rsidRDefault="007C6911" w:rsidP="007C6911">
      <w:pPr>
        <w:suppressAutoHyphens/>
        <w:rPr>
          <w:rFonts w:ascii="Arial" w:hAnsi="Arial" w:cs="Arial"/>
          <w:szCs w:val="24"/>
        </w:rPr>
      </w:pPr>
    </w:p>
    <w:p w14:paraId="3EEE0898" w14:textId="77777777" w:rsidR="00C059D2" w:rsidRDefault="00C059D2" w:rsidP="007C6911">
      <w:pPr>
        <w:suppressAutoHyphens/>
        <w:rPr>
          <w:rFonts w:ascii="Arial" w:hAnsi="Arial" w:cs="Arial"/>
          <w:szCs w:val="24"/>
        </w:rPr>
      </w:pPr>
    </w:p>
    <w:p w14:paraId="4CCC7D5E" w14:textId="77777777" w:rsidR="00630B6A" w:rsidRPr="00936DE2" w:rsidRDefault="00630B6A" w:rsidP="007C6911">
      <w:pPr>
        <w:suppressAutoHyphens/>
        <w:rPr>
          <w:rFonts w:ascii="Arial" w:hAnsi="Arial" w:cs="Arial"/>
          <w:szCs w:val="24"/>
        </w:rPr>
      </w:pPr>
    </w:p>
    <w:p w14:paraId="5BF26A4B" w14:textId="77777777" w:rsidR="001F4D11" w:rsidRPr="00982C30" w:rsidRDefault="001F4D11" w:rsidP="001F4D11">
      <w:pPr>
        <w:tabs>
          <w:tab w:val="left" w:pos="5220"/>
        </w:tabs>
        <w:rPr>
          <w:rFonts w:ascii="Arial" w:hAnsi="Arial" w:cs="Arial"/>
          <w:szCs w:val="24"/>
        </w:rPr>
      </w:pPr>
      <w:r>
        <w:rPr>
          <w:rFonts w:ascii="CG Times" w:hAnsi="CG Times"/>
          <w:szCs w:val="24"/>
        </w:rPr>
        <w:tab/>
      </w:r>
      <w:r w:rsidRPr="00D0095A">
        <w:rPr>
          <w:rFonts w:ascii="Arial" w:hAnsi="Arial" w:cs="Arial"/>
          <w:szCs w:val="24"/>
        </w:rPr>
        <w:t>Kelly A.</w:t>
      </w:r>
      <w:r>
        <w:rPr>
          <w:rFonts w:ascii="Arial" w:hAnsi="Arial" w:cs="Arial"/>
          <w:szCs w:val="24"/>
        </w:rPr>
        <w:t xml:space="preserve"> </w:t>
      </w:r>
      <w:r w:rsidRPr="00D0095A">
        <w:rPr>
          <w:rFonts w:ascii="Arial" w:hAnsi="Arial" w:cs="Arial"/>
          <w:szCs w:val="24"/>
        </w:rPr>
        <w:t>Monaghan, CPA, CGFM, CFE</w:t>
      </w:r>
    </w:p>
    <w:p w14:paraId="7DE4B5B4" w14:textId="77777777" w:rsidR="001F4D11" w:rsidRPr="00982C30" w:rsidRDefault="001F4D11" w:rsidP="001F4D11">
      <w:pPr>
        <w:tabs>
          <w:tab w:val="left" w:pos="5220"/>
        </w:tabs>
        <w:rPr>
          <w:rFonts w:ascii="Arial" w:hAnsi="Arial" w:cs="Arial"/>
          <w:szCs w:val="24"/>
        </w:rPr>
      </w:pPr>
      <w:r w:rsidRPr="00982C30">
        <w:rPr>
          <w:rFonts w:ascii="Arial" w:hAnsi="Arial" w:cs="Arial"/>
          <w:szCs w:val="24"/>
        </w:rPr>
        <w:tab/>
        <w:t>Director</w:t>
      </w:r>
    </w:p>
    <w:p w14:paraId="4A1BC143" w14:textId="77777777" w:rsidR="001F4D11" w:rsidRPr="00982C30" w:rsidRDefault="001F4D11" w:rsidP="001F4D11">
      <w:pPr>
        <w:tabs>
          <w:tab w:val="left" w:pos="5220"/>
        </w:tabs>
        <w:rPr>
          <w:rFonts w:ascii="Arial" w:hAnsi="Arial" w:cs="Arial"/>
          <w:szCs w:val="24"/>
        </w:rPr>
      </w:pPr>
      <w:r w:rsidRPr="00982C30">
        <w:rPr>
          <w:rFonts w:ascii="Arial" w:hAnsi="Arial" w:cs="Arial"/>
          <w:szCs w:val="24"/>
        </w:rPr>
        <w:tab/>
        <w:t>Bureau of Audits</w:t>
      </w:r>
    </w:p>
    <w:p w14:paraId="25D1FF62" w14:textId="77777777" w:rsidR="001F4D11" w:rsidRPr="00982C30" w:rsidRDefault="001F4D11" w:rsidP="001F4D11">
      <w:pPr>
        <w:tabs>
          <w:tab w:val="left" w:pos="5220"/>
        </w:tabs>
        <w:rPr>
          <w:rFonts w:ascii="Arial" w:hAnsi="Arial" w:cs="Arial"/>
          <w:szCs w:val="24"/>
        </w:rPr>
      </w:pPr>
      <w:r w:rsidRPr="00982C30">
        <w:rPr>
          <w:rFonts w:ascii="Arial" w:hAnsi="Arial" w:cs="Arial"/>
          <w:szCs w:val="24"/>
        </w:rPr>
        <w:tab/>
        <w:t>Harrisburg, PA</w:t>
      </w:r>
    </w:p>
    <w:p w14:paraId="043F167E" w14:textId="690A0049" w:rsidR="001F4D11" w:rsidRDefault="001F4D11" w:rsidP="001F4D11">
      <w:pPr>
        <w:tabs>
          <w:tab w:val="left" w:pos="5220"/>
        </w:tabs>
        <w:rPr>
          <w:rFonts w:ascii="Arial" w:hAnsi="Arial" w:cs="Arial"/>
          <w:szCs w:val="24"/>
        </w:rPr>
      </w:pPr>
      <w:r w:rsidRPr="00982C30">
        <w:rPr>
          <w:rFonts w:ascii="Arial" w:hAnsi="Arial" w:cs="Arial"/>
          <w:szCs w:val="24"/>
        </w:rPr>
        <w:tab/>
      </w:r>
      <w:r w:rsidR="00F6335A">
        <w:rPr>
          <w:rFonts w:ascii="Arial" w:hAnsi="Arial" w:cs="Arial"/>
          <w:szCs w:val="24"/>
        </w:rPr>
        <w:t>August 17, 2018</w:t>
      </w:r>
      <w:bookmarkStart w:id="0" w:name="_GoBack"/>
      <w:bookmarkEnd w:id="0"/>
    </w:p>
    <w:p w14:paraId="3E90C786" w14:textId="77777777" w:rsidR="00144B18" w:rsidRPr="00036BF6" w:rsidRDefault="00144B18" w:rsidP="001F4D11">
      <w:pPr>
        <w:tabs>
          <w:tab w:val="left" w:pos="5220"/>
        </w:tabs>
        <w:rPr>
          <w:rFonts w:ascii="Arial" w:hAnsi="Arial" w:cs="Arial"/>
          <w:szCs w:val="24"/>
        </w:rPr>
      </w:pPr>
    </w:p>
    <w:p w14:paraId="034E829E" w14:textId="77777777" w:rsidR="007C6911" w:rsidRPr="00936DE2" w:rsidRDefault="007C6911" w:rsidP="003469AD">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 </w:t>
      </w:r>
    </w:p>
    <w:p w14:paraId="75F5ACA1" w14:textId="77777777" w:rsidR="007C6911" w:rsidRPr="00936DE2" w:rsidRDefault="007C6911" w:rsidP="007C6911">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p>
    <w:p w14:paraId="6CEC9666" w14:textId="77777777" w:rsidR="005D711E" w:rsidRPr="00BE0936" w:rsidRDefault="005D711E" w:rsidP="007C6911">
      <w:pPr>
        <w:suppressAutoHyphens/>
        <w:rPr>
          <w:rFonts w:ascii="Arial" w:hAnsi="Arial" w:cs="Arial"/>
          <w:szCs w:val="24"/>
        </w:rPr>
      </w:pPr>
    </w:p>
    <w:p w14:paraId="4B52A5D7" w14:textId="77777777" w:rsidR="005D711E" w:rsidRPr="00BE0936" w:rsidRDefault="005D711E" w:rsidP="00CF2F5B">
      <w:pPr>
        <w:suppressAutoHyphens/>
        <w:rPr>
          <w:rFonts w:ascii="Arial" w:hAnsi="Arial" w:cs="Arial"/>
          <w:szCs w:val="24"/>
        </w:rPr>
      </w:pPr>
    </w:p>
    <w:p w14:paraId="3CB0FA67" w14:textId="77777777" w:rsidR="0047509D" w:rsidRPr="00BE0936" w:rsidRDefault="0047509D" w:rsidP="00CF2F5B">
      <w:pPr>
        <w:suppressAutoHyphens/>
        <w:rPr>
          <w:rFonts w:ascii="Arial" w:hAnsi="Arial" w:cs="Arial"/>
          <w:szCs w:val="24"/>
        </w:rPr>
        <w:sectPr w:rsidR="0047509D" w:rsidRPr="00BE0936" w:rsidSect="003439CD">
          <w:headerReference w:type="even" r:id="rId19"/>
          <w:headerReference w:type="default" r:id="rId20"/>
          <w:footerReference w:type="default" r:id="rId21"/>
          <w:headerReference w:type="first" r:id="rId22"/>
          <w:endnotePr>
            <w:numFmt w:val="decimal"/>
          </w:endnotePr>
          <w:pgSz w:w="12240" w:h="15840" w:code="1"/>
          <w:pgMar w:top="1440" w:right="1440" w:bottom="1008" w:left="1440" w:header="720" w:footer="720" w:gutter="0"/>
          <w:pgNumType w:fmt="numberInDash" w:start="1"/>
          <w:cols w:space="720"/>
          <w:noEndnote/>
          <w:docGrid w:linePitch="326"/>
        </w:sectPr>
      </w:pPr>
    </w:p>
    <w:tbl>
      <w:tblPr>
        <w:tblW w:w="9315" w:type="dxa"/>
        <w:jc w:val="center"/>
        <w:tblLook w:val="0000" w:firstRow="0" w:lastRow="0" w:firstColumn="0" w:lastColumn="0" w:noHBand="0" w:noVBand="0"/>
      </w:tblPr>
      <w:tblGrid>
        <w:gridCol w:w="9315"/>
      </w:tblGrid>
      <w:tr w:rsidR="008B2A09" w:rsidRPr="00BE0936" w14:paraId="1A3167E0" w14:textId="77777777" w:rsidTr="00440FBF">
        <w:trPr>
          <w:trHeight w:val="1593"/>
          <w:jc w:val="center"/>
        </w:trPr>
        <w:tc>
          <w:tcPr>
            <w:tcW w:w="9315" w:type="dxa"/>
            <w:tcBorders>
              <w:top w:val="nil"/>
              <w:left w:val="nil"/>
              <w:bottom w:val="nil"/>
              <w:right w:val="nil"/>
            </w:tcBorders>
            <w:shd w:val="clear" w:color="auto" w:fill="auto"/>
            <w:noWrap/>
            <w:vAlign w:val="bottom"/>
          </w:tcPr>
          <w:p w14:paraId="1D69A34A" w14:textId="77777777" w:rsidR="00440FBF" w:rsidRDefault="00440FBF" w:rsidP="00440FBF">
            <w:pPr>
              <w:overflowPunct/>
              <w:autoSpaceDE/>
              <w:autoSpaceDN/>
              <w:adjustRightInd/>
              <w:jc w:val="center"/>
              <w:textAlignment w:val="auto"/>
              <w:rPr>
                <w:rFonts w:ascii="Arial" w:hAnsi="Arial" w:cs="Arial"/>
                <w:b/>
                <w:sz w:val="26"/>
                <w:szCs w:val="26"/>
              </w:rPr>
            </w:pPr>
          </w:p>
          <w:p w14:paraId="0C91E89E" w14:textId="0B85362C" w:rsidR="00926AA4" w:rsidRDefault="00440FBF" w:rsidP="00440FBF">
            <w:pPr>
              <w:overflowPunct/>
              <w:autoSpaceDE/>
              <w:autoSpaceDN/>
              <w:adjustRightInd/>
              <w:jc w:val="center"/>
              <w:textAlignment w:val="auto"/>
              <w:rPr>
                <w:rFonts w:ascii="Arial" w:hAnsi="Arial" w:cs="Arial"/>
                <w:b/>
                <w:sz w:val="26"/>
                <w:szCs w:val="26"/>
              </w:rPr>
            </w:pPr>
            <w:r>
              <w:rPr>
                <w:rFonts w:ascii="Arial" w:hAnsi="Arial" w:cs="Arial"/>
                <w:b/>
                <w:sz w:val="26"/>
                <w:szCs w:val="26"/>
              </w:rPr>
              <w:t>Condensed</w:t>
            </w:r>
            <w:r w:rsidR="00926AA4">
              <w:rPr>
                <w:rFonts w:ascii="Arial" w:hAnsi="Arial" w:cs="Arial"/>
                <w:b/>
                <w:sz w:val="26"/>
                <w:szCs w:val="26"/>
              </w:rPr>
              <w:t xml:space="preserve"> </w:t>
            </w:r>
            <w:r w:rsidRPr="00470786">
              <w:rPr>
                <w:rFonts w:ascii="Arial" w:hAnsi="Arial" w:cs="Arial"/>
                <w:b/>
                <w:sz w:val="26"/>
                <w:szCs w:val="26"/>
              </w:rPr>
              <w:t>Statement</w:t>
            </w:r>
            <w:r w:rsidR="00926AA4">
              <w:rPr>
                <w:rStyle w:val="FootnoteReference"/>
                <w:rFonts w:ascii="Arial" w:hAnsi="Arial" w:cs="Arial"/>
                <w:b/>
                <w:sz w:val="26"/>
                <w:szCs w:val="26"/>
              </w:rPr>
              <w:footnoteReference w:id="1"/>
            </w:r>
            <w:r w:rsidRPr="00470786">
              <w:rPr>
                <w:rFonts w:ascii="Arial" w:hAnsi="Arial" w:cs="Arial"/>
                <w:b/>
                <w:sz w:val="26"/>
                <w:szCs w:val="26"/>
              </w:rPr>
              <w:t xml:space="preserve"> </w:t>
            </w:r>
            <w:r w:rsidR="00926AA4">
              <w:rPr>
                <w:rFonts w:ascii="Arial" w:hAnsi="Arial" w:cs="Arial"/>
                <w:b/>
                <w:sz w:val="26"/>
                <w:szCs w:val="26"/>
              </w:rPr>
              <w:t>o</w:t>
            </w:r>
            <w:r w:rsidRPr="00470786">
              <w:rPr>
                <w:rFonts w:ascii="Arial" w:hAnsi="Arial" w:cs="Arial"/>
                <w:b/>
                <w:sz w:val="26"/>
                <w:szCs w:val="26"/>
              </w:rPr>
              <w:t xml:space="preserve">f </w:t>
            </w:r>
          </w:p>
          <w:p w14:paraId="2EA0E579" w14:textId="58E2B6F6" w:rsidR="00440FBF" w:rsidRDefault="00365E9F" w:rsidP="00440FBF">
            <w:pPr>
              <w:overflowPunct/>
              <w:autoSpaceDE/>
              <w:autoSpaceDN/>
              <w:adjustRightInd/>
              <w:jc w:val="center"/>
              <w:textAlignment w:val="auto"/>
              <w:rPr>
                <w:rFonts w:ascii="Arial" w:hAnsi="Arial" w:cs="Arial"/>
                <w:b/>
                <w:sz w:val="26"/>
                <w:szCs w:val="26"/>
              </w:rPr>
            </w:pPr>
            <w:r>
              <w:rPr>
                <w:rFonts w:ascii="Arial" w:hAnsi="Arial" w:cs="Arial"/>
                <w:b/>
                <w:sz w:val="26"/>
                <w:szCs w:val="26"/>
              </w:rPr>
              <w:t>Non-</w:t>
            </w:r>
            <w:proofErr w:type="spellStart"/>
            <w:r>
              <w:rPr>
                <w:rFonts w:ascii="Arial" w:hAnsi="Arial" w:cs="Arial"/>
                <w:b/>
                <w:sz w:val="26"/>
                <w:szCs w:val="26"/>
              </w:rPr>
              <w:t>Bypassable</w:t>
            </w:r>
            <w:proofErr w:type="spellEnd"/>
            <w:r>
              <w:rPr>
                <w:rFonts w:ascii="Arial" w:hAnsi="Arial" w:cs="Arial"/>
                <w:b/>
                <w:sz w:val="26"/>
                <w:szCs w:val="26"/>
              </w:rPr>
              <w:t xml:space="preserve"> </w:t>
            </w:r>
            <w:r w:rsidR="00440FBF" w:rsidRPr="00BE3155">
              <w:rPr>
                <w:rFonts w:ascii="Arial" w:hAnsi="Arial" w:cs="Arial"/>
                <w:b/>
                <w:sz w:val="26"/>
                <w:szCs w:val="26"/>
              </w:rPr>
              <w:t>Transmission Charge</w:t>
            </w:r>
            <w:r w:rsidR="00440FBF">
              <w:rPr>
                <w:rFonts w:ascii="Arial" w:hAnsi="Arial" w:cs="Arial"/>
                <w:b/>
                <w:sz w:val="26"/>
                <w:szCs w:val="26"/>
              </w:rPr>
              <w:t xml:space="preserve"> (</w:t>
            </w:r>
            <w:r w:rsidR="00D65E8F">
              <w:rPr>
                <w:rFonts w:ascii="Arial" w:hAnsi="Arial" w:cs="Arial"/>
                <w:b/>
                <w:sz w:val="26"/>
                <w:szCs w:val="26"/>
              </w:rPr>
              <w:t>NBT</w:t>
            </w:r>
            <w:r w:rsidR="00440FBF">
              <w:rPr>
                <w:rFonts w:ascii="Arial" w:hAnsi="Arial" w:cs="Arial"/>
                <w:b/>
                <w:sz w:val="26"/>
                <w:szCs w:val="26"/>
              </w:rPr>
              <w:t>)</w:t>
            </w:r>
          </w:p>
          <w:p w14:paraId="6D901A83" w14:textId="77777777" w:rsidR="00D50737"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14:paraId="4C55FF56" w14:textId="25BCADFC" w:rsidR="008B2A09" w:rsidRPr="00440FBF" w:rsidRDefault="00BF3CC6" w:rsidP="00710127">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440FBF" w:rsidRPr="00440FBF">
              <w:rPr>
                <w:rFonts w:ascii="Arial" w:hAnsi="Arial" w:cs="Arial"/>
                <w:b/>
                <w:sz w:val="26"/>
                <w:szCs w:val="26"/>
              </w:rPr>
              <w:t xml:space="preserve">or the </w:t>
            </w:r>
            <w:r>
              <w:rPr>
                <w:rFonts w:ascii="Arial" w:hAnsi="Arial" w:cs="Arial"/>
                <w:b/>
                <w:sz w:val="26"/>
                <w:szCs w:val="26"/>
              </w:rPr>
              <w:t>Six Months e</w:t>
            </w:r>
            <w:r w:rsidR="00440FBF" w:rsidRPr="00440FBF">
              <w:rPr>
                <w:rFonts w:ascii="Arial" w:hAnsi="Arial" w:cs="Arial"/>
                <w:b/>
                <w:sz w:val="26"/>
                <w:szCs w:val="26"/>
              </w:rPr>
              <w:t xml:space="preserve">nded </w:t>
            </w:r>
            <w:r w:rsidR="00710127">
              <w:rPr>
                <w:rFonts w:ascii="Arial" w:hAnsi="Arial" w:cs="Arial"/>
                <w:b/>
                <w:sz w:val="26"/>
                <w:szCs w:val="26"/>
              </w:rPr>
              <w:t>November</w:t>
            </w:r>
            <w:r w:rsidR="00440FBF" w:rsidRPr="00440FBF">
              <w:rPr>
                <w:rFonts w:ascii="Arial" w:hAnsi="Arial" w:cs="Arial"/>
                <w:b/>
                <w:sz w:val="26"/>
                <w:szCs w:val="26"/>
              </w:rPr>
              <w:t xml:space="preserve"> 3</w:t>
            </w:r>
            <w:r w:rsidR="00710127">
              <w:rPr>
                <w:rFonts w:ascii="Arial" w:hAnsi="Arial" w:cs="Arial"/>
                <w:b/>
                <w:sz w:val="26"/>
                <w:szCs w:val="26"/>
              </w:rPr>
              <w:t>0</w:t>
            </w:r>
            <w:r w:rsidR="00440FBF" w:rsidRPr="00440FBF">
              <w:rPr>
                <w:rFonts w:ascii="Arial" w:hAnsi="Arial" w:cs="Arial"/>
                <w:b/>
                <w:sz w:val="26"/>
                <w:szCs w:val="26"/>
              </w:rPr>
              <w:t>, 201</w:t>
            </w:r>
            <w:r w:rsidR="00B84E25">
              <w:rPr>
                <w:rFonts w:ascii="Arial" w:hAnsi="Arial" w:cs="Arial"/>
                <w:b/>
                <w:sz w:val="26"/>
                <w:szCs w:val="26"/>
              </w:rPr>
              <w:t>5</w:t>
            </w:r>
            <w:r w:rsidR="00926AA4">
              <w:rPr>
                <w:rStyle w:val="FootnoteReference"/>
                <w:rFonts w:ascii="Arial" w:hAnsi="Arial" w:cs="Arial"/>
                <w:b/>
                <w:sz w:val="26"/>
                <w:szCs w:val="26"/>
              </w:rPr>
              <w:footnoteReference w:id="2"/>
            </w:r>
          </w:p>
        </w:tc>
      </w:tr>
      <w:tr w:rsidR="008B2A09" w:rsidRPr="00BE0936" w14:paraId="3FCE82FE" w14:textId="77777777" w:rsidTr="00D60026">
        <w:trPr>
          <w:trHeight w:val="277"/>
          <w:jc w:val="center"/>
        </w:trPr>
        <w:tc>
          <w:tcPr>
            <w:tcW w:w="9315" w:type="dxa"/>
            <w:tcBorders>
              <w:top w:val="nil"/>
              <w:left w:val="nil"/>
              <w:bottom w:val="nil"/>
              <w:right w:val="nil"/>
            </w:tcBorders>
            <w:shd w:val="clear" w:color="auto" w:fill="auto"/>
            <w:noWrap/>
            <w:vAlign w:val="bottom"/>
          </w:tcPr>
          <w:p w14:paraId="746AC9D9" w14:textId="77777777" w:rsidR="008B2A09" w:rsidRPr="00440FBF" w:rsidRDefault="008B2A09" w:rsidP="00BF0E3F">
            <w:pPr>
              <w:overflowPunct/>
              <w:autoSpaceDE/>
              <w:autoSpaceDN/>
              <w:adjustRightInd/>
              <w:jc w:val="center"/>
              <w:textAlignment w:val="auto"/>
              <w:rPr>
                <w:rFonts w:ascii="Arial" w:hAnsi="Arial" w:cs="Arial"/>
                <w:b/>
                <w:sz w:val="26"/>
                <w:szCs w:val="26"/>
              </w:rPr>
            </w:pPr>
          </w:p>
        </w:tc>
      </w:tr>
    </w:tbl>
    <w:p w14:paraId="7084192C" w14:textId="77777777" w:rsidR="00B852ED" w:rsidRDefault="00B852ED">
      <w:pPr>
        <w:rPr>
          <w:rFonts w:ascii="Arial" w:hAnsi="Arial" w:cs="Arial"/>
          <w:szCs w:val="24"/>
        </w:rPr>
      </w:pPr>
    </w:p>
    <w:p w14:paraId="16C69117" w14:textId="77777777" w:rsidR="000A6589" w:rsidRDefault="000A6589">
      <w:pPr>
        <w:rPr>
          <w:rFonts w:ascii="Arial" w:hAnsi="Arial" w:cs="Arial"/>
          <w:szCs w:val="24"/>
        </w:rPr>
      </w:pPr>
    </w:p>
    <w:tbl>
      <w:tblPr>
        <w:tblW w:w="9513" w:type="dxa"/>
        <w:jc w:val="center"/>
        <w:tblLook w:val="0000" w:firstRow="0" w:lastRow="0" w:firstColumn="0" w:lastColumn="0" w:noHBand="0" w:noVBand="0"/>
      </w:tblPr>
      <w:tblGrid>
        <w:gridCol w:w="2718"/>
        <w:gridCol w:w="236"/>
        <w:gridCol w:w="2077"/>
        <w:gridCol w:w="270"/>
        <w:gridCol w:w="1976"/>
        <w:gridCol w:w="270"/>
        <w:gridCol w:w="1966"/>
      </w:tblGrid>
      <w:tr w:rsidR="000F0B3C" w:rsidRPr="00BE0936" w14:paraId="38B9916D" w14:textId="77777777" w:rsidTr="000132A6">
        <w:trPr>
          <w:trHeight w:val="288"/>
          <w:jc w:val="center"/>
        </w:trPr>
        <w:tc>
          <w:tcPr>
            <w:tcW w:w="2718" w:type="dxa"/>
            <w:tcBorders>
              <w:top w:val="nil"/>
              <w:left w:val="nil"/>
              <w:right w:val="nil"/>
            </w:tcBorders>
            <w:shd w:val="clear" w:color="auto" w:fill="auto"/>
            <w:noWrap/>
            <w:vAlign w:val="bottom"/>
          </w:tcPr>
          <w:p w14:paraId="5AB8EC9B" w14:textId="77777777" w:rsidR="000F0B3C" w:rsidRPr="00BE0936" w:rsidRDefault="000F0B3C" w:rsidP="005E047A">
            <w:pPr>
              <w:jc w:val="center"/>
              <w:rPr>
                <w:rFonts w:ascii="Arial" w:hAnsi="Arial" w:cs="Arial"/>
                <w:b/>
                <w:bCs/>
                <w:szCs w:val="24"/>
              </w:rPr>
            </w:pPr>
          </w:p>
        </w:tc>
        <w:tc>
          <w:tcPr>
            <w:tcW w:w="236" w:type="dxa"/>
            <w:tcBorders>
              <w:top w:val="nil"/>
              <w:left w:val="nil"/>
              <w:right w:val="nil"/>
            </w:tcBorders>
          </w:tcPr>
          <w:p w14:paraId="0359DA91" w14:textId="77777777" w:rsidR="000F0B3C" w:rsidRPr="00BE0936" w:rsidRDefault="000F0B3C" w:rsidP="005E047A">
            <w:pPr>
              <w:jc w:val="center"/>
              <w:rPr>
                <w:rFonts w:ascii="Arial" w:hAnsi="Arial" w:cs="Arial"/>
                <w:bCs/>
                <w:szCs w:val="24"/>
              </w:rPr>
            </w:pPr>
          </w:p>
        </w:tc>
        <w:tc>
          <w:tcPr>
            <w:tcW w:w="2077" w:type="dxa"/>
            <w:tcBorders>
              <w:top w:val="nil"/>
              <w:left w:val="nil"/>
              <w:right w:val="nil"/>
            </w:tcBorders>
            <w:shd w:val="clear" w:color="auto" w:fill="auto"/>
            <w:vAlign w:val="bottom"/>
          </w:tcPr>
          <w:p w14:paraId="2922A180" w14:textId="77777777" w:rsidR="000F0B3C" w:rsidRPr="00781D51" w:rsidRDefault="000F0B3C" w:rsidP="000F0B3C">
            <w:pPr>
              <w:jc w:val="center"/>
              <w:rPr>
                <w:rFonts w:ascii="Arial" w:hAnsi="Arial" w:cs="Arial"/>
                <w:bCs/>
                <w:szCs w:val="24"/>
              </w:rPr>
            </w:pPr>
          </w:p>
        </w:tc>
        <w:tc>
          <w:tcPr>
            <w:tcW w:w="270" w:type="dxa"/>
            <w:tcBorders>
              <w:top w:val="nil"/>
              <w:left w:val="nil"/>
              <w:right w:val="nil"/>
            </w:tcBorders>
          </w:tcPr>
          <w:p w14:paraId="309A8783" w14:textId="77777777" w:rsidR="000F0B3C" w:rsidRPr="00BE0936" w:rsidRDefault="000F0B3C" w:rsidP="005E047A">
            <w:pPr>
              <w:jc w:val="center"/>
              <w:rPr>
                <w:rFonts w:ascii="Arial" w:hAnsi="Arial" w:cs="Arial"/>
                <w:bCs/>
                <w:szCs w:val="24"/>
              </w:rPr>
            </w:pPr>
          </w:p>
        </w:tc>
        <w:tc>
          <w:tcPr>
            <w:tcW w:w="1976" w:type="dxa"/>
            <w:tcBorders>
              <w:top w:val="nil"/>
              <w:left w:val="nil"/>
              <w:right w:val="nil"/>
            </w:tcBorders>
            <w:shd w:val="clear" w:color="auto" w:fill="auto"/>
            <w:vAlign w:val="bottom"/>
          </w:tcPr>
          <w:p w14:paraId="334D8887" w14:textId="77777777" w:rsidR="000F0B3C" w:rsidRPr="00BE0936" w:rsidRDefault="000F0B3C" w:rsidP="005E047A">
            <w:pPr>
              <w:jc w:val="center"/>
              <w:rPr>
                <w:rFonts w:ascii="Arial" w:hAnsi="Arial" w:cs="Arial"/>
                <w:bCs/>
                <w:szCs w:val="24"/>
              </w:rPr>
            </w:pPr>
          </w:p>
        </w:tc>
        <w:tc>
          <w:tcPr>
            <w:tcW w:w="270" w:type="dxa"/>
            <w:tcBorders>
              <w:top w:val="nil"/>
              <w:left w:val="nil"/>
              <w:right w:val="nil"/>
            </w:tcBorders>
          </w:tcPr>
          <w:p w14:paraId="407B7803" w14:textId="77777777" w:rsidR="000F0B3C" w:rsidRPr="00BE0936" w:rsidRDefault="000F0B3C" w:rsidP="005E047A">
            <w:pPr>
              <w:jc w:val="center"/>
              <w:rPr>
                <w:rFonts w:ascii="Arial" w:hAnsi="Arial" w:cs="Arial"/>
                <w:bCs/>
                <w:szCs w:val="24"/>
              </w:rPr>
            </w:pPr>
          </w:p>
        </w:tc>
        <w:tc>
          <w:tcPr>
            <w:tcW w:w="1966" w:type="dxa"/>
            <w:tcBorders>
              <w:top w:val="nil"/>
              <w:left w:val="nil"/>
              <w:right w:val="nil"/>
            </w:tcBorders>
            <w:shd w:val="clear" w:color="auto" w:fill="auto"/>
            <w:vAlign w:val="bottom"/>
          </w:tcPr>
          <w:p w14:paraId="5BB7E42E" w14:textId="77777777" w:rsidR="000F0B3C" w:rsidRPr="005B4D6A" w:rsidRDefault="000F0B3C" w:rsidP="005E047A">
            <w:pPr>
              <w:jc w:val="center"/>
              <w:rPr>
                <w:rFonts w:ascii="Arial" w:hAnsi="Arial" w:cs="Arial"/>
                <w:b/>
                <w:bCs/>
                <w:szCs w:val="24"/>
              </w:rPr>
            </w:pPr>
          </w:p>
        </w:tc>
      </w:tr>
      <w:tr w:rsidR="000F0B3C" w:rsidRPr="00F7605F" w14:paraId="1C3722BA" w14:textId="77777777" w:rsidTr="000132A6">
        <w:trPr>
          <w:trHeight w:val="288"/>
          <w:jc w:val="center"/>
        </w:trPr>
        <w:tc>
          <w:tcPr>
            <w:tcW w:w="2718" w:type="dxa"/>
            <w:tcBorders>
              <w:top w:val="nil"/>
              <w:left w:val="nil"/>
              <w:bottom w:val="single" w:sz="12" w:space="0" w:color="auto"/>
              <w:right w:val="nil"/>
            </w:tcBorders>
            <w:shd w:val="clear" w:color="auto" w:fill="auto"/>
            <w:noWrap/>
            <w:vAlign w:val="bottom"/>
          </w:tcPr>
          <w:p w14:paraId="420CDED6" w14:textId="77777777" w:rsidR="000F0B3C" w:rsidRPr="006B29CF" w:rsidRDefault="000F0B3C" w:rsidP="00D42A94">
            <w:pPr>
              <w:rPr>
                <w:rFonts w:ascii="Arial" w:hAnsi="Arial" w:cs="Arial"/>
                <w:b/>
                <w:bCs/>
                <w:szCs w:val="24"/>
                <w:highlight w:val="yellow"/>
              </w:rPr>
            </w:pPr>
            <w:r w:rsidRPr="006B29CF">
              <w:rPr>
                <w:rFonts w:ascii="Arial" w:hAnsi="Arial" w:cs="Arial"/>
                <w:b/>
                <w:bCs/>
                <w:szCs w:val="24"/>
              </w:rPr>
              <w:t>Rate</w:t>
            </w:r>
            <w:r w:rsidR="00767BA0" w:rsidRPr="006B29CF">
              <w:rPr>
                <w:rFonts w:ascii="Arial" w:hAnsi="Arial" w:cs="Arial"/>
                <w:b/>
                <w:bCs/>
                <w:szCs w:val="24"/>
              </w:rPr>
              <w:t xml:space="preserve"> Class</w:t>
            </w:r>
          </w:p>
        </w:tc>
        <w:tc>
          <w:tcPr>
            <w:tcW w:w="236" w:type="dxa"/>
            <w:tcBorders>
              <w:top w:val="nil"/>
              <w:left w:val="nil"/>
              <w:right w:val="nil"/>
            </w:tcBorders>
          </w:tcPr>
          <w:p w14:paraId="02CD823A" w14:textId="77777777" w:rsidR="000F0B3C" w:rsidRPr="006B29CF" w:rsidRDefault="000F0B3C" w:rsidP="005E047A">
            <w:pPr>
              <w:jc w:val="center"/>
              <w:rPr>
                <w:rFonts w:ascii="Arial" w:hAnsi="Arial" w:cs="Arial"/>
                <w:bCs/>
                <w:szCs w:val="24"/>
                <w:highlight w:val="yellow"/>
              </w:rPr>
            </w:pPr>
          </w:p>
        </w:tc>
        <w:tc>
          <w:tcPr>
            <w:tcW w:w="2077" w:type="dxa"/>
            <w:tcBorders>
              <w:top w:val="nil"/>
              <w:left w:val="nil"/>
              <w:bottom w:val="single" w:sz="12" w:space="0" w:color="auto"/>
              <w:right w:val="nil"/>
            </w:tcBorders>
            <w:shd w:val="clear" w:color="auto" w:fill="auto"/>
            <w:vAlign w:val="bottom"/>
          </w:tcPr>
          <w:p w14:paraId="21098D51" w14:textId="77777777" w:rsidR="00044925" w:rsidRPr="006B29CF" w:rsidRDefault="00D65E8F" w:rsidP="000F0B3C">
            <w:pPr>
              <w:jc w:val="center"/>
              <w:rPr>
                <w:rFonts w:ascii="Arial" w:hAnsi="Arial" w:cs="Arial"/>
                <w:b/>
                <w:bCs/>
                <w:szCs w:val="24"/>
              </w:rPr>
            </w:pPr>
            <w:r w:rsidRPr="006B29CF">
              <w:rPr>
                <w:rFonts w:ascii="Arial" w:hAnsi="Arial" w:cs="Arial"/>
                <w:b/>
                <w:bCs/>
                <w:szCs w:val="24"/>
              </w:rPr>
              <w:t>NBT</w:t>
            </w:r>
            <w:r w:rsidR="00767BA0" w:rsidRPr="006B29CF">
              <w:rPr>
                <w:rFonts w:ascii="Arial" w:hAnsi="Arial" w:cs="Arial"/>
                <w:b/>
                <w:bCs/>
                <w:szCs w:val="24"/>
              </w:rPr>
              <w:t xml:space="preserve"> </w:t>
            </w:r>
          </w:p>
          <w:p w14:paraId="067F1048" w14:textId="20A5C403" w:rsidR="000F0B3C" w:rsidRPr="006B29CF" w:rsidRDefault="00767BA0" w:rsidP="000F0B3C">
            <w:pPr>
              <w:jc w:val="center"/>
              <w:rPr>
                <w:rFonts w:ascii="Arial" w:hAnsi="Arial" w:cs="Arial"/>
                <w:b/>
                <w:bCs/>
                <w:szCs w:val="24"/>
              </w:rPr>
            </w:pPr>
            <w:r w:rsidRPr="006B29CF">
              <w:rPr>
                <w:rFonts w:ascii="Arial" w:hAnsi="Arial" w:cs="Arial"/>
                <w:b/>
                <w:bCs/>
                <w:szCs w:val="24"/>
              </w:rPr>
              <w:t>Revenue</w:t>
            </w:r>
          </w:p>
        </w:tc>
        <w:tc>
          <w:tcPr>
            <w:tcW w:w="270" w:type="dxa"/>
            <w:tcBorders>
              <w:top w:val="nil"/>
              <w:left w:val="nil"/>
              <w:right w:val="nil"/>
            </w:tcBorders>
          </w:tcPr>
          <w:p w14:paraId="53A058F2" w14:textId="77777777" w:rsidR="000F0B3C" w:rsidRPr="006B29CF" w:rsidRDefault="000F0B3C" w:rsidP="005E047A">
            <w:pPr>
              <w:jc w:val="center"/>
              <w:rPr>
                <w:rFonts w:ascii="Arial" w:hAnsi="Arial" w:cs="Arial"/>
                <w:bCs/>
                <w:szCs w:val="24"/>
                <w:highlight w:val="yellow"/>
              </w:rPr>
            </w:pPr>
          </w:p>
        </w:tc>
        <w:tc>
          <w:tcPr>
            <w:tcW w:w="1976" w:type="dxa"/>
            <w:tcBorders>
              <w:top w:val="nil"/>
              <w:left w:val="nil"/>
              <w:bottom w:val="single" w:sz="12" w:space="0" w:color="auto"/>
              <w:right w:val="nil"/>
            </w:tcBorders>
            <w:shd w:val="clear" w:color="auto" w:fill="auto"/>
            <w:vAlign w:val="bottom"/>
          </w:tcPr>
          <w:p w14:paraId="49811DFF" w14:textId="77777777" w:rsidR="00044925" w:rsidRPr="006B29CF" w:rsidRDefault="00D65E8F" w:rsidP="005E047A">
            <w:pPr>
              <w:jc w:val="center"/>
              <w:rPr>
                <w:rFonts w:ascii="Arial" w:hAnsi="Arial" w:cs="Arial"/>
                <w:b/>
                <w:bCs/>
                <w:szCs w:val="24"/>
              </w:rPr>
            </w:pPr>
            <w:r w:rsidRPr="006B29CF">
              <w:rPr>
                <w:rFonts w:ascii="Arial" w:hAnsi="Arial" w:cs="Arial"/>
                <w:b/>
                <w:bCs/>
                <w:szCs w:val="24"/>
              </w:rPr>
              <w:t>NBT</w:t>
            </w:r>
            <w:r w:rsidR="00767BA0" w:rsidRPr="006B29CF">
              <w:rPr>
                <w:rFonts w:ascii="Arial" w:hAnsi="Arial" w:cs="Arial"/>
                <w:b/>
                <w:bCs/>
                <w:szCs w:val="24"/>
              </w:rPr>
              <w:t xml:space="preserve"> </w:t>
            </w:r>
          </w:p>
          <w:p w14:paraId="7968908E" w14:textId="77777777" w:rsidR="000F0B3C" w:rsidRPr="006B29CF" w:rsidRDefault="00767BA0" w:rsidP="005E047A">
            <w:pPr>
              <w:jc w:val="center"/>
              <w:rPr>
                <w:rFonts w:ascii="Arial" w:hAnsi="Arial" w:cs="Arial"/>
                <w:b/>
                <w:bCs/>
                <w:szCs w:val="24"/>
              </w:rPr>
            </w:pPr>
            <w:r w:rsidRPr="006B29CF">
              <w:rPr>
                <w:rFonts w:ascii="Arial" w:hAnsi="Arial" w:cs="Arial"/>
                <w:b/>
                <w:bCs/>
                <w:szCs w:val="24"/>
              </w:rPr>
              <w:t>Costs</w:t>
            </w:r>
          </w:p>
        </w:tc>
        <w:tc>
          <w:tcPr>
            <w:tcW w:w="270" w:type="dxa"/>
            <w:tcBorders>
              <w:top w:val="nil"/>
              <w:left w:val="nil"/>
              <w:right w:val="nil"/>
            </w:tcBorders>
          </w:tcPr>
          <w:p w14:paraId="3B7E9E62" w14:textId="77777777" w:rsidR="000F0B3C" w:rsidRPr="006B29CF" w:rsidRDefault="000F0B3C" w:rsidP="005E047A">
            <w:pPr>
              <w:jc w:val="center"/>
              <w:rPr>
                <w:rFonts w:ascii="Arial" w:hAnsi="Arial" w:cs="Arial"/>
                <w:bCs/>
                <w:szCs w:val="24"/>
                <w:highlight w:val="yellow"/>
              </w:rPr>
            </w:pPr>
          </w:p>
        </w:tc>
        <w:tc>
          <w:tcPr>
            <w:tcW w:w="1966" w:type="dxa"/>
            <w:tcBorders>
              <w:top w:val="nil"/>
              <w:left w:val="nil"/>
              <w:bottom w:val="single" w:sz="12" w:space="0" w:color="auto"/>
              <w:right w:val="nil"/>
            </w:tcBorders>
            <w:shd w:val="clear" w:color="auto" w:fill="auto"/>
            <w:vAlign w:val="bottom"/>
          </w:tcPr>
          <w:p w14:paraId="038EE6C1" w14:textId="77777777" w:rsidR="000F0B3C" w:rsidRPr="006B29CF" w:rsidRDefault="00044925" w:rsidP="005E047A">
            <w:pPr>
              <w:jc w:val="center"/>
              <w:rPr>
                <w:rFonts w:ascii="Arial" w:hAnsi="Arial" w:cs="Arial"/>
                <w:b/>
                <w:bCs/>
                <w:szCs w:val="24"/>
              </w:rPr>
            </w:pPr>
            <w:r w:rsidRPr="006B29CF">
              <w:rPr>
                <w:rFonts w:ascii="Arial" w:hAnsi="Arial" w:cs="Arial"/>
                <w:b/>
                <w:bCs/>
                <w:szCs w:val="24"/>
              </w:rPr>
              <w:t xml:space="preserve">Over/(Under) </w:t>
            </w:r>
            <w:r w:rsidR="000F0B3C" w:rsidRPr="006B29CF">
              <w:rPr>
                <w:rFonts w:ascii="Arial" w:hAnsi="Arial" w:cs="Arial"/>
                <w:b/>
                <w:bCs/>
                <w:szCs w:val="24"/>
              </w:rPr>
              <w:t>Collections</w:t>
            </w:r>
          </w:p>
        </w:tc>
      </w:tr>
      <w:tr w:rsidR="000F0B3C" w:rsidRPr="00F7605F" w14:paraId="1116AFB5" w14:textId="77777777" w:rsidTr="000132A6">
        <w:trPr>
          <w:trHeight w:val="300"/>
          <w:jc w:val="center"/>
        </w:trPr>
        <w:tc>
          <w:tcPr>
            <w:tcW w:w="2718" w:type="dxa"/>
            <w:tcBorders>
              <w:top w:val="single" w:sz="12" w:space="0" w:color="auto"/>
              <w:left w:val="nil"/>
              <w:bottom w:val="nil"/>
              <w:right w:val="nil"/>
            </w:tcBorders>
            <w:shd w:val="clear" w:color="auto" w:fill="auto"/>
            <w:noWrap/>
            <w:vAlign w:val="bottom"/>
          </w:tcPr>
          <w:p w14:paraId="0A3BFE48" w14:textId="77777777" w:rsidR="000F0B3C" w:rsidRPr="00F7605F" w:rsidRDefault="000F0B3C" w:rsidP="005E047A">
            <w:pPr>
              <w:jc w:val="center"/>
              <w:rPr>
                <w:rFonts w:ascii="Arial" w:hAnsi="Arial" w:cs="Arial"/>
                <w:b/>
                <w:bCs/>
                <w:szCs w:val="24"/>
                <w:highlight w:val="yellow"/>
              </w:rPr>
            </w:pPr>
          </w:p>
        </w:tc>
        <w:tc>
          <w:tcPr>
            <w:tcW w:w="236" w:type="dxa"/>
            <w:tcBorders>
              <w:left w:val="nil"/>
              <w:bottom w:val="nil"/>
              <w:right w:val="nil"/>
            </w:tcBorders>
          </w:tcPr>
          <w:p w14:paraId="3A96D949" w14:textId="77777777" w:rsidR="000F0B3C" w:rsidRPr="00F7605F" w:rsidRDefault="000F0B3C" w:rsidP="005E047A">
            <w:pPr>
              <w:jc w:val="center"/>
              <w:rPr>
                <w:rFonts w:ascii="Arial" w:hAnsi="Arial" w:cs="Arial"/>
                <w:bCs/>
                <w:szCs w:val="24"/>
                <w:highlight w:val="yellow"/>
              </w:rPr>
            </w:pPr>
          </w:p>
        </w:tc>
        <w:tc>
          <w:tcPr>
            <w:tcW w:w="2077" w:type="dxa"/>
            <w:tcBorders>
              <w:top w:val="single" w:sz="12" w:space="0" w:color="auto"/>
              <w:left w:val="nil"/>
              <w:bottom w:val="nil"/>
              <w:right w:val="nil"/>
            </w:tcBorders>
            <w:shd w:val="clear" w:color="auto" w:fill="auto"/>
            <w:vAlign w:val="bottom"/>
          </w:tcPr>
          <w:p w14:paraId="481AAA26" w14:textId="77777777" w:rsidR="000F0B3C" w:rsidRPr="00BE72AB" w:rsidRDefault="00767BA0" w:rsidP="00DD52FF">
            <w:pPr>
              <w:jc w:val="center"/>
              <w:rPr>
                <w:rFonts w:ascii="Arial" w:hAnsi="Arial" w:cs="Arial"/>
                <w:bCs/>
                <w:sz w:val="20"/>
              </w:rPr>
            </w:pPr>
            <w:r w:rsidRPr="00BE72AB">
              <w:rPr>
                <w:rFonts w:ascii="Arial" w:hAnsi="Arial" w:cs="Arial"/>
                <w:bCs/>
                <w:sz w:val="20"/>
              </w:rPr>
              <w:t>(1)</w:t>
            </w:r>
          </w:p>
        </w:tc>
        <w:tc>
          <w:tcPr>
            <w:tcW w:w="270" w:type="dxa"/>
            <w:tcBorders>
              <w:left w:val="nil"/>
              <w:bottom w:val="nil"/>
              <w:right w:val="nil"/>
            </w:tcBorders>
          </w:tcPr>
          <w:p w14:paraId="41FE4B79" w14:textId="77777777" w:rsidR="000F0B3C" w:rsidRPr="00BE72AB" w:rsidRDefault="000F0B3C" w:rsidP="005E047A">
            <w:pPr>
              <w:jc w:val="center"/>
              <w:rPr>
                <w:rFonts w:ascii="Arial" w:hAnsi="Arial" w:cs="Arial"/>
                <w:bCs/>
                <w:sz w:val="20"/>
                <w:highlight w:val="yellow"/>
              </w:rPr>
            </w:pPr>
          </w:p>
        </w:tc>
        <w:tc>
          <w:tcPr>
            <w:tcW w:w="1976" w:type="dxa"/>
            <w:tcBorders>
              <w:top w:val="single" w:sz="12" w:space="0" w:color="auto"/>
              <w:left w:val="nil"/>
              <w:bottom w:val="nil"/>
              <w:right w:val="nil"/>
            </w:tcBorders>
            <w:shd w:val="clear" w:color="auto" w:fill="auto"/>
            <w:vAlign w:val="bottom"/>
          </w:tcPr>
          <w:p w14:paraId="53A2285D" w14:textId="77777777" w:rsidR="000F0B3C" w:rsidRPr="00BE72AB" w:rsidRDefault="00767BA0" w:rsidP="00DD52FF">
            <w:pPr>
              <w:jc w:val="center"/>
              <w:rPr>
                <w:rFonts w:ascii="Arial" w:hAnsi="Arial" w:cs="Arial"/>
                <w:bCs/>
                <w:sz w:val="20"/>
              </w:rPr>
            </w:pPr>
            <w:r w:rsidRPr="00BE72AB">
              <w:rPr>
                <w:rFonts w:ascii="Arial" w:hAnsi="Arial" w:cs="Arial"/>
                <w:bCs/>
                <w:sz w:val="20"/>
              </w:rPr>
              <w:t>(2)</w:t>
            </w:r>
          </w:p>
        </w:tc>
        <w:tc>
          <w:tcPr>
            <w:tcW w:w="270" w:type="dxa"/>
            <w:tcBorders>
              <w:left w:val="nil"/>
              <w:bottom w:val="nil"/>
              <w:right w:val="nil"/>
            </w:tcBorders>
          </w:tcPr>
          <w:p w14:paraId="0EF35599" w14:textId="77777777" w:rsidR="000F0B3C" w:rsidRPr="00BE72AB" w:rsidRDefault="000F0B3C" w:rsidP="005E047A">
            <w:pPr>
              <w:jc w:val="center"/>
              <w:rPr>
                <w:rFonts w:ascii="Arial" w:hAnsi="Arial" w:cs="Arial"/>
                <w:bCs/>
                <w:sz w:val="20"/>
                <w:highlight w:val="yellow"/>
              </w:rPr>
            </w:pPr>
          </w:p>
        </w:tc>
        <w:tc>
          <w:tcPr>
            <w:tcW w:w="1966" w:type="dxa"/>
            <w:tcBorders>
              <w:top w:val="single" w:sz="12" w:space="0" w:color="auto"/>
              <w:left w:val="nil"/>
              <w:bottom w:val="nil"/>
              <w:right w:val="nil"/>
            </w:tcBorders>
            <w:shd w:val="clear" w:color="auto" w:fill="auto"/>
            <w:vAlign w:val="bottom"/>
          </w:tcPr>
          <w:p w14:paraId="282791F2" w14:textId="6EF55489" w:rsidR="000F0B3C" w:rsidRPr="00BE72AB" w:rsidRDefault="00767BA0" w:rsidP="00DD52FF">
            <w:pPr>
              <w:jc w:val="center"/>
              <w:rPr>
                <w:rFonts w:ascii="Arial" w:hAnsi="Arial" w:cs="Arial"/>
                <w:bCs/>
                <w:sz w:val="20"/>
              </w:rPr>
            </w:pPr>
            <w:r w:rsidRPr="00BE72AB">
              <w:rPr>
                <w:rFonts w:ascii="Arial" w:hAnsi="Arial" w:cs="Arial"/>
                <w:bCs/>
                <w:sz w:val="20"/>
              </w:rPr>
              <w:t>(3)</w:t>
            </w:r>
            <w:r w:rsidR="00BE72AB">
              <w:rPr>
                <w:rFonts w:ascii="Arial" w:hAnsi="Arial" w:cs="Arial"/>
                <w:bCs/>
                <w:sz w:val="20"/>
              </w:rPr>
              <w:t xml:space="preserve"> </w:t>
            </w:r>
            <w:r w:rsidRPr="00BE72AB">
              <w:rPr>
                <w:rFonts w:ascii="Arial" w:hAnsi="Arial" w:cs="Arial"/>
                <w:bCs/>
                <w:sz w:val="20"/>
              </w:rPr>
              <w:t>=</w:t>
            </w:r>
            <w:r w:rsidR="00BE72AB">
              <w:rPr>
                <w:rFonts w:ascii="Arial" w:hAnsi="Arial" w:cs="Arial"/>
                <w:bCs/>
                <w:sz w:val="20"/>
              </w:rPr>
              <w:t xml:space="preserve"> </w:t>
            </w:r>
            <w:r w:rsidRPr="00BE72AB">
              <w:rPr>
                <w:rFonts w:ascii="Arial" w:hAnsi="Arial" w:cs="Arial"/>
                <w:bCs/>
                <w:sz w:val="20"/>
              </w:rPr>
              <w:t>(1)</w:t>
            </w:r>
            <w:r w:rsidR="00BE72AB">
              <w:rPr>
                <w:rFonts w:ascii="Arial" w:hAnsi="Arial" w:cs="Arial"/>
                <w:bCs/>
                <w:sz w:val="20"/>
              </w:rPr>
              <w:t xml:space="preserve"> </w:t>
            </w:r>
            <w:r w:rsidRPr="00BE72AB">
              <w:rPr>
                <w:rFonts w:ascii="Arial" w:hAnsi="Arial" w:cs="Arial"/>
                <w:bCs/>
                <w:sz w:val="20"/>
              </w:rPr>
              <w:t>-</w:t>
            </w:r>
            <w:r w:rsidR="00BE72AB">
              <w:rPr>
                <w:rFonts w:ascii="Arial" w:hAnsi="Arial" w:cs="Arial"/>
                <w:bCs/>
                <w:sz w:val="20"/>
              </w:rPr>
              <w:t xml:space="preserve"> </w:t>
            </w:r>
            <w:r w:rsidRPr="00BE72AB">
              <w:rPr>
                <w:rFonts w:ascii="Arial" w:hAnsi="Arial" w:cs="Arial"/>
                <w:bCs/>
                <w:sz w:val="20"/>
              </w:rPr>
              <w:t>(2)</w:t>
            </w:r>
          </w:p>
        </w:tc>
      </w:tr>
      <w:tr w:rsidR="000F0B3C" w:rsidRPr="00F7605F" w14:paraId="46B200F8" w14:textId="77777777" w:rsidTr="000132A6">
        <w:trPr>
          <w:trHeight w:val="288"/>
          <w:jc w:val="center"/>
        </w:trPr>
        <w:tc>
          <w:tcPr>
            <w:tcW w:w="2718" w:type="dxa"/>
            <w:tcBorders>
              <w:top w:val="nil"/>
              <w:left w:val="nil"/>
              <w:bottom w:val="nil"/>
              <w:right w:val="nil"/>
            </w:tcBorders>
            <w:shd w:val="clear" w:color="auto" w:fill="auto"/>
            <w:noWrap/>
            <w:vAlign w:val="bottom"/>
          </w:tcPr>
          <w:p w14:paraId="4AFE23E6" w14:textId="77777777" w:rsidR="000F0B3C" w:rsidRPr="00F7605F" w:rsidRDefault="000F0B3C" w:rsidP="00C7694F">
            <w:pPr>
              <w:ind w:right="-180"/>
              <w:rPr>
                <w:rFonts w:ascii="Arial" w:hAnsi="Arial" w:cs="Arial"/>
                <w:szCs w:val="24"/>
                <w:highlight w:val="yellow"/>
              </w:rPr>
            </w:pPr>
          </w:p>
        </w:tc>
        <w:tc>
          <w:tcPr>
            <w:tcW w:w="236" w:type="dxa"/>
            <w:tcBorders>
              <w:top w:val="nil"/>
              <w:left w:val="nil"/>
              <w:bottom w:val="nil"/>
              <w:right w:val="nil"/>
            </w:tcBorders>
          </w:tcPr>
          <w:p w14:paraId="12B4137C" w14:textId="77777777" w:rsidR="000F0B3C" w:rsidRPr="00F7605F" w:rsidRDefault="000F0B3C" w:rsidP="00770CB2">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215C493A" w14:textId="77777777" w:rsidR="000F0B3C" w:rsidRPr="00781D51" w:rsidRDefault="000F0B3C" w:rsidP="00921081">
            <w:pPr>
              <w:tabs>
                <w:tab w:val="decimal" w:pos="1569"/>
              </w:tabs>
              <w:rPr>
                <w:rFonts w:ascii="Arial" w:hAnsi="Arial" w:cs="Arial"/>
                <w:szCs w:val="24"/>
              </w:rPr>
            </w:pPr>
          </w:p>
        </w:tc>
        <w:tc>
          <w:tcPr>
            <w:tcW w:w="270" w:type="dxa"/>
            <w:tcBorders>
              <w:top w:val="nil"/>
              <w:left w:val="nil"/>
              <w:bottom w:val="nil"/>
              <w:right w:val="nil"/>
            </w:tcBorders>
          </w:tcPr>
          <w:p w14:paraId="6C71ECFE"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699DAB94" w14:textId="77777777" w:rsidR="000F0B3C" w:rsidRPr="00781D51" w:rsidRDefault="000F0B3C" w:rsidP="00B61414">
            <w:pPr>
              <w:tabs>
                <w:tab w:val="decimal" w:pos="1476"/>
              </w:tabs>
              <w:rPr>
                <w:rFonts w:ascii="Arial" w:hAnsi="Arial" w:cs="Arial"/>
                <w:szCs w:val="24"/>
              </w:rPr>
            </w:pPr>
          </w:p>
        </w:tc>
        <w:tc>
          <w:tcPr>
            <w:tcW w:w="270" w:type="dxa"/>
            <w:tcBorders>
              <w:top w:val="nil"/>
              <w:left w:val="nil"/>
              <w:bottom w:val="nil"/>
              <w:right w:val="nil"/>
            </w:tcBorders>
          </w:tcPr>
          <w:p w14:paraId="60CC4EC4" w14:textId="77777777" w:rsidR="000F0B3C" w:rsidRPr="00F7605F" w:rsidRDefault="000F0B3C" w:rsidP="00D60026">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18F694AA" w14:textId="77777777" w:rsidR="000F0B3C" w:rsidRPr="00F7605F" w:rsidRDefault="000F0B3C" w:rsidP="00B61414">
            <w:pPr>
              <w:tabs>
                <w:tab w:val="decimal" w:pos="1431"/>
              </w:tabs>
              <w:rPr>
                <w:rFonts w:ascii="Arial" w:hAnsi="Arial" w:cs="Arial"/>
                <w:szCs w:val="24"/>
                <w:highlight w:val="yellow"/>
              </w:rPr>
            </w:pPr>
          </w:p>
        </w:tc>
      </w:tr>
      <w:tr w:rsidR="000F0B3C" w:rsidRPr="00F7605F" w14:paraId="258E9CB4" w14:textId="77777777" w:rsidTr="000132A6">
        <w:trPr>
          <w:trHeight w:val="288"/>
          <w:jc w:val="center"/>
        </w:trPr>
        <w:tc>
          <w:tcPr>
            <w:tcW w:w="2718" w:type="dxa"/>
            <w:tcBorders>
              <w:top w:val="nil"/>
              <w:left w:val="nil"/>
              <w:bottom w:val="nil"/>
              <w:right w:val="nil"/>
            </w:tcBorders>
            <w:shd w:val="clear" w:color="auto" w:fill="auto"/>
            <w:noWrap/>
            <w:vAlign w:val="bottom"/>
          </w:tcPr>
          <w:p w14:paraId="35DC0150" w14:textId="77777777" w:rsidR="000F0B3C" w:rsidRPr="00F7605F" w:rsidRDefault="000F0B3C" w:rsidP="00E75F1F">
            <w:pPr>
              <w:rPr>
                <w:rFonts w:ascii="Arial" w:hAnsi="Arial" w:cs="Arial"/>
                <w:szCs w:val="24"/>
                <w:highlight w:val="yellow"/>
              </w:rPr>
            </w:pPr>
            <w:r w:rsidRPr="00781D51">
              <w:rPr>
                <w:rFonts w:ascii="Arial" w:hAnsi="Arial" w:cs="Arial"/>
                <w:szCs w:val="24"/>
              </w:rPr>
              <w:t>Rate</w:t>
            </w:r>
            <w:r w:rsidR="006A66FE" w:rsidRPr="00781D51">
              <w:rPr>
                <w:rFonts w:ascii="Arial" w:hAnsi="Arial" w:cs="Arial"/>
                <w:szCs w:val="24"/>
              </w:rPr>
              <w:t>s</w:t>
            </w:r>
            <w:r w:rsidRPr="00781D51">
              <w:rPr>
                <w:rFonts w:ascii="Arial" w:hAnsi="Arial" w:cs="Arial"/>
                <w:szCs w:val="24"/>
              </w:rPr>
              <w:t xml:space="preserve"> R</w:t>
            </w:r>
            <w:r w:rsidR="00710127" w:rsidRPr="00781D51">
              <w:rPr>
                <w:rFonts w:ascii="Arial" w:hAnsi="Arial" w:cs="Arial"/>
                <w:szCs w:val="24"/>
              </w:rPr>
              <w:t>, RH</w:t>
            </w:r>
          </w:p>
        </w:tc>
        <w:tc>
          <w:tcPr>
            <w:tcW w:w="236" w:type="dxa"/>
            <w:tcBorders>
              <w:top w:val="nil"/>
              <w:left w:val="nil"/>
              <w:bottom w:val="nil"/>
              <w:right w:val="nil"/>
            </w:tcBorders>
          </w:tcPr>
          <w:p w14:paraId="542B1E06"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152B9C5B" w14:textId="55509483" w:rsidR="000F0B3C" w:rsidRPr="00F7605F" w:rsidRDefault="001C4463" w:rsidP="000132A6">
            <w:pPr>
              <w:jc w:val="right"/>
              <w:rPr>
                <w:rFonts w:ascii="Arial" w:hAnsi="Arial" w:cs="Arial"/>
                <w:szCs w:val="24"/>
                <w:highlight w:val="yellow"/>
              </w:rPr>
            </w:pPr>
            <w:r w:rsidRPr="00BE3155">
              <w:rPr>
                <w:rFonts w:ascii="Arial" w:hAnsi="Arial" w:cs="Arial"/>
                <w:szCs w:val="24"/>
              </w:rPr>
              <w:t xml:space="preserve">  </w:t>
            </w:r>
            <w:r w:rsidR="000F0B3C" w:rsidRPr="00BE3155">
              <w:rPr>
                <w:rFonts w:ascii="Arial" w:hAnsi="Arial" w:cs="Arial"/>
                <w:szCs w:val="24"/>
              </w:rPr>
              <w:t xml:space="preserve">$   </w:t>
            </w:r>
            <w:r w:rsidR="00BE3155" w:rsidRPr="00BE3155">
              <w:rPr>
                <w:rFonts w:ascii="Arial" w:hAnsi="Arial" w:cs="Arial"/>
                <w:szCs w:val="24"/>
              </w:rPr>
              <w:t>12</w:t>
            </w:r>
            <w:r w:rsidR="000F0B3C" w:rsidRPr="00BE3155">
              <w:rPr>
                <w:rFonts w:ascii="Arial" w:hAnsi="Arial" w:cs="Arial"/>
                <w:szCs w:val="24"/>
              </w:rPr>
              <w:t>,</w:t>
            </w:r>
            <w:r w:rsidR="00BE3155" w:rsidRPr="00BE3155">
              <w:rPr>
                <w:rFonts w:ascii="Arial" w:hAnsi="Arial" w:cs="Arial"/>
                <w:szCs w:val="24"/>
              </w:rPr>
              <w:t>135</w:t>
            </w:r>
            <w:r w:rsidR="000F0B3C" w:rsidRPr="00BE3155">
              <w:rPr>
                <w:rFonts w:ascii="Arial" w:hAnsi="Arial" w:cs="Arial"/>
                <w:szCs w:val="24"/>
              </w:rPr>
              <w:t>,</w:t>
            </w:r>
            <w:r w:rsidR="00BE3155" w:rsidRPr="00BE3155">
              <w:rPr>
                <w:rFonts w:ascii="Arial" w:hAnsi="Arial" w:cs="Arial"/>
                <w:szCs w:val="24"/>
              </w:rPr>
              <w:t>789</w:t>
            </w:r>
          </w:p>
        </w:tc>
        <w:tc>
          <w:tcPr>
            <w:tcW w:w="270" w:type="dxa"/>
            <w:tcBorders>
              <w:top w:val="nil"/>
              <w:left w:val="nil"/>
              <w:bottom w:val="nil"/>
              <w:right w:val="nil"/>
            </w:tcBorders>
          </w:tcPr>
          <w:p w14:paraId="451A102C"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13EB3BE8" w14:textId="2E580943" w:rsidR="000F0B3C" w:rsidRPr="0029722F" w:rsidRDefault="000F0B3C" w:rsidP="000132A6">
            <w:pPr>
              <w:tabs>
                <w:tab w:val="decimal" w:pos="1476"/>
              </w:tabs>
              <w:jc w:val="right"/>
              <w:rPr>
                <w:rFonts w:ascii="Arial" w:hAnsi="Arial" w:cs="Arial"/>
                <w:szCs w:val="24"/>
              </w:rPr>
            </w:pPr>
            <w:r w:rsidRPr="0029722F">
              <w:rPr>
                <w:rFonts w:ascii="Arial" w:hAnsi="Arial" w:cs="Arial"/>
                <w:szCs w:val="24"/>
              </w:rPr>
              <w:t xml:space="preserve"> $</w:t>
            </w:r>
            <w:r w:rsidR="001C4463" w:rsidRPr="0029722F">
              <w:rPr>
                <w:rFonts w:ascii="Arial" w:hAnsi="Arial" w:cs="Arial"/>
                <w:szCs w:val="24"/>
              </w:rPr>
              <w:t xml:space="preserve"> </w:t>
            </w:r>
            <w:r w:rsidRPr="0029722F">
              <w:rPr>
                <w:rFonts w:ascii="Arial" w:hAnsi="Arial" w:cs="Arial"/>
                <w:szCs w:val="24"/>
              </w:rPr>
              <w:t xml:space="preserve">  </w:t>
            </w:r>
            <w:r w:rsidR="00BE3155" w:rsidRPr="0029722F">
              <w:rPr>
                <w:rFonts w:ascii="Arial" w:hAnsi="Arial" w:cs="Arial"/>
                <w:szCs w:val="24"/>
              </w:rPr>
              <w:t>14</w:t>
            </w:r>
            <w:r w:rsidRPr="0029722F">
              <w:rPr>
                <w:rFonts w:ascii="Arial" w:hAnsi="Arial" w:cs="Arial"/>
                <w:szCs w:val="24"/>
              </w:rPr>
              <w:t>,</w:t>
            </w:r>
            <w:r w:rsidR="00BE3155" w:rsidRPr="0029722F">
              <w:rPr>
                <w:rFonts w:ascii="Arial" w:hAnsi="Arial" w:cs="Arial"/>
                <w:szCs w:val="24"/>
              </w:rPr>
              <w:t>212</w:t>
            </w:r>
            <w:r w:rsidRPr="0029722F">
              <w:rPr>
                <w:rFonts w:ascii="Arial" w:hAnsi="Arial" w:cs="Arial"/>
                <w:szCs w:val="24"/>
              </w:rPr>
              <w:t>,</w:t>
            </w:r>
            <w:r w:rsidR="00BE3155" w:rsidRPr="0029722F">
              <w:rPr>
                <w:rFonts w:ascii="Arial" w:hAnsi="Arial" w:cs="Arial"/>
                <w:szCs w:val="24"/>
              </w:rPr>
              <w:t>522</w:t>
            </w:r>
            <w:r w:rsidRPr="0029722F">
              <w:rPr>
                <w:rFonts w:ascii="Arial" w:hAnsi="Arial" w:cs="Arial"/>
                <w:szCs w:val="24"/>
              </w:rPr>
              <w:t xml:space="preserve"> </w:t>
            </w:r>
          </w:p>
        </w:tc>
        <w:tc>
          <w:tcPr>
            <w:tcW w:w="270" w:type="dxa"/>
            <w:tcBorders>
              <w:top w:val="nil"/>
              <w:left w:val="nil"/>
              <w:bottom w:val="nil"/>
              <w:right w:val="nil"/>
            </w:tcBorders>
          </w:tcPr>
          <w:p w14:paraId="4265F78B"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5CD6552E" w14:textId="77777777" w:rsidR="000F0B3C" w:rsidRPr="00F7605F" w:rsidRDefault="00CD0C8C" w:rsidP="000132A6">
            <w:pPr>
              <w:jc w:val="right"/>
              <w:rPr>
                <w:rFonts w:ascii="Arial" w:hAnsi="Arial" w:cs="Arial"/>
                <w:szCs w:val="24"/>
                <w:highlight w:val="yellow"/>
              </w:rPr>
            </w:pPr>
            <w:r w:rsidRPr="00C01478">
              <w:rPr>
                <w:rFonts w:ascii="Arial" w:hAnsi="Arial" w:cs="Arial"/>
                <w:szCs w:val="24"/>
              </w:rPr>
              <w:t xml:space="preserve"> </w:t>
            </w:r>
            <w:proofErr w:type="gramStart"/>
            <w:r w:rsidR="000F0B3C" w:rsidRPr="00C01478">
              <w:rPr>
                <w:rFonts w:ascii="Arial" w:hAnsi="Arial" w:cs="Arial"/>
                <w:szCs w:val="24"/>
              </w:rPr>
              <w:t>$</w:t>
            </w:r>
            <w:r w:rsidRPr="00C01478">
              <w:rPr>
                <w:rFonts w:ascii="Arial" w:hAnsi="Arial" w:cs="Arial"/>
                <w:szCs w:val="24"/>
              </w:rPr>
              <w:t xml:space="preserve"> </w:t>
            </w:r>
            <w:r w:rsidR="00C01478" w:rsidRPr="00C01478">
              <w:rPr>
                <w:rFonts w:ascii="Arial" w:hAnsi="Arial" w:cs="Arial"/>
                <w:szCs w:val="24"/>
              </w:rPr>
              <w:t xml:space="preserve"> (</w:t>
            </w:r>
            <w:proofErr w:type="gramEnd"/>
            <w:r w:rsidR="00587C36" w:rsidRPr="00C01478">
              <w:rPr>
                <w:rFonts w:ascii="Arial" w:hAnsi="Arial" w:cs="Arial"/>
                <w:szCs w:val="24"/>
              </w:rPr>
              <w:t>2</w:t>
            </w:r>
            <w:r w:rsidR="000F0B3C" w:rsidRPr="00C01478">
              <w:rPr>
                <w:rFonts w:ascii="Arial" w:hAnsi="Arial" w:cs="Arial"/>
                <w:szCs w:val="24"/>
              </w:rPr>
              <w:t>,</w:t>
            </w:r>
            <w:r w:rsidR="00587C36" w:rsidRPr="00C01478">
              <w:rPr>
                <w:rFonts w:ascii="Arial" w:hAnsi="Arial" w:cs="Arial"/>
                <w:szCs w:val="24"/>
              </w:rPr>
              <w:t>076</w:t>
            </w:r>
            <w:r w:rsidR="000F0B3C" w:rsidRPr="00C01478">
              <w:rPr>
                <w:rFonts w:ascii="Arial" w:hAnsi="Arial" w:cs="Arial"/>
                <w:szCs w:val="24"/>
              </w:rPr>
              <w:t>,</w:t>
            </w:r>
            <w:r w:rsidR="00587C36" w:rsidRPr="00C01478">
              <w:rPr>
                <w:rFonts w:ascii="Arial" w:hAnsi="Arial" w:cs="Arial"/>
                <w:szCs w:val="24"/>
              </w:rPr>
              <w:t>733</w:t>
            </w:r>
            <w:r w:rsidR="00C01478" w:rsidRPr="00C01478">
              <w:rPr>
                <w:rFonts w:ascii="Arial" w:hAnsi="Arial" w:cs="Arial"/>
                <w:szCs w:val="24"/>
              </w:rPr>
              <w:t>)</w:t>
            </w:r>
          </w:p>
        </w:tc>
      </w:tr>
      <w:tr w:rsidR="000F0B3C" w:rsidRPr="00F7605F" w14:paraId="18FD3AB1" w14:textId="77777777" w:rsidTr="000132A6">
        <w:trPr>
          <w:trHeight w:val="144"/>
          <w:jc w:val="center"/>
        </w:trPr>
        <w:tc>
          <w:tcPr>
            <w:tcW w:w="2718" w:type="dxa"/>
            <w:tcBorders>
              <w:top w:val="nil"/>
              <w:left w:val="nil"/>
              <w:bottom w:val="nil"/>
              <w:right w:val="nil"/>
            </w:tcBorders>
            <w:shd w:val="clear" w:color="auto" w:fill="auto"/>
            <w:noWrap/>
            <w:vAlign w:val="bottom"/>
          </w:tcPr>
          <w:p w14:paraId="6B1E7ACE"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0B5A33BD"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1E7F99BA" w14:textId="77777777" w:rsidR="000F0B3C" w:rsidRPr="00F7605F" w:rsidRDefault="000F0B3C" w:rsidP="000132A6">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203933AA"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4D7FB1FC" w14:textId="77777777" w:rsidR="000F0B3C" w:rsidRPr="00F7605F" w:rsidRDefault="000F0B3C" w:rsidP="000132A6">
            <w:pPr>
              <w:tabs>
                <w:tab w:val="decimal" w:pos="1476"/>
              </w:tabs>
              <w:jc w:val="right"/>
              <w:rPr>
                <w:rFonts w:ascii="Arial" w:hAnsi="Arial" w:cs="Arial"/>
                <w:szCs w:val="24"/>
                <w:highlight w:val="yellow"/>
              </w:rPr>
            </w:pPr>
          </w:p>
        </w:tc>
        <w:tc>
          <w:tcPr>
            <w:tcW w:w="270" w:type="dxa"/>
            <w:tcBorders>
              <w:top w:val="nil"/>
              <w:left w:val="nil"/>
              <w:bottom w:val="nil"/>
              <w:right w:val="nil"/>
            </w:tcBorders>
          </w:tcPr>
          <w:p w14:paraId="36DBF759"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2FACF344" w14:textId="77777777" w:rsidR="000F0B3C" w:rsidRPr="00F7605F" w:rsidRDefault="000F0B3C" w:rsidP="000132A6">
            <w:pPr>
              <w:ind w:right="58"/>
              <w:jc w:val="right"/>
              <w:rPr>
                <w:rFonts w:ascii="Arial" w:hAnsi="Arial" w:cs="Arial"/>
                <w:szCs w:val="24"/>
                <w:highlight w:val="yellow"/>
              </w:rPr>
            </w:pPr>
          </w:p>
        </w:tc>
      </w:tr>
      <w:tr w:rsidR="000F0B3C" w:rsidRPr="00F7605F" w14:paraId="09CD8C95" w14:textId="77777777" w:rsidTr="000132A6">
        <w:trPr>
          <w:trHeight w:val="288"/>
          <w:jc w:val="center"/>
        </w:trPr>
        <w:tc>
          <w:tcPr>
            <w:tcW w:w="2718" w:type="dxa"/>
            <w:tcBorders>
              <w:top w:val="nil"/>
              <w:left w:val="nil"/>
              <w:bottom w:val="nil"/>
              <w:right w:val="nil"/>
            </w:tcBorders>
            <w:shd w:val="clear" w:color="auto" w:fill="auto"/>
            <w:noWrap/>
            <w:vAlign w:val="bottom"/>
          </w:tcPr>
          <w:p w14:paraId="45C15A9D" w14:textId="03D1CBDB" w:rsidR="000F0B3C" w:rsidRPr="00F7605F" w:rsidRDefault="000F0B3C" w:rsidP="00E75F1F">
            <w:pPr>
              <w:rPr>
                <w:rFonts w:ascii="Arial" w:hAnsi="Arial" w:cs="Arial"/>
                <w:szCs w:val="24"/>
                <w:highlight w:val="yellow"/>
              </w:rPr>
            </w:pPr>
            <w:r w:rsidRPr="00781D51">
              <w:rPr>
                <w:rFonts w:ascii="Arial" w:hAnsi="Arial" w:cs="Arial"/>
                <w:szCs w:val="24"/>
              </w:rPr>
              <w:t>Rate GS</w:t>
            </w:r>
          </w:p>
        </w:tc>
        <w:tc>
          <w:tcPr>
            <w:tcW w:w="236" w:type="dxa"/>
            <w:tcBorders>
              <w:top w:val="nil"/>
              <w:left w:val="nil"/>
              <w:bottom w:val="nil"/>
              <w:right w:val="nil"/>
            </w:tcBorders>
          </w:tcPr>
          <w:p w14:paraId="25BE095C"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0679DD7A" w14:textId="77777777" w:rsidR="000F0B3C" w:rsidRPr="000563DA" w:rsidRDefault="00880253" w:rsidP="000132A6">
            <w:pPr>
              <w:jc w:val="right"/>
              <w:rPr>
                <w:rFonts w:ascii="Arial" w:hAnsi="Arial" w:cs="Arial"/>
                <w:szCs w:val="24"/>
              </w:rPr>
            </w:pPr>
            <w:r w:rsidRPr="000563DA">
              <w:rPr>
                <w:rFonts w:ascii="Arial" w:hAnsi="Arial" w:cs="Arial"/>
                <w:szCs w:val="24"/>
              </w:rPr>
              <w:t xml:space="preserve">       </w:t>
            </w:r>
            <w:r w:rsidR="00673401" w:rsidRPr="000563DA">
              <w:rPr>
                <w:rFonts w:ascii="Arial" w:hAnsi="Arial" w:cs="Arial"/>
                <w:szCs w:val="24"/>
              </w:rPr>
              <w:t xml:space="preserve"> 7</w:t>
            </w:r>
            <w:r w:rsidR="000F0B3C" w:rsidRPr="000563DA">
              <w:rPr>
                <w:rFonts w:ascii="Arial" w:hAnsi="Arial" w:cs="Arial"/>
                <w:szCs w:val="24"/>
              </w:rPr>
              <w:t>,</w:t>
            </w:r>
            <w:r w:rsidR="00673401" w:rsidRPr="000563DA">
              <w:rPr>
                <w:rFonts w:ascii="Arial" w:hAnsi="Arial" w:cs="Arial"/>
                <w:szCs w:val="24"/>
              </w:rPr>
              <w:t>078</w:t>
            </w:r>
            <w:r w:rsidR="000F0B3C" w:rsidRPr="000563DA">
              <w:rPr>
                <w:rFonts w:ascii="Arial" w:hAnsi="Arial" w:cs="Arial"/>
                <w:szCs w:val="24"/>
              </w:rPr>
              <w:t>,</w:t>
            </w:r>
            <w:r w:rsidR="00673401" w:rsidRPr="000563DA">
              <w:rPr>
                <w:rFonts w:ascii="Arial" w:hAnsi="Arial" w:cs="Arial"/>
                <w:szCs w:val="24"/>
              </w:rPr>
              <w:t>851</w:t>
            </w:r>
          </w:p>
        </w:tc>
        <w:tc>
          <w:tcPr>
            <w:tcW w:w="270" w:type="dxa"/>
            <w:tcBorders>
              <w:top w:val="nil"/>
              <w:left w:val="nil"/>
              <w:bottom w:val="nil"/>
              <w:right w:val="nil"/>
            </w:tcBorders>
          </w:tcPr>
          <w:p w14:paraId="0C3236A3"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7D66D038" w14:textId="77777777" w:rsidR="000F0B3C" w:rsidRPr="00F7605F" w:rsidRDefault="001C4463" w:rsidP="000132A6">
            <w:pPr>
              <w:jc w:val="right"/>
              <w:rPr>
                <w:rFonts w:ascii="Arial" w:hAnsi="Arial" w:cs="Arial"/>
                <w:szCs w:val="24"/>
                <w:highlight w:val="yellow"/>
              </w:rPr>
            </w:pPr>
            <w:r w:rsidRPr="0029722F">
              <w:rPr>
                <w:rFonts w:ascii="Arial" w:hAnsi="Arial" w:cs="Arial"/>
                <w:szCs w:val="24"/>
              </w:rPr>
              <w:t xml:space="preserve">       </w:t>
            </w:r>
            <w:r w:rsidR="006B150E" w:rsidRPr="0029722F">
              <w:rPr>
                <w:rFonts w:ascii="Arial" w:hAnsi="Arial" w:cs="Arial"/>
                <w:szCs w:val="24"/>
              </w:rPr>
              <w:t xml:space="preserve"> 9</w:t>
            </w:r>
            <w:r w:rsidR="000F0B3C" w:rsidRPr="0029722F">
              <w:rPr>
                <w:rFonts w:ascii="Arial" w:hAnsi="Arial" w:cs="Arial"/>
                <w:szCs w:val="24"/>
              </w:rPr>
              <w:t>,</w:t>
            </w:r>
            <w:r w:rsidR="006B150E" w:rsidRPr="0029722F">
              <w:rPr>
                <w:rFonts w:ascii="Arial" w:hAnsi="Arial" w:cs="Arial"/>
                <w:szCs w:val="24"/>
              </w:rPr>
              <w:t>119</w:t>
            </w:r>
            <w:r w:rsidR="000F0B3C" w:rsidRPr="0029722F">
              <w:rPr>
                <w:rFonts w:ascii="Arial" w:hAnsi="Arial" w:cs="Arial"/>
                <w:szCs w:val="24"/>
              </w:rPr>
              <w:t>,</w:t>
            </w:r>
            <w:r w:rsidR="006B150E" w:rsidRPr="0029722F">
              <w:rPr>
                <w:rFonts w:ascii="Arial" w:hAnsi="Arial" w:cs="Arial"/>
                <w:szCs w:val="24"/>
              </w:rPr>
              <w:t>882</w:t>
            </w:r>
          </w:p>
        </w:tc>
        <w:tc>
          <w:tcPr>
            <w:tcW w:w="270" w:type="dxa"/>
            <w:tcBorders>
              <w:top w:val="nil"/>
              <w:left w:val="nil"/>
              <w:bottom w:val="nil"/>
              <w:right w:val="nil"/>
            </w:tcBorders>
          </w:tcPr>
          <w:p w14:paraId="6C4EFFB5"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2DB4BD43" w14:textId="77777777" w:rsidR="000F0B3C" w:rsidRPr="00F7605F" w:rsidRDefault="00CD0C8C" w:rsidP="000132A6">
            <w:pPr>
              <w:jc w:val="right"/>
              <w:rPr>
                <w:rFonts w:ascii="Arial" w:hAnsi="Arial" w:cs="Arial"/>
                <w:szCs w:val="24"/>
                <w:highlight w:val="yellow"/>
              </w:rPr>
            </w:pPr>
            <w:r w:rsidRPr="00F7605F">
              <w:rPr>
                <w:rFonts w:ascii="Arial" w:hAnsi="Arial" w:cs="Arial"/>
                <w:szCs w:val="24"/>
                <w:highlight w:val="yellow"/>
              </w:rPr>
              <w:t xml:space="preserve">          </w:t>
            </w:r>
            <w:r w:rsidR="00205553" w:rsidRPr="00F7605F">
              <w:rPr>
                <w:rFonts w:ascii="Arial" w:hAnsi="Arial" w:cs="Arial"/>
                <w:szCs w:val="24"/>
                <w:highlight w:val="yellow"/>
              </w:rPr>
              <w:t xml:space="preserve"> </w:t>
            </w:r>
            <w:r w:rsidR="00332913" w:rsidRPr="00332913">
              <w:rPr>
                <w:rFonts w:ascii="Arial" w:hAnsi="Arial" w:cs="Arial"/>
                <w:szCs w:val="24"/>
              </w:rPr>
              <w:t>(</w:t>
            </w:r>
            <w:r w:rsidR="00205553" w:rsidRPr="00332913">
              <w:rPr>
                <w:rFonts w:ascii="Arial" w:hAnsi="Arial" w:cs="Arial"/>
                <w:szCs w:val="24"/>
              </w:rPr>
              <w:t>2</w:t>
            </w:r>
            <w:r w:rsidR="000F0B3C" w:rsidRPr="00332913">
              <w:rPr>
                <w:rFonts w:ascii="Arial" w:hAnsi="Arial" w:cs="Arial"/>
                <w:szCs w:val="24"/>
              </w:rPr>
              <w:t>,</w:t>
            </w:r>
            <w:r w:rsidR="00205553" w:rsidRPr="00332913">
              <w:rPr>
                <w:rFonts w:ascii="Arial" w:hAnsi="Arial" w:cs="Arial"/>
                <w:szCs w:val="24"/>
              </w:rPr>
              <w:t>0</w:t>
            </w:r>
            <w:r w:rsidR="009F4457" w:rsidRPr="00332913">
              <w:rPr>
                <w:rFonts w:ascii="Arial" w:hAnsi="Arial" w:cs="Arial"/>
                <w:szCs w:val="24"/>
              </w:rPr>
              <w:t>41</w:t>
            </w:r>
            <w:r w:rsidR="000F0B3C" w:rsidRPr="00332913">
              <w:rPr>
                <w:rFonts w:ascii="Arial" w:hAnsi="Arial" w:cs="Arial"/>
                <w:szCs w:val="24"/>
              </w:rPr>
              <w:t>,</w:t>
            </w:r>
            <w:r w:rsidR="009F4457" w:rsidRPr="00332913">
              <w:rPr>
                <w:rFonts w:ascii="Arial" w:hAnsi="Arial" w:cs="Arial"/>
                <w:szCs w:val="24"/>
              </w:rPr>
              <w:t>031</w:t>
            </w:r>
            <w:r w:rsidR="00332913" w:rsidRPr="00332913">
              <w:rPr>
                <w:rFonts w:ascii="Arial" w:hAnsi="Arial" w:cs="Arial"/>
                <w:szCs w:val="24"/>
              </w:rPr>
              <w:t>)</w:t>
            </w:r>
          </w:p>
        </w:tc>
      </w:tr>
      <w:tr w:rsidR="000F0B3C" w:rsidRPr="00F7605F" w14:paraId="6B862FF8" w14:textId="77777777" w:rsidTr="000132A6">
        <w:trPr>
          <w:trHeight w:val="144"/>
          <w:jc w:val="center"/>
        </w:trPr>
        <w:tc>
          <w:tcPr>
            <w:tcW w:w="2718" w:type="dxa"/>
            <w:tcBorders>
              <w:top w:val="nil"/>
              <w:left w:val="nil"/>
              <w:bottom w:val="nil"/>
              <w:right w:val="nil"/>
            </w:tcBorders>
            <w:shd w:val="clear" w:color="auto" w:fill="auto"/>
            <w:noWrap/>
            <w:vAlign w:val="bottom"/>
          </w:tcPr>
          <w:p w14:paraId="2D96F06B"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12920CDE"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08046BE1" w14:textId="77777777" w:rsidR="000F0B3C" w:rsidRPr="00F7605F" w:rsidRDefault="000F0B3C" w:rsidP="000132A6">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2CAB584D"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44675957" w14:textId="77777777" w:rsidR="000F0B3C" w:rsidRPr="00F7605F" w:rsidRDefault="000F0B3C" w:rsidP="000132A6">
            <w:pPr>
              <w:tabs>
                <w:tab w:val="decimal" w:pos="1476"/>
              </w:tabs>
              <w:jc w:val="right"/>
              <w:rPr>
                <w:rFonts w:ascii="Arial" w:hAnsi="Arial" w:cs="Arial"/>
                <w:szCs w:val="24"/>
                <w:highlight w:val="yellow"/>
              </w:rPr>
            </w:pPr>
          </w:p>
        </w:tc>
        <w:tc>
          <w:tcPr>
            <w:tcW w:w="270" w:type="dxa"/>
            <w:tcBorders>
              <w:top w:val="nil"/>
              <w:left w:val="nil"/>
              <w:bottom w:val="nil"/>
              <w:right w:val="nil"/>
            </w:tcBorders>
          </w:tcPr>
          <w:p w14:paraId="4BDB3080"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32E08CCC" w14:textId="77777777" w:rsidR="000F0B3C" w:rsidRPr="00F7605F" w:rsidRDefault="000F0B3C" w:rsidP="000132A6">
            <w:pPr>
              <w:ind w:right="58"/>
              <w:jc w:val="right"/>
              <w:rPr>
                <w:rFonts w:ascii="Arial" w:hAnsi="Arial" w:cs="Arial"/>
                <w:szCs w:val="24"/>
                <w:highlight w:val="yellow"/>
              </w:rPr>
            </w:pPr>
          </w:p>
        </w:tc>
      </w:tr>
      <w:tr w:rsidR="000F0B3C" w:rsidRPr="00F7605F" w14:paraId="59F9FBFD" w14:textId="77777777" w:rsidTr="000132A6">
        <w:trPr>
          <w:trHeight w:val="288"/>
          <w:jc w:val="center"/>
        </w:trPr>
        <w:tc>
          <w:tcPr>
            <w:tcW w:w="2718" w:type="dxa"/>
            <w:tcBorders>
              <w:top w:val="nil"/>
              <w:left w:val="nil"/>
              <w:bottom w:val="nil"/>
              <w:right w:val="nil"/>
            </w:tcBorders>
            <w:shd w:val="clear" w:color="auto" w:fill="auto"/>
            <w:noWrap/>
            <w:vAlign w:val="bottom"/>
          </w:tcPr>
          <w:p w14:paraId="15EB3056" w14:textId="77777777" w:rsidR="000F0B3C" w:rsidRPr="00F7605F" w:rsidRDefault="000F0B3C" w:rsidP="00E75F1F">
            <w:pPr>
              <w:rPr>
                <w:rFonts w:ascii="Arial" w:hAnsi="Arial" w:cs="Arial"/>
                <w:szCs w:val="24"/>
                <w:highlight w:val="yellow"/>
              </w:rPr>
            </w:pPr>
            <w:r w:rsidRPr="00781D51">
              <w:rPr>
                <w:rFonts w:ascii="Arial" w:hAnsi="Arial" w:cs="Arial"/>
                <w:szCs w:val="24"/>
              </w:rPr>
              <w:t>Rate</w:t>
            </w:r>
            <w:r w:rsidR="006A66FE" w:rsidRPr="00781D51">
              <w:rPr>
                <w:rFonts w:ascii="Arial" w:hAnsi="Arial" w:cs="Arial"/>
                <w:szCs w:val="24"/>
              </w:rPr>
              <w:t>s</w:t>
            </w:r>
            <w:r w:rsidRPr="00781D51">
              <w:rPr>
                <w:rFonts w:ascii="Arial" w:hAnsi="Arial" w:cs="Arial"/>
                <w:szCs w:val="24"/>
              </w:rPr>
              <w:t xml:space="preserve"> PD, HT, EP</w:t>
            </w:r>
          </w:p>
        </w:tc>
        <w:tc>
          <w:tcPr>
            <w:tcW w:w="236" w:type="dxa"/>
            <w:tcBorders>
              <w:top w:val="nil"/>
              <w:left w:val="nil"/>
              <w:bottom w:val="nil"/>
              <w:right w:val="nil"/>
            </w:tcBorders>
          </w:tcPr>
          <w:p w14:paraId="7AAA14CD"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69ECFA33" w14:textId="77777777" w:rsidR="000F0B3C" w:rsidRPr="00F7605F" w:rsidRDefault="00880253" w:rsidP="000132A6">
            <w:pPr>
              <w:jc w:val="right"/>
              <w:rPr>
                <w:rFonts w:ascii="Arial" w:hAnsi="Arial" w:cs="Arial"/>
                <w:szCs w:val="24"/>
                <w:highlight w:val="yellow"/>
              </w:rPr>
            </w:pPr>
            <w:r w:rsidRPr="00CA697B">
              <w:rPr>
                <w:rFonts w:ascii="Arial" w:hAnsi="Arial" w:cs="Arial"/>
                <w:szCs w:val="24"/>
              </w:rPr>
              <w:t xml:space="preserve">    </w:t>
            </w:r>
            <w:r w:rsidR="00245DB5" w:rsidRPr="00CA697B">
              <w:rPr>
                <w:rFonts w:ascii="Arial" w:hAnsi="Arial" w:cs="Arial"/>
                <w:szCs w:val="24"/>
              </w:rPr>
              <w:t xml:space="preserve"> </w:t>
            </w:r>
            <w:r w:rsidRPr="00CA697B">
              <w:rPr>
                <w:rFonts w:ascii="Arial" w:hAnsi="Arial" w:cs="Arial"/>
                <w:szCs w:val="24"/>
              </w:rPr>
              <w:t xml:space="preserve">    </w:t>
            </w:r>
            <w:r w:rsidR="00CA697B" w:rsidRPr="00CA697B">
              <w:rPr>
                <w:rFonts w:ascii="Arial" w:hAnsi="Arial" w:cs="Arial"/>
                <w:szCs w:val="24"/>
              </w:rPr>
              <w:t>9</w:t>
            </w:r>
            <w:r w:rsidR="000F0B3C" w:rsidRPr="00CA697B">
              <w:rPr>
                <w:rFonts w:ascii="Arial" w:hAnsi="Arial" w:cs="Arial"/>
                <w:szCs w:val="24"/>
              </w:rPr>
              <w:t>,</w:t>
            </w:r>
            <w:r w:rsidR="00CA697B" w:rsidRPr="00CA697B">
              <w:rPr>
                <w:rFonts w:ascii="Arial" w:hAnsi="Arial" w:cs="Arial"/>
                <w:szCs w:val="24"/>
              </w:rPr>
              <w:t>129</w:t>
            </w:r>
            <w:r w:rsidR="000F0B3C" w:rsidRPr="00CA697B">
              <w:rPr>
                <w:rFonts w:ascii="Arial" w:hAnsi="Arial" w:cs="Arial"/>
                <w:szCs w:val="24"/>
              </w:rPr>
              <w:t>,</w:t>
            </w:r>
            <w:r w:rsidR="00CA697B" w:rsidRPr="00CA697B">
              <w:rPr>
                <w:rFonts w:ascii="Arial" w:hAnsi="Arial" w:cs="Arial"/>
                <w:szCs w:val="24"/>
              </w:rPr>
              <w:t>261</w:t>
            </w:r>
          </w:p>
        </w:tc>
        <w:tc>
          <w:tcPr>
            <w:tcW w:w="270" w:type="dxa"/>
            <w:tcBorders>
              <w:top w:val="nil"/>
              <w:left w:val="nil"/>
              <w:bottom w:val="nil"/>
              <w:right w:val="nil"/>
            </w:tcBorders>
          </w:tcPr>
          <w:p w14:paraId="43476EF0"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2677C30F" w14:textId="7F80D3B2" w:rsidR="000F0B3C" w:rsidRPr="00F7605F" w:rsidRDefault="001C4463" w:rsidP="000132A6">
            <w:pPr>
              <w:jc w:val="right"/>
              <w:rPr>
                <w:rFonts w:ascii="Arial" w:hAnsi="Arial" w:cs="Arial"/>
                <w:szCs w:val="24"/>
                <w:highlight w:val="yellow"/>
              </w:rPr>
            </w:pPr>
            <w:r w:rsidRPr="00203A38">
              <w:rPr>
                <w:rFonts w:ascii="Arial" w:hAnsi="Arial" w:cs="Arial"/>
                <w:szCs w:val="24"/>
              </w:rPr>
              <w:t xml:space="preserve">       </w:t>
            </w:r>
            <w:r w:rsidR="00203A38" w:rsidRPr="00203A38">
              <w:rPr>
                <w:rFonts w:ascii="Arial" w:hAnsi="Arial" w:cs="Arial"/>
                <w:szCs w:val="24"/>
              </w:rPr>
              <w:t>1</w:t>
            </w:r>
            <w:r w:rsidR="00CA697B" w:rsidRPr="00203A38">
              <w:rPr>
                <w:rFonts w:ascii="Arial" w:hAnsi="Arial" w:cs="Arial"/>
                <w:szCs w:val="24"/>
              </w:rPr>
              <w:t>0</w:t>
            </w:r>
            <w:r w:rsidR="000F0B3C" w:rsidRPr="00203A38">
              <w:rPr>
                <w:rFonts w:ascii="Arial" w:hAnsi="Arial" w:cs="Arial"/>
                <w:szCs w:val="24"/>
              </w:rPr>
              <w:t>,</w:t>
            </w:r>
            <w:r w:rsidR="00CA697B" w:rsidRPr="00203A38">
              <w:rPr>
                <w:rFonts w:ascii="Arial" w:hAnsi="Arial" w:cs="Arial"/>
                <w:szCs w:val="24"/>
              </w:rPr>
              <w:t>792</w:t>
            </w:r>
            <w:r w:rsidR="000F0B3C" w:rsidRPr="00203A38">
              <w:rPr>
                <w:rFonts w:ascii="Arial" w:hAnsi="Arial" w:cs="Arial"/>
                <w:szCs w:val="24"/>
              </w:rPr>
              <w:t>,</w:t>
            </w:r>
            <w:r w:rsidR="00CA697B" w:rsidRPr="00203A38">
              <w:rPr>
                <w:rFonts w:ascii="Arial" w:hAnsi="Arial" w:cs="Arial"/>
                <w:szCs w:val="24"/>
              </w:rPr>
              <w:t>43</w:t>
            </w:r>
            <w:r w:rsidR="0078105D">
              <w:rPr>
                <w:rFonts w:ascii="Arial" w:hAnsi="Arial" w:cs="Arial"/>
                <w:szCs w:val="24"/>
              </w:rPr>
              <w:t>7</w:t>
            </w:r>
          </w:p>
        </w:tc>
        <w:tc>
          <w:tcPr>
            <w:tcW w:w="270" w:type="dxa"/>
            <w:tcBorders>
              <w:top w:val="nil"/>
              <w:left w:val="nil"/>
              <w:bottom w:val="nil"/>
              <w:right w:val="nil"/>
            </w:tcBorders>
          </w:tcPr>
          <w:p w14:paraId="5B82D011"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4475102A" w14:textId="77777777" w:rsidR="000F0B3C" w:rsidRPr="00F7605F" w:rsidRDefault="000447F3" w:rsidP="000132A6">
            <w:pPr>
              <w:jc w:val="right"/>
              <w:rPr>
                <w:rFonts w:ascii="Arial" w:hAnsi="Arial" w:cs="Arial"/>
                <w:szCs w:val="24"/>
                <w:highlight w:val="yellow"/>
              </w:rPr>
            </w:pPr>
            <w:r w:rsidRPr="000447F3">
              <w:rPr>
                <w:rFonts w:ascii="Arial" w:hAnsi="Arial" w:cs="Arial"/>
                <w:szCs w:val="24"/>
              </w:rPr>
              <w:t xml:space="preserve">      </w:t>
            </w:r>
            <w:r w:rsidR="00CD0C8C" w:rsidRPr="000447F3">
              <w:rPr>
                <w:rFonts w:ascii="Arial" w:hAnsi="Arial" w:cs="Arial"/>
                <w:szCs w:val="24"/>
              </w:rPr>
              <w:t xml:space="preserve">  </w:t>
            </w:r>
            <w:r w:rsidRPr="000447F3">
              <w:rPr>
                <w:rFonts w:ascii="Arial" w:hAnsi="Arial" w:cs="Arial"/>
                <w:szCs w:val="24"/>
              </w:rPr>
              <w:t>(1,</w:t>
            </w:r>
            <w:r w:rsidR="00D20F2E" w:rsidRPr="000447F3">
              <w:rPr>
                <w:rFonts w:ascii="Arial" w:hAnsi="Arial" w:cs="Arial"/>
                <w:szCs w:val="24"/>
              </w:rPr>
              <w:t>663</w:t>
            </w:r>
            <w:r w:rsidR="000F0B3C" w:rsidRPr="000447F3">
              <w:rPr>
                <w:rFonts w:ascii="Arial" w:hAnsi="Arial" w:cs="Arial"/>
                <w:szCs w:val="24"/>
              </w:rPr>
              <w:t>,</w:t>
            </w:r>
            <w:r w:rsidR="00D20F2E" w:rsidRPr="000447F3">
              <w:rPr>
                <w:rFonts w:ascii="Arial" w:hAnsi="Arial" w:cs="Arial"/>
                <w:szCs w:val="24"/>
              </w:rPr>
              <w:t>176</w:t>
            </w:r>
            <w:r w:rsidRPr="000447F3">
              <w:rPr>
                <w:rFonts w:ascii="Arial" w:hAnsi="Arial" w:cs="Arial"/>
                <w:szCs w:val="24"/>
              </w:rPr>
              <w:t>)</w:t>
            </w:r>
          </w:p>
        </w:tc>
      </w:tr>
      <w:tr w:rsidR="000F0B3C" w:rsidRPr="00F7605F" w14:paraId="61BA8592" w14:textId="77777777" w:rsidTr="000132A6">
        <w:trPr>
          <w:trHeight w:val="144"/>
          <w:jc w:val="center"/>
        </w:trPr>
        <w:tc>
          <w:tcPr>
            <w:tcW w:w="2718" w:type="dxa"/>
            <w:tcBorders>
              <w:top w:val="nil"/>
              <w:left w:val="nil"/>
              <w:bottom w:val="nil"/>
              <w:right w:val="nil"/>
            </w:tcBorders>
            <w:shd w:val="clear" w:color="auto" w:fill="auto"/>
            <w:noWrap/>
            <w:vAlign w:val="bottom"/>
          </w:tcPr>
          <w:p w14:paraId="664505DB"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00FE8073" w14:textId="77777777" w:rsidR="000F0B3C" w:rsidRPr="00F7605F" w:rsidRDefault="000F0B3C">
            <w:pPr>
              <w:jc w:val="right"/>
              <w:rPr>
                <w:rFonts w:ascii="Arial" w:hAnsi="Arial" w:cs="Arial"/>
                <w:szCs w:val="24"/>
                <w:highlight w:val="yellow"/>
              </w:rPr>
            </w:pPr>
          </w:p>
        </w:tc>
        <w:tc>
          <w:tcPr>
            <w:tcW w:w="2077" w:type="dxa"/>
            <w:tcBorders>
              <w:top w:val="nil"/>
              <w:left w:val="nil"/>
              <w:bottom w:val="nil"/>
              <w:right w:val="nil"/>
            </w:tcBorders>
            <w:shd w:val="clear" w:color="auto" w:fill="auto"/>
            <w:noWrap/>
            <w:vAlign w:val="bottom"/>
          </w:tcPr>
          <w:p w14:paraId="3E925FBE" w14:textId="77777777" w:rsidR="000F0B3C" w:rsidRPr="00F7605F" w:rsidRDefault="000F0B3C" w:rsidP="000132A6">
            <w:pPr>
              <w:tabs>
                <w:tab w:val="decimal" w:pos="1569"/>
              </w:tabs>
              <w:jc w:val="right"/>
              <w:rPr>
                <w:rFonts w:ascii="Arial" w:hAnsi="Arial" w:cs="Arial"/>
                <w:szCs w:val="24"/>
                <w:highlight w:val="yellow"/>
              </w:rPr>
            </w:pPr>
          </w:p>
        </w:tc>
        <w:tc>
          <w:tcPr>
            <w:tcW w:w="270" w:type="dxa"/>
            <w:tcBorders>
              <w:top w:val="nil"/>
              <w:left w:val="nil"/>
              <w:bottom w:val="nil"/>
              <w:right w:val="nil"/>
            </w:tcBorders>
          </w:tcPr>
          <w:p w14:paraId="106FDD0F" w14:textId="77777777" w:rsidR="000F0B3C" w:rsidRPr="00F7605F" w:rsidRDefault="000F0B3C">
            <w:pPr>
              <w:jc w:val="right"/>
              <w:rPr>
                <w:rFonts w:ascii="Arial" w:hAnsi="Arial" w:cs="Arial"/>
                <w:szCs w:val="24"/>
                <w:highlight w:val="yellow"/>
              </w:rPr>
            </w:pPr>
          </w:p>
        </w:tc>
        <w:tc>
          <w:tcPr>
            <w:tcW w:w="1976" w:type="dxa"/>
            <w:tcBorders>
              <w:top w:val="nil"/>
              <w:left w:val="nil"/>
              <w:bottom w:val="nil"/>
              <w:right w:val="nil"/>
            </w:tcBorders>
            <w:shd w:val="clear" w:color="auto" w:fill="auto"/>
            <w:noWrap/>
            <w:vAlign w:val="bottom"/>
          </w:tcPr>
          <w:p w14:paraId="2E805002" w14:textId="77777777" w:rsidR="000F0B3C" w:rsidRPr="00F7605F" w:rsidRDefault="000F0B3C" w:rsidP="000132A6">
            <w:pPr>
              <w:tabs>
                <w:tab w:val="decimal" w:pos="1476"/>
              </w:tabs>
              <w:jc w:val="right"/>
              <w:rPr>
                <w:rFonts w:ascii="Arial" w:hAnsi="Arial" w:cs="Arial"/>
                <w:szCs w:val="24"/>
                <w:highlight w:val="yellow"/>
              </w:rPr>
            </w:pPr>
          </w:p>
        </w:tc>
        <w:tc>
          <w:tcPr>
            <w:tcW w:w="270" w:type="dxa"/>
            <w:tcBorders>
              <w:top w:val="nil"/>
              <w:left w:val="nil"/>
              <w:bottom w:val="nil"/>
              <w:right w:val="nil"/>
            </w:tcBorders>
          </w:tcPr>
          <w:p w14:paraId="0B8A221D" w14:textId="77777777" w:rsidR="000F0B3C" w:rsidRPr="00F7605F" w:rsidRDefault="000F0B3C">
            <w:pPr>
              <w:jc w:val="right"/>
              <w:rPr>
                <w:rFonts w:ascii="Arial" w:hAnsi="Arial" w:cs="Arial"/>
                <w:szCs w:val="24"/>
                <w:highlight w:val="yellow"/>
              </w:rPr>
            </w:pPr>
          </w:p>
        </w:tc>
        <w:tc>
          <w:tcPr>
            <w:tcW w:w="1966" w:type="dxa"/>
            <w:tcBorders>
              <w:top w:val="nil"/>
              <w:left w:val="nil"/>
              <w:bottom w:val="nil"/>
              <w:right w:val="nil"/>
            </w:tcBorders>
            <w:shd w:val="clear" w:color="auto" w:fill="auto"/>
            <w:noWrap/>
            <w:vAlign w:val="bottom"/>
          </w:tcPr>
          <w:p w14:paraId="4D4B6DA7" w14:textId="77777777" w:rsidR="000F0B3C" w:rsidRPr="00F7605F" w:rsidRDefault="000F0B3C" w:rsidP="000132A6">
            <w:pPr>
              <w:ind w:right="58"/>
              <w:jc w:val="right"/>
              <w:rPr>
                <w:rFonts w:ascii="Arial" w:hAnsi="Arial" w:cs="Arial"/>
                <w:szCs w:val="24"/>
                <w:highlight w:val="yellow"/>
              </w:rPr>
            </w:pPr>
          </w:p>
        </w:tc>
      </w:tr>
      <w:tr w:rsidR="000F0B3C" w:rsidRPr="00F7605F" w14:paraId="77A271B1" w14:textId="77777777" w:rsidTr="000132A6">
        <w:trPr>
          <w:trHeight w:val="288"/>
          <w:jc w:val="center"/>
        </w:trPr>
        <w:tc>
          <w:tcPr>
            <w:tcW w:w="2718" w:type="dxa"/>
            <w:tcBorders>
              <w:top w:val="nil"/>
              <w:left w:val="nil"/>
              <w:bottom w:val="nil"/>
              <w:right w:val="nil"/>
            </w:tcBorders>
            <w:shd w:val="clear" w:color="auto" w:fill="auto"/>
            <w:noWrap/>
            <w:vAlign w:val="bottom"/>
          </w:tcPr>
          <w:p w14:paraId="4BA30D14" w14:textId="77777777" w:rsidR="006A66FE" w:rsidRPr="006911D9" w:rsidRDefault="000F0B3C" w:rsidP="00B03D93">
            <w:pPr>
              <w:ind w:right="-270"/>
              <w:rPr>
                <w:rFonts w:ascii="Arial" w:hAnsi="Arial" w:cs="Arial"/>
                <w:szCs w:val="24"/>
              </w:rPr>
            </w:pPr>
            <w:r w:rsidRPr="006911D9">
              <w:rPr>
                <w:rFonts w:ascii="Arial" w:hAnsi="Arial" w:cs="Arial"/>
                <w:szCs w:val="24"/>
              </w:rPr>
              <w:t>Rate</w:t>
            </w:r>
            <w:r w:rsidR="006A66FE" w:rsidRPr="006911D9">
              <w:rPr>
                <w:rFonts w:ascii="Arial" w:hAnsi="Arial" w:cs="Arial"/>
                <w:szCs w:val="24"/>
              </w:rPr>
              <w:t>s</w:t>
            </w:r>
            <w:r w:rsidRPr="006911D9">
              <w:rPr>
                <w:rFonts w:ascii="Arial" w:hAnsi="Arial" w:cs="Arial"/>
                <w:szCs w:val="24"/>
              </w:rPr>
              <w:t xml:space="preserve"> SLE, SLS,</w:t>
            </w:r>
            <w:r w:rsidR="0089241C">
              <w:rPr>
                <w:rFonts w:ascii="Arial" w:hAnsi="Arial" w:cs="Arial"/>
                <w:szCs w:val="24"/>
              </w:rPr>
              <w:t xml:space="preserve"> </w:t>
            </w:r>
            <w:r w:rsidRPr="006911D9">
              <w:rPr>
                <w:rFonts w:ascii="Arial" w:hAnsi="Arial" w:cs="Arial"/>
                <w:szCs w:val="24"/>
              </w:rPr>
              <w:t xml:space="preserve">POL, </w:t>
            </w:r>
          </w:p>
          <w:p w14:paraId="49398657" w14:textId="77777777" w:rsidR="000F0B3C" w:rsidRPr="006911D9" w:rsidRDefault="000F0B3C" w:rsidP="00B03D93">
            <w:pPr>
              <w:ind w:right="-270"/>
              <w:rPr>
                <w:rFonts w:ascii="Arial" w:hAnsi="Arial" w:cs="Arial"/>
                <w:szCs w:val="24"/>
              </w:rPr>
            </w:pPr>
            <w:r w:rsidRPr="006911D9">
              <w:rPr>
                <w:rFonts w:ascii="Arial" w:hAnsi="Arial" w:cs="Arial"/>
                <w:szCs w:val="24"/>
              </w:rPr>
              <w:t>AL, TLCL</w:t>
            </w:r>
          </w:p>
        </w:tc>
        <w:tc>
          <w:tcPr>
            <w:tcW w:w="236" w:type="dxa"/>
            <w:tcBorders>
              <w:top w:val="nil"/>
              <w:left w:val="nil"/>
              <w:bottom w:val="nil"/>
              <w:right w:val="nil"/>
            </w:tcBorders>
          </w:tcPr>
          <w:p w14:paraId="3EE39BC9" w14:textId="77777777" w:rsidR="000F0B3C" w:rsidRPr="00F7605F" w:rsidRDefault="000F0B3C">
            <w:pPr>
              <w:jc w:val="right"/>
              <w:rPr>
                <w:rFonts w:ascii="Arial" w:hAnsi="Arial" w:cs="Arial"/>
                <w:szCs w:val="24"/>
                <w:highlight w:val="yellow"/>
              </w:rPr>
            </w:pPr>
          </w:p>
        </w:tc>
        <w:tc>
          <w:tcPr>
            <w:tcW w:w="2077" w:type="dxa"/>
            <w:tcBorders>
              <w:top w:val="nil"/>
              <w:left w:val="nil"/>
              <w:bottom w:val="single" w:sz="4" w:space="0" w:color="auto"/>
              <w:right w:val="nil"/>
            </w:tcBorders>
            <w:shd w:val="clear" w:color="auto" w:fill="auto"/>
            <w:noWrap/>
            <w:vAlign w:val="bottom"/>
          </w:tcPr>
          <w:p w14:paraId="3CDC423D" w14:textId="0A3AB5E9" w:rsidR="000F0B3C" w:rsidRPr="006B29CF" w:rsidRDefault="00880253" w:rsidP="000132A6">
            <w:pPr>
              <w:jc w:val="right"/>
              <w:rPr>
                <w:rFonts w:ascii="Arial" w:hAnsi="Arial" w:cs="Arial"/>
                <w:szCs w:val="24"/>
                <w:highlight w:val="yellow"/>
              </w:rPr>
            </w:pPr>
            <w:r w:rsidRPr="006B29CF">
              <w:rPr>
                <w:rFonts w:ascii="Arial" w:hAnsi="Arial" w:cs="Arial"/>
                <w:szCs w:val="24"/>
              </w:rPr>
              <w:t xml:space="preserve">  </w:t>
            </w:r>
            <w:r w:rsidR="00205553" w:rsidRPr="006B29CF">
              <w:rPr>
                <w:rFonts w:ascii="Arial" w:hAnsi="Arial" w:cs="Arial"/>
                <w:szCs w:val="24"/>
              </w:rPr>
              <w:t xml:space="preserve">            </w:t>
            </w:r>
            <w:r w:rsidR="003C3E36" w:rsidRPr="006B29CF">
              <w:rPr>
                <w:rFonts w:ascii="Arial" w:hAnsi="Arial" w:cs="Arial"/>
                <w:szCs w:val="24"/>
              </w:rPr>
              <w:t>17</w:t>
            </w:r>
            <w:r w:rsidR="00205553" w:rsidRPr="006B29CF">
              <w:rPr>
                <w:rFonts w:ascii="Arial" w:hAnsi="Arial" w:cs="Arial"/>
                <w:szCs w:val="24"/>
              </w:rPr>
              <w:t>,</w:t>
            </w:r>
            <w:r w:rsidR="003C3E36" w:rsidRPr="006B29CF">
              <w:rPr>
                <w:rFonts w:ascii="Arial" w:hAnsi="Arial" w:cs="Arial"/>
                <w:szCs w:val="24"/>
              </w:rPr>
              <w:t>75</w:t>
            </w:r>
            <w:r w:rsidR="00D77D97">
              <w:rPr>
                <w:rFonts w:ascii="Arial" w:hAnsi="Arial" w:cs="Arial"/>
                <w:szCs w:val="24"/>
              </w:rPr>
              <w:t>4</w:t>
            </w:r>
          </w:p>
        </w:tc>
        <w:tc>
          <w:tcPr>
            <w:tcW w:w="270" w:type="dxa"/>
            <w:tcBorders>
              <w:top w:val="nil"/>
              <w:left w:val="nil"/>
              <w:bottom w:val="nil"/>
              <w:right w:val="nil"/>
            </w:tcBorders>
          </w:tcPr>
          <w:p w14:paraId="68E5FE4A" w14:textId="77777777" w:rsidR="000F0B3C" w:rsidRPr="006B29CF" w:rsidRDefault="000F0B3C">
            <w:pPr>
              <w:jc w:val="right"/>
              <w:rPr>
                <w:rFonts w:ascii="Arial" w:hAnsi="Arial" w:cs="Arial"/>
                <w:szCs w:val="24"/>
                <w:highlight w:val="yellow"/>
              </w:rPr>
            </w:pPr>
          </w:p>
        </w:tc>
        <w:tc>
          <w:tcPr>
            <w:tcW w:w="1976" w:type="dxa"/>
            <w:tcBorders>
              <w:top w:val="nil"/>
              <w:left w:val="nil"/>
              <w:bottom w:val="single" w:sz="4" w:space="0" w:color="auto"/>
              <w:right w:val="nil"/>
            </w:tcBorders>
            <w:shd w:val="clear" w:color="auto" w:fill="auto"/>
            <w:noWrap/>
            <w:vAlign w:val="bottom"/>
          </w:tcPr>
          <w:p w14:paraId="5A595ECF" w14:textId="7113CE5B" w:rsidR="000F0B3C" w:rsidRPr="006B29CF" w:rsidRDefault="001C4463" w:rsidP="000132A6">
            <w:pPr>
              <w:jc w:val="right"/>
              <w:rPr>
                <w:rFonts w:ascii="Arial" w:hAnsi="Arial" w:cs="Arial"/>
                <w:szCs w:val="24"/>
                <w:highlight w:val="yellow"/>
              </w:rPr>
            </w:pPr>
            <w:r w:rsidRPr="006B29CF">
              <w:rPr>
                <w:rFonts w:ascii="Arial" w:hAnsi="Arial" w:cs="Arial"/>
                <w:szCs w:val="24"/>
              </w:rPr>
              <w:t xml:space="preserve">      </w:t>
            </w:r>
            <w:r w:rsidR="0014799E" w:rsidRPr="006B29CF">
              <w:rPr>
                <w:rFonts w:ascii="Arial" w:hAnsi="Arial" w:cs="Arial"/>
                <w:szCs w:val="24"/>
              </w:rPr>
              <w:t xml:space="preserve">  </w:t>
            </w:r>
            <w:r w:rsidRPr="006B29CF">
              <w:rPr>
                <w:rFonts w:ascii="Arial" w:hAnsi="Arial" w:cs="Arial"/>
                <w:szCs w:val="24"/>
              </w:rPr>
              <w:t xml:space="preserve">     </w:t>
            </w:r>
            <w:r w:rsidR="003C3E36" w:rsidRPr="006B29CF">
              <w:rPr>
                <w:rFonts w:ascii="Arial" w:hAnsi="Arial" w:cs="Arial"/>
                <w:szCs w:val="24"/>
              </w:rPr>
              <w:t>22</w:t>
            </w:r>
            <w:r w:rsidR="000F0B3C" w:rsidRPr="006B29CF">
              <w:rPr>
                <w:rFonts w:ascii="Arial" w:hAnsi="Arial" w:cs="Arial"/>
                <w:szCs w:val="24"/>
              </w:rPr>
              <w:t>,</w:t>
            </w:r>
            <w:r w:rsidR="003C3E36" w:rsidRPr="006B29CF">
              <w:rPr>
                <w:rFonts w:ascii="Arial" w:hAnsi="Arial" w:cs="Arial"/>
                <w:szCs w:val="24"/>
              </w:rPr>
              <w:t>93</w:t>
            </w:r>
            <w:r w:rsidR="00E6799D">
              <w:rPr>
                <w:rFonts w:ascii="Arial" w:hAnsi="Arial" w:cs="Arial"/>
                <w:szCs w:val="24"/>
              </w:rPr>
              <w:t>6</w:t>
            </w:r>
          </w:p>
        </w:tc>
        <w:tc>
          <w:tcPr>
            <w:tcW w:w="270" w:type="dxa"/>
            <w:tcBorders>
              <w:top w:val="nil"/>
              <w:left w:val="nil"/>
              <w:bottom w:val="nil"/>
              <w:right w:val="nil"/>
            </w:tcBorders>
          </w:tcPr>
          <w:p w14:paraId="319703B1" w14:textId="77777777" w:rsidR="000F0B3C" w:rsidRPr="006B29CF" w:rsidRDefault="000F0B3C">
            <w:pPr>
              <w:jc w:val="right"/>
              <w:rPr>
                <w:rFonts w:ascii="Arial" w:hAnsi="Arial" w:cs="Arial"/>
                <w:szCs w:val="24"/>
                <w:highlight w:val="yellow"/>
              </w:rPr>
            </w:pPr>
          </w:p>
        </w:tc>
        <w:tc>
          <w:tcPr>
            <w:tcW w:w="1966" w:type="dxa"/>
            <w:tcBorders>
              <w:top w:val="nil"/>
              <w:left w:val="nil"/>
              <w:bottom w:val="single" w:sz="4" w:space="0" w:color="auto"/>
              <w:right w:val="nil"/>
            </w:tcBorders>
            <w:shd w:val="clear" w:color="auto" w:fill="auto"/>
            <w:noWrap/>
            <w:vAlign w:val="bottom"/>
          </w:tcPr>
          <w:p w14:paraId="097564A3" w14:textId="090780A1" w:rsidR="000F0B3C" w:rsidRPr="006B29CF" w:rsidRDefault="0014799E" w:rsidP="000132A6">
            <w:pPr>
              <w:ind w:left="428" w:right="-36" w:hanging="270"/>
              <w:jc w:val="right"/>
              <w:rPr>
                <w:rFonts w:ascii="Arial" w:hAnsi="Arial" w:cs="Arial"/>
                <w:szCs w:val="24"/>
              </w:rPr>
            </w:pPr>
            <w:r w:rsidRPr="006B29CF">
              <w:rPr>
                <w:rFonts w:ascii="Arial" w:hAnsi="Arial" w:cs="Arial"/>
                <w:szCs w:val="24"/>
              </w:rPr>
              <w:t xml:space="preserve">              (</w:t>
            </w:r>
            <w:r w:rsidR="003C3E36" w:rsidRPr="006B29CF">
              <w:rPr>
                <w:rFonts w:ascii="Arial" w:hAnsi="Arial" w:cs="Arial"/>
                <w:szCs w:val="24"/>
              </w:rPr>
              <w:t>5</w:t>
            </w:r>
            <w:r w:rsidRPr="006B29CF">
              <w:rPr>
                <w:rFonts w:ascii="Arial" w:hAnsi="Arial" w:cs="Arial"/>
                <w:szCs w:val="24"/>
              </w:rPr>
              <w:t>,</w:t>
            </w:r>
            <w:r w:rsidR="003C3E36" w:rsidRPr="006B29CF">
              <w:rPr>
                <w:rFonts w:ascii="Arial" w:hAnsi="Arial" w:cs="Arial"/>
                <w:szCs w:val="24"/>
              </w:rPr>
              <w:t>1</w:t>
            </w:r>
            <w:r w:rsidR="00D77D97">
              <w:rPr>
                <w:rFonts w:ascii="Arial" w:hAnsi="Arial" w:cs="Arial"/>
                <w:szCs w:val="24"/>
              </w:rPr>
              <w:t>79</w:t>
            </w:r>
            <w:r w:rsidRPr="006B29CF">
              <w:rPr>
                <w:rFonts w:ascii="Arial" w:hAnsi="Arial" w:cs="Arial"/>
                <w:szCs w:val="24"/>
              </w:rPr>
              <w:t>)</w:t>
            </w:r>
          </w:p>
        </w:tc>
      </w:tr>
      <w:tr w:rsidR="000F0B3C" w:rsidRPr="00F7605F" w14:paraId="768E3F2B" w14:textId="77777777" w:rsidTr="000132A6">
        <w:trPr>
          <w:trHeight w:val="144"/>
          <w:jc w:val="center"/>
        </w:trPr>
        <w:tc>
          <w:tcPr>
            <w:tcW w:w="2718" w:type="dxa"/>
            <w:tcBorders>
              <w:top w:val="nil"/>
              <w:left w:val="nil"/>
              <w:bottom w:val="nil"/>
              <w:right w:val="nil"/>
            </w:tcBorders>
            <w:shd w:val="clear" w:color="auto" w:fill="auto"/>
            <w:noWrap/>
            <w:vAlign w:val="bottom"/>
          </w:tcPr>
          <w:p w14:paraId="2DF08126" w14:textId="77777777" w:rsidR="000F0B3C" w:rsidRPr="00F7605F" w:rsidRDefault="000F0B3C" w:rsidP="00E75F1F">
            <w:pPr>
              <w:rPr>
                <w:rFonts w:ascii="Arial" w:hAnsi="Arial" w:cs="Arial"/>
                <w:szCs w:val="24"/>
                <w:highlight w:val="yellow"/>
              </w:rPr>
            </w:pPr>
          </w:p>
        </w:tc>
        <w:tc>
          <w:tcPr>
            <w:tcW w:w="236" w:type="dxa"/>
            <w:tcBorders>
              <w:top w:val="nil"/>
              <w:left w:val="nil"/>
              <w:bottom w:val="nil"/>
              <w:right w:val="nil"/>
            </w:tcBorders>
          </w:tcPr>
          <w:p w14:paraId="7E974D5E" w14:textId="77777777" w:rsidR="000F0B3C" w:rsidRPr="00F7605F" w:rsidRDefault="000F0B3C">
            <w:pPr>
              <w:jc w:val="right"/>
              <w:rPr>
                <w:rFonts w:ascii="Arial" w:hAnsi="Arial" w:cs="Arial"/>
                <w:szCs w:val="24"/>
                <w:highlight w:val="yellow"/>
              </w:rPr>
            </w:pPr>
          </w:p>
        </w:tc>
        <w:tc>
          <w:tcPr>
            <w:tcW w:w="2077" w:type="dxa"/>
            <w:tcBorders>
              <w:top w:val="single" w:sz="4" w:space="0" w:color="auto"/>
              <w:left w:val="nil"/>
              <w:right w:val="nil"/>
            </w:tcBorders>
            <w:shd w:val="clear" w:color="auto" w:fill="auto"/>
            <w:noWrap/>
            <w:vAlign w:val="bottom"/>
          </w:tcPr>
          <w:p w14:paraId="0D8002B1" w14:textId="77777777" w:rsidR="000F0B3C" w:rsidRPr="006B29CF" w:rsidRDefault="000F0B3C" w:rsidP="000132A6">
            <w:pPr>
              <w:tabs>
                <w:tab w:val="decimal" w:pos="1569"/>
              </w:tabs>
              <w:jc w:val="right"/>
              <w:rPr>
                <w:rFonts w:ascii="Arial" w:hAnsi="Arial" w:cs="Arial"/>
                <w:szCs w:val="24"/>
                <w:highlight w:val="yellow"/>
              </w:rPr>
            </w:pPr>
          </w:p>
        </w:tc>
        <w:tc>
          <w:tcPr>
            <w:tcW w:w="270" w:type="dxa"/>
            <w:tcBorders>
              <w:top w:val="nil"/>
              <w:left w:val="nil"/>
              <w:right w:val="nil"/>
            </w:tcBorders>
          </w:tcPr>
          <w:p w14:paraId="02F3F761" w14:textId="77777777" w:rsidR="000F0B3C" w:rsidRPr="006B29CF" w:rsidRDefault="000F0B3C">
            <w:pPr>
              <w:jc w:val="right"/>
              <w:rPr>
                <w:rFonts w:ascii="Arial" w:hAnsi="Arial" w:cs="Arial"/>
                <w:szCs w:val="24"/>
                <w:highlight w:val="yellow"/>
              </w:rPr>
            </w:pPr>
          </w:p>
        </w:tc>
        <w:tc>
          <w:tcPr>
            <w:tcW w:w="1976" w:type="dxa"/>
            <w:tcBorders>
              <w:top w:val="single" w:sz="4" w:space="0" w:color="auto"/>
              <w:left w:val="nil"/>
              <w:right w:val="nil"/>
            </w:tcBorders>
            <w:shd w:val="clear" w:color="auto" w:fill="auto"/>
            <w:noWrap/>
            <w:vAlign w:val="bottom"/>
          </w:tcPr>
          <w:p w14:paraId="6465E4C1" w14:textId="77777777" w:rsidR="000F0B3C" w:rsidRPr="006B29CF" w:rsidRDefault="000F0B3C" w:rsidP="000132A6">
            <w:pPr>
              <w:tabs>
                <w:tab w:val="decimal" w:pos="1476"/>
              </w:tabs>
              <w:jc w:val="right"/>
              <w:rPr>
                <w:rFonts w:ascii="Arial" w:hAnsi="Arial" w:cs="Arial"/>
                <w:szCs w:val="24"/>
                <w:highlight w:val="yellow"/>
              </w:rPr>
            </w:pPr>
          </w:p>
        </w:tc>
        <w:tc>
          <w:tcPr>
            <w:tcW w:w="270" w:type="dxa"/>
            <w:tcBorders>
              <w:top w:val="nil"/>
              <w:left w:val="nil"/>
              <w:right w:val="nil"/>
            </w:tcBorders>
          </w:tcPr>
          <w:p w14:paraId="3405B9E0" w14:textId="77777777" w:rsidR="000F0B3C" w:rsidRPr="006B29CF" w:rsidRDefault="000F0B3C">
            <w:pPr>
              <w:jc w:val="right"/>
              <w:rPr>
                <w:rFonts w:ascii="Arial" w:hAnsi="Arial" w:cs="Arial"/>
                <w:szCs w:val="24"/>
                <w:highlight w:val="yellow"/>
              </w:rPr>
            </w:pPr>
          </w:p>
        </w:tc>
        <w:tc>
          <w:tcPr>
            <w:tcW w:w="1966" w:type="dxa"/>
            <w:tcBorders>
              <w:top w:val="single" w:sz="4" w:space="0" w:color="auto"/>
              <w:left w:val="nil"/>
              <w:right w:val="nil"/>
            </w:tcBorders>
            <w:shd w:val="clear" w:color="auto" w:fill="auto"/>
            <w:noWrap/>
            <w:vAlign w:val="bottom"/>
          </w:tcPr>
          <w:p w14:paraId="5AB89739" w14:textId="77777777" w:rsidR="000F0B3C" w:rsidRPr="006B29CF" w:rsidRDefault="000F0B3C" w:rsidP="000132A6">
            <w:pPr>
              <w:ind w:right="58"/>
              <w:jc w:val="right"/>
              <w:rPr>
                <w:rFonts w:ascii="Arial" w:hAnsi="Arial" w:cs="Arial"/>
                <w:szCs w:val="24"/>
                <w:highlight w:val="yellow"/>
              </w:rPr>
            </w:pPr>
          </w:p>
        </w:tc>
      </w:tr>
      <w:tr w:rsidR="000F0B3C" w:rsidRPr="00BE0936" w14:paraId="1011FE83" w14:textId="77777777" w:rsidTr="000132A6">
        <w:trPr>
          <w:trHeight w:val="288"/>
          <w:jc w:val="center"/>
        </w:trPr>
        <w:tc>
          <w:tcPr>
            <w:tcW w:w="2718" w:type="dxa"/>
            <w:tcBorders>
              <w:top w:val="nil"/>
              <w:left w:val="nil"/>
              <w:bottom w:val="nil"/>
              <w:right w:val="nil"/>
            </w:tcBorders>
            <w:shd w:val="clear" w:color="auto" w:fill="auto"/>
            <w:vAlign w:val="bottom"/>
          </w:tcPr>
          <w:p w14:paraId="4A1A502D" w14:textId="475D975D" w:rsidR="000F0B3C" w:rsidRPr="00F7605F" w:rsidRDefault="006A66FE">
            <w:pPr>
              <w:rPr>
                <w:rFonts w:ascii="Arial" w:hAnsi="Arial" w:cs="Arial"/>
                <w:szCs w:val="24"/>
                <w:highlight w:val="yellow"/>
              </w:rPr>
            </w:pPr>
            <w:r w:rsidRPr="00781D51">
              <w:rPr>
                <w:rFonts w:ascii="Arial" w:hAnsi="Arial" w:cs="Arial"/>
                <w:szCs w:val="24"/>
              </w:rPr>
              <w:t xml:space="preserve">     </w:t>
            </w:r>
            <w:r w:rsidR="000F0B3C" w:rsidRPr="00781D51">
              <w:rPr>
                <w:rFonts w:ascii="Arial" w:hAnsi="Arial" w:cs="Arial"/>
                <w:szCs w:val="24"/>
              </w:rPr>
              <w:t>Total</w:t>
            </w:r>
          </w:p>
        </w:tc>
        <w:tc>
          <w:tcPr>
            <w:tcW w:w="236" w:type="dxa"/>
            <w:tcBorders>
              <w:top w:val="nil"/>
              <w:left w:val="nil"/>
              <w:bottom w:val="nil"/>
              <w:right w:val="nil"/>
            </w:tcBorders>
          </w:tcPr>
          <w:p w14:paraId="6E82BC6A" w14:textId="77777777" w:rsidR="000F0B3C" w:rsidRPr="00F7605F" w:rsidRDefault="000F0B3C">
            <w:pPr>
              <w:jc w:val="right"/>
              <w:rPr>
                <w:rFonts w:ascii="Arial" w:hAnsi="Arial" w:cs="Arial"/>
                <w:szCs w:val="24"/>
                <w:highlight w:val="yellow"/>
                <w:u w:val="double"/>
              </w:rPr>
            </w:pPr>
          </w:p>
        </w:tc>
        <w:tc>
          <w:tcPr>
            <w:tcW w:w="2077" w:type="dxa"/>
            <w:tcBorders>
              <w:left w:val="nil"/>
              <w:bottom w:val="double" w:sz="4" w:space="0" w:color="auto"/>
              <w:right w:val="nil"/>
            </w:tcBorders>
            <w:shd w:val="clear" w:color="auto" w:fill="auto"/>
            <w:noWrap/>
            <w:vAlign w:val="bottom"/>
          </w:tcPr>
          <w:p w14:paraId="28832831" w14:textId="5D565D92" w:rsidR="000F0B3C" w:rsidRPr="006B29CF" w:rsidRDefault="001C4463" w:rsidP="000132A6">
            <w:pPr>
              <w:tabs>
                <w:tab w:val="decimal" w:pos="1569"/>
              </w:tabs>
              <w:jc w:val="right"/>
              <w:rPr>
                <w:rFonts w:ascii="Arial" w:hAnsi="Arial" w:cs="Arial"/>
                <w:szCs w:val="24"/>
                <w:highlight w:val="yellow"/>
              </w:rPr>
            </w:pPr>
            <w:r w:rsidRPr="006B29CF">
              <w:rPr>
                <w:rFonts w:ascii="Arial" w:hAnsi="Arial" w:cs="Arial"/>
                <w:szCs w:val="24"/>
              </w:rPr>
              <w:t xml:space="preserve"> </w:t>
            </w:r>
            <w:proofErr w:type="gramStart"/>
            <w:r w:rsidR="000F0B3C" w:rsidRPr="006B29CF">
              <w:rPr>
                <w:rFonts w:ascii="Arial" w:hAnsi="Arial" w:cs="Arial"/>
                <w:szCs w:val="24"/>
              </w:rPr>
              <w:t>$</w:t>
            </w:r>
            <w:r w:rsidR="00880253" w:rsidRPr="006B29CF">
              <w:rPr>
                <w:rFonts w:ascii="Arial" w:hAnsi="Arial" w:cs="Arial"/>
                <w:szCs w:val="24"/>
              </w:rPr>
              <w:t xml:space="preserve"> </w:t>
            </w:r>
            <w:r w:rsidR="00CA01C4" w:rsidRPr="006B29CF">
              <w:rPr>
                <w:rFonts w:ascii="Arial" w:hAnsi="Arial" w:cs="Arial"/>
                <w:szCs w:val="24"/>
              </w:rPr>
              <w:t xml:space="preserve"> </w:t>
            </w:r>
            <w:r w:rsidR="00454EF0" w:rsidRPr="006B29CF">
              <w:rPr>
                <w:rFonts w:ascii="Arial" w:hAnsi="Arial" w:cs="Arial"/>
                <w:szCs w:val="24"/>
              </w:rPr>
              <w:t>28</w:t>
            </w:r>
            <w:r w:rsidR="00205553" w:rsidRPr="006B29CF">
              <w:rPr>
                <w:rFonts w:ascii="Arial" w:hAnsi="Arial" w:cs="Arial"/>
                <w:szCs w:val="24"/>
              </w:rPr>
              <w:t>,</w:t>
            </w:r>
            <w:r w:rsidR="00454EF0" w:rsidRPr="006B29CF">
              <w:rPr>
                <w:rFonts w:ascii="Arial" w:hAnsi="Arial" w:cs="Arial"/>
                <w:szCs w:val="24"/>
              </w:rPr>
              <w:t>361</w:t>
            </w:r>
            <w:r w:rsidR="000F0B3C" w:rsidRPr="006B29CF">
              <w:rPr>
                <w:rFonts w:ascii="Arial" w:hAnsi="Arial" w:cs="Arial"/>
                <w:szCs w:val="24"/>
              </w:rPr>
              <w:t>,</w:t>
            </w:r>
            <w:r w:rsidR="00454EF0" w:rsidRPr="006B29CF">
              <w:rPr>
                <w:rFonts w:ascii="Arial" w:hAnsi="Arial" w:cs="Arial"/>
                <w:szCs w:val="24"/>
              </w:rPr>
              <w:t>655</w:t>
            </w:r>
            <w:proofErr w:type="gramEnd"/>
          </w:p>
        </w:tc>
        <w:tc>
          <w:tcPr>
            <w:tcW w:w="270" w:type="dxa"/>
            <w:tcBorders>
              <w:top w:val="nil"/>
              <w:left w:val="nil"/>
              <w:right w:val="nil"/>
            </w:tcBorders>
          </w:tcPr>
          <w:p w14:paraId="4AA9B90A" w14:textId="77777777" w:rsidR="000F0B3C" w:rsidRPr="006B29CF" w:rsidRDefault="000F0B3C">
            <w:pPr>
              <w:jc w:val="right"/>
              <w:rPr>
                <w:rFonts w:ascii="Arial" w:hAnsi="Arial" w:cs="Arial"/>
                <w:szCs w:val="24"/>
                <w:highlight w:val="yellow"/>
              </w:rPr>
            </w:pPr>
          </w:p>
        </w:tc>
        <w:tc>
          <w:tcPr>
            <w:tcW w:w="1976" w:type="dxa"/>
            <w:tcBorders>
              <w:left w:val="nil"/>
              <w:bottom w:val="double" w:sz="4" w:space="0" w:color="auto"/>
              <w:right w:val="nil"/>
            </w:tcBorders>
            <w:shd w:val="clear" w:color="auto" w:fill="auto"/>
            <w:noWrap/>
            <w:vAlign w:val="bottom"/>
          </w:tcPr>
          <w:p w14:paraId="6C2C9B48" w14:textId="0F5E43B4" w:rsidR="000F0B3C" w:rsidRPr="006B29CF" w:rsidRDefault="00F6068B" w:rsidP="000132A6">
            <w:pPr>
              <w:jc w:val="right"/>
              <w:rPr>
                <w:rFonts w:ascii="Arial" w:hAnsi="Arial" w:cs="Arial"/>
                <w:szCs w:val="24"/>
              </w:rPr>
            </w:pPr>
            <w:r w:rsidRPr="006B29CF">
              <w:rPr>
                <w:rFonts w:ascii="Arial" w:hAnsi="Arial" w:cs="Arial"/>
                <w:szCs w:val="24"/>
              </w:rPr>
              <w:t xml:space="preserve"> </w:t>
            </w:r>
            <w:proofErr w:type="gramStart"/>
            <w:r w:rsidR="000F0B3C" w:rsidRPr="006B29CF">
              <w:rPr>
                <w:rFonts w:ascii="Arial" w:hAnsi="Arial" w:cs="Arial"/>
                <w:szCs w:val="24"/>
              </w:rPr>
              <w:t xml:space="preserve">$ </w:t>
            </w:r>
            <w:r w:rsidR="001C4463" w:rsidRPr="006B29CF">
              <w:rPr>
                <w:rFonts w:ascii="Arial" w:hAnsi="Arial" w:cs="Arial"/>
                <w:szCs w:val="24"/>
              </w:rPr>
              <w:t xml:space="preserve"> </w:t>
            </w:r>
            <w:r w:rsidR="00705449" w:rsidRPr="006B29CF">
              <w:rPr>
                <w:rFonts w:ascii="Arial" w:hAnsi="Arial" w:cs="Arial"/>
                <w:szCs w:val="24"/>
              </w:rPr>
              <w:t>34</w:t>
            </w:r>
            <w:r w:rsidR="000F0B3C" w:rsidRPr="006B29CF">
              <w:rPr>
                <w:rFonts w:ascii="Arial" w:hAnsi="Arial" w:cs="Arial"/>
                <w:szCs w:val="24"/>
              </w:rPr>
              <w:t>,</w:t>
            </w:r>
            <w:r w:rsidR="00705449" w:rsidRPr="006B29CF">
              <w:rPr>
                <w:rFonts w:ascii="Arial" w:hAnsi="Arial" w:cs="Arial"/>
                <w:szCs w:val="24"/>
              </w:rPr>
              <w:t>147</w:t>
            </w:r>
            <w:r w:rsidR="000F0B3C" w:rsidRPr="006B29CF">
              <w:rPr>
                <w:rFonts w:ascii="Arial" w:hAnsi="Arial" w:cs="Arial"/>
                <w:szCs w:val="24"/>
              </w:rPr>
              <w:t>,</w:t>
            </w:r>
            <w:r w:rsidR="00705449" w:rsidRPr="006B29CF">
              <w:rPr>
                <w:rFonts w:ascii="Arial" w:hAnsi="Arial" w:cs="Arial"/>
                <w:szCs w:val="24"/>
              </w:rPr>
              <w:t>775</w:t>
            </w:r>
            <w:proofErr w:type="gramEnd"/>
            <w:r w:rsidR="000F0B3C" w:rsidRPr="006B29CF">
              <w:rPr>
                <w:rFonts w:ascii="Arial" w:hAnsi="Arial" w:cs="Arial"/>
                <w:szCs w:val="24"/>
              </w:rPr>
              <w:t xml:space="preserve"> </w:t>
            </w:r>
          </w:p>
        </w:tc>
        <w:tc>
          <w:tcPr>
            <w:tcW w:w="270" w:type="dxa"/>
            <w:tcBorders>
              <w:top w:val="nil"/>
              <w:left w:val="nil"/>
              <w:right w:val="nil"/>
            </w:tcBorders>
          </w:tcPr>
          <w:p w14:paraId="064E1385" w14:textId="77777777" w:rsidR="000F0B3C" w:rsidRPr="006B29CF" w:rsidRDefault="000F0B3C">
            <w:pPr>
              <w:jc w:val="right"/>
              <w:rPr>
                <w:rFonts w:ascii="Arial" w:hAnsi="Arial" w:cs="Arial"/>
                <w:szCs w:val="24"/>
                <w:highlight w:val="yellow"/>
              </w:rPr>
            </w:pPr>
          </w:p>
        </w:tc>
        <w:tc>
          <w:tcPr>
            <w:tcW w:w="1966" w:type="dxa"/>
            <w:tcBorders>
              <w:left w:val="nil"/>
              <w:bottom w:val="double" w:sz="4" w:space="0" w:color="auto"/>
              <w:right w:val="nil"/>
            </w:tcBorders>
            <w:shd w:val="clear" w:color="auto" w:fill="auto"/>
            <w:noWrap/>
            <w:vAlign w:val="bottom"/>
          </w:tcPr>
          <w:p w14:paraId="7C4F7A41" w14:textId="2D7C4E46" w:rsidR="000F0B3C" w:rsidRPr="006B29CF" w:rsidRDefault="00CD0C8C" w:rsidP="000132A6">
            <w:pPr>
              <w:ind w:right="-36"/>
              <w:jc w:val="right"/>
              <w:rPr>
                <w:rFonts w:ascii="Arial" w:hAnsi="Arial" w:cs="Arial"/>
                <w:szCs w:val="24"/>
              </w:rPr>
            </w:pPr>
            <w:r w:rsidRPr="006B29CF">
              <w:rPr>
                <w:rFonts w:ascii="Arial" w:hAnsi="Arial" w:cs="Arial"/>
                <w:szCs w:val="24"/>
              </w:rPr>
              <w:t xml:space="preserve">    </w:t>
            </w:r>
            <w:proofErr w:type="gramStart"/>
            <w:r w:rsidR="000F0B3C" w:rsidRPr="006B29CF">
              <w:rPr>
                <w:rFonts w:ascii="Arial" w:hAnsi="Arial" w:cs="Arial"/>
                <w:szCs w:val="24"/>
              </w:rPr>
              <w:t>$</w:t>
            </w:r>
            <w:r w:rsidR="000132A6">
              <w:rPr>
                <w:rFonts w:ascii="Arial" w:hAnsi="Arial" w:cs="Arial"/>
                <w:szCs w:val="24"/>
              </w:rPr>
              <w:t xml:space="preserve">  </w:t>
            </w:r>
            <w:r w:rsidR="001676C9" w:rsidRPr="006B29CF">
              <w:rPr>
                <w:rFonts w:ascii="Arial" w:hAnsi="Arial" w:cs="Arial"/>
                <w:szCs w:val="24"/>
              </w:rPr>
              <w:t>(</w:t>
            </w:r>
            <w:proofErr w:type="gramEnd"/>
            <w:r w:rsidR="00225A01" w:rsidRPr="006B29CF">
              <w:rPr>
                <w:rFonts w:ascii="Arial" w:hAnsi="Arial" w:cs="Arial"/>
                <w:szCs w:val="24"/>
              </w:rPr>
              <w:t>5</w:t>
            </w:r>
            <w:r w:rsidR="000F0B3C" w:rsidRPr="006B29CF">
              <w:rPr>
                <w:rFonts w:ascii="Arial" w:hAnsi="Arial" w:cs="Arial"/>
                <w:szCs w:val="24"/>
              </w:rPr>
              <w:t>,</w:t>
            </w:r>
            <w:r w:rsidR="00225A01" w:rsidRPr="006B29CF">
              <w:rPr>
                <w:rFonts w:ascii="Arial" w:hAnsi="Arial" w:cs="Arial"/>
                <w:szCs w:val="24"/>
              </w:rPr>
              <w:t>786</w:t>
            </w:r>
            <w:r w:rsidR="000F0B3C" w:rsidRPr="006B29CF">
              <w:rPr>
                <w:rFonts w:ascii="Arial" w:hAnsi="Arial" w:cs="Arial"/>
                <w:szCs w:val="24"/>
              </w:rPr>
              <w:t>,</w:t>
            </w:r>
            <w:r w:rsidR="00225A01" w:rsidRPr="006B29CF">
              <w:rPr>
                <w:rFonts w:ascii="Arial" w:hAnsi="Arial" w:cs="Arial"/>
                <w:szCs w:val="24"/>
              </w:rPr>
              <w:t>120</w:t>
            </w:r>
            <w:r w:rsidR="001676C9" w:rsidRPr="006B29CF">
              <w:rPr>
                <w:rFonts w:ascii="Arial" w:hAnsi="Arial" w:cs="Arial"/>
                <w:szCs w:val="24"/>
              </w:rPr>
              <w:t>)</w:t>
            </w:r>
            <w:r w:rsidR="0014799E" w:rsidRPr="006B29CF">
              <w:rPr>
                <w:rFonts w:ascii="Arial" w:hAnsi="Arial" w:cs="Arial"/>
                <w:szCs w:val="24"/>
              </w:rPr>
              <w:t xml:space="preserve"> </w:t>
            </w:r>
          </w:p>
        </w:tc>
      </w:tr>
      <w:tr w:rsidR="000F0B3C" w:rsidRPr="00BE0936" w14:paraId="1D0A0BBD" w14:textId="77777777" w:rsidTr="000132A6">
        <w:trPr>
          <w:trHeight w:val="288"/>
          <w:jc w:val="center"/>
        </w:trPr>
        <w:tc>
          <w:tcPr>
            <w:tcW w:w="2718" w:type="dxa"/>
            <w:tcBorders>
              <w:top w:val="nil"/>
              <w:left w:val="nil"/>
              <w:bottom w:val="nil"/>
              <w:right w:val="nil"/>
            </w:tcBorders>
            <w:shd w:val="clear" w:color="auto" w:fill="auto"/>
            <w:noWrap/>
            <w:vAlign w:val="bottom"/>
          </w:tcPr>
          <w:p w14:paraId="1D5D9479" w14:textId="77777777" w:rsidR="000F0B3C" w:rsidRPr="00BE0936" w:rsidRDefault="000F0B3C">
            <w:pPr>
              <w:rPr>
                <w:rFonts w:ascii="Arial" w:hAnsi="Arial" w:cs="Arial"/>
                <w:szCs w:val="24"/>
              </w:rPr>
            </w:pPr>
          </w:p>
        </w:tc>
        <w:tc>
          <w:tcPr>
            <w:tcW w:w="236" w:type="dxa"/>
            <w:tcBorders>
              <w:top w:val="nil"/>
              <w:left w:val="nil"/>
              <w:bottom w:val="nil"/>
              <w:right w:val="nil"/>
            </w:tcBorders>
          </w:tcPr>
          <w:p w14:paraId="2A15B83B" w14:textId="77777777" w:rsidR="000F0B3C" w:rsidRPr="00BE0936" w:rsidRDefault="000F0B3C">
            <w:pPr>
              <w:rPr>
                <w:rFonts w:ascii="Arial" w:hAnsi="Arial" w:cs="Arial"/>
                <w:szCs w:val="24"/>
              </w:rPr>
            </w:pPr>
          </w:p>
        </w:tc>
        <w:tc>
          <w:tcPr>
            <w:tcW w:w="2077" w:type="dxa"/>
            <w:tcBorders>
              <w:top w:val="double" w:sz="4" w:space="0" w:color="auto"/>
              <w:left w:val="nil"/>
              <w:right w:val="nil"/>
            </w:tcBorders>
            <w:shd w:val="clear" w:color="auto" w:fill="auto"/>
            <w:noWrap/>
            <w:vAlign w:val="bottom"/>
          </w:tcPr>
          <w:p w14:paraId="1E4973D8" w14:textId="77777777" w:rsidR="000F0B3C" w:rsidRPr="00BE0936" w:rsidRDefault="000F0B3C">
            <w:pPr>
              <w:rPr>
                <w:rFonts w:ascii="Arial" w:hAnsi="Arial" w:cs="Arial"/>
                <w:szCs w:val="24"/>
              </w:rPr>
            </w:pPr>
          </w:p>
        </w:tc>
        <w:tc>
          <w:tcPr>
            <w:tcW w:w="270" w:type="dxa"/>
            <w:tcBorders>
              <w:left w:val="nil"/>
              <w:right w:val="nil"/>
            </w:tcBorders>
          </w:tcPr>
          <w:p w14:paraId="02EDF918" w14:textId="77777777" w:rsidR="000F0B3C" w:rsidRPr="00BE0936" w:rsidRDefault="000F0B3C">
            <w:pPr>
              <w:jc w:val="center"/>
              <w:rPr>
                <w:rFonts w:ascii="Arial" w:hAnsi="Arial" w:cs="Arial"/>
                <w:bCs/>
                <w:szCs w:val="24"/>
              </w:rPr>
            </w:pPr>
          </w:p>
        </w:tc>
        <w:tc>
          <w:tcPr>
            <w:tcW w:w="1976" w:type="dxa"/>
            <w:tcBorders>
              <w:top w:val="double" w:sz="4" w:space="0" w:color="auto"/>
              <w:left w:val="nil"/>
              <w:right w:val="nil"/>
            </w:tcBorders>
            <w:shd w:val="clear" w:color="auto" w:fill="auto"/>
            <w:vAlign w:val="bottom"/>
          </w:tcPr>
          <w:p w14:paraId="7E79B61A" w14:textId="77777777" w:rsidR="000F0B3C" w:rsidRPr="00BE0936" w:rsidRDefault="000F0B3C">
            <w:pPr>
              <w:jc w:val="center"/>
              <w:rPr>
                <w:rFonts w:ascii="Arial" w:hAnsi="Arial" w:cs="Arial"/>
                <w:bCs/>
                <w:szCs w:val="24"/>
              </w:rPr>
            </w:pPr>
          </w:p>
        </w:tc>
        <w:tc>
          <w:tcPr>
            <w:tcW w:w="270" w:type="dxa"/>
            <w:tcBorders>
              <w:left w:val="nil"/>
              <w:right w:val="nil"/>
            </w:tcBorders>
          </w:tcPr>
          <w:p w14:paraId="1E4BFFFB" w14:textId="77777777" w:rsidR="000F0B3C" w:rsidRPr="00BE0936" w:rsidRDefault="000F0B3C">
            <w:pPr>
              <w:jc w:val="right"/>
              <w:rPr>
                <w:rFonts w:ascii="Arial" w:hAnsi="Arial" w:cs="Arial"/>
                <w:szCs w:val="24"/>
                <w:u w:val="single"/>
              </w:rPr>
            </w:pPr>
          </w:p>
        </w:tc>
        <w:tc>
          <w:tcPr>
            <w:tcW w:w="1966" w:type="dxa"/>
            <w:tcBorders>
              <w:top w:val="double" w:sz="4" w:space="0" w:color="auto"/>
              <w:left w:val="nil"/>
              <w:right w:val="nil"/>
            </w:tcBorders>
            <w:shd w:val="clear" w:color="auto" w:fill="auto"/>
            <w:noWrap/>
            <w:vAlign w:val="bottom"/>
          </w:tcPr>
          <w:p w14:paraId="64A80664" w14:textId="77777777" w:rsidR="000F0B3C" w:rsidRPr="00BE0936" w:rsidRDefault="000F0B3C" w:rsidP="00B61414">
            <w:pPr>
              <w:tabs>
                <w:tab w:val="decimal" w:pos="1431"/>
              </w:tabs>
              <w:rPr>
                <w:rFonts w:ascii="Arial" w:hAnsi="Arial" w:cs="Arial"/>
                <w:szCs w:val="24"/>
              </w:rPr>
            </w:pPr>
          </w:p>
        </w:tc>
      </w:tr>
    </w:tbl>
    <w:p w14:paraId="25710A3C" w14:textId="77777777" w:rsidR="00DD1E89" w:rsidRPr="00BE0936" w:rsidRDefault="00DD1E89" w:rsidP="001B78F9">
      <w:pPr>
        <w:tabs>
          <w:tab w:val="center" w:pos="4680"/>
        </w:tabs>
        <w:suppressAutoHyphens/>
        <w:rPr>
          <w:rFonts w:ascii="Arial" w:hAnsi="Arial" w:cs="Arial"/>
          <w:szCs w:val="24"/>
        </w:rPr>
      </w:pPr>
    </w:p>
    <w:p w14:paraId="7CA25897" w14:textId="77777777" w:rsidR="00EE601A" w:rsidRDefault="00EE601A" w:rsidP="001B78F9">
      <w:pPr>
        <w:tabs>
          <w:tab w:val="center" w:pos="4680"/>
        </w:tabs>
        <w:suppressAutoHyphens/>
        <w:rPr>
          <w:rFonts w:ascii="Arial" w:hAnsi="Arial" w:cs="Arial"/>
          <w:szCs w:val="24"/>
        </w:rPr>
      </w:pPr>
    </w:p>
    <w:p w14:paraId="7B2D8CEB" w14:textId="77777777" w:rsidR="00710127" w:rsidRDefault="00710127" w:rsidP="001B78F9">
      <w:pPr>
        <w:tabs>
          <w:tab w:val="center" w:pos="4680"/>
        </w:tabs>
        <w:suppressAutoHyphens/>
        <w:rPr>
          <w:rFonts w:ascii="Arial" w:hAnsi="Arial" w:cs="Arial"/>
          <w:szCs w:val="24"/>
        </w:rPr>
      </w:pPr>
    </w:p>
    <w:p w14:paraId="6B46AA4F" w14:textId="77777777" w:rsidR="00DC7D28" w:rsidRPr="00CA3FBE" w:rsidRDefault="00DC7D28" w:rsidP="00DC7D28">
      <w:pPr>
        <w:tabs>
          <w:tab w:val="center" w:pos="4680"/>
        </w:tabs>
        <w:suppressAutoHyphens/>
        <w:ind w:left="90" w:hanging="90"/>
        <w:rPr>
          <w:rFonts w:ascii="Arial" w:hAnsi="Arial" w:cs="Arial"/>
          <w:sz w:val="16"/>
          <w:szCs w:val="16"/>
        </w:rPr>
      </w:pPr>
    </w:p>
    <w:p w14:paraId="110079CF" w14:textId="64546FBD" w:rsidR="00DC7D28" w:rsidRPr="00CA3FBE" w:rsidRDefault="00DC7D28" w:rsidP="003439CD">
      <w:pPr>
        <w:suppressAutoHyphens/>
        <w:rPr>
          <w:rFonts w:ascii="Arial" w:hAnsi="Arial" w:cs="Arial"/>
          <w:sz w:val="16"/>
          <w:szCs w:val="16"/>
        </w:rPr>
      </w:pPr>
      <w:r w:rsidRPr="00CA3FBE">
        <w:rPr>
          <w:rFonts w:ascii="Arial" w:hAnsi="Arial" w:cs="Arial"/>
          <w:sz w:val="16"/>
          <w:szCs w:val="16"/>
        </w:rPr>
        <w:t xml:space="preserve"> </w:t>
      </w:r>
    </w:p>
    <w:p w14:paraId="5A4DBD42" w14:textId="77777777" w:rsidR="00DC7D28" w:rsidRPr="00CA3FBE" w:rsidRDefault="00DC7D28" w:rsidP="003439CD">
      <w:pPr>
        <w:suppressAutoHyphens/>
        <w:rPr>
          <w:rFonts w:ascii="Arial" w:hAnsi="Arial" w:cs="Arial"/>
          <w:sz w:val="16"/>
          <w:szCs w:val="16"/>
        </w:rPr>
      </w:pPr>
    </w:p>
    <w:p w14:paraId="73627C9E" w14:textId="444DA349" w:rsidR="008B2A09" w:rsidRPr="00CA3FBE" w:rsidRDefault="00C92778" w:rsidP="003439CD">
      <w:pPr>
        <w:suppressAutoHyphens/>
        <w:rPr>
          <w:rFonts w:ascii="Arial" w:hAnsi="Arial" w:cs="Arial"/>
          <w:sz w:val="16"/>
          <w:szCs w:val="16"/>
        </w:rPr>
      </w:pPr>
      <w:r w:rsidRPr="00CA3FBE">
        <w:rPr>
          <w:rFonts w:ascii="Arial" w:hAnsi="Arial" w:cs="Arial"/>
          <w:sz w:val="16"/>
          <w:szCs w:val="16"/>
        </w:rPr>
        <w:t xml:space="preserve"> </w:t>
      </w:r>
    </w:p>
    <w:p w14:paraId="2453ABF7" w14:textId="77777777" w:rsidR="00710127" w:rsidRDefault="00710127" w:rsidP="003439CD">
      <w:pPr>
        <w:suppressAutoHyphens/>
        <w:rPr>
          <w:rFonts w:ascii="Arial" w:hAnsi="Arial" w:cs="Arial"/>
          <w:szCs w:val="24"/>
        </w:rPr>
      </w:pPr>
    </w:p>
    <w:p w14:paraId="38F8F23B" w14:textId="77777777" w:rsidR="00710127" w:rsidRPr="00BE0936" w:rsidRDefault="00710127" w:rsidP="003439CD">
      <w:pPr>
        <w:suppressAutoHyphens/>
        <w:rPr>
          <w:rFonts w:ascii="Arial" w:hAnsi="Arial" w:cs="Arial"/>
          <w:szCs w:val="24"/>
        </w:rPr>
      </w:pPr>
    </w:p>
    <w:p w14:paraId="4171908F" w14:textId="77777777" w:rsidR="005C66F7" w:rsidRDefault="005C66F7" w:rsidP="001B78F9">
      <w:pPr>
        <w:tabs>
          <w:tab w:val="center" w:pos="4680"/>
        </w:tabs>
        <w:suppressAutoHyphens/>
        <w:rPr>
          <w:rFonts w:ascii="Arial" w:hAnsi="Arial" w:cs="Arial"/>
          <w:szCs w:val="24"/>
        </w:rPr>
      </w:pPr>
    </w:p>
    <w:p w14:paraId="3CC39098" w14:textId="77777777" w:rsidR="00E13F49" w:rsidRDefault="00E13F49" w:rsidP="001B78F9">
      <w:pPr>
        <w:tabs>
          <w:tab w:val="center" w:pos="4680"/>
        </w:tabs>
        <w:suppressAutoHyphens/>
        <w:rPr>
          <w:rFonts w:ascii="Arial" w:hAnsi="Arial" w:cs="Arial"/>
          <w:szCs w:val="24"/>
        </w:rPr>
      </w:pPr>
    </w:p>
    <w:p w14:paraId="358EFE79" w14:textId="77777777" w:rsidR="00B53301" w:rsidRDefault="00B53301" w:rsidP="001B78F9">
      <w:pPr>
        <w:tabs>
          <w:tab w:val="center" w:pos="4680"/>
        </w:tabs>
        <w:suppressAutoHyphens/>
        <w:rPr>
          <w:rFonts w:ascii="Arial" w:hAnsi="Arial" w:cs="Arial"/>
          <w:szCs w:val="24"/>
        </w:rPr>
      </w:pPr>
    </w:p>
    <w:p w14:paraId="49C526F9" w14:textId="77777777" w:rsidR="00400C49" w:rsidRDefault="00400C49" w:rsidP="001B78F9">
      <w:pPr>
        <w:tabs>
          <w:tab w:val="center" w:pos="4680"/>
        </w:tabs>
        <w:suppressAutoHyphens/>
        <w:rPr>
          <w:rFonts w:ascii="Arial" w:hAnsi="Arial" w:cs="Arial"/>
          <w:szCs w:val="24"/>
        </w:rPr>
      </w:pPr>
    </w:p>
    <w:p w14:paraId="2B74EF15" w14:textId="77777777" w:rsidR="00400C49" w:rsidRDefault="00400C49" w:rsidP="001B78F9">
      <w:pPr>
        <w:tabs>
          <w:tab w:val="center" w:pos="4680"/>
        </w:tabs>
        <w:suppressAutoHyphens/>
        <w:rPr>
          <w:rFonts w:ascii="Arial" w:hAnsi="Arial" w:cs="Arial"/>
          <w:szCs w:val="24"/>
        </w:rPr>
      </w:pPr>
    </w:p>
    <w:p w14:paraId="4004BD30" w14:textId="77777777" w:rsidR="00400C49" w:rsidRDefault="00400C49" w:rsidP="001B78F9">
      <w:pPr>
        <w:tabs>
          <w:tab w:val="center" w:pos="4680"/>
        </w:tabs>
        <w:suppressAutoHyphens/>
        <w:rPr>
          <w:rFonts w:ascii="Arial" w:hAnsi="Arial" w:cs="Arial"/>
          <w:szCs w:val="24"/>
        </w:rPr>
      </w:pPr>
    </w:p>
    <w:p w14:paraId="10DABBFF" w14:textId="1A75AE81" w:rsidR="00D50737" w:rsidRPr="00C87157" w:rsidRDefault="00D50737" w:rsidP="00245AE1">
      <w:pPr>
        <w:pStyle w:val="Heading1"/>
        <w:rPr>
          <w:rFonts w:ascii="Arial" w:hAnsi="Arial" w:cs="Arial"/>
          <w:sz w:val="26"/>
          <w:szCs w:val="26"/>
          <w:u w:val="none"/>
        </w:rPr>
      </w:pPr>
    </w:p>
    <w:p w14:paraId="326AEC25" w14:textId="77777777" w:rsidR="00EB0586" w:rsidRPr="00C87157" w:rsidRDefault="00EB0586" w:rsidP="00EB0586">
      <w:pPr>
        <w:rPr>
          <w:sz w:val="26"/>
          <w:szCs w:val="26"/>
        </w:rPr>
      </w:pPr>
    </w:p>
    <w:p w14:paraId="4AF21E5C" w14:textId="6992A24F" w:rsidR="005D711E" w:rsidRPr="00C87157" w:rsidRDefault="00C87157" w:rsidP="00245AE1">
      <w:pPr>
        <w:pStyle w:val="Heading1"/>
        <w:rPr>
          <w:rFonts w:ascii="Arial" w:hAnsi="Arial" w:cs="Arial"/>
          <w:sz w:val="26"/>
          <w:szCs w:val="26"/>
          <w:u w:val="none"/>
        </w:rPr>
      </w:pPr>
      <w:r>
        <w:rPr>
          <w:rFonts w:ascii="Arial" w:hAnsi="Arial" w:cs="Arial"/>
          <w:sz w:val="26"/>
          <w:szCs w:val="26"/>
          <w:u w:val="none"/>
        </w:rPr>
        <w:lastRenderedPageBreak/>
        <w:t>Note</w:t>
      </w:r>
      <w:r w:rsidR="00D740DE">
        <w:rPr>
          <w:rFonts w:ascii="Arial" w:hAnsi="Arial" w:cs="Arial"/>
          <w:sz w:val="26"/>
          <w:szCs w:val="26"/>
          <w:u w:val="none"/>
        </w:rPr>
        <w:t>s</w:t>
      </w:r>
      <w:r>
        <w:rPr>
          <w:rFonts w:ascii="Arial" w:hAnsi="Arial" w:cs="Arial"/>
          <w:sz w:val="26"/>
          <w:szCs w:val="26"/>
          <w:u w:val="none"/>
        </w:rPr>
        <w:t xml:space="preserve"> t</w:t>
      </w:r>
      <w:r w:rsidR="009F33F0">
        <w:rPr>
          <w:rFonts w:ascii="Arial" w:hAnsi="Arial" w:cs="Arial"/>
          <w:sz w:val="26"/>
          <w:szCs w:val="26"/>
          <w:u w:val="none"/>
        </w:rPr>
        <w:t>o t</w:t>
      </w:r>
      <w:r w:rsidR="005D711E" w:rsidRPr="00C87157">
        <w:rPr>
          <w:rFonts w:ascii="Arial" w:hAnsi="Arial" w:cs="Arial"/>
          <w:sz w:val="26"/>
          <w:szCs w:val="26"/>
          <w:u w:val="none"/>
        </w:rPr>
        <w:t>he Financial Statement</w:t>
      </w:r>
    </w:p>
    <w:p w14:paraId="45837DDF" w14:textId="77777777" w:rsidR="00BF0E3F" w:rsidRDefault="00BF0E3F" w:rsidP="00BF0E3F">
      <w:pPr>
        <w:pStyle w:val="EndnoteText"/>
        <w:tabs>
          <w:tab w:val="left" w:pos="475"/>
        </w:tabs>
        <w:suppressAutoHyphens/>
        <w:jc w:val="both"/>
        <w:rPr>
          <w:rFonts w:ascii="Arial" w:hAnsi="Arial" w:cs="Arial"/>
          <w:b/>
          <w:szCs w:val="24"/>
          <w:u w:val="single"/>
        </w:rPr>
      </w:pPr>
    </w:p>
    <w:p w14:paraId="70A0F55F" w14:textId="77777777" w:rsidR="004C2A01" w:rsidRDefault="004C2A01" w:rsidP="00EC04F8">
      <w:pPr>
        <w:jc w:val="both"/>
        <w:rPr>
          <w:rFonts w:ascii="Arial" w:hAnsi="Arial" w:cs="Arial"/>
          <w:b/>
          <w:szCs w:val="24"/>
          <w:u w:val="single"/>
        </w:rPr>
      </w:pPr>
    </w:p>
    <w:p w14:paraId="6080B4AB" w14:textId="342E55DE" w:rsidR="00EC04F8" w:rsidRPr="00936DE2" w:rsidRDefault="00EC04F8" w:rsidP="00EC04F8">
      <w:pPr>
        <w:jc w:val="both"/>
        <w:rPr>
          <w:rFonts w:ascii="Arial" w:hAnsi="Arial" w:cs="Arial"/>
          <w:b/>
          <w:szCs w:val="24"/>
          <w:u w:val="single"/>
        </w:rPr>
      </w:pPr>
      <w:r>
        <w:rPr>
          <w:rFonts w:ascii="Arial" w:hAnsi="Arial" w:cs="Arial"/>
          <w:b/>
          <w:szCs w:val="24"/>
          <w:u w:val="single"/>
        </w:rPr>
        <w:t xml:space="preserve">1 </w:t>
      </w:r>
      <w:r w:rsidR="00346E39">
        <w:rPr>
          <w:rFonts w:ascii="Arial" w:hAnsi="Arial" w:cs="Arial"/>
          <w:b/>
          <w:szCs w:val="24"/>
          <w:u w:val="single"/>
        </w:rPr>
        <w:t>-</w:t>
      </w:r>
      <w:r>
        <w:rPr>
          <w:rFonts w:ascii="Arial" w:hAnsi="Arial" w:cs="Arial"/>
          <w:b/>
          <w:szCs w:val="24"/>
          <w:u w:val="single"/>
        </w:rPr>
        <w:t xml:space="preserve"> Condensed Statement</w:t>
      </w:r>
    </w:p>
    <w:p w14:paraId="449FEA19" w14:textId="77777777" w:rsidR="00EC04F8" w:rsidRPr="00EC04F8" w:rsidRDefault="00EC04F8" w:rsidP="00EC04F8">
      <w:pPr>
        <w:tabs>
          <w:tab w:val="left" w:pos="360"/>
        </w:tabs>
        <w:jc w:val="both"/>
        <w:rPr>
          <w:rFonts w:ascii="Arial" w:hAnsi="Arial" w:cs="Arial"/>
          <w:b/>
          <w:szCs w:val="24"/>
          <w:highlight w:val="lightGray"/>
          <w:u w:val="single"/>
        </w:rPr>
      </w:pPr>
    </w:p>
    <w:p w14:paraId="5D6BF81B" w14:textId="7AA274DE" w:rsidR="000A2802" w:rsidRDefault="00EC04F8" w:rsidP="00EC04F8">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D65E8F">
        <w:rPr>
          <w:rFonts w:ascii="Arial" w:hAnsi="Arial" w:cs="Arial"/>
          <w:szCs w:val="24"/>
        </w:rPr>
        <w:t>N</w:t>
      </w:r>
      <w:r w:rsidR="0005703E">
        <w:rPr>
          <w:rFonts w:ascii="Arial" w:hAnsi="Arial" w:cs="Arial"/>
          <w:szCs w:val="24"/>
        </w:rPr>
        <w:t>on-</w:t>
      </w:r>
      <w:proofErr w:type="spellStart"/>
      <w:r w:rsidR="00D65E8F">
        <w:rPr>
          <w:rFonts w:ascii="Arial" w:hAnsi="Arial" w:cs="Arial"/>
          <w:szCs w:val="24"/>
        </w:rPr>
        <w:t>B</w:t>
      </w:r>
      <w:r w:rsidR="0005703E">
        <w:rPr>
          <w:rFonts w:ascii="Arial" w:hAnsi="Arial" w:cs="Arial"/>
          <w:szCs w:val="24"/>
        </w:rPr>
        <w:t>ypassable</w:t>
      </w:r>
      <w:proofErr w:type="spellEnd"/>
      <w:r w:rsidR="0005703E">
        <w:rPr>
          <w:rFonts w:ascii="Arial" w:hAnsi="Arial" w:cs="Arial"/>
          <w:szCs w:val="24"/>
        </w:rPr>
        <w:t xml:space="preserve"> </w:t>
      </w:r>
      <w:r w:rsidR="00D65E8F">
        <w:rPr>
          <w:rFonts w:ascii="Arial" w:hAnsi="Arial" w:cs="Arial"/>
          <w:szCs w:val="24"/>
        </w:rPr>
        <w:t>T</w:t>
      </w:r>
      <w:r w:rsidR="0005703E">
        <w:rPr>
          <w:rFonts w:ascii="Arial" w:hAnsi="Arial" w:cs="Arial"/>
          <w:szCs w:val="24"/>
        </w:rPr>
        <w:t>ransmission Charge</w:t>
      </w:r>
      <w:r>
        <w:rPr>
          <w:rFonts w:ascii="Arial" w:hAnsi="Arial" w:cs="Arial"/>
          <w:szCs w:val="24"/>
        </w:rPr>
        <w:t xml:space="preserve">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102E74">
        <w:rPr>
          <w:rFonts w:ascii="Arial" w:hAnsi="Arial" w:cs="Arial"/>
          <w:szCs w:val="26"/>
        </w:rPr>
        <w:t xml:space="preserve"> report </w:t>
      </w:r>
      <w:r w:rsidR="00E13F49">
        <w:rPr>
          <w:rFonts w:ascii="Arial" w:hAnsi="Arial" w:cs="Arial"/>
          <w:szCs w:val="26"/>
        </w:rPr>
        <w:t xml:space="preserve">is </w:t>
      </w:r>
      <w:r w:rsidRPr="007D5DFB">
        <w:rPr>
          <w:rFonts w:ascii="Arial" w:hAnsi="Arial" w:cs="Arial"/>
          <w:szCs w:val="26"/>
        </w:rPr>
        <w:t xml:space="preserve">condensed from the officially filed statement </w:t>
      </w:r>
      <w:proofErr w:type="gramStart"/>
      <w:r w:rsidRPr="007D5DFB">
        <w:rPr>
          <w:rFonts w:ascii="Arial" w:hAnsi="Arial" w:cs="Arial"/>
          <w:szCs w:val="26"/>
        </w:rPr>
        <w:t>for the purpose of</w:t>
      </w:r>
      <w:proofErr w:type="gramEnd"/>
      <w:r w:rsidRPr="007D5DFB">
        <w:rPr>
          <w:rFonts w:ascii="Arial" w:hAnsi="Arial" w:cs="Arial"/>
          <w:szCs w:val="26"/>
        </w:rPr>
        <w:t xml:space="preserve"> clarity. The audit was conducted on </w:t>
      </w:r>
      <w:r w:rsidR="00DC7A12">
        <w:rPr>
          <w:rFonts w:ascii="Arial" w:hAnsi="Arial" w:cs="Arial"/>
          <w:szCs w:val="26"/>
        </w:rPr>
        <w:t>PECO Energy Company</w:t>
      </w:r>
      <w:r>
        <w:rPr>
          <w:rFonts w:ascii="Arial" w:hAnsi="Arial" w:cs="Arial"/>
          <w:szCs w:val="24"/>
        </w:rPr>
        <w:t>’s (P</w:t>
      </w:r>
      <w:r w:rsidR="00DC7A12">
        <w:rPr>
          <w:rFonts w:ascii="Arial" w:hAnsi="Arial" w:cs="Arial"/>
          <w:szCs w:val="24"/>
        </w:rPr>
        <w:t>ECO</w:t>
      </w:r>
      <w:r>
        <w:rPr>
          <w:rFonts w:ascii="Arial" w:hAnsi="Arial" w:cs="Arial"/>
          <w:szCs w:val="24"/>
        </w:rPr>
        <w:t xml:space="preserve">) </w:t>
      </w:r>
      <w:r w:rsidRPr="007D5DFB">
        <w:rPr>
          <w:rFonts w:ascii="Arial" w:hAnsi="Arial" w:cs="Arial"/>
          <w:szCs w:val="26"/>
        </w:rPr>
        <w:t xml:space="preserve">officially filed 1307(e) </w:t>
      </w:r>
      <w:proofErr w:type="gramStart"/>
      <w:r>
        <w:rPr>
          <w:rFonts w:ascii="Arial" w:hAnsi="Arial" w:cs="Arial"/>
          <w:szCs w:val="26"/>
        </w:rPr>
        <w:t>statement</w:t>
      </w:r>
      <w:proofErr w:type="gramEnd"/>
      <w:r w:rsidR="00102E74">
        <w:rPr>
          <w:rFonts w:ascii="Arial" w:hAnsi="Arial" w:cs="Arial"/>
          <w:szCs w:val="26"/>
        </w:rPr>
        <w:t xml:space="preserve"> </w:t>
      </w:r>
      <w:r w:rsidR="000A2802" w:rsidRPr="007D5DFB">
        <w:rPr>
          <w:rFonts w:ascii="Arial" w:hAnsi="Arial" w:cs="Arial"/>
          <w:szCs w:val="26"/>
        </w:rPr>
        <w:t xml:space="preserve">submitted to the </w:t>
      </w:r>
      <w:r w:rsidR="000A2802">
        <w:rPr>
          <w:rFonts w:ascii="Arial" w:hAnsi="Arial" w:cs="Arial"/>
          <w:szCs w:val="24"/>
        </w:rPr>
        <w:t xml:space="preserve">Pennsylvania Public Utility Commission (PUC or Commission) in accordance with Section </w:t>
      </w:r>
      <w:r w:rsidR="000A2802" w:rsidRPr="00E729D3">
        <w:rPr>
          <w:rFonts w:ascii="Arial" w:hAnsi="Arial" w:cs="Arial"/>
          <w:szCs w:val="24"/>
        </w:rPr>
        <w:t>1307(</w:t>
      </w:r>
      <w:r w:rsidR="000A2802">
        <w:rPr>
          <w:rFonts w:ascii="Arial" w:hAnsi="Arial" w:cs="Arial"/>
          <w:szCs w:val="24"/>
        </w:rPr>
        <w:t>e</w:t>
      </w:r>
      <w:r w:rsidR="000A2802" w:rsidRPr="00E729D3">
        <w:rPr>
          <w:rFonts w:ascii="Arial" w:hAnsi="Arial" w:cs="Arial"/>
          <w:szCs w:val="24"/>
        </w:rPr>
        <w:t>)</w:t>
      </w:r>
      <w:r w:rsidR="000A2802">
        <w:rPr>
          <w:rFonts w:ascii="Arial" w:hAnsi="Arial" w:cs="Arial"/>
          <w:szCs w:val="24"/>
        </w:rPr>
        <w:t>(1)</w:t>
      </w:r>
      <w:r w:rsidR="000A2802" w:rsidRPr="00E729D3">
        <w:rPr>
          <w:rFonts w:ascii="Arial" w:hAnsi="Arial" w:cs="Arial"/>
          <w:szCs w:val="24"/>
        </w:rPr>
        <w:t xml:space="preserve"> </w:t>
      </w:r>
      <w:r w:rsidR="000A2802">
        <w:rPr>
          <w:rFonts w:ascii="Arial" w:hAnsi="Arial" w:cs="Arial"/>
          <w:szCs w:val="24"/>
        </w:rPr>
        <w:t xml:space="preserve">of the Public Utility Code on </w:t>
      </w:r>
      <w:r w:rsidR="000A2802" w:rsidRPr="00E6771F">
        <w:rPr>
          <w:rFonts w:ascii="Arial" w:hAnsi="Arial" w:cs="Arial"/>
          <w:szCs w:val="26"/>
        </w:rPr>
        <w:t>December 23, 2015</w:t>
      </w:r>
      <w:r w:rsidR="000A2802">
        <w:rPr>
          <w:rFonts w:ascii="Arial" w:hAnsi="Arial" w:cs="Arial"/>
          <w:szCs w:val="26"/>
        </w:rPr>
        <w:t>.  The statement</w:t>
      </w:r>
      <w:r w:rsidR="004A5632">
        <w:rPr>
          <w:rFonts w:ascii="Arial" w:hAnsi="Arial" w:cs="Arial"/>
          <w:szCs w:val="26"/>
        </w:rPr>
        <w:t xml:space="preserve"> is</w:t>
      </w:r>
      <w:r w:rsidR="000A2802">
        <w:rPr>
          <w:rFonts w:ascii="Arial" w:hAnsi="Arial" w:cs="Arial"/>
          <w:szCs w:val="26"/>
        </w:rPr>
        <w:t xml:space="preserve"> available on the PUC’s website (</w:t>
      </w:r>
      <w:hyperlink r:id="rId23" w:history="1">
        <w:r w:rsidR="000A2802" w:rsidRPr="00B6099A">
          <w:rPr>
            <w:rStyle w:val="Hyperlink"/>
            <w:rFonts w:ascii="Arial" w:hAnsi="Arial" w:cs="Arial"/>
            <w:szCs w:val="26"/>
          </w:rPr>
          <w:t>http://wwww.puc.pa.gov</w:t>
        </w:r>
      </w:hyperlink>
      <w:r w:rsidR="000A2802">
        <w:rPr>
          <w:rFonts w:ascii="Arial" w:hAnsi="Arial" w:cs="Arial"/>
          <w:szCs w:val="26"/>
        </w:rPr>
        <w:t xml:space="preserve">) at Docket No. </w:t>
      </w:r>
      <w:r w:rsidR="000A2802" w:rsidRPr="00656ADB">
        <w:rPr>
          <w:rFonts w:ascii="Arial" w:hAnsi="Arial" w:cs="Arial"/>
          <w:szCs w:val="26"/>
        </w:rPr>
        <w:t>M</w:t>
      </w:r>
      <w:r w:rsidR="000A2802" w:rsidRPr="00656ADB">
        <w:rPr>
          <w:rFonts w:ascii="Arial" w:hAnsi="Arial" w:cs="Arial"/>
          <w:szCs w:val="26"/>
        </w:rPr>
        <w:noBreakHyphen/>
        <w:t>2015</w:t>
      </w:r>
      <w:r w:rsidR="000A2802" w:rsidRPr="00656ADB">
        <w:rPr>
          <w:rFonts w:ascii="Arial" w:hAnsi="Arial" w:cs="Arial"/>
          <w:szCs w:val="26"/>
        </w:rPr>
        <w:noBreakHyphen/>
        <w:t>252024</w:t>
      </w:r>
      <w:r w:rsidR="004A5632">
        <w:rPr>
          <w:rFonts w:ascii="Arial" w:hAnsi="Arial" w:cs="Arial"/>
          <w:szCs w:val="26"/>
        </w:rPr>
        <w:t>7.</w:t>
      </w:r>
    </w:p>
    <w:p w14:paraId="0ED624EC" w14:textId="77777777" w:rsidR="000A2802" w:rsidRDefault="000A2802" w:rsidP="00EC04F8">
      <w:pPr>
        <w:pStyle w:val="EndnoteText"/>
        <w:tabs>
          <w:tab w:val="left" w:pos="9180"/>
        </w:tabs>
        <w:suppressAutoHyphens/>
        <w:ind w:left="360"/>
        <w:rPr>
          <w:rFonts w:ascii="Arial" w:hAnsi="Arial" w:cs="Arial"/>
          <w:szCs w:val="26"/>
        </w:rPr>
      </w:pPr>
    </w:p>
    <w:p w14:paraId="22C18241" w14:textId="37A01E3E"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2</w:t>
      </w:r>
      <w:r w:rsidR="00BB544B">
        <w:rPr>
          <w:rFonts w:ascii="Arial" w:hAnsi="Arial" w:cs="Arial"/>
          <w:b/>
          <w:szCs w:val="24"/>
          <w:u w:val="single"/>
        </w:rPr>
        <w:t xml:space="preserve"> -</w:t>
      </w:r>
      <w:r w:rsidR="00BB544B">
        <w:rPr>
          <w:rFonts w:ascii="Arial" w:hAnsi="Arial" w:cs="Arial"/>
          <w:b/>
          <w:szCs w:val="24"/>
          <w:u w:val="single"/>
        </w:rPr>
        <w:tab/>
      </w:r>
      <w:r w:rsidR="00D65E8F">
        <w:rPr>
          <w:rFonts w:ascii="Arial" w:hAnsi="Arial" w:cs="Arial"/>
          <w:b/>
          <w:szCs w:val="24"/>
          <w:u w:val="single"/>
        </w:rPr>
        <w:t>NBT</w:t>
      </w:r>
      <w:r w:rsidR="00BB544B">
        <w:rPr>
          <w:rFonts w:ascii="Arial" w:hAnsi="Arial" w:cs="Arial"/>
          <w:b/>
          <w:szCs w:val="24"/>
          <w:u w:val="single"/>
        </w:rPr>
        <w:t xml:space="preserve"> Revenue</w:t>
      </w:r>
    </w:p>
    <w:p w14:paraId="74AEC875" w14:textId="77777777" w:rsidR="00E85E8B" w:rsidRPr="00BE0936" w:rsidRDefault="00E85E8B" w:rsidP="00E85E8B">
      <w:pPr>
        <w:tabs>
          <w:tab w:val="left" w:pos="360"/>
        </w:tabs>
        <w:jc w:val="both"/>
        <w:rPr>
          <w:rFonts w:ascii="Arial" w:hAnsi="Arial" w:cs="Arial"/>
          <w:b/>
          <w:szCs w:val="24"/>
          <w:highlight w:val="lightGray"/>
          <w:u w:val="single"/>
        </w:rPr>
      </w:pPr>
    </w:p>
    <w:p w14:paraId="040F17F6" w14:textId="024B44E1" w:rsidR="00B8650A" w:rsidRDefault="00D65E8F" w:rsidP="00E85E8B">
      <w:pPr>
        <w:tabs>
          <w:tab w:val="left" w:pos="360"/>
        </w:tabs>
        <w:ind w:left="360"/>
        <w:rPr>
          <w:rFonts w:ascii="Arial" w:hAnsi="Arial" w:cs="Arial"/>
          <w:szCs w:val="24"/>
        </w:rPr>
      </w:pPr>
      <w:r>
        <w:rPr>
          <w:rFonts w:ascii="Arial" w:hAnsi="Arial" w:cs="Arial"/>
          <w:szCs w:val="24"/>
        </w:rPr>
        <w:t>NBT</w:t>
      </w:r>
      <w:r w:rsidR="00E85E8B" w:rsidRPr="00A507DA">
        <w:rPr>
          <w:rFonts w:ascii="Arial" w:hAnsi="Arial" w:cs="Arial"/>
          <w:szCs w:val="24"/>
        </w:rPr>
        <w:t xml:space="preserve"> Revenu</w:t>
      </w:r>
      <w:r w:rsidR="00B8650A">
        <w:rPr>
          <w:rFonts w:ascii="Arial" w:hAnsi="Arial" w:cs="Arial"/>
          <w:szCs w:val="24"/>
        </w:rPr>
        <w:t xml:space="preserve">e is </w:t>
      </w:r>
      <w:r w:rsidR="00B8650A" w:rsidRPr="002D0A9C">
        <w:rPr>
          <w:rFonts w:ascii="Arial" w:hAnsi="Arial" w:cs="Arial"/>
          <w:szCs w:val="24"/>
        </w:rPr>
        <w:t xml:space="preserve">derived by multiplying the sales volumes billed during the month by the applicable </w:t>
      </w:r>
      <w:r w:rsidR="00B8650A">
        <w:rPr>
          <w:rFonts w:ascii="Arial" w:hAnsi="Arial" w:cs="Arial"/>
          <w:szCs w:val="24"/>
        </w:rPr>
        <w:t>NBT</w:t>
      </w:r>
      <w:r w:rsidR="00B8650A" w:rsidRPr="002D0A9C">
        <w:rPr>
          <w:rFonts w:ascii="Arial" w:hAnsi="Arial" w:cs="Arial"/>
          <w:szCs w:val="24"/>
        </w:rPr>
        <w:t xml:space="preserve"> rate, excluding E-Factor, to each kilowatt-hour (kWh) of energy or kilowatt (kW) of demand supplied to customers who receive </w:t>
      </w:r>
      <w:r w:rsidR="00B8650A">
        <w:rPr>
          <w:rFonts w:ascii="Arial" w:hAnsi="Arial" w:cs="Arial"/>
          <w:szCs w:val="24"/>
        </w:rPr>
        <w:t>d</w:t>
      </w:r>
      <w:r w:rsidR="00843318">
        <w:rPr>
          <w:rFonts w:ascii="Arial" w:hAnsi="Arial" w:cs="Arial"/>
          <w:szCs w:val="24"/>
        </w:rPr>
        <w:t>istribution</w:t>
      </w:r>
      <w:r w:rsidR="00B8650A">
        <w:rPr>
          <w:rFonts w:ascii="Arial" w:hAnsi="Arial" w:cs="Arial"/>
          <w:szCs w:val="24"/>
        </w:rPr>
        <w:t xml:space="preserve"> service from PECO.</w:t>
      </w:r>
    </w:p>
    <w:p w14:paraId="5C440239" w14:textId="77777777" w:rsidR="00C72207" w:rsidRPr="00A507DA" w:rsidRDefault="00C72207" w:rsidP="00E85E8B">
      <w:pPr>
        <w:tabs>
          <w:tab w:val="left" w:pos="360"/>
        </w:tabs>
        <w:ind w:left="360"/>
        <w:rPr>
          <w:rFonts w:ascii="Arial" w:hAnsi="Arial" w:cs="Arial"/>
          <w:szCs w:val="24"/>
        </w:rPr>
      </w:pPr>
    </w:p>
    <w:p w14:paraId="38161A5A" w14:textId="77777777" w:rsidR="00E85E8B" w:rsidRPr="00BE0936" w:rsidRDefault="00BF0E3F" w:rsidP="00E85E8B">
      <w:pPr>
        <w:pStyle w:val="EndnoteText"/>
        <w:tabs>
          <w:tab w:val="left" w:pos="360"/>
        </w:tabs>
        <w:suppressAutoHyphens/>
        <w:rPr>
          <w:rFonts w:ascii="Arial" w:hAnsi="Arial" w:cs="Arial"/>
          <w:b/>
          <w:szCs w:val="24"/>
          <w:u w:val="single"/>
        </w:rPr>
      </w:pPr>
      <w:r>
        <w:rPr>
          <w:rFonts w:ascii="Arial" w:hAnsi="Arial" w:cs="Arial"/>
          <w:b/>
          <w:szCs w:val="24"/>
          <w:u w:val="single"/>
        </w:rPr>
        <w:t>3</w:t>
      </w:r>
      <w:r w:rsidR="00E85E8B" w:rsidRPr="00BE0936">
        <w:rPr>
          <w:rFonts w:ascii="Arial" w:hAnsi="Arial" w:cs="Arial"/>
          <w:b/>
          <w:szCs w:val="24"/>
          <w:u w:val="single"/>
        </w:rPr>
        <w:t xml:space="preserve"> -</w:t>
      </w:r>
      <w:r w:rsidR="00E85E8B" w:rsidRPr="00BE0936">
        <w:rPr>
          <w:rFonts w:ascii="Arial" w:hAnsi="Arial" w:cs="Arial"/>
          <w:b/>
          <w:szCs w:val="24"/>
          <w:u w:val="single"/>
        </w:rPr>
        <w:tab/>
      </w:r>
      <w:r w:rsidR="00D65E8F">
        <w:rPr>
          <w:rFonts w:ascii="Arial" w:hAnsi="Arial" w:cs="Arial"/>
          <w:b/>
          <w:szCs w:val="24"/>
          <w:u w:val="single"/>
        </w:rPr>
        <w:t>NBT</w:t>
      </w:r>
      <w:r w:rsidR="00725EC7">
        <w:rPr>
          <w:rFonts w:ascii="Arial" w:hAnsi="Arial" w:cs="Arial"/>
          <w:b/>
          <w:szCs w:val="24"/>
          <w:u w:val="single"/>
        </w:rPr>
        <w:t xml:space="preserve"> </w:t>
      </w:r>
      <w:r w:rsidR="00E85E8B" w:rsidRPr="00BE0936">
        <w:rPr>
          <w:rFonts w:ascii="Arial" w:hAnsi="Arial" w:cs="Arial"/>
          <w:b/>
          <w:szCs w:val="24"/>
          <w:u w:val="single"/>
        </w:rPr>
        <w:t xml:space="preserve">Costs </w:t>
      </w:r>
    </w:p>
    <w:p w14:paraId="42FDB9C6" w14:textId="77777777" w:rsidR="00E85E8B" w:rsidRPr="00BE0936" w:rsidRDefault="00E85E8B" w:rsidP="00E85E8B">
      <w:pPr>
        <w:tabs>
          <w:tab w:val="left" w:pos="360"/>
        </w:tabs>
        <w:ind w:left="360"/>
        <w:rPr>
          <w:rFonts w:ascii="Arial" w:hAnsi="Arial" w:cs="Arial"/>
          <w:szCs w:val="24"/>
          <w:highlight w:val="lightGray"/>
        </w:rPr>
      </w:pPr>
    </w:p>
    <w:p w14:paraId="1ACCBAEC" w14:textId="34E1AD06" w:rsidR="00E85E8B" w:rsidRPr="00BE0936" w:rsidRDefault="00D16F38" w:rsidP="00E85E8B">
      <w:pPr>
        <w:tabs>
          <w:tab w:val="left" w:pos="360"/>
        </w:tabs>
        <w:ind w:left="360"/>
        <w:rPr>
          <w:rFonts w:ascii="Arial" w:hAnsi="Arial" w:cs="Arial"/>
          <w:szCs w:val="24"/>
        </w:rPr>
      </w:pPr>
      <w:r>
        <w:rPr>
          <w:rFonts w:ascii="Arial" w:hAnsi="Arial" w:cs="Arial"/>
          <w:szCs w:val="24"/>
        </w:rPr>
        <w:t xml:space="preserve">The </w:t>
      </w:r>
      <w:r w:rsidR="00D65E8F">
        <w:rPr>
          <w:rFonts w:ascii="Arial" w:hAnsi="Arial" w:cs="Arial"/>
          <w:szCs w:val="24"/>
        </w:rPr>
        <w:t>NBT</w:t>
      </w:r>
      <w:r w:rsidR="00E85E8B" w:rsidRPr="00BE0936">
        <w:rPr>
          <w:rFonts w:ascii="Arial" w:hAnsi="Arial" w:cs="Arial"/>
          <w:szCs w:val="24"/>
        </w:rPr>
        <w:t xml:space="preserve"> Costs are the applicable charges incurred by </w:t>
      </w:r>
      <w:r w:rsidR="004A7BE5">
        <w:rPr>
          <w:rFonts w:ascii="Arial" w:hAnsi="Arial" w:cs="Arial"/>
          <w:szCs w:val="24"/>
        </w:rPr>
        <w:t>PECO</w:t>
      </w:r>
      <w:r w:rsidR="00E85E8B" w:rsidRPr="00BE0936">
        <w:rPr>
          <w:rFonts w:ascii="Arial" w:hAnsi="Arial" w:cs="Arial"/>
          <w:szCs w:val="24"/>
        </w:rPr>
        <w:t xml:space="preserve"> to acquire </w:t>
      </w:r>
      <w:r w:rsidR="00AE6479">
        <w:rPr>
          <w:rFonts w:ascii="Arial" w:hAnsi="Arial" w:cs="Arial"/>
          <w:szCs w:val="24"/>
        </w:rPr>
        <w:t xml:space="preserve">certain </w:t>
      </w:r>
      <w:r w:rsidR="00E85E8B" w:rsidRPr="00BE0936">
        <w:rPr>
          <w:rFonts w:ascii="Arial" w:hAnsi="Arial" w:cs="Arial"/>
          <w:szCs w:val="24"/>
        </w:rPr>
        <w:t>transmission service</w:t>
      </w:r>
      <w:r w:rsidR="00AE6479">
        <w:rPr>
          <w:rFonts w:ascii="Arial" w:hAnsi="Arial" w:cs="Arial"/>
          <w:szCs w:val="24"/>
        </w:rPr>
        <w:t>s</w:t>
      </w:r>
      <w:r w:rsidR="00E85E8B" w:rsidRPr="00BE0936">
        <w:rPr>
          <w:rFonts w:ascii="Arial" w:hAnsi="Arial" w:cs="Arial"/>
          <w:szCs w:val="24"/>
        </w:rPr>
        <w:t xml:space="preserve"> under the PJM </w:t>
      </w:r>
      <w:r w:rsidR="002F069E" w:rsidRPr="00F51FF0">
        <w:rPr>
          <w:rFonts w:ascii="Arial" w:hAnsi="Arial" w:cs="Arial"/>
          <w:szCs w:val="24"/>
        </w:rPr>
        <w:t>O</w:t>
      </w:r>
      <w:r w:rsidR="002F069E">
        <w:rPr>
          <w:rFonts w:ascii="Arial" w:hAnsi="Arial" w:cs="Arial"/>
          <w:szCs w:val="24"/>
        </w:rPr>
        <w:t xml:space="preserve">pen </w:t>
      </w:r>
      <w:r w:rsidR="002F069E" w:rsidRPr="00F51FF0">
        <w:rPr>
          <w:rFonts w:ascii="Arial" w:hAnsi="Arial" w:cs="Arial"/>
          <w:szCs w:val="24"/>
        </w:rPr>
        <w:t>A</w:t>
      </w:r>
      <w:r w:rsidR="002F069E">
        <w:rPr>
          <w:rFonts w:ascii="Arial" w:hAnsi="Arial" w:cs="Arial"/>
          <w:szCs w:val="24"/>
        </w:rPr>
        <w:t xml:space="preserve">ccess </w:t>
      </w:r>
      <w:r w:rsidR="002F069E" w:rsidRPr="00F51FF0">
        <w:rPr>
          <w:rFonts w:ascii="Arial" w:hAnsi="Arial" w:cs="Arial"/>
          <w:szCs w:val="24"/>
        </w:rPr>
        <w:t>T</w:t>
      </w:r>
      <w:r w:rsidR="002F069E">
        <w:rPr>
          <w:rFonts w:ascii="Arial" w:hAnsi="Arial" w:cs="Arial"/>
          <w:szCs w:val="24"/>
        </w:rPr>
        <w:t xml:space="preserve">ransmission </w:t>
      </w:r>
      <w:r w:rsidR="002F069E" w:rsidRPr="00F51FF0">
        <w:rPr>
          <w:rFonts w:ascii="Arial" w:hAnsi="Arial" w:cs="Arial"/>
          <w:szCs w:val="24"/>
        </w:rPr>
        <w:t>T</w:t>
      </w:r>
      <w:r w:rsidR="002F069E">
        <w:rPr>
          <w:rFonts w:ascii="Arial" w:hAnsi="Arial" w:cs="Arial"/>
          <w:szCs w:val="24"/>
        </w:rPr>
        <w:t>ariff</w:t>
      </w:r>
      <w:r w:rsidR="002F069E" w:rsidRPr="00F51FF0">
        <w:rPr>
          <w:rFonts w:ascii="Arial" w:hAnsi="Arial" w:cs="Arial"/>
          <w:szCs w:val="24"/>
        </w:rPr>
        <w:t xml:space="preserve"> </w:t>
      </w:r>
      <w:r w:rsidR="002F069E">
        <w:rPr>
          <w:rFonts w:ascii="Arial" w:hAnsi="Arial" w:cs="Arial"/>
          <w:szCs w:val="24"/>
        </w:rPr>
        <w:t xml:space="preserve">(OATT) as </w:t>
      </w:r>
      <w:r w:rsidR="004A7BE5">
        <w:rPr>
          <w:rFonts w:ascii="Arial" w:hAnsi="Arial" w:cs="Arial"/>
          <w:szCs w:val="24"/>
        </w:rPr>
        <w:t>on behalf of PECO’s distribution service c</w:t>
      </w:r>
      <w:r w:rsidR="001C4DE0">
        <w:rPr>
          <w:rFonts w:ascii="Arial" w:hAnsi="Arial" w:cs="Arial"/>
          <w:szCs w:val="24"/>
        </w:rPr>
        <w:t>ustomers</w:t>
      </w:r>
      <w:r w:rsidR="00E85E8B" w:rsidRPr="00BE0936">
        <w:rPr>
          <w:rFonts w:ascii="Arial" w:hAnsi="Arial" w:cs="Arial"/>
          <w:szCs w:val="24"/>
        </w:rPr>
        <w:t>.</w:t>
      </w:r>
      <w:r w:rsidR="000E76F1">
        <w:rPr>
          <w:rFonts w:ascii="Arial" w:hAnsi="Arial" w:cs="Arial"/>
          <w:szCs w:val="24"/>
        </w:rPr>
        <w:t xml:space="preserve"> </w:t>
      </w:r>
      <w:r w:rsidR="00E85E8B" w:rsidRPr="00BE0936">
        <w:rPr>
          <w:rFonts w:ascii="Arial" w:hAnsi="Arial" w:cs="Arial"/>
          <w:szCs w:val="24"/>
        </w:rPr>
        <w:t xml:space="preserve"> </w:t>
      </w:r>
    </w:p>
    <w:p w14:paraId="3B2BA8FB" w14:textId="77777777" w:rsidR="00E85E8B" w:rsidRPr="00BE0936" w:rsidRDefault="00E85E8B" w:rsidP="00E85E8B">
      <w:pPr>
        <w:tabs>
          <w:tab w:val="left" w:pos="360"/>
        </w:tabs>
        <w:jc w:val="both"/>
        <w:rPr>
          <w:rFonts w:ascii="Arial" w:hAnsi="Arial" w:cs="Arial"/>
          <w:b/>
          <w:szCs w:val="24"/>
          <w:highlight w:val="lightGray"/>
          <w:u w:val="single"/>
        </w:rPr>
      </w:pPr>
    </w:p>
    <w:p w14:paraId="14FE7655" w14:textId="77777777"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4</w:t>
      </w:r>
      <w:r w:rsidR="00E85E8B" w:rsidRPr="00BE0936">
        <w:rPr>
          <w:rFonts w:ascii="Arial" w:hAnsi="Arial" w:cs="Arial"/>
          <w:b/>
          <w:szCs w:val="24"/>
          <w:u w:val="single"/>
        </w:rPr>
        <w:t xml:space="preserve"> -</w:t>
      </w:r>
      <w:r w:rsidR="00E85E8B" w:rsidRPr="00BE0936">
        <w:rPr>
          <w:rFonts w:ascii="Arial" w:hAnsi="Arial" w:cs="Arial"/>
          <w:b/>
          <w:szCs w:val="24"/>
          <w:u w:val="single"/>
        </w:rPr>
        <w:tab/>
        <w:t>Over</w:t>
      </w:r>
      <w:r w:rsidR="00D954E3" w:rsidRPr="00BE0936">
        <w:rPr>
          <w:rFonts w:ascii="Arial" w:hAnsi="Arial" w:cs="Arial"/>
          <w:b/>
          <w:szCs w:val="24"/>
          <w:u w:val="single"/>
        </w:rPr>
        <w:t>/</w:t>
      </w:r>
      <w:r w:rsidR="00D954E3">
        <w:rPr>
          <w:rFonts w:ascii="Arial" w:hAnsi="Arial" w:cs="Arial"/>
          <w:b/>
          <w:szCs w:val="24"/>
          <w:u w:val="single"/>
        </w:rPr>
        <w:t>(</w:t>
      </w:r>
      <w:r w:rsidR="00E85E8B" w:rsidRPr="00BE0936">
        <w:rPr>
          <w:rFonts w:ascii="Arial" w:hAnsi="Arial" w:cs="Arial"/>
          <w:b/>
          <w:szCs w:val="24"/>
          <w:u w:val="single"/>
        </w:rPr>
        <w:t>Under</w:t>
      </w:r>
      <w:r w:rsidR="00712E5A">
        <w:rPr>
          <w:rFonts w:ascii="Arial" w:hAnsi="Arial" w:cs="Arial"/>
          <w:b/>
          <w:szCs w:val="24"/>
          <w:u w:val="single"/>
        </w:rPr>
        <w:t>)</w:t>
      </w:r>
      <w:r w:rsidR="00E85E8B" w:rsidRPr="00BE0936">
        <w:rPr>
          <w:rFonts w:ascii="Arial" w:hAnsi="Arial" w:cs="Arial"/>
          <w:b/>
          <w:szCs w:val="24"/>
          <w:u w:val="single"/>
        </w:rPr>
        <w:t xml:space="preserve"> Collection</w:t>
      </w:r>
      <w:r w:rsidR="0097220F">
        <w:rPr>
          <w:rFonts w:ascii="Arial" w:hAnsi="Arial" w:cs="Arial"/>
          <w:b/>
          <w:szCs w:val="24"/>
          <w:u w:val="single"/>
        </w:rPr>
        <w:t>s</w:t>
      </w:r>
    </w:p>
    <w:p w14:paraId="010E69DC" w14:textId="77777777" w:rsidR="00E85E8B" w:rsidRPr="00BE0936" w:rsidRDefault="00E85E8B" w:rsidP="00BA1B4A">
      <w:pPr>
        <w:jc w:val="both"/>
        <w:rPr>
          <w:rFonts w:ascii="Arial" w:hAnsi="Arial" w:cs="Arial"/>
          <w:b/>
          <w:szCs w:val="24"/>
          <w:highlight w:val="lightGray"/>
          <w:u w:val="single"/>
        </w:rPr>
      </w:pPr>
    </w:p>
    <w:p w14:paraId="20FFBB45" w14:textId="13C7E8A8" w:rsidR="00876C7A" w:rsidRPr="00B13816" w:rsidRDefault="006739F2" w:rsidP="00876C7A">
      <w:pPr>
        <w:pStyle w:val="EndnoteText"/>
        <w:tabs>
          <w:tab w:val="left" w:pos="-720"/>
        </w:tabs>
        <w:suppressAutoHyphens/>
        <w:ind w:left="360"/>
        <w:rPr>
          <w:rFonts w:ascii="Arial" w:hAnsi="Arial" w:cs="Arial"/>
          <w:szCs w:val="24"/>
        </w:rPr>
      </w:pPr>
      <w:r>
        <w:rPr>
          <w:rFonts w:ascii="Arial" w:hAnsi="Arial" w:cs="Arial"/>
          <w:szCs w:val="24"/>
        </w:rPr>
        <w:t xml:space="preserve">The </w:t>
      </w:r>
      <w:r w:rsidR="00BA1B4A" w:rsidRPr="00936DE2">
        <w:rPr>
          <w:rFonts w:ascii="Arial" w:hAnsi="Arial" w:cs="Arial"/>
          <w:szCs w:val="24"/>
        </w:rPr>
        <w:t>Over/(Under) Collection</w:t>
      </w:r>
      <w:r>
        <w:rPr>
          <w:rFonts w:ascii="Arial" w:hAnsi="Arial" w:cs="Arial"/>
          <w:szCs w:val="24"/>
        </w:rPr>
        <w:t xml:space="preserve"> is</w:t>
      </w:r>
      <w:r w:rsidR="00BA1B4A">
        <w:rPr>
          <w:rFonts w:ascii="Arial" w:hAnsi="Arial" w:cs="Arial"/>
          <w:szCs w:val="24"/>
        </w:rPr>
        <w:t xml:space="preserve"> the</w:t>
      </w:r>
      <w:r w:rsidR="00BA1B4A" w:rsidRPr="00936DE2">
        <w:rPr>
          <w:rFonts w:ascii="Arial" w:hAnsi="Arial" w:cs="Arial"/>
          <w:szCs w:val="24"/>
        </w:rPr>
        <w:t xml:space="preserve"> difference between the </w:t>
      </w:r>
      <w:r w:rsidR="00D65E8F">
        <w:rPr>
          <w:rFonts w:ascii="Arial" w:hAnsi="Arial" w:cs="Arial"/>
          <w:szCs w:val="24"/>
        </w:rPr>
        <w:t>NBT</w:t>
      </w:r>
      <w:r w:rsidR="00BA1B4A">
        <w:rPr>
          <w:rFonts w:ascii="Arial" w:hAnsi="Arial" w:cs="Arial"/>
          <w:szCs w:val="24"/>
        </w:rPr>
        <w:t xml:space="preserve"> </w:t>
      </w:r>
      <w:r w:rsidR="00BA1B4A" w:rsidRPr="00936DE2">
        <w:rPr>
          <w:rFonts w:ascii="Arial" w:hAnsi="Arial" w:cs="Arial"/>
          <w:szCs w:val="24"/>
        </w:rPr>
        <w:t>Revenue</w:t>
      </w:r>
      <w:r w:rsidR="00BA1B4A">
        <w:rPr>
          <w:rFonts w:ascii="Arial" w:hAnsi="Arial" w:cs="Arial"/>
          <w:szCs w:val="24"/>
        </w:rPr>
        <w:t xml:space="preserve"> </w:t>
      </w:r>
      <w:r w:rsidR="00BA1B4A" w:rsidRPr="00936DE2">
        <w:rPr>
          <w:rFonts w:ascii="Arial" w:hAnsi="Arial" w:cs="Arial"/>
          <w:szCs w:val="24"/>
        </w:rPr>
        <w:t xml:space="preserve">and </w:t>
      </w:r>
      <w:r w:rsidR="00D65E8F">
        <w:rPr>
          <w:rFonts w:ascii="Arial" w:hAnsi="Arial" w:cs="Arial"/>
          <w:szCs w:val="24"/>
        </w:rPr>
        <w:t>NBT</w:t>
      </w:r>
      <w:r w:rsidR="00BA1B4A">
        <w:rPr>
          <w:rFonts w:ascii="Arial" w:hAnsi="Arial" w:cs="Arial"/>
          <w:szCs w:val="24"/>
        </w:rPr>
        <w:t xml:space="preserve"> </w:t>
      </w:r>
      <w:r w:rsidR="00840700">
        <w:rPr>
          <w:rFonts w:ascii="Arial" w:hAnsi="Arial" w:cs="Arial"/>
          <w:szCs w:val="24"/>
        </w:rPr>
        <w:t>Costs</w:t>
      </w:r>
      <w:r w:rsidR="00BA1B4A" w:rsidRPr="00936DE2">
        <w:rPr>
          <w:rFonts w:ascii="Arial" w:hAnsi="Arial" w:cs="Arial"/>
          <w:szCs w:val="24"/>
        </w:rPr>
        <w:t>.  The resulting amount</w:t>
      </w:r>
      <w:r w:rsidR="00BA1B4A">
        <w:rPr>
          <w:rFonts w:ascii="Arial" w:hAnsi="Arial" w:cs="Arial"/>
          <w:szCs w:val="24"/>
        </w:rPr>
        <w:t>s</w:t>
      </w:r>
      <w:r w:rsidR="00BA1B4A" w:rsidRPr="00936DE2">
        <w:rPr>
          <w:rFonts w:ascii="Arial" w:hAnsi="Arial" w:cs="Arial"/>
          <w:szCs w:val="24"/>
        </w:rPr>
        <w:t xml:space="preserve"> represent the portion of </w:t>
      </w:r>
      <w:r w:rsidR="00D65E8F">
        <w:rPr>
          <w:rFonts w:ascii="Arial" w:hAnsi="Arial" w:cs="Arial"/>
          <w:szCs w:val="24"/>
        </w:rPr>
        <w:t>NBT</w:t>
      </w:r>
      <w:r w:rsidR="00BA1B4A">
        <w:rPr>
          <w:rFonts w:ascii="Arial" w:hAnsi="Arial" w:cs="Arial"/>
          <w:szCs w:val="24"/>
        </w:rPr>
        <w:t xml:space="preserve"> Revenue </w:t>
      </w:r>
      <w:r w:rsidR="00BA1B4A" w:rsidRPr="00DF518D">
        <w:rPr>
          <w:rFonts w:ascii="Arial" w:hAnsi="Arial" w:cs="Arial"/>
        </w:rPr>
        <w:t>refundable</w:t>
      </w:r>
      <w:r w:rsidR="00BA1B4A">
        <w:rPr>
          <w:rFonts w:ascii="Arial" w:hAnsi="Arial" w:cs="Arial"/>
        </w:rPr>
        <w:t xml:space="preserve"> to or </w:t>
      </w:r>
      <w:r w:rsidR="00D65E8F">
        <w:rPr>
          <w:rFonts w:ascii="Arial" w:hAnsi="Arial" w:cs="Arial"/>
        </w:rPr>
        <w:t>NBT</w:t>
      </w:r>
      <w:r w:rsidR="00876C7A">
        <w:rPr>
          <w:rFonts w:ascii="Arial" w:hAnsi="Arial" w:cs="Arial"/>
        </w:rPr>
        <w:t xml:space="preserve"> Costs</w:t>
      </w:r>
      <w:r w:rsidR="00BA1B4A">
        <w:rPr>
          <w:rFonts w:ascii="Arial" w:hAnsi="Arial" w:cs="Arial"/>
        </w:rPr>
        <w:t xml:space="preserve"> </w:t>
      </w:r>
      <w:r w:rsidR="00876C7A">
        <w:rPr>
          <w:rFonts w:ascii="Arial" w:hAnsi="Arial" w:cs="Arial"/>
        </w:rPr>
        <w:t>recoverable from c</w:t>
      </w:r>
      <w:r w:rsidR="00BA1B4A">
        <w:rPr>
          <w:rFonts w:ascii="Arial" w:hAnsi="Arial" w:cs="Arial"/>
        </w:rPr>
        <w:t>u</w:t>
      </w:r>
      <w:r w:rsidR="00876C7A">
        <w:rPr>
          <w:rFonts w:ascii="Arial" w:hAnsi="Arial" w:cs="Arial"/>
        </w:rPr>
        <w:t>sto</w:t>
      </w:r>
      <w:r w:rsidR="00BA1B4A">
        <w:rPr>
          <w:rFonts w:ascii="Arial" w:hAnsi="Arial" w:cs="Arial"/>
        </w:rPr>
        <w:t xml:space="preserve">mers through subsequent </w:t>
      </w:r>
      <w:r w:rsidR="00D65E8F">
        <w:rPr>
          <w:rFonts w:ascii="Arial" w:hAnsi="Arial" w:cs="Arial"/>
        </w:rPr>
        <w:t>NBT</w:t>
      </w:r>
      <w:r w:rsidR="00BA1B4A">
        <w:rPr>
          <w:rFonts w:ascii="Arial" w:hAnsi="Arial" w:cs="Arial"/>
        </w:rPr>
        <w:t xml:space="preserve"> </w:t>
      </w:r>
      <w:r w:rsidR="004844A2">
        <w:rPr>
          <w:rFonts w:ascii="Arial" w:hAnsi="Arial" w:cs="Arial"/>
        </w:rPr>
        <w:t>rate</w:t>
      </w:r>
      <w:r w:rsidR="00BA1B4A">
        <w:rPr>
          <w:rFonts w:ascii="Arial" w:hAnsi="Arial" w:cs="Arial"/>
        </w:rPr>
        <w:t>s.</w:t>
      </w:r>
      <w:r w:rsidR="004844A2">
        <w:rPr>
          <w:rFonts w:ascii="Arial" w:hAnsi="Arial" w:cs="Arial"/>
        </w:rPr>
        <w:t xml:space="preserve">  </w:t>
      </w:r>
      <w:r w:rsidR="00876C7A">
        <w:rPr>
          <w:rFonts w:ascii="Arial" w:hAnsi="Arial" w:cs="Arial"/>
          <w:szCs w:val="24"/>
        </w:rPr>
        <w:t>Differences arise for two</w:t>
      </w:r>
      <w:r w:rsidR="00876C7A" w:rsidRPr="00B13816">
        <w:rPr>
          <w:rFonts w:ascii="Arial" w:hAnsi="Arial" w:cs="Arial"/>
          <w:szCs w:val="24"/>
        </w:rPr>
        <w:t xml:space="preserve"> primary reasons:</w:t>
      </w:r>
    </w:p>
    <w:p w14:paraId="0DC00F33" w14:textId="77777777" w:rsidR="00BA1B4A" w:rsidRDefault="00BA1B4A" w:rsidP="00BA1B4A">
      <w:pPr>
        <w:ind w:left="360"/>
        <w:rPr>
          <w:rFonts w:ascii="Arial" w:hAnsi="Arial" w:cs="Arial"/>
        </w:rPr>
      </w:pPr>
    </w:p>
    <w:p w14:paraId="1C13E14C" w14:textId="77F9E9E6" w:rsidR="007F2316" w:rsidRPr="00936DE2" w:rsidRDefault="007F2316" w:rsidP="007F2316">
      <w:pPr>
        <w:numPr>
          <w:ilvl w:val="0"/>
          <w:numId w:val="6"/>
        </w:numPr>
        <w:tabs>
          <w:tab w:val="left" w:pos="360"/>
        </w:tabs>
        <w:rPr>
          <w:rFonts w:ascii="Arial" w:hAnsi="Arial" w:cs="Arial"/>
          <w:szCs w:val="24"/>
        </w:rPr>
      </w:pPr>
      <w:r w:rsidRPr="00936DE2">
        <w:rPr>
          <w:rFonts w:ascii="Arial" w:hAnsi="Arial" w:cs="Arial"/>
          <w:szCs w:val="24"/>
        </w:rPr>
        <w:t xml:space="preserve">Variation between the actual </w:t>
      </w:r>
      <w:r>
        <w:rPr>
          <w:rFonts w:ascii="Arial" w:hAnsi="Arial" w:cs="Arial"/>
          <w:szCs w:val="24"/>
        </w:rPr>
        <w:t>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 xml:space="preserve">estimates used to determine the </w:t>
      </w:r>
      <w:r w:rsidR="00995F4B">
        <w:rPr>
          <w:rFonts w:ascii="Arial" w:hAnsi="Arial" w:cs="Arial"/>
          <w:szCs w:val="24"/>
        </w:rPr>
        <w:t>NBT</w:t>
      </w:r>
      <w:r w:rsidRPr="00936DE2">
        <w:rPr>
          <w:rFonts w:ascii="Arial" w:hAnsi="Arial" w:cs="Arial"/>
          <w:szCs w:val="24"/>
        </w:rPr>
        <w:t xml:space="preserve"> rate</w:t>
      </w:r>
      <w:r>
        <w:rPr>
          <w:rFonts w:ascii="Arial" w:hAnsi="Arial" w:cs="Arial"/>
          <w:szCs w:val="24"/>
        </w:rPr>
        <w:t>s</w:t>
      </w:r>
      <w:r w:rsidR="00713116">
        <w:rPr>
          <w:rFonts w:ascii="Arial" w:hAnsi="Arial" w:cs="Arial"/>
          <w:szCs w:val="24"/>
        </w:rPr>
        <w:t>; and,</w:t>
      </w:r>
    </w:p>
    <w:p w14:paraId="41B6E090" w14:textId="77777777" w:rsidR="007F2316" w:rsidRPr="00936DE2" w:rsidRDefault="007F2316" w:rsidP="007F2316">
      <w:pPr>
        <w:tabs>
          <w:tab w:val="left" w:pos="360"/>
        </w:tabs>
        <w:ind w:left="360"/>
        <w:rPr>
          <w:rFonts w:ascii="Arial" w:hAnsi="Arial" w:cs="Arial"/>
          <w:szCs w:val="24"/>
        </w:rPr>
      </w:pPr>
    </w:p>
    <w:p w14:paraId="1FD1BC22" w14:textId="498F0980" w:rsidR="00086802" w:rsidRDefault="007F2316" w:rsidP="007F2316">
      <w:pPr>
        <w:numPr>
          <w:ilvl w:val="0"/>
          <w:numId w:val="6"/>
        </w:numPr>
        <w:tabs>
          <w:tab w:val="left" w:pos="360"/>
        </w:tabs>
        <w:rPr>
          <w:rFonts w:ascii="Arial" w:hAnsi="Arial" w:cs="Arial"/>
          <w:szCs w:val="24"/>
        </w:rPr>
        <w:sectPr w:rsidR="00086802" w:rsidSect="00074E16">
          <w:headerReference w:type="even" r:id="rId24"/>
          <w:headerReference w:type="default" r:id="rId25"/>
          <w:footerReference w:type="default" r:id="rId26"/>
          <w:headerReference w:type="first" r:id="rId27"/>
          <w:endnotePr>
            <w:numFmt w:val="decimal"/>
          </w:endnotePr>
          <w:pgSz w:w="12240" w:h="15840" w:code="1"/>
          <w:pgMar w:top="1440" w:right="1440" w:bottom="1008" w:left="1440" w:header="720" w:footer="720" w:gutter="0"/>
          <w:pgNumType w:fmt="numberInDash" w:start="3"/>
          <w:cols w:space="720"/>
          <w:noEndnote/>
          <w:docGrid w:linePitch="326"/>
        </w:sectPr>
      </w:pPr>
      <w:r w:rsidRPr="00936DE2">
        <w:rPr>
          <w:rFonts w:ascii="Arial" w:hAnsi="Arial" w:cs="Arial"/>
          <w:szCs w:val="24"/>
        </w:rPr>
        <w:t xml:space="preserve">Variation between the actual </w:t>
      </w:r>
      <w:r w:rsidR="00D65E8F">
        <w:rPr>
          <w:rFonts w:ascii="Arial" w:hAnsi="Arial" w:cs="Arial"/>
          <w:szCs w:val="24"/>
        </w:rPr>
        <w:t>NBT</w:t>
      </w:r>
      <w:r>
        <w:rPr>
          <w:rFonts w:ascii="Arial" w:hAnsi="Arial" w:cs="Arial"/>
          <w:szCs w:val="24"/>
        </w:rPr>
        <w:t xml:space="preserve"> </w:t>
      </w:r>
      <w:r w:rsidR="009F7D23">
        <w:rPr>
          <w:rFonts w:ascii="Arial" w:hAnsi="Arial" w:cs="Arial"/>
          <w:szCs w:val="24"/>
        </w:rPr>
        <w:t>costs</w:t>
      </w:r>
      <w:r w:rsidRPr="00936DE2">
        <w:rPr>
          <w:rFonts w:ascii="Arial" w:hAnsi="Arial" w:cs="Arial"/>
          <w:szCs w:val="24"/>
        </w:rPr>
        <w:t xml:space="preserve"> </w:t>
      </w:r>
      <w:r w:rsidR="00876C7A">
        <w:rPr>
          <w:rFonts w:ascii="Arial" w:hAnsi="Arial" w:cs="Arial"/>
          <w:szCs w:val="24"/>
        </w:rPr>
        <w:t xml:space="preserve">incurred </w:t>
      </w:r>
      <w:r>
        <w:rPr>
          <w:rFonts w:ascii="Arial" w:hAnsi="Arial" w:cs="Arial"/>
          <w:szCs w:val="24"/>
        </w:rPr>
        <w:t>a</w:t>
      </w:r>
      <w:r w:rsidRPr="00936DE2">
        <w:rPr>
          <w:rFonts w:ascii="Arial" w:hAnsi="Arial" w:cs="Arial"/>
          <w:szCs w:val="24"/>
        </w:rPr>
        <w:t xml:space="preserve">nd the </w:t>
      </w:r>
      <w:r>
        <w:rPr>
          <w:rFonts w:ascii="Arial" w:hAnsi="Arial" w:cs="Arial"/>
          <w:szCs w:val="24"/>
        </w:rPr>
        <w:t>estimate</w:t>
      </w:r>
      <w:r w:rsidR="00876C7A">
        <w:rPr>
          <w:rFonts w:ascii="Arial" w:hAnsi="Arial" w:cs="Arial"/>
          <w:szCs w:val="24"/>
        </w:rPr>
        <w:t>s</w:t>
      </w:r>
      <w:r>
        <w:rPr>
          <w:rFonts w:ascii="Arial" w:hAnsi="Arial" w:cs="Arial"/>
          <w:szCs w:val="24"/>
        </w:rPr>
        <w:t xml:space="preserve"> used to determine the </w:t>
      </w:r>
      <w:r w:rsidR="00D65E8F">
        <w:rPr>
          <w:rFonts w:ascii="Arial" w:hAnsi="Arial" w:cs="Arial"/>
          <w:szCs w:val="24"/>
        </w:rPr>
        <w:t>NBT</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 xml:space="preserve">.  </w:t>
      </w:r>
    </w:p>
    <w:p w14:paraId="14B8B799" w14:textId="77777777" w:rsidR="008C4DA9" w:rsidRPr="0082428F" w:rsidRDefault="008C4DA9" w:rsidP="008C4DA9">
      <w:pPr>
        <w:tabs>
          <w:tab w:val="left" w:pos="-1440"/>
          <w:tab w:val="left" w:pos="-720"/>
        </w:tabs>
        <w:suppressAutoHyphens/>
        <w:jc w:val="center"/>
        <w:rPr>
          <w:rFonts w:ascii="Arial" w:hAnsi="Arial" w:cs="Arial"/>
          <w:sz w:val="26"/>
          <w:szCs w:val="26"/>
        </w:rPr>
      </w:pPr>
      <w:r w:rsidRPr="0082428F">
        <w:rPr>
          <w:rFonts w:ascii="Arial" w:hAnsi="Arial" w:cs="Arial"/>
          <w:b/>
          <w:sz w:val="26"/>
          <w:szCs w:val="26"/>
        </w:rPr>
        <w:lastRenderedPageBreak/>
        <w:t>Background</w:t>
      </w:r>
    </w:p>
    <w:p w14:paraId="0D6832C4" w14:textId="77777777" w:rsidR="008C4DA9" w:rsidRDefault="008C4DA9" w:rsidP="008C4DA9">
      <w:pPr>
        <w:tabs>
          <w:tab w:val="left" w:pos="-1440"/>
          <w:tab w:val="left" w:pos="-720"/>
        </w:tabs>
        <w:suppressAutoHyphens/>
        <w:rPr>
          <w:rFonts w:ascii="Arial" w:hAnsi="Arial" w:cs="Arial"/>
          <w:szCs w:val="24"/>
        </w:rPr>
      </w:pPr>
    </w:p>
    <w:p w14:paraId="08FD97DC" w14:textId="77777777" w:rsidR="004C2A01" w:rsidRDefault="004C2A01" w:rsidP="00845F22">
      <w:pPr>
        <w:spacing w:after="200"/>
        <w:ind w:firstLine="720"/>
        <w:rPr>
          <w:rFonts w:ascii="Arial" w:hAnsi="Arial" w:cs="Arial"/>
          <w:szCs w:val="24"/>
        </w:rPr>
      </w:pPr>
    </w:p>
    <w:p w14:paraId="689886F6" w14:textId="69F2218A" w:rsidR="00845F22" w:rsidRPr="00982C30" w:rsidRDefault="00845F22" w:rsidP="00845F22">
      <w:pPr>
        <w:spacing w:after="200"/>
        <w:ind w:firstLine="720"/>
        <w:rPr>
          <w:rFonts w:ascii="Arial" w:hAnsi="Arial" w:cs="Arial"/>
          <w:szCs w:val="24"/>
        </w:rPr>
      </w:pPr>
      <w:r w:rsidRPr="00982C30">
        <w:rPr>
          <w:rFonts w:ascii="Arial" w:hAnsi="Arial" w:cs="Arial"/>
          <w:szCs w:val="24"/>
        </w:rPr>
        <w:t xml:space="preserve">This section was developed from unaudited data </w:t>
      </w:r>
      <w:r>
        <w:rPr>
          <w:rFonts w:ascii="Arial" w:hAnsi="Arial" w:cs="Arial"/>
          <w:szCs w:val="24"/>
        </w:rPr>
        <w:t>provided</w:t>
      </w:r>
      <w:r w:rsidRPr="00982C30">
        <w:rPr>
          <w:rFonts w:ascii="Arial" w:hAnsi="Arial" w:cs="Arial"/>
          <w:szCs w:val="24"/>
        </w:rPr>
        <w:t xml:space="preserve"> by PECO and is presented solely for informational purposes.</w:t>
      </w:r>
    </w:p>
    <w:p w14:paraId="3E7E741E" w14:textId="0D79636F" w:rsidR="00845F22" w:rsidRDefault="00845F22" w:rsidP="00845F22">
      <w:pPr>
        <w:ind w:firstLine="720"/>
        <w:rPr>
          <w:rFonts w:ascii="Arial" w:hAnsi="Arial" w:cs="Arial"/>
        </w:rPr>
      </w:pPr>
      <w:r w:rsidRPr="00406891">
        <w:rPr>
          <w:rFonts w:ascii="Arial" w:hAnsi="Arial" w:cs="Arial"/>
        </w:rPr>
        <w:t xml:space="preserve">PECO is </w:t>
      </w:r>
      <w:r>
        <w:rPr>
          <w:rFonts w:ascii="Arial" w:hAnsi="Arial" w:cs="Arial"/>
        </w:rPr>
        <w:t xml:space="preserve">a company </w:t>
      </w:r>
      <w:r w:rsidRPr="00406891">
        <w:rPr>
          <w:rFonts w:ascii="Arial" w:hAnsi="Arial" w:cs="Arial"/>
        </w:rPr>
        <w:t>principally engaged in providing transmission and distribution of electric and natural gas services to retail customers in southeastern Pennsylvania.</w:t>
      </w:r>
      <w:r>
        <w:rPr>
          <w:rFonts w:ascii="Arial" w:hAnsi="Arial" w:cs="Arial"/>
        </w:rPr>
        <w:t xml:space="preserve"> </w:t>
      </w:r>
      <w:r w:rsidRPr="00406891">
        <w:rPr>
          <w:rFonts w:ascii="Arial" w:hAnsi="Arial" w:cs="Arial"/>
        </w:rPr>
        <w:t xml:space="preserve"> </w:t>
      </w:r>
      <w:r>
        <w:rPr>
          <w:rFonts w:ascii="Arial" w:hAnsi="Arial" w:cs="Arial"/>
        </w:rPr>
        <w:t>A</w:t>
      </w:r>
      <w:r w:rsidRPr="00406891">
        <w:rPr>
          <w:rFonts w:ascii="Arial" w:hAnsi="Arial" w:cs="Arial"/>
        </w:rPr>
        <w:t>s an electric distribution and natural gas distribution company</w:t>
      </w:r>
      <w:r>
        <w:rPr>
          <w:rFonts w:ascii="Arial" w:hAnsi="Arial" w:cs="Arial"/>
        </w:rPr>
        <w:t>, PECO’s operations</w:t>
      </w:r>
      <w:r w:rsidRPr="00406891">
        <w:rPr>
          <w:rFonts w:ascii="Arial" w:hAnsi="Arial" w:cs="Arial"/>
        </w:rPr>
        <w:t xml:space="preserve"> are subject to regulation by the Commission. </w:t>
      </w:r>
      <w:r>
        <w:rPr>
          <w:rFonts w:ascii="Arial" w:hAnsi="Arial" w:cs="Arial"/>
        </w:rPr>
        <w:t xml:space="preserve"> </w:t>
      </w:r>
      <w:r w:rsidRPr="00406891">
        <w:rPr>
          <w:rFonts w:ascii="Arial" w:hAnsi="Arial" w:cs="Arial"/>
        </w:rPr>
        <w:t>PECO is a wholly</w:t>
      </w:r>
      <w:r>
        <w:rPr>
          <w:rFonts w:ascii="Arial" w:hAnsi="Arial" w:cs="Arial"/>
        </w:rPr>
        <w:noBreakHyphen/>
      </w:r>
      <w:r w:rsidRPr="00406891">
        <w:rPr>
          <w:rFonts w:ascii="Arial" w:hAnsi="Arial" w:cs="Arial"/>
        </w:rPr>
        <w:t>owned subsidiary of Exelon Corporation headquartered in Chicago, Illinois.</w:t>
      </w:r>
      <w:r>
        <w:rPr>
          <w:rFonts w:ascii="Arial" w:hAnsi="Arial" w:cs="Arial"/>
        </w:rPr>
        <w:t xml:space="preserve"> </w:t>
      </w:r>
      <w:r w:rsidRPr="00406891">
        <w:rPr>
          <w:rFonts w:ascii="Arial" w:hAnsi="Arial" w:cs="Arial"/>
        </w:rPr>
        <w:t xml:space="preserve"> </w:t>
      </w:r>
      <w:r>
        <w:rPr>
          <w:rFonts w:ascii="Arial" w:hAnsi="Arial" w:cs="Arial"/>
        </w:rPr>
        <w:t xml:space="preserve">According to </w:t>
      </w:r>
      <w:r>
        <w:rPr>
          <w:rFonts w:ascii="Arial" w:hAnsi="Arial" w:cs="Arial"/>
          <w:color w:val="000000"/>
        </w:rPr>
        <w:t xml:space="preserve">PECO’s annual reports filed with the PUC, for the year 2015, PECO’s total </w:t>
      </w:r>
      <w:r w:rsidRPr="00E113B3">
        <w:rPr>
          <w:rFonts w:ascii="Arial" w:hAnsi="Arial" w:cs="Arial"/>
        </w:rPr>
        <w:t>electric distribution revenues</w:t>
      </w:r>
      <w:r>
        <w:rPr>
          <w:rFonts w:ascii="Arial" w:hAnsi="Arial" w:cs="Arial"/>
        </w:rPr>
        <w:t>, including default service sales, from customers w</w:t>
      </w:r>
      <w:r w:rsidR="001924B7">
        <w:rPr>
          <w:rFonts w:ascii="Arial" w:hAnsi="Arial" w:cs="Arial"/>
        </w:rPr>
        <w:t>ere</w:t>
      </w:r>
      <w:r>
        <w:rPr>
          <w:rFonts w:ascii="Arial" w:hAnsi="Arial" w:cs="Arial"/>
        </w:rPr>
        <w:t xml:space="preserve">     $2,281,526,387.</w:t>
      </w:r>
    </w:p>
    <w:p w14:paraId="14397A31" w14:textId="77777777" w:rsidR="00845F22" w:rsidRDefault="00845F22" w:rsidP="00845F22">
      <w:pPr>
        <w:ind w:firstLine="720"/>
        <w:rPr>
          <w:rFonts w:ascii="Arial" w:hAnsi="Arial" w:cs="Arial"/>
        </w:rPr>
      </w:pPr>
    </w:p>
    <w:p w14:paraId="7C1174BA" w14:textId="4A6A1A47" w:rsidR="00845F22" w:rsidRDefault="00845F22" w:rsidP="00845F22">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Pr>
          <w:rFonts w:ascii="Arial" w:hAnsi="Arial" w:cs="Arial"/>
        </w:rPr>
        <w:t>4</w:t>
      </w:r>
      <w:r w:rsidRPr="000740FE">
        <w:rPr>
          <w:rFonts w:ascii="Arial" w:hAnsi="Arial" w:cs="Arial"/>
        </w:rPr>
        <w:t xml:space="preserve"> </w:t>
      </w:r>
      <w:r w:rsidRPr="000E03E3">
        <w:rPr>
          <w:rFonts w:ascii="Arial" w:hAnsi="Arial" w:cs="Arial"/>
        </w:rPr>
        <w:t xml:space="preserve">million, including </w:t>
      </w:r>
      <w:r w:rsidRPr="000740FE">
        <w:rPr>
          <w:rFonts w:ascii="Arial" w:hAnsi="Arial" w:cs="Arial"/>
        </w:rPr>
        <w:t>1.</w:t>
      </w:r>
      <w:r>
        <w:rPr>
          <w:rFonts w:ascii="Arial" w:hAnsi="Arial" w:cs="Arial"/>
        </w:rPr>
        <w:t>6</w:t>
      </w:r>
      <w:r w:rsidRPr="000740FE">
        <w:rPr>
          <w:rFonts w:ascii="Arial" w:hAnsi="Arial" w:cs="Arial"/>
        </w:rPr>
        <w:t xml:space="preserve"> </w:t>
      </w:r>
      <w:r w:rsidRPr="000E03E3">
        <w:rPr>
          <w:rFonts w:ascii="Arial" w:hAnsi="Arial" w:cs="Arial"/>
        </w:rPr>
        <w:t xml:space="preserve">million in the city of Philadelphia.  During </w:t>
      </w:r>
      <w:r w:rsidRPr="000740FE">
        <w:rPr>
          <w:rFonts w:ascii="Arial" w:hAnsi="Arial" w:cs="Arial"/>
        </w:rPr>
        <w:t>201</w:t>
      </w:r>
      <w:r w:rsidR="00EA1847">
        <w:rPr>
          <w:rFonts w:ascii="Arial" w:hAnsi="Arial" w:cs="Arial"/>
        </w:rPr>
        <w:t>5</w:t>
      </w:r>
      <w:r w:rsidRPr="000E03E3">
        <w:rPr>
          <w:rFonts w:ascii="Arial" w:hAnsi="Arial" w:cs="Arial"/>
        </w:rPr>
        <w:t>, PECO delivered electricity to approximately 1</w:t>
      </w:r>
      <w:r>
        <w:rPr>
          <w:rFonts w:ascii="Arial" w:hAnsi="Arial" w:cs="Arial"/>
        </w:rPr>
        <w:t>.6 million</w:t>
      </w:r>
      <w:r w:rsidRPr="000E03E3">
        <w:rPr>
          <w:rFonts w:ascii="Arial" w:hAnsi="Arial" w:cs="Arial"/>
        </w:rPr>
        <w:t xml:space="preserve"> residential, commercial</w:t>
      </w:r>
      <w:r>
        <w:rPr>
          <w:rFonts w:ascii="Arial" w:hAnsi="Arial" w:cs="Arial"/>
        </w:rPr>
        <w:t>,</w:t>
      </w:r>
      <w:r w:rsidRPr="000E03E3">
        <w:rPr>
          <w:rFonts w:ascii="Arial" w:hAnsi="Arial" w:cs="Arial"/>
        </w:rPr>
        <w:t xml:space="preserve"> and industrial customers</w:t>
      </w:r>
      <w:r>
        <w:rPr>
          <w:rFonts w:ascii="Arial" w:hAnsi="Arial" w:cs="Arial"/>
        </w:rPr>
        <w:t>.</w:t>
      </w:r>
    </w:p>
    <w:p w14:paraId="5B0F36F4" w14:textId="5E8A116B" w:rsidR="00F46084" w:rsidRDefault="00F46084" w:rsidP="008C4DA9">
      <w:pPr>
        <w:tabs>
          <w:tab w:val="left" w:pos="-1440"/>
          <w:tab w:val="left" w:pos="-720"/>
        </w:tabs>
        <w:suppressAutoHyphens/>
        <w:rPr>
          <w:rFonts w:ascii="Arial" w:hAnsi="Arial" w:cs="Arial"/>
          <w:szCs w:val="24"/>
        </w:rPr>
      </w:pPr>
    </w:p>
    <w:p w14:paraId="4623237B" w14:textId="77777777" w:rsidR="00C51D43" w:rsidRPr="00F8280B" w:rsidRDefault="00C51D43" w:rsidP="00C51D43">
      <w:pPr>
        <w:ind w:firstLine="720"/>
        <w:rPr>
          <w:rFonts w:ascii="Arial" w:hAnsi="Arial" w:cs="Arial"/>
        </w:rPr>
      </w:pPr>
      <w:r w:rsidRPr="00CC0826">
        <w:rPr>
          <w:rFonts w:ascii="Arial" w:hAnsi="Arial" w:cs="Arial"/>
          <w:szCs w:val="24"/>
        </w:rPr>
        <w:t>By Order entered December 4, 2014 at Docket No. P-2014-2409362, the Commission allowed PECO to establish a Non-</w:t>
      </w:r>
      <w:proofErr w:type="spellStart"/>
      <w:r w:rsidRPr="00CC0826">
        <w:rPr>
          <w:rFonts w:ascii="Arial" w:hAnsi="Arial" w:cs="Arial"/>
          <w:szCs w:val="24"/>
        </w:rPr>
        <w:t>Bypassable</w:t>
      </w:r>
      <w:proofErr w:type="spellEnd"/>
      <w:r w:rsidRPr="00CC0826">
        <w:rPr>
          <w:rFonts w:ascii="Arial" w:hAnsi="Arial" w:cs="Arial"/>
          <w:szCs w:val="24"/>
        </w:rPr>
        <w:t xml:space="preserve"> Transmission Service Charge (NBT) applicable to all PECO distribution customers, effective June 1, 2015. The NBT permits PECO to recover Regional Transmission Expansion Plan</w:t>
      </w:r>
      <w:r>
        <w:rPr>
          <w:rFonts w:ascii="Arial" w:hAnsi="Arial" w:cs="Arial"/>
          <w:szCs w:val="24"/>
        </w:rPr>
        <w:t xml:space="preserve"> costs</w:t>
      </w:r>
      <w:r w:rsidRPr="00CC0826">
        <w:rPr>
          <w:rFonts w:ascii="Arial" w:hAnsi="Arial" w:cs="Arial"/>
          <w:szCs w:val="24"/>
        </w:rPr>
        <w:t>, Expansion Cost Recovery</w:t>
      </w:r>
      <w:r>
        <w:rPr>
          <w:rFonts w:ascii="Arial" w:hAnsi="Arial" w:cs="Arial"/>
          <w:szCs w:val="24"/>
        </w:rPr>
        <w:t xml:space="preserve"> costs</w:t>
      </w:r>
      <w:r w:rsidRPr="00CC0826">
        <w:rPr>
          <w:rFonts w:ascii="Arial" w:hAnsi="Arial" w:cs="Arial"/>
          <w:szCs w:val="24"/>
        </w:rPr>
        <w:t>, and Generation Deactivation/Reliability Must Run</w:t>
      </w:r>
      <w:r>
        <w:rPr>
          <w:rFonts w:ascii="Arial" w:hAnsi="Arial" w:cs="Arial"/>
          <w:szCs w:val="24"/>
        </w:rPr>
        <w:t xml:space="preserve"> costs</w:t>
      </w:r>
      <w:r w:rsidRPr="00CC0826">
        <w:rPr>
          <w:rFonts w:ascii="Arial" w:hAnsi="Arial" w:cs="Arial"/>
          <w:szCs w:val="24"/>
        </w:rPr>
        <w:t xml:space="preserve">.  These costs were originally recovered </w:t>
      </w:r>
      <w:r>
        <w:rPr>
          <w:rFonts w:ascii="Arial" w:hAnsi="Arial" w:cs="Arial"/>
          <w:szCs w:val="24"/>
        </w:rPr>
        <w:t>through</w:t>
      </w:r>
      <w:r w:rsidRPr="00CC0826">
        <w:rPr>
          <w:rFonts w:ascii="Arial" w:hAnsi="Arial" w:cs="Arial"/>
          <w:szCs w:val="24"/>
        </w:rPr>
        <w:t xml:space="preserve"> the TSC.</w:t>
      </w:r>
      <w:r w:rsidRPr="00CC0826">
        <w:rPr>
          <w:rFonts w:ascii="Arial" w:hAnsi="Arial" w:cs="Arial"/>
        </w:rPr>
        <w:t xml:space="preserve">  A</w:t>
      </w:r>
      <w:r w:rsidRPr="00CC0826">
        <w:rPr>
          <w:rFonts w:ascii="Arial" w:hAnsi="Arial" w:cs="Arial"/>
          <w:szCs w:val="24"/>
        </w:rPr>
        <w:t>s of June 1, 2015, the TSC allows PECO to recover PJM Network Integration Transmission Service costs, Non-Firm Point to Point Transmission costs, and the cost for working capital associated with the purchase of transmission service from PJM.</w:t>
      </w:r>
      <w:r w:rsidRPr="00F8280B">
        <w:rPr>
          <w:rFonts w:ascii="Arial" w:hAnsi="Arial" w:cs="Arial"/>
        </w:rPr>
        <w:tab/>
      </w:r>
    </w:p>
    <w:p w14:paraId="304E47BE" w14:textId="77777777" w:rsidR="00C51D43" w:rsidRDefault="00C51D43" w:rsidP="008C4DA9">
      <w:pPr>
        <w:tabs>
          <w:tab w:val="left" w:pos="-1440"/>
          <w:tab w:val="left" w:pos="-720"/>
        </w:tabs>
        <w:suppressAutoHyphens/>
        <w:rPr>
          <w:rFonts w:ascii="Arial" w:hAnsi="Arial" w:cs="Arial"/>
          <w:szCs w:val="24"/>
        </w:rPr>
      </w:pPr>
    </w:p>
    <w:p w14:paraId="2CDD71BF" w14:textId="34F88096" w:rsidR="008C4DA9" w:rsidRPr="000D69CE" w:rsidRDefault="008C4DA9" w:rsidP="00C51D43">
      <w:pPr>
        <w:rPr>
          <w:rFonts w:ascii="Arial" w:hAnsi="Arial" w:cs="Arial"/>
          <w:szCs w:val="24"/>
        </w:rPr>
      </w:pPr>
      <w:r w:rsidRPr="00BE0936">
        <w:rPr>
          <w:rFonts w:ascii="Arial" w:hAnsi="Arial" w:cs="Arial"/>
          <w:szCs w:val="24"/>
        </w:rPr>
        <w:tab/>
      </w:r>
    </w:p>
    <w:p w14:paraId="40E14061" w14:textId="463425A5" w:rsidR="00F67048" w:rsidRPr="00DC2F45" w:rsidRDefault="00F67048" w:rsidP="00F67048">
      <w:pPr>
        <w:pStyle w:val="Heading1"/>
        <w:rPr>
          <w:rFonts w:ascii="Arial" w:hAnsi="Arial" w:cs="Arial"/>
          <w:sz w:val="26"/>
          <w:szCs w:val="26"/>
          <w:u w:val="none"/>
        </w:rPr>
      </w:pPr>
      <w:r w:rsidRPr="00DC2F45">
        <w:rPr>
          <w:rFonts w:ascii="Arial" w:hAnsi="Arial" w:cs="Arial"/>
          <w:sz w:val="26"/>
          <w:szCs w:val="26"/>
          <w:u w:val="none"/>
        </w:rPr>
        <w:t>Acknowledgement</w:t>
      </w:r>
    </w:p>
    <w:p w14:paraId="07D6A388" w14:textId="77777777" w:rsidR="00C51D43" w:rsidRDefault="00C51D43" w:rsidP="00C51D43">
      <w:pPr>
        <w:rPr>
          <w:rFonts w:ascii="Arial" w:hAnsi="Arial" w:cs="Arial"/>
          <w:szCs w:val="24"/>
        </w:rPr>
      </w:pPr>
    </w:p>
    <w:p w14:paraId="181AC6A9" w14:textId="5643F339" w:rsidR="00C51D43" w:rsidRPr="00BE0936" w:rsidRDefault="00C51D43" w:rsidP="00C51D43">
      <w:pPr>
        <w:ind w:firstLine="720"/>
        <w:rPr>
          <w:rFonts w:ascii="Arial" w:hAnsi="Arial" w:cs="Arial"/>
          <w:szCs w:val="24"/>
        </w:rPr>
      </w:pPr>
      <w:r w:rsidRPr="00BE0936">
        <w:rPr>
          <w:rFonts w:ascii="Arial" w:hAnsi="Arial" w:cs="Arial"/>
          <w:szCs w:val="24"/>
        </w:rPr>
        <w:t xml:space="preserve">We wish to express our appreciation to the officers and staff of </w:t>
      </w:r>
      <w:r>
        <w:rPr>
          <w:rFonts w:ascii="Arial" w:hAnsi="Arial" w:cs="Arial"/>
          <w:szCs w:val="24"/>
        </w:rPr>
        <w:t>PECO Energy Company</w:t>
      </w:r>
      <w:r w:rsidRPr="00BE0936">
        <w:rPr>
          <w:rFonts w:ascii="Arial" w:hAnsi="Arial" w:cs="Arial"/>
          <w:szCs w:val="24"/>
        </w:rPr>
        <w:t xml:space="preserve"> for the</w:t>
      </w:r>
      <w:r>
        <w:rPr>
          <w:rFonts w:ascii="Arial" w:hAnsi="Arial" w:cs="Arial"/>
          <w:szCs w:val="24"/>
        </w:rPr>
        <w:t>ir</w:t>
      </w:r>
      <w:r w:rsidRPr="00BE0936">
        <w:rPr>
          <w:rFonts w:ascii="Arial" w:hAnsi="Arial" w:cs="Arial"/>
          <w:szCs w:val="24"/>
        </w:rPr>
        <w:t xml:space="preserve"> cooperation and assistance</w:t>
      </w:r>
      <w:r>
        <w:rPr>
          <w:rFonts w:ascii="Arial" w:hAnsi="Arial" w:cs="Arial"/>
          <w:szCs w:val="24"/>
        </w:rPr>
        <w:t>.</w:t>
      </w:r>
      <w:r w:rsidRPr="00BE0936">
        <w:rPr>
          <w:rFonts w:ascii="Arial" w:hAnsi="Arial" w:cs="Arial"/>
          <w:szCs w:val="24"/>
        </w:rPr>
        <w:t xml:space="preserve">  The audit was conducted by </w:t>
      </w:r>
      <w:r>
        <w:rPr>
          <w:rFonts w:ascii="Arial" w:hAnsi="Arial" w:cs="Arial"/>
          <w:szCs w:val="24"/>
        </w:rPr>
        <w:t>Gerville J. Brown.</w:t>
      </w:r>
    </w:p>
    <w:p w14:paraId="1C6F94B2" w14:textId="77777777" w:rsidR="00F67048" w:rsidRDefault="00F67048" w:rsidP="00F67048">
      <w:pPr>
        <w:rPr>
          <w:rFonts w:ascii="Arial" w:hAnsi="Arial" w:cs="Arial"/>
          <w:b/>
          <w:szCs w:val="24"/>
          <w:u w:val="single"/>
        </w:rPr>
      </w:pPr>
    </w:p>
    <w:sectPr w:rsidR="00F67048" w:rsidSect="00F25897">
      <w:headerReference w:type="even" r:id="rId28"/>
      <w:headerReference w:type="default" r:id="rId29"/>
      <w:headerReference w:type="first" r:id="rId30"/>
      <w:endnotePr>
        <w:numFmt w:val="decimal"/>
      </w:endnotePr>
      <w:pgSz w:w="12240" w:h="15840" w:code="1"/>
      <w:pgMar w:top="1440" w:right="1440" w:bottom="1008" w:left="1440" w:header="720" w:footer="720" w:gutter="0"/>
      <w:pgNumType w:fmt="numberInDash" w:start="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5A024" w14:textId="77777777" w:rsidR="00C419C2" w:rsidRDefault="00C419C2">
      <w:r>
        <w:separator/>
      </w:r>
    </w:p>
  </w:endnote>
  <w:endnote w:type="continuationSeparator" w:id="0">
    <w:p w14:paraId="7D2C63F9" w14:textId="77777777" w:rsidR="00C419C2" w:rsidRDefault="00C4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E81C" w14:textId="77777777" w:rsidR="00260F97" w:rsidRDefault="00260F97"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E1410E" w14:textId="77777777" w:rsidR="00260F97" w:rsidRDefault="0026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13E5" w14:textId="77777777" w:rsidR="00260F97" w:rsidRDefault="00260F97">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6917" w14:textId="77777777" w:rsidR="00F25897" w:rsidRDefault="00F25897">
    <w:pPr>
      <w:pStyle w:val="Footer"/>
      <w:jc w:val="center"/>
    </w:pPr>
  </w:p>
  <w:sdt>
    <w:sdtPr>
      <w:id w:val="-2139944456"/>
      <w:docPartObj>
        <w:docPartGallery w:val="Page Numbers (Bottom of Page)"/>
        <w:docPartUnique/>
      </w:docPartObj>
    </w:sdtPr>
    <w:sdtEndPr>
      <w:rPr>
        <w:rFonts w:ascii="Arial" w:hAnsi="Arial" w:cs="Arial"/>
        <w:noProof/>
      </w:rPr>
    </w:sdtEndPr>
    <w:sdtContent>
      <w:p w14:paraId="37BF33B7" w14:textId="581AE231" w:rsidR="00F25897" w:rsidRPr="00F25897" w:rsidRDefault="00F25897">
        <w:pPr>
          <w:pStyle w:val="Footer"/>
          <w:jc w:val="center"/>
          <w:rPr>
            <w:rFonts w:ascii="Arial" w:hAnsi="Arial" w:cs="Arial"/>
          </w:rPr>
        </w:pPr>
        <w:r w:rsidRPr="00F25897">
          <w:rPr>
            <w:rFonts w:ascii="Arial" w:hAnsi="Arial" w:cs="Arial"/>
          </w:rPr>
          <w:fldChar w:fldCharType="begin"/>
        </w:r>
        <w:r w:rsidRPr="00F25897">
          <w:rPr>
            <w:rFonts w:ascii="Arial" w:hAnsi="Arial" w:cs="Arial"/>
          </w:rPr>
          <w:instrText xml:space="preserve"> PAGE   \* MERGEFORMAT </w:instrText>
        </w:r>
        <w:r w:rsidRPr="00F25897">
          <w:rPr>
            <w:rFonts w:ascii="Arial" w:hAnsi="Arial" w:cs="Arial"/>
          </w:rPr>
          <w:fldChar w:fldCharType="separate"/>
        </w:r>
        <w:r w:rsidRPr="00F25897">
          <w:rPr>
            <w:rFonts w:ascii="Arial" w:hAnsi="Arial" w:cs="Arial"/>
            <w:noProof/>
          </w:rPr>
          <w:t>2</w:t>
        </w:r>
        <w:r w:rsidRPr="00F25897">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79E1" w14:textId="77777777" w:rsidR="00260F97" w:rsidRDefault="00260F97">
    <w:pPr>
      <w:pStyle w:val="Footer"/>
      <w:tabs>
        <w:tab w:val="clear" w:pos="4320"/>
        <w:tab w:val="clear"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B6EA" w14:textId="77777777" w:rsidR="00260F97" w:rsidRPr="00017F0B" w:rsidRDefault="00017F0B" w:rsidP="00017F0B">
    <w:pPr>
      <w:pStyle w:val="Footer"/>
      <w:jc w:val="center"/>
      <w:rPr>
        <w:rFonts w:ascii="Arial" w:hAnsi="Arial" w:cs="Arial"/>
      </w:rPr>
    </w:pPr>
    <w:r w:rsidRPr="00017F0B">
      <w:rPr>
        <w:rFonts w:ascii="Arial" w:hAnsi="Arial" w:cs="Arial"/>
      </w:rPr>
      <w:fldChar w:fldCharType="begin"/>
    </w:r>
    <w:r w:rsidRPr="00017F0B">
      <w:rPr>
        <w:rFonts w:ascii="Arial" w:hAnsi="Arial" w:cs="Arial"/>
      </w:rPr>
      <w:instrText xml:space="preserve"> PAGE   \* MERGEFORMAT </w:instrText>
    </w:r>
    <w:r w:rsidRPr="00017F0B">
      <w:rPr>
        <w:rFonts w:ascii="Arial" w:hAnsi="Arial" w:cs="Arial"/>
      </w:rPr>
      <w:fldChar w:fldCharType="separate"/>
    </w:r>
    <w:r w:rsidR="00553DC9">
      <w:rPr>
        <w:rFonts w:ascii="Arial" w:hAnsi="Arial" w:cs="Arial"/>
        <w:noProof/>
      </w:rPr>
      <w:t>- 2 -</w:t>
    </w:r>
    <w:r w:rsidRPr="00017F0B">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AF58" w14:textId="77777777" w:rsidR="00BC7F34" w:rsidRPr="00086802" w:rsidRDefault="00086802" w:rsidP="00086802">
    <w:pPr>
      <w:pStyle w:val="Footer"/>
      <w:jc w:val="cen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553DC9">
      <w:rPr>
        <w:rFonts w:ascii="Arial" w:hAnsi="Arial" w:cs="Arial"/>
        <w:noProof/>
      </w:rPr>
      <w:t>- 4 -</w:t>
    </w:r>
    <w:r w:rsidRPr="00086802">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B2C5" w14:textId="77777777" w:rsidR="00C419C2" w:rsidRDefault="00C419C2">
      <w:r>
        <w:separator/>
      </w:r>
    </w:p>
  </w:footnote>
  <w:footnote w:type="continuationSeparator" w:id="0">
    <w:p w14:paraId="1F827488" w14:textId="77777777" w:rsidR="00C419C2" w:rsidRDefault="00C419C2">
      <w:r>
        <w:continuationSeparator/>
      </w:r>
    </w:p>
  </w:footnote>
  <w:footnote w:id="1">
    <w:p w14:paraId="107BF228" w14:textId="0B8115A5" w:rsidR="00926AA4" w:rsidRPr="00926AA4" w:rsidRDefault="00926AA4">
      <w:pPr>
        <w:pStyle w:val="FootnoteText"/>
        <w:rPr>
          <w:rFonts w:ascii="Arial" w:hAnsi="Arial" w:cs="Arial"/>
          <w:sz w:val="16"/>
          <w:szCs w:val="16"/>
        </w:rPr>
      </w:pPr>
      <w:r w:rsidRPr="00926AA4">
        <w:rPr>
          <w:rStyle w:val="FootnoteReference"/>
          <w:rFonts w:ascii="Arial" w:hAnsi="Arial" w:cs="Arial"/>
          <w:sz w:val="16"/>
          <w:szCs w:val="16"/>
        </w:rPr>
        <w:footnoteRef/>
      </w:r>
      <w:r w:rsidRPr="00926AA4">
        <w:rPr>
          <w:rFonts w:ascii="Arial" w:hAnsi="Arial" w:cs="Arial"/>
          <w:sz w:val="16"/>
          <w:szCs w:val="16"/>
        </w:rPr>
        <w:t xml:space="preserve"> As reported to the Commission at Docket No. M</w:t>
      </w:r>
      <w:r w:rsidRPr="00926AA4">
        <w:rPr>
          <w:rFonts w:ascii="Arial" w:hAnsi="Arial" w:cs="Arial"/>
          <w:sz w:val="16"/>
          <w:szCs w:val="16"/>
        </w:rPr>
        <w:noBreakHyphen/>
        <w:t>2015</w:t>
      </w:r>
      <w:r w:rsidRPr="00926AA4">
        <w:rPr>
          <w:rFonts w:ascii="Arial" w:hAnsi="Arial" w:cs="Arial"/>
          <w:sz w:val="16"/>
          <w:szCs w:val="16"/>
        </w:rPr>
        <w:noBreakHyphen/>
        <w:t>2520247.</w:t>
      </w:r>
      <w:r>
        <w:rPr>
          <w:rFonts w:ascii="Arial" w:hAnsi="Arial" w:cs="Arial"/>
          <w:sz w:val="16"/>
          <w:szCs w:val="16"/>
        </w:rPr>
        <w:t xml:space="preserve">  </w:t>
      </w:r>
      <w:r w:rsidRPr="00CA3FBE">
        <w:rPr>
          <w:rFonts w:ascii="Arial" w:hAnsi="Arial" w:cs="Arial"/>
          <w:sz w:val="16"/>
          <w:szCs w:val="16"/>
        </w:rPr>
        <w:t>Arithmetic differences are due to rounding.</w:t>
      </w:r>
    </w:p>
  </w:footnote>
  <w:footnote w:id="2">
    <w:p w14:paraId="249A0779" w14:textId="77777777" w:rsidR="00926AA4" w:rsidRPr="00926AA4" w:rsidRDefault="00926AA4" w:rsidP="00926AA4">
      <w:pPr>
        <w:suppressAutoHyphens/>
        <w:rPr>
          <w:rFonts w:ascii="Arial" w:hAnsi="Arial" w:cs="Arial"/>
          <w:sz w:val="16"/>
          <w:szCs w:val="16"/>
        </w:rPr>
      </w:pPr>
      <w:r w:rsidRPr="00926AA4">
        <w:rPr>
          <w:rStyle w:val="FootnoteReference"/>
          <w:rFonts w:ascii="Arial" w:hAnsi="Arial" w:cs="Arial"/>
          <w:sz w:val="16"/>
          <w:szCs w:val="16"/>
        </w:rPr>
        <w:footnoteRef/>
      </w:r>
      <w:r w:rsidRPr="00926AA4">
        <w:rPr>
          <w:rFonts w:ascii="Arial" w:hAnsi="Arial" w:cs="Arial"/>
          <w:sz w:val="16"/>
          <w:szCs w:val="16"/>
        </w:rPr>
        <w:t xml:space="preserve"> Notes to the Financial Statement are an integral part of this report.</w:t>
      </w:r>
    </w:p>
    <w:p w14:paraId="66270A22" w14:textId="1B22E438" w:rsidR="00926AA4" w:rsidRDefault="00926A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2B96" w14:textId="45AEAD24" w:rsidR="006536EA" w:rsidRDefault="006536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8C7C" w14:textId="2833B639" w:rsidR="007F2316" w:rsidRDefault="007F23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4934" w14:textId="62E275BB" w:rsidR="007F2316" w:rsidRDefault="00074E16" w:rsidP="00074E16">
    <w:pPr>
      <w:pStyle w:val="Header"/>
      <w:jc w:val="center"/>
    </w:pPr>
    <w:r w:rsidRPr="00440FBF">
      <w:rPr>
        <w:rFonts w:ascii="Arial" w:hAnsi="Arial" w:cs="Arial"/>
        <w:b/>
        <w:sz w:val="26"/>
        <w:szCs w:val="26"/>
      </w:rPr>
      <w:t>PECO ENERGY COMPANY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E766" w14:textId="166B29EA" w:rsidR="007F2316" w:rsidRDefault="007F23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E888" w14:textId="2D79AD7E" w:rsidR="007F2316" w:rsidRDefault="007F23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67A42" w14:textId="300195AA" w:rsidR="007F2316" w:rsidRDefault="007F23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1992" w14:textId="24CB7CA6" w:rsidR="001345AB" w:rsidRPr="0082428F" w:rsidRDefault="001345AB" w:rsidP="001345AB">
    <w:pPr>
      <w:tabs>
        <w:tab w:val="center" w:pos="4680"/>
      </w:tabs>
      <w:suppressAutoHyphens/>
      <w:jc w:val="center"/>
      <w:rPr>
        <w:rFonts w:ascii="Arial" w:hAnsi="Arial" w:cs="Arial"/>
        <w:b/>
        <w:sz w:val="26"/>
        <w:szCs w:val="26"/>
      </w:rPr>
    </w:pPr>
    <w:r w:rsidRPr="0082428F">
      <w:rPr>
        <w:rFonts w:ascii="Arial" w:hAnsi="Arial" w:cs="Arial"/>
        <w:b/>
        <w:sz w:val="26"/>
        <w:szCs w:val="26"/>
      </w:rPr>
      <w:t>PECO ENERGY COMPANY</w:t>
    </w:r>
  </w:p>
  <w:p w14:paraId="0068D4FB" w14:textId="77777777" w:rsidR="007F2316" w:rsidRDefault="007F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235E" w14:textId="593510DF" w:rsidR="006536EA" w:rsidRDefault="0065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B2C1" w14:textId="3D6ACFB2" w:rsidR="006536EA" w:rsidRDefault="00653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C589" w14:textId="04A6F1AB" w:rsidR="00603DA9" w:rsidRDefault="00603D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2AE1" w14:textId="1391D822" w:rsidR="00A83CBA" w:rsidRPr="005440A5" w:rsidRDefault="00A83CBA" w:rsidP="00A83CBA">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t>PECO ENERGY COMPANY</w:t>
    </w:r>
  </w:p>
  <w:p w14:paraId="3F25715A" w14:textId="77777777" w:rsidR="00603DA9" w:rsidRDefault="00603D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5678" w14:textId="63D53033" w:rsidR="00603DA9" w:rsidRDefault="00603D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F4DB" w14:textId="48411C5C" w:rsidR="00603DA9" w:rsidRDefault="00603D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8D6A" w14:textId="04E9BFAE" w:rsidR="00603DA9" w:rsidRDefault="00603D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565C" w14:textId="5D1D4DDE" w:rsidR="00603DA9" w:rsidRDefault="0060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1E"/>
    <w:rsid w:val="00000053"/>
    <w:rsid w:val="000008D8"/>
    <w:rsid w:val="000058DD"/>
    <w:rsid w:val="000065D6"/>
    <w:rsid w:val="000068CE"/>
    <w:rsid w:val="00007999"/>
    <w:rsid w:val="00007B1F"/>
    <w:rsid w:val="00007E3A"/>
    <w:rsid w:val="00011623"/>
    <w:rsid w:val="00013201"/>
    <w:rsid w:val="000132A6"/>
    <w:rsid w:val="00015CB1"/>
    <w:rsid w:val="000162AB"/>
    <w:rsid w:val="00017F0B"/>
    <w:rsid w:val="00020E5C"/>
    <w:rsid w:val="0002105E"/>
    <w:rsid w:val="000244C4"/>
    <w:rsid w:val="0002626A"/>
    <w:rsid w:val="000272B6"/>
    <w:rsid w:val="00030D7C"/>
    <w:rsid w:val="00031D01"/>
    <w:rsid w:val="00032917"/>
    <w:rsid w:val="0003354D"/>
    <w:rsid w:val="00037010"/>
    <w:rsid w:val="000419CC"/>
    <w:rsid w:val="000442F2"/>
    <w:rsid w:val="000447F3"/>
    <w:rsid w:val="00044925"/>
    <w:rsid w:val="00044F2B"/>
    <w:rsid w:val="000453E2"/>
    <w:rsid w:val="0004663E"/>
    <w:rsid w:val="00046640"/>
    <w:rsid w:val="000468AE"/>
    <w:rsid w:val="00047479"/>
    <w:rsid w:val="00047EF9"/>
    <w:rsid w:val="000502A5"/>
    <w:rsid w:val="00052156"/>
    <w:rsid w:val="00052968"/>
    <w:rsid w:val="00054EF6"/>
    <w:rsid w:val="000563DA"/>
    <w:rsid w:val="0005703E"/>
    <w:rsid w:val="00061843"/>
    <w:rsid w:val="00064A95"/>
    <w:rsid w:val="00066F74"/>
    <w:rsid w:val="00070064"/>
    <w:rsid w:val="00073222"/>
    <w:rsid w:val="00074E16"/>
    <w:rsid w:val="00075B84"/>
    <w:rsid w:val="0007663B"/>
    <w:rsid w:val="00081148"/>
    <w:rsid w:val="00082BDC"/>
    <w:rsid w:val="00086802"/>
    <w:rsid w:val="000935FF"/>
    <w:rsid w:val="00097B77"/>
    <w:rsid w:val="000A0594"/>
    <w:rsid w:val="000A09E9"/>
    <w:rsid w:val="000A2802"/>
    <w:rsid w:val="000A3382"/>
    <w:rsid w:val="000A3B9C"/>
    <w:rsid w:val="000A6589"/>
    <w:rsid w:val="000A7783"/>
    <w:rsid w:val="000B0FA7"/>
    <w:rsid w:val="000B14A4"/>
    <w:rsid w:val="000B5397"/>
    <w:rsid w:val="000C0673"/>
    <w:rsid w:val="000C3A96"/>
    <w:rsid w:val="000C60B9"/>
    <w:rsid w:val="000C6A2D"/>
    <w:rsid w:val="000C7C23"/>
    <w:rsid w:val="000D3162"/>
    <w:rsid w:val="000D389D"/>
    <w:rsid w:val="000D69CE"/>
    <w:rsid w:val="000E1C96"/>
    <w:rsid w:val="000E3E48"/>
    <w:rsid w:val="000E52A4"/>
    <w:rsid w:val="000E6571"/>
    <w:rsid w:val="000E76F1"/>
    <w:rsid w:val="000E7FF1"/>
    <w:rsid w:val="000F0A83"/>
    <w:rsid w:val="000F0B3C"/>
    <w:rsid w:val="000F11FD"/>
    <w:rsid w:val="000F1F32"/>
    <w:rsid w:val="000F2F3B"/>
    <w:rsid w:val="000F5CE4"/>
    <w:rsid w:val="000F6806"/>
    <w:rsid w:val="000F6F8A"/>
    <w:rsid w:val="00101D15"/>
    <w:rsid w:val="00102E74"/>
    <w:rsid w:val="001032C8"/>
    <w:rsid w:val="0010499E"/>
    <w:rsid w:val="00106ADD"/>
    <w:rsid w:val="00107CAA"/>
    <w:rsid w:val="00114448"/>
    <w:rsid w:val="00115A82"/>
    <w:rsid w:val="00117F13"/>
    <w:rsid w:val="0012026E"/>
    <w:rsid w:val="00123DA5"/>
    <w:rsid w:val="00124112"/>
    <w:rsid w:val="00125A5B"/>
    <w:rsid w:val="0013081F"/>
    <w:rsid w:val="00131E66"/>
    <w:rsid w:val="00132D90"/>
    <w:rsid w:val="00133126"/>
    <w:rsid w:val="001345AB"/>
    <w:rsid w:val="00136C52"/>
    <w:rsid w:val="001428D7"/>
    <w:rsid w:val="0014334C"/>
    <w:rsid w:val="0014482D"/>
    <w:rsid w:val="00144B18"/>
    <w:rsid w:val="0014799E"/>
    <w:rsid w:val="00150332"/>
    <w:rsid w:val="0015062A"/>
    <w:rsid w:val="00150CFD"/>
    <w:rsid w:val="00154CF8"/>
    <w:rsid w:val="00157380"/>
    <w:rsid w:val="00157397"/>
    <w:rsid w:val="001574B0"/>
    <w:rsid w:val="00160FFA"/>
    <w:rsid w:val="00161B74"/>
    <w:rsid w:val="0016213A"/>
    <w:rsid w:val="0016361B"/>
    <w:rsid w:val="001643C2"/>
    <w:rsid w:val="00164754"/>
    <w:rsid w:val="001657F8"/>
    <w:rsid w:val="001676C9"/>
    <w:rsid w:val="001704DD"/>
    <w:rsid w:val="00173A1E"/>
    <w:rsid w:val="00173D64"/>
    <w:rsid w:val="00173F1D"/>
    <w:rsid w:val="0017608D"/>
    <w:rsid w:val="0017628B"/>
    <w:rsid w:val="00177533"/>
    <w:rsid w:val="00180395"/>
    <w:rsid w:val="001832AE"/>
    <w:rsid w:val="001841C6"/>
    <w:rsid w:val="00184208"/>
    <w:rsid w:val="00186FF1"/>
    <w:rsid w:val="001877B4"/>
    <w:rsid w:val="0019208C"/>
    <w:rsid w:val="00192144"/>
    <w:rsid w:val="001924B7"/>
    <w:rsid w:val="001A1B0A"/>
    <w:rsid w:val="001A3EEE"/>
    <w:rsid w:val="001A43D4"/>
    <w:rsid w:val="001A4723"/>
    <w:rsid w:val="001A77E6"/>
    <w:rsid w:val="001A7BB5"/>
    <w:rsid w:val="001B1FF2"/>
    <w:rsid w:val="001B78F9"/>
    <w:rsid w:val="001C0D87"/>
    <w:rsid w:val="001C1A64"/>
    <w:rsid w:val="001C1B3F"/>
    <w:rsid w:val="001C26EA"/>
    <w:rsid w:val="001C347D"/>
    <w:rsid w:val="001C4463"/>
    <w:rsid w:val="001C4DE0"/>
    <w:rsid w:val="001C5737"/>
    <w:rsid w:val="001C7D51"/>
    <w:rsid w:val="001D2546"/>
    <w:rsid w:val="001D3846"/>
    <w:rsid w:val="001D52A4"/>
    <w:rsid w:val="001D5D06"/>
    <w:rsid w:val="001D60BF"/>
    <w:rsid w:val="001D6360"/>
    <w:rsid w:val="001D6F30"/>
    <w:rsid w:val="001D721A"/>
    <w:rsid w:val="001D7FF5"/>
    <w:rsid w:val="001E0223"/>
    <w:rsid w:val="001E21D0"/>
    <w:rsid w:val="001E2CC6"/>
    <w:rsid w:val="001E3A8D"/>
    <w:rsid w:val="001F176D"/>
    <w:rsid w:val="001F49D3"/>
    <w:rsid w:val="001F4D11"/>
    <w:rsid w:val="001F781E"/>
    <w:rsid w:val="002039DA"/>
    <w:rsid w:val="00203A38"/>
    <w:rsid w:val="00205553"/>
    <w:rsid w:val="002064E8"/>
    <w:rsid w:val="00212D01"/>
    <w:rsid w:val="002141D8"/>
    <w:rsid w:val="00214215"/>
    <w:rsid w:val="00214E11"/>
    <w:rsid w:val="0021790A"/>
    <w:rsid w:val="0022155A"/>
    <w:rsid w:val="0022228F"/>
    <w:rsid w:val="00222511"/>
    <w:rsid w:val="002232C9"/>
    <w:rsid w:val="00225A01"/>
    <w:rsid w:val="00230938"/>
    <w:rsid w:val="00230F78"/>
    <w:rsid w:val="0023522A"/>
    <w:rsid w:val="00235730"/>
    <w:rsid w:val="00237568"/>
    <w:rsid w:val="002377F4"/>
    <w:rsid w:val="002429F0"/>
    <w:rsid w:val="002452DF"/>
    <w:rsid w:val="00245AE1"/>
    <w:rsid w:val="00245DB5"/>
    <w:rsid w:val="00250177"/>
    <w:rsid w:val="00251373"/>
    <w:rsid w:val="002519D6"/>
    <w:rsid w:val="00252B00"/>
    <w:rsid w:val="00252B74"/>
    <w:rsid w:val="00253B13"/>
    <w:rsid w:val="0025620D"/>
    <w:rsid w:val="0025778E"/>
    <w:rsid w:val="00260F97"/>
    <w:rsid w:val="00261451"/>
    <w:rsid w:val="002620FD"/>
    <w:rsid w:val="00266105"/>
    <w:rsid w:val="002675D2"/>
    <w:rsid w:val="00273213"/>
    <w:rsid w:val="0027540D"/>
    <w:rsid w:val="00275DC6"/>
    <w:rsid w:val="002763DC"/>
    <w:rsid w:val="00282A8A"/>
    <w:rsid w:val="002831D2"/>
    <w:rsid w:val="002874D2"/>
    <w:rsid w:val="002910CA"/>
    <w:rsid w:val="00291849"/>
    <w:rsid w:val="00291895"/>
    <w:rsid w:val="00291B51"/>
    <w:rsid w:val="00291BD5"/>
    <w:rsid w:val="00295927"/>
    <w:rsid w:val="0029722F"/>
    <w:rsid w:val="00297D96"/>
    <w:rsid w:val="002A31D3"/>
    <w:rsid w:val="002A3361"/>
    <w:rsid w:val="002A476C"/>
    <w:rsid w:val="002B6042"/>
    <w:rsid w:val="002B751E"/>
    <w:rsid w:val="002C0E2D"/>
    <w:rsid w:val="002C1FC4"/>
    <w:rsid w:val="002C32A0"/>
    <w:rsid w:val="002C394B"/>
    <w:rsid w:val="002C59CF"/>
    <w:rsid w:val="002C5A41"/>
    <w:rsid w:val="002C6C45"/>
    <w:rsid w:val="002D03F1"/>
    <w:rsid w:val="002D15BF"/>
    <w:rsid w:val="002D27C7"/>
    <w:rsid w:val="002D27FE"/>
    <w:rsid w:val="002D3DD6"/>
    <w:rsid w:val="002D3F7A"/>
    <w:rsid w:val="002D42ED"/>
    <w:rsid w:val="002E0448"/>
    <w:rsid w:val="002E0F06"/>
    <w:rsid w:val="002E1150"/>
    <w:rsid w:val="002E32E8"/>
    <w:rsid w:val="002E4942"/>
    <w:rsid w:val="002E55D4"/>
    <w:rsid w:val="002E6D73"/>
    <w:rsid w:val="002F069E"/>
    <w:rsid w:val="002F1A01"/>
    <w:rsid w:val="002F4079"/>
    <w:rsid w:val="002F5E97"/>
    <w:rsid w:val="002F765F"/>
    <w:rsid w:val="002F7968"/>
    <w:rsid w:val="002F7AC1"/>
    <w:rsid w:val="002F7CE3"/>
    <w:rsid w:val="00301D0E"/>
    <w:rsid w:val="00304C93"/>
    <w:rsid w:val="00307929"/>
    <w:rsid w:val="00310692"/>
    <w:rsid w:val="00311682"/>
    <w:rsid w:val="00311AEF"/>
    <w:rsid w:val="00312844"/>
    <w:rsid w:val="00316BC6"/>
    <w:rsid w:val="00316D8B"/>
    <w:rsid w:val="003201D6"/>
    <w:rsid w:val="00321C2D"/>
    <w:rsid w:val="00323651"/>
    <w:rsid w:val="003242BA"/>
    <w:rsid w:val="003252CC"/>
    <w:rsid w:val="003262ED"/>
    <w:rsid w:val="00326DB4"/>
    <w:rsid w:val="003276AC"/>
    <w:rsid w:val="00332913"/>
    <w:rsid w:val="003344D7"/>
    <w:rsid w:val="00335C44"/>
    <w:rsid w:val="00340C22"/>
    <w:rsid w:val="00342746"/>
    <w:rsid w:val="003427D4"/>
    <w:rsid w:val="003439CD"/>
    <w:rsid w:val="00344C6D"/>
    <w:rsid w:val="003469AD"/>
    <w:rsid w:val="00346E39"/>
    <w:rsid w:val="0035017F"/>
    <w:rsid w:val="0035218A"/>
    <w:rsid w:val="0035565D"/>
    <w:rsid w:val="00355B6F"/>
    <w:rsid w:val="00356922"/>
    <w:rsid w:val="00357DE5"/>
    <w:rsid w:val="00361CAF"/>
    <w:rsid w:val="00361DBA"/>
    <w:rsid w:val="00362F3F"/>
    <w:rsid w:val="00363CAE"/>
    <w:rsid w:val="00365E9F"/>
    <w:rsid w:val="003662F1"/>
    <w:rsid w:val="00367C8F"/>
    <w:rsid w:val="003731A5"/>
    <w:rsid w:val="00374636"/>
    <w:rsid w:val="003802FE"/>
    <w:rsid w:val="0038239E"/>
    <w:rsid w:val="00384DA9"/>
    <w:rsid w:val="00385B52"/>
    <w:rsid w:val="00387064"/>
    <w:rsid w:val="003901AF"/>
    <w:rsid w:val="00391027"/>
    <w:rsid w:val="003930C8"/>
    <w:rsid w:val="0039358B"/>
    <w:rsid w:val="003960F2"/>
    <w:rsid w:val="003A0C3B"/>
    <w:rsid w:val="003A4AC6"/>
    <w:rsid w:val="003A4AFE"/>
    <w:rsid w:val="003B08EA"/>
    <w:rsid w:val="003B0C5E"/>
    <w:rsid w:val="003B13FA"/>
    <w:rsid w:val="003B303A"/>
    <w:rsid w:val="003B3F53"/>
    <w:rsid w:val="003B443E"/>
    <w:rsid w:val="003B7861"/>
    <w:rsid w:val="003C1D39"/>
    <w:rsid w:val="003C2F08"/>
    <w:rsid w:val="003C3017"/>
    <w:rsid w:val="003C3DC4"/>
    <w:rsid w:val="003C3E36"/>
    <w:rsid w:val="003C52E3"/>
    <w:rsid w:val="003D1D59"/>
    <w:rsid w:val="003D2564"/>
    <w:rsid w:val="003E0515"/>
    <w:rsid w:val="003E16F5"/>
    <w:rsid w:val="003E2E29"/>
    <w:rsid w:val="003E33E2"/>
    <w:rsid w:val="003E391F"/>
    <w:rsid w:val="003E5960"/>
    <w:rsid w:val="003E644B"/>
    <w:rsid w:val="003F2989"/>
    <w:rsid w:val="003F35F8"/>
    <w:rsid w:val="003F746B"/>
    <w:rsid w:val="00400C49"/>
    <w:rsid w:val="004021FB"/>
    <w:rsid w:val="0040359F"/>
    <w:rsid w:val="00403944"/>
    <w:rsid w:val="00405F41"/>
    <w:rsid w:val="0041121B"/>
    <w:rsid w:val="00420F93"/>
    <w:rsid w:val="0042256B"/>
    <w:rsid w:val="00423EEA"/>
    <w:rsid w:val="004240A0"/>
    <w:rsid w:val="004245EE"/>
    <w:rsid w:val="00424F93"/>
    <w:rsid w:val="004253C2"/>
    <w:rsid w:val="004318ED"/>
    <w:rsid w:val="0043587B"/>
    <w:rsid w:val="0043668B"/>
    <w:rsid w:val="00436C21"/>
    <w:rsid w:val="004376C4"/>
    <w:rsid w:val="004377B1"/>
    <w:rsid w:val="00440FBF"/>
    <w:rsid w:val="00441128"/>
    <w:rsid w:val="0044137A"/>
    <w:rsid w:val="00444490"/>
    <w:rsid w:val="00445300"/>
    <w:rsid w:val="004457EC"/>
    <w:rsid w:val="00445ACD"/>
    <w:rsid w:val="00445FF8"/>
    <w:rsid w:val="00446120"/>
    <w:rsid w:val="004470AA"/>
    <w:rsid w:val="00452F47"/>
    <w:rsid w:val="00454EF0"/>
    <w:rsid w:val="00455785"/>
    <w:rsid w:val="00455D25"/>
    <w:rsid w:val="00460158"/>
    <w:rsid w:val="004602B7"/>
    <w:rsid w:val="004618D3"/>
    <w:rsid w:val="004650D3"/>
    <w:rsid w:val="00472C70"/>
    <w:rsid w:val="0047509D"/>
    <w:rsid w:val="0048119C"/>
    <w:rsid w:val="004844A2"/>
    <w:rsid w:val="00485619"/>
    <w:rsid w:val="004857D7"/>
    <w:rsid w:val="004858E3"/>
    <w:rsid w:val="00486C56"/>
    <w:rsid w:val="00487733"/>
    <w:rsid w:val="004927B0"/>
    <w:rsid w:val="00492AC9"/>
    <w:rsid w:val="00495071"/>
    <w:rsid w:val="004A0144"/>
    <w:rsid w:val="004A1A02"/>
    <w:rsid w:val="004A36BA"/>
    <w:rsid w:val="004A3A3E"/>
    <w:rsid w:val="004A50D5"/>
    <w:rsid w:val="004A5224"/>
    <w:rsid w:val="004A5632"/>
    <w:rsid w:val="004A6AD9"/>
    <w:rsid w:val="004A7A64"/>
    <w:rsid w:val="004A7BE5"/>
    <w:rsid w:val="004B09E2"/>
    <w:rsid w:val="004B0B68"/>
    <w:rsid w:val="004B2020"/>
    <w:rsid w:val="004B31BE"/>
    <w:rsid w:val="004B3651"/>
    <w:rsid w:val="004B39C7"/>
    <w:rsid w:val="004B3F28"/>
    <w:rsid w:val="004B4861"/>
    <w:rsid w:val="004B4CBD"/>
    <w:rsid w:val="004B6868"/>
    <w:rsid w:val="004C0A64"/>
    <w:rsid w:val="004C17BB"/>
    <w:rsid w:val="004C19F0"/>
    <w:rsid w:val="004C2A01"/>
    <w:rsid w:val="004C386C"/>
    <w:rsid w:val="004C3BAD"/>
    <w:rsid w:val="004C4B10"/>
    <w:rsid w:val="004D1051"/>
    <w:rsid w:val="004D2740"/>
    <w:rsid w:val="004D29F4"/>
    <w:rsid w:val="004D3DD4"/>
    <w:rsid w:val="004D5BD4"/>
    <w:rsid w:val="004E2B74"/>
    <w:rsid w:val="004E6991"/>
    <w:rsid w:val="004E6B95"/>
    <w:rsid w:val="004F0882"/>
    <w:rsid w:val="004F263B"/>
    <w:rsid w:val="004F79E7"/>
    <w:rsid w:val="00500349"/>
    <w:rsid w:val="005005F5"/>
    <w:rsid w:val="00500E36"/>
    <w:rsid w:val="00501A6C"/>
    <w:rsid w:val="00504764"/>
    <w:rsid w:val="00505373"/>
    <w:rsid w:val="0051294C"/>
    <w:rsid w:val="00513404"/>
    <w:rsid w:val="00514FA0"/>
    <w:rsid w:val="00515FC5"/>
    <w:rsid w:val="005173A0"/>
    <w:rsid w:val="005234BE"/>
    <w:rsid w:val="00525052"/>
    <w:rsid w:val="00526B35"/>
    <w:rsid w:val="00531263"/>
    <w:rsid w:val="00532849"/>
    <w:rsid w:val="005332C0"/>
    <w:rsid w:val="00534876"/>
    <w:rsid w:val="00534F33"/>
    <w:rsid w:val="00535AD0"/>
    <w:rsid w:val="005374DD"/>
    <w:rsid w:val="00537A1F"/>
    <w:rsid w:val="005403D7"/>
    <w:rsid w:val="005407AE"/>
    <w:rsid w:val="005421EE"/>
    <w:rsid w:val="005440A5"/>
    <w:rsid w:val="005447BA"/>
    <w:rsid w:val="00544883"/>
    <w:rsid w:val="00544B90"/>
    <w:rsid w:val="0054539C"/>
    <w:rsid w:val="00553DC9"/>
    <w:rsid w:val="00553FB4"/>
    <w:rsid w:val="00554B9B"/>
    <w:rsid w:val="00554C9D"/>
    <w:rsid w:val="00555001"/>
    <w:rsid w:val="00555F8F"/>
    <w:rsid w:val="005568A1"/>
    <w:rsid w:val="0055798B"/>
    <w:rsid w:val="005600AD"/>
    <w:rsid w:val="00561001"/>
    <w:rsid w:val="005614D4"/>
    <w:rsid w:val="005621CB"/>
    <w:rsid w:val="00566C8A"/>
    <w:rsid w:val="00574F4B"/>
    <w:rsid w:val="00576D28"/>
    <w:rsid w:val="00576E48"/>
    <w:rsid w:val="00580B56"/>
    <w:rsid w:val="005818DF"/>
    <w:rsid w:val="005825BA"/>
    <w:rsid w:val="0058323E"/>
    <w:rsid w:val="00583E35"/>
    <w:rsid w:val="00583FDA"/>
    <w:rsid w:val="00586E3E"/>
    <w:rsid w:val="005871D3"/>
    <w:rsid w:val="00587C36"/>
    <w:rsid w:val="00590BA2"/>
    <w:rsid w:val="00590D6C"/>
    <w:rsid w:val="00592592"/>
    <w:rsid w:val="00592663"/>
    <w:rsid w:val="00592F67"/>
    <w:rsid w:val="00592F8D"/>
    <w:rsid w:val="005A1973"/>
    <w:rsid w:val="005A5BF6"/>
    <w:rsid w:val="005A7162"/>
    <w:rsid w:val="005B0B0E"/>
    <w:rsid w:val="005B113F"/>
    <w:rsid w:val="005B125C"/>
    <w:rsid w:val="005B35E4"/>
    <w:rsid w:val="005B4858"/>
    <w:rsid w:val="005B4D6A"/>
    <w:rsid w:val="005B54A8"/>
    <w:rsid w:val="005C0FBD"/>
    <w:rsid w:val="005C33C4"/>
    <w:rsid w:val="005C3A56"/>
    <w:rsid w:val="005C5B0F"/>
    <w:rsid w:val="005C6620"/>
    <w:rsid w:val="005C66F7"/>
    <w:rsid w:val="005C748D"/>
    <w:rsid w:val="005C7705"/>
    <w:rsid w:val="005D0648"/>
    <w:rsid w:val="005D3701"/>
    <w:rsid w:val="005D3DA1"/>
    <w:rsid w:val="005D52DB"/>
    <w:rsid w:val="005D711E"/>
    <w:rsid w:val="005E047A"/>
    <w:rsid w:val="005E07F4"/>
    <w:rsid w:val="005E1292"/>
    <w:rsid w:val="005E320F"/>
    <w:rsid w:val="005E3917"/>
    <w:rsid w:val="005E5817"/>
    <w:rsid w:val="005E5F65"/>
    <w:rsid w:val="005E7842"/>
    <w:rsid w:val="005F18B4"/>
    <w:rsid w:val="005F4E56"/>
    <w:rsid w:val="00600004"/>
    <w:rsid w:val="00603178"/>
    <w:rsid w:val="0060335E"/>
    <w:rsid w:val="00603DA9"/>
    <w:rsid w:val="00605269"/>
    <w:rsid w:val="00605511"/>
    <w:rsid w:val="006067DE"/>
    <w:rsid w:val="00610067"/>
    <w:rsid w:val="006105CE"/>
    <w:rsid w:val="00611530"/>
    <w:rsid w:val="00613678"/>
    <w:rsid w:val="0061371D"/>
    <w:rsid w:val="00615083"/>
    <w:rsid w:val="00617984"/>
    <w:rsid w:val="0062316D"/>
    <w:rsid w:val="00623AC4"/>
    <w:rsid w:val="00625F07"/>
    <w:rsid w:val="00630251"/>
    <w:rsid w:val="00630B6A"/>
    <w:rsid w:val="0063169E"/>
    <w:rsid w:val="00632475"/>
    <w:rsid w:val="00632579"/>
    <w:rsid w:val="00632924"/>
    <w:rsid w:val="0063521D"/>
    <w:rsid w:val="0064007D"/>
    <w:rsid w:val="00643356"/>
    <w:rsid w:val="00651453"/>
    <w:rsid w:val="006536EA"/>
    <w:rsid w:val="00653EED"/>
    <w:rsid w:val="006545F0"/>
    <w:rsid w:val="00654F7C"/>
    <w:rsid w:val="00661854"/>
    <w:rsid w:val="00662297"/>
    <w:rsid w:val="00662A08"/>
    <w:rsid w:val="00664314"/>
    <w:rsid w:val="0066596A"/>
    <w:rsid w:val="00665AF5"/>
    <w:rsid w:val="00671823"/>
    <w:rsid w:val="00673401"/>
    <w:rsid w:val="0067371F"/>
    <w:rsid w:val="006739F2"/>
    <w:rsid w:val="006753BD"/>
    <w:rsid w:val="00684737"/>
    <w:rsid w:val="006867DB"/>
    <w:rsid w:val="006911D9"/>
    <w:rsid w:val="00691323"/>
    <w:rsid w:val="00691DAF"/>
    <w:rsid w:val="0069284C"/>
    <w:rsid w:val="006A0815"/>
    <w:rsid w:val="006A0EBC"/>
    <w:rsid w:val="006A32F2"/>
    <w:rsid w:val="006A41BF"/>
    <w:rsid w:val="006A66FE"/>
    <w:rsid w:val="006B0A81"/>
    <w:rsid w:val="006B150E"/>
    <w:rsid w:val="006B29CF"/>
    <w:rsid w:val="006B3E0C"/>
    <w:rsid w:val="006B53C4"/>
    <w:rsid w:val="006B675E"/>
    <w:rsid w:val="006B6ABB"/>
    <w:rsid w:val="006C061F"/>
    <w:rsid w:val="006C166D"/>
    <w:rsid w:val="006C1FD9"/>
    <w:rsid w:val="006C2439"/>
    <w:rsid w:val="006D0AB8"/>
    <w:rsid w:val="006D1F5A"/>
    <w:rsid w:val="006D2A3F"/>
    <w:rsid w:val="006D3F92"/>
    <w:rsid w:val="006D4292"/>
    <w:rsid w:val="006D7B1B"/>
    <w:rsid w:val="006E103C"/>
    <w:rsid w:val="006E17FB"/>
    <w:rsid w:val="006E1E8D"/>
    <w:rsid w:val="006E2CE6"/>
    <w:rsid w:val="006E4A8B"/>
    <w:rsid w:val="006E5243"/>
    <w:rsid w:val="006E62CD"/>
    <w:rsid w:val="006F1D99"/>
    <w:rsid w:val="006F1DF4"/>
    <w:rsid w:val="006F3515"/>
    <w:rsid w:val="006F4759"/>
    <w:rsid w:val="006F61BC"/>
    <w:rsid w:val="006F7ED6"/>
    <w:rsid w:val="00700B5B"/>
    <w:rsid w:val="0070132F"/>
    <w:rsid w:val="007015D2"/>
    <w:rsid w:val="0070242F"/>
    <w:rsid w:val="007025CC"/>
    <w:rsid w:val="00705449"/>
    <w:rsid w:val="00707A25"/>
    <w:rsid w:val="00710127"/>
    <w:rsid w:val="007111C6"/>
    <w:rsid w:val="00712A0F"/>
    <w:rsid w:val="00712E5A"/>
    <w:rsid w:val="00713116"/>
    <w:rsid w:val="00716960"/>
    <w:rsid w:val="0072188C"/>
    <w:rsid w:val="00721DD1"/>
    <w:rsid w:val="00723477"/>
    <w:rsid w:val="00724D68"/>
    <w:rsid w:val="0072553E"/>
    <w:rsid w:val="00725EC7"/>
    <w:rsid w:val="0073359D"/>
    <w:rsid w:val="00735C95"/>
    <w:rsid w:val="00740C7A"/>
    <w:rsid w:val="00742A08"/>
    <w:rsid w:val="00750DBA"/>
    <w:rsid w:val="00753A79"/>
    <w:rsid w:val="007555C2"/>
    <w:rsid w:val="00755CB2"/>
    <w:rsid w:val="007603E9"/>
    <w:rsid w:val="007643BA"/>
    <w:rsid w:val="00764892"/>
    <w:rsid w:val="00765953"/>
    <w:rsid w:val="00765AFD"/>
    <w:rsid w:val="0076602E"/>
    <w:rsid w:val="00767729"/>
    <w:rsid w:val="00767BA0"/>
    <w:rsid w:val="00770CB2"/>
    <w:rsid w:val="007715E0"/>
    <w:rsid w:val="00775F5F"/>
    <w:rsid w:val="0077606C"/>
    <w:rsid w:val="007763C0"/>
    <w:rsid w:val="007765A6"/>
    <w:rsid w:val="007806A6"/>
    <w:rsid w:val="0078105D"/>
    <w:rsid w:val="00781D51"/>
    <w:rsid w:val="007831A6"/>
    <w:rsid w:val="007834DA"/>
    <w:rsid w:val="00784F0A"/>
    <w:rsid w:val="00784F7C"/>
    <w:rsid w:val="00784F82"/>
    <w:rsid w:val="00785DDE"/>
    <w:rsid w:val="007879DD"/>
    <w:rsid w:val="00792451"/>
    <w:rsid w:val="007931ED"/>
    <w:rsid w:val="00794D80"/>
    <w:rsid w:val="0079750D"/>
    <w:rsid w:val="007A06B9"/>
    <w:rsid w:val="007A0E55"/>
    <w:rsid w:val="007A160D"/>
    <w:rsid w:val="007A2168"/>
    <w:rsid w:val="007A56D9"/>
    <w:rsid w:val="007A5A37"/>
    <w:rsid w:val="007A79CC"/>
    <w:rsid w:val="007B074C"/>
    <w:rsid w:val="007B2F04"/>
    <w:rsid w:val="007B3F93"/>
    <w:rsid w:val="007B77B9"/>
    <w:rsid w:val="007C0D37"/>
    <w:rsid w:val="007C2855"/>
    <w:rsid w:val="007C3098"/>
    <w:rsid w:val="007C5192"/>
    <w:rsid w:val="007C59F8"/>
    <w:rsid w:val="007C616F"/>
    <w:rsid w:val="007C6911"/>
    <w:rsid w:val="007D1B26"/>
    <w:rsid w:val="007D3802"/>
    <w:rsid w:val="007D7383"/>
    <w:rsid w:val="007D7CA5"/>
    <w:rsid w:val="007E1BCD"/>
    <w:rsid w:val="007E643A"/>
    <w:rsid w:val="007F1605"/>
    <w:rsid w:val="007F1FCA"/>
    <w:rsid w:val="007F2316"/>
    <w:rsid w:val="007F5E1F"/>
    <w:rsid w:val="007F65D9"/>
    <w:rsid w:val="007F66C8"/>
    <w:rsid w:val="007F73D3"/>
    <w:rsid w:val="00801743"/>
    <w:rsid w:val="00801920"/>
    <w:rsid w:val="008019ED"/>
    <w:rsid w:val="0080226E"/>
    <w:rsid w:val="00805024"/>
    <w:rsid w:val="008074D5"/>
    <w:rsid w:val="00807D61"/>
    <w:rsid w:val="00807E03"/>
    <w:rsid w:val="00810F9E"/>
    <w:rsid w:val="0081158B"/>
    <w:rsid w:val="00813F37"/>
    <w:rsid w:val="00816518"/>
    <w:rsid w:val="00816E97"/>
    <w:rsid w:val="00816EBC"/>
    <w:rsid w:val="00816F02"/>
    <w:rsid w:val="0081700E"/>
    <w:rsid w:val="00817833"/>
    <w:rsid w:val="00821061"/>
    <w:rsid w:val="00821BDE"/>
    <w:rsid w:val="00822ADF"/>
    <w:rsid w:val="0082428F"/>
    <w:rsid w:val="00824F6B"/>
    <w:rsid w:val="00825E2D"/>
    <w:rsid w:val="00826089"/>
    <w:rsid w:val="0083158E"/>
    <w:rsid w:val="0083428E"/>
    <w:rsid w:val="00834DF8"/>
    <w:rsid w:val="00835C89"/>
    <w:rsid w:val="00837ACD"/>
    <w:rsid w:val="00840700"/>
    <w:rsid w:val="008410F0"/>
    <w:rsid w:val="00843318"/>
    <w:rsid w:val="00844448"/>
    <w:rsid w:val="00845F22"/>
    <w:rsid w:val="008461BF"/>
    <w:rsid w:val="0085151E"/>
    <w:rsid w:val="008531DF"/>
    <w:rsid w:val="00854102"/>
    <w:rsid w:val="00854316"/>
    <w:rsid w:val="00855CF7"/>
    <w:rsid w:val="00864D25"/>
    <w:rsid w:val="008706D7"/>
    <w:rsid w:val="0087128A"/>
    <w:rsid w:val="00872000"/>
    <w:rsid w:val="00872343"/>
    <w:rsid w:val="008735C8"/>
    <w:rsid w:val="00874DA9"/>
    <w:rsid w:val="00876099"/>
    <w:rsid w:val="00876BA5"/>
    <w:rsid w:val="00876C7A"/>
    <w:rsid w:val="00880253"/>
    <w:rsid w:val="00884E01"/>
    <w:rsid w:val="008866BE"/>
    <w:rsid w:val="0088750C"/>
    <w:rsid w:val="00887D4B"/>
    <w:rsid w:val="00891368"/>
    <w:rsid w:val="008913DB"/>
    <w:rsid w:val="00891660"/>
    <w:rsid w:val="008920D9"/>
    <w:rsid w:val="0089241C"/>
    <w:rsid w:val="00892639"/>
    <w:rsid w:val="0089271B"/>
    <w:rsid w:val="00893569"/>
    <w:rsid w:val="00893DEA"/>
    <w:rsid w:val="00897B02"/>
    <w:rsid w:val="008A001C"/>
    <w:rsid w:val="008A00F3"/>
    <w:rsid w:val="008A14FF"/>
    <w:rsid w:val="008A1CC2"/>
    <w:rsid w:val="008A2423"/>
    <w:rsid w:val="008A409C"/>
    <w:rsid w:val="008B1BB2"/>
    <w:rsid w:val="008B2A09"/>
    <w:rsid w:val="008B2CB0"/>
    <w:rsid w:val="008B72FD"/>
    <w:rsid w:val="008C1241"/>
    <w:rsid w:val="008C25A7"/>
    <w:rsid w:val="008C3229"/>
    <w:rsid w:val="008C4DA9"/>
    <w:rsid w:val="008C5757"/>
    <w:rsid w:val="008D078A"/>
    <w:rsid w:val="008D14D4"/>
    <w:rsid w:val="008D1FB8"/>
    <w:rsid w:val="008D6BA7"/>
    <w:rsid w:val="008D7534"/>
    <w:rsid w:val="008D7927"/>
    <w:rsid w:val="008E6056"/>
    <w:rsid w:val="008E662D"/>
    <w:rsid w:val="008E68A5"/>
    <w:rsid w:val="008E7347"/>
    <w:rsid w:val="008F422A"/>
    <w:rsid w:val="008F666E"/>
    <w:rsid w:val="008F66C5"/>
    <w:rsid w:val="00901A3F"/>
    <w:rsid w:val="00902648"/>
    <w:rsid w:val="00902754"/>
    <w:rsid w:val="00902770"/>
    <w:rsid w:val="00903DD5"/>
    <w:rsid w:val="00904907"/>
    <w:rsid w:val="0090726C"/>
    <w:rsid w:val="009075E7"/>
    <w:rsid w:val="00910191"/>
    <w:rsid w:val="00910F97"/>
    <w:rsid w:val="009112B6"/>
    <w:rsid w:val="009114C4"/>
    <w:rsid w:val="009117E6"/>
    <w:rsid w:val="00912883"/>
    <w:rsid w:val="00914AFA"/>
    <w:rsid w:val="0091691E"/>
    <w:rsid w:val="00921081"/>
    <w:rsid w:val="00925F1E"/>
    <w:rsid w:val="00925F30"/>
    <w:rsid w:val="00926789"/>
    <w:rsid w:val="00926AA4"/>
    <w:rsid w:val="00926D6C"/>
    <w:rsid w:val="0092798C"/>
    <w:rsid w:val="00932ECB"/>
    <w:rsid w:val="00936392"/>
    <w:rsid w:val="00937F1C"/>
    <w:rsid w:val="00941B23"/>
    <w:rsid w:val="00941F06"/>
    <w:rsid w:val="009428A2"/>
    <w:rsid w:val="00947F96"/>
    <w:rsid w:val="00950B59"/>
    <w:rsid w:val="009514FA"/>
    <w:rsid w:val="00953A95"/>
    <w:rsid w:val="0095798D"/>
    <w:rsid w:val="009605A3"/>
    <w:rsid w:val="009606B3"/>
    <w:rsid w:val="0096141B"/>
    <w:rsid w:val="009668FF"/>
    <w:rsid w:val="00966F11"/>
    <w:rsid w:val="0096766A"/>
    <w:rsid w:val="00970F02"/>
    <w:rsid w:val="00970FEF"/>
    <w:rsid w:val="0097220F"/>
    <w:rsid w:val="00973B32"/>
    <w:rsid w:val="00973D31"/>
    <w:rsid w:val="00974D79"/>
    <w:rsid w:val="00975900"/>
    <w:rsid w:val="009761C4"/>
    <w:rsid w:val="0097630B"/>
    <w:rsid w:val="00977020"/>
    <w:rsid w:val="00981B3B"/>
    <w:rsid w:val="00982958"/>
    <w:rsid w:val="00982B42"/>
    <w:rsid w:val="00983239"/>
    <w:rsid w:val="00984CD8"/>
    <w:rsid w:val="0098587E"/>
    <w:rsid w:val="00990933"/>
    <w:rsid w:val="00994C8E"/>
    <w:rsid w:val="00995400"/>
    <w:rsid w:val="00995F4B"/>
    <w:rsid w:val="00997736"/>
    <w:rsid w:val="009A09E2"/>
    <w:rsid w:val="009A6AFD"/>
    <w:rsid w:val="009A7234"/>
    <w:rsid w:val="009B0770"/>
    <w:rsid w:val="009B0F62"/>
    <w:rsid w:val="009B137B"/>
    <w:rsid w:val="009B5259"/>
    <w:rsid w:val="009B5AD2"/>
    <w:rsid w:val="009B7A49"/>
    <w:rsid w:val="009C05E4"/>
    <w:rsid w:val="009C0822"/>
    <w:rsid w:val="009C0A77"/>
    <w:rsid w:val="009C2FEF"/>
    <w:rsid w:val="009C48E8"/>
    <w:rsid w:val="009D0436"/>
    <w:rsid w:val="009D05F4"/>
    <w:rsid w:val="009D1319"/>
    <w:rsid w:val="009D2E47"/>
    <w:rsid w:val="009D3E5F"/>
    <w:rsid w:val="009D5AB4"/>
    <w:rsid w:val="009E1499"/>
    <w:rsid w:val="009E233F"/>
    <w:rsid w:val="009E26BB"/>
    <w:rsid w:val="009E3032"/>
    <w:rsid w:val="009E32C6"/>
    <w:rsid w:val="009E65FA"/>
    <w:rsid w:val="009E7B26"/>
    <w:rsid w:val="009F0DB2"/>
    <w:rsid w:val="009F253A"/>
    <w:rsid w:val="009F2BC8"/>
    <w:rsid w:val="009F3168"/>
    <w:rsid w:val="009F33F0"/>
    <w:rsid w:val="009F3BE9"/>
    <w:rsid w:val="009F4457"/>
    <w:rsid w:val="009F536A"/>
    <w:rsid w:val="009F604D"/>
    <w:rsid w:val="009F6861"/>
    <w:rsid w:val="009F7D23"/>
    <w:rsid w:val="00A00D16"/>
    <w:rsid w:val="00A11529"/>
    <w:rsid w:val="00A1199B"/>
    <w:rsid w:val="00A16598"/>
    <w:rsid w:val="00A16AC3"/>
    <w:rsid w:val="00A16B68"/>
    <w:rsid w:val="00A21075"/>
    <w:rsid w:val="00A21B51"/>
    <w:rsid w:val="00A24794"/>
    <w:rsid w:val="00A25ECD"/>
    <w:rsid w:val="00A27F48"/>
    <w:rsid w:val="00A30523"/>
    <w:rsid w:val="00A317DA"/>
    <w:rsid w:val="00A31DF6"/>
    <w:rsid w:val="00A328DD"/>
    <w:rsid w:val="00A339F3"/>
    <w:rsid w:val="00A357AE"/>
    <w:rsid w:val="00A35867"/>
    <w:rsid w:val="00A36A73"/>
    <w:rsid w:val="00A41329"/>
    <w:rsid w:val="00A45163"/>
    <w:rsid w:val="00A461B4"/>
    <w:rsid w:val="00A46333"/>
    <w:rsid w:val="00A47EAF"/>
    <w:rsid w:val="00A507DA"/>
    <w:rsid w:val="00A544A4"/>
    <w:rsid w:val="00A564C8"/>
    <w:rsid w:val="00A56DC7"/>
    <w:rsid w:val="00A60DC5"/>
    <w:rsid w:val="00A64342"/>
    <w:rsid w:val="00A7509F"/>
    <w:rsid w:val="00A75438"/>
    <w:rsid w:val="00A755B0"/>
    <w:rsid w:val="00A8202D"/>
    <w:rsid w:val="00A83CBA"/>
    <w:rsid w:val="00A87FC2"/>
    <w:rsid w:val="00A909BC"/>
    <w:rsid w:val="00A9175A"/>
    <w:rsid w:val="00A93E54"/>
    <w:rsid w:val="00A9474F"/>
    <w:rsid w:val="00A96B4E"/>
    <w:rsid w:val="00A972DB"/>
    <w:rsid w:val="00AA0E9D"/>
    <w:rsid w:val="00AA3F96"/>
    <w:rsid w:val="00AB08D6"/>
    <w:rsid w:val="00AB1283"/>
    <w:rsid w:val="00AB1FC0"/>
    <w:rsid w:val="00AB3B4D"/>
    <w:rsid w:val="00AB3E64"/>
    <w:rsid w:val="00AB4099"/>
    <w:rsid w:val="00AB42B1"/>
    <w:rsid w:val="00AC0C24"/>
    <w:rsid w:val="00AC0F89"/>
    <w:rsid w:val="00AC143E"/>
    <w:rsid w:val="00AC1E23"/>
    <w:rsid w:val="00AC5F64"/>
    <w:rsid w:val="00AC7708"/>
    <w:rsid w:val="00AC7B6F"/>
    <w:rsid w:val="00AC7F46"/>
    <w:rsid w:val="00AD1CC6"/>
    <w:rsid w:val="00AD48B6"/>
    <w:rsid w:val="00AD6317"/>
    <w:rsid w:val="00AD70D0"/>
    <w:rsid w:val="00AD7C85"/>
    <w:rsid w:val="00AE0C38"/>
    <w:rsid w:val="00AE4091"/>
    <w:rsid w:val="00AE5C4B"/>
    <w:rsid w:val="00AE6479"/>
    <w:rsid w:val="00AF2A71"/>
    <w:rsid w:val="00AF5405"/>
    <w:rsid w:val="00AF66A5"/>
    <w:rsid w:val="00B029A5"/>
    <w:rsid w:val="00B03D93"/>
    <w:rsid w:val="00B06446"/>
    <w:rsid w:val="00B13656"/>
    <w:rsid w:val="00B16550"/>
    <w:rsid w:val="00B16F0F"/>
    <w:rsid w:val="00B176AF"/>
    <w:rsid w:val="00B202B2"/>
    <w:rsid w:val="00B2033F"/>
    <w:rsid w:val="00B2092B"/>
    <w:rsid w:val="00B21E1C"/>
    <w:rsid w:val="00B21EA4"/>
    <w:rsid w:val="00B25377"/>
    <w:rsid w:val="00B25C99"/>
    <w:rsid w:val="00B26244"/>
    <w:rsid w:val="00B26C56"/>
    <w:rsid w:val="00B33C1E"/>
    <w:rsid w:val="00B36665"/>
    <w:rsid w:val="00B37855"/>
    <w:rsid w:val="00B40F27"/>
    <w:rsid w:val="00B43023"/>
    <w:rsid w:val="00B46C41"/>
    <w:rsid w:val="00B46D06"/>
    <w:rsid w:val="00B47BC6"/>
    <w:rsid w:val="00B53301"/>
    <w:rsid w:val="00B53432"/>
    <w:rsid w:val="00B53B8C"/>
    <w:rsid w:val="00B61414"/>
    <w:rsid w:val="00B62271"/>
    <w:rsid w:val="00B62FEE"/>
    <w:rsid w:val="00B632A0"/>
    <w:rsid w:val="00B6419D"/>
    <w:rsid w:val="00B65CCB"/>
    <w:rsid w:val="00B66F39"/>
    <w:rsid w:val="00B6715F"/>
    <w:rsid w:val="00B67B15"/>
    <w:rsid w:val="00B7462B"/>
    <w:rsid w:val="00B750CF"/>
    <w:rsid w:val="00B75F17"/>
    <w:rsid w:val="00B765FF"/>
    <w:rsid w:val="00B7669E"/>
    <w:rsid w:val="00B84C46"/>
    <w:rsid w:val="00B84E25"/>
    <w:rsid w:val="00B852ED"/>
    <w:rsid w:val="00B8650A"/>
    <w:rsid w:val="00B87B2F"/>
    <w:rsid w:val="00B924FE"/>
    <w:rsid w:val="00B94F97"/>
    <w:rsid w:val="00B958D6"/>
    <w:rsid w:val="00B96379"/>
    <w:rsid w:val="00B97104"/>
    <w:rsid w:val="00B97252"/>
    <w:rsid w:val="00BA064A"/>
    <w:rsid w:val="00BA0B6E"/>
    <w:rsid w:val="00BA0E6D"/>
    <w:rsid w:val="00BA1B4A"/>
    <w:rsid w:val="00BA1FD8"/>
    <w:rsid w:val="00BA2497"/>
    <w:rsid w:val="00BA651C"/>
    <w:rsid w:val="00BA6F5F"/>
    <w:rsid w:val="00BA71B0"/>
    <w:rsid w:val="00BB133D"/>
    <w:rsid w:val="00BB1555"/>
    <w:rsid w:val="00BB544B"/>
    <w:rsid w:val="00BC0918"/>
    <w:rsid w:val="00BC2B50"/>
    <w:rsid w:val="00BC304C"/>
    <w:rsid w:val="00BC7C6B"/>
    <w:rsid w:val="00BC7F34"/>
    <w:rsid w:val="00BD0DC7"/>
    <w:rsid w:val="00BD66D9"/>
    <w:rsid w:val="00BD69A8"/>
    <w:rsid w:val="00BD700D"/>
    <w:rsid w:val="00BD72EB"/>
    <w:rsid w:val="00BE0936"/>
    <w:rsid w:val="00BE1317"/>
    <w:rsid w:val="00BE147C"/>
    <w:rsid w:val="00BE3155"/>
    <w:rsid w:val="00BE37C1"/>
    <w:rsid w:val="00BE3E1B"/>
    <w:rsid w:val="00BE65CC"/>
    <w:rsid w:val="00BE72AB"/>
    <w:rsid w:val="00BE74C6"/>
    <w:rsid w:val="00BF0983"/>
    <w:rsid w:val="00BF0E3F"/>
    <w:rsid w:val="00BF3BC1"/>
    <w:rsid w:val="00BF3CC6"/>
    <w:rsid w:val="00BF64D9"/>
    <w:rsid w:val="00BF6E55"/>
    <w:rsid w:val="00BF7221"/>
    <w:rsid w:val="00BF75F3"/>
    <w:rsid w:val="00C0036A"/>
    <w:rsid w:val="00C01243"/>
    <w:rsid w:val="00C01478"/>
    <w:rsid w:val="00C01BC1"/>
    <w:rsid w:val="00C02622"/>
    <w:rsid w:val="00C035F8"/>
    <w:rsid w:val="00C0423B"/>
    <w:rsid w:val="00C04963"/>
    <w:rsid w:val="00C059D2"/>
    <w:rsid w:val="00C06521"/>
    <w:rsid w:val="00C0762F"/>
    <w:rsid w:val="00C07D99"/>
    <w:rsid w:val="00C1042A"/>
    <w:rsid w:val="00C10A74"/>
    <w:rsid w:val="00C12EE5"/>
    <w:rsid w:val="00C13FD8"/>
    <w:rsid w:val="00C158EE"/>
    <w:rsid w:val="00C16A17"/>
    <w:rsid w:val="00C176F5"/>
    <w:rsid w:val="00C17C3B"/>
    <w:rsid w:val="00C208DE"/>
    <w:rsid w:val="00C20E4D"/>
    <w:rsid w:val="00C23768"/>
    <w:rsid w:val="00C26D6D"/>
    <w:rsid w:val="00C275B7"/>
    <w:rsid w:val="00C31399"/>
    <w:rsid w:val="00C3535A"/>
    <w:rsid w:val="00C354B5"/>
    <w:rsid w:val="00C3560D"/>
    <w:rsid w:val="00C36047"/>
    <w:rsid w:val="00C419C2"/>
    <w:rsid w:val="00C41BFF"/>
    <w:rsid w:val="00C423CF"/>
    <w:rsid w:val="00C429BC"/>
    <w:rsid w:val="00C46B81"/>
    <w:rsid w:val="00C5159E"/>
    <w:rsid w:val="00C51D43"/>
    <w:rsid w:val="00C52DC3"/>
    <w:rsid w:val="00C602E6"/>
    <w:rsid w:val="00C62381"/>
    <w:rsid w:val="00C6244A"/>
    <w:rsid w:val="00C62486"/>
    <w:rsid w:val="00C64838"/>
    <w:rsid w:val="00C67FAA"/>
    <w:rsid w:val="00C71115"/>
    <w:rsid w:val="00C72207"/>
    <w:rsid w:val="00C75FAF"/>
    <w:rsid w:val="00C7694F"/>
    <w:rsid w:val="00C87157"/>
    <w:rsid w:val="00C87DDC"/>
    <w:rsid w:val="00C90A61"/>
    <w:rsid w:val="00C90AA9"/>
    <w:rsid w:val="00C91090"/>
    <w:rsid w:val="00C91FFD"/>
    <w:rsid w:val="00C92778"/>
    <w:rsid w:val="00C9426D"/>
    <w:rsid w:val="00C9523D"/>
    <w:rsid w:val="00C971F3"/>
    <w:rsid w:val="00CA01C4"/>
    <w:rsid w:val="00CA086C"/>
    <w:rsid w:val="00CA0FF7"/>
    <w:rsid w:val="00CA3FBE"/>
    <w:rsid w:val="00CA697B"/>
    <w:rsid w:val="00CB0371"/>
    <w:rsid w:val="00CB1A75"/>
    <w:rsid w:val="00CB2346"/>
    <w:rsid w:val="00CB3751"/>
    <w:rsid w:val="00CB389D"/>
    <w:rsid w:val="00CB6ED5"/>
    <w:rsid w:val="00CC0219"/>
    <w:rsid w:val="00CC0268"/>
    <w:rsid w:val="00CC1D99"/>
    <w:rsid w:val="00CC372F"/>
    <w:rsid w:val="00CC4844"/>
    <w:rsid w:val="00CC58BC"/>
    <w:rsid w:val="00CC5CB9"/>
    <w:rsid w:val="00CC67ED"/>
    <w:rsid w:val="00CC702A"/>
    <w:rsid w:val="00CC7969"/>
    <w:rsid w:val="00CD03FB"/>
    <w:rsid w:val="00CD04CD"/>
    <w:rsid w:val="00CD0C8C"/>
    <w:rsid w:val="00CD258E"/>
    <w:rsid w:val="00CD2713"/>
    <w:rsid w:val="00CD3B02"/>
    <w:rsid w:val="00CE00F7"/>
    <w:rsid w:val="00CE0F32"/>
    <w:rsid w:val="00CE3997"/>
    <w:rsid w:val="00CF2AC5"/>
    <w:rsid w:val="00CF2F5B"/>
    <w:rsid w:val="00CF521F"/>
    <w:rsid w:val="00CF7432"/>
    <w:rsid w:val="00D0110A"/>
    <w:rsid w:val="00D0355C"/>
    <w:rsid w:val="00D066F8"/>
    <w:rsid w:val="00D107D0"/>
    <w:rsid w:val="00D1121C"/>
    <w:rsid w:val="00D144D7"/>
    <w:rsid w:val="00D14717"/>
    <w:rsid w:val="00D16F38"/>
    <w:rsid w:val="00D17BE9"/>
    <w:rsid w:val="00D2068D"/>
    <w:rsid w:val="00D20F2E"/>
    <w:rsid w:val="00D21BB1"/>
    <w:rsid w:val="00D21E7D"/>
    <w:rsid w:val="00D22128"/>
    <w:rsid w:val="00D226A6"/>
    <w:rsid w:val="00D23044"/>
    <w:rsid w:val="00D24025"/>
    <w:rsid w:val="00D261F6"/>
    <w:rsid w:val="00D26F1B"/>
    <w:rsid w:val="00D3035B"/>
    <w:rsid w:val="00D308D9"/>
    <w:rsid w:val="00D34249"/>
    <w:rsid w:val="00D359DA"/>
    <w:rsid w:val="00D4048E"/>
    <w:rsid w:val="00D42A94"/>
    <w:rsid w:val="00D445E8"/>
    <w:rsid w:val="00D46B08"/>
    <w:rsid w:val="00D50737"/>
    <w:rsid w:val="00D507E8"/>
    <w:rsid w:val="00D50A9A"/>
    <w:rsid w:val="00D50FE2"/>
    <w:rsid w:val="00D55489"/>
    <w:rsid w:val="00D57128"/>
    <w:rsid w:val="00D60026"/>
    <w:rsid w:val="00D605BF"/>
    <w:rsid w:val="00D6163A"/>
    <w:rsid w:val="00D62A5C"/>
    <w:rsid w:val="00D62D03"/>
    <w:rsid w:val="00D6412C"/>
    <w:rsid w:val="00D658FB"/>
    <w:rsid w:val="00D65E8F"/>
    <w:rsid w:val="00D666B1"/>
    <w:rsid w:val="00D727AE"/>
    <w:rsid w:val="00D728B8"/>
    <w:rsid w:val="00D740DE"/>
    <w:rsid w:val="00D75032"/>
    <w:rsid w:val="00D75FBD"/>
    <w:rsid w:val="00D77D97"/>
    <w:rsid w:val="00D80B41"/>
    <w:rsid w:val="00D826E4"/>
    <w:rsid w:val="00D84896"/>
    <w:rsid w:val="00D84AAB"/>
    <w:rsid w:val="00D84CF7"/>
    <w:rsid w:val="00D85805"/>
    <w:rsid w:val="00D8719C"/>
    <w:rsid w:val="00D92864"/>
    <w:rsid w:val="00D93978"/>
    <w:rsid w:val="00D939DD"/>
    <w:rsid w:val="00D954E3"/>
    <w:rsid w:val="00DA1675"/>
    <w:rsid w:val="00DA34AE"/>
    <w:rsid w:val="00DA5A6B"/>
    <w:rsid w:val="00DA6F85"/>
    <w:rsid w:val="00DA770C"/>
    <w:rsid w:val="00DB0C40"/>
    <w:rsid w:val="00DB2446"/>
    <w:rsid w:val="00DB309B"/>
    <w:rsid w:val="00DB33B5"/>
    <w:rsid w:val="00DB568D"/>
    <w:rsid w:val="00DB5E50"/>
    <w:rsid w:val="00DC0E09"/>
    <w:rsid w:val="00DC2F45"/>
    <w:rsid w:val="00DC411C"/>
    <w:rsid w:val="00DC511E"/>
    <w:rsid w:val="00DC71BD"/>
    <w:rsid w:val="00DC7213"/>
    <w:rsid w:val="00DC7A12"/>
    <w:rsid w:val="00DC7D28"/>
    <w:rsid w:val="00DD0B3A"/>
    <w:rsid w:val="00DD143A"/>
    <w:rsid w:val="00DD1E89"/>
    <w:rsid w:val="00DD4E67"/>
    <w:rsid w:val="00DD5181"/>
    <w:rsid w:val="00DD5191"/>
    <w:rsid w:val="00DD52FF"/>
    <w:rsid w:val="00DD54F5"/>
    <w:rsid w:val="00DD5D89"/>
    <w:rsid w:val="00DD69F0"/>
    <w:rsid w:val="00DD7D05"/>
    <w:rsid w:val="00DE14E0"/>
    <w:rsid w:val="00DE1742"/>
    <w:rsid w:val="00DE607B"/>
    <w:rsid w:val="00DE6B96"/>
    <w:rsid w:val="00DE7573"/>
    <w:rsid w:val="00DE76F1"/>
    <w:rsid w:val="00DE7D53"/>
    <w:rsid w:val="00DF071D"/>
    <w:rsid w:val="00DF1566"/>
    <w:rsid w:val="00DF4D27"/>
    <w:rsid w:val="00E011E8"/>
    <w:rsid w:val="00E022D2"/>
    <w:rsid w:val="00E03782"/>
    <w:rsid w:val="00E04359"/>
    <w:rsid w:val="00E06C23"/>
    <w:rsid w:val="00E1389A"/>
    <w:rsid w:val="00E139AD"/>
    <w:rsid w:val="00E13F49"/>
    <w:rsid w:val="00E164EF"/>
    <w:rsid w:val="00E205B4"/>
    <w:rsid w:val="00E21FC2"/>
    <w:rsid w:val="00E22EC4"/>
    <w:rsid w:val="00E30B21"/>
    <w:rsid w:val="00E36419"/>
    <w:rsid w:val="00E3642B"/>
    <w:rsid w:val="00E42FEF"/>
    <w:rsid w:val="00E45021"/>
    <w:rsid w:val="00E46760"/>
    <w:rsid w:val="00E479CE"/>
    <w:rsid w:val="00E50BDE"/>
    <w:rsid w:val="00E50D08"/>
    <w:rsid w:val="00E51462"/>
    <w:rsid w:val="00E52393"/>
    <w:rsid w:val="00E5265E"/>
    <w:rsid w:val="00E52F3A"/>
    <w:rsid w:val="00E55749"/>
    <w:rsid w:val="00E55F5F"/>
    <w:rsid w:val="00E60072"/>
    <w:rsid w:val="00E62FD1"/>
    <w:rsid w:val="00E63726"/>
    <w:rsid w:val="00E6799D"/>
    <w:rsid w:val="00E712CA"/>
    <w:rsid w:val="00E7451E"/>
    <w:rsid w:val="00E75F1F"/>
    <w:rsid w:val="00E77C51"/>
    <w:rsid w:val="00E807BD"/>
    <w:rsid w:val="00E8154D"/>
    <w:rsid w:val="00E815E9"/>
    <w:rsid w:val="00E83460"/>
    <w:rsid w:val="00E85E8B"/>
    <w:rsid w:val="00E91C02"/>
    <w:rsid w:val="00E92E1E"/>
    <w:rsid w:val="00E93CCA"/>
    <w:rsid w:val="00E94B67"/>
    <w:rsid w:val="00EA138A"/>
    <w:rsid w:val="00EA1847"/>
    <w:rsid w:val="00EA19B2"/>
    <w:rsid w:val="00EA268F"/>
    <w:rsid w:val="00EA49E5"/>
    <w:rsid w:val="00EB0586"/>
    <w:rsid w:val="00EB4282"/>
    <w:rsid w:val="00EB4347"/>
    <w:rsid w:val="00EB7AEA"/>
    <w:rsid w:val="00EB7B39"/>
    <w:rsid w:val="00EC032A"/>
    <w:rsid w:val="00EC04F8"/>
    <w:rsid w:val="00EC0D01"/>
    <w:rsid w:val="00EC268F"/>
    <w:rsid w:val="00EC5A79"/>
    <w:rsid w:val="00EC6E80"/>
    <w:rsid w:val="00ED2E0E"/>
    <w:rsid w:val="00ED741E"/>
    <w:rsid w:val="00EE601A"/>
    <w:rsid w:val="00EE6437"/>
    <w:rsid w:val="00EF0761"/>
    <w:rsid w:val="00EF1A16"/>
    <w:rsid w:val="00EF298F"/>
    <w:rsid w:val="00EF3E2A"/>
    <w:rsid w:val="00EF4396"/>
    <w:rsid w:val="00F01268"/>
    <w:rsid w:val="00F024E1"/>
    <w:rsid w:val="00F057F3"/>
    <w:rsid w:val="00F15BBE"/>
    <w:rsid w:val="00F211A1"/>
    <w:rsid w:val="00F21C72"/>
    <w:rsid w:val="00F25897"/>
    <w:rsid w:val="00F26906"/>
    <w:rsid w:val="00F27DDA"/>
    <w:rsid w:val="00F30BAB"/>
    <w:rsid w:val="00F35179"/>
    <w:rsid w:val="00F36B56"/>
    <w:rsid w:val="00F36EFB"/>
    <w:rsid w:val="00F41A13"/>
    <w:rsid w:val="00F42CA5"/>
    <w:rsid w:val="00F459BC"/>
    <w:rsid w:val="00F45DAA"/>
    <w:rsid w:val="00F46084"/>
    <w:rsid w:val="00F46B93"/>
    <w:rsid w:val="00F47DED"/>
    <w:rsid w:val="00F542D7"/>
    <w:rsid w:val="00F5721A"/>
    <w:rsid w:val="00F6038E"/>
    <w:rsid w:val="00F6068B"/>
    <w:rsid w:val="00F61145"/>
    <w:rsid w:val="00F62A81"/>
    <w:rsid w:val="00F6335A"/>
    <w:rsid w:val="00F67048"/>
    <w:rsid w:val="00F6730A"/>
    <w:rsid w:val="00F7605F"/>
    <w:rsid w:val="00F83D71"/>
    <w:rsid w:val="00F84F38"/>
    <w:rsid w:val="00F85DCD"/>
    <w:rsid w:val="00F86A27"/>
    <w:rsid w:val="00F86FA2"/>
    <w:rsid w:val="00F926B8"/>
    <w:rsid w:val="00F95475"/>
    <w:rsid w:val="00F954BD"/>
    <w:rsid w:val="00FA05DA"/>
    <w:rsid w:val="00FA1E47"/>
    <w:rsid w:val="00FA4B09"/>
    <w:rsid w:val="00FA59ED"/>
    <w:rsid w:val="00FA61A4"/>
    <w:rsid w:val="00FB1D8B"/>
    <w:rsid w:val="00FB3EDD"/>
    <w:rsid w:val="00FB5368"/>
    <w:rsid w:val="00FC08D6"/>
    <w:rsid w:val="00FC13C0"/>
    <w:rsid w:val="00FC2082"/>
    <w:rsid w:val="00FC5333"/>
    <w:rsid w:val="00FC626A"/>
    <w:rsid w:val="00FC65A5"/>
    <w:rsid w:val="00FC6E36"/>
    <w:rsid w:val="00FC7657"/>
    <w:rsid w:val="00FC78F0"/>
    <w:rsid w:val="00FD3124"/>
    <w:rsid w:val="00FD3DED"/>
    <w:rsid w:val="00FD5080"/>
    <w:rsid w:val="00FD53E0"/>
    <w:rsid w:val="00FD78FC"/>
    <w:rsid w:val="00FE29E4"/>
    <w:rsid w:val="00FE3DCA"/>
    <w:rsid w:val="00FE473A"/>
    <w:rsid w:val="00FE7054"/>
    <w:rsid w:val="00FE732C"/>
    <w:rsid w:val="00FF07C8"/>
    <w:rsid w:val="00FF2C69"/>
    <w:rsid w:val="00FF3465"/>
    <w:rsid w:val="00FF3C80"/>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9880"/>
  <w15:docId w15:val="{BBF88F97-A1ED-4536-8ED0-0B2E6BA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puc.pa.gov" TargetMode="Externa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8F70-E687-478D-B0AC-400ADDC2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cp:lastModifiedBy>Burger, Lori</cp:lastModifiedBy>
  <cp:revision>150</cp:revision>
  <cp:lastPrinted>2016-11-10T20:37:00Z</cp:lastPrinted>
  <dcterms:created xsi:type="dcterms:W3CDTF">2017-10-19T16:28:00Z</dcterms:created>
  <dcterms:modified xsi:type="dcterms:W3CDTF">2018-08-20T16:55:00Z</dcterms:modified>
</cp:coreProperties>
</file>