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5BBA825F" w14:textId="77777777" w:rsidR="00C74A51" w:rsidRDefault="00C74A51">
            <w:pPr>
              <w:rPr>
                <w:rFonts w:ascii="Arial" w:hAnsi="Arial"/>
                <w:sz w:val="12"/>
              </w:rPr>
            </w:pPr>
          </w:p>
          <w:p w14:paraId="1D2859CB" w14:textId="77777777" w:rsidR="00C74A51" w:rsidRDefault="00C74A51">
            <w:pPr>
              <w:rPr>
                <w:rFonts w:ascii="Arial" w:hAnsi="Arial"/>
                <w:sz w:val="12"/>
              </w:rPr>
            </w:pPr>
          </w:p>
          <w:p w14:paraId="30098E1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99C33C2"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787A96E7"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1FC1ED2" w14:textId="77777777" w:rsidR="00C95F36" w:rsidRPr="00295BCA" w:rsidRDefault="00295BCA" w:rsidP="00C46A62">
            <w:pPr>
              <w:ind w:left="-828"/>
              <w:jc w:val="right"/>
            </w:pPr>
            <w:r w:rsidRPr="00295BCA">
              <w:t xml:space="preserve"> (water)</w:t>
            </w:r>
          </w:p>
          <w:p w14:paraId="10371E5B" w14:textId="1D420565" w:rsidR="00672F33" w:rsidRPr="00295BCA" w:rsidRDefault="00295BCA" w:rsidP="00C46A62">
            <w:pPr>
              <w:ind w:left="-828"/>
              <w:jc w:val="right"/>
            </w:pPr>
            <w:r w:rsidRPr="00295BCA">
              <w:t>M-2018-264</w:t>
            </w:r>
            <w:r w:rsidR="00DF7EFB">
              <w:t>0</w:t>
            </w:r>
            <w:r w:rsidRPr="00295BCA">
              <w:t>803</w:t>
            </w:r>
          </w:p>
          <w:p w14:paraId="2D944826" w14:textId="77777777" w:rsidR="00295BCA" w:rsidRPr="00295BCA" w:rsidRDefault="00295BCA" w:rsidP="00C46A62">
            <w:pPr>
              <w:ind w:left="-828"/>
              <w:jc w:val="right"/>
            </w:pPr>
            <w:r w:rsidRPr="00295BCA">
              <w:t>(wastewater)</w:t>
            </w:r>
          </w:p>
          <w:p w14:paraId="2CA0B166" w14:textId="77777777" w:rsidR="00295BCA" w:rsidRPr="00295BCA" w:rsidRDefault="00295BCA" w:rsidP="00C46A62">
            <w:pPr>
              <w:ind w:left="-828"/>
              <w:jc w:val="right"/>
            </w:pPr>
          </w:p>
          <w:p w14:paraId="2BC2567F"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2BB73FBE" w14:textId="77777777" w:rsidR="00C74A51" w:rsidRDefault="00C74A51">
      <w:pPr>
        <w:rPr>
          <w:sz w:val="24"/>
        </w:rPr>
        <w:sectPr w:rsidR="00C74A51" w:rsidSect="00B414F2">
          <w:headerReference w:type="default" r:id="rId9"/>
          <w:footerReference w:type="even" r:id="rId10"/>
          <w:footerReference w:type="default" r:id="rId11"/>
          <w:pgSz w:w="12240" w:h="15840"/>
          <w:pgMar w:top="504" w:right="1440" w:bottom="1440" w:left="1440" w:header="720" w:footer="720" w:gutter="0"/>
          <w:cols w:space="720"/>
          <w:titlePg/>
        </w:sectPr>
      </w:pPr>
    </w:p>
    <w:p w14:paraId="30151E56" w14:textId="4251E973" w:rsidR="00FA0E37" w:rsidRDefault="00850AFF" w:rsidP="00FA0E37">
      <w:pPr>
        <w:jc w:val="center"/>
        <w:rPr>
          <w:b/>
          <w:sz w:val="26"/>
          <w:szCs w:val="26"/>
        </w:rPr>
      </w:pPr>
      <w:r>
        <w:rPr>
          <w:b/>
          <w:sz w:val="26"/>
          <w:szCs w:val="26"/>
        </w:rPr>
        <w:t>September 26, 2018</w:t>
      </w:r>
    </w:p>
    <w:p w14:paraId="35399991" w14:textId="77777777" w:rsidR="00F25403" w:rsidRDefault="00F25403" w:rsidP="00F25403">
      <w:pPr>
        <w:jc w:val="right"/>
        <w:rPr>
          <w:sz w:val="26"/>
          <w:szCs w:val="26"/>
        </w:rPr>
      </w:pPr>
    </w:p>
    <w:p w14:paraId="7DC51EB9" w14:textId="77777777" w:rsidR="00F25403" w:rsidRDefault="00F25403" w:rsidP="00F25403">
      <w:pPr>
        <w:jc w:val="right"/>
        <w:rPr>
          <w:sz w:val="26"/>
          <w:szCs w:val="26"/>
        </w:rPr>
      </w:pPr>
    </w:p>
    <w:p w14:paraId="0E389140" w14:textId="77777777" w:rsidR="00295BCA" w:rsidRDefault="00295BCA" w:rsidP="00C86536">
      <w:pPr>
        <w:tabs>
          <w:tab w:val="left" w:pos="5760"/>
          <w:tab w:val="left" w:pos="7200"/>
        </w:tabs>
        <w:jc w:val="center"/>
        <w:rPr>
          <w:b/>
          <w:sz w:val="26"/>
          <w:szCs w:val="26"/>
        </w:rPr>
      </w:pPr>
      <w:r>
        <w:rPr>
          <w:b/>
          <w:sz w:val="26"/>
          <w:szCs w:val="26"/>
        </w:rPr>
        <w:t xml:space="preserve">PROCEDURE FOR COMMISSION REVIEW OF THE </w:t>
      </w:r>
    </w:p>
    <w:p w14:paraId="2B290969" w14:textId="77777777" w:rsidR="00295BCA" w:rsidRDefault="00295BCA" w:rsidP="00C86536">
      <w:pPr>
        <w:tabs>
          <w:tab w:val="left" w:pos="5760"/>
          <w:tab w:val="left" w:pos="7200"/>
        </w:tabs>
        <w:jc w:val="center"/>
        <w:rPr>
          <w:b/>
          <w:sz w:val="26"/>
          <w:szCs w:val="26"/>
        </w:rPr>
      </w:pPr>
      <w:r>
        <w:rPr>
          <w:b/>
          <w:sz w:val="26"/>
          <w:szCs w:val="26"/>
        </w:rPr>
        <w:t>SEPTEMBER 28, 2018 COMPLIANCE PLAN AND LTIIP FILINGS</w:t>
      </w:r>
    </w:p>
    <w:p w14:paraId="605ACDB8" w14:textId="77777777" w:rsidR="00295BCA" w:rsidRDefault="00295BCA" w:rsidP="00C86536">
      <w:pPr>
        <w:tabs>
          <w:tab w:val="left" w:pos="5760"/>
          <w:tab w:val="left" w:pos="7200"/>
        </w:tabs>
        <w:jc w:val="center"/>
        <w:rPr>
          <w:b/>
          <w:sz w:val="26"/>
          <w:szCs w:val="26"/>
        </w:rPr>
      </w:pPr>
      <w:r>
        <w:rPr>
          <w:b/>
          <w:sz w:val="26"/>
          <w:szCs w:val="26"/>
        </w:rPr>
        <w:t xml:space="preserve"> OF THE</w:t>
      </w:r>
    </w:p>
    <w:p w14:paraId="1692FE1D" w14:textId="77777777" w:rsidR="00B14F9F" w:rsidRDefault="00295BCA" w:rsidP="00C86536">
      <w:pPr>
        <w:tabs>
          <w:tab w:val="left" w:pos="5760"/>
          <w:tab w:val="left" w:pos="7200"/>
        </w:tabs>
        <w:jc w:val="center"/>
        <w:rPr>
          <w:b/>
          <w:sz w:val="26"/>
          <w:szCs w:val="26"/>
        </w:rPr>
      </w:pPr>
      <w:r>
        <w:rPr>
          <w:b/>
          <w:sz w:val="26"/>
          <w:szCs w:val="26"/>
        </w:rPr>
        <w:t>PITTSBURGH WATER AND SEWER</w:t>
      </w:r>
      <w:r w:rsidR="00B14F9F">
        <w:rPr>
          <w:b/>
          <w:sz w:val="26"/>
          <w:szCs w:val="26"/>
        </w:rPr>
        <w:t xml:space="preserve"> AUTHORITY</w:t>
      </w:r>
    </w:p>
    <w:p w14:paraId="202B5217" w14:textId="77777777" w:rsidR="006C2028" w:rsidRDefault="006C2028" w:rsidP="00C86536">
      <w:pPr>
        <w:tabs>
          <w:tab w:val="left" w:pos="5760"/>
          <w:tab w:val="left" w:pos="7200"/>
        </w:tabs>
        <w:jc w:val="center"/>
        <w:rPr>
          <w:b/>
          <w:caps/>
          <w:sz w:val="26"/>
          <w:szCs w:val="26"/>
        </w:rPr>
      </w:pPr>
    </w:p>
    <w:p w14:paraId="38F8EEA2" w14:textId="77777777" w:rsidR="00F25403" w:rsidRPr="001F40FF" w:rsidRDefault="00F25403" w:rsidP="00B414F2">
      <w:pPr>
        <w:tabs>
          <w:tab w:val="left" w:pos="5760"/>
          <w:tab w:val="left" w:pos="7020"/>
        </w:tabs>
        <w:rPr>
          <w:sz w:val="24"/>
          <w:szCs w:val="24"/>
        </w:rPr>
      </w:pPr>
    </w:p>
    <w:p w14:paraId="40E7921F" w14:textId="77777777" w:rsidR="00295BCA" w:rsidRDefault="00970A95" w:rsidP="00295BCA">
      <w:pPr>
        <w:rPr>
          <w:rFonts w:eastAsia="Calibri"/>
          <w:sz w:val="26"/>
          <w:szCs w:val="22"/>
        </w:rPr>
      </w:pPr>
      <w:r>
        <w:rPr>
          <w:sz w:val="26"/>
          <w:szCs w:val="26"/>
        </w:rPr>
        <w:tab/>
      </w:r>
      <w:r w:rsidR="00295BCA">
        <w:rPr>
          <w:rFonts w:eastAsia="Calibri"/>
          <w:sz w:val="26"/>
          <w:szCs w:val="22"/>
        </w:rPr>
        <w:t xml:space="preserve">On March 15, 2018, the Commission entered its Final Implementation Order (FIO) at Docket Nos. M-2018-2640802 (water) and M-2018-2640803 (wastewater) in a consolidated proceeding to establish the procedures by which the Commission would implement Chapter 32 of the Public Utility Code commencing on April 1, 2018.  That Chapter provides for Commission oversight of the Pittsburgh Water and Sewer Authority (PWSA) as if it were a public utility, subject to certain Code exemptions.  </w:t>
      </w:r>
    </w:p>
    <w:p w14:paraId="0EDD7DDD" w14:textId="77777777" w:rsidR="00295BCA" w:rsidRDefault="00295BCA" w:rsidP="00295BCA">
      <w:pPr>
        <w:rPr>
          <w:rFonts w:eastAsia="Calibri"/>
          <w:sz w:val="26"/>
          <w:szCs w:val="22"/>
        </w:rPr>
      </w:pPr>
    </w:p>
    <w:p w14:paraId="62324F84" w14:textId="77777777" w:rsidR="00295BCA" w:rsidRDefault="00295BCA" w:rsidP="00295BCA">
      <w:pPr>
        <w:tabs>
          <w:tab w:val="left" w:pos="720"/>
        </w:tabs>
        <w:rPr>
          <w:rFonts w:eastAsia="Calibri"/>
          <w:sz w:val="26"/>
          <w:szCs w:val="22"/>
        </w:rPr>
      </w:pPr>
      <w:r>
        <w:rPr>
          <w:rFonts w:eastAsia="Calibri"/>
          <w:sz w:val="26"/>
          <w:szCs w:val="22"/>
        </w:rPr>
        <w:tab/>
        <w:t xml:space="preserve">The FIO provided dates certain for filings mandated by the General Assembly at 66 Pa. C.S. §§ 3202 and 3204.  These include the July 2, 2018 deadline for the filing of proposed water and wastewater tariffs subject to typical base rate proceeding review, now occurring before the Office of Administrative Law Judge according to the 270-day schedule established by 66 Pa. C.S. § 1308.  </w:t>
      </w:r>
    </w:p>
    <w:p w14:paraId="3F2158B0" w14:textId="77777777" w:rsidR="00295BCA" w:rsidRDefault="00295BCA" w:rsidP="00295BCA">
      <w:pPr>
        <w:tabs>
          <w:tab w:val="left" w:pos="720"/>
        </w:tabs>
        <w:rPr>
          <w:rFonts w:eastAsia="Calibri"/>
          <w:sz w:val="26"/>
          <w:szCs w:val="22"/>
        </w:rPr>
      </w:pPr>
    </w:p>
    <w:p w14:paraId="7D543AB1" w14:textId="77777777" w:rsidR="00295BCA" w:rsidRDefault="00295BCA" w:rsidP="00295BCA">
      <w:pPr>
        <w:tabs>
          <w:tab w:val="left" w:pos="720"/>
        </w:tabs>
        <w:rPr>
          <w:rFonts w:eastAsia="Calibri"/>
          <w:sz w:val="26"/>
          <w:szCs w:val="22"/>
        </w:rPr>
      </w:pPr>
      <w:r>
        <w:rPr>
          <w:rFonts w:eastAsia="Calibri"/>
          <w:sz w:val="26"/>
          <w:szCs w:val="22"/>
        </w:rPr>
        <w:tab/>
        <w:t>The FIO also established a due date of September 28, 2018 for the filing of Compliance Plan and Long-Term Infrastructure Improvement Plans based off the 180-day filing deadline of Section 3204.  Section 3204(b) requires PWSA to file compliance plans</w:t>
      </w:r>
    </w:p>
    <w:p w14:paraId="235C8194" w14:textId="77777777" w:rsidR="00295BCA" w:rsidRDefault="00295BCA" w:rsidP="00295BCA">
      <w:pPr>
        <w:tabs>
          <w:tab w:val="left" w:pos="720"/>
        </w:tabs>
        <w:rPr>
          <w:rFonts w:eastAsia="Calibri"/>
          <w:sz w:val="26"/>
          <w:szCs w:val="22"/>
        </w:rPr>
      </w:pPr>
    </w:p>
    <w:p w14:paraId="2EE3C62F" w14:textId="77777777" w:rsidR="00295BCA" w:rsidRDefault="00295BCA" w:rsidP="00295BCA">
      <w:pPr>
        <w:tabs>
          <w:tab w:val="left" w:pos="720"/>
        </w:tabs>
        <w:ind w:left="720" w:right="720"/>
        <w:rPr>
          <w:rFonts w:eastAsia="Calibri"/>
          <w:sz w:val="26"/>
          <w:szCs w:val="22"/>
        </w:rPr>
      </w:pPr>
      <w:r>
        <w:rPr>
          <w:rFonts w:eastAsia="Calibri"/>
          <w:sz w:val="26"/>
          <w:szCs w:val="22"/>
        </w:rPr>
        <w:t>w</w:t>
      </w:r>
      <w:r w:rsidRPr="00BB3D65">
        <w:rPr>
          <w:rFonts w:eastAsia="Calibri"/>
          <w:sz w:val="26"/>
          <w:szCs w:val="22"/>
        </w:rPr>
        <w:t xml:space="preserve">hich shall include provisions to bring an authority's existing information technology, accounting, billing, collection and other operating systems and procedures into compliance with the requirements applicable to jurisdictional water and wastewater utilities under this title and applicable rules, regulations and orders of the commission. </w:t>
      </w:r>
    </w:p>
    <w:p w14:paraId="7336D47C" w14:textId="77777777" w:rsidR="00295BCA" w:rsidRDefault="00295BCA" w:rsidP="00295BCA">
      <w:pPr>
        <w:ind w:right="720"/>
        <w:rPr>
          <w:rFonts w:eastAsia="Calibri"/>
          <w:sz w:val="26"/>
          <w:szCs w:val="22"/>
        </w:rPr>
      </w:pPr>
    </w:p>
    <w:p w14:paraId="198289F7" w14:textId="77777777" w:rsidR="00295BCA" w:rsidRDefault="00295BCA" w:rsidP="00295BCA">
      <w:pPr>
        <w:ind w:right="720"/>
        <w:rPr>
          <w:rFonts w:eastAsia="Calibri"/>
          <w:sz w:val="26"/>
          <w:szCs w:val="22"/>
        </w:rPr>
      </w:pPr>
      <w:r>
        <w:rPr>
          <w:rFonts w:eastAsia="Calibri"/>
          <w:sz w:val="26"/>
          <w:szCs w:val="22"/>
        </w:rPr>
        <w:t xml:space="preserve">66 Pa. C.S. § 3204(b).  In addition, </w:t>
      </w:r>
      <w:r w:rsidR="00346307">
        <w:rPr>
          <w:rFonts w:eastAsia="Calibri"/>
          <w:sz w:val="26"/>
          <w:szCs w:val="22"/>
        </w:rPr>
        <w:t>that Section</w:t>
      </w:r>
      <w:r>
        <w:rPr>
          <w:rFonts w:eastAsia="Calibri"/>
          <w:sz w:val="26"/>
          <w:szCs w:val="22"/>
        </w:rPr>
        <w:t xml:space="preserve"> requires PWSA to submit a Long-Term Infrastructure Improvement Plan (LTIIP) simultaneously with the mandated Compliance Plan:</w:t>
      </w:r>
    </w:p>
    <w:p w14:paraId="3FF39861" w14:textId="77777777" w:rsidR="00295BCA" w:rsidRDefault="00295BCA" w:rsidP="00295BCA">
      <w:pPr>
        <w:ind w:right="720"/>
        <w:rPr>
          <w:rFonts w:eastAsia="Calibri"/>
          <w:sz w:val="26"/>
          <w:szCs w:val="22"/>
        </w:rPr>
      </w:pPr>
      <w:r>
        <w:rPr>
          <w:rFonts w:eastAsia="Calibri"/>
          <w:sz w:val="26"/>
          <w:szCs w:val="22"/>
        </w:rPr>
        <w:t xml:space="preserve"> </w:t>
      </w:r>
    </w:p>
    <w:p w14:paraId="7F299E4C" w14:textId="77777777" w:rsidR="00295BCA" w:rsidRDefault="00295BCA" w:rsidP="00295BCA">
      <w:pPr>
        <w:tabs>
          <w:tab w:val="left" w:pos="720"/>
        </w:tabs>
        <w:ind w:left="720" w:right="720"/>
        <w:rPr>
          <w:rFonts w:eastAsia="Calibri"/>
          <w:sz w:val="26"/>
          <w:szCs w:val="22"/>
        </w:rPr>
      </w:pPr>
      <w:r w:rsidRPr="00BB3D65">
        <w:rPr>
          <w:rFonts w:eastAsia="Calibri"/>
          <w:sz w:val="26"/>
          <w:szCs w:val="22"/>
        </w:rPr>
        <w:lastRenderedPageBreak/>
        <w:t>The compliance plan shall also include a long-term infrastructure improvement plan in accordance with Subchapter B of Chapter 13 (relating to distribution systems).</w:t>
      </w:r>
    </w:p>
    <w:p w14:paraId="7AAABA60" w14:textId="77777777" w:rsidR="00295BCA" w:rsidRDefault="00295BCA" w:rsidP="00295BCA">
      <w:pPr>
        <w:tabs>
          <w:tab w:val="left" w:pos="720"/>
        </w:tabs>
        <w:rPr>
          <w:rFonts w:eastAsia="Calibri"/>
          <w:sz w:val="26"/>
          <w:szCs w:val="22"/>
        </w:rPr>
      </w:pPr>
    </w:p>
    <w:p w14:paraId="02BCDCF4" w14:textId="77777777" w:rsidR="00295BCA" w:rsidRDefault="00295BCA" w:rsidP="00295BCA">
      <w:pPr>
        <w:ind w:right="720"/>
        <w:rPr>
          <w:rFonts w:eastAsia="Calibri"/>
          <w:sz w:val="26"/>
          <w:szCs w:val="22"/>
        </w:rPr>
      </w:pPr>
      <w:r w:rsidRPr="00B82118">
        <w:rPr>
          <w:rFonts w:eastAsia="Calibri"/>
          <w:i/>
          <w:sz w:val="26"/>
          <w:szCs w:val="22"/>
        </w:rPr>
        <w:t>Id</w:t>
      </w:r>
      <w:r>
        <w:rPr>
          <w:rFonts w:eastAsia="Calibri"/>
          <w:sz w:val="26"/>
          <w:szCs w:val="22"/>
        </w:rPr>
        <w:t>.  Section 3204(c) provides for Commission review of the Compliance Plans and LTIIPs.</w:t>
      </w:r>
    </w:p>
    <w:p w14:paraId="22753BA8" w14:textId="77777777" w:rsidR="00295BCA" w:rsidRDefault="00295BCA" w:rsidP="00295BCA">
      <w:pPr>
        <w:ind w:right="720"/>
        <w:rPr>
          <w:rFonts w:eastAsia="Calibri"/>
          <w:sz w:val="26"/>
          <w:szCs w:val="22"/>
        </w:rPr>
      </w:pPr>
    </w:p>
    <w:p w14:paraId="067E6CA9" w14:textId="77777777" w:rsidR="00295BCA" w:rsidRDefault="00295BCA" w:rsidP="00295BCA">
      <w:pPr>
        <w:ind w:left="720" w:right="720"/>
        <w:rPr>
          <w:rFonts w:eastAsia="Calibri"/>
          <w:sz w:val="26"/>
          <w:szCs w:val="22"/>
        </w:rPr>
      </w:pPr>
      <w:r w:rsidRPr="00072D0B">
        <w:rPr>
          <w:rFonts w:eastAsia="Calibri"/>
          <w:sz w:val="26"/>
          <w:szCs w:val="22"/>
        </w:rPr>
        <w:t xml:space="preserve">The commission shall review the compliance plan filed by an authority under subsection (b) and may order the authority to file a new or revised compliance plan if the compliance plan fails to adequately </w:t>
      </w:r>
      <w:bookmarkStart w:id="0" w:name="_Hlk524523675"/>
      <w:r w:rsidRPr="00072D0B">
        <w:rPr>
          <w:rFonts w:eastAsia="Calibri"/>
          <w:sz w:val="26"/>
          <w:szCs w:val="22"/>
        </w:rPr>
        <w:t xml:space="preserve">ensure and </w:t>
      </w:r>
      <w:bookmarkStart w:id="1" w:name="_Hlk524521345"/>
      <w:r w:rsidRPr="00072D0B">
        <w:rPr>
          <w:rFonts w:eastAsia="Calibri"/>
          <w:sz w:val="26"/>
          <w:szCs w:val="22"/>
        </w:rPr>
        <w:t>maintain the provision of adequate, efficient, safe, reliable and reasonable service.</w:t>
      </w:r>
      <w:bookmarkEnd w:id="1"/>
      <w:r w:rsidRPr="00072D0B">
        <w:rPr>
          <w:rFonts w:eastAsia="Calibri"/>
          <w:sz w:val="26"/>
          <w:szCs w:val="22"/>
        </w:rPr>
        <w:t xml:space="preserve"> </w:t>
      </w:r>
    </w:p>
    <w:bookmarkEnd w:id="0"/>
    <w:p w14:paraId="3B1B4498" w14:textId="77777777" w:rsidR="00295BCA" w:rsidRDefault="00295BCA" w:rsidP="00295BCA">
      <w:pPr>
        <w:ind w:right="720"/>
        <w:rPr>
          <w:rFonts w:eastAsia="Calibri"/>
          <w:sz w:val="26"/>
          <w:szCs w:val="22"/>
        </w:rPr>
      </w:pPr>
    </w:p>
    <w:p w14:paraId="202353B6" w14:textId="77777777" w:rsidR="00346307" w:rsidRDefault="00295BCA" w:rsidP="00346307">
      <w:pPr>
        <w:rPr>
          <w:rFonts w:eastAsia="Calibri"/>
          <w:sz w:val="26"/>
          <w:szCs w:val="22"/>
        </w:rPr>
      </w:pPr>
      <w:r>
        <w:rPr>
          <w:rFonts w:eastAsia="Calibri"/>
          <w:sz w:val="26"/>
          <w:szCs w:val="22"/>
        </w:rPr>
        <w:t>66 Pa. C.S. § 3204(c).</w:t>
      </w:r>
      <w:r w:rsidR="00346307">
        <w:rPr>
          <w:rFonts w:eastAsia="Calibri"/>
          <w:sz w:val="26"/>
          <w:szCs w:val="22"/>
        </w:rPr>
        <w:t xml:space="preserve">  </w:t>
      </w:r>
      <w:r w:rsidR="00346307" w:rsidRPr="009E1612">
        <w:rPr>
          <w:rFonts w:eastAsia="Calibri"/>
          <w:sz w:val="26"/>
          <w:szCs w:val="22"/>
        </w:rPr>
        <w:t xml:space="preserve">Unlike the </w:t>
      </w:r>
      <w:r w:rsidR="00346307">
        <w:rPr>
          <w:rFonts w:eastAsia="Calibri"/>
          <w:sz w:val="26"/>
          <w:szCs w:val="22"/>
        </w:rPr>
        <w:t xml:space="preserve">procedural instructions contained in Section 3204(a) regarding the PWSA tariff filing (rate case procedures, public input hearings) Section 3204(b) and (c) do not require the Commission to provide specific procedures as a part of its PWSA Compliance Plan and LTIIP review.  Similarly, as the Commission pointed out in the FIO, neither </w:t>
      </w:r>
      <w:r>
        <w:rPr>
          <w:rFonts w:eastAsia="Calibri"/>
          <w:sz w:val="26"/>
          <w:szCs w:val="22"/>
        </w:rPr>
        <w:t>Chapter 32 nor the remainder of the Public Utility Code establish a deadline by which the Commission must complete its required review of these filings.</w:t>
      </w:r>
    </w:p>
    <w:p w14:paraId="064F3474" w14:textId="77777777" w:rsidR="00346307" w:rsidRDefault="00346307" w:rsidP="00346307">
      <w:pPr>
        <w:rPr>
          <w:sz w:val="26"/>
          <w:szCs w:val="26"/>
        </w:rPr>
      </w:pPr>
    </w:p>
    <w:p w14:paraId="279BF69F" w14:textId="77777777" w:rsidR="00346307" w:rsidRDefault="00346307" w:rsidP="00346307">
      <w:pPr>
        <w:rPr>
          <w:sz w:val="26"/>
          <w:szCs w:val="26"/>
        </w:rPr>
      </w:pPr>
      <w:r>
        <w:rPr>
          <w:sz w:val="26"/>
          <w:szCs w:val="26"/>
        </w:rPr>
        <w:tab/>
        <w:t>As an initial matter, while the Commission will accept consolidated filings at the above-referenced dockets</w:t>
      </w:r>
      <w:r w:rsidR="006B1A00">
        <w:rPr>
          <w:sz w:val="26"/>
          <w:szCs w:val="26"/>
        </w:rPr>
        <w:t>,</w:t>
      </w:r>
      <w:r>
        <w:rPr>
          <w:sz w:val="26"/>
          <w:szCs w:val="26"/>
        </w:rPr>
        <w:t xml:space="preserve"> PWSA is reminded of the direction of the FIO that </w:t>
      </w:r>
      <w:r w:rsidR="00AD0361">
        <w:rPr>
          <w:sz w:val="26"/>
          <w:szCs w:val="26"/>
        </w:rPr>
        <w:t xml:space="preserve">PWSA must </w:t>
      </w:r>
      <w:r>
        <w:rPr>
          <w:sz w:val="26"/>
          <w:szCs w:val="26"/>
        </w:rPr>
        <w:t xml:space="preserve">segregate services and property such that the Commission and interested parties are able to engage in a meaningful review of its Compliance </w:t>
      </w:r>
      <w:r w:rsidR="00A13334">
        <w:rPr>
          <w:sz w:val="26"/>
          <w:szCs w:val="26"/>
        </w:rPr>
        <w:t>Plan and LTIIP filings</w:t>
      </w:r>
      <w:r>
        <w:rPr>
          <w:sz w:val="26"/>
          <w:szCs w:val="26"/>
        </w:rPr>
        <w:t xml:space="preserve">. </w:t>
      </w:r>
    </w:p>
    <w:p w14:paraId="2550F93F" w14:textId="77777777" w:rsidR="006B1A00" w:rsidRDefault="006B1A00" w:rsidP="00346307">
      <w:pPr>
        <w:rPr>
          <w:sz w:val="26"/>
          <w:szCs w:val="26"/>
        </w:rPr>
      </w:pPr>
    </w:p>
    <w:p w14:paraId="2E76A44E" w14:textId="77777777" w:rsidR="006B1A00" w:rsidRDefault="006B1A00" w:rsidP="006B1A00">
      <w:pPr>
        <w:rPr>
          <w:sz w:val="26"/>
          <w:szCs w:val="26"/>
        </w:rPr>
      </w:pPr>
      <w:r>
        <w:rPr>
          <w:sz w:val="26"/>
          <w:szCs w:val="26"/>
        </w:rPr>
        <w:tab/>
        <w:t>The PWSA Compliance Plans will be subject to the procedure described below.  The mandate of Section 3204(b) and (c) directs the Commission to perform an in-depth review of PWSA technical, operational, and managerial functions to ensure compliance with the Public Utility Code and Commission regulations.  More importantly, the General Assembly has directed that the Commission use the Section 3204(c) review to “</w:t>
      </w:r>
      <w:r w:rsidRPr="00FC5F41">
        <w:rPr>
          <w:sz w:val="26"/>
          <w:szCs w:val="26"/>
        </w:rPr>
        <w:t>ensure and maintain the provision of adequate, efficient, safe, reliable and reasonable service</w:t>
      </w:r>
      <w:r>
        <w:rPr>
          <w:sz w:val="26"/>
          <w:szCs w:val="26"/>
        </w:rPr>
        <w:t>” to the public.</w:t>
      </w:r>
    </w:p>
    <w:p w14:paraId="188A0394" w14:textId="77777777" w:rsidR="00346307" w:rsidRDefault="00346307" w:rsidP="00346307">
      <w:pPr>
        <w:rPr>
          <w:sz w:val="26"/>
          <w:szCs w:val="26"/>
        </w:rPr>
      </w:pPr>
    </w:p>
    <w:p w14:paraId="01B803EF" w14:textId="77777777" w:rsidR="00346307" w:rsidRDefault="00A13334" w:rsidP="00A13334">
      <w:pPr>
        <w:ind w:firstLine="720"/>
        <w:rPr>
          <w:sz w:val="26"/>
          <w:szCs w:val="26"/>
        </w:rPr>
      </w:pPr>
      <w:r>
        <w:rPr>
          <w:sz w:val="26"/>
          <w:szCs w:val="26"/>
        </w:rPr>
        <w:t xml:space="preserve">Regarding </w:t>
      </w:r>
      <w:r w:rsidR="00346307">
        <w:rPr>
          <w:sz w:val="26"/>
          <w:szCs w:val="26"/>
        </w:rPr>
        <w:t xml:space="preserve">the </w:t>
      </w:r>
      <w:r>
        <w:rPr>
          <w:sz w:val="26"/>
          <w:szCs w:val="26"/>
        </w:rPr>
        <w:t xml:space="preserve">PWSA </w:t>
      </w:r>
      <w:r w:rsidR="00346307">
        <w:rPr>
          <w:sz w:val="26"/>
          <w:szCs w:val="26"/>
        </w:rPr>
        <w:t xml:space="preserve">LTIIP filings, the Commission will employ the procedures developed for LTIIPs filed pursuant to 66 Pa. C.S. § 1352.  </w:t>
      </w:r>
      <w:r w:rsidR="00346307" w:rsidRPr="00346307">
        <w:rPr>
          <w:i/>
          <w:sz w:val="26"/>
          <w:szCs w:val="26"/>
        </w:rPr>
        <w:t>See Implementation of Act 11 of 2012, Final Implementation Order</w:t>
      </w:r>
      <w:r w:rsidR="00346307" w:rsidRPr="00346307">
        <w:rPr>
          <w:sz w:val="26"/>
          <w:szCs w:val="26"/>
        </w:rPr>
        <w:t>, Docket No. M-2012-2293611 (Entered August 2, 2012).</w:t>
      </w:r>
      <w:r>
        <w:rPr>
          <w:sz w:val="26"/>
          <w:szCs w:val="26"/>
        </w:rPr>
        <w:t xml:space="preserve">   </w:t>
      </w:r>
      <w:r w:rsidR="00367B7F">
        <w:rPr>
          <w:sz w:val="26"/>
          <w:szCs w:val="26"/>
        </w:rPr>
        <w:t>T</w:t>
      </w:r>
      <w:r>
        <w:rPr>
          <w:sz w:val="26"/>
          <w:szCs w:val="26"/>
        </w:rPr>
        <w:t>he</w:t>
      </w:r>
      <w:r w:rsidR="00367B7F">
        <w:rPr>
          <w:sz w:val="26"/>
          <w:szCs w:val="26"/>
        </w:rPr>
        <w:t xml:space="preserve"> LTIIPs </w:t>
      </w:r>
      <w:r>
        <w:rPr>
          <w:sz w:val="26"/>
          <w:szCs w:val="26"/>
        </w:rPr>
        <w:t xml:space="preserve">will be docketed separately, and the Commission will apply </w:t>
      </w:r>
      <w:r w:rsidR="00367B7F">
        <w:rPr>
          <w:sz w:val="26"/>
          <w:szCs w:val="26"/>
        </w:rPr>
        <w:t xml:space="preserve">its LTIIP </w:t>
      </w:r>
      <w:r>
        <w:rPr>
          <w:sz w:val="26"/>
          <w:szCs w:val="26"/>
        </w:rPr>
        <w:t xml:space="preserve">procedures to </w:t>
      </w:r>
      <w:r w:rsidR="00367B7F">
        <w:rPr>
          <w:sz w:val="26"/>
          <w:szCs w:val="26"/>
        </w:rPr>
        <w:t xml:space="preserve">the </w:t>
      </w:r>
      <w:r>
        <w:rPr>
          <w:sz w:val="26"/>
          <w:szCs w:val="26"/>
        </w:rPr>
        <w:t xml:space="preserve">PWSA </w:t>
      </w:r>
      <w:r w:rsidR="00367B7F">
        <w:rPr>
          <w:sz w:val="26"/>
          <w:szCs w:val="26"/>
        </w:rPr>
        <w:t xml:space="preserve">filing </w:t>
      </w:r>
      <w:r>
        <w:rPr>
          <w:sz w:val="26"/>
          <w:szCs w:val="26"/>
        </w:rPr>
        <w:t>as it would any regulated public utility.</w:t>
      </w:r>
      <w:r w:rsidR="00346307">
        <w:rPr>
          <w:sz w:val="26"/>
          <w:szCs w:val="26"/>
        </w:rPr>
        <w:t xml:space="preserve"> </w:t>
      </w:r>
      <w:r w:rsidR="00161652">
        <w:rPr>
          <w:sz w:val="26"/>
          <w:szCs w:val="26"/>
        </w:rPr>
        <w:t xml:space="preserve"> Nevertheless, the Commission will consider consolidating the Compliance Plan and LTIIP proceedings upon request by petition.  </w:t>
      </w:r>
    </w:p>
    <w:p w14:paraId="0B7BA006" w14:textId="77777777" w:rsidR="00346307" w:rsidRDefault="00346307" w:rsidP="00346307">
      <w:pPr>
        <w:rPr>
          <w:sz w:val="26"/>
          <w:szCs w:val="26"/>
        </w:rPr>
      </w:pPr>
    </w:p>
    <w:p w14:paraId="20B6C280" w14:textId="77777777" w:rsidR="00FC5F41" w:rsidRDefault="00FC5F41" w:rsidP="00346307">
      <w:pPr>
        <w:rPr>
          <w:sz w:val="26"/>
          <w:szCs w:val="26"/>
        </w:rPr>
      </w:pPr>
    </w:p>
    <w:p w14:paraId="1E507B70" w14:textId="77777777" w:rsidR="00161652" w:rsidRDefault="00FC5F41" w:rsidP="00346307">
      <w:pPr>
        <w:rPr>
          <w:sz w:val="26"/>
          <w:szCs w:val="26"/>
        </w:rPr>
      </w:pPr>
      <w:r>
        <w:rPr>
          <w:sz w:val="26"/>
          <w:szCs w:val="26"/>
        </w:rPr>
        <w:lastRenderedPageBreak/>
        <w:tab/>
        <w:t xml:space="preserve">Section 3204(b) directs that PWSA make its Compliance Plan and LTIIP filings with the Commission on </w:t>
      </w:r>
      <w:r w:rsidRPr="00AD0361">
        <w:rPr>
          <w:b/>
          <w:sz w:val="26"/>
          <w:szCs w:val="26"/>
        </w:rPr>
        <w:t>September 28, 2018</w:t>
      </w:r>
      <w:r>
        <w:rPr>
          <w:sz w:val="26"/>
          <w:szCs w:val="26"/>
        </w:rPr>
        <w:t xml:space="preserve">.  </w:t>
      </w:r>
      <w:r w:rsidR="00161652">
        <w:rPr>
          <w:sz w:val="26"/>
          <w:szCs w:val="26"/>
        </w:rPr>
        <w:t>The Commission will then publish notice of the filing of the Compliance Plan and the procedures outlined here in the Pennsylvania Bulletin on October 13, 2018.</w:t>
      </w:r>
    </w:p>
    <w:p w14:paraId="109C4534" w14:textId="77777777" w:rsidR="00161652" w:rsidRDefault="00161652" w:rsidP="00346307">
      <w:pPr>
        <w:rPr>
          <w:sz w:val="26"/>
          <w:szCs w:val="26"/>
        </w:rPr>
      </w:pPr>
    </w:p>
    <w:p w14:paraId="56179EFD" w14:textId="77777777" w:rsidR="00A13334" w:rsidRDefault="00FC5F41" w:rsidP="00161652">
      <w:pPr>
        <w:ind w:firstLine="720"/>
        <w:rPr>
          <w:sz w:val="26"/>
          <w:szCs w:val="26"/>
        </w:rPr>
      </w:pPr>
      <w:r>
        <w:rPr>
          <w:sz w:val="26"/>
          <w:szCs w:val="26"/>
        </w:rPr>
        <w:t xml:space="preserve">No later than </w:t>
      </w:r>
      <w:r w:rsidR="00956655">
        <w:rPr>
          <w:sz w:val="26"/>
          <w:szCs w:val="26"/>
        </w:rPr>
        <w:t>forty-five (</w:t>
      </w:r>
      <w:r w:rsidR="00AD0361">
        <w:rPr>
          <w:sz w:val="26"/>
          <w:szCs w:val="26"/>
        </w:rPr>
        <w:t>45</w:t>
      </w:r>
      <w:r w:rsidR="00956655">
        <w:rPr>
          <w:sz w:val="26"/>
          <w:szCs w:val="26"/>
        </w:rPr>
        <w:t>)</w:t>
      </w:r>
      <w:r>
        <w:rPr>
          <w:sz w:val="26"/>
          <w:szCs w:val="26"/>
        </w:rPr>
        <w:t xml:space="preserve"> days thereafter</w:t>
      </w:r>
      <w:r w:rsidR="00161652">
        <w:rPr>
          <w:sz w:val="26"/>
          <w:szCs w:val="26"/>
        </w:rPr>
        <w:t>,</w:t>
      </w:r>
      <w:r>
        <w:rPr>
          <w:sz w:val="26"/>
          <w:szCs w:val="26"/>
        </w:rPr>
        <w:t xml:space="preserve"> the Commission will, via secretarial letter, assign the filings to the Office of Administrative Law Judge </w:t>
      </w:r>
      <w:r w:rsidR="00ED158A">
        <w:rPr>
          <w:sz w:val="26"/>
          <w:szCs w:val="26"/>
        </w:rPr>
        <w:t xml:space="preserve">(OALJ) </w:t>
      </w:r>
      <w:r>
        <w:rPr>
          <w:sz w:val="26"/>
          <w:szCs w:val="26"/>
        </w:rPr>
        <w:t xml:space="preserve">for the resolution of any factual matters that PWSA or interested parties may seek to develop.   </w:t>
      </w:r>
      <w:r w:rsidR="00AD0361">
        <w:rPr>
          <w:sz w:val="26"/>
          <w:szCs w:val="26"/>
        </w:rPr>
        <w:t>T</w:t>
      </w:r>
      <w:r>
        <w:rPr>
          <w:sz w:val="26"/>
          <w:szCs w:val="26"/>
        </w:rPr>
        <w:t>he Commission will attach to that Secretarial Letter a</w:t>
      </w:r>
      <w:r w:rsidR="006B1A00">
        <w:rPr>
          <w:sz w:val="26"/>
          <w:szCs w:val="26"/>
        </w:rPr>
        <w:t>n</w:t>
      </w:r>
      <w:r>
        <w:rPr>
          <w:sz w:val="26"/>
          <w:szCs w:val="26"/>
        </w:rPr>
        <w:t xml:space="preserve"> </w:t>
      </w:r>
      <w:r w:rsidR="006B1A00">
        <w:rPr>
          <w:sz w:val="26"/>
          <w:szCs w:val="26"/>
        </w:rPr>
        <w:t xml:space="preserve">initial </w:t>
      </w:r>
      <w:r>
        <w:rPr>
          <w:sz w:val="26"/>
          <w:szCs w:val="26"/>
        </w:rPr>
        <w:t>report authored by Commission technical staff</w:t>
      </w:r>
      <w:r w:rsidR="00161652">
        <w:rPr>
          <w:sz w:val="26"/>
          <w:szCs w:val="26"/>
        </w:rPr>
        <w:t xml:space="preserve"> </w:t>
      </w:r>
      <w:r>
        <w:rPr>
          <w:sz w:val="26"/>
          <w:szCs w:val="26"/>
        </w:rPr>
        <w:t xml:space="preserve">consisting of directed questions </w:t>
      </w:r>
      <w:r w:rsidR="00AD0361">
        <w:rPr>
          <w:sz w:val="26"/>
          <w:szCs w:val="26"/>
        </w:rPr>
        <w:t xml:space="preserve">or issue areas </w:t>
      </w:r>
      <w:r>
        <w:rPr>
          <w:sz w:val="26"/>
          <w:szCs w:val="26"/>
        </w:rPr>
        <w:t>to be addressed by PWSA and interested parties.</w:t>
      </w:r>
      <w:r w:rsidR="00ED158A">
        <w:rPr>
          <w:sz w:val="26"/>
          <w:szCs w:val="26"/>
        </w:rPr>
        <w:t xml:space="preserve">  Stakeholders that wish to file comments prior to assignment to OALJ may do so no later than </w:t>
      </w:r>
      <w:r w:rsidR="00161652">
        <w:rPr>
          <w:sz w:val="26"/>
          <w:szCs w:val="26"/>
        </w:rPr>
        <w:t xml:space="preserve">twenty </w:t>
      </w:r>
      <w:r w:rsidR="00956655">
        <w:rPr>
          <w:sz w:val="26"/>
          <w:szCs w:val="26"/>
        </w:rPr>
        <w:t xml:space="preserve">(20) </w:t>
      </w:r>
      <w:r w:rsidR="00161652">
        <w:rPr>
          <w:sz w:val="26"/>
          <w:szCs w:val="26"/>
        </w:rPr>
        <w:t>days after publication in the Pennsylvania Bulletin.</w:t>
      </w:r>
      <w:r w:rsidR="00ED158A">
        <w:rPr>
          <w:sz w:val="26"/>
          <w:szCs w:val="26"/>
        </w:rPr>
        <w:t xml:space="preserve">  However, comments so filed will not be included in the evidentiary record developed by OALJ. </w:t>
      </w:r>
      <w:r w:rsidRPr="00FC5F41">
        <w:rPr>
          <w:sz w:val="26"/>
          <w:szCs w:val="26"/>
        </w:rPr>
        <w:t xml:space="preserve"> </w:t>
      </w:r>
    </w:p>
    <w:p w14:paraId="633B2FDB" w14:textId="77777777" w:rsidR="00346307" w:rsidRDefault="00346307" w:rsidP="00346307">
      <w:pPr>
        <w:rPr>
          <w:sz w:val="26"/>
          <w:szCs w:val="26"/>
        </w:rPr>
      </w:pPr>
    </w:p>
    <w:p w14:paraId="70A7C1EB" w14:textId="77777777" w:rsidR="00ED158A" w:rsidRDefault="00ED158A" w:rsidP="00346307">
      <w:pPr>
        <w:rPr>
          <w:sz w:val="26"/>
          <w:szCs w:val="26"/>
        </w:rPr>
      </w:pPr>
      <w:r>
        <w:rPr>
          <w:sz w:val="26"/>
          <w:szCs w:val="26"/>
        </w:rPr>
        <w:tab/>
        <w:t xml:space="preserve">The OALJ will submit a recommended decision on the issues raised by PWSA or the parties no later than </w:t>
      </w:r>
      <w:r w:rsidR="00956655">
        <w:rPr>
          <w:sz w:val="26"/>
          <w:szCs w:val="26"/>
        </w:rPr>
        <w:t xml:space="preserve">eight (8) </w:t>
      </w:r>
      <w:r>
        <w:rPr>
          <w:sz w:val="26"/>
          <w:szCs w:val="26"/>
        </w:rPr>
        <w:t>months from the date on which the matter is assigned to OALJ</w:t>
      </w:r>
      <w:r w:rsidR="00956655">
        <w:rPr>
          <w:sz w:val="26"/>
          <w:szCs w:val="26"/>
        </w:rPr>
        <w:t>.  Parties may submit exceptions within twenty (20) days and reply exceptions no later than fifteen (15) days thereafter. T</w:t>
      </w:r>
      <w:r>
        <w:rPr>
          <w:sz w:val="26"/>
          <w:szCs w:val="26"/>
        </w:rPr>
        <w:t>he Commission will thereafter issue appropriate orders</w:t>
      </w:r>
      <w:r w:rsidR="008E7730">
        <w:rPr>
          <w:sz w:val="26"/>
          <w:szCs w:val="26"/>
        </w:rPr>
        <w:t xml:space="preserve"> on the filings no later than </w:t>
      </w:r>
      <w:r w:rsidR="00956655">
        <w:rPr>
          <w:sz w:val="26"/>
          <w:szCs w:val="26"/>
        </w:rPr>
        <w:t>November 30, 2019</w:t>
      </w:r>
      <w:r w:rsidR="008E7730">
        <w:rPr>
          <w:sz w:val="26"/>
          <w:szCs w:val="26"/>
        </w:rPr>
        <w:t>.</w:t>
      </w:r>
      <w:r>
        <w:rPr>
          <w:sz w:val="26"/>
          <w:szCs w:val="26"/>
        </w:rPr>
        <w:t xml:space="preserve">  </w:t>
      </w:r>
    </w:p>
    <w:p w14:paraId="6EC73AA5" w14:textId="77777777" w:rsidR="00ED158A" w:rsidRDefault="00ED158A" w:rsidP="00346307">
      <w:pPr>
        <w:rPr>
          <w:sz w:val="26"/>
          <w:szCs w:val="26"/>
        </w:rPr>
      </w:pPr>
    </w:p>
    <w:p w14:paraId="4C729E26" w14:textId="5018386E" w:rsidR="00573262" w:rsidRPr="003C56E2" w:rsidRDefault="00D64657" w:rsidP="00346307">
      <w:pPr>
        <w:rPr>
          <w:sz w:val="26"/>
          <w:szCs w:val="26"/>
        </w:rPr>
      </w:pPr>
      <w:r>
        <w:rPr>
          <w:sz w:val="26"/>
          <w:szCs w:val="26"/>
        </w:rPr>
        <w:tab/>
        <w:t xml:space="preserve"> </w:t>
      </w:r>
      <w:r w:rsidR="00873EEF">
        <w:rPr>
          <w:sz w:val="26"/>
          <w:szCs w:val="26"/>
        </w:rPr>
        <w:t xml:space="preserve">  </w:t>
      </w:r>
      <w:r w:rsidR="006F3543">
        <w:rPr>
          <w:sz w:val="26"/>
          <w:szCs w:val="26"/>
        </w:rPr>
        <w:t xml:space="preserve"> </w:t>
      </w:r>
      <w:r w:rsidR="00873EEF">
        <w:rPr>
          <w:sz w:val="26"/>
          <w:szCs w:val="26"/>
        </w:rPr>
        <w:t xml:space="preserve"> </w:t>
      </w:r>
      <w:r w:rsidR="006F3543">
        <w:rPr>
          <w:sz w:val="26"/>
          <w:szCs w:val="26"/>
        </w:rPr>
        <w:t xml:space="preserve">  </w:t>
      </w:r>
      <w:r w:rsidR="00347A10">
        <w:rPr>
          <w:sz w:val="26"/>
          <w:szCs w:val="26"/>
        </w:rPr>
        <w:tab/>
      </w:r>
    </w:p>
    <w:p w14:paraId="642A0400" w14:textId="4C39A69B" w:rsidR="00930003" w:rsidRPr="003C56E2" w:rsidRDefault="00850AFF" w:rsidP="00B414F2">
      <w:pPr>
        <w:tabs>
          <w:tab w:val="left" w:pos="720"/>
          <w:tab w:val="left" w:pos="5040"/>
        </w:tabs>
        <w:rPr>
          <w:sz w:val="26"/>
          <w:szCs w:val="26"/>
        </w:rPr>
      </w:pPr>
      <w:r>
        <w:rPr>
          <w:noProof/>
        </w:rPr>
        <w:drawing>
          <wp:anchor distT="0" distB="0" distL="114300" distR="114300" simplePos="0" relativeHeight="251659264" behindDoc="1" locked="0" layoutInCell="1" allowOverlap="1" wp14:anchorId="0DB222AE" wp14:editId="6EE63AA7">
            <wp:simplePos x="0" y="0"/>
            <wp:positionH relativeFrom="column">
              <wp:posOffset>3152775</wp:posOffset>
            </wp:positionH>
            <wp:positionV relativeFrom="paragraph">
              <wp:posOffset>67310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003" w:rsidRPr="003C56E2">
        <w:rPr>
          <w:sz w:val="26"/>
          <w:szCs w:val="26"/>
        </w:rPr>
        <w:tab/>
      </w:r>
      <w:r w:rsidR="00930003" w:rsidRPr="003C56E2">
        <w:rPr>
          <w:sz w:val="26"/>
          <w:szCs w:val="26"/>
        </w:rPr>
        <w:tab/>
        <w:t>Sincerely,</w:t>
      </w:r>
    </w:p>
    <w:p w14:paraId="3AE858EE" w14:textId="77777777" w:rsidR="00930003" w:rsidRDefault="00930003" w:rsidP="00B414F2">
      <w:pPr>
        <w:tabs>
          <w:tab w:val="left" w:pos="720"/>
          <w:tab w:val="left" w:pos="5040"/>
        </w:tabs>
        <w:rPr>
          <w:sz w:val="26"/>
          <w:szCs w:val="26"/>
        </w:rPr>
      </w:pPr>
    </w:p>
    <w:p w14:paraId="7EA86FA2" w14:textId="77777777" w:rsidR="00573262" w:rsidRDefault="00573262" w:rsidP="00B414F2">
      <w:pPr>
        <w:tabs>
          <w:tab w:val="left" w:pos="720"/>
          <w:tab w:val="left" w:pos="5040"/>
        </w:tabs>
        <w:rPr>
          <w:sz w:val="26"/>
          <w:szCs w:val="26"/>
        </w:rPr>
      </w:pPr>
      <w:bookmarkStart w:id="2" w:name="_GoBack"/>
      <w:bookmarkEnd w:id="2"/>
    </w:p>
    <w:p w14:paraId="1ECF9D81" w14:textId="77777777" w:rsidR="00573262" w:rsidRPr="003C56E2" w:rsidRDefault="00573262" w:rsidP="00B414F2">
      <w:pPr>
        <w:tabs>
          <w:tab w:val="left" w:pos="720"/>
          <w:tab w:val="left" w:pos="5040"/>
        </w:tabs>
        <w:rPr>
          <w:sz w:val="26"/>
          <w:szCs w:val="26"/>
        </w:rPr>
      </w:pPr>
    </w:p>
    <w:p w14:paraId="1DDA16E3" w14:textId="77777777"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335A29">
        <w:rPr>
          <w:sz w:val="26"/>
          <w:szCs w:val="26"/>
        </w:rPr>
        <w:t>Rosemary Chiavetta</w:t>
      </w:r>
    </w:p>
    <w:p w14:paraId="52ACBEB5" w14:textId="77777777" w:rsidR="00573262" w:rsidRDefault="003F07C8" w:rsidP="00B414F2">
      <w:pPr>
        <w:tabs>
          <w:tab w:val="left" w:pos="720"/>
          <w:tab w:val="left" w:pos="5040"/>
        </w:tabs>
        <w:rPr>
          <w:sz w:val="26"/>
          <w:szCs w:val="26"/>
        </w:rPr>
      </w:pPr>
      <w:r>
        <w:rPr>
          <w:sz w:val="26"/>
          <w:szCs w:val="26"/>
        </w:rPr>
        <w:tab/>
      </w:r>
      <w:r>
        <w:rPr>
          <w:sz w:val="26"/>
          <w:szCs w:val="26"/>
        </w:rPr>
        <w:tab/>
        <w:t>Secretary</w:t>
      </w:r>
    </w:p>
    <w:p w14:paraId="481D0117" w14:textId="77777777" w:rsidR="00573262" w:rsidRDefault="00573262" w:rsidP="00B414F2">
      <w:pPr>
        <w:tabs>
          <w:tab w:val="left" w:pos="720"/>
          <w:tab w:val="left" w:pos="5040"/>
        </w:tabs>
        <w:rPr>
          <w:sz w:val="26"/>
          <w:szCs w:val="26"/>
        </w:rPr>
      </w:pPr>
    </w:p>
    <w:p w14:paraId="1BBFB94E" w14:textId="77777777" w:rsidR="00573262" w:rsidRPr="003C56E2" w:rsidRDefault="00573262" w:rsidP="00B414F2">
      <w:pPr>
        <w:tabs>
          <w:tab w:val="left" w:pos="720"/>
          <w:tab w:val="left" w:pos="5040"/>
        </w:tabs>
        <w:rPr>
          <w:sz w:val="26"/>
          <w:szCs w:val="26"/>
        </w:rPr>
      </w:pPr>
    </w:p>
    <w:sectPr w:rsidR="00573262" w:rsidRPr="003C56E2" w:rsidSect="0084218B">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42EA8" w14:textId="77777777" w:rsidR="00607A63" w:rsidRDefault="00607A63">
      <w:r>
        <w:separator/>
      </w:r>
    </w:p>
  </w:endnote>
  <w:endnote w:type="continuationSeparator" w:id="0">
    <w:p w14:paraId="19B757E4" w14:textId="77777777" w:rsidR="00607A63" w:rsidRDefault="00607A63">
      <w:r>
        <w:continuationSeparator/>
      </w:r>
    </w:p>
  </w:endnote>
  <w:endnote w:type="continuationNotice" w:id="1">
    <w:p w14:paraId="688E90FC" w14:textId="77777777" w:rsidR="00607A63" w:rsidRDefault="0060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0DC"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D513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6883"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4E9F2C93"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A1A1"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31C7" w14:textId="77777777" w:rsidR="00607A63" w:rsidRDefault="00607A63">
      <w:r>
        <w:separator/>
      </w:r>
    </w:p>
  </w:footnote>
  <w:footnote w:type="continuationSeparator" w:id="0">
    <w:p w14:paraId="216CBA97" w14:textId="77777777" w:rsidR="00607A63" w:rsidRDefault="00607A63">
      <w:r>
        <w:continuationSeparator/>
      </w:r>
    </w:p>
  </w:footnote>
  <w:footnote w:type="continuationNotice" w:id="1">
    <w:p w14:paraId="017E40E1" w14:textId="77777777" w:rsidR="00607A63" w:rsidRDefault="00607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8CA"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2499A"/>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91504"/>
    <w:rsid w:val="00094150"/>
    <w:rsid w:val="000A68CC"/>
    <w:rsid w:val="000B53A1"/>
    <w:rsid w:val="000D48C3"/>
    <w:rsid w:val="000E1DD1"/>
    <w:rsid w:val="000E4C77"/>
    <w:rsid w:val="000E5648"/>
    <w:rsid w:val="000F711A"/>
    <w:rsid w:val="00115CAF"/>
    <w:rsid w:val="0011610D"/>
    <w:rsid w:val="0012016E"/>
    <w:rsid w:val="001209F1"/>
    <w:rsid w:val="0012404A"/>
    <w:rsid w:val="00124DD5"/>
    <w:rsid w:val="00136F64"/>
    <w:rsid w:val="0014179A"/>
    <w:rsid w:val="00152F72"/>
    <w:rsid w:val="001547A1"/>
    <w:rsid w:val="00161652"/>
    <w:rsid w:val="00170283"/>
    <w:rsid w:val="00170789"/>
    <w:rsid w:val="001743D0"/>
    <w:rsid w:val="001B588A"/>
    <w:rsid w:val="001B6399"/>
    <w:rsid w:val="001C07DF"/>
    <w:rsid w:val="001D5DBB"/>
    <w:rsid w:val="001E1BF3"/>
    <w:rsid w:val="001E48B2"/>
    <w:rsid w:val="001F2EDC"/>
    <w:rsid w:val="00202276"/>
    <w:rsid w:val="00203780"/>
    <w:rsid w:val="00206F2B"/>
    <w:rsid w:val="00221F61"/>
    <w:rsid w:val="002229C3"/>
    <w:rsid w:val="00232C83"/>
    <w:rsid w:val="002367C5"/>
    <w:rsid w:val="0023795A"/>
    <w:rsid w:val="0025446A"/>
    <w:rsid w:val="00261A11"/>
    <w:rsid w:val="00261BBB"/>
    <w:rsid w:val="00265861"/>
    <w:rsid w:val="0027054C"/>
    <w:rsid w:val="00280E91"/>
    <w:rsid w:val="00284E35"/>
    <w:rsid w:val="00285461"/>
    <w:rsid w:val="00290618"/>
    <w:rsid w:val="002907DD"/>
    <w:rsid w:val="00292374"/>
    <w:rsid w:val="0029471C"/>
    <w:rsid w:val="00295BCA"/>
    <w:rsid w:val="002A464E"/>
    <w:rsid w:val="002A4E0F"/>
    <w:rsid w:val="002A52A0"/>
    <w:rsid w:val="002B0C60"/>
    <w:rsid w:val="002C08FE"/>
    <w:rsid w:val="002D7E06"/>
    <w:rsid w:val="002F0138"/>
    <w:rsid w:val="00301A20"/>
    <w:rsid w:val="00303D80"/>
    <w:rsid w:val="00307FF2"/>
    <w:rsid w:val="00313F77"/>
    <w:rsid w:val="0031429F"/>
    <w:rsid w:val="00323A6F"/>
    <w:rsid w:val="0032677D"/>
    <w:rsid w:val="00335A29"/>
    <w:rsid w:val="00341AC9"/>
    <w:rsid w:val="00341B56"/>
    <w:rsid w:val="00345522"/>
    <w:rsid w:val="00346307"/>
    <w:rsid w:val="00347A10"/>
    <w:rsid w:val="003516A6"/>
    <w:rsid w:val="00353111"/>
    <w:rsid w:val="0035626C"/>
    <w:rsid w:val="003569E8"/>
    <w:rsid w:val="00366A65"/>
    <w:rsid w:val="00367B7F"/>
    <w:rsid w:val="00370A14"/>
    <w:rsid w:val="0037360B"/>
    <w:rsid w:val="00382785"/>
    <w:rsid w:val="00386D99"/>
    <w:rsid w:val="00392538"/>
    <w:rsid w:val="003B26C3"/>
    <w:rsid w:val="003B552B"/>
    <w:rsid w:val="003B785A"/>
    <w:rsid w:val="003C102A"/>
    <w:rsid w:val="003C56E2"/>
    <w:rsid w:val="003C5769"/>
    <w:rsid w:val="003E04B4"/>
    <w:rsid w:val="003E4B39"/>
    <w:rsid w:val="003F07C8"/>
    <w:rsid w:val="00401E1A"/>
    <w:rsid w:val="004047EC"/>
    <w:rsid w:val="0042140E"/>
    <w:rsid w:val="004246D9"/>
    <w:rsid w:val="00455F78"/>
    <w:rsid w:val="00463C82"/>
    <w:rsid w:val="0049553A"/>
    <w:rsid w:val="004A1767"/>
    <w:rsid w:val="004C1524"/>
    <w:rsid w:val="004C1EC4"/>
    <w:rsid w:val="004D10D0"/>
    <w:rsid w:val="004D2698"/>
    <w:rsid w:val="004F32B3"/>
    <w:rsid w:val="004F5AAA"/>
    <w:rsid w:val="00503409"/>
    <w:rsid w:val="00504515"/>
    <w:rsid w:val="005102F7"/>
    <w:rsid w:val="00513DCA"/>
    <w:rsid w:val="00514EA3"/>
    <w:rsid w:val="0051639C"/>
    <w:rsid w:val="00523C67"/>
    <w:rsid w:val="00526ADA"/>
    <w:rsid w:val="00526F31"/>
    <w:rsid w:val="00530F15"/>
    <w:rsid w:val="00540F1C"/>
    <w:rsid w:val="00545968"/>
    <w:rsid w:val="00554F51"/>
    <w:rsid w:val="00563E8F"/>
    <w:rsid w:val="00563F20"/>
    <w:rsid w:val="00566E5A"/>
    <w:rsid w:val="00573262"/>
    <w:rsid w:val="00581352"/>
    <w:rsid w:val="00584C01"/>
    <w:rsid w:val="005A0955"/>
    <w:rsid w:val="005B3262"/>
    <w:rsid w:val="005B58B7"/>
    <w:rsid w:val="005C03C4"/>
    <w:rsid w:val="005C5A49"/>
    <w:rsid w:val="005E25C5"/>
    <w:rsid w:val="005E3690"/>
    <w:rsid w:val="005E5E63"/>
    <w:rsid w:val="005F3D24"/>
    <w:rsid w:val="00607A63"/>
    <w:rsid w:val="0062315E"/>
    <w:rsid w:val="006375A3"/>
    <w:rsid w:val="006375FE"/>
    <w:rsid w:val="00641C58"/>
    <w:rsid w:val="006432D9"/>
    <w:rsid w:val="00662427"/>
    <w:rsid w:val="00665587"/>
    <w:rsid w:val="00672262"/>
    <w:rsid w:val="00672F33"/>
    <w:rsid w:val="006755C0"/>
    <w:rsid w:val="0067617E"/>
    <w:rsid w:val="006A1D3F"/>
    <w:rsid w:val="006B1A00"/>
    <w:rsid w:val="006C2028"/>
    <w:rsid w:val="006C5C47"/>
    <w:rsid w:val="006C64F8"/>
    <w:rsid w:val="006D6779"/>
    <w:rsid w:val="006E1A84"/>
    <w:rsid w:val="006F3543"/>
    <w:rsid w:val="00700501"/>
    <w:rsid w:val="00701D53"/>
    <w:rsid w:val="00701ED5"/>
    <w:rsid w:val="00721FA8"/>
    <w:rsid w:val="007232D8"/>
    <w:rsid w:val="0075019A"/>
    <w:rsid w:val="007617B1"/>
    <w:rsid w:val="0077210F"/>
    <w:rsid w:val="00772716"/>
    <w:rsid w:val="00773F47"/>
    <w:rsid w:val="00774744"/>
    <w:rsid w:val="00775C4D"/>
    <w:rsid w:val="00792AE4"/>
    <w:rsid w:val="00794208"/>
    <w:rsid w:val="00794E58"/>
    <w:rsid w:val="007A16AE"/>
    <w:rsid w:val="007A21EA"/>
    <w:rsid w:val="007D1219"/>
    <w:rsid w:val="007E64B5"/>
    <w:rsid w:val="007F0775"/>
    <w:rsid w:val="007F2DD0"/>
    <w:rsid w:val="007F55F1"/>
    <w:rsid w:val="007F606E"/>
    <w:rsid w:val="008018EB"/>
    <w:rsid w:val="00803E76"/>
    <w:rsid w:val="0080792C"/>
    <w:rsid w:val="00807CAF"/>
    <w:rsid w:val="008249B0"/>
    <w:rsid w:val="0084218B"/>
    <w:rsid w:val="008476A6"/>
    <w:rsid w:val="00850AFF"/>
    <w:rsid w:val="00853B77"/>
    <w:rsid w:val="00861BBC"/>
    <w:rsid w:val="00870078"/>
    <w:rsid w:val="00873EEF"/>
    <w:rsid w:val="00882E5E"/>
    <w:rsid w:val="0089421A"/>
    <w:rsid w:val="008A2241"/>
    <w:rsid w:val="008B04D0"/>
    <w:rsid w:val="008C5743"/>
    <w:rsid w:val="008E5EA0"/>
    <w:rsid w:val="008E6FCA"/>
    <w:rsid w:val="008E7730"/>
    <w:rsid w:val="008F4334"/>
    <w:rsid w:val="008F600A"/>
    <w:rsid w:val="008F78AA"/>
    <w:rsid w:val="00927022"/>
    <w:rsid w:val="00930003"/>
    <w:rsid w:val="00930308"/>
    <w:rsid w:val="0093258F"/>
    <w:rsid w:val="00956655"/>
    <w:rsid w:val="009615DA"/>
    <w:rsid w:val="00970A95"/>
    <w:rsid w:val="00976F5C"/>
    <w:rsid w:val="00984274"/>
    <w:rsid w:val="009847BF"/>
    <w:rsid w:val="0099767B"/>
    <w:rsid w:val="009A1144"/>
    <w:rsid w:val="009A3E77"/>
    <w:rsid w:val="009A5A76"/>
    <w:rsid w:val="009B1956"/>
    <w:rsid w:val="009B23D8"/>
    <w:rsid w:val="009B2E39"/>
    <w:rsid w:val="009B36CB"/>
    <w:rsid w:val="009C3B4F"/>
    <w:rsid w:val="009C3B80"/>
    <w:rsid w:val="009D74E1"/>
    <w:rsid w:val="009E40EC"/>
    <w:rsid w:val="009E65F6"/>
    <w:rsid w:val="009E7E5D"/>
    <w:rsid w:val="009F5F66"/>
    <w:rsid w:val="00A0038E"/>
    <w:rsid w:val="00A050A8"/>
    <w:rsid w:val="00A05BAF"/>
    <w:rsid w:val="00A0792A"/>
    <w:rsid w:val="00A10D04"/>
    <w:rsid w:val="00A13334"/>
    <w:rsid w:val="00A16EE4"/>
    <w:rsid w:val="00A27FCF"/>
    <w:rsid w:val="00A4660A"/>
    <w:rsid w:val="00A55AE1"/>
    <w:rsid w:val="00A55C11"/>
    <w:rsid w:val="00A573D8"/>
    <w:rsid w:val="00A61871"/>
    <w:rsid w:val="00A66D1F"/>
    <w:rsid w:val="00A80E71"/>
    <w:rsid w:val="00A8114F"/>
    <w:rsid w:val="00A82B8C"/>
    <w:rsid w:val="00A82C28"/>
    <w:rsid w:val="00A84699"/>
    <w:rsid w:val="00A955FA"/>
    <w:rsid w:val="00AA0347"/>
    <w:rsid w:val="00AA6F16"/>
    <w:rsid w:val="00AB36A9"/>
    <w:rsid w:val="00AC311D"/>
    <w:rsid w:val="00AD0361"/>
    <w:rsid w:val="00AD6503"/>
    <w:rsid w:val="00AD77EE"/>
    <w:rsid w:val="00AE4FAB"/>
    <w:rsid w:val="00AE6FA9"/>
    <w:rsid w:val="00AE792C"/>
    <w:rsid w:val="00AF16AC"/>
    <w:rsid w:val="00AF62A4"/>
    <w:rsid w:val="00B00393"/>
    <w:rsid w:val="00B12277"/>
    <w:rsid w:val="00B14F9F"/>
    <w:rsid w:val="00B20F0E"/>
    <w:rsid w:val="00B3013C"/>
    <w:rsid w:val="00B30A72"/>
    <w:rsid w:val="00B31B02"/>
    <w:rsid w:val="00B3551A"/>
    <w:rsid w:val="00B414F2"/>
    <w:rsid w:val="00B44A1E"/>
    <w:rsid w:val="00B4565E"/>
    <w:rsid w:val="00B607CE"/>
    <w:rsid w:val="00B61D52"/>
    <w:rsid w:val="00B62D45"/>
    <w:rsid w:val="00B6636E"/>
    <w:rsid w:val="00B719AA"/>
    <w:rsid w:val="00B758CC"/>
    <w:rsid w:val="00B90D9B"/>
    <w:rsid w:val="00B97014"/>
    <w:rsid w:val="00B97D7A"/>
    <w:rsid w:val="00BA2A05"/>
    <w:rsid w:val="00BC3A3C"/>
    <w:rsid w:val="00BC68FE"/>
    <w:rsid w:val="00BC6A54"/>
    <w:rsid w:val="00BC7ABE"/>
    <w:rsid w:val="00BD3A5C"/>
    <w:rsid w:val="00BD752E"/>
    <w:rsid w:val="00BE2A21"/>
    <w:rsid w:val="00BE33CB"/>
    <w:rsid w:val="00BE4A72"/>
    <w:rsid w:val="00BE5119"/>
    <w:rsid w:val="00BF66A8"/>
    <w:rsid w:val="00BF6D7C"/>
    <w:rsid w:val="00BF6F03"/>
    <w:rsid w:val="00C032FB"/>
    <w:rsid w:val="00C06525"/>
    <w:rsid w:val="00C140D5"/>
    <w:rsid w:val="00C17CD5"/>
    <w:rsid w:val="00C35E20"/>
    <w:rsid w:val="00C400E2"/>
    <w:rsid w:val="00C46A62"/>
    <w:rsid w:val="00C53D34"/>
    <w:rsid w:val="00C6395B"/>
    <w:rsid w:val="00C74A51"/>
    <w:rsid w:val="00C77C13"/>
    <w:rsid w:val="00C77F29"/>
    <w:rsid w:val="00C83B15"/>
    <w:rsid w:val="00C86536"/>
    <w:rsid w:val="00C90506"/>
    <w:rsid w:val="00C95F36"/>
    <w:rsid w:val="00C96CF9"/>
    <w:rsid w:val="00CA44B2"/>
    <w:rsid w:val="00CB5080"/>
    <w:rsid w:val="00CB5738"/>
    <w:rsid w:val="00CC0A93"/>
    <w:rsid w:val="00CC1602"/>
    <w:rsid w:val="00CC402C"/>
    <w:rsid w:val="00CD4FFE"/>
    <w:rsid w:val="00CE2A65"/>
    <w:rsid w:val="00CE66C0"/>
    <w:rsid w:val="00CF047C"/>
    <w:rsid w:val="00CF1A22"/>
    <w:rsid w:val="00CF1EDE"/>
    <w:rsid w:val="00D066C7"/>
    <w:rsid w:val="00D14110"/>
    <w:rsid w:val="00D155FB"/>
    <w:rsid w:val="00D355DB"/>
    <w:rsid w:val="00D55E96"/>
    <w:rsid w:val="00D64657"/>
    <w:rsid w:val="00D64F9B"/>
    <w:rsid w:val="00D75F05"/>
    <w:rsid w:val="00DA4D87"/>
    <w:rsid w:val="00DB4F98"/>
    <w:rsid w:val="00DB7C6E"/>
    <w:rsid w:val="00DC0966"/>
    <w:rsid w:val="00DC1875"/>
    <w:rsid w:val="00DC35C5"/>
    <w:rsid w:val="00DD04E9"/>
    <w:rsid w:val="00DD1A19"/>
    <w:rsid w:val="00DD771F"/>
    <w:rsid w:val="00DD7880"/>
    <w:rsid w:val="00DE3C6A"/>
    <w:rsid w:val="00DE4076"/>
    <w:rsid w:val="00DF0874"/>
    <w:rsid w:val="00DF2494"/>
    <w:rsid w:val="00DF6F4E"/>
    <w:rsid w:val="00DF7EFB"/>
    <w:rsid w:val="00E100FF"/>
    <w:rsid w:val="00E236E3"/>
    <w:rsid w:val="00E33051"/>
    <w:rsid w:val="00E349DA"/>
    <w:rsid w:val="00E5656F"/>
    <w:rsid w:val="00E821ED"/>
    <w:rsid w:val="00E8242E"/>
    <w:rsid w:val="00E93258"/>
    <w:rsid w:val="00EC0F0A"/>
    <w:rsid w:val="00EC6401"/>
    <w:rsid w:val="00EC71DD"/>
    <w:rsid w:val="00EC7A49"/>
    <w:rsid w:val="00EC7ADB"/>
    <w:rsid w:val="00ED158A"/>
    <w:rsid w:val="00ED1C12"/>
    <w:rsid w:val="00ED57C8"/>
    <w:rsid w:val="00F11A81"/>
    <w:rsid w:val="00F25403"/>
    <w:rsid w:val="00F50C1C"/>
    <w:rsid w:val="00F706A3"/>
    <w:rsid w:val="00F7094C"/>
    <w:rsid w:val="00F76BF1"/>
    <w:rsid w:val="00F90527"/>
    <w:rsid w:val="00FA0E37"/>
    <w:rsid w:val="00FA244D"/>
    <w:rsid w:val="00FA2FCC"/>
    <w:rsid w:val="00FB3D01"/>
    <w:rsid w:val="00FB415E"/>
    <w:rsid w:val="00FB51AE"/>
    <w:rsid w:val="00FB5900"/>
    <w:rsid w:val="00FC1D6A"/>
    <w:rsid w:val="00FC5F41"/>
    <w:rsid w:val="00FD0003"/>
    <w:rsid w:val="00FD1F4F"/>
    <w:rsid w:val="00FE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307E9-8644-4D3D-B324-6CFF3234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5968</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Wagner, Nathan R</cp:lastModifiedBy>
  <cp:revision>5</cp:revision>
  <cp:lastPrinted>2018-06-14T18:36:00Z</cp:lastPrinted>
  <dcterms:created xsi:type="dcterms:W3CDTF">2018-09-25T19:25:00Z</dcterms:created>
  <dcterms:modified xsi:type="dcterms:W3CDTF">2018-09-26T14:21:00Z</dcterms:modified>
</cp:coreProperties>
</file>