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93C31" w14:textId="77777777" w:rsidR="006F5428" w:rsidRDefault="006F5428" w:rsidP="0061437C">
      <w:pPr>
        <w:pStyle w:val="Heading1"/>
        <w:keepNext w:val="0"/>
        <w:tabs>
          <w:tab w:val="clear" w:pos="-720"/>
          <w:tab w:val="center" w:pos="4680"/>
        </w:tabs>
        <w:spacing w:line="240" w:lineRule="auto"/>
        <w:jc w:val="center"/>
      </w:pPr>
      <w:r>
        <w:t>PENNSYLVANIA</w:t>
      </w:r>
    </w:p>
    <w:p w14:paraId="58F71025"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PUBLIC UTILITY COMMISSION</w:t>
      </w:r>
    </w:p>
    <w:p w14:paraId="19334E4F"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Harrisburg, PA  17105-3265</w:t>
      </w:r>
    </w:p>
    <w:p w14:paraId="604FF1A2" w14:textId="77777777" w:rsidR="006F5428" w:rsidRPr="00B50E61" w:rsidRDefault="006F5428" w:rsidP="0061437C">
      <w:pPr>
        <w:tabs>
          <w:tab w:val="right" w:pos="9360"/>
        </w:tabs>
        <w:suppressAutoHyphens/>
        <w:jc w:val="both"/>
        <w:rPr>
          <w:rFonts w:ascii="Times New Roman" w:hAnsi="Times New Roman"/>
          <w:sz w:val="26"/>
        </w:rPr>
      </w:pPr>
    </w:p>
    <w:p w14:paraId="75F5B1E2" w14:textId="77777777" w:rsidR="007C1BE9" w:rsidRDefault="007C1BE9" w:rsidP="0061437C">
      <w:pPr>
        <w:tabs>
          <w:tab w:val="right" w:pos="9360"/>
        </w:tabs>
        <w:suppressAutoHyphens/>
        <w:jc w:val="both"/>
        <w:rPr>
          <w:rFonts w:ascii="Times New Roman" w:hAnsi="Times New Roman"/>
          <w:sz w:val="26"/>
        </w:rPr>
      </w:pPr>
    </w:p>
    <w:p w14:paraId="6DB629BA" w14:textId="21C65243" w:rsidR="006F5428" w:rsidRDefault="00A854CB" w:rsidP="0061437C">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4A187A">
        <w:rPr>
          <w:rFonts w:ascii="Times New Roman" w:hAnsi="Times New Roman"/>
          <w:sz w:val="26"/>
        </w:rPr>
        <w:t>September 20</w:t>
      </w:r>
      <w:r w:rsidR="0022383D">
        <w:rPr>
          <w:rFonts w:ascii="Times New Roman" w:hAnsi="Times New Roman"/>
          <w:sz w:val="26"/>
        </w:rPr>
        <w:t>, 201</w:t>
      </w:r>
      <w:r w:rsidR="008B6185">
        <w:rPr>
          <w:rFonts w:ascii="Times New Roman" w:hAnsi="Times New Roman"/>
          <w:sz w:val="26"/>
        </w:rPr>
        <w:t>8</w:t>
      </w:r>
    </w:p>
    <w:p w14:paraId="006BC3E1" w14:textId="77777777" w:rsidR="006F5428" w:rsidRDefault="006F5428" w:rsidP="0061437C">
      <w:pPr>
        <w:tabs>
          <w:tab w:val="left" w:pos="-720"/>
        </w:tabs>
        <w:suppressAutoHyphens/>
        <w:rPr>
          <w:rFonts w:ascii="Times New Roman" w:hAnsi="Times New Roman"/>
          <w:sz w:val="26"/>
        </w:rPr>
      </w:pPr>
    </w:p>
    <w:p w14:paraId="4146333B" w14:textId="77777777" w:rsidR="006F5428" w:rsidRDefault="00897FB7" w:rsidP="0061437C">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14:paraId="3D282385" w14:textId="77777777" w:rsidR="006F5428" w:rsidRDefault="006F5428" w:rsidP="0061437C">
      <w:pPr>
        <w:tabs>
          <w:tab w:val="left" w:pos="-720"/>
        </w:tabs>
        <w:suppressAutoHyphens/>
        <w:rPr>
          <w:rFonts w:ascii="Times New Roman" w:hAnsi="Times New Roman"/>
          <w:sz w:val="26"/>
        </w:rPr>
      </w:pPr>
    </w:p>
    <w:p w14:paraId="47E77663" w14:textId="77777777"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14:paraId="15B5A256" w14:textId="77777777"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14:paraId="74218612" w14:textId="77777777" w:rsidR="00721BCB" w:rsidRDefault="00721BCB" w:rsidP="0061437C">
      <w:pPr>
        <w:tabs>
          <w:tab w:val="left" w:pos="705"/>
        </w:tabs>
        <w:ind w:firstLine="720"/>
        <w:rPr>
          <w:rFonts w:ascii="Times New Roman" w:hAnsi="Times New Roman"/>
          <w:sz w:val="26"/>
          <w:szCs w:val="26"/>
        </w:rPr>
      </w:pPr>
      <w:r>
        <w:rPr>
          <w:rFonts w:ascii="Times New Roman" w:hAnsi="Times New Roman"/>
          <w:sz w:val="26"/>
          <w:szCs w:val="26"/>
        </w:rPr>
        <w:t>Norman J. Kennard</w:t>
      </w:r>
    </w:p>
    <w:p w14:paraId="45214FA8" w14:textId="77777777" w:rsidR="0013360B" w:rsidRDefault="0013360B" w:rsidP="0061437C">
      <w:pPr>
        <w:ind w:left="720"/>
        <w:rPr>
          <w:rFonts w:ascii="Times New Roman" w:hAnsi="Times New Roman"/>
          <w:sz w:val="26"/>
          <w:szCs w:val="26"/>
        </w:rPr>
      </w:pPr>
      <w:r>
        <w:rPr>
          <w:rFonts w:ascii="Times New Roman" w:hAnsi="Times New Roman"/>
          <w:sz w:val="26"/>
          <w:szCs w:val="26"/>
        </w:rPr>
        <w:t>David W. Sweet</w:t>
      </w:r>
    </w:p>
    <w:p w14:paraId="29F9C842" w14:textId="77777777" w:rsidR="00721BCB" w:rsidRPr="0060709A" w:rsidRDefault="00721BCB" w:rsidP="0061437C">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14:paraId="6E8458DA" w14:textId="77777777" w:rsidR="009916D6" w:rsidRDefault="009916D6" w:rsidP="0061437C">
      <w:pPr>
        <w:tabs>
          <w:tab w:val="left" w:pos="-720"/>
        </w:tabs>
        <w:suppressAutoHyphens/>
        <w:rPr>
          <w:rFonts w:ascii="Times New Roman" w:hAnsi="Times New Roman"/>
          <w:sz w:val="26"/>
        </w:rPr>
      </w:pPr>
    </w:p>
    <w:p w14:paraId="66518AF8" w14:textId="77777777" w:rsidR="00B50E61" w:rsidRDefault="00B50E61" w:rsidP="0061437C">
      <w:pPr>
        <w:tabs>
          <w:tab w:val="left" w:pos="-720"/>
        </w:tabs>
        <w:suppressAutoHyphens/>
        <w:rPr>
          <w:rFonts w:ascii="Times New Roman" w:hAnsi="Times New Roman"/>
          <w:sz w:val="26"/>
        </w:rPr>
      </w:pPr>
    </w:p>
    <w:p w14:paraId="614D3BF6" w14:textId="3088470F" w:rsidR="00753982" w:rsidRDefault="00217A21" w:rsidP="0061437C">
      <w:pPr>
        <w:tabs>
          <w:tab w:val="left" w:pos="-720"/>
        </w:tabs>
        <w:suppressAutoHyphens/>
        <w:rPr>
          <w:rFonts w:ascii="Times New Roman" w:hAnsi="Times New Roman"/>
          <w:sz w:val="26"/>
        </w:rPr>
      </w:pPr>
      <w:r>
        <w:rPr>
          <w:rFonts w:ascii="Times New Roman" w:hAnsi="Times New Roman"/>
          <w:sz w:val="26"/>
        </w:rPr>
        <w:t>Calvin E. Hayes</w:t>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933DB6">
        <w:rPr>
          <w:rFonts w:ascii="Times New Roman" w:hAnsi="Times New Roman"/>
          <w:sz w:val="26"/>
        </w:rPr>
        <w:tab/>
      </w:r>
      <w:r w:rsidR="00933DB6">
        <w:rPr>
          <w:rFonts w:ascii="Times New Roman" w:hAnsi="Times New Roman"/>
          <w:sz w:val="26"/>
        </w:rPr>
        <w:tab/>
      </w:r>
      <w:r w:rsidR="00167081">
        <w:rPr>
          <w:rFonts w:ascii="Times New Roman" w:hAnsi="Times New Roman"/>
          <w:sz w:val="26"/>
        </w:rPr>
        <w:tab/>
      </w:r>
      <w:r w:rsidR="00933DB6">
        <w:rPr>
          <w:rFonts w:ascii="Times New Roman" w:hAnsi="Times New Roman"/>
          <w:sz w:val="26"/>
        </w:rPr>
        <w:t xml:space="preserve">     </w:t>
      </w:r>
      <w:r w:rsidR="00D01438">
        <w:rPr>
          <w:rFonts w:ascii="Times New Roman" w:hAnsi="Times New Roman"/>
          <w:sz w:val="26"/>
        </w:rPr>
        <w:t>C</w:t>
      </w:r>
      <w:r w:rsidR="00F3143E">
        <w:rPr>
          <w:rFonts w:ascii="Times New Roman" w:hAnsi="Times New Roman"/>
          <w:sz w:val="26"/>
        </w:rPr>
        <w:t>-201</w:t>
      </w:r>
      <w:r w:rsidR="00114B34">
        <w:rPr>
          <w:rFonts w:ascii="Times New Roman" w:hAnsi="Times New Roman"/>
          <w:sz w:val="26"/>
        </w:rPr>
        <w:t>7-2</w:t>
      </w:r>
      <w:r w:rsidR="00427981">
        <w:rPr>
          <w:rFonts w:ascii="Times New Roman" w:hAnsi="Times New Roman"/>
          <w:sz w:val="26"/>
        </w:rPr>
        <w:t>6</w:t>
      </w:r>
      <w:r>
        <w:rPr>
          <w:rFonts w:ascii="Times New Roman" w:hAnsi="Times New Roman"/>
          <w:sz w:val="26"/>
        </w:rPr>
        <w:t>34526</w:t>
      </w:r>
    </w:p>
    <w:p w14:paraId="6B022D79" w14:textId="77777777" w:rsidR="00933DB6" w:rsidRDefault="00933DB6" w:rsidP="0061437C">
      <w:pPr>
        <w:tabs>
          <w:tab w:val="left" w:pos="-720"/>
        </w:tabs>
        <w:suppressAutoHyphens/>
        <w:rPr>
          <w:rFonts w:ascii="Times New Roman" w:hAnsi="Times New Roman"/>
          <w:sz w:val="26"/>
        </w:rPr>
      </w:pPr>
    </w:p>
    <w:p w14:paraId="4D976461" w14:textId="77777777" w:rsidR="00933DB6" w:rsidRDefault="00933DB6" w:rsidP="0061437C">
      <w:pPr>
        <w:tabs>
          <w:tab w:val="left" w:pos="-720"/>
        </w:tabs>
        <w:suppressAutoHyphens/>
        <w:rPr>
          <w:rFonts w:ascii="Times New Roman" w:hAnsi="Times New Roman"/>
          <w:sz w:val="26"/>
        </w:rPr>
      </w:pPr>
      <w:r>
        <w:rPr>
          <w:rFonts w:ascii="Times New Roman" w:hAnsi="Times New Roman"/>
          <w:sz w:val="26"/>
        </w:rPr>
        <w:tab/>
        <w:t>v.</w:t>
      </w:r>
    </w:p>
    <w:p w14:paraId="43F2CCF5" w14:textId="77777777" w:rsidR="00FD6A63" w:rsidRDefault="00FD6A63" w:rsidP="0061437C">
      <w:pPr>
        <w:tabs>
          <w:tab w:val="left" w:pos="-720"/>
        </w:tabs>
        <w:suppressAutoHyphens/>
        <w:rPr>
          <w:rFonts w:ascii="Times New Roman" w:hAnsi="Times New Roman"/>
          <w:sz w:val="26"/>
        </w:rPr>
      </w:pPr>
    </w:p>
    <w:p w14:paraId="54ADA62C" w14:textId="77777777" w:rsidR="00FD6A63" w:rsidRDefault="00717365" w:rsidP="0061437C">
      <w:pPr>
        <w:tabs>
          <w:tab w:val="left" w:pos="-720"/>
        </w:tabs>
        <w:suppressAutoHyphens/>
        <w:rPr>
          <w:rFonts w:ascii="Times New Roman" w:hAnsi="Times New Roman"/>
          <w:sz w:val="26"/>
        </w:rPr>
      </w:pPr>
      <w:r>
        <w:rPr>
          <w:rFonts w:ascii="Times New Roman" w:hAnsi="Times New Roman"/>
          <w:sz w:val="26"/>
        </w:rPr>
        <w:t>P</w:t>
      </w:r>
      <w:r w:rsidR="00427981">
        <w:rPr>
          <w:rFonts w:ascii="Times New Roman" w:hAnsi="Times New Roman"/>
          <w:sz w:val="26"/>
        </w:rPr>
        <w:t>hiladelphia Gas Works</w:t>
      </w:r>
      <w:r w:rsidR="00692EA8">
        <w:rPr>
          <w:rFonts w:ascii="Times New Roman" w:hAnsi="Times New Roman"/>
          <w:sz w:val="26"/>
        </w:rPr>
        <w:t xml:space="preserve"> </w:t>
      </w:r>
      <w:r w:rsidR="005604BD">
        <w:rPr>
          <w:rFonts w:ascii="Times New Roman" w:hAnsi="Times New Roman"/>
          <w:sz w:val="26"/>
        </w:rPr>
        <w:t xml:space="preserve"> </w:t>
      </w:r>
    </w:p>
    <w:p w14:paraId="24CCD7A7" w14:textId="77777777" w:rsidR="00813768" w:rsidRDefault="00813768" w:rsidP="0061437C">
      <w:pPr>
        <w:tabs>
          <w:tab w:val="left" w:pos="-720"/>
        </w:tabs>
        <w:suppressAutoHyphens/>
        <w:spacing w:line="360" w:lineRule="auto"/>
        <w:rPr>
          <w:rFonts w:ascii="Times New Roman" w:hAnsi="Times New Roman"/>
          <w:b/>
          <w:sz w:val="26"/>
        </w:rPr>
      </w:pPr>
    </w:p>
    <w:p w14:paraId="1D1A79C6" w14:textId="77777777" w:rsidR="0025740E" w:rsidRDefault="006F5428" w:rsidP="0061437C">
      <w:pPr>
        <w:tabs>
          <w:tab w:val="center" w:pos="4680"/>
        </w:tabs>
        <w:suppressAutoHyphens/>
        <w:jc w:val="center"/>
        <w:rPr>
          <w:rFonts w:ascii="Times New Roman" w:hAnsi="Times New Roman"/>
          <w:b/>
          <w:sz w:val="26"/>
        </w:rPr>
      </w:pPr>
      <w:r>
        <w:rPr>
          <w:rFonts w:ascii="Times New Roman" w:hAnsi="Times New Roman"/>
          <w:b/>
          <w:sz w:val="26"/>
        </w:rPr>
        <w:t>OPINION AND ORDER</w:t>
      </w:r>
    </w:p>
    <w:p w14:paraId="1BBE7334" w14:textId="77777777" w:rsidR="00B50E61" w:rsidRDefault="00B50E61" w:rsidP="0061437C">
      <w:pPr>
        <w:tabs>
          <w:tab w:val="left" w:pos="-720"/>
        </w:tabs>
        <w:suppressAutoHyphens/>
        <w:spacing w:after="120"/>
        <w:rPr>
          <w:rFonts w:ascii="Times New Roman" w:hAnsi="Times New Roman"/>
          <w:b/>
          <w:sz w:val="26"/>
        </w:rPr>
      </w:pPr>
    </w:p>
    <w:p w14:paraId="2F399B98" w14:textId="77777777" w:rsidR="006F5428" w:rsidRDefault="006F5428" w:rsidP="0061437C">
      <w:pPr>
        <w:tabs>
          <w:tab w:val="left" w:pos="-720"/>
        </w:tabs>
        <w:suppressAutoHyphens/>
        <w:spacing w:after="120"/>
        <w:rPr>
          <w:rFonts w:ascii="Times New Roman" w:hAnsi="Times New Roman"/>
          <w:sz w:val="26"/>
        </w:rPr>
      </w:pPr>
      <w:r>
        <w:rPr>
          <w:rFonts w:ascii="Times New Roman" w:hAnsi="Times New Roman"/>
          <w:b/>
          <w:sz w:val="26"/>
        </w:rPr>
        <w:t>BY THE COMMISSION:</w:t>
      </w:r>
    </w:p>
    <w:p w14:paraId="5012E4F8" w14:textId="77777777" w:rsidR="006F5428" w:rsidRDefault="006F5428" w:rsidP="0061437C">
      <w:pPr>
        <w:tabs>
          <w:tab w:val="left" w:pos="-720"/>
        </w:tabs>
        <w:suppressAutoHyphens/>
        <w:spacing w:line="360" w:lineRule="auto"/>
        <w:rPr>
          <w:rFonts w:ascii="Times New Roman" w:hAnsi="Times New Roman"/>
          <w:sz w:val="26"/>
        </w:rPr>
      </w:pPr>
    </w:p>
    <w:p w14:paraId="13121AAB" w14:textId="544ABAB1" w:rsidR="008D561F" w:rsidRPr="00321F4B" w:rsidRDefault="006F5428" w:rsidP="00321F4B">
      <w:pPr>
        <w:spacing w:line="360" w:lineRule="auto"/>
        <w:ind w:firstLine="1440"/>
        <w:rPr>
          <w:rFonts w:ascii="Times New Roman" w:hAnsi="Times New Roman"/>
          <w:sz w:val="26"/>
          <w:szCs w:val="26"/>
        </w:rPr>
      </w:pPr>
      <w:r w:rsidRPr="00321F4B">
        <w:rPr>
          <w:rFonts w:ascii="Times New Roman" w:hAnsi="Times New Roman"/>
          <w:sz w:val="26"/>
          <w:szCs w:val="26"/>
        </w:rPr>
        <w:t xml:space="preserve">Before the </w:t>
      </w:r>
      <w:r w:rsidR="00F6390B" w:rsidRPr="00321F4B">
        <w:rPr>
          <w:rFonts w:ascii="Times New Roman" w:hAnsi="Times New Roman"/>
          <w:sz w:val="26"/>
          <w:szCs w:val="26"/>
        </w:rPr>
        <w:t xml:space="preserve">Pennsylvania Public Utility </w:t>
      </w:r>
      <w:r w:rsidRPr="00321F4B">
        <w:rPr>
          <w:rFonts w:ascii="Times New Roman" w:hAnsi="Times New Roman"/>
          <w:sz w:val="26"/>
          <w:szCs w:val="26"/>
        </w:rPr>
        <w:t xml:space="preserve">Commission </w:t>
      </w:r>
      <w:r w:rsidR="00F6390B" w:rsidRPr="00321F4B">
        <w:rPr>
          <w:rFonts w:ascii="Times New Roman" w:hAnsi="Times New Roman"/>
          <w:sz w:val="26"/>
          <w:szCs w:val="26"/>
        </w:rPr>
        <w:t xml:space="preserve">(Commission) </w:t>
      </w:r>
      <w:r w:rsidRPr="00321F4B">
        <w:rPr>
          <w:rFonts w:ascii="Times New Roman" w:hAnsi="Times New Roman"/>
          <w:sz w:val="26"/>
          <w:szCs w:val="26"/>
        </w:rPr>
        <w:t>for con</w:t>
      </w:r>
      <w:r w:rsidR="00E87C92" w:rsidRPr="00321F4B">
        <w:rPr>
          <w:rFonts w:ascii="Times New Roman" w:hAnsi="Times New Roman"/>
          <w:sz w:val="26"/>
          <w:szCs w:val="26"/>
        </w:rPr>
        <w:t xml:space="preserve">sideration and disposition </w:t>
      </w:r>
      <w:r w:rsidR="008D561F" w:rsidRPr="00321F4B">
        <w:rPr>
          <w:rFonts w:ascii="Times New Roman" w:hAnsi="Times New Roman"/>
          <w:sz w:val="26"/>
          <w:szCs w:val="26"/>
        </w:rPr>
        <w:t>is</w:t>
      </w:r>
      <w:r w:rsidR="007D337F" w:rsidRPr="00321F4B">
        <w:rPr>
          <w:rFonts w:ascii="Times New Roman" w:hAnsi="Times New Roman"/>
          <w:sz w:val="26"/>
          <w:szCs w:val="26"/>
        </w:rPr>
        <w:t xml:space="preserve"> the Initial Decision </w:t>
      </w:r>
      <w:r w:rsidR="006546DA" w:rsidRPr="00321F4B">
        <w:rPr>
          <w:rFonts w:ascii="Times New Roman" w:hAnsi="Times New Roman"/>
          <w:sz w:val="26"/>
          <w:szCs w:val="26"/>
        </w:rPr>
        <w:t xml:space="preserve">(I.D.) </w:t>
      </w:r>
      <w:r w:rsidR="007D337F" w:rsidRPr="00321F4B">
        <w:rPr>
          <w:rFonts w:ascii="Times New Roman" w:hAnsi="Times New Roman"/>
          <w:sz w:val="26"/>
          <w:szCs w:val="26"/>
        </w:rPr>
        <w:t xml:space="preserve">of </w:t>
      </w:r>
      <w:r w:rsidR="008D561F" w:rsidRPr="00321F4B">
        <w:rPr>
          <w:rFonts w:ascii="Times New Roman" w:hAnsi="Times New Roman"/>
          <w:sz w:val="26"/>
          <w:szCs w:val="26"/>
        </w:rPr>
        <w:t xml:space="preserve">Deputy Chief </w:t>
      </w:r>
      <w:r w:rsidR="007D337F" w:rsidRPr="00321F4B">
        <w:rPr>
          <w:rFonts w:ascii="Times New Roman" w:hAnsi="Times New Roman"/>
          <w:sz w:val="26"/>
          <w:szCs w:val="26"/>
        </w:rPr>
        <w:t xml:space="preserve">Administrative Law Judge </w:t>
      </w:r>
      <w:r w:rsidR="00D76CDD" w:rsidRPr="00321F4B">
        <w:rPr>
          <w:rFonts w:ascii="Times New Roman" w:hAnsi="Times New Roman"/>
          <w:sz w:val="26"/>
          <w:szCs w:val="26"/>
        </w:rPr>
        <w:t xml:space="preserve">(ALJ) </w:t>
      </w:r>
      <w:r w:rsidR="008D561F" w:rsidRPr="00321F4B">
        <w:rPr>
          <w:rFonts w:ascii="Times New Roman" w:hAnsi="Times New Roman"/>
          <w:sz w:val="26"/>
          <w:szCs w:val="26"/>
        </w:rPr>
        <w:t>Christopher P. Pell</w:t>
      </w:r>
      <w:r w:rsidR="008D03C2" w:rsidRPr="00321F4B">
        <w:rPr>
          <w:rFonts w:ascii="Times New Roman" w:hAnsi="Times New Roman"/>
          <w:sz w:val="26"/>
          <w:szCs w:val="26"/>
        </w:rPr>
        <w:t>, i</w:t>
      </w:r>
      <w:r w:rsidR="00F3224F" w:rsidRPr="00321F4B">
        <w:rPr>
          <w:rFonts w:ascii="Times New Roman" w:hAnsi="Times New Roman"/>
          <w:sz w:val="26"/>
          <w:szCs w:val="26"/>
        </w:rPr>
        <w:t xml:space="preserve">ssued </w:t>
      </w:r>
      <w:r w:rsidR="00D5042B" w:rsidRPr="00321F4B">
        <w:rPr>
          <w:rFonts w:ascii="Times New Roman" w:hAnsi="Times New Roman"/>
          <w:sz w:val="26"/>
          <w:szCs w:val="26"/>
        </w:rPr>
        <w:t xml:space="preserve">on </w:t>
      </w:r>
      <w:bookmarkStart w:id="0" w:name="_Hlk501454911"/>
      <w:r w:rsidR="008D561F" w:rsidRPr="00321F4B">
        <w:rPr>
          <w:rFonts w:ascii="Times New Roman" w:hAnsi="Times New Roman"/>
          <w:sz w:val="26"/>
          <w:szCs w:val="26"/>
        </w:rPr>
        <w:t>July 11</w:t>
      </w:r>
      <w:r w:rsidR="00FF39E4" w:rsidRPr="00321F4B">
        <w:rPr>
          <w:rFonts w:ascii="Times New Roman" w:hAnsi="Times New Roman"/>
          <w:sz w:val="26"/>
          <w:szCs w:val="26"/>
        </w:rPr>
        <w:t xml:space="preserve">, </w:t>
      </w:r>
      <w:r w:rsidR="0079236E" w:rsidRPr="00321F4B">
        <w:rPr>
          <w:rFonts w:ascii="Times New Roman" w:hAnsi="Times New Roman"/>
          <w:sz w:val="26"/>
          <w:szCs w:val="26"/>
        </w:rPr>
        <w:t>201</w:t>
      </w:r>
      <w:bookmarkEnd w:id="0"/>
      <w:r w:rsidR="00427981" w:rsidRPr="00321F4B">
        <w:rPr>
          <w:rFonts w:ascii="Times New Roman" w:hAnsi="Times New Roman"/>
          <w:sz w:val="26"/>
          <w:szCs w:val="26"/>
        </w:rPr>
        <w:t>8</w:t>
      </w:r>
      <w:r w:rsidR="00BC0C68" w:rsidRPr="00321F4B">
        <w:rPr>
          <w:rFonts w:ascii="Times New Roman" w:hAnsi="Times New Roman"/>
          <w:sz w:val="26"/>
          <w:szCs w:val="26"/>
        </w:rPr>
        <w:t>.</w:t>
      </w:r>
      <w:r w:rsidR="00792018" w:rsidRPr="00321F4B">
        <w:rPr>
          <w:rFonts w:ascii="Times New Roman" w:hAnsi="Times New Roman"/>
          <w:sz w:val="26"/>
          <w:szCs w:val="26"/>
        </w:rPr>
        <w:t xml:space="preserve">  </w:t>
      </w:r>
      <w:r w:rsidR="008D561F" w:rsidRPr="00321F4B">
        <w:rPr>
          <w:rFonts w:ascii="Times New Roman" w:hAnsi="Times New Roman"/>
          <w:sz w:val="26"/>
          <w:szCs w:val="26"/>
        </w:rPr>
        <w:t>No Exceptions were</w:t>
      </w:r>
      <w:r w:rsidR="002E464E">
        <w:rPr>
          <w:rFonts w:ascii="Times New Roman" w:hAnsi="Times New Roman"/>
          <w:sz w:val="26"/>
          <w:szCs w:val="26"/>
        </w:rPr>
        <w:t xml:space="preserve"> filed</w:t>
      </w:r>
      <w:r w:rsidR="008A0BEF">
        <w:rPr>
          <w:rFonts w:ascii="Times New Roman" w:hAnsi="Times New Roman"/>
          <w:sz w:val="26"/>
          <w:szCs w:val="26"/>
        </w:rPr>
        <w:t xml:space="preserve"> to the Initial Decision</w:t>
      </w:r>
      <w:r w:rsidR="002E464E">
        <w:rPr>
          <w:rFonts w:ascii="Times New Roman" w:hAnsi="Times New Roman"/>
          <w:sz w:val="26"/>
          <w:szCs w:val="26"/>
        </w:rPr>
        <w:t>; however, we</w:t>
      </w:r>
      <w:r w:rsidR="008D561F" w:rsidRPr="00321F4B">
        <w:rPr>
          <w:rFonts w:ascii="Times New Roman" w:hAnsi="Times New Roman"/>
          <w:sz w:val="26"/>
          <w:szCs w:val="26"/>
        </w:rPr>
        <w:t xml:space="preserve"> exercised our right to review the Initial Decision pursuant </w:t>
      </w:r>
      <w:r w:rsidR="008D561F" w:rsidRPr="008A0BEF">
        <w:rPr>
          <w:rFonts w:ascii="Times New Roman" w:hAnsi="Times New Roman"/>
          <w:sz w:val="26"/>
          <w:szCs w:val="26"/>
        </w:rPr>
        <w:t xml:space="preserve">to Section 332(h) of the Public Utility Code (Code), 66 Pa. C.S. § 332(h).  </w:t>
      </w:r>
      <w:r w:rsidR="00321F4B" w:rsidRPr="008A0BEF">
        <w:rPr>
          <w:rFonts w:ascii="Times New Roman" w:hAnsi="Times New Roman"/>
          <w:sz w:val="26"/>
          <w:szCs w:val="26"/>
        </w:rPr>
        <w:t xml:space="preserve">The Initial Decision </w:t>
      </w:r>
      <w:r w:rsidR="008A0BEF" w:rsidRPr="008A0BEF">
        <w:rPr>
          <w:rFonts w:ascii="Times New Roman" w:eastAsiaTheme="minorHAnsi" w:hAnsi="Times New Roman"/>
          <w:sz w:val="26"/>
          <w:szCs w:val="26"/>
        </w:rPr>
        <w:t>denied</w:t>
      </w:r>
      <w:r w:rsidR="00321F4B" w:rsidRPr="008A0BEF">
        <w:rPr>
          <w:rFonts w:ascii="Times New Roman" w:eastAsiaTheme="minorHAnsi" w:hAnsi="Times New Roman"/>
          <w:sz w:val="26"/>
          <w:szCs w:val="26"/>
        </w:rPr>
        <w:t xml:space="preserve"> the Formal Complaint</w:t>
      </w:r>
      <w:r w:rsidR="008A0BEF" w:rsidRPr="008A0BEF">
        <w:rPr>
          <w:rFonts w:ascii="Times New Roman" w:eastAsiaTheme="minorHAnsi" w:hAnsi="Times New Roman"/>
          <w:sz w:val="26"/>
          <w:szCs w:val="26"/>
        </w:rPr>
        <w:t xml:space="preserve"> (Complaint)</w:t>
      </w:r>
      <w:r w:rsidR="00321F4B" w:rsidRPr="008A0BEF">
        <w:rPr>
          <w:rFonts w:ascii="Times New Roman" w:eastAsiaTheme="minorHAnsi" w:hAnsi="Times New Roman"/>
          <w:sz w:val="26"/>
          <w:szCs w:val="26"/>
        </w:rPr>
        <w:t xml:space="preserve"> filed by Calvin </w:t>
      </w:r>
      <w:r w:rsidR="002E464E" w:rsidRPr="008A0BEF">
        <w:rPr>
          <w:rFonts w:ascii="Times New Roman" w:eastAsiaTheme="minorHAnsi" w:hAnsi="Times New Roman"/>
          <w:sz w:val="26"/>
          <w:szCs w:val="26"/>
        </w:rPr>
        <w:t xml:space="preserve">E. </w:t>
      </w:r>
      <w:r w:rsidR="00321F4B" w:rsidRPr="008A0BEF">
        <w:rPr>
          <w:rFonts w:ascii="Times New Roman" w:eastAsiaTheme="minorHAnsi" w:hAnsi="Times New Roman"/>
          <w:sz w:val="26"/>
          <w:szCs w:val="26"/>
        </w:rPr>
        <w:t xml:space="preserve">Hayes (Complainant or Mr. Hayes) on November 17, 2017, </w:t>
      </w:r>
      <w:r w:rsidR="008A0BEF" w:rsidRPr="008A0BEF">
        <w:rPr>
          <w:rFonts w:ascii="Times New Roman" w:hAnsi="Times New Roman"/>
          <w:sz w:val="26"/>
          <w:szCs w:val="26"/>
        </w:rPr>
        <w:t>against Philadelphia Gas Works (PGW or Respondent</w:t>
      </w:r>
      <w:r w:rsidR="00F5764B">
        <w:rPr>
          <w:rFonts w:ascii="Times New Roman" w:hAnsi="Times New Roman"/>
          <w:sz w:val="26"/>
          <w:szCs w:val="26"/>
        </w:rPr>
        <w:t>)</w:t>
      </w:r>
      <w:r w:rsidR="00321F4B" w:rsidRPr="008A0BEF">
        <w:rPr>
          <w:rFonts w:ascii="Times New Roman" w:eastAsiaTheme="minorHAnsi" w:hAnsi="Times New Roman"/>
          <w:sz w:val="26"/>
          <w:szCs w:val="26"/>
        </w:rPr>
        <w:t>,</w:t>
      </w:r>
      <w:r w:rsidR="008A0BEF" w:rsidRPr="008A0BEF">
        <w:rPr>
          <w:rFonts w:ascii="Times New Roman" w:eastAsiaTheme="minorHAnsi" w:hAnsi="Times New Roman"/>
          <w:sz w:val="26"/>
          <w:szCs w:val="26"/>
        </w:rPr>
        <w:t xml:space="preserve"> due to the</w:t>
      </w:r>
      <w:r w:rsidR="00321F4B" w:rsidRPr="008A0BEF">
        <w:rPr>
          <w:rFonts w:ascii="Times New Roman" w:eastAsiaTheme="minorHAnsi" w:hAnsi="Times New Roman"/>
          <w:sz w:val="26"/>
          <w:szCs w:val="26"/>
        </w:rPr>
        <w:t xml:space="preserve"> Complainant’s failure to sustain his burden of </w:t>
      </w:r>
      <w:r w:rsidR="00F5764B">
        <w:rPr>
          <w:rFonts w:ascii="Times New Roman" w:eastAsiaTheme="minorHAnsi" w:hAnsi="Times New Roman"/>
          <w:sz w:val="26"/>
          <w:szCs w:val="26"/>
        </w:rPr>
        <w:t>demonstrating</w:t>
      </w:r>
      <w:r w:rsidR="00321F4B" w:rsidRPr="008A0BEF">
        <w:rPr>
          <w:rFonts w:ascii="Times New Roman" w:eastAsiaTheme="minorHAnsi" w:hAnsi="Times New Roman"/>
          <w:sz w:val="26"/>
          <w:szCs w:val="26"/>
        </w:rPr>
        <w:t xml:space="preserve"> allegations that there were incorrect charges on his bill, as well as his request</w:t>
      </w:r>
      <w:r w:rsidR="00F5764B">
        <w:rPr>
          <w:rFonts w:ascii="Times New Roman" w:eastAsiaTheme="minorHAnsi" w:hAnsi="Times New Roman"/>
          <w:sz w:val="26"/>
          <w:szCs w:val="26"/>
        </w:rPr>
        <w:t xml:space="preserve"> for relief</w:t>
      </w:r>
      <w:r w:rsidR="00321F4B" w:rsidRPr="00321F4B">
        <w:rPr>
          <w:rFonts w:ascii="Times New Roman" w:eastAsiaTheme="minorHAnsi" w:hAnsi="Times New Roman"/>
          <w:sz w:val="26"/>
          <w:szCs w:val="26"/>
        </w:rPr>
        <w:t xml:space="preserve"> to receive a second Commission-issued payment </w:t>
      </w:r>
      <w:r w:rsidR="00321F4B" w:rsidRPr="00321F4B">
        <w:rPr>
          <w:rFonts w:ascii="Times New Roman" w:eastAsiaTheme="minorHAnsi" w:hAnsi="Times New Roman"/>
          <w:sz w:val="26"/>
          <w:szCs w:val="26"/>
        </w:rPr>
        <w:lastRenderedPageBreak/>
        <w:t>arrangement</w:t>
      </w:r>
      <w:r w:rsidR="00D12765">
        <w:rPr>
          <w:rFonts w:ascii="Times New Roman" w:hAnsi="Times New Roman"/>
          <w:sz w:val="26"/>
        </w:rPr>
        <w:t xml:space="preserve"> or an extension of his previous payment arrangement</w:t>
      </w:r>
      <w:r w:rsidR="00321F4B" w:rsidRPr="00321F4B">
        <w:rPr>
          <w:rFonts w:ascii="Times New Roman" w:eastAsiaTheme="minorHAnsi" w:hAnsi="Times New Roman"/>
          <w:sz w:val="26"/>
          <w:szCs w:val="26"/>
        </w:rPr>
        <w:t xml:space="preserve">.  </w:t>
      </w:r>
      <w:r w:rsidR="008D561F" w:rsidRPr="00321F4B">
        <w:rPr>
          <w:rFonts w:ascii="Times New Roman" w:hAnsi="Times New Roman"/>
          <w:sz w:val="26"/>
          <w:szCs w:val="26"/>
        </w:rPr>
        <w:t xml:space="preserve">For the reasons stated below, we shall </w:t>
      </w:r>
      <w:r w:rsidR="00321F4B" w:rsidRPr="00321F4B">
        <w:rPr>
          <w:rFonts w:ascii="Times New Roman" w:hAnsi="Times New Roman"/>
          <w:sz w:val="26"/>
          <w:szCs w:val="26"/>
        </w:rPr>
        <w:t xml:space="preserve">affirm, in part, and </w:t>
      </w:r>
      <w:r w:rsidR="008D561F" w:rsidRPr="00321F4B">
        <w:rPr>
          <w:rFonts w:ascii="Times New Roman" w:hAnsi="Times New Roman"/>
          <w:sz w:val="26"/>
          <w:szCs w:val="26"/>
        </w:rPr>
        <w:t xml:space="preserve">reverse, in part, the ALJ’s Initial Decision and grant the Complainant a six-month extension of his initial </w:t>
      </w:r>
      <w:r w:rsidR="00D80A57">
        <w:rPr>
          <w:rFonts w:ascii="Times New Roman" w:hAnsi="Times New Roman"/>
          <w:sz w:val="26"/>
          <w:szCs w:val="26"/>
        </w:rPr>
        <w:t>Commission-</w:t>
      </w:r>
      <w:r w:rsidR="002E464E">
        <w:rPr>
          <w:rFonts w:ascii="Times New Roman" w:hAnsi="Times New Roman"/>
          <w:sz w:val="26"/>
          <w:szCs w:val="26"/>
        </w:rPr>
        <w:t xml:space="preserve">issued </w:t>
      </w:r>
      <w:r w:rsidR="008D561F" w:rsidRPr="00321F4B">
        <w:rPr>
          <w:rFonts w:ascii="Times New Roman" w:hAnsi="Times New Roman"/>
          <w:sz w:val="26"/>
          <w:szCs w:val="26"/>
        </w:rPr>
        <w:t>payment arrangement, consistent with this Opinion and Order.</w:t>
      </w:r>
    </w:p>
    <w:p w14:paraId="7FE6D442" w14:textId="2F094E6B" w:rsidR="00F76B5D" w:rsidRDefault="00F76B5D" w:rsidP="0061437C">
      <w:pPr>
        <w:tabs>
          <w:tab w:val="left" w:pos="-720"/>
        </w:tabs>
        <w:suppressAutoHyphens/>
        <w:spacing w:line="360" w:lineRule="auto"/>
        <w:rPr>
          <w:rFonts w:ascii="Times New Roman" w:hAnsi="Times New Roman"/>
          <w:sz w:val="26"/>
          <w:szCs w:val="26"/>
        </w:rPr>
      </w:pPr>
    </w:p>
    <w:p w14:paraId="5569E3D5" w14:textId="77777777" w:rsidR="00F76B5D" w:rsidRDefault="00A57216" w:rsidP="0061437C">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14:paraId="5A5645F5" w14:textId="77777777" w:rsidR="00A57216" w:rsidRDefault="00A57216" w:rsidP="0061437C">
      <w:pPr>
        <w:keepNext/>
        <w:keepLines/>
        <w:tabs>
          <w:tab w:val="left" w:pos="-720"/>
        </w:tabs>
        <w:suppressAutoHyphens/>
        <w:spacing w:line="360" w:lineRule="auto"/>
        <w:jc w:val="center"/>
        <w:rPr>
          <w:rFonts w:ascii="Times New Roman" w:hAnsi="Times New Roman"/>
          <w:b/>
          <w:sz w:val="26"/>
          <w:szCs w:val="24"/>
        </w:rPr>
      </w:pPr>
    </w:p>
    <w:p w14:paraId="18B38619" w14:textId="28550D96" w:rsidR="008A0BEF" w:rsidRPr="008A0BEF" w:rsidRDefault="008A0BEF" w:rsidP="008A0BEF">
      <w:pPr>
        <w:pStyle w:val="Default"/>
        <w:spacing w:line="360" w:lineRule="auto"/>
        <w:ind w:firstLine="1440"/>
        <w:rPr>
          <w:sz w:val="26"/>
          <w:szCs w:val="26"/>
        </w:rPr>
      </w:pPr>
      <w:r w:rsidRPr="008A0BEF">
        <w:rPr>
          <w:sz w:val="26"/>
          <w:szCs w:val="26"/>
        </w:rPr>
        <w:t>On November 17, 2017, Mr. Hayes filed the instant Complaint against PGW with the Commission.  In the Complaint, the Complainant placed checkmarks in the boxes indicating “[t]he utility is threatening to shut off my service or has already shut off my service,” “I would like a payment agreement,” and “[i]ncorrect charges are on my bill.” The Complainant also placed a checkmark in the box indicating that a court has granted him a “Protection From Abuse” order for his personal safety or welfare.</w:t>
      </w:r>
      <w:r w:rsidRPr="008A0BEF">
        <w:rPr>
          <w:rStyle w:val="FootnoteReference"/>
          <w:sz w:val="26"/>
          <w:szCs w:val="26"/>
        </w:rPr>
        <w:footnoteReference w:id="2"/>
      </w:r>
      <w:r w:rsidRPr="008A0BEF">
        <w:rPr>
          <w:sz w:val="26"/>
          <w:szCs w:val="26"/>
        </w:rPr>
        <w:t xml:space="preserve"> </w:t>
      </w:r>
    </w:p>
    <w:p w14:paraId="4E913B37" w14:textId="77777777" w:rsidR="008A0BEF" w:rsidRPr="008A0BEF" w:rsidRDefault="008A0BEF" w:rsidP="008A0BEF">
      <w:pPr>
        <w:pStyle w:val="BodyText"/>
        <w:ind w:firstLine="1440"/>
        <w:rPr>
          <w:szCs w:val="26"/>
        </w:rPr>
      </w:pPr>
    </w:p>
    <w:p w14:paraId="351BE5AB" w14:textId="5F98A00B" w:rsidR="003F5145" w:rsidRPr="008A0BEF" w:rsidRDefault="008A0BEF" w:rsidP="008A0BEF">
      <w:pPr>
        <w:pStyle w:val="BodyText"/>
        <w:ind w:firstLine="1440"/>
        <w:rPr>
          <w:szCs w:val="26"/>
        </w:rPr>
      </w:pPr>
      <w:r w:rsidRPr="008A0BEF">
        <w:rPr>
          <w:szCs w:val="26"/>
        </w:rPr>
        <w:t>On December 11, 2017, PGW filed an Answer admitting that it issued a shut off notice for the service at 626 Brill Street, Philadelphia, PA (service address).  PGW also denied that there are incorrect charges on the bill for service at the service address.</w:t>
      </w:r>
    </w:p>
    <w:p w14:paraId="7D40A587" w14:textId="6C963E32" w:rsidR="008A0BEF" w:rsidRPr="008A0BEF" w:rsidRDefault="008A0BEF" w:rsidP="008A0BEF">
      <w:pPr>
        <w:pStyle w:val="BodyText"/>
        <w:ind w:firstLine="1440"/>
        <w:rPr>
          <w:szCs w:val="26"/>
        </w:rPr>
      </w:pPr>
    </w:p>
    <w:p w14:paraId="2E5B8CE5" w14:textId="0E3733E2" w:rsidR="008A0BEF" w:rsidRPr="008A0BEF" w:rsidRDefault="008A0BEF" w:rsidP="008A0BEF">
      <w:pPr>
        <w:pStyle w:val="Default"/>
        <w:spacing w:line="360" w:lineRule="auto"/>
        <w:ind w:firstLine="1440"/>
        <w:rPr>
          <w:sz w:val="26"/>
          <w:szCs w:val="26"/>
        </w:rPr>
      </w:pPr>
      <w:r w:rsidRPr="008A0BEF">
        <w:rPr>
          <w:sz w:val="26"/>
          <w:szCs w:val="26"/>
        </w:rPr>
        <w:t>By Hearing Notice dated January 4, 2018, a call-in telephonic hearing was scheduled for February 22, 2018</w:t>
      </w:r>
      <w:r w:rsidR="009A7C1C">
        <w:rPr>
          <w:sz w:val="26"/>
          <w:szCs w:val="26"/>
        </w:rPr>
        <w:t>,</w:t>
      </w:r>
      <w:r w:rsidRPr="008A0BEF">
        <w:rPr>
          <w:sz w:val="26"/>
          <w:szCs w:val="26"/>
        </w:rPr>
        <w:t xml:space="preserve"> at 10:00 a.m., and the matter was assigned to ALJ Pell.</w:t>
      </w:r>
    </w:p>
    <w:p w14:paraId="6EE5032F" w14:textId="734B6481" w:rsidR="008A0BEF" w:rsidRPr="008A0BEF" w:rsidRDefault="008A0BEF" w:rsidP="008A0BEF">
      <w:pPr>
        <w:pStyle w:val="Default"/>
        <w:spacing w:line="360" w:lineRule="auto"/>
        <w:ind w:firstLine="1440"/>
        <w:rPr>
          <w:sz w:val="26"/>
          <w:szCs w:val="26"/>
        </w:rPr>
      </w:pPr>
      <w:r w:rsidRPr="008A0BEF">
        <w:rPr>
          <w:sz w:val="26"/>
          <w:szCs w:val="26"/>
        </w:rPr>
        <w:t xml:space="preserve"> </w:t>
      </w:r>
    </w:p>
    <w:p w14:paraId="62B81BE8" w14:textId="10566D05" w:rsidR="008A0BEF" w:rsidRPr="008A0BEF" w:rsidRDefault="008A0BEF" w:rsidP="008A0BEF">
      <w:pPr>
        <w:pStyle w:val="Default"/>
        <w:spacing w:line="360" w:lineRule="auto"/>
        <w:ind w:firstLine="1440"/>
        <w:rPr>
          <w:sz w:val="26"/>
          <w:szCs w:val="26"/>
        </w:rPr>
      </w:pPr>
      <w:r w:rsidRPr="008A0BEF">
        <w:rPr>
          <w:sz w:val="26"/>
          <w:szCs w:val="26"/>
        </w:rPr>
        <w:t xml:space="preserve">On January 12, 2018, ALJ Pell issued a Prehearing Order, which, among other things, reminded the parties of the call-in information, directed them to comply with various procedural requirements and explained that the Complainant bears the burden of proof to establish that the Respondent violated its tariff, the Public Utility </w:t>
      </w:r>
      <w:r w:rsidRPr="008A0BEF">
        <w:rPr>
          <w:sz w:val="26"/>
          <w:szCs w:val="26"/>
        </w:rPr>
        <w:lastRenderedPageBreak/>
        <w:t>Code, or a Commission Order or regulation, and that he is entitled to the relief requested in the Complaint.</w:t>
      </w:r>
    </w:p>
    <w:p w14:paraId="23F2EC3B" w14:textId="77777777" w:rsidR="008A0BEF" w:rsidRPr="008A0BEF" w:rsidRDefault="008A0BEF" w:rsidP="008A0BEF">
      <w:pPr>
        <w:pStyle w:val="Default"/>
        <w:spacing w:line="360" w:lineRule="auto"/>
        <w:ind w:firstLine="1440"/>
        <w:rPr>
          <w:sz w:val="26"/>
          <w:szCs w:val="26"/>
        </w:rPr>
      </w:pPr>
    </w:p>
    <w:p w14:paraId="4C137A9B" w14:textId="6370F2FF" w:rsidR="008A0BEF" w:rsidRDefault="008A0BEF" w:rsidP="008A0BEF">
      <w:pPr>
        <w:pStyle w:val="Default"/>
        <w:spacing w:line="360" w:lineRule="auto"/>
        <w:ind w:firstLine="1440"/>
        <w:rPr>
          <w:sz w:val="26"/>
          <w:szCs w:val="26"/>
        </w:rPr>
      </w:pPr>
      <w:r w:rsidRPr="008A0BEF">
        <w:rPr>
          <w:sz w:val="26"/>
          <w:szCs w:val="26"/>
        </w:rPr>
        <w:t xml:space="preserve">On February 22, 2018, the hearing convened as scheduled.  The Complainant appeared </w:t>
      </w:r>
      <w:r w:rsidRPr="008A0BEF">
        <w:rPr>
          <w:i/>
          <w:iCs/>
          <w:sz w:val="26"/>
          <w:szCs w:val="26"/>
        </w:rPr>
        <w:t xml:space="preserve">pro se </w:t>
      </w:r>
      <w:r w:rsidRPr="008A0BEF">
        <w:rPr>
          <w:sz w:val="26"/>
          <w:szCs w:val="26"/>
        </w:rPr>
        <w:t xml:space="preserve">and testified. PGW appeared and was represented by Graciela Christlieb, Esq., who presented the testimony of Jessica Glace, a Senior Customer Review Officer. PGW offered six exhibits which were all admitted into the record. </w:t>
      </w:r>
    </w:p>
    <w:p w14:paraId="7F271B84" w14:textId="77777777" w:rsidR="008A0BEF" w:rsidRPr="008A0BEF" w:rsidRDefault="008A0BEF" w:rsidP="008A0BEF">
      <w:pPr>
        <w:pStyle w:val="Default"/>
        <w:spacing w:line="360" w:lineRule="auto"/>
        <w:ind w:firstLine="1440"/>
        <w:rPr>
          <w:sz w:val="26"/>
          <w:szCs w:val="26"/>
        </w:rPr>
      </w:pPr>
    </w:p>
    <w:p w14:paraId="5ADCF707" w14:textId="0FCD6C0F" w:rsidR="008A0BEF" w:rsidRPr="008A0BEF" w:rsidRDefault="008A0BEF" w:rsidP="008A0BEF">
      <w:pPr>
        <w:pStyle w:val="BodyText"/>
        <w:ind w:firstLine="1440"/>
        <w:rPr>
          <w:szCs w:val="26"/>
        </w:rPr>
      </w:pPr>
      <w:r w:rsidRPr="008A0BEF">
        <w:rPr>
          <w:szCs w:val="26"/>
        </w:rPr>
        <w:t>The record was left open for the Complainant to submit a late exhibit. The Complainant submitted his exhibit on February 28, 2018. Since PGW did not object to the admission of this exhibit into the record, the ALJ admitted the exhibit in the ordering paragraphs appearing in his Initial Decision.</w:t>
      </w:r>
    </w:p>
    <w:p w14:paraId="3ECAE4EE" w14:textId="77777777" w:rsidR="008A0BEF" w:rsidRPr="008A0BEF" w:rsidRDefault="008A0BEF" w:rsidP="008A0BEF">
      <w:pPr>
        <w:pStyle w:val="BodyText"/>
        <w:ind w:firstLine="1440"/>
        <w:rPr>
          <w:szCs w:val="26"/>
        </w:rPr>
      </w:pPr>
    </w:p>
    <w:p w14:paraId="56B72BC7" w14:textId="4420AF68" w:rsidR="008A0BEF" w:rsidRPr="008A0BEF" w:rsidRDefault="008A0BEF" w:rsidP="008A0BEF">
      <w:pPr>
        <w:pStyle w:val="BodyText"/>
        <w:ind w:firstLine="1440"/>
        <w:rPr>
          <w:szCs w:val="26"/>
        </w:rPr>
      </w:pPr>
      <w:r w:rsidRPr="008A0BEF">
        <w:rPr>
          <w:szCs w:val="26"/>
        </w:rPr>
        <w:t>The record in this case consists of a 39-page transcript and seven exhibits. The record closed on March 9, 2018, when ALJ Pell received the transcript of the February 22, 2018, hearing.</w:t>
      </w:r>
    </w:p>
    <w:p w14:paraId="34F5F536" w14:textId="0FFE341E" w:rsidR="008A0BEF" w:rsidRPr="008A0BEF" w:rsidRDefault="008A0BEF" w:rsidP="008A0BEF">
      <w:pPr>
        <w:pStyle w:val="BodyText"/>
        <w:ind w:firstLine="1440"/>
        <w:rPr>
          <w:szCs w:val="26"/>
        </w:rPr>
      </w:pPr>
    </w:p>
    <w:p w14:paraId="26221A33" w14:textId="0FEA8DF4" w:rsidR="008A0BEF" w:rsidRPr="008A0BEF" w:rsidRDefault="008A0BEF" w:rsidP="008A0BEF">
      <w:pPr>
        <w:pStyle w:val="BodyText"/>
        <w:ind w:firstLine="1440"/>
        <w:rPr>
          <w:szCs w:val="26"/>
        </w:rPr>
      </w:pPr>
      <w:r w:rsidRPr="008A0BEF">
        <w:rPr>
          <w:szCs w:val="26"/>
        </w:rPr>
        <w:t xml:space="preserve">On July 11, 2018, the Initial Decision of ALJ Pell was issued via Commission Secretarial Letter.  On July 20, 2018, an Errata to the Initial Decision was issued, correcting one sentence appearing in the Initial Decision. </w:t>
      </w:r>
    </w:p>
    <w:p w14:paraId="34548AD4" w14:textId="16253F83" w:rsidR="008A0BEF" w:rsidRPr="008A0BEF" w:rsidRDefault="008A0BEF" w:rsidP="008A0BEF">
      <w:pPr>
        <w:pStyle w:val="BodyText"/>
        <w:ind w:firstLine="1440"/>
        <w:rPr>
          <w:szCs w:val="26"/>
        </w:rPr>
      </w:pPr>
    </w:p>
    <w:p w14:paraId="2E023ED0" w14:textId="08531605" w:rsidR="008A0BEF" w:rsidRPr="008A0BEF" w:rsidRDefault="008A0BEF" w:rsidP="008A0BEF">
      <w:pPr>
        <w:pStyle w:val="BodyText"/>
        <w:ind w:firstLine="1440"/>
        <w:rPr>
          <w:szCs w:val="26"/>
        </w:rPr>
      </w:pPr>
      <w:r w:rsidRPr="008A0BEF">
        <w:rPr>
          <w:szCs w:val="26"/>
        </w:rPr>
        <w:t>As noted above, neither Party filed Exceptions to the Initial Decision.</w:t>
      </w:r>
    </w:p>
    <w:p w14:paraId="7E39549B" w14:textId="419F349F" w:rsidR="00544EC6" w:rsidRPr="00544EC6" w:rsidRDefault="00544EC6" w:rsidP="0061437C">
      <w:pPr>
        <w:autoSpaceDE w:val="0"/>
        <w:autoSpaceDN w:val="0"/>
        <w:spacing w:line="360" w:lineRule="auto"/>
        <w:rPr>
          <w:rFonts w:ascii="Times New Roman" w:hAnsi="Times New Roman" w:cs="CG Times"/>
          <w:sz w:val="26"/>
          <w:szCs w:val="24"/>
        </w:rPr>
      </w:pPr>
    </w:p>
    <w:p w14:paraId="05B92956" w14:textId="77777777" w:rsidR="00217A21" w:rsidRPr="00A55568" w:rsidRDefault="00217A21" w:rsidP="00217A21">
      <w:pPr>
        <w:keepNext/>
        <w:spacing w:line="360" w:lineRule="auto"/>
        <w:jc w:val="center"/>
        <w:rPr>
          <w:rFonts w:ascii="Times New Roman" w:hAnsi="Times New Roman"/>
          <w:b/>
          <w:sz w:val="26"/>
          <w:szCs w:val="26"/>
        </w:rPr>
      </w:pPr>
      <w:r w:rsidRPr="00A55568">
        <w:rPr>
          <w:rFonts w:ascii="Times New Roman" w:hAnsi="Times New Roman"/>
          <w:b/>
          <w:sz w:val="26"/>
          <w:szCs w:val="26"/>
        </w:rPr>
        <w:lastRenderedPageBreak/>
        <w:t>Discussion</w:t>
      </w:r>
    </w:p>
    <w:p w14:paraId="2B73726E" w14:textId="77777777" w:rsidR="00217A21" w:rsidRPr="00A55568" w:rsidRDefault="00217A21" w:rsidP="00217A21">
      <w:pPr>
        <w:keepNext/>
        <w:spacing w:line="360" w:lineRule="auto"/>
        <w:jc w:val="center"/>
        <w:rPr>
          <w:rFonts w:ascii="Times New Roman" w:hAnsi="Times New Roman"/>
          <w:b/>
          <w:sz w:val="26"/>
          <w:szCs w:val="26"/>
        </w:rPr>
      </w:pPr>
    </w:p>
    <w:p w14:paraId="06F9A38E" w14:textId="77777777" w:rsidR="00217A21" w:rsidRPr="00A55568" w:rsidRDefault="00217A21" w:rsidP="00217A21">
      <w:pPr>
        <w:keepNext/>
        <w:spacing w:line="360" w:lineRule="auto"/>
        <w:rPr>
          <w:rFonts w:ascii="Times New Roman" w:hAnsi="Times New Roman"/>
          <w:sz w:val="26"/>
          <w:szCs w:val="26"/>
        </w:rPr>
      </w:pPr>
      <w:bookmarkStart w:id="1" w:name="_Hlk525656620"/>
      <w:r w:rsidRPr="00A55568">
        <w:rPr>
          <w:rFonts w:ascii="Times New Roman" w:hAnsi="Times New Roman"/>
          <w:b/>
          <w:sz w:val="26"/>
          <w:szCs w:val="26"/>
        </w:rPr>
        <w:t>Legal Standards</w:t>
      </w:r>
    </w:p>
    <w:p w14:paraId="32043DE7" w14:textId="77777777" w:rsidR="00217A21" w:rsidRPr="00A55568" w:rsidRDefault="00217A21" w:rsidP="00217A21">
      <w:pPr>
        <w:keepNext/>
        <w:spacing w:line="360" w:lineRule="auto"/>
        <w:ind w:firstLine="1440"/>
        <w:rPr>
          <w:rFonts w:ascii="Times New Roman" w:hAnsi="Times New Roman"/>
          <w:sz w:val="26"/>
          <w:szCs w:val="26"/>
        </w:rPr>
      </w:pPr>
    </w:p>
    <w:p w14:paraId="67C78D0C" w14:textId="77777777" w:rsidR="00217A21" w:rsidRPr="001D1950" w:rsidRDefault="00217A21" w:rsidP="00217A21">
      <w:pPr>
        <w:keepNext/>
        <w:keepLines/>
        <w:spacing w:line="360" w:lineRule="auto"/>
        <w:ind w:firstLine="720"/>
        <w:rPr>
          <w:rFonts w:ascii="Times New Roman" w:hAnsi="Times New Roman"/>
          <w:b/>
          <w:sz w:val="26"/>
          <w:szCs w:val="26"/>
        </w:rPr>
      </w:pPr>
      <w:r w:rsidRPr="001D1950">
        <w:rPr>
          <w:rFonts w:ascii="Times New Roman" w:hAnsi="Times New Roman"/>
          <w:b/>
          <w:sz w:val="26"/>
          <w:szCs w:val="26"/>
        </w:rPr>
        <w:t>Responsible Utility Customer Protection Act</w:t>
      </w:r>
      <w:r>
        <w:rPr>
          <w:rFonts w:ascii="Times New Roman" w:hAnsi="Times New Roman"/>
          <w:b/>
          <w:sz w:val="26"/>
          <w:szCs w:val="26"/>
        </w:rPr>
        <w:t xml:space="preserve"> (Chapter 14)</w:t>
      </w:r>
    </w:p>
    <w:p w14:paraId="6D7B0629" w14:textId="77777777" w:rsidR="00217A21" w:rsidRPr="003105EC" w:rsidRDefault="00217A21" w:rsidP="00217A21">
      <w:pPr>
        <w:keepNext/>
        <w:keepLines/>
        <w:spacing w:line="360" w:lineRule="auto"/>
        <w:rPr>
          <w:rFonts w:ascii="Times New Roman" w:hAnsi="Times New Roman"/>
          <w:sz w:val="26"/>
          <w:szCs w:val="26"/>
        </w:rPr>
      </w:pPr>
    </w:p>
    <w:p w14:paraId="23A835F4" w14:textId="5EA104CC" w:rsidR="00217A21" w:rsidRDefault="00217A21" w:rsidP="00217A21">
      <w:pPr>
        <w:spacing w:line="360" w:lineRule="auto"/>
        <w:ind w:firstLine="1440"/>
        <w:rPr>
          <w:rFonts w:ascii="Times New Roman" w:hAnsi="Times New Roman"/>
          <w:sz w:val="26"/>
          <w:szCs w:val="26"/>
        </w:rPr>
      </w:pPr>
      <w:r w:rsidRPr="00FA24F7">
        <w:rPr>
          <w:rFonts w:ascii="Times New Roman" w:hAnsi="Times New Roman"/>
          <w:sz w:val="26"/>
          <w:szCs w:val="26"/>
        </w:rPr>
        <w:t>The Responsible Utility Customer Protection Act,</w:t>
      </w:r>
      <w:r>
        <w:rPr>
          <w:rFonts w:ascii="Times New Roman" w:hAnsi="Times New Roman"/>
          <w:sz w:val="26"/>
          <w:szCs w:val="26"/>
        </w:rPr>
        <w:t xml:space="preserve"> as codified in Chapter 14 of the Public Utility Code (Code), at</w:t>
      </w:r>
      <w:r w:rsidRPr="00FA24F7">
        <w:rPr>
          <w:rFonts w:ascii="Times New Roman" w:hAnsi="Times New Roman"/>
          <w:sz w:val="26"/>
          <w:szCs w:val="26"/>
        </w:rPr>
        <w:t xml:space="preserve"> 66 Pa.</w:t>
      </w:r>
      <w:r>
        <w:rPr>
          <w:rFonts w:ascii="Times New Roman" w:hAnsi="Times New Roman"/>
          <w:sz w:val="26"/>
          <w:szCs w:val="26"/>
        </w:rPr>
        <w:t xml:space="preserve"> </w:t>
      </w:r>
      <w:r w:rsidRPr="00FA24F7">
        <w:rPr>
          <w:rFonts w:ascii="Times New Roman" w:hAnsi="Times New Roman"/>
          <w:sz w:val="26"/>
          <w:szCs w:val="26"/>
        </w:rPr>
        <w:t>C.S. §</w:t>
      </w:r>
      <w:r>
        <w:rPr>
          <w:rFonts w:ascii="Times New Roman" w:hAnsi="Times New Roman"/>
          <w:sz w:val="26"/>
          <w:szCs w:val="26"/>
        </w:rPr>
        <w:t>§</w:t>
      </w:r>
      <w:r w:rsidRPr="00FA24F7">
        <w:rPr>
          <w:rFonts w:ascii="Times New Roman" w:hAnsi="Times New Roman"/>
          <w:sz w:val="26"/>
          <w:szCs w:val="26"/>
        </w:rPr>
        <w:t xml:space="preserve"> 1401</w:t>
      </w:r>
      <w:r>
        <w:rPr>
          <w:rFonts w:ascii="Times New Roman" w:hAnsi="Times New Roman"/>
          <w:sz w:val="26"/>
          <w:szCs w:val="26"/>
        </w:rPr>
        <w:t xml:space="preserve"> – 1419,</w:t>
      </w:r>
      <w:r w:rsidRPr="00FA24F7">
        <w:rPr>
          <w:rFonts w:ascii="Times New Roman" w:hAnsi="Times New Roman"/>
          <w:sz w:val="26"/>
          <w:szCs w:val="26"/>
        </w:rPr>
        <w:t xml:space="preserve"> applies to complaints alleging inability to pay and request</w:t>
      </w:r>
      <w:r>
        <w:rPr>
          <w:rFonts w:ascii="Times New Roman" w:hAnsi="Times New Roman"/>
          <w:sz w:val="26"/>
          <w:szCs w:val="26"/>
        </w:rPr>
        <w:t>ing</w:t>
      </w:r>
      <w:r w:rsidRPr="00FA24F7">
        <w:rPr>
          <w:rFonts w:ascii="Times New Roman" w:hAnsi="Times New Roman"/>
          <w:sz w:val="26"/>
          <w:szCs w:val="26"/>
        </w:rPr>
        <w:t xml:space="preserve"> Commission-ordered payment arrangements.  </w:t>
      </w:r>
      <w:r w:rsidRPr="001B2B72">
        <w:rPr>
          <w:rFonts w:ascii="Times New Roman" w:hAnsi="Times New Roman"/>
          <w:sz w:val="26"/>
          <w:szCs w:val="26"/>
        </w:rPr>
        <w:t>A “payment arrangement”</w:t>
      </w:r>
      <w:r>
        <w:rPr>
          <w:rFonts w:ascii="Times New Roman" w:hAnsi="Times New Roman"/>
          <w:sz w:val="26"/>
          <w:szCs w:val="26"/>
        </w:rPr>
        <w:t xml:space="preserve"> is defined as: “[a]</w:t>
      </w:r>
      <w:r w:rsidRPr="000E59EE">
        <w:rPr>
          <w:rFonts w:ascii="Times New Roman" w:hAnsi="Times New Roman"/>
          <w:color w:val="212121"/>
          <w:sz w:val="26"/>
          <w:szCs w:val="26"/>
        </w:rPr>
        <w:t>n agreement whereby a customer who admits liability for billed service is permitted to amortize or pay the unpaid balance of the account in one or more payments.</w:t>
      </w:r>
      <w:r>
        <w:rPr>
          <w:rFonts w:ascii="Times New Roman" w:hAnsi="Times New Roman"/>
          <w:color w:val="212121"/>
          <w:sz w:val="26"/>
          <w:szCs w:val="26"/>
        </w:rPr>
        <w:t xml:space="preserve">”  </w:t>
      </w:r>
      <w:r w:rsidRPr="001B2B72">
        <w:rPr>
          <w:rFonts w:ascii="Times New Roman" w:hAnsi="Times New Roman"/>
          <w:sz w:val="26"/>
          <w:szCs w:val="26"/>
        </w:rPr>
        <w:t>66 Pa. C.S. § 1403</w:t>
      </w:r>
      <w:r>
        <w:rPr>
          <w:rFonts w:ascii="Times New Roman" w:hAnsi="Times New Roman"/>
          <w:sz w:val="26"/>
          <w:szCs w:val="26"/>
        </w:rPr>
        <w:t>.</w:t>
      </w:r>
    </w:p>
    <w:p w14:paraId="072A8A37" w14:textId="77777777" w:rsidR="00217A21" w:rsidRDefault="00217A21" w:rsidP="00217A21">
      <w:pPr>
        <w:spacing w:line="360" w:lineRule="auto"/>
        <w:ind w:firstLine="1440"/>
        <w:rPr>
          <w:rFonts w:ascii="Times New Roman" w:hAnsi="Times New Roman"/>
          <w:sz w:val="26"/>
          <w:szCs w:val="26"/>
        </w:rPr>
      </w:pPr>
    </w:p>
    <w:p w14:paraId="060518C8" w14:textId="2DE8AC8B" w:rsidR="00217A21" w:rsidRDefault="00217A21" w:rsidP="00217A21">
      <w:pPr>
        <w:spacing w:line="360" w:lineRule="auto"/>
        <w:ind w:firstLine="1440"/>
        <w:rPr>
          <w:rFonts w:ascii="Times New Roman" w:hAnsi="Times New Roman"/>
          <w:sz w:val="26"/>
          <w:szCs w:val="26"/>
        </w:rPr>
      </w:pPr>
      <w:r>
        <w:rPr>
          <w:rFonts w:ascii="Times New Roman" w:hAnsi="Times New Roman"/>
          <w:sz w:val="26"/>
          <w:szCs w:val="26"/>
        </w:rPr>
        <w:t xml:space="preserve">Section 1405(a) makes explicit the power of the Commission to investigate payment disputes between a public utility and its applicants and customers.  It also makes explicit the Commission’s authority to establish </w:t>
      </w:r>
      <w:r w:rsidR="003F5145">
        <w:rPr>
          <w:rFonts w:ascii="Times New Roman" w:hAnsi="Times New Roman"/>
          <w:sz w:val="26"/>
          <w:szCs w:val="26"/>
        </w:rPr>
        <w:t xml:space="preserve">at least </w:t>
      </w:r>
      <w:r>
        <w:rPr>
          <w:rFonts w:ascii="Times New Roman" w:hAnsi="Times New Roman"/>
          <w:sz w:val="26"/>
          <w:szCs w:val="26"/>
        </w:rPr>
        <w:t>one payment arrangement per customer subject to the limitations of Section 1405.</w:t>
      </w:r>
      <w:r w:rsidR="003D6461">
        <w:rPr>
          <w:rStyle w:val="FootnoteReference"/>
          <w:rFonts w:ascii="Times New Roman" w:hAnsi="Times New Roman"/>
          <w:sz w:val="26"/>
          <w:szCs w:val="26"/>
        </w:rPr>
        <w:footnoteReference w:id="3"/>
      </w:r>
      <w:r>
        <w:rPr>
          <w:rFonts w:ascii="Times New Roman" w:hAnsi="Times New Roman"/>
          <w:sz w:val="26"/>
          <w:szCs w:val="26"/>
        </w:rPr>
        <w:t xml:space="preserve">  </w:t>
      </w:r>
      <w:r w:rsidRPr="0019499B">
        <w:rPr>
          <w:rFonts w:ascii="Times New Roman" w:hAnsi="Times New Roman"/>
          <w:i/>
          <w:sz w:val="26"/>
          <w:szCs w:val="26"/>
        </w:rPr>
        <w:t>See</w:t>
      </w:r>
      <w:r>
        <w:rPr>
          <w:rFonts w:ascii="Times New Roman" w:hAnsi="Times New Roman"/>
          <w:i/>
          <w:sz w:val="26"/>
          <w:szCs w:val="26"/>
        </w:rPr>
        <w:t xml:space="preserve"> </w:t>
      </w:r>
      <w:r w:rsidRPr="0011525B">
        <w:rPr>
          <w:rFonts w:ascii="Times New Roman" w:hAnsi="Times New Roman"/>
          <w:sz w:val="26"/>
          <w:szCs w:val="26"/>
        </w:rPr>
        <w:t>66 Pa. C.S. § 1405(a)</w:t>
      </w:r>
      <w:r>
        <w:rPr>
          <w:rFonts w:ascii="Times New Roman" w:hAnsi="Times New Roman"/>
          <w:sz w:val="26"/>
          <w:szCs w:val="26"/>
        </w:rPr>
        <w:t xml:space="preserve">.  </w:t>
      </w:r>
    </w:p>
    <w:p w14:paraId="79DD19B8" w14:textId="77777777" w:rsidR="00874E33" w:rsidRDefault="00874E33" w:rsidP="00217A21">
      <w:pPr>
        <w:spacing w:line="360" w:lineRule="auto"/>
        <w:ind w:firstLine="1440"/>
        <w:rPr>
          <w:rFonts w:ascii="Times New Roman" w:hAnsi="Times New Roman"/>
          <w:sz w:val="26"/>
          <w:szCs w:val="26"/>
        </w:rPr>
      </w:pPr>
    </w:p>
    <w:p w14:paraId="320092FA" w14:textId="77777777" w:rsidR="00217A21" w:rsidRPr="003105EC" w:rsidRDefault="00217A21" w:rsidP="000E717D">
      <w:pPr>
        <w:keepNext/>
        <w:keepLines/>
        <w:spacing w:line="360" w:lineRule="auto"/>
        <w:ind w:firstLine="1440"/>
        <w:rPr>
          <w:rFonts w:ascii="Times New Roman" w:hAnsi="Times New Roman"/>
          <w:sz w:val="26"/>
          <w:szCs w:val="26"/>
        </w:rPr>
      </w:pPr>
      <w:r>
        <w:rPr>
          <w:rFonts w:ascii="Times New Roman" w:hAnsi="Times New Roman"/>
          <w:sz w:val="26"/>
          <w:szCs w:val="26"/>
        </w:rPr>
        <w:lastRenderedPageBreak/>
        <w:t>Section 1405(a) states as follows</w:t>
      </w:r>
      <w:r w:rsidRPr="003105EC">
        <w:rPr>
          <w:rFonts w:ascii="Times New Roman" w:hAnsi="Times New Roman"/>
          <w:sz w:val="26"/>
          <w:szCs w:val="26"/>
        </w:rPr>
        <w:t>:</w:t>
      </w:r>
    </w:p>
    <w:p w14:paraId="5B134348" w14:textId="77777777" w:rsidR="00217A21" w:rsidRPr="003105EC" w:rsidRDefault="00217A21" w:rsidP="000E717D">
      <w:pPr>
        <w:keepNext/>
        <w:keepLines/>
        <w:rPr>
          <w:rFonts w:ascii="Times New Roman" w:hAnsi="Times New Roman"/>
          <w:sz w:val="26"/>
          <w:szCs w:val="26"/>
        </w:rPr>
      </w:pPr>
    </w:p>
    <w:p w14:paraId="0D08FF6B" w14:textId="2C1202F9" w:rsidR="00217A21" w:rsidRDefault="00217A21" w:rsidP="00217A21">
      <w:pPr>
        <w:ind w:left="1440" w:right="1440"/>
        <w:rPr>
          <w:rFonts w:ascii="Times New Roman" w:hAnsi="Times New Roman"/>
          <w:sz w:val="26"/>
          <w:szCs w:val="26"/>
        </w:rPr>
      </w:pPr>
      <w:r w:rsidRPr="003105EC">
        <w:rPr>
          <w:rFonts w:ascii="Times New Roman" w:hAnsi="Times New Roman"/>
          <w:sz w:val="26"/>
          <w:szCs w:val="26"/>
        </w:rPr>
        <w:t>(a)</w:t>
      </w:r>
      <w:r w:rsidRPr="003105EC">
        <w:rPr>
          <w:rFonts w:ascii="Times New Roman" w:hAnsi="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4A08D589" w14:textId="77777777" w:rsidR="001F54E9" w:rsidRPr="003105EC" w:rsidRDefault="001F54E9" w:rsidP="00217A21">
      <w:pPr>
        <w:ind w:left="1440" w:right="1440"/>
        <w:rPr>
          <w:rFonts w:ascii="Times New Roman" w:hAnsi="Times New Roman"/>
          <w:sz w:val="26"/>
          <w:szCs w:val="26"/>
        </w:rPr>
      </w:pPr>
    </w:p>
    <w:p w14:paraId="2D3B72AE" w14:textId="77777777" w:rsidR="00217A21" w:rsidRPr="003105EC" w:rsidRDefault="00217A21" w:rsidP="00217A21">
      <w:pPr>
        <w:ind w:left="1440" w:right="1440"/>
        <w:rPr>
          <w:rFonts w:ascii="Times New Roman" w:hAnsi="Times New Roman"/>
          <w:sz w:val="26"/>
          <w:szCs w:val="26"/>
        </w:rPr>
      </w:pPr>
    </w:p>
    <w:p w14:paraId="5CAB49A3" w14:textId="77777777" w:rsidR="00217A21" w:rsidRDefault="00217A21" w:rsidP="00217A21">
      <w:pPr>
        <w:autoSpaceDE w:val="0"/>
        <w:autoSpaceDN w:val="0"/>
        <w:adjustRightInd w:val="0"/>
        <w:spacing w:line="360" w:lineRule="auto"/>
        <w:rPr>
          <w:rFonts w:ascii="Times New Roman" w:hAnsi="Times New Roman"/>
          <w:sz w:val="26"/>
          <w:szCs w:val="26"/>
        </w:rPr>
      </w:pPr>
      <w:r w:rsidRPr="00FA24F7">
        <w:rPr>
          <w:rFonts w:ascii="Times New Roman" w:hAnsi="Times New Roman"/>
          <w:sz w:val="26"/>
          <w:szCs w:val="26"/>
        </w:rPr>
        <w:t>66 Pa. C.S. §1405(a)</w:t>
      </w:r>
      <w:r>
        <w:rPr>
          <w:rFonts w:ascii="Times New Roman" w:hAnsi="Times New Roman"/>
          <w:sz w:val="26"/>
          <w:szCs w:val="26"/>
        </w:rPr>
        <w:t>.</w:t>
      </w:r>
    </w:p>
    <w:p w14:paraId="3234D68C" w14:textId="77777777" w:rsidR="00217A21" w:rsidRDefault="00217A21" w:rsidP="00217A21">
      <w:pPr>
        <w:autoSpaceDE w:val="0"/>
        <w:autoSpaceDN w:val="0"/>
        <w:adjustRightInd w:val="0"/>
        <w:spacing w:line="360" w:lineRule="auto"/>
        <w:rPr>
          <w:rFonts w:ascii="Times New Roman" w:hAnsi="Times New Roman"/>
          <w:sz w:val="26"/>
          <w:szCs w:val="26"/>
        </w:rPr>
      </w:pPr>
    </w:p>
    <w:p w14:paraId="07D495B7" w14:textId="77777777" w:rsidR="00592B75" w:rsidRDefault="00217A21" w:rsidP="00217A21">
      <w:pPr>
        <w:spacing w:line="360" w:lineRule="auto"/>
        <w:ind w:firstLine="1440"/>
        <w:rPr>
          <w:rFonts w:ascii="Times New Roman" w:hAnsi="Times New Roman"/>
          <w:sz w:val="26"/>
          <w:szCs w:val="26"/>
        </w:rPr>
      </w:pPr>
      <w:r>
        <w:rPr>
          <w:rFonts w:ascii="Times New Roman" w:hAnsi="Times New Roman"/>
          <w:sz w:val="26"/>
          <w:szCs w:val="26"/>
        </w:rPr>
        <w:t>While Section 1405(a) generally authorizes the Commission to issue a payment arrangement for a customer,</w:t>
      </w:r>
      <w:r w:rsidR="00592B75">
        <w:rPr>
          <w:rFonts w:ascii="Times New Roman" w:hAnsi="Times New Roman"/>
          <w:sz w:val="26"/>
          <w:szCs w:val="26"/>
        </w:rPr>
        <w:t xml:space="preserve"> it does not require it.  Thus, th</w:t>
      </w:r>
      <w:r w:rsidRPr="0019499B">
        <w:rPr>
          <w:rFonts w:ascii="Times New Roman" w:hAnsi="Times New Roman"/>
          <w:sz w:val="26"/>
          <w:szCs w:val="26"/>
        </w:rPr>
        <w:t xml:space="preserve">e issuance of a payment arrangement </w:t>
      </w:r>
      <w:r>
        <w:rPr>
          <w:rFonts w:ascii="Times New Roman" w:hAnsi="Times New Roman"/>
          <w:sz w:val="26"/>
          <w:szCs w:val="26"/>
        </w:rPr>
        <w:t>by the Commission pursuant to</w:t>
      </w:r>
      <w:r w:rsidRPr="0019499B">
        <w:rPr>
          <w:rFonts w:ascii="Times New Roman" w:hAnsi="Times New Roman"/>
          <w:sz w:val="26"/>
          <w:szCs w:val="26"/>
        </w:rPr>
        <w:t xml:space="preserve"> </w:t>
      </w:r>
      <w:r w:rsidRPr="003105EC">
        <w:rPr>
          <w:rFonts w:ascii="Times New Roman" w:hAnsi="Times New Roman"/>
          <w:sz w:val="26"/>
          <w:szCs w:val="26"/>
        </w:rPr>
        <w:t>Section 1405</w:t>
      </w:r>
      <w:r>
        <w:rPr>
          <w:rFonts w:ascii="Times New Roman" w:hAnsi="Times New Roman"/>
          <w:sz w:val="26"/>
          <w:szCs w:val="26"/>
        </w:rPr>
        <w:t xml:space="preserve">(a) </w:t>
      </w:r>
      <w:r w:rsidRPr="0019499B">
        <w:rPr>
          <w:rFonts w:ascii="Times New Roman" w:hAnsi="Times New Roman"/>
          <w:sz w:val="26"/>
          <w:szCs w:val="26"/>
        </w:rPr>
        <w:t>is a</w:t>
      </w:r>
      <w:r>
        <w:rPr>
          <w:rFonts w:ascii="Times New Roman" w:hAnsi="Times New Roman"/>
          <w:sz w:val="26"/>
          <w:szCs w:val="26"/>
        </w:rPr>
        <w:t xml:space="preserve">n exercise of the Commission’s </w:t>
      </w:r>
      <w:r w:rsidRPr="0019499B">
        <w:rPr>
          <w:rFonts w:ascii="Times New Roman" w:hAnsi="Times New Roman"/>
          <w:sz w:val="26"/>
          <w:szCs w:val="26"/>
        </w:rPr>
        <w:t>discretion.</w:t>
      </w:r>
      <w:r>
        <w:rPr>
          <w:rFonts w:ascii="Times New Roman" w:hAnsi="Times New Roman"/>
          <w:sz w:val="26"/>
          <w:szCs w:val="26"/>
        </w:rPr>
        <w:t xml:space="preserve"> </w:t>
      </w:r>
      <w:r w:rsidRPr="0019499B">
        <w:rPr>
          <w:rFonts w:ascii="Times New Roman" w:hAnsi="Times New Roman"/>
          <w:sz w:val="26"/>
          <w:szCs w:val="26"/>
        </w:rPr>
        <w:t xml:space="preserve"> </w:t>
      </w:r>
      <w:r w:rsidRPr="00777BAE">
        <w:rPr>
          <w:rFonts w:ascii="Times New Roman" w:hAnsi="Times New Roman"/>
          <w:i/>
          <w:sz w:val="26"/>
          <w:szCs w:val="26"/>
        </w:rPr>
        <w:t>S</w:t>
      </w:r>
      <w:r>
        <w:rPr>
          <w:rFonts w:ascii="Times New Roman" w:hAnsi="Times New Roman"/>
          <w:i/>
          <w:sz w:val="26"/>
          <w:szCs w:val="26"/>
        </w:rPr>
        <w:t xml:space="preserve">ee </w:t>
      </w:r>
      <w:r w:rsidRPr="00451FB0">
        <w:rPr>
          <w:rFonts w:ascii="Times New Roman" w:hAnsi="Times New Roman"/>
          <w:i/>
          <w:sz w:val="26"/>
          <w:szCs w:val="26"/>
        </w:rPr>
        <w:t>Susan</w:t>
      </w:r>
      <w:r>
        <w:rPr>
          <w:rFonts w:ascii="Times New Roman" w:hAnsi="Times New Roman"/>
          <w:sz w:val="26"/>
          <w:szCs w:val="26"/>
        </w:rPr>
        <w:t xml:space="preserve"> </w:t>
      </w:r>
      <w:r w:rsidRPr="0019499B">
        <w:rPr>
          <w:rFonts w:ascii="Times New Roman" w:hAnsi="Times New Roman"/>
          <w:i/>
          <w:iCs/>
          <w:sz w:val="26"/>
          <w:szCs w:val="26"/>
        </w:rPr>
        <w:t>Hewitt v. PECO Energy Co</w:t>
      </w:r>
      <w:r w:rsidRPr="0019499B">
        <w:rPr>
          <w:rFonts w:ascii="Times New Roman" w:hAnsi="Times New Roman"/>
          <w:sz w:val="26"/>
          <w:szCs w:val="26"/>
        </w:rPr>
        <w:t>., Docket No. F-2011-2273271 (Order entered September 12, 2013)</w:t>
      </w:r>
      <w:r>
        <w:rPr>
          <w:rFonts w:ascii="Times New Roman" w:hAnsi="Times New Roman"/>
          <w:sz w:val="26"/>
          <w:szCs w:val="26"/>
        </w:rPr>
        <w:t xml:space="preserve"> (</w:t>
      </w:r>
      <w:r w:rsidRPr="00451FB0">
        <w:rPr>
          <w:rFonts w:ascii="Times New Roman" w:hAnsi="Times New Roman"/>
          <w:i/>
          <w:sz w:val="26"/>
          <w:szCs w:val="26"/>
        </w:rPr>
        <w:t>Hewitt</w:t>
      </w:r>
      <w:r>
        <w:rPr>
          <w:rFonts w:ascii="Times New Roman" w:hAnsi="Times New Roman"/>
          <w:sz w:val="26"/>
          <w:szCs w:val="26"/>
        </w:rPr>
        <w:t xml:space="preserve">) </w:t>
      </w:r>
      <w:r w:rsidRPr="0019499B">
        <w:rPr>
          <w:rFonts w:ascii="Times New Roman" w:hAnsi="Times New Roman"/>
          <w:sz w:val="26"/>
          <w:szCs w:val="26"/>
        </w:rPr>
        <w:t>at 11</w:t>
      </w:r>
      <w:r>
        <w:rPr>
          <w:rFonts w:ascii="Times New Roman" w:hAnsi="Times New Roman"/>
          <w:sz w:val="26"/>
          <w:szCs w:val="26"/>
        </w:rPr>
        <w:t>-12</w:t>
      </w:r>
      <w:r w:rsidRPr="0019499B">
        <w:rPr>
          <w:rFonts w:ascii="Times New Roman" w:hAnsi="Times New Roman"/>
          <w:sz w:val="26"/>
          <w:szCs w:val="26"/>
        </w:rPr>
        <w:t xml:space="preserve">. </w:t>
      </w:r>
      <w:r>
        <w:rPr>
          <w:rFonts w:ascii="Times New Roman" w:hAnsi="Times New Roman"/>
          <w:sz w:val="26"/>
          <w:szCs w:val="26"/>
        </w:rPr>
        <w:t xml:space="preserve"> </w:t>
      </w:r>
    </w:p>
    <w:p w14:paraId="4A086222" w14:textId="77777777" w:rsidR="00592B75" w:rsidRDefault="00592B75" w:rsidP="00217A21">
      <w:pPr>
        <w:spacing w:line="360" w:lineRule="auto"/>
        <w:ind w:firstLine="1440"/>
        <w:rPr>
          <w:rFonts w:ascii="Times New Roman" w:hAnsi="Times New Roman"/>
          <w:sz w:val="26"/>
          <w:szCs w:val="26"/>
        </w:rPr>
      </w:pPr>
    </w:p>
    <w:p w14:paraId="301774A7" w14:textId="5E8CB761" w:rsidR="00217A21" w:rsidRDefault="00592B75" w:rsidP="00217A21">
      <w:pPr>
        <w:spacing w:line="360" w:lineRule="auto"/>
        <w:ind w:firstLine="1440"/>
        <w:rPr>
          <w:rFonts w:ascii="Times New Roman" w:hAnsi="Times New Roman"/>
          <w:sz w:val="26"/>
          <w:szCs w:val="26"/>
        </w:rPr>
      </w:pPr>
      <w:r>
        <w:rPr>
          <w:rFonts w:ascii="Times New Roman" w:hAnsi="Times New Roman"/>
          <w:sz w:val="26"/>
          <w:szCs w:val="26"/>
        </w:rPr>
        <w:t>W</w:t>
      </w:r>
      <w:r w:rsidR="00217A21">
        <w:rPr>
          <w:rFonts w:ascii="Times New Roman" w:hAnsi="Times New Roman"/>
          <w:sz w:val="26"/>
          <w:szCs w:val="26"/>
        </w:rPr>
        <w:t xml:space="preserve">e exercise </w:t>
      </w:r>
      <w:r>
        <w:rPr>
          <w:rFonts w:ascii="Times New Roman" w:hAnsi="Times New Roman"/>
          <w:sz w:val="26"/>
          <w:szCs w:val="26"/>
        </w:rPr>
        <w:t>our</w:t>
      </w:r>
      <w:r w:rsidR="00217A21" w:rsidRPr="0011525B">
        <w:rPr>
          <w:rFonts w:ascii="Times New Roman" w:hAnsi="Times New Roman"/>
          <w:sz w:val="26"/>
          <w:szCs w:val="26"/>
        </w:rPr>
        <w:t xml:space="preserve"> </w:t>
      </w:r>
      <w:r w:rsidR="00217A21">
        <w:rPr>
          <w:rFonts w:ascii="Times New Roman" w:hAnsi="Times New Roman"/>
          <w:sz w:val="26"/>
          <w:szCs w:val="26"/>
        </w:rPr>
        <w:t>discretion</w:t>
      </w:r>
      <w:r w:rsidR="00217A21" w:rsidRPr="0011525B">
        <w:rPr>
          <w:rFonts w:ascii="Times New Roman" w:hAnsi="Times New Roman"/>
          <w:sz w:val="26"/>
          <w:szCs w:val="26"/>
        </w:rPr>
        <w:t xml:space="preserve"> </w:t>
      </w:r>
      <w:r w:rsidR="00217A21" w:rsidRPr="00D42BF6">
        <w:rPr>
          <w:rFonts w:ascii="Times New Roman" w:hAnsi="Times New Roman"/>
          <w:sz w:val="26"/>
          <w:szCs w:val="26"/>
        </w:rPr>
        <w:t>judiciously</w:t>
      </w:r>
      <w:r w:rsidRPr="00592B75">
        <w:rPr>
          <w:rFonts w:ascii="Times New Roman" w:hAnsi="Times New Roman"/>
          <w:sz w:val="26"/>
          <w:szCs w:val="26"/>
        </w:rPr>
        <w:t xml:space="preserve"> </w:t>
      </w:r>
      <w:r>
        <w:rPr>
          <w:rFonts w:ascii="Times New Roman" w:hAnsi="Times New Roman"/>
          <w:sz w:val="26"/>
          <w:szCs w:val="26"/>
        </w:rPr>
        <w:t>in issuing payment arrangements for utility customers, with</w:t>
      </w:r>
      <w:r w:rsidR="00217A21">
        <w:rPr>
          <w:rFonts w:ascii="Times New Roman" w:hAnsi="Times New Roman"/>
          <w:sz w:val="26"/>
          <w:szCs w:val="26"/>
        </w:rPr>
        <w:t xml:space="preserve"> </w:t>
      </w:r>
      <w:r w:rsidR="00682DFD">
        <w:rPr>
          <w:rFonts w:ascii="Times New Roman" w:hAnsi="Times New Roman"/>
          <w:sz w:val="26"/>
          <w:szCs w:val="26"/>
        </w:rPr>
        <w:t xml:space="preserve">a </w:t>
      </w:r>
      <w:r w:rsidR="00217A21">
        <w:rPr>
          <w:rFonts w:ascii="Times New Roman" w:hAnsi="Times New Roman"/>
          <w:sz w:val="26"/>
          <w:szCs w:val="26"/>
        </w:rPr>
        <w:t>concern for the rate burden</w:t>
      </w:r>
      <w:r w:rsidR="00217A21" w:rsidRPr="0011525B">
        <w:rPr>
          <w:rFonts w:ascii="Times New Roman" w:hAnsi="Times New Roman"/>
          <w:sz w:val="26"/>
          <w:szCs w:val="26"/>
        </w:rPr>
        <w:t xml:space="preserve"> </w:t>
      </w:r>
      <w:r w:rsidR="00217A21">
        <w:rPr>
          <w:rFonts w:ascii="Times New Roman" w:hAnsi="Times New Roman"/>
          <w:sz w:val="26"/>
          <w:szCs w:val="26"/>
        </w:rPr>
        <w:t>to be borne by other customers due to a utility’s uncollectible expense resulting from unpaid customer arrearages</w:t>
      </w:r>
      <w:r>
        <w:rPr>
          <w:rFonts w:ascii="Times New Roman" w:hAnsi="Times New Roman"/>
          <w:sz w:val="26"/>
          <w:szCs w:val="26"/>
        </w:rPr>
        <w:t>.</w:t>
      </w:r>
      <w:r w:rsidR="00217A21">
        <w:rPr>
          <w:rFonts w:ascii="Times New Roman" w:hAnsi="Times New Roman"/>
          <w:sz w:val="26"/>
          <w:szCs w:val="26"/>
        </w:rPr>
        <w:t xml:space="preserve"> </w:t>
      </w:r>
      <w:r>
        <w:rPr>
          <w:rFonts w:ascii="Times New Roman" w:hAnsi="Times New Roman"/>
          <w:sz w:val="26"/>
          <w:szCs w:val="26"/>
        </w:rPr>
        <w:t xml:space="preserve"> </w:t>
      </w:r>
      <w:r w:rsidR="00217A21" w:rsidRPr="00D42BF6">
        <w:rPr>
          <w:rFonts w:ascii="Times New Roman" w:hAnsi="Times New Roman"/>
          <w:i/>
          <w:sz w:val="26"/>
          <w:szCs w:val="26"/>
        </w:rPr>
        <w:t>See Alfredo Caraballo v. PPL Electric Utilities Corporation</w:t>
      </w:r>
      <w:r w:rsidR="00217A21" w:rsidRPr="00D42BF6">
        <w:rPr>
          <w:rFonts w:ascii="Times New Roman" w:hAnsi="Times New Roman"/>
          <w:sz w:val="26"/>
          <w:szCs w:val="26"/>
        </w:rPr>
        <w:t>, Docket No. C-2017-2615246 (Order entered April 5, 2018)</w:t>
      </w:r>
      <w:r w:rsidR="00217A21">
        <w:rPr>
          <w:rFonts w:ascii="Times New Roman" w:hAnsi="Times New Roman"/>
          <w:sz w:val="26"/>
          <w:szCs w:val="26"/>
        </w:rPr>
        <w:t xml:space="preserve"> (</w:t>
      </w:r>
      <w:r w:rsidR="00217A21" w:rsidRPr="00037E5C">
        <w:rPr>
          <w:rFonts w:ascii="Times New Roman" w:hAnsi="Times New Roman"/>
          <w:i/>
          <w:sz w:val="26"/>
          <w:szCs w:val="26"/>
        </w:rPr>
        <w:t>Caraballo</w:t>
      </w:r>
      <w:r w:rsidR="00217A21">
        <w:rPr>
          <w:rFonts w:ascii="Times New Roman" w:hAnsi="Times New Roman"/>
          <w:sz w:val="26"/>
          <w:szCs w:val="26"/>
        </w:rPr>
        <w:t>) at 16</w:t>
      </w:r>
      <w:r w:rsidR="00217A21" w:rsidRPr="00D42BF6">
        <w:rPr>
          <w:rFonts w:ascii="Times New Roman" w:hAnsi="Times New Roman"/>
          <w:sz w:val="26"/>
          <w:szCs w:val="26"/>
        </w:rPr>
        <w:t xml:space="preserve">.  </w:t>
      </w:r>
      <w:r w:rsidR="00217A21">
        <w:rPr>
          <w:rFonts w:ascii="Times New Roman" w:hAnsi="Times New Roman"/>
          <w:sz w:val="26"/>
          <w:szCs w:val="26"/>
        </w:rPr>
        <w:t xml:space="preserve">In exercising our discretion to issue a payment arrangement, we typically examine </w:t>
      </w:r>
      <w:r w:rsidR="00217A21" w:rsidRPr="00D42BF6">
        <w:rPr>
          <w:rFonts w:ascii="Times New Roman" w:hAnsi="Times New Roman"/>
          <w:sz w:val="26"/>
          <w:szCs w:val="26"/>
        </w:rPr>
        <w:t xml:space="preserve">the customer’s </w:t>
      </w:r>
      <w:r w:rsidR="00217A21">
        <w:rPr>
          <w:rFonts w:ascii="Times New Roman" w:hAnsi="Times New Roman"/>
          <w:sz w:val="26"/>
          <w:szCs w:val="26"/>
        </w:rPr>
        <w:t xml:space="preserve">demonstrated </w:t>
      </w:r>
      <w:r w:rsidR="00217A21" w:rsidRPr="00D42BF6">
        <w:rPr>
          <w:rFonts w:ascii="Times New Roman" w:hAnsi="Times New Roman"/>
          <w:sz w:val="26"/>
          <w:szCs w:val="26"/>
        </w:rPr>
        <w:t>payment history</w:t>
      </w:r>
      <w:r w:rsidR="00217A21">
        <w:rPr>
          <w:rFonts w:ascii="Times New Roman" w:hAnsi="Times New Roman"/>
          <w:sz w:val="26"/>
          <w:szCs w:val="26"/>
        </w:rPr>
        <w:t>, or lack thereof,</w:t>
      </w:r>
      <w:r w:rsidR="00217A21" w:rsidRPr="00D42BF6">
        <w:rPr>
          <w:rFonts w:ascii="Times New Roman" w:hAnsi="Times New Roman"/>
          <w:sz w:val="26"/>
          <w:szCs w:val="26"/>
        </w:rPr>
        <w:t xml:space="preserve"> and compliance history with </w:t>
      </w:r>
      <w:r w:rsidR="00217A21">
        <w:rPr>
          <w:rFonts w:ascii="Times New Roman" w:hAnsi="Times New Roman"/>
          <w:sz w:val="26"/>
          <w:szCs w:val="26"/>
        </w:rPr>
        <w:t>any</w:t>
      </w:r>
      <w:r>
        <w:rPr>
          <w:rFonts w:ascii="Times New Roman" w:hAnsi="Times New Roman"/>
          <w:sz w:val="26"/>
          <w:szCs w:val="26"/>
        </w:rPr>
        <w:t xml:space="preserve"> previous uti</w:t>
      </w:r>
      <w:r w:rsidR="00217A21">
        <w:rPr>
          <w:rFonts w:ascii="Times New Roman" w:hAnsi="Times New Roman"/>
          <w:sz w:val="26"/>
          <w:szCs w:val="26"/>
        </w:rPr>
        <w:t xml:space="preserve">lity-issued payment arrangements.  </w:t>
      </w:r>
      <w:r w:rsidR="00217A21" w:rsidRPr="00645C30">
        <w:rPr>
          <w:rFonts w:ascii="Times New Roman" w:hAnsi="Times New Roman"/>
          <w:i/>
          <w:sz w:val="26"/>
          <w:szCs w:val="26"/>
        </w:rPr>
        <w:t>Caraballo</w:t>
      </w:r>
      <w:r w:rsidR="00217A21">
        <w:rPr>
          <w:rFonts w:ascii="Times New Roman" w:hAnsi="Times New Roman"/>
          <w:sz w:val="26"/>
          <w:szCs w:val="26"/>
        </w:rPr>
        <w:t xml:space="preserve"> at 16 (citing </w:t>
      </w:r>
      <w:r w:rsidR="00217A21" w:rsidRPr="00645C30">
        <w:rPr>
          <w:rFonts w:ascii="Times New Roman" w:hAnsi="Times New Roman"/>
          <w:i/>
          <w:sz w:val="26"/>
          <w:szCs w:val="26"/>
        </w:rPr>
        <w:t>Hewitt</w:t>
      </w:r>
      <w:r w:rsidR="00217A21">
        <w:rPr>
          <w:rFonts w:ascii="Times New Roman" w:hAnsi="Times New Roman"/>
          <w:sz w:val="26"/>
          <w:szCs w:val="26"/>
        </w:rPr>
        <w:t>).</w:t>
      </w:r>
      <w:r w:rsidR="00217A21" w:rsidRPr="00451FB0">
        <w:rPr>
          <w:rFonts w:ascii="Times New Roman" w:hAnsi="Times New Roman"/>
          <w:sz w:val="26"/>
          <w:szCs w:val="26"/>
        </w:rPr>
        <w:t xml:space="preserve"> </w:t>
      </w:r>
    </w:p>
    <w:p w14:paraId="6779E490" w14:textId="17D4E6F9" w:rsidR="00217A21" w:rsidRDefault="00217A21" w:rsidP="003D6461">
      <w:pPr>
        <w:spacing w:line="360" w:lineRule="auto"/>
        <w:rPr>
          <w:rFonts w:ascii="Times New Roman" w:hAnsi="Times New Roman"/>
          <w:sz w:val="26"/>
          <w:szCs w:val="26"/>
        </w:rPr>
      </w:pPr>
    </w:p>
    <w:p w14:paraId="4A424CCB" w14:textId="230EF580" w:rsidR="00217A21" w:rsidRDefault="00217A21" w:rsidP="00217A21">
      <w:pPr>
        <w:spacing w:line="360" w:lineRule="auto"/>
        <w:ind w:firstLine="1440"/>
        <w:rPr>
          <w:rFonts w:ascii="Times New Roman" w:hAnsi="Times New Roman"/>
          <w:sz w:val="26"/>
          <w:szCs w:val="26"/>
        </w:rPr>
      </w:pPr>
      <w:r>
        <w:rPr>
          <w:rFonts w:ascii="Times New Roman" w:hAnsi="Times New Roman"/>
          <w:sz w:val="26"/>
          <w:szCs w:val="26"/>
        </w:rPr>
        <w:t>For any customer who defaults on a Commission-issued payment arrangement, the customer may receive relief from the Commission</w:t>
      </w:r>
      <w:r w:rsidR="00321F4B">
        <w:rPr>
          <w:rFonts w:ascii="Times New Roman" w:hAnsi="Times New Roman"/>
          <w:sz w:val="26"/>
          <w:szCs w:val="26"/>
        </w:rPr>
        <w:t xml:space="preserve"> only</w:t>
      </w:r>
      <w:r>
        <w:rPr>
          <w:rFonts w:ascii="Times New Roman" w:hAnsi="Times New Roman"/>
          <w:sz w:val="26"/>
          <w:szCs w:val="26"/>
        </w:rPr>
        <w:t xml:space="preserve"> if the customer demonstrates a “change in income” or a “significant change in circumstance.” </w:t>
      </w:r>
      <w:r w:rsidRPr="00F37B7D">
        <w:rPr>
          <w:rFonts w:ascii="Times New Roman" w:hAnsi="Times New Roman"/>
          <w:sz w:val="26"/>
          <w:szCs w:val="26"/>
        </w:rPr>
        <w:t xml:space="preserve"> </w:t>
      </w:r>
      <w:r>
        <w:rPr>
          <w:rFonts w:ascii="Times New Roman" w:hAnsi="Times New Roman"/>
          <w:sz w:val="26"/>
          <w:szCs w:val="26"/>
        </w:rPr>
        <w:t>66 Pa. C.S. § 1405(d), (e).</w:t>
      </w:r>
    </w:p>
    <w:p w14:paraId="6C88D179" w14:textId="77777777" w:rsidR="00217A21" w:rsidRDefault="00217A21" w:rsidP="00217A21">
      <w:pPr>
        <w:spacing w:line="360" w:lineRule="auto"/>
        <w:ind w:firstLine="1440"/>
        <w:rPr>
          <w:rFonts w:ascii="Times New Roman" w:hAnsi="Times New Roman"/>
          <w:sz w:val="26"/>
          <w:szCs w:val="26"/>
        </w:rPr>
      </w:pPr>
    </w:p>
    <w:p w14:paraId="57D904F8" w14:textId="4FF4C2C2" w:rsidR="00217A21" w:rsidRDefault="00217A21" w:rsidP="00217A21">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 A “change of income” is defined at 66 Pa. C.S. § 1403 as follows:</w:t>
      </w:r>
    </w:p>
    <w:p w14:paraId="3BA07B3B" w14:textId="77777777" w:rsidR="00217A21" w:rsidRDefault="00217A21" w:rsidP="00217A21">
      <w:pPr>
        <w:ind w:firstLine="1440"/>
        <w:rPr>
          <w:rFonts w:ascii="Times New Roman" w:hAnsi="Times New Roman"/>
          <w:sz w:val="26"/>
          <w:szCs w:val="26"/>
        </w:rPr>
      </w:pPr>
    </w:p>
    <w:p w14:paraId="16A457CF" w14:textId="77777777" w:rsidR="00217A21" w:rsidRDefault="00217A21" w:rsidP="00217A21">
      <w:pPr>
        <w:ind w:left="1440" w:right="1440"/>
        <w:rPr>
          <w:rFonts w:ascii="Times New Roman" w:hAnsi="Times New Roman"/>
          <w:color w:val="212121"/>
          <w:sz w:val="26"/>
          <w:szCs w:val="26"/>
        </w:rPr>
      </w:pPr>
      <w:r w:rsidRPr="00FD279E">
        <w:rPr>
          <w:rFonts w:ascii="Times New Roman" w:hAnsi="Times New Roman"/>
          <w:color w:val="212121"/>
          <w:sz w:val="26"/>
          <w:szCs w:val="26"/>
        </w:rPr>
        <w:t>A decrease in household income of 20% or more if the customer's household income level exceeds 200% of the Federal poverty level or a decrease in household income of 10% or more if the customer's household income level is 200% or less of the Federal poverty level.</w:t>
      </w:r>
    </w:p>
    <w:p w14:paraId="39C95DB7" w14:textId="77777777" w:rsidR="00217A21" w:rsidRDefault="00217A21" w:rsidP="00217A21">
      <w:pPr>
        <w:ind w:right="1440"/>
        <w:rPr>
          <w:rFonts w:ascii="Times New Roman" w:hAnsi="Times New Roman"/>
          <w:b/>
          <w:bCs/>
          <w:color w:val="212121"/>
          <w:sz w:val="26"/>
          <w:szCs w:val="26"/>
        </w:rPr>
      </w:pPr>
    </w:p>
    <w:p w14:paraId="7D1D1430" w14:textId="77777777" w:rsidR="00217A21" w:rsidRPr="00FD279E" w:rsidRDefault="00217A21" w:rsidP="00217A21">
      <w:pPr>
        <w:spacing w:line="360" w:lineRule="auto"/>
        <w:rPr>
          <w:rFonts w:ascii="Times New Roman" w:hAnsi="Times New Roman"/>
        </w:rPr>
      </w:pPr>
    </w:p>
    <w:p w14:paraId="5F9C660E" w14:textId="77777777" w:rsidR="00217A21" w:rsidRPr="00FA24F7" w:rsidRDefault="00217A21" w:rsidP="00217A21">
      <w:pPr>
        <w:spacing w:line="360" w:lineRule="auto"/>
        <w:ind w:firstLine="1440"/>
        <w:rPr>
          <w:rFonts w:ascii="Times New Roman" w:hAnsi="Times New Roman"/>
          <w:sz w:val="26"/>
          <w:szCs w:val="26"/>
        </w:rPr>
      </w:pPr>
      <w:r>
        <w:rPr>
          <w:rFonts w:ascii="Times New Roman" w:hAnsi="Times New Roman"/>
          <w:sz w:val="26"/>
          <w:szCs w:val="26"/>
        </w:rPr>
        <w:t xml:space="preserve">A “significant change in circumstance” is </w:t>
      </w:r>
      <w:r w:rsidRPr="00FA24F7">
        <w:rPr>
          <w:rFonts w:ascii="Times New Roman" w:hAnsi="Times New Roman"/>
          <w:sz w:val="26"/>
          <w:szCs w:val="26"/>
        </w:rPr>
        <w:t xml:space="preserve">defined </w:t>
      </w:r>
      <w:r>
        <w:rPr>
          <w:rFonts w:ascii="Times New Roman" w:hAnsi="Times New Roman"/>
          <w:sz w:val="26"/>
          <w:szCs w:val="26"/>
        </w:rPr>
        <w:t xml:space="preserve">at 66 Pa. C.S. § 1403 </w:t>
      </w:r>
      <w:r w:rsidRPr="00FA24F7">
        <w:rPr>
          <w:rFonts w:ascii="Times New Roman" w:hAnsi="Times New Roman"/>
          <w:sz w:val="26"/>
          <w:szCs w:val="26"/>
        </w:rPr>
        <w:t xml:space="preserve">as follows: </w:t>
      </w:r>
    </w:p>
    <w:p w14:paraId="0E04013A" w14:textId="77777777" w:rsidR="00217A21" w:rsidRDefault="00217A21" w:rsidP="00217A21">
      <w:pPr>
        <w:ind w:left="1440" w:right="1440"/>
        <w:rPr>
          <w:rFonts w:ascii="Times New Roman" w:hAnsi="Times New Roman"/>
          <w:sz w:val="26"/>
          <w:szCs w:val="26"/>
        </w:rPr>
      </w:pPr>
    </w:p>
    <w:p w14:paraId="4AAFD540" w14:textId="77777777" w:rsidR="00217A21" w:rsidRPr="00FD279E" w:rsidRDefault="00217A21" w:rsidP="00217A21">
      <w:pPr>
        <w:ind w:left="1440" w:right="1440"/>
        <w:rPr>
          <w:rFonts w:ascii="Times New Roman" w:hAnsi="Times New Roman"/>
          <w:sz w:val="26"/>
          <w:szCs w:val="26"/>
        </w:rPr>
      </w:pPr>
      <w:r w:rsidRPr="00FA24F7">
        <w:rPr>
          <w:rFonts w:ascii="Times New Roman" w:hAnsi="Times New Roman"/>
          <w:sz w:val="26"/>
          <w:szCs w:val="26"/>
        </w:rPr>
        <w:t xml:space="preserve">Any of the following criteria when verified by the public </w:t>
      </w:r>
      <w:r w:rsidRPr="00FD279E">
        <w:rPr>
          <w:rFonts w:ascii="Times New Roman" w:hAnsi="Times New Roman"/>
          <w:sz w:val="26"/>
          <w:szCs w:val="26"/>
        </w:rPr>
        <w:t xml:space="preserve">utility and experienced by customers with household income less than 300% of the Federal poverty level: </w:t>
      </w:r>
    </w:p>
    <w:p w14:paraId="5694E784" w14:textId="77777777" w:rsidR="00217A21" w:rsidRPr="00217A21" w:rsidRDefault="00217A21" w:rsidP="00217A21">
      <w:pPr>
        <w:ind w:left="1440" w:right="1440"/>
        <w:rPr>
          <w:rFonts w:ascii="Times New Roman" w:hAnsi="Times New Roman"/>
          <w:sz w:val="26"/>
          <w:szCs w:val="26"/>
        </w:rPr>
      </w:pPr>
    </w:p>
    <w:p w14:paraId="2982A90B" w14:textId="77777777" w:rsidR="00217A21" w:rsidRPr="00217A21" w:rsidRDefault="00217A21" w:rsidP="00217A21">
      <w:pPr>
        <w:pStyle w:val="ListParagraph"/>
        <w:widowControl w:val="0"/>
        <w:numPr>
          <w:ilvl w:val="0"/>
          <w:numId w:val="33"/>
        </w:numPr>
        <w:ind w:right="1440"/>
        <w:rPr>
          <w:rFonts w:ascii="Times New Roman" w:hAnsi="Times New Roman"/>
          <w:sz w:val="26"/>
          <w:szCs w:val="26"/>
        </w:rPr>
      </w:pPr>
      <w:r w:rsidRPr="00217A21">
        <w:rPr>
          <w:rFonts w:ascii="Times New Roman" w:hAnsi="Times New Roman"/>
          <w:sz w:val="26"/>
          <w:szCs w:val="26"/>
        </w:rPr>
        <w:t>The onset of a chronic or acute illness resulting in a significant loss in the customer’s household income.</w:t>
      </w:r>
    </w:p>
    <w:p w14:paraId="149BC8AA" w14:textId="77777777" w:rsidR="00217A21" w:rsidRPr="00217A21" w:rsidRDefault="00217A21" w:rsidP="00217A21">
      <w:pPr>
        <w:pStyle w:val="ListParagraph"/>
        <w:ind w:left="1800" w:right="1440"/>
        <w:rPr>
          <w:rFonts w:ascii="Times New Roman" w:hAnsi="Times New Roman"/>
          <w:sz w:val="26"/>
          <w:szCs w:val="26"/>
        </w:rPr>
      </w:pPr>
    </w:p>
    <w:p w14:paraId="376DE80B" w14:textId="77777777" w:rsidR="00217A21" w:rsidRPr="00217A21" w:rsidRDefault="00217A21" w:rsidP="00217A21">
      <w:pPr>
        <w:pStyle w:val="ListParagraph"/>
        <w:widowControl w:val="0"/>
        <w:numPr>
          <w:ilvl w:val="0"/>
          <w:numId w:val="33"/>
        </w:numPr>
        <w:ind w:right="1440"/>
        <w:rPr>
          <w:rFonts w:ascii="Times New Roman" w:hAnsi="Times New Roman"/>
          <w:sz w:val="26"/>
          <w:szCs w:val="26"/>
        </w:rPr>
      </w:pPr>
      <w:r w:rsidRPr="00217A21">
        <w:rPr>
          <w:rFonts w:ascii="Times New Roman" w:hAnsi="Times New Roman"/>
          <w:sz w:val="26"/>
          <w:szCs w:val="26"/>
        </w:rPr>
        <w:t xml:space="preserve">Catastrophic damage to the customer’s residence resulting in a significant net cost to the customer’s household. </w:t>
      </w:r>
    </w:p>
    <w:p w14:paraId="0E6BB003" w14:textId="77777777" w:rsidR="00217A21" w:rsidRPr="00217A21" w:rsidRDefault="00217A21" w:rsidP="00217A21">
      <w:pPr>
        <w:ind w:left="1800" w:right="1440"/>
        <w:rPr>
          <w:rFonts w:ascii="Times New Roman" w:hAnsi="Times New Roman"/>
          <w:sz w:val="26"/>
          <w:szCs w:val="26"/>
        </w:rPr>
      </w:pPr>
    </w:p>
    <w:p w14:paraId="544C178A" w14:textId="77777777" w:rsidR="00217A21" w:rsidRPr="00217A21" w:rsidRDefault="00217A21" w:rsidP="00217A21">
      <w:pPr>
        <w:pStyle w:val="ListParagraph"/>
        <w:widowControl w:val="0"/>
        <w:numPr>
          <w:ilvl w:val="0"/>
          <w:numId w:val="33"/>
        </w:numPr>
        <w:ind w:right="1440"/>
        <w:rPr>
          <w:rFonts w:ascii="Times New Roman" w:hAnsi="Times New Roman"/>
          <w:sz w:val="26"/>
          <w:szCs w:val="26"/>
        </w:rPr>
      </w:pPr>
      <w:r w:rsidRPr="00217A21">
        <w:rPr>
          <w:rFonts w:ascii="Times New Roman" w:hAnsi="Times New Roman"/>
          <w:sz w:val="26"/>
          <w:szCs w:val="26"/>
        </w:rPr>
        <w:t xml:space="preserve">Loss of customer’s residence. </w:t>
      </w:r>
    </w:p>
    <w:p w14:paraId="062FE8AC" w14:textId="77777777" w:rsidR="00217A21" w:rsidRPr="00217A21" w:rsidRDefault="00217A21" w:rsidP="00217A21">
      <w:pPr>
        <w:ind w:left="1800" w:right="1440"/>
        <w:rPr>
          <w:rFonts w:ascii="Times New Roman" w:hAnsi="Times New Roman"/>
          <w:sz w:val="26"/>
          <w:szCs w:val="26"/>
        </w:rPr>
      </w:pPr>
    </w:p>
    <w:p w14:paraId="76FDB24C" w14:textId="77777777" w:rsidR="00217A21" w:rsidRPr="00217A21" w:rsidRDefault="00217A21" w:rsidP="00217A21">
      <w:pPr>
        <w:pStyle w:val="ListParagraph"/>
        <w:widowControl w:val="0"/>
        <w:numPr>
          <w:ilvl w:val="0"/>
          <w:numId w:val="33"/>
        </w:numPr>
        <w:ind w:right="1440"/>
        <w:rPr>
          <w:rFonts w:ascii="Times New Roman" w:hAnsi="Times New Roman"/>
          <w:sz w:val="26"/>
          <w:szCs w:val="26"/>
        </w:rPr>
      </w:pPr>
      <w:r w:rsidRPr="00217A21">
        <w:rPr>
          <w:rFonts w:ascii="Times New Roman" w:hAnsi="Times New Roman"/>
          <w:sz w:val="26"/>
          <w:szCs w:val="26"/>
        </w:rPr>
        <w:t xml:space="preserve">Increase in the customer’s number of dependents in the household. </w:t>
      </w:r>
    </w:p>
    <w:p w14:paraId="7DAE0711" w14:textId="77777777" w:rsidR="00217A21" w:rsidRPr="00FD279E" w:rsidRDefault="00217A21" w:rsidP="00217A21">
      <w:pPr>
        <w:spacing w:line="360" w:lineRule="auto"/>
        <w:rPr>
          <w:rFonts w:ascii="Times New Roman" w:hAnsi="Times New Roman"/>
          <w:sz w:val="26"/>
          <w:szCs w:val="26"/>
        </w:rPr>
      </w:pPr>
    </w:p>
    <w:p w14:paraId="185201F4" w14:textId="5B2B8920" w:rsidR="00217A21" w:rsidRDefault="00217A21" w:rsidP="00217A21">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If the payment-defaulted customer establishes that he/she experienced a “change in income” since the time of the previously Commission-ordered payment arrangement, the Commission is authorized to exercise its discretion and grant a second or subsequent payment arrangement to the customer. </w:t>
      </w:r>
      <w:r w:rsidRPr="00FA24F7">
        <w:rPr>
          <w:rFonts w:ascii="Times New Roman" w:hAnsi="Times New Roman"/>
          <w:sz w:val="26"/>
          <w:szCs w:val="26"/>
        </w:rPr>
        <w:t>66 Pa.</w:t>
      </w:r>
      <w:r>
        <w:rPr>
          <w:rFonts w:ascii="Times New Roman" w:hAnsi="Times New Roman"/>
          <w:sz w:val="26"/>
          <w:szCs w:val="26"/>
        </w:rPr>
        <w:t xml:space="preserve"> C.S. § 1405(d</w:t>
      </w:r>
      <w:r w:rsidRPr="00FA24F7">
        <w:rPr>
          <w:rFonts w:ascii="Times New Roman" w:hAnsi="Times New Roman"/>
          <w:sz w:val="26"/>
          <w:szCs w:val="26"/>
        </w:rPr>
        <w:t>).</w:t>
      </w:r>
    </w:p>
    <w:p w14:paraId="1D219AFA" w14:textId="77777777" w:rsidR="00217A21" w:rsidRDefault="00217A21" w:rsidP="00217A21">
      <w:pPr>
        <w:autoSpaceDE w:val="0"/>
        <w:autoSpaceDN w:val="0"/>
        <w:adjustRightInd w:val="0"/>
        <w:spacing w:line="360" w:lineRule="auto"/>
        <w:ind w:firstLine="1440"/>
        <w:rPr>
          <w:rFonts w:ascii="Times New Roman" w:hAnsi="Times New Roman"/>
          <w:sz w:val="26"/>
          <w:szCs w:val="26"/>
        </w:rPr>
      </w:pPr>
    </w:p>
    <w:p w14:paraId="2D43182D" w14:textId="02FC7F01" w:rsidR="00217A21" w:rsidRDefault="00217A21" w:rsidP="00217A21">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If the payment-defaulted customer establishes that such payment default was a result of a “significant change in circumstance,” the Commission is authorized to reinstate, and extend the remaining term for a period of six months, the previously Commission-ordered payment arrangement.  </w:t>
      </w:r>
      <w:r w:rsidRPr="00FA24F7">
        <w:rPr>
          <w:rFonts w:ascii="Times New Roman" w:hAnsi="Times New Roman"/>
          <w:sz w:val="26"/>
          <w:szCs w:val="26"/>
        </w:rPr>
        <w:t>66 Pa.</w:t>
      </w:r>
      <w:r>
        <w:rPr>
          <w:rFonts w:ascii="Times New Roman" w:hAnsi="Times New Roman"/>
          <w:sz w:val="26"/>
          <w:szCs w:val="26"/>
        </w:rPr>
        <w:t xml:space="preserve"> </w:t>
      </w:r>
      <w:r w:rsidRPr="00FA24F7">
        <w:rPr>
          <w:rFonts w:ascii="Times New Roman" w:hAnsi="Times New Roman"/>
          <w:sz w:val="26"/>
          <w:szCs w:val="26"/>
        </w:rPr>
        <w:t>C.S. § 1405(e).</w:t>
      </w:r>
    </w:p>
    <w:p w14:paraId="02034866" w14:textId="77777777" w:rsidR="00217A21" w:rsidRDefault="00217A21" w:rsidP="00217A21">
      <w:pPr>
        <w:autoSpaceDE w:val="0"/>
        <w:autoSpaceDN w:val="0"/>
        <w:adjustRightInd w:val="0"/>
        <w:spacing w:line="360" w:lineRule="auto"/>
        <w:ind w:firstLine="1440"/>
        <w:rPr>
          <w:rFonts w:ascii="Times New Roman" w:hAnsi="Times New Roman"/>
          <w:sz w:val="26"/>
          <w:szCs w:val="26"/>
        </w:rPr>
      </w:pPr>
    </w:p>
    <w:p w14:paraId="52FD208F" w14:textId="77777777" w:rsidR="00217A21" w:rsidRDefault="00217A21" w:rsidP="00217A21">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In all cases, however, the Commission will examine all relevant circumstances related to the payment-defaulted customer, to ensure that the granting of the appropriate relief is a prudent exercise of our discretion.</w:t>
      </w:r>
      <w:r w:rsidRPr="00B6653F">
        <w:rPr>
          <w:rFonts w:ascii="Times New Roman" w:hAnsi="Times New Roman"/>
          <w:sz w:val="26"/>
          <w:szCs w:val="26"/>
        </w:rPr>
        <w:t xml:space="preserve"> </w:t>
      </w:r>
      <w:r>
        <w:rPr>
          <w:rFonts w:ascii="Times New Roman" w:hAnsi="Times New Roman"/>
          <w:sz w:val="26"/>
          <w:szCs w:val="26"/>
        </w:rPr>
        <w:t xml:space="preserve"> Specifically, in exercising our discretion to issue a payment arrangement, we typically will examine </w:t>
      </w:r>
      <w:r w:rsidRPr="00D42BF6">
        <w:rPr>
          <w:rFonts w:ascii="Times New Roman" w:hAnsi="Times New Roman"/>
          <w:sz w:val="26"/>
          <w:szCs w:val="26"/>
        </w:rPr>
        <w:t xml:space="preserve">the customer’s </w:t>
      </w:r>
      <w:r>
        <w:rPr>
          <w:rFonts w:ascii="Times New Roman" w:hAnsi="Times New Roman"/>
          <w:sz w:val="26"/>
          <w:szCs w:val="26"/>
        </w:rPr>
        <w:t xml:space="preserve">demonstrated </w:t>
      </w:r>
      <w:r w:rsidRPr="00D42BF6">
        <w:rPr>
          <w:rFonts w:ascii="Times New Roman" w:hAnsi="Times New Roman"/>
          <w:sz w:val="26"/>
          <w:szCs w:val="26"/>
        </w:rPr>
        <w:t>payment history</w:t>
      </w:r>
      <w:r>
        <w:rPr>
          <w:rFonts w:ascii="Times New Roman" w:hAnsi="Times New Roman"/>
          <w:sz w:val="26"/>
          <w:szCs w:val="26"/>
        </w:rPr>
        <w:t>, or lack thereof,</w:t>
      </w:r>
      <w:r w:rsidRPr="00D42BF6">
        <w:rPr>
          <w:rFonts w:ascii="Times New Roman" w:hAnsi="Times New Roman"/>
          <w:sz w:val="26"/>
          <w:szCs w:val="26"/>
        </w:rPr>
        <w:t xml:space="preserve"> and compliance history with</w:t>
      </w:r>
      <w:r>
        <w:rPr>
          <w:rFonts w:ascii="Times New Roman" w:hAnsi="Times New Roman"/>
          <w:sz w:val="26"/>
          <w:szCs w:val="26"/>
        </w:rPr>
        <w:t xml:space="preserve"> any</w:t>
      </w:r>
      <w:r w:rsidRPr="00D42BF6">
        <w:rPr>
          <w:rFonts w:ascii="Times New Roman" w:hAnsi="Times New Roman"/>
          <w:sz w:val="26"/>
          <w:szCs w:val="26"/>
        </w:rPr>
        <w:t xml:space="preserve"> </w:t>
      </w:r>
      <w:r>
        <w:rPr>
          <w:rFonts w:ascii="Times New Roman" w:hAnsi="Times New Roman"/>
          <w:sz w:val="26"/>
          <w:szCs w:val="26"/>
        </w:rPr>
        <w:t xml:space="preserve">utility-issued payment arrangements.  </w:t>
      </w:r>
      <w:r w:rsidRPr="00645C30">
        <w:rPr>
          <w:rFonts w:ascii="Times New Roman" w:hAnsi="Times New Roman"/>
          <w:i/>
          <w:sz w:val="26"/>
          <w:szCs w:val="26"/>
        </w:rPr>
        <w:t>Caraballo</w:t>
      </w:r>
      <w:r>
        <w:rPr>
          <w:rFonts w:ascii="Times New Roman" w:hAnsi="Times New Roman"/>
          <w:sz w:val="26"/>
          <w:szCs w:val="26"/>
        </w:rPr>
        <w:t xml:space="preserve"> at 16 (citing </w:t>
      </w:r>
      <w:r w:rsidRPr="00645C30">
        <w:rPr>
          <w:rFonts w:ascii="Times New Roman" w:hAnsi="Times New Roman"/>
          <w:i/>
          <w:sz w:val="26"/>
          <w:szCs w:val="26"/>
        </w:rPr>
        <w:t>Hewitt</w:t>
      </w:r>
      <w:r>
        <w:rPr>
          <w:rFonts w:ascii="Times New Roman" w:hAnsi="Times New Roman"/>
          <w:sz w:val="26"/>
          <w:szCs w:val="26"/>
        </w:rPr>
        <w:t>).</w:t>
      </w:r>
    </w:p>
    <w:p w14:paraId="53D6EDEF" w14:textId="77777777" w:rsidR="00217A21" w:rsidRDefault="00217A21" w:rsidP="00217A21">
      <w:pPr>
        <w:spacing w:line="360" w:lineRule="auto"/>
        <w:rPr>
          <w:rFonts w:ascii="Times New Roman" w:hAnsi="Times New Roman"/>
          <w:sz w:val="26"/>
          <w:szCs w:val="26"/>
        </w:rPr>
      </w:pPr>
    </w:p>
    <w:p w14:paraId="7772CE73" w14:textId="77777777" w:rsidR="00217A21" w:rsidRPr="003105EC" w:rsidRDefault="00217A21" w:rsidP="00217A21">
      <w:pPr>
        <w:keepNext/>
        <w:keepLines/>
        <w:spacing w:line="360" w:lineRule="auto"/>
        <w:ind w:firstLine="720"/>
        <w:rPr>
          <w:rFonts w:ascii="Times New Roman" w:hAnsi="Times New Roman"/>
          <w:b/>
          <w:sz w:val="26"/>
          <w:szCs w:val="26"/>
        </w:rPr>
      </w:pPr>
      <w:r w:rsidRPr="003105EC">
        <w:rPr>
          <w:rFonts w:ascii="Times New Roman" w:hAnsi="Times New Roman"/>
          <w:b/>
          <w:sz w:val="26"/>
          <w:szCs w:val="26"/>
        </w:rPr>
        <w:t>Burden of Proof</w:t>
      </w:r>
    </w:p>
    <w:p w14:paraId="0A670FCF" w14:textId="77777777" w:rsidR="00217A21" w:rsidRDefault="00217A21" w:rsidP="00217A21">
      <w:pPr>
        <w:keepNext/>
        <w:keepLines/>
        <w:spacing w:line="360" w:lineRule="auto"/>
        <w:rPr>
          <w:rFonts w:ascii="Times New Roman" w:hAnsi="Times New Roman"/>
          <w:sz w:val="26"/>
          <w:szCs w:val="26"/>
        </w:rPr>
      </w:pPr>
    </w:p>
    <w:p w14:paraId="2ED63FC2" w14:textId="77777777" w:rsidR="00217A21" w:rsidRDefault="00217A21" w:rsidP="00217A21">
      <w:pPr>
        <w:spacing w:line="360" w:lineRule="auto"/>
        <w:ind w:firstLine="1440"/>
        <w:rPr>
          <w:rFonts w:ascii="Arial" w:hAnsi="Arial" w:cs="Arial"/>
          <w:sz w:val="21"/>
          <w:szCs w:val="21"/>
        </w:rPr>
      </w:pPr>
      <w:r w:rsidRPr="00AE0D2B">
        <w:rPr>
          <w:rFonts w:ascii="Times New Roman" w:hAnsi="Times New Roman"/>
          <w:sz w:val="26"/>
          <w:szCs w:val="26"/>
        </w:rPr>
        <w:t>As the pro</w:t>
      </w:r>
      <w:r>
        <w:rPr>
          <w:rFonts w:ascii="Times New Roman" w:hAnsi="Times New Roman"/>
          <w:sz w:val="26"/>
          <w:szCs w:val="26"/>
        </w:rPr>
        <w:t>ponent of a rule or order, the complainant</w:t>
      </w:r>
      <w:r w:rsidRPr="00AE0D2B">
        <w:rPr>
          <w:rFonts w:ascii="Times New Roman" w:hAnsi="Times New Roman"/>
          <w:sz w:val="26"/>
          <w:szCs w:val="26"/>
        </w:rPr>
        <w:t xml:space="preserve"> bears the burden of proof pursuant to Section 332(a) of the Code.  66 Pa. C.S. § 332(a).  To establish a sufficient case and sa</w:t>
      </w:r>
      <w:r>
        <w:rPr>
          <w:rFonts w:ascii="Times New Roman" w:hAnsi="Times New Roman"/>
          <w:sz w:val="26"/>
          <w:szCs w:val="26"/>
        </w:rPr>
        <w:t>tisfy the burden of proof, the c</w:t>
      </w:r>
      <w:r w:rsidRPr="00AE0D2B">
        <w:rPr>
          <w:rFonts w:ascii="Times New Roman" w:hAnsi="Times New Roman"/>
          <w:sz w:val="26"/>
          <w:szCs w:val="26"/>
        </w:rPr>
        <w:t>omp</w:t>
      </w:r>
      <w:r>
        <w:rPr>
          <w:rFonts w:ascii="Times New Roman" w:hAnsi="Times New Roman"/>
          <w:sz w:val="26"/>
          <w:szCs w:val="26"/>
        </w:rPr>
        <w:t>lainant must show that the r</w:t>
      </w:r>
      <w:r w:rsidRPr="00AE0D2B">
        <w:rPr>
          <w:rFonts w:ascii="Times New Roman" w:hAnsi="Times New Roman"/>
          <w:sz w:val="26"/>
          <w:szCs w:val="26"/>
        </w:rPr>
        <w:t>espondent is responsible or accountable fo</w:t>
      </w:r>
      <w:r>
        <w:rPr>
          <w:rFonts w:ascii="Times New Roman" w:hAnsi="Times New Roman"/>
          <w:sz w:val="26"/>
          <w:szCs w:val="26"/>
        </w:rPr>
        <w:t>r the problem described in the c</w:t>
      </w:r>
      <w:r w:rsidRPr="00AE0D2B">
        <w:rPr>
          <w:rFonts w:ascii="Times New Roman" w:hAnsi="Times New Roman"/>
          <w:sz w:val="26"/>
          <w:szCs w:val="26"/>
        </w:rPr>
        <w:t xml:space="preserve">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w:t>
      </w:r>
      <w:r>
        <w:rPr>
          <w:rFonts w:ascii="Times New Roman" w:hAnsi="Times New Roman"/>
          <w:sz w:val="26"/>
          <w:szCs w:val="26"/>
        </w:rPr>
        <w:t>“</w:t>
      </w:r>
      <w:r w:rsidRPr="00AE0D2B">
        <w:rPr>
          <w:rFonts w:ascii="Times New Roman" w:hAnsi="Times New Roman"/>
          <w:sz w:val="26"/>
          <w:szCs w:val="26"/>
        </w:rPr>
        <w:t>preponderance of the evidence.</w:t>
      </w:r>
      <w:r>
        <w:rPr>
          <w:rFonts w:ascii="Times New Roman" w:hAnsi="Times New Roman"/>
          <w:sz w:val="26"/>
          <w:szCs w:val="26"/>
        </w:rPr>
        <w:t>”</w:t>
      </w:r>
      <w:r w:rsidRPr="00AE0D2B">
        <w:rPr>
          <w:rFonts w:ascii="Times New Roman" w:hAnsi="Times New Roman"/>
          <w:sz w:val="26"/>
          <w:szCs w:val="26"/>
        </w:rPr>
        <w:t xml:space="preserv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w:t>
      </w:r>
      <w:r w:rsidRPr="00D42BF6">
        <w:rPr>
          <w:rFonts w:ascii="Times New Roman" w:hAnsi="Times New Roman"/>
          <w:sz w:val="26"/>
          <w:szCs w:val="26"/>
        </w:rPr>
        <w:t xml:space="preserve">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D42BF6">
        <w:rPr>
          <w:rFonts w:ascii="Times New Roman" w:hAnsi="Times New Roman"/>
          <w:i/>
          <w:sz w:val="26"/>
          <w:szCs w:val="26"/>
        </w:rPr>
        <w:t xml:space="preserve">See </w:t>
      </w:r>
      <w:r w:rsidRPr="00D42BF6">
        <w:rPr>
          <w:rFonts w:ascii="Times New Roman" w:hAnsi="Times New Roman"/>
          <w:i/>
          <w:iCs/>
          <w:sz w:val="26"/>
          <w:szCs w:val="26"/>
        </w:rPr>
        <w:t>Se-Ling Hosiery, Inc. v. Margulies,</w:t>
      </w:r>
      <w:r w:rsidRPr="00D42BF6">
        <w:rPr>
          <w:rFonts w:ascii="Times New Roman" w:hAnsi="Times New Roman"/>
          <w:sz w:val="26"/>
          <w:szCs w:val="26"/>
        </w:rPr>
        <w:t xml:space="preserve"> 364 Pa. 45, 48-49, 70 A.2d 854, 855 (1950).</w:t>
      </w:r>
    </w:p>
    <w:p w14:paraId="6C58BADC" w14:textId="77777777" w:rsidR="00217A21" w:rsidRDefault="00217A21" w:rsidP="00217A21">
      <w:pPr>
        <w:spacing w:line="360" w:lineRule="auto"/>
        <w:ind w:firstLine="1440"/>
        <w:rPr>
          <w:rFonts w:ascii="Times New Roman" w:hAnsi="Times New Roman"/>
          <w:sz w:val="26"/>
          <w:szCs w:val="26"/>
        </w:rPr>
      </w:pPr>
    </w:p>
    <w:p w14:paraId="23056B68" w14:textId="77777777" w:rsidR="00217A21" w:rsidRPr="001D1950" w:rsidRDefault="00217A21" w:rsidP="00217A21">
      <w:pPr>
        <w:spacing w:line="360" w:lineRule="auto"/>
        <w:ind w:firstLine="1440"/>
        <w:rPr>
          <w:rFonts w:ascii="Times New Roman" w:hAnsi="Times New Roman"/>
          <w:iCs/>
          <w:sz w:val="26"/>
        </w:rPr>
      </w:pPr>
      <w:r w:rsidRPr="001D1950">
        <w:rPr>
          <w:rFonts w:ascii="Times New Roman" w:hAnsi="Times New Roman"/>
          <w:sz w:val="26"/>
          <w:szCs w:val="26"/>
        </w:rPr>
        <w:t xml:space="preserve">The burden of proof is comprised of two distinct burdens:  the burden of production and the burden of persuasion.  </w:t>
      </w:r>
      <w:r w:rsidRPr="001D1950">
        <w:rPr>
          <w:rFonts w:ascii="Times New Roman" w:hAnsi="Times New Roman"/>
          <w:i/>
          <w:sz w:val="26"/>
          <w:szCs w:val="26"/>
        </w:rPr>
        <w:t>Hurley v. Hurley</w:t>
      </w:r>
      <w:r w:rsidRPr="001D1950">
        <w:rPr>
          <w:rFonts w:ascii="Times New Roman" w:hAnsi="Times New Roman"/>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1D1950">
        <w:rPr>
          <w:rFonts w:ascii="Times New Roman" w:hAnsi="Times New Roman"/>
          <w:i/>
          <w:sz w:val="26"/>
          <w:szCs w:val="26"/>
        </w:rPr>
        <w:t>Scott and Linda Moore v. National Fuel Gas Distribution</w:t>
      </w:r>
      <w:r w:rsidRPr="001D1950">
        <w:rPr>
          <w:rFonts w:ascii="Times New Roman" w:hAnsi="Times New Roman"/>
          <w:sz w:val="26"/>
          <w:szCs w:val="26"/>
        </w:rPr>
        <w:t>, Docket No. C-2014-2458555 (Initial Decision issued May 11, 2015) (</w:t>
      </w:r>
      <w:r w:rsidRPr="001D1950">
        <w:rPr>
          <w:rFonts w:ascii="Times New Roman" w:hAnsi="Times New Roman"/>
          <w:i/>
          <w:sz w:val="26"/>
          <w:szCs w:val="26"/>
        </w:rPr>
        <w:t>Moore</w:t>
      </w:r>
      <w:r w:rsidRPr="001D1950">
        <w:rPr>
          <w:rFonts w:ascii="Times New Roman" w:hAnsi="Times New Roman"/>
          <w:sz w:val="26"/>
          <w:szCs w:val="26"/>
        </w:rPr>
        <w:t xml:space="preserve">).  The </w:t>
      </w:r>
      <w:r w:rsidRPr="001D1950">
        <w:rPr>
          <w:rFonts w:ascii="Times New Roman" w:hAnsi="Times New Roman"/>
          <w:sz w:val="26"/>
          <w:szCs w:val="26"/>
        </w:rPr>
        <w:lastRenderedPageBreak/>
        <w:t xml:space="preserve">burden of production goes to the legal sufficiency of a party’s claim or affirmative defense.  </w:t>
      </w:r>
      <w:r w:rsidRPr="001D1950">
        <w:rPr>
          <w:rFonts w:ascii="Times New Roman" w:hAnsi="Times New Roman"/>
          <w:i/>
          <w:sz w:val="26"/>
          <w:szCs w:val="26"/>
        </w:rPr>
        <w:t>See Id</w:t>
      </w:r>
      <w:r w:rsidRPr="001D1950">
        <w:rPr>
          <w:rFonts w:ascii="Times New Roman" w:hAnsi="Times New Roman"/>
          <w:sz w:val="26"/>
          <w:szCs w:val="26"/>
        </w:rPr>
        <w:t xml:space="preserve">.  It may shift between the parties during a hearing.  </w:t>
      </w:r>
      <w:r w:rsidRPr="001D1950">
        <w:rPr>
          <w:rFonts w:ascii="Times New Roman" w:hAnsi="Times New Roman"/>
          <w:sz w:val="26"/>
        </w:rPr>
        <w:t xml:space="preserve">If a complainant introduces sufficient evidence to establish legal sufficiency of the claim, also called a </w:t>
      </w:r>
      <w:r w:rsidRPr="001D1950">
        <w:rPr>
          <w:rFonts w:ascii="Times New Roman" w:hAnsi="Times New Roman"/>
          <w:i/>
          <w:sz w:val="26"/>
        </w:rPr>
        <w:t>prima facie</w:t>
      </w:r>
      <w:r w:rsidRPr="001D1950">
        <w:rPr>
          <w:rFonts w:ascii="Times New Roman" w:hAnsi="Times New Roman"/>
          <w:sz w:val="26"/>
        </w:rPr>
        <w:t xml:space="preserve"> case, the burden of production shifts to the utility to rebut the complainant’s evidence.  </w:t>
      </w:r>
      <w:r w:rsidRPr="001D1950">
        <w:rPr>
          <w:rFonts w:ascii="Times New Roman" w:hAnsi="Times New Roman"/>
          <w:i/>
          <w:sz w:val="26"/>
          <w:szCs w:val="26"/>
        </w:rPr>
        <w:t>See Id</w:t>
      </w:r>
      <w:r w:rsidRPr="001D1950">
        <w:rPr>
          <w:rFonts w:ascii="Times New Roman" w:hAnsi="Times New Roman"/>
          <w:sz w:val="26"/>
          <w:szCs w:val="26"/>
        </w:rPr>
        <w:t xml:space="preserve">.  </w:t>
      </w:r>
      <w:r w:rsidRPr="001D1950">
        <w:rPr>
          <w:rFonts w:ascii="Times New Roman" w:hAnsi="Times New Roman"/>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1D1950">
        <w:rPr>
          <w:rFonts w:ascii="Times New Roman" w:hAnsi="Times New Roman"/>
          <w:i/>
          <w:sz w:val="26"/>
        </w:rPr>
        <w:t xml:space="preserve">Milkie v. Pa. PUC, </w:t>
      </w:r>
      <w:r w:rsidRPr="001D1950">
        <w:rPr>
          <w:rFonts w:ascii="Times New Roman" w:hAnsi="Times New Roman"/>
          <w:sz w:val="26"/>
        </w:rPr>
        <w:t xml:space="preserve">768 A.2d 1217 (Pa. Cmwlth. 2001); </w:t>
      </w:r>
      <w:hyperlink r:id="rId8" w:history="1">
        <w:r w:rsidRPr="001D1950">
          <w:rPr>
            <w:rFonts w:ascii="Times New Roman" w:hAnsi="Times New Roman"/>
            <w:i/>
            <w:iCs/>
            <w:sz w:val="26"/>
          </w:rPr>
          <w:t>Burleson v. Pa. PUC,</w:t>
        </w:r>
        <w:r w:rsidRPr="001D1950">
          <w:rPr>
            <w:rFonts w:ascii="Times New Roman" w:hAnsi="Times New Roman"/>
            <w:iCs/>
            <w:sz w:val="26"/>
          </w:rPr>
          <w:t xml:space="preserve"> 443 A.2d 1373 (Pa. Cmwlth. 1982), </w:t>
        </w:r>
        <w:r w:rsidRPr="001D1950">
          <w:rPr>
            <w:rFonts w:ascii="Times New Roman" w:hAnsi="Times New Roman"/>
            <w:i/>
            <w:iCs/>
            <w:sz w:val="26"/>
          </w:rPr>
          <w:t>aff’d,</w:t>
        </w:r>
        <w:r w:rsidRPr="001D1950">
          <w:rPr>
            <w:rFonts w:ascii="Times New Roman" w:hAnsi="Times New Roman"/>
            <w:iCs/>
            <w:sz w:val="26"/>
          </w:rPr>
          <w:t xml:space="preserve"> 501 Pa. 433, 461 A.2d 1234 (1983).</w:t>
        </w:r>
      </w:hyperlink>
      <w:r w:rsidRPr="001D1950">
        <w:rPr>
          <w:rFonts w:ascii="Times New Roman" w:hAnsi="Times New Roman"/>
          <w:iCs/>
          <w:sz w:val="26"/>
        </w:rPr>
        <w:t xml:space="preserve">  </w:t>
      </w:r>
    </w:p>
    <w:p w14:paraId="21F63466" w14:textId="77777777" w:rsidR="00217A21" w:rsidRPr="001D1950" w:rsidRDefault="00217A21" w:rsidP="00217A21">
      <w:pPr>
        <w:spacing w:line="360" w:lineRule="auto"/>
        <w:ind w:firstLine="1440"/>
        <w:rPr>
          <w:rFonts w:ascii="Times New Roman" w:hAnsi="Times New Roman"/>
          <w:sz w:val="26"/>
        </w:rPr>
      </w:pPr>
    </w:p>
    <w:p w14:paraId="7D44E8B2" w14:textId="77777777" w:rsidR="00217A21" w:rsidRPr="001D1950" w:rsidRDefault="00217A21" w:rsidP="00217A21">
      <w:pPr>
        <w:spacing w:line="360" w:lineRule="auto"/>
        <w:ind w:firstLine="1440"/>
        <w:rPr>
          <w:rFonts w:ascii="Times New Roman" w:hAnsi="Times New Roman"/>
          <w:sz w:val="26"/>
          <w:szCs w:val="26"/>
        </w:rPr>
      </w:pPr>
      <w:r w:rsidRPr="001D1950">
        <w:rPr>
          <w:rFonts w:ascii="Times New Roman" w:hAnsi="Times New Roman"/>
          <w:sz w:val="26"/>
        </w:rPr>
        <w:t xml:space="preserve">Having produced sufficient evidence to establish legal sufficiency of a claim, the party with the burden of proof must also carry the burden of persuasion to be entitled to a favorable ruling.  </w:t>
      </w:r>
      <w:r w:rsidRPr="001D1950">
        <w:rPr>
          <w:rFonts w:ascii="Times New Roman" w:hAnsi="Times New Roman"/>
          <w:i/>
          <w:sz w:val="26"/>
        </w:rPr>
        <w:t>See Moore</w:t>
      </w:r>
      <w:r w:rsidRPr="001D1950">
        <w:rPr>
          <w:rFonts w:ascii="Times New Roman" w:hAnsi="Times New Roman"/>
          <w:sz w:val="26"/>
        </w:rPr>
        <w:t xml:space="preserve">.  While the burden of production may shift back and forth during a proceeding, the burden of persuasion never shifts; it always remains on a complainant as the party seeking affirmative relief from the Commission.  </w:t>
      </w:r>
      <w:r w:rsidRPr="001D1950">
        <w:rPr>
          <w:rFonts w:ascii="Times New Roman" w:hAnsi="Times New Roman"/>
          <w:i/>
          <w:sz w:val="26"/>
        </w:rPr>
        <w:t xml:space="preserve">Milkie v. Pa. PUC, </w:t>
      </w:r>
      <w:r w:rsidRPr="001D1950">
        <w:rPr>
          <w:rFonts w:ascii="Times New Roman" w:hAnsi="Times New Roman"/>
          <w:sz w:val="26"/>
        </w:rPr>
        <w:t xml:space="preserve">768 A.2d 1217 (Pa. Cmwlth. 2001); </w:t>
      </w:r>
      <w:r w:rsidRPr="001D1950">
        <w:rPr>
          <w:rFonts w:ascii="Times New Roman" w:hAnsi="Times New Roman"/>
          <w:i/>
          <w:sz w:val="26"/>
        </w:rPr>
        <w:t>see also, Riedel v. County of Allegheny</w:t>
      </w:r>
      <w:r w:rsidRPr="001D1950">
        <w:rPr>
          <w:rFonts w:ascii="Times New Roman" w:hAnsi="Times New Roman"/>
          <w:sz w:val="26"/>
        </w:rPr>
        <w:t xml:space="preserve">, 633 A.2d 1325, 1328, n.11 (Pa. Cmwlth. 1993); </w:t>
      </w:r>
      <w:r w:rsidRPr="001D1950">
        <w:rPr>
          <w:rFonts w:ascii="Times New Roman" w:hAnsi="Times New Roman"/>
          <w:i/>
          <w:sz w:val="26"/>
        </w:rPr>
        <w:t>see also</w:t>
      </w:r>
      <w:r w:rsidRPr="001D1950">
        <w:rPr>
          <w:rFonts w:ascii="Times New Roman" w:hAnsi="Times New Roman"/>
          <w:sz w:val="26"/>
        </w:rPr>
        <w:t>,</w:t>
      </w:r>
      <w:r w:rsidRPr="001D1950">
        <w:rPr>
          <w:rFonts w:ascii="Times New Roman" w:hAnsi="Times New Roman"/>
          <w:i/>
          <w:sz w:val="26"/>
        </w:rPr>
        <w:t xml:space="preserve"> Burleson v. Pa. Pub. Util. Comm’n</w:t>
      </w:r>
      <w:r w:rsidRPr="001D1950">
        <w:rPr>
          <w:rFonts w:ascii="Times New Roman" w:hAnsi="Times New Roman"/>
          <w:sz w:val="26"/>
        </w:rPr>
        <w:t xml:space="preserve">, 4443 A.2d 1373 (Pa. Cmwlth. 1982), </w:t>
      </w:r>
      <w:r w:rsidRPr="001D1950">
        <w:rPr>
          <w:rFonts w:ascii="Times New Roman" w:hAnsi="Times New Roman"/>
          <w:szCs w:val="24"/>
        </w:rPr>
        <w:t xml:space="preserve">aff'd. </w:t>
      </w:r>
      <w:hyperlink r:id="rId9" w:history="1">
        <w:r w:rsidRPr="001D1950">
          <w:rPr>
            <w:rFonts w:ascii="Times New Roman" w:hAnsi="Times New Roman"/>
            <w:sz w:val="26"/>
            <w:szCs w:val="26"/>
          </w:rPr>
          <w:t>501 Pa. 443, 461 A.2d 1234.</w:t>
        </w:r>
      </w:hyperlink>
      <w:r w:rsidRPr="001D1950">
        <w:rPr>
          <w:rFonts w:ascii="Times New Roman" w:hAnsi="Times New Roman"/>
          <w:sz w:val="26"/>
          <w:szCs w:val="26"/>
        </w:rPr>
        <w:t xml:space="preserve">  It is entirely possible for a party to carry the burden of production but not be entitled to a favorable ruling because the party did not carry the burden of persuasion.  </w:t>
      </w:r>
      <w:r w:rsidRPr="001D1950">
        <w:rPr>
          <w:rFonts w:ascii="Times New Roman" w:hAnsi="Times New Roman"/>
          <w:i/>
          <w:sz w:val="26"/>
          <w:szCs w:val="26"/>
        </w:rPr>
        <w:t>See Moore.</w:t>
      </w:r>
      <w:r w:rsidRPr="001D1950">
        <w:rPr>
          <w:rFonts w:ascii="Times New Roman" w:hAnsi="Times New Roman"/>
          <w:sz w:val="26"/>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1D1950">
        <w:rPr>
          <w:rFonts w:ascii="Times New Roman" w:hAnsi="Times New Roman"/>
          <w:i/>
          <w:sz w:val="26"/>
          <w:szCs w:val="26"/>
        </w:rPr>
        <w:t xml:space="preserve">  See Moore</w:t>
      </w:r>
      <w:r w:rsidRPr="001D1950">
        <w:rPr>
          <w:rFonts w:ascii="Times New Roman" w:hAnsi="Times New Roman"/>
          <w:sz w:val="26"/>
          <w:szCs w:val="26"/>
        </w:rPr>
        <w:t>,</w:t>
      </w:r>
      <w:r w:rsidRPr="001D1950">
        <w:rPr>
          <w:rFonts w:ascii="Times New Roman" w:hAnsi="Times New Roman"/>
          <w:i/>
          <w:sz w:val="26"/>
          <w:szCs w:val="26"/>
        </w:rPr>
        <w:t xml:space="preserve"> </w:t>
      </w:r>
      <w:r w:rsidRPr="001D1950">
        <w:rPr>
          <w:rFonts w:ascii="Times New Roman" w:hAnsi="Times New Roman"/>
          <w:sz w:val="26"/>
          <w:szCs w:val="26"/>
        </w:rPr>
        <w:t xml:space="preserve">citing </w:t>
      </w:r>
      <w:r w:rsidRPr="001D1950">
        <w:rPr>
          <w:rFonts w:ascii="Times New Roman" w:hAnsi="Times New Roman"/>
          <w:i/>
          <w:sz w:val="26"/>
          <w:szCs w:val="26"/>
        </w:rPr>
        <w:t>Suber</w:t>
      </w:r>
      <w:r w:rsidRPr="001D1950">
        <w:rPr>
          <w:rFonts w:ascii="Times New Roman" w:hAnsi="Times New Roman"/>
          <w:sz w:val="26"/>
          <w:szCs w:val="26"/>
        </w:rPr>
        <w:t>.</w:t>
      </w:r>
    </w:p>
    <w:p w14:paraId="579FE4FB" w14:textId="77777777" w:rsidR="00217A21" w:rsidRDefault="00217A21" w:rsidP="00217A21">
      <w:pPr>
        <w:spacing w:line="360" w:lineRule="auto"/>
        <w:ind w:firstLine="1440"/>
        <w:rPr>
          <w:rFonts w:ascii="Times New Roman" w:hAnsi="Times New Roman"/>
          <w:sz w:val="26"/>
        </w:rPr>
      </w:pPr>
    </w:p>
    <w:p w14:paraId="2C2055D0" w14:textId="77777777" w:rsidR="00217A21" w:rsidRPr="001D1950" w:rsidRDefault="00217A21" w:rsidP="006A66F5">
      <w:pPr>
        <w:keepNext/>
        <w:keepLines/>
        <w:spacing w:line="360" w:lineRule="auto"/>
        <w:ind w:firstLine="720"/>
        <w:rPr>
          <w:rFonts w:ascii="Times New Roman" w:hAnsi="Times New Roman"/>
          <w:b/>
          <w:sz w:val="26"/>
        </w:rPr>
      </w:pPr>
      <w:r w:rsidRPr="001D1950">
        <w:rPr>
          <w:rFonts w:ascii="Times New Roman" w:hAnsi="Times New Roman"/>
          <w:b/>
          <w:sz w:val="26"/>
        </w:rPr>
        <w:lastRenderedPageBreak/>
        <w:t>Substantial Evidence</w:t>
      </w:r>
    </w:p>
    <w:p w14:paraId="6F88E43A" w14:textId="77777777" w:rsidR="00217A21" w:rsidRDefault="00217A21" w:rsidP="006A66F5">
      <w:pPr>
        <w:keepNext/>
        <w:keepLines/>
        <w:spacing w:line="360" w:lineRule="auto"/>
        <w:ind w:firstLine="1440"/>
        <w:rPr>
          <w:rFonts w:ascii="Times New Roman" w:hAnsi="Times New Roman"/>
          <w:sz w:val="26"/>
        </w:rPr>
      </w:pPr>
    </w:p>
    <w:p w14:paraId="71A872D6" w14:textId="77777777" w:rsidR="00217A21" w:rsidRPr="00B6653F" w:rsidRDefault="00217A21" w:rsidP="00217A21">
      <w:pPr>
        <w:spacing w:line="360" w:lineRule="auto"/>
        <w:ind w:firstLine="1440"/>
        <w:rPr>
          <w:rFonts w:ascii="Times New Roman" w:hAnsi="Times New Roman"/>
          <w:sz w:val="26"/>
        </w:rPr>
      </w:pPr>
      <w:r>
        <w:rPr>
          <w:rFonts w:ascii="Times New Roman" w:hAnsi="Times New Roman"/>
          <w:sz w:val="26"/>
          <w:szCs w:val="26"/>
        </w:rPr>
        <w:t>Adjudications by the</w:t>
      </w:r>
      <w:r w:rsidRPr="001D1950">
        <w:rPr>
          <w:rFonts w:ascii="Times New Roman" w:hAnsi="Times New Roman"/>
          <w:sz w:val="26"/>
          <w:szCs w:val="26"/>
        </w:rPr>
        <w:t xml:space="preserve"> Commission must be supported by substantial evidence in the record.  2 Pa.C.S. § 704.  </w:t>
      </w:r>
      <w:r w:rsidRPr="00C53381">
        <w:rPr>
          <w:rFonts w:ascii="Times New Roman" w:hAnsi="Times New Roman"/>
          <w:sz w:val="26"/>
          <w:szCs w:val="26"/>
        </w:rPr>
        <w:t xml:space="preserve">“Substantial evidence” is an appellate standard of review and not a standard of evidence.  </w:t>
      </w:r>
      <w:r w:rsidRPr="00C53381">
        <w:rPr>
          <w:rFonts w:ascii="Times New Roman" w:hAnsi="Times New Roman"/>
          <w:i/>
          <w:iCs/>
          <w:sz w:val="26"/>
          <w:szCs w:val="26"/>
        </w:rPr>
        <w:t>Samuel J. Lansberry, Inc. v. Pa. PUC</w:t>
      </w:r>
      <w:r w:rsidRPr="00C53381">
        <w:rPr>
          <w:rFonts w:ascii="Times New Roman" w:hAnsi="Times New Roman"/>
          <w:sz w:val="26"/>
          <w:szCs w:val="26"/>
        </w:rPr>
        <w:t xml:space="preserve">, 578 A.2d 600, 602 (Pa. Cmwlth. 1990), </w:t>
      </w:r>
      <w:r w:rsidRPr="00C53381">
        <w:rPr>
          <w:rFonts w:ascii="Times New Roman" w:hAnsi="Times New Roman"/>
          <w:i/>
          <w:sz w:val="26"/>
          <w:szCs w:val="26"/>
        </w:rPr>
        <w:t>alloc. denied,</w:t>
      </w:r>
      <w:r w:rsidRPr="00C53381">
        <w:rPr>
          <w:rFonts w:ascii="Times New Roman" w:hAnsi="Times New Roman"/>
          <w:sz w:val="26"/>
          <w:szCs w:val="26"/>
        </w:rPr>
        <w:t xml:space="preserve"> 529 Pa. 654, 602 A.2d 863 (1992).  Substantial evidence is such relevant evidence that a reasonable mind might accept as adequate to support a conclusion.  </w:t>
      </w:r>
      <w:r w:rsidRPr="00C53381">
        <w:rPr>
          <w:rFonts w:ascii="Times New Roman" w:hAnsi="Times New Roman"/>
          <w:i/>
          <w:sz w:val="26"/>
          <w:szCs w:val="26"/>
        </w:rPr>
        <w:t>Consolidated Edison Company of New York v. National Labor Relations Board</w:t>
      </w:r>
      <w:r w:rsidRPr="00C53381">
        <w:rPr>
          <w:rFonts w:ascii="Times New Roman" w:hAnsi="Times New Roman"/>
          <w:sz w:val="26"/>
          <w:szCs w:val="26"/>
        </w:rPr>
        <w:t xml:space="preserve">, 305 U.S. 197, 229, 59 S.Ct. 206, 217.   More is required than a mere trace of evidence or a suspicion of the existence of a fact sought to be established.  </w:t>
      </w:r>
      <w:r w:rsidRPr="00C53381">
        <w:rPr>
          <w:rFonts w:ascii="Times New Roman" w:hAnsi="Times New Roman"/>
          <w:i/>
          <w:sz w:val="26"/>
          <w:szCs w:val="26"/>
        </w:rPr>
        <w:t xml:space="preserve">Norfolk &amp; Western Ry. Co. v. Pa. PUC, </w:t>
      </w:r>
      <w:r w:rsidRPr="00C53381">
        <w:rPr>
          <w:rFonts w:ascii="Times New Roman" w:hAnsi="Times New Roman"/>
          <w:sz w:val="26"/>
          <w:szCs w:val="26"/>
        </w:rPr>
        <w:t>489 Pa. 109, 413 A.2d 1037 (1980)</w:t>
      </w:r>
      <w:r>
        <w:rPr>
          <w:rFonts w:ascii="Times New Roman" w:hAnsi="Times New Roman"/>
          <w:sz w:val="26"/>
          <w:szCs w:val="26"/>
        </w:rPr>
        <w:t>.</w:t>
      </w:r>
    </w:p>
    <w:bookmarkEnd w:id="1"/>
    <w:p w14:paraId="2F6C1373" w14:textId="77777777" w:rsidR="00BA1171" w:rsidRDefault="00BA1171" w:rsidP="0061437C">
      <w:pPr>
        <w:spacing w:line="360" w:lineRule="auto"/>
        <w:ind w:firstLine="1440"/>
        <w:rPr>
          <w:rFonts w:ascii="Times New Roman" w:hAnsi="Times New Roman"/>
          <w:sz w:val="26"/>
        </w:rPr>
      </w:pPr>
    </w:p>
    <w:p w14:paraId="5519E106" w14:textId="7BD0AECE" w:rsidR="009419FB" w:rsidRDefault="009419FB" w:rsidP="00427981">
      <w:pPr>
        <w:keepNext/>
        <w:keepLines/>
        <w:tabs>
          <w:tab w:val="left" w:pos="-720"/>
        </w:tabs>
        <w:suppressAutoHyphens/>
        <w:spacing w:line="360" w:lineRule="auto"/>
        <w:rPr>
          <w:rFonts w:ascii="Times New Roman" w:hAnsi="Times New Roman"/>
          <w:b/>
          <w:sz w:val="26"/>
        </w:rPr>
      </w:pPr>
      <w:r w:rsidRPr="006B1E42">
        <w:rPr>
          <w:rFonts w:ascii="Times New Roman" w:hAnsi="Times New Roman"/>
          <w:b/>
          <w:sz w:val="26"/>
        </w:rPr>
        <w:t>ALJ</w:t>
      </w:r>
      <w:r w:rsidR="00E011A8">
        <w:rPr>
          <w:rFonts w:ascii="Times New Roman" w:hAnsi="Times New Roman"/>
          <w:b/>
          <w:sz w:val="26"/>
        </w:rPr>
        <w:t>’</w:t>
      </w:r>
      <w:r w:rsidRPr="006B1E42">
        <w:rPr>
          <w:rFonts w:ascii="Times New Roman" w:hAnsi="Times New Roman"/>
          <w:b/>
          <w:sz w:val="26"/>
        </w:rPr>
        <w:t>s Initial Decision</w:t>
      </w:r>
    </w:p>
    <w:p w14:paraId="5CDA85A2" w14:textId="77777777" w:rsidR="00996729" w:rsidRDefault="00996729" w:rsidP="00427981">
      <w:pPr>
        <w:keepNext/>
        <w:keepLines/>
        <w:tabs>
          <w:tab w:val="left" w:pos="-720"/>
        </w:tabs>
        <w:suppressAutoHyphens/>
        <w:spacing w:line="360" w:lineRule="auto"/>
        <w:rPr>
          <w:rFonts w:ascii="Times New Roman" w:hAnsi="Times New Roman"/>
          <w:b/>
          <w:sz w:val="26"/>
        </w:rPr>
      </w:pPr>
    </w:p>
    <w:p w14:paraId="46458B9E" w14:textId="00EFF4F1" w:rsidR="00996729" w:rsidRDefault="00996729" w:rsidP="00996729">
      <w:pPr>
        <w:spacing w:line="360" w:lineRule="auto"/>
        <w:ind w:firstLine="1440"/>
        <w:rPr>
          <w:rFonts w:ascii="Times New Roman" w:hAnsi="Times New Roman"/>
          <w:sz w:val="26"/>
        </w:rPr>
      </w:pPr>
      <w:r>
        <w:rPr>
          <w:rFonts w:ascii="Times New Roman" w:hAnsi="Times New Roman"/>
          <w:sz w:val="26"/>
        </w:rPr>
        <w:t xml:space="preserve">In the Initial Decision, the ALJ made </w:t>
      </w:r>
      <w:r w:rsidR="00E907F9">
        <w:rPr>
          <w:rFonts w:ascii="Times New Roman" w:hAnsi="Times New Roman"/>
          <w:sz w:val="26"/>
        </w:rPr>
        <w:t>twenty</w:t>
      </w:r>
      <w:r>
        <w:rPr>
          <w:rFonts w:ascii="Times New Roman" w:hAnsi="Times New Roman"/>
          <w:sz w:val="26"/>
        </w:rPr>
        <w:t xml:space="preserve"> Findings of Fact and reached </w:t>
      </w:r>
      <w:r w:rsidR="00D12E2D">
        <w:rPr>
          <w:rFonts w:ascii="Times New Roman" w:hAnsi="Times New Roman"/>
          <w:sz w:val="26"/>
        </w:rPr>
        <w:t xml:space="preserve">ten </w:t>
      </w:r>
      <w:r>
        <w:rPr>
          <w:rFonts w:ascii="Times New Roman" w:hAnsi="Times New Roman"/>
          <w:sz w:val="26"/>
        </w:rPr>
        <w:t>Conclusions of Law.</w:t>
      </w:r>
      <w:r w:rsidR="00E907F9">
        <w:rPr>
          <w:rFonts w:ascii="Times New Roman" w:hAnsi="Times New Roman"/>
          <w:sz w:val="26"/>
        </w:rPr>
        <w:t xml:space="preserve">  I.D. at 3-5</w:t>
      </w:r>
      <w:r w:rsidR="00D12E2D">
        <w:rPr>
          <w:rFonts w:ascii="Times New Roman" w:hAnsi="Times New Roman"/>
          <w:sz w:val="26"/>
        </w:rPr>
        <w:t xml:space="preserve"> and 10</w:t>
      </w:r>
      <w:r>
        <w:rPr>
          <w:rFonts w:ascii="Times New Roman" w:hAnsi="Times New Roman"/>
          <w:sz w:val="26"/>
        </w:rPr>
        <w:t>-1</w:t>
      </w:r>
      <w:r w:rsidR="00D12E2D">
        <w:rPr>
          <w:rFonts w:ascii="Times New Roman" w:hAnsi="Times New Roman"/>
          <w:sz w:val="26"/>
        </w:rPr>
        <w:t>1</w:t>
      </w:r>
      <w:r>
        <w:rPr>
          <w:rFonts w:ascii="Times New Roman" w:hAnsi="Times New Roman"/>
          <w:sz w:val="26"/>
        </w:rPr>
        <w:t>.  We shall adopt and incorporate herein by reference the ALJ’s Findings of Fact and Conclusions of Law unless they are either expressly or by necessary implication overruled or modified by this Opinion and Order.</w:t>
      </w:r>
    </w:p>
    <w:p w14:paraId="10947B53" w14:textId="163DE6FF" w:rsidR="00D12765" w:rsidRDefault="00D12765" w:rsidP="00996729">
      <w:pPr>
        <w:spacing w:line="360" w:lineRule="auto"/>
        <w:ind w:firstLine="1440"/>
        <w:rPr>
          <w:rFonts w:ascii="Times New Roman" w:hAnsi="Times New Roman"/>
          <w:sz w:val="26"/>
        </w:rPr>
      </w:pPr>
    </w:p>
    <w:p w14:paraId="7857DAC7" w14:textId="13E3B903" w:rsidR="00D12E2D" w:rsidRPr="007D25D9" w:rsidRDefault="00D12765" w:rsidP="007D25D9">
      <w:pPr>
        <w:spacing w:line="360" w:lineRule="auto"/>
        <w:ind w:firstLine="1440"/>
        <w:rPr>
          <w:rFonts w:ascii="Times New Roman" w:hAnsi="Times New Roman"/>
          <w:sz w:val="26"/>
        </w:rPr>
      </w:pPr>
      <w:r>
        <w:rPr>
          <w:rFonts w:ascii="Times New Roman" w:hAnsi="Times New Roman"/>
          <w:sz w:val="26"/>
        </w:rPr>
        <w:t xml:space="preserve">In his Initial Decision, the ALJ addressed separately the Complainant’s allegation that he is being held responsible for incorrect charges on his bill and the Complainant’s request for a second Commission-issued payment arrangement or an extension of his previous payment arrangement.  </w:t>
      </w:r>
      <w:r w:rsidR="007D25D9">
        <w:rPr>
          <w:rFonts w:ascii="Times New Roman" w:hAnsi="Times New Roman"/>
          <w:sz w:val="26"/>
        </w:rPr>
        <w:t>T</w:t>
      </w:r>
      <w:r w:rsidR="00BD2A35" w:rsidRPr="00D12E2D">
        <w:rPr>
          <w:rFonts w:ascii="Times New Roman" w:hAnsi="Times New Roman"/>
          <w:spacing w:val="4"/>
          <w:sz w:val="26"/>
          <w:szCs w:val="26"/>
        </w:rPr>
        <w:t xml:space="preserve">he </w:t>
      </w:r>
      <w:r w:rsidR="00E95937" w:rsidRPr="00D12E2D">
        <w:rPr>
          <w:rFonts w:ascii="Times New Roman" w:hAnsi="Times New Roman"/>
          <w:spacing w:val="4"/>
          <w:sz w:val="26"/>
          <w:szCs w:val="26"/>
        </w:rPr>
        <w:t>ALJ</w:t>
      </w:r>
      <w:r>
        <w:rPr>
          <w:rFonts w:ascii="Times New Roman" w:hAnsi="Times New Roman"/>
          <w:spacing w:val="4"/>
          <w:sz w:val="26"/>
          <w:szCs w:val="26"/>
        </w:rPr>
        <w:t xml:space="preserve"> explained</w:t>
      </w:r>
      <w:r w:rsidR="00BD2A35" w:rsidRPr="00D12E2D">
        <w:rPr>
          <w:rFonts w:ascii="Times New Roman" w:hAnsi="Times New Roman"/>
          <w:spacing w:val="4"/>
          <w:sz w:val="26"/>
          <w:szCs w:val="26"/>
        </w:rPr>
        <w:t xml:space="preserve"> that </w:t>
      </w:r>
      <w:r w:rsidR="00D12E2D" w:rsidRPr="00D12E2D">
        <w:rPr>
          <w:rFonts w:ascii="Times New Roman" w:hAnsi="Times New Roman"/>
          <w:sz w:val="26"/>
          <w:szCs w:val="26"/>
        </w:rPr>
        <w:t>during the hearing, the Complainant alleged that PGW is improperly holding him responsible for charges that accrued at the service address between January and April 2017</w:t>
      </w:r>
      <w:r w:rsidR="001E35CC">
        <w:rPr>
          <w:rFonts w:ascii="Times New Roman" w:hAnsi="Times New Roman"/>
          <w:sz w:val="26"/>
          <w:szCs w:val="26"/>
        </w:rPr>
        <w:t>,</w:t>
      </w:r>
      <w:r w:rsidR="00D12E2D" w:rsidRPr="00D12E2D">
        <w:rPr>
          <w:rFonts w:ascii="Times New Roman" w:hAnsi="Times New Roman"/>
          <w:sz w:val="26"/>
          <w:szCs w:val="26"/>
        </w:rPr>
        <w:t xml:space="preserve"> </w:t>
      </w:r>
      <w:r w:rsidR="001E35CC">
        <w:rPr>
          <w:rFonts w:ascii="Times New Roman" w:hAnsi="Times New Roman"/>
          <w:sz w:val="26"/>
          <w:szCs w:val="26"/>
        </w:rPr>
        <w:t xml:space="preserve">because </w:t>
      </w:r>
      <w:r w:rsidR="00D12E2D" w:rsidRPr="00D12E2D">
        <w:rPr>
          <w:rFonts w:ascii="Times New Roman" w:hAnsi="Times New Roman"/>
          <w:sz w:val="26"/>
          <w:szCs w:val="26"/>
        </w:rPr>
        <w:t xml:space="preserve">he was incarcerated during this period. </w:t>
      </w:r>
      <w:r w:rsidR="007D25D9">
        <w:rPr>
          <w:rFonts w:ascii="Times New Roman" w:hAnsi="Times New Roman"/>
          <w:sz w:val="26"/>
          <w:szCs w:val="26"/>
        </w:rPr>
        <w:t xml:space="preserve"> The ALJ stated that the Complainant </w:t>
      </w:r>
      <w:r w:rsidR="00D12E2D" w:rsidRPr="00D12E2D">
        <w:rPr>
          <w:rFonts w:ascii="Times New Roman" w:hAnsi="Times New Roman"/>
          <w:sz w:val="26"/>
          <w:szCs w:val="26"/>
        </w:rPr>
        <w:t xml:space="preserve">is not disputing his responsibility for any other periods. </w:t>
      </w:r>
      <w:r w:rsidR="007D25D9">
        <w:rPr>
          <w:rFonts w:ascii="Times New Roman" w:hAnsi="Times New Roman"/>
          <w:sz w:val="26"/>
          <w:szCs w:val="26"/>
        </w:rPr>
        <w:t xml:space="preserve">The ALJ also explained that the </w:t>
      </w:r>
      <w:r w:rsidR="00D12E2D" w:rsidRPr="00D12E2D">
        <w:rPr>
          <w:rFonts w:ascii="Times New Roman" w:hAnsi="Times New Roman"/>
          <w:sz w:val="26"/>
          <w:szCs w:val="26"/>
        </w:rPr>
        <w:t xml:space="preserve">Complainant also indicated that he wants a payment arrangement to help him pay down his debt. Although the Complainant indicated on his Complaint form that PGW was threatening to shut off </w:t>
      </w:r>
      <w:r w:rsidR="00D12E2D" w:rsidRPr="00D12E2D">
        <w:rPr>
          <w:rFonts w:ascii="Times New Roman" w:hAnsi="Times New Roman"/>
          <w:sz w:val="26"/>
          <w:szCs w:val="26"/>
        </w:rPr>
        <w:lastRenderedPageBreak/>
        <w:t xml:space="preserve">his service, it became apparent during the hearing that he was only concerned with the charges that accrued at the service address between January and April 2017 and securing a payment arrangement.  I.D. at 6. </w:t>
      </w:r>
    </w:p>
    <w:p w14:paraId="2807ECF7" w14:textId="16D3FC32" w:rsidR="007D25D9" w:rsidRPr="007D25D9" w:rsidRDefault="007D25D9" w:rsidP="007D25D9">
      <w:pPr>
        <w:spacing w:line="360" w:lineRule="auto"/>
        <w:ind w:firstLine="1440"/>
        <w:textAlignment w:val="baseline"/>
        <w:rPr>
          <w:rFonts w:ascii="Times New Roman" w:hAnsi="Times New Roman"/>
          <w:sz w:val="26"/>
          <w:szCs w:val="26"/>
        </w:rPr>
      </w:pPr>
    </w:p>
    <w:p w14:paraId="2152ADB6" w14:textId="7720ED68" w:rsidR="007D25D9" w:rsidRPr="007D25D9" w:rsidRDefault="007D25D9" w:rsidP="007D25D9">
      <w:pPr>
        <w:pStyle w:val="Default"/>
        <w:spacing w:line="360" w:lineRule="auto"/>
        <w:ind w:firstLine="1440"/>
        <w:rPr>
          <w:sz w:val="26"/>
          <w:szCs w:val="26"/>
        </w:rPr>
      </w:pPr>
      <w:r w:rsidRPr="007D25D9">
        <w:rPr>
          <w:sz w:val="26"/>
          <w:szCs w:val="26"/>
        </w:rPr>
        <w:t xml:space="preserve">Regarding the payment of an outstanding balance, the ALJ stated that the Commission’s Regulations at Section 56.35(b)(1) provide in pertinent part: </w:t>
      </w:r>
    </w:p>
    <w:p w14:paraId="1E38B798" w14:textId="77777777" w:rsidR="007D25D9" w:rsidRPr="007D25D9" w:rsidRDefault="007D25D9" w:rsidP="007D25D9">
      <w:pPr>
        <w:pStyle w:val="Default"/>
        <w:rPr>
          <w:sz w:val="26"/>
          <w:szCs w:val="26"/>
        </w:rPr>
      </w:pPr>
    </w:p>
    <w:p w14:paraId="7BDEE279" w14:textId="041BC190" w:rsidR="007D25D9" w:rsidRDefault="007D25D9" w:rsidP="007D25D9">
      <w:pPr>
        <w:pStyle w:val="Default"/>
        <w:ind w:left="1440" w:right="1440"/>
        <w:rPr>
          <w:sz w:val="26"/>
          <w:szCs w:val="26"/>
        </w:rPr>
      </w:pPr>
      <w:r w:rsidRPr="007D25D9">
        <w:rPr>
          <w:sz w:val="26"/>
          <w:szCs w:val="26"/>
        </w:rPr>
        <w:t>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w:t>
      </w:r>
    </w:p>
    <w:p w14:paraId="37DD7580" w14:textId="493A1624" w:rsidR="001469FD" w:rsidRDefault="001469FD" w:rsidP="007D25D9">
      <w:pPr>
        <w:pStyle w:val="Default"/>
        <w:ind w:left="1440" w:right="1440"/>
        <w:rPr>
          <w:sz w:val="26"/>
          <w:szCs w:val="26"/>
        </w:rPr>
      </w:pPr>
    </w:p>
    <w:p w14:paraId="54704083" w14:textId="77777777" w:rsidR="009A7F6A" w:rsidRPr="007D25D9" w:rsidRDefault="009A7F6A" w:rsidP="007D25D9">
      <w:pPr>
        <w:pStyle w:val="Default"/>
        <w:ind w:left="1440" w:right="1440"/>
        <w:rPr>
          <w:sz w:val="26"/>
          <w:szCs w:val="26"/>
        </w:rPr>
      </w:pPr>
    </w:p>
    <w:p w14:paraId="5D7EB6BF" w14:textId="0DB47CF0" w:rsidR="007D25D9" w:rsidRPr="007D25D9" w:rsidRDefault="007D25D9" w:rsidP="007D25D9">
      <w:pPr>
        <w:spacing w:line="360" w:lineRule="auto"/>
        <w:textAlignment w:val="baseline"/>
        <w:rPr>
          <w:rFonts w:ascii="Times New Roman" w:hAnsi="Times New Roman"/>
          <w:sz w:val="26"/>
          <w:szCs w:val="26"/>
        </w:rPr>
      </w:pPr>
      <w:r w:rsidRPr="007D25D9">
        <w:rPr>
          <w:rFonts w:ascii="Times New Roman" w:hAnsi="Times New Roman"/>
          <w:sz w:val="26"/>
          <w:szCs w:val="26"/>
        </w:rPr>
        <w:t>52 Pa.</w:t>
      </w:r>
      <w:r w:rsidR="00206AE2">
        <w:rPr>
          <w:rFonts w:ascii="Times New Roman" w:hAnsi="Times New Roman"/>
          <w:sz w:val="26"/>
          <w:szCs w:val="26"/>
        </w:rPr>
        <w:t xml:space="preserve"> </w:t>
      </w:r>
      <w:r w:rsidRPr="007D25D9">
        <w:rPr>
          <w:rFonts w:ascii="Times New Roman" w:hAnsi="Times New Roman"/>
          <w:sz w:val="26"/>
          <w:szCs w:val="26"/>
        </w:rPr>
        <w:t>Code § 56.35(b)(1).</w:t>
      </w:r>
      <w:r>
        <w:rPr>
          <w:rFonts w:ascii="Times New Roman" w:hAnsi="Times New Roman"/>
          <w:sz w:val="26"/>
          <w:szCs w:val="26"/>
        </w:rPr>
        <w:t xml:space="preserve">  I.D. at 6.</w:t>
      </w:r>
    </w:p>
    <w:p w14:paraId="4D403A5A" w14:textId="77777777" w:rsidR="00D12E2D" w:rsidRPr="00D12E2D" w:rsidRDefault="00D12E2D" w:rsidP="00321F4B">
      <w:pPr>
        <w:spacing w:line="360" w:lineRule="auto"/>
        <w:ind w:firstLine="1440"/>
        <w:textAlignment w:val="baseline"/>
        <w:rPr>
          <w:rFonts w:ascii="Times New Roman" w:hAnsi="Times New Roman"/>
          <w:spacing w:val="4"/>
          <w:sz w:val="26"/>
          <w:szCs w:val="26"/>
          <w:highlight w:val="yellow"/>
        </w:rPr>
      </w:pPr>
    </w:p>
    <w:p w14:paraId="1D5830E7" w14:textId="04CC77CD" w:rsidR="00D12765" w:rsidRDefault="00D12E2D" w:rsidP="00D12765">
      <w:pPr>
        <w:spacing w:line="360" w:lineRule="auto"/>
        <w:ind w:firstLine="1440"/>
        <w:textAlignment w:val="baseline"/>
        <w:rPr>
          <w:rFonts w:ascii="Times New Roman" w:hAnsi="Times New Roman"/>
          <w:sz w:val="26"/>
          <w:szCs w:val="26"/>
        </w:rPr>
      </w:pPr>
      <w:r w:rsidRPr="00D12E2D">
        <w:rPr>
          <w:rFonts w:ascii="Times New Roman" w:hAnsi="Times New Roman"/>
          <w:spacing w:val="4"/>
          <w:sz w:val="26"/>
          <w:szCs w:val="26"/>
        </w:rPr>
        <w:t>The ALJ noted that t</w:t>
      </w:r>
      <w:r w:rsidRPr="00D12E2D">
        <w:rPr>
          <w:rFonts w:ascii="Times New Roman" w:hAnsi="Times New Roman"/>
          <w:sz w:val="26"/>
          <w:szCs w:val="26"/>
        </w:rPr>
        <w:t xml:space="preserve">he Complainant asserted that he should not be responsible for charges that accrued at the service address between January 2017 through April 2017 because he was incarcerated during that period. </w:t>
      </w:r>
      <w:r w:rsidR="009A7F6A">
        <w:rPr>
          <w:rFonts w:ascii="Times New Roman" w:hAnsi="Times New Roman"/>
          <w:sz w:val="26"/>
          <w:szCs w:val="26"/>
        </w:rPr>
        <w:t xml:space="preserve"> </w:t>
      </w:r>
      <w:r w:rsidRPr="00D12E2D">
        <w:rPr>
          <w:rFonts w:ascii="Times New Roman" w:hAnsi="Times New Roman"/>
          <w:sz w:val="26"/>
          <w:szCs w:val="26"/>
        </w:rPr>
        <w:t xml:space="preserve">Although the Complainant supplied paperwork in an attempt to prove his claim, the ALJ stated that the paperwork he supplied was incomplete and not demonstrative of incarceration. </w:t>
      </w:r>
      <w:r w:rsidR="00D12765">
        <w:rPr>
          <w:rFonts w:ascii="Times New Roman" w:hAnsi="Times New Roman"/>
          <w:sz w:val="26"/>
          <w:szCs w:val="26"/>
        </w:rPr>
        <w:t xml:space="preserve"> First, t</w:t>
      </w:r>
      <w:r w:rsidRPr="00D12E2D">
        <w:rPr>
          <w:rFonts w:ascii="Times New Roman" w:hAnsi="Times New Roman"/>
          <w:sz w:val="26"/>
          <w:szCs w:val="26"/>
        </w:rPr>
        <w:t xml:space="preserve">he ALJ explained that the Complainant submitted </w:t>
      </w:r>
      <w:r w:rsidR="009A7F6A">
        <w:rPr>
          <w:rFonts w:ascii="Times New Roman" w:hAnsi="Times New Roman"/>
          <w:sz w:val="26"/>
          <w:szCs w:val="26"/>
        </w:rPr>
        <w:t xml:space="preserve">two </w:t>
      </w:r>
      <w:r w:rsidRPr="00D12E2D">
        <w:rPr>
          <w:rFonts w:ascii="Times New Roman" w:hAnsi="Times New Roman"/>
          <w:sz w:val="26"/>
          <w:szCs w:val="26"/>
        </w:rPr>
        <w:t xml:space="preserve">pages of a </w:t>
      </w:r>
      <w:r w:rsidR="009A7F6A">
        <w:rPr>
          <w:rFonts w:ascii="Times New Roman" w:hAnsi="Times New Roman"/>
          <w:sz w:val="26"/>
          <w:szCs w:val="26"/>
        </w:rPr>
        <w:t>three</w:t>
      </w:r>
      <w:r w:rsidRPr="00D12E2D">
        <w:rPr>
          <w:rFonts w:ascii="Times New Roman" w:hAnsi="Times New Roman"/>
          <w:sz w:val="26"/>
          <w:szCs w:val="26"/>
        </w:rPr>
        <w:t>-page report</w:t>
      </w:r>
      <w:r w:rsidRPr="00D12E2D">
        <w:rPr>
          <w:rStyle w:val="FootnoteReference"/>
          <w:rFonts w:ascii="Times New Roman" w:hAnsi="Times New Roman"/>
          <w:sz w:val="26"/>
          <w:szCs w:val="26"/>
        </w:rPr>
        <w:footnoteReference w:id="4"/>
      </w:r>
      <w:r w:rsidRPr="00D12E2D">
        <w:rPr>
          <w:rFonts w:ascii="Times New Roman" w:hAnsi="Times New Roman"/>
          <w:sz w:val="26"/>
          <w:szCs w:val="26"/>
        </w:rPr>
        <w:t xml:space="preserve"> from the Municipal Court of Philadelphia. </w:t>
      </w:r>
      <w:r w:rsidR="004C2FC7">
        <w:rPr>
          <w:rFonts w:ascii="Times New Roman" w:hAnsi="Times New Roman"/>
          <w:sz w:val="26"/>
          <w:szCs w:val="26"/>
        </w:rPr>
        <w:t xml:space="preserve"> </w:t>
      </w:r>
      <w:r w:rsidRPr="00D12E2D">
        <w:rPr>
          <w:rFonts w:ascii="Times New Roman" w:hAnsi="Times New Roman"/>
          <w:sz w:val="26"/>
          <w:szCs w:val="26"/>
        </w:rPr>
        <w:t xml:space="preserve">Complainant Exh. 1. </w:t>
      </w:r>
      <w:r w:rsidR="00265C56">
        <w:rPr>
          <w:rFonts w:ascii="Times New Roman" w:hAnsi="Times New Roman"/>
          <w:sz w:val="26"/>
          <w:szCs w:val="26"/>
        </w:rPr>
        <w:t xml:space="preserve"> </w:t>
      </w:r>
      <w:r w:rsidRPr="00D12E2D">
        <w:rPr>
          <w:rFonts w:ascii="Times New Roman" w:hAnsi="Times New Roman"/>
          <w:sz w:val="26"/>
          <w:szCs w:val="26"/>
        </w:rPr>
        <w:t xml:space="preserve">Since a page is missing from this report, it is incomplete. </w:t>
      </w:r>
      <w:r w:rsidR="00D12765">
        <w:rPr>
          <w:rFonts w:ascii="Times New Roman" w:hAnsi="Times New Roman"/>
          <w:sz w:val="26"/>
          <w:szCs w:val="26"/>
        </w:rPr>
        <w:t xml:space="preserve"> </w:t>
      </w:r>
      <w:r w:rsidRPr="00D12E2D">
        <w:rPr>
          <w:rFonts w:ascii="Times New Roman" w:hAnsi="Times New Roman"/>
          <w:sz w:val="26"/>
          <w:szCs w:val="26"/>
        </w:rPr>
        <w:t>Second,</w:t>
      </w:r>
      <w:r w:rsidR="00D12765">
        <w:rPr>
          <w:rFonts w:ascii="Times New Roman" w:hAnsi="Times New Roman"/>
          <w:sz w:val="26"/>
          <w:szCs w:val="26"/>
        </w:rPr>
        <w:t xml:space="preserve"> the ALJ explained that</w:t>
      </w:r>
      <w:r w:rsidRPr="00D12E2D">
        <w:rPr>
          <w:rFonts w:ascii="Times New Roman" w:hAnsi="Times New Roman"/>
          <w:sz w:val="26"/>
          <w:szCs w:val="26"/>
        </w:rPr>
        <w:t xml:space="preserve"> although these pages </w:t>
      </w:r>
      <w:r w:rsidR="00E551FE">
        <w:rPr>
          <w:rFonts w:ascii="Times New Roman" w:hAnsi="Times New Roman"/>
          <w:sz w:val="26"/>
          <w:szCs w:val="26"/>
        </w:rPr>
        <w:t xml:space="preserve">show </w:t>
      </w:r>
      <w:r w:rsidRPr="00D12E2D">
        <w:rPr>
          <w:rFonts w:ascii="Times New Roman" w:hAnsi="Times New Roman"/>
          <w:sz w:val="26"/>
          <w:szCs w:val="26"/>
        </w:rPr>
        <w:t xml:space="preserve">that the Complainant was arrested and charged with an offense on February 9, 2017, and that the charge was withdrawn on April 11, 2017, there </w:t>
      </w:r>
      <w:r w:rsidR="004C2FC7">
        <w:rPr>
          <w:rFonts w:ascii="Times New Roman" w:hAnsi="Times New Roman"/>
          <w:sz w:val="26"/>
          <w:szCs w:val="26"/>
        </w:rPr>
        <w:t>was</w:t>
      </w:r>
      <w:r w:rsidRPr="00D12E2D">
        <w:rPr>
          <w:rFonts w:ascii="Times New Roman" w:hAnsi="Times New Roman"/>
          <w:sz w:val="26"/>
          <w:szCs w:val="26"/>
        </w:rPr>
        <w:t xml:space="preserve"> nothing on these pages to establish that he was incarcerated between February 9, 2017 and April 11, 2017.</w:t>
      </w:r>
      <w:r w:rsidR="00D12765">
        <w:rPr>
          <w:rFonts w:ascii="Times New Roman" w:hAnsi="Times New Roman"/>
          <w:sz w:val="26"/>
          <w:szCs w:val="26"/>
        </w:rPr>
        <w:t xml:space="preserve">  I.D. at</w:t>
      </w:r>
      <w:r w:rsidR="00265C56">
        <w:rPr>
          <w:rFonts w:ascii="Times New Roman" w:hAnsi="Times New Roman"/>
          <w:sz w:val="26"/>
          <w:szCs w:val="26"/>
        </w:rPr>
        <w:t> </w:t>
      </w:r>
      <w:r w:rsidR="00D12765">
        <w:rPr>
          <w:rFonts w:ascii="Times New Roman" w:hAnsi="Times New Roman"/>
          <w:sz w:val="26"/>
          <w:szCs w:val="26"/>
        </w:rPr>
        <w:t>6-7.</w:t>
      </w:r>
    </w:p>
    <w:p w14:paraId="367C402B" w14:textId="77777777" w:rsidR="00D12765" w:rsidRDefault="00D12765" w:rsidP="00D12765">
      <w:pPr>
        <w:spacing w:line="360" w:lineRule="auto"/>
        <w:ind w:firstLine="1440"/>
        <w:textAlignment w:val="baseline"/>
        <w:rPr>
          <w:rFonts w:ascii="Times New Roman" w:hAnsi="Times New Roman"/>
          <w:sz w:val="26"/>
          <w:szCs w:val="26"/>
        </w:rPr>
      </w:pPr>
    </w:p>
    <w:p w14:paraId="728570CA" w14:textId="7EFBBAC3" w:rsidR="00D12765" w:rsidRPr="007D25D9" w:rsidRDefault="00D12765" w:rsidP="00E375E7">
      <w:pPr>
        <w:spacing w:line="360" w:lineRule="auto"/>
        <w:ind w:firstLine="1440"/>
        <w:textAlignment w:val="baseline"/>
        <w:rPr>
          <w:rFonts w:ascii="Times New Roman" w:hAnsi="Times New Roman"/>
          <w:sz w:val="26"/>
          <w:szCs w:val="26"/>
        </w:rPr>
      </w:pPr>
      <w:r w:rsidRPr="007D25D9">
        <w:rPr>
          <w:rFonts w:ascii="Times New Roman" w:hAnsi="Times New Roman"/>
          <w:sz w:val="26"/>
          <w:szCs w:val="26"/>
        </w:rPr>
        <w:t xml:space="preserve">Additionally, the ALJ explained that the Complainant </w:t>
      </w:r>
      <w:r w:rsidR="004C2FC7">
        <w:rPr>
          <w:rFonts w:ascii="Times New Roman" w:hAnsi="Times New Roman"/>
          <w:sz w:val="26"/>
          <w:szCs w:val="26"/>
        </w:rPr>
        <w:t>submitted</w:t>
      </w:r>
      <w:r w:rsidRPr="007D25D9">
        <w:rPr>
          <w:rFonts w:ascii="Times New Roman" w:hAnsi="Times New Roman"/>
          <w:sz w:val="26"/>
          <w:szCs w:val="26"/>
        </w:rPr>
        <w:t xml:space="preserve"> a one-page printout from the Virginia State Judicial System website purporting to demonstrate his incarceration in Virginia in January 2017. </w:t>
      </w:r>
      <w:r w:rsidR="007D25D9">
        <w:rPr>
          <w:rFonts w:ascii="Times New Roman" w:hAnsi="Times New Roman"/>
          <w:sz w:val="26"/>
          <w:szCs w:val="26"/>
        </w:rPr>
        <w:t xml:space="preserve"> </w:t>
      </w:r>
      <w:r w:rsidRPr="007D25D9">
        <w:rPr>
          <w:rFonts w:ascii="Times New Roman" w:hAnsi="Times New Roman"/>
          <w:sz w:val="26"/>
          <w:szCs w:val="26"/>
        </w:rPr>
        <w:t>Complainant Exh. 1.  The ALJ stated that this document does appear to show that the Complainant was charged with a misdemeanor offense in Virginia on January 21, 2017.  However, aside from a handwritten note from an unidentified writer indicating “Incarcerated in VA 1/2017,” this document does not provide any official information demonstrating that the Complainant was actually incarcerated in Virginia during January 2017. I.D. at 7.</w:t>
      </w:r>
      <w:r w:rsidR="00E375E7">
        <w:rPr>
          <w:rFonts w:ascii="Times New Roman" w:hAnsi="Times New Roman"/>
          <w:sz w:val="26"/>
          <w:szCs w:val="26"/>
        </w:rPr>
        <w:t xml:space="preserve">  </w:t>
      </w:r>
      <w:r w:rsidRPr="007D25D9">
        <w:rPr>
          <w:rFonts w:ascii="Times New Roman" w:hAnsi="Times New Roman"/>
          <w:sz w:val="26"/>
          <w:szCs w:val="26"/>
        </w:rPr>
        <w:t>Therefore, based on the foregoing, the ALJ stated that he could not conclude that the Complainant was incarcerated during the period that he claimed he was incarcerated.</w:t>
      </w:r>
    </w:p>
    <w:p w14:paraId="779A04A6" w14:textId="77777777" w:rsidR="007D25D9" w:rsidRDefault="007D25D9" w:rsidP="007D25D9">
      <w:pPr>
        <w:spacing w:line="360" w:lineRule="auto"/>
        <w:ind w:firstLine="1440"/>
        <w:textAlignment w:val="baseline"/>
        <w:rPr>
          <w:rFonts w:ascii="Times New Roman" w:hAnsi="Times New Roman"/>
          <w:sz w:val="26"/>
          <w:szCs w:val="26"/>
        </w:rPr>
      </w:pPr>
    </w:p>
    <w:p w14:paraId="6BEE387C" w14:textId="680C8FCA" w:rsidR="00D12765" w:rsidRDefault="006E71DA" w:rsidP="007D25D9">
      <w:pPr>
        <w:spacing w:line="360" w:lineRule="auto"/>
        <w:ind w:firstLine="1440"/>
        <w:textAlignment w:val="baseline"/>
        <w:rPr>
          <w:rFonts w:ascii="Times New Roman" w:hAnsi="Times New Roman"/>
          <w:sz w:val="26"/>
          <w:szCs w:val="26"/>
        </w:rPr>
      </w:pPr>
      <w:r>
        <w:rPr>
          <w:rFonts w:ascii="Times New Roman" w:hAnsi="Times New Roman"/>
          <w:sz w:val="26"/>
          <w:szCs w:val="26"/>
        </w:rPr>
        <w:t>The A</w:t>
      </w:r>
      <w:r w:rsidR="007D25D9">
        <w:rPr>
          <w:rFonts w:ascii="Times New Roman" w:hAnsi="Times New Roman"/>
          <w:sz w:val="26"/>
          <w:szCs w:val="26"/>
        </w:rPr>
        <w:t xml:space="preserve">LJ </w:t>
      </w:r>
      <w:r>
        <w:rPr>
          <w:rFonts w:ascii="Times New Roman" w:hAnsi="Times New Roman"/>
          <w:sz w:val="26"/>
          <w:szCs w:val="26"/>
        </w:rPr>
        <w:t xml:space="preserve">further noted </w:t>
      </w:r>
      <w:r w:rsidR="007D25D9">
        <w:rPr>
          <w:rFonts w:ascii="Times New Roman" w:hAnsi="Times New Roman"/>
          <w:sz w:val="26"/>
          <w:szCs w:val="26"/>
        </w:rPr>
        <w:t>that t</w:t>
      </w:r>
      <w:r w:rsidR="00D12765" w:rsidRPr="007D25D9">
        <w:rPr>
          <w:rFonts w:ascii="Times New Roman" w:hAnsi="Times New Roman"/>
          <w:sz w:val="26"/>
          <w:szCs w:val="26"/>
        </w:rPr>
        <w:t xml:space="preserve">he record demonstrates, </w:t>
      </w:r>
      <w:r w:rsidR="007D25D9">
        <w:rPr>
          <w:rFonts w:ascii="Times New Roman" w:hAnsi="Times New Roman"/>
          <w:sz w:val="26"/>
          <w:szCs w:val="26"/>
        </w:rPr>
        <w:t>and the Complainant acknowledged, that he</w:t>
      </w:r>
      <w:r w:rsidR="00D12765" w:rsidRPr="007D25D9">
        <w:rPr>
          <w:rFonts w:ascii="Times New Roman" w:hAnsi="Times New Roman"/>
          <w:sz w:val="26"/>
          <w:szCs w:val="26"/>
        </w:rPr>
        <w:t xml:space="preserve"> owned and resided at the service address since May 23, 2001. </w:t>
      </w:r>
      <w:r w:rsidR="007D25D9">
        <w:rPr>
          <w:rFonts w:ascii="Times New Roman" w:hAnsi="Times New Roman"/>
          <w:sz w:val="26"/>
          <w:szCs w:val="26"/>
        </w:rPr>
        <w:t xml:space="preserve"> I.D. at</w:t>
      </w:r>
      <w:r>
        <w:rPr>
          <w:rFonts w:ascii="Times New Roman" w:hAnsi="Times New Roman"/>
          <w:sz w:val="26"/>
          <w:szCs w:val="26"/>
        </w:rPr>
        <w:t> </w:t>
      </w:r>
      <w:r w:rsidR="007D25D9">
        <w:rPr>
          <w:rFonts w:ascii="Times New Roman" w:hAnsi="Times New Roman"/>
          <w:sz w:val="26"/>
          <w:szCs w:val="26"/>
        </w:rPr>
        <w:t xml:space="preserve">7 (citing </w:t>
      </w:r>
      <w:r w:rsidR="00D12765" w:rsidRPr="007D25D9">
        <w:rPr>
          <w:rFonts w:ascii="Times New Roman" w:hAnsi="Times New Roman"/>
          <w:sz w:val="26"/>
          <w:szCs w:val="26"/>
        </w:rPr>
        <w:t xml:space="preserve">Tr. </w:t>
      </w:r>
      <w:r w:rsidR="007D25D9">
        <w:rPr>
          <w:rFonts w:ascii="Times New Roman" w:hAnsi="Times New Roman"/>
          <w:sz w:val="26"/>
          <w:szCs w:val="26"/>
        </w:rPr>
        <w:t xml:space="preserve">at </w:t>
      </w:r>
      <w:r w:rsidR="00D12765" w:rsidRPr="007D25D9">
        <w:rPr>
          <w:rFonts w:ascii="Times New Roman" w:hAnsi="Times New Roman"/>
          <w:sz w:val="26"/>
          <w:szCs w:val="26"/>
        </w:rPr>
        <w:t>1</w:t>
      </w:r>
      <w:r w:rsidR="00206AE2">
        <w:rPr>
          <w:rFonts w:ascii="Times New Roman" w:hAnsi="Times New Roman"/>
          <w:sz w:val="26"/>
          <w:szCs w:val="26"/>
        </w:rPr>
        <w:t xml:space="preserve">3, 27, 30; PGW Exh. </w:t>
      </w:r>
      <w:r w:rsidR="00D12765" w:rsidRPr="007D25D9">
        <w:rPr>
          <w:rFonts w:ascii="Times New Roman" w:hAnsi="Times New Roman"/>
          <w:sz w:val="26"/>
          <w:szCs w:val="26"/>
        </w:rPr>
        <w:t>1</w:t>
      </w:r>
      <w:r w:rsidR="007D25D9">
        <w:rPr>
          <w:rFonts w:ascii="Times New Roman" w:hAnsi="Times New Roman"/>
          <w:sz w:val="26"/>
          <w:szCs w:val="26"/>
        </w:rPr>
        <w:t>)</w:t>
      </w:r>
      <w:r w:rsidR="00D12765" w:rsidRPr="007D25D9">
        <w:rPr>
          <w:rFonts w:ascii="Times New Roman" w:hAnsi="Times New Roman"/>
          <w:sz w:val="26"/>
          <w:szCs w:val="26"/>
        </w:rPr>
        <w:t>.</w:t>
      </w:r>
      <w:r>
        <w:rPr>
          <w:rFonts w:ascii="Times New Roman" w:hAnsi="Times New Roman"/>
          <w:sz w:val="26"/>
          <w:szCs w:val="26"/>
        </w:rPr>
        <w:t xml:space="preserve"> </w:t>
      </w:r>
      <w:r w:rsidR="00D12765" w:rsidRPr="007D25D9">
        <w:rPr>
          <w:rFonts w:ascii="Times New Roman" w:hAnsi="Times New Roman"/>
          <w:sz w:val="26"/>
          <w:szCs w:val="26"/>
        </w:rPr>
        <w:t xml:space="preserve"> Since the Complainant was unable to establish that he was not living at the service address between January and April 2017, </w:t>
      </w:r>
      <w:r w:rsidR="007D25D9">
        <w:rPr>
          <w:rFonts w:ascii="Times New Roman" w:hAnsi="Times New Roman"/>
          <w:sz w:val="26"/>
          <w:szCs w:val="26"/>
        </w:rPr>
        <w:t xml:space="preserve">the ALJ concluded that </w:t>
      </w:r>
      <w:r w:rsidR="00D12765" w:rsidRPr="007D25D9">
        <w:rPr>
          <w:rFonts w:ascii="Times New Roman" w:hAnsi="Times New Roman"/>
          <w:sz w:val="26"/>
          <w:szCs w:val="26"/>
        </w:rPr>
        <w:t xml:space="preserve">PGW properly held him responsible for the balance that accrued at the service address during that period when he applied for service in his name in May 2017. </w:t>
      </w:r>
      <w:r w:rsidR="007D25D9">
        <w:rPr>
          <w:rFonts w:ascii="Times New Roman" w:hAnsi="Times New Roman"/>
          <w:sz w:val="26"/>
          <w:szCs w:val="26"/>
        </w:rPr>
        <w:t xml:space="preserve"> I.D. at 7 (citing </w:t>
      </w:r>
      <w:r w:rsidR="00D12765" w:rsidRPr="007D25D9">
        <w:rPr>
          <w:rFonts w:ascii="Times New Roman" w:hAnsi="Times New Roman"/>
          <w:sz w:val="26"/>
          <w:szCs w:val="26"/>
        </w:rPr>
        <w:t>52 Pa.</w:t>
      </w:r>
      <w:r w:rsidR="004A653A">
        <w:rPr>
          <w:rFonts w:ascii="Times New Roman" w:hAnsi="Times New Roman"/>
          <w:sz w:val="26"/>
          <w:szCs w:val="26"/>
        </w:rPr>
        <w:t xml:space="preserve"> </w:t>
      </w:r>
      <w:r w:rsidR="00D12765" w:rsidRPr="007D25D9">
        <w:rPr>
          <w:rFonts w:ascii="Times New Roman" w:hAnsi="Times New Roman"/>
          <w:sz w:val="26"/>
          <w:szCs w:val="26"/>
        </w:rPr>
        <w:t>Code § 56.35(b)(1)</w:t>
      </w:r>
      <w:r w:rsidR="007D25D9">
        <w:rPr>
          <w:rFonts w:ascii="Times New Roman" w:hAnsi="Times New Roman"/>
          <w:sz w:val="26"/>
          <w:szCs w:val="26"/>
        </w:rPr>
        <w:t>)</w:t>
      </w:r>
      <w:r w:rsidR="00D12765" w:rsidRPr="007D25D9">
        <w:rPr>
          <w:rFonts w:ascii="Times New Roman" w:hAnsi="Times New Roman"/>
          <w:sz w:val="26"/>
          <w:szCs w:val="26"/>
        </w:rPr>
        <w:t>.</w:t>
      </w:r>
    </w:p>
    <w:p w14:paraId="68557B0C" w14:textId="7C95C3A1" w:rsidR="007D25D9" w:rsidRDefault="007D25D9" w:rsidP="007D25D9">
      <w:pPr>
        <w:spacing w:line="360" w:lineRule="auto"/>
        <w:ind w:firstLine="1440"/>
        <w:textAlignment w:val="baseline"/>
        <w:rPr>
          <w:rFonts w:ascii="Times New Roman" w:hAnsi="Times New Roman"/>
          <w:sz w:val="26"/>
          <w:szCs w:val="26"/>
        </w:rPr>
      </w:pPr>
    </w:p>
    <w:p w14:paraId="60D2E541" w14:textId="6867C198" w:rsidR="004A653A" w:rsidRDefault="007D25D9" w:rsidP="007D25D9">
      <w:pPr>
        <w:spacing w:line="360" w:lineRule="auto"/>
        <w:ind w:firstLine="1440"/>
        <w:textAlignment w:val="baseline"/>
        <w:rPr>
          <w:rFonts w:ascii="Times New Roman" w:hAnsi="Times New Roman"/>
          <w:sz w:val="26"/>
          <w:szCs w:val="26"/>
        </w:rPr>
      </w:pPr>
      <w:r w:rsidRPr="007D25D9">
        <w:rPr>
          <w:rFonts w:ascii="Times New Roman" w:hAnsi="Times New Roman"/>
          <w:sz w:val="26"/>
          <w:szCs w:val="26"/>
        </w:rPr>
        <w:t xml:space="preserve">Regarding the Complainant’s request for payment arrangement relief, the ALJ explained that the Complainant testified that in October 2017, his then one-person household’s </w:t>
      </w:r>
      <w:r w:rsidR="00DD7894">
        <w:rPr>
          <w:rFonts w:ascii="Times New Roman" w:hAnsi="Times New Roman"/>
          <w:sz w:val="26"/>
          <w:szCs w:val="26"/>
        </w:rPr>
        <w:t>gross monthly income was $1,075</w:t>
      </w:r>
      <w:r w:rsidRPr="007D25D9">
        <w:rPr>
          <w:rFonts w:ascii="Times New Roman" w:hAnsi="Times New Roman"/>
          <w:sz w:val="26"/>
          <w:szCs w:val="26"/>
        </w:rPr>
        <w:t xml:space="preserve"> when BCS granted him a payment arrangement. </w:t>
      </w:r>
      <w:r w:rsidR="005D0A83">
        <w:rPr>
          <w:rFonts w:ascii="Times New Roman" w:hAnsi="Times New Roman"/>
          <w:sz w:val="26"/>
          <w:szCs w:val="26"/>
        </w:rPr>
        <w:t xml:space="preserve"> </w:t>
      </w:r>
      <w:r w:rsidRPr="007D25D9">
        <w:rPr>
          <w:rFonts w:ascii="Times New Roman" w:hAnsi="Times New Roman"/>
          <w:sz w:val="26"/>
          <w:szCs w:val="26"/>
        </w:rPr>
        <w:t>The Complainant’s gross monthly household income in October 2017 placed his household below 150% of the federal poverty level.</w:t>
      </w:r>
      <w:r w:rsidR="00DD7894" w:rsidRPr="00DD7894">
        <w:rPr>
          <w:rStyle w:val="FootnoteReference"/>
          <w:rFonts w:ascii="Times New Roman" w:eastAsiaTheme="minorHAnsi" w:hAnsi="Times New Roman"/>
          <w:sz w:val="26"/>
          <w:szCs w:val="26"/>
        </w:rPr>
        <w:t xml:space="preserve"> </w:t>
      </w:r>
      <w:r w:rsidR="00DD7894">
        <w:rPr>
          <w:rStyle w:val="FootnoteReference"/>
          <w:rFonts w:ascii="Times New Roman" w:eastAsiaTheme="minorHAnsi" w:hAnsi="Times New Roman"/>
          <w:sz w:val="26"/>
          <w:szCs w:val="26"/>
        </w:rPr>
        <w:footnoteReference w:id="5"/>
      </w:r>
      <w:r w:rsidR="00DD7894" w:rsidRPr="00321F4B">
        <w:rPr>
          <w:rFonts w:ascii="Times New Roman" w:hAnsi="Times New Roman"/>
          <w:sz w:val="26"/>
          <w:szCs w:val="26"/>
        </w:rPr>
        <w:t xml:space="preserve"> </w:t>
      </w:r>
      <w:r w:rsidRPr="007D25D9">
        <w:rPr>
          <w:rFonts w:ascii="Times New Roman" w:hAnsi="Times New Roman"/>
          <w:sz w:val="26"/>
          <w:szCs w:val="26"/>
        </w:rPr>
        <w:t xml:space="preserve"> The Complainant further </w:t>
      </w:r>
      <w:r w:rsidRPr="007D25D9">
        <w:rPr>
          <w:rFonts w:ascii="Times New Roman" w:hAnsi="Times New Roman"/>
          <w:sz w:val="26"/>
          <w:szCs w:val="26"/>
        </w:rPr>
        <w:lastRenderedPageBreak/>
        <w:t xml:space="preserve">testified that his current two-person household’s </w:t>
      </w:r>
      <w:r w:rsidR="008C417A">
        <w:rPr>
          <w:rFonts w:ascii="Times New Roman" w:hAnsi="Times New Roman"/>
          <w:sz w:val="26"/>
          <w:szCs w:val="26"/>
        </w:rPr>
        <w:t>gross monthly income is $1,093</w:t>
      </w:r>
      <w:r w:rsidRPr="007D25D9">
        <w:rPr>
          <w:rFonts w:ascii="Times New Roman" w:hAnsi="Times New Roman"/>
          <w:sz w:val="26"/>
          <w:szCs w:val="26"/>
        </w:rPr>
        <w:t>, placing his household below 150% of the federal poverty level.</w:t>
      </w:r>
      <w:r w:rsidR="00DD7894">
        <w:rPr>
          <w:rStyle w:val="FootnoteReference"/>
          <w:rFonts w:ascii="Times New Roman" w:eastAsiaTheme="minorHAnsi" w:hAnsi="Times New Roman"/>
          <w:sz w:val="26"/>
          <w:szCs w:val="26"/>
        </w:rPr>
        <w:footnoteReference w:id="6"/>
      </w:r>
      <w:r w:rsidR="00DD7894">
        <w:rPr>
          <w:rFonts w:ascii="Times New Roman" w:hAnsi="Times New Roman"/>
          <w:sz w:val="26"/>
          <w:szCs w:val="26"/>
        </w:rPr>
        <w:t xml:space="preserve"> </w:t>
      </w:r>
      <w:r w:rsidRPr="007D25D9">
        <w:rPr>
          <w:rFonts w:ascii="Times New Roman" w:hAnsi="Times New Roman"/>
          <w:sz w:val="26"/>
          <w:szCs w:val="26"/>
        </w:rPr>
        <w:t xml:space="preserve"> To meet the definition of a “change in income” set out at 66 Pa.</w:t>
      </w:r>
      <w:r w:rsidR="00206AE2">
        <w:rPr>
          <w:rFonts w:ascii="Times New Roman" w:hAnsi="Times New Roman"/>
          <w:sz w:val="26"/>
          <w:szCs w:val="26"/>
        </w:rPr>
        <w:t xml:space="preserve"> </w:t>
      </w:r>
      <w:r w:rsidRPr="007D25D9">
        <w:rPr>
          <w:rFonts w:ascii="Times New Roman" w:hAnsi="Times New Roman"/>
          <w:sz w:val="26"/>
          <w:szCs w:val="26"/>
        </w:rPr>
        <w:t xml:space="preserve">C.S. § 1403, the </w:t>
      </w:r>
      <w:r w:rsidR="004A653A">
        <w:rPr>
          <w:rFonts w:ascii="Times New Roman" w:hAnsi="Times New Roman"/>
          <w:sz w:val="26"/>
          <w:szCs w:val="26"/>
        </w:rPr>
        <w:t xml:space="preserve">ALJ stated that the </w:t>
      </w:r>
      <w:r w:rsidRPr="007D25D9">
        <w:rPr>
          <w:rFonts w:ascii="Times New Roman" w:hAnsi="Times New Roman"/>
          <w:sz w:val="26"/>
          <w:szCs w:val="26"/>
        </w:rPr>
        <w:t xml:space="preserve">Complainant’s gross household income would have to decrease by 10% or more. However, although the Complainant’s household size increased by one, his current gross monthly household income also increased. </w:t>
      </w:r>
      <w:r w:rsidR="004A653A">
        <w:rPr>
          <w:rFonts w:ascii="Times New Roman" w:hAnsi="Times New Roman"/>
          <w:sz w:val="26"/>
          <w:szCs w:val="26"/>
        </w:rPr>
        <w:t xml:space="preserve"> </w:t>
      </w:r>
      <w:r w:rsidRPr="007D25D9">
        <w:rPr>
          <w:rFonts w:ascii="Times New Roman" w:hAnsi="Times New Roman"/>
          <w:sz w:val="26"/>
          <w:szCs w:val="26"/>
        </w:rPr>
        <w:t>Since the Co</w:t>
      </w:r>
      <w:r w:rsidR="004A653A">
        <w:rPr>
          <w:rFonts w:ascii="Times New Roman" w:hAnsi="Times New Roman"/>
          <w:sz w:val="26"/>
          <w:szCs w:val="26"/>
        </w:rPr>
        <w:t>mplainant’s household income had</w:t>
      </w:r>
      <w:r w:rsidRPr="007D25D9">
        <w:rPr>
          <w:rFonts w:ascii="Times New Roman" w:hAnsi="Times New Roman"/>
          <w:sz w:val="26"/>
          <w:szCs w:val="26"/>
        </w:rPr>
        <w:t xml:space="preserve"> increased, </w:t>
      </w:r>
      <w:r w:rsidR="004A653A">
        <w:rPr>
          <w:rFonts w:ascii="Times New Roman" w:hAnsi="Times New Roman"/>
          <w:sz w:val="26"/>
          <w:szCs w:val="26"/>
        </w:rPr>
        <w:t xml:space="preserve">the ALJ concluded </w:t>
      </w:r>
      <w:r w:rsidR="00D248A9">
        <w:rPr>
          <w:rFonts w:ascii="Times New Roman" w:hAnsi="Times New Roman"/>
          <w:sz w:val="26"/>
          <w:szCs w:val="26"/>
        </w:rPr>
        <w:t xml:space="preserve">that the Complainant did </w:t>
      </w:r>
      <w:r w:rsidRPr="007D25D9">
        <w:rPr>
          <w:rFonts w:ascii="Times New Roman" w:hAnsi="Times New Roman"/>
          <w:sz w:val="26"/>
          <w:szCs w:val="26"/>
        </w:rPr>
        <w:t>not m</w:t>
      </w:r>
      <w:r w:rsidR="00D248A9">
        <w:rPr>
          <w:rFonts w:ascii="Times New Roman" w:hAnsi="Times New Roman"/>
          <w:sz w:val="26"/>
          <w:szCs w:val="26"/>
        </w:rPr>
        <w:t>e</w:t>
      </w:r>
      <w:r w:rsidRPr="007D25D9">
        <w:rPr>
          <w:rFonts w:ascii="Times New Roman" w:hAnsi="Times New Roman"/>
          <w:sz w:val="26"/>
          <w:szCs w:val="26"/>
        </w:rPr>
        <w:t>et the def</w:t>
      </w:r>
      <w:r w:rsidR="004A653A">
        <w:rPr>
          <w:rFonts w:ascii="Times New Roman" w:hAnsi="Times New Roman"/>
          <w:sz w:val="26"/>
          <w:szCs w:val="26"/>
        </w:rPr>
        <w:t>inition of a “change in income” under Section 1403.</w:t>
      </w:r>
      <w:r w:rsidRPr="007D25D9">
        <w:rPr>
          <w:rFonts w:ascii="Times New Roman" w:hAnsi="Times New Roman"/>
          <w:sz w:val="26"/>
          <w:szCs w:val="26"/>
        </w:rPr>
        <w:t xml:space="preserve"> </w:t>
      </w:r>
      <w:r w:rsidR="004A653A">
        <w:rPr>
          <w:rFonts w:ascii="Times New Roman" w:hAnsi="Times New Roman"/>
          <w:sz w:val="26"/>
          <w:szCs w:val="26"/>
        </w:rPr>
        <w:t xml:space="preserve"> </w:t>
      </w:r>
      <w:r w:rsidR="004A653A" w:rsidRPr="007D25D9">
        <w:rPr>
          <w:rFonts w:ascii="Times New Roman" w:hAnsi="Times New Roman"/>
          <w:sz w:val="26"/>
          <w:szCs w:val="26"/>
        </w:rPr>
        <w:t>I.D. at 9</w:t>
      </w:r>
      <w:r w:rsidR="004A653A">
        <w:rPr>
          <w:rFonts w:ascii="Times New Roman" w:hAnsi="Times New Roman"/>
          <w:sz w:val="26"/>
          <w:szCs w:val="26"/>
        </w:rPr>
        <w:t>.</w:t>
      </w:r>
    </w:p>
    <w:p w14:paraId="3B15CD25" w14:textId="77777777" w:rsidR="004A653A" w:rsidRDefault="004A653A" w:rsidP="007D25D9">
      <w:pPr>
        <w:spacing w:line="360" w:lineRule="auto"/>
        <w:ind w:firstLine="1440"/>
        <w:textAlignment w:val="baseline"/>
        <w:rPr>
          <w:rFonts w:ascii="Times New Roman" w:hAnsi="Times New Roman"/>
          <w:sz w:val="26"/>
          <w:szCs w:val="26"/>
        </w:rPr>
      </w:pPr>
    </w:p>
    <w:p w14:paraId="187F0003" w14:textId="0FB9454D" w:rsidR="007D25D9" w:rsidRDefault="007D25D9" w:rsidP="007D25D9">
      <w:pPr>
        <w:spacing w:line="360" w:lineRule="auto"/>
        <w:ind w:firstLine="1440"/>
        <w:textAlignment w:val="baseline"/>
        <w:rPr>
          <w:rFonts w:ascii="Times New Roman" w:hAnsi="Times New Roman"/>
          <w:sz w:val="26"/>
          <w:szCs w:val="26"/>
        </w:rPr>
      </w:pPr>
      <w:r w:rsidRPr="007D25D9">
        <w:rPr>
          <w:rFonts w:ascii="Times New Roman" w:hAnsi="Times New Roman"/>
          <w:sz w:val="26"/>
          <w:szCs w:val="26"/>
        </w:rPr>
        <w:t xml:space="preserve">Moreover, the </w:t>
      </w:r>
      <w:r w:rsidR="004A653A">
        <w:rPr>
          <w:rFonts w:ascii="Times New Roman" w:hAnsi="Times New Roman"/>
          <w:sz w:val="26"/>
          <w:szCs w:val="26"/>
        </w:rPr>
        <w:t xml:space="preserve">ALJ </w:t>
      </w:r>
      <w:r w:rsidR="00C979DD">
        <w:rPr>
          <w:rFonts w:ascii="Times New Roman" w:hAnsi="Times New Roman"/>
          <w:sz w:val="26"/>
          <w:szCs w:val="26"/>
        </w:rPr>
        <w:t xml:space="preserve">determined </w:t>
      </w:r>
      <w:r w:rsidR="004A653A">
        <w:rPr>
          <w:rFonts w:ascii="Times New Roman" w:hAnsi="Times New Roman"/>
          <w:sz w:val="26"/>
          <w:szCs w:val="26"/>
        </w:rPr>
        <w:t xml:space="preserve">that </w:t>
      </w:r>
      <w:r w:rsidR="00C979DD">
        <w:rPr>
          <w:rFonts w:ascii="Times New Roman" w:hAnsi="Times New Roman"/>
          <w:sz w:val="26"/>
          <w:szCs w:val="26"/>
        </w:rPr>
        <w:t xml:space="preserve">the </w:t>
      </w:r>
      <w:r w:rsidRPr="007D25D9">
        <w:rPr>
          <w:rFonts w:ascii="Times New Roman" w:hAnsi="Times New Roman"/>
          <w:sz w:val="26"/>
          <w:szCs w:val="26"/>
        </w:rPr>
        <w:t xml:space="preserve">Complainant did not present any evidence to demonstrate that he experienced a </w:t>
      </w:r>
      <w:r w:rsidR="004A653A">
        <w:rPr>
          <w:rFonts w:ascii="Times New Roman" w:hAnsi="Times New Roman"/>
          <w:sz w:val="26"/>
          <w:szCs w:val="26"/>
        </w:rPr>
        <w:t>“</w:t>
      </w:r>
      <w:r w:rsidRPr="007D25D9">
        <w:rPr>
          <w:rFonts w:ascii="Times New Roman" w:hAnsi="Times New Roman"/>
          <w:sz w:val="26"/>
          <w:szCs w:val="26"/>
        </w:rPr>
        <w:t>significant change in circumstan</w:t>
      </w:r>
      <w:r w:rsidR="004A653A">
        <w:rPr>
          <w:rFonts w:ascii="Times New Roman" w:hAnsi="Times New Roman"/>
          <w:sz w:val="26"/>
          <w:szCs w:val="26"/>
        </w:rPr>
        <w:t>ces” as defined under 66 Pa.</w:t>
      </w:r>
      <w:r w:rsidR="00206AE2">
        <w:rPr>
          <w:rFonts w:ascii="Times New Roman" w:hAnsi="Times New Roman"/>
          <w:sz w:val="26"/>
          <w:szCs w:val="26"/>
        </w:rPr>
        <w:t xml:space="preserve"> </w:t>
      </w:r>
      <w:r w:rsidR="004A653A">
        <w:rPr>
          <w:rFonts w:ascii="Times New Roman" w:hAnsi="Times New Roman"/>
          <w:sz w:val="26"/>
          <w:szCs w:val="26"/>
        </w:rPr>
        <w:t>C.S.</w:t>
      </w:r>
      <w:r w:rsidRPr="007D25D9">
        <w:rPr>
          <w:rFonts w:ascii="Times New Roman" w:hAnsi="Times New Roman"/>
          <w:sz w:val="26"/>
          <w:szCs w:val="26"/>
        </w:rPr>
        <w:t xml:space="preserve"> § 1403 that caused him to default on his prior Commission-issued payment arrangement. </w:t>
      </w:r>
      <w:r w:rsidR="004A653A">
        <w:rPr>
          <w:rFonts w:ascii="Times New Roman" w:hAnsi="Times New Roman"/>
          <w:sz w:val="26"/>
          <w:szCs w:val="26"/>
        </w:rPr>
        <w:t xml:space="preserve"> </w:t>
      </w:r>
      <w:r w:rsidRPr="007D25D9">
        <w:rPr>
          <w:rFonts w:ascii="Times New Roman" w:hAnsi="Times New Roman"/>
          <w:sz w:val="26"/>
          <w:szCs w:val="26"/>
        </w:rPr>
        <w:t>As such, the</w:t>
      </w:r>
      <w:r w:rsidR="004A653A">
        <w:rPr>
          <w:rFonts w:ascii="Times New Roman" w:hAnsi="Times New Roman"/>
          <w:sz w:val="26"/>
          <w:szCs w:val="26"/>
        </w:rPr>
        <w:t xml:space="preserve"> ALJ concluded that the</w:t>
      </w:r>
      <w:r w:rsidRPr="007D25D9">
        <w:rPr>
          <w:rFonts w:ascii="Times New Roman" w:hAnsi="Times New Roman"/>
          <w:sz w:val="26"/>
          <w:szCs w:val="26"/>
        </w:rPr>
        <w:t xml:space="preserve"> Commission is constrained from providing the Complainant with another payment arrangement.  I.D. at</w:t>
      </w:r>
      <w:r w:rsidR="00C979DD">
        <w:rPr>
          <w:rFonts w:ascii="Times New Roman" w:hAnsi="Times New Roman"/>
          <w:sz w:val="26"/>
          <w:szCs w:val="26"/>
        </w:rPr>
        <w:t> </w:t>
      </w:r>
      <w:r w:rsidRPr="007D25D9">
        <w:rPr>
          <w:rFonts w:ascii="Times New Roman" w:hAnsi="Times New Roman"/>
          <w:sz w:val="26"/>
          <w:szCs w:val="26"/>
        </w:rPr>
        <w:t>9.</w:t>
      </w:r>
    </w:p>
    <w:p w14:paraId="6BC5D3FD" w14:textId="2C65E353" w:rsidR="004A653A" w:rsidRDefault="004A653A" w:rsidP="007D25D9">
      <w:pPr>
        <w:spacing w:line="360" w:lineRule="auto"/>
        <w:ind w:firstLine="1440"/>
        <w:textAlignment w:val="baseline"/>
        <w:rPr>
          <w:rFonts w:ascii="Times New Roman" w:hAnsi="Times New Roman"/>
          <w:sz w:val="26"/>
          <w:szCs w:val="26"/>
        </w:rPr>
      </w:pPr>
    </w:p>
    <w:p w14:paraId="5BCEA4F8" w14:textId="2AA78388" w:rsidR="004A653A" w:rsidRPr="007D25D9" w:rsidRDefault="004A653A" w:rsidP="007D25D9">
      <w:pPr>
        <w:spacing w:line="360" w:lineRule="auto"/>
        <w:ind w:firstLine="1440"/>
        <w:textAlignment w:val="baseline"/>
        <w:rPr>
          <w:rFonts w:ascii="Times New Roman" w:hAnsi="Times New Roman"/>
          <w:spacing w:val="4"/>
          <w:sz w:val="26"/>
          <w:szCs w:val="26"/>
        </w:rPr>
      </w:pPr>
      <w:r>
        <w:rPr>
          <w:rFonts w:ascii="Times New Roman" w:hAnsi="Times New Roman"/>
          <w:sz w:val="26"/>
          <w:szCs w:val="26"/>
        </w:rPr>
        <w:t>Based on the foregoing, the ALJ denied the Complainant’s request for relief in terms of a second payment arrangement or extension of his initial payment arrangement.  I.D. at 10.</w:t>
      </w:r>
    </w:p>
    <w:p w14:paraId="416EA08D" w14:textId="77777777" w:rsidR="001C653C" w:rsidRPr="00B01381" w:rsidRDefault="001C653C" w:rsidP="0061437C">
      <w:pPr>
        <w:tabs>
          <w:tab w:val="left" w:pos="-720"/>
        </w:tabs>
        <w:suppressAutoHyphens/>
        <w:spacing w:line="360" w:lineRule="auto"/>
        <w:rPr>
          <w:rFonts w:ascii="Times New Roman" w:hAnsi="Times New Roman"/>
          <w:b/>
          <w:sz w:val="26"/>
        </w:rPr>
      </w:pPr>
    </w:p>
    <w:p w14:paraId="3505A476" w14:textId="77777777" w:rsidR="00662F4E" w:rsidRPr="00662F4E" w:rsidRDefault="00662F4E" w:rsidP="001C653C">
      <w:pPr>
        <w:keepNext/>
        <w:keepLines/>
        <w:tabs>
          <w:tab w:val="left" w:pos="-720"/>
        </w:tabs>
        <w:suppressAutoHyphens/>
        <w:spacing w:line="360" w:lineRule="auto"/>
        <w:rPr>
          <w:rFonts w:ascii="Times New Roman" w:hAnsi="Times New Roman"/>
          <w:b/>
          <w:sz w:val="26"/>
        </w:rPr>
      </w:pPr>
      <w:r>
        <w:rPr>
          <w:rFonts w:ascii="Times New Roman" w:hAnsi="Times New Roman"/>
          <w:b/>
          <w:sz w:val="26"/>
        </w:rPr>
        <w:t>Disposition</w:t>
      </w:r>
    </w:p>
    <w:p w14:paraId="348305EE" w14:textId="182408D9" w:rsidR="00662F4E" w:rsidRPr="00321F4B" w:rsidRDefault="00662F4E" w:rsidP="001C653C">
      <w:pPr>
        <w:keepNext/>
        <w:keepLines/>
        <w:tabs>
          <w:tab w:val="left" w:pos="-720"/>
        </w:tabs>
        <w:suppressAutoHyphens/>
        <w:spacing w:line="360" w:lineRule="auto"/>
        <w:rPr>
          <w:rFonts w:ascii="Times New Roman" w:hAnsi="Times New Roman"/>
          <w:sz w:val="26"/>
          <w:szCs w:val="26"/>
        </w:rPr>
      </w:pPr>
    </w:p>
    <w:p w14:paraId="77A637CA" w14:textId="707B068E" w:rsidR="00321F4B" w:rsidRPr="00321F4B" w:rsidRDefault="00530E82" w:rsidP="00321F4B">
      <w:pPr>
        <w:tabs>
          <w:tab w:val="left" w:pos="-720"/>
        </w:tabs>
        <w:suppressAutoHyphens/>
        <w:spacing w:line="360" w:lineRule="auto"/>
        <w:ind w:firstLine="1440"/>
        <w:rPr>
          <w:rFonts w:ascii="Times New Roman" w:hAnsi="Times New Roman"/>
          <w:sz w:val="26"/>
          <w:szCs w:val="26"/>
        </w:rPr>
      </w:pPr>
      <w:r w:rsidRPr="00321F4B">
        <w:rPr>
          <w:rFonts w:ascii="Times New Roman" w:hAnsi="Times New Roman"/>
          <w:sz w:val="26"/>
          <w:szCs w:val="26"/>
        </w:rPr>
        <w:t>Upon our review and consideration of the record evidence and the Complainant’s Exceptions, we</w:t>
      </w:r>
      <w:r w:rsidR="000E5683" w:rsidRPr="00321F4B">
        <w:rPr>
          <w:rFonts w:ascii="Times New Roman" w:hAnsi="Times New Roman"/>
          <w:sz w:val="26"/>
          <w:szCs w:val="26"/>
        </w:rPr>
        <w:t xml:space="preserve"> affirm the </w:t>
      </w:r>
      <w:r w:rsidR="00321F4B" w:rsidRPr="00321F4B">
        <w:rPr>
          <w:rFonts w:ascii="Times New Roman" w:hAnsi="Times New Roman"/>
          <w:sz w:val="26"/>
          <w:szCs w:val="26"/>
        </w:rPr>
        <w:t>ALJ’s decision to deny the Complainant’s allegations regarding incorrect billing charges.  However, as to the Complainant’s request for payment arrangement</w:t>
      </w:r>
      <w:r w:rsidR="004A653A">
        <w:rPr>
          <w:rFonts w:ascii="Times New Roman" w:hAnsi="Times New Roman"/>
          <w:sz w:val="26"/>
          <w:szCs w:val="26"/>
        </w:rPr>
        <w:t xml:space="preserve"> relief</w:t>
      </w:r>
      <w:r w:rsidR="00321F4B" w:rsidRPr="00321F4B">
        <w:rPr>
          <w:rFonts w:ascii="Times New Roman" w:hAnsi="Times New Roman"/>
          <w:sz w:val="26"/>
          <w:szCs w:val="26"/>
        </w:rPr>
        <w:t>, we find</w:t>
      </w:r>
      <w:r w:rsidR="002949E9">
        <w:rPr>
          <w:rFonts w:ascii="Times New Roman" w:hAnsi="Times New Roman"/>
          <w:sz w:val="26"/>
          <w:szCs w:val="26"/>
        </w:rPr>
        <w:t>, contrary to the ALJ’s determination,</w:t>
      </w:r>
      <w:r w:rsidR="00321F4B" w:rsidRPr="00321F4B">
        <w:rPr>
          <w:rFonts w:ascii="Times New Roman" w:hAnsi="Times New Roman"/>
          <w:sz w:val="26"/>
          <w:szCs w:val="26"/>
        </w:rPr>
        <w:t xml:space="preserve"> that the </w:t>
      </w:r>
      <w:r w:rsidR="00321F4B" w:rsidRPr="00321F4B">
        <w:rPr>
          <w:rFonts w:ascii="Times New Roman" w:hAnsi="Times New Roman"/>
          <w:sz w:val="26"/>
          <w:szCs w:val="26"/>
        </w:rPr>
        <w:lastRenderedPageBreak/>
        <w:t xml:space="preserve">Complainant sustained his burden of showing that his default </w:t>
      </w:r>
      <w:r w:rsidR="004A653A">
        <w:rPr>
          <w:rFonts w:ascii="Times New Roman" w:hAnsi="Times New Roman"/>
          <w:sz w:val="26"/>
          <w:szCs w:val="26"/>
        </w:rPr>
        <w:t xml:space="preserve">on his Commission-issued payment arrangement </w:t>
      </w:r>
      <w:r w:rsidR="00321F4B" w:rsidRPr="00321F4B">
        <w:rPr>
          <w:rFonts w:ascii="Times New Roman" w:hAnsi="Times New Roman"/>
          <w:sz w:val="26"/>
          <w:szCs w:val="26"/>
        </w:rPr>
        <w:t xml:space="preserve">was a result of a “significant change in circumstance,” specifically due to an “increase in the customer’s number of dependents </w:t>
      </w:r>
      <w:r w:rsidR="004A653A">
        <w:rPr>
          <w:rFonts w:ascii="Times New Roman" w:hAnsi="Times New Roman"/>
          <w:sz w:val="26"/>
          <w:szCs w:val="26"/>
        </w:rPr>
        <w:t>in the household.</w:t>
      </w:r>
      <w:r w:rsidR="00321F4B" w:rsidRPr="00321F4B">
        <w:rPr>
          <w:rFonts w:ascii="Times New Roman" w:hAnsi="Times New Roman"/>
          <w:sz w:val="26"/>
          <w:szCs w:val="26"/>
        </w:rPr>
        <w:t>”</w:t>
      </w:r>
      <w:r w:rsidR="004A653A">
        <w:rPr>
          <w:rFonts w:ascii="Times New Roman" w:hAnsi="Times New Roman"/>
          <w:sz w:val="26"/>
          <w:szCs w:val="26"/>
        </w:rPr>
        <w:t xml:space="preserve">  66 Pa. C.S. § 1403. </w:t>
      </w:r>
    </w:p>
    <w:p w14:paraId="556B561A" w14:textId="3F1D5AB3" w:rsidR="00321F4B" w:rsidRPr="00321F4B" w:rsidRDefault="00321F4B" w:rsidP="00321F4B">
      <w:pPr>
        <w:tabs>
          <w:tab w:val="left" w:pos="-720"/>
        </w:tabs>
        <w:suppressAutoHyphens/>
        <w:spacing w:line="360" w:lineRule="auto"/>
        <w:ind w:firstLine="1440"/>
        <w:rPr>
          <w:rFonts w:ascii="Times New Roman" w:hAnsi="Times New Roman"/>
          <w:sz w:val="26"/>
          <w:szCs w:val="26"/>
        </w:rPr>
      </w:pPr>
    </w:p>
    <w:p w14:paraId="7B849E11" w14:textId="4456EA09" w:rsidR="00DD7894" w:rsidRDefault="00DD7894" w:rsidP="00D80A57">
      <w:pPr>
        <w:spacing w:line="360" w:lineRule="auto"/>
        <w:ind w:firstLine="1440"/>
        <w:rPr>
          <w:rFonts w:ascii="Times New Roman" w:hAnsi="Times New Roman"/>
          <w:sz w:val="26"/>
          <w:szCs w:val="26"/>
        </w:rPr>
      </w:pPr>
      <w:r>
        <w:rPr>
          <w:rFonts w:ascii="Times New Roman" w:hAnsi="Times New Roman"/>
          <w:sz w:val="26"/>
          <w:szCs w:val="26"/>
        </w:rPr>
        <w:t xml:space="preserve">The </w:t>
      </w:r>
      <w:r w:rsidR="00312141">
        <w:rPr>
          <w:rFonts w:ascii="Times New Roman" w:hAnsi="Times New Roman"/>
          <w:sz w:val="26"/>
          <w:szCs w:val="26"/>
        </w:rPr>
        <w:t xml:space="preserve">Commission’s </w:t>
      </w:r>
      <w:r w:rsidRPr="00321F4B">
        <w:rPr>
          <w:rFonts w:ascii="Times New Roman" w:eastAsiaTheme="minorHAnsi" w:hAnsi="Times New Roman"/>
          <w:sz w:val="26"/>
          <w:szCs w:val="26"/>
        </w:rPr>
        <w:t xml:space="preserve">Bureau of Consumer Services (BCS) </w:t>
      </w:r>
      <w:r>
        <w:rPr>
          <w:rFonts w:ascii="Times New Roman" w:hAnsi="Times New Roman"/>
          <w:sz w:val="26"/>
          <w:szCs w:val="26"/>
        </w:rPr>
        <w:t>issued the Complainant a payment arrangement</w:t>
      </w:r>
      <w:r w:rsidR="00C961E2">
        <w:rPr>
          <w:rFonts w:ascii="Times New Roman" w:hAnsi="Times New Roman"/>
          <w:sz w:val="26"/>
          <w:szCs w:val="26"/>
        </w:rPr>
        <w:t xml:space="preserve"> o</w:t>
      </w:r>
      <w:r>
        <w:rPr>
          <w:rFonts w:ascii="Times New Roman" w:hAnsi="Times New Roman"/>
          <w:sz w:val="26"/>
          <w:szCs w:val="26"/>
        </w:rPr>
        <w:t xml:space="preserve">n October </w:t>
      </w:r>
      <w:r w:rsidR="00C961E2">
        <w:rPr>
          <w:rFonts w:ascii="Times New Roman" w:hAnsi="Times New Roman"/>
          <w:sz w:val="26"/>
          <w:szCs w:val="26"/>
        </w:rPr>
        <w:t xml:space="preserve">11, </w:t>
      </w:r>
      <w:r>
        <w:rPr>
          <w:rFonts w:ascii="Times New Roman" w:hAnsi="Times New Roman"/>
          <w:sz w:val="26"/>
          <w:szCs w:val="26"/>
        </w:rPr>
        <w:t>2017 for arrearages he owed</w:t>
      </w:r>
      <w:r w:rsidR="00312141">
        <w:rPr>
          <w:rFonts w:ascii="Times New Roman" w:hAnsi="Times New Roman"/>
          <w:sz w:val="26"/>
          <w:szCs w:val="26"/>
        </w:rPr>
        <w:t xml:space="preserve"> to PGW</w:t>
      </w:r>
      <w:r>
        <w:rPr>
          <w:rFonts w:ascii="Times New Roman" w:hAnsi="Times New Roman"/>
          <w:sz w:val="26"/>
          <w:szCs w:val="26"/>
        </w:rPr>
        <w:t xml:space="preserve"> for utility service rendered by PGW</w:t>
      </w:r>
      <w:r w:rsidR="00312141">
        <w:rPr>
          <w:rFonts w:ascii="Times New Roman" w:hAnsi="Times New Roman"/>
          <w:sz w:val="26"/>
          <w:szCs w:val="26"/>
        </w:rPr>
        <w:t>.</w:t>
      </w:r>
      <w:r w:rsidR="00C961E2">
        <w:rPr>
          <w:rFonts w:ascii="Times New Roman" w:hAnsi="Times New Roman"/>
          <w:sz w:val="26"/>
          <w:szCs w:val="26"/>
        </w:rPr>
        <w:t xml:space="preserve">  FOF No. 16</w:t>
      </w:r>
      <w:r w:rsidR="006E4B1C">
        <w:rPr>
          <w:rFonts w:ascii="Times New Roman" w:hAnsi="Times New Roman"/>
          <w:sz w:val="26"/>
          <w:szCs w:val="26"/>
        </w:rPr>
        <w:t xml:space="preserve"> (citing Tr. at 20)</w:t>
      </w:r>
      <w:r w:rsidR="00C961E2">
        <w:rPr>
          <w:rFonts w:ascii="Times New Roman" w:hAnsi="Times New Roman"/>
          <w:sz w:val="26"/>
          <w:szCs w:val="26"/>
        </w:rPr>
        <w:t xml:space="preserve">.  </w:t>
      </w:r>
      <w:r w:rsidR="00312141">
        <w:rPr>
          <w:rFonts w:ascii="Times New Roman" w:hAnsi="Times New Roman"/>
          <w:sz w:val="26"/>
          <w:szCs w:val="26"/>
        </w:rPr>
        <w:t>The BCS</w:t>
      </w:r>
      <w:r w:rsidR="00C961E2">
        <w:rPr>
          <w:rFonts w:ascii="Times New Roman" w:hAnsi="Times New Roman"/>
          <w:sz w:val="26"/>
          <w:szCs w:val="26"/>
        </w:rPr>
        <w:t>-</w:t>
      </w:r>
      <w:r>
        <w:rPr>
          <w:rFonts w:ascii="Times New Roman" w:hAnsi="Times New Roman"/>
          <w:sz w:val="26"/>
          <w:szCs w:val="26"/>
        </w:rPr>
        <w:t>issued</w:t>
      </w:r>
      <w:r w:rsidR="00C961E2">
        <w:rPr>
          <w:rFonts w:ascii="Times New Roman" w:hAnsi="Times New Roman"/>
          <w:sz w:val="26"/>
          <w:szCs w:val="26"/>
        </w:rPr>
        <w:t xml:space="preserve"> </w:t>
      </w:r>
      <w:r>
        <w:rPr>
          <w:rFonts w:ascii="Times New Roman" w:hAnsi="Times New Roman"/>
          <w:sz w:val="26"/>
          <w:szCs w:val="26"/>
        </w:rPr>
        <w:t>payment arrangemen</w:t>
      </w:r>
      <w:r w:rsidR="00312141">
        <w:rPr>
          <w:rFonts w:ascii="Times New Roman" w:hAnsi="Times New Roman"/>
          <w:sz w:val="26"/>
          <w:szCs w:val="26"/>
        </w:rPr>
        <w:t>t</w:t>
      </w:r>
      <w:r>
        <w:rPr>
          <w:rFonts w:ascii="Times New Roman" w:hAnsi="Times New Roman"/>
          <w:sz w:val="26"/>
          <w:szCs w:val="26"/>
        </w:rPr>
        <w:t xml:space="preserve"> </w:t>
      </w:r>
      <w:r w:rsidR="00C961E2">
        <w:rPr>
          <w:rFonts w:ascii="Times New Roman" w:hAnsi="Times New Roman"/>
          <w:sz w:val="26"/>
          <w:szCs w:val="26"/>
        </w:rPr>
        <w:t>was made in accordance with the</w:t>
      </w:r>
      <w:r>
        <w:rPr>
          <w:rFonts w:ascii="Times New Roman" w:hAnsi="Times New Roman"/>
          <w:sz w:val="26"/>
          <w:szCs w:val="26"/>
        </w:rPr>
        <w:t xml:space="preserve"> Commission’s authority under </w:t>
      </w:r>
      <w:r w:rsidR="00C961E2">
        <w:rPr>
          <w:rFonts w:ascii="Times New Roman" w:hAnsi="Times New Roman"/>
          <w:sz w:val="26"/>
          <w:szCs w:val="26"/>
        </w:rPr>
        <w:t xml:space="preserve">Section 1405(a) of the Code, which authorizes the Commission </w:t>
      </w:r>
      <w:r>
        <w:rPr>
          <w:rFonts w:ascii="Times New Roman" w:hAnsi="Times New Roman"/>
          <w:sz w:val="26"/>
          <w:szCs w:val="26"/>
        </w:rPr>
        <w:t xml:space="preserve">to issue at least one payment arrangement for a customer of a public utility.  </w:t>
      </w:r>
      <w:r w:rsidR="00C961E2">
        <w:rPr>
          <w:rFonts w:ascii="Times New Roman" w:hAnsi="Times New Roman"/>
          <w:sz w:val="26"/>
          <w:szCs w:val="26"/>
        </w:rPr>
        <w:t>66 Pa. C.S. § 1405(a).  The terms of the BCS-issued payment arrangement consisted of a $2,894.91 balance to be paid by Mr.</w:t>
      </w:r>
      <w:r w:rsidR="000E4B11">
        <w:rPr>
          <w:rFonts w:ascii="Times New Roman" w:hAnsi="Times New Roman"/>
          <w:sz w:val="26"/>
          <w:szCs w:val="26"/>
        </w:rPr>
        <w:t> </w:t>
      </w:r>
      <w:r w:rsidR="00C961E2">
        <w:rPr>
          <w:rFonts w:ascii="Times New Roman" w:hAnsi="Times New Roman"/>
          <w:sz w:val="26"/>
          <w:szCs w:val="26"/>
        </w:rPr>
        <w:t xml:space="preserve">Hayes </w:t>
      </w:r>
      <w:r w:rsidR="006E4B1C">
        <w:rPr>
          <w:rFonts w:ascii="Times New Roman" w:hAnsi="Times New Roman"/>
          <w:sz w:val="26"/>
          <w:szCs w:val="26"/>
        </w:rPr>
        <w:t xml:space="preserve">to PGW </w:t>
      </w:r>
      <w:r w:rsidR="00C961E2">
        <w:rPr>
          <w:rFonts w:ascii="Times New Roman" w:hAnsi="Times New Roman"/>
          <w:sz w:val="26"/>
          <w:szCs w:val="26"/>
        </w:rPr>
        <w:t xml:space="preserve">in </w:t>
      </w:r>
      <w:r w:rsidR="007D3948">
        <w:rPr>
          <w:rFonts w:ascii="Times New Roman" w:hAnsi="Times New Roman"/>
          <w:sz w:val="26"/>
          <w:szCs w:val="26"/>
        </w:rPr>
        <w:t xml:space="preserve">equal </w:t>
      </w:r>
      <w:r w:rsidR="00C961E2">
        <w:rPr>
          <w:rFonts w:ascii="Times New Roman" w:hAnsi="Times New Roman"/>
          <w:sz w:val="26"/>
          <w:szCs w:val="26"/>
        </w:rPr>
        <w:t xml:space="preserve">monthly installments in the amount of $169 ($49 arrears + $120 </w:t>
      </w:r>
      <w:r w:rsidR="009F5FC0">
        <w:rPr>
          <w:rFonts w:ascii="Times New Roman" w:hAnsi="Times New Roman"/>
          <w:sz w:val="26"/>
          <w:szCs w:val="26"/>
        </w:rPr>
        <w:t>current/</w:t>
      </w:r>
      <w:r w:rsidR="00C961E2">
        <w:rPr>
          <w:rFonts w:ascii="Times New Roman" w:hAnsi="Times New Roman"/>
          <w:sz w:val="26"/>
          <w:szCs w:val="26"/>
        </w:rPr>
        <w:t>budget</w:t>
      </w:r>
      <w:r w:rsidR="00F75CB0">
        <w:rPr>
          <w:rFonts w:ascii="Times New Roman" w:hAnsi="Times New Roman"/>
          <w:sz w:val="26"/>
          <w:szCs w:val="26"/>
        </w:rPr>
        <w:t xml:space="preserve"> bill</w:t>
      </w:r>
      <w:r w:rsidR="00C961E2">
        <w:rPr>
          <w:rFonts w:ascii="Times New Roman" w:hAnsi="Times New Roman"/>
          <w:sz w:val="26"/>
          <w:szCs w:val="26"/>
        </w:rPr>
        <w:t>) for a period of 60 months.  FOF No. 16</w:t>
      </w:r>
      <w:r w:rsidR="006E4B1C">
        <w:rPr>
          <w:rFonts w:ascii="Times New Roman" w:hAnsi="Times New Roman"/>
          <w:sz w:val="26"/>
          <w:szCs w:val="26"/>
        </w:rPr>
        <w:t xml:space="preserve"> (citing Tr. at 20)</w:t>
      </w:r>
      <w:r w:rsidR="00C961E2">
        <w:rPr>
          <w:rFonts w:ascii="Times New Roman" w:hAnsi="Times New Roman"/>
          <w:sz w:val="26"/>
          <w:szCs w:val="26"/>
        </w:rPr>
        <w:t>.</w:t>
      </w:r>
    </w:p>
    <w:p w14:paraId="07A0FFC5" w14:textId="77777777" w:rsidR="00DD7894" w:rsidRDefault="00DD7894" w:rsidP="00D80A57">
      <w:pPr>
        <w:spacing w:line="360" w:lineRule="auto"/>
        <w:ind w:firstLine="1440"/>
        <w:rPr>
          <w:rFonts w:ascii="Times New Roman" w:hAnsi="Times New Roman"/>
          <w:sz w:val="26"/>
          <w:szCs w:val="26"/>
        </w:rPr>
      </w:pPr>
    </w:p>
    <w:p w14:paraId="723E7F89" w14:textId="1EB7BDEE" w:rsidR="00321F4B" w:rsidRPr="00D80A57" w:rsidRDefault="00DD7894" w:rsidP="007D3948">
      <w:pPr>
        <w:spacing w:line="360" w:lineRule="auto"/>
        <w:ind w:firstLine="1440"/>
        <w:rPr>
          <w:rFonts w:ascii="Times New Roman" w:hAnsi="Times New Roman"/>
          <w:sz w:val="26"/>
          <w:szCs w:val="26"/>
        </w:rPr>
      </w:pPr>
      <w:r>
        <w:rPr>
          <w:rFonts w:ascii="Times New Roman" w:eastAsiaTheme="minorHAnsi" w:hAnsi="Times New Roman"/>
          <w:sz w:val="26"/>
          <w:szCs w:val="26"/>
        </w:rPr>
        <w:t>T</w:t>
      </w:r>
      <w:r w:rsidR="00321F4B" w:rsidRPr="00321F4B">
        <w:rPr>
          <w:rFonts w:ascii="Times New Roman" w:eastAsiaTheme="minorHAnsi" w:hAnsi="Times New Roman"/>
          <w:sz w:val="26"/>
          <w:szCs w:val="26"/>
        </w:rPr>
        <w:t xml:space="preserve">he Complainant testified that in October 2017, </w:t>
      </w:r>
      <w:r w:rsidR="00312141">
        <w:rPr>
          <w:rFonts w:ascii="Times New Roman" w:eastAsiaTheme="minorHAnsi" w:hAnsi="Times New Roman"/>
          <w:sz w:val="26"/>
          <w:szCs w:val="26"/>
        </w:rPr>
        <w:t xml:space="preserve">when the BCS granted him a payment arrangement, </w:t>
      </w:r>
      <w:r w:rsidR="00321F4B" w:rsidRPr="00321F4B">
        <w:rPr>
          <w:rFonts w:ascii="Times New Roman" w:eastAsiaTheme="minorHAnsi" w:hAnsi="Times New Roman"/>
          <w:sz w:val="26"/>
          <w:szCs w:val="26"/>
        </w:rPr>
        <w:t>his then one-person household’s g</w:t>
      </w:r>
      <w:r w:rsidR="00206AE2">
        <w:rPr>
          <w:rFonts w:ascii="Times New Roman" w:eastAsiaTheme="minorHAnsi" w:hAnsi="Times New Roman"/>
          <w:sz w:val="26"/>
          <w:szCs w:val="26"/>
        </w:rPr>
        <w:t>ross monthly income was $1,075</w:t>
      </w:r>
      <w:r w:rsidR="00321F4B" w:rsidRPr="00321F4B">
        <w:rPr>
          <w:rFonts w:ascii="Times New Roman" w:eastAsiaTheme="minorHAnsi" w:hAnsi="Times New Roman"/>
          <w:sz w:val="26"/>
          <w:szCs w:val="26"/>
        </w:rPr>
        <w:t>.</w:t>
      </w:r>
      <w:r w:rsidR="00D80A57">
        <w:rPr>
          <w:rFonts w:ascii="Times New Roman" w:hAnsi="Times New Roman"/>
          <w:sz w:val="26"/>
          <w:szCs w:val="26"/>
        </w:rPr>
        <w:t xml:space="preserve"> </w:t>
      </w:r>
      <w:r w:rsidR="00312141">
        <w:rPr>
          <w:rFonts w:ascii="Times New Roman" w:hAnsi="Times New Roman"/>
          <w:sz w:val="26"/>
          <w:szCs w:val="26"/>
        </w:rPr>
        <w:t xml:space="preserve"> </w:t>
      </w:r>
      <w:r w:rsidR="00321F4B" w:rsidRPr="00321F4B">
        <w:rPr>
          <w:rFonts w:ascii="Times New Roman" w:eastAsiaTheme="minorHAnsi" w:hAnsi="Times New Roman"/>
          <w:sz w:val="26"/>
          <w:szCs w:val="26"/>
        </w:rPr>
        <w:t xml:space="preserve">However, </w:t>
      </w:r>
      <w:r w:rsidR="004A653A">
        <w:rPr>
          <w:rFonts w:ascii="Times New Roman" w:eastAsiaTheme="minorHAnsi" w:hAnsi="Times New Roman"/>
          <w:sz w:val="26"/>
          <w:szCs w:val="26"/>
        </w:rPr>
        <w:t xml:space="preserve">subsequent to his receiving </w:t>
      </w:r>
      <w:r w:rsidR="00321F4B" w:rsidRPr="00321F4B">
        <w:rPr>
          <w:rFonts w:ascii="Times New Roman" w:eastAsiaTheme="minorHAnsi" w:hAnsi="Times New Roman"/>
          <w:sz w:val="26"/>
          <w:szCs w:val="26"/>
        </w:rPr>
        <w:t xml:space="preserve">the October 2017 </w:t>
      </w:r>
      <w:r w:rsidR="00312141">
        <w:rPr>
          <w:rFonts w:ascii="Times New Roman" w:eastAsiaTheme="minorHAnsi" w:hAnsi="Times New Roman"/>
          <w:sz w:val="26"/>
          <w:szCs w:val="26"/>
        </w:rPr>
        <w:t>BCS-issued payment arrangement</w:t>
      </w:r>
      <w:r w:rsidR="00321F4B" w:rsidRPr="00321F4B">
        <w:rPr>
          <w:rFonts w:ascii="Times New Roman" w:eastAsiaTheme="minorHAnsi" w:hAnsi="Times New Roman"/>
          <w:sz w:val="26"/>
          <w:szCs w:val="26"/>
        </w:rPr>
        <w:t xml:space="preserve">, Mr. Hayes’ son moved in with him. </w:t>
      </w:r>
      <w:r w:rsidR="00312141">
        <w:rPr>
          <w:rFonts w:ascii="Times New Roman" w:eastAsiaTheme="minorHAnsi" w:hAnsi="Times New Roman"/>
          <w:sz w:val="26"/>
          <w:szCs w:val="26"/>
        </w:rPr>
        <w:t xml:space="preserve"> </w:t>
      </w:r>
      <w:r w:rsidR="00321F4B" w:rsidRPr="00321F4B">
        <w:rPr>
          <w:rFonts w:ascii="Times New Roman" w:eastAsiaTheme="minorHAnsi" w:hAnsi="Times New Roman"/>
          <w:sz w:val="26"/>
          <w:szCs w:val="26"/>
        </w:rPr>
        <w:t xml:space="preserve">Tr. at 21. </w:t>
      </w:r>
      <w:r w:rsidR="00206AE2">
        <w:rPr>
          <w:rFonts w:ascii="Times New Roman" w:eastAsiaTheme="minorHAnsi" w:hAnsi="Times New Roman"/>
          <w:sz w:val="26"/>
          <w:szCs w:val="26"/>
        </w:rPr>
        <w:t xml:space="preserve"> </w:t>
      </w:r>
      <w:r w:rsidR="00321F4B" w:rsidRPr="00321F4B">
        <w:rPr>
          <w:rFonts w:ascii="Times New Roman" w:eastAsiaTheme="minorHAnsi" w:hAnsi="Times New Roman"/>
          <w:sz w:val="26"/>
          <w:szCs w:val="26"/>
        </w:rPr>
        <w:t xml:space="preserve">Given the change in household size, </w:t>
      </w:r>
      <w:r w:rsidR="00206AE2">
        <w:rPr>
          <w:rFonts w:ascii="Times New Roman" w:eastAsiaTheme="minorHAnsi" w:hAnsi="Times New Roman"/>
          <w:sz w:val="26"/>
          <w:szCs w:val="26"/>
        </w:rPr>
        <w:t>the ALJ questioned whether the C</w:t>
      </w:r>
      <w:r w:rsidR="00312141">
        <w:rPr>
          <w:rFonts w:ascii="Times New Roman" w:eastAsiaTheme="minorHAnsi" w:hAnsi="Times New Roman"/>
          <w:sz w:val="26"/>
          <w:szCs w:val="26"/>
        </w:rPr>
        <w:t>omplainant’s gross</w:t>
      </w:r>
      <w:r w:rsidR="00321F4B" w:rsidRPr="00321F4B">
        <w:rPr>
          <w:rFonts w:ascii="Times New Roman" w:eastAsiaTheme="minorHAnsi" w:hAnsi="Times New Roman"/>
          <w:sz w:val="26"/>
          <w:szCs w:val="26"/>
        </w:rPr>
        <w:t xml:space="preserve"> monthly household income changed as </w:t>
      </w:r>
      <w:r w:rsidR="00312141">
        <w:rPr>
          <w:rFonts w:ascii="Times New Roman" w:eastAsiaTheme="minorHAnsi" w:hAnsi="Times New Roman"/>
          <w:sz w:val="26"/>
          <w:szCs w:val="26"/>
        </w:rPr>
        <w:t xml:space="preserve">a </w:t>
      </w:r>
      <w:r w:rsidR="00321F4B" w:rsidRPr="00321F4B">
        <w:rPr>
          <w:rFonts w:ascii="Times New Roman" w:eastAsiaTheme="minorHAnsi" w:hAnsi="Times New Roman"/>
          <w:sz w:val="26"/>
          <w:szCs w:val="26"/>
        </w:rPr>
        <w:t>result, to which Mr. Hayes explained that his monthly household income, solely comprised of his supplement social security benefits, had increased to $1,093.</w:t>
      </w:r>
      <w:r w:rsidR="00D80A57">
        <w:rPr>
          <w:rFonts w:ascii="Times New Roman" w:hAnsi="Times New Roman"/>
          <w:sz w:val="26"/>
          <w:szCs w:val="26"/>
        </w:rPr>
        <w:t xml:space="preserve"> </w:t>
      </w:r>
      <w:r>
        <w:rPr>
          <w:rFonts w:ascii="Times New Roman" w:hAnsi="Times New Roman"/>
          <w:sz w:val="26"/>
          <w:szCs w:val="26"/>
        </w:rPr>
        <w:t xml:space="preserve"> </w:t>
      </w:r>
      <w:r w:rsidR="00321F4B" w:rsidRPr="00321F4B">
        <w:rPr>
          <w:rFonts w:ascii="Times New Roman" w:eastAsiaTheme="minorHAnsi" w:hAnsi="Times New Roman"/>
          <w:sz w:val="26"/>
          <w:szCs w:val="26"/>
        </w:rPr>
        <w:t xml:space="preserve">In this situation, the ALJ noted that the </w:t>
      </w:r>
      <w:r w:rsidR="00206AE2">
        <w:rPr>
          <w:rFonts w:ascii="Times New Roman" w:eastAsiaTheme="minorHAnsi" w:hAnsi="Times New Roman"/>
          <w:sz w:val="26"/>
          <w:szCs w:val="26"/>
        </w:rPr>
        <w:t>C</w:t>
      </w:r>
      <w:r w:rsidR="00321F4B" w:rsidRPr="00321F4B">
        <w:rPr>
          <w:rFonts w:ascii="Times New Roman" w:eastAsiaTheme="minorHAnsi" w:hAnsi="Times New Roman"/>
          <w:sz w:val="26"/>
          <w:szCs w:val="26"/>
        </w:rPr>
        <w:t>omplainant’s income had increased, not decreased</w:t>
      </w:r>
      <w:r w:rsidR="00312141">
        <w:rPr>
          <w:rFonts w:ascii="Times New Roman" w:eastAsiaTheme="minorHAnsi" w:hAnsi="Times New Roman"/>
          <w:sz w:val="26"/>
          <w:szCs w:val="26"/>
        </w:rPr>
        <w:t>,</w:t>
      </w:r>
      <w:r w:rsidR="00321F4B" w:rsidRPr="00321F4B">
        <w:rPr>
          <w:rFonts w:ascii="Times New Roman" w:eastAsiaTheme="minorHAnsi" w:hAnsi="Times New Roman"/>
          <w:sz w:val="26"/>
          <w:szCs w:val="26"/>
        </w:rPr>
        <w:t xml:space="preserve"> and</w:t>
      </w:r>
      <w:r w:rsidR="00312141">
        <w:rPr>
          <w:rFonts w:ascii="Times New Roman" w:eastAsiaTheme="minorHAnsi" w:hAnsi="Times New Roman"/>
          <w:sz w:val="26"/>
          <w:szCs w:val="26"/>
        </w:rPr>
        <w:t>,</w:t>
      </w:r>
      <w:r w:rsidR="00321F4B" w:rsidRPr="00321F4B">
        <w:rPr>
          <w:rFonts w:ascii="Times New Roman" w:eastAsiaTheme="minorHAnsi" w:hAnsi="Times New Roman"/>
          <w:sz w:val="26"/>
          <w:szCs w:val="26"/>
        </w:rPr>
        <w:t xml:space="preserve"> therefore,</w:t>
      </w:r>
      <w:r w:rsidR="00312141">
        <w:rPr>
          <w:rFonts w:ascii="Times New Roman" w:eastAsiaTheme="minorHAnsi" w:hAnsi="Times New Roman"/>
          <w:sz w:val="26"/>
          <w:szCs w:val="26"/>
        </w:rPr>
        <w:t xml:space="preserve"> concluded that the Complainant did </w:t>
      </w:r>
      <w:r w:rsidR="00321F4B" w:rsidRPr="00321F4B">
        <w:rPr>
          <w:rFonts w:ascii="Times New Roman" w:eastAsiaTheme="minorHAnsi" w:hAnsi="Times New Roman"/>
          <w:sz w:val="26"/>
          <w:szCs w:val="26"/>
        </w:rPr>
        <w:t>not meet the standard for</w:t>
      </w:r>
      <w:r w:rsidR="00312141">
        <w:rPr>
          <w:rFonts w:ascii="Times New Roman" w:eastAsiaTheme="minorHAnsi" w:hAnsi="Times New Roman"/>
          <w:sz w:val="26"/>
          <w:szCs w:val="26"/>
        </w:rPr>
        <w:t xml:space="preserve"> showing</w:t>
      </w:r>
      <w:r w:rsidR="00321F4B" w:rsidRPr="00321F4B">
        <w:rPr>
          <w:rFonts w:ascii="Times New Roman" w:eastAsiaTheme="minorHAnsi" w:hAnsi="Times New Roman"/>
          <w:sz w:val="26"/>
          <w:szCs w:val="26"/>
        </w:rPr>
        <w:t xml:space="preserve"> “change of income” as defined in 66 Pa. C.S. §§ 1403, 1405(d). </w:t>
      </w:r>
      <w:r w:rsidR="00206AE2">
        <w:rPr>
          <w:rFonts w:ascii="Times New Roman" w:eastAsiaTheme="minorHAnsi" w:hAnsi="Times New Roman"/>
          <w:sz w:val="26"/>
          <w:szCs w:val="26"/>
        </w:rPr>
        <w:t xml:space="preserve"> </w:t>
      </w:r>
      <w:r w:rsidR="00312141">
        <w:rPr>
          <w:rFonts w:ascii="Times New Roman" w:eastAsiaTheme="minorHAnsi" w:hAnsi="Times New Roman"/>
          <w:sz w:val="26"/>
          <w:szCs w:val="26"/>
        </w:rPr>
        <w:t>In addition</w:t>
      </w:r>
      <w:r w:rsidR="00206AE2">
        <w:rPr>
          <w:rFonts w:ascii="Times New Roman" w:eastAsiaTheme="minorHAnsi" w:hAnsi="Times New Roman"/>
          <w:sz w:val="26"/>
          <w:szCs w:val="26"/>
        </w:rPr>
        <w:t xml:space="preserve">, the ALJ </w:t>
      </w:r>
      <w:r w:rsidR="00312141">
        <w:rPr>
          <w:rFonts w:ascii="Times New Roman" w:eastAsiaTheme="minorHAnsi" w:hAnsi="Times New Roman"/>
          <w:sz w:val="26"/>
          <w:szCs w:val="26"/>
        </w:rPr>
        <w:t>determined</w:t>
      </w:r>
      <w:r w:rsidR="00206AE2">
        <w:rPr>
          <w:rFonts w:ascii="Times New Roman" w:eastAsiaTheme="minorHAnsi" w:hAnsi="Times New Roman"/>
          <w:sz w:val="26"/>
          <w:szCs w:val="26"/>
        </w:rPr>
        <w:t xml:space="preserve"> that the Complainant did not present any evidence to demonstrate that he experienced a “significant change in circumstances” as defined under 66 Pa. C.S. §§ 1403, 1405(e) that caused him to default on his October 2017 payment arrangement from the BCS.</w:t>
      </w:r>
    </w:p>
    <w:p w14:paraId="6A15AD5D" w14:textId="3312F223" w:rsidR="00321F4B" w:rsidRPr="00321F4B" w:rsidRDefault="00321F4B" w:rsidP="00321F4B">
      <w:pPr>
        <w:spacing w:line="360" w:lineRule="auto"/>
        <w:ind w:firstLine="1440"/>
        <w:rPr>
          <w:rFonts w:ascii="Times New Roman" w:eastAsiaTheme="minorHAnsi" w:hAnsi="Times New Roman"/>
          <w:sz w:val="26"/>
          <w:szCs w:val="26"/>
        </w:rPr>
      </w:pPr>
    </w:p>
    <w:p w14:paraId="02FBFAD9" w14:textId="0DF766BB" w:rsidR="009B58A7" w:rsidRPr="00FA24F7" w:rsidRDefault="00321F4B" w:rsidP="009B58A7">
      <w:pPr>
        <w:spacing w:line="360" w:lineRule="auto"/>
        <w:ind w:firstLine="1440"/>
        <w:rPr>
          <w:rFonts w:ascii="Times New Roman" w:hAnsi="Times New Roman"/>
          <w:sz w:val="26"/>
          <w:szCs w:val="26"/>
        </w:rPr>
      </w:pPr>
      <w:r w:rsidRPr="00321F4B">
        <w:rPr>
          <w:rFonts w:ascii="Times New Roman" w:hAnsi="Times New Roman"/>
          <w:sz w:val="26"/>
          <w:szCs w:val="26"/>
        </w:rPr>
        <w:t xml:space="preserve">While we </w:t>
      </w:r>
      <w:r w:rsidR="00312141">
        <w:rPr>
          <w:rFonts w:ascii="Times New Roman" w:hAnsi="Times New Roman"/>
          <w:sz w:val="26"/>
          <w:szCs w:val="26"/>
        </w:rPr>
        <w:t>agree</w:t>
      </w:r>
      <w:r w:rsidRPr="00321F4B">
        <w:rPr>
          <w:rFonts w:ascii="Times New Roman" w:hAnsi="Times New Roman"/>
          <w:sz w:val="26"/>
          <w:szCs w:val="26"/>
        </w:rPr>
        <w:t xml:space="preserve"> with </w:t>
      </w:r>
      <w:r w:rsidR="00AC110A">
        <w:rPr>
          <w:rFonts w:ascii="Times New Roman" w:hAnsi="Times New Roman"/>
          <w:sz w:val="26"/>
          <w:szCs w:val="26"/>
        </w:rPr>
        <w:t xml:space="preserve">the </w:t>
      </w:r>
      <w:r w:rsidRPr="00321F4B">
        <w:rPr>
          <w:rFonts w:ascii="Times New Roman" w:hAnsi="Times New Roman"/>
          <w:sz w:val="26"/>
          <w:szCs w:val="26"/>
        </w:rPr>
        <w:t xml:space="preserve">ALJ’s determination regarding </w:t>
      </w:r>
      <w:r w:rsidR="00206AE2">
        <w:rPr>
          <w:rFonts w:ascii="Times New Roman" w:hAnsi="Times New Roman"/>
          <w:sz w:val="26"/>
          <w:szCs w:val="26"/>
        </w:rPr>
        <w:t>“</w:t>
      </w:r>
      <w:r w:rsidRPr="00321F4B">
        <w:rPr>
          <w:rFonts w:ascii="Times New Roman" w:hAnsi="Times New Roman"/>
          <w:sz w:val="26"/>
          <w:szCs w:val="26"/>
        </w:rPr>
        <w:t>change of income</w:t>
      </w:r>
      <w:r w:rsidR="00312141">
        <w:rPr>
          <w:rFonts w:ascii="Times New Roman" w:hAnsi="Times New Roman"/>
          <w:sz w:val="26"/>
          <w:szCs w:val="26"/>
        </w:rPr>
        <w:t>,</w:t>
      </w:r>
      <w:r w:rsidR="00206AE2">
        <w:rPr>
          <w:rFonts w:ascii="Times New Roman" w:hAnsi="Times New Roman"/>
          <w:sz w:val="26"/>
          <w:szCs w:val="26"/>
        </w:rPr>
        <w:t>”</w:t>
      </w:r>
      <w:r w:rsidRPr="00321F4B">
        <w:rPr>
          <w:rFonts w:ascii="Times New Roman" w:hAnsi="Times New Roman"/>
          <w:sz w:val="26"/>
          <w:szCs w:val="26"/>
        </w:rPr>
        <w:t xml:space="preserve"> </w:t>
      </w:r>
      <w:r w:rsidR="00312141">
        <w:rPr>
          <w:rFonts w:ascii="Times New Roman" w:hAnsi="Times New Roman"/>
          <w:sz w:val="26"/>
          <w:szCs w:val="26"/>
        </w:rPr>
        <w:t xml:space="preserve">we </w:t>
      </w:r>
      <w:r w:rsidRPr="00321F4B">
        <w:rPr>
          <w:rFonts w:ascii="Times New Roman" w:hAnsi="Times New Roman"/>
          <w:sz w:val="26"/>
          <w:szCs w:val="26"/>
        </w:rPr>
        <w:t>believe th</w:t>
      </w:r>
      <w:r w:rsidR="009B58A7">
        <w:rPr>
          <w:rFonts w:ascii="Times New Roman" w:hAnsi="Times New Roman"/>
          <w:sz w:val="26"/>
          <w:szCs w:val="26"/>
        </w:rPr>
        <w:t>e evidence regarding</w:t>
      </w:r>
      <w:r w:rsidRPr="00321F4B">
        <w:rPr>
          <w:rFonts w:ascii="Times New Roman" w:hAnsi="Times New Roman"/>
          <w:sz w:val="26"/>
          <w:szCs w:val="26"/>
        </w:rPr>
        <w:t xml:space="preserve"> the increased number of dependents in Mr. Hayes’ household </w:t>
      </w:r>
      <w:r w:rsidR="00163357">
        <w:rPr>
          <w:rFonts w:ascii="Times New Roman" w:hAnsi="Times New Roman"/>
          <w:sz w:val="26"/>
          <w:szCs w:val="26"/>
        </w:rPr>
        <w:t>should not be overlooked</w:t>
      </w:r>
      <w:r w:rsidR="00312141">
        <w:rPr>
          <w:rFonts w:ascii="Times New Roman" w:hAnsi="Times New Roman"/>
          <w:sz w:val="26"/>
          <w:szCs w:val="26"/>
        </w:rPr>
        <w:t xml:space="preserve">.  We believe </w:t>
      </w:r>
      <w:r w:rsidRPr="00321F4B">
        <w:rPr>
          <w:rFonts w:ascii="Times New Roman" w:hAnsi="Times New Roman"/>
          <w:sz w:val="26"/>
          <w:szCs w:val="26"/>
        </w:rPr>
        <w:t>thi</w:t>
      </w:r>
      <w:r w:rsidR="00206AE2">
        <w:rPr>
          <w:rFonts w:ascii="Times New Roman" w:hAnsi="Times New Roman"/>
          <w:sz w:val="26"/>
          <w:szCs w:val="26"/>
        </w:rPr>
        <w:t xml:space="preserve">s piece of evidence </w:t>
      </w:r>
      <w:r w:rsidRPr="00321F4B">
        <w:rPr>
          <w:rFonts w:ascii="Times New Roman" w:hAnsi="Times New Roman"/>
          <w:sz w:val="26"/>
          <w:szCs w:val="26"/>
        </w:rPr>
        <w:t xml:space="preserve">meets the </w:t>
      </w:r>
      <w:r w:rsidR="009B58A7">
        <w:rPr>
          <w:rFonts w:ascii="Times New Roman" w:hAnsi="Times New Roman"/>
          <w:sz w:val="26"/>
          <w:szCs w:val="26"/>
        </w:rPr>
        <w:t xml:space="preserve">criteria for establishing a </w:t>
      </w:r>
      <w:r w:rsidRPr="00321F4B">
        <w:rPr>
          <w:rFonts w:ascii="Times New Roman" w:hAnsi="Times New Roman"/>
          <w:sz w:val="26"/>
          <w:szCs w:val="26"/>
        </w:rPr>
        <w:t xml:space="preserve">“significant change in circumstance” </w:t>
      </w:r>
      <w:r w:rsidR="009B58A7">
        <w:rPr>
          <w:rFonts w:ascii="Times New Roman" w:hAnsi="Times New Roman"/>
          <w:sz w:val="26"/>
          <w:szCs w:val="26"/>
        </w:rPr>
        <w:t xml:space="preserve">as </w:t>
      </w:r>
      <w:r w:rsidRPr="00321F4B">
        <w:rPr>
          <w:rFonts w:ascii="Times New Roman" w:hAnsi="Times New Roman"/>
          <w:sz w:val="26"/>
          <w:szCs w:val="26"/>
        </w:rPr>
        <w:t>set forth in 66 Pa. C.S. § 140</w:t>
      </w:r>
      <w:r w:rsidR="00206AE2">
        <w:rPr>
          <w:rFonts w:ascii="Times New Roman" w:hAnsi="Times New Roman"/>
          <w:sz w:val="26"/>
          <w:szCs w:val="26"/>
        </w:rPr>
        <w:t>3</w:t>
      </w:r>
      <w:r w:rsidRPr="00321F4B">
        <w:rPr>
          <w:rFonts w:ascii="Times New Roman" w:hAnsi="Times New Roman"/>
          <w:sz w:val="26"/>
          <w:szCs w:val="26"/>
        </w:rPr>
        <w:t xml:space="preserve">.  </w:t>
      </w:r>
      <w:r w:rsidR="009B58A7">
        <w:rPr>
          <w:rFonts w:ascii="Times New Roman" w:hAnsi="Times New Roman"/>
          <w:sz w:val="26"/>
          <w:szCs w:val="26"/>
        </w:rPr>
        <w:t>Specifically, it meets the fourth prong of the definition, which provides as follows: “increase in the customer’s number of dependents in the household.”  66 Pa. C.S. § 1403.</w:t>
      </w:r>
    </w:p>
    <w:p w14:paraId="17D3183F" w14:textId="77777777" w:rsidR="009B58A7" w:rsidRDefault="009B58A7" w:rsidP="009B58A7">
      <w:pPr>
        <w:ind w:left="1440" w:right="1440"/>
        <w:rPr>
          <w:rFonts w:ascii="Times New Roman" w:hAnsi="Times New Roman"/>
          <w:sz w:val="26"/>
          <w:szCs w:val="26"/>
        </w:rPr>
      </w:pPr>
    </w:p>
    <w:p w14:paraId="02A93988" w14:textId="1F9BF7C3" w:rsidR="009F5FC0" w:rsidRDefault="00C961E2" w:rsidP="00321F4B">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This</w:t>
      </w:r>
      <w:r w:rsidR="009B58A7">
        <w:rPr>
          <w:rFonts w:ascii="Times New Roman" w:hAnsi="Times New Roman"/>
          <w:sz w:val="26"/>
          <w:szCs w:val="26"/>
        </w:rPr>
        <w:t xml:space="preserve"> </w:t>
      </w:r>
      <w:r w:rsidR="00321F4B" w:rsidRPr="00321F4B">
        <w:rPr>
          <w:rFonts w:ascii="Times New Roman" w:hAnsi="Times New Roman"/>
          <w:sz w:val="26"/>
          <w:szCs w:val="26"/>
        </w:rPr>
        <w:t xml:space="preserve">significant change in circumstance </w:t>
      </w:r>
      <w:r w:rsidR="009B58A7">
        <w:rPr>
          <w:rFonts w:ascii="Times New Roman" w:hAnsi="Times New Roman"/>
          <w:sz w:val="26"/>
          <w:szCs w:val="26"/>
        </w:rPr>
        <w:t>authorizes</w:t>
      </w:r>
      <w:r w:rsidR="00321F4B" w:rsidRPr="00321F4B">
        <w:rPr>
          <w:rFonts w:ascii="Times New Roman" w:hAnsi="Times New Roman"/>
          <w:sz w:val="26"/>
          <w:szCs w:val="26"/>
        </w:rPr>
        <w:t xml:space="preserve"> th</w:t>
      </w:r>
      <w:r w:rsidR="002B39C6">
        <w:rPr>
          <w:rFonts w:ascii="Times New Roman" w:hAnsi="Times New Roman"/>
          <w:sz w:val="26"/>
          <w:szCs w:val="26"/>
        </w:rPr>
        <w:t>is</w:t>
      </w:r>
      <w:r w:rsidR="00321F4B" w:rsidRPr="00321F4B">
        <w:rPr>
          <w:rFonts w:ascii="Times New Roman" w:hAnsi="Times New Roman"/>
          <w:sz w:val="26"/>
          <w:szCs w:val="26"/>
        </w:rPr>
        <w:t xml:space="preserve"> Commission</w:t>
      </w:r>
      <w:r w:rsidR="00206AE2">
        <w:rPr>
          <w:rFonts w:ascii="Times New Roman" w:hAnsi="Times New Roman"/>
          <w:sz w:val="26"/>
          <w:szCs w:val="26"/>
        </w:rPr>
        <w:t xml:space="preserve">, pursuant to </w:t>
      </w:r>
      <w:r w:rsidR="00206AE2" w:rsidRPr="00321F4B">
        <w:rPr>
          <w:rFonts w:ascii="Times New Roman" w:hAnsi="Times New Roman"/>
          <w:sz w:val="26"/>
          <w:szCs w:val="26"/>
        </w:rPr>
        <w:t>66 Pa. C.S. § 140</w:t>
      </w:r>
      <w:r w:rsidR="00206AE2">
        <w:rPr>
          <w:rFonts w:ascii="Times New Roman" w:hAnsi="Times New Roman"/>
          <w:sz w:val="26"/>
          <w:szCs w:val="26"/>
        </w:rPr>
        <w:t xml:space="preserve">5(e), </w:t>
      </w:r>
      <w:r w:rsidR="00321F4B" w:rsidRPr="00321F4B">
        <w:rPr>
          <w:rFonts w:ascii="Times New Roman" w:hAnsi="Times New Roman"/>
          <w:sz w:val="26"/>
          <w:szCs w:val="26"/>
        </w:rPr>
        <w:t xml:space="preserve">to exercise discretion to </w:t>
      </w:r>
      <w:r w:rsidR="00207833">
        <w:rPr>
          <w:rFonts w:ascii="Times New Roman" w:hAnsi="Times New Roman"/>
          <w:sz w:val="26"/>
          <w:szCs w:val="26"/>
        </w:rPr>
        <w:t xml:space="preserve">grant reinstatement and </w:t>
      </w:r>
      <w:r w:rsidR="00321F4B" w:rsidRPr="00321F4B">
        <w:rPr>
          <w:rFonts w:ascii="Times New Roman" w:hAnsi="Times New Roman"/>
          <w:sz w:val="26"/>
          <w:szCs w:val="26"/>
        </w:rPr>
        <w:t>a six-month</w:t>
      </w:r>
      <w:r w:rsidR="00207833">
        <w:rPr>
          <w:rFonts w:ascii="Times New Roman" w:hAnsi="Times New Roman"/>
          <w:sz w:val="26"/>
          <w:szCs w:val="26"/>
        </w:rPr>
        <w:t xml:space="preserve"> </w:t>
      </w:r>
      <w:r w:rsidR="00321F4B" w:rsidRPr="00321F4B">
        <w:rPr>
          <w:rFonts w:ascii="Times New Roman" w:hAnsi="Times New Roman"/>
          <w:sz w:val="26"/>
          <w:szCs w:val="26"/>
        </w:rPr>
        <w:t xml:space="preserve">extension of </w:t>
      </w:r>
      <w:r w:rsidR="007D3948">
        <w:rPr>
          <w:rFonts w:ascii="Times New Roman" w:hAnsi="Times New Roman"/>
          <w:sz w:val="26"/>
          <w:szCs w:val="26"/>
        </w:rPr>
        <w:t>the BCS</w:t>
      </w:r>
      <w:r w:rsidR="00321F4B" w:rsidRPr="00321F4B">
        <w:rPr>
          <w:rFonts w:ascii="Times New Roman" w:hAnsi="Times New Roman"/>
          <w:sz w:val="26"/>
          <w:szCs w:val="26"/>
        </w:rPr>
        <w:t>-issued payment arrangement</w:t>
      </w:r>
      <w:r w:rsidR="007D3948">
        <w:rPr>
          <w:rFonts w:ascii="Times New Roman" w:hAnsi="Times New Roman"/>
          <w:sz w:val="26"/>
          <w:szCs w:val="26"/>
        </w:rPr>
        <w:t xml:space="preserve"> dated October 11, 2017</w:t>
      </w:r>
      <w:r w:rsidR="00321F4B" w:rsidRPr="00321F4B">
        <w:rPr>
          <w:rFonts w:ascii="Times New Roman" w:hAnsi="Times New Roman"/>
          <w:sz w:val="26"/>
          <w:szCs w:val="26"/>
        </w:rPr>
        <w:t>.  Based on the record in thi</w:t>
      </w:r>
      <w:r w:rsidR="009B58A7">
        <w:rPr>
          <w:rFonts w:ascii="Times New Roman" w:hAnsi="Times New Roman"/>
          <w:sz w:val="26"/>
          <w:szCs w:val="26"/>
        </w:rPr>
        <w:t xml:space="preserve">s proceeding, there is nothing </w:t>
      </w:r>
      <w:r w:rsidR="00207833">
        <w:rPr>
          <w:rFonts w:ascii="Times New Roman" w:hAnsi="Times New Roman"/>
          <w:sz w:val="26"/>
          <w:szCs w:val="26"/>
        </w:rPr>
        <w:t xml:space="preserve">to compel us to </w:t>
      </w:r>
      <w:r w:rsidR="009B58A7">
        <w:rPr>
          <w:rFonts w:ascii="Times New Roman" w:hAnsi="Times New Roman"/>
          <w:sz w:val="26"/>
          <w:szCs w:val="26"/>
        </w:rPr>
        <w:t xml:space="preserve">withhold </w:t>
      </w:r>
      <w:r w:rsidR="00D80A57">
        <w:rPr>
          <w:rFonts w:ascii="Times New Roman" w:hAnsi="Times New Roman"/>
          <w:sz w:val="26"/>
          <w:szCs w:val="26"/>
        </w:rPr>
        <w:t>grant</w:t>
      </w:r>
      <w:r w:rsidR="009B58A7">
        <w:rPr>
          <w:rFonts w:ascii="Times New Roman" w:hAnsi="Times New Roman"/>
          <w:sz w:val="26"/>
          <w:szCs w:val="26"/>
        </w:rPr>
        <w:t xml:space="preserve">ing </w:t>
      </w:r>
      <w:r w:rsidR="00206AE2">
        <w:rPr>
          <w:rFonts w:ascii="Times New Roman" w:hAnsi="Times New Roman"/>
          <w:sz w:val="26"/>
          <w:szCs w:val="26"/>
        </w:rPr>
        <w:t>the</w:t>
      </w:r>
      <w:r w:rsidR="00321F4B" w:rsidRPr="00321F4B">
        <w:rPr>
          <w:rFonts w:ascii="Times New Roman" w:hAnsi="Times New Roman"/>
          <w:sz w:val="26"/>
          <w:szCs w:val="26"/>
        </w:rPr>
        <w:t xml:space="preserve"> </w:t>
      </w:r>
      <w:r w:rsidR="007D3948">
        <w:rPr>
          <w:rFonts w:ascii="Times New Roman" w:hAnsi="Times New Roman"/>
          <w:sz w:val="26"/>
          <w:szCs w:val="26"/>
        </w:rPr>
        <w:t xml:space="preserve">reinstatement and term </w:t>
      </w:r>
      <w:r w:rsidR="00321F4B" w:rsidRPr="00321F4B">
        <w:rPr>
          <w:rFonts w:ascii="Times New Roman" w:hAnsi="Times New Roman"/>
          <w:sz w:val="26"/>
          <w:szCs w:val="26"/>
        </w:rPr>
        <w:t>extension.</w:t>
      </w:r>
    </w:p>
    <w:p w14:paraId="6F4C3EE2" w14:textId="77777777" w:rsidR="009F5FC0" w:rsidRDefault="009F5FC0" w:rsidP="00321F4B">
      <w:pPr>
        <w:tabs>
          <w:tab w:val="left" w:pos="-720"/>
        </w:tabs>
        <w:suppressAutoHyphens/>
        <w:spacing w:line="360" w:lineRule="auto"/>
        <w:ind w:firstLine="1440"/>
        <w:rPr>
          <w:rFonts w:ascii="Times New Roman" w:hAnsi="Times New Roman"/>
          <w:sz w:val="26"/>
          <w:szCs w:val="26"/>
        </w:rPr>
      </w:pPr>
    </w:p>
    <w:p w14:paraId="642D6CA7" w14:textId="6E740AF9" w:rsidR="00321F4B" w:rsidRDefault="00206AE2" w:rsidP="00321F4B">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Accordingly, </w:t>
      </w:r>
      <w:r w:rsidR="002B39C6">
        <w:rPr>
          <w:rFonts w:ascii="Times New Roman" w:hAnsi="Times New Roman"/>
          <w:sz w:val="26"/>
          <w:szCs w:val="26"/>
        </w:rPr>
        <w:t xml:space="preserve">we shall reinstate </w:t>
      </w:r>
      <w:r>
        <w:rPr>
          <w:rFonts w:ascii="Times New Roman" w:hAnsi="Times New Roman"/>
          <w:sz w:val="26"/>
          <w:szCs w:val="26"/>
        </w:rPr>
        <w:t>Mr. Hayes’ payment arra</w:t>
      </w:r>
      <w:r w:rsidR="008C417A">
        <w:rPr>
          <w:rFonts w:ascii="Times New Roman" w:hAnsi="Times New Roman"/>
          <w:sz w:val="26"/>
          <w:szCs w:val="26"/>
        </w:rPr>
        <w:t xml:space="preserve">ngement, as </w:t>
      </w:r>
      <w:r w:rsidR="003F6CC5">
        <w:rPr>
          <w:rFonts w:ascii="Times New Roman" w:hAnsi="Times New Roman"/>
          <w:sz w:val="26"/>
          <w:szCs w:val="26"/>
        </w:rPr>
        <w:t xml:space="preserve">originally </w:t>
      </w:r>
      <w:r w:rsidR="008C417A">
        <w:rPr>
          <w:rFonts w:ascii="Times New Roman" w:hAnsi="Times New Roman"/>
          <w:sz w:val="26"/>
          <w:szCs w:val="26"/>
        </w:rPr>
        <w:t>issued by the BCS on</w:t>
      </w:r>
      <w:r>
        <w:rPr>
          <w:rFonts w:ascii="Times New Roman" w:hAnsi="Times New Roman"/>
          <w:sz w:val="26"/>
          <w:szCs w:val="26"/>
        </w:rPr>
        <w:t xml:space="preserve"> October </w:t>
      </w:r>
      <w:r w:rsidR="008C417A">
        <w:rPr>
          <w:rFonts w:ascii="Times New Roman" w:hAnsi="Times New Roman"/>
          <w:sz w:val="26"/>
          <w:szCs w:val="26"/>
        </w:rPr>
        <w:t xml:space="preserve">11, </w:t>
      </w:r>
      <w:r>
        <w:rPr>
          <w:rFonts w:ascii="Times New Roman" w:hAnsi="Times New Roman"/>
          <w:sz w:val="26"/>
          <w:szCs w:val="26"/>
        </w:rPr>
        <w:t xml:space="preserve">2017, and </w:t>
      </w:r>
      <w:r w:rsidR="00026CD6">
        <w:rPr>
          <w:rFonts w:ascii="Times New Roman" w:hAnsi="Times New Roman"/>
          <w:sz w:val="26"/>
          <w:szCs w:val="26"/>
        </w:rPr>
        <w:t xml:space="preserve">extend </w:t>
      </w:r>
      <w:r>
        <w:rPr>
          <w:rFonts w:ascii="Times New Roman" w:hAnsi="Times New Roman"/>
          <w:sz w:val="26"/>
          <w:szCs w:val="26"/>
        </w:rPr>
        <w:t xml:space="preserve">the remaining </w:t>
      </w:r>
      <w:r w:rsidR="003F6CC5">
        <w:rPr>
          <w:rFonts w:ascii="Times New Roman" w:hAnsi="Times New Roman"/>
          <w:sz w:val="26"/>
          <w:szCs w:val="26"/>
        </w:rPr>
        <w:t>payment period</w:t>
      </w:r>
      <w:r>
        <w:rPr>
          <w:rFonts w:ascii="Times New Roman" w:hAnsi="Times New Roman"/>
          <w:sz w:val="26"/>
          <w:szCs w:val="26"/>
        </w:rPr>
        <w:t xml:space="preserve"> thereof for </w:t>
      </w:r>
      <w:r w:rsidR="009F5FC0">
        <w:rPr>
          <w:rFonts w:ascii="Times New Roman" w:hAnsi="Times New Roman"/>
          <w:sz w:val="26"/>
          <w:szCs w:val="26"/>
        </w:rPr>
        <w:t>a</w:t>
      </w:r>
      <w:r>
        <w:rPr>
          <w:rFonts w:ascii="Times New Roman" w:hAnsi="Times New Roman"/>
          <w:sz w:val="26"/>
          <w:szCs w:val="26"/>
        </w:rPr>
        <w:t xml:space="preserve"> period of six months. </w:t>
      </w:r>
      <w:r w:rsidR="00312141">
        <w:rPr>
          <w:rFonts w:ascii="Times New Roman" w:hAnsi="Times New Roman"/>
          <w:sz w:val="26"/>
          <w:szCs w:val="26"/>
        </w:rPr>
        <w:t xml:space="preserve"> </w:t>
      </w:r>
      <w:r w:rsidR="007D3948">
        <w:rPr>
          <w:rFonts w:ascii="Times New Roman" w:hAnsi="Times New Roman"/>
          <w:sz w:val="26"/>
          <w:szCs w:val="26"/>
        </w:rPr>
        <w:t>Th</w:t>
      </w:r>
      <w:r w:rsidR="00026CD6">
        <w:rPr>
          <w:rFonts w:ascii="Times New Roman" w:hAnsi="Times New Roman"/>
          <w:sz w:val="26"/>
          <w:szCs w:val="26"/>
        </w:rPr>
        <w:t xml:space="preserve">us, we shall direct the </w:t>
      </w:r>
      <w:r w:rsidR="007D3948">
        <w:rPr>
          <w:rFonts w:ascii="Times New Roman" w:hAnsi="Times New Roman"/>
          <w:sz w:val="26"/>
          <w:szCs w:val="26"/>
        </w:rPr>
        <w:t xml:space="preserve">BCS </w:t>
      </w:r>
      <w:r w:rsidR="00026CD6">
        <w:rPr>
          <w:rFonts w:ascii="Times New Roman" w:hAnsi="Times New Roman"/>
          <w:sz w:val="26"/>
          <w:szCs w:val="26"/>
        </w:rPr>
        <w:t xml:space="preserve">to </w:t>
      </w:r>
      <w:r w:rsidR="007D3948">
        <w:rPr>
          <w:rFonts w:ascii="Times New Roman" w:hAnsi="Times New Roman"/>
          <w:sz w:val="26"/>
          <w:szCs w:val="26"/>
        </w:rPr>
        <w:t xml:space="preserve">issue </w:t>
      </w:r>
      <w:r w:rsidR="008C417A">
        <w:rPr>
          <w:rFonts w:ascii="Times New Roman" w:hAnsi="Times New Roman"/>
          <w:sz w:val="26"/>
          <w:szCs w:val="26"/>
        </w:rPr>
        <w:t>a</w:t>
      </w:r>
      <w:r w:rsidR="007D3948">
        <w:rPr>
          <w:rFonts w:ascii="Times New Roman" w:hAnsi="Times New Roman"/>
          <w:sz w:val="26"/>
          <w:szCs w:val="26"/>
        </w:rPr>
        <w:t xml:space="preserve"> </w:t>
      </w:r>
      <w:r w:rsidR="009F5FC0">
        <w:rPr>
          <w:rFonts w:ascii="Times New Roman" w:hAnsi="Times New Roman"/>
          <w:sz w:val="26"/>
          <w:szCs w:val="26"/>
        </w:rPr>
        <w:t>revised</w:t>
      </w:r>
      <w:r w:rsidR="007D3948">
        <w:rPr>
          <w:rFonts w:ascii="Times New Roman" w:hAnsi="Times New Roman"/>
          <w:sz w:val="26"/>
          <w:szCs w:val="26"/>
        </w:rPr>
        <w:t xml:space="preserve"> pay</w:t>
      </w:r>
      <w:r w:rsidR="008C417A">
        <w:rPr>
          <w:rFonts w:ascii="Times New Roman" w:hAnsi="Times New Roman"/>
          <w:sz w:val="26"/>
          <w:szCs w:val="26"/>
        </w:rPr>
        <w:t>ment arrangement establishing</w:t>
      </w:r>
      <w:r w:rsidR="009F5FC0">
        <w:rPr>
          <w:rFonts w:ascii="Times New Roman" w:hAnsi="Times New Roman"/>
          <w:sz w:val="26"/>
          <w:szCs w:val="26"/>
        </w:rPr>
        <w:t xml:space="preserve"> the monthly installment amount and payment period </w:t>
      </w:r>
      <w:r w:rsidR="003F6CC5">
        <w:rPr>
          <w:rFonts w:ascii="Times New Roman" w:hAnsi="Times New Roman"/>
          <w:sz w:val="26"/>
          <w:szCs w:val="26"/>
        </w:rPr>
        <w:t xml:space="preserve">for the </w:t>
      </w:r>
      <w:r w:rsidR="009F5FC0">
        <w:rPr>
          <w:rFonts w:ascii="Times New Roman" w:hAnsi="Times New Roman"/>
          <w:sz w:val="26"/>
          <w:szCs w:val="26"/>
        </w:rPr>
        <w:t xml:space="preserve">$2,894.91 </w:t>
      </w:r>
      <w:r w:rsidR="003F6CC5">
        <w:rPr>
          <w:rFonts w:ascii="Times New Roman" w:hAnsi="Times New Roman"/>
          <w:sz w:val="26"/>
          <w:szCs w:val="26"/>
        </w:rPr>
        <w:t>arrearage</w:t>
      </w:r>
      <w:r w:rsidR="008C417A">
        <w:rPr>
          <w:rFonts w:ascii="Times New Roman" w:hAnsi="Times New Roman"/>
          <w:sz w:val="26"/>
          <w:szCs w:val="26"/>
        </w:rPr>
        <w:t xml:space="preserve"> consistent with </w:t>
      </w:r>
      <w:r w:rsidR="007D3948">
        <w:rPr>
          <w:rFonts w:ascii="Times New Roman" w:hAnsi="Times New Roman"/>
          <w:sz w:val="26"/>
          <w:szCs w:val="26"/>
        </w:rPr>
        <w:t xml:space="preserve">the </w:t>
      </w:r>
      <w:r w:rsidR="009F5FC0">
        <w:rPr>
          <w:rFonts w:ascii="Times New Roman" w:hAnsi="Times New Roman"/>
          <w:sz w:val="26"/>
          <w:szCs w:val="26"/>
        </w:rPr>
        <w:t xml:space="preserve">reinstatement and </w:t>
      </w:r>
      <w:r w:rsidR="007D3948">
        <w:rPr>
          <w:rFonts w:ascii="Times New Roman" w:hAnsi="Times New Roman"/>
          <w:sz w:val="26"/>
          <w:szCs w:val="26"/>
        </w:rPr>
        <w:t xml:space="preserve">extension </w:t>
      </w:r>
      <w:r w:rsidR="008C417A">
        <w:rPr>
          <w:rFonts w:ascii="Times New Roman" w:hAnsi="Times New Roman"/>
          <w:sz w:val="26"/>
          <w:szCs w:val="26"/>
        </w:rPr>
        <w:t xml:space="preserve">period </w:t>
      </w:r>
      <w:r w:rsidR="007D3948">
        <w:rPr>
          <w:rFonts w:ascii="Times New Roman" w:hAnsi="Times New Roman"/>
          <w:sz w:val="26"/>
          <w:szCs w:val="26"/>
        </w:rPr>
        <w:t>granted herein.</w:t>
      </w:r>
      <w:r w:rsidR="008C417A" w:rsidRPr="008C417A">
        <w:rPr>
          <w:rFonts w:ascii="Times New Roman" w:hAnsi="Times New Roman"/>
          <w:sz w:val="26"/>
          <w:szCs w:val="26"/>
        </w:rPr>
        <w:t xml:space="preserve"> </w:t>
      </w:r>
      <w:r w:rsidR="008C417A">
        <w:rPr>
          <w:rFonts w:ascii="Times New Roman" w:hAnsi="Times New Roman"/>
          <w:sz w:val="26"/>
          <w:szCs w:val="26"/>
        </w:rPr>
        <w:t xml:space="preserve"> The </w:t>
      </w:r>
      <w:r w:rsidR="009F5FC0">
        <w:rPr>
          <w:rFonts w:ascii="Times New Roman" w:hAnsi="Times New Roman"/>
          <w:sz w:val="26"/>
          <w:szCs w:val="26"/>
        </w:rPr>
        <w:t>revise</w:t>
      </w:r>
      <w:r w:rsidR="008C417A">
        <w:rPr>
          <w:rFonts w:ascii="Times New Roman" w:hAnsi="Times New Roman"/>
          <w:sz w:val="26"/>
          <w:szCs w:val="26"/>
        </w:rPr>
        <w:t xml:space="preserve">d payment arrangement </w:t>
      </w:r>
      <w:r w:rsidR="009F5FC0">
        <w:rPr>
          <w:rFonts w:ascii="Times New Roman" w:hAnsi="Times New Roman"/>
          <w:sz w:val="26"/>
          <w:szCs w:val="26"/>
        </w:rPr>
        <w:t xml:space="preserve">to be issued by BCS </w:t>
      </w:r>
      <w:r w:rsidR="008C417A">
        <w:rPr>
          <w:rFonts w:ascii="Times New Roman" w:hAnsi="Times New Roman"/>
          <w:sz w:val="26"/>
          <w:szCs w:val="26"/>
        </w:rPr>
        <w:t xml:space="preserve">shall </w:t>
      </w:r>
      <w:r w:rsidR="009F5FC0">
        <w:rPr>
          <w:rFonts w:ascii="Times New Roman" w:hAnsi="Times New Roman"/>
          <w:sz w:val="26"/>
          <w:szCs w:val="26"/>
        </w:rPr>
        <w:t>indicate</w:t>
      </w:r>
      <w:r w:rsidR="008C417A">
        <w:rPr>
          <w:rFonts w:ascii="Times New Roman" w:hAnsi="Times New Roman"/>
          <w:sz w:val="26"/>
          <w:szCs w:val="26"/>
        </w:rPr>
        <w:t xml:space="preserve"> that Mr. Hayes’ obligation to </w:t>
      </w:r>
      <w:r w:rsidR="009F5FC0">
        <w:rPr>
          <w:rFonts w:ascii="Times New Roman" w:hAnsi="Times New Roman"/>
          <w:sz w:val="26"/>
          <w:szCs w:val="26"/>
        </w:rPr>
        <w:t xml:space="preserve">make </w:t>
      </w:r>
      <w:r w:rsidR="00912169">
        <w:rPr>
          <w:rFonts w:ascii="Times New Roman" w:hAnsi="Times New Roman"/>
          <w:sz w:val="26"/>
          <w:szCs w:val="26"/>
        </w:rPr>
        <w:t xml:space="preserve">his </w:t>
      </w:r>
      <w:r w:rsidR="009F5FC0">
        <w:rPr>
          <w:rFonts w:ascii="Times New Roman" w:hAnsi="Times New Roman"/>
          <w:sz w:val="26"/>
          <w:szCs w:val="26"/>
        </w:rPr>
        <w:t xml:space="preserve">monthly payment </w:t>
      </w:r>
      <w:r w:rsidR="008C417A">
        <w:rPr>
          <w:rFonts w:ascii="Times New Roman" w:hAnsi="Times New Roman"/>
          <w:sz w:val="26"/>
          <w:szCs w:val="26"/>
        </w:rPr>
        <w:t>on the</w:t>
      </w:r>
      <w:r w:rsidR="003F6CC5">
        <w:rPr>
          <w:rFonts w:ascii="Times New Roman" w:hAnsi="Times New Roman"/>
          <w:sz w:val="26"/>
          <w:szCs w:val="26"/>
        </w:rPr>
        <w:t xml:space="preserve"> arrearage amount</w:t>
      </w:r>
      <w:r w:rsidR="009F5FC0">
        <w:rPr>
          <w:rFonts w:ascii="Times New Roman" w:hAnsi="Times New Roman"/>
          <w:sz w:val="26"/>
          <w:szCs w:val="26"/>
        </w:rPr>
        <w:t xml:space="preserve"> shall begin with</w:t>
      </w:r>
      <w:r w:rsidR="008C417A">
        <w:rPr>
          <w:rFonts w:ascii="Times New Roman" w:hAnsi="Times New Roman"/>
          <w:sz w:val="26"/>
          <w:szCs w:val="26"/>
        </w:rPr>
        <w:t xml:space="preserve"> the first due date shown </w:t>
      </w:r>
      <w:r w:rsidR="009F5FC0">
        <w:rPr>
          <w:rFonts w:ascii="Times New Roman" w:hAnsi="Times New Roman"/>
          <w:sz w:val="26"/>
          <w:szCs w:val="26"/>
        </w:rPr>
        <w:t>and shall end o</w:t>
      </w:r>
      <w:r w:rsidR="00912169">
        <w:rPr>
          <w:rFonts w:ascii="Times New Roman" w:hAnsi="Times New Roman"/>
          <w:sz w:val="26"/>
          <w:szCs w:val="26"/>
        </w:rPr>
        <w:t>n</w:t>
      </w:r>
      <w:r w:rsidR="009F5FC0">
        <w:rPr>
          <w:rFonts w:ascii="Times New Roman" w:hAnsi="Times New Roman"/>
          <w:sz w:val="26"/>
          <w:szCs w:val="26"/>
        </w:rPr>
        <w:t xml:space="preserve"> the last due date shown in the revised payment arrangement</w:t>
      </w:r>
      <w:r w:rsidR="008C417A">
        <w:rPr>
          <w:rFonts w:ascii="Times New Roman" w:hAnsi="Times New Roman"/>
          <w:sz w:val="26"/>
          <w:szCs w:val="26"/>
        </w:rPr>
        <w:t>.</w:t>
      </w:r>
    </w:p>
    <w:p w14:paraId="38DC358F" w14:textId="77777777" w:rsidR="009F5FC0" w:rsidRDefault="009F5FC0" w:rsidP="00321F4B">
      <w:pPr>
        <w:tabs>
          <w:tab w:val="left" w:pos="-720"/>
        </w:tabs>
        <w:suppressAutoHyphens/>
        <w:spacing w:line="360" w:lineRule="auto"/>
        <w:ind w:firstLine="1440"/>
        <w:rPr>
          <w:rFonts w:ascii="Times New Roman" w:hAnsi="Times New Roman"/>
          <w:sz w:val="26"/>
          <w:szCs w:val="26"/>
        </w:rPr>
      </w:pPr>
    </w:p>
    <w:p w14:paraId="0C54A7B8" w14:textId="50FD7B28" w:rsidR="00DF212A" w:rsidRPr="00D80A57" w:rsidRDefault="001B3D85" w:rsidP="00026CD6">
      <w:pPr>
        <w:keepNext/>
        <w:keepLines/>
        <w:tabs>
          <w:tab w:val="left" w:pos="-720"/>
        </w:tabs>
        <w:suppressAutoHyphens/>
        <w:spacing w:line="360" w:lineRule="auto"/>
        <w:jc w:val="center"/>
        <w:rPr>
          <w:rFonts w:ascii="Times New Roman" w:hAnsi="Times New Roman"/>
          <w:b/>
          <w:sz w:val="26"/>
        </w:rPr>
      </w:pPr>
      <w:r w:rsidRPr="00D80A57">
        <w:rPr>
          <w:rFonts w:ascii="Times New Roman" w:hAnsi="Times New Roman"/>
          <w:b/>
          <w:sz w:val="26"/>
        </w:rPr>
        <w:t>C</w:t>
      </w:r>
      <w:r w:rsidR="006F5428" w:rsidRPr="00D80A57">
        <w:rPr>
          <w:rFonts w:ascii="Times New Roman" w:hAnsi="Times New Roman"/>
          <w:b/>
          <w:sz w:val="26"/>
        </w:rPr>
        <w:t>onclusion</w:t>
      </w:r>
    </w:p>
    <w:p w14:paraId="26B30088" w14:textId="77777777" w:rsidR="00DF212A" w:rsidRDefault="00DF212A" w:rsidP="00026CD6">
      <w:pPr>
        <w:keepNext/>
        <w:keepLines/>
        <w:tabs>
          <w:tab w:val="left" w:pos="-720"/>
        </w:tabs>
        <w:suppressAutoHyphens/>
        <w:spacing w:line="360" w:lineRule="auto"/>
        <w:rPr>
          <w:rFonts w:ascii="Times New Roman" w:hAnsi="Times New Roman"/>
          <w:sz w:val="26"/>
        </w:rPr>
      </w:pPr>
    </w:p>
    <w:p w14:paraId="3C282E35" w14:textId="78F7D900" w:rsidR="00F00C82" w:rsidRPr="00D80A57" w:rsidRDefault="00433DD9" w:rsidP="00206AE2">
      <w:pPr>
        <w:tabs>
          <w:tab w:val="left" w:pos="-720"/>
        </w:tabs>
        <w:suppressAutoHyphens/>
        <w:spacing w:line="360" w:lineRule="auto"/>
        <w:ind w:firstLine="1440"/>
        <w:rPr>
          <w:rFonts w:ascii="Times New Roman" w:hAnsi="Times New Roman"/>
          <w:sz w:val="26"/>
          <w:szCs w:val="26"/>
        </w:rPr>
      </w:pPr>
      <w:r w:rsidRPr="00D80A57">
        <w:rPr>
          <w:rFonts w:ascii="Times New Roman" w:hAnsi="Times New Roman"/>
          <w:sz w:val="26"/>
          <w:szCs w:val="26"/>
        </w:rPr>
        <w:t>Bas</w:t>
      </w:r>
      <w:r w:rsidR="00206AE2">
        <w:rPr>
          <w:rFonts w:ascii="Times New Roman" w:hAnsi="Times New Roman"/>
          <w:sz w:val="26"/>
          <w:szCs w:val="26"/>
        </w:rPr>
        <w:t xml:space="preserve">ed on our review of the record and </w:t>
      </w:r>
      <w:r w:rsidRPr="00D80A57">
        <w:rPr>
          <w:rFonts w:ascii="Times New Roman" w:hAnsi="Times New Roman"/>
          <w:sz w:val="26"/>
          <w:szCs w:val="26"/>
        </w:rPr>
        <w:t xml:space="preserve">the applicable law, we </w:t>
      </w:r>
      <w:r w:rsidR="0017122B" w:rsidRPr="00D80A57">
        <w:rPr>
          <w:rFonts w:ascii="Times New Roman" w:hAnsi="Times New Roman"/>
          <w:sz w:val="26"/>
          <w:szCs w:val="26"/>
        </w:rPr>
        <w:t>affirm</w:t>
      </w:r>
      <w:r w:rsidR="00D80A57" w:rsidRPr="00D80A57">
        <w:rPr>
          <w:rFonts w:ascii="Times New Roman" w:hAnsi="Times New Roman"/>
          <w:sz w:val="26"/>
          <w:szCs w:val="26"/>
        </w:rPr>
        <w:t>, in part, and reverse, in part,</w:t>
      </w:r>
      <w:r w:rsidR="0017122B" w:rsidRPr="00D80A57">
        <w:rPr>
          <w:rFonts w:ascii="Times New Roman" w:hAnsi="Times New Roman"/>
          <w:sz w:val="26"/>
          <w:szCs w:val="26"/>
        </w:rPr>
        <w:t xml:space="preserve"> </w:t>
      </w:r>
      <w:r w:rsidRPr="00D80A57">
        <w:rPr>
          <w:rFonts w:ascii="Times New Roman" w:hAnsi="Times New Roman"/>
          <w:sz w:val="26"/>
          <w:szCs w:val="26"/>
        </w:rPr>
        <w:t>the ALJ’s Initial Decision</w:t>
      </w:r>
      <w:r w:rsidR="0017122B" w:rsidRPr="00D80A57">
        <w:rPr>
          <w:rFonts w:ascii="Times New Roman" w:hAnsi="Times New Roman"/>
          <w:sz w:val="26"/>
          <w:szCs w:val="26"/>
        </w:rPr>
        <w:t xml:space="preserve">, </w:t>
      </w:r>
      <w:r w:rsidR="00F00C82" w:rsidRPr="00D80A57">
        <w:rPr>
          <w:rFonts w:ascii="Times New Roman" w:hAnsi="Times New Roman"/>
          <w:sz w:val="26"/>
          <w:szCs w:val="26"/>
        </w:rPr>
        <w:t xml:space="preserve">consistent with this Opinion and </w:t>
      </w:r>
      <w:r w:rsidR="00F00C82" w:rsidRPr="00D80A57">
        <w:rPr>
          <w:rFonts w:ascii="Times New Roman" w:hAnsi="Times New Roman"/>
          <w:sz w:val="26"/>
          <w:szCs w:val="26"/>
        </w:rPr>
        <w:lastRenderedPageBreak/>
        <w:t>Order</w:t>
      </w:r>
      <w:r w:rsidR="00D80A57" w:rsidRPr="00D80A57">
        <w:rPr>
          <w:rFonts w:ascii="Times New Roman" w:hAnsi="Times New Roman"/>
          <w:sz w:val="26"/>
          <w:szCs w:val="26"/>
        </w:rPr>
        <w:t>, and grant the Complainant a six-month extension of his initial Commission-established payment arrangement, consistent with this Opinion and Order</w:t>
      </w:r>
      <w:r w:rsidR="00F00C82" w:rsidRPr="00D80A57">
        <w:rPr>
          <w:rFonts w:ascii="Times New Roman" w:hAnsi="Times New Roman"/>
          <w:sz w:val="26"/>
          <w:szCs w:val="26"/>
        </w:rPr>
        <w:t xml:space="preserve">; </w:t>
      </w:r>
      <w:r w:rsidR="00F00C82" w:rsidRPr="00D80A57">
        <w:rPr>
          <w:rFonts w:ascii="Times New Roman" w:hAnsi="Times New Roman"/>
          <w:b/>
          <w:sz w:val="26"/>
          <w:szCs w:val="26"/>
        </w:rPr>
        <w:t>THEREFORE,</w:t>
      </w:r>
    </w:p>
    <w:p w14:paraId="6C81880F" w14:textId="77777777" w:rsidR="00F00C82" w:rsidRPr="00D80A57" w:rsidRDefault="00F00C82" w:rsidP="0061437C">
      <w:pPr>
        <w:tabs>
          <w:tab w:val="left" w:pos="-720"/>
        </w:tabs>
        <w:suppressAutoHyphens/>
        <w:spacing w:line="360" w:lineRule="auto"/>
        <w:rPr>
          <w:rFonts w:ascii="Times New Roman" w:hAnsi="Times New Roman"/>
          <w:sz w:val="26"/>
          <w:szCs w:val="26"/>
        </w:rPr>
      </w:pPr>
    </w:p>
    <w:p w14:paraId="404D9B5D" w14:textId="77777777" w:rsidR="00F00C82" w:rsidRPr="00D80A57" w:rsidRDefault="00F00C82" w:rsidP="0061437C">
      <w:pPr>
        <w:keepNext/>
        <w:keepLines/>
        <w:tabs>
          <w:tab w:val="left" w:pos="-720"/>
        </w:tabs>
        <w:suppressAutoHyphens/>
        <w:spacing w:line="360" w:lineRule="auto"/>
        <w:ind w:firstLine="1440"/>
        <w:rPr>
          <w:rFonts w:ascii="Times New Roman" w:hAnsi="Times New Roman"/>
          <w:b/>
          <w:sz w:val="26"/>
          <w:szCs w:val="26"/>
        </w:rPr>
      </w:pPr>
      <w:r w:rsidRPr="00D80A57">
        <w:rPr>
          <w:rFonts w:ascii="Times New Roman" w:hAnsi="Times New Roman"/>
          <w:b/>
          <w:sz w:val="26"/>
          <w:szCs w:val="26"/>
        </w:rPr>
        <w:t>IT IS ORDERED:</w:t>
      </w:r>
    </w:p>
    <w:p w14:paraId="7C4E189F" w14:textId="77777777" w:rsidR="00F00C82" w:rsidRPr="00D80A57" w:rsidRDefault="00F00C82" w:rsidP="0061437C">
      <w:pPr>
        <w:keepNext/>
        <w:keepLines/>
        <w:tabs>
          <w:tab w:val="left" w:pos="-720"/>
        </w:tabs>
        <w:suppressAutoHyphens/>
        <w:spacing w:line="360" w:lineRule="auto"/>
        <w:rPr>
          <w:rFonts w:ascii="Times New Roman" w:hAnsi="Times New Roman"/>
          <w:sz w:val="26"/>
          <w:szCs w:val="26"/>
        </w:rPr>
      </w:pPr>
    </w:p>
    <w:p w14:paraId="53455130" w14:textId="74D5F25B" w:rsidR="00D80A57" w:rsidRPr="00D80A57" w:rsidRDefault="00F00C82" w:rsidP="00D80A57">
      <w:pPr>
        <w:tabs>
          <w:tab w:val="left" w:pos="-720"/>
        </w:tabs>
        <w:suppressAutoHyphens/>
        <w:spacing w:line="360" w:lineRule="auto"/>
        <w:ind w:firstLine="1440"/>
        <w:rPr>
          <w:rFonts w:ascii="Times New Roman" w:hAnsi="Times New Roman"/>
          <w:sz w:val="26"/>
          <w:szCs w:val="26"/>
        </w:rPr>
      </w:pPr>
      <w:r w:rsidRPr="00D80A57">
        <w:rPr>
          <w:rFonts w:ascii="Times New Roman" w:hAnsi="Times New Roman"/>
          <w:sz w:val="26"/>
          <w:szCs w:val="26"/>
        </w:rPr>
        <w:t>1.</w:t>
      </w:r>
      <w:r w:rsidRPr="00D80A57">
        <w:rPr>
          <w:rFonts w:ascii="Times New Roman" w:hAnsi="Times New Roman"/>
          <w:sz w:val="26"/>
          <w:szCs w:val="26"/>
        </w:rPr>
        <w:tab/>
      </w:r>
      <w:r w:rsidR="00D80A57" w:rsidRPr="00D80A57">
        <w:rPr>
          <w:rFonts w:ascii="Times New Roman" w:eastAsiaTheme="minorHAnsi" w:hAnsi="Times New Roman"/>
          <w:sz w:val="26"/>
          <w:szCs w:val="26"/>
        </w:rPr>
        <w:t>That the Initial Decision of Deputy Chief Administrative Law Judge Christopher Pell</w:t>
      </w:r>
      <w:r w:rsidR="002926F1">
        <w:rPr>
          <w:rFonts w:ascii="Times New Roman" w:eastAsiaTheme="minorHAnsi" w:hAnsi="Times New Roman"/>
          <w:sz w:val="26"/>
          <w:szCs w:val="26"/>
        </w:rPr>
        <w:t>, issued July 11, 2018,</w:t>
      </w:r>
      <w:r w:rsidR="00D80A57" w:rsidRPr="00D80A57">
        <w:rPr>
          <w:rFonts w:ascii="Times New Roman" w:eastAsiaTheme="minorHAnsi" w:hAnsi="Times New Roman"/>
          <w:sz w:val="26"/>
          <w:szCs w:val="26"/>
        </w:rPr>
        <w:t xml:space="preserve"> in the above-captioned case</w:t>
      </w:r>
      <w:r w:rsidR="0003636E">
        <w:rPr>
          <w:rFonts w:ascii="Times New Roman" w:eastAsiaTheme="minorHAnsi" w:hAnsi="Times New Roman"/>
          <w:sz w:val="26"/>
          <w:szCs w:val="26"/>
        </w:rPr>
        <w:t>,</w:t>
      </w:r>
      <w:r w:rsidR="00D80A57" w:rsidRPr="00D80A57">
        <w:rPr>
          <w:rFonts w:ascii="Times New Roman" w:eastAsiaTheme="minorHAnsi" w:hAnsi="Times New Roman"/>
          <w:sz w:val="26"/>
          <w:szCs w:val="26"/>
        </w:rPr>
        <w:t xml:space="preserve"> is affirmed</w:t>
      </w:r>
      <w:r w:rsidR="0003636E">
        <w:rPr>
          <w:rFonts w:ascii="Times New Roman" w:eastAsiaTheme="minorHAnsi" w:hAnsi="Times New Roman"/>
          <w:sz w:val="26"/>
          <w:szCs w:val="26"/>
        </w:rPr>
        <w:t>,</w:t>
      </w:r>
      <w:r w:rsidR="00D80A57" w:rsidRPr="00D80A57">
        <w:rPr>
          <w:rFonts w:ascii="Times New Roman" w:eastAsiaTheme="minorHAnsi" w:hAnsi="Times New Roman"/>
          <w:sz w:val="26"/>
          <w:szCs w:val="26"/>
        </w:rPr>
        <w:t xml:space="preserve"> in part</w:t>
      </w:r>
      <w:r w:rsidR="0003636E">
        <w:rPr>
          <w:rFonts w:ascii="Times New Roman" w:eastAsiaTheme="minorHAnsi" w:hAnsi="Times New Roman"/>
          <w:sz w:val="26"/>
          <w:szCs w:val="26"/>
        </w:rPr>
        <w:t>,</w:t>
      </w:r>
      <w:r w:rsidR="00D80A57" w:rsidRPr="00D80A57">
        <w:rPr>
          <w:rFonts w:ascii="Times New Roman" w:eastAsiaTheme="minorHAnsi" w:hAnsi="Times New Roman"/>
          <w:sz w:val="26"/>
          <w:szCs w:val="26"/>
        </w:rPr>
        <w:t xml:space="preserve"> and reversed</w:t>
      </w:r>
      <w:r w:rsidR="0003636E">
        <w:rPr>
          <w:rFonts w:ascii="Times New Roman" w:eastAsiaTheme="minorHAnsi" w:hAnsi="Times New Roman"/>
          <w:sz w:val="26"/>
          <w:szCs w:val="26"/>
        </w:rPr>
        <w:t>,</w:t>
      </w:r>
      <w:r w:rsidR="00D80A57" w:rsidRPr="00D80A57">
        <w:rPr>
          <w:rFonts w:ascii="Times New Roman" w:eastAsiaTheme="minorHAnsi" w:hAnsi="Times New Roman"/>
          <w:sz w:val="26"/>
          <w:szCs w:val="26"/>
        </w:rPr>
        <w:t xml:space="preserve"> in part, consistent with this </w:t>
      </w:r>
      <w:r w:rsidR="0003636E">
        <w:rPr>
          <w:rFonts w:ascii="Times New Roman" w:eastAsiaTheme="minorHAnsi" w:hAnsi="Times New Roman"/>
          <w:sz w:val="26"/>
          <w:szCs w:val="26"/>
        </w:rPr>
        <w:t>Opinion and Order</w:t>
      </w:r>
      <w:r w:rsidR="00D80A57" w:rsidRPr="00D80A57">
        <w:rPr>
          <w:rFonts w:ascii="Times New Roman" w:eastAsiaTheme="minorHAnsi" w:hAnsi="Times New Roman"/>
          <w:sz w:val="26"/>
          <w:szCs w:val="26"/>
        </w:rPr>
        <w:t>.</w:t>
      </w:r>
    </w:p>
    <w:p w14:paraId="16B402A7" w14:textId="77777777" w:rsidR="009C6BD1" w:rsidRPr="00D80A57" w:rsidRDefault="009C6BD1" w:rsidP="0061437C">
      <w:pPr>
        <w:tabs>
          <w:tab w:val="left" w:pos="-720"/>
        </w:tabs>
        <w:suppressAutoHyphens/>
        <w:spacing w:line="360" w:lineRule="auto"/>
        <w:ind w:firstLine="1440"/>
        <w:rPr>
          <w:rFonts w:ascii="Times New Roman" w:hAnsi="Times New Roman"/>
          <w:sz w:val="26"/>
          <w:szCs w:val="26"/>
        </w:rPr>
      </w:pPr>
    </w:p>
    <w:p w14:paraId="47FEFACD" w14:textId="78914A41" w:rsidR="00D80A57" w:rsidRPr="00D80A57" w:rsidRDefault="00D80A57" w:rsidP="00D80A57">
      <w:pPr>
        <w:tabs>
          <w:tab w:val="left" w:pos="-720"/>
        </w:tabs>
        <w:suppressAutoHyphens/>
        <w:spacing w:line="360" w:lineRule="auto"/>
        <w:ind w:firstLine="1440"/>
        <w:rPr>
          <w:rFonts w:ascii="Times New Roman" w:hAnsi="Times New Roman"/>
          <w:sz w:val="26"/>
          <w:szCs w:val="26"/>
        </w:rPr>
      </w:pPr>
      <w:r w:rsidRPr="00D80A57">
        <w:rPr>
          <w:rFonts w:ascii="Times New Roman" w:hAnsi="Times New Roman"/>
          <w:sz w:val="26"/>
          <w:szCs w:val="26"/>
        </w:rPr>
        <w:t>2.</w:t>
      </w:r>
      <w:r w:rsidRPr="00D80A57">
        <w:rPr>
          <w:rFonts w:ascii="Times New Roman" w:hAnsi="Times New Roman"/>
          <w:sz w:val="26"/>
          <w:szCs w:val="26"/>
        </w:rPr>
        <w:tab/>
        <w:t>That the Formal Complaint filed by Calvin E. Hayes against Philadelphia Gas Works on November 17, 2017, at the above-captioned case, is dismissed</w:t>
      </w:r>
      <w:r w:rsidR="0003636E">
        <w:rPr>
          <w:rFonts w:ascii="Times New Roman" w:hAnsi="Times New Roman"/>
          <w:sz w:val="26"/>
          <w:szCs w:val="26"/>
        </w:rPr>
        <w:t>,</w:t>
      </w:r>
      <w:r w:rsidRPr="00D80A57">
        <w:rPr>
          <w:rFonts w:ascii="Times New Roman" w:hAnsi="Times New Roman"/>
          <w:sz w:val="26"/>
          <w:szCs w:val="26"/>
        </w:rPr>
        <w:t xml:space="preserve"> in part</w:t>
      </w:r>
      <w:r w:rsidR="0003636E">
        <w:rPr>
          <w:rFonts w:ascii="Times New Roman" w:hAnsi="Times New Roman"/>
          <w:sz w:val="26"/>
          <w:szCs w:val="26"/>
        </w:rPr>
        <w:t>,</w:t>
      </w:r>
      <w:r w:rsidRPr="00D80A57">
        <w:rPr>
          <w:rFonts w:ascii="Times New Roman" w:hAnsi="Times New Roman"/>
          <w:sz w:val="26"/>
          <w:szCs w:val="26"/>
        </w:rPr>
        <w:t xml:space="preserve"> and sustained</w:t>
      </w:r>
      <w:r w:rsidR="0003636E">
        <w:rPr>
          <w:rFonts w:ascii="Times New Roman" w:hAnsi="Times New Roman"/>
          <w:sz w:val="26"/>
          <w:szCs w:val="26"/>
        </w:rPr>
        <w:t>,</w:t>
      </w:r>
      <w:r w:rsidRPr="00D80A57">
        <w:rPr>
          <w:rFonts w:ascii="Times New Roman" w:hAnsi="Times New Roman"/>
          <w:sz w:val="26"/>
          <w:szCs w:val="26"/>
        </w:rPr>
        <w:t xml:space="preserve"> in part</w:t>
      </w:r>
      <w:r w:rsidR="0003636E">
        <w:rPr>
          <w:rFonts w:ascii="Times New Roman" w:hAnsi="Times New Roman"/>
          <w:sz w:val="26"/>
          <w:szCs w:val="26"/>
        </w:rPr>
        <w:t>, consistent with this Opinion and Order</w:t>
      </w:r>
      <w:r w:rsidRPr="00D80A57">
        <w:rPr>
          <w:rFonts w:ascii="Times New Roman" w:hAnsi="Times New Roman"/>
          <w:sz w:val="26"/>
          <w:szCs w:val="26"/>
        </w:rPr>
        <w:t>.</w:t>
      </w:r>
    </w:p>
    <w:p w14:paraId="08086821" w14:textId="37AAE280" w:rsidR="00D80A57" w:rsidRDefault="00D80A57" w:rsidP="00D80A57">
      <w:pPr>
        <w:tabs>
          <w:tab w:val="left" w:pos="-720"/>
        </w:tabs>
        <w:suppressAutoHyphens/>
        <w:spacing w:line="360" w:lineRule="auto"/>
        <w:ind w:firstLine="1440"/>
        <w:rPr>
          <w:rFonts w:ascii="Times New Roman" w:hAnsi="Times New Roman"/>
          <w:sz w:val="26"/>
          <w:szCs w:val="26"/>
        </w:rPr>
      </w:pPr>
    </w:p>
    <w:p w14:paraId="4280383C" w14:textId="6C7D0E6A" w:rsidR="001A58EF" w:rsidRDefault="00805173" w:rsidP="00D80A57">
      <w:pPr>
        <w:tabs>
          <w:tab w:val="left" w:pos="-720"/>
        </w:tabs>
        <w:suppressAutoHyphens/>
        <w:spacing w:line="360" w:lineRule="auto"/>
        <w:ind w:firstLine="1440"/>
        <w:rPr>
          <w:rFonts w:ascii="Times New Roman" w:eastAsiaTheme="minorHAnsi" w:hAnsi="Times New Roman"/>
          <w:sz w:val="26"/>
          <w:szCs w:val="26"/>
        </w:rPr>
      </w:pPr>
      <w:r>
        <w:rPr>
          <w:rFonts w:ascii="Times New Roman" w:hAnsi="Times New Roman"/>
          <w:sz w:val="26"/>
          <w:szCs w:val="26"/>
        </w:rPr>
        <w:t>3.</w:t>
      </w:r>
      <w:r w:rsidR="001A58EF">
        <w:rPr>
          <w:rFonts w:ascii="Times New Roman" w:hAnsi="Times New Roman"/>
          <w:sz w:val="26"/>
          <w:szCs w:val="26"/>
        </w:rPr>
        <w:tab/>
        <w:t xml:space="preserve">That, </w:t>
      </w:r>
      <w:r w:rsidR="001A58EF" w:rsidRPr="00D80A57">
        <w:rPr>
          <w:rFonts w:ascii="Times New Roman" w:eastAsiaTheme="minorHAnsi" w:hAnsi="Times New Roman"/>
          <w:sz w:val="26"/>
          <w:szCs w:val="26"/>
        </w:rPr>
        <w:t>in accordance with Section 1405(e) of the Public Utility Code, 66 Pa. C.S. § 1405(e),</w:t>
      </w:r>
      <w:r w:rsidR="001A58EF">
        <w:rPr>
          <w:rFonts w:ascii="Times New Roman" w:eastAsiaTheme="minorHAnsi" w:hAnsi="Times New Roman"/>
          <w:sz w:val="26"/>
          <w:szCs w:val="26"/>
        </w:rPr>
        <w:t xml:space="preserve"> Calvin E. Hayes</w:t>
      </w:r>
      <w:r w:rsidR="006364E5">
        <w:rPr>
          <w:rFonts w:ascii="Times New Roman" w:eastAsiaTheme="minorHAnsi" w:hAnsi="Times New Roman"/>
          <w:sz w:val="26"/>
          <w:szCs w:val="26"/>
        </w:rPr>
        <w:t xml:space="preserve"> has</w:t>
      </w:r>
      <w:r w:rsidR="001A58EF" w:rsidRPr="00D80A57">
        <w:rPr>
          <w:rFonts w:ascii="Times New Roman" w:eastAsiaTheme="minorHAnsi" w:hAnsi="Times New Roman"/>
          <w:sz w:val="26"/>
          <w:szCs w:val="26"/>
        </w:rPr>
        <w:t xml:space="preserve"> </w:t>
      </w:r>
      <w:r w:rsidR="001A58EF">
        <w:rPr>
          <w:rFonts w:ascii="Times New Roman" w:eastAsiaTheme="minorHAnsi" w:hAnsi="Times New Roman"/>
          <w:sz w:val="26"/>
          <w:szCs w:val="26"/>
        </w:rPr>
        <w:t>sustained his burden of demonstrating that he may receive an extension of his payment arrangement issued by the Bureau of Consumer Services on October 11, 2017</w:t>
      </w:r>
      <w:r w:rsidR="006364E5">
        <w:rPr>
          <w:rFonts w:ascii="Times New Roman" w:eastAsiaTheme="minorHAnsi" w:hAnsi="Times New Roman"/>
          <w:sz w:val="26"/>
          <w:szCs w:val="26"/>
        </w:rPr>
        <w:t>.</w:t>
      </w:r>
    </w:p>
    <w:p w14:paraId="3A612196" w14:textId="77777777" w:rsidR="001A58EF" w:rsidRDefault="001A58EF" w:rsidP="00D80A57">
      <w:pPr>
        <w:tabs>
          <w:tab w:val="left" w:pos="-720"/>
        </w:tabs>
        <w:suppressAutoHyphens/>
        <w:spacing w:line="360" w:lineRule="auto"/>
        <w:ind w:firstLine="1440"/>
        <w:rPr>
          <w:rFonts w:ascii="Times New Roman" w:hAnsi="Times New Roman"/>
          <w:sz w:val="26"/>
          <w:szCs w:val="26"/>
        </w:rPr>
      </w:pPr>
    </w:p>
    <w:p w14:paraId="2D42CD78" w14:textId="4EBF8FA8" w:rsidR="00D80A57" w:rsidRDefault="001A58EF" w:rsidP="001A58EF">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r>
      <w:r w:rsidR="00805173">
        <w:rPr>
          <w:rFonts w:ascii="Times New Roman" w:hAnsi="Times New Roman"/>
          <w:sz w:val="26"/>
          <w:szCs w:val="26"/>
        </w:rPr>
        <w:t xml:space="preserve">That, </w:t>
      </w:r>
      <w:r w:rsidR="00805173" w:rsidRPr="00D80A57">
        <w:rPr>
          <w:rFonts w:ascii="Times New Roman" w:eastAsiaTheme="minorHAnsi" w:hAnsi="Times New Roman"/>
          <w:sz w:val="26"/>
          <w:szCs w:val="26"/>
        </w:rPr>
        <w:t xml:space="preserve">in accordance with Section 1405(e) of the Public Utility Code, 66 Pa. C.S. § 1405(e), </w:t>
      </w:r>
      <w:r>
        <w:rPr>
          <w:rFonts w:ascii="Times New Roman" w:hAnsi="Times New Roman"/>
          <w:sz w:val="26"/>
          <w:szCs w:val="26"/>
        </w:rPr>
        <w:t xml:space="preserve">the </w:t>
      </w:r>
      <w:r w:rsidR="00805173">
        <w:rPr>
          <w:rFonts w:ascii="Times New Roman" w:hAnsi="Times New Roman"/>
          <w:sz w:val="26"/>
          <w:szCs w:val="26"/>
        </w:rPr>
        <w:t xml:space="preserve">payment arrangement </w:t>
      </w:r>
      <w:r>
        <w:rPr>
          <w:rFonts w:ascii="Times New Roman" w:hAnsi="Times New Roman"/>
          <w:sz w:val="26"/>
          <w:szCs w:val="26"/>
        </w:rPr>
        <w:t>issued by the Bureau of Consumer Services on October 11, 2017, for the $2,894.91 account balance owed by Calvin E. Hayes</w:t>
      </w:r>
      <w:r w:rsidRPr="001A58EF">
        <w:rPr>
          <w:rFonts w:ascii="Times New Roman" w:hAnsi="Times New Roman"/>
          <w:sz w:val="26"/>
          <w:szCs w:val="26"/>
        </w:rPr>
        <w:t xml:space="preserve"> </w:t>
      </w:r>
      <w:r>
        <w:rPr>
          <w:rFonts w:ascii="Times New Roman" w:hAnsi="Times New Roman"/>
          <w:sz w:val="26"/>
          <w:szCs w:val="26"/>
        </w:rPr>
        <w:t>to Philadelphia Gas Works, is</w:t>
      </w:r>
      <w:r w:rsidR="006364E5">
        <w:rPr>
          <w:rFonts w:ascii="Times New Roman" w:hAnsi="Times New Roman"/>
          <w:sz w:val="26"/>
          <w:szCs w:val="26"/>
        </w:rPr>
        <w:t>,</w:t>
      </w:r>
      <w:r>
        <w:rPr>
          <w:rFonts w:ascii="Times New Roman" w:hAnsi="Times New Roman"/>
          <w:sz w:val="26"/>
          <w:szCs w:val="26"/>
        </w:rPr>
        <w:t xml:space="preserve"> hereby</w:t>
      </w:r>
      <w:r w:rsidR="006364E5">
        <w:rPr>
          <w:rFonts w:ascii="Times New Roman" w:hAnsi="Times New Roman"/>
          <w:sz w:val="26"/>
          <w:szCs w:val="26"/>
        </w:rPr>
        <w:t>,</w:t>
      </w:r>
      <w:r>
        <w:rPr>
          <w:rFonts w:ascii="Times New Roman" w:hAnsi="Times New Roman"/>
          <w:sz w:val="26"/>
          <w:szCs w:val="26"/>
        </w:rPr>
        <w:t xml:space="preserve"> reinstated and the remaining term thereof is extended by </w:t>
      </w:r>
      <w:r w:rsidR="00912169">
        <w:rPr>
          <w:rFonts w:ascii="Times New Roman" w:hAnsi="Times New Roman"/>
          <w:sz w:val="26"/>
          <w:szCs w:val="26"/>
        </w:rPr>
        <w:t xml:space="preserve">a </w:t>
      </w:r>
      <w:r>
        <w:rPr>
          <w:rFonts w:ascii="Times New Roman" w:hAnsi="Times New Roman"/>
          <w:sz w:val="26"/>
          <w:szCs w:val="26"/>
        </w:rPr>
        <w:t>period of six months.</w:t>
      </w:r>
    </w:p>
    <w:p w14:paraId="5D187627" w14:textId="6DF46F62" w:rsidR="001A58EF" w:rsidRDefault="001A58EF" w:rsidP="001A58EF">
      <w:pPr>
        <w:tabs>
          <w:tab w:val="left" w:pos="-720"/>
        </w:tabs>
        <w:suppressAutoHyphens/>
        <w:spacing w:line="360" w:lineRule="auto"/>
        <w:ind w:firstLine="1440"/>
        <w:rPr>
          <w:rFonts w:ascii="Times New Roman" w:hAnsi="Times New Roman"/>
          <w:sz w:val="26"/>
          <w:szCs w:val="26"/>
        </w:rPr>
      </w:pPr>
    </w:p>
    <w:p w14:paraId="0423F42E" w14:textId="2DE39D8D" w:rsidR="00D80A57" w:rsidRDefault="001A58EF" w:rsidP="004770F4">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 xml:space="preserve">That, </w:t>
      </w:r>
      <w:r w:rsidR="007D3948">
        <w:rPr>
          <w:rFonts w:ascii="Times New Roman" w:hAnsi="Times New Roman"/>
          <w:sz w:val="26"/>
          <w:szCs w:val="26"/>
        </w:rPr>
        <w:t>consistent with this Opinion and Order,</w:t>
      </w:r>
      <w:r w:rsidR="007D3948" w:rsidRPr="003F5145">
        <w:rPr>
          <w:rFonts w:ascii="Times New Roman" w:hAnsi="Times New Roman"/>
          <w:sz w:val="26"/>
          <w:szCs w:val="26"/>
        </w:rPr>
        <w:t xml:space="preserve"> </w:t>
      </w:r>
      <w:r>
        <w:rPr>
          <w:rFonts w:ascii="Times New Roman" w:hAnsi="Times New Roman"/>
          <w:sz w:val="26"/>
          <w:szCs w:val="26"/>
        </w:rPr>
        <w:t xml:space="preserve">the Bureau of Consumer Services </w:t>
      </w:r>
      <w:r w:rsidR="004770F4">
        <w:rPr>
          <w:rFonts w:ascii="Times New Roman" w:hAnsi="Times New Roman"/>
          <w:sz w:val="26"/>
          <w:szCs w:val="26"/>
        </w:rPr>
        <w:t xml:space="preserve">is </w:t>
      </w:r>
      <w:r w:rsidR="007D3948">
        <w:rPr>
          <w:rFonts w:ascii="Times New Roman" w:hAnsi="Times New Roman"/>
          <w:sz w:val="26"/>
          <w:szCs w:val="26"/>
        </w:rPr>
        <w:t xml:space="preserve">directed </w:t>
      </w:r>
      <w:r w:rsidR="004770F4">
        <w:rPr>
          <w:rFonts w:ascii="Times New Roman" w:hAnsi="Times New Roman"/>
          <w:sz w:val="26"/>
          <w:szCs w:val="26"/>
        </w:rPr>
        <w:t>to issue a</w:t>
      </w:r>
      <w:r>
        <w:rPr>
          <w:rFonts w:ascii="Times New Roman" w:hAnsi="Times New Roman"/>
          <w:sz w:val="26"/>
          <w:szCs w:val="26"/>
        </w:rPr>
        <w:t xml:space="preserve"> re</w:t>
      </w:r>
      <w:r w:rsidR="000572AA">
        <w:rPr>
          <w:rFonts w:ascii="Times New Roman" w:hAnsi="Times New Roman"/>
          <w:sz w:val="26"/>
          <w:szCs w:val="26"/>
        </w:rPr>
        <w:t>vised</w:t>
      </w:r>
      <w:r>
        <w:rPr>
          <w:rFonts w:ascii="Times New Roman" w:hAnsi="Times New Roman"/>
          <w:sz w:val="26"/>
          <w:szCs w:val="26"/>
        </w:rPr>
        <w:t xml:space="preserve"> payment arrangement</w:t>
      </w:r>
      <w:r w:rsidR="007D3948">
        <w:rPr>
          <w:rFonts w:ascii="Times New Roman" w:hAnsi="Times New Roman"/>
          <w:sz w:val="26"/>
          <w:szCs w:val="26"/>
        </w:rPr>
        <w:t xml:space="preserve"> </w:t>
      </w:r>
      <w:r w:rsidR="00106D18">
        <w:rPr>
          <w:rFonts w:ascii="Times New Roman" w:hAnsi="Times New Roman"/>
          <w:sz w:val="26"/>
          <w:szCs w:val="26"/>
        </w:rPr>
        <w:t xml:space="preserve">between </w:t>
      </w:r>
      <w:r w:rsidR="007D3948">
        <w:rPr>
          <w:rFonts w:ascii="Times New Roman" w:hAnsi="Times New Roman"/>
          <w:sz w:val="26"/>
          <w:szCs w:val="26"/>
        </w:rPr>
        <w:t>Calvin</w:t>
      </w:r>
      <w:r w:rsidR="00106D18">
        <w:rPr>
          <w:rFonts w:ascii="Times New Roman" w:hAnsi="Times New Roman"/>
          <w:sz w:val="26"/>
          <w:szCs w:val="26"/>
        </w:rPr>
        <w:t> </w:t>
      </w:r>
      <w:r w:rsidR="007D3948">
        <w:rPr>
          <w:rFonts w:ascii="Times New Roman" w:hAnsi="Times New Roman"/>
          <w:sz w:val="26"/>
          <w:szCs w:val="26"/>
        </w:rPr>
        <w:t>E.</w:t>
      </w:r>
      <w:r w:rsidR="00106D18">
        <w:rPr>
          <w:rFonts w:ascii="Times New Roman" w:hAnsi="Times New Roman"/>
          <w:sz w:val="26"/>
          <w:szCs w:val="26"/>
        </w:rPr>
        <w:t> </w:t>
      </w:r>
      <w:r w:rsidR="007D3948">
        <w:rPr>
          <w:rFonts w:ascii="Times New Roman" w:hAnsi="Times New Roman"/>
          <w:sz w:val="26"/>
          <w:szCs w:val="26"/>
        </w:rPr>
        <w:t>Hayes and Philadelphia Gas Works</w:t>
      </w:r>
      <w:r>
        <w:rPr>
          <w:rFonts w:ascii="Times New Roman" w:hAnsi="Times New Roman"/>
          <w:sz w:val="26"/>
          <w:szCs w:val="26"/>
        </w:rPr>
        <w:t>,</w:t>
      </w:r>
      <w:r w:rsidR="004770F4">
        <w:rPr>
          <w:rFonts w:ascii="Times New Roman" w:hAnsi="Times New Roman"/>
          <w:sz w:val="26"/>
          <w:szCs w:val="26"/>
        </w:rPr>
        <w:t xml:space="preserve"> </w:t>
      </w:r>
      <w:r w:rsidR="000572AA">
        <w:rPr>
          <w:rFonts w:ascii="Times New Roman" w:hAnsi="Times New Roman"/>
          <w:sz w:val="26"/>
          <w:szCs w:val="26"/>
        </w:rPr>
        <w:t xml:space="preserve">establishing the monthly installment </w:t>
      </w:r>
      <w:r w:rsidR="000572AA">
        <w:rPr>
          <w:rFonts w:ascii="Times New Roman" w:hAnsi="Times New Roman"/>
          <w:sz w:val="26"/>
          <w:szCs w:val="26"/>
        </w:rPr>
        <w:lastRenderedPageBreak/>
        <w:t>amount, payment period and first due date for the $2,894.91 arrearage consistent with the reinstatement and extension period granted herein.</w:t>
      </w:r>
    </w:p>
    <w:p w14:paraId="4ECBFC5A" w14:textId="77777777" w:rsidR="004770F4" w:rsidRPr="00D80A57" w:rsidRDefault="004770F4" w:rsidP="004770F4">
      <w:pPr>
        <w:tabs>
          <w:tab w:val="left" w:pos="-720"/>
        </w:tabs>
        <w:suppressAutoHyphens/>
        <w:spacing w:line="360" w:lineRule="auto"/>
        <w:ind w:firstLine="1440"/>
        <w:rPr>
          <w:rFonts w:ascii="Times New Roman" w:hAnsi="Times New Roman"/>
          <w:sz w:val="26"/>
          <w:szCs w:val="26"/>
        </w:rPr>
      </w:pPr>
    </w:p>
    <w:p w14:paraId="26BE1858" w14:textId="0ADBCB9E" w:rsidR="003C2524" w:rsidRPr="00D80A57" w:rsidRDefault="004770F4" w:rsidP="00D80A57">
      <w:pPr>
        <w:keepNext/>
        <w:keepLines/>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6</w:t>
      </w:r>
      <w:r w:rsidR="003C2524" w:rsidRPr="00D80A57">
        <w:rPr>
          <w:rFonts w:ascii="Times New Roman" w:hAnsi="Times New Roman"/>
          <w:sz w:val="26"/>
          <w:szCs w:val="26"/>
        </w:rPr>
        <w:t>.</w:t>
      </w:r>
      <w:r w:rsidR="003C2524" w:rsidRPr="00D80A57">
        <w:rPr>
          <w:rFonts w:ascii="Times New Roman" w:hAnsi="Times New Roman"/>
          <w:sz w:val="26"/>
          <w:szCs w:val="26"/>
        </w:rPr>
        <w:tab/>
        <w:t>That</w:t>
      </w:r>
      <w:r>
        <w:rPr>
          <w:rFonts w:ascii="Times New Roman" w:hAnsi="Times New Roman"/>
          <w:sz w:val="26"/>
          <w:szCs w:val="26"/>
        </w:rPr>
        <w:t xml:space="preserve"> </w:t>
      </w:r>
      <w:r w:rsidR="008C417A">
        <w:rPr>
          <w:rFonts w:ascii="Times New Roman" w:hAnsi="Times New Roman"/>
          <w:sz w:val="26"/>
          <w:szCs w:val="26"/>
        </w:rPr>
        <w:t>th</w:t>
      </w:r>
      <w:r w:rsidR="00106D18">
        <w:rPr>
          <w:rFonts w:ascii="Times New Roman" w:hAnsi="Times New Roman"/>
          <w:sz w:val="26"/>
          <w:szCs w:val="26"/>
        </w:rPr>
        <w:t>is proceeding be marked closed.</w:t>
      </w:r>
    </w:p>
    <w:p w14:paraId="65B8C15B" w14:textId="16AB6A34" w:rsidR="00DF5CB4" w:rsidRDefault="00DF5CB4" w:rsidP="00D80A57">
      <w:pPr>
        <w:pStyle w:val="BodyTextIndent2"/>
        <w:keepNext/>
        <w:keepLines/>
        <w:spacing w:after="0" w:line="360" w:lineRule="auto"/>
        <w:ind w:left="0" w:firstLine="1440"/>
        <w:rPr>
          <w:sz w:val="26"/>
          <w:szCs w:val="26"/>
        </w:rPr>
      </w:pPr>
    </w:p>
    <w:p w14:paraId="7BDEB4A5" w14:textId="4916046A" w:rsidR="009C41BD" w:rsidRDefault="00A35274" w:rsidP="00D80A57">
      <w:pPr>
        <w:keepNext/>
        <w:keepLines/>
        <w:tabs>
          <w:tab w:val="left" w:pos="-720"/>
        </w:tabs>
        <w:suppressAutoHyphens/>
        <w:rPr>
          <w:rFonts w:ascii="Times New Roman" w:hAnsi="Times New Roman"/>
          <w:sz w:val="26"/>
        </w:rPr>
      </w:pPr>
      <w:r>
        <w:rPr>
          <w:noProof/>
        </w:rPr>
        <w:drawing>
          <wp:anchor distT="0" distB="0" distL="114300" distR="114300" simplePos="0" relativeHeight="251659264" behindDoc="1" locked="0" layoutInCell="1" allowOverlap="1" wp14:anchorId="7F16F0C4" wp14:editId="34B31263">
            <wp:simplePos x="0" y="0"/>
            <wp:positionH relativeFrom="column">
              <wp:posOffset>3267075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14:paraId="29C5100F" w14:textId="49E74244" w:rsidR="009C41BD" w:rsidRDefault="009C41BD" w:rsidP="00D80A57">
      <w:pPr>
        <w:keepNext/>
        <w:keepLines/>
        <w:tabs>
          <w:tab w:val="left" w:pos="-720"/>
        </w:tabs>
        <w:suppressAutoHyphens/>
        <w:rPr>
          <w:rFonts w:ascii="Times New Roman" w:hAnsi="Times New Roman"/>
          <w:sz w:val="26"/>
        </w:rPr>
      </w:pPr>
    </w:p>
    <w:p w14:paraId="0805DB81" w14:textId="77777777" w:rsidR="008007CF" w:rsidRDefault="008007CF" w:rsidP="00D80A57">
      <w:pPr>
        <w:keepNext/>
        <w:keepLines/>
        <w:tabs>
          <w:tab w:val="left" w:pos="-720"/>
        </w:tabs>
        <w:suppressAutoHyphens/>
        <w:rPr>
          <w:rFonts w:ascii="Times New Roman" w:hAnsi="Times New Roman"/>
          <w:sz w:val="26"/>
        </w:rPr>
      </w:pPr>
    </w:p>
    <w:p w14:paraId="63C2A559" w14:textId="77777777" w:rsidR="008007CF" w:rsidRDefault="008007CF" w:rsidP="00D80A57">
      <w:pPr>
        <w:keepNext/>
        <w:keepLines/>
        <w:tabs>
          <w:tab w:val="left" w:pos="-720"/>
        </w:tabs>
        <w:suppressAutoHyphens/>
        <w:rPr>
          <w:rFonts w:ascii="Times New Roman" w:hAnsi="Times New Roman"/>
          <w:sz w:val="26"/>
        </w:rPr>
      </w:pPr>
      <w:bookmarkStart w:id="2" w:name="_GoBack"/>
      <w:bookmarkEnd w:id="2"/>
    </w:p>
    <w:p w14:paraId="3D4E3E18" w14:textId="77777777" w:rsidR="008F2C2B" w:rsidRDefault="008F2C2B" w:rsidP="00D80A57">
      <w:pPr>
        <w:keepNext/>
        <w:keepLines/>
        <w:tabs>
          <w:tab w:val="left" w:pos="-720"/>
        </w:tabs>
        <w:suppressAutoHyphens/>
        <w:rPr>
          <w:rFonts w:ascii="Times New Roman" w:hAnsi="Times New Roman"/>
          <w:sz w:val="26"/>
        </w:rPr>
      </w:pPr>
    </w:p>
    <w:p w14:paraId="7DB0F4BC" w14:textId="77777777" w:rsidR="006F5428" w:rsidRDefault="008007CF" w:rsidP="00D80A57">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14:paraId="08A9BE38" w14:textId="77777777" w:rsidR="006F5428" w:rsidRDefault="006F5428" w:rsidP="00D80A57">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14:paraId="72F32FCD" w14:textId="77777777" w:rsidR="009F5D88" w:rsidRDefault="009F5D88" w:rsidP="00D80A57">
      <w:pPr>
        <w:keepNext/>
        <w:keepLines/>
        <w:tabs>
          <w:tab w:val="left" w:pos="-720"/>
        </w:tabs>
        <w:suppressAutoHyphens/>
        <w:rPr>
          <w:rFonts w:ascii="Times New Roman" w:hAnsi="Times New Roman"/>
          <w:sz w:val="26"/>
        </w:rPr>
      </w:pPr>
    </w:p>
    <w:p w14:paraId="767DB3EB" w14:textId="77777777" w:rsidR="006F5428" w:rsidRDefault="006F5428" w:rsidP="00D80A57">
      <w:pPr>
        <w:keepNext/>
        <w:keepLines/>
        <w:tabs>
          <w:tab w:val="left" w:pos="-720"/>
        </w:tabs>
        <w:suppressAutoHyphens/>
        <w:rPr>
          <w:rFonts w:ascii="Times New Roman" w:hAnsi="Times New Roman"/>
          <w:sz w:val="26"/>
        </w:rPr>
      </w:pPr>
      <w:r>
        <w:rPr>
          <w:rFonts w:ascii="Times New Roman" w:hAnsi="Times New Roman"/>
          <w:sz w:val="26"/>
        </w:rPr>
        <w:t>(SEAL)</w:t>
      </w:r>
    </w:p>
    <w:p w14:paraId="4F6C46AA" w14:textId="77777777" w:rsidR="00312F4C" w:rsidRDefault="00312F4C" w:rsidP="00D80A57">
      <w:pPr>
        <w:keepNext/>
        <w:keepLines/>
        <w:tabs>
          <w:tab w:val="left" w:pos="-720"/>
        </w:tabs>
        <w:suppressAutoHyphens/>
        <w:rPr>
          <w:rFonts w:ascii="Times New Roman" w:hAnsi="Times New Roman"/>
          <w:sz w:val="26"/>
        </w:rPr>
      </w:pPr>
    </w:p>
    <w:p w14:paraId="07DFD130" w14:textId="58337D76" w:rsidR="000515D9" w:rsidRDefault="008F5A11" w:rsidP="00D80A57">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D80A57">
        <w:rPr>
          <w:rFonts w:ascii="Times New Roman" w:hAnsi="Times New Roman"/>
          <w:sz w:val="26"/>
        </w:rPr>
        <w:t>September 20</w:t>
      </w:r>
      <w:r w:rsidR="00927420">
        <w:rPr>
          <w:rFonts w:ascii="Times New Roman" w:hAnsi="Times New Roman"/>
          <w:sz w:val="26"/>
        </w:rPr>
        <w:t>, 2018</w:t>
      </w:r>
    </w:p>
    <w:p w14:paraId="3068C15B" w14:textId="77777777" w:rsidR="000515D9" w:rsidRDefault="000515D9" w:rsidP="00D80A57">
      <w:pPr>
        <w:keepNext/>
        <w:keepLines/>
        <w:tabs>
          <w:tab w:val="left" w:pos="-720"/>
        </w:tabs>
        <w:suppressAutoHyphens/>
        <w:rPr>
          <w:rFonts w:ascii="Times New Roman" w:hAnsi="Times New Roman"/>
          <w:sz w:val="26"/>
        </w:rPr>
      </w:pPr>
    </w:p>
    <w:p w14:paraId="3DCE8C43" w14:textId="21D010E7" w:rsidR="008B375E" w:rsidRDefault="006F5428" w:rsidP="00D80A57">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BA4079">
        <w:rPr>
          <w:rFonts w:ascii="Times New Roman" w:hAnsi="Times New Roman"/>
          <w:sz w:val="26"/>
        </w:rPr>
        <w:t xml:space="preserve"> October 1, 2018</w:t>
      </w:r>
    </w:p>
    <w:sectPr w:rsidR="008B375E"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F930A" w14:textId="77777777" w:rsidR="00BB41C7" w:rsidRDefault="00BB41C7">
      <w:pPr>
        <w:spacing w:line="20" w:lineRule="exact"/>
      </w:pPr>
    </w:p>
  </w:endnote>
  <w:endnote w:type="continuationSeparator" w:id="0">
    <w:p w14:paraId="1182B597" w14:textId="77777777" w:rsidR="00BB41C7" w:rsidRDefault="00BB41C7">
      <w:r>
        <w:t xml:space="preserve"> </w:t>
      </w:r>
    </w:p>
  </w:endnote>
  <w:endnote w:type="continuationNotice" w:id="1">
    <w:p w14:paraId="7E5ABE8D" w14:textId="77777777" w:rsidR="00BB41C7" w:rsidRDefault="00BB41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6837" w14:textId="77777777"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71B12306" wp14:editId="33998CC0">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00BB64" w14:textId="58B6B3BF"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0572AA">
                            <w:rPr>
                              <w:rFonts w:ascii="Times New Roman" w:hAnsi="Times New Roman"/>
                              <w:noProof/>
                              <w:spacing w:val="-3"/>
                              <w:sz w:val="26"/>
                            </w:rPr>
                            <w:t>14</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12306"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14:paraId="3D00BB64" w14:textId="58B6B3BF"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0572AA">
                      <w:rPr>
                        <w:rFonts w:ascii="Times New Roman" w:hAnsi="Times New Roman"/>
                        <w:noProof/>
                        <w:spacing w:val="-3"/>
                        <w:sz w:val="26"/>
                      </w:rPr>
                      <w:t>14</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8856" w14:textId="77777777" w:rsidR="00BB41C7" w:rsidRDefault="00BB41C7">
      <w:r>
        <w:separator/>
      </w:r>
    </w:p>
  </w:footnote>
  <w:footnote w:type="continuationSeparator" w:id="0">
    <w:p w14:paraId="33C8009D" w14:textId="77777777" w:rsidR="00BB41C7" w:rsidRDefault="00BB41C7">
      <w:r>
        <w:continuationSeparator/>
      </w:r>
    </w:p>
  </w:footnote>
  <w:footnote w:type="continuationNotice" w:id="1">
    <w:p w14:paraId="2EBB76E4" w14:textId="77777777" w:rsidR="00BB41C7" w:rsidRDefault="00BB41C7"/>
  </w:footnote>
  <w:footnote w:id="2">
    <w:p w14:paraId="33C5DB3B" w14:textId="7FC4E5FA" w:rsidR="008A0BEF" w:rsidRPr="008A0BEF" w:rsidRDefault="008A0BEF" w:rsidP="008A0BEF">
      <w:pPr>
        <w:pStyle w:val="FootnoteText"/>
        <w:ind w:firstLine="720"/>
        <w:rPr>
          <w:rFonts w:ascii="Times New Roman" w:hAnsi="Times New Roman"/>
          <w:sz w:val="26"/>
          <w:szCs w:val="26"/>
        </w:rPr>
      </w:pPr>
      <w:r w:rsidRPr="008A0BEF">
        <w:rPr>
          <w:rStyle w:val="FootnoteReference"/>
          <w:rFonts w:ascii="Times New Roman" w:hAnsi="Times New Roman"/>
          <w:sz w:val="26"/>
          <w:szCs w:val="26"/>
        </w:rPr>
        <w:footnoteRef/>
      </w:r>
      <w:r w:rsidRPr="008A0BEF">
        <w:rPr>
          <w:rFonts w:ascii="Times New Roman" w:hAnsi="Times New Roman"/>
          <w:sz w:val="26"/>
          <w:szCs w:val="26"/>
        </w:rPr>
        <w:t xml:space="preserve"> </w:t>
      </w:r>
      <w:r w:rsidR="00F5764B">
        <w:rPr>
          <w:rFonts w:ascii="Times New Roman" w:hAnsi="Times New Roman"/>
          <w:sz w:val="26"/>
          <w:szCs w:val="26"/>
        </w:rPr>
        <w:tab/>
      </w:r>
      <w:r w:rsidRPr="008A0BEF">
        <w:rPr>
          <w:rFonts w:ascii="Times New Roman" w:hAnsi="Times New Roman"/>
          <w:sz w:val="26"/>
          <w:szCs w:val="26"/>
        </w:rPr>
        <w:t>During the February 22, 2018 hearing, the Complainant testified that he does not have a current protection from abuse order. Tr. 9.</w:t>
      </w:r>
    </w:p>
  </w:footnote>
  <w:footnote w:id="3">
    <w:p w14:paraId="52302491" w14:textId="5C240F83" w:rsidR="003D6461" w:rsidRPr="000E717D" w:rsidRDefault="003D6461" w:rsidP="000E717D">
      <w:pPr>
        <w:keepNext/>
        <w:keepLines/>
        <w:ind w:firstLine="720"/>
        <w:rPr>
          <w:rFonts w:ascii="Times New Roman" w:hAnsi="Times New Roman"/>
          <w:sz w:val="26"/>
          <w:szCs w:val="26"/>
        </w:rPr>
      </w:pPr>
      <w:r w:rsidRPr="003D6461">
        <w:rPr>
          <w:rStyle w:val="FootnoteReference"/>
          <w:rFonts w:ascii="Times New Roman" w:hAnsi="Times New Roman"/>
          <w:sz w:val="26"/>
          <w:szCs w:val="26"/>
        </w:rPr>
        <w:footnoteRef/>
      </w:r>
      <w:r>
        <w:rPr>
          <w:rFonts w:ascii="Times New Roman" w:hAnsi="Times New Roman"/>
          <w:sz w:val="26"/>
          <w:szCs w:val="26"/>
        </w:rPr>
        <w:tab/>
      </w:r>
      <w:r w:rsidRPr="003F5145">
        <w:rPr>
          <w:rFonts w:ascii="Times New Roman" w:hAnsi="Times New Roman"/>
          <w:sz w:val="26"/>
          <w:szCs w:val="26"/>
        </w:rPr>
        <w:t xml:space="preserve">The Commission’s power to establish a payment arrangement is not limited by the fact that the customer previously received a utility-issued payment arrangement.  </w:t>
      </w:r>
      <w:r w:rsidRPr="003F5145">
        <w:rPr>
          <w:rFonts w:ascii="Times New Roman" w:hAnsi="Times New Roman"/>
          <w:i/>
          <w:sz w:val="26"/>
          <w:szCs w:val="26"/>
        </w:rPr>
        <w:t>See</w:t>
      </w:r>
      <w:r w:rsidRPr="003F5145">
        <w:rPr>
          <w:rFonts w:ascii="Times New Roman" w:hAnsi="Times New Roman"/>
          <w:sz w:val="26"/>
          <w:szCs w:val="26"/>
        </w:rPr>
        <w:t xml:space="preserve"> </w:t>
      </w:r>
      <w:r w:rsidRPr="003F5145">
        <w:rPr>
          <w:rFonts w:ascii="Times New Roman" w:hAnsi="Times New Roman"/>
          <w:i/>
          <w:sz w:val="26"/>
          <w:szCs w:val="26"/>
        </w:rPr>
        <w:t>Chapter 14 Implementation, Reconsideration of Implementation Order</w:t>
      </w:r>
      <w:r w:rsidRPr="003F5145">
        <w:rPr>
          <w:rFonts w:ascii="Times New Roman" w:hAnsi="Times New Roman"/>
          <w:sz w:val="26"/>
          <w:szCs w:val="26"/>
        </w:rPr>
        <w:t>, Docket No. M-0004180F0002 (Order entered October 27, 2005).</w:t>
      </w:r>
      <w:r>
        <w:rPr>
          <w:rFonts w:ascii="Times New Roman" w:hAnsi="Times New Roman"/>
          <w:sz w:val="26"/>
          <w:szCs w:val="26"/>
        </w:rPr>
        <w:t xml:space="preserve">  Additionally, the Commission’s power under Section 1405(a) to establish a payment arrangement for a customer is not limited by the fact that the customer previously received and fully satisfied a </w:t>
      </w:r>
      <w:r w:rsidR="00A654BD">
        <w:rPr>
          <w:rFonts w:ascii="Times New Roman" w:hAnsi="Times New Roman"/>
          <w:sz w:val="26"/>
          <w:szCs w:val="26"/>
        </w:rPr>
        <w:t>prior</w:t>
      </w:r>
      <w:r>
        <w:rPr>
          <w:rFonts w:ascii="Times New Roman" w:hAnsi="Times New Roman"/>
          <w:sz w:val="26"/>
          <w:szCs w:val="26"/>
        </w:rPr>
        <w:t xml:space="preserve"> Commission-established payment arrangement.  </w:t>
      </w:r>
      <w:r w:rsidRPr="003F5145">
        <w:rPr>
          <w:rFonts w:ascii="Times New Roman" w:hAnsi="Times New Roman"/>
          <w:i/>
          <w:sz w:val="26"/>
          <w:szCs w:val="26"/>
        </w:rPr>
        <w:t>See</w:t>
      </w:r>
      <w:r>
        <w:rPr>
          <w:rFonts w:ascii="Times New Roman" w:hAnsi="Times New Roman"/>
          <w:sz w:val="26"/>
          <w:szCs w:val="26"/>
        </w:rPr>
        <w:t xml:space="preserve"> 66 Pa. C.S. § 1405(d).</w:t>
      </w:r>
      <w:r w:rsidR="00874E33">
        <w:rPr>
          <w:rFonts w:ascii="Times New Roman" w:hAnsi="Times New Roman"/>
          <w:sz w:val="26"/>
          <w:szCs w:val="26"/>
        </w:rPr>
        <w:t xml:space="preserve">  However, the Commission’s power under Section 1405(a) </w:t>
      </w:r>
      <w:r w:rsidR="00316464" w:rsidRPr="003F5145">
        <w:rPr>
          <w:rFonts w:ascii="Times New Roman" w:hAnsi="Times New Roman"/>
          <w:sz w:val="26"/>
          <w:szCs w:val="26"/>
        </w:rPr>
        <w:t xml:space="preserve">to establish a payment arrangement </w:t>
      </w:r>
      <w:r w:rsidR="00874E33">
        <w:rPr>
          <w:rFonts w:ascii="Times New Roman" w:hAnsi="Times New Roman"/>
          <w:sz w:val="26"/>
          <w:szCs w:val="26"/>
        </w:rPr>
        <w:t>is expressly limited by Section 1405(c), which prohibits the Commission from establishing a payment arrangement where the customer’s unpaid arrears results from unpaid rates billed under a utility’s customer assistance program or “CAP”.</w:t>
      </w:r>
    </w:p>
  </w:footnote>
  <w:footnote w:id="4">
    <w:p w14:paraId="35EF1527" w14:textId="56984F05" w:rsidR="00D12E2D" w:rsidRPr="00D12E2D" w:rsidRDefault="00D12E2D" w:rsidP="00D12E2D">
      <w:pPr>
        <w:pStyle w:val="FootnoteText"/>
        <w:ind w:firstLine="720"/>
        <w:rPr>
          <w:rFonts w:ascii="Times New Roman" w:hAnsi="Times New Roman"/>
          <w:sz w:val="26"/>
          <w:szCs w:val="26"/>
        </w:rPr>
      </w:pPr>
      <w:r w:rsidRPr="00D12E2D">
        <w:rPr>
          <w:rStyle w:val="FootnoteReference"/>
          <w:rFonts w:ascii="Times New Roman" w:hAnsi="Times New Roman"/>
          <w:sz w:val="26"/>
          <w:szCs w:val="26"/>
        </w:rPr>
        <w:footnoteRef/>
      </w:r>
      <w:r>
        <w:rPr>
          <w:rFonts w:ascii="Times New Roman" w:hAnsi="Times New Roman"/>
          <w:sz w:val="26"/>
          <w:szCs w:val="26"/>
        </w:rPr>
        <w:tab/>
      </w:r>
      <w:r w:rsidRPr="00D12E2D">
        <w:rPr>
          <w:rFonts w:ascii="Times New Roman" w:hAnsi="Times New Roman"/>
          <w:sz w:val="26"/>
          <w:szCs w:val="26"/>
        </w:rPr>
        <w:t>The top right corner</w:t>
      </w:r>
      <w:r w:rsidR="00E551FE">
        <w:rPr>
          <w:rFonts w:ascii="Times New Roman" w:hAnsi="Times New Roman"/>
          <w:sz w:val="26"/>
          <w:szCs w:val="26"/>
        </w:rPr>
        <w:t>s</w:t>
      </w:r>
      <w:r w:rsidRPr="00D12E2D">
        <w:rPr>
          <w:rFonts w:ascii="Times New Roman" w:hAnsi="Times New Roman"/>
          <w:sz w:val="26"/>
          <w:szCs w:val="26"/>
        </w:rPr>
        <w:t xml:space="preserve"> of the first </w:t>
      </w:r>
      <w:r w:rsidR="00E551FE">
        <w:rPr>
          <w:rFonts w:ascii="Times New Roman" w:hAnsi="Times New Roman"/>
          <w:sz w:val="26"/>
          <w:szCs w:val="26"/>
        </w:rPr>
        <w:t xml:space="preserve">and second </w:t>
      </w:r>
      <w:r w:rsidRPr="00D12E2D">
        <w:rPr>
          <w:rFonts w:ascii="Times New Roman" w:hAnsi="Times New Roman"/>
          <w:sz w:val="26"/>
          <w:szCs w:val="26"/>
        </w:rPr>
        <w:t>page</w:t>
      </w:r>
      <w:r w:rsidR="00E551FE">
        <w:rPr>
          <w:rFonts w:ascii="Times New Roman" w:hAnsi="Times New Roman"/>
          <w:sz w:val="26"/>
          <w:szCs w:val="26"/>
        </w:rPr>
        <w:t>s</w:t>
      </w:r>
      <w:r w:rsidRPr="00D12E2D">
        <w:rPr>
          <w:rFonts w:ascii="Times New Roman" w:hAnsi="Times New Roman"/>
          <w:sz w:val="26"/>
          <w:szCs w:val="26"/>
        </w:rPr>
        <w:t xml:space="preserve"> </w:t>
      </w:r>
      <w:r w:rsidR="00E551FE">
        <w:rPr>
          <w:rFonts w:ascii="Times New Roman" w:hAnsi="Times New Roman"/>
          <w:sz w:val="26"/>
          <w:szCs w:val="26"/>
        </w:rPr>
        <w:t xml:space="preserve">were marked </w:t>
      </w:r>
      <w:r w:rsidRPr="00D12E2D">
        <w:rPr>
          <w:rFonts w:ascii="Times New Roman" w:hAnsi="Times New Roman"/>
          <w:sz w:val="26"/>
          <w:szCs w:val="26"/>
        </w:rPr>
        <w:t>“Page 1 of</w:t>
      </w:r>
      <w:r w:rsidR="004C2FC7">
        <w:rPr>
          <w:rFonts w:ascii="Times New Roman" w:hAnsi="Times New Roman"/>
          <w:sz w:val="26"/>
          <w:szCs w:val="26"/>
        </w:rPr>
        <w:t> </w:t>
      </w:r>
      <w:r w:rsidRPr="00D12E2D">
        <w:rPr>
          <w:rFonts w:ascii="Times New Roman" w:hAnsi="Times New Roman"/>
          <w:sz w:val="26"/>
          <w:szCs w:val="26"/>
        </w:rPr>
        <w:t>3</w:t>
      </w:r>
      <w:r w:rsidR="004C2FC7">
        <w:rPr>
          <w:rFonts w:ascii="Times New Roman" w:hAnsi="Times New Roman"/>
          <w:sz w:val="26"/>
          <w:szCs w:val="26"/>
        </w:rPr>
        <w:t>,</w:t>
      </w:r>
      <w:r w:rsidRPr="00D12E2D">
        <w:rPr>
          <w:rFonts w:ascii="Times New Roman" w:hAnsi="Times New Roman"/>
          <w:sz w:val="26"/>
          <w:szCs w:val="26"/>
        </w:rPr>
        <w:t>”</w:t>
      </w:r>
      <w:r w:rsidR="004C2FC7">
        <w:rPr>
          <w:rFonts w:ascii="Times New Roman" w:hAnsi="Times New Roman"/>
          <w:sz w:val="26"/>
          <w:szCs w:val="26"/>
        </w:rPr>
        <w:t xml:space="preserve"> and </w:t>
      </w:r>
      <w:r w:rsidRPr="00D12E2D">
        <w:rPr>
          <w:rFonts w:ascii="Times New Roman" w:hAnsi="Times New Roman"/>
          <w:sz w:val="26"/>
          <w:szCs w:val="26"/>
        </w:rPr>
        <w:t>“Page 2 of 3</w:t>
      </w:r>
      <w:r w:rsidR="004C2FC7">
        <w:rPr>
          <w:rFonts w:ascii="Times New Roman" w:hAnsi="Times New Roman"/>
          <w:sz w:val="26"/>
          <w:szCs w:val="26"/>
        </w:rPr>
        <w:t>,</w:t>
      </w:r>
      <w:r w:rsidRPr="00D12E2D">
        <w:rPr>
          <w:rFonts w:ascii="Times New Roman" w:hAnsi="Times New Roman"/>
          <w:sz w:val="26"/>
          <w:szCs w:val="26"/>
        </w:rPr>
        <w:t>”</w:t>
      </w:r>
      <w:r w:rsidR="00265C56">
        <w:rPr>
          <w:rFonts w:ascii="Times New Roman" w:hAnsi="Times New Roman"/>
          <w:sz w:val="26"/>
          <w:szCs w:val="26"/>
        </w:rPr>
        <w:t xml:space="preserve"> </w:t>
      </w:r>
      <w:r w:rsidR="004C2FC7">
        <w:rPr>
          <w:rFonts w:ascii="Times New Roman" w:hAnsi="Times New Roman"/>
          <w:sz w:val="26"/>
          <w:szCs w:val="26"/>
        </w:rPr>
        <w:t xml:space="preserve">respectively. </w:t>
      </w:r>
      <w:r w:rsidR="00265C56">
        <w:rPr>
          <w:rFonts w:ascii="Times New Roman" w:hAnsi="Times New Roman"/>
          <w:sz w:val="26"/>
          <w:szCs w:val="26"/>
        </w:rPr>
        <w:t xml:space="preserve"> The </w:t>
      </w:r>
      <w:r w:rsidRPr="00D12E2D">
        <w:rPr>
          <w:rFonts w:ascii="Times New Roman" w:hAnsi="Times New Roman"/>
          <w:sz w:val="26"/>
          <w:szCs w:val="26"/>
        </w:rPr>
        <w:t xml:space="preserve">Complainant did not </w:t>
      </w:r>
      <w:r w:rsidR="004C2FC7">
        <w:rPr>
          <w:rFonts w:ascii="Times New Roman" w:hAnsi="Times New Roman"/>
          <w:sz w:val="26"/>
          <w:szCs w:val="26"/>
        </w:rPr>
        <w:t>provide</w:t>
      </w:r>
      <w:r w:rsidRPr="00D12E2D">
        <w:rPr>
          <w:rFonts w:ascii="Times New Roman" w:hAnsi="Times New Roman"/>
          <w:sz w:val="26"/>
          <w:szCs w:val="26"/>
        </w:rPr>
        <w:t xml:space="preserve"> page 3.</w:t>
      </w:r>
    </w:p>
  </w:footnote>
  <w:footnote w:id="5">
    <w:p w14:paraId="31E18F37" w14:textId="3E83B33F" w:rsidR="00DD7894" w:rsidRPr="00DD7894" w:rsidRDefault="00DD7894" w:rsidP="00DD7894">
      <w:pPr>
        <w:ind w:firstLine="720"/>
        <w:rPr>
          <w:rFonts w:ascii="Times New Roman" w:eastAsiaTheme="minorHAnsi" w:hAnsi="Times New Roman"/>
          <w:sz w:val="26"/>
          <w:szCs w:val="26"/>
        </w:rPr>
      </w:pPr>
      <w:r w:rsidRPr="00D80A57">
        <w:rPr>
          <w:rStyle w:val="FootnoteReference"/>
          <w:rFonts w:ascii="Times New Roman" w:hAnsi="Times New Roman"/>
          <w:sz w:val="26"/>
          <w:szCs w:val="26"/>
        </w:rPr>
        <w:footnoteRef/>
      </w:r>
      <w:r>
        <w:t xml:space="preserve"> </w:t>
      </w:r>
      <w:r>
        <w:tab/>
      </w:r>
      <w:r w:rsidRPr="00DD7894">
        <w:rPr>
          <w:rFonts w:ascii="Times New Roman" w:hAnsi="Times New Roman"/>
          <w:sz w:val="26"/>
          <w:szCs w:val="26"/>
        </w:rPr>
        <w:t>The</w:t>
      </w:r>
      <w:r w:rsidRPr="00321F4B">
        <w:rPr>
          <w:rFonts w:ascii="Times New Roman" w:hAnsi="Times New Roman"/>
          <w:sz w:val="26"/>
          <w:szCs w:val="26"/>
        </w:rPr>
        <w:t xml:space="preserve"> Federal Poverty Guidelines for the year 2017 provided that a one-person household with gross-monthly income of $1,508.00 was at 150% of the federal poverty level. </w:t>
      </w:r>
      <w:r w:rsidR="008618BA">
        <w:rPr>
          <w:rFonts w:ascii="Times New Roman" w:hAnsi="Times New Roman"/>
          <w:sz w:val="26"/>
          <w:szCs w:val="26"/>
        </w:rPr>
        <w:t xml:space="preserve"> </w:t>
      </w:r>
      <w:r w:rsidRPr="00321F4B">
        <w:rPr>
          <w:rFonts w:ascii="Times New Roman" w:hAnsi="Times New Roman"/>
          <w:i/>
          <w:sz w:val="26"/>
          <w:szCs w:val="26"/>
        </w:rPr>
        <w:t>Federal Register</w:t>
      </w:r>
      <w:r w:rsidRPr="00321F4B">
        <w:rPr>
          <w:rFonts w:ascii="Times New Roman" w:hAnsi="Times New Roman"/>
          <w:sz w:val="26"/>
          <w:szCs w:val="26"/>
        </w:rPr>
        <w:t>, Vol. 82, No. 19, January 31, 2017, pp. 8831-8832.</w:t>
      </w:r>
    </w:p>
  </w:footnote>
  <w:footnote w:id="6">
    <w:p w14:paraId="78DE394F" w14:textId="776DB5C5" w:rsidR="00DD7894" w:rsidRDefault="00DD7894" w:rsidP="00D248A9">
      <w:pPr>
        <w:keepNext/>
        <w:keepLines/>
        <w:ind w:firstLine="720"/>
      </w:pPr>
      <w:r w:rsidRPr="00D80A57">
        <w:rPr>
          <w:rStyle w:val="FootnoteReference"/>
          <w:rFonts w:ascii="Times New Roman" w:hAnsi="Times New Roman"/>
          <w:sz w:val="26"/>
          <w:szCs w:val="26"/>
        </w:rPr>
        <w:footnoteRef/>
      </w:r>
      <w:r>
        <w:tab/>
      </w:r>
      <w:r w:rsidRPr="00DD7894">
        <w:rPr>
          <w:rFonts w:ascii="Times New Roman" w:hAnsi="Times New Roman"/>
          <w:sz w:val="26"/>
          <w:szCs w:val="26"/>
        </w:rPr>
        <w:t>T</w:t>
      </w:r>
      <w:r w:rsidRPr="00321F4B">
        <w:rPr>
          <w:rFonts w:ascii="Times New Roman" w:hAnsi="Times New Roman"/>
          <w:sz w:val="26"/>
          <w:szCs w:val="26"/>
        </w:rPr>
        <w:t xml:space="preserve">he Federal Poverty Guidelines for the year 2018 provide that a two-person household with gross-monthly income of $2,057.50 is a 150% of the federal poverty level. </w:t>
      </w:r>
      <w:r w:rsidRPr="00321F4B">
        <w:rPr>
          <w:rFonts w:ascii="Times New Roman" w:hAnsi="Times New Roman"/>
          <w:i/>
          <w:sz w:val="26"/>
          <w:szCs w:val="26"/>
        </w:rPr>
        <w:t>Federal Register</w:t>
      </w:r>
      <w:r w:rsidRPr="00321F4B">
        <w:rPr>
          <w:rFonts w:ascii="Times New Roman" w:hAnsi="Times New Roman"/>
          <w:sz w:val="26"/>
          <w:szCs w:val="26"/>
        </w:rPr>
        <w:t>, Vol. 83, No. 12, January 18, 2018, pp. 2642-2644</w:t>
      </w:r>
      <w:r>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1D323749"/>
    <w:multiLevelType w:val="hybridMultilevel"/>
    <w:tmpl w:val="76503E38"/>
    <w:lvl w:ilvl="0" w:tplc="B43E43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2"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4"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5"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7"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0"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A1F43E9"/>
    <w:multiLevelType w:val="hybridMultilevel"/>
    <w:tmpl w:val="0D2EDC50"/>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0"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1"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E1AFE"/>
    <w:multiLevelType w:val="hybridMultilevel"/>
    <w:tmpl w:val="0D2EDC50"/>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6"/>
  </w:num>
  <w:num w:numId="2">
    <w:abstractNumId w:val="26"/>
  </w:num>
  <w:num w:numId="3">
    <w:abstractNumId w:val="1"/>
  </w:num>
  <w:num w:numId="4">
    <w:abstractNumId w:val="4"/>
  </w:num>
  <w:num w:numId="5">
    <w:abstractNumId w:val="9"/>
  </w:num>
  <w:num w:numId="6">
    <w:abstractNumId w:val="15"/>
  </w:num>
  <w:num w:numId="7">
    <w:abstractNumId w:val="24"/>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0"/>
  </w:num>
  <w:num w:numId="12">
    <w:abstractNumId w:val="5"/>
  </w:num>
  <w:num w:numId="13">
    <w:abstractNumId w:val="14"/>
  </w:num>
  <w:num w:numId="14">
    <w:abstractNumId w:val="19"/>
  </w:num>
  <w:num w:numId="15">
    <w:abstractNumId w:val="11"/>
  </w:num>
  <w:num w:numId="16">
    <w:abstractNumId w:val="25"/>
  </w:num>
  <w:num w:numId="17">
    <w:abstractNumId w:val="13"/>
  </w:num>
  <w:num w:numId="18">
    <w:abstractNumId w:val="2"/>
  </w:num>
  <w:num w:numId="19">
    <w:abstractNumId w:val="17"/>
  </w:num>
  <w:num w:numId="20">
    <w:abstractNumId w:val="33"/>
  </w:num>
  <w:num w:numId="21">
    <w:abstractNumId w:val="29"/>
  </w:num>
  <w:num w:numId="22">
    <w:abstractNumId w:val="28"/>
  </w:num>
  <w:num w:numId="23">
    <w:abstractNumId w:val="27"/>
  </w:num>
  <w:num w:numId="24">
    <w:abstractNumId w:val="31"/>
  </w:num>
  <w:num w:numId="25">
    <w:abstractNumId w:val="12"/>
  </w:num>
  <w:num w:numId="26">
    <w:abstractNumId w:val="18"/>
  </w:num>
  <w:num w:numId="27">
    <w:abstractNumId w:val="21"/>
  </w:num>
  <w:num w:numId="28">
    <w:abstractNumId w:val="6"/>
  </w:num>
  <w:num w:numId="29">
    <w:abstractNumId w:val="23"/>
  </w:num>
  <w:num w:numId="30">
    <w:abstractNumId w:val="2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2"/>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CD6"/>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36E"/>
    <w:rsid w:val="0003676E"/>
    <w:rsid w:val="000368E9"/>
    <w:rsid w:val="000368EA"/>
    <w:rsid w:val="000376B8"/>
    <w:rsid w:val="00037AC3"/>
    <w:rsid w:val="00037D01"/>
    <w:rsid w:val="00037E5C"/>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2AA"/>
    <w:rsid w:val="00057847"/>
    <w:rsid w:val="0006070C"/>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9"/>
    <w:rsid w:val="00071C5C"/>
    <w:rsid w:val="00071E96"/>
    <w:rsid w:val="00071EB4"/>
    <w:rsid w:val="00072C9F"/>
    <w:rsid w:val="00072D32"/>
    <w:rsid w:val="00072E99"/>
    <w:rsid w:val="00073003"/>
    <w:rsid w:val="0007307F"/>
    <w:rsid w:val="0007316B"/>
    <w:rsid w:val="000732AE"/>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47A"/>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24A"/>
    <w:rsid w:val="000C1B4B"/>
    <w:rsid w:val="000C2207"/>
    <w:rsid w:val="000C28F1"/>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4B11"/>
    <w:rsid w:val="000E5428"/>
    <w:rsid w:val="000E5683"/>
    <w:rsid w:val="000E59EE"/>
    <w:rsid w:val="000E627B"/>
    <w:rsid w:val="000E6601"/>
    <w:rsid w:val="000E70E3"/>
    <w:rsid w:val="000E717D"/>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6D18"/>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B34"/>
    <w:rsid w:val="0011525B"/>
    <w:rsid w:val="001152D7"/>
    <w:rsid w:val="001161FA"/>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45A0"/>
    <w:rsid w:val="00144646"/>
    <w:rsid w:val="0014472E"/>
    <w:rsid w:val="00144C0B"/>
    <w:rsid w:val="00145C4E"/>
    <w:rsid w:val="00145F43"/>
    <w:rsid w:val="001469ED"/>
    <w:rsid w:val="001469FD"/>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35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081"/>
    <w:rsid w:val="0016726D"/>
    <w:rsid w:val="0016728B"/>
    <w:rsid w:val="00167EB4"/>
    <w:rsid w:val="0017122B"/>
    <w:rsid w:val="00171349"/>
    <w:rsid w:val="00171350"/>
    <w:rsid w:val="0017253C"/>
    <w:rsid w:val="00173747"/>
    <w:rsid w:val="0017391C"/>
    <w:rsid w:val="00173E3F"/>
    <w:rsid w:val="00174390"/>
    <w:rsid w:val="00174883"/>
    <w:rsid w:val="00174E96"/>
    <w:rsid w:val="00175566"/>
    <w:rsid w:val="0017604C"/>
    <w:rsid w:val="00177205"/>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499B"/>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1F90"/>
    <w:rsid w:val="001A2363"/>
    <w:rsid w:val="001A2B98"/>
    <w:rsid w:val="001A2DF2"/>
    <w:rsid w:val="001A3556"/>
    <w:rsid w:val="001A3E3F"/>
    <w:rsid w:val="001A4EA4"/>
    <w:rsid w:val="001A4EF0"/>
    <w:rsid w:val="001A513A"/>
    <w:rsid w:val="001A5648"/>
    <w:rsid w:val="001A58EF"/>
    <w:rsid w:val="001A6176"/>
    <w:rsid w:val="001A63A4"/>
    <w:rsid w:val="001A65E3"/>
    <w:rsid w:val="001A6BFA"/>
    <w:rsid w:val="001A72C4"/>
    <w:rsid w:val="001B02DB"/>
    <w:rsid w:val="001B04BB"/>
    <w:rsid w:val="001B1173"/>
    <w:rsid w:val="001B17F1"/>
    <w:rsid w:val="001B254A"/>
    <w:rsid w:val="001B257D"/>
    <w:rsid w:val="001B2999"/>
    <w:rsid w:val="001B2A0A"/>
    <w:rsid w:val="001B2B72"/>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3C"/>
    <w:rsid w:val="001C65BF"/>
    <w:rsid w:val="001C66D8"/>
    <w:rsid w:val="001C66F3"/>
    <w:rsid w:val="001C68EC"/>
    <w:rsid w:val="001C6B51"/>
    <w:rsid w:val="001C7100"/>
    <w:rsid w:val="001C7242"/>
    <w:rsid w:val="001C7C46"/>
    <w:rsid w:val="001D035C"/>
    <w:rsid w:val="001D0A30"/>
    <w:rsid w:val="001D0E05"/>
    <w:rsid w:val="001D185E"/>
    <w:rsid w:val="001D18CB"/>
    <w:rsid w:val="001D1950"/>
    <w:rsid w:val="001D1BDB"/>
    <w:rsid w:val="001D20E4"/>
    <w:rsid w:val="001D23D3"/>
    <w:rsid w:val="001D3C6E"/>
    <w:rsid w:val="001D4794"/>
    <w:rsid w:val="001D4DCB"/>
    <w:rsid w:val="001D4F80"/>
    <w:rsid w:val="001D570C"/>
    <w:rsid w:val="001D5943"/>
    <w:rsid w:val="001D5DA7"/>
    <w:rsid w:val="001D5E7A"/>
    <w:rsid w:val="001D649F"/>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5CC"/>
    <w:rsid w:val="001E3678"/>
    <w:rsid w:val="001E4F53"/>
    <w:rsid w:val="001E4FFB"/>
    <w:rsid w:val="001E54BB"/>
    <w:rsid w:val="001E5F09"/>
    <w:rsid w:val="001E6621"/>
    <w:rsid w:val="001E690D"/>
    <w:rsid w:val="001E69F8"/>
    <w:rsid w:val="001E6CA4"/>
    <w:rsid w:val="001E6DBA"/>
    <w:rsid w:val="001E7428"/>
    <w:rsid w:val="001E7769"/>
    <w:rsid w:val="001E7FB8"/>
    <w:rsid w:val="001F00F6"/>
    <w:rsid w:val="001F0260"/>
    <w:rsid w:val="001F14B1"/>
    <w:rsid w:val="001F2134"/>
    <w:rsid w:val="001F2DC7"/>
    <w:rsid w:val="001F36CA"/>
    <w:rsid w:val="001F399D"/>
    <w:rsid w:val="001F3B77"/>
    <w:rsid w:val="001F54E9"/>
    <w:rsid w:val="001F5764"/>
    <w:rsid w:val="001F5922"/>
    <w:rsid w:val="001F5B0A"/>
    <w:rsid w:val="001F5D68"/>
    <w:rsid w:val="001F65D9"/>
    <w:rsid w:val="001F6660"/>
    <w:rsid w:val="001F6A75"/>
    <w:rsid w:val="001F7E30"/>
    <w:rsid w:val="002000D7"/>
    <w:rsid w:val="00200372"/>
    <w:rsid w:val="0020054A"/>
    <w:rsid w:val="0020066C"/>
    <w:rsid w:val="00200AF1"/>
    <w:rsid w:val="00201156"/>
    <w:rsid w:val="0020198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AE2"/>
    <w:rsid w:val="00206D8A"/>
    <w:rsid w:val="0020701E"/>
    <w:rsid w:val="00207833"/>
    <w:rsid w:val="00210422"/>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A21"/>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677"/>
    <w:rsid w:val="00245A0E"/>
    <w:rsid w:val="0024696B"/>
    <w:rsid w:val="00246BFD"/>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5C9"/>
    <w:rsid w:val="002626CE"/>
    <w:rsid w:val="00262821"/>
    <w:rsid w:val="00262A81"/>
    <w:rsid w:val="00262E62"/>
    <w:rsid w:val="00263E9C"/>
    <w:rsid w:val="00264109"/>
    <w:rsid w:val="00264E72"/>
    <w:rsid w:val="00265C56"/>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8B5"/>
    <w:rsid w:val="00275D5E"/>
    <w:rsid w:val="00276505"/>
    <w:rsid w:val="00276634"/>
    <w:rsid w:val="00276769"/>
    <w:rsid w:val="002767E0"/>
    <w:rsid w:val="00277849"/>
    <w:rsid w:val="00277B75"/>
    <w:rsid w:val="002801D8"/>
    <w:rsid w:val="00280580"/>
    <w:rsid w:val="00280C7E"/>
    <w:rsid w:val="00280DDC"/>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26F1"/>
    <w:rsid w:val="002935DA"/>
    <w:rsid w:val="00293828"/>
    <w:rsid w:val="0029386D"/>
    <w:rsid w:val="00293D78"/>
    <w:rsid w:val="00294884"/>
    <w:rsid w:val="002949E9"/>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1EF"/>
    <w:rsid w:val="002B27AD"/>
    <w:rsid w:val="002B3087"/>
    <w:rsid w:val="002B31B0"/>
    <w:rsid w:val="002B334D"/>
    <w:rsid w:val="002B336A"/>
    <w:rsid w:val="002B3643"/>
    <w:rsid w:val="002B38E0"/>
    <w:rsid w:val="002B39C6"/>
    <w:rsid w:val="002B3B30"/>
    <w:rsid w:val="002B3D24"/>
    <w:rsid w:val="002B4CDF"/>
    <w:rsid w:val="002B4FA5"/>
    <w:rsid w:val="002B58D7"/>
    <w:rsid w:val="002B6485"/>
    <w:rsid w:val="002B6BCD"/>
    <w:rsid w:val="002B6BCE"/>
    <w:rsid w:val="002B6D7E"/>
    <w:rsid w:val="002B70FD"/>
    <w:rsid w:val="002B746B"/>
    <w:rsid w:val="002B748D"/>
    <w:rsid w:val="002B78F5"/>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4A3"/>
    <w:rsid w:val="002E3969"/>
    <w:rsid w:val="002E3A70"/>
    <w:rsid w:val="002E3F23"/>
    <w:rsid w:val="002E403A"/>
    <w:rsid w:val="002E464E"/>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2C5"/>
    <w:rsid w:val="003105EC"/>
    <w:rsid w:val="0031079D"/>
    <w:rsid w:val="00310A7D"/>
    <w:rsid w:val="00311045"/>
    <w:rsid w:val="003115F5"/>
    <w:rsid w:val="00311607"/>
    <w:rsid w:val="003116D9"/>
    <w:rsid w:val="0031178F"/>
    <w:rsid w:val="003117FD"/>
    <w:rsid w:val="00311B97"/>
    <w:rsid w:val="00311F1C"/>
    <w:rsid w:val="00312141"/>
    <w:rsid w:val="00312D62"/>
    <w:rsid w:val="00312F4C"/>
    <w:rsid w:val="0031360D"/>
    <w:rsid w:val="003136BD"/>
    <w:rsid w:val="00314240"/>
    <w:rsid w:val="00314377"/>
    <w:rsid w:val="003150EF"/>
    <w:rsid w:val="00315155"/>
    <w:rsid w:val="00315469"/>
    <w:rsid w:val="00315996"/>
    <w:rsid w:val="003159CE"/>
    <w:rsid w:val="00316142"/>
    <w:rsid w:val="00316464"/>
    <w:rsid w:val="0031650D"/>
    <w:rsid w:val="00317059"/>
    <w:rsid w:val="0032082A"/>
    <w:rsid w:val="00320C45"/>
    <w:rsid w:val="0032112A"/>
    <w:rsid w:val="00321807"/>
    <w:rsid w:val="00321A83"/>
    <w:rsid w:val="00321F4B"/>
    <w:rsid w:val="0032245D"/>
    <w:rsid w:val="00322800"/>
    <w:rsid w:val="0032282C"/>
    <w:rsid w:val="003229B3"/>
    <w:rsid w:val="00322EF2"/>
    <w:rsid w:val="00322FC9"/>
    <w:rsid w:val="00323053"/>
    <w:rsid w:val="00323329"/>
    <w:rsid w:val="00323768"/>
    <w:rsid w:val="003240B1"/>
    <w:rsid w:val="0032560B"/>
    <w:rsid w:val="003259FD"/>
    <w:rsid w:val="00325A7E"/>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89F"/>
    <w:rsid w:val="00350BB1"/>
    <w:rsid w:val="00351270"/>
    <w:rsid w:val="003513C9"/>
    <w:rsid w:val="00351530"/>
    <w:rsid w:val="00351E88"/>
    <w:rsid w:val="00351EE8"/>
    <w:rsid w:val="00351F90"/>
    <w:rsid w:val="0035349F"/>
    <w:rsid w:val="00353610"/>
    <w:rsid w:val="00353F21"/>
    <w:rsid w:val="003542C2"/>
    <w:rsid w:val="00354344"/>
    <w:rsid w:val="00354D08"/>
    <w:rsid w:val="00355DDF"/>
    <w:rsid w:val="00355F30"/>
    <w:rsid w:val="00356738"/>
    <w:rsid w:val="0035697C"/>
    <w:rsid w:val="0036136C"/>
    <w:rsid w:val="0036164E"/>
    <w:rsid w:val="00362610"/>
    <w:rsid w:val="00362ADD"/>
    <w:rsid w:val="00362B9D"/>
    <w:rsid w:val="00363895"/>
    <w:rsid w:val="0036435B"/>
    <w:rsid w:val="00364F3A"/>
    <w:rsid w:val="0036593E"/>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0FB"/>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88"/>
    <w:rsid w:val="003978D0"/>
    <w:rsid w:val="00397FF0"/>
    <w:rsid w:val="003A042C"/>
    <w:rsid w:val="003A05A7"/>
    <w:rsid w:val="003A08FC"/>
    <w:rsid w:val="003A0B67"/>
    <w:rsid w:val="003A0F9F"/>
    <w:rsid w:val="003A15E9"/>
    <w:rsid w:val="003A1C1F"/>
    <w:rsid w:val="003A1F84"/>
    <w:rsid w:val="003A1FE5"/>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2B9"/>
    <w:rsid w:val="003C4316"/>
    <w:rsid w:val="003C45B0"/>
    <w:rsid w:val="003C49E8"/>
    <w:rsid w:val="003C4C2B"/>
    <w:rsid w:val="003C4E10"/>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EFE"/>
    <w:rsid w:val="003D6461"/>
    <w:rsid w:val="003D6757"/>
    <w:rsid w:val="003E0105"/>
    <w:rsid w:val="003E047C"/>
    <w:rsid w:val="003E071B"/>
    <w:rsid w:val="003E07F9"/>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145"/>
    <w:rsid w:val="003F52F7"/>
    <w:rsid w:val="003F5951"/>
    <w:rsid w:val="003F61B0"/>
    <w:rsid w:val="003F6CC5"/>
    <w:rsid w:val="003F719E"/>
    <w:rsid w:val="003F7A30"/>
    <w:rsid w:val="00400AA7"/>
    <w:rsid w:val="00400E61"/>
    <w:rsid w:val="0040199D"/>
    <w:rsid w:val="00401D61"/>
    <w:rsid w:val="00402E41"/>
    <w:rsid w:val="0040313B"/>
    <w:rsid w:val="0040314A"/>
    <w:rsid w:val="00403504"/>
    <w:rsid w:val="00403535"/>
    <w:rsid w:val="00403A70"/>
    <w:rsid w:val="00404981"/>
    <w:rsid w:val="00404997"/>
    <w:rsid w:val="00404A88"/>
    <w:rsid w:val="00405003"/>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3E9"/>
    <w:rsid w:val="004138EE"/>
    <w:rsid w:val="00413F3C"/>
    <w:rsid w:val="00413FDE"/>
    <w:rsid w:val="004142E6"/>
    <w:rsid w:val="004149D9"/>
    <w:rsid w:val="004150BD"/>
    <w:rsid w:val="00415496"/>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E5"/>
    <w:rsid w:val="0042629E"/>
    <w:rsid w:val="004266F1"/>
    <w:rsid w:val="00426B41"/>
    <w:rsid w:val="00426DF4"/>
    <w:rsid w:val="0042724B"/>
    <w:rsid w:val="004272F6"/>
    <w:rsid w:val="00427981"/>
    <w:rsid w:val="00430A7A"/>
    <w:rsid w:val="00430B1E"/>
    <w:rsid w:val="00431795"/>
    <w:rsid w:val="00431A6B"/>
    <w:rsid w:val="00432176"/>
    <w:rsid w:val="00432744"/>
    <w:rsid w:val="004327B6"/>
    <w:rsid w:val="00433218"/>
    <w:rsid w:val="00433841"/>
    <w:rsid w:val="00433ABB"/>
    <w:rsid w:val="00433DD9"/>
    <w:rsid w:val="0043473D"/>
    <w:rsid w:val="0043497B"/>
    <w:rsid w:val="00434FD3"/>
    <w:rsid w:val="00435698"/>
    <w:rsid w:val="0043627B"/>
    <w:rsid w:val="0043641B"/>
    <w:rsid w:val="004373E0"/>
    <w:rsid w:val="004377BF"/>
    <w:rsid w:val="00437BF2"/>
    <w:rsid w:val="00437DF2"/>
    <w:rsid w:val="00437F51"/>
    <w:rsid w:val="0044060E"/>
    <w:rsid w:val="00440F20"/>
    <w:rsid w:val="00441243"/>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FB0"/>
    <w:rsid w:val="00452468"/>
    <w:rsid w:val="00452766"/>
    <w:rsid w:val="00453597"/>
    <w:rsid w:val="00453B92"/>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0F4"/>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309"/>
    <w:rsid w:val="00490883"/>
    <w:rsid w:val="00490C79"/>
    <w:rsid w:val="00490E93"/>
    <w:rsid w:val="00491373"/>
    <w:rsid w:val="004918AF"/>
    <w:rsid w:val="00491C62"/>
    <w:rsid w:val="00492443"/>
    <w:rsid w:val="004925CD"/>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187A"/>
    <w:rsid w:val="004A203F"/>
    <w:rsid w:val="004A24E6"/>
    <w:rsid w:val="004A332C"/>
    <w:rsid w:val="004A3669"/>
    <w:rsid w:val="004A48B5"/>
    <w:rsid w:val="004A5604"/>
    <w:rsid w:val="004A5740"/>
    <w:rsid w:val="004A5BCA"/>
    <w:rsid w:val="004A5BE8"/>
    <w:rsid w:val="004A5D8F"/>
    <w:rsid w:val="004A635F"/>
    <w:rsid w:val="004A653A"/>
    <w:rsid w:val="004A6DEE"/>
    <w:rsid w:val="004A7037"/>
    <w:rsid w:val="004A70EC"/>
    <w:rsid w:val="004A78AB"/>
    <w:rsid w:val="004B0944"/>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2FC7"/>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8C2"/>
    <w:rsid w:val="004D79A7"/>
    <w:rsid w:val="004E0511"/>
    <w:rsid w:val="004E0EA9"/>
    <w:rsid w:val="004E108A"/>
    <w:rsid w:val="004E1953"/>
    <w:rsid w:val="004E2154"/>
    <w:rsid w:val="004E228D"/>
    <w:rsid w:val="004E2851"/>
    <w:rsid w:val="004E3819"/>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32D"/>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C80"/>
    <w:rsid w:val="00530E21"/>
    <w:rsid w:val="00530E82"/>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37B8C"/>
    <w:rsid w:val="0054057F"/>
    <w:rsid w:val="00540A7A"/>
    <w:rsid w:val="005412ED"/>
    <w:rsid w:val="00541DCA"/>
    <w:rsid w:val="005420CB"/>
    <w:rsid w:val="00542897"/>
    <w:rsid w:val="00542B32"/>
    <w:rsid w:val="00542F95"/>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776"/>
    <w:rsid w:val="00550B39"/>
    <w:rsid w:val="00550CE9"/>
    <w:rsid w:val="00550D1C"/>
    <w:rsid w:val="00551035"/>
    <w:rsid w:val="005513F2"/>
    <w:rsid w:val="00551923"/>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AB0"/>
    <w:rsid w:val="00574F06"/>
    <w:rsid w:val="00575099"/>
    <w:rsid w:val="005750F5"/>
    <w:rsid w:val="00575D9D"/>
    <w:rsid w:val="00576338"/>
    <w:rsid w:val="005765CB"/>
    <w:rsid w:val="005769A8"/>
    <w:rsid w:val="00576BF6"/>
    <w:rsid w:val="00577DC1"/>
    <w:rsid w:val="00580D93"/>
    <w:rsid w:val="00581128"/>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B75"/>
    <w:rsid w:val="00592D98"/>
    <w:rsid w:val="005937F3"/>
    <w:rsid w:val="00593817"/>
    <w:rsid w:val="005941C8"/>
    <w:rsid w:val="00594440"/>
    <w:rsid w:val="00595D0D"/>
    <w:rsid w:val="00595DC2"/>
    <w:rsid w:val="0059602A"/>
    <w:rsid w:val="00596736"/>
    <w:rsid w:val="005A0BBD"/>
    <w:rsid w:val="005A0E67"/>
    <w:rsid w:val="005A2025"/>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83"/>
    <w:rsid w:val="005D0A96"/>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5DA4"/>
    <w:rsid w:val="00606D21"/>
    <w:rsid w:val="00606FC1"/>
    <w:rsid w:val="0060717D"/>
    <w:rsid w:val="0060722F"/>
    <w:rsid w:val="00607274"/>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437C"/>
    <w:rsid w:val="0061600C"/>
    <w:rsid w:val="00616995"/>
    <w:rsid w:val="00616EF7"/>
    <w:rsid w:val="0061753E"/>
    <w:rsid w:val="006178D1"/>
    <w:rsid w:val="00620E4F"/>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3BF3"/>
    <w:rsid w:val="00634260"/>
    <w:rsid w:val="00634856"/>
    <w:rsid w:val="0063493F"/>
    <w:rsid w:val="00634C07"/>
    <w:rsid w:val="00634C98"/>
    <w:rsid w:val="006364E5"/>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5C30"/>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8E"/>
    <w:rsid w:val="00663DFD"/>
    <w:rsid w:val="00664421"/>
    <w:rsid w:val="0066447A"/>
    <w:rsid w:val="0066453B"/>
    <w:rsid w:val="00664AFF"/>
    <w:rsid w:val="00664F60"/>
    <w:rsid w:val="006653B4"/>
    <w:rsid w:val="0066630C"/>
    <w:rsid w:val="00666379"/>
    <w:rsid w:val="00666A3A"/>
    <w:rsid w:val="0067006D"/>
    <w:rsid w:val="0067063C"/>
    <w:rsid w:val="00670ED3"/>
    <w:rsid w:val="00671E6A"/>
    <w:rsid w:val="00672549"/>
    <w:rsid w:val="00672796"/>
    <w:rsid w:val="006730A3"/>
    <w:rsid w:val="00673347"/>
    <w:rsid w:val="00673AAB"/>
    <w:rsid w:val="00673E13"/>
    <w:rsid w:val="0067409B"/>
    <w:rsid w:val="00674277"/>
    <w:rsid w:val="00674516"/>
    <w:rsid w:val="00674ED2"/>
    <w:rsid w:val="0067524D"/>
    <w:rsid w:val="006758B4"/>
    <w:rsid w:val="00675A06"/>
    <w:rsid w:val="00675D4B"/>
    <w:rsid w:val="00675EA6"/>
    <w:rsid w:val="00676CA4"/>
    <w:rsid w:val="0067707D"/>
    <w:rsid w:val="00677C4B"/>
    <w:rsid w:val="00680102"/>
    <w:rsid w:val="00681016"/>
    <w:rsid w:val="00681A93"/>
    <w:rsid w:val="006820EF"/>
    <w:rsid w:val="006828F3"/>
    <w:rsid w:val="00682DFD"/>
    <w:rsid w:val="006836C0"/>
    <w:rsid w:val="0068373B"/>
    <w:rsid w:val="00683775"/>
    <w:rsid w:val="0068389A"/>
    <w:rsid w:val="00683FB5"/>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6F5"/>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18E"/>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3067"/>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4B1C"/>
    <w:rsid w:val="006E5206"/>
    <w:rsid w:val="006E54C7"/>
    <w:rsid w:val="006E585D"/>
    <w:rsid w:val="006E6BFE"/>
    <w:rsid w:val="006E6C36"/>
    <w:rsid w:val="006E71DA"/>
    <w:rsid w:val="006E72D6"/>
    <w:rsid w:val="006E79EB"/>
    <w:rsid w:val="006F0E3F"/>
    <w:rsid w:val="006F13F4"/>
    <w:rsid w:val="006F13F9"/>
    <w:rsid w:val="006F1EBB"/>
    <w:rsid w:val="006F235C"/>
    <w:rsid w:val="006F3042"/>
    <w:rsid w:val="006F36CB"/>
    <w:rsid w:val="006F38AC"/>
    <w:rsid w:val="006F3B9B"/>
    <w:rsid w:val="006F44AC"/>
    <w:rsid w:val="006F44D3"/>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46E"/>
    <w:rsid w:val="007076E4"/>
    <w:rsid w:val="0070770B"/>
    <w:rsid w:val="007109E3"/>
    <w:rsid w:val="007120D9"/>
    <w:rsid w:val="007124CD"/>
    <w:rsid w:val="00712969"/>
    <w:rsid w:val="00712BB8"/>
    <w:rsid w:val="007142CB"/>
    <w:rsid w:val="00714601"/>
    <w:rsid w:val="007149E8"/>
    <w:rsid w:val="00714CA6"/>
    <w:rsid w:val="0071565E"/>
    <w:rsid w:val="00715830"/>
    <w:rsid w:val="00715934"/>
    <w:rsid w:val="00715FAC"/>
    <w:rsid w:val="007167B7"/>
    <w:rsid w:val="00716AD9"/>
    <w:rsid w:val="00716B91"/>
    <w:rsid w:val="00716D38"/>
    <w:rsid w:val="00717365"/>
    <w:rsid w:val="00720EC2"/>
    <w:rsid w:val="0072169C"/>
    <w:rsid w:val="00721BCB"/>
    <w:rsid w:val="00721CA1"/>
    <w:rsid w:val="00722412"/>
    <w:rsid w:val="00722851"/>
    <w:rsid w:val="0072285E"/>
    <w:rsid w:val="00723A97"/>
    <w:rsid w:val="00723EF5"/>
    <w:rsid w:val="00724D30"/>
    <w:rsid w:val="0072502F"/>
    <w:rsid w:val="00725A1C"/>
    <w:rsid w:val="007264D1"/>
    <w:rsid w:val="00726DD1"/>
    <w:rsid w:val="007270D4"/>
    <w:rsid w:val="00727918"/>
    <w:rsid w:val="0073005B"/>
    <w:rsid w:val="0073035A"/>
    <w:rsid w:val="00730A55"/>
    <w:rsid w:val="0073164C"/>
    <w:rsid w:val="00731A4E"/>
    <w:rsid w:val="00731C45"/>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A2C"/>
    <w:rsid w:val="00766D51"/>
    <w:rsid w:val="0076701E"/>
    <w:rsid w:val="007674C8"/>
    <w:rsid w:val="0076760E"/>
    <w:rsid w:val="0076764E"/>
    <w:rsid w:val="0076767C"/>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4D13"/>
    <w:rsid w:val="00775553"/>
    <w:rsid w:val="007755A6"/>
    <w:rsid w:val="00775E33"/>
    <w:rsid w:val="0077640B"/>
    <w:rsid w:val="00776B4B"/>
    <w:rsid w:val="00776B6A"/>
    <w:rsid w:val="00776D20"/>
    <w:rsid w:val="007772BE"/>
    <w:rsid w:val="00777ADE"/>
    <w:rsid w:val="00777B16"/>
    <w:rsid w:val="00777BAE"/>
    <w:rsid w:val="00777D92"/>
    <w:rsid w:val="00780102"/>
    <w:rsid w:val="0078072C"/>
    <w:rsid w:val="00780D7F"/>
    <w:rsid w:val="00781132"/>
    <w:rsid w:val="00781156"/>
    <w:rsid w:val="00781755"/>
    <w:rsid w:val="0078189C"/>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5D9"/>
    <w:rsid w:val="007D2B32"/>
    <w:rsid w:val="007D32AC"/>
    <w:rsid w:val="007D337F"/>
    <w:rsid w:val="007D3948"/>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24E2"/>
    <w:rsid w:val="0080311C"/>
    <w:rsid w:val="008035A8"/>
    <w:rsid w:val="00803C64"/>
    <w:rsid w:val="00804518"/>
    <w:rsid w:val="0080501B"/>
    <w:rsid w:val="00805173"/>
    <w:rsid w:val="0080529F"/>
    <w:rsid w:val="00805443"/>
    <w:rsid w:val="0080553B"/>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9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18BA"/>
    <w:rsid w:val="008623C4"/>
    <w:rsid w:val="008629B7"/>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024"/>
    <w:rsid w:val="00871DB2"/>
    <w:rsid w:val="008722BA"/>
    <w:rsid w:val="00872663"/>
    <w:rsid w:val="0087266A"/>
    <w:rsid w:val="0087276C"/>
    <w:rsid w:val="008727E7"/>
    <w:rsid w:val="008732DF"/>
    <w:rsid w:val="0087366F"/>
    <w:rsid w:val="00873821"/>
    <w:rsid w:val="00873974"/>
    <w:rsid w:val="008742E9"/>
    <w:rsid w:val="00874E33"/>
    <w:rsid w:val="0087538B"/>
    <w:rsid w:val="008753B2"/>
    <w:rsid w:val="00875897"/>
    <w:rsid w:val="0087605E"/>
    <w:rsid w:val="0087655C"/>
    <w:rsid w:val="00876862"/>
    <w:rsid w:val="008772AC"/>
    <w:rsid w:val="008775C8"/>
    <w:rsid w:val="0087784C"/>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364"/>
    <w:rsid w:val="00893C04"/>
    <w:rsid w:val="00894A64"/>
    <w:rsid w:val="00895A58"/>
    <w:rsid w:val="0089635A"/>
    <w:rsid w:val="0089674F"/>
    <w:rsid w:val="00896B89"/>
    <w:rsid w:val="00897C5A"/>
    <w:rsid w:val="00897FB7"/>
    <w:rsid w:val="008A0BEF"/>
    <w:rsid w:val="008A1027"/>
    <w:rsid w:val="008A18B5"/>
    <w:rsid w:val="008A2A2E"/>
    <w:rsid w:val="008A2AEE"/>
    <w:rsid w:val="008A2C89"/>
    <w:rsid w:val="008A2D48"/>
    <w:rsid w:val="008A2D98"/>
    <w:rsid w:val="008A3115"/>
    <w:rsid w:val="008A340B"/>
    <w:rsid w:val="008A4777"/>
    <w:rsid w:val="008A50B8"/>
    <w:rsid w:val="008A51C2"/>
    <w:rsid w:val="008A5245"/>
    <w:rsid w:val="008A6372"/>
    <w:rsid w:val="008A7581"/>
    <w:rsid w:val="008B01CA"/>
    <w:rsid w:val="008B051E"/>
    <w:rsid w:val="008B06A3"/>
    <w:rsid w:val="008B06EF"/>
    <w:rsid w:val="008B075F"/>
    <w:rsid w:val="008B0812"/>
    <w:rsid w:val="008B10B4"/>
    <w:rsid w:val="008B1484"/>
    <w:rsid w:val="008B169C"/>
    <w:rsid w:val="008B1931"/>
    <w:rsid w:val="008B23F6"/>
    <w:rsid w:val="008B287D"/>
    <w:rsid w:val="008B2E7F"/>
    <w:rsid w:val="008B3189"/>
    <w:rsid w:val="008B375E"/>
    <w:rsid w:val="008B3DC9"/>
    <w:rsid w:val="008B44E7"/>
    <w:rsid w:val="008B532D"/>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17A"/>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61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169"/>
    <w:rsid w:val="00912342"/>
    <w:rsid w:val="00912512"/>
    <w:rsid w:val="00912686"/>
    <w:rsid w:val="00912F2C"/>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47A6E"/>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6C2F"/>
    <w:rsid w:val="00977193"/>
    <w:rsid w:val="00977632"/>
    <w:rsid w:val="0097777D"/>
    <w:rsid w:val="00977781"/>
    <w:rsid w:val="009800CC"/>
    <w:rsid w:val="0098047D"/>
    <w:rsid w:val="00980DB7"/>
    <w:rsid w:val="00981721"/>
    <w:rsid w:val="00982039"/>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A7C1C"/>
    <w:rsid w:val="009A7F6A"/>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8A7"/>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C0"/>
    <w:rsid w:val="009F5FF5"/>
    <w:rsid w:val="009F74AD"/>
    <w:rsid w:val="009F7DD8"/>
    <w:rsid w:val="00A0021A"/>
    <w:rsid w:val="00A005C0"/>
    <w:rsid w:val="00A00687"/>
    <w:rsid w:val="00A0200C"/>
    <w:rsid w:val="00A020EF"/>
    <w:rsid w:val="00A02C89"/>
    <w:rsid w:val="00A02EA0"/>
    <w:rsid w:val="00A02FC5"/>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BEC"/>
    <w:rsid w:val="00A24C2E"/>
    <w:rsid w:val="00A24C7C"/>
    <w:rsid w:val="00A251D8"/>
    <w:rsid w:val="00A25BDE"/>
    <w:rsid w:val="00A260DD"/>
    <w:rsid w:val="00A261F5"/>
    <w:rsid w:val="00A262B9"/>
    <w:rsid w:val="00A265FD"/>
    <w:rsid w:val="00A26B36"/>
    <w:rsid w:val="00A272B7"/>
    <w:rsid w:val="00A27930"/>
    <w:rsid w:val="00A30248"/>
    <w:rsid w:val="00A30F24"/>
    <w:rsid w:val="00A31D2F"/>
    <w:rsid w:val="00A32118"/>
    <w:rsid w:val="00A321ED"/>
    <w:rsid w:val="00A32D80"/>
    <w:rsid w:val="00A330CD"/>
    <w:rsid w:val="00A336C0"/>
    <w:rsid w:val="00A3377C"/>
    <w:rsid w:val="00A33AE7"/>
    <w:rsid w:val="00A341D5"/>
    <w:rsid w:val="00A349AD"/>
    <w:rsid w:val="00A34A98"/>
    <w:rsid w:val="00A35274"/>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58B"/>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4B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10A"/>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6C3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381"/>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A8A"/>
    <w:rsid w:val="00B31D6B"/>
    <w:rsid w:val="00B32DFE"/>
    <w:rsid w:val="00B32EF6"/>
    <w:rsid w:val="00B330AB"/>
    <w:rsid w:val="00B33C55"/>
    <w:rsid w:val="00B33C89"/>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3C9F"/>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9FC"/>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10E"/>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530"/>
    <w:rsid w:val="00BA265C"/>
    <w:rsid w:val="00BA26F5"/>
    <w:rsid w:val="00BA2B68"/>
    <w:rsid w:val="00BA2C61"/>
    <w:rsid w:val="00BA2CBB"/>
    <w:rsid w:val="00BA3361"/>
    <w:rsid w:val="00BA3AE0"/>
    <w:rsid w:val="00BA4079"/>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1C7"/>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06DE"/>
    <w:rsid w:val="00C0209C"/>
    <w:rsid w:val="00C02812"/>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96"/>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75E2"/>
    <w:rsid w:val="00C278F7"/>
    <w:rsid w:val="00C27B59"/>
    <w:rsid w:val="00C27D00"/>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38F9"/>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38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FA5"/>
    <w:rsid w:val="00C74119"/>
    <w:rsid w:val="00C74745"/>
    <w:rsid w:val="00C74B9C"/>
    <w:rsid w:val="00C74F68"/>
    <w:rsid w:val="00C75872"/>
    <w:rsid w:val="00C75B68"/>
    <w:rsid w:val="00C75E35"/>
    <w:rsid w:val="00C75E3C"/>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1E2"/>
    <w:rsid w:val="00C96A78"/>
    <w:rsid w:val="00C96C2D"/>
    <w:rsid w:val="00C97479"/>
    <w:rsid w:val="00C979DD"/>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6DB"/>
    <w:rsid w:val="00CB38F4"/>
    <w:rsid w:val="00CB53EC"/>
    <w:rsid w:val="00CB5870"/>
    <w:rsid w:val="00CB58F9"/>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5B7"/>
    <w:rsid w:val="00D01F7F"/>
    <w:rsid w:val="00D023D6"/>
    <w:rsid w:val="00D042C3"/>
    <w:rsid w:val="00D04613"/>
    <w:rsid w:val="00D04CBD"/>
    <w:rsid w:val="00D05483"/>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765"/>
    <w:rsid w:val="00D12BF6"/>
    <w:rsid w:val="00D12E2D"/>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C8E"/>
    <w:rsid w:val="00D21F26"/>
    <w:rsid w:val="00D22345"/>
    <w:rsid w:val="00D22833"/>
    <w:rsid w:val="00D22F6E"/>
    <w:rsid w:val="00D22FDF"/>
    <w:rsid w:val="00D23419"/>
    <w:rsid w:val="00D24273"/>
    <w:rsid w:val="00D24288"/>
    <w:rsid w:val="00D248A9"/>
    <w:rsid w:val="00D24D38"/>
    <w:rsid w:val="00D25328"/>
    <w:rsid w:val="00D253B3"/>
    <w:rsid w:val="00D26300"/>
    <w:rsid w:val="00D26FBF"/>
    <w:rsid w:val="00D272D0"/>
    <w:rsid w:val="00D27602"/>
    <w:rsid w:val="00D31023"/>
    <w:rsid w:val="00D321ED"/>
    <w:rsid w:val="00D324E8"/>
    <w:rsid w:val="00D32F42"/>
    <w:rsid w:val="00D32FFE"/>
    <w:rsid w:val="00D3352B"/>
    <w:rsid w:val="00D338AC"/>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BF6"/>
    <w:rsid w:val="00D42E3D"/>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579"/>
    <w:rsid w:val="00D65936"/>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0A57"/>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34FC"/>
    <w:rsid w:val="00DA3D3B"/>
    <w:rsid w:val="00DA463F"/>
    <w:rsid w:val="00DA5AA7"/>
    <w:rsid w:val="00DA6934"/>
    <w:rsid w:val="00DA6EC4"/>
    <w:rsid w:val="00DA70CE"/>
    <w:rsid w:val="00DA7EEC"/>
    <w:rsid w:val="00DB029E"/>
    <w:rsid w:val="00DB0BF6"/>
    <w:rsid w:val="00DB0D8C"/>
    <w:rsid w:val="00DB1E94"/>
    <w:rsid w:val="00DB206F"/>
    <w:rsid w:val="00DB20A8"/>
    <w:rsid w:val="00DB395E"/>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894"/>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6E64"/>
    <w:rsid w:val="00E176F1"/>
    <w:rsid w:val="00E17C67"/>
    <w:rsid w:val="00E2006A"/>
    <w:rsid w:val="00E201FE"/>
    <w:rsid w:val="00E20B27"/>
    <w:rsid w:val="00E20B3B"/>
    <w:rsid w:val="00E2172C"/>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648"/>
    <w:rsid w:val="00E33DD9"/>
    <w:rsid w:val="00E344A9"/>
    <w:rsid w:val="00E34B36"/>
    <w:rsid w:val="00E34E2A"/>
    <w:rsid w:val="00E34FAF"/>
    <w:rsid w:val="00E3529F"/>
    <w:rsid w:val="00E35E79"/>
    <w:rsid w:val="00E3649B"/>
    <w:rsid w:val="00E375E7"/>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1FE"/>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7F9"/>
    <w:rsid w:val="00E90B39"/>
    <w:rsid w:val="00E90CDA"/>
    <w:rsid w:val="00E90EB1"/>
    <w:rsid w:val="00E91781"/>
    <w:rsid w:val="00E92E22"/>
    <w:rsid w:val="00E93A75"/>
    <w:rsid w:val="00E94003"/>
    <w:rsid w:val="00E94109"/>
    <w:rsid w:val="00E9479D"/>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0BB"/>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4956"/>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3CE6"/>
    <w:rsid w:val="00EC3FCC"/>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167"/>
    <w:rsid w:val="00EF62B4"/>
    <w:rsid w:val="00EF65DC"/>
    <w:rsid w:val="00EF6BFC"/>
    <w:rsid w:val="00EF73F6"/>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4D37"/>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37B7D"/>
    <w:rsid w:val="00F40352"/>
    <w:rsid w:val="00F40641"/>
    <w:rsid w:val="00F4065C"/>
    <w:rsid w:val="00F41316"/>
    <w:rsid w:val="00F41ADC"/>
    <w:rsid w:val="00F41BC9"/>
    <w:rsid w:val="00F41C7E"/>
    <w:rsid w:val="00F4243A"/>
    <w:rsid w:val="00F429BC"/>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5BD9"/>
    <w:rsid w:val="00F55DDF"/>
    <w:rsid w:val="00F55F66"/>
    <w:rsid w:val="00F5618B"/>
    <w:rsid w:val="00F563FD"/>
    <w:rsid w:val="00F56B77"/>
    <w:rsid w:val="00F56C0D"/>
    <w:rsid w:val="00F570DA"/>
    <w:rsid w:val="00F57218"/>
    <w:rsid w:val="00F5764B"/>
    <w:rsid w:val="00F60802"/>
    <w:rsid w:val="00F60947"/>
    <w:rsid w:val="00F6104A"/>
    <w:rsid w:val="00F61287"/>
    <w:rsid w:val="00F62EF9"/>
    <w:rsid w:val="00F632D9"/>
    <w:rsid w:val="00F6390B"/>
    <w:rsid w:val="00F63D15"/>
    <w:rsid w:val="00F64E2D"/>
    <w:rsid w:val="00F65319"/>
    <w:rsid w:val="00F65552"/>
    <w:rsid w:val="00F65591"/>
    <w:rsid w:val="00F656E2"/>
    <w:rsid w:val="00F657CD"/>
    <w:rsid w:val="00F65C19"/>
    <w:rsid w:val="00F66AC9"/>
    <w:rsid w:val="00F66ADC"/>
    <w:rsid w:val="00F66F59"/>
    <w:rsid w:val="00F67D62"/>
    <w:rsid w:val="00F7057C"/>
    <w:rsid w:val="00F70CF2"/>
    <w:rsid w:val="00F713CC"/>
    <w:rsid w:val="00F7201D"/>
    <w:rsid w:val="00F7208B"/>
    <w:rsid w:val="00F72185"/>
    <w:rsid w:val="00F72822"/>
    <w:rsid w:val="00F72A11"/>
    <w:rsid w:val="00F72AC0"/>
    <w:rsid w:val="00F73658"/>
    <w:rsid w:val="00F73C82"/>
    <w:rsid w:val="00F74B6C"/>
    <w:rsid w:val="00F75400"/>
    <w:rsid w:val="00F75CB0"/>
    <w:rsid w:val="00F7628F"/>
    <w:rsid w:val="00F765BF"/>
    <w:rsid w:val="00F766AC"/>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305E"/>
    <w:rsid w:val="00F9353B"/>
    <w:rsid w:val="00F9393A"/>
    <w:rsid w:val="00F93AE6"/>
    <w:rsid w:val="00F93C7F"/>
    <w:rsid w:val="00F9410C"/>
    <w:rsid w:val="00F9434F"/>
    <w:rsid w:val="00F94535"/>
    <w:rsid w:val="00F949E9"/>
    <w:rsid w:val="00F9568A"/>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79E"/>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680"/>
    <w:rsid w:val="00FF39E4"/>
    <w:rsid w:val="00FF3B6C"/>
    <w:rsid w:val="00FF4717"/>
    <w:rsid w:val="00FF4A94"/>
    <w:rsid w:val="00FF5DE8"/>
    <w:rsid w:val="00FF631A"/>
    <w:rsid w:val="00FF63F9"/>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034B0"/>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 Char,Footnote Text Char Char1 Char,Footnote Text Char1 Char Char Char,Footnote Text Char Char Char Char Char,Footnote Text Char1"/>
    <w:basedOn w:val="Normal"/>
    <w:link w:val="FootnoteTextChar"/>
    <w:uiPriority w:val="99"/>
    <w:qFormat/>
    <w:rsid w:val="006327CD"/>
  </w:style>
  <w:style w:type="character" w:styleId="FootnoteReference">
    <w:name w:val="footnote reference"/>
    <w:aliases w:val="o,fr,Style 6,Style 20,Style 9"/>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link w:val="HeaderChar"/>
    <w:uiPriority w:val="99"/>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 Char,Footnote Text Char Char1 Char Char,Footnote Text Char1 Char Char Ch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styleId="NormalWeb">
    <w:name w:val="Normal (Web)"/>
    <w:basedOn w:val="Normal"/>
    <w:uiPriority w:val="99"/>
    <w:unhideWhenUsed/>
    <w:rsid w:val="000E59EE"/>
    <w:rPr>
      <w:rFonts w:ascii="Times New Roman" w:hAnsi="Times New Roman"/>
      <w:szCs w:val="24"/>
    </w:rPr>
  </w:style>
  <w:style w:type="paragraph" w:customStyle="1" w:styleId="Default">
    <w:name w:val="Default"/>
    <w:rsid w:val="008A0BEF"/>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3C4E1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421870">
      <w:bodyDiv w:val="1"/>
      <w:marLeft w:val="0"/>
      <w:marRight w:val="0"/>
      <w:marTop w:val="0"/>
      <w:marBottom w:val="0"/>
      <w:divBdr>
        <w:top w:val="none" w:sz="0" w:space="0" w:color="auto"/>
        <w:left w:val="none" w:sz="0" w:space="0" w:color="auto"/>
        <w:bottom w:val="none" w:sz="0" w:space="0" w:color="auto"/>
        <w:right w:val="none" w:sz="0" w:space="0" w:color="auto"/>
      </w:divBdr>
      <w:divsChild>
        <w:div w:id="1461217586">
          <w:marLeft w:val="0"/>
          <w:marRight w:val="0"/>
          <w:marTop w:val="0"/>
          <w:marBottom w:val="0"/>
          <w:divBdr>
            <w:top w:val="none" w:sz="0" w:space="0" w:color="auto"/>
            <w:left w:val="single" w:sz="6" w:space="0" w:color="BBBBBB"/>
            <w:bottom w:val="single" w:sz="6" w:space="0" w:color="BBBBBB"/>
            <w:right w:val="single" w:sz="6" w:space="0" w:color="BBBBBB"/>
          </w:divBdr>
          <w:divsChild>
            <w:div w:id="1922056866">
              <w:marLeft w:val="0"/>
              <w:marRight w:val="0"/>
              <w:marTop w:val="0"/>
              <w:marBottom w:val="0"/>
              <w:divBdr>
                <w:top w:val="none" w:sz="0" w:space="0" w:color="auto"/>
                <w:left w:val="none" w:sz="0" w:space="0" w:color="auto"/>
                <w:bottom w:val="none" w:sz="0" w:space="0" w:color="auto"/>
                <w:right w:val="none" w:sz="0" w:space="0" w:color="auto"/>
              </w:divBdr>
              <w:divsChild>
                <w:div w:id="524052487">
                  <w:marLeft w:val="0"/>
                  <w:marRight w:val="0"/>
                  <w:marTop w:val="75"/>
                  <w:marBottom w:val="0"/>
                  <w:divBdr>
                    <w:top w:val="none" w:sz="0" w:space="0" w:color="auto"/>
                    <w:left w:val="none" w:sz="0" w:space="0" w:color="auto"/>
                    <w:bottom w:val="none" w:sz="0" w:space="0" w:color="auto"/>
                    <w:right w:val="none" w:sz="0" w:space="0" w:color="auto"/>
                  </w:divBdr>
                  <w:divsChild>
                    <w:div w:id="146360816">
                      <w:marLeft w:val="0"/>
                      <w:marRight w:val="0"/>
                      <w:marTop w:val="0"/>
                      <w:marBottom w:val="0"/>
                      <w:divBdr>
                        <w:top w:val="none" w:sz="0" w:space="0" w:color="auto"/>
                        <w:left w:val="none" w:sz="0" w:space="0" w:color="auto"/>
                        <w:bottom w:val="none" w:sz="0" w:space="0" w:color="auto"/>
                        <w:right w:val="none" w:sz="0" w:space="0" w:color="auto"/>
                      </w:divBdr>
                      <w:divsChild>
                        <w:div w:id="589462720">
                          <w:marLeft w:val="0"/>
                          <w:marRight w:val="0"/>
                          <w:marTop w:val="0"/>
                          <w:marBottom w:val="0"/>
                          <w:divBdr>
                            <w:top w:val="none" w:sz="0" w:space="0" w:color="auto"/>
                            <w:left w:val="none" w:sz="0" w:space="0" w:color="auto"/>
                            <w:bottom w:val="none" w:sz="0" w:space="0" w:color="auto"/>
                            <w:right w:val="none" w:sz="0" w:space="0" w:color="auto"/>
                          </w:divBdr>
                          <w:divsChild>
                            <w:div w:id="945767216">
                              <w:marLeft w:val="0"/>
                              <w:marRight w:val="0"/>
                              <w:marTop w:val="0"/>
                              <w:marBottom w:val="0"/>
                              <w:divBdr>
                                <w:top w:val="none" w:sz="0" w:space="0" w:color="auto"/>
                                <w:left w:val="none" w:sz="0" w:space="0" w:color="auto"/>
                                <w:bottom w:val="none" w:sz="0" w:space="0" w:color="auto"/>
                                <w:right w:val="none" w:sz="0" w:space="0" w:color="auto"/>
                              </w:divBdr>
                              <w:divsChild>
                                <w:div w:id="1536844648">
                                  <w:marLeft w:val="0"/>
                                  <w:marRight w:val="0"/>
                                  <w:marTop w:val="0"/>
                                  <w:marBottom w:val="0"/>
                                  <w:divBdr>
                                    <w:top w:val="none" w:sz="0" w:space="0" w:color="auto"/>
                                    <w:left w:val="none" w:sz="0" w:space="0" w:color="auto"/>
                                    <w:bottom w:val="none" w:sz="0" w:space="0" w:color="auto"/>
                                    <w:right w:val="none" w:sz="0" w:space="0" w:color="auto"/>
                                  </w:divBdr>
                                  <w:divsChild>
                                    <w:div w:id="1235776139">
                                      <w:marLeft w:val="0"/>
                                      <w:marRight w:val="0"/>
                                      <w:marTop w:val="0"/>
                                      <w:marBottom w:val="0"/>
                                      <w:divBdr>
                                        <w:top w:val="none" w:sz="0" w:space="0" w:color="auto"/>
                                        <w:left w:val="none" w:sz="0" w:space="0" w:color="auto"/>
                                        <w:bottom w:val="none" w:sz="0" w:space="0" w:color="auto"/>
                                        <w:right w:val="none" w:sz="0" w:space="0" w:color="auto"/>
                                      </w:divBdr>
                                      <w:divsChild>
                                        <w:div w:id="1224677219">
                                          <w:marLeft w:val="1200"/>
                                          <w:marRight w:val="1200"/>
                                          <w:marTop w:val="0"/>
                                          <w:marBottom w:val="0"/>
                                          <w:divBdr>
                                            <w:top w:val="none" w:sz="0" w:space="0" w:color="auto"/>
                                            <w:left w:val="none" w:sz="0" w:space="0" w:color="auto"/>
                                            <w:bottom w:val="none" w:sz="0" w:space="0" w:color="auto"/>
                                            <w:right w:val="none" w:sz="0" w:space="0" w:color="auto"/>
                                          </w:divBdr>
                                          <w:divsChild>
                                            <w:div w:id="536822257">
                                              <w:marLeft w:val="0"/>
                                              <w:marRight w:val="0"/>
                                              <w:marTop w:val="0"/>
                                              <w:marBottom w:val="0"/>
                                              <w:divBdr>
                                                <w:top w:val="none" w:sz="0" w:space="0" w:color="auto"/>
                                                <w:left w:val="none" w:sz="0" w:space="0" w:color="auto"/>
                                                <w:bottom w:val="none" w:sz="0" w:space="0" w:color="auto"/>
                                                <w:right w:val="none" w:sz="0" w:space="0" w:color="auto"/>
                                              </w:divBdr>
                                              <w:divsChild>
                                                <w:div w:id="1052389387">
                                                  <w:marLeft w:val="0"/>
                                                  <w:marRight w:val="0"/>
                                                  <w:marTop w:val="0"/>
                                                  <w:marBottom w:val="0"/>
                                                  <w:divBdr>
                                                    <w:top w:val="none" w:sz="0" w:space="0" w:color="auto"/>
                                                    <w:left w:val="none" w:sz="0" w:space="0" w:color="auto"/>
                                                    <w:bottom w:val="none" w:sz="0" w:space="0" w:color="auto"/>
                                                    <w:right w:val="none" w:sz="0" w:space="0" w:color="auto"/>
                                                  </w:divBdr>
                                                  <w:divsChild>
                                                    <w:div w:id="13042580">
                                                      <w:marLeft w:val="0"/>
                                                      <w:marRight w:val="0"/>
                                                      <w:marTop w:val="0"/>
                                                      <w:marBottom w:val="0"/>
                                                      <w:divBdr>
                                                        <w:top w:val="none" w:sz="0" w:space="0" w:color="auto"/>
                                                        <w:left w:val="none" w:sz="0" w:space="0" w:color="auto"/>
                                                        <w:bottom w:val="none" w:sz="0" w:space="0" w:color="auto"/>
                                                        <w:right w:val="none" w:sz="0" w:space="0" w:color="auto"/>
                                                      </w:divBdr>
                                                      <w:divsChild>
                                                        <w:div w:id="36122988">
                                                          <w:marLeft w:val="0"/>
                                                          <w:marRight w:val="0"/>
                                                          <w:marTop w:val="0"/>
                                                          <w:marBottom w:val="0"/>
                                                          <w:divBdr>
                                                            <w:top w:val="none" w:sz="0" w:space="0" w:color="auto"/>
                                                            <w:left w:val="none" w:sz="0" w:space="0" w:color="auto"/>
                                                            <w:bottom w:val="none" w:sz="0" w:space="0" w:color="auto"/>
                                                            <w:right w:val="none" w:sz="0" w:space="0" w:color="auto"/>
                                                          </w:divBdr>
                                                          <w:divsChild>
                                                            <w:div w:id="15442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386602">
      <w:bodyDiv w:val="1"/>
      <w:marLeft w:val="0"/>
      <w:marRight w:val="0"/>
      <w:marTop w:val="0"/>
      <w:marBottom w:val="0"/>
      <w:divBdr>
        <w:top w:val="none" w:sz="0" w:space="0" w:color="auto"/>
        <w:left w:val="none" w:sz="0" w:space="0" w:color="auto"/>
        <w:bottom w:val="none" w:sz="0" w:space="0" w:color="auto"/>
        <w:right w:val="none" w:sz="0" w:space="0" w:color="auto"/>
      </w:divBdr>
      <w:divsChild>
        <w:div w:id="1667710416">
          <w:marLeft w:val="0"/>
          <w:marRight w:val="0"/>
          <w:marTop w:val="0"/>
          <w:marBottom w:val="0"/>
          <w:divBdr>
            <w:top w:val="none" w:sz="0" w:space="0" w:color="auto"/>
            <w:left w:val="single" w:sz="6" w:space="0" w:color="BBBBBB"/>
            <w:bottom w:val="single" w:sz="6" w:space="0" w:color="BBBBBB"/>
            <w:right w:val="single" w:sz="6" w:space="0" w:color="BBBBBB"/>
          </w:divBdr>
          <w:divsChild>
            <w:div w:id="847597176">
              <w:marLeft w:val="0"/>
              <w:marRight w:val="0"/>
              <w:marTop w:val="0"/>
              <w:marBottom w:val="0"/>
              <w:divBdr>
                <w:top w:val="none" w:sz="0" w:space="0" w:color="auto"/>
                <w:left w:val="none" w:sz="0" w:space="0" w:color="auto"/>
                <w:bottom w:val="none" w:sz="0" w:space="0" w:color="auto"/>
                <w:right w:val="none" w:sz="0" w:space="0" w:color="auto"/>
              </w:divBdr>
              <w:divsChild>
                <w:div w:id="563567280">
                  <w:marLeft w:val="0"/>
                  <w:marRight w:val="0"/>
                  <w:marTop w:val="75"/>
                  <w:marBottom w:val="0"/>
                  <w:divBdr>
                    <w:top w:val="none" w:sz="0" w:space="0" w:color="auto"/>
                    <w:left w:val="none" w:sz="0" w:space="0" w:color="auto"/>
                    <w:bottom w:val="none" w:sz="0" w:space="0" w:color="auto"/>
                    <w:right w:val="none" w:sz="0" w:space="0" w:color="auto"/>
                  </w:divBdr>
                  <w:divsChild>
                    <w:div w:id="1887796394">
                      <w:marLeft w:val="0"/>
                      <w:marRight w:val="0"/>
                      <w:marTop w:val="0"/>
                      <w:marBottom w:val="0"/>
                      <w:divBdr>
                        <w:top w:val="none" w:sz="0" w:space="0" w:color="auto"/>
                        <w:left w:val="none" w:sz="0" w:space="0" w:color="auto"/>
                        <w:bottom w:val="none" w:sz="0" w:space="0" w:color="auto"/>
                        <w:right w:val="none" w:sz="0" w:space="0" w:color="auto"/>
                      </w:divBdr>
                      <w:divsChild>
                        <w:div w:id="578176475">
                          <w:marLeft w:val="0"/>
                          <w:marRight w:val="0"/>
                          <w:marTop w:val="0"/>
                          <w:marBottom w:val="0"/>
                          <w:divBdr>
                            <w:top w:val="none" w:sz="0" w:space="0" w:color="auto"/>
                            <w:left w:val="none" w:sz="0" w:space="0" w:color="auto"/>
                            <w:bottom w:val="none" w:sz="0" w:space="0" w:color="auto"/>
                            <w:right w:val="none" w:sz="0" w:space="0" w:color="auto"/>
                          </w:divBdr>
                          <w:divsChild>
                            <w:div w:id="1568109133">
                              <w:marLeft w:val="0"/>
                              <w:marRight w:val="0"/>
                              <w:marTop w:val="0"/>
                              <w:marBottom w:val="0"/>
                              <w:divBdr>
                                <w:top w:val="none" w:sz="0" w:space="0" w:color="auto"/>
                                <w:left w:val="none" w:sz="0" w:space="0" w:color="auto"/>
                                <w:bottom w:val="none" w:sz="0" w:space="0" w:color="auto"/>
                                <w:right w:val="none" w:sz="0" w:space="0" w:color="auto"/>
                              </w:divBdr>
                              <w:divsChild>
                                <w:div w:id="1336689157">
                                  <w:marLeft w:val="0"/>
                                  <w:marRight w:val="0"/>
                                  <w:marTop w:val="0"/>
                                  <w:marBottom w:val="0"/>
                                  <w:divBdr>
                                    <w:top w:val="none" w:sz="0" w:space="0" w:color="auto"/>
                                    <w:left w:val="none" w:sz="0" w:space="0" w:color="auto"/>
                                    <w:bottom w:val="none" w:sz="0" w:space="0" w:color="auto"/>
                                    <w:right w:val="none" w:sz="0" w:space="0" w:color="auto"/>
                                  </w:divBdr>
                                  <w:divsChild>
                                    <w:div w:id="848446541">
                                      <w:marLeft w:val="0"/>
                                      <w:marRight w:val="0"/>
                                      <w:marTop w:val="0"/>
                                      <w:marBottom w:val="0"/>
                                      <w:divBdr>
                                        <w:top w:val="none" w:sz="0" w:space="0" w:color="auto"/>
                                        <w:left w:val="none" w:sz="0" w:space="0" w:color="auto"/>
                                        <w:bottom w:val="none" w:sz="0" w:space="0" w:color="auto"/>
                                        <w:right w:val="none" w:sz="0" w:space="0" w:color="auto"/>
                                      </w:divBdr>
                                      <w:divsChild>
                                        <w:div w:id="937718767">
                                          <w:marLeft w:val="1200"/>
                                          <w:marRight w:val="1200"/>
                                          <w:marTop w:val="0"/>
                                          <w:marBottom w:val="0"/>
                                          <w:divBdr>
                                            <w:top w:val="none" w:sz="0" w:space="0" w:color="auto"/>
                                            <w:left w:val="none" w:sz="0" w:space="0" w:color="auto"/>
                                            <w:bottom w:val="none" w:sz="0" w:space="0" w:color="auto"/>
                                            <w:right w:val="none" w:sz="0" w:space="0" w:color="auto"/>
                                          </w:divBdr>
                                          <w:divsChild>
                                            <w:div w:id="919339320">
                                              <w:marLeft w:val="0"/>
                                              <w:marRight w:val="0"/>
                                              <w:marTop w:val="0"/>
                                              <w:marBottom w:val="0"/>
                                              <w:divBdr>
                                                <w:top w:val="none" w:sz="0" w:space="0" w:color="auto"/>
                                                <w:left w:val="none" w:sz="0" w:space="0" w:color="auto"/>
                                                <w:bottom w:val="none" w:sz="0" w:space="0" w:color="auto"/>
                                                <w:right w:val="none" w:sz="0" w:space="0" w:color="auto"/>
                                              </w:divBdr>
                                              <w:divsChild>
                                                <w:div w:id="397215556">
                                                  <w:marLeft w:val="0"/>
                                                  <w:marRight w:val="0"/>
                                                  <w:marTop w:val="0"/>
                                                  <w:marBottom w:val="0"/>
                                                  <w:divBdr>
                                                    <w:top w:val="none" w:sz="0" w:space="0" w:color="auto"/>
                                                    <w:left w:val="none" w:sz="0" w:space="0" w:color="auto"/>
                                                    <w:bottom w:val="none" w:sz="0" w:space="0" w:color="auto"/>
                                                    <w:right w:val="none" w:sz="0" w:space="0" w:color="auto"/>
                                                  </w:divBdr>
                                                  <w:divsChild>
                                                    <w:div w:id="1086656971">
                                                      <w:marLeft w:val="0"/>
                                                      <w:marRight w:val="0"/>
                                                      <w:marTop w:val="0"/>
                                                      <w:marBottom w:val="0"/>
                                                      <w:divBdr>
                                                        <w:top w:val="none" w:sz="0" w:space="0" w:color="auto"/>
                                                        <w:left w:val="none" w:sz="0" w:space="0" w:color="auto"/>
                                                        <w:bottom w:val="none" w:sz="0" w:space="0" w:color="auto"/>
                                                        <w:right w:val="none" w:sz="0" w:space="0" w:color="auto"/>
                                                      </w:divBdr>
                                                      <w:divsChild>
                                                        <w:div w:id="516701617">
                                                          <w:marLeft w:val="0"/>
                                                          <w:marRight w:val="0"/>
                                                          <w:marTop w:val="0"/>
                                                          <w:marBottom w:val="0"/>
                                                          <w:divBdr>
                                                            <w:top w:val="none" w:sz="0" w:space="0" w:color="auto"/>
                                                            <w:left w:val="none" w:sz="0" w:space="0" w:color="auto"/>
                                                            <w:bottom w:val="none" w:sz="0" w:space="0" w:color="auto"/>
                                                            <w:right w:val="none" w:sz="0" w:space="0" w:color="auto"/>
                                                          </w:divBdr>
                                                          <w:divsChild>
                                                            <w:div w:id="6797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59784-8788-497C-B66B-64E17B34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4</cp:revision>
  <cp:lastPrinted>2018-10-01T18:15:00Z</cp:lastPrinted>
  <dcterms:created xsi:type="dcterms:W3CDTF">2018-10-01T18:15:00Z</dcterms:created>
  <dcterms:modified xsi:type="dcterms:W3CDTF">2018-10-01T18:23:00Z</dcterms:modified>
</cp:coreProperties>
</file>