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5C2" w:rsidRPr="00AA7E7D" w:rsidRDefault="007775C2" w:rsidP="007775C2">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rsidR="007775C2" w:rsidRPr="00AA7E7D" w:rsidRDefault="007775C2" w:rsidP="007775C2">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rsidR="007775C2" w:rsidRPr="00AA7E7D" w:rsidRDefault="007775C2" w:rsidP="007775C2">
      <w:pPr>
        <w:spacing w:after="0"/>
        <w:jc w:val="center"/>
        <w:rPr>
          <w:rFonts w:ascii="Times New Roman" w:hAnsi="Times New Roman"/>
          <w:b/>
          <w:sz w:val="24"/>
          <w:szCs w:val="24"/>
        </w:rPr>
      </w:pPr>
    </w:p>
    <w:p w:rsidR="007775C2" w:rsidRPr="00AA7E7D" w:rsidRDefault="007775C2" w:rsidP="007775C2">
      <w:pPr>
        <w:spacing w:after="0"/>
        <w:jc w:val="center"/>
        <w:rPr>
          <w:rFonts w:ascii="Times New Roman" w:hAnsi="Times New Roman"/>
          <w:b/>
          <w:sz w:val="24"/>
          <w:szCs w:val="24"/>
          <w:u w:val="single"/>
        </w:rPr>
      </w:pPr>
    </w:p>
    <w:p w:rsidR="007775C2" w:rsidRPr="00AA7E7D" w:rsidRDefault="007775C2" w:rsidP="007775C2">
      <w:pPr>
        <w:spacing w:after="0"/>
        <w:jc w:val="center"/>
        <w:rPr>
          <w:rFonts w:ascii="Times New Roman" w:hAnsi="Times New Roman"/>
          <w:b/>
          <w:sz w:val="24"/>
          <w:szCs w:val="24"/>
          <w:u w:val="single"/>
        </w:rPr>
      </w:pPr>
    </w:p>
    <w:p w:rsidR="007775C2" w:rsidRPr="00AA7E7D" w:rsidRDefault="007775C2" w:rsidP="007775C2">
      <w:pPr>
        <w:spacing w:after="0"/>
        <w:jc w:val="both"/>
        <w:rPr>
          <w:rFonts w:ascii="Times New Roman" w:hAnsi="Times New Roman"/>
          <w:sz w:val="24"/>
          <w:szCs w:val="24"/>
        </w:rPr>
      </w:pPr>
      <w:r>
        <w:rPr>
          <w:rFonts w:ascii="Times New Roman" w:hAnsi="Times New Roman"/>
          <w:sz w:val="24"/>
          <w:szCs w:val="24"/>
        </w:rPr>
        <w:t>Kathrine E. Hubel</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7775C2" w:rsidRPr="00AA7E7D" w:rsidRDefault="007775C2" w:rsidP="007775C2">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7775C2" w:rsidRPr="00AA7E7D" w:rsidRDefault="007775C2" w:rsidP="007775C2">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2620</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7775C2" w:rsidRPr="00AA7E7D" w:rsidRDefault="007775C2" w:rsidP="007775C2">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7775C2" w:rsidRPr="00AA7E7D" w:rsidRDefault="007775C2" w:rsidP="007775C2">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7775C2" w:rsidRPr="00AA7E7D" w:rsidRDefault="007775C2" w:rsidP="007775C2">
      <w:pPr>
        <w:spacing w:after="0"/>
        <w:rPr>
          <w:rFonts w:ascii="Times New Roman" w:hAnsi="Times New Roman"/>
          <w:sz w:val="24"/>
          <w:szCs w:val="24"/>
        </w:rPr>
      </w:pPr>
    </w:p>
    <w:p w:rsidR="007775C2" w:rsidRPr="00AA7E7D" w:rsidRDefault="007775C2" w:rsidP="007775C2">
      <w:pPr>
        <w:pStyle w:val="Style"/>
        <w:jc w:val="center"/>
        <w:rPr>
          <w:b/>
          <w:bCs/>
          <w:color w:val="000000"/>
        </w:rPr>
      </w:pPr>
    </w:p>
    <w:p w:rsidR="007775C2" w:rsidRPr="00AA7E7D" w:rsidRDefault="007775C2" w:rsidP="007775C2">
      <w:pPr>
        <w:pStyle w:val="Style"/>
        <w:jc w:val="center"/>
        <w:rPr>
          <w:b/>
          <w:bCs/>
          <w:color w:val="000000"/>
        </w:rPr>
      </w:pPr>
      <w:r w:rsidRPr="00AA7E7D">
        <w:rPr>
          <w:b/>
          <w:bCs/>
          <w:color w:val="000000"/>
        </w:rPr>
        <w:t>INTERIM ORDER</w:t>
      </w:r>
    </w:p>
    <w:p w:rsidR="007775C2" w:rsidRPr="00296F73" w:rsidRDefault="007775C2" w:rsidP="007775C2">
      <w:pPr>
        <w:pStyle w:val="Style"/>
        <w:jc w:val="center"/>
        <w:rPr>
          <w:b/>
          <w:bCs/>
          <w:color w:val="000000"/>
          <w:u w:val="single"/>
        </w:rPr>
      </w:pPr>
      <w:r w:rsidRPr="00296F73">
        <w:rPr>
          <w:b/>
          <w:bCs/>
          <w:color w:val="000000"/>
          <w:u w:val="single"/>
        </w:rPr>
        <w:t xml:space="preserve">DENYING RESPONDENT’S PRELIMINARY OBJECTIONS </w:t>
      </w:r>
    </w:p>
    <w:p w:rsidR="007775C2" w:rsidRPr="00AA7E7D" w:rsidRDefault="007775C2" w:rsidP="007775C2">
      <w:pPr>
        <w:pStyle w:val="Style"/>
        <w:jc w:val="center"/>
        <w:rPr>
          <w:b/>
          <w:bCs/>
          <w:color w:val="000000"/>
          <w:u w:val="single"/>
        </w:rPr>
      </w:pPr>
    </w:p>
    <w:p w:rsidR="007775C2" w:rsidRPr="00AA7E7D" w:rsidRDefault="007775C2" w:rsidP="007775C2">
      <w:pPr>
        <w:pStyle w:val="Style"/>
        <w:jc w:val="center"/>
        <w:rPr>
          <w:b/>
          <w:bCs/>
          <w:color w:val="000000"/>
          <w:u w:val="single"/>
        </w:rPr>
      </w:pPr>
    </w:p>
    <w:p w:rsidR="007775C2" w:rsidRPr="00AA7E7D" w:rsidRDefault="007775C2" w:rsidP="007775C2">
      <w:pPr>
        <w:pStyle w:val="Style"/>
        <w:widowControl/>
        <w:spacing w:line="360" w:lineRule="auto"/>
        <w:rPr>
          <w:rFonts w:eastAsia="Calibri"/>
        </w:rPr>
      </w:pPr>
      <w:r w:rsidRPr="00AA7E7D">
        <w:rPr>
          <w:rFonts w:eastAsia="Calibri"/>
          <w:u w:val="single"/>
        </w:rPr>
        <w:t>Procedural Background</w:t>
      </w:r>
    </w:p>
    <w:p w:rsidR="007775C2" w:rsidRPr="00AA7E7D" w:rsidRDefault="007775C2" w:rsidP="007775C2">
      <w:pPr>
        <w:spacing w:after="0" w:line="360" w:lineRule="auto"/>
        <w:rPr>
          <w:rFonts w:ascii="Times New Roman" w:hAnsi="Times New Roman"/>
          <w:sz w:val="24"/>
          <w:szCs w:val="24"/>
        </w:rPr>
      </w:pPr>
    </w:p>
    <w:p w:rsidR="007775C2" w:rsidRDefault="007775C2" w:rsidP="007775C2">
      <w:pPr>
        <w:spacing w:after="0" w:line="360" w:lineRule="auto"/>
        <w:ind w:firstLine="1440"/>
        <w:rPr>
          <w:rFonts w:ascii="Times New Roman" w:hAnsi="Times New Roman"/>
          <w:sz w:val="24"/>
          <w:szCs w:val="24"/>
        </w:rPr>
      </w:pPr>
      <w:r>
        <w:rPr>
          <w:rFonts w:ascii="Times New Roman" w:hAnsi="Times New Roman"/>
          <w:sz w:val="24"/>
          <w:szCs w:val="24"/>
        </w:rPr>
        <w:t xml:space="preserve">Kathrine E. Hubel </w:t>
      </w:r>
      <w:r w:rsidRPr="00AA7E7D">
        <w:rPr>
          <w:rFonts w:ascii="Times New Roman" w:hAnsi="Times New Roman"/>
          <w:sz w:val="24"/>
          <w:szCs w:val="24"/>
        </w:rPr>
        <w:t xml:space="preserve">(Complainant) filed a Formal Complaint (Complaint) with the Pennsylvania Public Utility Commission (Commission) </w:t>
      </w:r>
      <w:r>
        <w:rPr>
          <w:rFonts w:ascii="Times New Roman" w:hAnsi="Times New Roman"/>
          <w:sz w:val="24"/>
          <w:szCs w:val="24"/>
        </w:rPr>
        <w:t xml:space="preserve">dated June 10, 2018, </w:t>
      </w:r>
      <w:r w:rsidRPr="00AA7E7D">
        <w:rPr>
          <w:rFonts w:ascii="Times New Roman" w:hAnsi="Times New Roman"/>
          <w:sz w:val="24"/>
          <w:szCs w:val="24"/>
        </w:rPr>
        <w:t xml:space="preserve">against </w:t>
      </w:r>
      <w:r>
        <w:rPr>
          <w:rFonts w:ascii="Times New Roman" w:hAnsi="Times New Roman"/>
          <w:sz w:val="24"/>
          <w:szCs w:val="24"/>
        </w:rPr>
        <w:t xml:space="preserve">Duquesne Light </w:t>
      </w:r>
      <w:r w:rsidRPr="00AA7E7D">
        <w:rPr>
          <w:rFonts w:ascii="Times New Roman" w:hAnsi="Times New Roman"/>
          <w:sz w:val="24"/>
          <w:szCs w:val="24"/>
        </w:rPr>
        <w:t xml:space="preserve">Company (Respondent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Respondent was threatening to shut off electric service to her property because she does not consent to the installation of a smart meter.  Complainant avers that she does not consent to the installation of a smart meter on her home because of safety issues and as it would have negative health consequences. </w:t>
      </w:r>
    </w:p>
    <w:p w:rsidR="007775C2" w:rsidRPr="00AA7E7D" w:rsidRDefault="007775C2" w:rsidP="007775C2">
      <w:pPr>
        <w:spacing w:after="0" w:line="360" w:lineRule="auto"/>
        <w:ind w:firstLine="1440"/>
        <w:rPr>
          <w:rFonts w:ascii="Times New Roman" w:hAnsi="Times New Roman"/>
          <w:sz w:val="24"/>
          <w:szCs w:val="24"/>
        </w:rPr>
      </w:pPr>
    </w:p>
    <w:p w:rsidR="007775C2" w:rsidRDefault="007775C2" w:rsidP="007775C2">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she would like Respondent to be informed it has no authority to force customers against their will to accept a smart meter and avers it would “be inappropriate for someone whose physician has deemed it as harmful to the client’s health.”  (Formal Complaint at p. 3).</w:t>
      </w:r>
    </w:p>
    <w:p w:rsidR="007775C2" w:rsidRPr="00AA7E7D" w:rsidRDefault="007775C2" w:rsidP="007775C2">
      <w:pPr>
        <w:spacing w:after="0" w:line="360" w:lineRule="auto"/>
        <w:ind w:firstLine="1440"/>
        <w:rPr>
          <w:rFonts w:ascii="Times New Roman" w:hAnsi="Times New Roman"/>
          <w:sz w:val="24"/>
          <w:szCs w:val="24"/>
        </w:rPr>
      </w:pPr>
      <w:r>
        <w:rPr>
          <w:rFonts w:ascii="Times New Roman" w:hAnsi="Times New Roman"/>
          <w:sz w:val="24"/>
          <w:szCs w:val="24"/>
        </w:rPr>
        <w:t xml:space="preserve">  </w:t>
      </w:r>
      <w:r w:rsidRPr="00AA7E7D">
        <w:rPr>
          <w:rFonts w:ascii="Times New Roman" w:hAnsi="Times New Roman"/>
          <w:sz w:val="24"/>
          <w:szCs w:val="24"/>
        </w:rPr>
        <w:t xml:space="preserve">      </w:t>
      </w:r>
    </w:p>
    <w:p w:rsidR="007775C2" w:rsidRDefault="007775C2" w:rsidP="007775C2">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Pr>
          <w:rFonts w:ascii="Times New Roman" w:hAnsi="Times New Roman"/>
          <w:sz w:val="24"/>
          <w:szCs w:val="24"/>
        </w:rPr>
        <w:t>July 2, 2018</w:t>
      </w:r>
      <w:r w:rsidRPr="00AA7E7D">
        <w:rPr>
          <w:rFonts w:ascii="Times New Roman" w:hAnsi="Times New Roman"/>
          <w:sz w:val="24"/>
          <w:szCs w:val="24"/>
        </w:rPr>
        <w:t>, Respondent filed an Answer and New Matter to the Complaint, a</w:t>
      </w:r>
      <w:r>
        <w:rPr>
          <w:rFonts w:ascii="Times New Roman" w:hAnsi="Times New Roman"/>
          <w:sz w:val="24"/>
          <w:szCs w:val="24"/>
        </w:rPr>
        <w:t xml:space="preserve">verring that it indicated that </w:t>
      </w:r>
      <w:r w:rsidR="002028C8">
        <w:rPr>
          <w:rFonts w:ascii="Times New Roman" w:hAnsi="Times New Roman"/>
          <w:sz w:val="24"/>
          <w:szCs w:val="24"/>
        </w:rPr>
        <w:t xml:space="preserve">for Respondent to continue to provide electric service to the property, it must install a smart meter at the property.  Respondent further averred that </w:t>
      </w:r>
      <w:r>
        <w:rPr>
          <w:rFonts w:ascii="Times New Roman" w:hAnsi="Times New Roman"/>
          <w:sz w:val="24"/>
          <w:szCs w:val="24"/>
        </w:rPr>
        <w:t xml:space="preserve">it </w:t>
      </w:r>
      <w:r w:rsidR="002028C8">
        <w:rPr>
          <w:rFonts w:ascii="Times New Roman" w:hAnsi="Times New Roman"/>
          <w:sz w:val="24"/>
          <w:szCs w:val="24"/>
        </w:rPr>
        <w:t xml:space="preserve">has indicated that it </w:t>
      </w:r>
      <w:r>
        <w:rPr>
          <w:rFonts w:ascii="Times New Roman" w:hAnsi="Times New Roman"/>
          <w:sz w:val="24"/>
          <w:szCs w:val="24"/>
        </w:rPr>
        <w:t>would terminate service if Complainant refuses to permit Respondent to install a smart meter at h</w:t>
      </w:r>
      <w:r w:rsidR="002028C8">
        <w:rPr>
          <w:rFonts w:ascii="Times New Roman" w:hAnsi="Times New Roman"/>
          <w:sz w:val="24"/>
          <w:szCs w:val="24"/>
        </w:rPr>
        <w:t>er</w:t>
      </w:r>
      <w:r>
        <w:rPr>
          <w:rFonts w:ascii="Times New Roman" w:hAnsi="Times New Roman"/>
          <w:sz w:val="24"/>
          <w:szCs w:val="24"/>
        </w:rPr>
        <w:t xml:space="preserve"> home.  </w:t>
      </w:r>
    </w:p>
    <w:p w:rsidR="007775C2" w:rsidRPr="00AA7E7D" w:rsidRDefault="007775C2" w:rsidP="007775C2">
      <w:pPr>
        <w:spacing w:after="0" w:line="360" w:lineRule="auto"/>
        <w:ind w:firstLine="1440"/>
        <w:rPr>
          <w:rFonts w:ascii="Times New Roman" w:hAnsi="Times New Roman"/>
          <w:sz w:val="24"/>
          <w:szCs w:val="24"/>
        </w:rPr>
      </w:pPr>
      <w:r w:rsidRPr="00AA7E7D">
        <w:rPr>
          <w:rFonts w:ascii="Times New Roman" w:hAnsi="Times New Roman"/>
          <w:sz w:val="24"/>
          <w:szCs w:val="24"/>
        </w:rPr>
        <w:lastRenderedPageBreak/>
        <w:t>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w:t>
      </w:r>
    </w:p>
    <w:p w:rsidR="007775C2" w:rsidRPr="00AA7E7D" w:rsidRDefault="007775C2" w:rsidP="007775C2">
      <w:pPr>
        <w:spacing w:after="0" w:line="360" w:lineRule="auto"/>
        <w:rPr>
          <w:rFonts w:ascii="Times New Roman" w:hAnsi="Times New Roman"/>
          <w:sz w:val="24"/>
          <w:szCs w:val="24"/>
        </w:rPr>
      </w:pPr>
    </w:p>
    <w:p w:rsidR="007775C2" w:rsidRDefault="007775C2" w:rsidP="007775C2">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On </w:t>
      </w:r>
      <w:r w:rsidR="002028C8">
        <w:rPr>
          <w:rFonts w:ascii="Times New Roman" w:hAnsi="Times New Roman"/>
          <w:sz w:val="24"/>
          <w:szCs w:val="24"/>
        </w:rPr>
        <w:t>July 2, 2018</w:t>
      </w:r>
      <w:r>
        <w:rPr>
          <w:rFonts w:ascii="Times New Roman" w:hAnsi="Times New Roman"/>
          <w:sz w:val="24"/>
          <w:szCs w:val="24"/>
        </w:rPr>
        <w:t xml:space="preserve">, </w:t>
      </w:r>
      <w:r w:rsidRPr="00AA7E7D">
        <w:rPr>
          <w:rFonts w:ascii="Times New Roman" w:hAnsi="Times New Roman"/>
          <w:sz w:val="24"/>
          <w:szCs w:val="24"/>
        </w:rPr>
        <w:t xml:space="preserve">Respondent also filed preliminary objections to the Complaint.  Respondent essentially avers that the request </w:t>
      </w:r>
      <w:r>
        <w:rPr>
          <w:rFonts w:ascii="Times New Roman" w:hAnsi="Times New Roman"/>
          <w:sz w:val="24"/>
          <w:szCs w:val="24"/>
        </w:rPr>
        <w:t xml:space="preserve">to opt-out </w:t>
      </w:r>
      <w:r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rsidR="007775C2" w:rsidRDefault="007775C2" w:rsidP="007775C2">
      <w:pPr>
        <w:spacing w:after="0" w:line="360" w:lineRule="auto"/>
        <w:rPr>
          <w:rFonts w:ascii="Times New Roman" w:hAnsi="Times New Roman"/>
          <w:sz w:val="24"/>
          <w:szCs w:val="24"/>
        </w:rPr>
      </w:pPr>
    </w:p>
    <w:p w:rsidR="007775C2" w:rsidRDefault="007775C2" w:rsidP="007775C2">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r>
        <w:rPr>
          <w:rFonts w:ascii="Times New Roman" w:hAnsi="Times New Roman"/>
          <w:sz w:val="24"/>
          <w:szCs w:val="24"/>
        </w:rPr>
        <w:t xml:space="preserve">August </w:t>
      </w:r>
      <w:r w:rsidR="005809B4">
        <w:rPr>
          <w:rFonts w:ascii="Times New Roman" w:hAnsi="Times New Roman"/>
          <w:sz w:val="24"/>
          <w:szCs w:val="24"/>
        </w:rPr>
        <w:t>7</w:t>
      </w:r>
      <w:r>
        <w:rPr>
          <w:rFonts w:ascii="Times New Roman" w:hAnsi="Times New Roman"/>
          <w:sz w:val="24"/>
          <w:szCs w:val="24"/>
        </w:rPr>
        <w:t xml:space="preserve">, 2018, </w:t>
      </w:r>
      <w:r w:rsidRPr="00AA7E7D">
        <w:rPr>
          <w:rFonts w:ascii="Times New Roman" w:hAnsi="Times New Roman"/>
          <w:sz w:val="24"/>
          <w:szCs w:val="24"/>
        </w:rPr>
        <w:t>and the undersigned presiding officer</w:t>
      </w:r>
      <w:r>
        <w:rPr>
          <w:rFonts w:ascii="Times New Roman" w:hAnsi="Times New Roman"/>
          <w:sz w:val="24"/>
          <w:szCs w:val="24"/>
        </w:rPr>
        <w:t xml:space="preserve"> was assigned </w:t>
      </w:r>
      <w:r w:rsidRPr="00AA7E7D">
        <w:rPr>
          <w:rFonts w:ascii="Times New Roman" w:hAnsi="Times New Roman"/>
          <w:sz w:val="24"/>
          <w:szCs w:val="24"/>
        </w:rPr>
        <w:t>to this proceeding.</w:t>
      </w:r>
    </w:p>
    <w:p w:rsidR="002028C8" w:rsidRDefault="002028C8" w:rsidP="007775C2">
      <w:pPr>
        <w:spacing w:after="0" w:line="360" w:lineRule="auto"/>
        <w:rPr>
          <w:rFonts w:ascii="Times New Roman" w:hAnsi="Times New Roman"/>
          <w:sz w:val="24"/>
          <w:szCs w:val="24"/>
        </w:rPr>
      </w:pPr>
    </w:p>
    <w:p w:rsidR="002028C8" w:rsidRDefault="002028C8" w:rsidP="007775C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July 10, 2018</w:t>
      </w:r>
      <w:r w:rsidR="00121C7C">
        <w:rPr>
          <w:rFonts w:ascii="Times New Roman" w:hAnsi="Times New Roman"/>
          <w:sz w:val="24"/>
          <w:szCs w:val="24"/>
        </w:rPr>
        <w:t>,</w:t>
      </w:r>
      <w:r>
        <w:rPr>
          <w:rFonts w:ascii="Times New Roman" w:hAnsi="Times New Roman"/>
          <w:sz w:val="24"/>
          <w:szCs w:val="24"/>
        </w:rPr>
        <w:t xml:space="preserve"> Respondent filed a motion for a prehearing conference in this proceeding.</w:t>
      </w:r>
    </w:p>
    <w:p w:rsidR="002028C8" w:rsidRDefault="002028C8" w:rsidP="007775C2">
      <w:pPr>
        <w:spacing w:after="0" w:line="360" w:lineRule="auto"/>
        <w:rPr>
          <w:rFonts w:ascii="Times New Roman" w:hAnsi="Times New Roman"/>
          <w:sz w:val="24"/>
          <w:szCs w:val="24"/>
        </w:rPr>
      </w:pPr>
    </w:p>
    <w:p w:rsidR="002028C8" w:rsidRPr="00AA7E7D" w:rsidRDefault="002028C8" w:rsidP="007775C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August 1, 2018, Complainant filed a written request for an extension of time to reply to Respondent</w:t>
      </w:r>
      <w:r w:rsidR="005A4251">
        <w:rPr>
          <w:rFonts w:ascii="Times New Roman" w:hAnsi="Times New Roman"/>
          <w:sz w:val="24"/>
          <w:szCs w:val="24"/>
        </w:rPr>
        <w:t>’</w:t>
      </w:r>
      <w:r>
        <w:rPr>
          <w:rFonts w:ascii="Times New Roman" w:hAnsi="Times New Roman"/>
          <w:sz w:val="24"/>
          <w:szCs w:val="24"/>
        </w:rPr>
        <w:t xml:space="preserve">s answer, new matter and preliminary objections.  </w:t>
      </w:r>
      <w:r w:rsidR="005809B4">
        <w:rPr>
          <w:rFonts w:ascii="Times New Roman" w:hAnsi="Times New Roman"/>
          <w:sz w:val="24"/>
          <w:szCs w:val="24"/>
        </w:rPr>
        <w:t>On August 10, 2018, an interim order was entered granting Complainant an extension of time to file responsive pleadings to Respondent</w:t>
      </w:r>
      <w:r w:rsidR="00121C7C">
        <w:rPr>
          <w:rFonts w:ascii="Times New Roman" w:hAnsi="Times New Roman"/>
          <w:sz w:val="24"/>
          <w:szCs w:val="24"/>
        </w:rPr>
        <w:t>’</w:t>
      </w:r>
      <w:r w:rsidR="005809B4">
        <w:rPr>
          <w:rFonts w:ascii="Times New Roman" w:hAnsi="Times New Roman"/>
          <w:sz w:val="24"/>
          <w:szCs w:val="24"/>
        </w:rPr>
        <w:t>s answer, new matter and preliminary objections not later than September 5, 2018.  On August 7, 2018, Complainant filed a response to the preliminary objections and a response to the answer and new matter filed by Respondent.  On August 29, 2018, Complainant filed a response to the request for a prehearing conference filed by Respondent.</w:t>
      </w:r>
    </w:p>
    <w:p w:rsidR="007775C2" w:rsidRPr="00AA7E7D" w:rsidRDefault="007775C2" w:rsidP="007775C2">
      <w:pPr>
        <w:spacing w:after="0" w:line="360" w:lineRule="auto"/>
        <w:rPr>
          <w:rFonts w:ascii="Times New Roman" w:hAnsi="Times New Roman"/>
          <w:sz w:val="24"/>
          <w:szCs w:val="24"/>
        </w:rPr>
      </w:pPr>
    </w:p>
    <w:p w:rsidR="007775C2" w:rsidRPr="00AA7E7D" w:rsidRDefault="007775C2" w:rsidP="007775C2">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Respondent’s </w:t>
      </w:r>
      <w:r w:rsidRPr="00AA7E7D">
        <w:rPr>
          <w:rFonts w:ascii="Times New Roman" w:eastAsia="Times New Roman" w:hAnsi="Times New Roman"/>
          <w:color w:val="000000"/>
          <w:sz w:val="24"/>
          <w:szCs w:val="24"/>
        </w:rPr>
        <w:t xml:space="preserve">preliminary objections are </w:t>
      </w:r>
      <w:r w:rsidRPr="00AA7E7D">
        <w:rPr>
          <w:rFonts w:ascii="Times New Roman" w:hAnsi="Times New Roman"/>
          <w:sz w:val="24"/>
          <w:szCs w:val="24"/>
        </w:rPr>
        <w:t xml:space="preserve">procedurally ready to be ruled upon.  For the reasons discussed below, the objections will be </w:t>
      </w:r>
      <w:r>
        <w:rPr>
          <w:rFonts w:ascii="Times New Roman" w:hAnsi="Times New Roman"/>
          <w:sz w:val="24"/>
          <w:szCs w:val="24"/>
        </w:rPr>
        <w:t>denied.</w:t>
      </w:r>
    </w:p>
    <w:p w:rsidR="007775C2" w:rsidRDefault="007775C2" w:rsidP="007775C2">
      <w:pPr>
        <w:pStyle w:val="Style"/>
        <w:widowControl/>
        <w:spacing w:line="360" w:lineRule="auto"/>
        <w:ind w:firstLine="1440"/>
        <w:rPr>
          <w:rFonts w:eastAsia="Calibri"/>
        </w:rPr>
      </w:pPr>
    </w:p>
    <w:p w:rsidR="0019628B" w:rsidRDefault="0019628B" w:rsidP="007775C2">
      <w:pPr>
        <w:pStyle w:val="Style"/>
        <w:widowControl/>
        <w:spacing w:line="360" w:lineRule="auto"/>
        <w:rPr>
          <w:rFonts w:eastAsia="Calibri"/>
          <w:u w:val="single"/>
        </w:rPr>
      </w:pPr>
    </w:p>
    <w:p w:rsidR="0019628B" w:rsidRDefault="0019628B" w:rsidP="007775C2">
      <w:pPr>
        <w:pStyle w:val="Style"/>
        <w:widowControl/>
        <w:spacing w:line="360" w:lineRule="auto"/>
        <w:rPr>
          <w:rFonts w:eastAsia="Calibri"/>
          <w:u w:val="single"/>
        </w:rPr>
      </w:pPr>
    </w:p>
    <w:p w:rsidR="007775C2" w:rsidRPr="00AA7E7D" w:rsidRDefault="007775C2" w:rsidP="007775C2">
      <w:pPr>
        <w:pStyle w:val="Style"/>
        <w:widowControl/>
        <w:spacing w:line="360" w:lineRule="auto"/>
        <w:rPr>
          <w:rFonts w:eastAsia="Calibri"/>
          <w:u w:val="single"/>
        </w:rPr>
      </w:pPr>
      <w:bookmarkStart w:id="0" w:name="_GoBack"/>
      <w:bookmarkEnd w:id="0"/>
      <w:r w:rsidRPr="00AA7E7D">
        <w:rPr>
          <w:rFonts w:eastAsia="Calibri"/>
          <w:u w:val="single"/>
        </w:rPr>
        <w:lastRenderedPageBreak/>
        <w:t>Legal Discussion</w:t>
      </w:r>
    </w:p>
    <w:p w:rsidR="007775C2" w:rsidRPr="00AA7E7D" w:rsidRDefault="007775C2" w:rsidP="007775C2">
      <w:pPr>
        <w:pStyle w:val="Style"/>
        <w:widowControl/>
        <w:spacing w:line="360" w:lineRule="auto"/>
        <w:rPr>
          <w:rFonts w:eastAsia="Calibri"/>
          <w:u w:val="single"/>
        </w:rPr>
      </w:pPr>
    </w:p>
    <w:p w:rsidR="007775C2" w:rsidRPr="00AA7E7D" w:rsidRDefault="007775C2" w:rsidP="007775C2">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7775C2" w:rsidRPr="00AA7E7D" w:rsidRDefault="007775C2" w:rsidP="007775C2">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7775C2" w:rsidRPr="00AA7E7D" w:rsidRDefault="007775C2" w:rsidP="007775C2">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7775C2" w:rsidRPr="00AA7E7D" w:rsidRDefault="007775C2" w:rsidP="007775C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7775C2" w:rsidRPr="00AA7E7D" w:rsidRDefault="007775C2" w:rsidP="007775C2">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7775C2"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(4)</w:t>
      </w:r>
      <w:r w:rsidRPr="00AA7E7D">
        <w:rPr>
          <w:rFonts w:ascii="Times New Roman" w:eastAsia="Times New Roman" w:hAnsi="Times New Roman"/>
          <w:color w:val="000000"/>
          <w:sz w:val="24"/>
          <w:szCs w:val="24"/>
        </w:rPr>
        <w:tab/>
        <w:t>Legal insufficiency of a pleading.</w:t>
      </w:r>
    </w:p>
    <w:p w:rsidR="007775C2" w:rsidRPr="00AA7E7D" w:rsidRDefault="007775C2" w:rsidP="007775C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775C2" w:rsidRPr="00AA7E7D" w:rsidRDefault="007775C2" w:rsidP="007775C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775C2" w:rsidRPr="00AA7E7D" w:rsidRDefault="007775C2" w:rsidP="007775C2">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w:t>
      </w:r>
      <w:r w:rsidRPr="00AA7E7D">
        <w:rPr>
          <w:rFonts w:ascii="Times New Roman" w:eastAsia="Times New Roman" w:hAnsi="Times New Roman"/>
          <w:sz w:val="24"/>
          <w:szCs w:val="24"/>
        </w:rPr>
        <w:lastRenderedPageBreak/>
        <w:t xml:space="preserve">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7775C2" w:rsidRDefault="007775C2" w:rsidP="007775C2">
      <w:pPr>
        <w:pStyle w:val="ParaTab1"/>
        <w:spacing w:line="360" w:lineRule="auto"/>
        <w:rPr>
          <w:rFonts w:ascii="Times New Roman" w:hAnsi="Times New Roman" w:cs="Times New Roman"/>
        </w:rPr>
      </w:pPr>
    </w:p>
    <w:p w:rsidR="007775C2" w:rsidRPr="00AA7E7D" w:rsidRDefault="007775C2" w:rsidP="007775C2">
      <w:pPr>
        <w:pStyle w:val="ParaTab1"/>
        <w:spacing w:line="360" w:lineRule="auto"/>
        <w:rPr>
          <w:rFonts w:ascii="Times New Roman" w:hAnsi="Times New Roman" w:cs="Times New Roman"/>
          <w:color w:val="000000"/>
        </w:rPr>
      </w:pPr>
      <w:r w:rsidRPr="00AA7E7D">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7775C2" w:rsidRPr="00AA7E7D" w:rsidRDefault="007775C2" w:rsidP="007775C2">
      <w:pPr>
        <w:pStyle w:val="ParaTab1"/>
        <w:spacing w:line="360" w:lineRule="auto"/>
        <w:rPr>
          <w:rFonts w:ascii="Times New Roman" w:hAnsi="Times New Roman" w:cs="Times New Roman"/>
          <w:color w:val="000000"/>
        </w:rPr>
      </w:pPr>
    </w:p>
    <w:p w:rsidR="007775C2" w:rsidRDefault="007775C2" w:rsidP="007775C2">
      <w:pPr>
        <w:spacing w:after="0" w:line="360" w:lineRule="auto"/>
        <w:ind w:firstLine="1440"/>
        <w:rPr>
          <w:rFonts w:ascii="Times New Roman" w:hAnsi="Times New Roman"/>
          <w:sz w:val="24"/>
          <w:szCs w:val="24"/>
        </w:rPr>
      </w:pPr>
      <w:r w:rsidRPr="00595EAA">
        <w:rPr>
          <w:rFonts w:ascii="Times New Roman" w:hAnsi="Times New Roman"/>
          <w:color w:val="000000"/>
          <w:sz w:val="24"/>
          <w:szCs w:val="24"/>
        </w:rPr>
        <w:t xml:space="preserve">In this case, </w:t>
      </w:r>
      <w:r w:rsidRPr="00595EAA">
        <w:rPr>
          <w:rFonts w:ascii="Times New Roman" w:hAnsi="Times New Roman"/>
          <w:sz w:val="24"/>
          <w:szCs w:val="24"/>
        </w:rPr>
        <w:t xml:space="preserve">Respondent </w:t>
      </w:r>
      <w:r w:rsidR="005809B4">
        <w:rPr>
          <w:rFonts w:ascii="Times New Roman" w:hAnsi="Times New Roman"/>
          <w:sz w:val="24"/>
          <w:szCs w:val="24"/>
        </w:rPr>
        <w:t xml:space="preserve">essentially </w:t>
      </w:r>
      <w:r w:rsidRPr="00595EAA">
        <w:rPr>
          <w:rFonts w:ascii="Times New Roman" w:hAnsi="Times New Roman"/>
          <w:sz w:val="24"/>
          <w:szCs w:val="24"/>
        </w:rPr>
        <w:t>avers that</w:t>
      </w:r>
      <w:r w:rsidRPr="00AA7E7D">
        <w:rPr>
          <w:rFonts w:ascii="Times New Roman" w:hAnsi="Times New Roman"/>
          <w:sz w:val="24"/>
          <w:szCs w:val="24"/>
        </w:rPr>
        <w:t xml:space="preserve"> the request </w:t>
      </w:r>
      <w:r>
        <w:rPr>
          <w:rFonts w:ascii="Times New Roman" w:hAnsi="Times New Roman"/>
          <w:sz w:val="24"/>
          <w:szCs w:val="24"/>
        </w:rPr>
        <w:t xml:space="preserve">to opt-out </w:t>
      </w:r>
      <w:r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rsidR="007775C2" w:rsidRDefault="007775C2" w:rsidP="007775C2">
      <w:pPr>
        <w:spacing w:after="0" w:line="360" w:lineRule="auto"/>
        <w:rPr>
          <w:rFonts w:ascii="Times New Roman" w:hAnsi="Times New Roman"/>
          <w:sz w:val="24"/>
          <w:szCs w:val="24"/>
        </w:rPr>
      </w:pPr>
    </w:p>
    <w:p w:rsidR="005809B4" w:rsidRDefault="007775C2" w:rsidP="005809B4">
      <w:pPr>
        <w:spacing w:after="0" w:line="360" w:lineRule="auto"/>
        <w:ind w:firstLine="1440"/>
        <w:rPr>
          <w:rFonts w:ascii="Times New Roman" w:hAnsi="Times New Roman"/>
          <w:sz w:val="24"/>
          <w:szCs w:val="24"/>
        </w:rPr>
      </w:pPr>
      <w:r w:rsidRPr="00AA7E7D">
        <w:rPr>
          <w:rFonts w:ascii="Times New Roman" w:hAnsi="Times New Roman"/>
          <w:sz w:val="24"/>
          <w:szCs w:val="24"/>
        </w:rPr>
        <w:t>In h</w:t>
      </w:r>
      <w:r w:rsidR="005809B4">
        <w:rPr>
          <w:rFonts w:ascii="Times New Roman" w:hAnsi="Times New Roman"/>
          <w:sz w:val="24"/>
          <w:szCs w:val="24"/>
        </w:rPr>
        <w:t>er</w:t>
      </w:r>
      <w:r w:rsidRPr="00AA7E7D">
        <w:rPr>
          <w:rFonts w:ascii="Times New Roman" w:hAnsi="Times New Roman"/>
          <w:sz w:val="24"/>
          <w:szCs w:val="24"/>
        </w:rPr>
        <w:t xml:space="preserve"> Complaint, Complainant avers,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w:t>
      </w:r>
      <w:r w:rsidR="005809B4">
        <w:rPr>
          <w:rFonts w:ascii="Times New Roman" w:hAnsi="Times New Roman"/>
          <w:sz w:val="24"/>
          <w:szCs w:val="24"/>
        </w:rPr>
        <w:t xml:space="preserve">Respondent was threatening to shut off electric service to her property because she does not consent to the installation of a smart meter.  Complainant avers that she does not consent to the installation of a smart meter on her home because of safety issues and as it would have negative health consequences. </w:t>
      </w:r>
    </w:p>
    <w:p w:rsidR="005809B4" w:rsidRPr="00AA7E7D" w:rsidRDefault="005809B4" w:rsidP="005809B4">
      <w:pPr>
        <w:spacing w:after="0" w:line="360" w:lineRule="auto"/>
        <w:ind w:firstLine="1440"/>
        <w:rPr>
          <w:rFonts w:ascii="Times New Roman" w:hAnsi="Times New Roman"/>
          <w:sz w:val="24"/>
          <w:szCs w:val="24"/>
        </w:rPr>
      </w:pPr>
    </w:p>
    <w:p w:rsidR="005809B4" w:rsidRDefault="005809B4" w:rsidP="005809B4">
      <w:pPr>
        <w:spacing w:after="0" w:line="360" w:lineRule="auto"/>
        <w:ind w:firstLine="1440"/>
        <w:rPr>
          <w:rFonts w:ascii="Times New Roman" w:hAnsi="Times New Roman"/>
          <w:sz w:val="24"/>
          <w:szCs w:val="24"/>
        </w:rPr>
      </w:pPr>
      <w:r w:rsidRPr="00AA7E7D">
        <w:rPr>
          <w:rFonts w:ascii="Times New Roman" w:hAnsi="Times New Roman"/>
          <w:sz w:val="24"/>
          <w:szCs w:val="24"/>
        </w:rPr>
        <w:lastRenderedPageBreak/>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she would like Respondent to be informed it has no authority to force customers against their will to accept a smart meter and avers it would “be inappropriate for someone whose physician has deemed it as harmful to the client’s health.”  (Formal Complaint at p. 3).</w:t>
      </w:r>
    </w:p>
    <w:p w:rsidR="007775C2" w:rsidRPr="00AA7E7D" w:rsidRDefault="007775C2" w:rsidP="005809B4">
      <w:pPr>
        <w:spacing w:after="0" w:line="360" w:lineRule="auto"/>
        <w:ind w:firstLine="1440"/>
        <w:rPr>
          <w:rFonts w:ascii="Times New Roman" w:hAnsi="Times New Roman"/>
          <w:sz w:val="24"/>
          <w:szCs w:val="24"/>
        </w:rPr>
      </w:pPr>
    </w:p>
    <w:p w:rsidR="007775C2" w:rsidRPr="00AA7E7D" w:rsidRDefault="007775C2" w:rsidP="007775C2">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w:t>
      </w:r>
      <w:r>
        <w:rPr>
          <w:rFonts w:ascii="Times New Roman" w:eastAsia="Calibri" w:hAnsi="Times New Roman" w:cs="Times New Roman"/>
        </w:rPr>
        <w:t xml:space="preserve">somewhat </w:t>
      </w:r>
      <w:r w:rsidRPr="00AA7E7D">
        <w:rPr>
          <w:rFonts w:ascii="Times New Roman" w:eastAsia="Calibri" w:hAnsi="Times New Roman" w:cs="Times New Roman"/>
        </w:rPr>
        <w:t xml:space="preserve">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7775C2" w:rsidRPr="00AA7E7D" w:rsidRDefault="007775C2" w:rsidP="007775C2">
      <w:pPr>
        <w:pStyle w:val="ParaTab1"/>
        <w:spacing w:line="360" w:lineRule="auto"/>
        <w:rPr>
          <w:rFonts w:ascii="Times New Roman" w:eastAsia="Calibri" w:hAnsi="Times New Roman" w:cs="Times New Roman"/>
        </w:rPr>
      </w:pPr>
    </w:p>
    <w:p w:rsidR="007775C2" w:rsidRDefault="007775C2" w:rsidP="007775C2">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7775C2" w:rsidRPr="00AA7E7D" w:rsidRDefault="007775C2" w:rsidP="007775C2">
      <w:pPr>
        <w:pStyle w:val="ParaTab1"/>
        <w:spacing w:line="360" w:lineRule="auto"/>
        <w:rPr>
          <w:rFonts w:ascii="Times New Roman" w:eastAsia="Calibri" w:hAnsi="Times New Roman" w:cs="Times New Roman"/>
        </w:rPr>
      </w:pPr>
    </w:p>
    <w:p w:rsidR="007775C2" w:rsidRPr="00AA7E7D" w:rsidRDefault="007775C2" w:rsidP="007775C2">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Complainant will be afforded the opportunity to proceed with h</w:t>
      </w:r>
      <w:r w:rsidR="005809B4">
        <w:rPr>
          <w:rFonts w:ascii="Times New Roman" w:hAnsi="Times New Roman"/>
          <w:sz w:val="24"/>
          <w:szCs w:val="24"/>
        </w:rPr>
        <w:t>er</w:t>
      </w:r>
      <w:r>
        <w:rPr>
          <w:rFonts w:ascii="Times New Roman" w:hAnsi="Times New Roman"/>
          <w:sz w:val="24"/>
          <w:szCs w:val="24"/>
        </w:rPr>
        <w:t xml:space="preserve"> </w:t>
      </w:r>
      <w:r w:rsidRPr="00AA7E7D">
        <w:rPr>
          <w:rFonts w:ascii="Times New Roman" w:hAnsi="Times New Roman"/>
          <w:sz w:val="24"/>
          <w:szCs w:val="24"/>
        </w:rPr>
        <w:t>Complaint, with regard to the issues raised</w:t>
      </w:r>
      <w:r w:rsidR="005809B4">
        <w:rPr>
          <w:rFonts w:ascii="Times New Roman" w:hAnsi="Times New Roman"/>
          <w:sz w:val="24"/>
          <w:szCs w:val="24"/>
        </w:rPr>
        <w:t xml:space="preserve"> in her </w:t>
      </w:r>
      <w:r w:rsidR="0080221E">
        <w:rPr>
          <w:rFonts w:ascii="Times New Roman" w:hAnsi="Times New Roman"/>
          <w:sz w:val="24"/>
          <w:szCs w:val="24"/>
        </w:rPr>
        <w:t>C</w:t>
      </w:r>
      <w:r w:rsidR="005809B4">
        <w:rPr>
          <w:rFonts w:ascii="Times New Roman" w:hAnsi="Times New Roman"/>
          <w:sz w:val="24"/>
          <w:szCs w:val="24"/>
        </w:rPr>
        <w:t xml:space="preserve">omplaint.  </w:t>
      </w:r>
      <w:r>
        <w:rPr>
          <w:rFonts w:ascii="Times New Roman" w:hAnsi="Times New Roman"/>
          <w:sz w:val="24"/>
          <w:szCs w:val="24"/>
        </w:rPr>
        <w:t xml:space="preserve"> </w:t>
      </w:r>
      <w:r w:rsidRPr="00AA7E7D">
        <w:rPr>
          <w:rFonts w:ascii="Times New Roman" w:hAnsi="Times New Roman"/>
          <w:sz w:val="24"/>
          <w:szCs w:val="24"/>
        </w:rPr>
        <w:lastRenderedPageBreak/>
        <w:t>I</w:t>
      </w:r>
      <w:r w:rsidR="00121C7C">
        <w:rPr>
          <w:rFonts w:ascii="Times New Roman" w:hAnsi="Times New Roman"/>
          <w:sz w:val="24"/>
          <w:szCs w:val="24"/>
        </w:rPr>
        <w:t> </w:t>
      </w:r>
      <w:r w:rsidRPr="00AA7E7D">
        <w:rPr>
          <w:rFonts w:ascii="Times New Roman" w:hAnsi="Times New Roman"/>
          <w:sz w:val="24"/>
          <w:szCs w:val="24"/>
        </w:rPr>
        <w:t xml:space="preserve">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substantial evidence, that </w:t>
      </w:r>
      <w:r w:rsidR="00121C7C">
        <w:rPr>
          <w:rFonts w:ascii="Times New Roman" w:hAnsi="Times New Roman"/>
          <w:sz w:val="24"/>
          <w:szCs w:val="24"/>
        </w:rPr>
        <w:t>s</w:t>
      </w:r>
      <w:r w:rsidRPr="00AA7E7D">
        <w:rPr>
          <w:rFonts w:ascii="Times New Roman" w:hAnsi="Times New Roman"/>
          <w:sz w:val="24"/>
          <w:szCs w:val="24"/>
        </w:rPr>
        <w:t>he is entitled to relief because Respondent has violated the Public Utility Code, a Commission order or regulation, or a Commission-approved tariff of the Company concerning the service provided to h</w:t>
      </w:r>
      <w:r w:rsidR="00121C7C">
        <w:rPr>
          <w:rFonts w:ascii="Times New Roman" w:hAnsi="Times New Roman"/>
          <w:sz w:val="24"/>
          <w:szCs w:val="24"/>
        </w:rPr>
        <w:t>er</w:t>
      </w:r>
      <w:r w:rsidRPr="00AA7E7D">
        <w:rPr>
          <w:rFonts w:ascii="Times New Roman" w:hAnsi="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7775C2" w:rsidRDefault="007775C2" w:rsidP="007775C2">
      <w:pPr>
        <w:spacing w:after="0" w:line="360" w:lineRule="auto"/>
        <w:rPr>
          <w:rFonts w:ascii="Times New Roman" w:hAnsi="Times New Roman"/>
          <w:sz w:val="24"/>
          <w:szCs w:val="24"/>
          <w:u w:val="single"/>
        </w:rPr>
      </w:pPr>
    </w:p>
    <w:p w:rsidR="007775C2" w:rsidRPr="00AA7E7D" w:rsidRDefault="007775C2" w:rsidP="007775C2">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t>ORDER</w:t>
      </w:r>
    </w:p>
    <w:p w:rsidR="007775C2" w:rsidRPr="00AA7E7D" w:rsidRDefault="007775C2" w:rsidP="007775C2">
      <w:pPr>
        <w:spacing w:after="0" w:line="360" w:lineRule="auto"/>
        <w:jc w:val="center"/>
        <w:rPr>
          <w:rFonts w:ascii="Times New Roman" w:hAnsi="Times New Roman"/>
          <w:sz w:val="24"/>
          <w:szCs w:val="24"/>
        </w:rPr>
      </w:pPr>
    </w:p>
    <w:p w:rsidR="007775C2" w:rsidRPr="00AA7E7D" w:rsidRDefault="007775C2" w:rsidP="007775C2">
      <w:pPr>
        <w:spacing w:after="0" w:line="360" w:lineRule="auto"/>
        <w:ind w:firstLine="720"/>
        <w:rPr>
          <w:rFonts w:ascii="Times New Roman" w:hAnsi="Times New Roman"/>
          <w:sz w:val="24"/>
          <w:szCs w:val="24"/>
        </w:rPr>
      </w:pPr>
    </w:p>
    <w:p w:rsidR="007775C2" w:rsidRPr="00AA7E7D" w:rsidRDefault="007775C2" w:rsidP="007775C2">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7775C2" w:rsidRPr="00AA7E7D" w:rsidRDefault="007775C2" w:rsidP="007775C2">
      <w:pPr>
        <w:spacing w:after="0" w:line="360" w:lineRule="auto"/>
        <w:ind w:firstLine="720"/>
        <w:rPr>
          <w:rFonts w:ascii="Times New Roman" w:hAnsi="Times New Roman"/>
          <w:sz w:val="24"/>
          <w:szCs w:val="24"/>
        </w:rPr>
      </w:pPr>
    </w:p>
    <w:p w:rsidR="007775C2" w:rsidRDefault="007775C2" w:rsidP="007775C2">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7775C2" w:rsidRPr="00AA7E7D" w:rsidRDefault="007775C2" w:rsidP="007775C2">
      <w:pPr>
        <w:spacing w:after="0" w:line="360" w:lineRule="auto"/>
        <w:ind w:left="720" w:firstLine="720"/>
        <w:rPr>
          <w:rFonts w:ascii="Times New Roman" w:hAnsi="Times New Roman"/>
          <w:sz w:val="24"/>
          <w:szCs w:val="24"/>
        </w:rPr>
      </w:pPr>
    </w:p>
    <w:p w:rsidR="007775C2" w:rsidRPr="002D2472" w:rsidRDefault="007775C2" w:rsidP="00484353">
      <w:pPr>
        <w:pStyle w:val="Style"/>
        <w:widowControl/>
        <w:spacing w:line="360" w:lineRule="auto"/>
        <w:ind w:firstLine="1440"/>
        <w:rPr>
          <w:color w:val="000000"/>
        </w:rPr>
      </w:pPr>
      <w:r w:rsidRPr="002D2472">
        <w:rPr>
          <w:color w:val="000000"/>
        </w:rPr>
        <w:t xml:space="preserve">That the preliminary objections filed by Duquesne Light Company in the above-captioned proceeding at Docket No. </w:t>
      </w:r>
      <w:r w:rsidRPr="00AA7E7D">
        <w:t>C-2018-300</w:t>
      </w:r>
      <w:r w:rsidR="002D2472">
        <w:t>2620 are denied.</w:t>
      </w:r>
      <w:r w:rsidRPr="002D2472">
        <w:rPr>
          <w:color w:val="000000"/>
        </w:rPr>
        <w:t xml:space="preserve">  </w:t>
      </w:r>
    </w:p>
    <w:p w:rsidR="007775C2" w:rsidRPr="00AA7E7D" w:rsidRDefault="007775C2" w:rsidP="007775C2">
      <w:pPr>
        <w:pStyle w:val="Style"/>
        <w:widowControl/>
        <w:spacing w:line="360" w:lineRule="auto"/>
        <w:ind w:left="1440"/>
        <w:rPr>
          <w:color w:val="000000"/>
        </w:rPr>
      </w:pPr>
    </w:p>
    <w:p w:rsidR="007775C2" w:rsidRDefault="007775C2" w:rsidP="007775C2">
      <w:pPr>
        <w:pStyle w:val="Style"/>
        <w:widowControl/>
        <w:ind w:left="1440"/>
        <w:rPr>
          <w:color w:val="000000"/>
        </w:rPr>
      </w:pPr>
    </w:p>
    <w:p w:rsidR="007775C2" w:rsidRPr="00AA7E7D" w:rsidRDefault="007775C2" w:rsidP="007775C2">
      <w:pPr>
        <w:pStyle w:val="Style"/>
        <w:widowControl/>
        <w:spacing w:line="360" w:lineRule="auto"/>
        <w:ind w:left="1440"/>
        <w:rPr>
          <w:color w:val="000000"/>
        </w:rPr>
      </w:pPr>
    </w:p>
    <w:p w:rsidR="007775C2" w:rsidRPr="00AA7E7D" w:rsidRDefault="007775C2" w:rsidP="007775C2">
      <w:pPr>
        <w:pStyle w:val="Style"/>
        <w:widowControl/>
        <w:tabs>
          <w:tab w:val="left" w:pos="1570"/>
          <w:tab w:val="left" w:pos="2290"/>
        </w:tabs>
        <w:rPr>
          <w:color w:val="000000"/>
          <w:u w:val="single"/>
        </w:rPr>
      </w:pPr>
      <w:r w:rsidRPr="00AA7E7D">
        <w:rPr>
          <w:color w:val="000000"/>
        </w:rPr>
        <w:t xml:space="preserve">Date:  </w:t>
      </w:r>
      <w:r w:rsidR="00484353" w:rsidRPr="00484353">
        <w:rPr>
          <w:color w:val="000000"/>
          <w:u w:val="single"/>
        </w:rPr>
        <w:t>October 1, 2018</w:t>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00484353">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7775C2" w:rsidRPr="00AA7E7D" w:rsidRDefault="007775C2" w:rsidP="007775C2">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7775C2" w:rsidRDefault="007775C2" w:rsidP="007775C2">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7775C2" w:rsidRDefault="007775C2" w:rsidP="007775C2">
      <w:pPr>
        <w:rPr>
          <w:rFonts w:ascii="Times New Roman" w:eastAsia="Times New Roman" w:hAnsi="Times New Roman"/>
          <w:color w:val="000000"/>
          <w:sz w:val="24"/>
          <w:szCs w:val="24"/>
        </w:rPr>
      </w:pPr>
      <w:r>
        <w:rPr>
          <w:color w:val="000000"/>
        </w:rPr>
        <w:br w:type="page"/>
      </w:r>
    </w:p>
    <w:p w:rsidR="009B542D" w:rsidRDefault="009B542D" w:rsidP="009B542D">
      <w:pPr>
        <w:rPr>
          <w:rFonts w:ascii="Microsoft Sans Serif" w:eastAsia="Microsoft Sans Serif" w:hAnsi="Microsoft Sans Serif" w:cs="Microsoft Sans Serif"/>
          <w:b/>
          <w:sz w:val="24"/>
          <w:u w:val="single"/>
        </w:rPr>
        <w:sectPr w:rsidR="009B542D" w:rsidSect="0094705F">
          <w:footerReference w:type="default" r:id="rId7"/>
          <w:pgSz w:w="12240" w:h="15840"/>
          <w:pgMar w:top="1440" w:right="1440" w:bottom="1440" w:left="1440" w:header="720" w:footer="720" w:gutter="0"/>
          <w:cols w:space="720"/>
          <w:titlePg/>
          <w:docGrid w:linePitch="360"/>
        </w:sectPr>
      </w:pPr>
    </w:p>
    <w:p w:rsidR="009B542D" w:rsidRDefault="009B542D" w:rsidP="009B542D">
      <w:r>
        <w:rPr>
          <w:rFonts w:ascii="Microsoft Sans Serif" w:eastAsia="Microsoft Sans Serif" w:hAnsi="Microsoft Sans Serif" w:cs="Microsoft Sans Serif"/>
          <w:b/>
          <w:sz w:val="24"/>
          <w:u w:val="single"/>
        </w:rPr>
        <w:lastRenderedPageBreak/>
        <w:t>C-2018-3002620 - KATHRINE HUBEL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KATHRINE E HUBEL</w:t>
      </w:r>
      <w:r>
        <w:rPr>
          <w:rFonts w:ascii="Microsoft Sans Serif" w:eastAsia="Microsoft Sans Serif" w:hAnsi="Microsoft Sans Serif" w:cs="Microsoft Sans Serif"/>
          <w:sz w:val="24"/>
        </w:rPr>
        <w:cr/>
        <w:t>611 EDGEWOOD RD</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sidRPr="0022181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412.594.3938</w:t>
      </w:r>
      <w:r w:rsidRPr="0022181E">
        <w:rPr>
          <w:rFonts w:ascii="Microsoft Sans Serif" w:eastAsia="Microsoft Sans Serif" w:hAnsi="Microsoft Sans Serif" w:cs="Microsoft Sans Serif"/>
          <w:b/>
          <w:sz w:val="24"/>
        </w:rPr>
        <w:cr/>
      </w:r>
      <w:r w:rsidRPr="0022181E">
        <w:rPr>
          <w:rFonts w:ascii="Microsoft Sans Serif" w:eastAsia="Microsoft Sans Serif" w:hAnsi="Microsoft Sans Serif" w:cs="Microsoft Sans Serif"/>
          <w:b/>
          <w:i/>
          <w:u w:val="single"/>
        </w:rPr>
        <w:t>ACCEPTS E-SERVICE</w:t>
      </w:r>
    </w:p>
    <w:p w:rsidR="009B542D" w:rsidRDefault="009B542D" w:rsidP="009B542D"/>
    <w:p w:rsidR="00DC28A6" w:rsidRDefault="00C413A2"/>
    <w:sectPr w:rsidR="00DC28A6" w:rsidSect="0094705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F05" w:rsidRDefault="00574F05" w:rsidP="007775C2">
      <w:pPr>
        <w:spacing w:after="0" w:line="240" w:lineRule="auto"/>
      </w:pPr>
      <w:r>
        <w:separator/>
      </w:r>
    </w:p>
  </w:endnote>
  <w:endnote w:type="continuationSeparator" w:id="0">
    <w:p w:rsidR="00574F05" w:rsidRDefault="00574F05" w:rsidP="007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071102"/>
      <w:docPartObj>
        <w:docPartGallery w:val="Page Numbers (Bottom of Page)"/>
        <w:docPartUnique/>
      </w:docPartObj>
    </w:sdtPr>
    <w:sdtEndPr>
      <w:rPr>
        <w:rFonts w:ascii="Times New Roman" w:hAnsi="Times New Roman"/>
        <w:noProof/>
        <w:sz w:val="24"/>
        <w:szCs w:val="24"/>
      </w:rPr>
    </w:sdtEndPr>
    <w:sdtContent>
      <w:p w:rsidR="0094705F" w:rsidRPr="0094705F" w:rsidRDefault="0094705F">
        <w:pPr>
          <w:pStyle w:val="Footer"/>
          <w:jc w:val="center"/>
          <w:rPr>
            <w:rFonts w:ascii="Times New Roman" w:hAnsi="Times New Roman"/>
            <w:sz w:val="24"/>
            <w:szCs w:val="24"/>
          </w:rPr>
        </w:pPr>
        <w:r w:rsidRPr="0094705F">
          <w:rPr>
            <w:rFonts w:ascii="Times New Roman" w:hAnsi="Times New Roman"/>
            <w:sz w:val="24"/>
            <w:szCs w:val="24"/>
          </w:rPr>
          <w:fldChar w:fldCharType="begin"/>
        </w:r>
        <w:r w:rsidRPr="0094705F">
          <w:rPr>
            <w:rFonts w:ascii="Times New Roman" w:hAnsi="Times New Roman"/>
            <w:sz w:val="24"/>
            <w:szCs w:val="24"/>
          </w:rPr>
          <w:instrText xml:space="preserve"> PAGE   \* MERGEFORMAT </w:instrText>
        </w:r>
        <w:r w:rsidRPr="0094705F">
          <w:rPr>
            <w:rFonts w:ascii="Times New Roman" w:hAnsi="Times New Roman"/>
            <w:sz w:val="24"/>
            <w:szCs w:val="24"/>
          </w:rPr>
          <w:fldChar w:fldCharType="separate"/>
        </w:r>
        <w:r w:rsidRPr="0094705F">
          <w:rPr>
            <w:rFonts w:ascii="Times New Roman" w:hAnsi="Times New Roman"/>
            <w:noProof/>
            <w:sz w:val="24"/>
            <w:szCs w:val="24"/>
          </w:rPr>
          <w:t>2</w:t>
        </w:r>
        <w:r w:rsidRPr="0094705F">
          <w:rPr>
            <w:rFonts w:ascii="Times New Roman" w:hAnsi="Times New Roman"/>
            <w:noProof/>
            <w:sz w:val="24"/>
            <w:szCs w:val="24"/>
          </w:rPr>
          <w:fldChar w:fldCharType="end"/>
        </w:r>
      </w:p>
    </w:sdtContent>
  </w:sdt>
  <w:p w:rsidR="0094705F" w:rsidRDefault="00947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F05" w:rsidRDefault="00574F05" w:rsidP="007775C2">
      <w:pPr>
        <w:spacing w:after="0" w:line="240" w:lineRule="auto"/>
      </w:pPr>
      <w:r>
        <w:separator/>
      </w:r>
    </w:p>
  </w:footnote>
  <w:footnote w:type="continuationSeparator" w:id="0">
    <w:p w:rsidR="00574F05" w:rsidRDefault="00574F05" w:rsidP="007775C2">
      <w:pPr>
        <w:spacing w:after="0" w:line="240" w:lineRule="auto"/>
      </w:pPr>
      <w:r>
        <w:continuationSeparator/>
      </w:r>
    </w:p>
  </w:footnote>
  <w:footnote w:id="1">
    <w:p w:rsidR="007775C2" w:rsidRDefault="007775C2" w:rsidP="007775C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C2"/>
    <w:rsid w:val="000123D3"/>
    <w:rsid w:val="00121C7C"/>
    <w:rsid w:val="0019628B"/>
    <w:rsid w:val="002028C8"/>
    <w:rsid w:val="00296F73"/>
    <w:rsid w:val="002D2472"/>
    <w:rsid w:val="00346F51"/>
    <w:rsid w:val="00484353"/>
    <w:rsid w:val="00574F05"/>
    <w:rsid w:val="005809B4"/>
    <w:rsid w:val="005A4251"/>
    <w:rsid w:val="007775C2"/>
    <w:rsid w:val="007B5C79"/>
    <w:rsid w:val="007E0E15"/>
    <w:rsid w:val="0080221E"/>
    <w:rsid w:val="0094705F"/>
    <w:rsid w:val="009B01C3"/>
    <w:rsid w:val="009B542D"/>
    <w:rsid w:val="00BC4FBE"/>
    <w:rsid w:val="00C413A2"/>
    <w:rsid w:val="00CC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B6D5-30FC-4856-8239-758714D8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5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7775C2"/>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7775C2"/>
    <w:rPr>
      <w:sz w:val="20"/>
      <w:szCs w:val="20"/>
    </w:rPr>
  </w:style>
  <w:style w:type="character" w:customStyle="1" w:styleId="FootnoteTextChar1">
    <w:name w:val="Footnote Text Char1"/>
    <w:basedOn w:val="DefaultParagraphFont"/>
    <w:uiPriority w:val="99"/>
    <w:semiHidden/>
    <w:rsid w:val="007775C2"/>
    <w:rPr>
      <w:rFonts w:ascii="Calibri" w:eastAsia="Calibri" w:hAnsi="Calibri" w:cs="Times New Roman"/>
      <w:sz w:val="20"/>
      <w:szCs w:val="20"/>
    </w:rPr>
  </w:style>
  <w:style w:type="paragraph" w:customStyle="1" w:styleId="Style">
    <w:name w:val="Style"/>
    <w:rsid w:val="00777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7775C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7775C2"/>
    <w:rPr>
      <w:vertAlign w:val="superscript"/>
    </w:rPr>
  </w:style>
  <w:style w:type="paragraph" w:styleId="Header">
    <w:name w:val="header"/>
    <w:basedOn w:val="Normal"/>
    <w:link w:val="HeaderChar"/>
    <w:uiPriority w:val="99"/>
    <w:unhideWhenUsed/>
    <w:rsid w:val="00947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5F"/>
    <w:rPr>
      <w:rFonts w:ascii="Calibri" w:eastAsia="Calibri" w:hAnsi="Calibri" w:cs="Times New Roman"/>
    </w:rPr>
  </w:style>
  <w:style w:type="paragraph" w:styleId="Footer">
    <w:name w:val="footer"/>
    <w:basedOn w:val="Normal"/>
    <w:link w:val="FooterChar"/>
    <w:uiPriority w:val="99"/>
    <w:unhideWhenUsed/>
    <w:rsid w:val="00947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2018-10-01T18:16:00Z</cp:lastPrinted>
  <dcterms:created xsi:type="dcterms:W3CDTF">2018-10-01T17:26:00Z</dcterms:created>
  <dcterms:modified xsi:type="dcterms:W3CDTF">2018-10-01T18:50:00Z</dcterms:modified>
</cp:coreProperties>
</file>