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123" w:rsidRPr="00D94D4F" w:rsidRDefault="00A34123" w:rsidP="00A34123">
      <w:pPr>
        <w:jc w:val="center"/>
        <w:rPr>
          <w:b/>
        </w:rPr>
      </w:pPr>
      <w:r>
        <w:rPr>
          <w:rFonts w:cs="Times New Roman"/>
          <w:b/>
        </w:rPr>
        <w:br/>
      </w:r>
      <w:r w:rsidRPr="00D94D4F">
        <w:rPr>
          <w:b/>
        </w:rPr>
        <w:t>BEFORE THE</w:t>
      </w:r>
    </w:p>
    <w:p w:rsidR="00A34123" w:rsidRPr="00D94D4F" w:rsidRDefault="00A34123" w:rsidP="00A34123">
      <w:pPr>
        <w:jc w:val="center"/>
        <w:rPr>
          <w:b/>
        </w:rPr>
      </w:pPr>
      <w:r w:rsidRPr="00D94D4F">
        <w:rPr>
          <w:b/>
        </w:rPr>
        <w:t>PENNSYLVANIA PUBLIC UTILITY COMMISSION</w:t>
      </w:r>
    </w:p>
    <w:p w:rsidR="00A34123" w:rsidRPr="00D94D4F" w:rsidRDefault="00A34123" w:rsidP="00A34123"/>
    <w:p w:rsidR="00A34123" w:rsidRPr="00D94D4F" w:rsidRDefault="00A34123" w:rsidP="00A34123"/>
    <w:tbl>
      <w:tblPr>
        <w:tblW w:w="2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714"/>
        <w:gridCol w:w="4326"/>
        <w:gridCol w:w="4326"/>
        <w:gridCol w:w="532"/>
        <w:gridCol w:w="4502"/>
      </w:tblGrid>
      <w:tr w:rsidR="00A34123" w:rsidRPr="00D94D4F" w:rsidTr="003C4317">
        <w:tc>
          <w:tcPr>
            <w:tcW w:w="5940" w:type="dxa"/>
            <w:tcBorders>
              <w:top w:val="nil"/>
              <w:left w:val="nil"/>
              <w:bottom w:val="nil"/>
              <w:right w:val="nil"/>
            </w:tcBorders>
          </w:tcPr>
          <w:p w:rsidR="00A34123" w:rsidRDefault="00A34123" w:rsidP="003C4317">
            <w:pPr>
              <w:ind w:right="162"/>
              <w:jc w:val="both"/>
              <w:rPr>
                <w:bCs/>
              </w:rPr>
            </w:pPr>
            <w:r w:rsidRPr="0085190B">
              <w:rPr>
                <w:bCs/>
              </w:rPr>
              <w:t>In re:  Application and related filings of Pennsylvania-American Water Company under Sections 507, 1102(a), and 1329 of the Pennsylvania Public Utility Code, 66 Pa. C.S. §§ 507, 1102(a), 1329, for approval of its acquisition of wastewater system assets of Sadsbury Township, related wastewater service rights, fair market valuation ratemaking treatment, deferral of the post-acquisition improvement costs, and certain contracts with municipal corporations</w:t>
            </w:r>
          </w:p>
        </w:tc>
        <w:tc>
          <w:tcPr>
            <w:tcW w:w="714" w:type="dxa"/>
            <w:tcBorders>
              <w:top w:val="nil"/>
              <w:left w:val="nil"/>
              <w:bottom w:val="nil"/>
              <w:right w:val="nil"/>
            </w:tcBorders>
          </w:tcPr>
          <w:p w:rsidR="00A34123" w:rsidRDefault="00A34123" w:rsidP="003C4317">
            <w:pPr>
              <w:rPr>
                <w:bCs/>
              </w:rPr>
            </w:pPr>
            <w:r>
              <w:rPr>
                <w:bCs/>
              </w:rPr>
              <w:t>:</w:t>
            </w:r>
            <w:r>
              <w:rPr>
                <w:bCs/>
              </w:rPr>
              <w:br/>
              <w:t>:</w:t>
            </w:r>
            <w:r>
              <w:rPr>
                <w:bCs/>
              </w:rPr>
              <w:br/>
              <w:t>:</w:t>
            </w:r>
            <w:r>
              <w:rPr>
                <w:bCs/>
              </w:rPr>
              <w:br/>
              <w:t>:</w:t>
            </w:r>
            <w:r>
              <w:rPr>
                <w:bCs/>
              </w:rPr>
              <w:br/>
              <w:t>:</w:t>
            </w:r>
            <w:r>
              <w:rPr>
                <w:bCs/>
              </w:rPr>
              <w:br/>
              <w:t>:</w:t>
            </w:r>
            <w:r>
              <w:rPr>
                <w:bCs/>
              </w:rPr>
              <w:br/>
              <w:t>:</w:t>
            </w:r>
          </w:p>
          <w:p w:rsidR="00A34123" w:rsidRDefault="00A34123" w:rsidP="003C4317">
            <w:pPr>
              <w:rPr>
                <w:bCs/>
              </w:rPr>
            </w:pPr>
            <w:r>
              <w:rPr>
                <w:bCs/>
              </w:rPr>
              <w:t>:</w:t>
            </w:r>
            <w:r>
              <w:rPr>
                <w:bCs/>
              </w:rPr>
              <w:br/>
              <w:t>:</w:t>
            </w:r>
          </w:p>
          <w:p w:rsidR="00A34123" w:rsidRDefault="00A34123" w:rsidP="003C4317">
            <w:pPr>
              <w:rPr>
                <w:bCs/>
              </w:rPr>
            </w:pPr>
          </w:p>
        </w:tc>
        <w:tc>
          <w:tcPr>
            <w:tcW w:w="4326" w:type="dxa"/>
            <w:tcBorders>
              <w:top w:val="nil"/>
              <w:left w:val="nil"/>
              <w:bottom w:val="nil"/>
              <w:right w:val="nil"/>
            </w:tcBorders>
          </w:tcPr>
          <w:p w:rsidR="00A34123" w:rsidRDefault="00A34123" w:rsidP="003C4317">
            <w:pPr>
              <w:rPr>
                <w:bCs/>
              </w:rPr>
            </w:pPr>
          </w:p>
          <w:p w:rsidR="00A34123" w:rsidRDefault="00A34123" w:rsidP="003C4317">
            <w:pPr>
              <w:rPr>
                <w:bCs/>
              </w:rPr>
            </w:pPr>
            <w:r>
              <w:rPr>
                <w:bCs/>
              </w:rPr>
              <w:t>Docket No. A-2018-3002437</w:t>
            </w:r>
          </w:p>
          <w:p w:rsidR="00A34123" w:rsidRDefault="00A34123" w:rsidP="003C4317">
            <w:pPr>
              <w:rPr>
                <w:bCs/>
              </w:rPr>
            </w:pPr>
          </w:p>
          <w:p w:rsidR="00A34123" w:rsidRDefault="00A34123" w:rsidP="003C4317">
            <w:pPr>
              <w:rPr>
                <w:bCs/>
              </w:rPr>
            </w:pPr>
          </w:p>
        </w:tc>
        <w:tc>
          <w:tcPr>
            <w:tcW w:w="4326" w:type="dxa"/>
            <w:tcBorders>
              <w:top w:val="nil"/>
              <w:left w:val="nil"/>
              <w:bottom w:val="nil"/>
              <w:right w:val="nil"/>
            </w:tcBorders>
            <w:shd w:val="clear" w:color="auto" w:fill="auto"/>
          </w:tcPr>
          <w:p w:rsidR="00A34123" w:rsidRPr="00D94D4F" w:rsidRDefault="00A34123" w:rsidP="003C4317"/>
        </w:tc>
        <w:tc>
          <w:tcPr>
            <w:tcW w:w="532" w:type="dxa"/>
            <w:tcBorders>
              <w:top w:val="nil"/>
              <w:left w:val="nil"/>
              <w:bottom w:val="nil"/>
              <w:right w:val="nil"/>
            </w:tcBorders>
            <w:shd w:val="clear" w:color="auto" w:fill="auto"/>
          </w:tcPr>
          <w:p w:rsidR="00A34123" w:rsidRPr="00D94D4F" w:rsidRDefault="00A34123" w:rsidP="003C4317">
            <w:pPr>
              <w:jc w:val="center"/>
              <w:rPr>
                <w:b/>
              </w:rPr>
            </w:pPr>
          </w:p>
        </w:tc>
        <w:tc>
          <w:tcPr>
            <w:tcW w:w="4502" w:type="dxa"/>
            <w:tcBorders>
              <w:top w:val="nil"/>
              <w:left w:val="nil"/>
              <w:bottom w:val="nil"/>
              <w:right w:val="nil"/>
            </w:tcBorders>
            <w:shd w:val="clear" w:color="auto" w:fill="auto"/>
          </w:tcPr>
          <w:p w:rsidR="00A34123" w:rsidRPr="00D94D4F" w:rsidRDefault="00A34123" w:rsidP="003C4317">
            <w:pPr>
              <w:tabs>
                <w:tab w:val="left" w:pos="1422"/>
              </w:tabs>
              <w:jc w:val="right"/>
            </w:pPr>
          </w:p>
        </w:tc>
      </w:tr>
    </w:tbl>
    <w:p w:rsidR="00A34123" w:rsidRPr="00D94D4F" w:rsidRDefault="00A34123" w:rsidP="00A34123">
      <w:pPr>
        <w:jc w:val="both"/>
      </w:pPr>
    </w:p>
    <w:p w:rsidR="00A34123" w:rsidRPr="00D94D4F" w:rsidRDefault="00A34123" w:rsidP="00A34123">
      <w:pPr>
        <w:jc w:val="both"/>
      </w:pPr>
    </w:p>
    <w:p w:rsidR="00A34123" w:rsidRPr="00D94D4F" w:rsidRDefault="00A34123" w:rsidP="00A34123">
      <w:pPr>
        <w:jc w:val="center"/>
        <w:rPr>
          <w:b/>
          <w:u w:val="single"/>
        </w:rPr>
      </w:pPr>
      <w:r w:rsidRPr="00D94D4F">
        <w:rPr>
          <w:b/>
          <w:u w:val="single"/>
        </w:rPr>
        <w:t>ORDER GRANTING JOINT STIPULATION</w:t>
      </w:r>
    </w:p>
    <w:p w:rsidR="00A34123" w:rsidRPr="00D94D4F" w:rsidRDefault="00A34123" w:rsidP="00A34123">
      <w:pPr>
        <w:jc w:val="center"/>
        <w:rPr>
          <w:u w:val="single"/>
        </w:rPr>
      </w:pPr>
      <w:r w:rsidRPr="00D94D4F">
        <w:rPr>
          <w:b/>
          <w:u w:val="single"/>
        </w:rPr>
        <w:t>FOR ADMISSION OF EVIDENCE</w:t>
      </w:r>
    </w:p>
    <w:p w:rsidR="00A34123" w:rsidRPr="00D94D4F" w:rsidRDefault="00A34123" w:rsidP="00A34123">
      <w:pPr>
        <w:jc w:val="center"/>
        <w:rPr>
          <w:u w:val="single"/>
        </w:rPr>
      </w:pPr>
    </w:p>
    <w:p w:rsidR="00A34123" w:rsidRPr="00D94D4F" w:rsidRDefault="00A34123" w:rsidP="00A34123">
      <w:pPr>
        <w:jc w:val="center"/>
        <w:rPr>
          <w:u w:val="single"/>
        </w:rPr>
      </w:pPr>
    </w:p>
    <w:p w:rsidR="00A34123" w:rsidRPr="00D94D4F" w:rsidRDefault="00A34123" w:rsidP="00A34123">
      <w:pPr>
        <w:spacing w:line="480" w:lineRule="auto"/>
        <w:ind w:firstLine="720"/>
        <w:jc w:val="both"/>
      </w:pPr>
      <w:r w:rsidRPr="00D94D4F">
        <w:t xml:space="preserve">On </w:t>
      </w:r>
      <w:r>
        <w:t xml:space="preserve">September </w:t>
      </w:r>
      <w:r w:rsidRPr="007A3584">
        <w:t>14, 2018</w:t>
      </w:r>
      <w:r>
        <w:t>,</w:t>
      </w:r>
      <w:r w:rsidRPr="00D94D4F">
        <w:t xml:space="preserve"> Pennsylvania</w:t>
      </w:r>
      <w:r>
        <w:t>-American Water</w:t>
      </w:r>
      <w:r w:rsidRPr="00D94D4F">
        <w:t xml:space="preserve"> </w:t>
      </w:r>
      <w:r>
        <w:t>Company</w:t>
      </w:r>
      <w:r w:rsidRPr="00D94D4F">
        <w:t>, the Office of Consumer Advocate, the Pennsylvania Public Utility Commission’s Bureau of Investigation &amp; Enforcement</w:t>
      </w:r>
      <w:r>
        <w:t>, and Sadsbury Township</w:t>
      </w:r>
      <w:r w:rsidRPr="00D94D4F">
        <w:t xml:space="preserve"> (collectively, the “Stipulating Parties”) filed a Joint Stipulation for Admission of Evidence (“Stipulation”) in the above-captioned proceeding.  Each of the Stipulating Parties stipulated to the authenticity of the </w:t>
      </w:r>
      <w:r>
        <w:t>statements</w:t>
      </w:r>
      <w:r w:rsidRPr="00D94D4F">
        <w:t xml:space="preserve"> and exhibits listed in the Stipulation </w:t>
      </w:r>
      <w:r>
        <w:t xml:space="preserve">(attached) </w:t>
      </w:r>
      <w:r w:rsidRPr="00D94D4F">
        <w:t>and requested that they be admitted into the record of this proceeding on the terms and conditions set forth in the Stipulation.  Certain filings contain information marked as “Confidential.”  The Stipulating Parties requested that such materials be placed in non-public folders by the Secretary’s Bureau.  The Stipulation is attached to this Order.</w:t>
      </w:r>
    </w:p>
    <w:p w:rsidR="00A34123" w:rsidRPr="00D94D4F" w:rsidRDefault="00A34123" w:rsidP="00A34123">
      <w:pPr>
        <w:spacing w:line="480" w:lineRule="auto"/>
        <w:ind w:firstLine="720"/>
        <w:jc w:val="both"/>
      </w:pPr>
      <w:r w:rsidRPr="00D94D4F">
        <w:t>As this request is reasonable, it will be granted.</w:t>
      </w:r>
    </w:p>
    <w:p w:rsidR="00A34123" w:rsidRPr="00D94D4F" w:rsidRDefault="00A34123" w:rsidP="00A34123">
      <w:pPr>
        <w:spacing w:line="480" w:lineRule="auto"/>
        <w:ind w:firstLine="720"/>
        <w:jc w:val="both"/>
      </w:pPr>
      <w:r w:rsidRPr="00D94D4F">
        <w:t>THEREFORE, IT IS ORDERED:</w:t>
      </w:r>
    </w:p>
    <w:p w:rsidR="00A34123" w:rsidRPr="00371A9F" w:rsidRDefault="00A34123" w:rsidP="00A34123">
      <w:pPr>
        <w:pStyle w:val="Heading3"/>
        <w:numPr>
          <w:ilvl w:val="2"/>
          <w:numId w:val="36"/>
        </w:numPr>
        <w:tabs>
          <w:tab w:val="clear" w:pos="2160"/>
          <w:tab w:val="num" w:pos="1440"/>
        </w:tabs>
        <w:spacing w:before="0" w:after="240"/>
        <w:ind w:hanging="1440"/>
        <w:jc w:val="both"/>
      </w:pPr>
      <w:r w:rsidRPr="00371A9F">
        <w:t xml:space="preserve">That the Stipulation, filed on </w:t>
      </w:r>
      <w:r w:rsidRPr="007A3584">
        <w:t>September 14, 2018</w:t>
      </w:r>
      <w:r w:rsidRPr="00371A9F">
        <w:t xml:space="preserve">, is APPROVED; </w:t>
      </w:r>
    </w:p>
    <w:p w:rsidR="00A34123" w:rsidRPr="00D94D4F" w:rsidRDefault="00A34123" w:rsidP="00A34123">
      <w:pPr>
        <w:spacing w:line="480" w:lineRule="auto"/>
        <w:ind w:firstLine="720"/>
        <w:jc w:val="both"/>
      </w:pPr>
      <w:r w:rsidRPr="00D94D4F">
        <w:lastRenderedPageBreak/>
        <w:t>2.</w:t>
      </w:r>
      <w:r w:rsidRPr="00D94D4F">
        <w:tab/>
      </w:r>
      <w:r>
        <w:t xml:space="preserve">The </w:t>
      </w:r>
      <w:r w:rsidRPr="00D94D4F">
        <w:t>statements, and exhibits listed therein are admitted into the record of this proceeding on the terms and conditions set forth in the Stipulation;</w:t>
      </w:r>
    </w:p>
    <w:p w:rsidR="00A34123" w:rsidRPr="00D94D4F" w:rsidRDefault="00A34123" w:rsidP="00A34123">
      <w:pPr>
        <w:spacing w:line="480" w:lineRule="auto"/>
        <w:ind w:firstLine="720"/>
        <w:jc w:val="both"/>
      </w:pPr>
      <w:r w:rsidRPr="00D94D4F">
        <w:t>3.</w:t>
      </w:r>
      <w:r w:rsidRPr="00D94D4F">
        <w:tab/>
        <w:t>That two copies of each filing, statement, and exhibit listed in the Stipulation be filed with the Secretary’s Bureau of the Commission, unless previously filed; and,</w:t>
      </w:r>
    </w:p>
    <w:p w:rsidR="00A34123" w:rsidRPr="00D94D4F" w:rsidRDefault="00A34123" w:rsidP="00A34123">
      <w:pPr>
        <w:spacing w:line="480" w:lineRule="auto"/>
        <w:ind w:firstLine="720"/>
        <w:jc w:val="both"/>
      </w:pPr>
      <w:r w:rsidRPr="00D94D4F">
        <w:t>4.</w:t>
      </w:r>
      <w:r w:rsidRPr="00D94D4F">
        <w:tab/>
        <w:t>That all filings designated as “Confidential” be placed in non-public folders by the Secretary’s Bureau of the Commission.</w:t>
      </w:r>
    </w:p>
    <w:p w:rsidR="00A34123" w:rsidRPr="00D94D4F" w:rsidRDefault="00A34123" w:rsidP="00A34123">
      <w:pPr>
        <w:spacing w:line="480" w:lineRule="auto"/>
        <w:jc w:val="both"/>
      </w:pPr>
    </w:p>
    <w:p w:rsidR="00A34123" w:rsidRPr="00024785" w:rsidRDefault="00A34123" w:rsidP="00A34123">
      <w:pPr>
        <w:jc w:val="both"/>
        <w:rPr>
          <w:u w:val="single"/>
        </w:rPr>
      </w:pPr>
      <w:r w:rsidRPr="00D94D4F">
        <w:t xml:space="preserve">Date:  </w:t>
      </w:r>
      <w:r w:rsidR="00024785">
        <w:rPr>
          <w:u w:val="single"/>
        </w:rPr>
        <w:t>October 3,2018</w:t>
      </w:r>
      <w:r w:rsidRPr="00D94D4F">
        <w:tab/>
      </w:r>
      <w:r w:rsidRPr="00D94D4F">
        <w:tab/>
      </w:r>
      <w:r w:rsidR="00024785">
        <w:tab/>
      </w:r>
      <w:r w:rsidR="00024785">
        <w:tab/>
      </w:r>
      <w:r w:rsidR="00024785">
        <w:tab/>
      </w:r>
      <w:r w:rsidR="00024785">
        <w:rPr>
          <w:u w:val="single"/>
        </w:rPr>
        <w:tab/>
      </w:r>
      <w:r w:rsidR="00024785">
        <w:rPr>
          <w:u w:val="single"/>
        </w:rPr>
        <w:tab/>
        <w:t>/s/</w:t>
      </w:r>
      <w:r w:rsidR="00024785">
        <w:rPr>
          <w:u w:val="single"/>
        </w:rPr>
        <w:tab/>
      </w:r>
      <w:r w:rsidR="00024785">
        <w:rPr>
          <w:u w:val="single"/>
        </w:rPr>
        <w:tab/>
      </w:r>
      <w:r w:rsidR="00024785">
        <w:rPr>
          <w:u w:val="single"/>
        </w:rPr>
        <w:tab/>
      </w:r>
    </w:p>
    <w:p w:rsidR="00A34123" w:rsidRPr="00D94D4F" w:rsidRDefault="00A34123" w:rsidP="00A34123">
      <w:pPr>
        <w:ind w:left="5040"/>
        <w:jc w:val="both"/>
      </w:pPr>
      <w:r>
        <w:t>Darlene D. Heep</w:t>
      </w:r>
    </w:p>
    <w:p w:rsidR="00A34123" w:rsidRPr="00D94D4F" w:rsidRDefault="00A34123" w:rsidP="00A34123">
      <w:pPr>
        <w:ind w:left="5040"/>
        <w:jc w:val="both"/>
      </w:pPr>
      <w:r w:rsidRPr="00D94D4F">
        <w:t>Administrative Law Judge</w:t>
      </w:r>
    </w:p>
    <w:p w:rsidR="00A34123" w:rsidRPr="00D94D4F" w:rsidRDefault="00A34123" w:rsidP="00A34123">
      <w:pPr>
        <w:jc w:val="both"/>
      </w:pPr>
    </w:p>
    <w:p w:rsidR="00A34123" w:rsidRPr="00D94D4F" w:rsidRDefault="00A34123" w:rsidP="00A34123">
      <w:pPr>
        <w:jc w:val="both"/>
      </w:pPr>
    </w:p>
    <w:p w:rsidR="00A34123" w:rsidRDefault="00A34123" w:rsidP="00A34123">
      <w:pPr>
        <w:pStyle w:val="BodyText"/>
        <w:spacing w:before="0" w:line="480" w:lineRule="auto"/>
        <w:jc w:val="both"/>
      </w:pPr>
      <w:r>
        <w:br/>
      </w:r>
    </w:p>
    <w:p w:rsidR="00A34123" w:rsidRDefault="00A34123">
      <w:pPr>
        <w:rPr>
          <w:rFonts w:eastAsia="Times New Roman" w:cs="Times New Roman"/>
        </w:rPr>
      </w:pPr>
      <w:r>
        <w:br w:type="page"/>
      </w:r>
      <w:bookmarkStart w:id="0" w:name="_GoBack"/>
      <w:bookmarkEnd w:id="0"/>
    </w:p>
    <w:p w:rsidR="007E3654" w:rsidRDefault="007E3654" w:rsidP="007E3654">
      <w:pPr>
        <w:suppressLineNumbers/>
        <w:jc w:val="center"/>
        <w:rPr>
          <w:rFonts w:cs="Times New Roman"/>
          <w:b/>
        </w:rPr>
      </w:pPr>
      <w:r>
        <w:rPr>
          <w:rFonts w:cs="Times New Roman"/>
          <w:b/>
        </w:rPr>
        <w:lastRenderedPageBreak/>
        <w:t xml:space="preserve">BEFORE THE </w:t>
      </w:r>
    </w:p>
    <w:p w:rsidR="007E3654" w:rsidRDefault="007E3654" w:rsidP="007E3654">
      <w:pPr>
        <w:suppressLineNumbers/>
        <w:jc w:val="center"/>
        <w:rPr>
          <w:rFonts w:cs="Times New Roman"/>
          <w:b/>
        </w:rPr>
      </w:pPr>
      <w:r>
        <w:rPr>
          <w:rFonts w:cs="Times New Roman"/>
          <w:b/>
        </w:rPr>
        <w:t>PENNSYLVANIA PUBLIC UTILITY COMMISSION</w:t>
      </w:r>
    </w:p>
    <w:p w:rsidR="007E3654" w:rsidRPr="001F7364" w:rsidRDefault="007E3654" w:rsidP="007E3654">
      <w:pPr>
        <w:rPr>
          <w:rFonts w:cs="Times New Roman"/>
        </w:rPr>
      </w:pPr>
    </w:p>
    <w:p w:rsidR="007E3654" w:rsidRPr="00370F93" w:rsidRDefault="007E3654" w:rsidP="007E3654">
      <w:pPr>
        <w:jc w:val="center"/>
        <w:rPr>
          <w:rFonts w:cs="Times New Roman"/>
          <w:b/>
        </w:rPr>
      </w:pPr>
      <w:r w:rsidRPr="00370F93">
        <w:rPr>
          <w:rFonts w:cs="Times New Roman"/>
          <w:b/>
        </w:rPr>
        <w:t>_____________________________________________</w:t>
      </w:r>
    </w:p>
    <w:p w:rsidR="007E3654" w:rsidRPr="00370F93" w:rsidRDefault="007E3654" w:rsidP="007E3654">
      <w:pPr>
        <w:jc w:val="center"/>
        <w:rPr>
          <w:rFonts w:cs="Times New Roman"/>
          <w:b/>
        </w:rPr>
      </w:pPr>
    </w:p>
    <w:p w:rsidR="007E3654" w:rsidRPr="00370F93" w:rsidRDefault="007E3654" w:rsidP="007E3654">
      <w:pPr>
        <w:jc w:val="center"/>
        <w:rPr>
          <w:rFonts w:cs="Times New Roman"/>
          <w:b/>
        </w:rPr>
      </w:pPr>
      <w:r w:rsidRPr="00370F93">
        <w:rPr>
          <w:rFonts w:cs="Times New Roman"/>
          <w:b/>
        </w:rPr>
        <w:t>Administrative Law Judge Darlene D. Heep</w:t>
      </w:r>
    </w:p>
    <w:p w:rsidR="007E3654" w:rsidRPr="00370F93" w:rsidRDefault="007E3654" w:rsidP="007E3654">
      <w:pPr>
        <w:jc w:val="center"/>
        <w:rPr>
          <w:rFonts w:cs="Times New Roman"/>
          <w:b/>
        </w:rPr>
      </w:pPr>
      <w:r w:rsidRPr="00370F93">
        <w:rPr>
          <w:rFonts w:cs="Times New Roman"/>
          <w:b/>
        </w:rPr>
        <w:t>_____________________________________________</w:t>
      </w:r>
    </w:p>
    <w:p w:rsidR="007E3654" w:rsidRDefault="007E3654" w:rsidP="007E3654">
      <w:pPr>
        <w:rPr>
          <w:rFonts w:cs="Times New Roman"/>
        </w:rPr>
      </w:pPr>
    </w:p>
    <w:p w:rsidR="007E3654" w:rsidRPr="001F7364" w:rsidRDefault="007E3654" w:rsidP="007E3654">
      <w:pPr>
        <w:rPr>
          <w:rFonts w:cs="Times New Roman"/>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284"/>
        <w:gridCol w:w="3136"/>
      </w:tblGrid>
      <w:tr w:rsidR="007E3654" w:rsidTr="00AB0142">
        <w:trPr>
          <w:trHeight w:val="1593"/>
        </w:trPr>
        <w:tc>
          <w:tcPr>
            <w:tcW w:w="5850" w:type="dxa"/>
            <w:tcBorders>
              <w:top w:val="nil"/>
              <w:left w:val="nil"/>
              <w:bottom w:val="nil"/>
              <w:right w:val="nil"/>
            </w:tcBorders>
          </w:tcPr>
          <w:p w:rsidR="007E3654" w:rsidRDefault="007E3654" w:rsidP="00AB0142">
            <w:pPr>
              <w:ind w:right="162"/>
              <w:jc w:val="both"/>
              <w:rPr>
                <w:bCs/>
              </w:rPr>
            </w:pPr>
            <w:r w:rsidRPr="0085190B">
              <w:rPr>
                <w:bCs/>
              </w:rPr>
              <w:t>In re:  Application and related filings of Pennsylvania-American Water Company under Sections 507, 1102(a), and 1329 of the Pennsylvania Public Utility Code, 66 Pa. C.S. §§ 507, 1102(a), 1329, for approval of its acquisition of wastewater system assets of Sadsbury Township, related wastewater service rights, fair market valuation ratemaking treatment, deferral of the post-acquisition improvement costs, and certain contracts with municipal corporations</w:t>
            </w:r>
          </w:p>
        </w:tc>
        <w:tc>
          <w:tcPr>
            <w:tcW w:w="284" w:type="dxa"/>
            <w:tcBorders>
              <w:top w:val="nil"/>
              <w:left w:val="nil"/>
              <w:bottom w:val="nil"/>
              <w:right w:val="nil"/>
            </w:tcBorders>
            <w:hideMark/>
          </w:tcPr>
          <w:p w:rsidR="007E3654" w:rsidRDefault="007E3654" w:rsidP="00AB0142">
            <w:pPr>
              <w:rPr>
                <w:bCs/>
              </w:rPr>
            </w:pPr>
            <w:r>
              <w:rPr>
                <w:bCs/>
              </w:rPr>
              <w:t>:</w:t>
            </w:r>
            <w:r>
              <w:rPr>
                <w:bCs/>
              </w:rPr>
              <w:br/>
              <w:t>:</w:t>
            </w:r>
            <w:r>
              <w:rPr>
                <w:bCs/>
              </w:rPr>
              <w:br/>
              <w:t>:</w:t>
            </w:r>
            <w:r>
              <w:rPr>
                <w:bCs/>
              </w:rPr>
              <w:br/>
              <w:t>:</w:t>
            </w:r>
            <w:r>
              <w:rPr>
                <w:bCs/>
              </w:rPr>
              <w:br/>
              <w:t>:</w:t>
            </w:r>
            <w:r>
              <w:rPr>
                <w:bCs/>
              </w:rPr>
              <w:br/>
              <w:t>:</w:t>
            </w:r>
            <w:r>
              <w:rPr>
                <w:bCs/>
              </w:rPr>
              <w:br/>
              <w:t>:</w:t>
            </w:r>
          </w:p>
          <w:p w:rsidR="007E3654" w:rsidRDefault="007E3654" w:rsidP="00AB0142">
            <w:pPr>
              <w:rPr>
                <w:bCs/>
              </w:rPr>
            </w:pPr>
            <w:r>
              <w:rPr>
                <w:bCs/>
              </w:rPr>
              <w:t>:</w:t>
            </w:r>
            <w:r>
              <w:rPr>
                <w:bCs/>
              </w:rPr>
              <w:br/>
              <w:t>:</w:t>
            </w:r>
          </w:p>
          <w:p w:rsidR="007E3654" w:rsidRDefault="007E3654" w:rsidP="00AB0142">
            <w:pPr>
              <w:rPr>
                <w:bCs/>
              </w:rPr>
            </w:pPr>
          </w:p>
        </w:tc>
        <w:tc>
          <w:tcPr>
            <w:tcW w:w="3136" w:type="dxa"/>
            <w:tcBorders>
              <w:top w:val="nil"/>
              <w:left w:val="nil"/>
              <w:bottom w:val="nil"/>
              <w:right w:val="nil"/>
            </w:tcBorders>
          </w:tcPr>
          <w:p w:rsidR="007E3654" w:rsidRDefault="007E3654" w:rsidP="00AB0142">
            <w:pPr>
              <w:rPr>
                <w:bCs/>
              </w:rPr>
            </w:pPr>
          </w:p>
          <w:p w:rsidR="007E3654" w:rsidRDefault="007E3654" w:rsidP="00AB0142">
            <w:pPr>
              <w:rPr>
                <w:bCs/>
              </w:rPr>
            </w:pPr>
          </w:p>
          <w:p w:rsidR="007E3654" w:rsidRDefault="007E3654" w:rsidP="00AB0142">
            <w:pPr>
              <w:rPr>
                <w:bCs/>
              </w:rPr>
            </w:pPr>
          </w:p>
          <w:p w:rsidR="007E3654" w:rsidRDefault="007E3654" w:rsidP="00AB0142">
            <w:pPr>
              <w:rPr>
                <w:bCs/>
              </w:rPr>
            </w:pPr>
            <w:r>
              <w:rPr>
                <w:bCs/>
              </w:rPr>
              <w:t>Docket No. A-2018-3002437</w:t>
            </w:r>
          </w:p>
          <w:p w:rsidR="007E3654" w:rsidRDefault="007E3654" w:rsidP="00AB0142">
            <w:pPr>
              <w:rPr>
                <w:bCs/>
              </w:rPr>
            </w:pPr>
          </w:p>
          <w:p w:rsidR="007E3654" w:rsidRDefault="007E3654" w:rsidP="00AB0142">
            <w:pPr>
              <w:rPr>
                <w:bCs/>
              </w:rPr>
            </w:pPr>
          </w:p>
        </w:tc>
      </w:tr>
    </w:tbl>
    <w:p w:rsidR="007E3654" w:rsidRPr="00D94D4F" w:rsidRDefault="007E3654" w:rsidP="007E3654">
      <w:pPr>
        <w:jc w:val="center"/>
        <w:rPr>
          <w:b/>
        </w:rPr>
      </w:pPr>
      <w:r w:rsidRPr="00D94D4F">
        <w:rPr>
          <w:b/>
        </w:rPr>
        <w:t>____________________________________________________</w:t>
      </w:r>
    </w:p>
    <w:p w:rsidR="007E3654" w:rsidRPr="00D94D4F" w:rsidRDefault="007E3654" w:rsidP="007E3654">
      <w:pPr>
        <w:jc w:val="center"/>
        <w:rPr>
          <w:b/>
        </w:rPr>
      </w:pPr>
    </w:p>
    <w:p w:rsidR="007E3654" w:rsidRPr="00D94D4F" w:rsidRDefault="007E3654" w:rsidP="007E3654">
      <w:pPr>
        <w:jc w:val="center"/>
        <w:rPr>
          <w:b/>
        </w:rPr>
      </w:pPr>
      <w:r w:rsidRPr="00D94D4F">
        <w:rPr>
          <w:b/>
        </w:rPr>
        <w:t>JOINT STIPULATION FOR ADMISSION OF EVIDENCE</w:t>
      </w:r>
    </w:p>
    <w:p w:rsidR="007E3654" w:rsidRPr="00D94D4F" w:rsidRDefault="007E3654" w:rsidP="007E3654">
      <w:pPr>
        <w:spacing w:after="240"/>
        <w:jc w:val="center"/>
        <w:rPr>
          <w:b/>
        </w:rPr>
      </w:pPr>
      <w:r w:rsidRPr="00D94D4F">
        <w:rPr>
          <w:b/>
        </w:rPr>
        <w:t>____________________________________________________</w:t>
      </w:r>
    </w:p>
    <w:p w:rsidR="007E3654" w:rsidRPr="00D94D4F" w:rsidRDefault="007E3654" w:rsidP="007E3654">
      <w:pPr>
        <w:jc w:val="both"/>
        <w:rPr>
          <w:b/>
        </w:rPr>
      </w:pPr>
    </w:p>
    <w:p w:rsidR="007E3654" w:rsidRPr="00D94D4F" w:rsidRDefault="00384CAC" w:rsidP="00384CAC">
      <w:pPr>
        <w:pStyle w:val="BodyText2"/>
        <w:spacing w:after="0"/>
        <w:jc w:val="both"/>
      </w:pPr>
      <w:r>
        <w:tab/>
        <w:t>Pennsylvania-American Water Company (“PAWC”),</w:t>
      </w:r>
      <w:r w:rsidR="007E3654" w:rsidRPr="00D94D4F">
        <w:t xml:space="preserve"> the Office of Consumer Advocate</w:t>
      </w:r>
      <w:r>
        <w:t xml:space="preserve"> (“OCA”)</w:t>
      </w:r>
      <w:r w:rsidR="007E3654" w:rsidRPr="00D94D4F">
        <w:t xml:space="preserve">, the Pennsylvania Public Utility Commission’s Bureau of Investigation &amp; Enforcement (“I&amp;E”), </w:t>
      </w:r>
      <w:r>
        <w:t xml:space="preserve">and Sadsbury Township (“Sadsbury”), </w:t>
      </w:r>
      <w:r w:rsidR="007E3654" w:rsidRPr="00D94D4F">
        <w:t>all active parties to the above-captioned proceeding (hereinafter, collectively referred to as the “Stipulating Parties”), file this Joint Stipulation for Admission of Evidence (“Stipulation”) in the above-captioned proceeding.</w:t>
      </w:r>
      <w:r w:rsidR="007E3654" w:rsidRPr="00D94D4F">
        <w:rPr>
          <w:rStyle w:val="FootnoteReference"/>
        </w:rPr>
        <w:footnoteReference w:id="1"/>
      </w:r>
      <w:r w:rsidR="007E3654" w:rsidRPr="00D94D4F">
        <w:t xml:space="preserve">  In support of the Stipulation, the Stipulating Parties represent as follows:</w:t>
      </w:r>
    </w:p>
    <w:p w:rsidR="007E3654" w:rsidRPr="00D94D4F" w:rsidRDefault="00B447EB" w:rsidP="00384CAC">
      <w:pPr>
        <w:pStyle w:val="ListNumber"/>
        <w:jc w:val="both"/>
        <w:rPr>
          <w:szCs w:val="24"/>
        </w:rPr>
      </w:pPr>
      <w:r>
        <w:rPr>
          <w:szCs w:val="24"/>
        </w:rPr>
        <w:t>Paragraphs 1 through 10</w:t>
      </w:r>
      <w:r w:rsidR="007E3654" w:rsidRPr="00D94D4F">
        <w:rPr>
          <w:szCs w:val="24"/>
        </w:rPr>
        <w:t xml:space="preserve"> (regarding “Background”) of the “Joint Petition for Approval of Settlement of </w:t>
      </w:r>
      <w:r>
        <w:rPr>
          <w:szCs w:val="24"/>
        </w:rPr>
        <w:t>All Issues</w:t>
      </w:r>
      <w:r w:rsidR="007E3654" w:rsidRPr="00D94D4F">
        <w:rPr>
          <w:szCs w:val="24"/>
        </w:rPr>
        <w:t>” (“Settlement”), filed on this same date in</w:t>
      </w:r>
      <w:r>
        <w:rPr>
          <w:szCs w:val="24"/>
        </w:rPr>
        <w:t xml:space="preserve"> the above-captioned proceeding</w:t>
      </w:r>
      <w:r w:rsidR="007E3654" w:rsidRPr="00D94D4F">
        <w:rPr>
          <w:szCs w:val="24"/>
        </w:rPr>
        <w:t>, are hereby incorporated by reference.</w:t>
      </w:r>
    </w:p>
    <w:p w:rsidR="007E3654" w:rsidRPr="00D94D4F" w:rsidRDefault="007E3654" w:rsidP="00384CAC">
      <w:pPr>
        <w:pStyle w:val="ListNumber"/>
        <w:jc w:val="both"/>
        <w:rPr>
          <w:szCs w:val="24"/>
        </w:rPr>
      </w:pPr>
      <w:r w:rsidRPr="00D94D4F">
        <w:rPr>
          <w:szCs w:val="24"/>
        </w:rPr>
        <w:lastRenderedPageBreak/>
        <w:t>The Stipulating Parties hereby jointly stipulate to the authenticity of and admission into the evidentiary record in this matter of the filings, statements, and exhibits listed below.  All such filings, statements, and exhibits are authenticated by the enclosed verifications from each supporting witness.</w:t>
      </w:r>
    </w:p>
    <w:p w:rsidR="004B7FC8" w:rsidRPr="00244D30" w:rsidRDefault="00B447EB" w:rsidP="00384CAC">
      <w:pPr>
        <w:pStyle w:val="BodyText"/>
        <w:spacing w:before="0" w:line="480" w:lineRule="auto"/>
        <w:jc w:val="both"/>
        <w:rPr>
          <w:b/>
        </w:rPr>
      </w:pPr>
      <w:r w:rsidRPr="00244D30">
        <w:rPr>
          <w:b/>
        </w:rPr>
        <w:tab/>
        <w:t>A.</w:t>
      </w:r>
      <w:r w:rsidRPr="00244D30">
        <w:rPr>
          <w:b/>
        </w:rPr>
        <w:tab/>
        <w:t>Pennsylvania-American Water Company</w:t>
      </w:r>
      <w:r w:rsidR="00573B00">
        <w:rPr>
          <w:b/>
        </w:rPr>
        <w:t xml:space="preserve"> Statements and Exhibits</w:t>
      </w:r>
    </w:p>
    <w:p w:rsidR="00B447EB" w:rsidRDefault="00747CEE" w:rsidP="00384CAC">
      <w:pPr>
        <w:pStyle w:val="BodyText"/>
        <w:spacing w:before="0" w:line="480" w:lineRule="auto"/>
        <w:jc w:val="both"/>
      </w:pPr>
      <w:r>
        <w:tab/>
      </w:r>
      <w:r>
        <w:tab/>
        <w:t>1.</w:t>
      </w:r>
      <w:r>
        <w:tab/>
        <w:t>Direct</w:t>
      </w:r>
      <w:r>
        <w:tab/>
      </w:r>
    </w:p>
    <w:p w:rsidR="00747CEE" w:rsidRDefault="00747CEE" w:rsidP="00384CAC">
      <w:pPr>
        <w:pStyle w:val="BodyText"/>
        <w:spacing w:before="0" w:line="480" w:lineRule="auto"/>
        <w:jc w:val="both"/>
      </w:pPr>
      <w:r>
        <w:tab/>
      </w:r>
      <w:r>
        <w:tab/>
      </w:r>
      <w:r>
        <w:tab/>
        <w:t>a.</w:t>
      </w:r>
      <w:r>
        <w:tab/>
        <w:t xml:space="preserve">PAWC Statement No. 1 – Direct Testimony of </w:t>
      </w:r>
      <w:r w:rsidR="0092347F">
        <w:t>Keith E</w:t>
      </w:r>
      <w:r>
        <w:t>. Gabage, and Exhibit K</w:t>
      </w:r>
      <w:r w:rsidR="0092347F">
        <w:t>E</w:t>
      </w:r>
      <w:r w:rsidR="001C51BF">
        <w:t>G</w:t>
      </w:r>
      <w:r>
        <w:t>-1</w:t>
      </w:r>
      <w:r w:rsidR="00C80348">
        <w:t xml:space="preserve"> (this Exhibit is the Application, which was previously filed with the Secretary of the Pennsylvania Public Utility Commission</w:t>
      </w:r>
      <w:r w:rsidR="00370F93">
        <w:t>;</w:t>
      </w:r>
    </w:p>
    <w:p w:rsidR="00747CEE" w:rsidRDefault="00747CEE" w:rsidP="00384CAC">
      <w:pPr>
        <w:pStyle w:val="BodyText"/>
        <w:spacing w:before="0" w:line="480" w:lineRule="auto"/>
        <w:jc w:val="both"/>
      </w:pPr>
      <w:r>
        <w:tab/>
      </w:r>
      <w:r>
        <w:tab/>
      </w:r>
      <w:r>
        <w:tab/>
        <w:t>b.</w:t>
      </w:r>
      <w:r>
        <w:tab/>
        <w:t xml:space="preserve">PAWC Statement No. 2 – Direct Testimony of Michael </w:t>
      </w:r>
      <w:r w:rsidR="0092347F">
        <w:t xml:space="preserve">J. </w:t>
      </w:r>
      <w:r>
        <w:t>Guntrum</w:t>
      </w:r>
      <w:r w:rsidR="0092347F">
        <w:t xml:space="preserve"> and Exhibits MJG-1 through MJG-2;</w:t>
      </w:r>
      <w:r>
        <w:t xml:space="preserve"> </w:t>
      </w:r>
    </w:p>
    <w:p w:rsidR="00747CEE" w:rsidRDefault="00747CEE" w:rsidP="00384CAC">
      <w:pPr>
        <w:pStyle w:val="BodyText"/>
        <w:spacing w:before="0" w:line="480" w:lineRule="auto"/>
        <w:jc w:val="both"/>
      </w:pPr>
      <w:r>
        <w:tab/>
      </w:r>
      <w:r>
        <w:tab/>
      </w:r>
      <w:r>
        <w:tab/>
        <w:t>c.</w:t>
      </w:r>
      <w:r>
        <w:tab/>
        <w:t>PAWC Statement No. 3 – Direct Testimony of John</w:t>
      </w:r>
      <w:r w:rsidR="0013138D">
        <w:t xml:space="preserve"> R.</w:t>
      </w:r>
      <w:r>
        <w:t xml:space="preserve"> Cox</w:t>
      </w:r>
      <w:r w:rsidR="0013138D">
        <w:t>; and</w:t>
      </w:r>
    </w:p>
    <w:p w:rsidR="00370F93" w:rsidRDefault="00747CEE" w:rsidP="00384CAC">
      <w:pPr>
        <w:pStyle w:val="BodyText"/>
        <w:spacing w:before="0" w:line="480" w:lineRule="auto"/>
        <w:jc w:val="both"/>
      </w:pPr>
      <w:r>
        <w:tab/>
      </w:r>
      <w:r>
        <w:tab/>
      </w:r>
      <w:r>
        <w:tab/>
        <w:t>d.</w:t>
      </w:r>
      <w:r>
        <w:tab/>
        <w:t>PAWC Statement No. 4 – Direct Testimony of Jerome C. Weinert</w:t>
      </w:r>
      <w:r w:rsidR="0013138D">
        <w:t>, ASA, PE, CDP, and Exhibit JCW-1.</w:t>
      </w:r>
    </w:p>
    <w:p w:rsidR="00747CEE" w:rsidRDefault="00747CEE" w:rsidP="00384CAC">
      <w:pPr>
        <w:pStyle w:val="BodyText"/>
        <w:spacing w:before="0" w:line="480" w:lineRule="auto"/>
        <w:jc w:val="both"/>
      </w:pPr>
      <w:r>
        <w:tab/>
      </w:r>
      <w:r>
        <w:tab/>
        <w:t>2.</w:t>
      </w:r>
      <w:r>
        <w:tab/>
        <w:t>Rebuttal</w:t>
      </w:r>
    </w:p>
    <w:p w:rsidR="00370F93" w:rsidRDefault="00747CEE" w:rsidP="00384CAC">
      <w:pPr>
        <w:pStyle w:val="BodyText"/>
        <w:spacing w:before="0" w:line="480" w:lineRule="auto"/>
        <w:jc w:val="both"/>
      </w:pPr>
      <w:r>
        <w:tab/>
      </w:r>
      <w:r>
        <w:tab/>
      </w:r>
      <w:r>
        <w:tab/>
        <w:t>a.</w:t>
      </w:r>
      <w:r>
        <w:tab/>
        <w:t>PAWC Statement No. 1-R – Rebuttal Testi</w:t>
      </w:r>
      <w:r w:rsidR="00370F93">
        <w:t>mony of Keith E</w:t>
      </w:r>
      <w:r>
        <w:t>. Ga</w:t>
      </w:r>
      <w:r w:rsidR="00370F93">
        <w:t>bage; and</w:t>
      </w:r>
    </w:p>
    <w:p w:rsidR="00747CEE" w:rsidRDefault="00747CEE" w:rsidP="00384CAC">
      <w:pPr>
        <w:pStyle w:val="BodyText"/>
        <w:spacing w:before="0" w:line="480" w:lineRule="auto"/>
        <w:jc w:val="both"/>
      </w:pPr>
      <w:r>
        <w:tab/>
      </w:r>
      <w:r>
        <w:tab/>
      </w:r>
      <w:r>
        <w:tab/>
        <w:t>b.</w:t>
      </w:r>
      <w:r>
        <w:tab/>
        <w:t>PAWC Statement No. 4-R – Rebuttal Testimony of Jerome C. Weinert</w:t>
      </w:r>
      <w:r w:rsidR="007C63D0">
        <w:t>, ASA, PE, CDP.</w:t>
      </w:r>
    </w:p>
    <w:p w:rsidR="00B447EB" w:rsidRPr="00244D30" w:rsidRDefault="00B447EB" w:rsidP="00384CAC">
      <w:pPr>
        <w:pStyle w:val="BodyText"/>
        <w:spacing w:before="0" w:line="480" w:lineRule="auto"/>
        <w:jc w:val="both"/>
        <w:rPr>
          <w:b/>
        </w:rPr>
      </w:pPr>
      <w:r w:rsidRPr="00244D30">
        <w:rPr>
          <w:b/>
        </w:rPr>
        <w:tab/>
        <w:t>B.</w:t>
      </w:r>
      <w:r w:rsidRPr="00244D30">
        <w:rPr>
          <w:b/>
        </w:rPr>
        <w:tab/>
        <w:t>Sadsbury Township</w:t>
      </w:r>
      <w:r w:rsidR="00573B00">
        <w:rPr>
          <w:b/>
        </w:rPr>
        <w:t xml:space="preserve"> Statements and Exhibits</w:t>
      </w:r>
    </w:p>
    <w:p w:rsidR="00B447EB" w:rsidRDefault="00747CEE" w:rsidP="00384CAC">
      <w:pPr>
        <w:pStyle w:val="BodyText"/>
        <w:spacing w:before="0" w:line="480" w:lineRule="auto"/>
        <w:jc w:val="both"/>
      </w:pPr>
      <w:r>
        <w:tab/>
      </w:r>
      <w:r>
        <w:tab/>
        <w:t>1.</w:t>
      </w:r>
      <w:r>
        <w:tab/>
        <w:t>Direct</w:t>
      </w:r>
    </w:p>
    <w:p w:rsidR="00747CEE" w:rsidRDefault="00747CEE" w:rsidP="00384CAC">
      <w:pPr>
        <w:pStyle w:val="BodyText"/>
        <w:spacing w:before="0" w:line="480" w:lineRule="auto"/>
        <w:jc w:val="both"/>
      </w:pPr>
      <w:r>
        <w:tab/>
      </w:r>
      <w:r>
        <w:tab/>
      </w:r>
      <w:r>
        <w:tab/>
        <w:t>a.</w:t>
      </w:r>
      <w:r>
        <w:tab/>
        <w:t xml:space="preserve">Sadsbury Statement No. 1 </w:t>
      </w:r>
      <w:r w:rsidR="007C63D0">
        <w:t>– Direct Testimony of Adrienne M. Vicari, PE, and Exhibit AMV No.</w:t>
      </w:r>
      <w:r w:rsidR="002E77F7">
        <w:t xml:space="preserve"> I</w:t>
      </w:r>
      <w:r w:rsidR="007C63D0">
        <w:t xml:space="preserve">. </w:t>
      </w:r>
      <w:r>
        <w:t xml:space="preserve"> </w:t>
      </w:r>
    </w:p>
    <w:p w:rsidR="00747CEE" w:rsidRDefault="00747CEE" w:rsidP="00370F93">
      <w:pPr>
        <w:pStyle w:val="BodyText"/>
        <w:keepNext/>
        <w:spacing w:before="0" w:line="480" w:lineRule="auto"/>
        <w:jc w:val="both"/>
      </w:pPr>
      <w:r>
        <w:lastRenderedPageBreak/>
        <w:tab/>
      </w:r>
      <w:r>
        <w:tab/>
        <w:t>2.</w:t>
      </w:r>
      <w:r>
        <w:tab/>
        <w:t>Rebuttal</w:t>
      </w:r>
    </w:p>
    <w:p w:rsidR="00747CEE" w:rsidRDefault="002E77F7" w:rsidP="00384CAC">
      <w:pPr>
        <w:pStyle w:val="BodyText"/>
        <w:spacing w:before="0" w:line="480" w:lineRule="auto"/>
        <w:jc w:val="both"/>
      </w:pPr>
      <w:r>
        <w:tab/>
      </w:r>
      <w:r>
        <w:tab/>
      </w:r>
      <w:r>
        <w:tab/>
        <w:t>a.</w:t>
      </w:r>
      <w:r>
        <w:tab/>
        <w:t>Sadsbury Statement No. 2 – Rebuttal Testimony of Adrienne M. Vicari, PE, to the Direct Testimony of the Office of Consumer Advocate; and</w:t>
      </w:r>
    </w:p>
    <w:p w:rsidR="002E77F7" w:rsidRDefault="002E77F7" w:rsidP="00384CAC">
      <w:pPr>
        <w:pStyle w:val="BodyText"/>
        <w:spacing w:before="0" w:line="480" w:lineRule="auto"/>
        <w:jc w:val="both"/>
      </w:pPr>
      <w:r>
        <w:tab/>
      </w:r>
      <w:r>
        <w:tab/>
      </w:r>
      <w:r>
        <w:tab/>
        <w:t>b.</w:t>
      </w:r>
      <w:r>
        <w:tab/>
        <w:t>Sadsbury Statement No. 3 – Rebuttal Testimony of Adrienne M. Vicari, PE, to the Direct Testimony of the Bureau of Investigation and Enforcement.</w:t>
      </w:r>
    </w:p>
    <w:p w:rsidR="00B447EB" w:rsidRPr="00244D30" w:rsidRDefault="00B447EB" w:rsidP="00384CAC">
      <w:pPr>
        <w:pStyle w:val="BodyText"/>
        <w:spacing w:before="0" w:line="480" w:lineRule="auto"/>
        <w:jc w:val="both"/>
        <w:rPr>
          <w:b/>
        </w:rPr>
      </w:pPr>
      <w:r w:rsidRPr="00244D30">
        <w:rPr>
          <w:b/>
        </w:rPr>
        <w:tab/>
        <w:t>C.</w:t>
      </w:r>
      <w:r w:rsidRPr="00244D30">
        <w:rPr>
          <w:b/>
        </w:rPr>
        <w:tab/>
        <w:t>Bureau of Investigation and Enforcement</w:t>
      </w:r>
      <w:r w:rsidR="00573B00">
        <w:rPr>
          <w:b/>
        </w:rPr>
        <w:t xml:space="preserve"> Statements and Exhibits</w:t>
      </w:r>
    </w:p>
    <w:p w:rsidR="00B447EB" w:rsidRDefault="00747CEE" w:rsidP="00384CAC">
      <w:pPr>
        <w:pStyle w:val="BodyText"/>
        <w:spacing w:before="0" w:line="480" w:lineRule="auto"/>
        <w:jc w:val="both"/>
      </w:pPr>
      <w:r>
        <w:tab/>
      </w:r>
      <w:r>
        <w:tab/>
        <w:t>1.</w:t>
      </w:r>
      <w:r>
        <w:tab/>
        <w:t>Direct</w:t>
      </w:r>
    </w:p>
    <w:p w:rsidR="00747CEE" w:rsidRDefault="009B1D61" w:rsidP="00384CAC">
      <w:pPr>
        <w:pStyle w:val="BodyText"/>
        <w:spacing w:before="0" w:line="480" w:lineRule="auto"/>
        <w:jc w:val="both"/>
      </w:pPr>
      <w:r>
        <w:tab/>
      </w:r>
      <w:r>
        <w:tab/>
      </w:r>
      <w:r>
        <w:tab/>
        <w:t>a.</w:t>
      </w:r>
      <w:r>
        <w:tab/>
      </w:r>
      <w:r w:rsidR="00F136C1">
        <w:t>I&amp;E</w:t>
      </w:r>
      <w:r>
        <w:t xml:space="preserve"> Statement No. 1 – Direct Testimony of Ethan H. Cline, and </w:t>
      </w:r>
      <w:r w:rsidR="00F136C1">
        <w:t>I&amp;E</w:t>
      </w:r>
      <w:r>
        <w:t xml:space="preserve"> Exhibit No. 1.</w:t>
      </w:r>
    </w:p>
    <w:p w:rsidR="00747CEE" w:rsidRDefault="00747CEE" w:rsidP="00384CAC">
      <w:pPr>
        <w:pStyle w:val="BodyText"/>
        <w:spacing w:before="0" w:line="480" w:lineRule="auto"/>
        <w:jc w:val="both"/>
      </w:pPr>
      <w:r>
        <w:tab/>
      </w:r>
      <w:r>
        <w:tab/>
      </w:r>
      <w:r w:rsidR="009B1D61">
        <w:t>2</w:t>
      </w:r>
      <w:r>
        <w:t>.</w:t>
      </w:r>
      <w:r>
        <w:tab/>
        <w:t>Surrebuttal</w:t>
      </w:r>
    </w:p>
    <w:p w:rsidR="00747CEE" w:rsidRDefault="009A43BC" w:rsidP="00384CAC">
      <w:pPr>
        <w:pStyle w:val="BodyText"/>
        <w:spacing w:before="0" w:line="480" w:lineRule="auto"/>
        <w:jc w:val="both"/>
      </w:pPr>
      <w:r>
        <w:tab/>
      </w:r>
      <w:r>
        <w:tab/>
      </w:r>
      <w:r>
        <w:tab/>
        <w:t>a.</w:t>
      </w:r>
      <w:r>
        <w:tab/>
        <w:t>I&amp;E Statement No. 1-SR – Surrebuttal Testimony of Ethan H. Cline, and I&amp;E Exhibit No. 1-SR.</w:t>
      </w:r>
    </w:p>
    <w:p w:rsidR="00B447EB" w:rsidRDefault="00B447EB" w:rsidP="00384CAC">
      <w:pPr>
        <w:pStyle w:val="BodyText"/>
        <w:spacing w:before="0" w:line="480" w:lineRule="auto"/>
        <w:jc w:val="both"/>
        <w:rPr>
          <w:b/>
        </w:rPr>
      </w:pPr>
      <w:r w:rsidRPr="00244D30">
        <w:rPr>
          <w:b/>
        </w:rPr>
        <w:tab/>
        <w:t>D.</w:t>
      </w:r>
      <w:r w:rsidRPr="00244D30">
        <w:rPr>
          <w:b/>
        </w:rPr>
        <w:tab/>
        <w:t>Office of Consumer Advocate</w:t>
      </w:r>
      <w:r w:rsidR="00573B00">
        <w:rPr>
          <w:b/>
        </w:rPr>
        <w:t xml:space="preserve"> Statements and Exhibits</w:t>
      </w:r>
    </w:p>
    <w:p w:rsidR="00085752" w:rsidRDefault="00747CEE" w:rsidP="00384CAC">
      <w:pPr>
        <w:pStyle w:val="BodyText"/>
        <w:spacing w:before="0" w:line="480" w:lineRule="auto"/>
        <w:jc w:val="both"/>
      </w:pPr>
      <w:r>
        <w:rPr>
          <w:b/>
        </w:rPr>
        <w:tab/>
      </w:r>
      <w:r>
        <w:rPr>
          <w:b/>
        </w:rPr>
        <w:tab/>
      </w:r>
      <w:r>
        <w:t>1.</w:t>
      </w:r>
      <w:r>
        <w:tab/>
        <w:t>Direct</w:t>
      </w:r>
    </w:p>
    <w:p w:rsidR="00747CEE" w:rsidRDefault="00071C5E" w:rsidP="00384CAC">
      <w:pPr>
        <w:pStyle w:val="BodyText"/>
        <w:spacing w:before="0" w:line="480" w:lineRule="auto"/>
        <w:jc w:val="both"/>
      </w:pPr>
      <w:r>
        <w:tab/>
      </w:r>
      <w:r>
        <w:tab/>
      </w:r>
      <w:r>
        <w:tab/>
        <w:t>a.</w:t>
      </w:r>
      <w:r>
        <w:tab/>
        <w:t>OCA Statement No. 1 – Direct Testimony of Ashley E. Everette, and Exhib</w:t>
      </w:r>
      <w:r w:rsidR="009A43BC">
        <w:t>i</w:t>
      </w:r>
      <w:r>
        <w:t>ts AEE-1 through AEE-3; and</w:t>
      </w:r>
    </w:p>
    <w:p w:rsidR="00071C5E" w:rsidRDefault="00071C5E" w:rsidP="00384CAC">
      <w:pPr>
        <w:pStyle w:val="BodyText"/>
        <w:spacing w:before="0" w:line="480" w:lineRule="auto"/>
        <w:jc w:val="both"/>
      </w:pPr>
      <w:r>
        <w:tab/>
      </w:r>
      <w:r>
        <w:tab/>
      </w:r>
      <w:r>
        <w:tab/>
        <w:t>b.</w:t>
      </w:r>
      <w:r>
        <w:tab/>
        <w:t>OCA Statement No. 2 – Direct Testimony of Glenn A. Watkins, and Schedules GAW-1 through GAW-7.</w:t>
      </w:r>
    </w:p>
    <w:p w:rsidR="00747CEE" w:rsidRDefault="00747CEE" w:rsidP="00384CAC">
      <w:pPr>
        <w:pStyle w:val="BodyText"/>
        <w:spacing w:before="0" w:line="480" w:lineRule="auto"/>
        <w:jc w:val="both"/>
      </w:pPr>
      <w:r>
        <w:tab/>
      </w:r>
      <w:r w:rsidR="00370F93">
        <w:tab/>
        <w:t>2</w:t>
      </w:r>
      <w:r>
        <w:t>.</w:t>
      </w:r>
      <w:r>
        <w:tab/>
        <w:t>Surrebuttal</w:t>
      </w:r>
    </w:p>
    <w:p w:rsidR="009A43BC" w:rsidRDefault="009A43BC" w:rsidP="00384CAC">
      <w:pPr>
        <w:pStyle w:val="BodyText"/>
        <w:spacing w:before="0" w:line="480" w:lineRule="auto"/>
        <w:jc w:val="both"/>
      </w:pPr>
      <w:r>
        <w:tab/>
      </w:r>
      <w:r>
        <w:tab/>
      </w:r>
      <w:r>
        <w:tab/>
        <w:t>a.</w:t>
      </w:r>
      <w:r>
        <w:tab/>
        <w:t>OCA Statement No. 1-SR – Surrebuttal Testimony of Ashley E. Everette; and</w:t>
      </w:r>
    </w:p>
    <w:p w:rsidR="009A43BC" w:rsidRPr="00747CEE" w:rsidRDefault="009A43BC" w:rsidP="00384CAC">
      <w:pPr>
        <w:pStyle w:val="BodyText"/>
        <w:spacing w:before="0" w:line="480" w:lineRule="auto"/>
        <w:jc w:val="both"/>
      </w:pPr>
      <w:r>
        <w:tab/>
      </w:r>
      <w:r>
        <w:tab/>
      </w:r>
      <w:r>
        <w:tab/>
        <w:t>b.</w:t>
      </w:r>
      <w:r>
        <w:tab/>
        <w:t xml:space="preserve">OCA Statement No. 2-SR – Surrebuttal Testimony of Glenn A. Watkins, and Schedules GAW-1 and GAW-2.  </w:t>
      </w:r>
    </w:p>
    <w:p w:rsidR="00085752" w:rsidRPr="00085752" w:rsidRDefault="000343CC" w:rsidP="000343CC">
      <w:pPr>
        <w:pStyle w:val="ListNumber"/>
        <w:numPr>
          <w:ilvl w:val="0"/>
          <w:numId w:val="0"/>
        </w:numPr>
        <w:ind w:firstLine="720"/>
        <w:jc w:val="both"/>
        <w:rPr>
          <w:szCs w:val="24"/>
        </w:rPr>
      </w:pPr>
      <w:r>
        <w:rPr>
          <w:szCs w:val="24"/>
        </w:rPr>
        <w:lastRenderedPageBreak/>
        <w:t>3.</w:t>
      </w:r>
      <w:r>
        <w:rPr>
          <w:szCs w:val="24"/>
        </w:rPr>
        <w:tab/>
      </w:r>
      <w:r w:rsidR="00085752" w:rsidRPr="00085752">
        <w:rPr>
          <w:szCs w:val="24"/>
        </w:rPr>
        <w:t>This Stipulation is presented by the Stipulating Parties in conjunction with the Settlement, which is intended to settle all issues in the above-captioned proceeding.  If the Commission rejects or otherwise modifies the Settlement, the Stipulating Parties reserve their respective procedural rights to object to the admission of the above-referenced statements and exhibits, submit additional testimony and exhibits, and cross-examine witnesses at on-the-record evidentiary hearings.</w:t>
      </w:r>
    </w:p>
    <w:p w:rsidR="00085752" w:rsidRDefault="000343CC" w:rsidP="000343CC">
      <w:pPr>
        <w:pStyle w:val="ListNumber"/>
        <w:numPr>
          <w:ilvl w:val="0"/>
          <w:numId w:val="0"/>
        </w:numPr>
        <w:ind w:firstLine="720"/>
        <w:jc w:val="both"/>
        <w:rPr>
          <w:szCs w:val="24"/>
        </w:rPr>
      </w:pPr>
      <w:r>
        <w:rPr>
          <w:szCs w:val="24"/>
        </w:rPr>
        <w:t>4.</w:t>
      </w:r>
      <w:r>
        <w:rPr>
          <w:szCs w:val="24"/>
        </w:rPr>
        <w:tab/>
      </w:r>
      <w:r w:rsidR="00085752" w:rsidRPr="00D94D4F">
        <w:rPr>
          <w:szCs w:val="24"/>
        </w:rPr>
        <w:t xml:space="preserve">This Stipulation is being presented, in conjunction with the Settlement, only to resolve issues in the above-captioned proceeding.  Regardless of whether this Stipulation is </w:t>
      </w:r>
      <w:r w:rsidR="00370F93">
        <w:rPr>
          <w:szCs w:val="24"/>
        </w:rPr>
        <w:t>approved</w:t>
      </w:r>
      <w:r w:rsidR="00085752" w:rsidRPr="00D94D4F">
        <w:rPr>
          <w:szCs w:val="24"/>
        </w:rPr>
        <w:t>, no adverse inference shall be drawn, nor shall prejudice result to any Signatory Party in this or any future proceeding as a consequence of this Stipulation, or any of its terms or conditions.</w:t>
      </w:r>
    </w:p>
    <w:p w:rsidR="000343CC" w:rsidRDefault="000343CC" w:rsidP="000343CC">
      <w:pPr>
        <w:pStyle w:val="ListNumber"/>
        <w:numPr>
          <w:ilvl w:val="0"/>
          <w:numId w:val="0"/>
        </w:numPr>
        <w:ind w:firstLine="720"/>
        <w:jc w:val="both"/>
        <w:rPr>
          <w:szCs w:val="24"/>
        </w:rPr>
      </w:pPr>
      <w:r>
        <w:rPr>
          <w:szCs w:val="24"/>
        </w:rPr>
        <w:t>5.</w:t>
      </w:r>
      <w:r>
        <w:rPr>
          <w:szCs w:val="24"/>
        </w:rPr>
        <w:tab/>
      </w:r>
      <w:r w:rsidR="00085752" w:rsidRPr="00D94D4F">
        <w:rPr>
          <w:szCs w:val="24"/>
        </w:rPr>
        <w:t>Two c</w:t>
      </w:r>
      <w:r w:rsidR="00370F93">
        <w:rPr>
          <w:szCs w:val="24"/>
        </w:rPr>
        <w:t xml:space="preserve">opies of the foregoing </w:t>
      </w:r>
      <w:r w:rsidR="00085752" w:rsidRPr="00D94D4F">
        <w:rPr>
          <w:szCs w:val="24"/>
        </w:rPr>
        <w:t>statements, and exhibits are being filed with the Commission’s Secretary for inclusion in the official case record upon approval of this Stipulation.  “Confidential” materials being filed with the Secretary’s Bureau of the Commission are so marked and should be placed in non-public folders by the Secretary’s Bureau.</w:t>
      </w:r>
      <w:r w:rsidR="00085752" w:rsidRPr="00D94D4F">
        <w:rPr>
          <w:rStyle w:val="FootnoteReference"/>
          <w:szCs w:val="24"/>
        </w:rPr>
        <w:footnoteReference w:id="2"/>
      </w:r>
      <w:r w:rsidR="00085752" w:rsidRPr="00D94D4F">
        <w:rPr>
          <w:szCs w:val="24"/>
        </w:rPr>
        <w:t xml:space="preserve">  </w:t>
      </w:r>
    </w:p>
    <w:p w:rsidR="00085752" w:rsidRPr="00D94D4F" w:rsidRDefault="000343CC" w:rsidP="000343CC">
      <w:pPr>
        <w:pStyle w:val="ListNumber"/>
        <w:numPr>
          <w:ilvl w:val="0"/>
          <w:numId w:val="0"/>
        </w:numPr>
        <w:ind w:firstLine="720"/>
        <w:jc w:val="both"/>
        <w:rPr>
          <w:szCs w:val="24"/>
        </w:rPr>
      </w:pPr>
      <w:r>
        <w:rPr>
          <w:szCs w:val="24"/>
        </w:rPr>
        <w:t>6.</w:t>
      </w:r>
      <w:r>
        <w:rPr>
          <w:szCs w:val="24"/>
        </w:rPr>
        <w:tab/>
      </w:r>
      <w:r w:rsidR="00085752" w:rsidRPr="00D94D4F">
        <w:rPr>
          <w:szCs w:val="24"/>
        </w:rPr>
        <w:t xml:space="preserve">Attached hereto as </w:t>
      </w:r>
      <w:r w:rsidR="00085752" w:rsidRPr="00D94D4F">
        <w:rPr>
          <w:b/>
          <w:szCs w:val="24"/>
        </w:rPr>
        <w:t>Appendix A</w:t>
      </w:r>
      <w:r w:rsidR="00085752" w:rsidRPr="00D94D4F">
        <w:rPr>
          <w:szCs w:val="24"/>
        </w:rPr>
        <w:t xml:space="preserve"> is a proposed “Order Granting Joint Stipulation for Admission of Evidence” for consideration by the Honorable Administrat</w:t>
      </w:r>
      <w:r>
        <w:rPr>
          <w:szCs w:val="24"/>
        </w:rPr>
        <w:t>ive Law Judge Darlene D. Heep.</w:t>
      </w:r>
    </w:p>
    <w:p w:rsidR="00085752" w:rsidRPr="00D94D4F" w:rsidRDefault="00085752" w:rsidP="00085752">
      <w:pPr>
        <w:pStyle w:val="ListNumber"/>
        <w:numPr>
          <w:ilvl w:val="0"/>
          <w:numId w:val="0"/>
        </w:numPr>
        <w:ind w:firstLine="720"/>
        <w:jc w:val="both"/>
        <w:rPr>
          <w:szCs w:val="24"/>
        </w:rPr>
      </w:pPr>
      <w:r w:rsidRPr="00D94D4F">
        <w:rPr>
          <w:szCs w:val="24"/>
        </w:rPr>
        <w:t>WHEREFORE, the Stipulating Parties, by their respective counsel, respectfully request that the Honorable Administrative Law Judge D</w:t>
      </w:r>
      <w:r w:rsidR="000343CC">
        <w:rPr>
          <w:szCs w:val="24"/>
        </w:rPr>
        <w:t>arlene D. Heep</w:t>
      </w:r>
      <w:r w:rsidRPr="00D94D4F">
        <w:rPr>
          <w:szCs w:val="24"/>
        </w:rPr>
        <w:t xml:space="preserve"> admit the foregoing statements and exhibits into the record in this proceeding on the terms and conditions set forth in the Stipulation.</w:t>
      </w:r>
    </w:p>
    <w:p w:rsidR="00370F93" w:rsidRDefault="00370F93">
      <w:pPr>
        <w:rPr>
          <w:rFonts w:eastAsia="Times New Roman" w:cs="Times New Roman"/>
        </w:rPr>
      </w:pPr>
      <w:r>
        <w:br w:type="page"/>
      </w:r>
    </w:p>
    <w:p w:rsidR="00E308C4" w:rsidRDefault="00085752" w:rsidP="00370F93">
      <w:pPr>
        <w:pStyle w:val="BodyText"/>
        <w:keepNext/>
        <w:spacing w:before="0"/>
      </w:pPr>
      <w:r w:rsidRPr="00D94D4F">
        <w:lastRenderedPageBreak/>
        <w:t>Respectfully submitted,</w:t>
      </w:r>
      <w:r w:rsidR="00E308C4" w:rsidRPr="00E308C4">
        <w:t xml:space="preserve"> </w:t>
      </w:r>
    </w:p>
    <w:p w:rsidR="00E308C4" w:rsidRDefault="00E308C4" w:rsidP="00E308C4">
      <w:pPr>
        <w:pStyle w:val="BodyText"/>
        <w:spacing w:before="0"/>
      </w:pPr>
    </w:p>
    <w:p w:rsidR="00E308C4" w:rsidRPr="001F10DA" w:rsidRDefault="00E308C4" w:rsidP="00E308C4">
      <w:pPr>
        <w:pStyle w:val="BodyText"/>
        <w:spacing w:before="0"/>
      </w:pPr>
      <w:r>
        <w:tab/>
      </w:r>
    </w:p>
    <w:tbl>
      <w:tblPr>
        <w:tblStyle w:val="TableGrid"/>
        <w:tblpPr w:leftFromText="180" w:rightFromText="180" w:vertAnchor="text" w:horzAnchor="margin" w:tblpX="-90" w:tblpY="1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308C4" w:rsidRPr="00B83FF4" w:rsidTr="00AB0142">
        <w:tc>
          <w:tcPr>
            <w:tcW w:w="4675" w:type="dxa"/>
          </w:tcPr>
          <w:p w:rsidR="00E308C4" w:rsidRDefault="00E308C4" w:rsidP="00AB0142">
            <w:pPr>
              <w:ind w:left="-18"/>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E308C4" w:rsidRDefault="00E308C4" w:rsidP="00AB0142">
            <w:r>
              <w:t>David P. Zambito, Esq. (PA ID 80017)</w:t>
            </w:r>
          </w:p>
          <w:p w:rsidR="00E308C4" w:rsidRDefault="00E308C4" w:rsidP="00AB0142">
            <w:r>
              <w:t>Jonathan P. Nase, Esq. (PA ID 44003)</w:t>
            </w:r>
          </w:p>
          <w:p w:rsidR="001C51BF" w:rsidRDefault="001C51BF" w:rsidP="001C51BF">
            <w:r>
              <w:t>George A. Bibikos, Esq. (PA ID 91249)</w:t>
            </w:r>
          </w:p>
          <w:p w:rsidR="00E308C4" w:rsidRDefault="00E308C4" w:rsidP="00AB0142">
            <w:r>
              <w:t>Cozen O’Connor</w:t>
            </w:r>
          </w:p>
          <w:p w:rsidR="00E308C4" w:rsidRDefault="00E308C4" w:rsidP="00AB0142">
            <w:r>
              <w:t>17 North Second Street, Suite 1410</w:t>
            </w:r>
          </w:p>
          <w:p w:rsidR="00E308C4" w:rsidRDefault="00E308C4" w:rsidP="00AB0142">
            <w:r>
              <w:t>Harrisburg, PA  17101</w:t>
            </w:r>
          </w:p>
          <w:p w:rsidR="00E308C4" w:rsidRDefault="00E308C4" w:rsidP="00AB0142">
            <w:pPr>
              <w:rPr>
                <w:color w:val="000000"/>
              </w:rPr>
            </w:pPr>
            <w:r>
              <w:t xml:space="preserve">(717) </w:t>
            </w:r>
            <w:r>
              <w:rPr>
                <w:color w:val="000000"/>
              </w:rPr>
              <w:t>703-5892</w:t>
            </w:r>
          </w:p>
          <w:p w:rsidR="00E308C4" w:rsidRDefault="00E308C4" w:rsidP="00AB0142">
            <w:pPr>
              <w:rPr>
                <w:color w:val="000000"/>
              </w:rPr>
            </w:pPr>
          </w:p>
          <w:p w:rsidR="00E308C4" w:rsidRDefault="00E308C4" w:rsidP="00AB0142">
            <w:r>
              <w:t>Susan Simms Marsh, Esquire (PA ID 044689)</w:t>
            </w:r>
          </w:p>
          <w:p w:rsidR="00E308C4" w:rsidRDefault="00E308C4" w:rsidP="00AB0142">
            <w:pPr>
              <w:rPr>
                <w:i/>
              </w:rPr>
            </w:pPr>
            <w:r>
              <w:t>Pennsylvania-American Water Company</w:t>
            </w:r>
          </w:p>
          <w:p w:rsidR="00E308C4" w:rsidRDefault="00E308C4" w:rsidP="00AB0142">
            <w:r>
              <w:t>800 West Hershey Park Drive</w:t>
            </w:r>
          </w:p>
          <w:p w:rsidR="00E308C4" w:rsidRDefault="00E308C4" w:rsidP="00AB0142">
            <w:r>
              <w:t>Hershey, PA 17033</w:t>
            </w:r>
          </w:p>
          <w:p w:rsidR="00E308C4" w:rsidRDefault="00E308C4" w:rsidP="00AB0142">
            <w:r>
              <w:t>(717) 531-3208</w:t>
            </w:r>
          </w:p>
          <w:p w:rsidR="00E308C4" w:rsidRDefault="00E308C4" w:rsidP="00AB0142">
            <w:pPr>
              <w:rPr>
                <w:color w:val="000000"/>
              </w:rPr>
            </w:pPr>
          </w:p>
          <w:p w:rsidR="00E308C4" w:rsidRPr="00A833F2" w:rsidRDefault="00E308C4" w:rsidP="00AB0142">
            <w:pPr>
              <w:rPr>
                <w:i/>
                <w:color w:val="000000"/>
              </w:rPr>
            </w:pPr>
            <w:r w:rsidRPr="00A833F2">
              <w:rPr>
                <w:i/>
                <w:color w:val="000000"/>
              </w:rPr>
              <w:t xml:space="preserve">Attorneys for Pennsylvania-American </w:t>
            </w:r>
          </w:p>
          <w:p w:rsidR="00E308C4" w:rsidRDefault="00E308C4" w:rsidP="00AB0142">
            <w:pPr>
              <w:rPr>
                <w:i/>
                <w:color w:val="000000"/>
              </w:rPr>
            </w:pPr>
            <w:r w:rsidRPr="00A833F2">
              <w:rPr>
                <w:i/>
                <w:color w:val="000000"/>
              </w:rPr>
              <w:t>Water Company</w:t>
            </w:r>
          </w:p>
          <w:p w:rsidR="000E5891" w:rsidRDefault="000E5891" w:rsidP="00AB0142">
            <w:pPr>
              <w:rPr>
                <w:i/>
                <w:color w:val="000000"/>
              </w:rPr>
            </w:pPr>
          </w:p>
          <w:p w:rsidR="000E5891" w:rsidRDefault="000E5891" w:rsidP="00AB0142">
            <w:pPr>
              <w:rPr>
                <w:i/>
                <w:color w:val="000000"/>
              </w:rPr>
            </w:pPr>
          </w:p>
          <w:p w:rsidR="00F346E9" w:rsidRDefault="00F346E9" w:rsidP="00AB0142">
            <w:pPr>
              <w:rPr>
                <w:color w:val="000000"/>
              </w:rPr>
            </w:pPr>
          </w:p>
          <w:p w:rsidR="00E308C4" w:rsidRPr="006157BA" w:rsidRDefault="00E308C4" w:rsidP="00AB0142">
            <w:pPr>
              <w:rPr>
                <w:u w:val="single"/>
              </w:rPr>
            </w:pPr>
            <w:r>
              <w:rPr>
                <w:u w:val="single"/>
              </w:rPr>
              <w:tab/>
            </w:r>
            <w:r>
              <w:rPr>
                <w:u w:val="single"/>
              </w:rPr>
              <w:tab/>
            </w:r>
            <w:r>
              <w:rPr>
                <w:u w:val="single"/>
              </w:rPr>
              <w:tab/>
            </w:r>
            <w:r>
              <w:rPr>
                <w:u w:val="single"/>
              </w:rPr>
              <w:tab/>
            </w:r>
            <w:r>
              <w:rPr>
                <w:u w:val="single"/>
              </w:rPr>
              <w:tab/>
            </w:r>
            <w:r>
              <w:rPr>
                <w:u w:val="single"/>
              </w:rPr>
              <w:tab/>
            </w:r>
          </w:p>
          <w:p w:rsidR="00E308C4" w:rsidRDefault="00E308C4" w:rsidP="00AB0142">
            <w:r>
              <w:t>Christine Maloni Hoover, Esq. (PA ID 50026)</w:t>
            </w:r>
          </w:p>
          <w:p w:rsidR="00E308C4" w:rsidRDefault="00E308C4" w:rsidP="00AB0142">
            <w:r>
              <w:t>Office of Consumer Advocate</w:t>
            </w:r>
          </w:p>
          <w:p w:rsidR="00E308C4" w:rsidRDefault="00E308C4" w:rsidP="00AB0142">
            <w:r>
              <w:t>555 Walnut Street</w:t>
            </w:r>
          </w:p>
          <w:p w:rsidR="00E308C4" w:rsidRDefault="00E308C4" w:rsidP="00AB0142">
            <w:r>
              <w:t>Forum Place, 5th Floor</w:t>
            </w:r>
          </w:p>
          <w:p w:rsidR="00E308C4" w:rsidRDefault="00E308C4" w:rsidP="00AB0142">
            <w:r>
              <w:t>Harrisburg, PA  17101-1923</w:t>
            </w:r>
          </w:p>
          <w:p w:rsidR="00E308C4" w:rsidRDefault="00E308C4" w:rsidP="00AB0142">
            <w:pPr>
              <w:rPr>
                <w:i/>
              </w:rPr>
            </w:pPr>
            <w:r>
              <w:t xml:space="preserve">Counsel for </w:t>
            </w:r>
            <w:r>
              <w:rPr>
                <w:i/>
              </w:rPr>
              <w:t>Office of Consumer Advocate</w:t>
            </w:r>
          </w:p>
          <w:p w:rsidR="00E308C4" w:rsidRPr="0078545C" w:rsidRDefault="00E308C4" w:rsidP="00AB0142">
            <w:pPr>
              <w:rPr>
                <w:i/>
              </w:rPr>
            </w:pPr>
          </w:p>
          <w:p w:rsidR="00E308C4" w:rsidRDefault="00E308C4" w:rsidP="00AB0142"/>
          <w:p w:rsidR="00E308C4" w:rsidRDefault="00E308C4" w:rsidP="00AB0142"/>
          <w:p w:rsidR="00E308C4" w:rsidRPr="00256C94" w:rsidRDefault="00E308C4" w:rsidP="00AB0142"/>
        </w:tc>
        <w:tc>
          <w:tcPr>
            <w:tcW w:w="4675" w:type="dxa"/>
          </w:tcPr>
          <w:p w:rsidR="00E308C4" w:rsidRDefault="00E308C4" w:rsidP="00AB0142">
            <w:r>
              <w:rPr>
                <w:u w:val="single"/>
              </w:rPr>
              <w:tab/>
            </w:r>
            <w:r>
              <w:rPr>
                <w:u w:val="single"/>
              </w:rPr>
              <w:tab/>
            </w:r>
            <w:r>
              <w:rPr>
                <w:u w:val="single"/>
              </w:rPr>
              <w:tab/>
            </w:r>
            <w:r>
              <w:rPr>
                <w:u w:val="single"/>
              </w:rPr>
              <w:tab/>
            </w:r>
            <w:r>
              <w:rPr>
                <w:u w:val="single"/>
              </w:rPr>
              <w:tab/>
            </w:r>
            <w:r>
              <w:rPr>
                <w:u w:val="single"/>
              </w:rPr>
              <w:tab/>
            </w:r>
          </w:p>
          <w:p w:rsidR="00E308C4" w:rsidRDefault="00E308C4" w:rsidP="00AB0142">
            <w:r>
              <w:t>Gina Miller, Esq. (PA ID 313863)</w:t>
            </w:r>
          </w:p>
          <w:p w:rsidR="00E308C4" w:rsidRDefault="00E308C4" w:rsidP="00AB0142">
            <w:r>
              <w:t>Erika McLain, Esq. (PA ID 320526)</w:t>
            </w:r>
          </w:p>
          <w:p w:rsidR="00E308C4" w:rsidRDefault="00E308C4" w:rsidP="00AB0142">
            <w:r>
              <w:t>Bureau of Investigation &amp; Enforcement</w:t>
            </w:r>
          </w:p>
          <w:p w:rsidR="00E308C4" w:rsidRDefault="00E308C4" w:rsidP="00AB0142">
            <w:r>
              <w:t>Pennsylvania Public Utility Commission</w:t>
            </w:r>
          </w:p>
          <w:p w:rsidR="00E308C4" w:rsidRDefault="00E308C4" w:rsidP="00AB0142">
            <w:r>
              <w:t>Commonwealth Keystone Building</w:t>
            </w:r>
          </w:p>
          <w:p w:rsidR="00E308C4" w:rsidRDefault="00E308C4" w:rsidP="00AB0142">
            <w:r>
              <w:t>400 North Street, 2nd Floor West</w:t>
            </w:r>
          </w:p>
          <w:p w:rsidR="00E308C4" w:rsidRDefault="00E308C4" w:rsidP="00AB0142">
            <w:r>
              <w:t>P.O. Box 3265</w:t>
            </w:r>
          </w:p>
          <w:p w:rsidR="00E308C4" w:rsidRDefault="00E308C4" w:rsidP="00AB0142">
            <w:r>
              <w:t>Harrisburg, PA  17105-3265</w:t>
            </w:r>
          </w:p>
          <w:p w:rsidR="00E308C4" w:rsidRDefault="00E308C4" w:rsidP="00AB0142">
            <w:pPr>
              <w:rPr>
                <w:i/>
              </w:rPr>
            </w:pPr>
            <w:r>
              <w:t xml:space="preserve">Counsel for </w:t>
            </w:r>
            <w:r>
              <w:rPr>
                <w:i/>
              </w:rPr>
              <w:t>Bureau of Investigation and Enforcement</w:t>
            </w:r>
          </w:p>
          <w:p w:rsidR="000E5891" w:rsidRDefault="000E5891" w:rsidP="00AB0142">
            <w:pPr>
              <w:rPr>
                <w:i/>
              </w:rPr>
            </w:pPr>
          </w:p>
          <w:p w:rsidR="00E308C4" w:rsidRDefault="00E308C4" w:rsidP="00AB0142">
            <w:pPr>
              <w:rPr>
                <w:i/>
              </w:rPr>
            </w:pPr>
          </w:p>
          <w:p w:rsidR="00E308C4" w:rsidRDefault="00E308C4" w:rsidP="00AB0142">
            <w:pPr>
              <w:rPr>
                <w:i/>
              </w:rPr>
            </w:pPr>
          </w:p>
          <w:p w:rsidR="00F346E9" w:rsidRDefault="00F346E9" w:rsidP="00AB0142">
            <w:pPr>
              <w:rPr>
                <w:i/>
              </w:rPr>
            </w:pPr>
          </w:p>
          <w:p w:rsidR="00F346E9" w:rsidRPr="0078545C" w:rsidRDefault="00F346E9" w:rsidP="00AB0142">
            <w:pPr>
              <w:rPr>
                <w:i/>
              </w:rPr>
            </w:pPr>
          </w:p>
          <w:p w:rsidR="00E308C4" w:rsidRDefault="00E308C4" w:rsidP="00AB0142"/>
          <w:p w:rsidR="00E308C4" w:rsidRDefault="00E308C4" w:rsidP="00AB0142"/>
          <w:p w:rsidR="00E308C4" w:rsidRDefault="00E308C4" w:rsidP="00AB0142"/>
          <w:p w:rsidR="000E5891" w:rsidRDefault="000E5891" w:rsidP="00AB0142">
            <w:pPr>
              <w:rPr>
                <w:u w:val="single"/>
              </w:rPr>
            </w:pPr>
          </w:p>
          <w:p w:rsidR="00E308C4" w:rsidRPr="00AD4BC4" w:rsidRDefault="00E308C4" w:rsidP="00AB0142">
            <w:pPr>
              <w:rPr>
                <w:u w:val="single"/>
              </w:rPr>
            </w:pPr>
            <w:r>
              <w:rPr>
                <w:u w:val="single"/>
              </w:rPr>
              <w:tab/>
            </w:r>
            <w:r>
              <w:rPr>
                <w:u w:val="single"/>
              </w:rPr>
              <w:tab/>
            </w:r>
            <w:r>
              <w:rPr>
                <w:u w:val="single"/>
              </w:rPr>
              <w:tab/>
            </w:r>
            <w:r>
              <w:rPr>
                <w:u w:val="single"/>
              </w:rPr>
              <w:tab/>
            </w:r>
            <w:r>
              <w:rPr>
                <w:u w:val="single"/>
              </w:rPr>
              <w:tab/>
            </w:r>
            <w:r>
              <w:rPr>
                <w:u w:val="single"/>
              </w:rPr>
              <w:tab/>
            </w:r>
          </w:p>
          <w:p w:rsidR="00E308C4" w:rsidRDefault="001C51BF" w:rsidP="00AB0142">
            <w:r>
              <w:t xml:space="preserve">Max O’Keefe, Esq. (PA ID </w:t>
            </w:r>
            <w:r w:rsidR="00E308C4">
              <w:t>208685)</w:t>
            </w:r>
          </w:p>
          <w:p w:rsidR="00E308C4" w:rsidRDefault="00E308C4" w:rsidP="00AB0142">
            <w:r>
              <w:t>Lamb McErlane, P.C.</w:t>
            </w:r>
          </w:p>
          <w:p w:rsidR="00E308C4" w:rsidRDefault="00E308C4" w:rsidP="00AB0142">
            <w:r>
              <w:t>24 E. Market St. PO Box 565</w:t>
            </w:r>
          </w:p>
          <w:p w:rsidR="00E308C4" w:rsidRDefault="00E308C4" w:rsidP="00AB0142">
            <w:r>
              <w:t>West Chester, PA 19381</w:t>
            </w:r>
          </w:p>
          <w:p w:rsidR="00E308C4" w:rsidRPr="00AD4BC4" w:rsidRDefault="00E308C4" w:rsidP="00AB0142">
            <w:r>
              <w:rPr>
                <w:i/>
              </w:rPr>
              <w:t>Counsel for Sadsbury Township</w:t>
            </w:r>
          </w:p>
          <w:p w:rsidR="00E308C4" w:rsidRDefault="00E308C4" w:rsidP="00AB0142"/>
          <w:p w:rsidR="00E308C4" w:rsidRDefault="00E308C4" w:rsidP="00AB0142"/>
          <w:p w:rsidR="00E308C4" w:rsidRDefault="00E308C4" w:rsidP="00AB0142"/>
          <w:p w:rsidR="00E308C4" w:rsidRDefault="00E308C4" w:rsidP="00AB0142"/>
          <w:p w:rsidR="00E308C4" w:rsidRPr="00B83FF4" w:rsidRDefault="00E308C4" w:rsidP="00AB0142"/>
        </w:tc>
      </w:tr>
    </w:tbl>
    <w:p w:rsidR="00085752" w:rsidRPr="00D94D4F" w:rsidRDefault="00085752" w:rsidP="00085752">
      <w:pPr>
        <w:spacing w:line="480" w:lineRule="auto"/>
        <w:jc w:val="both"/>
      </w:pPr>
    </w:p>
    <w:p w:rsidR="003F29FB" w:rsidRDefault="003F29FB" w:rsidP="00384CAC">
      <w:pPr>
        <w:pStyle w:val="BodyText"/>
        <w:spacing w:before="0" w:line="480" w:lineRule="auto"/>
        <w:jc w:val="both"/>
        <w:sectPr w:rsidR="003F29FB" w:rsidSect="001E78A5">
          <w:footerReference w:type="default" r:id="rId7"/>
          <w:pgSz w:w="12240" w:h="15840" w:code="1"/>
          <w:pgMar w:top="1440" w:right="1440" w:bottom="1440" w:left="1440" w:header="720" w:footer="720" w:gutter="0"/>
          <w:cols w:space="720"/>
          <w:titlePg/>
          <w:docGrid w:linePitch="360"/>
        </w:sectPr>
      </w:pPr>
    </w:p>
    <w:p w:rsidR="003F29FB" w:rsidRPr="00D94D4F" w:rsidRDefault="003F29FB" w:rsidP="003F29FB">
      <w:pPr>
        <w:jc w:val="center"/>
      </w:pPr>
    </w:p>
    <w:p w:rsidR="003F29FB" w:rsidRPr="00D94D4F" w:rsidRDefault="003F29FB" w:rsidP="003F29FB">
      <w:pPr>
        <w:jc w:val="center"/>
      </w:pPr>
    </w:p>
    <w:p w:rsidR="003F29FB" w:rsidRPr="00D94D4F" w:rsidRDefault="003F29FB" w:rsidP="003F29FB">
      <w:pPr>
        <w:jc w:val="center"/>
      </w:pPr>
    </w:p>
    <w:p w:rsidR="003F29FB" w:rsidRPr="00D94D4F" w:rsidRDefault="003F29FB" w:rsidP="003F29FB">
      <w:pPr>
        <w:jc w:val="center"/>
      </w:pPr>
    </w:p>
    <w:p w:rsidR="003F29FB" w:rsidRPr="00D94D4F" w:rsidRDefault="003F29FB" w:rsidP="003F29FB">
      <w:pPr>
        <w:jc w:val="center"/>
      </w:pPr>
    </w:p>
    <w:p w:rsidR="003F29FB" w:rsidRPr="00D94D4F" w:rsidRDefault="003F29FB" w:rsidP="003F29FB">
      <w:pPr>
        <w:jc w:val="center"/>
      </w:pPr>
    </w:p>
    <w:sectPr w:rsidR="003F29FB" w:rsidRPr="00D94D4F">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4CB" w:rsidRDefault="004D04CB" w:rsidP="001E78A5">
      <w:r>
        <w:separator/>
      </w:r>
    </w:p>
  </w:endnote>
  <w:endnote w:type="continuationSeparator" w:id="0">
    <w:p w:rsidR="004D04CB" w:rsidRDefault="004D04CB" w:rsidP="001E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8A5" w:rsidRPr="00024785" w:rsidRDefault="001E78A5">
    <w:pPr>
      <w:pStyle w:val="Footer"/>
      <w:rPr>
        <w:rStyle w:val="PageNumber"/>
        <w:sz w:val="20"/>
        <w:szCs w:val="20"/>
      </w:rPr>
    </w:pPr>
    <w:r>
      <w:tab/>
    </w:r>
    <w:r w:rsidRPr="00024785">
      <w:rPr>
        <w:rStyle w:val="PageNumber"/>
        <w:sz w:val="20"/>
        <w:szCs w:val="20"/>
      </w:rPr>
      <w:fldChar w:fldCharType="begin"/>
    </w:r>
    <w:r w:rsidRPr="00024785">
      <w:rPr>
        <w:rStyle w:val="PageNumber"/>
        <w:sz w:val="20"/>
        <w:szCs w:val="20"/>
      </w:rPr>
      <w:instrText xml:space="preserve"> PAGE   \* MERGEFORMAT </w:instrText>
    </w:r>
    <w:r w:rsidRPr="00024785">
      <w:rPr>
        <w:rStyle w:val="PageNumber"/>
        <w:sz w:val="20"/>
        <w:szCs w:val="20"/>
      </w:rPr>
      <w:fldChar w:fldCharType="separate"/>
    </w:r>
    <w:r w:rsidR="007A3584" w:rsidRPr="00024785">
      <w:rPr>
        <w:rStyle w:val="PageNumber"/>
        <w:noProof/>
        <w:sz w:val="20"/>
        <w:szCs w:val="20"/>
      </w:rPr>
      <w:t>2</w:t>
    </w:r>
    <w:r w:rsidRPr="00024785">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4CB" w:rsidRDefault="004D04CB" w:rsidP="001E78A5">
      <w:r>
        <w:separator/>
      </w:r>
    </w:p>
  </w:footnote>
  <w:footnote w:type="continuationSeparator" w:id="0">
    <w:p w:rsidR="004D04CB" w:rsidRDefault="004D04CB" w:rsidP="001E78A5">
      <w:r>
        <w:continuationSeparator/>
      </w:r>
    </w:p>
  </w:footnote>
  <w:footnote w:id="1">
    <w:p w:rsidR="007E3654" w:rsidRDefault="007E3654" w:rsidP="007E3654">
      <w:pPr>
        <w:pStyle w:val="FootnoteText"/>
        <w:ind w:firstLine="0"/>
        <w:jc w:val="both"/>
        <w:rPr>
          <w:sz w:val="20"/>
        </w:rPr>
      </w:pPr>
      <w:r>
        <w:rPr>
          <w:rStyle w:val="FootnoteReference"/>
          <w:sz w:val="20"/>
        </w:rPr>
        <w:footnoteRef/>
      </w:r>
      <w:r>
        <w:rPr>
          <w:sz w:val="20"/>
        </w:rPr>
        <w:t xml:space="preserve">  All Stipulating Parties are also signatory parties to the “Joint Petition for </w:t>
      </w:r>
      <w:r w:rsidR="00B447EB">
        <w:rPr>
          <w:sz w:val="20"/>
        </w:rPr>
        <w:t xml:space="preserve">Approval of </w:t>
      </w:r>
      <w:r>
        <w:rPr>
          <w:sz w:val="20"/>
        </w:rPr>
        <w:t xml:space="preserve">Settlement of </w:t>
      </w:r>
      <w:r w:rsidR="00B447EB">
        <w:rPr>
          <w:sz w:val="20"/>
        </w:rPr>
        <w:t>All Issues</w:t>
      </w:r>
      <w:r>
        <w:rPr>
          <w:sz w:val="20"/>
        </w:rPr>
        <w:t xml:space="preserve">,” filed contemporaneously with the Stipulation in the above-captioned proceeding.  </w:t>
      </w:r>
    </w:p>
  </w:footnote>
  <w:footnote w:id="2">
    <w:p w:rsidR="00085752" w:rsidRDefault="00085752" w:rsidP="00085752">
      <w:pPr>
        <w:pStyle w:val="FootnoteText"/>
        <w:ind w:firstLine="0"/>
        <w:jc w:val="both"/>
        <w:rPr>
          <w:sz w:val="20"/>
        </w:rPr>
      </w:pPr>
      <w:r>
        <w:rPr>
          <w:rStyle w:val="FootnoteReference"/>
          <w:sz w:val="20"/>
        </w:rPr>
        <w:footnoteRef/>
      </w:r>
      <w:r>
        <w:rPr>
          <w:sz w:val="20"/>
        </w:rPr>
        <w:t xml:space="preserve">  Such materials are subject to the Protective Order issued by the Honorable Administrative Law Judge Da</w:t>
      </w:r>
      <w:r w:rsidR="00F346E9">
        <w:rPr>
          <w:sz w:val="20"/>
        </w:rPr>
        <w:t xml:space="preserve">rlene D. Heep </w:t>
      </w:r>
      <w:r>
        <w:rPr>
          <w:sz w:val="20"/>
        </w:rPr>
        <w:t xml:space="preserve">on </w:t>
      </w:r>
      <w:r w:rsidR="00747CEE">
        <w:rPr>
          <w:sz w:val="20"/>
        </w:rPr>
        <w:t>July 12, 2018</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964A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844E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5AB1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8208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708C8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CA1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7A16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D830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0A28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2E3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60B08"/>
    <w:multiLevelType w:val="hybridMultilevel"/>
    <w:tmpl w:val="EB12B7B2"/>
    <w:lvl w:ilvl="0" w:tplc="C1FC5408">
      <w:start w:val="1"/>
      <w:numFmt w:val="bullet"/>
      <w:pStyle w:val="Bullet1"/>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C5129"/>
    <w:multiLevelType w:val="hybridMultilevel"/>
    <w:tmpl w:val="97DA323C"/>
    <w:lvl w:ilvl="0" w:tplc="ABB27D76">
      <w:start w:val="1"/>
      <w:numFmt w:val="bullet"/>
      <w:pStyle w:val="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64176"/>
    <w:multiLevelType w:val="hybridMultilevel"/>
    <w:tmpl w:val="85800530"/>
    <w:lvl w:ilvl="0" w:tplc="6F64DEC4">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F00DC"/>
    <w:multiLevelType w:val="singleLevel"/>
    <w:tmpl w:val="61AEC59E"/>
    <w:lvl w:ilvl="0">
      <w:start w:val="1"/>
      <w:numFmt w:val="decimalZero"/>
      <w:pStyle w:val="PTONumbering"/>
      <w:lvlText w:val="[00%1]"/>
      <w:lvlJc w:val="left"/>
      <w:pPr>
        <w:tabs>
          <w:tab w:val="num" w:pos="720"/>
        </w:tabs>
        <w:ind w:left="360" w:hanging="360"/>
      </w:pPr>
      <w:rPr>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77D43EC"/>
    <w:multiLevelType w:val="multilevel"/>
    <w:tmpl w:val="CB1CAD1C"/>
    <w:name w:val=" Numbered List22222"/>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D711E4F"/>
    <w:multiLevelType w:val="multilevel"/>
    <w:tmpl w:val="44724A82"/>
    <w:lvl w:ilvl="0">
      <w:start w:val="1"/>
      <w:numFmt w:val="upperRoman"/>
      <w:lvlText w:val="%1."/>
      <w:lvlJc w:val="left"/>
      <w:pPr>
        <w:tabs>
          <w:tab w:val="num" w:pos="720"/>
        </w:tabs>
        <w:ind w:left="720" w:hanging="720"/>
      </w:pPr>
      <w:rPr>
        <w:caps w:val="0"/>
        <w:color w:val="010000"/>
        <w:u w:val="none"/>
      </w:rPr>
    </w:lvl>
    <w:lvl w:ilvl="1">
      <w:start w:val="1"/>
      <w:numFmt w:val="upperLetter"/>
      <w:lvlText w:val="%2."/>
      <w:lvlJc w:val="left"/>
      <w:pPr>
        <w:tabs>
          <w:tab w:val="num" w:pos="1440"/>
        </w:tabs>
        <w:ind w:left="1440" w:hanging="720"/>
      </w:pPr>
      <w:rPr>
        <w:caps w:val="0"/>
        <w:color w:val="010000"/>
        <w:u w:val="none"/>
      </w:rPr>
    </w:lvl>
    <w:lvl w:ilvl="2">
      <w:start w:val="1"/>
      <w:numFmt w:val="decimal"/>
      <w:lvlText w:val="%3."/>
      <w:lvlJc w:val="left"/>
      <w:pPr>
        <w:tabs>
          <w:tab w:val="num" w:pos="2160"/>
        </w:tabs>
        <w:ind w:left="2160" w:hanging="720"/>
      </w:pPr>
      <w:rPr>
        <w:caps w:val="0"/>
        <w:color w:val="010000"/>
        <w:u w:val="none"/>
      </w:rPr>
    </w:lvl>
    <w:lvl w:ilvl="3">
      <w:start w:val="1"/>
      <w:numFmt w:val="lowerLetter"/>
      <w:lvlText w:val="%4."/>
      <w:lvlJc w:val="left"/>
      <w:pPr>
        <w:tabs>
          <w:tab w:val="num" w:pos="2880"/>
        </w:tabs>
        <w:ind w:left="2880" w:hanging="720"/>
      </w:pPr>
      <w:rPr>
        <w:caps w:val="0"/>
        <w:color w:val="010000"/>
        <w:u w:val="none"/>
      </w:rPr>
    </w:lvl>
    <w:lvl w:ilvl="4">
      <w:start w:val="1"/>
      <w:numFmt w:val="lowerRoman"/>
      <w:lvlText w:val="%5."/>
      <w:lvlJc w:val="left"/>
      <w:pPr>
        <w:tabs>
          <w:tab w:val="num" w:pos="3600"/>
        </w:tabs>
        <w:ind w:left="3600" w:hanging="720"/>
      </w:pPr>
      <w:rPr>
        <w:caps w:val="0"/>
        <w:color w:val="010000"/>
        <w:u w:val="none"/>
      </w:rPr>
    </w:lvl>
    <w:lvl w:ilvl="5">
      <w:start w:val="1"/>
      <w:numFmt w:val="upperLetter"/>
      <w:lvlText w:val="(%6)"/>
      <w:lvlJc w:val="left"/>
      <w:pPr>
        <w:tabs>
          <w:tab w:val="num" w:pos="4320"/>
        </w:tabs>
        <w:ind w:left="4320" w:hanging="720"/>
      </w:pPr>
      <w:rPr>
        <w:caps w:val="0"/>
        <w:color w:val="010000"/>
        <w:u w:val="none"/>
      </w:rPr>
    </w:lvl>
    <w:lvl w:ilvl="6">
      <w:start w:val="1"/>
      <w:numFmt w:val="decimal"/>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16" w15:restartNumberingAfterBreak="0">
    <w:nsid w:val="5FAB63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3A3CDA"/>
    <w:multiLevelType w:val="singleLevel"/>
    <w:tmpl w:val="F3C21DC6"/>
    <w:name w:val=" Numbered List"/>
    <w:lvl w:ilvl="0">
      <w:start w:val="1"/>
      <w:numFmt w:val="decimal"/>
      <w:pStyle w:val="ListNumber"/>
      <w:lvlText w:val="%1."/>
      <w:lvlJc w:val="left"/>
      <w:pPr>
        <w:tabs>
          <w:tab w:val="num" w:pos="1440"/>
        </w:tabs>
        <w:ind w:left="0" w:firstLine="720"/>
      </w:pPr>
    </w:lvl>
  </w:abstractNum>
  <w:abstractNum w:abstractNumId="18" w15:restartNumberingAfterBreak="0">
    <w:nsid w:val="7C157F5B"/>
    <w:multiLevelType w:val="multilevel"/>
    <w:tmpl w:val="13807F80"/>
    <w:name w:val="Firm Standard"/>
    <w:lvl w:ilvl="0">
      <w:start w:val="1"/>
      <w:numFmt w:val="decimal"/>
      <w:pStyle w:val="Heading1"/>
      <w:lvlText w:val="%1."/>
      <w:lvlJc w:val="left"/>
      <w:pPr>
        <w:tabs>
          <w:tab w:val="num" w:pos="720"/>
        </w:tabs>
        <w:ind w:left="720" w:hanging="720"/>
      </w:pPr>
      <w:rPr>
        <w:rFonts w:hint="default"/>
        <w:caps w:val="0"/>
        <w:color w:val="auto"/>
        <w:u w:val="none"/>
      </w:rPr>
    </w:lvl>
    <w:lvl w:ilvl="1">
      <w:start w:val="1"/>
      <w:numFmt w:val="upperLetter"/>
      <w:pStyle w:val="Heading2"/>
      <w:lvlText w:val="%2."/>
      <w:lvlJc w:val="left"/>
      <w:pPr>
        <w:tabs>
          <w:tab w:val="num" w:pos="1440"/>
        </w:tabs>
        <w:ind w:left="1440" w:hanging="720"/>
      </w:pPr>
      <w:rPr>
        <w:rFonts w:hint="default"/>
        <w:caps w:val="0"/>
        <w:color w:val="auto"/>
        <w:u w:val="none"/>
      </w:rPr>
    </w:lvl>
    <w:lvl w:ilvl="2">
      <w:start w:val="1"/>
      <w:numFmt w:val="decimal"/>
      <w:pStyle w:val="Heading3"/>
      <w:lvlText w:val="%3."/>
      <w:lvlJc w:val="left"/>
      <w:pPr>
        <w:tabs>
          <w:tab w:val="num" w:pos="2160"/>
        </w:tabs>
        <w:ind w:left="2160" w:hanging="720"/>
      </w:pPr>
      <w:rPr>
        <w:rFonts w:hint="default"/>
        <w:caps w:val="0"/>
        <w:color w:val="auto"/>
        <w:u w:val="none"/>
      </w:rPr>
    </w:lvl>
    <w:lvl w:ilvl="3">
      <w:start w:val="1"/>
      <w:numFmt w:val="lowerLetter"/>
      <w:pStyle w:val="Heading4"/>
      <w:lvlText w:val="%4)"/>
      <w:lvlJc w:val="left"/>
      <w:pPr>
        <w:tabs>
          <w:tab w:val="num" w:pos="2880"/>
        </w:tabs>
        <w:ind w:left="2880" w:hanging="720"/>
      </w:pPr>
      <w:rPr>
        <w:rFonts w:hint="default"/>
        <w:caps w:val="0"/>
        <w:color w:val="auto"/>
        <w:u w:val="none"/>
      </w:rPr>
    </w:lvl>
    <w:lvl w:ilvl="4">
      <w:start w:val="1"/>
      <w:numFmt w:val="decimal"/>
      <w:pStyle w:val="Heading5"/>
      <w:lvlText w:val="(%5)"/>
      <w:lvlJc w:val="left"/>
      <w:pPr>
        <w:tabs>
          <w:tab w:val="num" w:pos="3600"/>
        </w:tabs>
        <w:ind w:left="3600" w:hanging="720"/>
      </w:pPr>
      <w:rPr>
        <w:rFonts w:hint="default"/>
        <w:caps w:val="0"/>
        <w:color w:val="auto"/>
        <w:u w:val="none"/>
      </w:rPr>
    </w:lvl>
    <w:lvl w:ilvl="5">
      <w:start w:val="1"/>
      <w:numFmt w:val="lowerLetter"/>
      <w:pStyle w:val="Heading6"/>
      <w:lvlText w:val="(%6)"/>
      <w:lvlJc w:val="left"/>
      <w:pPr>
        <w:tabs>
          <w:tab w:val="num" w:pos="4320"/>
        </w:tabs>
        <w:ind w:left="4320" w:hanging="720"/>
      </w:pPr>
      <w:rPr>
        <w:rFonts w:hint="default"/>
        <w:caps w:val="0"/>
        <w:color w:val="auto"/>
        <w:u w:val="none"/>
      </w:rPr>
    </w:lvl>
    <w:lvl w:ilvl="6">
      <w:start w:val="1"/>
      <w:numFmt w:val="lowerRoman"/>
      <w:pStyle w:val="Heading7"/>
      <w:lvlText w:val="(%7)"/>
      <w:lvlJc w:val="left"/>
      <w:pPr>
        <w:tabs>
          <w:tab w:val="num" w:pos="5040"/>
        </w:tabs>
        <w:ind w:left="5040" w:hanging="720"/>
      </w:pPr>
      <w:rPr>
        <w:rFonts w:hint="default"/>
        <w:caps w:val="0"/>
        <w:color w:val="auto"/>
        <w:u w:val="none"/>
      </w:rPr>
    </w:lvl>
    <w:lvl w:ilvl="7">
      <w:start w:val="1"/>
      <w:numFmt w:val="lowerLetter"/>
      <w:pStyle w:val="Heading8"/>
      <w:lvlText w:val="(%8)"/>
      <w:lvlJc w:val="left"/>
      <w:pPr>
        <w:tabs>
          <w:tab w:val="num" w:pos="5760"/>
        </w:tabs>
        <w:ind w:left="5760" w:hanging="720"/>
      </w:pPr>
      <w:rPr>
        <w:rFonts w:hint="default"/>
        <w:caps w:val="0"/>
        <w:color w:val="auto"/>
        <w:u w:val="none"/>
      </w:rPr>
    </w:lvl>
    <w:lvl w:ilvl="8">
      <w:start w:val="1"/>
      <w:numFmt w:val="lowerRoman"/>
      <w:pStyle w:val="Heading9"/>
      <w:lvlText w:val="%9)"/>
      <w:lvlJc w:val="left"/>
      <w:pPr>
        <w:tabs>
          <w:tab w:val="num" w:pos="6480"/>
        </w:tabs>
        <w:ind w:left="6480" w:hanging="720"/>
      </w:pPr>
      <w:rPr>
        <w:rFonts w:hint="default"/>
        <w:caps w:val="0"/>
        <w:color w:val="auto"/>
        <w:u w:val="none"/>
      </w:rPr>
    </w:lvl>
  </w:abstractNum>
  <w:num w:numId="1">
    <w:abstractNumId w:val="12"/>
  </w:num>
  <w:num w:numId="2">
    <w:abstractNumId w:val="11"/>
  </w:num>
  <w:num w:numId="3">
    <w:abstractNumId w:val="10"/>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3"/>
  </w:num>
  <w:num w:numId="23">
    <w:abstractNumId w:val="0"/>
  </w:num>
  <w:num w:numId="24">
    <w:abstractNumId w:val="1"/>
  </w:num>
  <w:num w:numId="25">
    <w:abstractNumId w:val="2"/>
  </w:num>
  <w:num w:numId="26">
    <w:abstractNumId w:val="3"/>
  </w:num>
  <w:num w:numId="27">
    <w:abstractNumId w:val="8"/>
  </w:num>
  <w:num w:numId="28">
    <w:abstractNumId w:val="4"/>
  </w:num>
  <w:num w:numId="29">
    <w:abstractNumId w:val="5"/>
  </w:num>
  <w:num w:numId="30">
    <w:abstractNumId w:val="6"/>
  </w:num>
  <w:num w:numId="31">
    <w:abstractNumId w:val="7"/>
  </w:num>
  <w:num w:numId="32">
    <w:abstractNumId w:val="9"/>
  </w:num>
  <w:num w:numId="33">
    <w:abstractNumId w:val="16"/>
  </w:num>
  <w:num w:numId="34">
    <w:abstractNumId w:val="17"/>
  </w:num>
  <w:num w:numId="35">
    <w:abstractNumId w:val="17"/>
    <w:lvlOverride w:ilvl="0">
      <w:startOverride w:val="1"/>
    </w:lvlOverride>
  </w:num>
  <w:num w:numId="36">
    <w:abstractNumId w:val="1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Removed" w:val="True"/>
    <w:docVar w:name="LastSchemeChoice" w:val="Firm Standard"/>
    <w:docVar w:name="LastSchemeUniqueID" w:val="1"/>
    <w:docVar w:name="LegacyDocIDRemoved" w:val="True"/>
  </w:docVars>
  <w:rsids>
    <w:rsidRoot w:val="007E3654"/>
    <w:rsid w:val="00024785"/>
    <w:rsid w:val="000343CC"/>
    <w:rsid w:val="00071C5E"/>
    <w:rsid w:val="00071E10"/>
    <w:rsid w:val="00085752"/>
    <w:rsid w:val="000A6F78"/>
    <w:rsid w:val="000E5891"/>
    <w:rsid w:val="0013138D"/>
    <w:rsid w:val="001C51BF"/>
    <w:rsid w:val="001E78A5"/>
    <w:rsid w:val="00244D30"/>
    <w:rsid w:val="002E77F7"/>
    <w:rsid w:val="00370F93"/>
    <w:rsid w:val="00371A9F"/>
    <w:rsid w:val="00384CAC"/>
    <w:rsid w:val="003F29FB"/>
    <w:rsid w:val="004B7FC8"/>
    <w:rsid w:val="004D04CB"/>
    <w:rsid w:val="005179FF"/>
    <w:rsid w:val="00573B00"/>
    <w:rsid w:val="00687905"/>
    <w:rsid w:val="00747CEE"/>
    <w:rsid w:val="00783226"/>
    <w:rsid w:val="007A1B6D"/>
    <w:rsid w:val="007A2BB4"/>
    <w:rsid w:val="007A3584"/>
    <w:rsid w:val="007C63D0"/>
    <w:rsid w:val="007E3654"/>
    <w:rsid w:val="0092347F"/>
    <w:rsid w:val="009A43BC"/>
    <w:rsid w:val="009B1D61"/>
    <w:rsid w:val="00A34123"/>
    <w:rsid w:val="00B447EB"/>
    <w:rsid w:val="00C80348"/>
    <w:rsid w:val="00D25930"/>
    <w:rsid w:val="00E04A90"/>
    <w:rsid w:val="00E308C4"/>
    <w:rsid w:val="00F136C1"/>
    <w:rsid w:val="00F3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FFC02"/>
  <w15:docId w15:val="{7B59C447-EC03-4A58-98C8-B618A3F9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654"/>
  </w:style>
  <w:style w:type="paragraph" w:styleId="Heading1">
    <w:name w:val="heading 1"/>
    <w:basedOn w:val="Normal"/>
    <w:next w:val="Normal"/>
    <w:link w:val="Heading1Char"/>
    <w:unhideWhenUsed/>
    <w:qFormat/>
    <w:rsid w:val="001E78A5"/>
    <w:pPr>
      <w:numPr>
        <w:numId w:val="21"/>
      </w:numPr>
      <w:spacing w:before="240"/>
      <w:outlineLvl w:val="0"/>
    </w:pPr>
    <w:rPr>
      <w:rFonts w:eastAsia="Times New Roman" w:cs="Times New Roman"/>
      <w:snapToGrid w:val="0"/>
      <w:kern w:val="28"/>
      <w:szCs w:val="20"/>
    </w:rPr>
  </w:style>
  <w:style w:type="paragraph" w:styleId="Heading2">
    <w:name w:val="heading 2"/>
    <w:basedOn w:val="Normal"/>
    <w:next w:val="Normal"/>
    <w:link w:val="Heading2Char"/>
    <w:unhideWhenUsed/>
    <w:qFormat/>
    <w:rsid w:val="001E78A5"/>
    <w:pPr>
      <w:numPr>
        <w:ilvl w:val="1"/>
        <w:numId w:val="21"/>
      </w:numPr>
      <w:spacing w:before="240"/>
      <w:outlineLvl w:val="1"/>
    </w:pPr>
    <w:rPr>
      <w:rFonts w:eastAsia="Times New Roman" w:cs="Times New Roman"/>
      <w:snapToGrid w:val="0"/>
      <w:szCs w:val="20"/>
    </w:rPr>
  </w:style>
  <w:style w:type="paragraph" w:styleId="Heading3">
    <w:name w:val="heading 3"/>
    <w:basedOn w:val="Normal"/>
    <w:next w:val="Normal"/>
    <w:link w:val="Heading3Char"/>
    <w:unhideWhenUsed/>
    <w:qFormat/>
    <w:rsid w:val="001E78A5"/>
    <w:pPr>
      <w:numPr>
        <w:ilvl w:val="2"/>
        <w:numId w:val="21"/>
      </w:numPr>
      <w:spacing w:before="240"/>
      <w:outlineLvl w:val="2"/>
    </w:pPr>
    <w:rPr>
      <w:rFonts w:eastAsia="Times New Roman" w:cs="Times New Roman"/>
      <w:snapToGrid w:val="0"/>
      <w:szCs w:val="20"/>
    </w:rPr>
  </w:style>
  <w:style w:type="paragraph" w:styleId="Heading4">
    <w:name w:val="heading 4"/>
    <w:basedOn w:val="Normal"/>
    <w:next w:val="Normal"/>
    <w:link w:val="Heading4Char"/>
    <w:unhideWhenUsed/>
    <w:qFormat/>
    <w:rsid w:val="001E78A5"/>
    <w:pPr>
      <w:numPr>
        <w:ilvl w:val="3"/>
        <w:numId w:val="21"/>
      </w:numPr>
      <w:spacing w:before="240"/>
      <w:outlineLvl w:val="3"/>
    </w:pPr>
    <w:rPr>
      <w:rFonts w:eastAsia="Times New Roman" w:cs="Times New Roman"/>
      <w:snapToGrid w:val="0"/>
      <w:szCs w:val="20"/>
    </w:rPr>
  </w:style>
  <w:style w:type="paragraph" w:styleId="Heading5">
    <w:name w:val="heading 5"/>
    <w:basedOn w:val="Normal"/>
    <w:next w:val="Normal"/>
    <w:link w:val="Heading5Char"/>
    <w:unhideWhenUsed/>
    <w:qFormat/>
    <w:rsid w:val="001E78A5"/>
    <w:pPr>
      <w:numPr>
        <w:ilvl w:val="4"/>
        <w:numId w:val="21"/>
      </w:numPr>
      <w:spacing w:before="240"/>
      <w:outlineLvl w:val="4"/>
    </w:pPr>
    <w:rPr>
      <w:rFonts w:eastAsia="Times New Roman" w:cs="Times New Roman"/>
      <w:snapToGrid w:val="0"/>
      <w:szCs w:val="20"/>
    </w:rPr>
  </w:style>
  <w:style w:type="paragraph" w:styleId="Heading6">
    <w:name w:val="heading 6"/>
    <w:basedOn w:val="Normal"/>
    <w:next w:val="Normal"/>
    <w:link w:val="Heading6Char"/>
    <w:unhideWhenUsed/>
    <w:qFormat/>
    <w:rsid w:val="001E78A5"/>
    <w:pPr>
      <w:numPr>
        <w:ilvl w:val="5"/>
        <w:numId w:val="21"/>
      </w:numPr>
      <w:spacing w:before="240"/>
      <w:outlineLvl w:val="5"/>
    </w:pPr>
    <w:rPr>
      <w:rFonts w:eastAsia="Times New Roman" w:cs="Times New Roman"/>
      <w:snapToGrid w:val="0"/>
      <w:szCs w:val="20"/>
    </w:rPr>
  </w:style>
  <w:style w:type="paragraph" w:styleId="Heading7">
    <w:name w:val="heading 7"/>
    <w:basedOn w:val="Normal"/>
    <w:next w:val="Normal"/>
    <w:link w:val="Heading7Char"/>
    <w:unhideWhenUsed/>
    <w:qFormat/>
    <w:rsid w:val="001E78A5"/>
    <w:pPr>
      <w:numPr>
        <w:ilvl w:val="6"/>
        <w:numId w:val="21"/>
      </w:numPr>
      <w:spacing w:before="240"/>
      <w:outlineLvl w:val="6"/>
    </w:pPr>
    <w:rPr>
      <w:rFonts w:eastAsia="Times New Roman" w:cs="Times New Roman"/>
      <w:snapToGrid w:val="0"/>
      <w:szCs w:val="20"/>
    </w:rPr>
  </w:style>
  <w:style w:type="paragraph" w:styleId="Heading8">
    <w:name w:val="heading 8"/>
    <w:basedOn w:val="Normal"/>
    <w:next w:val="Normal"/>
    <w:link w:val="Heading8Char"/>
    <w:unhideWhenUsed/>
    <w:qFormat/>
    <w:rsid w:val="001E78A5"/>
    <w:pPr>
      <w:numPr>
        <w:ilvl w:val="7"/>
        <w:numId w:val="21"/>
      </w:numPr>
      <w:spacing w:before="240"/>
      <w:outlineLvl w:val="7"/>
    </w:pPr>
    <w:rPr>
      <w:rFonts w:eastAsia="Times New Roman" w:cs="Times New Roman"/>
      <w:snapToGrid w:val="0"/>
      <w:szCs w:val="20"/>
    </w:rPr>
  </w:style>
  <w:style w:type="paragraph" w:styleId="Heading9">
    <w:name w:val="heading 9"/>
    <w:basedOn w:val="Normal"/>
    <w:next w:val="Normal"/>
    <w:link w:val="Heading9Char"/>
    <w:unhideWhenUsed/>
    <w:qFormat/>
    <w:rsid w:val="001E78A5"/>
    <w:pPr>
      <w:numPr>
        <w:ilvl w:val="8"/>
        <w:numId w:val="21"/>
      </w:numPr>
      <w:spacing w:before="240"/>
      <w:outlineLvl w:val="8"/>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05">
    <w:name w:val="Block Indent 0.5"/>
    <w:basedOn w:val="Normal"/>
    <w:qFormat/>
    <w:rsid w:val="001E78A5"/>
    <w:pPr>
      <w:spacing w:before="240"/>
      <w:ind w:left="720" w:right="720"/>
    </w:pPr>
    <w:rPr>
      <w:rFonts w:eastAsia="Times New Roman" w:cs="Times New Roman"/>
    </w:rPr>
  </w:style>
  <w:style w:type="paragraph" w:customStyle="1" w:styleId="BlockIndent10">
    <w:name w:val="Block Indent 1.0"/>
    <w:basedOn w:val="Normal"/>
    <w:qFormat/>
    <w:rsid w:val="001E78A5"/>
    <w:pPr>
      <w:spacing w:before="240"/>
      <w:ind w:left="1440" w:right="1440"/>
    </w:pPr>
    <w:rPr>
      <w:rFonts w:eastAsia="Times New Roman" w:cs="Times New Roman"/>
    </w:rPr>
  </w:style>
  <w:style w:type="paragraph" w:customStyle="1" w:styleId="BlockIndent15">
    <w:name w:val="Block Indent 1.5"/>
    <w:basedOn w:val="Normal"/>
    <w:rsid w:val="001E78A5"/>
    <w:pPr>
      <w:spacing w:before="240"/>
      <w:ind w:left="2160" w:right="2160"/>
    </w:pPr>
    <w:rPr>
      <w:rFonts w:eastAsia="Times New Roman" w:cs="Times New Roman"/>
    </w:rPr>
  </w:style>
  <w:style w:type="paragraph" w:customStyle="1" w:styleId="BlockIndent20">
    <w:name w:val="Block Indent 2.0"/>
    <w:basedOn w:val="Normal"/>
    <w:rsid w:val="001E78A5"/>
    <w:pPr>
      <w:spacing w:before="240"/>
      <w:ind w:left="2880" w:right="2880"/>
    </w:pPr>
    <w:rPr>
      <w:rFonts w:eastAsia="Times New Roman" w:cs="Times New Roman"/>
    </w:rPr>
  </w:style>
  <w:style w:type="paragraph" w:customStyle="1" w:styleId="BlockQuote">
    <w:name w:val="Block Quote"/>
    <w:basedOn w:val="Normal"/>
    <w:semiHidden/>
    <w:rsid w:val="001E78A5"/>
    <w:pPr>
      <w:spacing w:before="240"/>
      <w:ind w:left="2880" w:right="2880"/>
    </w:pPr>
    <w:rPr>
      <w:rFonts w:eastAsia="Times New Roman" w:cs="Times New Roman"/>
      <w:szCs w:val="20"/>
    </w:rPr>
  </w:style>
  <w:style w:type="paragraph" w:styleId="BlockText">
    <w:name w:val="Block Text"/>
    <w:basedOn w:val="Normal"/>
    <w:semiHidden/>
    <w:rsid w:val="001E78A5"/>
    <w:pPr>
      <w:spacing w:before="120"/>
      <w:ind w:left="1440" w:right="1440"/>
    </w:pPr>
    <w:rPr>
      <w:rFonts w:eastAsia="Times New Roman" w:cs="Times New Roman"/>
      <w:snapToGrid w:val="0"/>
      <w:szCs w:val="20"/>
    </w:rPr>
  </w:style>
  <w:style w:type="paragraph" w:customStyle="1" w:styleId="BodyDouble">
    <w:name w:val="Body Double"/>
    <w:basedOn w:val="Normal"/>
    <w:rsid w:val="001E78A5"/>
    <w:pPr>
      <w:spacing w:line="520" w:lineRule="exact"/>
    </w:pPr>
    <w:rPr>
      <w:rFonts w:eastAsia="Times New Roman" w:cs="Times New Roman"/>
      <w:szCs w:val="20"/>
    </w:rPr>
  </w:style>
  <w:style w:type="paragraph" w:customStyle="1" w:styleId="BodyDouble05">
    <w:name w:val="Body Double 0.5"/>
    <w:basedOn w:val="Normal"/>
    <w:qFormat/>
    <w:rsid w:val="001E78A5"/>
    <w:pPr>
      <w:spacing w:line="520" w:lineRule="exact"/>
      <w:ind w:firstLine="720"/>
    </w:pPr>
    <w:rPr>
      <w:rFonts w:eastAsia="Times New Roman" w:cs="Times New Roman"/>
      <w:szCs w:val="20"/>
    </w:rPr>
  </w:style>
  <w:style w:type="paragraph" w:customStyle="1" w:styleId="BodyDouble10">
    <w:name w:val="Body Double 1.0"/>
    <w:basedOn w:val="Normal"/>
    <w:qFormat/>
    <w:rsid w:val="001E78A5"/>
    <w:pPr>
      <w:spacing w:line="520" w:lineRule="exact"/>
      <w:ind w:firstLine="1440"/>
    </w:pPr>
    <w:rPr>
      <w:rFonts w:eastAsia="Times New Roman" w:cs="Times New Roman"/>
      <w:szCs w:val="20"/>
    </w:rPr>
  </w:style>
  <w:style w:type="paragraph" w:customStyle="1" w:styleId="BodyDouble15">
    <w:name w:val="Body Double 1.5"/>
    <w:basedOn w:val="Normal"/>
    <w:rsid w:val="001E78A5"/>
    <w:pPr>
      <w:spacing w:line="520" w:lineRule="exact"/>
      <w:ind w:firstLine="2160"/>
    </w:pPr>
    <w:rPr>
      <w:rFonts w:eastAsia="Times New Roman" w:cs="Times New Roman"/>
      <w:szCs w:val="20"/>
    </w:rPr>
  </w:style>
  <w:style w:type="paragraph" w:customStyle="1" w:styleId="BodyDouble20">
    <w:name w:val="Body Double 2.0"/>
    <w:basedOn w:val="Normal"/>
    <w:rsid w:val="001E78A5"/>
    <w:pPr>
      <w:spacing w:line="520" w:lineRule="exact"/>
      <w:ind w:firstLine="2880"/>
    </w:pPr>
    <w:rPr>
      <w:rFonts w:eastAsia="Times New Roman" w:cs="Times New Roman"/>
      <w:szCs w:val="20"/>
    </w:rPr>
  </w:style>
  <w:style w:type="paragraph" w:customStyle="1" w:styleId="BodyDouble25">
    <w:name w:val="Body Double 2.5"/>
    <w:basedOn w:val="Normal"/>
    <w:rsid w:val="001E78A5"/>
    <w:pPr>
      <w:spacing w:line="520" w:lineRule="exact"/>
      <w:ind w:firstLine="3600"/>
    </w:pPr>
    <w:rPr>
      <w:rFonts w:eastAsia="Times New Roman" w:cs="Times New Roman"/>
      <w:szCs w:val="20"/>
    </w:rPr>
  </w:style>
  <w:style w:type="paragraph" w:customStyle="1" w:styleId="BodyDouble30">
    <w:name w:val="Body Double 3.0"/>
    <w:basedOn w:val="Normal"/>
    <w:rsid w:val="001E78A5"/>
    <w:pPr>
      <w:spacing w:line="520" w:lineRule="exact"/>
      <w:ind w:firstLine="4320"/>
    </w:pPr>
    <w:rPr>
      <w:rFonts w:eastAsia="Times New Roman" w:cs="Times New Roman"/>
      <w:szCs w:val="20"/>
    </w:rPr>
  </w:style>
  <w:style w:type="paragraph" w:customStyle="1" w:styleId="BodyIndent05">
    <w:name w:val="Body Indent 0.5"/>
    <w:basedOn w:val="Normal"/>
    <w:qFormat/>
    <w:rsid w:val="001E78A5"/>
    <w:pPr>
      <w:spacing w:before="240"/>
      <w:ind w:left="720"/>
    </w:pPr>
    <w:rPr>
      <w:rFonts w:eastAsia="Times New Roman" w:cs="Times New Roman"/>
    </w:rPr>
  </w:style>
  <w:style w:type="paragraph" w:customStyle="1" w:styleId="BodyIndent10">
    <w:name w:val="Body Indent 1.0"/>
    <w:basedOn w:val="Normal"/>
    <w:qFormat/>
    <w:rsid w:val="001E78A5"/>
    <w:pPr>
      <w:spacing w:before="240"/>
      <w:ind w:left="1440"/>
    </w:pPr>
    <w:rPr>
      <w:rFonts w:eastAsia="Times New Roman" w:cs="Times New Roman"/>
    </w:rPr>
  </w:style>
  <w:style w:type="paragraph" w:customStyle="1" w:styleId="BodyIndent15">
    <w:name w:val="Body Indent 1.5"/>
    <w:basedOn w:val="Normal"/>
    <w:rsid w:val="001E78A5"/>
    <w:pPr>
      <w:spacing w:before="240"/>
      <w:ind w:left="2160"/>
    </w:pPr>
    <w:rPr>
      <w:rFonts w:eastAsia="Times New Roman" w:cs="Times New Roman"/>
    </w:rPr>
  </w:style>
  <w:style w:type="paragraph" w:customStyle="1" w:styleId="BodyIndent20">
    <w:name w:val="Body Indent 2.0"/>
    <w:basedOn w:val="Normal"/>
    <w:rsid w:val="001E78A5"/>
    <w:pPr>
      <w:spacing w:before="240"/>
      <w:ind w:left="2880"/>
    </w:pPr>
    <w:rPr>
      <w:rFonts w:eastAsia="Times New Roman" w:cs="Times New Roman"/>
    </w:rPr>
  </w:style>
  <w:style w:type="paragraph" w:customStyle="1" w:styleId="BodyIndent25">
    <w:name w:val="Body Indent 2.5"/>
    <w:basedOn w:val="Normal"/>
    <w:rsid w:val="001E78A5"/>
    <w:pPr>
      <w:spacing w:before="240"/>
      <w:ind w:left="3600"/>
    </w:pPr>
    <w:rPr>
      <w:rFonts w:eastAsia="Times New Roman" w:cs="Times New Roman"/>
    </w:rPr>
  </w:style>
  <w:style w:type="paragraph" w:customStyle="1" w:styleId="BodyIndent30">
    <w:name w:val="Body Indent 3.0"/>
    <w:basedOn w:val="Normal"/>
    <w:rsid w:val="001E78A5"/>
    <w:pPr>
      <w:spacing w:before="240"/>
      <w:ind w:left="4320"/>
    </w:pPr>
    <w:rPr>
      <w:rFonts w:eastAsia="Times New Roman" w:cs="Times New Roman"/>
    </w:rPr>
  </w:style>
  <w:style w:type="paragraph" w:styleId="BodyText">
    <w:name w:val="Body Text"/>
    <w:aliases w:val="bt"/>
    <w:basedOn w:val="Normal"/>
    <w:link w:val="BodyTextChar"/>
    <w:qFormat/>
    <w:rsid w:val="001E78A5"/>
    <w:pPr>
      <w:spacing w:before="240"/>
    </w:pPr>
    <w:rPr>
      <w:rFonts w:eastAsia="Times New Roman" w:cs="Times New Roman"/>
    </w:rPr>
  </w:style>
  <w:style w:type="character" w:customStyle="1" w:styleId="BodyTextChar">
    <w:name w:val="Body Text Char"/>
    <w:aliases w:val="bt Char"/>
    <w:basedOn w:val="DefaultParagraphFont"/>
    <w:link w:val="BodyText"/>
    <w:rsid w:val="001E78A5"/>
    <w:rPr>
      <w:rFonts w:eastAsia="Times New Roman" w:cs="Times New Roman"/>
    </w:rPr>
  </w:style>
  <w:style w:type="paragraph" w:customStyle="1" w:styleId="BodyText05">
    <w:name w:val="Body Text 0.5"/>
    <w:basedOn w:val="Normal"/>
    <w:qFormat/>
    <w:rsid w:val="001E78A5"/>
    <w:pPr>
      <w:spacing w:before="240"/>
      <w:ind w:firstLine="720"/>
    </w:pPr>
    <w:rPr>
      <w:rFonts w:eastAsia="Times New Roman" w:cs="Times New Roman"/>
    </w:rPr>
  </w:style>
  <w:style w:type="paragraph" w:customStyle="1" w:styleId="BodyText10">
    <w:name w:val="Body Text 1.0"/>
    <w:basedOn w:val="Normal"/>
    <w:qFormat/>
    <w:rsid w:val="001E78A5"/>
    <w:pPr>
      <w:spacing w:before="240"/>
      <w:ind w:firstLine="1440"/>
    </w:pPr>
    <w:rPr>
      <w:rFonts w:eastAsia="Times New Roman" w:cs="Times New Roman"/>
    </w:rPr>
  </w:style>
  <w:style w:type="paragraph" w:customStyle="1" w:styleId="BodyText15">
    <w:name w:val="Body Text 1.5"/>
    <w:basedOn w:val="Normal"/>
    <w:rsid w:val="001E78A5"/>
    <w:pPr>
      <w:spacing w:before="240"/>
      <w:ind w:firstLine="2160"/>
    </w:pPr>
    <w:rPr>
      <w:rFonts w:eastAsia="Times New Roman" w:cs="Times New Roman"/>
    </w:rPr>
  </w:style>
  <w:style w:type="paragraph" w:styleId="BodyText2">
    <w:name w:val="Body Text 2"/>
    <w:basedOn w:val="Normal"/>
    <w:link w:val="BodyText2Char"/>
    <w:rsid w:val="001E78A5"/>
    <w:pPr>
      <w:spacing w:after="120" w:line="480" w:lineRule="auto"/>
    </w:pPr>
    <w:rPr>
      <w:rFonts w:eastAsia="Times New Roman" w:cs="Times New Roman"/>
    </w:rPr>
  </w:style>
  <w:style w:type="character" w:customStyle="1" w:styleId="BodyText2Char">
    <w:name w:val="Body Text 2 Char"/>
    <w:basedOn w:val="DefaultParagraphFont"/>
    <w:link w:val="BodyText2"/>
    <w:semiHidden/>
    <w:rsid w:val="001E78A5"/>
    <w:rPr>
      <w:rFonts w:eastAsia="Times New Roman" w:cs="Times New Roman"/>
    </w:rPr>
  </w:style>
  <w:style w:type="paragraph" w:customStyle="1" w:styleId="BodyText20">
    <w:name w:val="Body Text 2.0"/>
    <w:basedOn w:val="Normal"/>
    <w:rsid w:val="001E78A5"/>
    <w:pPr>
      <w:spacing w:before="240"/>
      <w:ind w:firstLine="2880"/>
    </w:pPr>
    <w:rPr>
      <w:rFonts w:eastAsia="Times New Roman" w:cs="Times New Roman"/>
    </w:rPr>
  </w:style>
  <w:style w:type="paragraph" w:customStyle="1" w:styleId="BodyText25">
    <w:name w:val="Body Text 2.5"/>
    <w:basedOn w:val="Normal"/>
    <w:rsid w:val="001E78A5"/>
    <w:pPr>
      <w:spacing w:before="240"/>
      <w:ind w:firstLine="3600"/>
    </w:pPr>
    <w:rPr>
      <w:rFonts w:eastAsia="Times New Roman" w:cs="Times New Roman"/>
    </w:rPr>
  </w:style>
  <w:style w:type="paragraph" w:styleId="BodyText3">
    <w:name w:val="Body Text 3"/>
    <w:basedOn w:val="Normal"/>
    <w:link w:val="BodyText3Char"/>
    <w:semiHidden/>
    <w:rsid w:val="001E78A5"/>
    <w:pPr>
      <w:spacing w:after="120"/>
    </w:pPr>
    <w:rPr>
      <w:rFonts w:eastAsia="Times New Roman" w:cs="Times New Roman"/>
      <w:sz w:val="16"/>
      <w:szCs w:val="16"/>
    </w:rPr>
  </w:style>
  <w:style w:type="character" w:customStyle="1" w:styleId="BodyText3Char">
    <w:name w:val="Body Text 3 Char"/>
    <w:basedOn w:val="DefaultParagraphFont"/>
    <w:link w:val="BodyText3"/>
    <w:semiHidden/>
    <w:rsid w:val="001E78A5"/>
    <w:rPr>
      <w:rFonts w:eastAsia="Times New Roman" w:cs="Times New Roman"/>
      <w:sz w:val="16"/>
      <w:szCs w:val="16"/>
    </w:rPr>
  </w:style>
  <w:style w:type="paragraph" w:customStyle="1" w:styleId="BodyText30">
    <w:name w:val="Body Text 3.0"/>
    <w:basedOn w:val="Normal"/>
    <w:rsid w:val="001E78A5"/>
    <w:pPr>
      <w:spacing w:before="240"/>
      <w:ind w:firstLine="4320"/>
    </w:pPr>
    <w:rPr>
      <w:rFonts w:eastAsia="Times New Roman" w:cs="Times New Roman"/>
    </w:rPr>
  </w:style>
  <w:style w:type="paragraph" w:styleId="BodyTextFirstIndent">
    <w:name w:val="Body Text First Indent"/>
    <w:basedOn w:val="Normal"/>
    <w:link w:val="BodyTextFirstIndentChar"/>
    <w:semiHidden/>
    <w:rsid w:val="001E78A5"/>
    <w:pPr>
      <w:spacing w:after="120"/>
      <w:ind w:firstLine="210"/>
    </w:pPr>
    <w:rPr>
      <w:rFonts w:eastAsia="Times New Roman" w:cs="Times New Roman"/>
    </w:rPr>
  </w:style>
  <w:style w:type="character" w:customStyle="1" w:styleId="BodyTextFirstIndentChar">
    <w:name w:val="Body Text First Indent Char"/>
    <w:basedOn w:val="BodyTextChar"/>
    <w:link w:val="BodyTextFirstIndent"/>
    <w:semiHidden/>
    <w:rsid w:val="001E78A5"/>
    <w:rPr>
      <w:rFonts w:eastAsia="Times New Roman" w:cs="Times New Roman"/>
    </w:rPr>
  </w:style>
  <w:style w:type="paragraph" w:styleId="BodyTextIndent">
    <w:name w:val="Body Text Indent"/>
    <w:basedOn w:val="Normal"/>
    <w:link w:val="BodyTextIndentChar"/>
    <w:semiHidden/>
    <w:rsid w:val="001E78A5"/>
    <w:pPr>
      <w:spacing w:after="120"/>
      <w:ind w:left="360"/>
    </w:pPr>
    <w:rPr>
      <w:rFonts w:eastAsia="Times New Roman" w:cs="Times New Roman"/>
    </w:rPr>
  </w:style>
  <w:style w:type="character" w:customStyle="1" w:styleId="BodyTextIndentChar">
    <w:name w:val="Body Text Indent Char"/>
    <w:basedOn w:val="DefaultParagraphFont"/>
    <w:link w:val="BodyTextIndent"/>
    <w:semiHidden/>
    <w:rsid w:val="001E78A5"/>
    <w:rPr>
      <w:rFonts w:eastAsia="Times New Roman" w:cs="Times New Roman"/>
    </w:rPr>
  </w:style>
  <w:style w:type="paragraph" w:styleId="BodyTextFirstIndent2">
    <w:name w:val="Body Text First Indent 2"/>
    <w:basedOn w:val="BodyTextIndent"/>
    <w:link w:val="BodyTextFirstIndent2Char"/>
    <w:semiHidden/>
    <w:rsid w:val="001E78A5"/>
    <w:pPr>
      <w:ind w:firstLine="210"/>
    </w:pPr>
  </w:style>
  <w:style w:type="character" w:customStyle="1" w:styleId="BodyTextFirstIndent2Char">
    <w:name w:val="Body Text First Indent 2 Char"/>
    <w:basedOn w:val="BodyTextIndentChar"/>
    <w:link w:val="BodyTextFirstIndent2"/>
    <w:semiHidden/>
    <w:rsid w:val="001E78A5"/>
    <w:rPr>
      <w:rFonts w:eastAsia="Times New Roman" w:cs="Times New Roman"/>
    </w:rPr>
  </w:style>
  <w:style w:type="paragraph" w:styleId="BodyTextIndent2">
    <w:name w:val="Body Text Indent 2"/>
    <w:basedOn w:val="Normal"/>
    <w:link w:val="BodyTextIndent2Char"/>
    <w:semiHidden/>
    <w:rsid w:val="001E78A5"/>
    <w:pPr>
      <w:spacing w:after="120" w:line="480" w:lineRule="auto"/>
      <w:ind w:left="360"/>
    </w:pPr>
    <w:rPr>
      <w:rFonts w:eastAsia="Times New Roman" w:cs="Times New Roman"/>
    </w:rPr>
  </w:style>
  <w:style w:type="character" w:customStyle="1" w:styleId="BodyTextIndent2Char">
    <w:name w:val="Body Text Indent 2 Char"/>
    <w:basedOn w:val="DefaultParagraphFont"/>
    <w:link w:val="BodyTextIndent2"/>
    <w:semiHidden/>
    <w:rsid w:val="001E78A5"/>
    <w:rPr>
      <w:rFonts w:eastAsia="Times New Roman" w:cs="Times New Roman"/>
    </w:rPr>
  </w:style>
  <w:style w:type="paragraph" w:styleId="BodyTextIndent3">
    <w:name w:val="Body Text Indent 3"/>
    <w:basedOn w:val="Normal"/>
    <w:link w:val="BodyTextIndent3Char"/>
    <w:semiHidden/>
    <w:rsid w:val="001E78A5"/>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1E78A5"/>
    <w:rPr>
      <w:rFonts w:eastAsia="Times New Roman" w:cs="Times New Roman"/>
      <w:sz w:val="16"/>
      <w:szCs w:val="16"/>
    </w:rPr>
  </w:style>
  <w:style w:type="paragraph" w:customStyle="1" w:styleId="BodyHI5">
    <w:name w:val="BodyHI .5"/>
    <w:basedOn w:val="Normal"/>
    <w:qFormat/>
    <w:rsid w:val="001E78A5"/>
    <w:pPr>
      <w:spacing w:before="240"/>
      <w:ind w:left="720" w:hanging="720"/>
    </w:pPr>
    <w:rPr>
      <w:rFonts w:eastAsia="Times New Roman" w:cs="Times New Roman"/>
    </w:rPr>
  </w:style>
  <w:style w:type="paragraph" w:customStyle="1" w:styleId="BodyHI1">
    <w:name w:val="BodyHI 1"/>
    <w:basedOn w:val="Normal"/>
    <w:qFormat/>
    <w:rsid w:val="001E78A5"/>
    <w:pPr>
      <w:spacing w:before="240"/>
      <w:ind w:left="1440" w:hanging="1440"/>
    </w:pPr>
    <w:rPr>
      <w:rFonts w:eastAsia="Times New Roman" w:cs="Times New Roman"/>
    </w:rPr>
  </w:style>
  <w:style w:type="paragraph" w:customStyle="1" w:styleId="BodyHI15">
    <w:name w:val="BodyHI 1.5"/>
    <w:basedOn w:val="Normal"/>
    <w:rsid w:val="001E78A5"/>
    <w:pPr>
      <w:spacing w:before="240"/>
      <w:ind w:left="2160" w:hanging="2160"/>
    </w:pPr>
    <w:rPr>
      <w:rFonts w:eastAsia="Times New Roman" w:cs="Times New Roman"/>
    </w:rPr>
  </w:style>
  <w:style w:type="paragraph" w:customStyle="1" w:styleId="BodyHI2">
    <w:name w:val="BodyHI 2"/>
    <w:basedOn w:val="Normal"/>
    <w:rsid w:val="001E78A5"/>
    <w:pPr>
      <w:spacing w:before="240"/>
      <w:ind w:left="2880" w:hanging="2880"/>
    </w:pPr>
    <w:rPr>
      <w:rFonts w:eastAsia="Times New Roman" w:cs="Times New Roman"/>
    </w:rPr>
  </w:style>
  <w:style w:type="paragraph" w:customStyle="1" w:styleId="Bullet">
    <w:name w:val="Bullet"/>
    <w:basedOn w:val="Normal"/>
    <w:qFormat/>
    <w:rsid w:val="001E78A5"/>
    <w:pPr>
      <w:numPr>
        <w:numId w:val="1"/>
      </w:numPr>
      <w:spacing w:before="240"/>
    </w:pPr>
    <w:rPr>
      <w:rFonts w:eastAsia="Times New Roman" w:cs="Times New Roman"/>
    </w:rPr>
  </w:style>
  <w:style w:type="paragraph" w:customStyle="1" w:styleId="Bullet5">
    <w:name w:val="Bullet .5"/>
    <w:basedOn w:val="Normal"/>
    <w:qFormat/>
    <w:rsid w:val="001E78A5"/>
    <w:pPr>
      <w:numPr>
        <w:numId w:val="2"/>
      </w:numPr>
      <w:spacing w:before="240"/>
    </w:pPr>
    <w:rPr>
      <w:rFonts w:eastAsia="Times New Roman" w:cs="Times New Roman"/>
    </w:rPr>
  </w:style>
  <w:style w:type="paragraph" w:customStyle="1" w:styleId="Bullet1">
    <w:name w:val="Bullet 1"/>
    <w:basedOn w:val="Normal"/>
    <w:qFormat/>
    <w:rsid w:val="001E78A5"/>
    <w:pPr>
      <w:numPr>
        <w:numId w:val="3"/>
      </w:numPr>
      <w:spacing w:before="240"/>
    </w:pPr>
    <w:rPr>
      <w:rFonts w:eastAsia="Times New Roman" w:cs="Times New Roman"/>
    </w:rPr>
  </w:style>
  <w:style w:type="character" w:customStyle="1" w:styleId="Heading1Char">
    <w:name w:val="Heading 1 Char"/>
    <w:basedOn w:val="DefaultParagraphFont"/>
    <w:link w:val="Heading1"/>
    <w:rsid w:val="000A6F78"/>
    <w:rPr>
      <w:rFonts w:eastAsia="Times New Roman" w:cs="Times New Roman"/>
      <w:snapToGrid w:val="0"/>
      <w:kern w:val="28"/>
      <w:szCs w:val="20"/>
    </w:rPr>
  </w:style>
  <w:style w:type="character" w:customStyle="1" w:styleId="Heading2Char">
    <w:name w:val="Heading 2 Char"/>
    <w:basedOn w:val="DefaultParagraphFont"/>
    <w:link w:val="Heading2"/>
    <w:rsid w:val="000A6F78"/>
    <w:rPr>
      <w:rFonts w:eastAsia="Times New Roman" w:cs="Times New Roman"/>
      <w:snapToGrid w:val="0"/>
      <w:szCs w:val="20"/>
    </w:rPr>
  </w:style>
  <w:style w:type="character" w:customStyle="1" w:styleId="Heading3Char">
    <w:name w:val="Heading 3 Char"/>
    <w:basedOn w:val="DefaultParagraphFont"/>
    <w:link w:val="Heading3"/>
    <w:rsid w:val="000A6F78"/>
    <w:rPr>
      <w:rFonts w:eastAsia="Times New Roman" w:cs="Times New Roman"/>
      <w:snapToGrid w:val="0"/>
      <w:szCs w:val="20"/>
    </w:rPr>
  </w:style>
  <w:style w:type="character" w:customStyle="1" w:styleId="Heading4Char">
    <w:name w:val="Heading 4 Char"/>
    <w:basedOn w:val="DefaultParagraphFont"/>
    <w:link w:val="Heading4"/>
    <w:rsid w:val="000A6F78"/>
    <w:rPr>
      <w:rFonts w:eastAsia="Times New Roman" w:cs="Times New Roman"/>
      <w:snapToGrid w:val="0"/>
      <w:szCs w:val="20"/>
    </w:rPr>
  </w:style>
  <w:style w:type="character" w:customStyle="1" w:styleId="Heading5Char">
    <w:name w:val="Heading 5 Char"/>
    <w:basedOn w:val="DefaultParagraphFont"/>
    <w:link w:val="Heading5"/>
    <w:rsid w:val="000A6F78"/>
    <w:rPr>
      <w:rFonts w:eastAsia="Times New Roman" w:cs="Times New Roman"/>
      <w:snapToGrid w:val="0"/>
      <w:szCs w:val="20"/>
    </w:rPr>
  </w:style>
  <w:style w:type="character" w:customStyle="1" w:styleId="Heading6Char">
    <w:name w:val="Heading 6 Char"/>
    <w:basedOn w:val="DefaultParagraphFont"/>
    <w:link w:val="Heading6"/>
    <w:rsid w:val="000A6F78"/>
    <w:rPr>
      <w:rFonts w:eastAsia="Times New Roman" w:cs="Times New Roman"/>
      <w:snapToGrid w:val="0"/>
      <w:szCs w:val="20"/>
    </w:rPr>
  </w:style>
  <w:style w:type="character" w:customStyle="1" w:styleId="Heading7Char">
    <w:name w:val="Heading 7 Char"/>
    <w:basedOn w:val="DefaultParagraphFont"/>
    <w:link w:val="Heading7"/>
    <w:rsid w:val="000A6F78"/>
    <w:rPr>
      <w:rFonts w:eastAsia="Times New Roman" w:cs="Times New Roman"/>
      <w:snapToGrid w:val="0"/>
      <w:szCs w:val="20"/>
    </w:rPr>
  </w:style>
  <w:style w:type="character" w:customStyle="1" w:styleId="Heading8Char">
    <w:name w:val="Heading 8 Char"/>
    <w:basedOn w:val="DefaultParagraphFont"/>
    <w:link w:val="Heading8"/>
    <w:rsid w:val="000A6F78"/>
    <w:rPr>
      <w:rFonts w:eastAsia="Times New Roman" w:cs="Times New Roman"/>
      <w:snapToGrid w:val="0"/>
      <w:szCs w:val="20"/>
    </w:rPr>
  </w:style>
  <w:style w:type="character" w:customStyle="1" w:styleId="Heading9Char">
    <w:name w:val="Heading 9 Char"/>
    <w:basedOn w:val="DefaultParagraphFont"/>
    <w:link w:val="Heading9"/>
    <w:rsid w:val="000A6F78"/>
    <w:rPr>
      <w:rFonts w:eastAsia="Times New Roman" w:cs="Times New Roman"/>
      <w:snapToGrid w:val="0"/>
      <w:szCs w:val="20"/>
    </w:rPr>
  </w:style>
  <w:style w:type="paragraph" w:styleId="Title">
    <w:name w:val="Title"/>
    <w:basedOn w:val="Normal"/>
    <w:next w:val="BodyText"/>
    <w:link w:val="TitleChar"/>
    <w:qFormat/>
    <w:rsid w:val="001E78A5"/>
    <w:pPr>
      <w:spacing w:before="240"/>
      <w:jc w:val="center"/>
      <w:outlineLvl w:val="0"/>
    </w:pPr>
    <w:rPr>
      <w:rFonts w:eastAsia="Times New Roman" w:cs="Times New Roman"/>
      <w:b/>
      <w:snapToGrid w:val="0"/>
      <w:kern w:val="28"/>
      <w:szCs w:val="20"/>
      <w:u w:val="single"/>
    </w:rPr>
  </w:style>
  <w:style w:type="character" w:customStyle="1" w:styleId="TitleChar">
    <w:name w:val="Title Char"/>
    <w:basedOn w:val="DefaultParagraphFont"/>
    <w:link w:val="Title"/>
    <w:rsid w:val="001E78A5"/>
    <w:rPr>
      <w:rFonts w:eastAsia="Times New Roman" w:cs="Times New Roman"/>
      <w:b/>
      <w:snapToGrid w:val="0"/>
      <w:kern w:val="28"/>
      <w:szCs w:val="20"/>
      <w:u w:val="single"/>
    </w:rPr>
  </w:style>
  <w:style w:type="paragraph" w:customStyle="1" w:styleId="TitleC">
    <w:name w:val="Title C"/>
    <w:basedOn w:val="Normal"/>
    <w:next w:val="BodyText"/>
    <w:qFormat/>
    <w:rsid w:val="001E78A5"/>
    <w:pPr>
      <w:keepNext/>
      <w:keepLines/>
      <w:spacing w:before="240"/>
      <w:jc w:val="center"/>
    </w:pPr>
    <w:rPr>
      <w:rFonts w:eastAsia="Times New Roman" w:cs="Times New Roman"/>
    </w:rPr>
  </w:style>
  <w:style w:type="paragraph" w:customStyle="1" w:styleId="TitleCAPS">
    <w:name w:val="Title CAPS"/>
    <w:basedOn w:val="Normal"/>
    <w:next w:val="BodyText"/>
    <w:qFormat/>
    <w:rsid w:val="001E78A5"/>
    <w:pPr>
      <w:keepNext/>
      <w:keepLines/>
      <w:spacing w:before="240"/>
      <w:jc w:val="center"/>
    </w:pPr>
    <w:rPr>
      <w:rFonts w:eastAsia="Times New Roman" w:cs="Times New Roman"/>
      <w:caps/>
    </w:rPr>
  </w:style>
  <w:style w:type="paragraph" w:customStyle="1" w:styleId="TitleCB">
    <w:name w:val="Title CB"/>
    <w:basedOn w:val="Normal"/>
    <w:next w:val="BodyText"/>
    <w:qFormat/>
    <w:rsid w:val="001E78A5"/>
    <w:pPr>
      <w:keepNext/>
      <w:keepLines/>
      <w:spacing w:before="240"/>
      <w:jc w:val="center"/>
    </w:pPr>
    <w:rPr>
      <w:rFonts w:eastAsia="Times New Roman" w:cs="Times New Roman"/>
      <w:b/>
    </w:rPr>
  </w:style>
  <w:style w:type="paragraph" w:customStyle="1" w:styleId="TitleCBU">
    <w:name w:val="Title CBU"/>
    <w:basedOn w:val="Normal"/>
    <w:next w:val="BodyText"/>
    <w:qFormat/>
    <w:rsid w:val="001E78A5"/>
    <w:pPr>
      <w:keepNext/>
      <w:keepLines/>
      <w:spacing w:before="240"/>
      <w:jc w:val="center"/>
    </w:pPr>
    <w:rPr>
      <w:rFonts w:eastAsia="Times New Roman" w:cs="Times New Roman"/>
      <w:b/>
      <w:u w:val="single"/>
    </w:rPr>
  </w:style>
  <w:style w:type="paragraph" w:customStyle="1" w:styleId="TitleCU">
    <w:name w:val="Title CU"/>
    <w:basedOn w:val="Normal"/>
    <w:next w:val="BodyText"/>
    <w:qFormat/>
    <w:rsid w:val="001E78A5"/>
    <w:pPr>
      <w:keepNext/>
      <w:keepLines/>
      <w:spacing w:before="240"/>
      <w:jc w:val="center"/>
    </w:pPr>
    <w:rPr>
      <w:rFonts w:eastAsia="Times New Roman" w:cs="Times New Roman"/>
      <w:u w:val="single"/>
    </w:rPr>
  </w:style>
  <w:style w:type="paragraph" w:styleId="TOC1">
    <w:name w:val="toc 1"/>
    <w:basedOn w:val="Normal"/>
    <w:next w:val="Normal"/>
    <w:autoRedefine/>
    <w:unhideWhenUsed/>
    <w:rsid w:val="001E78A5"/>
    <w:rPr>
      <w:rFonts w:eastAsia="Times New Roman" w:cs="Times New Roman"/>
    </w:rPr>
  </w:style>
  <w:style w:type="paragraph" w:styleId="TOC2">
    <w:name w:val="toc 2"/>
    <w:basedOn w:val="Normal"/>
    <w:next w:val="Normal"/>
    <w:autoRedefine/>
    <w:unhideWhenUsed/>
    <w:rsid w:val="001E78A5"/>
    <w:pPr>
      <w:ind w:left="240"/>
    </w:pPr>
    <w:rPr>
      <w:rFonts w:eastAsia="Times New Roman" w:cs="Times New Roman"/>
    </w:rPr>
  </w:style>
  <w:style w:type="paragraph" w:styleId="TOC3">
    <w:name w:val="toc 3"/>
    <w:basedOn w:val="Normal"/>
    <w:next w:val="Normal"/>
    <w:autoRedefine/>
    <w:unhideWhenUsed/>
    <w:rsid w:val="001E78A5"/>
    <w:pPr>
      <w:ind w:left="480"/>
    </w:pPr>
    <w:rPr>
      <w:rFonts w:eastAsia="Times New Roman" w:cs="Times New Roman"/>
    </w:rPr>
  </w:style>
  <w:style w:type="paragraph" w:styleId="TOC4">
    <w:name w:val="toc 4"/>
    <w:basedOn w:val="Normal"/>
    <w:next w:val="Normal"/>
    <w:autoRedefine/>
    <w:unhideWhenUsed/>
    <w:rsid w:val="001E78A5"/>
    <w:pPr>
      <w:ind w:left="720"/>
    </w:pPr>
    <w:rPr>
      <w:rFonts w:eastAsia="Times New Roman" w:cs="Times New Roman"/>
    </w:rPr>
  </w:style>
  <w:style w:type="paragraph" w:styleId="TOC5">
    <w:name w:val="toc 5"/>
    <w:basedOn w:val="Normal"/>
    <w:next w:val="Normal"/>
    <w:autoRedefine/>
    <w:unhideWhenUsed/>
    <w:rsid w:val="001E78A5"/>
    <w:pPr>
      <w:ind w:left="960"/>
    </w:pPr>
    <w:rPr>
      <w:rFonts w:eastAsia="Times New Roman" w:cs="Times New Roman"/>
    </w:rPr>
  </w:style>
  <w:style w:type="paragraph" w:styleId="TOC6">
    <w:name w:val="toc 6"/>
    <w:basedOn w:val="Normal"/>
    <w:next w:val="Normal"/>
    <w:autoRedefine/>
    <w:unhideWhenUsed/>
    <w:rsid w:val="001E78A5"/>
    <w:pPr>
      <w:ind w:left="1200"/>
    </w:pPr>
    <w:rPr>
      <w:rFonts w:eastAsia="Times New Roman" w:cs="Times New Roman"/>
    </w:rPr>
  </w:style>
  <w:style w:type="paragraph" w:styleId="TOC7">
    <w:name w:val="toc 7"/>
    <w:basedOn w:val="Normal"/>
    <w:next w:val="Normal"/>
    <w:autoRedefine/>
    <w:unhideWhenUsed/>
    <w:rsid w:val="001E78A5"/>
    <w:pPr>
      <w:ind w:left="1440"/>
    </w:pPr>
    <w:rPr>
      <w:rFonts w:eastAsia="Times New Roman" w:cs="Times New Roman"/>
    </w:rPr>
  </w:style>
  <w:style w:type="paragraph" w:styleId="TOC8">
    <w:name w:val="toc 8"/>
    <w:basedOn w:val="Normal"/>
    <w:next w:val="Normal"/>
    <w:autoRedefine/>
    <w:unhideWhenUsed/>
    <w:rsid w:val="001E78A5"/>
    <w:pPr>
      <w:ind w:left="1680"/>
    </w:pPr>
    <w:rPr>
      <w:rFonts w:eastAsia="Times New Roman" w:cs="Times New Roman"/>
    </w:rPr>
  </w:style>
  <w:style w:type="paragraph" w:styleId="TOC9">
    <w:name w:val="toc 9"/>
    <w:basedOn w:val="Normal"/>
    <w:next w:val="Normal"/>
    <w:autoRedefine/>
    <w:unhideWhenUsed/>
    <w:rsid w:val="001E78A5"/>
    <w:pPr>
      <w:ind w:left="1920"/>
    </w:pPr>
    <w:rPr>
      <w:rFonts w:eastAsia="Times New Roman" w:cs="Times New Roman"/>
    </w:rPr>
  </w:style>
  <w:style w:type="paragraph" w:styleId="Header">
    <w:name w:val="header"/>
    <w:basedOn w:val="Normal"/>
    <w:link w:val="HeaderChar"/>
    <w:uiPriority w:val="99"/>
    <w:unhideWhenUsed/>
    <w:rsid w:val="001E78A5"/>
    <w:pPr>
      <w:tabs>
        <w:tab w:val="center" w:pos="4680"/>
        <w:tab w:val="right" w:pos="9360"/>
      </w:tabs>
    </w:pPr>
  </w:style>
  <w:style w:type="character" w:customStyle="1" w:styleId="HeaderChar">
    <w:name w:val="Header Char"/>
    <w:basedOn w:val="DefaultParagraphFont"/>
    <w:link w:val="Header"/>
    <w:uiPriority w:val="99"/>
    <w:rsid w:val="001E78A5"/>
  </w:style>
  <w:style w:type="paragraph" w:styleId="Footer">
    <w:name w:val="footer"/>
    <w:basedOn w:val="Normal"/>
    <w:link w:val="FooterChar"/>
    <w:uiPriority w:val="99"/>
    <w:unhideWhenUsed/>
    <w:rsid w:val="001E78A5"/>
    <w:pPr>
      <w:tabs>
        <w:tab w:val="center" w:pos="4680"/>
        <w:tab w:val="right" w:pos="9360"/>
      </w:tabs>
    </w:pPr>
  </w:style>
  <w:style w:type="character" w:customStyle="1" w:styleId="FooterChar">
    <w:name w:val="Footer Char"/>
    <w:basedOn w:val="DefaultParagraphFont"/>
    <w:link w:val="Footer"/>
    <w:uiPriority w:val="99"/>
    <w:rsid w:val="001E78A5"/>
  </w:style>
  <w:style w:type="character" w:customStyle="1" w:styleId="DocID">
    <w:name w:val="DocID"/>
    <w:basedOn w:val="DefaultParagraphFont"/>
    <w:semiHidden/>
    <w:rsid w:val="001E78A5"/>
    <w:rPr>
      <w:sz w:val="16"/>
    </w:rPr>
  </w:style>
  <w:style w:type="paragraph" w:customStyle="1" w:styleId="PTONumbering">
    <w:name w:val="PTO Numbering"/>
    <w:basedOn w:val="Normal"/>
    <w:rsid w:val="001E78A5"/>
    <w:pPr>
      <w:numPr>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pPr>
    <w:rPr>
      <w:rFonts w:eastAsia="Times New Roman" w:cs="Times New Roman"/>
      <w:szCs w:val="20"/>
    </w:rPr>
  </w:style>
  <w:style w:type="character" w:styleId="PageNumber">
    <w:name w:val="page number"/>
    <w:basedOn w:val="DefaultParagraphFont"/>
    <w:uiPriority w:val="99"/>
    <w:semiHidden/>
    <w:rsid w:val="00687905"/>
    <w:rPr>
      <w:sz w:val="24"/>
    </w:rPr>
  </w:style>
  <w:style w:type="paragraph" w:styleId="Quote">
    <w:name w:val="Quote"/>
    <w:basedOn w:val="Normal"/>
    <w:next w:val="Normal"/>
    <w:link w:val="QuoteChar"/>
    <w:qFormat/>
    <w:rsid w:val="001E78A5"/>
    <w:pPr>
      <w:spacing w:line="240" w:lineRule="exact"/>
      <w:ind w:left="1440" w:right="1440"/>
    </w:pPr>
    <w:rPr>
      <w:rFonts w:eastAsia="Times New Roman" w:cs="Times New Roman"/>
      <w:szCs w:val="20"/>
    </w:rPr>
  </w:style>
  <w:style w:type="character" w:customStyle="1" w:styleId="QuoteChar">
    <w:name w:val="Quote Char"/>
    <w:basedOn w:val="DefaultParagraphFont"/>
    <w:link w:val="Quote"/>
    <w:rsid w:val="001E78A5"/>
    <w:rPr>
      <w:rFonts w:eastAsia="Times New Roman" w:cs="Times New Roman"/>
      <w:szCs w:val="20"/>
    </w:rPr>
  </w:style>
  <w:style w:type="paragraph" w:styleId="Salutation">
    <w:name w:val="Salutation"/>
    <w:basedOn w:val="Normal"/>
    <w:next w:val="Normal"/>
    <w:link w:val="SalutationChar"/>
    <w:rsid w:val="001E78A5"/>
    <w:rPr>
      <w:rFonts w:eastAsia="Times New Roman" w:cs="Times New Roman"/>
    </w:rPr>
  </w:style>
  <w:style w:type="character" w:customStyle="1" w:styleId="SalutationChar">
    <w:name w:val="Salutation Char"/>
    <w:basedOn w:val="DefaultParagraphFont"/>
    <w:link w:val="Salutation"/>
    <w:rsid w:val="001E78A5"/>
    <w:rPr>
      <w:rFonts w:eastAsia="Times New Roman" w:cs="Times New Roman"/>
    </w:rPr>
  </w:style>
  <w:style w:type="paragraph" w:styleId="Signature">
    <w:name w:val="Signature"/>
    <w:basedOn w:val="Normal"/>
    <w:link w:val="SignatureChar"/>
    <w:rsid w:val="001E78A5"/>
    <w:pPr>
      <w:ind w:left="4320"/>
    </w:pPr>
    <w:rPr>
      <w:rFonts w:eastAsia="Times New Roman" w:cs="Times New Roman"/>
    </w:rPr>
  </w:style>
  <w:style w:type="character" w:customStyle="1" w:styleId="SignatureChar">
    <w:name w:val="Signature Char"/>
    <w:basedOn w:val="DefaultParagraphFont"/>
    <w:link w:val="Signature"/>
    <w:rsid w:val="001E78A5"/>
    <w:rPr>
      <w:rFonts w:eastAsia="Times New Roman" w:cs="Times New Roman"/>
    </w:rPr>
  </w:style>
  <w:style w:type="paragraph" w:styleId="Subtitle">
    <w:name w:val="Subtitle"/>
    <w:basedOn w:val="Normal"/>
    <w:next w:val="BodyText"/>
    <w:link w:val="SubtitleChar"/>
    <w:qFormat/>
    <w:rsid w:val="001E78A5"/>
    <w:pPr>
      <w:spacing w:before="240"/>
      <w:outlineLvl w:val="1"/>
    </w:pPr>
    <w:rPr>
      <w:rFonts w:eastAsia="Times New Roman" w:cs="Times New Roman"/>
      <w:b/>
      <w:snapToGrid w:val="0"/>
      <w:szCs w:val="20"/>
    </w:rPr>
  </w:style>
  <w:style w:type="character" w:customStyle="1" w:styleId="SubtitleChar">
    <w:name w:val="Subtitle Char"/>
    <w:basedOn w:val="DefaultParagraphFont"/>
    <w:link w:val="Subtitle"/>
    <w:rsid w:val="001E78A5"/>
    <w:rPr>
      <w:rFonts w:eastAsia="Times New Roman" w:cs="Times New Roman"/>
      <w:b/>
      <w:snapToGrid w:val="0"/>
      <w:szCs w:val="20"/>
    </w:rPr>
  </w:style>
  <w:style w:type="paragraph" w:styleId="EnvelopeAddress">
    <w:name w:val="envelope address"/>
    <w:basedOn w:val="Normal"/>
    <w:uiPriority w:val="99"/>
    <w:semiHidden/>
    <w:unhideWhenUsed/>
    <w:rsid w:val="00E04A90"/>
    <w:pPr>
      <w:framePr w:w="7920" w:h="1980" w:hRule="exact" w:hSpace="180" w:wrap="auto" w:hAnchor="page" w:xAlign="center" w:yAlign="bottom"/>
      <w:ind w:left="2880"/>
    </w:pPr>
    <w:rPr>
      <w:rFonts w:ascii="Arial" w:eastAsiaTheme="majorEastAsia" w:hAnsi="Arial" w:cstheme="majorBidi"/>
    </w:rPr>
  </w:style>
  <w:style w:type="paragraph" w:styleId="EnvelopeReturn">
    <w:name w:val="envelope return"/>
    <w:basedOn w:val="Normal"/>
    <w:uiPriority w:val="99"/>
    <w:semiHidden/>
    <w:unhideWhenUsed/>
    <w:rsid w:val="00E04A90"/>
    <w:rPr>
      <w:rFonts w:ascii="Arial" w:eastAsiaTheme="majorEastAsia" w:hAnsi="Arial" w:cstheme="majorBidi"/>
      <w:sz w:val="20"/>
      <w:szCs w:val="20"/>
    </w:rPr>
  </w:style>
  <w:style w:type="paragraph" w:styleId="TOCHeading">
    <w:name w:val="TOC Heading"/>
    <w:basedOn w:val="Normal"/>
    <w:next w:val="Normal"/>
    <w:uiPriority w:val="39"/>
    <w:semiHidden/>
    <w:unhideWhenUsed/>
    <w:qFormat/>
    <w:rsid w:val="00E04A90"/>
    <w:pPr>
      <w:keepNext/>
      <w:keepLines/>
    </w:pPr>
    <w:rPr>
      <w:rFonts w:eastAsiaTheme="majorEastAsia" w:cstheme="majorBidi"/>
      <w:b/>
      <w:bCs/>
      <w:szCs w:val="28"/>
    </w:rPr>
  </w:style>
  <w:style w:type="paragraph" w:styleId="TOAHeading">
    <w:name w:val="toa heading"/>
    <w:basedOn w:val="Normal"/>
    <w:next w:val="Normal"/>
    <w:uiPriority w:val="99"/>
    <w:unhideWhenUsed/>
    <w:rsid w:val="00E04A90"/>
    <w:pPr>
      <w:spacing w:before="120"/>
    </w:pPr>
    <w:rPr>
      <w:rFonts w:eastAsiaTheme="majorEastAsia" w:cstheme="majorBidi"/>
      <w:b/>
      <w:bCs/>
    </w:rPr>
  </w:style>
  <w:style w:type="paragraph" w:styleId="Index1">
    <w:name w:val="index 1"/>
    <w:basedOn w:val="Normal"/>
    <w:next w:val="Normal"/>
    <w:autoRedefine/>
    <w:uiPriority w:val="99"/>
    <w:semiHidden/>
    <w:unhideWhenUsed/>
    <w:rsid w:val="00E04A90"/>
    <w:pPr>
      <w:ind w:left="240" w:hanging="240"/>
    </w:pPr>
  </w:style>
  <w:style w:type="paragraph" w:styleId="IndexHeading">
    <w:name w:val="index heading"/>
    <w:basedOn w:val="Normal"/>
    <w:next w:val="Index1"/>
    <w:uiPriority w:val="99"/>
    <w:semiHidden/>
    <w:unhideWhenUsed/>
    <w:rsid w:val="00E04A90"/>
    <w:rPr>
      <w:rFonts w:eastAsiaTheme="majorEastAsia" w:cstheme="majorBidi"/>
      <w:b/>
      <w:bCs/>
    </w:rPr>
  </w:style>
  <w:style w:type="paragraph" w:styleId="FootnoteText">
    <w:name w:val="footnote text"/>
    <w:basedOn w:val="Normal"/>
    <w:link w:val="FootnoteTextChar"/>
    <w:semiHidden/>
    <w:rsid w:val="007E3654"/>
    <w:pPr>
      <w:widowControl w:val="0"/>
      <w:ind w:firstLine="720"/>
    </w:pPr>
    <w:rPr>
      <w:rFonts w:eastAsia="Times New Roman" w:cs="Times New Roman"/>
      <w:snapToGrid w:val="0"/>
      <w:szCs w:val="20"/>
    </w:rPr>
  </w:style>
  <w:style w:type="character" w:customStyle="1" w:styleId="FootnoteTextChar">
    <w:name w:val="Footnote Text Char"/>
    <w:basedOn w:val="DefaultParagraphFont"/>
    <w:link w:val="FootnoteText"/>
    <w:semiHidden/>
    <w:rsid w:val="007E3654"/>
    <w:rPr>
      <w:rFonts w:eastAsia="Times New Roman" w:cs="Times New Roman"/>
      <w:snapToGrid w:val="0"/>
      <w:szCs w:val="20"/>
    </w:rPr>
  </w:style>
  <w:style w:type="paragraph" w:styleId="ListNumber">
    <w:name w:val="List Number"/>
    <w:basedOn w:val="Normal"/>
    <w:rsid w:val="007E3654"/>
    <w:pPr>
      <w:widowControl w:val="0"/>
      <w:numPr>
        <w:numId w:val="34"/>
      </w:numPr>
      <w:spacing w:line="480" w:lineRule="auto"/>
    </w:pPr>
    <w:rPr>
      <w:rFonts w:eastAsia="Times New Roman" w:cs="Times New Roman"/>
      <w:snapToGrid w:val="0"/>
      <w:szCs w:val="20"/>
    </w:rPr>
  </w:style>
  <w:style w:type="character" w:styleId="FootnoteReference">
    <w:name w:val="footnote reference"/>
    <w:semiHidden/>
    <w:rsid w:val="007E3654"/>
    <w:rPr>
      <w:vertAlign w:val="superscript"/>
    </w:rPr>
  </w:style>
  <w:style w:type="table" w:styleId="TableGrid">
    <w:name w:val="Table Grid"/>
    <w:basedOn w:val="TableNormal"/>
    <w:uiPriority w:val="59"/>
    <w:rsid w:val="00E3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zen%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1</TotalTime>
  <Pages>8</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Nase</dc:creator>
  <cp:lastModifiedBy>Harvell, Diane</cp:lastModifiedBy>
  <cp:revision>2</cp:revision>
  <dcterms:created xsi:type="dcterms:W3CDTF">2018-10-03T15:40:00Z</dcterms:created>
  <dcterms:modified xsi:type="dcterms:W3CDTF">2018-10-03T15:40:00Z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pcgBlank</vt:lpwstr>
  </property>
</Properties>
</file>