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4FE" w:rsidRPr="00650894" w:rsidRDefault="009304FE" w:rsidP="00650894">
      <w:pPr>
        <w:contextualSpacing/>
        <w:jc w:val="center"/>
        <w:rPr>
          <w:b/>
          <w:sz w:val="26"/>
          <w:szCs w:val="26"/>
        </w:rPr>
      </w:pPr>
      <w:r w:rsidRPr="00650894">
        <w:rPr>
          <w:b/>
          <w:sz w:val="26"/>
          <w:szCs w:val="26"/>
        </w:rPr>
        <w:t>PENNSYLVANIA</w:t>
      </w:r>
    </w:p>
    <w:p w:rsidR="009304FE" w:rsidRPr="00650894" w:rsidRDefault="009304FE" w:rsidP="00650894">
      <w:pPr>
        <w:contextualSpacing/>
        <w:jc w:val="center"/>
        <w:rPr>
          <w:b/>
          <w:sz w:val="26"/>
          <w:szCs w:val="26"/>
        </w:rPr>
      </w:pPr>
      <w:r w:rsidRPr="00650894">
        <w:rPr>
          <w:b/>
          <w:sz w:val="26"/>
          <w:szCs w:val="26"/>
        </w:rPr>
        <w:t>PUBLIC UTILITY COMMISSION</w:t>
      </w:r>
    </w:p>
    <w:p w:rsidR="009304FE" w:rsidRPr="00650894" w:rsidRDefault="009304FE" w:rsidP="00650894">
      <w:pPr>
        <w:contextualSpacing/>
        <w:jc w:val="center"/>
        <w:rPr>
          <w:b/>
          <w:sz w:val="26"/>
          <w:szCs w:val="26"/>
        </w:rPr>
      </w:pPr>
      <w:r w:rsidRPr="00650894">
        <w:rPr>
          <w:b/>
          <w:sz w:val="26"/>
          <w:szCs w:val="26"/>
        </w:rPr>
        <w:t>Harrisburg, PA 17105-3265</w:t>
      </w:r>
    </w:p>
    <w:p w:rsidR="009304FE" w:rsidRPr="00650894" w:rsidRDefault="009304FE" w:rsidP="00650894">
      <w:pPr>
        <w:contextualSpacing/>
        <w:rPr>
          <w:sz w:val="26"/>
          <w:szCs w:val="26"/>
        </w:rPr>
      </w:pPr>
    </w:p>
    <w:p w:rsidR="009304FE" w:rsidRPr="00650894" w:rsidRDefault="009304FE" w:rsidP="00650894">
      <w:pPr>
        <w:contextualSpacing/>
        <w:jc w:val="right"/>
        <w:rPr>
          <w:sz w:val="26"/>
          <w:szCs w:val="26"/>
        </w:rPr>
      </w:pPr>
      <w:r w:rsidRPr="00650894">
        <w:rPr>
          <w:sz w:val="26"/>
          <w:szCs w:val="26"/>
        </w:rPr>
        <w:t xml:space="preserve">Public Meeting held </w:t>
      </w:r>
      <w:r w:rsidR="00D7057A">
        <w:rPr>
          <w:sz w:val="26"/>
          <w:szCs w:val="26"/>
        </w:rPr>
        <w:t>October</w:t>
      </w:r>
      <w:r w:rsidR="00A068E1">
        <w:rPr>
          <w:sz w:val="26"/>
          <w:szCs w:val="26"/>
        </w:rPr>
        <w:t xml:space="preserve"> </w:t>
      </w:r>
      <w:r w:rsidR="00D7057A">
        <w:rPr>
          <w:sz w:val="26"/>
          <w:szCs w:val="26"/>
        </w:rPr>
        <w:t>4</w:t>
      </w:r>
      <w:r w:rsidR="00CE6D07" w:rsidRPr="00650894">
        <w:rPr>
          <w:sz w:val="26"/>
          <w:szCs w:val="26"/>
        </w:rPr>
        <w:t>, 2018</w:t>
      </w:r>
    </w:p>
    <w:p w:rsidR="00CE6D07" w:rsidRDefault="00CE6D07" w:rsidP="00650894">
      <w:pPr>
        <w:tabs>
          <w:tab w:val="left" w:pos="-720"/>
        </w:tabs>
        <w:suppressAutoHyphens/>
        <w:contextualSpacing/>
        <w:rPr>
          <w:sz w:val="26"/>
          <w:szCs w:val="26"/>
        </w:rPr>
      </w:pPr>
    </w:p>
    <w:p w:rsidR="00FA4B27" w:rsidRPr="00650894" w:rsidRDefault="00FA4B27" w:rsidP="00650894">
      <w:pPr>
        <w:tabs>
          <w:tab w:val="left" w:pos="-720"/>
        </w:tabs>
        <w:suppressAutoHyphens/>
        <w:contextualSpacing/>
        <w:rPr>
          <w:sz w:val="26"/>
          <w:szCs w:val="26"/>
        </w:rPr>
      </w:pPr>
    </w:p>
    <w:p w:rsidR="00CE6D07" w:rsidRPr="00650894" w:rsidRDefault="00CE6D07" w:rsidP="00650894">
      <w:pPr>
        <w:tabs>
          <w:tab w:val="left" w:pos="-720"/>
        </w:tabs>
        <w:suppressAutoHyphens/>
        <w:contextualSpacing/>
        <w:rPr>
          <w:sz w:val="26"/>
          <w:szCs w:val="26"/>
        </w:rPr>
      </w:pPr>
      <w:r w:rsidRPr="00650894">
        <w:rPr>
          <w:sz w:val="26"/>
          <w:szCs w:val="26"/>
        </w:rPr>
        <w:t>Commissioners Present:</w:t>
      </w:r>
    </w:p>
    <w:p w:rsidR="00CE6D07" w:rsidRPr="00650894" w:rsidRDefault="00CE6D07" w:rsidP="00650894">
      <w:pPr>
        <w:tabs>
          <w:tab w:val="left" w:pos="-720"/>
        </w:tabs>
        <w:suppressAutoHyphens/>
        <w:contextualSpacing/>
        <w:rPr>
          <w:sz w:val="26"/>
          <w:szCs w:val="26"/>
        </w:rPr>
      </w:pPr>
    </w:p>
    <w:p w:rsidR="00CE6D07" w:rsidRPr="00650894" w:rsidRDefault="00CE6D07" w:rsidP="00650894">
      <w:pPr>
        <w:tabs>
          <w:tab w:val="left" w:pos="-720"/>
        </w:tabs>
        <w:suppressAutoHyphens/>
        <w:ind w:firstLine="720"/>
        <w:contextualSpacing/>
        <w:rPr>
          <w:sz w:val="26"/>
          <w:szCs w:val="26"/>
        </w:rPr>
      </w:pPr>
      <w:r w:rsidRPr="00650894">
        <w:rPr>
          <w:sz w:val="26"/>
          <w:szCs w:val="26"/>
        </w:rPr>
        <w:t>Gladys M. Brown, Chairman</w:t>
      </w:r>
      <w:r w:rsidR="00FC5DEA">
        <w:rPr>
          <w:sz w:val="26"/>
          <w:szCs w:val="26"/>
        </w:rPr>
        <w:t>, Statement; Dissenting</w:t>
      </w:r>
    </w:p>
    <w:p w:rsidR="00CE6D07" w:rsidRPr="00650894" w:rsidRDefault="00CE6D07" w:rsidP="00650894">
      <w:pPr>
        <w:tabs>
          <w:tab w:val="left" w:pos="-720"/>
        </w:tabs>
        <w:suppressAutoHyphens/>
        <w:ind w:firstLine="720"/>
        <w:contextualSpacing/>
        <w:rPr>
          <w:sz w:val="26"/>
          <w:szCs w:val="26"/>
        </w:rPr>
      </w:pPr>
      <w:r w:rsidRPr="00650894">
        <w:rPr>
          <w:sz w:val="26"/>
          <w:szCs w:val="26"/>
        </w:rPr>
        <w:t>Andrew G. Place, Vice Chairman</w:t>
      </w:r>
      <w:r w:rsidR="00FC5DEA">
        <w:rPr>
          <w:sz w:val="26"/>
          <w:szCs w:val="26"/>
        </w:rPr>
        <w:t>, Statement; Dissenting</w:t>
      </w:r>
    </w:p>
    <w:p w:rsidR="00CE6D07" w:rsidRPr="00650894" w:rsidRDefault="00CE6D07" w:rsidP="00650894">
      <w:pPr>
        <w:tabs>
          <w:tab w:val="left" w:pos="-720"/>
        </w:tabs>
        <w:suppressAutoHyphens/>
        <w:ind w:firstLine="720"/>
        <w:contextualSpacing/>
        <w:rPr>
          <w:sz w:val="26"/>
          <w:szCs w:val="26"/>
        </w:rPr>
      </w:pPr>
      <w:r w:rsidRPr="00650894">
        <w:rPr>
          <w:sz w:val="26"/>
          <w:szCs w:val="26"/>
        </w:rPr>
        <w:t>Norman J. Kennard</w:t>
      </w:r>
    </w:p>
    <w:p w:rsidR="00CE6D07" w:rsidRPr="00650894" w:rsidRDefault="00CE6D07" w:rsidP="00650894">
      <w:pPr>
        <w:tabs>
          <w:tab w:val="left" w:pos="-720"/>
        </w:tabs>
        <w:suppressAutoHyphens/>
        <w:ind w:firstLine="720"/>
        <w:contextualSpacing/>
        <w:rPr>
          <w:sz w:val="26"/>
          <w:szCs w:val="26"/>
        </w:rPr>
      </w:pPr>
      <w:r w:rsidRPr="00650894">
        <w:rPr>
          <w:sz w:val="26"/>
          <w:szCs w:val="26"/>
        </w:rPr>
        <w:t>David W. Sweet</w:t>
      </w:r>
      <w:r w:rsidR="00FC5DEA">
        <w:rPr>
          <w:sz w:val="26"/>
          <w:szCs w:val="26"/>
        </w:rPr>
        <w:t>, Statement; C</w:t>
      </w:r>
      <w:bookmarkStart w:id="0" w:name="_GoBack"/>
      <w:bookmarkEnd w:id="0"/>
      <w:r w:rsidR="00FC5DEA">
        <w:rPr>
          <w:sz w:val="26"/>
          <w:szCs w:val="26"/>
        </w:rPr>
        <w:t>onflicting</w:t>
      </w:r>
    </w:p>
    <w:p w:rsidR="00CE6D07" w:rsidRPr="00650894" w:rsidRDefault="00CE6D07" w:rsidP="00650894">
      <w:pPr>
        <w:tabs>
          <w:tab w:val="left" w:pos="-720"/>
        </w:tabs>
        <w:suppressAutoHyphens/>
        <w:ind w:firstLine="720"/>
        <w:contextualSpacing/>
        <w:rPr>
          <w:sz w:val="26"/>
          <w:szCs w:val="26"/>
        </w:rPr>
      </w:pPr>
      <w:r w:rsidRPr="00650894">
        <w:rPr>
          <w:sz w:val="26"/>
          <w:szCs w:val="26"/>
        </w:rPr>
        <w:t>John F. Coleman, Jr.</w:t>
      </w:r>
    </w:p>
    <w:p w:rsidR="009304FE" w:rsidRPr="00650894" w:rsidRDefault="009304FE" w:rsidP="00650894">
      <w:pPr>
        <w:contextualSpacing/>
        <w:rPr>
          <w:sz w:val="26"/>
          <w:szCs w:val="26"/>
        </w:rPr>
      </w:pPr>
    </w:p>
    <w:p w:rsidR="009304FE" w:rsidRPr="00650894" w:rsidRDefault="009304FE" w:rsidP="00650894">
      <w:pPr>
        <w:contextualSpacing/>
        <w:rPr>
          <w:sz w:val="26"/>
          <w:szCs w:val="26"/>
        </w:rPr>
      </w:pPr>
    </w:p>
    <w:p w:rsidR="00541113" w:rsidRPr="00650894" w:rsidRDefault="00541113" w:rsidP="00650894">
      <w:pPr>
        <w:spacing w:after="200"/>
        <w:contextualSpacing/>
        <w:rPr>
          <w:sz w:val="26"/>
          <w:szCs w:val="26"/>
        </w:rPr>
      </w:pPr>
      <w:r w:rsidRPr="00650894">
        <w:rPr>
          <w:sz w:val="26"/>
          <w:szCs w:val="26"/>
        </w:rPr>
        <w:t>Core Communications, Inc.</w:t>
      </w:r>
      <w:r w:rsidRPr="00650894">
        <w:rPr>
          <w:sz w:val="26"/>
          <w:szCs w:val="26"/>
        </w:rPr>
        <w:tab/>
      </w:r>
      <w:r w:rsidRPr="00650894">
        <w:rPr>
          <w:sz w:val="26"/>
          <w:szCs w:val="26"/>
        </w:rPr>
        <w:tab/>
      </w:r>
      <w:r w:rsidRPr="00650894">
        <w:rPr>
          <w:sz w:val="26"/>
          <w:szCs w:val="26"/>
        </w:rPr>
        <w:tab/>
      </w:r>
      <w:r w:rsidRPr="00650894">
        <w:rPr>
          <w:sz w:val="26"/>
          <w:szCs w:val="26"/>
        </w:rPr>
        <w:tab/>
      </w:r>
      <w:r w:rsidRPr="00650894">
        <w:rPr>
          <w:sz w:val="26"/>
          <w:szCs w:val="26"/>
        </w:rPr>
        <w:tab/>
      </w:r>
      <w:r w:rsidRPr="00650894">
        <w:rPr>
          <w:sz w:val="26"/>
          <w:szCs w:val="26"/>
        </w:rPr>
        <w:tab/>
      </w:r>
      <w:r w:rsidRPr="00650894">
        <w:rPr>
          <w:sz w:val="26"/>
          <w:szCs w:val="26"/>
        </w:rPr>
        <w:tab/>
        <w:t xml:space="preserve">     C-2014-2406550</w:t>
      </w:r>
    </w:p>
    <w:p w:rsidR="00FA4B27" w:rsidRDefault="00FA4B27" w:rsidP="00650894">
      <w:pPr>
        <w:spacing w:after="200"/>
        <w:contextualSpacing/>
        <w:rPr>
          <w:sz w:val="26"/>
          <w:szCs w:val="26"/>
        </w:rPr>
      </w:pPr>
    </w:p>
    <w:p w:rsidR="00541113" w:rsidRPr="00650894" w:rsidRDefault="00541113" w:rsidP="00650894">
      <w:pPr>
        <w:spacing w:after="200"/>
        <w:contextualSpacing/>
        <w:rPr>
          <w:sz w:val="26"/>
          <w:szCs w:val="26"/>
        </w:rPr>
      </w:pPr>
      <w:r w:rsidRPr="00650894">
        <w:rPr>
          <w:sz w:val="26"/>
          <w:szCs w:val="26"/>
        </w:rPr>
        <w:tab/>
      </w:r>
      <w:r w:rsidRPr="00650894">
        <w:rPr>
          <w:sz w:val="26"/>
          <w:szCs w:val="26"/>
        </w:rPr>
        <w:tab/>
        <w:t>v.</w:t>
      </w:r>
    </w:p>
    <w:p w:rsidR="00FA4B27" w:rsidRDefault="00FA4B27" w:rsidP="00650894">
      <w:pPr>
        <w:tabs>
          <w:tab w:val="left" w:pos="-720"/>
          <w:tab w:val="left" w:pos="0"/>
        </w:tabs>
        <w:suppressAutoHyphens/>
        <w:contextualSpacing/>
        <w:rPr>
          <w:sz w:val="26"/>
          <w:szCs w:val="26"/>
        </w:rPr>
      </w:pPr>
    </w:p>
    <w:p w:rsidR="009304FE" w:rsidRPr="00650894" w:rsidRDefault="00541113" w:rsidP="00650894">
      <w:pPr>
        <w:tabs>
          <w:tab w:val="left" w:pos="-720"/>
          <w:tab w:val="left" w:pos="0"/>
        </w:tabs>
        <w:suppressAutoHyphens/>
        <w:contextualSpacing/>
        <w:rPr>
          <w:sz w:val="26"/>
          <w:szCs w:val="26"/>
        </w:rPr>
      </w:pPr>
      <w:r w:rsidRPr="00650894">
        <w:rPr>
          <w:sz w:val="26"/>
          <w:szCs w:val="26"/>
        </w:rPr>
        <w:t>Verizon Pennsylvania LLC</w:t>
      </w:r>
    </w:p>
    <w:p w:rsidR="009304FE" w:rsidRPr="00650894" w:rsidRDefault="009304FE" w:rsidP="00650894">
      <w:pPr>
        <w:tabs>
          <w:tab w:val="left" w:pos="-720"/>
        </w:tabs>
        <w:suppressAutoHyphens/>
        <w:contextualSpacing/>
        <w:rPr>
          <w:sz w:val="26"/>
          <w:szCs w:val="26"/>
        </w:rPr>
      </w:pPr>
    </w:p>
    <w:p w:rsidR="003123AA" w:rsidRPr="00650894" w:rsidRDefault="003123AA" w:rsidP="00650894">
      <w:pPr>
        <w:tabs>
          <w:tab w:val="left" w:pos="-720"/>
        </w:tabs>
        <w:suppressAutoHyphens/>
        <w:contextualSpacing/>
        <w:rPr>
          <w:sz w:val="26"/>
          <w:szCs w:val="26"/>
        </w:rPr>
      </w:pPr>
    </w:p>
    <w:p w:rsidR="009304FE" w:rsidRPr="00650894" w:rsidRDefault="009304FE" w:rsidP="00650894">
      <w:pPr>
        <w:keepNext/>
        <w:keepLines/>
        <w:tabs>
          <w:tab w:val="center" w:pos="4680"/>
        </w:tabs>
        <w:suppressAutoHyphens/>
        <w:spacing w:line="360" w:lineRule="auto"/>
        <w:contextualSpacing/>
        <w:jc w:val="center"/>
        <w:rPr>
          <w:b/>
          <w:sz w:val="26"/>
          <w:szCs w:val="26"/>
        </w:rPr>
      </w:pPr>
      <w:r w:rsidRPr="00650894">
        <w:rPr>
          <w:b/>
          <w:sz w:val="26"/>
          <w:szCs w:val="26"/>
        </w:rPr>
        <w:t>OPINION AND ORDER</w:t>
      </w:r>
    </w:p>
    <w:p w:rsidR="00CA6BAF" w:rsidRPr="00650894" w:rsidRDefault="00CA6BAF" w:rsidP="00650894">
      <w:pPr>
        <w:keepNext/>
        <w:keepLines/>
        <w:tabs>
          <w:tab w:val="left" w:pos="-720"/>
        </w:tabs>
        <w:suppressAutoHyphens/>
        <w:spacing w:line="360" w:lineRule="auto"/>
        <w:contextualSpacing/>
        <w:rPr>
          <w:b/>
          <w:sz w:val="26"/>
          <w:szCs w:val="26"/>
        </w:rPr>
      </w:pPr>
    </w:p>
    <w:p w:rsidR="009304FE" w:rsidRPr="00650894" w:rsidRDefault="009304FE" w:rsidP="00650894">
      <w:pPr>
        <w:keepNext/>
        <w:keepLines/>
        <w:tabs>
          <w:tab w:val="left" w:pos="-720"/>
        </w:tabs>
        <w:suppressAutoHyphens/>
        <w:spacing w:line="360" w:lineRule="auto"/>
        <w:contextualSpacing/>
        <w:rPr>
          <w:sz w:val="26"/>
          <w:szCs w:val="26"/>
        </w:rPr>
      </w:pPr>
      <w:r w:rsidRPr="00650894">
        <w:rPr>
          <w:b/>
          <w:sz w:val="26"/>
          <w:szCs w:val="26"/>
        </w:rPr>
        <w:t>BY THE COMMISSION:</w:t>
      </w:r>
    </w:p>
    <w:p w:rsidR="009304FE" w:rsidRPr="00650894" w:rsidRDefault="009304FE" w:rsidP="00650894">
      <w:pPr>
        <w:keepNext/>
        <w:keepLines/>
        <w:spacing w:line="360" w:lineRule="auto"/>
        <w:contextualSpacing/>
        <w:rPr>
          <w:sz w:val="26"/>
          <w:szCs w:val="26"/>
        </w:rPr>
      </w:pPr>
    </w:p>
    <w:p w:rsidR="00044C58" w:rsidRPr="00650894" w:rsidRDefault="00044C58" w:rsidP="00650894">
      <w:pPr>
        <w:keepNext/>
        <w:keepLines/>
        <w:spacing w:line="360" w:lineRule="auto"/>
        <w:contextualSpacing/>
        <w:jc w:val="center"/>
        <w:rPr>
          <w:b/>
          <w:sz w:val="26"/>
          <w:szCs w:val="26"/>
        </w:rPr>
      </w:pPr>
      <w:r w:rsidRPr="00650894">
        <w:rPr>
          <w:b/>
          <w:sz w:val="26"/>
          <w:szCs w:val="26"/>
        </w:rPr>
        <w:t>I.</w:t>
      </w:r>
      <w:r w:rsidR="00B94C20" w:rsidRPr="00650894">
        <w:rPr>
          <w:b/>
          <w:sz w:val="26"/>
          <w:szCs w:val="26"/>
        </w:rPr>
        <w:tab/>
      </w:r>
      <w:r w:rsidRPr="00650894">
        <w:rPr>
          <w:b/>
          <w:sz w:val="26"/>
          <w:szCs w:val="26"/>
        </w:rPr>
        <w:t>Matter Before the Commission</w:t>
      </w:r>
    </w:p>
    <w:p w:rsidR="00044C58" w:rsidRPr="00650894" w:rsidRDefault="00044C58" w:rsidP="00650894">
      <w:pPr>
        <w:keepNext/>
        <w:keepLines/>
        <w:spacing w:line="360" w:lineRule="auto"/>
        <w:contextualSpacing/>
        <w:rPr>
          <w:sz w:val="26"/>
          <w:szCs w:val="26"/>
        </w:rPr>
      </w:pPr>
    </w:p>
    <w:p w:rsidR="008B2738" w:rsidRPr="00650894" w:rsidRDefault="009304FE" w:rsidP="00650894">
      <w:pPr>
        <w:spacing w:line="360" w:lineRule="auto"/>
        <w:ind w:firstLine="1440"/>
        <w:contextualSpacing/>
        <w:rPr>
          <w:sz w:val="26"/>
          <w:szCs w:val="26"/>
        </w:rPr>
      </w:pPr>
      <w:r w:rsidRPr="00650894">
        <w:rPr>
          <w:sz w:val="26"/>
          <w:szCs w:val="26"/>
        </w:rPr>
        <w:t xml:space="preserve">Before the Pennsylvania Public Utility Commission (Commission) for consideration and disposition are the Exceptions </w:t>
      </w:r>
      <w:r w:rsidR="00AD3D0D" w:rsidRPr="00650894">
        <w:rPr>
          <w:sz w:val="26"/>
          <w:szCs w:val="26"/>
        </w:rPr>
        <w:t xml:space="preserve">of </w:t>
      </w:r>
      <w:r w:rsidR="001A5711" w:rsidRPr="00650894">
        <w:rPr>
          <w:sz w:val="26"/>
          <w:szCs w:val="26"/>
        </w:rPr>
        <w:t>Core Communications</w:t>
      </w:r>
      <w:r w:rsidR="00710EAE" w:rsidRPr="00650894">
        <w:rPr>
          <w:sz w:val="26"/>
          <w:szCs w:val="26"/>
        </w:rPr>
        <w:t>,</w:t>
      </w:r>
      <w:r w:rsidR="001A5711" w:rsidRPr="00650894">
        <w:rPr>
          <w:sz w:val="26"/>
          <w:szCs w:val="26"/>
        </w:rPr>
        <w:t xml:space="preserve"> Inc. (Core)</w:t>
      </w:r>
      <w:r w:rsidR="00DA5387" w:rsidRPr="00650894">
        <w:rPr>
          <w:sz w:val="26"/>
          <w:szCs w:val="26"/>
        </w:rPr>
        <w:t>,</w:t>
      </w:r>
      <w:r w:rsidR="009B7FAC" w:rsidRPr="00650894">
        <w:rPr>
          <w:rStyle w:val="FootnoteReference"/>
        </w:rPr>
        <w:footnoteReference w:id="1"/>
      </w:r>
      <w:r w:rsidR="00DA5387" w:rsidRPr="00650894">
        <w:rPr>
          <w:sz w:val="26"/>
          <w:szCs w:val="26"/>
        </w:rPr>
        <w:t xml:space="preserve"> </w:t>
      </w:r>
      <w:r w:rsidR="00AD3D0D" w:rsidRPr="00650894">
        <w:rPr>
          <w:sz w:val="26"/>
          <w:szCs w:val="26"/>
        </w:rPr>
        <w:t xml:space="preserve">filed </w:t>
      </w:r>
      <w:r w:rsidR="00F8097F" w:rsidRPr="00650894">
        <w:rPr>
          <w:sz w:val="26"/>
          <w:szCs w:val="26"/>
        </w:rPr>
        <w:t xml:space="preserve">on </w:t>
      </w:r>
      <w:r w:rsidR="00541113" w:rsidRPr="00650894">
        <w:rPr>
          <w:sz w:val="26"/>
          <w:szCs w:val="26"/>
        </w:rPr>
        <w:t>April 23, 2015</w:t>
      </w:r>
      <w:r w:rsidR="00AD3D0D" w:rsidRPr="00650894">
        <w:rPr>
          <w:sz w:val="26"/>
          <w:szCs w:val="26"/>
        </w:rPr>
        <w:t>,</w:t>
      </w:r>
      <w:r w:rsidRPr="00650894">
        <w:rPr>
          <w:sz w:val="26"/>
          <w:szCs w:val="26"/>
        </w:rPr>
        <w:t xml:space="preserve"> to the Initial Decision </w:t>
      </w:r>
      <w:r w:rsidR="00B10F4E" w:rsidRPr="00650894">
        <w:rPr>
          <w:sz w:val="26"/>
          <w:szCs w:val="26"/>
        </w:rPr>
        <w:t xml:space="preserve">(I.D.) </w:t>
      </w:r>
      <w:r w:rsidRPr="00650894">
        <w:rPr>
          <w:sz w:val="26"/>
          <w:szCs w:val="26"/>
        </w:rPr>
        <w:t>of</w:t>
      </w:r>
      <w:r w:rsidR="00F8097F" w:rsidRPr="00650894">
        <w:rPr>
          <w:sz w:val="26"/>
          <w:szCs w:val="26"/>
        </w:rPr>
        <w:t xml:space="preserve"> Administrative Law Judge (ALJ)</w:t>
      </w:r>
      <w:r w:rsidR="002652DF" w:rsidRPr="00650894">
        <w:rPr>
          <w:sz w:val="26"/>
          <w:szCs w:val="26"/>
        </w:rPr>
        <w:t xml:space="preserve"> </w:t>
      </w:r>
      <w:r w:rsidR="007103C7" w:rsidRPr="00650894">
        <w:rPr>
          <w:sz w:val="26"/>
          <w:szCs w:val="26"/>
        </w:rPr>
        <w:lastRenderedPageBreak/>
        <w:t>Susan D. Colwell</w:t>
      </w:r>
      <w:r w:rsidRPr="00650894">
        <w:rPr>
          <w:sz w:val="26"/>
          <w:szCs w:val="26"/>
        </w:rPr>
        <w:t xml:space="preserve">, </w:t>
      </w:r>
      <w:r w:rsidR="00AD3D0D" w:rsidRPr="00650894">
        <w:rPr>
          <w:sz w:val="26"/>
          <w:szCs w:val="26"/>
        </w:rPr>
        <w:t xml:space="preserve">which was </w:t>
      </w:r>
      <w:r w:rsidRPr="00650894">
        <w:rPr>
          <w:sz w:val="26"/>
          <w:szCs w:val="26"/>
        </w:rPr>
        <w:t>issued</w:t>
      </w:r>
      <w:r w:rsidR="00AD3D0D" w:rsidRPr="00650894">
        <w:rPr>
          <w:sz w:val="26"/>
          <w:szCs w:val="26"/>
        </w:rPr>
        <w:t xml:space="preserve"> on</w:t>
      </w:r>
      <w:r w:rsidR="00E61A27" w:rsidRPr="00650894">
        <w:rPr>
          <w:sz w:val="26"/>
          <w:szCs w:val="26"/>
        </w:rPr>
        <w:t xml:space="preserve"> </w:t>
      </w:r>
      <w:r w:rsidR="00541113" w:rsidRPr="00650894">
        <w:rPr>
          <w:sz w:val="26"/>
          <w:szCs w:val="26"/>
        </w:rPr>
        <w:t>April 3, 2015</w:t>
      </w:r>
      <w:r w:rsidR="00BB14EE" w:rsidRPr="00650894">
        <w:rPr>
          <w:sz w:val="26"/>
          <w:szCs w:val="26"/>
        </w:rPr>
        <w:t>.</w:t>
      </w:r>
      <w:r w:rsidRPr="00650894">
        <w:rPr>
          <w:sz w:val="26"/>
          <w:szCs w:val="26"/>
        </w:rPr>
        <w:t xml:space="preserve">  </w:t>
      </w:r>
      <w:r w:rsidR="00541113" w:rsidRPr="00650894">
        <w:rPr>
          <w:sz w:val="26"/>
          <w:szCs w:val="26"/>
        </w:rPr>
        <w:t xml:space="preserve">Verizon Pennsylvania LLC (Verizon PA) filed </w:t>
      </w:r>
      <w:r w:rsidR="00B91560" w:rsidRPr="00650894">
        <w:rPr>
          <w:sz w:val="26"/>
          <w:szCs w:val="26"/>
        </w:rPr>
        <w:t>Reply</w:t>
      </w:r>
      <w:r w:rsidR="008F05C2" w:rsidRPr="00650894">
        <w:rPr>
          <w:sz w:val="26"/>
          <w:szCs w:val="26"/>
        </w:rPr>
        <w:t xml:space="preserve"> Exceptions </w:t>
      </w:r>
      <w:r w:rsidR="00193EF0" w:rsidRPr="00650894">
        <w:rPr>
          <w:sz w:val="26"/>
          <w:szCs w:val="26"/>
        </w:rPr>
        <w:t xml:space="preserve">on </w:t>
      </w:r>
      <w:r w:rsidR="00541113" w:rsidRPr="00650894">
        <w:rPr>
          <w:sz w:val="26"/>
          <w:szCs w:val="26"/>
        </w:rPr>
        <w:t>May 4, 2015</w:t>
      </w:r>
      <w:r w:rsidR="00AD3D0D" w:rsidRPr="00650894">
        <w:rPr>
          <w:sz w:val="26"/>
          <w:szCs w:val="26"/>
        </w:rPr>
        <w:t>.</w:t>
      </w:r>
    </w:p>
    <w:p w:rsidR="009B7FAC" w:rsidRPr="00650894" w:rsidRDefault="009B7FAC" w:rsidP="00650894">
      <w:pPr>
        <w:spacing w:line="360" w:lineRule="auto"/>
        <w:ind w:firstLine="1440"/>
        <w:contextualSpacing/>
        <w:rPr>
          <w:sz w:val="26"/>
          <w:szCs w:val="26"/>
        </w:rPr>
      </w:pPr>
    </w:p>
    <w:p w:rsidR="006E0FBC" w:rsidRPr="00650894" w:rsidRDefault="00044C58" w:rsidP="00650894">
      <w:pPr>
        <w:keepNext/>
        <w:spacing w:line="360" w:lineRule="auto"/>
        <w:contextualSpacing/>
        <w:jc w:val="center"/>
        <w:rPr>
          <w:b/>
          <w:sz w:val="26"/>
          <w:szCs w:val="26"/>
        </w:rPr>
      </w:pPr>
      <w:r w:rsidRPr="00650894">
        <w:rPr>
          <w:b/>
          <w:sz w:val="26"/>
          <w:szCs w:val="26"/>
        </w:rPr>
        <w:t>II.</w:t>
      </w:r>
      <w:r w:rsidRPr="00650894">
        <w:rPr>
          <w:b/>
          <w:sz w:val="26"/>
          <w:szCs w:val="26"/>
        </w:rPr>
        <w:tab/>
      </w:r>
      <w:r w:rsidR="006E0FBC" w:rsidRPr="00650894">
        <w:rPr>
          <w:b/>
          <w:sz w:val="26"/>
          <w:szCs w:val="26"/>
        </w:rPr>
        <w:t>Backgroun</w:t>
      </w:r>
      <w:r w:rsidR="00990A9F" w:rsidRPr="00650894">
        <w:rPr>
          <w:b/>
          <w:sz w:val="26"/>
          <w:szCs w:val="26"/>
        </w:rPr>
        <w:t>d</w:t>
      </w:r>
    </w:p>
    <w:p w:rsidR="006E0FBC" w:rsidRPr="00650894" w:rsidRDefault="006E0FBC" w:rsidP="00650894">
      <w:pPr>
        <w:keepNext/>
        <w:spacing w:line="360" w:lineRule="auto"/>
        <w:contextualSpacing/>
        <w:rPr>
          <w:sz w:val="26"/>
          <w:szCs w:val="26"/>
        </w:rPr>
      </w:pPr>
    </w:p>
    <w:p w:rsidR="003016DF" w:rsidRPr="00650894" w:rsidRDefault="003016DF" w:rsidP="00650894">
      <w:pPr>
        <w:spacing w:line="360" w:lineRule="auto"/>
        <w:ind w:firstLine="1440"/>
        <w:contextualSpacing/>
        <w:rPr>
          <w:sz w:val="26"/>
          <w:szCs w:val="26"/>
        </w:rPr>
      </w:pPr>
      <w:r w:rsidRPr="00650894">
        <w:rPr>
          <w:sz w:val="26"/>
          <w:szCs w:val="26"/>
        </w:rPr>
        <w:t>This proceeding involves a Formal Complaint (Complaint) that was filed by Core against Verizon PA for Verizon PA’s alleged nonpayment of telecommunications facilities that Core claims to have provided pursuant to the Parties’ interconnection agreement (ICA).</w:t>
      </w:r>
      <w:r w:rsidR="001F1481" w:rsidRPr="00650894">
        <w:rPr>
          <w:rStyle w:val="FootnoteReference"/>
        </w:rPr>
        <w:footnoteReference w:id="2"/>
      </w:r>
      <w:r w:rsidRPr="00650894">
        <w:rPr>
          <w:sz w:val="26"/>
          <w:szCs w:val="26"/>
        </w:rPr>
        <w:t xml:space="preserve">  Core contends that it provided these </w:t>
      </w:r>
      <w:r w:rsidR="00381CBD">
        <w:rPr>
          <w:sz w:val="26"/>
          <w:szCs w:val="26"/>
        </w:rPr>
        <w:t xml:space="preserve">facilities and </w:t>
      </w:r>
      <w:r w:rsidRPr="00650894">
        <w:rPr>
          <w:sz w:val="26"/>
          <w:szCs w:val="26"/>
        </w:rPr>
        <w:t>services pursuant to Access Service Requests (ASRs) that Verizon PA transmitted to Core in accordance with provisions set forth in the ICA.</w:t>
      </w:r>
      <w:r w:rsidRPr="00650894">
        <w:rPr>
          <w:rStyle w:val="FootnoteReference"/>
        </w:rPr>
        <w:footnoteReference w:id="3"/>
      </w:r>
      <w:r w:rsidRPr="00650894">
        <w:rPr>
          <w:sz w:val="26"/>
          <w:szCs w:val="26"/>
        </w:rPr>
        <w:t xml:space="preserve">  Core explains that these services enable Verizon PA to deliver its originating interconnection traffic from the point of interconnection (POI) on Verizon PA’s network to the interconnection point (IP) on Core’s network in each of the five </w:t>
      </w:r>
      <w:r w:rsidR="005E6626" w:rsidRPr="00650894">
        <w:rPr>
          <w:sz w:val="26"/>
          <w:szCs w:val="26"/>
        </w:rPr>
        <w:t>Local Access and Transport Areas (</w:t>
      </w:r>
      <w:r w:rsidRPr="00650894">
        <w:rPr>
          <w:sz w:val="26"/>
          <w:szCs w:val="26"/>
        </w:rPr>
        <w:t>LATAs</w:t>
      </w:r>
      <w:r w:rsidR="005E6626" w:rsidRPr="00650894">
        <w:rPr>
          <w:sz w:val="26"/>
          <w:szCs w:val="26"/>
        </w:rPr>
        <w:t>)</w:t>
      </w:r>
      <w:r w:rsidRPr="00650894">
        <w:rPr>
          <w:sz w:val="26"/>
          <w:szCs w:val="26"/>
        </w:rPr>
        <w:t xml:space="preserve"> where the Parties interconnect.  Core asserts that it billed Verizon PA for these services at the TELR</w:t>
      </w:r>
      <w:r w:rsidR="001C3222" w:rsidRPr="00650894">
        <w:rPr>
          <w:sz w:val="26"/>
          <w:szCs w:val="26"/>
        </w:rPr>
        <w:t xml:space="preserve">IC rates outlined in the </w:t>
      </w:r>
      <w:r w:rsidR="00016C89" w:rsidRPr="00650894">
        <w:rPr>
          <w:sz w:val="26"/>
          <w:szCs w:val="26"/>
        </w:rPr>
        <w:t>“Detailed Schedule of Itemized Charges</w:t>
      </w:r>
      <w:r w:rsidR="00A07217" w:rsidRPr="00650894">
        <w:rPr>
          <w:sz w:val="26"/>
          <w:szCs w:val="26"/>
        </w:rPr>
        <w:t>,</w:t>
      </w:r>
      <w:r w:rsidR="00016C89" w:rsidRPr="00650894">
        <w:rPr>
          <w:sz w:val="26"/>
          <w:szCs w:val="26"/>
        </w:rPr>
        <w:t>” and set forth in Appendix 2 of the ICA</w:t>
      </w:r>
      <w:r w:rsidR="00A07217" w:rsidRPr="00650894">
        <w:rPr>
          <w:sz w:val="26"/>
          <w:szCs w:val="26"/>
        </w:rPr>
        <w:t xml:space="preserve"> (Pricing Appendix)</w:t>
      </w:r>
      <w:r w:rsidRPr="00650894">
        <w:rPr>
          <w:sz w:val="26"/>
          <w:szCs w:val="26"/>
        </w:rPr>
        <w:t>.</w:t>
      </w:r>
      <w:r w:rsidR="001954F6" w:rsidRPr="00650894">
        <w:rPr>
          <w:rStyle w:val="FootnoteReference"/>
        </w:rPr>
        <w:footnoteReference w:id="4"/>
      </w:r>
      <w:r w:rsidRPr="00650894">
        <w:rPr>
          <w:sz w:val="26"/>
          <w:szCs w:val="26"/>
        </w:rPr>
        <w:t xml:space="preserve">  Additionally, Core avers that </w:t>
      </w:r>
      <w:r w:rsidR="00B65AFB" w:rsidRPr="00650894">
        <w:rPr>
          <w:sz w:val="26"/>
          <w:szCs w:val="26"/>
        </w:rPr>
        <w:t>prior to filing it</w:t>
      </w:r>
      <w:r w:rsidR="00B838BB" w:rsidRPr="00650894">
        <w:rPr>
          <w:sz w:val="26"/>
          <w:szCs w:val="26"/>
        </w:rPr>
        <w:t>s</w:t>
      </w:r>
      <w:r w:rsidR="00B65AFB" w:rsidRPr="00650894">
        <w:rPr>
          <w:sz w:val="26"/>
          <w:szCs w:val="26"/>
        </w:rPr>
        <w:t xml:space="preserve"> Complaint with the Commission, it attempted to utilize the ICA’s mandatory dispute resolution procedures after it billed Verizon PA and Verizon PA disputed these bills.</w:t>
      </w:r>
      <w:r w:rsidRPr="00650894">
        <w:rPr>
          <w:sz w:val="26"/>
          <w:szCs w:val="26"/>
        </w:rPr>
        <w:t xml:space="preserve">  </w:t>
      </w:r>
      <w:bookmarkStart w:id="1" w:name="_Hlk516834398"/>
      <w:r w:rsidRPr="00650894">
        <w:rPr>
          <w:sz w:val="26"/>
          <w:szCs w:val="26"/>
        </w:rPr>
        <w:t xml:space="preserve">According to Core, Verizon </w:t>
      </w:r>
      <w:r w:rsidR="00407E37" w:rsidRPr="00650894">
        <w:rPr>
          <w:sz w:val="26"/>
          <w:szCs w:val="26"/>
        </w:rPr>
        <w:t xml:space="preserve">PA </w:t>
      </w:r>
      <w:r w:rsidRPr="00650894">
        <w:rPr>
          <w:sz w:val="26"/>
          <w:szCs w:val="26"/>
        </w:rPr>
        <w:t xml:space="preserve">has accumulated </w:t>
      </w:r>
      <w:r w:rsidR="00407E37" w:rsidRPr="00650894">
        <w:rPr>
          <w:sz w:val="26"/>
          <w:szCs w:val="26"/>
        </w:rPr>
        <w:t>$3,96</w:t>
      </w:r>
      <w:r w:rsidRPr="00650894">
        <w:rPr>
          <w:sz w:val="26"/>
          <w:szCs w:val="26"/>
        </w:rPr>
        <w:t>4,096</w:t>
      </w:r>
      <w:r w:rsidR="00407E37" w:rsidRPr="00650894">
        <w:rPr>
          <w:rStyle w:val="FootnoteReference"/>
        </w:rPr>
        <w:footnoteReference w:id="5"/>
      </w:r>
      <w:r w:rsidRPr="00650894">
        <w:rPr>
          <w:sz w:val="26"/>
          <w:szCs w:val="26"/>
        </w:rPr>
        <w:t xml:space="preserve"> in unpaid bills as of July 2014, in addition to unpaid monthly recurring fees.</w:t>
      </w:r>
    </w:p>
    <w:bookmarkEnd w:id="1"/>
    <w:p w:rsidR="003016DF" w:rsidRPr="00650894" w:rsidRDefault="003016DF" w:rsidP="00650894">
      <w:pPr>
        <w:spacing w:line="360" w:lineRule="auto"/>
        <w:ind w:firstLine="1440"/>
        <w:contextualSpacing/>
        <w:rPr>
          <w:sz w:val="26"/>
          <w:szCs w:val="26"/>
        </w:rPr>
      </w:pPr>
    </w:p>
    <w:p w:rsidR="00E71F08" w:rsidRDefault="003016DF" w:rsidP="00650894">
      <w:pPr>
        <w:spacing w:line="360" w:lineRule="auto"/>
        <w:ind w:firstLine="1440"/>
        <w:contextualSpacing/>
        <w:rPr>
          <w:sz w:val="26"/>
          <w:szCs w:val="26"/>
        </w:rPr>
      </w:pPr>
      <w:r w:rsidRPr="00650894">
        <w:rPr>
          <w:sz w:val="26"/>
          <w:szCs w:val="26"/>
        </w:rPr>
        <w:t xml:space="preserve">On the other hand, Verizon PA </w:t>
      </w:r>
      <w:r w:rsidR="001C3222" w:rsidRPr="00650894">
        <w:rPr>
          <w:sz w:val="26"/>
          <w:szCs w:val="26"/>
        </w:rPr>
        <w:t>submit</w:t>
      </w:r>
      <w:r w:rsidRPr="00650894">
        <w:rPr>
          <w:sz w:val="26"/>
          <w:szCs w:val="26"/>
        </w:rPr>
        <w:t xml:space="preserve">s that the Commission should deny Core’s Complaint in its entirety because the Parties’ ICA does not permit Core to bill Verizon </w:t>
      </w:r>
      <w:r w:rsidR="00BD0ED6" w:rsidRPr="00650894">
        <w:rPr>
          <w:sz w:val="26"/>
          <w:szCs w:val="26"/>
        </w:rPr>
        <w:t xml:space="preserve">PA </w:t>
      </w:r>
      <w:r w:rsidRPr="00650894">
        <w:rPr>
          <w:sz w:val="26"/>
          <w:szCs w:val="26"/>
        </w:rPr>
        <w:t xml:space="preserve">for the facilities charges for which it now claims nonpayment.  Verizon PA refutes Core’s claim that the ASRs Verizon PA sent to Core established orders for service.  </w:t>
      </w:r>
      <w:r w:rsidR="00BD0ED6" w:rsidRPr="00650894">
        <w:rPr>
          <w:sz w:val="26"/>
          <w:szCs w:val="26"/>
        </w:rPr>
        <w:t>To</w:t>
      </w:r>
      <w:r w:rsidRPr="00650894">
        <w:rPr>
          <w:sz w:val="26"/>
          <w:szCs w:val="26"/>
        </w:rPr>
        <w:t xml:space="preserve"> the contrary, Verizon PA contends that it self-provisioned its own facilities.  Verizon</w:t>
      </w:r>
      <w:r w:rsidR="00BD0ED6" w:rsidRPr="00650894">
        <w:rPr>
          <w:sz w:val="26"/>
          <w:szCs w:val="26"/>
        </w:rPr>
        <w:t xml:space="preserve"> PA</w:t>
      </w:r>
      <w:r w:rsidRPr="00650894">
        <w:rPr>
          <w:sz w:val="26"/>
          <w:szCs w:val="26"/>
        </w:rPr>
        <w:t xml:space="preserve"> avers that the ASRs </w:t>
      </w:r>
      <w:r w:rsidR="00BD0ED6" w:rsidRPr="00650894">
        <w:rPr>
          <w:sz w:val="26"/>
          <w:szCs w:val="26"/>
        </w:rPr>
        <w:t xml:space="preserve">it generated were </w:t>
      </w:r>
      <w:r w:rsidR="003B302F" w:rsidRPr="00650894">
        <w:rPr>
          <w:sz w:val="26"/>
          <w:szCs w:val="26"/>
        </w:rPr>
        <w:t>internal orders sent to</w:t>
      </w:r>
      <w:r w:rsidRPr="00650894">
        <w:rPr>
          <w:sz w:val="26"/>
          <w:szCs w:val="26"/>
        </w:rPr>
        <w:t xml:space="preserve"> </w:t>
      </w:r>
      <w:r w:rsidR="00BD0ED6" w:rsidRPr="00650894">
        <w:rPr>
          <w:sz w:val="26"/>
          <w:szCs w:val="26"/>
        </w:rPr>
        <w:t>its own</w:t>
      </w:r>
      <w:r w:rsidRPr="00650894">
        <w:rPr>
          <w:sz w:val="26"/>
          <w:szCs w:val="26"/>
        </w:rPr>
        <w:t xml:space="preserve"> ordering system, with copies thereto sent to Core as an indication that Verizon </w:t>
      </w:r>
      <w:r w:rsidR="00BD0ED6" w:rsidRPr="00650894">
        <w:rPr>
          <w:sz w:val="26"/>
          <w:szCs w:val="26"/>
        </w:rPr>
        <w:t xml:space="preserve">PA </w:t>
      </w:r>
      <w:r w:rsidRPr="00650894">
        <w:rPr>
          <w:sz w:val="26"/>
          <w:szCs w:val="26"/>
        </w:rPr>
        <w:t>would be reconfiguring its own network.</w:t>
      </w:r>
    </w:p>
    <w:p w:rsidR="00E71F08" w:rsidRDefault="00E71F08" w:rsidP="00650894">
      <w:pPr>
        <w:spacing w:line="360" w:lineRule="auto"/>
        <w:ind w:firstLine="1440"/>
        <w:contextualSpacing/>
        <w:rPr>
          <w:sz w:val="26"/>
          <w:szCs w:val="26"/>
        </w:rPr>
      </w:pPr>
    </w:p>
    <w:p w:rsidR="003016DF" w:rsidRPr="00650894" w:rsidRDefault="003016DF" w:rsidP="00650894">
      <w:pPr>
        <w:spacing w:line="360" w:lineRule="auto"/>
        <w:ind w:firstLine="1440"/>
        <w:contextualSpacing/>
        <w:rPr>
          <w:sz w:val="26"/>
          <w:szCs w:val="26"/>
        </w:rPr>
      </w:pPr>
      <w:r w:rsidRPr="00650894">
        <w:rPr>
          <w:sz w:val="26"/>
          <w:szCs w:val="26"/>
        </w:rPr>
        <w:t>Verizon PA</w:t>
      </w:r>
      <w:r w:rsidR="00E71F08">
        <w:rPr>
          <w:sz w:val="26"/>
          <w:szCs w:val="26"/>
        </w:rPr>
        <w:t xml:space="preserve"> also</w:t>
      </w:r>
      <w:r w:rsidRPr="00650894">
        <w:rPr>
          <w:sz w:val="26"/>
          <w:szCs w:val="26"/>
        </w:rPr>
        <w:t xml:space="preserve"> asserts that even if Core were permitted to bill Verizon PA for the various facilities, Core has billed </w:t>
      </w:r>
      <w:r w:rsidR="00D41CB0">
        <w:rPr>
          <w:sz w:val="26"/>
          <w:szCs w:val="26"/>
        </w:rPr>
        <w:t>Verizon PA</w:t>
      </w:r>
      <w:r w:rsidRPr="00650894">
        <w:rPr>
          <w:sz w:val="26"/>
          <w:szCs w:val="26"/>
        </w:rPr>
        <w:t xml:space="preserve"> at outdated rates and applied them incorrectly.  In responding to Core’s Complaint, Verizon PA also raised several affirmative defenses, including rebutting Core’s claim that it followed the ICA’s mandatory dispute resolution procedures and arguing that Core could have, and should have</w:t>
      </w:r>
      <w:r w:rsidR="003B302F" w:rsidRPr="00650894">
        <w:rPr>
          <w:sz w:val="26"/>
          <w:szCs w:val="26"/>
        </w:rPr>
        <w:t>,</w:t>
      </w:r>
      <w:r w:rsidRPr="00650894">
        <w:rPr>
          <w:sz w:val="26"/>
          <w:szCs w:val="26"/>
        </w:rPr>
        <w:t xml:space="preserve"> set forth the claims made in </w:t>
      </w:r>
      <w:r w:rsidR="00E10389" w:rsidRPr="00650894">
        <w:rPr>
          <w:sz w:val="26"/>
          <w:szCs w:val="26"/>
        </w:rPr>
        <w:t>the</w:t>
      </w:r>
      <w:r w:rsidRPr="00650894">
        <w:rPr>
          <w:sz w:val="26"/>
          <w:szCs w:val="26"/>
        </w:rPr>
        <w:t xml:space="preserve"> Complaint when it filed </w:t>
      </w:r>
      <w:r w:rsidR="00E10389" w:rsidRPr="00650894">
        <w:rPr>
          <w:sz w:val="26"/>
          <w:szCs w:val="26"/>
        </w:rPr>
        <w:t>its complaint in a separate proceeding between Core and Verizon PA and Verizon North LLC</w:t>
      </w:r>
      <w:r w:rsidR="002C538A" w:rsidRPr="00650894">
        <w:rPr>
          <w:sz w:val="26"/>
          <w:szCs w:val="26"/>
        </w:rPr>
        <w:t xml:space="preserve"> (Verizon North)</w:t>
      </w:r>
      <w:r w:rsidR="00051A17" w:rsidRPr="00650894">
        <w:rPr>
          <w:sz w:val="26"/>
          <w:szCs w:val="26"/>
        </w:rPr>
        <w:t xml:space="preserve">.  </w:t>
      </w:r>
      <w:r w:rsidR="00051A17" w:rsidRPr="00650894">
        <w:rPr>
          <w:i/>
          <w:sz w:val="26"/>
          <w:szCs w:val="26"/>
        </w:rPr>
        <w:t xml:space="preserve">See </w:t>
      </w:r>
      <w:r w:rsidR="00051A17" w:rsidRPr="00E71F08">
        <w:rPr>
          <w:sz w:val="26"/>
          <w:szCs w:val="26"/>
        </w:rPr>
        <w:t>Core Communications, Inc. v. Verizon</w:t>
      </w:r>
      <w:r w:rsidR="00051A17" w:rsidRPr="00650894">
        <w:rPr>
          <w:sz w:val="26"/>
          <w:szCs w:val="26"/>
        </w:rPr>
        <w:t xml:space="preserve"> Pennsylvania Inc. and Verizon North LLC, Docket Nos.</w:t>
      </w:r>
      <w:r w:rsidR="005438C4" w:rsidRPr="00650894">
        <w:rPr>
          <w:sz w:val="26"/>
          <w:szCs w:val="26"/>
        </w:rPr>
        <w:t xml:space="preserve"> </w:t>
      </w:r>
      <w:r w:rsidR="00E10389" w:rsidRPr="00650894">
        <w:rPr>
          <w:sz w:val="26"/>
          <w:szCs w:val="26"/>
        </w:rPr>
        <w:t>C</w:t>
      </w:r>
      <w:r w:rsidR="005438C4" w:rsidRPr="00650894">
        <w:rPr>
          <w:sz w:val="26"/>
          <w:szCs w:val="26"/>
        </w:rPr>
        <w:t xml:space="preserve">-2011-2253750 and C-2011-2253787 </w:t>
      </w:r>
      <w:r w:rsidR="00051A17" w:rsidRPr="00650894">
        <w:rPr>
          <w:sz w:val="26"/>
          <w:szCs w:val="26"/>
        </w:rPr>
        <w:t>(Order Entered December 23, 2016</w:t>
      </w:r>
      <w:r w:rsidR="0040086B" w:rsidRPr="00650894">
        <w:rPr>
          <w:sz w:val="26"/>
          <w:szCs w:val="26"/>
        </w:rPr>
        <w:t>; Opinion and Order on Reconsideration Entered April 20, 2017</w:t>
      </w:r>
      <w:r w:rsidR="00051A17" w:rsidRPr="00650894">
        <w:rPr>
          <w:sz w:val="26"/>
          <w:szCs w:val="26"/>
        </w:rPr>
        <w:t>)</w:t>
      </w:r>
      <w:r w:rsidR="003B302F" w:rsidRPr="00650894">
        <w:rPr>
          <w:sz w:val="26"/>
          <w:szCs w:val="26"/>
        </w:rPr>
        <w:t xml:space="preserve"> </w:t>
      </w:r>
      <w:r w:rsidR="005438C4" w:rsidRPr="00650894">
        <w:rPr>
          <w:sz w:val="26"/>
          <w:szCs w:val="26"/>
        </w:rPr>
        <w:t>(</w:t>
      </w:r>
      <w:r w:rsidRPr="00650894">
        <w:rPr>
          <w:i/>
          <w:sz w:val="26"/>
          <w:szCs w:val="26"/>
        </w:rPr>
        <w:t>2011 Core v. Verizon Proceeding</w:t>
      </w:r>
      <w:r w:rsidR="005438C4" w:rsidRPr="00650894">
        <w:rPr>
          <w:sz w:val="26"/>
          <w:szCs w:val="26"/>
        </w:rPr>
        <w:t>)</w:t>
      </w:r>
      <w:r w:rsidRPr="00650894">
        <w:rPr>
          <w:i/>
          <w:sz w:val="26"/>
          <w:szCs w:val="26"/>
        </w:rPr>
        <w:t>.</w:t>
      </w:r>
    </w:p>
    <w:p w:rsidR="00E21533" w:rsidRPr="00650894" w:rsidRDefault="00E21533" w:rsidP="00650894">
      <w:pPr>
        <w:spacing w:line="360" w:lineRule="auto"/>
        <w:contextualSpacing/>
        <w:rPr>
          <w:b/>
          <w:sz w:val="26"/>
          <w:szCs w:val="26"/>
        </w:rPr>
      </w:pPr>
    </w:p>
    <w:p w:rsidR="009304FE" w:rsidRPr="00650894" w:rsidRDefault="00044C58" w:rsidP="00E71F08">
      <w:pPr>
        <w:keepNext/>
        <w:keepLines/>
        <w:spacing w:line="360" w:lineRule="auto"/>
        <w:contextualSpacing/>
        <w:jc w:val="center"/>
        <w:rPr>
          <w:b/>
          <w:sz w:val="26"/>
          <w:szCs w:val="26"/>
        </w:rPr>
      </w:pPr>
      <w:r w:rsidRPr="00650894">
        <w:rPr>
          <w:b/>
          <w:sz w:val="26"/>
          <w:szCs w:val="26"/>
        </w:rPr>
        <w:t>III.</w:t>
      </w:r>
      <w:r w:rsidR="00B94C20" w:rsidRPr="00650894">
        <w:rPr>
          <w:b/>
          <w:sz w:val="26"/>
          <w:szCs w:val="26"/>
        </w:rPr>
        <w:tab/>
      </w:r>
      <w:r w:rsidR="00F55BED" w:rsidRPr="00650894">
        <w:rPr>
          <w:b/>
          <w:sz w:val="26"/>
          <w:szCs w:val="26"/>
        </w:rPr>
        <w:t>History of the Proceeding</w:t>
      </w:r>
    </w:p>
    <w:p w:rsidR="008218D6" w:rsidRPr="00650894" w:rsidRDefault="008218D6" w:rsidP="00E71F08">
      <w:pPr>
        <w:keepNext/>
        <w:keepLines/>
        <w:spacing w:line="360" w:lineRule="auto"/>
        <w:ind w:firstLine="1440"/>
        <w:contextualSpacing/>
        <w:rPr>
          <w:sz w:val="26"/>
          <w:szCs w:val="26"/>
        </w:rPr>
      </w:pPr>
    </w:p>
    <w:p w:rsidR="00517B7D" w:rsidRPr="00650894" w:rsidRDefault="00517B7D" w:rsidP="00650894">
      <w:pPr>
        <w:spacing w:after="200" w:line="360" w:lineRule="auto"/>
        <w:ind w:firstLine="1440"/>
        <w:contextualSpacing/>
        <w:rPr>
          <w:sz w:val="26"/>
          <w:szCs w:val="26"/>
        </w:rPr>
      </w:pPr>
      <w:r w:rsidRPr="00650894">
        <w:rPr>
          <w:sz w:val="26"/>
          <w:szCs w:val="26"/>
        </w:rPr>
        <w:t>The history of this proceeding that follows is summarized from the Initial Decision of ALJ Colwell, the majority of which may be found at pages one through four of that decision.</w:t>
      </w:r>
    </w:p>
    <w:p w:rsidR="00517B7D" w:rsidRPr="00650894" w:rsidRDefault="00517B7D" w:rsidP="00650894">
      <w:pPr>
        <w:spacing w:after="200" w:line="360" w:lineRule="auto"/>
        <w:ind w:firstLine="1440"/>
        <w:contextualSpacing/>
        <w:rPr>
          <w:sz w:val="26"/>
          <w:szCs w:val="26"/>
        </w:rPr>
      </w:pPr>
    </w:p>
    <w:p w:rsidR="00517B7D" w:rsidRPr="00650894" w:rsidRDefault="00517B7D" w:rsidP="00650894">
      <w:pPr>
        <w:spacing w:after="200" w:line="360" w:lineRule="auto"/>
        <w:ind w:firstLine="1440"/>
        <w:contextualSpacing/>
        <w:rPr>
          <w:sz w:val="26"/>
          <w:szCs w:val="26"/>
        </w:rPr>
      </w:pPr>
      <w:r w:rsidRPr="00650894">
        <w:rPr>
          <w:sz w:val="26"/>
          <w:szCs w:val="26"/>
        </w:rPr>
        <w:t xml:space="preserve">On February 18, 2014, Core filed its Complaint against Verizon PA.  As previously noted, under this Complaint, Core alleged that Verizon PA failed to pay invoices for Core’s provision of the physical telecommunications facilities necessary for </w:t>
      </w:r>
      <w:r w:rsidR="003A7E6F" w:rsidRPr="00650894">
        <w:rPr>
          <w:sz w:val="26"/>
          <w:szCs w:val="26"/>
        </w:rPr>
        <w:t>Verizon PA</w:t>
      </w:r>
      <w:r w:rsidRPr="00650894">
        <w:rPr>
          <w:sz w:val="26"/>
          <w:szCs w:val="26"/>
        </w:rPr>
        <w:t xml:space="preserve"> to transport its originating traffic from the POI on </w:t>
      </w:r>
      <w:r w:rsidR="003A7E6F" w:rsidRPr="00650894">
        <w:rPr>
          <w:sz w:val="26"/>
          <w:szCs w:val="26"/>
        </w:rPr>
        <w:t>Verizon PA</w:t>
      </w:r>
      <w:r w:rsidRPr="00650894">
        <w:rPr>
          <w:sz w:val="26"/>
          <w:szCs w:val="26"/>
        </w:rPr>
        <w:t>’s network</w:t>
      </w:r>
      <w:r w:rsidR="00941183" w:rsidRPr="00650894">
        <w:rPr>
          <w:sz w:val="26"/>
          <w:szCs w:val="26"/>
        </w:rPr>
        <w:t xml:space="preserve"> to the IP on Core’s network.  </w:t>
      </w:r>
      <w:r w:rsidRPr="00650894">
        <w:rPr>
          <w:sz w:val="26"/>
          <w:szCs w:val="26"/>
        </w:rPr>
        <w:t>Core contended that the total amount of facilities charges owed by Verizon PA to Core as of the time of the filing of the Complaint was $3,955,679.11, a total that it alleges grows by $</w:t>
      </w:r>
      <w:r w:rsidR="004B7367" w:rsidRPr="00650894">
        <w:rPr>
          <w:sz w:val="26"/>
          <w:szCs w:val="26"/>
        </w:rPr>
        <w:t>66,626.93</w:t>
      </w:r>
      <w:r w:rsidRPr="00650894">
        <w:rPr>
          <w:sz w:val="26"/>
          <w:szCs w:val="26"/>
        </w:rPr>
        <w:t xml:space="preserve"> monthly, subject to any</w:t>
      </w:r>
      <w:r w:rsidR="00BF364B" w:rsidRPr="00650894">
        <w:rPr>
          <w:sz w:val="26"/>
          <w:szCs w:val="26"/>
        </w:rPr>
        <w:t xml:space="preserve"> change in the facilities used.</w:t>
      </w:r>
    </w:p>
    <w:p w:rsidR="004B7367" w:rsidRPr="00650894" w:rsidRDefault="004B7367" w:rsidP="00650894">
      <w:pPr>
        <w:spacing w:after="200" w:line="360" w:lineRule="auto"/>
        <w:ind w:firstLine="1440"/>
        <w:contextualSpacing/>
        <w:rPr>
          <w:sz w:val="26"/>
          <w:szCs w:val="26"/>
        </w:rPr>
      </w:pPr>
    </w:p>
    <w:p w:rsidR="00517B7D" w:rsidRPr="00650894" w:rsidRDefault="00517B7D" w:rsidP="00650894">
      <w:pPr>
        <w:spacing w:after="200" w:line="360" w:lineRule="auto"/>
        <w:ind w:firstLine="1440"/>
        <w:contextualSpacing/>
        <w:rPr>
          <w:sz w:val="26"/>
          <w:szCs w:val="26"/>
        </w:rPr>
      </w:pPr>
      <w:r w:rsidRPr="00650894">
        <w:rPr>
          <w:sz w:val="26"/>
          <w:szCs w:val="26"/>
        </w:rPr>
        <w:t>On March 13, 20</w:t>
      </w:r>
      <w:r w:rsidR="005D1041" w:rsidRPr="00650894">
        <w:rPr>
          <w:sz w:val="26"/>
          <w:szCs w:val="26"/>
        </w:rPr>
        <w:t xml:space="preserve">14, Verizon PA filed </w:t>
      </w:r>
      <w:r w:rsidR="006F2223">
        <w:rPr>
          <w:sz w:val="26"/>
          <w:szCs w:val="26"/>
        </w:rPr>
        <w:t>an</w:t>
      </w:r>
      <w:r w:rsidR="005D1041" w:rsidRPr="00650894">
        <w:rPr>
          <w:sz w:val="26"/>
          <w:szCs w:val="26"/>
        </w:rPr>
        <w:t xml:space="preserve"> Answer, New Matter</w:t>
      </w:r>
      <w:r w:rsidRPr="00650894">
        <w:rPr>
          <w:sz w:val="26"/>
          <w:szCs w:val="26"/>
        </w:rPr>
        <w:t>, and Preliminary Objections to</w:t>
      </w:r>
      <w:r w:rsidR="005D1041" w:rsidRPr="00650894">
        <w:rPr>
          <w:sz w:val="26"/>
          <w:szCs w:val="26"/>
        </w:rPr>
        <w:t xml:space="preserve"> Core’s Complaint.  In its </w:t>
      </w:r>
      <w:r w:rsidRPr="00650894">
        <w:rPr>
          <w:sz w:val="26"/>
          <w:szCs w:val="26"/>
        </w:rPr>
        <w:t xml:space="preserve">Answer, Verizon </w:t>
      </w:r>
      <w:r w:rsidR="00E443B7" w:rsidRPr="00650894">
        <w:rPr>
          <w:sz w:val="26"/>
          <w:szCs w:val="26"/>
        </w:rPr>
        <w:t xml:space="preserve">PA </w:t>
      </w:r>
      <w:r w:rsidRPr="00650894">
        <w:rPr>
          <w:sz w:val="26"/>
          <w:szCs w:val="26"/>
        </w:rPr>
        <w:t xml:space="preserve">disputed Core’s billing and argued that the </w:t>
      </w:r>
      <w:r w:rsidRPr="00650894">
        <w:rPr>
          <w:i/>
          <w:sz w:val="26"/>
          <w:szCs w:val="26"/>
        </w:rPr>
        <w:t>2011 Core v Verizon Proceeding</w:t>
      </w:r>
      <w:r w:rsidR="005D1041" w:rsidRPr="00650894">
        <w:rPr>
          <w:sz w:val="26"/>
          <w:szCs w:val="26"/>
        </w:rPr>
        <w:t xml:space="preserve"> wa</w:t>
      </w:r>
      <w:r w:rsidRPr="00650894">
        <w:rPr>
          <w:sz w:val="26"/>
          <w:szCs w:val="26"/>
        </w:rPr>
        <w:t xml:space="preserve">s ongoing and could have included these latest charges.  Verizon PA further argued that instead of including these claims in </w:t>
      </w:r>
      <w:r w:rsidR="00567AE1" w:rsidRPr="00650894">
        <w:rPr>
          <w:sz w:val="26"/>
          <w:szCs w:val="26"/>
        </w:rPr>
        <w:t>the amended complaint it filed</w:t>
      </w:r>
      <w:r w:rsidRPr="00650894">
        <w:rPr>
          <w:sz w:val="26"/>
          <w:szCs w:val="26"/>
        </w:rPr>
        <w:t xml:space="preserve"> in the </w:t>
      </w:r>
      <w:r w:rsidRPr="00650894">
        <w:rPr>
          <w:i/>
          <w:sz w:val="26"/>
          <w:szCs w:val="26"/>
        </w:rPr>
        <w:t xml:space="preserve">2011 Core v. Verizon Proceeding, </w:t>
      </w:r>
      <w:r w:rsidRPr="00650894">
        <w:rPr>
          <w:sz w:val="26"/>
          <w:szCs w:val="26"/>
        </w:rPr>
        <w:t xml:space="preserve">Core chose to wait until the </w:t>
      </w:r>
      <w:r w:rsidRPr="00650894">
        <w:rPr>
          <w:i/>
          <w:sz w:val="26"/>
          <w:szCs w:val="26"/>
        </w:rPr>
        <w:t>2011 Core v. Verizon Proceeding</w:t>
      </w:r>
      <w:r w:rsidRPr="00650894">
        <w:rPr>
          <w:sz w:val="26"/>
          <w:szCs w:val="26"/>
        </w:rPr>
        <w:t xml:space="preserve"> had been fully litigated and only await</w:t>
      </w:r>
      <w:r w:rsidR="00E443B7" w:rsidRPr="00650894">
        <w:rPr>
          <w:sz w:val="26"/>
          <w:szCs w:val="26"/>
        </w:rPr>
        <w:t>ed a</w:t>
      </w:r>
      <w:r w:rsidRPr="00650894">
        <w:rPr>
          <w:sz w:val="26"/>
          <w:szCs w:val="26"/>
        </w:rPr>
        <w:t xml:space="preserve"> final </w:t>
      </w:r>
      <w:r w:rsidR="00E443B7" w:rsidRPr="00650894">
        <w:rPr>
          <w:sz w:val="26"/>
          <w:szCs w:val="26"/>
        </w:rPr>
        <w:t xml:space="preserve">Commission </w:t>
      </w:r>
      <w:r w:rsidRPr="00650894">
        <w:rPr>
          <w:sz w:val="26"/>
          <w:szCs w:val="26"/>
        </w:rPr>
        <w:t xml:space="preserve">decision.  </w:t>
      </w:r>
      <w:r w:rsidR="00034C9A" w:rsidRPr="00650894">
        <w:rPr>
          <w:sz w:val="26"/>
          <w:szCs w:val="26"/>
        </w:rPr>
        <w:t xml:space="preserve">Verizon PA pointed out that Core claimed in the instant Complaint </w:t>
      </w:r>
      <w:r w:rsidR="00034C9A">
        <w:rPr>
          <w:sz w:val="26"/>
          <w:szCs w:val="26"/>
        </w:rPr>
        <w:t xml:space="preserve">the same issue that </w:t>
      </w:r>
      <w:r w:rsidR="008A053A">
        <w:rPr>
          <w:sz w:val="26"/>
          <w:szCs w:val="26"/>
        </w:rPr>
        <w:t>it</w:t>
      </w:r>
      <w:r w:rsidR="00034C9A">
        <w:rPr>
          <w:sz w:val="26"/>
          <w:szCs w:val="26"/>
        </w:rPr>
        <w:t xml:space="preserve"> raised in a </w:t>
      </w:r>
      <w:r w:rsidR="00034C9A" w:rsidRPr="00650894">
        <w:rPr>
          <w:sz w:val="26"/>
          <w:szCs w:val="26"/>
        </w:rPr>
        <w:t>corresponding federal case in Virginia in which affiliates of Verizon PA prevailed</w:t>
      </w:r>
      <w:r w:rsidR="000151E1">
        <w:rPr>
          <w:sz w:val="26"/>
          <w:szCs w:val="26"/>
        </w:rPr>
        <w:t xml:space="preserve"> and was pending before the United States Court of Appeals for the Fourth Circuit.</w:t>
      </w:r>
      <w:r w:rsidR="00567AE1" w:rsidRPr="00650894">
        <w:rPr>
          <w:sz w:val="26"/>
          <w:szCs w:val="26"/>
        </w:rPr>
        <w:t xml:space="preserve"> </w:t>
      </w:r>
      <w:r w:rsidRPr="00650894">
        <w:rPr>
          <w:sz w:val="26"/>
          <w:szCs w:val="26"/>
        </w:rPr>
        <w:t xml:space="preserve"> </w:t>
      </w:r>
      <w:r w:rsidR="00567AE1" w:rsidRPr="00650894">
        <w:rPr>
          <w:i/>
          <w:sz w:val="26"/>
          <w:szCs w:val="26"/>
        </w:rPr>
        <w:t>See</w:t>
      </w:r>
      <w:r w:rsidR="00567AE1" w:rsidRPr="00650894">
        <w:rPr>
          <w:sz w:val="26"/>
          <w:szCs w:val="26"/>
        </w:rPr>
        <w:t xml:space="preserve"> </w:t>
      </w:r>
      <w:r w:rsidR="00567AE1" w:rsidRPr="00650894">
        <w:rPr>
          <w:i/>
          <w:sz w:val="26"/>
          <w:szCs w:val="26"/>
        </w:rPr>
        <w:t>Coretel Virginia, LLC</w:t>
      </w:r>
      <w:r w:rsidR="00567AE1" w:rsidRPr="00650894">
        <w:rPr>
          <w:sz w:val="26"/>
          <w:szCs w:val="26"/>
        </w:rPr>
        <w:t xml:space="preserve"> </w:t>
      </w:r>
      <w:r w:rsidR="00567AE1" w:rsidRPr="00650894">
        <w:rPr>
          <w:i/>
          <w:sz w:val="26"/>
          <w:szCs w:val="26"/>
        </w:rPr>
        <w:t xml:space="preserve">v. Verizon Virginia, LLC, </w:t>
      </w:r>
      <w:r w:rsidR="00567AE1" w:rsidRPr="00650894">
        <w:rPr>
          <w:sz w:val="26"/>
          <w:szCs w:val="26"/>
        </w:rPr>
        <w:t>et al, 752 F.3d 364 (4</w:t>
      </w:r>
      <w:r w:rsidR="00567AE1" w:rsidRPr="00650894">
        <w:rPr>
          <w:sz w:val="26"/>
          <w:szCs w:val="26"/>
          <w:vertAlign w:val="superscript"/>
        </w:rPr>
        <w:t>th</w:t>
      </w:r>
      <w:r w:rsidR="00567AE1" w:rsidRPr="00650894">
        <w:rPr>
          <w:sz w:val="26"/>
          <w:szCs w:val="26"/>
        </w:rPr>
        <w:t xml:space="preserve"> Cir. 2014) (</w:t>
      </w:r>
      <w:r w:rsidR="00567AE1" w:rsidRPr="00650894">
        <w:rPr>
          <w:i/>
          <w:sz w:val="26"/>
          <w:szCs w:val="26"/>
        </w:rPr>
        <w:t>CoreTel-Verizon VA Order</w:t>
      </w:r>
      <w:r w:rsidR="00567AE1" w:rsidRPr="00650894">
        <w:rPr>
          <w:sz w:val="26"/>
          <w:szCs w:val="26"/>
        </w:rPr>
        <w:t>)</w:t>
      </w:r>
      <w:r w:rsidR="00DD1C0F" w:rsidRPr="00650894">
        <w:rPr>
          <w:sz w:val="26"/>
          <w:szCs w:val="26"/>
        </w:rPr>
        <w:t>.</w:t>
      </w:r>
      <w:r w:rsidR="00F91101" w:rsidRPr="00650894">
        <w:rPr>
          <w:rStyle w:val="FootnoteReference"/>
        </w:rPr>
        <w:footnoteReference w:id="6"/>
      </w:r>
    </w:p>
    <w:p w:rsidR="00517B7D" w:rsidRPr="00650894" w:rsidRDefault="00517B7D" w:rsidP="00040FEB">
      <w:pPr>
        <w:spacing w:after="200" w:line="360" w:lineRule="auto"/>
        <w:contextualSpacing/>
        <w:rPr>
          <w:sz w:val="26"/>
          <w:szCs w:val="26"/>
        </w:rPr>
      </w:pPr>
    </w:p>
    <w:p w:rsidR="00517B7D" w:rsidRPr="00650894" w:rsidRDefault="00517B7D" w:rsidP="00650894">
      <w:pPr>
        <w:spacing w:after="200" w:line="360" w:lineRule="auto"/>
        <w:ind w:firstLine="1440"/>
        <w:contextualSpacing/>
        <w:rPr>
          <w:sz w:val="26"/>
          <w:szCs w:val="26"/>
        </w:rPr>
      </w:pPr>
      <w:r w:rsidRPr="00650894">
        <w:rPr>
          <w:sz w:val="26"/>
          <w:szCs w:val="26"/>
        </w:rPr>
        <w:t xml:space="preserve">Additionally, Verizon PA argued that the Commission should not tolerate Core's obvious attempt to forum shop and should dismiss Core's latest attempt to burden Verizon PA and its affiliates with piecemeal, duplicative litigation of invalid payment demands, or at a minimum, should stay this case pending the issuance of the </w:t>
      </w:r>
      <w:r w:rsidRPr="00650894">
        <w:rPr>
          <w:i/>
          <w:sz w:val="26"/>
          <w:szCs w:val="26"/>
        </w:rPr>
        <w:t>Core</w:t>
      </w:r>
      <w:r w:rsidR="00DD1C0F" w:rsidRPr="00650894">
        <w:rPr>
          <w:i/>
          <w:sz w:val="26"/>
          <w:szCs w:val="26"/>
        </w:rPr>
        <w:t>T</w:t>
      </w:r>
      <w:r w:rsidRPr="00650894">
        <w:rPr>
          <w:i/>
          <w:sz w:val="26"/>
          <w:szCs w:val="26"/>
        </w:rPr>
        <w:t>el</w:t>
      </w:r>
      <w:r w:rsidR="003B302F" w:rsidRPr="00650894">
        <w:rPr>
          <w:i/>
          <w:sz w:val="26"/>
          <w:szCs w:val="26"/>
        </w:rPr>
        <w:noBreakHyphen/>
      </w:r>
      <w:r w:rsidRPr="00650894">
        <w:rPr>
          <w:i/>
          <w:sz w:val="26"/>
          <w:szCs w:val="26"/>
        </w:rPr>
        <w:t xml:space="preserve">Verizon VA Order </w:t>
      </w:r>
      <w:r w:rsidRPr="00650894">
        <w:rPr>
          <w:sz w:val="26"/>
          <w:szCs w:val="26"/>
        </w:rPr>
        <w:t xml:space="preserve">and the resolution of the </w:t>
      </w:r>
      <w:r w:rsidRPr="00650894">
        <w:rPr>
          <w:i/>
          <w:sz w:val="26"/>
          <w:szCs w:val="26"/>
        </w:rPr>
        <w:t>2011 Core v. Verizon Proceeding</w:t>
      </w:r>
      <w:r w:rsidRPr="00650894">
        <w:rPr>
          <w:sz w:val="26"/>
          <w:szCs w:val="26"/>
        </w:rPr>
        <w:t>.  Specifically, Verizon PA averred that it provisions its own trunks to carry traffic from Verizon PA's network to Core and does not purchase facilities from Core.  Verizon PA denied that it ordered any facilities or transport from Core.</w:t>
      </w:r>
    </w:p>
    <w:p w:rsidR="00517B7D" w:rsidRPr="00650894" w:rsidRDefault="00517B7D" w:rsidP="00650894">
      <w:pPr>
        <w:spacing w:after="200" w:line="360" w:lineRule="auto"/>
        <w:contextualSpacing/>
        <w:rPr>
          <w:sz w:val="26"/>
          <w:szCs w:val="26"/>
        </w:rPr>
      </w:pPr>
      <w:r w:rsidRPr="00650894">
        <w:rPr>
          <w:sz w:val="26"/>
          <w:szCs w:val="26"/>
        </w:rPr>
        <w:t> </w:t>
      </w:r>
    </w:p>
    <w:p w:rsidR="00517B7D" w:rsidRPr="00650894" w:rsidRDefault="005D1041" w:rsidP="00040FEB">
      <w:pPr>
        <w:spacing w:after="200" w:line="360" w:lineRule="auto"/>
        <w:ind w:firstLine="1440"/>
        <w:contextualSpacing/>
        <w:rPr>
          <w:sz w:val="26"/>
          <w:szCs w:val="26"/>
        </w:rPr>
      </w:pPr>
      <w:r w:rsidRPr="00650894">
        <w:rPr>
          <w:sz w:val="26"/>
          <w:szCs w:val="26"/>
        </w:rPr>
        <w:t xml:space="preserve">In its </w:t>
      </w:r>
      <w:r w:rsidR="00517B7D" w:rsidRPr="00650894">
        <w:rPr>
          <w:sz w:val="26"/>
          <w:szCs w:val="26"/>
        </w:rPr>
        <w:t xml:space="preserve">New Matter, Verizon PA contended that Core was barred, </w:t>
      </w:r>
      <w:r w:rsidR="00517B7D" w:rsidRPr="00650894">
        <w:rPr>
          <w:i/>
          <w:sz w:val="26"/>
          <w:szCs w:val="26"/>
        </w:rPr>
        <w:t>inter alia</w:t>
      </w:r>
      <w:r w:rsidR="00517B7D" w:rsidRPr="00650894">
        <w:rPr>
          <w:sz w:val="26"/>
          <w:szCs w:val="26"/>
        </w:rPr>
        <w:t>,</w:t>
      </w:r>
      <w:r w:rsidR="0079775B">
        <w:rPr>
          <w:sz w:val="26"/>
          <w:szCs w:val="26"/>
        </w:rPr>
        <w:t xml:space="preserve"> </w:t>
      </w:r>
      <w:r w:rsidR="00517B7D" w:rsidRPr="00650894">
        <w:rPr>
          <w:sz w:val="26"/>
          <w:szCs w:val="26"/>
        </w:rPr>
        <w:t xml:space="preserve">(1) in part by the statute of limitations; (2) by a set-off of any funds that Core is found to owe Verizon under the on-going </w:t>
      </w:r>
      <w:r w:rsidR="00517B7D" w:rsidRPr="00650894">
        <w:rPr>
          <w:i/>
          <w:sz w:val="26"/>
          <w:szCs w:val="26"/>
        </w:rPr>
        <w:t>2011 Core v. Verizon Proceeding</w:t>
      </w:r>
      <w:r w:rsidR="00517B7D" w:rsidRPr="00650894">
        <w:rPr>
          <w:sz w:val="26"/>
          <w:szCs w:val="26"/>
        </w:rPr>
        <w:t xml:space="preserve">; (3) by the doctrine of claim preclusion because Core could have included these claims in its Amended Complaint in the </w:t>
      </w:r>
      <w:r w:rsidR="00517B7D" w:rsidRPr="00650894">
        <w:rPr>
          <w:i/>
          <w:sz w:val="26"/>
          <w:szCs w:val="26"/>
        </w:rPr>
        <w:t>2011 Core v. Verizon Proceeding</w:t>
      </w:r>
      <w:r w:rsidR="00517B7D" w:rsidRPr="00650894">
        <w:rPr>
          <w:sz w:val="26"/>
          <w:szCs w:val="26"/>
        </w:rPr>
        <w:t xml:space="preserve">; (4) by issue preclusion based on the </w:t>
      </w:r>
      <w:r w:rsidR="00F91101" w:rsidRPr="00650894">
        <w:rPr>
          <w:i/>
          <w:sz w:val="26"/>
          <w:szCs w:val="26"/>
        </w:rPr>
        <w:t>Eastern District Decision</w:t>
      </w:r>
      <w:r w:rsidR="00517B7D" w:rsidRPr="00650894">
        <w:rPr>
          <w:sz w:val="26"/>
          <w:szCs w:val="26"/>
        </w:rPr>
        <w:t xml:space="preserve">; (5) by </w:t>
      </w:r>
      <w:r w:rsidR="00517B7D" w:rsidRPr="0079775B">
        <w:rPr>
          <w:i/>
          <w:sz w:val="26"/>
          <w:szCs w:val="26"/>
        </w:rPr>
        <w:t>lis pendens</w:t>
      </w:r>
      <w:r w:rsidR="00517B7D" w:rsidRPr="00650894">
        <w:rPr>
          <w:sz w:val="26"/>
          <w:szCs w:val="26"/>
        </w:rPr>
        <w:t xml:space="preserve"> due to pendency of other litigation; (6) by the doctrine of unclean hands, which requires a party seeking equity to act fairly and without fraud or deceit; and (7) by the doctrines of laches and waiver, as Core failed to exercise due diligence in bringing its claim for payment of the bills at issue.</w:t>
      </w:r>
    </w:p>
    <w:p w:rsidR="00517B7D" w:rsidRPr="00650894" w:rsidRDefault="00517B7D" w:rsidP="00040FEB">
      <w:pPr>
        <w:spacing w:after="200" w:line="360" w:lineRule="auto"/>
        <w:contextualSpacing/>
        <w:rPr>
          <w:sz w:val="26"/>
          <w:szCs w:val="26"/>
        </w:rPr>
      </w:pPr>
      <w:r w:rsidRPr="00650894">
        <w:rPr>
          <w:sz w:val="26"/>
          <w:szCs w:val="26"/>
        </w:rPr>
        <w:t> </w:t>
      </w:r>
    </w:p>
    <w:p w:rsidR="00517B7D" w:rsidRPr="00650894" w:rsidRDefault="00517B7D" w:rsidP="00040FEB">
      <w:pPr>
        <w:spacing w:after="200" w:line="360" w:lineRule="auto"/>
        <w:ind w:firstLine="1440"/>
        <w:contextualSpacing/>
        <w:rPr>
          <w:sz w:val="26"/>
          <w:szCs w:val="26"/>
        </w:rPr>
      </w:pPr>
      <w:r w:rsidRPr="00650894">
        <w:rPr>
          <w:sz w:val="26"/>
          <w:szCs w:val="26"/>
        </w:rPr>
        <w:t xml:space="preserve">In its Preliminary Objections, Verizon PA sought dismissal of the </w:t>
      </w:r>
      <w:r w:rsidR="00A84BC6" w:rsidRPr="00650894">
        <w:rPr>
          <w:sz w:val="26"/>
          <w:szCs w:val="26"/>
        </w:rPr>
        <w:t xml:space="preserve">Complaint on multiple grounds: </w:t>
      </w:r>
      <w:r w:rsidRPr="00650894">
        <w:rPr>
          <w:sz w:val="26"/>
          <w:szCs w:val="26"/>
        </w:rPr>
        <w:t>(1) Core's failure to invoke mandatory dispute resolution</w:t>
      </w:r>
      <w:r w:rsidR="00E871B9" w:rsidRPr="00650894">
        <w:rPr>
          <w:sz w:val="26"/>
          <w:szCs w:val="26"/>
        </w:rPr>
        <w:t>, as set forth in the ICA</w:t>
      </w:r>
      <w:r w:rsidRPr="00650894">
        <w:rPr>
          <w:sz w:val="26"/>
          <w:szCs w:val="26"/>
        </w:rPr>
        <w:t xml:space="preserve">; (2) insufficient allegations regarding whether Verizon </w:t>
      </w:r>
      <w:r w:rsidR="00E871B9" w:rsidRPr="00650894">
        <w:rPr>
          <w:sz w:val="26"/>
          <w:szCs w:val="26"/>
        </w:rPr>
        <w:t xml:space="preserve">PA </w:t>
      </w:r>
      <w:r w:rsidRPr="00650894">
        <w:rPr>
          <w:sz w:val="26"/>
          <w:szCs w:val="26"/>
        </w:rPr>
        <w:t>ordered the relevant facilities; (3) prior and existing relevant litigation before the Commission and the federal courts in Virginia; and (4) failing dismissal, the litigation should be stayed.</w:t>
      </w:r>
    </w:p>
    <w:p w:rsidR="00517B7D" w:rsidRPr="00650894" w:rsidRDefault="00517B7D" w:rsidP="00650894">
      <w:pPr>
        <w:spacing w:after="200" w:line="360" w:lineRule="auto"/>
        <w:contextualSpacing/>
        <w:rPr>
          <w:sz w:val="26"/>
          <w:szCs w:val="26"/>
        </w:rPr>
      </w:pPr>
    </w:p>
    <w:p w:rsidR="00517B7D" w:rsidRPr="00650894" w:rsidRDefault="00517B7D" w:rsidP="00650894">
      <w:pPr>
        <w:spacing w:after="200" w:line="360" w:lineRule="auto"/>
        <w:ind w:firstLine="1440"/>
        <w:contextualSpacing/>
        <w:rPr>
          <w:sz w:val="26"/>
          <w:szCs w:val="26"/>
        </w:rPr>
      </w:pPr>
      <w:r w:rsidRPr="00650894">
        <w:rPr>
          <w:sz w:val="26"/>
          <w:szCs w:val="26"/>
        </w:rPr>
        <w:t>On March 24, 2014, Core filed an Answer to Verizon PA’s Preliminary Objections, denying: (1) that the subject matter of the bills in th</w:t>
      </w:r>
      <w:r w:rsidR="00170098" w:rsidRPr="00650894">
        <w:rPr>
          <w:sz w:val="26"/>
          <w:szCs w:val="26"/>
        </w:rPr>
        <w:t xml:space="preserve">e instant case </w:t>
      </w:r>
      <w:r w:rsidRPr="00650894">
        <w:rPr>
          <w:sz w:val="26"/>
          <w:szCs w:val="26"/>
        </w:rPr>
        <w:t>was identical to the subject matter of any other litigation or that it could have been; (2) that Core failed to follow the ICA</w:t>
      </w:r>
      <w:r w:rsidR="002C538A" w:rsidRPr="00650894">
        <w:rPr>
          <w:sz w:val="26"/>
          <w:szCs w:val="26"/>
        </w:rPr>
        <w:t>’s</w:t>
      </w:r>
      <w:r w:rsidRPr="00650894">
        <w:rPr>
          <w:sz w:val="26"/>
          <w:szCs w:val="26"/>
        </w:rPr>
        <w:t xml:space="preserve"> dispute resolution process; (3) that Verizon PA did not order the facilities in question; and (4) that the </w:t>
      </w:r>
      <w:r w:rsidR="002C538A" w:rsidRPr="00650894">
        <w:rPr>
          <w:sz w:val="26"/>
          <w:szCs w:val="26"/>
        </w:rPr>
        <w:t xml:space="preserve">resolution in the </w:t>
      </w:r>
      <w:r w:rsidR="002C538A" w:rsidRPr="00650894">
        <w:rPr>
          <w:i/>
          <w:sz w:val="26"/>
          <w:szCs w:val="26"/>
        </w:rPr>
        <w:t>CoreTel-Verizon VA Order</w:t>
      </w:r>
      <w:r w:rsidRPr="00650894">
        <w:rPr>
          <w:sz w:val="26"/>
          <w:szCs w:val="26"/>
        </w:rPr>
        <w:t xml:space="preserve"> is binding upon this Commission.  In addition, Core argued that there was no legal basis for staying this litigation to await the outcome of two completely separate Virginia entities involving different ICAs and different underlying facts.</w:t>
      </w:r>
    </w:p>
    <w:p w:rsidR="00517B7D" w:rsidRPr="00650894" w:rsidRDefault="00517B7D" w:rsidP="00650894">
      <w:pPr>
        <w:spacing w:after="200" w:line="360" w:lineRule="auto"/>
        <w:ind w:firstLine="1440"/>
        <w:contextualSpacing/>
        <w:rPr>
          <w:sz w:val="26"/>
          <w:szCs w:val="26"/>
        </w:rPr>
      </w:pPr>
    </w:p>
    <w:p w:rsidR="00517B7D" w:rsidRPr="00650894" w:rsidRDefault="00517B7D" w:rsidP="00650894">
      <w:pPr>
        <w:spacing w:after="200" w:line="360" w:lineRule="auto"/>
        <w:ind w:firstLine="1440"/>
        <w:contextualSpacing/>
        <w:rPr>
          <w:sz w:val="26"/>
          <w:szCs w:val="26"/>
        </w:rPr>
      </w:pPr>
      <w:r w:rsidRPr="00650894">
        <w:rPr>
          <w:sz w:val="26"/>
          <w:szCs w:val="26"/>
        </w:rPr>
        <w:t>On April 2, 2014, Core filed a Reply to Verizon PA’s New Matter</w:t>
      </w:r>
    </w:p>
    <w:p w:rsidR="00517B7D" w:rsidRPr="00650894" w:rsidRDefault="00517B7D" w:rsidP="00650894">
      <w:pPr>
        <w:spacing w:after="200" w:line="360" w:lineRule="auto"/>
        <w:ind w:firstLine="1440"/>
        <w:contextualSpacing/>
        <w:rPr>
          <w:sz w:val="26"/>
          <w:szCs w:val="26"/>
        </w:rPr>
      </w:pPr>
    </w:p>
    <w:p w:rsidR="00517B7D" w:rsidRPr="00650894" w:rsidRDefault="00517B7D" w:rsidP="00650894">
      <w:pPr>
        <w:spacing w:after="200" w:line="360" w:lineRule="auto"/>
        <w:ind w:firstLine="1440"/>
        <w:contextualSpacing/>
        <w:rPr>
          <w:sz w:val="26"/>
          <w:szCs w:val="26"/>
        </w:rPr>
      </w:pPr>
      <w:r w:rsidRPr="00650894">
        <w:rPr>
          <w:sz w:val="26"/>
          <w:szCs w:val="26"/>
        </w:rPr>
        <w:t>On May 5, 2014, ALJ Colwell issued an Order denying Verizon PA’s Preliminary Objections.</w:t>
      </w:r>
    </w:p>
    <w:p w:rsidR="00517B7D" w:rsidRPr="00650894" w:rsidRDefault="00517B7D" w:rsidP="00650894">
      <w:pPr>
        <w:spacing w:after="200" w:line="360" w:lineRule="auto"/>
        <w:contextualSpacing/>
        <w:rPr>
          <w:sz w:val="26"/>
          <w:szCs w:val="26"/>
        </w:rPr>
      </w:pPr>
      <w:r w:rsidRPr="00650894">
        <w:rPr>
          <w:sz w:val="26"/>
          <w:szCs w:val="26"/>
        </w:rPr>
        <w:t xml:space="preserve"> </w:t>
      </w:r>
    </w:p>
    <w:p w:rsidR="00517B7D" w:rsidRPr="00650894" w:rsidRDefault="00517B7D" w:rsidP="00650894">
      <w:pPr>
        <w:spacing w:after="200" w:line="360" w:lineRule="auto"/>
        <w:ind w:firstLine="1440"/>
        <w:contextualSpacing/>
        <w:rPr>
          <w:sz w:val="26"/>
          <w:szCs w:val="26"/>
        </w:rPr>
      </w:pPr>
      <w:r w:rsidRPr="00650894">
        <w:rPr>
          <w:sz w:val="26"/>
          <w:szCs w:val="26"/>
        </w:rPr>
        <w:t xml:space="preserve">On October 21, 2014, an evidentiary hearing was held, generating a transcript of 139 pages.  Additionally, various statements and exhibits presented by Core and Verizon PA were admitted into the record. </w:t>
      </w:r>
    </w:p>
    <w:p w:rsidR="00517B7D" w:rsidRPr="00650894" w:rsidRDefault="00517B7D" w:rsidP="00650894">
      <w:pPr>
        <w:spacing w:after="200" w:line="360" w:lineRule="auto"/>
        <w:ind w:firstLine="1440"/>
        <w:contextualSpacing/>
        <w:rPr>
          <w:sz w:val="26"/>
          <w:szCs w:val="26"/>
        </w:rPr>
      </w:pPr>
    </w:p>
    <w:p w:rsidR="00517B7D" w:rsidRPr="00650894" w:rsidRDefault="007C6420" w:rsidP="00650894">
      <w:pPr>
        <w:spacing w:after="200" w:line="360" w:lineRule="auto"/>
        <w:ind w:firstLine="1440"/>
        <w:contextualSpacing/>
        <w:rPr>
          <w:sz w:val="26"/>
          <w:szCs w:val="26"/>
        </w:rPr>
      </w:pPr>
      <w:r w:rsidRPr="00650894">
        <w:rPr>
          <w:sz w:val="26"/>
          <w:szCs w:val="26"/>
        </w:rPr>
        <w:t xml:space="preserve">Both Parties filed </w:t>
      </w:r>
      <w:r w:rsidR="00B7347F">
        <w:rPr>
          <w:sz w:val="26"/>
          <w:szCs w:val="26"/>
        </w:rPr>
        <w:t xml:space="preserve">Main Briefs and </w:t>
      </w:r>
      <w:r w:rsidRPr="00650894">
        <w:rPr>
          <w:sz w:val="26"/>
          <w:szCs w:val="26"/>
        </w:rPr>
        <w:t xml:space="preserve">Reply Briefs </w:t>
      </w:r>
      <w:r w:rsidR="00B7347F">
        <w:rPr>
          <w:sz w:val="26"/>
          <w:szCs w:val="26"/>
        </w:rPr>
        <w:t>o</w:t>
      </w:r>
      <w:r w:rsidR="00517B7D" w:rsidRPr="00650894">
        <w:rPr>
          <w:sz w:val="26"/>
          <w:szCs w:val="26"/>
        </w:rPr>
        <w:t xml:space="preserve">n December 12, 2014, </w:t>
      </w:r>
      <w:r w:rsidR="00B7347F">
        <w:rPr>
          <w:sz w:val="26"/>
          <w:szCs w:val="26"/>
        </w:rPr>
        <w:t xml:space="preserve">and </w:t>
      </w:r>
      <w:r w:rsidR="00517B7D" w:rsidRPr="00650894">
        <w:rPr>
          <w:sz w:val="26"/>
          <w:szCs w:val="26"/>
        </w:rPr>
        <w:t xml:space="preserve">January 12, 2015, </w:t>
      </w:r>
      <w:r w:rsidR="00B7347F">
        <w:rPr>
          <w:sz w:val="26"/>
          <w:szCs w:val="26"/>
        </w:rPr>
        <w:t xml:space="preserve">respectively, </w:t>
      </w:r>
      <w:r w:rsidR="00517B7D" w:rsidRPr="00650894">
        <w:rPr>
          <w:sz w:val="26"/>
          <w:szCs w:val="26"/>
        </w:rPr>
        <w:t xml:space="preserve">and the record closed </w:t>
      </w:r>
      <w:r w:rsidR="00B7347F">
        <w:rPr>
          <w:sz w:val="26"/>
          <w:szCs w:val="26"/>
        </w:rPr>
        <w:t xml:space="preserve">on January 12, </w:t>
      </w:r>
      <w:r w:rsidR="00517B7D" w:rsidRPr="00650894">
        <w:rPr>
          <w:sz w:val="26"/>
          <w:szCs w:val="26"/>
        </w:rPr>
        <w:t>upon receipt</w:t>
      </w:r>
      <w:r w:rsidR="00B7347F">
        <w:rPr>
          <w:sz w:val="26"/>
          <w:szCs w:val="26"/>
        </w:rPr>
        <w:t xml:space="preserve"> of the Reply Briefs.</w:t>
      </w:r>
    </w:p>
    <w:p w:rsidR="00517B7D" w:rsidRPr="00650894" w:rsidRDefault="00517B7D" w:rsidP="00650894">
      <w:pPr>
        <w:spacing w:after="200" w:line="360" w:lineRule="auto"/>
        <w:ind w:firstLine="1440"/>
        <w:contextualSpacing/>
        <w:rPr>
          <w:sz w:val="26"/>
          <w:szCs w:val="26"/>
        </w:rPr>
      </w:pPr>
    </w:p>
    <w:p w:rsidR="00517B7D" w:rsidRPr="00650894" w:rsidRDefault="00517B7D" w:rsidP="00650894">
      <w:pPr>
        <w:spacing w:after="200" w:line="360" w:lineRule="auto"/>
        <w:ind w:firstLine="1440"/>
        <w:contextualSpacing/>
        <w:rPr>
          <w:sz w:val="26"/>
          <w:szCs w:val="26"/>
        </w:rPr>
      </w:pPr>
      <w:r w:rsidRPr="00650894">
        <w:rPr>
          <w:sz w:val="26"/>
          <w:szCs w:val="26"/>
        </w:rPr>
        <w:t xml:space="preserve">On April 3, 2015, ALJ Colwell’s </w:t>
      </w:r>
      <w:r w:rsidR="00DD1C0F" w:rsidRPr="00650894">
        <w:rPr>
          <w:sz w:val="26"/>
          <w:szCs w:val="26"/>
        </w:rPr>
        <w:t>Initial Decision</w:t>
      </w:r>
      <w:r w:rsidR="00B7347F">
        <w:rPr>
          <w:sz w:val="26"/>
          <w:szCs w:val="26"/>
        </w:rPr>
        <w:t xml:space="preserve"> was issued.  ALJ Colwell found </w:t>
      </w:r>
      <w:r w:rsidRPr="00650894">
        <w:rPr>
          <w:sz w:val="26"/>
          <w:szCs w:val="26"/>
        </w:rPr>
        <w:t xml:space="preserve">that Core failed to meet its burden of proving that the bills it issued to Verizon PA should be paid by Verizon PA.  </w:t>
      </w:r>
      <w:r w:rsidR="00170098" w:rsidRPr="00650894">
        <w:rPr>
          <w:sz w:val="26"/>
          <w:szCs w:val="26"/>
        </w:rPr>
        <w:t>Therefore, the ALJ dismissed Core’s Complaint in its entirety.</w:t>
      </w:r>
    </w:p>
    <w:p w:rsidR="00517B7D" w:rsidRPr="00650894" w:rsidRDefault="00517B7D" w:rsidP="00650894">
      <w:pPr>
        <w:spacing w:after="200" w:line="360" w:lineRule="auto"/>
        <w:ind w:firstLine="1440"/>
        <w:contextualSpacing/>
        <w:rPr>
          <w:sz w:val="26"/>
          <w:szCs w:val="26"/>
        </w:rPr>
      </w:pPr>
    </w:p>
    <w:p w:rsidR="00517B7D" w:rsidRPr="00650894" w:rsidRDefault="00517B7D" w:rsidP="00650894">
      <w:pPr>
        <w:spacing w:after="200" w:line="360" w:lineRule="auto"/>
        <w:ind w:firstLine="1440"/>
        <w:contextualSpacing/>
        <w:rPr>
          <w:sz w:val="26"/>
          <w:szCs w:val="26"/>
        </w:rPr>
      </w:pPr>
      <w:r w:rsidRPr="00650894">
        <w:rPr>
          <w:sz w:val="26"/>
          <w:szCs w:val="26"/>
        </w:rPr>
        <w:t xml:space="preserve">On April 23, 2015, Core filed Exceptions to the </w:t>
      </w:r>
      <w:r w:rsidR="00DD1C0F" w:rsidRPr="00650894">
        <w:rPr>
          <w:sz w:val="26"/>
          <w:szCs w:val="26"/>
        </w:rPr>
        <w:t>Initial Decision</w:t>
      </w:r>
      <w:r w:rsidRPr="00650894">
        <w:rPr>
          <w:sz w:val="26"/>
          <w:szCs w:val="26"/>
        </w:rPr>
        <w:t>.</w:t>
      </w:r>
    </w:p>
    <w:p w:rsidR="00517B7D" w:rsidRPr="00650894" w:rsidRDefault="00517B7D" w:rsidP="00650894">
      <w:pPr>
        <w:spacing w:after="200" w:line="360" w:lineRule="auto"/>
        <w:ind w:firstLine="1440"/>
        <w:contextualSpacing/>
        <w:rPr>
          <w:sz w:val="26"/>
          <w:szCs w:val="26"/>
        </w:rPr>
      </w:pPr>
    </w:p>
    <w:p w:rsidR="00517B7D" w:rsidRPr="00650894" w:rsidRDefault="00517B7D" w:rsidP="00650894">
      <w:pPr>
        <w:spacing w:after="200" w:line="360" w:lineRule="auto"/>
        <w:ind w:firstLine="1440"/>
        <w:contextualSpacing/>
        <w:rPr>
          <w:sz w:val="26"/>
          <w:szCs w:val="26"/>
        </w:rPr>
      </w:pPr>
      <w:r w:rsidRPr="00650894">
        <w:rPr>
          <w:sz w:val="26"/>
          <w:szCs w:val="26"/>
        </w:rPr>
        <w:t>On May 4, 2015, Verizon PA filed Replies to Exceptions</w:t>
      </w:r>
      <w:r w:rsidR="00040FEB">
        <w:rPr>
          <w:sz w:val="26"/>
          <w:szCs w:val="26"/>
        </w:rPr>
        <w:t>.</w:t>
      </w:r>
    </w:p>
    <w:p w:rsidR="00517B7D" w:rsidRPr="00650894" w:rsidRDefault="00517B7D" w:rsidP="00650894">
      <w:pPr>
        <w:spacing w:after="200" w:line="360" w:lineRule="auto"/>
        <w:ind w:firstLine="1440"/>
        <w:contextualSpacing/>
        <w:rPr>
          <w:sz w:val="26"/>
          <w:szCs w:val="26"/>
        </w:rPr>
      </w:pPr>
    </w:p>
    <w:p w:rsidR="00517B7D" w:rsidRPr="00650894" w:rsidRDefault="00517B7D" w:rsidP="00650894">
      <w:pPr>
        <w:spacing w:after="200" w:line="360" w:lineRule="auto"/>
        <w:ind w:firstLine="1440"/>
        <w:contextualSpacing/>
        <w:rPr>
          <w:sz w:val="26"/>
          <w:szCs w:val="26"/>
        </w:rPr>
      </w:pPr>
      <w:r w:rsidRPr="00650894">
        <w:rPr>
          <w:sz w:val="26"/>
          <w:szCs w:val="26"/>
        </w:rPr>
        <w:t xml:space="preserve">On June 12, 2015, Core filed a Motion in which it requested that the Commission consolidate the matter before us with the </w:t>
      </w:r>
      <w:r w:rsidRPr="00650894">
        <w:rPr>
          <w:i/>
          <w:sz w:val="26"/>
          <w:szCs w:val="26"/>
        </w:rPr>
        <w:t>2011 Core v. Verizon Proceeding</w:t>
      </w:r>
      <w:r w:rsidRPr="00650894">
        <w:rPr>
          <w:sz w:val="26"/>
          <w:szCs w:val="26"/>
        </w:rPr>
        <w:t>.</w:t>
      </w:r>
    </w:p>
    <w:p w:rsidR="00517B7D" w:rsidRPr="00650894" w:rsidRDefault="00517B7D" w:rsidP="00650894">
      <w:pPr>
        <w:spacing w:after="200" w:line="360" w:lineRule="auto"/>
        <w:ind w:firstLine="1440"/>
        <w:contextualSpacing/>
        <w:rPr>
          <w:sz w:val="26"/>
          <w:szCs w:val="26"/>
        </w:rPr>
      </w:pPr>
    </w:p>
    <w:p w:rsidR="00517B7D" w:rsidRPr="00650894" w:rsidRDefault="00517B7D" w:rsidP="00650894">
      <w:pPr>
        <w:spacing w:after="200" w:line="360" w:lineRule="auto"/>
        <w:ind w:firstLine="1440"/>
        <w:contextualSpacing/>
        <w:rPr>
          <w:sz w:val="26"/>
          <w:szCs w:val="26"/>
        </w:rPr>
      </w:pPr>
      <w:r w:rsidRPr="00650894">
        <w:rPr>
          <w:sz w:val="26"/>
          <w:szCs w:val="26"/>
        </w:rPr>
        <w:t>On June 25, 2015, Verizon filed an Opposition to Core’s Motion (Opposition).</w:t>
      </w:r>
    </w:p>
    <w:p w:rsidR="00517B7D" w:rsidRPr="00650894" w:rsidRDefault="00517B7D" w:rsidP="00650894">
      <w:pPr>
        <w:spacing w:after="200" w:line="360" w:lineRule="auto"/>
        <w:ind w:firstLine="1440"/>
        <w:contextualSpacing/>
        <w:rPr>
          <w:sz w:val="26"/>
          <w:szCs w:val="26"/>
        </w:rPr>
      </w:pPr>
    </w:p>
    <w:p w:rsidR="008218D6" w:rsidRPr="00650894" w:rsidRDefault="00517B7D" w:rsidP="00650894">
      <w:pPr>
        <w:spacing w:line="360" w:lineRule="auto"/>
        <w:ind w:firstLine="1440"/>
        <w:contextualSpacing/>
        <w:rPr>
          <w:sz w:val="26"/>
          <w:szCs w:val="26"/>
        </w:rPr>
      </w:pPr>
      <w:r w:rsidRPr="00650894">
        <w:rPr>
          <w:sz w:val="26"/>
          <w:szCs w:val="26"/>
        </w:rPr>
        <w:t xml:space="preserve">On November 9, 2015, </w:t>
      </w:r>
      <w:r w:rsidR="006F2223">
        <w:rPr>
          <w:sz w:val="26"/>
          <w:szCs w:val="26"/>
        </w:rPr>
        <w:t>we</w:t>
      </w:r>
      <w:r w:rsidRPr="00650894">
        <w:rPr>
          <w:sz w:val="26"/>
          <w:szCs w:val="26"/>
        </w:rPr>
        <w:t xml:space="preserve"> entered an Order</w:t>
      </w:r>
      <w:r w:rsidR="006F2223">
        <w:rPr>
          <w:sz w:val="26"/>
          <w:szCs w:val="26"/>
        </w:rPr>
        <w:t xml:space="preserve"> which</w:t>
      </w:r>
      <w:r w:rsidRPr="00650894">
        <w:rPr>
          <w:sz w:val="26"/>
          <w:szCs w:val="26"/>
        </w:rPr>
        <w:t xml:space="preserve">, </w:t>
      </w:r>
      <w:r w:rsidRPr="00650894">
        <w:rPr>
          <w:i/>
          <w:sz w:val="26"/>
          <w:szCs w:val="26"/>
        </w:rPr>
        <w:t>inter alia</w:t>
      </w:r>
      <w:r w:rsidRPr="00650894">
        <w:rPr>
          <w:sz w:val="26"/>
          <w:szCs w:val="26"/>
        </w:rPr>
        <w:t xml:space="preserve">, denied Core’s Motion to consolidate the instant proceeding with the </w:t>
      </w:r>
      <w:r w:rsidRPr="00650894">
        <w:rPr>
          <w:i/>
          <w:sz w:val="26"/>
          <w:szCs w:val="26"/>
        </w:rPr>
        <w:t>2011 Core v Verizon Proceeding</w:t>
      </w:r>
      <w:r w:rsidRPr="00650894">
        <w:rPr>
          <w:sz w:val="26"/>
          <w:szCs w:val="26"/>
        </w:rPr>
        <w:t>.</w:t>
      </w:r>
    </w:p>
    <w:p w:rsidR="0071577D" w:rsidRPr="00650894" w:rsidRDefault="0071577D" w:rsidP="00650894">
      <w:pPr>
        <w:spacing w:line="360" w:lineRule="auto"/>
        <w:ind w:firstLine="1440"/>
        <w:contextualSpacing/>
        <w:rPr>
          <w:sz w:val="26"/>
          <w:szCs w:val="26"/>
        </w:rPr>
      </w:pPr>
    </w:p>
    <w:p w:rsidR="00340D2E" w:rsidRPr="00650894" w:rsidRDefault="00044C58" w:rsidP="00650894">
      <w:pPr>
        <w:spacing w:line="360" w:lineRule="auto"/>
        <w:contextualSpacing/>
        <w:jc w:val="center"/>
        <w:rPr>
          <w:b/>
          <w:sz w:val="26"/>
          <w:szCs w:val="26"/>
        </w:rPr>
      </w:pPr>
      <w:r w:rsidRPr="00650894">
        <w:rPr>
          <w:b/>
          <w:sz w:val="26"/>
          <w:szCs w:val="26"/>
        </w:rPr>
        <w:t>IV.</w:t>
      </w:r>
      <w:r w:rsidR="00B94C20" w:rsidRPr="00650894">
        <w:rPr>
          <w:b/>
          <w:sz w:val="26"/>
          <w:szCs w:val="26"/>
        </w:rPr>
        <w:tab/>
      </w:r>
      <w:r w:rsidR="00EF38A6" w:rsidRPr="00650894">
        <w:rPr>
          <w:b/>
          <w:sz w:val="26"/>
          <w:szCs w:val="26"/>
        </w:rPr>
        <w:t>Discussion</w:t>
      </w:r>
    </w:p>
    <w:p w:rsidR="002C480C" w:rsidRPr="00650894" w:rsidRDefault="002C480C" w:rsidP="00650894">
      <w:pPr>
        <w:spacing w:line="360" w:lineRule="auto"/>
        <w:ind w:firstLine="1440"/>
        <w:contextualSpacing/>
        <w:rPr>
          <w:sz w:val="26"/>
          <w:szCs w:val="26"/>
        </w:rPr>
      </w:pPr>
    </w:p>
    <w:p w:rsidR="00EF5826" w:rsidRPr="00650894" w:rsidRDefault="002C480C" w:rsidP="00650894">
      <w:pPr>
        <w:spacing w:line="360" w:lineRule="auto"/>
        <w:ind w:firstLine="1440"/>
        <w:contextualSpacing/>
        <w:rPr>
          <w:sz w:val="26"/>
          <w:szCs w:val="26"/>
        </w:rPr>
      </w:pPr>
      <w:r w:rsidRPr="00650894">
        <w:rPr>
          <w:sz w:val="26"/>
          <w:szCs w:val="26"/>
        </w:rPr>
        <w:t xml:space="preserve">Initially, we note that any issue or Exception that we do not specifically address shall be deemed to have been duly considered and will be denied without further discussion.  The Commission is not required to consider expressly or at length each contention or argument raised by the Parties.  </w:t>
      </w:r>
      <w:r w:rsidRPr="00650894">
        <w:rPr>
          <w:i/>
          <w:sz w:val="26"/>
          <w:szCs w:val="26"/>
        </w:rPr>
        <w:t>Consolidated Rail Corp. v. Pa. PUC</w:t>
      </w:r>
      <w:r w:rsidRPr="00650894">
        <w:rPr>
          <w:sz w:val="26"/>
          <w:szCs w:val="26"/>
        </w:rPr>
        <w:t xml:space="preserve">, 625 A.2d 741 (Pa. Cmwlth. 1993); </w:t>
      </w:r>
      <w:r w:rsidRPr="00650894">
        <w:rPr>
          <w:i/>
          <w:sz w:val="26"/>
          <w:szCs w:val="26"/>
        </w:rPr>
        <w:t>also see, generally</w:t>
      </w:r>
      <w:r w:rsidRPr="00650894">
        <w:rPr>
          <w:sz w:val="26"/>
          <w:szCs w:val="26"/>
        </w:rPr>
        <w:t xml:space="preserve">, </w:t>
      </w:r>
      <w:r w:rsidRPr="00650894">
        <w:rPr>
          <w:i/>
          <w:sz w:val="26"/>
          <w:szCs w:val="26"/>
        </w:rPr>
        <w:t>University of Pennsylvania v. Pa. PUC</w:t>
      </w:r>
      <w:r w:rsidRPr="00650894">
        <w:rPr>
          <w:sz w:val="26"/>
          <w:szCs w:val="26"/>
        </w:rPr>
        <w:t>, 485 A.2d 1217 (Pa. Cmwlth. 1984).</w:t>
      </w:r>
    </w:p>
    <w:p w:rsidR="002C480C" w:rsidRPr="00650894" w:rsidRDefault="002C480C" w:rsidP="00650894">
      <w:pPr>
        <w:spacing w:line="360" w:lineRule="auto"/>
        <w:ind w:firstLine="1440"/>
        <w:contextualSpacing/>
        <w:rPr>
          <w:sz w:val="26"/>
          <w:szCs w:val="26"/>
        </w:rPr>
      </w:pPr>
    </w:p>
    <w:p w:rsidR="004372EE" w:rsidRPr="00650894" w:rsidRDefault="002C480C" w:rsidP="00650894">
      <w:pPr>
        <w:spacing w:line="360" w:lineRule="auto"/>
        <w:ind w:firstLine="1440"/>
        <w:contextualSpacing/>
        <w:rPr>
          <w:sz w:val="26"/>
          <w:szCs w:val="26"/>
        </w:rPr>
      </w:pPr>
      <w:r w:rsidRPr="00650894">
        <w:rPr>
          <w:sz w:val="26"/>
          <w:szCs w:val="26"/>
        </w:rPr>
        <w:t>In her Initial Decision, ALJ Colwell made eighty-five Findings of Fact and reached eleven Conclusions of Law.  I.D. at 4-19, 49-50.  The Findings of Fact and Conclusions of Law are incorporated herein by reference and are adopted without comment unless they are either expressly or by necessary implication rejected or modified by this Opinion and Order.</w:t>
      </w:r>
    </w:p>
    <w:p w:rsidR="004372EE" w:rsidRPr="00650894" w:rsidRDefault="004372EE" w:rsidP="00B7347F">
      <w:pPr>
        <w:spacing w:line="360" w:lineRule="auto"/>
        <w:ind w:firstLine="1440"/>
        <w:contextualSpacing/>
        <w:rPr>
          <w:sz w:val="26"/>
          <w:szCs w:val="26"/>
        </w:rPr>
      </w:pPr>
    </w:p>
    <w:p w:rsidR="002C480C" w:rsidRPr="00650894" w:rsidRDefault="004372EE" w:rsidP="00B7347F">
      <w:pPr>
        <w:spacing w:line="360" w:lineRule="auto"/>
        <w:ind w:firstLine="1440"/>
        <w:contextualSpacing/>
        <w:rPr>
          <w:sz w:val="26"/>
          <w:szCs w:val="26"/>
        </w:rPr>
      </w:pPr>
      <w:r w:rsidRPr="00650894">
        <w:rPr>
          <w:sz w:val="26"/>
          <w:szCs w:val="26"/>
        </w:rPr>
        <w:t xml:space="preserve">Additionally, the ALJ noted that although Core’s Complaint originally included bills directed to Verizon North, none of these bills are collectible from Verizon PA because Verizon North is not a party to the matter before us.  Therefore, the ALJ emphasized that Core may not seek to collect any bills it issued in the Erie LATA, because Verizon North operates in that </w:t>
      </w:r>
      <w:r w:rsidR="00E83F9D" w:rsidRPr="00650894">
        <w:rPr>
          <w:sz w:val="26"/>
          <w:szCs w:val="26"/>
        </w:rPr>
        <w:t>LATA,</w:t>
      </w:r>
      <w:r w:rsidRPr="00650894">
        <w:rPr>
          <w:sz w:val="26"/>
          <w:szCs w:val="26"/>
        </w:rPr>
        <w:t xml:space="preserve"> but Verizon PA does not.  I.D. at 48.  We concur with the ALJ’s ruling and such bills will not be discussed in this Opinion and Order.</w:t>
      </w:r>
    </w:p>
    <w:p w:rsidR="002C480C" w:rsidRPr="00650894" w:rsidRDefault="002C480C" w:rsidP="00650894">
      <w:pPr>
        <w:keepNext/>
        <w:spacing w:line="360" w:lineRule="auto"/>
        <w:ind w:firstLine="1440"/>
        <w:contextualSpacing/>
        <w:rPr>
          <w:sz w:val="26"/>
          <w:szCs w:val="26"/>
        </w:rPr>
      </w:pPr>
    </w:p>
    <w:p w:rsidR="000A6527" w:rsidRPr="00650894" w:rsidRDefault="00EF38A6" w:rsidP="00920916">
      <w:pPr>
        <w:keepNext/>
        <w:spacing w:line="360" w:lineRule="auto"/>
        <w:contextualSpacing/>
        <w:rPr>
          <w:b/>
          <w:sz w:val="26"/>
          <w:szCs w:val="26"/>
        </w:rPr>
      </w:pPr>
      <w:r w:rsidRPr="00650894">
        <w:rPr>
          <w:b/>
          <w:sz w:val="26"/>
          <w:szCs w:val="26"/>
        </w:rPr>
        <w:t>A.</w:t>
      </w:r>
      <w:r w:rsidRPr="00650894">
        <w:rPr>
          <w:b/>
          <w:sz w:val="26"/>
          <w:szCs w:val="26"/>
        </w:rPr>
        <w:tab/>
        <w:t>Legal Standards</w:t>
      </w:r>
    </w:p>
    <w:p w:rsidR="00EF38A6" w:rsidRPr="00650894" w:rsidRDefault="00EF38A6" w:rsidP="00650894">
      <w:pPr>
        <w:keepNext/>
        <w:spacing w:line="360" w:lineRule="auto"/>
        <w:ind w:firstLine="1440"/>
        <w:contextualSpacing/>
        <w:rPr>
          <w:sz w:val="26"/>
          <w:szCs w:val="26"/>
        </w:rPr>
      </w:pPr>
    </w:p>
    <w:p w:rsidR="0039100E" w:rsidRPr="00650894" w:rsidRDefault="0039100E" w:rsidP="00650894">
      <w:pPr>
        <w:spacing w:line="360" w:lineRule="auto"/>
        <w:ind w:firstLine="1440"/>
        <w:contextualSpacing/>
        <w:rPr>
          <w:sz w:val="26"/>
          <w:szCs w:val="26"/>
        </w:rPr>
      </w:pPr>
      <w:r w:rsidRPr="00650894">
        <w:rPr>
          <w:sz w:val="26"/>
          <w:szCs w:val="26"/>
        </w:rPr>
        <w:t xml:space="preserve">As the proponent of a rule or order, the </w:t>
      </w:r>
      <w:r w:rsidR="000A6527" w:rsidRPr="00650894">
        <w:rPr>
          <w:sz w:val="26"/>
          <w:szCs w:val="26"/>
        </w:rPr>
        <w:t>party seeking affirmative relief</w:t>
      </w:r>
      <w:r w:rsidRPr="00650894">
        <w:rPr>
          <w:sz w:val="26"/>
          <w:szCs w:val="26"/>
        </w:rPr>
        <w:t xml:space="preserve"> </w:t>
      </w:r>
      <w:r w:rsidR="000A6527" w:rsidRPr="00650894">
        <w:rPr>
          <w:sz w:val="26"/>
          <w:szCs w:val="26"/>
        </w:rPr>
        <w:t xml:space="preserve">from the Commission </w:t>
      </w:r>
      <w:r w:rsidR="00404954" w:rsidRPr="00650894">
        <w:rPr>
          <w:sz w:val="26"/>
          <w:szCs w:val="26"/>
        </w:rPr>
        <w:t>b</w:t>
      </w:r>
      <w:r w:rsidRPr="00650894">
        <w:rPr>
          <w:sz w:val="26"/>
          <w:szCs w:val="26"/>
        </w:rPr>
        <w:t xml:space="preserve">ears the burden of proof pursuant to Section 332(a) of the </w:t>
      </w:r>
      <w:r w:rsidR="00037D7E" w:rsidRPr="00650894">
        <w:rPr>
          <w:sz w:val="26"/>
          <w:szCs w:val="26"/>
        </w:rPr>
        <w:t xml:space="preserve">Pennsylvania Public Utility </w:t>
      </w:r>
      <w:r w:rsidRPr="00650894">
        <w:rPr>
          <w:sz w:val="26"/>
          <w:szCs w:val="26"/>
        </w:rPr>
        <w:t>Code</w:t>
      </w:r>
      <w:r w:rsidR="00037D7E" w:rsidRPr="00650894">
        <w:rPr>
          <w:sz w:val="26"/>
          <w:szCs w:val="26"/>
        </w:rPr>
        <w:t xml:space="preserve"> (Code)</w:t>
      </w:r>
      <w:r w:rsidRPr="00650894">
        <w:rPr>
          <w:sz w:val="26"/>
          <w:szCs w:val="26"/>
        </w:rPr>
        <w:t xml:space="preserve">, 66 Pa. C.S.§ 332(a).  To establish a sufficient case and satisfy the burden of proof, the </w:t>
      </w:r>
      <w:r w:rsidR="000A6527" w:rsidRPr="00650894">
        <w:rPr>
          <w:sz w:val="26"/>
          <w:szCs w:val="26"/>
        </w:rPr>
        <w:t>party seeking affirmative relief</w:t>
      </w:r>
      <w:r w:rsidRPr="00650894">
        <w:rPr>
          <w:sz w:val="26"/>
          <w:szCs w:val="26"/>
        </w:rPr>
        <w:t xml:space="preserve"> must show that the </w:t>
      </w:r>
      <w:r w:rsidR="000A6527" w:rsidRPr="00650894">
        <w:rPr>
          <w:sz w:val="26"/>
          <w:szCs w:val="26"/>
        </w:rPr>
        <w:t>other party</w:t>
      </w:r>
      <w:r w:rsidRPr="00650894">
        <w:rPr>
          <w:sz w:val="26"/>
          <w:szCs w:val="26"/>
        </w:rPr>
        <w:t xml:space="preserve"> is responsible or accountable for the pr</w:t>
      </w:r>
      <w:r w:rsidR="000A6527" w:rsidRPr="00650894">
        <w:rPr>
          <w:sz w:val="26"/>
          <w:szCs w:val="26"/>
        </w:rPr>
        <w:t>oblem described</w:t>
      </w:r>
      <w:r w:rsidRPr="00650894">
        <w:rPr>
          <w:sz w:val="26"/>
          <w:szCs w:val="26"/>
        </w:rPr>
        <w:t xml:space="preserve">.  </w:t>
      </w:r>
      <w:r w:rsidRPr="00650894">
        <w:rPr>
          <w:i/>
          <w:sz w:val="26"/>
          <w:szCs w:val="26"/>
        </w:rPr>
        <w:t>Patterson v. The Bell Telephone Company of Pennsylvania</w:t>
      </w:r>
      <w:r w:rsidRPr="00650894">
        <w:rPr>
          <w:sz w:val="26"/>
          <w:szCs w:val="26"/>
        </w:rPr>
        <w:t xml:space="preserve">, 72 Pa. P.U.C. 196 (1990).  Such a showing must be by a preponderance of the evidence.  </w:t>
      </w:r>
      <w:r w:rsidRPr="00650894">
        <w:rPr>
          <w:i/>
          <w:iCs/>
          <w:sz w:val="26"/>
          <w:szCs w:val="26"/>
        </w:rPr>
        <w:t>Samuel J. Lansberry, Inc. v. Pa. PUC</w:t>
      </w:r>
      <w:r w:rsidRPr="00650894">
        <w:rPr>
          <w:sz w:val="26"/>
          <w:szCs w:val="26"/>
        </w:rPr>
        <w:t xml:space="preserve">, 578 A.2d 600 (Pa. Cmwlth. 1990), </w:t>
      </w:r>
      <w:r w:rsidRPr="00650894">
        <w:rPr>
          <w:i/>
          <w:sz w:val="26"/>
          <w:szCs w:val="26"/>
        </w:rPr>
        <w:t>alloc. denied,</w:t>
      </w:r>
      <w:r w:rsidRPr="00650894">
        <w:rPr>
          <w:sz w:val="26"/>
          <w:szCs w:val="26"/>
        </w:rPr>
        <w:t xml:space="preserve"> 529 Pa. 654, 602 A.2d 86</w:t>
      </w:r>
      <w:r w:rsidR="000A6527" w:rsidRPr="00650894">
        <w:rPr>
          <w:sz w:val="26"/>
          <w:szCs w:val="26"/>
        </w:rPr>
        <w:t>3 (1992).  That is, the</w:t>
      </w:r>
      <w:r w:rsidRPr="00650894">
        <w:rPr>
          <w:sz w:val="26"/>
          <w:szCs w:val="26"/>
        </w:rPr>
        <w:t xml:space="preserve"> evidence</w:t>
      </w:r>
      <w:r w:rsidR="000A6527" w:rsidRPr="00650894">
        <w:rPr>
          <w:sz w:val="26"/>
          <w:szCs w:val="26"/>
        </w:rPr>
        <w:t xml:space="preserve"> set forth by the party seeking affirmative relief</w:t>
      </w:r>
      <w:r w:rsidRPr="00650894">
        <w:rPr>
          <w:sz w:val="26"/>
          <w:szCs w:val="26"/>
        </w:rPr>
        <w:t xml:space="preserve"> must be more convincing, by even the smallest amount, than that presented by the </w:t>
      </w:r>
      <w:r w:rsidR="000A6527" w:rsidRPr="00650894">
        <w:rPr>
          <w:sz w:val="26"/>
          <w:szCs w:val="26"/>
        </w:rPr>
        <w:t>other party</w:t>
      </w:r>
      <w:r w:rsidRPr="00650894">
        <w:rPr>
          <w:sz w:val="26"/>
          <w:szCs w:val="26"/>
        </w:rPr>
        <w:t xml:space="preserve">.  </w:t>
      </w:r>
      <w:r w:rsidRPr="00650894">
        <w:rPr>
          <w:i/>
          <w:sz w:val="26"/>
          <w:szCs w:val="26"/>
        </w:rPr>
        <w:t>Se</w:t>
      </w:r>
      <w:r w:rsidRPr="00650894">
        <w:rPr>
          <w:i/>
          <w:sz w:val="26"/>
          <w:szCs w:val="26"/>
        </w:rPr>
        <w:noBreakHyphen/>
        <w:t>Ling Hosiery, Inc. v. Margulies</w:t>
      </w:r>
      <w:r w:rsidRPr="00650894">
        <w:rPr>
          <w:sz w:val="26"/>
          <w:szCs w:val="26"/>
        </w:rPr>
        <w:t>, 364 Pa. 45, 70 A.2d 854 (1950).  Additionally, this Commission</w:t>
      </w:r>
      <w:r w:rsidR="000A7776" w:rsidRPr="00650894">
        <w:rPr>
          <w:sz w:val="26"/>
          <w:szCs w:val="26"/>
        </w:rPr>
        <w:t>’</w:t>
      </w:r>
      <w:r w:rsidRPr="00650894">
        <w:rPr>
          <w:sz w:val="26"/>
          <w:szCs w:val="26"/>
        </w:rPr>
        <w:t xml:space="preserve">s decision must be supported by substantial evidence in the record.  More is required than a mere trace of evidence or a suspicion of the existence of a fact sought to be established.  </w:t>
      </w:r>
      <w:r w:rsidRPr="00650894">
        <w:rPr>
          <w:i/>
          <w:sz w:val="26"/>
          <w:szCs w:val="26"/>
        </w:rPr>
        <w:t xml:space="preserve">Norfolk &amp; Western Ry. Co. v. Pa. PUC, </w:t>
      </w:r>
      <w:r w:rsidRPr="00650894">
        <w:rPr>
          <w:sz w:val="26"/>
          <w:szCs w:val="26"/>
        </w:rPr>
        <w:t xml:space="preserve">489 Pa. 109, 413 A.2d 1037 </w:t>
      </w:r>
      <w:r w:rsidR="004F140B">
        <w:rPr>
          <w:sz w:val="26"/>
          <w:szCs w:val="26"/>
        </w:rPr>
        <w:t>(</w:t>
      </w:r>
      <w:r w:rsidRPr="00650894">
        <w:rPr>
          <w:sz w:val="26"/>
          <w:szCs w:val="26"/>
        </w:rPr>
        <w:t>1980).</w:t>
      </w:r>
    </w:p>
    <w:p w:rsidR="0039100E" w:rsidRPr="00650894" w:rsidRDefault="0039100E" w:rsidP="00650894">
      <w:pPr>
        <w:spacing w:line="360" w:lineRule="auto"/>
        <w:contextualSpacing/>
        <w:rPr>
          <w:sz w:val="26"/>
          <w:szCs w:val="26"/>
        </w:rPr>
      </w:pPr>
    </w:p>
    <w:p w:rsidR="0039100E" w:rsidRPr="00650894" w:rsidRDefault="0039100E" w:rsidP="00650894">
      <w:pPr>
        <w:spacing w:line="360" w:lineRule="auto"/>
        <w:ind w:firstLine="1440"/>
        <w:contextualSpacing/>
        <w:rPr>
          <w:sz w:val="26"/>
          <w:szCs w:val="26"/>
        </w:rPr>
      </w:pPr>
      <w:r w:rsidRPr="00650894">
        <w:rPr>
          <w:sz w:val="26"/>
          <w:szCs w:val="26"/>
        </w:rPr>
        <w:t>Upon the presentation of evidence sufficient to initially satisfy the burden of proof</w:t>
      </w:r>
      <w:r w:rsidR="000A6527" w:rsidRPr="00650894">
        <w:rPr>
          <w:sz w:val="26"/>
          <w:szCs w:val="26"/>
        </w:rPr>
        <w:t xml:space="preserve"> by the party seeking affirmative relief</w:t>
      </w:r>
      <w:r w:rsidRPr="00650894">
        <w:rPr>
          <w:sz w:val="26"/>
          <w:szCs w:val="26"/>
        </w:rPr>
        <w:t xml:space="preserve">, the burden of going forward with the evidence to rebut the evidence of the </w:t>
      </w:r>
      <w:r w:rsidR="000A6527" w:rsidRPr="00650894">
        <w:rPr>
          <w:sz w:val="26"/>
          <w:szCs w:val="26"/>
        </w:rPr>
        <w:t xml:space="preserve">party seeking affirmative relief </w:t>
      </w:r>
      <w:r w:rsidRPr="00650894">
        <w:rPr>
          <w:sz w:val="26"/>
          <w:szCs w:val="26"/>
        </w:rPr>
        <w:t xml:space="preserve">shifts to the </w:t>
      </w:r>
      <w:r w:rsidR="000A6527" w:rsidRPr="00650894">
        <w:rPr>
          <w:sz w:val="26"/>
          <w:szCs w:val="26"/>
        </w:rPr>
        <w:t>other party</w:t>
      </w:r>
      <w:r w:rsidRPr="00650894">
        <w:rPr>
          <w:sz w:val="26"/>
          <w:szCs w:val="26"/>
        </w:rPr>
        <w:t xml:space="preserve">.  If the evidence presented by the </w:t>
      </w:r>
      <w:r w:rsidR="000A6527" w:rsidRPr="00650894">
        <w:rPr>
          <w:sz w:val="26"/>
          <w:szCs w:val="26"/>
        </w:rPr>
        <w:t xml:space="preserve">other party </w:t>
      </w:r>
      <w:r w:rsidRPr="00650894">
        <w:rPr>
          <w:sz w:val="26"/>
          <w:szCs w:val="26"/>
        </w:rPr>
        <w:t xml:space="preserve">is of co-equal value or </w:t>
      </w:r>
      <w:r w:rsidR="000A7776" w:rsidRPr="00650894">
        <w:rPr>
          <w:sz w:val="26"/>
          <w:szCs w:val="26"/>
        </w:rPr>
        <w:t>“</w:t>
      </w:r>
      <w:r w:rsidRPr="00650894">
        <w:rPr>
          <w:sz w:val="26"/>
          <w:szCs w:val="26"/>
        </w:rPr>
        <w:t>weight,</w:t>
      </w:r>
      <w:r w:rsidR="000A7776" w:rsidRPr="00650894">
        <w:rPr>
          <w:sz w:val="26"/>
          <w:szCs w:val="26"/>
        </w:rPr>
        <w:t>”</w:t>
      </w:r>
      <w:r w:rsidRPr="00650894">
        <w:rPr>
          <w:sz w:val="26"/>
          <w:szCs w:val="26"/>
        </w:rPr>
        <w:t xml:space="preserve"> the burden of proof has not been satisfied. </w:t>
      </w:r>
      <w:r w:rsidR="00E71F08">
        <w:rPr>
          <w:sz w:val="26"/>
          <w:szCs w:val="26"/>
        </w:rPr>
        <w:t xml:space="preserve"> </w:t>
      </w:r>
      <w:r w:rsidRPr="00650894">
        <w:rPr>
          <w:sz w:val="26"/>
          <w:szCs w:val="26"/>
        </w:rPr>
        <w:t xml:space="preserve">The </w:t>
      </w:r>
      <w:r w:rsidR="000A6527" w:rsidRPr="00650894">
        <w:rPr>
          <w:sz w:val="26"/>
          <w:szCs w:val="26"/>
        </w:rPr>
        <w:t xml:space="preserve">party seeking affirmative relief </w:t>
      </w:r>
      <w:r w:rsidRPr="00650894">
        <w:rPr>
          <w:sz w:val="26"/>
          <w:szCs w:val="26"/>
        </w:rPr>
        <w:t xml:space="preserve">now has to provide some additional evidence to rebut that of the </w:t>
      </w:r>
      <w:r w:rsidR="000A6527" w:rsidRPr="00650894">
        <w:rPr>
          <w:sz w:val="26"/>
          <w:szCs w:val="26"/>
        </w:rPr>
        <w:t>other party</w:t>
      </w:r>
      <w:r w:rsidRPr="00650894">
        <w:rPr>
          <w:sz w:val="26"/>
          <w:szCs w:val="26"/>
        </w:rPr>
        <w:t xml:space="preserve">. </w:t>
      </w:r>
      <w:r w:rsidRPr="00650894">
        <w:rPr>
          <w:iCs/>
          <w:sz w:val="26"/>
          <w:szCs w:val="26"/>
        </w:rPr>
        <w:t xml:space="preserve"> </w:t>
      </w:r>
      <w:hyperlink r:id="rId8" w:history="1">
        <w:r w:rsidRPr="00650894">
          <w:rPr>
            <w:i/>
            <w:sz w:val="26"/>
            <w:szCs w:val="26"/>
          </w:rPr>
          <w:t>Burleson v. Pa. PUC</w:t>
        </w:r>
        <w:r w:rsidRPr="00650894">
          <w:rPr>
            <w:sz w:val="26"/>
            <w:szCs w:val="26"/>
          </w:rPr>
          <w:t xml:space="preserve">, 443 A.2d 1373 (Pa. Cmwlth. 1982), </w:t>
        </w:r>
        <w:r w:rsidRPr="00650894">
          <w:rPr>
            <w:i/>
            <w:sz w:val="26"/>
            <w:szCs w:val="26"/>
          </w:rPr>
          <w:t>aff</w:t>
        </w:r>
        <w:r w:rsidR="000A7776" w:rsidRPr="00650894">
          <w:rPr>
            <w:i/>
            <w:sz w:val="26"/>
            <w:szCs w:val="26"/>
          </w:rPr>
          <w:t>’</w:t>
        </w:r>
        <w:r w:rsidRPr="00650894">
          <w:rPr>
            <w:i/>
            <w:sz w:val="26"/>
            <w:szCs w:val="26"/>
          </w:rPr>
          <w:t>d</w:t>
        </w:r>
        <w:r w:rsidRPr="00650894">
          <w:rPr>
            <w:sz w:val="26"/>
            <w:szCs w:val="26"/>
          </w:rPr>
          <w:t>, 501 Pa. 433, 461 A.2d 1234 (1983).</w:t>
        </w:r>
      </w:hyperlink>
      <w:r w:rsidRPr="00650894">
        <w:rPr>
          <w:iCs/>
          <w:sz w:val="26"/>
          <w:szCs w:val="26"/>
        </w:rPr>
        <w:t xml:space="preserve">  </w:t>
      </w:r>
      <w:r w:rsidRPr="00650894">
        <w:rPr>
          <w:sz w:val="26"/>
          <w:szCs w:val="26"/>
        </w:rPr>
        <w:t xml:space="preserve">While the burden of going forward with the evidence may </w:t>
      </w:r>
      <w:r w:rsidRPr="00650894">
        <w:rPr>
          <w:bCs/>
          <w:sz w:val="26"/>
          <w:szCs w:val="26"/>
        </w:rPr>
        <w:t>shift</w:t>
      </w:r>
      <w:r w:rsidRPr="00650894">
        <w:rPr>
          <w:sz w:val="26"/>
          <w:szCs w:val="26"/>
        </w:rPr>
        <w:t xml:space="preserve"> back and forth during a proceeding, the </w:t>
      </w:r>
      <w:r w:rsidRPr="00650894">
        <w:rPr>
          <w:bCs/>
          <w:sz w:val="26"/>
          <w:szCs w:val="26"/>
        </w:rPr>
        <w:t>burden of proof</w:t>
      </w:r>
      <w:r w:rsidRPr="00650894">
        <w:rPr>
          <w:sz w:val="26"/>
          <w:szCs w:val="26"/>
        </w:rPr>
        <w:t xml:space="preserve"> never </w:t>
      </w:r>
      <w:r w:rsidRPr="00650894">
        <w:rPr>
          <w:bCs/>
          <w:sz w:val="26"/>
          <w:szCs w:val="26"/>
        </w:rPr>
        <w:t>shifts.  The burden of proof</w:t>
      </w:r>
      <w:r w:rsidRPr="00650894">
        <w:rPr>
          <w:sz w:val="26"/>
          <w:szCs w:val="26"/>
        </w:rPr>
        <w:t xml:space="preserve"> always remains on the party seeking affirmative relief from the Commission.  </w:t>
      </w:r>
      <w:r w:rsidRPr="00650894">
        <w:rPr>
          <w:i/>
          <w:sz w:val="26"/>
          <w:szCs w:val="26"/>
        </w:rPr>
        <w:t xml:space="preserve">Milkie v. Pa. PUC, </w:t>
      </w:r>
      <w:r w:rsidRPr="00650894">
        <w:rPr>
          <w:sz w:val="26"/>
          <w:szCs w:val="26"/>
        </w:rPr>
        <w:t>768 A.2d 1217 (Pa. Cmwlth. 2001).</w:t>
      </w:r>
    </w:p>
    <w:p w:rsidR="00EF38A6" w:rsidRPr="00650894" w:rsidRDefault="00EF38A6" w:rsidP="00650894">
      <w:pPr>
        <w:spacing w:line="360" w:lineRule="auto"/>
        <w:ind w:firstLine="1440"/>
        <w:contextualSpacing/>
        <w:rPr>
          <w:sz w:val="26"/>
          <w:szCs w:val="26"/>
        </w:rPr>
      </w:pPr>
    </w:p>
    <w:p w:rsidR="00EF38A6" w:rsidRPr="00650894" w:rsidRDefault="00EF38A6" w:rsidP="00650894">
      <w:pPr>
        <w:spacing w:line="360" w:lineRule="auto"/>
        <w:ind w:firstLine="1440"/>
        <w:contextualSpacing/>
        <w:rPr>
          <w:sz w:val="26"/>
          <w:szCs w:val="26"/>
        </w:rPr>
      </w:pPr>
      <w:r w:rsidRPr="00650894">
        <w:rPr>
          <w:sz w:val="26"/>
          <w:szCs w:val="26"/>
        </w:rPr>
        <w:t>In the instant case, Core, as the Complainant, bears the burden of proof.</w:t>
      </w:r>
    </w:p>
    <w:p w:rsidR="00340D2E" w:rsidRPr="00650894" w:rsidRDefault="00340D2E" w:rsidP="00650894">
      <w:pPr>
        <w:spacing w:line="360" w:lineRule="auto"/>
        <w:contextualSpacing/>
        <w:jc w:val="center"/>
        <w:rPr>
          <w:b/>
          <w:sz w:val="26"/>
          <w:szCs w:val="26"/>
        </w:rPr>
      </w:pPr>
    </w:p>
    <w:p w:rsidR="00FF4B8B" w:rsidRPr="00650894" w:rsidRDefault="00EF38A6" w:rsidP="00B41E16">
      <w:pPr>
        <w:keepNext/>
        <w:keepLines/>
        <w:spacing w:line="360" w:lineRule="auto"/>
        <w:contextualSpacing/>
        <w:rPr>
          <w:b/>
          <w:i/>
          <w:sz w:val="26"/>
          <w:szCs w:val="26"/>
        </w:rPr>
      </w:pPr>
      <w:r w:rsidRPr="00650894">
        <w:rPr>
          <w:b/>
          <w:sz w:val="26"/>
          <w:szCs w:val="26"/>
        </w:rPr>
        <w:t>B</w:t>
      </w:r>
      <w:r w:rsidR="00FF4B8B" w:rsidRPr="00650894">
        <w:rPr>
          <w:b/>
          <w:sz w:val="26"/>
          <w:szCs w:val="26"/>
        </w:rPr>
        <w:t>.</w:t>
      </w:r>
      <w:r w:rsidR="00FF4B8B" w:rsidRPr="00650894">
        <w:rPr>
          <w:b/>
          <w:sz w:val="26"/>
          <w:szCs w:val="26"/>
        </w:rPr>
        <w:tab/>
        <w:t>Verizon</w:t>
      </w:r>
      <w:r w:rsidR="008F6E22" w:rsidRPr="00650894">
        <w:rPr>
          <w:b/>
          <w:sz w:val="26"/>
          <w:szCs w:val="26"/>
        </w:rPr>
        <w:t xml:space="preserve"> PA</w:t>
      </w:r>
      <w:r w:rsidR="00FF4B8B" w:rsidRPr="00650894">
        <w:rPr>
          <w:b/>
          <w:sz w:val="26"/>
          <w:szCs w:val="26"/>
        </w:rPr>
        <w:t>’s Affirmative Defenses</w:t>
      </w:r>
    </w:p>
    <w:p w:rsidR="00FF4B8B" w:rsidRPr="00650894" w:rsidRDefault="00FF4B8B" w:rsidP="00650894">
      <w:pPr>
        <w:keepNext/>
        <w:keepLines/>
        <w:spacing w:line="360" w:lineRule="auto"/>
        <w:ind w:firstLine="1440"/>
        <w:contextualSpacing/>
        <w:rPr>
          <w:sz w:val="26"/>
          <w:szCs w:val="26"/>
        </w:rPr>
      </w:pPr>
    </w:p>
    <w:p w:rsidR="00FF4B8B" w:rsidRPr="00650894" w:rsidRDefault="00206FB0" w:rsidP="00650894">
      <w:pPr>
        <w:keepNext/>
        <w:keepLines/>
        <w:spacing w:line="360" w:lineRule="auto"/>
        <w:ind w:firstLine="1440"/>
        <w:contextualSpacing/>
        <w:rPr>
          <w:sz w:val="26"/>
          <w:szCs w:val="26"/>
        </w:rPr>
      </w:pPr>
      <w:r w:rsidRPr="00650894">
        <w:rPr>
          <w:sz w:val="26"/>
          <w:szCs w:val="26"/>
        </w:rPr>
        <w:t xml:space="preserve">In her Initial </w:t>
      </w:r>
      <w:r w:rsidR="00AB7C45" w:rsidRPr="00650894">
        <w:rPr>
          <w:sz w:val="26"/>
          <w:szCs w:val="26"/>
        </w:rPr>
        <w:t>Decision</w:t>
      </w:r>
      <w:r w:rsidRPr="00650894">
        <w:rPr>
          <w:sz w:val="26"/>
          <w:szCs w:val="26"/>
        </w:rPr>
        <w:t xml:space="preserve">, the ALJ </w:t>
      </w:r>
      <w:r w:rsidR="00AB7C45" w:rsidRPr="00650894">
        <w:rPr>
          <w:sz w:val="26"/>
          <w:szCs w:val="26"/>
        </w:rPr>
        <w:t>first</w:t>
      </w:r>
      <w:r w:rsidR="00FF4B8B" w:rsidRPr="00650894">
        <w:rPr>
          <w:sz w:val="26"/>
          <w:szCs w:val="26"/>
        </w:rPr>
        <w:t xml:space="preserve"> </w:t>
      </w:r>
      <w:r w:rsidR="00896B9F" w:rsidRPr="00650894">
        <w:rPr>
          <w:sz w:val="26"/>
          <w:szCs w:val="26"/>
        </w:rPr>
        <w:t xml:space="preserve">addressed </w:t>
      </w:r>
      <w:r w:rsidR="00FF4B8B" w:rsidRPr="00650894">
        <w:rPr>
          <w:sz w:val="26"/>
          <w:szCs w:val="26"/>
        </w:rPr>
        <w:t xml:space="preserve">the affirmative defenses that Verizon </w:t>
      </w:r>
      <w:r w:rsidR="008F6E22" w:rsidRPr="00650894">
        <w:rPr>
          <w:sz w:val="26"/>
          <w:szCs w:val="26"/>
        </w:rPr>
        <w:t xml:space="preserve">PA </w:t>
      </w:r>
      <w:r w:rsidR="00FF4B8B" w:rsidRPr="00650894">
        <w:rPr>
          <w:sz w:val="26"/>
          <w:szCs w:val="26"/>
        </w:rPr>
        <w:t>raised.  The ALJ reasoned that these defenses must be considered to determine whether Core’s Complaint is barred from consideration.</w:t>
      </w:r>
      <w:r w:rsidR="002C480C" w:rsidRPr="00650894">
        <w:rPr>
          <w:sz w:val="26"/>
          <w:szCs w:val="26"/>
        </w:rPr>
        <w:t xml:space="preserve">  </w:t>
      </w:r>
      <w:r w:rsidR="00AB7C45" w:rsidRPr="00650894">
        <w:rPr>
          <w:sz w:val="26"/>
          <w:szCs w:val="26"/>
        </w:rPr>
        <w:t>These are outlined below.</w:t>
      </w:r>
    </w:p>
    <w:p w:rsidR="00FF4B8B" w:rsidRPr="00650894" w:rsidRDefault="00FF4B8B" w:rsidP="00650894">
      <w:pPr>
        <w:spacing w:line="360" w:lineRule="auto"/>
        <w:ind w:firstLine="1440"/>
        <w:contextualSpacing/>
        <w:rPr>
          <w:sz w:val="26"/>
          <w:szCs w:val="26"/>
        </w:rPr>
      </w:pPr>
    </w:p>
    <w:p w:rsidR="00FF4B8B" w:rsidRPr="00650894" w:rsidRDefault="00FF4B8B" w:rsidP="00B41E16">
      <w:pPr>
        <w:keepLines/>
        <w:ind w:left="1440" w:hanging="720"/>
        <w:contextualSpacing/>
        <w:rPr>
          <w:b/>
          <w:sz w:val="26"/>
          <w:szCs w:val="26"/>
        </w:rPr>
      </w:pPr>
      <w:r w:rsidRPr="00650894">
        <w:rPr>
          <w:b/>
          <w:sz w:val="26"/>
          <w:szCs w:val="26"/>
        </w:rPr>
        <w:t>1.</w:t>
      </w:r>
      <w:r w:rsidRPr="00650894">
        <w:rPr>
          <w:b/>
          <w:sz w:val="26"/>
          <w:szCs w:val="26"/>
        </w:rPr>
        <w:tab/>
        <w:t>Verizon</w:t>
      </w:r>
      <w:r w:rsidR="008F6E22" w:rsidRPr="00650894">
        <w:rPr>
          <w:b/>
          <w:sz w:val="26"/>
          <w:szCs w:val="26"/>
        </w:rPr>
        <w:t xml:space="preserve"> PA</w:t>
      </w:r>
      <w:r w:rsidRPr="00650894">
        <w:rPr>
          <w:b/>
          <w:sz w:val="26"/>
          <w:szCs w:val="26"/>
        </w:rPr>
        <w:t>’s allegation that Core failed to follow the ICA’s Mandatory Dispute Resolution Process</w:t>
      </w:r>
      <w:r w:rsidR="005A7540" w:rsidRPr="00650894">
        <w:rPr>
          <w:b/>
          <w:sz w:val="26"/>
          <w:szCs w:val="26"/>
        </w:rPr>
        <w:t>, thereby barring Core’s claims</w:t>
      </w:r>
    </w:p>
    <w:p w:rsidR="00FF4B8B" w:rsidRPr="00650894" w:rsidRDefault="00FF4B8B" w:rsidP="00650894">
      <w:pPr>
        <w:keepLines/>
        <w:spacing w:line="360" w:lineRule="auto"/>
        <w:ind w:firstLine="1440"/>
        <w:contextualSpacing/>
        <w:rPr>
          <w:sz w:val="26"/>
          <w:szCs w:val="26"/>
        </w:rPr>
      </w:pPr>
    </w:p>
    <w:p w:rsidR="00EF38A6" w:rsidRPr="00650894" w:rsidRDefault="00EF38A6" w:rsidP="00B41E16">
      <w:pPr>
        <w:keepLines/>
        <w:spacing w:line="360" w:lineRule="auto"/>
        <w:ind w:left="1440"/>
        <w:contextualSpacing/>
        <w:rPr>
          <w:b/>
          <w:sz w:val="26"/>
          <w:szCs w:val="26"/>
        </w:rPr>
      </w:pPr>
      <w:r w:rsidRPr="00650894">
        <w:rPr>
          <w:b/>
          <w:sz w:val="26"/>
          <w:szCs w:val="26"/>
        </w:rPr>
        <w:t>a.</w:t>
      </w:r>
      <w:r w:rsidRPr="00650894">
        <w:rPr>
          <w:b/>
          <w:sz w:val="26"/>
          <w:szCs w:val="26"/>
        </w:rPr>
        <w:tab/>
        <w:t>Positions of the Parties</w:t>
      </w:r>
    </w:p>
    <w:p w:rsidR="00656A14" w:rsidRPr="00650894" w:rsidRDefault="00656A14" w:rsidP="00650894">
      <w:pPr>
        <w:spacing w:line="360" w:lineRule="auto"/>
        <w:ind w:firstLine="1440"/>
        <w:contextualSpacing/>
        <w:rPr>
          <w:sz w:val="26"/>
          <w:szCs w:val="26"/>
        </w:rPr>
      </w:pPr>
    </w:p>
    <w:p w:rsidR="00FF4B8B" w:rsidRPr="00650894" w:rsidRDefault="00703FF3" w:rsidP="00650894">
      <w:pPr>
        <w:spacing w:line="360" w:lineRule="auto"/>
        <w:ind w:firstLine="1440"/>
        <w:contextualSpacing/>
        <w:rPr>
          <w:sz w:val="26"/>
          <w:szCs w:val="26"/>
        </w:rPr>
      </w:pPr>
      <w:r w:rsidRPr="00650894">
        <w:rPr>
          <w:sz w:val="26"/>
          <w:szCs w:val="26"/>
        </w:rPr>
        <w:t xml:space="preserve">Verizon PA contended that in the </w:t>
      </w:r>
      <w:r w:rsidRPr="00650894">
        <w:rPr>
          <w:i/>
          <w:sz w:val="26"/>
          <w:szCs w:val="26"/>
        </w:rPr>
        <w:t>2011 Core v Verizon Proceeding</w:t>
      </w:r>
      <w:r w:rsidR="004F140B">
        <w:rPr>
          <w:i/>
          <w:sz w:val="26"/>
          <w:szCs w:val="26"/>
        </w:rPr>
        <w:t>,</w:t>
      </w:r>
      <w:r w:rsidRPr="00650894">
        <w:rPr>
          <w:sz w:val="26"/>
          <w:szCs w:val="26"/>
        </w:rPr>
        <w:t xml:space="preserve"> ALJ Colwell found that Core twice violated the mandatory dispute resolution process outlined in the ICA and that, by filing the Complaint in the instant case, Core had, for a third </w:t>
      </w:r>
      <w:r w:rsidR="00966371" w:rsidRPr="00650894">
        <w:rPr>
          <w:sz w:val="26"/>
          <w:szCs w:val="26"/>
        </w:rPr>
        <w:t>time</w:t>
      </w:r>
      <w:r w:rsidRPr="00650894">
        <w:rPr>
          <w:sz w:val="26"/>
          <w:szCs w:val="26"/>
        </w:rPr>
        <w:t xml:space="preserve">, failed to follow the ICA’s mandatory resolution process.  </w:t>
      </w:r>
      <w:r w:rsidR="00A506FC" w:rsidRPr="00650894">
        <w:rPr>
          <w:sz w:val="26"/>
          <w:szCs w:val="26"/>
        </w:rPr>
        <w:t>Specifically, Verizon PA pointed to the Billing Dispute resolution procedures set forth in Attachment VIII, Section 3.1.9</w:t>
      </w:r>
      <w:r w:rsidRPr="00650894">
        <w:rPr>
          <w:sz w:val="26"/>
          <w:szCs w:val="26"/>
        </w:rPr>
        <w:t xml:space="preserve"> </w:t>
      </w:r>
      <w:r w:rsidR="00A506FC" w:rsidRPr="00650894">
        <w:rPr>
          <w:sz w:val="26"/>
          <w:szCs w:val="26"/>
        </w:rPr>
        <w:t xml:space="preserve">of the ICA.  Verizon PA </w:t>
      </w:r>
      <w:r w:rsidR="00EB504E" w:rsidRPr="00650894">
        <w:rPr>
          <w:sz w:val="26"/>
          <w:szCs w:val="26"/>
        </w:rPr>
        <w:t xml:space="preserve">argued </w:t>
      </w:r>
      <w:r w:rsidRPr="00650894">
        <w:rPr>
          <w:sz w:val="26"/>
          <w:szCs w:val="26"/>
        </w:rPr>
        <w:t xml:space="preserve">that </w:t>
      </w:r>
      <w:r w:rsidR="002B3AEC" w:rsidRPr="00650894">
        <w:rPr>
          <w:sz w:val="26"/>
          <w:szCs w:val="26"/>
        </w:rPr>
        <w:t xml:space="preserve">in accordance with this section, when a Party disputes a bill, it must seek to resolve the dispute at increasingly higher levels of management within sixty, ninety, and one-hundred twenty days of the </w:t>
      </w:r>
      <w:r w:rsidR="0012071C" w:rsidRPr="00650894">
        <w:rPr>
          <w:sz w:val="26"/>
          <w:szCs w:val="26"/>
        </w:rPr>
        <w:t>date of the bill on</w:t>
      </w:r>
      <w:r w:rsidR="002B3AEC" w:rsidRPr="00650894">
        <w:rPr>
          <w:sz w:val="26"/>
          <w:szCs w:val="26"/>
        </w:rPr>
        <w:t xml:space="preserve"> which the disputed charges appear.  </w:t>
      </w:r>
      <w:r w:rsidR="00735A4A" w:rsidRPr="00650894">
        <w:rPr>
          <w:sz w:val="26"/>
          <w:szCs w:val="26"/>
        </w:rPr>
        <w:t xml:space="preserve">Verizon </w:t>
      </w:r>
      <w:r w:rsidR="00DD5841" w:rsidRPr="00650894">
        <w:rPr>
          <w:sz w:val="26"/>
          <w:szCs w:val="26"/>
        </w:rPr>
        <w:t>PA</w:t>
      </w:r>
      <w:r w:rsidR="002B3AEC" w:rsidRPr="00650894">
        <w:rPr>
          <w:sz w:val="26"/>
          <w:szCs w:val="26"/>
        </w:rPr>
        <w:t xml:space="preserve"> </w:t>
      </w:r>
      <w:r w:rsidR="00735A4A" w:rsidRPr="00650894">
        <w:rPr>
          <w:sz w:val="26"/>
          <w:szCs w:val="26"/>
        </w:rPr>
        <w:t xml:space="preserve">also argued </w:t>
      </w:r>
      <w:r w:rsidR="002B3AEC" w:rsidRPr="00650894">
        <w:rPr>
          <w:sz w:val="26"/>
          <w:szCs w:val="26"/>
        </w:rPr>
        <w:t>that</w:t>
      </w:r>
      <w:r w:rsidR="00E71F08">
        <w:rPr>
          <w:sz w:val="26"/>
          <w:szCs w:val="26"/>
        </w:rPr>
        <w:t>, under the billing dispute terms,</w:t>
      </w:r>
      <w:r w:rsidR="002B3AEC" w:rsidRPr="00650894">
        <w:rPr>
          <w:sz w:val="26"/>
          <w:szCs w:val="26"/>
        </w:rPr>
        <w:t xml:space="preserve"> </w:t>
      </w:r>
      <w:r w:rsidR="00DD5841" w:rsidRPr="00650894">
        <w:rPr>
          <w:sz w:val="26"/>
          <w:szCs w:val="26"/>
        </w:rPr>
        <w:t>if the dispute remains unresolved after escalation to the third level of management and the passage of one</w:t>
      </w:r>
      <w:r w:rsidR="004F140B">
        <w:rPr>
          <w:sz w:val="26"/>
          <w:szCs w:val="26"/>
        </w:rPr>
        <w:noBreakHyphen/>
      </w:r>
      <w:r w:rsidR="00DD5841" w:rsidRPr="00650894">
        <w:rPr>
          <w:sz w:val="26"/>
          <w:szCs w:val="26"/>
        </w:rPr>
        <w:t>hundred</w:t>
      </w:r>
      <w:r w:rsidR="004F140B">
        <w:rPr>
          <w:sz w:val="26"/>
          <w:szCs w:val="26"/>
        </w:rPr>
        <w:noBreakHyphen/>
      </w:r>
      <w:r w:rsidR="00DD5841" w:rsidRPr="00650894">
        <w:rPr>
          <w:sz w:val="26"/>
          <w:szCs w:val="26"/>
        </w:rPr>
        <w:t>twenty days</w:t>
      </w:r>
      <w:r w:rsidR="002B3AEC" w:rsidRPr="00650894">
        <w:rPr>
          <w:sz w:val="26"/>
          <w:szCs w:val="26"/>
        </w:rPr>
        <w:t>, only then may the action be brought before the Commission in accordance with Part A, Section 24 of the ICA.</w:t>
      </w:r>
      <w:r w:rsidR="00DD5841" w:rsidRPr="00650894">
        <w:rPr>
          <w:sz w:val="26"/>
          <w:szCs w:val="26"/>
        </w:rPr>
        <w:t xml:space="preserve">  According to Verizon PA, Core never escalated its billing dispute beyond the first level of Verizon PA management before it filed the Complaint</w:t>
      </w:r>
      <w:r w:rsidR="00735A4A" w:rsidRPr="00650894">
        <w:rPr>
          <w:sz w:val="26"/>
          <w:szCs w:val="26"/>
        </w:rPr>
        <w:t>.</w:t>
      </w:r>
      <w:r w:rsidR="00966371" w:rsidRPr="00650894">
        <w:rPr>
          <w:sz w:val="26"/>
          <w:szCs w:val="26"/>
        </w:rPr>
        <w:t xml:space="preserve">  </w:t>
      </w:r>
      <w:r w:rsidR="00535B7B" w:rsidRPr="00650894">
        <w:rPr>
          <w:sz w:val="26"/>
          <w:szCs w:val="26"/>
        </w:rPr>
        <w:t xml:space="preserve">Verizon PA characterized </w:t>
      </w:r>
      <w:r w:rsidR="00923ECE" w:rsidRPr="00650894">
        <w:rPr>
          <w:sz w:val="26"/>
          <w:szCs w:val="26"/>
        </w:rPr>
        <w:t>Core</w:t>
      </w:r>
      <w:r w:rsidR="00923ECE">
        <w:rPr>
          <w:sz w:val="26"/>
          <w:szCs w:val="26"/>
        </w:rPr>
        <w:t>’s</w:t>
      </w:r>
      <w:r w:rsidR="00923ECE" w:rsidRPr="00650894">
        <w:rPr>
          <w:sz w:val="26"/>
          <w:szCs w:val="26"/>
        </w:rPr>
        <w:t xml:space="preserve"> </w:t>
      </w:r>
      <w:r w:rsidR="00923ECE">
        <w:rPr>
          <w:sz w:val="26"/>
          <w:szCs w:val="26"/>
        </w:rPr>
        <w:t xml:space="preserve">view </w:t>
      </w:r>
      <w:r w:rsidR="00923ECE" w:rsidRPr="00650894">
        <w:rPr>
          <w:sz w:val="26"/>
          <w:szCs w:val="26"/>
        </w:rPr>
        <w:t>that Core need only to escalate the dispute within its own company</w:t>
      </w:r>
      <w:r w:rsidR="00923ECE">
        <w:rPr>
          <w:sz w:val="26"/>
          <w:szCs w:val="26"/>
        </w:rPr>
        <w:t xml:space="preserve"> as set forth </w:t>
      </w:r>
      <w:r w:rsidR="00923ECE" w:rsidRPr="00650894">
        <w:rPr>
          <w:sz w:val="26"/>
          <w:szCs w:val="26"/>
        </w:rPr>
        <w:t xml:space="preserve">in the instant Complaint </w:t>
      </w:r>
      <w:r w:rsidR="00535B7B" w:rsidRPr="00650894">
        <w:rPr>
          <w:sz w:val="26"/>
          <w:szCs w:val="26"/>
        </w:rPr>
        <w:t>as nonsensical</w:t>
      </w:r>
      <w:r w:rsidR="00923ECE">
        <w:rPr>
          <w:sz w:val="26"/>
          <w:szCs w:val="26"/>
        </w:rPr>
        <w:t>.</w:t>
      </w:r>
      <w:r w:rsidR="00535B7B" w:rsidRPr="00650894">
        <w:rPr>
          <w:sz w:val="26"/>
          <w:szCs w:val="26"/>
        </w:rPr>
        <w:t xml:space="preserve">  In Verizon PA’s view, the escalation provisions outlined in the ICA requires th</w:t>
      </w:r>
      <w:r w:rsidR="00864247" w:rsidRPr="00650894">
        <w:rPr>
          <w:sz w:val="26"/>
          <w:szCs w:val="26"/>
        </w:rPr>
        <w:t>e</w:t>
      </w:r>
      <w:r w:rsidR="00535B7B" w:rsidRPr="00650894">
        <w:rPr>
          <w:sz w:val="26"/>
          <w:szCs w:val="26"/>
        </w:rPr>
        <w:t xml:space="preserve"> escalation </w:t>
      </w:r>
      <w:r w:rsidR="00864247" w:rsidRPr="00650894">
        <w:rPr>
          <w:sz w:val="26"/>
          <w:szCs w:val="26"/>
        </w:rPr>
        <w:t xml:space="preserve">of disputes to successively more senior representatives of both Parties.  Verizon PA </w:t>
      </w:r>
      <w:r w:rsidR="00D05374" w:rsidRPr="00650894">
        <w:rPr>
          <w:sz w:val="26"/>
          <w:szCs w:val="26"/>
        </w:rPr>
        <w:t>hypothesized</w:t>
      </w:r>
      <w:r w:rsidR="00864247" w:rsidRPr="00650894">
        <w:rPr>
          <w:sz w:val="26"/>
          <w:szCs w:val="26"/>
        </w:rPr>
        <w:t xml:space="preserve"> that the provisions of Attachment VIII, Section 3.1.9 of the ICA are structured to prevent a dispute f</w:t>
      </w:r>
      <w:r w:rsidR="00D05374" w:rsidRPr="00650894">
        <w:rPr>
          <w:sz w:val="26"/>
          <w:szCs w:val="26"/>
        </w:rPr>
        <w:t>rom</w:t>
      </w:r>
      <w:r w:rsidR="00864247" w:rsidRPr="00650894">
        <w:rPr>
          <w:sz w:val="26"/>
          <w:szCs w:val="26"/>
        </w:rPr>
        <w:t xml:space="preserve"> going straight to costly litigation.  </w:t>
      </w:r>
      <w:r w:rsidR="004F140B">
        <w:rPr>
          <w:sz w:val="26"/>
          <w:szCs w:val="26"/>
        </w:rPr>
        <w:t>Verizon PA</w:t>
      </w:r>
      <w:r w:rsidR="00864247" w:rsidRPr="00650894">
        <w:rPr>
          <w:sz w:val="26"/>
          <w:szCs w:val="26"/>
        </w:rPr>
        <w:t xml:space="preserve"> reasoned that if these provisions required a party to escalate a dispute only within its own organization, this would render the ICA’s dispute resolution provisions meaningless </w:t>
      </w:r>
      <w:r w:rsidR="00193B53" w:rsidRPr="00650894">
        <w:rPr>
          <w:sz w:val="26"/>
          <w:szCs w:val="26"/>
        </w:rPr>
        <w:t>because</w:t>
      </w:r>
      <w:r w:rsidR="00864247" w:rsidRPr="00650894">
        <w:rPr>
          <w:sz w:val="26"/>
          <w:szCs w:val="26"/>
        </w:rPr>
        <w:t xml:space="preserve"> the ICA would not require a back-and-forth dialog that would permit working through disputes informally, nor would it prevent a party from immediately filing a complaint as long as the party’s own management agreed to proceed.  </w:t>
      </w:r>
      <w:r w:rsidR="00966371" w:rsidRPr="00650894">
        <w:rPr>
          <w:sz w:val="26"/>
          <w:szCs w:val="26"/>
        </w:rPr>
        <w:t xml:space="preserve">Verizon </w:t>
      </w:r>
      <w:r w:rsidR="00864247" w:rsidRPr="00650894">
        <w:rPr>
          <w:sz w:val="26"/>
          <w:szCs w:val="26"/>
        </w:rPr>
        <w:t>PA M.B. at 34-37</w:t>
      </w:r>
      <w:r w:rsidR="00966371" w:rsidRPr="00650894">
        <w:rPr>
          <w:sz w:val="26"/>
          <w:szCs w:val="26"/>
        </w:rPr>
        <w:t>.</w:t>
      </w:r>
    </w:p>
    <w:p w:rsidR="00132E27" w:rsidRPr="00650894" w:rsidRDefault="00132E27" w:rsidP="00650894">
      <w:pPr>
        <w:spacing w:line="360" w:lineRule="auto"/>
        <w:ind w:firstLine="1440"/>
        <w:contextualSpacing/>
        <w:rPr>
          <w:sz w:val="26"/>
          <w:szCs w:val="26"/>
        </w:rPr>
      </w:pPr>
    </w:p>
    <w:p w:rsidR="00132E27" w:rsidRPr="00650894" w:rsidRDefault="00132E27" w:rsidP="00650894">
      <w:pPr>
        <w:spacing w:line="360" w:lineRule="auto"/>
        <w:ind w:firstLine="1440"/>
        <w:contextualSpacing/>
        <w:rPr>
          <w:sz w:val="26"/>
          <w:szCs w:val="26"/>
        </w:rPr>
      </w:pPr>
      <w:r w:rsidRPr="00650894">
        <w:rPr>
          <w:sz w:val="26"/>
          <w:szCs w:val="26"/>
        </w:rPr>
        <w:t xml:space="preserve">Core countered that it waited well beyond the </w:t>
      </w:r>
      <w:r w:rsidR="00193B53" w:rsidRPr="00650894">
        <w:rPr>
          <w:sz w:val="26"/>
          <w:szCs w:val="26"/>
        </w:rPr>
        <w:t>120-</w:t>
      </w:r>
      <w:r w:rsidRPr="00650894">
        <w:rPr>
          <w:sz w:val="26"/>
          <w:szCs w:val="26"/>
        </w:rPr>
        <w:t>day window</w:t>
      </w:r>
      <w:r w:rsidR="00535B7B" w:rsidRPr="00650894">
        <w:rPr>
          <w:sz w:val="26"/>
          <w:szCs w:val="26"/>
        </w:rPr>
        <w:t xml:space="preserve"> envisioned by the ICA, </w:t>
      </w:r>
      <w:r w:rsidRPr="00650894">
        <w:rPr>
          <w:sz w:val="26"/>
          <w:szCs w:val="26"/>
        </w:rPr>
        <w:t xml:space="preserve">during </w:t>
      </w:r>
      <w:r w:rsidR="00535B7B" w:rsidRPr="00650894">
        <w:rPr>
          <w:sz w:val="26"/>
          <w:szCs w:val="26"/>
        </w:rPr>
        <w:t>which time</w:t>
      </w:r>
      <w:r w:rsidRPr="00650894">
        <w:rPr>
          <w:sz w:val="26"/>
          <w:szCs w:val="26"/>
        </w:rPr>
        <w:t xml:space="preserve"> it escalated Verizon PA’s disputes to the </w:t>
      </w:r>
      <w:r w:rsidR="00535B7B" w:rsidRPr="00650894">
        <w:rPr>
          <w:sz w:val="26"/>
          <w:szCs w:val="26"/>
        </w:rPr>
        <w:t>highest</w:t>
      </w:r>
      <w:r w:rsidRPr="00650894">
        <w:rPr>
          <w:sz w:val="26"/>
          <w:szCs w:val="26"/>
        </w:rPr>
        <w:t xml:space="preserve"> level, </w:t>
      </w:r>
      <w:r w:rsidRPr="00650894">
        <w:rPr>
          <w:i/>
          <w:sz w:val="26"/>
          <w:szCs w:val="26"/>
        </w:rPr>
        <w:t>i.e</w:t>
      </w:r>
      <w:r w:rsidRPr="00650894">
        <w:rPr>
          <w:sz w:val="26"/>
          <w:szCs w:val="26"/>
        </w:rPr>
        <w:t>. to Core’s President and Core’s General Counsel, prior to f</w:t>
      </w:r>
      <w:r w:rsidR="00535B7B" w:rsidRPr="00650894">
        <w:rPr>
          <w:sz w:val="26"/>
          <w:szCs w:val="26"/>
        </w:rPr>
        <w:t>iling its Complaint with the Commission.  Core argued that it had no obligation to escalate the dispute to increasingly high</w:t>
      </w:r>
      <w:r w:rsidR="006857F9">
        <w:rPr>
          <w:sz w:val="26"/>
          <w:szCs w:val="26"/>
        </w:rPr>
        <w:t>er</w:t>
      </w:r>
      <w:r w:rsidR="00535B7B" w:rsidRPr="00650894">
        <w:rPr>
          <w:sz w:val="26"/>
          <w:szCs w:val="26"/>
        </w:rPr>
        <w:t xml:space="preserve"> levels of management at </w:t>
      </w:r>
      <w:r w:rsidR="004F140B">
        <w:rPr>
          <w:sz w:val="26"/>
          <w:szCs w:val="26"/>
        </w:rPr>
        <w:t>Verizon PA</w:t>
      </w:r>
      <w:r w:rsidR="00535B7B" w:rsidRPr="00650894">
        <w:rPr>
          <w:sz w:val="26"/>
          <w:szCs w:val="26"/>
        </w:rPr>
        <w:t xml:space="preserve">, but only to escalate the dispute within Core.  Core asserted that it was the only Party to attempt </w:t>
      </w:r>
      <w:r w:rsidR="00DC3A16">
        <w:rPr>
          <w:sz w:val="26"/>
          <w:szCs w:val="26"/>
        </w:rPr>
        <w:t xml:space="preserve">to </w:t>
      </w:r>
      <w:r w:rsidR="00535B7B" w:rsidRPr="00650894">
        <w:rPr>
          <w:sz w:val="26"/>
          <w:szCs w:val="26"/>
        </w:rPr>
        <w:t xml:space="preserve">resolve </w:t>
      </w:r>
      <w:r w:rsidR="00331D5E" w:rsidRPr="00650894">
        <w:rPr>
          <w:sz w:val="26"/>
          <w:szCs w:val="26"/>
        </w:rPr>
        <w:t>the dispute between the Parties</w:t>
      </w:r>
      <w:r w:rsidR="00535B7B" w:rsidRPr="00650894">
        <w:rPr>
          <w:sz w:val="26"/>
          <w:szCs w:val="26"/>
        </w:rPr>
        <w:t xml:space="preserve"> and that it filed its Complaint only after Verizon PA stopped responding to its inquiries.  Core M.B. at 23-25; Core R.B. at 15-16.</w:t>
      </w:r>
    </w:p>
    <w:p w:rsidR="002C480C" w:rsidRPr="00650894" w:rsidRDefault="002C480C" w:rsidP="00650894">
      <w:pPr>
        <w:spacing w:line="360" w:lineRule="auto"/>
        <w:ind w:firstLine="1440"/>
        <w:contextualSpacing/>
        <w:rPr>
          <w:sz w:val="26"/>
          <w:szCs w:val="26"/>
        </w:rPr>
      </w:pPr>
    </w:p>
    <w:p w:rsidR="002C480C" w:rsidRPr="00650894" w:rsidRDefault="002C480C" w:rsidP="008C3FA2">
      <w:pPr>
        <w:keepNext/>
        <w:keepLines/>
        <w:spacing w:line="360" w:lineRule="auto"/>
        <w:ind w:left="1440"/>
        <w:contextualSpacing/>
        <w:rPr>
          <w:b/>
          <w:sz w:val="26"/>
          <w:szCs w:val="26"/>
        </w:rPr>
      </w:pPr>
      <w:r w:rsidRPr="00650894">
        <w:rPr>
          <w:b/>
          <w:sz w:val="26"/>
          <w:szCs w:val="26"/>
        </w:rPr>
        <w:t>b.</w:t>
      </w:r>
      <w:r w:rsidRPr="00650894">
        <w:rPr>
          <w:b/>
          <w:sz w:val="26"/>
          <w:szCs w:val="26"/>
        </w:rPr>
        <w:tab/>
        <w:t>ALJ Recommendation</w:t>
      </w:r>
    </w:p>
    <w:p w:rsidR="00FF4B8B" w:rsidRPr="00650894" w:rsidRDefault="00FF4B8B" w:rsidP="00650894">
      <w:pPr>
        <w:keepNext/>
        <w:keepLines/>
        <w:spacing w:line="360" w:lineRule="auto"/>
        <w:ind w:firstLine="1440"/>
        <w:contextualSpacing/>
        <w:rPr>
          <w:sz w:val="26"/>
          <w:szCs w:val="26"/>
        </w:rPr>
      </w:pPr>
    </w:p>
    <w:p w:rsidR="002C480C" w:rsidRPr="00650894" w:rsidRDefault="005A7540" w:rsidP="00650894">
      <w:pPr>
        <w:spacing w:line="360" w:lineRule="auto"/>
        <w:ind w:firstLine="1440"/>
        <w:contextualSpacing/>
        <w:rPr>
          <w:sz w:val="26"/>
          <w:szCs w:val="26"/>
        </w:rPr>
      </w:pPr>
      <w:r w:rsidRPr="00650894">
        <w:rPr>
          <w:sz w:val="26"/>
          <w:szCs w:val="26"/>
        </w:rPr>
        <w:t xml:space="preserve">The ALJ disagreed with </w:t>
      </w:r>
      <w:r w:rsidR="006E0E41" w:rsidRPr="00650894">
        <w:rPr>
          <w:sz w:val="26"/>
          <w:szCs w:val="26"/>
        </w:rPr>
        <w:t>Verizon PA</w:t>
      </w:r>
      <w:r w:rsidRPr="00650894">
        <w:rPr>
          <w:sz w:val="26"/>
          <w:szCs w:val="26"/>
        </w:rPr>
        <w:t xml:space="preserve">’s contention that it was Core’s responsibility to escalate </w:t>
      </w:r>
      <w:r w:rsidR="006E0E41" w:rsidRPr="00650894">
        <w:rPr>
          <w:sz w:val="26"/>
          <w:szCs w:val="26"/>
        </w:rPr>
        <w:t>its</w:t>
      </w:r>
      <w:r w:rsidRPr="00650894">
        <w:rPr>
          <w:sz w:val="26"/>
          <w:szCs w:val="26"/>
        </w:rPr>
        <w:t xml:space="preserve"> dispute to </w:t>
      </w:r>
      <w:r w:rsidR="006E0E41" w:rsidRPr="00650894">
        <w:rPr>
          <w:sz w:val="26"/>
          <w:szCs w:val="26"/>
        </w:rPr>
        <w:t>Verizon PA</w:t>
      </w:r>
      <w:r w:rsidRPr="00650894">
        <w:rPr>
          <w:sz w:val="26"/>
          <w:szCs w:val="26"/>
        </w:rPr>
        <w:t>’s higher</w:t>
      </w:r>
      <w:r w:rsidR="004F140B">
        <w:rPr>
          <w:sz w:val="26"/>
          <w:szCs w:val="26"/>
        </w:rPr>
        <w:t>-</w:t>
      </w:r>
      <w:r w:rsidRPr="00650894">
        <w:rPr>
          <w:sz w:val="26"/>
          <w:szCs w:val="26"/>
        </w:rPr>
        <w:t xml:space="preserve">level employees.  The ALJ </w:t>
      </w:r>
      <w:r w:rsidR="00097B3E" w:rsidRPr="00650894">
        <w:rPr>
          <w:sz w:val="26"/>
          <w:szCs w:val="26"/>
        </w:rPr>
        <w:t>found</w:t>
      </w:r>
      <w:r w:rsidRPr="00650894">
        <w:rPr>
          <w:sz w:val="26"/>
          <w:szCs w:val="26"/>
        </w:rPr>
        <w:t xml:space="preserve"> that Verizon</w:t>
      </w:r>
      <w:r w:rsidR="00097B3E" w:rsidRPr="00650894">
        <w:rPr>
          <w:sz w:val="26"/>
          <w:szCs w:val="26"/>
        </w:rPr>
        <w:t xml:space="preserve"> PA</w:t>
      </w:r>
      <w:r w:rsidRPr="00650894">
        <w:rPr>
          <w:sz w:val="26"/>
          <w:szCs w:val="26"/>
        </w:rPr>
        <w:t xml:space="preserve">’s interpretation of the ICA’s dispute resolution provisions </w:t>
      </w:r>
      <w:r w:rsidR="007A7793" w:rsidRPr="00650894">
        <w:rPr>
          <w:sz w:val="26"/>
          <w:szCs w:val="26"/>
        </w:rPr>
        <w:t>was based on the assumption that an outside entity can mandate that its concerns be addressed by increasingly higher levels of management</w:t>
      </w:r>
      <w:r w:rsidR="00097B3E" w:rsidRPr="00650894">
        <w:rPr>
          <w:sz w:val="26"/>
          <w:szCs w:val="26"/>
        </w:rPr>
        <w:t xml:space="preserve">.  To the contrary, the ALJ opined that this was Verizon PA’s responsibility, and not Core’s.  Therefore, the ALJ ruled that Verizon </w:t>
      </w:r>
      <w:r w:rsidR="00544A04" w:rsidRPr="00650894">
        <w:rPr>
          <w:sz w:val="26"/>
          <w:szCs w:val="26"/>
        </w:rPr>
        <w:t xml:space="preserve">PA </w:t>
      </w:r>
      <w:r w:rsidR="00097B3E" w:rsidRPr="00650894">
        <w:rPr>
          <w:sz w:val="26"/>
          <w:szCs w:val="26"/>
        </w:rPr>
        <w:t xml:space="preserve">failed </w:t>
      </w:r>
      <w:r w:rsidR="00B52C35" w:rsidRPr="00650894">
        <w:rPr>
          <w:sz w:val="26"/>
          <w:szCs w:val="26"/>
        </w:rPr>
        <w:t>to</w:t>
      </w:r>
      <w:r w:rsidR="00097B3E" w:rsidRPr="00650894">
        <w:rPr>
          <w:sz w:val="26"/>
          <w:szCs w:val="26"/>
        </w:rPr>
        <w:t xml:space="preserve"> sustain its burden of proving that Core did not comply with the ICA’s timing provision.  I.D. at 25.</w:t>
      </w:r>
    </w:p>
    <w:p w:rsidR="002C480C" w:rsidRPr="00650894" w:rsidRDefault="002C480C" w:rsidP="00650894">
      <w:pPr>
        <w:spacing w:line="360" w:lineRule="auto"/>
        <w:ind w:firstLine="1440"/>
        <w:contextualSpacing/>
        <w:rPr>
          <w:sz w:val="26"/>
          <w:szCs w:val="26"/>
        </w:rPr>
      </w:pPr>
    </w:p>
    <w:p w:rsidR="00FF4B8B" w:rsidRPr="00650894" w:rsidRDefault="00FF4B8B" w:rsidP="008C3FA2">
      <w:pPr>
        <w:keepLines/>
        <w:ind w:left="1440" w:hanging="720"/>
        <w:contextualSpacing/>
        <w:rPr>
          <w:b/>
          <w:sz w:val="26"/>
          <w:szCs w:val="26"/>
        </w:rPr>
      </w:pPr>
      <w:r w:rsidRPr="00650894">
        <w:rPr>
          <w:b/>
          <w:sz w:val="26"/>
          <w:szCs w:val="26"/>
        </w:rPr>
        <w:t>2.</w:t>
      </w:r>
      <w:r w:rsidR="00DC3A16">
        <w:rPr>
          <w:b/>
          <w:sz w:val="26"/>
          <w:szCs w:val="26"/>
        </w:rPr>
        <w:tab/>
      </w:r>
      <w:r w:rsidRPr="00650894">
        <w:rPr>
          <w:b/>
          <w:sz w:val="26"/>
          <w:szCs w:val="26"/>
        </w:rPr>
        <w:t>Verizon</w:t>
      </w:r>
      <w:r w:rsidR="008F6E22" w:rsidRPr="00650894">
        <w:rPr>
          <w:b/>
          <w:sz w:val="26"/>
          <w:szCs w:val="26"/>
        </w:rPr>
        <w:t xml:space="preserve"> PA</w:t>
      </w:r>
      <w:r w:rsidRPr="00650894">
        <w:rPr>
          <w:b/>
          <w:sz w:val="26"/>
          <w:szCs w:val="26"/>
        </w:rPr>
        <w:t>’s allegation that claim preclusion bar</w:t>
      </w:r>
      <w:r w:rsidR="008216E2" w:rsidRPr="00650894">
        <w:rPr>
          <w:b/>
          <w:sz w:val="26"/>
          <w:szCs w:val="26"/>
        </w:rPr>
        <w:t>s</w:t>
      </w:r>
      <w:r w:rsidRPr="00650894">
        <w:rPr>
          <w:b/>
          <w:sz w:val="26"/>
          <w:szCs w:val="26"/>
        </w:rPr>
        <w:t xml:space="preserve"> Core’</w:t>
      </w:r>
      <w:r w:rsidR="00832B2E" w:rsidRPr="00650894">
        <w:rPr>
          <w:b/>
          <w:sz w:val="26"/>
          <w:szCs w:val="26"/>
        </w:rPr>
        <w:t>s claims</w:t>
      </w:r>
    </w:p>
    <w:p w:rsidR="00656A14" w:rsidRPr="00650894" w:rsidRDefault="00656A14" w:rsidP="00650894">
      <w:pPr>
        <w:keepLines/>
        <w:spacing w:line="360" w:lineRule="auto"/>
        <w:ind w:firstLine="1440"/>
        <w:contextualSpacing/>
        <w:rPr>
          <w:sz w:val="26"/>
          <w:szCs w:val="26"/>
        </w:rPr>
      </w:pPr>
    </w:p>
    <w:p w:rsidR="00656A14" w:rsidRPr="00650894" w:rsidRDefault="00656A14" w:rsidP="00DC3A16">
      <w:pPr>
        <w:keepNext/>
        <w:keepLines/>
        <w:spacing w:line="360" w:lineRule="auto"/>
        <w:ind w:left="1440"/>
        <w:contextualSpacing/>
        <w:rPr>
          <w:b/>
          <w:sz w:val="26"/>
          <w:szCs w:val="26"/>
        </w:rPr>
      </w:pPr>
      <w:r w:rsidRPr="00650894">
        <w:rPr>
          <w:b/>
          <w:sz w:val="26"/>
          <w:szCs w:val="26"/>
        </w:rPr>
        <w:t>a.</w:t>
      </w:r>
      <w:r w:rsidRPr="00650894">
        <w:rPr>
          <w:b/>
          <w:sz w:val="26"/>
          <w:szCs w:val="26"/>
        </w:rPr>
        <w:tab/>
        <w:t>Positions of the Parties</w:t>
      </w:r>
    </w:p>
    <w:p w:rsidR="00656A14" w:rsidRPr="00650894" w:rsidRDefault="00656A14" w:rsidP="00650894">
      <w:pPr>
        <w:keepNext/>
        <w:keepLines/>
        <w:spacing w:line="360" w:lineRule="auto"/>
        <w:ind w:firstLine="1440"/>
        <w:contextualSpacing/>
        <w:rPr>
          <w:sz w:val="26"/>
          <w:szCs w:val="26"/>
        </w:rPr>
      </w:pPr>
    </w:p>
    <w:p w:rsidR="004632DF" w:rsidRPr="00650894" w:rsidRDefault="007A3ACA" w:rsidP="00650894">
      <w:pPr>
        <w:spacing w:line="360" w:lineRule="auto"/>
        <w:ind w:firstLine="1440"/>
        <w:contextualSpacing/>
        <w:rPr>
          <w:sz w:val="26"/>
          <w:szCs w:val="26"/>
        </w:rPr>
      </w:pPr>
      <w:r w:rsidRPr="00650894">
        <w:rPr>
          <w:sz w:val="26"/>
          <w:szCs w:val="26"/>
        </w:rPr>
        <w:t xml:space="preserve">Verizon PA </w:t>
      </w:r>
      <w:r w:rsidR="009D563D" w:rsidRPr="00650894">
        <w:rPr>
          <w:sz w:val="26"/>
          <w:szCs w:val="26"/>
        </w:rPr>
        <w:t xml:space="preserve">noted </w:t>
      </w:r>
      <w:r w:rsidRPr="00650894">
        <w:rPr>
          <w:sz w:val="26"/>
          <w:szCs w:val="26"/>
        </w:rPr>
        <w:t>that Core rendered its back</w:t>
      </w:r>
      <w:r w:rsidR="009D563D" w:rsidRPr="00650894">
        <w:rPr>
          <w:sz w:val="26"/>
          <w:szCs w:val="26"/>
        </w:rPr>
        <w:t>-</w:t>
      </w:r>
      <w:r w:rsidRPr="00650894">
        <w:rPr>
          <w:sz w:val="26"/>
          <w:szCs w:val="26"/>
        </w:rPr>
        <w:t xml:space="preserve">bills for alleged nonpayment of facilities at the same time it rendered its back-bills </w:t>
      </w:r>
      <w:r w:rsidR="009D563D" w:rsidRPr="00650894">
        <w:rPr>
          <w:sz w:val="26"/>
          <w:szCs w:val="26"/>
        </w:rPr>
        <w:t>that were</w:t>
      </w:r>
      <w:r w:rsidRPr="00650894">
        <w:rPr>
          <w:sz w:val="26"/>
          <w:szCs w:val="26"/>
        </w:rPr>
        <w:t xml:space="preserve"> at issue</w:t>
      </w:r>
      <w:r w:rsidR="009D563D" w:rsidRPr="00650894">
        <w:rPr>
          <w:sz w:val="26"/>
          <w:szCs w:val="26"/>
        </w:rPr>
        <w:t xml:space="preserve"> and disputed by Verizon PA and Verizon North</w:t>
      </w:r>
      <w:r w:rsidRPr="00650894">
        <w:rPr>
          <w:sz w:val="26"/>
          <w:szCs w:val="26"/>
        </w:rPr>
        <w:t xml:space="preserve"> in the </w:t>
      </w:r>
      <w:r w:rsidRPr="00650894">
        <w:rPr>
          <w:i/>
          <w:sz w:val="26"/>
          <w:szCs w:val="26"/>
        </w:rPr>
        <w:t>2011 Core v Verizon Proceeding.</w:t>
      </w:r>
      <w:r w:rsidR="009D563D" w:rsidRPr="00650894">
        <w:rPr>
          <w:sz w:val="26"/>
          <w:szCs w:val="26"/>
        </w:rPr>
        <w:t xml:space="preserve"> </w:t>
      </w:r>
      <w:r w:rsidRPr="00650894">
        <w:rPr>
          <w:sz w:val="26"/>
          <w:szCs w:val="26"/>
        </w:rPr>
        <w:t xml:space="preserve"> </w:t>
      </w:r>
      <w:r w:rsidR="004524D7" w:rsidRPr="00650894">
        <w:rPr>
          <w:sz w:val="26"/>
          <w:szCs w:val="26"/>
        </w:rPr>
        <w:t xml:space="preserve">Verizon PA pointed out that (1) both proceedings involved the validity of back-bills rendered by Core in January and February 2012 and thereafter, and pursuant to the same ICA; (2) Core relied on the same emails between the Parties to establish its claims in both proceedings; (3) both proceedings involve the same complainant and the same respondent; (4) the status of Core and Verizon PA remains unchanged from the earlier proceeding because both entities continue to operate as going concerns and have the same capacity to sue and be sued.  As such, </w:t>
      </w:r>
      <w:r w:rsidR="009D563D" w:rsidRPr="00650894">
        <w:rPr>
          <w:sz w:val="26"/>
          <w:szCs w:val="26"/>
        </w:rPr>
        <w:t xml:space="preserve">Verizon PA submitted that Core could have and should have brought forth its claim for nonpayment of facilities when it filed its complaint in the </w:t>
      </w:r>
      <w:r w:rsidR="009D563D" w:rsidRPr="00650894">
        <w:rPr>
          <w:i/>
          <w:sz w:val="26"/>
          <w:szCs w:val="26"/>
        </w:rPr>
        <w:t>2011 Core v Verizon Proceeding</w:t>
      </w:r>
      <w:r w:rsidR="009D563D" w:rsidRPr="00650894">
        <w:rPr>
          <w:sz w:val="26"/>
          <w:szCs w:val="26"/>
        </w:rPr>
        <w:t xml:space="preserve">.  </w:t>
      </w:r>
      <w:r w:rsidRPr="00650894">
        <w:rPr>
          <w:sz w:val="26"/>
          <w:szCs w:val="26"/>
        </w:rPr>
        <w:t xml:space="preserve">Verizon </w:t>
      </w:r>
      <w:r w:rsidR="004524D7" w:rsidRPr="00650894">
        <w:rPr>
          <w:sz w:val="26"/>
          <w:szCs w:val="26"/>
        </w:rPr>
        <w:t xml:space="preserve">PA contended that having failed to do so in that proceeding, Core was barred by the doctrine of claim preclusion from doing so in the matter before us.  </w:t>
      </w:r>
      <w:r w:rsidR="00040810" w:rsidRPr="00650894">
        <w:rPr>
          <w:sz w:val="26"/>
          <w:szCs w:val="26"/>
        </w:rPr>
        <w:t xml:space="preserve">Verizon </w:t>
      </w:r>
      <w:r w:rsidR="00372091" w:rsidRPr="00650894">
        <w:rPr>
          <w:sz w:val="26"/>
          <w:szCs w:val="26"/>
        </w:rPr>
        <w:t>PA M</w:t>
      </w:r>
      <w:r w:rsidR="00040810" w:rsidRPr="00650894">
        <w:rPr>
          <w:sz w:val="26"/>
          <w:szCs w:val="26"/>
        </w:rPr>
        <w:t>.</w:t>
      </w:r>
      <w:r w:rsidR="00372091" w:rsidRPr="00650894">
        <w:rPr>
          <w:sz w:val="26"/>
          <w:szCs w:val="26"/>
        </w:rPr>
        <w:t>B</w:t>
      </w:r>
      <w:r w:rsidR="00040810" w:rsidRPr="00650894">
        <w:rPr>
          <w:sz w:val="26"/>
          <w:szCs w:val="26"/>
        </w:rPr>
        <w:t>.</w:t>
      </w:r>
      <w:r w:rsidR="00372091" w:rsidRPr="00650894">
        <w:rPr>
          <w:sz w:val="26"/>
          <w:szCs w:val="26"/>
        </w:rPr>
        <w:t xml:space="preserve"> </w:t>
      </w:r>
      <w:r w:rsidR="00DC1579" w:rsidRPr="00650894">
        <w:rPr>
          <w:sz w:val="26"/>
          <w:szCs w:val="26"/>
        </w:rPr>
        <w:t>at</w:t>
      </w:r>
      <w:r w:rsidR="00372091" w:rsidRPr="00650894">
        <w:rPr>
          <w:sz w:val="26"/>
          <w:szCs w:val="26"/>
        </w:rPr>
        <w:t xml:space="preserve"> 37-40</w:t>
      </w:r>
      <w:r w:rsidR="00040810" w:rsidRPr="00650894">
        <w:rPr>
          <w:sz w:val="26"/>
          <w:szCs w:val="26"/>
        </w:rPr>
        <w:t>.</w:t>
      </w:r>
    </w:p>
    <w:p w:rsidR="004632DF" w:rsidRPr="00650894" w:rsidRDefault="004632DF" w:rsidP="00650894">
      <w:pPr>
        <w:spacing w:line="360" w:lineRule="auto"/>
        <w:ind w:firstLine="1440"/>
        <w:contextualSpacing/>
        <w:rPr>
          <w:sz w:val="26"/>
          <w:szCs w:val="26"/>
        </w:rPr>
      </w:pPr>
    </w:p>
    <w:p w:rsidR="00656A14" w:rsidRPr="00650894" w:rsidRDefault="004524D7" w:rsidP="00650894">
      <w:pPr>
        <w:spacing w:line="360" w:lineRule="auto"/>
        <w:ind w:firstLine="1440"/>
        <w:contextualSpacing/>
        <w:rPr>
          <w:sz w:val="26"/>
          <w:szCs w:val="26"/>
        </w:rPr>
      </w:pPr>
      <w:r w:rsidRPr="00650894">
        <w:rPr>
          <w:sz w:val="26"/>
          <w:szCs w:val="26"/>
        </w:rPr>
        <w:t xml:space="preserve">Core retorted that its Complaint in the instant case did not ripen until the latter half of 2012 after the ICA’s dispute resolution process had run, by which time the litigation in the </w:t>
      </w:r>
      <w:r w:rsidRPr="00650894">
        <w:rPr>
          <w:i/>
          <w:sz w:val="26"/>
          <w:szCs w:val="26"/>
        </w:rPr>
        <w:t xml:space="preserve">2011 Core v Verizon Proceeding </w:t>
      </w:r>
      <w:r w:rsidRPr="00650894">
        <w:rPr>
          <w:sz w:val="26"/>
          <w:szCs w:val="26"/>
        </w:rPr>
        <w:t xml:space="preserve">was largely complete.  As such, Core argued that it could not have asserted its current claims prior to this time.  </w:t>
      </w:r>
      <w:r w:rsidR="00040810" w:rsidRPr="00650894">
        <w:rPr>
          <w:sz w:val="26"/>
          <w:szCs w:val="26"/>
        </w:rPr>
        <w:t xml:space="preserve">Core emphasized that the ultimate issue in Core’s Complaint before us today is whether Verizon PA should pay Core for facilities used to interconnect with Core in Pennsylvania.  Core noted that this issue has never been adjudicated in any prior proceeding.  Core </w:t>
      </w:r>
      <w:r w:rsidR="004231ED" w:rsidRPr="00650894">
        <w:rPr>
          <w:sz w:val="26"/>
          <w:szCs w:val="26"/>
        </w:rPr>
        <w:t>R</w:t>
      </w:r>
      <w:r w:rsidR="00040810" w:rsidRPr="00650894">
        <w:rPr>
          <w:sz w:val="26"/>
          <w:szCs w:val="26"/>
        </w:rPr>
        <w:t>.</w:t>
      </w:r>
      <w:r w:rsidR="004231ED" w:rsidRPr="00650894">
        <w:rPr>
          <w:sz w:val="26"/>
          <w:szCs w:val="26"/>
        </w:rPr>
        <w:t>B</w:t>
      </w:r>
      <w:r w:rsidR="00040810" w:rsidRPr="00650894">
        <w:rPr>
          <w:sz w:val="26"/>
          <w:szCs w:val="26"/>
        </w:rPr>
        <w:t>.</w:t>
      </w:r>
      <w:r w:rsidR="004231ED" w:rsidRPr="00650894">
        <w:rPr>
          <w:sz w:val="26"/>
          <w:szCs w:val="26"/>
        </w:rPr>
        <w:t xml:space="preserve"> at 16-19</w:t>
      </w:r>
      <w:r w:rsidR="00040810" w:rsidRPr="00650894">
        <w:rPr>
          <w:sz w:val="26"/>
          <w:szCs w:val="26"/>
        </w:rPr>
        <w:t>.</w:t>
      </w:r>
    </w:p>
    <w:p w:rsidR="00656A14" w:rsidRPr="00650894" w:rsidRDefault="00656A14" w:rsidP="00650894">
      <w:pPr>
        <w:spacing w:line="360" w:lineRule="auto"/>
        <w:ind w:firstLine="1440"/>
        <w:contextualSpacing/>
        <w:rPr>
          <w:sz w:val="26"/>
          <w:szCs w:val="26"/>
        </w:rPr>
      </w:pPr>
    </w:p>
    <w:p w:rsidR="00656A14" w:rsidRPr="00650894" w:rsidRDefault="00656A14" w:rsidP="00DC3A16">
      <w:pPr>
        <w:keepNext/>
        <w:keepLines/>
        <w:spacing w:line="360" w:lineRule="auto"/>
        <w:ind w:left="1440"/>
        <w:contextualSpacing/>
        <w:rPr>
          <w:b/>
          <w:sz w:val="26"/>
          <w:szCs w:val="26"/>
        </w:rPr>
      </w:pPr>
      <w:r w:rsidRPr="00650894">
        <w:rPr>
          <w:b/>
          <w:sz w:val="26"/>
          <w:szCs w:val="26"/>
        </w:rPr>
        <w:t>b.</w:t>
      </w:r>
      <w:r w:rsidRPr="00650894">
        <w:rPr>
          <w:b/>
          <w:sz w:val="26"/>
          <w:szCs w:val="26"/>
        </w:rPr>
        <w:tab/>
        <w:t>ALJ Recommendation</w:t>
      </w:r>
    </w:p>
    <w:p w:rsidR="00656A14" w:rsidRPr="00650894" w:rsidRDefault="00656A14" w:rsidP="00650894">
      <w:pPr>
        <w:keepNext/>
        <w:keepLines/>
        <w:spacing w:line="360" w:lineRule="auto"/>
        <w:ind w:firstLine="1440"/>
        <w:contextualSpacing/>
        <w:rPr>
          <w:sz w:val="26"/>
          <w:szCs w:val="26"/>
        </w:rPr>
      </w:pPr>
    </w:p>
    <w:p w:rsidR="00656A14" w:rsidRPr="00650894" w:rsidRDefault="00B951A5" w:rsidP="00650894">
      <w:pPr>
        <w:spacing w:line="360" w:lineRule="auto"/>
        <w:ind w:firstLine="1440"/>
        <w:contextualSpacing/>
        <w:rPr>
          <w:sz w:val="26"/>
          <w:szCs w:val="26"/>
        </w:rPr>
      </w:pPr>
      <w:r w:rsidRPr="00650894">
        <w:rPr>
          <w:sz w:val="26"/>
          <w:szCs w:val="26"/>
        </w:rPr>
        <w:t xml:space="preserve">The ALJ denied this affirmative defense.  The ALJ pointed out that in the </w:t>
      </w:r>
      <w:r w:rsidRPr="00650894">
        <w:rPr>
          <w:i/>
          <w:sz w:val="26"/>
          <w:szCs w:val="26"/>
        </w:rPr>
        <w:t>2011 Core v Verizon Proceeding,</w:t>
      </w:r>
      <w:r w:rsidRPr="00650894">
        <w:rPr>
          <w:sz w:val="26"/>
          <w:szCs w:val="26"/>
        </w:rPr>
        <w:t xml:space="preserve"> she ruled that Core failed to follow the dispute resolution procedures set forth in the parties’ ICAs in that litigation.  Therefore, the ALJ reasoned that it would be inconsistent to rule that Core’s claims in the instant case should have been raised, inappropriately, </w:t>
      </w:r>
      <w:r w:rsidR="005A7540" w:rsidRPr="00650894">
        <w:rPr>
          <w:sz w:val="26"/>
          <w:szCs w:val="26"/>
        </w:rPr>
        <w:t xml:space="preserve">as part of the prior litigation </w:t>
      </w:r>
      <w:r w:rsidRPr="00650894">
        <w:rPr>
          <w:sz w:val="26"/>
          <w:szCs w:val="26"/>
        </w:rPr>
        <w:t xml:space="preserve">when Core filed its claims in the </w:t>
      </w:r>
      <w:r w:rsidRPr="00650894">
        <w:rPr>
          <w:i/>
          <w:sz w:val="26"/>
          <w:szCs w:val="26"/>
        </w:rPr>
        <w:t>2011 Core v Verizon Proceeding.</w:t>
      </w:r>
      <w:r w:rsidR="005A7540" w:rsidRPr="00650894">
        <w:rPr>
          <w:sz w:val="26"/>
          <w:szCs w:val="26"/>
        </w:rPr>
        <w:t xml:space="preserve">  </w:t>
      </w:r>
      <w:r w:rsidR="00097B3E" w:rsidRPr="00650894">
        <w:rPr>
          <w:sz w:val="26"/>
          <w:szCs w:val="26"/>
        </w:rPr>
        <w:t>I.D. at 26</w:t>
      </w:r>
      <w:r w:rsidR="006857F9">
        <w:rPr>
          <w:sz w:val="26"/>
          <w:szCs w:val="26"/>
        </w:rPr>
        <w:t>.</w:t>
      </w:r>
    </w:p>
    <w:p w:rsidR="00656A14" w:rsidRPr="00650894" w:rsidRDefault="00656A14" w:rsidP="00650894">
      <w:pPr>
        <w:spacing w:line="360" w:lineRule="auto"/>
        <w:ind w:firstLine="1440"/>
        <w:contextualSpacing/>
        <w:rPr>
          <w:sz w:val="26"/>
          <w:szCs w:val="26"/>
        </w:rPr>
      </w:pPr>
    </w:p>
    <w:p w:rsidR="00FF4B8B" w:rsidRPr="00650894" w:rsidRDefault="00FF4B8B" w:rsidP="00DC3A16">
      <w:pPr>
        <w:keepLines/>
        <w:ind w:left="1440" w:hanging="720"/>
        <w:contextualSpacing/>
        <w:rPr>
          <w:b/>
          <w:i/>
          <w:sz w:val="26"/>
          <w:szCs w:val="26"/>
        </w:rPr>
      </w:pPr>
      <w:r w:rsidRPr="00650894">
        <w:rPr>
          <w:b/>
          <w:sz w:val="26"/>
          <w:szCs w:val="26"/>
        </w:rPr>
        <w:t>3.</w:t>
      </w:r>
      <w:r w:rsidRPr="00650894">
        <w:rPr>
          <w:b/>
          <w:sz w:val="26"/>
          <w:szCs w:val="26"/>
        </w:rPr>
        <w:tab/>
        <w:t>Verizon</w:t>
      </w:r>
      <w:r w:rsidR="008F6E22" w:rsidRPr="00650894">
        <w:rPr>
          <w:b/>
          <w:sz w:val="26"/>
          <w:szCs w:val="26"/>
        </w:rPr>
        <w:t xml:space="preserve"> PA</w:t>
      </w:r>
      <w:r w:rsidRPr="00650894">
        <w:rPr>
          <w:b/>
          <w:sz w:val="26"/>
          <w:szCs w:val="26"/>
        </w:rPr>
        <w:t xml:space="preserve">’s allegation of issue preclusion based on the </w:t>
      </w:r>
      <w:r w:rsidRPr="00650894">
        <w:rPr>
          <w:b/>
          <w:i/>
          <w:sz w:val="26"/>
          <w:szCs w:val="26"/>
        </w:rPr>
        <w:t>CoreTel-Verizon VA Order</w:t>
      </w:r>
    </w:p>
    <w:p w:rsidR="00656A14" w:rsidRPr="00650894" w:rsidRDefault="00656A14" w:rsidP="00650894">
      <w:pPr>
        <w:keepLines/>
        <w:spacing w:line="360" w:lineRule="auto"/>
        <w:ind w:firstLine="1440"/>
        <w:contextualSpacing/>
        <w:rPr>
          <w:sz w:val="26"/>
          <w:szCs w:val="26"/>
        </w:rPr>
      </w:pPr>
    </w:p>
    <w:p w:rsidR="00656A14" w:rsidRPr="00650894" w:rsidRDefault="00656A14" w:rsidP="00DC3A16">
      <w:pPr>
        <w:keepNext/>
        <w:keepLines/>
        <w:spacing w:line="360" w:lineRule="auto"/>
        <w:ind w:left="1440"/>
        <w:contextualSpacing/>
        <w:rPr>
          <w:b/>
          <w:sz w:val="26"/>
          <w:szCs w:val="26"/>
        </w:rPr>
      </w:pPr>
      <w:r w:rsidRPr="00650894">
        <w:rPr>
          <w:b/>
          <w:sz w:val="26"/>
          <w:szCs w:val="26"/>
        </w:rPr>
        <w:t>a.</w:t>
      </w:r>
      <w:r w:rsidRPr="00650894">
        <w:rPr>
          <w:b/>
          <w:sz w:val="26"/>
          <w:szCs w:val="26"/>
        </w:rPr>
        <w:tab/>
        <w:t>Positions of the Parties</w:t>
      </w:r>
    </w:p>
    <w:p w:rsidR="00656A14" w:rsidRPr="00650894" w:rsidRDefault="00656A14" w:rsidP="00650894">
      <w:pPr>
        <w:keepNext/>
        <w:keepLines/>
        <w:spacing w:line="360" w:lineRule="auto"/>
        <w:ind w:firstLine="1440"/>
        <w:contextualSpacing/>
        <w:rPr>
          <w:sz w:val="26"/>
          <w:szCs w:val="26"/>
        </w:rPr>
      </w:pPr>
    </w:p>
    <w:p w:rsidR="00E71F08" w:rsidRPr="00650894" w:rsidRDefault="00E71F08" w:rsidP="00E71F08">
      <w:pPr>
        <w:spacing w:line="360" w:lineRule="auto"/>
        <w:ind w:firstLine="1440"/>
        <w:contextualSpacing/>
        <w:rPr>
          <w:sz w:val="26"/>
          <w:szCs w:val="26"/>
        </w:rPr>
      </w:pPr>
      <w:r w:rsidRPr="00650894">
        <w:rPr>
          <w:sz w:val="26"/>
          <w:szCs w:val="26"/>
        </w:rPr>
        <w:t xml:space="preserve">Verizon PA asserted that Core’s Complaint was barred by the doctrine of issue preclusion, as discussed in </w:t>
      </w:r>
      <w:r w:rsidRPr="00650894">
        <w:rPr>
          <w:i/>
          <w:sz w:val="26"/>
          <w:szCs w:val="26"/>
        </w:rPr>
        <w:t xml:space="preserve">Pa. Bd. Of Prob. &amp; Parole v. Pa. Human Rels. Comm'n, </w:t>
      </w:r>
      <w:r w:rsidRPr="00650894">
        <w:rPr>
          <w:sz w:val="26"/>
          <w:szCs w:val="26"/>
        </w:rPr>
        <w:t xml:space="preserve">66 A.3d 390, 395 (Pa.Cmwlth. Ct. 2013), </w:t>
      </w:r>
      <w:r w:rsidRPr="00650894">
        <w:rPr>
          <w:i/>
          <w:sz w:val="26"/>
          <w:szCs w:val="26"/>
        </w:rPr>
        <w:t>appeal denied</w:t>
      </w:r>
      <w:r w:rsidRPr="00650894">
        <w:rPr>
          <w:sz w:val="26"/>
          <w:szCs w:val="26"/>
        </w:rPr>
        <w:t xml:space="preserve">, 79 A.2d 1100 (Pa. 2013).  Verizon PA explained that this doctrine is based on the premise that a losing litigant does not deserve a rematch after fairly losing in an adversarial proceeding on an identical issue.  Verizon PA noted that Core’s affiliate in Virginia filed a complaint against Verizon PA’s affiliate in Virginia for alleged nonpayment of facilities and that this complaint was denied by both the United States District Court for the Eastern District of Virginia in the </w:t>
      </w:r>
      <w:r w:rsidRPr="00650894">
        <w:rPr>
          <w:i/>
          <w:sz w:val="26"/>
          <w:szCs w:val="26"/>
        </w:rPr>
        <w:t xml:space="preserve">Eastern District Decision </w:t>
      </w:r>
      <w:r w:rsidRPr="00650894">
        <w:rPr>
          <w:sz w:val="26"/>
          <w:szCs w:val="26"/>
        </w:rPr>
        <w:t xml:space="preserve">and </w:t>
      </w:r>
      <w:r>
        <w:rPr>
          <w:sz w:val="26"/>
          <w:szCs w:val="26"/>
        </w:rPr>
        <w:t xml:space="preserve">affirmed </w:t>
      </w:r>
      <w:r w:rsidRPr="00650894">
        <w:rPr>
          <w:sz w:val="26"/>
          <w:szCs w:val="26"/>
        </w:rPr>
        <w:t xml:space="preserve">by the United States Court of Appeals for the Fourth Circuit, as outlined in the </w:t>
      </w:r>
      <w:r w:rsidRPr="00650894">
        <w:rPr>
          <w:i/>
          <w:sz w:val="26"/>
          <w:szCs w:val="26"/>
        </w:rPr>
        <w:t>CoreTel-Verizon VA Order.</w:t>
      </w:r>
      <w:r w:rsidRPr="00650894">
        <w:rPr>
          <w:sz w:val="26"/>
          <w:szCs w:val="26"/>
        </w:rPr>
        <w:t xml:space="preserve">  Verizon </w:t>
      </w:r>
      <w:r>
        <w:rPr>
          <w:sz w:val="26"/>
          <w:szCs w:val="26"/>
        </w:rPr>
        <w:t xml:space="preserve">PA </w:t>
      </w:r>
      <w:r w:rsidRPr="00650894">
        <w:rPr>
          <w:sz w:val="26"/>
          <w:szCs w:val="26"/>
        </w:rPr>
        <w:t>contended that the issues in that proceeding are identical to the issues in the instant case.  Verizon PA M.B. at 40-43.</w:t>
      </w:r>
    </w:p>
    <w:p w:rsidR="007C072C" w:rsidRPr="00650894" w:rsidRDefault="007C072C" w:rsidP="00650894">
      <w:pPr>
        <w:spacing w:line="360" w:lineRule="auto"/>
        <w:ind w:firstLine="1440"/>
        <w:contextualSpacing/>
        <w:rPr>
          <w:sz w:val="26"/>
          <w:szCs w:val="26"/>
        </w:rPr>
      </w:pPr>
    </w:p>
    <w:p w:rsidR="00656A14" w:rsidRPr="00650894" w:rsidRDefault="007C072C" w:rsidP="00650894">
      <w:pPr>
        <w:spacing w:line="360" w:lineRule="auto"/>
        <w:ind w:firstLine="1440"/>
        <w:contextualSpacing/>
        <w:rPr>
          <w:sz w:val="26"/>
          <w:szCs w:val="26"/>
        </w:rPr>
      </w:pPr>
      <w:r w:rsidRPr="00650894">
        <w:rPr>
          <w:sz w:val="26"/>
          <w:szCs w:val="26"/>
        </w:rPr>
        <w:t xml:space="preserve">Core rejoined that Verizon PA could not meet the standard for issue preclusion because there is no identity of the issue between the instant case and the prior litigation between the Parties’ affiliates in Virginia.  In Core’s view, Verizon PA’s references to the </w:t>
      </w:r>
      <w:r w:rsidRPr="00650894">
        <w:rPr>
          <w:i/>
          <w:sz w:val="26"/>
          <w:szCs w:val="26"/>
        </w:rPr>
        <w:t xml:space="preserve">CoreTel-Verizon VA Order </w:t>
      </w:r>
      <w:r w:rsidRPr="00650894">
        <w:rPr>
          <w:sz w:val="26"/>
          <w:szCs w:val="26"/>
        </w:rPr>
        <w:t xml:space="preserve">are irrelevant.  Core elaborated that the present Complaint relates to Verizon PA’s alleged use of Core’s facilities under a Pennsylvania ICA between the Parties, whereas the </w:t>
      </w:r>
      <w:r w:rsidRPr="00650894">
        <w:rPr>
          <w:i/>
          <w:sz w:val="26"/>
          <w:szCs w:val="26"/>
        </w:rPr>
        <w:t xml:space="preserve">CoreTel-Verizon VA Order </w:t>
      </w:r>
      <w:r w:rsidRPr="00650894">
        <w:rPr>
          <w:sz w:val="26"/>
          <w:szCs w:val="26"/>
        </w:rPr>
        <w:t>addressed litigation between two different entities</w:t>
      </w:r>
      <w:r w:rsidR="00AB606F">
        <w:rPr>
          <w:sz w:val="26"/>
          <w:szCs w:val="26"/>
        </w:rPr>
        <w:t xml:space="preserve"> (although affiliated)</w:t>
      </w:r>
      <w:r w:rsidRPr="00650894">
        <w:rPr>
          <w:sz w:val="26"/>
          <w:szCs w:val="26"/>
        </w:rPr>
        <w:t xml:space="preserve"> in </w:t>
      </w:r>
      <w:r w:rsidR="004F140B" w:rsidRPr="00650894">
        <w:rPr>
          <w:sz w:val="26"/>
          <w:szCs w:val="26"/>
        </w:rPr>
        <w:t>Virginia</w:t>
      </w:r>
      <w:r w:rsidRPr="00650894">
        <w:rPr>
          <w:sz w:val="26"/>
          <w:szCs w:val="26"/>
        </w:rPr>
        <w:t xml:space="preserve">, operating under a different ICA, with different physical facilities and a different timeline.  </w:t>
      </w:r>
      <w:r w:rsidR="00C85217" w:rsidRPr="00650894">
        <w:rPr>
          <w:sz w:val="26"/>
          <w:szCs w:val="26"/>
        </w:rPr>
        <w:t xml:space="preserve">Further, Core argued that there are factual differences between the two proceedings.  </w:t>
      </w:r>
      <w:r w:rsidR="004231ED" w:rsidRPr="00650894">
        <w:rPr>
          <w:sz w:val="26"/>
          <w:szCs w:val="26"/>
        </w:rPr>
        <w:t>Core R</w:t>
      </w:r>
      <w:r w:rsidR="00040810" w:rsidRPr="00650894">
        <w:rPr>
          <w:sz w:val="26"/>
          <w:szCs w:val="26"/>
        </w:rPr>
        <w:t>.</w:t>
      </w:r>
      <w:r w:rsidR="004231ED" w:rsidRPr="00650894">
        <w:rPr>
          <w:sz w:val="26"/>
          <w:szCs w:val="26"/>
        </w:rPr>
        <w:t>B</w:t>
      </w:r>
      <w:r w:rsidR="00040810" w:rsidRPr="00650894">
        <w:rPr>
          <w:sz w:val="26"/>
          <w:szCs w:val="26"/>
        </w:rPr>
        <w:t>.</w:t>
      </w:r>
      <w:r w:rsidR="004231ED" w:rsidRPr="00650894">
        <w:rPr>
          <w:sz w:val="26"/>
          <w:szCs w:val="26"/>
        </w:rPr>
        <w:t xml:space="preserve"> at 19</w:t>
      </w:r>
      <w:r w:rsidR="00AB606F">
        <w:rPr>
          <w:sz w:val="26"/>
          <w:szCs w:val="26"/>
        </w:rPr>
        <w:noBreakHyphen/>
      </w:r>
      <w:r w:rsidR="004231ED" w:rsidRPr="00650894">
        <w:rPr>
          <w:sz w:val="26"/>
          <w:szCs w:val="26"/>
        </w:rPr>
        <w:t>22</w:t>
      </w:r>
      <w:r w:rsidRPr="00650894">
        <w:rPr>
          <w:sz w:val="26"/>
          <w:szCs w:val="26"/>
        </w:rPr>
        <w:t>.</w:t>
      </w:r>
    </w:p>
    <w:p w:rsidR="00656A14" w:rsidRPr="00650894" w:rsidRDefault="00656A14" w:rsidP="00650894">
      <w:pPr>
        <w:spacing w:line="360" w:lineRule="auto"/>
        <w:ind w:firstLine="1440"/>
        <w:contextualSpacing/>
        <w:rPr>
          <w:sz w:val="26"/>
          <w:szCs w:val="26"/>
        </w:rPr>
      </w:pPr>
    </w:p>
    <w:p w:rsidR="00656A14" w:rsidRPr="00650894" w:rsidRDefault="00656A14" w:rsidP="00595C6D">
      <w:pPr>
        <w:keepNext/>
        <w:keepLines/>
        <w:spacing w:line="360" w:lineRule="auto"/>
        <w:ind w:left="1440"/>
        <w:contextualSpacing/>
        <w:rPr>
          <w:b/>
          <w:sz w:val="26"/>
          <w:szCs w:val="26"/>
        </w:rPr>
      </w:pPr>
      <w:r w:rsidRPr="00650894">
        <w:rPr>
          <w:b/>
          <w:sz w:val="26"/>
          <w:szCs w:val="26"/>
        </w:rPr>
        <w:t>b.</w:t>
      </w:r>
      <w:r w:rsidRPr="00650894">
        <w:rPr>
          <w:b/>
          <w:sz w:val="26"/>
          <w:szCs w:val="26"/>
        </w:rPr>
        <w:tab/>
        <w:t>ALJ Recommendation</w:t>
      </w:r>
    </w:p>
    <w:p w:rsidR="00656A14" w:rsidRPr="00650894" w:rsidRDefault="00656A14" w:rsidP="00650894">
      <w:pPr>
        <w:keepNext/>
        <w:keepLines/>
        <w:spacing w:line="360" w:lineRule="auto"/>
        <w:ind w:firstLine="1440"/>
        <w:contextualSpacing/>
        <w:rPr>
          <w:sz w:val="26"/>
          <w:szCs w:val="26"/>
        </w:rPr>
      </w:pPr>
    </w:p>
    <w:p w:rsidR="001D6B9E" w:rsidRPr="00650894" w:rsidRDefault="001D6B9E" w:rsidP="00650894">
      <w:pPr>
        <w:spacing w:line="360" w:lineRule="auto"/>
        <w:ind w:firstLine="1440"/>
        <w:contextualSpacing/>
        <w:rPr>
          <w:sz w:val="26"/>
          <w:szCs w:val="26"/>
        </w:rPr>
      </w:pPr>
      <w:r w:rsidRPr="00650894">
        <w:rPr>
          <w:sz w:val="26"/>
          <w:szCs w:val="26"/>
        </w:rPr>
        <w:t xml:space="preserve">The ALJ denied this affirmative defense.  The ALJ reasoned that although the </w:t>
      </w:r>
      <w:r w:rsidRPr="00650894">
        <w:rPr>
          <w:i/>
          <w:sz w:val="26"/>
          <w:szCs w:val="26"/>
        </w:rPr>
        <w:t>CoreTel-Verizon VA Order</w:t>
      </w:r>
      <w:r w:rsidRPr="00650894">
        <w:rPr>
          <w:sz w:val="26"/>
          <w:szCs w:val="26"/>
        </w:rPr>
        <w:t xml:space="preserve"> may be presented as a persuasive authority, a holding by the Fourth Circuit in a case involving two affiliates of the Parties</w:t>
      </w:r>
      <w:r w:rsidR="002F6E82" w:rsidRPr="00650894">
        <w:rPr>
          <w:sz w:val="26"/>
          <w:szCs w:val="26"/>
        </w:rPr>
        <w:t xml:space="preserve"> that is</w:t>
      </w:r>
      <w:r w:rsidRPr="00650894">
        <w:rPr>
          <w:sz w:val="26"/>
          <w:szCs w:val="26"/>
        </w:rPr>
        <w:t xml:space="preserve"> based on an ICA between those two affiliates cannot be used in the instant case to support a finding of issue preclusion.  I.D. at 29</w:t>
      </w:r>
      <w:r w:rsidR="003D3F9C" w:rsidRPr="00650894">
        <w:rPr>
          <w:sz w:val="26"/>
          <w:szCs w:val="26"/>
        </w:rPr>
        <w:t>.</w:t>
      </w:r>
    </w:p>
    <w:p w:rsidR="001D6B9E" w:rsidRPr="00650894" w:rsidRDefault="001D6B9E" w:rsidP="00650894">
      <w:pPr>
        <w:spacing w:line="360" w:lineRule="auto"/>
        <w:ind w:firstLine="1440"/>
        <w:contextualSpacing/>
        <w:rPr>
          <w:sz w:val="26"/>
          <w:szCs w:val="26"/>
        </w:rPr>
      </w:pPr>
    </w:p>
    <w:p w:rsidR="00FF4B8B" w:rsidRPr="00650894" w:rsidRDefault="00FF4B8B" w:rsidP="00595C6D">
      <w:pPr>
        <w:keepNext/>
        <w:keepLines/>
        <w:ind w:left="1440" w:hanging="720"/>
        <w:contextualSpacing/>
        <w:rPr>
          <w:b/>
          <w:sz w:val="26"/>
          <w:szCs w:val="26"/>
        </w:rPr>
      </w:pPr>
      <w:r w:rsidRPr="00650894">
        <w:rPr>
          <w:b/>
          <w:sz w:val="26"/>
          <w:szCs w:val="26"/>
        </w:rPr>
        <w:t>4</w:t>
      </w:r>
      <w:r w:rsidR="00832B2E" w:rsidRPr="00650894">
        <w:rPr>
          <w:b/>
          <w:sz w:val="26"/>
          <w:szCs w:val="26"/>
        </w:rPr>
        <w:t>.</w:t>
      </w:r>
      <w:r w:rsidR="00832B2E" w:rsidRPr="00650894">
        <w:rPr>
          <w:b/>
          <w:sz w:val="26"/>
          <w:szCs w:val="26"/>
        </w:rPr>
        <w:tab/>
        <w:t>Verizon</w:t>
      </w:r>
      <w:r w:rsidR="008F6E22" w:rsidRPr="00650894">
        <w:rPr>
          <w:b/>
          <w:sz w:val="26"/>
          <w:szCs w:val="26"/>
        </w:rPr>
        <w:t xml:space="preserve"> PA</w:t>
      </w:r>
      <w:r w:rsidR="00832B2E" w:rsidRPr="00650894">
        <w:rPr>
          <w:b/>
          <w:sz w:val="26"/>
          <w:szCs w:val="26"/>
        </w:rPr>
        <w:t>’s allegation that the doctrine of unclean hands bars Core’s claims</w:t>
      </w:r>
    </w:p>
    <w:p w:rsidR="00656A14" w:rsidRPr="00650894" w:rsidRDefault="00656A14" w:rsidP="00650894">
      <w:pPr>
        <w:keepNext/>
        <w:keepLines/>
        <w:spacing w:line="360" w:lineRule="auto"/>
        <w:ind w:firstLine="1440"/>
        <w:contextualSpacing/>
        <w:rPr>
          <w:sz w:val="26"/>
          <w:szCs w:val="26"/>
        </w:rPr>
      </w:pPr>
    </w:p>
    <w:p w:rsidR="00656A14" w:rsidRPr="00650894" w:rsidRDefault="00656A14" w:rsidP="00595C6D">
      <w:pPr>
        <w:keepNext/>
        <w:keepLines/>
        <w:spacing w:line="360" w:lineRule="auto"/>
        <w:ind w:left="1440"/>
        <w:contextualSpacing/>
        <w:rPr>
          <w:b/>
          <w:sz w:val="26"/>
          <w:szCs w:val="26"/>
        </w:rPr>
      </w:pPr>
      <w:r w:rsidRPr="00650894">
        <w:rPr>
          <w:b/>
          <w:sz w:val="26"/>
          <w:szCs w:val="26"/>
        </w:rPr>
        <w:t>a.</w:t>
      </w:r>
      <w:r w:rsidRPr="00650894">
        <w:rPr>
          <w:b/>
          <w:sz w:val="26"/>
          <w:szCs w:val="26"/>
        </w:rPr>
        <w:tab/>
        <w:t>Positions of the Parties</w:t>
      </w:r>
    </w:p>
    <w:p w:rsidR="00656A14" w:rsidRPr="00650894" w:rsidRDefault="00656A14" w:rsidP="00650894">
      <w:pPr>
        <w:keepNext/>
        <w:keepLines/>
        <w:spacing w:line="360" w:lineRule="auto"/>
        <w:ind w:firstLine="1440"/>
        <w:contextualSpacing/>
        <w:rPr>
          <w:sz w:val="26"/>
          <w:szCs w:val="26"/>
        </w:rPr>
      </w:pPr>
    </w:p>
    <w:p w:rsidR="004632DF" w:rsidRPr="00650894" w:rsidRDefault="006821AB" w:rsidP="00650894">
      <w:pPr>
        <w:spacing w:line="360" w:lineRule="auto"/>
        <w:ind w:firstLine="1440"/>
        <w:contextualSpacing/>
        <w:rPr>
          <w:sz w:val="26"/>
          <w:szCs w:val="26"/>
        </w:rPr>
      </w:pPr>
      <w:r w:rsidRPr="00650894">
        <w:rPr>
          <w:sz w:val="26"/>
          <w:szCs w:val="26"/>
        </w:rPr>
        <w:t xml:space="preserve">Citing </w:t>
      </w:r>
      <w:r w:rsidRPr="00650894">
        <w:rPr>
          <w:i/>
          <w:sz w:val="26"/>
          <w:szCs w:val="26"/>
        </w:rPr>
        <w:t xml:space="preserve">In re Estate of Pedrick, </w:t>
      </w:r>
      <w:r w:rsidRPr="00650894">
        <w:rPr>
          <w:sz w:val="26"/>
          <w:szCs w:val="26"/>
        </w:rPr>
        <w:t xml:space="preserve">505 Pa. 530, 544 (1984), </w:t>
      </w:r>
      <w:r w:rsidR="00E332EE" w:rsidRPr="00650894">
        <w:rPr>
          <w:sz w:val="26"/>
          <w:szCs w:val="26"/>
        </w:rPr>
        <w:t>Verizon PA</w:t>
      </w:r>
      <w:r w:rsidRPr="00650894">
        <w:rPr>
          <w:sz w:val="26"/>
          <w:szCs w:val="26"/>
        </w:rPr>
        <w:t xml:space="preserve"> submitted that Core’s Complaint was barred by the doctrine of unclean hands because Core sought payment from Verizon PA for facilities while simultaneously refusing to pay facilities charges owed to Verizon PA under the same ICA provisions and as set forth in the </w:t>
      </w:r>
      <w:r w:rsidRPr="00650894">
        <w:rPr>
          <w:i/>
          <w:sz w:val="26"/>
          <w:szCs w:val="26"/>
        </w:rPr>
        <w:t xml:space="preserve">2011 Core v Verizon Proceeding.  </w:t>
      </w:r>
      <w:r w:rsidRPr="00650894">
        <w:rPr>
          <w:sz w:val="26"/>
          <w:szCs w:val="26"/>
        </w:rPr>
        <w:t xml:space="preserve">Verizon </w:t>
      </w:r>
      <w:r w:rsidR="00372091" w:rsidRPr="00650894">
        <w:rPr>
          <w:sz w:val="26"/>
          <w:szCs w:val="26"/>
        </w:rPr>
        <w:t xml:space="preserve">PA M.B. </w:t>
      </w:r>
      <w:r w:rsidR="008C6D44" w:rsidRPr="00650894">
        <w:rPr>
          <w:sz w:val="26"/>
          <w:szCs w:val="26"/>
        </w:rPr>
        <w:t>at</w:t>
      </w:r>
      <w:r w:rsidR="00372091" w:rsidRPr="00650894">
        <w:rPr>
          <w:sz w:val="26"/>
          <w:szCs w:val="26"/>
        </w:rPr>
        <w:t xml:space="preserve"> 43-44</w:t>
      </w:r>
      <w:r w:rsidRPr="00650894">
        <w:rPr>
          <w:sz w:val="26"/>
          <w:szCs w:val="26"/>
        </w:rPr>
        <w:t>.</w:t>
      </w:r>
    </w:p>
    <w:p w:rsidR="006821AB" w:rsidRPr="00650894" w:rsidRDefault="006821AB" w:rsidP="00650894">
      <w:pPr>
        <w:spacing w:line="360" w:lineRule="auto"/>
        <w:ind w:firstLine="1440"/>
        <w:contextualSpacing/>
        <w:rPr>
          <w:sz w:val="26"/>
          <w:szCs w:val="26"/>
        </w:rPr>
      </w:pPr>
    </w:p>
    <w:p w:rsidR="00656A14" w:rsidRPr="00650894" w:rsidRDefault="006821AB" w:rsidP="00650894">
      <w:pPr>
        <w:spacing w:line="360" w:lineRule="auto"/>
        <w:ind w:firstLine="1440"/>
        <w:contextualSpacing/>
        <w:rPr>
          <w:sz w:val="26"/>
          <w:szCs w:val="26"/>
        </w:rPr>
      </w:pPr>
      <w:r w:rsidRPr="00650894">
        <w:rPr>
          <w:sz w:val="26"/>
          <w:szCs w:val="26"/>
        </w:rPr>
        <w:t xml:space="preserve">Core rebutted that the doctrine of unclean hands is not applicable unless the alleged misconduct relates directly to the transaction that is the subject of the complaint.  In this regard, Core pointed out that the issues raised in the </w:t>
      </w:r>
      <w:r w:rsidRPr="00650894">
        <w:rPr>
          <w:i/>
          <w:sz w:val="26"/>
          <w:szCs w:val="26"/>
        </w:rPr>
        <w:t xml:space="preserve">2011 Core v Verizon Proceeding </w:t>
      </w:r>
      <w:r w:rsidRPr="00650894">
        <w:rPr>
          <w:sz w:val="26"/>
          <w:szCs w:val="26"/>
        </w:rPr>
        <w:t xml:space="preserve">are not at issue in this case.  </w:t>
      </w:r>
      <w:r w:rsidR="004231ED" w:rsidRPr="00650894">
        <w:rPr>
          <w:sz w:val="26"/>
          <w:szCs w:val="26"/>
        </w:rPr>
        <w:t>Core R</w:t>
      </w:r>
      <w:r w:rsidRPr="00650894">
        <w:rPr>
          <w:sz w:val="26"/>
          <w:szCs w:val="26"/>
        </w:rPr>
        <w:t>.</w:t>
      </w:r>
      <w:r w:rsidR="004231ED" w:rsidRPr="00650894">
        <w:rPr>
          <w:sz w:val="26"/>
          <w:szCs w:val="26"/>
        </w:rPr>
        <w:t>B</w:t>
      </w:r>
      <w:r w:rsidRPr="00650894">
        <w:rPr>
          <w:sz w:val="26"/>
          <w:szCs w:val="26"/>
        </w:rPr>
        <w:t>.</w:t>
      </w:r>
      <w:r w:rsidR="004231ED" w:rsidRPr="00650894">
        <w:rPr>
          <w:sz w:val="26"/>
          <w:szCs w:val="26"/>
        </w:rPr>
        <w:t xml:space="preserve"> at 23</w:t>
      </w:r>
      <w:r w:rsidRPr="00650894">
        <w:rPr>
          <w:sz w:val="26"/>
          <w:szCs w:val="26"/>
        </w:rPr>
        <w:t>.</w:t>
      </w:r>
    </w:p>
    <w:p w:rsidR="00656A14" w:rsidRPr="00650894" w:rsidRDefault="00656A14" w:rsidP="00650894">
      <w:pPr>
        <w:spacing w:line="360" w:lineRule="auto"/>
        <w:ind w:firstLine="1440"/>
        <w:contextualSpacing/>
        <w:rPr>
          <w:sz w:val="26"/>
          <w:szCs w:val="26"/>
        </w:rPr>
      </w:pPr>
    </w:p>
    <w:p w:rsidR="00656A14" w:rsidRPr="00650894" w:rsidRDefault="00656A14" w:rsidP="002724E6">
      <w:pPr>
        <w:keepNext/>
        <w:keepLines/>
        <w:spacing w:line="360" w:lineRule="auto"/>
        <w:ind w:left="1440"/>
        <w:contextualSpacing/>
        <w:rPr>
          <w:b/>
          <w:sz w:val="26"/>
          <w:szCs w:val="26"/>
        </w:rPr>
      </w:pPr>
      <w:r w:rsidRPr="00650894">
        <w:rPr>
          <w:b/>
          <w:sz w:val="26"/>
          <w:szCs w:val="26"/>
        </w:rPr>
        <w:t>b.</w:t>
      </w:r>
      <w:r w:rsidRPr="00650894">
        <w:rPr>
          <w:b/>
          <w:sz w:val="26"/>
          <w:szCs w:val="26"/>
        </w:rPr>
        <w:tab/>
        <w:t>ALJ Recommendation</w:t>
      </w:r>
    </w:p>
    <w:p w:rsidR="00656A14" w:rsidRPr="00650894" w:rsidRDefault="00656A14" w:rsidP="00650894">
      <w:pPr>
        <w:keepNext/>
        <w:keepLines/>
        <w:spacing w:line="360" w:lineRule="auto"/>
        <w:ind w:firstLine="1440"/>
        <w:contextualSpacing/>
        <w:rPr>
          <w:sz w:val="26"/>
          <w:szCs w:val="26"/>
        </w:rPr>
      </w:pPr>
    </w:p>
    <w:p w:rsidR="00656A14" w:rsidRPr="00650894" w:rsidRDefault="00575CF8" w:rsidP="00650894">
      <w:pPr>
        <w:spacing w:line="360" w:lineRule="auto"/>
        <w:ind w:firstLine="1440"/>
        <w:contextualSpacing/>
        <w:rPr>
          <w:sz w:val="26"/>
          <w:szCs w:val="26"/>
        </w:rPr>
      </w:pPr>
      <w:r w:rsidRPr="00650894">
        <w:rPr>
          <w:sz w:val="26"/>
          <w:szCs w:val="26"/>
        </w:rPr>
        <w:t>The ALJ dismissed this affirmative defense, reasoning that Verizon PA did not file a counterclaim in this proceeding.  Further, the ALJ ruled that Core’s own bad behavior does not prevent it from seeking payment for disputed bills.  Finally, the ALJ noted that because Core’s Complaint was not resolved through affirmative defenses, she would address the substance of the Complaint.  I.D. at 30.  We shall likewise address the issues,</w:t>
      </w:r>
      <w:r w:rsidR="00665F7C" w:rsidRPr="00650894">
        <w:rPr>
          <w:sz w:val="26"/>
          <w:szCs w:val="26"/>
        </w:rPr>
        <w:t xml:space="preserve"> </w:t>
      </w:r>
      <w:r w:rsidRPr="00650894">
        <w:rPr>
          <w:i/>
          <w:sz w:val="26"/>
          <w:szCs w:val="26"/>
        </w:rPr>
        <w:t>infra.</w:t>
      </w:r>
      <w:r w:rsidRPr="00650894">
        <w:rPr>
          <w:sz w:val="26"/>
          <w:szCs w:val="26"/>
        </w:rPr>
        <w:t xml:space="preserve"> </w:t>
      </w:r>
    </w:p>
    <w:p w:rsidR="00656A14" w:rsidRPr="00650894" w:rsidRDefault="00656A14" w:rsidP="00650894">
      <w:pPr>
        <w:spacing w:line="360" w:lineRule="auto"/>
        <w:ind w:firstLine="1440"/>
        <w:contextualSpacing/>
        <w:rPr>
          <w:sz w:val="26"/>
          <w:szCs w:val="26"/>
        </w:rPr>
      </w:pPr>
    </w:p>
    <w:p w:rsidR="00193B53" w:rsidRPr="00650894" w:rsidRDefault="00193B53" w:rsidP="002724E6">
      <w:pPr>
        <w:keepNext/>
        <w:keepLines/>
        <w:ind w:left="1440" w:hanging="720"/>
        <w:contextualSpacing/>
        <w:rPr>
          <w:b/>
          <w:sz w:val="26"/>
          <w:szCs w:val="26"/>
        </w:rPr>
      </w:pPr>
      <w:r w:rsidRPr="00650894">
        <w:rPr>
          <w:b/>
          <w:sz w:val="26"/>
          <w:szCs w:val="26"/>
        </w:rPr>
        <w:t>5.</w:t>
      </w:r>
      <w:r w:rsidRPr="00650894">
        <w:rPr>
          <w:b/>
          <w:sz w:val="26"/>
          <w:szCs w:val="26"/>
        </w:rPr>
        <w:tab/>
        <w:t xml:space="preserve">Disposition </w:t>
      </w:r>
    </w:p>
    <w:p w:rsidR="00193B53" w:rsidRPr="00650894" w:rsidRDefault="00193B53" w:rsidP="00650894">
      <w:pPr>
        <w:keepNext/>
        <w:keepLines/>
        <w:spacing w:line="360" w:lineRule="auto"/>
        <w:ind w:firstLine="1440"/>
        <w:contextualSpacing/>
        <w:rPr>
          <w:sz w:val="26"/>
          <w:szCs w:val="26"/>
        </w:rPr>
      </w:pPr>
    </w:p>
    <w:p w:rsidR="00FF4B8B" w:rsidRPr="00650894" w:rsidRDefault="002C480C" w:rsidP="00650894">
      <w:pPr>
        <w:spacing w:line="360" w:lineRule="auto"/>
        <w:ind w:firstLine="1440"/>
        <w:contextualSpacing/>
        <w:rPr>
          <w:sz w:val="26"/>
          <w:szCs w:val="26"/>
        </w:rPr>
      </w:pPr>
      <w:r w:rsidRPr="00650894">
        <w:rPr>
          <w:sz w:val="26"/>
          <w:szCs w:val="26"/>
        </w:rPr>
        <w:t xml:space="preserve">Before concluding this section, we note that neither Party excepted to any of the above rulings regarding </w:t>
      </w:r>
      <w:r w:rsidR="00544A04" w:rsidRPr="00650894">
        <w:rPr>
          <w:sz w:val="26"/>
          <w:szCs w:val="26"/>
        </w:rPr>
        <w:t>Verizon PA</w:t>
      </w:r>
      <w:r w:rsidRPr="00650894">
        <w:rPr>
          <w:sz w:val="26"/>
          <w:szCs w:val="26"/>
        </w:rPr>
        <w:t xml:space="preserve">’s affirmative defenses.  Finding them to </w:t>
      </w:r>
      <w:r w:rsidR="00CD79B1">
        <w:rPr>
          <w:sz w:val="26"/>
          <w:szCs w:val="26"/>
        </w:rPr>
        <w:t xml:space="preserve">be </w:t>
      </w:r>
      <w:r w:rsidRPr="00650894">
        <w:rPr>
          <w:sz w:val="26"/>
          <w:szCs w:val="26"/>
        </w:rPr>
        <w:t>reasonable, we shall adopt the ALJ’s rulings without further</w:t>
      </w:r>
      <w:r w:rsidR="00575CF8" w:rsidRPr="00650894">
        <w:rPr>
          <w:sz w:val="26"/>
          <w:szCs w:val="26"/>
        </w:rPr>
        <w:t xml:space="preserve"> </w:t>
      </w:r>
      <w:r w:rsidRPr="00650894">
        <w:rPr>
          <w:sz w:val="26"/>
          <w:szCs w:val="26"/>
        </w:rPr>
        <w:t>comment</w:t>
      </w:r>
      <w:r w:rsidR="00575CF8" w:rsidRPr="00650894">
        <w:rPr>
          <w:sz w:val="26"/>
          <w:szCs w:val="26"/>
        </w:rPr>
        <w:t>.</w:t>
      </w:r>
    </w:p>
    <w:p w:rsidR="0039100E" w:rsidRPr="00650894" w:rsidRDefault="0039100E" w:rsidP="00650894">
      <w:pPr>
        <w:spacing w:line="360" w:lineRule="auto"/>
        <w:ind w:firstLine="1440"/>
        <w:contextualSpacing/>
        <w:rPr>
          <w:sz w:val="26"/>
          <w:szCs w:val="26"/>
        </w:rPr>
      </w:pPr>
    </w:p>
    <w:p w:rsidR="00E503F6" w:rsidRPr="00650894" w:rsidRDefault="00896B9F" w:rsidP="002724E6">
      <w:pPr>
        <w:keepLines/>
        <w:ind w:left="720" w:hanging="720"/>
        <w:contextualSpacing/>
        <w:rPr>
          <w:b/>
          <w:sz w:val="26"/>
          <w:szCs w:val="26"/>
        </w:rPr>
      </w:pPr>
      <w:r w:rsidRPr="00650894">
        <w:rPr>
          <w:b/>
          <w:sz w:val="26"/>
          <w:szCs w:val="26"/>
        </w:rPr>
        <w:t>C</w:t>
      </w:r>
      <w:r w:rsidR="00E503F6" w:rsidRPr="00650894">
        <w:rPr>
          <w:b/>
          <w:sz w:val="26"/>
          <w:szCs w:val="26"/>
        </w:rPr>
        <w:t xml:space="preserve">. </w:t>
      </w:r>
      <w:r w:rsidR="008A0368" w:rsidRPr="00650894">
        <w:rPr>
          <w:b/>
          <w:sz w:val="26"/>
          <w:szCs w:val="26"/>
        </w:rPr>
        <w:tab/>
      </w:r>
      <w:r w:rsidR="002C480C" w:rsidRPr="00650894">
        <w:rPr>
          <w:b/>
          <w:sz w:val="26"/>
          <w:szCs w:val="26"/>
        </w:rPr>
        <w:t>Whether</w:t>
      </w:r>
      <w:r w:rsidR="00FA5E55" w:rsidRPr="00650894">
        <w:rPr>
          <w:b/>
          <w:sz w:val="26"/>
          <w:szCs w:val="26"/>
        </w:rPr>
        <w:t xml:space="preserve"> Verizon PA order</w:t>
      </w:r>
      <w:r w:rsidR="002C480C" w:rsidRPr="00650894">
        <w:rPr>
          <w:b/>
          <w:sz w:val="26"/>
          <w:szCs w:val="26"/>
        </w:rPr>
        <w:t>ed</w:t>
      </w:r>
      <w:r w:rsidR="00FA5E55" w:rsidRPr="00650894">
        <w:rPr>
          <w:b/>
          <w:sz w:val="26"/>
          <w:szCs w:val="26"/>
        </w:rPr>
        <w:t xml:space="preserve"> facilities from Core using “ASR” forms</w:t>
      </w:r>
      <w:r w:rsidR="004D141F" w:rsidRPr="00650894">
        <w:rPr>
          <w:b/>
          <w:sz w:val="26"/>
          <w:szCs w:val="26"/>
        </w:rPr>
        <w:t xml:space="preserve"> (Core Exception No. 1)</w:t>
      </w:r>
    </w:p>
    <w:p w:rsidR="00E503F6" w:rsidRPr="00650894" w:rsidRDefault="00E503F6" w:rsidP="00650894">
      <w:pPr>
        <w:keepLines/>
        <w:spacing w:line="360" w:lineRule="auto"/>
        <w:contextualSpacing/>
        <w:rPr>
          <w:sz w:val="26"/>
          <w:szCs w:val="26"/>
        </w:rPr>
      </w:pPr>
    </w:p>
    <w:p w:rsidR="00656A14" w:rsidRPr="00650894" w:rsidRDefault="00656A14" w:rsidP="002724E6">
      <w:pPr>
        <w:keepLines/>
        <w:spacing w:line="360" w:lineRule="auto"/>
        <w:ind w:left="720"/>
        <w:contextualSpacing/>
        <w:rPr>
          <w:b/>
          <w:sz w:val="26"/>
          <w:szCs w:val="26"/>
        </w:rPr>
      </w:pPr>
      <w:r w:rsidRPr="00650894">
        <w:rPr>
          <w:b/>
          <w:sz w:val="26"/>
          <w:szCs w:val="26"/>
        </w:rPr>
        <w:t>1.</w:t>
      </w:r>
      <w:r w:rsidRPr="00650894">
        <w:rPr>
          <w:b/>
          <w:sz w:val="26"/>
          <w:szCs w:val="26"/>
        </w:rPr>
        <w:tab/>
        <w:t>Positions of the Parties</w:t>
      </w:r>
    </w:p>
    <w:p w:rsidR="00656A14" w:rsidRPr="00650894" w:rsidRDefault="00656A14" w:rsidP="00650894">
      <w:pPr>
        <w:keepLines/>
        <w:spacing w:line="360" w:lineRule="auto"/>
        <w:ind w:firstLine="1440"/>
        <w:contextualSpacing/>
        <w:rPr>
          <w:sz w:val="26"/>
          <w:szCs w:val="26"/>
        </w:rPr>
      </w:pPr>
    </w:p>
    <w:p w:rsidR="00195186" w:rsidRPr="00650894" w:rsidRDefault="00935C67" w:rsidP="00650894">
      <w:pPr>
        <w:spacing w:line="360" w:lineRule="auto"/>
        <w:ind w:firstLine="1440"/>
        <w:contextualSpacing/>
        <w:rPr>
          <w:sz w:val="26"/>
          <w:szCs w:val="26"/>
        </w:rPr>
      </w:pPr>
      <w:r w:rsidRPr="00650894">
        <w:rPr>
          <w:sz w:val="26"/>
          <w:szCs w:val="26"/>
        </w:rPr>
        <w:t xml:space="preserve">Core </w:t>
      </w:r>
      <w:r w:rsidR="004E50A2" w:rsidRPr="00650894">
        <w:rPr>
          <w:sz w:val="26"/>
          <w:szCs w:val="26"/>
        </w:rPr>
        <w:t>claim</w:t>
      </w:r>
      <w:r w:rsidR="00195186" w:rsidRPr="00650894">
        <w:rPr>
          <w:sz w:val="26"/>
          <w:szCs w:val="26"/>
        </w:rPr>
        <w:t>ed that</w:t>
      </w:r>
      <w:r w:rsidR="009570B6" w:rsidRPr="00650894">
        <w:rPr>
          <w:sz w:val="26"/>
          <w:szCs w:val="26"/>
        </w:rPr>
        <w:t xml:space="preserve"> it provisioned certain interconnection facilities which were dedicated to Verizon PA’s use, in response to ASRs that Verizon PA transmitted to Core.</w:t>
      </w:r>
      <w:r w:rsidRPr="00650894">
        <w:rPr>
          <w:sz w:val="26"/>
          <w:szCs w:val="26"/>
        </w:rPr>
        <w:t xml:space="preserve">  According to Core, Verizon PA utilize</w:t>
      </w:r>
      <w:r w:rsidR="00F52F12" w:rsidRPr="00650894">
        <w:rPr>
          <w:sz w:val="26"/>
          <w:szCs w:val="26"/>
        </w:rPr>
        <w:t>d</w:t>
      </w:r>
      <w:r w:rsidRPr="00650894">
        <w:rPr>
          <w:sz w:val="26"/>
          <w:szCs w:val="26"/>
        </w:rPr>
        <w:t xml:space="preserve"> </w:t>
      </w:r>
      <w:r w:rsidR="009570B6" w:rsidRPr="00650894">
        <w:rPr>
          <w:sz w:val="26"/>
          <w:szCs w:val="26"/>
        </w:rPr>
        <w:t>such</w:t>
      </w:r>
      <w:r w:rsidRPr="00650894">
        <w:rPr>
          <w:sz w:val="26"/>
          <w:szCs w:val="26"/>
        </w:rPr>
        <w:t xml:space="preserve"> facilities to deliver Verizon PA’s originating interconnection traffic to Core’s network in Pennsylvania.  </w:t>
      </w:r>
      <w:r w:rsidR="00052BAE" w:rsidRPr="00650894">
        <w:rPr>
          <w:sz w:val="26"/>
          <w:szCs w:val="26"/>
        </w:rPr>
        <w:t xml:space="preserve">Core </w:t>
      </w:r>
      <w:r w:rsidR="00AC78C8">
        <w:rPr>
          <w:sz w:val="26"/>
          <w:szCs w:val="26"/>
        </w:rPr>
        <w:t>contended</w:t>
      </w:r>
      <w:r w:rsidR="00F52F12" w:rsidRPr="00650894">
        <w:rPr>
          <w:sz w:val="26"/>
          <w:szCs w:val="26"/>
        </w:rPr>
        <w:t xml:space="preserve"> th</w:t>
      </w:r>
      <w:r w:rsidR="00195186" w:rsidRPr="00650894">
        <w:rPr>
          <w:sz w:val="26"/>
          <w:szCs w:val="26"/>
        </w:rPr>
        <w:t xml:space="preserve">at under the </w:t>
      </w:r>
      <w:r w:rsidR="00D119A7" w:rsidRPr="00650894">
        <w:rPr>
          <w:sz w:val="26"/>
          <w:szCs w:val="26"/>
        </w:rPr>
        <w:t xml:space="preserve">Parties’ </w:t>
      </w:r>
      <w:r w:rsidR="00195186" w:rsidRPr="00650894">
        <w:rPr>
          <w:sz w:val="26"/>
          <w:szCs w:val="26"/>
        </w:rPr>
        <w:t xml:space="preserve">ICA, an ASR </w:t>
      </w:r>
      <w:r w:rsidR="00C127B8" w:rsidRPr="00650894">
        <w:rPr>
          <w:sz w:val="26"/>
          <w:szCs w:val="26"/>
        </w:rPr>
        <w:t>represents</w:t>
      </w:r>
      <w:r w:rsidR="00195186" w:rsidRPr="00650894">
        <w:rPr>
          <w:sz w:val="26"/>
          <w:szCs w:val="26"/>
        </w:rPr>
        <w:t xml:space="preserve"> the industry standard forms and supporting documentation used for ordering Access Services</w:t>
      </w:r>
      <w:r w:rsidR="00DE45E0" w:rsidRPr="00650894">
        <w:rPr>
          <w:rStyle w:val="FootnoteReference"/>
        </w:rPr>
        <w:footnoteReference w:id="7"/>
      </w:r>
      <w:r w:rsidR="00195186" w:rsidRPr="00650894">
        <w:rPr>
          <w:sz w:val="26"/>
          <w:szCs w:val="26"/>
        </w:rPr>
        <w:t xml:space="preserve"> </w:t>
      </w:r>
      <w:r w:rsidR="00CD79B1">
        <w:rPr>
          <w:sz w:val="26"/>
          <w:szCs w:val="26"/>
        </w:rPr>
        <w:t xml:space="preserve">and that the ASR may be used to order trunking and facilities between Core and Verizon PA for local interconnection. </w:t>
      </w:r>
      <w:r w:rsidR="00195186" w:rsidRPr="00650894">
        <w:rPr>
          <w:sz w:val="26"/>
          <w:szCs w:val="26"/>
        </w:rPr>
        <w:t xml:space="preserve"> </w:t>
      </w:r>
      <w:r w:rsidR="006A16A8" w:rsidRPr="00650894">
        <w:rPr>
          <w:sz w:val="26"/>
          <w:szCs w:val="26"/>
        </w:rPr>
        <w:t>In this regard, Core argued that</w:t>
      </w:r>
      <w:r w:rsidR="00195186" w:rsidRPr="00650894">
        <w:rPr>
          <w:sz w:val="26"/>
          <w:szCs w:val="26"/>
        </w:rPr>
        <w:t xml:space="preserve"> </w:t>
      </w:r>
      <w:r w:rsidR="005C0D26" w:rsidRPr="00650894">
        <w:rPr>
          <w:sz w:val="26"/>
          <w:szCs w:val="26"/>
        </w:rPr>
        <w:t xml:space="preserve">the </w:t>
      </w:r>
      <w:r w:rsidR="00195186" w:rsidRPr="00650894">
        <w:rPr>
          <w:sz w:val="26"/>
          <w:szCs w:val="26"/>
        </w:rPr>
        <w:t xml:space="preserve">ICA envisions that either or both of the Parties will submit ASRs to </w:t>
      </w:r>
      <w:r w:rsidR="00C127B8" w:rsidRPr="00650894">
        <w:rPr>
          <w:sz w:val="26"/>
          <w:szCs w:val="26"/>
        </w:rPr>
        <w:t>the</w:t>
      </w:r>
      <w:r w:rsidR="00195186" w:rsidRPr="00650894">
        <w:rPr>
          <w:sz w:val="26"/>
          <w:szCs w:val="26"/>
        </w:rPr>
        <w:t xml:space="preserve"> other</w:t>
      </w:r>
      <w:r w:rsidR="005C0D26" w:rsidRPr="00650894">
        <w:rPr>
          <w:sz w:val="26"/>
          <w:szCs w:val="26"/>
        </w:rPr>
        <w:t xml:space="preserve"> </w:t>
      </w:r>
      <w:r w:rsidR="00C127B8" w:rsidRPr="00650894">
        <w:rPr>
          <w:sz w:val="26"/>
          <w:szCs w:val="26"/>
        </w:rPr>
        <w:t xml:space="preserve">Party </w:t>
      </w:r>
      <w:r w:rsidR="005C0D26" w:rsidRPr="00650894">
        <w:rPr>
          <w:sz w:val="26"/>
          <w:szCs w:val="26"/>
        </w:rPr>
        <w:t>to</w:t>
      </w:r>
      <w:r w:rsidR="00195186" w:rsidRPr="00650894">
        <w:rPr>
          <w:sz w:val="26"/>
          <w:szCs w:val="26"/>
        </w:rPr>
        <w:t xml:space="preserve"> </w:t>
      </w:r>
      <w:r w:rsidR="006A16A8" w:rsidRPr="00650894">
        <w:rPr>
          <w:sz w:val="26"/>
          <w:szCs w:val="26"/>
        </w:rPr>
        <w:t>order interconnection trunks and the facilities needed to support those trunks</w:t>
      </w:r>
      <w:r w:rsidR="00195186" w:rsidRPr="00650894">
        <w:rPr>
          <w:sz w:val="26"/>
          <w:szCs w:val="26"/>
        </w:rPr>
        <w:t xml:space="preserve">.  Core contended that there is no provision in the ICA </w:t>
      </w:r>
      <w:r w:rsidR="002D0B2A" w:rsidRPr="00650894">
        <w:rPr>
          <w:sz w:val="26"/>
          <w:szCs w:val="26"/>
        </w:rPr>
        <w:t>that contemplates</w:t>
      </w:r>
      <w:r w:rsidR="00195186" w:rsidRPr="00650894">
        <w:rPr>
          <w:sz w:val="26"/>
          <w:szCs w:val="26"/>
        </w:rPr>
        <w:t xml:space="preserve"> one Party submitting ASRs </w:t>
      </w:r>
      <w:r w:rsidR="005C0D26" w:rsidRPr="00650894">
        <w:rPr>
          <w:sz w:val="26"/>
          <w:szCs w:val="26"/>
        </w:rPr>
        <w:t xml:space="preserve">to itself.  Therefore, Core </w:t>
      </w:r>
      <w:r w:rsidR="007B647C" w:rsidRPr="00650894">
        <w:rPr>
          <w:sz w:val="26"/>
          <w:szCs w:val="26"/>
        </w:rPr>
        <w:t>reasoned</w:t>
      </w:r>
      <w:r w:rsidR="006A16A8" w:rsidRPr="00650894">
        <w:rPr>
          <w:sz w:val="26"/>
          <w:szCs w:val="26"/>
        </w:rPr>
        <w:t xml:space="preserve"> </w:t>
      </w:r>
      <w:r w:rsidR="003A6C85" w:rsidRPr="00650894">
        <w:rPr>
          <w:sz w:val="26"/>
          <w:szCs w:val="26"/>
        </w:rPr>
        <w:t xml:space="preserve">that Verizon PA </w:t>
      </w:r>
      <w:r w:rsidR="007B647C" w:rsidRPr="00650894">
        <w:rPr>
          <w:sz w:val="26"/>
          <w:szCs w:val="26"/>
        </w:rPr>
        <w:t>submitted</w:t>
      </w:r>
      <w:r w:rsidR="00195186" w:rsidRPr="00650894">
        <w:rPr>
          <w:sz w:val="26"/>
          <w:szCs w:val="26"/>
        </w:rPr>
        <w:t xml:space="preserve"> ASRs </w:t>
      </w:r>
      <w:r w:rsidR="003A6C85" w:rsidRPr="00650894">
        <w:rPr>
          <w:sz w:val="26"/>
          <w:szCs w:val="26"/>
        </w:rPr>
        <w:t>to Core because Verizon PA needed</w:t>
      </w:r>
      <w:r w:rsidR="00195186" w:rsidRPr="00650894">
        <w:rPr>
          <w:sz w:val="26"/>
          <w:szCs w:val="26"/>
        </w:rPr>
        <w:t xml:space="preserve"> Core to deploy facilities necessary for </w:t>
      </w:r>
      <w:r w:rsidR="00B31577" w:rsidRPr="00650894">
        <w:rPr>
          <w:sz w:val="26"/>
          <w:szCs w:val="26"/>
        </w:rPr>
        <w:t>Verizon PA to interconnect with</w:t>
      </w:r>
      <w:r w:rsidR="00195186" w:rsidRPr="00650894">
        <w:rPr>
          <w:sz w:val="26"/>
          <w:szCs w:val="26"/>
        </w:rPr>
        <w:t xml:space="preserve"> Core.  Core M.B. at 6-8.</w:t>
      </w:r>
    </w:p>
    <w:p w:rsidR="00195186" w:rsidRPr="00650894" w:rsidRDefault="00195186" w:rsidP="00650894">
      <w:pPr>
        <w:spacing w:line="360" w:lineRule="auto"/>
        <w:ind w:firstLine="1440"/>
        <w:contextualSpacing/>
        <w:rPr>
          <w:sz w:val="26"/>
          <w:szCs w:val="26"/>
        </w:rPr>
      </w:pPr>
    </w:p>
    <w:p w:rsidR="00004D09" w:rsidRPr="00650894" w:rsidRDefault="00195186" w:rsidP="00650894">
      <w:pPr>
        <w:spacing w:line="360" w:lineRule="auto"/>
        <w:ind w:firstLine="1440"/>
        <w:contextualSpacing/>
        <w:rPr>
          <w:sz w:val="26"/>
          <w:szCs w:val="26"/>
        </w:rPr>
      </w:pPr>
      <w:r w:rsidRPr="00650894">
        <w:rPr>
          <w:sz w:val="26"/>
          <w:szCs w:val="26"/>
        </w:rPr>
        <w:t xml:space="preserve">In further support of its position, Core described a sample ASR </w:t>
      </w:r>
      <w:r w:rsidR="0062566A" w:rsidRPr="00650894">
        <w:rPr>
          <w:sz w:val="26"/>
          <w:szCs w:val="26"/>
        </w:rPr>
        <w:t>issued by</w:t>
      </w:r>
      <w:r w:rsidRPr="00650894">
        <w:rPr>
          <w:sz w:val="26"/>
          <w:szCs w:val="26"/>
        </w:rPr>
        <w:t xml:space="preserve"> Verizon PA to Core, </w:t>
      </w:r>
      <w:r w:rsidR="00B229EE" w:rsidRPr="00650894">
        <w:rPr>
          <w:sz w:val="26"/>
          <w:szCs w:val="26"/>
        </w:rPr>
        <w:t>which was admitted into the record as</w:t>
      </w:r>
      <w:r w:rsidR="0062566A" w:rsidRPr="00650894">
        <w:rPr>
          <w:sz w:val="26"/>
          <w:szCs w:val="26"/>
        </w:rPr>
        <w:t xml:space="preserve"> Core Exhibit N to</w:t>
      </w:r>
      <w:r w:rsidRPr="00650894">
        <w:rPr>
          <w:sz w:val="26"/>
          <w:szCs w:val="26"/>
        </w:rPr>
        <w:t xml:space="preserve"> </w:t>
      </w:r>
      <w:r w:rsidR="00B229EE" w:rsidRPr="00650894">
        <w:rPr>
          <w:sz w:val="26"/>
          <w:szCs w:val="26"/>
        </w:rPr>
        <w:t xml:space="preserve">Core’s </w:t>
      </w:r>
      <w:r w:rsidRPr="00650894">
        <w:rPr>
          <w:sz w:val="26"/>
          <w:szCs w:val="26"/>
        </w:rPr>
        <w:t>Surrebu</w:t>
      </w:r>
      <w:r w:rsidR="006639A1" w:rsidRPr="00650894">
        <w:rPr>
          <w:sz w:val="26"/>
          <w:szCs w:val="26"/>
        </w:rPr>
        <w:t>t</w:t>
      </w:r>
      <w:r w:rsidRPr="00650894">
        <w:rPr>
          <w:sz w:val="26"/>
          <w:szCs w:val="26"/>
        </w:rPr>
        <w:t>tal Testimony</w:t>
      </w:r>
      <w:r w:rsidR="0062566A" w:rsidRPr="00650894">
        <w:rPr>
          <w:sz w:val="26"/>
          <w:szCs w:val="26"/>
        </w:rPr>
        <w:t>, Core Statement 2.0</w:t>
      </w:r>
      <w:r w:rsidRPr="00650894">
        <w:rPr>
          <w:sz w:val="26"/>
          <w:szCs w:val="26"/>
        </w:rPr>
        <w:t xml:space="preserve">.  </w:t>
      </w:r>
      <w:r w:rsidR="00004D09" w:rsidRPr="00650894">
        <w:rPr>
          <w:sz w:val="26"/>
          <w:szCs w:val="26"/>
        </w:rPr>
        <w:t xml:space="preserve">Core noted that the ASRs it receives from Verizon PA usually contain, </w:t>
      </w:r>
      <w:r w:rsidR="00004D09" w:rsidRPr="00650894">
        <w:rPr>
          <w:i/>
          <w:sz w:val="26"/>
          <w:szCs w:val="26"/>
        </w:rPr>
        <w:t>inter alia,</w:t>
      </w:r>
      <w:r w:rsidR="00004D09" w:rsidRPr="00650894">
        <w:rPr>
          <w:sz w:val="26"/>
          <w:szCs w:val="26"/>
        </w:rPr>
        <w:t xml:space="preserve"> the following information:</w:t>
      </w:r>
    </w:p>
    <w:p w:rsidR="00004D09" w:rsidRPr="00650894" w:rsidRDefault="00004D09" w:rsidP="00650894">
      <w:pPr>
        <w:spacing w:line="360" w:lineRule="auto"/>
        <w:ind w:firstLine="1440"/>
        <w:contextualSpacing/>
        <w:rPr>
          <w:sz w:val="26"/>
          <w:szCs w:val="26"/>
        </w:rPr>
      </w:pPr>
    </w:p>
    <w:p w:rsidR="00195186" w:rsidRPr="00650894" w:rsidRDefault="00004D09" w:rsidP="002724E6">
      <w:pPr>
        <w:pStyle w:val="ListParagraph"/>
        <w:numPr>
          <w:ilvl w:val="0"/>
          <w:numId w:val="47"/>
        </w:numPr>
        <w:tabs>
          <w:tab w:val="left" w:pos="1440"/>
        </w:tabs>
        <w:ind w:left="1440" w:right="630" w:hanging="720"/>
        <w:rPr>
          <w:sz w:val="26"/>
          <w:szCs w:val="26"/>
        </w:rPr>
      </w:pPr>
      <w:r w:rsidRPr="00650894">
        <w:rPr>
          <w:sz w:val="26"/>
          <w:szCs w:val="26"/>
        </w:rPr>
        <w:t xml:space="preserve">A field for “BILLCON,” or billing contact field, which specifies the name and address of a </w:t>
      </w:r>
      <w:r w:rsidR="00643316">
        <w:rPr>
          <w:sz w:val="26"/>
          <w:szCs w:val="26"/>
        </w:rPr>
        <w:t>Verizon PA</w:t>
      </w:r>
      <w:r w:rsidRPr="00650894">
        <w:rPr>
          <w:sz w:val="26"/>
          <w:szCs w:val="26"/>
        </w:rPr>
        <w:t xml:space="preserve"> point of contact to which Core sends its bill.  </w:t>
      </w:r>
    </w:p>
    <w:p w:rsidR="00004D09" w:rsidRPr="00650894" w:rsidRDefault="00004D09" w:rsidP="00655F8E">
      <w:pPr>
        <w:ind w:left="360" w:firstLine="1440"/>
        <w:contextualSpacing/>
        <w:rPr>
          <w:sz w:val="26"/>
          <w:szCs w:val="26"/>
        </w:rPr>
      </w:pPr>
    </w:p>
    <w:p w:rsidR="00004D09" w:rsidRPr="00650894" w:rsidRDefault="00004D09" w:rsidP="002724E6">
      <w:pPr>
        <w:pStyle w:val="ListParagraph"/>
        <w:numPr>
          <w:ilvl w:val="0"/>
          <w:numId w:val="47"/>
        </w:numPr>
        <w:ind w:left="1440" w:right="720" w:hanging="720"/>
        <w:rPr>
          <w:sz w:val="26"/>
          <w:szCs w:val="26"/>
        </w:rPr>
      </w:pPr>
      <w:r w:rsidRPr="00650894">
        <w:rPr>
          <w:sz w:val="26"/>
          <w:szCs w:val="26"/>
        </w:rPr>
        <w:t xml:space="preserve">A “two-six code,” which identifies a specific trunk group between Verizon PA’s POI and Core’s switch </w:t>
      </w:r>
      <w:r w:rsidR="00E83F9D" w:rsidRPr="00650894">
        <w:rPr>
          <w:sz w:val="26"/>
          <w:szCs w:val="26"/>
        </w:rPr>
        <w:t>IP and</w:t>
      </w:r>
      <w:r w:rsidRPr="00650894">
        <w:rPr>
          <w:sz w:val="26"/>
          <w:szCs w:val="26"/>
        </w:rPr>
        <w:t xml:space="preserve"> identifies Core’s Switch IP by its eight-digit common language location identifier (CLLI) code in the field entitled “CSL.”</w:t>
      </w:r>
    </w:p>
    <w:p w:rsidR="00004D09" w:rsidRPr="00650894" w:rsidRDefault="00004D09" w:rsidP="002724E6">
      <w:pPr>
        <w:ind w:left="360" w:firstLine="360"/>
        <w:contextualSpacing/>
        <w:rPr>
          <w:sz w:val="26"/>
          <w:szCs w:val="26"/>
        </w:rPr>
      </w:pPr>
    </w:p>
    <w:p w:rsidR="00004D09" w:rsidRPr="00650894" w:rsidRDefault="00004D09" w:rsidP="002724E6">
      <w:pPr>
        <w:pStyle w:val="ListParagraph"/>
        <w:numPr>
          <w:ilvl w:val="0"/>
          <w:numId w:val="47"/>
        </w:numPr>
        <w:ind w:left="1440" w:right="720" w:hanging="720"/>
        <w:rPr>
          <w:sz w:val="26"/>
          <w:szCs w:val="26"/>
        </w:rPr>
      </w:pPr>
      <w:r w:rsidRPr="00650894">
        <w:rPr>
          <w:sz w:val="26"/>
          <w:szCs w:val="26"/>
        </w:rPr>
        <w:t xml:space="preserve">A “REMARKS” field in which Verizon PA provides information regarding the specific request it is making </w:t>
      </w:r>
      <w:r w:rsidR="00643316">
        <w:rPr>
          <w:sz w:val="26"/>
          <w:szCs w:val="26"/>
        </w:rPr>
        <w:t>with respect to</w:t>
      </w:r>
      <w:r w:rsidRPr="00650894">
        <w:rPr>
          <w:sz w:val="26"/>
          <w:szCs w:val="26"/>
        </w:rPr>
        <w:t xml:space="preserve"> the interconnection project.</w:t>
      </w:r>
    </w:p>
    <w:p w:rsidR="00004D09" w:rsidRPr="00650894" w:rsidRDefault="00004D09" w:rsidP="00650894">
      <w:pPr>
        <w:spacing w:line="360" w:lineRule="auto"/>
        <w:ind w:firstLine="1440"/>
        <w:contextualSpacing/>
        <w:rPr>
          <w:sz w:val="26"/>
          <w:szCs w:val="26"/>
        </w:rPr>
      </w:pPr>
    </w:p>
    <w:p w:rsidR="00004D09" w:rsidRPr="00650894" w:rsidRDefault="00004D09" w:rsidP="00650894">
      <w:pPr>
        <w:spacing w:line="360" w:lineRule="auto"/>
        <w:contextualSpacing/>
        <w:rPr>
          <w:sz w:val="26"/>
          <w:szCs w:val="26"/>
        </w:rPr>
      </w:pPr>
      <w:r w:rsidRPr="00650894">
        <w:rPr>
          <w:sz w:val="26"/>
          <w:szCs w:val="26"/>
        </w:rPr>
        <w:t>Core M.B. at 8-9 (citing Core Exh. N).</w:t>
      </w:r>
    </w:p>
    <w:p w:rsidR="00195186" w:rsidRPr="00650894" w:rsidRDefault="00195186" w:rsidP="00650894">
      <w:pPr>
        <w:spacing w:line="360" w:lineRule="auto"/>
        <w:ind w:firstLine="1440"/>
        <w:contextualSpacing/>
        <w:rPr>
          <w:sz w:val="26"/>
          <w:szCs w:val="26"/>
        </w:rPr>
      </w:pPr>
    </w:p>
    <w:p w:rsidR="002726DB" w:rsidRPr="00650894" w:rsidRDefault="00052BAE" w:rsidP="00650894">
      <w:pPr>
        <w:spacing w:line="360" w:lineRule="auto"/>
        <w:ind w:firstLine="1440"/>
        <w:contextualSpacing/>
        <w:rPr>
          <w:sz w:val="26"/>
          <w:szCs w:val="26"/>
        </w:rPr>
      </w:pPr>
      <w:r w:rsidRPr="00650894">
        <w:rPr>
          <w:sz w:val="26"/>
          <w:szCs w:val="26"/>
        </w:rPr>
        <w:t xml:space="preserve">Verizon PA countered </w:t>
      </w:r>
      <w:r w:rsidR="00F12163" w:rsidRPr="00650894">
        <w:rPr>
          <w:sz w:val="26"/>
          <w:szCs w:val="26"/>
        </w:rPr>
        <w:t xml:space="preserve">by </w:t>
      </w:r>
      <w:r w:rsidR="0085619A" w:rsidRPr="00650894">
        <w:rPr>
          <w:sz w:val="26"/>
          <w:szCs w:val="26"/>
        </w:rPr>
        <w:t>averring</w:t>
      </w:r>
      <w:r w:rsidR="00F12163" w:rsidRPr="00650894">
        <w:rPr>
          <w:sz w:val="26"/>
          <w:szCs w:val="26"/>
        </w:rPr>
        <w:t xml:space="preserve"> </w:t>
      </w:r>
      <w:r w:rsidRPr="00650894">
        <w:rPr>
          <w:sz w:val="26"/>
          <w:szCs w:val="26"/>
        </w:rPr>
        <w:t xml:space="preserve">that the ASRs </w:t>
      </w:r>
      <w:r w:rsidR="00CB12CF" w:rsidRPr="00650894">
        <w:rPr>
          <w:sz w:val="26"/>
          <w:szCs w:val="26"/>
        </w:rPr>
        <w:t xml:space="preserve">it sent to Core </w:t>
      </w:r>
      <w:r w:rsidRPr="00650894">
        <w:rPr>
          <w:sz w:val="26"/>
          <w:szCs w:val="26"/>
        </w:rPr>
        <w:t xml:space="preserve">were internal orders Verizon PA submitted to its own provisioning systems to self-provision the trunks used to carry local traffic from Verizon PA’s network to Core’s switches, and not orders to Core for </w:t>
      </w:r>
      <w:r w:rsidR="00CB12CF" w:rsidRPr="00650894">
        <w:rPr>
          <w:sz w:val="26"/>
          <w:szCs w:val="26"/>
        </w:rPr>
        <w:t>facilities</w:t>
      </w:r>
      <w:r w:rsidRPr="00650894">
        <w:rPr>
          <w:sz w:val="26"/>
          <w:szCs w:val="26"/>
        </w:rPr>
        <w:t xml:space="preserve">.  </w:t>
      </w:r>
      <w:r w:rsidR="00CB12CF" w:rsidRPr="00650894">
        <w:rPr>
          <w:sz w:val="26"/>
          <w:szCs w:val="26"/>
        </w:rPr>
        <w:t xml:space="preserve">Verizon PA asserted that since the inception of the Parties’ ICA, it has self-provisioned the trunks </w:t>
      </w:r>
      <w:r w:rsidR="00B31577" w:rsidRPr="00650894">
        <w:rPr>
          <w:sz w:val="26"/>
          <w:szCs w:val="26"/>
        </w:rPr>
        <w:t>it uses</w:t>
      </w:r>
      <w:r w:rsidR="00CB12CF" w:rsidRPr="00650894">
        <w:rPr>
          <w:sz w:val="26"/>
          <w:szCs w:val="26"/>
        </w:rPr>
        <w:t xml:space="preserve"> to carry local traffic to Core’s network for termination and</w:t>
      </w:r>
      <w:r w:rsidR="005D1D4A" w:rsidRPr="00650894">
        <w:rPr>
          <w:sz w:val="26"/>
          <w:szCs w:val="26"/>
        </w:rPr>
        <w:t xml:space="preserve"> </w:t>
      </w:r>
      <w:r w:rsidR="004E50A2" w:rsidRPr="00650894">
        <w:rPr>
          <w:sz w:val="26"/>
          <w:szCs w:val="26"/>
        </w:rPr>
        <w:t xml:space="preserve">that it </w:t>
      </w:r>
      <w:r w:rsidR="005D1D4A" w:rsidRPr="00650894">
        <w:rPr>
          <w:sz w:val="26"/>
          <w:szCs w:val="26"/>
        </w:rPr>
        <w:t>has always</w:t>
      </w:r>
      <w:r w:rsidR="00CB12CF" w:rsidRPr="00650894">
        <w:rPr>
          <w:sz w:val="26"/>
          <w:szCs w:val="26"/>
        </w:rPr>
        <w:t xml:space="preserve"> provided Core with copies of Verizon PA’s internal ASRs for those self-provisioned trunks so that Core could prepare to receive local traffic over these trunks.  </w:t>
      </w:r>
      <w:r w:rsidR="00471EFB" w:rsidRPr="00650894">
        <w:rPr>
          <w:sz w:val="26"/>
          <w:szCs w:val="26"/>
        </w:rPr>
        <w:t xml:space="preserve">Verizon PA </w:t>
      </w:r>
      <w:r w:rsidR="00F12163" w:rsidRPr="00650894">
        <w:rPr>
          <w:sz w:val="26"/>
          <w:szCs w:val="26"/>
        </w:rPr>
        <w:t>reasone</w:t>
      </w:r>
      <w:r w:rsidR="00471EFB" w:rsidRPr="00650894">
        <w:rPr>
          <w:sz w:val="26"/>
          <w:szCs w:val="26"/>
        </w:rPr>
        <w:t xml:space="preserve">d that although the ICA states that an ASR may be used </w:t>
      </w:r>
      <w:r w:rsidR="005D1D4A" w:rsidRPr="00650894">
        <w:rPr>
          <w:sz w:val="26"/>
          <w:szCs w:val="26"/>
        </w:rPr>
        <w:t xml:space="preserve">by one Party </w:t>
      </w:r>
      <w:r w:rsidR="00471EFB" w:rsidRPr="00650894">
        <w:rPr>
          <w:sz w:val="26"/>
          <w:szCs w:val="26"/>
        </w:rPr>
        <w:t xml:space="preserve">to order facilities from the other </w:t>
      </w:r>
      <w:r w:rsidR="005D1D4A" w:rsidRPr="00650894">
        <w:rPr>
          <w:sz w:val="26"/>
          <w:szCs w:val="26"/>
        </w:rPr>
        <w:t>P</w:t>
      </w:r>
      <w:r w:rsidR="00471EFB" w:rsidRPr="00650894">
        <w:rPr>
          <w:sz w:val="26"/>
          <w:szCs w:val="26"/>
        </w:rPr>
        <w:t>arty, this is not the only pe</w:t>
      </w:r>
      <w:r w:rsidR="00F8229E" w:rsidRPr="00650894">
        <w:rPr>
          <w:sz w:val="26"/>
          <w:szCs w:val="26"/>
        </w:rPr>
        <w:t xml:space="preserve">rmissible use of an ASR.  Verizon PA </w:t>
      </w:r>
      <w:r w:rsidR="005C0D26" w:rsidRPr="00650894">
        <w:rPr>
          <w:sz w:val="26"/>
          <w:szCs w:val="26"/>
        </w:rPr>
        <w:t>emphasized</w:t>
      </w:r>
      <w:r w:rsidR="00F8229E" w:rsidRPr="00650894">
        <w:rPr>
          <w:sz w:val="26"/>
          <w:szCs w:val="26"/>
        </w:rPr>
        <w:t xml:space="preserve"> that Core did not point to any provision of the ICA which prohibits Verizon PA from using internal ASRs to submit self-provisioned trunk orders.  </w:t>
      </w:r>
      <w:r w:rsidR="00CB12CF" w:rsidRPr="00650894">
        <w:rPr>
          <w:sz w:val="26"/>
          <w:szCs w:val="26"/>
        </w:rPr>
        <w:t xml:space="preserve">Verizon PA </w:t>
      </w:r>
      <w:r w:rsidR="00471EFB" w:rsidRPr="00650894">
        <w:rPr>
          <w:sz w:val="26"/>
          <w:szCs w:val="26"/>
        </w:rPr>
        <w:t xml:space="preserve">also </w:t>
      </w:r>
      <w:r w:rsidR="00CB12CF" w:rsidRPr="00650894">
        <w:rPr>
          <w:sz w:val="26"/>
          <w:szCs w:val="26"/>
        </w:rPr>
        <w:t xml:space="preserve">noted that </w:t>
      </w:r>
      <w:r w:rsidR="00F043F1" w:rsidRPr="00650894">
        <w:rPr>
          <w:sz w:val="26"/>
          <w:szCs w:val="26"/>
        </w:rPr>
        <w:t xml:space="preserve">Core disregarded that </w:t>
      </w:r>
      <w:r w:rsidR="00CB12CF" w:rsidRPr="00650894">
        <w:rPr>
          <w:sz w:val="26"/>
          <w:szCs w:val="26"/>
        </w:rPr>
        <w:t xml:space="preserve">in the </w:t>
      </w:r>
      <w:r w:rsidR="00CB12CF" w:rsidRPr="00650894">
        <w:rPr>
          <w:i/>
          <w:sz w:val="26"/>
          <w:szCs w:val="26"/>
        </w:rPr>
        <w:t>CoreTel-Verizon VA Order</w:t>
      </w:r>
      <w:r w:rsidR="00CB12CF" w:rsidRPr="00650894">
        <w:rPr>
          <w:sz w:val="26"/>
          <w:szCs w:val="26"/>
        </w:rPr>
        <w:t>, the Fourth Circuit rejected CoreTel Virginia’s argument that Verizon Virginia’s ASRs</w:t>
      </w:r>
      <w:r w:rsidR="002B233F" w:rsidRPr="00650894">
        <w:rPr>
          <w:sz w:val="26"/>
          <w:szCs w:val="26"/>
        </w:rPr>
        <w:t xml:space="preserve"> </w:t>
      </w:r>
      <w:r w:rsidR="002726DB" w:rsidRPr="00650894">
        <w:rPr>
          <w:sz w:val="26"/>
          <w:szCs w:val="26"/>
        </w:rPr>
        <w:t>constituted orders for facilities from CoreTel Virginia.  Verizon PA contended that the factual record in the instant case supports the same resu</w:t>
      </w:r>
      <w:r w:rsidR="00471EFB" w:rsidRPr="00650894">
        <w:rPr>
          <w:sz w:val="26"/>
          <w:szCs w:val="26"/>
        </w:rPr>
        <w:t xml:space="preserve">lt.  </w:t>
      </w:r>
      <w:r w:rsidR="002726DB" w:rsidRPr="00650894">
        <w:rPr>
          <w:sz w:val="26"/>
          <w:szCs w:val="26"/>
        </w:rPr>
        <w:t>Verizon PA R.B. at 3-5</w:t>
      </w:r>
      <w:r w:rsidR="00F8229E" w:rsidRPr="00650894">
        <w:rPr>
          <w:sz w:val="26"/>
          <w:szCs w:val="26"/>
        </w:rPr>
        <w:t>, 7-8</w:t>
      </w:r>
      <w:r w:rsidR="002726DB" w:rsidRPr="00650894">
        <w:rPr>
          <w:sz w:val="26"/>
          <w:szCs w:val="26"/>
        </w:rPr>
        <w:t>.</w:t>
      </w:r>
    </w:p>
    <w:p w:rsidR="002726DB" w:rsidRPr="00650894" w:rsidRDefault="002726DB" w:rsidP="00650894">
      <w:pPr>
        <w:spacing w:line="360" w:lineRule="auto"/>
        <w:contextualSpacing/>
        <w:rPr>
          <w:sz w:val="26"/>
          <w:szCs w:val="26"/>
        </w:rPr>
      </w:pPr>
    </w:p>
    <w:p w:rsidR="00656A14" w:rsidRPr="00650894" w:rsidRDefault="008463AB" w:rsidP="00650894">
      <w:pPr>
        <w:spacing w:line="360" w:lineRule="auto"/>
        <w:ind w:firstLine="1440"/>
        <w:contextualSpacing/>
        <w:rPr>
          <w:sz w:val="26"/>
          <w:szCs w:val="26"/>
        </w:rPr>
      </w:pPr>
      <w:r w:rsidRPr="00650894">
        <w:rPr>
          <w:sz w:val="26"/>
          <w:szCs w:val="26"/>
        </w:rPr>
        <w:t xml:space="preserve">Verizon PA also refuted Core’s description of the </w:t>
      </w:r>
      <w:r w:rsidR="002726DB" w:rsidRPr="00650894">
        <w:rPr>
          <w:sz w:val="26"/>
          <w:szCs w:val="26"/>
        </w:rPr>
        <w:t>sample ASR</w:t>
      </w:r>
      <w:r w:rsidRPr="00650894">
        <w:rPr>
          <w:sz w:val="26"/>
          <w:szCs w:val="26"/>
        </w:rPr>
        <w:t xml:space="preserve"> it provided as Core Exhibit N.  </w:t>
      </w:r>
      <w:r w:rsidR="00792EC3" w:rsidRPr="00650894">
        <w:rPr>
          <w:sz w:val="26"/>
          <w:szCs w:val="26"/>
        </w:rPr>
        <w:t>More specifically</w:t>
      </w:r>
      <w:r w:rsidRPr="00650894">
        <w:rPr>
          <w:sz w:val="26"/>
          <w:szCs w:val="26"/>
        </w:rPr>
        <w:t xml:space="preserve">, </w:t>
      </w:r>
      <w:r w:rsidR="002726DB" w:rsidRPr="00650894">
        <w:rPr>
          <w:sz w:val="26"/>
          <w:szCs w:val="26"/>
        </w:rPr>
        <w:t xml:space="preserve">Verizon PA submitted that the “REMARKS” field of the ASR </w:t>
      </w:r>
      <w:r w:rsidRPr="00650894">
        <w:rPr>
          <w:sz w:val="26"/>
          <w:szCs w:val="26"/>
        </w:rPr>
        <w:t>indicates</w:t>
      </w:r>
      <w:r w:rsidR="001E6730" w:rsidRPr="00650894">
        <w:rPr>
          <w:sz w:val="26"/>
          <w:szCs w:val="26"/>
        </w:rPr>
        <w:t xml:space="preserve"> that the ASR </w:t>
      </w:r>
      <w:r w:rsidR="0085619A" w:rsidRPr="00650894">
        <w:rPr>
          <w:sz w:val="26"/>
          <w:szCs w:val="26"/>
        </w:rPr>
        <w:t>is</w:t>
      </w:r>
      <w:r w:rsidR="002726DB" w:rsidRPr="00650894">
        <w:rPr>
          <w:sz w:val="26"/>
          <w:szCs w:val="26"/>
        </w:rPr>
        <w:t xml:space="preserve"> a Verizon PA order, placed via Verizon PA’s own provisioning system, for a set of new self-provisioned trunks to ride on Verizon PA’s self-provisioned DS3s that it installed to carry local traffic to Core.  Verizon PA also </w:t>
      </w:r>
      <w:r w:rsidR="00471EFB" w:rsidRPr="00650894">
        <w:rPr>
          <w:sz w:val="26"/>
          <w:szCs w:val="26"/>
        </w:rPr>
        <w:t>asserted</w:t>
      </w:r>
      <w:r w:rsidR="002726DB" w:rsidRPr="00650894">
        <w:rPr>
          <w:sz w:val="26"/>
          <w:szCs w:val="26"/>
        </w:rPr>
        <w:t xml:space="preserve"> that the</w:t>
      </w:r>
      <w:r w:rsidR="00471EFB" w:rsidRPr="00650894">
        <w:rPr>
          <w:sz w:val="26"/>
          <w:szCs w:val="26"/>
        </w:rPr>
        <w:t xml:space="preserve"> Billing Account Number (BAN)</w:t>
      </w:r>
      <w:r w:rsidR="002726DB" w:rsidRPr="00650894">
        <w:rPr>
          <w:sz w:val="26"/>
          <w:szCs w:val="26"/>
        </w:rPr>
        <w:t>,</w:t>
      </w:r>
      <w:r w:rsidR="00471EFB" w:rsidRPr="00650894">
        <w:rPr>
          <w:sz w:val="26"/>
          <w:szCs w:val="26"/>
        </w:rPr>
        <w:t xml:space="preserve"> listed in the “ADMINISTRATIVE SECTION”</w:t>
      </w:r>
      <w:r w:rsidR="002726DB" w:rsidRPr="00650894">
        <w:rPr>
          <w:sz w:val="26"/>
          <w:szCs w:val="26"/>
        </w:rPr>
        <w:t xml:space="preserve"> </w:t>
      </w:r>
      <w:r w:rsidR="000F4094" w:rsidRPr="00650894">
        <w:rPr>
          <w:sz w:val="26"/>
          <w:szCs w:val="26"/>
        </w:rPr>
        <w:t>of the ASR as 215-</w:t>
      </w:r>
      <w:r w:rsidR="00471EFB" w:rsidRPr="00650894">
        <w:rPr>
          <w:sz w:val="26"/>
          <w:szCs w:val="26"/>
        </w:rPr>
        <w:t>Y99-9999, was included to prevent Verizon PA’s carrier access billing system</w:t>
      </w:r>
      <w:r w:rsidR="00652AFC" w:rsidRPr="00650894">
        <w:rPr>
          <w:sz w:val="26"/>
          <w:szCs w:val="26"/>
        </w:rPr>
        <w:t xml:space="preserve"> (CABS)</w:t>
      </w:r>
      <w:r w:rsidR="00471EFB" w:rsidRPr="00650894">
        <w:rPr>
          <w:sz w:val="26"/>
          <w:szCs w:val="26"/>
        </w:rPr>
        <w:t xml:space="preserve"> from generating bills to Verizon PA, further confirming that the ASR was not an order to Core</w:t>
      </w:r>
      <w:r w:rsidR="004E50A2" w:rsidRPr="00650894">
        <w:rPr>
          <w:sz w:val="26"/>
          <w:szCs w:val="26"/>
        </w:rPr>
        <w:t xml:space="preserve"> requesting that Core provision facilities</w:t>
      </w:r>
      <w:r w:rsidR="00471EFB" w:rsidRPr="00650894">
        <w:rPr>
          <w:sz w:val="26"/>
          <w:szCs w:val="26"/>
        </w:rPr>
        <w:t xml:space="preserve">, but an internal Verizon PA order for self-provisioned facilities.  Additionally, Verizon PA averred that the “BILLCON” field of the ASR was not a directive for Core to bill </w:t>
      </w:r>
      <w:r w:rsidR="00652AFC" w:rsidRPr="00650894">
        <w:rPr>
          <w:sz w:val="26"/>
          <w:szCs w:val="26"/>
        </w:rPr>
        <w:t>Verizon </w:t>
      </w:r>
      <w:r w:rsidR="00471EFB" w:rsidRPr="00650894">
        <w:rPr>
          <w:sz w:val="26"/>
          <w:szCs w:val="26"/>
        </w:rPr>
        <w:t xml:space="preserve">PA the disputed charges.  Instead, Verizon PA argued that the Alliance of Telecommunications Industry Solutions (ATIS) service ordering guidelines mandate that every ASR contain a billing contact in the “BILLING INFORMATION” field so that if charges are appropriate, the billing party knows where to send the invoice.  Verizon PA argued that </w:t>
      </w:r>
      <w:r w:rsidR="00F8229E" w:rsidRPr="00650894">
        <w:rPr>
          <w:sz w:val="26"/>
          <w:szCs w:val="26"/>
        </w:rPr>
        <w:t>because it self-provisioned its own facilities</w:t>
      </w:r>
      <w:r w:rsidR="0024004E" w:rsidRPr="00650894">
        <w:rPr>
          <w:sz w:val="26"/>
          <w:szCs w:val="26"/>
        </w:rPr>
        <w:t xml:space="preserve"> at its own expense</w:t>
      </w:r>
      <w:r w:rsidR="00F8229E" w:rsidRPr="00650894">
        <w:rPr>
          <w:sz w:val="26"/>
          <w:szCs w:val="26"/>
        </w:rPr>
        <w:t>, charges were not appropr</w:t>
      </w:r>
      <w:r w:rsidR="00657E2B" w:rsidRPr="00650894">
        <w:rPr>
          <w:sz w:val="26"/>
          <w:szCs w:val="26"/>
        </w:rPr>
        <w:t>iate in this case.  Verizon PA R</w:t>
      </w:r>
      <w:r w:rsidR="00F8229E" w:rsidRPr="00650894">
        <w:rPr>
          <w:sz w:val="26"/>
          <w:szCs w:val="26"/>
        </w:rPr>
        <w:t>.B. at 5-6.</w:t>
      </w:r>
    </w:p>
    <w:p w:rsidR="00656A14" w:rsidRPr="00650894" w:rsidRDefault="00656A14" w:rsidP="00650894">
      <w:pPr>
        <w:spacing w:line="360" w:lineRule="auto"/>
        <w:ind w:firstLine="1440"/>
        <w:contextualSpacing/>
        <w:rPr>
          <w:sz w:val="26"/>
          <w:szCs w:val="26"/>
        </w:rPr>
      </w:pPr>
    </w:p>
    <w:p w:rsidR="00656A14" w:rsidRPr="00650894" w:rsidRDefault="00656A14" w:rsidP="007B3994">
      <w:pPr>
        <w:keepNext/>
        <w:keepLines/>
        <w:spacing w:line="360" w:lineRule="auto"/>
        <w:ind w:left="720"/>
        <w:contextualSpacing/>
        <w:rPr>
          <w:b/>
          <w:sz w:val="26"/>
          <w:szCs w:val="26"/>
        </w:rPr>
      </w:pPr>
      <w:bookmarkStart w:id="2" w:name="_Hlk512241170"/>
      <w:r w:rsidRPr="00650894">
        <w:rPr>
          <w:b/>
          <w:sz w:val="26"/>
          <w:szCs w:val="26"/>
        </w:rPr>
        <w:t>2.</w:t>
      </w:r>
      <w:r w:rsidRPr="00650894">
        <w:rPr>
          <w:b/>
          <w:sz w:val="26"/>
          <w:szCs w:val="26"/>
        </w:rPr>
        <w:tab/>
        <w:t>ALJ Recommendation</w:t>
      </w:r>
    </w:p>
    <w:p w:rsidR="00656A14" w:rsidRPr="00650894" w:rsidRDefault="00656A14" w:rsidP="00650894">
      <w:pPr>
        <w:keepNext/>
        <w:keepLines/>
        <w:spacing w:line="360" w:lineRule="auto"/>
        <w:ind w:firstLine="1440"/>
        <w:contextualSpacing/>
        <w:rPr>
          <w:sz w:val="26"/>
          <w:szCs w:val="26"/>
        </w:rPr>
      </w:pPr>
    </w:p>
    <w:p w:rsidR="00656A14" w:rsidRPr="00650894" w:rsidRDefault="00667AD3" w:rsidP="00650894">
      <w:pPr>
        <w:spacing w:line="360" w:lineRule="auto"/>
        <w:ind w:firstLine="1440"/>
        <w:contextualSpacing/>
        <w:rPr>
          <w:sz w:val="26"/>
          <w:szCs w:val="26"/>
        </w:rPr>
      </w:pPr>
      <w:r w:rsidRPr="00650894">
        <w:rPr>
          <w:sz w:val="26"/>
          <w:szCs w:val="26"/>
        </w:rPr>
        <w:t xml:space="preserve">The ALJ found that </w:t>
      </w:r>
      <w:r w:rsidR="00CE25C8" w:rsidRPr="00650894">
        <w:rPr>
          <w:sz w:val="26"/>
          <w:szCs w:val="26"/>
        </w:rPr>
        <w:t>although</w:t>
      </w:r>
      <w:r w:rsidRPr="00650894">
        <w:rPr>
          <w:sz w:val="26"/>
          <w:szCs w:val="26"/>
        </w:rPr>
        <w:t xml:space="preserve"> the ICA contemplates</w:t>
      </w:r>
      <w:r w:rsidR="00CE25C8" w:rsidRPr="00650894">
        <w:rPr>
          <w:sz w:val="26"/>
          <w:szCs w:val="26"/>
        </w:rPr>
        <w:t xml:space="preserve"> and sets forth guidelines for</w:t>
      </w:r>
      <w:r w:rsidRPr="00650894">
        <w:rPr>
          <w:sz w:val="26"/>
          <w:szCs w:val="26"/>
        </w:rPr>
        <w:t xml:space="preserve"> the use of ASRs between the Parties, it does not prohibit Verizon PA from issuing ASRs to its own provisioning system to self-provision the facilities used to terminate local traffic to Core.  Conversely, the ALJ found that the ICA does not permit Core to bill Verizon PA for facilities based on Verizon PA’s internal ASRs for the engineering of </w:t>
      </w:r>
      <w:r w:rsidR="00121931" w:rsidRPr="00650894">
        <w:rPr>
          <w:sz w:val="26"/>
          <w:szCs w:val="26"/>
        </w:rPr>
        <w:t>Verizon PA’</w:t>
      </w:r>
      <w:r w:rsidRPr="00650894">
        <w:rPr>
          <w:sz w:val="26"/>
          <w:szCs w:val="26"/>
        </w:rPr>
        <w:t xml:space="preserve">s own network.  As such, the ALJ ruled that the ASRs Verizon PA submitted to Core </w:t>
      </w:r>
      <w:r w:rsidR="00CE25C8" w:rsidRPr="00650894">
        <w:rPr>
          <w:sz w:val="26"/>
          <w:szCs w:val="26"/>
        </w:rPr>
        <w:t>were copies of the ASRs</w:t>
      </w:r>
      <w:r w:rsidR="00A6195E" w:rsidRPr="00650894">
        <w:rPr>
          <w:sz w:val="26"/>
          <w:szCs w:val="26"/>
        </w:rPr>
        <w:t xml:space="preserve"> </w:t>
      </w:r>
      <w:r w:rsidR="00DD50DC" w:rsidRPr="00650894">
        <w:rPr>
          <w:sz w:val="26"/>
          <w:szCs w:val="26"/>
        </w:rPr>
        <w:t>that Verizon PA</w:t>
      </w:r>
      <w:r w:rsidR="00A6195E" w:rsidRPr="00650894">
        <w:rPr>
          <w:sz w:val="26"/>
          <w:szCs w:val="26"/>
        </w:rPr>
        <w:t xml:space="preserve"> sent to itself internally and </w:t>
      </w:r>
      <w:r w:rsidRPr="00650894">
        <w:rPr>
          <w:sz w:val="26"/>
          <w:szCs w:val="26"/>
        </w:rPr>
        <w:t>did not constitute orders for service from Core.  I.D. at 34-36.</w:t>
      </w:r>
    </w:p>
    <w:p w:rsidR="00656A14" w:rsidRPr="00650894" w:rsidRDefault="00656A14" w:rsidP="00650894">
      <w:pPr>
        <w:spacing w:line="360" w:lineRule="auto"/>
        <w:ind w:firstLine="1440"/>
        <w:contextualSpacing/>
        <w:rPr>
          <w:sz w:val="26"/>
          <w:szCs w:val="26"/>
        </w:rPr>
      </w:pPr>
    </w:p>
    <w:p w:rsidR="00CD4575" w:rsidRPr="00650894" w:rsidRDefault="00656A14" w:rsidP="007B3994">
      <w:pPr>
        <w:keepNext/>
        <w:keepLines/>
        <w:spacing w:line="360" w:lineRule="auto"/>
        <w:ind w:left="720"/>
        <w:contextualSpacing/>
        <w:rPr>
          <w:sz w:val="26"/>
          <w:szCs w:val="26"/>
        </w:rPr>
      </w:pPr>
      <w:r w:rsidRPr="00650894">
        <w:rPr>
          <w:b/>
          <w:sz w:val="26"/>
          <w:szCs w:val="26"/>
        </w:rPr>
        <w:t>3</w:t>
      </w:r>
      <w:r w:rsidR="00CD4575" w:rsidRPr="00650894">
        <w:rPr>
          <w:b/>
          <w:sz w:val="26"/>
          <w:szCs w:val="26"/>
        </w:rPr>
        <w:t>.</w:t>
      </w:r>
      <w:r w:rsidR="00CD4575" w:rsidRPr="00650894">
        <w:rPr>
          <w:b/>
          <w:sz w:val="26"/>
          <w:szCs w:val="26"/>
        </w:rPr>
        <w:tab/>
        <w:t>Core’s Exceptions</w:t>
      </w:r>
    </w:p>
    <w:p w:rsidR="003D0354" w:rsidRPr="00650894" w:rsidRDefault="003D0354" w:rsidP="00650894">
      <w:pPr>
        <w:keepNext/>
        <w:keepLines/>
        <w:spacing w:line="360" w:lineRule="auto"/>
        <w:ind w:firstLine="1440"/>
        <w:contextualSpacing/>
        <w:rPr>
          <w:sz w:val="26"/>
          <w:szCs w:val="26"/>
        </w:rPr>
      </w:pPr>
    </w:p>
    <w:p w:rsidR="00C17678" w:rsidRPr="00650894" w:rsidRDefault="0055456C" w:rsidP="00650894">
      <w:pPr>
        <w:spacing w:line="360" w:lineRule="auto"/>
        <w:ind w:firstLine="1440"/>
        <w:contextualSpacing/>
        <w:rPr>
          <w:sz w:val="26"/>
          <w:szCs w:val="26"/>
        </w:rPr>
      </w:pPr>
      <w:r w:rsidRPr="00650894">
        <w:rPr>
          <w:sz w:val="26"/>
          <w:szCs w:val="26"/>
        </w:rPr>
        <w:t xml:space="preserve">In its Exceptions, Core </w:t>
      </w:r>
      <w:r w:rsidR="00CE25C8" w:rsidRPr="00650894">
        <w:rPr>
          <w:sz w:val="26"/>
          <w:szCs w:val="26"/>
        </w:rPr>
        <w:t>contends that</w:t>
      </w:r>
      <w:r w:rsidRPr="00650894">
        <w:rPr>
          <w:sz w:val="26"/>
          <w:szCs w:val="26"/>
        </w:rPr>
        <w:t xml:space="preserve"> contrary to the ALJ’s ruling, </w:t>
      </w:r>
      <w:r w:rsidR="002C4A57" w:rsidRPr="00650894">
        <w:rPr>
          <w:sz w:val="26"/>
          <w:szCs w:val="26"/>
        </w:rPr>
        <w:t>Verizon </w:t>
      </w:r>
      <w:r w:rsidRPr="00650894">
        <w:rPr>
          <w:sz w:val="26"/>
          <w:szCs w:val="26"/>
        </w:rPr>
        <w:t xml:space="preserve">PA ordered facilities from Core using ASR forms, as outlined in the ICA. </w:t>
      </w:r>
      <w:r w:rsidR="001E656E" w:rsidRPr="00650894">
        <w:rPr>
          <w:sz w:val="26"/>
          <w:szCs w:val="26"/>
        </w:rPr>
        <w:t xml:space="preserve"> According to Core, the plain terms of the ICA</w:t>
      </w:r>
      <w:r w:rsidR="00763DFB" w:rsidRPr="00650894">
        <w:rPr>
          <w:sz w:val="26"/>
          <w:szCs w:val="26"/>
        </w:rPr>
        <w:t>, as set forth in Part B and in Attachment IV, Sections 4.3.1 and 4.3.2,</w:t>
      </w:r>
      <w:r w:rsidR="001E656E" w:rsidRPr="00650894">
        <w:rPr>
          <w:sz w:val="26"/>
          <w:szCs w:val="26"/>
        </w:rPr>
        <w:t xml:space="preserve"> state that an ASR may be used to order trunking and facilities between Core and Verizon PA for local interconnection and that orders between the Parties to establish, add, change, or disconne</w:t>
      </w:r>
      <w:r w:rsidR="005D1D4A" w:rsidRPr="00650894">
        <w:rPr>
          <w:sz w:val="26"/>
          <w:szCs w:val="26"/>
        </w:rPr>
        <w:t xml:space="preserve">ct trunks shall be processed </w:t>
      </w:r>
      <w:r w:rsidR="001E656E" w:rsidRPr="00650894">
        <w:rPr>
          <w:sz w:val="26"/>
          <w:szCs w:val="26"/>
        </w:rPr>
        <w:t xml:space="preserve">using an ASR.  </w:t>
      </w:r>
      <w:r w:rsidR="00A6195E" w:rsidRPr="00650894">
        <w:rPr>
          <w:sz w:val="26"/>
          <w:szCs w:val="26"/>
        </w:rPr>
        <w:t xml:space="preserve">Core asserts that there is no question that Verizon PA ordered trunking from Core and submitted ASRs to Core.  Therefore, Core </w:t>
      </w:r>
      <w:r w:rsidR="00763DFB" w:rsidRPr="00650894">
        <w:rPr>
          <w:sz w:val="26"/>
          <w:szCs w:val="26"/>
        </w:rPr>
        <w:t xml:space="preserve">reasons </w:t>
      </w:r>
      <w:r w:rsidR="00A6195E" w:rsidRPr="00650894">
        <w:rPr>
          <w:sz w:val="26"/>
          <w:szCs w:val="26"/>
        </w:rPr>
        <w:t xml:space="preserve">that it simply billed Verizon PA based on these ASRs.  </w:t>
      </w:r>
      <w:r w:rsidR="00C17678" w:rsidRPr="00650894">
        <w:rPr>
          <w:sz w:val="26"/>
          <w:szCs w:val="26"/>
        </w:rPr>
        <w:t>Core Exc. at 4-</w:t>
      </w:r>
      <w:r w:rsidR="00AA5D17" w:rsidRPr="00650894">
        <w:rPr>
          <w:sz w:val="26"/>
          <w:szCs w:val="26"/>
        </w:rPr>
        <w:t>6</w:t>
      </w:r>
      <w:r w:rsidR="00C17678" w:rsidRPr="00650894">
        <w:rPr>
          <w:sz w:val="26"/>
          <w:szCs w:val="26"/>
        </w:rPr>
        <w:t>.</w:t>
      </w:r>
    </w:p>
    <w:p w:rsidR="00C17678" w:rsidRPr="00650894" w:rsidRDefault="00C17678" w:rsidP="00650894">
      <w:pPr>
        <w:spacing w:line="360" w:lineRule="auto"/>
        <w:ind w:firstLine="1440"/>
        <w:contextualSpacing/>
        <w:rPr>
          <w:sz w:val="26"/>
          <w:szCs w:val="26"/>
        </w:rPr>
      </w:pPr>
    </w:p>
    <w:p w:rsidR="005E066D" w:rsidRPr="00650894" w:rsidRDefault="00A6195E" w:rsidP="00650894">
      <w:pPr>
        <w:spacing w:line="360" w:lineRule="auto"/>
        <w:ind w:firstLine="1440"/>
        <w:contextualSpacing/>
        <w:rPr>
          <w:sz w:val="26"/>
          <w:szCs w:val="26"/>
        </w:rPr>
      </w:pPr>
      <w:r w:rsidRPr="00650894">
        <w:rPr>
          <w:sz w:val="26"/>
          <w:szCs w:val="26"/>
        </w:rPr>
        <w:t xml:space="preserve">Core </w:t>
      </w:r>
      <w:r w:rsidR="00C17678" w:rsidRPr="00650894">
        <w:rPr>
          <w:sz w:val="26"/>
          <w:szCs w:val="26"/>
        </w:rPr>
        <w:t xml:space="preserve">also </w:t>
      </w:r>
      <w:r w:rsidRPr="00650894">
        <w:rPr>
          <w:sz w:val="26"/>
          <w:szCs w:val="26"/>
        </w:rPr>
        <w:t xml:space="preserve">submits that </w:t>
      </w:r>
      <w:r w:rsidR="005E066D" w:rsidRPr="00650894">
        <w:rPr>
          <w:sz w:val="26"/>
          <w:szCs w:val="26"/>
        </w:rPr>
        <w:t xml:space="preserve">although the ICA does not </w:t>
      </w:r>
      <w:r w:rsidR="00CE25C8" w:rsidRPr="00650894">
        <w:rPr>
          <w:sz w:val="26"/>
          <w:szCs w:val="26"/>
        </w:rPr>
        <w:t xml:space="preserve">technically </w:t>
      </w:r>
      <w:r w:rsidR="005E066D" w:rsidRPr="00650894">
        <w:rPr>
          <w:sz w:val="26"/>
          <w:szCs w:val="26"/>
        </w:rPr>
        <w:t>prohibit Verizon PA from using ASRs as an internal mechanism to self-provision facilities, a plainer reading of the ICA indicates that when one party submits an ASR to the other party</w:t>
      </w:r>
      <w:r w:rsidR="00D53A5D" w:rsidRPr="00650894">
        <w:rPr>
          <w:sz w:val="26"/>
          <w:szCs w:val="26"/>
        </w:rPr>
        <w:t xml:space="preserve"> and</w:t>
      </w:r>
      <w:r w:rsidR="005E066D" w:rsidRPr="00650894">
        <w:rPr>
          <w:sz w:val="26"/>
          <w:szCs w:val="26"/>
        </w:rPr>
        <w:t xml:space="preserve"> requests a </w:t>
      </w:r>
      <w:r w:rsidR="00883ABA" w:rsidRPr="00650894">
        <w:rPr>
          <w:sz w:val="26"/>
          <w:szCs w:val="26"/>
        </w:rPr>
        <w:t xml:space="preserve">firm order </w:t>
      </w:r>
      <w:r w:rsidR="0058654C" w:rsidRPr="00650894">
        <w:rPr>
          <w:sz w:val="26"/>
          <w:szCs w:val="26"/>
        </w:rPr>
        <w:t>confirmation</w:t>
      </w:r>
      <w:r w:rsidR="00883ABA" w:rsidRPr="00650894">
        <w:rPr>
          <w:sz w:val="26"/>
          <w:szCs w:val="26"/>
        </w:rPr>
        <w:t xml:space="preserve"> (FOC)</w:t>
      </w:r>
      <w:r w:rsidR="005E066D" w:rsidRPr="00650894">
        <w:rPr>
          <w:sz w:val="26"/>
          <w:szCs w:val="26"/>
        </w:rPr>
        <w:t xml:space="preserve"> date, and having received that FOC, sends a confirmation back to the other party, the first party has ordered service.</w:t>
      </w:r>
      <w:r w:rsidR="0024772F" w:rsidRPr="00650894">
        <w:rPr>
          <w:sz w:val="26"/>
          <w:szCs w:val="26"/>
        </w:rPr>
        <w:t xml:space="preserve">  Nonetheless, Core submits that Verizon PA’s intent with respect to ASRs it sent Core does not determine Verizon PA’s financial obligations when it actually uses those facilities.  Core Exc. at 7.</w:t>
      </w:r>
    </w:p>
    <w:p w:rsidR="00252168" w:rsidRPr="00650894" w:rsidRDefault="00252168" w:rsidP="00650894">
      <w:pPr>
        <w:spacing w:line="360" w:lineRule="auto"/>
        <w:ind w:firstLine="1440"/>
        <w:contextualSpacing/>
        <w:rPr>
          <w:sz w:val="26"/>
          <w:szCs w:val="26"/>
        </w:rPr>
      </w:pPr>
    </w:p>
    <w:p w:rsidR="00CD4575" w:rsidRPr="00650894" w:rsidRDefault="00656A14" w:rsidP="007E44C8">
      <w:pPr>
        <w:keepLines/>
        <w:spacing w:line="360" w:lineRule="auto"/>
        <w:ind w:left="720"/>
        <w:contextualSpacing/>
        <w:rPr>
          <w:b/>
          <w:sz w:val="26"/>
          <w:szCs w:val="26"/>
        </w:rPr>
      </w:pPr>
      <w:r w:rsidRPr="00650894">
        <w:rPr>
          <w:b/>
          <w:sz w:val="26"/>
          <w:szCs w:val="26"/>
        </w:rPr>
        <w:t>4</w:t>
      </w:r>
      <w:r w:rsidR="00CD4575" w:rsidRPr="00650894">
        <w:rPr>
          <w:b/>
          <w:sz w:val="26"/>
          <w:szCs w:val="26"/>
        </w:rPr>
        <w:t>.</w:t>
      </w:r>
      <w:r w:rsidR="00CD4575" w:rsidRPr="00650894">
        <w:rPr>
          <w:b/>
          <w:sz w:val="26"/>
          <w:szCs w:val="26"/>
        </w:rPr>
        <w:tab/>
      </w:r>
      <w:r w:rsidR="00E04731" w:rsidRPr="00650894">
        <w:rPr>
          <w:b/>
          <w:sz w:val="26"/>
          <w:szCs w:val="26"/>
        </w:rPr>
        <w:t>Verizon PA’s Reply Exceptions</w:t>
      </w:r>
    </w:p>
    <w:p w:rsidR="00CD4575" w:rsidRPr="00650894" w:rsidRDefault="00CD4575" w:rsidP="00650894">
      <w:pPr>
        <w:keepLines/>
        <w:spacing w:line="360" w:lineRule="auto"/>
        <w:ind w:firstLine="1440"/>
        <w:contextualSpacing/>
        <w:rPr>
          <w:sz w:val="26"/>
          <w:szCs w:val="26"/>
        </w:rPr>
      </w:pPr>
    </w:p>
    <w:p w:rsidR="004A09B8" w:rsidRPr="00650894" w:rsidRDefault="000D6806" w:rsidP="00650894">
      <w:pPr>
        <w:spacing w:line="360" w:lineRule="auto"/>
        <w:ind w:firstLine="1440"/>
        <w:contextualSpacing/>
        <w:rPr>
          <w:sz w:val="26"/>
          <w:szCs w:val="26"/>
        </w:rPr>
      </w:pPr>
      <w:r w:rsidRPr="00650894">
        <w:rPr>
          <w:sz w:val="26"/>
          <w:szCs w:val="26"/>
        </w:rPr>
        <w:t xml:space="preserve">In its Replies to Exceptions, Verizon PA asserts that the ALJ correctly rejected Core’s argument that the internal ASR forms Verizon PA used to submit trunking orders to Verizon PA’s own internal provisioning system to self-provision the trunks used to carry local traffic to Core’s network constituted orders for facilities from Core.  Verizon </w:t>
      </w:r>
      <w:r w:rsidR="002C4A57" w:rsidRPr="00650894">
        <w:rPr>
          <w:sz w:val="26"/>
          <w:szCs w:val="26"/>
        </w:rPr>
        <w:t xml:space="preserve">PA </w:t>
      </w:r>
      <w:r w:rsidRPr="00650894">
        <w:rPr>
          <w:sz w:val="26"/>
          <w:szCs w:val="26"/>
        </w:rPr>
        <w:t xml:space="preserve">emphasizes that it self-provisioned these trunks at its own expense.  </w:t>
      </w:r>
      <w:r w:rsidR="00120046" w:rsidRPr="00650894">
        <w:rPr>
          <w:sz w:val="26"/>
          <w:szCs w:val="26"/>
        </w:rPr>
        <w:t>However, Verizon PA submits that it is ultimately immat</w:t>
      </w:r>
      <w:r w:rsidR="003B485D" w:rsidRPr="00650894">
        <w:rPr>
          <w:sz w:val="26"/>
          <w:szCs w:val="26"/>
        </w:rPr>
        <w:t xml:space="preserve">erial whether Verizon PA’s </w:t>
      </w:r>
      <w:r w:rsidR="00D25A9B" w:rsidRPr="00650894">
        <w:rPr>
          <w:sz w:val="26"/>
          <w:szCs w:val="26"/>
        </w:rPr>
        <w:t xml:space="preserve">internal </w:t>
      </w:r>
      <w:r w:rsidR="00120046" w:rsidRPr="00650894">
        <w:rPr>
          <w:sz w:val="26"/>
          <w:szCs w:val="26"/>
        </w:rPr>
        <w:t xml:space="preserve">ASRs constituted orders for service because the Parties’ ICA does not permit Core to bill Verizon PA for these facilities.  </w:t>
      </w:r>
      <w:r w:rsidR="007538B6" w:rsidRPr="00650894">
        <w:rPr>
          <w:sz w:val="26"/>
          <w:szCs w:val="26"/>
        </w:rPr>
        <w:t xml:space="preserve">Verizon PA R. Exc. at 3-4.  </w:t>
      </w:r>
      <w:r w:rsidR="00120046" w:rsidRPr="00650894">
        <w:rPr>
          <w:sz w:val="26"/>
          <w:szCs w:val="26"/>
        </w:rPr>
        <w:t xml:space="preserve">Verizon PA </w:t>
      </w:r>
      <w:r w:rsidR="003E50AD" w:rsidRPr="00650894">
        <w:rPr>
          <w:sz w:val="26"/>
          <w:szCs w:val="26"/>
        </w:rPr>
        <w:t>restates</w:t>
      </w:r>
      <w:r w:rsidR="00946B74" w:rsidRPr="00650894">
        <w:rPr>
          <w:sz w:val="26"/>
          <w:szCs w:val="26"/>
        </w:rPr>
        <w:t xml:space="preserve"> its position</w:t>
      </w:r>
      <w:r w:rsidR="007538B6" w:rsidRPr="00650894">
        <w:rPr>
          <w:sz w:val="26"/>
          <w:szCs w:val="26"/>
        </w:rPr>
        <w:t xml:space="preserve"> that this issue is identical to an issue that arose in the dispute between the Parties’ affiliates in Virginia.  Namely, Verizon PA </w:t>
      </w:r>
      <w:r w:rsidR="00120046" w:rsidRPr="00650894">
        <w:rPr>
          <w:sz w:val="26"/>
          <w:szCs w:val="26"/>
        </w:rPr>
        <w:t xml:space="preserve">notes that in the </w:t>
      </w:r>
      <w:r w:rsidR="00120046" w:rsidRPr="00650894">
        <w:rPr>
          <w:i/>
          <w:sz w:val="26"/>
          <w:szCs w:val="26"/>
        </w:rPr>
        <w:t>CoreTel-Verizon VA Order</w:t>
      </w:r>
      <w:r w:rsidR="00120046" w:rsidRPr="00650894">
        <w:rPr>
          <w:sz w:val="26"/>
          <w:szCs w:val="26"/>
        </w:rPr>
        <w:t>, the Fourth Circuit</w:t>
      </w:r>
      <w:r w:rsidR="00DE1CAC" w:rsidRPr="00650894">
        <w:rPr>
          <w:sz w:val="26"/>
          <w:szCs w:val="26"/>
        </w:rPr>
        <w:t xml:space="preserve"> upheld the finding of the </w:t>
      </w:r>
      <w:r w:rsidR="00AA5D17" w:rsidRPr="00650894">
        <w:rPr>
          <w:sz w:val="26"/>
          <w:szCs w:val="26"/>
        </w:rPr>
        <w:t>Eastern District</w:t>
      </w:r>
      <w:r w:rsidR="007538B6" w:rsidRPr="00650894">
        <w:rPr>
          <w:sz w:val="26"/>
          <w:szCs w:val="26"/>
        </w:rPr>
        <w:t xml:space="preserve"> that </w:t>
      </w:r>
      <w:r w:rsidR="005D1D4A" w:rsidRPr="00650894">
        <w:rPr>
          <w:sz w:val="26"/>
          <w:szCs w:val="26"/>
        </w:rPr>
        <w:t>Verizon PA</w:t>
      </w:r>
      <w:r w:rsidR="007538B6" w:rsidRPr="00650894">
        <w:rPr>
          <w:sz w:val="26"/>
          <w:szCs w:val="26"/>
        </w:rPr>
        <w:t>’s affiliate in Virginia provided Core’s Virginia affiliate with copies of Verizon Virginia’s internal ASRs for self-provisioned facilities simply so that CoreTel Virginia could configure its own network to receive local traffic over them.  Thus,</w:t>
      </w:r>
      <w:r w:rsidR="007A23DA" w:rsidRPr="00650894">
        <w:rPr>
          <w:sz w:val="26"/>
          <w:szCs w:val="26"/>
        </w:rPr>
        <w:t xml:space="preserve"> Verizon PA notes</w:t>
      </w:r>
      <w:r w:rsidR="007538B6" w:rsidRPr="00650894">
        <w:rPr>
          <w:sz w:val="26"/>
          <w:szCs w:val="26"/>
        </w:rPr>
        <w:t xml:space="preserve"> the </w:t>
      </w:r>
      <w:r w:rsidR="00C15BA3" w:rsidRPr="00650894">
        <w:rPr>
          <w:sz w:val="26"/>
          <w:szCs w:val="26"/>
        </w:rPr>
        <w:t>Eastern District</w:t>
      </w:r>
      <w:r w:rsidR="007538B6" w:rsidRPr="00650894">
        <w:rPr>
          <w:sz w:val="26"/>
          <w:szCs w:val="26"/>
        </w:rPr>
        <w:t xml:space="preserve"> found that these ASRs did not constitute orders for service from CoreTel Virginia</w:t>
      </w:r>
      <w:r w:rsidR="00834757">
        <w:rPr>
          <w:sz w:val="26"/>
          <w:szCs w:val="26"/>
        </w:rPr>
        <w:t>.  As noted,</w:t>
      </w:r>
      <w:r w:rsidR="005B7D5A" w:rsidRPr="00650894">
        <w:rPr>
          <w:sz w:val="26"/>
          <w:szCs w:val="26"/>
        </w:rPr>
        <w:t xml:space="preserve"> </w:t>
      </w:r>
      <w:r w:rsidR="00C15BA3" w:rsidRPr="00650894">
        <w:rPr>
          <w:sz w:val="26"/>
          <w:szCs w:val="26"/>
        </w:rPr>
        <w:t>the Fourth Circuit upheld this finding</w:t>
      </w:r>
      <w:r w:rsidR="007538B6" w:rsidRPr="00650894">
        <w:rPr>
          <w:sz w:val="26"/>
          <w:szCs w:val="26"/>
        </w:rPr>
        <w:t xml:space="preserve">.  </w:t>
      </w:r>
      <w:r w:rsidR="00C15BA3" w:rsidRPr="00650894">
        <w:rPr>
          <w:sz w:val="26"/>
          <w:szCs w:val="26"/>
        </w:rPr>
        <w:t xml:space="preserve">Further, </w:t>
      </w:r>
      <w:r w:rsidR="003E50AD" w:rsidRPr="00650894">
        <w:rPr>
          <w:sz w:val="26"/>
          <w:szCs w:val="26"/>
        </w:rPr>
        <w:t xml:space="preserve">Verizon PA </w:t>
      </w:r>
      <w:r w:rsidR="007D6CE1" w:rsidRPr="00650894">
        <w:rPr>
          <w:sz w:val="26"/>
          <w:szCs w:val="26"/>
        </w:rPr>
        <w:t>highlights the</w:t>
      </w:r>
      <w:r w:rsidR="00C15BA3" w:rsidRPr="00650894">
        <w:rPr>
          <w:sz w:val="26"/>
          <w:szCs w:val="26"/>
        </w:rPr>
        <w:t xml:space="preserve"> Fourth Circuit</w:t>
      </w:r>
      <w:r w:rsidR="007D6CE1" w:rsidRPr="00650894">
        <w:rPr>
          <w:sz w:val="26"/>
          <w:szCs w:val="26"/>
        </w:rPr>
        <w:t>’s</w:t>
      </w:r>
      <w:r w:rsidR="00C15BA3" w:rsidRPr="00650894">
        <w:rPr>
          <w:sz w:val="26"/>
          <w:szCs w:val="26"/>
        </w:rPr>
        <w:t xml:space="preserve"> conclu</w:t>
      </w:r>
      <w:r w:rsidR="007D6CE1" w:rsidRPr="00650894">
        <w:rPr>
          <w:sz w:val="26"/>
          <w:szCs w:val="26"/>
        </w:rPr>
        <w:t>sion</w:t>
      </w:r>
      <w:r w:rsidR="00C15BA3" w:rsidRPr="00650894">
        <w:rPr>
          <w:sz w:val="26"/>
          <w:szCs w:val="26"/>
        </w:rPr>
        <w:t xml:space="preserve"> that CoreTel </w:t>
      </w:r>
      <w:r w:rsidR="00E83F9D" w:rsidRPr="00650894">
        <w:rPr>
          <w:sz w:val="26"/>
          <w:szCs w:val="26"/>
        </w:rPr>
        <w:t>Virginia</w:t>
      </w:r>
      <w:r w:rsidR="00C15BA3" w:rsidRPr="00650894">
        <w:rPr>
          <w:sz w:val="26"/>
          <w:szCs w:val="26"/>
        </w:rPr>
        <w:t xml:space="preserve"> was not entitled to bill Verizon Virginia for these facilities regardless of whether Verizon </w:t>
      </w:r>
      <w:r w:rsidR="00F0156C" w:rsidRPr="00650894">
        <w:rPr>
          <w:sz w:val="26"/>
          <w:szCs w:val="26"/>
        </w:rPr>
        <w:t>Virginia submitted orders</w:t>
      </w:r>
      <w:r w:rsidR="00B90C24">
        <w:rPr>
          <w:sz w:val="26"/>
          <w:szCs w:val="26"/>
        </w:rPr>
        <w:t>, purportedly addressed</w:t>
      </w:r>
      <w:r w:rsidR="00F0156C" w:rsidRPr="00650894">
        <w:rPr>
          <w:sz w:val="26"/>
          <w:szCs w:val="26"/>
        </w:rPr>
        <w:t xml:space="preserve"> for facilities</w:t>
      </w:r>
      <w:r w:rsidR="00C15BA3" w:rsidRPr="00650894">
        <w:rPr>
          <w:sz w:val="26"/>
          <w:szCs w:val="26"/>
        </w:rPr>
        <w:t xml:space="preserve"> because, under the ICAs at issue in that proceeding, Core was to be compensated for the use of these facilities, on its side of the IP, solely under the rubric of reciprocal compensation.  </w:t>
      </w:r>
      <w:r w:rsidR="007538B6" w:rsidRPr="00650894">
        <w:rPr>
          <w:i/>
          <w:sz w:val="26"/>
          <w:szCs w:val="26"/>
        </w:rPr>
        <w:t>Id.</w:t>
      </w:r>
      <w:r w:rsidR="00722D85" w:rsidRPr="00650894">
        <w:rPr>
          <w:sz w:val="26"/>
          <w:szCs w:val="26"/>
        </w:rPr>
        <w:t xml:space="preserve"> at 4-5.</w:t>
      </w:r>
      <w:r w:rsidR="007538B6" w:rsidRPr="00650894">
        <w:rPr>
          <w:i/>
          <w:sz w:val="26"/>
          <w:szCs w:val="26"/>
        </w:rPr>
        <w:t xml:space="preserve"> </w:t>
      </w:r>
      <w:r w:rsidR="007538B6" w:rsidRPr="00650894">
        <w:rPr>
          <w:sz w:val="26"/>
          <w:szCs w:val="26"/>
        </w:rPr>
        <w:t xml:space="preserve">(citing </w:t>
      </w:r>
      <w:r w:rsidR="007538B6" w:rsidRPr="00650894">
        <w:rPr>
          <w:i/>
          <w:sz w:val="26"/>
          <w:szCs w:val="26"/>
        </w:rPr>
        <w:t>CoreTel-Verizon VA Order</w:t>
      </w:r>
      <w:r w:rsidR="007538B6" w:rsidRPr="00650894">
        <w:rPr>
          <w:sz w:val="26"/>
          <w:szCs w:val="26"/>
        </w:rPr>
        <w:t>, 752 F.3d at 372</w:t>
      </w:r>
      <w:r w:rsidR="00643316">
        <w:rPr>
          <w:sz w:val="26"/>
          <w:szCs w:val="26"/>
        </w:rPr>
        <w:noBreakHyphen/>
      </w:r>
      <w:r w:rsidR="007538B6" w:rsidRPr="00650894">
        <w:rPr>
          <w:sz w:val="26"/>
          <w:szCs w:val="26"/>
        </w:rPr>
        <w:t>73).</w:t>
      </w:r>
    </w:p>
    <w:p w:rsidR="007538B6" w:rsidRPr="00650894" w:rsidRDefault="007538B6" w:rsidP="00650894">
      <w:pPr>
        <w:spacing w:line="360" w:lineRule="auto"/>
        <w:ind w:firstLine="1440"/>
        <w:contextualSpacing/>
        <w:rPr>
          <w:sz w:val="26"/>
          <w:szCs w:val="26"/>
        </w:rPr>
      </w:pPr>
    </w:p>
    <w:p w:rsidR="007538B6" w:rsidRPr="00650894" w:rsidRDefault="007538B6" w:rsidP="00650894">
      <w:pPr>
        <w:spacing w:line="360" w:lineRule="auto"/>
        <w:ind w:firstLine="1440"/>
        <w:contextualSpacing/>
        <w:rPr>
          <w:sz w:val="26"/>
          <w:szCs w:val="26"/>
        </w:rPr>
      </w:pPr>
      <w:r w:rsidRPr="00650894">
        <w:rPr>
          <w:sz w:val="26"/>
          <w:szCs w:val="26"/>
        </w:rPr>
        <w:t xml:space="preserve">Verizon PA submits that even if the Commission elects to address this subject, it is </w:t>
      </w:r>
      <w:r w:rsidR="00E83F9D">
        <w:rPr>
          <w:sz w:val="26"/>
          <w:szCs w:val="26"/>
        </w:rPr>
        <w:t xml:space="preserve">evident </w:t>
      </w:r>
      <w:r w:rsidRPr="00650894">
        <w:rPr>
          <w:sz w:val="26"/>
          <w:szCs w:val="26"/>
        </w:rPr>
        <w:t xml:space="preserve">that </w:t>
      </w:r>
      <w:r w:rsidR="00722D85" w:rsidRPr="00650894">
        <w:rPr>
          <w:sz w:val="26"/>
          <w:szCs w:val="26"/>
        </w:rPr>
        <w:t xml:space="preserve">like the ASRs used by </w:t>
      </w:r>
      <w:r w:rsidR="005B7D5A" w:rsidRPr="00650894">
        <w:rPr>
          <w:sz w:val="26"/>
          <w:szCs w:val="26"/>
        </w:rPr>
        <w:t xml:space="preserve">Verizon PA’s </w:t>
      </w:r>
      <w:r w:rsidR="00722D85" w:rsidRPr="00650894">
        <w:rPr>
          <w:sz w:val="26"/>
          <w:szCs w:val="26"/>
        </w:rPr>
        <w:t xml:space="preserve">Virginia affiliate, </w:t>
      </w:r>
      <w:r w:rsidRPr="00650894">
        <w:rPr>
          <w:sz w:val="26"/>
          <w:szCs w:val="26"/>
        </w:rPr>
        <w:t>the ASRs in the instant case were used by Verizon PA solely for self-provisioning purposes</w:t>
      </w:r>
      <w:r w:rsidR="00722D85" w:rsidRPr="00650894">
        <w:rPr>
          <w:sz w:val="26"/>
          <w:szCs w:val="26"/>
        </w:rPr>
        <w:t xml:space="preserve">.  According to Verizon </w:t>
      </w:r>
      <w:r w:rsidR="003E50AD" w:rsidRPr="00650894">
        <w:rPr>
          <w:sz w:val="26"/>
          <w:szCs w:val="26"/>
        </w:rPr>
        <w:t>PA, its witness identified several</w:t>
      </w:r>
      <w:r w:rsidR="00722D85" w:rsidRPr="00650894">
        <w:rPr>
          <w:sz w:val="26"/>
          <w:szCs w:val="26"/>
        </w:rPr>
        <w:t xml:space="preserve"> separate fields on the </w:t>
      </w:r>
      <w:r w:rsidR="00BE2672" w:rsidRPr="00650894">
        <w:rPr>
          <w:sz w:val="26"/>
          <w:szCs w:val="26"/>
        </w:rPr>
        <w:t xml:space="preserve">Sample </w:t>
      </w:r>
      <w:r w:rsidR="00722D85" w:rsidRPr="00650894">
        <w:rPr>
          <w:sz w:val="26"/>
          <w:szCs w:val="26"/>
        </w:rPr>
        <w:t>ASR</w:t>
      </w:r>
      <w:r w:rsidR="00BE2672" w:rsidRPr="00650894">
        <w:rPr>
          <w:sz w:val="26"/>
          <w:szCs w:val="26"/>
        </w:rPr>
        <w:t xml:space="preserve"> Core provided</w:t>
      </w:r>
      <w:r w:rsidR="00722D85" w:rsidRPr="00650894">
        <w:rPr>
          <w:sz w:val="26"/>
          <w:szCs w:val="26"/>
        </w:rPr>
        <w:t xml:space="preserve">, each of which indicated that the ASR was not an order for facilities from Core, but an order from Verizon PA, placed via Verizon PA’s own provisioning system for a new set of self-provisioned trunks to ride on the self-provisioned DS3s that </w:t>
      </w:r>
      <w:r w:rsidR="0024004E" w:rsidRPr="00650894">
        <w:rPr>
          <w:sz w:val="26"/>
          <w:szCs w:val="26"/>
        </w:rPr>
        <w:t>Verizon PA</w:t>
      </w:r>
      <w:r w:rsidR="00722D85" w:rsidRPr="00650894">
        <w:rPr>
          <w:sz w:val="26"/>
          <w:szCs w:val="26"/>
        </w:rPr>
        <w:t xml:space="preserve"> installed to carry local traffic to Core.  </w:t>
      </w:r>
      <w:r w:rsidR="0066535A" w:rsidRPr="00650894">
        <w:rPr>
          <w:sz w:val="26"/>
          <w:szCs w:val="26"/>
        </w:rPr>
        <w:t xml:space="preserve">Verizon PA asserts that although the ICA does address orders placed by one Party for facilities provided by the other, it does not dictate or restrict Verizon PA’s own internal self-provisioning processes.  </w:t>
      </w:r>
      <w:r w:rsidR="007D356B" w:rsidRPr="00650894">
        <w:rPr>
          <w:sz w:val="26"/>
          <w:szCs w:val="26"/>
        </w:rPr>
        <w:t xml:space="preserve">Verizon PA avers that the ALJ correctly found that the ICA does not permit Core to bill </w:t>
      </w:r>
      <w:r w:rsidR="00D53A5D" w:rsidRPr="00650894">
        <w:rPr>
          <w:sz w:val="26"/>
          <w:szCs w:val="26"/>
        </w:rPr>
        <w:t>Verizon PA</w:t>
      </w:r>
      <w:r w:rsidR="007D356B" w:rsidRPr="00650894">
        <w:rPr>
          <w:sz w:val="26"/>
          <w:szCs w:val="26"/>
        </w:rPr>
        <w:t xml:space="preserve"> for facilities based on </w:t>
      </w:r>
      <w:r w:rsidR="00D53A5D" w:rsidRPr="00650894">
        <w:rPr>
          <w:sz w:val="26"/>
          <w:szCs w:val="26"/>
        </w:rPr>
        <w:t>Verizon PA’s</w:t>
      </w:r>
      <w:r w:rsidR="007D356B" w:rsidRPr="00650894">
        <w:rPr>
          <w:sz w:val="26"/>
          <w:szCs w:val="26"/>
        </w:rPr>
        <w:t xml:space="preserve"> internal ASRs for the engineering of its own network. </w:t>
      </w:r>
      <w:r w:rsidR="00722D85" w:rsidRPr="00650894">
        <w:rPr>
          <w:sz w:val="26"/>
          <w:szCs w:val="26"/>
        </w:rPr>
        <w:t xml:space="preserve"> Verizon PA R.</w:t>
      </w:r>
      <w:r w:rsidR="00392D7F" w:rsidRPr="00650894">
        <w:rPr>
          <w:sz w:val="26"/>
          <w:szCs w:val="26"/>
        </w:rPr>
        <w:t> </w:t>
      </w:r>
      <w:r w:rsidR="00722D85" w:rsidRPr="00650894">
        <w:rPr>
          <w:sz w:val="26"/>
          <w:szCs w:val="26"/>
        </w:rPr>
        <w:t>Exc. at 5</w:t>
      </w:r>
      <w:r w:rsidR="007D356B" w:rsidRPr="00650894">
        <w:rPr>
          <w:sz w:val="26"/>
          <w:szCs w:val="26"/>
        </w:rPr>
        <w:t>-6.</w:t>
      </w:r>
    </w:p>
    <w:bookmarkEnd w:id="2"/>
    <w:p w:rsidR="00E503F6" w:rsidRPr="00650894" w:rsidRDefault="00E503F6" w:rsidP="00650894">
      <w:pPr>
        <w:spacing w:line="360" w:lineRule="auto"/>
        <w:ind w:firstLine="1440"/>
        <w:contextualSpacing/>
        <w:rPr>
          <w:sz w:val="26"/>
          <w:szCs w:val="26"/>
        </w:rPr>
      </w:pPr>
    </w:p>
    <w:p w:rsidR="00E04731" w:rsidRPr="00650894" w:rsidRDefault="00E04731" w:rsidP="00555C19">
      <w:pPr>
        <w:keepNext/>
        <w:keepLines/>
        <w:spacing w:line="360" w:lineRule="auto"/>
        <w:ind w:left="720"/>
        <w:contextualSpacing/>
        <w:rPr>
          <w:b/>
          <w:sz w:val="26"/>
          <w:szCs w:val="26"/>
        </w:rPr>
      </w:pPr>
      <w:r w:rsidRPr="00650894">
        <w:rPr>
          <w:b/>
          <w:sz w:val="26"/>
          <w:szCs w:val="26"/>
        </w:rPr>
        <w:t>5.</w:t>
      </w:r>
      <w:r w:rsidRPr="00650894">
        <w:rPr>
          <w:b/>
          <w:sz w:val="26"/>
          <w:szCs w:val="26"/>
        </w:rPr>
        <w:tab/>
        <w:t>Disposition</w:t>
      </w:r>
    </w:p>
    <w:p w:rsidR="00E04731" w:rsidRPr="00650894" w:rsidRDefault="00E04731" w:rsidP="00650894">
      <w:pPr>
        <w:keepNext/>
        <w:keepLines/>
        <w:spacing w:line="360" w:lineRule="auto"/>
        <w:ind w:firstLine="1440"/>
        <w:contextualSpacing/>
        <w:rPr>
          <w:sz w:val="26"/>
          <w:szCs w:val="26"/>
        </w:rPr>
      </w:pPr>
    </w:p>
    <w:p w:rsidR="00561FB6" w:rsidRPr="00650894" w:rsidRDefault="00B87A05" w:rsidP="00650894">
      <w:pPr>
        <w:spacing w:line="360" w:lineRule="auto"/>
        <w:ind w:firstLine="1440"/>
        <w:contextualSpacing/>
        <w:rPr>
          <w:sz w:val="26"/>
          <w:szCs w:val="26"/>
        </w:rPr>
      </w:pPr>
      <w:r w:rsidRPr="00650894">
        <w:rPr>
          <w:sz w:val="26"/>
          <w:szCs w:val="26"/>
        </w:rPr>
        <w:t>On consideration of the positions of the Parties</w:t>
      </w:r>
      <w:r w:rsidR="00702295" w:rsidRPr="00650894">
        <w:rPr>
          <w:sz w:val="26"/>
          <w:szCs w:val="26"/>
        </w:rPr>
        <w:t xml:space="preserve"> and the record evidence</w:t>
      </w:r>
      <w:r w:rsidRPr="00650894">
        <w:rPr>
          <w:sz w:val="26"/>
          <w:szCs w:val="26"/>
        </w:rPr>
        <w:t xml:space="preserve">, we </w:t>
      </w:r>
      <w:r w:rsidR="00702295" w:rsidRPr="00650894">
        <w:rPr>
          <w:sz w:val="26"/>
          <w:szCs w:val="26"/>
        </w:rPr>
        <w:t xml:space="preserve">find no error in the </w:t>
      </w:r>
      <w:r w:rsidR="00AC622C" w:rsidRPr="00650894">
        <w:rPr>
          <w:sz w:val="26"/>
          <w:szCs w:val="26"/>
        </w:rPr>
        <w:t>rul</w:t>
      </w:r>
      <w:r w:rsidR="00702295" w:rsidRPr="00650894">
        <w:rPr>
          <w:sz w:val="26"/>
          <w:szCs w:val="26"/>
        </w:rPr>
        <w:t xml:space="preserve">ings of ALJ Colwell </w:t>
      </w:r>
      <w:r w:rsidR="002E106B" w:rsidRPr="00650894">
        <w:rPr>
          <w:sz w:val="26"/>
          <w:szCs w:val="26"/>
        </w:rPr>
        <w:t xml:space="preserve">that </w:t>
      </w:r>
      <w:r w:rsidR="00F02E52" w:rsidRPr="00650894">
        <w:rPr>
          <w:sz w:val="26"/>
          <w:szCs w:val="26"/>
        </w:rPr>
        <w:t>(</w:t>
      </w:r>
      <w:r w:rsidR="00BE2672" w:rsidRPr="00650894">
        <w:rPr>
          <w:sz w:val="26"/>
          <w:szCs w:val="26"/>
        </w:rPr>
        <w:t>1</w:t>
      </w:r>
      <w:r w:rsidR="00F02E52" w:rsidRPr="00650894">
        <w:rPr>
          <w:sz w:val="26"/>
          <w:szCs w:val="26"/>
        </w:rPr>
        <w:t xml:space="preserve">) </w:t>
      </w:r>
      <w:r w:rsidR="002E106B" w:rsidRPr="00650894">
        <w:rPr>
          <w:sz w:val="26"/>
          <w:szCs w:val="26"/>
        </w:rPr>
        <w:t>Verizon PA did not order facilities from Core</w:t>
      </w:r>
      <w:r w:rsidR="00702295" w:rsidRPr="00650894">
        <w:rPr>
          <w:sz w:val="26"/>
          <w:szCs w:val="26"/>
        </w:rPr>
        <w:t>;</w:t>
      </w:r>
      <w:r w:rsidR="002E106B" w:rsidRPr="00650894">
        <w:rPr>
          <w:sz w:val="26"/>
          <w:szCs w:val="26"/>
        </w:rPr>
        <w:t xml:space="preserve"> </w:t>
      </w:r>
      <w:r w:rsidR="00F02E52" w:rsidRPr="00650894">
        <w:rPr>
          <w:sz w:val="26"/>
          <w:szCs w:val="26"/>
        </w:rPr>
        <w:t>or</w:t>
      </w:r>
      <w:r w:rsidR="002E106B" w:rsidRPr="00650894">
        <w:rPr>
          <w:sz w:val="26"/>
          <w:szCs w:val="26"/>
        </w:rPr>
        <w:t xml:space="preserve"> </w:t>
      </w:r>
      <w:r w:rsidR="00F02E52" w:rsidRPr="00650894">
        <w:rPr>
          <w:sz w:val="26"/>
          <w:szCs w:val="26"/>
        </w:rPr>
        <w:t>(2)</w:t>
      </w:r>
      <w:r w:rsidR="00EB5929" w:rsidRPr="00650894">
        <w:rPr>
          <w:sz w:val="26"/>
          <w:szCs w:val="26"/>
        </w:rPr>
        <w:t xml:space="preserve"> that</w:t>
      </w:r>
      <w:r w:rsidR="00F02E52" w:rsidRPr="00650894">
        <w:rPr>
          <w:sz w:val="26"/>
          <w:szCs w:val="26"/>
        </w:rPr>
        <w:t xml:space="preserve"> </w:t>
      </w:r>
      <w:r w:rsidR="002E106B" w:rsidRPr="00650894">
        <w:rPr>
          <w:sz w:val="26"/>
          <w:szCs w:val="26"/>
        </w:rPr>
        <w:t xml:space="preserve">the ASRs Verizon PA sent to Core were copies </w:t>
      </w:r>
      <w:r w:rsidR="00164719" w:rsidRPr="00650894">
        <w:rPr>
          <w:sz w:val="26"/>
          <w:szCs w:val="26"/>
        </w:rPr>
        <w:t xml:space="preserve">of </w:t>
      </w:r>
      <w:r w:rsidR="002E106B" w:rsidRPr="00650894">
        <w:rPr>
          <w:sz w:val="26"/>
          <w:szCs w:val="26"/>
        </w:rPr>
        <w:t xml:space="preserve">Verizon PA’s internal records related to its self-provisioning of trunks.  </w:t>
      </w:r>
      <w:r w:rsidR="001D12B6" w:rsidRPr="00650894">
        <w:rPr>
          <w:sz w:val="26"/>
          <w:szCs w:val="26"/>
        </w:rPr>
        <w:t>We note the following provisions of the ICA with respect to ASRs:</w:t>
      </w:r>
    </w:p>
    <w:p w:rsidR="00F02E52" w:rsidRPr="00650894" w:rsidRDefault="00F02E52" w:rsidP="00650894">
      <w:pPr>
        <w:spacing w:line="360" w:lineRule="auto"/>
        <w:ind w:firstLine="1440"/>
        <w:contextualSpacing/>
        <w:rPr>
          <w:sz w:val="26"/>
          <w:szCs w:val="26"/>
        </w:rPr>
      </w:pPr>
    </w:p>
    <w:p w:rsidR="00CA2551" w:rsidRPr="00650894" w:rsidRDefault="00CA2551" w:rsidP="00650894">
      <w:pPr>
        <w:ind w:left="1440" w:right="1440"/>
        <w:contextualSpacing/>
        <w:rPr>
          <w:rFonts w:eastAsiaTheme="minorHAnsi"/>
          <w:sz w:val="26"/>
          <w:szCs w:val="26"/>
        </w:rPr>
      </w:pPr>
      <w:r w:rsidRPr="00650894">
        <w:rPr>
          <w:rFonts w:eastAsiaTheme="minorHAnsi"/>
          <w:sz w:val="26"/>
          <w:szCs w:val="26"/>
        </w:rPr>
        <w:t>“Access Service Request” (ASR) means the industry standard forms and supporting documentation used for ordering Access Services.  The ASR may be used to order trunking and facilities between [Core] and [Verizon PA] for Local Interconnection.</w:t>
      </w:r>
    </w:p>
    <w:p w:rsidR="00F02E52" w:rsidRPr="00650894" w:rsidRDefault="00F02E52" w:rsidP="00650894">
      <w:pPr>
        <w:spacing w:line="360" w:lineRule="auto"/>
        <w:ind w:firstLine="1440"/>
        <w:contextualSpacing/>
        <w:rPr>
          <w:sz w:val="26"/>
          <w:szCs w:val="26"/>
        </w:rPr>
      </w:pPr>
    </w:p>
    <w:p w:rsidR="00561FB6" w:rsidRPr="00650894" w:rsidRDefault="001D12B6" w:rsidP="00650894">
      <w:pPr>
        <w:spacing w:line="360" w:lineRule="auto"/>
        <w:contextualSpacing/>
        <w:rPr>
          <w:sz w:val="26"/>
          <w:szCs w:val="26"/>
        </w:rPr>
      </w:pPr>
      <w:r w:rsidRPr="00650894">
        <w:rPr>
          <w:sz w:val="26"/>
          <w:szCs w:val="26"/>
        </w:rPr>
        <w:t>ICA at Part B-Definitions</w:t>
      </w:r>
    </w:p>
    <w:p w:rsidR="001D12B6" w:rsidRPr="00650894" w:rsidRDefault="001D12B6" w:rsidP="00650894">
      <w:pPr>
        <w:spacing w:line="360" w:lineRule="auto"/>
        <w:ind w:firstLine="1440"/>
        <w:contextualSpacing/>
        <w:rPr>
          <w:sz w:val="26"/>
          <w:szCs w:val="26"/>
        </w:rPr>
      </w:pPr>
    </w:p>
    <w:p w:rsidR="002F55DE" w:rsidRPr="00650894" w:rsidRDefault="002F55DE" w:rsidP="00650894">
      <w:pPr>
        <w:ind w:left="1440" w:right="1440"/>
        <w:contextualSpacing/>
        <w:rPr>
          <w:rFonts w:eastAsiaTheme="minorHAnsi"/>
          <w:sz w:val="26"/>
          <w:szCs w:val="26"/>
        </w:rPr>
      </w:pPr>
      <w:r w:rsidRPr="00650894">
        <w:rPr>
          <w:rFonts w:eastAsiaTheme="minorHAnsi"/>
          <w:sz w:val="26"/>
          <w:szCs w:val="26"/>
        </w:rPr>
        <w:t>4.3.1 Orders between</w:t>
      </w:r>
      <w:r w:rsidR="001D182E">
        <w:rPr>
          <w:rFonts w:eastAsiaTheme="minorHAnsi"/>
          <w:sz w:val="26"/>
          <w:szCs w:val="26"/>
        </w:rPr>
        <w:t xml:space="preserve"> the</w:t>
      </w:r>
      <w:r w:rsidRPr="00650894">
        <w:rPr>
          <w:rFonts w:eastAsiaTheme="minorHAnsi"/>
          <w:sz w:val="26"/>
          <w:szCs w:val="26"/>
        </w:rPr>
        <w:t xml:space="preserve"> Parties to establish, add, change or disconnect trunks shall be processed by use of an Access Service Request (“ASR”), or another industry standard eventually adopted to replace the ASR for local service ordering.</w:t>
      </w:r>
    </w:p>
    <w:p w:rsidR="001D12B6" w:rsidRPr="00650894" w:rsidRDefault="001D12B6" w:rsidP="00650894">
      <w:pPr>
        <w:spacing w:line="360" w:lineRule="auto"/>
        <w:ind w:firstLine="1440"/>
        <w:contextualSpacing/>
        <w:rPr>
          <w:sz w:val="26"/>
          <w:szCs w:val="26"/>
        </w:rPr>
      </w:pPr>
    </w:p>
    <w:p w:rsidR="002F55DE" w:rsidRPr="00650894" w:rsidRDefault="002F55DE" w:rsidP="00650894">
      <w:pPr>
        <w:ind w:left="1440" w:right="1440"/>
        <w:contextualSpacing/>
        <w:rPr>
          <w:rFonts w:eastAsiaTheme="minorHAnsi"/>
          <w:sz w:val="26"/>
          <w:szCs w:val="26"/>
        </w:rPr>
      </w:pPr>
      <w:r w:rsidRPr="00650894">
        <w:rPr>
          <w:rFonts w:eastAsiaTheme="minorHAnsi"/>
          <w:sz w:val="26"/>
          <w:szCs w:val="26"/>
        </w:rPr>
        <w:t>4.3.2 As discussed in this Agreement, both Parties will manage the capacity of their Local Interconnection Trunk Groups.  [</w:t>
      </w:r>
      <w:r w:rsidR="009F29F9" w:rsidRPr="00650894">
        <w:rPr>
          <w:rFonts w:eastAsiaTheme="minorHAnsi"/>
          <w:sz w:val="26"/>
          <w:szCs w:val="26"/>
        </w:rPr>
        <w:t>Verizon PA</w:t>
      </w:r>
      <w:r w:rsidRPr="00650894">
        <w:rPr>
          <w:rFonts w:eastAsiaTheme="minorHAnsi"/>
          <w:sz w:val="26"/>
          <w:szCs w:val="26"/>
        </w:rPr>
        <w:t>] will issue an ASR to [Core] to trigger changes [</w:t>
      </w:r>
      <w:r w:rsidR="009F29F9" w:rsidRPr="00650894">
        <w:rPr>
          <w:rFonts w:eastAsiaTheme="minorHAnsi"/>
          <w:sz w:val="26"/>
          <w:szCs w:val="26"/>
        </w:rPr>
        <w:t>Verizon PA</w:t>
      </w:r>
      <w:r w:rsidRPr="00650894">
        <w:rPr>
          <w:rFonts w:eastAsiaTheme="minorHAnsi"/>
          <w:sz w:val="26"/>
          <w:szCs w:val="26"/>
        </w:rPr>
        <w:t>] desires to the [</w:t>
      </w:r>
      <w:r w:rsidR="009F29F9" w:rsidRPr="00650894">
        <w:rPr>
          <w:rFonts w:eastAsiaTheme="minorHAnsi"/>
          <w:sz w:val="26"/>
          <w:szCs w:val="26"/>
        </w:rPr>
        <w:t>Verizon PA</w:t>
      </w:r>
      <w:r w:rsidRPr="00650894">
        <w:rPr>
          <w:rFonts w:eastAsiaTheme="minorHAnsi"/>
          <w:sz w:val="26"/>
          <w:szCs w:val="26"/>
        </w:rPr>
        <w:t xml:space="preserve">] Local Interconnection Trunk Groups </w:t>
      </w:r>
      <w:r w:rsidR="006255CE" w:rsidRPr="00650894">
        <w:rPr>
          <w:rFonts w:eastAsiaTheme="minorHAnsi"/>
          <w:sz w:val="26"/>
          <w:szCs w:val="26"/>
        </w:rPr>
        <w:t>b</w:t>
      </w:r>
      <w:r w:rsidRPr="00650894">
        <w:rPr>
          <w:rFonts w:eastAsiaTheme="minorHAnsi"/>
          <w:sz w:val="26"/>
          <w:szCs w:val="26"/>
        </w:rPr>
        <w:t>ased on [</w:t>
      </w:r>
      <w:r w:rsidR="009F29F9" w:rsidRPr="00650894">
        <w:rPr>
          <w:rFonts w:eastAsiaTheme="minorHAnsi"/>
          <w:sz w:val="26"/>
          <w:szCs w:val="26"/>
        </w:rPr>
        <w:t>Verizon PA</w:t>
      </w:r>
      <w:r w:rsidRPr="00650894">
        <w:rPr>
          <w:rFonts w:eastAsiaTheme="minorHAnsi"/>
          <w:sz w:val="26"/>
          <w:szCs w:val="26"/>
        </w:rPr>
        <w:t>’s] capacity assessment.  [Core] will issue an ASR to [</w:t>
      </w:r>
      <w:r w:rsidR="009F29F9" w:rsidRPr="00650894">
        <w:rPr>
          <w:rFonts w:eastAsiaTheme="minorHAnsi"/>
          <w:sz w:val="26"/>
          <w:szCs w:val="26"/>
        </w:rPr>
        <w:t>Verizon PA</w:t>
      </w:r>
      <w:r w:rsidRPr="00650894">
        <w:rPr>
          <w:rFonts w:eastAsiaTheme="minorHAnsi"/>
          <w:sz w:val="26"/>
          <w:szCs w:val="26"/>
        </w:rPr>
        <w:t>] to trigger changes [Core] desires to the [Core] Local Interconnection Trunk Groups based on [Core’s] capacity assessment.</w:t>
      </w:r>
    </w:p>
    <w:p w:rsidR="001D12B6" w:rsidRPr="00650894" w:rsidRDefault="001D12B6" w:rsidP="00650894">
      <w:pPr>
        <w:spacing w:line="360" w:lineRule="auto"/>
        <w:ind w:firstLine="1440"/>
        <w:contextualSpacing/>
        <w:rPr>
          <w:sz w:val="26"/>
          <w:szCs w:val="26"/>
        </w:rPr>
      </w:pPr>
    </w:p>
    <w:p w:rsidR="001D12B6" w:rsidRPr="00650894" w:rsidRDefault="00CA2551" w:rsidP="00650894">
      <w:pPr>
        <w:spacing w:line="360" w:lineRule="auto"/>
        <w:contextualSpacing/>
        <w:rPr>
          <w:sz w:val="26"/>
          <w:szCs w:val="26"/>
        </w:rPr>
      </w:pPr>
      <w:r w:rsidRPr="00650894">
        <w:rPr>
          <w:sz w:val="26"/>
          <w:szCs w:val="26"/>
        </w:rPr>
        <w:t>ICA at Attachment IV, Sections 4.3.1 and 4.3.2</w:t>
      </w:r>
      <w:r w:rsidR="00282CEB" w:rsidRPr="00650894">
        <w:rPr>
          <w:sz w:val="26"/>
          <w:szCs w:val="26"/>
        </w:rPr>
        <w:t>.</w:t>
      </w:r>
    </w:p>
    <w:p w:rsidR="00C376EC" w:rsidRPr="00650894" w:rsidRDefault="00C376EC" w:rsidP="00650894">
      <w:pPr>
        <w:spacing w:line="360" w:lineRule="auto"/>
        <w:ind w:firstLine="1440"/>
        <w:contextualSpacing/>
        <w:rPr>
          <w:sz w:val="26"/>
          <w:szCs w:val="26"/>
        </w:rPr>
      </w:pPr>
    </w:p>
    <w:p w:rsidR="00C376EC" w:rsidRPr="00650894" w:rsidRDefault="00C376EC" w:rsidP="00650894">
      <w:pPr>
        <w:spacing w:line="360" w:lineRule="auto"/>
        <w:ind w:firstLine="1440"/>
        <w:contextualSpacing/>
        <w:rPr>
          <w:sz w:val="26"/>
          <w:szCs w:val="26"/>
        </w:rPr>
      </w:pPr>
      <w:r w:rsidRPr="00650894">
        <w:rPr>
          <w:sz w:val="26"/>
          <w:szCs w:val="26"/>
        </w:rPr>
        <w:t xml:space="preserve">Our reading of these provisions corroborates Verizon PA’s assertion that although the ICA </w:t>
      </w:r>
      <w:r w:rsidR="00935C85" w:rsidRPr="00650894">
        <w:rPr>
          <w:sz w:val="26"/>
          <w:szCs w:val="26"/>
        </w:rPr>
        <w:t xml:space="preserve">governs the practices of the Parties when </w:t>
      </w:r>
      <w:r w:rsidR="00593707" w:rsidRPr="00650894">
        <w:rPr>
          <w:sz w:val="26"/>
          <w:szCs w:val="26"/>
        </w:rPr>
        <w:t>they order</w:t>
      </w:r>
      <w:r w:rsidR="00935C85" w:rsidRPr="00650894">
        <w:rPr>
          <w:sz w:val="26"/>
          <w:szCs w:val="26"/>
        </w:rPr>
        <w:t xml:space="preserve"> services for facilities from each other</w:t>
      </w:r>
      <w:r w:rsidRPr="00650894">
        <w:rPr>
          <w:sz w:val="26"/>
          <w:szCs w:val="26"/>
        </w:rPr>
        <w:t xml:space="preserve">, it does not </w:t>
      </w:r>
      <w:r w:rsidR="00D43148" w:rsidRPr="00650894">
        <w:rPr>
          <w:sz w:val="26"/>
          <w:szCs w:val="26"/>
        </w:rPr>
        <w:t xml:space="preserve">govern either Party’s internal practices, nor does it </w:t>
      </w:r>
      <w:r w:rsidRPr="00650894">
        <w:rPr>
          <w:sz w:val="26"/>
          <w:szCs w:val="26"/>
        </w:rPr>
        <w:t xml:space="preserve">prohibit either Party from using ASRs as an internal </w:t>
      </w:r>
      <w:r w:rsidR="00447E92" w:rsidRPr="00650894">
        <w:rPr>
          <w:sz w:val="26"/>
          <w:szCs w:val="26"/>
        </w:rPr>
        <w:t>document when it elects</w:t>
      </w:r>
      <w:r w:rsidRPr="00650894">
        <w:rPr>
          <w:sz w:val="26"/>
          <w:szCs w:val="26"/>
        </w:rPr>
        <w:t xml:space="preserve"> </w:t>
      </w:r>
      <w:r w:rsidR="00593707" w:rsidRPr="00650894">
        <w:rPr>
          <w:sz w:val="26"/>
          <w:szCs w:val="26"/>
        </w:rPr>
        <w:t xml:space="preserve">to </w:t>
      </w:r>
      <w:r w:rsidRPr="00650894">
        <w:rPr>
          <w:sz w:val="26"/>
          <w:szCs w:val="26"/>
        </w:rPr>
        <w:t>self</w:t>
      </w:r>
      <w:r w:rsidR="00593707" w:rsidRPr="00650894">
        <w:rPr>
          <w:sz w:val="26"/>
          <w:szCs w:val="26"/>
        </w:rPr>
        <w:noBreakHyphen/>
      </w:r>
      <w:r w:rsidRPr="00650894">
        <w:rPr>
          <w:sz w:val="26"/>
          <w:szCs w:val="26"/>
        </w:rPr>
        <w:t xml:space="preserve">provision facilities.  The record indicates that Verizon PA </w:t>
      </w:r>
      <w:r w:rsidR="00447E92" w:rsidRPr="00650894">
        <w:rPr>
          <w:sz w:val="26"/>
          <w:szCs w:val="26"/>
        </w:rPr>
        <w:t>has chosen</w:t>
      </w:r>
      <w:r w:rsidRPr="00650894">
        <w:rPr>
          <w:sz w:val="26"/>
          <w:szCs w:val="26"/>
        </w:rPr>
        <w:t xml:space="preserve"> to self</w:t>
      </w:r>
      <w:r w:rsidRPr="00650894">
        <w:rPr>
          <w:sz w:val="26"/>
          <w:szCs w:val="26"/>
        </w:rPr>
        <w:noBreakHyphen/>
        <w:t>provision trunks</w:t>
      </w:r>
      <w:r w:rsidR="00447E92" w:rsidRPr="00650894">
        <w:rPr>
          <w:sz w:val="26"/>
          <w:szCs w:val="26"/>
        </w:rPr>
        <w:t xml:space="preserve"> as opposed to ordering them from Core or from a third party</w:t>
      </w:r>
      <w:r w:rsidRPr="00650894">
        <w:rPr>
          <w:sz w:val="26"/>
          <w:szCs w:val="26"/>
        </w:rPr>
        <w:t xml:space="preserve">.  </w:t>
      </w:r>
      <w:r w:rsidR="001270E8" w:rsidRPr="00650894">
        <w:rPr>
          <w:sz w:val="26"/>
          <w:szCs w:val="26"/>
        </w:rPr>
        <w:t xml:space="preserve">Verizon St. 2.1 at 2; </w:t>
      </w:r>
      <w:r w:rsidRPr="00650894">
        <w:rPr>
          <w:sz w:val="26"/>
          <w:szCs w:val="26"/>
        </w:rPr>
        <w:t>Verizon M.B. at 14; Tr. at 7</w:t>
      </w:r>
      <w:r w:rsidR="004E6997" w:rsidRPr="00650894">
        <w:rPr>
          <w:sz w:val="26"/>
          <w:szCs w:val="26"/>
        </w:rPr>
        <w:t>3</w:t>
      </w:r>
      <w:r w:rsidR="004B10AE" w:rsidRPr="00650894">
        <w:rPr>
          <w:sz w:val="26"/>
          <w:szCs w:val="26"/>
        </w:rPr>
        <w:noBreakHyphen/>
      </w:r>
      <w:r w:rsidRPr="00650894">
        <w:rPr>
          <w:sz w:val="26"/>
          <w:szCs w:val="26"/>
        </w:rPr>
        <w:t>7</w:t>
      </w:r>
      <w:r w:rsidR="00606DC4" w:rsidRPr="00650894">
        <w:rPr>
          <w:sz w:val="26"/>
          <w:szCs w:val="26"/>
        </w:rPr>
        <w:t>6</w:t>
      </w:r>
      <w:r w:rsidRPr="00650894">
        <w:rPr>
          <w:sz w:val="26"/>
          <w:szCs w:val="26"/>
        </w:rPr>
        <w:t xml:space="preserve">.  As both the ALJ and Verizon PA point out, Core has not cited to any provision of the ICA that would prohibit Verizon PA from </w:t>
      </w:r>
      <w:r w:rsidR="00447E92" w:rsidRPr="00650894">
        <w:rPr>
          <w:sz w:val="26"/>
          <w:szCs w:val="26"/>
        </w:rPr>
        <w:t xml:space="preserve">self-provisioning trunks or from </w:t>
      </w:r>
      <w:r w:rsidRPr="00650894">
        <w:rPr>
          <w:sz w:val="26"/>
          <w:szCs w:val="26"/>
        </w:rPr>
        <w:t xml:space="preserve">using internal ASRs to submit self-provisioned trunk orders into its own internal provisioning system.  </w:t>
      </w:r>
      <w:r w:rsidR="00AA5D17" w:rsidRPr="00650894">
        <w:rPr>
          <w:sz w:val="26"/>
          <w:szCs w:val="26"/>
        </w:rPr>
        <w:t xml:space="preserve">Further, as noted above, Core acknowledges that the ICA “does not actually </w:t>
      </w:r>
      <w:r w:rsidR="00AA5D17" w:rsidRPr="00650894">
        <w:rPr>
          <w:i/>
          <w:sz w:val="26"/>
          <w:szCs w:val="26"/>
        </w:rPr>
        <w:t xml:space="preserve">prohibit </w:t>
      </w:r>
      <w:r w:rsidR="00AA5D17" w:rsidRPr="00650894">
        <w:rPr>
          <w:sz w:val="26"/>
          <w:szCs w:val="26"/>
        </w:rPr>
        <w:t>Verizon [PA] from using ASRs as an internal device to self-provision facilities.” Core Exc. at 7.</w:t>
      </w:r>
    </w:p>
    <w:p w:rsidR="00C376EC" w:rsidRPr="00650894" w:rsidRDefault="00C376EC" w:rsidP="00650894">
      <w:pPr>
        <w:spacing w:line="360" w:lineRule="auto"/>
        <w:ind w:firstLine="1440"/>
        <w:contextualSpacing/>
        <w:rPr>
          <w:sz w:val="26"/>
          <w:szCs w:val="26"/>
        </w:rPr>
      </w:pPr>
    </w:p>
    <w:p w:rsidR="001239C2" w:rsidRDefault="005D1D4A" w:rsidP="00650894">
      <w:pPr>
        <w:spacing w:line="360" w:lineRule="auto"/>
        <w:ind w:firstLine="1440"/>
        <w:contextualSpacing/>
        <w:rPr>
          <w:sz w:val="26"/>
          <w:szCs w:val="26"/>
        </w:rPr>
      </w:pPr>
      <w:r w:rsidRPr="00650894">
        <w:rPr>
          <w:sz w:val="26"/>
          <w:szCs w:val="26"/>
        </w:rPr>
        <w:t xml:space="preserve">As </w:t>
      </w:r>
      <w:r w:rsidR="00AA5D17" w:rsidRPr="00650894">
        <w:rPr>
          <w:sz w:val="26"/>
          <w:szCs w:val="26"/>
        </w:rPr>
        <w:t xml:space="preserve">also </w:t>
      </w:r>
      <w:r w:rsidRPr="00650894">
        <w:rPr>
          <w:sz w:val="26"/>
          <w:szCs w:val="26"/>
        </w:rPr>
        <w:t xml:space="preserve">outlined above, </w:t>
      </w:r>
      <w:r w:rsidR="00ED53BB" w:rsidRPr="00650894">
        <w:rPr>
          <w:sz w:val="26"/>
          <w:szCs w:val="26"/>
        </w:rPr>
        <w:t>Core proffered</w:t>
      </w:r>
      <w:r w:rsidRPr="00650894">
        <w:rPr>
          <w:sz w:val="26"/>
          <w:szCs w:val="26"/>
        </w:rPr>
        <w:t xml:space="preserve"> Core Exhibit N, which depicts a sample ASR that Core </w:t>
      </w:r>
      <w:r w:rsidR="00EB2056" w:rsidRPr="00650894">
        <w:rPr>
          <w:sz w:val="26"/>
          <w:szCs w:val="26"/>
        </w:rPr>
        <w:t>submitted for entry</w:t>
      </w:r>
      <w:r w:rsidRPr="00650894">
        <w:rPr>
          <w:sz w:val="26"/>
          <w:szCs w:val="26"/>
        </w:rPr>
        <w:t xml:space="preserve"> into the record with its Surrebuttal Testimony.  </w:t>
      </w:r>
      <w:r w:rsidR="00ED1016" w:rsidRPr="00650894">
        <w:rPr>
          <w:sz w:val="26"/>
          <w:szCs w:val="26"/>
        </w:rPr>
        <w:t xml:space="preserve">According to Core, this exhibit constitutes probative evidence that this ASR represents an order from Verizon PA for facilities from Core.  </w:t>
      </w:r>
      <w:r w:rsidR="00994CF9" w:rsidRPr="00650894">
        <w:rPr>
          <w:sz w:val="26"/>
          <w:szCs w:val="26"/>
        </w:rPr>
        <w:t xml:space="preserve">We disagree.  </w:t>
      </w:r>
      <w:r w:rsidR="00AB265B" w:rsidRPr="00650894">
        <w:rPr>
          <w:sz w:val="26"/>
          <w:szCs w:val="26"/>
        </w:rPr>
        <w:t>Although</w:t>
      </w:r>
      <w:r w:rsidR="00086A30" w:rsidRPr="00650894">
        <w:rPr>
          <w:sz w:val="26"/>
          <w:szCs w:val="26"/>
        </w:rPr>
        <w:t xml:space="preserve"> Core described each of the fields on this ASR, we find that Verizon PA has sufficiently rebutted Core’s assertion</w:t>
      </w:r>
      <w:r w:rsidR="00ED1016" w:rsidRPr="00650894">
        <w:rPr>
          <w:sz w:val="26"/>
          <w:szCs w:val="26"/>
        </w:rPr>
        <w:t>.</w:t>
      </w:r>
      <w:r w:rsidR="00086A30" w:rsidRPr="00650894">
        <w:rPr>
          <w:sz w:val="26"/>
          <w:szCs w:val="26"/>
        </w:rPr>
        <w:t xml:space="preserve">  </w:t>
      </w:r>
      <w:r w:rsidR="00ED53BB" w:rsidRPr="00650894">
        <w:rPr>
          <w:sz w:val="26"/>
          <w:szCs w:val="26"/>
        </w:rPr>
        <w:t>We specifically find</w:t>
      </w:r>
      <w:r w:rsidR="00086A30" w:rsidRPr="00650894">
        <w:rPr>
          <w:sz w:val="26"/>
          <w:szCs w:val="26"/>
        </w:rPr>
        <w:t xml:space="preserve"> persuasive Verizon PA’s explanation regarding the BAN in the “ADMINISTRATIVE SECTION” of the ASR.  </w:t>
      </w:r>
      <w:r w:rsidR="00AA5D17" w:rsidRPr="00650894">
        <w:rPr>
          <w:sz w:val="26"/>
          <w:szCs w:val="26"/>
        </w:rPr>
        <w:t>Namely</w:t>
      </w:r>
      <w:r w:rsidR="00086A30" w:rsidRPr="00650894">
        <w:rPr>
          <w:sz w:val="26"/>
          <w:szCs w:val="26"/>
        </w:rPr>
        <w:t xml:space="preserve">, Verizon PA submitted that the BAN represents a fictitious billing account which is included for the purpose of preventing Verizon PA’s </w:t>
      </w:r>
      <w:r w:rsidR="00AA5D17" w:rsidRPr="00650894">
        <w:rPr>
          <w:sz w:val="26"/>
          <w:szCs w:val="26"/>
        </w:rPr>
        <w:t>CABS</w:t>
      </w:r>
      <w:r w:rsidR="00086A30" w:rsidRPr="00650894">
        <w:rPr>
          <w:sz w:val="26"/>
          <w:szCs w:val="26"/>
        </w:rPr>
        <w:t xml:space="preserve"> from generating bills to Verizon PA for facilities.  </w:t>
      </w:r>
      <w:r w:rsidR="008C21A8" w:rsidRPr="00650894">
        <w:rPr>
          <w:sz w:val="26"/>
          <w:szCs w:val="26"/>
        </w:rPr>
        <w:t xml:space="preserve">The record indicates that Core had the opportunity to refute this </w:t>
      </w:r>
      <w:r w:rsidR="00E83F9D" w:rsidRPr="00650894">
        <w:rPr>
          <w:sz w:val="26"/>
          <w:szCs w:val="26"/>
        </w:rPr>
        <w:t>explanation but</w:t>
      </w:r>
      <w:r w:rsidR="008C21A8" w:rsidRPr="00650894">
        <w:rPr>
          <w:sz w:val="26"/>
          <w:szCs w:val="26"/>
        </w:rPr>
        <w:t xml:space="preserve"> did not.  Verizon PA R.B. at 6; Tr. at 12-21.  </w:t>
      </w:r>
      <w:r w:rsidR="007754C2" w:rsidRPr="00650894">
        <w:rPr>
          <w:sz w:val="26"/>
          <w:szCs w:val="26"/>
        </w:rPr>
        <w:t>Additionally,</w:t>
      </w:r>
      <w:r w:rsidR="00086A30" w:rsidRPr="00650894">
        <w:rPr>
          <w:sz w:val="26"/>
          <w:szCs w:val="26"/>
        </w:rPr>
        <w:t xml:space="preserve"> </w:t>
      </w:r>
      <w:r w:rsidR="00ED53BB" w:rsidRPr="00650894">
        <w:rPr>
          <w:sz w:val="26"/>
          <w:szCs w:val="26"/>
        </w:rPr>
        <w:t xml:space="preserve">we note </w:t>
      </w:r>
      <w:r w:rsidR="00086A30" w:rsidRPr="00650894">
        <w:rPr>
          <w:sz w:val="26"/>
          <w:szCs w:val="26"/>
        </w:rPr>
        <w:t xml:space="preserve">that Core </w:t>
      </w:r>
      <w:r w:rsidR="00ED53BB" w:rsidRPr="00650894">
        <w:rPr>
          <w:sz w:val="26"/>
          <w:szCs w:val="26"/>
        </w:rPr>
        <w:t>submitted</w:t>
      </w:r>
      <w:r w:rsidR="00086A30" w:rsidRPr="00650894">
        <w:rPr>
          <w:sz w:val="26"/>
          <w:szCs w:val="26"/>
        </w:rPr>
        <w:t xml:space="preserve"> </w:t>
      </w:r>
      <w:r w:rsidR="00704103" w:rsidRPr="00650894">
        <w:rPr>
          <w:sz w:val="26"/>
          <w:szCs w:val="26"/>
        </w:rPr>
        <w:t xml:space="preserve">two </w:t>
      </w:r>
      <w:r w:rsidR="00ED53BB" w:rsidRPr="00650894">
        <w:rPr>
          <w:sz w:val="26"/>
          <w:szCs w:val="26"/>
        </w:rPr>
        <w:t xml:space="preserve">other </w:t>
      </w:r>
      <w:r w:rsidR="00086A30" w:rsidRPr="00650894">
        <w:rPr>
          <w:sz w:val="26"/>
          <w:szCs w:val="26"/>
        </w:rPr>
        <w:t>ASRs into the record via Core Exhibits B</w:t>
      </w:r>
      <w:r w:rsidR="00704103" w:rsidRPr="00650894">
        <w:rPr>
          <w:sz w:val="26"/>
          <w:szCs w:val="26"/>
        </w:rPr>
        <w:t xml:space="preserve"> and</w:t>
      </w:r>
      <w:r w:rsidR="00086A30" w:rsidRPr="00650894">
        <w:rPr>
          <w:sz w:val="26"/>
          <w:szCs w:val="26"/>
        </w:rPr>
        <w:t xml:space="preserve"> E.  Our review of these exhibits indicates that</w:t>
      </w:r>
      <w:r w:rsidR="004C4145" w:rsidRPr="00650894">
        <w:rPr>
          <w:sz w:val="26"/>
          <w:szCs w:val="26"/>
        </w:rPr>
        <w:t xml:space="preserve"> </w:t>
      </w:r>
      <w:r w:rsidR="004866E9" w:rsidRPr="00650894">
        <w:rPr>
          <w:sz w:val="26"/>
          <w:szCs w:val="26"/>
        </w:rPr>
        <w:t>except for</w:t>
      </w:r>
      <w:r w:rsidR="004C4145" w:rsidRPr="00650894">
        <w:rPr>
          <w:sz w:val="26"/>
          <w:szCs w:val="26"/>
        </w:rPr>
        <w:t xml:space="preserve"> the area code,</w:t>
      </w:r>
      <w:r w:rsidR="00ED3926" w:rsidRPr="00650894">
        <w:rPr>
          <w:sz w:val="26"/>
          <w:szCs w:val="26"/>
        </w:rPr>
        <w:t xml:space="preserve"> </w:t>
      </w:r>
      <w:r w:rsidR="00086A30" w:rsidRPr="00650894">
        <w:rPr>
          <w:sz w:val="26"/>
          <w:szCs w:val="26"/>
        </w:rPr>
        <w:t>each of these ASRs contain the same fictitious BAN that is present on Core Exhibit N.</w:t>
      </w:r>
    </w:p>
    <w:p w:rsidR="001239C2" w:rsidRDefault="001239C2" w:rsidP="00650894">
      <w:pPr>
        <w:spacing w:line="360" w:lineRule="auto"/>
        <w:ind w:firstLine="1440"/>
        <w:contextualSpacing/>
        <w:rPr>
          <w:sz w:val="26"/>
          <w:szCs w:val="26"/>
        </w:rPr>
      </w:pPr>
    </w:p>
    <w:p w:rsidR="004A53A3" w:rsidRPr="002A7E53" w:rsidRDefault="001239C2" w:rsidP="00650894">
      <w:pPr>
        <w:spacing w:line="360" w:lineRule="auto"/>
        <w:ind w:firstLine="1440"/>
        <w:contextualSpacing/>
        <w:rPr>
          <w:sz w:val="26"/>
          <w:szCs w:val="26"/>
        </w:rPr>
      </w:pPr>
      <w:r>
        <w:rPr>
          <w:sz w:val="26"/>
          <w:szCs w:val="26"/>
        </w:rPr>
        <w:t xml:space="preserve">Thus, we find that this is similar to the proceeding between the Parties’ affiliates in Virginia.  As Verizon PA noted, in the </w:t>
      </w:r>
      <w:r>
        <w:rPr>
          <w:i/>
          <w:sz w:val="26"/>
          <w:szCs w:val="26"/>
        </w:rPr>
        <w:t xml:space="preserve">Eastern District Decision, </w:t>
      </w:r>
      <w:r>
        <w:rPr>
          <w:sz w:val="26"/>
          <w:szCs w:val="26"/>
        </w:rPr>
        <w:t xml:space="preserve">the </w:t>
      </w:r>
      <w:r w:rsidR="00755B05">
        <w:rPr>
          <w:sz w:val="26"/>
          <w:szCs w:val="26"/>
        </w:rPr>
        <w:t>U.S.</w:t>
      </w:r>
      <w:r>
        <w:rPr>
          <w:sz w:val="26"/>
          <w:szCs w:val="26"/>
        </w:rPr>
        <w:t xml:space="preserve"> District Court for the Eastern District of Virginia </w:t>
      </w:r>
      <w:r w:rsidR="00B11FD6">
        <w:rPr>
          <w:sz w:val="26"/>
          <w:szCs w:val="26"/>
        </w:rPr>
        <w:t xml:space="preserve">acknowledged that “[Verizon VA] assert[s] the ASRs are not in fact orders </w:t>
      </w:r>
      <w:r w:rsidR="002A7E53">
        <w:rPr>
          <w:sz w:val="26"/>
          <w:szCs w:val="26"/>
        </w:rPr>
        <w:t>but rather</w:t>
      </w:r>
      <w:r w:rsidR="00B11FD6">
        <w:rPr>
          <w:sz w:val="26"/>
          <w:szCs w:val="26"/>
        </w:rPr>
        <w:t xml:space="preserve"> reflect entries from [Verizon VA’s] own ordering systems provided to CoreTel so that CoreT</w:t>
      </w:r>
      <w:r w:rsidR="002A7E53">
        <w:rPr>
          <w:sz w:val="26"/>
          <w:szCs w:val="26"/>
        </w:rPr>
        <w:t>el</w:t>
      </w:r>
      <w:r w:rsidR="00B11FD6">
        <w:rPr>
          <w:sz w:val="26"/>
          <w:szCs w:val="26"/>
        </w:rPr>
        <w:t xml:space="preserve"> could configure its own network to receive the calls that would be delivered over the facilities [Verizon VA] self</w:t>
      </w:r>
      <w:r w:rsidR="00B11FD6">
        <w:rPr>
          <w:sz w:val="26"/>
          <w:szCs w:val="26"/>
        </w:rPr>
        <w:noBreakHyphen/>
        <w:t xml:space="preserve">provisioned.”  The Court then concluded that “[t]he ASR </w:t>
      </w:r>
      <w:r w:rsidR="00BB33DD">
        <w:rPr>
          <w:sz w:val="26"/>
          <w:szCs w:val="26"/>
        </w:rPr>
        <w:t>t</w:t>
      </w:r>
      <w:r w:rsidR="00B11FD6">
        <w:rPr>
          <w:sz w:val="26"/>
          <w:szCs w:val="26"/>
        </w:rPr>
        <w:t>hat was provided to this Court as evidence of an order was in fact part of an email and only evidences the sharing of this data with CoreTel so CoreTel could configure its own network.”</w:t>
      </w:r>
      <w:r w:rsidR="001A599F">
        <w:rPr>
          <w:sz w:val="26"/>
          <w:szCs w:val="26"/>
        </w:rPr>
        <w:t xml:space="preserve">  </w:t>
      </w:r>
      <w:r w:rsidR="001A599F">
        <w:rPr>
          <w:i/>
          <w:sz w:val="26"/>
          <w:szCs w:val="26"/>
        </w:rPr>
        <w:t xml:space="preserve">Eastern District Decision </w:t>
      </w:r>
      <w:r w:rsidR="001A599F">
        <w:rPr>
          <w:sz w:val="26"/>
          <w:szCs w:val="26"/>
        </w:rPr>
        <w:t xml:space="preserve">at 8.  </w:t>
      </w:r>
      <w:r w:rsidR="00BB33DD">
        <w:rPr>
          <w:sz w:val="26"/>
          <w:szCs w:val="26"/>
        </w:rPr>
        <w:t xml:space="preserve">As Verizon PA also pointed out, the Fourth Circuit did not overturn this finding in the </w:t>
      </w:r>
      <w:r w:rsidR="00BB33DD">
        <w:rPr>
          <w:i/>
          <w:sz w:val="26"/>
          <w:szCs w:val="26"/>
        </w:rPr>
        <w:t>CoreTel-Verizon VA Order.</w:t>
      </w:r>
      <w:r w:rsidR="002A7E53">
        <w:rPr>
          <w:sz w:val="26"/>
          <w:szCs w:val="26"/>
        </w:rPr>
        <w:t xml:space="preserve">  As discussed above, we reach this same conclusion based on the record in this present matter.</w:t>
      </w:r>
    </w:p>
    <w:p w:rsidR="004A53A3" w:rsidRDefault="004A53A3" w:rsidP="00650894">
      <w:pPr>
        <w:spacing w:line="360" w:lineRule="auto"/>
        <w:ind w:firstLine="1440"/>
        <w:contextualSpacing/>
        <w:rPr>
          <w:sz w:val="26"/>
          <w:szCs w:val="26"/>
        </w:rPr>
      </w:pPr>
    </w:p>
    <w:p w:rsidR="00EC2E4F" w:rsidRPr="00650894" w:rsidRDefault="00D43148" w:rsidP="00650894">
      <w:pPr>
        <w:spacing w:line="360" w:lineRule="auto"/>
        <w:ind w:firstLine="1440"/>
        <w:contextualSpacing/>
        <w:rPr>
          <w:sz w:val="26"/>
          <w:szCs w:val="26"/>
        </w:rPr>
      </w:pPr>
      <w:r w:rsidRPr="00650894">
        <w:rPr>
          <w:sz w:val="26"/>
          <w:szCs w:val="26"/>
        </w:rPr>
        <w:t>Further, the record indicates that although the Parties entered into the ICA in 2000 and that Verizon PA submitted copies of these internal ASRs to Core from the inception of the Parties’ ICA, Core never billed Verizon PA for the associated facilities charges</w:t>
      </w:r>
      <w:r w:rsidR="000900DD" w:rsidRPr="00650894">
        <w:rPr>
          <w:sz w:val="26"/>
          <w:szCs w:val="26"/>
        </w:rPr>
        <w:t xml:space="preserve"> prior to early 2012 when</w:t>
      </w:r>
      <w:r w:rsidRPr="00650894">
        <w:rPr>
          <w:sz w:val="26"/>
          <w:szCs w:val="26"/>
        </w:rPr>
        <w:t xml:space="preserve"> it began backbilling Verizon PA</w:t>
      </w:r>
      <w:r w:rsidR="0024004E" w:rsidRPr="00650894">
        <w:rPr>
          <w:sz w:val="26"/>
          <w:szCs w:val="26"/>
        </w:rPr>
        <w:t xml:space="preserve">, nor did Core assert that these ASRs </w:t>
      </w:r>
      <w:r w:rsidR="00253F73">
        <w:rPr>
          <w:sz w:val="26"/>
          <w:szCs w:val="26"/>
        </w:rPr>
        <w:t>constituted</w:t>
      </w:r>
      <w:r w:rsidR="0024004E" w:rsidRPr="00650894">
        <w:rPr>
          <w:sz w:val="26"/>
          <w:szCs w:val="26"/>
        </w:rPr>
        <w:t xml:space="preserve"> orders to Core for facilities from Core </w:t>
      </w:r>
      <w:r w:rsidR="00253F73">
        <w:rPr>
          <w:sz w:val="26"/>
          <w:szCs w:val="26"/>
        </w:rPr>
        <w:t xml:space="preserve">at any time </w:t>
      </w:r>
      <w:r w:rsidR="0024004E" w:rsidRPr="00650894">
        <w:rPr>
          <w:sz w:val="26"/>
          <w:szCs w:val="26"/>
        </w:rPr>
        <w:t>prior to 2012</w:t>
      </w:r>
      <w:r w:rsidRPr="00650894">
        <w:rPr>
          <w:sz w:val="26"/>
          <w:szCs w:val="26"/>
        </w:rPr>
        <w:t xml:space="preserve">.  Verizon M.B. at </w:t>
      </w:r>
      <w:r w:rsidR="00242EE5">
        <w:rPr>
          <w:sz w:val="26"/>
          <w:szCs w:val="26"/>
        </w:rPr>
        <w:t>7</w:t>
      </w:r>
      <w:r w:rsidRPr="00650894">
        <w:rPr>
          <w:sz w:val="26"/>
          <w:szCs w:val="26"/>
        </w:rPr>
        <w:t>, n.</w:t>
      </w:r>
      <w:r w:rsidR="00242EE5">
        <w:rPr>
          <w:sz w:val="26"/>
          <w:szCs w:val="26"/>
        </w:rPr>
        <w:t>13</w:t>
      </w:r>
    </w:p>
    <w:p w:rsidR="00151005" w:rsidRPr="00650894" w:rsidRDefault="00151005" w:rsidP="00650894">
      <w:pPr>
        <w:spacing w:line="360" w:lineRule="auto"/>
        <w:ind w:firstLine="1440"/>
        <w:contextualSpacing/>
        <w:rPr>
          <w:sz w:val="26"/>
          <w:szCs w:val="26"/>
        </w:rPr>
      </w:pPr>
    </w:p>
    <w:p w:rsidR="00E158C0" w:rsidRPr="00650894" w:rsidRDefault="00183DE3" w:rsidP="00650894">
      <w:pPr>
        <w:spacing w:line="360" w:lineRule="auto"/>
        <w:ind w:firstLine="1440"/>
        <w:contextualSpacing/>
        <w:rPr>
          <w:sz w:val="26"/>
          <w:szCs w:val="26"/>
        </w:rPr>
      </w:pPr>
      <w:r w:rsidRPr="00650894">
        <w:rPr>
          <w:sz w:val="26"/>
          <w:szCs w:val="26"/>
        </w:rPr>
        <w:t>Finally, as is discussed in more detail in the sections that follow, our review of the ICA indicates that</w:t>
      </w:r>
      <w:r w:rsidR="004757AA" w:rsidRPr="00650894">
        <w:rPr>
          <w:sz w:val="26"/>
          <w:szCs w:val="26"/>
        </w:rPr>
        <w:t xml:space="preserve"> it does not permit Core to bill </w:t>
      </w:r>
      <w:r w:rsidR="002A7E53">
        <w:rPr>
          <w:sz w:val="26"/>
          <w:szCs w:val="26"/>
        </w:rPr>
        <w:t xml:space="preserve">Verizon PA </w:t>
      </w:r>
      <w:r w:rsidR="004757AA" w:rsidRPr="00650894">
        <w:rPr>
          <w:sz w:val="26"/>
          <w:szCs w:val="26"/>
        </w:rPr>
        <w:t>for all facilities used to handle Verizon PA</w:t>
      </w:r>
      <w:r w:rsidR="002A7E53">
        <w:rPr>
          <w:sz w:val="26"/>
          <w:szCs w:val="26"/>
        </w:rPr>
        <w:t>’s</w:t>
      </w:r>
      <w:r w:rsidR="004757AA" w:rsidRPr="00650894">
        <w:rPr>
          <w:sz w:val="26"/>
          <w:szCs w:val="26"/>
        </w:rPr>
        <w:t xml:space="preserve"> originating traffic on Core’s side of </w:t>
      </w:r>
      <w:r w:rsidRPr="00650894">
        <w:rPr>
          <w:sz w:val="26"/>
          <w:szCs w:val="26"/>
        </w:rPr>
        <w:t xml:space="preserve">the POI.  Instead, the ICA limits Core to charging Verizon PA reciprocal compensation for </w:t>
      </w:r>
      <w:r w:rsidR="002A7E53">
        <w:rPr>
          <w:sz w:val="26"/>
          <w:szCs w:val="26"/>
        </w:rPr>
        <w:t xml:space="preserve">the </w:t>
      </w:r>
      <w:r w:rsidRPr="00650894">
        <w:rPr>
          <w:sz w:val="26"/>
          <w:szCs w:val="26"/>
        </w:rPr>
        <w:t>local traffic delivered by Verizon PA.</w:t>
      </w:r>
      <w:r w:rsidRPr="00650894">
        <w:rPr>
          <w:rStyle w:val="FootnoteReference"/>
        </w:rPr>
        <w:footnoteReference w:id="8"/>
      </w:r>
    </w:p>
    <w:p w:rsidR="00E04731" w:rsidRPr="00650894" w:rsidRDefault="00E04731" w:rsidP="00650894">
      <w:pPr>
        <w:spacing w:line="360" w:lineRule="auto"/>
        <w:ind w:firstLine="1440"/>
        <w:contextualSpacing/>
        <w:rPr>
          <w:sz w:val="26"/>
          <w:szCs w:val="26"/>
        </w:rPr>
      </w:pPr>
    </w:p>
    <w:p w:rsidR="005F2915" w:rsidRPr="00650894" w:rsidRDefault="005F2915" w:rsidP="00650894">
      <w:pPr>
        <w:spacing w:line="360" w:lineRule="auto"/>
        <w:ind w:firstLine="1440"/>
        <w:contextualSpacing/>
        <w:rPr>
          <w:sz w:val="26"/>
          <w:szCs w:val="26"/>
        </w:rPr>
      </w:pPr>
      <w:r w:rsidRPr="00650894">
        <w:rPr>
          <w:sz w:val="26"/>
          <w:szCs w:val="26"/>
        </w:rPr>
        <w:t xml:space="preserve">In light of the forgoing, Core’s Exception </w:t>
      </w:r>
      <w:r w:rsidR="002A7E53">
        <w:rPr>
          <w:sz w:val="26"/>
          <w:szCs w:val="26"/>
        </w:rPr>
        <w:t>No. 1 is</w:t>
      </w:r>
      <w:r w:rsidRPr="00650894">
        <w:rPr>
          <w:sz w:val="26"/>
          <w:szCs w:val="26"/>
        </w:rPr>
        <w:t xml:space="preserve"> denied.</w:t>
      </w:r>
    </w:p>
    <w:p w:rsidR="005F2915" w:rsidRPr="00650894" w:rsidRDefault="005F2915" w:rsidP="00650894">
      <w:pPr>
        <w:spacing w:line="360" w:lineRule="auto"/>
        <w:ind w:firstLine="1440"/>
        <w:contextualSpacing/>
        <w:rPr>
          <w:sz w:val="26"/>
          <w:szCs w:val="26"/>
        </w:rPr>
      </w:pPr>
    </w:p>
    <w:p w:rsidR="00490687" w:rsidRPr="00650894" w:rsidRDefault="00490687" w:rsidP="00B50E19">
      <w:pPr>
        <w:ind w:left="720" w:hanging="720"/>
        <w:contextualSpacing/>
        <w:rPr>
          <w:sz w:val="26"/>
          <w:szCs w:val="26"/>
        </w:rPr>
      </w:pPr>
      <w:r w:rsidRPr="00650894">
        <w:rPr>
          <w:b/>
          <w:sz w:val="26"/>
          <w:szCs w:val="26"/>
        </w:rPr>
        <w:t xml:space="preserve">D. </w:t>
      </w:r>
      <w:r w:rsidRPr="00650894">
        <w:rPr>
          <w:b/>
          <w:sz w:val="26"/>
          <w:szCs w:val="26"/>
        </w:rPr>
        <w:tab/>
        <w:t xml:space="preserve">Whether Core is authorized under the ICA to bill for the rates and </w:t>
      </w:r>
      <w:r w:rsidR="002A7E53">
        <w:rPr>
          <w:b/>
          <w:sz w:val="26"/>
          <w:szCs w:val="26"/>
        </w:rPr>
        <w:t>physical telecommunications facilities</w:t>
      </w:r>
      <w:r w:rsidRPr="00650894">
        <w:rPr>
          <w:b/>
          <w:sz w:val="26"/>
          <w:szCs w:val="26"/>
        </w:rPr>
        <w:t xml:space="preserve"> it charged Verizon PA (Core Exception Nos. 2 through 5)</w:t>
      </w:r>
    </w:p>
    <w:p w:rsidR="00490687" w:rsidRPr="00650894" w:rsidRDefault="00490687" w:rsidP="00650894">
      <w:pPr>
        <w:spacing w:line="360" w:lineRule="auto"/>
        <w:ind w:firstLine="1440"/>
        <w:contextualSpacing/>
        <w:rPr>
          <w:sz w:val="26"/>
          <w:szCs w:val="26"/>
        </w:rPr>
      </w:pPr>
    </w:p>
    <w:p w:rsidR="00490687" w:rsidRPr="00650894" w:rsidRDefault="007A76FE" w:rsidP="00650894">
      <w:pPr>
        <w:spacing w:line="360" w:lineRule="auto"/>
        <w:ind w:firstLine="1440"/>
        <w:contextualSpacing/>
        <w:rPr>
          <w:sz w:val="26"/>
          <w:szCs w:val="26"/>
        </w:rPr>
      </w:pPr>
      <w:r w:rsidRPr="00650894">
        <w:rPr>
          <w:sz w:val="26"/>
          <w:szCs w:val="26"/>
        </w:rPr>
        <w:t xml:space="preserve">Core’s Exception Nos. 2 through 5 address interrelated matters.  Each of these matters </w:t>
      </w:r>
      <w:r w:rsidR="00A15F22" w:rsidRPr="00650894">
        <w:rPr>
          <w:sz w:val="26"/>
          <w:szCs w:val="26"/>
        </w:rPr>
        <w:t>is</w:t>
      </w:r>
      <w:r w:rsidRPr="00650894">
        <w:rPr>
          <w:sz w:val="26"/>
          <w:szCs w:val="26"/>
        </w:rPr>
        <w:t xml:space="preserve"> outlined separately below</w:t>
      </w:r>
      <w:r w:rsidR="006F63F7" w:rsidRPr="00650894">
        <w:rPr>
          <w:sz w:val="26"/>
          <w:szCs w:val="26"/>
        </w:rPr>
        <w:t xml:space="preserve"> in sections D.1</w:t>
      </w:r>
      <w:r w:rsidR="002A7E53">
        <w:rPr>
          <w:sz w:val="26"/>
          <w:szCs w:val="26"/>
        </w:rPr>
        <w:t xml:space="preserve"> through </w:t>
      </w:r>
      <w:r w:rsidR="006F63F7" w:rsidRPr="00650894">
        <w:rPr>
          <w:sz w:val="26"/>
          <w:szCs w:val="26"/>
        </w:rPr>
        <w:t>D.4</w:t>
      </w:r>
      <w:r w:rsidRPr="00650894">
        <w:rPr>
          <w:sz w:val="26"/>
          <w:szCs w:val="26"/>
        </w:rPr>
        <w:t>.  However, we shall dispose of these matters simultaneously</w:t>
      </w:r>
      <w:r w:rsidR="006F63F7" w:rsidRPr="00650894">
        <w:rPr>
          <w:sz w:val="26"/>
          <w:szCs w:val="26"/>
        </w:rPr>
        <w:t xml:space="preserve"> in section D.5</w:t>
      </w:r>
      <w:r w:rsidRPr="00650894">
        <w:rPr>
          <w:sz w:val="26"/>
          <w:szCs w:val="26"/>
        </w:rPr>
        <w:t xml:space="preserve">.  </w:t>
      </w:r>
      <w:r w:rsidR="00FB7A2E" w:rsidRPr="00650894">
        <w:rPr>
          <w:sz w:val="26"/>
          <w:szCs w:val="26"/>
        </w:rPr>
        <w:t>Initially</w:t>
      </w:r>
      <w:r w:rsidRPr="00650894">
        <w:rPr>
          <w:sz w:val="26"/>
          <w:szCs w:val="26"/>
        </w:rPr>
        <w:t xml:space="preserve">, we note that </w:t>
      </w:r>
      <w:r w:rsidR="005D15C2" w:rsidRPr="00650894">
        <w:rPr>
          <w:sz w:val="26"/>
          <w:szCs w:val="26"/>
        </w:rPr>
        <w:t>as of the</w:t>
      </w:r>
      <w:r w:rsidR="00DB6602">
        <w:rPr>
          <w:sz w:val="26"/>
          <w:szCs w:val="26"/>
        </w:rPr>
        <w:t xml:space="preserve"> filing</w:t>
      </w:r>
      <w:r w:rsidR="005D15C2" w:rsidRPr="00650894">
        <w:rPr>
          <w:sz w:val="26"/>
          <w:szCs w:val="26"/>
        </w:rPr>
        <w:t xml:space="preserve"> of the Complaint</w:t>
      </w:r>
      <w:r w:rsidR="008552E2" w:rsidRPr="00650894">
        <w:rPr>
          <w:sz w:val="26"/>
          <w:szCs w:val="26"/>
        </w:rPr>
        <w:t xml:space="preserve"> on February 18, 2014</w:t>
      </w:r>
      <w:r w:rsidR="005D15C2" w:rsidRPr="00650894">
        <w:rPr>
          <w:sz w:val="26"/>
          <w:szCs w:val="26"/>
        </w:rPr>
        <w:t>, Core’s bills to Verizon PA, which Verizon PA disputes in their entirety</w:t>
      </w:r>
      <w:r w:rsidR="00FB7A2E" w:rsidRPr="00650894">
        <w:rPr>
          <w:sz w:val="26"/>
          <w:szCs w:val="26"/>
        </w:rPr>
        <w:t>,</w:t>
      </w:r>
      <w:r w:rsidR="005D15C2" w:rsidRPr="00650894">
        <w:rPr>
          <w:sz w:val="26"/>
          <w:szCs w:val="26"/>
        </w:rPr>
        <w:t xml:space="preserve"> are broken down as follows:</w:t>
      </w:r>
    </w:p>
    <w:p w:rsidR="005D15C2" w:rsidRPr="00650894" w:rsidRDefault="005D15C2" w:rsidP="002A7E53">
      <w:pPr>
        <w:keepNext/>
        <w:keepLines/>
        <w:spacing w:line="360" w:lineRule="auto"/>
        <w:ind w:firstLine="1440"/>
        <w:contextualSpacing/>
        <w:rPr>
          <w:sz w:val="26"/>
          <w:szCs w:val="26"/>
        </w:rPr>
      </w:pPr>
    </w:p>
    <w:tbl>
      <w:tblPr>
        <w:tblW w:w="4625" w:type="dxa"/>
        <w:jc w:val="center"/>
        <w:tblLook w:val="04A0" w:firstRow="1" w:lastRow="0" w:firstColumn="1" w:lastColumn="0" w:noHBand="0" w:noVBand="1"/>
      </w:tblPr>
      <w:tblGrid>
        <w:gridCol w:w="2645"/>
        <w:gridCol w:w="1980"/>
      </w:tblGrid>
      <w:tr w:rsidR="005D15C2" w:rsidRPr="00650894" w:rsidTr="005D15C2">
        <w:trPr>
          <w:trHeight w:val="300"/>
          <w:jc w:val="center"/>
        </w:trPr>
        <w:tc>
          <w:tcPr>
            <w:tcW w:w="2645" w:type="dxa"/>
            <w:tcBorders>
              <w:top w:val="nil"/>
              <w:left w:val="nil"/>
              <w:bottom w:val="nil"/>
              <w:right w:val="nil"/>
            </w:tcBorders>
            <w:shd w:val="clear" w:color="auto" w:fill="auto"/>
            <w:noWrap/>
            <w:vAlign w:val="bottom"/>
            <w:hideMark/>
          </w:tcPr>
          <w:p w:rsidR="005D15C2" w:rsidRPr="00650894" w:rsidRDefault="005D15C2" w:rsidP="002A7E53">
            <w:pPr>
              <w:keepNext/>
              <w:keepLines/>
              <w:contextualSpacing/>
              <w:rPr>
                <w:b/>
                <w:bCs/>
                <w:color w:val="000000"/>
                <w:sz w:val="26"/>
                <w:szCs w:val="26"/>
              </w:rPr>
            </w:pPr>
            <w:r w:rsidRPr="00650894">
              <w:rPr>
                <w:b/>
                <w:bCs/>
                <w:color w:val="000000"/>
                <w:sz w:val="26"/>
                <w:szCs w:val="26"/>
              </w:rPr>
              <w:t xml:space="preserve">Tandem </w:t>
            </w:r>
            <w:r w:rsidR="00977AD5">
              <w:rPr>
                <w:b/>
                <w:bCs/>
                <w:color w:val="000000"/>
                <w:sz w:val="26"/>
                <w:szCs w:val="26"/>
              </w:rPr>
              <w:t xml:space="preserve">Trunk </w:t>
            </w:r>
            <w:r w:rsidRPr="00650894">
              <w:rPr>
                <w:b/>
                <w:bCs/>
                <w:color w:val="000000"/>
                <w:sz w:val="26"/>
                <w:szCs w:val="26"/>
              </w:rPr>
              <w:t>Ports</w:t>
            </w:r>
          </w:p>
        </w:tc>
        <w:tc>
          <w:tcPr>
            <w:tcW w:w="1980" w:type="dxa"/>
            <w:tcBorders>
              <w:top w:val="nil"/>
              <w:left w:val="nil"/>
              <w:bottom w:val="nil"/>
              <w:right w:val="nil"/>
            </w:tcBorders>
            <w:shd w:val="clear" w:color="auto" w:fill="auto"/>
            <w:noWrap/>
            <w:vAlign w:val="bottom"/>
            <w:hideMark/>
          </w:tcPr>
          <w:p w:rsidR="005D15C2" w:rsidRPr="00650894" w:rsidRDefault="005D15C2" w:rsidP="002A7E53">
            <w:pPr>
              <w:keepNext/>
              <w:keepLines/>
              <w:contextualSpacing/>
              <w:jc w:val="right"/>
              <w:rPr>
                <w:color w:val="000000"/>
                <w:sz w:val="26"/>
                <w:szCs w:val="26"/>
              </w:rPr>
            </w:pPr>
            <w:r w:rsidRPr="00650894">
              <w:rPr>
                <w:color w:val="000000"/>
                <w:sz w:val="26"/>
                <w:szCs w:val="26"/>
              </w:rPr>
              <w:t xml:space="preserve"> $3,673,057.61</w:t>
            </w:r>
          </w:p>
        </w:tc>
      </w:tr>
      <w:tr w:rsidR="005D15C2" w:rsidRPr="00650894" w:rsidTr="005D15C2">
        <w:trPr>
          <w:trHeight w:val="300"/>
          <w:jc w:val="center"/>
        </w:trPr>
        <w:tc>
          <w:tcPr>
            <w:tcW w:w="2645" w:type="dxa"/>
            <w:tcBorders>
              <w:top w:val="nil"/>
              <w:left w:val="nil"/>
              <w:bottom w:val="nil"/>
              <w:right w:val="nil"/>
            </w:tcBorders>
            <w:shd w:val="clear" w:color="auto" w:fill="auto"/>
            <w:noWrap/>
            <w:vAlign w:val="bottom"/>
            <w:hideMark/>
          </w:tcPr>
          <w:p w:rsidR="005D15C2" w:rsidRPr="00650894" w:rsidRDefault="005D15C2" w:rsidP="002A7E53">
            <w:pPr>
              <w:keepNext/>
              <w:keepLines/>
              <w:contextualSpacing/>
              <w:rPr>
                <w:b/>
                <w:bCs/>
                <w:color w:val="000000"/>
                <w:sz w:val="26"/>
                <w:szCs w:val="26"/>
              </w:rPr>
            </w:pPr>
            <w:r w:rsidRPr="00650894">
              <w:rPr>
                <w:b/>
                <w:bCs/>
                <w:color w:val="000000"/>
                <w:sz w:val="26"/>
                <w:szCs w:val="26"/>
              </w:rPr>
              <w:t>Multiplexing</w:t>
            </w:r>
          </w:p>
        </w:tc>
        <w:tc>
          <w:tcPr>
            <w:tcW w:w="1980" w:type="dxa"/>
            <w:tcBorders>
              <w:top w:val="nil"/>
              <w:left w:val="nil"/>
              <w:bottom w:val="nil"/>
              <w:right w:val="nil"/>
            </w:tcBorders>
            <w:shd w:val="clear" w:color="auto" w:fill="auto"/>
            <w:noWrap/>
            <w:vAlign w:val="bottom"/>
            <w:hideMark/>
          </w:tcPr>
          <w:p w:rsidR="005D15C2" w:rsidRPr="00650894" w:rsidRDefault="005D15C2" w:rsidP="002A7E53">
            <w:pPr>
              <w:keepNext/>
              <w:keepLines/>
              <w:contextualSpacing/>
              <w:jc w:val="right"/>
              <w:rPr>
                <w:color w:val="000000"/>
                <w:sz w:val="26"/>
                <w:szCs w:val="26"/>
              </w:rPr>
            </w:pPr>
            <w:r w:rsidRPr="00650894">
              <w:rPr>
                <w:color w:val="000000"/>
                <w:sz w:val="26"/>
                <w:szCs w:val="26"/>
              </w:rPr>
              <w:t>241,114.58</w:t>
            </w:r>
          </w:p>
        </w:tc>
      </w:tr>
      <w:tr w:rsidR="005D15C2" w:rsidRPr="00650894" w:rsidTr="005D15C2">
        <w:trPr>
          <w:trHeight w:val="300"/>
          <w:jc w:val="center"/>
        </w:trPr>
        <w:tc>
          <w:tcPr>
            <w:tcW w:w="2645" w:type="dxa"/>
            <w:tcBorders>
              <w:top w:val="nil"/>
              <w:left w:val="nil"/>
              <w:bottom w:val="nil"/>
              <w:right w:val="nil"/>
            </w:tcBorders>
            <w:shd w:val="clear" w:color="auto" w:fill="auto"/>
            <w:noWrap/>
            <w:vAlign w:val="bottom"/>
            <w:hideMark/>
          </w:tcPr>
          <w:p w:rsidR="005D15C2" w:rsidRPr="00650894" w:rsidRDefault="005D15C2" w:rsidP="002A7E53">
            <w:pPr>
              <w:keepNext/>
              <w:keepLines/>
              <w:contextualSpacing/>
              <w:rPr>
                <w:b/>
                <w:bCs/>
                <w:color w:val="000000"/>
                <w:sz w:val="26"/>
                <w:szCs w:val="26"/>
              </w:rPr>
            </w:pPr>
            <w:r w:rsidRPr="00650894">
              <w:rPr>
                <w:b/>
                <w:bCs/>
                <w:color w:val="000000"/>
                <w:sz w:val="26"/>
                <w:szCs w:val="26"/>
              </w:rPr>
              <w:t>Entrance Facilities</w:t>
            </w:r>
          </w:p>
        </w:tc>
        <w:tc>
          <w:tcPr>
            <w:tcW w:w="1980" w:type="dxa"/>
            <w:tcBorders>
              <w:top w:val="nil"/>
              <w:left w:val="nil"/>
              <w:bottom w:val="nil"/>
              <w:right w:val="nil"/>
            </w:tcBorders>
            <w:shd w:val="clear" w:color="auto" w:fill="auto"/>
            <w:noWrap/>
            <w:vAlign w:val="bottom"/>
            <w:hideMark/>
          </w:tcPr>
          <w:p w:rsidR="005D15C2" w:rsidRPr="00650894" w:rsidRDefault="005D15C2" w:rsidP="002A7E53">
            <w:pPr>
              <w:keepNext/>
              <w:keepLines/>
              <w:contextualSpacing/>
              <w:jc w:val="right"/>
              <w:rPr>
                <w:color w:val="000000"/>
                <w:sz w:val="26"/>
                <w:szCs w:val="26"/>
              </w:rPr>
            </w:pPr>
            <w:r w:rsidRPr="00650894">
              <w:rPr>
                <w:color w:val="000000"/>
                <w:sz w:val="26"/>
                <w:szCs w:val="26"/>
              </w:rPr>
              <w:t>27,325.20</w:t>
            </w:r>
          </w:p>
        </w:tc>
      </w:tr>
      <w:tr w:rsidR="005D15C2" w:rsidRPr="00650894" w:rsidTr="005D15C2">
        <w:trPr>
          <w:trHeight w:val="300"/>
          <w:jc w:val="center"/>
        </w:trPr>
        <w:tc>
          <w:tcPr>
            <w:tcW w:w="2645" w:type="dxa"/>
            <w:tcBorders>
              <w:top w:val="nil"/>
              <w:left w:val="nil"/>
              <w:bottom w:val="single" w:sz="4" w:space="0" w:color="auto"/>
              <w:right w:val="nil"/>
            </w:tcBorders>
            <w:shd w:val="clear" w:color="auto" w:fill="auto"/>
            <w:noWrap/>
            <w:vAlign w:val="bottom"/>
            <w:hideMark/>
          </w:tcPr>
          <w:p w:rsidR="005D15C2" w:rsidRPr="00650894" w:rsidRDefault="005D15C2" w:rsidP="002A7E53">
            <w:pPr>
              <w:keepNext/>
              <w:keepLines/>
              <w:contextualSpacing/>
              <w:rPr>
                <w:b/>
                <w:bCs/>
                <w:color w:val="000000"/>
                <w:sz w:val="26"/>
                <w:szCs w:val="26"/>
              </w:rPr>
            </w:pPr>
            <w:r w:rsidRPr="00650894">
              <w:rPr>
                <w:b/>
                <w:bCs/>
                <w:color w:val="000000"/>
                <w:sz w:val="26"/>
                <w:szCs w:val="26"/>
              </w:rPr>
              <w:t>Dedicated Transport</w:t>
            </w:r>
          </w:p>
        </w:tc>
        <w:tc>
          <w:tcPr>
            <w:tcW w:w="1980" w:type="dxa"/>
            <w:tcBorders>
              <w:top w:val="nil"/>
              <w:left w:val="nil"/>
              <w:bottom w:val="single" w:sz="4" w:space="0" w:color="auto"/>
              <w:right w:val="nil"/>
            </w:tcBorders>
            <w:shd w:val="clear" w:color="auto" w:fill="auto"/>
            <w:noWrap/>
            <w:vAlign w:val="bottom"/>
            <w:hideMark/>
          </w:tcPr>
          <w:p w:rsidR="005D15C2" w:rsidRPr="00650894" w:rsidRDefault="005D15C2" w:rsidP="002A7E53">
            <w:pPr>
              <w:keepNext/>
              <w:keepLines/>
              <w:contextualSpacing/>
              <w:jc w:val="right"/>
              <w:rPr>
                <w:color w:val="000000"/>
                <w:sz w:val="26"/>
                <w:szCs w:val="26"/>
              </w:rPr>
            </w:pPr>
            <w:r w:rsidRPr="00650894">
              <w:rPr>
                <w:color w:val="000000"/>
                <w:sz w:val="26"/>
                <w:szCs w:val="26"/>
              </w:rPr>
              <w:t>14,181.72</w:t>
            </w:r>
          </w:p>
        </w:tc>
      </w:tr>
      <w:tr w:rsidR="005D15C2" w:rsidRPr="00650894" w:rsidTr="005D15C2">
        <w:trPr>
          <w:trHeight w:val="300"/>
          <w:jc w:val="center"/>
        </w:trPr>
        <w:tc>
          <w:tcPr>
            <w:tcW w:w="2645" w:type="dxa"/>
            <w:tcBorders>
              <w:top w:val="nil"/>
              <w:left w:val="nil"/>
              <w:bottom w:val="nil"/>
              <w:right w:val="nil"/>
            </w:tcBorders>
            <w:shd w:val="clear" w:color="auto" w:fill="auto"/>
            <w:noWrap/>
            <w:vAlign w:val="bottom"/>
            <w:hideMark/>
          </w:tcPr>
          <w:p w:rsidR="005D15C2" w:rsidRPr="00650894" w:rsidRDefault="005D15C2" w:rsidP="002A7E53">
            <w:pPr>
              <w:keepNext/>
              <w:keepLines/>
              <w:contextualSpacing/>
              <w:rPr>
                <w:b/>
                <w:bCs/>
                <w:color w:val="000000"/>
                <w:sz w:val="26"/>
                <w:szCs w:val="26"/>
              </w:rPr>
            </w:pPr>
            <w:r w:rsidRPr="00650894">
              <w:rPr>
                <w:b/>
                <w:bCs/>
                <w:color w:val="000000"/>
                <w:sz w:val="26"/>
                <w:szCs w:val="26"/>
              </w:rPr>
              <w:t>TOTAL</w:t>
            </w:r>
          </w:p>
        </w:tc>
        <w:tc>
          <w:tcPr>
            <w:tcW w:w="1980" w:type="dxa"/>
            <w:tcBorders>
              <w:top w:val="nil"/>
              <w:left w:val="nil"/>
              <w:bottom w:val="nil"/>
              <w:right w:val="nil"/>
            </w:tcBorders>
            <w:shd w:val="clear" w:color="auto" w:fill="auto"/>
            <w:noWrap/>
            <w:vAlign w:val="bottom"/>
            <w:hideMark/>
          </w:tcPr>
          <w:p w:rsidR="005D15C2" w:rsidRPr="00650894" w:rsidRDefault="005D15C2" w:rsidP="002A7E53">
            <w:pPr>
              <w:keepNext/>
              <w:keepLines/>
              <w:contextualSpacing/>
              <w:jc w:val="right"/>
              <w:rPr>
                <w:b/>
                <w:bCs/>
                <w:color w:val="000000"/>
                <w:sz w:val="26"/>
                <w:szCs w:val="26"/>
              </w:rPr>
            </w:pPr>
            <w:r w:rsidRPr="00650894">
              <w:rPr>
                <w:b/>
                <w:bCs/>
                <w:color w:val="000000"/>
                <w:sz w:val="26"/>
                <w:szCs w:val="26"/>
              </w:rPr>
              <w:t xml:space="preserve"> $3,955,679.11 </w:t>
            </w:r>
          </w:p>
        </w:tc>
      </w:tr>
    </w:tbl>
    <w:p w:rsidR="005D15C2" w:rsidRPr="00650894" w:rsidRDefault="005D15C2" w:rsidP="002A7E53">
      <w:pPr>
        <w:keepNext/>
        <w:keepLines/>
        <w:spacing w:line="360" w:lineRule="auto"/>
        <w:ind w:firstLine="1440"/>
        <w:contextualSpacing/>
        <w:rPr>
          <w:sz w:val="26"/>
          <w:szCs w:val="26"/>
        </w:rPr>
      </w:pPr>
    </w:p>
    <w:p w:rsidR="00724399" w:rsidRPr="00650894" w:rsidRDefault="005D15C2" w:rsidP="00650894">
      <w:pPr>
        <w:spacing w:line="360" w:lineRule="auto"/>
        <w:contextualSpacing/>
        <w:rPr>
          <w:sz w:val="26"/>
          <w:szCs w:val="26"/>
        </w:rPr>
      </w:pPr>
      <w:r w:rsidRPr="00650894">
        <w:rPr>
          <w:sz w:val="26"/>
          <w:szCs w:val="26"/>
        </w:rPr>
        <w:t>Core has continued to issue monthly facilities bills to Verizon PA since the filing of the Complaint, in the amount of $</w:t>
      </w:r>
      <w:r w:rsidR="00491500" w:rsidRPr="00650894">
        <w:rPr>
          <w:sz w:val="26"/>
          <w:szCs w:val="26"/>
        </w:rPr>
        <w:t>66,626.93</w:t>
      </w:r>
      <w:r w:rsidRPr="00650894">
        <w:rPr>
          <w:sz w:val="26"/>
          <w:szCs w:val="26"/>
        </w:rPr>
        <w:t xml:space="preserve"> per month.  Verizon PA M.B. at 8</w:t>
      </w:r>
      <w:r w:rsidR="00491500" w:rsidRPr="00650894">
        <w:rPr>
          <w:sz w:val="26"/>
          <w:szCs w:val="26"/>
        </w:rPr>
        <w:t>.</w:t>
      </w:r>
      <w:r w:rsidRPr="00650894">
        <w:rPr>
          <w:sz w:val="26"/>
          <w:szCs w:val="26"/>
        </w:rPr>
        <w:t xml:space="preserve"> </w:t>
      </w:r>
      <w:r w:rsidR="006C5EBB" w:rsidRPr="00650894">
        <w:rPr>
          <w:sz w:val="26"/>
          <w:szCs w:val="26"/>
        </w:rPr>
        <w:t xml:space="preserve"> </w:t>
      </w:r>
      <w:r w:rsidR="004B7367" w:rsidRPr="00650894">
        <w:rPr>
          <w:sz w:val="26"/>
          <w:szCs w:val="26"/>
        </w:rPr>
        <w:t xml:space="preserve">The record indicates that these amounts are inclusive of charges for the Erie LATA.  </w:t>
      </w:r>
      <w:r w:rsidR="000814B6" w:rsidRPr="00650894">
        <w:rPr>
          <w:sz w:val="26"/>
          <w:szCs w:val="26"/>
        </w:rPr>
        <w:t>However, a</w:t>
      </w:r>
      <w:r w:rsidR="004B7367" w:rsidRPr="00650894">
        <w:rPr>
          <w:sz w:val="26"/>
          <w:szCs w:val="26"/>
        </w:rPr>
        <w:t>s previously noted, Verizon PA does not operate in the Erie LATA</w:t>
      </w:r>
      <w:r w:rsidR="008552E2" w:rsidRPr="00650894">
        <w:rPr>
          <w:sz w:val="26"/>
          <w:szCs w:val="26"/>
        </w:rPr>
        <w:t xml:space="preserve"> and any charges attributable to this LATA will not be considered in the matter before us today</w:t>
      </w:r>
      <w:r w:rsidR="004B7367" w:rsidRPr="00650894">
        <w:rPr>
          <w:sz w:val="26"/>
          <w:szCs w:val="26"/>
        </w:rPr>
        <w:t xml:space="preserve">.  </w:t>
      </w:r>
      <w:r w:rsidR="000814B6" w:rsidRPr="00650894">
        <w:rPr>
          <w:sz w:val="26"/>
          <w:szCs w:val="26"/>
        </w:rPr>
        <w:t xml:space="preserve">Thus, </w:t>
      </w:r>
      <w:r w:rsidR="00724399" w:rsidRPr="00650894">
        <w:rPr>
          <w:sz w:val="26"/>
          <w:szCs w:val="26"/>
        </w:rPr>
        <w:t xml:space="preserve">as of </w:t>
      </w:r>
      <w:r w:rsidR="004F3B6F" w:rsidRPr="00650894">
        <w:rPr>
          <w:sz w:val="26"/>
          <w:szCs w:val="26"/>
        </w:rPr>
        <w:t>July 1, 2014, Core’s bills to Verizon PA</w:t>
      </w:r>
      <w:r w:rsidR="000814B6" w:rsidRPr="00650894">
        <w:rPr>
          <w:sz w:val="26"/>
          <w:szCs w:val="26"/>
        </w:rPr>
        <w:t>, excluding charges attributable to the Erie LATA,</w:t>
      </w:r>
      <w:r w:rsidR="004F3B6F" w:rsidRPr="00650894">
        <w:rPr>
          <w:sz w:val="26"/>
          <w:szCs w:val="26"/>
        </w:rPr>
        <w:t xml:space="preserve"> totaled $3,970,804.38</w:t>
      </w:r>
      <w:r w:rsidR="000814B6" w:rsidRPr="00650894">
        <w:rPr>
          <w:sz w:val="26"/>
          <w:szCs w:val="26"/>
        </w:rPr>
        <w:t>.  Core has issued monthly facilities bills, excluding charges for the Erie LATA, in the amount of $59,919.26 since this date.  Core M.B. at 26; Core Exh H; Verizon PA Exh H.</w:t>
      </w:r>
      <w:r w:rsidR="00BE6DA5" w:rsidRPr="00650894">
        <w:rPr>
          <w:rStyle w:val="FootnoteReference"/>
        </w:rPr>
        <w:footnoteReference w:id="9"/>
      </w:r>
    </w:p>
    <w:p w:rsidR="00BF6731" w:rsidRPr="00650894" w:rsidRDefault="00BF6731" w:rsidP="00650894">
      <w:pPr>
        <w:spacing w:line="360" w:lineRule="auto"/>
        <w:contextualSpacing/>
        <w:rPr>
          <w:sz w:val="26"/>
          <w:szCs w:val="26"/>
        </w:rPr>
      </w:pPr>
    </w:p>
    <w:p w:rsidR="00521592" w:rsidRPr="00650894" w:rsidRDefault="00490687" w:rsidP="00B50E19">
      <w:pPr>
        <w:keepNext/>
        <w:keepLines/>
        <w:ind w:left="1440" w:hanging="720"/>
        <w:contextualSpacing/>
        <w:rPr>
          <w:b/>
          <w:sz w:val="26"/>
          <w:szCs w:val="26"/>
        </w:rPr>
      </w:pPr>
      <w:bookmarkStart w:id="3" w:name="_Hlk517697000"/>
      <w:r w:rsidRPr="00650894">
        <w:rPr>
          <w:b/>
          <w:sz w:val="26"/>
          <w:szCs w:val="26"/>
        </w:rPr>
        <w:t>1</w:t>
      </w:r>
      <w:r w:rsidR="00521592" w:rsidRPr="00650894">
        <w:rPr>
          <w:b/>
          <w:sz w:val="26"/>
          <w:szCs w:val="26"/>
        </w:rPr>
        <w:t xml:space="preserve">. </w:t>
      </w:r>
      <w:r w:rsidR="00521592" w:rsidRPr="00650894">
        <w:rPr>
          <w:b/>
          <w:sz w:val="26"/>
          <w:szCs w:val="26"/>
        </w:rPr>
        <w:tab/>
      </w:r>
      <w:r w:rsidR="00656A14" w:rsidRPr="00650894">
        <w:rPr>
          <w:b/>
          <w:sz w:val="26"/>
          <w:szCs w:val="26"/>
        </w:rPr>
        <w:t>Whether</w:t>
      </w:r>
      <w:r w:rsidR="00560B36" w:rsidRPr="00650894">
        <w:rPr>
          <w:b/>
          <w:sz w:val="26"/>
          <w:szCs w:val="26"/>
        </w:rPr>
        <w:t xml:space="preserve"> Core </w:t>
      </w:r>
      <w:r w:rsidR="00656A14" w:rsidRPr="00650894">
        <w:rPr>
          <w:b/>
          <w:sz w:val="26"/>
          <w:szCs w:val="26"/>
        </w:rPr>
        <w:t xml:space="preserve">is </w:t>
      </w:r>
      <w:r w:rsidR="00560B36" w:rsidRPr="00650894">
        <w:rPr>
          <w:b/>
          <w:sz w:val="26"/>
          <w:szCs w:val="26"/>
        </w:rPr>
        <w:t>authorized under the ICA to bill for the rates it charged Verizon PA</w:t>
      </w:r>
      <w:r w:rsidR="004D141F" w:rsidRPr="00650894">
        <w:rPr>
          <w:b/>
          <w:sz w:val="26"/>
          <w:szCs w:val="26"/>
        </w:rPr>
        <w:t xml:space="preserve"> (Core Exception No. 2)</w:t>
      </w:r>
    </w:p>
    <w:bookmarkEnd w:id="3"/>
    <w:p w:rsidR="00656A14" w:rsidRPr="00650894" w:rsidRDefault="00656A14" w:rsidP="00650894">
      <w:pPr>
        <w:keepNext/>
        <w:keepLines/>
        <w:spacing w:line="360" w:lineRule="auto"/>
        <w:contextualSpacing/>
        <w:rPr>
          <w:sz w:val="26"/>
          <w:szCs w:val="26"/>
        </w:rPr>
      </w:pPr>
    </w:p>
    <w:p w:rsidR="00E04731" w:rsidRPr="00650894" w:rsidRDefault="00490687" w:rsidP="00B50E19">
      <w:pPr>
        <w:keepNext/>
        <w:keepLines/>
        <w:spacing w:line="360" w:lineRule="auto"/>
        <w:ind w:left="1440"/>
        <w:contextualSpacing/>
        <w:rPr>
          <w:b/>
          <w:sz w:val="26"/>
          <w:szCs w:val="26"/>
        </w:rPr>
      </w:pPr>
      <w:r w:rsidRPr="00650894">
        <w:rPr>
          <w:b/>
          <w:sz w:val="26"/>
          <w:szCs w:val="26"/>
        </w:rPr>
        <w:t>a</w:t>
      </w:r>
      <w:r w:rsidR="00E04731" w:rsidRPr="00650894">
        <w:rPr>
          <w:b/>
          <w:sz w:val="26"/>
          <w:szCs w:val="26"/>
        </w:rPr>
        <w:t>.</w:t>
      </w:r>
      <w:r w:rsidR="00E04731" w:rsidRPr="00650894">
        <w:rPr>
          <w:b/>
          <w:sz w:val="26"/>
          <w:szCs w:val="26"/>
        </w:rPr>
        <w:tab/>
        <w:t>Positions of the Parties</w:t>
      </w:r>
    </w:p>
    <w:p w:rsidR="00E04731" w:rsidRPr="00650894" w:rsidRDefault="00E04731" w:rsidP="00650894">
      <w:pPr>
        <w:keepNext/>
        <w:keepLines/>
        <w:spacing w:line="360" w:lineRule="auto"/>
        <w:ind w:firstLine="1440"/>
        <w:contextualSpacing/>
        <w:rPr>
          <w:sz w:val="26"/>
          <w:szCs w:val="26"/>
        </w:rPr>
      </w:pPr>
    </w:p>
    <w:p w:rsidR="00BB6FD5" w:rsidRPr="00650894" w:rsidRDefault="0015769D" w:rsidP="00650894">
      <w:pPr>
        <w:spacing w:line="360" w:lineRule="auto"/>
        <w:ind w:firstLine="1440"/>
        <w:contextualSpacing/>
        <w:rPr>
          <w:sz w:val="26"/>
          <w:szCs w:val="26"/>
        </w:rPr>
      </w:pPr>
      <w:r w:rsidRPr="00650894">
        <w:rPr>
          <w:sz w:val="26"/>
          <w:szCs w:val="26"/>
        </w:rPr>
        <w:t xml:space="preserve">Core argued that </w:t>
      </w:r>
      <w:r w:rsidR="00545580" w:rsidRPr="00650894">
        <w:rPr>
          <w:sz w:val="26"/>
          <w:szCs w:val="26"/>
        </w:rPr>
        <w:t xml:space="preserve">the </w:t>
      </w:r>
      <w:r w:rsidR="00016C89" w:rsidRPr="00650894">
        <w:rPr>
          <w:sz w:val="26"/>
          <w:szCs w:val="26"/>
        </w:rPr>
        <w:t>ICA’s Pricing Appendix</w:t>
      </w:r>
      <w:r w:rsidR="00E84495" w:rsidRPr="00650894">
        <w:rPr>
          <w:sz w:val="26"/>
          <w:szCs w:val="26"/>
        </w:rPr>
        <w:t xml:space="preserve"> </w:t>
      </w:r>
      <w:r w:rsidR="00A42584" w:rsidRPr="00650894">
        <w:rPr>
          <w:sz w:val="26"/>
          <w:szCs w:val="26"/>
        </w:rPr>
        <w:t>outlines</w:t>
      </w:r>
      <w:r w:rsidRPr="00650894">
        <w:rPr>
          <w:sz w:val="26"/>
          <w:szCs w:val="26"/>
        </w:rPr>
        <w:t xml:space="preserve"> the rates applicable to the elements Core billed to </w:t>
      </w:r>
      <w:r w:rsidR="00662C03" w:rsidRPr="00650894">
        <w:rPr>
          <w:sz w:val="26"/>
          <w:szCs w:val="26"/>
        </w:rPr>
        <w:t>Verizon PA</w:t>
      </w:r>
      <w:r w:rsidRPr="00650894">
        <w:rPr>
          <w:sz w:val="26"/>
          <w:szCs w:val="26"/>
        </w:rPr>
        <w:t xml:space="preserve">, including </w:t>
      </w:r>
      <w:r w:rsidR="001D4112" w:rsidRPr="00650894">
        <w:rPr>
          <w:sz w:val="26"/>
          <w:szCs w:val="26"/>
        </w:rPr>
        <w:t xml:space="preserve">the rates for </w:t>
      </w:r>
      <w:r w:rsidR="00882BB0">
        <w:rPr>
          <w:sz w:val="26"/>
          <w:szCs w:val="26"/>
        </w:rPr>
        <w:t xml:space="preserve">tandem </w:t>
      </w:r>
      <w:r w:rsidRPr="00650894">
        <w:rPr>
          <w:sz w:val="26"/>
          <w:szCs w:val="26"/>
        </w:rPr>
        <w:t xml:space="preserve">trunk ports, multiplexing, </w:t>
      </w:r>
      <w:r w:rsidR="00DB18AA" w:rsidRPr="00650894">
        <w:rPr>
          <w:sz w:val="26"/>
          <w:szCs w:val="26"/>
        </w:rPr>
        <w:t>entrance facilities</w:t>
      </w:r>
      <w:r w:rsidR="00DB18AA">
        <w:rPr>
          <w:sz w:val="26"/>
          <w:szCs w:val="26"/>
        </w:rPr>
        <w:t xml:space="preserve"> and </w:t>
      </w:r>
      <w:r w:rsidRPr="00650894">
        <w:rPr>
          <w:sz w:val="26"/>
          <w:szCs w:val="26"/>
        </w:rPr>
        <w:t>dedicated transport</w:t>
      </w:r>
      <w:r w:rsidR="00DB18AA">
        <w:rPr>
          <w:sz w:val="26"/>
          <w:szCs w:val="26"/>
        </w:rPr>
        <w:t>.</w:t>
      </w:r>
      <w:r w:rsidRPr="00650894">
        <w:rPr>
          <w:sz w:val="26"/>
          <w:szCs w:val="26"/>
        </w:rPr>
        <w:t xml:space="preserve">  According to Core, although most of the specific rates appear </w:t>
      </w:r>
      <w:r w:rsidR="00E84495" w:rsidRPr="00650894">
        <w:rPr>
          <w:sz w:val="26"/>
          <w:szCs w:val="26"/>
        </w:rPr>
        <w:t>in Section A of the Pricing Appendix</w:t>
      </w:r>
      <w:r w:rsidRPr="00650894">
        <w:rPr>
          <w:sz w:val="26"/>
          <w:szCs w:val="26"/>
        </w:rPr>
        <w:t>, entitled “Verizon Services,</w:t>
      </w:r>
      <w:r w:rsidR="00545580" w:rsidRPr="00650894">
        <w:rPr>
          <w:sz w:val="26"/>
          <w:szCs w:val="26"/>
        </w:rPr>
        <w:t xml:space="preserve"> Facilities and Arrangements,” </w:t>
      </w:r>
      <w:r w:rsidR="00E84495" w:rsidRPr="00650894">
        <w:rPr>
          <w:sz w:val="26"/>
          <w:szCs w:val="26"/>
        </w:rPr>
        <w:t>Section</w:t>
      </w:r>
      <w:r w:rsidRPr="00650894">
        <w:rPr>
          <w:sz w:val="26"/>
          <w:szCs w:val="26"/>
        </w:rPr>
        <w:t xml:space="preserve"> B.V. </w:t>
      </w:r>
      <w:r w:rsidR="00545580" w:rsidRPr="00650894">
        <w:rPr>
          <w:sz w:val="26"/>
          <w:szCs w:val="26"/>
        </w:rPr>
        <w:t xml:space="preserve">of the Pricing Appendix </w:t>
      </w:r>
      <w:r w:rsidR="004F2CFF" w:rsidRPr="00650894">
        <w:rPr>
          <w:sz w:val="26"/>
          <w:szCs w:val="26"/>
        </w:rPr>
        <w:t>empowers</w:t>
      </w:r>
      <w:r w:rsidRPr="00650894">
        <w:rPr>
          <w:sz w:val="26"/>
          <w:szCs w:val="26"/>
        </w:rPr>
        <w:t xml:space="preserve"> Core to mirror these same Verizon PA rates</w:t>
      </w:r>
      <w:r w:rsidR="00092744" w:rsidRPr="00650894">
        <w:rPr>
          <w:sz w:val="26"/>
          <w:szCs w:val="26"/>
        </w:rPr>
        <w:t xml:space="preserve"> by using Core’s tariffed or otherwise generally available rates, not to exceed Verizon PA’s rates for equivalent services</w:t>
      </w:r>
      <w:r w:rsidRPr="00650894">
        <w:rPr>
          <w:sz w:val="26"/>
          <w:szCs w:val="26"/>
        </w:rPr>
        <w:t xml:space="preserve">.  In Core’s view, all of the services for which it billed Verizon </w:t>
      </w:r>
      <w:r w:rsidR="00092744" w:rsidRPr="00650894">
        <w:rPr>
          <w:sz w:val="26"/>
          <w:szCs w:val="26"/>
        </w:rPr>
        <w:t xml:space="preserve">PA </w:t>
      </w:r>
      <w:r w:rsidR="003762E7" w:rsidRPr="00650894">
        <w:rPr>
          <w:sz w:val="26"/>
          <w:szCs w:val="26"/>
        </w:rPr>
        <w:t>enable</w:t>
      </w:r>
      <w:r w:rsidRPr="00650894">
        <w:rPr>
          <w:sz w:val="26"/>
          <w:szCs w:val="26"/>
        </w:rPr>
        <w:t xml:space="preserve"> local exchange competition by supporting the flow of interconnection traffic from Verizon </w:t>
      </w:r>
      <w:r w:rsidR="003762E7" w:rsidRPr="00650894">
        <w:rPr>
          <w:sz w:val="26"/>
          <w:szCs w:val="26"/>
        </w:rPr>
        <w:t xml:space="preserve">PA </w:t>
      </w:r>
      <w:r w:rsidRPr="00650894">
        <w:rPr>
          <w:sz w:val="26"/>
          <w:szCs w:val="26"/>
        </w:rPr>
        <w:t>to Core.  Core submitted that</w:t>
      </w:r>
      <w:r w:rsidR="001D4112" w:rsidRPr="00650894">
        <w:rPr>
          <w:sz w:val="26"/>
          <w:szCs w:val="26"/>
        </w:rPr>
        <w:t xml:space="preserve"> </w:t>
      </w:r>
      <w:r w:rsidR="00996996" w:rsidRPr="00650894">
        <w:rPr>
          <w:sz w:val="26"/>
          <w:szCs w:val="26"/>
        </w:rPr>
        <w:t>it may</w:t>
      </w:r>
      <w:r w:rsidR="001D4112" w:rsidRPr="00650894">
        <w:rPr>
          <w:sz w:val="26"/>
          <w:szCs w:val="26"/>
        </w:rPr>
        <w:t xml:space="preserve"> bill Verizon PA at any generally available rate</w:t>
      </w:r>
      <w:r w:rsidR="009415E8" w:rsidRPr="00650894">
        <w:rPr>
          <w:sz w:val="26"/>
          <w:szCs w:val="26"/>
        </w:rPr>
        <w:t xml:space="preserve"> as long as that rate</w:t>
      </w:r>
      <w:r w:rsidR="00996996" w:rsidRPr="00650894">
        <w:rPr>
          <w:sz w:val="26"/>
          <w:szCs w:val="26"/>
        </w:rPr>
        <w:t xml:space="preserve"> does</w:t>
      </w:r>
      <w:r w:rsidR="00B860DB" w:rsidRPr="00650894">
        <w:rPr>
          <w:sz w:val="26"/>
          <w:szCs w:val="26"/>
        </w:rPr>
        <w:t xml:space="preserve"> </w:t>
      </w:r>
      <w:r w:rsidR="00996996" w:rsidRPr="00650894">
        <w:rPr>
          <w:sz w:val="26"/>
          <w:szCs w:val="26"/>
        </w:rPr>
        <w:t>n</w:t>
      </w:r>
      <w:r w:rsidR="00B860DB" w:rsidRPr="00650894">
        <w:rPr>
          <w:sz w:val="26"/>
          <w:szCs w:val="26"/>
        </w:rPr>
        <w:t>o</w:t>
      </w:r>
      <w:r w:rsidR="00996996" w:rsidRPr="00650894">
        <w:rPr>
          <w:sz w:val="26"/>
          <w:szCs w:val="26"/>
        </w:rPr>
        <w:t>t exceed Verizon PA’s</w:t>
      </w:r>
      <w:r w:rsidR="0087440F" w:rsidRPr="00650894">
        <w:rPr>
          <w:sz w:val="26"/>
          <w:szCs w:val="26"/>
        </w:rPr>
        <w:t xml:space="preserve"> and that the ICA does not require Core to have a tariff to bill such rates</w:t>
      </w:r>
      <w:r w:rsidR="002224BA" w:rsidRPr="00650894">
        <w:rPr>
          <w:sz w:val="26"/>
          <w:szCs w:val="26"/>
        </w:rPr>
        <w:t xml:space="preserve">.  </w:t>
      </w:r>
      <w:r w:rsidR="0087440F" w:rsidRPr="00650894">
        <w:rPr>
          <w:sz w:val="26"/>
          <w:szCs w:val="26"/>
        </w:rPr>
        <w:t xml:space="preserve">Rather, </w:t>
      </w:r>
      <w:r w:rsidR="002224BA" w:rsidRPr="00650894">
        <w:rPr>
          <w:sz w:val="26"/>
          <w:szCs w:val="26"/>
        </w:rPr>
        <w:t>Core posit</w:t>
      </w:r>
      <w:r w:rsidR="001D4112" w:rsidRPr="00650894">
        <w:rPr>
          <w:sz w:val="26"/>
          <w:szCs w:val="26"/>
        </w:rPr>
        <w:t>ed</w:t>
      </w:r>
      <w:r w:rsidRPr="00650894">
        <w:rPr>
          <w:sz w:val="26"/>
          <w:szCs w:val="26"/>
        </w:rPr>
        <w:t xml:space="preserve"> </w:t>
      </w:r>
      <w:r w:rsidR="001D4112" w:rsidRPr="00650894">
        <w:rPr>
          <w:sz w:val="26"/>
          <w:szCs w:val="26"/>
        </w:rPr>
        <w:t xml:space="preserve">that </w:t>
      </w:r>
      <w:r w:rsidRPr="00650894">
        <w:rPr>
          <w:sz w:val="26"/>
          <w:szCs w:val="26"/>
        </w:rPr>
        <w:t xml:space="preserve">it </w:t>
      </w:r>
      <w:r w:rsidR="001D4112" w:rsidRPr="00650894">
        <w:rPr>
          <w:sz w:val="26"/>
          <w:szCs w:val="26"/>
        </w:rPr>
        <w:t>made these</w:t>
      </w:r>
      <w:r w:rsidRPr="00650894">
        <w:rPr>
          <w:sz w:val="26"/>
          <w:szCs w:val="26"/>
        </w:rPr>
        <w:t xml:space="preserve"> rates available to Verizon PA simply by </w:t>
      </w:r>
      <w:r w:rsidR="00092744" w:rsidRPr="00650894">
        <w:rPr>
          <w:sz w:val="26"/>
          <w:szCs w:val="26"/>
        </w:rPr>
        <w:t xml:space="preserve">billing Verizon PA for the services at the applicable rates in the ICA.  Thus, Core argued that </w:t>
      </w:r>
      <w:r w:rsidR="001D4112" w:rsidRPr="00650894">
        <w:rPr>
          <w:sz w:val="26"/>
          <w:szCs w:val="26"/>
        </w:rPr>
        <w:t xml:space="preserve">such rates were Core’s generally available rates for interconnection services. </w:t>
      </w:r>
      <w:r w:rsidR="00092744" w:rsidRPr="00650894">
        <w:rPr>
          <w:sz w:val="26"/>
          <w:szCs w:val="26"/>
        </w:rPr>
        <w:t xml:space="preserve"> </w:t>
      </w:r>
      <w:r w:rsidR="00BB6FD5" w:rsidRPr="00650894">
        <w:rPr>
          <w:sz w:val="26"/>
          <w:szCs w:val="26"/>
        </w:rPr>
        <w:t>Core M.B. at 18-19.</w:t>
      </w:r>
    </w:p>
    <w:p w:rsidR="00BB6FD5" w:rsidRPr="00650894" w:rsidRDefault="00BB6FD5" w:rsidP="00650894">
      <w:pPr>
        <w:spacing w:line="360" w:lineRule="auto"/>
        <w:ind w:firstLine="1440"/>
        <w:contextualSpacing/>
        <w:rPr>
          <w:sz w:val="26"/>
          <w:szCs w:val="26"/>
        </w:rPr>
      </w:pPr>
    </w:p>
    <w:p w:rsidR="0069036A" w:rsidRPr="00650894" w:rsidRDefault="00BB6FD5" w:rsidP="00650894">
      <w:pPr>
        <w:spacing w:line="360" w:lineRule="auto"/>
        <w:ind w:firstLine="1440"/>
        <w:contextualSpacing/>
        <w:rPr>
          <w:sz w:val="26"/>
          <w:szCs w:val="26"/>
        </w:rPr>
      </w:pPr>
      <w:r w:rsidRPr="00650894">
        <w:rPr>
          <w:sz w:val="26"/>
          <w:szCs w:val="26"/>
        </w:rPr>
        <w:t>Core refuted Verizon PA’s</w:t>
      </w:r>
      <w:r w:rsidR="0069036A" w:rsidRPr="00650894">
        <w:rPr>
          <w:sz w:val="26"/>
          <w:szCs w:val="26"/>
        </w:rPr>
        <w:t xml:space="preserve"> argument, outlined </w:t>
      </w:r>
      <w:r w:rsidR="0069036A" w:rsidRPr="00650894">
        <w:rPr>
          <w:i/>
          <w:sz w:val="26"/>
          <w:szCs w:val="26"/>
        </w:rPr>
        <w:t>infra,</w:t>
      </w:r>
      <w:r w:rsidR="0069036A" w:rsidRPr="00650894">
        <w:rPr>
          <w:sz w:val="26"/>
          <w:szCs w:val="26"/>
        </w:rPr>
        <w:t xml:space="preserve"> that the ICA was automatically updated to </w:t>
      </w:r>
      <w:r w:rsidR="00A45D44" w:rsidRPr="00650894">
        <w:rPr>
          <w:sz w:val="26"/>
          <w:szCs w:val="26"/>
        </w:rPr>
        <w:t>incorporate</w:t>
      </w:r>
      <w:r w:rsidR="0069036A" w:rsidRPr="00650894">
        <w:rPr>
          <w:sz w:val="26"/>
          <w:szCs w:val="26"/>
        </w:rPr>
        <w:t xml:space="preserve"> the </w:t>
      </w:r>
      <w:r w:rsidR="00A45D44" w:rsidRPr="00650894">
        <w:rPr>
          <w:sz w:val="26"/>
          <w:szCs w:val="26"/>
        </w:rPr>
        <w:t xml:space="preserve">TELRIC rates </w:t>
      </w:r>
      <w:r w:rsidR="00336D7C" w:rsidRPr="00650894">
        <w:rPr>
          <w:sz w:val="26"/>
          <w:szCs w:val="26"/>
        </w:rPr>
        <w:t xml:space="preserve">that were established </w:t>
      </w:r>
      <w:r w:rsidR="00B166E3">
        <w:rPr>
          <w:sz w:val="26"/>
          <w:szCs w:val="26"/>
        </w:rPr>
        <w:t>in 2004 as a result of the Commission’s generic investigation into Verizon PA’s unbundled network elements (UNE’s).</w:t>
      </w:r>
      <w:r w:rsidR="00B166E3">
        <w:rPr>
          <w:rStyle w:val="FootnoteReference"/>
        </w:rPr>
        <w:footnoteReference w:id="10"/>
      </w:r>
      <w:r w:rsidR="0069036A" w:rsidRPr="00650894">
        <w:rPr>
          <w:sz w:val="26"/>
          <w:szCs w:val="26"/>
        </w:rPr>
        <w:t xml:space="preserve"> </w:t>
      </w:r>
      <w:r w:rsidR="00A45D44" w:rsidRPr="00650894">
        <w:rPr>
          <w:sz w:val="26"/>
          <w:szCs w:val="26"/>
        </w:rPr>
        <w:t xml:space="preserve"> </w:t>
      </w:r>
      <w:bookmarkStart w:id="4" w:name="_Hlk520185336"/>
      <w:r w:rsidR="00A45D44" w:rsidRPr="00650894">
        <w:rPr>
          <w:sz w:val="26"/>
          <w:szCs w:val="26"/>
        </w:rPr>
        <w:t xml:space="preserve">In Core’s view, the Commission’s </w:t>
      </w:r>
      <w:r w:rsidR="00A45D44" w:rsidRPr="00650894">
        <w:rPr>
          <w:i/>
          <w:sz w:val="26"/>
          <w:szCs w:val="26"/>
        </w:rPr>
        <w:t>2004 Compliance Order</w:t>
      </w:r>
      <w:r w:rsidR="00A45D44" w:rsidRPr="00650894">
        <w:rPr>
          <w:sz w:val="26"/>
          <w:szCs w:val="26"/>
        </w:rPr>
        <w:t xml:space="preserve"> in this matter was not an affirmative order of the Commission which changed or modified the ICA’s pricing </w:t>
      </w:r>
      <w:r w:rsidR="000E2939" w:rsidRPr="00650894">
        <w:rPr>
          <w:sz w:val="26"/>
          <w:szCs w:val="26"/>
        </w:rPr>
        <w:t>pursuant to</w:t>
      </w:r>
      <w:r w:rsidR="00A45D44" w:rsidRPr="00650894">
        <w:rPr>
          <w:sz w:val="26"/>
          <w:szCs w:val="26"/>
        </w:rPr>
        <w:t xml:space="preserve"> </w:t>
      </w:r>
      <w:r w:rsidR="000E2939" w:rsidRPr="00650894">
        <w:rPr>
          <w:sz w:val="26"/>
          <w:szCs w:val="26"/>
        </w:rPr>
        <w:t xml:space="preserve">the </w:t>
      </w:r>
      <w:r w:rsidR="00A45D44" w:rsidRPr="00650894">
        <w:rPr>
          <w:sz w:val="26"/>
          <w:szCs w:val="26"/>
        </w:rPr>
        <w:t xml:space="preserve">terms </w:t>
      </w:r>
      <w:r w:rsidR="000E2939" w:rsidRPr="00650894">
        <w:rPr>
          <w:sz w:val="26"/>
          <w:szCs w:val="26"/>
        </w:rPr>
        <w:t>set forth in</w:t>
      </w:r>
      <w:r w:rsidR="00A45D44" w:rsidRPr="00650894">
        <w:rPr>
          <w:sz w:val="26"/>
          <w:szCs w:val="26"/>
        </w:rPr>
        <w:t xml:space="preserve"> Part A, Section 1.3 of the ICA</w:t>
      </w:r>
      <w:r w:rsidR="000E2939" w:rsidRPr="00650894">
        <w:rPr>
          <w:sz w:val="26"/>
          <w:szCs w:val="26"/>
        </w:rPr>
        <w:t xml:space="preserve">.  </w:t>
      </w:r>
      <w:r w:rsidR="00A45D44" w:rsidRPr="00650894">
        <w:rPr>
          <w:sz w:val="26"/>
          <w:szCs w:val="26"/>
        </w:rPr>
        <w:t>Core further submitted that Verizon PA never asked Core for its “written consent” to adopt these rates</w:t>
      </w:r>
      <w:r w:rsidR="000E2939" w:rsidRPr="00650894">
        <w:rPr>
          <w:sz w:val="26"/>
          <w:szCs w:val="26"/>
        </w:rPr>
        <w:t>, as contemplated in Part A, Section</w:t>
      </w:r>
      <w:r w:rsidR="0078095B" w:rsidRPr="00650894">
        <w:rPr>
          <w:sz w:val="26"/>
          <w:szCs w:val="26"/>
        </w:rPr>
        <w:t>s</w:t>
      </w:r>
      <w:r w:rsidR="000E2939" w:rsidRPr="00650894">
        <w:rPr>
          <w:sz w:val="26"/>
          <w:szCs w:val="26"/>
        </w:rPr>
        <w:t xml:space="preserve"> 1.3.3</w:t>
      </w:r>
      <w:r w:rsidR="0078095B" w:rsidRPr="00650894">
        <w:rPr>
          <w:sz w:val="26"/>
          <w:szCs w:val="26"/>
        </w:rPr>
        <w:t xml:space="preserve"> and 36</w:t>
      </w:r>
      <w:r w:rsidR="000E2939" w:rsidRPr="00650894">
        <w:rPr>
          <w:sz w:val="26"/>
          <w:szCs w:val="26"/>
        </w:rPr>
        <w:t xml:space="preserve"> of the ICA</w:t>
      </w:r>
      <w:r w:rsidR="00A45D44" w:rsidRPr="00650894">
        <w:rPr>
          <w:sz w:val="26"/>
          <w:szCs w:val="26"/>
        </w:rPr>
        <w:t>, nor did Core give this consent.  Core M.B. at 19-21.</w:t>
      </w:r>
    </w:p>
    <w:bookmarkEnd w:id="4"/>
    <w:p w:rsidR="00A42584" w:rsidRPr="00650894" w:rsidRDefault="00A42584" w:rsidP="00650894">
      <w:pPr>
        <w:spacing w:line="360" w:lineRule="auto"/>
        <w:ind w:firstLine="1440"/>
        <w:contextualSpacing/>
        <w:rPr>
          <w:sz w:val="26"/>
          <w:szCs w:val="26"/>
        </w:rPr>
      </w:pPr>
    </w:p>
    <w:p w:rsidR="00A42584" w:rsidRPr="00650894" w:rsidRDefault="00146AC1" w:rsidP="00650894">
      <w:pPr>
        <w:spacing w:line="360" w:lineRule="auto"/>
        <w:ind w:firstLine="1440"/>
        <w:contextualSpacing/>
        <w:rPr>
          <w:sz w:val="26"/>
          <w:szCs w:val="26"/>
        </w:rPr>
      </w:pPr>
      <w:r w:rsidRPr="00650894">
        <w:rPr>
          <w:sz w:val="26"/>
          <w:szCs w:val="26"/>
        </w:rPr>
        <w:t xml:space="preserve">Conversely, </w:t>
      </w:r>
      <w:r w:rsidR="00A42584" w:rsidRPr="00650894">
        <w:rPr>
          <w:sz w:val="26"/>
          <w:szCs w:val="26"/>
        </w:rPr>
        <w:t xml:space="preserve">Verizon PA </w:t>
      </w:r>
      <w:r w:rsidR="003863BB" w:rsidRPr="00650894">
        <w:rPr>
          <w:sz w:val="26"/>
          <w:szCs w:val="26"/>
        </w:rPr>
        <w:t xml:space="preserve">averred </w:t>
      </w:r>
      <w:r w:rsidR="00617A29" w:rsidRPr="00650894">
        <w:rPr>
          <w:sz w:val="26"/>
          <w:szCs w:val="26"/>
        </w:rPr>
        <w:t xml:space="preserve">that the ICA limits Core’s compensation for the transport and termination of </w:t>
      </w:r>
      <w:r w:rsidR="0048660E">
        <w:rPr>
          <w:sz w:val="26"/>
          <w:szCs w:val="26"/>
        </w:rPr>
        <w:t xml:space="preserve">Verizon’s </w:t>
      </w:r>
      <w:r w:rsidR="00617A29" w:rsidRPr="00650894">
        <w:rPr>
          <w:sz w:val="26"/>
          <w:szCs w:val="26"/>
        </w:rPr>
        <w:t xml:space="preserve">local traffic to reciprocal compensation, which Verizon PA </w:t>
      </w:r>
      <w:r w:rsidR="00202116" w:rsidRPr="00650894">
        <w:rPr>
          <w:sz w:val="26"/>
          <w:szCs w:val="26"/>
        </w:rPr>
        <w:t>argued</w:t>
      </w:r>
      <w:r w:rsidR="00617A29" w:rsidRPr="00650894">
        <w:rPr>
          <w:sz w:val="26"/>
          <w:szCs w:val="26"/>
        </w:rPr>
        <w:t xml:space="preserve"> that it already has paid.  According to Verizon PA, the </w:t>
      </w:r>
      <w:r w:rsidR="00A42584" w:rsidRPr="00650894">
        <w:rPr>
          <w:sz w:val="26"/>
          <w:szCs w:val="26"/>
        </w:rPr>
        <w:t xml:space="preserve">ICA contains no authorized Core rates for </w:t>
      </w:r>
      <w:r w:rsidR="00760ADC" w:rsidRPr="00650894">
        <w:rPr>
          <w:sz w:val="26"/>
          <w:szCs w:val="26"/>
        </w:rPr>
        <w:t xml:space="preserve">the </w:t>
      </w:r>
      <w:r w:rsidR="00A42584" w:rsidRPr="00650894">
        <w:rPr>
          <w:sz w:val="26"/>
          <w:szCs w:val="26"/>
        </w:rPr>
        <w:t xml:space="preserve">facilities for which </w:t>
      </w:r>
      <w:r w:rsidR="00760ADC" w:rsidRPr="00650894">
        <w:rPr>
          <w:sz w:val="26"/>
          <w:szCs w:val="26"/>
        </w:rPr>
        <w:t>Core</w:t>
      </w:r>
      <w:r w:rsidR="00A42584" w:rsidRPr="00650894">
        <w:rPr>
          <w:sz w:val="26"/>
          <w:szCs w:val="26"/>
        </w:rPr>
        <w:t xml:space="preserve"> billed Verizon PA, nor can Core simply bill Verizon PA </w:t>
      </w:r>
      <w:r w:rsidR="00760ADC" w:rsidRPr="00650894">
        <w:rPr>
          <w:sz w:val="26"/>
          <w:szCs w:val="26"/>
        </w:rPr>
        <w:t>at the Verizon PA</w:t>
      </w:r>
      <w:r w:rsidR="00A42584" w:rsidRPr="00650894">
        <w:rPr>
          <w:sz w:val="26"/>
          <w:szCs w:val="26"/>
        </w:rPr>
        <w:t xml:space="preserve"> rates</w:t>
      </w:r>
      <w:r w:rsidR="00760ADC" w:rsidRPr="00650894">
        <w:rPr>
          <w:sz w:val="26"/>
          <w:szCs w:val="26"/>
        </w:rPr>
        <w:t xml:space="preserve"> set forth in the ICA</w:t>
      </w:r>
      <w:r w:rsidR="000D1A1F" w:rsidRPr="00650894">
        <w:rPr>
          <w:sz w:val="26"/>
          <w:szCs w:val="26"/>
        </w:rPr>
        <w:t>’s Pricing Appendix</w:t>
      </w:r>
      <w:r w:rsidR="00A42584" w:rsidRPr="00650894">
        <w:rPr>
          <w:sz w:val="26"/>
          <w:szCs w:val="26"/>
        </w:rPr>
        <w:t xml:space="preserve"> as a substitute for </w:t>
      </w:r>
      <w:r w:rsidR="009C2660" w:rsidRPr="00650894">
        <w:rPr>
          <w:sz w:val="26"/>
          <w:szCs w:val="26"/>
        </w:rPr>
        <w:t xml:space="preserve">having its own rates.  Verizon </w:t>
      </w:r>
      <w:r w:rsidR="00A42584" w:rsidRPr="00650894">
        <w:rPr>
          <w:sz w:val="26"/>
          <w:szCs w:val="26"/>
        </w:rPr>
        <w:t xml:space="preserve">PA noted that Core has admitted that it has no tariffed rates for </w:t>
      </w:r>
      <w:r w:rsidR="00A46469" w:rsidRPr="00650894">
        <w:rPr>
          <w:sz w:val="26"/>
          <w:szCs w:val="26"/>
        </w:rPr>
        <w:t xml:space="preserve">tandem </w:t>
      </w:r>
      <w:r w:rsidR="009469D1">
        <w:rPr>
          <w:sz w:val="26"/>
          <w:szCs w:val="26"/>
        </w:rPr>
        <w:t xml:space="preserve">trunk </w:t>
      </w:r>
      <w:r w:rsidR="00A42584" w:rsidRPr="00650894">
        <w:rPr>
          <w:sz w:val="26"/>
          <w:szCs w:val="26"/>
        </w:rPr>
        <w:t>ports, multiplexing, entrance facilities, o</w:t>
      </w:r>
      <w:r w:rsidR="00AC3373" w:rsidRPr="00650894">
        <w:rPr>
          <w:sz w:val="26"/>
          <w:szCs w:val="26"/>
        </w:rPr>
        <w:t xml:space="preserve">r </w:t>
      </w:r>
      <w:r w:rsidR="009469D1">
        <w:rPr>
          <w:sz w:val="26"/>
          <w:szCs w:val="26"/>
        </w:rPr>
        <w:t xml:space="preserve">dedicated </w:t>
      </w:r>
      <w:r w:rsidR="00AC3373" w:rsidRPr="00650894">
        <w:rPr>
          <w:sz w:val="26"/>
          <w:szCs w:val="26"/>
        </w:rPr>
        <w:t>transport and that Section B of the ICA’s Pricing Appendix</w:t>
      </w:r>
      <w:r w:rsidR="00A42584" w:rsidRPr="00650894">
        <w:rPr>
          <w:sz w:val="26"/>
          <w:szCs w:val="26"/>
        </w:rPr>
        <w:t xml:space="preserve">, which lists the rates Core may charge, contains no Core rates for such facilities.  In responding to Core’s argument that it may bill Verizon PA </w:t>
      </w:r>
      <w:r w:rsidR="00996996" w:rsidRPr="00650894">
        <w:rPr>
          <w:sz w:val="26"/>
          <w:szCs w:val="26"/>
        </w:rPr>
        <w:t>for the rates under Section A of the ICA’s Pricing Appendix</w:t>
      </w:r>
      <w:r w:rsidR="00A42584" w:rsidRPr="00650894">
        <w:rPr>
          <w:sz w:val="26"/>
          <w:szCs w:val="26"/>
        </w:rPr>
        <w:t xml:space="preserve">, Verizon </w:t>
      </w:r>
      <w:r w:rsidR="00C45496" w:rsidRPr="00650894">
        <w:rPr>
          <w:sz w:val="26"/>
          <w:szCs w:val="26"/>
        </w:rPr>
        <w:t xml:space="preserve">PA </w:t>
      </w:r>
      <w:r w:rsidR="00A42584" w:rsidRPr="00650894">
        <w:rPr>
          <w:sz w:val="26"/>
          <w:szCs w:val="26"/>
        </w:rPr>
        <w:t>emphasized that Core lacks “tariffed” or “otherwise generally available rates” for the facilities at issue, which are the only rates that Section B.V</w:t>
      </w:r>
      <w:r w:rsidR="001A31F9" w:rsidRPr="00650894">
        <w:rPr>
          <w:sz w:val="26"/>
          <w:szCs w:val="26"/>
        </w:rPr>
        <w:t>.</w:t>
      </w:r>
      <w:r w:rsidR="00A42584" w:rsidRPr="00650894">
        <w:rPr>
          <w:sz w:val="26"/>
          <w:szCs w:val="26"/>
        </w:rPr>
        <w:t xml:space="preserve"> of the Pricing Appendix permits Core to charge.  </w:t>
      </w:r>
      <w:r w:rsidR="00565DD0" w:rsidRPr="00650894">
        <w:rPr>
          <w:sz w:val="26"/>
          <w:szCs w:val="26"/>
        </w:rPr>
        <w:t xml:space="preserve">In </w:t>
      </w:r>
      <w:r w:rsidR="00202116" w:rsidRPr="00650894">
        <w:rPr>
          <w:sz w:val="26"/>
          <w:szCs w:val="26"/>
        </w:rPr>
        <w:t>Verizon PA</w:t>
      </w:r>
      <w:r w:rsidR="00565DD0" w:rsidRPr="00650894">
        <w:rPr>
          <w:sz w:val="26"/>
          <w:szCs w:val="26"/>
        </w:rPr>
        <w:t xml:space="preserve">’s view, the phrase “generally available rates” implies that Core otherwise makes such rates available to all carriers through some means similar to a tariff.  Thus, Verizon PA characterized Core’s claim that </w:t>
      </w:r>
      <w:r w:rsidR="009415E8" w:rsidRPr="00650894">
        <w:rPr>
          <w:sz w:val="26"/>
          <w:szCs w:val="26"/>
        </w:rPr>
        <w:t xml:space="preserve">Core made </w:t>
      </w:r>
      <w:r w:rsidR="00565DD0" w:rsidRPr="00650894">
        <w:rPr>
          <w:sz w:val="26"/>
          <w:szCs w:val="26"/>
        </w:rPr>
        <w:t xml:space="preserve">such rates available to Verizon PA simply by billing </w:t>
      </w:r>
      <w:r w:rsidR="009415E8" w:rsidRPr="00650894">
        <w:rPr>
          <w:sz w:val="26"/>
          <w:szCs w:val="26"/>
        </w:rPr>
        <w:t>Verizon PA</w:t>
      </w:r>
      <w:r w:rsidR="00565DD0" w:rsidRPr="00650894">
        <w:rPr>
          <w:sz w:val="26"/>
          <w:szCs w:val="26"/>
        </w:rPr>
        <w:t xml:space="preserve"> at these rates as nonsensical.  Further, Verizon </w:t>
      </w:r>
      <w:r w:rsidR="002F524F" w:rsidRPr="00650894">
        <w:rPr>
          <w:sz w:val="26"/>
          <w:szCs w:val="26"/>
        </w:rPr>
        <w:t xml:space="preserve">PA </w:t>
      </w:r>
      <w:r w:rsidR="00565DD0" w:rsidRPr="00650894">
        <w:rPr>
          <w:sz w:val="26"/>
          <w:szCs w:val="26"/>
        </w:rPr>
        <w:t>reaso</w:t>
      </w:r>
      <w:r w:rsidR="009415E8" w:rsidRPr="00650894">
        <w:rPr>
          <w:sz w:val="26"/>
          <w:szCs w:val="26"/>
        </w:rPr>
        <w:t>ned that if Section B.V</w:t>
      </w:r>
      <w:r w:rsidR="00507E32" w:rsidRPr="00650894">
        <w:rPr>
          <w:sz w:val="26"/>
          <w:szCs w:val="26"/>
        </w:rPr>
        <w:t>.</w:t>
      </w:r>
      <w:r w:rsidR="009415E8" w:rsidRPr="00650894">
        <w:rPr>
          <w:sz w:val="26"/>
          <w:szCs w:val="26"/>
        </w:rPr>
        <w:t xml:space="preserve"> of the Pricing A</w:t>
      </w:r>
      <w:r w:rsidR="00565DD0" w:rsidRPr="00650894">
        <w:rPr>
          <w:sz w:val="26"/>
          <w:szCs w:val="26"/>
        </w:rPr>
        <w:t xml:space="preserve">ppendix enabled Core to charge Verizon PA’s otherwise generally available rates, there would not be a reason to have two separate sections of the Pricing Appendix, </w:t>
      </w:r>
      <w:r w:rsidR="00565DD0" w:rsidRPr="00650894">
        <w:rPr>
          <w:i/>
          <w:sz w:val="26"/>
          <w:szCs w:val="26"/>
        </w:rPr>
        <w:t>i.e.</w:t>
      </w:r>
      <w:r w:rsidR="00565DD0" w:rsidRPr="00650894">
        <w:rPr>
          <w:sz w:val="26"/>
          <w:szCs w:val="26"/>
        </w:rPr>
        <w:t xml:space="preserve"> one </w:t>
      </w:r>
      <w:r w:rsidR="00CB2C5F" w:rsidRPr="00650894">
        <w:rPr>
          <w:sz w:val="26"/>
          <w:szCs w:val="26"/>
        </w:rPr>
        <w:t>explicitly</w:t>
      </w:r>
      <w:r w:rsidR="00565DD0" w:rsidRPr="00650894">
        <w:rPr>
          <w:sz w:val="26"/>
          <w:szCs w:val="26"/>
        </w:rPr>
        <w:t xml:space="preserve"> setting forth Verizon PA’s rates to Core and another setting forth Core’s rates to Verizon PA.  Verizon R.B. at 8-10</w:t>
      </w:r>
      <w:r w:rsidR="00617A29" w:rsidRPr="00650894">
        <w:rPr>
          <w:sz w:val="26"/>
          <w:szCs w:val="26"/>
        </w:rPr>
        <w:t>, 12</w:t>
      </w:r>
      <w:r w:rsidR="00565DD0" w:rsidRPr="00650894">
        <w:rPr>
          <w:sz w:val="26"/>
          <w:szCs w:val="26"/>
        </w:rPr>
        <w:t>.</w:t>
      </w:r>
    </w:p>
    <w:p w:rsidR="00565DD0" w:rsidRPr="00650894" w:rsidRDefault="00565DD0" w:rsidP="00650894">
      <w:pPr>
        <w:spacing w:line="360" w:lineRule="auto"/>
        <w:ind w:firstLine="1440"/>
        <w:contextualSpacing/>
        <w:rPr>
          <w:sz w:val="26"/>
          <w:szCs w:val="26"/>
        </w:rPr>
      </w:pPr>
    </w:p>
    <w:p w:rsidR="002E39D6" w:rsidRPr="00650894" w:rsidRDefault="005A65FE" w:rsidP="00650894">
      <w:pPr>
        <w:spacing w:line="360" w:lineRule="auto"/>
        <w:ind w:firstLine="1440"/>
        <w:contextualSpacing/>
        <w:rPr>
          <w:sz w:val="26"/>
          <w:szCs w:val="26"/>
        </w:rPr>
      </w:pPr>
      <w:bookmarkStart w:id="5" w:name="_Hlk520186019"/>
      <w:r w:rsidRPr="00650894">
        <w:rPr>
          <w:sz w:val="26"/>
          <w:szCs w:val="26"/>
        </w:rPr>
        <w:t xml:space="preserve">Verizon PA also asserted that Core billed it at outdated rates that were superseded by the Commission-approved </w:t>
      </w:r>
      <w:r w:rsidR="00565DD0" w:rsidRPr="00650894">
        <w:rPr>
          <w:sz w:val="26"/>
          <w:szCs w:val="26"/>
        </w:rPr>
        <w:t xml:space="preserve">rates </w:t>
      </w:r>
      <w:r w:rsidR="00122E60" w:rsidRPr="00650894">
        <w:rPr>
          <w:sz w:val="26"/>
          <w:szCs w:val="26"/>
        </w:rPr>
        <w:t>established</w:t>
      </w:r>
      <w:r w:rsidR="00565DD0" w:rsidRPr="00650894">
        <w:rPr>
          <w:sz w:val="26"/>
          <w:szCs w:val="26"/>
        </w:rPr>
        <w:t xml:space="preserve"> in the </w:t>
      </w:r>
      <w:r w:rsidR="00565DD0" w:rsidRPr="00650894">
        <w:rPr>
          <w:i/>
          <w:sz w:val="26"/>
          <w:szCs w:val="26"/>
        </w:rPr>
        <w:t xml:space="preserve">2004 </w:t>
      </w:r>
      <w:r w:rsidR="00177311" w:rsidRPr="00650894">
        <w:rPr>
          <w:i/>
          <w:sz w:val="26"/>
          <w:szCs w:val="26"/>
        </w:rPr>
        <w:t>Verizon PA</w:t>
      </w:r>
      <w:r w:rsidR="00565DD0" w:rsidRPr="00650894">
        <w:rPr>
          <w:i/>
          <w:sz w:val="26"/>
          <w:szCs w:val="26"/>
        </w:rPr>
        <w:t xml:space="preserve"> TELRIC Proceeding</w:t>
      </w:r>
      <w:r w:rsidR="00565DD0" w:rsidRPr="00650894">
        <w:rPr>
          <w:sz w:val="26"/>
          <w:szCs w:val="26"/>
        </w:rPr>
        <w:t xml:space="preserve">.  </w:t>
      </w:r>
      <w:r w:rsidR="00617A29" w:rsidRPr="00650894">
        <w:rPr>
          <w:sz w:val="26"/>
          <w:szCs w:val="26"/>
        </w:rPr>
        <w:t xml:space="preserve">In </w:t>
      </w:r>
      <w:r w:rsidR="00565DD0" w:rsidRPr="00650894">
        <w:rPr>
          <w:sz w:val="26"/>
          <w:szCs w:val="26"/>
        </w:rPr>
        <w:t>Verizon PA</w:t>
      </w:r>
      <w:r w:rsidR="00617A29" w:rsidRPr="00650894">
        <w:rPr>
          <w:sz w:val="26"/>
          <w:szCs w:val="26"/>
        </w:rPr>
        <w:t>’s view</w:t>
      </w:r>
      <w:r w:rsidR="00565DD0" w:rsidRPr="00650894">
        <w:rPr>
          <w:sz w:val="26"/>
          <w:szCs w:val="26"/>
        </w:rPr>
        <w:t xml:space="preserve">, these </w:t>
      </w:r>
      <w:r w:rsidR="004E3844" w:rsidRPr="00650894">
        <w:rPr>
          <w:sz w:val="26"/>
          <w:szCs w:val="26"/>
        </w:rPr>
        <w:t xml:space="preserve">2004 </w:t>
      </w:r>
      <w:r w:rsidR="00565DD0" w:rsidRPr="00650894">
        <w:rPr>
          <w:sz w:val="26"/>
          <w:szCs w:val="26"/>
        </w:rPr>
        <w:t>rates</w:t>
      </w:r>
      <w:r w:rsidR="002E39D6" w:rsidRPr="00650894">
        <w:rPr>
          <w:sz w:val="26"/>
          <w:szCs w:val="26"/>
        </w:rPr>
        <w:t xml:space="preserve">, which </w:t>
      </w:r>
      <w:r w:rsidR="001A31F9" w:rsidRPr="00650894">
        <w:rPr>
          <w:sz w:val="26"/>
          <w:szCs w:val="26"/>
        </w:rPr>
        <w:t xml:space="preserve">replaced </w:t>
      </w:r>
      <w:r w:rsidR="009415E8" w:rsidRPr="00650894">
        <w:rPr>
          <w:sz w:val="26"/>
          <w:szCs w:val="26"/>
        </w:rPr>
        <w:t>the TELRIC rates that Verizon PA had previously charged</w:t>
      </w:r>
      <w:r w:rsidR="002E39D6" w:rsidRPr="00650894">
        <w:rPr>
          <w:sz w:val="26"/>
          <w:szCs w:val="26"/>
        </w:rPr>
        <w:t>,</w:t>
      </w:r>
      <w:r w:rsidR="00565DD0" w:rsidRPr="00650894">
        <w:rPr>
          <w:sz w:val="26"/>
          <w:szCs w:val="26"/>
        </w:rPr>
        <w:t xml:space="preserve"> were automatically incorporated into the ICA pursuant to </w:t>
      </w:r>
      <w:r w:rsidR="00DC19CA" w:rsidRPr="00650894">
        <w:rPr>
          <w:sz w:val="26"/>
          <w:szCs w:val="26"/>
        </w:rPr>
        <w:t>F</w:t>
      </w:r>
      <w:r w:rsidR="00565DD0" w:rsidRPr="00650894">
        <w:rPr>
          <w:sz w:val="26"/>
          <w:szCs w:val="26"/>
        </w:rPr>
        <w:t xml:space="preserve">ootnote 1 on page 1 of </w:t>
      </w:r>
      <w:r w:rsidRPr="00650894">
        <w:rPr>
          <w:sz w:val="26"/>
          <w:szCs w:val="26"/>
        </w:rPr>
        <w:t>the ICA’s Pricing Appendix</w:t>
      </w:r>
      <w:r w:rsidR="003A28CC" w:rsidRPr="00650894">
        <w:rPr>
          <w:sz w:val="26"/>
          <w:szCs w:val="26"/>
        </w:rPr>
        <w:t xml:space="preserve"> (Footnote</w:t>
      </w:r>
      <w:r w:rsidR="004F2CFF" w:rsidRPr="00650894">
        <w:rPr>
          <w:sz w:val="26"/>
          <w:szCs w:val="26"/>
        </w:rPr>
        <w:t> </w:t>
      </w:r>
      <w:r w:rsidR="003A28CC" w:rsidRPr="00650894">
        <w:rPr>
          <w:sz w:val="26"/>
          <w:szCs w:val="26"/>
        </w:rPr>
        <w:t>1)</w:t>
      </w:r>
      <w:r w:rsidR="00976DB7" w:rsidRPr="00650894">
        <w:rPr>
          <w:sz w:val="26"/>
          <w:szCs w:val="26"/>
        </w:rPr>
        <w:t xml:space="preserve">.  </w:t>
      </w:r>
      <w:r w:rsidR="0090073A" w:rsidRPr="00650894">
        <w:rPr>
          <w:sz w:val="26"/>
          <w:szCs w:val="26"/>
        </w:rPr>
        <w:t xml:space="preserve">According to </w:t>
      </w:r>
      <w:r w:rsidR="00976DB7" w:rsidRPr="00650894">
        <w:rPr>
          <w:sz w:val="26"/>
          <w:szCs w:val="26"/>
        </w:rPr>
        <w:t>Verizon PA</w:t>
      </w:r>
      <w:r w:rsidR="00C31F94" w:rsidRPr="00650894">
        <w:rPr>
          <w:sz w:val="26"/>
          <w:szCs w:val="26"/>
        </w:rPr>
        <w:t xml:space="preserve">, </w:t>
      </w:r>
      <w:r w:rsidR="00976DB7" w:rsidRPr="00650894">
        <w:rPr>
          <w:sz w:val="26"/>
          <w:szCs w:val="26"/>
        </w:rPr>
        <w:t>this footnote</w:t>
      </w:r>
      <w:r w:rsidR="00565DD0" w:rsidRPr="00650894">
        <w:rPr>
          <w:sz w:val="26"/>
          <w:szCs w:val="26"/>
        </w:rPr>
        <w:t xml:space="preserve"> provides that the rates and charges outlined in the Pricing Appendix are applicable </w:t>
      </w:r>
      <w:r w:rsidR="004866E9" w:rsidRPr="00650894">
        <w:rPr>
          <w:sz w:val="26"/>
          <w:szCs w:val="26"/>
        </w:rPr>
        <w:t>until</w:t>
      </w:r>
      <w:r w:rsidR="00565DD0" w:rsidRPr="00650894">
        <w:rPr>
          <w:sz w:val="26"/>
          <w:szCs w:val="26"/>
        </w:rPr>
        <w:t xml:space="preserve"> they are either replaced by new rates or are approved and </w:t>
      </w:r>
      <w:r w:rsidR="0048660E">
        <w:rPr>
          <w:sz w:val="26"/>
          <w:szCs w:val="26"/>
        </w:rPr>
        <w:t xml:space="preserve">permitted to become </w:t>
      </w:r>
      <w:r w:rsidR="00565DD0" w:rsidRPr="00650894">
        <w:rPr>
          <w:sz w:val="26"/>
          <w:szCs w:val="26"/>
        </w:rPr>
        <w:t>effect</w:t>
      </w:r>
      <w:r w:rsidR="0048660E">
        <w:rPr>
          <w:sz w:val="26"/>
          <w:szCs w:val="26"/>
        </w:rPr>
        <w:t>ive</w:t>
      </w:r>
      <w:r w:rsidR="00565DD0" w:rsidRPr="00650894">
        <w:rPr>
          <w:sz w:val="26"/>
          <w:szCs w:val="26"/>
        </w:rPr>
        <w:t xml:space="preserve"> by the Commission.  </w:t>
      </w:r>
      <w:r w:rsidR="00E6076E" w:rsidRPr="00650894">
        <w:rPr>
          <w:sz w:val="26"/>
          <w:szCs w:val="26"/>
        </w:rPr>
        <w:t xml:space="preserve">Verizon PA characterized </w:t>
      </w:r>
      <w:r w:rsidR="004E3844" w:rsidRPr="00650894">
        <w:rPr>
          <w:sz w:val="26"/>
          <w:szCs w:val="26"/>
        </w:rPr>
        <w:t xml:space="preserve">as inapposite </w:t>
      </w:r>
      <w:r w:rsidR="00E6076E" w:rsidRPr="00650894">
        <w:rPr>
          <w:sz w:val="26"/>
          <w:szCs w:val="26"/>
        </w:rPr>
        <w:t xml:space="preserve">Core’s reliance on Part A, Section 1.3 of the ICA </w:t>
      </w:r>
      <w:r w:rsidR="004E3844" w:rsidRPr="00650894">
        <w:rPr>
          <w:sz w:val="26"/>
          <w:szCs w:val="26"/>
        </w:rPr>
        <w:t>for the proposition that either Core’s written consent or an affirmat</w:t>
      </w:r>
      <w:r w:rsidR="00976DB7" w:rsidRPr="00650894">
        <w:rPr>
          <w:sz w:val="26"/>
          <w:szCs w:val="26"/>
        </w:rPr>
        <w:t>ive order of the Commission wa</w:t>
      </w:r>
      <w:r w:rsidR="004E3844" w:rsidRPr="00650894">
        <w:rPr>
          <w:sz w:val="26"/>
          <w:szCs w:val="26"/>
        </w:rPr>
        <w:t>s necessary to update these rates</w:t>
      </w:r>
      <w:r w:rsidR="00E6076E" w:rsidRPr="00650894">
        <w:rPr>
          <w:sz w:val="26"/>
          <w:szCs w:val="26"/>
        </w:rPr>
        <w:t xml:space="preserve">.  Verizon </w:t>
      </w:r>
      <w:r w:rsidR="004E3844" w:rsidRPr="00650894">
        <w:rPr>
          <w:sz w:val="26"/>
          <w:szCs w:val="26"/>
        </w:rPr>
        <w:t xml:space="preserve">PA </w:t>
      </w:r>
      <w:r w:rsidR="00E6076E" w:rsidRPr="00650894">
        <w:rPr>
          <w:sz w:val="26"/>
          <w:szCs w:val="26"/>
        </w:rPr>
        <w:t xml:space="preserve">contended that </w:t>
      </w:r>
      <w:r w:rsidR="0048660E" w:rsidRPr="00650894">
        <w:rPr>
          <w:sz w:val="26"/>
          <w:szCs w:val="26"/>
        </w:rPr>
        <w:t xml:space="preserve">Section 1.3 </w:t>
      </w:r>
      <w:r w:rsidR="0048660E">
        <w:rPr>
          <w:sz w:val="26"/>
          <w:szCs w:val="26"/>
        </w:rPr>
        <w:t xml:space="preserve">in Part A </w:t>
      </w:r>
      <w:r w:rsidR="0048660E" w:rsidRPr="00650894">
        <w:rPr>
          <w:sz w:val="26"/>
          <w:szCs w:val="26"/>
        </w:rPr>
        <w:t xml:space="preserve">of the ICA </w:t>
      </w:r>
      <w:r w:rsidR="002E39D6" w:rsidRPr="00650894">
        <w:rPr>
          <w:sz w:val="26"/>
          <w:szCs w:val="26"/>
        </w:rPr>
        <w:t>applies on</w:t>
      </w:r>
      <w:r w:rsidR="004E3844" w:rsidRPr="00650894">
        <w:rPr>
          <w:sz w:val="26"/>
          <w:szCs w:val="26"/>
        </w:rPr>
        <w:t xml:space="preserve">ly in the context of any change or modification to any tariff that materially and adversely alters the terms of that tariff.  Verizon PA emphasized that a tariff’s terms are different from a tariff’s rates.  </w:t>
      </w:r>
      <w:r w:rsidR="002E39D6" w:rsidRPr="00650894">
        <w:rPr>
          <w:sz w:val="26"/>
          <w:szCs w:val="26"/>
        </w:rPr>
        <w:t>In addition</w:t>
      </w:r>
      <w:r w:rsidR="004E3844" w:rsidRPr="00650894">
        <w:rPr>
          <w:sz w:val="26"/>
          <w:szCs w:val="26"/>
        </w:rPr>
        <w:t>, Verizon PA</w:t>
      </w:r>
      <w:r w:rsidR="002E39D6" w:rsidRPr="00650894">
        <w:rPr>
          <w:sz w:val="26"/>
          <w:szCs w:val="26"/>
        </w:rPr>
        <w:t xml:space="preserve"> posited that Commission-ordered reductions to Verizon PA’s TELRIC rates could not materially and adversely alter the terms of a Verizon PA </w:t>
      </w:r>
      <w:r w:rsidR="00976DB7" w:rsidRPr="00650894">
        <w:rPr>
          <w:sz w:val="26"/>
          <w:szCs w:val="26"/>
        </w:rPr>
        <w:t>t</w:t>
      </w:r>
      <w:r w:rsidR="002E39D6" w:rsidRPr="00650894">
        <w:rPr>
          <w:sz w:val="26"/>
          <w:szCs w:val="26"/>
        </w:rPr>
        <w:t xml:space="preserve">ariff incorporating them such that Core’s consent to the reductions would be required.  </w:t>
      </w:r>
      <w:bookmarkEnd w:id="5"/>
      <w:r w:rsidR="002E39D6" w:rsidRPr="00650894">
        <w:rPr>
          <w:sz w:val="26"/>
          <w:szCs w:val="26"/>
        </w:rPr>
        <w:t>Verizon PA R.B. at 11-12.</w:t>
      </w:r>
    </w:p>
    <w:p w:rsidR="002E39D6" w:rsidRPr="00650894" w:rsidRDefault="002E39D6" w:rsidP="00650894">
      <w:pPr>
        <w:spacing w:line="360" w:lineRule="auto"/>
        <w:ind w:firstLine="1440"/>
        <w:contextualSpacing/>
        <w:rPr>
          <w:sz w:val="26"/>
          <w:szCs w:val="26"/>
        </w:rPr>
      </w:pPr>
    </w:p>
    <w:p w:rsidR="00565DD0" w:rsidRPr="00650894" w:rsidRDefault="00976DB7" w:rsidP="00650894">
      <w:pPr>
        <w:spacing w:line="360" w:lineRule="auto"/>
        <w:ind w:firstLine="1440"/>
        <w:contextualSpacing/>
        <w:rPr>
          <w:sz w:val="26"/>
          <w:szCs w:val="26"/>
        </w:rPr>
      </w:pPr>
      <w:r w:rsidRPr="00650894">
        <w:rPr>
          <w:sz w:val="26"/>
          <w:szCs w:val="26"/>
        </w:rPr>
        <w:t xml:space="preserve">Further, </w:t>
      </w:r>
      <w:r w:rsidR="002E39D6" w:rsidRPr="00650894">
        <w:rPr>
          <w:sz w:val="26"/>
          <w:szCs w:val="26"/>
        </w:rPr>
        <w:t xml:space="preserve">Verizon PA contended that </w:t>
      </w:r>
      <w:r w:rsidR="000D1A1F" w:rsidRPr="00650894">
        <w:rPr>
          <w:sz w:val="26"/>
          <w:szCs w:val="26"/>
        </w:rPr>
        <w:t xml:space="preserve">the rates for facilities that are set forth in </w:t>
      </w:r>
      <w:r w:rsidR="002E39D6" w:rsidRPr="00650894">
        <w:rPr>
          <w:sz w:val="26"/>
          <w:szCs w:val="26"/>
        </w:rPr>
        <w:t>Section A of the Pricing Appendix</w:t>
      </w:r>
      <w:r w:rsidR="000D1A1F" w:rsidRPr="00650894">
        <w:rPr>
          <w:sz w:val="26"/>
          <w:szCs w:val="26"/>
        </w:rPr>
        <w:t xml:space="preserve">, </w:t>
      </w:r>
      <w:r w:rsidR="002E39D6" w:rsidRPr="00650894">
        <w:rPr>
          <w:sz w:val="26"/>
          <w:szCs w:val="26"/>
        </w:rPr>
        <w:t xml:space="preserve">for which Core billed Verizon </w:t>
      </w:r>
      <w:r w:rsidR="00E43508" w:rsidRPr="00650894">
        <w:rPr>
          <w:sz w:val="26"/>
          <w:szCs w:val="26"/>
        </w:rPr>
        <w:t>PA are</w:t>
      </w:r>
      <w:r w:rsidR="002E39D6" w:rsidRPr="00650894">
        <w:rPr>
          <w:sz w:val="26"/>
          <w:szCs w:val="26"/>
        </w:rPr>
        <w:t xml:space="preserve"> not mere cross-references to Verizon PA’s tariffs, but are actual monetary rates.  As a result, Verizon </w:t>
      </w:r>
      <w:r w:rsidRPr="00650894">
        <w:rPr>
          <w:sz w:val="26"/>
          <w:szCs w:val="26"/>
        </w:rPr>
        <w:t>PA reasoned</w:t>
      </w:r>
      <w:r w:rsidR="002E39D6" w:rsidRPr="00650894">
        <w:rPr>
          <w:sz w:val="26"/>
          <w:szCs w:val="26"/>
        </w:rPr>
        <w:t xml:space="preserve"> that while the TELRIC rates resulting from the </w:t>
      </w:r>
      <w:r w:rsidR="002E39D6" w:rsidRPr="00650894">
        <w:rPr>
          <w:i/>
          <w:sz w:val="26"/>
          <w:szCs w:val="26"/>
        </w:rPr>
        <w:t xml:space="preserve">2004 </w:t>
      </w:r>
      <w:r w:rsidR="00177311" w:rsidRPr="00650894">
        <w:rPr>
          <w:i/>
          <w:sz w:val="26"/>
          <w:szCs w:val="26"/>
        </w:rPr>
        <w:t>Verizon PA</w:t>
      </w:r>
      <w:r w:rsidR="002E39D6" w:rsidRPr="00650894">
        <w:rPr>
          <w:i/>
          <w:sz w:val="26"/>
          <w:szCs w:val="26"/>
        </w:rPr>
        <w:t xml:space="preserve"> TELRIC Proceeding</w:t>
      </w:r>
      <w:r w:rsidR="002E39D6" w:rsidRPr="00650894">
        <w:rPr>
          <w:sz w:val="26"/>
          <w:szCs w:val="26"/>
        </w:rPr>
        <w:t xml:space="preserve"> were incorporated into V</w:t>
      </w:r>
      <w:r w:rsidR="002E4BD8" w:rsidRPr="00650894">
        <w:rPr>
          <w:sz w:val="26"/>
          <w:szCs w:val="26"/>
        </w:rPr>
        <w:t>erizon PA’s Tariff PA PUC No. 216 (Tariff 216)</w:t>
      </w:r>
      <w:r w:rsidR="002E4BD8" w:rsidRPr="00650894">
        <w:rPr>
          <w:rStyle w:val="FootnoteReference"/>
        </w:rPr>
        <w:footnoteReference w:id="11"/>
      </w:r>
      <w:r w:rsidR="002E39D6" w:rsidRPr="00650894">
        <w:rPr>
          <w:sz w:val="26"/>
          <w:szCs w:val="26"/>
        </w:rPr>
        <w:t xml:space="preserve"> they were also automatically incorporated into Section A of the ICA’s Pricing</w:t>
      </w:r>
      <w:r w:rsidR="003D42D0" w:rsidRPr="00650894">
        <w:rPr>
          <w:sz w:val="26"/>
          <w:szCs w:val="26"/>
        </w:rPr>
        <w:t xml:space="preserve"> </w:t>
      </w:r>
      <w:r w:rsidR="002E39D6" w:rsidRPr="00650894">
        <w:rPr>
          <w:sz w:val="26"/>
          <w:szCs w:val="26"/>
        </w:rPr>
        <w:t xml:space="preserve">Appendix, replacing the superseded rates.  </w:t>
      </w:r>
      <w:r w:rsidR="00E6076E" w:rsidRPr="00650894">
        <w:rPr>
          <w:sz w:val="26"/>
          <w:szCs w:val="26"/>
        </w:rPr>
        <w:t>Based on the above</w:t>
      </w:r>
      <w:r w:rsidR="00540E01" w:rsidRPr="00650894">
        <w:rPr>
          <w:sz w:val="26"/>
          <w:szCs w:val="26"/>
        </w:rPr>
        <w:t xml:space="preserve">, Verizon PA asserted that </w:t>
      </w:r>
      <w:r w:rsidR="00DC19CA" w:rsidRPr="00650894">
        <w:rPr>
          <w:sz w:val="26"/>
          <w:szCs w:val="26"/>
        </w:rPr>
        <w:t>F</w:t>
      </w:r>
      <w:r w:rsidR="003D42D0" w:rsidRPr="00650894">
        <w:rPr>
          <w:sz w:val="26"/>
          <w:szCs w:val="26"/>
        </w:rPr>
        <w:t>ootnote 1 is self</w:t>
      </w:r>
      <w:r w:rsidR="004F2CFF" w:rsidRPr="00650894">
        <w:rPr>
          <w:sz w:val="26"/>
          <w:szCs w:val="26"/>
        </w:rPr>
        <w:noBreakHyphen/>
      </w:r>
      <w:r w:rsidR="003D42D0" w:rsidRPr="00650894">
        <w:rPr>
          <w:sz w:val="26"/>
          <w:szCs w:val="26"/>
        </w:rPr>
        <w:t>executing and that no separate amendment was mandated to incorporate the superseding Commission-approved rates into the ICA.  Verizon PA R.B. at 12-13</w:t>
      </w:r>
      <w:r w:rsidR="008608CD" w:rsidRPr="00650894">
        <w:rPr>
          <w:sz w:val="26"/>
          <w:szCs w:val="26"/>
        </w:rPr>
        <w:t>.</w:t>
      </w:r>
    </w:p>
    <w:p w:rsidR="0069036A" w:rsidRPr="00650894" w:rsidRDefault="0069036A" w:rsidP="00650894">
      <w:pPr>
        <w:spacing w:line="360" w:lineRule="auto"/>
        <w:ind w:firstLine="1440"/>
        <w:contextualSpacing/>
        <w:rPr>
          <w:sz w:val="26"/>
          <w:szCs w:val="26"/>
        </w:rPr>
      </w:pPr>
    </w:p>
    <w:p w:rsidR="00E04731" w:rsidRPr="00650894" w:rsidRDefault="00490687" w:rsidP="00FF666A">
      <w:pPr>
        <w:keepNext/>
        <w:keepLines/>
        <w:spacing w:line="360" w:lineRule="auto"/>
        <w:ind w:left="1440"/>
        <w:contextualSpacing/>
        <w:rPr>
          <w:b/>
          <w:sz w:val="26"/>
          <w:szCs w:val="26"/>
        </w:rPr>
      </w:pPr>
      <w:r w:rsidRPr="00650894">
        <w:rPr>
          <w:b/>
          <w:sz w:val="26"/>
          <w:szCs w:val="26"/>
        </w:rPr>
        <w:t>b</w:t>
      </w:r>
      <w:r w:rsidR="00E04731" w:rsidRPr="00650894">
        <w:rPr>
          <w:b/>
          <w:sz w:val="26"/>
          <w:szCs w:val="26"/>
        </w:rPr>
        <w:t>.</w:t>
      </w:r>
      <w:r w:rsidR="00E04731" w:rsidRPr="00650894">
        <w:rPr>
          <w:b/>
          <w:sz w:val="26"/>
          <w:szCs w:val="26"/>
        </w:rPr>
        <w:tab/>
        <w:t>ALJ Recommendation</w:t>
      </w:r>
    </w:p>
    <w:p w:rsidR="00E04731" w:rsidRPr="00650894" w:rsidRDefault="00E04731" w:rsidP="00650894">
      <w:pPr>
        <w:keepNext/>
        <w:keepLines/>
        <w:spacing w:line="360" w:lineRule="auto"/>
        <w:ind w:firstLine="1440"/>
        <w:contextualSpacing/>
        <w:rPr>
          <w:sz w:val="26"/>
          <w:szCs w:val="26"/>
        </w:rPr>
      </w:pPr>
    </w:p>
    <w:p w:rsidR="00F5097F" w:rsidRPr="00650894" w:rsidRDefault="00A616EF" w:rsidP="00650894">
      <w:pPr>
        <w:spacing w:line="360" w:lineRule="auto"/>
        <w:ind w:firstLine="1440"/>
        <w:contextualSpacing/>
        <w:rPr>
          <w:sz w:val="26"/>
          <w:szCs w:val="26"/>
        </w:rPr>
      </w:pPr>
      <w:r w:rsidRPr="00650894">
        <w:rPr>
          <w:sz w:val="26"/>
          <w:szCs w:val="26"/>
        </w:rPr>
        <w:t xml:space="preserve">The ALJ recommended the adoption of Verizon PA’s position that Core was not authorized under the ICA to bill Verizon PA </w:t>
      </w:r>
      <w:r w:rsidR="00846633" w:rsidRPr="00650894">
        <w:rPr>
          <w:sz w:val="26"/>
          <w:szCs w:val="26"/>
        </w:rPr>
        <w:t>at</w:t>
      </w:r>
      <w:r w:rsidRPr="00650894">
        <w:rPr>
          <w:sz w:val="26"/>
          <w:szCs w:val="26"/>
        </w:rPr>
        <w:t xml:space="preserve"> any rate for the charges at issue</w:t>
      </w:r>
      <w:r w:rsidR="00FE256E" w:rsidRPr="00650894">
        <w:rPr>
          <w:sz w:val="26"/>
          <w:szCs w:val="26"/>
        </w:rPr>
        <w:t xml:space="preserve">.  The ALJ noted Core’s admission that it has billed Verizon PA at rates for facilities that appear in Section A of the ICA’s Pricing Appendix, which outlines the rates for service, facilities, and arrangements that Verizon PA provides to Core under the ICA.  The ALJ disagreed with Core’s position that </w:t>
      </w:r>
      <w:r w:rsidR="00682531" w:rsidRPr="00650894">
        <w:rPr>
          <w:sz w:val="26"/>
          <w:szCs w:val="26"/>
        </w:rPr>
        <w:t xml:space="preserve">it is permitted to charge Verizon </w:t>
      </w:r>
      <w:r w:rsidR="00A81B7E" w:rsidRPr="00650894">
        <w:rPr>
          <w:sz w:val="26"/>
          <w:szCs w:val="26"/>
        </w:rPr>
        <w:t xml:space="preserve">PA </w:t>
      </w:r>
      <w:r w:rsidR="00682531" w:rsidRPr="00650894">
        <w:rPr>
          <w:sz w:val="26"/>
          <w:szCs w:val="26"/>
        </w:rPr>
        <w:t xml:space="preserve">for such rates pursuant to Section B.V. of the Pricing Appendix.  </w:t>
      </w:r>
      <w:r w:rsidR="00F5097F" w:rsidRPr="00650894">
        <w:rPr>
          <w:sz w:val="26"/>
          <w:szCs w:val="26"/>
        </w:rPr>
        <w:t xml:space="preserve">In this regard, the ALJ quoted </w:t>
      </w:r>
      <w:r w:rsidR="00E50A7D" w:rsidRPr="00650894">
        <w:rPr>
          <w:sz w:val="26"/>
          <w:szCs w:val="26"/>
        </w:rPr>
        <w:t>this section</w:t>
      </w:r>
      <w:r w:rsidR="00F5097F" w:rsidRPr="00650894">
        <w:rPr>
          <w:sz w:val="26"/>
          <w:szCs w:val="26"/>
        </w:rPr>
        <w:t xml:space="preserve"> of the ICA’s Pricing Appendix, which states as follows:</w:t>
      </w:r>
    </w:p>
    <w:p w:rsidR="00F5097F" w:rsidRPr="00650894" w:rsidRDefault="00F5097F" w:rsidP="00650894">
      <w:pPr>
        <w:spacing w:line="360" w:lineRule="auto"/>
        <w:ind w:firstLine="1440"/>
        <w:contextualSpacing/>
        <w:rPr>
          <w:sz w:val="26"/>
          <w:szCs w:val="26"/>
        </w:rPr>
      </w:pPr>
    </w:p>
    <w:tbl>
      <w:tblPr>
        <w:tblW w:w="9180" w:type="dxa"/>
        <w:jc w:val="center"/>
        <w:tblLook w:val="04A0" w:firstRow="1" w:lastRow="0" w:firstColumn="1" w:lastColumn="0" w:noHBand="0" w:noVBand="1"/>
      </w:tblPr>
      <w:tblGrid>
        <w:gridCol w:w="3956"/>
        <w:gridCol w:w="2363"/>
        <w:gridCol w:w="2861"/>
      </w:tblGrid>
      <w:tr w:rsidR="00A970B9" w:rsidRPr="00650894" w:rsidTr="00A970B9">
        <w:trPr>
          <w:trHeight w:val="330"/>
          <w:jc w:val="center"/>
        </w:trPr>
        <w:tc>
          <w:tcPr>
            <w:tcW w:w="9180" w:type="dxa"/>
            <w:gridSpan w:val="3"/>
            <w:tcBorders>
              <w:top w:val="nil"/>
              <w:left w:val="nil"/>
              <w:bottom w:val="nil"/>
              <w:right w:val="nil"/>
            </w:tcBorders>
            <w:shd w:val="clear" w:color="auto" w:fill="auto"/>
            <w:noWrap/>
            <w:vAlign w:val="bottom"/>
            <w:hideMark/>
          </w:tcPr>
          <w:p w:rsidR="00A970B9" w:rsidRPr="00650894" w:rsidRDefault="00A970B9" w:rsidP="00650894">
            <w:pPr>
              <w:keepNext/>
              <w:keepLines/>
              <w:contextualSpacing/>
              <w:jc w:val="center"/>
              <w:rPr>
                <w:b/>
                <w:bCs/>
                <w:color w:val="000000"/>
                <w:sz w:val="26"/>
                <w:szCs w:val="26"/>
              </w:rPr>
            </w:pPr>
            <w:r w:rsidRPr="00650894">
              <w:rPr>
                <w:b/>
                <w:bCs/>
                <w:color w:val="000000"/>
                <w:sz w:val="26"/>
                <w:szCs w:val="26"/>
              </w:rPr>
              <w:t>B. Core Services, Facilities and Arrangements</w:t>
            </w:r>
          </w:p>
        </w:tc>
      </w:tr>
      <w:tr w:rsidR="00E22A80" w:rsidRPr="00650894" w:rsidTr="00A970B9">
        <w:trPr>
          <w:trHeight w:val="330"/>
          <w:jc w:val="center"/>
        </w:trPr>
        <w:tc>
          <w:tcPr>
            <w:tcW w:w="3956" w:type="dxa"/>
            <w:tcBorders>
              <w:top w:val="nil"/>
              <w:left w:val="nil"/>
              <w:bottom w:val="nil"/>
              <w:right w:val="nil"/>
            </w:tcBorders>
            <w:shd w:val="clear" w:color="auto" w:fill="auto"/>
            <w:noWrap/>
            <w:vAlign w:val="bottom"/>
          </w:tcPr>
          <w:p w:rsidR="00E22A80" w:rsidRPr="00650894" w:rsidRDefault="00E22A80" w:rsidP="00650894">
            <w:pPr>
              <w:keepNext/>
              <w:keepLines/>
              <w:contextualSpacing/>
              <w:rPr>
                <w:color w:val="000000"/>
                <w:sz w:val="26"/>
                <w:szCs w:val="26"/>
                <w:u w:val="single"/>
              </w:rPr>
            </w:pPr>
          </w:p>
        </w:tc>
        <w:tc>
          <w:tcPr>
            <w:tcW w:w="2363" w:type="dxa"/>
            <w:tcBorders>
              <w:top w:val="nil"/>
              <w:left w:val="nil"/>
              <w:bottom w:val="nil"/>
              <w:right w:val="nil"/>
            </w:tcBorders>
            <w:shd w:val="clear" w:color="auto" w:fill="auto"/>
            <w:noWrap/>
            <w:vAlign w:val="bottom"/>
          </w:tcPr>
          <w:p w:rsidR="00E22A80" w:rsidRPr="00650894" w:rsidRDefault="00E22A80" w:rsidP="00650894">
            <w:pPr>
              <w:keepNext/>
              <w:keepLines/>
              <w:contextualSpacing/>
              <w:rPr>
                <w:color w:val="000000"/>
                <w:sz w:val="26"/>
                <w:szCs w:val="26"/>
                <w:u w:val="single"/>
              </w:rPr>
            </w:pPr>
          </w:p>
        </w:tc>
        <w:tc>
          <w:tcPr>
            <w:tcW w:w="2861" w:type="dxa"/>
            <w:tcBorders>
              <w:top w:val="nil"/>
              <w:left w:val="nil"/>
              <w:bottom w:val="nil"/>
              <w:right w:val="nil"/>
            </w:tcBorders>
            <w:shd w:val="clear" w:color="auto" w:fill="auto"/>
            <w:noWrap/>
            <w:vAlign w:val="bottom"/>
          </w:tcPr>
          <w:p w:rsidR="00E22A80" w:rsidRPr="00650894" w:rsidRDefault="00E22A80" w:rsidP="00650894">
            <w:pPr>
              <w:keepNext/>
              <w:keepLines/>
              <w:contextualSpacing/>
              <w:rPr>
                <w:color w:val="000000"/>
                <w:sz w:val="26"/>
                <w:szCs w:val="26"/>
                <w:u w:val="single"/>
              </w:rPr>
            </w:pPr>
          </w:p>
        </w:tc>
      </w:tr>
      <w:tr w:rsidR="00A970B9" w:rsidRPr="00650894" w:rsidTr="00A970B9">
        <w:trPr>
          <w:trHeight w:val="330"/>
          <w:jc w:val="center"/>
        </w:trPr>
        <w:tc>
          <w:tcPr>
            <w:tcW w:w="3956" w:type="dxa"/>
            <w:tcBorders>
              <w:top w:val="nil"/>
              <w:left w:val="nil"/>
              <w:bottom w:val="nil"/>
              <w:right w:val="nil"/>
            </w:tcBorders>
            <w:shd w:val="clear" w:color="auto" w:fill="auto"/>
            <w:noWrap/>
            <w:vAlign w:val="bottom"/>
            <w:hideMark/>
          </w:tcPr>
          <w:p w:rsidR="00A970B9" w:rsidRPr="00650894" w:rsidRDefault="00A970B9" w:rsidP="00650894">
            <w:pPr>
              <w:keepNext/>
              <w:keepLines/>
              <w:contextualSpacing/>
              <w:rPr>
                <w:color w:val="000000"/>
                <w:sz w:val="26"/>
                <w:szCs w:val="26"/>
                <w:u w:val="single"/>
              </w:rPr>
            </w:pPr>
            <w:r w:rsidRPr="00650894">
              <w:rPr>
                <w:color w:val="000000"/>
                <w:sz w:val="26"/>
                <w:szCs w:val="26"/>
                <w:u w:val="single"/>
              </w:rPr>
              <w:t>Service or Element Description:</w:t>
            </w:r>
          </w:p>
        </w:tc>
        <w:tc>
          <w:tcPr>
            <w:tcW w:w="2363" w:type="dxa"/>
            <w:tcBorders>
              <w:top w:val="nil"/>
              <w:left w:val="nil"/>
              <w:bottom w:val="nil"/>
              <w:right w:val="nil"/>
            </w:tcBorders>
            <w:shd w:val="clear" w:color="auto" w:fill="auto"/>
            <w:noWrap/>
            <w:vAlign w:val="bottom"/>
            <w:hideMark/>
          </w:tcPr>
          <w:p w:rsidR="00A970B9" w:rsidRPr="00650894" w:rsidRDefault="00A970B9" w:rsidP="00650894">
            <w:pPr>
              <w:keepNext/>
              <w:keepLines/>
              <w:contextualSpacing/>
              <w:rPr>
                <w:color w:val="000000"/>
                <w:sz w:val="26"/>
                <w:szCs w:val="26"/>
                <w:u w:val="single"/>
              </w:rPr>
            </w:pPr>
            <w:r w:rsidRPr="00650894">
              <w:rPr>
                <w:color w:val="000000"/>
                <w:sz w:val="26"/>
                <w:szCs w:val="26"/>
                <w:u w:val="single"/>
              </w:rPr>
              <w:t>Recurring Charges:</w:t>
            </w:r>
          </w:p>
        </w:tc>
        <w:tc>
          <w:tcPr>
            <w:tcW w:w="2861" w:type="dxa"/>
            <w:tcBorders>
              <w:top w:val="nil"/>
              <w:left w:val="nil"/>
              <w:bottom w:val="nil"/>
              <w:right w:val="nil"/>
            </w:tcBorders>
            <w:shd w:val="clear" w:color="auto" w:fill="auto"/>
            <w:noWrap/>
            <w:vAlign w:val="bottom"/>
            <w:hideMark/>
          </w:tcPr>
          <w:p w:rsidR="00A970B9" w:rsidRPr="00650894" w:rsidRDefault="00A970B9" w:rsidP="00650894">
            <w:pPr>
              <w:keepNext/>
              <w:keepLines/>
              <w:contextualSpacing/>
              <w:rPr>
                <w:color w:val="000000"/>
                <w:sz w:val="26"/>
                <w:szCs w:val="26"/>
                <w:u w:val="single"/>
              </w:rPr>
            </w:pPr>
            <w:r w:rsidRPr="00650894">
              <w:rPr>
                <w:color w:val="000000"/>
                <w:sz w:val="26"/>
                <w:szCs w:val="26"/>
                <w:u w:val="single"/>
              </w:rPr>
              <w:t>Non-Recurring Charge:</w:t>
            </w:r>
          </w:p>
        </w:tc>
      </w:tr>
      <w:tr w:rsidR="00E22A80" w:rsidRPr="00650894" w:rsidTr="00A970B9">
        <w:trPr>
          <w:trHeight w:val="330"/>
          <w:jc w:val="center"/>
        </w:trPr>
        <w:tc>
          <w:tcPr>
            <w:tcW w:w="9180" w:type="dxa"/>
            <w:gridSpan w:val="3"/>
            <w:tcBorders>
              <w:top w:val="nil"/>
              <w:left w:val="nil"/>
              <w:bottom w:val="nil"/>
              <w:right w:val="nil"/>
            </w:tcBorders>
            <w:shd w:val="clear" w:color="auto" w:fill="auto"/>
            <w:noWrap/>
            <w:vAlign w:val="bottom"/>
          </w:tcPr>
          <w:p w:rsidR="00E22A80" w:rsidRPr="00650894" w:rsidRDefault="00E22A80" w:rsidP="00650894">
            <w:pPr>
              <w:keepNext/>
              <w:keepLines/>
              <w:contextualSpacing/>
              <w:jc w:val="center"/>
              <w:rPr>
                <w:color w:val="000000"/>
                <w:sz w:val="26"/>
                <w:szCs w:val="26"/>
              </w:rPr>
            </w:pPr>
          </w:p>
        </w:tc>
      </w:tr>
      <w:tr w:rsidR="00A970B9" w:rsidRPr="00650894" w:rsidTr="00A970B9">
        <w:trPr>
          <w:trHeight w:val="330"/>
          <w:jc w:val="center"/>
        </w:trPr>
        <w:tc>
          <w:tcPr>
            <w:tcW w:w="9180" w:type="dxa"/>
            <w:gridSpan w:val="3"/>
            <w:tcBorders>
              <w:top w:val="nil"/>
              <w:left w:val="nil"/>
              <w:bottom w:val="nil"/>
              <w:right w:val="nil"/>
            </w:tcBorders>
            <w:shd w:val="clear" w:color="auto" w:fill="auto"/>
            <w:noWrap/>
            <w:vAlign w:val="bottom"/>
            <w:hideMark/>
          </w:tcPr>
          <w:p w:rsidR="00A970B9" w:rsidRPr="00650894" w:rsidRDefault="00A970B9" w:rsidP="00650894">
            <w:pPr>
              <w:keepNext/>
              <w:keepLines/>
              <w:contextualSpacing/>
              <w:jc w:val="center"/>
              <w:rPr>
                <w:color w:val="000000"/>
                <w:sz w:val="26"/>
                <w:szCs w:val="26"/>
              </w:rPr>
            </w:pPr>
            <w:r w:rsidRPr="00650894">
              <w:rPr>
                <w:color w:val="000000"/>
                <w:sz w:val="26"/>
                <w:szCs w:val="26"/>
              </w:rPr>
              <w:t>*      *     *</w:t>
            </w:r>
          </w:p>
        </w:tc>
      </w:tr>
      <w:tr w:rsidR="00E22A80" w:rsidRPr="00650894" w:rsidTr="00E22A80">
        <w:trPr>
          <w:trHeight w:val="117"/>
          <w:jc w:val="center"/>
        </w:trPr>
        <w:tc>
          <w:tcPr>
            <w:tcW w:w="3956" w:type="dxa"/>
            <w:tcBorders>
              <w:top w:val="nil"/>
              <w:left w:val="nil"/>
              <w:bottom w:val="nil"/>
              <w:right w:val="nil"/>
            </w:tcBorders>
            <w:shd w:val="clear" w:color="auto" w:fill="auto"/>
          </w:tcPr>
          <w:p w:rsidR="00E22A80" w:rsidRPr="00650894" w:rsidRDefault="00E22A80" w:rsidP="00650894">
            <w:pPr>
              <w:keepNext/>
              <w:keepLines/>
              <w:contextualSpacing/>
              <w:rPr>
                <w:color w:val="000000"/>
                <w:sz w:val="26"/>
                <w:szCs w:val="26"/>
              </w:rPr>
            </w:pPr>
          </w:p>
        </w:tc>
        <w:tc>
          <w:tcPr>
            <w:tcW w:w="5224" w:type="dxa"/>
            <w:gridSpan w:val="2"/>
            <w:tcBorders>
              <w:top w:val="nil"/>
              <w:left w:val="nil"/>
              <w:bottom w:val="nil"/>
              <w:right w:val="nil"/>
            </w:tcBorders>
            <w:shd w:val="clear" w:color="auto" w:fill="auto"/>
          </w:tcPr>
          <w:p w:rsidR="00E22A80" w:rsidRPr="00650894" w:rsidRDefault="00E22A80" w:rsidP="00650894">
            <w:pPr>
              <w:keepNext/>
              <w:keepLines/>
              <w:contextualSpacing/>
              <w:rPr>
                <w:color w:val="000000"/>
                <w:sz w:val="26"/>
                <w:szCs w:val="26"/>
              </w:rPr>
            </w:pPr>
          </w:p>
        </w:tc>
      </w:tr>
      <w:tr w:rsidR="00A970B9" w:rsidRPr="00650894" w:rsidTr="00E22A80">
        <w:trPr>
          <w:trHeight w:val="1557"/>
          <w:jc w:val="center"/>
        </w:trPr>
        <w:tc>
          <w:tcPr>
            <w:tcW w:w="3956" w:type="dxa"/>
            <w:tcBorders>
              <w:top w:val="nil"/>
              <w:left w:val="nil"/>
              <w:bottom w:val="nil"/>
              <w:right w:val="nil"/>
            </w:tcBorders>
            <w:shd w:val="clear" w:color="auto" w:fill="auto"/>
            <w:hideMark/>
          </w:tcPr>
          <w:p w:rsidR="00A970B9" w:rsidRPr="00650894" w:rsidRDefault="00A970B9" w:rsidP="00650894">
            <w:pPr>
              <w:keepNext/>
              <w:keepLines/>
              <w:contextualSpacing/>
              <w:rPr>
                <w:color w:val="000000"/>
                <w:sz w:val="26"/>
                <w:szCs w:val="26"/>
              </w:rPr>
            </w:pPr>
            <w:r w:rsidRPr="00650894">
              <w:rPr>
                <w:color w:val="000000"/>
                <w:sz w:val="26"/>
                <w:szCs w:val="26"/>
              </w:rPr>
              <w:t>V. All other CORE Services Available to [</w:t>
            </w:r>
            <w:r w:rsidR="002F524F" w:rsidRPr="00650894">
              <w:rPr>
                <w:color w:val="000000"/>
                <w:sz w:val="26"/>
                <w:szCs w:val="26"/>
              </w:rPr>
              <w:t>Verizon PA</w:t>
            </w:r>
            <w:r w:rsidRPr="00650894">
              <w:rPr>
                <w:color w:val="000000"/>
                <w:sz w:val="26"/>
                <w:szCs w:val="26"/>
              </w:rPr>
              <w:t>] for Purposes of Effectuating Local Competition</w:t>
            </w:r>
          </w:p>
        </w:tc>
        <w:tc>
          <w:tcPr>
            <w:tcW w:w="5224" w:type="dxa"/>
            <w:gridSpan w:val="2"/>
            <w:tcBorders>
              <w:top w:val="nil"/>
              <w:left w:val="nil"/>
              <w:bottom w:val="nil"/>
              <w:right w:val="nil"/>
            </w:tcBorders>
            <w:shd w:val="clear" w:color="auto" w:fill="auto"/>
            <w:hideMark/>
          </w:tcPr>
          <w:p w:rsidR="00A970B9" w:rsidRPr="00650894" w:rsidRDefault="00A970B9" w:rsidP="00650894">
            <w:pPr>
              <w:keepNext/>
              <w:keepLines/>
              <w:contextualSpacing/>
              <w:rPr>
                <w:color w:val="000000"/>
                <w:sz w:val="26"/>
                <w:szCs w:val="26"/>
              </w:rPr>
            </w:pPr>
            <w:r w:rsidRPr="00650894">
              <w:rPr>
                <w:color w:val="000000"/>
                <w:sz w:val="26"/>
                <w:szCs w:val="26"/>
              </w:rPr>
              <w:t xml:space="preserve">Available at CORE's tariffed or otherwise generally </w:t>
            </w:r>
            <w:r w:rsidR="00775EA4" w:rsidRPr="00650894">
              <w:rPr>
                <w:color w:val="000000"/>
                <w:sz w:val="26"/>
                <w:szCs w:val="26"/>
              </w:rPr>
              <w:t>available</w:t>
            </w:r>
            <w:r w:rsidRPr="00650894">
              <w:rPr>
                <w:color w:val="000000"/>
                <w:sz w:val="26"/>
                <w:szCs w:val="26"/>
              </w:rPr>
              <w:t xml:space="preserve"> rates, not to exceed [</w:t>
            </w:r>
            <w:r w:rsidR="002F524F" w:rsidRPr="00650894">
              <w:rPr>
                <w:color w:val="000000"/>
                <w:sz w:val="26"/>
                <w:szCs w:val="26"/>
              </w:rPr>
              <w:t>Verizon PA</w:t>
            </w:r>
            <w:r w:rsidRPr="00650894">
              <w:rPr>
                <w:color w:val="000000"/>
                <w:sz w:val="26"/>
                <w:szCs w:val="26"/>
              </w:rPr>
              <w:t xml:space="preserve">] rates for </w:t>
            </w:r>
            <w:r w:rsidR="00775EA4" w:rsidRPr="00650894">
              <w:rPr>
                <w:color w:val="000000"/>
                <w:sz w:val="26"/>
                <w:szCs w:val="26"/>
              </w:rPr>
              <w:t>equivalent</w:t>
            </w:r>
            <w:r w:rsidRPr="00650894">
              <w:rPr>
                <w:color w:val="000000"/>
                <w:sz w:val="26"/>
                <w:szCs w:val="26"/>
              </w:rPr>
              <w:t xml:space="preserve"> services to CORE.</w:t>
            </w:r>
          </w:p>
        </w:tc>
      </w:tr>
    </w:tbl>
    <w:p w:rsidR="00F5097F" w:rsidRPr="00650894" w:rsidRDefault="00A970B9" w:rsidP="00650894">
      <w:pPr>
        <w:spacing w:line="360" w:lineRule="auto"/>
        <w:ind w:right="-360"/>
        <w:contextualSpacing/>
        <w:rPr>
          <w:rFonts w:eastAsiaTheme="minorHAnsi"/>
          <w:sz w:val="26"/>
          <w:szCs w:val="26"/>
        </w:rPr>
      </w:pPr>
      <w:r w:rsidRPr="00650894">
        <w:rPr>
          <w:rFonts w:eastAsiaTheme="minorHAnsi"/>
          <w:sz w:val="26"/>
          <w:szCs w:val="26"/>
        </w:rPr>
        <w:t xml:space="preserve">The ALJ </w:t>
      </w:r>
      <w:r w:rsidR="00775EA4" w:rsidRPr="00650894">
        <w:rPr>
          <w:rFonts w:eastAsiaTheme="minorHAnsi"/>
          <w:sz w:val="26"/>
          <w:szCs w:val="26"/>
        </w:rPr>
        <w:t xml:space="preserve">found that the logical </w:t>
      </w:r>
      <w:r w:rsidR="00A81B7E" w:rsidRPr="00650894">
        <w:rPr>
          <w:rFonts w:eastAsiaTheme="minorHAnsi"/>
          <w:sz w:val="26"/>
          <w:szCs w:val="26"/>
        </w:rPr>
        <w:t xml:space="preserve">reading of </w:t>
      </w:r>
      <w:r w:rsidR="00540E01" w:rsidRPr="00650894">
        <w:rPr>
          <w:rFonts w:eastAsiaTheme="minorHAnsi"/>
          <w:sz w:val="26"/>
          <w:szCs w:val="26"/>
        </w:rPr>
        <w:t>Section B.V.</w:t>
      </w:r>
      <w:r w:rsidR="00A81B7E" w:rsidRPr="00650894">
        <w:rPr>
          <w:rFonts w:eastAsiaTheme="minorHAnsi"/>
          <w:sz w:val="26"/>
          <w:szCs w:val="26"/>
        </w:rPr>
        <w:t xml:space="preserve"> of the Pricing A</w:t>
      </w:r>
      <w:r w:rsidR="00775EA4" w:rsidRPr="00650894">
        <w:rPr>
          <w:rFonts w:eastAsiaTheme="minorHAnsi"/>
          <w:sz w:val="26"/>
          <w:szCs w:val="26"/>
        </w:rPr>
        <w:t xml:space="preserve">ppendix is that the word “CORE’s” modifies both “tariffed . . .  rates” and “otherwise generally available rates.”  Therefore, the ALJ concluded that </w:t>
      </w:r>
      <w:r w:rsidR="009B2FC7" w:rsidRPr="00650894">
        <w:rPr>
          <w:rFonts w:eastAsiaTheme="minorHAnsi"/>
          <w:sz w:val="26"/>
          <w:szCs w:val="26"/>
        </w:rPr>
        <w:t xml:space="preserve">because Core has neither tariffed rates for the elements at issue nor otherwise generally available rates, it </w:t>
      </w:r>
      <w:r w:rsidR="00775EA4" w:rsidRPr="00650894">
        <w:rPr>
          <w:rFonts w:eastAsiaTheme="minorHAnsi"/>
          <w:sz w:val="26"/>
          <w:szCs w:val="26"/>
        </w:rPr>
        <w:t xml:space="preserve">had no basis for </w:t>
      </w:r>
      <w:r w:rsidR="009B2FC7" w:rsidRPr="00650894">
        <w:rPr>
          <w:rFonts w:eastAsiaTheme="minorHAnsi"/>
          <w:sz w:val="26"/>
          <w:szCs w:val="26"/>
        </w:rPr>
        <w:t xml:space="preserve">issuing the associated bills to </w:t>
      </w:r>
      <w:r w:rsidR="00775EA4" w:rsidRPr="00650894">
        <w:rPr>
          <w:rFonts w:eastAsiaTheme="minorHAnsi"/>
          <w:sz w:val="26"/>
          <w:szCs w:val="26"/>
        </w:rPr>
        <w:t xml:space="preserve">Verizon PA.  I.D. at 39-40.  Additionally, the ALJ noted that the </w:t>
      </w:r>
      <w:r w:rsidR="00A81B7E" w:rsidRPr="00650894">
        <w:rPr>
          <w:rFonts w:eastAsiaTheme="minorHAnsi"/>
          <w:sz w:val="26"/>
          <w:szCs w:val="26"/>
        </w:rPr>
        <w:t>Pricing Appendix</w:t>
      </w:r>
      <w:r w:rsidR="00775EA4" w:rsidRPr="00650894">
        <w:rPr>
          <w:rFonts w:eastAsiaTheme="minorHAnsi"/>
          <w:sz w:val="26"/>
          <w:szCs w:val="26"/>
        </w:rPr>
        <w:t xml:space="preserve"> to the ICA between the Parties’ affiliates in Virginia contains the same language as Section B.V</w:t>
      </w:r>
      <w:r w:rsidR="00BA13F7" w:rsidRPr="00650894">
        <w:rPr>
          <w:rFonts w:eastAsiaTheme="minorHAnsi"/>
          <w:sz w:val="26"/>
          <w:szCs w:val="26"/>
        </w:rPr>
        <w:t>.</w:t>
      </w:r>
      <w:r w:rsidR="00775EA4" w:rsidRPr="00650894">
        <w:rPr>
          <w:rFonts w:eastAsiaTheme="minorHAnsi"/>
          <w:sz w:val="26"/>
          <w:szCs w:val="26"/>
        </w:rPr>
        <w:t xml:space="preserve"> of the Pricing Appendix in the instant case.  </w:t>
      </w:r>
      <w:r w:rsidR="00AC5350" w:rsidRPr="00650894">
        <w:rPr>
          <w:rFonts w:eastAsiaTheme="minorHAnsi"/>
          <w:sz w:val="26"/>
          <w:szCs w:val="26"/>
        </w:rPr>
        <w:t xml:space="preserve">The ALJ pointed out that in the </w:t>
      </w:r>
      <w:r w:rsidR="00AC5350" w:rsidRPr="00650894">
        <w:rPr>
          <w:rFonts w:eastAsiaTheme="minorHAnsi"/>
          <w:i/>
          <w:sz w:val="26"/>
          <w:szCs w:val="26"/>
        </w:rPr>
        <w:t>CoreTel-Verizon VA Order,</w:t>
      </w:r>
      <w:r w:rsidR="00AC5350" w:rsidRPr="00650894">
        <w:rPr>
          <w:rFonts w:eastAsiaTheme="minorHAnsi"/>
          <w:sz w:val="26"/>
          <w:szCs w:val="26"/>
        </w:rPr>
        <w:t xml:space="preserve"> the Fourth Circuit held that the ICA between the Parties’ Virginia </w:t>
      </w:r>
      <w:r w:rsidR="00721D05" w:rsidRPr="00650894">
        <w:rPr>
          <w:rFonts w:eastAsiaTheme="minorHAnsi"/>
          <w:sz w:val="26"/>
          <w:szCs w:val="26"/>
        </w:rPr>
        <w:t>affiliates</w:t>
      </w:r>
      <w:r w:rsidR="00AC5350" w:rsidRPr="00650894">
        <w:rPr>
          <w:rFonts w:eastAsiaTheme="minorHAnsi"/>
          <w:sz w:val="26"/>
          <w:szCs w:val="26"/>
        </w:rPr>
        <w:t xml:space="preserve"> did not permit CoreTel Virginia to bill Verizon Virginia for facilities.  </w:t>
      </w:r>
      <w:r w:rsidR="00AC5350" w:rsidRPr="00650894">
        <w:rPr>
          <w:rFonts w:eastAsiaTheme="minorHAnsi"/>
          <w:i/>
          <w:sz w:val="26"/>
          <w:szCs w:val="26"/>
        </w:rPr>
        <w:t>Id.</w:t>
      </w:r>
      <w:r w:rsidR="00AC5350" w:rsidRPr="00650894">
        <w:rPr>
          <w:rFonts w:eastAsiaTheme="minorHAnsi"/>
          <w:sz w:val="26"/>
          <w:szCs w:val="26"/>
        </w:rPr>
        <w:t xml:space="preserve"> at n.15.</w:t>
      </w:r>
    </w:p>
    <w:p w:rsidR="00F5097F" w:rsidRPr="00650894" w:rsidRDefault="00F5097F" w:rsidP="00650894">
      <w:pPr>
        <w:spacing w:line="360" w:lineRule="auto"/>
        <w:ind w:firstLine="1440"/>
        <w:contextualSpacing/>
        <w:rPr>
          <w:sz w:val="26"/>
          <w:szCs w:val="26"/>
        </w:rPr>
      </w:pPr>
    </w:p>
    <w:p w:rsidR="00A616EF" w:rsidRPr="00650894" w:rsidRDefault="00A616EF" w:rsidP="00650894">
      <w:pPr>
        <w:spacing w:line="360" w:lineRule="auto"/>
        <w:ind w:firstLine="1440"/>
        <w:contextualSpacing/>
        <w:rPr>
          <w:sz w:val="26"/>
          <w:szCs w:val="26"/>
        </w:rPr>
      </w:pPr>
      <w:r w:rsidRPr="00650894">
        <w:rPr>
          <w:sz w:val="26"/>
          <w:szCs w:val="26"/>
        </w:rPr>
        <w:t xml:space="preserve">The ALJ also ruled that to the extent that Core could charge Verizon PA </w:t>
      </w:r>
      <w:r w:rsidRPr="00650894">
        <w:rPr>
          <w:i/>
          <w:sz w:val="26"/>
          <w:szCs w:val="26"/>
        </w:rPr>
        <w:t>any</w:t>
      </w:r>
      <w:r w:rsidRPr="00650894">
        <w:rPr>
          <w:sz w:val="26"/>
          <w:szCs w:val="26"/>
        </w:rPr>
        <w:t xml:space="preserve"> rates</w:t>
      </w:r>
      <w:r w:rsidR="0099003C" w:rsidRPr="00650894">
        <w:rPr>
          <w:sz w:val="26"/>
          <w:szCs w:val="26"/>
        </w:rPr>
        <w:t xml:space="preserve"> for the charges at issue</w:t>
      </w:r>
      <w:r w:rsidRPr="00650894">
        <w:rPr>
          <w:sz w:val="26"/>
          <w:szCs w:val="26"/>
        </w:rPr>
        <w:t xml:space="preserve">, it could only bill Verizon PA at the rates that resulted from the </w:t>
      </w:r>
      <w:r w:rsidRPr="00650894">
        <w:rPr>
          <w:i/>
          <w:sz w:val="26"/>
          <w:szCs w:val="26"/>
        </w:rPr>
        <w:t xml:space="preserve">2004 </w:t>
      </w:r>
      <w:r w:rsidR="00177311" w:rsidRPr="00650894">
        <w:rPr>
          <w:i/>
          <w:sz w:val="26"/>
          <w:szCs w:val="26"/>
        </w:rPr>
        <w:t>Verizon PA</w:t>
      </w:r>
      <w:r w:rsidRPr="00650894">
        <w:rPr>
          <w:i/>
          <w:sz w:val="26"/>
          <w:szCs w:val="26"/>
        </w:rPr>
        <w:t xml:space="preserve"> TELRIC Proceeding.</w:t>
      </w:r>
      <w:r w:rsidR="0099003C" w:rsidRPr="00650894">
        <w:rPr>
          <w:sz w:val="26"/>
          <w:szCs w:val="26"/>
        </w:rPr>
        <w:t xml:space="preserve">  </w:t>
      </w:r>
      <w:bookmarkStart w:id="6" w:name="_Hlk517697031"/>
      <w:r w:rsidR="0099003C" w:rsidRPr="00650894">
        <w:rPr>
          <w:sz w:val="26"/>
          <w:szCs w:val="26"/>
        </w:rPr>
        <w:t>The ALJ pointed to Verizon PA’s testimony that the TELRIC rates listed in Section</w:t>
      </w:r>
      <w:r w:rsidR="00C107E9" w:rsidRPr="00650894">
        <w:rPr>
          <w:sz w:val="26"/>
          <w:szCs w:val="26"/>
        </w:rPr>
        <w:t>s</w:t>
      </w:r>
      <w:r w:rsidR="0099003C" w:rsidRPr="00650894">
        <w:rPr>
          <w:sz w:val="26"/>
          <w:szCs w:val="26"/>
        </w:rPr>
        <w:t xml:space="preserve"> A</w:t>
      </w:r>
      <w:r w:rsidR="00C107E9" w:rsidRPr="00650894">
        <w:rPr>
          <w:sz w:val="26"/>
          <w:szCs w:val="26"/>
        </w:rPr>
        <w:t xml:space="preserve">.II.A, A.II.C, </w:t>
      </w:r>
      <w:r w:rsidR="0042531A" w:rsidRPr="00650894">
        <w:rPr>
          <w:sz w:val="26"/>
          <w:szCs w:val="26"/>
        </w:rPr>
        <w:t xml:space="preserve">and </w:t>
      </w:r>
      <w:r w:rsidR="00C107E9" w:rsidRPr="00650894">
        <w:rPr>
          <w:sz w:val="26"/>
          <w:szCs w:val="26"/>
        </w:rPr>
        <w:t>A.III.D</w:t>
      </w:r>
      <w:r w:rsidR="0099003C" w:rsidRPr="00650894">
        <w:rPr>
          <w:sz w:val="26"/>
          <w:szCs w:val="26"/>
        </w:rPr>
        <w:t xml:space="preserve"> of the Pricing Appendix for the facilities for which Core billed Verizon PA are not simpl</w:t>
      </w:r>
      <w:r w:rsidR="00E50A7D" w:rsidRPr="00650894">
        <w:rPr>
          <w:sz w:val="26"/>
          <w:szCs w:val="26"/>
        </w:rPr>
        <w:t>e</w:t>
      </w:r>
      <w:r w:rsidR="0099003C" w:rsidRPr="00650894">
        <w:rPr>
          <w:sz w:val="26"/>
          <w:szCs w:val="26"/>
        </w:rPr>
        <w:t xml:space="preserve"> cross-references to Verizon PA’s tariffs but are actual monetary </w:t>
      </w:r>
      <w:r w:rsidR="00C107E9" w:rsidRPr="00650894">
        <w:rPr>
          <w:sz w:val="26"/>
          <w:szCs w:val="26"/>
        </w:rPr>
        <w:t>rates</w:t>
      </w:r>
      <w:r w:rsidR="0099003C" w:rsidRPr="00650894">
        <w:rPr>
          <w:sz w:val="26"/>
          <w:szCs w:val="26"/>
        </w:rPr>
        <w:t xml:space="preserve">.  The ALJ </w:t>
      </w:r>
      <w:r w:rsidR="00C107E9" w:rsidRPr="00650894">
        <w:rPr>
          <w:sz w:val="26"/>
          <w:szCs w:val="26"/>
        </w:rPr>
        <w:t>contrasted this with Section A.XI</w:t>
      </w:r>
      <w:r w:rsidR="0042531A" w:rsidRPr="00650894">
        <w:rPr>
          <w:sz w:val="26"/>
          <w:szCs w:val="26"/>
        </w:rPr>
        <w:t xml:space="preserve"> of the Pricing Appendix</w:t>
      </w:r>
      <w:r w:rsidR="00C107E9" w:rsidRPr="00650894">
        <w:rPr>
          <w:sz w:val="26"/>
          <w:szCs w:val="26"/>
        </w:rPr>
        <w:t>, which simply r</w:t>
      </w:r>
      <w:r w:rsidR="0099003C" w:rsidRPr="00650894">
        <w:rPr>
          <w:sz w:val="26"/>
          <w:szCs w:val="26"/>
        </w:rPr>
        <w:t>eference</w:t>
      </w:r>
      <w:r w:rsidR="00C107E9" w:rsidRPr="00650894">
        <w:rPr>
          <w:sz w:val="26"/>
          <w:szCs w:val="26"/>
        </w:rPr>
        <w:t>s</w:t>
      </w:r>
      <w:r w:rsidR="0099003C" w:rsidRPr="00650894">
        <w:rPr>
          <w:sz w:val="26"/>
          <w:szCs w:val="26"/>
        </w:rPr>
        <w:t xml:space="preserve"> Verizon </w:t>
      </w:r>
      <w:r w:rsidR="00C107E9" w:rsidRPr="00650894">
        <w:rPr>
          <w:sz w:val="26"/>
          <w:szCs w:val="26"/>
        </w:rPr>
        <w:t>PA’</w:t>
      </w:r>
      <w:r w:rsidR="0099003C" w:rsidRPr="00650894">
        <w:rPr>
          <w:sz w:val="26"/>
          <w:szCs w:val="26"/>
        </w:rPr>
        <w:t xml:space="preserve">s interstate and intrastate access tariffs.  </w:t>
      </w:r>
      <w:bookmarkEnd w:id="6"/>
      <w:r w:rsidR="0099003C" w:rsidRPr="00650894">
        <w:rPr>
          <w:sz w:val="26"/>
          <w:szCs w:val="26"/>
        </w:rPr>
        <w:t xml:space="preserve">Therefore, the ALJ </w:t>
      </w:r>
      <w:r w:rsidR="00C107E9" w:rsidRPr="00650894">
        <w:rPr>
          <w:sz w:val="26"/>
          <w:szCs w:val="26"/>
        </w:rPr>
        <w:t>concluded that</w:t>
      </w:r>
      <w:r w:rsidR="0099003C" w:rsidRPr="00650894">
        <w:rPr>
          <w:sz w:val="26"/>
          <w:szCs w:val="26"/>
        </w:rPr>
        <w:t xml:space="preserve"> </w:t>
      </w:r>
      <w:r w:rsidR="003242F8" w:rsidRPr="00650894">
        <w:rPr>
          <w:sz w:val="26"/>
          <w:szCs w:val="26"/>
        </w:rPr>
        <w:t xml:space="preserve">once </w:t>
      </w:r>
      <w:r w:rsidR="0099003C" w:rsidRPr="00650894">
        <w:rPr>
          <w:sz w:val="26"/>
          <w:szCs w:val="26"/>
        </w:rPr>
        <w:t xml:space="preserve">the TELRIC rates resulting from the </w:t>
      </w:r>
      <w:r w:rsidR="0099003C" w:rsidRPr="00650894">
        <w:rPr>
          <w:i/>
          <w:sz w:val="26"/>
          <w:szCs w:val="26"/>
        </w:rPr>
        <w:t xml:space="preserve">2004 </w:t>
      </w:r>
      <w:r w:rsidR="00177311" w:rsidRPr="00650894">
        <w:rPr>
          <w:i/>
          <w:sz w:val="26"/>
          <w:szCs w:val="26"/>
        </w:rPr>
        <w:t>Verizon PA</w:t>
      </w:r>
      <w:r w:rsidR="0099003C" w:rsidRPr="00650894">
        <w:rPr>
          <w:i/>
          <w:sz w:val="26"/>
          <w:szCs w:val="26"/>
        </w:rPr>
        <w:t xml:space="preserve"> TELRIC Proceeding</w:t>
      </w:r>
      <w:r w:rsidR="00C107E9" w:rsidRPr="00650894">
        <w:rPr>
          <w:sz w:val="26"/>
          <w:szCs w:val="26"/>
        </w:rPr>
        <w:t xml:space="preserve"> were</w:t>
      </w:r>
      <w:r w:rsidR="003242F8" w:rsidRPr="00650894">
        <w:rPr>
          <w:sz w:val="26"/>
          <w:szCs w:val="26"/>
        </w:rPr>
        <w:t xml:space="preserve"> approved by the Commission, they were</w:t>
      </w:r>
      <w:r w:rsidR="00C107E9" w:rsidRPr="00650894">
        <w:rPr>
          <w:sz w:val="26"/>
          <w:szCs w:val="26"/>
        </w:rPr>
        <w:t xml:space="preserve"> automatically incorporated into Section A of the ICA’s Pricing Appendix.  For this reason, the ALJ </w:t>
      </w:r>
      <w:r w:rsidR="00A9214A" w:rsidRPr="00650894">
        <w:rPr>
          <w:sz w:val="26"/>
          <w:szCs w:val="26"/>
        </w:rPr>
        <w:t>concurred with Verizon PA that F</w:t>
      </w:r>
      <w:r w:rsidR="00C107E9" w:rsidRPr="00650894">
        <w:rPr>
          <w:sz w:val="26"/>
          <w:szCs w:val="26"/>
        </w:rPr>
        <w:t>ootnote 1 is self-executing and that no separate amendment to the ICA was required to incorporate the new TELRIC rates into the ICA.  In reaching her conclusion, the ALJ also found Core’s apparent claim that the tariff-related provisions set forth in Part A, Section 1.3 of the ICA somehow invalidate the provisions of Footnote 1 of the Pricing Appendix regarding updates to the rates contained therein to be erroneous and contrary to the directive set forth in Part A, Section 1.3.2 of the ICA that the agreement be construed to avoid conflicts.</w:t>
      </w:r>
      <w:r w:rsidR="00205428" w:rsidRPr="00650894">
        <w:rPr>
          <w:sz w:val="26"/>
          <w:szCs w:val="26"/>
        </w:rPr>
        <w:t xml:space="preserve"> </w:t>
      </w:r>
      <w:r w:rsidR="0078095B" w:rsidRPr="00650894">
        <w:rPr>
          <w:sz w:val="26"/>
          <w:szCs w:val="26"/>
        </w:rPr>
        <w:t xml:space="preserve"> </w:t>
      </w:r>
      <w:r w:rsidR="00205428" w:rsidRPr="00650894">
        <w:rPr>
          <w:sz w:val="26"/>
          <w:szCs w:val="26"/>
        </w:rPr>
        <w:t>I.D. at 41-42.</w:t>
      </w:r>
      <w:r w:rsidR="0078095B" w:rsidRPr="00650894">
        <w:rPr>
          <w:sz w:val="26"/>
          <w:szCs w:val="26"/>
        </w:rPr>
        <w:t xml:space="preserve">  As a result, the ALJ found Core’s citation to Part A, Section 36 of the ICA, which governs amendments and modifications</w:t>
      </w:r>
      <w:r w:rsidR="004F48C3" w:rsidRPr="00650894">
        <w:rPr>
          <w:sz w:val="26"/>
          <w:szCs w:val="26"/>
        </w:rPr>
        <w:t xml:space="preserve"> to the ICA</w:t>
      </w:r>
      <w:r w:rsidR="0078095B" w:rsidRPr="00650894">
        <w:rPr>
          <w:sz w:val="26"/>
          <w:szCs w:val="26"/>
        </w:rPr>
        <w:t xml:space="preserve">, to be irrelevant.  </w:t>
      </w:r>
      <w:r w:rsidR="0078095B" w:rsidRPr="00650894">
        <w:rPr>
          <w:i/>
          <w:sz w:val="26"/>
          <w:szCs w:val="26"/>
        </w:rPr>
        <w:t>Id.</w:t>
      </w:r>
      <w:r w:rsidR="0078095B" w:rsidRPr="00650894">
        <w:rPr>
          <w:sz w:val="26"/>
          <w:szCs w:val="26"/>
        </w:rPr>
        <w:t xml:space="preserve"> at 42, n.17.</w:t>
      </w:r>
    </w:p>
    <w:p w:rsidR="00E04731" w:rsidRPr="00650894" w:rsidRDefault="00E04731" w:rsidP="00650894">
      <w:pPr>
        <w:spacing w:line="360" w:lineRule="auto"/>
        <w:ind w:firstLine="1440"/>
        <w:contextualSpacing/>
        <w:rPr>
          <w:sz w:val="26"/>
          <w:szCs w:val="26"/>
        </w:rPr>
      </w:pPr>
    </w:p>
    <w:p w:rsidR="00E04731" w:rsidRPr="00650894" w:rsidRDefault="00490687" w:rsidP="00795AEE">
      <w:pPr>
        <w:keepNext/>
        <w:keepLines/>
        <w:spacing w:line="360" w:lineRule="auto"/>
        <w:ind w:left="1440"/>
        <w:contextualSpacing/>
        <w:rPr>
          <w:sz w:val="26"/>
          <w:szCs w:val="26"/>
        </w:rPr>
      </w:pPr>
      <w:r w:rsidRPr="00650894">
        <w:rPr>
          <w:b/>
          <w:sz w:val="26"/>
          <w:szCs w:val="26"/>
        </w:rPr>
        <w:t>c</w:t>
      </w:r>
      <w:r w:rsidR="00E04731" w:rsidRPr="00650894">
        <w:rPr>
          <w:b/>
          <w:sz w:val="26"/>
          <w:szCs w:val="26"/>
        </w:rPr>
        <w:t>.</w:t>
      </w:r>
      <w:r w:rsidR="00E04731" w:rsidRPr="00650894">
        <w:rPr>
          <w:b/>
          <w:sz w:val="26"/>
          <w:szCs w:val="26"/>
        </w:rPr>
        <w:tab/>
        <w:t>Core’s Exceptions</w:t>
      </w:r>
    </w:p>
    <w:p w:rsidR="003D0354" w:rsidRPr="00650894" w:rsidRDefault="003D0354" w:rsidP="00650894">
      <w:pPr>
        <w:keepNext/>
        <w:keepLines/>
        <w:spacing w:line="360" w:lineRule="auto"/>
        <w:ind w:firstLine="1440"/>
        <w:contextualSpacing/>
        <w:rPr>
          <w:sz w:val="26"/>
          <w:szCs w:val="26"/>
        </w:rPr>
      </w:pPr>
    </w:p>
    <w:p w:rsidR="002B3501" w:rsidRPr="00650894" w:rsidRDefault="00721D05" w:rsidP="00650894">
      <w:pPr>
        <w:spacing w:line="360" w:lineRule="auto"/>
        <w:ind w:firstLine="1440"/>
        <w:contextualSpacing/>
        <w:rPr>
          <w:sz w:val="26"/>
          <w:szCs w:val="26"/>
        </w:rPr>
      </w:pPr>
      <w:r w:rsidRPr="00650894">
        <w:rPr>
          <w:sz w:val="26"/>
          <w:szCs w:val="26"/>
        </w:rPr>
        <w:t xml:space="preserve">In its Exceptions, </w:t>
      </w:r>
      <w:r w:rsidR="007E748F" w:rsidRPr="00650894">
        <w:rPr>
          <w:sz w:val="26"/>
          <w:szCs w:val="26"/>
        </w:rPr>
        <w:t>Core finds fault with the ALJ’s interpretation of Section B.V</w:t>
      </w:r>
      <w:r w:rsidR="004F48C3" w:rsidRPr="00650894">
        <w:rPr>
          <w:sz w:val="26"/>
          <w:szCs w:val="26"/>
        </w:rPr>
        <w:t>.</w:t>
      </w:r>
      <w:r w:rsidR="007E748F" w:rsidRPr="00650894">
        <w:rPr>
          <w:sz w:val="26"/>
          <w:szCs w:val="26"/>
        </w:rPr>
        <w:t xml:space="preserve"> of the ICA’s Pricing Appendix as well as her conclusion that Core had no basis for billing Verizon PA using rates that it does not have.  Core maintains </w:t>
      </w:r>
      <w:r w:rsidR="004F48C3" w:rsidRPr="00650894">
        <w:rPr>
          <w:sz w:val="26"/>
          <w:szCs w:val="26"/>
        </w:rPr>
        <w:t xml:space="preserve">its position </w:t>
      </w:r>
      <w:r w:rsidR="007E748F" w:rsidRPr="00650894">
        <w:rPr>
          <w:sz w:val="26"/>
          <w:szCs w:val="26"/>
        </w:rPr>
        <w:t>that</w:t>
      </w:r>
      <w:r w:rsidR="00D751AB" w:rsidRPr="00650894">
        <w:rPr>
          <w:sz w:val="26"/>
          <w:szCs w:val="26"/>
        </w:rPr>
        <w:t xml:space="preserve"> although it has never claimed to have tariffed rates for interconnection,</w:t>
      </w:r>
      <w:r w:rsidR="007E748F" w:rsidRPr="00650894">
        <w:rPr>
          <w:sz w:val="26"/>
          <w:szCs w:val="26"/>
        </w:rPr>
        <w:t xml:space="preserve"> it does have generally available rates, which it made available to Verizon PA </w:t>
      </w:r>
      <w:r w:rsidR="006A5D5F" w:rsidRPr="00650894">
        <w:rPr>
          <w:sz w:val="26"/>
          <w:szCs w:val="26"/>
        </w:rPr>
        <w:t>simply by</w:t>
      </w:r>
      <w:r w:rsidR="007E748F" w:rsidRPr="00650894">
        <w:rPr>
          <w:sz w:val="26"/>
          <w:szCs w:val="26"/>
        </w:rPr>
        <w:t xml:space="preserve"> </w:t>
      </w:r>
      <w:r w:rsidR="00BC3A83" w:rsidRPr="00650894">
        <w:rPr>
          <w:sz w:val="26"/>
          <w:szCs w:val="26"/>
        </w:rPr>
        <w:t xml:space="preserve">sending </w:t>
      </w:r>
      <w:r w:rsidR="007E748F" w:rsidRPr="00650894">
        <w:rPr>
          <w:sz w:val="26"/>
          <w:szCs w:val="26"/>
        </w:rPr>
        <w:t>Verizon PA bills for the services at issue</w:t>
      </w:r>
      <w:bookmarkStart w:id="7" w:name="_Hlk517697066"/>
      <w:r w:rsidR="007E748F" w:rsidRPr="00650894">
        <w:rPr>
          <w:sz w:val="26"/>
          <w:szCs w:val="26"/>
        </w:rPr>
        <w:t xml:space="preserve">.  In Core’s view, Verizon PA was </w:t>
      </w:r>
      <w:r w:rsidR="007A3F8F">
        <w:rPr>
          <w:sz w:val="26"/>
          <w:szCs w:val="26"/>
        </w:rPr>
        <w:t xml:space="preserve">placed </w:t>
      </w:r>
      <w:r w:rsidR="007E748F" w:rsidRPr="00650894">
        <w:rPr>
          <w:sz w:val="26"/>
          <w:szCs w:val="26"/>
        </w:rPr>
        <w:t xml:space="preserve">on notice that such interconnection rates </w:t>
      </w:r>
      <w:r w:rsidR="000A0BCD" w:rsidRPr="00650894">
        <w:rPr>
          <w:sz w:val="26"/>
          <w:szCs w:val="26"/>
        </w:rPr>
        <w:t>might apply to it</w:t>
      </w:r>
      <w:r w:rsidR="007E748F" w:rsidRPr="00650894">
        <w:rPr>
          <w:sz w:val="26"/>
          <w:szCs w:val="26"/>
        </w:rPr>
        <w:t xml:space="preserve">, just as the reciprocal compensation </w:t>
      </w:r>
      <w:r w:rsidR="00DD6CC2" w:rsidRPr="00650894">
        <w:rPr>
          <w:sz w:val="26"/>
          <w:szCs w:val="26"/>
        </w:rPr>
        <w:t xml:space="preserve">rates </w:t>
      </w:r>
      <w:r w:rsidR="007E748F" w:rsidRPr="00650894">
        <w:rPr>
          <w:sz w:val="26"/>
          <w:szCs w:val="26"/>
        </w:rPr>
        <w:t>in the ICA applied to it.</w:t>
      </w:r>
      <w:bookmarkEnd w:id="7"/>
      <w:r w:rsidR="007E748F" w:rsidRPr="00650894">
        <w:rPr>
          <w:sz w:val="26"/>
          <w:szCs w:val="26"/>
        </w:rPr>
        <w:t xml:space="preserve">  Core remains of the opinion that Section B.V. of the Pricing Appendix clearly states that </w:t>
      </w:r>
      <w:r w:rsidR="006A5D5F" w:rsidRPr="00650894">
        <w:rPr>
          <w:sz w:val="26"/>
          <w:szCs w:val="26"/>
        </w:rPr>
        <w:t xml:space="preserve">Core is authorized under the ICA to bill Verizon PA </w:t>
      </w:r>
      <w:r w:rsidR="00013949" w:rsidRPr="00650894">
        <w:rPr>
          <w:sz w:val="26"/>
          <w:szCs w:val="26"/>
        </w:rPr>
        <w:t xml:space="preserve">by mirroring </w:t>
      </w:r>
      <w:r w:rsidR="006A5D5F" w:rsidRPr="00650894">
        <w:rPr>
          <w:sz w:val="26"/>
          <w:szCs w:val="26"/>
        </w:rPr>
        <w:t xml:space="preserve">the </w:t>
      </w:r>
      <w:r w:rsidR="00013949" w:rsidRPr="00650894">
        <w:rPr>
          <w:sz w:val="26"/>
          <w:szCs w:val="26"/>
        </w:rPr>
        <w:t xml:space="preserve">Verizon PA </w:t>
      </w:r>
      <w:r w:rsidR="006A5D5F" w:rsidRPr="00650894">
        <w:rPr>
          <w:sz w:val="26"/>
          <w:szCs w:val="26"/>
        </w:rPr>
        <w:t>rates set forth in the Pricing Appendix.  Core Exc. at 8-9.</w:t>
      </w:r>
    </w:p>
    <w:p w:rsidR="006A5D5F" w:rsidRPr="00650894" w:rsidRDefault="006A5D5F" w:rsidP="00650894">
      <w:pPr>
        <w:spacing w:line="360" w:lineRule="auto"/>
        <w:ind w:firstLine="1440"/>
        <w:contextualSpacing/>
        <w:rPr>
          <w:sz w:val="26"/>
          <w:szCs w:val="26"/>
        </w:rPr>
      </w:pPr>
    </w:p>
    <w:p w:rsidR="006A5D5F" w:rsidRPr="00650894" w:rsidRDefault="006A5D5F" w:rsidP="00650894">
      <w:pPr>
        <w:spacing w:line="360" w:lineRule="auto"/>
        <w:ind w:firstLine="1440"/>
        <w:contextualSpacing/>
        <w:rPr>
          <w:sz w:val="26"/>
          <w:szCs w:val="26"/>
        </w:rPr>
      </w:pPr>
      <w:r w:rsidRPr="00650894">
        <w:rPr>
          <w:sz w:val="26"/>
          <w:szCs w:val="26"/>
        </w:rPr>
        <w:t xml:space="preserve">Core also </w:t>
      </w:r>
      <w:r w:rsidR="000F44EB" w:rsidRPr="00650894">
        <w:rPr>
          <w:sz w:val="26"/>
          <w:szCs w:val="26"/>
        </w:rPr>
        <w:t xml:space="preserve">disputes the ALJ’s finding that the pricing appendix to the ICA between the Parties’ Virginia affiliates contains the same language as that of the Pricing Appendix of the Parties in the proceeding before us.  Core instead claims that while the ICAs contain similar language with respect to the rates </w:t>
      </w:r>
      <w:r w:rsidR="00122E60" w:rsidRPr="00650894">
        <w:rPr>
          <w:sz w:val="26"/>
          <w:szCs w:val="26"/>
        </w:rPr>
        <w:t>the Core entities may bill the Verizon entities</w:t>
      </w:r>
      <w:r w:rsidR="000F44EB" w:rsidRPr="00650894">
        <w:rPr>
          <w:sz w:val="26"/>
          <w:szCs w:val="26"/>
        </w:rPr>
        <w:t xml:space="preserve">, the pricing appendix language of </w:t>
      </w:r>
      <w:r w:rsidR="006D42D5">
        <w:rPr>
          <w:sz w:val="26"/>
          <w:szCs w:val="26"/>
        </w:rPr>
        <w:t xml:space="preserve">the </w:t>
      </w:r>
      <w:r w:rsidR="000F44EB" w:rsidRPr="00650894">
        <w:rPr>
          <w:sz w:val="26"/>
          <w:szCs w:val="26"/>
        </w:rPr>
        <w:t xml:space="preserve">ICA of the parties’ Virginia affiliates </w:t>
      </w:r>
      <w:r w:rsidR="000E4A54" w:rsidRPr="00650894">
        <w:rPr>
          <w:sz w:val="26"/>
          <w:szCs w:val="26"/>
        </w:rPr>
        <w:t>does not include the key phrase “not to exceed [</w:t>
      </w:r>
      <w:r w:rsidR="00BD0CCD" w:rsidRPr="00650894">
        <w:rPr>
          <w:sz w:val="26"/>
          <w:szCs w:val="26"/>
        </w:rPr>
        <w:t>Verizon PA</w:t>
      </w:r>
      <w:r w:rsidR="000E4A54" w:rsidRPr="00650894">
        <w:rPr>
          <w:sz w:val="26"/>
          <w:szCs w:val="26"/>
        </w:rPr>
        <w:t>’s] rates for equivalent services to Core.</w:t>
      </w:r>
      <w:r w:rsidR="0057449B" w:rsidRPr="00650894">
        <w:rPr>
          <w:sz w:val="26"/>
          <w:szCs w:val="26"/>
        </w:rPr>
        <w:t>”</w:t>
      </w:r>
      <w:r w:rsidR="000E4A54" w:rsidRPr="00650894">
        <w:rPr>
          <w:sz w:val="26"/>
          <w:szCs w:val="26"/>
        </w:rPr>
        <w:t xml:space="preserve">  Core contends that in the </w:t>
      </w:r>
      <w:r w:rsidR="000E4A54" w:rsidRPr="00650894">
        <w:rPr>
          <w:i/>
          <w:sz w:val="26"/>
          <w:szCs w:val="26"/>
        </w:rPr>
        <w:t>CoreTel-Verizon VA Order,</w:t>
      </w:r>
      <w:r w:rsidR="000E4A54" w:rsidRPr="00650894">
        <w:rPr>
          <w:sz w:val="26"/>
          <w:szCs w:val="26"/>
        </w:rPr>
        <w:t xml:space="preserve"> the Fourth Circuit did not rely on the pricing appendix language of the Virginia ICA in deciding against CoreTel </w:t>
      </w:r>
      <w:r w:rsidR="00B55BCF" w:rsidRPr="00650894">
        <w:rPr>
          <w:sz w:val="26"/>
          <w:szCs w:val="26"/>
        </w:rPr>
        <w:t>Virginia</w:t>
      </w:r>
      <w:r w:rsidR="000E4A54" w:rsidRPr="00650894">
        <w:rPr>
          <w:sz w:val="26"/>
          <w:szCs w:val="26"/>
        </w:rPr>
        <w:t xml:space="preserve"> on its facilities claims</w:t>
      </w:r>
      <w:r w:rsidR="00971D65" w:rsidRPr="00650894">
        <w:rPr>
          <w:sz w:val="26"/>
          <w:szCs w:val="26"/>
        </w:rPr>
        <w:t xml:space="preserve"> nor did that ICA include interconnection language that resembles </w:t>
      </w:r>
      <w:r w:rsidR="00A9214A" w:rsidRPr="00650894">
        <w:rPr>
          <w:sz w:val="26"/>
          <w:szCs w:val="26"/>
        </w:rPr>
        <w:t xml:space="preserve">that set forth in </w:t>
      </w:r>
      <w:r w:rsidR="00971D65" w:rsidRPr="00650894">
        <w:rPr>
          <w:sz w:val="26"/>
          <w:szCs w:val="26"/>
        </w:rPr>
        <w:t>A</w:t>
      </w:r>
      <w:r w:rsidR="002C7E5D" w:rsidRPr="00650894">
        <w:rPr>
          <w:sz w:val="26"/>
          <w:szCs w:val="26"/>
        </w:rPr>
        <w:t xml:space="preserve">ttachment IV of the Verizon PA ICA.  Core points out that nowhere in the </w:t>
      </w:r>
      <w:r w:rsidR="00214253" w:rsidRPr="00650894">
        <w:rPr>
          <w:i/>
          <w:sz w:val="26"/>
          <w:szCs w:val="26"/>
        </w:rPr>
        <w:t>CoreTel-</w:t>
      </w:r>
      <w:r w:rsidR="002C7E5D" w:rsidRPr="00650894">
        <w:rPr>
          <w:i/>
          <w:sz w:val="26"/>
          <w:szCs w:val="26"/>
        </w:rPr>
        <w:t>Verizon V</w:t>
      </w:r>
      <w:r w:rsidR="00214253" w:rsidRPr="00650894">
        <w:rPr>
          <w:i/>
          <w:sz w:val="26"/>
          <w:szCs w:val="26"/>
        </w:rPr>
        <w:t>A</w:t>
      </w:r>
      <w:r w:rsidR="002C7E5D" w:rsidRPr="00650894">
        <w:rPr>
          <w:i/>
          <w:sz w:val="26"/>
          <w:szCs w:val="26"/>
        </w:rPr>
        <w:t xml:space="preserve"> Order</w:t>
      </w:r>
      <w:r w:rsidR="002C7E5D" w:rsidRPr="00650894">
        <w:rPr>
          <w:sz w:val="26"/>
          <w:szCs w:val="26"/>
        </w:rPr>
        <w:t xml:space="preserve"> does the Fourth Circuit analyze the terms “Transport,”</w:t>
      </w:r>
      <w:r w:rsidR="000E4A54" w:rsidRPr="00650894">
        <w:rPr>
          <w:sz w:val="26"/>
          <w:szCs w:val="26"/>
        </w:rPr>
        <w:t xml:space="preserve"> </w:t>
      </w:r>
      <w:r w:rsidR="002C7E5D" w:rsidRPr="00650894">
        <w:rPr>
          <w:sz w:val="26"/>
          <w:szCs w:val="26"/>
        </w:rPr>
        <w:t>“Termination,” “Tandem Switching,” or “trunk connect facilities,” all of which are at issue in the instant case</w:t>
      </w:r>
      <w:r w:rsidR="00214253" w:rsidRPr="00650894">
        <w:rPr>
          <w:sz w:val="26"/>
          <w:szCs w:val="26"/>
        </w:rPr>
        <w:t xml:space="preserve">.  Thus, Core is of the opinion that the ALJ’s citation to the </w:t>
      </w:r>
      <w:r w:rsidR="00214253" w:rsidRPr="00650894">
        <w:rPr>
          <w:i/>
          <w:sz w:val="26"/>
          <w:szCs w:val="26"/>
        </w:rPr>
        <w:t>CoreTel-Verizon VA</w:t>
      </w:r>
      <w:r w:rsidR="002C7E5D" w:rsidRPr="00650894">
        <w:rPr>
          <w:sz w:val="26"/>
          <w:szCs w:val="26"/>
        </w:rPr>
        <w:t xml:space="preserve"> </w:t>
      </w:r>
      <w:r w:rsidR="00214253" w:rsidRPr="00650894">
        <w:rPr>
          <w:i/>
          <w:sz w:val="26"/>
          <w:szCs w:val="26"/>
        </w:rPr>
        <w:t>Order</w:t>
      </w:r>
      <w:r w:rsidR="00214253" w:rsidRPr="00650894">
        <w:rPr>
          <w:sz w:val="26"/>
          <w:szCs w:val="26"/>
        </w:rPr>
        <w:t xml:space="preserve"> is misplaced. </w:t>
      </w:r>
      <w:r w:rsidR="002C7E5D" w:rsidRPr="00650894">
        <w:rPr>
          <w:sz w:val="26"/>
          <w:szCs w:val="26"/>
        </w:rPr>
        <w:t xml:space="preserve"> Core Exc. at 9.  </w:t>
      </w:r>
    </w:p>
    <w:p w:rsidR="002B3501" w:rsidRPr="00650894" w:rsidRDefault="002B3501" w:rsidP="00650894">
      <w:pPr>
        <w:spacing w:line="360" w:lineRule="auto"/>
        <w:ind w:firstLine="1440"/>
        <w:contextualSpacing/>
        <w:rPr>
          <w:sz w:val="26"/>
          <w:szCs w:val="26"/>
        </w:rPr>
      </w:pPr>
    </w:p>
    <w:p w:rsidR="00176A9D" w:rsidRPr="00650894" w:rsidRDefault="000F44EB" w:rsidP="00650894">
      <w:pPr>
        <w:spacing w:line="360" w:lineRule="auto"/>
        <w:ind w:firstLine="1440"/>
        <w:contextualSpacing/>
        <w:rPr>
          <w:sz w:val="26"/>
          <w:szCs w:val="26"/>
        </w:rPr>
      </w:pPr>
      <w:r w:rsidRPr="00650894">
        <w:rPr>
          <w:sz w:val="26"/>
          <w:szCs w:val="26"/>
        </w:rPr>
        <w:t xml:space="preserve">Additionally, </w:t>
      </w:r>
      <w:r w:rsidR="00721D05" w:rsidRPr="00650894">
        <w:rPr>
          <w:sz w:val="26"/>
          <w:szCs w:val="26"/>
        </w:rPr>
        <w:t xml:space="preserve">Core reasons that as a matter of contract law, it is </w:t>
      </w:r>
      <w:r w:rsidR="002B3501" w:rsidRPr="00650894">
        <w:rPr>
          <w:sz w:val="26"/>
          <w:szCs w:val="26"/>
        </w:rPr>
        <w:t>imperative t</w:t>
      </w:r>
      <w:r w:rsidR="00721D05" w:rsidRPr="00650894">
        <w:rPr>
          <w:sz w:val="26"/>
          <w:szCs w:val="26"/>
        </w:rPr>
        <w:t xml:space="preserve">hat the rates contained in the ICA should govern the services provided pursuant to that ICA.  </w:t>
      </w:r>
      <w:r w:rsidR="002B3501" w:rsidRPr="00650894">
        <w:rPr>
          <w:sz w:val="26"/>
          <w:szCs w:val="26"/>
        </w:rPr>
        <w:t xml:space="preserve">Therefore, </w:t>
      </w:r>
      <w:r w:rsidR="007E60C3" w:rsidRPr="00650894">
        <w:rPr>
          <w:sz w:val="26"/>
          <w:szCs w:val="26"/>
        </w:rPr>
        <w:t>Core</w:t>
      </w:r>
      <w:r w:rsidR="002B3501" w:rsidRPr="00650894">
        <w:rPr>
          <w:sz w:val="26"/>
          <w:szCs w:val="26"/>
        </w:rPr>
        <w:t xml:space="preserve"> takes issue with the ALJ’s finding that </w:t>
      </w:r>
      <w:r w:rsidR="00A9214A" w:rsidRPr="00650894">
        <w:rPr>
          <w:sz w:val="26"/>
          <w:szCs w:val="26"/>
        </w:rPr>
        <w:t>Fo</w:t>
      </w:r>
      <w:r w:rsidR="002B3501" w:rsidRPr="00650894">
        <w:rPr>
          <w:sz w:val="26"/>
          <w:szCs w:val="26"/>
        </w:rPr>
        <w:t xml:space="preserve">otnote 1 is self-executing and that no amendment to the ICA was required to incorporate the Commission-approved TELRIC rates set forth in the </w:t>
      </w:r>
      <w:r w:rsidR="00C714F5" w:rsidRPr="00650894">
        <w:rPr>
          <w:i/>
          <w:sz w:val="26"/>
          <w:szCs w:val="26"/>
        </w:rPr>
        <w:t xml:space="preserve">2004 Verizon </w:t>
      </w:r>
      <w:r w:rsidR="00177311" w:rsidRPr="00650894">
        <w:rPr>
          <w:i/>
          <w:sz w:val="26"/>
          <w:szCs w:val="26"/>
        </w:rPr>
        <w:t xml:space="preserve">PA </w:t>
      </w:r>
      <w:r w:rsidR="00C714F5" w:rsidRPr="00650894">
        <w:rPr>
          <w:i/>
          <w:sz w:val="26"/>
          <w:szCs w:val="26"/>
        </w:rPr>
        <w:t>TELRIC Proceeding.</w:t>
      </w:r>
      <w:r w:rsidR="00C714F5" w:rsidRPr="00650894">
        <w:rPr>
          <w:sz w:val="26"/>
          <w:szCs w:val="26"/>
        </w:rPr>
        <w:t xml:space="preserve">  In Core’s view, the language of this footnote is silent regarding when or how the rates in the ICA should be replaced by new rates and, therefore, does not support the ALJ’s analysis.  </w:t>
      </w:r>
      <w:r w:rsidR="00176A9D" w:rsidRPr="00650894">
        <w:rPr>
          <w:sz w:val="26"/>
          <w:szCs w:val="26"/>
        </w:rPr>
        <w:t xml:space="preserve">On the other hand, </w:t>
      </w:r>
      <w:r w:rsidR="00C714F5" w:rsidRPr="00650894">
        <w:rPr>
          <w:sz w:val="26"/>
          <w:szCs w:val="26"/>
        </w:rPr>
        <w:t xml:space="preserve">Core </w:t>
      </w:r>
      <w:r w:rsidR="00BF063C" w:rsidRPr="00650894">
        <w:rPr>
          <w:sz w:val="26"/>
          <w:szCs w:val="26"/>
        </w:rPr>
        <w:t>maintains</w:t>
      </w:r>
      <w:r w:rsidR="00C714F5" w:rsidRPr="00650894">
        <w:rPr>
          <w:sz w:val="26"/>
          <w:szCs w:val="26"/>
        </w:rPr>
        <w:t xml:space="preserve"> that multiple provisions of the ICA, including Part A, Section</w:t>
      </w:r>
      <w:r w:rsidR="002C491D" w:rsidRPr="00650894">
        <w:rPr>
          <w:sz w:val="26"/>
          <w:szCs w:val="26"/>
        </w:rPr>
        <w:t>s</w:t>
      </w:r>
      <w:r w:rsidR="00C714F5" w:rsidRPr="00650894">
        <w:rPr>
          <w:sz w:val="26"/>
          <w:szCs w:val="26"/>
        </w:rPr>
        <w:t xml:space="preserve"> 36</w:t>
      </w:r>
      <w:r w:rsidR="00BF063C" w:rsidRPr="00650894">
        <w:rPr>
          <w:sz w:val="26"/>
          <w:szCs w:val="26"/>
        </w:rPr>
        <w:t xml:space="preserve"> and</w:t>
      </w:r>
      <w:r w:rsidR="002C491D" w:rsidRPr="00650894">
        <w:rPr>
          <w:sz w:val="26"/>
          <w:szCs w:val="26"/>
        </w:rPr>
        <w:t xml:space="preserve"> 39.1,</w:t>
      </w:r>
      <w:r w:rsidR="00C714F5" w:rsidRPr="00650894">
        <w:rPr>
          <w:sz w:val="26"/>
          <w:szCs w:val="26"/>
        </w:rPr>
        <w:t xml:space="preserve"> </w:t>
      </w:r>
      <w:r w:rsidR="002C491D" w:rsidRPr="00650894">
        <w:rPr>
          <w:sz w:val="26"/>
          <w:szCs w:val="26"/>
        </w:rPr>
        <w:t>specify</w:t>
      </w:r>
      <w:r w:rsidR="00C714F5" w:rsidRPr="00650894">
        <w:rPr>
          <w:sz w:val="26"/>
          <w:szCs w:val="26"/>
        </w:rPr>
        <w:t xml:space="preserve"> that the ICA may only be amended by a written agreement signed by both Parties.  </w:t>
      </w:r>
      <w:r w:rsidR="00176A9D" w:rsidRPr="00650894">
        <w:rPr>
          <w:sz w:val="26"/>
          <w:szCs w:val="26"/>
        </w:rPr>
        <w:t>Additionally, Core argues that Part A, Section 1.3 of the ICA clearly outlines the process for updating the ICA to account for any changes in either Party’s tariffs.  Core notes that Part A, Section 1.3.3 states that any change or modification to any tariff filed by either party that materially and adversely alters the terms of the ICA is only effective against the other Party upon that Party’s written consent or upon an affirmative order of the Commission.  Core Exc. at 10-11.</w:t>
      </w:r>
    </w:p>
    <w:p w:rsidR="00176A9D" w:rsidRPr="00650894" w:rsidRDefault="00176A9D" w:rsidP="00650894">
      <w:pPr>
        <w:spacing w:line="360" w:lineRule="auto"/>
        <w:ind w:firstLine="1440"/>
        <w:contextualSpacing/>
        <w:rPr>
          <w:sz w:val="26"/>
          <w:szCs w:val="26"/>
        </w:rPr>
      </w:pPr>
    </w:p>
    <w:p w:rsidR="00E04731" w:rsidRPr="00650894" w:rsidRDefault="00176A9D" w:rsidP="00650894">
      <w:pPr>
        <w:spacing w:line="360" w:lineRule="auto"/>
        <w:ind w:firstLine="1440"/>
        <w:contextualSpacing/>
        <w:rPr>
          <w:sz w:val="26"/>
          <w:szCs w:val="26"/>
        </w:rPr>
      </w:pPr>
      <w:r w:rsidRPr="00650894">
        <w:rPr>
          <w:sz w:val="26"/>
          <w:szCs w:val="26"/>
        </w:rPr>
        <w:t xml:space="preserve">Core </w:t>
      </w:r>
      <w:r w:rsidR="007A3F8F">
        <w:rPr>
          <w:sz w:val="26"/>
          <w:szCs w:val="26"/>
        </w:rPr>
        <w:t xml:space="preserve">further </w:t>
      </w:r>
      <w:r w:rsidRPr="00650894">
        <w:rPr>
          <w:sz w:val="26"/>
          <w:szCs w:val="26"/>
        </w:rPr>
        <w:t xml:space="preserve">submits that it is indisputable that the TELRIC rates set forth in the </w:t>
      </w:r>
      <w:r w:rsidRPr="00650894">
        <w:rPr>
          <w:i/>
          <w:sz w:val="26"/>
          <w:szCs w:val="26"/>
        </w:rPr>
        <w:t xml:space="preserve">2004 </w:t>
      </w:r>
      <w:r w:rsidR="00177311" w:rsidRPr="00650894">
        <w:rPr>
          <w:i/>
          <w:sz w:val="26"/>
          <w:szCs w:val="26"/>
        </w:rPr>
        <w:t>Verizon PA</w:t>
      </w:r>
      <w:r w:rsidRPr="00650894">
        <w:rPr>
          <w:i/>
          <w:sz w:val="26"/>
          <w:szCs w:val="26"/>
        </w:rPr>
        <w:t xml:space="preserve"> TELRIC Proceeding</w:t>
      </w:r>
      <w:r w:rsidRPr="00650894">
        <w:rPr>
          <w:sz w:val="26"/>
          <w:szCs w:val="26"/>
        </w:rPr>
        <w:t xml:space="preserve"> were determined in the context of a Verizon PA tariff proceeding and that the changes to Verizon PA’s </w:t>
      </w:r>
      <w:r w:rsidR="000161E7" w:rsidRPr="00650894">
        <w:rPr>
          <w:sz w:val="26"/>
          <w:szCs w:val="26"/>
        </w:rPr>
        <w:t>Tariff 216</w:t>
      </w:r>
      <w:r w:rsidRPr="00650894">
        <w:rPr>
          <w:sz w:val="26"/>
          <w:szCs w:val="26"/>
        </w:rPr>
        <w:t xml:space="preserve"> materially and adversely affect the terms of the ICA by lowering the rates Core is permitted to charge Verizon PA under the ICA.  Core </w:t>
      </w:r>
      <w:r w:rsidR="00DD24D5">
        <w:rPr>
          <w:sz w:val="26"/>
          <w:szCs w:val="26"/>
        </w:rPr>
        <w:t>contends</w:t>
      </w:r>
      <w:r w:rsidRPr="00650894">
        <w:rPr>
          <w:sz w:val="26"/>
          <w:szCs w:val="26"/>
        </w:rPr>
        <w:t xml:space="preserve"> </w:t>
      </w:r>
      <w:r w:rsidR="00DD24D5">
        <w:rPr>
          <w:sz w:val="26"/>
          <w:szCs w:val="26"/>
        </w:rPr>
        <w:t xml:space="preserve">that </w:t>
      </w:r>
      <w:r w:rsidRPr="00650894">
        <w:rPr>
          <w:sz w:val="26"/>
          <w:szCs w:val="26"/>
        </w:rPr>
        <w:t xml:space="preserve">the </w:t>
      </w:r>
      <w:r w:rsidR="00591688" w:rsidRPr="007A3F8F">
        <w:rPr>
          <w:i/>
          <w:sz w:val="26"/>
          <w:szCs w:val="26"/>
        </w:rPr>
        <w:t xml:space="preserve">2004 </w:t>
      </w:r>
      <w:r w:rsidRPr="007A3F8F">
        <w:rPr>
          <w:i/>
          <w:sz w:val="26"/>
          <w:szCs w:val="26"/>
        </w:rPr>
        <w:t>Compliance Order</w:t>
      </w:r>
      <w:r w:rsidRPr="00650894">
        <w:rPr>
          <w:sz w:val="26"/>
          <w:szCs w:val="26"/>
        </w:rPr>
        <w:t xml:space="preserve"> approving Verizon PA’s TELRIC rates was not an affirmative order which modified the ICA’s pricing per Part A, Section 1.3 of the ICA.  As such, Core remains of the opinion that because it never gave its written consent to the adoption of these TELRIC rates, an amendment to the ICA is necessary to incorporate </w:t>
      </w:r>
      <w:r w:rsidR="004647E1" w:rsidRPr="00650894">
        <w:rPr>
          <w:sz w:val="26"/>
          <w:szCs w:val="26"/>
        </w:rPr>
        <w:t>them</w:t>
      </w:r>
      <w:r w:rsidRPr="00650894">
        <w:rPr>
          <w:sz w:val="26"/>
          <w:szCs w:val="26"/>
        </w:rPr>
        <w:t xml:space="preserve">.  Core Exc. at 11-12. </w:t>
      </w:r>
    </w:p>
    <w:p w:rsidR="002C7E5D" w:rsidRPr="00650894" w:rsidRDefault="002C7E5D" w:rsidP="00650894">
      <w:pPr>
        <w:spacing w:line="360" w:lineRule="auto"/>
        <w:ind w:firstLine="1440"/>
        <w:contextualSpacing/>
        <w:rPr>
          <w:sz w:val="26"/>
          <w:szCs w:val="26"/>
        </w:rPr>
      </w:pPr>
    </w:p>
    <w:p w:rsidR="00E04731" w:rsidRPr="00650894" w:rsidRDefault="00490687" w:rsidP="003D4FA0">
      <w:pPr>
        <w:keepNext/>
        <w:keepLines/>
        <w:spacing w:line="360" w:lineRule="auto"/>
        <w:ind w:left="1440" w:hanging="720"/>
        <w:contextualSpacing/>
        <w:rPr>
          <w:b/>
          <w:sz w:val="26"/>
          <w:szCs w:val="26"/>
        </w:rPr>
      </w:pPr>
      <w:r w:rsidRPr="00650894">
        <w:rPr>
          <w:b/>
          <w:sz w:val="26"/>
          <w:szCs w:val="26"/>
        </w:rPr>
        <w:t>d</w:t>
      </w:r>
      <w:r w:rsidR="00E04731" w:rsidRPr="00650894">
        <w:rPr>
          <w:b/>
          <w:sz w:val="26"/>
          <w:szCs w:val="26"/>
        </w:rPr>
        <w:t>.</w:t>
      </w:r>
      <w:r w:rsidR="00E04731" w:rsidRPr="00650894">
        <w:rPr>
          <w:b/>
          <w:sz w:val="26"/>
          <w:szCs w:val="26"/>
        </w:rPr>
        <w:tab/>
        <w:t>Verizon PA’s Reply Exceptions</w:t>
      </w:r>
    </w:p>
    <w:p w:rsidR="00E04731" w:rsidRPr="00650894" w:rsidRDefault="00E04731" w:rsidP="00650894">
      <w:pPr>
        <w:keepNext/>
        <w:keepLines/>
        <w:spacing w:line="360" w:lineRule="auto"/>
        <w:ind w:firstLine="1440"/>
        <w:contextualSpacing/>
        <w:rPr>
          <w:sz w:val="26"/>
          <w:szCs w:val="26"/>
        </w:rPr>
      </w:pPr>
    </w:p>
    <w:p w:rsidR="004521B9" w:rsidRPr="00650894" w:rsidRDefault="008914DA" w:rsidP="00650894">
      <w:pPr>
        <w:spacing w:line="360" w:lineRule="auto"/>
        <w:ind w:firstLine="1440"/>
        <w:contextualSpacing/>
        <w:rPr>
          <w:sz w:val="26"/>
          <w:szCs w:val="26"/>
        </w:rPr>
      </w:pPr>
      <w:r w:rsidRPr="00650894">
        <w:rPr>
          <w:sz w:val="26"/>
          <w:szCs w:val="26"/>
        </w:rPr>
        <w:t xml:space="preserve">Verizon PA </w:t>
      </w:r>
      <w:r w:rsidR="00AA001E" w:rsidRPr="00650894">
        <w:rPr>
          <w:sz w:val="26"/>
          <w:szCs w:val="26"/>
        </w:rPr>
        <w:t>opines</w:t>
      </w:r>
      <w:r w:rsidRPr="00650894">
        <w:rPr>
          <w:sz w:val="26"/>
          <w:szCs w:val="26"/>
        </w:rPr>
        <w:t xml:space="preserve"> that </w:t>
      </w:r>
      <w:r w:rsidR="004521B9" w:rsidRPr="00650894">
        <w:rPr>
          <w:sz w:val="26"/>
          <w:szCs w:val="26"/>
        </w:rPr>
        <w:t xml:space="preserve">the ALJ appropriately concluded that Core could not adopt and apply Verizon PA’s rates </w:t>
      </w:r>
      <w:r w:rsidR="001204F6">
        <w:rPr>
          <w:sz w:val="26"/>
          <w:szCs w:val="26"/>
        </w:rPr>
        <w:t>for</w:t>
      </w:r>
      <w:r w:rsidR="004521B9" w:rsidRPr="00650894">
        <w:rPr>
          <w:sz w:val="26"/>
          <w:szCs w:val="26"/>
        </w:rPr>
        <w:t xml:space="preserve"> services for which Core had no rate of its own.  Verizon PA emphasizes its position that the ICA’s Pricing Appendix contains two separate sections: Section A, which outlines the rates that Verizon PA is permitted to charge Core</w:t>
      </w:r>
      <w:r w:rsidR="00E217F7" w:rsidRPr="00650894">
        <w:rPr>
          <w:sz w:val="26"/>
          <w:szCs w:val="26"/>
        </w:rPr>
        <w:t>,</w:t>
      </w:r>
      <w:r w:rsidR="004521B9" w:rsidRPr="00650894">
        <w:rPr>
          <w:sz w:val="26"/>
          <w:szCs w:val="26"/>
        </w:rPr>
        <w:t xml:space="preserve"> and Section B, which outlines the rates that Core is permitted to charg</w:t>
      </w:r>
      <w:r w:rsidR="00521445" w:rsidRPr="00650894">
        <w:rPr>
          <w:sz w:val="26"/>
          <w:szCs w:val="26"/>
        </w:rPr>
        <w:t>e Verizon PA.  In Verizon PA’</w:t>
      </w:r>
      <w:r w:rsidR="004521B9" w:rsidRPr="00650894">
        <w:rPr>
          <w:sz w:val="26"/>
          <w:szCs w:val="26"/>
        </w:rPr>
        <w:t>s</w:t>
      </w:r>
      <w:r w:rsidR="00521445" w:rsidRPr="00650894">
        <w:rPr>
          <w:sz w:val="26"/>
          <w:szCs w:val="26"/>
        </w:rPr>
        <w:t xml:space="preserve"> view,</w:t>
      </w:r>
      <w:r w:rsidR="004521B9" w:rsidRPr="00650894">
        <w:rPr>
          <w:sz w:val="26"/>
          <w:szCs w:val="26"/>
        </w:rPr>
        <w:t xml:space="preserve"> it is clear that each Party</w:t>
      </w:r>
      <w:r w:rsidR="001204F6">
        <w:rPr>
          <w:sz w:val="26"/>
          <w:szCs w:val="26"/>
        </w:rPr>
        <w:t xml:space="preserve"> is to</w:t>
      </w:r>
      <w:r w:rsidR="004521B9" w:rsidRPr="00650894">
        <w:rPr>
          <w:sz w:val="26"/>
          <w:szCs w:val="26"/>
        </w:rPr>
        <w:t xml:space="preserve"> bill the other party using the rates set forth in each Party’s own section.  </w:t>
      </w:r>
      <w:bookmarkStart w:id="8" w:name="_Hlk517697087"/>
      <w:r w:rsidR="004521B9" w:rsidRPr="00650894">
        <w:rPr>
          <w:sz w:val="26"/>
          <w:szCs w:val="26"/>
        </w:rPr>
        <w:t xml:space="preserve">Verizon PA contends that Core’s assertion that it is permitted under Section B.V. of the Pricing Appendix to mirror Verizon PA’s rates is invalid because this view suggests that Core may adopt any Verizon PA rate in Section A of the Pricing Appendix </w:t>
      </w:r>
      <w:r w:rsidR="00E217F7" w:rsidRPr="00650894">
        <w:rPr>
          <w:sz w:val="26"/>
          <w:szCs w:val="26"/>
        </w:rPr>
        <w:t>to use as</w:t>
      </w:r>
      <w:r w:rsidR="004521B9" w:rsidRPr="00650894">
        <w:rPr>
          <w:sz w:val="26"/>
          <w:szCs w:val="26"/>
        </w:rPr>
        <w:t xml:space="preserve"> Core’s own rate.  </w:t>
      </w:r>
      <w:bookmarkEnd w:id="8"/>
      <w:r w:rsidR="004521B9" w:rsidRPr="00650894">
        <w:rPr>
          <w:sz w:val="26"/>
          <w:szCs w:val="26"/>
        </w:rPr>
        <w:t xml:space="preserve">Verizon PA argues that Section B.V. of the Pricing Appendix instead imposes a cap on Core’s tariffed or otherwise generally available rates thereby barring any such rates from exceeding Verizon PA’s rates for equivalent services.  However, Verizon PA </w:t>
      </w:r>
      <w:r w:rsidR="007E2E87" w:rsidRPr="00650894">
        <w:rPr>
          <w:sz w:val="26"/>
          <w:szCs w:val="26"/>
        </w:rPr>
        <w:t xml:space="preserve">also </w:t>
      </w:r>
      <w:r w:rsidR="004521B9" w:rsidRPr="00650894">
        <w:rPr>
          <w:sz w:val="26"/>
          <w:szCs w:val="26"/>
        </w:rPr>
        <w:t xml:space="preserve">submits that Core has provided no basis for its claim that it has “otherwise generally available rates” for the services at issue.  </w:t>
      </w:r>
      <w:bookmarkStart w:id="9" w:name="_Hlk517697103"/>
      <w:r w:rsidR="004521B9" w:rsidRPr="00650894">
        <w:rPr>
          <w:sz w:val="26"/>
          <w:szCs w:val="26"/>
        </w:rPr>
        <w:t xml:space="preserve">Verizon PA remains of the opinion that it is nonsensical for Core to assert that by merely issuing invoices to Verizon PA that utilize the Verizon PA rates, without publishing those rates publicly or making them generally available to others, those rates constitute Core’s otherwise generally available rates under Section B.V. of the ICA’s Pricing Appendix. </w:t>
      </w:r>
      <w:bookmarkEnd w:id="9"/>
      <w:r w:rsidR="004521B9" w:rsidRPr="00650894">
        <w:rPr>
          <w:sz w:val="26"/>
          <w:szCs w:val="26"/>
        </w:rPr>
        <w:t xml:space="preserve"> Verizon PA R. Exc. at 6-8.</w:t>
      </w:r>
    </w:p>
    <w:p w:rsidR="004521B9" w:rsidRPr="00650894" w:rsidRDefault="004521B9" w:rsidP="00650894">
      <w:pPr>
        <w:spacing w:line="360" w:lineRule="auto"/>
        <w:ind w:firstLine="1440"/>
        <w:contextualSpacing/>
        <w:rPr>
          <w:sz w:val="26"/>
          <w:szCs w:val="26"/>
        </w:rPr>
      </w:pPr>
    </w:p>
    <w:p w:rsidR="004521B9" w:rsidRPr="00650894" w:rsidRDefault="004521B9" w:rsidP="00650894">
      <w:pPr>
        <w:spacing w:line="360" w:lineRule="auto"/>
        <w:ind w:firstLine="1440"/>
        <w:contextualSpacing/>
        <w:rPr>
          <w:sz w:val="26"/>
          <w:szCs w:val="26"/>
        </w:rPr>
      </w:pPr>
      <w:r w:rsidRPr="00650894">
        <w:rPr>
          <w:sz w:val="26"/>
          <w:szCs w:val="26"/>
        </w:rPr>
        <w:t xml:space="preserve">Verizon PA also avows that in arguing that the ALJ’s citation to the </w:t>
      </w:r>
      <w:r w:rsidRPr="00650894">
        <w:rPr>
          <w:i/>
          <w:sz w:val="26"/>
          <w:szCs w:val="26"/>
        </w:rPr>
        <w:t>CoreTel-Verizon VA Order</w:t>
      </w:r>
      <w:r w:rsidRPr="00650894">
        <w:rPr>
          <w:sz w:val="26"/>
          <w:szCs w:val="26"/>
        </w:rPr>
        <w:t xml:space="preserve"> is misplaced because the pricing appendix to the ICA of the Parties’ affiliates in Virginia does not include the phrase “not to exceed [</w:t>
      </w:r>
      <w:r w:rsidR="00DC19CA" w:rsidRPr="00650894">
        <w:rPr>
          <w:sz w:val="26"/>
          <w:szCs w:val="26"/>
        </w:rPr>
        <w:t>Verizon PA</w:t>
      </w:r>
      <w:r w:rsidRPr="00650894">
        <w:rPr>
          <w:sz w:val="26"/>
          <w:szCs w:val="26"/>
        </w:rPr>
        <w:t xml:space="preserve">’s] rates for equivalent services to Core,” Core fails to understand that the Parties’ ICA in the matter before us simply contains an additional barrier to Core’s attempt to use Verizon PA’s rates as its own.  In Verizon PA’s view, if it was otherwise appropriate for Core to bill for </w:t>
      </w:r>
      <w:r w:rsidR="00EB18C4" w:rsidRPr="00650894">
        <w:rPr>
          <w:sz w:val="26"/>
          <w:szCs w:val="26"/>
        </w:rPr>
        <w:t>a</w:t>
      </w:r>
      <w:r w:rsidRPr="00650894">
        <w:rPr>
          <w:sz w:val="26"/>
          <w:szCs w:val="26"/>
        </w:rPr>
        <w:t xml:space="preserve"> service and if Core had a valid tariff that established an effective rate for th</w:t>
      </w:r>
      <w:r w:rsidR="00EB18C4" w:rsidRPr="00650894">
        <w:rPr>
          <w:sz w:val="26"/>
          <w:szCs w:val="26"/>
        </w:rPr>
        <w:t>at</w:t>
      </w:r>
      <w:r w:rsidRPr="00650894">
        <w:rPr>
          <w:sz w:val="26"/>
          <w:szCs w:val="26"/>
        </w:rPr>
        <w:t xml:space="preserve"> service, the additional language that is present in the </w:t>
      </w:r>
      <w:r w:rsidR="00DC19CA" w:rsidRPr="00650894">
        <w:rPr>
          <w:sz w:val="26"/>
          <w:szCs w:val="26"/>
        </w:rPr>
        <w:t>Core-</w:t>
      </w:r>
      <w:r w:rsidRPr="00650894">
        <w:rPr>
          <w:sz w:val="26"/>
          <w:szCs w:val="26"/>
        </w:rPr>
        <w:t>Verizon PA ICA merely requires that the otherwise</w:t>
      </w:r>
      <w:r w:rsidR="001204F6">
        <w:rPr>
          <w:sz w:val="26"/>
          <w:szCs w:val="26"/>
        </w:rPr>
        <w:t xml:space="preserve"> </w:t>
      </w:r>
      <w:r w:rsidRPr="00650894">
        <w:rPr>
          <w:sz w:val="26"/>
          <w:szCs w:val="26"/>
        </w:rPr>
        <w:t>valid rate may not exceed that which is charged by Verizon PA.  Verizon PA further emphasizes that although the pricing appendix in the ICA of the Parties’ Virginia affiliates does not include the additional barrier set forth in the Verizon PA ICA, the pricing appendix of the Virginia ICA has the same bifurcated structure as the one in the matter before us.  Verizon PA R. Exc. at 8.</w:t>
      </w:r>
    </w:p>
    <w:p w:rsidR="004521B9" w:rsidRPr="00650894" w:rsidRDefault="004521B9" w:rsidP="00650894">
      <w:pPr>
        <w:spacing w:line="360" w:lineRule="auto"/>
        <w:ind w:firstLine="1440"/>
        <w:contextualSpacing/>
        <w:rPr>
          <w:sz w:val="26"/>
          <w:szCs w:val="26"/>
        </w:rPr>
      </w:pPr>
    </w:p>
    <w:p w:rsidR="004521B9" w:rsidRPr="00650894" w:rsidRDefault="004521B9" w:rsidP="00650894">
      <w:pPr>
        <w:spacing w:line="360" w:lineRule="auto"/>
        <w:ind w:firstLine="1440"/>
        <w:contextualSpacing/>
        <w:rPr>
          <w:sz w:val="26"/>
          <w:szCs w:val="26"/>
        </w:rPr>
      </w:pPr>
      <w:r w:rsidRPr="00650894">
        <w:rPr>
          <w:sz w:val="26"/>
          <w:szCs w:val="26"/>
        </w:rPr>
        <w:t xml:space="preserve">Verizon PA next asserts that the ALJ correctly determined that Core billed Verizon PA at rates that were superseded </w:t>
      </w:r>
      <w:r w:rsidR="00E83F9D">
        <w:rPr>
          <w:sz w:val="26"/>
          <w:szCs w:val="26"/>
        </w:rPr>
        <w:t>by the rates that were established in</w:t>
      </w:r>
      <w:r w:rsidRPr="00650894">
        <w:rPr>
          <w:sz w:val="26"/>
          <w:szCs w:val="26"/>
        </w:rPr>
        <w:t xml:space="preserve"> the </w:t>
      </w:r>
      <w:r w:rsidRPr="00650894">
        <w:rPr>
          <w:i/>
          <w:sz w:val="26"/>
          <w:szCs w:val="26"/>
        </w:rPr>
        <w:t xml:space="preserve">2004 </w:t>
      </w:r>
      <w:r w:rsidR="00177311" w:rsidRPr="00650894">
        <w:rPr>
          <w:i/>
          <w:sz w:val="26"/>
          <w:szCs w:val="26"/>
        </w:rPr>
        <w:t>Verizon PA</w:t>
      </w:r>
      <w:r w:rsidRPr="00650894">
        <w:rPr>
          <w:i/>
          <w:sz w:val="26"/>
          <w:szCs w:val="26"/>
        </w:rPr>
        <w:t xml:space="preserve"> TELRIC Proceeding.  </w:t>
      </w:r>
      <w:r w:rsidRPr="00650894">
        <w:rPr>
          <w:sz w:val="26"/>
          <w:szCs w:val="26"/>
        </w:rPr>
        <w:t>Therefore, Verizon PA contends that there is no basis for the Commission to conclude that the ALJ erred i</w:t>
      </w:r>
      <w:r w:rsidR="00E73DCB" w:rsidRPr="00650894">
        <w:rPr>
          <w:sz w:val="26"/>
          <w:szCs w:val="26"/>
        </w:rPr>
        <w:t>n finding that the la</w:t>
      </w:r>
      <w:r w:rsidR="00785E21" w:rsidRPr="00650894">
        <w:rPr>
          <w:sz w:val="26"/>
          <w:szCs w:val="26"/>
        </w:rPr>
        <w:t>nguage of F</w:t>
      </w:r>
      <w:r w:rsidRPr="00650894">
        <w:rPr>
          <w:sz w:val="26"/>
          <w:szCs w:val="26"/>
        </w:rPr>
        <w:t xml:space="preserve">ootnote 1 is self-executing.  Verizon PA rebuts Core’s argument that the language in this footnote is silent regarding when or how the rates in the ICA should be replaced by new rates.  </w:t>
      </w:r>
      <w:bookmarkStart w:id="10" w:name="_Hlk517697137"/>
      <w:r w:rsidRPr="00650894">
        <w:rPr>
          <w:sz w:val="26"/>
          <w:szCs w:val="26"/>
        </w:rPr>
        <w:t>According to Verizon PA, the ICA is clear in both instances because the “when” occurs when the Commission approves or allows new rates to go into effect and the “how” occurs through the means of Commission action (</w:t>
      </w:r>
      <w:r w:rsidRPr="00650894">
        <w:rPr>
          <w:i/>
          <w:sz w:val="26"/>
          <w:szCs w:val="26"/>
        </w:rPr>
        <w:t>i.e.</w:t>
      </w:r>
      <w:r w:rsidRPr="00650894">
        <w:rPr>
          <w:sz w:val="26"/>
          <w:szCs w:val="26"/>
        </w:rPr>
        <w:t xml:space="preserve"> via a Commission Order or a failure to suspend a tariff filing by the </w:t>
      </w:r>
      <w:r w:rsidR="00DD24D5">
        <w:rPr>
          <w:sz w:val="26"/>
          <w:szCs w:val="26"/>
        </w:rPr>
        <w:t xml:space="preserve">statutory </w:t>
      </w:r>
      <w:r w:rsidRPr="00650894">
        <w:rPr>
          <w:sz w:val="26"/>
          <w:szCs w:val="26"/>
        </w:rPr>
        <w:t xml:space="preserve">deadline).  </w:t>
      </w:r>
      <w:bookmarkEnd w:id="10"/>
      <w:r w:rsidRPr="00650894">
        <w:rPr>
          <w:sz w:val="26"/>
          <w:szCs w:val="26"/>
        </w:rPr>
        <w:t xml:space="preserve">Verizon PA </w:t>
      </w:r>
      <w:r w:rsidR="00DD24D5">
        <w:rPr>
          <w:sz w:val="26"/>
          <w:szCs w:val="26"/>
        </w:rPr>
        <w:t>opines</w:t>
      </w:r>
      <w:r w:rsidRPr="00650894">
        <w:rPr>
          <w:sz w:val="26"/>
          <w:szCs w:val="26"/>
        </w:rPr>
        <w:t xml:space="preserve"> that no logical reading of this footnote can lead to a conclusion that the TELRIC rates listed in the Pricing Appendix continued to apply after the </w:t>
      </w:r>
      <w:r w:rsidR="00944915">
        <w:rPr>
          <w:sz w:val="26"/>
          <w:szCs w:val="26"/>
        </w:rPr>
        <w:t xml:space="preserve">rates required by the </w:t>
      </w:r>
      <w:r w:rsidRPr="00650894">
        <w:rPr>
          <w:sz w:val="26"/>
          <w:szCs w:val="26"/>
        </w:rPr>
        <w:t xml:space="preserve">Commission’s Orders in </w:t>
      </w:r>
      <w:r w:rsidR="003242F8" w:rsidRPr="00650894">
        <w:rPr>
          <w:sz w:val="26"/>
          <w:szCs w:val="26"/>
        </w:rPr>
        <w:t xml:space="preserve">the </w:t>
      </w:r>
      <w:r w:rsidRPr="00650894">
        <w:rPr>
          <w:i/>
          <w:sz w:val="26"/>
          <w:szCs w:val="26"/>
        </w:rPr>
        <w:t xml:space="preserve">2004 </w:t>
      </w:r>
      <w:r w:rsidR="00177311" w:rsidRPr="00650894">
        <w:rPr>
          <w:i/>
          <w:sz w:val="26"/>
          <w:szCs w:val="26"/>
        </w:rPr>
        <w:t>Verizon PA</w:t>
      </w:r>
      <w:r w:rsidRPr="00650894">
        <w:rPr>
          <w:i/>
          <w:sz w:val="26"/>
          <w:szCs w:val="26"/>
        </w:rPr>
        <w:t xml:space="preserve"> TELRIC Proceeding</w:t>
      </w:r>
      <w:r w:rsidRPr="00650894">
        <w:rPr>
          <w:sz w:val="26"/>
          <w:szCs w:val="26"/>
        </w:rPr>
        <w:t xml:space="preserve"> </w:t>
      </w:r>
      <w:r w:rsidR="00DD24D5">
        <w:rPr>
          <w:sz w:val="26"/>
          <w:szCs w:val="26"/>
        </w:rPr>
        <w:t xml:space="preserve">were issued </w:t>
      </w:r>
      <w:r w:rsidR="00944915">
        <w:rPr>
          <w:sz w:val="26"/>
          <w:szCs w:val="26"/>
        </w:rPr>
        <w:t xml:space="preserve">because the newly ordered rates </w:t>
      </w:r>
      <w:r w:rsidRPr="00650894">
        <w:rPr>
          <w:sz w:val="26"/>
          <w:szCs w:val="26"/>
        </w:rPr>
        <w:t>superseded the</w:t>
      </w:r>
      <w:r w:rsidR="00944915">
        <w:rPr>
          <w:sz w:val="26"/>
          <w:szCs w:val="26"/>
        </w:rPr>
        <w:t xml:space="preserve"> old ra</w:t>
      </w:r>
      <w:r w:rsidRPr="00650894">
        <w:rPr>
          <w:sz w:val="26"/>
          <w:szCs w:val="26"/>
        </w:rPr>
        <w:t xml:space="preserve">tes.  Verizon PA avers that because these Commission Orders replaced Verizon PA’s old TELRIC rates with new ones, they triggered automatic self-execution under Footnote </w:t>
      </w:r>
      <w:r w:rsidR="00D66AB1" w:rsidRPr="00650894">
        <w:rPr>
          <w:sz w:val="26"/>
          <w:szCs w:val="26"/>
        </w:rPr>
        <w:t>1</w:t>
      </w:r>
      <w:r w:rsidRPr="00650894">
        <w:rPr>
          <w:sz w:val="26"/>
          <w:szCs w:val="26"/>
        </w:rPr>
        <w:t>.  Verizon PA R. Exc. at 9-10.</w:t>
      </w:r>
    </w:p>
    <w:p w:rsidR="004521B9" w:rsidRPr="00650894" w:rsidRDefault="004521B9" w:rsidP="00650894">
      <w:pPr>
        <w:spacing w:line="360" w:lineRule="auto"/>
        <w:ind w:firstLine="1440"/>
        <w:contextualSpacing/>
        <w:rPr>
          <w:sz w:val="26"/>
          <w:szCs w:val="26"/>
        </w:rPr>
      </w:pPr>
    </w:p>
    <w:p w:rsidR="004521B9" w:rsidRPr="00650894" w:rsidRDefault="004521B9" w:rsidP="00650894">
      <w:pPr>
        <w:spacing w:line="360" w:lineRule="auto"/>
        <w:ind w:firstLine="1440"/>
        <w:contextualSpacing/>
        <w:rPr>
          <w:sz w:val="26"/>
          <w:szCs w:val="26"/>
        </w:rPr>
      </w:pPr>
      <w:bookmarkStart w:id="11" w:name="_Hlk517697171"/>
      <w:r w:rsidRPr="00650894">
        <w:rPr>
          <w:sz w:val="26"/>
          <w:szCs w:val="26"/>
        </w:rPr>
        <w:t xml:space="preserve">Verizon PA avers that Core’s citation to various sections of Part A of the ICA, particularly its citation </w:t>
      </w:r>
      <w:r w:rsidR="004E2B0F">
        <w:rPr>
          <w:sz w:val="26"/>
          <w:szCs w:val="26"/>
        </w:rPr>
        <w:t xml:space="preserve">to </w:t>
      </w:r>
      <w:r w:rsidRPr="00650894">
        <w:rPr>
          <w:sz w:val="26"/>
          <w:szCs w:val="26"/>
        </w:rPr>
        <w:t>Part A, Section 1.3, is irrelevant.  Verizon PA restates</w:t>
      </w:r>
      <w:r w:rsidR="00BF063C" w:rsidRPr="00650894">
        <w:rPr>
          <w:sz w:val="26"/>
          <w:szCs w:val="26"/>
        </w:rPr>
        <w:t xml:space="preserve"> that with respect to the services at issue, </w:t>
      </w:r>
      <w:r w:rsidRPr="00650894">
        <w:rPr>
          <w:sz w:val="26"/>
          <w:szCs w:val="26"/>
        </w:rPr>
        <w:t xml:space="preserve">Section A of the ICA’s Pricing Appendix does not simply cross-reference Verizon PA’s Tariff 216, but instead lists actual rates for trunk ports, multiplexing, entrance facilities and transport.  Therefore, Verizon </w:t>
      </w:r>
      <w:r w:rsidR="001C287C" w:rsidRPr="00650894">
        <w:rPr>
          <w:sz w:val="26"/>
          <w:szCs w:val="26"/>
        </w:rPr>
        <w:t xml:space="preserve">PA </w:t>
      </w:r>
      <w:r w:rsidRPr="00650894">
        <w:rPr>
          <w:sz w:val="26"/>
          <w:szCs w:val="26"/>
        </w:rPr>
        <w:t>posits that tariff changes are not at issue here.</w:t>
      </w:r>
      <w:bookmarkEnd w:id="11"/>
      <w:r w:rsidRPr="00650894">
        <w:rPr>
          <w:sz w:val="26"/>
          <w:szCs w:val="26"/>
        </w:rPr>
        <w:t xml:space="preserve">  </w:t>
      </w:r>
      <w:bookmarkStart w:id="12" w:name="_Hlk520187801"/>
      <w:r w:rsidRPr="00650894">
        <w:rPr>
          <w:sz w:val="26"/>
          <w:szCs w:val="26"/>
        </w:rPr>
        <w:t xml:space="preserve">Verizon PA takes the position that although the Commission required Verizon PA to file tariffs containing the rates established in the </w:t>
      </w:r>
      <w:r w:rsidRPr="00650894">
        <w:rPr>
          <w:i/>
          <w:sz w:val="26"/>
          <w:szCs w:val="26"/>
        </w:rPr>
        <w:t xml:space="preserve">2004 </w:t>
      </w:r>
      <w:r w:rsidR="00177311" w:rsidRPr="00650894">
        <w:rPr>
          <w:i/>
          <w:sz w:val="26"/>
          <w:szCs w:val="26"/>
        </w:rPr>
        <w:t>Verizon PA</w:t>
      </w:r>
      <w:r w:rsidRPr="00650894">
        <w:rPr>
          <w:i/>
          <w:sz w:val="26"/>
          <w:szCs w:val="26"/>
        </w:rPr>
        <w:t xml:space="preserve"> TELRIC Proceeding</w:t>
      </w:r>
      <w:r w:rsidRPr="00650894">
        <w:rPr>
          <w:sz w:val="26"/>
          <w:szCs w:val="26"/>
        </w:rPr>
        <w:t xml:space="preserve">, </w:t>
      </w:r>
      <w:r w:rsidR="002746B3" w:rsidRPr="00650894">
        <w:rPr>
          <w:sz w:val="26"/>
          <w:szCs w:val="26"/>
        </w:rPr>
        <w:t>F</w:t>
      </w:r>
      <w:r w:rsidRPr="00650894">
        <w:rPr>
          <w:sz w:val="26"/>
          <w:szCs w:val="26"/>
        </w:rPr>
        <w:t>ootnote</w:t>
      </w:r>
      <w:r w:rsidR="002746B3" w:rsidRPr="00650894">
        <w:rPr>
          <w:sz w:val="26"/>
          <w:szCs w:val="26"/>
        </w:rPr>
        <w:t> </w:t>
      </w:r>
      <w:r w:rsidRPr="00650894">
        <w:rPr>
          <w:sz w:val="26"/>
          <w:szCs w:val="26"/>
        </w:rPr>
        <w:t xml:space="preserve">1 makes it clear that </w:t>
      </w:r>
      <w:r w:rsidR="001C287C" w:rsidRPr="00650894">
        <w:rPr>
          <w:sz w:val="26"/>
          <w:szCs w:val="26"/>
        </w:rPr>
        <w:t xml:space="preserve">it </w:t>
      </w:r>
      <w:r w:rsidRPr="00650894">
        <w:rPr>
          <w:sz w:val="26"/>
          <w:szCs w:val="26"/>
        </w:rPr>
        <w:t>was the Commission order in that proceeding, and not the compliance tariff filing, that established the rates approved by the Commission.</w:t>
      </w:r>
      <w:bookmarkEnd w:id="12"/>
      <w:r w:rsidRPr="00650894">
        <w:rPr>
          <w:sz w:val="26"/>
          <w:szCs w:val="26"/>
        </w:rPr>
        <w:t xml:space="preserve">  Verizon R. Exc. at 10, 10 n. 33.</w:t>
      </w:r>
    </w:p>
    <w:p w:rsidR="004521B9" w:rsidRPr="00650894" w:rsidRDefault="004521B9" w:rsidP="00650894">
      <w:pPr>
        <w:spacing w:line="360" w:lineRule="auto"/>
        <w:ind w:firstLine="1440"/>
        <w:contextualSpacing/>
        <w:rPr>
          <w:sz w:val="26"/>
          <w:szCs w:val="26"/>
        </w:rPr>
      </w:pPr>
    </w:p>
    <w:p w:rsidR="004521B9" w:rsidRPr="00650894" w:rsidRDefault="004521B9" w:rsidP="00650894">
      <w:pPr>
        <w:spacing w:line="360" w:lineRule="auto"/>
        <w:ind w:firstLine="1440"/>
        <w:contextualSpacing/>
        <w:rPr>
          <w:sz w:val="26"/>
          <w:szCs w:val="26"/>
        </w:rPr>
      </w:pPr>
      <w:r w:rsidRPr="00650894">
        <w:rPr>
          <w:sz w:val="26"/>
          <w:szCs w:val="26"/>
        </w:rPr>
        <w:t xml:space="preserve">Verizon PA also </w:t>
      </w:r>
      <w:r w:rsidR="004E2B0F">
        <w:rPr>
          <w:sz w:val="26"/>
          <w:szCs w:val="26"/>
        </w:rPr>
        <w:t>contends</w:t>
      </w:r>
      <w:r w:rsidRPr="00650894">
        <w:rPr>
          <w:sz w:val="26"/>
          <w:szCs w:val="26"/>
        </w:rPr>
        <w:t xml:space="preserve"> that Part A, Section 1.3 of the ICA covers only a limited subset of tariff changes.  Specifically, Verizon PA argues that this section applies narrowly to tariff changes by either party that materially and adversely alter the terms of the ICA for the other party.  In Verizon PA’s view, the reduction of its own TELRIC rates billable to Core, in compliance with a Commission order, cannot possibly be considered an adverse alteration of the terms to Core</w:t>
      </w:r>
      <w:bookmarkStart w:id="13" w:name="_Hlk520187976"/>
      <w:r w:rsidRPr="00650894">
        <w:rPr>
          <w:sz w:val="26"/>
          <w:szCs w:val="26"/>
        </w:rPr>
        <w:t xml:space="preserve">.  </w:t>
      </w:r>
      <w:bookmarkStart w:id="14" w:name="_Hlk517697221"/>
      <w:r w:rsidRPr="00650894">
        <w:rPr>
          <w:sz w:val="26"/>
          <w:szCs w:val="26"/>
        </w:rPr>
        <w:t>Verizon PA further notes that Part</w:t>
      </w:r>
      <w:r w:rsidR="004E2B0F">
        <w:rPr>
          <w:sz w:val="26"/>
          <w:szCs w:val="26"/>
        </w:rPr>
        <w:t> </w:t>
      </w:r>
      <w:r w:rsidRPr="00650894">
        <w:rPr>
          <w:sz w:val="26"/>
          <w:szCs w:val="26"/>
        </w:rPr>
        <w:t xml:space="preserve">A, Section 1.3 of the ICA permits materially adverse tariff changes </w:t>
      </w:r>
      <w:r w:rsidRPr="00650894">
        <w:rPr>
          <w:i/>
          <w:sz w:val="26"/>
          <w:szCs w:val="26"/>
        </w:rPr>
        <w:t>without</w:t>
      </w:r>
      <w:r w:rsidRPr="00650894">
        <w:rPr>
          <w:sz w:val="26"/>
          <w:szCs w:val="26"/>
        </w:rPr>
        <w:t xml:space="preserve"> the other party’s consent upon an affirmative order of the Commission.  </w:t>
      </w:r>
      <w:bookmarkEnd w:id="14"/>
      <w:r w:rsidRPr="00650894">
        <w:rPr>
          <w:sz w:val="26"/>
          <w:szCs w:val="26"/>
        </w:rPr>
        <w:t xml:space="preserve">Verizon PA contends that it is </w:t>
      </w:r>
      <w:r w:rsidR="00912E88" w:rsidRPr="00650894">
        <w:rPr>
          <w:sz w:val="26"/>
          <w:szCs w:val="26"/>
        </w:rPr>
        <w:t>i</w:t>
      </w:r>
      <w:r w:rsidRPr="00650894">
        <w:rPr>
          <w:sz w:val="26"/>
          <w:szCs w:val="26"/>
        </w:rPr>
        <w:t xml:space="preserve">ndisputable that the Commission approved and ordered </w:t>
      </w:r>
      <w:r w:rsidR="001C287C" w:rsidRPr="00650894">
        <w:rPr>
          <w:sz w:val="26"/>
          <w:szCs w:val="26"/>
        </w:rPr>
        <w:t xml:space="preserve">the </w:t>
      </w:r>
      <w:r w:rsidRPr="00650894">
        <w:rPr>
          <w:sz w:val="26"/>
          <w:szCs w:val="26"/>
        </w:rPr>
        <w:t xml:space="preserve">tariffing of Verizon PA’s new TELRIC rates via </w:t>
      </w:r>
      <w:r w:rsidR="001C287C" w:rsidRPr="00650894">
        <w:rPr>
          <w:sz w:val="26"/>
          <w:szCs w:val="26"/>
        </w:rPr>
        <w:t xml:space="preserve">an </w:t>
      </w:r>
      <w:r w:rsidRPr="00650894">
        <w:rPr>
          <w:sz w:val="26"/>
          <w:szCs w:val="26"/>
        </w:rPr>
        <w:t xml:space="preserve">affirmative order.  Verizon PA refutes Core’s argument that the </w:t>
      </w:r>
      <w:r w:rsidR="00CD3419" w:rsidRPr="00650894">
        <w:rPr>
          <w:i/>
          <w:sz w:val="26"/>
          <w:szCs w:val="26"/>
        </w:rPr>
        <w:t>2004 Compliance Order</w:t>
      </w:r>
      <w:r w:rsidR="00CD3419" w:rsidRPr="00650894">
        <w:rPr>
          <w:sz w:val="26"/>
          <w:szCs w:val="26"/>
        </w:rPr>
        <w:t xml:space="preserve"> </w:t>
      </w:r>
      <w:r w:rsidRPr="00650894">
        <w:rPr>
          <w:sz w:val="26"/>
          <w:szCs w:val="26"/>
        </w:rPr>
        <w:t>approving Verizon PA’s TELRIC rates was not an affirmative order which modified the ICA’</w:t>
      </w:r>
      <w:r w:rsidR="00B50049" w:rsidRPr="00650894">
        <w:rPr>
          <w:sz w:val="26"/>
          <w:szCs w:val="26"/>
        </w:rPr>
        <w:t>s</w:t>
      </w:r>
      <w:r w:rsidRPr="00650894">
        <w:rPr>
          <w:sz w:val="26"/>
          <w:szCs w:val="26"/>
        </w:rPr>
        <w:t xml:space="preserve"> pricing.  According to Verizon PA, Part A, </w:t>
      </w:r>
      <w:r w:rsidR="005E71ED" w:rsidRPr="00650894">
        <w:rPr>
          <w:sz w:val="26"/>
          <w:szCs w:val="26"/>
        </w:rPr>
        <w:t>Section</w:t>
      </w:r>
      <w:r w:rsidRPr="00650894">
        <w:rPr>
          <w:sz w:val="26"/>
          <w:szCs w:val="26"/>
        </w:rPr>
        <w:t xml:space="preserve"> 1.3 of the ICA does not require an order regarding changes to the ICA.  Instead, it simply mentions an order permitting tariff changes.  Moreover, </w:t>
      </w:r>
      <w:bookmarkStart w:id="15" w:name="_Hlk517697240"/>
      <w:r w:rsidRPr="00650894">
        <w:rPr>
          <w:sz w:val="26"/>
          <w:szCs w:val="26"/>
        </w:rPr>
        <w:t>Verizon PA reasons that if Core’s argument were correct, Verizon PA could have continued to bill its superseded, and largely higher TELRIC rates to all CLECs that had the same fairly common pricing structure.  However, Verizon PA asserts that it did not do so</w:t>
      </w:r>
      <w:bookmarkEnd w:id="13"/>
      <w:bookmarkEnd w:id="15"/>
      <w:r w:rsidRPr="00650894">
        <w:rPr>
          <w:sz w:val="26"/>
          <w:szCs w:val="26"/>
        </w:rPr>
        <w:t>.  Verizon PA R. Exc. at 10</w:t>
      </w:r>
      <w:r w:rsidR="00C44C40" w:rsidRPr="00650894">
        <w:rPr>
          <w:sz w:val="26"/>
          <w:szCs w:val="26"/>
        </w:rPr>
        <w:noBreakHyphen/>
      </w:r>
      <w:r w:rsidRPr="00650894">
        <w:rPr>
          <w:sz w:val="26"/>
          <w:szCs w:val="26"/>
        </w:rPr>
        <w:t>11, 11 n. 37.</w:t>
      </w:r>
    </w:p>
    <w:p w:rsidR="00E04731" w:rsidRPr="00650894" w:rsidRDefault="00E04731" w:rsidP="00650894">
      <w:pPr>
        <w:spacing w:line="360" w:lineRule="auto"/>
        <w:ind w:firstLine="1440"/>
        <w:contextualSpacing/>
        <w:rPr>
          <w:sz w:val="26"/>
          <w:szCs w:val="26"/>
        </w:rPr>
      </w:pPr>
    </w:p>
    <w:p w:rsidR="00387DF8" w:rsidRPr="00650894" w:rsidRDefault="00387DF8" w:rsidP="00650894">
      <w:pPr>
        <w:ind w:left="1440" w:hanging="720"/>
        <w:contextualSpacing/>
        <w:rPr>
          <w:sz w:val="26"/>
          <w:szCs w:val="26"/>
        </w:rPr>
      </w:pPr>
    </w:p>
    <w:p w:rsidR="00311C26" w:rsidRPr="00650894" w:rsidRDefault="00446473" w:rsidP="003D4FA0">
      <w:pPr>
        <w:keepNext/>
        <w:keepLines/>
        <w:ind w:left="1440" w:hanging="720"/>
        <w:contextualSpacing/>
        <w:rPr>
          <w:b/>
          <w:sz w:val="26"/>
          <w:szCs w:val="26"/>
        </w:rPr>
      </w:pPr>
      <w:bookmarkStart w:id="16" w:name="_Hlk517697255"/>
      <w:r w:rsidRPr="00650894">
        <w:rPr>
          <w:b/>
          <w:sz w:val="26"/>
          <w:szCs w:val="26"/>
        </w:rPr>
        <w:t>2</w:t>
      </w:r>
      <w:r w:rsidR="00311C26" w:rsidRPr="00650894">
        <w:rPr>
          <w:b/>
          <w:sz w:val="26"/>
          <w:szCs w:val="26"/>
        </w:rPr>
        <w:t xml:space="preserve">. </w:t>
      </w:r>
      <w:r w:rsidR="00311C26" w:rsidRPr="00650894">
        <w:rPr>
          <w:b/>
          <w:sz w:val="26"/>
          <w:szCs w:val="26"/>
        </w:rPr>
        <w:tab/>
      </w:r>
      <w:r w:rsidR="00656A14" w:rsidRPr="00650894">
        <w:rPr>
          <w:b/>
          <w:sz w:val="26"/>
          <w:szCs w:val="26"/>
        </w:rPr>
        <w:t xml:space="preserve">Whether </w:t>
      </w:r>
      <w:r w:rsidR="00560B36" w:rsidRPr="00650894">
        <w:rPr>
          <w:b/>
          <w:sz w:val="26"/>
          <w:szCs w:val="26"/>
        </w:rPr>
        <w:t xml:space="preserve">Core </w:t>
      </w:r>
      <w:r w:rsidR="00656A14" w:rsidRPr="00650894">
        <w:rPr>
          <w:b/>
          <w:sz w:val="26"/>
          <w:szCs w:val="26"/>
        </w:rPr>
        <w:t xml:space="preserve">is </w:t>
      </w:r>
      <w:r w:rsidR="00560B36" w:rsidRPr="00650894">
        <w:rPr>
          <w:b/>
          <w:sz w:val="26"/>
          <w:szCs w:val="26"/>
        </w:rPr>
        <w:t xml:space="preserve">authorized under the ICA to bill Verizon PA for tandem trunk ports </w:t>
      </w:r>
      <w:r w:rsidR="004D141F" w:rsidRPr="00650894">
        <w:rPr>
          <w:b/>
          <w:sz w:val="26"/>
          <w:szCs w:val="26"/>
        </w:rPr>
        <w:t>(Core Exception No. 3)</w:t>
      </w:r>
    </w:p>
    <w:bookmarkEnd w:id="16"/>
    <w:p w:rsidR="00656A14" w:rsidRPr="00650894" w:rsidRDefault="00656A14" w:rsidP="00650894">
      <w:pPr>
        <w:keepNext/>
        <w:keepLines/>
        <w:spacing w:line="360" w:lineRule="auto"/>
        <w:contextualSpacing/>
        <w:rPr>
          <w:sz w:val="26"/>
          <w:szCs w:val="26"/>
        </w:rPr>
      </w:pPr>
    </w:p>
    <w:p w:rsidR="00E04731" w:rsidRPr="00650894" w:rsidRDefault="00446473" w:rsidP="003D4FA0">
      <w:pPr>
        <w:keepNext/>
        <w:keepLines/>
        <w:spacing w:line="360" w:lineRule="auto"/>
        <w:ind w:left="1440"/>
        <w:contextualSpacing/>
        <w:rPr>
          <w:b/>
          <w:sz w:val="26"/>
          <w:szCs w:val="26"/>
        </w:rPr>
      </w:pPr>
      <w:r w:rsidRPr="00650894">
        <w:rPr>
          <w:b/>
          <w:sz w:val="26"/>
          <w:szCs w:val="26"/>
        </w:rPr>
        <w:t>a</w:t>
      </w:r>
      <w:r w:rsidR="00E04731" w:rsidRPr="00650894">
        <w:rPr>
          <w:b/>
          <w:sz w:val="26"/>
          <w:szCs w:val="26"/>
        </w:rPr>
        <w:t>.</w:t>
      </w:r>
      <w:r w:rsidR="00E04731" w:rsidRPr="00650894">
        <w:rPr>
          <w:b/>
          <w:sz w:val="26"/>
          <w:szCs w:val="26"/>
        </w:rPr>
        <w:tab/>
        <w:t>Positions of the Parties</w:t>
      </w:r>
    </w:p>
    <w:p w:rsidR="00E04731" w:rsidRPr="00650894" w:rsidRDefault="00E04731" w:rsidP="00650894">
      <w:pPr>
        <w:spacing w:line="360" w:lineRule="auto"/>
        <w:ind w:firstLine="1440"/>
        <w:contextualSpacing/>
        <w:rPr>
          <w:sz w:val="26"/>
          <w:szCs w:val="26"/>
        </w:rPr>
      </w:pPr>
    </w:p>
    <w:p w:rsidR="00F80CEA" w:rsidRPr="00650894" w:rsidRDefault="00BC2399" w:rsidP="00650894">
      <w:pPr>
        <w:spacing w:line="360" w:lineRule="auto"/>
        <w:ind w:firstLine="1440"/>
        <w:contextualSpacing/>
        <w:rPr>
          <w:sz w:val="26"/>
          <w:szCs w:val="26"/>
        </w:rPr>
      </w:pPr>
      <w:r w:rsidRPr="00650894">
        <w:rPr>
          <w:sz w:val="26"/>
          <w:szCs w:val="26"/>
        </w:rPr>
        <w:t>Core explained that the Parties disagree over whether Core may bill Verizon PA for tandem trunk ports</w:t>
      </w:r>
      <w:r w:rsidR="00935918" w:rsidRPr="00650894">
        <w:rPr>
          <w:sz w:val="26"/>
          <w:szCs w:val="26"/>
        </w:rPr>
        <w:t xml:space="preserve">. </w:t>
      </w:r>
      <w:r w:rsidRPr="00650894">
        <w:rPr>
          <w:sz w:val="26"/>
          <w:szCs w:val="26"/>
        </w:rPr>
        <w:t xml:space="preserve"> </w:t>
      </w:r>
      <w:r w:rsidR="004A4285" w:rsidRPr="00650894">
        <w:rPr>
          <w:sz w:val="26"/>
          <w:szCs w:val="26"/>
        </w:rPr>
        <w:t xml:space="preserve">Core described tandem trunk ports as receptacles </w:t>
      </w:r>
      <w:r w:rsidR="00845C1A" w:rsidRPr="00650894">
        <w:rPr>
          <w:sz w:val="26"/>
          <w:szCs w:val="26"/>
        </w:rPr>
        <w:t xml:space="preserve">located </w:t>
      </w:r>
      <w:r w:rsidR="004A4285" w:rsidRPr="00650894">
        <w:rPr>
          <w:sz w:val="26"/>
          <w:szCs w:val="26"/>
        </w:rPr>
        <w:t xml:space="preserve">on the </w:t>
      </w:r>
      <w:r w:rsidR="009F71D8" w:rsidRPr="00650894">
        <w:rPr>
          <w:sz w:val="26"/>
          <w:szCs w:val="26"/>
        </w:rPr>
        <w:t>edge</w:t>
      </w:r>
      <w:r w:rsidR="004A4285" w:rsidRPr="00650894">
        <w:rPr>
          <w:sz w:val="26"/>
          <w:szCs w:val="26"/>
        </w:rPr>
        <w:t xml:space="preserve"> of a switch that connect the switch to an incoming trunk.  Core contended that Verizon PA ordered trunk ports by requesting that Core provision, per each ASR, a definite number of trunks on an established trunk group designated by a unique “two-six” code.</w:t>
      </w:r>
      <w:r w:rsidR="00781D45" w:rsidRPr="00650894">
        <w:rPr>
          <w:rStyle w:val="FootnoteReference"/>
        </w:rPr>
        <w:footnoteReference w:id="12"/>
      </w:r>
      <w:r w:rsidR="004A4285" w:rsidRPr="00650894">
        <w:rPr>
          <w:sz w:val="26"/>
          <w:szCs w:val="26"/>
        </w:rPr>
        <w:t xml:space="preserve">  Core stated that every trunk necessarily includes two ports, with one on either end of the trunk.  According to Core, </w:t>
      </w:r>
      <w:r w:rsidR="0044194E" w:rsidRPr="00650894">
        <w:rPr>
          <w:sz w:val="26"/>
          <w:szCs w:val="26"/>
        </w:rPr>
        <w:t xml:space="preserve">in </w:t>
      </w:r>
      <w:r w:rsidR="004A4285" w:rsidRPr="00650894">
        <w:rPr>
          <w:sz w:val="26"/>
          <w:szCs w:val="26"/>
        </w:rPr>
        <w:t>the instances in which Verizon PA provides a trunk port on the originating side, Core must provide a corresponding port on the terminating side in order to complete the trunk.  Core asserted that the trunk ports it provides to Verizon PA are dedicated to Verizon PA’s sole use, reside on the “ingress side”</w:t>
      </w:r>
      <w:r w:rsidR="00DD6DD9" w:rsidRPr="00650894">
        <w:rPr>
          <w:sz w:val="26"/>
          <w:szCs w:val="26"/>
        </w:rPr>
        <w:t xml:space="preserve"> of </w:t>
      </w:r>
      <w:r w:rsidR="00E81B96" w:rsidRPr="00650894">
        <w:rPr>
          <w:sz w:val="26"/>
          <w:szCs w:val="26"/>
        </w:rPr>
        <w:t>a</w:t>
      </w:r>
      <w:r w:rsidR="00F80CEA" w:rsidRPr="00650894">
        <w:rPr>
          <w:sz w:val="26"/>
          <w:szCs w:val="26"/>
        </w:rPr>
        <w:t xml:space="preserve"> tandem, and connect only to Verizon PA’s switch.  Core stated that</w:t>
      </w:r>
      <w:r w:rsidR="00AB7D2B" w:rsidRPr="00650894">
        <w:rPr>
          <w:sz w:val="26"/>
          <w:szCs w:val="26"/>
        </w:rPr>
        <w:t xml:space="preserve"> Verizon PA, in turn,</w:t>
      </w:r>
      <w:r w:rsidR="00F80CEA" w:rsidRPr="00650894">
        <w:rPr>
          <w:sz w:val="26"/>
          <w:szCs w:val="26"/>
        </w:rPr>
        <w:t xml:space="preserve"> bills Core for dedicated trunk ports when Core orders trunks to deliver its traffic to Verizon PA.  Core M.B. at 9.</w:t>
      </w:r>
    </w:p>
    <w:p w:rsidR="00F80CEA" w:rsidRPr="00650894" w:rsidRDefault="00F80CEA" w:rsidP="00650894">
      <w:pPr>
        <w:spacing w:line="360" w:lineRule="auto"/>
        <w:ind w:firstLine="1440"/>
        <w:contextualSpacing/>
        <w:rPr>
          <w:sz w:val="26"/>
          <w:szCs w:val="26"/>
        </w:rPr>
      </w:pPr>
    </w:p>
    <w:p w:rsidR="004A4285" w:rsidRPr="00650894" w:rsidRDefault="00F80CEA" w:rsidP="00650894">
      <w:pPr>
        <w:spacing w:line="360" w:lineRule="auto"/>
        <w:ind w:firstLine="1440"/>
        <w:contextualSpacing/>
        <w:rPr>
          <w:sz w:val="26"/>
          <w:szCs w:val="26"/>
        </w:rPr>
      </w:pPr>
      <w:r w:rsidRPr="00650894">
        <w:rPr>
          <w:sz w:val="26"/>
          <w:szCs w:val="26"/>
        </w:rPr>
        <w:t xml:space="preserve">Core contended that it is authorized under </w:t>
      </w:r>
      <w:r w:rsidR="00A323E9" w:rsidRPr="00650894">
        <w:rPr>
          <w:sz w:val="26"/>
          <w:szCs w:val="26"/>
        </w:rPr>
        <w:t xml:space="preserve">Attachment IV, Sections 2.2.1, 2.2.1.1, and 2.4.2 of </w:t>
      </w:r>
      <w:r w:rsidR="004F4FF7" w:rsidRPr="00650894">
        <w:rPr>
          <w:sz w:val="26"/>
          <w:szCs w:val="26"/>
        </w:rPr>
        <w:t>the</w:t>
      </w:r>
      <w:r w:rsidRPr="00650894">
        <w:rPr>
          <w:sz w:val="26"/>
          <w:szCs w:val="26"/>
        </w:rPr>
        <w:t xml:space="preserve"> ICA to bill Verizon PA for trunk ports</w:t>
      </w:r>
      <w:r w:rsidR="005D06AE" w:rsidRPr="00650894">
        <w:rPr>
          <w:sz w:val="26"/>
          <w:szCs w:val="26"/>
        </w:rPr>
        <w:t xml:space="preserve">.  </w:t>
      </w:r>
      <w:r w:rsidR="00177311" w:rsidRPr="00650894">
        <w:rPr>
          <w:sz w:val="26"/>
          <w:szCs w:val="26"/>
        </w:rPr>
        <w:t>Additionally</w:t>
      </w:r>
      <w:r w:rsidR="005D06AE" w:rsidRPr="00650894">
        <w:rPr>
          <w:sz w:val="26"/>
          <w:szCs w:val="26"/>
        </w:rPr>
        <w:t>, Core cited to the ICA</w:t>
      </w:r>
      <w:r w:rsidR="00177311" w:rsidRPr="00650894">
        <w:rPr>
          <w:sz w:val="26"/>
          <w:szCs w:val="26"/>
        </w:rPr>
        <w:t>’s</w:t>
      </w:r>
      <w:r w:rsidR="005D06AE" w:rsidRPr="00650894">
        <w:rPr>
          <w:sz w:val="26"/>
          <w:szCs w:val="26"/>
        </w:rPr>
        <w:t xml:space="preserve"> definition of Tandem Switching</w:t>
      </w:r>
      <w:r w:rsidR="0060593F" w:rsidRPr="00650894">
        <w:rPr>
          <w:sz w:val="26"/>
          <w:szCs w:val="26"/>
        </w:rPr>
        <w:t xml:space="preserve">, which is </w:t>
      </w:r>
      <w:r w:rsidR="0082074C" w:rsidRPr="00650894">
        <w:rPr>
          <w:sz w:val="26"/>
          <w:szCs w:val="26"/>
        </w:rPr>
        <w:t>set forth</w:t>
      </w:r>
      <w:r w:rsidR="005D06AE" w:rsidRPr="00650894">
        <w:rPr>
          <w:sz w:val="26"/>
          <w:szCs w:val="26"/>
        </w:rPr>
        <w:t xml:space="preserve"> in Attachment III, Section 14.1.1 of the ICA</w:t>
      </w:r>
      <w:r w:rsidR="00177311" w:rsidRPr="00650894">
        <w:rPr>
          <w:sz w:val="26"/>
          <w:szCs w:val="26"/>
        </w:rPr>
        <w:t xml:space="preserve">, </w:t>
      </w:r>
      <w:r w:rsidR="005D06AE" w:rsidRPr="00650894">
        <w:rPr>
          <w:sz w:val="26"/>
          <w:szCs w:val="26"/>
        </w:rPr>
        <w:t>as follows:</w:t>
      </w:r>
    </w:p>
    <w:p w:rsidR="005D06AE" w:rsidRPr="00650894" w:rsidRDefault="005D06AE" w:rsidP="00650894">
      <w:pPr>
        <w:keepLines/>
        <w:spacing w:line="360" w:lineRule="auto"/>
        <w:ind w:firstLine="1440"/>
        <w:contextualSpacing/>
        <w:rPr>
          <w:sz w:val="26"/>
          <w:szCs w:val="26"/>
        </w:rPr>
      </w:pPr>
    </w:p>
    <w:p w:rsidR="005D06AE" w:rsidRPr="00650894" w:rsidRDefault="005D06AE" w:rsidP="00650894">
      <w:pPr>
        <w:keepLines/>
        <w:ind w:left="1440" w:right="1440"/>
        <w:contextualSpacing/>
        <w:rPr>
          <w:sz w:val="26"/>
          <w:szCs w:val="26"/>
        </w:rPr>
      </w:pPr>
      <w:r w:rsidRPr="00650894">
        <w:rPr>
          <w:sz w:val="26"/>
          <w:szCs w:val="26"/>
        </w:rPr>
        <w:t xml:space="preserve">Tandem Switching includes trunk-connect facilities, the basic switching function of connecting </w:t>
      </w:r>
      <w:r w:rsidR="006D2799" w:rsidRPr="00650894">
        <w:rPr>
          <w:sz w:val="26"/>
          <w:szCs w:val="26"/>
        </w:rPr>
        <w:t>trunks</w:t>
      </w:r>
      <w:r w:rsidRPr="00650894">
        <w:rPr>
          <w:sz w:val="26"/>
          <w:szCs w:val="26"/>
        </w:rPr>
        <w:t xml:space="preserve"> to trunks, and the functions that are centralized in tandem switches.  Tandem Switching creates a temporary transmission path between interoffice trunks that are connected at a [</w:t>
      </w:r>
      <w:r w:rsidR="0060593F" w:rsidRPr="00650894">
        <w:rPr>
          <w:sz w:val="26"/>
          <w:szCs w:val="26"/>
        </w:rPr>
        <w:t>Verizon PA</w:t>
      </w:r>
      <w:r w:rsidRPr="00650894">
        <w:rPr>
          <w:sz w:val="26"/>
          <w:szCs w:val="26"/>
        </w:rPr>
        <w:t>] access tandem switch for the purpose of routing a call or calls.</w:t>
      </w:r>
    </w:p>
    <w:p w:rsidR="005D06AE" w:rsidRPr="00650894" w:rsidRDefault="005D06AE" w:rsidP="00650894">
      <w:pPr>
        <w:keepLines/>
        <w:spacing w:line="360" w:lineRule="auto"/>
        <w:ind w:firstLine="1440"/>
        <w:contextualSpacing/>
        <w:rPr>
          <w:sz w:val="26"/>
          <w:szCs w:val="26"/>
        </w:rPr>
      </w:pPr>
    </w:p>
    <w:p w:rsidR="005D06AE" w:rsidRPr="00650894" w:rsidRDefault="005D06AE" w:rsidP="00650894">
      <w:pPr>
        <w:spacing w:line="360" w:lineRule="auto"/>
        <w:contextualSpacing/>
        <w:rPr>
          <w:sz w:val="26"/>
          <w:szCs w:val="26"/>
        </w:rPr>
      </w:pPr>
      <w:r w:rsidRPr="00650894">
        <w:rPr>
          <w:sz w:val="26"/>
          <w:szCs w:val="26"/>
        </w:rPr>
        <w:t>Core</w:t>
      </w:r>
      <w:r w:rsidR="00436E62" w:rsidRPr="00650894">
        <w:rPr>
          <w:sz w:val="26"/>
          <w:szCs w:val="26"/>
        </w:rPr>
        <w:t xml:space="preserve"> M.B. at 10-11.</w:t>
      </w:r>
    </w:p>
    <w:p w:rsidR="00294880" w:rsidRPr="00650894" w:rsidRDefault="00294880" w:rsidP="00650894">
      <w:pPr>
        <w:spacing w:line="360" w:lineRule="auto"/>
        <w:contextualSpacing/>
        <w:rPr>
          <w:sz w:val="26"/>
          <w:szCs w:val="26"/>
        </w:rPr>
      </w:pPr>
    </w:p>
    <w:p w:rsidR="00D21CB1" w:rsidRPr="00650894" w:rsidRDefault="00294880" w:rsidP="00650894">
      <w:pPr>
        <w:spacing w:line="360" w:lineRule="auto"/>
        <w:ind w:firstLine="1440"/>
        <w:contextualSpacing/>
        <w:rPr>
          <w:sz w:val="26"/>
          <w:szCs w:val="26"/>
        </w:rPr>
      </w:pPr>
      <w:r w:rsidRPr="00650894">
        <w:rPr>
          <w:sz w:val="26"/>
          <w:szCs w:val="26"/>
        </w:rPr>
        <w:t xml:space="preserve">Core noted that the Parties also differ on whether the rate for tandem trunk ports </w:t>
      </w:r>
      <w:r w:rsidR="00436E62" w:rsidRPr="00650894">
        <w:rPr>
          <w:sz w:val="26"/>
          <w:szCs w:val="26"/>
        </w:rPr>
        <w:t>is already included</w:t>
      </w:r>
      <w:r w:rsidRPr="00650894">
        <w:rPr>
          <w:sz w:val="26"/>
          <w:szCs w:val="26"/>
        </w:rPr>
        <w:t xml:space="preserve"> in the per-minute tandem switching rate</w:t>
      </w:r>
      <w:r w:rsidR="00436E62" w:rsidRPr="00650894">
        <w:rPr>
          <w:sz w:val="26"/>
          <w:szCs w:val="26"/>
        </w:rPr>
        <w:t>.</w:t>
      </w:r>
      <w:r w:rsidRPr="00650894">
        <w:rPr>
          <w:sz w:val="26"/>
          <w:szCs w:val="26"/>
        </w:rPr>
        <w:t xml:space="preserve"> </w:t>
      </w:r>
      <w:r w:rsidR="00436E62" w:rsidRPr="00650894">
        <w:rPr>
          <w:sz w:val="26"/>
          <w:szCs w:val="26"/>
        </w:rPr>
        <w:t xml:space="preserve"> Core opined that tandem trunk ports are the “</w:t>
      </w:r>
      <w:r w:rsidR="0080218F" w:rsidRPr="00650894">
        <w:rPr>
          <w:sz w:val="26"/>
          <w:szCs w:val="26"/>
        </w:rPr>
        <w:t>trunk-</w:t>
      </w:r>
      <w:r w:rsidR="00436E62" w:rsidRPr="00650894">
        <w:rPr>
          <w:sz w:val="26"/>
          <w:szCs w:val="26"/>
        </w:rPr>
        <w:t xml:space="preserve">connect” facilities in the ICA’s definition of Tandem Switching, </w:t>
      </w:r>
      <w:r w:rsidR="00436E62" w:rsidRPr="00650894">
        <w:rPr>
          <w:i/>
          <w:sz w:val="26"/>
          <w:szCs w:val="26"/>
        </w:rPr>
        <w:t>supra</w:t>
      </w:r>
      <w:r w:rsidR="00436E62" w:rsidRPr="00650894">
        <w:rPr>
          <w:sz w:val="26"/>
          <w:szCs w:val="26"/>
        </w:rPr>
        <w:t xml:space="preserve">.  </w:t>
      </w:r>
      <w:r w:rsidR="0080218F" w:rsidRPr="00650894">
        <w:rPr>
          <w:sz w:val="26"/>
          <w:szCs w:val="26"/>
        </w:rPr>
        <w:t>C</w:t>
      </w:r>
      <w:r w:rsidR="00E379B1" w:rsidRPr="00650894">
        <w:rPr>
          <w:sz w:val="26"/>
          <w:szCs w:val="26"/>
        </w:rPr>
        <w:t>ore noted that Section A.III of the ICA’s Pricing Appendix</w:t>
      </w:r>
      <w:r w:rsidR="001C54C9" w:rsidRPr="00650894">
        <w:rPr>
          <w:sz w:val="26"/>
          <w:szCs w:val="26"/>
        </w:rPr>
        <w:t xml:space="preserve"> </w:t>
      </w:r>
      <w:r w:rsidR="00E379B1" w:rsidRPr="00650894">
        <w:rPr>
          <w:sz w:val="26"/>
          <w:szCs w:val="26"/>
        </w:rPr>
        <w:t xml:space="preserve">includes a </w:t>
      </w:r>
      <w:r w:rsidR="00861D70" w:rsidRPr="00650894">
        <w:rPr>
          <w:sz w:val="26"/>
          <w:szCs w:val="26"/>
        </w:rPr>
        <w:t>per-minute usage rate</w:t>
      </w:r>
      <w:r w:rsidR="00E379B1" w:rsidRPr="00650894">
        <w:rPr>
          <w:sz w:val="26"/>
          <w:szCs w:val="26"/>
        </w:rPr>
        <w:t xml:space="preserve"> for “Tandem Switching Usage” and a separate and independent monthly recurring rate for “Trunk Ports-Tandem.”  Therefore, Core argued that tandem switching usage and tandem trunk ports are separate and distinct elements and the rate for tandem trunk ports is not included within the rate for tandem reciproca</w:t>
      </w:r>
      <w:r w:rsidR="00F63B67" w:rsidRPr="00650894">
        <w:rPr>
          <w:sz w:val="26"/>
          <w:szCs w:val="26"/>
        </w:rPr>
        <w:t>l compensation.  Core M.B. at 11</w:t>
      </w:r>
      <w:r w:rsidR="00E379B1" w:rsidRPr="00650894">
        <w:rPr>
          <w:sz w:val="26"/>
          <w:szCs w:val="26"/>
        </w:rPr>
        <w:t>.</w:t>
      </w:r>
    </w:p>
    <w:p w:rsidR="00D21CB1" w:rsidRPr="00650894" w:rsidRDefault="00D21CB1" w:rsidP="00650894">
      <w:pPr>
        <w:spacing w:line="360" w:lineRule="auto"/>
        <w:ind w:firstLine="1440"/>
        <w:contextualSpacing/>
        <w:rPr>
          <w:sz w:val="26"/>
          <w:szCs w:val="26"/>
        </w:rPr>
      </w:pPr>
    </w:p>
    <w:p w:rsidR="00294880" w:rsidRPr="00650894" w:rsidRDefault="00C35F06" w:rsidP="00650894">
      <w:pPr>
        <w:spacing w:line="360" w:lineRule="auto"/>
        <w:ind w:firstLine="1440"/>
        <w:contextualSpacing/>
        <w:rPr>
          <w:sz w:val="26"/>
          <w:szCs w:val="26"/>
        </w:rPr>
      </w:pPr>
      <w:bookmarkStart w:id="17" w:name="_Hlk520368555"/>
      <w:r w:rsidRPr="00650894">
        <w:rPr>
          <w:sz w:val="26"/>
          <w:szCs w:val="26"/>
        </w:rPr>
        <w:t>Cor</w:t>
      </w:r>
      <w:r w:rsidR="00675999" w:rsidRPr="00650894">
        <w:rPr>
          <w:sz w:val="26"/>
          <w:szCs w:val="26"/>
        </w:rPr>
        <w:t>e</w:t>
      </w:r>
      <w:r w:rsidRPr="00650894">
        <w:rPr>
          <w:sz w:val="26"/>
          <w:szCs w:val="26"/>
        </w:rPr>
        <w:t xml:space="preserve"> </w:t>
      </w:r>
      <w:r w:rsidR="00AB7D2B" w:rsidRPr="00650894">
        <w:rPr>
          <w:sz w:val="26"/>
          <w:szCs w:val="26"/>
        </w:rPr>
        <w:t>asserted</w:t>
      </w:r>
      <w:r w:rsidRPr="00650894">
        <w:rPr>
          <w:sz w:val="26"/>
          <w:szCs w:val="26"/>
        </w:rPr>
        <w:t xml:space="preserve"> that although Verizon PA</w:t>
      </w:r>
      <w:r w:rsidR="001F4FAD" w:rsidRPr="00650894">
        <w:rPr>
          <w:sz w:val="26"/>
          <w:szCs w:val="26"/>
        </w:rPr>
        <w:t>’s</w:t>
      </w:r>
      <w:r w:rsidRPr="00650894">
        <w:rPr>
          <w:sz w:val="26"/>
          <w:szCs w:val="26"/>
        </w:rPr>
        <w:t xml:space="preserve"> witness </w:t>
      </w:r>
      <w:r w:rsidR="00675999" w:rsidRPr="00650894">
        <w:rPr>
          <w:sz w:val="26"/>
          <w:szCs w:val="26"/>
        </w:rPr>
        <w:t xml:space="preserve">Mr. </w:t>
      </w:r>
      <w:r w:rsidRPr="00650894">
        <w:rPr>
          <w:sz w:val="26"/>
          <w:szCs w:val="26"/>
        </w:rPr>
        <w:t>D’Amico testified that he could demonstrate that tandem trunk ports were included in</w:t>
      </w:r>
      <w:r w:rsidR="00750615" w:rsidRPr="00650894">
        <w:rPr>
          <w:sz w:val="26"/>
          <w:szCs w:val="26"/>
        </w:rPr>
        <w:t xml:space="preserve"> the reciprocal</w:t>
      </w:r>
      <w:r w:rsidR="001F4FAD" w:rsidRPr="00650894">
        <w:rPr>
          <w:sz w:val="26"/>
          <w:szCs w:val="26"/>
        </w:rPr>
        <w:t xml:space="preserve"> compensation </w:t>
      </w:r>
      <w:r w:rsidRPr="00650894">
        <w:rPr>
          <w:sz w:val="26"/>
          <w:szCs w:val="26"/>
        </w:rPr>
        <w:t>rate of $0.002439/MOU</w:t>
      </w:r>
      <w:r w:rsidR="00AB7D2B" w:rsidRPr="00650894">
        <w:rPr>
          <w:rStyle w:val="FootnoteReference"/>
        </w:rPr>
        <w:footnoteReference w:id="13"/>
      </w:r>
      <w:r w:rsidRPr="00650894">
        <w:rPr>
          <w:sz w:val="26"/>
          <w:szCs w:val="26"/>
        </w:rPr>
        <w:t xml:space="preserve"> by showing that the individual rate elements add up to this rate, there were several flaws with this analysis.  Core </w:t>
      </w:r>
      <w:r w:rsidR="00750615" w:rsidRPr="00650894">
        <w:rPr>
          <w:sz w:val="26"/>
          <w:szCs w:val="26"/>
        </w:rPr>
        <w:t>submitted</w:t>
      </w:r>
      <w:r w:rsidRPr="00650894">
        <w:rPr>
          <w:sz w:val="26"/>
          <w:szCs w:val="26"/>
        </w:rPr>
        <w:t xml:space="preserve">, </w:t>
      </w:r>
      <w:r w:rsidRPr="00650894">
        <w:rPr>
          <w:i/>
          <w:sz w:val="26"/>
          <w:szCs w:val="26"/>
        </w:rPr>
        <w:t>inter alia</w:t>
      </w:r>
      <w:r w:rsidRPr="00650894">
        <w:rPr>
          <w:sz w:val="26"/>
          <w:szCs w:val="26"/>
        </w:rPr>
        <w:t xml:space="preserve">, that </w:t>
      </w:r>
      <w:r w:rsidR="007B5055">
        <w:rPr>
          <w:sz w:val="26"/>
          <w:szCs w:val="26"/>
        </w:rPr>
        <w:t xml:space="preserve">the </w:t>
      </w:r>
      <w:r w:rsidRPr="00650894">
        <w:rPr>
          <w:sz w:val="26"/>
          <w:szCs w:val="26"/>
        </w:rPr>
        <w:t>rate table and diagram</w:t>
      </w:r>
      <w:r w:rsidR="00C50F6E" w:rsidRPr="00650894">
        <w:rPr>
          <w:sz w:val="26"/>
          <w:szCs w:val="26"/>
        </w:rPr>
        <w:t xml:space="preserve">, which </w:t>
      </w:r>
      <w:r w:rsidR="007B5055">
        <w:rPr>
          <w:sz w:val="26"/>
          <w:szCs w:val="26"/>
        </w:rPr>
        <w:t>were</w:t>
      </w:r>
      <w:r w:rsidR="00C50F6E" w:rsidRPr="00650894">
        <w:rPr>
          <w:sz w:val="26"/>
          <w:szCs w:val="26"/>
        </w:rPr>
        <w:t xml:space="preserve"> set forth in Core Exhibit P, </w:t>
      </w:r>
      <w:r w:rsidR="007B5055">
        <w:rPr>
          <w:sz w:val="26"/>
          <w:szCs w:val="26"/>
        </w:rPr>
        <w:t>and which</w:t>
      </w:r>
      <w:r w:rsidR="00750615" w:rsidRPr="00650894">
        <w:rPr>
          <w:sz w:val="26"/>
          <w:szCs w:val="26"/>
        </w:rPr>
        <w:t xml:space="preserve"> </w:t>
      </w:r>
      <w:r w:rsidR="00AB7D2B" w:rsidRPr="00650894">
        <w:rPr>
          <w:sz w:val="26"/>
          <w:szCs w:val="26"/>
        </w:rPr>
        <w:t xml:space="preserve">Mr. D’Amico </w:t>
      </w:r>
      <w:r w:rsidR="00750615" w:rsidRPr="00650894">
        <w:rPr>
          <w:sz w:val="26"/>
          <w:szCs w:val="26"/>
        </w:rPr>
        <w:t>used to illustrate this rate</w:t>
      </w:r>
      <w:r w:rsidRPr="00650894">
        <w:rPr>
          <w:sz w:val="26"/>
          <w:szCs w:val="26"/>
        </w:rPr>
        <w:t xml:space="preserve"> are not consistent with the 2001 Cost Study </w:t>
      </w:r>
      <w:r w:rsidR="00D0591B" w:rsidRPr="00650894">
        <w:rPr>
          <w:sz w:val="26"/>
          <w:szCs w:val="26"/>
        </w:rPr>
        <w:t xml:space="preserve">that was submitted during the </w:t>
      </w:r>
      <w:r w:rsidR="00D0591B" w:rsidRPr="00650894">
        <w:rPr>
          <w:i/>
          <w:sz w:val="26"/>
          <w:szCs w:val="26"/>
        </w:rPr>
        <w:t>2004 Verizon PA TELRIC Proceeding</w:t>
      </w:r>
      <w:r w:rsidR="00D0591B" w:rsidRPr="00650894">
        <w:rPr>
          <w:sz w:val="26"/>
          <w:szCs w:val="26"/>
        </w:rPr>
        <w:t xml:space="preserve"> </w:t>
      </w:r>
      <w:r w:rsidRPr="00650894">
        <w:rPr>
          <w:sz w:val="26"/>
          <w:szCs w:val="26"/>
        </w:rPr>
        <w:t>with respect to the number used</w:t>
      </w:r>
      <w:r w:rsidR="00750615" w:rsidRPr="00650894">
        <w:rPr>
          <w:sz w:val="26"/>
          <w:szCs w:val="26"/>
        </w:rPr>
        <w:t xml:space="preserve"> for</w:t>
      </w:r>
      <w:r w:rsidRPr="00650894">
        <w:rPr>
          <w:sz w:val="26"/>
          <w:szCs w:val="26"/>
        </w:rPr>
        <w:t xml:space="preserve"> air mileage</w:t>
      </w:r>
      <w:r w:rsidR="008807B8" w:rsidRPr="00650894">
        <w:rPr>
          <w:sz w:val="26"/>
          <w:szCs w:val="26"/>
        </w:rPr>
        <w:t xml:space="preserve"> </w:t>
      </w:r>
      <w:r w:rsidR="00D41CF0" w:rsidRPr="00650894">
        <w:rPr>
          <w:sz w:val="26"/>
          <w:szCs w:val="26"/>
        </w:rPr>
        <w:t xml:space="preserve">distance </w:t>
      </w:r>
      <w:r w:rsidR="008807B8" w:rsidRPr="00650894">
        <w:rPr>
          <w:sz w:val="26"/>
          <w:szCs w:val="26"/>
        </w:rPr>
        <w:t xml:space="preserve">and </w:t>
      </w:r>
      <w:r w:rsidRPr="00650894">
        <w:rPr>
          <w:sz w:val="26"/>
          <w:szCs w:val="26"/>
        </w:rPr>
        <w:t xml:space="preserve">the </w:t>
      </w:r>
      <w:r w:rsidR="008807B8" w:rsidRPr="00650894">
        <w:rPr>
          <w:sz w:val="26"/>
          <w:szCs w:val="26"/>
        </w:rPr>
        <w:t>absence of an</w:t>
      </w:r>
      <w:r w:rsidRPr="00650894">
        <w:rPr>
          <w:sz w:val="26"/>
          <w:szCs w:val="26"/>
        </w:rPr>
        <w:t xml:space="preserve"> end office shared trunk port</w:t>
      </w:r>
      <w:r w:rsidR="008807B8" w:rsidRPr="00650894">
        <w:rPr>
          <w:sz w:val="26"/>
          <w:szCs w:val="26"/>
        </w:rPr>
        <w:t xml:space="preserve"> component.  Additionally, Core argued that Mr. D’Amico admitted that while the 2001 Cost Study identified two common tandem trunk ports and one </w:t>
      </w:r>
      <w:r w:rsidR="00AB7D2B" w:rsidRPr="00650894">
        <w:rPr>
          <w:sz w:val="26"/>
          <w:szCs w:val="26"/>
        </w:rPr>
        <w:t xml:space="preserve">independent </w:t>
      </w:r>
      <w:r w:rsidR="008807B8" w:rsidRPr="00650894">
        <w:rPr>
          <w:sz w:val="26"/>
          <w:szCs w:val="26"/>
        </w:rPr>
        <w:t>common end office trunk port, his diagram</w:t>
      </w:r>
      <w:r w:rsidR="00C50F6E" w:rsidRPr="00650894">
        <w:rPr>
          <w:sz w:val="26"/>
          <w:szCs w:val="26"/>
        </w:rPr>
        <w:t xml:space="preserve"> </w:t>
      </w:r>
      <w:r w:rsidR="008807B8" w:rsidRPr="00650894">
        <w:rPr>
          <w:sz w:val="26"/>
          <w:szCs w:val="26"/>
        </w:rPr>
        <w:t xml:space="preserve">included two common tandem </w:t>
      </w:r>
      <w:r w:rsidR="008D3940" w:rsidRPr="00650894">
        <w:rPr>
          <w:sz w:val="26"/>
          <w:szCs w:val="26"/>
        </w:rPr>
        <w:t>trunk</w:t>
      </w:r>
      <w:r w:rsidR="008807B8" w:rsidRPr="00650894">
        <w:rPr>
          <w:sz w:val="26"/>
          <w:szCs w:val="26"/>
        </w:rPr>
        <w:t xml:space="preserve"> ports and no common end office trunk port</w:t>
      </w:r>
      <w:r w:rsidR="00AB7D2B" w:rsidRPr="00650894">
        <w:rPr>
          <w:sz w:val="26"/>
          <w:szCs w:val="26"/>
        </w:rPr>
        <w:t>s</w:t>
      </w:r>
      <w:r w:rsidR="008807B8" w:rsidRPr="00650894">
        <w:rPr>
          <w:sz w:val="26"/>
          <w:szCs w:val="26"/>
        </w:rPr>
        <w:t xml:space="preserve">.  According to Core, Mr. D’Amico was unable to explain how end office trunk port costs were included in the end office reciprocal compensation rate of $0.00987/MOU.  Core pointed out that </w:t>
      </w:r>
      <w:r w:rsidR="00AB7D2B" w:rsidRPr="00650894">
        <w:rPr>
          <w:sz w:val="26"/>
          <w:szCs w:val="26"/>
        </w:rPr>
        <w:t xml:space="preserve">both the ICA and </w:t>
      </w:r>
      <w:r w:rsidR="008807B8" w:rsidRPr="00650894">
        <w:rPr>
          <w:sz w:val="26"/>
          <w:szCs w:val="26"/>
        </w:rPr>
        <w:t xml:space="preserve">the </w:t>
      </w:r>
      <w:r w:rsidR="00CD3419" w:rsidRPr="00650894">
        <w:rPr>
          <w:i/>
          <w:sz w:val="26"/>
          <w:szCs w:val="26"/>
        </w:rPr>
        <w:t>2004 Compliance Order</w:t>
      </w:r>
      <w:r w:rsidR="00CD3419" w:rsidRPr="00650894">
        <w:rPr>
          <w:sz w:val="26"/>
          <w:szCs w:val="26"/>
        </w:rPr>
        <w:t xml:space="preserve"> </w:t>
      </w:r>
      <w:r w:rsidR="008807B8" w:rsidRPr="00650894">
        <w:rPr>
          <w:sz w:val="26"/>
          <w:szCs w:val="26"/>
        </w:rPr>
        <w:t>include separate and independent rates for tandem and end office trunk ports and tandem and end office reciprocal compensation.  In Core’s view, Mr. D’Amico’s argument that trunk port costs were subsumed into reciprocal compensation does not make sense</w:t>
      </w:r>
      <w:r w:rsidR="00345963" w:rsidRPr="00650894">
        <w:rPr>
          <w:sz w:val="26"/>
          <w:szCs w:val="26"/>
        </w:rPr>
        <w:t xml:space="preserve">. </w:t>
      </w:r>
      <w:r w:rsidR="006F2A74">
        <w:rPr>
          <w:sz w:val="26"/>
          <w:szCs w:val="26"/>
        </w:rPr>
        <w:t xml:space="preserve"> </w:t>
      </w:r>
      <w:r w:rsidR="00345963" w:rsidRPr="00650894">
        <w:rPr>
          <w:sz w:val="26"/>
          <w:szCs w:val="26"/>
        </w:rPr>
        <w:t>Core M.B. at 11-13.</w:t>
      </w:r>
    </w:p>
    <w:bookmarkEnd w:id="17"/>
    <w:p w:rsidR="00E379B1" w:rsidRPr="00650894" w:rsidRDefault="00E379B1" w:rsidP="00650894">
      <w:pPr>
        <w:spacing w:line="360" w:lineRule="auto"/>
        <w:ind w:firstLine="1440"/>
        <w:contextualSpacing/>
        <w:rPr>
          <w:sz w:val="26"/>
          <w:szCs w:val="26"/>
        </w:rPr>
      </w:pPr>
    </w:p>
    <w:p w:rsidR="00A51841" w:rsidRPr="00650894" w:rsidRDefault="008807B8" w:rsidP="00650894">
      <w:pPr>
        <w:spacing w:line="360" w:lineRule="auto"/>
        <w:ind w:firstLine="1440"/>
        <w:contextualSpacing/>
        <w:rPr>
          <w:sz w:val="26"/>
          <w:szCs w:val="26"/>
        </w:rPr>
      </w:pPr>
      <w:r w:rsidRPr="00650894">
        <w:rPr>
          <w:sz w:val="26"/>
          <w:szCs w:val="26"/>
        </w:rPr>
        <w:t xml:space="preserve">In contrast, </w:t>
      </w:r>
      <w:r w:rsidR="005674BB" w:rsidRPr="00650894">
        <w:rPr>
          <w:sz w:val="26"/>
          <w:szCs w:val="26"/>
        </w:rPr>
        <w:t xml:space="preserve">Verizon </w:t>
      </w:r>
      <w:r w:rsidR="0060593F" w:rsidRPr="00650894">
        <w:rPr>
          <w:sz w:val="26"/>
          <w:szCs w:val="26"/>
        </w:rPr>
        <w:t xml:space="preserve">PA </w:t>
      </w:r>
      <w:r w:rsidR="005674BB" w:rsidRPr="00650894">
        <w:rPr>
          <w:sz w:val="26"/>
          <w:szCs w:val="26"/>
        </w:rPr>
        <w:t>averred that Core’s tandem trunk port charges are invalid</w:t>
      </w:r>
      <w:r w:rsidR="007F34FF" w:rsidRPr="00650894">
        <w:rPr>
          <w:sz w:val="26"/>
          <w:szCs w:val="26"/>
        </w:rPr>
        <w:t xml:space="preserve"> because the ICA does not permit Core to bill Verizon PA for </w:t>
      </w:r>
      <w:r w:rsidR="0001594D" w:rsidRPr="00650894">
        <w:rPr>
          <w:sz w:val="26"/>
          <w:szCs w:val="26"/>
        </w:rPr>
        <w:t xml:space="preserve">trunk </w:t>
      </w:r>
      <w:r w:rsidR="007F34FF" w:rsidRPr="00650894">
        <w:rPr>
          <w:sz w:val="26"/>
          <w:szCs w:val="26"/>
        </w:rPr>
        <w:t>ports for the termination of local traffic</w:t>
      </w:r>
      <w:r w:rsidR="005674BB" w:rsidRPr="00650894">
        <w:rPr>
          <w:sz w:val="26"/>
          <w:szCs w:val="26"/>
        </w:rPr>
        <w:t>.</w:t>
      </w:r>
      <w:r w:rsidR="00A51841" w:rsidRPr="00650894">
        <w:rPr>
          <w:sz w:val="26"/>
          <w:szCs w:val="26"/>
        </w:rPr>
        <w:t xml:space="preserve">  According to Verizon PA, although Core asserted that it may bill Verizon PA for facilities that are dedicated to handl</w:t>
      </w:r>
      <w:r w:rsidR="00E6550D">
        <w:rPr>
          <w:sz w:val="26"/>
          <w:szCs w:val="26"/>
        </w:rPr>
        <w:t>ing</w:t>
      </w:r>
      <w:r w:rsidR="00A51841" w:rsidRPr="00650894">
        <w:rPr>
          <w:sz w:val="26"/>
          <w:szCs w:val="26"/>
        </w:rPr>
        <w:t xml:space="preserve"> incoming interconnection traffic from Verizon PA, the ICA does not permit Core to bill for any and all facilities </w:t>
      </w:r>
      <w:r w:rsidR="005F7B38">
        <w:rPr>
          <w:sz w:val="26"/>
          <w:szCs w:val="26"/>
        </w:rPr>
        <w:t>that</w:t>
      </w:r>
      <w:r w:rsidR="00A51841" w:rsidRPr="00650894">
        <w:rPr>
          <w:sz w:val="26"/>
          <w:szCs w:val="26"/>
        </w:rPr>
        <w:t xml:space="preserve"> </w:t>
      </w:r>
      <w:r w:rsidR="0025688D">
        <w:rPr>
          <w:sz w:val="26"/>
          <w:szCs w:val="26"/>
        </w:rPr>
        <w:t xml:space="preserve">handle </w:t>
      </w:r>
      <w:r w:rsidR="00A51841" w:rsidRPr="00650894">
        <w:rPr>
          <w:sz w:val="26"/>
          <w:szCs w:val="26"/>
        </w:rPr>
        <w:t>Verizon PA-</w:t>
      </w:r>
      <w:r w:rsidR="0025688D">
        <w:rPr>
          <w:sz w:val="26"/>
          <w:szCs w:val="26"/>
        </w:rPr>
        <w:t>o</w:t>
      </w:r>
      <w:r w:rsidR="00A51841" w:rsidRPr="00650894">
        <w:rPr>
          <w:sz w:val="26"/>
          <w:szCs w:val="26"/>
        </w:rPr>
        <w:t xml:space="preserve">riginated traffic on Core’s side of the POI. </w:t>
      </w:r>
      <w:r w:rsidR="00AB7D2B" w:rsidRPr="00650894">
        <w:rPr>
          <w:sz w:val="26"/>
          <w:szCs w:val="26"/>
        </w:rPr>
        <w:t xml:space="preserve"> </w:t>
      </w:r>
      <w:r w:rsidR="00A51841" w:rsidRPr="00650894">
        <w:rPr>
          <w:sz w:val="26"/>
          <w:szCs w:val="26"/>
        </w:rPr>
        <w:t xml:space="preserve">Instead, Verizon PA submitted that the ICA limits Core’s compensation for the termination of local traffic, including the switching of local traffic, to reciprocal compensation.  Verizon PA noted that for each of the elements for which Core issued bills to Verizon PA, including tandem trunk ports, Core charged it at the rates set forth in Section A of the Pricing Appendix.  Verizon PA reiterated its position that such rates are for </w:t>
      </w:r>
      <w:r w:rsidR="0025688D">
        <w:rPr>
          <w:sz w:val="26"/>
          <w:szCs w:val="26"/>
        </w:rPr>
        <w:t>Verizon PA</w:t>
      </w:r>
      <w:r w:rsidR="00A51841" w:rsidRPr="00650894">
        <w:rPr>
          <w:sz w:val="26"/>
          <w:szCs w:val="26"/>
        </w:rPr>
        <w:t>’s services to Core, and not the other way around.  Additionally, Verizon PA argued that even if Core were permitted to bill Verizon PA for tandem</w:t>
      </w:r>
      <w:r w:rsidR="0025688D">
        <w:rPr>
          <w:sz w:val="26"/>
          <w:szCs w:val="26"/>
        </w:rPr>
        <w:t xml:space="preserve"> trunk</w:t>
      </w:r>
      <w:r w:rsidR="00A51841" w:rsidRPr="00650894">
        <w:rPr>
          <w:sz w:val="26"/>
          <w:szCs w:val="26"/>
        </w:rPr>
        <w:t xml:space="preserve"> ports under Section B.V of the Pricing Appendix, Core would not be able to charge Verizon PA for unbundled tandem trunk ports in this instance because Verizon PA does not charge the rate Core has charged for the equivalent service.  </w:t>
      </w:r>
      <w:r w:rsidR="006A2C9D" w:rsidRPr="00650894">
        <w:rPr>
          <w:sz w:val="26"/>
          <w:szCs w:val="26"/>
        </w:rPr>
        <w:t xml:space="preserve">Namely, Verizon PA explained that because its tandem </w:t>
      </w:r>
      <w:r w:rsidR="0025688D">
        <w:rPr>
          <w:sz w:val="26"/>
          <w:szCs w:val="26"/>
        </w:rPr>
        <w:t xml:space="preserve">trunk </w:t>
      </w:r>
      <w:r w:rsidR="006A2C9D" w:rsidRPr="00650894">
        <w:rPr>
          <w:sz w:val="26"/>
          <w:szCs w:val="26"/>
        </w:rPr>
        <w:t>port charges are embedded in its reciprocal compensation rates, it does not bill</w:t>
      </w:r>
      <w:r w:rsidR="0025688D">
        <w:rPr>
          <w:sz w:val="26"/>
          <w:szCs w:val="26"/>
        </w:rPr>
        <w:t xml:space="preserve"> for</w:t>
      </w:r>
      <w:r w:rsidR="006A2C9D" w:rsidRPr="00650894">
        <w:rPr>
          <w:sz w:val="26"/>
          <w:szCs w:val="26"/>
        </w:rPr>
        <w:t xml:space="preserve"> tandem </w:t>
      </w:r>
      <w:r w:rsidR="0025688D">
        <w:rPr>
          <w:sz w:val="26"/>
          <w:szCs w:val="26"/>
        </w:rPr>
        <w:t xml:space="preserve">trunk </w:t>
      </w:r>
      <w:r w:rsidR="006A2C9D" w:rsidRPr="00650894">
        <w:rPr>
          <w:sz w:val="26"/>
          <w:szCs w:val="26"/>
        </w:rPr>
        <w:t xml:space="preserve">port charges on top of reciprocal compensation charges for the termination of local traffic.  </w:t>
      </w:r>
      <w:r w:rsidR="00A51841" w:rsidRPr="00650894">
        <w:rPr>
          <w:sz w:val="26"/>
          <w:szCs w:val="26"/>
        </w:rPr>
        <w:t>Verizon PA M.B. at 16-20</w:t>
      </w:r>
      <w:r w:rsidR="00345963" w:rsidRPr="00650894">
        <w:rPr>
          <w:sz w:val="26"/>
          <w:szCs w:val="26"/>
        </w:rPr>
        <w:t>.</w:t>
      </w:r>
    </w:p>
    <w:p w:rsidR="001B1B22" w:rsidRPr="00650894" w:rsidRDefault="001B1B22" w:rsidP="00650894">
      <w:pPr>
        <w:spacing w:line="360" w:lineRule="auto"/>
        <w:ind w:firstLine="1440"/>
        <w:contextualSpacing/>
        <w:rPr>
          <w:sz w:val="26"/>
          <w:szCs w:val="26"/>
        </w:rPr>
      </w:pPr>
    </w:p>
    <w:p w:rsidR="00A71B55" w:rsidRPr="00650894" w:rsidRDefault="00A71B55" w:rsidP="00650894">
      <w:pPr>
        <w:spacing w:line="360" w:lineRule="auto"/>
        <w:ind w:firstLine="1440"/>
        <w:contextualSpacing/>
        <w:rPr>
          <w:sz w:val="26"/>
          <w:szCs w:val="26"/>
        </w:rPr>
      </w:pPr>
      <w:r w:rsidRPr="00650894">
        <w:rPr>
          <w:sz w:val="26"/>
          <w:szCs w:val="26"/>
        </w:rPr>
        <w:t xml:space="preserve">Verizon PA </w:t>
      </w:r>
      <w:r w:rsidR="006F2A74">
        <w:rPr>
          <w:sz w:val="26"/>
          <w:szCs w:val="26"/>
        </w:rPr>
        <w:t xml:space="preserve">also </w:t>
      </w:r>
      <w:r w:rsidRPr="00650894">
        <w:rPr>
          <w:sz w:val="26"/>
          <w:szCs w:val="26"/>
        </w:rPr>
        <w:t>submit</w:t>
      </w:r>
      <w:r w:rsidR="004572A4" w:rsidRPr="00650894">
        <w:rPr>
          <w:sz w:val="26"/>
          <w:szCs w:val="26"/>
        </w:rPr>
        <w:t>ted</w:t>
      </w:r>
      <w:r w:rsidRPr="00650894">
        <w:rPr>
          <w:sz w:val="26"/>
          <w:szCs w:val="26"/>
        </w:rPr>
        <w:t xml:space="preserve"> that Core misrepresented the testimony of Verizon PA’s witness </w:t>
      </w:r>
      <w:r w:rsidR="00C5729F" w:rsidRPr="00650894">
        <w:rPr>
          <w:sz w:val="26"/>
          <w:szCs w:val="26"/>
        </w:rPr>
        <w:t xml:space="preserve">Mr. </w:t>
      </w:r>
      <w:r w:rsidRPr="00650894">
        <w:rPr>
          <w:sz w:val="26"/>
          <w:szCs w:val="26"/>
        </w:rPr>
        <w:t xml:space="preserve">D’Amico in claiming that Verizon PA argues that tandem </w:t>
      </w:r>
      <w:r w:rsidR="004572A4" w:rsidRPr="00650894">
        <w:rPr>
          <w:sz w:val="26"/>
          <w:szCs w:val="26"/>
        </w:rPr>
        <w:t xml:space="preserve">trunk ports were subsumed in the per-minute tandem switching rate the Commission approved in the </w:t>
      </w:r>
      <w:r w:rsidR="004572A4" w:rsidRPr="00650894">
        <w:rPr>
          <w:i/>
          <w:sz w:val="26"/>
          <w:szCs w:val="26"/>
        </w:rPr>
        <w:t xml:space="preserve">2004 </w:t>
      </w:r>
      <w:r w:rsidR="00177311" w:rsidRPr="00650894">
        <w:rPr>
          <w:i/>
          <w:sz w:val="26"/>
          <w:szCs w:val="26"/>
        </w:rPr>
        <w:t>Verizon PA</w:t>
      </w:r>
      <w:r w:rsidR="004572A4" w:rsidRPr="00650894">
        <w:rPr>
          <w:i/>
          <w:sz w:val="26"/>
          <w:szCs w:val="26"/>
        </w:rPr>
        <w:t xml:space="preserve"> TELRIC Proceeding.</w:t>
      </w:r>
      <w:r w:rsidR="004572A4" w:rsidRPr="00650894">
        <w:rPr>
          <w:sz w:val="26"/>
          <w:szCs w:val="26"/>
        </w:rPr>
        <w:t xml:space="preserve">  Verizon PA emphasized that its witness instead testified that Verizon PA’s port charges are embedded in its reciprocal compensation rates.  </w:t>
      </w:r>
      <w:r w:rsidR="000E09D5" w:rsidRPr="00650894">
        <w:rPr>
          <w:sz w:val="26"/>
          <w:szCs w:val="26"/>
        </w:rPr>
        <w:t>According to Verizon PA</w:t>
      </w:r>
      <w:r w:rsidR="0025688D">
        <w:rPr>
          <w:sz w:val="26"/>
          <w:szCs w:val="26"/>
        </w:rPr>
        <w:t xml:space="preserve">, </w:t>
      </w:r>
      <w:r w:rsidR="004572A4" w:rsidRPr="00650894">
        <w:rPr>
          <w:sz w:val="26"/>
          <w:szCs w:val="26"/>
        </w:rPr>
        <w:t>tandem switching is just one of several components added together to arrive at Verizon PA’s Commission-approved tandem reciprocal compensation rate.</w:t>
      </w:r>
      <w:r w:rsidR="0071135C" w:rsidRPr="00650894">
        <w:rPr>
          <w:sz w:val="26"/>
          <w:szCs w:val="26"/>
        </w:rPr>
        <w:t xml:space="preserve">  </w:t>
      </w:r>
      <w:r w:rsidR="004844B7" w:rsidRPr="00650894">
        <w:rPr>
          <w:sz w:val="26"/>
          <w:szCs w:val="26"/>
        </w:rPr>
        <w:t>Ver</w:t>
      </w:r>
      <w:r w:rsidR="006A2C9D" w:rsidRPr="00650894">
        <w:rPr>
          <w:sz w:val="26"/>
          <w:szCs w:val="26"/>
        </w:rPr>
        <w:t>izon PA R.B. at 17.</w:t>
      </w:r>
    </w:p>
    <w:p w:rsidR="006A2C9D" w:rsidRPr="00650894" w:rsidRDefault="006A2C9D" w:rsidP="00650894">
      <w:pPr>
        <w:spacing w:line="360" w:lineRule="auto"/>
        <w:ind w:firstLine="1440"/>
        <w:contextualSpacing/>
        <w:rPr>
          <w:sz w:val="26"/>
          <w:szCs w:val="26"/>
        </w:rPr>
      </w:pPr>
    </w:p>
    <w:p w:rsidR="006A2C9D" w:rsidRPr="006A2C9D" w:rsidRDefault="006A2C9D" w:rsidP="00650894">
      <w:pPr>
        <w:spacing w:line="360" w:lineRule="auto"/>
        <w:ind w:firstLine="1440"/>
        <w:contextualSpacing/>
        <w:rPr>
          <w:sz w:val="26"/>
          <w:szCs w:val="26"/>
        </w:rPr>
      </w:pPr>
      <w:r w:rsidRPr="006A2C9D">
        <w:rPr>
          <w:sz w:val="26"/>
          <w:szCs w:val="26"/>
        </w:rPr>
        <w:t xml:space="preserve">Verizon PA </w:t>
      </w:r>
      <w:r w:rsidRPr="00650894">
        <w:rPr>
          <w:sz w:val="26"/>
          <w:szCs w:val="26"/>
        </w:rPr>
        <w:t xml:space="preserve">also </w:t>
      </w:r>
      <w:r w:rsidRPr="006A2C9D">
        <w:rPr>
          <w:sz w:val="26"/>
          <w:szCs w:val="26"/>
        </w:rPr>
        <w:t>asserted that Core misconstrued the 2001 Cost Study Verizon PA produced during discovery.  Namely, Verizon PA pointed out that Core’s Exhibit P, which outlined a Verizon PA data request response, contained a simplified version of a more detailed diagram.  Verizon PA elaborated that it also produced the more detailed diagram in conjunction with this response and which explained the 2001 Cost Study.  Verizon PA argued that the more detailed diagram, which is included in the record as part of Core Cross Exhibit 5, indicated that Verizon PA’s reciprocal compensation rate included all three relevant trunk ports (</w:t>
      </w:r>
      <w:r w:rsidRPr="006A2C9D">
        <w:rPr>
          <w:i/>
          <w:sz w:val="26"/>
          <w:szCs w:val="26"/>
        </w:rPr>
        <w:t xml:space="preserve">i.e. </w:t>
      </w:r>
      <w:r w:rsidRPr="006A2C9D">
        <w:rPr>
          <w:sz w:val="26"/>
          <w:szCs w:val="26"/>
        </w:rPr>
        <w:t>two common tandem trunk ports and on</w:t>
      </w:r>
      <w:r w:rsidR="00AA3279">
        <w:rPr>
          <w:sz w:val="26"/>
          <w:szCs w:val="26"/>
        </w:rPr>
        <w:t>e</w:t>
      </w:r>
      <w:r w:rsidRPr="006A2C9D">
        <w:rPr>
          <w:sz w:val="26"/>
          <w:szCs w:val="26"/>
        </w:rPr>
        <w:t xml:space="preserve"> common end office trunk port), while the more simplified diagram listed an end office rate that was really a combination of the end office trunk port rate and the end office switching rate.  Verizon PA M.B. at 20; Verizon PA R.B. at 18, 19-20</w:t>
      </w:r>
      <w:r w:rsidRPr="00650894">
        <w:rPr>
          <w:sz w:val="26"/>
          <w:szCs w:val="26"/>
        </w:rPr>
        <w:t>.</w:t>
      </w:r>
      <w:r w:rsidRPr="006A2C9D">
        <w:rPr>
          <w:sz w:val="26"/>
          <w:szCs w:val="26"/>
        </w:rPr>
        <w:t xml:space="preserve">  </w:t>
      </w:r>
      <w:r w:rsidRPr="00650894">
        <w:rPr>
          <w:sz w:val="26"/>
          <w:szCs w:val="26"/>
        </w:rPr>
        <w:t xml:space="preserve">In addition, </w:t>
      </w:r>
      <w:r w:rsidRPr="006A2C9D">
        <w:rPr>
          <w:sz w:val="26"/>
          <w:szCs w:val="26"/>
        </w:rPr>
        <w:t>Verizon PA asserted that it only excluded trunk port costs from certain switching components of its reciprocal compensation rate, but not from its total composite reciprocal compensation rate.  Verizon PA explained that because switching is not merely a component of the reciprocal compensation rate</w:t>
      </w:r>
      <w:r w:rsidR="004866E9">
        <w:rPr>
          <w:sz w:val="26"/>
          <w:szCs w:val="26"/>
        </w:rPr>
        <w:t>,</w:t>
      </w:r>
      <w:r w:rsidRPr="006A2C9D">
        <w:rPr>
          <w:sz w:val="26"/>
          <w:szCs w:val="26"/>
        </w:rPr>
        <w:t xml:space="preserve"> but is also </w:t>
      </w:r>
      <w:proofErr w:type="gramStart"/>
      <w:r w:rsidR="004866E9">
        <w:rPr>
          <w:sz w:val="26"/>
          <w:szCs w:val="26"/>
        </w:rPr>
        <w:t>a</w:t>
      </w:r>
      <w:proofErr w:type="gramEnd"/>
      <w:r w:rsidR="00C1249B">
        <w:rPr>
          <w:sz w:val="26"/>
          <w:szCs w:val="26"/>
        </w:rPr>
        <w:t xml:space="preserve"> </w:t>
      </w:r>
      <w:r w:rsidRPr="00650894">
        <w:rPr>
          <w:sz w:val="26"/>
          <w:szCs w:val="26"/>
        </w:rPr>
        <w:t>UNE</w:t>
      </w:r>
      <w:r w:rsidR="00C1249B">
        <w:rPr>
          <w:sz w:val="26"/>
          <w:szCs w:val="26"/>
        </w:rPr>
        <w:t xml:space="preserve"> that is</w:t>
      </w:r>
      <w:r w:rsidRPr="006A2C9D">
        <w:rPr>
          <w:sz w:val="26"/>
          <w:szCs w:val="26"/>
        </w:rPr>
        <w:t xml:space="preserve"> provided on a stand-alone basis, </w:t>
      </w:r>
      <w:r w:rsidRPr="00650894">
        <w:rPr>
          <w:sz w:val="26"/>
          <w:szCs w:val="26"/>
        </w:rPr>
        <w:t>it was necessary for Verizon PA</w:t>
      </w:r>
      <w:r w:rsidRPr="006A2C9D">
        <w:rPr>
          <w:sz w:val="26"/>
          <w:szCs w:val="26"/>
        </w:rPr>
        <w:t xml:space="preserve"> to exclude trunk port costs when modeling the costs of certain switching rates to arrive at a </w:t>
      </w:r>
      <w:r w:rsidR="0011512D" w:rsidRPr="006A2C9D">
        <w:rPr>
          <w:sz w:val="26"/>
          <w:szCs w:val="26"/>
        </w:rPr>
        <w:t>stand</w:t>
      </w:r>
      <w:r w:rsidR="008F225F">
        <w:rPr>
          <w:sz w:val="26"/>
          <w:szCs w:val="26"/>
        </w:rPr>
        <w:t>-</w:t>
      </w:r>
      <w:r w:rsidR="0011512D" w:rsidRPr="006A2C9D">
        <w:rPr>
          <w:sz w:val="26"/>
          <w:szCs w:val="26"/>
        </w:rPr>
        <w:t>alone</w:t>
      </w:r>
      <w:r w:rsidRPr="006A2C9D">
        <w:rPr>
          <w:sz w:val="26"/>
          <w:szCs w:val="26"/>
        </w:rPr>
        <w:t xml:space="preserve"> rate for that particular UNE.  Verizon PA R.B. at 18, </w:t>
      </w:r>
      <w:r w:rsidR="00C1249B">
        <w:rPr>
          <w:sz w:val="26"/>
          <w:szCs w:val="26"/>
        </w:rPr>
        <w:t xml:space="preserve">18 </w:t>
      </w:r>
      <w:r w:rsidRPr="006A2C9D">
        <w:rPr>
          <w:sz w:val="26"/>
          <w:szCs w:val="26"/>
        </w:rPr>
        <w:t xml:space="preserve">n.16. </w:t>
      </w:r>
      <w:r w:rsidR="006F2A74">
        <w:rPr>
          <w:sz w:val="26"/>
          <w:szCs w:val="26"/>
        </w:rPr>
        <w:t xml:space="preserve"> </w:t>
      </w:r>
      <w:r w:rsidRPr="00650894">
        <w:rPr>
          <w:sz w:val="26"/>
          <w:szCs w:val="26"/>
        </w:rPr>
        <w:t xml:space="preserve">Additionally, </w:t>
      </w:r>
      <w:r w:rsidRPr="006A2C9D">
        <w:rPr>
          <w:sz w:val="26"/>
          <w:szCs w:val="26"/>
        </w:rPr>
        <w:t xml:space="preserve">Verizon PA argued that Core overlooked that the Commission required the modification of various inputs in the 2001 Cost Study to arrive at the reduced reciprocal compensation rate the Commission </w:t>
      </w:r>
      <w:r w:rsidR="00E83F9D">
        <w:rPr>
          <w:sz w:val="26"/>
          <w:szCs w:val="26"/>
        </w:rPr>
        <w:t>ultimately</w:t>
      </w:r>
      <w:r w:rsidRPr="006A2C9D">
        <w:rPr>
          <w:sz w:val="26"/>
          <w:szCs w:val="26"/>
        </w:rPr>
        <w:t xml:space="preserve"> approved in 2004, including the number used for air mileage distance.  </w:t>
      </w:r>
      <w:r w:rsidRPr="006A2C9D">
        <w:rPr>
          <w:i/>
          <w:sz w:val="26"/>
          <w:szCs w:val="26"/>
        </w:rPr>
        <w:t>Id.</w:t>
      </w:r>
      <w:r w:rsidRPr="006A2C9D">
        <w:rPr>
          <w:sz w:val="26"/>
          <w:szCs w:val="26"/>
        </w:rPr>
        <w:t xml:space="preserve"> at 19.</w:t>
      </w:r>
    </w:p>
    <w:p w:rsidR="00345963" w:rsidRPr="00650894" w:rsidRDefault="00345963" w:rsidP="00650894">
      <w:pPr>
        <w:spacing w:line="360" w:lineRule="auto"/>
        <w:ind w:firstLine="1440"/>
        <w:contextualSpacing/>
        <w:rPr>
          <w:sz w:val="26"/>
          <w:szCs w:val="26"/>
        </w:rPr>
      </w:pPr>
    </w:p>
    <w:p w:rsidR="00345963" w:rsidRPr="00650894" w:rsidRDefault="00B2373A" w:rsidP="00650894">
      <w:pPr>
        <w:spacing w:line="360" w:lineRule="auto"/>
        <w:ind w:firstLine="1440"/>
        <w:contextualSpacing/>
        <w:rPr>
          <w:rFonts w:eastAsia="Calibri"/>
          <w:sz w:val="26"/>
          <w:szCs w:val="26"/>
        </w:rPr>
      </w:pPr>
      <w:r>
        <w:rPr>
          <w:rFonts w:eastAsia="Calibri"/>
          <w:sz w:val="26"/>
          <w:szCs w:val="26"/>
        </w:rPr>
        <w:t xml:space="preserve">Next, </w:t>
      </w:r>
      <w:r w:rsidR="00345963" w:rsidRPr="00650894">
        <w:rPr>
          <w:rFonts w:eastAsia="Calibri"/>
          <w:sz w:val="26"/>
          <w:szCs w:val="26"/>
        </w:rPr>
        <w:t xml:space="preserve">Verizon PA </w:t>
      </w:r>
      <w:r>
        <w:rPr>
          <w:rFonts w:eastAsia="Calibri"/>
          <w:sz w:val="26"/>
          <w:szCs w:val="26"/>
        </w:rPr>
        <w:t xml:space="preserve">argued </w:t>
      </w:r>
      <w:r w:rsidR="00345963" w:rsidRPr="00650894">
        <w:rPr>
          <w:rFonts w:eastAsia="Calibri"/>
          <w:sz w:val="26"/>
          <w:szCs w:val="26"/>
        </w:rPr>
        <w:t>that Core failed</w:t>
      </w:r>
      <w:r w:rsidR="00C1249B">
        <w:rPr>
          <w:rFonts w:eastAsia="Calibri"/>
          <w:sz w:val="26"/>
          <w:szCs w:val="26"/>
        </w:rPr>
        <w:t xml:space="preserve"> to</w:t>
      </w:r>
      <w:r w:rsidR="00345963" w:rsidRPr="00650894">
        <w:rPr>
          <w:rFonts w:eastAsia="Calibri"/>
          <w:sz w:val="26"/>
          <w:szCs w:val="26"/>
        </w:rPr>
        <w:t xml:space="preserve"> </w:t>
      </w:r>
      <w:r w:rsidR="00FC7D44" w:rsidRPr="00650894">
        <w:rPr>
          <w:rFonts w:eastAsia="Calibri"/>
          <w:sz w:val="26"/>
          <w:szCs w:val="26"/>
        </w:rPr>
        <w:t>issue bills</w:t>
      </w:r>
      <w:r w:rsidR="00345963" w:rsidRPr="00650894">
        <w:rPr>
          <w:rFonts w:eastAsia="Calibri"/>
          <w:sz w:val="26"/>
          <w:szCs w:val="26"/>
        </w:rPr>
        <w:t xml:space="preserve"> at the correct rate for tandem trunk ports.  In this regard, Verizon PA noted that Core billed it at a rate of $214.57 per month.  However, according to Verizon PA, this rate was superseded by the rate of $71.48 per month that was established in the </w:t>
      </w:r>
      <w:r w:rsidR="00345963" w:rsidRPr="00650894">
        <w:rPr>
          <w:rFonts w:eastAsia="Calibri"/>
          <w:i/>
          <w:sz w:val="26"/>
          <w:szCs w:val="26"/>
        </w:rPr>
        <w:t xml:space="preserve">2004 Verizon PA TELRIC Proceeding.  </w:t>
      </w:r>
      <w:r w:rsidR="00345963" w:rsidRPr="00650894">
        <w:rPr>
          <w:rFonts w:eastAsia="Calibri"/>
          <w:sz w:val="26"/>
          <w:szCs w:val="26"/>
        </w:rPr>
        <w:t xml:space="preserve">Verizon PA also pointed out that Core originally </w:t>
      </w:r>
      <w:r w:rsidR="00C1249B">
        <w:rPr>
          <w:rFonts w:eastAsia="Calibri"/>
          <w:sz w:val="26"/>
          <w:szCs w:val="26"/>
        </w:rPr>
        <w:t>issued bills at the</w:t>
      </w:r>
      <w:r w:rsidR="00345963" w:rsidRPr="00650894">
        <w:rPr>
          <w:rFonts w:eastAsia="Calibri"/>
          <w:sz w:val="26"/>
          <w:szCs w:val="26"/>
        </w:rPr>
        <w:t xml:space="preserve"> $214.57 per month rate, and then began billing for some tandem </w:t>
      </w:r>
      <w:r w:rsidR="00C1249B">
        <w:rPr>
          <w:rFonts w:eastAsia="Calibri"/>
          <w:sz w:val="26"/>
          <w:szCs w:val="26"/>
        </w:rPr>
        <w:t xml:space="preserve">trunk </w:t>
      </w:r>
      <w:r w:rsidR="00345963" w:rsidRPr="00650894">
        <w:rPr>
          <w:rFonts w:eastAsia="Calibri"/>
          <w:sz w:val="26"/>
          <w:szCs w:val="26"/>
        </w:rPr>
        <w:t>ports at the lower rate of $71.48, before reverting to the $214.57 per month rate for all tandem</w:t>
      </w:r>
      <w:r w:rsidR="00C1249B">
        <w:rPr>
          <w:rFonts w:eastAsia="Calibri"/>
          <w:sz w:val="26"/>
          <w:szCs w:val="26"/>
        </w:rPr>
        <w:t xml:space="preserve"> trunk</w:t>
      </w:r>
      <w:r w:rsidR="00345963" w:rsidRPr="00650894">
        <w:rPr>
          <w:rFonts w:eastAsia="Calibri"/>
          <w:sz w:val="26"/>
          <w:szCs w:val="26"/>
        </w:rPr>
        <w:t xml:space="preserve"> ports beginning with bills issued in January 2014.  Verizon PA further noted that </w:t>
      </w:r>
      <w:r w:rsidR="00FC7D44" w:rsidRPr="00650894">
        <w:rPr>
          <w:rFonts w:eastAsia="Calibri"/>
          <w:sz w:val="26"/>
          <w:szCs w:val="26"/>
        </w:rPr>
        <w:t xml:space="preserve">upon reverting to issuing all bills at the higher tandem port rate, </w:t>
      </w:r>
      <w:r w:rsidR="00345963" w:rsidRPr="00650894">
        <w:rPr>
          <w:rFonts w:eastAsia="Calibri"/>
          <w:sz w:val="26"/>
          <w:szCs w:val="26"/>
        </w:rPr>
        <w:t xml:space="preserve">Core also </w:t>
      </w:r>
      <w:r w:rsidR="00FC7D44" w:rsidRPr="00650894">
        <w:rPr>
          <w:rFonts w:eastAsia="Calibri"/>
          <w:sz w:val="26"/>
          <w:szCs w:val="26"/>
        </w:rPr>
        <w:t>issued</w:t>
      </w:r>
      <w:r w:rsidR="00345963" w:rsidRPr="00650894">
        <w:rPr>
          <w:rFonts w:eastAsia="Calibri"/>
          <w:sz w:val="26"/>
          <w:szCs w:val="26"/>
        </w:rPr>
        <w:t xml:space="preserve"> a bill in the amount of $418,824.43</w:t>
      </w:r>
      <w:r w:rsidR="00FC7D44" w:rsidRPr="00650894">
        <w:rPr>
          <w:rFonts w:eastAsia="Calibri"/>
          <w:sz w:val="26"/>
          <w:szCs w:val="26"/>
        </w:rPr>
        <w:t xml:space="preserve">. </w:t>
      </w:r>
      <w:r w:rsidR="00345963" w:rsidRPr="00650894">
        <w:rPr>
          <w:rFonts w:eastAsia="Calibri"/>
          <w:sz w:val="26"/>
          <w:szCs w:val="26"/>
        </w:rPr>
        <w:t xml:space="preserve"> </w:t>
      </w:r>
      <w:r w:rsidR="00FC7D44" w:rsidRPr="00650894">
        <w:rPr>
          <w:rFonts w:eastAsia="Calibri"/>
          <w:sz w:val="26"/>
          <w:szCs w:val="26"/>
        </w:rPr>
        <w:t>Verizon PA explained that this bill represented</w:t>
      </w:r>
      <w:r w:rsidR="00345963" w:rsidRPr="00650894">
        <w:rPr>
          <w:rFonts w:eastAsia="Calibri"/>
          <w:sz w:val="26"/>
          <w:szCs w:val="26"/>
        </w:rPr>
        <w:t xml:space="preserve"> Core’s calculation of undercharges associated with erroneously billing Verizon PA at a rate of $71.48 per month, rather than at a rate of $214.57 per month.  Verizon PA submitted that </w:t>
      </w:r>
      <w:r w:rsidR="00FC7D44" w:rsidRPr="00650894">
        <w:rPr>
          <w:rFonts w:eastAsia="Calibri"/>
          <w:sz w:val="26"/>
          <w:szCs w:val="26"/>
        </w:rPr>
        <w:t>by having billed</w:t>
      </w:r>
      <w:r w:rsidR="00345963" w:rsidRPr="00650894">
        <w:rPr>
          <w:rFonts w:eastAsia="Calibri"/>
          <w:sz w:val="26"/>
          <w:szCs w:val="26"/>
        </w:rPr>
        <w:t xml:space="preserve"> it at a rate of $71.48 for a period of time, Core acknowledged that this is the current rate for tandem trunk ports.  Verizon PA </w:t>
      </w:r>
      <w:r w:rsidR="00FC7D44" w:rsidRPr="00650894">
        <w:rPr>
          <w:rFonts w:eastAsia="Calibri"/>
          <w:sz w:val="26"/>
          <w:szCs w:val="26"/>
        </w:rPr>
        <w:t>asseverated</w:t>
      </w:r>
      <w:r w:rsidR="00345963" w:rsidRPr="00650894">
        <w:rPr>
          <w:rFonts w:eastAsia="Calibri"/>
          <w:sz w:val="26"/>
          <w:szCs w:val="26"/>
        </w:rPr>
        <w:t xml:space="preserve"> that this rate has been in effect for the entire period of time covered by the disputed billings at issue in this matter.  Verizon PA M.B. at 21-23.</w:t>
      </w:r>
    </w:p>
    <w:p w:rsidR="00E04731" w:rsidRPr="00650894" w:rsidRDefault="00E04731" w:rsidP="00650894">
      <w:pPr>
        <w:spacing w:line="360" w:lineRule="auto"/>
        <w:ind w:firstLine="1440"/>
        <w:contextualSpacing/>
        <w:rPr>
          <w:sz w:val="26"/>
          <w:szCs w:val="26"/>
        </w:rPr>
      </w:pPr>
    </w:p>
    <w:p w:rsidR="00E04731" w:rsidRPr="00650894" w:rsidRDefault="00446473" w:rsidP="0051749C">
      <w:pPr>
        <w:keepNext/>
        <w:keepLines/>
        <w:spacing w:line="360" w:lineRule="auto"/>
        <w:ind w:left="1440"/>
        <w:contextualSpacing/>
        <w:rPr>
          <w:b/>
          <w:sz w:val="26"/>
          <w:szCs w:val="26"/>
        </w:rPr>
      </w:pPr>
      <w:r w:rsidRPr="00650894">
        <w:rPr>
          <w:b/>
          <w:sz w:val="26"/>
          <w:szCs w:val="26"/>
        </w:rPr>
        <w:t>b</w:t>
      </w:r>
      <w:r w:rsidR="00E04731" w:rsidRPr="00650894">
        <w:rPr>
          <w:b/>
          <w:sz w:val="26"/>
          <w:szCs w:val="26"/>
        </w:rPr>
        <w:t>.</w:t>
      </w:r>
      <w:r w:rsidR="00E04731" w:rsidRPr="00650894">
        <w:rPr>
          <w:b/>
          <w:sz w:val="26"/>
          <w:szCs w:val="26"/>
        </w:rPr>
        <w:tab/>
        <w:t>ALJ Recommendation</w:t>
      </w:r>
    </w:p>
    <w:p w:rsidR="00E04731" w:rsidRPr="00650894" w:rsidRDefault="00E04731" w:rsidP="00650894">
      <w:pPr>
        <w:keepNext/>
        <w:keepLines/>
        <w:spacing w:line="360" w:lineRule="auto"/>
        <w:ind w:firstLine="1440"/>
        <w:contextualSpacing/>
        <w:rPr>
          <w:sz w:val="26"/>
          <w:szCs w:val="26"/>
        </w:rPr>
      </w:pPr>
    </w:p>
    <w:p w:rsidR="00E04731" w:rsidRPr="00650894" w:rsidRDefault="00945EB1" w:rsidP="00650894">
      <w:pPr>
        <w:spacing w:line="360" w:lineRule="auto"/>
        <w:ind w:firstLine="1440"/>
        <w:contextualSpacing/>
        <w:rPr>
          <w:sz w:val="26"/>
          <w:szCs w:val="26"/>
        </w:rPr>
      </w:pPr>
      <w:r w:rsidRPr="00650894">
        <w:rPr>
          <w:sz w:val="26"/>
          <w:szCs w:val="26"/>
        </w:rPr>
        <w:t xml:space="preserve">The ALJ </w:t>
      </w:r>
      <w:r w:rsidR="00E05E7A" w:rsidRPr="00650894">
        <w:rPr>
          <w:sz w:val="26"/>
          <w:szCs w:val="26"/>
        </w:rPr>
        <w:t>dismissed</w:t>
      </w:r>
      <w:r w:rsidRPr="00650894">
        <w:rPr>
          <w:sz w:val="26"/>
          <w:szCs w:val="26"/>
        </w:rPr>
        <w:t xml:space="preserve"> Core’s assertion</w:t>
      </w:r>
      <w:r w:rsidR="00E27D7D" w:rsidRPr="00650894">
        <w:rPr>
          <w:sz w:val="26"/>
          <w:szCs w:val="26"/>
        </w:rPr>
        <w:t>s</w:t>
      </w:r>
      <w:r w:rsidRPr="00650894">
        <w:rPr>
          <w:sz w:val="26"/>
          <w:szCs w:val="26"/>
        </w:rPr>
        <w:t xml:space="preserve"> that Verizon PA </w:t>
      </w:r>
      <w:r w:rsidR="00CE6359" w:rsidRPr="00650894">
        <w:rPr>
          <w:sz w:val="26"/>
          <w:szCs w:val="26"/>
        </w:rPr>
        <w:t xml:space="preserve">ordered tandem </w:t>
      </w:r>
      <w:r w:rsidR="00C1249B">
        <w:rPr>
          <w:sz w:val="26"/>
          <w:szCs w:val="26"/>
        </w:rPr>
        <w:t xml:space="preserve">trunk </w:t>
      </w:r>
      <w:r w:rsidR="00CE6359" w:rsidRPr="00650894">
        <w:rPr>
          <w:sz w:val="26"/>
          <w:szCs w:val="26"/>
        </w:rPr>
        <w:t xml:space="preserve">ports from Core </w:t>
      </w:r>
      <w:r w:rsidR="00E05E7A" w:rsidRPr="00650894">
        <w:rPr>
          <w:sz w:val="26"/>
          <w:szCs w:val="26"/>
        </w:rPr>
        <w:t>and</w:t>
      </w:r>
      <w:r w:rsidR="00CE6359" w:rsidRPr="00650894">
        <w:rPr>
          <w:sz w:val="26"/>
          <w:szCs w:val="26"/>
        </w:rPr>
        <w:t xml:space="preserve"> that Verizon PA </w:t>
      </w:r>
      <w:r w:rsidRPr="00650894">
        <w:rPr>
          <w:sz w:val="26"/>
          <w:szCs w:val="26"/>
        </w:rPr>
        <w:t xml:space="preserve">breached the ICA by disputing Core’s tandem </w:t>
      </w:r>
      <w:r w:rsidR="00C1249B">
        <w:rPr>
          <w:sz w:val="26"/>
          <w:szCs w:val="26"/>
        </w:rPr>
        <w:t xml:space="preserve">trunk </w:t>
      </w:r>
      <w:r w:rsidRPr="00650894">
        <w:rPr>
          <w:sz w:val="26"/>
          <w:szCs w:val="26"/>
        </w:rPr>
        <w:t xml:space="preserve">port charges.  The ALJ </w:t>
      </w:r>
      <w:r w:rsidR="00D93942" w:rsidRPr="00650894">
        <w:rPr>
          <w:sz w:val="26"/>
          <w:szCs w:val="26"/>
        </w:rPr>
        <w:t>opin</w:t>
      </w:r>
      <w:r w:rsidRPr="00650894">
        <w:rPr>
          <w:sz w:val="26"/>
          <w:szCs w:val="26"/>
        </w:rPr>
        <w:t xml:space="preserve">ed that given her finding, </w:t>
      </w:r>
      <w:r w:rsidRPr="00650894">
        <w:rPr>
          <w:i/>
          <w:sz w:val="26"/>
          <w:szCs w:val="26"/>
        </w:rPr>
        <w:t>supra,</w:t>
      </w:r>
      <w:r w:rsidRPr="00650894">
        <w:rPr>
          <w:sz w:val="26"/>
          <w:szCs w:val="26"/>
        </w:rPr>
        <w:t xml:space="preserve"> that </w:t>
      </w:r>
      <w:r w:rsidR="00E27D7D" w:rsidRPr="00650894">
        <w:rPr>
          <w:sz w:val="26"/>
          <w:szCs w:val="26"/>
        </w:rPr>
        <w:t>Verizon PA</w:t>
      </w:r>
      <w:r w:rsidRPr="00650894">
        <w:rPr>
          <w:sz w:val="26"/>
          <w:szCs w:val="26"/>
        </w:rPr>
        <w:t xml:space="preserve">’s ASRs were internal orders for self-provisioned trunking, and not orders for facilities of any kind from </w:t>
      </w:r>
      <w:bookmarkStart w:id="18" w:name="_Hlk517697306"/>
      <w:r w:rsidRPr="00650894">
        <w:rPr>
          <w:sz w:val="26"/>
          <w:szCs w:val="26"/>
        </w:rPr>
        <w:t xml:space="preserve">Core, Core’s argument </w:t>
      </w:r>
      <w:bookmarkEnd w:id="18"/>
      <w:r w:rsidRPr="00650894">
        <w:rPr>
          <w:sz w:val="26"/>
          <w:szCs w:val="26"/>
        </w:rPr>
        <w:t xml:space="preserve">must fail.  Additionally, </w:t>
      </w:r>
      <w:bookmarkStart w:id="19" w:name="_Hlk517697290"/>
      <w:r w:rsidRPr="00650894">
        <w:rPr>
          <w:sz w:val="26"/>
          <w:szCs w:val="26"/>
        </w:rPr>
        <w:t xml:space="preserve">the ALJ found that the ICA does not permit Core to bill Verizon </w:t>
      </w:r>
      <w:r w:rsidR="00DF18EA" w:rsidRPr="00650894">
        <w:rPr>
          <w:sz w:val="26"/>
          <w:szCs w:val="26"/>
        </w:rPr>
        <w:t xml:space="preserve">PA </w:t>
      </w:r>
      <w:r w:rsidRPr="00650894">
        <w:rPr>
          <w:sz w:val="26"/>
          <w:szCs w:val="26"/>
        </w:rPr>
        <w:t>for</w:t>
      </w:r>
      <w:r w:rsidR="00AA2BDA">
        <w:rPr>
          <w:sz w:val="26"/>
          <w:szCs w:val="26"/>
        </w:rPr>
        <w:t xml:space="preserve"> tandem</w:t>
      </w:r>
      <w:r w:rsidRPr="00650894">
        <w:rPr>
          <w:sz w:val="26"/>
          <w:szCs w:val="26"/>
        </w:rPr>
        <w:t xml:space="preserve"> trunk ports for the termination of local traffic for the following reasons:</w:t>
      </w:r>
    </w:p>
    <w:p w:rsidR="00E156A2" w:rsidRPr="00650894" w:rsidRDefault="00E156A2" w:rsidP="00650894">
      <w:pPr>
        <w:spacing w:line="360" w:lineRule="auto"/>
        <w:contextualSpacing/>
        <w:rPr>
          <w:sz w:val="26"/>
          <w:szCs w:val="26"/>
        </w:rPr>
      </w:pPr>
    </w:p>
    <w:p w:rsidR="00E156A2" w:rsidRPr="00650894" w:rsidRDefault="00E156A2" w:rsidP="00AA2BDA">
      <w:pPr>
        <w:ind w:left="1440" w:hanging="720"/>
        <w:contextualSpacing/>
        <w:rPr>
          <w:sz w:val="26"/>
          <w:szCs w:val="26"/>
        </w:rPr>
      </w:pPr>
      <w:r w:rsidRPr="00650894">
        <w:rPr>
          <w:sz w:val="26"/>
          <w:szCs w:val="26"/>
        </w:rPr>
        <w:t>(1)</w:t>
      </w:r>
      <w:r w:rsidRPr="00650894">
        <w:rPr>
          <w:sz w:val="26"/>
          <w:szCs w:val="26"/>
        </w:rPr>
        <w:tab/>
      </w:r>
      <w:r w:rsidR="00B2373A">
        <w:rPr>
          <w:sz w:val="26"/>
          <w:szCs w:val="26"/>
        </w:rPr>
        <w:t>T</w:t>
      </w:r>
      <w:r w:rsidR="00161E30" w:rsidRPr="00650894">
        <w:rPr>
          <w:sz w:val="26"/>
          <w:szCs w:val="26"/>
        </w:rPr>
        <w:t xml:space="preserve">he Parties’ ICA does not allow Core to bill Verizon PA for </w:t>
      </w:r>
      <w:r w:rsidR="006C0140" w:rsidRPr="00650894">
        <w:rPr>
          <w:sz w:val="26"/>
          <w:szCs w:val="26"/>
        </w:rPr>
        <w:t xml:space="preserve">tandem </w:t>
      </w:r>
      <w:r w:rsidR="00AA2BDA">
        <w:rPr>
          <w:sz w:val="26"/>
          <w:szCs w:val="26"/>
        </w:rPr>
        <w:t xml:space="preserve">trunk </w:t>
      </w:r>
      <w:r w:rsidR="006C0140" w:rsidRPr="00650894">
        <w:rPr>
          <w:sz w:val="26"/>
          <w:szCs w:val="26"/>
        </w:rPr>
        <w:t>port charges in addition to reciprocal compensation charges</w:t>
      </w:r>
      <w:r w:rsidR="00B2373A">
        <w:rPr>
          <w:sz w:val="26"/>
          <w:szCs w:val="26"/>
        </w:rPr>
        <w:t>;</w:t>
      </w:r>
    </w:p>
    <w:p w:rsidR="00E156A2" w:rsidRPr="00650894" w:rsidRDefault="00E156A2" w:rsidP="00AA2BDA">
      <w:pPr>
        <w:ind w:left="1440" w:hanging="720"/>
        <w:contextualSpacing/>
        <w:rPr>
          <w:sz w:val="26"/>
          <w:szCs w:val="26"/>
        </w:rPr>
      </w:pPr>
    </w:p>
    <w:p w:rsidR="00E156A2" w:rsidRPr="00650894" w:rsidRDefault="00E156A2" w:rsidP="00AA2BDA">
      <w:pPr>
        <w:ind w:left="1440" w:hanging="720"/>
        <w:contextualSpacing/>
        <w:rPr>
          <w:sz w:val="26"/>
          <w:szCs w:val="26"/>
        </w:rPr>
      </w:pPr>
      <w:r w:rsidRPr="00650894">
        <w:rPr>
          <w:sz w:val="26"/>
          <w:szCs w:val="26"/>
        </w:rPr>
        <w:t>(2)</w:t>
      </w:r>
      <w:r w:rsidRPr="00650894">
        <w:rPr>
          <w:sz w:val="26"/>
          <w:szCs w:val="26"/>
        </w:rPr>
        <w:tab/>
      </w:r>
      <w:r w:rsidR="006C0140" w:rsidRPr="00650894">
        <w:rPr>
          <w:sz w:val="26"/>
          <w:szCs w:val="26"/>
        </w:rPr>
        <w:t>Core does not have any tariffed or otherwise “generally available” rates for tandem</w:t>
      </w:r>
      <w:r w:rsidR="00AA2BDA">
        <w:rPr>
          <w:sz w:val="26"/>
          <w:szCs w:val="26"/>
        </w:rPr>
        <w:t xml:space="preserve"> trunk</w:t>
      </w:r>
      <w:r w:rsidR="006C0140" w:rsidRPr="00650894">
        <w:rPr>
          <w:sz w:val="26"/>
          <w:szCs w:val="26"/>
        </w:rPr>
        <w:t xml:space="preserve"> ports</w:t>
      </w:r>
      <w:r w:rsidR="00B2373A">
        <w:rPr>
          <w:sz w:val="26"/>
          <w:szCs w:val="26"/>
        </w:rPr>
        <w:t>;</w:t>
      </w:r>
    </w:p>
    <w:bookmarkEnd w:id="19"/>
    <w:p w:rsidR="00E156A2" w:rsidRPr="00650894" w:rsidRDefault="00E156A2" w:rsidP="00AA2BDA">
      <w:pPr>
        <w:ind w:left="1440" w:hanging="720"/>
        <w:contextualSpacing/>
        <w:rPr>
          <w:sz w:val="26"/>
          <w:szCs w:val="26"/>
        </w:rPr>
      </w:pPr>
    </w:p>
    <w:p w:rsidR="00E156A2" w:rsidRPr="00650894" w:rsidRDefault="00E156A2" w:rsidP="00AA2BDA">
      <w:pPr>
        <w:ind w:left="1440" w:hanging="720"/>
        <w:contextualSpacing/>
        <w:rPr>
          <w:sz w:val="26"/>
          <w:szCs w:val="26"/>
        </w:rPr>
      </w:pPr>
      <w:r w:rsidRPr="00650894">
        <w:rPr>
          <w:sz w:val="26"/>
          <w:szCs w:val="26"/>
        </w:rPr>
        <w:t>(3)</w:t>
      </w:r>
      <w:r w:rsidRPr="00650894">
        <w:rPr>
          <w:sz w:val="26"/>
          <w:szCs w:val="26"/>
        </w:rPr>
        <w:tab/>
      </w:r>
      <w:r w:rsidR="00B2373A">
        <w:rPr>
          <w:sz w:val="26"/>
          <w:szCs w:val="26"/>
        </w:rPr>
        <w:t>U</w:t>
      </w:r>
      <w:r w:rsidR="006C0140" w:rsidRPr="00650894">
        <w:rPr>
          <w:sz w:val="26"/>
          <w:szCs w:val="26"/>
        </w:rPr>
        <w:t xml:space="preserve">nder “equivalent” circumstances, Verizon PA’s rate for tandem </w:t>
      </w:r>
      <w:r w:rsidR="00AA2BDA">
        <w:rPr>
          <w:sz w:val="26"/>
          <w:szCs w:val="26"/>
        </w:rPr>
        <w:t xml:space="preserve">trunk </w:t>
      </w:r>
      <w:r w:rsidR="006C0140" w:rsidRPr="00650894">
        <w:rPr>
          <w:sz w:val="26"/>
          <w:szCs w:val="26"/>
        </w:rPr>
        <w:t>ports is zero</w:t>
      </w:r>
      <w:r w:rsidR="00B2373A">
        <w:rPr>
          <w:sz w:val="26"/>
          <w:szCs w:val="26"/>
        </w:rPr>
        <w:t>;</w:t>
      </w:r>
    </w:p>
    <w:p w:rsidR="00E156A2" w:rsidRPr="00650894" w:rsidRDefault="00E156A2" w:rsidP="00AA2BDA">
      <w:pPr>
        <w:ind w:left="1440" w:hanging="720"/>
        <w:contextualSpacing/>
        <w:rPr>
          <w:sz w:val="26"/>
          <w:szCs w:val="26"/>
        </w:rPr>
      </w:pPr>
    </w:p>
    <w:p w:rsidR="00E156A2" w:rsidRPr="00650894" w:rsidRDefault="00E156A2" w:rsidP="00AA2BDA">
      <w:pPr>
        <w:ind w:left="1440" w:hanging="720"/>
        <w:contextualSpacing/>
        <w:rPr>
          <w:sz w:val="26"/>
          <w:szCs w:val="26"/>
        </w:rPr>
      </w:pPr>
      <w:r w:rsidRPr="00650894">
        <w:rPr>
          <w:sz w:val="26"/>
          <w:szCs w:val="26"/>
        </w:rPr>
        <w:t>(4)</w:t>
      </w:r>
      <w:r w:rsidRPr="00650894">
        <w:rPr>
          <w:sz w:val="26"/>
          <w:szCs w:val="26"/>
        </w:rPr>
        <w:tab/>
      </w:r>
      <w:r w:rsidR="006C0140" w:rsidRPr="00650894">
        <w:rPr>
          <w:sz w:val="26"/>
          <w:szCs w:val="26"/>
        </w:rPr>
        <w:t>Core billed Verizon PA at triple the actual Verizon PA tandem trunk port rate</w:t>
      </w:r>
      <w:r w:rsidR="00B2373A">
        <w:rPr>
          <w:sz w:val="26"/>
          <w:szCs w:val="26"/>
        </w:rPr>
        <w:t>;</w:t>
      </w:r>
    </w:p>
    <w:p w:rsidR="00E156A2" w:rsidRPr="00650894" w:rsidRDefault="00E156A2" w:rsidP="00650894">
      <w:pPr>
        <w:spacing w:line="360" w:lineRule="auto"/>
        <w:ind w:firstLine="1440"/>
        <w:contextualSpacing/>
        <w:rPr>
          <w:sz w:val="26"/>
          <w:szCs w:val="26"/>
        </w:rPr>
      </w:pPr>
    </w:p>
    <w:p w:rsidR="00E04731" w:rsidRPr="00650894" w:rsidRDefault="00E156A2" w:rsidP="00650894">
      <w:pPr>
        <w:spacing w:line="360" w:lineRule="auto"/>
        <w:contextualSpacing/>
        <w:rPr>
          <w:sz w:val="26"/>
          <w:szCs w:val="26"/>
        </w:rPr>
      </w:pPr>
      <w:r w:rsidRPr="00650894">
        <w:rPr>
          <w:sz w:val="26"/>
          <w:szCs w:val="26"/>
        </w:rPr>
        <w:t>I.D. at 42</w:t>
      </w:r>
    </w:p>
    <w:p w:rsidR="00E156A2" w:rsidRPr="00650894" w:rsidRDefault="00E156A2" w:rsidP="00650894">
      <w:pPr>
        <w:spacing w:line="360" w:lineRule="auto"/>
        <w:contextualSpacing/>
        <w:rPr>
          <w:sz w:val="26"/>
          <w:szCs w:val="26"/>
        </w:rPr>
      </w:pPr>
    </w:p>
    <w:p w:rsidR="00E156A2" w:rsidRPr="00650894" w:rsidRDefault="00161E30" w:rsidP="00650894">
      <w:pPr>
        <w:spacing w:line="360" w:lineRule="auto"/>
        <w:ind w:firstLine="1440"/>
        <w:contextualSpacing/>
        <w:rPr>
          <w:sz w:val="26"/>
          <w:szCs w:val="26"/>
        </w:rPr>
      </w:pPr>
      <w:r w:rsidRPr="00650894">
        <w:rPr>
          <w:sz w:val="26"/>
          <w:szCs w:val="26"/>
        </w:rPr>
        <w:t xml:space="preserve">The ALJ also </w:t>
      </w:r>
      <w:r w:rsidR="00D93942" w:rsidRPr="00650894">
        <w:rPr>
          <w:sz w:val="26"/>
          <w:szCs w:val="26"/>
        </w:rPr>
        <w:t>r</w:t>
      </w:r>
      <w:r w:rsidR="000A692D" w:rsidRPr="00650894">
        <w:rPr>
          <w:sz w:val="26"/>
          <w:szCs w:val="26"/>
        </w:rPr>
        <w:t>uled</w:t>
      </w:r>
      <w:r w:rsidRPr="00650894">
        <w:rPr>
          <w:sz w:val="26"/>
          <w:szCs w:val="26"/>
        </w:rPr>
        <w:t xml:space="preserve"> that because Verizon PA is paying Core for reciprocal compensation, Core is already receiving compensation for the tandem </w:t>
      </w:r>
      <w:r w:rsidR="009E26E6">
        <w:rPr>
          <w:sz w:val="26"/>
          <w:szCs w:val="26"/>
        </w:rPr>
        <w:t xml:space="preserve">trunk </w:t>
      </w:r>
      <w:r w:rsidRPr="00650894">
        <w:rPr>
          <w:sz w:val="26"/>
          <w:szCs w:val="26"/>
        </w:rPr>
        <w:t xml:space="preserve">port costs incurred in the provision of tandem switching, which is subsumed in the transport component of </w:t>
      </w:r>
      <w:r w:rsidR="000844D8" w:rsidRPr="00650894">
        <w:rPr>
          <w:sz w:val="26"/>
          <w:szCs w:val="26"/>
        </w:rPr>
        <w:t xml:space="preserve">Core’s </w:t>
      </w:r>
      <w:r w:rsidRPr="00650894">
        <w:rPr>
          <w:sz w:val="26"/>
          <w:szCs w:val="26"/>
        </w:rPr>
        <w:t xml:space="preserve">reciprocal compensation charges.  </w:t>
      </w:r>
      <w:bookmarkStart w:id="20" w:name="_Hlk517697361"/>
      <w:r w:rsidRPr="00650894">
        <w:rPr>
          <w:sz w:val="26"/>
          <w:szCs w:val="26"/>
        </w:rPr>
        <w:t xml:space="preserve">Thus, the ALJ found Verizon PA’s argument persuasive that allowing Core to bill Verizon PA </w:t>
      </w:r>
      <w:r w:rsidR="007218DB" w:rsidRPr="00650894">
        <w:rPr>
          <w:sz w:val="26"/>
          <w:szCs w:val="26"/>
        </w:rPr>
        <w:t xml:space="preserve">for </w:t>
      </w:r>
      <w:r w:rsidRPr="00650894">
        <w:rPr>
          <w:sz w:val="26"/>
          <w:szCs w:val="26"/>
        </w:rPr>
        <w:t xml:space="preserve">tandem port charges in addition to reciprocal compensation </w:t>
      </w:r>
      <w:r w:rsidR="000844D8" w:rsidRPr="00650894">
        <w:rPr>
          <w:sz w:val="26"/>
          <w:szCs w:val="26"/>
        </w:rPr>
        <w:t xml:space="preserve">charges </w:t>
      </w:r>
      <w:r w:rsidRPr="00650894">
        <w:rPr>
          <w:sz w:val="26"/>
          <w:szCs w:val="26"/>
        </w:rPr>
        <w:t>would result in Core double-recovering tandem port charges, which is prohibited by the ICA.</w:t>
      </w:r>
      <w:bookmarkEnd w:id="20"/>
      <w:r w:rsidRPr="00650894">
        <w:rPr>
          <w:sz w:val="26"/>
          <w:szCs w:val="26"/>
        </w:rPr>
        <w:t xml:space="preserve">  I.D. at 44.</w:t>
      </w:r>
    </w:p>
    <w:p w:rsidR="00E156A2" w:rsidRPr="00650894" w:rsidRDefault="00E156A2" w:rsidP="00650894">
      <w:pPr>
        <w:spacing w:line="360" w:lineRule="auto"/>
        <w:ind w:firstLine="1440"/>
        <w:contextualSpacing/>
        <w:rPr>
          <w:sz w:val="26"/>
          <w:szCs w:val="26"/>
        </w:rPr>
      </w:pPr>
    </w:p>
    <w:p w:rsidR="00E04731" w:rsidRPr="00650894" w:rsidRDefault="00446473" w:rsidP="008C3FA2">
      <w:pPr>
        <w:keepNext/>
        <w:keepLines/>
        <w:spacing w:line="360" w:lineRule="auto"/>
        <w:ind w:left="1440"/>
        <w:contextualSpacing/>
        <w:rPr>
          <w:sz w:val="26"/>
          <w:szCs w:val="26"/>
        </w:rPr>
      </w:pPr>
      <w:r w:rsidRPr="00650894">
        <w:rPr>
          <w:b/>
          <w:sz w:val="26"/>
          <w:szCs w:val="26"/>
        </w:rPr>
        <w:t>c</w:t>
      </w:r>
      <w:r w:rsidR="00E04731" w:rsidRPr="00650894">
        <w:rPr>
          <w:b/>
          <w:sz w:val="26"/>
          <w:szCs w:val="26"/>
        </w:rPr>
        <w:t>.</w:t>
      </w:r>
      <w:r w:rsidR="00E04731" w:rsidRPr="00650894">
        <w:rPr>
          <w:b/>
          <w:sz w:val="26"/>
          <w:szCs w:val="26"/>
        </w:rPr>
        <w:tab/>
        <w:t xml:space="preserve">Core’s Exceptions </w:t>
      </w:r>
    </w:p>
    <w:p w:rsidR="003D0354" w:rsidRPr="00650894" w:rsidRDefault="003D0354" w:rsidP="00650894">
      <w:pPr>
        <w:keepNext/>
        <w:keepLines/>
        <w:spacing w:line="360" w:lineRule="auto"/>
        <w:ind w:firstLine="1440"/>
        <w:contextualSpacing/>
        <w:rPr>
          <w:sz w:val="26"/>
          <w:szCs w:val="26"/>
        </w:rPr>
      </w:pPr>
    </w:p>
    <w:p w:rsidR="00DD5754" w:rsidRPr="00650894" w:rsidRDefault="006D7A6B" w:rsidP="00650894">
      <w:pPr>
        <w:spacing w:line="360" w:lineRule="auto"/>
        <w:ind w:firstLine="1440"/>
        <w:contextualSpacing/>
        <w:rPr>
          <w:sz w:val="26"/>
          <w:szCs w:val="26"/>
        </w:rPr>
      </w:pPr>
      <w:r w:rsidRPr="00650894">
        <w:rPr>
          <w:sz w:val="26"/>
          <w:szCs w:val="26"/>
        </w:rPr>
        <w:t xml:space="preserve">Core </w:t>
      </w:r>
      <w:r w:rsidR="008B1CEC" w:rsidRPr="00650894">
        <w:rPr>
          <w:sz w:val="26"/>
          <w:szCs w:val="26"/>
        </w:rPr>
        <w:t xml:space="preserve">takes issue </w:t>
      </w:r>
      <w:r w:rsidR="00C47680" w:rsidRPr="00650894">
        <w:rPr>
          <w:sz w:val="26"/>
          <w:szCs w:val="26"/>
        </w:rPr>
        <w:t>with the ALJ’s conclusion that it is not authorized to bill Verizon PA</w:t>
      </w:r>
      <w:r w:rsidR="007218DB" w:rsidRPr="00650894">
        <w:rPr>
          <w:sz w:val="26"/>
          <w:szCs w:val="26"/>
        </w:rPr>
        <w:t xml:space="preserve"> for tandem trunk ports.  </w:t>
      </w:r>
      <w:bookmarkStart w:id="21" w:name="_Hlk517697468"/>
      <w:r w:rsidR="00A2549F" w:rsidRPr="00650894">
        <w:rPr>
          <w:sz w:val="26"/>
          <w:szCs w:val="26"/>
        </w:rPr>
        <w:t xml:space="preserve">Core asserts that Attachment IV, Section 2.2.1 of the ICA states that the originating carrier </w:t>
      </w:r>
      <w:r w:rsidR="00A95DD9" w:rsidRPr="00650894">
        <w:rPr>
          <w:sz w:val="26"/>
          <w:szCs w:val="26"/>
        </w:rPr>
        <w:t xml:space="preserve">(in this instance Verizon PA) </w:t>
      </w:r>
      <w:r w:rsidR="00A2549F" w:rsidRPr="00650894">
        <w:rPr>
          <w:sz w:val="26"/>
          <w:szCs w:val="26"/>
        </w:rPr>
        <w:t xml:space="preserve">will pay the terminating carrier </w:t>
      </w:r>
      <w:r w:rsidR="00A95DD9" w:rsidRPr="00650894">
        <w:rPr>
          <w:sz w:val="26"/>
          <w:szCs w:val="26"/>
        </w:rPr>
        <w:t xml:space="preserve">(in this instance Core) </w:t>
      </w:r>
      <w:r w:rsidR="00A2549F" w:rsidRPr="00650894">
        <w:rPr>
          <w:sz w:val="26"/>
          <w:szCs w:val="26"/>
        </w:rPr>
        <w:t>for the transport and termination of local traffic, which includes Tandem Switching.</w:t>
      </w:r>
      <w:bookmarkEnd w:id="21"/>
      <w:r w:rsidR="00A2549F" w:rsidRPr="00650894">
        <w:rPr>
          <w:sz w:val="26"/>
          <w:szCs w:val="26"/>
        </w:rPr>
        <w:t xml:space="preserve">  </w:t>
      </w:r>
      <w:r w:rsidR="0009264A" w:rsidRPr="00650894">
        <w:rPr>
          <w:sz w:val="26"/>
          <w:szCs w:val="26"/>
        </w:rPr>
        <w:t xml:space="preserve">Core restates its position that tandem trunk ports are the “trunk-connect facilities’ referenced in the ICA’s definition of “Tandem Switching.”  </w:t>
      </w:r>
      <w:bookmarkStart w:id="22" w:name="_Hlk517697508"/>
      <w:r w:rsidR="00FB3FB0" w:rsidRPr="00650894">
        <w:rPr>
          <w:sz w:val="26"/>
          <w:szCs w:val="26"/>
        </w:rPr>
        <w:t xml:space="preserve">Core </w:t>
      </w:r>
      <w:r w:rsidR="00A7240E" w:rsidRPr="00650894">
        <w:rPr>
          <w:sz w:val="26"/>
          <w:szCs w:val="26"/>
        </w:rPr>
        <w:t>opposes Finding of Fact No. 39,</w:t>
      </w:r>
      <w:r w:rsidR="00A7240E" w:rsidRPr="00650894">
        <w:rPr>
          <w:rStyle w:val="FootnoteReference"/>
        </w:rPr>
        <w:footnoteReference w:id="14"/>
      </w:r>
      <w:r w:rsidR="00A7240E" w:rsidRPr="00650894">
        <w:rPr>
          <w:sz w:val="26"/>
          <w:szCs w:val="26"/>
        </w:rPr>
        <w:t xml:space="preserve"> which states that the ICA’s definitions of Transport and Termination limit Core’s c</w:t>
      </w:r>
      <w:r w:rsidR="0009264A" w:rsidRPr="00650894">
        <w:rPr>
          <w:sz w:val="26"/>
          <w:szCs w:val="26"/>
        </w:rPr>
        <w:t xml:space="preserve">ompensation for the termination </w:t>
      </w:r>
      <w:r w:rsidR="00A7240E" w:rsidRPr="00650894">
        <w:rPr>
          <w:sz w:val="26"/>
          <w:szCs w:val="26"/>
        </w:rPr>
        <w:t xml:space="preserve">of local traffic, including “the switching of Local Traffic,” to Reciprocal Compensation.  Core notes that although the ALJ cites, </w:t>
      </w:r>
      <w:r w:rsidR="00A7240E" w:rsidRPr="00650894">
        <w:rPr>
          <w:i/>
          <w:sz w:val="26"/>
          <w:szCs w:val="26"/>
        </w:rPr>
        <w:t>inter alia</w:t>
      </w:r>
      <w:r w:rsidR="00A7240E" w:rsidRPr="00650894">
        <w:rPr>
          <w:sz w:val="26"/>
          <w:szCs w:val="26"/>
        </w:rPr>
        <w:t xml:space="preserve">, to the ICA at Appendix IV, Sections 2.2.1, 2.2.1.1, and 2.2.1.2 in this Finding of Fact, none of these provisions use the term “Reciprocal Compensation.”  </w:t>
      </w:r>
      <w:bookmarkEnd w:id="22"/>
      <w:r w:rsidR="00A7240E" w:rsidRPr="00650894">
        <w:rPr>
          <w:sz w:val="26"/>
          <w:szCs w:val="26"/>
        </w:rPr>
        <w:t xml:space="preserve">In Core’s view, although these provisions may </w:t>
      </w:r>
      <w:r w:rsidR="001E256F" w:rsidRPr="00650894">
        <w:rPr>
          <w:sz w:val="26"/>
          <w:szCs w:val="26"/>
        </w:rPr>
        <w:t>incorporate</w:t>
      </w:r>
      <w:r w:rsidR="00A7240E" w:rsidRPr="00650894">
        <w:rPr>
          <w:sz w:val="26"/>
          <w:szCs w:val="26"/>
        </w:rPr>
        <w:t xml:space="preserve"> or overlap with Reciprocal </w:t>
      </w:r>
      <w:r w:rsidR="001E256F" w:rsidRPr="00650894">
        <w:rPr>
          <w:sz w:val="26"/>
          <w:szCs w:val="26"/>
        </w:rPr>
        <w:t>Compensation</w:t>
      </w:r>
      <w:r w:rsidR="00A7240E" w:rsidRPr="00650894">
        <w:rPr>
          <w:sz w:val="26"/>
          <w:szCs w:val="26"/>
        </w:rPr>
        <w:t xml:space="preserve">, </w:t>
      </w:r>
      <w:r w:rsidR="0009264A" w:rsidRPr="00650894">
        <w:rPr>
          <w:sz w:val="26"/>
          <w:szCs w:val="26"/>
        </w:rPr>
        <w:t>they are plainly more expansive</w:t>
      </w:r>
      <w:r w:rsidR="001E256F" w:rsidRPr="00650894">
        <w:rPr>
          <w:sz w:val="26"/>
          <w:szCs w:val="26"/>
        </w:rPr>
        <w:t xml:space="preserve"> tha</w:t>
      </w:r>
      <w:r w:rsidR="009E26E6">
        <w:rPr>
          <w:sz w:val="26"/>
          <w:szCs w:val="26"/>
        </w:rPr>
        <w:t>n</w:t>
      </w:r>
      <w:r w:rsidR="001E256F" w:rsidRPr="00650894">
        <w:rPr>
          <w:sz w:val="26"/>
          <w:szCs w:val="26"/>
        </w:rPr>
        <w:t xml:space="preserve"> Reciprocal Compensation alone.  </w:t>
      </w:r>
      <w:r w:rsidR="00A95DD9" w:rsidRPr="00650894">
        <w:rPr>
          <w:sz w:val="26"/>
          <w:szCs w:val="26"/>
        </w:rPr>
        <w:t xml:space="preserve">Core </w:t>
      </w:r>
      <w:r w:rsidR="00D36544" w:rsidRPr="00650894">
        <w:rPr>
          <w:sz w:val="26"/>
          <w:szCs w:val="26"/>
        </w:rPr>
        <w:t>Exc</w:t>
      </w:r>
      <w:r w:rsidR="00A95DD9" w:rsidRPr="00650894">
        <w:rPr>
          <w:sz w:val="26"/>
          <w:szCs w:val="26"/>
        </w:rPr>
        <w:t xml:space="preserve">. at 12-13.  </w:t>
      </w:r>
    </w:p>
    <w:p w:rsidR="00A95DD9" w:rsidRPr="00650894" w:rsidRDefault="00A95DD9" w:rsidP="00650894">
      <w:pPr>
        <w:spacing w:line="360" w:lineRule="auto"/>
        <w:ind w:firstLine="1440"/>
        <w:contextualSpacing/>
        <w:rPr>
          <w:sz w:val="26"/>
          <w:szCs w:val="26"/>
        </w:rPr>
      </w:pPr>
    </w:p>
    <w:p w:rsidR="00E04731" w:rsidRPr="00650894" w:rsidRDefault="00D069E3" w:rsidP="00650894">
      <w:pPr>
        <w:spacing w:line="360" w:lineRule="auto"/>
        <w:ind w:firstLine="1440"/>
        <w:contextualSpacing/>
        <w:rPr>
          <w:sz w:val="26"/>
          <w:szCs w:val="26"/>
        </w:rPr>
      </w:pPr>
      <w:bookmarkStart w:id="23" w:name="_Hlk517697521"/>
      <w:r w:rsidRPr="00650894">
        <w:rPr>
          <w:sz w:val="26"/>
          <w:szCs w:val="26"/>
        </w:rPr>
        <w:t xml:space="preserve">Core </w:t>
      </w:r>
      <w:r w:rsidR="00290AE8" w:rsidRPr="00650894">
        <w:rPr>
          <w:sz w:val="26"/>
          <w:szCs w:val="26"/>
        </w:rPr>
        <w:t>likewise</w:t>
      </w:r>
      <w:r w:rsidR="0009264A" w:rsidRPr="00650894">
        <w:rPr>
          <w:sz w:val="26"/>
          <w:szCs w:val="26"/>
        </w:rPr>
        <w:t xml:space="preserve"> </w:t>
      </w:r>
      <w:r w:rsidRPr="00650894">
        <w:rPr>
          <w:sz w:val="26"/>
          <w:szCs w:val="26"/>
        </w:rPr>
        <w:t xml:space="preserve">disputes the ALJ’s finding that trunk port costs </w:t>
      </w:r>
      <w:r w:rsidR="00A95DD9" w:rsidRPr="00650894">
        <w:rPr>
          <w:sz w:val="26"/>
          <w:szCs w:val="26"/>
        </w:rPr>
        <w:t>are subsumed within the rate for tandem reciprocal compensation</w:t>
      </w:r>
      <w:bookmarkEnd w:id="23"/>
      <w:r w:rsidR="00A95DD9" w:rsidRPr="00650894">
        <w:rPr>
          <w:sz w:val="26"/>
          <w:szCs w:val="26"/>
        </w:rPr>
        <w:t xml:space="preserve">.  </w:t>
      </w:r>
      <w:r w:rsidR="00DD5754" w:rsidRPr="00650894">
        <w:rPr>
          <w:sz w:val="26"/>
          <w:szCs w:val="26"/>
        </w:rPr>
        <w:t xml:space="preserve">Core remains of the opinion that the fact that the ICA’s </w:t>
      </w:r>
      <w:r w:rsidRPr="00650894">
        <w:rPr>
          <w:sz w:val="26"/>
          <w:szCs w:val="26"/>
        </w:rPr>
        <w:t>P</w:t>
      </w:r>
      <w:r w:rsidR="00DD5754" w:rsidRPr="00650894">
        <w:rPr>
          <w:sz w:val="26"/>
          <w:szCs w:val="26"/>
        </w:rPr>
        <w:t>ricing Appendix contains a rate for “Tandem Switching Usage</w:t>
      </w:r>
      <w:r w:rsidR="00290AE8" w:rsidRPr="00650894">
        <w:rPr>
          <w:sz w:val="26"/>
          <w:szCs w:val="26"/>
        </w:rPr>
        <w:t>,</w:t>
      </w:r>
      <w:r w:rsidR="00DD5754" w:rsidRPr="00650894">
        <w:rPr>
          <w:sz w:val="26"/>
          <w:szCs w:val="26"/>
        </w:rPr>
        <w:t xml:space="preserve">” </w:t>
      </w:r>
      <w:r w:rsidR="00290AE8" w:rsidRPr="00650894">
        <w:rPr>
          <w:sz w:val="26"/>
          <w:szCs w:val="26"/>
        </w:rPr>
        <w:t xml:space="preserve">in addition to </w:t>
      </w:r>
      <w:r w:rsidR="00DD5754" w:rsidRPr="00650894">
        <w:rPr>
          <w:sz w:val="26"/>
          <w:szCs w:val="26"/>
        </w:rPr>
        <w:t>a rate for “Trunk Port-Tandem</w:t>
      </w:r>
      <w:r w:rsidR="00290AE8" w:rsidRPr="00650894">
        <w:rPr>
          <w:sz w:val="26"/>
          <w:szCs w:val="26"/>
        </w:rPr>
        <w:t>,</w:t>
      </w:r>
      <w:r w:rsidR="00DD5754" w:rsidRPr="00650894">
        <w:rPr>
          <w:sz w:val="26"/>
          <w:szCs w:val="26"/>
        </w:rPr>
        <w:t xml:space="preserve">” </w:t>
      </w:r>
      <w:r w:rsidR="0009264A" w:rsidRPr="00650894">
        <w:rPr>
          <w:sz w:val="26"/>
          <w:szCs w:val="26"/>
        </w:rPr>
        <w:t>indicates</w:t>
      </w:r>
      <w:r w:rsidR="00DD5754" w:rsidRPr="00650894">
        <w:rPr>
          <w:sz w:val="26"/>
          <w:szCs w:val="26"/>
        </w:rPr>
        <w:t xml:space="preserve"> that tandem switching usage and tandem trunk ports are distinct elements.  </w:t>
      </w:r>
      <w:r w:rsidR="00290AE8" w:rsidRPr="00650894">
        <w:rPr>
          <w:sz w:val="26"/>
          <w:szCs w:val="26"/>
        </w:rPr>
        <w:t xml:space="preserve">Core asserts that </w:t>
      </w:r>
      <w:r w:rsidR="003A214C" w:rsidRPr="00650894">
        <w:rPr>
          <w:sz w:val="26"/>
          <w:szCs w:val="26"/>
        </w:rPr>
        <w:t>like</w:t>
      </w:r>
      <w:r w:rsidR="00290AE8" w:rsidRPr="00650894">
        <w:rPr>
          <w:sz w:val="26"/>
          <w:szCs w:val="26"/>
        </w:rPr>
        <w:t xml:space="preserve"> the ICA’s </w:t>
      </w:r>
      <w:r w:rsidR="000844D8" w:rsidRPr="00650894">
        <w:rPr>
          <w:sz w:val="26"/>
          <w:szCs w:val="26"/>
        </w:rPr>
        <w:t>Pricing Appendix</w:t>
      </w:r>
      <w:r w:rsidR="00290AE8" w:rsidRPr="00650894">
        <w:rPr>
          <w:sz w:val="26"/>
          <w:szCs w:val="26"/>
        </w:rPr>
        <w:t xml:space="preserve">, the </w:t>
      </w:r>
      <w:r w:rsidR="00CD3419" w:rsidRPr="00650894">
        <w:rPr>
          <w:i/>
          <w:sz w:val="26"/>
          <w:szCs w:val="26"/>
        </w:rPr>
        <w:t>2004 Compliance Order</w:t>
      </w:r>
      <w:r w:rsidR="00CD3419" w:rsidRPr="00650894">
        <w:rPr>
          <w:sz w:val="26"/>
          <w:szCs w:val="26"/>
        </w:rPr>
        <w:t xml:space="preserve"> </w:t>
      </w:r>
      <w:r w:rsidR="00290AE8" w:rsidRPr="00650894">
        <w:rPr>
          <w:sz w:val="26"/>
          <w:szCs w:val="26"/>
        </w:rPr>
        <w:t>included separate and independent rates for tandem and end office trunk ports and tandem and end office reciprocal compensation.</w:t>
      </w:r>
      <w:r w:rsidR="00D36544" w:rsidRPr="00650894">
        <w:rPr>
          <w:sz w:val="26"/>
          <w:szCs w:val="26"/>
        </w:rPr>
        <w:t xml:space="preserve">  Core </w:t>
      </w:r>
      <w:r w:rsidR="00CD7361" w:rsidRPr="00650894">
        <w:rPr>
          <w:sz w:val="26"/>
          <w:szCs w:val="26"/>
        </w:rPr>
        <w:t>Exc. at 13</w:t>
      </w:r>
      <w:r w:rsidR="00864E04" w:rsidRPr="00650894">
        <w:rPr>
          <w:sz w:val="26"/>
          <w:szCs w:val="26"/>
        </w:rPr>
        <w:noBreakHyphen/>
      </w:r>
      <w:r w:rsidR="00CD7361" w:rsidRPr="00650894">
        <w:rPr>
          <w:sz w:val="26"/>
          <w:szCs w:val="26"/>
        </w:rPr>
        <w:t>14.</w:t>
      </w:r>
    </w:p>
    <w:p w:rsidR="00CD7361" w:rsidRPr="00650894" w:rsidRDefault="00CD7361" w:rsidP="00650894">
      <w:pPr>
        <w:spacing w:line="360" w:lineRule="auto"/>
        <w:ind w:firstLine="1440"/>
        <w:contextualSpacing/>
        <w:rPr>
          <w:sz w:val="26"/>
          <w:szCs w:val="26"/>
        </w:rPr>
      </w:pPr>
    </w:p>
    <w:p w:rsidR="00CD7361" w:rsidRPr="00650894" w:rsidRDefault="00CD7361" w:rsidP="00650894">
      <w:pPr>
        <w:spacing w:line="360" w:lineRule="auto"/>
        <w:ind w:firstLine="1440"/>
        <w:contextualSpacing/>
        <w:rPr>
          <w:sz w:val="26"/>
          <w:szCs w:val="26"/>
        </w:rPr>
      </w:pPr>
      <w:r w:rsidRPr="00650894">
        <w:rPr>
          <w:sz w:val="26"/>
          <w:szCs w:val="26"/>
        </w:rPr>
        <w:t xml:space="preserve">Additionally, Core finds fault with the ALJ’s finding that Core billed Verizon PA at triple the </w:t>
      </w:r>
      <w:r w:rsidR="00BD329E" w:rsidRPr="00650894">
        <w:rPr>
          <w:sz w:val="26"/>
          <w:szCs w:val="26"/>
        </w:rPr>
        <w:t>Verizon PA</w:t>
      </w:r>
      <w:r w:rsidR="00D730D9">
        <w:rPr>
          <w:sz w:val="26"/>
          <w:szCs w:val="26"/>
        </w:rPr>
        <w:t xml:space="preserve"> tandem</w:t>
      </w:r>
      <w:r w:rsidRPr="00650894">
        <w:rPr>
          <w:sz w:val="26"/>
          <w:szCs w:val="26"/>
        </w:rPr>
        <w:t xml:space="preserve"> </w:t>
      </w:r>
      <w:r w:rsidR="00194050" w:rsidRPr="00650894">
        <w:rPr>
          <w:sz w:val="26"/>
          <w:szCs w:val="26"/>
        </w:rPr>
        <w:t xml:space="preserve">trunk </w:t>
      </w:r>
      <w:r w:rsidRPr="00650894">
        <w:rPr>
          <w:sz w:val="26"/>
          <w:szCs w:val="26"/>
        </w:rPr>
        <w:t xml:space="preserve">port rate and </w:t>
      </w:r>
      <w:r w:rsidR="00E321BC" w:rsidRPr="00650894">
        <w:rPr>
          <w:sz w:val="26"/>
          <w:szCs w:val="26"/>
        </w:rPr>
        <w:t xml:space="preserve">with her finding </w:t>
      </w:r>
      <w:r w:rsidRPr="00650894">
        <w:rPr>
          <w:sz w:val="26"/>
          <w:szCs w:val="26"/>
        </w:rPr>
        <w:t xml:space="preserve">that </w:t>
      </w:r>
      <w:r w:rsidR="00DF17D9" w:rsidRPr="00650894">
        <w:rPr>
          <w:sz w:val="26"/>
          <w:szCs w:val="26"/>
        </w:rPr>
        <w:t xml:space="preserve">under equivalent circumstances, </w:t>
      </w:r>
      <w:r w:rsidR="00BD329E" w:rsidRPr="00650894">
        <w:rPr>
          <w:sz w:val="26"/>
          <w:szCs w:val="26"/>
        </w:rPr>
        <w:t>Verizon PA</w:t>
      </w:r>
      <w:r w:rsidRPr="00650894">
        <w:rPr>
          <w:sz w:val="26"/>
          <w:szCs w:val="26"/>
        </w:rPr>
        <w:t xml:space="preserve">’s rate for trunk ports is zero.  Core restates its position, </w:t>
      </w:r>
      <w:r w:rsidRPr="00650894">
        <w:rPr>
          <w:i/>
          <w:sz w:val="26"/>
          <w:szCs w:val="26"/>
        </w:rPr>
        <w:t>supra</w:t>
      </w:r>
      <w:r w:rsidRPr="00650894">
        <w:rPr>
          <w:sz w:val="26"/>
          <w:szCs w:val="26"/>
        </w:rPr>
        <w:t>, that</w:t>
      </w:r>
      <w:r w:rsidR="007D0BB7" w:rsidRPr="00650894">
        <w:rPr>
          <w:sz w:val="26"/>
          <w:szCs w:val="26"/>
        </w:rPr>
        <w:t xml:space="preserve"> </w:t>
      </w:r>
      <w:r w:rsidRPr="00650894">
        <w:rPr>
          <w:sz w:val="26"/>
          <w:szCs w:val="26"/>
        </w:rPr>
        <w:t xml:space="preserve">the ICA was never amended to incorporate the rates established in the </w:t>
      </w:r>
      <w:r w:rsidRPr="00650894">
        <w:rPr>
          <w:i/>
          <w:sz w:val="26"/>
          <w:szCs w:val="26"/>
        </w:rPr>
        <w:t xml:space="preserve">2004 Verizon </w:t>
      </w:r>
      <w:r w:rsidR="00177311" w:rsidRPr="00650894">
        <w:rPr>
          <w:i/>
          <w:sz w:val="26"/>
          <w:szCs w:val="26"/>
        </w:rPr>
        <w:t xml:space="preserve">PA </w:t>
      </w:r>
      <w:r w:rsidRPr="00650894">
        <w:rPr>
          <w:i/>
          <w:sz w:val="26"/>
          <w:szCs w:val="26"/>
        </w:rPr>
        <w:t>TELRIC Proceeding</w:t>
      </w:r>
      <w:r w:rsidR="007D0BB7" w:rsidRPr="00650894">
        <w:rPr>
          <w:sz w:val="26"/>
          <w:szCs w:val="26"/>
        </w:rPr>
        <w:t xml:space="preserve">.  Therefore, Core submits that the Tandem Switching rate of $0.000795 per MOU and the Trunk Ports-Tandem rate of $214.57 per month, each of which </w:t>
      </w:r>
      <w:r w:rsidR="007F7EEC" w:rsidRPr="00650894">
        <w:rPr>
          <w:sz w:val="26"/>
          <w:szCs w:val="26"/>
        </w:rPr>
        <w:t>are</w:t>
      </w:r>
      <w:r w:rsidR="007D0BB7" w:rsidRPr="00650894">
        <w:rPr>
          <w:sz w:val="26"/>
          <w:szCs w:val="26"/>
        </w:rPr>
        <w:t xml:space="preserve"> listed in the ICA’s Pricing Appendix, are the rates that still apply</w:t>
      </w:r>
      <w:r w:rsidRPr="00650894">
        <w:rPr>
          <w:i/>
          <w:sz w:val="26"/>
          <w:szCs w:val="26"/>
        </w:rPr>
        <w:t>.</w:t>
      </w:r>
      <w:r w:rsidRPr="00650894">
        <w:rPr>
          <w:sz w:val="26"/>
          <w:szCs w:val="26"/>
        </w:rPr>
        <w:t xml:space="preserve">  </w:t>
      </w:r>
      <w:r w:rsidR="00E95B63" w:rsidRPr="00650894">
        <w:rPr>
          <w:sz w:val="26"/>
          <w:szCs w:val="26"/>
        </w:rPr>
        <w:t>Core Exc. at 13.</w:t>
      </w:r>
      <w:r w:rsidR="00194050" w:rsidRPr="00650894">
        <w:rPr>
          <w:sz w:val="26"/>
          <w:szCs w:val="26"/>
        </w:rPr>
        <w:t xml:space="preserve">  </w:t>
      </w:r>
      <w:r w:rsidR="007D0BB7" w:rsidRPr="00650894">
        <w:rPr>
          <w:sz w:val="26"/>
          <w:szCs w:val="26"/>
        </w:rPr>
        <w:t xml:space="preserve">Further, Core </w:t>
      </w:r>
      <w:r w:rsidR="00D93942" w:rsidRPr="00650894">
        <w:rPr>
          <w:sz w:val="26"/>
          <w:szCs w:val="26"/>
        </w:rPr>
        <w:t>asserts</w:t>
      </w:r>
      <w:r w:rsidR="007D0BB7" w:rsidRPr="00650894">
        <w:rPr>
          <w:sz w:val="26"/>
          <w:szCs w:val="26"/>
        </w:rPr>
        <w:t xml:space="preserve"> that </w:t>
      </w:r>
      <w:r w:rsidR="00E95B63" w:rsidRPr="00650894">
        <w:rPr>
          <w:sz w:val="26"/>
          <w:szCs w:val="26"/>
        </w:rPr>
        <w:t>although Verizon PA claims that its own trunk port charges are embedded in its reciprocal compensation rates and that it does not bill tandem port charges on reciprocal compensation, t</w:t>
      </w:r>
      <w:r w:rsidR="00E321BC" w:rsidRPr="00650894">
        <w:rPr>
          <w:sz w:val="26"/>
          <w:szCs w:val="26"/>
        </w:rPr>
        <w:t>his contradicts</w:t>
      </w:r>
      <w:r w:rsidR="00E95B63" w:rsidRPr="00650894">
        <w:rPr>
          <w:sz w:val="26"/>
          <w:szCs w:val="26"/>
        </w:rPr>
        <w:t xml:space="preserve"> record</w:t>
      </w:r>
      <w:r w:rsidR="00E321BC" w:rsidRPr="00650894">
        <w:rPr>
          <w:sz w:val="26"/>
          <w:szCs w:val="26"/>
        </w:rPr>
        <w:t xml:space="preserve"> evidence indicating</w:t>
      </w:r>
      <w:r w:rsidR="00E95B63" w:rsidRPr="00650894">
        <w:rPr>
          <w:sz w:val="26"/>
          <w:szCs w:val="26"/>
        </w:rPr>
        <w:t xml:space="preserve"> that Verizon </w:t>
      </w:r>
      <w:r w:rsidR="00E321BC" w:rsidRPr="00650894">
        <w:rPr>
          <w:sz w:val="26"/>
          <w:szCs w:val="26"/>
        </w:rPr>
        <w:t xml:space="preserve">PA </w:t>
      </w:r>
      <w:r w:rsidR="00E95B63" w:rsidRPr="00650894">
        <w:rPr>
          <w:sz w:val="26"/>
          <w:szCs w:val="26"/>
        </w:rPr>
        <w:t xml:space="preserve">does bill Core for dedicated trunk ports when Core orders trunks to deliver its traffic to </w:t>
      </w:r>
      <w:r w:rsidR="00194050" w:rsidRPr="00650894">
        <w:rPr>
          <w:sz w:val="26"/>
          <w:szCs w:val="26"/>
        </w:rPr>
        <w:t>Verizon PA</w:t>
      </w:r>
      <w:r w:rsidR="00E321BC" w:rsidRPr="00650894">
        <w:rPr>
          <w:sz w:val="26"/>
          <w:szCs w:val="26"/>
        </w:rPr>
        <w:t xml:space="preserve">.  </w:t>
      </w:r>
      <w:bookmarkStart w:id="24" w:name="_Hlk517697543"/>
      <w:r w:rsidR="00E321BC" w:rsidRPr="00650894">
        <w:rPr>
          <w:sz w:val="26"/>
          <w:szCs w:val="26"/>
        </w:rPr>
        <w:t>Thus, Core asserts that pursuant to Section B.V. of the ICA’s Pricing Appendix, Core may bill Verizon PA for trunk ports under “equivalent circumstances.”</w:t>
      </w:r>
      <w:bookmarkEnd w:id="24"/>
      <w:r w:rsidR="00E321BC" w:rsidRPr="00650894">
        <w:rPr>
          <w:sz w:val="26"/>
          <w:szCs w:val="26"/>
        </w:rPr>
        <w:t xml:space="preserve">  </w:t>
      </w:r>
      <w:r w:rsidR="00E321BC" w:rsidRPr="00650894">
        <w:rPr>
          <w:i/>
          <w:sz w:val="26"/>
          <w:szCs w:val="26"/>
        </w:rPr>
        <w:t>Id.</w:t>
      </w:r>
      <w:r w:rsidR="00E321BC" w:rsidRPr="00650894">
        <w:rPr>
          <w:sz w:val="26"/>
          <w:szCs w:val="26"/>
        </w:rPr>
        <w:t xml:space="preserve"> at 14 (citing Core R.B. at 7).</w:t>
      </w:r>
    </w:p>
    <w:p w:rsidR="006F7220" w:rsidRPr="00650894" w:rsidRDefault="006F7220" w:rsidP="00650894">
      <w:pPr>
        <w:spacing w:line="360" w:lineRule="auto"/>
        <w:ind w:firstLine="1440"/>
        <w:contextualSpacing/>
        <w:rPr>
          <w:sz w:val="26"/>
          <w:szCs w:val="26"/>
        </w:rPr>
      </w:pPr>
    </w:p>
    <w:p w:rsidR="00E04731" w:rsidRPr="00650894" w:rsidRDefault="00446473" w:rsidP="0051749C">
      <w:pPr>
        <w:keepNext/>
        <w:keepLines/>
        <w:spacing w:line="360" w:lineRule="auto"/>
        <w:ind w:left="1440"/>
        <w:contextualSpacing/>
        <w:rPr>
          <w:b/>
          <w:sz w:val="26"/>
          <w:szCs w:val="26"/>
        </w:rPr>
      </w:pPr>
      <w:r w:rsidRPr="00650894">
        <w:rPr>
          <w:b/>
          <w:sz w:val="26"/>
          <w:szCs w:val="26"/>
        </w:rPr>
        <w:t>d</w:t>
      </w:r>
      <w:r w:rsidR="00E04731" w:rsidRPr="00650894">
        <w:rPr>
          <w:b/>
          <w:sz w:val="26"/>
          <w:szCs w:val="26"/>
        </w:rPr>
        <w:t>.</w:t>
      </w:r>
      <w:r w:rsidR="00E04731" w:rsidRPr="00650894">
        <w:rPr>
          <w:b/>
          <w:sz w:val="26"/>
          <w:szCs w:val="26"/>
        </w:rPr>
        <w:tab/>
        <w:t>Verizon PA’s Reply Exceptions</w:t>
      </w:r>
    </w:p>
    <w:p w:rsidR="00E04731" w:rsidRPr="00650894" w:rsidRDefault="00E04731" w:rsidP="00650894">
      <w:pPr>
        <w:keepNext/>
        <w:keepLines/>
        <w:spacing w:line="360" w:lineRule="auto"/>
        <w:ind w:firstLine="1440"/>
        <w:contextualSpacing/>
        <w:rPr>
          <w:sz w:val="26"/>
          <w:szCs w:val="26"/>
        </w:rPr>
      </w:pPr>
    </w:p>
    <w:p w:rsidR="00E04731" w:rsidRPr="00650894" w:rsidRDefault="00895408" w:rsidP="00650894">
      <w:pPr>
        <w:spacing w:line="360" w:lineRule="auto"/>
        <w:ind w:firstLine="1440"/>
        <w:contextualSpacing/>
        <w:rPr>
          <w:sz w:val="26"/>
          <w:szCs w:val="26"/>
        </w:rPr>
      </w:pPr>
      <w:bookmarkStart w:id="25" w:name="_Hlk517697556"/>
      <w:r w:rsidRPr="00650894">
        <w:rPr>
          <w:sz w:val="26"/>
          <w:szCs w:val="26"/>
        </w:rPr>
        <w:t xml:space="preserve">Verizon PA argues that the ALJ appropriately rejected Core’s attempt to bill Verizon PA for tandem </w:t>
      </w:r>
      <w:r w:rsidR="00B65F8A">
        <w:rPr>
          <w:sz w:val="26"/>
          <w:szCs w:val="26"/>
        </w:rPr>
        <w:t xml:space="preserve">trunk </w:t>
      </w:r>
      <w:r w:rsidRPr="00650894">
        <w:rPr>
          <w:sz w:val="26"/>
          <w:szCs w:val="26"/>
        </w:rPr>
        <w:t>port charges in addition to the reciprocal compensation charges that already include the usage of Core’s tandem</w:t>
      </w:r>
      <w:r w:rsidR="00D730D9">
        <w:rPr>
          <w:sz w:val="26"/>
          <w:szCs w:val="26"/>
        </w:rPr>
        <w:t xml:space="preserve"> trunk</w:t>
      </w:r>
      <w:r w:rsidRPr="00650894">
        <w:rPr>
          <w:sz w:val="26"/>
          <w:szCs w:val="26"/>
        </w:rPr>
        <w:t xml:space="preserve"> ports</w:t>
      </w:r>
      <w:bookmarkEnd w:id="25"/>
      <w:r w:rsidRPr="00650894">
        <w:rPr>
          <w:sz w:val="26"/>
          <w:szCs w:val="26"/>
        </w:rPr>
        <w:t xml:space="preserve">.  </w:t>
      </w:r>
      <w:r w:rsidR="006D20E4" w:rsidRPr="00650894">
        <w:rPr>
          <w:sz w:val="26"/>
          <w:szCs w:val="26"/>
        </w:rPr>
        <w:t xml:space="preserve">Verizon PA </w:t>
      </w:r>
      <w:r w:rsidR="000844D8" w:rsidRPr="00650894">
        <w:rPr>
          <w:sz w:val="26"/>
          <w:szCs w:val="26"/>
        </w:rPr>
        <w:t>emphasizes its position</w:t>
      </w:r>
      <w:r w:rsidR="006D20E4" w:rsidRPr="00650894">
        <w:rPr>
          <w:sz w:val="26"/>
          <w:szCs w:val="26"/>
        </w:rPr>
        <w:t xml:space="preserve"> that </w:t>
      </w:r>
      <w:r w:rsidR="00D0117B" w:rsidRPr="00650894">
        <w:rPr>
          <w:sz w:val="26"/>
          <w:szCs w:val="26"/>
        </w:rPr>
        <w:t>although</w:t>
      </w:r>
      <w:r w:rsidR="006D20E4" w:rsidRPr="00650894">
        <w:rPr>
          <w:sz w:val="26"/>
          <w:szCs w:val="26"/>
        </w:rPr>
        <w:t xml:space="preserve"> Core’s </w:t>
      </w:r>
      <w:r w:rsidR="00D730D9" w:rsidRPr="00650894">
        <w:rPr>
          <w:sz w:val="26"/>
          <w:szCs w:val="26"/>
        </w:rPr>
        <w:t xml:space="preserve">tandem </w:t>
      </w:r>
      <w:r w:rsidR="00D730D9">
        <w:rPr>
          <w:sz w:val="26"/>
          <w:szCs w:val="26"/>
        </w:rPr>
        <w:t xml:space="preserve">trunk </w:t>
      </w:r>
      <w:r w:rsidR="006D20E4" w:rsidRPr="00650894">
        <w:rPr>
          <w:sz w:val="26"/>
          <w:szCs w:val="26"/>
        </w:rPr>
        <w:t>port charges account for ninety-three percent of the amount in dispute as of the filing of the Complaint</w:t>
      </w:r>
      <w:r w:rsidR="00EF661F" w:rsidRPr="00650894">
        <w:rPr>
          <w:sz w:val="26"/>
          <w:szCs w:val="26"/>
        </w:rPr>
        <w:t xml:space="preserve"> (</w:t>
      </w:r>
      <w:r w:rsidR="00EF661F" w:rsidRPr="00650894">
        <w:rPr>
          <w:i/>
          <w:sz w:val="26"/>
          <w:szCs w:val="26"/>
        </w:rPr>
        <w:t>i.e.</w:t>
      </w:r>
      <w:r w:rsidR="00EF661F" w:rsidRPr="00650894">
        <w:rPr>
          <w:sz w:val="26"/>
          <w:szCs w:val="26"/>
        </w:rPr>
        <w:t xml:space="preserve"> $3,673,05</w:t>
      </w:r>
      <w:r w:rsidR="00FB62C3" w:rsidRPr="00650894">
        <w:rPr>
          <w:sz w:val="26"/>
          <w:szCs w:val="26"/>
        </w:rPr>
        <w:t>7</w:t>
      </w:r>
      <w:r w:rsidR="00EF661F" w:rsidRPr="00650894">
        <w:rPr>
          <w:sz w:val="26"/>
          <w:szCs w:val="26"/>
        </w:rPr>
        <w:t>.61 of the $3,955,679.11 in dispute)</w:t>
      </w:r>
      <w:r w:rsidR="006D20E4" w:rsidRPr="00650894">
        <w:rPr>
          <w:sz w:val="26"/>
          <w:szCs w:val="26"/>
        </w:rPr>
        <w:t xml:space="preserve">, nothing in the ICA allows Core to bill Verizon PA for tandem </w:t>
      </w:r>
      <w:r w:rsidR="00D730D9">
        <w:rPr>
          <w:sz w:val="26"/>
          <w:szCs w:val="26"/>
        </w:rPr>
        <w:t xml:space="preserve">trunk </w:t>
      </w:r>
      <w:r w:rsidR="006D20E4" w:rsidRPr="00650894">
        <w:rPr>
          <w:sz w:val="26"/>
          <w:szCs w:val="26"/>
        </w:rPr>
        <w:t>port charges.  Further, Verizon PA reemphasizes</w:t>
      </w:r>
      <w:r w:rsidR="006A2C9D" w:rsidRPr="00650894">
        <w:rPr>
          <w:sz w:val="26"/>
          <w:szCs w:val="26"/>
        </w:rPr>
        <w:t xml:space="preserve"> its assertion</w:t>
      </w:r>
      <w:r w:rsidR="006D20E4" w:rsidRPr="00650894">
        <w:rPr>
          <w:sz w:val="26"/>
          <w:szCs w:val="26"/>
        </w:rPr>
        <w:t xml:space="preserve"> that because Core has billed it at a monthly rate of $214.57 per port, the ALJ correctly found that Core has billed at triple the current Verizon PA UNE rate </w:t>
      </w:r>
      <w:r w:rsidR="00BE7342" w:rsidRPr="00650894">
        <w:rPr>
          <w:sz w:val="26"/>
          <w:szCs w:val="26"/>
        </w:rPr>
        <w:t xml:space="preserve">of $71.48 per month per port </w:t>
      </w:r>
      <w:r w:rsidR="006D20E4" w:rsidRPr="00650894">
        <w:rPr>
          <w:sz w:val="26"/>
          <w:szCs w:val="26"/>
        </w:rPr>
        <w:t>for unbundled tandem trunk ports</w:t>
      </w:r>
      <w:r w:rsidR="00BE7342" w:rsidRPr="00650894">
        <w:rPr>
          <w:sz w:val="26"/>
          <w:szCs w:val="26"/>
        </w:rPr>
        <w:t xml:space="preserve">, which was established under the </w:t>
      </w:r>
      <w:r w:rsidR="00BE7342" w:rsidRPr="00650894">
        <w:rPr>
          <w:i/>
          <w:sz w:val="26"/>
          <w:szCs w:val="26"/>
        </w:rPr>
        <w:t xml:space="preserve">2004 </w:t>
      </w:r>
      <w:r w:rsidR="00177311" w:rsidRPr="00650894">
        <w:rPr>
          <w:i/>
          <w:sz w:val="26"/>
          <w:szCs w:val="26"/>
        </w:rPr>
        <w:t>Verizon PA</w:t>
      </w:r>
      <w:r w:rsidR="00BE7342" w:rsidRPr="00650894">
        <w:rPr>
          <w:i/>
          <w:sz w:val="26"/>
          <w:szCs w:val="26"/>
        </w:rPr>
        <w:t xml:space="preserve"> TELRIC Proceeding</w:t>
      </w:r>
      <w:r w:rsidR="006D20E4" w:rsidRPr="00650894">
        <w:rPr>
          <w:sz w:val="26"/>
          <w:szCs w:val="26"/>
        </w:rPr>
        <w:t xml:space="preserve">.  </w:t>
      </w:r>
      <w:r w:rsidR="00D24299" w:rsidRPr="00650894">
        <w:rPr>
          <w:sz w:val="26"/>
          <w:szCs w:val="26"/>
        </w:rPr>
        <w:t xml:space="preserve">Verizon </w:t>
      </w:r>
      <w:r w:rsidR="00B65F8A">
        <w:rPr>
          <w:sz w:val="26"/>
          <w:szCs w:val="26"/>
        </w:rPr>
        <w:t xml:space="preserve">PA </w:t>
      </w:r>
      <w:r w:rsidR="00D24299" w:rsidRPr="00650894">
        <w:rPr>
          <w:sz w:val="26"/>
          <w:szCs w:val="26"/>
        </w:rPr>
        <w:t>R. Exc</w:t>
      </w:r>
      <w:r w:rsidR="003A214C">
        <w:rPr>
          <w:sz w:val="26"/>
          <w:szCs w:val="26"/>
        </w:rPr>
        <w:t>.</w:t>
      </w:r>
      <w:r w:rsidR="00D24299" w:rsidRPr="00650894">
        <w:rPr>
          <w:sz w:val="26"/>
          <w:szCs w:val="26"/>
        </w:rPr>
        <w:t xml:space="preserve"> at 12-13.</w:t>
      </w:r>
    </w:p>
    <w:p w:rsidR="00D24299" w:rsidRPr="00650894" w:rsidRDefault="00D24299" w:rsidP="00650894">
      <w:pPr>
        <w:spacing w:line="360" w:lineRule="auto"/>
        <w:ind w:firstLine="1440"/>
        <w:contextualSpacing/>
        <w:rPr>
          <w:sz w:val="26"/>
          <w:szCs w:val="26"/>
        </w:rPr>
      </w:pPr>
    </w:p>
    <w:p w:rsidR="00D24299" w:rsidRPr="00650894" w:rsidRDefault="00DF5D1B" w:rsidP="00650894">
      <w:pPr>
        <w:spacing w:line="360" w:lineRule="auto"/>
        <w:ind w:firstLine="1440"/>
        <w:contextualSpacing/>
        <w:rPr>
          <w:sz w:val="26"/>
          <w:szCs w:val="26"/>
        </w:rPr>
      </w:pPr>
      <w:bookmarkStart w:id="26" w:name="_Hlk517697579"/>
      <w:bookmarkStart w:id="27" w:name="_Hlk520291898"/>
      <w:r w:rsidRPr="00650894">
        <w:rPr>
          <w:sz w:val="26"/>
          <w:szCs w:val="26"/>
        </w:rPr>
        <w:t xml:space="preserve">Verizon PA contends that although Attachment IV, Section 2.1.1 of the ICA states that </w:t>
      </w:r>
      <w:r w:rsidR="00D24299" w:rsidRPr="00650894">
        <w:rPr>
          <w:sz w:val="26"/>
          <w:szCs w:val="26"/>
        </w:rPr>
        <w:t>e</w:t>
      </w:r>
      <w:r w:rsidR="001677C7" w:rsidRPr="00650894">
        <w:rPr>
          <w:sz w:val="26"/>
          <w:szCs w:val="26"/>
        </w:rPr>
        <w:t xml:space="preserve">ach originating </w:t>
      </w:r>
      <w:r w:rsidR="00D24299" w:rsidRPr="00650894">
        <w:rPr>
          <w:sz w:val="26"/>
          <w:szCs w:val="26"/>
        </w:rPr>
        <w:t>Par</w:t>
      </w:r>
      <w:r w:rsidRPr="00650894">
        <w:rPr>
          <w:sz w:val="26"/>
          <w:szCs w:val="26"/>
        </w:rPr>
        <w:t>ty is responsible for bringing its</w:t>
      </w:r>
      <w:r w:rsidR="00D24299" w:rsidRPr="00650894">
        <w:rPr>
          <w:sz w:val="26"/>
          <w:szCs w:val="26"/>
        </w:rPr>
        <w:t xml:space="preserve"> traffic to a POI</w:t>
      </w:r>
      <w:r w:rsidRPr="00650894">
        <w:rPr>
          <w:sz w:val="26"/>
          <w:szCs w:val="26"/>
        </w:rPr>
        <w:t>,</w:t>
      </w:r>
      <w:r w:rsidR="00D24299" w:rsidRPr="00650894">
        <w:rPr>
          <w:sz w:val="26"/>
          <w:szCs w:val="26"/>
        </w:rPr>
        <w:t xml:space="preserve"> </w:t>
      </w:r>
      <w:r w:rsidR="001677C7" w:rsidRPr="00650894">
        <w:rPr>
          <w:sz w:val="26"/>
          <w:szCs w:val="26"/>
        </w:rPr>
        <w:t>Attachment IV, Sections 2.2.1, 2.2.</w:t>
      </w:r>
      <w:r w:rsidR="00B22E2F" w:rsidRPr="00650894">
        <w:rPr>
          <w:sz w:val="26"/>
          <w:szCs w:val="26"/>
        </w:rPr>
        <w:t>1.1 and 2.2.1.2 of the ICA make</w:t>
      </w:r>
      <w:r w:rsidR="001677C7" w:rsidRPr="00650894">
        <w:rPr>
          <w:sz w:val="26"/>
          <w:szCs w:val="26"/>
        </w:rPr>
        <w:t xml:space="preserve"> it clear that </w:t>
      </w:r>
      <w:r w:rsidR="00D24299" w:rsidRPr="00650894">
        <w:rPr>
          <w:sz w:val="26"/>
          <w:szCs w:val="26"/>
        </w:rPr>
        <w:t xml:space="preserve">the only charges Core may impose for carrying </w:t>
      </w:r>
      <w:r w:rsidR="001677C7" w:rsidRPr="00650894">
        <w:rPr>
          <w:sz w:val="26"/>
          <w:szCs w:val="26"/>
        </w:rPr>
        <w:t>Verizon PA</w:t>
      </w:r>
      <w:r w:rsidR="00D24299" w:rsidRPr="00650894">
        <w:rPr>
          <w:sz w:val="26"/>
          <w:szCs w:val="26"/>
        </w:rPr>
        <w:t>’s traffic past the POI are those for “Transport” and</w:t>
      </w:r>
      <w:r w:rsidR="001677C7" w:rsidRPr="00650894">
        <w:rPr>
          <w:sz w:val="26"/>
          <w:szCs w:val="26"/>
        </w:rPr>
        <w:t xml:space="preserve"> “Termination” of local traffic, </w:t>
      </w:r>
      <w:r w:rsidR="001677C7" w:rsidRPr="00650894">
        <w:rPr>
          <w:i/>
          <w:sz w:val="26"/>
          <w:szCs w:val="26"/>
        </w:rPr>
        <w:t xml:space="preserve">i.e. </w:t>
      </w:r>
      <w:r w:rsidR="00D24299" w:rsidRPr="00650894">
        <w:rPr>
          <w:sz w:val="26"/>
          <w:szCs w:val="26"/>
        </w:rPr>
        <w:t xml:space="preserve">“Reciprocal Compensation” as defined in Part B (Definitions) of the </w:t>
      </w:r>
      <w:r w:rsidR="001677C7" w:rsidRPr="00650894">
        <w:rPr>
          <w:sz w:val="26"/>
          <w:szCs w:val="26"/>
        </w:rPr>
        <w:t>ICA</w:t>
      </w:r>
      <w:bookmarkEnd w:id="26"/>
      <w:r w:rsidR="000C3E76" w:rsidRPr="00650894">
        <w:rPr>
          <w:sz w:val="26"/>
          <w:szCs w:val="26"/>
        </w:rPr>
        <w:t>.</w:t>
      </w:r>
      <w:r w:rsidR="00D24299" w:rsidRPr="00650894">
        <w:rPr>
          <w:sz w:val="26"/>
          <w:szCs w:val="26"/>
        </w:rPr>
        <w:t xml:space="preserve">  </w:t>
      </w:r>
      <w:r w:rsidR="001677C7" w:rsidRPr="00650894">
        <w:rPr>
          <w:sz w:val="26"/>
          <w:szCs w:val="26"/>
        </w:rPr>
        <w:t>In Verizon PA’s view, these ICA provisions do not permit</w:t>
      </w:r>
      <w:r w:rsidR="00D24299" w:rsidRPr="00650894">
        <w:rPr>
          <w:sz w:val="26"/>
          <w:szCs w:val="26"/>
        </w:rPr>
        <w:t xml:space="preserve"> Core to charge </w:t>
      </w:r>
      <w:r w:rsidR="001677C7" w:rsidRPr="00650894">
        <w:rPr>
          <w:sz w:val="26"/>
          <w:szCs w:val="26"/>
        </w:rPr>
        <w:t>Verizon PA</w:t>
      </w:r>
      <w:r w:rsidR="00D24299" w:rsidRPr="00650894">
        <w:rPr>
          <w:sz w:val="26"/>
          <w:szCs w:val="26"/>
        </w:rPr>
        <w:t xml:space="preserve"> for tandem</w:t>
      </w:r>
      <w:r w:rsidR="00B65F8A">
        <w:rPr>
          <w:sz w:val="26"/>
          <w:szCs w:val="26"/>
        </w:rPr>
        <w:t xml:space="preserve"> trunk</w:t>
      </w:r>
      <w:r w:rsidR="00D24299" w:rsidRPr="00650894">
        <w:rPr>
          <w:sz w:val="26"/>
          <w:szCs w:val="26"/>
        </w:rPr>
        <w:t xml:space="preserve"> ports</w:t>
      </w:r>
      <w:r w:rsidR="001677C7" w:rsidRPr="00650894">
        <w:rPr>
          <w:sz w:val="26"/>
          <w:szCs w:val="26"/>
        </w:rPr>
        <w:t xml:space="preserve">, or </w:t>
      </w:r>
      <w:r w:rsidR="006A2C9D" w:rsidRPr="00650894">
        <w:rPr>
          <w:sz w:val="26"/>
          <w:szCs w:val="26"/>
        </w:rPr>
        <w:t>for</w:t>
      </w:r>
      <w:r w:rsidR="00D730D9">
        <w:rPr>
          <w:sz w:val="26"/>
          <w:szCs w:val="26"/>
        </w:rPr>
        <w:t xml:space="preserve"> </w:t>
      </w:r>
      <w:r w:rsidR="001677C7" w:rsidRPr="00650894">
        <w:rPr>
          <w:sz w:val="26"/>
          <w:szCs w:val="26"/>
        </w:rPr>
        <w:t>any trunk ports.</w:t>
      </w:r>
      <w:r w:rsidR="00D24299" w:rsidRPr="00650894">
        <w:rPr>
          <w:sz w:val="26"/>
          <w:szCs w:val="26"/>
        </w:rPr>
        <w:t xml:space="preserve">  </w:t>
      </w:r>
      <w:r w:rsidR="009B2087" w:rsidRPr="00650894">
        <w:rPr>
          <w:sz w:val="26"/>
          <w:szCs w:val="26"/>
        </w:rPr>
        <w:t>Verizon PA opine</w:t>
      </w:r>
      <w:r w:rsidR="001677C7" w:rsidRPr="00650894">
        <w:rPr>
          <w:sz w:val="26"/>
          <w:szCs w:val="26"/>
        </w:rPr>
        <w:t xml:space="preserve">s that </w:t>
      </w:r>
      <w:r w:rsidR="00362D57" w:rsidRPr="00650894">
        <w:rPr>
          <w:sz w:val="26"/>
          <w:szCs w:val="26"/>
        </w:rPr>
        <w:t xml:space="preserve">this is analogous to the proceeding between the Parties’ affiliates in Virginia.  Specifically, Verizon PA highlights that in the </w:t>
      </w:r>
      <w:r w:rsidR="00362D57" w:rsidRPr="00650894">
        <w:rPr>
          <w:i/>
          <w:sz w:val="26"/>
          <w:szCs w:val="26"/>
        </w:rPr>
        <w:t>Core</w:t>
      </w:r>
      <w:r w:rsidR="00B65F8A">
        <w:rPr>
          <w:i/>
          <w:sz w:val="26"/>
          <w:szCs w:val="26"/>
        </w:rPr>
        <w:t>T</w:t>
      </w:r>
      <w:r w:rsidR="00362D57" w:rsidRPr="00650894">
        <w:rPr>
          <w:i/>
          <w:sz w:val="26"/>
          <w:szCs w:val="26"/>
        </w:rPr>
        <w:t xml:space="preserve">el v Verizon VA Order, </w:t>
      </w:r>
      <w:r w:rsidR="00362D57" w:rsidRPr="00650894">
        <w:rPr>
          <w:sz w:val="26"/>
          <w:szCs w:val="26"/>
        </w:rPr>
        <w:t xml:space="preserve">the Fourth Circuit upheld the finding of the U.S. District Court for the Eastern District of Virginia that the ICA at issue in that proceeding provided that CoreTel Virginia </w:t>
      </w:r>
      <w:r w:rsidR="009B2087" w:rsidRPr="00650894">
        <w:rPr>
          <w:sz w:val="26"/>
          <w:szCs w:val="26"/>
        </w:rPr>
        <w:t xml:space="preserve">was to be compensated for the use of its facilities on its side of the IP exclusively under the rubric of reciprocal compensation.  Verizon PA submits that the Parties’ ICA in the matter before us, likewise, </w:t>
      </w:r>
      <w:r w:rsidR="00D24299" w:rsidRPr="00650894">
        <w:rPr>
          <w:sz w:val="26"/>
          <w:szCs w:val="26"/>
        </w:rPr>
        <w:t>provides that Core’s exclusive compensation for tandem</w:t>
      </w:r>
      <w:r w:rsidR="00B65F8A">
        <w:rPr>
          <w:sz w:val="26"/>
          <w:szCs w:val="26"/>
        </w:rPr>
        <w:t xml:space="preserve"> trunk</w:t>
      </w:r>
      <w:r w:rsidR="00D24299" w:rsidRPr="00650894">
        <w:rPr>
          <w:sz w:val="26"/>
          <w:szCs w:val="26"/>
        </w:rPr>
        <w:t xml:space="preserve"> ports on its side of the IP is reciprocal compensation.  </w:t>
      </w:r>
      <w:r w:rsidR="008C1EDF" w:rsidRPr="00650894">
        <w:rPr>
          <w:sz w:val="26"/>
          <w:szCs w:val="26"/>
        </w:rPr>
        <w:t xml:space="preserve">Verizon PA R. Exc. at </w:t>
      </w:r>
      <w:r w:rsidR="000B158F" w:rsidRPr="00650894">
        <w:rPr>
          <w:sz w:val="26"/>
          <w:szCs w:val="26"/>
        </w:rPr>
        <w:t>13-14</w:t>
      </w:r>
      <w:r w:rsidR="008C1EDF" w:rsidRPr="00650894">
        <w:rPr>
          <w:sz w:val="26"/>
          <w:szCs w:val="26"/>
        </w:rPr>
        <w:t>.</w:t>
      </w:r>
    </w:p>
    <w:bookmarkEnd w:id="27"/>
    <w:p w:rsidR="008C1EDF" w:rsidRPr="00650894" w:rsidRDefault="008C1EDF" w:rsidP="00650894">
      <w:pPr>
        <w:spacing w:line="360" w:lineRule="auto"/>
        <w:ind w:firstLine="1440"/>
        <w:contextualSpacing/>
        <w:rPr>
          <w:sz w:val="26"/>
          <w:szCs w:val="26"/>
        </w:rPr>
      </w:pPr>
    </w:p>
    <w:p w:rsidR="000B158F" w:rsidRPr="00650894" w:rsidRDefault="004D15A8" w:rsidP="00650894">
      <w:pPr>
        <w:spacing w:line="360" w:lineRule="auto"/>
        <w:ind w:firstLine="1440"/>
        <w:contextualSpacing/>
        <w:rPr>
          <w:sz w:val="26"/>
          <w:szCs w:val="26"/>
        </w:rPr>
      </w:pPr>
      <w:r w:rsidRPr="00650894">
        <w:rPr>
          <w:sz w:val="26"/>
          <w:szCs w:val="26"/>
        </w:rPr>
        <w:t xml:space="preserve">Verizon PA refutes Core’s position that </w:t>
      </w:r>
      <w:r w:rsidR="00B65F8A">
        <w:rPr>
          <w:sz w:val="26"/>
          <w:szCs w:val="26"/>
        </w:rPr>
        <w:t>the terms “Tandem Switching” and “trunk-connect facilities” in the ICA enable it to double-bill Verizon PA</w:t>
      </w:r>
      <w:r w:rsidRPr="00650894">
        <w:rPr>
          <w:sz w:val="26"/>
          <w:szCs w:val="26"/>
        </w:rPr>
        <w:t xml:space="preserve">.  In this regard, Verizon PA reasons that </w:t>
      </w:r>
      <w:r w:rsidR="000B158F" w:rsidRPr="00650894">
        <w:rPr>
          <w:sz w:val="26"/>
          <w:szCs w:val="26"/>
        </w:rPr>
        <w:t xml:space="preserve">while the </w:t>
      </w:r>
      <w:r w:rsidRPr="00650894">
        <w:rPr>
          <w:sz w:val="26"/>
          <w:szCs w:val="26"/>
        </w:rPr>
        <w:t xml:space="preserve">ICA’s </w:t>
      </w:r>
      <w:r w:rsidR="000B158F" w:rsidRPr="00650894">
        <w:rPr>
          <w:sz w:val="26"/>
          <w:szCs w:val="26"/>
        </w:rPr>
        <w:t>definition of “Tandem Switching” includes tandem</w:t>
      </w:r>
      <w:r w:rsidR="00B65F8A">
        <w:rPr>
          <w:sz w:val="26"/>
          <w:szCs w:val="26"/>
        </w:rPr>
        <w:t xml:space="preserve"> trunk</w:t>
      </w:r>
      <w:r w:rsidR="000B158F" w:rsidRPr="00650894">
        <w:rPr>
          <w:sz w:val="26"/>
          <w:szCs w:val="26"/>
        </w:rPr>
        <w:t xml:space="preserve"> ports by reference to “trunk connect facilities,” </w:t>
      </w:r>
      <w:r w:rsidR="005E6237" w:rsidRPr="00650894">
        <w:rPr>
          <w:sz w:val="26"/>
          <w:szCs w:val="26"/>
        </w:rPr>
        <w:t xml:space="preserve">the </w:t>
      </w:r>
      <w:r w:rsidRPr="00650894">
        <w:rPr>
          <w:sz w:val="26"/>
          <w:szCs w:val="26"/>
        </w:rPr>
        <w:t>ICA’s</w:t>
      </w:r>
      <w:r w:rsidR="000B158F" w:rsidRPr="00650894">
        <w:rPr>
          <w:sz w:val="26"/>
          <w:szCs w:val="26"/>
        </w:rPr>
        <w:t xml:space="preserve"> definition of “Reciprocal Compensation” already </w:t>
      </w:r>
      <w:r w:rsidRPr="00650894">
        <w:rPr>
          <w:sz w:val="26"/>
          <w:szCs w:val="26"/>
        </w:rPr>
        <w:t>incorporates</w:t>
      </w:r>
      <w:r w:rsidR="000B158F" w:rsidRPr="00650894">
        <w:rPr>
          <w:sz w:val="26"/>
          <w:szCs w:val="26"/>
        </w:rPr>
        <w:t xml:space="preserve"> compensation for “Tandem Switching,” because “Reciprocal Compensation” includes both </w:t>
      </w:r>
      <w:r w:rsidR="00B65F8A">
        <w:rPr>
          <w:sz w:val="26"/>
          <w:szCs w:val="26"/>
        </w:rPr>
        <w:t xml:space="preserve">the </w:t>
      </w:r>
      <w:r w:rsidR="000B158F" w:rsidRPr="00650894">
        <w:rPr>
          <w:sz w:val="26"/>
          <w:szCs w:val="26"/>
        </w:rPr>
        <w:t>“transport and termination of Local Traffic.”</w:t>
      </w:r>
      <w:r w:rsidRPr="00650894">
        <w:rPr>
          <w:sz w:val="26"/>
          <w:szCs w:val="26"/>
        </w:rPr>
        <w:t xml:space="preserve">  Verizon PA further argues that under Attachment IV, Section 2.2.1.1 of the ICA, </w:t>
      </w:r>
      <w:r w:rsidR="000B158F" w:rsidRPr="00650894">
        <w:rPr>
          <w:sz w:val="26"/>
          <w:szCs w:val="26"/>
        </w:rPr>
        <w:t xml:space="preserve">“Transport,” </w:t>
      </w:r>
      <w:r w:rsidRPr="00650894">
        <w:rPr>
          <w:sz w:val="26"/>
          <w:szCs w:val="26"/>
        </w:rPr>
        <w:t>includes</w:t>
      </w:r>
      <w:r w:rsidR="000B158F" w:rsidRPr="00650894">
        <w:rPr>
          <w:sz w:val="26"/>
          <w:szCs w:val="26"/>
        </w:rPr>
        <w:t xml:space="preserve"> “</w:t>
      </w:r>
      <w:r w:rsidRPr="00650894">
        <w:rPr>
          <w:sz w:val="26"/>
          <w:szCs w:val="26"/>
        </w:rPr>
        <w:t>any necessary Tandem Switchin</w:t>
      </w:r>
      <w:r w:rsidR="00DD7416" w:rsidRPr="00650894">
        <w:rPr>
          <w:sz w:val="26"/>
          <w:szCs w:val="26"/>
        </w:rPr>
        <w:t>g</w:t>
      </w:r>
      <w:r w:rsidRPr="00650894">
        <w:rPr>
          <w:sz w:val="26"/>
          <w:szCs w:val="26"/>
        </w:rPr>
        <w:t>.</w:t>
      </w:r>
      <w:r w:rsidR="000B158F" w:rsidRPr="00650894">
        <w:rPr>
          <w:sz w:val="26"/>
          <w:szCs w:val="26"/>
        </w:rPr>
        <w:t xml:space="preserve">”  </w:t>
      </w:r>
      <w:r w:rsidRPr="00650894">
        <w:rPr>
          <w:sz w:val="26"/>
          <w:szCs w:val="26"/>
        </w:rPr>
        <w:t xml:space="preserve">Thus, Verizon PA reemphasizes </w:t>
      </w:r>
      <w:r w:rsidR="00DD7416" w:rsidRPr="00650894">
        <w:rPr>
          <w:sz w:val="26"/>
          <w:szCs w:val="26"/>
        </w:rPr>
        <w:t xml:space="preserve">its view that </w:t>
      </w:r>
      <w:r w:rsidR="000B158F" w:rsidRPr="00650894">
        <w:rPr>
          <w:sz w:val="26"/>
          <w:szCs w:val="26"/>
        </w:rPr>
        <w:t xml:space="preserve">Core is already receiving compensation for the tandem </w:t>
      </w:r>
      <w:r w:rsidR="00B65F8A">
        <w:rPr>
          <w:sz w:val="26"/>
          <w:szCs w:val="26"/>
        </w:rPr>
        <w:t xml:space="preserve">trunk </w:t>
      </w:r>
      <w:r w:rsidR="000B158F" w:rsidRPr="00650894">
        <w:rPr>
          <w:sz w:val="26"/>
          <w:szCs w:val="26"/>
        </w:rPr>
        <w:t>port costs incurred in its provision of tandem switching, which is subsumed in the transport component of its reciprocal compensation charges.</w:t>
      </w:r>
      <w:r w:rsidR="00DD7416" w:rsidRPr="00650894">
        <w:rPr>
          <w:sz w:val="26"/>
          <w:szCs w:val="26"/>
        </w:rPr>
        <w:t xml:space="preserve">  Verizon PA R. Exc. at 14.</w:t>
      </w:r>
    </w:p>
    <w:p w:rsidR="000B158F" w:rsidRPr="00650894" w:rsidRDefault="000B158F" w:rsidP="00650894">
      <w:pPr>
        <w:spacing w:line="360" w:lineRule="auto"/>
        <w:ind w:firstLine="1440"/>
        <w:contextualSpacing/>
        <w:rPr>
          <w:sz w:val="26"/>
          <w:szCs w:val="26"/>
        </w:rPr>
      </w:pPr>
    </w:p>
    <w:p w:rsidR="000B158F" w:rsidRPr="00650894" w:rsidRDefault="00926B1A" w:rsidP="00650894">
      <w:pPr>
        <w:spacing w:line="360" w:lineRule="auto"/>
        <w:ind w:firstLine="1440"/>
        <w:contextualSpacing/>
        <w:rPr>
          <w:sz w:val="26"/>
          <w:szCs w:val="26"/>
        </w:rPr>
      </w:pPr>
      <w:bookmarkStart w:id="28" w:name="_Hlk517697601"/>
      <w:r w:rsidRPr="00650894">
        <w:rPr>
          <w:sz w:val="26"/>
          <w:szCs w:val="26"/>
        </w:rPr>
        <w:t xml:space="preserve">Verizon </w:t>
      </w:r>
      <w:r w:rsidR="000222DA" w:rsidRPr="00650894">
        <w:rPr>
          <w:sz w:val="26"/>
          <w:szCs w:val="26"/>
        </w:rPr>
        <w:t>PA</w:t>
      </w:r>
      <w:r w:rsidR="00206AF1" w:rsidRPr="00650894">
        <w:rPr>
          <w:sz w:val="26"/>
          <w:szCs w:val="26"/>
        </w:rPr>
        <w:t xml:space="preserve"> further</w:t>
      </w:r>
      <w:r w:rsidR="000222DA" w:rsidRPr="00650894">
        <w:rPr>
          <w:sz w:val="26"/>
          <w:szCs w:val="26"/>
        </w:rPr>
        <w:t xml:space="preserve"> submits</w:t>
      </w:r>
      <w:r w:rsidRPr="00650894">
        <w:rPr>
          <w:sz w:val="26"/>
          <w:szCs w:val="26"/>
        </w:rPr>
        <w:t xml:space="preserve"> that Core’s </w:t>
      </w:r>
      <w:r w:rsidR="000222DA" w:rsidRPr="00650894">
        <w:rPr>
          <w:sz w:val="26"/>
          <w:szCs w:val="26"/>
        </w:rPr>
        <w:t>citation</w:t>
      </w:r>
      <w:r w:rsidRPr="00650894">
        <w:rPr>
          <w:sz w:val="26"/>
          <w:szCs w:val="26"/>
        </w:rPr>
        <w:t xml:space="preserve"> to individual rates in the ICA’s Pricing Appendix as support for its bills to </w:t>
      </w:r>
      <w:r w:rsidR="000222DA" w:rsidRPr="00650894">
        <w:rPr>
          <w:sz w:val="26"/>
          <w:szCs w:val="26"/>
        </w:rPr>
        <w:t>Verizon</w:t>
      </w:r>
      <w:r w:rsidRPr="00650894">
        <w:rPr>
          <w:sz w:val="26"/>
          <w:szCs w:val="26"/>
        </w:rPr>
        <w:t xml:space="preserve"> PA is misleading because Core has cited to the Verizon PA rates outlined in Section A of the Pricing Appendix.  Further, Verizon PA contends that these rates pertain t</w:t>
      </w:r>
      <w:r w:rsidR="000B158F" w:rsidRPr="00650894">
        <w:rPr>
          <w:sz w:val="26"/>
          <w:szCs w:val="26"/>
        </w:rPr>
        <w:t xml:space="preserve">o individual </w:t>
      </w:r>
      <w:r w:rsidR="00C824BD" w:rsidRPr="00650894">
        <w:rPr>
          <w:sz w:val="26"/>
          <w:szCs w:val="26"/>
        </w:rPr>
        <w:t xml:space="preserve">UNEs </w:t>
      </w:r>
      <w:r w:rsidR="000B158F" w:rsidRPr="00650894">
        <w:rPr>
          <w:sz w:val="26"/>
          <w:szCs w:val="26"/>
        </w:rPr>
        <w:t xml:space="preserve">that Verizon </w:t>
      </w:r>
      <w:r w:rsidRPr="00650894">
        <w:rPr>
          <w:sz w:val="26"/>
          <w:szCs w:val="26"/>
        </w:rPr>
        <w:t xml:space="preserve">PA </w:t>
      </w:r>
      <w:r w:rsidR="000B158F" w:rsidRPr="00650894">
        <w:rPr>
          <w:sz w:val="26"/>
          <w:szCs w:val="26"/>
        </w:rPr>
        <w:t xml:space="preserve">provides on an unbundled basis, rather than the combined offering known as Reciprocal Compensation.  </w:t>
      </w:r>
      <w:r w:rsidRPr="00650894">
        <w:rPr>
          <w:sz w:val="26"/>
          <w:szCs w:val="26"/>
        </w:rPr>
        <w:t xml:space="preserve">Verizon PA </w:t>
      </w:r>
      <w:r w:rsidR="00016C89" w:rsidRPr="00650894">
        <w:rPr>
          <w:sz w:val="26"/>
          <w:szCs w:val="26"/>
        </w:rPr>
        <w:t>argue</w:t>
      </w:r>
      <w:r w:rsidRPr="00650894">
        <w:rPr>
          <w:sz w:val="26"/>
          <w:szCs w:val="26"/>
        </w:rPr>
        <w:t xml:space="preserve">s that because Core is a CLEC, it </w:t>
      </w:r>
      <w:r w:rsidR="000B158F" w:rsidRPr="00650894">
        <w:rPr>
          <w:sz w:val="26"/>
          <w:szCs w:val="26"/>
        </w:rPr>
        <w:t>does not provide UNEs.</w:t>
      </w:r>
      <w:bookmarkEnd w:id="28"/>
      <w:r w:rsidR="000B158F" w:rsidRPr="00650894">
        <w:rPr>
          <w:sz w:val="26"/>
          <w:szCs w:val="26"/>
        </w:rPr>
        <w:t xml:space="preserve">  </w:t>
      </w:r>
      <w:bookmarkStart w:id="29" w:name="_Hlk517697630"/>
      <w:r w:rsidRPr="00650894">
        <w:rPr>
          <w:sz w:val="26"/>
          <w:szCs w:val="26"/>
        </w:rPr>
        <w:t>Verizon PA R. Exc. at</w:t>
      </w:r>
      <w:r w:rsidR="000B158F" w:rsidRPr="00650894">
        <w:rPr>
          <w:sz w:val="26"/>
          <w:szCs w:val="26"/>
        </w:rPr>
        <w:t xml:space="preserve"> </w:t>
      </w:r>
      <w:r w:rsidRPr="00650894">
        <w:rPr>
          <w:sz w:val="26"/>
          <w:szCs w:val="26"/>
        </w:rPr>
        <w:t>14-15.</w:t>
      </w:r>
    </w:p>
    <w:bookmarkEnd w:id="29"/>
    <w:p w:rsidR="000B158F" w:rsidRPr="00650894" w:rsidRDefault="000B158F" w:rsidP="00650894">
      <w:pPr>
        <w:spacing w:line="360" w:lineRule="auto"/>
        <w:ind w:firstLine="1440"/>
        <w:contextualSpacing/>
        <w:rPr>
          <w:sz w:val="26"/>
          <w:szCs w:val="26"/>
        </w:rPr>
      </w:pPr>
    </w:p>
    <w:p w:rsidR="000B158F" w:rsidRPr="00650894" w:rsidRDefault="00D35646" w:rsidP="00650894">
      <w:pPr>
        <w:spacing w:line="360" w:lineRule="auto"/>
        <w:ind w:firstLine="1440"/>
        <w:contextualSpacing/>
        <w:rPr>
          <w:sz w:val="26"/>
          <w:szCs w:val="26"/>
        </w:rPr>
      </w:pPr>
      <w:r w:rsidRPr="00650894">
        <w:rPr>
          <w:sz w:val="26"/>
          <w:szCs w:val="26"/>
        </w:rPr>
        <w:t xml:space="preserve">Finally, </w:t>
      </w:r>
      <w:r w:rsidR="00926B1A" w:rsidRPr="00650894">
        <w:rPr>
          <w:sz w:val="26"/>
          <w:szCs w:val="26"/>
        </w:rPr>
        <w:t xml:space="preserve">Verizon PA </w:t>
      </w:r>
      <w:r w:rsidRPr="00650894">
        <w:rPr>
          <w:sz w:val="26"/>
          <w:szCs w:val="26"/>
        </w:rPr>
        <w:t xml:space="preserve">asserts that </w:t>
      </w:r>
      <w:r w:rsidR="00926B1A" w:rsidRPr="00650894">
        <w:rPr>
          <w:sz w:val="26"/>
          <w:szCs w:val="26"/>
        </w:rPr>
        <w:t xml:space="preserve">Core’s argument that </w:t>
      </w:r>
      <w:r w:rsidRPr="00650894">
        <w:rPr>
          <w:sz w:val="26"/>
          <w:szCs w:val="26"/>
        </w:rPr>
        <w:t xml:space="preserve">Verizon PA’s position is contrary to the record evidence indicating that Verizon PA does bill Core for dedicated </w:t>
      </w:r>
      <w:r w:rsidR="00B65F8A">
        <w:rPr>
          <w:sz w:val="26"/>
          <w:szCs w:val="26"/>
        </w:rPr>
        <w:t xml:space="preserve">tandem </w:t>
      </w:r>
      <w:r w:rsidRPr="00650894">
        <w:rPr>
          <w:sz w:val="26"/>
          <w:szCs w:val="26"/>
        </w:rPr>
        <w:t xml:space="preserve">trunk ports when Core orders trunks to deliver its traffic to Verizon PA is also misleading.  </w:t>
      </w:r>
      <w:bookmarkStart w:id="30" w:name="_Hlk517697681"/>
      <w:r w:rsidRPr="00650894">
        <w:rPr>
          <w:sz w:val="26"/>
          <w:szCs w:val="26"/>
        </w:rPr>
        <w:t>Verizon PA explains that it</w:t>
      </w:r>
      <w:r w:rsidR="000B158F" w:rsidRPr="00650894">
        <w:rPr>
          <w:sz w:val="26"/>
          <w:szCs w:val="26"/>
        </w:rPr>
        <w:t xml:space="preserve"> </w:t>
      </w:r>
      <w:r w:rsidR="000222DA" w:rsidRPr="00650894">
        <w:rPr>
          <w:sz w:val="26"/>
          <w:szCs w:val="26"/>
        </w:rPr>
        <w:t xml:space="preserve">bills </w:t>
      </w:r>
      <w:r w:rsidR="000B158F" w:rsidRPr="00650894">
        <w:rPr>
          <w:sz w:val="26"/>
          <w:szCs w:val="26"/>
        </w:rPr>
        <w:t xml:space="preserve">Core for tandem </w:t>
      </w:r>
      <w:r w:rsidR="009469D1">
        <w:rPr>
          <w:sz w:val="26"/>
          <w:szCs w:val="26"/>
        </w:rPr>
        <w:t xml:space="preserve">trunk </w:t>
      </w:r>
      <w:r w:rsidR="000B158F" w:rsidRPr="00650894">
        <w:rPr>
          <w:sz w:val="26"/>
          <w:szCs w:val="26"/>
        </w:rPr>
        <w:t>ports only on non</w:t>
      </w:r>
      <w:r w:rsidR="009469D1">
        <w:rPr>
          <w:sz w:val="26"/>
          <w:szCs w:val="26"/>
        </w:rPr>
        <w:noBreakHyphen/>
      </w:r>
      <w:r w:rsidR="000B158F" w:rsidRPr="00650894">
        <w:rPr>
          <w:sz w:val="26"/>
          <w:szCs w:val="26"/>
        </w:rPr>
        <w:t xml:space="preserve">local traffic </w:t>
      </w:r>
      <w:r w:rsidRPr="00650894">
        <w:rPr>
          <w:sz w:val="26"/>
          <w:szCs w:val="26"/>
        </w:rPr>
        <w:t>subject to Verizon PA’s</w:t>
      </w:r>
      <w:r w:rsidR="000B158F" w:rsidRPr="00650894">
        <w:rPr>
          <w:sz w:val="26"/>
          <w:szCs w:val="26"/>
        </w:rPr>
        <w:t xml:space="preserve"> access tariffs, and not on local traffic, which is the only traffic at issue </w:t>
      </w:r>
      <w:r w:rsidRPr="00650894">
        <w:rPr>
          <w:sz w:val="26"/>
          <w:szCs w:val="26"/>
        </w:rPr>
        <w:t xml:space="preserve">in this proceeding. </w:t>
      </w:r>
      <w:bookmarkEnd w:id="30"/>
      <w:r w:rsidRPr="00650894">
        <w:rPr>
          <w:sz w:val="26"/>
          <w:szCs w:val="26"/>
        </w:rPr>
        <w:t xml:space="preserve"> Verizon PA R. Exc. at 15.</w:t>
      </w:r>
    </w:p>
    <w:p w:rsidR="000B158F" w:rsidRPr="00650894" w:rsidRDefault="000B158F" w:rsidP="00650894">
      <w:pPr>
        <w:spacing w:line="360" w:lineRule="auto"/>
        <w:ind w:firstLine="1440"/>
        <w:contextualSpacing/>
        <w:rPr>
          <w:sz w:val="26"/>
          <w:szCs w:val="26"/>
        </w:rPr>
      </w:pPr>
    </w:p>
    <w:p w:rsidR="00560B36" w:rsidRPr="00650894" w:rsidRDefault="00446473" w:rsidP="008C08A1">
      <w:pPr>
        <w:keepNext/>
        <w:keepLines/>
        <w:ind w:left="1440" w:hanging="720"/>
        <w:contextualSpacing/>
        <w:rPr>
          <w:b/>
          <w:sz w:val="26"/>
          <w:szCs w:val="26"/>
        </w:rPr>
      </w:pPr>
      <w:bookmarkStart w:id="31" w:name="_Hlk517698314"/>
      <w:r w:rsidRPr="00650894">
        <w:rPr>
          <w:b/>
          <w:sz w:val="26"/>
          <w:szCs w:val="26"/>
        </w:rPr>
        <w:t>3</w:t>
      </w:r>
      <w:r w:rsidR="00560B36" w:rsidRPr="00650894">
        <w:rPr>
          <w:b/>
          <w:sz w:val="26"/>
          <w:szCs w:val="26"/>
        </w:rPr>
        <w:t>.</w:t>
      </w:r>
      <w:r w:rsidR="00560B36" w:rsidRPr="00650894">
        <w:rPr>
          <w:b/>
          <w:sz w:val="26"/>
          <w:szCs w:val="26"/>
        </w:rPr>
        <w:tab/>
      </w:r>
      <w:r w:rsidR="00656A14" w:rsidRPr="00650894">
        <w:rPr>
          <w:b/>
          <w:sz w:val="26"/>
          <w:szCs w:val="26"/>
        </w:rPr>
        <w:t xml:space="preserve">Whether </w:t>
      </w:r>
      <w:r w:rsidR="00560B36" w:rsidRPr="00650894">
        <w:rPr>
          <w:b/>
          <w:sz w:val="26"/>
          <w:szCs w:val="26"/>
        </w:rPr>
        <w:t xml:space="preserve">Core </w:t>
      </w:r>
      <w:r w:rsidR="00656A14" w:rsidRPr="00650894">
        <w:rPr>
          <w:b/>
          <w:sz w:val="26"/>
          <w:szCs w:val="26"/>
        </w:rPr>
        <w:t xml:space="preserve">is </w:t>
      </w:r>
      <w:r w:rsidR="00560B36" w:rsidRPr="00650894">
        <w:rPr>
          <w:b/>
          <w:sz w:val="26"/>
          <w:szCs w:val="26"/>
        </w:rPr>
        <w:t xml:space="preserve">authorized under the ICA to bill Verizon PA for multiplexing </w:t>
      </w:r>
      <w:r w:rsidR="004D141F" w:rsidRPr="00650894">
        <w:rPr>
          <w:b/>
          <w:sz w:val="26"/>
          <w:szCs w:val="26"/>
        </w:rPr>
        <w:t>(Core Exception No. 4)</w:t>
      </w:r>
    </w:p>
    <w:bookmarkEnd w:id="31"/>
    <w:p w:rsidR="00656A14" w:rsidRPr="00650894" w:rsidRDefault="00656A14" w:rsidP="00650894">
      <w:pPr>
        <w:keepNext/>
        <w:keepLines/>
        <w:spacing w:line="360" w:lineRule="auto"/>
        <w:contextualSpacing/>
        <w:rPr>
          <w:sz w:val="26"/>
          <w:szCs w:val="26"/>
        </w:rPr>
      </w:pPr>
    </w:p>
    <w:p w:rsidR="00E04731" w:rsidRPr="00650894" w:rsidRDefault="00446473" w:rsidP="008C08A1">
      <w:pPr>
        <w:keepNext/>
        <w:keepLines/>
        <w:spacing w:line="360" w:lineRule="auto"/>
        <w:ind w:left="1440"/>
        <w:contextualSpacing/>
        <w:rPr>
          <w:b/>
          <w:sz w:val="26"/>
          <w:szCs w:val="26"/>
        </w:rPr>
      </w:pPr>
      <w:r w:rsidRPr="00650894">
        <w:rPr>
          <w:b/>
          <w:sz w:val="26"/>
          <w:szCs w:val="26"/>
        </w:rPr>
        <w:t>a</w:t>
      </w:r>
      <w:r w:rsidR="00E04731" w:rsidRPr="00650894">
        <w:rPr>
          <w:b/>
          <w:sz w:val="26"/>
          <w:szCs w:val="26"/>
        </w:rPr>
        <w:t>.</w:t>
      </w:r>
      <w:r w:rsidR="00E04731" w:rsidRPr="00650894">
        <w:rPr>
          <w:b/>
          <w:sz w:val="26"/>
          <w:szCs w:val="26"/>
        </w:rPr>
        <w:tab/>
        <w:t>Positions of the Parties</w:t>
      </w:r>
    </w:p>
    <w:p w:rsidR="00E04731" w:rsidRPr="00650894" w:rsidRDefault="00E04731" w:rsidP="00650894">
      <w:pPr>
        <w:keepNext/>
        <w:keepLines/>
        <w:spacing w:line="360" w:lineRule="auto"/>
        <w:ind w:firstLine="1440"/>
        <w:contextualSpacing/>
        <w:rPr>
          <w:sz w:val="26"/>
          <w:szCs w:val="26"/>
        </w:rPr>
      </w:pPr>
    </w:p>
    <w:p w:rsidR="0088583A" w:rsidRPr="00650894" w:rsidRDefault="0088583A" w:rsidP="00650894">
      <w:pPr>
        <w:spacing w:line="360" w:lineRule="auto"/>
        <w:ind w:firstLine="1440"/>
        <w:contextualSpacing/>
        <w:rPr>
          <w:sz w:val="26"/>
          <w:szCs w:val="26"/>
        </w:rPr>
      </w:pPr>
      <w:r w:rsidRPr="00650894">
        <w:rPr>
          <w:sz w:val="26"/>
          <w:szCs w:val="26"/>
        </w:rPr>
        <w:t xml:space="preserve">Core </w:t>
      </w:r>
      <w:r w:rsidR="002005E0" w:rsidRPr="00650894">
        <w:rPr>
          <w:sz w:val="26"/>
          <w:szCs w:val="26"/>
        </w:rPr>
        <w:t>described</w:t>
      </w:r>
      <w:r w:rsidRPr="00650894">
        <w:rPr>
          <w:sz w:val="26"/>
          <w:szCs w:val="26"/>
        </w:rPr>
        <w:t xml:space="preserve"> </w:t>
      </w:r>
      <w:r w:rsidR="00DE4D8B" w:rsidRPr="00650894">
        <w:rPr>
          <w:sz w:val="26"/>
          <w:szCs w:val="26"/>
        </w:rPr>
        <w:t>m</w:t>
      </w:r>
      <w:r w:rsidR="002005E0" w:rsidRPr="00650894">
        <w:rPr>
          <w:sz w:val="26"/>
          <w:szCs w:val="26"/>
        </w:rPr>
        <w:t>ultiplexing a</w:t>
      </w:r>
      <w:r w:rsidRPr="00650894">
        <w:rPr>
          <w:sz w:val="26"/>
          <w:szCs w:val="26"/>
        </w:rPr>
        <w:t>s the</w:t>
      </w:r>
      <w:r w:rsidR="00756479" w:rsidRPr="00650894">
        <w:rPr>
          <w:sz w:val="26"/>
          <w:szCs w:val="26"/>
        </w:rPr>
        <w:t xml:space="preserve"> aggregation or</w:t>
      </w:r>
      <w:r w:rsidRPr="00650894">
        <w:rPr>
          <w:sz w:val="26"/>
          <w:szCs w:val="26"/>
        </w:rPr>
        <w:t xml:space="preserve"> disaggregation of telecommunications channels on a trunk.  According to Core, it disaggregated each incoming DS3 channel from Verizon PA into 28 DS1 channels and then into 672 DS0 channels.  Core contended that it is permitted under the ICA to bill Verizon PA for multiplexing. </w:t>
      </w:r>
      <w:r w:rsidR="00DE4D8B" w:rsidRPr="00650894">
        <w:rPr>
          <w:sz w:val="26"/>
          <w:szCs w:val="26"/>
        </w:rPr>
        <w:t xml:space="preserve"> Citing various passages of </w:t>
      </w:r>
      <w:r w:rsidR="00B63D9A" w:rsidRPr="00650894">
        <w:rPr>
          <w:sz w:val="26"/>
          <w:szCs w:val="26"/>
        </w:rPr>
        <w:t>Attachment</w:t>
      </w:r>
      <w:r w:rsidR="00DE4D8B" w:rsidRPr="00650894">
        <w:rPr>
          <w:sz w:val="26"/>
          <w:szCs w:val="26"/>
        </w:rPr>
        <w:t xml:space="preserve"> III, Section 10 of the ICA (related to Network Elements) and Attachment IV, Section 2 of the </w:t>
      </w:r>
      <w:r w:rsidRPr="00650894">
        <w:rPr>
          <w:sz w:val="26"/>
          <w:szCs w:val="26"/>
        </w:rPr>
        <w:t>ICA</w:t>
      </w:r>
      <w:r w:rsidR="00DE4D8B" w:rsidRPr="00650894">
        <w:rPr>
          <w:sz w:val="26"/>
          <w:szCs w:val="26"/>
        </w:rPr>
        <w:t xml:space="preserve"> (related to Interconnection), </w:t>
      </w:r>
      <w:r w:rsidRPr="00650894">
        <w:rPr>
          <w:sz w:val="26"/>
          <w:szCs w:val="26"/>
        </w:rPr>
        <w:t>Core argued that, taken together, these provisions require Verizon PA to pay Core for “Dedicated Transport,” which is defined to include multiplexing as an optional feature of the transport, or, on a standalone basis.  Core asserted that in the Philadelphia LATA, it provided Verizon PA with multiplexing in conjunction with transport and</w:t>
      </w:r>
      <w:r w:rsidR="00DE123F" w:rsidRPr="00650894">
        <w:rPr>
          <w:sz w:val="26"/>
          <w:szCs w:val="26"/>
        </w:rPr>
        <w:t xml:space="preserve"> that</w:t>
      </w:r>
      <w:r w:rsidRPr="00650894">
        <w:rPr>
          <w:sz w:val="26"/>
          <w:szCs w:val="26"/>
        </w:rPr>
        <w:t xml:space="preserve"> in all other LATAs, it provided multiplexing on a standalone basis.  </w:t>
      </w:r>
      <w:r w:rsidR="00DE4D8B" w:rsidRPr="00650894">
        <w:rPr>
          <w:sz w:val="26"/>
          <w:szCs w:val="26"/>
        </w:rPr>
        <w:t>Further, Core reasoned that the Parties should be treated equally given that Verizon PA bills Core for multiplexing when Core orders trunks to deliver its traffic to Verizon PA.  Core M.B. at 14-16.</w:t>
      </w:r>
    </w:p>
    <w:p w:rsidR="0098204E" w:rsidRPr="00650894" w:rsidRDefault="0098204E" w:rsidP="00650894">
      <w:pPr>
        <w:spacing w:line="360" w:lineRule="auto"/>
        <w:ind w:firstLine="1440"/>
        <w:contextualSpacing/>
        <w:rPr>
          <w:sz w:val="26"/>
          <w:szCs w:val="26"/>
        </w:rPr>
      </w:pPr>
    </w:p>
    <w:p w:rsidR="00E04731" w:rsidRPr="00650894" w:rsidRDefault="00DE4D8B" w:rsidP="00650894">
      <w:pPr>
        <w:spacing w:line="360" w:lineRule="auto"/>
        <w:ind w:firstLine="1440"/>
        <w:contextualSpacing/>
        <w:rPr>
          <w:sz w:val="26"/>
          <w:szCs w:val="26"/>
        </w:rPr>
      </w:pPr>
      <w:r w:rsidRPr="00650894">
        <w:rPr>
          <w:sz w:val="26"/>
          <w:szCs w:val="26"/>
        </w:rPr>
        <w:t xml:space="preserve">Verizon PA countered that </w:t>
      </w:r>
      <w:r w:rsidR="00603EF6" w:rsidRPr="00650894">
        <w:rPr>
          <w:sz w:val="26"/>
          <w:szCs w:val="26"/>
        </w:rPr>
        <w:t xml:space="preserve">as with tandem </w:t>
      </w:r>
      <w:r w:rsidR="0086006D" w:rsidRPr="00650894">
        <w:rPr>
          <w:sz w:val="26"/>
          <w:szCs w:val="26"/>
        </w:rPr>
        <w:t xml:space="preserve">trunk </w:t>
      </w:r>
      <w:r w:rsidR="00603EF6" w:rsidRPr="00650894">
        <w:rPr>
          <w:sz w:val="26"/>
          <w:szCs w:val="26"/>
        </w:rPr>
        <w:t xml:space="preserve">port charges, the Parties’ ICA prohibits Core </w:t>
      </w:r>
      <w:r w:rsidR="008E56B3" w:rsidRPr="00650894">
        <w:rPr>
          <w:sz w:val="26"/>
          <w:szCs w:val="26"/>
        </w:rPr>
        <w:t>from</w:t>
      </w:r>
      <w:r w:rsidR="00603EF6" w:rsidRPr="00650894">
        <w:rPr>
          <w:sz w:val="26"/>
          <w:szCs w:val="26"/>
        </w:rPr>
        <w:t xml:space="preserve"> imposing a separate multiplexing charge, </w:t>
      </w:r>
      <w:r w:rsidR="0093439A" w:rsidRPr="00650894">
        <w:rPr>
          <w:sz w:val="26"/>
          <w:szCs w:val="26"/>
        </w:rPr>
        <w:t xml:space="preserve">thereby </w:t>
      </w:r>
      <w:r w:rsidR="00603EF6" w:rsidRPr="00650894">
        <w:rPr>
          <w:sz w:val="26"/>
          <w:szCs w:val="26"/>
        </w:rPr>
        <w:t>rendering Core’s multiplexing charges to Verizon PA invalid</w:t>
      </w:r>
      <w:r w:rsidRPr="00650894">
        <w:rPr>
          <w:sz w:val="26"/>
          <w:szCs w:val="26"/>
        </w:rPr>
        <w:t xml:space="preserve">.  </w:t>
      </w:r>
      <w:r w:rsidR="008719EF" w:rsidRPr="00650894">
        <w:rPr>
          <w:sz w:val="26"/>
          <w:szCs w:val="26"/>
        </w:rPr>
        <w:t>Verizon PA emphasized its position that pursuant to Attachment IV, Sections 1.2.2, 2.2.1, 2.2.1.1, 2.2.1.2, and 2.4.2 of the ICA, Core is limited to billing Verizon PA for the Transport and Termination of local traffic (</w:t>
      </w:r>
      <w:r w:rsidR="008719EF" w:rsidRPr="00650894">
        <w:rPr>
          <w:i/>
          <w:sz w:val="26"/>
          <w:szCs w:val="26"/>
        </w:rPr>
        <w:t xml:space="preserve">i.e. </w:t>
      </w:r>
      <w:r w:rsidR="008719EF" w:rsidRPr="00650894">
        <w:rPr>
          <w:sz w:val="26"/>
          <w:szCs w:val="26"/>
        </w:rPr>
        <w:t xml:space="preserve">Reciprocal Compensation) and for </w:t>
      </w:r>
      <w:r w:rsidR="00882BB0">
        <w:rPr>
          <w:sz w:val="26"/>
          <w:szCs w:val="26"/>
        </w:rPr>
        <w:t>“</w:t>
      </w:r>
      <w:r w:rsidR="008719EF" w:rsidRPr="00650894">
        <w:rPr>
          <w:sz w:val="26"/>
          <w:szCs w:val="26"/>
        </w:rPr>
        <w:t>Dedicated Transport</w:t>
      </w:r>
      <w:r w:rsidR="00882BB0">
        <w:rPr>
          <w:sz w:val="26"/>
          <w:szCs w:val="26"/>
        </w:rPr>
        <w:t>”</w:t>
      </w:r>
      <w:r w:rsidR="008719EF" w:rsidRPr="00650894">
        <w:rPr>
          <w:sz w:val="26"/>
          <w:szCs w:val="26"/>
        </w:rPr>
        <w:t xml:space="preserve"> from the POI to the IP</w:t>
      </w:r>
      <w:r w:rsidR="002772BD" w:rsidRPr="00650894">
        <w:rPr>
          <w:sz w:val="26"/>
          <w:szCs w:val="26"/>
        </w:rPr>
        <w:t xml:space="preserve"> if it is necessary</w:t>
      </w:r>
      <w:r w:rsidR="008719EF" w:rsidRPr="00650894">
        <w:rPr>
          <w:sz w:val="26"/>
          <w:szCs w:val="26"/>
        </w:rPr>
        <w:t xml:space="preserve"> to purchase from Core.  </w:t>
      </w:r>
      <w:bookmarkStart w:id="32" w:name="_Hlk517698336"/>
      <w:r w:rsidR="008719EF" w:rsidRPr="00650894">
        <w:rPr>
          <w:sz w:val="26"/>
          <w:szCs w:val="26"/>
        </w:rPr>
        <w:t>Verizon</w:t>
      </w:r>
      <w:r w:rsidR="00AD187F" w:rsidRPr="00650894">
        <w:rPr>
          <w:sz w:val="26"/>
          <w:szCs w:val="26"/>
        </w:rPr>
        <w:t xml:space="preserve"> PA</w:t>
      </w:r>
      <w:r w:rsidR="008719EF" w:rsidRPr="00650894">
        <w:rPr>
          <w:sz w:val="26"/>
          <w:szCs w:val="26"/>
        </w:rPr>
        <w:t xml:space="preserve"> </w:t>
      </w:r>
      <w:r w:rsidR="00AD187F" w:rsidRPr="00650894">
        <w:rPr>
          <w:sz w:val="26"/>
          <w:szCs w:val="26"/>
        </w:rPr>
        <w:t xml:space="preserve">argued that Core inappropriately cited to various provisions of Attachment III, Section 10 of the ICA for its authority to bill Verizon PA.  Verizon PA submitted that this section governs Verizon PA’s provisions of UNEs to Core, and not </w:t>
      </w:r>
      <w:r w:rsidR="0098204E" w:rsidRPr="00650894">
        <w:rPr>
          <w:sz w:val="26"/>
          <w:szCs w:val="26"/>
        </w:rPr>
        <w:t>Core’s provision of services, facilities, or arrangements to Verizon PA</w:t>
      </w:r>
      <w:r w:rsidR="00E64F0B" w:rsidRPr="00650894">
        <w:rPr>
          <w:sz w:val="26"/>
          <w:szCs w:val="26"/>
        </w:rPr>
        <w:t xml:space="preserve">.  </w:t>
      </w:r>
      <w:bookmarkEnd w:id="32"/>
      <w:r w:rsidR="00AD187F" w:rsidRPr="00650894">
        <w:rPr>
          <w:sz w:val="26"/>
          <w:szCs w:val="26"/>
        </w:rPr>
        <w:t xml:space="preserve">Verizon </w:t>
      </w:r>
      <w:r w:rsidR="00E64F0B" w:rsidRPr="00650894">
        <w:rPr>
          <w:sz w:val="26"/>
          <w:szCs w:val="26"/>
        </w:rPr>
        <w:t xml:space="preserve">PA </w:t>
      </w:r>
      <w:r w:rsidR="00AD187F" w:rsidRPr="00650894">
        <w:rPr>
          <w:sz w:val="26"/>
          <w:szCs w:val="26"/>
        </w:rPr>
        <w:t xml:space="preserve">further refuted Core’s argument that </w:t>
      </w:r>
      <w:r w:rsidR="0093439A" w:rsidRPr="00650894">
        <w:rPr>
          <w:sz w:val="26"/>
          <w:szCs w:val="26"/>
        </w:rPr>
        <w:t>it</w:t>
      </w:r>
      <w:r w:rsidR="00AD187F" w:rsidRPr="00650894">
        <w:rPr>
          <w:sz w:val="26"/>
          <w:szCs w:val="26"/>
        </w:rPr>
        <w:t xml:space="preserve"> should be </w:t>
      </w:r>
      <w:r w:rsidR="00E64F0B" w:rsidRPr="00650894">
        <w:rPr>
          <w:sz w:val="26"/>
          <w:szCs w:val="26"/>
        </w:rPr>
        <w:t>able to bill Verizon PA for “standalone multiplexing” given</w:t>
      </w:r>
      <w:r w:rsidR="00AD187F" w:rsidRPr="00650894">
        <w:rPr>
          <w:sz w:val="26"/>
          <w:szCs w:val="26"/>
        </w:rPr>
        <w:t xml:space="preserve"> that Verizon PA bills Core for multiplexing when Core orders trunks to deliver its traffic to Verizon PA.  In this regard, Verizon PA asserted that the ICA permits Core to bill Verizon PA for transport only if purchasing it from Core is necessary, in which case Core may bill </w:t>
      </w:r>
      <w:r w:rsidR="00E64F0B" w:rsidRPr="00650894">
        <w:rPr>
          <w:sz w:val="26"/>
          <w:szCs w:val="26"/>
        </w:rPr>
        <w:t xml:space="preserve">Verizon PA for “Dedicated Transport,” which includes multiplexing.  Verizon PA emphasized its position that because it self-provisioned the transport facilities that carry its local traffic to Core’s network, it was not necessary for it to purchase transport from Core.  </w:t>
      </w:r>
      <w:r w:rsidR="00F13185" w:rsidRPr="00650894">
        <w:rPr>
          <w:sz w:val="26"/>
          <w:szCs w:val="26"/>
        </w:rPr>
        <w:t>Verizon PA R.B. at 20-22</w:t>
      </w:r>
    </w:p>
    <w:p w:rsidR="00E04731" w:rsidRPr="00650894" w:rsidRDefault="00E04731" w:rsidP="00650894">
      <w:pPr>
        <w:spacing w:line="360" w:lineRule="auto"/>
        <w:ind w:firstLine="1440"/>
        <w:contextualSpacing/>
        <w:rPr>
          <w:sz w:val="26"/>
          <w:szCs w:val="26"/>
        </w:rPr>
      </w:pPr>
    </w:p>
    <w:p w:rsidR="00E04731" w:rsidRPr="00650894" w:rsidRDefault="00446473" w:rsidP="008C08A1">
      <w:pPr>
        <w:keepNext/>
        <w:keepLines/>
        <w:spacing w:line="360" w:lineRule="auto"/>
        <w:ind w:left="1440"/>
        <w:contextualSpacing/>
        <w:rPr>
          <w:b/>
          <w:sz w:val="26"/>
          <w:szCs w:val="26"/>
        </w:rPr>
      </w:pPr>
      <w:r w:rsidRPr="00650894">
        <w:rPr>
          <w:b/>
          <w:sz w:val="26"/>
          <w:szCs w:val="26"/>
        </w:rPr>
        <w:t>b</w:t>
      </w:r>
      <w:r w:rsidR="00E04731" w:rsidRPr="00650894">
        <w:rPr>
          <w:b/>
          <w:sz w:val="26"/>
          <w:szCs w:val="26"/>
        </w:rPr>
        <w:t>.</w:t>
      </w:r>
      <w:r w:rsidR="00E04731" w:rsidRPr="00650894">
        <w:rPr>
          <w:b/>
          <w:sz w:val="26"/>
          <w:szCs w:val="26"/>
        </w:rPr>
        <w:tab/>
        <w:t>ALJ Recommendation</w:t>
      </w:r>
    </w:p>
    <w:p w:rsidR="00E04731" w:rsidRPr="00650894" w:rsidRDefault="00E04731" w:rsidP="00650894">
      <w:pPr>
        <w:keepNext/>
        <w:keepLines/>
        <w:spacing w:line="360" w:lineRule="auto"/>
        <w:ind w:firstLine="1440"/>
        <w:contextualSpacing/>
        <w:rPr>
          <w:sz w:val="26"/>
          <w:szCs w:val="26"/>
        </w:rPr>
      </w:pPr>
    </w:p>
    <w:p w:rsidR="00E04731" w:rsidRPr="00650894" w:rsidRDefault="0028262A" w:rsidP="00650894">
      <w:pPr>
        <w:spacing w:line="360" w:lineRule="auto"/>
        <w:ind w:firstLine="1440"/>
        <w:contextualSpacing/>
        <w:rPr>
          <w:sz w:val="26"/>
          <w:szCs w:val="26"/>
        </w:rPr>
      </w:pPr>
      <w:bookmarkStart w:id="33" w:name="_Hlk517698362"/>
      <w:r w:rsidRPr="00650894">
        <w:rPr>
          <w:sz w:val="26"/>
          <w:szCs w:val="26"/>
        </w:rPr>
        <w:t xml:space="preserve">The ALJ found Verizon PA’s argument persuasive that Core is limited to billing Verizon PA for reciprocal compensation and for dedicated transport from the POI to the IP, </w:t>
      </w:r>
      <w:r w:rsidR="002B21E1" w:rsidRPr="00650894">
        <w:rPr>
          <w:sz w:val="26"/>
          <w:szCs w:val="26"/>
        </w:rPr>
        <w:t>only if it is necessary for Verizon</w:t>
      </w:r>
      <w:r w:rsidRPr="00650894">
        <w:rPr>
          <w:sz w:val="26"/>
          <w:szCs w:val="26"/>
        </w:rPr>
        <w:t xml:space="preserve"> to purchase</w:t>
      </w:r>
      <w:r w:rsidR="00B7727C" w:rsidRPr="00650894">
        <w:rPr>
          <w:sz w:val="26"/>
          <w:szCs w:val="26"/>
        </w:rPr>
        <w:t xml:space="preserve"> dedicated transport</w:t>
      </w:r>
      <w:r w:rsidRPr="00650894">
        <w:rPr>
          <w:sz w:val="26"/>
          <w:szCs w:val="26"/>
        </w:rPr>
        <w:t xml:space="preserve"> from Core.  The ALJ noted that Core chose to opt into an ICA which permits Verizon PA to bill Core for multiplexing (outlined in Attachment III, Section 10 of the ICA) and contains a Verizon PA rate for multiplexing (set forth in Section A.II.C of the ICA’s Pricing Appendix).  The ALJ concluded that these ICA sections govern Verizon PA’s provision of UNEs to Core, and not Core’s provision of services, facilities, or arrangements to Verizon PA</w:t>
      </w:r>
      <w:bookmarkEnd w:id="33"/>
      <w:r w:rsidRPr="00650894">
        <w:rPr>
          <w:sz w:val="26"/>
          <w:szCs w:val="26"/>
        </w:rPr>
        <w:t xml:space="preserve">.  </w:t>
      </w:r>
      <w:bookmarkStart w:id="34" w:name="_Hlk519513928"/>
      <w:r w:rsidRPr="00650894">
        <w:rPr>
          <w:sz w:val="26"/>
          <w:szCs w:val="26"/>
        </w:rPr>
        <w:t xml:space="preserve">Further, the ALJ echoed Verizon PA’s position that because Verizon PA self-provisioned the transport facilities that carry its local traffic to Core’s network, it was not necessary for Verizon PA to purchase transport from Core.  As such, the ALJ ruled that Core may not bill Verizon PA for </w:t>
      </w:r>
      <w:r w:rsidR="00882BB0">
        <w:rPr>
          <w:sz w:val="26"/>
          <w:szCs w:val="26"/>
        </w:rPr>
        <w:t>“</w:t>
      </w:r>
      <w:r w:rsidRPr="00650894">
        <w:rPr>
          <w:sz w:val="26"/>
          <w:szCs w:val="26"/>
        </w:rPr>
        <w:t>Dedicated Transport</w:t>
      </w:r>
      <w:r w:rsidR="00882BB0">
        <w:rPr>
          <w:sz w:val="26"/>
          <w:szCs w:val="26"/>
        </w:rPr>
        <w:t>”</w:t>
      </w:r>
      <w:r w:rsidRPr="00650894">
        <w:rPr>
          <w:sz w:val="26"/>
          <w:szCs w:val="26"/>
        </w:rPr>
        <w:t xml:space="preserve"> or standalone multiplexing in this instance.  </w:t>
      </w:r>
      <w:bookmarkEnd w:id="34"/>
      <w:r w:rsidRPr="00650894">
        <w:rPr>
          <w:sz w:val="26"/>
          <w:szCs w:val="26"/>
        </w:rPr>
        <w:t>Further, the ALJ pointed out that the ICA’s Pricing Appendix contains no Core rate</w:t>
      </w:r>
      <w:r w:rsidR="009469D1">
        <w:rPr>
          <w:sz w:val="26"/>
          <w:szCs w:val="26"/>
        </w:rPr>
        <w:t>s</w:t>
      </w:r>
      <w:r w:rsidRPr="00650894">
        <w:rPr>
          <w:sz w:val="26"/>
          <w:szCs w:val="26"/>
        </w:rPr>
        <w:t xml:space="preserve"> for these services.  I.D. at 44-46, n.21.</w:t>
      </w:r>
    </w:p>
    <w:p w:rsidR="00E04731" w:rsidRPr="00650894" w:rsidRDefault="00E04731" w:rsidP="00650894">
      <w:pPr>
        <w:spacing w:line="360" w:lineRule="auto"/>
        <w:ind w:firstLine="1440"/>
        <w:contextualSpacing/>
        <w:rPr>
          <w:sz w:val="26"/>
          <w:szCs w:val="26"/>
        </w:rPr>
      </w:pPr>
    </w:p>
    <w:p w:rsidR="00E04731" w:rsidRPr="00650894" w:rsidRDefault="00446473" w:rsidP="008C08A1">
      <w:pPr>
        <w:keepNext/>
        <w:keepLines/>
        <w:spacing w:line="360" w:lineRule="auto"/>
        <w:ind w:left="1440"/>
        <w:contextualSpacing/>
        <w:rPr>
          <w:sz w:val="26"/>
          <w:szCs w:val="26"/>
        </w:rPr>
      </w:pPr>
      <w:r w:rsidRPr="00650894">
        <w:rPr>
          <w:b/>
          <w:sz w:val="26"/>
          <w:szCs w:val="26"/>
        </w:rPr>
        <w:t>c</w:t>
      </w:r>
      <w:r w:rsidR="00E04731" w:rsidRPr="00650894">
        <w:rPr>
          <w:b/>
          <w:sz w:val="26"/>
          <w:szCs w:val="26"/>
        </w:rPr>
        <w:t>.</w:t>
      </w:r>
      <w:r w:rsidR="00E04731" w:rsidRPr="00650894">
        <w:rPr>
          <w:b/>
          <w:sz w:val="26"/>
          <w:szCs w:val="26"/>
        </w:rPr>
        <w:tab/>
        <w:t>Core’s Exceptions</w:t>
      </w:r>
    </w:p>
    <w:p w:rsidR="003D0354" w:rsidRPr="00650894" w:rsidRDefault="003D0354" w:rsidP="00650894">
      <w:pPr>
        <w:keepNext/>
        <w:keepLines/>
        <w:spacing w:line="360" w:lineRule="auto"/>
        <w:ind w:firstLine="1440"/>
        <w:contextualSpacing/>
        <w:rPr>
          <w:sz w:val="26"/>
          <w:szCs w:val="26"/>
        </w:rPr>
      </w:pPr>
    </w:p>
    <w:p w:rsidR="00E04731" w:rsidRPr="00650894" w:rsidRDefault="00FF43AC" w:rsidP="00650894">
      <w:pPr>
        <w:spacing w:line="360" w:lineRule="auto"/>
        <w:ind w:firstLine="1440"/>
        <w:contextualSpacing/>
        <w:rPr>
          <w:sz w:val="26"/>
          <w:szCs w:val="26"/>
        </w:rPr>
      </w:pPr>
      <w:r w:rsidRPr="00650894">
        <w:rPr>
          <w:sz w:val="26"/>
          <w:szCs w:val="26"/>
        </w:rPr>
        <w:t>In its E</w:t>
      </w:r>
      <w:r w:rsidR="0028262A" w:rsidRPr="00650894">
        <w:rPr>
          <w:sz w:val="26"/>
          <w:szCs w:val="26"/>
        </w:rPr>
        <w:t xml:space="preserve">xceptions, Core claims that there is no dispute that it provides multiplexing to Verizon PA in connection with the DS3 trunks that carry Verizon PA’s traffic to Core’s network in Pennsylvania.  Core </w:t>
      </w:r>
      <w:r w:rsidR="00913ACD" w:rsidRPr="00650894">
        <w:rPr>
          <w:sz w:val="26"/>
          <w:szCs w:val="26"/>
        </w:rPr>
        <w:t>insists</w:t>
      </w:r>
      <w:r w:rsidR="0028262A" w:rsidRPr="00650894">
        <w:rPr>
          <w:sz w:val="26"/>
          <w:szCs w:val="26"/>
        </w:rPr>
        <w:t xml:space="preserve"> that it demonstrated that it is permitted under the ICA to bill Verizon PA for this multiplexing.  </w:t>
      </w:r>
      <w:r w:rsidR="00A47E42" w:rsidRPr="00650894">
        <w:rPr>
          <w:sz w:val="26"/>
          <w:szCs w:val="26"/>
        </w:rPr>
        <w:t xml:space="preserve">Core objects to the ALJ’s finding that Verizon PA is authorized under the ICA to bill Core for </w:t>
      </w:r>
      <w:r w:rsidR="00156222" w:rsidRPr="00650894">
        <w:rPr>
          <w:sz w:val="26"/>
          <w:szCs w:val="26"/>
        </w:rPr>
        <w:t>multiplexing,</w:t>
      </w:r>
      <w:r w:rsidR="00A47E42" w:rsidRPr="00650894">
        <w:rPr>
          <w:sz w:val="26"/>
          <w:szCs w:val="26"/>
        </w:rPr>
        <w:t xml:space="preserve"> but that Core is not authorized to bill Verizon PA for the same service.  Core posits that this entire issue centers on the contract interpretation question of whether the ICA contains language which permits Core to bill Verizon PA for multiplexing.  </w:t>
      </w:r>
      <w:bookmarkStart w:id="35" w:name="_Hlk517698385"/>
      <w:bookmarkStart w:id="36" w:name="_Hlk519514111"/>
      <w:r w:rsidR="00A47E42" w:rsidRPr="00650894">
        <w:rPr>
          <w:sz w:val="26"/>
          <w:szCs w:val="26"/>
        </w:rPr>
        <w:t>Core is of the opinion that</w:t>
      </w:r>
      <w:r w:rsidR="0021233A" w:rsidRPr="00650894">
        <w:rPr>
          <w:sz w:val="26"/>
          <w:szCs w:val="26"/>
        </w:rPr>
        <w:t xml:space="preserve"> pursuant to Attachment IV, Section 2.4.2 of the ICA,</w:t>
      </w:r>
      <w:r w:rsidR="00A47E42" w:rsidRPr="00650894">
        <w:rPr>
          <w:sz w:val="26"/>
          <w:szCs w:val="26"/>
        </w:rPr>
        <w:t xml:space="preserve"> it is authorized </w:t>
      </w:r>
      <w:r w:rsidR="003A398F" w:rsidRPr="00650894">
        <w:rPr>
          <w:sz w:val="26"/>
          <w:szCs w:val="26"/>
        </w:rPr>
        <w:t>t</w:t>
      </w:r>
      <w:r w:rsidR="00A47E42" w:rsidRPr="00650894">
        <w:rPr>
          <w:sz w:val="26"/>
          <w:szCs w:val="26"/>
        </w:rPr>
        <w:t>o bill Veri</w:t>
      </w:r>
      <w:r w:rsidRPr="00650894">
        <w:rPr>
          <w:sz w:val="26"/>
          <w:szCs w:val="26"/>
        </w:rPr>
        <w:t xml:space="preserve">zon PA for Dedicated Transport when Local Traffic is flowing from Verizon PA to Core.  Core argues that </w:t>
      </w:r>
      <w:r w:rsidR="00953092" w:rsidRPr="00650894">
        <w:rPr>
          <w:sz w:val="26"/>
          <w:szCs w:val="26"/>
        </w:rPr>
        <w:t xml:space="preserve">as </w:t>
      </w:r>
      <w:r w:rsidRPr="00650894">
        <w:rPr>
          <w:sz w:val="26"/>
          <w:szCs w:val="26"/>
        </w:rPr>
        <w:t>set forth in Attachment III, Section 10</w:t>
      </w:r>
      <w:r w:rsidR="00953092" w:rsidRPr="00650894">
        <w:rPr>
          <w:sz w:val="26"/>
          <w:szCs w:val="26"/>
        </w:rPr>
        <w:t>.2.4</w:t>
      </w:r>
      <w:r w:rsidRPr="00650894">
        <w:rPr>
          <w:sz w:val="26"/>
          <w:szCs w:val="26"/>
        </w:rPr>
        <w:t xml:space="preserve"> of the ICA, </w:t>
      </w:r>
      <w:r w:rsidR="00953092" w:rsidRPr="00650894">
        <w:rPr>
          <w:sz w:val="26"/>
          <w:szCs w:val="26"/>
        </w:rPr>
        <w:t>it is authorized to offer multiplexing</w:t>
      </w:r>
      <w:r w:rsidRPr="00650894">
        <w:rPr>
          <w:sz w:val="26"/>
          <w:szCs w:val="26"/>
        </w:rPr>
        <w:t xml:space="preserve"> both together with and separately from </w:t>
      </w:r>
      <w:r w:rsidR="00882BB0">
        <w:rPr>
          <w:sz w:val="26"/>
          <w:szCs w:val="26"/>
        </w:rPr>
        <w:t>“</w:t>
      </w:r>
      <w:r w:rsidRPr="00650894">
        <w:rPr>
          <w:sz w:val="26"/>
          <w:szCs w:val="26"/>
        </w:rPr>
        <w:t>Dedicated Transport.</w:t>
      </w:r>
      <w:bookmarkEnd w:id="35"/>
      <w:r w:rsidR="00882BB0">
        <w:rPr>
          <w:sz w:val="26"/>
          <w:szCs w:val="26"/>
        </w:rPr>
        <w:t>”</w:t>
      </w:r>
      <w:r w:rsidRPr="00650894">
        <w:rPr>
          <w:sz w:val="26"/>
          <w:szCs w:val="26"/>
        </w:rPr>
        <w:t xml:space="preserve"> </w:t>
      </w:r>
      <w:bookmarkEnd w:id="36"/>
      <w:r w:rsidRPr="00650894">
        <w:rPr>
          <w:sz w:val="26"/>
          <w:szCs w:val="26"/>
        </w:rPr>
        <w:t xml:space="preserve"> </w:t>
      </w:r>
      <w:r w:rsidR="00953092" w:rsidRPr="00650894">
        <w:rPr>
          <w:sz w:val="26"/>
          <w:szCs w:val="26"/>
        </w:rPr>
        <w:t>Core restates</w:t>
      </w:r>
      <w:r w:rsidR="009469D1">
        <w:rPr>
          <w:sz w:val="26"/>
          <w:szCs w:val="26"/>
        </w:rPr>
        <w:t xml:space="preserve"> its argument</w:t>
      </w:r>
      <w:r w:rsidR="00953092" w:rsidRPr="00650894">
        <w:rPr>
          <w:sz w:val="26"/>
          <w:szCs w:val="26"/>
        </w:rPr>
        <w:t xml:space="preserve"> that in the Philadelphia LATA, it provides Verizon PA with multiplexing together with </w:t>
      </w:r>
      <w:r w:rsidR="00882BB0">
        <w:rPr>
          <w:sz w:val="26"/>
          <w:szCs w:val="26"/>
        </w:rPr>
        <w:t>“</w:t>
      </w:r>
      <w:r w:rsidR="00953092" w:rsidRPr="00650894">
        <w:rPr>
          <w:sz w:val="26"/>
          <w:szCs w:val="26"/>
        </w:rPr>
        <w:t>Dedicated Transport</w:t>
      </w:r>
      <w:r w:rsidR="00882BB0">
        <w:rPr>
          <w:sz w:val="26"/>
          <w:szCs w:val="26"/>
        </w:rPr>
        <w:t>”</w:t>
      </w:r>
      <w:r w:rsidR="00953092" w:rsidRPr="00650894">
        <w:rPr>
          <w:sz w:val="26"/>
          <w:szCs w:val="26"/>
        </w:rPr>
        <w:t xml:space="preserve"> and that in all other LATAs in which the Parties interconnect, it provides multiplexing separately from </w:t>
      </w:r>
      <w:r w:rsidR="00882BB0">
        <w:rPr>
          <w:sz w:val="26"/>
          <w:szCs w:val="26"/>
        </w:rPr>
        <w:t>“</w:t>
      </w:r>
      <w:r w:rsidR="00953092" w:rsidRPr="00650894">
        <w:rPr>
          <w:sz w:val="26"/>
          <w:szCs w:val="26"/>
        </w:rPr>
        <w:t>Dedicated Transport.</w:t>
      </w:r>
      <w:r w:rsidR="00882BB0">
        <w:rPr>
          <w:sz w:val="26"/>
          <w:szCs w:val="26"/>
        </w:rPr>
        <w:t>”</w:t>
      </w:r>
      <w:r w:rsidR="00953092" w:rsidRPr="00650894">
        <w:rPr>
          <w:sz w:val="26"/>
          <w:szCs w:val="26"/>
        </w:rPr>
        <w:t xml:space="preserve">  Core avers that in either scenario, its charges to Verizon PA are permissible.  Core Exc. at 14-16.</w:t>
      </w:r>
    </w:p>
    <w:p w:rsidR="00953092" w:rsidRPr="00650894" w:rsidRDefault="00953092" w:rsidP="00650894">
      <w:pPr>
        <w:spacing w:line="360" w:lineRule="auto"/>
        <w:ind w:firstLine="1440"/>
        <w:contextualSpacing/>
        <w:rPr>
          <w:sz w:val="26"/>
          <w:szCs w:val="26"/>
        </w:rPr>
      </w:pPr>
    </w:p>
    <w:p w:rsidR="00953092" w:rsidRPr="00650894" w:rsidRDefault="00953092" w:rsidP="00650894">
      <w:pPr>
        <w:spacing w:line="360" w:lineRule="auto"/>
        <w:ind w:firstLine="1440"/>
        <w:contextualSpacing/>
        <w:rPr>
          <w:sz w:val="26"/>
          <w:szCs w:val="26"/>
        </w:rPr>
      </w:pPr>
      <w:r w:rsidRPr="00650894">
        <w:rPr>
          <w:sz w:val="26"/>
          <w:szCs w:val="26"/>
        </w:rPr>
        <w:t xml:space="preserve">Core further submits that according to Pricing Appendix, Item B.V. of the ICA, it is </w:t>
      </w:r>
      <w:r w:rsidR="00020A2A" w:rsidRPr="00650894">
        <w:rPr>
          <w:sz w:val="26"/>
          <w:szCs w:val="26"/>
        </w:rPr>
        <w:t>authorized</w:t>
      </w:r>
      <w:r w:rsidRPr="00650894">
        <w:rPr>
          <w:sz w:val="26"/>
          <w:szCs w:val="26"/>
        </w:rPr>
        <w:t xml:space="preserve"> to bill Verizon PA </w:t>
      </w:r>
      <w:r w:rsidR="00362826" w:rsidRPr="00650894">
        <w:rPr>
          <w:sz w:val="26"/>
          <w:szCs w:val="26"/>
        </w:rPr>
        <w:t xml:space="preserve">at </w:t>
      </w:r>
      <w:r w:rsidRPr="00650894">
        <w:rPr>
          <w:sz w:val="26"/>
          <w:szCs w:val="26"/>
        </w:rPr>
        <w:t>up to the same TELRIC rate for which Verizon PA bills, or should bill, to Core for the same service.  Core alleges that neither Verizon PA nor the ALJ ha</w:t>
      </w:r>
      <w:r w:rsidR="005A7CAD" w:rsidRPr="00650894">
        <w:rPr>
          <w:sz w:val="26"/>
          <w:szCs w:val="26"/>
        </w:rPr>
        <w:t>s</w:t>
      </w:r>
      <w:r w:rsidRPr="00650894">
        <w:rPr>
          <w:sz w:val="26"/>
          <w:szCs w:val="26"/>
        </w:rPr>
        <w:t xml:space="preserve"> proffered any legal or policy reason why the ICA could have or should have reiterated the entire Pricing Appendix to set forth rates for Core.  Instead, Core takes the position that the ICA simply relies on a rate mirroring provision.  Core reasons that although Section A of the Pricing Appendix is titled </w:t>
      </w:r>
      <w:r w:rsidR="00F04EF4" w:rsidRPr="00650894">
        <w:rPr>
          <w:sz w:val="26"/>
          <w:szCs w:val="26"/>
        </w:rPr>
        <w:t>“[</w:t>
      </w:r>
      <w:r w:rsidR="00323D77" w:rsidRPr="00650894">
        <w:rPr>
          <w:sz w:val="26"/>
          <w:szCs w:val="26"/>
        </w:rPr>
        <w:t>Verizon PA</w:t>
      </w:r>
      <w:r w:rsidR="00F04EF4" w:rsidRPr="00650894">
        <w:rPr>
          <w:sz w:val="26"/>
          <w:szCs w:val="26"/>
        </w:rPr>
        <w:t xml:space="preserve">] Services, Facilities and Arrangements,” this does not prohibit Core </w:t>
      </w:r>
      <w:r w:rsidR="00362826" w:rsidRPr="00650894">
        <w:rPr>
          <w:sz w:val="26"/>
          <w:szCs w:val="26"/>
        </w:rPr>
        <w:t>from billing</w:t>
      </w:r>
      <w:r w:rsidR="00F04EF4" w:rsidRPr="00650894">
        <w:rPr>
          <w:sz w:val="26"/>
          <w:szCs w:val="26"/>
        </w:rPr>
        <w:t xml:space="preserve"> Verizon PA for those same rates as permitted in Section B of the Pricing Appendix</w:t>
      </w:r>
      <w:r w:rsidR="00260303" w:rsidRPr="00650894">
        <w:rPr>
          <w:sz w:val="26"/>
          <w:szCs w:val="26"/>
        </w:rPr>
        <w:t xml:space="preserve">, which is titled “Core Services, Facilities and </w:t>
      </w:r>
      <w:r w:rsidR="00041EFA" w:rsidRPr="00650894">
        <w:rPr>
          <w:sz w:val="26"/>
          <w:szCs w:val="26"/>
        </w:rPr>
        <w:t>Arrangements</w:t>
      </w:r>
      <w:r w:rsidR="00260303" w:rsidRPr="00650894">
        <w:rPr>
          <w:sz w:val="26"/>
          <w:szCs w:val="26"/>
        </w:rPr>
        <w:t>,”</w:t>
      </w:r>
      <w:r w:rsidR="00F04EF4" w:rsidRPr="00650894">
        <w:rPr>
          <w:sz w:val="26"/>
          <w:szCs w:val="26"/>
        </w:rPr>
        <w:t xml:space="preserve"> and elsewhere in the ICA.  Core Exc. at 16.</w:t>
      </w:r>
    </w:p>
    <w:p w:rsidR="00E04731" w:rsidRPr="00650894" w:rsidRDefault="00E04731" w:rsidP="00650894">
      <w:pPr>
        <w:spacing w:line="360" w:lineRule="auto"/>
        <w:ind w:firstLine="1440"/>
        <w:contextualSpacing/>
        <w:rPr>
          <w:sz w:val="26"/>
          <w:szCs w:val="26"/>
        </w:rPr>
      </w:pPr>
    </w:p>
    <w:p w:rsidR="00E04731" w:rsidRPr="00650894" w:rsidRDefault="00446473" w:rsidP="008C08A1">
      <w:pPr>
        <w:keepNext/>
        <w:keepLines/>
        <w:spacing w:line="360" w:lineRule="auto"/>
        <w:ind w:left="1440"/>
        <w:contextualSpacing/>
        <w:rPr>
          <w:b/>
          <w:sz w:val="26"/>
          <w:szCs w:val="26"/>
        </w:rPr>
      </w:pPr>
      <w:r w:rsidRPr="00650894">
        <w:rPr>
          <w:b/>
          <w:sz w:val="26"/>
          <w:szCs w:val="26"/>
        </w:rPr>
        <w:t>d</w:t>
      </w:r>
      <w:r w:rsidR="00E04731" w:rsidRPr="00650894">
        <w:rPr>
          <w:b/>
          <w:sz w:val="26"/>
          <w:szCs w:val="26"/>
        </w:rPr>
        <w:t>.</w:t>
      </w:r>
      <w:r w:rsidR="00E04731" w:rsidRPr="00650894">
        <w:rPr>
          <w:b/>
          <w:sz w:val="26"/>
          <w:szCs w:val="26"/>
        </w:rPr>
        <w:tab/>
        <w:t>Verizon PA’s Reply Exceptions</w:t>
      </w:r>
    </w:p>
    <w:p w:rsidR="00E04731" w:rsidRPr="00650894" w:rsidRDefault="00E04731" w:rsidP="00650894">
      <w:pPr>
        <w:keepNext/>
        <w:keepLines/>
        <w:spacing w:line="360" w:lineRule="auto"/>
        <w:ind w:firstLine="1440"/>
        <w:contextualSpacing/>
        <w:rPr>
          <w:sz w:val="26"/>
          <w:szCs w:val="26"/>
        </w:rPr>
      </w:pPr>
    </w:p>
    <w:p w:rsidR="00260303" w:rsidRPr="00650894" w:rsidRDefault="00260303" w:rsidP="00650894">
      <w:pPr>
        <w:spacing w:line="360" w:lineRule="auto"/>
        <w:ind w:firstLine="1440"/>
        <w:contextualSpacing/>
        <w:rPr>
          <w:sz w:val="26"/>
          <w:szCs w:val="26"/>
        </w:rPr>
      </w:pPr>
      <w:bookmarkStart w:id="37" w:name="_Hlk517698426"/>
      <w:r w:rsidRPr="00650894">
        <w:rPr>
          <w:sz w:val="26"/>
          <w:szCs w:val="26"/>
        </w:rPr>
        <w:t xml:space="preserve">Verizon PA </w:t>
      </w:r>
      <w:r w:rsidR="00362826" w:rsidRPr="00650894">
        <w:rPr>
          <w:sz w:val="26"/>
          <w:szCs w:val="26"/>
        </w:rPr>
        <w:t>rejoins</w:t>
      </w:r>
      <w:r w:rsidRPr="00650894">
        <w:rPr>
          <w:sz w:val="26"/>
          <w:szCs w:val="26"/>
        </w:rPr>
        <w:t xml:space="preserve"> that the ALJ correctly rejected Core’s attempt to charge Verizon PA for multiplexing.  </w:t>
      </w:r>
      <w:r w:rsidR="00D9379C" w:rsidRPr="00650894">
        <w:rPr>
          <w:sz w:val="26"/>
          <w:szCs w:val="26"/>
        </w:rPr>
        <w:t>Verizon PA remains of the opinion that Core is not authorized by the ICA to bill Verizon PA a separate charge for multiplexing because the ICA limits Core</w:t>
      </w:r>
      <w:r w:rsidRPr="00650894">
        <w:rPr>
          <w:sz w:val="26"/>
          <w:szCs w:val="26"/>
        </w:rPr>
        <w:t xml:space="preserve"> </w:t>
      </w:r>
      <w:r w:rsidR="00D9379C" w:rsidRPr="00650894">
        <w:rPr>
          <w:sz w:val="26"/>
          <w:szCs w:val="26"/>
        </w:rPr>
        <w:t xml:space="preserve">to billing Verizon PA for reciprocal compensation and for </w:t>
      </w:r>
      <w:r w:rsidR="00882BB0">
        <w:rPr>
          <w:sz w:val="26"/>
          <w:szCs w:val="26"/>
        </w:rPr>
        <w:t>“</w:t>
      </w:r>
      <w:r w:rsidR="00D9379C" w:rsidRPr="00650894">
        <w:rPr>
          <w:sz w:val="26"/>
          <w:szCs w:val="26"/>
        </w:rPr>
        <w:t>Dedicated Transport</w:t>
      </w:r>
      <w:r w:rsidR="00882BB0">
        <w:rPr>
          <w:sz w:val="26"/>
          <w:szCs w:val="26"/>
        </w:rPr>
        <w:t>”</w:t>
      </w:r>
      <w:r w:rsidR="00D9379C" w:rsidRPr="00650894">
        <w:rPr>
          <w:sz w:val="26"/>
          <w:szCs w:val="26"/>
        </w:rPr>
        <w:t xml:space="preserve"> from the POI to the IP, “if necessary.” </w:t>
      </w:r>
      <w:bookmarkEnd w:id="37"/>
      <w:r w:rsidR="00D9379C" w:rsidRPr="00650894">
        <w:rPr>
          <w:sz w:val="26"/>
          <w:szCs w:val="26"/>
        </w:rPr>
        <w:t xml:space="preserve"> Thus, </w:t>
      </w:r>
      <w:r w:rsidR="001677C7" w:rsidRPr="00650894">
        <w:rPr>
          <w:sz w:val="26"/>
          <w:szCs w:val="26"/>
        </w:rPr>
        <w:t>Verizon</w:t>
      </w:r>
      <w:r w:rsidR="00D9379C" w:rsidRPr="00650894">
        <w:rPr>
          <w:sz w:val="26"/>
          <w:szCs w:val="26"/>
        </w:rPr>
        <w:t xml:space="preserve"> PA submits that Section B of</w:t>
      </w:r>
      <w:r w:rsidR="00947E80" w:rsidRPr="00650894">
        <w:rPr>
          <w:sz w:val="26"/>
          <w:szCs w:val="26"/>
        </w:rPr>
        <w:t xml:space="preserve"> the</w:t>
      </w:r>
      <w:r w:rsidR="00D9379C" w:rsidRPr="00650894">
        <w:rPr>
          <w:sz w:val="26"/>
          <w:szCs w:val="26"/>
        </w:rPr>
        <w:t xml:space="preserve"> Pricing Appendix, which outlines Core’s rates to Verizon PA, contains no Core</w:t>
      </w:r>
      <w:r w:rsidR="009469D1">
        <w:rPr>
          <w:sz w:val="26"/>
          <w:szCs w:val="26"/>
        </w:rPr>
        <w:noBreakHyphen/>
      </w:r>
      <w:r w:rsidR="00D9379C" w:rsidRPr="00650894">
        <w:rPr>
          <w:sz w:val="26"/>
          <w:szCs w:val="26"/>
        </w:rPr>
        <w:t>to-Verizon PA multiplexing rates.  Verizon PA further submits that because Core has no tariffed rates for multiplexing, it has no “tariffed or otherwise generally available” multiplexing rates that could apply.  Moreover, Verizon PA highlights</w:t>
      </w:r>
      <w:r w:rsidRPr="00650894">
        <w:rPr>
          <w:sz w:val="26"/>
          <w:szCs w:val="26"/>
        </w:rPr>
        <w:t xml:space="preserve"> that in addressing the similar dispute between the Parties’ Virginia affiliates in the </w:t>
      </w:r>
      <w:r w:rsidRPr="00650894">
        <w:rPr>
          <w:i/>
          <w:sz w:val="26"/>
          <w:szCs w:val="26"/>
        </w:rPr>
        <w:t>CoreTel-Verizon VA Order</w:t>
      </w:r>
      <w:r w:rsidRPr="00650894">
        <w:rPr>
          <w:sz w:val="26"/>
          <w:szCs w:val="26"/>
        </w:rPr>
        <w:t xml:space="preserve">, the Fourth Circuit </w:t>
      </w:r>
      <w:r w:rsidR="00D9379C" w:rsidRPr="00650894">
        <w:rPr>
          <w:sz w:val="26"/>
          <w:szCs w:val="26"/>
        </w:rPr>
        <w:t xml:space="preserve">rejected CoreTel </w:t>
      </w:r>
      <w:r w:rsidR="003A214C" w:rsidRPr="00650894">
        <w:rPr>
          <w:sz w:val="26"/>
          <w:szCs w:val="26"/>
        </w:rPr>
        <w:t>Virginia’s</w:t>
      </w:r>
      <w:r w:rsidR="00D9379C" w:rsidRPr="00650894">
        <w:rPr>
          <w:sz w:val="26"/>
          <w:szCs w:val="26"/>
        </w:rPr>
        <w:t xml:space="preserve"> attempt to bill Verizon Virginia for multiplexing on identical grounds.</w:t>
      </w:r>
      <w:r w:rsidRPr="00650894">
        <w:rPr>
          <w:sz w:val="26"/>
          <w:szCs w:val="26"/>
        </w:rPr>
        <w:t xml:space="preserve"> </w:t>
      </w:r>
      <w:r w:rsidR="00D9379C" w:rsidRPr="00650894">
        <w:rPr>
          <w:sz w:val="26"/>
          <w:szCs w:val="26"/>
        </w:rPr>
        <w:t xml:space="preserve"> Verizon PA R. Exc. at 16</w:t>
      </w:r>
    </w:p>
    <w:p w:rsidR="00D9379C" w:rsidRPr="00650894" w:rsidRDefault="00D9379C" w:rsidP="00650894">
      <w:pPr>
        <w:spacing w:line="360" w:lineRule="auto"/>
        <w:ind w:firstLine="1440"/>
        <w:contextualSpacing/>
        <w:rPr>
          <w:sz w:val="26"/>
          <w:szCs w:val="26"/>
        </w:rPr>
      </w:pPr>
    </w:p>
    <w:p w:rsidR="00D9379C" w:rsidRPr="00650894" w:rsidRDefault="00D9379C" w:rsidP="00650894">
      <w:pPr>
        <w:spacing w:line="360" w:lineRule="auto"/>
        <w:ind w:firstLine="1440"/>
        <w:contextualSpacing/>
        <w:rPr>
          <w:sz w:val="26"/>
          <w:szCs w:val="26"/>
        </w:rPr>
      </w:pPr>
      <w:bookmarkStart w:id="38" w:name="_Hlk517698448"/>
      <w:r w:rsidRPr="00650894">
        <w:rPr>
          <w:sz w:val="26"/>
          <w:szCs w:val="26"/>
        </w:rPr>
        <w:t xml:space="preserve">Verizon PA also restates that in arguing that it is authorized by the ICA to charge for multiplexing separately from </w:t>
      </w:r>
      <w:r w:rsidR="00882BB0">
        <w:rPr>
          <w:sz w:val="26"/>
          <w:szCs w:val="26"/>
        </w:rPr>
        <w:t>“</w:t>
      </w:r>
      <w:r w:rsidRPr="00650894">
        <w:rPr>
          <w:sz w:val="26"/>
          <w:szCs w:val="26"/>
        </w:rPr>
        <w:t>Dedicated Transport,</w:t>
      </w:r>
      <w:r w:rsidR="00882BB0">
        <w:rPr>
          <w:sz w:val="26"/>
          <w:szCs w:val="26"/>
        </w:rPr>
        <w:t>”</w:t>
      </w:r>
      <w:r w:rsidRPr="00650894">
        <w:rPr>
          <w:sz w:val="26"/>
          <w:szCs w:val="26"/>
        </w:rPr>
        <w:t xml:space="preserve"> </w:t>
      </w:r>
      <w:r w:rsidRPr="00650894">
        <w:rPr>
          <w:i/>
          <w:sz w:val="26"/>
          <w:szCs w:val="26"/>
        </w:rPr>
        <w:t>i.e.</w:t>
      </w:r>
      <w:r w:rsidRPr="00650894">
        <w:rPr>
          <w:sz w:val="26"/>
          <w:szCs w:val="26"/>
        </w:rPr>
        <w:t xml:space="preserve"> to charge for standalone multiplexing where Verizon PA provides its own trunks to transport traffic all the way to Core’s switch, Core misinterprets the applicability of Attachment III, Section</w:t>
      </w:r>
      <w:r w:rsidR="00E46BEB">
        <w:rPr>
          <w:sz w:val="26"/>
          <w:szCs w:val="26"/>
        </w:rPr>
        <w:t> </w:t>
      </w:r>
      <w:r w:rsidRPr="00650894">
        <w:rPr>
          <w:sz w:val="26"/>
          <w:szCs w:val="26"/>
        </w:rPr>
        <w:t xml:space="preserve">10 of the ICA, which </w:t>
      </w:r>
      <w:r w:rsidR="00507BDB" w:rsidRPr="00650894">
        <w:rPr>
          <w:sz w:val="26"/>
          <w:szCs w:val="26"/>
        </w:rPr>
        <w:t xml:space="preserve">governs </w:t>
      </w:r>
      <w:r w:rsidR="00962FF0" w:rsidRPr="00650894">
        <w:rPr>
          <w:sz w:val="26"/>
          <w:szCs w:val="26"/>
        </w:rPr>
        <w:t>Verizon PA</w:t>
      </w:r>
      <w:r w:rsidR="00507BDB" w:rsidRPr="00650894">
        <w:rPr>
          <w:sz w:val="26"/>
          <w:szCs w:val="26"/>
        </w:rPr>
        <w:t>’s provision of UNEs but does not govern Core’s provision of services, facilities, or arrangements to Verizon PA</w:t>
      </w:r>
      <w:bookmarkEnd w:id="38"/>
      <w:r w:rsidR="00507BDB" w:rsidRPr="00650894">
        <w:rPr>
          <w:sz w:val="26"/>
          <w:szCs w:val="26"/>
        </w:rPr>
        <w:t xml:space="preserve">.  As such, Verizon PA </w:t>
      </w:r>
      <w:r w:rsidR="00B62B75" w:rsidRPr="00650894">
        <w:rPr>
          <w:sz w:val="26"/>
          <w:szCs w:val="26"/>
        </w:rPr>
        <w:t xml:space="preserve">reiterates </w:t>
      </w:r>
      <w:r w:rsidR="006F656A" w:rsidRPr="00650894">
        <w:rPr>
          <w:sz w:val="26"/>
          <w:szCs w:val="26"/>
        </w:rPr>
        <w:t xml:space="preserve">its position </w:t>
      </w:r>
      <w:r w:rsidR="00B62B75" w:rsidRPr="00650894">
        <w:rPr>
          <w:sz w:val="26"/>
          <w:szCs w:val="26"/>
        </w:rPr>
        <w:t>that Core’s charges for m</w:t>
      </w:r>
      <w:r w:rsidR="009F4EC3" w:rsidRPr="00650894">
        <w:rPr>
          <w:sz w:val="26"/>
          <w:szCs w:val="26"/>
        </w:rPr>
        <w:t>ultiplexing are invalid.  Veriz</w:t>
      </w:r>
      <w:r w:rsidR="00B62B75" w:rsidRPr="00650894">
        <w:rPr>
          <w:sz w:val="26"/>
          <w:szCs w:val="26"/>
        </w:rPr>
        <w:t>on PA R.</w:t>
      </w:r>
      <w:r w:rsidR="009469D1">
        <w:rPr>
          <w:sz w:val="26"/>
          <w:szCs w:val="26"/>
        </w:rPr>
        <w:t> </w:t>
      </w:r>
      <w:r w:rsidR="00B62B75" w:rsidRPr="00650894">
        <w:rPr>
          <w:sz w:val="26"/>
          <w:szCs w:val="26"/>
        </w:rPr>
        <w:t>Exc. at 16-17.</w:t>
      </w:r>
    </w:p>
    <w:p w:rsidR="00E04731" w:rsidRPr="00650894" w:rsidRDefault="00E04731" w:rsidP="00650894">
      <w:pPr>
        <w:spacing w:line="360" w:lineRule="auto"/>
        <w:ind w:firstLine="1440"/>
        <w:contextualSpacing/>
        <w:rPr>
          <w:sz w:val="26"/>
          <w:szCs w:val="26"/>
        </w:rPr>
      </w:pPr>
    </w:p>
    <w:p w:rsidR="00E503F6" w:rsidRPr="00650894" w:rsidRDefault="00446473" w:rsidP="008C08A1">
      <w:pPr>
        <w:keepNext/>
        <w:keepLines/>
        <w:ind w:left="1440" w:hanging="720"/>
        <w:contextualSpacing/>
        <w:rPr>
          <w:b/>
          <w:sz w:val="26"/>
          <w:szCs w:val="26"/>
        </w:rPr>
      </w:pPr>
      <w:bookmarkStart w:id="39" w:name="_Hlk517698471"/>
      <w:r w:rsidRPr="00650894">
        <w:rPr>
          <w:b/>
          <w:sz w:val="26"/>
          <w:szCs w:val="26"/>
        </w:rPr>
        <w:t>4</w:t>
      </w:r>
      <w:r w:rsidR="00E503F6" w:rsidRPr="00650894">
        <w:rPr>
          <w:b/>
          <w:sz w:val="26"/>
          <w:szCs w:val="26"/>
        </w:rPr>
        <w:t xml:space="preserve">. </w:t>
      </w:r>
      <w:r w:rsidR="008A0368" w:rsidRPr="00650894">
        <w:rPr>
          <w:b/>
          <w:sz w:val="26"/>
          <w:szCs w:val="26"/>
        </w:rPr>
        <w:tab/>
      </w:r>
      <w:r w:rsidR="00656A14" w:rsidRPr="00650894">
        <w:rPr>
          <w:b/>
          <w:sz w:val="26"/>
          <w:szCs w:val="26"/>
        </w:rPr>
        <w:t xml:space="preserve">Whether </w:t>
      </w:r>
      <w:r w:rsidR="00560B36" w:rsidRPr="00650894">
        <w:rPr>
          <w:b/>
          <w:sz w:val="26"/>
          <w:szCs w:val="26"/>
        </w:rPr>
        <w:t xml:space="preserve">Core </w:t>
      </w:r>
      <w:r w:rsidR="00656A14" w:rsidRPr="00650894">
        <w:rPr>
          <w:b/>
          <w:sz w:val="26"/>
          <w:szCs w:val="26"/>
        </w:rPr>
        <w:t xml:space="preserve">is </w:t>
      </w:r>
      <w:r w:rsidR="00560B36" w:rsidRPr="00650894">
        <w:rPr>
          <w:b/>
          <w:sz w:val="26"/>
          <w:szCs w:val="26"/>
        </w:rPr>
        <w:t>authorized under the ICA to bill Verizon PA for entrance fac</w:t>
      </w:r>
      <w:r w:rsidR="00656A14" w:rsidRPr="00650894">
        <w:rPr>
          <w:b/>
          <w:sz w:val="26"/>
          <w:szCs w:val="26"/>
        </w:rPr>
        <w:t>ilities and dedicated transport</w:t>
      </w:r>
      <w:r w:rsidR="004D141F" w:rsidRPr="00650894">
        <w:rPr>
          <w:b/>
          <w:sz w:val="26"/>
          <w:szCs w:val="26"/>
        </w:rPr>
        <w:t xml:space="preserve"> (Core Exception No. 5)</w:t>
      </w:r>
    </w:p>
    <w:bookmarkEnd w:id="39"/>
    <w:p w:rsidR="00656A14" w:rsidRPr="00650894" w:rsidRDefault="00656A14" w:rsidP="00650894">
      <w:pPr>
        <w:keepNext/>
        <w:keepLines/>
        <w:spacing w:line="360" w:lineRule="auto"/>
        <w:contextualSpacing/>
        <w:rPr>
          <w:sz w:val="26"/>
          <w:szCs w:val="26"/>
        </w:rPr>
      </w:pPr>
    </w:p>
    <w:p w:rsidR="00E04731" w:rsidRPr="00650894" w:rsidRDefault="00446473" w:rsidP="008C08A1">
      <w:pPr>
        <w:keepNext/>
        <w:keepLines/>
        <w:spacing w:line="360" w:lineRule="auto"/>
        <w:ind w:left="1440"/>
        <w:contextualSpacing/>
        <w:rPr>
          <w:b/>
          <w:sz w:val="26"/>
          <w:szCs w:val="26"/>
        </w:rPr>
      </w:pPr>
      <w:r w:rsidRPr="00650894">
        <w:rPr>
          <w:b/>
          <w:sz w:val="26"/>
          <w:szCs w:val="26"/>
        </w:rPr>
        <w:t>a</w:t>
      </w:r>
      <w:r w:rsidR="00E04731" w:rsidRPr="00650894">
        <w:rPr>
          <w:b/>
          <w:sz w:val="26"/>
          <w:szCs w:val="26"/>
        </w:rPr>
        <w:t>.</w:t>
      </w:r>
      <w:r w:rsidR="00E04731" w:rsidRPr="00650894">
        <w:rPr>
          <w:b/>
          <w:sz w:val="26"/>
          <w:szCs w:val="26"/>
        </w:rPr>
        <w:tab/>
        <w:t>Positions of the Parties</w:t>
      </w:r>
    </w:p>
    <w:p w:rsidR="00E04731" w:rsidRPr="00650894" w:rsidRDefault="00E04731" w:rsidP="00650894">
      <w:pPr>
        <w:keepNext/>
        <w:keepLines/>
        <w:spacing w:line="360" w:lineRule="auto"/>
        <w:ind w:firstLine="1440"/>
        <w:contextualSpacing/>
        <w:rPr>
          <w:sz w:val="26"/>
          <w:szCs w:val="26"/>
        </w:rPr>
      </w:pPr>
    </w:p>
    <w:p w:rsidR="00E04731" w:rsidRPr="00650894" w:rsidRDefault="00E8165E" w:rsidP="00650894">
      <w:pPr>
        <w:spacing w:line="360" w:lineRule="auto"/>
        <w:ind w:firstLine="1440"/>
        <w:contextualSpacing/>
        <w:rPr>
          <w:sz w:val="26"/>
          <w:szCs w:val="26"/>
        </w:rPr>
      </w:pPr>
      <w:bookmarkStart w:id="40" w:name="_Hlk517698486"/>
      <w:r w:rsidRPr="00650894">
        <w:rPr>
          <w:sz w:val="26"/>
          <w:szCs w:val="26"/>
        </w:rPr>
        <w:t xml:space="preserve">Core asserted that Verizon PA breached the ICA by failing to compensate Core for dedicated transport and entrance facilities.  </w:t>
      </w:r>
      <w:r w:rsidR="00C32BAA" w:rsidRPr="00650894">
        <w:rPr>
          <w:sz w:val="26"/>
          <w:szCs w:val="26"/>
        </w:rPr>
        <w:t xml:space="preserve">Core described these facilities as those that carry the originating party’s traffic from </w:t>
      </w:r>
      <w:r w:rsidR="00013CB1" w:rsidRPr="00650894">
        <w:rPr>
          <w:sz w:val="26"/>
          <w:szCs w:val="26"/>
        </w:rPr>
        <w:t>the POI on the</w:t>
      </w:r>
      <w:r w:rsidR="00C32BAA" w:rsidRPr="00650894">
        <w:rPr>
          <w:sz w:val="26"/>
          <w:szCs w:val="26"/>
        </w:rPr>
        <w:t xml:space="preserve"> originating party’s switch</w:t>
      </w:r>
      <w:r w:rsidR="00013CB1" w:rsidRPr="00650894">
        <w:rPr>
          <w:sz w:val="26"/>
          <w:szCs w:val="26"/>
        </w:rPr>
        <w:t xml:space="preserve"> to the IP on the</w:t>
      </w:r>
      <w:r w:rsidR="007A407C" w:rsidRPr="00650894">
        <w:rPr>
          <w:sz w:val="26"/>
          <w:szCs w:val="26"/>
        </w:rPr>
        <w:t xml:space="preserve"> terminating party’s switch</w:t>
      </w:r>
      <w:r w:rsidR="00013CB1" w:rsidRPr="00650894">
        <w:rPr>
          <w:sz w:val="26"/>
          <w:szCs w:val="26"/>
        </w:rPr>
        <w:t xml:space="preserve">. </w:t>
      </w:r>
      <w:r w:rsidR="0058416A" w:rsidRPr="00650894">
        <w:rPr>
          <w:sz w:val="26"/>
          <w:szCs w:val="26"/>
        </w:rPr>
        <w:t xml:space="preserve"> </w:t>
      </w:r>
      <w:r w:rsidRPr="00650894">
        <w:rPr>
          <w:sz w:val="26"/>
          <w:szCs w:val="26"/>
        </w:rPr>
        <w:t xml:space="preserve">Core stated that </w:t>
      </w:r>
      <w:r w:rsidR="0058416A" w:rsidRPr="00650894">
        <w:rPr>
          <w:sz w:val="26"/>
          <w:szCs w:val="26"/>
        </w:rPr>
        <w:t xml:space="preserve">charges for dedicated transport apply to an assortment of transport scenarios, while charges for entrance facilities apply specifically to transport </w:t>
      </w:r>
      <w:r w:rsidR="000B6793" w:rsidRPr="00650894">
        <w:rPr>
          <w:sz w:val="26"/>
          <w:szCs w:val="26"/>
        </w:rPr>
        <w:t>that</w:t>
      </w:r>
      <w:r w:rsidR="0058416A" w:rsidRPr="00650894">
        <w:rPr>
          <w:sz w:val="26"/>
          <w:szCs w:val="26"/>
        </w:rPr>
        <w:t xml:space="preserve"> provides an entrance point into a carrier’s network. </w:t>
      </w:r>
      <w:bookmarkEnd w:id="40"/>
      <w:r w:rsidR="0058416A" w:rsidRPr="00650894">
        <w:rPr>
          <w:sz w:val="26"/>
          <w:szCs w:val="26"/>
        </w:rPr>
        <w:t xml:space="preserve"> </w:t>
      </w:r>
      <w:r w:rsidR="00851569" w:rsidRPr="00650894">
        <w:rPr>
          <w:sz w:val="26"/>
          <w:szCs w:val="26"/>
        </w:rPr>
        <w:t>According to Core, it is permitted to bill Verizon PA for dedicated transport and entrance facilities pursuant to</w:t>
      </w:r>
      <w:r w:rsidR="00A260CC" w:rsidRPr="00650894">
        <w:rPr>
          <w:sz w:val="26"/>
          <w:szCs w:val="26"/>
        </w:rPr>
        <w:t xml:space="preserve"> the following sections of the Parties’ ICA:</w:t>
      </w:r>
      <w:r w:rsidR="00851569" w:rsidRPr="00650894">
        <w:rPr>
          <w:sz w:val="26"/>
          <w:szCs w:val="26"/>
        </w:rPr>
        <w:t xml:space="preserve"> Attachment IV, Section 1.2.2, 1.2.1.1 (outlining the definition of an IP), 1.2.1.2 (outlining the definition of a POI), and 2.4.2.  </w:t>
      </w:r>
      <w:r w:rsidR="00003EC2" w:rsidRPr="00650894">
        <w:rPr>
          <w:sz w:val="26"/>
          <w:szCs w:val="26"/>
        </w:rPr>
        <w:t xml:space="preserve">Additionally, Core argued that Section A, Item II.A of the Pricing Appendix (pertaining to </w:t>
      </w:r>
      <w:r w:rsidR="00A260CC" w:rsidRPr="00650894">
        <w:rPr>
          <w:sz w:val="26"/>
          <w:szCs w:val="26"/>
        </w:rPr>
        <w:t>d</w:t>
      </w:r>
      <w:r w:rsidR="00003EC2" w:rsidRPr="00650894">
        <w:rPr>
          <w:sz w:val="26"/>
          <w:szCs w:val="26"/>
        </w:rPr>
        <w:t xml:space="preserve">edicated transport) provides for a DS-3 monthly recurring charge of $489.55 and a per mile monthly recurring charge of $16.94, while Section A, Item II.C of the Pricing Appendix (pertaining to </w:t>
      </w:r>
      <w:r w:rsidR="00A260CC" w:rsidRPr="00650894">
        <w:rPr>
          <w:sz w:val="26"/>
          <w:szCs w:val="26"/>
        </w:rPr>
        <w:t>e</w:t>
      </w:r>
      <w:r w:rsidR="00003EC2" w:rsidRPr="00650894">
        <w:rPr>
          <w:sz w:val="26"/>
          <w:szCs w:val="26"/>
        </w:rPr>
        <w:t xml:space="preserve">ntrance </w:t>
      </w:r>
      <w:r w:rsidR="00A260CC" w:rsidRPr="00650894">
        <w:rPr>
          <w:sz w:val="26"/>
          <w:szCs w:val="26"/>
        </w:rPr>
        <w:t>f</w:t>
      </w:r>
      <w:r w:rsidR="00003EC2" w:rsidRPr="00650894">
        <w:rPr>
          <w:sz w:val="26"/>
          <w:szCs w:val="26"/>
        </w:rPr>
        <w:t>acilities) provides for a DS-3 Channel Termination monthly recurring charge of $975.90.</w:t>
      </w:r>
      <w:r w:rsidR="00614111" w:rsidRPr="00650894">
        <w:rPr>
          <w:sz w:val="26"/>
          <w:szCs w:val="26"/>
        </w:rPr>
        <w:t xml:space="preserve">  Core asserted that these ICA provisions are fully consistent with the FCC’s guidance on the issue of pricing interconnection facilities as set forth in </w:t>
      </w:r>
      <w:r w:rsidR="00614111" w:rsidRPr="00650894">
        <w:rPr>
          <w:i/>
          <w:sz w:val="26"/>
          <w:szCs w:val="26"/>
        </w:rPr>
        <w:t>In the Matter of Implementation of the Local Competition Provisions in the Telecommunications Act of 1996, Interconnection between Local Exchange Carriers and Commercial Mobile Radio Service Providers, First Report and Order</w:t>
      </w:r>
      <w:r w:rsidR="00614111" w:rsidRPr="00650894">
        <w:rPr>
          <w:sz w:val="26"/>
          <w:szCs w:val="26"/>
        </w:rPr>
        <w:t>, 11 FCC Rcd 15499 (August 8, 1996) (</w:t>
      </w:r>
      <w:r w:rsidR="00614111" w:rsidRPr="00650894">
        <w:rPr>
          <w:i/>
          <w:sz w:val="26"/>
          <w:szCs w:val="26"/>
        </w:rPr>
        <w:t>Local Competition Order</w:t>
      </w:r>
      <w:r w:rsidR="00614111" w:rsidRPr="00650894">
        <w:rPr>
          <w:sz w:val="26"/>
          <w:szCs w:val="26"/>
        </w:rPr>
        <w:t>).  Core M.B. at 16-17.</w:t>
      </w:r>
    </w:p>
    <w:p w:rsidR="00614111" w:rsidRPr="00650894" w:rsidRDefault="00614111" w:rsidP="00650894">
      <w:pPr>
        <w:spacing w:line="360" w:lineRule="auto"/>
        <w:ind w:firstLine="1440"/>
        <w:contextualSpacing/>
        <w:rPr>
          <w:sz w:val="26"/>
          <w:szCs w:val="26"/>
        </w:rPr>
      </w:pPr>
    </w:p>
    <w:p w:rsidR="00614111" w:rsidRPr="00650894" w:rsidRDefault="00F74770" w:rsidP="00650894">
      <w:pPr>
        <w:spacing w:line="360" w:lineRule="auto"/>
        <w:ind w:firstLine="1440"/>
        <w:contextualSpacing/>
        <w:rPr>
          <w:sz w:val="26"/>
          <w:szCs w:val="26"/>
        </w:rPr>
      </w:pPr>
      <w:r w:rsidRPr="00650894">
        <w:rPr>
          <w:sz w:val="26"/>
          <w:szCs w:val="26"/>
        </w:rPr>
        <w:t xml:space="preserve">Core explained that </w:t>
      </w:r>
      <w:r w:rsidR="004B1A25" w:rsidRPr="00650894">
        <w:rPr>
          <w:sz w:val="26"/>
          <w:szCs w:val="26"/>
        </w:rPr>
        <w:t xml:space="preserve">the </w:t>
      </w:r>
      <w:r w:rsidRPr="00650894">
        <w:rPr>
          <w:sz w:val="26"/>
          <w:szCs w:val="26"/>
        </w:rPr>
        <w:t>only</w:t>
      </w:r>
      <w:r w:rsidR="00223785" w:rsidRPr="00650894">
        <w:rPr>
          <w:sz w:val="26"/>
          <w:szCs w:val="26"/>
        </w:rPr>
        <w:t xml:space="preserve"> LATA in which it</w:t>
      </w:r>
      <w:r w:rsidRPr="00650894">
        <w:rPr>
          <w:sz w:val="26"/>
          <w:szCs w:val="26"/>
        </w:rPr>
        <w:t xml:space="preserve"> bills Verizon </w:t>
      </w:r>
      <w:r w:rsidR="001937C2" w:rsidRPr="00650894">
        <w:rPr>
          <w:sz w:val="26"/>
          <w:szCs w:val="26"/>
        </w:rPr>
        <w:t xml:space="preserve">PA </w:t>
      </w:r>
      <w:r w:rsidRPr="00650894">
        <w:rPr>
          <w:sz w:val="26"/>
          <w:szCs w:val="26"/>
        </w:rPr>
        <w:t>for dedicated transport and entrance facilities i</w:t>
      </w:r>
      <w:r w:rsidR="00223785" w:rsidRPr="00650894">
        <w:rPr>
          <w:sz w:val="26"/>
          <w:szCs w:val="26"/>
        </w:rPr>
        <w:t>s</w:t>
      </w:r>
      <w:r w:rsidRPr="00650894">
        <w:rPr>
          <w:sz w:val="26"/>
          <w:szCs w:val="26"/>
        </w:rPr>
        <w:t xml:space="preserve"> the Philadelphia LATA</w:t>
      </w:r>
      <w:r w:rsidR="00223785" w:rsidRPr="00650894">
        <w:rPr>
          <w:sz w:val="26"/>
          <w:szCs w:val="26"/>
        </w:rPr>
        <w:t>.  According to Core,</w:t>
      </w:r>
      <w:r w:rsidRPr="00650894">
        <w:rPr>
          <w:sz w:val="26"/>
          <w:szCs w:val="26"/>
        </w:rPr>
        <w:t xml:space="preserve"> it established an OC-12 fiber optic transport system in Philadelphia which supports multiple DS3s carrying Verizon PA</w:t>
      </w:r>
      <w:r w:rsidR="00013CB1" w:rsidRPr="00650894">
        <w:rPr>
          <w:sz w:val="26"/>
          <w:szCs w:val="26"/>
        </w:rPr>
        <w:t>’s</w:t>
      </w:r>
      <w:r w:rsidRPr="00650894">
        <w:rPr>
          <w:sz w:val="26"/>
          <w:szCs w:val="26"/>
        </w:rPr>
        <w:t xml:space="preserve"> traffic to Core’s switch in Philadelphia.  Core noted that Attachment IV, Section </w:t>
      </w:r>
      <w:r w:rsidR="00323D77" w:rsidRPr="00650894">
        <w:rPr>
          <w:sz w:val="26"/>
          <w:szCs w:val="26"/>
        </w:rPr>
        <w:t>1.2.2 of</w:t>
      </w:r>
      <w:r w:rsidR="00A260CC" w:rsidRPr="00650894">
        <w:rPr>
          <w:sz w:val="26"/>
          <w:szCs w:val="26"/>
        </w:rPr>
        <w:t xml:space="preserve"> the ICA </w:t>
      </w:r>
      <w:r w:rsidRPr="00650894">
        <w:rPr>
          <w:sz w:val="26"/>
          <w:szCs w:val="26"/>
        </w:rPr>
        <w:t>includes the provision that “</w:t>
      </w:r>
      <w:r w:rsidR="00A260CC" w:rsidRPr="00650894">
        <w:rPr>
          <w:sz w:val="26"/>
          <w:szCs w:val="26"/>
        </w:rPr>
        <w:t>[t]</w:t>
      </w:r>
      <w:r w:rsidRPr="00650894">
        <w:rPr>
          <w:sz w:val="26"/>
          <w:szCs w:val="26"/>
        </w:rPr>
        <w:t>he Party delivering traffic to the other Party’s IP(s) shall do so by purchasing from the other Party transport between the POI(s) and the IP(s), if necessary.”  Core posits that the only reasonable reading of the phrase</w:t>
      </w:r>
      <w:r w:rsidR="00D72E87" w:rsidRPr="00650894">
        <w:rPr>
          <w:sz w:val="26"/>
          <w:szCs w:val="26"/>
        </w:rPr>
        <w:t xml:space="preserve"> </w:t>
      </w:r>
      <w:r w:rsidRPr="00650894">
        <w:rPr>
          <w:sz w:val="26"/>
          <w:szCs w:val="26"/>
        </w:rPr>
        <w:t>“if necessary,” as used in this provision, is that if the POI and the IP are in the same place then no</w:t>
      </w:r>
      <w:r w:rsidR="009E7916" w:rsidRPr="00650894">
        <w:rPr>
          <w:sz w:val="26"/>
          <w:szCs w:val="26"/>
        </w:rPr>
        <w:t xml:space="preserve"> transport is necessary</w:t>
      </w:r>
      <w:bookmarkStart w:id="41" w:name="_Hlk517699100"/>
      <w:r w:rsidR="009E7916" w:rsidRPr="00650894">
        <w:rPr>
          <w:sz w:val="26"/>
          <w:szCs w:val="26"/>
        </w:rPr>
        <w:t>.  Core submit</w:t>
      </w:r>
      <w:r w:rsidR="007D49C4" w:rsidRPr="00650894">
        <w:rPr>
          <w:sz w:val="26"/>
          <w:szCs w:val="26"/>
        </w:rPr>
        <w:t>ted</w:t>
      </w:r>
      <w:r w:rsidRPr="00650894">
        <w:rPr>
          <w:sz w:val="26"/>
          <w:szCs w:val="26"/>
        </w:rPr>
        <w:t xml:space="preserve"> that the transport </w:t>
      </w:r>
      <w:r w:rsidR="009E7916" w:rsidRPr="00650894">
        <w:rPr>
          <w:sz w:val="26"/>
          <w:szCs w:val="26"/>
        </w:rPr>
        <w:t xml:space="preserve">it </w:t>
      </w:r>
      <w:r w:rsidR="00D72E87" w:rsidRPr="00650894">
        <w:rPr>
          <w:sz w:val="26"/>
          <w:szCs w:val="26"/>
        </w:rPr>
        <w:t>provides to V</w:t>
      </w:r>
      <w:r w:rsidRPr="00650894">
        <w:rPr>
          <w:sz w:val="26"/>
          <w:szCs w:val="26"/>
        </w:rPr>
        <w:t xml:space="preserve">erizon PA in Philadelphia is “necessary” because, there would be no other transport facility that connects Core’s IP in Broad Street to the POI in </w:t>
      </w:r>
      <w:r w:rsidR="00323D77" w:rsidRPr="00650894">
        <w:rPr>
          <w:sz w:val="26"/>
          <w:szCs w:val="26"/>
        </w:rPr>
        <w:t>Verizon PA</w:t>
      </w:r>
      <w:r w:rsidRPr="00650894">
        <w:rPr>
          <w:sz w:val="26"/>
          <w:szCs w:val="26"/>
        </w:rPr>
        <w:t>’s Race Street Central Office</w:t>
      </w:r>
      <w:r w:rsidR="00504B64" w:rsidRPr="00650894">
        <w:rPr>
          <w:sz w:val="26"/>
          <w:szCs w:val="26"/>
        </w:rPr>
        <w:t>, but for Core’s fiber-optic transport facility</w:t>
      </w:r>
      <w:r w:rsidRPr="00650894">
        <w:rPr>
          <w:sz w:val="26"/>
          <w:szCs w:val="26"/>
        </w:rPr>
        <w:t xml:space="preserve">.  </w:t>
      </w:r>
      <w:bookmarkEnd w:id="41"/>
      <w:r w:rsidR="009E7916" w:rsidRPr="00650894">
        <w:rPr>
          <w:sz w:val="26"/>
          <w:szCs w:val="26"/>
        </w:rPr>
        <w:t>Core M.B. at 17-18</w:t>
      </w:r>
      <w:r w:rsidR="008C08A1">
        <w:rPr>
          <w:sz w:val="26"/>
          <w:szCs w:val="26"/>
        </w:rPr>
        <w:t>.</w:t>
      </w:r>
    </w:p>
    <w:p w:rsidR="009E7916" w:rsidRPr="00650894" w:rsidRDefault="009E7916" w:rsidP="00650894">
      <w:pPr>
        <w:spacing w:line="360" w:lineRule="auto"/>
        <w:ind w:firstLine="1440"/>
        <w:contextualSpacing/>
        <w:rPr>
          <w:sz w:val="26"/>
          <w:szCs w:val="26"/>
        </w:rPr>
      </w:pPr>
    </w:p>
    <w:p w:rsidR="00163DE9" w:rsidRPr="00650894" w:rsidRDefault="00810041" w:rsidP="00650894">
      <w:pPr>
        <w:spacing w:line="360" w:lineRule="auto"/>
        <w:ind w:firstLine="1440"/>
        <w:contextualSpacing/>
        <w:rPr>
          <w:sz w:val="26"/>
          <w:szCs w:val="26"/>
        </w:rPr>
      </w:pPr>
      <w:r w:rsidRPr="00650894">
        <w:rPr>
          <w:sz w:val="26"/>
          <w:szCs w:val="26"/>
        </w:rPr>
        <w:t xml:space="preserve">Verizon </w:t>
      </w:r>
      <w:r w:rsidR="007F18EB" w:rsidRPr="00650894">
        <w:rPr>
          <w:sz w:val="26"/>
          <w:szCs w:val="26"/>
        </w:rPr>
        <w:t xml:space="preserve">PA rebutted that Core began billing it </w:t>
      </w:r>
      <w:r w:rsidR="005D7860" w:rsidRPr="00650894">
        <w:rPr>
          <w:sz w:val="26"/>
          <w:szCs w:val="26"/>
        </w:rPr>
        <w:t>for entrance f</w:t>
      </w:r>
      <w:r w:rsidR="007F18EB" w:rsidRPr="00650894">
        <w:rPr>
          <w:sz w:val="26"/>
          <w:szCs w:val="26"/>
        </w:rPr>
        <w:t xml:space="preserve">acilities and </w:t>
      </w:r>
      <w:r w:rsidR="00A260CC" w:rsidRPr="00650894">
        <w:rPr>
          <w:sz w:val="26"/>
          <w:szCs w:val="26"/>
        </w:rPr>
        <w:t>dedicated</w:t>
      </w:r>
      <w:r w:rsidR="007F18EB" w:rsidRPr="00650894">
        <w:rPr>
          <w:sz w:val="26"/>
          <w:szCs w:val="26"/>
        </w:rPr>
        <w:t xml:space="preserve"> </w:t>
      </w:r>
      <w:r w:rsidR="005D7860" w:rsidRPr="00650894">
        <w:rPr>
          <w:sz w:val="26"/>
          <w:szCs w:val="26"/>
        </w:rPr>
        <w:t>t</w:t>
      </w:r>
      <w:r w:rsidR="007F18EB" w:rsidRPr="00650894">
        <w:rPr>
          <w:sz w:val="26"/>
          <w:szCs w:val="26"/>
        </w:rPr>
        <w:t>ransport in the Philadelphia LATA in January 2013, presumably a</w:t>
      </w:r>
      <w:r w:rsidR="005D7860" w:rsidRPr="00650894">
        <w:rPr>
          <w:sz w:val="26"/>
          <w:szCs w:val="26"/>
        </w:rPr>
        <w:t>s a</w:t>
      </w:r>
      <w:r w:rsidR="007F18EB" w:rsidRPr="00650894">
        <w:rPr>
          <w:sz w:val="26"/>
          <w:szCs w:val="26"/>
        </w:rPr>
        <w:t xml:space="preserve"> result of the facilities rearrangement Core requested in the aftermath of its </w:t>
      </w:r>
      <w:r w:rsidR="00013CB1" w:rsidRPr="00650894">
        <w:rPr>
          <w:sz w:val="26"/>
          <w:szCs w:val="26"/>
        </w:rPr>
        <w:t xml:space="preserve">stated </w:t>
      </w:r>
      <w:r w:rsidR="007F18EB" w:rsidRPr="00650894">
        <w:rPr>
          <w:sz w:val="26"/>
          <w:szCs w:val="26"/>
        </w:rPr>
        <w:t xml:space="preserve">intention to “abandon a Philly location.”  </w:t>
      </w:r>
      <w:r w:rsidR="00CB2689" w:rsidRPr="00650894">
        <w:rPr>
          <w:sz w:val="26"/>
          <w:szCs w:val="26"/>
        </w:rPr>
        <w:t xml:space="preserve">Verizon PA explained that Core’s wire center in </w:t>
      </w:r>
      <w:r w:rsidR="00F63C94" w:rsidRPr="00650894">
        <w:rPr>
          <w:sz w:val="26"/>
          <w:szCs w:val="26"/>
        </w:rPr>
        <w:t>Philadelphia</w:t>
      </w:r>
      <w:r w:rsidR="00CB2689" w:rsidRPr="00650894">
        <w:rPr>
          <w:sz w:val="26"/>
          <w:szCs w:val="26"/>
        </w:rPr>
        <w:t xml:space="preserve"> is located at 401 North Broad Street, while Verizon PA’s </w:t>
      </w:r>
      <w:r w:rsidR="00F63C94" w:rsidRPr="00650894">
        <w:rPr>
          <w:sz w:val="26"/>
          <w:szCs w:val="26"/>
        </w:rPr>
        <w:t>switch</w:t>
      </w:r>
      <w:r w:rsidR="00CB2689" w:rsidRPr="00650894">
        <w:rPr>
          <w:sz w:val="26"/>
          <w:szCs w:val="26"/>
        </w:rPr>
        <w:t xml:space="preserve"> is located at 900 Race Street.  </w:t>
      </w:r>
      <w:r w:rsidR="007F18EB" w:rsidRPr="00650894">
        <w:rPr>
          <w:sz w:val="26"/>
          <w:szCs w:val="26"/>
        </w:rPr>
        <w:t>Verizon PA alleged that it was misled by Core regarding Core’s intentions in requesting that Verizon PA move its self-provisioned facilities from 401 North</w:t>
      </w:r>
      <w:r w:rsidR="00CE3D36" w:rsidRPr="00650894">
        <w:rPr>
          <w:sz w:val="26"/>
          <w:szCs w:val="26"/>
        </w:rPr>
        <w:t xml:space="preserve"> Broad Street to 900 Race Street.  </w:t>
      </w:r>
      <w:r w:rsidR="00D72E87" w:rsidRPr="00650894">
        <w:rPr>
          <w:sz w:val="26"/>
          <w:szCs w:val="26"/>
        </w:rPr>
        <w:t>In this regard, Verizon PA claimed</w:t>
      </w:r>
      <w:r w:rsidR="0037797F" w:rsidRPr="00650894">
        <w:rPr>
          <w:sz w:val="26"/>
          <w:szCs w:val="26"/>
        </w:rPr>
        <w:t xml:space="preserve"> that, via an exchange of emails in 2012, Core contacted Verizon PA and </w:t>
      </w:r>
      <w:r w:rsidR="00013CB1" w:rsidRPr="00650894">
        <w:rPr>
          <w:sz w:val="26"/>
          <w:szCs w:val="26"/>
        </w:rPr>
        <w:t>explained</w:t>
      </w:r>
      <w:r w:rsidR="00D72E87" w:rsidRPr="00650894">
        <w:rPr>
          <w:sz w:val="26"/>
          <w:szCs w:val="26"/>
        </w:rPr>
        <w:t xml:space="preserve"> that it was abandoning a location in Philadelphia and needed to discuss </w:t>
      </w:r>
      <w:r w:rsidR="004E43D5" w:rsidRPr="00650894">
        <w:rPr>
          <w:sz w:val="26"/>
          <w:szCs w:val="26"/>
        </w:rPr>
        <w:t xml:space="preserve">the migration of </w:t>
      </w:r>
      <w:r w:rsidR="00013CB1" w:rsidRPr="00650894">
        <w:rPr>
          <w:sz w:val="26"/>
          <w:szCs w:val="26"/>
        </w:rPr>
        <w:t>Verizon PA</w:t>
      </w:r>
      <w:r w:rsidR="00AD5E96" w:rsidRPr="00650894">
        <w:rPr>
          <w:sz w:val="26"/>
          <w:szCs w:val="26"/>
        </w:rPr>
        <w:t>’s self-provisioned</w:t>
      </w:r>
      <w:r w:rsidR="00D72E87" w:rsidRPr="00650894">
        <w:rPr>
          <w:sz w:val="26"/>
          <w:szCs w:val="26"/>
        </w:rPr>
        <w:t xml:space="preserve"> DS3s from North Broad Street to Race Street.  Verizon PA argued that once it honored Core’s request</w:t>
      </w:r>
      <w:r w:rsidR="004E43D5" w:rsidRPr="00650894">
        <w:rPr>
          <w:sz w:val="26"/>
          <w:szCs w:val="26"/>
        </w:rPr>
        <w:t xml:space="preserve"> by moving its self-provisioned facilities</w:t>
      </w:r>
      <w:r w:rsidR="00D72E87" w:rsidRPr="00650894">
        <w:rPr>
          <w:sz w:val="26"/>
          <w:szCs w:val="26"/>
        </w:rPr>
        <w:t xml:space="preserve">, Core began to bill it for the entrance facilities and </w:t>
      </w:r>
      <w:r w:rsidR="00AD5E96" w:rsidRPr="00650894">
        <w:rPr>
          <w:sz w:val="26"/>
          <w:szCs w:val="26"/>
        </w:rPr>
        <w:t>dedicated</w:t>
      </w:r>
      <w:r w:rsidR="00D72E87" w:rsidRPr="00650894">
        <w:rPr>
          <w:sz w:val="26"/>
          <w:szCs w:val="26"/>
        </w:rPr>
        <w:t xml:space="preserve"> transport to carry Verizon</w:t>
      </w:r>
      <w:r w:rsidR="004E43D5" w:rsidRPr="00650894">
        <w:rPr>
          <w:sz w:val="26"/>
          <w:szCs w:val="26"/>
        </w:rPr>
        <w:t xml:space="preserve"> PA</w:t>
      </w:r>
      <w:r w:rsidR="00D72E87" w:rsidRPr="00650894">
        <w:rPr>
          <w:sz w:val="26"/>
          <w:szCs w:val="26"/>
        </w:rPr>
        <w:t>’s local traffic from 900 Race Street</w:t>
      </w:r>
      <w:r w:rsidR="006E307F" w:rsidRPr="00650894">
        <w:rPr>
          <w:sz w:val="26"/>
          <w:szCs w:val="26"/>
        </w:rPr>
        <w:t xml:space="preserve"> back to 401 North Broad Street, the very location Core claimed to be abandoning.  Verizon PA </w:t>
      </w:r>
      <w:r w:rsidR="00013CB1" w:rsidRPr="00650894">
        <w:rPr>
          <w:sz w:val="26"/>
          <w:szCs w:val="26"/>
        </w:rPr>
        <w:t>alleged that Core did this</w:t>
      </w:r>
      <w:r w:rsidR="006E307F" w:rsidRPr="00650894">
        <w:rPr>
          <w:sz w:val="26"/>
          <w:szCs w:val="26"/>
        </w:rPr>
        <w:t xml:space="preserve"> in attempt to manipulate the designation of </w:t>
      </w:r>
      <w:r w:rsidR="00AD5E96" w:rsidRPr="00650894">
        <w:rPr>
          <w:sz w:val="26"/>
          <w:szCs w:val="26"/>
        </w:rPr>
        <w:t xml:space="preserve">the </w:t>
      </w:r>
      <w:r w:rsidR="006E307F" w:rsidRPr="00650894">
        <w:rPr>
          <w:sz w:val="26"/>
          <w:szCs w:val="26"/>
        </w:rPr>
        <w:t>POIs for the purpose of maximizing the transport revenues Verizon PA must pay to Core.  As a result, Verizon PA submitted that it is entitled under Attachment IV, Section 1.2.2 to seek relief from the Commission.  Further, Verizon PA submitted that in misrepresenting that it was abandoning the 401 North Broad Street location in Philadelphia, Core violated its obligation under Part A, Section 42.1 of the ICA to act in good faith.  Verizon PA M.B. at 12-13, 25-27; Verizon PA R.B. at 22-23.</w:t>
      </w:r>
      <w:r w:rsidR="004E43D5" w:rsidRPr="00650894">
        <w:rPr>
          <w:sz w:val="26"/>
          <w:szCs w:val="26"/>
        </w:rPr>
        <w:t xml:space="preserve">  </w:t>
      </w:r>
      <w:r w:rsidR="006E307F" w:rsidRPr="00650894">
        <w:rPr>
          <w:sz w:val="26"/>
          <w:szCs w:val="26"/>
        </w:rPr>
        <w:t xml:space="preserve">Verizon PA refuted Core’s argument that </w:t>
      </w:r>
      <w:r w:rsidR="000A065D" w:rsidRPr="00650894">
        <w:rPr>
          <w:sz w:val="26"/>
          <w:szCs w:val="26"/>
        </w:rPr>
        <w:t>it was necessary for Verizon PA</w:t>
      </w:r>
      <w:r w:rsidR="006E307F" w:rsidRPr="00650894">
        <w:rPr>
          <w:sz w:val="26"/>
          <w:szCs w:val="26"/>
        </w:rPr>
        <w:t xml:space="preserve"> to purchase transport between the POI and the IP from Core</w:t>
      </w:r>
      <w:r w:rsidR="000A065D" w:rsidRPr="00650894">
        <w:rPr>
          <w:sz w:val="26"/>
          <w:szCs w:val="26"/>
        </w:rPr>
        <w:t xml:space="preserve">.  Verizon PA </w:t>
      </w:r>
      <w:r w:rsidR="004E43D5" w:rsidRPr="00650894">
        <w:rPr>
          <w:sz w:val="26"/>
          <w:szCs w:val="26"/>
        </w:rPr>
        <w:t xml:space="preserve">submitted </w:t>
      </w:r>
      <w:r w:rsidR="000A065D" w:rsidRPr="00650894">
        <w:rPr>
          <w:sz w:val="26"/>
          <w:szCs w:val="26"/>
        </w:rPr>
        <w:t xml:space="preserve">that </w:t>
      </w:r>
      <w:r w:rsidR="004E43D5" w:rsidRPr="00650894">
        <w:rPr>
          <w:sz w:val="26"/>
          <w:szCs w:val="26"/>
        </w:rPr>
        <w:t xml:space="preserve">because </w:t>
      </w:r>
      <w:r w:rsidR="000A065D" w:rsidRPr="00650894">
        <w:rPr>
          <w:sz w:val="26"/>
          <w:szCs w:val="26"/>
        </w:rPr>
        <w:t>it already had self-provisioned facilities in place to car</w:t>
      </w:r>
      <w:r w:rsidR="004E43D5" w:rsidRPr="00650894">
        <w:rPr>
          <w:sz w:val="26"/>
          <w:szCs w:val="26"/>
        </w:rPr>
        <w:t>ry its traffic all the way to the</w:t>
      </w:r>
      <w:r w:rsidR="000A065D" w:rsidRPr="00650894">
        <w:rPr>
          <w:sz w:val="26"/>
          <w:szCs w:val="26"/>
        </w:rPr>
        <w:t xml:space="preserve"> building housing Core’s switch at 401 North Broad</w:t>
      </w:r>
      <w:r w:rsidR="00017655" w:rsidRPr="00650894">
        <w:rPr>
          <w:sz w:val="26"/>
          <w:szCs w:val="26"/>
        </w:rPr>
        <w:t xml:space="preserve"> S</w:t>
      </w:r>
      <w:r w:rsidR="000A065D" w:rsidRPr="00650894">
        <w:rPr>
          <w:sz w:val="26"/>
          <w:szCs w:val="26"/>
        </w:rPr>
        <w:t>treet</w:t>
      </w:r>
      <w:r w:rsidR="004E43D5" w:rsidRPr="00650894">
        <w:rPr>
          <w:sz w:val="26"/>
          <w:szCs w:val="26"/>
        </w:rPr>
        <w:t xml:space="preserve">, it was not “necessary” for Verizon PA to purchase transport from Core simply because Core requested a </w:t>
      </w:r>
      <w:r w:rsidR="00AD5E96" w:rsidRPr="00650894">
        <w:rPr>
          <w:sz w:val="26"/>
          <w:szCs w:val="26"/>
        </w:rPr>
        <w:t>facilities</w:t>
      </w:r>
      <w:r w:rsidR="004E43D5" w:rsidRPr="00650894">
        <w:rPr>
          <w:sz w:val="26"/>
          <w:szCs w:val="26"/>
        </w:rPr>
        <w:t xml:space="preserve"> rearrangement, misleadingly claiming to be “abandoning” that location</w:t>
      </w:r>
      <w:r w:rsidR="00017655" w:rsidRPr="00650894">
        <w:rPr>
          <w:sz w:val="26"/>
          <w:szCs w:val="26"/>
        </w:rPr>
        <w:t xml:space="preserve">.  </w:t>
      </w:r>
      <w:r w:rsidR="004E43D5" w:rsidRPr="00650894">
        <w:rPr>
          <w:sz w:val="26"/>
          <w:szCs w:val="26"/>
        </w:rPr>
        <w:t>Verizon PA M.B. at 26-29.</w:t>
      </w:r>
    </w:p>
    <w:p w:rsidR="00AD5E96" w:rsidRPr="00650894" w:rsidRDefault="00AD5E96" w:rsidP="00650894">
      <w:pPr>
        <w:spacing w:line="360" w:lineRule="auto"/>
        <w:ind w:firstLine="1440"/>
        <w:contextualSpacing/>
        <w:rPr>
          <w:sz w:val="26"/>
          <w:szCs w:val="26"/>
        </w:rPr>
      </w:pPr>
    </w:p>
    <w:p w:rsidR="00E04731" w:rsidRPr="00650894" w:rsidRDefault="00446473" w:rsidP="008C08A1">
      <w:pPr>
        <w:keepNext/>
        <w:keepLines/>
        <w:spacing w:line="360" w:lineRule="auto"/>
        <w:ind w:left="1440"/>
        <w:contextualSpacing/>
        <w:rPr>
          <w:b/>
          <w:sz w:val="26"/>
          <w:szCs w:val="26"/>
        </w:rPr>
      </w:pPr>
      <w:r w:rsidRPr="00650894">
        <w:rPr>
          <w:b/>
          <w:sz w:val="26"/>
          <w:szCs w:val="26"/>
        </w:rPr>
        <w:t>b</w:t>
      </w:r>
      <w:r w:rsidR="00E04731" w:rsidRPr="00650894">
        <w:rPr>
          <w:b/>
          <w:sz w:val="26"/>
          <w:szCs w:val="26"/>
        </w:rPr>
        <w:t>.</w:t>
      </w:r>
      <w:r w:rsidR="00E04731" w:rsidRPr="00650894">
        <w:rPr>
          <w:b/>
          <w:sz w:val="26"/>
          <w:szCs w:val="26"/>
        </w:rPr>
        <w:tab/>
        <w:t>ALJ Recommendation</w:t>
      </w:r>
    </w:p>
    <w:p w:rsidR="00E04731" w:rsidRPr="00650894" w:rsidRDefault="00E04731" w:rsidP="00650894">
      <w:pPr>
        <w:keepNext/>
        <w:keepLines/>
        <w:spacing w:line="360" w:lineRule="auto"/>
        <w:ind w:firstLine="1440"/>
        <w:contextualSpacing/>
        <w:rPr>
          <w:sz w:val="26"/>
          <w:szCs w:val="26"/>
        </w:rPr>
      </w:pPr>
    </w:p>
    <w:p w:rsidR="00E04731" w:rsidRPr="00650894" w:rsidRDefault="00740D71" w:rsidP="00650894">
      <w:pPr>
        <w:spacing w:line="360" w:lineRule="auto"/>
        <w:ind w:firstLine="1440"/>
        <w:contextualSpacing/>
        <w:rPr>
          <w:sz w:val="26"/>
          <w:szCs w:val="26"/>
        </w:rPr>
      </w:pPr>
      <w:r w:rsidRPr="00650894">
        <w:rPr>
          <w:sz w:val="26"/>
          <w:szCs w:val="26"/>
        </w:rPr>
        <w:t xml:space="preserve">The ALJ denied Core’s claims for charges for entrance facilities and </w:t>
      </w:r>
      <w:r w:rsidR="00662382" w:rsidRPr="00650894">
        <w:rPr>
          <w:sz w:val="26"/>
          <w:szCs w:val="26"/>
        </w:rPr>
        <w:t>dedicated</w:t>
      </w:r>
      <w:r w:rsidRPr="00650894">
        <w:rPr>
          <w:sz w:val="26"/>
          <w:szCs w:val="26"/>
        </w:rPr>
        <w:t xml:space="preserve"> transport associated with the Philadelphia LATA.  In doing so, the ALJ quoted the arguments Verizon PA set forth in its </w:t>
      </w:r>
      <w:r w:rsidR="002342C9" w:rsidRPr="00650894">
        <w:rPr>
          <w:sz w:val="26"/>
          <w:szCs w:val="26"/>
        </w:rPr>
        <w:t>b</w:t>
      </w:r>
      <w:r w:rsidRPr="00650894">
        <w:rPr>
          <w:sz w:val="26"/>
          <w:szCs w:val="26"/>
        </w:rPr>
        <w:t xml:space="preserve">riefs, summarized, </w:t>
      </w:r>
      <w:r w:rsidRPr="00650894">
        <w:rPr>
          <w:i/>
          <w:sz w:val="26"/>
          <w:szCs w:val="26"/>
        </w:rPr>
        <w:t>supra.</w:t>
      </w:r>
      <w:r w:rsidRPr="00650894">
        <w:rPr>
          <w:sz w:val="26"/>
          <w:szCs w:val="26"/>
        </w:rPr>
        <w:t xml:space="preserve">  The ALJ found these arguments </w:t>
      </w:r>
      <w:r w:rsidR="002342C9" w:rsidRPr="00650894">
        <w:rPr>
          <w:sz w:val="26"/>
          <w:szCs w:val="26"/>
        </w:rPr>
        <w:t xml:space="preserve">to be </w:t>
      </w:r>
      <w:r w:rsidRPr="00650894">
        <w:rPr>
          <w:sz w:val="26"/>
          <w:szCs w:val="26"/>
        </w:rPr>
        <w:t>sufficient to determine that Verizon PA “does not owe Core even this small amount.</w:t>
      </w:r>
      <w:r w:rsidR="005D7860" w:rsidRPr="00650894">
        <w:rPr>
          <w:sz w:val="26"/>
          <w:szCs w:val="26"/>
        </w:rPr>
        <w:t>”</w:t>
      </w:r>
      <w:r w:rsidR="00AA5E47" w:rsidRPr="00650894">
        <w:rPr>
          <w:rStyle w:val="FootnoteReference"/>
        </w:rPr>
        <w:footnoteReference w:id="15"/>
      </w:r>
      <w:r w:rsidRPr="00650894">
        <w:rPr>
          <w:sz w:val="26"/>
          <w:szCs w:val="26"/>
        </w:rPr>
        <w:t xml:space="preserve">  </w:t>
      </w:r>
      <w:bookmarkStart w:id="42" w:name="_Hlk517699120"/>
      <w:r w:rsidRPr="00650894">
        <w:rPr>
          <w:sz w:val="26"/>
          <w:szCs w:val="26"/>
        </w:rPr>
        <w:t xml:space="preserve">The ALJ </w:t>
      </w:r>
      <w:r w:rsidR="00850CA9" w:rsidRPr="00650894">
        <w:rPr>
          <w:sz w:val="26"/>
          <w:szCs w:val="26"/>
        </w:rPr>
        <w:t xml:space="preserve">also </w:t>
      </w:r>
      <w:r w:rsidRPr="00650894">
        <w:rPr>
          <w:sz w:val="26"/>
          <w:szCs w:val="26"/>
        </w:rPr>
        <w:t xml:space="preserve">reiterated her finding that under the terms of the ICA, Core is not authorized to bill Verizon PA </w:t>
      </w:r>
      <w:r w:rsidR="000E4FF7" w:rsidRPr="00650894">
        <w:rPr>
          <w:sz w:val="26"/>
          <w:szCs w:val="26"/>
        </w:rPr>
        <w:t xml:space="preserve">at </w:t>
      </w:r>
      <w:r w:rsidRPr="00650894">
        <w:rPr>
          <w:sz w:val="26"/>
          <w:szCs w:val="26"/>
        </w:rPr>
        <w:t xml:space="preserve">the Verizon PA rates outlined in </w:t>
      </w:r>
      <w:r w:rsidR="008E3DD8" w:rsidRPr="00650894">
        <w:rPr>
          <w:sz w:val="26"/>
          <w:szCs w:val="26"/>
        </w:rPr>
        <w:t>Section</w:t>
      </w:r>
      <w:r w:rsidRPr="00650894">
        <w:rPr>
          <w:sz w:val="26"/>
          <w:szCs w:val="26"/>
        </w:rPr>
        <w:t xml:space="preserve"> A of the Pricing Appendix when Core has no tariffed or otherwise generally a</w:t>
      </w:r>
      <w:r w:rsidR="000E4FF7" w:rsidRPr="00650894">
        <w:rPr>
          <w:sz w:val="26"/>
          <w:szCs w:val="26"/>
        </w:rPr>
        <w:t>vail</w:t>
      </w:r>
      <w:r w:rsidRPr="00650894">
        <w:rPr>
          <w:sz w:val="26"/>
          <w:szCs w:val="26"/>
        </w:rPr>
        <w:t>able rate</w:t>
      </w:r>
      <w:r w:rsidR="00854B6F">
        <w:rPr>
          <w:sz w:val="26"/>
          <w:szCs w:val="26"/>
        </w:rPr>
        <w:t>s</w:t>
      </w:r>
      <w:r w:rsidRPr="00650894">
        <w:rPr>
          <w:sz w:val="26"/>
          <w:szCs w:val="26"/>
        </w:rPr>
        <w:t xml:space="preserve"> of its own.  I.D. at 46-47; I.D. at 46, n. 22.</w:t>
      </w:r>
      <w:bookmarkEnd w:id="42"/>
    </w:p>
    <w:p w:rsidR="00810041" w:rsidRPr="00650894" w:rsidRDefault="00810041" w:rsidP="00650894">
      <w:pPr>
        <w:spacing w:line="360" w:lineRule="auto"/>
        <w:ind w:firstLine="1440"/>
        <w:contextualSpacing/>
        <w:rPr>
          <w:sz w:val="26"/>
          <w:szCs w:val="26"/>
        </w:rPr>
      </w:pPr>
    </w:p>
    <w:p w:rsidR="00E04731" w:rsidRPr="00650894" w:rsidRDefault="00446473" w:rsidP="008C08A1">
      <w:pPr>
        <w:keepNext/>
        <w:keepLines/>
        <w:spacing w:line="360" w:lineRule="auto"/>
        <w:ind w:left="1440"/>
        <w:contextualSpacing/>
        <w:rPr>
          <w:sz w:val="26"/>
          <w:szCs w:val="26"/>
        </w:rPr>
      </w:pPr>
      <w:r w:rsidRPr="00650894">
        <w:rPr>
          <w:b/>
          <w:sz w:val="26"/>
          <w:szCs w:val="26"/>
        </w:rPr>
        <w:t>c</w:t>
      </w:r>
      <w:r w:rsidR="00E04731" w:rsidRPr="00650894">
        <w:rPr>
          <w:b/>
          <w:sz w:val="26"/>
          <w:szCs w:val="26"/>
        </w:rPr>
        <w:t>.</w:t>
      </w:r>
      <w:r w:rsidR="00E04731" w:rsidRPr="00650894">
        <w:rPr>
          <w:b/>
          <w:sz w:val="26"/>
          <w:szCs w:val="26"/>
        </w:rPr>
        <w:tab/>
        <w:t>Core’s Exceptions</w:t>
      </w:r>
    </w:p>
    <w:p w:rsidR="003D0354" w:rsidRPr="00650894" w:rsidRDefault="003D0354" w:rsidP="00650894">
      <w:pPr>
        <w:keepNext/>
        <w:keepLines/>
        <w:spacing w:line="360" w:lineRule="auto"/>
        <w:ind w:firstLine="1440"/>
        <w:contextualSpacing/>
        <w:rPr>
          <w:sz w:val="26"/>
          <w:szCs w:val="26"/>
        </w:rPr>
      </w:pPr>
    </w:p>
    <w:p w:rsidR="00067AFE" w:rsidRPr="00650894" w:rsidRDefault="009862CC" w:rsidP="00650894">
      <w:pPr>
        <w:spacing w:line="360" w:lineRule="auto"/>
        <w:ind w:firstLine="1440"/>
        <w:contextualSpacing/>
        <w:rPr>
          <w:sz w:val="26"/>
          <w:szCs w:val="26"/>
        </w:rPr>
      </w:pPr>
      <w:r w:rsidRPr="00650894">
        <w:rPr>
          <w:sz w:val="26"/>
          <w:szCs w:val="26"/>
        </w:rPr>
        <w:t xml:space="preserve">Core submits that the ALJ erroneously denied </w:t>
      </w:r>
      <w:r w:rsidR="00DD264A" w:rsidRPr="00650894">
        <w:rPr>
          <w:sz w:val="26"/>
          <w:szCs w:val="26"/>
        </w:rPr>
        <w:t>it</w:t>
      </w:r>
      <w:r w:rsidRPr="00650894">
        <w:rPr>
          <w:sz w:val="26"/>
          <w:szCs w:val="26"/>
        </w:rPr>
        <w:t>s claims for entrance facilities and dedicated transport.  According to Core</w:t>
      </w:r>
      <w:r w:rsidR="00B8183F" w:rsidRPr="00650894">
        <w:rPr>
          <w:sz w:val="26"/>
          <w:szCs w:val="26"/>
        </w:rPr>
        <w:t xml:space="preserve">, </w:t>
      </w:r>
      <w:r w:rsidRPr="00650894">
        <w:rPr>
          <w:sz w:val="26"/>
          <w:szCs w:val="26"/>
        </w:rPr>
        <w:t xml:space="preserve">there is no dispute that it provides the physical facilities that transport Verizon PA’s traffic from its switch to Core’s switch in Philadelphia </w:t>
      </w:r>
      <w:r w:rsidR="00D565E8" w:rsidRPr="00650894">
        <w:rPr>
          <w:sz w:val="26"/>
          <w:szCs w:val="26"/>
        </w:rPr>
        <w:t>or</w:t>
      </w:r>
      <w:r w:rsidRPr="00650894">
        <w:rPr>
          <w:sz w:val="26"/>
          <w:szCs w:val="26"/>
        </w:rPr>
        <w:t xml:space="preserve"> that Core is authorized under the ICA to bill Verizon PA for these facilities.  </w:t>
      </w:r>
      <w:bookmarkStart w:id="43" w:name="_Hlk517699135"/>
      <w:r w:rsidR="00EE3E41" w:rsidRPr="00650894">
        <w:rPr>
          <w:sz w:val="26"/>
          <w:szCs w:val="26"/>
        </w:rPr>
        <w:t xml:space="preserve">Core restates </w:t>
      </w:r>
      <w:r w:rsidR="00CB2689" w:rsidRPr="00650894">
        <w:rPr>
          <w:sz w:val="26"/>
          <w:szCs w:val="26"/>
        </w:rPr>
        <w:t xml:space="preserve">its position </w:t>
      </w:r>
      <w:r w:rsidR="00EE3E41" w:rsidRPr="00650894">
        <w:rPr>
          <w:sz w:val="26"/>
          <w:szCs w:val="26"/>
        </w:rPr>
        <w:t xml:space="preserve">that it billed </w:t>
      </w:r>
      <w:r w:rsidR="00D15037" w:rsidRPr="00650894">
        <w:rPr>
          <w:sz w:val="26"/>
          <w:szCs w:val="26"/>
        </w:rPr>
        <w:t>Verizon PA</w:t>
      </w:r>
      <w:r w:rsidR="00EE3E41" w:rsidRPr="00650894">
        <w:rPr>
          <w:sz w:val="26"/>
          <w:szCs w:val="26"/>
        </w:rPr>
        <w:t xml:space="preserve"> in compliance with Attachment IV, Sections 1.2.2 and 2.4.2 of the ICA.  </w:t>
      </w:r>
      <w:r w:rsidR="00067AFE" w:rsidRPr="00650894">
        <w:rPr>
          <w:sz w:val="26"/>
          <w:szCs w:val="26"/>
        </w:rPr>
        <w:t xml:space="preserve">Core Exc. at 16-17.  </w:t>
      </w:r>
    </w:p>
    <w:bookmarkEnd w:id="43"/>
    <w:p w:rsidR="00067AFE" w:rsidRPr="00650894" w:rsidRDefault="00067AFE" w:rsidP="00650894">
      <w:pPr>
        <w:spacing w:line="360" w:lineRule="auto"/>
        <w:ind w:firstLine="1440"/>
        <w:contextualSpacing/>
        <w:rPr>
          <w:sz w:val="26"/>
          <w:szCs w:val="26"/>
        </w:rPr>
      </w:pPr>
    </w:p>
    <w:p w:rsidR="00E04731" w:rsidRPr="00650894" w:rsidRDefault="00076C1A" w:rsidP="00650894">
      <w:pPr>
        <w:spacing w:line="360" w:lineRule="auto"/>
        <w:ind w:firstLine="1440"/>
        <w:contextualSpacing/>
        <w:rPr>
          <w:sz w:val="26"/>
          <w:szCs w:val="26"/>
        </w:rPr>
      </w:pPr>
      <w:r w:rsidRPr="00650894">
        <w:rPr>
          <w:sz w:val="26"/>
          <w:szCs w:val="26"/>
        </w:rPr>
        <w:t xml:space="preserve">Core finds fault with the ALJ’s adoption of Verizon PA’s position that Core </w:t>
      </w:r>
      <w:r w:rsidR="00067AFE" w:rsidRPr="00650894">
        <w:rPr>
          <w:sz w:val="26"/>
          <w:szCs w:val="26"/>
        </w:rPr>
        <w:t xml:space="preserve">breached the ICA by failing to act in good faith.  Core contends that in setting forth this position, Verizon </w:t>
      </w:r>
      <w:r w:rsidR="008D14A9" w:rsidRPr="00650894">
        <w:rPr>
          <w:sz w:val="26"/>
          <w:szCs w:val="26"/>
        </w:rPr>
        <w:t xml:space="preserve">PA wrongly </w:t>
      </w:r>
      <w:r w:rsidR="00067AFE" w:rsidRPr="00650894">
        <w:rPr>
          <w:sz w:val="26"/>
          <w:szCs w:val="26"/>
        </w:rPr>
        <w:t>relied on an</w:t>
      </w:r>
      <w:r w:rsidR="00D03192" w:rsidRPr="00650894">
        <w:rPr>
          <w:sz w:val="26"/>
          <w:szCs w:val="26"/>
        </w:rPr>
        <w:t xml:space="preserve"> email exchange between Core’s p</w:t>
      </w:r>
      <w:r w:rsidR="00067AFE" w:rsidRPr="00650894">
        <w:rPr>
          <w:sz w:val="26"/>
          <w:szCs w:val="26"/>
        </w:rPr>
        <w:t xml:space="preserve">resident and Verizon PA’s </w:t>
      </w:r>
      <w:r w:rsidR="00D647A4" w:rsidRPr="00650894">
        <w:rPr>
          <w:sz w:val="26"/>
          <w:szCs w:val="26"/>
        </w:rPr>
        <w:t>interconnection t</w:t>
      </w:r>
      <w:r w:rsidR="00D565E8" w:rsidRPr="00650894">
        <w:rPr>
          <w:sz w:val="26"/>
          <w:szCs w:val="26"/>
        </w:rPr>
        <w:t>eam during which Core’s p</w:t>
      </w:r>
      <w:r w:rsidR="008D14A9" w:rsidRPr="00650894">
        <w:rPr>
          <w:sz w:val="26"/>
          <w:szCs w:val="26"/>
        </w:rPr>
        <w:t xml:space="preserve">resident used the word “abandoning.”  Core explains that at the time of this email exchange, Core had just completed construction of </w:t>
      </w:r>
      <w:r w:rsidR="00B92555" w:rsidRPr="00650894">
        <w:rPr>
          <w:sz w:val="26"/>
          <w:szCs w:val="26"/>
        </w:rPr>
        <w:t xml:space="preserve">an </w:t>
      </w:r>
      <w:r w:rsidR="008D14A9" w:rsidRPr="00650894">
        <w:rPr>
          <w:sz w:val="26"/>
          <w:szCs w:val="26"/>
        </w:rPr>
        <w:t>OC-12 fiber ring connecting its switch to Verizon PA’s switch and Philadelphia.  Core elaborates that at that time</w:t>
      </w:r>
      <w:r w:rsidR="00B34449" w:rsidRPr="00650894">
        <w:rPr>
          <w:sz w:val="26"/>
          <w:szCs w:val="26"/>
        </w:rPr>
        <w:t>,</w:t>
      </w:r>
      <w:r w:rsidR="008D14A9" w:rsidRPr="00650894">
        <w:rPr>
          <w:sz w:val="26"/>
          <w:szCs w:val="26"/>
        </w:rPr>
        <w:t xml:space="preserve"> it had two locations within 401 North Broad Street: one on the ninth floor</w:t>
      </w:r>
      <w:r w:rsidR="00D647A4" w:rsidRPr="00650894">
        <w:rPr>
          <w:sz w:val="26"/>
          <w:szCs w:val="26"/>
        </w:rPr>
        <w:t>, which h</w:t>
      </w:r>
      <w:r w:rsidR="008D14A9" w:rsidRPr="00650894">
        <w:rPr>
          <w:sz w:val="26"/>
          <w:szCs w:val="26"/>
        </w:rPr>
        <w:t xml:space="preserve">oused the interconnection facilities with Verizon PA, and one on the fourth floor, which housed and still houses Core’s switch.  Therefore, Core argues that </w:t>
      </w:r>
      <w:r w:rsidR="00D647A4" w:rsidRPr="00650894">
        <w:rPr>
          <w:sz w:val="26"/>
          <w:szCs w:val="26"/>
        </w:rPr>
        <w:t xml:space="preserve">while it was abandoning the </w:t>
      </w:r>
      <w:r w:rsidR="00DD264A" w:rsidRPr="00650894">
        <w:rPr>
          <w:sz w:val="26"/>
          <w:szCs w:val="26"/>
        </w:rPr>
        <w:t>leased space on the ninth floor</w:t>
      </w:r>
      <w:r w:rsidR="00D647A4" w:rsidRPr="00650894">
        <w:rPr>
          <w:sz w:val="26"/>
          <w:szCs w:val="26"/>
        </w:rPr>
        <w:t xml:space="preserve">, which is the point to which Verizon PA had theretofore interconnected its facilities, Core’s switch remained on the fourth floor at the </w:t>
      </w:r>
      <w:r w:rsidR="0003242A" w:rsidRPr="00650894">
        <w:rPr>
          <w:sz w:val="26"/>
          <w:szCs w:val="26"/>
        </w:rPr>
        <w:t xml:space="preserve">401 </w:t>
      </w:r>
      <w:r w:rsidR="00D647A4" w:rsidRPr="00650894">
        <w:rPr>
          <w:sz w:val="26"/>
          <w:szCs w:val="26"/>
        </w:rPr>
        <w:t xml:space="preserve">North Broad Street location.  As such, Core reasons that there was no basis for Verizon PA to believe that Core was relocating its switch to Verizon PA’s Race Street central office.  In Core’s view, Verizon PA must have known that some transport outside of the Race Street central office would be necessary for it to reach Core’s switch.  </w:t>
      </w:r>
      <w:r w:rsidR="00DD264A" w:rsidRPr="00650894">
        <w:rPr>
          <w:sz w:val="26"/>
          <w:szCs w:val="26"/>
        </w:rPr>
        <w:t>Moreover</w:t>
      </w:r>
      <w:r w:rsidR="00C721E4" w:rsidRPr="00650894">
        <w:rPr>
          <w:sz w:val="26"/>
          <w:szCs w:val="26"/>
        </w:rPr>
        <w:t>,</w:t>
      </w:r>
      <w:r w:rsidR="00D647A4" w:rsidRPr="00650894">
        <w:rPr>
          <w:sz w:val="26"/>
          <w:szCs w:val="26"/>
        </w:rPr>
        <w:t xml:space="preserve"> Core submits that </w:t>
      </w:r>
      <w:r w:rsidR="00DD264A" w:rsidRPr="00650894">
        <w:rPr>
          <w:sz w:val="26"/>
          <w:szCs w:val="26"/>
        </w:rPr>
        <w:t xml:space="preserve">even if it had failed to act in good faith by allegedly misleading Verizon PA, </w:t>
      </w:r>
      <w:r w:rsidR="00A22190" w:rsidRPr="00650894">
        <w:rPr>
          <w:sz w:val="26"/>
          <w:szCs w:val="26"/>
        </w:rPr>
        <w:t>an implied duty to act in good faith</w:t>
      </w:r>
      <w:r w:rsidR="00D647A4" w:rsidRPr="00650894">
        <w:rPr>
          <w:sz w:val="26"/>
          <w:szCs w:val="26"/>
        </w:rPr>
        <w:t xml:space="preserve"> cannot override the ICA’s express terms which require the originating party to pay the other party for transport from the POI to the IP.  </w:t>
      </w:r>
      <w:r w:rsidR="00DD264A" w:rsidRPr="00650894">
        <w:rPr>
          <w:sz w:val="26"/>
          <w:szCs w:val="26"/>
        </w:rPr>
        <w:t>Finally, Core points out that there can be no question that Verizon PA bills Core for transport whenever Core uses Verizon PA’s transport facilities to get its traffic from the POI on Core’s switch to the IP on Verizon</w:t>
      </w:r>
      <w:r w:rsidR="006B7190" w:rsidRPr="00650894">
        <w:rPr>
          <w:sz w:val="26"/>
          <w:szCs w:val="26"/>
        </w:rPr>
        <w:t xml:space="preserve"> PA</w:t>
      </w:r>
      <w:r w:rsidR="00DD264A" w:rsidRPr="00650894">
        <w:rPr>
          <w:sz w:val="26"/>
          <w:szCs w:val="26"/>
        </w:rPr>
        <w:t xml:space="preserve">’s switch. </w:t>
      </w:r>
      <w:r w:rsidR="00D647A4" w:rsidRPr="00650894">
        <w:rPr>
          <w:sz w:val="26"/>
          <w:szCs w:val="26"/>
        </w:rPr>
        <w:t xml:space="preserve"> </w:t>
      </w:r>
      <w:r w:rsidR="00854B6F">
        <w:rPr>
          <w:sz w:val="26"/>
          <w:szCs w:val="26"/>
        </w:rPr>
        <w:t xml:space="preserve">Core </w:t>
      </w:r>
      <w:r w:rsidR="00D647A4" w:rsidRPr="00650894">
        <w:rPr>
          <w:sz w:val="26"/>
          <w:szCs w:val="26"/>
        </w:rPr>
        <w:t>Exc. at 17-19.</w:t>
      </w:r>
    </w:p>
    <w:p w:rsidR="00E04731" w:rsidRPr="00650894" w:rsidRDefault="00E04731" w:rsidP="00650894">
      <w:pPr>
        <w:spacing w:line="360" w:lineRule="auto"/>
        <w:ind w:firstLine="1440"/>
        <w:contextualSpacing/>
        <w:rPr>
          <w:sz w:val="26"/>
          <w:szCs w:val="26"/>
        </w:rPr>
      </w:pPr>
    </w:p>
    <w:p w:rsidR="00E04731" w:rsidRPr="00650894" w:rsidRDefault="00446473" w:rsidP="008C08A1">
      <w:pPr>
        <w:keepNext/>
        <w:keepLines/>
        <w:spacing w:line="360" w:lineRule="auto"/>
        <w:ind w:left="1440"/>
        <w:contextualSpacing/>
        <w:rPr>
          <w:b/>
          <w:sz w:val="26"/>
          <w:szCs w:val="26"/>
        </w:rPr>
      </w:pPr>
      <w:r w:rsidRPr="00650894">
        <w:rPr>
          <w:b/>
          <w:sz w:val="26"/>
          <w:szCs w:val="26"/>
        </w:rPr>
        <w:t>d</w:t>
      </w:r>
      <w:r w:rsidR="00E04731" w:rsidRPr="00650894">
        <w:rPr>
          <w:b/>
          <w:sz w:val="26"/>
          <w:szCs w:val="26"/>
        </w:rPr>
        <w:t>.</w:t>
      </w:r>
      <w:r w:rsidR="00E04731" w:rsidRPr="00650894">
        <w:rPr>
          <w:b/>
          <w:sz w:val="26"/>
          <w:szCs w:val="26"/>
        </w:rPr>
        <w:tab/>
        <w:t>Verizon PA’s Reply Exceptions</w:t>
      </w:r>
    </w:p>
    <w:p w:rsidR="00E04731" w:rsidRPr="00650894" w:rsidRDefault="00E04731" w:rsidP="00650894">
      <w:pPr>
        <w:keepNext/>
        <w:keepLines/>
        <w:spacing w:line="360" w:lineRule="auto"/>
        <w:ind w:firstLine="1440"/>
        <w:contextualSpacing/>
        <w:rPr>
          <w:sz w:val="26"/>
          <w:szCs w:val="26"/>
        </w:rPr>
      </w:pPr>
    </w:p>
    <w:p w:rsidR="000E6F1D" w:rsidRPr="00650894" w:rsidRDefault="000E6F1D" w:rsidP="00650894">
      <w:pPr>
        <w:spacing w:line="360" w:lineRule="auto"/>
        <w:ind w:firstLine="1440"/>
        <w:contextualSpacing/>
        <w:rPr>
          <w:sz w:val="26"/>
          <w:szCs w:val="26"/>
        </w:rPr>
      </w:pPr>
      <w:r w:rsidRPr="00650894">
        <w:rPr>
          <w:sz w:val="26"/>
          <w:szCs w:val="26"/>
        </w:rPr>
        <w:t xml:space="preserve">Verizon PA </w:t>
      </w:r>
      <w:r w:rsidR="005D42B1" w:rsidRPr="00650894">
        <w:rPr>
          <w:sz w:val="26"/>
          <w:szCs w:val="26"/>
        </w:rPr>
        <w:t>retorts</w:t>
      </w:r>
      <w:r w:rsidR="00B92555" w:rsidRPr="00650894">
        <w:rPr>
          <w:sz w:val="26"/>
          <w:szCs w:val="26"/>
        </w:rPr>
        <w:t xml:space="preserve"> </w:t>
      </w:r>
      <w:r w:rsidRPr="00650894">
        <w:rPr>
          <w:sz w:val="26"/>
          <w:szCs w:val="26"/>
        </w:rPr>
        <w:t>that the ALJ correctly denied Core’s charges for entrance facilities and dedicated transport for three primary reasons.  First, Verizon PA asserts that although Attachment IV, Sections 1.2.2 and 2.4.2 of the ICA provide that the Party delivering traffic to the other Party’s IP(s) shall do so by purchasing transport from the other Party between the POI(s) and the IP(s), if necessary, the ALJ correctly adopted Verizon PA’s testimony that it was not “necessary” for Verizon PA to purchase transport from Core</w:t>
      </w:r>
      <w:bookmarkStart w:id="44" w:name="_Hlk519514226"/>
      <w:r w:rsidRPr="00650894">
        <w:rPr>
          <w:sz w:val="26"/>
          <w:szCs w:val="26"/>
        </w:rPr>
        <w:t xml:space="preserve">.  Verizon PA restates that it already had facilities in place to carry its </w:t>
      </w:r>
      <w:r w:rsidR="000D72FE" w:rsidRPr="00650894">
        <w:rPr>
          <w:sz w:val="26"/>
          <w:szCs w:val="26"/>
        </w:rPr>
        <w:t xml:space="preserve">local </w:t>
      </w:r>
      <w:r w:rsidRPr="00650894">
        <w:rPr>
          <w:sz w:val="26"/>
          <w:szCs w:val="26"/>
        </w:rPr>
        <w:t xml:space="preserve">traffic all the way to the building housing Core’s switch at 401 North Broad Street.  Verizon PA emphasizes its position that its relocation of its own self-provisioned transport facilities was done at Core’s request and for Core’s convenience, not for Verizon PA’s necessity.  Verizon PA also reiterates that once it relocated these facilities to 900 Race Street, Core began to bill Verizon PA for entrance facilities and transport charges to carry Verizon PA’s traffic right back to the original 401 North Broad </w:t>
      </w:r>
      <w:r w:rsidR="003F75AE" w:rsidRPr="00650894">
        <w:rPr>
          <w:sz w:val="26"/>
          <w:szCs w:val="26"/>
        </w:rPr>
        <w:t>Street location.  Verizon PA R. </w:t>
      </w:r>
      <w:r w:rsidRPr="00650894">
        <w:rPr>
          <w:sz w:val="26"/>
          <w:szCs w:val="26"/>
        </w:rPr>
        <w:t xml:space="preserve">Exc. at 17-19.  Verizon PA notes that at the hearing in this matter, Core’s president admitted that Verizon PA has several options from which it may choose how to send its traffic to Core, including self-provisioning transport or obtaining transport from a third party.  </w:t>
      </w:r>
      <w:r w:rsidRPr="00650894">
        <w:rPr>
          <w:i/>
          <w:sz w:val="26"/>
          <w:szCs w:val="26"/>
        </w:rPr>
        <w:t>Id.</w:t>
      </w:r>
      <w:r w:rsidRPr="00650894">
        <w:rPr>
          <w:sz w:val="26"/>
          <w:szCs w:val="26"/>
        </w:rPr>
        <w:t xml:space="preserve"> at 19</w:t>
      </w:r>
      <w:r w:rsidR="00964E7A" w:rsidRPr="00650894">
        <w:rPr>
          <w:sz w:val="26"/>
          <w:szCs w:val="26"/>
        </w:rPr>
        <w:t>-20</w:t>
      </w:r>
      <w:r w:rsidRPr="00650894">
        <w:rPr>
          <w:sz w:val="26"/>
          <w:szCs w:val="26"/>
        </w:rPr>
        <w:t xml:space="preserve"> (citing Tr. at 73-75).  Verizon PA avers that </w:t>
      </w:r>
      <w:r w:rsidR="00010F62" w:rsidRPr="00650894">
        <w:rPr>
          <w:sz w:val="26"/>
          <w:szCs w:val="26"/>
        </w:rPr>
        <w:t>i</w:t>
      </w:r>
      <w:r w:rsidRPr="00650894">
        <w:rPr>
          <w:sz w:val="26"/>
          <w:szCs w:val="26"/>
        </w:rPr>
        <w:t xml:space="preserve">t had no reason or necessity to stop using </w:t>
      </w:r>
      <w:r w:rsidR="00010F62" w:rsidRPr="00650894">
        <w:rPr>
          <w:sz w:val="26"/>
          <w:szCs w:val="26"/>
        </w:rPr>
        <w:t>its self-provisioned transport</w:t>
      </w:r>
      <w:r w:rsidRPr="00650894">
        <w:rPr>
          <w:sz w:val="26"/>
          <w:szCs w:val="26"/>
        </w:rPr>
        <w:t xml:space="preserve"> facilities.  Thus, Verizon PA maintains that </w:t>
      </w:r>
      <w:r w:rsidR="00DB395D" w:rsidRPr="00650894">
        <w:rPr>
          <w:sz w:val="26"/>
          <w:szCs w:val="26"/>
        </w:rPr>
        <w:t xml:space="preserve">purchasing transport from Core was not necessary, nor are these charges supported by the ICA.  </w:t>
      </w:r>
      <w:bookmarkEnd w:id="44"/>
      <w:r w:rsidRPr="00650894">
        <w:rPr>
          <w:sz w:val="26"/>
          <w:szCs w:val="26"/>
        </w:rPr>
        <w:t>Verizon PA R. Exc. at 20.</w:t>
      </w:r>
    </w:p>
    <w:p w:rsidR="000E6F1D" w:rsidRPr="00650894" w:rsidRDefault="000E6F1D" w:rsidP="00650894">
      <w:pPr>
        <w:spacing w:line="360" w:lineRule="auto"/>
        <w:ind w:firstLine="1440"/>
        <w:contextualSpacing/>
        <w:rPr>
          <w:sz w:val="26"/>
          <w:szCs w:val="26"/>
        </w:rPr>
      </w:pPr>
    </w:p>
    <w:p w:rsidR="000E6F1D" w:rsidRPr="00650894" w:rsidRDefault="000E6F1D" w:rsidP="00650894">
      <w:pPr>
        <w:spacing w:line="360" w:lineRule="auto"/>
        <w:ind w:firstLine="1440"/>
        <w:contextualSpacing/>
        <w:rPr>
          <w:sz w:val="26"/>
          <w:szCs w:val="26"/>
        </w:rPr>
      </w:pPr>
      <w:r w:rsidRPr="00650894">
        <w:rPr>
          <w:sz w:val="26"/>
          <w:szCs w:val="26"/>
        </w:rPr>
        <w:t xml:space="preserve">Second, Verizon PA posits that the ALJ appropriately adopted Verizon PA’s testimony that Core manipulated the designation of </w:t>
      </w:r>
      <w:r w:rsidR="00854B6F">
        <w:rPr>
          <w:sz w:val="26"/>
          <w:szCs w:val="26"/>
        </w:rPr>
        <w:t xml:space="preserve">the </w:t>
      </w:r>
      <w:r w:rsidRPr="00650894">
        <w:rPr>
          <w:sz w:val="26"/>
          <w:szCs w:val="26"/>
        </w:rPr>
        <w:t>POI in order to maximize transport revenues.  Verizon PA restates</w:t>
      </w:r>
      <w:r w:rsidR="00223785" w:rsidRPr="00650894">
        <w:rPr>
          <w:sz w:val="26"/>
          <w:szCs w:val="26"/>
        </w:rPr>
        <w:t xml:space="preserve"> its position</w:t>
      </w:r>
      <w:r w:rsidRPr="00650894">
        <w:rPr>
          <w:sz w:val="26"/>
          <w:szCs w:val="26"/>
        </w:rPr>
        <w:t xml:space="preserve"> that Attachment IV, Section 1.2.2 of the ICA also </w:t>
      </w:r>
      <w:r w:rsidR="0064039F">
        <w:rPr>
          <w:sz w:val="26"/>
          <w:szCs w:val="26"/>
        </w:rPr>
        <w:t>contains a provision that permits</w:t>
      </w:r>
      <w:r w:rsidRPr="00650894">
        <w:rPr>
          <w:sz w:val="26"/>
          <w:szCs w:val="26"/>
        </w:rPr>
        <w:t xml:space="preserve"> Verizon PA to seek relief from the Commission if it believes that Core manipulated the designation of the POIs in order to maximize the transport revenues that Verizon PA must pay to Core.  Verizon R. Exc. at</w:t>
      </w:r>
      <w:r w:rsidR="009943F2">
        <w:rPr>
          <w:sz w:val="26"/>
          <w:szCs w:val="26"/>
        </w:rPr>
        <w:t> </w:t>
      </w:r>
      <w:r w:rsidRPr="00650894">
        <w:rPr>
          <w:sz w:val="26"/>
          <w:szCs w:val="26"/>
        </w:rPr>
        <w:t xml:space="preserve">20.  Therefore, Verizon PA </w:t>
      </w:r>
      <w:r w:rsidR="00F27169" w:rsidRPr="00650894">
        <w:rPr>
          <w:sz w:val="26"/>
          <w:szCs w:val="26"/>
        </w:rPr>
        <w:t>remains of the opinion</w:t>
      </w:r>
      <w:r w:rsidRPr="00650894">
        <w:rPr>
          <w:sz w:val="26"/>
          <w:szCs w:val="26"/>
        </w:rPr>
        <w:t xml:space="preserve"> that Core is also barred from billing for these charges because of its lack of openness in misrepresenting that it was abandoning its 401 North Broad Street location.  Verizon PA a</w:t>
      </w:r>
      <w:r w:rsidR="00F27169" w:rsidRPr="00650894">
        <w:rPr>
          <w:sz w:val="26"/>
          <w:szCs w:val="26"/>
        </w:rPr>
        <w:t>lleges</w:t>
      </w:r>
      <w:r w:rsidRPr="00650894">
        <w:rPr>
          <w:sz w:val="26"/>
          <w:szCs w:val="26"/>
        </w:rPr>
        <w:t xml:space="preserve"> that Core’s choice of the word “abandoning” in the emails exchanged between Core’s </w:t>
      </w:r>
      <w:r w:rsidR="00422743" w:rsidRPr="00650894">
        <w:rPr>
          <w:sz w:val="26"/>
          <w:szCs w:val="26"/>
        </w:rPr>
        <w:t>p</w:t>
      </w:r>
      <w:r w:rsidRPr="00650894">
        <w:rPr>
          <w:sz w:val="26"/>
          <w:szCs w:val="26"/>
        </w:rPr>
        <w:t xml:space="preserve">resident and Verizon PA’s interconnection team appears to have been done intentionally in order to create the impression that it was no longer maintaining a switch or network node at the North Broad Street location.  </w:t>
      </w:r>
      <w:bookmarkStart w:id="45" w:name="_Hlk517699157"/>
      <w:r w:rsidRPr="00650894">
        <w:rPr>
          <w:sz w:val="26"/>
          <w:szCs w:val="26"/>
        </w:rPr>
        <w:t xml:space="preserve">According to Verizon PA, Core’s claim that it was “abandoning a Philly location” did not indicate that Core was actually keeping its switch at 401 North Broad Street </w:t>
      </w:r>
      <w:r w:rsidR="00EE7674">
        <w:rPr>
          <w:sz w:val="26"/>
          <w:szCs w:val="26"/>
        </w:rPr>
        <w:t>while requesting that</w:t>
      </w:r>
      <w:r w:rsidRPr="00650894">
        <w:rPr>
          <w:sz w:val="26"/>
          <w:szCs w:val="26"/>
        </w:rPr>
        <w:t xml:space="preserve"> Verizon PA relocate its self-provisioned facilities so that Core could bill Verizon PA </w:t>
      </w:r>
      <w:r w:rsidR="00010F62" w:rsidRPr="00650894">
        <w:rPr>
          <w:sz w:val="26"/>
          <w:szCs w:val="26"/>
        </w:rPr>
        <w:t xml:space="preserve">for </w:t>
      </w:r>
      <w:r w:rsidRPr="00650894">
        <w:rPr>
          <w:sz w:val="26"/>
          <w:szCs w:val="26"/>
        </w:rPr>
        <w:t xml:space="preserve">transport on a route where Verizon PA had already built the transport necessary to carry its traffic to Core’s switch.  </w:t>
      </w:r>
      <w:r w:rsidRPr="00650894">
        <w:rPr>
          <w:i/>
          <w:sz w:val="26"/>
          <w:szCs w:val="26"/>
        </w:rPr>
        <w:t>Id.</w:t>
      </w:r>
      <w:r w:rsidRPr="00650894">
        <w:rPr>
          <w:sz w:val="26"/>
          <w:szCs w:val="26"/>
        </w:rPr>
        <w:t xml:space="preserve"> at 19.</w:t>
      </w:r>
    </w:p>
    <w:bookmarkEnd w:id="45"/>
    <w:p w:rsidR="000E6F1D" w:rsidRPr="00650894" w:rsidRDefault="000E6F1D" w:rsidP="00650894">
      <w:pPr>
        <w:spacing w:line="360" w:lineRule="auto"/>
        <w:ind w:firstLine="1440"/>
        <w:contextualSpacing/>
        <w:rPr>
          <w:sz w:val="26"/>
          <w:szCs w:val="26"/>
        </w:rPr>
      </w:pPr>
    </w:p>
    <w:p w:rsidR="000E6F1D" w:rsidRPr="00650894" w:rsidRDefault="000E6F1D" w:rsidP="00650894">
      <w:pPr>
        <w:spacing w:line="360" w:lineRule="auto"/>
        <w:ind w:firstLine="1440"/>
        <w:contextualSpacing/>
        <w:rPr>
          <w:sz w:val="26"/>
          <w:szCs w:val="26"/>
        </w:rPr>
      </w:pPr>
      <w:bookmarkStart w:id="46" w:name="_Hlk517699180"/>
      <w:r w:rsidRPr="00650894">
        <w:rPr>
          <w:sz w:val="26"/>
          <w:szCs w:val="26"/>
        </w:rPr>
        <w:t xml:space="preserve">Verizon PA argues that at the hearing, Core’s president testified that Core never advised Verizon PA that it was not, in fact, abandoning the 401 North Broad Street location and that it never asked Verizon PA if it would simply move its self-provisioned facilities from the ninth floor to the fourth floor </w:t>
      </w:r>
      <w:r w:rsidR="00EE7674">
        <w:rPr>
          <w:sz w:val="26"/>
          <w:szCs w:val="26"/>
        </w:rPr>
        <w:t xml:space="preserve">of this location </w:t>
      </w:r>
      <w:r w:rsidRPr="00650894">
        <w:rPr>
          <w:sz w:val="26"/>
          <w:szCs w:val="26"/>
        </w:rPr>
        <w:t xml:space="preserve">to continue delivering traffic to Core’s switch as it had been doing.  Verizon PA R. Exc. at 19 (citing Tr. at 62, 65-66).  Thus, Verizon PA claims that Core’s behavior caused Verizon PA to expend resources to reconfigure its own network solely for the purpose of enabling Core to attempt to charge Verizon PA for transport.  </w:t>
      </w:r>
      <w:bookmarkEnd w:id="46"/>
      <w:r w:rsidRPr="00650894">
        <w:rPr>
          <w:sz w:val="26"/>
          <w:szCs w:val="26"/>
        </w:rPr>
        <w:t>Verizon PA refutes Core’s argument that an implied duty to act in good faith cannot override the express terms of the ICA.  Verizon PA emphasizes that in this present matter, the duty to act in good faith is not merely implied because Part A, Section 42.1 of the ICA explicitly imposes a contractual duty on both Parties to act in good faith.  Verizon PA R. Exc. at 19, 20.</w:t>
      </w:r>
    </w:p>
    <w:p w:rsidR="000E6F1D" w:rsidRPr="00650894" w:rsidRDefault="000E6F1D" w:rsidP="00650894">
      <w:pPr>
        <w:spacing w:line="360" w:lineRule="auto"/>
        <w:ind w:firstLine="1440"/>
        <w:contextualSpacing/>
        <w:rPr>
          <w:sz w:val="26"/>
          <w:szCs w:val="26"/>
        </w:rPr>
      </w:pPr>
    </w:p>
    <w:p w:rsidR="00A60824" w:rsidRPr="00650894" w:rsidRDefault="000E6F1D" w:rsidP="00650894">
      <w:pPr>
        <w:spacing w:line="360" w:lineRule="auto"/>
        <w:ind w:firstLine="1440"/>
        <w:contextualSpacing/>
        <w:rPr>
          <w:sz w:val="26"/>
          <w:szCs w:val="26"/>
        </w:rPr>
      </w:pPr>
      <w:r w:rsidRPr="00650894">
        <w:rPr>
          <w:sz w:val="26"/>
          <w:szCs w:val="26"/>
        </w:rPr>
        <w:t xml:space="preserve">Third, </w:t>
      </w:r>
      <w:bookmarkStart w:id="47" w:name="_Hlk517699194"/>
      <w:r w:rsidRPr="00650894">
        <w:rPr>
          <w:sz w:val="26"/>
          <w:szCs w:val="26"/>
        </w:rPr>
        <w:t>Verizon PA submits that even if the Commission were to conclude that Core is entitled to bill Verizon PA for dedicated transport on the route between 401 North Broad Street and 900 Race Street in Philadelphia, Core’s bills for entrance facilities and dedicated transport are flawed and overstated.</w:t>
      </w:r>
      <w:bookmarkEnd w:id="47"/>
      <w:r w:rsidRPr="00650894">
        <w:rPr>
          <w:sz w:val="26"/>
          <w:szCs w:val="26"/>
        </w:rPr>
        <w:t xml:space="preserve">  In this regard, Verizon PA highlights the ALJ’s finding that Core is not permitted under the terms of the ICA to bill Verizon PA at the rates for dedicated transport and entrance facilities set forth in Section A of the ICA’s Pricing Appendix.  Verizon PA restates that the ALJ adopted its position, </w:t>
      </w:r>
      <w:r w:rsidRPr="00650894">
        <w:rPr>
          <w:i/>
          <w:sz w:val="26"/>
          <w:szCs w:val="26"/>
        </w:rPr>
        <w:t>supra</w:t>
      </w:r>
      <w:r w:rsidRPr="00650894">
        <w:rPr>
          <w:sz w:val="26"/>
          <w:szCs w:val="26"/>
        </w:rPr>
        <w:t xml:space="preserve">, that Section A of the Pricing Appendix pertains to rates that Verizon PA is permitted to charge to Core, and not vice versa.  Additionally, Verizon PA argues that because Core billed it at rates that were superseded by the rates set forth in the </w:t>
      </w:r>
      <w:r w:rsidRPr="00650894">
        <w:rPr>
          <w:i/>
          <w:sz w:val="26"/>
          <w:szCs w:val="26"/>
        </w:rPr>
        <w:t xml:space="preserve">2004 </w:t>
      </w:r>
      <w:r w:rsidR="00177311" w:rsidRPr="00650894">
        <w:rPr>
          <w:i/>
          <w:sz w:val="26"/>
          <w:szCs w:val="26"/>
        </w:rPr>
        <w:t>Verizon PA</w:t>
      </w:r>
      <w:r w:rsidRPr="00650894">
        <w:rPr>
          <w:i/>
          <w:sz w:val="26"/>
          <w:szCs w:val="26"/>
        </w:rPr>
        <w:t xml:space="preserve"> TELRIC Proceeding,</w:t>
      </w:r>
      <w:r w:rsidRPr="00650894">
        <w:rPr>
          <w:sz w:val="26"/>
          <w:szCs w:val="26"/>
        </w:rPr>
        <w:t xml:space="preserve"> Core has not even billed Verizon PA at the correct rates.  </w:t>
      </w:r>
      <w:r w:rsidR="00A60824" w:rsidRPr="00650894">
        <w:rPr>
          <w:sz w:val="26"/>
          <w:szCs w:val="26"/>
        </w:rPr>
        <w:t xml:space="preserve">Verizon PA R. Exc. at </w:t>
      </w:r>
      <w:r w:rsidR="009D0258" w:rsidRPr="00650894">
        <w:rPr>
          <w:sz w:val="26"/>
          <w:szCs w:val="26"/>
        </w:rPr>
        <w:t>21.</w:t>
      </w:r>
    </w:p>
    <w:p w:rsidR="00A60824" w:rsidRPr="00650894" w:rsidRDefault="00A60824" w:rsidP="00650894">
      <w:pPr>
        <w:spacing w:line="360" w:lineRule="auto"/>
        <w:ind w:firstLine="1440"/>
        <w:contextualSpacing/>
        <w:rPr>
          <w:sz w:val="26"/>
          <w:szCs w:val="26"/>
        </w:rPr>
      </w:pPr>
    </w:p>
    <w:p w:rsidR="00600DAF" w:rsidRPr="00650894" w:rsidRDefault="000E6F1D" w:rsidP="00650894">
      <w:pPr>
        <w:spacing w:line="360" w:lineRule="auto"/>
        <w:ind w:firstLine="1440"/>
        <w:contextualSpacing/>
        <w:rPr>
          <w:sz w:val="26"/>
          <w:szCs w:val="26"/>
        </w:rPr>
      </w:pPr>
      <w:r w:rsidRPr="00650894">
        <w:rPr>
          <w:sz w:val="26"/>
          <w:szCs w:val="26"/>
        </w:rPr>
        <w:t xml:space="preserve">Further, </w:t>
      </w:r>
      <w:r w:rsidR="00EE7674">
        <w:rPr>
          <w:sz w:val="26"/>
          <w:szCs w:val="26"/>
        </w:rPr>
        <w:t>citing to pages 30 and 31 of its own Main Briefs,</w:t>
      </w:r>
      <w:r w:rsidRPr="00650894">
        <w:rPr>
          <w:sz w:val="26"/>
          <w:szCs w:val="26"/>
        </w:rPr>
        <w:t xml:space="preserve"> </w:t>
      </w:r>
      <w:r w:rsidR="00EE7674">
        <w:rPr>
          <w:sz w:val="26"/>
          <w:szCs w:val="26"/>
        </w:rPr>
        <w:t xml:space="preserve">Verizon PA </w:t>
      </w:r>
      <w:r w:rsidR="005D42B1" w:rsidRPr="00650894">
        <w:rPr>
          <w:sz w:val="26"/>
          <w:szCs w:val="26"/>
        </w:rPr>
        <w:t xml:space="preserve">asserts that </w:t>
      </w:r>
      <w:r w:rsidRPr="00650894">
        <w:rPr>
          <w:sz w:val="26"/>
          <w:szCs w:val="26"/>
        </w:rPr>
        <w:t>Core misapplied these rates</w:t>
      </w:r>
      <w:r w:rsidR="00600DAF" w:rsidRPr="00650894">
        <w:rPr>
          <w:sz w:val="26"/>
          <w:szCs w:val="26"/>
        </w:rPr>
        <w:t xml:space="preserve"> by charging for two circuits of DS3 entrance facilities and also charging for two circuits of DS3 dedicated transport</w:t>
      </w:r>
      <w:r w:rsidRPr="00650894">
        <w:rPr>
          <w:sz w:val="26"/>
          <w:szCs w:val="26"/>
        </w:rPr>
        <w:t xml:space="preserve">.  </w:t>
      </w:r>
      <w:r w:rsidR="00005BF5" w:rsidRPr="00650894">
        <w:rPr>
          <w:sz w:val="26"/>
          <w:szCs w:val="26"/>
        </w:rPr>
        <w:t xml:space="preserve">More specifically, </w:t>
      </w:r>
      <w:r w:rsidR="00600DAF" w:rsidRPr="00650894">
        <w:rPr>
          <w:sz w:val="26"/>
          <w:szCs w:val="26"/>
        </w:rPr>
        <w:t>V</w:t>
      </w:r>
      <w:r w:rsidRPr="00650894">
        <w:rPr>
          <w:sz w:val="26"/>
          <w:szCs w:val="26"/>
        </w:rPr>
        <w:t xml:space="preserve">erizon </w:t>
      </w:r>
      <w:r w:rsidR="00005BF5" w:rsidRPr="00650894">
        <w:rPr>
          <w:sz w:val="26"/>
          <w:szCs w:val="26"/>
        </w:rPr>
        <w:t>PA submits</w:t>
      </w:r>
      <w:r w:rsidR="0046081D" w:rsidRPr="00650894">
        <w:rPr>
          <w:sz w:val="26"/>
          <w:szCs w:val="26"/>
        </w:rPr>
        <w:t xml:space="preserve"> that</w:t>
      </w:r>
      <w:r w:rsidR="00005BF5" w:rsidRPr="00650894">
        <w:rPr>
          <w:sz w:val="26"/>
          <w:szCs w:val="26"/>
        </w:rPr>
        <w:t xml:space="preserve"> its witness Mr. D’Amico presented unrebutted testimony that under Verizon PA’s cost model, an entrance facility applies from the POI to the Verizon PA serving wire center and that dedicated transport applies from the serving wire center to another wire center.  </w:t>
      </w:r>
      <w:r w:rsidR="00997A14" w:rsidRPr="00650894">
        <w:rPr>
          <w:sz w:val="26"/>
          <w:szCs w:val="26"/>
        </w:rPr>
        <w:t xml:space="preserve">Verizon PA points out that in Philadelphia, </w:t>
      </w:r>
      <w:r w:rsidR="007B7BD2" w:rsidRPr="00650894">
        <w:rPr>
          <w:sz w:val="26"/>
          <w:szCs w:val="26"/>
        </w:rPr>
        <w:t xml:space="preserve">Core has only a single serving wire center, so there is </w:t>
      </w:r>
      <w:r w:rsidR="00600DAF" w:rsidRPr="00650894">
        <w:rPr>
          <w:sz w:val="26"/>
          <w:szCs w:val="26"/>
        </w:rPr>
        <w:t xml:space="preserve">no need to transport traffic from one wire center to another. </w:t>
      </w:r>
      <w:r w:rsidR="007B7BD2" w:rsidRPr="00650894">
        <w:rPr>
          <w:sz w:val="26"/>
          <w:szCs w:val="26"/>
        </w:rPr>
        <w:t xml:space="preserve"> </w:t>
      </w:r>
      <w:r w:rsidR="00005BF5" w:rsidRPr="00650894">
        <w:rPr>
          <w:sz w:val="26"/>
          <w:szCs w:val="26"/>
        </w:rPr>
        <w:t>Thus, Verizon PA argues that Core could only bill for either an entrance facility or for dedicated transport, but not for both</w:t>
      </w:r>
      <w:r w:rsidR="00600DAF" w:rsidRPr="00650894">
        <w:rPr>
          <w:sz w:val="26"/>
          <w:szCs w:val="26"/>
        </w:rPr>
        <w:t xml:space="preserve"> elements</w:t>
      </w:r>
      <w:r w:rsidR="00005BF5" w:rsidRPr="00650894">
        <w:rPr>
          <w:sz w:val="26"/>
          <w:szCs w:val="26"/>
        </w:rPr>
        <w:t xml:space="preserve">.  </w:t>
      </w:r>
      <w:r w:rsidRPr="00650894">
        <w:rPr>
          <w:sz w:val="26"/>
          <w:szCs w:val="26"/>
        </w:rPr>
        <w:t>Moreover, Verizon PA contends that while Core billed it for four DS-3 circuits, Core did not rebut Verizon PA’s testimony that assuming Core were able to bill for these services, Core should only have billed it for two DS-3 circuits</w:t>
      </w:r>
      <w:r w:rsidR="00600DAF" w:rsidRPr="00650894">
        <w:rPr>
          <w:sz w:val="26"/>
          <w:szCs w:val="26"/>
        </w:rPr>
        <w:t>.  Verizon PA R. Exc. at 21.</w:t>
      </w:r>
    </w:p>
    <w:p w:rsidR="00600DAF" w:rsidRPr="00650894" w:rsidRDefault="00600DAF" w:rsidP="00650894">
      <w:pPr>
        <w:spacing w:line="360" w:lineRule="auto"/>
        <w:ind w:firstLine="1440"/>
        <w:contextualSpacing/>
        <w:rPr>
          <w:sz w:val="26"/>
          <w:szCs w:val="26"/>
        </w:rPr>
      </w:pPr>
    </w:p>
    <w:p w:rsidR="00E04731" w:rsidRPr="00650894" w:rsidRDefault="00E01154" w:rsidP="00650894">
      <w:pPr>
        <w:spacing w:line="360" w:lineRule="auto"/>
        <w:ind w:firstLine="1440"/>
        <w:contextualSpacing/>
        <w:rPr>
          <w:sz w:val="26"/>
          <w:szCs w:val="26"/>
        </w:rPr>
      </w:pPr>
      <w:r w:rsidRPr="00650894">
        <w:rPr>
          <w:sz w:val="26"/>
          <w:szCs w:val="26"/>
        </w:rPr>
        <w:t>Finally, Verizon PA notes that Core’s charges for entrance facilities and dedicated transport represent only a small fraction of the total amount in dispute.  Verizon PA elaborates that as of the time of the filing of the Complaint this amount was only $41,506.92</w:t>
      </w:r>
      <w:r w:rsidR="00B40E3B" w:rsidRPr="00650894">
        <w:rPr>
          <w:sz w:val="26"/>
          <w:szCs w:val="26"/>
        </w:rPr>
        <w:t>, or about one percent of the total amount in dispute</w:t>
      </w:r>
      <w:r w:rsidRPr="00650894">
        <w:rPr>
          <w:sz w:val="26"/>
          <w:szCs w:val="26"/>
        </w:rPr>
        <w:t xml:space="preserve">.  Verizon PA </w:t>
      </w:r>
      <w:r w:rsidR="00600DAF" w:rsidRPr="00650894">
        <w:rPr>
          <w:sz w:val="26"/>
          <w:szCs w:val="26"/>
        </w:rPr>
        <w:t>claims</w:t>
      </w:r>
      <w:r w:rsidRPr="00650894">
        <w:rPr>
          <w:sz w:val="26"/>
          <w:szCs w:val="26"/>
        </w:rPr>
        <w:t xml:space="preserve"> that this amount would be reduced to $12,500 if the rates established by the </w:t>
      </w:r>
      <w:r w:rsidRPr="00650894">
        <w:rPr>
          <w:i/>
          <w:sz w:val="26"/>
          <w:szCs w:val="26"/>
        </w:rPr>
        <w:t xml:space="preserve">2004 </w:t>
      </w:r>
      <w:r w:rsidR="00177311" w:rsidRPr="00650894">
        <w:rPr>
          <w:i/>
          <w:sz w:val="26"/>
          <w:szCs w:val="26"/>
        </w:rPr>
        <w:t>Verizon PA</w:t>
      </w:r>
      <w:r w:rsidRPr="00650894">
        <w:rPr>
          <w:i/>
          <w:sz w:val="26"/>
          <w:szCs w:val="26"/>
        </w:rPr>
        <w:t xml:space="preserve"> TELRIC Proceeding </w:t>
      </w:r>
      <w:r w:rsidRPr="00650894">
        <w:rPr>
          <w:sz w:val="26"/>
          <w:szCs w:val="26"/>
        </w:rPr>
        <w:t xml:space="preserve">are </w:t>
      </w:r>
      <w:r w:rsidR="00600DAF" w:rsidRPr="00650894">
        <w:rPr>
          <w:sz w:val="26"/>
          <w:szCs w:val="26"/>
        </w:rPr>
        <w:t xml:space="preserve">properly </w:t>
      </w:r>
      <w:r w:rsidRPr="00650894">
        <w:rPr>
          <w:sz w:val="26"/>
          <w:szCs w:val="26"/>
        </w:rPr>
        <w:t>applied</w:t>
      </w:r>
      <w:r w:rsidR="002D41A3" w:rsidRPr="00650894">
        <w:rPr>
          <w:sz w:val="26"/>
          <w:szCs w:val="26"/>
        </w:rPr>
        <w:t>, and would also be reduced going forward</w:t>
      </w:r>
      <w:r w:rsidRPr="00650894">
        <w:rPr>
          <w:sz w:val="26"/>
          <w:szCs w:val="26"/>
        </w:rPr>
        <w:t>.</w:t>
      </w:r>
      <w:r w:rsidR="00113CCF" w:rsidRPr="00650894">
        <w:rPr>
          <w:sz w:val="26"/>
          <w:szCs w:val="26"/>
        </w:rPr>
        <w:t xml:space="preserve">  </w:t>
      </w:r>
      <w:r w:rsidR="000E6F1D" w:rsidRPr="00650894">
        <w:rPr>
          <w:sz w:val="26"/>
          <w:szCs w:val="26"/>
        </w:rPr>
        <w:t>Verizon PA R. Exc</w:t>
      </w:r>
      <w:r w:rsidR="003A214C">
        <w:rPr>
          <w:sz w:val="26"/>
          <w:szCs w:val="26"/>
        </w:rPr>
        <w:t>.</w:t>
      </w:r>
      <w:r w:rsidR="000E6F1D" w:rsidRPr="00650894">
        <w:rPr>
          <w:sz w:val="26"/>
          <w:szCs w:val="26"/>
        </w:rPr>
        <w:t xml:space="preserve"> at 21.  </w:t>
      </w:r>
    </w:p>
    <w:p w:rsidR="00E04731" w:rsidRPr="00650894" w:rsidRDefault="00E04731" w:rsidP="00650894">
      <w:pPr>
        <w:spacing w:line="360" w:lineRule="auto"/>
        <w:ind w:firstLine="1440"/>
        <w:contextualSpacing/>
        <w:rPr>
          <w:sz w:val="26"/>
          <w:szCs w:val="26"/>
        </w:rPr>
      </w:pPr>
    </w:p>
    <w:p w:rsidR="00E04731" w:rsidRPr="00650894" w:rsidRDefault="00E04731" w:rsidP="008C08A1">
      <w:pPr>
        <w:keepNext/>
        <w:keepLines/>
        <w:spacing w:line="360" w:lineRule="auto"/>
        <w:ind w:left="720"/>
        <w:contextualSpacing/>
        <w:rPr>
          <w:b/>
          <w:sz w:val="26"/>
          <w:szCs w:val="26"/>
        </w:rPr>
      </w:pPr>
      <w:r w:rsidRPr="00650894">
        <w:rPr>
          <w:b/>
          <w:sz w:val="26"/>
          <w:szCs w:val="26"/>
        </w:rPr>
        <w:t>5.</w:t>
      </w:r>
      <w:r w:rsidRPr="00650894">
        <w:rPr>
          <w:b/>
          <w:sz w:val="26"/>
          <w:szCs w:val="26"/>
        </w:rPr>
        <w:tab/>
      </w:r>
      <w:r w:rsidR="00446473" w:rsidRPr="00650894">
        <w:rPr>
          <w:b/>
          <w:sz w:val="26"/>
          <w:szCs w:val="26"/>
        </w:rPr>
        <w:t xml:space="preserve">Combined </w:t>
      </w:r>
      <w:r w:rsidRPr="00650894">
        <w:rPr>
          <w:b/>
          <w:sz w:val="26"/>
          <w:szCs w:val="26"/>
        </w:rPr>
        <w:t>Disposition</w:t>
      </w:r>
    </w:p>
    <w:p w:rsidR="00E04731" w:rsidRPr="00650894" w:rsidRDefault="00E04731" w:rsidP="00650894">
      <w:pPr>
        <w:keepNext/>
        <w:keepLines/>
        <w:spacing w:line="360" w:lineRule="auto"/>
        <w:ind w:firstLine="1440"/>
        <w:contextualSpacing/>
        <w:rPr>
          <w:sz w:val="26"/>
          <w:szCs w:val="26"/>
        </w:rPr>
      </w:pPr>
    </w:p>
    <w:p w:rsidR="00413383" w:rsidRPr="00650894" w:rsidRDefault="00413383" w:rsidP="00650894">
      <w:pPr>
        <w:spacing w:after="200" w:line="360" w:lineRule="auto"/>
        <w:ind w:firstLine="1440"/>
        <w:contextualSpacing/>
        <w:rPr>
          <w:rFonts w:eastAsia="Calibri"/>
          <w:sz w:val="26"/>
          <w:szCs w:val="26"/>
        </w:rPr>
      </w:pPr>
      <w:r w:rsidRPr="00650894">
        <w:rPr>
          <w:rFonts w:eastAsia="Calibri"/>
          <w:sz w:val="26"/>
          <w:szCs w:val="26"/>
        </w:rPr>
        <w:t>In this section, we must resolve the issue of whether Core is permitted under the ICA to bill Verizon PA for the facilities and services discussed above and, if so, at what rates may Core bill Verizon PA.  In doing so we must examine the applicable ICA provisions and determine how these provisions should be applied in the matter before us.</w:t>
      </w:r>
      <w:r w:rsidRPr="00650894">
        <w:rPr>
          <w:rFonts w:eastAsia="Calibri"/>
          <w:sz w:val="26"/>
          <w:szCs w:val="26"/>
          <w:vertAlign w:val="superscript"/>
        </w:rPr>
        <w:footnoteReference w:id="16"/>
      </w:r>
      <w:r w:rsidRPr="00650894">
        <w:rPr>
          <w:rFonts w:eastAsia="Calibri"/>
          <w:sz w:val="26"/>
          <w:szCs w:val="26"/>
        </w:rPr>
        <w:t xml:space="preserve">  Upon our review of the record evidence in this proceeding and the Parties’ ICA, we shall deny Core’s Exception</w:t>
      </w:r>
      <w:r w:rsidR="00EE7674">
        <w:rPr>
          <w:rFonts w:eastAsia="Calibri"/>
          <w:sz w:val="26"/>
          <w:szCs w:val="26"/>
        </w:rPr>
        <w:t xml:space="preserve"> Nos. 2 through 5</w:t>
      </w:r>
      <w:r w:rsidRPr="00650894">
        <w:rPr>
          <w:rFonts w:eastAsia="Calibri"/>
          <w:sz w:val="26"/>
          <w:szCs w:val="26"/>
        </w:rPr>
        <w:t xml:space="preserve">, consistent with the following discussion.  </w:t>
      </w:r>
    </w:p>
    <w:p w:rsidR="00413383" w:rsidRPr="00650894" w:rsidRDefault="00413383" w:rsidP="00650894">
      <w:pPr>
        <w:spacing w:line="360" w:lineRule="auto"/>
        <w:ind w:firstLine="1440"/>
        <w:contextualSpacing/>
        <w:rPr>
          <w:sz w:val="26"/>
          <w:szCs w:val="26"/>
        </w:rPr>
      </w:pPr>
    </w:p>
    <w:p w:rsidR="00413383" w:rsidRPr="00650894" w:rsidRDefault="00413383" w:rsidP="00650894">
      <w:pPr>
        <w:spacing w:after="200" w:line="360" w:lineRule="auto"/>
        <w:ind w:firstLine="1440"/>
        <w:contextualSpacing/>
        <w:rPr>
          <w:rFonts w:eastAsia="Calibri"/>
          <w:sz w:val="26"/>
          <w:szCs w:val="26"/>
        </w:rPr>
      </w:pPr>
      <w:r w:rsidRPr="00650894">
        <w:rPr>
          <w:rFonts w:eastAsia="Calibri"/>
          <w:sz w:val="26"/>
          <w:szCs w:val="26"/>
        </w:rPr>
        <w:t>In examining the ICA’s Pricing Appendix, we find that it clearly outlines that each Party is to bill the other pursuant to its own section.  More specifically, the top of the first page of the Pricing Appendix states</w:t>
      </w:r>
      <w:r w:rsidR="003A214C">
        <w:rPr>
          <w:rFonts w:eastAsia="Calibri"/>
          <w:sz w:val="26"/>
          <w:szCs w:val="26"/>
        </w:rPr>
        <w:t>:</w:t>
      </w:r>
      <w:r w:rsidRPr="00650894">
        <w:rPr>
          <w:rFonts w:eastAsia="Calibri"/>
          <w:sz w:val="26"/>
          <w:szCs w:val="26"/>
        </w:rPr>
        <w:t xml:space="preserve"> “DETAILED SCHEDULE OF ITEMIZED CHARGES,” and splits the Pricing Appendix into two distinct sections</w:t>
      </w:r>
      <w:r w:rsidR="00FA5432">
        <w:rPr>
          <w:rFonts w:eastAsia="Calibri"/>
          <w:sz w:val="26"/>
          <w:szCs w:val="26"/>
        </w:rPr>
        <w:t xml:space="preserve"> –</w:t>
      </w:r>
      <w:r w:rsidRPr="00650894">
        <w:rPr>
          <w:rFonts w:eastAsia="Calibri"/>
          <w:i/>
          <w:sz w:val="26"/>
          <w:szCs w:val="26"/>
        </w:rPr>
        <w:t xml:space="preserve"> </w:t>
      </w:r>
      <w:r w:rsidRPr="00650894">
        <w:rPr>
          <w:rFonts w:eastAsia="Calibri"/>
          <w:sz w:val="26"/>
          <w:szCs w:val="26"/>
        </w:rPr>
        <w:t xml:space="preserve">Section A and Section B.  Section A of the Pricing Appendix is entitled “[VERIZON PA] SERVICES, FACILITIES, AND ARRANGEMENTS.”  It outlines the services and corresponding rates that Verizon PA charges to Core and contains rates for the </w:t>
      </w:r>
      <w:bookmarkStart w:id="48" w:name="_Hlk519581413"/>
      <w:r w:rsidRPr="00650894">
        <w:rPr>
          <w:rFonts w:eastAsia="Calibri"/>
          <w:sz w:val="26"/>
          <w:szCs w:val="26"/>
        </w:rPr>
        <w:t xml:space="preserve">tandem </w:t>
      </w:r>
      <w:r w:rsidR="00EE7674">
        <w:rPr>
          <w:rFonts w:eastAsia="Calibri"/>
          <w:sz w:val="26"/>
          <w:szCs w:val="26"/>
        </w:rPr>
        <w:t xml:space="preserve">trunk </w:t>
      </w:r>
      <w:r w:rsidRPr="00650894">
        <w:rPr>
          <w:rFonts w:eastAsia="Calibri"/>
          <w:sz w:val="26"/>
          <w:szCs w:val="26"/>
        </w:rPr>
        <w:t xml:space="preserve">ports, multiplexing, entrance facilities, and dedicated transport </w:t>
      </w:r>
      <w:bookmarkEnd w:id="48"/>
      <w:r w:rsidRPr="00650894">
        <w:rPr>
          <w:rFonts w:eastAsia="Calibri"/>
          <w:sz w:val="26"/>
          <w:szCs w:val="26"/>
        </w:rPr>
        <w:t>at issue in this proceeding.  Additionally, Footnote 1 of the Pricing Appendix immediately follows the title of Section A and pertains to the rates and services listed in Section A.  Paragraph 1 of Footnote 1 states, in pertinent part, as follows (emphasis added):</w:t>
      </w:r>
    </w:p>
    <w:p w:rsidR="00413383" w:rsidRPr="00650894" w:rsidRDefault="00413383" w:rsidP="00650894">
      <w:pPr>
        <w:spacing w:after="200" w:line="360" w:lineRule="auto"/>
        <w:ind w:firstLine="1440"/>
        <w:contextualSpacing/>
        <w:rPr>
          <w:rFonts w:eastAsia="Calibri"/>
          <w:sz w:val="26"/>
          <w:szCs w:val="26"/>
        </w:rPr>
      </w:pPr>
    </w:p>
    <w:p w:rsidR="00413383" w:rsidRDefault="00413383" w:rsidP="00650894">
      <w:pPr>
        <w:ind w:left="1440" w:right="810"/>
        <w:contextualSpacing/>
        <w:rPr>
          <w:sz w:val="26"/>
          <w:szCs w:val="26"/>
        </w:rPr>
      </w:pPr>
      <w:r w:rsidRPr="00650894">
        <w:rPr>
          <w:sz w:val="26"/>
          <w:szCs w:val="26"/>
        </w:rPr>
        <w:t xml:space="preserve">Unless a citation is provided to a generally applicable [Verizon PA] tariff, </w:t>
      </w:r>
      <w:r w:rsidRPr="00650894">
        <w:rPr>
          <w:b/>
          <w:sz w:val="26"/>
          <w:szCs w:val="26"/>
        </w:rPr>
        <w:t xml:space="preserve">all listed rates and services are available to CORE </w:t>
      </w:r>
      <w:r w:rsidRPr="00650894">
        <w:rPr>
          <w:sz w:val="26"/>
          <w:szCs w:val="26"/>
        </w:rPr>
        <w:t>when purchasing these services for use in the provision of Telephone Exchange Service, and apply only to Local Traffic and local Ancillary Traffic.</w:t>
      </w:r>
    </w:p>
    <w:p w:rsidR="00023288" w:rsidRDefault="00023288" w:rsidP="00650894">
      <w:pPr>
        <w:ind w:left="1440" w:right="810"/>
        <w:contextualSpacing/>
        <w:rPr>
          <w:sz w:val="26"/>
          <w:szCs w:val="26"/>
        </w:rPr>
      </w:pPr>
    </w:p>
    <w:p w:rsidR="00023288" w:rsidRPr="00650894" w:rsidRDefault="00023288" w:rsidP="00650894">
      <w:pPr>
        <w:ind w:left="1440" w:right="810"/>
        <w:contextualSpacing/>
        <w:rPr>
          <w:sz w:val="26"/>
          <w:szCs w:val="26"/>
        </w:rPr>
      </w:pPr>
    </w:p>
    <w:p w:rsidR="00413383" w:rsidRPr="00650894" w:rsidRDefault="00413383" w:rsidP="00650894">
      <w:pPr>
        <w:spacing w:after="200" w:line="360" w:lineRule="auto"/>
        <w:ind w:firstLine="1440"/>
        <w:contextualSpacing/>
        <w:rPr>
          <w:rFonts w:eastAsia="Calibri"/>
          <w:sz w:val="26"/>
          <w:szCs w:val="26"/>
        </w:rPr>
      </w:pPr>
      <w:r w:rsidRPr="00650894">
        <w:rPr>
          <w:rFonts w:eastAsia="Calibri"/>
          <w:sz w:val="26"/>
          <w:szCs w:val="26"/>
        </w:rPr>
        <w:t xml:space="preserve">On the other hand, Section B of the Pricing Appendix is entitled “CORE SERVICES, FACILITIES, AND ARRANGEMENTS.”  Our reading of Section B </w:t>
      </w:r>
      <w:r w:rsidR="00023288">
        <w:rPr>
          <w:rFonts w:eastAsia="Calibri"/>
          <w:sz w:val="26"/>
          <w:szCs w:val="26"/>
        </w:rPr>
        <w:t xml:space="preserve">is </w:t>
      </w:r>
      <w:r w:rsidRPr="00650894">
        <w:rPr>
          <w:rFonts w:eastAsia="Calibri"/>
          <w:sz w:val="26"/>
          <w:szCs w:val="26"/>
        </w:rPr>
        <w:t xml:space="preserve">that it outlines the services and the corresponding rates that Core may charge to Verizon PA.  Section B has no rates for tandem </w:t>
      </w:r>
      <w:r w:rsidR="00453023">
        <w:rPr>
          <w:rFonts w:eastAsia="Calibri"/>
          <w:sz w:val="26"/>
          <w:szCs w:val="26"/>
        </w:rPr>
        <w:t xml:space="preserve">trunk </w:t>
      </w:r>
      <w:r w:rsidRPr="00650894">
        <w:rPr>
          <w:rFonts w:eastAsia="Calibri"/>
          <w:sz w:val="26"/>
          <w:szCs w:val="26"/>
        </w:rPr>
        <w:t xml:space="preserve">ports, multiplexing, entrance facilities, or dedicated transport and, as noted above, Core has admitted that it bills </w:t>
      </w:r>
      <w:r w:rsidR="00453023">
        <w:rPr>
          <w:rFonts w:eastAsia="Calibri"/>
          <w:sz w:val="26"/>
          <w:szCs w:val="26"/>
        </w:rPr>
        <w:t>Verizon PA</w:t>
      </w:r>
      <w:r w:rsidRPr="00650894">
        <w:rPr>
          <w:rFonts w:eastAsia="Calibri"/>
          <w:sz w:val="26"/>
          <w:szCs w:val="26"/>
        </w:rPr>
        <w:t xml:space="preserve"> for these </w:t>
      </w:r>
      <w:r w:rsidR="00453023">
        <w:rPr>
          <w:rFonts w:eastAsia="Calibri"/>
          <w:sz w:val="26"/>
          <w:szCs w:val="26"/>
        </w:rPr>
        <w:t>facilities</w:t>
      </w:r>
      <w:r w:rsidRPr="00650894">
        <w:rPr>
          <w:rFonts w:eastAsia="Calibri"/>
          <w:sz w:val="26"/>
          <w:szCs w:val="26"/>
        </w:rPr>
        <w:t xml:space="preserve"> at the rates set forth in Section A of the Pricing Appendix.  However, throughout this proceeding, Core contended that Section B.V of the Pricing Appendix gives it the authority to bill Verizon PA at the rates set forth in Section A for the facilities and services at issue.  We find no merit in this argument.  Rather, we agree with the ALJ that, as used in Section B.V of the Pricing Appendix, the word “CORE’s” in the phrase “[a]</w:t>
      </w:r>
      <w:r w:rsidRPr="00650894">
        <w:rPr>
          <w:rFonts w:eastAsia="Calibri"/>
          <w:color w:val="000000"/>
          <w:sz w:val="26"/>
          <w:szCs w:val="26"/>
        </w:rPr>
        <w:t xml:space="preserve">vailable at CORE's tariffed or otherwise generally available rates, not to exceed [Verizon PA] rates for equivalent services to CORE,” modifies both “tariffed . . . rates” and “otherwise generally available rates.”  </w:t>
      </w:r>
      <w:r w:rsidRPr="00650894">
        <w:rPr>
          <w:rFonts w:eastAsia="Calibri"/>
          <w:sz w:val="26"/>
          <w:szCs w:val="26"/>
        </w:rPr>
        <w:t xml:space="preserve">While Core has admitted that it has no tariffed rates for the elements at issue, we also find that it has no generally available rates.  In this regard, we concur with Verizon PA that Core’s contention that it made these rates generally available to Verizon PA simply by issuing Verizon PA bills at these rates is misplaced.  </w:t>
      </w:r>
      <w:r w:rsidR="006520B8">
        <w:rPr>
          <w:rFonts w:eastAsia="Calibri"/>
          <w:sz w:val="26"/>
          <w:szCs w:val="26"/>
        </w:rPr>
        <w:t>W</w:t>
      </w:r>
      <w:r w:rsidR="00453023">
        <w:rPr>
          <w:rFonts w:eastAsia="Calibri"/>
          <w:sz w:val="26"/>
          <w:szCs w:val="26"/>
        </w:rPr>
        <w:t>e are of the opinion that</w:t>
      </w:r>
      <w:r w:rsidRPr="00650894">
        <w:rPr>
          <w:rFonts w:eastAsia="Calibri"/>
          <w:sz w:val="26"/>
          <w:szCs w:val="26"/>
        </w:rPr>
        <w:t xml:space="preserve"> the phrase “generally available rates” implies that </w:t>
      </w:r>
      <w:r w:rsidR="00BC1EC0">
        <w:rPr>
          <w:rFonts w:eastAsia="Calibri"/>
          <w:sz w:val="26"/>
          <w:szCs w:val="26"/>
        </w:rPr>
        <w:t>such rates are ones that Core would make</w:t>
      </w:r>
      <w:r w:rsidRPr="00650894">
        <w:rPr>
          <w:rFonts w:eastAsia="Calibri"/>
          <w:sz w:val="26"/>
          <w:szCs w:val="26"/>
        </w:rPr>
        <w:t xml:space="preserve"> generally available to </w:t>
      </w:r>
      <w:r w:rsidRPr="00650894">
        <w:rPr>
          <w:rFonts w:eastAsia="Calibri"/>
          <w:i/>
          <w:sz w:val="26"/>
          <w:szCs w:val="26"/>
        </w:rPr>
        <w:t xml:space="preserve">all </w:t>
      </w:r>
      <w:r w:rsidRPr="00650894">
        <w:rPr>
          <w:rFonts w:eastAsia="Calibri"/>
          <w:sz w:val="26"/>
          <w:szCs w:val="26"/>
        </w:rPr>
        <w:t>carriers, and not solely to Verizon PA.  As Verizon PA observed, adopting Core’s interpretation would permit Core to bill Verizon PA for any service or facility for which Core wishes to charge on the basis that doing so promotes local competition, even if billing for the service is unnecessary or is clearly prohibited in the ICA.</w:t>
      </w:r>
    </w:p>
    <w:p w:rsidR="00413383" w:rsidRPr="00650894" w:rsidRDefault="00413383" w:rsidP="00650894">
      <w:pPr>
        <w:spacing w:after="200" w:line="360" w:lineRule="auto"/>
        <w:ind w:firstLine="1440"/>
        <w:contextualSpacing/>
        <w:rPr>
          <w:rFonts w:eastAsia="Calibri"/>
          <w:sz w:val="26"/>
          <w:szCs w:val="26"/>
        </w:rPr>
      </w:pPr>
    </w:p>
    <w:p w:rsidR="00413383" w:rsidRPr="00650894" w:rsidRDefault="00413383" w:rsidP="00650894">
      <w:pPr>
        <w:spacing w:after="200" w:line="360" w:lineRule="auto"/>
        <w:ind w:firstLine="1440"/>
        <w:contextualSpacing/>
        <w:rPr>
          <w:rFonts w:eastAsia="Calibri"/>
          <w:sz w:val="26"/>
          <w:szCs w:val="26"/>
        </w:rPr>
      </w:pPr>
      <w:r w:rsidRPr="00650894">
        <w:rPr>
          <w:rFonts w:eastAsia="Calibri"/>
          <w:sz w:val="26"/>
          <w:szCs w:val="26"/>
        </w:rPr>
        <w:t xml:space="preserve">We likewise find Core’s argument that Verizon PA should have been on notice that the rates listed in Section A of the Pricing Appendix for </w:t>
      </w:r>
      <w:r w:rsidR="00453023">
        <w:rPr>
          <w:rFonts w:eastAsia="Calibri"/>
          <w:sz w:val="26"/>
          <w:szCs w:val="26"/>
        </w:rPr>
        <w:t xml:space="preserve">tandem </w:t>
      </w:r>
      <w:r w:rsidRPr="00650894">
        <w:rPr>
          <w:rFonts w:eastAsia="Calibri"/>
          <w:sz w:val="26"/>
          <w:szCs w:val="26"/>
        </w:rPr>
        <w:t>trunk ports, multiplexing, dedicated transport, and entrance facilities might apply to it just as the rates for reciprocal compensation in the ICA apply to it to be inapposite.  Namely, unlike the elements at issue in this proceeding, both Section A and Section B of the Pricing Appendix explicitly outline rates for reciprocal compensation, including rates for local call termination.</w:t>
      </w:r>
    </w:p>
    <w:p w:rsidR="00E04731" w:rsidRPr="00650894" w:rsidRDefault="00E04731" w:rsidP="00650894">
      <w:pPr>
        <w:spacing w:line="360" w:lineRule="auto"/>
        <w:ind w:firstLine="1440"/>
        <w:contextualSpacing/>
        <w:rPr>
          <w:sz w:val="26"/>
          <w:szCs w:val="26"/>
        </w:rPr>
      </w:pPr>
    </w:p>
    <w:p w:rsidR="00413383" w:rsidRPr="00650894" w:rsidRDefault="00413383" w:rsidP="00650894">
      <w:pPr>
        <w:spacing w:after="200" w:line="360" w:lineRule="auto"/>
        <w:ind w:firstLine="1440"/>
        <w:contextualSpacing/>
        <w:rPr>
          <w:rFonts w:eastAsia="Calibri"/>
          <w:sz w:val="26"/>
          <w:szCs w:val="26"/>
        </w:rPr>
      </w:pPr>
      <w:r w:rsidRPr="00650894">
        <w:rPr>
          <w:rFonts w:eastAsia="Calibri"/>
          <w:sz w:val="26"/>
          <w:szCs w:val="26"/>
        </w:rPr>
        <w:t xml:space="preserve">In addition to Section B.V of the Pricing Appendix, Core also cites </w:t>
      </w:r>
      <w:r w:rsidRPr="00650894">
        <w:rPr>
          <w:rFonts w:eastAsia="Calibri"/>
          <w:i/>
          <w:sz w:val="26"/>
          <w:szCs w:val="26"/>
        </w:rPr>
        <w:t xml:space="preserve">inter alia, </w:t>
      </w:r>
      <w:r w:rsidRPr="00650894">
        <w:rPr>
          <w:rFonts w:eastAsia="Calibri"/>
          <w:sz w:val="26"/>
          <w:szCs w:val="26"/>
        </w:rPr>
        <w:t xml:space="preserve">to Attachment IV, Sections 1.2.1.1, 1.2.1.2, 2.1.1, 2.2, 2.2.1, 2.2.1.1, and 2.2.1.2 of the ICA to support its position that it may bill Verizon PA for </w:t>
      </w:r>
      <w:r w:rsidR="00453023">
        <w:rPr>
          <w:rFonts w:eastAsia="Calibri"/>
          <w:sz w:val="26"/>
          <w:szCs w:val="26"/>
        </w:rPr>
        <w:t xml:space="preserve">tandem </w:t>
      </w:r>
      <w:r w:rsidRPr="00650894">
        <w:rPr>
          <w:rFonts w:eastAsia="Calibri"/>
          <w:sz w:val="26"/>
          <w:szCs w:val="26"/>
        </w:rPr>
        <w:t>trunk ports, multiplexing, entrance facilities, and dedicated transport.  These sections of the ICA state, in pertinent part, as follows:</w:t>
      </w:r>
    </w:p>
    <w:p w:rsidR="00413383" w:rsidRPr="00650894" w:rsidRDefault="00413383" w:rsidP="00650894">
      <w:pPr>
        <w:spacing w:after="200" w:line="360" w:lineRule="auto"/>
        <w:ind w:firstLine="1440"/>
        <w:contextualSpacing/>
        <w:rPr>
          <w:rFonts w:eastAsia="Calibri"/>
          <w:sz w:val="26"/>
          <w:szCs w:val="26"/>
        </w:rPr>
      </w:pPr>
    </w:p>
    <w:p w:rsidR="00413383" w:rsidRPr="00650894" w:rsidRDefault="00413383" w:rsidP="0032168A">
      <w:pPr>
        <w:ind w:left="1440" w:right="1440"/>
        <w:rPr>
          <w:rFonts w:eastAsia="Calibri"/>
          <w:sz w:val="26"/>
          <w:szCs w:val="26"/>
        </w:rPr>
      </w:pPr>
      <w:r w:rsidRPr="00650894">
        <w:rPr>
          <w:rFonts w:eastAsia="Calibri"/>
          <w:sz w:val="26"/>
          <w:szCs w:val="26"/>
        </w:rPr>
        <w:t xml:space="preserve">1.2.1.1 “Interconnection Point” or “IP” means the switching, Wire Center, or other similar network node in a Party’s network at which such Party accepts Local Traffic from the other Party.  [Verizon PA] IPs include any [Verizon PA] End Office, for the delivery of traffic terminated out of that End Office, and/or any [Verizon PA] access Tandem Office, for the delivery of traffic to numbers served out of any [Verizon PA] End Office that subtends that access Tandem Local Office.  [Core] IPs include any [Core] Switch, for the delivery of traffic terminated to numbers served out of that Switch.  </w:t>
      </w:r>
    </w:p>
    <w:p w:rsidR="00413383" w:rsidRPr="00650894" w:rsidRDefault="00413383" w:rsidP="0032168A">
      <w:pPr>
        <w:ind w:firstLine="1440"/>
        <w:rPr>
          <w:rFonts w:eastAsia="Calibri"/>
          <w:sz w:val="26"/>
          <w:szCs w:val="26"/>
        </w:rPr>
      </w:pPr>
    </w:p>
    <w:p w:rsidR="00413383" w:rsidRPr="00650894" w:rsidRDefault="00413383" w:rsidP="0032168A">
      <w:pPr>
        <w:ind w:left="1440" w:right="1440"/>
        <w:rPr>
          <w:rFonts w:eastAsia="Calibri"/>
          <w:sz w:val="26"/>
          <w:szCs w:val="26"/>
        </w:rPr>
      </w:pPr>
      <w:r w:rsidRPr="00650894">
        <w:rPr>
          <w:rFonts w:eastAsia="Calibri"/>
          <w:sz w:val="26"/>
          <w:szCs w:val="26"/>
        </w:rPr>
        <w:t>1.2.1.2 “Point of Interconnection” or “POI” is the physical point that establishes the technical interface, the test point, and the operational responsibility hand-off between the Parties for the Local Interconnection of their networks.  Unless otherwise mutually agreed, [Core] will be responsible for engineering and maintaining its network on its side of the POI and [Verizon PA] will be responsible for engineering and maintaining its network on its side of the POI.</w:t>
      </w:r>
    </w:p>
    <w:p w:rsidR="00413383" w:rsidRPr="00650894" w:rsidRDefault="00413383" w:rsidP="0032168A">
      <w:pPr>
        <w:ind w:firstLine="1440"/>
        <w:rPr>
          <w:rFonts w:eastAsia="Calibri"/>
          <w:sz w:val="26"/>
          <w:szCs w:val="26"/>
        </w:rPr>
      </w:pPr>
    </w:p>
    <w:p w:rsidR="00413383" w:rsidRPr="00650894" w:rsidRDefault="00413383" w:rsidP="0032168A">
      <w:pPr>
        <w:ind w:left="1440" w:right="1440"/>
        <w:jc w:val="center"/>
        <w:rPr>
          <w:sz w:val="26"/>
          <w:szCs w:val="26"/>
        </w:rPr>
      </w:pPr>
      <w:r w:rsidRPr="00650894">
        <w:rPr>
          <w:b/>
          <w:sz w:val="26"/>
          <w:szCs w:val="26"/>
        </w:rPr>
        <w:t>*</w:t>
      </w:r>
      <w:r w:rsidRPr="00650894">
        <w:rPr>
          <w:sz w:val="26"/>
          <w:szCs w:val="26"/>
        </w:rPr>
        <w:tab/>
        <w:t>*</w:t>
      </w:r>
      <w:r w:rsidRPr="00650894">
        <w:rPr>
          <w:sz w:val="26"/>
          <w:szCs w:val="26"/>
        </w:rPr>
        <w:tab/>
        <w:t>*</w:t>
      </w:r>
    </w:p>
    <w:p w:rsidR="00413383" w:rsidRPr="00650894" w:rsidRDefault="00413383" w:rsidP="0032168A">
      <w:pPr>
        <w:ind w:left="1440" w:right="1440"/>
        <w:rPr>
          <w:sz w:val="26"/>
          <w:szCs w:val="26"/>
        </w:rPr>
      </w:pPr>
    </w:p>
    <w:p w:rsidR="00413383" w:rsidRPr="00650894" w:rsidRDefault="00413383" w:rsidP="0032168A">
      <w:pPr>
        <w:keepNext/>
        <w:keepLines/>
        <w:ind w:left="1440" w:right="1440"/>
        <w:rPr>
          <w:rFonts w:eastAsia="Calibri"/>
          <w:b/>
          <w:sz w:val="26"/>
          <w:szCs w:val="26"/>
        </w:rPr>
      </w:pPr>
      <w:r w:rsidRPr="00650894">
        <w:rPr>
          <w:rFonts w:eastAsia="Calibri"/>
          <w:b/>
          <w:sz w:val="26"/>
          <w:szCs w:val="26"/>
        </w:rPr>
        <w:t>2.1 Point of Interconnection</w:t>
      </w:r>
    </w:p>
    <w:p w:rsidR="00413383" w:rsidRPr="00650894" w:rsidRDefault="00413383" w:rsidP="0032168A">
      <w:pPr>
        <w:keepNext/>
        <w:keepLines/>
        <w:ind w:left="2160" w:right="1440" w:hanging="720"/>
        <w:rPr>
          <w:rFonts w:eastAsia="Calibri"/>
          <w:sz w:val="26"/>
          <w:szCs w:val="26"/>
        </w:rPr>
      </w:pPr>
      <w:r w:rsidRPr="00650894">
        <w:rPr>
          <w:rFonts w:eastAsia="Calibri"/>
          <w:sz w:val="26"/>
          <w:szCs w:val="26"/>
        </w:rPr>
        <w:tab/>
        <w:t>2.1.1 Each (originating) Party is responsible for bringing their traffic to a POI.</w:t>
      </w:r>
    </w:p>
    <w:p w:rsidR="00413383" w:rsidRPr="00650894" w:rsidRDefault="00413383" w:rsidP="0032168A">
      <w:pPr>
        <w:ind w:firstLine="1440"/>
        <w:rPr>
          <w:rFonts w:eastAsia="Calibri"/>
          <w:sz w:val="26"/>
          <w:szCs w:val="26"/>
        </w:rPr>
      </w:pPr>
    </w:p>
    <w:p w:rsidR="00413383" w:rsidRPr="00650894" w:rsidRDefault="00413383" w:rsidP="0032168A">
      <w:pPr>
        <w:ind w:firstLine="1440"/>
        <w:rPr>
          <w:rFonts w:eastAsia="Calibri"/>
          <w:b/>
          <w:sz w:val="26"/>
          <w:szCs w:val="26"/>
        </w:rPr>
      </w:pPr>
      <w:r w:rsidRPr="00650894">
        <w:rPr>
          <w:rFonts w:eastAsia="Calibri"/>
          <w:b/>
          <w:sz w:val="26"/>
          <w:szCs w:val="26"/>
        </w:rPr>
        <w:t>2.2 Compensation for Local Traffic Transport and Termination</w:t>
      </w:r>
    </w:p>
    <w:p w:rsidR="00413383" w:rsidRPr="00650894" w:rsidRDefault="00413383" w:rsidP="0032168A">
      <w:pPr>
        <w:ind w:left="2160" w:right="1440"/>
        <w:rPr>
          <w:rFonts w:eastAsia="Calibri"/>
          <w:sz w:val="26"/>
          <w:szCs w:val="26"/>
        </w:rPr>
      </w:pPr>
      <w:r w:rsidRPr="00650894">
        <w:rPr>
          <w:rFonts w:eastAsia="Calibri"/>
          <w:sz w:val="26"/>
          <w:szCs w:val="26"/>
        </w:rPr>
        <w:t>2.2.1  The POI determines the point at which the originating carrier shall pay the terminating carrier for the Transport and Termination of local traffic.  The following compensation elements shall apply:</w:t>
      </w:r>
    </w:p>
    <w:p w:rsidR="00413383" w:rsidRPr="00650894" w:rsidRDefault="00413383" w:rsidP="0032168A">
      <w:pPr>
        <w:ind w:right="1440" w:firstLine="1440"/>
        <w:rPr>
          <w:rFonts w:eastAsia="Calibri"/>
          <w:sz w:val="26"/>
          <w:szCs w:val="26"/>
        </w:rPr>
      </w:pPr>
    </w:p>
    <w:p w:rsidR="00413383" w:rsidRPr="00650894" w:rsidRDefault="00413383" w:rsidP="0032168A">
      <w:pPr>
        <w:ind w:left="2880" w:right="1440"/>
        <w:rPr>
          <w:rFonts w:eastAsia="Calibri"/>
          <w:sz w:val="26"/>
          <w:szCs w:val="26"/>
        </w:rPr>
      </w:pPr>
      <w:r w:rsidRPr="00650894">
        <w:rPr>
          <w:rFonts w:eastAsia="Calibri"/>
          <w:sz w:val="26"/>
          <w:szCs w:val="26"/>
        </w:rPr>
        <w:t>2.2.1.1 “Transport,” which includes the transmission of Local Traffic from the POI to the terminating carrier’s IPs, and any necessary Tandem Switching, and any necessary transport between the terminating carrier’s access Tandem Office and the terminating carrier’s End Office Switch that directly serves the called end user.</w:t>
      </w:r>
    </w:p>
    <w:p w:rsidR="00413383" w:rsidRPr="00650894" w:rsidRDefault="00413383" w:rsidP="0032168A">
      <w:pPr>
        <w:ind w:right="1440" w:firstLine="1440"/>
        <w:rPr>
          <w:rFonts w:eastAsia="Calibri"/>
          <w:sz w:val="26"/>
          <w:szCs w:val="26"/>
        </w:rPr>
      </w:pPr>
    </w:p>
    <w:p w:rsidR="00413383" w:rsidRDefault="00413383" w:rsidP="0032168A">
      <w:pPr>
        <w:ind w:left="2880" w:right="1440"/>
        <w:rPr>
          <w:rFonts w:eastAsia="Calibri"/>
          <w:sz w:val="26"/>
          <w:szCs w:val="26"/>
        </w:rPr>
      </w:pPr>
      <w:r w:rsidRPr="00650894">
        <w:rPr>
          <w:rFonts w:eastAsia="Calibri"/>
          <w:sz w:val="26"/>
          <w:szCs w:val="26"/>
        </w:rPr>
        <w:t>2.2.1.2 “Termination,” which includes the switching of Local Traffic at the terminating carrier’s End Office Switch.</w:t>
      </w:r>
    </w:p>
    <w:p w:rsidR="0032168A" w:rsidRDefault="0032168A" w:rsidP="0032168A">
      <w:pPr>
        <w:ind w:left="2880" w:right="1440"/>
        <w:rPr>
          <w:rFonts w:eastAsia="Calibri"/>
          <w:sz w:val="26"/>
          <w:szCs w:val="26"/>
        </w:rPr>
      </w:pPr>
    </w:p>
    <w:p w:rsidR="0032168A" w:rsidRPr="00650894" w:rsidRDefault="0032168A" w:rsidP="0032168A">
      <w:pPr>
        <w:ind w:left="2880" w:right="1440"/>
        <w:rPr>
          <w:rFonts w:eastAsia="Calibri"/>
          <w:sz w:val="26"/>
          <w:szCs w:val="26"/>
        </w:rPr>
      </w:pPr>
    </w:p>
    <w:p w:rsidR="00413383" w:rsidRPr="00650894" w:rsidRDefault="00413383" w:rsidP="00650894">
      <w:pPr>
        <w:spacing w:after="200" w:line="360" w:lineRule="auto"/>
        <w:contextualSpacing/>
        <w:rPr>
          <w:rFonts w:eastAsia="Calibri"/>
          <w:sz w:val="26"/>
          <w:szCs w:val="26"/>
        </w:rPr>
      </w:pPr>
      <w:r w:rsidRPr="00650894">
        <w:rPr>
          <w:rFonts w:eastAsia="Calibri"/>
          <w:sz w:val="26"/>
          <w:szCs w:val="26"/>
        </w:rPr>
        <w:t>ICA at Attachment IV, §§1.2.1.1, 1.2.1.2, 2.1.1, 2.2.1, 2.2.1.1, and 2.2.1.2.</w:t>
      </w:r>
    </w:p>
    <w:p w:rsidR="00413383" w:rsidRPr="00650894" w:rsidRDefault="00413383" w:rsidP="00650894">
      <w:pPr>
        <w:spacing w:after="200" w:line="360" w:lineRule="auto"/>
        <w:ind w:firstLine="1440"/>
        <w:contextualSpacing/>
        <w:rPr>
          <w:rFonts w:eastAsia="Calibri"/>
          <w:sz w:val="26"/>
          <w:szCs w:val="26"/>
        </w:rPr>
      </w:pPr>
    </w:p>
    <w:p w:rsidR="00413383" w:rsidRPr="00650894" w:rsidRDefault="00413383" w:rsidP="00650894">
      <w:pPr>
        <w:spacing w:after="200" w:line="360" w:lineRule="auto"/>
        <w:ind w:firstLine="1440"/>
        <w:contextualSpacing/>
        <w:rPr>
          <w:rFonts w:eastAsia="Calibri"/>
          <w:sz w:val="26"/>
          <w:szCs w:val="26"/>
        </w:rPr>
      </w:pPr>
      <w:r w:rsidRPr="00650894">
        <w:rPr>
          <w:rFonts w:eastAsia="Calibri"/>
          <w:sz w:val="26"/>
          <w:szCs w:val="26"/>
        </w:rPr>
        <w:t xml:space="preserve">On review of the above ICA provisions, we disagree with Core’s assertion that these provisions may be used as a basis for rendering bills to Verizon PA for the services and facilities at issue.  Rather, we find that Attachment IV, Section 2.2.1 of the ICA, cited above, which defines the charges that may apply beyond the POI, supports Verizon PA’s position that Core is limited to issuing bills for reciprocal compensation.  </w:t>
      </w:r>
      <w:r w:rsidR="00453023">
        <w:rPr>
          <w:rFonts w:eastAsia="Calibri"/>
          <w:sz w:val="26"/>
          <w:szCs w:val="26"/>
        </w:rPr>
        <w:t>“</w:t>
      </w:r>
      <w:r w:rsidRPr="00650894">
        <w:rPr>
          <w:rFonts w:eastAsia="Calibri"/>
          <w:sz w:val="26"/>
          <w:szCs w:val="26"/>
        </w:rPr>
        <w:t>Reciprocal Compensation</w:t>
      </w:r>
      <w:r w:rsidR="00453023">
        <w:rPr>
          <w:rFonts w:eastAsia="Calibri"/>
          <w:sz w:val="26"/>
          <w:szCs w:val="26"/>
        </w:rPr>
        <w:t>”</w:t>
      </w:r>
      <w:r w:rsidRPr="00650894">
        <w:rPr>
          <w:rFonts w:eastAsia="Calibri"/>
          <w:sz w:val="26"/>
          <w:szCs w:val="26"/>
        </w:rPr>
        <w:t xml:space="preserve"> is defined in Part B of the ICA as “a reciprocal compensation arrangement between two carriers in which each of the two carriers receives compensation from the other carrier for the transport and termination on each carrier’s network facilities of Local Traffic that originates on the network facilities of the other carrier.”  The record indicates that Verizon PA has already paid Core reciprocal compensation for the transport and termination of local traffic from the POI to Core’s IP.  Verizon PA R.B. at 15.  Thus, we concur with the ALJ’s finding that Core may not use the above ICA provisions as a basis for billing Verizon PA separate charges for tandem</w:t>
      </w:r>
      <w:r w:rsidR="006E36FE">
        <w:rPr>
          <w:rFonts w:eastAsia="Calibri"/>
          <w:sz w:val="26"/>
          <w:szCs w:val="26"/>
        </w:rPr>
        <w:t xml:space="preserve"> trunk</w:t>
      </w:r>
      <w:r w:rsidRPr="00650894">
        <w:rPr>
          <w:rFonts w:eastAsia="Calibri"/>
          <w:sz w:val="26"/>
          <w:szCs w:val="26"/>
        </w:rPr>
        <w:t xml:space="preserve"> ports, multiplexing, dedicated transport, or entrance facilities in addition to the charges that it levied for reciprocal compensation.  Further, we find that Verizon PA has successfully rebutted Core’s contention that it bills Verizon PA for </w:t>
      </w:r>
      <w:r w:rsidR="00B858D5" w:rsidRPr="00650894">
        <w:rPr>
          <w:rFonts w:eastAsia="Calibri"/>
          <w:sz w:val="26"/>
          <w:szCs w:val="26"/>
        </w:rPr>
        <w:t>tandem</w:t>
      </w:r>
      <w:r w:rsidR="00B858D5">
        <w:rPr>
          <w:rFonts w:eastAsia="Calibri"/>
          <w:sz w:val="26"/>
          <w:szCs w:val="26"/>
        </w:rPr>
        <w:t xml:space="preserve"> trunk</w:t>
      </w:r>
      <w:r w:rsidR="00B858D5" w:rsidRPr="00650894">
        <w:rPr>
          <w:rFonts w:eastAsia="Calibri"/>
          <w:sz w:val="26"/>
          <w:szCs w:val="26"/>
        </w:rPr>
        <w:t xml:space="preserve"> ports </w:t>
      </w:r>
      <w:r w:rsidRPr="00650894">
        <w:rPr>
          <w:rFonts w:eastAsia="Calibri"/>
          <w:sz w:val="26"/>
          <w:szCs w:val="26"/>
        </w:rPr>
        <w:t xml:space="preserve">because Verizon PA bills Core for </w:t>
      </w:r>
      <w:r w:rsidR="00B858D5" w:rsidRPr="00650894">
        <w:rPr>
          <w:rFonts w:eastAsia="Calibri"/>
          <w:sz w:val="26"/>
          <w:szCs w:val="26"/>
        </w:rPr>
        <w:t>tandem</w:t>
      </w:r>
      <w:r w:rsidR="00B858D5">
        <w:rPr>
          <w:rFonts w:eastAsia="Calibri"/>
          <w:sz w:val="26"/>
          <w:szCs w:val="26"/>
        </w:rPr>
        <w:t xml:space="preserve"> trunk</w:t>
      </w:r>
      <w:r w:rsidR="00B858D5" w:rsidRPr="00650894">
        <w:rPr>
          <w:rFonts w:eastAsia="Calibri"/>
          <w:sz w:val="26"/>
          <w:szCs w:val="26"/>
        </w:rPr>
        <w:t xml:space="preserve"> ports</w:t>
      </w:r>
      <w:r w:rsidRPr="00650894">
        <w:rPr>
          <w:rFonts w:eastAsia="Calibri"/>
          <w:sz w:val="26"/>
          <w:szCs w:val="26"/>
        </w:rPr>
        <w:t xml:space="preserve">.  More specifically, the record indicates that Verizon PA does not bill Core for </w:t>
      </w:r>
      <w:r w:rsidR="00B858D5" w:rsidRPr="00650894">
        <w:rPr>
          <w:rFonts w:eastAsia="Calibri"/>
          <w:sz w:val="26"/>
          <w:szCs w:val="26"/>
        </w:rPr>
        <w:t>tandem</w:t>
      </w:r>
      <w:r w:rsidR="00B858D5">
        <w:rPr>
          <w:rFonts w:eastAsia="Calibri"/>
          <w:sz w:val="26"/>
          <w:szCs w:val="26"/>
        </w:rPr>
        <w:t xml:space="preserve"> trunk</w:t>
      </w:r>
      <w:r w:rsidR="00B858D5" w:rsidRPr="00650894">
        <w:rPr>
          <w:rFonts w:eastAsia="Calibri"/>
          <w:sz w:val="26"/>
          <w:szCs w:val="26"/>
        </w:rPr>
        <w:t xml:space="preserve"> ports </w:t>
      </w:r>
      <w:r w:rsidRPr="00650894">
        <w:rPr>
          <w:rFonts w:eastAsia="Calibri"/>
          <w:sz w:val="26"/>
          <w:szCs w:val="26"/>
        </w:rPr>
        <w:t xml:space="preserve">when Core sends Verizon PA local traffic for termination and that local traffic is the only traffic at issue in this proceeding.  In addition, the only evidence of </w:t>
      </w:r>
      <w:r w:rsidR="00B858D5" w:rsidRPr="00650894">
        <w:rPr>
          <w:rFonts w:eastAsia="Calibri"/>
          <w:sz w:val="26"/>
          <w:szCs w:val="26"/>
        </w:rPr>
        <w:t>tandem</w:t>
      </w:r>
      <w:r w:rsidR="00B858D5">
        <w:rPr>
          <w:rFonts w:eastAsia="Calibri"/>
          <w:sz w:val="26"/>
          <w:szCs w:val="26"/>
        </w:rPr>
        <w:t xml:space="preserve"> trunk</w:t>
      </w:r>
      <w:r w:rsidR="00B858D5" w:rsidRPr="00650894">
        <w:rPr>
          <w:rFonts w:eastAsia="Calibri"/>
          <w:sz w:val="26"/>
          <w:szCs w:val="26"/>
        </w:rPr>
        <w:t xml:space="preserve"> port </w:t>
      </w:r>
      <w:r w:rsidRPr="00650894">
        <w:rPr>
          <w:rFonts w:eastAsia="Calibri"/>
          <w:sz w:val="26"/>
          <w:szCs w:val="26"/>
        </w:rPr>
        <w:t>charges from Verizon PA to Core that was submitted into the record in this proceeding pertains to charges in the Altoona LATA, where Core has designated its traffic as 100% interstate.  Verizon PA St. 2.1 at 8-9; Core Exh. Q.</w:t>
      </w:r>
    </w:p>
    <w:p w:rsidR="00413383" w:rsidRPr="00650894" w:rsidRDefault="00413383" w:rsidP="00650894">
      <w:pPr>
        <w:spacing w:after="200" w:line="360" w:lineRule="auto"/>
        <w:ind w:firstLine="1440"/>
        <w:contextualSpacing/>
        <w:rPr>
          <w:rFonts w:eastAsia="Calibri"/>
          <w:sz w:val="26"/>
          <w:szCs w:val="26"/>
        </w:rPr>
      </w:pPr>
    </w:p>
    <w:p w:rsidR="00413383" w:rsidRPr="00650894" w:rsidRDefault="00413383" w:rsidP="00650894">
      <w:pPr>
        <w:spacing w:after="200" w:line="360" w:lineRule="auto"/>
        <w:ind w:firstLine="1440"/>
        <w:contextualSpacing/>
        <w:rPr>
          <w:rFonts w:eastAsia="Calibri"/>
          <w:sz w:val="26"/>
          <w:szCs w:val="26"/>
        </w:rPr>
      </w:pPr>
      <w:r w:rsidRPr="00650894">
        <w:rPr>
          <w:rFonts w:eastAsia="Calibri"/>
          <w:sz w:val="26"/>
          <w:szCs w:val="26"/>
        </w:rPr>
        <w:t>Core also cites to the provisions of Attachment IV, Sections 1.2.2 and 2.4.2 for its authority to bill Verizon PA for entrance facilities, and dedicated transport, and to Attachment IV, Section 2.4.2</w:t>
      </w:r>
      <w:r w:rsidR="00E64451">
        <w:rPr>
          <w:rFonts w:eastAsia="Calibri"/>
          <w:sz w:val="26"/>
          <w:szCs w:val="26"/>
        </w:rPr>
        <w:t>,</w:t>
      </w:r>
      <w:r w:rsidRPr="00650894">
        <w:rPr>
          <w:rFonts w:eastAsia="Calibri"/>
          <w:sz w:val="26"/>
          <w:szCs w:val="26"/>
        </w:rPr>
        <w:t xml:space="preserve"> and Attachment III, Section 10</w:t>
      </w:r>
      <w:r w:rsidR="00E64451">
        <w:rPr>
          <w:rFonts w:eastAsia="Calibri"/>
          <w:sz w:val="26"/>
          <w:szCs w:val="26"/>
        </w:rPr>
        <w:t>,</w:t>
      </w:r>
      <w:r w:rsidRPr="00650894">
        <w:rPr>
          <w:rFonts w:eastAsia="Calibri"/>
          <w:sz w:val="26"/>
          <w:szCs w:val="26"/>
        </w:rPr>
        <w:t xml:space="preserve"> of the ICA for its authority to bill Verizon PA for multiplexing.  The relevant portions of these sections are set forth below:</w:t>
      </w:r>
    </w:p>
    <w:p w:rsidR="00413383" w:rsidRPr="00650894" w:rsidRDefault="00413383" w:rsidP="00650894">
      <w:pPr>
        <w:spacing w:after="200" w:line="360" w:lineRule="auto"/>
        <w:ind w:firstLine="1440"/>
        <w:contextualSpacing/>
        <w:rPr>
          <w:rFonts w:eastAsia="Calibri"/>
          <w:sz w:val="26"/>
          <w:szCs w:val="26"/>
        </w:rPr>
      </w:pPr>
    </w:p>
    <w:p w:rsidR="00413383" w:rsidRPr="00650894" w:rsidRDefault="00413383" w:rsidP="00E27C2C">
      <w:pPr>
        <w:ind w:left="1440" w:right="1440"/>
        <w:rPr>
          <w:rFonts w:eastAsia="Calibri"/>
          <w:sz w:val="26"/>
          <w:szCs w:val="26"/>
        </w:rPr>
      </w:pPr>
      <w:r w:rsidRPr="00650894">
        <w:rPr>
          <w:rFonts w:eastAsia="Calibri"/>
          <w:sz w:val="26"/>
          <w:szCs w:val="26"/>
        </w:rPr>
        <w:t xml:space="preserve">The Party delivering traffic to the other Party’s IP(s) shall do so by purchasing from the other Party transport between the POI(s) and the IP(s), if necessary. </w:t>
      </w:r>
    </w:p>
    <w:p w:rsidR="00413383" w:rsidRPr="00650894" w:rsidRDefault="00413383" w:rsidP="00E27C2C">
      <w:pPr>
        <w:ind w:firstLine="1440"/>
        <w:rPr>
          <w:rFonts w:eastAsia="Calibri"/>
          <w:sz w:val="26"/>
          <w:szCs w:val="26"/>
        </w:rPr>
      </w:pPr>
    </w:p>
    <w:p w:rsidR="00413383" w:rsidRPr="00650894" w:rsidRDefault="00413383" w:rsidP="00E27C2C">
      <w:pPr>
        <w:ind w:left="1440" w:right="1440"/>
        <w:jc w:val="center"/>
        <w:rPr>
          <w:rFonts w:eastAsia="Calibri"/>
          <w:sz w:val="26"/>
          <w:szCs w:val="26"/>
        </w:rPr>
      </w:pPr>
      <w:r w:rsidRPr="00650894">
        <w:rPr>
          <w:rFonts w:eastAsia="Calibri"/>
          <w:sz w:val="26"/>
          <w:szCs w:val="26"/>
        </w:rPr>
        <w:t>*</w:t>
      </w:r>
      <w:r w:rsidRPr="00650894">
        <w:rPr>
          <w:rFonts w:eastAsia="Calibri"/>
          <w:sz w:val="26"/>
          <w:szCs w:val="26"/>
        </w:rPr>
        <w:tab/>
        <w:t>*</w:t>
      </w:r>
      <w:r w:rsidRPr="00650894">
        <w:rPr>
          <w:rFonts w:eastAsia="Calibri"/>
          <w:sz w:val="26"/>
          <w:szCs w:val="26"/>
        </w:rPr>
        <w:tab/>
        <w:t>*</w:t>
      </w:r>
      <w:r w:rsidRPr="00650894">
        <w:rPr>
          <w:rFonts w:eastAsia="Calibri"/>
          <w:sz w:val="26"/>
          <w:szCs w:val="26"/>
        </w:rPr>
        <w:tab/>
      </w:r>
    </w:p>
    <w:p w:rsidR="00413383" w:rsidRPr="00650894" w:rsidRDefault="00413383" w:rsidP="00E27C2C">
      <w:pPr>
        <w:ind w:left="1440" w:right="1440"/>
        <w:jc w:val="center"/>
        <w:rPr>
          <w:rFonts w:eastAsia="Calibri"/>
          <w:sz w:val="26"/>
          <w:szCs w:val="26"/>
        </w:rPr>
      </w:pPr>
    </w:p>
    <w:p w:rsidR="00413383" w:rsidRDefault="00413383" w:rsidP="00E27C2C">
      <w:pPr>
        <w:ind w:left="1440" w:right="1440"/>
        <w:rPr>
          <w:rFonts w:eastAsia="Calibri"/>
          <w:sz w:val="26"/>
          <w:szCs w:val="26"/>
        </w:rPr>
      </w:pPr>
      <w:r w:rsidRPr="00650894">
        <w:rPr>
          <w:rFonts w:eastAsia="Calibri"/>
          <w:sz w:val="26"/>
          <w:szCs w:val="26"/>
        </w:rPr>
        <w:t>When Local Traffic from [Verizon PA] is terminating on [Core’s] network through the POI, [Verizon PA] shall pay [Core] transport charges from the POI to the [Core] Switch for Dedicated Transport.  This transport charge shall not exceed [Verizon PA’s] equivalent charge.</w:t>
      </w:r>
    </w:p>
    <w:p w:rsidR="000C143E" w:rsidRPr="00650894" w:rsidRDefault="000C143E" w:rsidP="00E27C2C">
      <w:pPr>
        <w:ind w:left="1440" w:right="1440"/>
        <w:rPr>
          <w:rFonts w:eastAsia="Calibri"/>
          <w:sz w:val="26"/>
          <w:szCs w:val="26"/>
        </w:rPr>
      </w:pPr>
    </w:p>
    <w:p w:rsidR="00413383" w:rsidRPr="00650894" w:rsidRDefault="00413383" w:rsidP="00E27C2C">
      <w:pPr>
        <w:ind w:firstLine="1440"/>
        <w:rPr>
          <w:rFonts w:eastAsia="Calibri"/>
          <w:sz w:val="26"/>
          <w:szCs w:val="26"/>
        </w:rPr>
      </w:pPr>
    </w:p>
    <w:p w:rsidR="00413383" w:rsidRPr="00650894" w:rsidRDefault="00413383" w:rsidP="000C143E">
      <w:pPr>
        <w:spacing w:line="360" w:lineRule="auto"/>
        <w:rPr>
          <w:rFonts w:eastAsia="Calibri"/>
          <w:sz w:val="26"/>
          <w:szCs w:val="26"/>
        </w:rPr>
      </w:pPr>
      <w:r w:rsidRPr="00650894">
        <w:rPr>
          <w:rFonts w:eastAsia="Calibri"/>
          <w:sz w:val="26"/>
          <w:szCs w:val="26"/>
        </w:rPr>
        <w:t xml:space="preserve">ICA at Attachment IV, Section 1.2.2 and 2.4.2.  </w:t>
      </w:r>
    </w:p>
    <w:p w:rsidR="00413383" w:rsidRPr="00650894" w:rsidRDefault="00413383" w:rsidP="000C143E">
      <w:pPr>
        <w:spacing w:line="360" w:lineRule="auto"/>
        <w:contextualSpacing/>
        <w:rPr>
          <w:rFonts w:eastAsia="Calibri"/>
          <w:sz w:val="26"/>
          <w:szCs w:val="26"/>
        </w:rPr>
      </w:pPr>
    </w:p>
    <w:p w:rsidR="00413383" w:rsidRPr="00650894" w:rsidRDefault="00413383" w:rsidP="00E64451">
      <w:pPr>
        <w:ind w:left="1440" w:right="1440"/>
        <w:rPr>
          <w:rFonts w:eastAsia="Calibri"/>
          <w:sz w:val="26"/>
          <w:szCs w:val="26"/>
        </w:rPr>
      </w:pPr>
      <w:r w:rsidRPr="00650894">
        <w:rPr>
          <w:rFonts w:eastAsia="Calibri"/>
          <w:sz w:val="26"/>
          <w:szCs w:val="26"/>
        </w:rPr>
        <w:t>10.1.1 Dedicated Transport is an interoffice transmission path of a fixed capacity between [Core] designated locations to which [Core] is granted exclusive use.  Such locations may include [Verizon PA] Central Offices, other Telecommunications Carrier locations, subscriber premises, or other mutually agreed locations.</w:t>
      </w:r>
    </w:p>
    <w:p w:rsidR="00413383" w:rsidRPr="00650894" w:rsidRDefault="00413383" w:rsidP="00E64451">
      <w:pPr>
        <w:rPr>
          <w:rFonts w:eastAsia="Calibri"/>
          <w:sz w:val="26"/>
          <w:szCs w:val="26"/>
        </w:rPr>
      </w:pPr>
    </w:p>
    <w:p w:rsidR="00413383" w:rsidRPr="00650894" w:rsidRDefault="00413383" w:rsidP="00E64451">
      <w:pPr>
        <w:ind w:left="1440" w:right="1440"/>
        <w:rPr>
          <w:rFonts w:eastAsia="Calibri"/>
          <w:sz w:val="26"/>
          <w:szCs w:val="26"/>
        </w:rPr>
      </w:pPr>
      <w:r w:rsidRPr="00650894">
        <w:rPr>
          <w:rFonts w:eastAsia="Calibri"/>
          <w:sz w:val="26"/>
          <w:szCs w:val="26"/>
        </w:rPr>
        <w:t xml:space="preserve">10.1.2 [Verizon PA] shall offer Dedicated Transport as a circuit (e.g., DSO (voice grade), DSI, STS1 (when available) and DS3) dedicated to [Core]. </w:t>
      </w:r>
    </w:p>
    <w:p w:rsidR="00413383" w:rsidRPr="00650894" w:rsidRDefault="00413383" w:rsidP="00E64451">
      <w:pPr>
        <w:rPr>
          <w:rFonts w:eastAsia="Calibri"/>
          <w:sz w:val="26"/>
          <w:szCs w:val="26"/>
        </w:rPr>
      </w:pPr>
    </w:p>
    <w:p w:rsidR="00413383" w:rsidRPr="00650894" w:rsidRDefault="00413383" w:rsidP="00E64451">
      <w:pPr>
        <w:ind w:left="1440" w:right="1440"/>
        <w:rPr>
          <w:rFonts w:eastAsia="Calibri"/>
          <w:sz w:val="26"/>
          <w:szCs w:val="26"/>
        </w:rPr>
      </w:pPr>
      <w:r w:rsidRPr="00650894">
        <w:rPr>
          <w:rFonts w:eastAsia="Calibri"/>
          <w:sz w:val="26"/>
          <w:szCs w:val="26"/>
        </w:rPr>
        <w:t xml:space="preserve">10.1.3 When Dedicated Transport is provided as a circuit, it will have available (as appropriate): </w:t>
      </w:r>
    </w:p>
    <w:p w:rsidR="00413383" w:rsidRPr="00650894" w:rsidRDefault="00413383" w:rsidP="00E64451">
      <w:pPr>
        <w:rPr>
          <w:rFonts w:eastAsia="Calibri"/>
          <w:sz w:val="26"/>
          <w:szCs w:val="26"/>
        </w:rPr>
      </w:pPr>
    </w:p>
    <w:p w:rsidR="00413383" w:rsidRPr="00650894" w:rsidRDefault="00413383" w:rsidP="00E64451">
      <w:pPr>
        <w:ind w:left="1440" w:right="1440"/>
        <w:rPr>
          <w:rFonts w:eastAsia="Calibri"/>
          <w:sz w:val="26"/>
          <w:szCs w:val="26"/>
        </w:rPr>
      </w:pPr>
      <w:r w:rsidRPr="00650894">
        <w:rPr>
          <w:rFonts w:eastAsia="Calibri"/>
          <w:sz w:val="26"/>
          <w:szCs w:val="26"/>
        </w:rPr>
        <w:tab/>
        <w:t xml:space="preserve">10.1.3.1 Optional multiplexing functionality; </w:t>
      </w:r>
    </w:p>
    <w:p w:rsidR="00413383" w:rsidRPr="00650894" w:rsidRDefault="00413383" w:rsidP="00E64451">
      <w:pPr>
        <w:rPr>
          <w:rFonts w:eastAsia="Calibri"/>
          <w:sz w:val="26"/>
          <w:szCs w:val="26"/>
        </w:rPr>
      </w:pPr>
    </w:p>
    <w:p w:rsidR="00413383" w:rsidRPr="00650894" w:rsidRDefault="00413383" w:rsidP="00E64451">
      <w:pPr>
        <w:ind w:left="1440" w:right="1440"/>
        <w:jc w:val="center"/>
        <w:rPr>
          <w:rFonts w:eastAsia="Calibri"/>
          <w:sz w:val="26"/>
          <w:szCs w:val="26"/>
        </w:rPr>
      </w:pPr>
      <w:r w:rsidRPr="00650894">
        <w:rPr>
          <w:rFonts w:eastAsia="Calibri"/>
          <w:sz w:val="26"/>
          <w:szCs w:val="26"/>
        </w:rPr>
        <w:t>*</w:t>
      </w:r>
      <w:r w:rsidRPr="00650894">
        <w:rPr>
          <w:rFonts w:eastAsia="Calibri"/>
          <w:sz w:val="26"/>
          <w:szCs w:val="26"/>
        </w:rPr>
        <w:tab/>
        <w:t>*</w:t>
      </w:r>
      <w:r w:rsidRPr="00650894">
        <w:rPr>
          <w:rFonts w:eastAsia="Calibri"/>
          <w:sz w:val="26"/>
          <w:szCs w:val="26"/>
        </w:rPr>
        <w:tab/>
        <w:t>*</w:t>
      </w:r>
      <w:r w:rsidRPr="00650894">
        <w:rPr>
          <w:rFonts w:eastAsia="Calibri"/>
          <w:sz w:val="26"/>
          <w:szCs w:val="26"/>
        </w:rPr>
        <w:tab/>
      </w:r>
    </w:p>
    <w:p w:rsidR="00413383" w:rsidRPr="00650894" w:rsidRDefault="00413383" w:rsidP="00E64451">
      <w:pPr>
        <w:rPr>
          <w:rFonts w:eastAsia="Calibri"/>
          <w:sz w:val="26"/>
          <w:szCs w:val="26"/>
        </w:rPr>
      </w:pPr>
    </w:p>
    <w:p w:rsidR="00413383" w:rsidRPr="00650894" w:rsidRDefault="00413383" w:rsidP="00E64451">
      <w:pPr>
        <w:ind w:left="1440" w:right="1440"/>
        <w:rPr>
          <w:rFonts w:eastAsia="Calibri"/>
          <w:sz w:val="26"/>
          <w:szCs w:val="26"/>
        </w:rPr>
      </w:pPr>
      <w:r w:rsidRPr="00650894">
        <w:rPr>
          <w:rFonts w:eastAsia="Calibri"/>
          <w:sz w:val="26"/>
          <w:szCs w:val="26"/>
        </w:rPr>
        <w:t>10.2.4 [Verizon PA] shall offer DCS and multiplexing, both together with and separately from Dedicated Transport.</w:t>
      </w:r>
    </w:p>
    <w:p w:rsidR="00413383" w:rsidRDefault="00413383" w:rsidP="00E64451">
      <w:pPr>
        <w:rPr>
          <w:rFonts w:eastAsia="Calibri"/>
          <w:sz w:val="26"/>
          <w:szCs w:val="26"/>
        </w:rPr>
      </w:pPr>
    </w:p>
    <w:p w:rsidR="00E64451" w:rsidRPr="00650894" w:rsidRDefault="00E64451" w:rsidP="00E64451">
      <w:pPr>
        <w:rPr>
          <w:rFonts w:eastAsia="Calibri"/>
          <w:sz w:val="26"/>
          <w:szCs w:val="26"/>
        </w:rPr>
      </w:pPr>
    </w:p>
    <w:p w:rsidR="00413383" w:rsidRPr="00650894" w:rsidRDefault="00413383" w:rsidP="00650894">
      <w:pPr>
        <w:spacing w:after="200" w:line="360" w:lineRule="auto"/>
        <w:contextualSpacing/>
        <w:rPr>
          <w:rFonts w:eastAsia="Calibri"/>
          <w:sz w:val="26"/>
          <w:szCs w:val="26"/>
        </w:rPr>
      </w:pPr>
      <w:r w:rsidRPr="00650894">
        <w:rPr>
          <w:rFonts w:eastAsia="Calibri"/>
          <w:sz w:val="26"/>
          <w:szCs w:val="26"/>
        </w:rPr>
        <w:t>ICA at Attachment III, Sections 10.1.1, 10.1.2, 10.1.3, 10.1.3.1, and 10.2.4.</w:t>
      </w:r>
    </w:p>
    <w:p w:rsidR="00413383" w:rsidRPr="00650894" w:rsidRDefault="00413383" w:rsidP="00650894">
      <w:pPr>
        <w:spacing w:after="200" w:line="360" w:lineRule="auto"/>
        <w:contextualSpacing/>
        <w:rPr>
          <w:rFonts w:eastAsia="Calibri"/>
          <w:sz w:val="26"/>
          <w:szCs w:val="26"/>
        </w:rPr>
      </w:pPr>
    </w:p>
    <w:p w:rsidR="00413383" w:rsidRPr="00650894" w:rsidRDefault="00413383" w:rsidP="00650894">
      <w:pPr>
        <w:spacing w:after="200" w:line="360" w:lineRule="auto"/>
        <w:ind w:firstLine="1440"/>
        <w:contextualSpacing/>
        <w:rPr>
          <w:rFonts w:eastAsia="Calibri"/>
          <w:sz w:val="26"/>
          <w:szCs w:val="26"/>
        </w:rPr>
      </w:pPr>
      <w:r w:rsidRPr="00650894">
        <w:rPr>
          <w:rFonts w:eastAsia="Calibri"/>
          <w:sz w:val="26"/>
          <w:szCs w:val="26"/>
        </w:rPr>
        <w:t xml:space="preserve">As with the other ICA provisions previously discussed in this section, we are not persuaded by Core’s contention that the above ICA provisions provide a valid basis for Core to submit bills to Verizon PA for the facilities at issue.  First, we find that Attachment IV, Sections 1.2.2 and 2.4.2 must be read in conjunction with one another.  More specifically, we concur with Verizon PA that under Attachment IV, Section 1.2.2 of the ICA, Verizon PA must purchase transport from Core between the POI and the IP </w:t>
      </w:r>
      <w:r w:rsidRPr="00650894">
        <w:rPr>
          <w:rFonts w:eastAsia="Calibri"/>
          <w:i/>
          <w:sz w:val="26"/>
          <w:szCs w:val="26"/>
        </w:rPr>
        <w:t>only</w:t>
      </w:r>
      <w:r w:rsidRPr="00650894">
        <w:rPr>
          <w:rFonts w:eastAsia="Calibri"/>
          <w:sz w:val="26"/>
          <w:szCs w:val="26"/>
        </w:rPr>
        <w:t xml:space="preserve"> if it is necessary to do so; and that under Attachment IV, Section 2.4.2 of the ICA, if such purchase is necessary then Core may issue transport charges from the POI to Core’s switch for Dedicated Transport.  In our disposition of Core’s Exception No. 1, </w:t>
      </w:r>
      <w:r w:rsidRPr="00650894">
        <w:rPr>
          <w:rFonts w:eastAsia="Calibri"/>
          <w:i/>
          <w:sz w:val="26"/>
          <w:szCs w:val="26"/>
        </w:rPr>
        <w:t>supra,</w:t>
      </w:r>
      <w:r w:rsidRPr="00650894">
        <w:rPr>
          <w:rFonts w:eastAsia="Calibri"/>
          <w:sz w:val="26"/>
          <w:szCs w:val="26"/>
        </w:rPr>
        <w:t xml:space="preserve"> we noted that Verizon PA has chosen to self-provision trunks, as opposed to ordering them from Core.  Therefore, we agree with ALJ Colwell’s conclusion that given that Verizon PA self-provisions the facilities necessary to transport its local traffic to Core’s switch, it was not necessary for Verizon PA to purchase transport from Core, as contemplated in Attachment IV, Section 1.2.2.  By extension, we find that Verizon PA is not obligated to purchase Dedicated Transport pursuant to Attachment IV, Section 2.4.2, nor may Core charge for multiplexing as discussed under Attachment III, Sections 10.1.3 and 10.2.4.</w:t>
      </w:r>
    </w:p>
    <w:p w:rsidR="00413383" w:rsidRPr="00650894" w:rsidRDefault="00413383" w:rsidP="00650894">
      <w:pPr>
        <w:spacing w:after="200" w:line="360" w:lineRule="auto"/>
        <w:ind w:firstLine="1440"/>
        <w:contextualSpacing/>
        <w:rPr>
          <w:rFonts w:eastAsia="Calibri"/>
          <w:sz w:val="26"/>
          <w:szCs w:val="26"/>
        </w:rPr>
      </w:pPr>
    </w:p>
    <w:p w:rsidR="00413383" w:rsidRPr="00650894" w:rsidRDefault="00413383" w:rsidP="00650894">
      <w:pPr>
        <w:spacing w:after="200" w:line="360" w:lineRule="auto"/>
        <w:ind w:firstLine="1440"/>
        <w:contextualSpacing/>
        <w:rPr>
          <w:rFonts w:eastAsia="Calibri"/>
          <w:sz w:val="26"/>
          <w:szCs w:val="26"/>
        </w:rPr>
      </w:pPr>
      <w:r w:rsidRPr="00650894">
        <w:rPr>
          <w:rFonts w:eastAsia="Calibri"/>
          <w:sz w:val="26"/>
          <w:szCs w:val="26"/>
        </w:rPr>
        <w:t>Additionally, we concur with Verizon PA that Core’s citations to Attachment III of the ICA to support its bills to Verizon PA are misplaced.  In this regard, we note that Attachment III of the ICA is entitled “NETWORK ELEMENTS.”  Attachment III, Section 1, which serves as an introduction to the entire attachment, states, in pertinent part</w:t>
      </w:r>
      <w:r w:rsidR="001A3899">
        <w:rPr>
          <w:rFonts w:eastAsia="Calibri"/>
          <w:sz w:val="26"/>
          <w:szCs w:val="26"/>
        </w:rPr>
        <w:t>,</w:t>
      </w:r>
      <w:r w:rsidRPr="00650894">
        <w:rPr>
          <w:rFonts w:eastAsia="Calibri"/>
          <w:sz w:val="26"/>
          <w:szCs w:val="26"/>
        </w:rPr>
        <w:t xml:space="preserve"> that “[Verizon PA] shall provide unbundled Network Elements in accordance with this Agreement and Applicable Law.  The price for each Network Element is set forth in [Appendix 2] of this Agreement.  Except as otherwise set forth in this Attachment, [Core] may order Network Elements.”  Similarly, Attachment III, Section 2.1 states that “[Verizon PA] shall offer Network Elements to [Core] on an unbundled </w:t>
      </w:r>
      <w:r w:rsidR="00EC5CC6" w:rsidRPr="00650894">
        <w:rPr>
          <w:rFonts w:eastAsia="Calibri"/>
          <w:sz w:val="26"/>
          <w:szCs w:val="26"/>
        </w:rPr>
        <w:t>basis . . .</w:t>
      </w:r>
      <w:r w:rsidRPr="00650894">
        <w:rPr>
          <w:rFonts w:eastAsia="Calibri"/>
          <w:sz w:val="26"/>
          <w:szCs w:val="26"/>
        </w:rPr>
        <w:t xml:space="preserve"> in accordance with the terms and conditions of this Agreement.”  Further, the entire Attachment III repeatedly discusses Verizon PA’s provision of UNEs to Core, and not the other way around.  As Verizon PA points out, Core, as a CLEC, does not provide UNEs.  </w:t>
      </w:r>
      <w:r w:rsidR="00B858D5">
        <w:rPr>
          <w:rFonts w:eastAsia="Calibri"/>
          <w:sz w:val="26"/>
          <w:szCs w:val="26"/>
        </w:rPr>
        <w:t>Moreov</w:t>
      </w:r>
      <w:r w:rsidRPr="00650894">
        <w:rPr>
          <w:rFonts w:eastAsia="Calibri"/>
          <w:sz w:val="26"/>
          <w:szCs w:val="26"/>
        </w:rPr>
        <w:t>er, although other sections of the ICA discuss scenarios in which Core would charge Verizon PA for Dedicated Transport, as this term is defined in Attachment III, Section 10.1.1, there are no such scenarios discussed in the ICA which permit Core to bill Verizon PA for standalone multiplexing</w:t>
      </w:r>
      <w:r w:rsidR="00215E2F">
        <w:rPr>
          <w:rFonts w:eastAsia="Calibri"/>
          <w:sz w:val="26"/>
          <w:szCs w:val="26"/>
        </w:rPr>
        <w:t>.</w:t>
      </w:r>
    </w:p>
    <w:p w:rsidR="00413383" w:rsidRPr="00650894" w:rsidRDefault="00413383" w:rsidP="00650894">
      <w:pPr>
        <w:spacing w:after="200" w:line="360" w:lineRule="auto"/>
        <w:ind w:firstLine="1440"/>
        <w:contextualSpacing/>
        <w:rPr>
          <w:rFonts w:eastAsia="Calibri"/>
          <w:sz w:val="26"/>
          <w:szCs w:val="26"/>
        </w:rPr>
      </w:pPr>
    </w:p>
    <w:p w:rsidR="00413383" w:rsidRPr="00650894" w:rsidRDefault="00413383" w:rsidP="00650894">
      <w:pPr>
        <w:spacing w:after="200" w:line="360" w:lineRule="auto"/>
        <w:ind w:firstLine="1440"/>
        <w:contextualSpacing/>
        <w:rPr>
          <w:rFonts w:eastAsia="Calibri"/>
          <w:sz w:val="26"/>
          <w:szCs w:val="26"/>
        </w:rPr>
      </w:pPr>
      <w:r w:rsidRPr="00650894">
        <w:rPr>
          <w:rFonts w:eastAsia="Calibri"/>
          <w:sz w:val="26"/>
          <w:szCs w:val="26"/>
        </w:rPr>
        <w:t>As noted above, the Philadelphia LATA is the only LATA in which Core issued bills</w:t>
      </w:r>
      <w:r w:rsidR="00B858D5">
        <w:rPr>
          <w:rFonts w:eastAsia="Calibri"/>
          <w:sz w:val="26"/>
          <w:szCs w:val="26"/>
        </w:rPr>
        <w:t xml:space="preserve"> for entrance facilities and dedicated transport</w:t>
      </w:r>
      <w:r w:rsidRPr="00650894">
        <w:rPr>
          <w:rFonts w:eastAsia="Calibri"/>
          <w:sz w:val="26"/>
          <w:szCs w:val="26"/>
        </w:rPr>
        <w:t xml:space="preserve"> to Verizon PA.  We disagree with Core’s alternative interpretation of Attachment IV, Sections 1.2.2 and 2.4.2 wherein it submits that it is permitted to levy such charges because the POI and the IP in this LATA are in different locations, thereby making it necessary for Verizon PA to purchase transport and entrance facilities.  Instead, we find Verizon PA’s rebuttal argument persuasive that prior to 2013, it already had the facilities and the actual transport route in place in this LATA to transport its traffic all the way to Core’s switch.  We make no determination as to whether Core was attempting to mislead Verizon PA through the use of the word “abandoning,” as used in the email exchange submitted in to the record in Verizon PA St. 2.0, Exhibit No. 6, or whether Core was attempting to manipulate the designation of the POIs in the Philadelphia LATA for the purpose of attempting to maximize its transport revenues.</w:t>
      </w:r>
      <w:r w:rsidRPr="00650894">
        <w:rPr>
          <w:rFonts w:eastAsia="Calibri"/>
          <w:sz w:val="26"/>
          <w:szCs w:val="26"/>
          <w:vertAlign w:val="superscript"/>
        </w:rPr>
        <w:footnoteReference w:id="17"/>
      </w:r>
      <w:r w:rsidRPr="00650894">
        <w:rPr>
          <w:rFonts w:eastAsia="Calibri"/>
          <w:sz w:val="26"/>
          <w:szCs w:val="26"/>
        </w:rPr>
        <w:t xml:space="preserve">  Nonetheless, we find that the email exchange, at a minimum, establishes that Verizon PA had no reason or necessity to cease using its self</w:t>
      </w:r>
      <w:r w:rsidR="004A0DD1">
        <w:rPr>
          <w:rFonts w:eastAsia="Calibri"/>
          <w:sz w:val="26"/>
          <w:szCs w:val="26"/>
        </w:rPr>
        <w:noBreakHyphen/>
      </w:r>
      <w:r w:rsidRPr="00650894">
        <w:rPr>
          <w:rFonts w:eastAsia="Calibri"/>
          <w:sz w:val="26"/>
          <w:szCs w:val="26"/>
        </w:rPr>
        <w:t>provisioned facilities and did so only at Core’s request</w:t>
      </w:r>
      <w:r w:rsidR="00B858D5">
        <w:rPr>
          <w:rFonts w:eastAsia="Calibri"/>
          <w:sz w:val="26"/>
          <w:szCs w:val="26"/>
        </w:rPr>
        <w:t>.</w:t>
      </w:r>
    </w:p>
    <w:p w:rsidR="00CB0587" w:rsidRPr="00650894" w:rsidRDefault="00CB0587" w:rsidP="00650894">
      <w:pPr>
        <w:spacing w:after="200" w:line="360" w:lineRule="auto"/>
        <w:ind w:firstLine="1440"/>
        <w:contextualSpacing/>
        <w:rPr>
          <w:rFonts w:eastAsia="Calibri"/>
          <w:sz w:val="26"/>
          <w:szCs w:val="26"/>
        </w:rPr>
      </w:pPr>
    </w:p>
    <w:p w:rsidR="00CB0587" w:rsidRPr="00650894" w:rsidRDefault="00CB0587" w:rsidP="00650894">
      <w:pPr>
        <w:spacing w:after="200" w:line="360" w:lineRule="auto"/>
        <w:ind w:firstLine="1440"/>
        <w:contextualSpacing/>
        <w:rPr>
          <w:spacing w:val="-3"/>
          <w:sz w:val="26"/>
          <w:szCs w:val="26"/>
        </w:rPr>
      </w:pPr>
      <w:r w:rsidRPr="00650894">
        <w:rPr>
          <w:rFonts w:eastAsia="Calibri"/>
          <w:sz w:val="26"/>
          <w:szCs w:val="26"/>
        </w:rPr>
        <w:t xml:space="preserve">In summary, </w:t>
      </w:r>
      <w:r w:rsidRPr="00650894">
        <w:rPr>
          <w:sz w:val="26"/>
          <w:szCs w:val="26"/>
        </w:rPr>
        <w:t xml:space="preserve">we are not persuaded by Core’s arguments that </w:t>
      </w:r>
      <w:r w:rsidRPr="00650894">
        <w:rPr>
          <w:spacing w:val="-3"/>
          <w:sz w:val="26"/>
          <w:szCs w:val="26"/>
        </w:rPr>
        <w:t>the ALJ erred in interpreting the above provisions of the ICA in reaching her conclusion that the ICA does not permit Core to issue bills for the services and facilities at issue.  As such, we agree with the findings of the ALJ and the arguments set forth by Verizon PA in its Reply Exceptions, as discussed above.</w:t>
      </w:r>
      <w:r w:rsidR="00376D2E">
        <w:rPr>
          <w:rStyle w:val="FootnoteReference"/>
          <w:spacing w:val="-3"/>
        </w:rPr>
        <w:footnoteReference w:id="18"/>
      </w:r>
    </w:p>
    <w:p w:rsidR="00CB0587" w:rsidRPr="00650894" w:rsidRDefault="00CB0587" w:rsidP="00650894">
      <w:pPr>
        <w:spacing w:after="200" w:line="360" w:lineRule="auto"/>
        <w:ind w:firstLine="1440"/>
        <w:contextualSpacing/>
        <w:rPr>
          <w:rFonts w:eastAsia="Calibri"/>
          <w:sz w:val="26"/>
          <w:szCs w:val="26"/>
        </w:rPr>
      </w:pPr>
    </w:p>
    <w:p w:rsidR="009144AF" w:rsidRPr="009144AF" w:rsidRDefault="009144AF" w:rsidP="00650894">
      <w:pPr>
        <w:spacing w:after="200" w:line="360" w:lineRule="auto"/>
        <w:ind w:firstLine="1440"/>
        <w:contextualSpacing/>
        <w:rPr>
          <w:rFonts w:eastAsia="Calibri"/>
          <w:sz w:val="26"/>
          <w:szCs w:val="26"/>
        </w:rPr>
      </w:pPr>
      <w:r w:rsidRPr="009144AF">
        <w:rPr>
          <w:spacing w:val="-3"/>
          <w:sz w:val="26"/>
          <w:szCs w:val="26"/>
        </w:rPr>
        <w:t xml:space="preserve">In this same vein, we further agree with Verizon PA’s position, and the associated findings of the ALJ, that even if Core was permitted to charge Verizon PA for </w:t>
      </w:r>
      <w:r w:rsidR="00B858D5">
        <w:rPr>
          <w:spacing w:val="-3"/>
          <w:sz w:val="26"/>
          <w:szCs w:val="26"/>
        </w:rPr>
        <w:t xml:space="preserve">tandem </w:t>
      </w:r>
      <w:r w:rsidRPr="009144AF">
        <w:rPr>
          <w:spacing w:val="-3"/>
          <w:sz w:val="26"/>
          <w:szCs w:val="26"/>
        </w:rPr>
        <w:t xml:space="preserve">trunk ports, multiplexing, entrance facilities, and dedicated transport, Core has charged the incorrect rates.  A fundamental question that arose during this proceeding is whether the TELRIC rates produced in the </w:t>
      </w:r>
      <w:r w:rsidRPr="009144AF">
        <w:rPr>
          <w:i/>
          <w:spacing w:val="-3"/>
          <w:sz w:val="26"/>
          <w:szCs w:val="26"/>
        </w:rPr>
        <w:t xml:space="preserve">2004 Verizon PA TELRIC Proceeding </w:t>
      </w:r>
      <w:r w:rsidRPr="009144AF">
        <w:rPr>
          <w:spacing w:val="-3"/>
          <w:sz w:val="26"/>
          <w:szCs w:val="26"/>
        </w:rPr>
        <w:t>supersede those that are set forth in the ICA’s Pricing Appendix.  Turning again to the Pricing Appendix, we note that paragraph 2 of Footnote 1 states as follows (emphasis added):</w:t>
      </w:r>
    </w:p>
    <w:p w:rsidR="009144AF" w:rsidRPr="009144AF" w:rsidRDefault="009144AF" w:rsidP="00650894">
      <w:pPr>
        <w:spacing w:after="200" w:line="360" w:lineRule="auto"/>
        <w:ind w:firstLine="1440"/>
        <w:contextualSpacing/>
        <w:rPr>
          <w:rFonts w:eastAsia="Calibri"/>
          <w:sz w:val="26"/>
          <w:szCs w:val="26"/>
        </w:rPr>
      </w:pPr>
    </w:p>
    <w:p w:rsidR="009144AF" w:rsidRDefault="009144AF" w:rsidP="0042695D">
      <w:pPr>
        <w:ind w:left="1440" w:right="1440"/>
        <w:rPr>
          <w:rFonts w:eastAsia="Calibri"/>
          <w:sz w:val="26"/>
          <w:szCs w:val="26"/>
        </w:rPr>
      </w:pPr>
      <w:r w:rsidRPr="009144AF">
        <w:rPr>
          <w:rFonts w:eastAsia="Calibri"/>
          <w:sz w:val="26"/>
          <w:szCs w:val="26"/>
        </w:rPr>
        <w:t xml:space="preserve">As applied to wholesale discount rates, unbundled Network Elements or call transport and/or termination of Local Traffic purchased for the provision of Telephone Exchange Service or Exchange Access, the rates and charges set forth in [the Pricing Appendix] shall apply </w:t>
      </w:r>
      <w:r w:rsidRPr="009144AF">
        <w:rPr>
          <w:rFonts w:eastAsia="Calibri"/>
          <w:b/>
          <w:sz w:val="26"/>
          <w:szCs w:val="26"/>
        </w:rPr>
        <w:t>until such time as they are replaced by new rates as may be approved or allowed into effect by the Commission from time to time pursuant to FCC regulations, subject to a stay or other order issued by any court of competent jurisdiction</w:t>
      </w:r>
      <w:r w:rsidRPr="009144AF">
        <w:rPr>
          <w:rFonts w:eastAsia="Calibri"/>
          <w:sz w:val="26"/>
          <w:szCs w:val="26"/>
        </w:rPr>
        <w:t>.</w:t>
      </w:r>
    </w:p>
    <w:p w:rsidR="0042695D" w:rsidRPr="009144AF" w:rsidRDefault="0042695D" w:rsidP="0042695D">
      <w:pPr>
        <w:ind w:left="1440" w:right="1440"/>
        <w:rPr>
          <w:rFonts w:eastAsia="Calibri"/>
          <w:sz w:val="26"/>
          <w:szCs w:val="26"/>
        </w:rPr>
      </w:pPr>
    </w:p>
    <w:p w:rsidR="009144AF" w:rsidRPr="009144AF" w:rsidRDefault="009144AF" w:rsidP="0042695D">
      <w:pPr>
        <w:ind w:firstLine="1440"/>
        <w:rPr>
          <w:rFonts w:eastAsia="Calibri"/>
          <w:sz w:val="26"/>
          <w:szCs w:val="26"/>
        </w:rPr>
      </w:pPr>
    </w:p>
    <w:p w:rsidR="009144AF" w:rsidRPr="009144AF" w:rsidRDefault="009144AF" w:rsidP="00650894">
      <w:pPr>
        <w:spacing w:after="200" w:line="360" w:lineRule="auto"/>
        <w:contextualSpacing/>
        <w:rPr>
          <w:rFonts w:eastAsia="Calibri"/>
          <w:sz w:val="26"/>
          <w:szCs w:val="26"/>
        </w:rPr>
      </w:pPr>
      <w:r w:rsidRPr="009144AF">
        <w:rPr>
          <w:rFonts w:eastAsia="Calibri"/>
          <w:sz w:val="26"/>
          <w:szCs w:val="26"/>
        </w:rPr>
        <w:t>We also note the following provisions of Part A, Section 1.3 of the ICA (emphasis added):</w:t>
      </w:r>
    </w:p>
    <w:p w:rsidR="009144AF" w:rsidRPr="009144AF" w:rsidRDefault="009144AF" w:rsidP="00650894">
      <w:pPr>
        <w:spacing w:after="200" w:line="360" w:lineRule="auto"/>
        <w:contextualSpacing/>
        <w:rPr>
          <w:rFonts w:eastAsia="Calibri"/>
          <w:sz w:val="26"/>
          <w:szCs w:val="26"/>
        </w:rPr>
      </w:pPr>
    </w:p>
    <w:p w:rsidR="009144AF" w:rsidRPr="009144AF" w:rsidRDefault="009144AF" w:rsidP="0042695D">
      <w:pPr>
        <w:ind w:left="1440" w:right="1440"/>
        <w:rPr>
          <w:rFonts w:eastAsia="Calibri"/>
          <w:sz w:val="26"/>
          <w:szCs w:val="26"/>
        </w:rPr>
      </w:pPr>
      <w:r w:rsidRPr="009144AF">
        <w:rPr>
          <w:rFonts w:eastAsia="Calibri"/>
          <w:sz w:val="26"/>
          <w:szCs w:val="26"/>
        </w:rPr>
        <w:t xml:space="preserve">The rates and charges set forth in [Appendix 2] shall remain fixed for the term of this Agreement or until superseded by such rates (whether interim or permanent) </w:t>
      </w:r>
      <w:r w:rsidRPr="009144AF">
        <w:rPr>
          <w:rFonts w:eastAsia="Calibri"/>
          <w:b/>
          <w:sz w:val="26"/>
          <w:szCs w:val="26"/>
        </w:rPr>
        <w:t>as may be applied by the Commission</w:t>
      </w:r>
    </w:p>
    <w:p w:rsidR="009144AF" w:rsidRPr="009144AF" w:rsidRDefault="009144AF" w:rsidP="0042695D">
      <w:pPr>
        <w:ind w:left="1440" w:right="1440"/>
        <w:rPr>
          <w:rFonts w:eastAsia="Calibri"/>
          <w:sz w:val="26"/>
          <w:szCs w:val="26"/>
        </w:rPr>
      </w:pPr>
    </w:p>
    <w:p w:rsidR="009144AF" w:rsidRPr="009144AF" w:rsidRDefault="009144AF" w:rsidP="0042695D">
      <w:pPr>
        <w:ind w:left="1440" w:right="1440"/>
        <w:jc w:val="center"/>
        <w:rPr>
          <w:rFonts w:eastAsia="Calibri"/>
          <w:sz w:val="26"/>
          <w:szCs w:val="26"/>
        </w:rPr>
      </w:pPr>
      <w:r w:rsidRPr="009144AF">
        <w:rPr>
          <w:rFonts w:eastAsia="Calibri"/>
          <w:sz w:val="26"/>
          <w:szCs w:val="26"/>
        </w:rPr>
        <w:t>*</w:t>
      </w:r>
      <w:r w:rsidRPr="009144AF">
        <w:rPr>
          <w:rFonts w:eastAsia="Calibri"/>
          <w:sz w:val="26"/>
          <w:szCs w:val="26"/>
        </w:rPr>
        <w:tab/>
        <w:t>*</w:t>
      </w:r>
      <w:r w:rsidRPr="009144AF">
        <w:rPr>
          <w:rFonts w:eastAsia="Calibri"/>
          <w:sz w:val="26"/>
          <w:szCs w:val="26"/>
        </w:rPr>
        <w:tab/>
        <w:t>*</w:t>
      </w:r>
    </w:p>
    <w:p w:rsidR="009144AF" w:rsidRPr="009144AF" w:rsidRDefault="009144AF" w:rsidP="0042695D">
      <w:pPr>
        <w:ind w:left="1440" w:right="1440"/>
        <w:rPr>
          <w:rFonts w:eastAsia="Calibri"/>
          <w:sz w:val="26"/>
          <w:szCs w:val="26"/>
        </w:rPr>
      </w:pPr>
    </w:p>
    <w:p w:rsidR="009144AF" w:rsidRDefault="009144AF" w:rsidP="0042695D">
      <w:pPr>
        <w:ind w:left="1440" w:right="1440"/>
        <w:rPr>
          <w:rFonts w:eastAsia="Calibri"/>
          <w:sz w:val="26"/>
          <w:szCs w:val="26"/>
        </w:rPr>
      </w:pPr>
      <w:r w:rsidRPr="009144AF">
        <w:rPr>
          <w:rFonts w:eastAsia="Calibri"/>
          <w:sz w:val="26"/>
          <w:szCs w:val="26"/>
        </w:rPr>
        <w:t xml:space="preserve">Any change or modification to any Tariff (including any Tariff filed after the Effective Date hereof) filed by either Party that materially and adversely impacts the provision or receipt of services hereunder or which materially and adversely alters the terms hereof shall only be effective against the other Party to the extent permitted by: (i) that Party’s written consent; or </w:t>
      </w:r>
      <w:r w:rsidRPr="009144AF">
        <w:rPr>
          <w:rFonts w:eastAsia="Calibri"/>
          <w:b/>
          <w:sz w:val="26"/>
          <w:szCs w:val="26"/>
        </w:rPr>
        <w:t>(ii) an affirmative order of the Commission.</w:t>
      </w:r>
      <w:r w:rsidRPr="009144AF">
        <w:rPr>
          <w:rFonts w:eastAsia="Calibri"/>
          <w:sz w:val="26"/>
          <w:szCs w:val="26"/>
        </w:rPr>
        <w:t xml:space="preserve">  Each Party shall file any required Tariff revisions, modifications or amendments in order to comply with Applicable Law and to continue performance of this Agreement in a lawful manner.</w:t>
      </w:r>
    </w:p>
    <w:p w:rsidR="0042695D" w:rsidRDefault="0042695D" w:rsidP="0042695D">
      <w:pPr>
        <w:ind w:left="1440" w:right="1440"/>
        <w:rPr>
          <w:rFonts w:eastAsia="Calibri"/>
          <w:sz w:val="26"/>
          <w:szCs w:val="26"/>
        </w:rPr>
      </w:pPr>
    </w:p>
    <w:p w:rsidR="00156A73" w:rsidRPr="009144AF" w:rsidRDefault="00156A73" w:rsidP="0042695D">
      <w:pPr>
        <w:ind w:left="1440" w:right="1440"/>
        <w:rPr>
          <w:rFonts w:eastAsia="Calibri"/>
          <w:sz w:val="26"/>
          <w:szCs w:val="26"/>
        </w:rPr>
      </w:pPr>
    </w:p>
    <w:p w:rsidR="009144AF" w:rsidRPr="009144AF" w:rsidRDefault="009144AF" w:rsidP="0016272F">
      <w:pPr>
        <w:spacing w:after="200" w:line="360" w:lineRule="auto"/>
        <w:contextualSpacing/>
        <w:rPr>
          <w:spacing w:val="-3"/>
          <w:sz w:val="26"/>
          <w:szCs w:val="26"/>
        </w:rPr>
      </w:pPr>
      <w:r w:rsidRPr="009144AF">
        <w:rPr>
          <w:rFonts w:eastAsia="Calibri"/>
          <w:sz w:val="26"/>
          <w:szCs w:val="26"/>
        </w:rPr>
        <w:t xml:space="preserve">In light of these provisions, we are of the same opinion as the ALJ and Verizon PA that the relevant rates that appear </w:t>
      </w:r>
      <w:r w:rsidRPr="009144AF">
        <w:rPr>
          <w:spacing w:val="-3"/>
          <w:sz w:val="26"/>
          <w:szCs w:val="26"/>
        </w:rPr>
        <w:t xml:space="preserve">in </w:t>
      </w:r>
      <w:r w:rsidR="009B3DB6">
        <w:rPr>
          <w:spacing w:val="-3"/>
          <w:sz w:val="26"/>
          <w:szCs w:val="26"/>
        </w:rPr>
        <w:t xml:space="preserve">the </w:t>
      </w:r>
      <w:r w:rsidR="00534D5B">
        <w:rPr>
          <w:spacing w:val="-3"/>
          <w:sz w:val="26"/>
          <w:szCs w:val="26"/>
        </w:rPr>
        <w:t xml:space="preserve">Pricing Appendix in </w:t>
      </w:r>
      <w:r w:rsidRPr="009144AF">
        <w:rPr>
          <w:spacing w:val="-3"/>
          <w:sz w:val="26"/>
          <w:szCs w:val="26"/>
        </w:rPr>
        <w:t xml:space="preserve">Section A.III.D for </w:t>
      </w:r>
      <w:r w:rsidR="0016272F" w:rsidRPr="00650894">
        <w:rPr>
          <w:rFonts w:eastAsia="Calibri"/>
          <w:sz w:val="26"/>
          <w:szCs w:val="26"/>
        </w:rPr>
        <w:t>tandem</w:t>
      </w:r>
      <w:r w:rsidR="0016272F">
        <w:rPr>
          <w:rFonts w:eastAsia="Calibri"/>
          <w:sz w:val="26"/>
          <w:szCs w:val="26"/>
        </w:rPr>
        <w:t xml:space="preserve"> trunk</w:t>
      </w:r>
      <w:r w:rsidR="0016272F" w:rsidRPr="00650894">
        <w:rPr>
          <w:rFonts w:eastAsia="Calibri"/>
          <w:sz w:val="26"/>
          <w:szCs w:val="26"/>
        </w:rPr>
        <w:t xml:space="preserve"> ports</w:t>
      </w:r>
      <w:r w:rsidRPr="009144AF">
        <w:rPr>
          <w:spacing w:val="-3"/>
          <w:sz w:val="26"/>
          <w:szCs w:val="26"/>
        </w:rPr>
        <w:t xml:space="preserve">, Section A.II.C for </w:t>
      </w:r>
      <w:r w:rsidR="00534D5B">
        <w:rPr>
          <w:spacing w:val="-3"/>
          <w:sz w:val="26"/>
          <w:szCs w:val="26"/>
        </w:rPr>
        <w:t>m</w:t>
      </w:r>
      <w:r w:rsidRPr="009144AF">
        <w:rPr>
          <w:spacing w:val="-3"/>
          <w:sz w:val="26"/>
          <w:szCs w:val="26"/>
        </w:rPr>
        <w:t xml:space="preserve">ultiplexing and </w:t>
      </w:r>
      <w:r w:rsidR="00534D5B">
        <w:rPr>
          <w:spacing w:val="-3"/>
          <w:sz w:val="26"/>
          <w:szCs w:val="26"/>
        </w:rPr>
        <w:t>e</w:t>
      </w:r>
      <w:r w:rsidRPr="009144AF">
        <w:rPr>
          <w:spacing w:val="-3"/>
          <w:sz w:val="26"/>
          <w:szCs w:val="26"/>
        </w:rPr>
        <w:t xml:space="preserve">ntrance </w:t>
      </w:r>
      <w:r w:rsidR="00534D5B">
        <w:rPr>
          <w:spacing w:val="-3"/>
          <w:sz w:val="26"/>
          <w:szCs w:val="26"/>
        </w:rPr>
        <w:t>f</w:t>
      </w:r>
      <w:r w:rsidRPr="009144AF">
        <w:rPr>
          <w:spacing w:val="-3"/>
          <w:sz w:val="26"/>
          <w:szCs w:val="26"/>
        </w:rPr>
        <w:t xml:space="preserve">acilities, and Section A.II.A for dedicated transport were superseded by </w:t>
      </w:r>
      <w:r w:rsidR="00534D5B">
        <w:rPr>
          <w:spacing w:val="-3"/>
          <w:sz w:val="26"/>
          <w:szCs w:val="26"/>
        </w:rPr>
        <w:t>the rates</w:t>
      </w:r>
      <w:r w:rsidRPr="009144AF">
        <w:rPr>
          <w:spacing w:val="-3"/>
          <w:sz w:val="26"/>
          <w:szCs w:val="26"/>
        </w:rPr>
        <w:t xml:space="preserve"> produced in the </w:t>
      </w:r>
      <w:r w:rsidRPr="009144AF">
        <w:rPr>
          <w:i/>
          <w:spacing w:val="-3"/>
          <w:sz w:val="26"/>
          <w:szCs w:val="26"/>
        </w:rPr>
        <w:t>2004 Verizon PA TELRIC Proceeding</w:t>
      </w:r>
      <w:r w:rsidRPr="009144AF">
        <w:rPr>
          <w:spacing w:val="-3"/>
          <w:sz w:val="26"/>
          <w:szCs w:val="26"/>
        </w:rPr>
        <w:t xml:space="preserve">.  In our view, the </w:t>
      </w:r>
      <w:r w:rsidRPr="009144AF">
        <w:rPr>
          <w:i/>
          <w:spacing w:val="-3"/>
          <w:sz w:val="26"/>
          <w:szCs w:val="26"/>
        </w:rPr>
        <w:t>2004 Compliance Order</w:t>
      </w:r>
      <w:r w:rsidRPr="009144AF">
        <w:rPr>
          <w:spacing w:val="-3"/>
          <w:sz w:val="26"/>
          <w:szCs w:val="26"/>
        </w:rPr>
        <w:t xml:space="preserve"> constitutes an affirmative order of the Commission, which replaced the rates listed in the Pricing Appendix with new lower TELRIC rates, as contemplated in Footnote 1.  We find that this underscores the self</w:t>
      </w:r>
      <w:r w:rsidR="00375E31">
        <w:rPr>
          <w:spacing w:val="-3"/>
          <w:sz w:val="26"/>
          <w:szCs w:val="26"/>
        </w:rPr>
        <w:noBreakHyphen/>
      </w:r>
      <w:r w:rsidRPr="009144AF">
        <w:rPr>
          <w:spacing w:val="-3"/>
          <w:sz w:val="26"/>
          <w:szCs w:val="26"/>
        </w:rPr>
        <w:t>executing nature of Footnote 1.</w:t>
      </w:r>
    </w:p>
    <w:p w:rsidR="009144AF" w:rsidRPr="009144AF" w:rsidRDefault="009144AF" w:rsidP="00650894">
      <w:pPr>
        <w:spacing w:after="200" w:line="360" w:lineRule="auto"/>
        <w:ind w:firstLine="1440"/>
        <w:contextualSpacing/>
        <w:rPr>
          <w:spacing w:val="-3"/>
          <w:sz w:val="26"/>
          <w:szCs w:val="26"/>
        </w:rPr>
      </w:pPr>
    </w:p>
    <w:p w:rsidR="009144AF" w:rsidRPr="009144AF" w:rsidRDefault="009144AF" w:rsidP="00650894">
      <w:pPr>
        <w:spacing w:after="200" w:line="360" w:lineRule="auto"/>
        <w:ind w:firstLine="1440"/>
        <w:contextualSpacing/>
        <w:rPr>
          <w:spacing w:val="-3"/>
          <w:sz w:val="26"/>
          <w:szCs w:val="26"/>
        </w:rPr>
      </w:pPr>
      <w:r w:rsidRPr="00650894">
        <w:rPr>
          <w:spacing w:val="-3"/>
          <w:sz w:val="26"/>
          <w:szCs w:val="26"/>
        </w:rPr>
        <w:t>We</w:t>
      </w:r>
      <w:r w:rsidRPr="009144AF">
        <w:rPr>
          <w:spacing w:val="-3"/>
          <w:sz w:val="26"/>
          <w:szCs w:val="26"/>
        </w:rPr>
        <w:t xml:space="preserve"> </w:t>
      </w:r>
      <w:r w:rsidR="0016272F">
        <w:rPr>
          <w:spacing w:val="-3"/>
          <w:sz w:val="26"/>
          <w:szCs w:val="26"/>
        </w:rPr>
        <w:t>also find</w:t>
      </w:r>
      <w:r w:rsidRPr="009144AF">
        <w:rPr>
          <w:spacing w:val="-3"/>
          <w:sz w:val="26"/>
          <w:szCs w:val="26"/>
        </w:rPr>
        <w:t xml:space="preserve"> that it was the </w:t>
      </w:r>
      <w:r w:rsidRPr="009144AF">
        <w:rPr>
          <w:i/>
          <w:spacing w:val="-3"/>
          <w:sz w:val="26"/>
          <w:szCs w:val="26"/>
        </w:rPr>
        <w:t>2004 Compliance Order</w:t>
      </w:r>
      <w:r w:rsidRPr="009144AF">
        <w:rPr>
          <w:spacing w:val="-3"/>
          <w:sz w:val="26"/>
          <w:szCs w:val="26"/>
        </w:rPr>
        <w:t xml:space="preserve"> and the related Commission Orders in the </w:t>
      </w:r>
      <w:r w:rsidRPr="009144AF">
        <w:rPr>
          <w:i/>
          <w:spacing w:val="-3"/>
          <w:sz w:val="26"/>
          <w:szCs w:val="26"/>
        </w:rPr>
        <w:t>2004 Verizon PA TELRIC Proceeding</w:t>
      </w:r>
      <w:r w:rsidRPr="009144AF">
        <w:rPr>
          <w:spacing w:val="-3"/>
          <w:sz w:val="26"/>
          <w:szCs w:val="26"/>
        </w:rPr>
        <w:t>, and not the associated revisions that Verizon PA filed to its Tariff No. 216, that produced these rates.  For example, in the Final Opinion and Order entered December 11, 2003 (</w:t>
      </w:r>
      <w:r w:rsidRPr="009144AF">
        <w:rPr>
          <w:i/>
          <w:spacing w:val="-3"/>
          <w:sz w:val="26"/>
          <w:szCs w:val="26"/>
        </w:rPr>
        <w:t>December 2003</w:t>
      </w:r>
      <w:r w:rsidRPr="009144AF">
        <w:rPr>
          <w:spacing w:val="-3"/>
          <w:sz w:val="26"/>
          <w:szCs w:val="26"/>
        </w:rPr>
        <w:t xml:space="preserve"> </w:t>
      </w:r>
      <w:r w:rsidRPr="009144AF">
        <w:rPr>
          <w:i/>
          <w:spacing w:val="-3"/>
          <w:sz w:val="26"/>
          <w:szCs w:val="26"/>
        </w:rPr>
        <w:t>Order</w:t>
      </w:r>
      <w:r w:rsidRPr="009144AF">
        <w:rPr>
          <w:spacing w:val="-3"/>
          <w:sz w:val="26"/>
          <w:szCs w:val="26"/>
        </w:rPr>
        <w:t xml:space="preserve">), we explained that we opened the </w:t>
      </w:r>
      <w:r w:rsidR="0016272F" w:rsidRPr="009144AF">
        <w:rPr>
          <w:i/>
          <w:spacing w:val="-3"/>
          <w:sz w:val="26"/>
          <w:szCs w:val="26"/>
        </w:rPr>
        <w:t>2004 Verizon PA TELRIC Proceeding</w:t>
      </w:r>
      <w:r w:rsidRPr="009144AF">
        <w:rPr>
          <w:spacing w:val="-3"/>
          <w:sz w:val="26"/>
          <w:szCs w:val="26"/>
        </w:rPr>
        <w:t xml:space="preserve"> in August of 2001 to consider whether Verizon PA’s existing, tariffed rates for UNE</w:t>
      </w:r>
      <w:r w:rsidR="00534D5B">
        <w:rPr>
          <w:spacing w:val="-3"/>
          <w:sz w:val="26"/>
          <w:szCs w:val="26"/>
        </w:rPr>
        <w:t>s</w:t>
      </w:r>
      <w:r w:rsidRPr="009144AF">
        <w:rPr>
          <w:spacing w:val="-3"/>
          <w:sz w:val="26"/>
          <w:szCs w:val="26"/>
        </w:rPr>
        <w:t xml:space="preserve"> continued to be just and reasonable in accordance with both 66 Pa. C.S. § 1301 and 47 U.S.C. § 251-252.  In our summary of disposition in this order, we stated that “we shall establish final rates for UNEs in this proceeding” and that “[w]e shall direct Verizon PA to file a tariff or tariff supplement with supporting data and documentation, which will revise its Tariff Pa. P.U.C. No. 216 . . . which conforms to, the inputs and directives contained in this Final Opinion and Order.”  </w:t>
      </w:r>
      <w:r w:rsidRPr="009144AF">
        <w:rPr>
          <w:i/>
          <w:spacing w:val="-3"/>
          <w:sz w:val="26"/>
          <w:szCs w:val="26"/>
        </w:rPr>
        <w:t>December 2003 Order</w:t>
      </w:r>
      <w:r w:rsidRPr="009144AF">
        <w:rPr>
          <w:spacing w:val="-3"/>
          <w:sz w:val="26"/>
          <w:szCs w:val="26"/>
        </w:rPr>
        <w:t xml:space="preserve"> at 1, 14.  Subsequently, in our </w:t>
      </w:r>
      <w:r w:rsidRPr="009144AF">
        <w:rPr>
          <w:i/>
          <w:spacing w:val="-3"/>
          <w:sz w:val="26"/>
          <w:szCs w:val="26"/>
        </w:rPr>
        <w:t xml:space="preserve">2004 Compliance Order, </w:t>
      </w:r>
      <w:r w:rsidRPr="009144AF">
        <w:rPr>
          <w:spacing w:val="-3"/>
          <w:sz w:val="26"/>
          <w:szCs w:val="26"/>
        </w:rPr>
        <w:t xml:space="preserve">we stated that “we shall approve tariff revisions for </w:t>
      </w:r>
      <w:r w:rsidR="0016272F">
        <w:rPr>
          <w:spacing w:val="-3"/>
          <w:sz w:val="26"/>
          <w:szCs w:val="26"/>
        </w:rPr>
        <w:t>[Verizon PA</w:t>
      </w:r>
      <w:r w:rsidRPr="009144AF">
        <w:rPr>
          <w:spacing w:val="-3"/>
          <w:sz w:val="26"/>
          <w:szCs w:val="26"/>
        </w:rPr>
        <w:t>’s</w:t>
      </w:r>
      <w:r w:rsidR="0016272F">
        <w:rPr>
          <w:spacing w:val="-3"/>
          <w:sz w:val="26"/>
          <w:szCs w:val="26"/>
        </w:rPr>
        <w:t>]</w:t>
      </w:r>
      <w:r w:rsidRPr="009144AF">
        <w:rPr>
          <w:spacing w:val="-3"/>
          <w:sz w:val="26"/>
          <w:szCs w:val="26"/>
        </w:rPr>
        <w:t xml:space="preserve"> UNE rates which conform to, and are consistent with the attached schedule of rates appended to this Order on Compliance as Appendices  A and B.”  We also directed Verizon PA to file a tariff supplement implementing rates according to the schedules attached in the </w:t>
      </w:r>
      <w:r w:rsidRPr="009144AF">
        <w:rPr>
          <w:i/>
          <w:spacing w:val="-3"/>
          <w:sz w:val="26"/>
          <w:szCs w:val="26"/>
        </w:rPr>
        <w:t>2004 Compliance Order</w:t>
      </w:r>
      <w:r w:rsidRPr="009144AF">
        <w:rPr>
          <w:spacing w:val="-3"/>
          <w:sz w:val="26"/>
          <w:szCs w:val="26"/>
        </w:rPr>
        <w:t>, to be effective on sixty days’ notice</w:t>
      </w:r>
      <w:r w:rsidRPr="009144AF">
        <w:rPr>
          <w:i/>
          <w:spacing w:val="-3"/>
          <w:sz w:val="26"/>
          <w:szCs w:val="26"/>
        </w:rPr>
        <w:t>.</w:t>
      </w:r>
      <w:r w:rsidRPr="009144AF">
        <w:rPr>
          <w:spacing w:val="-3"/>
          <w:sz w:val="26"/>
          <w:szCs w:val="26"/>
        </w:rPr>
        <w:t xml:space="preserve">  </w:t>
      </w:r>
      <w:r w:rsidRPr="009144AF">
        <w:rPr>
          <w:i/>
          <w:spacing w:val="-3"/>
          <w:sz w:val="26"/>
          <w:szCs w:val="26"/>
        </w:rPr>
        <w:t xml:space="preserve">2004 Compliance Order </w:t>
      </w:r>
      <w:r w:rsidRPr="009144AF">
        <w:rPr>
          <w:spacing w:val="-3"/>
          <w:sz w:val="26"/>
          <w:szCs w:val="26"/>
        </w:rPr>
        <w:t xml:space="preserve">at 25-26.  Moreover, we find Verizon PA’s argument compelling that if its rates were not superseded, it could have continued to charge all CLECs that had the same fairly common pricing structure the largely higher TELRIC rates that were in effect prior to the </w:t>
      </w:r>
      <w:r w:rsidRPr="009144AF">
        <w:rPr>
          <w:i/>
          <w:spacing w:val="-3"/>
          <w:sz w:val="26"/>
          <w:szCs w:val="26"/>
        </w:rPr>
        <w:t>2004 Verizon PA TELRIC Proceeding.</w:t>
      </w:r>
      <w:r w:rsidRPr="009144AF">
        <w:rPr>
          <w:spacing w:val="-3"/>
          <w:sz w:val="26"/>
          <w:szCs w:val="26"/>
        </w:rPr>
        <w:t xml:space="preserve">  </w:t>
      </w:r>
      <w:r w:rsidR="005554B3">
        <w:rPr>
          <w:spacing w:val="-3"/>
          <w:sz w:val="26"/>
          <w:szCs w:val="26"/>
        </w:rPr>
        <w:t>We</w:t>
      </w:r>
      <w:r w:rsidRPr="009144AF">
        <w:rPr>
          <w:spacing w:val="-3"/>
          <w:sz w:val="26"/>
          <w:szCs w:val="26"/>
        </w:rPr>
        <w:t xml:space="preserve"> note that Core has not offered any evidence to challenge Verizon PA’s statement that it has not continued to bill these other CLECs at the higher, superseded rates.</w:t>
      </w:r>
      <w:r w:rsidR="005554B3">
        <w:rPr>
          <w:spacing w:val="-3"/>
          <w:sz w:val="26"/>
          <w:szCs w:val="26"/>
        </w:rPr>
        <w:t xml:space="preserve">  </w:t>
      </w:r>
      <w:r w:rsidR="009D1B8F">
        <w:rPr>
          <w:spacing w:val="-3"/>
          <w:sz w:val="26"/>
          <w:szCs w:val="26"/>
        </w:rPr>
        <w:t>Additionally</w:t>
      </w:r>
      <w:r w:rsidR="005554B3">
        <w:rPr>
          <w:spacing w:val="-3"/>
          <w:sz w:val="26"/>
          <w:szCs w:val="26"/>
        </w:rPr>
        <w:t>, with respect to tandem trunk ports, we agree with Verizon PA that by issuing bills to Verizon PA at the lower rate of $71.48 for a period of time, Core acknowledged that this was the rate currently in effect.</w:t>
      </w:r>
      <w:r w:rsidR="00EC3172">
        <w:rPr>
          <w:rStyle w:val="FootnoteReference"/>
          <w:spacing w:val="-3"/>
        </w:rPr>
        <w:footnoteReference w:id="19"/>
      </w:r>
      <w:r w:rsidR="00AB5F64">
        <w:rPr>
          <w:spacing w:val="-3"/>
          <w:sz w:val="26"/>
          <w:szCs w:val="26"/>
        </w:rPr>
        <w:t xml:space="preserve">  Further, with respect to entrance facilities and dedicated transport, we find that Core has failed to successfully rebut Verizon PA’s assertion that it has misapplied the rates at issue.</w:t>
      </w:r>
    </w:p>
    <w:p w:rsidR="009144AF" w:rsidRDefault="009144AF" w:rsidP="00650894">
      <w:pPr>
        <w:spacing w:after="200" w:line="360" w:lineRule="auto"/>
        <w:ind w:firstLine="1440"/>
        <w:contextualSpacing/>
        <w:rPr>
          <w:spacing w:val="-3"/>
          <w:sz w:val="26"/>
          <w:szCs w:val="26"/>
        </w:rPr>
      </w:pPr>
    </w:p>
    <w:p w:rsidR="00AB5F64" w:rsidRPr="009144AF" w:rsidRDefault="00AB5F64" w:rsidP="00650894">
      <w:pPr>
        <w:spacing w:after="200" w:line="360" w:lineRule="auto"/>
        <w:ind w:firstLine="1440"/>
        <w:contextualSpacing/>
        <w:rPr>
          <w:spacing w:val="-3"/>
          <w:sz w:val="26"/>
          <w:szCs w:val="26"/>
        </w:rPr>
      </w:pPr>
      <w:r>
        <w:rPr>
          <w:spacing w:val="-3"/>
          <w:sz w:val="26"/>
          <w:szCs w:val="26"/>
        </w:rPr>
        <w:t>F</w:t>
      </w:r>
      <w:r w:rsidR="00522624">
        <w:rPr>
          <w:spacing w:val="-3"/>
          <w:sz w:val="26"/>
          <w:szCs w:val="26"/>
        </w:rPr>
        <w:t>or all of the above reasons, Core’s Exception Nos. 2 through 5 are denied.</w:t>
      </w:r>
    </w:p>
    <w:p w:rsidR="00FB432A" w:rsidRPr="00650894" w:rsidRDefault="00FB432A" w:rsidP="00650894">
      <w:pPr>
        <w:spacing w:line="360" w:lineRule="auto"/>
        <w:contextualSpacing/>
        <w:rPr>
          <w:sz w:val="26"/>
          <w:szCs w:val="26"/>
        </w:rPr>
      </w:pPr>
    </w:p>
    <w:p w:rsidR="00E503F6" w:rsidRPr="00650894" w:rsidRDefault="009F1CD4" w:rsidP="00215E2F">
      <w:pPr>
        <w:keepNext/>
        <w:keepLines/>
        <w:ind w:left="720" w:hanging="720"/>
        <w:contextualSpacing/>
        <w:rPr>
          <w:sz w:val="26"/>
          <w:szCs w:val="26"/>
        </w:rPr>
      </w:pPr>
      <w:r w:rsidRPr="00650894">
        <w:rPr>
          <w:b/>
          <w:sz w:val="26"/>
          <w:szCs w:val="26"/>
        </w:rPr>
        <w:t>E</w:t>
      </w:r>
      <w:r w:rsidR="00370F20" w:rsidRPr="00650894">
        <w:rPr>
          <w:b/>
          <w:sz w:val="26"/>
          <w:szCs w:val="26"/>
        </w:rPr>
        <w:t xml:space="preserve">. </w:t>
      </w:r>
      <w:r w:rsidR="008A0368" w:rsidRPr="00650894">
        <w:rPr>
          <w:b/>
          <w:sz w:val="26"/>
          <w:szCs w:val="26"/>
        </w:rPr>
        <w:tab/>
      </w:r>
      <w:r w:rsidR="00656A14" w:rsidRPr="00650894">
        <w:rPr>
          <w:b/>
          <w:sz w:val="26"/>
          <w:szCs w:val="26"/>
        </w:rPr>
        <w:t xml:space="preserve">Whether the ICA’s “Altoona Amendment” </w:t>
      </w:r>
      <w:r w:rsidR="00560B36" w:rsidRPr="00650894">
        <w:rPr>
          <w:b/>
          <w:sz w:val="26"/>
          <w:szCs w:val="26"/>
        </w:rPr>
        <w:t xml:space="preserve">bars Core from billing </w:t>
      </w:r>
      <w:r w:rsidR="009E7BF4" w:rsidRPr="00650894">
        <w:rPr>
          <w:b/>
          <w:sz w:val="26"/>
          <w:szCs w:val="26"/>
        </w:rPr>
        <w:t>Verizon PA</w:t>
      </w:r>
      <w:r w:rsidR="00560B36" w:rsidRPr="00650894">
        <w:rPr>
          <w:b/>
          <w:sz w:val="26"/>
          <w:szCs w:val="26"/>
        </w:rPr>
        <w:t xml:space="preserve"> for facilities in the Altoona LATA</w:t>
      </w:r>
      <w:r w:rsidR="004D141F" w:rsidRPr="00650894">
        <w:rPr>
          <w:b/>
          <w:sz w:val="26"/>
          <w:szCs w:val="26"/>
        </w:rPr>
        <w:t xml:space="preserve"> (Core Exception No. 6)</w:t>
      </w:r>
    </w:p>
    <w:p w:rsidR="00656A14" w:rsidRPr="00650894" w:rsidRDefault="00656A14" w:rsidP="00650894">
      <w:pPr>
        <w:keepNext/>
        <w:keepLines/>
        <w:spacing w:line="360" w:lineRule="auto"/>
        <w:contextualSpacing/>
        <w:rPr>
          <w:sz w:val="26"/>
          <w:szCs w:val="26"/>
        </w:rPr>
      </w:pPr>
    </w:p>
    <w:p w:rsidR="00656A14" w:rsidRPr="00650894" w:rsidRDefault="00656A14" w:rsidP="00215E2F">
      <w:pPr>
        <w:keepNext/>
        <w:keepLines/>
        <w:spacing w:line="360" w:lineRule="auto"/>
        <w:ind w:left="720"/>
        <w:contextualSpacing/>
        <w:rPr>
          <w:b/>
          <w:sz w:val="26"/>
          <w:szCs w:val="26"/>
        </w:rPr>
      </w:pPr>
      <w:r w:rsidRPr="00650894">
        <w:rPr>
          <w:b/>
          <w:sz w:val="26"/>
          <w:szCs w:val="26"/>
        </w:rPr>
        <w:t>1.</w:t>
      </w:r>
      <w:r w:rsidRPr="00650894">
        <w:rPr>
          <w:b/>
          <w:sz w:val="26"/>
          <w:szCs w:val="26"/>
        </w:rPr>
        <w:tab/>
        <w:t>Positions of the Parties</w:t>
      </w:r>
    </w:p>
    <w:p w:rsidR="00656A14" w:rsidRPr="00650894" w:rsidRDefault="00656A14" w:rsidP="00650894">
      <w:pPr>
        <w:keepNext/>
        <w:keepLines/>
        <w:spacing w:line="360" w:lineRule="auto"/>
        <w:ind w:firstLine="1440"/>
        <w:contextualSpacing/>
        <w:rPr>
          <w:sz w:val="26"/>
          <w:szCs w:val="26"/>
        </w:rPr>
      </w:pPr>
    </w:p>
    <w:p w:rsidR="00656A14" w:rsidRPr="00650894" w:rsidRDefault="009D283D" w:rsidP="00650894">
      <w:pPr>
        <w:spacing w:line="360" w:lineRule="auto"/>
        <w:ind w:firstLine="1440"/>
        <w:contextualSpacing/>
        <w:rPr>
          <w:sz w:val="26"/>
          <w:szCs w:val="26"/>
        </w:rPr>
      </w:pPr>
      <w:r w:rsidRPr="00650894">
        <w:rPr>
          <w:sz w:val="26"/>
          <w:szCs w:val="26"/>
        </w:rPr>
        <w:t xml:space="preserve">Verizon PA noted that as of August 2014, </w:t>
      </w:r>
      <w:r w:rsidR="004A7EF8" w:rsidRPr="00650894">
        <w:rPr>
          <w:sz w:val="26"/>
          <w:szCs w:val="26"/>
        </w:rPr>
        <w:t>it had received bills from Core totaling</w:t>
      </w:r>
      <w:r w:rsidRPr="00650894">
        <w:rPr>
          <w:sz w:val="26"/>
          <w:szCs w:val="26"/>
        </w:rPr>
        <w:t xml:space="preserve"> $933,02</w:t>
      </w:r>
      <w:r w:rsidR="000079E4" w:rsidRPr="00650894">
        <w:rPr>
          <w:sz w:val="26"/>
          <w:szCs w:val="26"/>
        </w:rPr>
        <w:t xml:space="preserve">8.53 for facilities charges in </w:t>
      </w:r>
      <w:r w:rsidRPr="00650894">
        <w:rPr>
          <w:sz w:val="26"/>
          <w:szCs w:val="26"/>
        </w:rPr>
        <w:t xml:space="preserve">LATA 230, </w:t>
      </w:r>
      <w:r w:rsidRPr="00650894">
        <w:rPr>
          <w:i/>
          <w:sz w:val="26"/>
          <w:szCs w:val="26"/>
        </w:rPr>
        <w:t xml:space="preserve">i.e. </w:t>
      </w:r>
      <w:r w:rsidRPr="00650894">
        <w:rPr>
          <w:sz w:val="26"/>
          <w:szCs w:val="26"/>
        </w:rPr>
        <w:t xml:space="preserve">the Altoona LATA.  However, </w:t>
      </w:r>
      <w:r w:rsidR="009E377A" w:rsidRPr="00650894">
        <w:rPr>
          <w:sz w:val="26"/>
          <w:szCs w:val="26"/>
        </w:rPr>
        <w:t>Verizon PA avowed that</w:t>
      </w:r>
      <w:r w:rsidRPr="00650894">
        <w:rPr>
          <w:sz w:val="26"/>
          <w:szCs w:val="26"/>
        </w:rPr>
        <w:t xml:space="preserve"> Amendment No. 1 to the Parties’ ICA (Altoona Amendment), which </w:t>
      </w:r>
      <w:r w:rsidR="00EB08E3" w:rsidRPr="00650894">
        <w:rPr>
          <w:sz w:val="26"/>
          <w:szCs w:val="26"/>
        </w:rPr>
        <w:t>became</w:t>
      </w:r>
      <w:r w:rsidRPr="00650894">
        <w:rPr>
          <w:sz w:val="26"/>
          <w:szCs w:val="26"/>
        </w:rPr>
        <w:t xml:space="preserve"> effective January 10, 2003,</w:t>
      </w:r>
      <w:r w:rsidR="00E35657" w:rsidRPr="00650894">
        <w:rPr>
          <w:rStyle w:val="FootnoteReference"/>
        </w:rPr>
        <w:footnoteReference w:id="20"/>
      </w:r>
      <w:r w:rsidRPr="00650894">
        <w:rPr>
          <w:sz w:val="26"/>
          <w:szCs w:val="26"/>
        </w:rPr>
        <w:t xml:space="preserve"> prohibits Core from billing Verizon PA for any facilities charges associated with the Altoona LATA.  Verizon </w:t>
      </w:r>
      <w:r w:rsidR="007A4E19" w:rsidRPr="00650894">
        <w:rPr>
          <w:sz w:val="26"/>
          <w:szCs w:val="26"/>
        </w:rPr>
        <w:t xml:space="preserve">PA </w:t>
      </w:r>
      <w:r w:rsidRPr="00650894">
        <w:rPr>
          <w:sz w:val="26"/>
          <w:szCs w:val="26"/>
        </w:rPr>
        <w:t xml:space="preserve">M.B. at </w:t>
      </w:r>
      <w:r w:rsidR="00912237" w:rsidRPr="00650894">
        <w:rPr>
          <w:sz w:val="26"/>
          <w:szCs w:val="26"/>
        </w:rPr>
        <w:t>31-32</w:t>
      </w:r>
      <w:r w:rsidRPr="00650894">
        <w:rPr>
          <w:sz w:val="26"/>
          <w:szCs w:val="26"/>
        </w:rPr>
        <w:t xml:space="preserve">.  </w:t>
      </w:r>
      <w:r w:rsidR="009E377A" w:rsidRPr="00650894">
        <w:rPr>
          <w:sz w:val="26"/>
          <w:szCs w:val="26"/>
        </w:rPr>
        <w:t xml:space="preserve">According to Verizon PA, under the Altoona Amendment, </w:t>
      </w:r>
      <w:r w:rsidR="0058091B" w:rsidRPr="00650894">
        <w:rPr>
          <w:sz w:val="26"/>
          <w:szCs w:val="26"/>
        </w:rPr>
        <w:t>Veri</w:t>
      </w:r>
      <w:r w:rsidR="00912237" w:rsidRPr="00650894">
        <w:rPr>
          <w:sz w:val="26"/>
          <w:szCs w:val="26"/>
        </w:rPr>
        <w:t>zon PA agreed to enter into a special, non</w:t>
      </w:r>
      <w:r w:rsidR="00912237" w:rsidRPr="00650894">
        <w:rPr>
          <w:sz w:val="26"/>
          <w:szCs w:val="26"/>
        </w:rPr>
        <w:noBreakHyphen/>
      </w:r>
      <w:r w:rsidR="0058091B" w:rsidRPr="00650894">
        <w:rPr>
          <w:sz w:val="26"/>
          <w:szCs w:val="26"/>
        </w:rPr>
        <w:t xml:space="preserve">standard, interconnection arrangement </w:t>
      </w:r>
      <w:r w:rsidR="00FC75F9" w:rsidRPr="00650894">
        <w:rPr>
          <w:sz w:val="26"/>
          <w:szCs w:val="26"/>
        </w:rPr>
        <w:t xml:space="preserve">with Core </w:t>
      </w:r>
      <w:r w:rsidR="0058091B" w:rsidRPr="00650894">
        <w:rPr>
          <w:sz w:val="26"/>
          <w:szCs w:val="26"/>
        </w:rPr>
        <w:t xml:space="preserve">in this LATA, wherein portions of the existing OC-12 loop fiber optic system </w:t>
      </w:r>
      <w:r w:rsidR="00053720" w:rsidRPr="00650894">
        <w:rPr>
          <w:sz w:val="26"/>
          <w:szCs w:val="26"/>
        </w:rPr>
        <w:t xml:space="preserve">situated </w:t>
      </w:r>
      <w:r w:rsidR="0058091B" w:rsidRPr="00650894">
        <w:rPr>
          <w:sz w:val="26"/>
          <w:szCs w:val="26"/>
        </w:rPr>
        <w:t xml:space="preserve">between Verizon PA’s Central Office and </w:t>
      </w:r>
      <w:r w:rsidR="00970DC8" w:rsidRPr="00650894">
        <w:rPr>
          <w:sz w:val="26"/>
          <w:szCs w:val="26"/>
        </w:rPr>
        <w:t>Core’s switch in a building located</w:t>
      </w:r>
      <w:r w:rsidR="0058091B" w:rsidRPr="00650894">
        <w:rPr>
          <w:sz w:val="26"/>
          <w:szCs w:val="26"/>
        </w:rPr>
        <w:t xml:space="preserve"> at 1215 16</w:t>
      </w:r>
      <w:r w:rsidR="0058091B" w:rsidRPr="00650894">
        <w:rPr>
          <w:sz w:val="26"/>
          <w:szCs w:val="26"/>
          <w:vertAlign w:val="superscript"/>
        </w:rPr>
        <w:t>th</w:t>
      </w:r>
      <w:r w:rsidR="0058091B" w:rsidRPr="00650894">
        <w:rPr>
          <w:sz w:val="26"/>
          <w:szCs w:val="26"/>
        </w:rPr>
        <w:t xml:space="preserve"> Street in Altoona would be utilized.  </w:t>
      </w:r>
      <w:r w:rsidR="00912237" w:rsidRPr="00650894">
        <w:rPr>
          <w:sz w:val="26"/>
          <w:szCs w:val="26"/>
        </w:rPr>
        <w:t>Verizon PA</w:t>
      </w:r>
      <w:r w:rsidR="004A7EF8" w:rsidRPr="00650894">
        <w:rPr>
          <w:sz w:val="26"/>
          <w:szCs w:val="26"/>
        </w:rPr>
        <w:t xml:space="preserve"> contended that</w:t>
      </w:r>
      <w:r w:rsidR="0058091B" w:rsidRPr="00650894">
        <w:rPr>
          <w:sz w:val="26"/>
          <w:szCs w:val="26"/>
        </w:rPr>
        <w:t xml:space="preserve"> Core</w:t>
      </w:r>
      <w:r w:rsidR="00912237" w:rsidRPr="00650894">
        <w:rPr>
          <w:sz w:val="26"/>
          <w:szCs w:val="26"/>
        </w:rPr>
        <w:t>, in return,</w:t>
      </w:r>
      <w:r w:rsidR="0058091B" w:rsidRPr="00650894">
        <w:rPr>
          <w:sz w:val="26"/>
          <w:szCs w:val="26"/>
        </w:rPr>
        <w:t xml:space="preserve"> agreed that </w:t>
      </w:r>
      <w:r w:rsidRPr="00650894">
        <w:rPr>
          <w:sz w:val="26"/>
          <w:szCs w:val="26"/>
        </w:rPr>
        <w:t xml:space="preserve">Verizon PA </w:t>
      </w:r>
      <w:r w:rsidR="00970DC8" w:rsidRPr="00650894">
        <w:rPr>
          <w:sz w:val="26"/>
          <w:szCs w:val="26"/>
        </w:rPr>
        <w:t>would not be</w:t>
      </w:r>
      <w:r w:rsidRPr="00650894">
        <w:rPr>
          <w:sz w:val="26"/>
          <w:szCs w:val="26"/>
        </w:rPr>
        <w:t xml:space="preserve"> responsible for any </w:t>
      </w:r>
      <w:r w:rsidR="00C35BDA" w:rsidRPr="00650894">
        <w:rPr>
          <w:sz w:val="26"/>
          <w:szCs w:val="26"/>
        </w:rPr>
        <w:t xml:space="preserve">payment, </w:t>
      </w:r>
      <w:r w:rsidR="00C15FAA" w:rsidRPr="00650894">
        <w:rPr>
          <w:sz w:val="26"/>
          <w:szCs w:val="26"/>
        </w:rPr>
        <w:t xml:space="preserve">performance metrics reporting, </w:t>
      </w:r>
      <w:r w:rsidRPr="00650894">
        <w:rPr>
          <w:sz w:val="26"/>
          <w:szCs w:val="26"/>
        </w:rPr>
        <w:t>penalty, incentive, or similar obligations related to this arrangement</w:t>
      </w:r>
      <w:r w:rsidR="00230009" w:rsidRPr="00650894">
        <w:rPr>
          <w:sz w:val="26"/>
          <w:szCs w:val="26"/>
        </w:rPr>
        <w:t xml:space="preserve">.  </w:t>
      </w:r>
      <w:r w:rsidR="00230009" w:rsidRPr="00650894">
        <w:rPr>
          <w:i/>
          <w:sz w:val="26"/>
          <w:szCs w:val="26"/>
        </w:rPr>
        <w:t>Id.</w:t>
      </w:r>
      <w:r w:rsidR="00230009" w:rsidRPr="00650894">
        <w:rPr>
          <w:sz w:val="26"/>
          <w:szCs w:val="26"/>
        </w:rPr>
        <w:t xml:space="preserve"> at 32 (citing Altoona Amendment at ¶1(</w:t>
      </w:r>
      <w:r w:rsidR="00BC3C7F" w:rsidRPr="00650894">
        <w:rPr>
          <w:sz w:val="26"/>
          <w:szCs w:val="26"/>
        </w:rPr>
        <w:t>a</w:t>
      </w:r>
      <w:r w:rsidR="00230009" w:rsidRPr="00650894">
        <w:rPr>
          <w:sz w:val="26"/>
          <w:szCs w:val="26"/>
        </w:rPr>
        <w:t xml:space="preserve">)).  </w:t>
      </w:r>
      <w:r w:rsidR="00BC3C7F" w:rsidRPr="00650894">
        <w:rPr>
          <w:sz w:val="26"/>
          <w:szCs w:val="26"/>
        </w:rPr>
        <w:t xml:space="preserve">Additionally, Verizon PA submitted that </w:t>
      </w:r>
      <w:r w:rsidR="003B4B7D" w:rsidRPr="00650894">
        <w:rPr>
          <w:sz w:val="26"/>
          <w:szCs w:val="26"/>
        </w:rPr>
        <w:t>pursuant to</w:t>
      </w:r>
      <w:r w:rsidR="00DF6D3C" w:rsidRPr="00650894">
        <w:rPr>
          <w:sz w:val="26"/>
          <w:szCs w:val="26"/>
        </w:rPr>
        <w:t xml:space="preserve"> Paragraph </w:t>
      </w:r>
      <w:r w:rsidR="00BC3C7F" w:rsidRPr="00650894">
        <w:rPr>
          <w:sz w:val="26"/>
          <w:szCs w:val="26"/>
        </w:rPr>
        <w:t>1(d)</w:t>
      </w:r>
      <w:r w:rsidR="00173B07" w:rsidRPr="00650894">
        <w:rPr>
          <w:sz w:val="26"/>
          <w:szCs w:val="26"/>
        </w:rPr>
        <w:t xml:space="preserve"> </w:t>
      </w:r>
      <w:r w:rsidR="00DF6D3C" w:rsidRPr="00650894">
        <w:rPr>
          <w:sz w:val="26"/>
          <w:szCs w:val="26"/>
        </w:rPr>
        <w:t xml:space="preserve">of the Altoona Amendment, Core may not assess any charges on Verizon PA for the transport of traffic delivered by Verizon </w:t>
      </w:r>
      <w:r w:rsidR="00AD5BEF" w:rsidRPr="00650894">
        <w:rPr>
          <w:sz w:val="26"/>
          <w:szCs w:val="26"/>
        </w:rPr>
        <w:t xml:space="preserve">PA </w:t>
      </w:r>
      <w:r w:rsidR="00970DC8" w:rsidRPr="00650894">
        <w:rPr>
          <w:sz w:val="26"/>
          <w:szCs w:val="26"/>
        </w:rPr>
        <w:t>over the OC</w:t>
      </w:r>
      <w:r w:rsidR="00970DC8" w:rsidRPr="00650894">
        <w:rPr>
          <w:sz w:val="26"/>
          <w:szCs w:val="26"/>
        </w:rPr>
        <w:noBreakHyphen/>
      </w:r>
      <w:r w:rsidR="00DF6D3C" w:rsidRPr="00650894">
        <w:rPr>
          <w:sz w:val="26"/>
          <w:szCs w:val="26"/>
        </w:rPr>
        <w:t>12 loop fiber o</w:t>
      </w:r>
      <w:r w:rsidR="00C63EB8" w:rsidRPr="00650894">
        <w:rPr>
          <w:sz w:val="26"/>
          <w:szCs w:val="26"/>
        </w:rPr>
        <w:t>ptic system to Core’s point of p</w:t>
      </w:r>
      <w:r w:rsidR="00DF6D3C" w:rsidRPr="00650894">
        <w:rPr>
          <w:sz w:val="26"/>
          <w:szCs w:val="26"/>
        </w:rPr>
        <w:t xml:space="preserve">resence (POP). </w:t>
      </w:r>
      <w:r w:rsidR="00875F3C" w:rsidRPr="00650894">
        <w:rPr>
          <w:sz w:val="26"/>
          <w:szCs w:val="26"/>
        </w:rPr>
        <w:t xml:space="preserve"> Verizon PA </w:t>
      </w:r>
      <w:r w:rsidR="008705E4" w:rsidRPr="00650894">
        <w:rPr>
          <w:sz w:val="26"/>
          <w:szCs w:val="26"/>
        </w:rPr>
        <w:t xml:space="preserve">took the position </w:t>
      </w:r>
      <w:r w:rsidR="00875F3C" w:rsidRPr="00650894">
        <w:rPr>
          <w:sz w:val="26"/>
          <w:szCs w:val="26"/>
        </w:rPr>
        <w:t>that</w:t>
      </w:r>
      <w:r w:rsidR="00053720" w:rsidRPr="00650894">
        <w:rPr>
          <w:sz w:val="26"/>
          <w:szCs w:val="26"/>
        </w:rPr>
        <w:t xml:space="preserve"> the term</w:t>
      </w:r>
      <w:r w:rsidR="00875F3C" w:rsidRPr="00650894">
        <w:rPr>
          <w:sz w:val="26"/>
          <w:szCs w:val="26"/>
        </w:rPr>
        <w:t xml:space="preserve"> </w:t>
      </w:r>
      <w:r w:rsidR="00266212" w:rsidRPr="00650894">
        <w:rPr>
          <w:sz w:val="26"/>
          <w:szCs w:val="26"/>
        </w:rPr>
        <w:t>“</w:t>
      </w:r>
      <w:r w:rsidR="00875F3C" w:rsidRPr="00650894">
        <w:rPr>
          <w:sz w:val="26"/>
          <w:szCs w:val="26"/>
        </w:rPr>
        <w:t>transport,</w:t>
      </w:r>
      <w:r w:rsidR="00266212" w:rsidRPr="00650894">
        <w:rPr>
          <w:sz w:val="26"/>
          <w:szCs w:val="26"/>
        </w:rPr>
        <w:t>”</w:t>
      </w:r>
      <w:r w:rsidR="00875F3C" w:rsidRPr="00650894">
        <w:rPr>
          <w:sz w:val="26"/>
          <w:szCs w:val="26"/>
        </w:rPr>
        <w:t xml:space="preserve"> as used in this section of the Altoona Amendment</w:t>
      </w:r>
      <w:r w:rsidR="00ED745E" w:rsidRPr="00650894">
        <w:rPr>
          <w:sz w:val="26"/>
          <w:szCs w:val="26"/>
        </w:rPr>
        <w:t>, encompasses</w:t>
      </w:r>
      <w:r w:rsidR="00875F3C" w:rsidRPr="00650894">
        <w:rPr>
          <w:sz w:val="26"/>
          <w:szCs w:val="26"/>
        </w:rPr>
        <w:t xml:space="preserve"> both </w:t>
      </w:r>
      <w:r w:rsidR="00BC0624" w:rsidRPr="00650894">
        <w:rPr>
          <w:sz w:val="26"/>
          <w:szCs w:val="26"/>
        </w:rPr>
        <w:t xml:space="preserve">the </w:t>
      </w:r>
      <w:r w:rsidR="0016272F">
        <w:rPr>
          <w:sz w:val="26"/>
          <w:szCs w:val="26"/>
        </w:rPr>
        <w:t xml:space="preserve">tandem </w:t>
      </w:r>
      <w:r w:rsidR="0073463D" w:rsidRPr="00650894">
        <w:rPr>
          <w:sz w:val="26"/>
          <w:szCs w:val="26"/>
        </w:rPr>
        <w:t xml:space="preserve">trunk </w:t>
      </w:r>
      <w:r w:rsidR="00875F3C" w:rsidRPr="00650894">
        <w:rPr>
          <w:sz w:val="26"/>
          <w:szCs w:val="26"/>
        </w:rPr>
        <w:t>port and multiplexing charges</w:t>
      </w:r>
      <w:r w:rsidR="00BC0624" w:rsidRPr="00650894">
        <w:rPr>
          <w:sz w:val="26"/>
          <w:szCs w:val="26"/>
        </w:rPr>
        <w:t xml:space="preserve"> that Core has attempted to bill it</w:t>
      </w:r>
      <w:r w:rsidR="00875F3C" w:rsidRPr="00650894">
        <w:rPr>
          <w:sz w:val="26"/>
          <w:szCs w:val="26"/>
        </w:rPr>
        <w:t xml:space="preserve">.  Verizon PA </w:t>
      </w:r>
      <w:r w:rsidR="00EB08E3" w:rsidRPr="00650894">
        <w:rPr>
          <w:sz w:val="26"/>
          <w:szCs w:val="26"/>
        </w:rPr>
        <w:t>reasoned</w:t>
      </w:r>
      <w:r w:rsidR="00875F3C" w:rsidRPr="00650894">
        <w:rPr>
          <w:sz w:val="26"/>
          <w:szCs w:val="26"/>
        </w:rPr>
        <w:t xml:space="preserve"> that the term is not capitalized as “Transport,” which might carry a more specific meaning.  Verizon PA M.B. at 32.  </w:t>
      </w:r>
    </w:p>
    <w:p w:rsidR="00230009" w:rsidRPr="00650894" w:rsidRDefault="00230009" w:rsidP="00650894">
      <w:pPr>
        <w:spacing w:line="360" w:lineRule="auto"/>
        <w:ind w:firstLine="1440"/>
        <w:contextualSpacing/>
        <w:rPr>
          <w:sz w:val="26"/>
          <w:szCs w:val="26"/>
        </w:rPr>
      </w:pPr>
    </w:p>
    <w:p w:rsidR="00230009" w:rsidRPr="00650894" w:rsidRDefault="00230009" w:rsidP="00650894">
      <w:pPr>
        <w:spacing w:line="360" w:lineRule="auto"/>
        <w:ind w:firstLine="1440"/>
        <w:contextualSpacing/>
        <w:rPr>
          <w:sz w:val="26"/>
          <w:szCs w:val="26"/>
        </w:rPr>
      </w:pPr>
      <w:r w:rsidRPr="00650894">
        <w:rPr>
          <w:sz w:val="26"/>
          <w:szCs w:val="26"/>
        </w:rPr>
        <w:t xml:space="preserve">In Response, Core claimed that the Altoona Amendment does not bar it from having billed Verizon PA for facilities charges in the Altoona LATA.  </w:t>
      </w:r>
      <w:r w:rsidR="0073463D" w:rsidRPr="00650894">
        <w:rPr>
          <w:sz w:val="26"/>
          <w:szCs w:val="26"/>
        </w:rPr>
        <w:t>Core submitted that</w:t>
      </w:r>
      <w:r w:rsidR="00C63EB8" w:rsidRPr="00650894">
        <w:rPr>
          <w:sz w:val="26"/>
          <w:szCs w:val="26"/>
        </w:rPr>
        <w:t xml:space="preserve"> with respect to the Altoona LATA, it only </w:t>
      </w:r>
      <w:r w:rsidR="0073463D" w:rsidRPr="00650894">
        <w:rPr>
          <w:sz w:val="26"/>
          <w:szCs w:val="26"/>
        </w:rPr>
        <w:t>billed Verizon PA f</w:t>
      </w:r>
      <w:r w:rsidR="00C63EB8" w:rsidRPr="00650894">
        <w:rPr>
          <w:sz w:val="26"/>
          <w:szCs w:val="26"/>
        </w:rPr>
        <w:t xml:space="preserve">or </w:t>
      </w:r>
      <w:r w:rsidR="00F0470B">
        <w:rPr>
          <w:sz w:val="26"/>
          <w:szCs w:val="26"/>
        </w:rPr>
        <w:t xml:space="preserve">tandem </w:t>
      </w:r>
      <w:r w:rsidR="00F0470B" w:rsidRPr="00650894">
        <w:rPr>
          <w:sz w:val="26"/>
          <w:szCs w:val="26"/>
        </w:rPr>
        <w:t>trunk port</w:t>
      </w:r>
      <w:r w:rsidR="00C63EB8" w:rsidRPr="00650894">
        <w:rPr>
          <w:sz w:val="26"/>
          <w:szCs w:val="26"/>
        </w:rPr>
        <w:t>s and multiplexing.  According to Core,</w:t>
      </w:r>
      <w:r w:rsidR="0073463D" w:rsidRPr="00650894">
        <w:rPr>
          <w:sz w:val="26"/>
          <w:szCs w:val="26"/>
        </w:rPr>
        <w:t xml:space="preserve"> neither of </w:t>
      </w:r>
      <w:r w:rsidR="00C63EB8" w:rsidRPr="00650894">
        <w:rPr>
          <w:sz w:val="26"/>
          <w:szCs w:val="26"/>
        </w:rPr>
        <w:t>these elements are</w:t>
      </w:r>
      <w:r w:rsidR="00AD5BEF" w:rsidRPr="00650894">
        <w:rPr>
          <w:sz w:val="26"/>
          <w:szCs w:val="26"/>
        </w:rPr>
        <w:t xml:space="preserve"> </w:t>
      </w:r>
      <w:r w:rsidR="00970DC8" w:rsidRPr="00650894">
        <w:rPr>
          <w:sz w:val="26"/>
          <w:szCs w:val="26"/>
        </w:rPr>
        <w:t xml:space="preserve">technically </w:t>
      </w:r>
      <w:r w:rsidR="00AD5BEF" w:rsidRPr="00650894">
        <w:rPr>
          <w:sz w:val="26"/>
          <w:szCs w:val="26"/>
        </w:rPr>
        <w:t>classified as</w:t>
      </w:r>
      <w:r w:rsidR="0073463D" w:rsidRPr="00650894">
        <w:rPr>
          <w:sz w:val="26"/>
          <w:szCs w:val="26"/>
        </w:rPr>
        <w:t xml:space="preserve"> </w:t>
      </w:r>
      <w:r w:rsidR="00C63EB8" w:rsidRPr="00650894">
        <w:rPr>
          <w:sz w:val="26"/>
          <w:szCs w:val="26"/>
        </w:rPr>
        <w:t>“</w:t>
      </w:r>
      <w:r w:rsidR="0073463D" w:rsidRPr="00650894">
        <w:rPr>
          <w:sz w:val="26"/>
          <w:szCs w:val="26"/>
        </w:rPr>
        <w:t>transport</w:t>
      </w:r>
      <w:r w:rsidR="00C63EB8" w:rsidRPr="00650894">
        <w:rPr>
          <w:sz w:val="26"/>
          <w:szCs w:val="26"/>
        </w:rPr>
        <w:t>,”</w:t>
      </w:r>
      <w:r w:rsidR="0073463D" w:rsidRPr="00650894">
        <w:rPr>
          <w:sz w:val="26"/>
          <w:szCs w:val="26"/>
        </w:rPr>
        <w:t xml:space="preserve"> as </w:t>
      </w:r>
      <w:r w:rsidR="00970DC8" w:rsidRPr="00650894">
        <w:rPr>
          <w:sz w:val="26"/>
          <w:szCs w:val="26"/>
        </w:rPr>
        <w:t>this term is used</w:t>
      </w:r>
      <w:r w:rsidR="0073463D" w:rsidRPr="00650894">
        <w:rPr>
          <w:sz w:val="26"/>
          <w:szCs w:val="26"/>
        </w:rPr>
        <w:t xml:space="preserve"> in Paragraph 1(d) of the Altoona Amendment.  Additionally, </w:t>
      </w:r>
      <w:r w:rsidRPr="00650894">
        <w:rPr>
          <w:sz w:val="26"/>
          <w:szCs w:val="26"/>
        </w:rPr>
        <w:t>Core argued that the Altoona Amendment is specifically conditioned on Core’s switch being located at 1215 16</w:t>
      </w:r>
      <w:r w:rsidRPr="00650894">
        <w:rPr>
          <w:sz w:val="26"/>
          <w:szCs w:val="26"/>
          <w:vertAlign w:val="superscript"/>
        </w:rPr>
        <w:t>th</w:t>
      </w:r>
      <w:r w:rsidRPr="00650894">
        <w:rPr>
          <w:sz w:val="26"/>
          <w:szCs w:val="26"/>
        </w:rPr>
        <w:t xml:space="preserve"> Street in Altoona.  </w:t>
      </w:r>
      <w:r w:rsidR="00614422" w:rsidRPr="00650894">
        <w:rPr>
          <w:sz w:val="26"/>
          <w:szCs w:val="26"/>
        </w:rPr>
        <w:t>In this regard</w:t>
      </w:r>
      <w:r w:rsidRPr="00650894">
        <w:rPr>
          <w:sz w:val="26"/>
          <w:szCs w:val="26"/>
        </w:rPr>
        <w:t>, Core noted that in 2007, it moved its switch to 1315 13</w:t>
      </w:r>
      <w:r w:rsidRPr="00650894">
        <w:rPr>
          <w:sz w:val="26"/>
          <w:szCs w:val="26"/>
          <w:vertAlign w:val="superscript"/>
        </w:rPr>
        <w:t>th</w:t>
      </w:r>
      <w:r w:rsidRPr="00650894">
        <w:rPr>
          <w:sz w:val="26"/>
          <w:szCs w:val="26"/>
        </w:rPr>
        <w:t xml:space="preserve"> Street in Altoona.  Core </w:t>
      </w:r>
      <w:r w:rsidR="0073463D" w:rsidRPr="00650894">
        <w:rPr>
          <w:sz w:val="26"/>
          <w:szCs w:val="26"/>
        </w:rPr>
        <w:t>asserted</w:t>
      </w:r>
      <w:r w:rsidRPr="00650894">
        <w:rPr>
          <w:sz w:val="26"/>
          <w:szCs w:val="26"/>
        </w:rPr>
        <w:t xml:space="preserve"> that it installed and now maintains aerial cabling between and conn</w:t>
      </w:r>
      <w:r w:rsidR="003B4B7D" w:rsidRPr="00650894">
        <w:rPr>
          <w:sz w:val="26"/>
          <w:szCs w:val="26"/>
        </w:rPr>
        <w:t xml:space="preserve">ecting the old switch location, </w:t>
      </w:r>
      <w:r w:rsidRPr="00650894">
        <w:rPr>
          <w:sz w:val="26"/>
          <w:szCs w:val="26"/>
        </w:rPr>
        <w:t xml:space="preserve">where Verizon PA’s </w:t>
      </w:r>
      <w:r w:rsidR="003B4B7D" w:rsidRPr="00650894">
        <w:rPr>
          <w:sz w:val="26"/>
          <w:szCs w:val="26"/>
        </w:rPr>
        <w:t xml:space="preserve">multiplexer remains, </w:t>
      </w:r>
      <w:r w:rsidR="00C63EB8" w:rsidRPr="00650894">
        <w:rPr>
          <w:sz w:val="26"/>
          <w:szCs w:val="26"/>
        </w:rPr>
        <w:t>to</w:t>
      </w:r>
      <w:r w:rsidRPr="00650894">
        <w:rPr>
          <w:sz w:val="26"/>
          <w:szCs w:val="26"/>
        </w:rPr>
        <w:t xml:space="preserve"> the new location of Core’s switch.  As such, Core asserted that the </w:t>
      </w:r>
      <w:r w:rsidR="00FD084A" w:rsidRPr="00650894">
        <w:rPr>
          <w:sz w:val="26"/>
          <w:szCs w:val="26"/>
        </w:rPr>
        <w:t>terms</w:t>
      </w:r>
      <w:r w:rsidRPr="00650894">
        <w:rPr>
          <w:sz w:val="26"/>
          <w:szCs w:val="26"/>
        </w:rPr>
        <w:t xml:space="preserve"> of the Altoona Amendment are no longer </w:t>
      </w:r>
      <w:r w:rsidR="00DA2969" w:rsidRPr="00650894">
        <w:rPr>
          <w:sz w:val="26"/>
          <w:szCs w:val="26"/>
        </w:rPr>
        <w:t>applicable,</w:t>
      </w:r>
      <w:r w:rsidR="003B4B7D" w:rsidRPr="00650894">
        <w:rPr>
          <w:sz w:val="26"/>
          <w:szCs w:val="26"/>
        </w:rPr>
        <w:t xml:space="preserve"> and that Verizon PA is obligated to pay Core for facilities charges incurred in the Altoona LATA</w:t>
      </w:r>
      <w:r w:rsidRPr="00650894">
        <w:rPr>
          <w:sz w:val="26"/>
          <w:szCs w:val="26"/>
        </w:rPr>
        <w:t>.  Core M.B. at 25-26.</w:t>
      </w:r>
    </w:p>
    <w:p w:rsidR="00230009" w:rsidRPr="00650894" w:rsidRDefault="00230009" w:rsidP="00650894">
      <w:pPr>
        <w:spacing w:line="360" w:lineRule="auto"/>
        <w:ind w:firstLine="1440"/>
        <w:contextualSpacing/>
        <w:rPr>
          <w:sz w:val="26"/>
          <w:szCs w:val="26"/>
        </w:rPr>
      </w:pPr>
    </w:p>
    <w:p w:rsidR="00230009" w:rsidRPr="00650894" w:rsidRDefault="00230009" w:rsidP="00650894">
      <w:pPr>
        <w:spacing w:line="360" w:lineRule="auto"/>
        <w:ind w:firstLine="1440"/>
        <w:contextualSpacing/>
        <w:rPr>
          <w:sz w:val="26"/>
          <w:szCs w:val="26"/>
        </w:rPr>
      </w:pPr>
      <w:r w:rsidRPr="00650894">
        <w:rPr>
          <w:sz w:val="26"/>
          <w:szCs w:val="26"/>
        </w:rPr>
        <w:t xml:space="preserve">Verizon PA rejoined that </w:t>
      </w:r>
      <w:r w:rsidR="00970DC8" w:rsidRPr="00650894">
        <w:rPr>
          <w:sz w:val="26"/>
          <w:szCs w:val="26"/>
        </w:rPr>
        <w:t>Core never sought to execute</w:t>
      </w:r>
      <w:r w:rsidR="00955B2F" w:rsidRPr="00650894">
        <w:rPr>
          <w:sz w:val="26"/>
          <w:szCs w:val="26"/>
        </w:rPr>
        <w:t xml:space="preserve"> a subsequent amendment to the ICA to revise the </w:t>
      </w:r>
      <w:r w:rsidR="00977BFB" w:rsidRPr="00650894">
        <w:rPr>
          <w:sz w:val="26"/>
          <w:szCs w:val="26"/>
        </w:rPr>
        <w:t xml:space="preserve">location of the </w:t>
      </w:r>
      <w:r w:rsidR="00955B2F" w:rsidRPr="00650894">
        <w:rPr>
          <w:sz w:val="26"/>
          <w:szCs w:val="26"/>
        </w:rPr>
        <w:t xml:space="preserve">switch outlined in Paragraph 1(a) of the Altoona Amendment.  In Verizon PA’s view, </w:t>
      </w:r>
      <w:r w:rsidR="00400F66" w:rsidRPr="00650894">
        <w:rPr>
          <w:sz w:val="26"/>
          <w:szCs w:val="26"/>
        </w:rPr>
        <w:t xml:space="preserve">Core’s unilateral relocation of its switch in Altoona made </w:t>
      </w:r>
      <w:r w:rsidR="003B4B7D" w:rsidRPr="00650894">
        <w:rPr>
          <w:sz w:val="26"/>
          <w:szCs w:val="26"/>
        </w:rPr>
        <w:t xml:space="preserve">Verizon PA’s </w:t>
      </w:r>
      <w:r w:rsidR="00400F66" w:rsidRPr="00650894">
        <w:rPr>
          <w:sz w:val="26"/>
          <w:szCs w:val="26"/>
        </w:rPr>
        <w:t>compliance with the</w:t>
      </w:r>
      <w:r w:rsidR="00260BE8" w:rsidRPr="00650894">
        <w:rPr>
          <w:sz w:val="26"/>
          <w:szCs w:val="26"/>
        </w:rPr>
        <w:t xml:space="preserve"> provisions of the </w:t>
      </w:r>
      <w:r w:rsidR="000C5AEA" w:rsidRPr="00650894">
        <w:rPr>
          <w:sz w:val="26"/>
          <w:szCs w:val="26"/>
        </w:rPr>
        <w:t xml:space="preserve">Altoona </w:t>
      </w:r>
      <w:r w:rsidR="00260BE8" w:rsidRPr="00650894">
        <w:rPr>
          <w:sz w:val="26"/>
          <w:szCs w:val="26"/>
        </w:rPr>
        <w:t xml:space="preserve">Amendment impossible, thereby absolving Verizon PA from </w:t>
      </w:r>
      <w:r w:rsidR="000C5AEA" w:rsidRPr="00650894">
        <w:rPr>
          <w:sz w:val="26"/>
          <w:szCs w:val="26"/>
        </w:rPr>
        <w:t>doing so</w:t>
      </w:r>
      <w:r w:rsidR="00260BE8" w:rsidRPr="00650894">
        <w:rPr>
          <w:sz w:val="26"/>
          <w:szCs w:val="26"/>
        </w:rPr>
        <w:t xml:space="preserve">.  </w:t>
      </w:r>
      <w:r w:rsidR="00955B2F" w:rsidRPr="00650894">
        <w:rPr>
          <w:sz w:val="26"/>
          <w:szCs w:val="26"/>
        </w:rPr>
        <w:t>Verizon PA M.B. at 33-34; Verizon PA R.B. at 25-26.</w:t>
      </w:r>
    </w:p>
    <w:p w:rsidR="00D43324" w:rsidRPr="00650894" w:rsidRDefault="00D43324" w:rsidP="00650894">
      <w:pPr>
        <w:spacing w:line="360" w:lineRule="auto"/>
        <w:ind w:firstLine="1440"/>
        <w:contextualSpacing/>
        <w:rPr>
          <w:sz w:val="26"/>
          <w:szCs w:val="26"/>
        </w:rPr>
      </w:pPr>
    </w:p>
    <w:p w:rsidR="00D43324" w:rsidRPr="00650894" w:rsidRDefault="00D43324" w:rsidP="00650894">
      <w:pPr>
        <w:spacing w:line="360" w:lineRule="auto"/>
        <w:ind w:firstLine="1440"/>
        <w:contextualSpacing/>
        <w:rPr>
          <w:sz w:val="26"/>
          <w:szCs w:val="26"/>
        </w:rPr>
      </w:pPr>
      <w:r w:rsidRPr="00650894">
        <w:rPr>
          <w:sz w:val="26"/>
          <w:szCs w:val="26"/>
        </w:rPr>
        <w:t>Core rebutted that there is no actual or implied requirement that Core keep its switch at 1215 16</w:t>
      </w:r>
      <w:r w:rsidRPr="00650894">
        <w:rPr>
          <w:sz w:val="26"/>
          <w:szCs w:val="26"/>
          <w:vertAlign w:val="superscript"/>
        </w:rPr>
        <w:t>th</w:t>
      </w:r>
      <w:r w:rsidRPr="00650894">
        <w:rPr>
          <w:sz w:val="26"/>
          <w:szCs w:val="26"/>
        </w:rPr>
        <w:t xml:space="preserve"> Street.  In Core’s view, the Altoona Amendment simply memorialized that this was the location of the switch </w:t>
      </w:r>
      <w:r w:rsidR="00EB08E3" w:rsidRPr="00650894">
        <w:rPr>
          <w:sz w:val="26"/>
          <w:szCs w:val="26"/>
        </w:rPr>
        <w:t>at the time</w:t>
      </w:r>
      <w:r w:rsidRPr="00650894">
        <w:rPr>
          <w:sz w:val="26"/>
          <w:szCs w:val="26"/>
        </w:rPr>
        <w:t xml:space="preserve"> the </w:t>
      </w:r>
      <w:r w:rsidR="00EB08E3" w:rsidRPr="00650894">
        <w:rPr>
          <w:sz w:val="26"/>
          <w:szCs w:val="26"/>
        </w:rPr>
        <w:t>Altoona A</w:t>
      </w:r>
      <w:r w:rsidRPr="00650894">
        <w:rPr>
          <w:sz w:val="26"/>
          <w:szCs w:val="26"/>
        </w:rPr>
        <w:t>mendment was executed in 2003.  Core R.B. at 15.</w:t>
      </w:r>
    </w:p>
    <w:p w:rsidR="00656A14" w:rsidRPr="00650894" w:rsidRDefault="00656A14" w:rsidP="00650894">
      <w:pPr>
        <w:spacing w:line="360" w:lineRule="auto"/>
        <w:ind w:firstLine="1440"/>
        <w:contextualSpacing/>
        <w:rPr>
          <w:sz w:val="26"/>
          <w:szCs w:val="26"/>
        </w:rPr>
      </w:pPr>
    </w:p>
    <w:p w:rsidR="00656A14" w:rsidRPr="00650894" w:rsidRDefault="00656A14" w:rsidP="00215E2F">
      <w:pPr>
        <w:keepNext/>
        <w:keepLines/>
        <w:spacing w:line="360" w:lineRule="auto"/>
        <w:ind w:left="720"/>
        <w:contextualSpacing/>
        <w:rPr>
          <w:b/>
          <w:sz w:val="26"/>
          <w:szCs w:val="26"/>
        </w:rPr>
      </w:pPr>
      <w:r w:rsidRPr="00650894">
        <w:rPr>
          <w:b/>
          <w:sz w:val="26"/>
          <w:szCs w:val="26"/>
        </w:rPr>
        <w:t>2.</w:t>
      </w:r>
      <w:r w:rsidRPr="00650894">
        <w:rPr>
          <w:b/>
          <w:sz w:val="26"/>
          <w:szCs w:val="26"/>
        </w:rPr>
        <w:tab/>
        <w:t>ALJ Recommendation</w:t>
      </w:r>
    </w:p>
    <w:p w:rsidR="009D283D" w:rsidRPr="00650894" w:rsidRDefault="009D283D" w:rsidP="00650894">
      <w:pPr>
        <w:keepNext/>
        <w:keepLines/>
        <w:spacing w:line="360" w:lineRule="auto"/>
        <w:ind w:firstLine="1440"/>
        <w:contextualSpacing/>
        <w:rPr>
          <w:sz w:val="26"/>
          <w:szCs w:val="26"/>
        </w:rPr>
      </w:pPr>
    </w:p>
    <w:p w:rsidR="003535BF" w:rsidRPr="00650894" w:rsidRDefault="003535BF" w:rsidP="00650894">
      <w:pPr>
        <w:spacing w:line="360" w:lineRule="auto"/>
        <w:ind w:firstLine="1440"/>
        <w:contextualSpacing/>
        <w:rPr>
          <w:sz w:val="26"/>
          <w:szCs w:val="26"/>
        </w:rPr>
      </w:pPr>
      <w:r w:rsidRPr="00650894">
        <w:rPr>
          <w:sz w:val="26"/>
          <w:szCs w:val="26"/>
        </w:rPr>
        <w:t xml:space="preserve">The ALJ denied Core’s claim for payment of the facilities charges it billed to Verizon PA </w:t>
      </w:r>
      <w:r w:rsidR="00541E22" w:rsidRPr="00650894">
        <w:rPr>
          <w:sz w:val="26"/>
          <w:szCs w:val="26"/>
        </w:rPr>
        <w:t>pertaining</w:t>
      </w:r>
      <w:r w:rsidRPr="00650894">
        <w:rPr>
          <w:sz w:val="26"/>
          <w:szCs w:val="26"/>
        </w:rPr>
        <w:t xml:space="preserve"> to the Parties’ interconnection in the Altoona LATA.  </w:t>
      </w:r>
      <w:r w:rsidR="004D7194" w:rsidRPr="00650894">
        <w:rPr>
          <w:sz w:val="26"/>
          <w:szCs w:val="26"/>
        </w:rPr>
        <w:t xml:space="preserve">In making this ruling, the ALJ </w:t>
      </w:r>
      <w:r w:rsidR="00C704B1" w:rsidRPr="00650894">
        <w:rPr>
          <w:sz w:val="26"/>
          <w:szCs w:val="26"/>
        </w:rPr>
        <w:t>paraphrased</w:t>
      </w:r>
      <w:r w:rsidR="00541E22" w:rsidRPr="00650894">
        <w:rPr>
          <w:sz w:val="26"/>
          <w:szCs w:val="26"/>
        </w:rPr>
        <w:t xml:space="preserve"> Verizon PA’s testimony that its accommodation of Core</w:t>
      </w:r>
      <w:r w:rsidR="00F20621" w:rsidRPr="00650894">
        <w:rPr>
          <w:sz w:val="26"/>
          <w:szCs w:val="26"/>
        </w:rPr>
        <w:t>’s</w:t>
      </w:r>
      <w:r w:rsidR="00541E22" w:rsidRPr="00650894">
        <w:rPr>
          <w:sz w:val="26"/>
          <w:szCs w:val="26"/>
        </w:rPr>
        <w:t xml:space="preserve"> request for special interconnection arrangements in the Altoona LATA was </w:t>
      </w:r>
      <w:r w:rsidR="00F20621" w:rsidRPr="00650894">
        <w:rPr>
          <w:sz w:val="26"/>
          <w:szCs w:val="26"/>
        </w:rPr>
        <w:t>conditioned</w:t>
      </w:r>
      <w:r w:rsidR="00541E22" w:rsidRPr="00650894">
        <w:rPr>
          <w:sz w:val="26"/>
          <w:szCs w:val="26"/>
        </w:rPr>
        <w:t xml:space="preserve"> upon Core’s agreement that Verizon PA would not be subject to any payment obligations. </w:t>
      </w:r>
      <w:r w:rsidR="00537C47" w:rsidRPr="00650894">
        <w:rPr>
          <w:sz w:val="26"/>
          <w:szCs w:val="26"/>
        </w:rPr>
        <w:t xml:space="preserve"> The ALJ also emphasized Verizon PA’s citation to Paragraph 1(d) of the Altoona Amendment, finding that under this provision, Core may not assess any charges upon Verizon PA </w:t>
      </w:r>
      <w:r w:rsidR="004D7194" w:rsidRPr="00650894">
        <w:rPr>
          <w:sz w:val="26"/>
          <w:szCs w:val="26"/>
        </w:rPr>
        <w:t xml:space="preserve">for the transport of traffic delivered by Verizon PA over the OC-12 fiber optic system to Core’s </w:t>
      </w:r>
      <w:r w:rsidR="00665528" w:rsidRPr="00650894">
        <w:rPr>
          <w:sz w:val="26"/>
          <w:szCs w:val="26"/>
        </w:rPr>
        <w:t>POP</w:t>
      </w:r>
      <w:r w:rsidR="00334CF0" w:rsidRPr="00650894">
        <w:rPr>
          <w:sz w:val="26"/>
          <w:szCs w:val="26"/>
        </w:rPr>
        <w:t xml:space="preserve">. </w:t>
      </w:r>
      <w:r w:rsidR="00665528" w:rsidRPr="00650894">
        <w:rPr>
          <w:sz w:val="26"/>
          <w:szCs w:val="26"/>
        </w:rPr>
        <w:t xml:space="preserve"> </w:t>
      </w:r>
      <w:r w:rsidR="00173B07" w:rsidRPr="00650894">
        <w:rPr>
          <w:sz w:val="26"/>
          <w:szCs w:val="26"/>
        </w:rPr>
        <w:t>The ALJ agreed with Verizon PA t</w:t>
      </w:r>
      <w:r w:rsidR="00665528" w:rsidRPr="00650894">
        <w:rPr>
          <w:sz w:val="26"/>
          <w:szCs w:val="26"/>
        </w:rPr>
        <w:t xml:space="preserve">hat </w:t>
      </w:r>
      <w:r w:rsidR="00467270" w:rsidRPr="00650894">
        <w:rPr>
          <w:sz w:val="26"/>
          <w:szCs w:val="26"/>
        </w:rPr>
        <w:t xml:space="preserve">the term </w:t>
      </w:r>
      <w:r w:rsidR="00424444" w:rsidRPr="00650894">
        <w:rPr>
          <w:sz w:val="26"/>
          <w:szCs w:val="26"/>
        </w:rPr>
        <w:t>“</w:t>
      </w:r>
      <w:r w:rsidR="00665528" w:rsidRPr="00650894">
        <w:rPr>
          <w:sz w:val="26"/>
          <w:szCs w:val="26"/>
        </w:rPr>
        <w:t>transport,</w:t>
      </w:r>
      <w:r w:rsidR="00424444" w:rsidRPr="00650894">
        <w:rPr>
          <w:sz w:val="26"/>
          <w:szCs w:val="26"/>
        </w:rPr>
        <w:t>”</w:t>
      </w:r>
      <w:r w:rsidR="00665528" w:rsidRPr="00650894">
        <w:rPr>
          <w:sz w:val="26"/>
          <w:szCs w:val="26"/>
        </w:rPr>
        <w:t xml:space="preserve"> as used in Paragraph 1(d) encompasses both trunk ports and multiplexing.  </w:t>
      </w:r>
      <w:r w:rsidR="00334CF0" w:rsidRPr="00650894">
        <w:rPr>
          <w:sz w:val="26"/>
          <w:szCs w:val="26"/>
        </w:rPr>
        <w:t>A</w:t>
      </w:r>
      <w:r w:rsidR="00C704B1" w:rsidRPr="00650894">
        <w:rPr>
          <w:sz w:val="26"/>
          <w:szCs w:val="26"/>
        </w:rPr>
        <w:t xml:space="preserve">dditionally, </w:t>
      </w:r>
      <w:r w:rsidR="00424444" w:rsidRPr="00650894">
        <w:rPr>
          <w:sz w:val="26"/>
          <w:szCs w:val="26"/>
        </w:rPr>
        <w:t>t</w:t>
      </w:r>
      <w:r w:rsidR="00C704B1" w:rsidRPr="00650894">
        <w:rPr>
          <w:sz w:val="26"/>
          <w:szCs w:val="26"/>
        </w:rPr>
        <w:t xml:space="preserve">he ALJ concurred with </w:t>
      </w:r>
      <w:r w:rsidR="00424444" w:rsidRPr="00650894">
        <w:rPr>
          <w:sz w:val="26"/>
          <w:szCs w:val="26"/>
        </w:rPr>
        <w:t>the position of Verizon PA</w:t>
      </w:r>
      <w:r w:rsidR="00173B07" w:rsidRPr="00650894">
        <w:rPr>
          <w:sz w:val="26"/>
          <w:szCs w:val="26"/>
        </w:rPr>
        <w:t xml:space="preserve"> </w:t>
      </w:r>
      <w:r w:rsidR="00C704B1" w:rsidRPr="00650894">
        <w:rPr>
          <w:sz w:val="26"/>
          <w:szCs w:val="26"/>
        </w:rPr>
        <w:t xml:space="preserve">that Core was required to execute a subsequent amendment to the ICA to revise the location of its switch but failed to do so, thereby absolving Verizon PA from complying with the provisions involving connections to a switch that Core unilaterally relocated.  </w:t>
      </w:r>
      <w:r w:rsidR="00B10F71" w:rsidRPr="00650894">
        <w:rPr>
          <w:sz w:val="26"/>
          <w:szCs w:val="26"/>
        </w:rPr>
        <w:t xml:space="preserve">I.D. at </w:t>
      </w:r>
      <w:r w:rsidR="00EB5501" w:rsidRPr="00650894">
        <w:rPr>
          <w:sz w:val="26"/>
          <w:szCs w:val="26"/>
        </w:rPr>
        <w:t>47-48</w:t>
      </w:r>
      <w:r w:rsidR="004D7194" w:rsidRPr="00650894">
        <w:rPr>
          <w:sz w:val="26"/>
          <w:szCs w:val="26"/>
        </w:rPr>
        <w:t>.</w:t>
      </w:r>
      <w:r w:rsidR="00EB5501" w:rsidRPr="00650894">
        <w:rPr>
          <w:sz w:val="26"/>
          <w:szCs w:val="26"/>
        </w:rPr>
        <w:t xml:space="preserve"> </w:t>
      </w:r>
    </w:p>
    <w:p w:rsidR="00656A14" w:rsidRPr="00650894" w:rsidRDefault="00656A14" w:rsidP="00650894">
      <w:pPr>
        <w:spacing w:line="360" w:lineRule="auto"/>
        <w:ind w:firstLine="1440"/>
        <w:contextualSpacing/>
        <w:rPr>
          <w:sz w:val="26"/>
          <w:szCs w:val="26"/>
        </w:rPr>
      </w:pPr>
    </w:p>
    <w:p w:rsidR="00E04731" w:rsidRPr="00650894" w:rsidRDefault="00E04731" w:rsidP="00215E2F">
      <w:pPr>
        <w:keepNext/>
        <w:keepLines/>
        <w:spacing w:line="360" w:lineRule="auto"/>
        <w:ind w:left="720"/>
        <w:contextualSpacing/>
        <w:rPr>
          <w:sz w:val="26"/>
          <w:szCs w:val="26"/>
        </w:rPr>
      </w:pPr>
      <w:r w:rsidRPr="00650894">
        <w:rPr>
          <w:b/>
          <w:sz w:val="26"/>
          <w:szCs w:val="26"/>
        </w:rPr>
        <w:t>3.</w:t>
      </w:r>
      <w:r w:rsidRPr="00650894">
        <w:rPr>
          <w:b/>
          <w:sz w:val="26"/>
          <w:szCs w:val="26"/>
        </w:rPr>
        <w:tab/>
        <w:t>Core’s Exceptions</w:t>
      </w:r>
    </w:p>
    <w:p w:rsidR="00E04731" w:rsidRPr="00650894" w:rsidRDefault="00E04731" w:rsidP="00650894">
      <w:pPr>
        <w:keepNext/>
        <w:keepLines/>
        <w:spacing w:line="360" w:lineRule="auto"/>
        <w:ind w:firstLine="1440"/>
        <w:contextualSpacing/>
        <w:rPr>
          <w:sz w:val="26"/>
          <w:szCs w:val="26"/>
        </w:rPr>
      </w:pPr>
    </w:p>
    <w:p w:rsidR="00767555" w:rsidRPr="00650894" w:rsidRDefault="00BA4246" w:rsidP="00650894">
      <w:pPr>
        <w:spacing w:line="360" w:lineRule="auto"/>
        <w:ind w:firstLine="1440"/>
        <w:contextualSpacing/>
        <w:rPr>
          <w:sz w:val="26"/>
          <w:szCs w:val="26"/>
        </w:rPr>
      </w:pPr>
      <w:r w:rsidRPr="00650894">
        <w:rPr>
          <w:sz w:val="26"/>
          <w:szCs w:val="26"/>
        </w:rPr>
        <w:t xml:space="preserve">Core submits that contrary to the ALJ’s ruling, its bills to Verizon PA for facilities charges in the Altoona LATA are valid.  </w:t>
      </w:r>
      <w:r w:rsidR="00767555" w:rsidRPr="00650894">
        <w:rPr>
          <w:sz w:val="26"/>
          <w:szCs w:val="26"/>
        </w:rPr>
        <w:t>Core takes issue with the ALJ’s interpretation of Paragraph 1(d) o</w:t>
      </w:r>
      <w:r w:rsidR="008705E4" w:rsidRPr="00650894">
        <w:rPr>
          <w:sz w:val="26"/>
          <w:szCs w:val="26"/>
        </w:rPr>
        <w:t>f the Altoona Amendment</w:t>
      </w:r>
      <w:r w:rsidR="00683FFB" w:rsidRPr="00650894">
        <w:rPr>
          <w:sz w:val="26"/>
          <w:szCs w:val="26"/>
        </w:rPr>
        <w:t xml:space="preserve"> and the use of the term “transport” therein.</w:t>
      </w:r>
      <w:r w:rsidR="008705E4" w:rsidRPr="00650894">
        <w:rPr>
          <w:sz w:val="26"/>
          <w:szCs w:val="26"/>
        </w:rPr>
        <w:t xml:space="preserve">  Core emphasizes</w:t>
      </w:r>
      <w:r w:rsidR="00767555" w:rsidRPr="00650894">
        <w:rPr>
          <w:sz w:val="26"/>
          <w:szCs w:val="26"/>
        </w:rPr>
        <w:t xml:space="preserve"> that although this provision </w:t>
      </w:r>
      <w:r w:rsidR="00424444" w:rsidRPr="00650894">
        <w:rPr>
          <w:sz w:val="26"/>
          <w:szCs w:val="26"/>
        </w:rPr>
        <w:t xml:space="preserve">definitively </w:t>
      </w:r>
      <w:r w:rsidR="00767555" w:rsidRPr="00650894">
        <w:rPr>
          <w:sz w:val="26"/>
          <w:szCs w:val="26"/>
        </w:rPr>
        <w:t xml:space="preserve">bars </w:t>
      </w:r>
      <w:r w:rsidR="00970DC8" w:rsidRPr="00650894">
        <w:rPr>
          <w:sz w:val="26"/>
          <w:szCs w:val="26"/>
        </w:rPr>
        <w:t>Core from levying any charges</w:t>
      </w:r>
      <w:r w:rsidR="00767555" w:rsidRPr="00650894">
        <w:rPr>
          <w:sz w:val="26"/>
          <w:szCs w:val="26"/>
        </w:rPr>
        <w:t xml:space="preserve"> for entrance facilities or dedicated transport, the only facilities charges related to the Altoona LATA are for trunk ports and multiplexing.  Core </w:t>
      </w:r>
      <w:r w:rsidR="000F419C" w:rsidRPr="00650894">
        <w:rPr>
          <w:sz w:val="26"/>
          <w:szCs w:val="26"/>
        </w:rPr>
        <w:t>restates its po</w:t>
      </w:r>
      <w:r w:rsidR="00767555" w:rsidRPr="00650894">
        <w:rPr>
          <w:sz w:val="26"/>
          <w:szCs w:val="26"/>
        </w:rPr>
        <w:t>s</w:t>
      </w:r>
      <w:r w:rsidR="000F419C" w:rsidRPr="00650894">
        <w:rPr>
          <w:sz w:val="26"/>
          <w:szCs w:val="26"/>
        </w:rPr>
        <w:t>ition</w:t>
      </w:r>
      <w:r w:rsidR="00767555" w:rsidRPr="00650894">
        <w:rPr>
          <w:sz w:val="26"/>
          <w:szCs w:val="26"/>
        </w:rPr>
        <w:t xml:space="preserve"> that neither of these </w:t>
      </w:r>
      <w:r w:rsidR="002570BA" w:rsidRPr="00650894">
        <w:rPr>
          <w:sz w:val="26"/>
          <w:szCs w:val="26"/>
        </w:rPr>
        <w:t xml:space="preserve">charges are </w:t>
      </w:r>
      <w:r w:rsidR="000C5AEA" w:rsidRPr="00650894">
        <w:rPr>
          <w:sz w:val="26"/>
          <w:szCs w:val="26"/>
        </w:rPr>
        <w:t xml:space="preserve">technically considered </w:t>
      </w:r>
      <w:r w:rsidR="00970DC8" w:rsidRPr="00650894">
        <w:rPr>
          <w:sz w:val="26"/>
          <w:szCs w:val="26"/>
        </w:rPr>
        <w:t>“</w:t>
      </w:r>
      <w:r w:rsidR="00767555" w:rsidRPr="00650894">
        <w:rPr>
          <w:sz w:val="26"/>
          <w:szCs w:val="26"/>
        </w:rPr>
        <w:t>transport</w:t>
      </w:r>
      <w:r w:rsidR="00970DC8" w:rsidRPr="00650894">
        <w:rPr>
          <w:sz w:val="26"/>
          <w:szCs w:val="26"/>
        </w:rPr>
        <w:t>”</w:t>
      </w:r>
      <w:r w:rsidR="00767555" w:rsidRPr="00650894">
        <w:rPr>
          <w:sz w:val="26"/>
          <w:szCs w:val="26"/>
        </w:rPr>
        <w:t xml:space="preserve"> as </w:t>
      </w:r>
      <w:r w:rsidR="000C5AEA" w:rsidRPr="00650894">
        <w:rPr>
          <w:sz w:val="26"/>
          <w:szCs w:val="26"/>
        </w:rPr>
        <w:t>the term is used</w:t>
      </w:r>
      <w:r w:rsidR="00767555" w:rsidRPr="00650894">
        <w:rPr>
          <w:sz w:val="26"/>
          <w:szCs w:val="26"/>
        </w:rPr>
        <w:t xml:space="preserve"> in </w:t>
      </w:r>
      <w:r w:rsidR="002570BA" w:rsidRPr="00650894">
        <w:rPr>
          <w:sz w:val="26"/>
          <w:szCs w:val="26"/>
        </w:rPr>
        <w:t xml:space="preserve">Paragraph 1(d) of the </w:t>
      </w:r>
      <w:r w:rsidR="000C5AEA" w:rsidRPr="00650894">
        <w:rPr>
          <w:sz w:val="26"/>
          <w:szCs w:val="26"/>
        </w:rPr>
        <w:t xml:space="preserve">Altoona </w:t>
      </w:r>
      <w:r w:rsidR="00011036" w:rsidRPr="00650894">
        <w:rPr>
          <w:sz w:val="26"/>
          <w:szCs w:val="26"/>
        </w:rPr>
        <w:t>A</w:t>
      </w:r>
      <w:r w:rsidR="002570BA" w:rsidRPr="00650894">
        <w:rPr>
          <w:sz w:val="26"/>
          <w:szCs w:val="26"/>
        </w:rPr>
        <w:t>mendment.  Instead, Core submits that each of these elements are</w:t>
      </w:r>
      <w:r w:rsidR="00767555" w:rsidRPr="00650894">
        <w:rPr>
          <w:sz w:val="26"/>
          <w:szCs w:val="26"/>
        </w:rPr>
        <w:t xml:space="preserve"> separate and independent items </w:t>
      </w:r>
      <w:r w:rsidR="00970DC8" w:rsidRPr="00650894">
        <w:rPr>
          <w:sz w:val="26"/>
          <w:szCs w:val="26"/>
        </w:rPr>
        <w:t xml:space="preserve">listed </w:t>
      </w:r>
      <w:r w:rsidR="00767555" w:rsidRPr="00650894">
        <w:rPr>
          <w:sz w:val="26"/>
          <w:szCs w:val="26"/>
        </w:rPr>
        <w:t xml:space="preserve">in the ICA’s </w:t>
      </w:r>
      <w:r w:rsidR="002F7FED" w:rsidRPr="00650894">
        <w:rPr>
          <w:sz w:val="26"/>
          <w:szCs w:val="26"/>
        </w:rPr>
        <w:t>Pricing Appendix</w:t>
      </w:r>
      <w:r w:rsidR="00767555" w:rsidRPr="00650894">
        <w:rPr>
          <w:sz w:val="26"/>
          <w:szCs w:val="26"/>
        </w:rPr>
        <w:t xml:space="preserve"> and can be billed in conjunction with or independent from transport.  Core Exc. at 19-20.  </w:t>
      </w:r>
    </w:p>
    <w:p w:rsidR="00767555" w:rsidRPr="00650894" w:rsidRDefault="00767555" w:rsidP="00650894">
      <w:pPr>
        <w:spacing w:line="360" w:lineRule="auto"/>
        <w:ind w:firstLine="1440"/>
        <w:contextualSpacing/>
        <w:rPr>
          <w:sz w:val="26"/>
          <w:szCs w:val="26"/>
        </w:rPr>
      </w:pPr>
    </w:p>
    <w:p w:rsidR="00767555" w:rsidRPr="00650894" w:rsidRDefault="00767555" w:rsidP="00650894">
      <w:pPr>
        <w:spacing w:line="360" w:lineRule="auto"/>
        <w:ind w:firstLine="1440"/>
        <w:contextualSpacing/>
        <w:rPr>
          <w:sz w:val="26"/>
          <w:szCs w:val="26"/>
        </w:rPr>
      </w:pPr>
      <w:r w:rsidRPr="00650894">
        <w:rPr>
          <w:sz w:val="26"/>
          <w:szCs w:val="26"/>
        </w:rPr>
        <w:t xml:space="preserve">Core also finds fault with the ALJ’s ruling that </w:t>
      </w:r>
      <w:r w:rsidR="008705E4" w:rsidRPr="00650894">
        <w:rPr>
          <w:sz w:val="26"/>
          <w:szCs w:val="26"/>
        </w:rPr>
        <w:t xml:space="preserve">Verizon PA is absolved from </w:t>
      </w:r>
      <w:r w:rsidR="00C445D5" w:rsidRPr="00650894">
        <w:rPr>
          <w:sz w:val="26"/>
          <w:szCs w:val="26"/>
        </w:rPr>
        <w:t>complying</w:t>
      </w:r>
      <w:r w:rsidR="00A23488" w:rsidRPr="00650894">
        <w:rPr>
          <w:sz w:val="26"/>
          <w:szCs w:val="26"/>
        </w:rPr>
        <w:t xml:space="preserve"> with the terms of the Altoona Amendment</w:t>
      </w:r>
      <w:r w:rsidR="008705E4" w:rsidRPr="00650894">
        <w:rPr>
          <w:sz w:val="26"/>
          <w:szCs w:val="26"/>
        </w:rPr>
        <w:t xml:space="preserve"> </w:t>
      </w:r>
      <w:r w:rsidRPr="00650894">
        <w:rPr>
          <w:sz w:val="26"/>
          <w:szCs w:val="26"/>
        </w:rPr>
        <w:t xml:space="preserve">because Core never </w:t>
      </w:r>
      <w:r w:rsidR="00A26569" w:rsidRPr="00650894">
        <w:rPr>
          <w:sz w:val="26"/>
          <w:szCs w:val="26"/>
        </w:rPr>
        <w:t xml:space="preserve">sought to </w:t>
      </w:r>
      <w:r w:rsidRPr="00650894">
        <w:rPr>
          <w:sz w:val="26"/>
          <w:szCs w:val="26"/>
        </w:rPr>
        <w:t>execute an</w:t>
      </w:r>
      <w:r w:rsidR="00A23488" w:rsidRPr="00650894">
        <w:rPr>
          <w:sz w:val="26"/>
          <w:szCs w:val="26"/>
        </w:rPr>
        <w:t xml:space="preserve"> additional</w:t>
      </w:r>
      <w:r w:rsidRPr="00650894">
        <w:rPr>
          <w:sz w:val="26"/>
          <w:szCs w:val="26"/>
        </w:rPr>
        <w:t xml:space="preserve"> amendment to the ICA </w:t>
      </w:r>
      <w:r w:rsidR="00A26569" w:rsidRPr="00650894">
        <w:rPr>
          <w:sz w:val="26"/>
          <w:szCs w:val="26"/>
        </w:rPr>
        <w:t>to revise the switch location that is stated in</w:t>
      </w:r>
      <w:r w:rsidRPr="00650894">
        <w:rPr>
          <w:sz w:val="26"/>
          <w:szCs w:val="26"/>
        </w:rPr>
        <w:t xml:space="preserve"> Paragrap</w:t>
      </w:r>
      <w:r w:rsidR="008705E4" w:rsidRPr="00650894">
        <w:rPr>
          <w:sz w:val="26"/>
          <w:szCs w:val="26"/>
        </w:rPr>
        <w:t>h 1(a) of the Altoona Amendment</w:t>
      </w:r>
      <w:r w:rsidRPr="00650894">
        <w:rPr>
          <w:sz w:val="26"/>
          <w:szCs w:val="26"/>
        </w:rPr>
        <w:t xml:space="preserve">.  Core reiterates its position that nothing in the Altoona Amendment mandates that Core is to keep its switch in the same location.  Core reasons that </w:t>
      </w:r>
      <w:r w:rsidR="00011036" w:rsidRPr="00650894">
        <w:rPr>
          <w:sz w:val="26"/>
          <w:szCs w:val="26"/>
        </w:rPr>
        <w:t xml:space="preserve">the </w:t>
      </w:r>
      <w:r w:rsidR="00F70C1A" w:rsidRPr="00650894">
        <w:rPr>
          <w:sz w:val="26"/>
          <w:szCs w:val="26"/>
        </w:rPr>
        <w:t xml:space="preserve">Altoona </w:t>
      </w:r>
      <w:r w:rsidR="00011036" w:rsidRPr="00650894">
        <w:rPr>
          <w:sz w:val="26"/>
          <w:szCs w:val="26"/>
        </w:rPr>
        <w:t>Amendment</w:t>
      </w:r>
      <w:r w:rsidRPr="00650894">
        <w:rPr>
          <w:sz w:val="26"/>
          <w:szCs w:val="26"/>
        </w:rPr>
        <w:t xml:space="preserve"> simply states that at the time the </w:t>
      </w:r>
      <w:r w:rsidR="00145013" w:rsidRPr="00650894">
        <w:rPr>
          <w:sz w:val="26"/>
          <w:szCs w:val="26"/>
        </w:rPr>
        <w:t>A</w:t>
      </w:r>
      <w:r w:rsidRPr="00650894">
        <w:rPr>
          <w:sz w:val="26"/>
          <w:szCs w:val="26"/>
        </w:rPr>
        <w:t>mendment was executed, Core’s switch was located at 1215 16</w:t>
      </w:r>
      <w:r w:rsidRPr="00650894">
        <w:rPr>
          <w:sz w:val="26"/>
          <w:szCs w:val="26"/>
          <w:vertAlign w:val="superscript"/>
        </w:rPr>
        <w:t>th</w:t>
      </w:r>
      <w:r w:rsidRPr="00650894">
        <w:rPr>
          <w:sz w:val="26"/>
          <w:szCs w:val="26"/>
        </w:rPr>
        <w:t xml:space="preserve"> Street in Altoona.  Core maintains that no </w:t>
      </w:r>
      <w:r w:rsidR="00A23488" w:rsidRPr="00650894">
        <w:rPr>
          <w:sz w:val="26"/>
          <w:szCs w:val="26"/>
        </w:rPr>
        <w:t xml:space="preserve">additional </w:t>
      </w:r>
      <w:r w:rsidRPr="00650894">
        <w:rPr>
          <w:sz w:val="26"/>
          <w:szCs w:val="26"/>
        </w:rPr>
        <w:t xml:space="preserve">amendment is necessary to change this location.  </w:t>
      </w:r>
      <w:r w:rsidR="00EF4DD4" w:rsidRPr="00650894">
        <w:rPr>
          <w:sz w:val="26"/>
          <w:szCs w:val="26"/>
        </w:rPr>
        <w:t xml:space="preserve">Core further reasons that if it is true that Core’s relocation of its Altoona switch voided the Altoona Amendment, there can be no basis for Verizon PA to argue that the </w:t>
      </w:r>
      <w:r w:rsidR="00796955" w:rsidRPr="00650894">
        <w:rPr>
          <w:sz w:val="26"/>
          <w:szCs w:val="26"/>
        </w:rPr>
        <w:t xml:space="preserve">Altoona </w:t>
      </w:r>
      <w:r w:rsidR="00EF4DD4" w:rsidRPr="00650894">
        <w:rPr>
          <w:sz w:val="26"/>
          <w:szCs w:val="26"/>
        </w:rPr>
        <w:t xml:space="preserve">Amendment applies in order to preclude Core from charging for facilities.  Finally, </w:t>
      </w:r>
      <w:r w:rsidRPr="00650894">
        <w:rPr>
          <w:sz w:val="26"/>
          <w:szCs w:val="26"/>
        </w:rPr>
        <w:t xml:space="preserve">Core points out that while Verizon PA argues that an ICA amendment is necessary with respect to the location of Core’s switch, Verizon PA also </w:t>
      </w:r>
      <w:r w:rsidR="0013139B" w:rsidRPr="00650894">
        <w:rPr>
          <w:sz w:val="26"/>
          <w:szCs w:val="26"/>
        </w:rPr>
        <w:t>claim</w:t>
      </w:r>
      <w:r w:rsidRPr="00650894">
        <w:rPr>
          <w:sz w:val="26"/>
          <w:szCs w:val="26"/>
        </w:rPr>
        <w:t xml:space="preserve">s, </w:t>
      </w:r>
      <w:r w:rsidR="003F45C5" w:rsidRPr="00650894">
        <w:rPr>
          <w:i/>
          <w:sz w:val="26"/>
          <w:szCs w:val="26"/>
        </w:rPr>
        <w:t>sup</w:t>
      </w:r>
      <w:r w:rsidRPr="00650894">
        <w:rPr>
          <w:i/>
          <w:sz w:val="26"/>
          <w:szCs w:val="26"/>
        </w:rPr>
        <w:t>ra,</w:t>
      </w:r>
      <w:r w:rsidRPr="00650894">
        <w:rPr>
          <w:sz w:val="26"/>
          <w:szCs w:val="26"/>
        </w:rPr>
        <w:t xml:space="preserve"> that </w:t>
      </w:r>
      <w:r w:rsidR="00796955" w:rsidRPr="00650894">
        <w:rPr>
          <w:sz w:val="26"/>
          <w:szCs w:val="26"/>
        </w:rPr>
        <w:t xml:space="preserve">no </w:t>
      </w:r>
      <w:r w:rsidR="00E17F45" w:rsidRPr="00650894">
        <w:rPr>
          <w:sz w:val="26"/>
          <w:szCs w:val="26"/>
        </w:rPr>
        <w:t>amendment to the ICA is necessary with regard to the prices listed in</w:t>
      </w:r>
      <w:r w:rsidR="0013139B" w:rsidRPr="00650894">
        <w:rPr>
          <w:sz w:val="26"/>
          <w:szCs w:val="26"/>
        </w:rPr>
        <w:t xml:space="preserve"> the ICA’s Pricing A</w:t>
      </w:r>
      <w:r w:rsidRPr="00650894">
        <w:rPr>
          <w:sz w:val="26"/>
          <w:szCs w:val="26"/>
        </w:rPr>
        <w:t>ppendix.  Core Exc. at 20-21.</w:t>
      </w:r>
    </w:p>
    <w:p w:rsidR="003930DD" w:rsidRPr="00650894" w:rsidRDefault="003930DD" w:rsidP="00650894">
      <w:pPr>
        <w:spacing w:line="360" w:lineRule="auto"/>
        <w:ind w:firstLine="1440"/>
        <w:contextualSpacing/>
        <w:rPr>
          <w:sz w:val="26"/>
          <w:szCs w:val="26"/>
        </w:rPr>
      </w:pPr>
    </w:p>
    <w:p w:rsidR="00E04731" w:rsidRPr="00650894" w:rsidRDefault="00E04731" w:rsidP="00215E2F">
      <w:pPr>
        <w:keepNext/>
        <w:keepLines/>
        <w:spacing w:line="360" w:lineRule="auto"/>
        <w:ind w:left="720"/>
        <w:contextualSpacing/>
        <w:rPr>
          <w:b/>
          <w:sz w:val="26"/>
          <w:szCs w:val="26"/>
        </w:rPr>
      </w:pPr>
      <w:r w:rsidRPr="00650894">
        <w:rPr>
          <w:b/>
          <w:sz w:val="26"/>
          <w:szCs w:val="26"/>
        </w:rPr>
        <w:t>4.</w:t>
      </w:r>
      <w:r w:rsidRPr="00650894">
        <w:rPr>
          <w:b/>
          <w:sz w:val="26"/>
          <w:szCs w:val="26"/>
        </w:rPr>
        <w:tab/>
        <w:t>Verizon PA’s Reply Exceptions</w:t>
      </w:r>
    </w:p>
    <w:p w:rsidR="00E04731" w:rsidRPr="00650894" w:rsidRDefault="00E04731" w:rsidP="00650894">
      <w:pPr>
        <w:keepNext/>
        <w:keepLines/>
        <w:spacing w:line="360" w:lineRule="auto"/>
        <w:ind w:firstLine="1440"/>
        <w:contextualSpacing/>
        <w:rPr>
          <w:sz w:val="26"/>
          <w:szCs w:val="26"/>
        </w:rPr>
      </w:pPr>
    </w:p>
    <w:p w:rsidR="00E04731" w:rsidRPr="00650894" w:rsidRDefault="00BC3BAC" w:rsidP="00650894">
      <w:pPr>
        <w:spacing w:line="360" w:lineRule="auto"/>
        <w:ind w:firstLine="1440"/>
        <w:contextualSpacing/>
        <w:rPr>
          <w:sz w:val="26"/>
          <w:szCs w:val="26"/>
        </w:rPr>
      </w:pPr>
      <w:r w:rsidRPr="00650894">
        <w:rPr>
          <w:sz w:val="26"/>
          <w:szCs w:val="26"/>
        </w:rPr>
        <w:t>Verizon PA opines</w:t>
      </w:r>
      <w:r w:rsidR="00C45B01" w:rsidRPr="00650894">
        <w:rPr>
          <w:sz w:val="26"/>
          <w:szCs w:val="26"/>
        </w:rPr>
        <w:t xml:space="preserve"> that the ALJ correctly rejected Core’s claims for facilities charges related to the Altoona LATA based not only on the plain language of the Altoona Amendment, but also on her broader finding</w:t>
      </w:r>
      <w:r w:rsidRPr="00650894">
        <w:rPr>
          <w:sz w:val="26"/>
          <w:szCs w:val="26"/>
        </w:rPr>
        <w:t xml:space="preserve">, discussed, </w:t>
      </w:r>
      <w:r w:rsidRPr="00650894">
        <w:rPr>
          <w:i/>
          <w:sz w:val="26"/>
          <w:szCs w:val="26"/>
        </w:rPr>
        <w:t>supra,</w:t>
      </w:r>
      <w:r w:rsidR="00C45B01" w:rsidRPr="00650894">
        <w:rPr>
          <w:sz w:val="26"/>
          <w:szCs w:val="26"/>
        </w:rPr>
        <w:t xml:space="preserve"> that the ICA prohibits Core from billing Verizon PA for tandem trunk ports or multiplexing in </w:t>
      </w:r>
      <w:r w:rsidR="00C45B01" w:rsidRPr="00650894">
        <w:rPr>
          <w:i/>
          <w:sz w:val="26"/>
          <w:szCs w:val="26"/>
        </w:rPr>
        <w:t>any</w:t>
      </w:r>
      <w:r w:rsidR="00C45B01" w:rsidRPr="00650894">
        <w:rPr>
          <w:sz w:val="26"/>
          <w:szCs w:val="26"/>
        </w:rPr>
        <w:t xml:space="preserve"> LATA at issue in this proceeding.  Verizon PA reasons that the ALJ </w:t>
      </w:r>
      <w:r w:rsidR="002A3B30" w:rsidRPr="00650894">
        <w:rPr>
          <w:sz w:val="26"/>
          <w:szCs w:val="26"/>
        </w:rPr>
        <w:t xml:space="preserve">explained in </w:t>
      </w:r>
      <w:r w:rsidR="00912EDE" w:rsidRPr="00650894">
        <w:rPr>
          <w:sz w:val="26"/>
          <w:szCs w:val="26"/>
        </w:rPr>
        <w:t>detail</w:t>
      </w:r>
      <w:r w:rsidR="00C45B01" w:rsidRPr="00650894">
        <w:rPr>
          <w:sz w:val="26"/>
          <w:szCs w:val="26"/>
        </w:rPr>
        <w:t xml:space="preserve"> why Paragraphs 1(a) and 1(d) of the Altoona </w:t>
      </w:r>
      <w:r w:rsidR="00986EFF" w:rsidRPr="00650894">
        <w:rPr>
          <w:sz w:val="26"/>
          <w:szCs w:val="26"/>
        </w:rPr>
        <w:t>A</w:t>
      </w:r>
      <w:r w:rsidR="00C45B01" w:rsidRPr="00650894">
        <w:rPr>
          <w:sz w:val="26"/>
          <w:szCs w:val="26"/>
        </w:rPr>
        <w:t xml:space="preserve">mendment, combined with Core’s failure to seek to further amend the ICA when it changed the location of its Altoona switch, invalidate Core’s attempt to bill Verizon PA for facilities charges in the Altoona LATA.  In this regard, Verizon PA notes the ALJ’s citation to Paragraph 1(a) of the Altoona Amendment, and </w:t>
      </w:r>
      <w:r w:rsidR="00A26569" w:rsidRPr="00650894">
        <w:rPr>
          <w:sz w:val="26"/>
          <w:szCs w:val="26"/>
        </w:rPr>
        <w:t>re</w:t>
      </w:r>
      <w:r w:rsidR="00C45B01" w:rsidRPr="00650894">
        <w:rPr>
          <w:sz w:val="26"/>
          <w:szCs w:val="26"/>
        </w:rPr>
        <w:t xml:space="preserve">states </w:t>
      </w:r>
      <w:r w:rsidR="00A26569" w:rsidRPr="00650894">
        <w:rPr>
          <w:sz w:val="26"/>
          <w:szCs w:val="26"/>
        </w:rPr>
        <w:t xml:space="preserve">its position </w:t>
      </w:r>
      <w:r w:rsidR="00C45B01" w:rsidRPr="00650894">
        <w:rPr>
          <w:sz w:val="26"/>
          <w:szCs w:val="26"/>
        </w:rPr>
        <w:t xml:space="preserve">that Core has agreed at Verizon PA’s request that “Verizon </w:t>
      </w:r>
      <w:r w:rsidR="00281D0A" w:rsidRPr="00650894">
        <w:rPr>
          <w:sz w:val="26"/>
          <w:szCs w:val="26"/>
        </w:rPr>
        <w:t xml:space="preserve">[PA] </w:t>
      </w:r>
      <w:r w:rsidR="00C45B01" w:rsidRPr="00650894">
        <w:rPr>
          <w:sz w:val="26"/>
          <w:szCs w:val="26"/>
        </w:rPr>
        <w:t xml:space="preserve">is not responsible for any . . . payment . . . or similar obligations in connection with such arrangements.”  Similarly, Verizon PA argues that Paragraph 1(d) of the Altoona Amendment reinforces </w:t>
      </w:r>
      <w:r w:rsidR="005E4446" w:rsidRPr="00650894">
        <w:rPr>
          <w:sz w:val="26"/>
          <w:szCs w:val="26"/>
        </w:rPr>
        <w:t>the</w:t>
      </w:r>
      <w:r w:rsidR="00C45B01" w:rsidRPr="00650894">
        <w:rPr>
          <w:sz w:val="26"/>
          <w:szCs w:val="26"/>
        </w:rPr>
        <w:t xml:space="preserve"> broad prohibition </w:t>
      </w:r>
      <w:r w:rsidR="00406986" w:rsidRPr="00650894">
        <w:rPr>
          <w:sz w:val="26"/>
          <w:szCs w:val="26"/>
        </w:rPr>
        <w:t xml:space="preserve">set forth </w:t>
      </w:r>
      <w:r w:rsidR="005E4446" w:rsidRPr="00650894">
        <w:rPr>
          <w:sz w:val="26"/>
          <w:szCs w:val="26"/>
        </w:rPr>
        <w:t>in Paragraph 1(a)</w:t>
      </w:r>
      <w:r w:rsidR="00406986" w:rsidRPr="00650894">
        <w:rPr>
          <w:sz w:val="26"/>
          <w:szCs w:val="26"/>
        </w:rPr>
        <w:t>,</w:t>
      </w:r>
      <w:r w:rsidR="002A3B30" w:rsidRPr="00650894">
        <w:rPr>
          <w:sz w:val="26"/>
          <w:szCs w:val="26"/>
        </w:rPr>
        <w:t xml:space="preserve"> which bars</w:t>
      </w:r>
      <w:r w:rsidR="002720B4" w:rsidRPr="00650894">
        <w:rPr>
          <w:sz w:val="26"/>
          <w:szCs w:val="26"/>
        </w:rPr>
        <w:t xml:space="preserve"> Core</w:t>
      </w:r>
      <w:r w:rsidR="00C45B01" w:rsidRPr="00650894">
        <w:rPr>
          <w:sz w:val="26"/>
          <w:szCs w:val="26"/>
        </w:rPr>
        <w:t xml:space="preserve"> </w:t>
      </w:r>
      <w:r w:rsidR="002A3B30" w:rsidRPr="00650894">
        <w:rPr>
          <w:sz w:val="26"/>
          <w:szCs w:val="26"/>
        </w:rPr>
        <w:t xml:space="preserve">from </w:t>
      </w:r>
      <w:r w:rsidR="00C45B01" w:rsidRPr="00650894">
        <w:rPr>
          <w:sz w:val="26"/>
          <w:szCs w:val="26"/>
        </w:rPr>
        <w:t>billing Verizon PA anything in conjunction with the special arrangements provided to Core in Altoona</w:t>
      </w:r>
      <w:r w:rsidR="00406986" w:rsidRPr="00650894">
        <w:rPr>
          <w:sz w:val="26"/>
          <w:szCs w:val="26"/>
        </w:rPr>
        <w:t>,</w:t>
      </w:r>
      <w:r w:rsidR="00C45B01" w:rsidRPr="00650894">
        <w:rPr>
          <w:sz w:val="26"/>
          <w:szCs w:val="26"/>
        </w:rPr>
        <w:t xml:space="preserve"> by confirming that Core’s prohibition against billing Verizon PA in this LATA extends to transport.  Verizon PA </w:t>
      </w:r>
      <w:r w:rsidR="008705E4" w:rsidRPr="00650894">
        <w:rPr>
          <w:sz w:val="26"/>
          <w:szCs w:val="26"/>
        </w:rPr>
        <w:t>reiterates its position</w:t>
      </w:r>
      <w:r w:rsidR="00C45B01" w:rsidRPr="00650894">
        <w:rPr>
          <w:sz w:val="26"/>
          <w:szCs w:val="26"/>
        </w:rPr>
        <w:t xml:space="preserve"> that </w:t>
      </w:r>
      <w:r w:rsidR="00406986" w:rsidRPr="00650894">
        <w:rPr>
          <w:sz w:val="26"/>
          <w:szCs w:val="26"/>
        </w:rPr>
        <w:t>the term “</w:t>
      </w:r>
      <w:r w:rsidR="00C45B01" w:rsidRPr="00650894">
        <w:rPr>
          <w:sz w:val="26"/>
          <w:szCs w:val="26"/>
        </w:rPr>
        <w:t>transport</w:t>
      </w:r>
      <w:r w:rsidR="00406986" w:rsidRPr="00650894">
        <w:rPr>
          <w:sz w:val="26"/>
          <w:szCs w:val="26"/>
        </w:rPr>
        <w:t>”</w:t>
      </w:r>
      <w:r w:rsidR="00C45B01" w:rsidRPr="00650894">
        <w:rPr>
          <w:sz w:val="26"/>
          <w:szCs w:val="26"/>
        </w:rPr>
        <w:t xml:space="preserve"> encompasses both the </w:t>
      </w:r>
      <w:r w:rsidR="007B0E90">
        <w:rPr>
          <w:sz w:val="26"/>
          <w:szCs w:val="26"/>
        </w:rPr>
        <w:t xml:space="preserve">tandem </w:t>
      </w:r>
      <w:r w:rsidR="007B0E90" w:rsidRPr="00650894">
        <w:rPr>
          <w:sz w:val="26"/>
          <w:szCs w:val="26"/>
        </w:rPr>
        <w:t>trunk port</w:t>
      </w:r>
      <w:r w:rsidR="00C45B01" w:rsidRPr="00650894">
        <w:rPr>
          <w:sz w:val="26"/>
          <w:szCs w:val="26"/>
        </w:rPr>
        <w:t xml:space="preserve"> and multiplexing charges Core has attempted to bill it.  Verizon PA </w:t>
      </w:r>
      <w:r w:rsidR="00CF1177" w:rsidRPr="00650894">
        <w:rPr>
          <w:sz w:val="26"/>
          <w:szCs w:val="26"/>
        </w:rPr>
        <w:t>contends</w:t>
      </w:r>
      <w:r w:rsidR="00652691" w:rsidRPr="00650894">
        <w:rPr>
          <w:sz w:val="26"/>
          <w:szCs w:val="26"/>
        </w:rPr>
        <w:t xml:space="preserve"> that “transport” is not defined in </w:t>
      </w:r>
      <w:r w:rsidR="00A23488" w:rsidRPr="00650894">
        <w:rPr>
          <w:sz w:val="26"/>
          <w:szCs w:val="26"/>
        </w:rPr>
        <w:t xml:space="preserve">the </w:t>
      </w:r>
      <w:r w:rsidR="00C45B01" w:rsidRPr="00650894">
        <w:rPr>
          <w:sz w:val="26"/>
          <w:szCs w:val="26"/>
        </w:rPr>
        <w:t xml:space="preserve">Altoona Amendment, </w:t>
      </w:r>
      <w:r w:rsidR="00652691" w:rsidRPr="00650894">
        <w:rPr>
          <w:sz w:val="26"/>
          <w:szCs w:val="26"/>
        </w:rPr>
        <w:t>which</w:t>
      </w:r>
      <w:r w:rsidR="00C45B01" w:rsidRPr="00650894">
        <w:rPr>
          <w:sz w:val="26"/>
          <w:szCs w:val="26"/>
        </w:rPr>
        <w:t xml:space="preserve"> instead uses the broadest possible language to preclude charges levied in connection with such facilities.  Verizon PA further submits that Core’s argument that </w:t>
      </w:r>
      <w:r w:rsidR="007B0E90">
        <w:rPr>
          <w:sz w:val="26"/>
          <w:szCs w:val="26"/>
        </w:rPr>
        <w:t xml:space="preserve">tandem </w:t>
      </w:r>
      <w:r w:rsidR="007B0E90" w:rsidRPr="00650894">
        <w:rPr>
          <w:sz w:val="26"/>
          <w:szCs w:val="26"/>
        </w:rPr>
        <w:t>trunk port</w:t>
      </w:r>
      <w:r w:rsidR="007B0E90">
        <w:rPr>
          <w:sz w:val="26"/>
          <w:szCs w:val="26"/>
        </w:rPr>
        <w:t>s</w:t>
      </w:r>
      <w:r w:rsidR="00C45B01" w:rsidRPr="00650894">
        <w:rPr>
          <w:sz w:val="26"/>
          <w:szCs w:val="26"/>
        </w:rPr>
        <w:t xml:space="preserve"> and multiplexing are “technically not transport” is ultimately not relevant </w:t>
      </w:r>
      <w:r w:rsidR="00767295" w:rsidRPr="00650894">
        <w:rPr>
          <w:sz w:val="26"/>
          <w:szCs w:val="26"/>
        </w:rPr>
        <w:t>because</w:t>
      </w:r>
      <w:r w:rsidR="00C45B01" w:rsidRPr="00650894">
        <w:rPr>
          <w:sz w:val="26"/>
          <w:szCs w:val="26"/>
        </w:rPr>
        <w:t xml:space="preserve"> Paragraph 1(a) of the Altoona amendment bars </w:t>
      </w:r>
      <w:r w:rsidR="00767295" w:rsidRPr="00650894">
        <w:rPr>
          <w:sz w:val="26"/>
          <w:szCs w:val="26"/>
        </w:rPr>
        <w:t>Core from levying any charges upon</w:t>
      </w:r>
      <w:r w:rsidR="00C45B01" w:rsidRPr="00650894">
        <w:rPr>
          <w:sz w:val="26"/>
          <w:szCs w:val="26"/>
        </w:rPr>
        <w:t xml:space="preserve"> Verizon PA in the Altoona LATA.  Verizon </w:t>
      </w:r>
      <w:r w:rsidR="00FB6494">
        <w:rPr>
          <w:sz w:val="26"/>
          <w:szCs w:val="26"/>
        </w:rPr>
        <w:t xml:space="preserve">PA </w:t>
      </w:r>
      <w:r w:rsidR="00C45B01" w:rsidRPr="00650894">
        <w:rPr>
          <w:sz w:val="26"/>
          <w:szCs w:val="26"/>
        </w:rPr>
        <w:t>R.</w:t>
      </w:r>
      <w:r w:rsidR="00FB6494">
        <w:rPr>
          <w:sz w:val="26"/>
          <w:szCs w:val="26"/>
        </w:rPr>
        <w:t> </w:t>
      </w:r>
      <w:r w:rsidR="00C45B01" w:rsidRPr="00650894">
        <w:rPr>
          <w:sz w:val="26"/>
          <w:szCs w:val="26"/>
        </w:rPr>
        <w:t>Exc</w:t>
      </w:r>
      <w:r w:rsidR="003A214C">
        <w:rPr>
          <w:sz w:val="26"/>
          <w:szCs w:val="26"/>
        </w:rPr>
        <w:t>.</w:t>
      </w:r>
      <w:r w:rsidR="00C45B01" w:rsidRPr="00650894">
        <w:rPr>
          <w:sz w:val="26"/>
          <w:szCs w:val="26"/>
        </w:rPr>
        <w:t xml:space="preserve"> at 22-23, n.59. </w:t>
      </w:r>
    </w:p>
    <w:p w:rsidR="00CF1177" w:rsidRPr="00650894" w:rsidRDefault="00CF1177" w:rsidP="00650894">
      <w:pPr>
        <w:spacing w:line="360" w:lineRule="auto"/>
        <w:ind w:firstLine="1440"/>
        <w:contextualSpacing/>
        <w:rPr>
          <w:sz w:val="26"/>
          <w:szCs w:val="26"/>
        </w:rPr>
      </w:pPr>
    </w:p>
    <w:p w:rsidR="00CF1177" w:rsidRPr="00650894" w:rsidRDefault="00CF1177" w:rsidP="00650894">
      <w:pPr>
        <w:spacing w:line="360" w:lineRule="auto"/>
        <w:ind w:firstLine="1440"/>
        <w:contextualSpacing/>
        <w:rPr>
          <w:sz w:val="26"/>
          <w:szCs w:val="26"/>
        </w:rPr>
      </w:pPr>
      <w:r w:rsidRPr="00650894">
        <w:rPr>
          <w:sz w:val="26"/>
          <w:szCs w:val="26"/>
        </w:rPr>
        <w:t xml:space="preserve">Verizon PA also refutes Core’s argument that Verizon PA has taken inconsistent positions </w:t>
      </w:r>
      <w:r w:rsidR="00816932" w:rsidRPr="00650894">
        <w:rPr>
          <w:sz w:val="26"/>
          <w:szCs w:val="26"/>
        </w:rPr>
        <w:t>regarding</w:t>
      </w:r>
      <w:r w:rsidRPr="00650894">
        <w:rPr>
          <w:sz w:val="26"/>
          <w:szCs w:val="26"/>
        </w:rPr>
        <w:t xml:space="preserve"> whether a written amendment is required to modify the terms of the ICA.  </w:t>
      </w:r>
      <w:r w:rsidR="00EE08B1" w:rsidRPr="00650894">
        <w:rPr>
          <w:sz w:val="26"/>
          <w:szCs w:val="26"/>
        </w:rPr>
        <w:t>Namely</w:t>
      </w:r>
      <w:r w:rsidRPr="00650894">
        <w:rPr>
          <w:sz w:val="26"/>
          <w:szCs w:val="26"/>
        </w:rPr>
        <w:t xml:space="preserve">, Verizon PA </w:t>
      </w:r>
      <w:r w:rsidR="0048742B" w:rsidRPr="00650894">
        <w:rPr>
          <w:sz w:val="26"/>
          <w:szCs w:val="26"/>
        </w:rPr>
        <w:t>explains</w:t>
      </w:r>
      <w:r w:rsidRPr="00650894">
        <w:rPr>
          <w:sz w:val="26"/>
          <w:szCs w:val="26"/>
        </w:rPr>
        <w:t xml:space="preserve"> that Core </w:t>
      </w:r>
      <w:r w:rsidR="0048742B" w:rsidRPr="00650894">
        <w:rPr>
          <w:sz w:val="26"/>
          <w:szCs w:val="26"/>
        </w:rPr>
        <w:t>raises this contention</w:t>
      </w:r>
      <w:r w:rsidRPr="00650894">
        <w:rPr>
          <w:sz w:val="26"/>
          <w:szCs w:val="26"/>
        </w:rPr>
        <w:t xml:space="preserve"> in light of Verizon PA’s position, </w:t>
      </w:r>
      <w:r w:rsidRPr="00650894">
        <w:rPr>
          <w:i/>
          <w:sz w:val="26"/>
          <w:szCs w:val="26"/>
        </w:rPr>
        <w:t>supra</w:t>
      </w:r>
      <w:r w:rsidRPr="00650894">
        <w:rPr>
          <w:sz w:val="26"/>
          <w:szCs w:val="26"/>
        </w:rPr>
        <w:t>, regarding the incorporation of the</w:t>
      </w:r>
      <w:r w:rsidR="00A447A0" w:rsidRPr="00650894">
        <w:rPr>
          <w:sz w:val="26"/>
          <w:szCs w:val="26"/>
        </w:rPr>
        <w:t xml:space="preserve"> </w:t>
      </w:r>
      <w:r w:rsidR="00650894" w:rsidRPr="00650894">
        <w:rPr>
          <w:sz w:val="26"/>
          <w:szCs w:val="26"/>
        </w:rPr>
        <w:t xml:space="preserve">rates produced in the </w:t>
      </w:r>
      <w:r w:rsidR="00650894" w:rsidRPr="00650894">
        <w:rPr>
          <w:i/>
          <w:sz w:val="26"/>
          <w:szCs w:val="26"/>
        </w:rPr>
        <w:t>2004 Verizon PA TELRIC Proceeding</w:t>
      </w:r>
      <w:r w:rsidRPr="00650894">
        <w:rPr>
          <w:sz w:val="26"/>
          <w:szCs w:val="26"/>
        </w:rPr>
        <w:t xml:space="preserve"> into the ICA’s </w:t>
      </w:r>
      <w:r w:rsidR="002720B4" w:rsidRPr="00650894">
        <w:rPr>
          <w:sz w:val="26"/>
          <w:szCs w:val="26"/>
        </w:rPr>
        <w:t>Pricing A</w:t>
      </w:r>
      <w:r w:rsidRPr="00650894">
        <w:rPr>
          <w:sz w:val="26"/>
          <w:szCs w:val="26"/>
        </w:rPr>
        <w:t xml:space="preserve">ppendix via </w:t>
      </w:r>
      <w:r w:rsidR="009D5055" w:rsidRPr="00650894">
        <w:rPr>
          <w:sz w:val="26"/>
          <w:szCs w:val="26"/>
        </w:rPr>
        <w:t>F</w:t>
      </w:r>
      <w:r w:rsidRPr="00650894">
        <w:rPr>
          <w:sz w:val="26"/>
          <w:szCs w:val="26"/>
        </w:rPr>
        <w:t xml:space="preserve">ootnote 1 therein.  Verizon </w:t>
      </w:r>
      <w:r w:rsidR="00652691" w:rsidRPr="00650894">
        <w:rPr>
          <w:sz w:val="26"/>
          <w:szCs w:val="26"/>
        </w:rPr>
        <w:t>PA emphasizes</w:t>
      </w:r>
      <w:r w:rsidRPr="00650894">
        <w:rPr>
          <w:sz w:val="26"/>
          <w:szCs w:val="26"/>
        </w:rPr>
        <w:t xml:space="preserve"> that it does not assert that the ICA may be amended without written agreement, but that</w:t>
      </w:r>
      <w:r w:rsidR="002720B4" w:rsidRPr="00650894">
        <w:rPr>
          <w:sz w:val="26"/>
          <w:szCs w:val="26"/>
        </w:rPr>
        <w:t xml:space="preserve"> instead</w:t>
      </w:r>
      <w:r w:rsidRPr="00650894">
        <w:rPr>
          <w:sz w:val="26"/>
          <w:szCs w:val="26"/>
        </w:rPr>
        <w:t xml:space="preserve"> no amendment </w:t>
      </w:r>
      <w:r w:rsidR="00652691" w:rsidRPr="00650894">
        <w:rPr>
          <w:sz w:val="26"/>
          <w:szCs w:val="26"/>
        </w:rPr>
        <w:t xml:space="preserve">to the ICA </w:t>
      </w:r>
      <w:r w:rsidRPr="00650894">
        <w:rPr>
          <w:sz w:val="26"/>
          <w:szCs w:val="26"/>
        </w:rPr>
        <w:t xml:space="preserve">was necessary to incorporate new </w:t>
      </w:r>
      <w:r w:rsidR="0048742B" w:rsidRPr="00650894">
        <w:rPr>
          <w:sz w:val="26"/>
          <w:szCs w:val="26"/>
        </w:rPr>
        <w:t xml:space="preserve">TELRIC </w:t>
      </w:r>
      <w:r w:rsidRPr="00650894">
        <w:rPr>
          <w:sz w:val="26"/>
          <w:szCs w:val="26"/>
        </w:rPr>
        <w:t xml:space="preserve">rates because </w:t>
      </w:r>
      <w:r w:rsidR="00A447A0" w:rsidRPr="00650894">
        <w:rPr>
          <w:sz w:val="26"/>
          <w:szCs w:val="26"/>
        </w:rPr>
        <w:t>Footnote 1</w:t>
      </w:r>
      <w:r w:rsidRPr="00650894">
        <w:rPr>
          <w:sz w:val="26"/>
          <w:szCs w:val="26"/>
        </w:rPr>
        <w:t xml:space="preserve"> is self-executing.  </w:t>
      </w:r>
      <w:r w:rsidR="00816932" w:rsidRPr="00650894">
        <w:rPr>
          <w:sz w:val="26"/>
          <w:szCs w:val="26"/>
        </w:rPr>
        <w:t xml:space="preserve">In contrast, </w:t>
      </w:r>
      <w:r w:rsidRPr="00650894">
        <w:rPr>
          <w:sz w:val="26"/>
          <w:szCs w:val="26"/>
        </w:rPr>
        <w:t>Verizon PA submits that with regard to the Altoona Amendment, the ALJ correctly found that because Core unilaterally changed the location of its Altoona switch without seeking to amend the ICA to account for the switch’s new location, Verizon PA could not be found to be in violation of an obligation to maintain connections to a non-existent Core switch at the former switch location</w:t>
      </w:r>
      <w:r w:rsidR="0048742B" w:rsidRPr="00650894">
        <w:rPr>
          <w:sz w:val="26"/>
          <w:szCs w:val="26"/>
        </w:rPr>
        <w:t>, nor could Core begin to charge Verizon PA for facilities</w:t>
      </w:r>
      <w:r w:rsidR="00A447A0" w:rsidRPr="00650894">
        <w:rPr>
          <w:sz w:val="26"/>
          <w:szCs w:val="26"/>
        </w:rPr>
        <w:t xml:space="preserve"> in this LATA</w:t>
      </w:r>
      <w:r w:rsidR="0048742B" w:rsidRPr="00650894">
        <w:rPr>
          <w:sz w:val="26"/>
          <w:szCs w:val="26"/>
        </w:rPr>
        <w:t xml:space="preserve">.  </w:t>
      </w:r>
      <w:r w:rsidRPr="00650894">
        <w:rPr>
          <w:sz w:val="26"/>
          <w:szCs w:val="26"/>
        </w:rPr>
        <w:t>Verizon PA R. Exc. at 24.</w:t>
      </w:r>
    </w:p>
    <w:p w:rsidR="00E04731" w:rsidRPr="00650894" w:rsidRDefault="00E04731" w:rsidP="00650894">
      <w:pPr>
        <w:spacing w:line="360" w:lineRule="auto"/>
        <w:ind w:firstLine="1440"/>
        <w:contextualSpacing/>
        <w:rPr>
          <w:sz w:val="26"/>
          <w:szCs w:val="26"/>
        </w:rPr>
      </w:pPr>
    </w:p>
    <w:p w:rsidR="00E04731" w:rsidRPr="00650894" w:rsidRDefault="00E04731" w:rsidP="00215E2F">
      <w:pPr>
        <w:keepNext/>
        <w:keepLines/>
        <w:spacing w:line="360" w:lineRule="auto"/>
        <w:ind w:left="720"/>
        <w:contextualSpacing/>
        <w:rPr>
          <w:b/>
          <w:sz w:val="26"/>
          <w:szCs w:val="26"/>
        </w:rPr>
      </w:pPr>
      <w:r w:rsidRPr="00650894">
        <w:rPr>
          <w:b/>
          <w:sz w:val="26"/>
          <w:szCs w:val="26"/>
        </w:rPr>
        <w:t>5.</w:t>
      </w:r>
      <w:r w:rsidRPr="00650894">
        <w:rPr>
          <w:b/>
          <w:sz w:val="26"/>
          <w:szCs w:val="26"/>
        </w:rPr>
        <w:tab/>
        <w:t>Disposition</w:t>
      </w:r>
    </w:p>
    <w:p w:rsidR="00E04731" w:rsidRPr="00650894" w:rsidRDefault="00E04731" w:rsidP="00650894">
      <w:pPr>
        <w:keepNext/>
        <w:keepLines/>
        <w:spacing w:line="360" w:lineRule="auto"/>
        <w:ind w:firstLine="1440"/>
        <w:contextualSpacing/>
        <w:rPr>
          <w:sz w:val="26"/>
          <w:szCs w:val="26"/>
        </w:rPr>
      </w:pPr>
    </w:p>
    <w:p w:rsidR="00652691" w:rsidRPr="00650894" w:rsidRDefault="00FC2FBD" w:rsidP="00650894">
      <w:pPr>
        <w:spacing w:line="360" w:lineRule="auto"/>
        <w:ind w:firstLine="1440"/>
        <w:contextualSpacing/>
        <w:rPr>
          <w:sz w:val="26"/>
          <w:szCs w:val="26"/>
        </w:rPr>
      </w:pPr>
      <w:r w:rsidRPr="00650894">
        <w:rPr>
          <w:sz w:val="26"/>
          <w:szCs w:val="26"/>
        </w:rPr>
        <w:t xml:space="preserve">We have </w:t>
      </w:r>
      <w:r w:rsidR="00521EDB">
        <w:rPr>
          <w:sz w:val="26"/>
          <w:szCs w:val="26"/>
        </w:rPr>
        <w:t xml:space="preserve">previously </w:t>
      </w:r>
      <w:r w:rsidR="00A447A0" w:rsidRPr="00650894">
        <w:rPr>
          <w:sz w:val="26"/>
          <w:szCs w:val="26"/>
        </w:rPr>
        <w:t>determined</w:t>
      </w:r>
      <w:r w:rsidRPr="00650894">
        <w:rPr>
          <w:sz w:val="26"/>
          <w:szCs w:val="26"/>
        </w:rPr>
        <w:t xml:space="preserve"> in this Opinion and Order that because </w:t>
      </w:r>
      <w:r w:rsidRPr="00FB6494">
        <w:rPr>
          <w:sz w:val="26"/>
          <w:szCs w:val="26"/>
        </w:rPr>
        <w:t xml:space="preserve">Verizon PA has self-provisioned </w:t>
      </w:r>
      <w:r w:rsidR="00FB6494" w:rsidRPr="00FB6494">
        <w:rPr>
          <w:sz w:val="26"/>
          <w:szCs w:val="26"/>
        </w:rPr>
        <w:t>the physical telecommunications facilities</w:t>
      </w:r>
      <w:r w:rsidR="00A13D9A" w:rsidRPr="00FB6494">
        <w:rPr>
          <w:sz w:val="26"/>
          <w:szCs w:val="26"/>
        </w:rPr>
        <w:t xml:space="preserve"> </w:t>
      </w:r>
      <w:r w:rsidR="005505DB" w:rsidRPr="00FB6494">
        <w:rPr>
          <w:sz w:val="26"/>
          <w:szCs w:val="26"/>
        </w:rPr>
        <w:t xml:space="preserve">in each of the LATAs </w:t>
      </w:r>
      <w:r w:rsidR="00FB6494" w:rsidRPr="00FB6494">
        <w:rPr>
          <w:sz w:val="26"/>
          <w:szCs w:val="26"/>
        </w:rPr>
        <w:t>in which the Parties interconnect</w:t>
      </w:r>
      <w:r w:rsidRPr="00FB6494">
        <w:rPr>
          <w:sz w:val="26"/>
          <w:szCs w:val="26"/>
        </w:rPr>
        <w:t xml:space="preserve">, Core is barred from billing Verizon PA for such </w:t>
      </w:r>
      <w:r w:rsidR="00A7347E" w:rsidRPr="00FB6494">
        <w:rPr>
          <w:sz w:val="26"/>
          <w:szCs w:val="26"/>
        </w:rPr>
        <w:t xml:space="preserve">facilities. </w:t>
      </w:r>
      <w:r w:rsidR="00FB6494" w:rsidRPr="00FB6494">
        <w:rPr>
          <w:sz w:val="26"/>
          <w:szCs w:val="26"/>
        </w:rPr>
        <w:t xml:space="preserve"> </w:t>
      </w:r>
      <w:r w:rsidR="00281D0A" w:rsidRPr="00FB6494">
        <w:rPr>
          <w:sz w:val="26"/>
          <w:szCs w:val="26"/>
        </w:rPr>
        <w:t>Additionally, we have</w:t>
      </w:r>
      <w:r w:rsidR="00DE29A9" w:rsidRPr="00FB6494">
        <w:rPr>
          <w:sz w:val="26"/>
          <w:szCs w:val="26"/>
        </w:rPr>
        <w:t xml:space="preserve"> </w:t>
      </w:r>
      <w:r w:rsidR="00A447A0" w:rsidRPr="00FB6494">
        <w:rPr>
          <w:sz w:val="26"/>
          <w:szCs w:val="26"/>
        </w:rPr>
        <w:t>concluded</w:t>
      </w:r>
      <w:r w:rsidR="00DE29A9" w:rsidRPr="00FB6494">
        <w:rPr>
          <w:sz w:val="26"/>
          <w:szCs w:val="26"/>
        </w:rPr>
        <w:t xml:space="preserve"> that Core is limited under the ICA to billing Verizon PA solely for reciprocal compensation</w:t>
      </w:r>
      <w:r w:rsidR="00C721E4" w:rsidRPr="00FB6494">
        <w:rPr>
          <w:sz w:val="26"/>
          <w:szCs w:val="26"/>
        </w:rPr>
        <w:t>.</w:t>
      </w:r>
      <w:r w:rsidRPr="00FB6494">
        <w:rPr>
          <w:sz w:val="26"/>
          <w:szCs w:val="26"/>
        </w:rPr>
        <w:t xml:space="preserve">  Nonetheless</w:t>
      </w:r>
      <w:r w:rsidRPr="00650894">
        <w:rPr>
          <w:sz w:val="26"/>
          <w:szCs w:val="26"/>
        </w:rPr>
        <w:t xml:space="preserve">, we shall address the merits of Core’s </w:t>
      </w:r>
      <w:r w:rsidR="00A23488" w:rsidRPr="00650894">
        <w:rPr>
          <w:sz w:val="26"/>
          <w:szCs w:val="26"/>
        </w:rPr>
        <w:t>E</w:t>
      </w:r>
      <w:r w:rsidRPr="00650894">
        <w:rPr>
          <w:sz w:val="26"/>
          <w:szCs w:val="26"/>
        </w:rPr>
        <w:t xml:space="preserve">xceptions as they </w:t>
      </w:r>
      <w:r w:rsidR="00A13D9A" w:rsidRPr="00650894">
        <w:rPr>
          <w:sz w:val="26"/>
          <w:szCs w:val="26"/>
        </w:rPr>
        <w:t xml:space="preserve">specifically </w:t>
      </w:r>
      <w:r w:rsidRPr="00650894">
        <w:rPr>
          <w:sz w:val="26"/>
          <w:szCs w:val="26"/>
        </w:rPr>
        <w:t>relate to the</w:t>
      </w:r>
      <w:r w:rsidR="00073EDD" w:rsidRPr="00650894">
        <w:rPr>
          <w:sz w:val="26"/>
          <w:szCs w:val="26"/>
        </w:rPr>
        <w:t xml:space="preserve"> </w:t>
      </w:r>
      <w:r w:rsidR="00A13D9A" w:rsidRPr="00650894">
        <w:rPr>
          <w:sz w:val="26"/>
          <w:szCs w:val="26"/>
        </w:rPr>
        <w:t>ALJ’s findings regarding the</w:t>
      </w:r>
      <w:r w:rsidRPr="00650894">
        <w:rPr>
          <w:sz w:val="26"/>
          <w:szCs w:val="26"/>
        </w:rPr>
        <w:t xml:space="preserve"> </w:t>
      </w:r>
      <w:r w:rsidR="0021436C" w:rsidRPr="00650894">
        <w:rPr>
          <w:sz w:val="26"/>
          <w:szCs w:val="26"/>
        </w:rPr>
        <w:t>IC</w:t>
      </w:r>
      <w:r w:rsidRPr="00650894">
        <w:rPr>
          <w:sz w:val="26"/>
          <w:szCs w:val="26"/>
        </w:rPr>
        <w:t xml:space="preserve">A’s Altoona Amendment.  </w:t>
      </w:r>
    </w:p>
    <w:p w:rsidR="00652691" w:rsidRPr="00650894" w:rsidRDefault="00652691" w:rsidP="00650894">
      <w:pPr>
        <w:spacing w:line="360" w:lineRule="auto"/>
        <w:ind w:firstLine="1440"/>
        <w:contextualSpacing/>
        <w:rPr>
          <w:sz w:val="26"/>
          <w:szCs w:val="26"/>
        </w:rPr>
      </w:pPr>
    </w:p>
    <w:p w:rsidR="00E04731" w:rsidRPr="00650894" w:rsidRDefault="00786C0C" w:rsidP="00650894">
      <w:pPr>
        <w:spacing w:line="360" w:lineRule="auto"/>
        <w:ind w:firstLine="1440"/>
        <w:contextualSpacing/>
        <w:rPr>
          <w:sz w:val="26"/>
          <w:szCs w:val="26"/>
        </w:rPr>
      </w:pPr>
      <w:r w:rsidRPr="00650894">
        <w:rPr>
          <w:sz w:val="26"/>
          <w:szCs w:val="26"/>
        </w:rPr>
        <w:t>In the record developed in this proceeding, each Party cites to Paragraph 1(d) of the Altoona Amendment, which states, in pertinent part, as follows:</w:t>
      </w:r>
    </w:p>
    <w:p w:rsidR="00786C0C" w:rsidRPr="00650894" w:rsidRDefault="00786C0C" w:rsidP="00650894">
      <w:pPr>
        <w:spacing w:line="360" w:lineRule="auto"/>
        <w:ind w:firstLine="1440"/>
        <w:contextualSpacing/>
        <w:rPr>
          <w:sz w:val="26"/>
          <w:szCs w:val="26"/>
        </w:rPr>
      </w:pPr>
    </w:p>
    <w:p w:rsidR="00786C0C" w:rsidRPr="00650894" w:rsidRDefault="00C63010" w:rsidP="00521EDB">
      <w:pPr>
        <w:ind w:left="1440" w:right="1440"/>
        <w:rPr>
          <w:sz w:val="26"/>
          <w:szCs w:val="26"/>
        </w:rPr>
      </w:pPr>
      <w:r w:rsidRPr="00650894">
        <w:rPr>
          <w:sz w:val="26"/>
          <w:szCs w:val="26"/>
        </w:rPr>
        <w:t xml:space="preserve">Notwithstanding any other provision of this Amendment (or otherwise) and, for the avoidance of any doubt, Core may not assess any charge(s) upon Verizon </w:t>
      </w:r>
      <w:r w:rsidR="00634FF2" w:rsidRPr="00650894">
        <w:rPr>
          <w:sz w:val="26"/>
          <w:szCs w:val="26"/>
        </w:rPr>
        <w:t xml:space="preserve">[PA] </w:t>
      </w:r>
      <w:r w:rsidRPr="00650894">
        <w:rPr>
          <w:sz w:val="26"/>
          <w:szCs w:val="26"/>
        </w:rPr>
        <w:t xml:space="preserve">for the transport of traffic delivered by </w:t>
      </w:r>
      <w:r w:rsidR="00634FF2" w:rsidRPr="00650894">
        <w:rPr>
          <w:sz w:val="26"/>
          <w:szCs w:val="26"/>
        </w:rPr>
        <w:t>Verizon [PA]</w:t>
      </w:r>
      <w:r w:rsidRPr="00650894">
        <w:rPr>
          <w:sz w:val="26"/>
          <w:szCs w:val="26"/>
        </w:rPr>
        <w:t xml:space="preserve"> over the OC-12 loop fiber optic system to Core’s POP (or for the transport of traffic delivered by Core over the OC-12 loop fiber optic system)</w:t>
      </w:r>
    </w:p>
    <w:p w:rsidR="00786C0C" w:rsidRDefault="00786C0C" w:rsidP="00521EDB">
      <w:pPr>
        <w:ind w:firstLine="1440"/>
        <w:rPr>
          <w:sz w:val="26"/>
          <w:szCs w:val="26"/>
        </w:rPr>
      </w:pPr>
    </w:p>
    <w:p w:rsidR="00521EDB" w:rsidRPr="00650894" w:rsidRDefault="00521EDB" w:rsidP="00521EDB">
      <w:pPr>
        <w:ind w:firstLine="1440"/>
        <w:rPr>
          <w:sz w:val="26"/>
          <w:szCs w:val="26"/>
        </w:rPr>
      </w:pPr>
    </w:p>
    <w:p w:rsidR="00652691" w:rsidRPr="00650894" w:rsidRDefault="00786C0C" w:rsidP="00650894">
      <w:pPr>
        <w:spacing w:line="360" w:lineRule="auto"/>
        <w:contextualSpacing/>
        <w:rPr>
          <w:sz w:val="26"/>
          <w:szCs w:val="26"/>
        </w:rPr>
      </w:pPr>
      <w:r w:rsidRPr="00650894">
        <w:rPr>
          <w:sz w:val="26"/>
          <w:szCs w:val="26"/>
        </w:rPr>
        <w:t>As noted above</w:t>
      </w:r>
      <w:r w:rsidR="008A7AE6">
        <w:rPr>
          <w:sz w:val="26"/>
          <w:szCs w:val="26"/>
        </w:rPr>
        <w:t xml:space="preserve">, </w:t>
      </w:r>
      <w:r w:rsidRPr="00650894">
        <w:rPr>
          <w:sz w:val="26"/>
          <w:szCs w:val="26"/>
        </w:rPr>
        <w:t xml:space="preserve">in its Exceptions, </w:t>
      </w:r>
      <w:r w:rsidR="008A7AE6">
        <w:rPr>
          <w:sz w:val="26"/>
          <w:szCs w:val="26"/>
        </w:rPr>
        <w:t xml:space="preserve">Core </w:t>
      </w:r>
      <w:r w:rsidRPr="00650894">
        <w:rPr>
          <w:sz w:val="26"/>
          <w:szCs w:val="26"/>
        </w:rPr>
        <w:t xml:space="preserve">submits that while this clause would clearly bar Core from levying charges for entrance facilities or dedicated transport, Core only billed Verizon </w:t>
      </w:r>
      <w:r w:rsidR="00652691" w:rsidRPr="00650894">
        <w:rPr>
          <w:sz w:val="26"/>
          <w:szCs w:val="26"/>
        </w:rPr>
        <w:t xml:space="preserve">PA </w:t>
      </w:r>
      <w:r w:rsidRPr="00650894">
        <w:rPr>
          <w:sz w:val="26"/>
          <w:szCs w:val="26"/>
        </w:rPr>
        <w:t>for trunk ports and multiplexing in the Altoona LATA.  Core opines that neither of these charges are</w:t>
      </w:r>
      <w:r w:rsidR="00A251A9" w:rsidRPr="00650894">
        <w:rPr>
          <w:sz w:val="26"/>
          <w:szCs w:val="26"/>
        </w:rPr>
        <w:t xml:space="preserve"> classified as</w:t>
      </w:r>
      <w:r w:rsidRPr="00650894">
        <w:rPr>
          <w:sz w:val="26"/>
          <w:szCs w:val="26"/>
        </w:rPr>
        <w:t xml:space="preserve"> </w:t>
      </w:r>
      <w:r w:rsidR="00A251A9" w:rsidRPr="00650894">
        <w:rPr>
          <w:sz w:val="26"/>
          <w:szCs w:val="26"/>
        </w:rPr>
        <w:t>“</w:t>
      </w:r>
      <w:r w:rsidRPr="00650894">
        <w:rPr>
          <w:sz w:val="26"/>
          <w:szCs w:val="26"/>
        </w:rPr>
        <w:t>transport</w:t>
      </w:r>
      <w:r w:rsidR="00A251A9" w:rsidRPr="00650894">
        <w:rPr>
          <w:sz w:val="26"/>
          <w:szCs w:val="26"/>
        </w:rPr>
        <w:t>”</w:t>
      </w:r>
      <w:r w:rsidRPr="00650894">
        <w:rPr>
          <w:sz w:val="26"/>
          <w:szCs w:val="26"/>
        </w:rPr>
        <w:t xml:space="preserve"> as </w:t>
      </w:r>
      <w:r w:rsidR="00A251A9" w:rsidRPr="00650894">
        <w:rPr>
          <w:sz w:val="26"/>
          <w:szCs w:val="26"/>
        </w:rPr>
        <w:t xml:space="preserve">this term is </w:t>
      </w:r>
      <w:r w:rsidRPr="00650894">
        <w:rPr>
          <w:sz w:val="26"/>
          <w:szCs w:val="26"/>
        </w:rPr>
        <w:t xml:space="preserve">used in the above excerpt.  </w:t>
      </w:r>
      <w:r w:rsidR="00234184" w:rsidRPr="00650894">
        <w:rPr>
          <w:sz w:val="26"/>
          <w:szCs w:val="26"/>
        </w:rPr>
        <w:t>Conversely</w:t>
      </w:r>
      <w:r w:rsidRPr="00650894">
        <w:rPr>
          <w:sz w:val="26"/>
          <w:szCs w:val="26"/>
        </w:rPr>
        <w:t xml:space="preserve">, Verizon PA </w:t>
      </w:r>
      <w:r w:rsidR="00652691" w:rsidRPr="00650894">
        <w:rPr>
          <w:sz w:val="26"/>
          <w:szCs w:val="26"/>
        </w:rPr>
        <w:t xml:space="preserve">asserts that </w:t>
      </w:r>
      <w:r w:rsidR="00A251A9" w:rsidRPr="00650894">
        <w:rPr>
          <w:sz w:val="26"/>
          <w:szCs w:val="26"/>
        </w:rPr>
        <w:t>“</w:t>
      </w:r>
      <w:r w:rsidR="00652691" w:rsidRPr="00650894">
        <w:rPr>
          <w:sz w:val="26"/>
          <w:szCs w:val="26"/>
        </w:rPr>
        <w:t>transport</w:t>
      </w:r>
      <w:r w:rsidR="00A251A9" w:rsidRPr="00650894">
        <w:rPr>
          <w:sz w:val="26"/>
          <w:szCs w:val="26"/>
        </w:rPr>
        <w:t>”</w:t>
      </w:r>
      <w:r w:rsidR="00652691" w:rsidRPr="00650894">
        <w:rPr>
          <w:sz w:val="26"/>
          <w:szCs w:val="26"/>
        </w:rPr>
        <w:t xml:space="preserve"> is broadly defined to </w:t>
      </w:r>
      <w:r w:rsidR="00634FF2" w:rsidRPr="00650894">
        <w:rPr>
          <w:sz w:val="26"/>
          <w:szCs w:val="26"/>
        </w:rPr>
        <w:t>include any and all facilities used for the delivery of traffic by Verizon PA to Core</w:t>
      </w:r>
      <w:r w:rsidR="00652691" w:rsidRPr="00650894">
        <w:rPr>
          <w:sz w:val="26"/>
          <w:szCs w:val="26"/>
        </w:rPr>
        <w:t xml:space="preserve">.  </w:t>
      </w:r>
      <w:r w:rsidR="00281D0A" w:rsidRPr="00650894">
        <w:rPr>
          <w:sz w:val="26"/>
          <w:szCs w:val="26"/>
        </w:rPr>
        <w:t>Additionally, as Verizon PA points out</w:t>
      </w:r>
      <w:r w:rsidR="00652691" w:rsidRPr="00650894">
        <w:rPr>
          <w:sz w:val="26"/>
          <w:szCs w:val="26"/>
        </w:rPr>
        <w:t xml:space="preserve">, </w:t>
      </w:r>
      <w:r w:rsidR="000701DF" w:rsidRPr="00650894">
        <w:rPr>
          <w:sz w:val="26"/>
          <w:szCs w:val="26"/>
        </w:rPr>
        <w:t xml:space="preserve">no definition for </w:t>
      </w:r>
      <w:r w:rsidR="00281D0A" w:rsidRPr="00650894">
        <w:rPr>
          <w:sz w:val="26"/>
          <w:szCs w:val="26"/>
        </w:rPr>
        <w:t>“</w:t>
      </w:r>
      <w:r w:rsidR="000701DF" w:rsidRPr="00650894">
        <w:rPr>
          <w:sz w:val="26"/>
          <w:szCs w:val="26"/>
        </w:rPr>
        <w:t>transport</w:t>
      </w:r>
      <w:r w:rsidR="00281D0A" w:rsidRPr="00650894">
        <w:rPr>
          <w:sz w:val="26"/>
          <w:szCs w:val="26"/>
        </w:rPr>
        <w:t>”</w:t>
      </w:r>
      <w:r w:rsidR="000701DF" w:rsidRPr="00650894">
        <w:rPr>
          <w:sz w:val="26"/>
          <w:szCs w:val="26"/>
        </w:rPr>
        <w:t xml:space="preserve"> appears in the Altoona Amendment.  Therefore, </w:t>
      </w:r>
      <w:r w:rsidR="00AC6796" w:rsidRPr="00650894">
        <w:rPr>
          <w:sz w:val="26"/>
          <w:szCs w:val="26"/>
        </w:rPr>
        <w:t xml:space="preserve">we </w:t>
      </w:r>
      <w:r w:rsidR="00634FF2" w:rsidRPr="00650894">
        <w:rPr>
          <w:sz w:val="26"/>
          <w:szCs w:val="26"/>
        </w:rPr>
        <w:t>agree with Core</w:t>
      </w:r>
      <w:r w:rsidR="004B3EEE" w:rsidRPr="00650894">
        <w:rPr>
          <w:sz w:val="26"/>
          <w:szCs w:val="26"/>
        </w:rPr>
        <w:t>’s position</w:t>
      </w:r>
      <w:r w:rsidR="00840308" w:rsidRPr="00650894">
        <w:rPr>
          <w:sz w:val="26"/>
          <w:szCs w:val="26"/>
        </w:rPr>
        <w:t>, in part,</w:t>
      </w:r>
      <w:r w:rsidR="00634FF2" w:rsidRPr="00650894">
        <w:rPr>
          <w:sz w:val="26"/>
          <w:szCs w:val="26"/>
        </w:rPr>
        <w:t xml:space="preserve"> to the extent that we find</w:t>
      </w:r>
      <w:r w:rsidR="00652691" w:rsidRPr="00650894">
        <w:rPr>
          <w:sz w:val="26"/>
          <w:szCs w:val="26"/>
        </w:rPr>
        <w:t xml:space="preserve"> the scope of the term</w:t>
      </w:r>
      <w:r w:rsidR="00AC6796" w:rsidRPr="00650894">
        <w:rPr>
          <w:sz w:val="26"/>
          <w:szCs w:val="26"/>
        </w:rPr>
        <w:t xml:space="preserve"> </w:t>
      </w:r>
      <w:r w:rsidR="00652691" w:rsidRPr="00650894">
        <w:rPr>
          <w:sz w:val="26"/>
          <w:szCs w:val="26"/>
        </w:rPr>
        <w:t>“</w:t>
      </w:r>
      <w:r w:rsidR="00AC6796" w:rsidRPr="00650894">
        <w:rPr>
          <w:sz w:val="26"/>
          <w:szCs w:val="26"/>
        </w:rPr>
        <w:t>transport,</w:t>
      </w:r>
      <w:r w:rsidR="00652691" w:rsidRPr="00650894">
        <w:rPr>
          <w:sz w:val="26"/>
          <w:szCs w:val="26"/>
        </w:rPr>
        <w:t>”</w:t>
      </w:r>
      <w:r w:rsidR="00AC6796" w:rsidRPr="00650894">
        <w:rPr>
          <w:sz w:val="26"/>
          <w:szCs w:val="26"/>
        </w:rPr>
        <w:t xml:space="preserve"> as used in Paragraph 1(d)</w:t>
      </w:r>
      <w:r w:rsidR="00634FF2" w:rsidRPr="00650894">
        <w:rPr>
          <w:sz w:val="26"/>
          <w:szCs w:val="26"/>
        </w:rPr>
        <w:t xml:space="preserve"> of the Altoona Amendment</w:t>
      </w:r>
      <w:r w:rsidR="00AC6796" w:rsidRPr="00650894">
        <w:rPr>
          <w:sz w:val="26"/>
          <w:szCs w:val="26"/>
        </w:rPr>
        <w:t xml:space="preserve">, </w:t>
      </w:r>
      <w:r w:rsidR="00634FF2" w:rsidRPr="00650894">
        <w:rPr>
          <w:sz w:val="26"/>
          <w:szCs w:val="26"/>
        </w:rPr>
        <w:t xml:space="preserve">to be </w:t>
      </w:r>
      <w:r w:rsidR="00AC6796" w:rsidRPr="00650894">
        <w:rPr>
          <w:sz w:val="26"/>
          <w:szCs w:val="26"/>
        </w:rPr>
        <w:t>unclear</w:t>
      </w:r>
      <w:r w:rsidR="008B2562" w:rsidRPr="00650894">
        <w:rPr>
          <w:sz w:val="26"/>
          <w:szCs w:val="26"/>
        </w:rPr>
        <w:t xml:space="preserve">.  </w:t>
      </w:r>
      <w:r w:rsidR="00652691" w:rsidRPr="00650894">
        <w:rPr>
          <w:sz w:val="26"/>
          <w:szCs w:val="26"/>
        </w:rPr>
        <w:t>Because of the ambiguity associated with this term, we shall not rely on Paragraph 1(d) of the Altoona Amendment in reaching a resolution</w:t>
      </w:r>
      <w:r w:rsidR="00281D0A" w:rsidRPr="00650894">
        <w:rPr>
          <w:sz w:val="26"/>
          <w:szCs w:val="26"/>
        </w:rPr>
        <w:t xml:space="preserve"> to this issue</w:t>
      </w:r>
      <w:r w:rsidR="00652691" w:rsidRPr="00650894">
        <w:rPr>
          <w:sz w:val="26"/>
          <w:szCs w:val="26"/>
        </w:rPr>
        <w:t>.</w:t>
      </w:r>
    </w:p>
    <w:p w:rsidR="00652691" w:rsidRPr="00650894" w:rsidRDefault="00652691" w:rsidP="00650894">
      <w:pPr>
        <w:spacing w:line="360" w:lineRule="auto"/>
        <w:contextualSpacing/>
        <w:rPr>
          <w:sz w:val="26"/>
          <w:szCs w:val="26"/>
        </w:rPr>
      </w:pPr>
    </w:p>
    <w:p w:rsidR="00786C0C" w:rsidRPr="00650894" w:rsidRDefault="00652691" w:rsidP="00650894">
      <w:pPr>
        <w:spacing w:line="360" w:lineRule="auto"/>
        <w:ind w:firstLine="1440"/>
        <w:contextualSpacing/>
        <w:rPr>
          <w:sz w:val="26"/>
          <w:szCs w:val="26"/>
        </w:rPr>
      </w:pPr>
      <w:r w:rsidRPr="00650894">
        <w:rPr>
          <w:sz w:val="26"/>
          <w:szCs w:val="26"/>
        </w:rPr>
        <w:t>On the other hand</w:t>
      </w:r>
      <w:r w:rsidR="008B2562" w:rsidRPr="00650894">
        <w:rPr>
          <w:sz w:val="26"/>
          <w:szCs w:val="26"/>
        </w:rPr>
        <w:t xml:space="preserve">, </w:t>
      </w:r>
      <w:r w:rsidR="0095122B" w:rsidRPr="00650894">
        <w:rPr>
          <w:sz w:val="26"/>
          <w:szCs w:val="26"/>
        </w:rPr>
        <w:t xml:space="preserve">we find that Paragraph 1(a) of the Altoona Amendment renders </w:t>
      </w:r>
      <w:r w:rsidR="00281D0A" w:rsidRPr="00650894">
        <w:rPr>
          <w:sz w:val="26"/>
          <w:szCs w:val="26"/>
        </w:rPr>
        <w:t>any</w:t>
      </w:r>
      <w:r w:rsidR="0095122B" w:rsidRPr="00650894">
        <w:rPr>
          <w:sz w:val="26"/>
          <w:szCs w:val="26"/>
        </w:rPr>
        <w:t xml:space="preserve"> ambiguity </w:t>
      </w:r>
      <w:r w:rsidR="00316C69" w:rsidRPr="00650894">
        <w:rPr>
          <w:sz w:val="26"/>
          <w:szCs w:val="26"/>
        </w:rPr>
        <w:t xml:space="preserve">regarding </w:t>
      </w:r>
      <w:r w:rsidR="0095122B" w:rsidRPr="00650894">
        <w:rPr>
          <w:sz w:val="26"/>
          <w:szCs w:val="26"/>
        </w:rPr>
        <w:t xml:space="preserve">the scope of the term “transport” in Paragraph 1(d) moot. </w:t>
      </w:r>
      <w:r w:rsidR="008B2562" w:rsidRPr="00650894">
        <w:rPr>
          <w:sz w:val="26"/>
          <w:szCs w:val="26"/>
        </w:rPr>
        <w:t xml:space="preserve"> </w:t>
      </w:r>
      <w:r w:rsidR="0095122B" w:rsidRPr="00650894">
        <w:rPr>
          <w:sz w:val="26"/>
          <w:szCs w:val="26"/>
        </w:rPr>
        <w:t xml:space="preserve">Specifically, </w:t>
      </w:r>
      <w:r w:rsidR="008B2562" w:rsidRPr="00650894">
        <w:rPr>
          <w:sz w:val="26"/>
          <w:szCs w:val="26"/>
        </w:rPr>
        <w:t>Paragraph 1(a) of the Altoona Amendment states</w:t>
      </w:r>
      <w:r w:rsidR="00073EDD" w:rsidRPr="00650894">
        <w:rPr>
          <w:sz w:val="26"/>
          <w:szCs w:val="26"/>
        </w:rPr>
        <w:t xml:space="preserve"> the following</w:t>
      </w:r>
      <w:r w:rsidR="008B2562" w:rsidRPr="00650894">
        <w:rPr>
          <w:sz w:val="26"/>
          <w:szCs w:val="26"/>
        </w:rPr>
        <w:t>, in pertinent part (emphasis added):</w:t>
      </w:r>
    </w:p>
    <w:p w:rsidR="008B2562" w:rsidRPr="00650894" w:rsidRDefault="008B2562" w:rsidP="00650894">
      <w:pPr>
        <w:spacing w:line="360" w:lineRule="auto"/>
        <w:contextualSpacing/>
        <w:rPr>
          <w:sz w:val="26"/>
          <w:szCs w:val="26"/>
        </w:rPr>
      </w:pPr>
    </w:p>
    <w:p w:rsidR="008B2562" w:rsidRPr="00650894" w:rsidRDefault="008B2562" w:rsidP="00650894">
      <w:pPr>
        <w:ind w:left="1440" w:right="1440"/>
        <w:contextualSpacing/>
        <w:rPr>
          <w:sz w:val="26"/>
          <w:szCs w:val="26"/>
        </w:rPr>
      </w:pPr>
      <w:r w:rsidRPr="00650894">
        <w:rPr>
          <w:sz w:val="26"/>
          <w:szCs w:val="26"/>
        </w:rPr>
        <w:t xml:space="preserve">Core and Verizon </w:t>
      </w:r>
      <w:r w:rsidR="00634FF2" w:rsidRPr="00650894">
        <w:rPr>
          <w:sz w:val="26"/>
          <w:szCs w:val="26"/>
        </w:rPr>
        <w:t xml:space="preserve">[PA] </w:t>
      </w:r>
      <w:r w:rsidRPr="00650894">
        <w:rPr>
          <w:sz w:val="26"/>
          <w:szCs w:val="26"/>
        </w:rPr>
        <w:t xml:space="preserve">will implement initial interconnection trunking (for both </w:t>
      </w:r>
      <w:r w:rsidR="00634FF2" w:rsidRPr="00650894">
        <w:rPr>
          <w:sz w:val="26"/>
          <w:szCs w:val="26"/>
        </w:rPr>
        <w:t>Verizon [PA]</w:t>
      </w:r>
      <w:r w:rsidRPr="00650894">
        <w:rPr>
          <w:sz w:val="26"/>
          <w:szCs w:val="26"/>
        </w:rPr>
        <w:t xml:space="preserve">-originated one-way traffic and Core-originated one-way traffic) in the Altoona LATA using those portions of </w:t>
      </w:r>
      <w:r w:rsidR="00C31426" w:rsidRPr="00650894">
        <w:rPr>
          <w:sz w:val="26"/>
          <w:szCs w:val="26"/>
        </w:rPr>
        <w:t xml:space="preserve">the </w:t>
      </w:r>
      <w:r w:rsidRPr="00650894">
        <w:rPr>
          <w:sz w:val="26"/>
          <w:szCs w:val="26"/>
        </w:rPr>
        <w:t xml:space="preserve">existing OC-12 loop fiber optic system, between </w:t>
      </w:r>
      <w:r w:rsidR="00634FF2" w:rsidRPr="00650894">
        <w:rPr>
          <w:sz w:val="26"/>
          <w:szCs w:val="26"/>
        </w:rPr>
        <w:t>Verizon [PA]</w:t>
      </w:r>
      <w:r w:rsidRPr="00650894">
        <w:rPr>
          <w:sz w:val="26"/>
          <w:szCs w:val="26"/>
        </w:rPr>
        <w:t>’s Altoona central office and the building at 1215 16</w:t>
      </w:r>
      <w:r w:rsidRPr="00650894">
        <w:rPr>
          <w:sz w:val="26"/>
          <w:szCs w:val="26"/>
          <w:vertAlign w:val="superscript"/>
        </w:rPr>
        <w:t>th</w:t>
      </w:r>
      <w:r w:rsidRPr="00650894">
        <w:rPr>
          <w:sz w:val="26"/>
          <w:szCs w:val="26"/>
        </w:rPr>
        <w:t xml:space="preserve"> Street, Altoona Pennsylvania, that are available as of the Effective Date of this Amendment (and that remain available as of the date(s), from time to time, that the Parties interconnect using such available facilities).  </w:t>
      </w:r>
      <w:r w:rsidR="00634FF2" w:rsidRPr="00650894">
        <w:rPr>
          <w:sz w:val="26"/>
          <w:szCs w:val="26"/>
        </w:rPr>
        <w:t>Verizon [PA]</w:t>
      </w:r>
      <w:r w:rsidRPr="00650894">
        <w:rPr>
          <w:sz w:val="26"/>
          <w:szCs w:val="26"/>
        </w:rPr>
        <w:t>’s willingness to enter into the arrangements set forth in this Amendment are premised on a number of factors, including, without limitation, that (i) Core’s switch is located in such building at 1216 16</w:t>
      </w:r>
      <w:r w:rsidRPr="00650894">
        <w:rPr>
          <w:sz w:val="26"/>
          <w:szCs w:val="26"/>
          <w:vertAlign w:val="superscript"/>
        </w:rPr>
        <w:t>th</w:t>
      </w:r>
      <w:r w:rsidRPr="00650894">
        <w:rPr>
          <w:sz w:val="26"/>
          <w:szCs w:val="26"/>
        </w:rPr>
        <w:t xml:space="preserve"> Street, Altoona, Pennsylvania, (ii) Verizon </w:t>
      </w:r>
      <w:r w:rsidR="00634FF2" w:rsidRPr="00650894">
        <w:rPr>
          <w:sz w:val="26"/>
          <w:szCs w:val="26"/>
        </w:rPr>
        <w:t xml:space="preserve">[PA] </w:t>
      </w:r>
      <w:r w:rsidRPr="00650894">
        <w:rPr>
          <w:sz w:val="26"/>
          <w:szCs w:val="26"/>
        </w:rPr>
        <w:t xml:space="preserve">is not building any new loop fiber optic facilities in order to effect interconnection, as contemplated hereby and (iii) as further described herein, </w:t>
      </w:r>
      <w:r w:rsidRPr="00650894">
        <w:rPr>
          <w:b/>
          <w:sz w:val="26"/>
          <w:szCs w:val="26"/>
        </w:rPr>
        <w:t xml:space="preserve">Core has agreed at </w:t>
      </w:r>
      <w:r w:rsidR="00634FF2" w:rsidRPr="00650894">
        <w:rPr>
          <w:b/>
          <w:sz w:val="26"/>
          <w:szCs w:val="26"/>
        </w:rPr>
        <w:t>Verizon PA</w:t>
      </w:r>
      <w:r w:rsidRPr="00650894">
        <w:rPr>
          <w:b/>
          <w:sz w:val="26"/>
          <w:szCs w:val="26"/>
        </w:rPr>
        <w:t xml:space="preserve">’s request that </w:t>
      </w:r>
      <w:r w:rsidR="00634FF2" w:rsidRPr="00650894">
        <w:rPr>
          <w:b/>
          <w:sz w:val="26"/>
          <w:szCs w:val="26"/>
        </w:rPr>
        <w:t>Verizon PA</w:t>
      </w:r>
      <w:r w:rsidRPr="00650894">
        <w:rPr>
          <w:b/>
          <w:sz w:val="26"/>
          <w:szCs w:val="26"/>
        </w:rPr>
        <w:t xml:space="preserve"> is not responsible for any performance metrics reporting, payment, penalty, incentive, or similar obligations in connection with such arrangements.</w:t>
      </w:r>
    </w:p>
    <w:p w:rsidR="008B2562" w:rsidRPr="00650894" w:rsidRDefault="008B2562" w:rsidP="00650894">
      <w:pPr>
        <w:spacing w:line="360" w:lineRule="auto"/>
        <w:contextualSpacing/>
        <w:rPr>
          <w:sz w:val="26"/>
          <w:szCs w:val="26"/>
        </w:rPr>
      </w:pPr>
    </w:p>
    <w:p w:rsidR="004B3EEE" w:rsidRPr="00650894" w:rsidRDefault="00940FE7" w:rsidP="00650894">
      <w:pPr>
        <w:spacing w:line="360" w:lineRule="auto"/>
        <w:contextualSpacing/>
        <w:rPr>
          <w:sz w:val="26"/>
          <w:szCs w:val="26"/>
        </w:rPr>
      </w:pPr>
      <w:r w:rsidRPr="00650894">
        <w:rPr>
          <w:sz w:val="26"/>
          <w:szCs w:val="26"/>
        </w:rPr>
        <w:t xml:space="preserve">In review of the above, we are not persuaded by Core’s contention that </w:t>
      </w:r>
      <w:r w:rsidR="0095122B" w:rsidRPr="00650894">
        <w:rPr>
          <w:sz w:val="26"/>
          <w:szCs w:val="26"/>
        </w:rPr>
        <w:t xml:space="preserve">it is permitted to bill </w:t>
      </w:r>
      <w:r w:rsidRPr="00650894">
        <w:rPr>
          <w:sz w:val="26"/>
          <w:szCs w:val="26"/>
        </w:rPr>
        <w:t xml:space="preserve">Verizon PA for facilities in the Altoona LATA.  We instead concur with both the ALJ and Verizon PA that the </w:t>
      </w:r>
      <w:r w:rsidR="0095122B" w:rsidRPr="00650894">
        <w:rPr>
          <w:sz w:val="26"/>
          <w:szCs w:val="26"/>
        </w:rPr>
        <w:t>pla</w:t>
      </w:r>
      <w:r w:rsidRPr="00650894">
        <w:rPr>
          <w:sz w:val="26"/>
          <w:szCs w:val="26"/>
        </w:rPr>
        <w:t xml:space="preserve">in language of the Altoona Amendment, emphasized, </w:t>
      </w:r>
      <w:r w:rsidRPr="00650894">
        <w:rPr>
          <w:i/>
          <w:sz w:val="26"/>
          <w:szCs w:val="26"/>
        </w:rPr>
        <w:t xml:space="preserve">supra, </w:t>
      </w:r>
      <w:r w:rsidRPr="00650894">
        <w:rPr>
          <w:sz w:val="26"/>
          <w:szCs w:val="26"/>
        </w:rPr>
        <w:t xml:space="preserve">explicitly bars </w:t>
      </w:r>
      <w:r w:rsidR="004B3EEE" w:rsidRPr="00650894">
        <w:rPr>
          <w:sz w:val="26"/>
          <w:szCs w:val="26"/>
        </w:rPr>
        <w:t>Core from levying any charges against Verizon</w:t>
      </w:r>
      <w:r w:rsidRPr="00650894">
        <w:rPr>
          <w:sz w:val="26"/>
          <w:szCs w:val="26"/>
        </w:rPr>
        <w:t xml:space="preserve"> PA in this LATA.</w:t>
      </w:r>
    </w:p>
    <w:p w:rsidR="0095122B" w:rsidRPr="00650894" w:rsidRDefault="0095122B" w:rsidP="00650894">
      <w:pPr>
        <w:spacing w:line="360" w:lineRule="auto"/>
        <w:contextualSpacing/>
        <w:rPr>
          <w:sz w:val="26"/>
          <w:szCs w:val="26"/>
        </w:rPr>
      </w:pPr>
    </w:p>
    <w:p w:rsidR="00631539" w:rsidRPr="00650894" w:rsidRDefault="002D0F5B" w:rsidP="00650894">
      <w:pPr>
        <w:spacing w:line="360" w:lineRule="auto"/>
        <w:ind w:firstLine="1440"/>
        <w:contextualSpacing/>
        <w:rPr>
          <w:sz w:val="26"/>
          <w:szCs w:val="26"/>
        </w:rPr>
      </w:pPr>
      <w:r w:rsidRPr="00650894">
        <w:rPr>
          <w:sz w:val="26"/>
          <w:szCs w:val="26"/>
        </w:rPr>
        <w:t xml:space="preserve">As </w:t>
      </w:r>
      <w:r w:rsidR="0095122B" w:rsidRPr="00650894">
        <w:rPr>
          <w:sz w:val="26"/>
          <w:szCs w:val="26"/>
        </w:rPr>
        <w:t xml:space="preserve">is also </w:t>
      </w:r>
      <w:r w:rsidR="001B5CB0" w:rsidRPr="00650894">
        <w:rPr>
          <w:sz w:val="26"/>
          <w:szCs w:val="26"/>
        </w:rPr>
        <w:t>outline</w:t>
      </w:r>
      <w:r w:rsidRPr="00650894">
        <w:rPr>
          <w:sz w:val="26"/>
          <w:szCs w:val="26"/>
        </w:rPr>
        <w:t xml:space="preserve">d in the </w:t>
      </w:r>
      <w:r w:rsidR="0095122B" w:rsidRPr="00650894">
        <w:rPr>
          <w:sz w:val="26"/>
          <w:szCs w:val="26"/>
        </w:rPr>
        <w:t xml:space="preserve">above </w:t>
      </w:r>
      <w:r w:rsidRPr="00650894">
        <w:rPr>
          <w:sz w:val="26"/>
          <w:szCs w:val="26"/>
        </w:rPr>
        <w:t xml:space="preserve">excerpt of Paragraph 1(a), Verizon PA’s willingness to enter into the interconnection arrangement between the Parties in the Altoona LATA was specifically premised upon, </w:t>
      </w:r>
      <w:r w:rsidRPr="00650894">
        <w:rPr>
          <w:i/>
          <w:sz w:val="26"/>
          <w:szCs w:val="26"/>
        </w:rPr>
        <w:t>inter alia¸</w:t>
      </w:r>
      <w:r w:rsidRPr="00650894">
        <w:rPr>
          <w:sz w:val="26"/>
          <w:szCs w:val="26"/>
        </w:rPr>
        <w:t xml:space="preserve"> the understanding that Core’s switch</w:t>
      </w:r>
      <w:r w:rsidR="002F600E" w:rsidRPr="00650894">
        <w:rPr>
          <w:sz w:val="26"/>
          <w:szCs w:val="26"/>
        </w:rPr>
        <w:t xml:space="preserve"> </w:t>
      </w:r>
      <w:r w:rsidRPr="00650894">
        <w:rPr>
          <w:sz w:val="26"/>
          <w:szCs w:val="26"/>
        </w:rPr>
        <w:t>would be located in the building at 1215 16</w:t>
      </w:r>
      <w:r w:rsidRPr="00650894">
        <w:rPr>
          <w:sz w:val="26"/>
          <w:szCs w:val="26"/>
          <w:vertAlign w:val="superscript"/>
        </w:rPr>
        <w:t>th</w:t>
      </w:r>
      <w:r w:rsidRPr="00650894">
        <w:rPr>
          <w:sz w:val="26"/>
          <w:szCs w:val="26"/>
        </w:rPr>
        <w:t xml:space="preserve"> Street in Altoona, PA.  </w:t>
      </w:r>
      <w:r w:rsidR="00765A50" w:rsidRPr="00650894">
        <w:rPr>
          <w:sz w:val="26"/>
          <w:szCs w:val="26"/>
        </w:rPr>
        <w:t xml:space="preserve">We note that both Parties have acknowledged this.  However, </w:t>
      </w:r>
      <w:r w:rsidR="00116C8C" w:rsidRPr="00650894">
        <w:rPr>
          <w:sz w:val="26"/>
          <w:szCs w:val="26"/>
        </w:rPr>
        <w:t xml:space="preserve">in its Main Briefs, Core appears to argue that because it changed the location of its switch, the terms of the Altoona Amendment are no longer </w:t>
      </w:r>
      <w:r w:rsidR="003A214C" w:rsidRPr="00650894">
        <w:rPr>
          <w:sz w:val="26"/>
          <w:szCs w:val="26"/>
        </w:rPr>
        <w:t>valid,</w:t>
      </w:r>
      <w:r w:rsidR="00116C8C" w:rsidRPr="00650894">
        <w:rPr>
          <w:sz w:val="26"/>
          <w:szCs w:val="26"/>
        </w:rPr>
        <w:t xml:space="preserve"> and </w:t>
      </w:r>
      <w:r w:rsidR="00C10B1A" w:rsidRPr="00650894">
        <w:rPr>
          <w:sz w:val="26"/>
          <w:szCs w:val="26"/>
        </w:rPr>
        <w:t xml:space="preserve">that </w:t>
      </w:r>
      <w:r w:rsidR="00116C8C" w:rsidRPr="00650894">
        <w:rPr>
          <w:sz w:val="26"/>
          <w:szCs w:val="26"/>
        </w:rPr>
        <w:t xml:space="preserve">Verizon PA must now pay the charges Core seeks.  Further, in its Reply Briefs and its Exceptions, Core </w:t>
      </w:r>
      <w:r w:rsidR="0095122B" w:rsidRPr="00650894">
        <w:rPr>
          <w:sz w:val="26"/>
          <w:szCs w:val="26"/>
        </w:rPr>
        <w:t>submits</w:t>
      </w:r>
      <w:r w:rsidR="00116C8C" w:rsidRPr="00650894">
        <w:rPr>
          <w:sz w:val="26"/>
          <w:szCs w:val="26"/>
        </w:rPr>
        <w:t xml:space="preserve"> that the Altoona Amendment merely memorialized that 1215 16</w:t>
      </w:r>
      <w:r w:rsidR="00116C8C" w:rsidRPr="00650894">
        <w:rPr>
          <w:sz w:val="26"/>
          <w:szCs w:val="26"/>
          <w:vertAlign w:val="superscript"/>
        </w:rPr>
        <w:t xml:space="preserve">th </w:t>
      </w:r>
      <w:r w:rsidR="00116C8C" w:rsidRPr="00650894">
        <w:rPr>
          <w:sz w:val="26"/>
          <w:szCs w:val="26"/>
        </w:rPr>
        <w:t xml:space="preserve">Street was the location of Core’s switch at the time the Altoona Amendment was executed.  </w:t>
      </w:r>
      <w:r w:rsidR="00AD5EF8" w:rsidRPr="00650894">
        <w:rPr>
          <w:sz w:val="26"/>
          <w:szCs w:val="26"/>
        </w:rPr>
        <w:t xml:space="preserve">We find no merit in Core’s arguments.  </w:t>
      </w:r>
      <w:r w:rsidR="00636CC5" w:rsidRPr="00650894">
        <w:rPr>
          <w:sz w:val="26"/>
          <w:szCs w:val="26"/>
        </w:rPr>
        <w:t>Notably, t</w:t>
      </w:r>
      <w:r w:rsidR="00AD5EF8" w:rsidRPr="00650894">
        <w:rPr>
          <w:sz w:val="26"/>
          <w:szCs w:val="26"/>
        </w:rPr>
        <w:t>he record indicates that although the Altoona Amendment became effective in January of 2003</w:t>
      </w:r>
      <w:r w:rsidR="00E71770" w:rsidRPr="00650894">
        <w:rPr>
          <w:sz w:val="26"/>
          <w:szCs w:val="26"/>
        </w:rPr>
        <w:t xml:space="preserve"> and that Core did not change the location of its switch until 2007,</w:t>
      </w:r>
      <w:r w:rsidR="00AD5EF8" w:rsidRPr="00650894">
        <w:rPr>
          <w:sz w:val="26"/>
          <w:szCs w:val="26"/>
        </w:rPr>
        <w:t xml:space="preserve"> Core did not begin issuing bills </w:t>
      </w:r>
      <w:r w:rsidR="00636CC5" w:rsidRPr="00650894">
        <w:rPr>
          <w:sz w:val="26"/>
          <w:szCs w:val="26"/>
        </w:rPr>
        <w:t xml:space="preserve">to </w:t>
      </w:r>
      <w:r w:rsidR="00AD5EF8" w:rsidRPr="00650894">
        <w:rPr>
          <w:sz w:val="26"/>
          <w:szCs w:val="26"/>
        </w:rPr>
        <w:t>Verizon PA for any facilities in the Altoona</w:t>
      </w:r>
      <w:r w:rsidR="00636CC5" w:rsidRPr="00650894">
        <w:rPr>
          <w:sz w:val="26"/>
          <w:szCs w:val="26"/>
        </w:rPr>
        <w:t xml:space="preserve"> LATA</w:t>
      </w:r>
      <w:r w:rsidR="00AD5EF8" w:rsidRPr="00650894">
        <w:rPr>
          <w:sz w:val="26"/>
          <w:szCs w:val="26"/>
        </w:rPr>
        <w:t xml:space="preserve"> until 2012.  </w:t>
      </w:r>
      <w:r w:rsidR="00E71770" w:rsidRPr="00650894">
        <w:rPr>
          <w:sz w:val="26"/>
          <w:szCs w:val="26"/>
        </w:rPr>
        <w:t xml:space="preserve">We find that this underscores Verizon PA’s position that the Parties agreed to the Altoona Amendment on the basis that Core’s Altoona switch would </w:t>
      </w:r>
      <w:r w:rsidR="00D44065" w:rsidRPr="00650894">
        <w:rPr>
          <w:sz w:val="26"/>
          <w:szCs w:val="26"/>
        </w:rPr>
        <w:t>be positioned at a concrete location</w:t>
      </w:r>
      <w:r w:rsidR="00E71770" w:rsidRPr="00650894">
        <w:rPr>
          <w:sz w:val="26"/>
          <w:szCs w:val="26"/>
        </w:rPr>
        <w:t xml:space="preserve">.  </w:t>
      </w:r>
      <w:r w:rsidR="00636CC5" w:rsidRPr="00650894">
        <w:rPr>
          <w:sz w:val="26"/>
          <w:szCs w:val="26"/>
        </w:rPr>
        <w:t>Additionally, there is no dispute in the record that Core unilaterally moved</w:t>
      </w:r>
      <w:r w:rsidR="00207731" w:rsidRPr="00650894">
        <w:rPr>
          <w:sz w:val="26"/>
          <w:szCs w:val="26"/>
        </w:rPr>
        <w:t xml:space="preserve"> its switch </w:t>
      </w:r>
      <w:r w:rsidR="00636CC5" w:rsidRPr="00650894">
        <w:rPr>
          <w:sz w:val="26"/>
          <w:szCs w:val="26"/>
        </w:rPr>
        <w:t xml:space="preserve">in </w:t>
      </w:r>
      <w:r w:rsidR="00207731" w:rsidRPr="00650894">
        <w:rPr>
          <w:sz w:val="26"/>
          <w:szCs w:val="26"/>
        </w:rPr>
        <w:t>2007</w:t>
      </w:r>
      <w:r w:rsidR="00636CC5" w:rsidRPr="00650894">
        <w:rPr>
          <w:sz w:val="26"/>
          <w:szCs w:val="26"/>
        </w:rPr>
        <w:t xml:space="preserve">.  </w:t>
      </w:r>
      <w:r w:rsidR="00B602CF" w:rsidRPr="00650894">
        <w:rPr>
          <w:sz w:val="26"/>
          <w:szCs w:val="26"/>
        </w:rPr>
        <w:t xml:space="preserve">Because Core did not </w:t>
      </w:r>
      <w:r w:rsidR="0073713E" w:rsidRPr="00650894">
        <w:rPr>
          <w:sz w:val="26"/>
          <w:szCs w:val="26"/>
        </w:rPr>
        <w:t xml:space="preserve">seek to </w:t>
      </w:r>
      <w:r w:rsidR="00A14886" w:rsidRPr="00650894">
        <w:rPr>
          <w:sz w:val="26"/>
          <w:szCs w:val="26"/>
        </w:rPr>
        <w:t xml:space="preserve">further </w:t>
      </w:r>
      <w:r w:rsidR="0073713E" w:rsidRPr="00650894">
        <w:rPr>
          <w:sz w:val="26"/>
          <w:szCs w:val="26"/>
        </w:rPr>
        <w:t xml:space="preserve">amend the ICA to account for the change in the location of its switch, we concur with both Verizon PA and ALJ Colwell that </w:t>
      </w:r>
      <w:r w:rsidR="00A14886" w:rsidRPr="00650894">
        <w:rPr>
          <w:sz w:val="26"/>
          <w:szCs w:val="26"/>
        </w:rPr>
        <w:t xml:space="preserve">Core </w:t>
      </w:r>
      <w:r w:rsidR="0073713E" w:rsidRPr="00650894">
        <w:rPr>
          <w:sz w:val="26"/>
          <w:szCs w:val="26"/>
        </w:rPr>
        <w:t>can neither claim that its charges to Verizon PA are now valid, nor can it claim that Verizon PA failed to comply with the terms of the Altoona Amendment.</w:t>
      </w:r>
    </w:p>
    <w:p w:rsidR="0073713E" w:rsidRPr="00650894" w:rsidRDefault="0073713E" w:rsidP="00650894">
      <w:pPr>
        <w:spacing w:line="360" w:lineRule="auto"/>
        <w:ind w:firstLine="1440"/>
        <w:contextualSpacing/>
        <w:rPr>
          <w:sz w:val="26"/>
          <w:szCs w:val="26"/>
        </w:rPr>
      </w:pPr>
    </w:p>
    <w:p w:rsidR="00341053" w:rsidRPr="00650894" w:rsidRDefault="008E4492" w:rsidP="00650894">
      <w:pPr>
        <w:spacing w:line="360" w:lineRule="auto"/>
        <w:ind w:firstLine="1440"/>
        <w:contextualSpacing/>
        <w:rPr>
          <w:sz w:val="26"/>
          <w:szCs w:val="26"/>
        </w:rPr>
      </w:pPr>
      <w:r w:rsidRPr="00650894">
        <w:rPr>
          <w:sz w:val="26"/>
          <w:szCs w:val="26"/>
        </w:rPr>
        <w:t>Finally, w</w:t>
      </w:r>
      <w:r w:rsidR="00A14886" w:rsidRPr="00650894">
        <w:rPr>
          <w:sz w:val="26"/>
          <w:szCs w:val="26"/>
        </w:rPr>
        <w:t xml:space="preserve">e </w:t>
      </w:r>
      <w:r w:rsidR="00991AD7" w:rsidRPr="00650894">
        <w:rPr>
          <w:sz w:val="26"/>
          <w:szCs w:val="26"/>
        </w:rPr>
        <w:t>differentiate our finding that Core would need to seek to amend the ICA to account for the change in the location in its switch</w:t>
      </w:r>
      <w:r w:rsidR="00474C7F">
        <w:rPr>
          <w:sz w:val="26"/>
          <w:szCs w:val="26"/>
        </w:rPr>
        <w:t xml:space="preserve"> in Altoona</w:t>
      </w:r>
      <w:r w:rsidR="00991AD7" w:rsidRPr="00650894">
        <w:rPr>
          <w:sz w:val="26"/>
          <w:szCs w:val="26"/>
        </w:rPr>
        <w:t xml:space="preserve"> from our finding elsewhere in this Opinion and Order that no amendment to the ICA </w:t>
      </w:r>
      <w:r w:rsidRPr="00650894">
        <w:rPr>
          <w:sz w:val="26"/>
          <w:szCs w:val="26"/>
        </w:rPr>
        <w:t>was</w:t>
      </w:r>
      <w:r w:rsidR="00991AD7" w:rsidRPr="00650894">
        <w:rPr>
          <w:sz w:val="26"/>
          <w:szCs w:val="26"/>
        </w:rPr>
        <w:t xml:space="preserve"> needed to account for the </w:t>
      </w:r>
      <w:r w:rsidR="00341053" w:rsidRPr="00650894">
        <w:rPr>
          <w:sz w:val="26"/>
          <w:szCs w:val="26"/>
        </w:rPr>
        <w:t xml:space="preserve">change in </w:t>
      </w:r>
      <w:r w:rsidR="00991AD7" w:rsidRPr="00650894">
        <w:rPr>
          <w:sz w:val="26"/>
          <w:szCs w:val="26"/>
        </w:rPr>
        <w:t xml:space="preserve">TELRIC rates.  </w:t>
      </w:r>
      <w:r w:rsidR="00341053" w:rsidRPr="00650894">
        <w:rPr>
          <w:sz w:val="26"/>
          <w:szCs w:val="26"/>
        </w:rPr>
        <w:t xml:space="preserve">As discussed in our combined disposition of Core’s Exception Nos. 2 through 5, </w:t>
      </w:r>
      <w:r w:rsidR="00341053" w:rsidRPr="00650894">
        <w:rPr>
          <w:i/>
          <w:sz w:val="26"/>
          <w:szCs w:val="26"/>
        </w:rPr>
        <w:t>supra,</w:t>
      </w:r>
      <w:r w:rsidR="00341053" w:rsidRPr="00650894">
        <w:rPr>
          <w:sz w:val="26"/>
          <w:szCs w:val="26"/>
        </w:rPr>
        <w:t xml:space="preserve"> and as Verizon PA restates in its reply to Core’s Exception No.</w:t>
      </w:r>
      <w:r w:rsidR="001E7D1D" w:rsidRPr="00650894">
        <w:rPr>
          <w:sz w:val="26"/>
          <w:szCs w:val="26"/>
        </w:rPr>
        <w:t> </w:t>
      </w:r>
      <w:r w:rsidR="00341053" w:rsidRPr="00650894">
        <w:rPr>
          <w:sz w:val="26"/>
          <w:szCs w:val="26"/>
        </w:rPr>
        <w:t xml:space="preserve">6, </w:t>
      </w:r>
      <w:r w:rsidR="00A447A0" w:rsidRPr="00650894">
        <w:rPr>
          <w:sz w:val="26"/>
          <w:szCs w:val="26"/>
        </w:rPr>
        <w:t>F</w:t>
      </w:r>
      <w:r w:rsidR="00341053" w:rsidRPr="00650894">
        <w:rPr>
          <w:sz w:val="26"/>
          <w:szCs w:val="26"/>
        </w:rPr>
        <w:t xml:space="preserve">ootnote 1 to the ICA’s Pricing Appendix automatically incorporated the updated TELRIC rates that stemmed from the </w:t>
      </w:r>
      <w:r w:rsidR="001D346D" w:rsidRPr="00650894">
        <w:rPr>
          <w:i/>
          <w:sz w:val="26"/>
          <w:szCs w:val="26"/>
        </w:rPr>
        <w:t xml:space="preserve">2004 </w:t>
      </w:r>
      <w:r w:rsidR="00177311" w:rsidRPr="00650894">
        <w:rPr>
          <w:i/>
          <w:sz w:val="26"/>
          <w:szCs w:val="26"/>
        </w:rPr>
        <w:t>Verizon PA</w:t>
      </w:r>
      <w:r w:rsidR="001D346D" w:rsidRPr="00650894">
        <w:rPr>
          <w:i/>
          <w:sz w:val="26"/>
          <w:szCs w:val="26"/>
        </w:rPr>
        <w:t xml:space="preserve"> TELRIC Proceeding</w:t>
      </w:r>
      <w:r w:rsidR="00341053" w:rsidRPr="00650894">
        <w:rPr>
          <w:sz w:val="26"/>
          <w:szCs w:val="26"/>
        </w:rPr>
        <w:t xml:space="preserve">.  In contrast, the </w:t>
      </w:r>
      <w:r w:rsidR="00AA4F87" w:rsidRPr="00650894">
        <w:rPr>
          <w:sz w:val="26"/>
          <w:szCs w:val="26"/>
        </w:rPr>
        <w:t xml:space="preserve">specific terms of the </w:t>
      </w:r>
      <w:r w:rsidR="00341053" w:rsidRPr="00650894">
        <w:rPr>
          <w:sz w:val="26"/>
          <w:szCs w:val="26"/>
        </w:rPr>
        <w:t xml:space="preserve">Altoona Amendment </w:t>
      </w:r>
      <w:r w:rsidR="00AA4F87" w:rsidRPr="00650894">
        <w:rPr>
          <w:sz w:val="26"/>
          <w:szCs w:val="26"/>
        </w:rPr>
        <w:t>contemplate that Core’s switch is located at 1215 16</w:t>
      </w:r>
      <w:r w:rsidR="00AA4F87" w:rsidRPr="00650894">
        <w:rPr>
          <w:sz w:val="26"/>
          <w:szCs w:val="26"/>
          <w:vertAlign w:val="superscript"/>
        </w:rPr>
        <w:t>th</w:t>
      </w:r>
      <w:r w:rsidR="00AA4F87" w:rsidRPr="00650894">
        <w:rPr>
          <w:sz w:val="26"/>
          <w:szCs w:val="26"/>
        </w:rPr>
        <w:t xml:space="preserve"> Street in Altoona.  Therefore, to modify these terms, Core would need to seek to amend the ICA in accordance with </w:t>
      </w:r>
      <w:r w:rsidR="001D346D" w:rsidRPr="00650894">
        <w:rPr>
          <w:sz w:val="26"/>
          <w:szCs w:val="26"/>
        </w:rPr>
        <w:t>Part A, Sections 36 and Section 39 of the ICA, which specifies that the terms and provisions of the ICA may be amended only when such an amendment is in writing, dated, and signed by both Parties.</w:t>
      </w:r>
      <w:r w:rsidR="00AA4F87" w:rsidRPr="00650894">
        <w:rPr>
          <w:sz w:val="26"/>
          <w:szCs w:val="26"/>
        </w:rPr>
        <w:t xml:space="preserve">  Accordingly</w:t>
      </w:r>
      <w:r w:rsidR="00341053" w:rsidRPr="00650894">
        <w:rPr>
          <w:sz w:val="26"/>
          <w:szCs w:val="26"/>
        </w:rPr>
        <w:t xml:space="preserve">, we disagree with Core’s contention that Verizon PA has taken inconsistent positions </w:t>
      </w:r>
      <w:r w:rsidR="00E01175" w:rsidRPr="00650894">
        <w:rPr>
          <w:sz w:val="26"/>
          <w:szCs w:val="26"/>
        </w:rPr>
        <w:t>regarding</w:t>
      </w:r>
      <w:r w:rsidR="00341053" w:rsidRPr="00650894">
        <w:rPr>
          <w:sz w:val="26"/>
          <w:szCs w:val="26"/>
        </w:rPr>
        <w:t xml:space="preserve"> whether a written amendment is required to modify the ICA.</w:t>
      </w:r>
    </w:p>
    <w:p w:rsidR="00631539" w:rsidRPr="00650894" w:rsidRDefault="00631539" w:rsidP="00650894">
      <w:pPr>
        <w:spacing w:line="360" w:lineRule="auto"/>
        <w:ind w:firstLine="1440"/>
        <w:contextualSpacing/>
        <w:rPr>
          <w:sz w:val="26"/>
          <w:szCs w:val="26"/>
        </w:rPr>
      </w:pPr>
    </w:p>
    <w:p w:rsidR="00940FE7" w:rsidRPr="00650894" w:rsidRDefault="000F518B" w:rsidP="00650894">
      <w:pPr>
        <w:spacing w:line="360" w:lineRule="auto"/>
        <w:ind w:firstLine="1440"/>
        <w:contextualSpacing/>
        <w:rPr>
          <w:sz w:val="26"/>
          <w:szCs w:val="26"/>
        </w:rPr>
      </w:pPr>
      <w:r w:rsidRPr="00650894">
        <w:rPr>
          <w:sz w:val="26"/>
          <w:szCs w:val="26"/>
        </w:rPr>
        <w:t>For the forgoing reasons</w:t>
      </w:r>
      <w:r w:rsidR="00940FE7" w:rsidRPr="00650894">
        <w:rPr>
          <w:sz w:val="26"/>
          <w:szCs w:val="26"/>
        </w:rPr>
        <w:t xml:space="preserve">, </w:t>
      </w:r>
      <w:r w:rsidR="00623507">
        <w:rPr>
          <w:sz w:val="26"/>
          <w:szCs w:val="26"/>
        </w:rPr>
        <w:t>Core’s Exception No. 6</w:t>
      </w:r>
      <w:r w:rsidRPr="00650894">
        <w:rPr>
          <w:sz w:val="26"/>
          <w:szCs w:val="26"/>
        </w:rPr>
        <w:t xml:space="preserve"> is denied</w:t>
      </w:r>
      <w:r w:rsidR="00940FE7" w:rsidRPr="00650894">
        <w:rPr>
          <w:sz w:val="26"/>
          <w:szCs w:val="26"/>
        </w:rPr>
        <w:t>.</w:t>
      </w:r>
    </w:p>
    <w:p w:rsidR="009F1CD4" w:rsidRPr="00650894" w:rsidRDefault="009F1CD4" w:rsidP="00650894">
      <w:pPr>
        <w:spacing w:line="360" w:lineRule="auto"/>
        <w:contextualSpacing/>
        <w:rPr>
          <w:b/>
          <w:sz w:val="26"/>
          <w:szCs w:val="26"/>
        </w:rPr>
      </w:pPr>
    </w:p>
    <w:p w:rsidR="00C031D9" w:rsidRPr="00650894" w:rsidRDefault="0048700B" w:rsidP="00124761">
      <w:pPr>
        <w:keepNext/>
        <w:keepLines/>
        <w:spacing w:line="360" w:lineRule="auto"/>
        <w:contextualSpacing/>
        <w:jc w:val="center"/>
        <w:rPr>
          <w:b/>
          <w:sz w:val="26"/>
          <w:szCs w:val="26"/>
        </w:rPr>
      </w:pPr>
      <w:r w:rsidRPr="00650894">
        <w:rPr>
          <w:b/>
          <w:sz w:val="26"/>
          <w:szCs w:val="26"/>
        </w:rPr>
        <w:t>V.</w:t>
      </w:r>
      <w:r w:rsidRPr="00650894">
        <w:rPr>
          <w:b/>
          <w:sz w:val="26"/>
          <w:szCs w:val="26"/>
        </w:rPr>
        <w:tab/>
        <w:t>Conclusion</w:t>
      </w:r>
    </w:p>
    <w:p w:rsidR="000C70C3" w:rsidRPr="00650894" w:rsidRDefault="000C70C3" w:rsidP="00124761">
      <w:pPr>
        <w:keepNext/>
        <w:keepLines/>
        <w:spacing w:line="360" w:lineRule="auto"/>
        <w:contextualSpacing/>
        <w:jc w:val="center"/>
        <w:rPr>
          <w:sz w:val="26"/>
          <w:szCs w:val="26"/>
        </w:rPr>
      </w:pPr>
    </w:p>
    <w:p w:rsidR="009B3900" w:rsidRDefault="00723EBC" w:rsidP="00650894">
      <w:pPr>
        <w:spacing w:line="360" w:lineRule="auto"/>
        <w:ind w:firstLine="1440"/>
        <w:contextualSpacing/>
        <w:rPr>
          <w:b/>
          <w:sz w:val="26"/>
          <w:szCs w:val="26"/>
        </w:rPr>
      </w:pPr>
      <w:r w:rsidRPr="00650894">
        <w:rPr>
          <w:sz w:val="26"/>
          <w:szCs w:val="26"/>
        </w:rPr>
        <w:t xml:space="preserve">Based upon the record developed in this proceeding, </w:t>
      </w:r>
      <w:r w:rsidR="009645E1">
        <w:rPr>
          <w:sz w:val="26"/>
          <w:szCs w:val="26"/>
        </w:rPr>
        <w:t>we conclude that Core has failed to meet its burden of proving its claims against Verizon PA.  As such, we</w:t>
      </w:r>
      <w:r w:rsidRPr="00650894">
        <w:rPr>
          <w:sz w:val="26"/>
          <w:szCs w:val="26"/>
        </w:rPr>
        <w:t xml:space="preserve"> shall </w:t>
      </w:r>
      <w:r w:rsidR="00650894">
        <w:rPr>
          <w:sz w:val="26"/>
          <w:szCs w:val="26"/>
        </w:rPr>
        <w:t xml:space="preserve">deny Core’s </w:t>
      </w:r>
      <w:r w:rsidR="009645E1">
        <w:rPr>
          <w:sz w:val="26"/>
          <w:szCs w:val="26"/>
        </w:rPr>
        <w:t>E</w:t>
      </w:r>
      <w:r w:rsidR="00650894">
        <w:rPr>
          <w:sz w:val="26"/>
          <w:szCs w:val="26"/>
        </w:rPr>
        <w:t xml:space="preserve">xceptions and </w:t>
      </w:r>
      <w:r w:rsidR="00BC1A02">
        <w:rPr>
          <w:sz w:val="26"/>
          <w:szCs w:val="26"/>
        </w:rPr>
        <w:t xml:space="preserve">adopt </w:t>
      </w:r>
      <w:r w:rsidR="009645E1">
        <w:rPr>
          <w:sz w:val="26"/>
          <w:szCs w:val="26"/>
        </w:rPr>
        <w:t>ALJ Colwell’s Initial Decision</w:t>
      </w:r>
      <w:r w:rsidR="00124761">
        <w:rPr>
          <w:sz w:val="26"/>
          <w:szCs w:val="26"/>
        </w:rPr>
        <w:t>, consistent with this Opinion and Order</w:t>
      </w:r>
      <w:r w:rsidRPr="00650894">
        <w:rPr>
          <w:sz w:val="26"/>
          <w:szCs w:val="26"/>
        </w:rPr>
        <w:t xml:space="preserve">; </w:t>
      </w:r>
      <w:r w:rsidRPr="00650894">
        <w:rPr>
          <w:b/>
          <w:sz w:val="26"/>
          <w:szCs w:val="26"/>
        </w:rPr>
        <w:t>THEREFORE,</w:t>
      </w:r>
    </w:p>
    <w:p w:rsidR="00752F74" w:rsidRPr="00650894" w:rsidRDefault="00752F74" w:rsidP="00650894">
      <w:pPr>
        <w:pStyle w:val="Heading1"/>
        <w:contextualSpacing/>
        <w:jc w:val="center"/>
        <w:rPr>
          <w:rFonts w:ascii="Times New Roman" w:hAnsi="Times New Roman" w:cs="Times New Roman"/>
          <w:color w:val="auto"/>
          <w:sz w:val="26"/>
          <w:szCs w:val="26"/>
        </w:rPr>
      </w:pPr>
      <w:bookmarkStart w:id="49" w:name="_Toc343872774"/>
      <w:bookmarkStart w:id="50" w:name="_Toc370818474"/>
      <w:r w:rsidRPr="00650894">
        <w:rPr>
          <w:rFonts w:ascii="Times New Roman" w:hAnsi="Times New Roman" w:cs="Times New Roman"/>
          <w:color w:val="auto"/>
          <w:sz w:val="26"/>
          <w:szCs w:val="26"/>
        </w:rPr>
        <w:t>VI.</w:t>
      </w:r>
      <w:r w:rsidRPr="00650894">
        <w:rPr>
          <w:rFonts w:ascii="Times New Roman" w:hAnsi="Times New Roman" w:cs="Times New Roman"/>
          <w:color w:val="auto"/>
          <w:sz w:val="26"/>
          <w:szCs w:val="26"/>
        </w:rPr>
        <w:tab/>
        <w:t xml:space="preserve"> </w:t>
      </w:r>
      <w:bookmarkEnd w:id="49"/>
      <w:bookmarkEnd w:id="50"/>
      <w:r w:rsidR="00FD614D">
        <w:rPr>
          <w:rFonts w:ascii="Times New Roman" w:hAnsi="Times New Roman" w:cs="Times New Roman"/>
          <w:color w:val="auto"/>
          <w:sz w:val="26"/>
          <w:szCs w:val="26"/>
        </w:rPr>
        <w:t>Order</w:t>
      </w:r>
    </w:p>
    <w:p w:rsidR="00752F74" w:rsidRPr="00650894" w:rsidRDefault="00752F74" w:rsidP="00650894">
      <w:pPr>
        <w:keepNext/>
        <w:keepLines/>
        <w:spacing w:line="360" w:lineRule="auto"/>
        <w:contextualSpacing/>
        <w:jc w:val="center"/>
        <w:rPr>
          <w:sz w:val="26"/>
          <w:szCs w:val="26"/>
        </w:rPr>
      </w:pPr>
    </w:p>
    <w:p w:rsidR="00752F74" w:rsidRPr="00650894" w:rsidRDefault="00752F74" w:rsidP="00650894">
      <w:pPr>
        <w:keepLines/>
        <w:spacing w:line="360" w:lineRule="auto"/>
        <w:contextualSpacing/>
        <w:rPr>
          <w:sz w:val="26"/>
          <w:szCs w:val="26"/>
        </w:rPr>
      </w:pPr>
    </w:p>
    <w:p w:rsidR="00C031D9" w:rsidRPr="00650894" w:rsidRDefault="00C031D9" w:rsidP="00650894">
      <w:pPr>
        <w:keepLines/>
        <w:spacing w:line="360" w:lineRule="auto"/>
        <w:contextualSpacing/>
        <w:rPr>
          <w:b/>
          <w:sz w:val="26"/>
          <w:szCs w:val="26"/>
        </w:rPr>
      </w:pPr>
      <w:r w:rsidRPr="00650894">
        <w:rPr>
          <w:b/>
          <w:sz w:val="26"/>
          <w:szCs w:val="26"/>
        </w:rPr>
        <w:t>IT IS ORDERED:</w:t>
      </w:r>
    </w:p>
    <w:p w:rsidR="00C031D9" w:rsidRPr="00650894" w:rsidRDefault="00C031D9" w:rsidP="00650894">
      <w:pPr>
        <w:keepLines/>
        <w:spacing w:line="360" w:lineRule="auto"/>
        <w:contextualSpacing/>
        <w:rPr>
          <w:sz w:val="26"/>
          <w:szCs w:val="26"/>
        </w:rPr>
      </w:pPr>
    </w:p>
    <w:p w:rsidR="00C031D9" w:rsidRPr="00650894" w:rsidRDefault="00C031D9" w:rsidP="00650894">
      <w:pPr>
        <w:spacing w:line="360" w:lineRule="auto"/>
        <w:contextualSpacing/>
        <w:rPr>
          <w:sz w:val="26"/>
          <w:szCs w:val="26"/>
        </w:rPr>
      </w:pPr>
      <w:r w:rsidRPr="00650894">
        <w:rPr>
          <w:sz w:val="26"/>
          <w:szCs w:val="26"/>
        </w:rPr>
        <w:tab/>
      </w:r>
      <w:r w:rsidRPr="00650894">
        <w:rPr>
          <w:sz w:val="26"/>
          <w:szCs w:val="26"/>
        </w:rPr>
        <w:tab/>
        <w:t>1.</w:t>
      </w:r>
      <w:r w:rsidRPr="00650894">
        <w:rPr>
          <w:sz w:val="26"/>
          <w:szCs w:val="26"/>
        </w:rPr>
        <w:tab/>
        <w:t>That the Exceptions of Core Communications, Inc.</w:t>
      </w:r>
      <w:r w:rsidR="006C3BF4" w:rsidRPr="00650894">
        <w:rPr>
          <w:sz w:val="26"/>
          <w:szCs w:val="26"/>
        </w:rPr>
        <w:t xml:space="preserve">, filed on </w:t>
      </w:r>
      <w:r w:rsidR="00650894">
        <w:rPr>
          <w:sz w:val="26"/>
          <w:szCs w:val="26"/>
        </w:rPr>
        <w:t>April</w:t>
      </w:r>
      <w:r w:rsidR="00124761">
        <w:rPr>
          <w:sz w:val="26"/>
          <w:szCs w:val="26"/>
        </w:rPr>
        <w:t> </w:t>
      </w:r>
      <w:r w:rsidR="00650894">
        <w:rPr>
          <w:sz w:val="26"/>
          <w:szCs w:val="26"/>
        </w:rPr>
        <w:t>23, 2015</w:t>
      </w:r>
      <w:r w:rsidR="004D4EEA" w:rsidRPr="00650894">
        <w:rPr>
          <w:sz w:val="26"/>
          <w:szCs w:val="26"/>
        </w:rPr>
        <w:t>,</w:t>
      </w:r>
      <w:r w:rsidRPr="00650894">
        <w:rPr>
          <w:sz w:val="26"/>
          <w:szCs w:val="26"/>
        </w:rPr>
        <w:t xml:space="preserve"> are </w:t>
      </w:r>
      <w:r w:rsidR="00650894">
        <w:rPr>
          <w:sz w:val="26"/>
          <w:szCs w:val="26"/>
        </w:rPr>
        <w:t>denied</w:t>
      </w:r>
      <w:r w:rsidRPr="00650894">
        <w:rPr>
          <w:sz w:val="26"/>
          <w:szCs w:val="26"/>
        </w:rPr>
        <w:t>.</w:t>
      </w:r>
    </w:p>
    <w:p w:rsidR="00C031D9" w:rsidRPr="00650894" w:rsidRDefault="00C031D9" w:rsidP="00650894">
      <w:pPr>
        <w:spacing w:line="360" w:lineRule="auto"/>
        <w:contextualSpacing/>
        <w:rPr>
          <w:sz w:val="26"/>
          <w:szCs w:val="26"/>
        </w:rPr>
      </w:pPr>
    </w:p>
    <w:p w:rsidR="00C031D9" w:rsidRPr="00650894" w:rsidRDefault="00C031D9" w:rsidP="00650894">
      <w:pPr>
        <w:tabs>
          <w:tab w:val="left" w:pos="-720"/>
          <w:tab w:val="left" w:pos="0"/>
        </w:tabs>
        <w:suppressAutoHyphens/>
        <w:spacing w:line="360" w:lineRule="auto"/>
        <w:contextualSpacing/>
        <w:rPr>
          <w:sz w:val="26"/>
          <w:szCs w:val="26"/>
        </w:rPr>
      </w:pPr>
      <w:r w:rsidRPr="00650894">
        <w:rPr>
          <w:sz w:val="26"/>
          <w:szCs w:val="26"/>
        </w:rPr>
        <w:tab/>
      </w:r>
      <w:r w:rsidRPr="00650894">
        <w:rPr>
          <w:sz w:val="26"/>
          <w:szCs w:val="26"/>
        </w:rPr>
        <w:tab/>
        <w:t>2.</w:t>
      </w:r>
      <w:r w:rsidRPr="00650894">
        <w:rPr>
          <w:sz w:val="26"/>
          <w:szCs w:val="26"/>
        </w:rPr>
        <w:tab/>
        <w:t xml:space="preserve">That the Initial Decision of Administrative Law Judge </w:t>
      </w:r>
      <w:r w:rsidR="006C3BF4" w:rsidRPr="00650894">
        <w:rPr>
          <w:sz w:val="26"/>
          <w:szCs w:val="26"/>
        </w:rPr>
        <w:t>Susan D. </w:t>
      </w:r>
      <w:r w:rsidR="00116A14" w:rsidRPr="00650894">
        <w:rPr>
          <w:sz w:val="26"/>
          <w:szCs w:val="26"/>
        </w:rPr>
        <w:t>Colwell</w:t>
      </w:r>
      <w:r w:rsidRPr="00650894">
        <w:rPr>
          <w:sz w:val="26"/>
          <w:szCs w:val="26"/>
        </w:rPr>
        <w:t xml:space="preserve">, issued </w:t>
      </w:r>
      <w:r w:rsidR="00116A14" w:rsidRPr="00650894">
        <w:rPr>
          <w:sz w:val="26"/>
          <w:szCs w:val="26"/>
        </w:rPr>
        <w:t xml:space="preserve">on </w:t>
      </w:r>
      <w:r w:rsidR="00650894">
        <w:rPr>
          <w:sz w:val="26"/>
          <w:szCs w:val="26"/>
        </w:rPr>
        <w:t>April 3,2015</w:t>
      </w:r>
      <w:r w:rsidRPr="00650894">
        <w:rPr>
          <w:sz w:val="26"/>
          <w:szCs w:val="26"/>
        </w:rPr>
        <w:t xml:space="preserve">, is </w:t>
      </w:r>
      <w:r w:rsidR="00650894">
        <w:rPr>
          <w:sz w:val="26"/>
          <w:szCs w:val="26"/>
        </w:rPr>
        <w:t>adopted</w:t>
      </w:r>
      <w:r w:rsidR="000223CC" w:rsidRPr="00650894">
        <w:rPr>
          <w:sz w:val="26"/>
          <w:szCs w:val="26"/>
        </w:rPr>
        <w:t>,</w:t>
      </w:r>
      <w:r w:rsidRPr="00650894">
        <w:rPr>
          <w:sz w:val="26"/>
          <w:szCs w:val="26"/>
        </w:rPr>
        <w:t xml:space="preserve"> consistent with this Opinion and Order.</w:t>
      </w:r>
    </w:p>
    <w:p w:rsidR="00710523" w:rsidRPr="00650894" w:rsidRDefault="00710523" w:rsidP="00650894">
      <w:pPr>
        <w:spacing w:line="360" w:lineRule="auto"/>
        <w:contextualSpacing/>
        <w:rPr>
          <w:sz w:val="26"/>
          <w:szCs w:val="26"/>
        </w:rPr>
      </w:pPr>
    </w:p>
    <w:p w:rsidR="009645E1" w:rsidRDefault="00710523" w:rsidP="00650894">
      <w:pPr>
        <w:spacing w:line="360" w:lineRule="auto"/>
        <w:contextualSpacing/>
        <w:rPr>
          <w:sz w:val="26"/>
          <w:szCs w:val="26"/>
        </w:rPr>
      </w:pPr>
      <w:r w:rsidRPr="00650894">
        <w:rPr>
          <w:sz w:val="26"/>
          <w:szCs w:val="26"/>
        </w:rPr>
        <w:tab/>
      </w:r>
      <w:r w:rsidRPr="00650894">
        <w:rPr>
          <w:sz w:val="26"/>
          <w:szCs w:val="26"/>
        </w:rPr>
        <w:tab/>
      </w:r>
      <w:r w:rsidR="00650894">
        <w:rPr>
          <w:sz w:val="26"/>
          <w:szCs w:val="26"/>
        </w:rPr>
        <w:t>3.</w:t>
      </w:r>
      <w:r w:rsidR="00650894">
        <w:rPr>
          <w:sz w:val="26"/>
          <w:szCs w:val="26"/>
        </w:rPr>
        <w:tab/>
      </w:r>
      <w:r w:rsidR="009645E1">
        <w:rPr>
          <w:sz w:val="26"/>
          <w:szCs w:val="26"/>
        </w:rPr>
        <w:t>That the Formal Complaint filed by Core Communications Inc. against Verizon Pennsylvania LLC at Docket No. C-2014-2406550 is dismissed, consistent with this Opinion and Order</w:t>
      </w:r>
    </w:p>
    <w:p w:rsidR="009645E1" w:rsidRDefault="009645E1" w:rsidP="00650894">
      <w:pPr>
        <w:spacing w:line="360" w:lineRule="auto"/>
        <w:contextualSpacing/>
        <w:rPr>
          <w:sz w:val="26"/>
          <w:szCs w:val="26"/>
        </w:rPr>
      </w:pPr>
    </w:p>
    <w:p w:rsidR="001426A0" w:rsidRDefault="009645E1" w:rsidP="00650894">
      <w:pPr>
        <w:spacing w:line="360" w:lineRule="auto"/>
        <w:contextualSpacing/>
        <w:rPr>
          <w:sz w:val="26"/>
          <w:szCs w:val="26"/>
        </w:rPr>
      </w:pPr>
      <w:r>
        <w:rPr>
          <w:sz w:val="26"/>
          <w:szCs w:val="26"/>
        </w:rPr>
        <w:tab/>
      </w:r>
      <w:r>
        <w:rPr>
          <w:sz w:val="26"/>
          <w:szCs w:val="26"/>
        </w:rPr>
        <w:tab/>
        <w:t>4.</w:t>
      </w:r>
      <w:r>
        <w:rPr>
          <w:sz w:val="26"/>
          <w:szCs w:val="26"/>
        </w:rPr>
        <w:tab/>
      </w:r>
      <w:r w:rsidR="00650894">
        <w:rPr>
          <w:sz w:val="26"/>
          <w:szCs w:val="26"/>
        </w:rPr>
        <w:t>That Core Communications, Inc. shall cease and desist from issuing unauthorized facilities bills to Verizon Pennsylvania, LLC, consistent with this Opinion and Order.</w:t>
      </w:r>
    </w:p>
    <w:p w:rsidR="00650894" w:rsidRDefault="00650894" w:rsidP="00650894">
      <w:pPr>
        <w:spacing w:line="360" w:lineRule="auto"/>
        <w:contextualSpacing/>
        <w:rPr>
          <w:sz w:val="26"/>
          <w:szCs w:val="26"/>
        </w:rPr>
      </w:pPr>
    </w:p>
    <w:p w:rsidR="00650894" w:rsidRPr="00650894" w:rsidRDefault="00650894" w:rsidP="00650894">
      <w:pPr>
        <w:keepNext/>
        <w:keepLines/>
        <w:spacing w:line="360" w:lineRule="auto"/>
        <w:contextualSpacing/>
        <w:rPr>
          <w:sz w:val="26"/>
          <w:szCs w:val="26"/>
        </w:rPr>
      </w:pPr>
      <w:r>
        <w:rPr>
          <w:sz w:val="26"/>
          <w:szCs w:val="26"/>
        </w:rPr>
        <w:tab/>
      </w:r>
      <w:r>
        <w:rPr>
          <w:sz w:val="26"/>
          <w:szCs w:val="26"/>
        </w:rPr>
        <w:tab/>
      </w:r>
      <w:r w:rsidR="009645E1">
        <w:rPr>
          <w:sz w:val="26"/>
          <w:szCs w:val="26"/>
        </w:rPr>
        <w:t>5</w:t>
      </w:r>
      <w:r>
        <w:rPr>
          <w:sz w:val="26"/>
          <w:szCs w:val="26"/>
        </w:rPr>
        <w:t>.</w:t>
      </w:r>
      <w:r>
        <w:rPr>
          <w:sz w:val="26"/>
          <w:szCs w:val="26"/>
        </w:rPr>
        <w:tab/>
        <w:t>That the Secretary’s Bureau mark this case closed.</w:t>
      </w:r>
    </w:p>
    <w:p w:rsidR="00C031D9" w:rsidRPr="00650894" w:rsidRDefault="00C031D9" w:rsidP="00650894">
      <w:pPr>
        <w:keepNext/>
        <w:keepLines/>
        <w:spacing w:line="360" w:lineRule="auto"/>
        <w:contextualSpacing/>
        <w:rPr>
          <w:sz w:val="26"/>
          <w:szCs w:val="26"/>
        </w:rPr>
      </w:pPr>
      <w:r w:rsidRPr="00650894">
        <w:rPr>
          <w:sz w:val="26"/>
          <w:szCs w:val="26"/>
        </w:rPr>
        <w:tab/>
      </w:r>
    </w:p>
    <w:p w:rsidR="00C031D9" w:rsidRPr="00650894" w:rsidRDefault="00C031D9" w:rsidP="00650894">
      <w:pPr>
        <w:keepNext/>
        <w:keepLines/>
        <w:spacing w:line="360" w:lineRule="auto"/>
        <w:contextualSpacing/>
        <w:rPr>
          <w:sz w:val="26"/>
          <w:szCs w:val="26"/>
        </w:rPr>
      </w:pPr>
    </w:p>
    <w:p w:rsidR="00C031D9" w:rsidRPr="00650894" w:rsidRDefault="00FC5DEA" w:rsidP="00650894">
      <w:pPr>
        <w:keepNext/>
        <w:keepLines/>
        <w:tabs>
          <w:tab w:val="left" w:pos="-720"/>
        </w:tabs>
        <w:suppressAutoHyphens/>
        <w:contextualSpacing/>
        <w:rPr>
          <w:sz w:val="26"/>
          <w:szCs w:val="26"/>
        </w:rPr>
      </w:pPr>
      <w:r w:rsidRPr="009F01BA">
        <w:rPr>
          <w:b/>
          <w:noProof/>
          <w:sz w:val="20"/>
          <w:szCs w:val="20"/>
        </w:rPr>
        <w:drawing>
          <wp:anchor distT="0" distB="0" distL="114300" distR="114300" simplePos="0" relativeHeight="251659264" behindDoc="1" locked="0" layoutInCell="1" allowOverlap="1" wp14:anchorId="32E58949" wp14:editId="2AD07DAD">
            <wp:simplePos x="0" y="0"/>
            <wp:positionH relativeFrom="column">
              <wp:posOffset>2838450</wp:posOffset>
            </wp:positionH>
            <wp:positionV relativeFrom="paragraph">
              <wp:posOffset>122555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031D9" w:rsidRPr="00650894">
        <w:rPr>
          <w:sz w:val="26"/>
          <w:szCs w:val="26"/>
        </w:rPr>
        <w:tab/>
      </w:r>
      <w:r w:rsidR="00C031D9" w:rsidRPr="00650894">
        <w:rPr>
          <w:sz w:val="26"/>
          <w:szCs w:val="26"/>
        </w:rPr>
        <w:tab/>
      </w:r>
      <w:r w:rsidR="00C031D9" w:rsidRPr="00650894">
        <w:rPr>
          <w:sz w:val="26"/>
          <w:szCs w:val="26"/>
        </w:rPr>
        <w:tab/>
      </w:r>
      <w:r w:rsidR="00C031D9" w:rsidRPr="00650894">
        <w:rPr>
          <w:sz w:val="26"/>
          <w:szCs w:val="26"/>
        </w:rPr>
        <w:tab/>
      </w:r>
      <w:r w:rsidR="00C031D9" w:rsidRPr="00650894">
        <w:rPr>
          <w:sz w:val="26"/>
          <w:szCs w:val="26"/>
        </w:rPr>
        <w:tab/>
      </w:r>
      <w:r w:rsidR="00C031D9" w:rsidRPr="00650894">
        <w:rPr>
          <w:sz w:val="26"/>
          <w:szCs w:val="26"/>
        </w:rPr>
        <w:tab/>
      </w:r>
      <w:r w:rsidR="00C031D9" w:rsidRPr="00650894">
        <w:rPr>
          <w:sz w:val="26"/>
          <w:szCs w:val="26"/>
        </w:rPr>
        <w:tab/>
      </w:r>
      <w:r w:rsidR="00C031D9" w:rsidRPr="00650894">
        <w:rPr>
          <w:b/>
          <w:sz w:val="26"/>
          <w:szCs w:val="26"/>
        </w:rPr>
        <w:t>BY THE COMMISSION,</w:t>
      </w:r>
    </w:p>
    <w:p w:rsidR="00C031D9" w:rsidRPr="00650894" w:rsidRDefault="00C031D9" w:rsidP="00650894">
      <w:pPr>
        <w:keepNext/>
        <w:keepLines/>
        <w:tabs>
          <w:tab w:val="left" w:pos="-720"/>
        </w:tabs>
        <w:suppressAutoHyphens/>
        <w:contextualSpacing/>
        <w:rPr>
          <w:sz w:val="26"/>
          <w:szCs w:val="26"/>
        </w:rPr>
      </w:pPr>
    </w:p>
    <w:p w:rsidR="00C031D9" w:rsidRPr="00650894" w:rsidRDefault="00C031D9" w:rsidP="00650894">
      <w:pPr>
        <w:keepNext/>
        <w:keepLines/>
        <w:tabs>
          <w:tab w:val="left" w:pos="-720"/>
        </w:tabs>
        <w:suppressAutoHyphens/>
        <w:contextualSpacing/>
        <w:rPr>
          <w:sz w:val="26"/>
          <w:szCs w:val="26"/>
        </w:rPr>
      </w:pPr>
    </w:p>
    <w:p w:rsidR="00C031D9" w:rsidRPr="00650894" w:rsidRDefault="00C031D9" w:rsidP="00650894">
      <w:pPr>
        <w:keepNext/>
        <w:keepLines/>
        <w:tabs>
          <w:tab w:val="left" w:pos="-720"/>
        </w:tabs>
        <w:suppressAutoHyphens/>
        <w:contextualSpacing/>
        <w:rPr>
          <w:sz w:val="26"/>
          <w:szCs w:val="26"/>
        </w:rPr>
      </w:pPr>
    </w:p>
    <w:p w:rsidR="00C031D9" w:rsidRPr="00650894" w:rsidRDefault="00C031D9" w:rsidP="00650894">
      <w:pPr>
        <w:keepNext/>
        <w:keepLines/>
        <w:tabs>
          <w:tab w:val="left" w:pos="-720"/>
        </w:tabs>
        <w:suppressAutoHyphens/>
        <w:contextualSpacing/>
        <w:rPr>
          <w:sz w:val="26"/>
          <w:szCs w:val="26"/>
        </w:rPr>
      </w:pPr>
    </w:p>
    <w:p w:rsidR="00C031D9" w:rsidRPr="00650894" w:rsidRDefault="00C031D9" w:rsidP="00650894">
      <w:pPr>
        <w:keepNext/>
        <w:keepLines/>
        <w:tabs>
          <w:tab w:val="left" w:pos="-720"/>
        </w:tabs>
        <w:suppressAutoHyphens/>
        <w:contextualSpacing/>
        <w:rPr>
          <w:sz w:val="26"/>
          <w:szCs w:val="26"/>
        </w:rPr>
      </w:pPr>
      <w:r w:rsidRPr="00650894">
        <w:rPr>
          <w:sz w:val="26"/>
          <w:szCs w:val="26"/>
        </w:rPr>
        <w:tab/>
      </w:r>
      <w:r w:rsidRPr="00650894">
        <w:rPr>
          <w:sz w:val="26"/>
          <w:szCs w:val="26"/>
        </w:rPr>
        <w:tab/>
      </w:r>
      <w:r w:rsidRPr="00650894">
        <w:rPr>
          <w:sz w:val="26"/>
          <w:szCs w:val="26"/>
        </w:rPr>
        <w:tab/>
      </w:r>
      <w:r w:rsidRPr="00650894">
        <w:rPr>
          <w:sz w:val="26"/>
          <w:szCs w:val="26"/>
        </w:rPr>
        <w:tab/>
      </w:r>
      <w:r w:rsidRPr="00650894">
        <w:rPr>
          <w:sz w:val="26"/>
          <w:szCs w:val="26"/>
        </w:rPr>
        <w:tab/>
      </w:r>
      <w:r w:rsidRPr="00650894">
        <w:rPr>
          <w:sz w:val="26"/>
          <w:szCs w:val="26"/>
        </w:rPr>
        <w:tab/>
      </w:r>
      <w:r w:rsidRPr="00650894">
        <w:rPr>
          <w:sz w:val="26"/>
          <w:szCs w:val="26"/>
        </w:rPr>
        <w:tab/>
        <w:t>Rosemary Chiavetta</w:t>
      </w:r>
    </w:p>
    <w:p w:rsidR="00C031D9" w:rsidRPr="00650894" w:rsidRDefault="00C031D9" w:rsidP="00650894">
      <w:pPr>
        <w:keepNext/>
        <w:keepLines/>
        <w:tabs>
          <w:tab w:val="left" w:pos="-720"/>
        </w:tabs>
        <w:suppressAutoHyphens/>
        <w:contextualSpacing/>
        <w:rPr>
          <w:sz w:val="26"/>
          <w:szCs w:val="26"/>
        </w:rPr>
      </w:pPr>
      <w:r w:rsidRPr="00650894">
        <w:rPr>
          <w:sz w:val="26"/>
          <w:szCs w:val="26"/>
        </w:rPr>
        <w:tab/>
      </w:r>
      <w:r w:rsidRPr="00650894">
        <w:rPr>
          <w:sz w:val="26"/>
          <w:szCs w:val="26"/>
        </w:rPr>
        <w:tab/>
      </w:r>
      <w:r w:rsidRPr="00650894">
        <w:rPr>
          <w:sz w:val="26"/>
          <w:szCs w:val="26"/>
        </w:rPr>
        <w:tab/>
      </w:r>
      <w:r w:rsidRPr="00650894">
        <w:rPr>
          <w:sz w:val="26"/>
          <w:szCs w:val="26"/>
        </w:rPr>
        <w:tab/>
      </w:r>
      <w:r w:rsidRPr="00650894">
        <w:rPr>
          <w:sz w:val="26"/>
          <w:szCs w:val="26"/>
        </w:rPr>
        <w:tab/>
      </w:r>
      <w:r w:rsidRPr="00650894">
        <w:rPr>
          <w:sz w:val="26"/>
          <w:szCs w:val="26"/>
        </w:rPr>
        <w:tab/>
      </w:r>
      <w:r w:rsidRPr="00650894">
        <w:rPr>
          <w:sz w:val="26"/>
          <w:szCs w:val="26"/>
        </w:rPr>
        <w:tab/>
        <w:t>Secretary</w:t>
      </w:r>
    </w:p>
    <w:p w:rsidR="00C031D9" w:rsidRPr="00650894" w:rsidRDefault="00C031D9" w:rsidP="00650894">
      <w:pPr>
        <w:keepNext/>
        <w:keepLines/>
        <w:tabs>
          <w:tab w:val="left" w:pos="-720"/>
        </w:tabs>
        <w:suppressAutoHyphens/>
        <w:contextualSpacing/>
        <w:rPr>
          <w:sz w:val="26"/>
          <w:szCs w:val="26"/>
        </w:rPr>
      </w:pPr>
    </w:p>
    <w:p w:rsidR="00C031D9" w:rsidRPr="00650894" w:rsidRDefault="00C031D9" w:rsidP="00650894">
      <w:pPr>
        <w:keepNext/>
        <w:keepLines/>
        <w:tabs>
          <w:tab w:val="left" w:pos="-720"/>
        </w:tabs>
        <w:suppressAutoHyphens/>
        <w:contextualSpacing/>
        <w:rPr>
          <w:sz w:val="26"/>
          <w:szCs w:val="26"/>
        </w:rPr>
      </w:pPr>
      <w:r w:rsidRPr="00650894">
        <w:rPr>
          <w:sz w:val="26"/>
          <w:szCs w:val="26"/>
        </w:rPr>
        <w:t>(SEAL)</w:t>
      </w:r>
    </w:p>
    <w:p w:rsidR="00C031D9" w:rsidRPr="00650894" w:rsidRDefault="00C031D9" w:rsidP="00650894">
      <w:pPr>
        <w:keepNext/>
        <w:keepLines/>
        <w:tabs>
          <w:tab w:val="left" w:pos="-720"/>
        </w:tabs>
        <w:suppressAutoHyphens/>
        <w:contextualSpacing/>
        <w:rPr>
          <w:sz w:val="26"/>
          <w:szCs w:val="26"/>
        </w:rPr>
      </w:pPr>
    </w:p>
    <w:p w:rsidR="00C031D9" w:rsidRPr="00650894" w:rsidRDefault="00C031D9" w:rsidP="00650894">
      <w:pPr>
        <w:keepNext/>
        <w:keepLines/>
        <w:tabs>
          <w:tab w:val="left" w:pos="-720"/>
        </w:tabs>
        <w:suppressAutoHyphens/>
        <w:contextualSpacing/>
        <w:rPr>
          <w:sz w:val="26"/>
          <w:szCs w:val="26"/>
        </w:rPr>
      </w:pPr>
      <w:r w:rsidRPr="00650894">
        <w:rPr>
          <w:sz w:val="26"/>
          <w:szCs w:val="26"/>
        </w:rPr>
        <w:t xml:space="preserve">ORDER ADOPTED:  </w:t>
      </w:r>
      <w:r w:rsidR="00D7057A">
        <w:rPr>
          <w:sz w:val="26"/>
          <w:szCs w:val="26"/>
        </w:rPr>
        <w:t>October</w:t>
      </w:r>
      <w:r w:rsidR="00A068E1">
        <w:rPr>
          <w:sz w:val="26"/>
          <w:szCs w:val="26"/>
        </w:rPr>
        <w:t xml:space="preserve"> </w:t>
      </w:r>
      <w:r w:rsidR="00D7057A">
        <w:rPr>
          <w:sz w:val="26"/>
          <w:szCs w:val="26"/>
        </w:rPr>
        <w:t>4</w:t>
      </w:r>
      <w:r w:rsidR="00501622" w:rsidRPr="00650894">
        <w:rPr>
          <w:sz w:val="26"/>
          <w:szCs w:val="26"/>
        </w:rPr>
        <w:t>, 2018</w:t>
      </w:r>
    </w:p>
    <w:p w:rsidR="00C031D9" w:rsidRPr="00650894" w:rsidRDefault="00C031D9" w:rsidP="00650894">
      <w:pPr>
        <w:keepNext/>
        <w:keepLines/>
        <w:tabs>
          <w:tab w:val="left" w:pos="-720"/>
        </w:tabs>
        <w:suppressAutoHyphens/>
        <w:contextualSpacing/>
        <w:rPr>
          <w:sz w:val="26"/>
          <w:szCs w:val="26"/>
        </w:rPr>
      </w:pPr>
    </w:p>
    <w:p w:rsidR="000573F4" w:rsidRPr="00D32A43" w:rsidRDefault="00C031D9" w:rsidP="00650894">
      <w:pPr>
        <w:keepNext/>
        <w:keepLines/>
        <w:tabs>
          <w:tab w:val="left" w:pos="-720"/>
        </w:tabs>
        <w:suppressAutoHyphens/>
        <w:contextualSpacing/>
        <w:rPr>
          <w:b/>
          <w:sz w:val="26"/>
          <w:szCs w:val="26"/>
        </w:rPr>
      </w:pPr>
      <w:r w:rsidRPr="00650894">
        <w:rPr>
          <w:sz w:val="26"/>
          <w:szCs w:val="26"/>
        </w:rPr>
        <w:t>ORDER ENTERED:</w:t>
      </w:r>
      <w:r w:rsidRPr="00D32A43">
        <w:rPr>
          <w:sz w:val="26"/>
          <w:szCs w:val="26"/>
        </w:rPr>
        <w:t xml:space="preserve"> </w:t>
      </w:r>
      <w:r w:rsidR="009D569A" w:rsidRPr="00D32A43">
        <w:rPr>
          <w:sz w:val="26"/>
          <w:szCs w:val="26"/>
        </w:rPr>
        <w:t xml:space="preserve"> </w:t>
      </w:r>
      <w:r w:rsidR="00FC5DEA">
        <w:rPr>
          <w:sz w:val="26"/>
          <w:szCs w:val="26"/>
        </w:rPr>
        <w:t>October 4, 2018</w:t>
      </w:r>
    </w:p>
    <w:sectPr w:rsidR="000573F4" w:rsidRPr="00D32A43"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A0B" w:rsidRDefault="002A2A0B">
      <w:r>
        <w:separator/>
      </w:r>
    </w:p>
  </w:endnote>
  <w:endnote w:type="continuationSeparator" w:id="0">
    <w:p w:rsidR="002A2A0B" w:rsidRDefault="002A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DEA" w:rsidRDefault="00FC5DEA"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5DEA" w:rsidRDefault="00FC5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DEA" w:rsidRDefault="00FC5DEA"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rsidR="00FC5DEA" w:rsidRDefault="00FC5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A0B" w:rsidRDefault="002A2A0B">
      <w:r>
        <w:separator/>
      </w:r>
    </w:p>
  </w:footnote>
  <w:footnote w:type="continuationSeparator" w:id="0">
    <w:p w:rsidR="002A2A0B" w:rsidRDefault="002A2A0B">
      <w:r>
        <w:continuationSeparator/>
      </w:r>
    </w:p>
  </w:footnote>
  <w:footnote w:id="1">
    <w:p w:rsidR="00FC5DEA" w:rsidRPr="008F225F" w:rsidRDefault="00FC5DEA" w:rsidP="006F59C5">
      <w:pPr>
        <w:pStyle w:val="FootnoteText"/>
        <w:keepNext/>
        <w:keepLines/>
        <w:spacing w:before="0"/>
        <w:rPr>
          <w:rFonts w:ascii="Times New Roman" w:hAnsi="Times New Roman"/>
          <w:sz w:val="26"/>
          <w:szCs w:val="26"/>
        </w:rPr>
      </w:pPr>
      <w:r w:rsidRPr="008F225F">
        <w:rPr>
          <w:rFonts w:ascii="Times New Roman" w:hAnsi="Times New Roman"/>
          <w:sz w:val="26"/>
          <w:szCs w:val="26"/>
        </w:rPr>
        <w:tab/>
      </w:r>
      <w:r w:rsidRPr="008F225F">
        <w:rPr>
          <w:rStyle w:val="FootnoteReference"/>
          <w:rFonts w:ascii="Times New Roman" w:hAnsi="Times New Roman"/>
        </w:rPr>
        <w:footnoteRef/>
      </w:r>
      <w:r w:rsidRPr="008F225F">
        <w:rPr>
          <w:rFonts w:ascii="Times New Roman" w:hAnsi="Times New Roman"/>
          <w:sz w:val="26"/>
          <w:szCs w:val="26"/>
        </w:rPr>
        <w:tab/>
        <w:t xml:space="preserve">We note that on May 3, 2017, Core filed for voluntary Chapter 11 Bankruptcy with the District of Columbia Bankruptcy Court at Case No. 17-00258.  Nonetheless, Core remains a going concern in Pennsylvania and this bankruptcy proceeding has no bearing on our resolution of this present matter before </w:t>
      </w:r>
      <w:r>
        <w:rPr>
          <w:rFonts w:ascii="Times New Roman" w:hAnsi="Times New Roman"/>
          <w:sz w:val="26"/>
          <w:szCs w:val="26"/>
        </w:rPr>
        <w:t>us</w:t>
      </w:r>
      <w:r w:rsidRPr="008F225F">
        <w:rPr>
          <w:rFonts w:ascii="Times New Roman" w:hAnsi="Times New Roman"/>
          <w:sz w:val="26"/>
          <w:szCs w:val="26"/>
        </w:rPr>
        <w:t>.</w:t>
      </w:r>
    </w:p>
  </w:footnote>
  <w:footnote w:id="2">
    <w:p w:rsidR="00FC5DEA" w:rsidRPr="009D1FA6" w:rsidRDefault="00FC5DEA" w:rsidP="006F59C5">
      <w:pPr>
        <w:pStyle w:val="FootnoteText"/>
        <w:keepNext/>
        <w:keepLines/>
        <w:spacing w:before="0"/>
        <w:rPr>
          <w:rFonts w:ascii="Times New Roman" w:hAnsi="Times New Roman"/>
          <w:sz w:val="26"/>
          <w:szCs w:val="26"/>
        </w:rPr>
      </w:pPr>
      <w:r w:rsidRPr="008F225F">
        <w:rPr>
          <w:rFonts w:ascii="Times New Roman" w:hAnsi="Times New Roman"/>
          <w:sz w:val="26"/>
          <w:szCs w:val="26"/>
        </w:rPr>
        <w:tab/>
      </w:r>
      <w:r w:rsidRPr="008F225F">
        <w:rPr>
          <w:rStyle w:val="FootnoteReference"/>
          <w:rFonts w:ascii="Times New Roman" w:hAnsi="Times New Roman"/>
        </w:rPr>
        <w:footnoteRef/>
      </w:r>
      <w:r w:rsidRPr="008F225F">
        <w:rPr>
          <w:rFonts w:ascii="Times New Roman" w:hAnsi="Times New Roman"/>
          <w:sz w:val="26"/>
          <w:szCs w:val="26"/>
        </w:rPr>
        <w:tab/>
        <w:t xml:space="preserve">Core and Verizon PA operate under an ICA pursuant to </w:t>
      </w:r>
      <w:r w:rsidRPr="008F225F">
        <w:rPr>
          <w:rFonts w:ascii="Times New Roman" w:hAnsi="Times New Roman"/>
          <w:i/>
          <w:sz w:val="26"/>
          <w:szCs w:val="26"/>
        </w:rPr>
        <w:t>Joint Petition of Verizon Pennsylvania Inc. and Core Communications, Inc. for Approval of an Interconnection agreement under Section 252 of the Telecommunications Act,</w:t>
      </w:r>
      <w:r w:rsidRPr="008F225F">
        <w:rPr>
          <w:rFonts w:ascii="Times New Roman" w:hAnsi="Times New Roman"/>
          <w:sz w:val="26"/>
          <w:szCs w:val="26"/>
        </w:rPr>
        <w:t xml:space="preserve"> Docket No. A-310922F0002 (Opinion and Order entered February 9, 2001).  The ICA is an adoption of a preexisting ICA between Bell Atlantic Pennsylvania, Inc. (now Verizon PA) and MCImetro Access Transmission Services, Inc., dated September 3, 1997.  Core </w:t>
      </w:r>
      <w:r>
        <w:rPr>
          <w:rFonts w:ascii="Times New Roman" w:hAnsi="Times New Roman"/>
          <w:sz w:val="26"/>
          <w:szCs w:val="26"/>
        </w:rPr>
        <w:t>“</w:t>
      </w:r>
      <w:r w:rsidRPr="008F225F">
        <w:rPr>
          <w:rFonts w:ascii="Times New Roman" w:hAnsi="Times New Roman"/>
          <w:sz w:val="26"/>
          <w:szCs w:val="26"/>
        </w:rPr>
        <w:t>opted-into</w:t>
      </w:r>
      <w:r>
        <w:rPr>
          <w:rFonts w:ascii="Times New Roman" w:hAnsi="Times New Roman"/>
          <w:sz w:val="26"/>
          <w:szCs w:val="26"/>
        </w:rPr>
        <w:t>”</w:t>
      </w:r>
      <w:r w:rsidRPr="008F225F">
        <w:rPr>
          <w:rFonts w:ascii="Times New Roman" w:hAnsi="Times New Roman"/>
          <w:sz w:val="26"/>
          <w:szCs w:val="26"/>
        </w:rPr>
        <w:t xml:space="preserve"> this ICA pursuant to an Adoption Agreement (Adoption Agreement) dated March 31, 2000.</w:t>
      </w:r>
      <w:r>
        <w:rPr>
          <w:rFonts w:ascii="Times New Roman" w:hAnsi="Times New Roman"/>
          <w:sz w:val="26"/>
          <w:szCs w:val="26"/>
        </w:rPr>
        <w:t xml:space="preserve">  </w:t>
      </w:r>
      <w:r>
        <w:rPr>
          <w:rFonts w:ascii="Times New Roman" w:hAnsi="Times New Roman"/>
          <w:i/>
          <w:sz w:val="26"/>
          <w:szCs w:val="26"/>
        </w:rPr>
        <w:t xml:space="preserve">See </w:t>
      </w:r>
      <w:r>
        <w:rPr>
          <w:rFonts w:ascii="Times New Roman" w:hAnsi="Times New Roman"/>
          <w:sz w:val="26"/>
          <w:szCs w:val="26"/>
        </w:rPr>
        <w:t>47 U.S.C. § 252(i), generally referred to as a “most favored nation.”</w:t>
      </w:r>
    </w:p>
  </w:footnote>
  <w:footnote w:id="3">
    <w:p w:rsidR="00FC5DEA" w:rsidRPr="008F225F" w:rsidRDefault="00FC5DEA" w:rsidP="006F59C5">
      <w:pPr>
        <w:pStyle w:val="FootnoteText"/>
        <w:keepNext/>
        <w:keepLines/>
        <w:spacing w:before="0"/>
        <w:rPr>
          <w:rFonts w:ascii="Times New Roman" w:hAnsi="Times New Roman"/>
          <w:sz w:val="26"/>
          <w:szCs w:val="26"/>
        </w:rPr>
      </w:pPr>
      <w:r w:rsidRPr="008F225F">
        <w:rPr>
          <w:rFonts w:ascii="Times New Roman" w:hAnsi="Times New Roman"/>
          <w:sz w:val="26"/>
          <w:szCs w:val="26"/>
        </w:rPr>
        <w:tab/>
      </w:r>
      <w:r w:rsidRPr="008F225F">
        <w:rPr>
          <w:rStyle w:val="FootnoteReference"/>
          <w:rFonts w:ascii="Times New Roman" w:hAnsi="Times New Roman"/>
        </w:rPr>
        <w:footnoteRef/>
      </w:r>
      <w:r w:rsidRPr="008F225F">
        <w:rPr>
          <w:rFonts w:ascii="Times New Roman" w:hAnsi="Times New Roman"/>
          <w:sz w:val="26"/>
          <w:szCs w:val="26"/>
        </w:rPr>
        <w:t xml:space="preserve"> </w:t>
      </w:r>
      <w:r w:rsidRPr="008F225F">
        <w:rPr>
          <w:rFonts w:ascii="Times New Roman" w:hAnsi="Times New Roman"/>
          <w:sz w:val="26"/>
          <w:szCs w:val="26"/>
        </w:rPr>
        <w:tab/>
        <w:t>Core claims that pursuant to the Parties’ ICA, Verizon PA used the ASRs to order trunk ports, multiplexing, dedicated transport, and entrance facilities from Core.</w:t>
      </w:r>
    </w:p>
  </w:footnote>
  <w:footnote w:id="4">
    <w:p w:rsidR="00FC5DEA" w:rsidRPr="008F225F" w:rsidRDefault="00FC5DEA" w:rsidP="006F59C5">
      <w:pPr>
        <w:pStyle w:val="FootnoteText"/>
        <w:keepNext/>
        <w:keepLines/>
        <w:spacing w:before="0"/>
        <w:rPr>
          <w:rFonts w:ascii="Times New Roman" w:hAnsi="Times New Roman"/>
          <w:sz w:val="26"/>
          <w:szCs w:val="26"/>
        </w:rPr>
      </w:pPr>
      <w:r w:rsidRPr="008F225F">
        <w:rPr>
          <w:rFonts w:ascii="Times New Roman" w:hAnsi="Times New Roman"/>
          <w:sz w:val="26"/>
          <w:szCs w:val="26"/>
        </w:rPr>
        <w:tab/>
      </w:r>
      <w:r w:rsidRPr="008F225F">
        <w:rPr>
          <w:rStyle w:val="FootnoteReference"/>
          <w:rFonts w:ascii="Times New Roman" w:hAnsi="Times New Roman"/>
        </w:rPr>
        <w:footnoteRef/>
      </w:r>
      <w:r w:rsidRPr="008F225F">
        <w:rPr>
          <w:rFonts w:ascii="Times New Roman" w:hAnsi="Times New Roman"/>
          <w:sz w:val="26"/>
          <w:szCs w:val="26"/>
        </w:rPr>
        <w:tab/>
        <w:t>As set forth in Paragraph 1.11 of the ICA’s Adoption Agreement, the rates, charges, and other terms set forth in the Pricing Appendix replace and supersede in their entirety the rates, charges, and other terms set forth in Attachment I of the underlying ICA.</w:t>
      </w:r>
    </w:p>
  </w:footnote>
  <w:footnote w:id="5">
    <w:p w:rsidR="00FC5DEA" w:rsidRPr="008F225F" w:rsidRDefault="00FC5DEA" w:rsidP="006F59C5">
      <w:pPr>
        <w:pStyle w:val="FootnoteText"/>
        <w:keepNext/>
        <w:keepLines/>
        <w:spacing w:before="0"/>
        <w:rPr>
          <w:rFonts w:ascii="Times New Roman" w:hAnsi="Times New Roman"/>
          <w:sz w:val="26"/>
          <w:szCs w:val="26"/>
        </w:rPr>
      </w:pPr>
      <w:r w:rsidRPr="008F225F">
        <w:rPr>
          <w:rFonts w:ascii="Times New Roman" w:hAnsi="Times New Roman"/>
          <w:sz w:val="26"/>
          <w:szCs w:val="26"/>
        </w:rPr>
        <w:tab/>
      </w:r>
      <w:r w:rsidRPr="008F225F">
        <w:rPr>
          <w:rStyle w:val="FootnoteReference"/>
          <w:rFonts w:ascii="Times New Roman" w:hAnsi="Times New Roman"/>
        </w:rPr>
        <w:footnoteRef/>
      </w:r>
      <w:r w:rsidRPr="008F225F">
        <w:rPr>
          <w:rFonts w:ascii="Times New Roman" w:hAnsi="Times New Roman"/>
          <w:sz w:val="26"/>
          <w:szCs w:val="26"/>
        </w:rPr>
        <w:tab/>
        <w:t>Core originally contended that Verizon PA had accumulated $4,288,813 in unpaid bills as of July 2014, in addition to unpaid monthly recurring expenses.  However, $324,717 of Core’s claim is related to alleged unpaid charges in the Erie LATA and is therefore attributable to Verizon North, LLC, and not to Verizon PA.  As noted below, Verizon North, LLC is not a party to this proceeding.</w:t>
      </w:r>
    </w:p>
  </w:footnote>
  <w:footnote w:id="6">
    <w:p w:rsidR="00FC5DEA" w:rsidRPr="008F225F" w:rsidRDefault="00FC5DEA" w:rsidP="006F59C5">
      <w:pPr>
        <w:pStyle w:val="FootnoteText"/>
        <w:keepNext/>
        <w:keepLines/>
        <w:spacing w:before="0"/>
        <w:rPr>
          <w:rFonts w:ascii="Times New Roman" w:hAnsi="Times New Roman"/>
          <w:sz w:val="26"/>
          <w:szCs w:val="26"/>
        </w:rPr>
      </w:pPr>
      <w:r w:rsidRPr="008F225F">
        <w:rPr>
          <w:rFonts w:ascii="Times New Roman" w:hAnsi="Times New Roman"/>
          <w:sz w:val="26"/>
          <w:szCs w:val="26"/>
        </w:rPr>
        <w:tab/>
      </w:r>
      <w:r w:rsidRPr="008F225F">
        <w:rPr>
          <w:rStyle w:val="FootnoteReference"/>
          <w:rFonts w:ascii="Times New Roman" w:hAnsi="Times New Roman"/>
        </w:rPr>
        <w:footnoteRef/>
      </w:r>
      <w:r>
        <w:rPr>
          <w:rFonts w:ascii="Times New Roman" w:hAnsi="Times New Roman"/>
          <w:sz w:val="26"/>
          <w:szCs w:val="26"/>
        </w:rPr>
        <w:tab/>
      </w:r>
      <w:r w:rsidRPr="008F225F">
        <w:rPr>
          <w:rFonts w:ascii="Times New Roman" w:hAnsi="Times New Roman"/>
          <w:sz w:val="26"/>
          <w:szCs w:val="26"/>
        </w:rPr>
        <w:t xml:space="preserve">The </w:t>
      </w:r>
      <w:r w:rsidRPr="008F225F">
        <w:rPr>
          <w:rFonts w:ascii="Times New Roman" w:hAnsi="Times New Roman"/>
          <w:i/>
          <w:sz w:val="26"/>
          <w:szCs w:val="26"/>
        </w:rPr>
        <w:t>CoreTel-Verizon VA Order</w:t>
      </w:r>
      <w:r w:rsidRPr="008F225F">
        <w:rPr>
          <w:rFonts w:ascii="Times New Roman" w:hAnsi="Times New Roman"/>
          <w:sz w:val="26"/>
          <w:szCs w:val="26"/>
        </w:rPr>
        <w:t xml:space="preserve"> addressed an appeal to the decision of the United States District Court for the Eastern District of Virginia (Eastern District) in </w:t>
      </w:r>
      <w:r w:rsidRPr="008F225F">
        <w:rPr>
          <w:rFonts w:ascii="Times New Roman" w:hAnsi="Times New Roman"/>
          <w:i/>
          <w:sz w:val="26"/>
          <w:szCs w:val="26"/>
        </w:rPr>
        <w:t>CoreTel Virginia, LLC v. Verizon Virginia LLC et al.,</w:t>
      </w:r>
      <w:r w:rsidRPr="008F225F">
        <w:rPr>
          <w:rFonts w:ascii="Times New Roman" w:hAnsi="Times New Roman"/>
          <w:sz w:val="26"/>
          <w:szCs w:val="26"/>
        </w:rPr>
        <w:t xml:space="preserve"> (E.D. Va. April 22, 2013)(</w:t>
      </w:r>
      <w:r w:rsidRPr="008F225F">
        <w:rPr>
          <w:rFonts w:ascii="Times New Roman" w:hAnsi="Times New Roman"/>
          <w:i/>
          <w:sz w:val="26"/>
          <w:szCs w:val="26"/>
        </w:rPr>
        <w:t>Eastern District Decision</w:t>
      </w:r>
      <w:r w:rsidRPr="008F225F">
        <w:rPr>
          <w:rFonts w:ascii="Times New Roman" w:hAnsi="Times New Roman"/>
          <w:sz w:val="26"/>
          <w:szCs w:val="26"/>
        </w:rPr>
        <w:t>)</w:t>
      </w:r>
    </w:p>
  </w:footnote>
  <w:footnote w:id="7">
    <w:p w:rsidR="00FC5DEA" w:rsidRPr="008F225F" w:rsidRDefault="00FC5DEA" w:rsidP="006F59C5">
      <w:pPr>
        <w:pStyle w:val="FootnoteText"/>
        <w:keepNext/>
        <w:keepLines/>
        <w:spacing w:before="0"/>
        <w:rPr>
          <w:rFonts w:ascii="Times New Roman" w:hAnsi="Times New Roman"/>
          <w:sz w:val="26"/>
          <w:szCs w:val="26"/>
        </w:rPr>
      </w:pPr>
      <w:r w:rsidRPr="008F225F">
        <w:rPr>
          <w:rFonts w:ascii="Times New Roman" w:hAnsi="Times New Roman"/>
          <w:sz w:val="26"/>
          <w:szCs w:val="26"/>
        </w:rPr>
        <w:tab/>
      </w:r>
      <w:r w:rsidRPr="008F225F">
        <w:rPr>
          <w:rStyle w:val="FootnoteReference"/>
          <w:rFonts w:ascii="Times New Roman" w:hAnsi="Times New Roman"/>
        </w:rPr>
        <w:footnoteRef/>
      </w:r>
      <w:r w:rsidRPr="008F225F">
        <w:rPr>
          <w:rFonts w:ascii="Times New Roman" w:hAnsi="Times New Roman"/>
          <w:sz w:val="26"/>
          <w:szCs w:val="26"/>
        </w:rPr>
        <w:tab/>
        <w:t>Under Part B of the ICA, Access Services are defined as “interstate and intrastate switched access and private line transport services.”</w:t>
      </w:r>
    </w:p>
  </w:footnote>
  <w:footnote w:id="8">
    <w:p w:rsidR="00FC5DEA" w:rsidRPr="008F225F" w:rsidRDefault="00FC5DEA" w:rsidP="006F59C5">
      <w:pPr>
        <w:pStyle w:val="FootnoteText"/>
        <w:keepNext/>
        <w:keepLines/>
        <w:spacing w:before="0"/>
        <w:rPr>
          <w:rFonts w:ascii="Times New Roman" w:hAnsi="Times New Roman"/>
          <w:sz w:val="26"/>
          <w:szCs w:val="26"/>
        </w:rPr>
      </w:pPr>
      <w:r w:rsidRPr="008F225F">
        <w:rPr>
          <w:rFonts w:ascii="Times New Roman" w:hAnsi="Times New Roman"/>
          <w:sz w:val="26"/>
          <w:szCs w:val="26"/>
        </w:rPr>
        <w:tab/>
      </w:r>
      <w:r w:rsidRPr="008F225F">
        <w:rPr>
          <w:rStyle w:val="FootnoteReference"/>
          <w:rFonts w:ascii="Times New Roman" w:hAnsi="Times New Roman"/>
        </w:rPr>
        <w:footnoteRef/>
      </w:r>
      <w:r w:rsidRPr="008F225F">
        <w:rPr>
          <w:rFonts w:ascii="Times New Roman" w:hAnsi="Times New Roman"/>
          <w:sz w:val="26"/>
          <w:szCs w:val="26"/>
        </w:rPr>
        <w:tab/>
      </w:r>
      <w:r w:rsidRPr="008F225F">
        <w:rPr>
          <w:rFonts w:ascii="Times New Roman" w:hAnsi="Times New Roman"/>
          <w:i/>
          <w:sz w:val="26"/>
          <w:szCs w:val="26"/>
        </w:rPr>
        <w:t xml:space="preserve">See </w:t>
      </w:r>
      <w:r w:rsidRPr="008F225F">
        <w:rPr>
          <w:rFonts w:ascii="Times New Roman" w:hAnsi="Times New Roman"/>
          <w:sz w:val="26"/>
          <w:szCs w:val="26"/>
        </w:rPr>
        <w:t xml:space="preserve">ICA at, </w:t>
      </w:r>
      <w:r w:rsidRPr="008F225F">
        <w:rPr>
          <w:rFonts w:ascii="Times New Roman" w:hAnsi="Times New Roman"/>
          <w:i/>
          <w:sz w:val="26"/>
          <w:szCs w:val="26"/>
        </w:rPr>
        <w:t>inter alia</w:t>
      </w:r>
      <w:r w:rsidRPr="008F225F">
        <w:rPr>
          <w:rFonts w:ascii="Times New Roman" w:hAnsi="Times New Roman"/>
          <w:sz w:val="26"/>
          <w:szCs w:val="26"/>
        </w:rPr>
        <w:t xml:space="preserve">, Part B, definitions of Reciprocal Compensation, Tandem Switching, and Dedicated Transport and Attachment IV, Sections 2.2.1, 2.2.1.1, and 2.2.1.2, discussed, </w:t>
      </w:r>
      <w:r w:rsidRPr="008F225F">
        <w:rPr>
          <w:rFonts w:ascii="Times New Roman" w:hAnsi="Times New Roman"/>
          <w:i/>
          <w:sz w:val="26"/>
          <w:szCs w:val="26"/>
        </w:rPr>
        <w:t>infra.</w:t>
      </w:r>
    </w:p>
  </w:footnote>
  <w:footnote w:id="9">
    <w:p w:rsidR="00FC5DEA" w:rsidRPr="008F225F" w:rsidRDefault="00FC5DEA" w:rsidP="006F59C5">
      <w:pPr>
        <w:keepNext/>
        <w:keepLines/>
        <w:spacing w:after="120"/>
        <w:rPr>
          <w:sz w:val="26"/>
          <w:szCs w:val="26"/>
        </w:rPr>
      </w:pPr>
      <w:r w:rsidRPr="008F225F">
        <w:rPr>
          <w:sz w:val="26"/>
          <w:szCs w:val="26"/>
        </w:rPr>
        <w:tab/>
      </w:r>
      <w:r w:rsidRPr="008F225F">
        <w:rPr>
          <w:rStyle w:val="FootnoteReference"/>
        </w:rPr>
        <w:footnoteRef/>
      </w:r>
      <w:r w:rsidRPr="008F225F">
        <w:rPr>
          <w:sz w:val="26"/>
          <w:szCs w:val="26"/>
        </w:rPr>
        <w:tab/>
        <w:t xml:space="preserve">As noted in the Background section of this Opinion and Order, Core argued that as of July 2014, Verizon PA has accumulated $3,964,096 in unpaid bills, which excludes charges attributable to the Erie LATA, in addition to unpaid monthly recurring fees.  Core M.B. at 26.  However, in its Main Briefs, Core stated that it arrived at this total by subtracting the total listed on the tabulation of monthly charges for the Erie LATA, which Verizon PA submitted into the record as Verizon PA Exhibit H, from Core’s total bills for Verizon PA, including charges for the Erie LATA, of $4,288,813, set forth in Core Exhibit H.  </w:t>
      </w:r>
      <w:r w:rsidRPr="008F225F">
        <w:rPr>
          <w:i/>
          <w:sz w:val="26"/>
          <w:szCs w:val="26"/>
        </w:rPr>
        <w:t xml:space="preserve">Id.  </w:t>
      </w:r>
      <w:r w:rsidRPr="008F225F">
        <w:rPr>
          <w:sz w:val="26"/>
          <w:szCs w:val="26"/>
        </w:rPr>
        <w:t>Our review of Core’s Exhibit H, in conjunction with Verizon PA’s Exhibit H reveals that Core’s Exhibit H depicts that such charges were through July 1, 2014, while Verizon PA’s Exhibit H shows charges through August 1, 2014.  As such, Core has understated the total charges in dispute.  Thus, the actual total amount in dispute through July 1, 2014 was $3,970,804.38, in addition to unpaid monthly recurring fees of $55,919.26 since this date.</w:t>
      </w:r>
    </w:p>
    <w:p w:rsidR="00FC5DEA" w:rsidRPr="008F225F" w:rsidRDefault="00FC5DEA" w:rsidP="006F59C5">
      <w:pPr>
        <w:pStyle w:val="FootnoteText"/>
        <w:keepNext/>
        <w:keepLines/>
        <w:spacing w:before="0"/>
        <w:rPr>
          <w:rFonts w:ascii="Times New Roman" w:hAnsi="Times New Roman"/>
          <w:sz w:val="26"/>
          <w:szCs w:val="26"/>
        </w:rPr>
      </w:pPr>
    </w:p>
  </w:footnote>
  <w:footnote w:id="10">
    <w:p w:rsidR="00FC5DEA" w:rsidRDefault="00FC5DEA">
      <w:pPr>
        <w:pStyle w:val="FootnoteText"/>
      </w:pPr>
      <w:r>
        <w:tab/>
      </w:r>
      <w:r>
        <w:rPr>
          <w:rStyle w:val="FootnoteReference"/>
        </w:rPr>
        <w:footnoteRef/>
      </w:r>
      <w:r>
        <w:tab/>
      </w:r>
      <w:r w:rsidRPr="00650894">
        <w:rPr>
          <w:i/>
          <w:sz w:val="26"/>
          <w:szCs w:val="26"/>
        </w:rPr>
        <w:t xml:space="preserve">Generic Investigation Re Verizon Pennsylvania Inc.’s Unbundled Network Element Rates, </w:t>
      </w:r>
      <w:r w:rsidRPr="00650894">
        <w:rPr>
          <w:sz w:val="26"/>
          <w:szCs w:val="26"/>
        </w:rPr>
        <w:t>Docket No. R-00016683 (Compliance Order Entered July 16, 2004) (</w:t>
      </w:r>
      <w:r w:rsidRPr="00650894">
        <w:rPr>
          <w:i/>
          <w:sz w:val="26"/>
          <w:szCs w:val="26"/>
        </w:rPr>
        <w:t>2004 Compliance Order</w:t>
      </w:r>
      <w:r w:rsidRPr="00650894">
        <w:rPr>
          <w:sz w:val="26"/>
          <w:szCs w:val="26"/>
        </w:rPr>
        <w:t xml:space="preserve">); </w:t>
      </w:r>
      <w:r w:rsidRPr="00650894">
        <w:rPr>
          <w:i/>
          <w:sz w:val="26"/>
          <w:szCs w:val="26"/>
        </w:rPr>
        <w:t>Generic Investigation Re Verizon Pennsylvania Inc.’s Unbundled Network Element Rates; Verizon Pennsylvania Inc.’s Petition to Stay the Effectiveness of Certain Rate Changes Pending Further Action by the FCC; Verizon Pennsylvania Inc.’s Petition for Expedited Adoption of an Interim Rate Pending Determination of Final Rates</w:t>
      </w:r>
      <w:r w:rsidRPr="00650894">
        <w:rPr>
          <w:sz w:val="26"/>
          <w:szCs w:val="26"/>
        </w:rPr>
        <w:t>, Docket Nos. R</w:t>
      </w:r>
      <w:r w:rsidRPr="00650894">
        <w:rPr>
          <w:sz w:val="26"/>
          <w:szCs w:val="26"/>
        </w:rPr>
        <w:noBreakHyphen/>
        <w:t>00016683 and R</w:t>
      </w:r>
      <w:r w:rsidRPr="00650894">
        <w:rPr>
          <w:sz w:val="26"/>
          <w:szCs w:val="26"/>
        </w:rPr>
        <w:noBreakHyphen/>
        <w:t>000469812 (Order Entered September 30, 2004)</w:t>
      </w:r>
      <w:r w:rsidRPr="00650894">
        <w:rPr>
          <w:i/>
          <w:sz w:val="26"/>
          <w:szCs w:val="26"/>
        </w:rPr>
        <w:t xml:space="preserve"> </w:t>
      </w:r>
      <w:r w:rsidRPr="00650894">
        <w:rPr>
          <w:sz w:val="26"/>
          <w:szCs w:val="26"/>
        </w:rPr>
        <w:t>(</w:t>
      </w:r>
      <w:r w:rsidRPr="00650894">
        <w:rPr>
          <w:i/>
          <w:sz w:val="26"/>
          <w:szCs w:val="26"/>
        </w:rPr>
        <w:t>2004 Verizon PA TELRIC Proceeding</w:t>
      </w:r>
      <w:r w:rsidRPr="00650894">
        <w:rPr>
          <w:sz w:val="26"/>
          <w:szCs w:val="26"/>
        </w:rPr>
        <w:t>).</w:t>
      </w:r>
    </w:p>
  </w:footnote>
  <w:footnote w:id="11">
    <w:p w:rsidR="00FC5DEA" w:rsidRPr="008F225F" w:rsidRDefault="00FC5DEA" w:rsidP="006F59C5">
      <w:pPr>
        <w:pStyle w:val="FootnoteText"/>
        <w:keepNext/>
        <w:keepLines/>
        <w:spacing w:before="0"/>
        <w:rPr>
          <w:rFonts w:ascii="Times New Roman" w:hAnsi="Times New Roman"/>
          <w:sz w:val="26"/>
          <w:szCs w:val="26"/>
        </w:rPr>
      </w:pPr>
      <w:r w:rsidRPr="008F225F">
        <w:rPr>
          <w:rFonts w:ascii="Times New Roman" w:hAnsi="Times New Roman"/>
          <w:sz w:val="26"/>
          <w:szCs w:val="26"/>
        </w:rPr>
        <w:tab/>
      </w:r>
      <w:r w:rsidRPr="008F225F">
        <w:rPr>
          <w:rStyle w:val="FootnoteReference"/>
          <w:rFonts w:ascii="Times New Roman" w:hAnsi="Times New Roman"/>
        </w:rPr>
        <w:footnoteRef/>
      </w:r>
      <w:r w:rsidRPr="008F225F">
        <w:rPr>
          <w:rFonts w:ascii="Times New Roman" w:hAnsi="Times New Roman"/>
          <w:sz w:val="26"/>
          <w:szCs w:val="26"/>
        </w:rPr>
        <w:tab/>
        <w:t xml:space="preserve">This tariff sets forth the rates, terms, and conditions for the services Verizon PA provides to other telephone companies. </w:t>
      </w:r>
    </w:p>
  </w:footnote>
  <w:footnote w:id="12">
    <w:p w:rsidR="00FC5DEA" w:rsidRPr="008F225F" w:rsidRDefault="00FC5DEA" w:rsidP="006F59C5">
      <w:pPr>
        <w:pStyle w:val="FootnoteText"/>
        <w:keepNext/>
        <w:keepLines/>
        <w:spacing w:before="0"/>
        <w:rPr>
          <w:rFonts w:ascii="Times New Roman" w:hAnsi="Times New Roman"/>
          <w:sz w:val="26"/>
          <w:szCs w:val="26"/>
        </w:rPr>
      </w:pPr>
      <w:r w:rsidRPr="008F225F">
        <w:rPr>
          <w:rFonts w:ascii="Times New Roman" w:hAnsi="Times New Roman"/>
          <w:sz w:val="26"/>
          <w:szCs w:val="26"/>
        </w:rPr>
        <w:tab/>
      </w:r>
      <w:r w:rsidRPr="008F225F">
        <w:rPr>
          <w:rStyle w:val="FootnoteReference"/>
          <w:rFonts w:ascii="Times New Roman" w:hAnsi="Times New Roman"/>
        </w:rPr>
        <w:footnoteRef/>
      </w:r>
      <w:r w:rsidRPr="008F225F">
        <w:rPr>
          <w:rFonts w:ascii="Times New Roman" w:hAnsi="Times New Roman"/>
          <w:sz w:val="26"/>
          <w:szCs w:val="26"/>
        </w:rPr>
        <w:tab/>
        <w:t>As previously noted, a “two-six code” is a code that uniquely identifies each trunk group between Core and Verizon PA.  Core St. 1.0 at 13.</w:t>
      </w:r>
    </w:p>
  </w:footnote>
  <w:footnote w:id="13">
    <w:p w:rsidR="00FC5DEA" w:rsidRPr="008F225F" w:rsidRDefault="00FC5DEA" w:rsidP="006F59C5">
      <w:pPr>
        <w:pStyle w:val="FootnoteText"/>
        <w:keepNext/>
        <w:keepLines/>
        <w:spacing w:before="0"/>
        <w:rPr>
          <w:rFonts w:ascii="Times New Roman" w:hAnsi="Times New Roman"/>
          <w:sz w:val="26"/>
          <w:szCs w:val="26"/>
        </w:rPr>
      </w:pPr>
      <w:r w:rsidRPr="008F225F">
        <w:rPr>
          <w:rFonts w:ascii="Times New Roman" w:hAnsi="Times New Roman"/>
          <w:sz w:val="26"/>
          <w:szCs w:val="26"/>
        </w:rPr>
        <w:tab/>
      </w:r>
      <w:r w:rsidRPr="008F225F">
        <w:rPr>
          <w:rStyle w:val="FootnoteReference"/>
          <w:rFonts w:ascii="Times New Roman" w:hAnsi="Times New Roman"/>
        </w:rPr>
        <w:footnoteRef/>
      </w:r>
      <w:r w:rsidRPr="008F225F">
        <w:rPr>
          <w:rFonts w:ascii="Times New Roman" w:hAnsi="Times New Roman"/>
          <w:sz w:val="26"/>
          <w:szCs w:val="26"/>
        </w:rPr>
        <w:tab/>
        <w:t xml:space="preserve">This rate was established in the </w:t>
      </w:r>
      <w:r w:rsidRPr="008F225F">
        <w:rPr>
          <w:rFonts w:ascii="Times New Roman" w:hAnsi="Times New Roman"/>
          <w:i/>
          <w:sz w:val="26"/>
          <w:szCs w:val="26"/>
        </w:rPr>
        <w:t>2004 Verizon PA TELRIC Proceeding.</w:t>
      </w:r>
    </w:p>
  </w:footnote>
  <w:footnote w:id="14">
    <w:p w:rsidR="00FC5DEA" w:rsidRPr="008F225F" w:rsidRDefault="00FC5DEA" w:rsidP="006F59C5">
      <w:pPr>
        <w:pStyle w:val="FootnoteText"/>
        <w:keepNext/>
        <w:keepLines/>
        <w:spacing w:before="0"/>
        <w:rPr>
          <w:rFonts w:ascii="Times New Roman" w:hAnsi="Times New Roman"/>
          <w:sz w:val="26"/>
          <w:szCs w:val="26"/>
        </w:rPr>
      </w:pPr>
      <w:r w:rsidRPr="008F225F">
        <w:rPr>
          <w:rFonts w:ascii="Times New Roman" w:hAnsi="Times New Roman"/>
          <w:sz w:val="26"/>
          <w:szCs w:val="26"/>
        </w:rPr>
        <w:tab/>
      </w:r>
      <w:r w:rsidRPr="008F225F">
        <w:rPr>
          <w:rStyle w:val="FootnoteReference"/>
          <w:rFonts w:ascii="Times New Roman" w:hAnsi="Times New Roman"/>
        </w:rPr>
        <w:footnoteRef/>
      </w:r>
      <w:r w:rsidRPr="008F225F">
        <w:rPr>
          <w:rFonts w:ascii="Times New Roman" w:hAnsi="Times New Roman"/>
          <w:sz w:val="26"/>
          <w:szCs w:val="26"/>
        </w:rPr>
        <w:tab/>
        <w:t>I.D. at 11</w:t>
      </w:r>
    </w:p>
  </w:footnote>
  <w:footnote w:id="15">
    <w:p w:rsidR="00FC5DEA" w:rsidRPr="008F225F" w:rsidRDefault="00FC5DEA" w:rsidP="006F59C5">
      <w:pPr>
        <w:pStyle w:val="FootnoteText"/>
        <w:keepNext/>
        <w:keepLines/>
        <w:spacing w:before="0"/>
        <w:rPr>
          <w:rFonts w:ascii="Times New Roman" w:hAnsi="Times New Roman"/>
          <w:sz w:val="26"/>
          <w:szCs w:val="26"/>
        </w:rPr>
      </w:pPr>
      <w:r w:rsidRPr="008F225F">
        <w:rPr>
          <w:rFonts w:ascii="Times New Roman" w:hAnsi="Times New Roman"/>
          <w:sz w:val="26"/>
          <w:szCs w:val="26"/>
        </w:rPr>
        <w:tab/>
      </w:r>
      <w:r w:rsidRPr="008F225F">
        <w:rPr>
          <w:rStyle w:val="FootnoteReference"/>
          <w:rFonts w:ascii="Times New Roman" w:hAnsi="Times New Roman"/>
        </w:rPr>
        <w:footnoteRef/>
      </w:r>
      <w:r w:rsidRPr="008F225F">
        <w:rPr>
          <w:rFonts w:ascii="Times New Roman" w:hAnsi="Times New Roman"/>
          <w:sz w:val="26"/>
          <w:szCs w:val="26"/>
        </w:rPr>
        <w:tab/>
        <w:t>As noted below, Core’s charges for entrance facilities and dedicated transport associated with the Philadelphia LATA represent only a tiny fraction of the disputed charges at issue.</w:t>
      </w:r>
    </w:p>
  </w:footnote>
  <w:footnote w:id="16">
    <w:p w:rsidR="00FC5DEA" w:rsidRPr="008F225F" w:rsidRDefault="00FC5DEA" w:rsidP="006F59C5">
      <w:pPr>
        <w:pStyle w:val="FootnoteText"/>
        <w:keepNext/>
        <w:keepLines/>
        <w:spacing w:before="0"/>
        <w:rPr>
          <w:rFonts w:ascii="Times New Roman" w:hAnsi="Times New Roman"/>
          <w:sz w:val="26"/>
          <w:szCs w:val="26"/>
        </w:rPr>
      </w:pPr>
      <w:r w:rsidRPr="008F225F">
        <w:rPr>
          <w:rFonts w:ascii="Times New Roman" w:hAnsi="Times New Roman"/>
          <w:sz w:val="26"/>
          <w:szCs w:val="26"/>
        </w:rPr>
        <w:tab/>
      </w:r>
      <w:r w:rsidRPr="008F225F">
        <w:rPr>
          <w:rStyle w:val="FootnoteReference"/>
          <w:rFonts w:ascii="Times New Roman" w:hAnsi="Times New Roman"/>
        </w:rPr>
        <w:footnoteRef/>
      </w:r>
      <w:r w:rsidRPr="008F225F">
        <w:rPr>
          <w:rFonts w:ascii="Times New Roman" w:hAnsi="Times New Roman"/>
          <w:sz w:val="26"/>
          <w:szCs w:val="26"/>
        </w:rPr>
        <w:tab/>
        <w:t xml:space="preserve">In light of our disposition under Core Exception No. 1, </w:t>
      </w:r>
      <w:r w:rsidRPr="008F225F">
        <w:rPr>
          <w:rFonts w:ascii="Times New Roman" w:hAnsi="Times New Roman"/>
          <w:i/>
          <w:sz w:val="26"/>
          <w:szCs w:val="26"/>
        </w:rPr>
        <w:t>supra,</w:t>
      </w:r>
      <w:r w:rsidRPr="008F225F">
        <w:rPr>
          <w:rFonts w:ascii="Times New Roman" w:hAnsi="Times New Roman"/>
          <w:sz w:val="26"/>
          <w:szCs w:val="26"/>
        </w:rPr>
        <w:t xml:space="preserve"> that the ASRs Verizon PA submitted were not orders for service, we note that this renders the question of whether Core may issue the associated bills to Verizon PA moot.  Nonetheless, we shall consider the merits of Core’s Exception Nos. 2 through 5 on an independent basis.</w:t>
      </w:r>
    </w:p>
  </w:footnote>
  <w:footnote w:id="17">
    <w:p w:rsidR="00FC5DEA" w:rsidRPr="008F225F" w:rsidRDefault="00FC5DEA" w:rsidP="006F59C5">
      <w:pPr>
        <w:pStyle w:val="FootnoteText"/>
        <w:keepNext/>
        <w:keepLines/>
        <w:spacing w:before="0"/>
        <w:rPr>
          <w:rFonts w:ascii="Times New Roman" w:hAnsi="Times New Roman"/>
          <w:sz w:val="26"/>
          <w:szCs w:val="26"/>
        </w:rPr>
      </w:pPr>
      <w:r w:rsidRPr="008F225F">
        <w:rPr>
          <w:rFonts w:ascii="Times New Roman" w:hAnsi="Times New Roman"/>
          <w:sz w:val="26"/>
          <w:szCs w:val="26"/>
        </w:rPr>
        <w:tab/>
      </w:r>
      <w:r w:rsidRPr="008F225F">
        <w:rPr>
          <w:rStyle w:val="FootnoteReference"/>
          <w:rFonts w:ascii="Times New Roman" w:hAnsi="Times New Roman"/>
        </w:rPr>
        <w:footnoteRef/>
      </w:r>
      <w:r w:rsidRPr="008F225F">
        <w:rPr>
          <w:rFonts w:ascii="Times New Roman" w:hAnsi="Times New Roman"/>
          <w:sz w:val="26"/>
          <w:szCs w:val="26"/>
        </w:rPr>
        <w:tab/>
        <w:t>As Verizon PA noted throughout this proceeding, Attachment IV, Section 1.2.2 of the ICA also states that “[Verizon PA] may request relief from the Commission if [Verizon PA] reasonably believes that [Core] has manipulated the designation of POIs in order to maximize the transport revenues [Verizon PA] must pay to [Core].”  However, we make no determination in this Opinion and Order as to whether Core intentionally manipulated the location of Verizon PA’s POI in the Philadelphia LATA for this purpose.</w:t>
      </w:r>
    </w:p>
  </w:footnote>
  <w:footnote w:id="18">
    <w:p w:rsidR="00FC5DEA" w:rsidRPr="00001030" w:rsidRDefault="00FC5DEA" w:rsidP="006F59C5">
      <w:pPr>
        <w:pStyle w:val="FootnoteText"/>
        <w:keepNext/>
        <w:keepLines/>
        <w:spacing w:before="0"/>
        <w:rPr>
          <w:rFonts w:ascii="Times New Roman" w:hAnsi="Times New Roman"/>
          <w:sz w:val="26"/>
          <w:szCs w:val="26"/>
        </w:rPr>
      </w:pPr>
      <w:r>
        <w:tab/>
      </w:r>
      <w:r w:rsidRPr="00001030">
        <w:rPr>
          <w:rStyle w:val="FootnoteReference"/>
          <w:rFonts w:ascii="Times New Roman" w:hAnsi="Times New Roman"/>
        </w:rPr>
        <w:footnoteRef/>
      </w:r>
      <w:r w:rsidRPr="00001030">
        <w:rPr>
          <w:rFonts w:ascii="Times New Roman" w:hAnsi="Times New Roman"/>
          <w:sz w:val="26"/>
          <w:szCs w:val="26"/>
        </w:rPr>
        <w:tab/>
        <w:t xml:space="preserve">Further, we note that our finding that Core is limited under the ICA to </w:t>
      </w:r>
      <w:r>
        <w:rPr>
          <w:rFonts w:ascii="Times New Roman" w:hAnsi="Times New Roman"/>
          <w:sz w:val="26"/>
          <w:szCs w:val="26"/>
        </w:rPr>
        <w:t xml:space="preserve">issuing invoices to </w:t>
      </w:r>
      <w:r w:rsidRPr="00001030">
        <w:rPr>
          <w:rFonts w:ascii="Times New Roman" w:hAnsi="Times New Roman"/>
          <w:sz w:val="26"/>
          <w:szCs w:val="26"/>
        </w:rPr>
        <w:t xml:space="preserve">Verizon PA for reciprocal compensation is identical to the finding of the Fourth Circuit with respect to the ICA of the Parties’ affiliates in Virginia.  </w:t>
      </w:r>
      <w:r w:rsidRPr="00001030">
        <w:rPr>
          <w:rFonts w:ascii="Times New Roman" w:hAnsi="Times New Roman"/>
          <w:i/>
          <w:sz w:val="26"/>
          <w:szCs w:val="26"/>
        </w:rPr>
        <w:t>See CoreTel-Verizon VA Order</w:t>
      </w:r>
      <w:r w:rsidRPr="00001030">
        <w:rPr>
          <w:rFonts w:ascii="Times New Roman" w:hAnsi="Times New Roman"/>
          <w:sz w:val="26"/>
          <w:szCs w:val="26"/>
        </w:rPr>
        <w:t xml:space="preserve"> at 752 F.3d at 372</w:t>
      </w:r>
      <w:r w:rsidRPr="00001030">
        <w:rPr>
          <w:rFonts w:ascii="Times New Roman" w:hAnsi="Times New Roman"/>
          <w:sz w:val="26"/>
          <w:szCs w:val="26"/>
        </w:rPr>
        <w:noBreakHyphen/>
        <w:t>73.  Therefore, although Core is correct that the Fourth Circuit did not rely on the pricing appendix of the</w:t>
      </w:r>
      <w:r>
        <w:rPr>
          <w:rFonts w:ascii="Times New Roman" w:hAnsi="Times New Roman"/>
          <w:sz w:val="26"/>
          <w:szCs w:val="26"/>
        </w:rPr>
        <w:t xml:space="preserve"> ICA of the Parties’ Virginia affiliates in resolving</w:t>
      </w:r>
      <w:r w:rsidRPr="00001030">
        <w:rPr>
          <w:rFonts w:ascii="Times New Roman" w:hAnsi="Times New Roman"/>
          <w:sz w:val="26"/>
          <w:szCs w:val="26"/>
        </w:rPr>
        <w:t xml:space="preserve"> that proceeding, we disagree with Core’s assertion that the ALJ’s citation to the </w:t>
      </w:r>
      <w:r w:rsidRPr="00001030">
        <w:rPr>
          <w:rFonts w:ascii="Times New Roman" w:hAnsi="Times New Roman"/>
          <w:i/>
          <w:sz w:val="26"/>
          <w:szCs w:val="26"/>
        </w:rPr>
        <w:t>CoreTel-Verizon VA Order</w:t>
      </w:r>
      <w:r w:rsidRPr="00001030">
        <w:rPr>
          <w:rFonts w:ascii="Times New Roman" w:hAnsi="Times New Roman"/>
          <w:sz w:val="26"/>
          <w:szCs w:val="26"/>
        </w:rPr>
        <w:t xml:space="preserve"> is misplaced.</w:t>
      </w:r>
    </w:p>
  </w:footnote>
  <w:footnote w:id="19">
    <w:p w:rsidR="00FC5DEA" w:rsidRPr="008F225F" w:rsidRDefault="00FC5DEA" w:rsidP="006F59C5">
      <w:pPr>
        <w:pStyle w:val="FootnoteText"/>
        <w:keepNext/>
        <w:keepLines/>
        <w:spacing w:before="0"/>
        <w:rPr>
          <w:rFonts w:ascii="Times New Roman" w:hAnsi="Times New Roman"/>
          <w:sz w:val="26"/>
          <w:szCs w:val="26"/>
        </w:rPr>
      </w:pPr>
      <w:r w:rsidRPr="008F225F">
        <w:rPr>
          <w:rFonts w:ascii="Times New Roman" w:hAnsi="Times New Roman"/>
          <w:sz w:val="26"/>
          <w:szCs w:val="26"/>
        </w:rPr>
        <w:tab/>
      </w:r>
      <w:r w:rsidRPr="008F225F">
        <w:rPr>
          <w:rStyle w:val="FootnoteReference"/>
          <w:rFonts w:ascii="Times New Roman" w:hAnsi="Times New Roman"/>
        </w:rPr>
        <w:footnoteRef/>
      </w:r>
      <w:r w:rsidRPr="008F225F">
        <w:rPr>
          <w:rFonts w:ascii="Times New Roman" w:hAnsi="Times New Roman"/>
          <w:sz w:val="26"/>
          <w:szCs w:val="26"/>
        </w:rPr>
        <w:tab/>
        <w:t xml:space="preserve">On review of the documents related to the 2001 Cost Study that was part of the </w:t>
      </w:r>
      <w:r w:rsidRPr="008F225F">
        <w:rPr>
          <w:rFonts w:ascii="Times New Roman" w:hAnsi="Times New Roman"/>
          <w:i/>
          <w:sz w:val="26"/>
          <w:szCs w:val="26"/>
        </w:rPr>
        <w:t>2004 Verizon PA TELRIC Proceeding</w:t>
      </w:r>
      <w:r w:rsidRPr="008F225F">
        <w:rPr>
          <w:rFonts w:ascii="Times New Roman" w:hAnsi="Times New Roman"/>
          <w:sz w:val="26"/>
          <w:szCs w:val="26"/>
        </w:rPr>
        <w:t xml:space="preserve">, we likewise find that Verizon PA has successfully demonstrated that its tandem trunk port costs are subsumed in its composite reciprocal compensation rate.  Tr. at 112-121; Core Exh P; Core Cross Exh. No. 5.  Further, our review of the ICA supports Verizon PA’s assertion that in addition to being a component of its reciprocal compensation rate, certain switching elements are provided as a UNE on a stand-alone basis.  </w:t>
      </w:r>
      <w:r w:rsidRPr="008F225F">
        <w:rPr>
          <w:rFonts w:ascii="Times New Roman" w:hAnsi="Times New Roman"/>
          <w:i/>
          <w:sz w:val="26"/>
          <w:szCs w:val="26"/>
        </w:rPr>
        <w:t xml:space="preserve">See ICA </w:t>
      </w:r>
      <w:r w:rsidRPr="008F225F">
        <w:rPr>
          <w:rFonts w:ascii="Times New Roman" w:hAnsi="Times New Roman"/>
          <w:sz w:val="26"/>
          <w:szCs w:val="26"/>
        </w:rPr>
        <w:t>at Attachment III.  Therefore, we find persuasive Verizon PA’s assertion that it was necessary to exclude trunk port costs when modeling the costs of certain switching rates when arriving at a stand-alone rate for those particular UNEs.</w:t>
      </w:r>
    </w:p>
  </w:footnote>
  <w:footnote w:id="20">
    <w:p w:rsidR="00FC5DEA" w:rsidRPr="008F225F" w:rsidRDefault="00FC5DEA" w:rsidP="006F59C5">
      <w:pPr>
        <w:pStyle w:val="FootnoteText"/>
        <w:keepNext/>
        <w:keepLines/>
        <w:spacing w:before="0"/>
        <w:rPr>
          <w:rFonts w:ascii="Times New Roman" w:hAnsi="Times New Roman"/>
          <w:sz w:val="26"/>
          <w:szCs w:val="26"/>
        </w:rPr>
      </w:pPr>
      <w:r w:rsidRPr="008F225F">
        <w:rPr>
          <w:rFonts w:ascii="Times New Roman" w:hAnsi="Times New Roman"/>
          <w:sz w:val="26"/>
          <w:szCs w:val="26"/>
        </w:rPr>
        <w:tab/>
      </w:r>
      <w:r w:rsidRPr="008F225F">
        <w:rPr>
          <w:rStyle w:val="FootnoteReference"/>
          <w:rFonts w:ascii="Times New Roman" w:hAnsi="Times New Roman"/>
        </w:rPr>
        <w:footnoteRef/>
      </w:r>
      <w:r w:rsidRPr="008F225F">
        <w:rPr>
          <w:rFonts w:ascii="Times New Roman" w:hAnsi="Times New Roman"/>
          <w:sz w:val="26"/>
          <w:szCs w:val="26"/>
        </w:rPr>
        <w:tab/>
      </w:r>
      <w:r w:rsidRPr="008F225F">
        <w:rPr>
          <w:rFonts w:ascii="Times New Roman" w:hAnsi="Times New Roman"/>
          <w:i/>
          <w:sz w:val="26"/>
          <w:szCs w:val="26"/>
        </w:rPr>
        <w:t>See</w:t>
      </w:r>
      <w:r w:rsidRPr="008F225F">
        <w:rPr>
          <w:rFonts w:ascii="Times New Roman" w:hAnsi="Times New Roman"/>
          <w:sz w:val="26"/>
          <w:szCs w:val="26"/>
        </w:rPr>
        <w:t xml:space="preserve"> </w:t>
      </w:r>
      <w:r w:rsidRPr="008F225F">
        <w:rPr>
          <w:rFonts w:ascii="Times New Roman" w:hAnsi="Times New Roman"/>
          <w:i/>
          <w:sz w:val="26"/>
          <w:szCs w:val="26"/>
        </w:rPr>
        <w:t xml:space="preserve">Joint Petition for the Approval of Amendment No. 1 to the Interconnection Agreement Between Verizon Pennsylvania Inc. and Core Communications, Inc. under Section 252(e) of the Telecommunications Act of 1996, </w:t>
      </w:r>
      <w:r w:rsidRPr="008F225F">
        <w:rPr>
          <w:rFonts w:ascii="Times New Roman" w:hAnsi="Times New Roman"/>
          <w:sz w:val="26"/>
          <w:szCs w:val="26"/>
        </w:rPr>
        <w:t>Docket No. A</w:t>
      </w:r>
      <w:r w:rsidRPr="008F225F">
        <w:rPr>
          <w:rFonts w:ascii="Times New Roman" w:hAnsi="Times New Roman"/>
          <w:sz w:val="26"/>
          <w:szCs w:val="26"/>
        </w:rPr>
        <w:noBreakHyphen/>
        <w:t>310922F7000 (Order entered July 1, 2003).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6B31"/>
    <w:multiLevelType w:val="hybridMultilevel"/>
    <w:tmpl w:val="72E67786"/>
    <w:lvl w:ilvl="0" w:tplc="4B0ED7F6">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44500E"/>
    <w:multiLevelType w:val="hybridMultilevel"/>
    <w:tmpl w:val="DCEE1BB2"/>
    <w:lvl w:ilvl="0" w:tplc="9B582B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D10980"/>
    <w:multiLevelType w:val="hybridMultilevel"/>
    <w:tmpl w:val="0CF6BDDE"/>
    <w:lvl w:ilvl="0" w:tplc="637298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1C544D"/>
    <w:multiLevelType w:val="hybridMultilevel"/>
    <w:tmpl w:val="E1CE5C38"/>
    <w:lvl w:ilvl="0" w:tplc="0CB27772">
      <w:start w:val="1"/>
      <w:numFmt w:val="decimal"/>
      <w:lvlText w:val="(%1)"/>
      <w:lvlJc w:val="left"/>
      <w:pPr>
        <w:ind w:left="4200" w:hanging="1770"/>
      </w:pPr>
      <w:rPr>
        <w:rFonts w:hint="default"/>
      </w:rPr>
    </w:lvl>
    <w:lvl w:ilvl="1" w:tplc="04090019">
      <w:start w:val="1"/>
      <w:numFmt w:val="lowerLetter"/>
      <w:lvlText w:val="%2."/>
      <w:lvlJc w:val="left"/>
      <w:pPr>
        <w:ind w:left="3510" w:hanging="360"/>
      </w:pPr>
    </w:lvl>
    <w:lvl w:ilvl="2" w:tplc="5DD41CC4">
      <w:start w:val="1"/>
      <w:numFmt w:val="decimal"/>
      <w:lvlText w:val="%3."/>
      <w:lvlJc w:val="left"/>
      <w:pPr>
        <w:ind w:left="6210" w:hanging="2160"/>
      </w:pPr>
      <w:rPr>
        <w:rFonts w:hint="default"/>
      </w:r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 w15:restartNumberingAfterBreak="0">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1726EDE"/>
    <w:multiLevelType w:val="hybridMultilevel"/>
    <w:tmpl w:val="1612F37E"/>
    <w:lvl w:ilvl="0" w:tplc="F9663F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9A719F"/>
    <w:multiLevelType w:val="hybridMultilevel"/>
    <w:tmpl w:val="1E0AB7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57E0B"/>
    <w:multiLevelType w:val="hybridMultilevel"/>
    <w:tmpl w:val="5A502350"/>
    <w:lvl w:ilvl="0" w:tplc="E3A61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A3633"/>
    <w:multiLevelType w:val="hybridMultilevel"/>
    <w:tmpl w:val="F85C98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5C145B1"/>
    <w:multiLevelType w:val="hybridMultilevel"/>
    <w:tmpl w:val="99166D16"/>
    <w:lvl w:ilvl="0" w:tplc="BBA4F20E">
      <w:start w:val="1"/>
      <w:numFmt w:val="lowerLetter"/>
      <w:lvlText w:val="(%1)"/>
      <w:lvlJc w:val="left"/>
      <w:pPr>
        <w:ind w:left="1935" w:hanging="360"/>
      </w:pPr>
    </w:lvl>
    <w:lvl w:ilvl="1" w:tplc="04090019">
      <w:start w:val="1"/>
      <w:numFmt w:val="lowerLetter"/>
      <w:lvlText w:val="%2."/>
      <w:lvlJc w:val="left"/>
      <w:pPr>
        <w:ind w:left="2655" w:hanging="360"/>
      </w:pPr>
    </w:lvl>
    <w:lvl w:ilvl="2" w:tplc="0409001B">
      <w:start w:val="1"/>
      <w:numFmt w:val="lowerRoman"/>
      <w:lvlText w:val="%3."/>
      <w:lvlJc w:val="right"/>
      <w:pPr>
        <w:ind w:left="3375" w:hanging="180"/>
      </w:pPr>
    </w:lvl>
    <w:lvl w:ilvl="3" w:tplc="0409000F">
      <w:start w:val="1"/>
      <w:numFmt w:val="decimal"/>
      <w:lvlText w:val="%4."/>
      <w:lvlJc w:val="left"/>
      <w:pPr>
        <w:ind w:left="4095" w:hanging="360"/>
      </w:pPr>
    </w:lvl>
    <w:lvl w:ilvl="4" w:tplc="04090019">
      <w:start w:val="1"/>
      <w:numFmt w:val="lowerLetter"/>
      <w:lvlText w:val="%5."/>
      <w:lvlJc w:val="left"/>
      <w:pPr>
        <w:ind w:left="4815" w:hanging="360"/>
      </w:pPr>
    </w:lvl>
    <w:lvl w:ilvl="5" w:tplc="0409001B">
      <w:start w:val="1"/>
      <w:numFmt w:val="lowerRoman"/>
      <w:lvlText w:val="%6."/>
      <w:lvlJc w:val="right"/>
      <w:pPr>
        <w:ind w:left="5535" w:hanging="180"/>
      </w:pPr>
    </w:lvl>
    <w:lvl w:ilvl="6" w:tplc="0409000F">
      <w:start w:val="1"/>
      <w:numFmt w:val="decimal"/>
      <w:lvlText w:val="%7."/>
      <w:lvlJc w:val="left"/>
      <w:pPr>
        <w:ind w:left="6255" w:hanging="360"/>
      </w:pPr>
    </w:lvl>
    <w:lvl w:ilvl="7" w:tplc="04090019">
      <w:start w:val="1"/>
      <w:numFmt w:val="lowerLetter"/>
      <w:lvlText w:val="%8."/>
      <w:lvlJc w:val="left"/>
      <w:pPr>
        <w:ind w:left="6975" w:hanging="360"/>
      </w:pPr>
    </w:lvl>
    <w:lvl w:ilvl="8" w:tplc="0409001B">
      <w:start w:val="1"/>
      <w:numFmt w:val="lowerRoman"/>
      <w:lvlText w:val="%9."/>
      <w:lvlJc w:val="right"/>
      <w:pPr>
        <w:ind w:left="7695" w:hanging="180"/>
      </w:pPr>
    </w:lvl>
  </w:abstractNum>
  <w:abstractNum w:abstractNumId="11" w15:restartNumberingAfterBreak="0">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1CB28B7"/>
    <w:multiLevelType w:val="hybridMultilevel"/>
    <w:tmpl w:val="9A7CF728"/>
    <w:lvl w:ilvl="0" w:tplc="C2C2234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2B54353"/>
    <w:multiLevelType w:val="hybridMultilevel"/>
    <w:tmpl w:val="A03CCC4E"/>
    <w:lvl w:ilvl="0" w:tplc="97C02F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89E6181"/>
    <w:multiLevelType w:val="hybridMultilevel"/>
    <w:tmpl w:val="B916238C"/>
    <w:lvl w:ilvl="0" w:tplc="09B4A1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0D0404"/>
    <w:multiLevelType w:val="hybridMultilevel"/>
    <w:tmpl w:val="2C0AFB10"/>
    <w:lvl w:ilvl="0" w:tplc="7AC68BF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4C06801"/>
    <w:multiLevelType w:val="hybridMultilevel"/>
    <w:tmpl w:val="19788C22"/>
    <w:lvl w:ilvl="0" w:tplc="9D96F3F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54842BF"/>
    <w:multiLevelType w:val="hybridMultilevel"/>
    <w:tmpl w:val="A678C242"/>
    <w:lvl w:ilvl="0" w:tplc="6BF64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0028B2"/>
    <w:multiLevelType w:val="hybridMultilevel"/>
    <w:tmpl w:val="A6545FA8"/>
    <w:lvl w:ilvl="0" w:tplc="9C6C52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BC66447"/>
    <w:multiLevelType w:val="hybridMultilevel"/>
    <w:tmpl w:val="B5C0FAA4"/>
    <w:lvl w:ilvl="0" w:tplc="CE8C68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D3A21E0"/>
    <w:multiLevelType w:val="hybridMultilevel"/>
    <w:tmpl w:val="C496659C"/>
    <w:lvl w:ilvl="0" w:tplc="474233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E673F18"/>
    <w:multiLevelType w:val="hybridMultilevel"/>
    <w:tmpl w:val="049E943E"/>
    <w:lvl w:ilvl="0" w:tplc="13FC31E2">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3EF74C92"/>
    <w:multiLevelType w:val="hybridMultilevel"/>
    <w:tmpl w:val="60A2C1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40BD570F"/>
    <w:multiLevelType w:val="hybridMultilevel"/>
    <w:tmpl w:val="264A471E"/>
    <w:lvl w:ilvl="0" w:tplc="6090FB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C573C2"/>
    <w:multiLevelType w:val="hybridMultilevel"/>
    <w:tmpl w:val="B66A7F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686500A"/>
    <w:multiLevelType w:val="hybridMultilevel"/>
    <w:tmpl w:val="BC64CBA2"/>
    <w:lvl w:ilvl="0" w:tplc="41AE22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74D0886"/>
    <w:multiLevelType w:val="hybridMultilevel"/>
    <w:tmpl w:val="6EF2B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820471E"/>
    <w:multiLevelType w:val="hybridMultilevel"/>
    <w:tmpl w:val="5A6EC98A"/>
    <w:lvl w:ilvl="0" w:tplc="BF4411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D946D18"/>
    <w:multiLevelType w:val="hybridMultilevel"/>
    <w:tmpl w:val="72E67786"/>
    <w:lvl w:ilvl="0" w:tplc="4B0ED7F6">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2704BC"/>
    <w:multiLevelType w:val="hybridMultilevel"/>
    <w:tmpl w:val="572C89BA"/>
    <w:lvl w:ilvl="0" w:tplc="2CFAC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F0398"/>
    <w:multiLevelType w:val="hybridMultilevel"/>
    <w:tmpl w:val="AD123764"/>
    <w:lvl w:ilvl="0" w:tplc="2C2ABB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B175A4C"/>
    <w:multiLevelType w:val="hybridMultilevel"/>
    <w:tmpl w:val="50842EF0"/>
    <w:lvl w:ilvl="0" w:tplc="18AAA3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4" w15:restartNumberingAfterBreak="0">
    <w:nsid w:val="5F836951"/>
    <w:multiLevelType w:val="hybridMultilevel"/>
    <w:tmpl w:val="88B60E5C"/>
    <w:lvl w:ilvl="0" w:tplc="B986C5CA">
      <w:start w:val="1"/>
      <w:numFmt w:val="decimal"/>
      <w:lvlText w:val="(%1)"/>
      <w:lvlJc w:val="left"/>
      <w:pPr>
        <w:ind w:left="27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5292B35"/>
    <w:multiLevelType w:val="hybridMultilevel"/>
    <w:tmpl w:val="B444188C"/>
    <w:lvl w:ilvl="0" w:tplc="42AADA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AB6C30"/>
    <w:multiLevelType w:val="hybridMultilevel"/>
    <w:tmpl w:val="8A10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255EB"/>
    <w:multiLevelType w:val="hybridMultilevel"/>
    <w:tmpl w:val="ACC2316E"/>
    <w:lvl w:ilvl="0" w:tplc="E21E37CA">
      <w:start w:val="1"/>
      <w:numFmt w:val="lowerRoman"/>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8" w15:restartNumberingAfterBreak="0">
    <w:nsid w:val="6F113CE8"/>
    <w:multiLevelType w:val="hybridMultilevel"/>
    <w:tmpl w:val="51382E68"/>
    <w:lvl w:ilvl="0" w:tplc="09D231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04138D0"/>
    <w:multiLevelType w:val="hybridMultilevel"/>
    <w:tmpl w:val="6E4A81DA"/>
    <w:lvl w:ilvl="0" w:tplc="31E0D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13D101C"/>
    <w:multiLevelType w:val="hybridMultilevel"/>
    <w:tmpl w:val="45401B60"/>
    <w:lvl w:ilvl="0" w:tplc="E946CD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1BC774D"/>
    <w:multiLevelType w:val="hybridMultilevel"/>
    <w:tmpl w:val="72C8DDE0"/>
    <w:lvl w:ilvl="0" w:tplc="E07C838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1FB7A25"/>
    <w:multiLevelType w:val="hybridMultilevel"/>
    <w:tmpl w:val="72E67786"/>
    <w:lvl w:ilvl="0" w:tplc="4B0ED7F6">
      <w:start w:val="1"/>
      <w:numFmt w:val="decimal"/>
      <w:lvlText w:val="%1."/>
      <w:lvlJc w:val="left"/>
      <w:pPr>
        <w:ind w:left="189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B4857DF"/>
    <w:multiLevelType w:val="hybridMultilevel"/>
    <w:tmpl w:val="7E96A724"/>
    <w:lvl w:ilvl="0" w:tplc="25186C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BAB1EA7"/>
    <w:multiLevelType w:val="hybridMultilevel"/>
    <w:tmpl w:val="5A7E273C"/>
    <w:lvl w:ilvl="0" w:tplc="65E44D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C993FD1"/>
    <w:multiLevelType w:val="hybridMultilevel"/>
    <w:tmpl w:val="5FDE5232"/>
    <w:lvl w:ilvl="0" w:tplc="B46C1B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CB7569D"/>
    <w:multiLevelType w:val="hybridMultilevel"/>
    <w:tmpl w:val="0630B3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2"/>
  </w:num>
  <w:num w:numId="2">
    <w:abstractNumId w:val="1"/>
  </w:num>
  <w:num w:numId="3">
    <w:abstractNumId w:val="33"/>
  </w:num>
  <w:num w:numId="4">
    <w:abstractNumId w:val="5"/>
  </w:num>
  <w:num w:numId="5">
    <w:abstractNumId w:val="11"/>
  </w:num>
  <w:num w:numId="6">
    <w:abstractNumId w:val="17"/>
  </w:num>
  <w:num w:numId="7">
    <w:abstractNumId w:val="41"/>
  </w:num>
  <w:num w:numId="8">
    <w:abstractNumId w:val="31"/>
  </w:num>
  <w:num w:numId="9">
    <w:abstractNumId w:val="23"/>
  </w:num>
  <w:num w:numId="10">
    <w:abstractNumId w:val="16"/>
  </w:num>
  <w:num w:numId="11">
    <w:abstractNumId w:val="20"/>
  </w:num>
  <w:num w:numId="12">
    <w:abstractNumId w:val="19"/>
  </w:num>
  <w:num w:numId="13">
    <w:abstractNumId w:val="13"/>
  </w:num>
  <w:num w:numId="14">
    <w:abstractNumId w:val="43"/>
  </w:num>
  <w:num w:numId="15">
    <w:abstractNumId w:val="40"/>
  </w:num>
  <w:num w:numId="16">
    <w:abstractNumId w:val="6"/>
  </w:num>
  <w:num w:numId="17">
    <w:abstractNumId w:val="27"/>
  </w:num>
  <w:num w:numId="18">
    <w:abstractNumId w:val="30"/>
  </w:num>
  <w:num w:numId="19">
    <w:abstractNumId w:val="25"/>
  </w:num>
  <w:num w:numId="20">
    <w:abstractNumId w:val="44"/>
  </w:num>
  <w:num w:numId="21">
    <w:abstractNumId w:val="18"/>
  </w:num>
  <w:num w:numId="22">
    <w:abstractNumId w:val="38"/>
  </w:num>
  <w:num w:numId="23">
    <w:abstractNumId w:val="3"/>
  </w:num>
  <w:num w:numId="24">
    <w:abstractNumId w:val="39"/>
  </w:num>
  <w:num w:numId="25">
    <w:abstractNumId w:val="14"/>
  </w:num>
  <w:num w:numId="26">
    <w:abstractNumId w:val="45"/>
  </w:num>
  <w:num w:numId="27">
    <w:abstractNumId w:val="35"/>
  </w:num>
  <w:num w:numId="28">
    <w:abstractNumId w:val="2"/>
  </w:num>
  <w:num w:numId="29">
    <w:abstractNumId w:val="42"/>
  </w:num>
  <w:num w:numId="30">
    <w:abstractNumId w:val="28"/>
  </w:num>
  <w:num w:numId="31">
    <w:abstractNumId w:val="0"/>
  </w:num>
  <w:num w:numId="32">
    <w:abstractNumId w:val="12"/>
  </w:num>
  <w:num w:numId="33">
    <w:abstractNumId w:val="34"/>
  </w:num>
  <w:num w:numId="34">
    <w:abstractNumId w:val="4"/>
  </w:num>
  <w:num w:numId="35">
    <w:abstractNumId w:val="9"/>
  </w:num>
  <w:num w:numId="36">
    <w:abstractNumId w:val="7"/>
  </w:num>
  <w:num w:numId="37">
    <w:abstractNumId w:val="46"/>
  </w:num>
  <w:num w:numId="38">
    <w:abstractNumId w:val="26"/>
  </w:num>
  <w:num w:numId="39">
    <w:abstractNumId w:val="15"/>
  </w:num>
  <w:num w:numId="40">
    <w:abstractNumId w:val="24"/>
  </w:num>
  <w:num w:numId="41">
    <w:abstractNumId w:val="29"/>
  </w:num>
  <w:num w:numId="42">
    <w:abstractNumId w:val="36"/>
  </w:num>
  <w:num w:numId="43">
    <w:abstractNumId w:val="8"/>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FE"/>
    <w:rsid w:val="000004FF"/>
    <w:rsid w:val="0000067E"/>
    <w:rsid w:val="00000A23"/>
    <w:rsid w:val="00000B19"/>
    <w:rsid w:val="00000C15"/>
    <w:rsid w:val="00000CEC"/>
    <w:rsid w:val="00001030"/>
    <w:rsid w:val="00001139"/>
    <w:rsid w:val="00001CA9"/>
    <w:rsid w:val="0000209B"/>
    <w:rsid w:val="0000217A"/>
    <w:rsid w:val="00002F2A"/>
    <w:rsid w:val="0000346E"/>
    <w:rsid w:val="00003889"/>
    <w:rsid w:val="00003AF8"/>
    <w:rsid w:val="00003EC2"/>
    <w:rsid w:val="000044F1"/>
    <w:rsid w:val="00004B83"/>
    <w:rsid w:val="00004C36"/>
    <w:rsid w:val="00004D09"/>
    <w:rsid w:val="00004EE1"/>
    <w:rsid w:val="00005780"/>
    <w:rsid w:val="00005AC7"/>
    <w:rsid w:val="00005BF5"/>
    <w:rsid w:val="000063E9"/>
    <w:rsid w:val="00006BBE"/>
    <w:rsid w:val="00006E37"/>
    <w:rsid w:val="00007042"/>
    <w:rsid w:val="00007106"/>
    <w:rsid w:val="00007400"/>
    <w:rsid w:val="000074DC"/>
    <w:rsid w:val="000079E4"/>
    <w:rsid w:val="00007AA7"/>
    <w:rsid w:val="00010322"/>
    <w:rsid w:val="000105DE"/>
    <w:rsid w:val="0001099D"/>
    <w:rsid w:val="00010A96"/>
    <w:rsid w:val="00010AA5"/>
    <w:rsid w:val="00010DF9"/>
    <w:rsid w:val="00010F62"/>
    <w:rsid w:val="00011036"/>
    <w:rsid w:val="000111C5"/>
    <w:rsid w:val="00011E54"/>
    <w:rsid w:val="00012106"/>
    <w:rsid w:val="0001223A"/>
    <w:rsid w:val="00012A95"/>
    <w:rsid w:val="00013949"/>
    <w:rsid w:val="00013B94"/>
    <w:rsid w:val="00013CB1"/>
    <w:rsid w:val="0001411C"/>
    <w:rsid w:val="00014406"/>
    <w:rsid w:val="000148F5"/>
    <w:rsid w:val="00014D32"/>
    <w:rsid w:val="00014D9C"/>
    <w:rsid w:val="00014F1F"/>
    <w:rsid w:val="000151E1"/>
    <w:rsid w:val="0001548A"/>
    <w:rsid w:val="0001588F"/>
    <w:rsid w:val="0001594D"/>
    <w:rsid w:val="00015969"/>
    <w:rsid w:val="00015A01"/>
    <w:rsid w:val="00015F67"/>
    <w:rsid w:val="000161E7"/>
    <w:rsid w:val="000162D6"/>
    <w:rsid w:val="0001634E"/>
    <w:rsid w:val="00016C89"/>
    <w:rsid w:val="00016CE0"/>
    <w:rsid w:val="00016F32"/>
    <w:rsid w:val="00017033"/>
    <w:rsid w:val="0001709E"/>
    <w:rsid w:val="00017655"/>
    <w:rsid w:val="00017814"/>
    <w:rsid w:val="00017912"/>
    <w:rsid w:val="00020240"/>
    <w:rsid w:val="0002085A"/>
    <w:rsid w:val="000209AF"/>
    <w:rsid w:val="00020A2A"/>
    <w:rsid w:val="00020B46"/>
    <w:rsid w:val="00020D81"/>
    <w:rsid w:val="00020DCA"/>
    <w:rsid w:val="00020E43"/>
    <w:rsid w:val="00020F8F"/>
    <w:rsid w:val="00020FEF"/>
    <w:rsid w:val="00021480"/>
    <w:rsid w:val="000215B4"/>
    <w:rsid w:val="0002191B"/>
    <w:rsid w:val="00021FB3"/>
    <w:rsid w:val="000222DA"/>
    <w:rsid w:val="000223CC"/>
    <w:rsid w:val="000223D4"/>
    <w:rsid w:val="000228F0"/>
    <w:rsid w:val="00022C8E"/>
    <w:rsid w:val="00022FFD"/>
    <w:rsid w:val="00023288"/>
    <w:rsid w:val="000234F5"/>
    <w:rsid w:val="00023ABB"/>
    <w:rsid w:val="00024987"/>
    <w:rsid w:val="00024C31"/>
    <w:rsid w:val="00024DD1"/>
    <w:rsid w:val="0002550B"/>
    <w:rsid w:val="00025686"/>
    <w:rsid w:val="0002585B"/>
    <w:rsid w:val="00025B09"/>
    <w:rsid w:val="00025B28"/>
    <w:rsid w:val="000261D5"/>
    <w:rsid w:val="00026393"/>
    <w:rsid w:val="00026E4B"/>
    <w:rsid w:val="00026EB8"/>
    <w:rsid w:val="0002723A"/>
    <w:rsid w:val="0002744F"/>
    <w:rsid w:val="00027EE5"/>
    <w:rsid w:val="00030EB6"/>
    <w:rsid w:val="000310BE"/>
    <w:rsid w:val="00031569"/>
    <w:rsid w:val="00031D84"/>
    <w:rsid w:val="00031E93"/>
    <w:rsid w:val="0003242A"/>
    <w:rsid w:val="000329B9"/>
    <w:rsid w:val="00033A47"/>
    <w:rsid w:val="00033CB2"/>
    <w:rsid w:val="0003420F"/>
    <w:rsid w:val="00034C9A"/>
    <w:rsid w:val="00034F3D"/>
    <w:rsid w:val="00035038"/>
    <w:rsid w:val="0003588B"/>
    <w:rsid w:val="00035F25"/>
    <w:rsid w:val="000364F0"/>
    <w:rsid w:val="00036573"/>
    <w:rsid w:val="000367CE"/>
    <w:rsid w:val="00036B71"/>
    <w:rsid w:val="00036D41"/>
    <w:rsid w:val="00036F47"/>
    <w:rsid w:val="00037014"/>
    <w:rsid w:val="00037055"/>
    <w:rsid w:val="000378DC"/>
    <w:rsid w:val="00037D7E"/>
    <w:rsid w:val="0004071F"/>
    <w:rsid w:val="00040810"/>
    <w:rsid w:val="00040A31"/>
    <w:rsid w:val="00040FEB"/>
    <w:rsid w:val="00041336"/>
    <w:rsid w:val="000413FE"/>
    <w:rsid w:val="000416ED"/>
    <w:rsid w:val="00041EFA"/>
    <w:rsid w:val="000426DB"/>
    <w:rsid w:val="00042737"/>
    <w:rsid w:val="00043401"/>
    <w:rsid w:val="00043412"/>
    <w:rsid w:val="00044438"/>
    <w:rsid w:val="00044B34"/>
    <w:rsid w:val="00044C58"/>
    <w:rsid w:val="00044CB4"/>
    <w:rsid w:val="00045593"/>
    <w:rsid w:val="000458AD"/>
    <w:rsid w:val="00045B36"/>
    <w:rsid w:val="00045E8B"/>
    <w:rsid w:val="00045EB8"/>
    <w:rsid w:val="00046422"/>
    <w:rsid w:val="0004679E"/>
    <w:rsid w:val="00046B7E"/>
    <w:rsid w:val="00046B82"/>
    <w:rsid w:val="00046D1C"/>
    <w:rsid w:val="00046D8A"/>
    <w:rsid w:val="00046E6A"/>
    <w:rsid w:val="00046FA7"/>
    <w:rsid w:val="000470E6"/>
    <w:rsid w:val="000472A4"/>
    <w:rsid w:val="000472AE"/>
    <w:rsid w:val="0004766D"/>
    <w:rsid w:val="000478E0"/>
    <w:rsid w:val="00047B4A"/>
    <w:rsid w:val="00047C1D"/>
    <w:rsid w:val="000510D0"/>
    <w:rsid w:val="000510FD"/>
    <w:rsid w:val="00051151"/>
    <w:rsid w:val="0005165E"/>
    <w:rsid w:val="00051A17"/>
    <w:rsid w:val="000523DA"/>
    <w:rsid w:val="0005251A"/>
    <w:rsid w:val="00052BAE"/>
    <w:rsid w:val="00052D81"/>
    <w:rsid w:val="000531F7"/>
    <w:rsid w:val="00053329"/>
    <w:rsid w:val="000535D2"/>
    <w:rsid w:val="00053601"/>
    <w:rsid w:val="00053720"/>
    <w:rsid w:val="00053CED"/>
    <w:rsid w:val="00053D71"/>
    <w:rsid w:val="000541A0"/>
    <w:rsid w:val="000541C1"/>
    <w:rsid w:val="00054407"/>
    <w:rsid w:val="00054419"/>
    <w:rsid w:val="00054436"/>
    <w:rsid w:val="00054749"/>
    <w:rsid w:val="00054944"/>
    <w:rsid w:val="000549B1"/>
    <w:rsid w:val="00054F7A"/>
    <w:rsid w:val="000557AD"/>
    <w:rsid w:val="000557B9"/>
    <w:rsid w:val="000558B2"/>
    <w:rsid w:val="00055E51"/>
    <w:rsid w:val="00055EF9"/>
    <w:rsid w:val="00056309"/>
    <w:rsid w:val="000565B1"/>
    <w:rsid w:val="0005683B"/>
    <w:rsid w:val="000569E8"/>
    <w:rsid w:val="00057057"/>
    <w:rsid w:val="0005735C"/>
    <w:rsid w:val="000573BD"/>
    <w:rsid w:val="000573F4"/>
    <w:rsid w:val="00057604"/>
    <w:rsid w:val="0005778D"/>
    <w:rsid w:val="000610F9"/>
    <w:rsid w:val="00061284"/>
    <w:rsid w:val="00061850"/>
    <w:rsid w:val="000624EF"/>
    <w:rsid w:val="000629CD"/>
    <w:rsid w:val="0006309C"/>
    <w:rsid w:val="000634BD"/>
    <w:rsid w:val="0006405C"/>
    <w:rsid w:val="00064454"/>
    <w:rsid w:val="000648F7"/>
    <w:rsid w:val="00064A47"/>
    <w:rsid w:val="00064BB4"/>
    <w:rsid w:val="00064C85"/>
    <w:rsid w:val="00065226"/>
    <w:rsid w:val="00065736"/>
    <w:rsid w:val="000657F4"/>
    <w:rsid w:val="00065DB6"/>
    <w:rsid w:val="00065F47"/>
    <w:rsid w:val="000663E7"/>
    <w:rsid w:val="00066935"/>
    <w:rsid w:val="00066A94"/>
    <w:rsid w:val="00066BE2"/>
    <w:rsid w:val="00066E55"/>
    <w:rsid w:val="00066FE8"/>
    <w:rsid w:val="000673D1"/>
    <w:rsid w:val="00067AFE"/>
    <w:rsid w:val="000701DF"/>
    <w:rsid w:val="0007038C"/>
    <w:rsid w:val="000706F8"/>
    <w:rsid w:val="00070DC6"/>
    <w:rsid w:val="00070FF8"/>
    <w:rsid w:val="00070FFD"/>
    <w:rsid w:val="0007112E"/>
    <w:rsid w:val="000711D9"/>
    <w:rsid w:val="000716A0"/>
    <w:rsid w:val="00071953"/>
    <w:rsid w:val="00071F02"/>
    <w:rsid w:val="0007205B"/>
    <w:rsid w:val="0007258E"/>
    <w:rsid w:val="00072883"/>
    <w:rsid w:val="00072D88"/>
    <w:rsid w:val="0007305F"/>
    <w:rsid w:val="00073128"/>
    <w:rsid w:val="000731DA"/>
    <w:rsid w:val="00073200"/>
    <w:rsid w:val="00073413"/>
    <w:rsid w:val="00073695"/>
    <w:rsid w:val="00073BBA"/>
    <w:rsid w:val="00073C25"/>
    <w:rsid w:val="00073D07"/>
    <w:rsid w:val="00073E25"/>
    <w:rsid w:val="00073EDD"/>
    <w:rsid w:val="0007408B"/>
    <w:rsid w:val="00074AD9"/>
    <w:rsid w:val="00075161"/>
    <w:rsid w:val="00075677"/>
    <w:rsid w:val="0007596A"/>
    <w:rsid w:val="000767F9"/>
    <w:rsid w:val="00076C1A"/>
    <w:rsid w:val="00076E84"/>
    <w:rsid w:val="00076F62"/>
    <w:rsid w:val="000771D8"/>
    <w:rsid w:val="000777D8"/>
    <w:rsid w:val="00077F6A"/>
    <w:rsid w:val="00080878"/>
    <w:rsid w:val="00080BB7"/>
    <w:rsid w:val="00080C6A"/>
    <w:rsid w:val="000814B6"/>
    <w:rsid w:val="000815C0"/>
    <w:rsid w:val="0008193F"/>
    <w:rsid w:val="0008251E"/>
    <w:rsid w:val="0008328F"/>
    <w:rsid w:val="00083942"/>
    <w:rsid w:val="00083B4F"/>
    <w:rsid w:val="00083CE8"/>
    <w:rsid w:val="0008445E"/>
    <w:rsid w:val="000844D8"/>
    <w:rsid w:val="0008466F"/>
    <w:rsid w:val="00084860"/>
    <w:rsid w:val="00084E3A"/>
    <w:rsid w:val="00084F18"/>
    <w:rsid w:val="00084FFB"/>
    <w:rsid w:val="0008537D"/>
    <w:rsid w:val="000857EA"/>
    <w:rsid w:val="00085C5D"/>
    <w:rsid w:val="00085F83"/>
    <w:rsid w:val="00085FFB"/>
    <w:rsid w:val="00086392"/>
    <w:rsid w:val="00086411"/>
    <w:rsid w:val="00086A30"/>
    <w:rsid w:val="00086AE6"/>
    <w:rsid w:val="00086D0B"/>
    <w:rsid w:val="00086DB8"/>
    <w:rsid w:val="000871A4"/>
    <w:rsid w:val="0008765C"/>
    <w:rsid w:val="0008768F"/>
    <w:rsid w:val="00087C06"/>
    <w:rsid w:val="00087D18"/>
    <w:rsid w:val="00087F65"/>
    <w:rsid w:val="000900DD"/>
    <w:rsid w:val="00090CC6"/>
    <w:rsid w:val="00091479"/>
    <w:rsid w:val="00091623"/>
    <w:rsid w:val="00091937"/>
    <w:rsid w:val="00092292"/>
    <w:rsid w:val="00092371"/>
    <w:rsid w:val="00092384"/>
    <w:rsid w:val="00092390"/>
    <w:rsid w:val="00092600"/>
    <w:rsid w:val="0009264A"/>
    <w:rsid w:val="000926F5"/>
    <w:rsid w:val="00092744"/>
    <w:rsid w:val="00092ABD"/>
    <w:rsid w:val="00092F54"/>
    <w:rsid w:val="000931E3"/>
    <w:rsid w:val="00093344"/>
    <w:rsid w:val="00094032"/>
    <w:rsid w:val="000949D9"/>
    <w:rsid w:val="00094D6F"/>
    <w:rsid w:val="00094E19"/>
    <w:rsid w:val="00095033"/>
    <w:rsid w:val="0009505B"/>
    <w:rsid w:val="00095223"/>
    <w:rsid w:val="000958FA"/>
    <w:rsid w:val="00095B13"/>
    <w:rsid w:val="00095C70"/>
    <w:rsid w:val="00095DCE"/>
    <w:rsid w:val="00095F52"/>
    <w:rsid w:val="000960C9"/>
    <w:rsid w:val="00096187"/>
    <w:rsid w:val="00096395"/>
    <w:rsid w:val="000966DC"/>
    <w:rsid w:val="000966FC"/>
    <w:rsid w:val="0009685B"/>
    <w:rsid w:val="00096E2E"/>
    <w:rsid w:val="00097671"/>
    <w:rsid w:val="0009781B"/>
    <w:rsid w:val="00097B3E"/>
    <w:rsid w:val="00097DFE"/>
    <w:rsid w:val="000A03F0"/>
    <w:rsid w:val="000A0614"/>
    <w:rsid w:val="000A065D"/>
    <w:rsid w:val="000A0A19"/>
    <w:rsid w:val="000A0BCD"/>
    <w:rsid w:val="000A1364"/>
    <w:rsid w:val="000A1505"/>
    <w:rsid w:val="000A2032"/>
    <w:rsid w:val="000A21AA"/>
    <w:rsid w:val="000A2F11"/>
    <w:rsid w:val="000A35F4"/>
    <w:rsid w:val="000A37E4"/>
    <w:rsid w:val="000A38C8"/>
    <w:rsid w:val="000A3F13"/>
    <w:rsid w:val="000A42F3"/>
    <w:rsid w:val="000A4607"/>
    <w:rsid w:val="000A4B5C"/>
    <w:rsid w:val="000A4C46"/>
    <w:rsid w:val="000A5AF1"/>
    <w:rsid w:val="000A60C1"/>
    <w:rsid w:val="000A6527"/>
    <w:rsid w:val="000A690C"/>
    <w:rsid w:val="000A692D"/>
    <w:rsid w:val="000A6EB3"/>
    <w:rsid w:val="000A7078"/>
    <w:rsid w:val="000A76CC"/>
    <w:rsid w:val="000A770A"/>
    <w:rsid w:val="000A7776"/>
    <w:rsid w:val="000A7F96"/>
    <w:rsid w:val="000A7FB5"/>
    <w:rsid w:val="000B0C15"/>
    <w:rsid w:val="000B158F"/>
    <w:rsid w:val="000B1DF9"/>
    <w:rsid w:val="000B2688"/>
    <w:rsid w:val="000B2948"/>
    <w:rsid w:val="000B2B80"/>
    <w:rsid w:val="000B2C1E"/>
    <w:rsid w:val="000B3928"/>
    <w:rsid w:val="000B3FB4"/>
    <w:rsid w:val="000B4F29"/>
    <w:rsid w:val="000B5487"/>
    <w:rsid w:val="000B5DF8"/>
    <w:rsid w:val="000B6793"/>
    <w:rsid w:val="000B71E3"/>
    <w:rsid w:val="000B7455"/>
    <w:rsid w:val="000B75BC"/>
    <w:rsid w:val="000B77E2"/>
    <w:rsid w:val="000B7B6C"/>
    <w:rsid w:val="000B7B98"/>
    <w:rsid w:val="000C00A4"/>
    <w:rsid w:val="000C00C0"/>
    <w:rsid w:val="000C0968"/>
    <w:rsid w:val="000C0B2D"/>
    <w:rsid w:val="000C0C44"/>
    <w:rsid w:val="000C143E"/>
    <w:rsid w:val="000C1763"/>
    <w:rsid w:val="000C1826"/>
    <w:rsid w:val="000C1D6F"/>
    <w:rsid w:val="000C2977"/>
    <w:rsid w:val="000C306E"/>
    <w:rsid w:val="000C3C6D"/>
    <w:rsid w:val="000C3E76"/>
    <w:rsid w:val="000C409A"/>
    <w:rsid w:val="000C4350"/>
    <w:rsid w:val="000C4AD1"/>
    <w:rsid w:val="000C4B2D"/>
    <w:rsid w:val="000C4BFD"/>
    <w:rsid w:val="000C4F41"/>
    <w:rsid w:val="000C546D"/>
    <w:rsid w:val="000C5500"/>
    <w:rsid w:val="000C5AEA"/>
    <w:rsid w:val="000C608B"/>
    <w:rsid w:val="000C6994"/>
    <w:rsid w:val="000C70C3"/>
    <w:rsid w:val="000C742F"/>
    <w:rsid w:val="000C7788"/>
    <w:rsid w:val="000C7BC6"/>
    <w:rsid w:val="000D03AF"/>
    <w:rsid w:val="000D06FF"/>
    <w:rsid w:val="000D096D"/>
    <w:rsid w:val="000D0BAC"/>
    <w:rsid w:val="000D0D75"/>
    <w:rsid w:val="000D1200"/>
    <w:rsid w:val="000D1636"/>
    <w:rsid w:val="000D1965"/>
    <w:rsid w:val="000D19BF"/>
    <w:rsid w:val="000D1A1F"/>
    <w:rsid w:val="000D1D3B"/>
    <w:rsid w:val="000D2338"/>
    <w:rsid w:val="000D27AA"/>
    <w:rsid w:val="000D2933"/>
    <w:rsid w:val="000D32FB"/>
    <w:rsid w:val="000D3C7D"/>
    <w:rsid w:val="000D3CE1"/>
    <w:rsid w:val="000D3E55"/>
    <w:rsid w:val="000D41DA"/>
    <w:rsid w:val="000D453B"/>
    <w:rsid w:val="000D4638"/>
    <w:rsid w:val="000D4C7A"/>
    <w:rsid w:val="000D5046"/>
    <w:rsid w:val="000D539D"/>
    <w:rsid w:val="000D5724"/>
    <w:rsid w:val="000D648D"/>
    <w:rsid w:val="000D654F"/>
    <w:rsid w:val="000D6806"/>
    <w:rsid w:val="000D6C35"/>
    <w:rsid w:val="000D6DAD"/>
    <w:rsid w:val="000D72FE"/>
    <w:rsid w:val="000D735B"/>
    <w:rsid w:val="000D7DEE"/>
    <w:rsid w:val="000E0050"/>
    <w:rsid w:val="000E00F2"/>
    <w:rsid w:val="000E0311"/>
    <w:rsid w:val="000E09BE"/>
    <w:rsid w:val="000E09D5"/>
    <w:rsid w:val="000E0A53"/>
    <w:rsid w:val="000E0FBC"/>
    <w:rsid w:val="000E1722"/>
    <w:rsid w:val="000E1D2B"/>
    <w:rsid w:val="000E24DE"/>
    <w:rsid w:val="000E2939"/>
    <w:rsid w:val="000E2D1D"/>
    <w:rsid w:val="000E2D8F"/>
    <w:rsid w:val="000E2F87"/>
    <w:rsid w:val="000E305C"/>
    <w:rsid w:val="000E36DD"/>
    <w:rsid w:val="000E3FDA"/>
    <w:rsid w:val="000E492B"/>
    <w:rsid w:val="000E4A1F"/>
    <w:rsid w:val="000E4A54"/>
    <w:rsid w:val="000E4B88"/>
    <w:rsid w:val="000E4BED"/>
    <w:rsid w:val="000E4FF7"/>
    <w:rsid w:val="000E5AE5"/>
    <w:rsid w:val="000E6D9D"/>
    <w:rsid w:val="000E6F1D"/>
    <w:rsid w:val="000E7110"/>
    <w:rsid w:val="000E79C7"/>
    <w:rsid w:val="000E7B68"/>
    <w:rsid w:val="000E7EE9"/>
    <w:rsid w:val="000F0155"/>
    <w:rsid w:val="000F09C5"/>
    <w:rsid w:val="000F0D85"/>
    <w:rsid w:val="000F137C"/>
    <w:rsid w:val="000F1D43"/>
    <w:rsid w:val="000F2540"/>
    <w:rsid w:val="000F2904"/>
    <w:rsid w:val="000F292B"/>
    <w:rsid w:val="000F29D8"/>
    <w:rsid w:val="000F2BEF"/>
    <w:rsid w:val="000F2BF7"/>
    <w:rsid w:val="000F2D61"/>
    <w:rsid w:val="000F2E18"/>
    <w:rsid w:val="000F34DC"/>
    <w:rsid w:val="000F34FC"/>
    <w:rsid w:val="000F4094"/>
    <w:rsid w:val="000F4144"/>
    <w:rsid w:val="000F419C"/>
    <w:rsid w:val="000F4451"/>
    <w:rsid w:val="000F44EB"/>
    <w:rsid w:val="000F4524"/>
    <w:rsid w:val="000F459A"/>
    <w:rsid w:val="000F484A"/>
    <w:rsid w:val="000F4F39"/>
    <w:rsid w:val="000F518B"/>
    <w:rsid w:val="000F539E"/>
    <w:rsid w:val="000F54E1"/>
    <w:rsid w:val="000F54EC"/>
    <w:rsid w:val="000F5654"/>
    <w:rsid w:val="000F59D2"/>
    <w:rsid w:val="000F5A80"/>
    <w:rsid w:val="000F5EF4"/>
    <w:rsid w:val="000F6992"/>
    <w:rsid w:val="000F6D5A"/>
    <w:rsid w:val="000F7D51"/>
    <w:rsid w:val="000F7F57"/>
    <w:rsid w:val="00100101"/>
    <w:rsid w:val="0010013C"/>
    <w:rsid w:val="00100437"/>
    <w:rsid w:val="00100574"/>
    <w:rsid w:val="001006F0"/>
    <w:rsid w:val="00100B90"/>
    <w:rsid w:val="00100BF3"/>
    <w:rsid w:val="001014D6"/>
    <w:rsid w:val="00101745"/>
    <w:rsid w:val="00101F3D"/>
    <w:rsid w:val="001021ED"/>
    <w:rsid w:val="0010229C"/>
    <w:rsid w:val="001026AA"/>
    <w:rsid w:val="0010271C"/>
    <w:rsid w:val="00102922"/>
    <w:rsid w:val="00103071"/>
    <w:rsid w:val="0010309D"/>
    <w:rsid w:val="0010350F"/>
    <w:rsid w:val="00103A52"/>
    <w:rsid w:val="00103CDE"/>
    <w:rsid w:val="00103E65"/>
    <w:rsid w:val="001048B3"/>
    <w:rsid w:val="00105084"/>
    <w:rsid w:val="00105104"/>
    <w:rsid w:val="00105193"/>
    <w:rsid w:val="00105696"/>
    <w:rsid w:val="00105730"/>
    <w:rsid w:val="0010574B"/>
    <w:rsid w:val="001057C5"/>
    <w:rsid w:val="00105981"/>
    <w:rsid w:val="00105D55"/>
    <w:rsid w:val="001061E3"/>
    <w:rsid w:val="00106537"/>
    <w:rsid w:val="00106815"/>
    <w:rsid w:val="00106B32"/>
    <w:rsid w:val="001072D2"/>
    <w:rsid w:val="001075B6"/>
    <w:rsid w:val="00107ACC"/>
    <w:rsid w:val="00107C16"/>
    <w:rsid w:val="0011019B"/>
    <w:rsid w:val="001102D6"/>
    <w:rsid w:val="001112D8"/>
    <w:rsid w:val="00111544"/>
    <w:rsid w:val="00111E5B"/>
    <w:rsid w:val="00112433"/>
    <w:rsid w:val="0011244B"/>
    <w:rsid w:val="001124EF"/>
    <w:rsid w:val="001130FA"/>
    <w:rsid w:val="0011311C"/>
    <w:rsid w:val="001133C8"/>
    <w:rsid w:val="00113780"/>
    <w:rsid w:val="00113BBC"/>
    <w:rsid w:val="00113CCF"/>
    <w:rsid w:val="001147D6"/>
    <w:rsid w:val="00114C0A"/>
    <w:rsid w:val="00114D80"/>
    <w:rsid w:val="00114EFC"/>
    <w:rsid w:val="00114FE8"/>
    <w:rsid w:val="0011505C"/>
    <w:rsid w:val="0011512D"/>
    <w:rsid w:val="00115FD9"/>
    <w:rsid w:val="0011606B"/>
    <w:rsid w:val="00116A14"/>
    <w:rsid w:val="00116C8C"/>
    <w:rsid w:val="00116D79"/>
    <w:rsid w:val="0011769C"/>
    <w:rsid w:val="00117CE1"/>
    <w:rsid w:val="00120046"/>
    <w:rsid w:val="001204F6"/>
    <w:rsid w:val="0012071C"/>
    <w:rsid w:val="00120C2F"/>
    <w:rsid w:val="001211C2"/>
    <w:rsid w:val="0012191E"/>
    <w:rsid w:val="00121931"/>
    <w:rsid w:val="00121C24"/>
    <w:rsid w:val="0012221C"/>
    <w:rsid w:val="00122CCF"/>
    <w:rsid w:val="00122E0F"/>
    <w:rsid w:val="00122E60"/>
    <w:rsid w:val="00123068"/>
    <w:rsid w:val="001238CC"/>
    <w:rsid w:val="001239C2"/>
    <w:rsid w:val="00123F8E"/>
    <w:rsid w:val="00124138"/>
    <w:rsid w:val="001242FA"/>
    <w:rsid w:val="00124761"/>
    <w:rsid w:val="00124A50"/>
    <w:rsid w:val="00124C91"/>
    <w:rsid w:val="001250E6"/>
    <w:rsid w:val="00125195"/>
    <w:rsid w:val="0012522C"/>
    <w:rsid w:val="00126152"/>
    <w:rsid w:val="00126357"/>
    <w:rsid w:val="0012697D"/>
    <w:rsid w:val="00126DFE"/>
    <w:rsid w:val="001270AB"/>
    <w:rsid w:val="001270E8"/>
    <w:rsid w:val="0012728A"/>
    <w:rsid w:val="00127623"/>
    <w:rsid w:val="00127C7C"/>
    <w:rsid w:val="00127FC5"/>
    <w:rsid w:val="001303BA"/>
    <w:rsid w:val="001307AF"/>
    <w:rsid w:val="00130C69"/>
    <w:rsid w:val="00130D01"/>
    <w:rsid w:val="00130D74"/>
    <w:rsid w:val="00130DBB"/>
    <w:rsid w:val="0013139B"/>
    <w:rsid w:val="001318C9"/>
    <w:rsid w:val="00131B43"/>
    <w:rsid w:val="0013213D"/>
    <w:rsid w:val="00132193"/>
    <w:rsid w:val="00132429"/>
    <w:rsid w:val="001326DD"/>
    <w:rsid w:val="00132E27"/>
    <w:rsid w:val="00133092"/>
    <w:rsid w:val="00133250"/>
    <w:rsid w:val="0013332F"/>
    <w:rsid w:val="00133878"/>
    <w:rsid w:val="00133C9E"/>
    <w:rsid w:val="00133CA1"/>
    <w:rsid w:val="00134187"/>
    <w:rsid w:val="00134324"/>
    <w:rsid w:val="001345C7"/>
    <w:rsid w:val="00134AC5"/>
    <w:rsid w:val="001350BC"/>
    <w:rsid w:val="0013531D"/>
    <w:rsid w:val="0013568B"/>
    <w:rsid w:val="00135A7F"/>
    <w:rsid w:val="00135BF5"/>
    <w:rsid w:val="00135C3C"/>
    <w:rsid w:val="00135C86"/>
    <w:rsid w:val="00135DEF"/>
    <w:rsid w:val="00136241"/>
    <w:rsid w:val="0013672D"/>
    <w:rsid w:val="00136A22"/>
    <w:rsid w:val="001373D6"/>
    <w:rsid w:val="00137880"/>
    <w:rsid w:val="00137A60"/>
    <w:rsid w:val="00137B26"/>
    <w:rsid w:val="001401EC"/>
    <w:rsid w:val="00140268"/>
    <w:rsid w:val="001405A7"/>
    <w:rsid w:val="00140679"/>
    <w:rsid w:val="00140E12"/>
    <w:rsid w:val="00141115"/>
    <w:rsid w:val="001414D9"/>
    <w:rsid w:val="00141753"/>
    <w:rsid w:val="0014179B"/>
    <w:rsid w:val="00141877"/>
    <w:rsid w:val="00141882"/>
    <w:rsid w:val="00141BB9"/>
    <w:rsid w:val="00141D42"/>
    <w:rsid w:val="00141DF0"/>
    <w:rsid w:val="0014205C"/>
    <w:rsid w:val="0014209E"/>
    <w:rsid w:val="001426A0"/>
    <w:rsid w:val="0014278C"/>
    <w:rsid w:val="00142D3A"/>
    <w:rsid w:val="001433FD"/>
    <w:rsid w:val="00143C68"/>
    <w:rsid w:val="00143E12"/>
    <w:rsid w:val="00143F43"/>
    <w:rsid w:val="00144064"/>
    <w:rsid w:val="00144166"/>
    <w:rsid w:val="00144788"/>
    <w:rsid w:val="00144E09"/>
    <w:rsid w:val="00144EF6"/>
    <w:rsid w:val="00145013"/>
    <w:rsid w:val="00145272"/>
    <w:rsid w:val="001456DB"/>
    <w:rsid w:val="001457F2"/>
    <w:rsid w:val="0014597E"/>
    <w:rsid w:val="00145E10"/>
    <w:rsid w:val="00145EDC"/>
    <w:rsid w:val="0014653E"/>
    <w:rsid w:val="00146AC1"/>
    <w:rsid w:val="00146D58"/>
    <w:rsid w:val="00146E12"/>
    <w:rsid w:val="00146E2A"/>
    <w:rsid w:val="00146E47"/>
    <w:rsid w:val="00147415"/>
    <w:rsid w:val="001479C8"/>
    <w:rsid w:val="0015003D"/>
    <w:rsid w:val="001500E0"/>
    <w:rsid w:val="001504D7"/>
    <w:rsid w:val="00150989"/>
    <w:rsid w:val="001509E0"/>
    <w:rsid w:val="00150A78"/>
    <w:rsid w:val="00150C20"/>
    <w:rsid w:val="00151005"/>
    <w:rsid w:val="001517E8"/>
    <w:rsid w:val="00151AFE"/>
    <w:rsid w:val="0015205D"/>
    <w:rsid w:val="001522E5"/>
    <w:rsid w:val="0015320B"/>
    <w:rsid w:val="00153694"/>
    <w:rsid w:val="001543B3"/>
    <w:rsid w:val="00154825"/>
    <w:rsid w:val="00154E19"/>
    <w:rsid w:val="001550FF"/>
    <w:rsid w:val="00156222"/>
    <w:rsid w:val="00156405"/>
    <w:rsid w:val="0015662E"/>
    <w:rsid w:val="0015684A"/>
    <w:rsid w:val="00156A73"/>
    <w:rsid w:val="00156EF9"/>
    <w:rsid w:val="001572C5"/>
    <w:rsid w:val="0015738F"/>
    <w:rsid w:val="0015769D"/>
    <w:rsid w:val="0015786D"/>
    <w:rsid w:val="00157B13"/>
    <w:rsid w:val="00157F2B"/>
    <w:rsid w:val="0016005F"/>
    <w:rsid w:val="00160074"/>
    <w:rsid w:val="001606BC"/>
    <w:rsid w:val="00160760"/>
    <w:rsid w:val="00160AD0"/>
    <w:rsid w:val="00160F0A"/>
    <w:rsid w:val="0016115A"/>
    <w:rsid w:val="00161D03"/>
    <w:rsid w:val="00161E30"/>
    <w:rsid w:val="0016272F"/>
    <w:rsid w:val="00162A88"/>
    <w:rsid w:val="00163258"/>
    <w:rsid w:val="0016331E"/>
    <w:rsid w:val="0016343D"/>
    <w:rsid w:val="001636CF"/>
    <w:rsid w:val="001636E2"/>
    <w:rsid w:val="00163AA3"/>
    <w:rsid w:val="00163DE9"/>
    <w:rsid w:val="00164085"/>
    <w:rsid w:val="001642A5"/>
    <w:rsid w:val="0016441E"/>
    <w:rsid w:val="00164715"/>
    <w:rsid w:val="00164719"/>
    <w:rsid w:val="00164AC2"/>
    <w:rsid w:val="00164C98"/>
    <w:rsid w:val="00164FC7"/>
    <w:rsid w:val="001652A6"/>
    <w:rsid w:val="00165827"/>
    <w:rsid w:val="00165A6F"/>
    <w:rsid w:val="00166006"/>
    <w:rsid w:val="00166E65"/>
    <w:rsid w:val="00167098"/>
    <w:rsid w:val="00167415"/>
    <w:rsid w:val="001677C7"/>
    <w:rsid w:val="001677F7"/>
    <w:rsid w:val="001679F1"/>
    <w:rsid w:val="00167FE3"/>
    <w:rsid w:val="00170098"/>
    <w:rsid w:val="001701B3"/>
    <w:rsid w:val="00170264"/>
    <w:rsid w:val="001704F7"/>
    <w:rsid w:val="00170E3D"/>
    <w:rsid w:val="00170E6B"/>
    <w:rsid w:val="00170F08"/>
    <w:rsid w:val="00170F43"/>
    <w:rsid w:val="0017180F"/>
    <w:rsid w:val="0017250C"/>
    <w:rsid w:val="001725D4"/>
    <w:rsid w:val="00172C11"/>
    <w:rsid w:val="00172D22"/>
    <w:rsid w:val="00172F6F"/>
    <w:rsid w:val="00173426"/>
    <w:rsid w:val="001736BE"/>
    <w:rsid w:val="00173B07"/>
    <w:rsid w:val="00173BD5"/>
    <w:rsid w:val="00173EDA"/>
    <w:rsid w:val="00174052"/>
    <w:rsid w:val="0017455C"/>
    <w:rsid w:val="00174B30"/>
    <w:rsid w:val="00175025"/>
    <w:rsid w:val="00175CCF"/>
    <w:rsid w:val="00175F2D"/>
    <w:rsid w:val="00176003"/>
    <w:rsid w:val="00176A9D"/>
    <w:rsid w:val="00176AC4"/>
    <w:rsid w:val="00176FD5"/>
    <w:rsid w:val="00177311"/>
    <w:rsid w:val="00177765"/>
    <w:rsid w:val="00177A43"/>
    <w:rsid w:val="00177B31"/>
    <w:rsid w:val="00177BD0"/>
    <w:rsid w:val="00180E7F"/>
    <w:rsid w:val="001811B8"/>
    <w:rsid w:val="00181323"/>
    <w:rsid w:val="001818CE"/>
    <w:rsid w:val="00181CFB"/>
    <w:rsid w:val="00181E84"/>
    <w:rsid w:val="001827DB"/>
    <w:rsid w:val="00182BCA"/>
    <w:rsid w:val="00183823"/>
    <w:rsid w:val="00183D96"/>
    <w:rsid w:val="00183DE3"/>
    <w:rsid w:val="001840E5"/>
    <w:rsid w:val="00184430"/>
    <w:rsid w:val="001852EE"/>
    <w:rsid w:val="001854A7"/>
    <w:rsid w:val="00185519"/>
    <w:rsid w:val="00185B5E"/>
    <w:rsid w:val="00185B76"/>
    <w:rsid w:val="00185DDE"/>
    <w:rsid w:val="001865B9"/>
    <w:rsid w:val="001866E5"/>
    <w:rsid w:val="00186844"/>
    <w:rsid w:val="00186887"/>
    <w:rsid w:val="00187BC6"/>
    <w:rsid w:val="001901A8"/>
    <w:rsid w:val="001904AE"/>
    <w:rsid w:val="001905ED"/>
    <w:rsid w:val="00191265"/>
    <w:rsid w:val="0019163A"/>
    <w:rsid w:val="0019214E"/>
    <w:rsid w:val="0019317E"/>
    <w:rsid w:val="0019318F"/>
    <w:rsid w:val="001937C2"/>
    <w:rsid w:val="00193B53"/>
    <w:rsid w:val="00193D9E"/>
    <w:rsid w:val="00193E0C"/>
    <w:rsid w:val="00193EF0"/>
    <w:rsid w:val="00194050"/>
    <w:rsid w:val="001941A0"/>
    <w:rsid w:val="001945D2"/>
    <w:rsid w:val="00194BBD"/>
    <w:rsid w:val="00195186"/>
    <w:rsid w:val="00195401"/>
    <w:rsid w:val="001954F6"/>
    <w:rsid w:val="0019559E"/>
    <w:rsid w:val="00196179"/>
    <w:rsid w:val="001964C8"/>
    <w:rsid w:val="001966A5"/>
    <w:rsid w:val="001968D2"/>
    <w:rsid w:val="0019696E"/>
    <w:rsid w:val="00197706"/>
    <w:rsid w:val="001977C9"/>
    <w:rsid w:val="00197920"/>
    <w:rsid w:val="00197C2F"/>
    <w:rsid w:val="00197F3D"/>
    <w:rsid w:val="001A049F"/>
    <w:rsid w:val="001A0516"/>
    <w:rsid w:val="001A0F43"/>
    <w:rsid w:val="001A14A0"/>
    <w:rsid w:val="001A14B9"/>
    <w:rsid w:val="001A18D5"/>
    <w:rsid w:val="001A1AD3"/>
    <w:rsid w:val="001A20EB"/>
    <w:rsid w:val="001A2E6E"/>
    <w:rsid w:val="001A31F9"/>
    <w:rsid w:val="001A36A8"/>
    <w:rsid w:val="001A3899"/>
    <w:rsid w:val="001A3C6A"/>
    <w:rsid w:val="001A3F79"/>
    <w:rsid w:val="001A47A3"/>
    <w:rsid w:val="001A4A0C"/>
    <w:rsid w:val="001A4B4C"/>
    <w:rsid w:val="001A4C6C"/>
    <w:rsid w:val="001A53ED"/>
    <w:rsid w:val="001A556D"/>
    <w:rsid w:val="001A5711"/>
    <w:rsid w:val="001A5756"/>
    <w:rsid w:val="001A5804"/>
    <w:rsid w:val="001A599F"/>
    <w:rsid w:val="001A5B0A"/>
    <w:rsid w:val="001A5DA3"/>
    <w:rsid w:val="001A62E8"/>
    <w:rsid w:val="001A649B"/>
    <w:rsid w:val="001A6669"/>
    <w:rsid w:val="001A682A"/>
    <w:rsid w:val="001A6BC2"/>
    <w:rsid w:val="001A6C9E"/>
    <w:rsid w:val="001A6E4B"/>
    <w:rsid w:val="001A6FD4"/>
    <w:rsid w:val="001A70FC"/>
    <w:rsid w:val="001A7555"/>
    <w:rsid w:val="001A75AA"/>
    <w:rsid w:val="001A79DA"/>
    <w:rsid w:val="001A7BD0"/>
    <w:rsid w:val="001B00D9"/>
    <w:rsid w:val="001B037C"/>
    <w:rsid w:val="001B06BD"/>
    <w:rsid w:val="001B07E7"/>
    <w:rsid w:val="001B0F13"/>
    <w:rsid w:val="001B1B22"/>
    <w:rsid w:val="001B2132"/>
    <w:rsid w:val="001B27FD"/>
    <w:rsid w:val="001B2F7B"/>
    <w:rsid w:val="001B3E05"/>
    <w:rsid w:val="001B3F16"/>
    <w:rsid w:val="001B423C"/>
    <w:rsid w:val="001B493B"/>
    <w:rsid w:val="001B4A84"/>
    <w:rsid w:val="001B4AE1"/>
    <w:rsid w:val="001B5117"/>
    <w:rsid w:val="001B5469"/>
    <w:rsid w:val="001B5A30"/>
    <w:rsid w:val="001B5CB0"/>
    <w:rsid w:val="001B5CD3"/>
    <w:rsid w:val="001B5CE3"/>
    <w:rsid w:val="001B6998"/>
    <w:rsid w:val="001B6C7B"/>
    <w:rsid w:val="001B765C"/>
    <w:rsid w:val="001B7A05"/>
    <w:rsid w:val="001B7CAB"/>
    <w:rsid w:val="001C037E"/>
    <w:rsid w:val="001C03F8"/>
    <w:rsid w:val="001C08F7"/>
    <w:rsid w:val="001C0962"/>
    <w:rsid w:val="001C098F"/>
    <w:rsid w:val="001C10C7"/>
    <w:rsid w:val="001C1147"/>
    <w:rsid w:val="001C17DA"/>
    <w:rsid w:val="001C1CD9"/>
    <w:rsid w:val="001C1D2C"/>
    <w:rsid w:val="001C1DBD"/>
    <w:rsid w:val="001C24CD"/>
    <w:rsid w:val="001C287C"/>
    <w:rsid w:val="001C2903"/>
    <w:rsid w:val="001C2C07"/>
    <w:rsid w:val="001C3222"/>
    <w:rsid w:val="001C35AC"/>
    <w:rsid w:val="001C396E"/>
    <w:rsid w:val="001C3E01"/>
    <w:rsid w:val="001C42FD"/>
    <w:rsid w:val="001C4628"/>
    <w:rsid w:val="001C4B37"/>
    <w:rsid w:val="001C4CAD"/>
    <w:rsid w:val="001C50EE"/>
    <w:rsid w:val="001C53B1"/>
    <w:rsid w:val="001C53E5"/>
    <w:rsid w:val="001C5428"/>
    <w:rsid w:val="001C54C9"/>
    <w:rsid w:val="001C5DB8"/>
    <w:rsid w:val="001C659A"/>
    <w:rsid w:val="001C6BC7"/>
    <w:rsid w:val="001C6C27"/>
    <w:rsid w:val="001C6DC5"/>
    <w:rsid w:val="001C7858"/>
    <w:rsid w:val="001C7903"/>
    <w:rsid w:val="001C7E91"/>
    <w:rsid w:val="001C7F88"/>
    <w:rsid w:val="001C7FB3"/>
    <w:rsid w:val="001D01F1"/>
    <w:rsid w:val="001D02A2"/>
    <w:rsid w:val="001D03C3"/>
    <w:rsid w:val="001D054E"/>
    <w:rsid w:val="001D0E29"/>
    <w:rsid w:val="001D113E"/>
    <w:rsid w:val="001D12B6"/>
    <w:rsid w:val="001D132E"/>
    <w:rsid w:val="001D1510"/>
    <w:rsid w:val="001D182E"/>
    <w:rsid w:val="001D18E8"/>
    <w:rsid w:val="001D1AE7"/>
    <w:rsid w:val="001D1E08"/>
    <w:rsid w:val="001D1E81"/>
    <w:rsid w:val="001D2190"/>
    <w:rsid w:val="001D24BD"/>
    <w:rsid w:val="001D27A0"/>
    <w:rsid w:val="001D2B05"/>
    <w:rsid w:val="001D2BA1"/>
    <w:rsid w:val="001D2BAD"/>
    <w:rsid w:val="001D2DE7"/>
    <w:rsid w:val="001D346D"/>
    <w:rsid w:val="001D4038"/>
    <w:rsid w:val="001D4112"/>
    <w:rsid w:val="001D4131"/>
    <w:rsid w:val="001D4141"/>
    <w:rsid w:val="001D491F"/>
    <w:rsid w:val="001D4B76"/>
    <w:rsid w:val="001D4E57"/>
    <w:rsid w:val="001D50A5"/>
    <w:rsid w:val="001D52FA"/>
    <w:rsid w:val="001D5871"/>
    <w:rsid w:val="001D653A"/>
    <w:rsid w:val="001D6B9E"/>
    <w:rsid w:val="001D6C0D"/>
    <w:rsid w:val="001D6DC5"/>
    <w:rsid w:val="001D6E13"/>
    <w:rsid w:val="001D701F"/>
    <w:rsid w:val="001D70A6"/>
    <w:rsid w:val="001D7137"/>
    <w:rsid w:val="001E0592"/>
    <w:rsid w:val="001E05C6"/>
    <w:rsid w:val="001E097A"/>
    <w:rsid w:val="001E0B29"/>
    <w:rsid w:val="001E0B3E"/>
    <w:rsid w:val="001E108A"/>
    <w:rsid w:val="001E19BC"/>
    <w:rsid w:val="001E1A53"/>
    <w:rsid w:val="001E256F"/>
    <w:rsid w:val="001E2CFB"/>
    <w:rsid w:val="001E3208"/>
    <w:rsid w:val="001E3574"/>
    <w:rsid w:val="001E4225"/>
    <w:rsid w:val="001E4421"/>
    <w:rsid w:val="001E4B91"/>
    <w:rsid w:val="001E51E3"/>
    <w:rsid w:val="001E5840"/>
    <w:rsid w:val="001E5B8E"/>
    <w:rsid w:val="001E5F95"/>
    <w:rsid w:val="001E656E"/>
    <w:rsid w:val="001E6730"/>
    <w:rsid w:val="001E68C8"/>
    <w:rsid w:val="001E69AF"/>
    <w:rsid w:val="001E6F28"/>
    <w:rsid w:val="001E6FCC"/>
    <w:rsid w:val="001E7D1D"/>
    <w:rsid w:val="001E7D5E"/>
    <w:rsid w:val="001F0488"/>
    <w:rsid w:val="001F0829"/>
    <w:rsid w:val="001F107C"/>
    <w:rsid w:val="001F122D"/>
    <w:rsid w:val="001F1481"/>
    <w:rsid w:val="001F1BA4"/>
    <w:rsid w:val="001F271C"/>
    <w:rsid w:val="001F283C"/>
    <w:rsid w:val="001F2C78"/>
    <w:rsid w:val="001F2D1A"/>
    <w:rsid w:val="001F31AF"/>
    <w:rsid w:val="001F31D3"/>
    <w:rsid w:val="001F37D9"/>
    <w:rsid w:val="001F3A81"/>
    <w:rsid w:val="001F3C68"/>
    <w:rsid w:val="001F4194"/>
    <w:rsid w:val="001F41AC"/>
    <w:rsid w:val="001F4428"/>
    <w:rsid w:val="001F49F1"/>
    <w:rsid w:val="001F4E97"/>
    <w:rsid w:val="001F4FAD"/>
    <w:rsid w:val="001F50BA"/>
    <w:rsid w:val="001F55D5"/>
    <w:rsid w:val="001F5B22"/>
    <w:rsid w:val="001F5F40"/>
    <w:rsid w:val="001F6BD3"/>
    <w:rsid w:val="001F72D2"/>
    <w:rsid w:val="001F738C"/>
    <w:rsid w:val="001F75D6"/>
    <w:rsid w:val="001F79C6"/>
    <w:rsid w:val="001F7A9D"/>
    <w:rsid w:val="001F7B55"/>
    <w:rsid w:val="001F7CF3"/>
    <w:rsid w:val="001F7D18"/>
    <w:rsid w:val="002005E0"/>
    <w:rsid w:val="0020071F"/>
    <w:rsid w:val="00200BBF"/>
    <w:rsid w:val="0020121F"/>
    <w:rsid w:val="00202116"/>
    <w:rsid w:val="00202F4F"/>
    <w:rsid w:val="00203428"/>
    <w:rsid w:val="00203515"/>
    <w:rsid w:val="0020386F"/>
    <w:rsid w:val="00203F27"/>
    <w:rsid w:val="00204306"/>
    <w:rsid w:val="00204DEC"/>
    <w:rsid w:val="00205242"/>
    <w:rsid w:val="00205346"/>
    <w:rsid w:val="00205428"/>
    <w:rsid w:val="00205AF6"/>
    <w:rsid w:val="00205B95"/>
    <w:rsid w:val="00205D0B"/>
    <w:rsid w:val="002063DD"/>
    <w:rsid w:val="002064F0"/>
    <w:rsid w:val="00206596"/>
    <w:rsid w:val="0020678C"/>
    <w:rsid w:val="00206AF1"/>
    <w:rsid w:val="00206D03"/>
    <w:rsid w:val="00206FB0"/>
    <w:rsid w:val="00207453"/>
    <w:rsid w:val="00207731"/>
    <w:rsid w:val="0020781C"/>
    <w:rsid w:val="0020784E"/>
    <w:rsid w:val="00210031"/>
    <w:rsid w:val="0021031D"/>
    <w:rsid w:val="0021049B"/>
    <w:rsid w:val="0021056A"/>
    <w:rsid w:val="00210868"/>
    <w:rsid w:val="00210990"/>
    <w:rsid w:val="00210BB0"/>
    <w:rsid w:val="002110CC"/>
    <w:rsid w:val="002113C1"/>
    <w:rsid w:val="002113C3"/>
    <w:rsid w:val="0021140B"/>
    <w:rsid w:val="00211417"/>
    <w:rsid w:val="00212262"/>
    <w:rsid w:val="0021233A"/>
    <w:rsid w:val="00212640"/>
    <w:rsid w:val="00212BD6"/>
    <w:rsid w:val="00213432"/>
    <w:rsid w:val="002139CB"/>
    <w:rsid w:val="00213B95"/>
    <w:rsid w:val="00213FF1"/>
    <w:rsid w:val="00214253"/>
    <w:rsid w:val="0021436C"/>
    <w:rsid w:val="002147D9"/>
    <w:rsid w:val="002149CA"/>
    <w:rsid w:val="00214C25"/>
    <w:rsid w:val="00214CA5"/>
    <w:rsid w:val="00215192"/>
    <w:rsid w:val="00215B5B"/>
    <w:rsid w:val="00215D10"/>
    <w:rsid w:val="00215E2F"/>
    <w:rsid w:val="00215F3B"/>
    <w:rsid w:val="00215F80"/>
    <w:rsid w:val="00216D66"/>
    <w:rsid w:val="002170BF"/>
    <w:rsid w:val="002174D8"/>
    <w:rsid w:val="00217620"/>
    <w:rsid w:val="002179CC"/>
    <w:rsid w:val="00217C4E"/>
    <w:rsid w:val="002207C3"/>
    <w:rsid w:val="00220C1B"/>
    <w:rsid w:val="00220C73"/>
    <w:rsid w:val="00220E6C"/>
    <w:rsid w:val="00221368"/>
    <w:rsid w:val="00221484"/>
    <w:rsid w:val="002224BA"/>
    <w:rsid w:val="00223446"/>
    <w:rsid w:val="00223564"/>
    <w:rsid w:val="0022371E"/>
    <w:rsid w:val="00223785"/>
    <w:rsid w:val="002242F7"/>
    <w:rsid w:val="00224AA4"/>
    <w:rsid w:val="00224FE6"/>
    <w:rsid w:val="0022529A"/>
    <w:rsid w:val="00225BD2"/>
    <w:rsid w:val="00226392"/>
    <w:rsid w:val="00226A2E"/>
    <w:rsid w:val="002274A2"/>
    <w:rsid w:val="002275C8"/>
    <w:rsid w:val="002278A0"/>
    <w:rsid w:val="00230009"/>
    <w:rsid w:val="00230323"/>
    <w:rsid w:val="00230396"/>
    <w:rsid w:val="0023056D"/>
    <w:rsid w:val="0023097E"/>
    <w:rsid w:val="00230BAB"/>
    <w:rsid w:val="00230DDF"/>
    <w:rsid w:val="00230F30"/>
    <w:rsid w:val="00231739"/>
    <w:rsid w:val="002317F9"/>
    <w:rsid w:val="00231B08"/>
    <w:rsid w:val="002327CF"/>
    <w:rsid w:val="00232A03"/>
    <w:rsid w:val="00233286"/>
    <w:rsid w:val="002335FD"/>
    <w:rsid w:val="0023382D"/>
    <w:rsid w:val="00234184"/>
    <w:rsid w:val="002342C9"/>
    <w:rsid w:val="00234C0D"/>
    <w:rsid w:val="0023514A"/>
    <w:rsid w:val="002351CA"/>
    <w:rsid w:val="0023535F"/>
    <w:rsid w:val="002354EC"/>
    <w:rsid w:val="00235FC3"/>
    <w:rsid w:val="00237812"/>
    <w:rsid w:val="00237AB2"/>
    <w:rsid w:val="00237B4D"/>
    <w:rsid w:val="00237CE3"/>
    <w:rsid w:val="0024004E"/>
    <w:rsid w:val="00240A55"/>
    <w:rsid w:val="00240BA6"/>
    <w:rsid w:val="00241111"/>
    <w:rsid w:val="00241998"/>
    <w:rsid w:val="00241AA6"/>
    <w:rsid w:val="00241AE5"/>
    <w:rsid w:val="00241F4C"/>
    <w:rsid w:val="00242319"/>
    <w:rsid w:val="0024297F"/>
    <w:rsid w:val="00242DC0"/>
    <w:rsid w:val="00242EE5"/>
    <w:rsid w:val="00243016"/>
    <w:rsid w:val="0024349F"/>
    <w:rsid w:val="00243CC9"/>
    <w:rsid w:val="00243D05"/>
    <w:rsid w:val="00243D31"/>
    <w:rsid w:val="00244497"/>
    <w:rsid w:val="002446C3"/>
    <w:rsid w:val="00244999"/>
    <w:rsid w:val="002449A7"/>
    <w:rsid w:val="002450F3"/>
    <w:rsid w:val="0024511C"/>
    <w:rsid w:val="002452BD"/>
    <w:rsid w:val="00245958"/>
    <w:rsid w:val="0024598D"/>
    <w:rsid w:val="00245B0C"/>
    <w:rsid w:val="0024662B"/>
    <w:rsid w:val="002469C9"/>
    <w:rsid w:val="00246A6A"/>
    <w:rsid w:val="00247179"/>
    <w:rsid w:val="00247332"/>
    <w:rsid w:val="0024772F"/>
    <w:rsid w:val="0024785E"/>
    <w:rsid w:val="002479F9"/>
    <w:rsid w:val="00247B6E"/>
    <w:rsid w:val="002500B9"/>
    <w:rsid w:val="002503A4"/>
    <w:rsid w:val="002506D2"/>
    <w:rsid w:val="00250DC6"/>
    <w:rsid w:val="00250E63"/>
    <w:rsid w:val="00251114"/>
    <w:rsid w:val="00251E85"/>
    <w:rsid w:val="00252168"/>
    <w:rsid w:val="00252313"/>
    <w:rsid w:val="002523C8"/>
    <w:rsid w:val="00252432"/>
    <w:rsid w:val="00252626"/>
    <w:rsid w:val="002531D8"/>
    <w:rsid w:val="00253B4D"/>
    <w:rsid w:val="00253CC7"/>
    <w:rsid w:val="00253CD1"/>
    <w:rsid w:val="00253F73"/>
    <w:rsid w:val="00254560"/>
    <w:rsid w:val="00254840"/>
    <w:rsid w:val="00254AB9"/>
    <w:rsid w:val="00254C05"/>
    <w:rsid w:val="00254CDA"/>
    <w:rsid w:val="00255109"/>
    <w:rsid w:val="00255174"/>
    <w:rsid w:val="002556E9"/>
    <w:rsid w:val="00255D69"/>
    <w:rsid w:val="002564D7"/>
    <w:rsid w:val="0025688D"/>
    <w:rsid w:val="00256A4C"/>
    <w:rsid w:val="002570BA"/>
    <w:rsid w:val="0025718D"/>
    <w:rsid w:val="00257469"/>
    <w:rsid w:val="00257932"/>
    <w:rsid w:val="00257C77"/>
    <w:rsid w:val="00257F08"/>
    <w:rsid w:val="00260303"/>
    <w:rsid w:val="00260BE8"/>
    <w:rsid w:val="002616E6"/>
    <w:rsid w:val="00261793"/>
    <w:rsid w:val="0026214F"/>
    <w:rsid w:val="00262F1E"/>
    <w:rsid w:val="0026312F"/>
    <w:rsid w:val="002638F4"/>
    <w:rsid w:val="002643BE"/>
    <w:rsid w:val="0026490B"/>
    <w:rsid w:val="00264ABB"/>
    <w:rsid w:val="00264B7A"/>
    <w:rsid w:val="002652DF"/>
    <w:rsid w:val="0026534F"/>
    <w:rsid w:val="002656AD"/>
    <w:rsid w:val="00265BD8"/>
    <w:rsid w:val="00266212"/>
    <w:rsid w:val="00266BBF"/>
    <w:rsid w:val="00266EB3"/>
    <w:rsid w:val="0026727E"/>
    <w:rsid w:val="00267671"/>
    <w:rsid w:val="00267A5D"/>
    <w:rsid w:val="00267D33"/>
    <w:rsid w:val="00267F91"/>
    <w:rsid w:val="00270EAC"/>
    <w:rsid w:val="00270FB8"/>
    <w:rsid w:val="00271322"/>
    <w:rsid w:val="00271DE6"/>
    <w:rsid w:val="00271FE0"/>
    <w:rsid w:val="00272082"/>
    <w:rsid w:val="002720B4"/>
    <w:rsid w:val="002723CB"/>
    <w:rsid w:val="002723D4"/>
    <w:rsid w:val="002724E6"/>
    <w:rsid w:val="002726DB"/>
    <w:rsid w:val="0027295C"/>
    <w:rsid w:val="0027332C"/>
    <w:rsid w:val="002733B4"/>
    <w:rsid w:val="00273450"/>
    <w:rsid w:val="00273644"/>
    <w:rsid w:val="0027374D"/>
    <w:rsid w:val="00273D02"/>
    <w:rsid w:val="002740F3"/>
    <w:rsid w:val="0027451B"/>
    <w:rsid w:val="0027458E"/>
    <w:rsid w:val="002746B3"/>
    <w:rsid w:val="002747EA"/>
    <w:rsid w:val="00274EC0"/>
    <w:rsid w:val="00275533"/>
    <w:rsid w:val="0027570C"/>
    <w:rsid w:val="002761AE"/>
    <w:rsid w:val="0027647B"/>
    <w:rsid w:val="00276715"/>
    <w:rsid w:val="002767A3"/>
    <w:rsid w:val="00276EEA"/>
    <w:rsid w:val="002772BD"/>
    <w:rsid w:val="00277BAB"/>
    <w:rsid w:val="00277EB7"/>
    <w:rsid w:val="00280127"/>
    <w:rsid w:val="00280C67"/>
    <w:rsid w:val="00280F18"/>
    <w:rsid w:val="00280FC6"/>
    <w:rsid w:val="00281333"/>
    <w:rsid w:val="00281CF0"/>
    <w:rsid w:val="00281D0A"/>
    <w:rsid w:val="00282019"/>
    <w:rsid w:val="0028203C"/>
    <w:rsid w:val="0028262A"/>
    <w:rsid w:val="00282CEB"/>
    <w:rsid w:val="00282E2F"/>
    <w:rsid w:val="002830F0"/>
    <w:rsid w:val="00283433"/>
    <w:rsid w:val="0028352C"/>
    <w:rsid w:val="002838E3"/>
    <w:rsid w:val="00283F53"/>
    <w:rsid w:val="00283FA3"/>
    <w:rsid w:val="00284867"/>
    <w:rsid w:val="00284F17"/>
    <w:rsid w:val="002851CE"/>
    <w:rsid w:val="002854BF"/>
    <w:rsid w:val="002856B0"/>
    <w:rsid w:val="00285856"/>
    <w:rsid w:val="00285EB1"/>
    <w:rsid w:val="0028646B"/>
    <w:rsid w:val="00286B3D"/>
    <w:rsid w:val="00286C20"/>
    <w:rsid w:val="00286C9A"/>
    <w:rsid w:val="0028703F"/>
    <w:rsid w:val="0028704B"/>
    <w:rsid w:val="00287692"/>
    <w:rsid w:val="00287B07"/>
    <w:rsid w:val="00287B8E"/>
    <w:rsid w:val="00287BE6"/>
    <w:rsid w:val="002904E7"/>
    <w:rsid w:val="00290876"/>
    <w:rsid w:val="00290AB8"/>
    <w:rsid w:val="00290AE8"/>
    <w:rsid w:val="00291657"/>
    <w:rsid w:val="002916A0"/>
    <w:rsid w:val="002919FB"/>
    <w:rsid w:val="00291FBF"/>
    <w:rsid w:val="00291FE5"/>
    <w:rsid w:val="002923B3"/>
    <w:rsid w:val="002923E0"/>
    <w:rsid w:val="002926CE"/>
    <w:rsid w:val="00292A41"/>
    <w:rsid w:val="00292E76"/>
    <w:rsid w:val="002930FB"/>
    <w:rsid w:val="00294422"/>
    <w:rsid w:val="0029452A"/>
    <w:rsid w:val="0029467A"/>
    <w:rsid w:val="0029472B"/>
    <w:rsid w:val="00294880"/>
    <w:rsid w:val="00294C83"/>
    <w:rsid w:val="00295C38"/>
    <w:rsid w:val="00295FB1"/>
    <w:rsid w:val="002962FA"/>
    <w:rsid w:val="00296493"/>
    <w:rsid w:val="00296BDC"/>
    <w:rsid w:val="00296D3D"/>
    <w:rsid w:val="00297040"/>
    <w:rsid w:val="002974EC"/>
    <w:rsid w:val="00297632"/>
    <w:rsid w:val="002976BD"/>
    <w:rsid w:val="002A05EE"/>
    <w:rsid w:val="002A0684"/>
    <w:rsid w:val="002A0E82"/>
    <w:rsid w:val="002A1C53"/>
    <w:rsid w:val="002A1E77"/>
    <w:rsid w:val="002A25CF"/>
    <w:rsid w:val="002A28A2"/>
    <w:rsid w:val="002A2A0B"/>
    <w:rsid w:val="002A2B20"/>
    <w:rsid w:val="002A3250"/>
    <w:rsid w:val="002A3830"/>
    <w:rsid w:val="002A394E"/>
    <w:rsid w:val="002A3A6E"/>
    <w:rsid w:val="002A3AC8"/>
    <w:rsid w:val="002A3B30"/>
    <w:rsid w:val="002A414B"/>
    <w:rsid w:val="002A42C1"/>
    <w:rsid w:val="002A4A25"/>
    <w:rsid w:val="002A4ECD"/>
    <w:rsid w:val="002A4F69"/>
    <w:rsid w:val="002A5399"/>
    <w:rsid w:val="002A576F"/>
    <w:rsid w:val="002A5ADE"/>
    <w:rsid w:val="002A5C22"/>
    <w:rsid w:val="002A65A3"/>
    <w:rsid w:val="002A6AD5"/>
    <w:rsid w:val="002A72EE"/>
    <w:rsid w:val="002A740E"/>
    <w:rsid w:val="002A7469"/>
    <w:rsid w:val="002A782B"/>
    <w:rsid w:val="002A78EC"/>
    <w:rsid w:val="002A7C77"/>
    <w:rsid w:val="002A7E53"/>
    <w:rsid w:val="002B0089"/>
    <w:rsid w:val="002B03EA"/>
    <w:rsid w:val="002B04D7"/>
    <w:rsid w:val="002B0B1C"/>
    <w:rsid w:val="002B0C25"/>
    <w:rsid w:val="002B1AB8"/>
    <w:rsid w:val="002B1CC2"/>
    <w:rsid w:val="002B21E1"/>
    <w:rsid w:val="002B233F"/>
    <w:rsid w:val="002B318F"/>
    <w:rsid w:val="002B31AD"/>
    <w:rsid w:val="002B3408"/>
    <w:rsid w:val="002B3501"/>
    <w:rsid w:val="002B352B"/>
    <w:rsid w:val="002B3767"/>
    <w:rsid w:val="002B3AEC"/>
    <w:rsid w:val="002B4324"/>
    <w:rsid w:val="002B491C"/>
    <w:rsid w:val="002B4B0D"/>
    <w:rsid w:val="002B4B54"/>
    <w:rsid w:val="002B517E"/>
    <w:rsid w:val="002B5348"/>
    <w:rsid w:val="002B5A1A"/>
    <w:rsid w:val="002B5DCB"/>
    <w:rsid w:val="002B5E6B"/>
    <w:rsid w:val="002B62BE"/>
    <w:rsid w:val="002B6714"/>
    <w:rsid w:val="002B67D0"/>
    <w:rsid w:val="002B69E7"/>
    <w:rsid w:val="002B768F"/>
    <w:rsid w:val="002B7FC5"/>
    <w:rsid w:val="002C011D"/>
    <w:rsid w:val="002C0697"/>
    <w:rsid w:val="002C0F86"/>
    <w:rsid w:val="002C116F"/>
    <w:rsid w:val="002C14CC"/>
    <w:rsid w:val="002C1998"/>
    <w:rsid w:val="002C1C5A"/>
    <w:rsid w:val="002C2736"/>
    <w:rsid w:val="002C2E08"/>
    <w:rsid w:val="002C2FA4"/>
    <w:rsid w:val="002C3EFB"/>
    <w:rsid w:val="002C4014"/>
    <w:rsid w:val="002C4311"/>
    <w:rsid w:val="002C4563"/>
    <w:rsid w:val="002C480C"/>
    <w:rsid w:val="002C491D"/>
    <w:rsid w:val="002C4A57"/>
    <w:rsid w:val="002C51DB"/>
    <w:rsid w:val="002C538A"/>
    <w:rsid w:val="002C57F0"/>
    <w:rsid w:val="002C5895"/>
    <w:rsid w:val="002C5914"/>
    <w:rsid w:val="002C5C44"/>
    <w:rsid w:val="002C61A7"/>
    <w:rsid w:val="002C65BD"/>
    <w:rsid w:val="002C6681"/>
    <w:rsid w:val="002C6E43"/>
    <w:rsid w:val="002C714B"/>
    <w:rsid w:val="002C74EB"/>
    <w:rsid w:val="002C753A"/>
    <w:rsid w:val="002C7D44"/>
    <w:rsid w:val="002C7E5D"/>
    <w:rsid w:val="002D056B"/>
    <w:rsid w:val="002D08E2"/>
    <w:rsid w:val="002D095E"/>
    <w:rsid w:val="002D0B2A"/>
    <w:rsid w:val="002D0BD9"/>
    <w:rsid w:val="002D0C97"/>
    <w:rsid w:val="002D0E1B"/>
    <w:rsid w:val="002D0E5F"/>
    <w:rsid w:val="002D0E89"/>
    <w:rsid w:val="002D0F5B"/>
    <w:rsid w:val="002D0FDE"/>
    <w:rsid w:val="002D0FF1"/>
    <w:rsid w:val="002D1363"/>
    <w:rsid w:val="002D13F6"/>
    <w:rsid w:val="002D14BF"/>
    <w:rsid w:val="002D286F"/>
    <w:rsid w:val="002D2CAE"/>
    <w:rsid w:val="002D2DA3"/>
    <w:rsid w:val="002D33E8"/>
    <w:rsid w:val="002D3525"/>
    <w:rsid w:val="002D41A3"/>
    <w:rsid w:val="002D49BC"/>
    <w:rsid w:val="002D502E"/>
    <w:rsid w:val="002D5216"/>
    <w:rsid w:val="002D52BB"/>
    <w:rsid w:val="002D5AC6"/>
    <w:rsid w:val="002D5C5B"/>
    <w:rsid w:val="002D625C"/>
    <w:rsid w:val="002D650D"/>
    <w:rsid w:val="002D74C2"/>
    <w:rsid w:val="002D775A"/>
    <w:rsid w:val="002D78BC"/>
    <w:rsid w:val="002D7C97"/>
    <w:rsid w:val="002D7D76"/>
    <w:rsid w:val="002E00A3"/>
    <w:rsid w:val="002E0503"/>
    <w:rsid w:val="002E0BE0"/>
    <w:rsid w:val="002E0C53"/>
    <w:rsid w:val="002E106B"/>
    <w:rsid w:val="002E1696"/>
    <w:rsid w:val="002E19BB"/>
    <w:rsid w:val="002E1AFC"/>
    <w:rsid w:val="002E1DA0"/>
    <w:rsid w:val="002E2818"/>
    <w:rsid w:val="002E2D84"/>
    <w:rsid w:val="002E3039"/>
    <w:rsid w:val="002E35D4"/>
    <w:rsid w:val="002E38CE"/>
    <w:rsid w:val="002E39D6"/>
    <w:rsid w:val="002E3B9E"/>
    <w:rsid w:val="002E417D"/>
    <w:rsid w:val="002E4908"/>
    <w:rsid w:val="002E4960"/>
    <w:rsid w:val="002E4BD8"/>
    <w:rsid w:val="002E601D"/>
    <w:rsid w:val="002E6D94"/>
    <w:rsid w:val="002E6F2D"/>
    <w:rsid w:val="002E7206"/>
    <w:rsid w:val="002E74AF"/>
    <w:rsid w:val="002E77E8"/>
    <w:rsid w:val="002F0238"/>
    <w:rsid w:val="002F070C"/>
    <w:rsid w:val="002F08F9"/>
    <w:rsid w:val="002F0DF7"/>
    <w:rsid w:val="002F173C"/>
    <w:rsid w:val="002F17EB"/>
    <w:rsid w:val="002F2EE8"/>
    <w:rsid w:val="002F3B84"/>
    <w:rsid w:val="002F3B92"/>
    <w:rsid w:val="002F3F0F"/>
    <w:rsid w:val="002F3F64"/>
    <w:rsid w:val="002F4140"/>
    <w:rsid w:val="002F42DB"/>
    <w:rsid w:val="002F46BE"/>
    <w:rsid w:val="002F49D7"/>
    <w:rsid w:val="002F4D5E"/>
    <w:rsid w:val="002F50FB"/>
    <w:rsid w:val="002F524F"/>
    <w:rsid w:val="002F55DE"/>
    <w:rsid w:val="002F600E"/>
    <w:rsid w:val="002F62AD"/>
    <w:rsid w:val="002F6563"/>
    <w:rsid w:val="002F67C9"/>
    <w:rsid w:val="002F69D8"/>
    <w:rsid w:val="002F6E82"/>
    <w:rsid w:val="002F7BDA"/>
    <w:rsid w:val="002F7FA5"/>
    <w:rsid w:val="002F7FED"/>
    <w:rsid w:val="0030037E"/>
    <w:rsid w:val="003009FF"/>
    <w:rsid w:val="00300C9D"/>
    <w:rsid w:val="00300F1B"/>
    <w:rsid w:val="003015A8"/>
    <w:rsid w:val="003016DF"/>
    <w:rsid w:val="00301735"/>
    <w:rsid w:val="00301857"/>
    <w:rsid w:val="0030325C"/>
    <w:rsid w:val="00303915"/>
    <w:rsid w:val="00303BB8"/>
    <w:rsid w:val="00303DA1"/>
    <w:rsid w:val="003041FF"/>
    <w:rsid w:val="00304268"/>
    <w:rsid w:val="003042AF"/>
    <w:rsid w:val="003042C0"/>
    <w:rsid w:val="00304398"/>
    <w:rsid w:val="00304ABF"/>
    <w:rsid w:val="00304D38"/>
    <w:rsid w:val="00304D55"/>
    <w:rsid w:val="00304E22"/>
    <w:rsid w:val="00304F93"/>
    <w:rsid w:val="003050BD"/>
    <w:rsid w:val="0030541E"/>
    <w:rsid w:val="003054A6"/>
    <w:rsid w:val="00305684"/>
    <w:rsid w:val="00305D04"/>
    <w:rsid w:val="0030600D"/>
    <w:rsid w:val="00306411"/>
    <w:rsid w:val="00306729"/>
    <w:rsid w:val="00306AB1"/>
    <w:rsid w:val="00306F26"/>
    <w:rsid w:val="00306F6E"/>
    <w:rsid w:val="00307213"/>
    <w:rsid w:val="003077A3"/>
    <w:rsid w:val="00307AC0"/>
    <w:rsid w:val="003100C8"/>
    <w:rsid w:val="00310837"/>
    <w:rsid w:val="00310A92"/>
    <w:rsid w:val="00310CE1"/>
    <w:rsid w:val="003110E0"/>
    <w:rsid w:val="00311849"/>
    <w:rsid w:val="00311C26"/>
    <w:rsid w:val="00311ECD"/>
    <w:rsid w:val="003123AA"/>
    <w:rsid w:val="0031247C"/>
    <w:rsid w:val="0031267A"/>
    <w:rsid w:val="0031278E"/>
    <w:rsid w:val="003129BA"/>
    <w:rsid w:val="00312B55"/>
    <w:rsid w:val="00312EE4"/>
    <w:rsid w:val="00312F45"/>
    <w:rsid w:val="0031381F"/>
    <w:rsid w:val="003138E1"/>
    <w:rsid w:val="003144F9"/>
    <w:rsid w:val="003153BD"/>
    <w:rsid w:val="003158D2"/>
    <w:rsid w:val="003159E0"/>
    <w:rsid w:val="00315B1A"/>
    <w:rsid w:val="003164C2"/>
    <w:rsid w:val="00316B27"/>
    <w:rsid w:val="00316BFA"/>
    <w:rsid w:val="00316C69"/>
    <w:rsid w:val="00317045"/>
    <w:rsid w:val="00317C2E"/>
    <w:rsid w:val="0032057A"/>
    <w:rsid w:val="00320EE3"/>
    <w:rsid w:val="00321116"/>
    <w:rsid w:val="0032168A"/>
    <w:rsid w:val="0032179A"/>
    <w:rsid w:val="0032191B"/>
    <w:rsid w:val="00321AF8"/>
    <w:rsid w:val="003220E7"/>
    <w:rsid w:val="0032277C"/>
    <w:rsid w:val="00322A65"/>
    <w:rsid w:val="00322EE3"/>
    <w:rsid w:val="0032388C"/>
    <w:rsid w:val="00323BC1"/>
    <w:rsid w:val="00323D77"/>
    <w:rsid w:val="003242F8"/>
    <w:rsid w:val="00324417"/>
    <w:rsid w:val="00324481"/>
    <w:rsid w:val="00324624"/>
    <w:rsid w:val="00324729"/>
    <w:rsid w:val="00324791"/>
    <w:rsid w:val="00324B2C"/>
    <w:rsid w:val="00324C4C"/>
    <w:rsid w:val="00324E5B"/>
    <w:rsid w:val="00325440"/>
    <w:rsid w:val="003255BA"/>
    <w:rsid w:val="0032579A"/>
    <w:rsid w:val="003257C3"/>
    <w:rsid w:val="0032615A"/>
    <w:rsid w:val="003261CC"/>
    <w:rsid w:val="00326A17"/>
    <w:rsid w:val="00326CE3"/>
    <w:rsid w:val="00326DE4"/>
    <w:rsid w:val="003272E2"/>
    <w:rsid w:val="00327BA7"/>
    <w:rsid w:val="00327C71"/>
    <w:rsid w:val="00327CBE"/>
    <w:rsid w:val="003302E7"/>
    <w:rsid w:val="00330392"/>
    <w:rsid w:val="00330C5A"/>
    <w:rsid w:val="003317F0"/>
    <w:rsid w:val="0033198B"/>
    <w:rsid w:val="00331D5E"/>
    <w:rsid w:val="00331FBE"/>
    <w:rsid w:val="00332A62"/>
    <w:rsid w:val="00333306"/>
    <w:rsid w:val="00333436"/>
    <w:rsid w:val="00333CEB"/>
    <w:rsid w:val="00334088"/>
    <w:rsid w:val="00334CF0"/>
    <w:rsid w:val="00334DED"/>
    <w:rsid w:val="00334F14"/>
    <w:rsid w:val="00335155"/>
    <w:rsid w:val="00335204"/>
    <w:rsid w:val="00335391"/>
    <w:rsid w:val="003355D4"/>
    <w:rsid w:val="0033581D"/>
    <w:rsid w:val="0033589A"/>
    <w:rsid w:val="003366F9"/>
    <w:rsid w:val="00336D7C"/>
    <w:rsid w:val="00336E70"/>
    <w:rsid w:val="00337B04"/>
    <w:rsid w:val="00337C48"/>
    <w:rsid w:val="00337D07"/>
    <w:rsid w:val="00337DFD"/>
    <w:rsid w:val="00340321"/>
    <w:rsid w:val="00340656"/>
    <w:rsid w:val="00340B42"/>
    <w:rsid w:val="00340B5B"/>
    <w:rsid w:val="00340D2E"/>
    <w:rsid w:val="00341053"/>
    <w:rsid w:val="00341196"/>
    <w:rsid w:val="0034124F"/>
    <w:rsid w:val="003414B6"/>
    <w:rsid w:val="00342149"/>
    <w:rsid w:val="00342445"/>
    <w:rsid w:val="00342A48"/>
    <w:rsid w:val="00344090"/>
    <w:rsid w:val="003440A0"/>
    <w:rsid w:val="003440BD"/>
    <w:rsid w:val="003441F3"/>
    <w:rsid w:val="00344581"/>
    <w:rsid w:val="003445FA"/>
    <w:rsid w:val="003448E3"/>
    <w:rsid w:val="00345346"/>
    <w:rsid w:val="003453FF"/>
    <w:rsid w:val="00345963"/>
    <w:rsid w:val="003459E2"/>
    <w:rsid w:val="00345DAC"/>
    <w:rsid w:val="003461AB"/>
    <w:rsid w:val="00346278"/>
    <w:rsid w:val="00346556"/>
    <w:rsid w:val="00346964"/>
    <w:rsid w:val="00346EB7"/>
    <w:rsid w:val="00347151"/>
    <w:rsid w:val="00347636"/>
    <w:rsid w:val="0034796E"/>
    <w:rsid w:val="00347C65"/>
    <w:rsid w:val="00347F97"/>
    <w:rsid w:val="00350442"/>
    <w:rsid w:val="00350B3E"/>
    <w:rsid w:val="003512FB"/>
    <w:rsid w:val="003518BF"/>
    <w:rsid w:val="003519E7"/>
    <w:rsid w:val="00351AC7"/>
    <w:rsid w:val="003527C8"/>
    <w:rsid w:val="00352AE9"/>
    <w:rsid w:val="00352BC7"/>
    <w:rsid w:val="00352C5C"/>
    <w:rsid w:val="00353234"/>
    <w:rsid w:val="00353483"/>
    <w:rsid w:val="003535BF"/>
    <w:rsid w:val="00353BBC"/>
    <w:rsid w:val="00353F42"/>
    <w:rsid w:val="00354251"/>
    <w:rsid w:val="003546B5"/>
    <w:rsid w:val="0035474E"/>
    <w:rsid w:val="00354EEE"/>
    <w:rsid w:val="00355C67"/>
    <w:rsid w:val="00355CB3"/>
    <w:rsid w:val="003560B5"/>
    <w:rsid w:val="003569F9"/>
    <w:rsid w:val="00356A26"/>
    <w:rsid w:val="00356A30"/>
    <w:rsid w:val="00356AFF"/>
    <w:rsid w:val="003573DA"/>
    <w:rsid w:val="003573EB"/>
    <w:rsid w:val="003577F1"/>
    <w:rsid w:val="00357B6E"/>
    <w:rsid w:val="00360D2A"/>
    <w:rsid w:val="00361035"/>
    <w:rsid w:val="0036188E"/>
    <w:rsid w:val="00362238"/>
    <w:rsid w:val="00362826"/>
    <w:rsid w:val="00362AC9"/>
    <w:rsid w:val="00362C56"/>
    <w:rsid w:val="00362D57"/>
    <w:rsid w:val="00363E93"/>
    <w:rsid w:val="0036406E"/>
    <w:rsid w:val="0036423E"/>
    <w:rsid w:val="003643D9"/>
    <w:rsid w:val="0036463A"/>
    <w:rsid w:val="00364860"/>
    <w:rsid w:val="003648E2"/>
    <w:rsid w:val="00365689"/>
    <w:rsid w:val="00365869"/>
    <w:rsid w:val="00365D24"/>
    <w:rsid w:val="0036602F"/>
    <w:rsid w:val="003666B6"/>
    <w:rsid w:val="003669C8"/>
    <w:rsid w:val="00366C32"/>
    <w:rsid w:val="00367224"/>
    <w:rsid w:val="00367C42"/>
    <w:rsid w:val="00370051"/>
    <w:rsid w:val="00370193"/>
    <w:rsid w:val="003702CA"/>
    <w:rsid w:val="003703F1"/>
    <w:rsid w:val="003704B1"/>
    <w:rsid w:val="003707A7"/>
    <w:rsid w:val="003707F8"/>
    <w:rsid w:val="003708B3"/>
    <w:rsid w:val="003708CD"/>
    <w:rsid w:val="003709FE"/>
    <w:rsid w:val="00370F20"/>
    <w:rsid w:val="00370FF6"/>
    <w:rsid w:val="00371191"/>
    <w:rsid w:val="0037122A"/>
    <w:rsid w:val="003717B5"/>
    <w:rsid w:val="00372091"/>
    <w:rsid w:val="00372525"/>
    <w:rsid w:val="00372636"/>
    <w:rsid w:val="0037293C"/>
    <w:rsid w:val="00372BD7"/>
    <w:rsid w:val="00372BE5"/>
    <w:rsid w:val="00372E3D"/>
    <w:rsid w:val="00372E6D"/>
    <w:rsid w:val="00373918"/>
    <w:rsid w:val="00373BAB"/>
    <w:rsid w:val="0037424B"/>
    <w:rsid w:val="003742CF"/>
    <w:rsid w:val="003745DB"/>
    <w:rsid w:val="00374E8A"/>
    <w:rsid w:val="00375077"/>
    <w:rsid w:val="003753CC"/>
    <w:rsid w:val="0037549D"/>
    <w:rsid w:val="003756C0"/>
    <w:rsid w:val="00375E31"/>
    <w:rsid w:val="003762E7"/>
    <w:rsid w:val="00376349"/>
    <w:rsid w:val="0037692B"/>
    <w:rsid w:val="00376B59"/>
    <w:rsid w:val="00376D2E"/>
    <w:rsid w:val="00377033"/>
    <w:rsid w:val="003776DA"/>
    <w:rsid w:val="003777B5"/>
    <w:rsid w:val="00377881"/>
    <w:rsid w:val="0037797F"/>
    <w:rsid w:val="00377D72"/>
    <w:rsid w:val="00377E6F"/>
    <w:rsid w:val="003800A8"/>
    <w:rsid w:val="003802D7"/>
    <w:rsid w:val="00380503"/>
    <w:rsid w:val="003807E7"/>
    <w:rsid w:val="0038091E"/>
    <w:rsid w:val="00380ECA"/>
    <w:rsid w:val="00381C7A"/>
    <w:rsid w:val="00381CBD"/>
    <w:rsid w:val="00382902"/>
    <w:rsid w:val="00382BF6"/>
    <w:rsid w:val="00383198"/>
    <w:rsid w:val="00383324"/>
    <w:rsid w:val="003833A8"/>
    <w:rsid w:val="00383585"/>
    <w:rsid w:val="00383A80"/>
    <w:rsid w:val="003847D9"/>
    <w:rsid w:val="00384902"/>
    <w:rsid w:val="00384CFD"/>
    <w:rsid w:val="0038537C"/>
    <w:rsid w:val="0038559A"/>
    <w:rsid w:val="00385898"/>
    <w:rsid w:val="00385BB2"/>
    <w:rsid w:val="00385BB9"/>
    <w:rsid w:val="003860E1"/>
    <w:rsid w:val="003863BB"/>
    <w:rsid w:val="003867ED"/>
    <w:rsid w:val="00386A21"/>
    <w:rsid w:val="00386CAB"/>
    <w:rsid w:val="00386EB3"/>
    <w:rsid w:val="00387032"/>
    <w:rsid w:val="003874E0"/>
    <w:rsid w:val="00387AB7"/>
    <w:rsid w:val="00387DF8"/>
    <w:rsid w:val="0039007A"/>
    <w:rsid w:val="00390093"/>
    <w:rsid w:val="003903AA"/>
    <w:rsid w:val="00390A34"/>
    <w:rsid w:val="00390A6D"/>
    <w:rsid w:val="00390E95"/>
    <w:rsid w:val="00390FB3"/>
    <w:rsid w:val="0039100E"/>
    <w:rsid w:val="0039146C"/>
    <w:rsid w:val="00391A98"/>
    <w:rsid w:val="00391B6F"/>
    <w:rsid w:val="00391BFC"/>
    <w:rsid w:val="00392157"/>
    <w:rsid w:val="00392325"/>
    <w:rsid w:val="00392572"/>
    <w:rsid w:val="0039274F"/>
    <w:rsid w:val="003928E1"/>
    <w:rsid w:val="00392B7A"/>
    <w:rsid w:val="00392B85"/>
    <w:rsid w:val="00392D7F"/>
    <w:rsid w:val="003930DD"/>
    <w:rsid w:val="003931E7"/>
    <w:rsid w:val="003931EB"/>
    <w:rsid w:val="003934FE"/>
    <w:rsid w:val="003939AD"/>
    <w:rsid w:val="00394037"/>
    <w:rsid w:val="003943C4"/>
    <w:rsid w:val="0039451F"/>
    <w:rsid w:val="00394901"/>
    <w:rsid w:val="003950D9"/>
    <w:rsid w:val="003952F2"/>
    <w:rsid w:val="0039540E"/>
    <w:rsid w:val="003958C5"/>
    <w:rsid w:val="00395E31"/>
    <w:rsid w:val="00395F0C"/>
    <w:rsid w:val="00395F28"/>
    <w:rsid w:val="00396327"/>
    <w:rsid w:val="003967A2"/>
    <w:rsid w:val="00396AB3"/>
    <w:rsid w:val="0039785A"/>
    <w:rsid w:val="00397F28"/>
    <w:rsid w:val="003A07CB"/>
    <w:rsid w:val="003A08DC"/>
    <w:rsid w:val="003A09C0"/>
    <w:rsid w:val="003A11D1"/>
    <w:rsid w:val="003A1FFD"/>
    <w:rsid w:val="003A214C"/>
    <w:rsid w:val="003A28CC"/>
    <w:rsid w:val="003A292F"/>
    <w:rsid w:val="003A2FF8"/>
    <w:rsid w:val="003A375B"/>
    <w:rsid w:val="003A37DD"/>
    <w:rsid w:val="003A3963"/>
    <w:rsid w:val="003A398F"/>
    <w:rsid w:val="003A46C6"/>
    <w:rsid w:val="003A4AF2"/>
    <w:rsid w:val="003A50AE"/>
    <w:rsid w:val="003A5385"/>
    <w:rsid w:val="003A54C7"/>
    <w:rsid w:val="003A56AB"/>
    <w:rsid w:val="003A56AC"/>
    <w:rsid w:val="003A5A11"/>
    <w:rsid w:val="003A5B87"/>
    <w:rsid w:val="003A64F5"/>
    <w:rsid w:val="003A678C"/>
    <w:rsid w:val="003A6A36"/>
    <w:rsid w:val="003A6C85"/>
    <w:rsid w:val="003A6D79"/>
    <w:rsid w:val="003A6F61"/>
    <w:rsid w:val="003A7004"/>
    <w:rsid w:val="003A7637"/>
    <w:rsid w:val="003A76DB"/>
    <w:rsid w:val="003A7E6F"/>
    <w:rsid w:val="003B05AB"/>
    <w:rsid w:val="003B0AA9"/>
    <w:rsid w:val="003B0B4F"/>
    <w:rsid w:val="003B0BE3"/>
    <w:rsid w:val="003B0DD8"/>
    <w:rsid w:val="003B10FC"/>
    <w:rsid w:val="003B1743"/>
    <w:rsid w:val="003B254F"/>
    <w:rsid w:val="003B2DE5"/>
    <w:rsid w:val="003B302F"/>
    <w:rsid w:val="003B3205"/>
    <w:rsid w:val="003B3563"/>
    <w:rsid w:val="003B3893"/>
    <w:rsid w:val="003B39B8"/>
    <w:rsid w:val="003B3CEA"/>
    <w:rsid w:val="003B3E5F"/>
    <w:rsid w:val="003B3F8B"/>
    <w:rsid w:val="003B41A9"/>
    <w:rsid w:val="003B485D"/>
    <w:rsid w:val="003B4B7D"/>
    <w:rsid w:val="003B4E05"/>
    <w:rsid w:val="003B561F"/>
    <w:rsid w:val="003B5970"/>
    <w:rsid w:val="003B66C3"/>
    <w:rsid w:val="003B68C7"/>
    <w:rsid w:val="003B6D2E"/>
    <w:rsid w:val="003B7522"/>
    <w:rsid w:val="003B7738"/>
    <w:rsid w:val="003B7B99"/>
    <w:rsid w:val="003B7DB0"/>
    <w:rsid w:val="003C0272"/>
    <w:rsid w:val="003C042A"/>
    <w:rsid w:val="003C0B14"/>
    <w:rsid w:val="003C0E4B"/>
    <w:rsid w:val="003C0F72"/>
    <w:rsid w:val="003C115F"/>
    <w:rsid w:val="003C1211"/>
    <w:rsid w:val="003C143D"/>
    <w:rsid w:val="003C2510"/>
    <w:rsid w:val="003C2A71"/>
    <w:rsid w:val="003C31AF"/>
    <w:rsid w:val="003C329E"/>
    <w:rsid w:val="003C32D6"/>
    <w:rsid w:val="003C336B"/>
    <w:rsid w:val="003C384E"/>
    <w:rsid w:val="003C3FE4"/>
    <w:rsid w:val="003C41B6"/>
    <w:rsid w:val="003C4355"/>
    <w:rsid w:val="003C446B"/>
    <w:rsid w:val="003C456D"/>
    <w:rsid w:val="003C47FB"/>
    <w:rsid w:val="003C4C3E"/>
    <w:rsid w:val="003C6931"/>
    <w:rsid w:val="003C6CD9"/>
    <w:rsid w:val="003C729B"/>
    <w:rsid w:val="003C75CF"/>
    <w:rsid w:val="003C7E59"/>
    <w:rsid w:val="003C7EF3"/>
    <w:rsid w:val="003C7FAE"/>
    <w:rsid w:val="003D0354"/>
    <w:rsid w:val="003D0D90"/>
    <w:rsid w:val="003D102F"/>
    <w:rsid w:val="003D11D2"/>
    <w:rsid w:val="003D19B4"/>
    <w:rsid w:val="003D1BB7"/>
    <w:rsid w:val="003D2486"/>
    <w:rsid w:val="003D283B"/>
    <w:rsid w:val="003D2936"/>
    <w:rsid w:val="003D3277"/>
    <w:rsid w:val="003D34EF"/>
    <w:rsid w:val="003D35CE"/>
    <w:rsid w:val="003D3922"/>
    <w:rsid w:val="003D3F4C"/>
    <w:rsid w:val="003D3F76"/>
    <w:rsid w:val="003D3F9C"/>
    <w:rsid w:val="003D42D0"/>
    <w:rsid w:val="003D4446"/>
    <w:rsid w:val="003D4499"/>
    <w:rsid w:val="003D4638"/>
    <w:rsid w:val="003D4C51"/>
    <w:rsid w:val="003D4D12"/>
    <w:rsid w:val="003D4D1D"/>
    <w:rsid w:val="003D4FA0"/>
    <w:rsid w:val="003D4FA9"/>
    <w:rsid w:val="003D5AF2"/>
    <w:rsid w:val="003D5AFA"/>
    <w:rsid w:val="003D6213"/>
    <w:rsid w:val="003D6267"/>
    <w:rsid w:val="003D6326"/>
    <w:rsid w:val="003D6E02"/>
    <w:rsid w:val="003D6F72"/>
    <w:rsid w:val="003D701E"/>
    <w:rsid w:val="003D70DF"/>
    <w:rsid w:val="003D7183"/>
    <w:rsid w:val="003D7753"/>
    <w:rsid w:val="003D7B84"/>
    <w:rsid w:val="003D7B97"/>
    <w:rsid w:val="003D7BA0"/>
    <w:rsid w:val="003D7BB4"/>
    <w:rsid w:val="003E0617"/>
    <w:rsid w:val="003E07E5"/>
    <w:rsid w:val="003E0AD5"/>
    <w:rsid w:val="003E0C89"/>
    <w:rsid w:val="003E1061"/>
    <w:rsid w:val="003E121D"/>
    <w:rsid w:val="003E1423"/>
    <w:rsid w:val="003E17F5"/>
    <w:rsid w:val="003E195D"/>
    <w:rsid w:val="003E21F7"/>
    <w:rsid w:val="003E22D4"/>
    <w:rsid w:val="003E2B94"/>
    <w:rsid w:val="003E3836"/>
    <w:rsid w:val="003E3A12"/>
    <w:rsid w:val="003E3E7D"/>
    <w:rsid w:val="003E438A"/>
    <w:rsid w:val="003E441D"/>
    <w:rsid w:val="003E451B"/>
    <w:rsid w:val="003E49A5"/>
    <w:rsid w:val="003E4B1D"/>
    <w:rsid w:val="003E4CD9"/>
    <w:rsid w:val="003E4FBD"/>
    <w:rsid w:val="003E50AD"/>
    <w:rsid w:val="003E532F"/>
    <w:rsid w:val="003E5448"/>
    <w:rsid w:val="003E5CB0"/>
    <w:rsid w:val="003E5DBE"/>
    <w:rsid w:val="003E6327"/>
    <w:rsid w:val="003E6773"/>
    <w:rsid w:val="003E6D62"/>
    <w:rsid w:val="003E6EC7"/>
    <w:rsid w:val="003E73BC"/>
    <w:rsid w:val="003E7495"/>
    <w:rsid w:val="003F014D"/>
    <w:rsid w:val="003F0401"/>
    <w:rsid w:val="003F06DA"/>
    <w:rsid w:val="003F07AF"/>
    <w:rsid w:val="003F09FA"/>
    <w:rsid w:val="003F0ABA"/>
    <w:rsid w:val="003F1172"/>
    <w:rsid w:val="003F182E"/>
    <w:rsid w:val="003F185A"/>
    <w:rsid w:val="003F1C7C"/>
    <w:rsid w:val="003F2149"/>
    <w:rsid w:val="003F27D1"/>
    <w:rsid w:val="003F287E"/>
    <w:rsid w:val="003F3177"/>
    <w:rsid w:val="003F3939"/>
    <w:rsid w:val="003F40A5"/>
    <w:rsid w:val="003F4142"/>
    <w:rsid w:val="003F45C5"/>
    <w:rsid w:val="003F4AB5"/>
    <w:rsid w:val="003F5322"/>
    <w:rsid w:val="003F6329"/>
    <w:rsid w:val="003F693D"/>
    <w:rsid w:val="003F6B89"/>
    <w:rsid w:val="003F6ED6"/>
    <w:rsid w:val="003F6F72"/>
    <w:rsid w:val="003F7079"/>
    <w:rsid w:val="003F75AE"/>
    <w:rsid w:val="003F7E8B"/>
    <w:rsid w:val="004003C6"/>
    <w:rsid w:val="0040086B"/>
    <w:rsid w:val="00400A4D"/>
    <w:rsid w:val="00400F66"/>
    <w:rsid w:val="0040117D"/>
    <w:rsid w:val="00401811"/>
    <w:rsid w:val="004019B2"/>
    <w:rsid w:val="0040233B"/>
    <w:rsid w:val="004023F4"/>
    <w:rsid w:val="00402479"/>
    <w:rsid w:val="00402745"/>
    <w:rsid w:val="004034CF"/>
    <w:rsid w:val="004039D4"/>
    <w:rsid w:val="00403C33"/>
    <w:rsid w:val="00403D89"/>
    <w:rsid w:val="004046DA"/>
    <w:rsid w:val="00404954"/>
    <w:rsid w:val="00404DAD"/>
    <w:rsid w:val="00404FC7"/>
    <w:rsid w:val="004051BE"/>
    <w:rsid w:val="00405739"/>
    <w:rsid w:val="00405D08"/>
    <w:rsid w:val="00405FC2"/>
    <w:rsid w:val="00406986"/>
    <w:rsid w:val="00406A15"/>
    <w:rsid w:val="00406D11"/>
    <w:rsid w:val="00406EAE"/>
    <w:rsid w:val="0040754F"/>
    <w:rsid w:val="00407E37"/>
    <w:rsid w:val="00411FED"/>
    <w:rsid w:val="00412143"/>
    <w:rsid w:val="00412475"/>
    <w:rsid w:val="00412CD0"/>
    <w:rsid w:val="004132D7"/>
    <w:rsid w:val="00413383"/>
    <w:rsid w:val="004133BB"/>
    <w:rsid w:val="00413693"/>
    <w:rsid w:val="00413DBC"/>
    <w:rsid w:val="00413E98"/>
    <w:rsid w:val="004140BA"/>
    <w:rsid w:val="004144EB"/>
    <w:rsid w:val="004144EE"/>
    <w:rsid w:val="0041458D"/>
    <w:rsid w:val="004146BE"/>
    <w:rsid w:val="00414855"/>
    <w:rsid w:val="004153BD"/>
    <w:rsid w:val="00415458"/>
    <w:rsid w:val="00415460"/>
    <w:rsid w:val="00415483"/>
    <w:rsid w:val="00415626"/>
    <w:rsid w:val="00415A5E"/>
    <w:rsid w:val="00415B99"/>
    <w:rsid w:val="00415DC4"/>
    <w:rsid w:val="00415E55"/>
    <w:rsid w:val="004163E6"/>
    <w:rsid w:val="00416C3C"/>
    <w:rsid w:val="0041704E"/>
    <w:rsid w:val="00417CB5"/>
    <w:rsid w:val="00417CCE"/>
    <w:rsid w:val="004202F7"/>
    <w:rsid w:val="00420662"/>
    <w:rsid w:val="004206ED"/>
    <w:rsid w:val="00421E3B"/>
    <w:rsid w:val="0042212B"/>
    <w:rsid w:val="004221C2"/>
    <w:rsid w:val="00422743"/>
    <w:rsid w:val="004229E8"/>
    <w:rsid w:val="004231ED"/>
    <w:rsid w:val="0042388B"/>
    <w:rsid w:val="00423FD5"/>
    <w:rsid w:val="0042402A"/>
    <w:rsid w:val="004243BE"/>
    <w:rsid w:val="00424444"/>
    <w:rsid w:val="004246D3"/>
    <w:rsid w:val="00424976"/>
    <w:rsid w:val="00424B14"/>
    <w:rsid w:val="00424D1E"/>
    <w:rsid w:val="00425115"/>
    <w:rsid w:val="0042531A"/>
    <w:rsid w:val="00425651"/>
    <w:rsid w:val="00425B5A"/>
    <w:rsid w:val="00425C2F"/>
    <w:rsid w:val="00426668"/>
    <w:rsid w:val="0042695D"/>
    <w:rsid w:val="00426D42"/>
    <w:rsid w:val="00426E31"/>
    <w:rsid w:val="00426F73"/>
    <w:rsid w:val="004270A7"/>
    <w:rsid w:val="004275C8"/>
    <w:rsid w:val="00427697"/>
    <w:rsid w:val="0043042D"/>
    <w:rsid w:val="00430570"/>
    <w:rsid w:val="00430ED1"/>
    <w:rsid w:val="00431621"/>
    <w:rsid w:val="00431969"/>
    <w:rsid w:val="00431F05"/>
    <w:rsid w:val="00431F45"/>
    <w:rsid w:val="00431F78"/>
    <w:rsid w:val="00431FC5"/>
    <w:rsid w:val="004324AC"/>
    <w:rsid w:val="004324D4"/>
    <w:rsid w:val="00432638"/>
    <w:rsid w:val="0043268F"/>
    <w:rsid w:val="00432BF4"/>
    <w:rsid w:val="004330C4"/>
    <w:rsid w:val="00433800"/>
    <w:rsid w:val="004339D6"/>
    <w:rsid w:val="00433F60"/>
    <w:rsid w:val="00433F9B"/>
    <w:rsid w:val="0043464A"/>
    <w:rsid w:val="00435155"/>
    <w:rsid w:val="004353EA"/>
    <w:rsid w:val="00435582"/>
    <w:rsid w:val="00436B64"/>
    <w:rsid w:val="00436E62"/>
    <w:rsid w:val="004372EE"/>
    <w:rsid w:val="00437A18"/>
    <w:rsid w:val="00440C66"/>
    <w:rsid w:val="0044114D"/>
    <w:rsid w:val="004411C3"/>
    <w:rsid w:val="00441584"/>
    <w:rsid w:val="00441920"/>
    <w:rsid w:val="0044194E"/>
    <w:rsid w:val="004419DA"/>
    <w:rsid w:val="00441CBD"/>
    <w:rsid w:val="00442945"/>
    <w:rsid w:val="00442BDE"/>
    <w:rsid w:val="00442FA8"/>
    <w:rsid w:val="004430A9"/>
    <w:rsid w:val="00443198"/>
    <w:rsid w:val="0044366E"/>
    <w:rsid w:val="00443A90"/>
    <w:rsid w:val="00443DE7"/>
    <w:rsid w:val="004445F9"/>
    <w:rsid w:val="004449F1"/>
    <w:rsid w:val="00444DFB"/>
    <w:rsid w:val="00444EBC"/>
    <w:rsid w:val="00445663"/>
    <w:rsid w:val="00445A2F"/>
    <w:rsid w:val="00445D74"/>
    <w:rsid w:val="00446473"/>
    <w:rsid w:val="00446662"/>
    <w:rsid w:val="00446BCB"/>
    <w:rsid w:val="00447592"/>
    <w:rsid w:val="0044781C"/>
    <w:rsid w:val="00447E92"/>
    <w:rsid w:val="00447EF2"/>
    <w:rsid w:val="004504F3"/>
    <w:rsid w:val="00451403"/>
    <w:rsid w:val="00451959"/>
    <w:rsid w:val="004521B9"/>
    <w:rsid w:val="0045227F"/>
    <w:rsid w:val="004524D7"/>
    <w:rsid w:val="00452886"/>
    <w:rsid w:val="00453023"/>
    <w:rsid w:val="004542D9"/>
    <w:rsid w:val="00455A18"/>
    <w:rsid w:val="00455C99"/>
    <w:rsid w:val="004572A4"/>
    <w:rsid w:val="004572B4"/>
    <w:rsid w:val="00457386"/>
    <w:rsid w:val="004607FD"/>
    <w:rsid w:val="0046081D"/>
    <w:rsid w:val="004609C4"/>
    <w:rsid w:val="004610A5"/>
    <w:rsid w:val="00461AC0"/>
    <w:rsid w:val="00461E0C"/>
    <w:rsid w:val="00462083"/>
    <w:rsid w:val="004622AF"/>
    <w:rsid w:val="0046248D"/>
    <w:rsid w:val="004629EE"/>
    <w:rsid w:val="00462D42"/>
    <w:rsid w:val="004632DF"/>
    <w:rsid w:val="0046352C"/>
    <w:rsid w:val="00463B41"/>
    <w:rsid w:val="00463BFB"/>
    <w:rsid w:val="00463C2D"/>
    <w:rsid w:val="00463C5C"/>
    <w:rsid w:val="00463DDE"/>
    <w:rsid w:val="004640BC"/>
    <w:rsid w:val="00464269"/>
    <w:rsid w:val="004647E1"/>
    <w:rsid w:val="00464E9F"/>
    <w:rsid w:val="00465816"/>
    <w:rsid w:val="00465C1B"/>
    <w:rsid w:val="004664B0"/>
    <w:rsid w:val="0046672F"/>
    <w:rsid w:val="00467270"/>
    <w:rsid w:val="00467723"/>
    <w:rsid w:val="00467E5E"/>
    <w:rsid w:val="00470D92"/>
    <w:rsid w:val="00470DF2"/>
    <w:rsid w:val="004715B6"/>
    <w:rsid w:val="00471B08"/>
    <w:rsid w:val="00471D66"/>
    <w:rsid w:val="00471EFB"/>
    <w:rsid w:val="00471FE8"/>
    <w:rsid w:val="00472F23"/>
    <w:rsid w:val="0047307A"/>
    <w:rsid w:val="00473576"/>
    <w:rsid w:val="00473CA5"/>
    <w:rsid w:val="00473EBE"/>
    <w:rsid w:val="00474124"/>
    <w:rsid w:val="004747D2"/>
    <w:rsid w:val="00474A79"/>
    <w:rsid w:val="00474C7F"/>
    <w:rsid w:val="00474DBB"/>
    <w:rsid w:val="00474F36"/>
    <w:rsid w:val="00474FC8"/>
    <w:rsid w:val="004757AA"/>
    <w:rsid w:val="0047603B"/>
    <w:rsid w:val="004760F2"/>
    <w:rsid w:val="004761B9"/>
    <w:rsid w:val="004762EF"/>
    <w:rsid w:val="0047665D"/>
    <w:rsid w:val="00476B76"/>
    <w:rsid w:val="00476DAE"/>
    <w:rsid w:val="00477EC1"/>
    <w:rsid w:val="004801DD"/>
    <w:rsid w:val="004807AB"/>
    <w:rsid w:val="00480D94"/>
    <w:rsid w:val="00480DB2"/>
    <w:rsid w:val="00481095"/>
    <w:rsid w:val="0048126F"/>
    <w:rsid w:val="00481301"/>
    <w:rsid w:val="00481AA3"/>
    <w:rsid w:val="0048219D"/>
    <w:rsid w:val="00482643"/>
    <w:rsid w:val="00483568"/>
    <w:rsid w:val="00483B2B"/>
    <w:rsid w:val="004844B7"/>
    <w:rsid w:val="0048463C"/>
    <w:rsid w:val="004846B6"/>
    <w:rsid w:val="004847C3"/>
    <w:rsid w:val="00484AAC"/>
    <w:rsid w:val="004854BF"/>
    <w:rsid w:val="0048660E"/>
    <w:rsid w:val="004866E9"/>
    <w:rsid w:val="0048674B"/>
    <w:rsid w:val="0048700B"/>
    <w:rsid w:val="0048742B"/>
    <w:rsid w:val="0048747D"/>
    <w:rsid w:val="004876FD"/>
    <w:rsid w:val="00490687"/>
    <w:rsid w:val="0049081A"/>
    <w:rsid w:val="00491500"/>
    <w:rsid w:val="0049150B"/>
    <w:rsid w:val="00491974"/>
    <w:rsid w:val="004921A2"/>
    <w:rsid w:val="00492432"/>
    <w:rsid w:val="00492787"/>
    <w:rsid w:val="00492D18"/>
    <w:rsid w:val="004938FA"/>
    <w:rsid w:val="00493959"/>
    <w:rsid w:val="004949D0"/>
    <w:rsid w:val="004954C2"/>
    <w:rsid w:val="004956D5"/>
    <w:rsid w:val="00495E74"/>
    <w:rsid w:val="00495E99"/>
    <w:rsid w:val="00496B83"/>
    <w:rsid w:val="00496BD0"/>
    <w:rsid w:val="00496EF8"/>
    <w:rsid w:val="004970D2"/>
    <w:rsid w:val="0049771B"/>
    <w:rsid w:val="0049798B"/>
    <w:rsid w:val="00497BCA"/>
    <w:rsid w:val="004A03F9"/>
    <w:rsid w:val="004A058F"/>
    <w:rsid w:val="004A073B"/>
    <w:rsid w:val="004A08A5"/>
    <w:rsid w:val="004A09B8"/>
    <w:rsid w:val="004A0DC5"/>
    <w:rsid w:val="004A0DD1"/>
    <w:rsid w:val="004A1160"/>
    <w:rsid w:val="004A18A8"/>
    <w:rsid w:val="004A19C8"/>
    <w:rsid w:val="004A1D98"/>
    <w:rsid w:val="004A228E"/>
    <w:rsid w:val="004A2A28"/>
    <w:rsid w:val="004A2A89"/>
    <w:rsid w:val="004A33DA"/>
    <w:rsid w:val="004A3E24"/>
    <w:rsid w:val="004A3E47"/>
    <w:rsid w:val="004A41B7"/>
    <w:rsid w:val="004A4285"/>
    <w:rsid w:val="004A4DEA"/>
    <w:rsid w:val="004A5287"/>
    <w:rsid w:val="004A53A3"/>
    <w:rsid w:val="004A53E7"/>
    <w:rsid w:val="004A572B"/>
    <w:rsid w:val="004A604B"/>
    <w:rsid w:val="004A6245"/>
    <w:rsid w:val="004A6496"/>
    <w:rsid w:val="004A696C"/>
    <w:rsid w:val="004A6AE6"/>
    <w:rsid w:val="004A717F"/>
    <w:rsid w:val="004A7831"/>
    <w:rsid w:val="004A7EF8"/>
    <w:rsid w:val="004B096B"/>
    <w:rsid w:val="004B0A3B"/>
    <w:rsid w:val="004B1011"/>
    <w:rsid w:val="004B1067"/>
    <w:rsid w:val="004B10AE"/>
    <w:rsid w:val="004B11AF"/>
    <w:rsid w:val="004B14C4"/>
    <w:rsid w:val="004B1A25"/>
    <w:rsid w:val="004B1B5D"/>
    <w:rsid w:val="004B1CB0"/>
    <w:rsid w:val="004B1DC1"/>
    <w:rsid w:val="004B20E7"/>
    <w:rsid w:val="004B30C3"/>
    <w:rsid w:val="004B35DC"/>
    <w:rsid w:val="004B3EE6"/>
    <w:rsid w:val="004B3EEE"/>
    <w:rsid w:val="004B3FBE"/>
    <w:rsid w:val="004B510A"/>
    <w:rsid w:val="004B52E2"/>
    <w:rsid w:val="004B586B"/>
    <w:rsid w:val="004B5E39"/>
    <w:rsid w:val="004B617E"/>
    <w:rsid w:val="004B6227"/>
    <w:rsid w:val="004B6692"/>
    <w:rsid w:val="004B669E"/>
    <w:rsid w:val="004B6D18"/>
    <w:rsid w:val="004B6F09"/>
    <w:rsid w:val="004B7347"/>
    <w:rsid w:val="004B7367"/>
    <w:rsid w:val="004B7634"/>
    <w:rsid w:val="004C02DA"/>
    <w:rsid w:val="004C095C"/>
    <w:rsid w:val="004C0D88"/>
    <w:rsid w:val="004C0FD7"/>
    <w:rsid w:val="004C2755"/>
    <w:rsid w:val="004C2FD2"/>
    <w:rsid w:val="004C373E"/>
    <w:rsid w:val="004C3E0C"/>
    <w:rsid w:val="004C40E8"/>
    <w:rsid w:val="004C4145"/>
    <w:rsid w:val="004C44F6"/>
    <w:rsid w:val="004C4F45"/>
    <w:rsid w:val="004C53E7"/>
    <w:rsid w:val="004C54A0"/>
    <w:rsid w:val="004C5B03"/>
    <w:rsid w:val="004C6009"/>
    <w:rsid w:val="004C663D"/>
    <w:rsid w:val="004C6CCC"/>
    <w:rsid w:val="004C749A"/>
    <w:rsid w:val="004C7AC4"/>
    <w:rsid w:val="004C7C10"/>
    <w:rsid w:val="004D0057"/>
    <w:rsid w:val="004D0826"/>
    <w:rsid w:val="004D08F5"/>
    <w:rsid w:val="004D0A78"/>
    <w:rsid w:val="004D0B71"/>
    <w:rsid w:val="004D1065"/>
    <w:rsid w:val="004D12E7"/>
    <w:rsid w:val="004D141F"/>
    <w:rsid w:val="004D15A8"/>
    <w:rsid w:val="004D17E1"/>
    <w:rsid w:val="004D1E4C"/>
    <w:rsid w:val="004D2FEA"/>
    <w:rsid w:val="004D311C"/>
    <w:rsid w:val="004D34A0"/>
    <w:rsid w:val="004D3508"/>
    <w:rsid w:val="004D362A"/>
    <w:rsid w:val="004D3C08"/>
    <w:rsid w:val="004D3F8D"/>
    <w:rsid w:val="004D4732"/>
    <w:rsid w:val="004D4EEA"/>
    <w:rsid w:val="004D5206"/>
    <w:rsid w:val="004D5213"/>
    <w:rsid w:val="004D5216"/>
    <w:rsid w:val="004D55FA"/>
    <w:rsid w:val="004D5A16"/>
    <w:rsid w:val="004D5B29"/>
    <w:rsid w:val="004D5E02"/>
    <w:rsid w:val="004D5F70"/>
    <w:rsid w:val="004D7194"/>
    <w:rsid w:val="004D7275"/>
    <w:rsid w:val="004D75D8"/>
    <w:rsid w:val="004D78C8"/>
    <w:rsid w:val="004D7EF7"/>
    <w:rsid w:val="004D7F38"/>
    <w:rsid w:val="004E05E7"/>
    <w:rsid w:val="004E0E39"/>
    <w:rsid w:val="004E1757"/>
    <w:rsid w:val="004E1853"/>
    <w:rsid w:val="004E1F04"/>
    <w:rsid w:val="004E2B0F"/>
    <w:rsid w:val="004E2B57"/>
    <w:rsid w:val="004E2E08"/>
    <w:rsid w:val="004E2F35"/>
    <w:rsid w:val="004E3204"/>
    <w:rsid w:val="004E3844"/>
    <w:rsid w:val="004E3920"/>
    <w:rsid w:val="004E3C59"/>
    <w:rsid w:val="004E3E1A"/>
    <w:rsid w:val="004E3FFF"/>
    <w:rsid w:val="004E43D1"/>
    <w:rsid w:val="004E43D5"/>
    <w:rsid w:val="004E468D"/>
    <w:rsid w:val="004E4D2B"/>
    <w:rsid w:val="004E50A2"/>
    <w:rsid w:val="004E523A"/>
    <w:rsid w:val="004E5875"/>
    <w:rsid w:val="004E58C3"/>
    <w:rsid w:val="004E5E9B"/>
    <w:rsid w:val="004E629F"/>
    <w:rsid w:val="004E6436"/>
    <w:rsid w:val="004E64B8"/>
    <w:rsid w:val="004E65E9"/>
    <w:rsid w:val="004E6738"/>
    <w:rsid w:val="004E6997"/>
    <w:rsid w:val="004E6B9A"/>
    <w:rsid w:val="004E7249"/>
    <w:rsid w:val="004E72FB"/>
    <w:rsid w:val="004E75A8"/>
    <w:rsid w:val="004E7901"/>
    <w:rsid w:val="004E79BD"/>
    <w:rsid w:val="004E7B8C"/>
    <w:rsid w:val="004E7F29"/>
    <w:rsid w:val="004E7FC6"/>
    <w:rsid w:val="004F0918"/>
    <w:rsid w:val="004F0C51"/>
    <w:rsid w:val="004F1054"/>
    <w:rsid w:val="004F10A2"/>
    <w:rsid w:val="004F140B"/>
    <w:rsid w:val="004F1911"/>
    <w:rsid w:val="004F1DD3"/>
    <w:rsid w:val="004F1E45"/>
    <w:rsid w:val="004F2383"/>
    <w:rsid w:val="004F23E9"/>
    <w:rsid w:val="004F2CFF"/>
    <w:rsid w:val="004F2FF1"/>
    <w:rsid w:val="004F334F"/>
    <w:rsid w:val="004F36AD"/>
    <w:rsid w:val="004F3834"/>
    <w:rsid w:val="004F3B6F"/>
    <w:rsid w:val="004F3EDC"/>
    <w:rsid w:val="004F4635"/>
    <w:rsid w:val="004F48C3"/>
    <w:rsid w:val="004F4FC8"/>
    <w:rsid w:val="004F4FF7"/>
    <w:rsid w:val="004F52EB"/>
    <w:rsid w:val="004F56CF"/>
    <w:rsid w:val="004F57F0"/>
    <w:rsid w:val="004F5854"/>
    <w:rsid w:val="004F58BB"/>
    <w:rsid w:val="004F632F"/>
    <w:rsid w:val="004F6C21"/>
    <w:rsid w:val="004F6CFB"/>
    <w:rsid w:val="004F72E9"/>
    <w:rsid w:val="00500602"/>
    <w:rsid w:val="00500E8D"/>
    <w:rsid w:val="00500EDA"/>
    <w:rsid w:val="00501351"/>
    <w:rsid w:val="00501622"/>
    <w:rsid w:val="005019B1"/>
    <w:rsid w:val="00501C80"/>
    <w:rsid w:val="00501DEE"/>
    <w:rsid w:val="00501EAC"/>
    <w:rsid w:val="00502217"/>
    <w:rsid w:val="00502D50"/>
    <w:rsid w:val="0050314E"/>
    <w:rsid w:val="00503295"/>
    <w:rsid w:val="00503571"/>
    <w:rsid w:val="00503638"/>
    <w:rsid w:val="005036BB"/>
    <w:rsid w:val="00503819"/>
    <w:rsid w:val="00503A81"/>
    <w:rsid w:val="00503B2F"/>
    <w:rsid w:val="00503E65"/>
    <w:rsid w:val="005045AE"/>
    <w:rsid w:val="00504B64"/>
    <w:rsid w:val="00504CED"/>
    <w:rsid w:val="00504D5D"/>
    <w:rsid w:val="005050AA"/>
    <w:rsid w:val="00505BA0"/>
    <w:rsid w:val="00505E50"/>
    <w:rsid w:val="00505FBC"/>
    <w:rsid w:val="005068FD"/>
    <w:rsid w:val="00507501"/>
    <w:rsid w:val="005075B6"/>
    <w:rsid w:val="005076CE"/>
    <w:rsid w:val="00507BDB"/>
    <w:rsid w:val="00507E32"/>
    <w:rsid w:val="0051104A"/>
    <w:rsid w:val="0051161A"/>
    <w:rsid w:val="0051180A"/>
    <w:rsid w:val="005126B9"/>
    <w:rsid w:val="00512853"/>
    <w:rsid w:val="00512C92"/>
    <w:rsid w:val="00513406"/>
    <w:rsid w:val="005142D6"/>
    <w:rsid w:val="005143A8"/>
    <w:rsid w:val="00514497"/>
    <w:rsid w:val="00514616"/>
    <w:rsid w:val="00514988"/>
    <w:rsid w:val="00515110"/>
    <w:rsid w:val="005154BC"/>
    <w:rsid w:val="00516124"/>
    <w:rsid w:val="005161B2"/>
    <w:rsid w:val="0051662C"/>
    <w:rsid w:val="00517023"/>
    <w:rsid w:val="0051743E"/>
    <w:rsid w:val="0051749C"/>
    <w:rsid w:val="00517839"/>
    <w:rsid w:val="00517B7D"/>
    <w:rsid w:val="00517F0D"/>
    <w:rsid w:val="0052022D"/>
    <w:rsid w:val="005202BB"/>
    <w:rsid w:val="005207C0"/>
    <w:rsid w:val="00521445"/>
    <w:rsid w:val="00521495"/>
    <w:rsid w:val="00521592"/>
    <w:rsid w:val="00521E09"/>
    <w:rsid w:val="00521EDB"/>
    <w:rsid w:val="00522624"/>
    <w:rsid w:val="005229C0"/>
    <w:rsid w:val="00522C4A"/>
    <w:rsid w:val="00522F19"/>
    <w:rsid w:val="00523193"/>
    <w:rsid w:val="005232A0"/>
    <w:rsid w:val="00523347"/>
    <w:rsid w:val="00523390"/>
    <w:rsid w:val="00523A2E"/>
    <w:rsid w:val="00523DA0"/>
    <w:rsid w:val="005244ED"/>
    <w:rsid w:val="00524898"/>
    <w:rsid w:val="005249C9"/>
    <w:rsid w:val="00524ADA"/>
    <w:rsid w:val="00524DA1"/>
    <w:rsid w:val="0052528D"/>
    <w:rsid w:val="00525715"/>
    <w:rsid w:val="00525A97"/>
    <w:rsid w:val="00525CEB"/>
    <w:rsid w:val="00525DBB"/>
    <w:rsid w:val="00525E11"/>
    <w:rsid w:val="00526019"/>
    <w:rsid w:val="00526186"/>
    <w:rsid w:val="005262C2"/>
    <w:rsid w:val="005269C1"/>
    <w:rsid w:val="00526B38"/>
    <w:rsid w:val="00526E34"/>
    <w:rsid w:val="0052788F"/>
    <w:rsid w:val="00527A20"/>
    <w:rsid w:val="0053069F"/>
    <w:rsid w:val="00530A76"/>
    <w:rsid w:val="00530B59"/>
    <w:rsid w:val="00530F5B"/>
    <w:rsid w:val="005310AE"/>
    <w:rsid w:val="00531254"/>
    <w:rsid w:val="005316BD"/>
    <w:rsid w:val="0053189E"/>
    <w:rsid w:val="005318B9"/>
    <w:rsid w:val="00531954"/>
    <w:rsid w:val="00531E07"/>
    <w:rsid w:val="005321F4"/>
    <w:rsid w:val="0053271E"/>
    <w:rsid w:val="00533171"/>
    <w:rsid w:val="005332F5"/>
    <w:rsid w:val="005333D4"/>
    <w:rsid w:val="005338F0"/>
    <w:rsid w:val="00533F1C"/>
    <w:rsid w:val="00534124"/>
    <w:rsid w:val="00534284"/>
    <w:rsid w:val="00534585"/>
    <w:rsid w:val="00534707"/>
    <w:rsid w:val="00534A1D"/>
    <w:rsid w:val="00534A3B"/>
    <w:rsid w:val="00534D14"/>
    <w:rsid w:val="00534D5B"/>
    <w:rsid w:val="00535011"/>
    <w:rsid w:val="00535439"/>
    <w:rsid w:val="00535487"/>
    <w:rsid w:val="00535591"/>
    <w:rsid w:val="00535B7B"/>
    <w:rsid w:val="00535C88"/>
    <w:rsid w:val="00535E33"/>
    <w:rsid w:val="005362CD"/>
    <w:rsid w:val="00536455"/>
    <w:rsid w:val="00536496"/>
    <w:rsid w:val="0053652E"/>
    <w:rsid w:val="005366B6"/>
    <w:rsid w:val="00536768"/>
    <w:rsid w:val="00537959"/>
    <w:rsid w:val="00537C47"/>
    <w:rsid w:val="00540660"/>
    <w:rsid w:val="00540DB3"/>
    <w:rsid w:val="00540E01"/>
    <w:rsid w:val="00540F72"/>
    <w:rsid w:val="00541113"/>
    <w:rsid w:val="00541475"/>
    <w:rsid w:val="0054171E"/>
    <w:rsid w:val="00541A61"/>
    <w:rsid w:val="00541E22"/>
    <w:rsid w:val="0054202B"/>
    <w:rsid w:val="005420F0"/>
    <w:rsid w:val="00542443"/>
    <w:rsid w:val="00542F35"/>
    <w:rsid w:val="00542F46"/>
    <w:rsid w:val="005430A8"/>
    <w:rsid w:val="00543187"/>
    <w:rsid w:val="00543297"/>
    <w:rsid w:val="005438C4"/>
    <w:rsid w:val="00543A9D"/>
    <w:rsid w:val="00543B54"/>
    <w:rsid w:val="00543DB7"/>
    <w:rsid w:val="005440C5"/>
    <w:rsid w:val="005443C8"/>
    <w:rsid w:val="0054443F"/>
    <w:rsid w:val="00544A04"/>
    <w:rsid w:val="00545097"/>
    <w:rsid w:val="00545580"/>
    <w:rsid w:val="005457BF"/>
    <w:rsid w:val="00545D24"/>
    <w:rsid w:val="00545FB5"/>
    <w:rsid w:val="005460F4"/>
    <w:rsid w:val="005469D0"/>
    <w:rsid w:val="005469DD"/>
    <w:rsid w:val="005474EB"/>
    <w:rsid w:val="00547FA9"/>
    <w:rsid w:val="005505DB"/>
    <w:rsid w:val="00550672"/>
    <w:rsid w:val="00550C0A"/>
    <w:rsid w:val="00550D63"/>
    <w:rsid w:val="00551249"/>
    <w:rsid w:val="0055175B"/>
    <w:rsid w:val="005519BC"/>
    <w:rsid w:val="00551BEE"/>
    <w:rsid w:val="005527E4"/>
    <w:rsid w:val="00553294"/>
    <w:rsid w:val="0055354E"/>
    <w:rsid w:val="0055360E"/>
    <w:rsid w:val="005537D1"/>
    <w:rsid w:val="0055393A"/>
    <w:rsid w:val="005539DA"/>
    <w:rsid w:val="00553C80"/>
    <w:rsid w:val="00553D99"/>
    <w:rsid w:val="00554359"/>
    <w:rsid w:val="0055436D"/>
    <w:rsid w:val="0055456C"/>
    <w:rsid w:val="005545BF"/>
    <w:rsid w:val="00554DF8"/>
    <w:rsid w:val="00555069"/>
    <w:rsid w:val="005554B3"/>
    <w:rsid w:val="0055593A"/>
    <w:rsid w:val="00555C19"/>
    <w:rsid w:val="00555CA0"/>
    <w:rsid w:val="00555E84"/>
    <w:rsid w:val="0055687D"/>
    <w:rsid w:val="005569D0"/>
    <w:rsid w:val="00556FDE"/>
    <w:rsid w:val="00557162"/>
    <w:rsid w:val="005572AE"/>
    <w:rsid w:val="00557627"/>
    <w:rsid w:val="00560091"/>
    <w:rsid w:val="0056065D"/>
    <w:rsid w:val="00560B36"/>
    <w:rsid w:val="00560DCF"/>
    <w:rsid w:val="00560E41"/>
    <w:rsid w:val="00560E96"/>
    <w:rsid w:val="005611AB"/>
    <w:rsid w:val="005611F9"/>
    <w:rsid w:val="00561458"/>
    <w:rsid w:val="00561964"/>
    <w:rsid w:val="00561AB9"/>
    <w:rsid w:val="00561FB6"/>
    <w:rsid w:val="00563186"/>
    <w:rsid w:val="00563971"/>
    <w:rsid w:val="00563CF7"/>
    <w:rsid w:val="00563D34"/>
    <w:rsid w:val="005640E3"/>
    <w:rsid w:val="005648ED"/>
    <w:rsid w:val="00564B88"/>
    <w:rsid w:val="00564DE7"/>
    <w:rsid w:val="00565145"/>
    <w:rsid w:val="0056536C"/>
    <w:rsid w:val="0056564F"/>
    <w:rsid w:val="00565DD0"/>
    <w:rsid w:val="0056667C"/>
    <w:rsid w:val="00566A1C"/>
    <w:rsid w:val="00566C4B"/>
    <w:rsid w:val="0056723C"/>
    <w:rsid w:val="005673FC"/>
    <w:rsid w:val="005674BB"/>
    <w:rsid w:val="0056772C"/>
    <w:rsid w:val="00567AE1"/>
    <w:rsid w:val="00567CB1"/>
    <w:rsid w:val="00567CD4"/>
    <w:rsid w:val="00567F85"/>
    <w:rsid w:val="00567FE2"/>
    <w:rsid w:val="00570AAE"/>
    <w:rsid w:val="0057148B"/>
    <w:rsid w:val="00572529"/>
    <w:rsid w:val="00572962"/>
    <w:rsid w:val="00572AA6"/>
    <w:rsid w:val="00572F46"/>
    <w:rsid w:val="0057310E"/>
    <w:rsid w:val="0057449B"/>
    <w:rsid w:val="0057528B"/>
    <w:rsid w:val="00575CB7"/>
    <w:rsid w:val="00575CF8"/>
    <w:rsid w:val="00575F9D"/>
    <w:rsid w:val="00576B4B"/>
    <w:rsid w:val="00576E2B"/>
    <w:rsid w:val="00577035"/>
    <w:rsid w:val="005773ED"/>
    <w:rsid w:val="005779CA"/>
    <w:rsid w:val="00577AA2"/>
    <w:rsid w:val="00580871"/>
    <w:rsid w:val="0058091B"/>
    <w:rsid w:val="00580F96"/>
    <w:rsid w:val="00581836"/>
    <w:rsid w:val="0058183A"/>
    <w:rsid w:val="00583146"/>
    <w:rsid w:val="0058354B"/>
    <w:rsid w:val="00583BB5"/>
    <w:rsid w:val="005840BA"/>
    <w:rsid w:val="0058416A"/>
    <w:rsid w:val="00584D1A"/>
    <w:rsid w:val="005850E9"/>
    <w:rsid w:val="00585421"/>
    <w:rsid w:val="00585605"/>
    <w:rsid w:val="00585767"/>
    <w:rsid w:val="00585FF4"/>
    <w:rsid w:val="005860A2"/>
    <w:rsid w:val="0058654C"/>
    <w:rsid w:val="00587336"/>
    <w:rsid w:val="00587E95"/>
    <w:rsid w:val="00590065"/>
    <w:rsid w:val="0059016D"/>
    <w:rsid w:val="00590A8E"/>
    <w:rsid w:val="00590F0A"/>
    <w:rsid w:val="00591370"/>
    <w:rsid w:val="0059144A"/>
    <w:rsid w:val="00591688"/>
    <w:rsid w:val="00591689"/>
    <w:rsid w:val="005918BC"/>
    <w:rsid w:val="005921ED"/>
    <w:rsid w:val="00592536"/>
    <w:rsid w:val="00592AEF"/>
    <w:rsid w:val="00592CAB"/>
    <w:rsid w:val="00593628"/>
    <w:rsid w:val="00593636"/>
    <w:rsid w:val="00593707"/>
    <w:rsid w:val="00593964"/>
    <w:rsid w:val="00593FFD"/>
    <w:rsid w:val="0059482D"/>
    <w:rsid w:val="00594D0A"/>
    <w:rsid w:val="0059500A"/>
    <w:rsid w:val="005950E0"/>
    <w:rsid w:val="0059532A"/>
    <w:rsid w:val="00595C6D"/>
    <w:rsid w:val="00595CB6"/>
    <w:rsid w:val="005963C9"/>
    <w:rsid w:val="00596A21"/>
    <w:rsid w:val="00596A48"/>
    <w:rsid w:val="00596B72"/>
    <w:rsid w:val="00596B76"/>
    <w:rsid w:val="00597DBC"/>
    <w:rsid w:val="005A08BE"/>
    <w:rsid w:val="005A24EB"/>
    <w:rsid w:val="005A341C"/>
    <w:rsid w:val="005A3941"/>
    <w:rsid w:val="005A3B81"/>
    <w:rsid w:val="005A3BEF"/>
    <w:rsid w:val="005A3EBA"/>
    <w:rsid w:val="005A42B3"/>
    <w:rsid w:val="005A4358"/>
    <w:rsid w:val="005A499E"/>
    <w:rsid w:val="005A4CEC"/>
    <w:rsid w:val="005A4F7D"/>
    <w:rsid w:val="005A51CA"/>
    <w:rsid w:val="005A5C75"/>
    <w:rsid w:val="005A5F10"/>
    <w:rsid w:val="005A5FF0"/>
    <w:rsid w:val="005A61A8"/>
    <w:rsid w:val="005A6378"/>
    <w:rsid w:val="005A65FE"/>
    <w:rsid w:val="005A69E2"/>
    <w:rsid w:val="005A6A4C"/>
    <w:rsid w:val="005A6C7B"/>
    <w:rsid w:val="005A6E17"/>
    <w:rsid w:val="005A7540"/>
    <w:rsid w:val="005A779D"/>
    <w:rsid w:val="005A7CAD"/>
    <w:rsid w:val="005A7DA0"/>
    <w:rsid w:val="005B01F2"/>
    <w:rsid w:val="005B091E"/>
    <w:rsid w:val="005B092C"/>
    <w:rsid w:val="005B0B3A"/>
    <w:rsid w:val="005B0D8A"/>
    <w:rsid w:val="005B201B"/>
    <w:rsid w:val="005B2313"/>
    <w:rsid w:val="005B2324"/>
    <w:rsid w:val="005B2616"/>
    <w:rsid w:val="005B2735"/>
    <w:rsid w:val="005B343E"/>
    <w:rsid w:val="005B3491"/>
    <w:rsid w:val="005B36A1"/>
    <w:rsid w:val="005B3FE4"/>
    <w:rsid w:val="005B432F"/>
    <w:rsid w:val="005B4C72"/>
    <w:rsid w:val="005B4E4F"/>
    <w:rsid w:val="005B4F29"/>
    <w:rsid w:val="005B5378"/>
    <w:rsid w:val="005B5F54"/>
    <w:rsid w:val="005B5FBD"/>
    <w:rsid w:val="005B6221"/>
    <w:rsid w:val="005B664C"/>
    <w:rsid w:val="005B6BD5"/>
    <w:rsid w:val="005B723B"/>
    <w:rsid w:val="005B74DB"/>
    <w:rsid w:val="005B786C"/>
    <w:rsid w:val="005B7D5A"/>
    <w:rsid w:val="005C0465"/>
    <w:rsid w:val="005C0D26"/>
    <w:rsid w:val="005C20C8"/>
    <w:rsid w:val="005C2BAE"/>
    <w:rsid w:val="005C2E03"/>
    <w:rsid w:val="005C3D9A"/>
    <w:rsid w:val="005C4246"/>
    <w:rsid w:val="005C4507"/>
    <w:rsid w:val="005C4FD1"/>
    <w:rsid w:val="005C5271"/>
    <w:rsid w:val="005C538E"/>
    <w:rsid w:val="005C55BC"/>
    <w:rsid w:val="005C5A0F"/>
    <w:rsid w:val="005C5DFF"/>
    <w:rsid w:val="005C5FFF"/>
    <w:rsid w:val="005C662E"/>
    <w:rsid w:val="005C689C"/>
    <w:rsid w:val="005C698F"/>
    <w:rsid w:val="005C6A02"/>
    <w:rsid w:val="005C7A24"/>
    <w:rsid w:val="005C7BA3"/>
    <w:rsid w:val="005C7CE3"/>
    <w:rsid w:val="005D0470"/>
    <w:rsid w:val="005D06AE"/>
    <w:rsid w:val="005D0905"/>
    <w:rsid w:val="005D090E"/>
    <w:rsid w:val="005D1006"/>
    <w:rsid w:val="005D1041"/>
    <w:rsid w:val="005D15C2"/>
    <w:rsid w:val="005D173F"/>
    <w:rsid w:val="005D1CA6"/>
    <w:rsid w:val="005D1D4A"/>
    <w:rsid w:val="005D2598"/>
    <w:rsid w:val="005D2F8F"/>
    <w:rsid w:val="005D33F7"/>
    <w:rsid w:val="005D3CEC"/>
    <w:rsid w:val="005D3D2B"/>
    <w:rsid w:val="005D40C7"/>
    <w:rsid w:val="005D42B1"/>
    <w:rsid w:val="005D436B"/>
    <w:rsid w:val="005D4382"/>
    <w:rsid w:val="005D49C3"/>
    <w:rsid w:val="005D4B89"/>
    <w:rsid w:val="005D4D4F"/>
    <w:rsid w:val="005D4DE0"/>
    <w:rsid w:val="005D50E0"/>
    <w:rsid w:val="005D5B48"/>
    <w:rsid w:val="005D60FF"/>
    <w:rsid w:val="005D6922"/>
    <w:rsid w:val="005D73CD"/>
    <w:rsid w:val="005D75C3"/>
    <w:rsid w:val="005D770B"/>
    <w:rsid w:val="005D7860"/>
    <w:rsid w:val="005D7D88"/>
    <w:rsid w:val="005D7DE4"/>
    <w:rsid w:val="005E01F3"/>
    <w:rsid w:val="005E0244"/>
    <w:rsid w:val="005E0270"/>
    <w:rsid w:val="005E066D"/>
    <w:rsid w:val="005E0BCA"/>
    <w:rsid w:val="005E0C51"/>
    <w:rsid w:val="005E1156"/>
    <w:rsid w:val="005E1E49"/>
    <w:rsid w:val="005E214B"/>
    <w:rsid w:val="005E24A5"/>
    <w:rsid w:val="005E2594"/>
    <w:rsid w:val="005E2951"/>
    <w:rsid w:val="005E29EF"/>
    <w:rsid w:val="005E4446"/>
    <w:rsid w:val="005E50A3"/>
    <w:rsid w:val="005E5393"/>
    <w:rsid w:val="005E56CB"/>
    <w:rsid w:val="005E5BE6"/>
    <w:rsid w:val="005E6237"/>
    <w:rsid w:val="005E623F"/>
    <w:rsid w:val="005E64DA"/>
    <w:rsid w:val="005E6626"/>
    <w:rsid w:val="005E6754"/>
    <w:rsid w:val="005E71ED"/>
    <w:rsid w:val="005F05CF"/>
    <w:rsid w:val="005F07E9"/>
    <w:rsid w:val="005F083C"/>
    <w:rsid w:val="005F10BC"/>
    <w:rsid w:val="005F1189"/>
    <w:rsid w:val="005F14A6"/>
    <w:rsid w:val="005F1519"/>
    <w:rsid w:val="005F16B7"/>
    <w:rsid w:val="005F178B"/>
    <w:rsid w:val="005F2664"/>
    <w:rsid w:val="005F2915"/>
    <w:rsid w:val="005F2C7F"/>
    <w:rsid w:val="005F2E7C"/>
    <w:rsid w:val="005F2E90"/>
    <w:rsid w:val="005F3184"/>
    <w:rsid w:val="005F3509"/>
    <w:rsid w:val="005F3566"/>
    <w:rsid w:val="005F3585"/>
    <w:rsid w:val="005F35E2"/>
    <w:rsid w:val="005F364B"/>
    <w:rsid w:val="005F3895"/>
    <w:rsid w:val="005F3B2C"/>
    <w:rsid w:val="005F4187"/>
    <w:rsid w:val="005F4474"/>
    <w:rsid w:val="005F4702"/>
    <w:rsid w:val="005F4A9E"/>
    <w:rsid w:val="005F4B08"/>
    <w:rsid w:val="005F4C5B"/>
    <w:rsid w:val="005F5031"/>
    <w:rsid w:val="005F5351"/>
    <w:rsid w:val="005F5398"/>
    <w:rsid w:val="005F6CFF"/>
    <w:rsid w:val="005F6D05"/>
    <w:rsid w:val="005F6E0C"/>
    <w:rsid w:val="005F7045"/>
    <w:rsid w:val="005F7331"/>
    <w:rsid w:val="005F7705"/>
    <w:rsid w:val="005F7940"/>
    <w:rsid w:val="005F7B38"/>
    <w:rsid w:val="005F7E05"/>
    <w:rsid w:val="006000EA"/>
    <w:rsid w:val="00600271"/>
    <w:rsid w:val="0060046A"/>
    <w:rsid w:val="006008EB"/>
    <w:rsid w:val="00600DAF"/>
    <w:rsid w:val="006015C3"/>
    <w:rsid w:val="0060192A"/>
    <w:rsid w:val="00601EE0"/>
    <w:rsid w:val="00601F67"/>
    <w:rsid w:val="006020F7"/>
    <w:rsid w:val="00603D1C"/>
    <w:rsid w:val="00603DB8"/>
    <w:rsid w:val="00603EE2"/>
    <w:rsid w:val="00603EF6"/>
    <w:rsid w:val="00604660"/>
    <w:rsid w:val="00604B46"/>
    <w:rsid w:val="00604BC4"/>
    <w:rsid w:val="0060567D"/>
    <w:rsid w:val="0060593F"/>
    <w:rsid w:val="00605DD8"/>
    <w:rsid w:val="006060C0"/>
    <w:rsid w:val="0060630B"/>
    <w:rsid w:val="00606716"/>
    <w:rsid w:val="0060677E"/>
    <w:rsid w:val="006068AB"/>
    <w:rsid w:val="00606C95"/>
    <w:rsid w:val="00606DC4"/>
    <w:rsid w:val="00606E92"/>
    <w:rsid w:val="006071A4"/>
    <w:rsid w:val="006072E3"/>
    <w:rsid w:val="00607554"/>
    <w:rsid w:val="00607C50"/>
    <w:rsid w:val="00607CD1"/>
    <w:rsid w:val="0061036C"/>
    <w:rsid w:val="00610EB3"/>
    <w:rsid w:val="00610FFA"/>
    <w:rsid w:val="00611276"/>
    <w:rsid w:val="006116FD"/>
    <w:rsid w:val="0061204C"/>
    <w:rsid w:val="00613151"/>
    <w:rsid w:val="00613192"/>
    <w:rsid w:val="006133FD"/>
    <w:rsid w:val="0061347A"/>
    <w:rsid w:val="00613BB5"/>
    <w:rsid w:val="00613C23"/>
    <w:rsid w:val="00613EA0"/>
    <w:rsid w:val="00613F67"/>
    <w:rsid w:val="00614111"/>
    <w:rsid w:val="0061436D"/>
    <w:rsid w:val="00614401"/>
    <w:rsid w:val="00614403"/>
    <w:rsid w:val="00614422"/>
    <w:rsid w:val="006147F6"/>
    <w:rsid w:val="0061492A"/>
    <w:rsid w:val="00614D33"/>
    <w:rsid w:val="0061524E"/>
    <w:rsid w:val="00615402"/>
    <w:rsid w:val="00615576"/>
    <w:rsid w:val="0061563D"/>
    <w:rsid w:val="006156CC"/>
    <w:rsid w:val="006158BA"/>
    <w:rsid w:val="006159ED"/>
    <w:rsid w:val="00615BEA"/>
    <w:rsid w:val="006169F8"/>
    <w:rsid w:val="00616A94"/>
    <w:rsid w:val="00616B7A"/>
    <w:rsid w:val="00616F94"/>
    <w:rsid w:val="00617175"/>
    <w:rsid w:val="006172CD"/>
    <w:rsid w:val="0061733F"/>
    <w:rsid w:val="006175DD"/>
    <w:rsid w:val="00617A29"/>
    <w:rsid w:val="00620476"/>
    <w:rsid w:val="00620698"/>
    <w:rsid w:val="006207F3"/>
    <w:rsid w:val="006211C5"/>
    <w:rsid w:val="006212C0"/>
    <w:rsid w:val="006216D9"/>
    <w:rsid w:val="0062182D"/>
    <w:rsid w:val="00621F3C"/>
    <w:rsid w:val="006221C1"/>
    <w:rsid w:val="00622941"/>
    <w:rsid w:val="00622C36"/>
    <w:rsid w:val="00622F7B"/>
    <w:rsid w:val="006232A5"/>
    <w:rsid w:val="00623507"/>
    <w:rsid w:val="00623C44"/>
    <w:rsid w:val="00623EAB"/>
    <w:rsid w:val="00624494"/>
    <w:rsid w:val="00625470"/>
    <w:rsid w:val="006255CE"/>
    <w:rsid w:val="0062566A"/>
    <w:rsid w:val="006259CC"/>
    <w:rsid w:val="006259DF"/>
    <w:rsid w:val="00625C7F"/>
    <w:rsid w:val="006263B4"/>
    <w:rsid w:val="0062691D"/>
    <w:rsid w:val="006274F2"/>
    <w:rsid w:val="00627C5B"/>
    <w:rsid w:val="00627FAB"/>
    <w:rsid w:val="006301EB"/>
    <w:rsid w:val="00630CF2"/>
    <w:rsid w:val="00630D5E"/>
    <w:rsid w:val="00631144"/>
    <w:rsid w:val="00631505"/>
    <w:rsid w:val="00631539"/>
    <w:rsid w:val="00631912"/>
    <w:rsid w:val="006321E3"/>
    <w:rsid w:val="0063244C"/>
    <w:rsid w:val="006327F5"/>
    <w:rsid w:val="00632862"/>
    <w:rsid w:val="00632914"/>
    <w:rsid w:val="00632D13"/>
    <w:rsid w:val="0063301E"/>
    <w:rsid w:val="00633325"/>
    <w:rsid w:val="00633E99"/>
    <w:rsid w:val="00634214"/>
    <w:rsid w:val="0063491D"/>
    <w:rsid w:val="00634FF2"/>
    <w:rsid w:val="00635871"/>
    <w:rsid w:val="00635BF2"/>
    <w:rsid w:val="0063629B"/>
    <w:rsid w:val="0063673D"/>
    <w:rsid w:val="00636992"/>
    <w:rsid w:val="00636CC5"/>
    <w:rsid w:val="00636DDD"/>
    <w:rsid w:val="0063746D"/>
    <w:rsid w:val="00637933"/>
    <w:rsid w:val="00637A39"/>
    <w:rsid w:val="00637BBE"/>
    <w:rsid w:val="00637E5E"/>
    <w:rsid w:val="00637E70"/>
    <w:rsid w:val="0064039F"/>
    <w:rsid w:val="00640D08"/>
    <w:rsid w:val="00640D3D"/>
    <w:rsid w:val="00641364"/>
    <w:rsid w:val="006413C5"/>
    <w:rsid w:val="00641A9F"/>
    <w:rsid w:val="00641C12"/>
    <w:rsid w:val="00642706"/>
    <w:rsid w:val="00642A13"/>
    <w:rsid w:val="00642A8F"/>
    <w:rsid w:val="00642C77"/>
    <w:rsid w:val="00642D59"/>
    <w:rsid w:val="00643316"/>
    <w:rsid w:val="00643617"/>
    <w:rsid w:val="006437DA"/>
    <w:rsid w:val="00643B7C"/>
    <w:rsid w:val="00643ECB"/>
    <w:rsid w:val="00643F9B"/>
    <w:rsid w:val="0064401B"/>
    <w:rsid w:val="0064418A"/>
    <w:rsid w:val="0064422C"/>
    <w:rsid w:val="0064426B"/>
    <w:rsid w:val="00644876"/>
    <w:rsid w:val="00644D7F"/>
    <w:rsid w:val="00645170"/>
    <w:rsid w:val="00645228"/>
    <w:rsid w:val="0064547D"/>
    <w:rsid w:val="00645E6F"/>
    <w:rsid w:val="00645EF9"/>
    <w:rsid w:val="00645F4F"/>
    <w:rsid w:val="0064635D"/>
    <w:rsid w:val="006467FE"/>
    <w:rsid w:val="006478B5"/>
    <w:rsid w:val="00647B8C"/>
    <w:rsid w:val="00647BE0"/>
    <w:rsid w:val="0065017F"/>
    <w:rsid w:val="0065019B"/>
    <w:rsid w:val="00650894"/>
    <w:rsid w:val="00650ACC"/>
    <w:rsid w:val="00651449"/>
    <w:rsid w:val="0065167D"/>
    <w:rsid w:val="006516E1"/>
    <w:rsid w:val="006520B8"/>
    <w:rsid w:val="00652317"/>
    <w:rsid w:val="0065240D"/>
    <w:rsid w:val="0065242B"/>
    <w:rsid w:val="00652638"/>
    <w:rsid w:val="00652691"/>
    <w:rsid w:val="00652735"/>
    <w:rsid w:val="00652AFC"/>
    <w:rsid w:val="00652E28"/>
    <w:rsid w:val="00653309"/>
    <w:rsid w:val="00653386"/>
    <w:rsid w:val="00653C4B"/>
    <w:rsid w:val="00653D0F"/>
    <w:rsid w:val="0065458B"/>
    <w:rsid w:val="00654A2F"/>
    <w:rsid w:val="00654DC2"/>
    <w:rsid w:val="006556BF"/>
    <w:rsid w:val="00655AC4"/>
    <w:rsid w:val="00655E3C"/>
    <w:rsid w:val="00655EF1"/>
    <w:rsid w:val="00655F8E"/>
    <w:rsid w:val="00656833"/>
    <w:rsid w:val="00656A14"/>
    <w:rsid w:val="00656EA0"/>
    <w:rsid w:val="0065707C"/>
    <w:rsid w:val="006574BB"/>
    <w:rsid w:val="006579CA"/>
    <w:rsid w:val="00657B62"/>
    <w:rsid w:val="00657E2B"/>
    <w:rsid w:val="00660C2B"/>
    <w:rsid w:val="00660C81"/>
    <w:rsid w:val="006614DA"/>
    <w:rsid w:val="00661644"/>
    <w:rsid w:val="006616C9"/>
    <w:rsid w:val="006617EE"/>
    <w:rsid w:val="00661965"/>
    <w:rsid w:val="006619D4"/>
    <w:rsid w:val="00661C03"/>
    <w:rsid w:val="00661C54"/>
    <w:rsid w:val="00661E4E"/>
    <w:rsid w:val="00661E6D"/>
    <w:rsid w:val="00662150"/>
    <w:rsid w:val="00662382"/>
    <w:rsid w:val="0066273B"/>
    <w:rsid w:val="00662C03"/>
    <w:rsid w:val="00662E16"/>
    <w:rsid w:val="00662E6F"/>
    <w:rsid w:val="00662E83"/>
    <w:rsid w:val="006636A0"/>
    <w:rsid w:val="006637D5"/>
    <w:rsid w:val="006639A1"/>
    <w:rsid w:val="00663B16"/>
    <w:rsid w:val="00663C21"/>
    <w:rsid w:val="00663DDD"/>
    <w:rsid w:val="00664676"/>
    <w:rsid w:val="006647A9"/>
    <w:rsid w:val="00664DFE"/>
    <w:rsid w:val="00664F45"/>
    <w:rsid w:val="0066535A"/>
    <w:rsid w:val="00665368"/>
    <w:rsid w:val="00665528"/>
    <w:rsid w:val="00665C32"/>
    <w:rsid w:val="00665F7C"/>
    <w:rsid w:val="00666BF3"/>
    <w:rsid w:val="00667ACA"/>
    <w:rsid w:val="00667AD3"/>
    <w:rsid w:val="006706A5"/>
    <w:rsid w:val="006707E8"/>
    <w:rsid w:val="006707FD"/>
    <w:rsid w:val="006709E7"/>
    <w:rsid w:val="00671138"/>
    <w:rsid w:val="0067116A"/>
    <w:rsid w:val="0067118B"/>
    <w:rsid w:val="006711A3"/>
    <w:rsid w:val="006715DB"/>
    <w:rsid w:val="00671A52"/>
    <w:rsid w:val="00671D61"/>
    <w:rsid w:val="006724B7"/>
    <w:rsid w:val="006724F8"/>
    <w:rsid w:val="00672851"/>
    <w:rsid w:val="006728D4"/>
    <w:rsid w:val="0067339A"/>
    <w:rsid w:val="0067354D"/>
    <w:rsid w:val="0067358C"/>
    <w:rsid w:val="006739F9"/>
    <w:rsid w:val="006758A9"/>
    <w:rsid w:val="00675999"/>
    <w:rsid w:val="00676567"/>
    <w:rsid w:val="006769E2"/>
    <w:rsid w:val="00676A37"/>
    <w:rsid w:val="00676DC9"/>
    <w:rsid w:val="0067744A"/>
    <w:rsid w:val="00677659"/>
    <w:rsid w:val="006778F0"/>
    <w:rsid w:val="00677D41"/>
    <w:rsid w:val="00677DE5"/>
    <w:rsid w:val="00677E86"/>
    <w:rsid w:val="00680324"/>
    <w:rsid w:val="006806C1"/>
    <w:rsid w:val="00680C89"/>
    <w:rsid w:val="00680EE2"/>
    <w:rsid w:val="006811E0"/>
    <w:rsid w:val="006813A3"/>
    <w:rsid w:val="0068175D"/>
    <w:rsid w:val="0068199F"/>
    <w:rsid w:val="006821AB"/>
    <w:rsid w:val="00682531"/>
    <w:rsid w:val="006836BF"/>
    <w:rsid w:val="00683806"/>
    <w:rsid w:val="00683D90"/>
    <w:rsid w:val="00683FFB"/>
    <w:rsid w:val="00684C3B"/>
    <w:rsid w:val="00684C3F"/>
    <w:rsid w:val="0068534E"/>
    <w:rsid w:val="006853AE"/>
    <w:rsid w:val="00685438"/>
    <w:rsid w:val="00685563"/>
    <w:rsid w:val="00685783"/>
    <w:rsid w:val="006857EC"/>
    <w:rsid w:val="006857F9"/>
    <w:rsid w:val="00685C47"/>
    <w:rsid w:val="00685D84"/>
    <w:rsid w:val="00686195"/>
    <w:rsid w:val="006861AB"/>
    <w:rsid w:val="00686466"/>
    <w:rsid w:val="0068734F"/>
    <w:rsid w:val="006873CB"/>
    <w:rsid w:val="006878D9"/>
    <w:rsid w:val="00690360"/>
    <w:rsid w:val="0069036A"/>
    <w:rsid w:val="006906C5"/>
    <w:rsid w:val="006907A9"/>
    <w:rsid w:val="00690B33"/>
    <w:rsid w:val="00690D52"/>
    <w:rsid w:val="00690EE5"/>
    <w:rsid w:val="00690F25"/>
    <w:rsid w:val="006911B3"/>
    <w:rsid w:val="006916A0"/>
    <w:rsid w:val="006920D1"/>
    <w:rsid w:val="00692982"/>
    <w:rsid w:val="006929EE"/>
    <w:rsid w:val="00692A55"/>
    <w:rsid w:val="00692E47"/>
    <w:rsid w:val="00692FFB"/>
    <w:rsid w:val="00693910"/>
    <w:rsid w:val="00694311"/>
    <w:rsid w:val="00694B21"/>
    <w:rsid w:val="00695619"/>
    <w:rsid w:val="00695654"/>
    <w:rsid w:val="00695734"/>
    <w:rsid w:val="00695832"/>
    <w:rsid w:val="00695D9D"/>
    <w:rsid w:val="0069609A"/>
    <w:rsid w:val="00696403"/>
    <w:rsid w:val="00696965"/>
    <w:rsid w:val="00696A91"/>
    <w:rsid w:val="00697552"/>
    <w:rsid w:val="006A006E"/>
    <w:rsid w:val="006A0079"/>
    <w:rsid w:val="006A0336"/>
    <w:rsid w:val="006A0461"/>
    <w:rsid w:val="006A0550"/>
    <w:rsid w:val="006A0621"/>
    <w:rsid w:val="006A0B82"/>
    <w:rsid w:val="006A16A8"/>
    <w:rsid w:val="006A16CB"/>
    <w:rsid w:val="006A172E"/>
    <w:rsid w:val="006A1A94"/>
    <w:rsid w:val="006A1B37"/>
    <w:rsid w:val="006A1C73"/>
    <w:rsid w:val="006A1CCD"/>
    <w:rsid w:val="006A1CD3"/>
    <w:rsid w:val="006A2666"/>
    <w:rsid w:val="006A29BE"/>
    <w:rsid w:val="006A2C9D"/>
    <w:rsid w:val="006A34BD"/>
    <w:rsid w:val="006A4070"/>
    <w:rsid w:val="006A4113"/>
    <w:rsid w:val="006A45A3"/>
    <w:rsid w:val="006A4D2E"/>
    <w:rsid w:val="006A4FC5"/>
    <w:rsid w:val="006A581E"/>
    <w:rsid w:val="006A5CFC"/>
    <w:rsid w:val="006A5D5F"/>
    <w:rsid w:val="006A5DB1"/>
    <w:rsid w:val="006A634E"/>
    <w:rsid w:val="006A6ED3"/>
    <w:rsid w:val="006A707A"/>
    <w:rsid w:val="006A70AC"/>
    <w:rsid w:val="006A70F5"/>
    <w:rsid w:val="006A760F"/>
    <w:rsid w:val="006A780B"/>
    <w:rsid w:val="006A7DB6"/>
    <w:rsid w:val="006A7FE1"/>
    <w:rsid w:val="006B03B8"/>
    <w:rsid w:val="006B0470"/>
    <w:rsid w:val="006B1632"/>
    <w:rsid w:val="006B1903"/>
    <w:rsid w:val="006B23FF"/>
    <w:rsid w:val="006B247F"/>
    <w:rsid w:val="006B24A8"/>
    <w:rsid w:val="006B266D"/>
    <w:rsid w:val="006B3050"/>
    <w:rsid w:val="006B3C0B"/>
    <w:rsid w:val="006B3EF5"/>
    <w:rsid w:val="006B4392"/>
    <w:rsid w:val="006B460D"/>
    <w:rsid w:val="006B50B7"/>
    <w:rsid w:val="006B5335"/>
    <w:rsid w:val="006B56E3"/>
    <w:rsid w:val="006B59BC"/>
    <w:rsid w:val="006B5D5E"/>
    <w:rsid w:val="006B61A1"/>
    <w:rsid w:val="006B6439"/>
    <w:rsid w:val="006B65AD"/>
    <w:rsid w:val="006B65C1"/>
    <w:rsid w:val="006B67C1"/>
    <w:rsid w:val="006B6A7B"/>
    <w:rsid w:val="006B7190"/>
    <w:rsid w:val="006B726B"/>
    <w:rsid w:val="006C0140"/>
    <w:rsid w:val="006C06C9"/>
    <w:rsid w:val="006C0F2D"/>
    <w:rsid w:val="006C1399"/>
    <w:rsid w:val="006C17A9"/>
    <w:rsid w:val="006C2728"/>
    <w:rsid w:val="006C2D84"/>
    <w:rsid w:val="006C2F68"/>
    <w:rsid w:val="006C3BF4"/>
    <w:rsid w:val="006C43A7"/>
    <w:rsid w:val="006C4705"/>
    <w:rsid w:val="006C4A9E"/>
    <w:rsid w:val="006C4C8F"/>
    <w:rsid w:val="006C56A5"/>
    <w:rsid w:val="006C58A2"/>
    <w:rsid w:val="006C5BFF"/>
    <w:rsid w:val="006C5D46"/>
    <w:rsid w:val="006C5DAF"/>
    <w:rsid w:val="006C5EBB"/>
    <w:rsid w:val="006C68FA"/>
    <w:rsid w:val="006C6BF8"/>
    <w:rsid w:val="006C74D5"/>
    <w:rsid w:val="006C78F4"/>
    <w:rsid w:val="006C7B11"/>
    <w:rsid w:val="006D0207"/>
    <w:rsid w:val="006D027C"/>
    <w:rsid w:val="006D04EE"/>
    <w:rsid w:val="006D0D0C"/>
    <w:rsid w:val="006D1261"/>
    <w:rsid w:val="006D13BA"/>
    <w:rsid w:val="006D14AE"/>
    <w:rsid w:val="006D164D"/>
    <w:rsid w:val="006D175D"/>
    <w:rsid w:val="006D1C96"/>
    <w:rsid w:val="006D20E4"/>
    <w:rsid w:val="006D23BE"/>
    <w:rsid w:val="006D2799"/>
    <w:rsid w:val="006D302B"/>
    <w:rsid w:val="006D3169"/>
    <w:rsid w:val="006D3483"/>
    <w:rsid w:val="006D357B"/>
    <w:rsid w:val="006D3B03"/>
    <w:rsid w:val="006D3B25"/>
    <w:rsid w:val="006D42D5"/>
    <w:rsid w:val="006D4622"/>
    <w:rsid w:val="006D49C5"/>
    <w:rsid w:val="006D5658"/>
    <w:rsid w:val="006D590F"/>
    <w:rsid w:val="006D5F2E"/>
    <w:rsid w:val="006D5F65"/>
    <w:rsid w:val="006D6013"/>
    <w:rsid w:val="006D60A4"/>
    <w:rsid w:val="006D60DD"/>
    <w:rsid w:val="006D619D"/>
    <w:rsid w:val="006D65E4"/>
    <w:rsid w:val="006D69D5"/>
    <w:rsid w:val="006D6E56"/>
    <w:rsid w:val="006D7120"/>
    <w:rsid w:val="006D7A6B"/>
    <w:rsid w:val="006E0282"/>
    <w:rsid w:val="006E0579"/>
    <w:rsid w:val="006E05CD"/>
    <w:rsid w:val="006E0ACD"/>
    <w:rsid w:val="006E0AF7"/>
    <w:rsid w:val="006E0B11"/>
    <w:rsid w:val="006E0E41"/>
    <w:rsid w:val="006E0F36"/>
    <w:rsid w:val="006E0FBC"/>
    <w:rsid w:val="006E1715"/>
    <w:rsid w:val="006E1909"/>
    <w:rsid w:val="006E19CA"/>
    <w:rsid w:val="006E1C24"/>
    <w:rsid w:val="006E1DF3"/>
    <w:rsid w:val="006E270D"/>
    <w:rsid w:val="006E307F"/>
    <w:rsid w:val="006E36FE"/>
    <w:rsid w:val="006E3777"/>
    <w:rsid w:val="006E465F"/>
    <w:rsid w:val="006E50F1"/>
    <w:rsid w:val="006E55C1"/>
    <w:rsid w:val="006E55E9"/>
    <w:rsid w:val="006E55FB"/>
    <w:rsid w:val="006E62F1"/>
    <w:rsid w:val="006E664B"/>
    <w:rsid w:val="006E6E8B"/>
    <w:rsid w:val="006E7B1A"/>
    <w:rsid w:val="006E7DD7"/>
    <w:rsid w:val="006E7F3C"/>
    <w:rsid w:val="006E7FD3"/>
    <w:rsid w:val="006F0018"/>
    <w:rsid w:val="006F0577"/>
    <w:rsid w:val="006F12B9"/>
    <w:rsid w:val="006F14E4"/>
    <w:rsid w:val="006F1628"/>
    <w:rsid w:val="006F2223"/>
    <w:rsid w:val="006F29C6"/>
    <w:rsid w:val="006F2A74"/>
    <w:rsid w:val="006F30DA"/>
    <w:rsid w:val="006F31C1"/>
    <w:rsid w:val="006F32C7"/>
    <w:rsid w:val="006F381F"/>
    <w:rsid w:val="006F39E9"/>
    <w:rsid w:val="006F3F81"/>
    <w:rsid w:val="006F4482"/>
    <w:rsid w:val="006F45BC"/>
    <w:rsid w:val="006F472E"/>
    <w:rsid w:val="006F514A"/>
    <w:rsid w:val="006F54D1"/>
    <w:rsid w:val="006F59C5"/>
    <w:rsid w:val="006F59DE"/>
    <w:rsid w:val="006F5D1B"/>
    <w:rsid w:val="006F5FEB"/>
    <w:rsid w:val="006F63CC"/>
    <w:rsid w:val="006F63F7"/>
    <w:rsid w:val="006F656A"/>
    <w:rsid w:val="006F685E"/>
    <w:rsid w:val="006F7220"/>
    <w:rsid w:val="006F76A7"/>
    <w:rsid w:val="006F7E37"/>
    <w:rsid w:val="00700664"/>
    <w:rsid w:val="0070116D"/>
    <w:rsid w:val="007014C7"/>
    <w:rsid w:val="0070192F"/>
    <w:rsid w:val="00701FAC"/>
    <w:rsid w:val="007020BD"/>
    <w:rsid w:val="00702295"/>
    <w:rsid w:val="00702550"/>
    <w:rsid w:val="00702B52"/>
    <w:rsid w:val="00702EF7"/>
    <w:rsid w:val="00703625"/>
    <w:rsid w:val="00703660"/>
    <w:rsid w:val="00703760"/>
    <w:rsid w:val="007038FD"/>
    <w:rsid w:val="007039AA"/>
    <w:rsid w:val="00703B56"/>
    <w:rsid w:val="00703E1C"/>
    <w:rsid w:val="00703FF3"/>
    <w:rsid w:val="00704103"/>
    <w:rsid w:val="007042D2"/>
    <w:rsid w:val="00704304"/>
    <w:rsid w:val="00704460"/>
    <w:rsid w:val="007047B6"/>
    <w:rsid w:val="007048FF"/>
    <w:rsid w:val="00704A66"/>
    <w:rsid w:val="00704AF2"/>
    <w:rsid w:val="007052E1"/>
    <w:rsid w:val="00705EA8"/>
    <w:rsid w:val="007061FC"/>
    <w:rsid w:val="0070698C"/>
    <w:rsid w:val="00706A32"/>
    <w:rsid w:val="00706C4C"/>
    <w:rsid w:val="00706E42"/>
    <w:rsid w:val="00707196"/>
    <w:rsid w:val="00707492"/>
    <w:rsid w:val="007078B7"/>
    <w:rsid w:val="00707C40"/>
    <w:rsid w:val="00707CA4"/>
    <w:rsid w:val="007103C7"/>
    <w:rsid w:val="00710523"/>
    <w:rsid w:val="00710B1F"/>
    <w:rsid w:val="00710D6F"/>
    <w:rsid w:val="00710EAE"/>
    <w:rsid w:val="00711001"/>
    <w:rsid w:val="007112EB"/>
    <w:rsid w:val="0071135C"/>
    <w:rsid w:val="00711628"/>
    <w:rsid w:val="007119DA"/>
    <w:rsid w:val="007132B5"/>
    <w:rsid w:val="00713D7E"/>
    <w:rsid w:val="00714F2D"/>
    <w:rsid w:val="0071577D"/>
    <w:rsid w:val="00715A44"/>
    <w:rsid w:val="00715C06"/>
    <w:rsid w:val="00715D19"/>
    <w:rsid w:val="007161E5"/>
    <w:rsid w:val="007162AF"/>
    <w:rsid w:val="0071666C"/>
    <w:rsid w:val="00716C70"/>
    <w:rsid w:val="00716DBB"/>
    <w:rsid w:val="007173F9"/>
    <w:rsid w:val="00717887"/>
    <w:rsid w:val="00717AA6"/>
    <w:rsid w:val="00717B1B"/>
    <w:rsid w:val="00720090"/>
    <w:rsid w:val="007202FF"/>
    <w:rsid w:val="007218DB"/>
    <w:rsid w:val="00721D05"/>
    <w:rsid w:val="007223B1"/>
    <w:rsid w:val="00722594"/>
    <w:rsid w:val="007227BD"/>
    <w:rsid w:val="00722C0F"/>
    <w:rsid w:val="00722D85"/>
    <w:rsid w:val="007236CC"/>
    <w:rsid w:val="00723EBC"/>
    <w:rsid w:val="00723F00"/>
    <w:rsid w:val="0072411E"/>
    <w:rsid w:val="007242D6"/>
    <w:rsid w:val="00724399"/>
    <w:rsid w:val="0072447C"/>
    <w:rsid w:val="0072487D"/>
    <w:rsid w:val="007249DF"/>
    <w:rsid w:val="00724ACA"/>
    <w:rsid w:val="007252B7"/>
    <w:rsid w:val="00725882"/>
    <w:rsid w:val="007258B9"/>
    <w:rsid w:val="00726C16"/>
    <w:rsid w:val="00726EB9"/>
    <w:rsid w:val="007302CD"/>
    <w:rsid w:val="00730843"/>
    <w:rsid w:val="007308DE"/>
    <w:rsid w:val="00730935"/>
    <w:rsid w:val="00730C99"/>
    <w:rsid w:val="007314AF"/>
    <w:rsid w:val="007314B8"/>
    <w:rsid w:val="0073253B"/>
    <w:rsid w:val="00732903"/>
    <w:rsid w:val="00732C4E"/>
    <w:rsid w:val="00733D05"/>
    <w:rsid w:val="00733F37"/>
    <w:rsid w:val="00734624"/>
    <w:rsid w:val="0073463D"/>
    <w:rsid w:val="0073478E"/>
    <w:rsid w:val="00734FC2"/>
    <w:rsid w:val="007352E8"/>
    <w:rsid w:val="00735471"/>
    <w:rsid w:val="00735A4A"/>
    <w:rsid w:val="0073621B"/>
    <w:rsid w:val="007366F8"/>
    <w:rsid w:val="00736895"/>
    <w:rsid w:val="00736961"/>
    <w:rsid w:val="00736C04"/>
    <w:rsid w:val="00736CA8"/>
    <w:rsid w:val="0073713E"/>
    <w:rsid w:val="007375E8"/>
    <w:rsid w:val="00737791"/>
    <w:rsid w:val="00737968"/>
    <w:rsid w:val="00737B1A"/>
    <w:rsid w:val="00737C3A"/>
    <w:rsid w:val="00737F05"/>
    <w:rsid w:val="00740D71"/>
    <w:rsid w:val="0074112D"/>
    <w:rsid w:val="00741372"/>
    <w:rsid w:val="00741B88"/>
    <w:rsid w:val="00741DFB"/>
    <w:rsid w:val="007420E5"/>
    <w:rsid w:val="00742E73"/>
    <w:rsid w:val="007431F5"/>
    <w:rsid w:val="00743AF1"/>
    <w:rsid w:val="00744731"/>
    <w:rsid w:val="00744E07"/>
    <w:rsid w:val="00745223"/>
    <w:rsid w:val="007458FC"/>
    <w:rsid w:val="00745908"/>
    <w:rsid w:val="00745C76"/>
    <w:rsid w:val="00745FE6"/>
    <w:rsid w:val="00746285"/>
    <w:rsid w:val="00746535"/>
    <w:rsid w:val="00746712"/>
    <w:rsid w:val="00746996"/>
    <w:rsid w:val="007470A9"/>
    <w:rsid w:val="00747304"/>
    <w:rsid w:val="007477F4"/>
    <w:rsid w:val="00747A20"/>
    <w:rsid w:val="00747E49"/>
    <w:rsid w:val="00750615"/>
    <w:rsid w:val="00750774"/>
    <w:rsid w:val="00750C82"/>
    <w:rsid w:val="00750F33"/>
    <w:rsid w:val="00750F65"/>
    <w:rsid w:val="0075113E"/>
    <w:rsid w:val="00751A68"/>
    <w:rsid w:val="00751AAB"/>
    <w:rsid w:val="00752178"/>
    <w:rsid w:val="00752383"/>
    <w:rsid w:val="0075282E"/>
    <w:rsid w:val="00752AB2"/>
    <w:rsid w:val="00752C7C"/>
    <w:rsid w:val="00752F02"/>
    <w:rsid w:val="00752F4A"/>
    <w:rsid w:val="00752F74"/>
    <w:rsid w:val="007538B6"/>
    <w:rsid w:val="00753EB4"/>
    <w:rsid w:val="00754495"/>
    <w:rsid w:val="0075462D"/>
    <w:rsid w:val="0075474C"/>
    <w:rsid w:val="00754881"/>
    <w:rsid w:val="007548B8"/>
    <w:rsid w:val="00754AB5"/>
    <w:rsid w:val="00755A79"/>
    <w:rsid w:val="00755B05"/>
    <w:rsid w:val="0075617D"/>
    <w:rsid w:val="00756479"/>
    <w:rsid w:val="007564AB"/>
    <w:rsid w:val="0075674C"/>
    <w:rsid w:val="00756930"/>
    <w:rsid w:val="00756975"/>
    <w:rsid w:val="00756DFA"/>
    <w:rsid w:val="00757C4B"/>
    <w:rsid w:val="00757EF9"/>
    <w:rsid w:val="00760081"/>
    <w:rsid w:val="00760ADC"/>
    <w:rsid w:val="00761040"/>
    <w:rsid w:val="007611CB"/>
    <w:rsid w:val="007617B8"/>
    <w:rsid w:val="00761B0B"/>
    <w:rsid w:val="00761FFB"/>
    <w:rsid w:val="00762C0E"/>
    <w:rsid w:val="00763055"/>
    <w:rsid w:val="007631E0"/>
    <w:rsid w:val="007636E4"/>
    <w:rsid w:val="00763A83"/>
    <w:rsid w:val="00763B39"/>
    <w:rsid w:val="00763D89"/>
    <w:rsid w:val="00763DFB"/>
    <w:rsid w:val="00764047"/>
    <w:rsid w:val="00764457"/>
    <w:rsid w:val="007648C5"/>
    <w:rsid w:val="00764C98"/>
    <w:rsid w:val="00764D3F"/>
    <w:rsid w:val="00764DC5"/>
    <w:rsid w:val="0076545E"/>
    <w:rsid w:val="00765781"/>
    <w:rsid w:val="007658C7"/>
    <w:rsid w:val="00765A50"/>
    <w:rsid w:val="00765B35"/>
    <w:rsid w:val="00765EF9"/>
    <w:rsid w:val="00766353"/>
    <w:rsid w:val="0076646C"/>
    <w:rsid w:val="0076652F"/>
    <w:rsid w:val="007665F2"/>
    <w:rsid w:val="00766760"/>
    <w:rsid w:val="00767040"/>
    <w:rsid w:val="00767295"/>
    <w:rsid w:val="007673BE"/>
    <w:rsid w:val="00767450"/>
    <w:rsid w:val="00767555"/>
    <w:rsid w:val="007676C3"/>
    <w:rsid w:val="00767C83"/>
    <w:rsid w:val="007708C4"/>
    <w:rsid w:val="00771058"/>
    <w:rsid w:val="00771075"/>
    <w:rsid w:val="00771749"/>
    <w:rsid w:val="007717AE"/>
    <w:rsid w:val="00771946"/>
    <w:rsid w:val="00771D89"/>
    <w:rsid w:val="007721F4"/>
    <w:rsid w:val="0077254B"/>
    <w:rsid w:val="00772D36"/>
    <w:rsid w:val="007733E2"/>
    <w:rsid w:val="007737F5"/>
    <w:rsid w:val="00773BDD"/>
    <w:rsid w:val="00773CCE"/>
    <w:rsid w:val="00774460"/>
    <w:rsid w:val="007749F3"/>
    <w:rsid w:val="00775263"/>
    <w:rsid w:val="007754C2"/>
    <w:rsid w:val="0077567E"/>
    <w:rsid w:val="00775EA4"/>
    <w:rsid w:val="0077649C"/>
    <w:rsid w:val="00776C45"/>
    <w:rsid w:val="00776EC9"/>
    <w:rsid w:val="007778ED"/>
    <w:rsid w:val="00780296"/>
    <w:rsid w:val="00780707"/>
    <w:rsid w:val="0078095B"/>
    <w:rsid w:val="00780972"/>
    <w:rsid w:val="00780A19"/>
    <w:rsid w:val="00780E2F"/>
    <w:rsid w:val="00780ED4"/>
    <w:rsid w:val="00781BD6"/>
    <w:rsid w:val="00781C27"/>
    <w:rsid w:val="00781D45"/>
    <w:rsid w:val="007825C2"/>
    <w:rsid w:val="00782716"/>
    <w:rsid w:val="00782F44"/>
    <w:rsid w:val="0078310C"/>
    <w:rsid w:val="00783605"/>
    <w:rsid w:val="007837B6"/>
    <w:rsid w:val="00783F04"/>
    <w:rsid w:val="0078454E"/>
    <w:rsid w:val="00784741"/>
    <w:rsid w:val="00784990"/>
    <w:rsid w:val="00784B4A"/>
    <w:rsid w:val="00785382"/>
    <w:rsid w:val="00785CBA"/>
    <w:rsid w:val="00785E21"/>
    <w:rsid w:val="00786393"/>
    <w:rsid w:val="007865ED"/>
    <w:rsid w:val="00786766"/>
    <w:rsid w:val="00786A15"/>
    <w:rsid w:val="00786C0C"/>
    <w:rsid w:val="007875A5"/>
    <w:rsid w:val="0078770B"/>
    <w:rsid w:val="00787B2C"/>
    <w:rsid w:val="00787BF4"/>
    <w:rsid w:val="00787D24"/>
    <w:rsid w:val="007915A0"/>
    <w:rsid w:val="007918F6"/>
    <w:rsid w:val="00791D08"/>
    <w:rsid w:val="00792557"/>
    <w:rsid w:val="00792592"/>
    <w:rsid w:val="00792890"/>
    <w:rsid w:val="00792EC3"/>
    <w:rsid w:val="00793E16"/>
    <w:rsid w:val="00793F13"/>
    <w:rsid w:val="00793F93"/>
    <w:rsid w:val="0079443C"/>
    <w:rsid w:val="0079468E"/>
    <w:rsid w:val="00794BF9"/>
    <w:rsid w:val="0079503F"/>
    <w:rsid w:val="0079543C"/>
    <w:rsid w:val="007956A8"/>
    <w:rsid w:val="0079596C"/>
    <w:rsid w:val="00795AEE"/>
    <w:rsid w:val="00795F8D"/>
    <w:rsid w:val="007963B2"/>
    <w:rsid w:val="0079679A"/>
    <w:rsid w:val="00796955"/>
    <w:rsid w:val="0079699E"/>
    <w:rsid w:val="00796AEA"/>
    <w:rsid w:val="00796E9A"/>
    <w:rsid w:val="00797665"/>
    <w:rsid w:val="00797722"/>
    <w:rsid w:val="0079775B"/>
    <w:rsid w:val="00797E9D"/>
    <w:rsid w:val="007A0EC8"/>
    <w:rsid w:val="007A1316"/>
    <w:rsid w:val="007A1DC5"/>
    <w:rsid w:val="007A20AD"/>
    <w:rsid w:val="007A23DA"/>
    <w:rsid w:val="007A2C00"/>
    <w:rsid w:val="007A2DF6"/>
    <w:rsid w:val="007A3372"/>
    <w:rsid w:val="007A34CB"/>
    <w:rsid w:val="007A3787"/>
    <w:rsid w:val="007A38F3"/>
    <w:rsid w:val="007A3918"/>
    <w:rsid w:val="007A399B"/>
    <w:rsid w:val="007A3ACA"/>
    <w:rsid w:val="007A3ED9"/>
    <w:rsid w:val="007A3F8F"/>
    <w:rsid w:val="007A407C"/>
    <w:rsid w:val="007A49A6"/>
    <w:rsid w:val="007A4E19"/>
    <w:rsid w:val="007A5235"/>
    <w:rsid w:val="007A5C7D"/>
    <w:rsid w:val="007A5D05"/>
    <w:rsid w:val="007A5E94"/>
    <w:rsid w:val="007A650B"/>
    <w:rsid w:val="007A6C80"/>
    <w:rsid w:val="007A7331"/>
    <w:rsid w:val="007A7415"/>
    <w:rsid w:val="007A76FE"/>
    <w:rsid w:val="007A7793"/>
    <w:rsid w:val="007B0004"/>
    <w:rsid w:val="007B0CB0"/>
    <w:rsid w:val="007B0E90"/>
    <w:rsid w:val="007B0FC9"/>
    <w:rsid w:val="007B10A0"/>
    <w:rsid w:val="007B116D"/>
    <w:rsid w:val="007B1A13"/>
    <w:rsid w:val="007B1F99"/>
    <w:rsid w:val="007B24EC"/>
    <w:rsid w:val="007B27DF"/>
    <w:rsid w:val="007B288F"/>
    <w:rsid w:val="007B2ABD"/>
    <w:rsid w:val="007B3994"/>
    <w:rsid w:val="007B3A86"/>
    <w:rsid w:val="007B3C9F"/>
    <w:rsid w:val="007B3DF4"/>
    <w:rsid w:val="007B3E07"/>
    <w:rsid w:val="007B4C70"/>
    <w:rsid w:val="007B4E4E"/>
    <w:rsid w:val="007B5055"/>
    <w:rsid w:val="007B54ED"/>
    <w:rsid w:val="007B56AE"/>
    <w:rsid w:val="007B596C"/>
    <w:rsid w:val="007B5BBC"/>
    <w:rsid w:val="007B647C"/>
    <w:rsid w:val="007B6724"/>
    <w:rsid w:val="007B67D2"/>
    <w:rsid w:val="007B6EF3"/>
    <w:rsid w:val="007B701E"/>
    <w:rsid w:val="007B7694"/>
    <w:rsid w:val="007B77CB"/>
    <w:rsid w:val="007B7BD2"/>
    <w:rsid w:val="007C072C"/>
    <w:rsid w:val="007C0C40"/>
    <w:rsid w:val="007C18F8"/>
    <w:rsid w:val="007C1EA7"/>
    <w:rsid w:val="007C24B0"/>
    <w:rsid w:val="007C2827"/>
    <w:rsid w:val="007C28C5"/>
    <w:rsid w:val="007C2AE2"/>
    <w:rsid w:val="007C2EE9"/>
    <w:rsid w:val="007C2F4E"/>
    <w:rsid w:val="007C31CC"/>
    <w:rsid w:val="007C3274"/>
    <w:rsid w:val="007C35F4"/>
    <w:rsid w:val="007C3E46"/>
    <w:rsid w:val="007C414F"/>
    <w:rsid w:val="007C4152"/>
    <w:rsid w:val="007C41F1"/>
    <w:rsid w:val="007C43C8"/>
    <w:rsid w:val="007C47D0"/>
    <w:rsid w:val="007C4AB8"/>
    <w:rsid w:val="007C4D5D"/>
    <w:rsid w:val="007C5102"/>
    <w:rsid w:val="007C5C9F"/>
    <w:rsid w:val="007C60A5"/>
    <w:rsid w:val="007C634F"/>
    <w:rsid w:val="007C6420"/>
    <w:rsid w:val="007C64A7"/>
    <w:rsid w:val="007C6751"/>
    <w:rsid w:val="007C68D0"/>
    <w:rsid w:val="007C6B03"/>
    <w:rsid w:val="007C74FE"/>
    <w:rsid w:val="007D00D2"/>
    <w:rsid w:val="007D0853"/>
    <w:rsid w:val="007D0987"/>
    <w:rsid w:val="007D0AAC"/>
    <w:rsid w:val="007D0BB7"/>
    <w:rsid w:val="007D0E00"/>
    <w:rsid w:val="007D0FC5"/>
    <w:rsid w:val="007D1913"/>
    <w:rsid w:val="007D1DA4"/>
    <w:rsid w:val="007D20B0"/>
    <w:rsid w:val="007D298C"/>
    <w:rsid w:val="007D30DA"/>
    <w:rsid w:val="007D3201"/>
    <w:rsid w:val="007D3420"/>
    <w:rsid w:val="007D356B"/>
    <w:rsid w:val="007D3A6F"/>
    <w:rsid w:val="007D43F0"/>
    <w:rsid w:val="007D47FF"/>
    <w:rsid w:val="007D49C4"/>
    <w:rsid w:val="007D5362"/>
    <w:rsid w:val="007D537A"/>
    <w:rsid w:val="007D55D6"/>
    <w:rsid w:val="007D5684"/>
    <w:rsid w:val="007D6110"/>
    <w:rsid w:val="007D6307"/>
    <w:rsid w:val="007D6B93"/>
    <w:rsid w:val="007D6BBA"/>
    <w:rsid w:val="007D6C48"/>
    <w:rsid w:val="007D6CE1"/>
    <w:rsid w:val="007D6FBC"/>
    <w:rsid w:val="007D71F7"/>
    <w:rsid w:val="007D77D6"/>
    <w:rsid w:val="007E000F"/>
    <w:rsid w:val="007E083D"/>
    <w:rsid w:val="007E0B14"/>
    <w:rsid w:val="007E0DE3"/>
    <w:rsid w:val="007E0E18"/>
    <w:rsid w:val="007E1164"/>
    <w:rsid w:val="007E156E"/>
    <w:rsid w:val="007E1582"/>
    <w:rsid w:val="007E176B"/>
    <w:rsid w:val="007E1E4A"/>
    <w:rsid w:val="007E217F"/>
    <w:rsid w:val="007E261C"/>
    <w:rsid w:val="007E2854"/>
    <w:rsid w:val="007E2A7F"/>
    <w:rsid w:val="007E2C67"/>
    <w:rsid w:val="007E2E70"/>
    <w:rsid w:val="007E2E87"/>
    <w:rsid w:val="007E3501"/>
    <w:rsid w:val="007E3889"/>
    <w:rsid w:val="007E44C8"/>
    <w:rsid w:val="007E486D"/>
    <w:rsid w:val="007E4C3F"/>
    <w:rsid w:val="007E5CA1"/>
    <w:rsid w:val="007E60C3"/>
    <w:rsid w:val="007E61AF"/>
    <w:rsid w:val="007E628F"/>
    <w:rsid w:val="007E65B1"/>
    <w:rsid w:val="007E6973"/>
    <w:rsid w:val="007E6AE8"/>
    <w:rsid w:val="007E6B31"/>
    <w:rsid w:val="007E6F08"/>
    <w:rsid w:val="007E748F"/>
    <w:rsid w:val="007E7A03"/>
    <w:rsid w:val="007F04FE"/>
    <w:rsid w:val="007F0FF4"/>
    <w:rsid w:val="007F102F"/>
    <w:rsid w:val="007F18EB"/>
    <w:rsid w:val="007F1959"/>
    <w:rsid w:val="007F19E8"/>
    <w:rsid w:val="007F1E2A"/>
    <w:rsid w:val="007F2394"/>
    <w:rsid w:val="007F2683"/>
    <w:rsid w:val="007F2956"/>
    <w:rsid w:val="007F2AF0"/>
    <w:rsid w:val="007F2D06"/>
    <w:rsid w:val="007F2E32"/>
    <w:rsid w:val="007F2F8D"/>
    <w:rsid w:val="007F34FF"/>
    <w:rsid w:val="007F45EF"/>
    <w:rsid w:val="007F4699"/>
    <w:rsid w:val="007F4810"/>
    <w:rsid w:val="007F4B21"/>
    <w:rsid w:val="007F4BCC"/>
    <w:rsid w:val="007F57C8"/>
    <w:rsid w:val="007F595F"/>
    <w:rsid w:val="007F64E4"/>
    <w:rsid w:val="007F6615"/>
    <w:rsid w:val="007F686F"/>
    <w:rsid w:val="007F6A11"/>
    <w:rsid w:val="007F74F7"/>
    <w:rsid w:val="007F7A8B"/>
    <w:rsid w:val="007F7AB8"/>
    <w:rsid w:val="007F7EEC"/>
    <w:rsid w:val="008002AA"/>
    <w:rsid w:val="00800528"/>
    <w:rsid w:val="00800866"/>
    <w:rsid w:val="00800999"/>
    <w:rsid w:val="00800EA2"/>
    <w:rsid w:val="008015EA"/>
    <w:rsid w:val="00802068"/>
    <w:rsid w:val="0080218F"/>
    <w:rsid w:val="0080230D"/>
    <w:rsid w:val="00802A7C"/>
    <w:rsid w:val="00802DEF"/>
    <w:rsid w:val="00802FCC"/>
    <w:rsid w:val="0080365C"/>
    <w:rsid w:val="008036D6"/>
    <w:rsid w:val="008036FD"/>
    <w:rsid w:val="00804349"/>
    <w:rsid w:val="0080476C"/>
    <w:rsid w:val="008047B3"/>
    <w:rsid w:val="00804A56"/>
    <w:rsid w:val="00804E8F"/>
    <w:rsid w:val="00805899"/>
    <w:rsid w:val="00805C9D"/>
    <w:rsid w:val="0080609C"/>
    <w:rsid w:val="008061BD"/>
    <w:rsid w:val="00807429"/>
    <w:rsid w:val="00807C0E"/>
    <w:rsid w:val="00807D82"/>
    <w:rsid w:val="00807FCD"/>
    <w:rsid w:val="00810041"/>
    <w:rsid w:val="00810827"/>
    <w:rsid w:val="00810C52"/>
    <w:rsid w:val="008110B2"/>
    <w:rsid w:val="00811976"/>
    <w:rsid w:val="008121ED"/>
    <w:rsid w:val="008124F4"/>
    <w:rsid w:val="00812533"/>
    <w:rsid w:val="008127D6"/>
    <w:rsid w:val="00813EAE"/>
    <w:rsid w:val="00814493"/>
    <w:rsid w:val="00814658"/>
    <w:rsid w:val="00814E45"/>
    <w:rsid w:val="00815360"/>
    <w:rsid w:val="00815842"/>
    <w:rsid w:val="008164F0"/>
    <w:rsid w:val="008167AB"/>
    <w:rsid w:val="00816932"/>
    <w:rsid w:val="008171DC"/>
    <w:rsid w:val="00817DA7"/>
    <w:rsid w:val="008203A8"/>
    <w:rsid w:val="00820420"/>
    <w:rsid w:val="0082049C"/>
    <w:rsid w:val="0082074C"/>
    <w:rsid w:val="00820819"/>
    <w:rsid w:val="00820F63"/>
    <w:rsid w:val="00821229"/>
    <w:rsid w:val="0082137F"/>
    <w:rsid w:val="0082161C"/>
    <w:rsid w:val="008216E2"/>
    <w:rsid w:val="008218D6"/>
    <w:rsid w:val="00821B16"/>
    <w:rsid w:val="00821EE1"/>
    <w:rsid w:val="00822966"/>
    <w:rsid w:val="00822C8E"/>
    <w:rsid w:val="0082459D"/>
    <w:rsid w:val="008249E6"/>
    <w:rsid w:val="00824CEF"/>
    <w:rsid w:val="0082519C"/>
    <w:rsid w:val="008254AB"/>
    <w:rsid w:val="0082574D"/>
    <w:rsid w:val="008262AE"/>
    <w:rsid w:val="00826480"/>
    <w:rsid w:val="00826663"/>
    <w:rsid w:val="00826A9A"/>
    <w:rsid w:val="008274F8"/>
    <w:rsid w:val="0082777D"/>
    <w:rsid w:val="00827C39"/>
    <w:rsid w:val="00830148"/>
    <w:rsid w:val="008302E7"/>
    <w:rsid w:val="008305FA"/>
    <w:rsid w:val="00830D0E"/>
    <w:rsid w:val="008316AD"/>
    <w:rsid w:val="00831855"/>
    <w:rsid w:val="00831AEF"/>
    <w:rsid w:val="008323F6"/>
    <w:rsid w:val="00832887"/>
    <w:rsid w:val="00832B2E"/>
    <w:rsid w:val="00832D13"/>
    <w:rsid w:val="00833E88"/>
    <w:rsid w:val="00834757"/>
    <w:rsid w:val="00834977"/>
    <w:rsid w:val="00834C11"/>
    <w:rsid w:val="0083520D"/>
    <w:rsid w:val="00835315"/>
    <w:rsid w:val="00835AEB"/>
    <w:rsid w:val="00836482"/>
    <w:rsid w:val="008365F2"/>
    <w:rsid w:val="008367BF"/>
    <w:rsid w:val="00836BE5"/>
    <w:rsid w:val="00836D79"/>
    <w:rsid w:val="00836E46"/>
    <w:rsid w:val="00840308"/>
    <w:rsid w:val="00840600"/>
    <w:rsid w:val="00840D0F"/>
    <w:rsid w:val="008416CC"/>
    <w:rsid w:val="0084200E"/>
    <w:rsid w:val="0084290E"/>
    <w:rsid w:val="00842A84"/>
    <w:rsid w:val="00842FDE"/>
    <w:rsid w:val="0084336E"/>
    <w:rsid w:val="008436FD"/>
    <w:rsid w:val="0084426F"/>
    <w:rsid w:val="008445D4"/>
    <w:rsid w:val="008446F1"/>
    <w:rsid w:val="00844814"/>
    <w:rsid w:val="00844B7D"/>
    <w:rsid w:val="008450C5"/>
    <w:rsid w:val="008451FD"/>
    <w:rsid w:val="00845306"/>
    <w:rsid w:val="008458EC"/>
    <w:rsid w:val="00845978"/>
    <w:rsid w:val="00845C1A"/>
    <w:rsid w:val="00845D7F"/>
    <w:rsid w:val="00845E84"/>
    <w:rsid w:val="00845F83"/>
    <w:rsid w:val="008463AB"/>
    <w:rsid w:val="0084656C"/>
    <w:rsid w:val="00846633"/>
    <w:rsid w:val="008469F4"/>
    <w:rsid w:val="00846FF0"/>
    <w:rsid w:val="008479F7"/>
    <w:rsid w:val="00847CD0"/>
    <w:rsid w:val="00850624"/>
    <w:rsid w:val="008507BA"/>
    <w:rsid w:val="00850CA9"/>
    <w:rsid w:val="00851569"/>
    <w:rsid w:val="00851E04"/>
    <w:rsid w:val="00852769"/>
    <w:rsid w:val="008529AF"/>
    <w:rsid w:val="00852B21"/>
    <w:rsid w:val="008532E2"/>
    <w:rsid w:val="008536FD"/>
    <w:rsid w:val="00854B56"/>
    <w:rsid w:val="00854B6F"/>
    <w:rsid w:val="008552AC"/>
    <w:rsid w:val="008552E2"/>
    <w:rsid w:val="0085534D"/>
    <w:rsid w:val="00855374"/>
    <w:rsid w:val="00855AF2"/>
    <w:rsid w:val="00855C7E"/>
    <w:rsid w:val="0085619A"/>
    <w:rsid w:val="008563DD"/>
    <w:rsid w:val="0085728C"/>
    <w:rsid w:val="008579F7"/>
    <w:rsid w:val="00857A42"/>
    <w:rsid w:val="00857C1D"/>
    <w:rsid w:val="00857CFE"/>
    <w:rsid w:val="00857F86"/>
    <w:rsid w:val="0086006D"/>
    <w:rsid w:val="00860737"/>
    <w:rsid w:val="008608CD"/>
    <w:rsid w:val="008611A4"/>
    <w:rsid w:val="00861D70"/>
    <w:rsid w:val="00861FD7"/>
    <w:rsid w:val="008620BC"/>
    <w:rsid w:val="00862B56"/>
    <w:rsid w:val="008630AD"/>
    <w:rsid w:val="0086363F"/>
    <w:rsid w:val="008639C9"/>
    <w:rsid w:val="00863EA9"/>
    <w:rsid w:val="00864247"/>
    <w:rsid w:val="00864E04"/>
    <w:rsid w:val="00865501"/>
    <w:rsid w:val="008659C7"/>
    <w:rsid w:val="00865BF4"/>
    <w:rsid w:val="00866053"/>
    <w:rsid w:val="00866055"/>
    <w:rsid w:val="0086674A"/>
    <w:rsid w:val="008667AD"/>
    <w:rsid w:val="00866D13"/>
    <w:rsid w:val="00867A00"/>
    <w:rsid w:val="00867CE0"/>
    <w:rsid w:val="008705E4"/>
    <w:rsid w:val="00870CC1"/>
    <w:rsid w:val="00870FF8"/>
    <w:rsid w:val="00871010"/>
    <w:rsid w:val="008711DF"/>
    <w:rsid w:val="008719EF"/>
    <w:rsid w:val="008725D6"/>
    <w:rsid w:val="00872834"/>
    <w:rsid w:val="00872952"/>
    <w:rsid w:val="008729FC"/>
    <w:rsid w:val="00873060"/>
    <w:rsid w:val="00873247"/>
    <w:rsid w:val="0087440F"/>
    <w:rsid w:val="00874741"/>
    <w:rsid w:val="00874837"/>
    <w:rsid w:val="00874DEF"/>
    <w:rsid w:val="0087506E"/>
    <w:rsid w:val="008750BE"/>
    <w:rsid w:val="00875602"/>
    <w:rsid w:val="00875860"/>
    <w:rsid w:val="00875F3C"/>
    <w:rsid w:val="008762E7"/>
    <w:rsid w:val="00876C2F"/>
    <w:rsid w:val="00876D09"/>
    <w:rsid w:val="008772FC"/>
    <w:rsid w:val="00877308"/>
    <w:rsid w:val="008775F8"/>
    <w:rsid w:val="00877C4E"/>
    <w:rsid w:val="00880099"/>
    <w:rsid w:val="0088013C"/>
    <w:rsid w:val="00880416"/>
    <w:rsid w:val="008807B8"/>
    <w:rsid w:val="00880A14"/>
    <w:rsid w:val="00880A84"/>
    <w:rsid w:val="00880D1C"/>
    <w:rsid w:val="00880E5B"/>
    <w:rsid w:val="00881375"/>
    <w:rsid w:val="008815C3"/>
    <w:rsid w:val="00881613"/>
    <w:rsid w:val="00881882"/>
    <w:rsid w:val="00881C9D"/>
    <w:rsid w:val="00881F40"/>
    <w:rsid w:val="0088235F"/>
    <w:rsid w:val="008823B4"/>
    <w:rsid w:val="008823C3"/>
    <w:rsid w:val="00882464"/>
    <w:rsid w:val="00882911"/>
    <w:rsid w:val="00882AC7"/>
    <w:rsid w:val="00882BB0"/>
    <w:rsid w:val="00882CC5"/>
    <w:rsid w:val="008835E3"/>
    <w:rsid w:val="00883ABA"/>
    <w:rsid w:val="00883E0D"/>
    <w:rsid w:val="008843BB"/>
    <w:rsid w:val="00884452"/>
    <w:rsid w:val="0088467C"/>
    <w:rsid w:val="00884890"/>
    <w:rsid w:val="008849AE"/>
    <w:rsid w:val="00884C7C"/>
    <w:rsid w:val="00884CCC"/>
    <w:rsid w:val="008855CC"/>
    <w:rsid w:val="0088583A"/>
    <w:rsid w:val="0088637B"/>
    <w:rsid w:val="008903AA"/>
    <w:rsid w:val="0089051C"/>
    <w:rsid w:val="008905D7"/>
    <w:rsid w:val="00890676"/>
    <w:rsid w:val="008906AC"/>
    <w:rsid w:val="008909BE"/>
    <w:rsid w:val="008914DA"/>
    <w:rsid w:val="00891A80"/>
    <w:rsid w:val="008924B7"/>
    <w:rsid w:val="0089349E"/>
    <w:rsid w:val="008934C7"/>
    <w:rsid w:val="008939A9"/>
    <w:rsid w:val="00893F70"/>
    <w:rsid w:val="0089448C"/>
    <w:rsid w:val="008948AB"/>
    <w:rsid w:val="00894DD2"/>
    <w:rsid w:val="00894F54"/>
    <w:rsid w:val="00895408"/>
    <w:rsid w:val="0089573B"/>
    <w:rsid w:val="008957C4"/>
    <w:rsid w:val="00895B87"/>
    <w:rsid w:val="00895EB5"/>
    <w:rsid w:val="008960B7"/>
    <w:rsid w:val="008962F2"/>
    <w:rsid w:val="00896511"/>
    <w:rsid w:val="00896657"/>
    <w:rsid w:val="0089692A"/>
    <w:rsid w:val="008969DA"/>
    <w:rsid w:val="00896AE5"/>
    <w:rsid w:val="00896B9F"/>
    <w:rsid w:val="00896D5E"/>
    <w:rsid w:val="00896F35"/>
    <w:rsid w:val="008975E7"/>
    <w:rsid w:val="0089793D"/>
    <w:rsid w:val="008A00AE"/>
    <w:rsid w:val="008A0368"/>
    <w:rsid w:val="008A0431"/>
    <w:rsid w:val="008A04BB"/>
    <w:rsid w:val="008A053A"/>
    <w:rsid w:val="008A08D2"/>
    <w:rsid w:val="008A0C1D"/>
    <w:rsid w:val="008A0D2D"/>
    <w:rsid w:val="008A0DE1"/>
    <w:rsid w:val="008A1872"/>
    <w:rsid w:val="008A1A63"/>
    <w:rsid w:val="008A2E7B"/>
    <w:rsid w:val="008A3A4E"/>
    <w:rsid w:val="008A3EA4"/>
    <w:rsid w:val="008A45C0"/>
    <w:rsid w:val="008A46A5"/>
    <w:rsid w:val="008A46D2"/>
    <w:rsid w:val="008A49E4"/>
    <w:rsid w:val="008A501E"/>
    <w:rsid w:val="008A5B91"/>
    <w:rsid w:val="008A5F83"/>
    <w:rsid w:val="008A6AB5"/>
    <w:rsid w:val="008A7133"/>
    <w:rsid w:val="008A798F"/>
    <w:rsid w:val="008A7AE6"/>
    <w:rsid w:val="008A7C91"/>
    <w:rsid w:val="008B04C6"/>
    <w:rsid w:val="008B1136"/>
    <w:rsid w:val="008B1770"/>
    <w:rsid w:val="008B19E0"/>
    <w:rsid w:val="008B1CEC"/>
    <w:rsid w:val="008B1D85"/>
    <w:rsid w:val="008B2562"/>
    <w:rsid w:val="008B270A"/>
    <w:rsid w:val="008B2738"/>
    <w:rsid w:val="008B2EA5"/>
    <w:rsid w:val="008B30F2"/>
    <w:rsid w:val="008B3920"/>
    <w:rsid w:val="008B3BE7"/>
    <w:rsid w:val="008B3C3A"/>
    <w:rsid w:val="008B4021"/>
    <w:rsid w:val="008B49E7"/>
    <w:rsid w:val="008B54EB"/>
    <w:rsid w:val="008B5B9D"/>
    <w:rsid w:val="008B5C23"/>
    <w:rsid w:val="008B5F19"/>
    <w:rsid w:val="008B68C6"/>
    <w:rsid w:val="008B6F16"/>
    <w:rsid w:val="008B6F4B"/>
    <w:rsid w:val="008B7851"/>
    <w:rsid w:val="008B7B3E"/>
    <w:rsid w:val="008B7BE4"/>
    <w:rsid w:val="008C0156"/>
    <w:rsid w:val="008C0189"/>
    <w:rsid w:val="008C0257"/>
    <w:rsid w:val="008C08A1"/>
    <w:rsid w:val="008C0FE8"/>
    <w:rsid w:val="008C12FB"/>
    <w:rsid w:val="008C1789"/>
    <w:rsid w:val="008C1CEB"/>
    <w:rsid w:val="008C1EDF"/>
    <w:rsid w:val="008C21A8"/>
    <w:rsid w:val="008C2486"/>
    <w:rsid w:val="008C2607"/>
    <w:rsid w:val="008C29DA"/>
    <w:rsid w:val="008C312C"/>
    <w:rsid w:val="008C3314"/>
    <w:rsid w:val="008C38EF"/>
    <w:rsid w:val="008C3F1E"/>
    <w:rsid w:val="008C3FA2"/>
    <w:rsid w:val="008C460D"/>
    <w:rsid w:val="008C465E"/>
    <w:rsid w:val="008C4CE4"/>
    <w:rsid w:val="008C510A"/>
    <w:rsid w:val="008C6787"/>
    <w:rsid w:val="008C69DE"/>
    <w:rsid w:val="008C6B95"/>
    <w:rsid w:val="008C6D44"/>
    <w:rsid w:val="008C6E10"/>
    <w:rsid w:val="008C73D6"/>
    <w:rsid w:val="008C76A6"/>
    <w:rsid w:val="008C78B6"/>
    <w:rsid w:val="008C799A"/>
    <w:rsid w:val="008C79EB"/>
    <w:rsid w:val="008C7A17"/>
    <w:rsid w:val="008C7ED3"/>
    <w:rsid w:val="008D0C62"/>
    <w:rsid w:val="008D0DF3"/>
    <w:rsid w:val="008D1349"/>
    <w:rsid w:val="008D14A9"/>
    <w:rsid w:val="008D1556"/>
    <w:rsid w:val="008D188C"/>
    <w:rsid w:val="008D19D9"/>
    <w:rsid w:val="008D1B3E"/>
    <w:rsid w:val="008D20C1"/>
    <w:rsid w:val="008D2CD6"/>
    <w:rsid w:val="008D3052"/>
    <w:rsid w:val="008D348D"/>
    <w:rsid w:val="008D3940"/>
    <w:rsid w:val="008D3A65"/>
    <w:rsid w:val="008D3BE2"/>
    <w:rsid w:val="008D47BF"/>
    <w:rsid w:val="008D4939"/>
    <w:rsid w:val="008D4A7B"/>
    <w:rsid w:val="008D4E5D"/>
    <w:rsid w:val="008D5016"/>
    <w:rsid w:val="008D50C8"/>
    <w:rsid w:val="008D5229"/>
    <w:rsid w:val="008D63CD"/>
    <w:rsid w:val="008D727F"/>
    <w:rsid w:val="008D790B"/>
    <w:rsid w:val="008D7A61"/>
    <w:rsid w:val="008D7EEF"/>
    <w:rsid w:val="008D7FC7"/>
    <w:rsid w:val="008E01FF"/>
    <w:rsid w:val="008E074C"/>
    <w:rsid w:val="008E0C04"/>
    <w:rsid w:val="008E0FE3"/>
    <w:rsid w:val="008E178E"/>
    <w:rsid w:val="008E1CEE"/>
    <w:rsid w:val="008E21BE"/>
    <w:rsid w:val="008E21C5"/>
    <w:rsid w:val="008E23BA"/>
    <w:rsid w:val="008E2737"/>
    <w:rsid w:val="008E2D1D"/>
    <w:rsid w:val="008E3A45"/>
    <w:rsid w:val="008E3D60"/>
    <w:rsid w:val="008E3DD8"/>
    <w:rsid w:val="008E416F"/>
    <w:rsid w:val="008E4181"/>
    <w:rsid w:val="008E4492"/>
    <w:rsid w:val="008E45DB"/>
    <w:rsid w:val="008E468D"/>
    <w:rsid w:val="008E4816"/>
    <w:rsid w:val="008E49A4"/>
    <w:rsid w:val="008E4DCD"/>
    <w:rsid w:val="008E4E47"/>
    <w:rsid w:val="008E56B3"/>
    <w:rsid w:val="008E6098"/>
    <w:rsid w:val="008E66AE"/>
    <w:rsid w:val="008E6BC3"/>
    <w:rsid w:val="008E7390"/>
    <w:rsid w:val="008E78ED"/>
    <w:rsid w:val="008F05C2"/>
    <w:rsid w:val="008F05C6"/>
    <w:rsid w:val="008F0659"/>
    <w:rsid w:val="008F0EB4"/>
    <w:rsid w:val="008F1024"/>
    <w:rsid w:val="008F1203"/>
    <w:rsid w:val="008F1F00"/>
    <w:rsid w:val="008F225F"/>
    <w:rsid w:val="008F2EC1"/>
    <w:rsid w:val="008F30A7"/>
    <w:rsid w:val="008F30D5"/>
    <w:rsid w:val="008F3535"/>
    <w:rsid w:val="008F361C"/>
    <w:rsid w:val="008F3D3A"/>
    <w:rsid w:val="008F41ED"/>
    <w:rsid w:val="008F42BB"/>
    <w:rsid w:val="008F47D1"/>
    <w:rsid w:val="008F49F8"/>
    <w:rsid w:val="008F4E02"/>
    <w:rsid w:val="008F663D"/>
    <w:rsid w:val="008F6D2B"/>
    <w:rsid w:val="008F6D74"/>
    <w:rsid w:val="008F6E22"/>
    <w:rsid w:val="008F7005"/>
    <w:rsid w:val="008F75A8"/>
    <w:rsid w:val="008F75E6"/>
    <w:rsid w:val="008F7941"/>
    <w:rsid w:val="008F7A35"/>
    <w:rsid w:val="008F7A4A"/>
    <w:rsid w:val="008F7DE8"/>
    <w:rsid w:val="0090073A"/>
    <w:rsid w:val="00900A45"/>
    <w:rsid w:val="00900DA6"/>
    <w:rsid w:val="00901415"/>
    <w:rsid w:val="00901679"/>
    <w:rsid w:val="00901A90"/>
    <w:rsid w:val="00901B1C"/>
    <w:rsid w:val="009021B7"/>
    <w:rsid w:val="009022ED"/>
    <w:rsid w:val="009027D7"/>
    <w:rsid w:val="00902A42"/>
    <w:rsid w:val="00902EA5"/>
    <w:rsid w:val="009037AC"/>
    <w:rsid w:val="009037E6"/>
    <w:rsid w:val="00903C7C"/>
    <w:rsid w:val="00904A75"/>
    <w:rsid w:val="00904DD1"/>
    <w:rsid w:val="00905434"/>
    <w:rsid w:val="00905676"/>
    <w:rsid w:val="00905A64"/>
    <w:rsid w:val="00905C39"/>
    <w:rsid w:val="00905E46"/>
    <w:rsid w:val="009060D7"/>
    <w:rsid w:val="00906248"/>
    <w:rsid w:val="00906628"/>
    <w:rsid w:val="009068F8"/>
    <w:rsid w:val="009072F6"/>
    <w:rsid w:val="0090732A"/>
    <w:rsid w:val="009074AB"/>
    <w:rsid w:val="00907697"/>
    <w:rsid w:val="009076EB"/>
    <w:rsid w:val="0090782B"/>
    <w:rsid w:val="009101A6"/>
    <w:rsid w:val="00910301"/>
    <w:rsid w:val="009105C5"/>
    <w:rsid w:val="00910B93"/>
    <w:rsid w:val="00910CA8"/>
    <w:rsid w:val="00910D1A"/>
    <w:rsid w:val="009113AE"/>
    <w:rsid w:val="009116CC"/>
    <w:rsid w:val="00911955"/>
    <w:rsid w:val="00911A3E"/>
    <w:rsid w:val="00912237"/>
    <w:rsid w:val="00912262"/>
    <w:rsid w:val="00912A52"/>
    <w:rsid w:val="00912BE1"/>
    <w:rsid w:val="00912E88"/>
    <w:rsid w:val="00912EDE"/>
    <w:rsid w:val="00913851"/>
    <w:rsid w:val="00913ACD"/>
    <w:rsid w:val="00913DB9"/>
    <w:rsid w:val="0091412C"/>
    <w:rsid w:val="009144AF"/>
    <w:rsid w:val="00914C0E"/>
    <w:rsid w:val="009151A1"/>
    <w:rsid w:val="009151C1"/>
    <w:rsid w:val="00915DBF"/>
    <w:rsid w:val="009160E0"/>
    <w:rsid w:val="009167F7"/>
    <w:rsid w:val="00916C54"/>
    <w:rsid w:val="00916D03"/>
    <w:rsid w:val="00916DB3"/>
    <w:rsid w:val="00916F37"/>
    <w:rsid w:val="009171BB"/>
    <w:rsid w:val="00917BC6"/>
    <w:rsid w:val="0092008C"/>
    <w:rsid w:val="00920106"/>
    <w:rsid w:val="009202C1"/>
    <w:rsid w:val="00920588"/>
    <w:rsid w:val="009205F4"/>
    <w:rsid w:val="00920673"/>
    <w:rsid w:val="00920916"/>
    <w:rsid w:val="00920E81"/>
    <w:rsid w:val="009211BB"/>
    <w:rsid w:val="00921F3C"/>
    <w:rsid w:val="00922AC7"/>
    <w:rsid w:val="00922BA4"/>
    <w:rsid w:val="009231D1"/>
    <w:rsid w:val="00923A05"/>
    <w:rsid w:val="00923ECE"/>
    <w:rsid w:val="00923F6E"/>
    <w:rsid w:val="009243EA"/>
    <w:rsid w:val="0092482D"/>
    <w:rsid w:val="00924E59"/>
    <w:rsid w:val="00924F4A"/>
    <w:rsid w:val="0092592C"/>
    <w:rsid w:val="009259EF"/>
    <w:rsid w:val="00926044"/>
    <w:rsid w:val="00926659"/>
    <w:rsid w:val="00926B1A"/>
    <w:rsid w:val="00926D9C"/>
    <w:rsid w:val="0092700F"/>
    <w:rsid w:val="00927725"/>
    <w:rsid w:val="00927DC4"/>
    <w:rsid w:val="00927E4A"/>
    <w:rsid w:val="009304FE"/>
    <w:rsid w:val="00930782"/>
    <w:rsid w:val="00930AE9"/>
    <w:rsid w:val="00930D95"/>
    <w:rsid w:val="009310F0"/>
    <w:rsid w:val="00931E76"/>
    <w:rsid w:val="00932007"/>
    <w:rsid w:val="009328D3"/>
    <w:rsid w:val="009329E5"/>
    <w:rsid w:val="00932ED2"/>
    <w:rsid w:val="00932FDA"/>
    <w:rsid w:val="00933BBC"/>
    <w:rsid w:val="00933FEA"/>
    <w:rsid w:val="0093422B"/>
    <w:rsid w:val="0093439A"/>
    <w:rsid w:val="00934BC3"/>
    <w:rsid w:val="00934F1A"/>
    <w:rsid w:val="0093529C"/>
    <w:rsid w:val="009353DF"/>
    <w:rsid w:val="0093570A"/>
    <w:rsid w:val="00935918"/>
    <w:rsid w:val="00935C67"/>
    <w:rsid w:val="00935C85"/>
    <w:rsid w:val="00935F40"/>
    <w:rsid w:val="00936191"/>
    <w:rsid w:val="009363C8"/>
    <w:rsid w:val="00936635"/>
    <w:rsid w:val="00936C3C"/>
    <w:rsid w:val="00936EC8"/>
    <w:rsid w:val="009370F0"/>
    <w:rsid w:val="009376D5"/>
    <w:rsid w:val="00937965"/>
    <w:rsid w:val="00937A54"/>
    <w:rsid w:val="00940AFF"/>
    <w:rsid w:val="00940FE7"/>
    <w:rsid w:val="00941138"/>
    <w:rsid w:val="00941183"/>
    <w:rsid w:val="0094119D"/>
    <w:rsid w:val="009415E8"/>
    <w:rsid w:val="009419E0"/>
    <w:rsid w:val="00941D35"/>
    <w:rsid w:val="00941F1C"/>
    <w:rsid w:val="00942856"/>
    <w:rsid w:val="00942A2E"/>
    <w:rsid w:val="00942BD1"/>
    <w:rsid w:val="00942DAE"/>
    <w:rsid w:val="00942ED9"/>
    <w:rsid w:val="00943352"/>
    <w:rsid w:val="00943B49"/>
    <w:rsid w:val="00943D1E"/>
    <w:rsid w:val="00943F6E"/>
    <w:rsid w:val="00944447"/>
    <w:rsid w:val="00944915"/>
    <w:rsid w:val="00944D69"/>
    <w:rsid w:val="00944E64"/>
    <w:rsid w:val="00944F68"/>
    <w:rsid w:val="00944FED"/>
    <w:rsid w:val="0094566D"/>
    <w:rsid w:val="009456DD"/>
    <w:rsid w:val="00945A8F"/>
    <w:rsid w:val="00945C8E"/>
    <w:rsid w:val="00945CCD"/>
    <w:rsid w:val="00945D59"/>
    <w:rsid w:val="00945EB1"/>
    <w:rsid w:val="00946953"/>
    <w:rsid w:val="009469D1"/>
    <w:rsid w:val="009469E0"/>
    <w:rsid w:val="00946B74"/>
    <w:rsid w:val="00947062"/>
    <w:rsid w:val="00947E80"/>
    <w:rsid w:val="00947F9D"/>
    <w:rsid w:val="00950302"/>
    <w:rsid w:val="00950689"/>
    <w:rsid w:val="00950B67"/>
    <w:rsid w:val="00951085"/>
    <w:rsid w:val="0095122B"/>
    <w:rsid w:val="0095183F"/>
    <w:rsid w:val="00951D24"/>
    <w:rsid w:val="00952049"/>
    <w:rsid w:val="0095291C"/>
    <w:rsid w:val="00952C86"/>
    <w:rsid w:val="00953092"/>
    <w:rsid w:val="00953469"/>
    <w:rsid w:val="00953734"/>
    <w:rsid w:val="00953BC2"/>
    <w:rsid w:val="00953FD9"/>
    <w:rsid w:val="009543E3"/>
    <w:rsid w:val="0095464D"/>
    <w:rsid w:val="00954986"/>
    <w:rsid w:val="00955739"/>
    <w:rsid w:val="009559AF"/>
    <w:rsid w:val="00955B2F"/>
    <w:rsid w:val="009564F3"/>
    <w:rsid w:val="009565E3"/>
    <w:rsid w:val="00956972"/>
    <w:rsid w:val="00956EC9"/>
    <w:rsid w:val="009570B6"/>
    <w:rsid w:val="0095714D"/>
    <w:rsid w:val="0095717A"/>
    <w:rsid w:val="009572DD"/>
    <w:rsid w:val="00957687"/>
    <w:rsid w:val="00957A8A"/>
    <w:rsid w:val="00957E20"/>
    <w:rsid w:val="00957EA2"/>
    <w:rsid w:val="009601AD"/>
    <w:rsid w:val="009604D3"/>
    <w:rsid w:val="00960863"/>
    <w:rsid w:val="00960AA7"/>
    <w:rsid w:val="009610F1"/>
    <w:rsid w:val="00961C43"/>
    <w:rsid w:val="00961E91"/>
    <w:rsid w:val="00962008"/>
    <w:rsid w:val="00962668"/>
    <w:rsid w:val="00962A65"/>
    <w:rsid w:val="00962FF0"/>
    <w:rsid w:val="00963156"/>
    <w:rsid w:val="00963876"/>
    <w:rsid w:val="00963AD6"/>
    <w:rsid w:val="00963AE9"/>
    <w:rsid w:val="00963B0D"/>
    <w:rsid w:val="00963FC4"/>
    <w:rsid w:val="0096404E"/>
    <w:rsid w:val="009640FB"/>
    <w:rsid w:val="009643C7"/>
    <w:rsid w:val="009645E1"/>
    <w:rsid w:val="00964BB8"/>
    <w:rsid w:val="00964CD3"/>
    <w:rsid w:val="00964E7A"/>
    <w:rsid w:val="00964F11"/>
    <w:rsid w:val="009653DC"/>
    <w:rsid w:val="00965BF2"/>
    <w:rsid w:val="00965FEF"/>
    <w:rsid w:val="00966051"/>
    <w:rsid w:val="00966371"/>
    <w:rsid w:val="0096772C"/>
    <w:rsid w:val="00967C47"/>
    <w:rsid w:val="0097015D"/>
    <w:rsid w:val="00970299"/>
    <w:rsid w:val="0097053A"/>
    <w:rsid w:val="00970DC8"/>
    <w:rsid w:val="00971D65"/>
    <w:rsid w:val="00972109"/>
    <w:rsid w:val="00972506"/>
    <w:rsid w:val="00972CC8"/>
    <w:rsid w:val="00973088"/>
    <w:rsid w:val="009730A6"/>
    <w:rsid w:val="00973165"/>
    <w:rsid w:val="00973490"/>
    <w:rsid w:val="00973D38"/>
    <w:rsid w:val="00974161"/>
    <w:rsid w:val="00974568"/>
    <w:rsid w:val="00974790"/>
    <w:rsid w:val="0097493A"/>
    <w:rsid w:val="0097523C"/>
    <w:rsid w:val="0097528A"/>
    <w:rsid w:val="00975E7F"/>
    <w:rsid w:val="00975FBF"/>
    <w:rsid w:val="0097619C"/>
    <w:rsid w:val="009762AE"/>
    <w:rsid w:val="009765DF"/>
    <w:rsid w:val="009766F1"/>
    <w:rsid w:val="00976C92"/>
    <w:rsid w:val="00976DB7"/>
    <w:rsid w:val="0097770E"/>
    <w:rsid w:val="00977973"/>
    <w:rsid w:val="00977AD5"/>
    <w:rsid w:val="00977BFB"/>
    <w:rsid w:val="00980F40"/>
    <w:rsid w:val="00981774"/>
    <w:rsid w:val="00981D2C"/>
    <w:rsid w:val="00981F79"/>
    <w:rsid w:val="00982041"/>
    <w:rsid w:val="0098204E"/>
    <w:rsid w:val="009834E9"/>
    <w:rsid w:val="00983A72"/>
    <w:rsid w:val="009845ED"/>
    <w:rsid w:val="0098477D"/>
    <w:rsid w:val="00984BAF"/>
    <w:rsid w:val="009850EF"/>
    <w:rsid w:val="00985440"/>
    <w:rsid w:val="009859B2"/>
    <w:rsid w:val="00985A22"/>
    <w:rsid w:val="00985BB3"/>
    <w:rsid w:val="00985DDA"/>
    <w:rsid w:val="009860F4"/>
    <w:rsid w:val="009862CC"/>
    <w:rsid w:val="009868FC"/>
    <w:rsid w:val="00986A2B"/>
    <w:rsid w:val="00986D78"/>
    <w:rsid w:val="00986E24"/>
    <w:rsid w:val="00986E5D"/>
    <w:rsid w:val="00986EFF"/>
    <w:rsid w:val="00987997"/>
    <w:rsid w:val="00987FE0"/>
    <w:rsid w:val="0099003C"/>
    <w:rsid w:val="009902BC"/>
    <w:rsid w:val="00990566"/>
    <w:rsid w:val="009909F9"/>
    <w:rsid w:val="00990A9F"/>
    <w:rsid w:val="00991A16"/>
    <w:rsid w:val="00991AA5"/>
    <w:rsid w:val="00991AD7"/>
    <w:rsid w:val="00992235"/>
    <w:rsid w:val="00992459"/>
    <w:rsid w:val="00992AC1"/>
    <w:rsid w:val="00992CB9"/>
    <w:rsid w:val="00992DB0"/>
    <w:rsid w:val="00993BEE"/>
    <w:rsid w:val="00994112"/>
    <w:rsid w:val="009943F2"/>
    <w:rsid w:val="00994CF9"/>
    <w:rsid w:val="00995788"/>
    <w:rsid w:val="00995ED2"/>
    <w:rsid w:val="0099607E"/>
    <w:rsid w:val="009961EE"/>
    <w:rsid w:val="00996586"/>
    <w:rsid w:val="00996996"/>
    <w:rsid w:val="00996FC8"/>
    <w:rsid w:val="009975DC"/>
    <w:rsid w:val="00997A14"/>
    <w:rsid w:val="009A0BF1"/>
    <w:rsid w:val="009A1E8D"/>
    <w:rsid w:val="009A2295"/>
    <w:rsid w:val="009A23A4"/>
    <w:rsid w:val="009A2A53"/>
    <w:rsid w:val="009A2E64"/>
    <w:rsid w:val="009A3024"/>
    <w:rsid w:val="009A3523"/>
    <w:rsid w:val="009A3A3A"/>
    <w:rsid w:val="009A3FBF"/>
    <w:rsid w:val="009A3FFF"/>
    <w:rsid w:val="009A43AF"/>
    <w:rsid w:val="009A4ED0"/>
    <w:rsid w:val="009A5482"/>
    <w:rsid w:val="009A5A00"/>
    <w:rsid w:val="009A62D8"/>
    <w:rsid w:val="009A647D"/>
    <w:rsid w:val="009A6526"/>
    <w:rsid w:val="009A6547"/>
    <w:rsid w:val="009A6EF9"/>
    <w:rsid w:val="009A73FC"/>
    <w:rsid w:val="009A758A"/>
    <w:rsid w:val="009A7A71"/>
    <w:rsid w:val="009A7E03"/>
    <w:rsid w:val="009A7ED2"/>
    <w:rsid w:val="009B0086"/>
    <w:rsid w:val="009B0C60"/>
    <w:rsid w:val="009B0DF1"/>
    <w:rsid w:val="009B1218"/>
    <w:rsid w:val="009B1320"/>
    <w:rsid w:val="009B1483"/>
    <w:rsid w:val="009B16CC"/>
    <w:rsid w:val="009B18E1"/>
    <w:rsid w:val="009B1EAA"/>
    <w:rsid w:val="009B2087"/>
    <w:rsid w:val="009B21D6"/>
    <w:rsid w:val="009B22E8"/>
    <w:rsid w:val="009B2FC7"/>
    <w:rsid w:val="009B310D"/>
    <w:rsid w:val="009B32BB"/>
    <w:rsid w:val="009B32F0"/>
    <w:rsid w:val="009B3900"/>
    <w:rsid w:val="009B3B72"/>
    <w:rsid w:val="009B3DB6"/>
    <w:rsid w:val="009B3E8A"/>
    <w:rsid w:val="009B4141"/>
    <w:rsid w:val="009B4416"/>
    <w:rsid w:val="009B4E8F"/>
    <w:rsid w:val="009B513E"/>
    <w:rsid w:val="009B5CF6"/>
    <w:rsid w:val="009B5E0E"/>
    <w:rsid w:val="009B61B2"/>
    <w:rsid w:val="009B6F2D"/>
    <w:rsid w:val="009B75B8"/>
    <w:rsid w:val="009B797B"/>
    <w:rsid w:val="009B797C"/>
    <w:rsid w:val="009B7A6C"/>
    <w:rsid w:val="009B7FAC"/>
    <w:rsid w:val="009B7FCB"/>
    <w:rsid w:val="009C07DF"/>
    <w:rsid w:val="009C07EE"/>
    <w:rsid w:val="009C0A56"/>
    <w:rsid w:val="009C0E2E"/>
    <w:rsid w:val="009C0FCF"/>
    <w:rsid w:val="009C107A"/>
    <w:rsid w:val="009C1514"/>
    <w:rsid w:val="009C190C"/>
    <w:rsid w:val="009C2436"/>
    <w:rsid w:val="009C2660"/>
    <w:rsid w:val="009C270E"/>
    <w:rsid w:val="009C2782"/>
    <w:rsid w:val="009C2853"/>
    <w:rsid w:val="009C318B"/>
    <w:rsid w:val="009C3D69"/>
    <w:rsid w:val="009C3E01"/>
    <w:rsid w:val="009C423B"/>
    <w:rsid w:val="009C47F1"/>
    <w:rsid w:val="009C5111"/>
    <w:rsid w:val="009C6A42"/>
    <w:rsid w:val="009C6F2F"/>
    <w:rsid w:val="009C6F37"/>
    <w:rsid w:val="009C77A0"/>
    <w:rsid w:val="009C7886"/>
    <w:rsid w:val="009C79CB"/>
    <w:rsid w:val="009C7C61"/>
    <w:rsid w:val="009D0258"/>
    <w:rsid w:val="009D03A7"/>
    <w:rsid w:val="009D1640"/>
    <w:rsid w:val="009D1B8F"/>
    <w:rsid w:val="009D1BA0"/>
    <w:rsid w:val="009D1FA6"/>
    <w:rsid w:val="009D212B"/>
    <w:rsid w:val="009D21D0"/>
    <w:rsid w:val="009D283D"/>
    <w:rsid w:val="009D2D1D"/>
    <w:rsid w:val="009D2FBA"/>
    <w:rsid w:val="009D3267"/>
    <w:rsid w:val="009D351E"/>
    <w:rsid w:val="009D3B21"/>
    <w:rsid w:val="009D3B6B"/>
    <w:rsid w:val="009D4111"/>
    <w:rsid w:val="009D4273"/>
    <w:rsid w:val="009D4BDE"/>
    <w:rsid w:val="009D4E0B"/>
    <w:rsid w:val="009D5055"/>
    <w:rsid w:val="009D53AD"/>
    <w:rsid w:val="009D563D"/>
    <w:rsid w:val="009D569A"/>
    <w:rsid w:val="009D5735"/>
    <w:rsid w:val="009D5E89"/>
    <w:rsid w:val="009D61C0"/>
    <w:rsid w:val="009D635E"/>
    <w:rsid w:val="009D64E2"/>
    <w:rsid w:val="009D6611"/>
    <w:rsid w:val="009D66D8"/>
    <w:rsid w:val="009D6732"/>
    <w:rsid w:val="009D6987"/>
    <w:rsid w:val="009D6D3D"/>
    <w:rsid w:val="009D6D73"/>
    <w:rsid w:val="009D73AC"/>
    <w:rsid w:val="009D7787"/>
    <w:rsid w:val="009D7DCE"/>
    <w:rsid w:val="009E00B8"/>
    <w:rsid w:val="009E0229"/>
    <w:rsid w:val="009E02C9"/>
    <w:rsid w:val="009E053D"/>
    <w:rsid w:val="009E0875"/>
    <w:rsid w:val="009E12AD"/>
    <w:rsid w:val="009E14BB"/>
    <w:rsid w:val="009E1F68"/>
    <w:rsid w:val="009E1FB3"/>
    <w:rsid w:val="009E26E6"/>
    <w:rsid w:val="009E2910"/>
    <w:rsid w:val="009E2A58"/>
    <w:rsid w:val="009E2A96"/>
    <w:rsid w:val="009E2EAB"/>
    <w:rsid w:val="009E2FFD"/>
    <w:rsid w:val="009E30D8"/>
    <w:rsid w:val="009E377A"/>
    <w:rsid w:val="009E39DC"/>
    <w:rsid w:val="009E44D4"/>
    <w:rsid w:val="009E455F"/>
    <w:rsid w:val="009E48D0"/>
    <w:rsid w:val="009E4914"/>
    <w:rsid w:val="009E5645"/>
    <w:rsid w:val="009E56B4"/>
    <w:rsid w:val="009E5897"/>
    <w:rsid w:val="009E67DD"/>
    <w:rsid w:val="009E6B26"/>
    <w:rsid w:val="009E6FFD"/>
    <w:rsid w:val="009E7320"/>
    <w:rsid w:val="009E7428"/>
    <w:rsid w:val="009E7916"/>
    <w:rsid w:val="009E7BF4"/>
    <w:rsid w:val="009F00E2"/>
    <w:rsid w:val="009F06AD"/>
    <w:rsid w:val="009F09B8"/>
    <w:rsid w:val="009F0AB3"/>
    <w:rsid w:val="009F10D0"/>
    <w:rsid w:val="009F1313"/>
    <w:rsid w:val="009F1B4D"/>
    <w:rsid w:val="009F1CD4"/>
    <w:rsid w:val="009F1E6F"/>
    <w:rsid w:val="009F206C"/>
    <w:rsid w:val="009F2390"/>
    <w:rsid w:val="009F24E1"/>
    <w:rsid w:val="009F28AC"/>
    <w:rsid w:val="009F29F9"/>
    <w:rsid w:val="009F2F03"/>
    <w:rsid w:val="009F3352"/>
    <w:rsid w:val="009F33FB"/>
    <w:rsid w:val="009F3491"/>
    <w:rsid w:val="009F4374"/>
    <w:rsid w:val="009F43C3"/>
    <w:rsid w:val="009F4C44"/>
    <w:rsid w:val="009F4EC3"/>
    <w:rsid w:val="009F5239"/>
    <w:rsid w:val="009F5363"/>
    <w:rsid w:val="009F5666"/>
    <w:rsid w:val="009F5A58"/>
    <w:rsid w:val="009F600C"/>
    <w:rsid w:val="009F61A9"/>
    <w:rsid w:val="009F65F7"/>
    <w:rsid w:val="009F6852"/>
    <w:rsid w:val="009F6A06"/>
    <w:rsid w:val="009F6A19"/>
    <w:rsid w:val="009F71D8"/>
    <w:rsid w:val="009F75CF"/>
    <w:rsid w:val="009F7E9F"/>
    <w:rsid w:val="00A00BF1"/>
    <w:rsid w:val="00A0160F"/>
    <w:rsid w:val="00A020B4"/>
    <w:rsid w:val="00A0211D"/>
    <w:rsid w:val="00A024F8"/>
    <w:rsid w:val="00A0273D"/>
    <w:rsid w:val="00A02DAA"/>
    <w:rsid w:val="00A02F3C"/>
    <w:rsid w:val="00A031E7"/>
    <w:rsid w:val="00A031EF"/>
    <w:rsid w:val="00A03358"/>
    <w:rsid w:val="00A03442"/>
    <w:rsid w:val="00A042C7"/>
    <w:rsid w:val="00A043FE"/>
    <w:rsid w:val="00A044A3"/>
    <w:rsid w:val="00A04BCA"/>
    <w:rsid w:val="00A054F6"/>
    <w:rsid w:val="00A05916"/>
    <w:rsid w:val="00A05AA6"/>
    <w:rsid w:val="00A06192"/>
    <w:rsid w:val="00A065A8"/>
    <w:rsid w:val="00A0663B"/>
    <w:rsid w:val="00A066D1"/>
    <w:rsid w:val="00A068E1"/>
    <w:rsid w:val="00A069C5"/>
    <w:rsid w:val="00A06D17"/>
    <w:rsid w:val="00A06F2C"/>
    <w:rsid w:val="00A07065"/>
    <w:rsid w:val="00A07217"/>
    <w:rsid w:val="00A07462"/>
    <w:rsid w:val="00A075D8"/>
    <w:rsid w:val="00A07FCE"/>
    <w:rsid w:val="00A10500"/>
    <w:rsid w:val="00A105B4"/>
    <w:rsid w:val="00A10886"/>
    <w:rsid w:val="00A11523"/>
    <w:rsid w:val="00A115F1"/>
    <w:rsid w:val="00A11861"/>
    <w:rsid w:val="00A11C15"/>
    <w:rsid w:val="00A11CD3"/>
    <w:rsid w:val="00A1249D"/>
    <w:rsid w:val="00A12519"/>
    <w:rsid w:val="00A1266A"/>
    <w:rsid w:val="00A12E4D"/>
    <w:rsid w:val="00A136D2"/>
    <w:rsid w:val="00A1389B"/>
    <w:rsid w:val="00A138D8"/>
    <w:rsid w:val="00A13D9A"/>
    <w:rsid w:val="00A14059"/>
    <w:rsid w:val="00A1417A"/>
    <w:rsid w:val="00A14886"/>
    <w:rsid w:val="00A14A91"/>
    <w:rsid w:val="00A14CD4"/>
    <w:rsid w:val="00A14F0A"/>
    <w:rsid w:val="00A150D1"/>
    <w:rsid w:val="00A15B20"/>
    <w:rsid w:val="00A15EDB"/>
    <w:rsid w:val="00A15F22"/>
    <w:rsid w:val="00A1622A"/>
    <w:rsid w:val="00A16BB4"/>
    <w:rsid w:val="00A16E6B"/>
    <w:rsid w:val="00A16ECB"/>
    <w:rsid w:val="00A16EEB"/>
    <w:rsid w:val="00A16EFC"/>
    <w:rsid w:val="00A16F1F"/>
    <w:rsid w:val="00A16FC6"/>
    <w:rsid w:val="00A1792A"/>
    <w:rsid w:val="00A20575"/>
    <w:rsid w:val="00A205CE"/>
    <w:rsid w:val="00A206CD"/>
    <w:rsid w:val="00A207E9"/>
    <w:rsid w:val="00A208EB"/>
    <w:rsid w:val="00A2097E"/>
    <w:rsid w:val="00A2114F"/>
    <w:rsid w:val="00A21667"/>
    <w:rsid w:val="00A21A02"/>
    <w:rsid w:val="00A2216E"/>
    <w:rsid w:val="00A22190"/>
    <w:rsid w:val="00A22808"/>
    <w:rsid w:val="00A22F5A"/>
    <w:rsid w:val="00A231B5"/>
    <w:rsid w:val="00A23488"/>
    <w:rsid w:val="00A23508"/>
    <w:rsid w:val="00A235B7"/>
    <w:rsid w:val="00A2370B"/>
    <w:rsid w:val="00A23921"/>
    <w:rsid w:val="00A23F13"/>
    <w:rsid w:val="00A243F2"/>
    <w:rsid w:val="00A251A9"/>
    <w:rsid w:val="00A2549F"/>
    <w:rsid w:val="00A255AB"/>
    <w:rsid w:val="00A2593D"/>
    <w:rsid w:val="00A260CC"/>
    <w:rsid w:val="00A26569"/>
    <w:rsid w:val="00A26956"/>
    <w:rsid w:val="00A26E10"/>
    <w:rsid w:val="00A272A8"/>
    <w:rsid w:val="00A2732B"/>
    <w:rsid w:val="00A2755B"/>
    <w:rsid w:val="00A279CA"/>
    <w:rsid w:val="00A27ACC"/>
    <w:rsid w:val="00A27C20"/>
    <w:rsid w:val="00A27CFD"/>
    <w:rsid w:val="00A30105"/>
    <w:rsid w:val="00A3013B"/>
    <w:rsid w:val="00A303DA"/>
    <w:rsid w:val="00A30744"/>
    <w:rsid w:val="00A30E38"/>
    <w:rsid w:val="00A30EA6"/>
    <w:rsid w:val="00A31091"/>
    <w:rsid w:val="00A31499"/>
    <w:rsid w:val="00A31523"/>
    <w:rsid w:val="00A31536"/>
    <w:rsid w:val="00A31FAC"/>
    <w:rsid w:val="00A32180"/>
    <w:rsid w:val="00A323E9"/>
    <w:rsid w:val="00A328A8"/>
    <w:rsid w:val="00A32FC5"/>
    <w:rsid w:val="00A33034"/>
    <w:rsid w:val="00A342A3"/>
    <w:rsid w:val="00A346FE"/>
    <w:rsid w:val="00A34F1D"/>
    <w:rsid w:val="00A35033"/>
    <w:rsid w:val="00A35037"/>
    <w:rsid w:val="00A353C1"/>
    <w:rsid w:val="00A35907"/>
    <w:rsid w:val="00A3596C"/>
    <w:rsid w:val="00A36B1D"/>
    <w:rsid w:val="00A36E14"/>
    <w:rsid w:val="00A377B8"/>
    <w:rsid w:val="00A40337"/>
    <w:rsid w:val="00A40446"/>
    <w:rsid w:val="00A4075A"/>
    <w:rsid w:val="00A40A6E"/>
    <w:rsid w:val="00A40A8F"/>
    <w:rsid w:val="00A41B06"/>
    <w:rsid w:val="00A42584"/>
    <w:rsid w:val="00A42B14"/>
    <w:rsid w:val="00A4319D"/>
    <w:rsid w:val="00A4336B"/>
    <w:rsid w:val="00A43468"/>
    <w:rsid w:val="00A434DF"/>
    <w:rsid w:val="00A437BB"/>
    <w:rsid w:val="00A447A0"/>
    <w:rsid w:val="00A44E14"/>
    <w:rsid w:val="00A457D6"/>
    <w:rsid w:val="00A458B6"/>
    <w:rsid w:val="00A45D44"/>
    <w:rsid w:val="00A46414"/>
    <w:rsid w:val="00A46451"/>
    <w:rsid w:val="00A46469"/>
    <w:rsid w:val="00A4698C"/>
    <w:rsid w:val="00A46F85"/>
    <w:rsid w:val="00A4716C"/>
    <w:rsid w:val="00A47B9B"/>
    <w:rsid w:val="00A47E42"/>
    <w:rsid w:val="00A5034B"/>
    <w:rsid w:val="00A5045C"/>
    <w:rsid w:val="00A506FC"/>
    <w:rsid w:val="00A50DA6"/>
    <w:rsid w:val="00A50E01"/>
    <w:rsid w:val="00A511E6"/>
    <w:rsid w:val="00A51841"/>
    <w:rsid w:val="00A51CE1"/>
    <w:rsid w:val="00A5289D"/>
    <w:rsid w:val="00A52978"/>
    <w:rsid w:val="00A52D1D"/>
    <w:rsid w:val="00A53130"/>
    <w:rsid w:val="00A5412B"/>
    <w:rsid w:val="00A54439"/>
    <w:rsid w:val="00A549C6"/>
    <w:rsid w:val="00A54AC8"/>
    <w:rsid w:val="00A55158"/>
    <w:rsid w:val="00A55718"/>
    <w:rsid w:val="00A55B0C"/>
    <w:rsid w:val="00A55DE2"/>
    <w:rsid w:val="00A55E64"/>
    <w:rsid w:val="00A56A78"/>
    <w:rsid w:val="00A571CD"/>
    <w:rsid w:val="00A575B0"/>
    <w:rsid w:val="00A57DA5"/>
    <w:rsid w:val="00A6042C"/>
    <w:rsid w:val="00A604D6"/>
    <w:rsid w:val="00A60766"/>
    <w:rsid w:val="00A60824"/>
    <w:rsid w:val="00A608FE"/>
    <w:rsid w:val="00A60949"/>
    <w:rsid w:val="00A60E1A"/>
    <w:rsid w:val="00A614CC"/>
    <w:rsid w:val="00A616EF"/>
    <w:rsid w:val="00A6195E"/>
    <w:rsid w:val="00A61C5D"/>
    <w:rsid w:val="00A62197"/>
    <w:rsid w:val="00A628DE"/>
    <w:rsid w:val="00A62B3A"/>
    <w:rsid w:val="00A6327E"/>
    <w:rsid w:val="00A63600"/>
    <w:rsid w:val="00A636C0"/>
    <w:rsid w:val="00A64173"/>
    <w:rsid w:val="00A6460E"/>
    <w:rsid w:val="00A64735"/>
    <w:rsid w:val="00A64834"/>
    <w:rsid w:val="00A6494E"/>
    <w:rsid w:val="00A64AC6"/>
    <w:rsid w:val="00A64B92"/>
    <w:rsid w:val="00A65FA7"/>
    <w:rsid w:val="00A661EA"/>
    <w:rsid w:val="00A664CD"/>
    <w:rsid w:val="00A666B7"/>
    <w:rsid w:val="00A66A6B"/>
    <w:rsid w:val="00A66B50"/>
    <w:rsid w:val="00A66EEC"/>
    <w:rsid w:val="00A677C0"/>
    <w:rsid w:val="00A67873"/>
    <w:rsid w:val="00A67FAE"/>
    <w:rsid w:val="00A706AC"/>
    <w:rsid w:val="00A70964"/>
    <w:rsid w:val="00A7103B"/>
    <w:rsid w:val="00A71267"/>
    <w:rsid w:val="00A71B55"/>
    <w:rsid w:val="00A71BAB"/>
    <w:rsid w:val="00A7240E"/>
    <w:rsid w:val="00A724CD"/>
    <w:rsid w:val="00A72556"/>
    <w:rsid w:val="00A7322E"/>
    <w:rsid w:val="00A7347E"/>
    <w:rsid w:val="00A73601"/>
    <w:rsid w:val="00A7422E"/>
    <w:rsid w:val="00A74466"/>
    <w:rsid w:val="00A7446E"/>
    <w:rsid w:val="00A746B4"/>
    <w:rsid w:val="00A74EC3"/>
    <w:rsid w:val="00A757BC"/>
    <w:rsid w:val="00A7615F"/>
    <w:rsid w:val="00A76322"/>
    <w:rsid w:val="00A775CF"/>
    <w:rsid w:val="00A77FE5"/>
    <w:rsid w:val="00A8011C"/>
    <w:rsid w:val="00A8056F"/>
    <w:rsid w:val="00A80B08"/>
    <w:rsid w:val="00A80F2E"/>
    <w:rsid w:val="00A81B7E"/>
    <w:rsid w:val="00A81D63"/>
    <w:rsid w:val="00A81E64"/>
    <w:rsid w:val="00A82935"/>
    <w:rsid w:val="00A8304B"/>
    <w:rsid w:val="00A83154"/>
    <w:rsid w:val="00A8360B"/>
    <w:rsid w:val="00A8367E"/>
    <w:rsid w:val="00A8395D"/>
    <w:rsid w:val="00A839F7"/>
    <w:rsid w:val="00A83A6E"/>
    <w:rsid w:val="00A84536"/>
    <w:rsid w:val="00A84BC6"/>
    <w:rsid w:val="00A84FC0"/>
    <w:rsid w:val="00A8510A"/>
    <w:rsid w:val="00A85226"/>
    <w:rsid w:val="00A857A7"/>
    <w:rsid w:val="00A8593F"/>
    <w:rsid w:val="00A860D4"/>
    <w:rsid w:val="00A86210"/>
    <w:rsid w:val="00A86575"/>
    <w:rsid w:val="00A86C6F"/>
    <w:rsid w:val="00A86D4E"/>
    <w:rsid w:val="00A87638"/>
    <w:rsid w:val="00A90078"/>
    <w:rsid w:val="00A90230"/>
    <w:rsid w:val="00A90591"/>
    <w:rsid w:val="00A908EC"/>
    <w:rsid w:val="00A90A09"/>
    <w:rsid w:val="00A90FA7"/>
    <w:rsid w:val="00A90FF8"/>
    <w:rsid w:val="00A910C2"/>
    <w:rsid w:val="00A9115D"/>
    <w:rsid w:val="00A91292"/>
    <w:rsid w:val="00A9140E"/>
    <w:rsid w:val="00A91B0F"/>
    <w:rsid w:val="00A91E0E"/>
    <w:rsid w:val="00A91E21"/>
    <w:rsid w:val="00A9214A"/>
    <w:rsid w:val="00A92240"/>
    <w:rsid w:val="00A92D24"/>
    <w:rsid w:val="00A92DA9"/>
    <w:rsid w:val="00A92DE7"/>
    <w:rsid w:val="00A93341"/>
    <w:rsid w:val="00A9350D"/>
    <w:rsid w:val="00A9387A"/>
    <w:rsid w:val="00A94442"/>
    <w:rsid w:val="00A944A8"/>
    <w:rsid w:val="00A946ED"/>
    <w:rsid w:val="00A94CDF"/>
    <w:rsid w:val="00A94FA2"/>
    <w:rsid w:val="00A95103"/>
    <w:rsid w:val="00A951C1"/>
    <w:rsid w:val="00A95C8C"/>
    <w:rsid w:val="00A95DD9"/>
    <w:rsid w:val="00A96F98"/>
    <w:rsid w:val="00A970B9"/>
    <w:rsid w:val="00A9732E"/>
    <w:rsid w:val="00A973D1"/>
    <w:rsid w:val="00A9782E"/>
    <w:rsid w:val="00AA001E"/>
    <w:rsid w:val="00AA0A1A"/>
    <w:rsid w:val="00AA0BF3"/>
    <w:rsid w:val="00AA0D13"/>
    <w:rsid w:val="00AA0E84"/>
    <w:rsid w:val="00AA162D"/>
    <w:rsid w:val="00AA2786"/>
    <w:rsid w:val="00AA289E"/>
    <w:rsid w:val="00AA2BBE"/>
    <w:rsid w:val="00AA2BDA"/>
    <w:rsid w:val="00AA2F56"/>
    <w:rsid w:val="00AA3279"/>
    <w:rsid w:val="00AA32F4"/>
    <w:rsid w:val="00AA3390"/>
    <w:rsid w:val="00AA3E0F"/>
    <w:rsid w:val="00AA4067"/>
    <w:rsid w:val="00AA4F40"/>
    <w:rsid w:val="00AA4F87"/>
    <w:rsid w:val="00AA59A9"/>
    <w:rsid w:val="00AA5C5A"/>
    <w:rsid w:val="00AA5CF5"/>
    <w:rsid w:val="00AA5D17"/>
    <w:rsid w:val="00AA5E47"/>
    <w:rsid w:val="00AA5FA0"/>
    <w:rsid w:val="00AA6362"/>
    <w:rsid w:val="00AA650E"/>
    <w:rsid w:val="00AA66F4"/>
    <w:rsid w:val="00AA6C92"/>
    <w:rsid w:val="00AA6CDF"/>
    <w:rsid w:val="00AA723E"/>
    <w:rsid w:val="00AA72B5"/>
    <w:rsid w:val="00AA7508"/>
    <w:rsid w:val="00AA75C9"/>
    <w:rsid w:val="00AB05BB"/>
    <w:rsid w:val="00AB07EF"/>
    <w:rsid w:val="00AB0E33"/>
    <w:rsid w:val="00AB0EFE"/>
    <w:rsid w:val="00AB12D9"/>
    <w:rsid w:val="00AB1387"/>
    <w:rsid w:val="00AB195F"/>
    <w:rsid w:val="00AB1A56"/>
    <w:rsid w:val="00AB1CFA"/>
    <w:rsid w:val="00AB241A"/>
    <w:rsid w:val="00AB249E"/>
    <w:rsid w:val="00AB25DE"/>
    <w:rsid w:val="00AB265B"/>
    <w:rsid w:val="00AB2A93"/>
    <w:rsid w:val="00AB2C4F"/>
    <w:rsid w:val="00AB2FF3"/>
    <w:rsid w:val="00AB3533"/>
    <w:rsid w:val="00AB3848"/>
    <w:rsid w:val="00AB408B"/>
    <w:rsid w:val="00AB487B"/>
    <w:rsid w:val="00AB4ABA"/>
    <w:rsid w:val="00AB5001"/>
    <w:rsid w:val="00AB5020"/>
    <w:rsid w:val="00AB5F64"/>
    <w:rsid w:val="00AB5F73"/>
    <w:rsid w:val="00AB606F"/>
    <w:rsid w:val="00AB61D4"/>
    <w:rsid w:val="00AB687F"/>
    <w:rsid w:val="00AB6968"/>
    <w:rsid w:val="00AB699B"/>
    <w:rsid w:val="00AB6EA8"/>
    <w:rsid w:val="00AB6EAA"/>
    <w:rsid w:val="00AB7245"/>
    <w:rsid w:val="00AB753D"/>
    <w:rsid w:val="00AB7A79"/>
    <w:rsid w:val="00AB7AF3"/>
    <w:rsid w:val="00AB7C45"/>
    <w:rsid w:val="00AB7D2B"/>
    <w:rsid w:val="00AB7D6E"/>
    <w:rsid w:val="00AC02CE"/>
    <w:rsid w:val="00AC042B"/>
    <w:rsid w:val="00AC0978"/>
    <w:rsid w:val="00AC0A37"/>
    <w:rsid w:val="00AC0ECB"/>
    <w:rsid w:val="00AC113A"/>
    <w:rsid w:val="00AC1E64"/>
    <w:rsid w:val="00AC1FEB"/>
    <w:rsid w:val="00AC2919"/>
    <w:rsid w:val="00AC2A7D"/>
    <w:rsid w:val="00AC2DB2"/>
    <w:rsid w:val="00AC3373"/>
    <w:rsid w:val="00AC3398"/>
    <w:rsid w:val="00AC3473"/>
    <w:rsid w:val="00AC3B34"/>
    <w:rsid w:val="00AC3CC5"/>
    <w:rsid w:val="00AC4230"/>
    <w:rsid w:val="00AC4746"/>
    <w:rsid w:val="00AC4E0A"/>
    <w:rsid w:val="00AC4EE0"/>
    <w:rsid w:val="00AC50BE"/>
    <w:rsid w:val="00AC5350"/>
    <w:rsid w:val="00AC587B"/>
    <w:rsid w:val="00AC5AC9"/>
    <w:rsid w:val="00AC5CDD"/>
    <w:rsid w:val="00AC5FB9"/>
    <w:rsid w:val="00AC6001"/>
    <w:rsid w:val="00AC622C"/>
    <w:rsid w:val="00AC6796"/>
    <w:rsid w:val="00AC6874"/>
    <w:rsid w:val="00AC6CFA"/>
    <w:rsid w:val="00AC6F04"/>
    <w:rsid w:val="00AC7080"/>
    <w:rsid w:val="00AC7204"/>
    <w:rsid w:val="00AC78B7"/>
    <w:rsid w:val="00AC78C8"/>
    <w:rsid w:val="00AC7CB0"/>
    <w:rsid w:val="00AD0785"/>
    <w:rsid w:val="00AD07F3"/>
    <w:rsid w:val="00AD187F"/>
    <w:rsid w:val="00AD1FB6"/>
    <w:rsid w:val="00AD20E2"/>
    <w:rsid w:val="00AD22B6"/>
    <w:rsid w:val="00AD2A1A"/>
    <w:rsid w:val="00AD2ADC"/>
    <w:rsid w:val="00AD2B54"/>
    <w:rsid w:val="00AD2BA9"/>
    <w:rsid w:val="00AD2E82"/>
    <w:rsid w:val="00AD2F09"/>
    <w:rsid w:val="00AD3328"/>
    <w:rsid w:val="00AD3A9F"/>
    <w:rsid w:val="00AD3D0D"/>
    <w:rsid w:val="00AD3D17"/>
    <w:rsid w:val="00AD3D8F"/>
    <w:rsid w:val="00AD4216"/>
    <w:rsid w:val="00AD46E9"/>
    <w:rsid w:val="00AD524D"/>
    <w:rsid w:val="00AD55FF"/>
    <w:rsid w:val="00AD58CC"/>
    <w:rsid w:val="00AD5BEF"/>
    <w:rsid w:val="00AD5C38"/>
    <w:rsid w:val="00AD5E96"/>
    <w:rsid w:val="00AD5EE1"/>
    <w:rsid w:val="00AD5EF8"/>
    <w:rsid w:val="00AD66E5"/>
    <w:rsid w:val="00AD69D9"/>
    <w:rsid w:val="00AD6E36"/>
    <w:rsid w:val="00AD7059"/>
    <w:rsid w:val="00AD739F"/>
    <w:rsid w:val="00AD73D1"/>
    <w:rsid w:val="00AD7632"/>
    <w:rsid w:val="00AE02F9"/>
    <w:rsid w:val="00AE06FB"/>
    <w:rsid w:val="00AE0FD4"/>
    <w:rsid w:val="00AE119C"/>
    <w:rsid w:val="00AE14CF"/>
    <w:rsid w:val="00AE1856"/>
    <w:rsid w:val="00AE1F5F"/>
    <w:rsid w:val="00AE1FF2"/>
    <w:rsid w:val="00AE2494"/>
    <w:rsid w:val="00AE2656"/>
    <w:rsid w:val="00AE2CB9"/>
    <w:rsid w:val="00AE2D37"/>
    <w:rsid w:val="00AE2D7B"/>
    <w:rsid w:val="00AE2E90"/>
    <w:rsid w:val="00AE2F35"/>
    <w:rsid w:val="00AE3077"/>
    <w:rsid w:val="00AE3C41"/>
    <w:rsid w:val="00AE3F0B"/>
    <w:rsid w:val="00AE402B"/>
    <w:rsid w:val="00AE46E5"/>
    <w:rsid w:val="00AE4DEF"/>
    <w:rsid w:val="00AE4F9B"/>
    <w:rsid w:val="00AE5A5D"/>
    <w:rsid w:val="00AE5BF5"/>
    <w:rsid w:val="00AE61BC"/>
    <w:rsid w:val="00AE623A"/>
    <w:rsid w:val="00AE655A"/>
    <w:rsid w:val="00AE715A"/>
    <w:rsid w:val="00AE7598"/>
    <w:rsid w:val="00AE7C67"/>
    <w:rsid w:val="00AE7F20"/>
    <w:rsid w:val="00AF008F"/>
    <w:rsid w:val="00AF08B5"/>
    <w:rsid w:val="00AF0AC1"/>
    <w:rsid w:val="00AF0C89"/>
    <w:rsid w:val="00AF1226"/>
    <w:rsid w:val="00AF1644"/>
    <w:rsid w:val="00AF16AA"/>
    <w:rsid w:val="00AF1EDB"/>
    <w:rsid w:val="00AF207D"/>
    <w:rsid w:val="00AF252E"/>
    <w:rsid w:val="00AF2AB0"/>
    <w:rsid w:val="00AF3C3D"/>
    <w:rsid w:val="00AF3DD9"/>
    <w:rsid w:val="00AF3F44"/>
    <w:rsid w:val="00AF3FAC"/>
    <w:rsid w:val="00AF41FA"/>
    <w:rsid w:val="00AF4B50"/>
    <w:rsid w:val="00AF4BB9"/>
    <w:rsid w:val="00AF4DC2"/>
    <w:rsid w:val="00AF4E66"/>
    <w:rsid w:val="00AF52B1"/>
    <w:rsid w:val="00AF545D"/>
    <w:rsid w:val="00AF5664"/>
    <w:rsid w:val="00AF5A1B"/>
    <w:rsid w:val="00AF5C32"/>
    <w:rsid w:val="00AF6150"/>
    <w:rsid w:val="00AF630E"/>
    <w:rsid w:val="00AF6C66"/>
    <w:rsid w:val="00AF6D8C"/>
    <w:rsid w:val="00AF6DD9"/>
    <w:rsid w:val="00AF71F0"/>
    <w:rsid w:val="00AF72C1"/>
    <w:rsid w:val="00AF72DD"/>
    <w:rsid w:val="00AF785B"/>
    <w:rsid w:val="00AF7920"/>
    <w:rsid w:val="00AF7A31"/>
    <w:rsid w:val="00AF7EB9"/>
    <w:rsid w:val="00B001A6"/>
    <w:rsid w:val="00B001CE"/>
    <w:rsid w:val="00B0035C"/>
    <w:rsid w:val="00B003FE"/>
    <w:rsid w:val="00B005E1"/>
    <w:rsid w:val="00B005EF"/>
    <w:rsid w:val="00B01686"/>
    <w:rsid w:val="00B016D9"/>
    <w:rsid w:val="00B01CBC"/>
    <w:rsid w:val="00B01F47"/>
    <w:rsid w:val="00B021F9"/>
    <w:rsid w:val="00B026D6"/>
    <w:rsid w:val="00B0295A"/>
    <w:rsid w:val="00B03703"/>
    <w:rsid w:val="00B0384D"/>
    <w:rsid w:val="00B04167"/>
    <w:rsid w:val="00B044F4"/>
    <w:rsid w:val="00B045D7"/>
    <w:rsid w:val="00B0588A"/>
    <w:rsid w:val="00B05C76"/>
    <w:rsid w:val="00B06032"/>
    <w:rsid w:val="00B068F0"/>
    <w:rsid w:val="00B07580"/>
    <w:rsid w:val="00B077A2"/>
    <w:rsid w:val="00B078EA"/>
    <w:rsid w:val="00B07E37"/>
    <w:rsid w:val="00B101A9"/>
    <w:rsid w:val="00B106F6"/>
    <w:rsid w:val="00B10F4E"/>
    <w:rsid w:val="00B10F71"/>
    <w:rsid w:val="00B11280"/>
    <w:rsid w:val="00B11457"/>
    <w:rsid w:val="00B11E5B"/>
    <w:rsid w:val="00B11FD6"/>
    <w:rsid w:val="00B1275B"/>
    <w:rsid w:val="00B135C6"/>
    <w:rsid w:val="00B138BC"/>
    <w:rsid w:val="00B13EE3"/>
    <w:rsid w:val="00B14666"/>
    <w:rsid w:val="00B146AF"/>
    <w:rsid w:val="00B14C64"/>
    <w:rsid w:val="00B1511A"/>
    <w:rsid w:val="00B15BE7"/>
    <w:rsid w:val="00B15C77"/>
    <w:rsid w:val="00B15CDB"/>
    <w:rsid w:val="00B15D08"/>
    <w:rsid w:val="00B15D0E"/>
    <w:rsid w:val="00B16364"/>
    <w:rsid w:val="00B166E3"/>
    <w:rsid w:val="00B16D76"/>
    <w:rsid w:val="00B16E7E"/>
    <w:rsid w:val="00B17247"/>
    <w:rsid w:val="00B178F4"/>
    <w:rsid w:val="00B20596"/>
    <w:rsid w:val="00B20655"/>
    <w:rsid w:val="00B207FF"/>
    <w:rsid w:val="00B20AC4"/>
    <w:rsid w:val="00B21B6E"/>
    <w:rsid w:val="00B22204"/>
    <w:rsid w:val="00B227EC"/>
    <w:rsid w:val="00B229EE"/>
    <w:rsid w:val="00B22E2F"/>
    <w:rsid w:val="00B23375"/>
    <w:rsid w:val="00B2373A"/>
    <w:rsid w:val="00B24127"/>
    <w:rsid w:val="00B242BF"/>
    <w:rsid w:val="00B24349"/>
    <w:rsid w:val="00B245D5"/>
    <w:rsid w:val="00B24658"/>
    <w:rsid w:val="00B2504D"/>
    <w:rsid w:val="00B256AF"/>
    <w:rsid w:val="00B25766"/>
    <w:rsid w:val="00B25FF9"/>
    <w:rsid w:val="00B2631A"/>
    <w:rsid w:val="00B26527"/>
    <w:rsid w:val="00B265B1"/>
    <w:rsid w:val="00B26D8F"/>
    <w:rsid w:val="00B27618"/>
    <w:rsid w:val="00B2767A"/>
    <w:rsid w:val="00B27E57"/>
    <w:rsid w:val="00B300F8"/>
    <w:rsid w:val="00B301A2"/>
    <w:rsid w:val="00B301B7"/>
    <w:rsid w:val="00B303F0"/>
    <w:rsid w:val="00B309C6"/>
    <w:rsid w:val="00B30A2E"/>
    <w:rsid w:val="00B30A47"/>
    <w:rsid w:val="00B31173"/>
    <w:rsid w:val="00B312A4"/>
    <w:rsid w:val="00B31577"/>
    <w:rsid w:val="00B320CE"/>
    <w:rsid w:val="00B32417"/>
    <w:rsid w:val="00B32D74"/>
    <w:rsid w:val="00B3348E"/>
    <w:rsid w:val="00B3364B"/>
    <w:rsid w:val="00B3376B"/>
    <w:rsid w:val="00B3387A"/>
    <w:rsid w:val="00B33D10"/>
    <w:rsid w:val="00B34449"/>
    <w:rsid w:val="00B3495F"/>
    <w:rsid w:val="00B34E1C"/>
    <w:rsid w:val="00B355EA"/>
    <w:rsid w:val="00B35695"/>
    <w:rsid w:val="00B35AFC"/>
    <w:rsid w:val="00B3675B"/>
    <w:rsid w:val="00B371C5"/>
    <w:rsid w:val="00B375EB"/>
    <w:rsid w:val="00B37858"/>
    <w:rsid w:val="00B37893"/>
    <w:rsid w:val="00B4018F"/>
    <w:rsid w:val="00B40231"/>
    <w:rsid w:val="00B40BAB"/>
    <w:rsid w:val="00B40C7A"/>
    <w:rsid w:val="00B40E3B"/>
    <w:rsid w:val="00B410F5"/>
    <w:rsid w:val="00B41228"/>
    <w:rsid w:val="00B4169A"/>
    <w:rsid w:val="00B419E0"/>
    <w:rsid w:val="00B41E16"/>
    <w:rsid w:val="00B4266C"/>
    <w:rsid w:val="00B4266E"/>
    <w:rsid w:val="00B42A6D"/>
    <w:rsid w:val="00B42ABB"/>
    <w:rsid w:val="00B42CC3"/>
    <w:rsid w:val="00B42F5F"/>
    <w:rsid w:val="00B4474F"/>
    <w:rsid w:val="00B45042"/>
    <w:rsid w:val="00B45348"/>
    <w:rsid w:val="00B453FA"/>
    <w:rsid w:val="00B45459"/>
    <w:rsid w:val="00B458B8"/>
    <w:rsid w:val="00B4687D"/>
    <w:rsid w:val="00B46A52"/>
    <w:rsid w:val="00B47243"/>
    <w:rsid w:val="00B4766C"/>
    <w:rsid w:val="00B47FC3"/>
    <w:rsid w:val="00B50049"/>
    <w:rsid w:val="00B5028B"/>
    <w:rsid w:val="00B505AA"/>
    <w:rsid w:val="00B508E9"/>
    <w:rsid w:val="00B50BD6"/>
    <w:rsid w:val="00B50C3F"/>
    <w:rsid w:val="00B50E19"/>
    <w:rsid w:val="00B50EFF"/>
    <w:rsid w:val="00B50F0B"/>
    <w:rsid w:val="00B511FE"/>
    <w:rsid w:val="00B513A5"/>
    <w:rsid w:val="00B517B0"/>
    <w:rsid w:val="00B524AB"/>
    <w:rsid w:val="00B52503"/>
    <w:rsid w:val="00B5257F"/>
    <w:rsid w:val="00B52B1B"/>
    <w:rsid w:val="00B52C35"/>
    <w:rsid w:val="00B52DCD"/>
    <w:rsid w:val="00B531F1"/>
    <w:rsid w:val="00B542D3"/>
    <w:rsid w:val="00B5464D"/>
    <w:rsid w:val="00B547FB"/>
    <w:rsid w:val="00B54889"/>
    <w:rsid w:val="00B548EC"/>
    <w:rsid w:val="00B54B57"/>
    <w:rsid w:val="00B555ED"/>
    <w:rsid w:val="00B55B97"/>
    <w:rsid w:val="00B55BCF"/>
    <w:rsid w:val="00B5627D"/>
    <w:rsid w:val="00B56985"/>
    <w:rsid w:val="00B56AD1"/>
    <w:rsid w:val="00B56C0B"/>
    <w:rsid w:val="00B56E5D"/>
    <w:rsid w:val="00B57082"/>
    <w:rsid w:val="00B5729D"/>
    <w:rsid w:val="00B5735F"/>
    <w:rsid w:val="00B57567"/>
    <w:rsid w:val="00B57994"/>
    <w:rsid w:val="00B57CC2"/>
    <w:rsid w:val="00B57E11"/>
    <w:rsid w:val="00B600AA"/>
    <w:rsid w:val="00B602CF"/>
    <w:rsid w:val="00B60907"/>
    <w:rsid w:val="00B60DE7"/>
    <w:rsid w:val="00B611E3"/>
    <w:rsid w:val="00B613DC"/>
    <w:rsid w:val="00B61727"/>
    <w:rsid w:val="00B6173F"/>
    <w:rsid w:val="00B61967"/>
    <w:rsid w:val="00B61F42"/>
    <w:rsid w:val="00B62B75"/>
    <w:rsid w:val="00B63031"/>
    <w:rsid w:val="00B634C4"/>
    <w:rsid w:val="00B6361A"/>
    <w:rsid w:val="00B639B0"/>
    <w:rsid w:val="00B63D9A"/>
    <w:rsid w:val="00B63DC9"/>
    <w:rsid w:val="00B63E1F"/>
    <w:rsid w:val="00B640C0"/>
    <w:rsid w:val="00B649BA"/>
    <w:rsid w:val="00B64C58"/>
    <w:rsid w:val="00B6552E"/>
    <w:rsid w:val="00B65AFB"/>
    <w:rsid w:val="00B65C7B"/>
    <w:rsid w:val="00B65F8A"/>
    <w:rsid w:val="00B66197"/>
    <w:rsid w:val="00B66BAE"/>
    <w:rsid w:val="00B66CCF"/>
    <w:rsid w:val="00B673F4"/>
    <w:rsid w:val="00B67590"/>
    <w:rsid w:val="00B6787A"/>
    <w:rsid w:val="00B6787F"/>
    <w:rsid w:val="00B67B29"/>
    <w:rsid w:val="00B67BBC"/>
    <w:rsid w:val="00B70517"/>
    <w:rsid w:val="00B7116C"/>
    <w:rsid w:val="00B71350"/>
    <w:rsid w:val="00B7177C"/>
    <w:rsid w:val="00B7181E"/>
    <w:rsid w:val="00B718A8"/>
    <w:rsid w:val="00B72306"/>
    <w:rsid w:val="00B72736"/>
    <w:rsid w:val="00B72809"/>
    <w:rsid w:val="00B72A2A"/>
    <w:rsid w:val="00B72D9A"/>
    <w:rsid w:val="00B7347F"/>
    <w:rsid w:val="00B735FE"/>
    <w:rsid w:val="00B73991"/>
    <w:rsid w:val="00B741FB"/>
    <w:rsid w:val="00B7427F"/>
    <w:rsid w:val="00B747E5"/>
    <w:rsid w:val="00B74C06"/>
    <w:rsid w:val="00B74F9D"/>
    <w:rsid w:val="00B751FF"/>
    <w:rsid w:val="00B75586"/>
    <w:rsid w:val="00B75BB3"/>
    <w:rsid w:val="00B76192"/>
    <w:rsid w:val="00B76243"/>
    <w:rsid w:val="00B768C5"/>
    <w:rsid w:val="00B771A8"/>
    <w:rsid w:val="00B7727C"/>
    <w:rsid w:val="00B77A10"/>
    <w:rsid w:val="00B80234"/>
    <w:rsid w:val="00B8036C"/>
    <w:rsid w:val="00B8045B"/>
    <w:rsid w:val="00B809EB"/>
    <w:rsid w:val="00B80B3F"/>
    <w:rsid w:val="00B80D03"/>
    <w:rsid w:val="00B8177E"/>
    <w:rsid w:val="00B8183F"/>
    <w:rsid w:val="00B81A42"/>
    <w:rsid w:val="00B81FD1"/>
    <w:rsid w:val="00B836CB"/>
    <w:rsid w:val="00B838BB"/>
    <w:rsid w:val="00B838C3"/>
    <w:rsid w:val="00B83A2B"/>
    <w:rsid w:val="00B83E02"/>
    <w:rsid w:val="00B84110"/>
    <w:rsid w:val="00B844F4"/>
    <w:rsid w:val="00B84B38"/>
    <w:rsid w:val="00B852C1"/>
    <w:rsid w:val="00B858D5"/>
    <w:rsid w:val="00B85D82"/>
    <w:rsid w:val="00B860DB"/>
    <w:rsid w:val="00B86396"/>
    <w:rsid w:val="00B866CA"/>
    <w:rsid w:val="00B86D19"/>
    <w:rsid w:val="00B874E5"/>
    <w:rsid w:val="00B878E1"/>
    <w:rsid w:val="00B87A05"/>
    <w:rsid w:val="00B87C6A"/>
    <w:rsid w:val="00B9003F"/>
    <w:rsid w:val="00B903FE"/>
    <w:rsid w:val="00B90682"/>
    <w:rsid w:val="00B909F8"/>
    <w:rsid w:val="00B90ADE"/>
    <w:rsid w:val="00B90BFA"/>
    <w:rsid w:val="00B90C24"/>
    <w:rsid w:val="00B90DAD"/>
    <w:rsid w:val="00B90FCA"/>
    <w:rsid w:val="00B9138C"/>
    <w:rsid w:val="00B91560"/>
    <w:rsid w:val="00B9185F"/>
    <w:rsid w:val="00B918B1"/>
    <w:rsid w:val="00B91BD9"/>
    <w:rsid w:val="00B91E89"/>
    <w:rsid w:val="00B92337"/>
    <w:rsid w:val="00B92555"/>
    <w:rsid w:val="00B92D56"/>
    <w:rsid w:val="00B93091"/>
    <w:rsid w:val="00B934B4"/>
    <w:rsid w:val="00B93B3E"/>
    <w:rsid w:val="00B93BDD"/>
    <w:rsid w:val="00B93DAD"/>
    <w:rsid w:val="00B9411D"/>
    <w:rsid w:val="00B94551"/>
    <w:rsid w:val="00B94598"/>
    <w:rsid w:val="00B94A39"/>
    <w:rsid w:val="00B94C20"/>
    <w:rsid w:val="00B950E5"/>
    <w:rsid w:val="00B951A5"/>
    <w:rsid w:val="00B951C0"/>
    <w:rsid w:val="00B95A7D"/>
    <w:rsid w:val="00B95D1D"/>
    <w:rsid w:val="00B96A3D"/>
    <w:rsid w:val="00B9742E"/>
    <w:rsid w:val="00B97B6B"/>
    <w:rsid w:val="00BA028B"/>
    <w:rsid w:val="00BA089F"/>
    <w:rsid w:val="00BA0A23"/>
    <w:rsid w:val="00BA0B18"/>
    <w:rsid w:val="00BA13B4"/>
    <w:rsid w:val="00BA13F7"/>
    <w:rsid w:val="00BA188B"/>
    <w:rsid w:val="00BA18BB"/>
    <w:rsid w:val="00BA22AB"/>
    <w:rsid w:val="00BA2B95"/>
    <w:rsid w:val="00BA2D00"/>
    <w:rsid w:val="00BA335F"/>
    <w:rsid w:val="00BA33F3"/>
    <w:rsid w:val="00BA416E"/>
    <w:rsid w:val="00BA41AE"/>
    <w:rsid w:val="00BA4246"/>
    <w:rsid w:val="00BA4530"/>
    <w:rsid w:val="00BA4DE7"/>
    <w:rsid w:val="00BA4EA6"/>
    <w:rsid w:val="00BA55BD"/>
    <w:rsid w:val="00BA5622"/>
    <w:rsid w:val="00BA5DFA"/>
    <w:rsid w:val="00BA657A"/>
    <w:rsid w:val="00BA6B8E"/>
    <w:rsid w:val="00BA71C4"/>
    <w:rsid w:val="00BA7AF9"/>
    <w:rsid w:val="00BA7BD2"/>
    <w:rsid w:val="00BA7C42"/>
    <w:rsid w:val="00BB0350"/>
    <w:rsid w:val="00BB068B"/>
    <w:rsid w:val="00BB0832"/>
    <w:rsid w:val="00BB0F82"/>
    <w:rsid w:val="00BB1023"/>
    <w:rsid w:val="00BB1257"/>
    <w:rsid w:val="00BB14EE"/>
    <w:rsid w:val="00BB195F"/>
    <w:rsid w:val="00BB1A91"/>
    <w:rsid w:val="00BB223A"/>
    <w:rsid w:val="00BB239C"/>
    <w:rsid w:val="00BB25C7"/>
    <w:rsid w:val="00BB276B"/>
    <w:rsid w:val="00BB2C46"/>
    <w:rsid w:val="00BB2F6B"/>
    <w:rsid w:val="00BB33DD"/>
    <w:rsid w:val="00BB354F"/>
    <w:rsid w:val="00BB36A8"/>
    <w:rsid w:val="00BB4228"/>
    <w:rsid w:val="00BB46EA"/>
    <w:rsid w:val="00BB4825"/>
    <w:rsid w:val="00BB48C7"/>
    <w:rsid w:val="00BB5B0A"/>
    <w:rsid w:val="00BB60F2"/>
    <w:rsid w:val="00BB6FD5"/>
    <w:rsid w:val="00BB700A"/>
    <w:rsid w:val="00BB7098"/>
    <w:rsid w:val="00BB7187"/>
    <w:rsid w:val="00BB7601"/>
    <w:rsid w:val="00BB7722"/>
    <w:rsid w:val="00BB7DB2"/>
    <w:rsid w:val="00BC0624"/>
    <w:rsid w:val="00BC0BCB"/>
    <w:rsid w:val="00BC108B"/>
    <w:rsid w:val="00BC12B6"/>
    <w:rsid w:val="00BC133E"/>
    <w:rsid w:val="00BC1465"/>
    <w:rsid w:val="00BC14B8"/>
    <w:rsid w:val="00BC1A02"/>
    <w:rsid w:val="00BC1BF9"/>
    <w:rsid w:val="00BC1C06"/>
    <w:rsid w:val="00BC1EC0"/>
    <w:rsid w:val="00BC2290"/>
    <w:rsid w:val="00BC2399"/>
    <w:rsid w:val="00BC2DCC"/>
    <w:rsid w:val="00BC2DF0"/>
    <w:rsid w:val="00BC2E31"/>
    <w:rsid w:val="00BC321A"/>
    <w:rsid w:val="00BC34DA"/>
    <w:rsid w:val="00BC360B"/>
    <w:rsid w:val="00BC3A83"/>
    <w:rsid w:val="00BC3AB1"/>
    <w:rsid w:val="00BC3BAC"/>
    <w:rsid w:val="00BC3C7F"/>
    <w:rsid w:val="00BC3F05"/>
    <w:rsid w:val="00BC4055"/>
    <w:rsid w:val="00BC41EA"/>
    <w:rsid w:val="00BC45CB"/>
    <w:rsid w:val="00BC4D98"/>
    <w:rsid w:val="00BC4FAE"/>
    <w:rsid w:val="00BC5128"/>
    <w:rsid w:val="00BC5C7E"/>
    <w:rsid w:val="00BC60E6"/>
    <w:rsid w:val="00BC65D1"/>
    <w:rsid w:val="00BC6DA3"/>
    <w:rsid w:val="00BC6DB6"/>
    <w:rsid w:val="00BC6E5B"/>
    <w:rsid w:val="00BC75B1"/>
    <w:rsid w:val="00BC7BC0"/>
    <w:rsid w:val="00BD06AD"/>
    <w:rsid w:val="00BD0B6C"/>
    <w:rsid w:val="00BD0CA0"/>
    <w:rsid w:val="00BD0CCD"/>
    <w:rsid w:val="00BD0E53"/>
    <w:rsid w:val="00BD0ED6"/>
    <w:rsid w:val="00BD1A7C"/>
    <w:rsid w:val="00BD1AD4"/>
    <w:rsid w:val="00BD1C54"/>
    <w:rsid w:val="00BD1E93"/>
    <w:rsid w:val="00BD1F0A"/>
    <w:rsid w:val="00BD1F85"/>
    <w:rsid w:val="00BD2556"/>
    <w:rsid w:val="00BD27A4"/>
    <w:rsid w:val="00BD329E"/>
    <w:rsid w:val="00BD33C6"/>
    <w:rsid w:val="00BD3FDF"/>
    <w:rsid w:val="00BD4D28"/>
    <w:rsid w:val="00BD5320"/>
    <w:rsid w:val="00BD57BE"/>
    <w:rsid w:val="00BD5A24"/>
    <w:rsid w:val="00BD6587"/>
    <w:rsid w:val="00BD6D7E"/>
    <w:rsid w:val="00BD6FD3"/>
    <w:rsid w:val="00BD720D"/>
    <w:rsid w:val="00BD7349"/>
    <w:rsid w:val="00BD7474"/>
    <w:rsid w:val="00BE0162"/>
    <w:rsid w:val="00BE019A"/>
    <w:rsid w:val="00BE076E"/>
    <w:rsid w:val="00BE0862"/>
    <w:rsid w:val="00BE0929"/>
    <w:rsid w:val="00BE1666"/>
    <w:rsid w:val="00BE1981"/>
    <w:rsid w:val="00BE1985"/>
    <w:rsid w:val="00BE2672"/>
    <w:rsid w:val="00BE26D8"/>
    <w:rsid w:val="00BE2BF0"/>
    <w:rsid w:val="00BE2DFC"/>
    <w:rsid w:val="00BE33C9"/>
    <w:rsid w:val="00BE33F2"/>
    <w:rsid w:val="00BE33FF"/>
    <w:rsid w:val="00BE3567"/>
    <w:rsid w:val="00BE35B0"/>
    <w:rsid w:val="00BE37E1"/>
    <w:rsid w:val="00BE394D"/>
    <w:rsid w:val="00BE40AB"/>
    <w:rsid w:val="00BE427C"/>
    <w:rsid w:val="00BE4368"/>
    <w:rsid w:val="00BE448A"/>
    <w:rsid w:val="00BE4491"/>
    <w:rsid w:val="00BE488E"/>
    <w:rsid w:val="00BE4E48"/>
    <w:rsid w:val="00BE50C7"/>
    <w:rsid w:val="00BE5159"/>
    <w:rsid w:val="00BE5BA1"/>
    <w:rsid w:val="00BE607E"/>
    <w:rsid w:val="00BE6AB2"/>
    <w:rsid w:val="00BE6B92"/>
    <w:rsid w:val="00BE6BBF"/>
    <w:rsid w:val="00BE6DA5"/>
    <w:rsid w:val="00BE7342"/>
    <w:rsid w:val="00BE76A0"/>
    <w:rsid w:val="00BE7E3A"/>
    <w:rsid w:val="00BF063C"/>
    <w:rsid w:val="00BF0674"/>
    <w:rsid w:val="00BF088E"/>
    <w:rsid w:val="00BF0D7D"/>
    <w:rsid w:val="00BF0DB4"/>
    <w:rsid w:val="00BF0F26"/>
    <w:rsid w:val="00BF17FD"/>
    <w:rsid w:val="00BF22B4"/>
    <w:rsid w:val="00BF22D7"/>
    <w:rsid w:val="00BF274A"/>
    <w:rsid w:val="00BF27F1"/>
    <w:rsid w:val="00BF2A7A"/>
    <w:rsid w:val="00BF335C"/>
    <w:rsid w:val="00BF3494"/>
    <w:rsid w:val="00BF364B"/>
    <w:rsid w:val="00BF3876"/>
    <w:rsid w:val="00BF3A52"/>
    <w:rsid w:val="00BF3B47"/>
    <w:rsid w:val="00BF4172"/>
    <w:rsid w:val="00BF4490"/>
    <w:rsid w:val="00BF48C1"/>
    <w:rsid w:val="00BF499E"/>
    <w:rsid w:val="00BF4F93"/>
    <w:rsid w:val="00BF52EC"/>
    <w:rsid w:val="00BF54D4"/>
    <w:rsid w:val="00BF57E1"/>
    <w:rsid w:val="00BF57F8"/>
    <w:rsid w:val="00BF5821"/>
    <w:rsid w:val="00BF5828"/>
    <w:rsid w:val="00BF5E8D"/>
    <w:rsid w:val="00BF60E1"/>
    <w:rsid w:val="00BF6536"/>
    <w:rsid w:val="00BF6731"/>
    <w:rsid w:val="00BF67C2"/>
    <w:rsid w:val="00BF6C75"/>
    <w:rsid w:val="00BF6F13"/>
    <w:rsid w:val="00C00570"/>
    <w:rsid w:val="00C00730"/>
    <w:rsid w:val="00C00764"/>
    <w:rsid w:val="00C009F7"/>
    <w:rsid w:val="00C00ACC"/>
    <w:rsid w:val="00C00AE5"/>
    <w:rsid w:val="00C0123D"/>
    <w:rsid w:val="00C01D22"/>
    <w:rsid w:val="00C02DFA"/>
    <w:rsid w:val="00C031D9"/>
    <w:rsid w:val="00C03981"/>
    <w:rsid w:val="00C03E83"/>
    <w:rsid w:val="00C04218"/>
    <w:rsid w:val="00C045CE"/>
    <w:rsid w:val="00C04BE6"/>
    <w:rsid w:val="00C04F43"/>
    <w:rsid w:val="00C05103"/>
    <w:rsid w:val="00C05B1C"/>
    <w:rsid w:val="00C05CB6"/>
    <w:rsid w:val="00C067A6"/>
    <w:rsid w:val="00C069BA"/>
    <w:rsid w:val="00C0704F"/>
    <w:rsid w:val="00C07844"/>
    <w:rsid w:val="00C07AD3"/>
    <w:rsid w:val="00C1000B"/>
    <w:rsid w:val="00C100E8"/>
    <w:rsid w:val="00C107E9"/>
    <w:rsid w:val="00C10B1A"/>
    <w:rsid w:val="00C10BBC"/>
    <w:rsid w:val="00C1163E"/>
    <w:rsid w:val="00C1249B"/>
    <w:rsid w:val="00C127B8"/>
    <w:rsid w:val="00C12AE7"/>
    <w:rsid w:val="00C12DBD"/>
    <w:rsid w:val="00C13267"/>
    <w:rsid w:val="00C1369E"/>
    <w:rsid w:val="00C13ED1"/>
    <w:rsid w:val="00C14024"/>
    <w:rsid w:val="00C1408E"/>
    <w:rsid w:val="00C1466F"/>
    <w:rsid w:val="00C147A6"/>
    <w:rsid w:val="00C147FD"/>
    <w:rsid w:val="00C14801"/>
    <w:rsid w:val="00C14D24"/>
    <w:rsid w:val="00C14D6F"/>
    <w:rsid w:val="00C15225"/>
    <w:rsid w:val="00C152B8"/>
    <w:rsid w:val="00C15BA3"/>
    <w:rsid w:val="00C15FAA"/>
    <w:rsid w:val="00C16120"/>
    <w:rsid w:val="00C16239"/>
    <w:rsid w:val="00C165A0"/>
    <w:rsid w:val="00C168A3"/>
    <w:rsid w:val="00C16966"/>
    <w:rsid w:val="00C16C30"/>
    <w:rsid w:val="00C16CE1"/>
    <w:rsid w:val="00C16E10"/>
    <w:rsid w:val="00C16E1D"/>
    <w:rsid w:val="00C16E1E"/>
    <w:rsid w:val="00C17403"/>
    <w:rsid w:val="00C17429"/>
    <w:rsid w:val="00C17469"/>
    <w:rsid w:val="00C17678"/>
    <w:rsid w:val="00C176CE"/>
    <w:rsid w:val="00C1773A"/>
    <w:rsid w:val="00C17B90"/>
    <w:rsid w:val="00C17D5C"/>
    <w:rsid w:val="00C17FEE"/>
    <w:rsid w:val="00C205C4"/>
    <w:rsid w:val="00C20D58"/>
    <w:rsid w:val="00C20E6A"/>
    <w:rsid w:val="00C213E5"/>
    <w:rsid w:val="00C21BF9"/>
    <w:rsid w:val="00C21D3B"/>
    <w:rsid w:val="00C21F0C"/>
    <w:rsid w:val="00C222F9"/>
    <w:rsid w:val="00C22475"/>
    <w:rsid w:val="00C22504"/>
    <w:rsid w:val="00C22B79"/>
    <w:rsid w:val="00C22D92"/>
    <w:rsid w:val="00C23CF7"/>
    <w:rsid w:val="00C24647"/>
    <w:rsid w:val="00C2531E"/>
    <w:rsid w:val="00C26325"/>
    <w:rsid w:val="00C26422"/>
    <w:rsid w:val="00C264FB"/>
    <w:rsid w:val="00C26763"/>
    <w:rsid w:val="00C26C7C"/>
    <w:rsid w:val="00C27909"/>
    <w:rsid w:val="00C304AC"/>
    <w:rsid w:val="00C30897"/>
    <w:rsid w:val="00C308D8"/>
    <w:rsid w:val="00C30DF6"/>
    <w:rsid w:val="00C31414"/>
    <w:rsid w:val="00C31426"/>
    <w:rsid w:val="00C31444"/>
    <w:rsid w:val="00C3192E"/>
    <w:rsid w:val="00C31DCD"/>
    <w:rsid w:val="00C31F94"/>
    <w:rsid w:val="00C32484"/>
    <w:rsid w:val="00C3262E"/>
    <w:rsid w:val="00C3269F"/>
    <w:rsid w:val="00C32BAA"/>
    <w:rsid w:val="00C3344E"/>
    <w:rsid w:val="00C334D7"/>
    <w:rsid w:val="00C33AB1"/>
    <w:rsid w:val="00C33C89"/>
    <w:rsid w:val="00C33ED1"/>
    <w:rsid w:val="00C33F43"/>
    <w:rsid w:val="00C34D03"/>
    <w:rsid w:val="00C34D48"/>
    <w:rsid w:val="00C34D8E"/>
    <w:rsid w:val="00C35BDA"/>
    <w:rsid w:val="00C35F06"/>
    <w:rsid w:val="00C36479"/>
    <w:rsid w:val="00C36623"/>
    <w:rsid w:val="00C36AF2"/>
    <w:rsid w:val="00C37406"/>
    <w:rsid w:val="00C376EC"/>
    <w:rsid w:val="00C4047F"/>
    <w:rsid w:val="00C40964"/>
    <w:rsid w:val="00C4098A"/>
    <w:rsid w:val="00C40CFF"/>
    <w:rsid w:val="00C41BB4"/>
    <w:rsid w:val="00C41F4A"/>
    <w:rsid w:val="00C43670"/>
    <w:rsid w:val="00C4422F"/>
    <w:rsid w:val="00C44331"/>
    <w:rsid w:val="00C443FC"/>
    <w:rsid w:val="00C445D5"/>
    <w:rsid w:val="00C44C40"/>
    <w:rsid w:val="00C45009"/>
    <w:rsid w:val="00C45358"/>
    <w:rsid w:val="00C45496"/>
    <w:rsid w:val="00C45513"/>
    <w:rsid w:val="00C458DB"/>
    <w:rsid w:val="00C45B01"/>
    <w:rsid w:val="00C465FC"/>
    <w:rsid w:val="00C4677C"/>
    <w:rsid w:val="00C4681F"/>
    <w:rsid w:val="00C47680"/>
    <w:rsid w:val="00C47884"/>
    <w:rsid w:val="00C47B3E"/>
    <w:rsid w:val="00C500BF"/>
    <w:rsid w:val="00C50B9A"/>
    <w:rsid w:val="00C50F6E"/>
    <w:rsid w:val="00C51391"/>
    <w:rsid w:val="00C517D6"/>
    <w:rsid w:val="00C51FE6"/>
    <w:rsid w:val="00C522BB"/>
    <w:rsid w:val="00C527D2"/>
    <w:rsid w:val="00C527F3"/>
    <w:rsid w:val="00C52AEA"/>
    <w:rsid w:val="00C52FA8"/>
    <w:rsid w:val="00C53A11"/>
    <w:rsid w:val="00C540BD"/>
    <w:rsid w:val="00C546F8"/>
    <w:rsid w:val="00C548E5"/>
    <w:rsid w:val="00C549A4"/>
    <w:rsid w:val="00C5508E"/>
    <w:rsid w:val="00C55370"/>
    <w:rsid w:val="00C56426"/>
    <w:rsid w:val="00C56592"/>
    <w:rsid w:val="00C56CDC"/>
    <w:rsid w:val="00C56DC5"/>
    <w:rsid w:val="00C56F97"/>
    <w:rsid w:val="00C5729F"/>
    <w:rsid w:val="00C5742F"/>
    <w:rsid w:val="00C574D1"/>
    <w:rsid w:val="00C57646"/>
    <w:rsid w:val="00C577BF"/>
    <w:rsid w:val="00C5790B"/>
    <w:rsid w:val="00C609DF"/>
    <w:rsid w:val="00C60AA4"/>
    <w:rsid w:val="00C60D08"/>
    <w:rsid w:val="00C6107C"/>
    <w:rsid w:val="00C6111C"/>
    <w:rsid w:val="00C62718"/>
    <w:rsid w:val="00C62B1C"/>
    <w:rsid w:val="00C62BD2"/>
    <w:rsid w:val="00C63010"/>
    <w:rsid w:val="00C63EB8"/>
    <w:rsid w:val="00C64A55"/>
    <w:rsid w:val="00C64ACD"/>
    <w:rsid w:val="00C654C2"/>
    <w:rsid w:val="00C65A7D"/>
    <w:rsid w:val="00C65B51"/>
    <w:rsid w:val="00C65E9D"/>
    <w:rsid w:val="00C66B26"/>
    <w:rsid w:val="00C670D2"/>
    <w:rsid w:val="00C6711F"/>
    <w:rsid w:val="00C6715C"/>
    <w:rsid w:val="00C67318"/>
    <w:rsid w:val="00C67E81"/>
    <w:rsid w:val="00C67EB5"/>
    <w:rsid w:val="00C70497"/>
    <w:rsid w:val="00C704AB"/>
    <w:rsid w:val="00C704B1"/>
    <w:rsid w:val="00C704B8"/>
    <w:rsid w:val="00C705CB"/>
    <w:rsid w:val="00C70C72"/>
    <w:rsid w:val="00C7149A"/>
    <w:rsid w:val="00C714F5"/>
    <w:rsid w:val="00C71EAB"/>
    <w:rsid w:val="00C71F36"/>
    <w:rsid w:val="00C720A6"/>
    <w:rsid w:val="00C721E4"/>
    <w:rsid w:val="00C7253E"/>
    <w:rsid w:val="00C72CFB"/>
    <w:rsid w:val="00C72D10"/>
    <w:rsid w:val="00C733A7"/>
    <w:rsid w:val="00C7397A"/>
    <w:rsid w:val="00C73B18"/>
    <w:rsid w:val="00C74605"/>
    <w:rsid w:val="00C74C82"/>
    <w:rsid w:val="00C74E95"/>
    <w:rsid w:val="00C74FDD"/>
    <w:rsid w:val="00C751A0"/>
    <w:rsid w:val="00C758E9"/>
    <w:rsid w:val="00C75E4E"/>
    <w:rsid w:val="00C75F8E"/>
    <w:rsid w:val="00C760D9"/>
    <w:rsid w:val="00C76F8A"/>
    <w:rsid w:val="00C77C5C"/>
    <w:rsid w:val="00C77D45"/>
    <w:rsid w:val="00C80109"/>
    <w:rsid w:val="00C803CE"/>
    <w:rsid w:val="00C807BC"/>
    <w:rsid w:val="00C808F0"/>
    <w:rsid w:val="00C80FF3"/>
    <w:rsid w:val="00C81016"/>
    <w:rsid w:val="00C81097"/>
    <w:rsid w:val="00C81704"/>
    <w:rsid w:val="00C81B47"/>
    <w:rsid w:val="00C81BEB"/>
    <w:rsid w:val="00C81F32"/>
    <w:rsid w:val="00C82383"/>
    <w:rsid w:val="00C823CD"/>
    <w:rsid w:val="00C824BD"/>
    <w:rsid w:val="00C8276D"/>
    <w:rsid w:val="00C829B2"/>
    <w:rsid w:val="00C83394"/>
    <w:rsid w:val="00C83834"/>
    <w:rsid w:val="00C8399C"/>
    <w:rsid w:val="00C839C3"/>
    <w:rsid w:val="00C839E8"/>
    <w:rsid w:val="00C83F7A"/>
    <w:rsid w:val="00C848D1"/>
    <w:rsid w:val="00C84C49"/>
    <w:rsid w:val="00C85217"/>
    <w:rsid w:val="00C857F2"/>
    <w:rsid w:val="00C85B39"/>
    <w:rsid w:val="00C86838"/>
    <w:rsid w:val="00C869F3"/>
    <w:rsid w:val="00C86D8F"/>
    <w:rsid w:val="00C86F0C"/>
    <w:rsid w:val="00C871F3"/>
    <w:rsid w:val="00C87880"/>
    <w:rsid w:val="00C879C2"/>
    <w:rsid w:val="00C87BDA"/>
    <w:rsid w:val="00C90259"/>
    <w:rsid w:val="00C90744"/>
    <w:rsid w:val="00C90950"/>
    <w:rsid w:val="00C90C1A"/>
    <w:rsid w:val="00C90DE2"/>
    <w:rsid w:val="00C90F71"/>
    <w:rsid w:val="00C918DF"/>
    <w:rsid w:val="00C9272C"/>
    <w:rsid w:val="00C92BB9"/>
    <w:rsid w:val="00C92DA6"/>
    <w:rsid w:val="00C93409"/>
    <w:rsid w:val="00C937A3"/>
    <w:rsid w:val="00C93939"/>
    <w:rsid w:val="00C93C0C"/>
    <w:rsid w:val="00C94035"/>
    <w:rsid w:val="00C94094"/>
    <w:rsid w:val="00C94DA1"/>
    <w:rsid w:val="00C955A7"/>
    <w:rsid w:val="00C95703"/>
    <w:rsid w:val="00C95721"/>
    <w:rsid w:val="00C95CCB"/>
    <w:rsid w:val="00C96027"/>
    <w:rsid w:val="00C96079"/>
    <w:rsid w:val="00C9660C"/>
    <w:rsid w:val="00C9665F"/>
    <w:rsid w:val="00C9677A"/>
    <w:rsid w:val="00C96BC5"/>
    <w:rsid w:val="00C96C8D"/>
    <w:rsid w:val="00C96EBE"/>
    <w:rsid w:val="00C9764B"/>
    <w:rsid w:val="00C97BC9"/>
    <w:rsid w:val="00C97FC8"/>
    <w:rsid w:val="00CA0724"/>
    <w:rsid w:val="00CA0991"/>
    <w:rsid w:val="00CA0A71"/>
    <w:rsid w:val="00CA1112"/>
    <w:rsid w:val="00CA1385"/>
    <w:rsid w:val="00CA17A2"/>
    <w:rsid w:val="00CA1972"/>
    <w:rsid w:val="00CA1C47"/>
    <w:rsid w:val="00CA1C76"/>
    <w:rsid w:val="00CA2551"/>
    <w:rsid w:val="00CA2EDD"/>
    <w:rsid w:val="00CA3253"/>
    <w:rsid w:val="00CA35E0"/>
    <w:rsid w:val="00CA3612"/>
    <w:rsid w:val="00CA372D"/>
    <w:rsid w:val="00CA3A80"/>
    <w:rsid w:val="00CA3FCC"/>
    <w:rsid w:val="00CA4122"/>
    <w:rsid w:val="00CA4B56"/>
    <w:rsid w:val="00CA4C2D"/>
    <w:rsid w:val="00CA52DF"/>
    <w:rsid w:val="00CA572A"/>
    <w:rsid w:val="00CA574C"/>
    <w:rsid w:val="00CA621C"/>
    <w:rsid w:val="00CA630A"/>
    <w:rsid w:val="00CA63A8"/>
    <w:rsid w:val="00CA6536"/>
    <w:rsid w:val="00CA65F0"/>
    <w:rsid w:val="00CA65FC"/>
    <w:rsid w:val="00CA6891"/>
    <w:rsid w:val="00CA6917"/>
    <w:rsid w:val="00CA6B73"/>
    <w:rsid w:val="00CA6BAF"/>
    <w:rsid w:val="00CA6D1F"/>
    <w:rsid w:val="00CA6F1E"/>
    <w:rsid w:val="00CA74C7"/>
    <w:rsid w:val="00CA7F27"/>
    <w:rsid w:val="00CB0587"/>
    <w:rsid w:val="00CB0B66"/>
    <w:rsid w:val="00CB0DF1"/>
    <w:rsid w:val="00CB0FB7"/>
    <w:rsid w:val="00CB12CF"/>
    <w:rsid w:val="00CB1B79"/>
    <w:rsid w:val="00CB1C25"/>
    <w:rsid w:val="00CB2107"/>
    <w:rsid w:val="00CB2689"/>
    <w:rsid w:val="00CB2C5F"/>
    <w:rsid w:val="00CB3261"/>
    <w:rsid w:val="00CB4499"/>
    <w:rsid w:val="00CB48F5"/>
    <w:rsid w:val="00CB5772"/>
    <w:rsid w:val="00CB5C92"/>
    <w:rsid w:val="00CB5FBA"/>
    <w:rsid w:val="00CB6257"/>
    <w:rsid w:val="00CB6336"/>
    <w:rsid w:val="00CB66A7"/>
    <w:rsid w:val="00CB6762"/>
    <w:rsid w:val="00CB6D3B"/>
    <w:rsid w:val="00CB74DE"/>
    <w:rsid w:val="00CB7B1A"/>
    <w:rsid w:val="00CB7C08"/>
    <w:rsid w:val="00CC00F7"/>
    <w:rsid w:val="00CC0273"/>
    <w:rsid w:val="00CC0443"/>
    <w:rsid w:val="00CC044C"/>
    <w:rsid w:val="00CC09E7"/>
    <w:rsid w:val="00CC0CE1"/>
    <w:rsid w:val="00CC10F5"/>
    <w:rsid w:val="00CC14C4"/>
    <w:rsid w:val="00CC1A23"/>
    <w:rsid w:val="00CC1E54"/>
    <w:rsid w:val="00CC1F45"/>
    <w:rsid w:val="00CC2958"/>
    <w:rsid w:val="00CC2AE8"/>
    <w:rsid w:val="00CC3035"/>
    <w:rsid w:val="00CC34F2"/>
    <w:rsid w:val="00CC391C"/>
    <w:rsid w:val="00CC3C93"/>
    <w:rsid w:val="00CC448F"/>
    <w:rsid w:val="00CC4B7E"/>
    <w:rsid w:val="00CC4B85"/>
    <w:rsid w:val="00CC4EB1"/>
    <w:rsid w:val="00CC54C3"/>
    <w:rsid w:val="00CC5812"/>
    <w:rsid w:val="00CC6492"/>
    <w:rsid w:val="00CC66CD"/>
    <w:rsid w:val="00CC6A7A"/>
    <w:rsid w:val="00CC6BD1"/>
    <w:rsid w:val="00CC6D8C"/>
    <w:rsid w:val="00CC6DF5"/>
    <w:rsid w:val="00CC714E"/>
    <w:rsid w:val="00CC74A1"/>
    <w:rsid w:val="00CC7AE2"/>
    <w:rsid w:val="00CC7C13"/>
    <w:rsid w:val="00CD0016"/>
    <w:rsid w:val="00CD0C60"/>
    <w:rsid w:val="00CD0D16"/>
    <w:rsid w:val="00CD1256"/>
    <w:rsid w:val="00CD139D"/>
    <w:rsid w:val="00CD1C84"/>
    <w:rsid w:val="00CD1E58"/>
    <w:rsid w:val="00CD24A8"/>
    <w:rsid w:val="00CD2DAC"/>
    <w:rsid w:val="00CD2EDC"/>
    <w:rsid w:val="00CD31FE"/>
    <w:rsid w:val="00CD32A8"/>
    <w:rsid w:val="00CD32BA"/>
    <w:rsid w:val="00CD3419"/>
    <w:rsid w:val="00CD38B6"/>
    <w:rsid w:val="00CD3E25"/>
    <w:rsid w:val="00CD3E9F"/>
    <w:rsid w:val="00CD4575"/>
    <w:rsid w:val="00CD47E0"/>
    <w:rsid w:val="00CD49DC"/>
    <w:rsid w:val="00CD4A4B"/>
    <w:rsid w:val="00CD4F27"/>
    <w:rsid w:val="00CD5C47"/>
    <w:rsid w:val="00CD5D48"/>
    <w:rsid w:val="00CD5D7F"/>
    <w:rsid w:val="00CD5DF7"/>
    <w:rsid w:val="00CD6B44"/>
    <w:rsid w:val="00CD6D6C"/>
    <w:rsid w:val="00CD6F32"/>
    <w:rsid w:val="00CD715C"/>
    <w:rsid w:val="00CD7361"/>
    <w:rsid w:val="00CD7494"/>
    <w:rsid w:val="00CD7578"/>
    <w:rsid w:val="00CD79B1"/>
    <w:rsid w:val="00CD7CF4"/>
    <w:rsid w:val="00CD7D3D"/>
    <w:rsid w:val="00CE01F1"/>
    <w:rsid w:val="00CE025E"/>
    <w:rsid w:val="00CE038D"/>
    <w:rsid w:val="00CE03DE"/>
    <w:rsid w:val="00CE120C"/>
    <w:rsid w:val="00CE148C"/>
    <w:rsid w:val="00CE186F"/>
    <w:rsid w:val="00CE1C04"/>
    <w:rsid w:val="00CE1EE0"/>
    <w:rsid w:val="00CE1FF3"/>
    <w:rsid w:val="00CE200F"/>
    <w:rsid w:val="00CE23AA"/>
    <w:rsid w:val="00CE25C8"/>
    <w:rsid w:val="00CE27C1"/>
    <w:rsid w:val="00CE3041"/>
    <w:rsid w:val="00CE3155"/>
    <w:rsid w:val="00CE3475"/>
    <w:rsid w:val="00CE3D36"/>
    <w:rsid w:val="00CE4210"/>
    <w:rsid w:val="00CE46FB"/>
    <w:rsid w:val="00CE4799"/>
    <w:rsid w:val="00CE4AD1"/>
    <w:rsid w:val="00CE4BFD"/>
    <w:rsid w:val="00CE55DA"/>
    <w:rsid w:val="00CE5754"/>
    <w:rsid w:val="00CE5868"/>
    <w:rsid w:val="00CE592B"/>
    <w:rsid w:val="00CE599D"/>
    <w:rsid w:val="00CE5B23"/>
    <w:rsid w:val="00CE5D81"/>
    <w:rsid w:val="00CE6085"/>
    <w:rsid w:val="00CE6359"/>
    <w:rsid w:val="00CE6615"/>
    <w:rsid w:val="00CE680F"/>
    <w:rsid w:val="00CE69C0"/>
    <w:rsid w:val="00CE6A86"/>
    <w:rsid w:val="00CE6C65"/>
    <w:rsid w:val="00CE6D07"/>
    <w:rsid w:val="00CE70B2"/>
    <w:rsid w:val="00CE799C"/>
    <w:rsid w:val="00CF0113"/>
    <w:rsid w:val="00CF03BC"/>
    <w:rsid w:val="00CF070C"/>
    <w:rsid w:val="00CF0839"/>
    <w:rsid w:val="00CF0A4F"/>
    <w:rsid w:val="00CF0BAF"/>
    <w:rsid w:val="00CF0C61"/>
    <w:rsid w:val="00CF10CB"/>
    <w:rsid w:val="00CF1177"/>
    <w:rsid w:val="00CF1884"/>
    <w:rsid w:val="00CF1B89"/>
    <w:rsid w:val="00CF20C5"/>
    <w:rsid w:val="00CF2196"/>
    <w:rsid w:val="00CF241F"/>
    <w:rsid w:val="00CF253E"/>
    <w:rsid w:val="00CF29E8"/>
    <w:rsid w:val="00CF30D0"/>
    <w:rsid w:val="00CF3F65"/>
    <w:rsid w:val="00CF4910"/>
    <w:rsid w:val="00CF4F76"/>
    <w:rsid w:val="00CF5A26"/>
    <w:rsid w:val="00CF5A41"/>
    <w:rsid w:val="00CF5CE6"/>
    <w:rsid w:val="00CF6AA7"/>
    <w:rsid w:val="00CF6E64"/>
    <w:rsid w:val="00CF79AF"/>
    <w:rsid w:val="00CF7C84"/>
    <w:rsid w:val="00D00C38"/>
    <w:rsid w:val="00D00F16"/>
    <w:rsid w:val="00D0117B"/>
    <w:rsid w:val="00D01C1F"/>
    <w:rsid w:val="00D025A0"/>
    <w:rsid w:val="00D03179"/>
    <w:rsid w:val="00D03192"/>
    <w:rsid w:val="00D033C8"/>
    <w:rsid w:val="00D034C6"/>
    <w:rsid w:val="00D04273"/>
    <w:rsid w:val="00D0441F"/>
    <w:rsid w:val="00D048D2"/>
    <w:rsid w:val="00D04F78"/>
    <w:rsid w:val="00D0521E"/>
    <w:rsid w:val="00D05374"/>
    <w:rsid w:val="00D0543A"/>
    <w:rsid w:val="00D05704"/>
    <w:rsid w:val="00D0591B"/>
    <w:rsid w:val="00D05938"/>
    <w:rsid w:val="00D05F68"/>
    <w:rsid w:val="00D05FF0"/>
    <w:rsid w:val="00D06027"/>
    <w:rsid w:val="00D0683F"/>
    <w:rsid w:val="00D069E3"/>
    <w:rsid w:val="00D06B5B"/>
    <w:rsid w:val="00D06C90"/>
    <w:rsid w:val="00D06E60"/>
    <w:rsid w:val="00D07131"/>
    <w:rsid w:val="00D0757A"/>
    <w:rsid w:val="00D0766A"/>
    <w:rsid w:val="00D116FC"/>
    <w:rsid w:val="00D11955"/>
    <w:rsid w:val="00D119A7"/>
    <w:rsid w:val="00D11D66"/>
    <w:rsid w:val="00D11EF2"/>
    <w:rsid w:val="00D1234E"/>
    <w:rsid w:val="00D12493"/>
    <w:rsid w:val="00D1275F"/>
    <w:rsid w:val="00D12CA1"/>
    <w:rsid w:val="00D12E33"/>
    <w:rsid w:val="00D12E44"/>
    <w:rsid w:val="00D1357E"/>
    <w:rsid w:val="00D135F8"/>
    <w:rsid w:val="00D14BE7"/>
    <w:rsid w:val="00D14EF9"/>
    <w:rsid w:val="00D15037"/>
    <w:rsid w:val="00D150F8"/>
    <w:rsid w:val="00D15AE9"/>
    <w:rsid w:val="00D1612F"/>
    <w:rsid w:val="00D163EA"/>
    <w:rsid w:val="00D16A3A"/>
    <w:rsid w:val="00D170ED"/>
    <w:rsid w:val="00D176A5"/>
    <w:rsid w:val="00D17D34"/>
    <w:rsid w:val="00D17E9F"/>
    <w:rsid w:val="00D17FA0"/>
    <w:rsid w:val="00D20C29"/>
    <w:rsid w:val="00D21282"/>
    <w:rsid w:val="00D215C4"/>
    <w:rsid w:val="00D21CB1"/>
    <w:rsid w:val="00D21CD0"/>
    <w:rsid w:val="00D222D0"/>
    <w:rsid w:val="00D22839"/>
    <w:rsid w:val="00D228B7"/>
    <w:rsid w:val="00D2292C"/>
    <w:rsid w:val="00D229F9"/>
    <w:rsid w:val="00D22B00"/>
    <w:rsid w:val="00D22B6B"/>
    <w:rsid w:val="00D2377A"/>
    <w:rsid w:val="00D23D51"/>
    <w:rsid w:val="00D24299"/>
    <w:rsid w:val="00D24430"/>
    <w:rsid w:val="00D24A7F"/>
    <w:rsid w:val="00D256A8"/>
    <w:rsid w:val="00D25A9B"/>
    <w:rsid w:val="00D25C49"/>
    <w:rsid w:val="00D25C88"/>
    <w:rsid w:val="00D270CA"/>
    <w:rsid w:val="00D271F6"/>
    <w:rsid w:val="00D27866"/>
    <w:rsid w:val="00D308EA"/>
    <w:rsid w:val="00D30DF9"/>
    <w:rsid w:val="00D30E85"/>
    <w:rsid w:val="00D31058"/>
    <w:rsid w:val="00D313C1"/>
    <w:rsid w:val="00D31967"/>
    <w:rsid w:val="00D31FFF"/>
    <w:rsid w:val="00D325CD"/>
    <w:rsid w:val="00D32A43"/>
    <w:rsid w:val="00D32B20"/>
    <w:rsid w:val="00D33556"/>
    <w:rsid w:val="00D336A1"/>
    <w:rsid w:val="00D336BC"/>
    <w:rsid w:val="00D33798"/>
    <w:rsid w:val="00D33877"/>
    <w:rsid w:val="00D33BAD"/>
    <w:rsid w:val="00D33D88"/>
    <w:rsid w:val="00D3407F"/>
    <w:rsid w:val="00D34ED8"/>
    <w:rsid w:val="00D34F48"/>
    <w:rsid w:val="00D3501F"/>
    <w:rsid w:val="00D351D3"/>
    <w:rsid w:val="00D352F5"/>
    <w:rsid w:val="00D35646"/>
    <w:rsid w:val="00D36224"/>
    <w:rsid w:val="00D36250"/>
    <w:rsid w:val="00D36544"/>
    <w:rsid w:val="00D36D11"/>
    <w:rsid w:val="00D3755F"/>
    <w:rsid w:val="00D37B80"/>
    <w:rsid w:val="00D37E6F"/>
    <w:rsid w:val="00D40B57"/>
    <w:rsid w:val="00D416AA"/>
    <w:rsid w:val="00D41BEB"/>
    <w:rsid w:val="00D41CB0"/>
    <w:rsid w:val="00D41CF0"/>
    <w:rsid w:val="00D41E2F"/>
    <w:rsid w:val="00D41FF6"/>
    <w:rsid w:val="00D43148"/>
    <w:rsid w:val="00D43324"/>
    <w:rsid w:val="00D43395"/>
    <w:rsid w:val="00D43BD8"/>
    <w:rsid w:val="00D44065"/>
    <w:rsid w:val="00D441BD"/>
    <w:rsid w:val="00D44406"/>
    <w:rsid w:val="00D4491E"/>
    <w:rsid w:val="00D44CFC"/>
    <w:rsid w:val="00D454DC"/>
    <w:rsid w:val="00D4591D"/>
    <w:rsid w:val="00D45FDF"/>
    <w:rsid w:val="00D464D5"/>
    <w:rsid w:val="00D47758"/>
    <w:rsid w:val="00D5020F"/>
    <w:rsid w:val="00D50742"/>
    <w:rsid w:val="00D50EE4"/>
    <w:rsid w:val="00D510EE"/>
    <w:rsid w:val="00D5149E"/>
    <w:rsid w:val="00D5192F"/>
    <w:rsid w:val="00D52381"/>
    <w:rsid w:val="00D52D26"/>
    <w:rsid w:val="00D537C5"/>
    <w:rsid w:val="00D53A4A"/>
    <w:rsid w:val="00D53A5D"/>
    <w:rsid w:val="00D540B2"/>
    <w:rsid w:val="00D54313"/>
    <w:rsid w:val="00D54614"/>
    <w:rsid w:val="00D55241"/>
    <w:rsid w:val="00D55295"/>
    <w:rsid w:val="00D554B8"/>
    <w:rsid w:val="00D55558"/>
    <w:rsid w:val="00D55591"/>
    <w:rsid w:val="00D556A2"/>
    <w:rsid w:val="00D557C1"/>
    <w:rsid w:val="00D55AA6"/>
    <w:rsid w:val="00D55CF6"/>
    <w:rsid w:val="00D55E19"/>
    <w:rsid w:val="00D55FDF"/>
    <w:rsid w:val="00D56141"/>
    <w:rsid w:val="00D5616B"/>
    <w:rsid w:val="00D565E8"/>
    <w:rsid w:val="00D5673B"/>
    <w:rsid w:val="00D56769"/>
    <w:rsid w:val="00D5679E"/>
    <w:rsid w:val="00D5686F"/>
    <w:rsid w:val="00D568C2"/>
    <w:rsid w:val="00D56AE3"/>
    <w:rsid w:val="00D56C11"/>
    <w:rsid w:val="00D56F3D"/>
    <w:rsid w:val="00D578E6"/>
    <w:rsid w:val="00D57B17"/>
    <w:rsid w:val="00D57E6D"/>
    <w:rsid w:val="00D57F57"/>
    <w:rsid w:val="00D608DE"/>
    <w:rsid w:val="00D60E76"/>
    <w:rsid w:val="00D6160C"/>
    <w:rsid w:val="00D61F94"/>
    <w:rsid w:val="00D624A0"/>
    <w:rsid w:val="00D626D1"/>
    <w:rsid w:val="00D62B2F"/>
    <w:rsid w:val="00D63483"/>
    <w:rsid w:val="00D63504"/>
    <w:rsid w:val="00D6377B"/>
    <w:rsid w:val="00D63789"/>
    <w:rsid w:val="00D63CB0"/>
    <w:rsid w:val="00D63CF3"/>
    <w:rsid w:val="00D63FC0"/>
    <w:rsid w:val="00D63FDD"/>
    <w:rsid w:val="00D63FF2"/>
    <w:rsid w:val="00D6427A"/>
    <w:rsid w:val="00D645B9"/>
    <w:rsid w:val="00D64789"/>
    <w:rsid w:val="00D647A4"/>
    <w:rsid w:val="00D64B67"/>
    <w:rsid w:val="00D64E77"/>
    <w:rsid w:val="00D65037"/>
    <w:rsid w:val="00D6528D"/>
    <w:rsid w:val="00D653B3"/>
    <w:rsid w:val="00D65423"/>
    <w:rsid w:val="00D65B07"/>
    <w:rsid w:val="00D660CA"/>
    <w:rsid w:val="00D66299"/>
    <w:rsid w:val="00D66349"/>
    <w:rsid w:val="00D66661"/>
    <w:rsid w:val="00D66AB1"/>
    <w:rsid w:val="00D66F4D"/>
    <w:rsid w:val="00D673A0"/>
    <w:rsid w:val="00D67BFE"/>
    <w:rsid w:val="00D7057A"/>
    <w:rsid w:val="00D71009"/>
    <w:rsid w:val="00D71506"/>
    <w:rsid w:val="00D72698"/>
    <w:rsid w:val="00D72D69"/>
    <w:rsid w:val="00D72E87"/>
    <w:rsid w:val="00D730D9"/>
    <w:rsid w:val="00D7313F"/>
    <w:rsid w:val="00D73690"/>
    <w:rsid w:val="00D74340"/>
    <w:rsid w:val="00D74447"/>
    <w:rsid w:val="00D751AB"/>
    <w:rsid w:val="00D7521D"/>
    <w:rsid w:val="00D753A1"/>
    <w:rsid w:val="00D7563C"/>
    <w:rsid w:val="00D75B68"/>
    <w:rsid w:val="00D75DD0"/>
    <w:rsid w:val="00D7608B"/>
    <w:rsid w:val="00D76810"/>
    <w:rsid w:val="00D76EF3"/>
    <w:rsid w:val="00D771B7"/>
    <w:rsid w:val="00D776B4"/>
    <w:rsid w:val="00D777F3"/>
    <w:rsid w:val="00D778C3"/>
    <w:rsid w:val="00D80A47"/>
    <w:rsid w:val="00D81263"/>
    <w:rsid w:val="00D81824"/>
    <w:rsid w:val="00D8191C"/>
    <w:rsid w:val="00D8210C"/>
    <w:rsid w:val="00D82116"/>
    <w:rsid w:val="00D830A1"/>
    <w:rsid w:val="00D83254"/>
    <w:rsid w:val="00D8358A"/>
    <w:rsid w:val="00D83927"/>
    <w:rsid w:val="00D83A7E"/>
    <w:rsid w:val="00D83CFB"/>
    <w:rsid w:val="00D83DB4"/>
    <w:rsid w:val="00D84548"/>
    <w:rsid w:val="00D84562"/>
    <w:rsid w:val="00D84950"/>
    <w:rsid w:val="00D84A38"/>
    <w:rsid w:val="00D84F34"/>
    <w:rsid w:val="00D85044"/>
    <w:rsid w:val="00D85BD9"/>
    <w:rsid w:val="00D85E0E"/>
    <w:rsid w:val="00D85E86"/>
    <w:rsid w:val="00D8623D"/>
    <w:rsid w:val="00D867A5"/>
    <w:rsid w:val="00D86A8C"/>
    <w:rsid w:val="00D87B1B"/>
    <w:rsid w:val="00D90B00"/>
    <w:rsid w:val="00D90EF4"/>
    <w:rsid w:val="00D912A1"/>
    <w:rsid w:val="00D91E58"/>
    <w:rsid w:val="00D92256"/>
    <w:rsid w:val="00D922F1"/>
    <w:rsid w:val="00D923E5"/>
    <w:rsid w:val="00D92470"/>
    <w:rsid w:val="00D92798"/>
    <w:rsid w:val="00D9300E"/>
    <w:rsid w:val="00D93145"/>
    <w:rsid w:val="00D93557"/>
    <w:rsid w:val="00D9379C"/>
    <w:rsid w:val="00D93942"/>
    <w:rsid w:val="00D93955"/>
    <w:rsid w:val="00D942D5"/>
    <w:rsid w:val="00D94B99"/>
    <w:rsid w:val="00D94DB6"/>
    <w:rsid w:val="00D964B5"/>
    <w:rsid w:val="00D96797"/>
    <w:rsid w:val="00D977C0"/>
    <w:rsid w:val="00DA03BE"/>
    <w:rsid w:val="00DA06D3"/>
    <w:rsid w:val="00DA1938"/>
    <w:rsid w:val="00DA2969"/>
    <w:rsid w:val="00DA3329"/>
    <w:rsid w:val="00DA34CD"/>
    <w:rsid w:val="00DA3675"/>
    <w:rsid w:val="00DA3CBB"/>
    <w:rsid w:val="00DA4B4A"/>
    <w:rsid w:val="00DA4E4B"/>
    <w:rsid w:val="00DA4EE2"/>
    <w:rsid w:val="00DA52B4"/>
    <w:rsid w:val="00DA5387"/>
    <w:rsid w:val="00DA5566"/>
    <w:rsid w:val="00DA5597"/>
    <w:rsid w:val="00DA6255"/>
    <w:rsid w:val="00DA65AE"/>
    <w:rsid w:val="00DA69B4"/>
    <w:rsid w:val="00DA6D78"/>
    <w:rsid w:val="00DA7199"/>
    <w:rsid w:val="00DA7396"/>
    <w:rsid w:val="00DA786F"/>
    <w:rsid w:val="00DA7894"/>
    <w:rsid w:val="00DA795E"/>
    <w:rsid w:val="00DA7E37"/>
    <w:rsid w:val="00DB036C"/>
    <w:rsid w:val="00DB03EE"/>
    <w:rsid w:val="00DB07BF"/>
    <w:rsid w:val="00DB07C7"/>
    <w:rsid w:val="00DB088D"/>
    <w:rsid w:val="00DB0F91"/>
    <w:rsid w:val="00DB1166"/>
    <w:rsid w:val="00DB1520"/>
    <w:rsid w:val="00DB1610"/>
    <w:rsid w:val="00DB176E"/>
    <w:rsid w:val="00DB18AA"/>
    <w:rsid w:val="00DB1ADB"/>
    <w:rsid w:val="00DB1B39"/>
    <w:rsid w:val="00DB1BA1"/>
    <w:rsid w:val="00DB1C75"/>
    <w:rsid w:val="00DB208F"/>
    <w:rsid w:val="00DB2314"/>
    <w:rsid w:val="00DB2B6E"/>
    <w:rsid w:val="00DB2D83"/>
    <w:rsid w:val="00DB32C2"/>
    <w:rsid w:val="00DB339B"/>
    <w:rsid w:val="00DB3472"/>
    <w:rsid w:val="00DB3778"/>
    <w:rsid w:val="00DB391E"/>
    <w:rsid w:val="00DB393B"/>
    <w:rsid w:val="00DB395D"/>
    <w:rsid w:val="00DB3994"/>
    <w:rsid w:val="00DB3CCE"/>
    <w:rsid w:val="00DB40B6"/>
    <w:rsid w:val="00DB465C"/>
    <w:rsid w:val="00DB4713"/>
    <w:rsid w:val="00DB4D2F"/>
    <w:rsid w:val="00DB56B4"/>
    <w:rsid w:val="00DB5CBD"/>
    <w:rsid w:val="00DB61A8"/>
    <w:rsid w:val="00DB621D"/>
    <w:rsid w:val="00DB637E"/>
    <w:rsid w:val="00DB64DE"/>
    <w:rsid w:val="00DB6602"/>
    <w:rsid w:val="00DB6B8E"/>
    <w:rsid w:val="00DB6D33"/>
    <w:rsid w:val="00DB6E40"/>
    <w:rsid w:val="00DB75A7"/>
    <w:rsid w:val="00DB7FA8"/>
    <w:rsid w:val="00DB7FC2"/>
    <w:rsid w:val="00DC0146"/>
    <w:rsid w:val="00DC07A5"/>
    <w:rsid w:val="00DC0B14"/>
    <w:rsid w:val="00DC134F"/>
    <w:rsid w:val="00DC14DE"/>
    <w:rsid w:val="00DC1579"/>
    <w:rsid w:val="00DC1589"/>
    <w:rsid w:val="00DC17C6"/>
    <w:rsid w:val="00DC19CA"/>
    <w:rsid w:val="00DC1D24"/>
    <w:rsid w:val="00DC27BE"/>
    <w:rsid w:val="00DC2DC4"/>
    <w:rsid w:val="00DC2FD3"/>
    <w:rsid w:val="00DC3A16"/>
    <w:rsid w:val="00DC3A95"/>
    <w:rsid w:val="00DC3DA0"/>
    <w:rsid w:val="00DC3F02"/>
    <w:rsid w:val="00DC45C6"/>
    <w:rsid w:val="00DC4CE4"/>
    <w:rsid w:val="00DC4F0E"/>
    <w:rsid w:val="00DC5992"/>
    <w:rsid w:val="00DC59EB"/>
    <w:rsid w:val="00DC5F21"/>
    <w:rsid w:val="00DC6174"/>
    <w:rsid w:val="00DC61A1"/>
    <w:rsid w:val="00DC62B4"/>
    <w:rsid w:val="00DC65B1"/>
    <w:rsid w:val="00DC6C11"/>
    <w:rsid w:val="00DC6C80"/>
    <w:rsid w:val="00DC7A2A"/>
    <w:rsid w:val="00DD009F"/>
    <w:rsid w:val="00DD035B"/>
    <w:rsid w:val="00DD0DC5"/>
    <w:rsid w:val="00DD0EEF"/>
    <w:rsid w:val="00DD1609"/>
    <w:rsid w:val="00DD1960"/>
    <w:rsid w:val="00DD1C0F"/>
    <w:rsid w:val="00DD24D5"/>
    <w:rsid w:val="00DD264A"/>
    <w:rsid w:val="00DD29A0"/>
    <w:rsid w:val="00DD29A4"/>
    <w:rsid w:val="00DD2D42"/>
    <w:rsid w:val="00DD3E1A"/>
    <w:rsid w:val="00DD461A"/>
    <w:rsid w:val="00DD479B"/>
    <w:rsid w:val="00DD481D"/>
    <w:rsid w:val="00DD4AD2"/>
    <w:rsid w:val="00DD4BFF"/>
    <w:rsid w:val="00DD50DC"/>
    <w:rsid w:val="00DD5754"/>
    <w:rsid w:val="00DD5841"/>
    <w:rsid w:val="00DD58FD"/>
    <w:rsid w:val="00DD5A9A"/>
    <w:rsid w:val="00DD5BB0"/>
    <w:rsid w:val="00DD5FC9"/>
    <w:rsid w:val="00DD6697"/>
    <w:rsid w:val="00DD689B"/>
    <w:rsid w:val="00DD6CC2"/>
    <w:rsid w:val="00DD6DD9"/>
    <w:rsid w:val="00DD7416"/>
    <w:rsid w:val="00DD7963"/>
    <w:rsid w:val="00DE0108"/>
    <w:rsid w:val="00DE0190"/>
    <w:rsid w:val="00DE01F9"/>
    <w:rsid w:val="00DE0582"/>
    <w:rsid w:val="00DE06B7"/>
    <w:rsid w:val="00DE06E1"/>
    <w:rsid w:val="00DE06E8"/>
    <w:rsid w:val="00DE0726"/>
    <w:rsid w:val="00DE0738"/>
    <w:rsid w:val="00DE0B34"/>
    <w:rsid w:val="00DE123F"/>
    <w:rsid w:val="00DE167F"/>
    <w:rsid w:val="00DE1CAC"/>
    <w:rsid w:val="00DE1F57"/>
    <w:rsid w:val="00DE29A9"/>
    <w:rsid w:val="00DE3207"/>
    <w:rsid w:val="00DE3541"/>
    <w:rsid w:val="00DE3C6F"/>
    <w:rsid w:val="00DE45E0"/>
    <w:rsid w:val="00DE4776"/>
    <w:rsid w:val="00DE4D8B"/>
    <w:rsid w:val="00DE4D90"/>
    <w:rsid w:val="00DE5D05"/>
    <w:rsid w:val="00DE5E58"/>
    <w:rsid w:val="00DE6796"/>
    <w:rsid w:val="00DE6CE8"/>
    <w:rsid w:val="00DE6DAB"/>
    <w:rsid w:val="00DE75B3"/>
    <w:rsid w:val="00DE7AB0"/>
    <w:rsid w:val="00DE7AB3"/>
    <w:rsid w:val="00DF0036"/>
    <w:rsid w:val="00DF004B"/>
    <w:rsid w:val="00DF032D"/>
    <w:rsid w:val="00DF0724"/>
    <w:rsid w:val="00DF08AD"/>
    <w:rsid w:val="00DF1055"/>
    <w:rsid w:val="00DF1199"/>
    <w:rsid w:val="00DF1525"/>
    <w:rsid w:val="00DF17D9"/>
    <w:rsid w:val="00DF18EA"/>
    <w:rsid w:val="00DF1984"/>
    <w:rsid w:val="00DF1C37"/>
    <w:rsid w:val="00DF1F17"/>
    <w:rsid w:val="00DF24C7"/>
    <w:rsid w:val="00DF25E2"/>
    <w:rsid w:val="00DF29F6"/>
    <w:rsid w:val="00DF2A4F"/>
    <w:rsid w:val="00DF2BFF"/>
    <w:rsid w:val="00DF359E"/>
    <w:rsid w:val="00DF3CFF"/>
    <w:rsid w:val="00DF3E48"/>
    <w:rsid w:val="00DF3FE4"/>
    <w:rsid w:val="00DF4141"/>
    <w:rsid w:val="00DF450E"/>
    <w:rsid w:val="00DF4690"/>
    <w:rsid w:val="00DF4AA9"/>
    <w:rsid w:val="00DF4B5C"/>
    <w:rsid w:val="00DF4DDF"/>
    <w:rsid w:val="00DF5041"/>
    <w:rsid w:val="00DF589D"/>
    <w:rsid w:val="00DF5A14"/>
    <w:rsid w:val="00DF5D1B"/>
    <w:rsid w:val="00DF6020"/>
    <w:rsid w:val="00DF6048"/>
    <w:rsid w:val="00DF6AC2"/>
    <w:rsid w:val="00DF6D3C"/>
    <w:rsid w:val="00DF79B6"/>
    <w:rsid w:val="00DF7AAA"/>
    <w:rsid w:val="00DF7AE2"/>
    <w:rsid w:val="00DF7EA7"/>
    <w:rsid w:val="00DF7F07"/>
    <w:rsid w:val="00E00093"/>
    <w:rsid w:val="00E007AE"/>
    <w:rsid w:val="00E00BE3"/>
    <w:rsid w:val="00E00FCB"/>
    <w:rsid w:val="00E01154"/>
    <w:rsid w:val="00E01175"/>
    <w:rsid w:val="00E019B6"/>
    <w:rsid w:val="00E01A5E"/>
    <w:rsid w:val="00E0233F"/>
    <w:rsid w:val="00E02E7F"/>
    <w:rsid w:val="00E02ED6"/>
    <w:rsid w:val="00E04197"/>
    <w:rsid w:val="00E044E1"/>
    <w:rsid w:val="00E04731"/>
    <w:rsid w:val="00E04E81"/>
    <w:rsid w:val="00E04F38"/>
    <w:rsid w:val="00E05189"/>
    <w:rsid w:val="00E0534F"/>
    <w:rsid w:val="00E05801"/>
    <w:rsid w:val="00E05C7D"/>
    <w:rsid w:val="00E05E7A"/>
    <w:rsid w:val="00E05EDB"/>
    <w:rsid w:val="00E06113"/>
    <w:rsid w:val="00E06449"/>
    <w:rsid w:val="00E064FC"/>
    <w:rsid w:val="00E07B27"/>
    <w:rsid w:val="00E07E27"/>
    <w:rsid w:val="00E07E3F"/>
    <w:rsid w:val="00E07F81"/>
    <w:rsid w:val="00E1027E"/>
    <w:rsid w:val="00E10389"/>
    <w:rsid w:val="00E1053D"/>
    <w:rsid w:val="00E10B85"/>
    <w:rsid w:val="00E11593"/>
    <w:rsid w:val="00E11D8C"/>
    <w:rsid w:val="00E12301"/>
    <w:rsid w:val="00E12922"/>
    <w:rsid w:val="00E12A8F"/>
    <w:rsid w:val="00E12CE5"/>
    <w:rsid w:val="00E12DF4"/>
    <w:rsid w:val="00E12E16"/>
    <w:rsid w:val="00E139B4"/>
    <w:rsid w:val="00E13CEA"/>
    <w:rsid w:val="00E140A6"/>
    <w:rsid w:val="00E14272"/>
    <w:rsid w:val="00E148B8"/>
    <w:rsid w:val="00E1561C"/>
    <w:rsid w:val="00E156A2"/>
    <w:rsid w:val="00E1587E"/>
    <w:rsid w:val="00E158C0"/>
    <w:rsid w:val="00E16124"/>
    <w:rsid w:val="00E1648B"/>
    <w:rsid w:val="00E16820"/>
    <w:rsid w:val="00E16ABC"/>
    <w:rsid w:val="00E16D4E"/>
    <w:rsid w:val="00E16E28"/>
    <w:rsid w:val="00E16FE2"/>
    <w:rsid w:val="00E16FFB"/>
    <w:rsid w:val="00E17F45"/>
    <w:rsid w:val="00E20018"/>
    <w:rsid w:val="00E209D0"/>
    <w:rsid w:val="00E21533"/>
    <w:rsid w:val="00E217F7"/>
    <w:rsid w:val="00E2190D"/>
    <w:rsid w:val="00E219BE"/>
    <w:rsid w:val="00E21E25"/>
    <w:rsid w:val="00E22465"/>
    <w:rsid w:val="00E2284B"/>
    <w:rsid w:val="00E22A1E"/>
    <w:rsid w:val="00E22A80"/>
    <w:rsid w:val="00E22AF2"/>
    <w:rsid w:val="00E22B89"/>
    <w:rsid w:val="00E2302C"/>
    <w:rsid w:val="00E23046"/>
    <w:rsid w:val="00E23B21"/>
    <w:rsid w:val="00E23C28"/>
    <w:rsid w:val="00E23D74"/>
    <w:rsid w:val="00E23DB2"/>
    <w:rsid w:val="00E240F1"/>
    <w:rsid w:val="00E245C5"/>
    <w:rsid w:val="00E2497F"/>
    <w:rsid w:val="00E25274"/>
    <w:rsid w:val="00E25C5B"/>
    <w:rsid w:val="00E26111"/>
    <w:rsid w:val="00E2649B"/>
    <w:rsid w:val="00E266C1"/>
    <w:rsid w:val="00E26C9B"/>
    <w:rsid w:val="00E26D1F"/>
    <w:rsid w:val="00E26E0C"/>
    <w:rsid w:val="00E275E9"/>
    <w:rsid w:val="00E27C2C"/>
    <w:rsid w:val="00E27D7D"/>
    <w:rsid w:val="00E30175"/>
    <w:rsid w:val="00E302B8"/>
    <w:rsid w:val="00E30329"/>
    <w:rsid w:val="00E305DA"/>
    <w:rsid w:val="00E30D86"/>
    <w:rsid w:val="00E31700"/>
    <w:rsid w:val="00E31958"/>
    <w:rsid w:val="00E31B81"/>
    <w:rsid w:val="00E31C44"/>
    <w:rsid w:val="00E321BC"/>
    <w:rsid w:val="00E32951"/>
    <w:rsid w:val="00E332EE"/>
    <w:rsid w:val="00E3337C"/>
    <w:rsid w:val="00E335BB"/>
    <w:rsid w:val="00E33B10"/>
    <w:rsid w:val="00E33EAB"/>
    <w:rsid w:val="00E34016"/>
    <w:rsid w:val="00E34401"/>
    <w:rsid w:val="00E34B72"/>
    <w:rsid w:val="00E34C50"/>
    <w:rsid w:val="00E34CCD"/>
    <w:rsid w:val="00E3553E"/>
    <w:rsid w:val="00E35657"/>
    <w:rsid w:val="00E356AA"/>
    <w:rsid w:val="00E35C31"/>
    <w:rsid w:val="00E35C5A"/>
    <w:rsid w:val="00E369A0"/>
    <w:rsid w:val="00E36FFE"/>
    <w:rsid w:val="00E37009"/>
    <w:rsid w:val="00E37346"/>
    <w:rsid w:val="00E375A3"/>
    <w:rsid w:val="00E375EE"/>
    <w:rsid w:val="00E379B1"/>
    <w:rsid w:val="00E37A09"/>
    <w:rsid w:val="00E40E74"/>
    <w:rsid w:val="00E412C8"/>
    <w:rsid w:val="00E4139F"/>
    <w:rsid w:val="00E41FF0"/>
    <w:rsid w:val="00E422E2"/>
    <w:rsid w:val="00E42464"/>
    <w:rsid w:val="00E4269C"/>
    <w:rsid w:val="00E42B0D"/>
    <w:rsid w:val="00E43508"/>
    <w:rsid w:val="00E43E70"/>
    <w:rsid w:val="00E43EB6"/>
    <w:rsid w:val="00E44177"/>
    <w:rsid w:val="00E442D3"/>
    <w:rsid w:val="00E443B7"/>
    <w:rsid w:val="00E446CC"/>
    <w:rsid w:val="00E45290"/>
    <w:rsid w:val="00E456C7"/>
    <w:rsid w:val="00E46068"/>
    <w:rsid w:val="00E46269"/>
    <w:rsid w:val="00E4634E"/>
    <w:rsid w:val="00E466FC"/>
    <w:rsid w:val="00E46795"/>
    <w:rsid w:val="00E46861"/>
    <w:rsid w:val="00E46899"/>
    <w:rsid w:val="00E46BEB"/>
    <w:rsid w:val="00E46C3A"/>
    <w:rsid w:val="00E46CA2"/>
    <w:rsid w:val="00E46D06"/>
    <w:rsid w:val="00E470A6"/>
    <w:rsid w:val="00E475F3"/>
    <w:rsid w:val="00E47A40"/>
    <w:rsid w:val="00E501E9"/>
    <w:rsid w:val="00E50219"/>
    <w:rsid w:val="00E503F6"/>
    <w:rsid w:val="00E50601"/>
    <w:rsid w:val="00E50A7D"/>
    <w:rsid w:val="00E50CDF"/>
    <w:rsid w:val="00E51037"/>
    <w:rsid w:val="00E51D78"/>
    <w:rsid w:val="00E52A05"/>
    <w:rsid w:val="00E52A38"/>
    <w:rsid w:val="00E52C62"/>
    <w:rsid w:val="00E52E67"/>
    <w:rsid w:val="00E530F6"/>
    <w:rsid w:val="00E53376"/>
    <w:rsid w:val="00E53916"/>
    <w:rsid w:val="00E53AB5"/>
    <w:rsid w:val="00E53E72"/>
    <w:rsid w:val="00E541AD"/>
    <w:rsid w:val="00E54657"/>
    <w:rsid w:val="00E547D3"/>
    <w:rsid w:val="00E547F8"/>
    <w:rsid w:val="00E54B68"/>
    <w:rsid w:val="00E54C9D"/>
    <w:rsid w:val="00E54E04"/>
    <w:rsid w:val="00E54F24"/>
    <w:rsid w:val="00E55533"/>
    <w:rsid w:val="00E557B2"/>
    <w:rsid w:val="00E565BE"/>
    <w:rsid w:val="00E56773"/>
    <w:rsid w:val="00E56C7E"/>
    <w:rsid w:val="00E56D11"/>
    <w:rsid w:val="00E5737B"/>
    <w:rsid w:val="00E574E0"/>
    <w:rsid w:val="00E576F2"/>
    <w:rsid w:val="00E57735"/>
    <w:rsid w:val="00E57997"/>
    <w:rsid w:val="00E603CF"/>
    <w:rsid w:val="00E6069F"/>
    <w:rsid w:val="00E6076E"/>
    <w:rsid w:val="00E60B6A"/>
    <w:rsid w:val="00E60D4F"/>
    <w:rsid w:val="00E614A7"/>
    <w:rsid w:val="00E617FE"/>
    <w:rsid w:val="00E61A14"/>
    <w:rsid w:val="00E61A27"/>
    <w:rsid w:val="00E62B3A"/>
    <w:rsid w:val="00E62BE3"/>
    <w:rsid w:val="00E62EF9"/>
    <w:rsid w:val="00E62F9E"/>
    <w:rsid w:val="00E6313D"/>
    <w:rsid w:val="00E633B5"/>
    <w:rsid w:val="00E63A60"/>
    <w:rsid w:val="00E63F3C"/>
    <w:rsid w:val="00E63FE7"/>
    <w:rsid w:val="00E64049"/>
    <w:rsid w:val="00E642C9"/>
    <w:rsid w:val="00E6430F"/>
    <w:rsid w:val="00E64397"/>
    <w:rsid w:val="00E64451"/>
    <w:rsid w:val="00E647A3"/>
    <w:rsid w:val="00E64C7F"/>
    <w:rsid w:val="00E64CEB"/>
    <w:rsid w:val="00E64DB9"/>
    <w:rsid w:val="00E64F0B"/>
    <w:rsid w:val="00E65353"/>
    <w:rsid w:val="00E6550D"/>
    <w:rsid w:val="00E65900"/>
    <w:rsid w:val="00E65A4B"/>
    <w:rsid w:val="00E65FCE"/>
    <w:rsid w:val="00E6622B"/>
    <w:rsid w:val="00E6622F"/>
    <w:rsid w:val="00E67264"/>
    <w:rsid w:val="00E67342"/>
    <w:rsid w:val="00E6745A"/>
    <w:rsid w:val="00E674DA"/>
    <w:rsid w:val="00E67B76"/>
    <w:rsid w:val="00E67D9C"/>
    <w:rsid w:val="00E67DB8"/>
    <w:rsid w:val="00E701B2"/>
    <w:rsid w:val="00E70DEF"/>
    <w:rsid w:val="00E712DB"/>
    <w:rsid w:val="00E7155F"/>
    <w:rsid w:val="00E71770"/>
    <w:rsid w:val="00E71B85"/>
    <w:rsid w:val="00E71F08"/>
    <w:rsid w:val="00E7249F"/>
    <w:rsid w:val="00E724EB"/>
    <w:rsid w:val="00E72523"/>
    <w:rsid w:val="00E72982"/>
    <w:rsid w:val="00E732EF"/>
    <w:rsid w:val="00E7361E"/>
    <w:rsid w:val="00E73C65"/>
    <w:rsid w:val="00E73DCB"/>
    <w:rsid w:val="00E741A1"/>
    <w:rsid w:val="00E74242"/>
    <w:rsid w:val="00E74385"/>
    <w:rsid w:val="00E743EC"/>
    <w:rsid w:val="00E747DB"/>
    <w:rsid w:val="00E74D5E"/>
    <w:rsid w:val="00E74F80"/>
    <w:rsid w:val="00E751D0"/>
    <w:rsid w:val="00E75321"/>
    <w:rsid w:val="00E7593A"/>
    <w:rsid w:val="00E75C0D"/>
    <w:rsid w:val="00E777D8"/>
    <w:rsid w:val="00E77976"/>
    <w:rsid w:val="00E77ADD"/>
    <w:rsid w:val="00E77E65"/>
    <w:rsid w:val="00E80442"/>
    <w:rsid w:val="00E80B95"/>
    <w:rsid w:val="00E80D3D"/>
    <w:rsid w:val="00E80D5C"/>
    <w:rsid w:val="00E8165E"/>
    <w:rsid w:val="00E818A1"/>
    <w:rsid w:val="00E81A46"/>
    <w:rsid w:val="00E81B96"/>
    <w:rsid w:val="00E82324"/>
    <w:rsid w:val="00E82564"/>
    <w:rsid w:val="00E82B46"/>
    <w:rsid w:val="00E82DF4"/>
    <w:rsid w:val="00E8318D"/>
    <w:rsid w:val="00E831B8"/>
    <w:rsid w:val="00E83285"/>
    <w:rsid w:val="00E83AD0"/>
    <w:rsid w:val="00E83F9D"/>
    <w:rsid w:val="00E84163"/>
    <w:rsid w:val="00E84495"/>
    <w:rsid w:val="00E849FB"/>
    <w:rsid w:val="00E84A2A"/>
    <w:rsid w:val="00E84AE9"/>
    <w:rsid w:val="00E84D13"/>
    <w:rsid w:val="00E8509E"/>
    <w:rsid w:val="00E8551E"/>
    <w:rsid w:val="00E85E1C"/>
    <w:rsid w:val="00E865EA"/>
    <w:rsid w:val="00E86699"/>
    <w:rsid w:val="00E86BD6"/>
    <w:rsid w:val="00E86EE8"/>
    <w:rsid w:val="00E870E4"/>
    <w:rsid w:val="00E87173"/>
    <w:rsid w:val="00E871B9"/>
    <w:rsid w:val="00E900AA"/>
    <w:rsid w:val="00E900D4"/>
    <w:rsid w:val="00E907CB"/>
    <w:rsid w:val="00E90E58"/>
    <w:rsid w:val="00E912EB"/>
    <w:rsid w:val="00E91331"/>
    <w:rsid w:val="00E9155F"/>
    <w:rsid w:val="00E91896"/>
    <w:rsid w:val="00E91E83"/>
    <w:rsid w:val="00E92613"/>
    <w:rsid w:val="00E9272A"/>
    <w:rsid w:val="00E92E7E"/>
    <w:rsid w:val="00E931F8"/>
    <w:rsid w:val="00E9338E"/>
    <w:rsid w:val="00E93B08"/>
    <w:rsid w:val="00E93FDD"/>
    <w:rsid w:val="00E9423B"/>
    <w:rsid w:val="00E94EC0"/>
    <w:rsid w:val="00E95165"/>
    <w:rsid w:val="00E9520A"/>
    <w:rsid w:val="00E95252"/>
    <w:rsid w:val="00E956F3"/>
    <w:rsid w:val="00E95B63"/>
    <w:rsid w:val="00E965CD"/>
    <w:rsid w:val="00E966E3"/>
    <w:rsid w:val="00E9686E"/>
    <w:rsid w:val="00E968B2"/>
    <w:rsid w:val="00E969C8"/>
    <w:rsid w:val="00E97BC1"/>
    <w:rsid w:val="00EA086B"/>
    <w:rsid w:val="00EA0CF6"/>
    <w:rsid w:val="00EA10DE"/>
    <w:rsid w:val="00EA1B47"/>
    <w:rsid w:val="00EA2AFB"/>
    <w:rsid w:val="00EA3108"/>
    <w:rsid w:val="00EA3333"/>
    <w:rsid w:val="00EA3B35"/>
    <w:rsid w:val="00EA4988"/>
    <w:rsid w:val="00EA4EBA"/>
    <w:rsid w:val="00EA5790"/>
    <w:rsid w:val="00EA5BED"/>
    <w:rsid w:val="00EA5CCE"/>
    <w:rsid w:val="00EA62DB"/>
    <w:rsid w:val="00EA6716"/>
    <w:rsid w:val="00EA7014"/>
    <w:rsid w:val="00EA7592"/>
    <w:rsid w:val="00EA768F"/>
    <w:rsid w:val="00EB08E3"/>
    <w:rsid w:val="00EB09B8"/>
    <w:rsid w:val="00EB17AA"/>
    <w:rsid w:val="00EB1845"/>
    <w:rsid w:val="00EB18C4"/>
    <w:rsid w:val="00EB1979"/>
    <w:rsid w:val="00EB19EF"/>
    <w:rsid w:val="00EB1FFD"/>
    <w:rsid w:val="00EB2056"/>
    <w:rsid w:val="00EB2719"/>
    <w:rsid w:val="00EB27B6"/>
    <w:rsid w:val="00EB27F7"/>
    <w:rsid w:val="00EB3014"/>
    <w:rsid w:val="00EB3F2D"/>
    <w:rsid w:val="00EB41FD"/>
    <w:rsid w:val="00EB494E"/>
    <w:rsid w:val="00EB4B42"/>
    <w:rsid w:val="00EB4B58"/>
    <w:rsid w:val="00EB5024"/>
    <w:rsid w:val="00EB504E"/>
    <w:rsid w:val="00EB52D7"/>
    <w:rsid w:val="00EB5376"/>
    <w:rsid w:val="00EB5501"/>
    <w:rsid w:val="00EB5929"/>
    <w:rsid w:val="00EB597A"/>
    <w:rsid w:val="00EB5DBD"/>
    <w:rsid w:val="00EB6994"/>
    <w:rsid w:val="00EB7A0D"/>
    <w:rsid w:val="00EC0150"/>
    <w:rsid w:val="00EC03A4"/>
    <w:rsid w:val="00EC07CD"/>
    <w:rsid w:val="00EC09FF"/>
    <w:rsid w:val="00EC0E3D"/>
    <w:rsid w:val="00EC0F73"/>
    <w:rsid w:val="00EC0FE8"/>
    <w:rsid w:val="00EC1368"/>
    <w:rsid w:val="00EC2075"/>
    <w:rsid w:val="00EC2B7D"/>
    <w:rsid w:val="00EC2D4C"/>
    <w:rsid w:val="00EC2E4F"/>
    <w:rsid w:val="00EC3172"/>
    <w:rsid w:val="00EC3238"/>
    <w:rsid w:val="00EC3530"/>
    <w:rsid w:val="00EC372D"/>
    <w:rsid w:val="00EC39EF"/>
    <w:rsid w:val="00EC3AB3"/>
    <w:rsid w:val="00EC3D84"/>
    <w:rsid w:val="00EC3ED2"/>
    <w:rsid w:val="00EC41DC"/>
    <w:rsid w:val="00EC4381"/>
    <w:rsid w:val="00EC46A8"/>
    <w:rsid w:val="00EC4AB0"/>
    <w:rsid w:val="00EC4D1C"/>
    <w:rsid w:val="00EC4DBA"/>
    <w:rsid w:val="00EC51E5"/>
    <w:rsid w:val="00EC520C"/>
    <w:rsid w:val="00EC561C"/>
    <w:rsid w:val="00EC56D6"/>
    <w:rsid w:val="00EC5846"/>
    <w:rsid w:val="00EC586C"/>
    <w:rsid w:val="00EC59C7"/>
    <w:rsid w:val="00EC5CC6"/>
    <w:rsid w:val="00EC5E4D"/>
    <w:rsid w:val="00EC5EF0"/>
    <w:rsid w:val="00EC5F13"/>
    <w:rsid w:val="00EC632A"/>
    <w:rsid w:val="00EC693E"/>
    <w:rsid w:val="00EC6B59"/>
    <w:rsid w:val="00EC6C1F"/>
    <w:rsid w:val="00EC6C58"/>
    <w:rsid w:val="00EC6DCF"/>
    <w:rsid w:val="00EC73B4"/>
    <w:rsid w:val="00EC75D2"/>
    <w:rsid w:val="00ED075D"/>
    <w:rsid w:val="00ED08E4"/>
    <w:rsid w:val="00ED0A43"/>
    <w:rsid w:val="00ED1016"/>
    <w:rsid w:val="00ED114C"/>
    <w:rsid w:val="00ED1344"/>
    <w:rsid w:val="00ED175C"/>
    <w:rsid w:val="00ED1C69"/>
    <w:rsid w:val="00ED1FAA"/>
    <w:rsid w:val="00ED28D9"/>
    <w:rsid w:val="00ED2CBE"/>
    <w:rsid w:val="00ED3390"/>
    <w:rsid w:val="00ED3926"/>
    <w:rsid w:val="00ED3C0E"/>
    <w:rsid w:val="00ED3C46"/>
    <w:rsid w:val="00ED4743"/>
    <w:rsid w:val="00ED478C"/>
    <w:rsid w:val="00ED491E"/>
    <w:rsid w:val="00ED53BB"/>
    <w:rsid w:val="00ED58E7"/>
    <w:rsid w:val="00ED5919"/>
    <w:rsid w:val="00ED5FB0"/>
    <w:rsid w:val="00ED64E6"/>
    <w:rsid w:val="00ED6560"/>
    <w:rsid w:val="00ED6938"/>
    <w:rsid w:val="00ED6EB2"/>
    <w:rsid w:val="00ED71F5"/>
    <w:rsid w:val="00ED72E1"/>
    <w:rsid w:val="00ED73AD"/>
    <w:rsid w:val="00ED745E"/>
    <w:rsid w:val="00ED785A"/>
    <w:rsid w:val="00ED7E97"/>
    <w:rsid w:val="00ED7F27"/>
    <w:rsid w:val="00EE00CC"/>
    <w:rsid w:val="00EE01C3"/>
    <w:rsid w:val="00EE0205"/>
    <w:rsid w:val="00EE08B1"/>
    <w:rsid w:val="00EE0BEE"/>
    <w:rsid w:val="00EE0C52"/>
    <w:rsid w:val="00EE1AE1"/>
    <w:rsid w:val="00EE1B16"/>
    <w:rsid w:val="00EE1B79"/>
    <w:rsid w:val="00EE1C51"/>
    <w:rsid w:val="00EE21F4"/>
    <w:rsid w:val="00EE33DE"/>
    <w:rsid w:val="00EE3545"/>
    <w:rsid w:val="00EE390E"/>
    <w:rsid w:val="00EE399C"/>
    <w:rsid w:val="00EE3E41"/>
    <w:rsid w:val="00EE3F7C"/>
    <w:rsid w:val="00EE4D31"/>
    <w:rsid w:val="00EE4F18"/>
    <w:rsid w:val="00EE4F7C"/>
    <w:rsid w:val="00EE5E5C"/>
    <w:rsid w:val="00EE7674"/>
    <w:rsid w:val="00EE76F9"/>
    <w:rsid w:val="00EE7809"/>
    <w:rsid w:val="00EE7ADA"/>
    <w:rsid w:val="00EF0212"/>
    <w:rsid w:val="00EF0938"/>
    <w:rsid w:val="00EF095C"/>
    <w:rsid w:val="00EF0F31"/>
    <w:rsid w:val="00EF0F4B"/>
    <w:rsid w:val="00EF1579"/>
    <w:rsid w:val="00EF1BD7"/>
    <w:rsid w:val="00EF1D9B"/>
    <w:rsid w:val="00EF1F30"/>
    <w:rsid w:val="00EF2009"/>
    <w:rsid w:val="00EF27A4"/>
    <w:rsid w:val="00EF2BD6"/>
    <w:rsid w:val="00EF34E7"/>
    <w:rsid w:val="00EF35F2"/>
    <w:rsid w:val="00EF3738"/>
    <w:rsid w:val="00EF38A6"/>
    <w:rsid w:val="00EF4DD4"/>
    <w:rsid w:val="00EF4E8A"/>
    <w:rsid w:val="00EF515D"/>
    <w:rsid w:val="00EF5826"/>
    <w:rsid w:val="00EF5B78"/>
    <w:rsid w:val="00EF5BEA"/>
    <w:rsid w:val="00EF5C40"/>
    <w:rsid w:val="00EF5DB0"/>
    <w:rsid w:val="00EF638A"/>
    <w:rsid w:val="00EF64B8"/>
    <w:rsid w:val="00EF661F"/>
    <w:rsid w:val="00EF66FF"/>
    <w:rsid w:val="00EF7147"/>
    <w:rsid w:val="00EF7758"/>
    <w:rsid w:val="00EF782F"/>
    <w:rsid w:val="00EF7CD3"/>
    <w:rsid w:val="00EF7CD6"/>
    <w:rsid w:val="00EF7EBC"/>
    <w:rsid w:val="00F00694"/>
    <w:rsid w:val="00F009E5"/>
    <w:rsid w:val="00F00BB1"/>
    <w:rsid w:val="00F00C8E"/>
    <w:rsid w:val="00F00F6F"/>
    <w:rsid w:val="00F0156C"/>
    <w:rsid w:val="00F01BCF"/>
    <w:rsid w:val="00F01F27"/>
    <w:rsid w:val="00F01F91"/>
    <w:rsid w:val="00F02ACE"/>
    <w:rsid w:val="00F02E52"/>
    <w:rsid w:val="00F02EF1"/>
    <w:rsid w:val="00F0317F"/>
    <w:rsid w:val="00F033A2"/>
    <w:rsid w:val="00F03583"/>
    <w:rsid w:val="00F03D80"/>
    <w:rsid w:val="00F043F1"/>
    <w:rsid w:val="00F0464A"/>
    <w:rsid w:val="00F0470B"/>
    <w:rsid w:val="00F04D8F"/>
    <w:rsid w:val="00F04EF4"/>
    <w:rsid w:val="00F050DD"/>
    <w:rsid w:val="00F05597"/>
    <w:rsid w:val="00F05E0A"/>
    <w:rsid w:val="00F05EA7"/>
    <w:rsid w:val="00F06195"/>
    <w:rsid w:val="00F061E4"/>
    <w:rsid w:val="00F06524"/>
    <w:rsid w:val="00F06F40"/>
    <w:rsid w:val="00F06FD3"/>
    <w:rsid w:val="00F07424"/>
    <w:rsid w:val="00F07D5F"/>
    <w:rsid w:val="00F104E3"/>
    <w:rsid w:val="00F1074A"/>
    <w:rsid w:val="00F109E6"/>
    <w:rsid w:val="00F11953"/>
    <w:rsid w:val="00F11C8A"/>
    <w:rsid w:val="00F12163"/>
    <w:rsid w:val="00F12408"/>
    <w:rsid w:val="00F1275C"/>
    <w:rsid w:val="00F127CE"/>
    <w:rsid w:val="00F12855"/>
    <w:rsid w:val="00F12DC2"/>
    <w:rsid w:val="00F12ED7"/>
    <w:rsid w:val="00F13185"/>
    <w:rsid w:val="00F13788"/>
    <w:rsid w:val="00F139DD"/>
    <w:rsid w:val="00F13AE9"/>
    <w:rsid w:val="00F13F1E"/>
    <w:rsid w:val="00F147F9"/>
    <w:rsid w:val="00F14FC3"/>
    <w:rsid w:val="00F1579D"/>
    <w:rsid w:val="00F158D0"/>
    <w:rsid w:val="00F15A79"/>
    <w:rsid w:val="00F15AA1"/>
    <w:rsid w:val="00F15CA3"/>
    <w:rsid w:val="00F15E1B"/>
    <w:rsid w:val="00F16738"/>
    <w:rsid w:val="00F167EB"/>
    <w:rsid w:val="00F16C3E"/>
    <w:rsid w:val="00F16E38"/>
    <w:rsid w:val="00F16EA4"/>
    <w:rsid w:val="00F16EBD"/>
    <w:rsid w:val="00F174D3"/>
    <w:rsid w:val="00F177E3"/>
    <w:rsid w:val="00F20621"/>
    <w:rsid w:val="00F20ABC"/>
    <w:rsid w:val="00F20CE7"/>
    <w:rsid w:val="00F21504"/>
    <w:rsid w:val="00F2168E"/>
    <w:rsid w:val="00F2175E"/>
    <w:rsid w:val="00F21BAE"/>
    <w:rsid w:val="00F21CCE"/>
    <w:rsid w:val="00F2237C"/>
    <w:rsid w:val="00F22934"/>
    <w:rsid w:val="00F23087"/>
    <w:rsid w:val="00F23162"/>
    <w:rsid w:val="00F24526"/>
    <w:rsid w:val="00F24608"/>
    <w:rsid w:val="00F24885"/>
    <w:rsid w:val="00F24926"/>
    <w:rsid w:val="00F24C1C"/>
    <w:rsid w:val="00F252DD"/>
    <w:rsid w:val="00F253F6"/>
    <w:rsid w:val="00F25967"/>
    <w:rsid w:val="00F25B87"/>
    <w:rsid w:val="00F26575"/>
    <w:rsid w:val="00F265AC"/>
    <w:rsid w:val="00F26C41"/>
    <w:rsid w:val="00F27169"/>
    <w:rsid w:val="00F3067A"/>
    <w:rsid w:val="00F30835"/>
    <w:rsid w:val="00F30A79"/>
    <w:rsid w:val="00F30BB9"/>
    <w:rsid w:val="00F31642"/>
    <w:rsid w:val="00F31E63"/>
    <w:rsid w:val="00F32D74"/>
    <w:rsid w:val="00F3308E"/>
    <w:rsid w:val="00F33292"/>
    <w:rsid w:val="00F332CF"/>
    <w:rsid w:val="00F333A2"/>
    <w:rsid w:val="00F33472"/>
    <w:rsid w:val="00F33CF4"/>
    <w:rsid w:val="00F35DE2"/>
    <w:rsid w:val="00F35ED0"/>
    <w:rsid w:val="00F35F83"/>
    <w:rsid w:val="00F3625D"/>
    <w:rsid w:val="00F3684A"/>
    <w:rsid w:val="00F36C2D"/>
    <w:rsid w:val="00F36D27"/>
    <w:rsid w:val="00F37536"/>
    <w:rsid w:val="00F37888"/>
    <w:rsid w:val="00F37A86"/>
    <w:rsid w:val="00F37CE2"/>
    <w:rsid w:val="00F37DB8"/>
    <w:rsid w:val="00F407F4"/>
    <w:rsid w:val="00F408DF"/>
    <w:rsid w:val="00F409F0"/>
    <w:rsid w:val="00F40A17"/>
    <w:rsid w:val="00F40CDC"/>
    <w:rsid w:val="00F40ECD"/>
    <w:rsid w:val="00F41054"/>
    <w:rsid w:val="00F41176"/>
    <w:rsid w:val="00F411D1"/>
    <w:rsid w:val="00F4141C"/>
    <w:rsid w:val="00F419A2"/>
    <w:rsid w:val="00F41CC2"/>
    <w:rsid w:val="00F42F3C"/>
    <w:rsid w:val="00F43492"/>
    <w:rsid w:val="00F43786"/>
    <w:rsid w:val="00F43CB1"/>
    <w:rsid w:val="00F43DE6"/>
    <w:rsid w:val="00F43FD5"/>
    <w:rsid w:val="00F442EA"/>
    <w:rsid w:val="00F44313"/>
    <w:rsid w:val="00F44829"/>
    <w:rsid w:val="00F44D70"/>
    <w:rsid w:val="00F44E4B"/>
    <w:rsid w:val="00F4538C"/>
    <w:rsid w:val="00F45837"/>
    <w:rsid w:val="00F458CA"/>
    <w:rsid w:val="00F45B85"/>
    <w:rsid w:val="00F45B98"/>
    <w:rsid w:val="00F45C6F"/>
    <w:rsid w:val="00F45DB2"/>
    <w:rsid w:val="00F45E23"/>
    <w:rsid w:val="00F460D8"/>
    <w:rsid w:val="00F461F3"/>
    <w:rsid w:val="00F4667D"/>
    <w:rsid w:val="00F46751"/>
    <w:rsid w:val="00F469F3"/>
    <w:rsid w:val="00F46D6C"/>
    <w:rsid w:val="00F47223"/>
    <w:rsid w:val="00F472E7"/>
    <w:rsid w:val="00F475EA"/>
    <w:rsid w:val="00F47669"/>
    <w:rsid w:val="00F47683"/>
    <w:rsid w:val="00F47CB8"/>
    <w:rsid w:val="00F47CD9"/>
    <w:rsid w:val="00F50329"/>
    <w:rsid w:val="00F5097F"/>
    <w:rsid w:val="00F50C10"/>
    <w:rsid w:val="00F50F89"/>
    <w:rsid w:val="00F51D5B"/>
    <w:rsid w:val="00F5201E"/>
    <w:rsid w:val="00F52183"/>
    <w:rsid w:val="00F52C7E"/>
    <w:rsid w:val="00F52F12"/>
    <w:rsid w:val="00F53929"/>
    <w:rsid w:val="00F54E23"/>
    <w:rsid w:val="00F54ECE"/>
    <w:rsid w:val="00F550EA"/>
    <w:rsid w:val="00F55BED"/>
    <w:rsid w:val="00F55DBD"/>
    <w:rsid w:val="00F5616D"/>
    <w:rsid w:val="00F564A1"/>
    <w:rsid w:val="00F568B3"/>
    <w:rsid w:val="00F56904"/>
    <w:rsid w:val="00F5729E"/>
    <w:rsid w:val="00F5759E"/>
    <w:rsid w:val="00F576FB"/>
    <w:rsid w:val="00F57956"/>
    <w:rsid w:val="00F57B39"/>
    <w:rsid w:val="00F57C46"/>
    <w:rsid w:val="00F60353"/>
    <w:rsid w:val="00F60466"/>
    <w:rsid w:val="00F60783"/>
    <w:rsid w:val="00F60903"/>
    <w:rsid w:val="00F60984"/>
    <w:rsid w:val="00F61A8A"/>
    <w:rsid w:val="00F62078"/>
    <w:rsid w:val="00F620AF"/>
    <w:rsid w:val="00F62172"/>
    <w:rsid w:val="00F6228E"/>
    <w:rsid w:val="00F62AB3"/>
    <w:rsid w:val="00F62E38"/>
    <w:rsid w:val="00F63B67"/>
    <w:rsid w:val="00F63C94"/>
    <w:rsid w:val="00F64418"/>
    <w:rsid w:val="00F647C8"/>
    <w:rsid w:val="00F649F5"/>
    <w:rsid w:val="00F65036"/>
    <w:rsid w:val="00F650A3"/>
    <w:rsid w:val="00F65147"/>
    <w:rsid w:val="00F652BB"/>
    <w:rsid w:val="00F6537C"/>
    <w:rsid w:val="00F65771"/>
    <w:rsid w:val="00F65DE2"/>
    <w:rsid w:val="00F6694C"/>
    <w:rsid w:val="00F66AF2"/>
    <w:rsid w:val="00F67BA5"/>
    <w:rsid w:val="00F67D33"/>
    <w:rsid w:val="00F70237"/>
    <w:rsid w:val="00F70645"/>
    <w:rsid w:val="00F70A22"/>
    <w:rsid w:val="00F70C1A"/>
    <w:rsid w:val="00F71534"/>
    <w:rsid w:val="00F717AF"/>
    <w:rsid w:val="00F71EA3"/>
    <w:rsid w:val="00F7203E"/>
    <w:rsid w:val="00F727F3"/>
    <w:rsid w:val="00F7295D"/>
    <w:rsid w:val="00F72C1B"/>
    <w:rsid w:val="00F73C8E"/>
    <w:rsid w:val="00F74101"/>
    <w:rsid w:val="00F74466"/>
    <w:rsid w:val="00F74770"/>
    <w:rsid w:val="00F74965"/>
    <w:rsid w:val="00F74AC0"/>
    <w:rsid w:val="00F74D99"/>
    <w:rsid w:val="00F74E80"/>
    <w:rsid w:val="00F74FA6"/>
    <w:rsid w:val="00F752C9"/>
    <w:rsid w:val="00F76060"/>
    <w:rsid w:val="00F76A7C"/>
    <w:rsid w:val="00F76EB8"/>
    <w:rsid w:val="00F77031"/>
    <w:rsid w:val="00F777E2"/>
    <w:rsid w:val="00F77E06"/>
    <w:rsid w:val="00F803E8"/>
    <w:rsid w:val="00F8097F"/>
    <w:rsid w:val="00F809C3"/>
    <w:rsid w:val="00F80C4D"/>
    <w:rsid w:val="00F80CEA"/>
    <w:rsid w:val="00F8132A"/>
    <w:rsid w:val="00F8149D"/>
    <w:rsid w:val="00F8178D"/>
    <w:rsid w:val="00F81AEF"/>
    <w:rsid w:val="00F81BE8"/>
    <w:rsid w:val="00F821ED"/>
    <w:rsid w:val="00F8229E"/>
    <w:rsid w:val="00F82696"/>
    <w:rsid w:val="00F82B01"/>
    <w:rsid w:val="00F83255"/>
    <w:rsid w:val="00F8356D"/>
    <w:rsid w:val="00F8384A"/>
    <w:rsid w:val="00F83BAD"/>
    <w:rsid w:val="00F84C48"/>
    <w:rsid w:val="00F84F58"/>
    <w:rsid w:val="00F853BB"/>
    <w:rsid w:val="00F8585F"/>
    <w:rsid w:val="00F85917"/>
    <w:rsid w:val="00F86732"/>
    <w:rsid w:val="00F86783"/>
    <w:rsid w:val="00F86CD7"/>
    <w:rsid w:val="00F87635"/>
    <w:rsid w:val="00F91101"/>
    <w:rsid w:val="00F91124"/>
    <w:rsid w:val="00F917CF"/>
    <w:rsid w:val="00F9199A"/>
    <w:rsid w:val="00F9228E"/>
    <w:rsid w:val="00F923D8"/>
    <w:rsid w:val="00F92B6C"/>
    <w:rsid w:val="00F92E77"/>
    <w:rsid w:val="00F92EC6"/>
    <w:rsid w:val="00F93027"/>
    <w:rsid w:val="00F933D3"/>
    <w:rsid w:val="00F943B7"/>
    <w:rsid w:val="00F945B3"/>
    <w:rsid w:val="00F948A6"/>
    <w:rsid w:val="00F95BA3"/>
    <w:rsid w:val="00F95C18"/>
    <w:rsid w:val="00F96145"/>
    <w:rsid w:val="00F96208"/>
    <w:rsid w:val="00F96664"/>
    <w:rsid w:val="00F96BFF"/>
    <w:rsid w:val="00F96E97"/>
    <w:rsid w:val="00F9701A"/>
    <w:rsid w:val="00F97156"/>
    <w:rsid w:val="00F97807"/>
    <w:rsid w:val="00F97809"/>
    <w:rsid w:val="00FA15E4"/>
    <w:rsid w:val="00FA1634"/>
    <w:rsid w:val="00FA1713"/>
    <w:rsid w:val="00FA1AED"/>
    <w:rsid w:val="00FA1CF2"/>
    <w:rsid w:val="00FA1E4A"/>
    <w:rsid w:val="00FA2C64"/>
    <w:rsid w:val="00FA4A33"/>
    <w:rsid w:val="00FA4B27"/>
    <w:rsid w:val="00FA4F12"/>
    <w:rsid w:val="00FA5043"/>
    <w:rsid w:val="00FA5237"/>
    <w:rsid w:val="00FA52F8"/>
    <w:rsid w:val="00FA5432"/>
    <w:rsid w:val="00FA5E55"/>
    <w:rsid w:val="00FA629E"/>
    <w:rsid w:val="00FA6846"/>
    <w:rsid w:val="00FA78A6"/>
    <w:rsid w:val="00FA7AC9"/>
    <w:rsid w:val="00FA7F56"/>
    <w:rsid w:val="00FB030B"/>
    <w:rsid w:val="00FB0610"/>
    <w:rsid w:val="00FB0722"/>
    <w:rsid w:val="00FB07C1"/>
    <w:rsid w:val="00FB0BF5"/>
    <w:rsid w:val="00FB1550"/>
    <w:rsid w:val="00FB1CF1"/>
    <w:rsid w:val="00FB1D58"/>
    <w:rsid w:val="00FB26F7"/>
    <w:rsid w:val="00FB2732"/>
    <w:rsid w:val="00FB2808"/>
    <w:rsid w:val="00FB28D6"/>
    <w:rsid w:val="00FB29D2"/>
    <w:rsid w:val="00FB2F8D"/>
    <w:rsid w:val="00FB320C"/>
    <w:rsid w:val="00FB32B4"/>
    <w:rsid w:val="00FB37EA"/>
    <w:rsid w:val="00FB3FB0"/>
    <w:rsid w:val="00FB4029"/>
    <w:rsid w:val="00FB432A"/>
    <w:rsid w:val="00FB4398"/>
    <w:rsid w:val="00FB43B5"/>
    <w:rsid w:val="00FB4679"/>
    <w:rsid w:val="00FB4939"/>
    <w:rsid w:val="00FB57E6"/>
    <w:rsid w:val="00FB5BEC"/>
    <w:rsid w:val="00FB5D9E"/>
    <w:rsid w:val="00FB61CE"/>
    <w:rsid w:val="00FB62C3"/>
    <w:rsid w:val="00FB632D"/>
    <w:rsid w:val="00FB6494"/>
    <w:rsid w:val="00FB65AC"/>
    <w:rsid w:val="00FB6B25"/>
    <w:rsid w:val="00FB6C98"/>
    <w:rsid w:val="00FB6CD4"/>
    <w:rsid w:val="00FB6DC8"/>
    <w:rsid w:val="00FB6F86"/>
    <w:rsid w:val="00FB7A2E"/>
    <w:rsid w:val="00FC084D"/>
    <w:rsid w:val="00FC0F93"/>
    <w:rsid w:val="00FC21C6"/>
    <w:rsid w:val="00FC2248"/>
    <w:rsid w:val="00FC235D"/>
    <w:rsid w:val="00FC2494"/>
    <w:rsid w:val="00FC2FBD"/>
    <w:rsid w:val="00FC3024"/>
    <w:rsid w:val="00FC36B0"/>
    <w:rsid w:val="00FC3863"/>
    <w:rsid w:val="00FC48AE"/>
    <w:rsid w:val="00FC48D4"/>
    <w:rsid w:val="00FC4BD9"/>
    <w:rsid w:val="00FC4D30"/>
    <w:rsid w:val="00FC4D9A"/>
    <w:rsid w:val="00FC501B"/>
    <w:rsid w:val="00FC52B5"/>
    <w:rsid w:val="00FC5547"/>
    <w:rsid w:val="00FC58D3"/>
    <w:rsid w:val="00FC5A69"/>
    <w:rsid w:val="00FC5AFA"/>
    <w:rsid w:val="00FC5DEA"/>
    <w:rsid w:val="00FC63B5"/>
    <w:rsid w:val="00FC698D"/>
    <w:rsid w:val="00FC70C9"/>
    <w:rsid w:val="00FC71E8"/>
    <w:rsid w:val="00FC73F6"/>
    <w:rsid w:val="00FC75F9"/>
    <w:rsid w:val="00FC79A6"/>
    <w:rsid w:val="00FC7D44"/>
    <w:rsid w:val="00FC7D91"/>
    <w:rsid w:val="00FC7DD9"/>
    <w:rsid w:val="00FC7E8B"/>
    <w:rsid w:val="00FD080C"/>
    <w:rsid w:val="00FD084A"/>
    <w:rsid w:val="00FD094E"/>
    <w:rsid w:val="00FD1636"/>
    <w:rsid w:val="00FD187B"/>
    <w:rsid w:val="00FD2521"/>
    <w:rsid w:val="00FD262A"/>
    <w:rsid w:val="00FD286B"/>
    <w:rsid w:val="00FD2B91"/>
    <w:rsid w:val="00FD3115"/>
    <w:rsid w:val="00FD3549"/>
    <w:rsid w:val="00FD4876"/>
    <w:rsid w:val="00FD497B"/>
    <w:rsid w:val="00FD5475"/>
    <w:rsid w:val="00FD55E9"/>
    <w:rsid w:val="00FD57B7"/>
    <w:rsid w:val="00FD5A34"/>
    <w:rsid w:val="00FD5BB3"/>
    <w:rsid w:val="00FD5CD1"/>
    <w:rsid w:val="00FD614D"/>
    <w:rsid w:val="00FD6B20"/>
    <w:rsid w:val="00FD6C4A"/>
    <w:rsid w:val="00FD6F57"/>
    <w:rsid w:val="00FD764F"/>
    <w:rsid w:val="00FD778E"/>
    <w:rsid w:val="00FD7D6E"/>
    <w:rsid w:val="00FE0071"/>
    <w:rsid w:val="00FE0478"/>
    <w:rsid w:val="00FE0753"/>
    <w:rsid w:val="00FE086A"/>
    <w:rsid w:val="00FE0956"/>
    <w:rsid w:val="00FE0C89"/>
    <w:rsid w:val="00FE1D5D"/>
    <w:rsid w:val="00FE1FBA"/>
    <w:rsid w:val="00FE2110"/>
    <w:rsid w:val="00FE256E"/>
    <w:rsid w:val="00FE27B5"/>
    <w:rsid w:val="00FE2BE0"/>
    <w:rsid w:val="00FE3446"/>
    <w:rsid w:val="00FE37B7"/>
    <w:rsid w:val="00FE39A4"/>
    <w:rsid w:val="00FE3B2E"/>
    <w:rsid w:val="00FE3E56"/>
    <w:rsid w:val="00FE3E63"/>
    <w:rsid w:val="00FE3E86"/>
    <w:rsid w:val="00FE3EF6"/>
    <w:rsid w:val="00FE4072"/>
    <w:rsid w:val="00FE479B"/>
    <w:rsid w:val="00FE4A20"/>
    <w:rsid w:val="00FE5056"/>
    <w:rsid w:val="00FE52E3"/>
    <w:rsid w:val="00FE5922"/>
    <w:rsid w:val="00FE5E9E"/>
    <w:rsid w:val="00FE60CB"/>
    <w:rsid w:val="00FE63DF"/>
    <w:rsid w:val="00FE68C2"/>
    <w:rsid w:val="00FE6E88"/>
    <w:rsid w:val="00FE7460"/>
    <w:rsid w:val="00FE7506"/>
    <w:rsid w:val="00FE7B3B"/>
    <w:rsid w:val="00FF01FC"/>
    <w:rsid w:val="00FF031C"/>
    <w:rsid w:val="00FF0555"/>
    <w:rsid w:val="00FF07CA"/>
    <w:rsid w:val="00FF0F23"/>
    <w:rsid w:val="00FF108C"/>
    <w:rsid w:val="00FF149B"/>
    <w:rsid w:val="00FF1F7F"/>
    <w:rsid w:val="00FF26F8"/>
    <w:rsid w:val="00FF296D"/>
    <w:rsid w:val="00FF3335"/>
    <w:rsid w:val="00FF3DE9"/>
    <w:rsid w:val="00FF3F67"/>
    <w:rsid w:val="00FF4141"/>
    <w:rsid w:val="00FF43AC"/>
    <w:rsid w:val="00FF4547"/>
    <w:rsid w:val="00FF4923"/>
    <w:rsid w:val="00FF4A2A"/>
    <w:rsid w:val="00FF4B8B"/>
    <w:rsid w:val="00FF4DF9"/>
    <w:rsid w:val="00FF4EB2"/>
    <w:rsid w:val="00FF4F7F"/>
    <w:rsid w:val="00FF5008"/>
    <w:rsid w:val="00FF5656"/>
    <w:rsid w:val="00FF6432"/>
    <w:rsid w:val="00FF6526"/>
    <w:rsid w:val="00FF666A"/>
    <w:rsid w:val="00FF6950"/>
    <w:rsid w:val="00FF6EF3"/>
    <w:rsid w:val="00FF72BB"/>
    <w:rsid w:val="00FF7601"/>
    <w:rsid w:val="00FF76B9"/>
    <w:rsid w:val="00F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EC9C2"/>
  <w15:docId w15:val="{28FD80D5-8630-4DCC-AE3B-3565BE62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205B"/>
    <w:rPr>
      <w:sz w:val="24"/>
      <w:szCs w:val="24"/>
    </w:rPr>
  </w:style>
  <w:style w:type="paragraph" w:styleId="Heading1">
    <w:name w:val="heading 1"/>
    <w:basedOn w:val="Normal"/>
    <w:next w:val="Normal"/>
    <w:link w:val="Heading1Char"/>
    <w:qFormat/>
    <w:rsid w:val="00752F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Style 3,Style 6,FR,Appel note de bas de p,Style 124,callout,Style 23,Style 34"/>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paragraph" w:styleId="PlainText">
    <w:name w:val="Plain Text"/>
    <w:basedOn w:val="Normal"/>
    <w:link w:val="PlainTextChar"/>
    <w:uiPriority w:val="99"/>
    <w:unhideWhenUsed/>
    <w:rsid w:val="004954C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954C2"/>
    <w:rPr>
      <w:rFonts w:ascii="Calibri" w:eastAsiaTheme="minorHAnsi" w:hAnsi="Calibri" w:cstheme="minorBidi"/>
      <w:sz w:val="22"/>
      <w:szCs w:val="21"/>
    </w:rPr>
  </w:style>
  <w:style w:type="character" w:styleId="Emphasis">
    <w:name w:val="Emphasis"/>
    <w:uiPriority w:val="20"/>
    <w:qFormat/>
    <w:rsid w:val="003E6327"/>
    <w:rPr>
      <w:sz w:val="26"/>
      <w:szCs w:val="26"/>
      <w:vertAlign w:val="superscript"/>
    </w:rPr>
  </w:style>
  <w:style w:type="character" w:styleId="CommentReference">
    <w:name w:val="annotation reference"/>
    <w:basedOn w:val="DefaultParagraphFont"/>
    <w:rsid w:val="00E31B81"/>
    <w:rPr>
      <w:sz w:val="16"/>
      <w:szCs w:val="16"/>
    </w:rPr>
  </w:style>
  <w:style w:type="paragraph" w:styleId="CommentText">
    <w:name w:val="annotation text"/>
    <w:basedOn w:val="Normal"/>
    <w:link w:val="CommentTextChar"/>
    <w:rsid w:val="00E31B81"/>
    <w:rPr>
      <w:sz w:val="20"/>
      <w:szCs w:val="20"/>
    </w:rPr>
  </w:style>
  <w:style w:type="character" w:customStyle="1" w:styleId="CommentTextChar">
    <w:name w:val="Comment Text Char"/>
    <w:basedOn w:val="DefaultParagraphFont"/>
    <w:link w:val="CommentText"/>
    <w:rsid w:val="00E31B81"/>
  </w:style>
  <w:style w:type="paragraph" w:styleId="CommentSubject">
    <w:name w:val="annotation subject"/>
    <w:basedOn w:val="CommentText"/>
    <w:next w:val="CommentText"/>
    <w:link w:val="CommentSubjectChar"/>
    <w:rsid w:val="00E31B81"/>
    <w:rPr>
      <w:b/>
      <w:bCs/>
    </w:rPr>
  </w:style>
  <w:style w:type="character" w:customStyle="1" w:styleId="CommentSubjectChar">
    <w:name w:val="Comment Subject Char"/>
    <w:basedOn w:val="CommentTextChar"/>
    <w:link w:val="CommentSubject"/>
    <w:rsid w:val="00E31B81"/>
    <w:rPr>
      <w:b/>
      <w:bCs/>
    </w:rPr>
  </w:style>
  <w:style w:type="character" w:customStyle="1" w:styleId="Heading1Char">
    <w:name w:val="Heading 1 Char"/>
    <w:basedOn w:val="DefaultParagraphFont"/>
    <w:link w:val="Heading1"/>
    <w:rsid w:val="00752F7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64A4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57469"/>
    <w:rPr>
      <w:sz w:val="24"/>
      <w:szCs w:val="24"/>
    </w:rPr>
  </w:style>
  <w:style w:type="paragraph" w:styleId="Header">
    <w:name w:val="header"/>
    <w:basedOn w:val="Normal"/>
    <w:link w:val="HeaderChar"/>
    <w:rsid w:val="009D6611"/>
    <w:pPr>
      <w:tabs>
        <w:tab w:val="center" w:pos="4680"/>
        <w:tab w:val="right" w:pos="9360"/>
      </w:tabs>
    </w:pPr>
  </w:style>
  <w:style w:type="character" w:customStyle="1" w:styleId="HeaderChar">
    <w:name w:val="Header Char"/>
    <w:basedOn w:val="DefaultParagraphFont"/>
    <w:link w:val="Header"/>
    <w:rsid w:val="009D6611"/>
    <w:rPr>
      <w:sz w:val="24"/>
      <w:szCs w:val="24"/>
    </w:rPr>
  </w:style>
  <w:style w:type="paragraph" w:customStyle="1" w:styleId="Default">
    <w:name w:val="Default"/>
    <w:rsid w:val="00D24299"/>
    <w:pPr>
      <w:autoSpaceDE w:val="0"/>
      <w:autoSpaceDN w:val="0"/>
      <w:adjustRightInd w:val="0"/>
    </w:pPr>
    <w:rPr>
      <w:rFonts w:ascii="Courier New" w:eastAsiaTheme="minorHAnsi"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1499">
      <w:bodyDiv w:val="1"/>
      <w:marLeft w:val="0"/>
      <w:marRight w:val="0"/>
      <w:marTop w:val="0"/>
      <w:marBottom w:val="0"/>
      <w:divBdr>
        <w:top w:val="none" w:sz="0" w:space="0" w:color="auto"/>
        <w:left w:val="none" w:sz="0" w:space="0" w:color="auto"/>
        <w:bottom w:val="none" w:sz="0" w:space="0" w:color="auto"/>
        <w:right w:val="none" w:sz="0" w:space="0" w:color="auto"/>
      </w:divBdr>
    </w:div>
    <w:div w:id="72120618">
      <w:bodyDiv w:val="1"/>
      <w:marLeft w:val="0"/>
      <w:marRight w:val="0"/>
      <w:marTop w:val="0"/>
      <w:marBottom w:val="0"/>
      <w:divBdr>
        <w:top w:val="none" w:sz="0" w:space="0" w:color="auto"/>
        <w:left w:val="none" w:sz="0" w:space="0" w:color="auto"/>
        <w:bottom w:val="none" w:sz="0" w:space="0" w:color="auto"/>
        <w:right w:val="none" w:sz="0" w:space="0" w:color="auto"/>
      </w:divBdr>
    </w:div>
    <w:div w:id="95368630">
      <w:bodyDiv w:val="1"/>
      <w:marLeft w:val="0"/>
      <w:marRight w:val="0"/>
      <w:marTop w:val="0"/>
      <w:marBottom w:val="0"/>
      <w:divBdr>
        <w:top w:val="none" w:sz="0" w:space="0" w:color="auto"/>
        <w:left w:val="none" w:sz="0" w:space="0" w:color="auto"/>
        <w:bottom w:val="none" w:sz="0" w:space="0" w:color="auto"/>
        <w:right w:val="none" w:sz="0" w:space="0" w:color="auto"/>
      </w:divBdr>
    </w:div>
    <w:div w:id="112872032">
      <w:bodyDiv w:val="1"/>
      <w:marLeft w:val="0"/>
      <w:marRight w:val="0"/>
      <w:marTop w:val="0"/>
      <w:marBottom w:val="0"/>
      <w:divBdr>
        <w:top w:val="none" w:sz="0" w:space="0" w:color="auto"/>
        <w:left w:val="none" w:sz="0" w:space="0" w:color="auto"/>
        <w:bottom w:val="none" w:sz="0" w:space="0" w:color="auto"/>
        <w:right w:val="none" w:sz="0" w:space="0" w:color="auto"/>
      </w:divBdr>
    </w:div>
    <w:div w:id="138035680">
      <w:bodyDiv w:val="1"/>
      <w:marLeft w:val="0"/>
      <w:marRight w:val="0"/>
      <w:marTop w:val="0"/>
      <w:marBottom w:val="0"/>
      <w:divBdr>
        <w:top w:val="none" w:sz="0" w:space="0" w:color="auto"/>
        <w:left w:val="none" w:sz="0" w:space="0" w:color="auto"/>
        <w:bottom w:val="none" w:sz="0" w:space="0" w:color="auto"/>
        <w:right w:val="none" w:sz="0" w:space="0" w:color="auto"/>
      </w:divBdr>
    </w:div>
    <w:div w:id="150144753">
      <w:bodyDiv w:val="1"/>
      <w:marLeft w:val="0"/>
      <w:marRight w:val="0"/>
      <w:marTop w:val="0"/>
      <w:marBottom w:val="0"/>
      <w:divBdr>
        <w:top w:val="none" w:sz="0" w:space="0" w:color="auto"/>
        <w:left w:val="none" w:sz="0" w:space="0" w:color="auto"/>
        <w:bottom w:val="none" w:sz="0" w:space="0" w:color="auto"/>
        <w:right w:val="none" w:sz="0" w:space="0" w:color="auto"/>
      </w:divBdr>
    </w:div>
    <w:div w:id="185220077">
      <w:bodyDiv w:val="1"/>
      <w:marLeft w:val="0"/>
      <w:marRight w:val="0"/>
      <w:marTop w:val="0"/>
      <w:marBottom w:val="0"/>
      <w:divBdr>
        <w:top w:val="none" w:sz="0" w:space="0" w:color="auto"/>
        <w:left w:val="none" w:sz="0" w:space="0" w:color="auto"/>
        <w:bottom w:val="none" w:sz="0" w:space="0" w:color="auto"/>
        <w:right w:val="none" w:sz="0" w:space="0" w:color="auto"/>
      </w:divBdr>
    </w:div>
    <w:div w:id="199826099">
      <w:bodyDiv w:val="1"/>
      <w:marLeft w:val="0"/>
      <w:marRight w:val="0"/>
      <w:marTop w:val="0"/>
      <w:marBottom w:val="0"/>
      <w:divBdr>
        <w:top w:val="none" w:sz="0" w:space="0" w:color="auto"/>
        <w:left w:val="none" w:sz="0" w:space="0" w:color="auto"/>
        <w:bottom w:val="none" w:sz="0" w:space="0" w:color="auto"/>
        <w:right w:val="none" w:sz="0" w:space="0" w:color="auto"/>
      </w:divBdr>
    </w:div>
    <w:div w:id="265576754">
      <w:bodyDiv w:val="1"/>
      <w:marLeft w:val="0"/>
      <w:marRight w:val="0"/>
      <w:marTop w:val="0"/>
      <w:marBottom w:val="0"/>
      <w:divBdr>
        <w:top w:val="none" w:sz="0" w:space="0" w:color="auto"/>
        <w:left w:val="none" w:sz="0" w:space="0" w:color="auto"/>
        <w:bottom w:val="none" w:sz="0" w:space="0" w:color="auto"/>
        <w:right w:val="none" w:sz="0" w:space="0" w:color="auto"/>
      </w:divBdr>
    </w:div>
    <w:div w:id="423259204">
      <w:bodyDiv w:val="1"/>
      <w:marLeft w:val="0"/>
      <w:marRight w:val="0"/>
      <w:marTop w:val="0"/>
      <w:marBottom w:val="0"/>
      <w:divBdr>
        <w:top w:val="none" w:sz="0" w:space="0" w:color="auto"/>
        <w:left w:val="none" w:sz="0" w:space="0" w:color="auto"/>
        <w:bottom w:val="none" w:sz="0" w:space="0" w:color="auto"/>
        <w:right w:val="none" w:sz="0" w:space="0" w:color="auto"/>
      </w:divBdr>
    </w:div>
    <w:div w:id="559633844">
      <w:bodyDiv w:val="1"/>
      <w:marLeft w:val="0"/>
      <w:marRight w:val="0"/>
      <w:marTop w:val="0"/>
      <w:marBottom w:val="0"/>
      <w:divBdr>
        <w:top w:val="none" w:sz="0" w:space="0" w:color="auto"/>
        <w:left w:val="none" w:sz="0" w:space="0" w:color="auto"/>
        <w:bottom w:val="none" w:sz="0" w:space="0" w:color="auto"/>
        <w:right w:val="none" w:sz="0" w:space="0" w:color="auto"/>
      </w:divBdr>
    </w:div>
    <w:div w:id="573396681">
      <w:bodyDiv w:val="1"/>
      <w:marLeft w:val="0"/>
      <w:marRight w:val="0"/>
      <w:marTop w:val="0"/>
      <w:marBottom w:val="0"/>
      <w:divBdr>
        <w:top w:val="none" w:sz="0" w:space="0" w:color="auto"/>
        <w:left w:val="none" w:sz="0" w:space="0" w:color="auto"/>
        <w:bottom w:val="none" w:sz="0" w:space="0" w:color="auto"/>
        <w:right w:val="none" w:sz="0" w:space="0" w:color="auto"/>
      </w:divBdr>
    </w:div>
    <w:div w:id="631331596">
      <w:bodyDiv w:val="1"/>
      <w:marLeft w:val="0"/>
      <w:marRight w:val="0"/>
      <w:marTop w:val="0"/>
      <w:marBottom w:val="0"/>
      <w:divBdr>
        <w:top w:val="none" w:sz="0" w:space="0" w:color="auto"/>
        <w:left w:val="none" w:sz="0" w:space="0" w:color="auto"/>
        <w:bottom w:val="none" w:sz="0" w:space="0" w:color="auto"/>
        <w:right w:val="none" w:sz="0" w:space="0" w:color="auto"/>
      </w:divBdr>
    </w:div>
    <w:div w:id="676347713">
      <w:bodyDiv w:val="1"/>
      <w:marLeft w:val="0"/>
      <w:marRight w:val="0"/>
      <w:marTop w:val="0"/>
      <w:marBottom w:val="0"/>
      <w:divBdr>
        <w:top w:val="none" w:sz="0" w:space="0" w:color="auto"/>
        <w:left w:val="none" w:sz="0" w:space="0" w:color="auto"/>
        <w:bottom w:val="none" w:sz="0" w:space="0" w:color="auto"/>
        <w:right w:val="none" w:sz="0" w:space="0" w:color="auto"/>
      </w:divBdr>
    </w:div>
    <w:div w:id="711076018">
      <w:bodyDiv w:val="1"/>
      <w:marLeft w:val="0"/>
      <w:marRight w:val="0"/>
      <w:marTop w:val="0"/>
      <w:marBottom w:val="0"/>
      <w:divBdr>
        <w:top w:val="none" w:sz="0" w:space="0" w:color="auto"/>
        <w:left w:val="none" w:sz="0" w:space="0" w:color="auto"/>
        <w:bottom w:val="none" w:sz="0" w:space="0" w:color="auto"/>
        <w:right w:val="none" w:sz="0" w:space="0" w:color="auto"/>
      </w:divBdr>
    </w:div>
    <w:div w:id="756438300">
      <w:bodyDiv w:val="1"/>
      <w:marLeft w:val="0"/>
      <w:marRight w:val="0"/>
      <w:marTop w:val="0"/>
      <w:marBottom w:val="0"/>
      <w:divBdr>
        <w:top w:val="none" w:sz="0" w:space="0" w:color="auto"/>
        <w:left w:val="none" w:sz="0" w:space="0" w:color="auto"/>
        <w:bottom w:val="none" w:sz="0" w:space="0" w:color="auto"/>
        <w:right w:val="none" w:sz="0" w:space="0" w:color="auto"/>
      </w:divBdr>
    </w:div>
    <w:div w:id="771510232">
      <w:bodyDiv w:val="1"/>
      <w:marLeft w:val="0"/>
      <w:marRight w:val="0"/>
      <w:marTop w:val="0"/>
      <w:marBottom w:val="0"/>
      <w:divBdr>
        <w:top w:val="none" w:sz="0" w:space="0" w:color="auto"/>
        <w:left w:val="none" w:sz="0" w:space="0" w:color="auto"/>
        <w:bottom w:val="none" w:sz="0" w:space="0" w:color="auto"/>
        <w:right w:val="none" w:sz="0" w:space="0" w:color="auto"/>
      </w:divBdr>
    </w:div>
    <w:div w:id="778838327">
      <w:bodyDiv w:val="1"/>
      <w:marLeft w:val="0"/>
      <w:marRight w:val="0"/>
      <w:marTop w:val="0"/>
      <w:marBottom w:val="0"/>
      <w:divBdr>
        <w:top w:val="none" w:sz="0" w:space="0" w:color="auto"/>
        <w:left w:val="none" w:sz="0" w:space="0" w:color="auto"/>
        <w:bottom w:val="none" w:sz="0" w:space="0" w:color="auto"/>
        <w:right w:val="none" w:sz="0" w:space="0" w:color="auto"/>
      </w:divBdr>
    </w:div>
    <w:div w:id="803812055">
      <w:bodyDiv w:val="1"/>
      <w:marLeft w:val="0"/>
      <w:marRight w:val="0"/>
      <w:marTop w:val="0"/>
      <w:marBottom w:val="0"/>
      <w:divBdr>
        <w:top w:val="none" w:sz="0" w:space="0" w:color="auto"/>
        <w:left w:val="none" w:sz="0" w:space="0" w:color="auto"/>
        <w:bottom w:val="none" w:sz="0" w:space="0" w:color="auto"/>
        <w:right w:val="none" w:sz="0" w:space="0" w:color="auto"/>
      </w:divBdr>
    </w:div>
    <w:div w:id="814181597">
      <w:bodyDiv w:val="1"/>
      <w:marLeft w:val="0"/>
      <w:marRight w:val="0"/>
      <w:marTop w:val="0"/>
      <w:marBottom w:val="0"/>
      <w:divBdr>
        <w:top w:val="none" w:sz="0" w:space="0" w:color="auto"/>
        <w:left w:val="none" w:sz="0" w:space="0" w:color="auto"/>
        <w:bottom w:val="none" w:sz="0" w:space="0" w:color="auto"/>
        <w:right w:val="none" w:sz="0" w:space="0" w:color="auto"/>
      </w:divBdr>
    </w:div>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864945128">
      <w:bodyDiv w:val="1"/>
      <w:marLeft w:val="0"/>
      <w:marRight w:val="0"/>
      <w:marTop w:val="0"/>
      <w:marBottom w:val="0"/>
      <w:divBdr>
        <w:top w:val="none" w:sz="0" w:space="0" w:color="auto"/>
        <w:left w:val="none" w:sz="0" w:space="0" w:color="auto"/>
        <w:bottom w:val="none" w:sz="0" w:space="0" w:color="auto"/>
        <w:right w:val="none" w:sz="0" w:space="0" w:color="auto"/>
      </w:divBdr>
    </w:div>
    <w:div w:id="899635402">
      <w:bodyDiv w:val="1"/>
      <w:marLeft w:val="0"/>
      <w:marRight w:val="0"/>
      <w:marTop w:val="0"/>
      <w:marBottom w:val="0"/>
      <w:divBdr>
        <w:top w:val="none" w:sz="0" w:space="0" w:color="auto"/>
        <w:left w:val="none" w:sz="0" w:space="0" w:color="auto"/>
        <w:bottom w:val="none" w:sz="0" w:space="0" w:color="auto"/>
        <w:right w:val="none" w:sz="0" w:space="0" w:color="auto"/>
      </w:divBdr>
    </w:div>
    <w:div w:id="958268518">
      <w:bodyDiv w:val="1"/>
      <w:marLeft w:val="0"/>
      <w:marRight w:val="0"/>
      <w:marTop w:val="0"/>
      <w:marBottom w:val="0"/>
      <w:divBdr>
        <w:top w:val="none" w:sz="0" w:space="0" w:color="auto"/>
        <w:left w:val="none" w:sz="0" w:space="0" w:color="auto"/>
        <w:bottom w:val="none" w:sz="0" w:space="0" w:color="auto"/>
        <w:right w:val="none" w:sz="0" w:space="0" w:color="auto"/>
      </w:divBdr>
      <w:divsChild>
        <w:div w:id="272827197">
          <w:marLeft w:val="0"/>
          <w:marRight w:val="0"/>
          <w:marTop w:val="0"/>
          <w:marBottom w:val="0"/>
          <w:divBdr>
            <w:top w:val="none" w:sz="0" w:space="0" w:color="auto"/>
            <w:left w:val="none" w:sz="0" w:space="0" w:color="auto"/>
            <w:bottom w:val="none" w:sz="0" w:space="0" w:color="auto"/>
            <w:right w:val="none" w:sz="0" w:space="0" w:color="auto"/>
          </w:divBdr>
          <w:divsChild>
            <w:div w:id="1261524304">
              <w:marLeft w:val="0"/>
              <w:marRight w:val="0"/>
              <w:marTop w:val="0"/>
              <w:marBottom w:val="0"/>
              <w:divBdr>
                <w:top w:val="none" w:sz="0" w:space="0" w:color="auto"/>
                <w:left w:val="none" w:sz="0" w:space="0" w:color="auto"/>
                <w:bottom w:val="none" w:sz="0" w:space="0" w:color="auto"/>
                <w:right w:val="none" w:sz="0" w:space="0" w:color="auto"/>
              </w:divBdr>
              <w:divsChild>
                <w:div w:id="711610616">
                  <w:marLeft w:val="0"/>
                  <w:marRight w:val="0"/>
                  <w:marTop w:val="0"/>
                  <w:marBottom w:val="0"/>
                  <w:divBdr>
                    <w:top w:val="none" w:sz="0" w:space="0" w:color="auto"/>
                    <w:left w:val="none" w:sz="0" w:space="0" w:color="auto"/>
                    <w:bottom w:val="none" w:sz="0" w:space="0" w:color="auto"/>
                    <w:right w:val="none" w:sz="0" w:space="0" w:color="auto"/>
                  </w:divBdr>
                  <w:divsChild>
                    <w:div w:id="412163936">
                      <w:marLeft w:val="0"/>
                      <w:marRight w:val="0"/>
                      <w:marTop w:val="0"/>
                      <w:marBottom w:val="0"/>
                      <w:divBdr>
                        <w:top w:val="none" w:sz="0" w:space="0" w:color="auto"/>
                        <w:left w:val="none" w:sz="0" w:space="0" w:color="auto"/>
                        <w:bottom w:val="none" w:sz="0" w:space="0" w:color="auto"/>
                        <w:right w:val="none" w:sz="0" w:space="0" w:color="auto"/>
                      </w:divBdr>
                      <w:divsChild>
                        <w:div w:id="1357732150">
                          <w:marLeft w:val="0"/>
                          <w:marRight w:val="0"/>
                          <w:marTop w:val="0"/>
                          <w:marBottom w:val="0"/>
                          <w:divBdr>
                            <w:top w:val="none" w:sz="0" w:space="0" w:color="auto"/>
                            <w:left w:val="none" w:sz="0" w:space="0" w:color="auto"/>
                            <w:bottom w:val="none" w:sz="0" w:space="0" w:color="auto"/>
                            <w:right w:val="none" w:sz="0" w:space="0" w:color="auto"/>
                          </w:divBdr>
                          <w:divsChild>
                            <w:div w:id="1585604377">
                              <w:marLeft w:val="0"/>
                              <w:marRight w:val="0"/>
                              <w:marTop w:val="0"/>
                              <w:marBottom w:val="0"/>
                              <w:divBdr>
                                <w:top w:val="none" w:sz="0" w:space="0" w:color="auto"/>
                                <w:left w:val="none" w:sz="0" w:space="0" w:color="auto"/>
                                <w:bottom w:val="none" w:sz="0" w:space="0" w:color="auto"/>
                                <w:right w:val="none" w:sz="0" w:space="0" w:color="auto"/>
                              </w:divBdr>
                              <w:divsChild>
                                <w:div w:id="2111588056">
                                  <w:marLeft w:val="0"/>
                                  <w:marRight w:val="0"/>
                                  <w:marTop w:val="0"/>
                                  <w:marBottom w:val="0"/>
                                  <w:divBdr>
                                    <w:top w:val="none" w:sz="0" w:space="0" w:color="auto"/>
                                    <w:left w:val="none" w:sz="0" w:space="0" w:color="auto"/>
                                    <w:bottom w:val="none" w:sz="0" w:space="0" w:color="auto"/>
                                    <w:right w:val="none" w:sz="0" w:space="0" w:color="auto"/>
                                  </w:divBdr>
                                  <w:divsChild>
                                    <w:div w:id="1460684421">
                                      <w:marLeft w:val="0"/>
                                      <w:marRight w:val="0"/>
                                      <w:marTop w:val="0"/>
                                      <w:marBottom w:val="0"/>
                                      <w:divBdr>
                                        <w:top w:val="none" w:sz="0" w:space="0" w:color="auto"/>
                                        <w:left w:val="none" w:sz="0" w:space="0" w:color="auto"/>
                                        <w:bottom w:val="none" w:sz="0" w:space="0" w:color="auto"/>
                                        <w:right w:val="none" w:sz="0" w:space="0" w:color="auto"/>
                                      </w:divBdr>
                                      <w:divsChild>
                                        <w:div w:id="970938093">
                                          <w:marLeft w:val="0"/>
                                          <w:marRight w:val="0"/>
                                          <w:marTop w:val="0"/>
                                          <w:marBottom w:val="0"/>
                                          <w:divBdr>
                                            <w:top w:val="none" w:sz="0" w:space="0" w:color="auto"/>
                                            <w:left w:val="none" w:sz="0" w:space="0" w:color="auto"/>
                                            <w:bottom w:val="none" w:sz="0" w:space="0" w:color="auto"/>
                                            <w:right w:val="none" w:sz="0" w:space="0" w:color="auto"/>
                                          </w:divBdr>
                                          <w:divsChild>
                                            <w:div w:id="483861811">
                                              <w:marLeft w:val="0"/>
                                              <w:marRight w:val="0"/>
                                              <w:marTop w:val="0"/>
                                              <w:marBottom w:val="0"/>
                                              <w:divBdr>
                                                <w:top w:val="none" w:sz="0" w:space="0" w:color="auto"/>
                                                <w:left w:val="none" w:sz="0" w:space="0" w:color="auto"/>
                                                <w:bottom w:val="none" w:sz="0" w:space="0" w:color="auto"/>
                                                <w:right w:val="none" w:sz="0" w:space="0" w:color="auto"/>
                                              </w:divBdr>
                                              <w:divsChild>
                                                <w:div w:id="1207336139">
                                                  <w:marLeft w:val="0"/>
                                                  <w:marRight w:val="0"/>
                                                  <w:marTop w:val="0"/>
                                                  <w:marBottom w:val="0"/>
                                                  <w:divBdr>
                                                    <w:top w:val="none" w:sz="0" w:space="0" w:color="auto"/>
                                                    <w:left w:val="none" w:sz="0" w:space="0" w:color="auto"/>
                                                    <w:bottom w:val="none" w:sz="0" w:space="0" w:color="auto"/>
                                                    <w:right w:val="none" w:sz="0" w:space="0" w:color="auto"/>
                                                  </w:divBdr>
                                                  <w:divsChild>
                                                    <w:div w:id="7791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366118">
      <w:bodyDiv w:val="1"/>
      <w:marLeft w:val="0"/>
      <w:marRight w:val="0"/>
      <w:marTop w:val="0"/>
      <w:marBottom w:val="0"/>
      <w:divBdr>
        <w:top w:val="none" w:sz="0" w:space="0" w:color="auto"/>
        <w:left w:val="none" w:sz="0" w:space="0" w:color="auto"/>
        <w:bottom w:val="none" w:sz="0" w:space="0" w:color="auto"/>
        <w:right w:val="none" w:sz="0" w:space="0" w:color="auto"/>
      </w:divBdr>
    </w:div>
    <w:div w:id="1157262099">
      <w:bodyDiv w:val="1"/>
      <w:marLeft w:val="0"/>
      <w:marRight w:val="0"/>
      <w:marTop w:val="0"/>
      <w:marBottom w:val="0"/>
      <w:divBdr>
        <w:top w:val="none" w:sz="0" w:space="0" w:color="auto"/>
        <w:left w:val="none" w:sz="0" w:space="0" w:color="auto"/>
        <w:bottom w:val="none" w:sz="0" w:space="0" w:color="auto"/>
        <w:right w:val="none" w:sz="0" w:space="0" w:color="auto"/>
      </w:divBdr>
    </w:div>
    <w:div w:id="1203860672">
      <w:bodyDiv w:val="1"/>
      <w:marLeft w:val="0"/>
      <w:marRight w:val="0"/>
      <w:marTop w:val="0"/>
      <w:marBottom w:val="0"/>
      <w:divBdr>
        <w:top w:val="none" w:sz="0" w:space="0" w:color="auto"/>
        <w:left w:val="none" w:sz="0" w:space="0" w:color="auto"/>
        <w:bottom w:val="none" w:sz="0" w:space="0" w:color="auto"/>
        <w:right w:val="none" w:sz="0" w:space="0" w:color="auto"/>
      </w:divBdr>
    </w:div>
    <w:div w:id="1236668898">
      <w:bodyDiv w:val="1"/>
      <w:marLeft w:val="0"/>
      <w:marRight w:val="0"/>
      <w:marTop w:val="0"/>
      <w:marBottom w:val="0"/>
      <w:divBdr>
        <w:top w:val="none" w:sz="0" w:space="0" w:color="auto"/>
        <w:left w:val="none" w:sz="0" w:space="0" w:color="auto"/>
        <w:bottom w:val="none" w:sz="0" w:space="0" w:color="auto"/>
        <w:right w:val="none" w:sz="0" w:space="0" w:color="auto"/>
      </w:divBdr>
    </w:div>
    <w:div w:id="1245723045">
      <w:bodyDiv w:val="1"/>
      <w:marLeft w:val="0"/>
      <w:marRight w:val="0"/>
      <w:marTop w:val="0"/>
      <w:marBottom w:val="0"/>
      <w:divBdr>
        <w:top w:val="none" w:sz="0" w:space="0" w:color="auto"/>
        <w:left w:val="none" w:sz="0" w:space="0" w:color="auto"/>
        <w:bottom w:val="none" w:sz="0" w:space="0" w:color="auto"/>
        <w:right w:val="none" w:sz="0" w:space="0" w:color="auto"/>
      </w:divBdr>
    </w:div>
    <w:div w:id="1289240704">
      <w:bodyDiv w:val="1"/>
      <w:marLeft w:val="0"/>
      <w:marRight w:val="0"/>
      <w:marTop w:val="0"/>
      <w:marBottom w:val="0"/>
      <w:divBdr>
        <w:top w:val="none" w:sz="0" w:space="0" w:color="auto"/>
        <w:left w:val="none" w:sz="0" w:space="0" w:color="auto"/>
        <w:bottom w:val="none" w:sz="0" w:space="0" w:color="auto"/>
        <w:right w:val="none" w:sz="0" w:space="0" w:color="auto"/>
      </w:divBdr>
    </w:div>
    <w:div w:id="1302659288">
      <w:bodyDiv w:val="1"/>
      <w:marLeft w:val="0"/>
      <w:marRight w:val="0"/>
      <w:marTop w:val="0"/>
      <w:marBottom w:val="0"/>
      <w:divBdr>
        <w:top w:val="none" w:sz="0" w:space="0" w:color="auto"/>
        <w:left w:val="none" w:sz="0" w:space="0" w:color="auto"/>
        <w:bottom w:val="none" w:sz="0" w:space="0" w:color="auto"/>
        <w:right w:val="none" w:sz="0" w:space="0" w:color="auto"/>
      </w:divBdr>
    </w:div>
    <w:div w:id="1337345542">
      <w:bodyDiv w:val="1"/>
      <w:marLeft w:val="0"/>
      <w:marRight w:val="0"/>
      <w:marTop w:val="0"/>
      <w:marBottom w:val="0"/>
      <w:divBdr>
        <w:top w:val="none" w:sz="0" w:space="0" w:color="auto"/>
        <w:left w:val="none" w:sz="0" w:space="0" w:color="auto"/>
        <w:bottom w:val="none" w:sz="0" w:space="0" w:color="auto"/>
        <w:right w:val="none" w:sz="0" w:space="0" w:color="auto"/>
      </w:divBdr>
    </w:div>
    <w:div w:id="1361053673">
      <w:bodyDiv w:val="1"/>
      <w:marLeft w:val="0"/>
      <w:marRight w:val="0"/>
      <w:marTop w:val="0"/>
      <w:marBottom w:val="0"/>
      <w:divBdr>
        <w:top w:val="none" w:sz="0" w:space="0" w:color="auto"/>
        <w:left w:val="none" w:sz="0" w:space="0" w:color="auto"/>
        <w:bottom w:val="none" w:sz="0" w:space="0" w:color="auto"/>
        <w:right w:val="none" w:sz="0" w:space="0" w:color="auto"/>
      </w:divBdr>
    </w:div>
    <w:div w:id="1390151113">
      <w:bodyDiv w:val="1"/>
      <w:marLeft w:val="0"/>
      <w:marRight w:val="0"/>
      <w:marTop w:val="0"/>
      <w:marBottom w:val="0"/>
      <w:divBdr>
        <w:top w:val="none" w:sz="0" w:space="0" w:color="auto"/>
        <w:left w:val="none" w:sz="0" w:space="0" w:color="auto"/>
        <w:bottom w:val="none" w:sz="0" w:space="0" w:color="auto"/>
        <w:right w:val="none" w:sz="0" w:space="0" w:color="auto"/>
      </w:divBdr>
    </w:div>
    <w:div w:id="1455830969">
      <w:bodyDiv w:val="1"/>
      <w:marLeft w:val="0"/>
      <w:marRight w:val="0"/>
      <w:marTop w:val="0"/>
      <w:marBottom w:val="0"/>
      <w:divBdr>
        <w:top w:val="none" w:sz="0" w:space="0" w:color="auto"/>
        <w:left w:val="none" w:sz="0" w:space="0" w:color="auto"/>
        <w:bottom w:val="none" w:sz="0" w:space="0" w:color="auto"/>
        <w:right w:val="none" w:sz="0" w:space="0" w:color="auto"/>
      </w:divBdr>
    </w:div>
    <w:div w:id="1472479813">
      <w:bodyDiv w:val="1"/>
      <w:marLeft w:val="0"/>
      <w:marRight w:val="0"/>
      <w:marTop w:val="0"/>
      <w:marBottom w:val="0"/>
      <w:divBdr>
        <w:top w:val="none" w:sz="0" w:space="0" w:color="auto"/>
        <w:left w:val="none" w:sz="0" w:space="0" w:color="auto"/>
        <w:bottom w:val="none" w:sz="0" w:space="0" w:color="auto"/>
        <w:right w:val="none" w:sz="0" w:space="0" w:color="auto"/>
      </w:divBdr>
    </w:div>
    <w:div w:id="1494831233">
      <w:bodyDiv w:val="1"/>
      <w:marLeft w:val="0"/>
      <w:marRight w:val="0"/>
      <w:marTop w:val="0"/>
      <w:marBottom w:val="0"/>
      <w:divBdr>
        <w:top w:val="none" w:sz="0" w:space="0" w:color="auto"/>
        <w:left w:val="none" w:sz="0" w:space="0" w:color="auto"/>
        <w:bottom w:val="none" w:sz="0" w:space="0" w:color="auto"/>
        <w:right w:val="none" w:sz="0" w:space="0" w:color="auto"/>
      </w:divBdr>
    </w:div>
    <w:div w:id="1579821225">
      <w:bodyDiv w:val="1"/>
      <w:marLeft w:val="0"/>
      <w:marRight w:val="0"/>
      <w:marTop w:val="0"/>
      <w:marBottom w:val="0"/>
      <w:divBdr>
        <w:top w:val="none" w:sz="0" w:space="0" w:color="auto"/>
        <w:left w:val="none" w:sz="0" w:space="0" w:color="auto"/>
        <w:bottom w:val="none" w:sz="0" w:space="0" w:color="auto"/>
        <w:right w:val="none" w:sz="0" w:space="0" w:color="auto"/>
      </w:divBdr>
      <w:divsChild>
        <w:div w:id="1810246855">
          <w:marLeft w:val="0"/>
          <w:marRight w:val="0"/>
          <w:marTop w:val="0"/>
          <w:marBottom w:val="0"/>
          <w:divBdr>
            <w:top w:val="none" w:sz="0" w:space="0" w:color="auto"/>
            <w:left w:val="none" w:sz="0" w:space="0" w:color="auto"/>
            <w:bottom w:val="none" w:sz="0" w:space="0" w:color="auto"/>
            <w:right w:val="none" w:sz="0" w:space="0" w:color="auto"/>
          </w:divBdr>
          <w:divsChild>
            <w:div w:id="560992527">
              <w:marLeft w:val="0"/>
              <w:marRight w:val="0"/>
              <w:marTop w:val="0"/>
              <w:marBottom w:val="0"/>
              <w:divBdr>
                <w:top w:val="none" w:sz="0" w:space="0" w:color="auto"/>
                <w:left w:val="none" w:sz="0" w:space="0" w:color="auto"/>
                <w:bottom w:val="none" w:sz="0" w:space="0" w:color="auto"/>
                <w:right w:val="none" w:sz="0" w:space="0" w:color="auto"/>
              </w:divBdr>
              <w:divsChild>
                <w:div w:id="428307565">
                  <w:marLeft w:val="0"/>
                  <w:marRight w:val="0"/>
                  <w:marTop w:val="0"/>
                  <w:marBottom w:val="0"/>
                  <w:divBdr>
                    <w:top w:val="none" w:sz="0" w:space="0" w:color="auto"/>
                    <w:left w:val="none" w:sz="0" w:space="0" w:color="auto"/>
                    <w:bottom w:val="none" w:sz="0" w:space="0" w:color="auto"/>
                    <w:right w:val="none" w:sz="0" w:space="0" w:color="auto"/>
                  </w:divBdr>
                  <w:divsChild>
                    <w:div w:id="83959520">
                      <w:marLeft w:val="0"/>
                      <w:marRight w:val="0"/>
                      <w:marTop w:val="0"/>
                      <w:marBottom w:val="0"/>
                      <w:divBdr>
                        <w:top w:val="none" w:sz="0" w:space="0" w:color="auto"/>
                        <w:left w:val="none" w:sz="0" w:space="0" w:color="auto"/>
                        <w:bottom w:val="none" w:sz="0" w:space="0" w:color="auto"/>
                        <w:right w:val="none" w:sz="0" w:space="0" w:color="auto"/>
                      </w:divBdr>
                      <w:divsChild>
                        <w:div w:id="63921092">
                          <w:marLeft w:val="0"/>
                          <w:marRight w:val="0"/>
                          <w:marTop w:val="0"/>
                          <w:marBottom w:val="0"/>
                          <w:divBdr>
                            <w:top w:val="none" w:sz="0" w:space="0" w:color="auto"/>
                            <w:left w:val="none" w:sz="0" w:space="0" w:color="auto"/>
                            <w:bottom w:val="none" w:sz="0" w:space="0" w:color="auto"/>
                            <w:right w:val="none" w:sz="0" w:space="0" w:color="auto"/>
                          </w:divBdr>
                          <w:divsChild>
                            <w:div w:id="2036150542">
                              <w:marLeft w:val="0"/>
                              <w:marRight w:val="0"/>
                              <w:marTop w:val="0"/>
                              <w:marBottom w:val="0"/>
                              <w:divBdr>
                                <w:top w:val="none" w:sz="0" w:space="0" w:color="auto"/>
                                <w:left w:val="none" w:sz="0" w:space="0" w:color="auto"/>
                                <w:bottom w:val="none" w:sz="0" w:space="0" w:color="auto"/>
                                <w:right w:val="none" w:sz="0" w:space="0" w:color="auto"/>
                              </w:divBdr>
                              <w:divsChild>
                                <w:div w:id="173885925">
                                  <w:marLeft w:val="0"/>
                                  <w:marRight w:val="0"/>
                                  <w:marTop w:val="0"/>
                                  <w:marBottom w:val="0"/>
                                  <w:divBdr>
                                    <w:top w:val="none" w:sz="0" w:space="0" w:color="auto"/>
                                    <w:left w:val="none" w:sz="0" w:space="0" w:color="auto"/>
                                    <w:bottom w:val="none" w:sz="0" w:space="0" w:color="auto"/>
                                    <w:right w:val="none" w:sz="0" w:space="0" w:color="auto"/>
                                  </w:divBdr>
                                  <w:divsChild>
                                    <w:div w:id="935330239">
                                      <w:marLeft w:val="0"/>
                                      <w:marRight w:val="0"/>
                                      <w:marTop w:val="0"/>
                                      <w:marBottom w:val="0"/>
                                      <w:divBdr>
                                        <w:top w:val="none" w:sz="0" w:space="0" w:color="auto"/>
                                        <w:left w:val="none" w:sz="0" w:space="0" w:color="auto"/>
                                        <w:bottom w:val="none" w:sz="0" w:space="0" w:color="auto"/>
                                        <w:right w:val="none" w:sz="0" w:space="0" w:color="auto"/>
                                      </w:divBdr>
                                      <w:divsChild>
                                        <w:div w:id="494880170">
                                          <w:marLeft w:val="0"/>
                                          <w:marRight w:val="0"/>
                                          <w:marTop w:val="0"/>
                                          <w:marBottom w:val="0"/>
                                          <w:divBdr>
                                            <w:top w:val="none" w:sz="0" w:space="0" w:color="auto"/>
                                            <w:left w:val="none" w:sz="0" w:space="0" w:color="auto"/>
                                            <w:bottom w:val="none" w:sz="0" w:space="0" w:color="auto"/>
                                            <w:right w:val="none" w:sz="0" w:space="0" w:color="auto"/>
                                          </w:divBdr>
                                          <w:divsChild>
                                            <w:div w:id="1436242770">
                                              <w:marLeft w:val="0"/>
                                              <w:marRight w:val="0"/>
                                              <w:marTop w:val="0"/>
                                              <w:marBottom w:val="0"/>
                                              <w:divBdr>
                                                <w:top w:val="none" w:sz="0" w:space="0" w:color="auto"/>
                                                <w:left w:val="none" w:sz="0" w:space="0" w:color="auto"/>
                                                <w:bottom w:val="none" w:sz="0" w:space="0" w:color="auto"/>
                                                <w:right w:val="none" w:sz="0" w:space="0" w:color="auto"/>
                                              </w:divBdr>
                                              <w:divsChild>
                                                <w:div w:id="1782720874">
                                                  <w:marLeft w:val="0"/>
                                                  <w:marRight w:val="0"/>
                                                  <w:marTop w:val="0"/>
                                                  <w:marBottom w:val="0"/>
                                                  <w:divBdr>
                                                    <w:top w:val="none" w:sz="0" w:space="0" w:color="auto"/>
                                                    <w:left w:val="none" w:sz="0" w:space="0" w:color="auto"/>
                                                    <w:bottom w:val="none" w:sz="0" w:space="0" w:color="auto"/>
                                                    <w:right w:val="none" w:sz="0" w:space="0" w:color="auto"/>
                                                  </w:divBdr>
                                                  <w:divsChild>
                                                    <w:div w:id="135150062">
                                                      <w:marLeft w:val="0"/>
                                                      <w:marRight w:val="0"/>
                                                      <w:marTop w:val="0"/>
                                                      <w:marBottom w:val="0"/>
                                                      <w:divBdr>
                                                        <w:top w:val="none" w:sz="0" w:space="0" w:color="auto"/>
                                                        <w:left w:val="none" w:sz="0" w:space="0" w:color="auto"/>
                                                        <w:bottom w:val="none" w:sz="0" w:space="0" w:color="auto"/>
                                                        <w:right w:val="none" w:sz="0" w:space="0" w:color="auto"/>
                                                      </w:divBdr>
                                                      <w:divsChild>
                                                        <w:div w:id="1211386005">
                                                          <w:marLeft w:val="0"/>
                                                          <w:marRight w:val="0"/>
                                                          <w:marTop w:val="0"/>
                                                          <w:marBottom w:val="0"/>
                                                          <w:divBdr>
                                                            <w:top w:val="none" w:sz="0" w:space="0" w:color="auto"/>
                                                            <w:left w:val="none" w:sz="0" w:space="0" w:color="auto"/>
                                                            <w:bottom w:val="none" w:sz="0" w:space="0" w:color="auto"/>
                                                            <w:right w:val="none" w:sz="0" w:space="0" w:color="auto"/>
                                                          </w:divBdr>
                                                          <w:divsChild>
                                                            <w:div w:id="1798335146">
                                                              <w:marLeft w:val="0"/>
                                                              <w:marRight w:val="0"/>
                                                              <w:marTop w:val="0"/>
                                                              <w:marBottom w:val="0"/>
                                                              <w:divBdr>
                                                                <w:top w:val="none" w:sz="0" w:space="0" w:color="auto"/>
                                                                <w:left w:val="none" w:sz="0" w:space="0" w:color="auto"/>
                                                                <w:bottom w:val="none" w:sz="0" w:space="0" w:color="auto"/>
                                                                <w:right w:val="none" w:sz="0" w:space="0" w:color="auto"/>
                                                              </w:divBdr>
                                                              <w:divsChild>
                                                                <w:div w:id="5474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2426475">
      <w:bodyDiv w:val="1"/>
      <w:marLeft w:val="0"/>
      <w:marRight w:val="0"/>
      <w:marTop w:val="0"/>
      <w:marBottom w:val="0"/>
      <w:divBdr>
        <w:top w:val="none" w:sz="0" w:space="0" w:color="auto"/>
        <w:left w:val="none" w:sz="0" w:space="0" w:color="auto"/>
        <w:bottom w:val="none" w:sz="0" w:space="0" w:color="auto"/>
        <w:right w:val="none" w:sz="0" w:space="0" w:color="auto"/>
      </w:divBdr>
    </w:div>
    <w:div w:id="1609506095">
      <w:bodyDiv w:val="1"/>
      <w:marLeft w:val="0"/>
      <w:marRight w:val="0"/>
      <w:marTop w:val="0"/>
      <w:marBottom w:val="0"/>
      <w:divBdr>
        <w:top w:val="none" w:sz="0" w:space="0" w:color="auto"/>
        <w:left w:val="none" w:sz="0" w:space="0" w:color="auto"/>
        <w:bottom w:val="none" w:sz="0" w:space="0" w:color="auto"/>
        <w:right w:val="none" w:sz="0" w:space="0" w:color="auto"/>
      </w:divBdr>
    </w:div>
    <w:div w:id="1617440940">
      <w:bodyDiv w:val="1"/>
      <w:marLeft w:val="0"/>
      <w:marRight w:val="0"/>
      <w:marTop w:val="0"/>
      <w:marBottom w:val="0"/>
      <w:divBdr>
        <w:top w:val="none" w:sz="0" w:space="0" w:color="auto"/>
        <w:left w:val="none" w:sz="0" w:space="0" w:color="auto"/>
        <w:bottom w:val="none" w:sz="0" w:space="0" w:color="auto"/>
        <w:right w:val="none" w:sz="0" w:space="0" w:color="auto"/>
      </w:divBdr>
    </w:div>
    <w:div w:id="1650405521">
      <w:bodyDiv w:val="1"/>
      <w:marLeft w:val="0"/>
      <w:marRight w:val="0"/>
      <w:marTop w:val="0"/>
      <w:marBottom w:val="0"/>
      <w:divBdr>
        <w:top w:val="none" w:sz="0" w:space="0" w:color="auto"/>
        <w:left w:val="none" w:sz="0" w:space="0" w:color="auto"/>
        <w:bottom w:val="none" w:sz="0" w:space="0" w:color="auto"/>
        <w:right w:val="none" w:sz="0" w:space="0" w:color="auto"/>
      </w:divBdr>
    </w:div>
    <w:div w:id="1667514251">
      <w:bodyDiv w:val="1"/>
      <w:marLeft w:val="0"/>
      <w:marRight w:val="0"/>
      <w:marTop w:val="0"/>
      <w:marBottom w:val="0"/>
      <w:divBdr>
        <w:top w:val="none" w:sz="0" w:space="0" w:color="auto"/>
        <w:left w:val="none" w:sz="0" w:space="0" w:color="auto"/>
        <w:bottom w:val="none" w:sz="0" w:space="0" w:color="auto"/>
        <w:right w:val="none" w:sz="0" w:space="0" w:color="auto"/>
      </w:divBdr>
    </w:div>
    <w:div w:id="1681620669">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838884023">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 w:id="1928028161">
      <w:bodyDiv w:val="1"/>
      <w:marLeft w:val="0"/>
      <w:marRight w:val="0"/>
      <w:marTop w:val="0"/>
      <w:marBottom w:val="0"/>
      <w:divBdr>
        <w:top w:val="none" w:sz="0" w:space="0" w:color="auto"/>
        <w:left w:val="none" w:sz="0" w:space="0" w:color="auto"/>
        <w:bottom w:val="none" w:sz="0" w:space="0" w:color="auto"/>
        <w:right w:val="none" w:sz="0" w:space="0" w:color="auto"/>
      </w:divBdr>
    </w:div>
    <w:div w:id="1928881382">
      <w:bodyDiv w:val="1"/>
      <w:marLeft w:val="0"/>
      <w:marRight w:val="0"/>
      <w:marTop w:val="0"/>
      <w:marBottom w:val="0"/>
      <w:divBdr>
        <w:top w:val="none" w:sz="0" w:space="0" w:color="auto"/>
        <w:left w:val="none" w:sz="0" w:space="0" w:color="auto"/>
        <w:bottom w:val="none" w:sz="0" w:space="0" w:color="auto"/>
        <w:right w:val="none" w:sz="0" w:space="0" w:color="auto"/>
      </w:divBdr>
    </w:div>
    <w:div w:id="1955936852">
      <w:bodyDiv w:val="1"/>
      <w:marLeft w:val="0"/>
      <w:marRight w:val="0"/>
      <w:marTop w:val="0"/>
      <w:marBottom w:val="0"/>
      <w:divBdr>
        <w:top w:val="none" w:sz="0" w:space="0" w:color="auto"/>
        <w:left w:val="none" w:sz="0" w:space="0" w:color="auto"/>
        <w:bottom w:val="none" w:sz="0" w:space="0" w:color="auto"/>
        <w:right w:val="none" w:sz="0" w:space="0" w:color="auto"/>
      </w:divBdr>
    </w:div>
    <w:div w:id="2033800029">
      <w:bodyDiv w:val="1"/>
      <w:marLeft w:val="0"/>
      <w:marRight w:val="0"/>
      <w:marTop w:val="0"/>
      <w:marBottom w:val="0"/>
      <w:divBdr>
        <w:top w:val="none" w:sz="0" w:space="0" w:color="auto"/>
        <w:left w:val="none" w:sz="0" w:space="0" w:color="auto"/>
        <w:bottom w:val="none" w:sz="0" w:space="0" w:color="auto"/>
        <w:right w:val="none" w:sz="0" w:space="0" w:color="auto"/>
      </w:divBdr>
    </w:div>
    <w:div w:id="210484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BC301-EA6C-4160-857F-CE7519FF8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74</Pages>
  <Words>20730</Words>
  <Characters>118165</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138618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3</cp:revision>
  <cp:lastPrinted>2018-10-04T15:04:00Z</cp:lastPrinted>
  <dcterms:created xsi:type="dcterms:W3CDTF">2018-09-19T20:25:00Z</dcterms:created>
  <dcterms:modified xsi:type="dcterms:W3CDTF">2018-10-04T15:27:00Z</dcterms:modified>
</cp:coreProperties>
</file>