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145C0344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4B5C76" w:rsidRPr="004B5C76">
        <w:rPr>
          <w:sz w:val="22"/>
          <w:szCs w:val="22"/>
        </w:rPr>
        <w:t>C-2018-3005150</w:t>
      </w:r>
    </w:p>
    <w:p w14:paraId="4E03065F" w14:textId="408EA19D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ED1C6F">
        <w:rPr>
          <w:sz w:val="22"/>
          <w:szCs w:val="22"/>
        </w:rPr>
        <w:t>October 5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  <w:bookmarkStart w:id="0" w:name="_GoBack"/>
      <w:bookmarkEnd w:id="0"/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7625A4D3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4B5C76" w:rsidRPr="004B5C76">
        <w:rPr>
          <w:sz w:val="22"/>
          <w:szCs w:val="22"/>
        </w:rPr>
        <w:t>Carroll Stroh</w:t>
      </w:r>
      <w:r w:rsidR="00906FA2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2F7B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5C76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1C6F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4</cp:revision>
  <cp:lastPrinted>2018-07-19T19:55:00Z</cp:lastPrinted>
  <dcterms:created xsi:type="dcterms:W3CDTF">2018-10-04T17:31:00Z</dcterms:created>
  <dcterms:modified xsi:type="dcterms:W3CDTF">2018-10-04T17:32:00Z</dcterms:modified>
</cp:coreProperties>
</file>