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9AC" w14:textId="77777777" w:rsidR="00D52F64" w:rsidRDefault="00D52F64" w:rsidP="007F15C0">
      <w:pPr>
        <w:pStyle w:val="Title"/>
        <w:spacing w:line="240" w:lineRule="auto"/>
      </w:pPr>
      <w:r>
        <w:t>BEFORE THE</w:t>
      </w:r>
    </w:p>
    <w:p w14:paraId="49A80BE2" w14:textId="77777777" w:rsidR="00D52F64" w:rsidRDefault="00D52F64" w:rsidP="007F15C0">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DCB31E" w14:textId="77777777" w:rsidR="00D52F64" w:rsidRDefault="00D52F64" w:rsidP="007F15C0">
      <w:pPr>
        <w:tabs>
          <w:tab w:val="left" w:pos="360"/>
        </w:tabs>
        <w:jc w:val="both"/>
        <w:rPr>
          <w:b/>
          <w:sz w:val="24"/>
        </w:rPr>
      </w:pPr>
    </w:p>
    <w:p w14:paraId="03D073D2" w14:textId="77777777" w:rsidR="00D52F64" w:rsidRDefault="00D52F64" w:rsidP="007F15C0">
      <w:pPr>
        <w:tabs>
          <w:tab w:val="left" w:pos="360"/>
        </w:tabs>
        <w:jc w:val="both"/>
        <w:rPr>
          <w:b/>
          <w:sz w:val="24"/>
        </w:rPr>
      </w:pPr>
    </w:p>
    <w:p w14:paraId="6EF804AC" w14:textId="77777777" w:rsidR="00D52F64" w:rsidRDefault="00D52F64" w:rsidP="007F15C0">
      <w:pPr>
        <w:tabs>
          <w:tab w:val="left" w:pos="360"/>
        </w:tabs>
        <w:jc w:val="both"/>
        <w:rPr>
          <w:b/>
          <w:sz w:val="24"/>
        </w:rPr>
      </w:pPr>
    </w:p>
    <w:p w14:paraId="3BD81BF7" w14:textId="42B3AED2" w:rsidR="00D52F64" w:rsidRPr="00DA1E85" w:rsidRDefault="005A1671" w:rsidP="007F15C0">
      <w:pPr>
        <w:tabs>
          <w:tab w:val="left" w:pos="360"/>
        </w:tabs>
        <w:jc w:val="both"/>
        <w:rPr>
          <w:sz w:val="24"/>
        </w:rPr>
      </w:pPr>
      <w:r w:rsidRPr="005A1671">
        <w:rPr>
          <w:sz w:val="24"/>
        </w:rPr>
        <w:t xml:space="preserve">Janet </w:t>
      </w:r>
      <w:proofErr w:type="spellStart"/>
      <w:r w:rsidRPr="005A1671">
        <w:rPr>
          <w:sz w:val="24"/>
        </w:rPr>
        <w:t>Mioduszewski</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14:paraId="6CB5B8B5"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127BD9C3" w14:textId="6DE37D31" w:rsidR="00D52F64" w:rsidRPr="00DA1E85" w:rsidRDefault="00D52F64" w:rsidP="007F15C0">
      <w:pPr>
        <w:tabs>
          <w:tab w:val="left" w:pos="360"/>
          <w:tab w:val="left" w:pos="720"/>
        </w:tabs>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5A1671" w:rsidRPr="005A1671">
        <w:rPr>
          <w:sz w:val="24"/>
        </w:rPr>
        <w:t>C-2018-3003806</w:t>
      </w:r>
    </w:p>
    <w:p w14:paraId="345DD7CC"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0F2C6B4E" w14:textId="4E696F24" w:rsidR="00E10828" w:rsidRPr="00DA1E85" w:rsidRDefault="00DD7202" w:rsidP="007F15C0">
      <w:pPr>
        <w:tabs>
          <w:tab w:val="left" w:pos="360"/>
        </w:tabs>
        <w:jc w:val="both"/>
        <w:rPr>
          <w:sz w:val="24"/>
        </w:rPr>
      </w:pPr>
      <w:r w:rsidRPr="00DA1E85">
        <w:rPr>
          <w:sz w:val="24"/>
        </w:rPr>
        <w:t xml:space="preserve">Pennsylvania </w:t>
      </w:r>
      <w:r w:rsidR="005A1671">
        <w:rPr>
          <w:sz w:val="24"/>
        </w:rPr>
        <w:t>Electric</w:t>
      </w:r>
      <w:r w:rsidR="00C526F7" w:rsidRPr="00DA1E85">
        <w:rPr>
          <w:sz w:val="24"/>
        </w:rPr>
        <w:t xml:space="preserve"> Company</w:t>
      </w:r>
      <w:r w:rsidR="00860B49" w:rsidRPr="00DA1E85">
        <w:rPr>
          <w:sz w:val="24"/>
        </w:rPr>
        <w:tab/>
      </w:r>
      <w:r w:rsidR="00860B49" w:rsidRPr="00DA1E85">
        <w:rPr>
          <w:sz w:val="24"/>
        </w:rPr>
        <w:tab/>
      </w:r>
      <w:r w:rsidR="00860B49" w:rsidRPr="00DA1E85">
        <w:rPr>
          <w:sz w:val="24"/>
        </w:rPr>
        <w:tab/>
      </w:r>
      <w:r w:rsidR="00E10828" w:rsidRPr="00DA1E85">
        <w:rPr>
          <w:sz w:val="24"/>
        </w:rPr>
        <w:t>:</w:t>
      </w:r>
    </w:p>
    <w:p w14:paraId="361D39AC" w14:textId="77777777" w:rsidR="00D52F64" w:rsidRDefault="00D52F64" w:rsidP="007F15C0">
      <w:pPr>
        <w:tabs>
          <w:tab w:val="left" w:pos="360"/>
        </w:tabs>
        <w:jc w:val="both"/>
        <w:rPr>
          <w:sz w:val="24"/>
        </w:rPr>
      </w:pPr>
    </w:p>
    <w:p w14:paraId="1A3A4704" w14:textId="77777777" w:rsidR="00D52F64" w:rsidRDefault="00D52F64" w:rsidP="007F15C0">
      <w:pPr>
        <w:tabs>
          <w:tab w:val="left" w:pos="360"/>
        </w:tabs>
        <w:jc w:val="both"/>
        <w:rPr>
          <w:b/>
          <w:sz w:val="24"/>
        </w:rPr>
      </w:pPr>
    </w:p>
    <w:p w14:paraId="48C31B86" w14:textId="77777777" w:rsidR="00D52F64" w:rsidRDefault="00D52F64" w:rsidP="007F15C0">
      <w:pPr>
        <w:tabs>
          <w:tab w:val="left" w:pos="360"/>
        </w:tabs>
        <w:jc w:val="both"/>
        <w:rPr>
          <w:b/>
          <w:sz w:val="24"/>
        </w:rPr>
      </w:pPr>
    </w:p>
    <w:p w14:paraId="0003D0EE" w14:textId="77777777" w:rsidR="00D52F64" w:rsidRDefault="00D52F64" w:rsidP="007F15C0">
      <w:pPr>
        <w:tabs>
          <w:tab w:val="left" w:pos="360"/>
        </w:tabs>
        <w:jc w:val="center"/>
        <w:rPr>
          <w:b/>
          <w:sz w:val="24"/>
          <w:u w:val="single"/>
        </w:rPr>
      </w:pPr>
      <w:r>
        <w:rPr>
          <w:b/>
          <w:sz w:val="24"/>
          <w:u w:val="single"/>
        </w:rPr>
        <w:t>PREHEARING ORDER</w:t>
      </w:r>
    </w:p>
    <w:p w14:paraId="2D72E77F" w14:textId="77777777" w:rsidR="00D52F64" w:rsidRDefault="00D52F64">
      <w:pPr>
        <w:tabs>
          <w:tab w:val="left" w:pos="360"/>
        </w:tabs>
        <w:spacing w:line="233" w:lineRule="auto"/>
        <w:jc w:val="both"/>
        <w:rPr>
          <w:sz w:val="24"/>
        </w:rPr>
      </w:pPr>
    </w:p>
    <w:p w14:paraId="2C27ACFC" w14:textId="77777777" w:rsidR="00D52F64" w:rsidRDefault="00D52F64">
      <w:pPr>
        <w:tabs>
          <w:tab w:val="left" w:pos="360"/>
        </w:tabs>
        <w:spacing w:line="233" w:lineRule="auto"/>
        <w:jc w:val="both"/>
        <w:rPr>
          <w:sz w:val="24"/>
        </w:rPr>
      </w:pPr>
    </w:p>
    <w:p w14:paraId="0924098B" w14:textId="720B8CEA"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D7586A">
        <w:rPr>
          <w:sz w:val="24"/>
        </w:rPr>
        <w:t>Wednesday, November </w:t>
      </w:r>
      <w:bookmarkStart w:id="0" w:name="_GoBack"/>
      <w:bookmarkEnd w:id="0"/>
      <w:r w:rsidR="00D7586A">
        <w:rPr>
          <w:sz w:val="24"/>
        </w:rPr>
        <w:t>7</w:t>
      </w:r>
      <w:r w:rsidR="00DA1E85" w:rsidRPr="00DA1E85">
        <w:rPr>
          <w:sz w:val="24"/>
        </w:rPr>
        <w:t>,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468EC7FD" w14:textId="77777777" w:rsidR="00740357" w:rsidRDefault="00740357" w:rsidP="00802D85">
      <w:pPr>
        <w:spacing w:line="360" w:lineRule="auto"/>
        <w:rPr>
          <w:sz w:val="24"/>
          <w:szCs w:val="24"/>
        </w:rPr>
      </w:pPr>
    </w:p>
    <w:p w14:paraId="6E9B16B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4EC3CF9C"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14:paraId="49007F32" w14:textId="77777777" w:rsidR="00802D85" w:rsidRDefault="00802D85" w:rsidP="00802D85"/>
    <w:p w14:paraId="331C6DBE" w14:textId="77777777"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14:paraId="64AADDED" w14:textId="77777777" w:rsidR="00962AA0" w:rsidRDefault="00962AA0" w:rsidP="00295C93">
      <w:pPr>
        <w:tabs>
          <w:tab w:val="left" w:pos="360"/>
        </w:tabs>
        <w:spacing w:line="360" w:lineRule="auto"/>
        <w:rPr>
          <w:sz w:val="24"/>
        </w:rPr>
      </w:pPr>
    </w:p>
    <w:p w14:paraId="0A10A704" w14:textId="77777777"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14:paraId="3BE3F6BB" w14:textId="77777777" w:rsidR="00DD7202" w:rsidRDefault="00DD7202" w:rsidP="00DD7202">
      <w:pPr>
        <w:tabs>
          <w:tab w:val="left" w:pos="360"/>
        </w:tabs>
        <w:spacing w:line="360" w:lineRule="auto"/>
        <w:jc w:val="both"/>
        <w:rPr>
          <w:sz w:val="24"/>
        </w:rPr>
      </w:pPr>
    </w:p>
    <w:p w14:paraId="337D3934" w14:textId="77777777"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6084E7D" w14:textId="77777777" w:rsidR="00DD7202" w:rsidRDefault="00DD7202" w:rsidP="00DD7202">
      <w:pPr>
        <w:tabs>
          <w:tab w:val="left" w:pos="360"/>
        </w:tabs>
        <w:spacing w:line="360" w:lineRule="auto"/>
        <w:jc w:val="both"/>
        <w:rPr>
          <w:sz w:val="24"/>
        </w:rPr>
      </w:pPr>
    </w:p>
    <w:p w14:paraId="67B80001" w14:textId="77777777"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18E5041A" w14:textId="77777777" w:rsidR="00DD7202" w:rsidRDefault="00DD7202" w:rsidP="00DD7202">
      <w:pPr>
        <w:tabs>
          <w:tab w:val="left" w:pos="360"/>
        </w:tabs>
        <w:spacing w:line="360" w:lineRule="auto"/>
        <w:jc w:val="both"/>
        <w:rPr>
          <w:sz w:val="24"/>
        </w:rPr>
      </w:pPr>
    </w:p>
    <w:p w14:paraId="24DB15D7" w14:textId="77777777"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03E19C05" w14:textId="77777777" w:rsidR="00DD7202" w:rsidRDefault="00DD7202" w:rsidP="00DD7202">
      <w:pPr>
        <w:tabs>
          <w:tab w:val="left" w:pos="360"/>
        </w:tabs>
        <w:spacing w:line="360" w:lineRule="auto"/>
        <w:jc w:val="both"/>
        <w:rPr>
          <w:sz w:val="24"/>
        </w:rPr>
      </w:pPr>
    </w:p>
    <w:p w14:paraId="012B272A" w14:textId="77777777"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6F8A2456" w14:textId="77777777" w:rsidR="00DD7202" w:rsidRPr="00600ECE" w:rsidRDefault="00DD7202" w:rsidP="00DD7202">
      <w:pPr>
        <w:tabs>
          <w:tab w:val="left" w:pos="360"/>
        </w:tabs>
        <w:spacing w:line="360" w:lineRule="auto"/>
        <w:rPr>
          <w:sz w:val="24"/>
        </w:rPr>
      </w:pPr>
    </w:p>
    <w:p w14:paraId="21A0EC49"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359560E5" w14:textId="77777777" w:rsidR="00DD7202" w:rsidRDefault="00DD7202" w:rsidP="00DD7202">
      <w:pPr>
        <w:tabs>
          <w:tab w:val="left" w:pos="360"/>
        </w:tabs>
        <w:rPr>
          <w:sz w:val="24"/>
        </w:rPr>
      </w:pPr>
    </w:p>
    <w:p w14:paraId="3EB309C2"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58A25C6" w14:textId="77777777" w:rsidR="00DD7202" w:rsidRDefault="00DD7202" w:rsidP="00DD7202">
      <w:pPr>
        <w:tabs>
          <w:tab w:val="left" w:pos="360"/>
        </w:tabs>
        <w:spacing w:line="360" w:lineRule="auto"/>
        <w:rPr>
          <w:sz w:val="24"/>
        </w:rPr>
      </w:pPr>
    </w:p>
    <w:p w14:paraId="4FD81603"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2FD15F50" w14:textId="77777777" w:rsidR="00DD7202" w:rsidRDefault="00DD7202" w:rsidP="00DD7202">
      <w:pPr>
        <w:tabs>
          <w:tab w:val="left" w:pos="360"/>
        </w:tabs>
        <w:spacing w:line="360" w:lineRule="auto"/>
        <w:rPr>
          <w:sz w:val="24"/>
        </w:rPr>
      </w:pPr>
    </w:p>
    <w:p w14:paraId="0E423AF6"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1DDC9A01" w14:textId="77777777" w:rsidR="00DD7202" w:rsidRDefault="00DD7202" w:rsidP="00DD7202">
      <w:pPr>
        <w:tabs>
          <w:tab w:val="left" w:pos="360"/>
        </w:tabs>
        <w:rPr>
          <w:sz w:val="24"/>
        </w:rPr>
      </w:pPr>
    </w:p>
    <w:p w14:paraId="330CD967"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0EFD115F" w14:textId="77777777" w:rsidR="00DD7202" w:rsidRDefault="00DD7202" w:rsidP="00DD7202">
      <w:pPr>
        <w:tabs>
          <w:tab w:val="left" w:pos="360"/>
        </w:tabs>
        <w:rPr>
          <w:sz w:val="24"/>
        </w:rPr>
      </w:pPr>
    </w:p>
    <w:p w14:paraId="1D9031E5"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3FD6E380" w14:textId="77777777" w:rsidR="00DD7202" w:rsidRDefault="00DD7202" w:rsidP="00DD7202">
      <w:pPr>
        <w:tabs>
          <w:tab w:val="left" w:pos="360"/>
        </w:tabs>
        <w:spacing w:line="360" w:lineRule="auto"/>
        <w:jc w:val="both"/>
        <w:rPr>
          <w:sz w:val="24"/>
        </w:rPr>
      </w:pPr>
    </w:p>
    <w:p w14:paraId="31E28004" w14:textId="77777777"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5955DD1D" w14:textId="77777777" w:rsidR="00DD7202" w:rsidRDefault="00DD7202" w:rsidP="00DD7202">
      <w:pPr>
        <w:tabs>
          <w:tab w:val="left" w:pos="360"/>
        </w:tabs>
        <w:spacing w:line="360" w:lineRule="auto"/>
        <w:rPr>
          <w:sz w:val="24"/>
        </w:rPr>
      </w:pPr>
    </w:p>
    <w:p w14:paraId="4E107C33"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6979821F" w14:textId="77777777" w:rsidR="00DD7202" w:rsidRDefault="00DD7202" w:rsidP="00DD7202">
      <w:pPr>
        <w:pStyle w:val="ListParagraph"/>
        <w:rPr>
          <w:sz w:val="24"/>
        </w:rPr>
      </w:pPr>
    </w:p>
    <w:p w14:paraId="7581D80B" w14:textId="77777777"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14A16B5" w14:textId="77777777" w:rsidR="00DD7202" w:rsidRDefault="00DD7202" w:rsidP="00DD7202">
      <w:pPr>
        <w:tabs>
          <w:tab w:val="left" w:pos="360"/>
        </w:tabs>
        <w:spacing w:line="360" w:lineRule="auto"/>
        <w:rPr>
          <w:sz w:val="24"/>
        </w:rPr>
      </w:pPr>
      <w:r>
        <w:rPr>
          <w:sz w:val="24"/>
        </w:rPr>
        <w:t xml:space="preserve"> </w:t>
      </w:r>
    </w:p>
    <w:p w14:paraId="6255E934" w14:textId="77777777"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4E06CB9" w14:textId="77777777" w:rsidR="00DD7202" w:rsidRPr="0071775E" w:rsidRDefault="00DD7202" w:rsidP="00DD7202">
      <w:pPr>
        <w:pStyle w:val="PlainText"/>
        <w:tabs>
          <w:tab w:val="left" w:pos="2160"/>
        </w:tabs>
        <w:spacing w:line="360" w:lineRule="auto"/>
        <w:ind w:left="2160"/>
        <w:rPr>
          <w:rFonts w:ascii="Times New Roman" w:hAnsi="Times New Roman"/>
          <w:sz w:val="24"/>
          <w:szCs w:val="24"/>
        </w:rPr>
      </w:pPr>
    </w:p>
    <w:p w14:paraId="00B7C037" w14:textId="77777777"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2455AAA4" w14:textId="77777777" w:rsidR="00DD7202" w:rsidRDefault="00DD7202" w:rsidP="00DD7202">
      <w:pPr>
        <w:tabs>
          <w:tab w:val="left" w:pos="360"/>
        </w:tabs>
        <w:spacing w:line="360" w:lineRule="auto"/>
        <w:jc w:val="both"/>
        <w:rPr>
          <w:b/>
          <w:sz w:val="24"/>
        </w:rPr>
      </w:pPr>
    </w:p>
    <w:p w14:paraId="058012F3" w14:textId="77777777"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1D63AA31" w14:textId="77777777" w:rsidR="00DD7202" w:rsidRDefault="00DD7202" w:rsidP="00DD7202">
      <w:pPr>
        <w:tabs>
          <w:tab w:val="left" w:pos="360"/>
        </w:tabs>
        <w:jc w:val="both"/>
        <w:rPr>
          <w:sz w:val="24"/>
        </w:rPr>
      </w:pPr>
    </w:p>
    <w:p w14:paraId="1384D496" w14:textId="77777777"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14:paraId="69DC31DA" w14:textId="77777777" w:rsidR="00DD7202" w:rsidRDefault="00DD7202" w:rsidP="00DD7202">
      <w:pPr>
        <w:tabs>
          <w:tab w:val="left" w:pos="360"/>
        </w:tabs>
        <w:spacing w:line="360" w:lineRule="auto"/>
        <w:ind w:left="1440"/>
        <w:rPr>
          <w:sz w:val="24"/>
        </w:rPr>
      </w:pPr>
    </w:p>
    <w:p w14:paraId="3F7178F6" w14:textId="77777777"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3A41CA" w14:textId="77777777" w:rsidR="00DD7202" w:rsidRDefault="00DD7202" w:rsidP="00DD7202">
      <w:pPr>
        <w:spacing w:line="360" w:lineRule="auto"/>
        <w:rPr>
          <w:sz w:val="24"/>
        </w:rPr>
      </w:pPr>
    </w:p>
    <w:p w14:paraId="78FAED12" w14:textId="77777777"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4D65D422" w14:textId="0AF00830" w:rsidR="00CF5E9E" w:rsidRDefault="00F97187" w:rsidP="00DD7202">
      <w:pPr>
        <w:tabs>
          <w:tab w:val="left" w:pos="360"/>
        </w:tabs>
        <w:spacing w:line="360" w:lineRule="auto"/>
        <w:rPr>
          <w:sz w:val="24"/>
        </w:rPr>
      </w:pPr>
      <w:r>
        <w:rPr>
          <w:noProof/>
        </w:rPr>
        <w:drawing>
          <wp:anchor distT="0" distB="0" distL="114300" distR="114300" simplePos="0" relativeHeight="251658240" behindDoc="0" locked="0" layoutInCell="1" allowOverlap="1" wp14:anchorId="3C19ED89" wp14:editId="34BFB744">
            <wp:simplePos x="0" y="0"/>
            <wp:positionH relativeFrom="column">
              <wp:posOffset>3612515</wp:posOffset>
            </wp:positionH>
            <wp:positionV relativeFrom="paragraph">
              <wp:posOffset>196850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87FB49" w14:textId="291E5001" w:rsidR="00977FE9" w:rsidRDefault="00977FE9" w:rsidP="00F06152">
      <w:pPr>
        <w:tabs>
          <w:tab w:val="left" w:pos="360"/>
        </w:tabs>
        <w:spacing w:line="360" w:lineRule="auto"/>
        <w:jc w:val="both"/>
        <w:rPr>
          <w:sz w:val="24"/>
        </w:rPr>
      </w:pPr>
    </w:p>
    <w:p w14:paraId="159A26EA" w14:textId="43E395F2" w:rsidR="001C43E5" w:rsidRDefault="00D52F64" w:rsidP="001C43E5">
      <w:pPr>
        <w:tabs>
          <w:tab w:val="left" w:pos="360"/>
        </w:tabs>
        <w:jc w:val="both"/>
        <w:rPr>
          <w:sz w:val="24"/>
        </w:rPr>
      </w:pPr>
      <w:r>
        <w:rPr>
          <w:sz w:val="24"/>
        </w:rPr>
        <w:t xml:space="preserve">Date:  </w:t>
      </w:r>
      <w:r w:rsidR="00D7586A">
        <w:rPr>
          <w:sz w:val="24"/>
          <w:u w:val="single"/>
        </w:rPr>
        <w:t>October 11, 2018</w:t>
      </w:r>
      <w:r>
        <w:rPr>
          <w:sz w:val="24"/>
        </w:rPr>
        <w:tab/>
      </w:r>
      <w:r w:rsidR="00D06072">
        <w:rPr>
          <w:sz w:val="24"/>
        </w:rPr>
        <w:tab/>
      </w:r>
      <w:r w:rsidR="008C5680">
        <w:rPr>
          <w:sz w:val="24"/>
        </w:rPr>
        <w:tab/>
      </w:r>
      <w:r w:rsidR="002273B2">
        <w:rPr>
          <w:sz w:val="24"/>
        </w:rPr>
        <w:tab/>
      </w:r>
      <w:r w:rsidR="00D545F3">
        <w:rPr>
          <w:sz w:val="24"/>
        </w:rPr>
        <w:tab/>
      </w:r>
    </w:p>
    <w:p w14:paraId="55D3A058" w14:textId="77777777" w:rsidR="001D38B8" w:rsidRDefault="001D38B8" w:rsidP="00EB5723">
      <w:pPr>
        <w:tabs>
          <w:tab w:val="left" w:pos="360"/>
        </w:tabs>
        <w:jc w:val="both"/>
        <w:rPr>
          <w:sz w:val="24"/>
        </w:rPr>
      </w:pPr>
    </w:p>
    <w:p w14:paraId="32BB38CB" w14:textId="77777777" w:rsidR="001D38B8" w:rsidRDefault="001D38B8" w:rsidP="001D38B8">
      <w:pPr>
        <w:tabs>
          <w:tab w:val="left" w:pos="360"/>
        </w:tabs>
        <w:rPr>
          <w:sz w:val="24"/>
        </w:rPr>
      </w:pPr>
    </w:p>
    <w:p w14:paraId="0F395683" w14:textId="77777777" w:rsidR="005A1671" w:rsidRDefault="005A1671" w:rsidP="001D38B8">
      <w:pPr>
        <w:tabs>
          <w:tab w:val="left" w:pos="360"/>
        </w:tabs>
        <w:rPr>
          <w:sz w:val="24"/>
        </w:rPr>
        <w:sectPr w:rsidR="005A1671" w:rsidSect="00F3373C">
          <w:footerReference w:type="even" r:id="rId8"/>
          <w:footerReference w:type="default" r:id="rId9"/>
          <w:pgSz w:w="12240" w:h="15840"/>
          <w:pgMar w:top="1440" w:right="1440" w:bottom="1440" w:left="1440" w:header="720" w:footer="720" w:gutter="0"/>
          <w:cols w:space="720"/>
          <w:titlePg/>
        </w:sectPr>
      </w:pPr>
    </w:p>
    <w:p w14:paraId="25B89E9B" w14:textId="77777777" w:rsidR="005A1671" w:rsidRPr="005A1671" w:rsidRDefault="005A1671" w:rsidP="005A1671">
      <w:pPr>
        <w:spacing w:after="160" w:line="259" w:lineRule="auto"/>
        <w:rPr>
          <w:rFonts w:ascii="Calibri" w:eastAsia="Times New Roman" w:hAnsi="Calibri"/>
          <w:sz w:val="22"/>
          <w:szCs w:val="22"/>
        </w:rPr>
      </w:pPr>
      <w:r w:rsidRPr="005A1671">
        <w:rPr>
          <w:rFonts w:ascii="Microsoft Sans Serif" w:eastAsia="Microsoft Sans Serif" w:hAnsi="Microsoft Sans Serif" w:cs="Microsoft Sans Serif"/>
          <w:b/>
          <w:sz w:val="24"/>
          <w:szCs w:val="22"/>
          <w:u w:val="single"/>
        </w:rPr>
        <w:lastRenderedPageBreak/>
        <w:t xml:space="preserve">C-2018-3003806 - JANET </w:t>
      </w:r>
      <w:proofErr w:type="spellStart"/>
      <w:r w:rsidRPr="005A1671">
        <w:rPr>
          <w:rFonts w:ascii="Microsoft Sans Serif" w:eastAsia="Microsoft Sans Serif" w:hAnsi="Microsoft Sans Serif" w:cs="Microsoft Sans Serif"/>
          <w:b/>
          <w:sz w:val="24"/>
          <w:szCs w:val="22"/>
          <w:u w:val="single"/>
        </w:rPr>
        <w:t>MIODUSZEWSKI</w:t>
      </w:r>
      <w:proofErr w:type="spellEnd"/>
      <w:r w:rsidRPr="005A1671">
        <w:rPr>
          <w:rFonts w:ascii="Microsoft Sans Serif" w:eastAsia="Microsoft Sans Serif" w:hAnsi="Microsoft Sans Serif" w:cs="Microsoft Sans Serif"/>
          <w:b/>
          <w:sz w:val="24"/>
          <w:szCs w:val="22"/>
          <w:u w:val="single"/>
        </w:rPr>
        <w:t xml:space="preserve"> v. PENNSYLVANIA ELECTRIC COMPANY</w:t>
      </w:r>
      <w:r w:rsidRPr="005A1671">
        <w:rPr>
          <w:rFonts w:ascii="Microsoft Sans Serif" w:eastAsia="Microsoft Sans Serif" w:hAnsi="Microsoft Sans Serif" w:cs="Microsoft Sans Serif"/>
          <w:b/>
          <w:sz w:val="24"/>
          <w:szCs w:val="22"/>
          <w:u w:val="single"/>
        </w:rPr>
        <w:cr/>
      </w:r>
      <w:r w:rsidRPr="005A1671">
        <w:rPr>
          <w:rFonts w:ascii="Microsoft Sans Serif" w:eastAsia="Microsoft Sans Serif" w:hAnsi="Microsoft Sans Serif" w:cs="Microsoft Sans Serif"/>
          <w:b/>
          <w:sz w:val="24"/>
          <w:szCs w:val="22"/>
          <w:u w:val="single"/>
        </w:rPr>
        <w:cr/>
      </w:r>
      <w:r w:rsidRPr="005A1671">
        <w:rPr>
          <w:rFonts w:ascii="Microsoft Sans Serif" w:eastAsia="Microsoft Sans Serif" w:hAnsi="Microsoft Sans Serif" w:cs="Microsoft Sans Serif"/>
          <w:sz w:val="24"/>
          <w:szCs w:val="22"/>
        </w:rPr>
        <w:t xml:space="preserve">JANET M </w:t>
      </w:r>
      <w:proofErr w:type="spellStart"/>
      <w:r w:rsidRPr="005A1671">
        <w:rPr>
          <w:rFonts w:ascii="Microsoft Sans Serif" w:eastAsia="Microsoft Sans Serif" w:hAnsi="Microsoft Sans Serif" w:cs="Microsoft Sans Serif"/>
          <w:sz w:val="24"/>
          <w:szCs w:val="22"/>
        </w:rPr>
        <w:t>MIODUSZEWSKI</w:t>
      </w:r>
      <w:proofErr w:type="spellEnd"/>
      <w:r w:rsidRPr="005A1671">
        <w:rPr>
          <w:rFonts w:ascii="Microsoft Sans Serif" w:eastAsia="Microsoft Sans Serif" w:hAnsi="Microsoft Sans Serif" w:cs="Microsoft Sans Serif"/>
          <w:sz w:val="24"/>
          <w:szCs w:val="22"/>
        </w:rPr>
        <w:cr/>
        <w:t>451 EAST 4TH STREET</w:t>
      </w:r>
      <w:r w:rsidRPr="005A1671">
        <w:rPr>
          <w:rFonts w:ascii="Microsoft Sans Serif" w:eastAsia="Microsoft Sans Serif" w:hAnsi="Microsoft Sans Serif" w:cs="Microsoft Sans Serif"/>
          <w:sz w:val="24"/>
          <w:szCs w:val="22"/>
        </w:rPr>
        <w:cr/>
        <w:t>ERIE PA  16507</w:t>
      </w:r>
      <w:r w:rsidRPr="005A1671">
        <w:rPr>
          <w:rFonts w:ascii="Microsoft Sans Serif" w:eastAsia="Microsoft Sans Serif" w:hAnsi="Microsoft Sans Serif" w:cs="Microsoft Sans Serif"/>
          <w:sz w:val="24"/>
          <w:szCs w:val="22"/>
        </w:rPr>
        <w:cr/>
      </w:r>
      <w:r w:rsidRPr="005A1671">
        <w:rPr>
          <w:rFonts w:ascii="Microsoft Sans Serif" w:eastAsia="Microsoft Sans Serif" w:hAnsi="Microsoft Sans Serif" w:cs="Microsoft Sans Serif"/>
          <w:b/>
          <w:sz w:val="24"/>
          <w:szCs w:val="22"/>
        </w:rPr>
        <w:t>HOME: 814.456.0108</w:t>
      </w:r>
      <w:r w:rsidRPr="005A1671">
        <w:rPr>
          <w:rFonts w:ascii="Microsoft Sans Serif" w:eastAsia="Microsoft Sans Serif" w:hAnsi="Microsoft Sans Serif" w:cs="Microsoft Sans Serif"/>
          <w:b/>
          <w:sz w:val="24"/>
          <w:szCs w:val="22"/>
        </w:rPr>
        <w:br/>
        <w:t>CELL: 814.218.8045</w:t>
      </w:r>
      <w:r w:rsidRPr="005A1671">
        <w:rPr>
          <w:rFonts w:ascii="Microsoft Sans Serif" w:eastAsia="Microsoft Sans Serif" w:hAnsi="Microsoft Sans Serif" w:cs="Microsoft Sans Serif"/>
          <w:b/>
          <w:sz w:val="24"/>
          <w:szCs w:val="22"/>
        </w:rPr>
        <w:br/>
      </w:r>
      <w:r w:rsidRPr="005A1671">
        <w:rPr>
          <w:rFonts w:ascii="Microsoft Sans Serif" w:eastAsia="Microsoft Sans Serif" w:hAnsi="Microsoft Sans Serif" w:cs="Microsoft Sans Serif"/>
          <w:sz w:val="24"/>
          <w:szCs w:val="22"/>
        </w:rPr>
        <w:cr/>
        <w:t>TERESA HARROLD ESQUIRE</w:t>
      </w:r>
      <w:r w:rsidRPr="005A1671">
        <w:rPr>
          <w:rFonts w:ascii="Microsoft Sans Serif" w:eastAsia="Microsoft Sans Serif" w:hAnsi="Microsoft Sans Serif" w:cs="Microsoft Sans Serif"/>
          <w:sz w:val="24"/>
          <w:szCs w:val="22"/>
        </w:rPr>
        <w:cr/>
        <w:t>FIRSTENERGY</w:t>
      </w:r>
      <w:r w:rsidRPr="005A1671">
        <w:rPr>
          <w:rFonts w:ascii="Microsoft Sans Serif" w:eastAsia="Microsoft Sans Serif" w:hAnsi="Microsoft Sans Serif" w:cs="Microsoft Sans Serif"/>
          <w:sz w:val="24"/>
          <w:szCs w:val="22"/>
        </w:rPr>
        <w:cr/>
        <w:t>2800 POTTSVILLE PIKE</w:t>
      </w:r>
      <w:r w:rsidRPr="005A1671">
        <w:rPr>
          <w:rFonts w:ascii="Microsoft Sans Serif" w:eastAsia="Microsoft Sans Serif" w:hAnsi="Microsoft Sans Serif" w:cs="Microsoft Sans Serif"/>
          <w:sz w:val="24"/>
          <w:szCs w:val="22"/>
        </w:rPr>
        <w:cr/>
        <w:t>PO BOX 16001</w:t>
      </w:r>
      <w:r w:rsidRPr="005A1671">
        <w:rPr>
          <w:rFonts w:ascii="Microsoft Sans Serif" w:eastAsia="Microsoft Sans Serif" w:hAnsi="Microsoft Sans Serif" w:cs="Microsoft Sans Serif"/>
          <w:sz w:val="24"/>
          <w:szCs w:val="22"/>
        </w:rPr>
        <w:cr/>
        <w:t>READING PA  19612-6001</w:t>
      </w:r>
      <w:r w:rsidRPr="005A1671">
        <w:rPr>
          <w:rFonts w:ascii="Microsoft Sans Serif" w:eastAsia="Microsoft Sans Serif" w:hAnsi="Microsoft Sans Serif" w:cs="Microsoft Sans Serif"/>
          <w:sz w:val="24"/>
          <w:szCs w:val="22"/>
        </w:rPr>
        <w:cr/>
      </w:r>
      <w:r w:rsidRPr="005A1671">
        <w:rPr>
          <w:rFonts w:ascii="Microsoft Sans Serif" w:eastAsia="Microsoft Sans Serif" w:hAnsi="Microsoft Sans Serif" w:cs="Microsoft Sans Serif"/>
          <w:b/>
          <w:sz w:val="24"/>
          <w:szCs w:val="22"/>
        </w:rPr>
        <w:t>610.921.6783</w:t>
      </w:r>
      <w:r w:rsidRPr="005A1671">
        <w:rPr>
          <w:rFonts w:ascii="Microsoft Sans Serif" w:eastAsia="Microsoft Sans Serif" w:hAnsi="Microsoft Sans Serif" w:cs="Microsoft Sans Serif"/>
          <w:b/>
          <w:sz w:val="24"/>
          <w:szCs w:val="22"/>
        </w:rPr>
        <w:br/>
      </w:r>
      <w:r w:rsidRPr="005A1671">
        <w:rPr>
          <w:rFonts w:ascii="Microsoft Sans Serif" w:eastAsia="Microsoft Sans Serif" w:hAnsi="Microsoft Sans Serif" w:cs="Microsoft Sans Serif"/>
          <w:b/>
          <w:i/>
          <w:sz w:val="22"/>
          <w:szCs w:val="22"/>
          <w:u w:val="single"/>
        </w:rPr>
        <w:t>ACCEPTS E-SERVICE</w:t>
      </w:r>
      <w:r w:rsidRPr="005A1671">
        <w:rPr>
          <w:rFonts w:ascii="Calibri" w:eastAsia="Times New Roman" w:hAnsi="Calibri"/>
          <w:i/>
          <w:szCs w:val="22"/>
          <w:u w:val="single"/>
        </w:rPr>
        <w:cr/>
      </w:r>
    </w:p>
    <w:p w14:paraId="36A970EF" w14:textId="77777777" w:rsidR="005A1671" w:rsidRPr="005A1671" w:rsidRDefault="005A1671" w:rsidP="005A1671">
      <w:pPr>
        <w:spacing w:after="160" w:line="259" w:lineRule="auto"/>
        <w:rPr>
          <w:rFonts w:ascii="Calibri" w:eastAsia="Times New Roman" w:hAnsi="Calibri"/>
          <w:sz w:val="22"/>
          <w:szCs w:val="22"/>
        </w:rPr>
      </w:pPr>
    </w:p>
    <w:p w14:paraId="537EA201" w14:textId="3994742B" w:rsidR="001D38B8" w:rsidRDefault="001D38B8" w:rsidP="001D38B8">
      <w:pPr>
        <w:tabs>
          <w:tab w:val="left" w:pos="360"/>
        </w:tabs>
        <w:rPr>
          <w:sz w:val="24"/>
        </w:rPr>
      </w:pPr>
    </w:p>
    <w:sectPr w:rsidR="001D3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74FD3" w14:textId="77777777" w:rsidR="002A375E" w:rsidRDefault="002A375E">
      <w:r>
        <w:separator/>
      </w:r>
    </w:p>
  </w:endnote>
  <w:endnote w:type="continuationSeparator" w:id="0">
    <w:p w14:paraId="37CA8956" w14:textId="77777777" w:rsidR="002A375E" w:rsidRDefault="002A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9F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4418"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E41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85">
      <w:rPr>
        <w:rStyle w:val="PageNumber"/>
        <w:noProof/>
      </w:rPr>
      <w:t>5</w:t>
    </w:r>
    <w:r>
      <w:rPr>
        <w:rStyle w:val="PageNumber"/>
      </w:rPr>
      <w:fldChar w:fldCharType="end"/>
    </w:r>
  </w:p>
  <w:p w14:paraId="339F422F"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44382" w14:textId="77777777" w:rsidR="002A375E" w:rsidRDefault="002A375E">
      <w:r>
        <w:separator/>
      </w:r>
    </w:p>
  </w:footnote>
  <w:footnote w:type="continuationSeparator" w:id="0">
    <w:p w14:paraId="6B4C0FC2" w14:textId="77777777" w:rsidR="002A375E" w:rsidRDefault="002A3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A375E"/>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0D0A"/>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A1671"/>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7F15C0"/>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7586A"/>
    <w:rsid w:val="00D83B9E"/>
    <w:rsid w:val="00D858BF"/>
    <w:rsid w:val="00D9684A"/>
    <w:rsid w:val="00DA066D"/>
    <w:rsid w:val="00DA1E85"/>
    <w:rsid w:val="00DD09B0"/>
    <w:rsid w:val="00DD1CAC"/>
    <w:rsid w:val="00DD2234"/>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97187"/>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ABBAED"/>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7</cp:revision>
  <cp:lastPrinted>2011-10-24T18:07:00Z</cp:lastPrinted>
  <dcterms:created xsi:type="dcterms:W3CDTF">2018-01-17T16:28:00Z</dcterms:created>
  <dcterms:modified xsi:type="dcterms:W3CDTF">2018-10-11T19:27:00Z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