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192" w:rsidRPr="00536B65" w:rsidRDefault="00AF0192" w:rsidP="00F0584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AF0192" w:rsidRPr="00536B65" w:rsidRDefault="00AF0192" w:rsidP="00F0584F">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AF0192" w:rsidRPr="00536B65" w:rsidRDefault="00AF0192" w:rsidP="00F0584F">
      <w:pPr>
        <w:spacing w:after="0"/>
        <w:jc w:val="center"/>
        <w:rPr>
          <w:rFonts w:ascii="Times New Roman" w:eastAsia="Calibri" w:hAnsi="Times New Roman" w:cs="Times New Roman"/>
          <w:b/>
          <w:sz w:val="24"/>
          <w:szCs w:val="24"/>
        </w:rPr>
      </w:pPr>
    </w:p>
    <w:p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rsidR="00AF0192" w:rsidRDefault="001C4B56"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w:t>
      </w:r>
      <w:r w:rsidR="007A0331">
        <w:rPr>
          <w:rFonts w:ascii="Times New Roman" w:eastAsia="Calibri" w:hAnsi="Times New Roman" w:cs="Times New Roman"/>
          <w:sz w:val="24"/>
          <w:szCs w:val="24"/>
        </w:rPr>
        <w:t>udith D. Hendin</w:t>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AF0192" w:rsidRDefault="00AF0192"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F0192" w:rsidRDefault="00AF0192"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7A0331">
        <w:rPr>
          <w:rFonts w:ascii="Times New Roman" w:eastAsia="Calibri" w:hAnsi="Times New Roman" w:cs="Times New Roman"/>
          <w:sz w:val="24"/>
          <w:szCs w:val="24"/>
        </w:rPr>
        <w:t>3324</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01CAF">
        <w:rPr>
          <w:rFonts w:ascii="Times New Roman" w:eastAsia="Calibri" w:hAnsi="Times New Roman" w:cs="Times New Roman"/>
          <w:sz w:val="24"/>
          <w:szCs w:val="24"/>
        </w:rPr>
        <w:tab/>
      </w:r>
      <w:r>
        <w:rPr>
          <w:rFonts w:ascii="Times New Roman" w:eastAsia="Calibri" w:hAnsi="Times New Roman" w:cs="Times New Roman"/>
          <w:sz w:val="24"/>
          <w:szCs w:val="24"/>
        </w:rPr>
        <w:t>:</w:t>
      </w:r>
    </w:p>
    <w:p w:rsidR="00AF0192" w:rsidRDefault="009917A0"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00AF0192">
        <w:rPr>
          <w:rFonts w:ascii="Times New Roman" w:eastAsia="Calibri" w:hAnsi="Times New Roman" w:cs="Times New Roman"/>
          <w:sz w:val="24"/>
          <w:szCs w:val="24"/>
        </w:rPr>
        <w:t xml:space="preserve">Company     </w:t>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AF0192" w:rsidRPr="00AA7E7D" w:rsidRDefault="00AF0192" w:rsidP="00F0584F">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AF0192" w:rsidRPr="00536B65" w:rsidRDefault="00AF0192" w:rsidP="00F0584F">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AF0192" w:rsidRPr="00536B65" w:rsidRDefault="00AF0192" w:rsidP="00F0584F">
      <w:pPr>
        <w:spacing w:after="0" w:line="240" w:lineRule="auto"/>
        <w:rPr>
          <w:rFonts w:ascii="Times New Roman" w:eastAsia="Calibri" w:hAnsi="Times New Roman" w:cs="Times New Roman"/>
          <w:sz w:val="24"/>
          <w:szCs w:val="24"/>
        </w:rPr>
      </w:pP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F0192" w:rsidRPr="00536B65"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AF0192" w:rsidRPr="00536B65" w:rsidRDefault="00AF0192" w:rsidP="00F0584F">
      <w:pPr>
        <w:spacing w:after="0" w:line="360" w:lineRule="auto"/>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w:t>
      </w:r>
      <w:r w:rsidR="00EC3D14">
        <w:rPr>
          <w:rFonts w:ascii="Times New Roman" w:eastAsia="Times New Roman" w:hAnsi="Times New Roman" w:cs="Times New Roman"/>
          <w:b/>
          <w:bCs/>
          <w:i/>
          <w:iCs/>
          <w:color w:val="000000"/>
          <w:sz w:val="24"/>
          <w:szCs w:val="24"/>
          <w:u w:val="single"/>
        </w:rPr>
        <w:t xml:space="preserve"> 1</w:t>
      </w:r>
      <w:r w:rsidR="00C01CAF">
        <w:rPr>
          <w:rFonts w:ascii="Times New Roman" w:eastAsia="Times New Roman" w:hAnsi="Times New Roman" w:cs="Times New Roman"/>
          <w:b/>
          <w:bCs/>
          <w:i/>
          <w:iCs/>
          <w:color w:val="000000"/>
          <w:sz w:val="24"/>
          <w:szCs w:val="24"/>
          <w:u w:val="single"/>
        </w:rPr>
        <w:t>8</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AF0192" w:rsidRPr="00536B65" w:rsidRDefault="00AF0192" w:rsidP="00F0584F">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AF0192" w:rsidRPr="0046559F" w:rsidRDefault="00AF0192" w:rsidP="00F0584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January </w:t>
      </w:r>
      <w:r w:rsidR="00EC3D14">
        <w:rPr>
          <w:rFonts w:ascii="Times New Roman" w:eastAsia="Times New Roman" w:hAnsi="Times New Roman" w:cs="Times New Roman"/>
          <w:b/>
          <w:bCs/>
          <w:i/>
          <w:iCs/>
          <w:color w:val="000000"/>
          <w:sz w:val="24"/>
          <w:szCs w:val="24"/>
          <w:u w:val="single"/>
        </w:rPr>
        <w:t>1</w:t>
      </w:r>
      <w:r w:rsidR="00C01CAF">
        <w:rPr>
          <w:rFonts w:ascii="Times New Roman" w:eastAsia="Times New Roman" w:hAnsi="Times New Roman" w:cs="Times New Roman"/>
          <w:b/>
          <w:bCs/>
          <w:i/>
          <w:iCs/>
          <w:color w:val="000000"/>
          <w:sz w:val="24"/>
          <w:szCs w:val="24"/>
          <w:u w:val="single"/>
        </w:rPr>
        <w:t>8</w:t>
      </w:r>
      <w:r>
        <w:rPr>
          <w:rFonts w:ascii="Times New Roman" w:eastAsia="Times New Roman" w:hAnsi="Times New Roman" w:cs="Times New Roman"/>
          <w:b/>
          <w:bCs/>
          <w:i/>
          <w:iCs/>
          <w:color w:val="000000"/>
          <w:sz w:val="24"/>
          <w:szCs w:val="24"/>
          <w:u w:val="single"/>
        </w:rPr>
        <w:t>,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AF0192" w:rsidRPr="00536B65" w:rsidRDefault="00AF0192" w:rsidP="00F0584F">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AF0192" w:rsidRPr="0046559F" w:rsidRDefault="00AF0192" w:rsidP="00F0584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sidR="004B59D8">
        <w:rPr>
          <w:rFonts w:ascii="Times New Roman" w:eastAsia="Times New Roman" w:hAnsi="Times New Roman" w:cs="Times New Roman"/>
          <w:b/>
          <w:bCs/>
          <w:i/>
          <w:iCs/>
          <w:color w:val="000000"/>
          <w:sz w:val="24"/>
          <w:szCs w:val="24"/>
          <w:u w:val="single"/>
        </w:rPr>
        <w:t xml:space="preserve">April </w:t>
      </w:r>
      <w:r w:rsidR="00C01CAF">
        <w:rPr>
          <w:rFonts w:ascii="Times New Roman" w:eastAsia="Times New Roman" w:hAnsi="Times New Roman" w:cs="Times New Roman"/>
          <w:b/>
          <w:bCs/>
          <w:i/>
          <w:iCs/>
          <w:color w:val="000000"/>
          <w:sz w:val="24"/>
          <w:szCs w:val="24"/>
          <w:u w:val="single"/>
        </w:rPr>
        <w:t>19</w:t>
      </w:r>
      <w:r w:rsidR="00EC3D14">
        <w:rPr>
          <w:rFonts w:ascii="Times New Roman" w:eastAsia="Times New Roman" w:hAnsi="Times New Roman" w:cs="Times New Roman"/>
          <w:b/>
          <w:bCs/>
          <w:i/>
          <w:iCs/>
          <w:color w:val="000000"/>
          <w:sz w:val="24"/>
          <w:szCs w:val="24"/>
          <w:u w:val="single"/>
        </w:rPr>
        <w:t>,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AF0192" w:rsidRPr="00536B65" w:rsidRDefault="00AF0192" w:rsidP="00F0584F">
      <w:pPr>
        <w:autoSpaceDE w:val="0"/>
        <w:autoSpaceDN w:val="0"/>
        <w:spacing w:after="0" w:line="360" w:lineRule="auto"/>
        <w:rPr>
          <w:sz w:val="24"/>
          <w:szCs w:val="24"/>
        </w:rPr>
      </w:pPr>
    </w:p>
    <w:p w:rsidR="00AF0192" w:rsidRPr="00536B65" w:rsidRDefault="00AF0192" w:rsidP="00F0584F">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C01CAF">
        <w:rPr>
          <w:rFonts w:ascii="Times New Roman" w:eastAsia="Times New Roman" w:hAnsi="Times New Roman" w:cs="Times New Roman"/>
          <w:b/>
          <w:bCs/>
          <w:i/>
          <w:iCs/>
          <w:color w:val="000000"/>
          <w:sz w:val="24"/>
          <w:szCs w:val="24"/>
          <w:u w:val="single"/>
        </w:rPr>
        <w:t>May 10</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AF0192" w:rsidRPr="00536B65" w:rsidRDefault="00AF0192" w:rsidP="00F0584F">
      <w:pPr>
        <w:spacing w:after="0" w:line="240" w:lineRule="auto"/>
        <w:ind w:left="720"/>
        <w:contextualSpacing/>
        <w:rPr>
          <w:rFonts w:ascii="Times New Roman" w:eastAsia="Times New Roman" w:hAnsi="Times New Roman" w:cs="Times New Roman"/>
          <w:color w:val="000000"/>
          <w:sz w:val="24"/>
          <w:szCs w:val="24"/>
        </w:rPr>
      </w:pPr>
    </w:p>
    <w:p w:rsidR="00AF0192" w:rsidRDefault="00AF0192" w:rsidP="00F0584F">
      <w:pPr>
        <w:spacing w:after="0" w:line="360" w:lineRule="auto"/>
        <w:ind w:left="720"/>
        <w:contextualSpacing/>
        <w:rPr>
          <w:rFonts w:ascii="Times New Roman" w:eastAsia="Times New Roman" w:hAnsi="Times New Roman" w:cs="Times New Roman"/>
          <w:color w:val="000000"/>
          <w:spacing w:val="-3"/>
          <w:sz w:val="24"/>
          <w:szCs w:val="24"/>
        </w:rPr>
      </w:pP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AF0192" w:rsidRPr="00536B65" w:rsidRDefault="00AF0192" w:rsidP="00F0584F">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AF0192" w:rsidRPr="00536B65" w:rsidRDefault="00AF0192" w:rsidP="00F0584F">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AF0192" w:rsidRPr="00536B65" w:rsidRDefault="00AF0192" w:rsidP="00F0584F">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AF0192" w:rsidRPr="00536B65" w:rsidRDefault="00AF0192" w:rsidP="00F0584F">
      <w:pPr>
        <w:spacing w:after="0" w:line="360" w:lineRule="auto"/>
        <w:rPr>
          <w:rFonts w:ascii="Times New Roman" w:hAnsi="Times New Roman" w:cs="Times New Roman"/>
          <w:b/>
          <w:sz w:val="24"/>
          <w:szCs w:val="24"/>
          <w:u w:val="single"/>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AF0192" w:rsidRPr="00536B65" w:rsidRDefault="00AF0192" w:rsidP="00F0584F">
      <w:pPr>
        <w:spacing w:after="0" w:line="360" w:lineRule="auto"/>
        <w:rPr>
          <w:rFonts w:ascii="Times New Roman" w:hAnsi="Times New Roman" w:cs="Times New Roman"/>
          <w:b/>
          <w:sz w:val="24"/>
          <w:szCs w:val="24"/>
          <w:u w:val="single"/>
        </w:rPr>
      </w:pPr>
    </w:p>
    <w:p w:rsidR="00AF0192" w:rsidRPr="00536B65" w:rsidRDefault="00AF0192" w:rsidP="00F0584F">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AF0192" w:rsidRPr="00536B65" w:rsidRDefault="00AF0192" w:rsidP="00F0584F">
      <w:pPr>
        <w:autoSpaceDE w:val="0"/>
        <w:autoSpaceDN w:val="0"/>
        <w:spacing w:after="0" w:line="360" w:lineRule="auto"/>
        <w:ind w:firstLine="1440"/>
        <w:rPr>
          <w:rFonts w:ascii="Times New Roman" w:eastAsia="Times New Roman" w:hAnsi="Times New Roman" w:cs="Times New Roman"/>
          <w:sz w:val="24"/>
          <w:szCs w:val="24"/>
        </w:rPr>
      </w:pPr>
    </w:p>
    <w:p w:rsidR="00AF0192"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AF0192"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AF0192" w:rsidRPr="00536B65"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AF0192" w:rsidRDefault="00AF0192" w:rsidP="00F0584F">
      <w:pPr>
        <w:spacing w:after="0" w:line="360" w:lineRule="auto"/>
        <w:rPr>
          <w:rFonts w:ascii="Times New Roman" w:hAnsi="Times New Roman" w:cs="Times New Roman"/>
          <w:sz w:val="24"/>
          <w:szCs w:val="24"/>
        </w:rPr>
      </w:pPr>
    </w:p>
    <w:p w:rsidR="008F255F" w:rsidRDefault="008F255F" w:rsidP="00F0584F">
      <w:pPr>
        <w:spacing w:after="0" w:line="360" w:lineRule="auto"/>
        <w:rPr>
          <w:rFonts w:ascii="Times New Roman" w:hAnsi="Times New Roman" w:cs="Times New Roman"/>
          <w:sz w:val="24"/>
          <w:szCs w:val="24"/>
        </w:rPr>
      </w:pPr>
    </w:p>
    <w:p w:rsidR="00AF0192" w:rsidRPr="00536B65" w:rsidRDefault="00AF0192" w:rsidP="00F0584F">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AF0192" w:rsidRPr="00536B65" w:rsidRDefault="00AF0192" w:rsidP="00F0584F">
      <w:pPr>
        <w:spacing w:after="0"/>
        <w:rPr>
          <w:rFonts w:ascii="Times New Roman" w:hAnsi="Times New Roman" w:cs="Times New Roman"/>
          <w:sz w:val="24"/>
          <w:szCs w:val="24"/>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AF0192" w:rsidRPr="00536B65" w:rsidRDefault="00AF0192" w:rsidP="00F0584F">
      <w:pPr>
        <w:spacing w:after="0" w:line="360" w:lineRule="auto"/>
        <w:rPr>
          <w:rFonts w:ascii="Times New Roman" w:hAnsi="Times New Roman" w:cs="Times New Roman"/>
          <w:sz w:val="24"/>
          <w:szCs w:val="24"/>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w:t>
      </w:r>
      <w:r w:rsidR="00A207EC">
        <w:rPr>
          <w:rFonts w:ascii="Times New Roman" w:hAnsi="Times New Roman" w:cs="Times New Roman"/>
          <w:sz w:val="24"/>
          <w:szCs w:val="24"/>
        </w:rPr>
        <w:t>p</w:t>
      </w:r>
      <w:r w:rsidRPr="00536B65">
        <w:rPr>
          <w:rFonts w:ascii="Times New Roman" w:hAnsi="Times New Roman" w:cs="Times New Roman"/>
          <w:sz w:val="24"/>
          <w:szCs w:val="24"/>
        </w:rPr>
        <w:t xml:space="preserve">rocedure is also available upon consent of the Parties.  </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AF0192"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AF0192" w:rsidRDefault="00AF0192" w:rsidP="00F0584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AF0192" w:rsidRDefault="00AF0192" w:rsidP="00F0584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AF0192" w:rsidRPr="00536B65" w:rsidRDefault="00AF0192" w:rsidP="00F0584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AF0192" w:rsidRPr="00536B65"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AF0192" w:rsidRPr="00536B65" w:rsidRDefault="00AF0192" w:rsidP="00F0584F">
      <w:pPr>
        <w:spacing w:after="0" w:line="360" w:lineRule="auto"/>
        <w:ind w:firstLine="1440"/>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171DCB" w:rsidRDefault="00AF0192" w:rsidP="00F0584F">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AF0192" w:rsidRPr="00536B65" w:rsidRDefault="00AF0192" w:rsidP="00F0584F">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Prehearing Order may be modified by an interim order entered into the record upon motion and good cause shown by a Party in interest.</w:t>
      </w:r>
    </w:p>
    <w:p w:rsidR="00AF0192" w:rsidRPr="00536B65" w:rsidRDefault="00AF0192" w:rsidP="00F0584F">
      <w:pPr>
        <w:tabs>
          <w:tab w:val="center" w:pos="4680"/>
          <w:tab w:val="right" w:pos="9360"/>
        </w:tabs>
        <w:spacing w:after="0" w:line="360" w:lineRule="auto"/>
        <w:rPr>
          <w:rFonts w:ascii="Times New Roman" w:hAnsi="Times New Roman" w:cs="Times New Roman"/>
          <w:spacing w:val="-3"/>
          <w:sz w:val="24"/>
          <w:szCs w:val="24"/>
        </w:rPr>
      </w:pPr>
    </w:p>
    <w:p w:rsidR="00AF0192" w:rsidRPr="00536B65" w:rsidRDefault="00AF0192" w:rsidP="00F0584F">
      <w:pPr>
        <w:spacing w:after="0" w:line="360" w:lineRule="auto"/>
        <w:ind w:left="720"/>
        <w:contextualSpacing/>
        <w:rPr>
          <w:rFonts w:ascii="Times New Roman" w:eastAsia="Calibri" w:hAnsi="Times New Roman" w:cs="Times New Roman"/>
          <w:color w:val="000000"/>
          <w:sz w:val="24"/>
          <w:szCs w:val="24"/>
        </w:rPr>
      </w:pPr>
    </w:p>
    <w:p w:rsidR="00AF0192" w:rsidRPr="00536B65" w:rsidRDefault="00AF0192" w:rsidP="00F0584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F0192" w:rsidRPr="00536B65" w:rsidRDefault="00AF0192" w:rsidP="00F0584F">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075ADC">
        <w:rPr>
          <w:rFonts w:ascii="Times New Roman" w:eastAsia="Times New Roman" w:hAnsi="Times New Roman" w:cs="Times New Roman"/>
          <w:color w:val="000000"/>
          <w:sz w:val="24"/>
          <w:szCs w:val="24"/>
          <w:u w:val="single"/>
        </w:rPr>
        <w:t>1</w:t>
      </w:r>
      <w:r w:rsidR="00A161BC">
        <w:rPr>
          <w:rFonts w:ascii="Times New Roman" w:eastAsia="Times New Roman" w:hAnsi="Times New Roman" w:cs="Times New Roman"/>
          <w:color w:val="000000"/>
          <w:sz w:val="24"/>
          <w:szCs w:val="24"/>
          <w:u w:val="single"/>
        </w:rPr>
        <w:t>8</w:t>
      </w:r>
      <w:bookmarkStart w:id="0" w:name="_GoBack"/>
      <w:bookmarkEnd w:id="0"/>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AF0192" w:rsidRPr="00536B65" w:rsidRDefault="00AF0192" w:rsidP="00F0584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5B349B" w:rsidRDefault="00AF0192" w:rsidP="00F0584F">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sidR="005B349B">
        <w:rPr>
          <w:rFonts w:ascii="Times New Roman" w:hAnsi="Times New Roman" w:cs="Times New Roman"/>
          <w:sz w:val="24"/>
          <w:szCs w:val="24"/>
        </w:rPr>
        <w:t xml:space="preserve"> </w:t>
      </w:r>
    </w:p>
    <w:p w:rsidR="005B349B" w:rsidRDefault="005B349B" w:rsidP="00F0584F">
      <w:pPr>
        <w:spacing w:after="0"/>
        <w:rPr>
          <w:rFonts w:ascii="Microsoft Sans Serif" w:eastAsia="Microsoft Sans Serif" w:hAnsi="Microsoft Sans Serif" w:cs="Microsoft Sans Serif"/>
          <w:b/>
          <w:i/>
          <w:u w:val="single"/>
        </w:rPr>
      </w:pPr>
    </w:p>
    <w:p w:rsidR="005B349B" w:rsidRDefault="005B349B" w:rsidP="00F0584F">
      <w:pPr>
        <w:spacing w:after="0"/>
      </w:pPr>
    </w:p>
    <w:p w:rsidR="005B349B" w:rsidRDefault="005B349B" w:rsidP="00F0584F">
      <w:pPr>
        <w:spacing w:after="0"/>
      </w:pPr>
    </w:p>
    <w:p w:rsidR="00541980" w:rsidRDefault="00541980">
      <w:r>
        <w:br w:type="page"/>
      </w:r>
    </w:p>
    <w:p w:rsidR="00541980" w:rsidRDefault="00541980" w:rsidP="00541980">
      <w:pPr>
        <w:rPr>
          <w:rFonts w:ascii="Microsoft Sans Serif" w:eastAsia="Microsoft Sans Serif" w:hAnsi="Microsoft Sans Serif" w:cs="Microsoft Sans Serif"/>
          <w:b/>
          <w:sz w:val="24"/>
          <w:u w:val="single"/>
        </w:rPr>
        <w:sectPr w:rsidR="00541980" w:rsidSect="00A96988">
          <w:footerReference w:type="default" r:id="rId7"/>
          <w:pgSz w:w="12240" w:h="15840"/>
          <w:pgMar w:top="1440" w:right="1440" w:bottom="1440" w:left="1440" w:header="720" w:footer="720" w:gutter="0"/>
          <w:cols w:space="720"/>
          <w:titlePg/>
          <w:docGrid w:linePitch="360"/>
        </w:sectPr>
      </w:pPr>
    </w:p>
    <w:p w:rsidR="007F003B" w:rsidRDefault="007F003B" w:rsidP="007F003B">
      <w:r>
        <w:rPr>
          <w:rFonts w:ascii="Microsoft Sans Serif" w:eastAsia="Microsoft Sans Serif" w:hAnsi="Microsoft Sans Serif" w:cs="Microsoft Sans Serif"/>
          <w:b/>
          <w:sz w:val="24"/>
          <w:u w:val="single"/>
        </w:rPr>
        <w:t>C-2018-3003324 - JUDITH HENDIN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JUDITH HENDIN</w:t>
      </w:r>
      <w:r>
        <w:rPr>
          <w:rFonts w:ascii="Microsoft Sans Serif" w:eastAsia="Microsoft Sans Serif" w:hAnsi="Microsoft Sans Serif" w:cs="Microsoft Sans Serif"/>
          <w:sz w:val="24"/>
        </w:rPr>
        <w:cr/>
        <w:t>PO BOX 1449</w:t>
      </w:r>
      <w:r>
        <w:rPr>
          <w:rFonts w:ascii="Microsoft Sans Serif" w:eastAsia="Microsoft Sans Serif" w:hAnsi="Microsoft Sans Serif" w:cs="Microsoft Sans Serif"/>
          <w:sz w:val="24"/>
        </w:rPr>
        <w:cr/>
        <w:t>EASTON PA  18044</w:t>
      </w:r>
      <w:r>
        <w:rPr>
          <w:rFonts w:ascii="Microsoft Sans Serif" w:eastAsia="Microsoft Sans Serif" w:hAnsi="Microsoft Sans Serif" w:cs="Microsoft Sans Serif"/>
          <w:sz w:val="24"/>
        </w:rPr>
        <w:cr/>
      </w:r>
      <w:r w:rsidRPr="00CE47D6">
        <w:rPr>
          <w:rFonts w:ascii="Microsoft Sans Serif" w:eastAsia="Microsoft Sans Serif" w:hAnsi="Microsoft Sans Serif" w:cs="Microsoft Sans Serif"/>
          <w:b/>
          <w:sz w:val="24"/>
        </w:rPr>
        <w:t>610.330.9778</w:t>
      </w:r>
      <w:r>
        <w:rPr>
          <w:rFonts w:ascii="Microsoft Sans Serif" w:eastAsia="Microsoft Sans Serif" w:hAnsi="Microsoft Sans Serif" w:cs="Microsoft Sans Serif"/>
          <w:sz w:val="24"/>
        </w:rPr>
        <w:cr/>
      </w:r>
      <w:r w:rsidRPr="00CE47D6">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E47D6">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br/>
      </w:r>
      <w:r w:rsidRPr="00CE47D6">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p>
    <w:p w:rsidR="007F003B" w:rsidRDefault="007F003B" w:rsidP="007F003B"/>
    <w:p w:rsidR="00DC28A6" w:rsidRDefault="00A161BC" w:rsidP="00F0584F">
      <w:pPr>
        <w:spacing w:after="0"/>
      </w:pPr>
    </w:p>
    <w:sectPr w:rsidR="00DC28A6" w:rsidSect="00A969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C40" w:rsidRDefault="00933C40" w:rsidP="005B349B">
      <w:pPr>
        <w:spacing w:after="0" w:line="240" w:lineRule="auto"/>
      </w:pPr>
      <w:r>
        <w:separator/>
      </w:r>
    </w:p>
  </w:endnote>
  <w:endnote w:type="continuationSeparator" w:id="0">
    <w:p w:rsidR="00933C40" w:rsidRDefault="00933C40" w:rsidP="005B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69827"/>
      <w:docPartObj>
        <w:docPartGallery w:val="Page Numbers (Bottom of Page)"/>
        <w:docPartUnique/>
      </w:docPartObj>
    </w:sdtPr>
    <w:sdtEndPr>
      <w:rPr>
        <w:rFonts w:ascii="Times New Roman" w:hAnsi="Times New Roman" w:cs="Times New Roman"/>
        <w:noProof/>
        <w:sz w:val="24"/>
        <w:szCs w:val="24"/>
      </w:rPr>
    </w:sdtEndPr>
    <w:sdtContent>
      <w:p w:rsidR="00A96988" w:rsidRPr="00A96988" w:rsidRDefault="00A96988">
        <w:pPr>
          <w:pStyle w:val="Footer"/>
          <w:jc w:val="center"/>
          <w:rPr>
            <w:rFonts w:ascii="Times New Roman" w:hAnsi="Times New Roman" w:cs="Times New Roman"/>
            <w:sz w:val="24"/>
            <w:szCs w:val="24"/>
          </w:rPr>
        </w:pPr>
        <w:r w:rsidRPr="00A96988">
          <w:rPr>
            <w:rFonts w:ascii="Times New Roman" w:hAnsi="Times New Roman" w:cs="Times New Roman"/>
            <w:sz w:val="24"/>
            <w:szCs w:val="24"/>
          </w:rPr>
          <w:fldChar w:fldCharType="begin"/>
        </w:r>
        <w:r w:rsidRPr="00A96988">
          <w:rPr>
            <w:rFonts w:ascii="Times New Roman" w:hAnsi="Times New Roman" w:cs="Times New Roman"/>
            <w:sz w:val="24"/>
            <w:szCs w:val="24"/>
          </w:rPr>
          <w:instrText xml:space="preserve"> PAGE   \* MERGEFORMAT </w:instrText>
        </w:r>
        <w:r w:rsidRPr="00A96988">
          <w:rPr>
            <w:rFonts w:ascii="Times New Roman" w:hAnsi="Times New Roman" w:cs="Times New Roman"/>
            <w:sz w:val="24"/>
            <w:szCs w:val="24"/>
          </w:rPr>
          <w:fldChar w:fldCharType="separate"/>
        </w:r>
        <w:r w:rsidRPr="00A96988">
          <w:rPr>
            <w:rFonts w:ascii="Times New Roman" w:hAnsi="Times New Roman" w:cs="Times New Roman"/>
            <w:noProof/>
            <w:sz w:val="24"/>
            <w:szCs w:val="24"/>
          </w:rPr>
          <w:t>2</w:t>
        </w:r>
        <w:r w:rsidRPr="00A96988">
          <w:rPr>
            <w:rFonts w:ascii="Times New Roman" w:hAnsi="Times New Roman" w:cs="Times New Roman"/>
            <w:noProof/>
            <w:sz w:val="24"/>
            <w:szCs w:val="24"/>
          </w:rPr>
          <w:fldChar w:fldCharType="end"/>
        </w:r>
      </w:p>
    </w:sdtContent>
  </w:sdt>
  <w:p w:rsidR="006B31EB" w:rsidRDefault="006B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C40" w:rsidRDefault="00933C40" w:rsidP="005B349B">
      <w:pPr>
        <w:spacing w:after="0" w:line="240" w:lineRule="auto"/>
      </w:pPr>
      <w:r>
        <w:separator/>
      </w:r>
    </w:p>
  </w:footnote>
  <w:footnote w:type="continuationSeparator" w:id="0">
    <w:p w:rsidR="00933C40" w:rsidRDefault="00933C40" w:rsidP="005B3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92"/>
    <w:rsid w:val="00075ADC"/>
    <w:rsid w:val="000C1A26"/>
    <w:rsid w:val="000C2382"/>
    <w:rsid w:val="001C4B56"/>
    <w:rsid w:val="002204F0"/>
    <w:rsid w:val="00462331"/>
    <w:rsid w:val="0048618E"/>
    <w:rsid w:val="004B59D8"/>
    <w:rsid w:val="004C64CD"/>
    <w:rsid w:val="004D4D80"/>
    <w:rsid w:val="00541980"/>
    <w:rsid w:val="00557051"/>
    <w:rsid w:val="005B349B"/>
    <w:rsid w:val="006921B6"/>
    <w:rsid w:val="006B31EB"/>
    <w:rsid w:val="007534D6"/>
    <w:rsid w:val="007A0331"/>
    <w:rsid w:val="007A2BB1"/>
    <w:rsid w:val="007B5C79"/>
    <w:rsid w:val="007F003B"/>
    <w:rsid w:val="00833AFF"/>
    <w:rsid w:val="008F255F"/>
    <w:rsid w:val="00933C40"/>
    <w:rsid w:val="009917A0"/>
    <w:rsid w:val="009B01C3"/>
    <w:rsid w:val="009B684A"/>
    <w:rsid w:val="00A161BC"/>
    <w:rsid w:val="00A16466"/>
    <w:rsid w:val="00A207EC"/>
    <w:rsid w:val="00A44F8F"/>
    <w:rsid w:val="00A96988"/>
    <w:rsid w:val="00AE5C1C"/>
    <w:rsid w:val="00AF0192"/>
    <w:rsid w:val="00B41FA0"/>
    <w:rsid w:val="00B44248"/>
    <w:rsid w:val="00BC4FBE"/>
    <w:rsid w:val="00BE76AF"/>
    <w:rsid w:val="00C01CAF"/>
    <w:rsid w:val="00D12B16"/>
    <w:rsid w:val="00D17446"/>
    <w:rsid w:val="00EC3D14"/>
    <w:rsid w:val="00F04C9D"/>
    <w:rsid w:val="00F0584F"/>
    <w:rsid w:val="00FA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3B31"/>
  <w15:chartTrackingRefBased/>
  <w15:docId w15:val="{C85BBD21-DE8F-4876-AEC3-FE4B518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192"/>
    <w:pPr>
      <w:ind w:left="720"/>
      <w:contextualSpacing/>
    </w:pPr>
  </w:style>
  <w:style w:type="paragraph" w:styleId="Header">
    <w:name w:val="header"/>
    <w:basedOn w:val="Normal"/>
    <w:link w:val="HeaderChar"/>
    <w:uiPriority w:val="99"/>
    <w:unhideWhenUsed/>
    <w:rsid w:val="005B3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9B"/>
  </w:style>
  <w:style w:type="paragraph" w:styleId="Footer">
    <w:name w:val="footer"/>
    <w:basedOn w:val="Normal"/>
    <w:link w:val="FooterChar"/>
    <w:uiPriority w:val="99"/>
    <w:unhideWhenUsed/>
    <w:rsid w:val="005B3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5</cp:revision>
  <cp:lastPrinted>2018-10-10T16:15:00Z</cp:lastPrinted>
  <dcterms:created xsi:type="dcterms:W3CDTF">2018-10-18T14:07:00Z</dcterms:created>
  <dcterms:modified xsi:type="dcterms:W3CDTF">2018-10-18T14:09:00Z</dcterms:modified>
</cp:coreProperties>
</file>