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D850D4" w:rsidRPr="00C0451E">
        <w:tc>
          <w:tcPr>
            <w:tcW w:w="2448" w:type="dxa"/>
          </w:tcPr>
          <w:p w:rsidR="00D850D4" w:rsidRPr="00C0451E" w:rsidRDefault="00D850D4" w:rsidP="00092C0A">
            <w:pPr>
              <w:pStyle w:val="Heading3"/>
              <w:rPr>
                <w:rFonts w:ascii="Times New Roman" w:hAnsi="Times New Roman" w:cs="Times New Roman"/>
              </w:rPr>
            </w:pPr>
          </w:p>
        </w:tc>
        <w:tc>
          <w:tcPr>
            <w:tcW w:w="5130" w:type="dxa"/>
          </w:tcPr>
          <w:p w:rsidR="00D850D4" w:rsidRPr="00C0451E" w:rsidRDefault="00D850D4">
            <w:pPr>
              <w:jc w:val="center"/>
              <w:rPr>
                <w:b/>
                <w:sz w:val="26"/>
                <w:szCs w:val="26"/>
              </w:rPr>
            </w:pPr>
            <w:r w:rsidRPr="00C0451E">
              <w:rPr>
                <w:b/>
                <w:sz w:val="26"/>
                <w:szCs w:val="26"/>
              </w:rPr>
              <w:t>PENNSYLVANIA</w:t>
            </w:r>
          </w:p>
          <w:p w:rsidR="00D850D4" w:rsidRPr="00C0451E" w:rsidRDefault="00D850D4">
            <w:pPr>
              <w:jc w:val="center"/>
              <w:rPr>
                <w:b/>
                <w:sz w:val="26"/>
                <w:szCs w:val="26"/>
              </w:rPr>
            </w:pPr>
            <w:r w:rsidRPr="00C0451E">
              <w:rPr>
                <w:b/>
                <w:sz w:val="26"/>
                <w:szCs w:val="26"/>
              </w:rPr>
              <w:t>PUBLIC UTILITY COMMISSION</w:t>
            </w:r>
          </w:p>
          <w:p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rsidR="00D850D4" w:rsidRPr="00C0451E" w:rsidRDefault="00D850D4">
            <w:pPr>
              <w:rPr>
                <w:sz w:val="26"/>
                <w:szCs w:val="26"/>
              </w:rPr>
            </w:pPr>
          </w:p>
        </w:tc>
      </w:tr>
    </w:tbl>
    <w:p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tc>
          <w:tcPr>
            <w:tcW w:w="5148" w:type="dxa"/>
          </w:tcPr>
          <w:p w:rsidR="00D850D4" w:rsidRPr="00C0451E" w:rsidRDefault="00D850D4">
            <w:pPr>
              <w:rPr>
                <w:sz w:val="26"/>
                <w:szCs w:val="26"/>
              </w:rPr>
            </w:pPr>
          </w:p>
        </w:tc>
        <w:tc>
          <w:tcPr>
            <w:tcW w:w="5148" w:type="dxa"/>
          </w:tcPr>
          <w:p w:rsidR="00D850D4" w:rsidRPr="00C0451E" w:rsidRDefault="00D850D4" w:rsidP="00224EA4">
            <w:pPr>
              <w:ind w:firstLine="612"/>
              <w:rPr>
                <w:sz w:val="26"/>
                <w:szCs w:val="26"/>
              </w:rPr>
            </w:pPr>
            <w:r w:rsidRPr="00C0451E">
              <w:rPr>
                <w:sz w:val="26"/>
                <w:szCs w:val="26"/>
              </w:rPr>
              <w:t xml:space="preserve">Public Meeting held </w:t>
            </w:r>
            <w:r w:rsidR="00D470C0">
              <w:rPr>
                <w:sz w:val="26"/>
                <w:szCs w:val="26"/>
              </w:rPr>
              <w:t>September 20,</w:t>
            </w:r>
            <w:r w:rsidR="007245E6">
              <w:rPr>
                <w:sz w:val="26"/>
                <w:szCs w:val="26"/>
              </w:rPr>
              <w:t xml:space="preserve"> </w:t>
            </w:r>
            <w:r w:rsidR="006E7EAA">
              <w:rPr>
                <w:sz w:val="26"/>
                <w:szCs w:val="26"/>
              </w:rPr>
              <w:t>201</w:t>
            </w:r>
            <w:r w:rsidR="00271B5E">
              <w:rPr>
                <w:sz w:val="26"/>
                <w:szCs w:val="26"/>
              </w:rPr>
              <w:t>8</w:t>
            </w:r>
            <w:r w:rsidR="005551D7">
              <w:rPr>
                <w:sz w:val="26"/>
                <w:szCs w:val="26"/>
              </w:rPr>
              <w:t xml:space="preserve"> </w:t>
            </w:r>
          </w:p>
        </w:tc>
      </w:tr>
      <w:tr w:rsidR="00D850D4" w:rsidRPr="00C0451E">
        <w:tc>
          <w:tcPr>
            <w:tcW w:w="5148" w:type="dxa"/>
          </w:tcPr>
          <w:p w:rsidR="00D850D4" w:rsidRPr="00C0451E" w:rsidRDefault="00D850D4">
            <w:pPr>
              <w:rPr>
                <w:sz w:val="26"/>
                <w:szCs w:val="26"/>
              </w:rPr>
            </w:pPr>
            <w:r w:rsidRPr="00C0451E">
              <w:rPr>
                <w:sz w:val="26"/>
                <w:szCs w:val="26"/>
              </w:rPr>
              <w:t>Commissioners Present:</w:t>
            </w:r>
          </w:p>
        </w:tc>
        <w:tc>
          <w:tcPr>
            <w:tcW w:w="5148" w:type="dxa"/>
          </w:tcPr>
          <w:p w:rsidR="00D850D4" w:rsidRPr="00C0451E" w:rsidRDefault="00D850D4">
            <w:pPr>
              <w:rPr>
                <w:sz w:val="26"/>
                <w:szCs w:val="26"/>
              </w:rPr>
            </w:pPr>
          </w:p>
        </w:tc>
      </w:tr>
    </w:tbl>
    <w:p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3420"/>
        <w:gridCol w:w="720"/>
        <w:gridCol w:w="198"/>
      </w:tblGrid>
      <w:tr w:rsidR="004E58A5" w:rsidRPr="00C0451E" w:rsidTr="00107AB8">
        <w:tc>
          <w:tcPr>
            <w:tcW w:w="9378" w:type="dxa"/>
            <w:gridSpan w:val="2"/>
          </w:tcPr>
          <w:p w:rsidR="004E58A5" w:rsidRPr="00C0451E" w:rsidRDefault="005426BD" w:rsidP="00AB738E">
            <w:pPr>
              <w:overflowPunct/>
              <w:ind w:left="720"/>
              <w:textAlignment w:val="auto"/>
              <w:rPr>
                <w:sz w:val="26"/>
                <w:szCs w:val="26"/>
              </w:rPr>
            </w:pPr>
            <w:r>
              <w:rPr>
                <w:sz w:val="26"/>
                <w:szCs w:val="26"/>
              </w:rPr>
              <w:t>Gladys M. Brown</w:t>
            </w:r>
            <w:r w:rsidR="00E15458">
              <w:rPr>
                <w:sz w:val="26"/>
                <w:szCs w:val="26"/>
              </w:rPr>
              <w:t>, Chairman</w:t>
            </w:r>
          </w:p>
        </w:tc>
        <w:tc>
          <w:tcPr>
            <w:tcW w:w="918" w:type="dxa"/>
            <w:gridSpan w:val="2"/>
          </w:tcPr>
          <w:p w:rsidR="004E58A5" w:rsidRPr="00C0451E" w:rsidRDefault="004E58A5">
            <w:pPr>
              <w:rPr>
                <w:sz w:val="26"/>
                <w:szCs w:val="26"/>
              </w:rPr>
            </w:pPr>
          </w:p>
        </w:tc>
      </w:tr>
      <w:tr w:rsidR="004E58A5" w:rsidRPr="00C0451E" w:rsidTr="00107AB8">
        <w:tc>
          <w:tcPr>
            <w:tcW w:w="9378" w:type="dxa"/>
            <w:gridSpan w:val="2"/>
          </w:tcPr>
          <w:p w:rsidR="004E58A5" w:rsidRDefault="00014625" w:rsidP="00014625">
            <w:pPr>
              <w:overflowPunct/>
              <w:ind w:left="720"/>
              <w:textAlignment w:val="auto"/>
              <w:rPr>
                <w:sz w:val="26"/>
                <w:szCs w:val="26"/>
              </w:rPr>
            </w:pPr>
            <w:r w:rsidRPr="005705F0">
              <w:rPr>
                <w:sz w:val="26"/>
                <w:szCs w:val="26"/>
              </w:rPr>
              <w:t>Andrew G. Place</w:t>
            </w:r>
            <w:r w:rsidR="00AB2CF1" w:rsidRPr="005705F0">
              <w:rPr>
                <w:sz w:val="26"/>
                <w:szCs w:val="26"/>
              </w:rPr>
              <w:t xml:space="preserve">, </w:t>
            </w:r>
            <w:r w:rsidR="004E58A5" w:rsidRPr="005705F0">
              <w:rPr>
                <w:sz w:val="26"/>
                <w:szCs w:val="26"/>
              </w:rPr>
              <w:t>Vice Chairman</w:t>
            </w:r>
            <w:r w:rsidR="00AC3D32">
              <w:rPr>
                <w:sz w:val="26"/>
                <w:szCs w:val="26"/>
              </w:rPr>
              <w:t>, Statement</w:t>
            </w:r>
            <w:bookmarkStart w:id="0" w:name="_GoBack"/>
            <w:bookmarkEnd w:id="0"/>
          </w:p>
          <w:p w:rsidR="00271B5E" w:rsidRPr="005705F0" w:rsidRDefault="00271B5E" w:rsidP="00014625">
            <w:pPr>
              <w:overflowPunct/>
              <w:ind w:left="720"/>
              <w:textAlignment w:val="auto"/>
              <w:rPr>
                <w:sz w:val="26"/>
                <w:szCs w:val="26"/>
              </w:rPr>
            </w:pPr>
            <w:r>
              <w:rPr>
                <w:sz w:val="26"/>
                <w:szCs w:val="26"/>
              </w:rPr>
              <w:t>Norman J. Kennard</w:t>
            </w:r>
          </w:p>
        </w:tc>
        <w:tc>
          <w:tcPr>
            <w:tcW w:w="918" w:type="dxa"/>
            <w:gridSpan w:val="2"/>
          </w:tcPr>
          <w:p w:rsidR="004E58A5" w:rsidRPr="00C0451E" w:rsidRDefault="004E58A5">
            <w:pPr>
              <w:rPr>
                <w:sz w:val="26"/>
                <w:szCs w:val="26"/>
              </w:rPr>
            </w:pPr>
          </w:p>
        </w:tc>
      </w:tr>
      <w:tr w:rsidR="004E58A5" w:rsidRPr="00C0451E" w:rsidTr="00107AB8">
        <w:tc>
          <w:tcPr>
            <w:tcW w:w="9378" w:type="dxa"/>
            <w:gridSpan w:val="2"/>
          </w:tcPr>
          <w:p w:rsidR="004E58A5" w:rsidRPr="005705F0" w:rsidRDefault="009338BF" w:rsidP="00AB738E">
            <w:pPr>
              <w:overflowPunct/>
              <w:ind w:left="720"/>
              <w:textAlignment w:val="auto"/>
              <w:rPr>
                <w:sz w:val="26"/>
                <w:szCs w:val="26"/>
              </w:rPr>
            </w:pPr>
            <w:r>
              <w:rPr>
                <w:sz w:val="26"/>
                <w:szCs w:val="26"/>
              </w:rPr>
              <w:t>David W. Sweet</w:t>
            </w:r>
          </w:p>
        </w:tc>
        <w:tc>
          <w:tcPr>
            <w:tcW w:w="918" w:type="dxa"/>
            <w:gridSpan w:val="2"/>
          </w:tcPr>
          <w:p w:rsidR="004E58A5" w:rsidRPr="00C0451E" w:rsidRDefault="004E58A5">
            <w:pPr>
              <w:rPr>
                <w:sz w:val="26"/>
                <w:szCs w:val="26"/>
              </w:rPr>
            </w:pPr>
          </w:p>
        </w:tc>
      </w:tr>
      <w:tr w:rsidR="004E58A5" w:rsidRPr="00C0451E" w:rsidTr="00107AB8">
        <w:tc>
          <w:tcPr>
            <w:tcW w:w="9378" w:type="dxa"/>
            <w:gridSpan w:val="2"/>
          </w:tcPr>
          <w:p w:rsidR="004E58A5" w:rsidRPr="00C0451E" w:rsidRDefault="009338BF" w:rsidP="00AB738E">
            <w:pPr>
              <w:overflowPunct/>
              <w:ind w:left="720"/>
              <w:textAlignment w:val="auto"/>
              <w:rPr>
                <w:sz w:val="26"/>
                <w:szCs w:val="26"/>
              </w:rPr>
            </w:pPr>
            <w:r>
              <w:rPr>
                <w:sz w:val="26"/>
                <w:szCs w:val="26"/>
              </w:rPr>
              <w:t>John F. Coleman, Jr.</w:t>
            </w:r>
          </w:p>
        </w:tc>
        <w:tc>
          <w:tcPr>
            <w:tcW w:w="918" w:type="dxa"/>
            <w:gridSpan w:val="2"/>
          </w:tcPr>
          <w:p w:rsidR="004E58A5" w:rsidRPr="00C0451E" w:rsidRDefault="004E58A5">
            <w:pPr>
              <w:rPr>
                <w:sz w:val="26"/>
                <w:szCs w:val="26"/>
              </w:rPr>
            </w:pPr>
          </w:p>
        </w:tc>
      </w:tr>
      <w:tr w:rsidR="00572CCC" w:rsidRPr="00C0451E" w:rsidTr="00E311FE">
        <w:trPr>
          <w:gridAfter w:val="1"/>
          <w:wAfter w:w="198" w:type="dxa"/>
        </w:trPr>
        <w:tc>
          <w:tcPr>
            <w:tcW w:w="5958" w:type="dxa"/>
          </w:tcPr>
          <w:p w:rsidR="00572CCC" w:rsidRPr="00C0451E" w:rsidRDefault="00572CCC" w:rsidP="00AB738E">
            <w:pPr>
              <w:ind w:left="720"/>
              <w:rPr>
                <w:sz w:val="26"/>
                <w:szCs w:val="26"/>
              </w:rPr>
            </w:pPr>
          </w:p>
        </w:tc>
        <w:tc>
          <w:tcPr>
            <w:tcW w:w="4140" w:type="dxa"/>
            <w:gridSpan w:val="2"/>
          </w:tcPr>
          <w:p w:rsidR="00572CCC" w:rsidRPr="00C0451E" w:rsidRDefault="00572CCC" w:rsidP="00A82FC9">
            <w:pPr>
              <w:rPr>
                <w:sz w:val="26"/>
                <w:szCs w:val="26"/>
              </w:rPr>
            </w:pPr>
          </w:p>
        </w:tc>
      </w:tr>
      <w:tr w:rsidR="00E441EC" w:rsidRPr="00C0451E" w:rsidTr="00E311FE">
        <w:trPr>
          <w:gridAfter w:val="1"/>
          <w:wAfter w:w="198" w:type="dxa"/>
        </w:trPr>
        <w:tc>
          <w:tcPr>
            <w:tcW w:w="5958" w:type="dxa"/>
          </w:tcPr>
          <w:p w:rsidR="00E441EC" w:rsidRPr="00C0451E" w:rsidRDefault="00E441EC" w:rsidP="00F649E4">
            <w:pPr>
              <w:rPr>
                <w:sz w:val="26"/>
                <w:szCs w:val="26"/>
              </w:rPr>
            </w:pPr>
          </w:p>
        </w:tc>
        <w:tc>
          <w:tcPr>
            <w:tcW w:w="4140" w:type="dxa"/>
            <w:gridSpan w:val="2"/>
          </w:tcPr>
          <w:p w:rsidR="00E441EC" w:rsidRPr="00C0451E" w:rsidRDefault="00E441EC" w:rsidP="00A82FC9">
            <w:pPr>
              <w:rPr>
                <w:sz w:val="26"/>
                <w:szCs w:val="26"/>
              </w:rPr>
            </w:pPr>
          </w:p>
        </w:tc>
      </w:tr>
      <w:tr w:rsidR="00107AB8" w:rsidRPr="00C0451E" w:rsidTr="00E311FE">
        <w:trPr>
          <w:gridAfter w:val="1"/>
          <w:wAfter w:w="198" w:type="dxa"/>
        </w:trPr>
        <w:tc>
          <w:tcPr>
            <w:tcW w:w="5958" w:type="dxa"/>
          </w:tcPr>
          <w:p w:rsidR="00E311FE" w:rsidRPr="00C0451E" w:rsidRDefault="002F1036" w:rsidP="002F1036">
            <w:pPr>
              <w:tabs>
                <w:tab w:val="left" w:pos="540"/>
              </w:tabs>
              <w:rPr>
                <w:sz w:val="26"/>
                <w:szCs w:val="26"/>
              </w:rPr>
            </w:pPr>
            <w:r>
              <w:rPr>
                <w:sz w:val="26"/>
                <w:szCs w:val="26"/>
              </w:rPr>
              <w:t>Petition</w:t>
            </w:r>
            <w:r w:rsidR="00FC4B0F">
              <w:rPr>
                <w:sz w:val="26"/>
                <w:szCs w:val="26"/>
              </w:rPr>
              <w:t xml:space="preserve"> of</w:t>
            </w:r>
            <w:r>
              <w:rPr>
                <w:sz w:val="26"/>
                <w:szCs w:val="26"/>
              </w:rPr>
              <w:t xml:space="preserve"> </w:t>
            </w:r>
            <w:r w:rsidR="00E32F1E">
              <w:rPr>
                <w:sz w:val="26"/>
                <w:szCs w:val="26"/>
              </w:rPr>
              <w:t>t</w:t>
            </w:r>
            <w:r w:rsidR="00FC18C7">
              <w:rPr>
                <w:sz w:val="26"/>
                <w:szCs w:val="26"/>
              </w:rPr>
              <w:t xml:space="preserve">he </w:t>
            </w:r>
            <w:r w:rsidR="00E32F1E">
              <w:rPr>
                <w:sz w:val="26"/>
                <w:szCs w:val="26"/>
              </w:rPr>
              <w:t>Retail Energy Supply Association to Simplify the Financial Security 5% Renewal Process</w:t>
            </w:r>
          </w:p>
        </w:tc>
        <w:tc>
          <w:tcPr>
            <w:tcW w:w="4140" w:type="dxa"/>
            <w:gridSpan w:val="2"/>
          </w:tcPr>
          <w:p w:rsidR="00107AB8" w:rsidRPr="00C0451E" w:rsidRDefault="00FC4B0F" w:rsidP="00D92845">
            <w:pPr>
              <w:jc w:val="center"/>
              <w:rPr>
                <w:sz w:val="26"/>
                <w:szCs w:val="26"/>
              </w:rPr>
            </w:pPr>
            <w:r>
              <w:rPr>
                <w:sz w:val="26"/>
                <w:szCs w:val="26"/>
              </w:rPr>
              <w:t>P-2017</w:t>
            </w:r>
            <w:r w:rsidR="00E311FE" w:rsidRPr="00567F6D">
              <w:rPr>
                <w:sz w:val="26"/>
                <w:szCs w:val="26"/>
              </w:rPr>
              <w:t>-2</w:t>
            </w:r>
            <w:r w:rsidR="00E32F1E">
              <w:rPr>
                <w:sz w:val="26"/>
                <w:szCs w:val="26"/>
              </w:rPr>
              <w:t>608078</w:t>
            </w:r>
          </w:p>
        </w:tc>
      </w:tr>
    </w:tbl>
    <w:p w:rsidR="00D850D4" w:rsidRDefault="00D850D4">
      <w:pPr>
        <w:jc w:val="center"/>
        <w:rPr>
          <w:b/>
          <w:sz w:val="26"/>
          <w:szCs w:val="26"/>
        </w:rPr>
      </w:pPr>
    </w:p>
    <w:p w:rsidR="00D05928" w:rsidRPr="00C0451E" w:rsidRDefault="00D05928">
      <w:pPr>
        <w:jc w:val="center"/>
        <w:rPr>
          <w:b/>
          <w:sz w:val="26"/>
          <w:szCs w:val="26"/>
        </w:rPr>
      </w:pPr>
    </w:p>
    <w:p w:rsidR="00777484" w:rsidRPr="00AE1469" w:rsidRDefault="0089622A" w:rsidP="00777484">
      <w:pPr>
        <w:jc w:val="center"/>
        <w:rPr>
          <w:b/>
          <w:sz w:val="26"/>
          <w:szCs w:val="26"/>
        </w:rPr>
      </w:pPr>
      <w:r>
        <w:rPr>
          <w:b/>
          <w:sz w:val="26"/>
          <w:szCs w:val="26"/>
        </w:rPr>
        <w:t xml:space="preserve">TENTATIVE </w:t>
      </w:r>
      <w:r w:rsidR="000C6D0E">
        <w:rPr>
          <w:b/>
          <w:sz w:val="26"/>
          <w:szCs w:val="26"/>
        </w:rPr>
        <w:t xml:space="preserve">OPINION AND </w:t>
      </w:r>
      <w:r w:rsidR="00803ACB">
        <w:rPr>
          <w:b/>
          <w:sz w:val="26"/>
          <w:szCs w:val="26"/>
        </w:rPr>
        <w:t>ORDER</w:t>
      </w:r>
    </w:p>
    <w:p w:rsidR="00FC6073" w:rsidRDefault="00FC6073" w:rsidP="00FC6073">
      <w:pPr>
        <w:jc w:val="center"/>
        <w:rPr>
          <w:b/>
          <w:sz w:val="26"/>
          <w:szCs w:val="26"/>
        </w:rPr>
      </w:pPr>
    </w:p>
    <w:p w:rsidR="008976A4" w:rsidRPr="00AE1469" w:rsidRDefault="008976A4" w:rsidP="00FC6073">
      <w:pPr>
        <w:jc w:val="center"/>
        <w:rPr>
          <w:b/>
          <w:sz w:val="26"/>
          <w:szCs w:val="26"/>
        </w:rPr>
      </w:pPr>
    </w:p>
    <w:p w:rsidR="00FC6073" w:rsidRPr="00AE1469" w:rsidRDefault="00FC6073" w:rsidP="00FC6073">
      <w:pPr>
        <w:spacing w:line="480" w:lineRule="auto"/>
        <w:rPr>
          <w:b/>
          <w:sz w:val="26"/>
          <w:szCs w:val="26"/>
        </w:rPr>
      </w:pPr>
      <w:r w:rsidRPr="00AE1469">
        <w:rPr>
          <w:b/>
          <w:sz w:val="26"/>
          <w:szCs w:val="26"/>
        </w:rPr>
        <w:t>BY THE COMMISSION:</w:t>
      </w:r>
    </w:p>
    <w:p w:rsidR="002E73DC" w:rsidRDefault="00FC6073" w:rsidP="003F671F">
      <w:pPr>
        <w:spacing w:line="360" w:lineRule="auto"/>
        <w:rPr>
          <w:color w:val="FF0000"/>
          <w:sz w:val="26"/>
          <w:szCs w:val="26"/>
        </w:rPr>
      </w:pPr>
      <w:r w:rsidRPr="00AE1469">
        <w:rPr>
          <w:b/>
          <w:sz w:val="26"/>
          <w:szCs w:val="26"/>
        </w:rPr>
        <w:tab/>
      </w:r>
      <w:r w:rsidR="001E7766" w:rsidRPr="005D0370">
        <w:rPr>
          <w:sz w:val="26"/>
          <w:szCs w:val="26"/>
        </w:rPr>
        <w:t xml:space="preserve">Before the </w:t>
      </w:r>
      <w:r w:rsidR="00A11618">
        <w:rPr>
          <w:sz w:val="26"/>
          <w:szCs w:val="26"/>
        </w:rPr>
        <w:t xml:space="preserve">Pennsylvania </w:t>
      </w:r>
      <w:r w:rsidR="00584B1B">
        <w:rPr>
          <w:sz w:val="26"/>
          <w:szCs w:val="26"/>
        </w:rPr>
        <w:t xml:space="preserve">Public Utility </w:t>
      </w:r>
      <w:r w:rsidR="001E7766" w:rsidRPr="005D0370">
        <w:rPr>
          <w:sz w:val="26"/>
          <w:szCs w:val="26"/>
        </w:rPr>
        <w:t>Commission</w:t>
      </w:r>
      <w:r w:rsidR="00584B1B">
        <w:rPr>
          <w:sz w:val="26"/>
          <w:szCs w:val="26"/>
        </w:rPr>
        <w:t xml:space="preserve"> (Commission)</w:t>
      </w:r>
      <w:r w:rsidR="001E7766" w:rsidRPr="005D0370">
        <w:rPr>
          <w:sz w:val="26"/>
          <w:szCs w:val="26"/>
        </w:rPr>
        <w:t xml:space="preserve"> for consideration is the </w:t>
      </w:r>
      <w:bookmarkStart w:id="1" w:name="_Hlk521497840"/>
      <w:r w:rsidR="001E7766" w:rsidRPr="005D0370">
        <w:rPr>
          <w:sz w:val="26"/>
          <w:szCs w:val="26"/>
        </w:rPr>
        <w:t xml:space="preserve">Petition </w:t>
      </w:r>
      <w:r w:rsidR="005D0370" w:rsidRPr="005D0370">
        <w:rPr>
          <w:sz w:val="26"/>
          <w:szCs w:val="26"/>
        </w:rPr>
        <w:t xml:space="preserve">of </w:t>
      </w:r>
      <w:r w:rsidR="00E32F1E">
        <w:rPr>
          <w:sz w:val="26"/>
          <w:szCs w:val="26"/>
        </w:rPr>
        <w:t>t</w:t>
      </w:r>
      <w:r w:rsidR="005D0370" w:rsidRPr="005D0370">
        <w:rPr>
          <w:sz w:val="26"/>
          <w:szCs w:val="26"/>
        </w:rPr>
        <w:t xml:space="preserve">he </w:t>
      </w:r>
      <w:r w:rsidR="00E32F1E">
        <w:rPr>
          <w:sz w:val="26"/>
          <w:szCs w:val="26"/>
        </w:rPr>
        <w:t>Retail Energy Supply Association</w:t>
      </w:r>
      <w:r w:rsidR="00271B5E">
        <w:rPr>
          <w:sz w:val="26"/>
          <w:szCs w:val="26"/>
        </w:rPr>
        <w:t xml:space="preserve"> (RESA)</w:t>
      </w:r>
      <w:r w:rsidR="00E32F1E">
        <w:rPr>
          <w:sz w:val="26"/>
          <w:szCs w:val="26"/>
        </w:rPr>
        <w:t xml:space="preserve"> to Simplify the </w:t>
      </w:r>
      <w:r w:rsidR="00A11618">
        <w:rPr>
          <w:sz w:val="26"/>
          <w:szCs w:val="26"/>
        </w:rPr>
        <w:t>process for electric generation suppliers (EGSs) to seek a reduction in the financial</w:t>
      </w:r>
      <w:r w:rsidR="00E32F1E">
        <w:rPr>
          <w:sz w:val="26"/>
          <w:szCs w:val="26"/>
        </w:rPr>
        <w:t xml:space="preserve"> </w:t>
      </w:r>
      <w:r w:rsidR="00A11618">
        <w:rPr>
          <w:sz w:val="26"/>
          <w:szCs w:val="26"/>
        </w:rPr>
        <w:t>s</w:t>
      </w:r>
      <w:r w:rsidR="00E32F1E">
        <w:rPr>
          <w:sz w:val="26"/>
          <w:szCs w:val="26"/>
        </w:rPr>
        <w:t xml:space="preserve">ecurity </w:t>
      </w:r>
      <w:r w:rsidR="00A11618">
        <w:rPr>
          <w:sz w:val="26"/>
          <w:szCs w:val="26"/>
        </w:rPr>
        <w:t>requirements in accordance with 52 Pa. Code § 54.40</w:t>
      </w:r>
      <w:r w:rsidR="005D0370" w:rsidRPr="005D0370">
        <w:rPr>
          <w:sz w:val="26"/>
          <w:szCs w:val="26"/>
        </w:rPr>
        <w:t>.</w:t>
      </w:r>
      <w:r w:rsidR="00F77CEE">
        <w:rPr>
          <w:sz w:val="26"/>
          <w:szCs w:val="26"/>
        </w:rPr>
        <w:t xml:space="preserve">  </w:t>
      </w:r>
      <w:proofErr w:type="gramStart"/>
      <w:r w:rsidR="00E45A7C" w:rsidRPr="00A4738A">
        <w:rPr>
          <w:sz w:val="26"/>
          <w:szCs w:val="26"/>
        </w:rPr>
        <w:t>For the reasons that</w:t>
      </w:r>
      <w:proofErr w:type="gramEnd"/>
      <w:r w:rsidR="00E45A7C" w:rsidRPr="00A4738A">
        <w:rPr>
          <w:sz w:val="26"/>
          <w:szCs w:val="26"/>
        </w:rPr>
        <w:t xml:space="preserve"> follow, the Commission</w:t>
      </w:r>
      <w:r w:rsidR="002E73DC" w:rsidRPr="00A4738A">
        <w:rPr>
          <w:sz w:val="26"/>
          <w:szCs w:val="26"/>
        </w:rPr>
        <w:t xml:space="preserve"> will grant the requested relief subject to the terms and conditions set forth in this Order.</w:t>
      </w:r>
    </w:p>
    <w:p w:rsidR="0063698B" w:rsidRPr="00E32F1E" w:rsidRDefault="0063698B" w:rsidP="003F671F">
      <w:pPr>
        <w:spacing w:line="360" w:lineRule="auto"/>
        <w:rPr>
          <w:color w:val="FF0000"/>
          <w:sz w:val="26"/>
          <w:szCs w:val="26"/>
        </w:rPr>
      </w:pPr>
    </w:p>
    <w:bookmarkEnd w:id="1"/>
    <w:p w:rsidR="00972D62" w:rsidRPr="00AB478A" w:rsidRDefault="00972D62" w:rsidP="00275681">
      <w:pPr>
        <w:spacing w:line="360" w:lineRule="auto"/>
        <w:jc w:val="center"/>
        <w:rPr>
          <w:b/>
          <w:sz w:val="26"/>
          <w:szCs w:val="26"/>
        </w:rPr>
      </w:pPr>
      <w:r w:rsidRPr="00AB478A">
        <w:rPr>
          <w:b/>
          <w:sz w:val="26"/>
          <w:szCs w:val="26"/>
        </w:rPr>
        <w:t>BACKGROUND</w:t>
      </w:r>
    </w:p>
    <w:p w:rsidR="005630E0" w:rsidRPr="00AB478A" w:rsidRDefault="006E3D23" w:rsidP="001A6F28">
      <w:pPr>
        <w:tabs>
          <w:tab w:val="left" w:pos="720"/>
        </w:tabs>
        <w:spacing w:line="360" w:lineRule="auto"/>
        <w:rPr>
          <w:sz w:val="26"/>
          <w:szCs w:val="26"/>
        </w:rPr>
      </w:pPr>
      <w:r>
        <w:rPr>
          <w:sz w:val="26"/>
          <w:szCs w:val="26"/>
        </w:rPr>
        <w:tab/>
      </w:r>
      <w:r w:rsidR="00F77CEE">
        <w:rPr>
          <w:sz w:val="26"/>
          <w:szCs w:val="26"/>
        </w:rPr>
        <w:t>Section 2809 of t</w:t>
      </w:r>
      <w:r>
        <w:rPr>
          <w:sz w:val="26"/>
          <w:szCs w:val="26"/>
        </w:rPr>
        <w:t>he Public Utility Code</w:t>
      </w:r>
      <w:r w:rsidR="00A11618">
        <w:rPr>
          <w:sz w:val="26"/>
          <w:szCs w:val="26"/>
        </w:rPr>
        <w:t xml:space="preserve"> (Code)</w:t>
      </w:r>
      <w:r>
        <w:rPr>
          <w:sz w:val="26"/>
          <w:szCs w:val="26"/>
        </w:rPr>
        <w:t xml:space="preserve">, 66 Pa. C.S. § </w:t>
      </w:r>
      <w:r w:rsidR="00F77CEE">
        <w:rPr>
          <w:sz w:val="26"/>
          <w:szCs w:val="26"/>
        </w:rPr>
        <w:t>2809(c)</w:t>
      </w:r>
      <w:r>
        <w:rPr>
          <w:sz w:val="26"/>
          <w:szCs w:val="26"/>
        </w:rPr>
        <w:t>,</w:t>
      </w:r>
      <w:r w:rsidR="005630E0" w:rsidRPr="00AB478A">
        <w:rPr>
          <w:sz w:val="26"/>
          <w:szCs w:val="26"/>
        </w:rPr>
        <w:t xml:space="preserve"> and the regulations promulgated </w:t>
      </w:r>
      <w:r w:rsidR="003D51B7">
        <w:rPr>
          <w:sz w:val="26"/>
          <w:szCs w:val="26"/>
        </w:rPr>
        <w:t>thereunder</w:t>
      </w:r>
      <w:r>
        <w:rPr>
          <w:sz w:val="26"/>
          <w:szCs w:val="26"/>
        </w:rPr>
        <w:t xml:space="preserve">, 52 Pa. Code § </w:t>
      </w:r>
      <w:r w:rsidR="00503963">
        <w:rPr>
          <w:sz w:val="26"/>
          <w:szCs w:val="26"/>
        </w:rPr>
        <w:t>54.40</w:t>
      </w:r>
      <w:r>
        <w:rPr>
          <w:sz w:val="26"/>
          <w:szCs w:val="26"/>
        </w:rPr>
        <w:t>,</w:t>
      </w:r>
      <w:r w:rsidR="005630E0" w:rsidRPr="00AB478A">
        <w:rPr>
          <w:sz w:val="26"/>
          <w:szCs w:val="26"/>
        </w:rPr>
        <w:t xml:space="preserve"> require EGSs doing business in Pennsylvania to maintain financial security at levels meant to ensure the financial responsibility of the EGS.  The</w:t>
      </w:r>
      <w:r w:rsidR="00AE077F" w:rsidRPr="00AB478A">
        <w:rPr>
          <w:sz w:val="26"/>
          <w:szCs w:val="26"/>
        </w:rPr>
        <w:t xml:space="preserve"> specific</w:t>
      </w:r>
      <w:r w:rsidR="005630E0" w:rsidRPr="00AB478A">
        <w:rPr>
          <w:sz w:val="26"/>
          <w:szCs w:val="26"/>
        </w:rPr>
        <w:t xml:space="preserve"> purpose</w:t>
      </w:r>
      <w:r w:rsidR="009D6517">
        <w:rPr>
          <w:sz w:val="26"/>
          <w:szCs w:val="26"/>
        </w:rPr>
        <w:t>s</w:t>
      </w:r>
      <w:r w:rsidR="005630E0" w:rsidRPr="00AB478A">
        <w:rPr>
          <w:sz w:val="26"/>
          <w:szCs w:val="26"/>
        </w:rPr>
        <w:t xml:space="preserve"> o</w:t>
      </w:r>
      <w:r w:rsidR="009D6517">
        <w:rPr>
          <w:sz w:val="26"/>
          <w:szCs w:val="26"/>
        </w:rPr>
        <w:t>f the security requirement are</w:t>
      </w:r>
      <w:r w:rsidR="005630E0" w:rsidRPr="00AB478A">
        <w:rPr>
          <w:sz w:val="26"/>
          <w:szCs w:val="26"/>
        </w:rPr>
        <w:t xml:space="preserve"> (1) </w:t>
      </w:r>
      <w:r w:rsidR="005453D3" w:rsidRPr="00AB478A">
        <w:rPr>
          <w:sz w:val="26"/>
          <w:szCs w:val="26"/>
        </w:rPr>
        <w:t xml:space="preserve">to </w:t>
      </w:r>
      <w:r w:rsidR="005630E0" w:rsidRPr="00AB478A">
        <w:rPr>
          <w:sz w:val="26"/>
          <w:szCs w:val="26"/>
        </w:rPr>
        <w:lastRenderedPageBreak/>
        <w:t xml:space="preserve">ensure </w:t>
      </w:r>
      <w:r w:rsidR="005453D3" w:rsidRPr="00AB478A">
        <w:rPr>
          <w:sz w:val="26"/>
          <w:szCs w:val="26"/>
        </w:rPr>
        <w:t>payment of</w:t>
      </w:r>
      <w:r w:rsidR="005630E0" w:rsidRPr="00AB478A">
        <w:rPr>
          <w:sz w:val="26"/>
          <w:szCs w:val="26"/>
        </w:rPr>
        <w:t xml:space="preserve"> the Gross Receip</w:t>
      </w:r>
      <w:r w:rsidR="005453D3" w:rsidRPr="00AB478A">
        <w:rPr>
          <w:sz w:val="26"/>
          <w:szCs w:val="26"/>
        </w:rPr>
        <w:t xml:space="preserve">ts Tax (GRT) </w:t>
      </w:r>
      <w:r w:rsidR="00BC7BE0">
        <w:rPr>
          <w:sz w:val="26"/>
          <w:szCs w:val="26"/>
        </w:rPr>
        <w:t>owed</w:t>
      </w:r>
      <w:r w:rsidR="005453D3" w:rsidRPr="00AB478A">
        <w:rPr>
          <w:sz w:val="26"/>
          <w:szCs w:val="26"/>
        </w:rPr>
        <w:t xml:space="preserve"> to</w:t>
      </w:r>
      <w:r w:rsidR="005630E0" w:rsidRPr="00AB478A">
        <w:rPr>
          <w:sz w:val="26"/>
          <w:szCs w:val="26"/>
        </w:rPr>
        <w:t xml:space="preserve"> the Department of Revenue</w:t>
      </w:r>
      <w:r w:rsidR="00FB5523">
        <w:rPr>
          <w:sz w:val="26"/>
          <w:szCs w:val="26"/>
        </w:rPr>
        <w:t>;</w:t>
      </w:r>
      <w:r w:rsidR="00884517">
        <w:rPr>
          <w:rStyle w:val="FootnoteReference"/>
          <w:sz w:val="26"/>
          <w:szCs w:val="26"/>
        </w:rPr>
        <w:footnoteReference w:id="1"/>
      </w:r>
      <w:r w:rsidR="005630E0" w:rsidRPr="00AB478A">
        <w:rPr>
          <w:sz w:val="26"/>
          <w:szCs w:val="26"/>
        </w:rPr>
        <w:t xml:space="preserve"> (2)</w:t>
      </w:r>
      <w:r w:rsidR="005453D3" w:rsidRPr="00AB478A">
        <w:rPr>
          <w:sz w:val="26"/>
          <w:szCs w:val="26"/>
        </w:rPr>
        <w:t xml:space="preserve"> </w:t>
      </w:r>
      <w:r w:rsidR="0092068B" w:rsidRPr="00AB478A">
        <w:rPr>
          <w:sz w:val="26"/>
          <w:szCs w:val="26"/>
        </w:rPr>
        <w:t>to ensure the supply of electricity at the retail level in accordance with contracts, agreements, or arrangements</w:t>
      </w:r>
      <w:r w:rsidR="00FB5523">
        <w:rPr>
          <w:sz w:val="26"/>
          <w:szCs w:val="26"/>
        </w:rPr>
        <w:t>;</w:t>
      </w:r>
      <w:r w:rsidR="00884517">
        <w:rPr>
          <w:rStyle w:val="FootnoteReference"/>
          <w:sz w:val="26"/>
          <w:szCs w:val="26"/>
        </w:rPr>
        <w:footnoteReference w:id="2"/>
      </w:r>
      <w:r w:rsidR="007614F5" w:rsidRPr="00AB478A">
        <w:rPr>
          <w:sz w:val="26"/>
          <w:szCs w:val="26"/>
        </w:rPr>
        <w:t xml:space="preserve"> and (3) to ensure payment of any alternative compliance payments </w:t>
      </w:r>
      <w:r w:rsidR="00BC7BE0">
        <w:rPr>
          <w:sz w:val="26"/>
          <w:szCs w:val="26"/>
        </w:rPr>
        <w:t>owed</w:t>
      </w:r>
      <w:r w:rsidR="007614F5" w:rsidRPr="00AB478A">
        <w:rPr>
          <w:sz w:val="26"/>
          <w:szCs w:val="26"/>
        </w:rPr>
        <w:t xml:space="preserve"> to the Pennsylvania Sustainable Energy </w:t>
      </w:r>
      <w:r w:rsidR="00FB2760">
        <w:rPr>
          <w:sz w:val="26"/>
          <w:szCs w:val="26"/>
        </w:rPr>
        <w:t>Funds</w:t>
      </w:r>
      <w:r w:rsidR="00FB2760" w:rsidRPr="00AB478A">
        <w:rPr>
          <w:sz w:val="26"/>
          <w:szCs w:val="26"/>
        </w:rPr>
        <w:t xml:space="preserve"> </w:t>
      </w:r>
      <w:r w:rsidR="007614F5" w:rsidRPr="00AB478A">
        <w:rPr>
          <w:sz w:val="26"/>
          <w:szCs w:val="26"/>
        </w:rPr>
        <w:t xml:space="preserve">under the Alternative Energy </w:t>
      </w:r>
      <w:r w:rsidR="00884517">
        <w:rPr>
          <w:sz w:val="26"/>
          <w:szCs w:val="26"/>
        </w:rPr>
        <w:t>Portfolio Standards Act of 2004</w:t>
      </w:r>
      <w:r w:rsidR="00A11618">
        <w:rPr>
          <w:sz w:val="26"/>
          <w:szCs w:val="26"/>
        </w:rPr>
        <w:t xml:space="preserve"> (AEPS Act)</w:t>
      </w:r>
      <w:r w:rsidR="00884517">
        <w:rPr>
          <w:sz w:val="26"/>
          <w:szCs w:val="26"/>
        </w:rPr>
        <w:t>.</w:t>
      </w:r>
      <w:r w:rsidR="00884517">
        <w:rPr>
          <w:rStyle w:val="FootnoteReference"/>
          <w:sz w:val="26"/>
          <w:szCs w:val="26"/>
        </w:rPr>
        <w:footnoteReference w:id="3"/>
      </w:r>
    </w:p>
    <w:p w:rsidR="005630E0" w:rsidRPr="00AB478A" w:rsidRDefault="005630E0" w:rsidP="001A6F28">
      <w:pPr>
        <w:tabs>
          <w:tab w:val="left" w:pos="720"/>
        </w:tabs>
        <w:spacing w:line="360" w:lineRule="auto"/>
        <w:rPr>
          <w:sz w:val="26"/>
          <w:szCs w:val="26"/>
        </w:rPr>
      </w:pPr>
    </w:p>
    <w:p w:rsidR="0063698B" w:rsidRPr="009B1705" w:rsidRDefault="0063698B" w:rsidP="001A6F28">
      <w:pPr>
        <w:tabs>
          <w:tab w:val="left" w:pos="720"/>
        </w:tabs>
        <w:spacing w:line="360" w:lineRule="auto"/>
        <w:rPr>
          <w:sz w:val="26"/>
          <w:szCs w:val="26"/>
        </w:rPr>
      </w:pPr>
      <w:r w:rsidRPr="009B1705">
        <w:rPr>
          <w:sz w:val="26"/>
          <w:szCs w:val="26"/>
        </w:rPr>
        <w:tab/>
        <w:t xml:space="preserve">The Commission’s authority to establish financial security requirements for EGSs is set forth in the Code.  </w:t>
      </w:r>
      <w:r w:rsidRPr="009B1705">
        <w:rPr>
          <w:i/>
          <w:sz w:val="26"/>
          <w:szCs w:val="26"/>
        </w:rPr>
        <w:t>See</w:t>
      </w:r>
      <w:r w:rsidRPr="009B1705">
        <w:rPr>
          <w:sz w:val="26"/>
          <w:szCs w:val="26"/>
        </w:rPr>
        <w:t xml:space="preserve"> 66 Pa. C.S. § 2809.  Section 2809(c) provides, in pertinent part:</w:t>
      </w:r>
    </w:p>
    <w:p w:rsidR="0063698B" w:rsidRPr="009B1705" w:rsidRDefault="0063698B" w:rsidP="001A6F28">
      <w:pPr>
        <w:ind w:left="720" w:right="547"/>
        <w:rPr>
          <w:sz w:val="26"/>
          <w:szCs w:val="26"/>
        </w:rPr>
      </w:pPr>
      <w:r w:rsidRPr="009B1705">
        <w:rPr>
          <w:sz w:val="26"/>
          <w:szCs w:val="26"/>
        </w:rPr>
        <w:t>In order to ensure the safety and reliability of the generation of electricity in this Commonwealth, no energy supplier license shall be issued or remain in force unless the holder…[f]</w:t>
      </w:r>
      <w:proofErr w:type="spellStart"/>
      <w:r w:rsidRPr="009B1705">
        <w:rPr>
          <w:sz w:val="26"/>
          <w:szCs w:val="26"/>
        </w:rPr>
        <w:t>urnishes</w:t>
      </w:r>
      <w:proofErr w:type="spellEnd"/>
      <w:r w:rsidRPr="009B1705">
        <w:rPr>
          <w:sz w:val="26"/>
          <w:szCs w:val="26"/>
        </w:rPr>
        <w:t xml:space="preserve"> a </w:t>
      </w:r>
      <w:r w:rsidRPr="009B1705">
        <w:rPr>
          <w:b/>
          <w:i/>
          <w:sz w:val="26"/>
          <w:szCs w:val="26"/>
        </w:rPr>
        <w:t xml:space="preserve">bond or other security approved by the Commission in form and amount </w:t>
      </w:r>
      <w:r w:rsidRPr="009B1705">
        <w:rPr>
          <w:sz w:val="26"/>
          <w:szCs w:val="26"/>
        </w:rPr>
        <w:t>to ensure the financial responsibility of the electric generation supplier and the supply of electricity at retail in accordance with contracts, agreements or arrangements.</w:t>
      </w:r>
    </w:p>
    <w:p w:rsidR="0063698B" w:rsidRPr="009B1705" w:rsidRDefault="0063698B" w:rsidP="001A6F28">
      <w:pPr>
        <w:spacing w:line="360" w:lineRule="auto"/>
        <w:rPr>
          <w:sz w:val="26"/>
          <w:szCs w:val="26"/>
        </w:rPr>
      </w:pPr>
    </w:p>
    <w:p w:rsidR="0063698B" w:rsidRPr="009B1705" w:rsidRDefault="0063698B" w:rsidP="001A6F28">
      <w:pPr>
        <w:spacing w:line="360" w:lineRule="auto"/>
        <w:rPr>
          <w:sz w:val="26"/>
          <w:szCs w:val="26"/>
        </w:rPr>
      </w:pPr>
      <w:r w:rsidRPr="009B1705">
        <w:rPr>
          <w:sz w:val="26"/>
          <w:szCs w:val="26"/>
        </w:rPr>
        <w:t>66 Pa. C.S. § 2809(c)(1)(i) (emphasis added).  As emphasized above, the General Assembly granted the Commission authority to determine the “form and amount” of the security.</w:t>
      </w:r>
    </w:p>
    <w:p w:rsidR="0063698B" w:rsidRPr="009B1705" w:rsidRDefault="0063698B" w:rsidP="001A6F28">
      <w:pPr>
        <w:spacing w:line="360" w:lineRule="auto"/>
        <w:rPr>
          <w:sz w:val="26"/>
          <w:szCs w:val="26"/>
        </w:rPr>
      </w:pPr>
    </w:p>
    <w:p w:rsidR="0063698B" w:rsidRPr="009B1705" w:rsidRDefault="0063698B" w:rsidP="001A6F28">
      <w:pPr>
        <w:tabs>
          <w:tab w:val="left" w:pos="720"/>
        </w:tabs>
        <w:spacing w:line="360" w:lineRule="auto"/>
        <w:rPr>
          <w:sz w:val="26"/>
          <w:szCs w:val="26"/>
        </w:rPr>
      </w:pPr>
      <w:r w:rsidRPr="009B1705">
        <w:rPr>
          <w:sz w:val="26"/>
          <w:szCs w:val="26"/>
        </w:rPr>
        <w:tab/>
        <w:t>The Commission’s regulations at 52 Pa. Code § 54.40 provide specific details regarding the amount and form of bonds or other security for EGSs.  The initial security level for each EGS operating in Pennsylvania is $250,000.</w:t>
      </w:r>
      <w:r w:rsidR="00271B5E">
        <w:rPr>
          <w:rStyle w:val="FootnoteReference"/>
          <w:sz w:val="26"/>
          <w:szCs w:val="26"/>
        </w:rPr>
        <w:footnoteReference w:id="4"/>
      </w:r>
      <w:r w:rsidRPr="009B1705">
        <w:rPr>
          <w:sz w:val="26"/>
          <w:szCs w:val="26"/>
        </w:rPr>
        <w:t xml:space="preserve">  52 Pa. Code § 54.40(c).  After the first year of an EGS’ operation, its security level is reviewed annually and modified primarily based on its reported annual gross receipts.  52 Pa. Code § 54.40(d).  </w:t>
      </w:r>
      <w:r w:rsidRPr="009B1705">
        <w:rPr>
          <w:sz w:val="26"/>
          <w:szCs w:val="26"/>
        </w:rPr>
        <w:lastRenderedPageBreak/>
        <w:t>The default security level that an EGS must maintain after its first year of operation is 10% of its reported annual gross receipts or $250,000, whichever is higher</w:t>
      </w:r>
      <w:r w:rsidR="001F279B">
        <w:rPr>
          <w:sz w:val="26"/>
          <w:szCs w:val="26"/>
        </w:rPr>
        <w:t xml:space="preserve">. </w:t>
      </w:r>
      <w:r w:rsidRPr="009B1705">
        <w:rPr>
          <w:sz w:val="26"/>
          <w:szCs w:val="26"/>
        </w:rPr>
        <w:t xml:space="preserve"> </w:t>
      </w:r>
    </w:p>
    <w:p w:rsidR="00972D62" w:rsidRPr="009B1705" w:rsidRDefault="00972D62" w:rsidP="001A6F28">
      <w:pPr>
        <w:spacing w:line="360" w:lineRule="auto"/>
        <w:rPr>
          <w:sz w:val="26"/>
          <w:szCs w:val="26"/>
        </w:rPr>
      </w:pPr>
    </w:p>
    <w:p w:rsidR="003B5055" w:rsidRPr="008E6853" w:rsidRDefault="003B5055" w:rsidP="001A6F28">
      <w:pPr>
        <w:spacing w:line="360" w:lineRule="auto"/>
        <w:ind w:firstLine="720"/>
        <w:rPr>
          <w:sz w:val="26"/>
          <w:szCs w:val="26"/>
        </w:rPr>
      </w:pPr>
      <w:r w:rsidRPr="008E6853">
        <w:rPr>
          <w:sz w:val="26"/>
          <w:szCs w:val="26"/>
        </w:rPr>
        <w:t>During the Investigation of Pennsylvania’s Retail Electric Market (Docket No. I</w:t>
      </w:r>
      <w:r w:rsidR="001F279B">
        <w:rPr>
          <w:sz w:val="26"/>
          <w:szCs w:val="26"/>
        </w:rPr>
        <w:noBreakHyphen/>
      </w:r>
      <w:r w:rsidRPr="008E6853">
        <w:rPr>
          <w:sz w:val="26"/>
          <w:szCs w:val="26"/>
        </w:rPr>
        <w:t xml:space="preserve">2011-2237952), </w:t>
      </w:r>
      <w:r w:rsidR="005E5306" w:rsidRPr="008E6853">
        <w:rPr>
          <w:sz w:val="26"/>
          <w:szCs w:val="26"/>
        </w:rPr>
        <w:t>a risk assessment working group</w:t>
      </w:r>
      <w:r w:rsidR="00836F34" w:rsidRPr="008E6853">
        <w:rPr>
          <w:sz w:val="26"/>
          <w:szCs w:val="26"/>
        </w:rPr>
        <w:t xml:space="preserve"> comprising </w:t>
      </w:r>
      <w:r w:rsidR="00683F12">
        <w:rPr>
          <w:sz w:val="26"/>
          <w:szCs w:val="26"/>
        </w:rPr>
        <w:t xml:space="preserve">representatives from </w:t>
      </w:r>
      <w:r w:rsidR="00836F34" w:rsidRPr="008E6853">
        <w:rPr>
          <w:sz w:val="26"/>
          <w:szCs w:val="26"/>
        </w:rPr>
        <w:t>the Commission’s Office of Competitive Market Oversight</w:t>
      </w:r>
      <w:r w:rsidR="006C0E2A">
        <w:rPr>
          <w:sz w:val="26"/>
          <w:szCs w:val="26"/>
        </w:rPr>
        <w:t>,</w:t>
      </w:r>
      <w:r w:rsidR="00836F34" w:rsidRPr="008E6853">
        <w:rPr>
          <w:sz w:val="26"/>
          <w:szCs w:val="26"/>
        </w:rPr>
        <w:t xml:space="preserve"> EGS</w:t>
      </w:r>
      <w:r w:rsidR="00683F12">
        <w:rPr>
          <w:sz w:val="26"/>
          <w:szCs w:val="26"/>
        </w:rPr>
        <w:t>s</w:t>
      </w:r>
      <w:r w:rsidR="00836F34" w:rsidRPr="008E6853">
        <w:rPr>
          <w:sz w:val="26"/>
          <w:szCs w:val="26"/>
        </w:rPr>
        <w:t>, electric distribution compan</w:t>
      </w:r>
      <w:r w:rsidR="00683F12">
        <w:rPr>
          <w:sz w:val="26"/>
          <w:szCs w:val="26"/>
        </w:rPr>
        <w:t>ies</w:t>
      </w:r>
      <w:r w:rsidR="00836F34" w:rsidRPr="008E6853">
        <w:rPr>
          <w:sz w:val="26"/>
          <w:szCs w:val="26"/>
        </w:rPr>
        <w:t xml:space="preserve"> (EDC</w:t>
      </w:r>
      <w:r w:rsidR="00683F12">
        <w:rPr>
          <w:sz w:val="26"/>
          <w:szCs w:val="26"/>
        </w:rPr>
        <w:t>s</w:t>
      </w:r>
      <w:r w:rsidR="00836F34" w:rsidRPr="008E6853">
        <w:rPr>
          <w:sz w:val="26"/>
          <w:szCs w:val="26"/>
        </w:rPr>
        <w:t>)</w:t>
      </w:r>
      <w:r w:rsidR="001F279B">
        <w:rPr>
          <w:sz w:val="26"/>
          <w:szCs w:val="26"/>
        </w:rPr>
        <w:t xml:space="preserve"> </w:t>
      </w:r>
      <w:r w:rsidR="00836F34" w:rsidRPr="008E6853">
        <w:rPr>
          <w:sz w:val="26"/>
          <w:szCs w:val="26"/>
        </w:rPr>
        <w:t>and RESA,</w:t>
      </w:r>
      <w:r w:rsidR="005E5306" w:rsidRPr="008E6853">
        <w:rPr>
          <w:sz w:val="26"/>
          <w:szCs w:val="26"/>
        </w:rPr>
        <w:t xml:space="preserve"> was formed</w:t>
      </w:r>
      <w:r w:rsidR="00836F34" w:rsidRPr="008E6853">
        <w:rPr>
          <w:sz w:val="26"/>
          <w:szCs w:val="26"/>
        </w:rPr>
        <w:t xml:space="preserve"> in April of 2013</w:t>
      </w:r>
      <w:r w:rsidR="005E5306" w:rsidRPr="008E6853">
        <w:rPr>
          <w:sz w:val="26"/>
          <w:szCs w:val="26"/>
        </w:rPr>
        <w:t xml:space="preserve"> to examine, among other things, security requirements that EGSs must comply with to </w:t>
      </w:r>
      <w:r w:rsidR="00683F12">
        <w:rPr>
          <w:sz w:val="26"/>
          <w:szCs w:val="26"/>
        </w:rPr>
        <w:t>participate</w:t>
      </w:r>
      <w:r w:rsidR="005E5306" w:rsidRPr="008E6853">
        <w:rPr>
          <w:sz w:val="26"/>
          <w:szCs w:val="26"/>
        </w:rPr>
        <w:t xml:space="preserve"> in Pennsylvania’s retail electric market.  </w:t>
      </w:r>
      <w:r w:rsidR="00836F34" w:rsidRPr="008E6853">
        <w:rPr>
          <w:sz w:val="26"/>
          <w:szCs w:val="26"/>
        </w:rPr>
        <w:t>Specifically, the working group was tasked with studying the feasibility of reducing the security amount EGSs were required to maintain after their first year of operation from 10% of annual gross receipts to 5% of annual gross receipts.</w:t>
      </w:r>
      <w:r w:rsidR="00974879" w:rsidRPr="0021267C">
        <w:rPr>
          <w:rStyle w:val="FootnoteReference"/>
          <w:sz w:val="26"/>
          <w:szCs w:val="26"/>
        </w:rPr>
        <w:footnoteReference w:id="5"/>
      </w:r>
    </w:p>
    <w:p w:rsidR="005951BA" w:rsidRPr="0021267C" w:rsidRDefault="005951BA" w:rsidP="001A6F28">
      <w:pPr>
        <w:spacing w:line="360" w:lineRule="auto"/>
        <w:rPr>
          <w:sz w:val="26"/>
          <w:szCs w:val="26"/>
        </w:rPr>
      </w:pPr>
    </w:p>
    <w:p w:rsidR="00A045FD" w:rsidRPr="0021267C" w:rsidRDefault="00A045FD" w:rsidP="001A6F28">
      <w:pPr>
        <w:tabs>
          <w:tab w:val="left" w:pos="720"/>
        </w:tabs>
        <w:spacing w:line="360" w:lineRule="auto"/>
        <w:rPr>
          <w:sz w:val="26"/>
          <w:szCs w:val="26"/>
        </w:rPr>
      </w:pPr>
      <w:r w:rsidRPr="0021267C">
        <w:rPr>
          <w:sz w:val="26"/>
          <w:szCs w:val="26"/>
        </w:rPr>
        <w:tab/>
        <w:t>Comments</w:t>
      </w:r>
      <w:r w:rsidR="00A134AE" w:rsidRPr="0021267C">
        <w:rPr>
          <w:sz w:val="26"/>
          <w:szCs w:val="26"/>
        </w:rPr>
        <w:t xml:space="preserve"> received </w:t>
      </w:r>
      <w:r w:rsidR="00BD31E0" w:rsidRPr="0021267C">
        <w:rPr>
          <w:sz w:val="26"/>
          <w:szCs w:val="26"/>
        </w:rPr>
        <w:t>as part of</w:t>
      </w:r>
      <w:r w:rsidR="00A134AE" w:rsidRPr="0021267C">
        <w:rPr>
          <w:sz w:val="26"/>
          <w:szCs w:val="26"/>
        </w:rPr>
        <w:t xml:space="preserve"> the</w:t>
      </w:r>
      <w:r w:rsidRPr="0021267C">
        <w:rPr>
          <w:sz w:val="26"/>
          <w:szCs w:val="26"/>
        </w:rPr>
        <w:t xml:space="preserve"> investigation</w:t>
      </w:r>
      <w:r w:rsidR="00BD31E0" w:rsidRPr="0021267C">
        <w:rPr>
          <w:sz w:val="26"/>
          <w:szCs w:val="26"/>
        </w:rPr>
        <w:t xml:space="preserve"> overwhelmingly endorsed efforts to reduce the EGSs’ financial security requirements.  The general feeling was that</w:t>
      </w:r>
      <w:r w:rsidRPr="0021267C">
        <w:rPr>
          <w:sz w:val="26"/>
          <w:szCs w:val="26"/>
        </w:rPr>
        <w:t xml:space="preserve"> the 10% security level was excessive to the point that it</w:t>
      </w:r>
      <w:r w:rsidR="00C76971" w:rsidRPr="0021267C">
        <w:rPr>
          <w:sz w:val="26"/>
          <w:szCs w:val="26"/>
        </w:rPr>
        <w:t xml:space="preserve"> could serve</w:t>
      </w:r>
      <w:r w:rsidRPr="0021267C">
        <w:rPr>
          <w:sz w:val="26"/>
          <w:szCs w:val="26"/>
        </w:rPr>
        <w:t xml:space="preserve"> as a barrier to an EGS’ entry into Pennsylvania’s retail electric market</w:t>
      </w:r>
      <w:r w:rsidR="00043C2E" w:rsidRPr="0021267C">
        <w:rPr>
          <w:sz w:val="26"/>
          <w:szCs w:val="26"/>
        </w:rPr>
        <w:t>, potentially stifling the very competition the Commonwealth was attempting to foster in that market.  Commenters noted that the 10% security level far exceeded the potential risk the security was intended to cover—the GRT, which is set at 5.9</w:t>
      </w:r>
      <w:r w:rsidR="009D5C65" w:rsidRPr="0021267C">
        <w:rPr>
          <w:sz w:val="26"/>
          <w:szCs w:val="26"/>
        </w:rPr>
        <w:t>0</w:t>
      </w:r>
      <w:r w:rsidR="00043C2E" w:rsidRPr="0021267C">
        <w:rPr>
          <w:sz w:val="26"/>
          <w:szCs w:val="26"/>
        </w:rPr>
        <w:t>% of gross receipts—</w:t>
      </w:r>
      <w:r w:rsidR="0061496D" w:rsidRPr="0021267C">
        <w:rPr>
          <w:sz w:val="26"/>
          <w:szCs w:val="26"/>
        </w:rPr>
        <w:t>and that a 5% security level was more than adequate to cover an EGS’ GRT liability.</w:t>
      </w:r>
      <w:r w:rsidR="00A152EF">
        <w:rPr>
          <w:rStyle w:val="FootnoteReference"/>
          <w:sz w:val="26"/>
          <w:szCs w:val="26"/>
        </w:rPr>
        <w:footnoteReference w:id="6"/>
      </w:r>
    </w:p>
    <w:p w:rsidR="00C05654" w:rsidRDefault="00C05654" w:rsidP="001A6F28">
      <w:pPr>
        <w:spacing w:line="360" w:lineRule="auto"/>
        <w:rPr>
          <w:sz w:val="26"/>
          <w:szCs w:val="26"/>
        </w:rPr>
      </w:pPr>
    </w:p>
    <w:p w:rsidR="00683F12" w:rsidRDefault="00683F12" w:rsidP="001A6F28">
      <w:pPr>
        <w:spacing w:line="360" w:lineRule="auto"/>
        <w:rPr>
          <w:sz w:val="26"/>
          <w:szCs w:val="26"/>
        </w:rPr>
      </w:pPr>
    </w:p>
    <w:p w:rsidR="00683F12" w:rsidRPr="00716A88" w:rsidRDefault="00683F12" w:rsidP="001A6F28">
      <w:pPr>
        <w:spacing w:line="360" w:lineRule="auto"/>
        <w:rPr>
          <w:sz w:val="26"/>
          <w:szCs w:val="26"/>
        </w:rPr>
      </w:pPr>
    </w:p>
    <w:p w:rsidR="00EC04BF" w:rsidRPr="00716A88" w:rsidRDefault="00EC04BF" w:rsidP="001A6F28">
      <w:pPr>
        <w:tabs>
          <w:tab w:val="left" w:pos="720"/>
        </w:tabs>
        <w:spacing w:line="360" w:lineRule="auto"/>
        <w:rPr>
          <w:sz w:val="26"/>
          <w:szCs w:val="26"/>
        </w:rPr>
      </w:pPr>
      <w:r w:rsidRPr="00716A88">
        <w:rPr>
          <w:sz w:val="26"/>
          <w:szCs w:val="26"/>
        </w:rPr>
        <w:lastRenderedPageBreak/>
        <w:tab/>
      </w:r>
      <w:r w:rsidR="00DD1834" w:rsidRPr="004F095F">
        <w:rPr>
          <w:sz w:val="26"/>
          <w:szCs w:val="26"/>
        </w:rPr>
        <w:t xml:space="preserve">In the </w:t>
      </w:r>
      <w:r w:rsidR="00DD1834" w:rsidRPr="006B565A">
        <w:rPr>
          <w:i/>
          <w:sz w:val="26"/>
          <w:szCs w:val="26"/>
        </w:rPr>
        <w:t>Final</w:t>
      </w:r>
      <w:r w:rsidR="00EF1A23" w:rsidRPr="001A6F28">
        <w:rPr>
          <w:i/>
          <w:sz w:val="26"/>
          <w:szCs w:val="26"/>
        </w:rPr>
        <w:t xml:space="preserve"> Security</w:t>
      </w:r>
      <w:r w:rsidR="00DD1834" w:rsidRPr="004F095F">
        <w:rPr>
          <w:i/>
          <w:sz w:val="26"/>
          <w:szCs w:val="26"/>
        </w:rPr>
        <w:t xml:space="preserve"> Order</w:t>
      </w:r>
      <w:r w:rsidR="00090F3A" w:rsidRPr="004F095F">
        <w:rPr>
          <w:sz w:val="26"/>
          <w:szCs w:val="26"/>
        </w:rPr>
        <w:t xml:space="preserve">, </w:t>
      </w:r>
      <w:r w:rsidR="00090F3A" w:rsidRPr="006B565A">
        <w:rPr>
          <w:sz w:val="26"/>
          <w:szCs w:val="26"/>
        </w:rPr>
        <w:t xml:space="preserve">the </w:t>
      </w:r>
      <w:r w:rsidR="00E75D49" w:rsidRPr="006B565A">
        <w:rPr>
          <w:sz w:val="26"/>
          <w:szCs w:val="26"/>
        </w:rPr>
        <w:t xml:space="preserve">Commission </w:t>
      </w:r>
      <w:r w:rsidR="00DD1834">
        <w:rPr>
          <w:sz w:val="26"/>
          <w:szCs w:val="26"/>
        </w:rPr>
        <w:t>permitted</w:t>
      </w:r>
      <w:r w:rsidR="003875F0" w:rsidRPr="00716A88">
        <w:rPr>
          <w:sz w:val="26"/>
          <w:szCs w:val="26"/>
        </w:rPr>
        <w:t xml:space="preserve"> an EGS, after its first year of operation, to seek a security level of 5% of its most recent 12 months of revenue</w:t>
      </w:r>
      <w:r w:rsidR="00B725B4">
        <w:rPr>
          <w:rStyle w:val="FootnoteReference"/>
          <w:sz w:val="26"/>
          <w:szCs w:val="26"/>
        </w:rPr>
        <w:footnoteReference w:id="7"/>
      </w:r>
      <w:r w:rsidR="003875F0" w:rsidRPr="00716A88">
        <w:rPr>
          <w:sz w:val="26"/>
          <w:szCs w:val="26"/>
        </w:rPr>
        <w:t xml:space="preserve"> or $250,000, whichever is higher</w:t>
      </w:r>
      <w:r w:rsidR="00B817F3" w:rsidRPr="00716A88">
        <w:rPr>
          <w:sz w:val="26"/>
          <w:szCs w:val="26"/>
        </w:rPr>
        <w:t>.  The Commission found that the 10% security level for EGSs after their first year of operation may be excessive in relation to the risk the security is intended to secure, which would unnecessarily burden EGSs and present a potential barrier to entry into Pennsylvania’s retail electric market.</w:t>
      </w:r>
      <w:r w:rsidR="003875F0" w:rsidRPr="00716A88">
        <w:rPr>
          <w:sz w:val="26"/>
          <w:szCs w:val="26"/>
        </w:rPr>
        <w:t xml:space="preserve">  The Commission agreed with commenters who noted that the cost of the higher security level is passed on to consumers in the form of higher prices.</w:t>
      </w:r>
      <w:r w:rsidR="00716A88" w:rsidRPr="00716A88">
        <w:rPr>
          <w:sz w:val="26"/>
          <w:szCs w:val="26"/>
        </w:rPr>
        <w:t xml:space="preserve">  Ultimately the Commission felt that the 5% security level was adequate in most circumstances</w:t>
      </w:r>
      <w:r w:rsidR="00EF11CB">
        <w:rPr>
          <w:sz w:val="26"/>
          <w:szCs w:val="26"/>
        </w:rPr>
        <w:t xml:space="preserve"> to cover the liabilities the security was meant to insure</w:t>
      </w:r>
      <w:r w:rsidR="00716A88" w:rsidRPr="00716A88">
        <w:rPr>
          <w:sz w:val="26"/>
          <w:szCs w:val="26"/>
        </w:rPr>
        <w:t>.</w:t>
      </w:r>
      <w:r w:rsidR="00741161">
        <w:rPr>
          <w:rStyle w:val="FootnoteReference"/>
          <w:sz w:val="26"/>
          <w:szCs w:val="26"/>
        </w:rPr>
        <w:footnoteReference w:id="8"/>
      </w:r>
    </w:p>
    <w:p w:rsidR="00047B4E" w:rsidRPr="00687E6B" w:rsidRDefault="00047B4E" w:rsidP="001A6F28">
      <w:pPr>
        <w:tabs>
          <w:tab w:val="left" w:pos="720"/>
        </w:tabs>
        <w:spacing w:line="360" w:lineRule="auto"/>
        <w:rPr>
          <w:sz w:val="26"/>
          <w:szCs w:val="26"/>
        </w:rPr>
      </w:pPr>
    </w:p>
    <w:p w:rsidR="00736CA8" w:rsidRPr="00687E6B" w:rsidRDefault="00736CA8" w:rsidP="001A6F28">
      <w:pPr>
        <w:tabs>
          <w:tab w:val="left" w:pos="720"/>
        </w:tabs>
        <w:spacing w:line="360" w:lineRule="auto"/>
        <w:rPr>
          <w:sz w:val="26"/>
          <w:szCs w:val="26"/>
        </w:rPr>
      </w:pPr>
      <w:r w:rsidRPr="00687E6B">
        <w:rPr>
          <w:sz w:val="26"/>
          <w:szCs w:val="26"/>
        </w:rPr>
        <w:tab/>
        <w:t>The Commission did not engage in a</w:t>
      </w:r>
      <w:r w:rsidR="00C617E4">
        <w:rPr>
          <w:sz w:val="26"/>
          <w:szCs w:val="26"/>
        </w:rPr>
        <w:t xml:space="preserve"> formal</w:t>
      </w:r>
      <w:r w:rsidRPr="00687E6B">
        <w:rPr>
          <w:sz w:val="26"/>
          <w:szCs w:val="26"/>
        </w:rPr>
        <w:t xml:space="preserve"> rulemaking proceeding to implement the change in security level from 10% of annual gross receipts to 5%.  Instead, the Commission relied on</w:t>
      </w:r>
      <w:r w:rsidR="00804FBE">
        <w:rPr>
          <w:sz w:val="26"/>
          <w:szCs w:val="26"/>
        </w:rPr>
        <w:t xml:space="preserve"> (1)</w:t>
      </w:r>
      <w:r w:rsidRPr="00687E6B">
        <w:rPr>
          <w:sz w:val="26"/>
          <w:szCs w:val="26"/>
        </w:rPr>
        <w:t xml:space="preserve"> its discretionary authority under Section 2809 of the Code, 66</w:t>
      </w:r>
      <w:r w:rsidR="00D92845">
        <w:rPr>
          <w:sz w:val="26"/>
          <w:szCs w:val="26"/>
        </w:rPr>
        <w:t> </w:t>
      </w:r>
      <w:r w:rsidRPr="00687E6B">
        <w:rPr>
          <w:sz w:val="26"/>
          <w:szCs w:val="26"/>
        </w:rPr>
        <w:t>Pa. C.S. § 2809(c),</w:t>
      </w:r>
      <w:r w:rsidR="00547170">
        <w:rPr>
          <w:sz w:val="26"/>
          <w:szCs w:val="26"/>
        </w:rPr>
        <w:t xml:space="preserve"> to approve the</w:t>
      </w:r>
      <w:r w:rsidR="004F521E" w:rsidRPr="00687E6B">
        <w:rPr>
          <w:sz w:val="26"/>
          <w:szCs w:val="26"/>
        </w:rPr>
        <w:t xml:space="preserve"> </w:t>
      </w:r>
      <w:r w:rsidR="0060384A">
        <w:rPr>
          <w:sz w:val="26"/>
          <w:szCs w:val="26"/>
        </w:rPr>
        <w:t>“</w:t>
      </w:r>
      <w:r w:rsidR="004F521E" w:rsidRPr="00687E6B">
        <w:rPr>
          <w:sz w:val="26"/>
          <w:szCs w:val="26"/>
        </w:rPr>
        <w:t>form and amount</w:t>
      </w:r>
      <w:r w:rsidR="0060384A">
        <w:rPr>
          <w:sz w:val="26"/>
          <w:szCs w:val="26"/>
        </w:rPr>
        <w:t>”</w:t>
      </w:r>
      <w:r w:rsidR="004F521E" w:rsidRPr="00687E6B">
        <w:rPr>
          <w:sz w:val="26"/>
          <w:szCs w:val="26"/>
        </w:rPr>
        <w:t xml:space="preserve"> </w:t>
      </w:r>
      <w:r w:rsidR="00547170">
        <w:rPr>
          <w:sz w:val="26"/>
          <w:szCs w:val="26"/>
        </w:rPr>
        <w:t>of</w:t>
      </w:r>
      <w:r w:rsidR="0060384A">
        <w:rPr>
          <w:sz w:val="26"/>
          <w:szCs w:val="26"/>
        </w:rPr>
        <w:t xml:space="preserve"> an EGS’ security instrument</w:t>
      </w:r>
      <w:r w:rsidR="004F521E" w:rsidRPr="00687E6B">
        <w:rPr>
          <w:sz w:val="26"/>
          <w:szCs w:val="26"/>
        </w:rPr>
        <w:t xml:space="preserve"> and</w:t>
      </w:r>
      <w:r w:rsidR="00804FBE">
        <w:rPr>
          <w:sz w:val="26"/>
          <w:szCs w:val="26"/>
        </w:rPr>
        <w:t xml:space="preserve"> (2)</w:t>
      </w:r>
      <w:r w:rsidR="004F521E" w:rsidRPr="00687E6B">
        <w:rPr>
          <w:sz w:val="26"/>
          <w:szCs w:val="26"/>
        </w:rPr>
        <w:t xml:space="preserve"> the regulation</w:t>
      </w:r>
      <w:r w:rsidR="00EF29FA">
        <w:rPr>
          <w:sz w:val="26"/>
          <w:szCs w:val="26"/>
        </w:rPr>
        <w:t>s</w:t>
      </w:r>
      <w:r w:rsidR="004F521E" w:rsidRPr="00687E6B">
        <w:rPr>
          <w:sz w:val="26"/>
          <w:szCs w:val="26"/>
        </w:rPr>
        <w:t xml:space="preserve"> at 52</w:t>
      </w:r>
      <w:r w:rsidR="00804FBE">
        <w:rPr>
          <w:sz w:val="26"/>
          <w:szCs w:val="26"/>
        </w:rPr>
        <w:t xml:space="preserve"> Pa. Code § 54.40(d) that allow</w:t>
      </w:r>
      <w:r w:rsidR="004F521E" w:rsidRPr="00687E6B">
        <w:rPr>
          <w:sz w:val="26"/>
          <w:szCs w:val="26"/>
        </w:rPr>
        <w:t xml:space="preserve"> an EGS to seek an alternative level of security appropriate for the nature and scope of its operations.</w:t>
      </w:r>
      <w:r w:rsidR="00212762">
        <w:rPr>
          <w:rStyle w:val="FootnoteReference"/>
          <w:sz w:val="26"/>
          <w:szCs w:val="26"/>
        </w:rPr>
        <w:footnoteReference w:id="9"/>
      </w:r>
    </w:p>
    <w:p w:rsidR="00687E6B" w:rsidRPr="00F96312" w:rsidRDefault="00687E6B" w:rsidP="001A6F28">
      <w:pPr>
        <w:tabs>
          <w:tab w:val="left" w:pos="720"/>
        </w:tabs>
        <w:spacing w:line="360" w:lineRule="auto"/>
        <w:rPr>
          <w:sz w:val="26"/>
          <w:szCs w:val="26"/>
        </w:rPr>
      </w:pPr>
    </w:p>
    <w:p w:rsidR="003B26BD" w:rsidRDefault="00B45DD4" w:rsidP="001A6F28">
      <w:pPr>
        <w:tabs>
          <w:tab w:val="left" w:pos="720"/>
        </w:tabs>
        <w:spacing w:line="360" w:lineRule="auto"/>
        <w:rPr>
          <w:sz w:val="26"/>
          <w:szCs w:val="26"/>
        </w:rPr>
      </w:pPr>
      <w:r w:rsidRPr="00F96312">
        <w:rPr>
          <w:sz w:val="26"/>
          <w:szCs w:val="26"/>
        </w:rPr>
        <w:tab/>
        <w:t xml:space="preserve">To implement the change, the Commission </w:t>
      </w:r>
      <w:r w:rsidR="00DE41F1" w:rsidRPr="00F96312">
        <w:rPr>
          <w:sz w:val="26"/>
          <w:szCs w:val="26"/>
        </w:rPr>
        <w:t>required an EGS seeking to reduce its security level to 5%</w:t>
      </w:r>
      <w:r w:rsidR="00DD1834" w:rsidRPr="00DD1834">
        <w:rPr>
          <w:sz w:val="26"/>
          <w:szCs w:val="26"/>
        </w:rPr>
        <w:t xml:space="preserve"> </w:t>
      </w:r>
      <w:r w:rsidR="00DD1834" w:rsidRPr="00F96312">
        <w:rPr>
          <w:sz w:val="26"/>
          <w:szCs w:val="26"/>
        </w:rPr>
        <w:t>of gross receipts</w:t>
      </w:r>
      <w:r w:rsidR="00DD1834">
        <w:rPr>
          <w:sz w:val="26"/>
          <w:szCs w:val="26"/>
        </w:rPr>
        <w:t xml:space="preserve"> </w:t>
      </w:r>
      <w:r w:rsidR="00205405">
        <w:rPr>
          <w:sz w:val="26"/>
          <w:szCs w:val="26"/>
        </w:rPr>
        <w:t xml:space="preserve">to </w:t>
      </w:r>
      <w:r w:rsidR="00DE41F1" w:rsidRPr="00F96312">
        <w:rPr>
          <w:sz w:val="26"/>
          <w:szCs w:val="26"/>
        </w:rPr>
        <w:t>file a formal petition with the Commission “so that the most updated and approved bond/security is documented on the record at the EGS’ Application docket number.”</w:t>
      </w:r>
      <w:r w:rsidR="00DE41F1" w:rsidRPr="00F96312">
        <w:rPr>
          <w:rStyle w:val="FootnoteReference"/>
          <w:sz w:val="26"/>
          <w:szCs w:val="26"/>
        </w:rPr>
        <w:footnoteReference w:id="10"/>
      </w:r>
      <w:r w:rsidR="00DE41F1" w:rsidRPr="00F96312">
        <w:rPr>
          <w:sz w:val="26"/>
          <w:szCs w:val="26"/>
        </w:rPr>
        <w:t xml:space="preserve">  </w:t>
      </w:r>
      <w:r w:rsidR="00690779" w:rsidRPr="00F96312">
        <w:rPr>
          <w:sz w:val="26"/>
          <w:szCs w:val="26"/>
        </w:rPr>
        <w:t>The EGS w</w:t>
      </w:r>
      <w:r w:rsidR="00205405">
        <w:rPr>
          <w:sz w:val="26"/>
          <w:szCs w:val="26"/>
        </w:rPr>
        <w:t>as</w:t>
      </w:r>
      <w:r w:rsidR="00690779" w:rsidRPr="00F96312">
        <w:rPr>
          <w:sz w:val="26"/>
          <w:szCs w:val="26"/>
        </w:rPr>
        <w:t xml:space="preserve"> to work informally with Commission staff during the filing process to obtain guidance regarding the information staff would re</w:t>
      </w:r>
      <w:r w:rsidR="003B26BD" w:rsidRPr="00F96312">
        <w:rPr>
          <w:sz w:val="26"/>
          <w:szCs w:val="26"/>
        </w:rPr>
        <w:t>quire to p</w:t>
      </w:r>
      <w:r w:rsidR="00EF2405">
        <w:rPr>
          <w:sz w:val="26"/>
          <w:szCs w:val="26"/>
        </w:rPr>
        <w:t>rocess the petitions</w:t>
      </w:r>
      <w:r w:rsidR="003B26BD" w:rsidRPr="00F96312">
        <w:rPr>
          <w:sz w:val="26"/>
          <w:szCs w:val="26"/>
        </w:rPr>
        <w:t xml:space="preserve">.  The Commission delegated its authority to review </w:t>
      </w:r>
      <w:r w:rsidR="003B26BD" w:rsidRPr="00F96312">
        <w:rPr>
          <w:sz w:val="26"/>
          <w:szCs w:val="26"/>
        </w:rPr>
        <w:lastRenderedPageBreak/>
        <w:t>uncontested petitions to the Bureau of Technical Utility Services (TUS), which would approve or deny the petitions through a Secretarial Letter.  Contested petitions were to be transferred to the Office of Administrative Law Judge for a determination.</w:t>
      </w:r>
      <w:r w:rsidR="00EF2405">
        <w:rPr>
          <w:rStyle w:val="FootnoteReference"/>
          <w:sz w:val="26"/>
          <w:szCs w:val="26"/>
        </w:rPr>
        <w:footnoteReference w:id="11"/>
      </w:r>
    </w:p>
    <w:p w:rsidR="00C05654" w:rsidRDefault="00C05654" w:rsidP="001A6F28">
      <w:pPr>
        <w:tabs>
          <w:tab w:val="left" w:pos="720"/>
        </w:tabs>
        <w:spacing w:line="360" w:lineRule="auto"/>
        <w:rPr>
          <w:sz w:val="26"/>
          <w:szCs w:val="26"/>
        </w:rPr>
      </w:pPr>
    </w:p>
    <w:p w:rsidR="00E40D8B" w:rsidRPr="00497209" w:rsidRDefault="00B72F11" w:rsidP="001A6F28">
      <w:pPr>
        <w:tabs>
          <w:tab w:val="left" w:pos="720"/>
        </w:tabs>
        <w:spacing w:line="360" w:lineRule="auto"/>
        <w:rPr>
          <w:sz w:val="26"/>
          <w:szCs w:val="26"/>
        </w:rPr>
      </w:pPr>
      <w:r>
        <w:rPr>
          <w:color w:val="FF0000"/>
          <w:sz w:val="26"/>
          <w:szCs w:val="26"/>
        </w:rPr>
        <w:tab/>
      </w:r>
      <w:r w:rsidR="00AB4CBB" w:rsidRPr="009B17B8">
        <w:rPr>
          <w:sz w:val="26"/>
          <w:szCs w:val="26"/>
        </w:rPr>
        <w:t xml:space="preserve">In the </w:t>
      </w:r>
      <w:r w:rsidR="00AB4CBB" w:rsidRPr="001A6F28">
        <w:rPr>
          <w:i/>
          <w:sz w:val="26"/>
          <w:szCs w:val="26"/>
        </w:rPr>
        <w:t xml:space="preserve">Final </w:t>
      </w:r>
      <w:r w:rsidR="00DC7B5A" w:rsidRPr="001A6F28">
        <w:rPr>
          <w:i/>
          <w:sz w:val="26"/>
          <w:szCs w:val="26"/>
        </w:rPr>
        <w:t xml:space="preserve">Security </w:t>
      </w:r>
      <w:r w:rsidR="00AB4CBB" w:rsidRPr="001A6F28">
        <w:rPr>
          <w:i/>
          <w:sz w:val="26"/>
          <w:szCs w:val="26"/>
        </w:rPr>
        <w:t>Order</w:t>
      </w:r>
      <w:r w:rsidR="00AB4CBB" w:rsidRPr="009B17B8">
        <w:rPr>
          <w:sz w:val="26"/>
          <w:szCs w:val="26"/>
        </w:rPr>
        <w:t xml:space="preserve">, </w:t>
      </w:r>
      <w:r w:rsidR="00AB4CBB">
        <w:rPr>
          <w:sz w:val="26"/>
          <w:szCs w:val="26"/>
        </w:rPr>
        <w:t>t</w:t>
      </w:r>
      <w:r w:rsidR="004C591D">
        <w:rPr>
          <w:sz w:val="26"/>
          <w:szCs w:val="26"/>
        </w:rPr>
        <w:t>he Commission required an</w:t>
      </w:r>
      <w:r w:rsidR="005252E5" w:rsidRPr="00497209">
        <w:rPr>
          <w:sz w:val="26"/>
          <w:szCs w:val="26"/>
        </w:rPr>
        <w:t xml:space="preserve"> EGS seeking to reduce its security level to 5% of its most recent 12 months of revenue to provide to TUS, at a minimum, the following information</w:t>
      </w:r>
      <w:r w:rsidR="004C591D">
        <w:rPr>
          <w:sz w:val="26"/>
          <w:szCs w:val="26"/>
        </w:rPr>
        <w:t xml:space="preserve"> along with its petition</w:t>
      </w:r>
      <w:r w:rsidR="005252E5" w:rsidRPr="00497209">
        <w:rPr>
          <w:sz w:val="26"/>
          <w:szCs w:val="26"/>
        </w:rPr>
        <w:t>:  (1) its gross revenue from the sale of electricity to retail customers in Pennsylvania for the most recent 12 months; (2) the amount of gross receipts taxes the EGS has prepaid toward its estimated revenue for the current calendar year; (3) AEP</w:t>
      </w:r>
      <w:r w:rsidR="001A6F28">
        <w:rPr>
          <w:sz w:val="26"/>
          <w:szCs w:val="26"/>
        </w:rPr>
        <w:t>S</w:t>
      </w:r>
      <w:r w:rsidR="005252E5" w:rsidRPr="00497209">
        <w:rPr>
          <w:sz w:val="26"/>
          <w:szCs w:val="26"/>
        </w:rPr>
        <w:t xml:space="preserve"> compliance data from the most recent 12 months; and (4) copies of all Department of Revenue documents that support the EGS’ request</w:t>
      </w:r>
      <w:r w:rsidR="00FB2854">
        <w:rPr>
          <w:sz w:val="26"/>
          <w:szCs w:val="26"/>
        </w:rPr>
        <w:t>.</w:t>
      </w:r>
      <w:r w:rsidR="005252E5" w:rsidRPr="00497209">
        <w:rPr>
          <w:sz w:val="26"/>
          <w:szCs w:val="26"/>
        </w:rPr>
        <w:t xml:space="preserve">  </w:t>
      </w:r>
      <w:r w:rsidR="00DD1834">
        <w:rPr>
          <w:sz w:val="26"/>
          <w:szCs w:val="26"/>
        </w:rPr>
        <w:t>T</w:t>
      </w:r>
      <w:r w:rsidR="00F25E17" w:rsidRPr="00497209">
        <w:rPr>
          <w:sz w:val="26"/>
          <w:szCs w:val="26"/>
        </w:rPr>
        <w:t xml:space="preserve">he Commission made clear that submission of </w:t>
      </w:r>
      <w:r w:rsidR="00DD1834">
        <w:rPr>
          <w:sz w:val="26"/>
          <w:szCs w:val="26"/>
        </w:rPr>
        <w:t>this</w:t>
      </w:r>
      <w:r w:rsidR="00DD1834" w:rsidRPr="00497209">
        <w:rPr>
          <w:sz w:val="26"/>
          <w:szCs w:val="26"/>
        </w:rPr>
        <w:t xml:space="preserve"> </w:t>
      </w:r>
      <w:r w:rsidR="00F25E17" w:rsidRPr="00497209">
        <w:rPr>
          <w:sz w:val="26"/>
          <w:szCs w:val="26"/>
        </w:rPr>
        <w:t xml:space="preserve">information alone would not result in automatic approval of the EGS’ petition.  </w:t>
      </w:r>
      <w:r w:rsidR="00497209" w:rsidRPr="00497209">
        <w:rPr>
          <w:sz w:val="26"/>
          <w:szCs w:val="26"/>
        </w:rPr>
        <w:t>The EGSs would have to provide any additional information requested by TUS and would still have to comply with all other requirements of the Code and Commission regulations.</w:t>
      </w:r>
      <w:r w:rsidR="00FB2854">
        <w:rPr>
          <w:rStyle w:val="FootnoteReference"/>
          <w:sz w:val="26"/>
          <w:szCs w:val="26"/>
        </w:rPr>
        <w:footnoteReference w:id="12"/>
      </w:r>
    </w:p>
    <w:p w:rsidR="00B72F11" w:rsidRPr="00524ED7" w:rsidRDefault="00B72F11" w:rsidP="001A6F28">
      <w:pPr>
        <w:tabs>
          <w:tab w:val="left" w:pos="720"/>
        </w:tabs>
        <w:spacing w:line="360" w:lineRule="auto"/>
        <w:rPr>
          <w:sz w:val="26"/>
          <w:szCs w:val="26"/>
        </w:rPr>
      </w:pPr>
    </w:p>
    <w:p w:rsidR="00497209" w:rsidRPr="00524ED7" w:rsidRDefault="00497209" w:rsidP="001A6F28">
      <w:pPr>
        <w:tabs>
          <w:tab w:val="left" w:pos="720"/>
        </w:tabs>
        <w:spacing w:line="360" w:lineRule="auto"/>
        <w:rPr>
          <w:sz w:val="26"/>
          <w:szCs w:val="26"/>
        </w:rPr>
      </w:pPr>
      <w:r w:rsidRPr="00524ED7">
        <w:rPr>
          <w:sz w:val="26"/>
          <w:szCs w:val="26"/>
        </w:rPr>
        <w:tab/>
      </w:r>
      <w:r w:rsidR="00A801E2" w:rsidRPr="00524ED7">
        <w:rPr>
          <w:sz w:val="26"/>
          <w:szCs w:val="26"/>
        </w:rPr>
        <w:t>On April 8, 2016, TUS, via Secretarial Letter</w:t>
      </w:r>
      <w:r w:rsidR="0096502D">
        <w:rPr>
          <w:sz w:val="26"/>
          <w:szCs w:val="26"/>
        </w:rPr>
        <w:t xml:space="preserve"> (</w:t>
      </w:r>
      <w:r w:rsidR="0096502D" w:rsidRPr="00205405">
        <w:rPr>
          <w:i/>
          <w:sz w:val="26"/>
          <w:szCs w:val="26"/>
        </w:rPr>
        <w:t>2016 Guidance Letter</w:t>
      </w:r>
      <w:r w:rsidR="0096502D">
        <w:rPr>
          <w:sz w:val="26"/>
          <w:szCs w:val="26"/>
        </w:rPr>
        <w:t>)</w:t>
      </w:r>
      <w:r w:rsidR="00A801E2" w:rsidRPr="00524ED7">
        <w:rPr>
          <w:sz w:val="26"/>
          <w:szCs w:val="26"/>
        </w:rPr>
        <w:t>, offered guidance to EGSs regarding the process for renewing their security leve</w:t>
      </w:r>
      <w:r w:rsidR="00AA7F00" w:rsidRPr="00524ED7">
        <w:rPr>
          <w:sz w:val="26"/>
          <w:szCs w:val="26"/>
        </w:rPr>
        <w:t xml:space="preserve">l at 5% of gross receipts.  </w:t>
      </w:r>
      <w:r w:rsidR="003769F6" w:rsidRPr="00524ED7">
        <w:rPr>
          <w:sz w:val="26"/>
          <w:szCs w:val="26"/>
        </w:rPr>
        <w:t xml:space="preserve">The Letter noted that a reduction in </w:t>
      </w:r>
      <w:r w:rsidR="00901FAE">
        <w:rPr>
          <w:sz w:val="26"/>
          <w:szCs w:val="26"/>
        </w:rPr>
        <w:t xml:space="preserve">an EGS’ </w:t>
      </w:r>
      <w:r w:rsidR="003769F6" w:rsidRPr="00524ED7">
        <w:rPr>
          <w:sz w:val="26"/>
          <w:szCs w:val="26"/>
        </w:rPr>
        <w:t xml:space="preserve">security level to 5% is effective only for one year, subject to annual renewal by the Commission.  </w:t>
      </w:r>
      <w:r w:rsidR="00205405">
        <w:rPr>
          <w:sz w:val="26"/>
          <w:szCs w:val="26"/>
        </w:rPr>
        <w:t>T</w:t>
      </w:r>
      <w:r w:rsidR="003769F6" w:rsidRPr="00524ED7">
        <w:rPr>
          <w:sz w:val="26"/>
          <w:szCs w:val="26"/>
        </w:rPr>
        <w:t>o renew its 5% security level, an EGS must provide—each year at least 90 days prior to the current security’s expiration date—documentation, including but not limited to</w:t>
      </w:r>
      <w:r w:rsidR="00DD1834">
        <w:rPr>
          <w:sz w:val="26"/>
          <w:szCs w:val="26"/>
        </w:rPr>
        <w:t xml:space="preserve"> the following</w:t>
      </w:r>
      <w:r w:rsidR="0056569C" w:rsidRPr="00524ED7">
        <w:rPr>
          <w:sz w:val="26"/>
          <w:szCs w:val="26"/>
        </w:rPr>
        <w:t>:</w:t>
      </w:r>
    </w:p>
    <w:p w:rsidR="0056569C" w:rsidRPr="00524ED7" w:rsidRDefault="00F54982" w:rsidP="00D92845">
      <w:pPr>
        <w:pStyle w:val="ListParagraph"/>
        <w:numPr>
          <w:ilvl w:val="0"/>
          <w:numId w:val="10"/>
        </w:numPr>
        <w:spacing w:line="360" w:lineRule="auto"/>
        <w:ind w:left="1080"/>
        <w:rPr>
          <w:rFonts w:ascii="Times New Roman" w:hAnsi="Times New Roman"/>
          <w:sz w:val="26"/>
          <w:szCs w:val="26"/>
        </w:rPr>
      </w:pPr>
      <w:r>
        <w:rPr>
          <w:rFonts w:ascii="Times New Roman" w:hAnsi="Times New Roman"/>
          <w:sz w:val="26"/>
          <w:szCs w:val="26"/>
        </w:rPr>
        <w:t>A</w:t>
      </w:r>
      <w:r w:rsidR="0056569C" w:rsidRPr="00524ED7">
        <w:rPr>
          <w:rFonts w:ascii="Times New Roman" w:hAnsi="Times New Roman"/>
          <w:sz w:val="26"/>
          <w:szCs w:val="26"/>
        </w:rPr>
        <w:t xml:space="preserve"> petition for renewal to be filed with the Commission’s Secretary’s Bureau</w:t>
      </w:r>
      <w:r w:rsidR="00D23CC1">
        <w:rPr>
          <w:rFonts w:ascii="Times New Roman" w:hAnsi="Times New Roman"/>
          <w:sz w:val="26"/>
          <w:szCs w:val="26"/>
        </w:rPr>
        <w:t>.</w:t>
      </w:r>
    </w:p>
    <w:p w:rsidR="0056569C" w:rsidRPr="00524ED7" w:rsidRDefault="00321572" w:rsidP="00D92845">
      <w:pPr>
        <w:pStyle w:val="ListParagraph"/>
        <w:numPr>
          <w:ilvl w:val="0"/>
          <w:numId w:val="10"/>
        </w:numPr>
        <w:spacing w:line="360" w:lineRule="auto"/>
        <w:ind w:left="1080"/>
        <w:rPr>
          <w:rFonts w:ascii="Times New Roman" w:hAnsi="Times New Roman"/>
          <w:sz w:val="26"/>
          <w:szCs w:val="26"/>
        </w:rPr>
      </w:pPr>
      <w:r>
        <w:rPr>
          <w:rFonts w:ascii="Times New Roman" w:hAnsi="Times New Roman"/>
          <w:sz w:val="26"/>
          <w:szCs w:val="26"/>
        </w:rPr>
        <w:t>A</w:t>
      </w:r>
      <w:r w:rsidR="0056569C" w:rsidRPr="00524ED7">
        <w:rPr>
          <w:rFonts w:ascii="Times New Roman" w:hAnsi="Times New Roman"/>
          <w:sz w:val="26"/>
          <w:szCs w:val="26"/>
        </w:rPr>
        <w:t xml:space="preserve"> $350 filing fee</w:t>
      </w:r>
      <w:r w:rsidR="00D23CC1">
        <w:rPr>
          <w:rFonts w:ascii="Times New Roman" w:hAnsi="Times New Roman"/>
          <w:sz w:val="26"/>
          <w:szCs w:val="26"/>
        </w:rPr>
        <w:t>.</w:t>
      </w:r>
    </w:p>
    <w:p w:rsidR="0056569C" w:rsidRDefault="00321572" w:rsidP="00D92845">
      <w:pPr>
        <w:pStyle w:val="ListParagraph"/>
        <w:numPr>
          <w:ilvl w:val="0"/>
          <w:numId w:val="10"/>
        </w:numPr>
        <w:spacing w:after="120"/>
        <w:ind w:left="1080"/>
        <w:rPr>
          <w:rFonts w:ascii="Times New Roman" w:hAnsi="Times New Roman"/>
          <w:sz w:val="26"/>
          <w:szCs w:val="26"/>
        </w:rPr>
      </w:pPr>
      <w:r>
        <w:rPr>
          <w:rFonts w:ascii="Times New Roman" w:hAnsi="Times New Roman"/>
          <w:sz w:val="26"/>
          <w:szCs w:val="26"/>
        </w:rPr>
        <w:t>P</w:t>
      </w:r>
      <w:r w:rsidR="0056569C" w:rsidRPr="00524ED7">
        <w:rPr>
          <w:rFonts w:ascii="Times New Roman" w:hAnsi="Times New Roman"/>
          <w:sz w:val="26"/>
          <w:szCs w:val="26"/>
        </w:rPr>
        <w:t>roof of service of the petition on the statutory advocates and all affected EDCs</w:t>
      </w:r>
      <w:r w:rsidR="00D23CC1">
        <w:rPr>
          <w:rFonts w:ascii="Times New Roman" w:hAnsi="Times New Roman"/>
          <w:sz w:val="26"/>
          <w:szCs w:val="26"/>
        </w:rPr>
        <w:t>.</w:t>
      </w:r>
    </w:p>
    <w:p w:rsidR="00D92845" w:rsidRPr="00524ED7" w:rsidRDefault="00D92845" w:rsidP="00D92845">
      <w:pPr>
        <w:pStyle w:val="ListParagraph"/>
        <w:spacing w:after="120"/>
        <w:ind w:left="1080"/>
        <w:rPr>
          <w:rFonts w:ascii="Times New Roman" w:hAnsi="Times New Roman"/>
          <w:sz w:val="26"/>
          <w:szCs w:val="26"/>
        </w:rPr>
      </w:pPr>
    </w:p>
    <w:p w:rsidR="0056569C" w:rsidRPr="00524ED7" w:rsidRDefault="00321572" w:rsidP="00D92845">
      <w:pPr>
        <w:pStyle w:val="ListParagraph"/>
        <w:numPr>
          <w:ilvl w:val="0"/>
          <w:numId w:val="10"/>
        </w:numPr>
        <w:spacing w:line="360" w:lineRule="auto"/>
        <w:ind w:left="1080"/>
        <w:rPr>
          <w:rFonts w:ascii="Times New Roman" w:hAnsi="Times New Roman"/>
          <w:sz w:val="26"/>
          <w:szCs w:val="26"/>
        </w:rPr>
      </w:pPr>
      <w:r>
        <w:rPr>
          <w:rFonts w:ascii="Times New Roman" w:hAnsi="Times New Roman"/>
          <w:sz w:val="26"/>
          <w:szCs w:val="26"/>
        </w:rPr>
        <w:lastRenderedPageBreak/>
        <w:t>A</w:t>
      </w:r>
      <w:r w:rsidR="0056569C" w:rsidRPr="00524ED7">
        <w:rPr>
          <w:rFonts w:ascii="Times New Roman" w:hAnsi="Times New Roman"/>
          <w:sz w:val="26"/>
          <w:szCs w:val="26"/>
        </w:rPr>
        <w:t xml:space="preserve"> Tax </w:t>
      </w:r>
      <w:r w:rsidR="001A6F28">
        <w:rPr>
          <w:rFonts w:ascii="Times New Roman" w:hAnsi="Times New Roman"/>
          <w:sz w:val="26"/>
          <w:szCs w:val="26"/>
        </w:rPr>
        <w:t xml:space="preserve">Status </w:t>
      </w:r>
      <w:r w:rsidR="0056569C" w:rsidRPr="00524ED7">
        <w:rPr>
          <w:rFonts w:ascii="Times New Roman" w:hAnsi="Times New Roman"/>
          <w:sz w:val="26"/>
          <w:szCs w:val="26"/>
        </w:rPr>
        <w:t>Letter of Good Standing from the Department of Revenue</w:t>
      </w:r>
      <w:r w:rsidR="00D23CC1">
        <w:rPr>
          <w:rFonts w:ascii="Times New Roman" w:hAnsi="Times New Roman"/>
          <w:sz w:val="26"/>
          <w:szCs w:val="26"/>
        </w:rPr>
        <w:t>.</w:t>
      </w:r>
    </w:p>
    <w:p w:rsidR="0056569C" w:rsidRDefault="00321572" w:rsidP="00D92845">
      <w:pPr>
        <w:pStyle w:val="ListParagraph"/>
        <w:numPr>
          <w:ilvl w:val="0"/>
          <w:numId w:val="10"/>
        </w:numPr>
        <w:spacing w:line="360" w:lineRule="auto"/>
        <w:ind w:left="1080"/>
        <w:rPr>
          <w:rFonts w:ascii="Times New Roman" w:hAnsi="Times New Roman"/>
          <w:sz w:val="26"/>
          <w:szCs w:val="26"/>
        </w:rPr>
      </w:pPr>
      <w:r>
        <w:rPr>
          <w:rFonts w:ascii="Times New Roman" w:hAnsi="Times New Roman"/>
          <w:sz w:val="26"/>
          <w:szCs w:val="26"/>
        </w:rPr>
        <w:t>T</w:t>
      </w:r>
      <w:r w:rsidR="0056569C" w:rsidRPr="00524ED7">
        <w:rPr>
          <w:rFonts w:ascii="Times New Roman" w:hAnsi="Times New Roman"/>
          <w:sz w:val="26"/>
          <w:szCs w:val="26"/>
        </w:rPr>
        <w:t>he EGS’ gross receipts for the most recent four quarters.</w:t>
      </w:r>
      <w:r w:rsidR="009C6991">
        <w:rPr>
          <w:rStyle w:val="FootnoteReference"/>
          <w:rFonts w:ascii="Times New Roman" w:hAnsi="Times New Roman"/>
          <w:sz w:val="26"/>
          <w:szCs w:val="26"/>
        </w:rPr>
        <w:footnoteReference w:id="13"/>
      </w:r>
    </w:p>
    <w:p w:rsidR="007F0C76" w:rsidRDefault="007F0C76" w:rsidP="001A6F28">
      <w:pPr>
        <w:tabs>
          <w:tab w:val="left" w:pos="720"/>
        </w:tabs>
        <w:spacing w:line="360" w:lineRule="auto"/>
        <w:rPr>
          <w:sz w:val="26"/>
          <w:szCs w:val="26"/>
        </w:rPr>
      </w:pPr>
    </w:p>
    <w:p w:rsidR="007F0C76" w:rsidRDefault="0062349D" w:rsidP="001A6F28">
      <w:pPr>
        <w:spacing w:line="360" w:lineRule="auto"/>
        <w:ind w:firstLine="720"/>
        <w:rPr>
          <w:sz w:val="26"/>
          <w:szCs w:val="26"/>
        </w:rPr>
      </w:pPr>
      <w:r>
        <w:rPr>
          <w:sz w:val="26"/>
          <w:szCs w:val="26"/>
        </w:rPr>
        <w:t>On June 6, 2017, RESA filed a Petition</w:t>
      </w:r>
      <w:r w:rsidR="0034152E">
        <w:rPr>
          <w:sz w:val="26"/>
          <w:szCs w:val="26"/>
        </w:rPr>
        <w:t xml:space="preserve"> (Petition)</w:t>
      </w:r>
      <w:r>
        <w:rPr>
          <w:sz w:val="26"/>
          <w:szCs w:val="26"/>
        </w:rPr>
        <w:t xml:space="preserve"> requesting that the annual process for an EGS to renew its 5% security level be streamlined.  The Commission received no comments or replies in response to that Petition.</w:t>
      </w:r>
    </w:p>
    <w:p w:rsidR="007F0C76" w:rsidRPr="007F0C76" w:rsidRDefault="007F0C76" w:rsidP="001A6F28">
      <w:pPr>
        <w:tabs>
          <w:tab w:val="left" w:pos="720"/>
        </w:tabs>
        <w:spacing w:line="360" w:lineRule="auto"/>
        <w:rPr>
          <w:sz w:val="26"/>
          <w:szCs w:val="26"/>
        </w:rPr>
      </w:pPr>
    </w:p>
    <w:p w:rsidR="00547345" w:rsidRPr="006637DE" w:rsidRDefault="00717BC5" w:rsidP="004F095F">
      <w:pPr>
        <w:spacing w:line="360" w:lineRule="auto"/>
        <w:jc w:val="center"/>
        <w:rPr>
          <w:b/>
          <w:sz w:val="26"/>
          <w:szCs w:val="26"/>
        </w:rPr>
      </w:pPr>
      <w:r w:rsidRPr="006637DE">
        <w:rPr>
          <w:b/>
          <w:sz w:val="26"/>
          <w:szCs w:val="26"/>
        </w:rPr>
        <w:t>SUMMARY OF PETITION</w:t>
      </w:r>
    </w:p>
    <w:p w:rsidR="00C065CF" w:rsidRPr="0069020E" w:rsidRDefault="006637DE" w:rsidP="00321572">
      <w:pPr>
        <w:spacing w:line="360" w:lineRule="auto"/>
        <w:rPr>
          <w:sz w:val="26"/>
          <w:szCs w:val="26"/>
        </w:rPr>
      </w:pPr>
      <w:r w:rsidRPr="00F2603E">
        <w:rPr>
          <w:sz w:val="26"/>
          <w:szCs w:val="26"/>
        </w:rPr>
        <w:tab/>
        <w:t xml:space="preserve">RESA, </w:t>
      </w:r>
      <w:r w:rsidR="00F2603E" w:rsidRPr="00F2603E">
        <w:rPr>
          <w:sz w:val="26"/>
          <w:szCs w:val="26"/>
        </w:rPr>
        <w:t xml:space="preserve">a trade association representing </w:t>
      </w:r>
      <w:r w:rsidR="00321572">
        <w:rPr>
          <w:sz w:val="26"/>
          <w:szCs w:val="26"/>
        </w:rPr>
        <w:t xml:space="preserve">member </w:t>
      </w:r>
      <w:r w:rsidR="00F2603E" w:rsidRPr="00F2603E">
        <w:rPr>
          <w:sz w:val="26"/>
          <w:szCs w:val="26"/>
        </w:rPr>
        <w:t>retail energy su</w:t>
      </w:r>
      <w:r w:rsidR="009C325A">
        <w:rPr>
          <w:sz w:val="26"/>
          <w:szCs w:val="26"/>
        </w:rPr>
        <w:t>ppliers, including EGSs, filed its Petition to request</w:t>
      </w:r>
      <w:r w:rsidR="00F2603E" w:rsidRPr="00F2603E">
        <w:rPr>
          <w:sz w:val="26"/>
          <w:szCs w:val="26"/>
        </w:rPr>
        <w:t xml:space="preserve"> that the Commission simplify the process for an EGS to renew its 5% security level</w:t>
      </w:r>
      <w:r w:rsidR="00F2603E" w:rsidRPr="00614ED7">
        <w:rPr>
          <w:sz w:val="26"/>
          <w:szCs w:val="26"/>
        </w:rPr>
        <w:t xml:space="preserve">.  </w:t>
      </w:r>
      <w:r w:rsidR="00614ED7" w:rsidRPr="00614ED7">
        <w:rPr>
          <w:sz w:val="26"/>
          <w:szCs w:val="26"/>
        </w:rPr>
        <w:t xml:space="preserve">Ultimately, RESA proposes a streamlined 5% renewal process where the Commission “permits EGSs </w:t>
      </w:r>
      <w:r w:rsidR="00614ED7" w:rsidRPr="00321572">
        <w:rPr>
          <w:b/>
          <w:sz w:val="26"/>
          <w:szCs w:val="26"/>
        </w:rPr>
        <w:t>who have already been approved</w:t>
      </w:r>
      <w:r w:rsidR="00614ED7" w:rsidRPr="00614ED7">
        <w:rPr>
          <w:sz w:val="26"/>
          <w:szCs w:val="26"/>
        </w:rPr>
        <w:t xml:space="preserve"> for the 5% level to submit a compliance template (with appropriate supporting documents) to continue the 5% level,”</w:t>
      </w:r>
      <w:r w:rsidR="00614ED7" w:rsidRPr="00614ED7">
        <w:rPr>
          <w:rStyle w:val="FootnoteReference"/>
          <w:sz w:val="26"/>
          <w:szCs w:val="26"/>
        </w:rPr>
        <w:footnoteReference w:id="14"/>
      </w:r>
      <w:r w:rsidR="00614ED7" w:rsidRPr="00614ED7">
        <w:rPr>
          <w:sz w:val="26"/>
          <w:szCs w:val="26"/>
        </w:rPr>
        <w:t xml:space="preserve"> as opposed to having to submit a formal petition each year.</w:t>
      </w:r>
      <w:r w:rsidR="00B33F89">
        <w:rPr>
          <w:sz w:val="26"/>
          <w:szCs w:val="26"/>
        </w:rPr>
        <w:t xml:space="preserve">  According to RESA, that change would make the 5% security renewal process simpler and more efficient for both EGSs and Commission staff.</w:t>
      </w:r>
      <w:r w:rsidR="00B33F89">
        <w:rPr>
          <w:rStyle w:val="FootnoteReference"/>
          <w:sz w:val="26"/>
          <w:szCs w:val="26"/>
        </w:rPr>
        <w:footnoteReference w:id="15"/>
      </w:r>
      <w:r w:rsidR="00321572">
        <w:rPr>
          <w:sz w:val="26"/>
          <w:szCs w:val="26"/>
        </w:rPr>
        <w:t xml:space="preserve">  </w:t>
      </w:r>
      <w:r w:rsidR="00F01F97" w:rsidRPr="0069020E">
        <w:rPr>
          <w:sz w:val="26"/>
          <w:szCs w:val="26"/>
        </w:rPr>
        <w:t xml:space="preserve">RESA notes </w:t>
      </w:r>
      <w:r w:rsidR="00F90B4C">
        <w:rPr>
          <w:sz w:val="26"/>
          <w:szCs w:val="26"/>
        </w:rPr>
        <w:t>that</w:t>
      </w:r>
      <w:r w:rsidR="001D0B82">
        <w:rPr>
          <w:sz w:val="26"/>
          <w:szCs w:val="26"/>
        </w:rPr>
        <w:t xml:space="preserve"> an </w:t>
      </w:r>
      <w:r w:rsidR="001D0B82" w:rsidRPr="005329DF">
        <w:rPr>
          <w:sz w:val="26"/>
          <w:szCs w:val="26"/>
        </w:rPr>
        <w:t xml:space="preserve">EGS is </w:t>
      </w:r>
      <w:r w:rsidR="008D1895">
        <w:rPr>
          <w:sz w:val="26"/>
          <w:szCs w:val="26"/>
        </w:rPr>
        <w:t xml:space="preserve">not </w:t>
      </w:r>
      <w:r w:rsidR="00F01F97" w:rsidRPr="005329DF">
        <w:rPr>
          <w:sz w:val="26"/>
          <w:szCs w:val="26"/>
        </w:rPr>
        <w:t xml:space="preserve">required to </w:t>
      </w:r>
      <w:r w:rsidR="00950A2D" w:rsidRPr="005329DF">
        <w:rPr>
          <w:sz w:val="26"/>
          <w:szCs w:val="26"/>
        </w:rPr>
        <w:t xml:space="preserve">submit a </w:t>
      </w:r>
      <w:r w:rsidR="001D0B82" w:rsidRPr="005329DF">
        <w:rPr>
          <w:sz w:val="26"/>
          <w:szCs w:val="26"/>
        </w:rPr>
        <w:t>formal</w:t>
      </w:r>
      <w:r w:rsidR="00950A2D" w:rsidRPr="005329DF">
        <w:rPr>
          <w:sz w:val="26"/>
          <w:szCs w:val="26"/>
        </w:rPr>
        <w:t xml:space="preserve"> petition each year to</w:t>
      </w:r>
      <w:r w:rsidR="0069020E" w:rsidRPr="005329DF">
        <w:rPr>
          <w:sz w:val="26"/>
          <w:szCs w:val="26"/>
        </w:rPr>
        <w:t xml:space="preserve"> renew </w:t>
      </w:r>
      <w:r w:rsidR="001D0B82" w:rsidRPr="005329DF">
        <w:rPr>
          <w:sz w:val="26"/>
          <w:szCs w:val="26"/>
        </w:rPr>
        <w:t>its</w:t>
      </w:r>
      <w:r w:rsidR="0069020E" w:rsidRPr="005329DF">
        <w:rPr>
          <w:sz w:val="26"/>
          <w:szCs w:val="26"/>
        </w:rPr>
        <w:t xml:space="preserve"> security</w:t>
      </w:r>
      <w:r w:rsidR="00E64A60" w:rsidRPr="005329DF">
        <w:rPr>
          <w:sz w:val="26"/>
          <w:szCs w:val="26"/>
        </w:rPr>
        <w:t xml:space="preserve"> </w:t>
      </w:r>
      <w:r w:rsidR="00F90B4C">
        <w:rPr>
          <w:sz w:val="26"/>
          <w:szCs w:val="26"/>
        </w:rPr>
        <w:t>at 10% of its gross receipts</w:t>
      </w:r>
      <w:r w:rsidR="00950A2D" w:rsidRPr="005329DF">
        <w:rPr>
          <w:sz w:val="26"/>
          <w:szCs w:val="26"/>
        </w:rPr>
        <w:t>.</w:t>
      </w:r>
      <w:r w:rsidR="00287D3F">
        <w:rPr>
          <w:sz w:val="26"/>
          <w:szCs w:val="26"/>
        </w:rPr>
        <w:t xml:space="preserve">  However, </w:t>
      </w:r>
      <w:r w:rsidR="00E64A60">
        <w:rPr>
          <w:sz w:val="26"/>
          <w:szCs w:val="26"/>
        </w:rPr>
        <w:t>for an EGS to renew its</w:t>
      </w:r>
      <w:r w:rsidR="00287D3F">
        <w:rPr>
          <w:sz w:val="26"/>
          <w:szCs w:val="26"/>
        </w:rPr>
        <w:t xml:space="preserve"> security level at 5% of gross receipts</w:t>
      </w:r>
      <w:r w:rsidR="00E64A60">
        <w:rPr>
          <w:sz w:val="26"/>
          <w:szCs w:val="26"/>
        </w:rPr>
        <w:t xml:space="preserve"> it must</w:t>
      </w:r>
      <w:r w:rsidR="00287D3F">
        <w:rPr>
          <w:sz w:val="26"/>
          <w:szCs w:val="26"/>
        </w:rPr>
        <w:t xml:space="preserve"> submit a formal petition to the Commission each year.</w:t>
      </w:r>
      <w:r w:rsidR="00287D3F">
        <w:rPr>
          <w:rStyle w:val="FootnoteReference"/>
          <w:sz w:val="26"/>
          <w:szCs w:val="26"/>
        </w:rPr>
        <w:footnoteReference w:id="16"/>
      </w:r>
    </w:p>
    <w:p w:rsidR="0069020E" w:rsidRPr="0069020E" w:rsidRDefault="0069020E">
      <w:pPr>
        <w:tabs>
          <w:tab w:val="left" w:pos="720"/>
        </w:tabs>
        <w:spacing w:line="360" w:lineRule="auto"/>
        <w:rPr>
          <w:sz w:val="26"/>
          <w:szCs w:val="26"/>
        </w:rPr>
      </w:pPr>
    </w:p>
    <w:p w:rsidR="0069020E" w:rsidRDefault="0069020E">
      <w:pPr>
        <w:tabs>
          <w:tab w:val="left" w:pos="720"/>
        </w:tabs>
        <w:spacing w:line="360" w:lineRule="auto"/>
        <w:rPr>
          <w:sz w:val="26"/>
          <w:szCs w:val="26"/>
        </w:rPr>
      </w:pPr>
      <w:r w:rsidRPr="00D94EE9">
        <w:rPr>
          <w:sz w:val="26"/>
          <w:szCs w:val="26"/>
        </w:rPr>
        <w:tab/>
      </w:r>
      <w:r w:rsidR="00EB3459" w:rsidRPr="00D94EE9">
        <w:rPr>
          <w:sz w:val="26"/>
          <w:szCs w:val="26"/>
        </w:rPr>
        <w:t xml:space="preserve">According to RESA, the requirements for an EGS to renew its security at the 5% level as outlined by the Commission in its </w:t>
      </w:r>
      <w:r w:rsidR="00F90B4C">
        <w:rPr>
          <w:sz w:val="26"/>
          <w:szCs w:val="26"/>
        </w:rPr>
        <w:t>2016 Guidance Letter</w:t>
      </w:r>
      <w:r w:rsidR="00F32992" w:rsidRPr="00D94EE9">
        <w:rPr>
          <w:sz w:val="26"/>
          <w:szCs w:val="26"/>
        </w:rPr>
        <w:t xml:space="preserve"> are difficult to meet.  Sp</w:t>
      </w:r>
      <w:r w:rsidR="00EB3459" w:rsidRPr="00D94EE9">
        <w:rPr>
          <w:sz w:val="26"/>
          <w:szCs w:val="26"/>
        </w:rPr>
        <w:t>ecifically</w:t>
      </w:r>
      <w:r w:rsidR="00F32992" w:rsidRPr="00D94EE9">
        <w:rPr>
          <w:sz w:val="26"/>
          <w:szCs w:val="26"/>
        </w:rPr>
        <w:t>,</w:t>
      </w:r>
      <w:r w:rsidR="00EB3459" w:rsidRPr="00D94EE9">
        <w:rPr>
          <w:sz w:val="26"/>
          <w:szCs w:val="26"/>
        </w:rPr>
        <w:t xml:space="preserve"> the filing deadline</w:t>
      </w:r>
      <w:r w:rsidR="00485F98">
        <w:rPr>
          <w:sz w:val="26"/>
          <w:szCs w:val="26"/>
        </w:rPr>
        <w:t>, considering</w:t>
      </w:r>
      <w:r w:rsidR="00F32992" w:rsidRPr="00D94EE9">
        <w:rPr>
          <w:sz w:val="26"/>
          <w:szCs w:val="26"/>
        </w:rPr>
        <w:t xml:space="preserve"> the</w:t>
      </w:r>
      <w:r w:rsidR="00EB3459" w:rsidRPr="00D94EE9">
        <w:rPr>
          <w:sz w:val="26"/>
          <w:szCs w:val="26"/>
        </w:rPr>
        <w:t xml:space="preserve"> documentation </w:t>
      </w:r>
      <w:r w:rsidR="00485F98">
        <w:rPr>
          <w:sz w:val="26"/>
          <w:szCs w:val="26"/>
        </w:rPr>
        <w:t>that must be submitted along with</w:t>
      </w:r>
      <w:r w:rsidR="00EB3459" w:rsidRPr="00D94EE9">
        <w:rPr>
          <w:sz w:val="26"/>
          <w:szCs w:val="26"/>
        </w:rPr>
        <w:t xml:space="preserve"> the petition</w:t>
      </w:r>
      <w:r w:rsidR="00485F98">
        <w:rPr>
          <w:sz w:val="26"/>
          <w:szCs w:val="26"/>
        </w:rPr>
        <w:t>,</w:t>
      </w:r>
      <w:r w:rsidR="00F32992" w:rsidRPr="00D94EE9">
        <w:rPr>
          <w:sz w:val="26"/>
          <w:szCs w:val="26"/>
        </w:rPr>
        <w:t xml:space="preserve"> </w:t>
      </w:r>
      <w:r w:rsidR="007B21C5" w:rsidRPr="00D94EE9">
        <w:rPr>
          <w:sz w:val="26"/>
          <w:szCs w:val="26"/>
        </w:rPr>
        <w:t xml:space="preserve">is difficult for </w:t>
      </w:r>
      <w:r w:rsidR="00485F98">
        <w:rPr>
          <w:sz w:val="26"/>
          <w:szCs w:val="26"/>
        </w:rPr>
        <w:t>an EGS</w:t>
      </w:r>
      <w:r w:rsidR="007B21C5" w:rsidRPr="00D94EE9">
        <w:rPr>
          <w:sz w:val="26"/>
          <w:szCs w:val="26"/>
        </w:rPr>
        <w:t xml:space="preserve"> to meet</w:t>
      </w:r>
      <w:r w:rsidR="00485F98">
        <w:rPr>
          <w:sz w:val="26"/>
          <w:szCs w:val="26"/>
        </w:rPr>
        <w:t>.  F</w:t>
      </w:r>
      <w:r w:rsidR="007B21C5" w:rsidRPr="00D94EE9">
        <w:rPr>
          <w:sz w:val="26"/>
          <w:szCs w:val="26"/>
        </w:rPr>
        <w:t>ail</w:t>
      </w:r>
      <w:r w:rsidR="00485F98">
        <w:rPr>
          <w:sz w:val="26"/>
          <w:szCs w:val="26"/>
        </w:rPr>
        <w:t>ure</w:t>
      </w:r>
      <w:r w:rsidR="007B21C5" w:rsidRPr="00D94EE9">
        <w:rPr>
          <w:sz w:val="26"/>
          <w:szCs w:val="26"/>
        </w:rPr>
        <w:t xml:space="preserve"> to mee</w:t>
      </w:r>
      <w:r w:rsidR="00952BCF" w:rsidRPr="00D94EE9">
        <w:rPr>
          <w:sz w:val="26"/>
          <w:szCs w:val="26"/>
        </w:rPr>
        <w:t>t the deadline</w:t>
      </w:r>
      <w:r w:rsidR="00485F98">
        <w:rPr>
          <w:sz w:val="26"/>
          <w:szCs w:val="26"/>
        </w:rPr>
        <w:t xml:space="preserve"> </w:t>
      </w:r>
      <w:r w:rsidR="00485F98">
        <w:rPr>
          <w:sz w:val="26"/>
          <w:szCs w:val="26"/>
        </w:rPr>
        <w:lastRenderedPageBreak/>
        <w:t>could cause</w:t>
      </w:r>
      <w:r w:rsidR="007B21C5" w:rsidRPr="00D94EE9">
        <w:rPr>
          <w:sz w:val="26"/>
          <w:szCs w:val="26"/>
        </w:rPr>
        <w:t xml:space="preserve"> the</w:t>
      </w:r>
      <w:r w:rsidR="00485F98">
        <w:rPr>
          <w:sz w:val="26"/>
          <w:szCs w:val="26"/>
        </w:rPr>
        <w:t xml:space="preserve"> EGS’</w:t>
      </w:r>
      <w:r w:rsidR="005855B0">
        <w:rPr>
          <w:sz w:val="26"/>
          <w:szCs w:val="26"/>
        </w:rPr>
        <w:t xml:space="preserve"> security instrument (bond, letter</w:t>
      </w:r>
      <w:r w:rsidR="007B21C5" w:rsidRPr="00D94EE9">
        <w:rPr>
          <w:sz w:val="26"/>
          <w:szCs w:val="26"/>
        </w:rPr>
        <w:t xml:space="preserve"> of credit, etc.) </w:t>
      </w:r>
      <w:r w:rsidR="005855B0">
        <w:rPr>
          <w:sz w:val="26"/>
          <w:szCs w:val="26"/>
        </w:rPr>
        <w:t>to</w:t>
      </w:r>
      <w:r w:rsidR="007B21C5" w:rsidRPr="00D94EE9">
        <w:rPr>
          <w:sz w:val="26"/>
          <w:szCs w:val="26"/>
        </w:rPr>
        <w:t xml:space="preserve"> expire, which </w:t>
      </w:r>
      <w:r w:rsidR="005855B0">
        <w:rPr>
          <w:sz w:val="26"/>
          <w:szCs w:val="26"/>
        </w:rPr>
        <w:t xml:space="preserve">in turn </w:t>
      </w:r>
      <w:r w:rsidR="007B21C5" w:rsidRPr="00D94EE9">
        <w:rPr>
          <w:sz w:val="26"/>
          <w:szCs w:val="26"/>
        </w:rPr>
        <w:t>could re</w:t>
      </w:r>
      <w:r w:rsidR="005855B0">
        <w:rPr>
          <w:sz w:val="26"/>
          <w:szCs w:val="26"/>
        </w:rPr>
        <w:t>sult in the cancelation of the EGS’</w:t>
      </w:r>
      <w:r w:rsidR="007B21C5" w:rsidRPr="00D94EE9">
        <w:rPr>
          <w:sz w:val="26"/>
          <w:szCs w:val="26"/>
        </w:rPr>
        <w:t xml:space="preserve"> license to operate in P</w:t>
      </w:r>
      <w:r w:rsidR="00952BCF" w:rsidRPr="00D94EE9">
        <w:rPr>
          <w:sz w:val="26"/>
          <w:szCs w:val="26"/>
        </w:rPr>
        <w:t>ennsylvania</w:t>
      </w:r>
      <w:r w:rsidR="007B21C5" w:rsidRPr="00D94EE9">
        <w:rPr>
          <w:sz w:val="26"/>
          <w:szCs w:val="26"/>
        </w:rPr>
        <w:t>.</w:t>
      </w:r>
      <w:r w:rsidR="00845598">
        <w:rPr>
          <w:rStyle w:val="FootnoteReference"/>
          <w:sz w:val="26"/>
          <w:szCs w:val="26"/>
        </w:rPr>
        <w:footnoteReference w:id="17"/>
      </w:r>
    </w:p>
    <w:p w:rsidR="00833DE4" w:rsidRPr="00D94EE9" w:rsidRDefault="00833DE4">
      <w:pPr>
        <w:tabs>
          <w:tab w:val="left" w:pos="720"/>
        </w:tabs>
        <w:spacing w:line="360" w:lineRule="auto"/>
        <w:rPr>
          <w:sz w:val="26"/>
          <w:szCs w:val="26"/>
        </w:rPr>
      </w:pPr>
    </w:p>
    <w:p w:rsidR="00DA78E4" w:rsidRDefault="00DA78E4">
      <w:pPr>
        <w:tabs>
          <w:tab w:val="left" w:pos="720"/>
        </w:tabs>
        <w:spacing w:line="360" w:lineRule="auto"/>
        <w:rPr>
          <w:sz w:val="26"/>
          <w:szCs w:val="26"/>
        </w:rPr>
      </w:pPr>
      <w:r>
        <w:rPr>
          <w:color w:val="FF0000"/>
          <w:sz w:val="26"/>
          <w:szCs w:val="26"/>
        </w:rPr>
        <w:tab/>
      </w:r>
      <w:r w:rsidR="00D94EE9" w:rsidRPr="00987293">
        <w:rPr>
          <w:sz w:val="26"/>
          <w:szCs w:val="26"/>
        </w:rPr>
        <w:t>RESA expresses support for the Commission’s 2014 decision to allow for</w:t>
      </w:r>
      <w:r w:rsidR="00210EF6">
        <w:rPr>
          <w:sz w:val="26"/>
          <w:szCs w:val="26"/>
        </w:rPr>
        <w:t xml:space="preserve"> a</w:t>
      </w:r>
      <w:r w:rsidR="00D94EE9" w:rsidRPr="00987293">
        <w:rPr>
          <w:sz w:val="26"/>
          <w:szCs w:val="26"/>
        </w:rPr>
        <w:t xml:space="preserve"> 5% security</w:t>
      </w:r>
      <w:r w:rsidR="00210EF6">
        <w:rPr>
          <w:sz w:val="26"/>
          <w:szCs w:val="26"/>
        </w:rPr>
        <w:t xml:space="preserve"> level</w:t>
      </w:r>
      <w:r w:rsidR="00D94EE9" w:rsidRPr="00987293">
        <w:rPr>
          <w:sz w:val="26"/>
          <w:szCs w:val="26"/>
        </w:rPr>
        <w:t xml:space="preserve"> and notes that it is unaware of any situation in which </w:t>
      </w:r>
      <w:r w:rsidR="00210EF6">
        <w:rPr>
          <w:sz w:val="26"/>
          <w:szCs w:val="26"/>
        </w:rPr>
        <w:t>that</w:t>
      </w:r>
      <w:r w:rsidR="00D94EE9" w:rsidRPr="00987293">
        <w:rPr>
          <w:sz w:val="26"/>
          <w:szCs w:val="26"/>
        </w:rPr>
        <w:t xml:space="preserve"> level </w:t>
      </w:r>
      <w:r w:rsidR="00623368" w:rsidRPr="00987293">
        <w:rPr>
          <w:sz w:val="26"/>
          <w:szCs w:val="26"/>
        </w:rPr>
        <w:t xml:space="preserve">has been insufficient to cover an EGS’ obligations or in which the Commission experienced any problems in making a claim on a 5% security.  </w:t>
      </w:r>
      <w:r w:rsidR="00987293" w:rsidRPr="00987293">
        <w:rPr>
          <w:sz w:val="26"/>
          <w:szCs w:val="26"/>
        </w:rPr>
        <w:t>RESA states</w:t>
      </w:r>
      <w:r w:rsidR="00321572">
        <w:rPr>
          <w:sz w:val="26"/>
          <w:szCs w:val="26"/>
        </w:rPr>
        <w:t>, however,</w:t>
      </w:r>
      <w:r w:rsidR="00987293" w:rsidRPr="00987293">
        <w:rPr>
          <w:sz w:val="26"/>
          <w:szCs w:val="26"/>
        </w:rPr>
        <w:t xml:space="preserve"> that </w:t>
      </w:r>
      <w:proofErr w:type="gramStart"/>
      <w:r w:rsidR="00987293" w:rsidRPr="00987293">
        <w:rPr>
          <w:sz w:val="26"/>
          <w:szCs w:val="26"/>
        </w:rPr>
        <w:t>a number of</w:t>
      </w:r>
      <w:proofErr w:type="gramEnd"/>
      <w:r w:rsidR="00987293" w:rsidRPr="00987293">
        <w:rPr>
          <w:sz w:val="26"/>
          <w:szCs w:val="26"/>
        </w:rPr>
        <w:t xml:space="preserve"> its members find the Commission’s requirement for annual renewal petitions to be cumbersome and in need of simplification.</w:t>
      </w:r>
      <w:r w:rsidR="00987293" w:rsidRPr="00987293">
        <w:rPr>
          <w:rStyle w:val="FootnoteReference"/>
          <w:sz w:val="26"/>
          <w:szCs w:val="26"/>
        </w:rPr>
        <w:footnoteReference w:id="18"/>
      </w:r>
    </w:p>
    <w:p w:rsidR="00210EF6" w:rsidRDefault="00210EF6">
      <w:pPr>
        <w:tabs>
          <w:tab w:val="left" w:pos="720"/>
        </w:tabs>
        <w:spacing w:line="360" w:lineRule="auto"/>
        <w:rPr>
          <w:sz w:val="26"/>
          <w:szCs w:val="26"/>
        </w:rPr>
      </w:pPr>
    </w:p>
    <w:p w:rsidR="00210EF6" w:rsidRDefault="00210EF6">
      <w:pPr>
        <w:tabs>
          <w:tab w:val="left" w:pos="720"/>
        </w:tabs>
        <w:spacing w:line="360" w:lineRule="auto"/>
        <w:rPr>
          <w:sz w:val="26"/>
          <w:szCs w:val="26"/>
        </w:rPr>
      </w:pPr>
      <w:r>
        <w:rPr>
          <w:sz w:val="26"/>
          <w:szCs w:val="26"/>
        </w:rPr>
        <w:tab/>
      </w:r>
      <w:r w:rsidR="00092191">
        <w:rPr>
          <w:sz w:val="26"/>
          <w:szCs w:val="26"/>
        </w:rPr>
        <w:t xml:space="preserve">The primary issue RESA has </w:t>
      </w:r>
      <w:r w:rsidR="009A32D4">
        <w:rPr>
          <w:sz w:val="26"/>
          <w:szCs w:val="26"/>
        </w:rPr>
        <w:t>with</w:t>
      </w:r>
      <w:r w:rsidR="00092191">
        <w:rPr>
          <w:sz w:val="26"/>
          <w:szCs w:val="26"/>
        </w:rPr>
        <w:t xml:space="preserve"> the Commission’s process for renewing an EGS’ 5% security level is the 90</w:t>
      </w:r>
      <w:r w:rsidR="00321572">
        <w:rPr>
          <w:sz w:val="26"/>
          <w:szCs w:val="26"/>
        </w:rPr>
        <w:noBreakHyphen/>
      </w:r>
      <w:r w:rsidR="00092191">
        <w:rPr>
          <w:sz w:val="26"/>
          <w:szCs w:val="26"/>
        </w:rPr>
        <w:t>day time frame between the due date for the renewal petition and the expiration of the current security instrument.</w:t>
      </w:r>
      <w:r w:rsidR="00490E41">
        <w:rPr>
          <w:sz w:val="26"/>
          <w:szCs w:val="26"/>
        </w:rPr>
        <w:t xml:space="preserve">  Within that time frame, the EGS must file its petition to renew the 5% security level, wait to receive approval from TUS, then submit an appropriately dated new financial security instrument.  That time frame is difficult for an EGS to manage and </w:t>
      </w:r>
      <w:r w:rsidR="00321572">
        <w:rPr>
          <w:sz w:val="26"/>
          <w:szCs w:val="26"/>
        </w:rPr>
        <w:t xml:space="preserve">any </w:t>
      </w:r>
      <w:r w:rsidR="00490E41">
        <w:rPr>
          <w:sz w:val="26"/>
          <w:szCs w:val="26"/>
        </w:rPr>
        <w:t>delays can</w:t>
      </w:r>
      <w:r w:rsidR="00092191">
        <w:rPr>
          <w:sz w:val="26"/>
          <w:szCs w:val="26"/>
        </w:rPr>
        <w:t xml:space="preserve"> </w:t>
      </w:r>
      <w:r w:rsidR="00490E41">
        <w:rPr>
          <w:sz w:val="26"/>
          <w:szCs w:val="26"/>
        </w:rPr>
        <w:t xml:space="preserve">cause </w:t>
      </w:r>
      <w:r w:rsidR="00092191">
        <w:rPr>
          <w:sz w:val="26"/>
          <w:szCs w:val="26"/>
        </w:rPr>
        <w:t>problems for</w:t>
      </w:r>
      <w:r w:rsidR="00490E41">
        <w:rPr>
          <w:sz w:val="26"/>
          <w:szCs w:val="26"/>
        </w:rPr>
        <w:t xml:space="preserve"> the </w:t>
      </w:r>
      <w:r w:rsidR="00092191">
        <w:rPr>
          <w:sz w:val="26"/>
          <w:szCs w:val="26"/>
        </w:rPr>
        <w:t>EGS</w:t>
      </w:r>
      <w:r w:rsidR="00490E41">
        <w:rPr>
          <w:sz w:val="26"/>
          <w:szCs w:val="26"/>
        </w:rPr>
        <w:t>.  Although an EGS</w:t>
      </w:r>
      <w:r w:rsidR="00092191">
        <w:rPr>
          <w:sz w:val="26"/>
          <w:szCs w:val="26"/>
        </w:rPr>
        <w:t xml:space="preserve"> can take step</w:t>
      </w:r>
      <w:r w:rsidR="009A32D4">
        <w:rPr>
          <w:sz w:val="26"/>
          <w:szCs w:val="26"/>
        </w:rPr>
        <w:t>s to resolve those problems, those</w:t>
      </w:r>
      <w:r w:rsidR="00092191">
        <w:rPr>
          <w:sz w:val="26"/>
          <w:szCs w:val="26"/>
        </w:rPr>
        <w:t xml:space="preserve"> steps </w:t>
      </w:r>
      <w:r w:rsidR="00321572">
        <w:rPr>
          <w:sz w:val="26"/>
          <w:szCs w:val="26"/>
        </w:rPr>
        <w:t>may be</w:t>
      </w:r>
      <w:r w:rsidR="00092191">
        <w:rPr>
          <w:sz w:val="26"/>
          <w:szCs w:val="26"/>
        </w:rPr>
        <w:t xml:space="preserve"> expensive and time consuming.</w:t>
      </w:r>
      <w:r w:rsidR="00101962">
        <w:rPr>
          <w:rStyle w:val="FootnoteReference"/>
          <w:sz w:val="26"/>
          <w:szCs w:val="26"/>
        </w:rPr>
        <w:footnoteReference w:id="19"/>
      </w:r>
    </w:p>
    <w:p w:rsidR="00C05654" w:rsidRDefault="00C05654">
      <w:pPr>
        <w:tabs>
          <w:tab w:val="left" w:pos="720"/>
        </w:tabs>
        <w:spacing w:line="360" w:lineRule="auto"/>
        <w:rPr>
          <w:sz w:val="26"/>
          <w:szCs w:val="26"/>
        </w:rPr>
      </w:pPr>
    </w:p>
    <w:p w:rsidR="00092191" w:rsidRDefault="00092191">
      <w:pPr>
        <w:tabs>
          <w:tab w:val="left" w:pos="720"/>
        </w:tabs>
        <w:spacing w:line="360" w:lineRule="auto"/>
        <w:rPr>
          <w:sz w:val="26"/>
          <w:szCs w:val="26"/>
        </w:rPr>
      </w:pPr>
      <w:r>
        <w:rPr>
          <w:sz w:val="26"/>
          <w:szCs w:val="26"/>
        </w:rPr>
        <w:tab/>
      </w:r>
      <w:r w:rsidR="009D5658">
        <w:rPr>
          <w:sz w:val="26"/>
          <w:szCs w:val="26"/>
        </w:rPr>
        <w:t>The timing issue arises</w:t>
      </w:r>
      <w:r w:rsidR="0006146D">
        <w:rPr>
          <w:sz w:val="26"/>
          <w:szCs w:val="26"/>
        </w:rPr>
        <w:t xml:space="preserve"> </w:t>
      </w:r>
      <w:r w:rsidR="0006146D" w:rsidRPr="009D5658">
        <w:rPr>
          <w:sz w:val="26"/>
          <w:szCs w:val="26"/>
        </w:rPr>
        <w:t xml:space="preserve">when the petition to renew is approved </w:t>
      </w:r>
      <w:r w:rsidR="009D5658" w:rsidRPr="009D5658">
        <w:rPr>
          <w:sz w:val="26"/>
          <w:szCs w:val="26"/>
        </w:rPr>
        <w:t xml:space="preserve">just </w:t>
      </w:r>
      <w:r w:rsidR="0006146D" w:rsidRPr="009D5658">
        <w:rPr>
          <w:sz w:val="26"/>
          <w:szCs w:val="26"/>
        </w:rPr>
        <w:t xml:space="preserve">before the current security expires or </w:t>
      </w:r>
      <w:r w:rsidR="0006146D">
        <w:rPr>
          <w:sz w:val="26"/>
          <w:szCs w:val="26"/>
        </w:rPr>
        <w:t xml:space="preserve">when the petition is not approved until after the current security expires.  </w:t>
      </w:r>
      <w:r w:rsidR="000B63FD">
        <w:rPr>
          <w:sz w:val="26"/>
          <w:szCs w:val="26"/>
        </w:rPr>
        <w:t>When</w:t>
      </w:r>
      <w:r w:rsidR="008D132F">
        <w:rPr>
          <w:sz w:val="26"/>
          <w:szCs w:val="26"/>
        </w:rPr>
        <w:t xml:space="preserve"> </w:t>
      </w:r>
      <w:r w:rsidR="000B63FD">
        <w:rPr>
          <w:sz w:val="26"/>
          <w:szCs w:val="26"/>
        </w:rPr>
        <w:t xml:space="preserve">that happens, the EGS </w:t>
      </w:r>
      <w:r w:rsidR="00025D90">
        <w:rPr>
          <w:sz w:val="26"/>
          <w:szCs w:val="26"/>
        </w:rPr>
        <w:t>may have to</w:t>
      </w:r>
      <w:r w:rsidR="008D132F">
        <w:rPr>
          <w:sz w:val="26"/>
          <w:szCs w:val="26"/>
        </w:rPr>
        <w:t xml:space="preserve"> renew its security instrument at the 10% level then adjust it back down to 5% after approval is secured.  The EGS can manage such a situation using </w:t>
      </w:r>
      <w:r w:rsidR="000B63FD">
        <w:rPr>
          <w:sz w:val="26"/>
          <w:szCs w:val="26"/>
        </w:rPr>
        <w:t>a short-</w:t>
      </w:r>
      <w:r w:rsidR="008D132F">
        <w:rPr>
          <w:sz w:val="26"/>
          <w:szCs w:val="26"/>
        </w:rPr>
        <w:t>term security instrument; however, that fix can be expensive and time consuming.</w:t>
      </w:r>
      <w:r w:rsidR="000975C1">
        <w:rPr>
          <w:rStyle w:val="FootnoteReference"/>
          <w:sz w:val="26"/>
          <w:szCs w:val="26"/>
        </w:rPr>
        <w:footnoteReference w:id="20"/>
      </w:r>
    </w:p>
    <w:p w:rsidR="00C05654" w:rsidRDefault="00C05654">
      <w:pPr>
        <w:tabs>
          <w:tab w:val="left" w:pos="720"/>
        </w:tabs>
        <w:spacing w:line="360" w:lineRule="auto"/>
        <w:rPr>
          <w:sz w:val="26"/>
          <w:szCs w:val="26"/>
        </w:rPr>
      </w:pPr>
    </w:p>
    <w:p w:rsidR="008D132F" w:rsidRDefault="008D132F">
      <w:pPr>
        <w:tabs>
          <w:tab w:val="left" w:pos="720"/>
        </w:tabs>
        <w:spacing w:line="360" w:lineRule="auto"/>
        <w:rPr>
          <w:sz w:val="26"/>
          <w:szCs w:val="26"/>
        </w:rPr>
      </w:pPr>
      <w:r>
        <w:rPr>
          <w:sz w:val="26"/>
          <w:szCs w:val="26"/>
        </w:rPr>
        <w:lastRenderedPageBreak/>
        <w:tab/>
      </w:r>
      <w:r w:rsidR="000B63FD">
        <w:rPr>
          <w:sz w:val="26"/>
          <w:szCs w:val="26"/>
        </w:rPr>
        <w:t>Some EGSs operate in multiple jurisdictions, each having varying security requirements.  The EGSs can gain efficiencies—saving both time and money</w:t>
      </w:r>
      <w:r w:rsidR="006565E1">
        <w:rPr>
          <w:sz w:val="26"/>
          <w:szCs w:val="26"/>
        </w:rPr>
        <w:t xml:space="preserve">—by consolidating their varying </w:t>
      </w:r>
      <w:r w:rsidR="006565E1" w:rsidRPr="00A84C03">
        <w:rPr>
          <w:sz w:val="26"/>
          <w:szCs w:val="26"/>
        </w:rPr>
        <w:t xml:space="preserve">security </w:t>
      </w:r>
      <w:r w:rsidR="00880068" w:rsidRPr="00A84C03">
        <w:rPr>
          <w:sz w:val="26"/>
          <w:szCs w:val="26"/>
        </w:rPr>
        <w:t>instruments</w:t>
      </w:r>
      <w:r w:rsidR="006565E1" w:rsidRPr="00A84C03">
        <w:rPr>
          <w:sz w:val="26"/>
          <w:szCs w:val="26"/>
        </w:rPr>
        <w:t xml:space="preserve">; </w:t>
      </w:r>
      <w:r w:rsidR="006565E1">
        <w:rPr>
          <w:sz w:val="26"/>
          <w:szCs w:val="26"/>
        </w:rPr>
        <w:t xml:space="preserve">however, the coordination necessary to achieve that consolidation is made more </w:t>
      </w:r>
      <w:r w:rsidR="00A84C03">
        <w:rPr>
          <w:sz w:val="26"/>
          <w:szCs w:val="26"/>
        </w:rPr>
        <w:t>difficult by the timing problem</w:t>
      </w:r>
      <w:r w:rsidR="006565E1">
        <w:rPr>
          <w:sz w:val="26"/>
          <w:szCs w:val="26"/>
        </w:rPr>
        <w:t xml:space="preserve">.  </w:t>
      </w:r>
      <w:r w:rsidR="00EA3DE2">
        <w:rPr>
          <w:sz w:val="26"/>
          <w:szCs w:val="26"/>
        </w:rPr>
        <w:t xml:space="preserve">In addition, </w:t>
      </w:r>
      <w:r w:rsidR="00AA6B94">
        <w:rPr>
          <w:sz w:val="26"/>
          <w:szCs w:val="26"/>
        </w:rPr>
        <w:t>because the amount of security is based on the EGS’ most recent 12 months of gro</w:t>
      </w:r>
      <w:r w:rsidR="0018084E">
        <w:rPr>
          <w:sz w:val="26"/>
          <w:szCs w:val="26"/>
        </w:rPr>
        <w:t>ss receipts, the timing issue</w:t>
      </w:r>
      <w:r w:rsidR="00AA6B94">
        <w:rPr>
          <w:sz w:val="26"/>
          <w:szCs w:val="26"/>
        </w:rPr>
        <w:t>—</w:t>
      </w:r>
      <w:r w:rsidR="0018084E">
        <w:rPr>
          <w:sz w:val="26"/>
          <w:szCs w:val="26"/>
        </w:rPr>
        <w:t>that is, the petition being due 90 days before the current security expires</w:t>
      </w:r>
      <w:r w:rsidR="00AA6B94">
        <w:rPr>
          <w:sz w:val="26"/>
          <w:szCs w:val="26"/>
        </w:rPr>
        <w:t>—creates uncertainty about the appropriate amount of security.</w:t>
      </w:r>
      <w:r w:rsidR="008E19D2">
        <w:rPr>
          <w:sz w:val="26"/>
          <w:szCs w:val="26"/>
        </w:rPr>
        <w:t xml:space="preserve">  </w:t>
      </w:r>
      <w:r w:rsidR="0018084E">
        <w:rPr>
          <w:sz w:val="26"/>
          <w:szCs w:val="26"/>
        </w:rPr>
        <w:t>Furthermore</w:t>
      </w:r>
      <w:r w:rsidR="00EA3DE2" w:rsidRPr="0018084E">
        <w:rPr>
          <w:sz w:val="26"/>
          <w:szCs w:val="26"/>
        </w:rPr>
        <w:t xml:space="preserve">, </w:t>
      </w:r>
      <w:r w:rsidR="00EA3DE2">
        <w:rPr>
          <w:sz w:val="26"/>
          <w:szCs w:val="26"/>
        </w:rPr>
        <w:t xml:space="preserve">EGSs that maintain several </w:t>
      </w:r>
      <w:r w:rsidR="00F90B4C">
        <w:rPr>
          <w:sz w:val="26"/>
          <w:szCs w:val="26"/>
        </w:rPr>
        <w:t>financial securities</w:t>
      </w:r>
      <w:r w:rsidR="00C85484">
        <w:rPr>
          <w:sz w:val="26"/>
          <w:szCs w:val="26"/>
        </w:rPr>
        <w:t xml:space="preserve"> with different renewal dates</w:t>
      </w:r>
      <w:r w:rsidR="008E19D2">
        <w:rPr>
          <w:sz w:val="26"/>
          <w:szCs w:val="26"/>
        </w:rPr>
        <w:t xml:space="preserve"> must put</w:t>
      </w:r>
      <w:r w:rsidR="00EA3DE2">
        <w:rPr>
          <w:sz w:val="26"/>
          <w:szCs w:val="26"/>
        </w:rPr>
        <w:t xml:space="preserve"> considerable effort into managing the renewals and deadlines.</w:t>
      </w:r>
      <w:r w:rsidR="00241FDA">
        <w:rPr>
          <w:sz w:val="26"/>
          <w:szCs w:val="26"/>
        </w:rPr>
        <w:t xml:space="preserve">  Finally, it can take a significant amount of time for an EGS to meet the Commission’s requirement that it obtain from the Department of Revenue a </w:t>
      </w:r>
      <w:r w:rsidR="001A6F28">
        <w:rPr>
          <w:sz w:val="26"/>
          <w:szCs w:val="26"/>
        </w:rPr>
        <w:t>Tax Status L</w:t>
      </w:r>
      <w:r w:rsidR="00241FDA">
        <w:rPr>
          <w:sz w:val="26"/>
          <w:szCs w:val="26"/>
        </w:rPr>
        <w:t xml:space="preserve">etter of </w:t>
      </w:r>
      <w:r w:rsidR="001A6F28">
        <w:rPr>
          <w:sz w:val="26"/>
          <w:szCs w:val="26"/>
        </w:rPr>
        <w:t>Go</w:t>
      </w:r>
      <w:r w:rsidR="00241FDA">
        <w:rPr>
          <w:sz w:val="26"/>
          <w:szCs w:val="26"/>
        </w:rPr>
        <w:t xml:space="preserve">od </w:t>
      </w:r>
      <w:r w:rsidR="001A6F28">
        <w:rPr>
          <w:sz w:val="26"/>
          <w:szCs w:val="26"/>
        </w:rPr>
        <w:t>S</w:t>
      </w:r>
      <w:r w:rsidR="00241FDA">
        <w:rPr>
          <w:sz w:val="26"/>
          <w:szCs w:val="26"/>
        </w:rPr>
        <w:t>tanding</w:t>
      </w:r>
      <w:r w:rsidR="001A6F28">
        <w:rPr>
          <w:sz w:val="26"/>
          <w:szCs w:val="26"/>
        </w:rPr>
        <w:t xml:space="preserve"> (Letter of Good Standing)</w:t>
      </w:r>
      <w:r w:rsidR="00241FDA">
        <w:rPr>
          <w:sz w:val="26"/>
          <w:szCs w:val="26"/>
        </w:rPr>
        <w:t>.  Delays in obtaining that letter, through no fault of the EGS, can delay the submission and approval of the EGS’ 5% security renewal petition.</w:t>
      </w:r>
      <w:r w:rsidR="0018084E">
        <w:rPr>
          <w:rStyle w:val="FootnoteReference"/>
          <w:sz w:val="26"/>
          <w:szCs w:val="26"/>
        </w:rPr>
        <w:footnoteReference w:id="21"/>
      </w:r>
    </w:p>
    <w:p w:rsidR="008E19D2" w:rsidRPr="005D4DB4" w:rsidRDefault="008E19D2">
      <w:pPr>
        <w:tabs>
          <w:tab w:val="left" w:pos="720"/>
        </w:tabs>
        <w:spacing w:line="360" w:lineRule="auto"/>
        <w:rPr>
          <w:sz w:val="26"/>
          <w:szCs w:val="26"/>
        </w:rPr>
      </w:pPr>
    </w:p>
    <w:p w:rsidR="008E19D2" w:rsidRDefault="008E19D2">
      <w:pPr>
        <w:tabs>
          <w:tab w:val="left" w:pos="720"/>
        </w:tabs>
        <w:spacing w:line="360" w:lineRule="auto"/>
        <w:rPr>
          <w:sz w:val="26"/>
          <w:szCs w:val="26"/>
        </w:rPr>
      </w:pPr>
      <w:r w:rsidRPr="005D4DB4">
        <w:rPr>
          <w:sz w:val="26"/>
          <w:szCs w:val="26"/>
        </w:rPr>
        <w:tab/>
      </w:r>
      <w:r w:rsidR="00241FDA" w:rsidRPr="005D4DB4">
        <w:rPr>
          <w:sz w:val="26"/>
          <w:szCs w:val="26"/>
        </w:rPr>
        <w:t>To alleviate the</w:t>
      </w:r>
      <w:r w:rsidR="00D23CC1">
        <w:rPr>
          <w:sz w:val="26"/>
          <w:szCs w:val="26"/>
        </w:rPr>
        <w:t>se</w:t>
      </w:r>
      <w:r w:rsidR="00241FDA" w:rsidRPr="005D4DB4">
        <w:rPr>
          <w:sz w:val="26"/>
          <w:szCs w:val="26"/>
        </w:rPr>
        <w:t xml:space="preserve"> problems, RESA proposes a streamlining of the 5% security renewal process.  If adopted, RESA claims that its process would </w:t>
      </w:r>
      <w:r w:rsidR="008C0914" w:rsidRPr="005D4DB4">
        <w:rPr>
          <w:sz w:val="26"/>
          <w:szCs w:val="26"/>
        </w:rPr>
        <w:t xml:space="preserve">ultimately benefit consumers </w:t>
      </w:r>
      <w:r w:rsidR="00D23CC1">
        <w:rPr>
          <w:sz w:val="26"/>
          <w:szCs w:val="26"/>
        </w:rPr>
        <w:t>as</w:t>
      </w:r>
      <w:r w:rsidR="008C0914" w:rsidRPr="005D4DB4">
        <w:rPr>
          <w:sz w:val="26"/>
          <w:szCs w:val="26"/>
        </w:rPr>
        <w:t xml:space="preserve"> it would allow EGSs to “focus their resources on developing and offering more attractive products and services</w:t>
      </w:r>
      <w:r w:rsidR="00241FDA" w:rsidRPr="005D4DB4">
        <w:rPr>
          <w:sz w:val="26"/>
          <w:szCs w:val="26"/>
        </w:rPr>
        <w:t>.</w:t>
      </w:r>
      <w:r w:rsidR="008C0914" w:rsidRPr="005D4DB4">
        <w:rPr>
          <w:sz w:val="26"/>
          <w:szCs w:val="26"/>
        </w:rPr>
        <w:t>”</w:t>
      </w:r>
      <w:r w:rsidR="00241FDA" w:rsidRPr="005D4DB4">
        <w:rPr>
          <w:sz w:val="26"/>
          <w:szCs w:val="26"/>
        </w:rPr>
        <w:t xml:space="preserve">  </w:t>
      </w:r>
      <w:r w:rsidR="00D23CC1">
        <w:rPr>
          <w:sz w:val="26"/>
          <w:szCs w:val="26"/>
        </w:rPr>
        <w:t xml:space="preserve">In addition, </w:t>
      </w:r>
      <w:r w:rsidR="008C0914" w:rsidRPr="005D4DB4">
        <w:rPr>
          <w:sz w:val="26"/>
          <w:szCs w:val="26"/>
        </w:rPr>
        <w:t>RESA</w:t>
      </w:r>
      <w:r w:rsidR="00D23CC1">
        <w:rPr>
          <w:sz w:val="26"/>
          <w:szCs w:val="26"/>
        </w:rPr>
        <w:t xml:space="preserve"> asserts its</w:t>
      </w:r>
      <w:r w:rsidR="008C0914" w:rsidRPr="005D4DB4">
        <w:rPr>
          <w:sz w:val="26"/>
          <w:szCs w:val="26"/>
        </w:rPr>
        <w:t xml:space="preserve"> proposal</w:t>
      </w:r>
      <w:r w:rsidR="00241FDA" w:rsidRPr="005D4DB4">
        <w:rPr>
          <w:sz w:val="26"/>
          <w:szCs w:val="26"/>
        </w:rPr>
        <w:t xml:space="preserve"> would benefit</w:t>
      </w:r>
      <w:r w:rsidR="008C0914" w:rsidRPr="005D4DB4">
        <w:rPr>
          <w:sz w:val="26"/>
          <w:szCs w:val="26"/>
        </w:rPr>
        <w:t xml:space="preserve"> the EGSs and the Commission by reducing the time and resou</w:t>
      </w:r>
      <w:r w:rsidR="005D4DB4" w:rsidRPr="005D4DB4">
        <w:rPr>
          <w:sz w:val="26"/>
          <w:szCs w:val="26"/>
        </w:rPr>
        <w:t xml:space="preserve">rces each must dedicate to 5% </w:t>
      </w:r>
      <w:r w:rsidR="008C0914" w:rsidRPr="005D4DB4">
        <w:rPr>
          <w:sz w:val="26"/>
          <w:szCs w:val="26"/>
        </w:rPr>
        <w:t>renewal</w:t>
      </w:r>
      <w:r w:rsidR="005D4DB4" w:rsidRPr="005D4DB4">
        <w:rPr>
          <w:sz w:val="26"/>
          <w:szCs w:val="26"/>
        </w:rPr>
        <w:t xml:space="preserve"> requests</w:t>
      </w:r>
      <w:r w:rsidR="00241FDA" w:rsidRPr="005D4DB4">
        <w:rPr>
          <w:sz w:val="26"/>
          <w:szCs w:val="26"/>
        </w:rPr>
        <w:t>.</w:t>
      </w:r>
      <w:r w:rsidR="0034586F">
        <w:rPr>
          <w:rStyle w:val="FootnoteReference"/>
          <w:sz w:val="26"/>
          <w:szCs w:val="26"/>
        </w:rPr>
        <w:footnoteReference w:id="22"/>
      </w:r>
    </w:p>
    <w:p w:rsidR="00C05654" w:rsidRPr="005D4DB4" w:rsidRDefault="00C05654">
      <w:pPr>
        <w:tabs>
          <w:tab w:val="left" w:pos="720"/>
        </w:tabs>
        <w:spacing w:line="360" w:lineRule="auto"/>
        <w:rPr>
          <w:sz w:val="26"/>
          <w:szCs w:val="26"/>
        </w:rPr>
      </w:pPr>
    </w:p>
    <w:p w:rsidR="005D4DB4" w:rsidRDefault="005D4DB4">
      <w:pPr>
        <w:tabs>
          <w:tab w:val="left" w:pos="720"/>
        </w:tabs>
        <w:spacing w:line="360" w:lineRule="auto"/>
        <w:rPr>
          <w:sz w:val="26"/>
          <w:szCs w:val="26"/>
        </w:rPr>
      </w:pPr>
      <w:r w:rsidRPr="00F3553E">
        <w:rPr>
          <w:sz w:val="26"/>
          <w:szCs w:val="26"/>
        </w:rPr>
        <w:tab/>
      </w:r>
      <w:r w:rsidR="003810FB" w:rsidRPr="00F3553E">
        <w:rPr>
          <w:sz w:val="26"/>
          <w:szCs w:val="26"/>
        </w:rPr>
        <w:t xml:space="preserve">Ultimately, RESA proposes a simplified filing process—a less burdensome “compliance filing” as opposed to a formal petition—for an EGS </w:t>
      </w:r>
      <w:r w:rsidR="00D23CC1">
        <w:rPr>
          <w:sz w:val="26"/>
          <w:szCs w:val="26"/>
        </w:rPr>
        <w:t>that</w:t>
      </w:r>
      <w:r w:rsidR="003810FB" w:rsidRPr="00F3553E">
        <w:rPr>
          <w:sz w:val="26"/>
          <w:szCs w:val="26"/>
        </w:rPr>
        <w:t xml:space="preserve"> was already approved for a 5% security level in a prior year</w:t>
      </w:r>
      <w:r w:rsidR="00F11EDA">
        <w:rPr>
          <w:sz w:val="26"/>
          <w:szCs w:val="26"/>
        </w:rPr>
        <w:t xml:space="preserve"> and is now simply attempting</w:t>
      </w:r>
      <w:r w:rsidR="003810FB" w:rsidRPr="00F3553E">
        <w:rPr>
          <w:sz w:val="26"/>
          <w:szCs w:val="26"/>
        </w:rPr>
        <w:t xml:space="preserve"> to renew</w:t>
      </w:r>
      <w:r w:rsidR="00F11EDA">
        <w:rPr>
          <w:sz w:val="26"/>
          <w:szCs w:val="26"/>
        </w:rPr>
        <w:t xml:space="preserve"> its authorization for that level</w:t>
      </w:r>
      <w:r w:rsidR="003810FB" w:rsidRPr="00F3553E">
        <w:rPr>
          <w:sz w:val="26"/>
          <w:szCs w:val="26"/>
        </w:rPr>
        <w:t>.</w:t>
      </w:r>
      <w:r w:rsidR="00842CB9" w:rsidRPr="00F3553E">
        <w:rPr>
          <w:sz w:val="26"/>
          <w:szCs w:val="26"/>
        </w:rPr>
        <w:t xml:space="preserve">  </w:t>
      </w:r>
      <w:r w:rsidR="00F11EDA">
        <w:rPr>
          <w:sz w:val="26"/>
          <w:szCs w:val="26"/>
        </w:rPr>
        <w:t>As proposed by RESA, t</w:t>
      </w:r>
      <w:r w:rsidR="00842CB9" w:rsidRPr="00F3553E">
        <w:rPr>
          <w:sz w:val="26"/>
          <w:szCs w:val="26"/>
        </w:rPr>
        <w:t>he EGS would have to provide the following information with its compliance filing:</w:t>
      </w:r>
    </w:p>
    <w:p w:rsidR="00F11EDA" w:rsidRPr="00F3553E" w:rsidRDefault="00F11EDA">
      <w:pPr>
        <w:tabs>
          <w:tab w:val="left" w:pos="720"/>
        </w:tabs>
        <w:spacing w:line="360" w:lineRule="auto"/>
        <w:rPr>
          <w:sz w:val="26"/>
          <w:szCs w:val="26"/>
        </w:rPr>
      </w:pPr>
    </w:p>
    <w:p w:rsidR="00842CB9" w:rsidRPr="00F3553E" w:rsidRDefault="00D23CC1" w:rsidP="00D92845">
      <w:pPr>
        <w:pStyle w:val="ListParagraph"/>
        <w:numPr>
          <w:ilvl w:val="0"/>
          <w:numId w:val="11"/>
        </w:numPr>
        <w:spacing w:line="360" w:lineRule="auto"/>
        <w:ind w:left="1080"/>
        <w:rPr>
          <w:rFonts w:ascii="Times New Roman" w:hAnsi="Times New Roman"/>
          <w:sz w:val="26"/>
          <w:szCs w:val="26"/>
        </w:rPr>
      </w:pPr>
      <w:r>
        <w:rPr>
          <w:rFonts w:ascii="Times New Roman" w:hAnsi="Times New Roman"/>
          <w:sz w:val="26"/>
          <w:szCs w:val="26"/>
        </w:rPr>
        <w:lastRenderedPageBreak/>
        <w:t>I</w:t>
      </w:r>
      <w:r w:rsidR="00842CB9" w:rsidRPr="00F3553E">
        <w:rPr>
          <w:rFonts w:ascii="Times New Roman" w:hAnsi="Times New Roman"/>
          <w:sz w:val="26"/>
          <w:szCs w:val="26"/>
        </w:rPr>
        <w:t xml:space="preserve">ts most recent 12 months of gross receipts and </w:t>
      </w:r>
      <w:r w:rsidR="009C35F8">
        <w:rPr>
          <w:rFonts w:ascii="Times New Roman" w:hAnsi="Times New Roman"/>
          <w:sz w:val="26"/>
          <w:szCs w:val="26"/>
        </w:rPr>
        <w:t>a</w:t>
      </w:r>
      <w:r w:rsidR="007579B6">
        <w:rPr>
          <w:rFonts w:ascii="Times New Roman" w:hAnsi="Times New Roman"/>
          <w:sz w:val="26"/>
          <w:szCs w:val="26"/>
        </w:rPr>
        <w:t xml:space="preserve"> 5% gross receipt</w:t>
      </w:r>
      <w:r w:rsidR="00842CB9" w:rsidRPr="00F3553E">
        <w:rPr>
          <w:rFonts w:ascii="Times New Roman" w:hAnsi="Times New Roman"/>
          <w:sz w:val="26"/>
          <w:szCs w:val="26"/>
        </w:rPr>
        <w:t xml:space="preserve"> calculation</w:t>
      </w:r>
      <w:r>
        <w:rPr>
          <w:rFonts w:ascii="Times New Roman" w:hAnsi="Times New Roman"/>
          <w:sz w:val="26"/>
          <w:szCs w:val="26"/>
        </w:rPr>
        <w:t>.</w:t>
      </w:r>
    </w:p>
    <w:p w:rsidR="00842CB9" w:rsidRPr="00F3553E" w:rsidRDefault="00D23CC1" w:rsidP="00D92845">
      <w:pPr>
        <w:pStyle w:val="ListParagraph"/>
        <w:numPr>
          <w:ilvl w:val="0"/>
          <w:numId w:val="11"/>
        </w:numPr>
        <w:spacing w:after="120"/>
        <w:ind w:left="1080"/>
        <w:rPr>
          <w:rFonts w:ascii="Times New Roman" w:hAnsi="Times New Roman"/>
          <w:sz w:val="26"/>
          <w:szCs w:val="26"/>
        </w:rPr>
      </w:pPr>
      <w:r>
        <w:rPr>
          <w:rFonts w:ascii="Times New Roman" w:hAnsi="Times New Roman"/>
          <w:sz w:val="26"/>
          <w:szCs w:val="26"/>
        </w:rPr>
        <w:t>A</w:t>
      </w:r>
      <w:r w:rsidR="00842CB9" w:rsidRPr="00F3553E">
        <w:rPr>
          <w:rFonts w:ascii="Times New Roman" w:hAnsi="Times New Roman"/>
          <w:sz w:val="26"/>
          <w:szCs w:val="26"/>
        </w:rPr>
        <w:t xml:space="preserve">n original financial security instrument covering 5% of its most recent 12 months of gross receipts or evidence that the original security instrument </w:t>
      </w:r>
      <w:r w:rsidR="004917D2" w:rsidRPr="00F3553E">
        <w:rPr>
          <w:rFonts w:ascii="Times New Roman" w:hAnsi="Times New Roman"/>
          <w:sz w:val="26"/>
          <w:szCs w:val="26"/>
        </w:rPr>
        <w:t>has been sent to the Commission</w:t>
      </w:r>
      <w:r>
        <w:rPr>
          <w:rFonts w:ascii="Times New Roman" w:hAnsi="Times New Roman"/>
          <w:sz w:val="26"/>
          <w:szCs w:val="26"/>
        </w:rPr>
        <w:t>.</w:t>
      </w:r>
    </w:p>
    <w:p w:rsidR="004917D2" w:rsidRPr="00F3553E" w:rsidRDefault="00D23CC1" w:rsidP="00D92845">
      <w:pPr>
        <w:pStyle w:val="ListParagraph"/>
        <w:numPr>
          <w:ilvl w:val="0"/>
          <w:numId w:val="11"/>
        </w:numPr>
        <w:spacing w:after="120"/>
        <w:ind w:left="1080"/>
        <w:rPr>
          <w:rFonts w:ascii="Times New Roman" w:hAnsi="Times New Roman"/>
          <w:sz w:val="26"/>
          <w:szCs w:val="26"/>
        </w:rPr>
      </w:pPr>
      <w:r>
        <w:rPr>
          <w:rFonts w:ascii="Times New Roman" w:hAnsi="Times New Roman"/>
          <w:sz w:val="26"/>
          <w:szCs w:val="26"/>
        </w:rPr>
        <w:t>I</w:t>
      </w:r>
      <w:r w:rsidR="004917D2" w:rsidRPr="00F3553E">
        <w:rPr>
          <w:rFonts w:ascii="Times New Roman" w:hAnsi="Times New Roman"/>
          <w:sz w:val="26"/>
          <w:szCs w:val="26"/>
        </w:rPr>
        <w:t xml:space="preserve">f the EGS has on file with the Commission a security instrument containing an automatic renewal provision and the amount of that instrument is enough </w:t>
      </w:r>
      <w:r w:rsidR="00854801" w:rsidRPr="00F3553E">
        <w:rPr>
          <w:rFonts w:ascii="Times New Roman" w:hAnsi="Times New Roman"/>
          <w:sz w:val="26"/>
          <w:szCs w:val="26"/>
        </w:rPr>
        <w:t>to cover the new</w:t>
      </w:r>
      <w:r w:rsidR="004917D2" w:rsidRPr="00F3553E">
        <w:rPr>
          <w:rFonts w:ascii="Times New Roman" w:hAnsi="Times New Roman"/>
          <w:sz w:val="26"/>
          <w:szCs w:val="26"/>
        </w:rPr>
        <w:t xml:space="preserve"> 5% </w:t>
      </w:r>
      <w:r w:rsidR="007579B6">
        <w:rPr>
          <w:rFonts w:ascii="Times New Roman" w:hAnsi="Times New Roman"/>
          <w:sz w:val="26"/>
          <w:szCs w:val="26"/>
        </w:rPr>
        <w:t xml:space="preserve">gross receipt </w:t>
      </w:r>
      <w:r w:rsidR="004917D2" w:rsidRPr="00F3553E">
        <w:rPr>
          <w:rFonts w:ascii="Times New Roman" w:hAnsi="Times New Roman"/>
          <w:sz w:val="26"/>
          <w:szCs w:val="26"/>
        </w:rPr>
        <w:t>calculation</w:t>
      </w:r>
      <w:r w:rsidR="00854801" w:rsidRPr="00F3553E">
        <w:rPr>
          <w:rFonts w:ascii="Times New Roman" w:hAnsi="Times New Roman"/>
          <w:sz w:val="26"/>
          <w:szCs w:val="26"/>
        </w:rPr>
        <w:t>, a letter so advising the Commission</w:t>
      </w:r>
      <w:r>
        <w:rPr>
          <w:rFonts w:ascii="Times New Roman" w:hAnsi="Times New Roman"/>
          <w:sz w:val="26"/>
          <w:szCs w:val="26"/>
        </w:rPr>
        <w:t>.</w:t>
      </w:r>
    </w:p>
    <w:p w:rsidR="00854801" w:rsidRPr="00F3553E" w:rsidRDefault="00D23CC1" w:rsidP="00D92845">
      <w:pPr>
        <w:pStyle w:val="ListParagraph"/>
        <w:numPr>
          <w:ilvl w:val="0"/>
          <w:numId w:val="11"/>
        </w:numPr>
        <w:ind w:left="1080"/>
        <w:rPr>
          <w:rFonts w:ascii="Times New Roman" w:hAnsi="Times New Roman"/>
          <w:sz w:val="26"/>
          <w:szCs w:val="26"/>
        </w:rPr>
      </w:pPr>
      <w:r>
        <w:rPr>
          <w:rFonts w:ascii="Times New Roman" w:hAnsi="Times New Roman"/>
          <w:sz w:val="26"/>
          <w:szCs w:val="26"/>
        </w:rPr>
        <w:t>A</w:t>
      </w:r>
      <w:r w:rsidR="00854801" w:rsidRPr="00F3553E">
        <w:rPr>
          <w:rFonts w:ascii="Times New Roman" w:hAnsi="Times New Roman"/>
          <w:sz w:val="26"/>
          <w:szCs w:val="26"/>
        </w:rPr>
        <w:t>n attestation signed by an officer of the EGS that the EGS will pay all taxes it is subject to in Pennsylvania</w:t>
      </w:r>
      <w:r w:rsidR="00453812" w:rsidRPr="00F3553E">
        <w:rPr>
          <w:rFonts w:ascii="Times New Roman" w:hAnsi="Times New Roman"/>
          <w:sz w:val="26"/>
          <w:szCs w:val="26"/>
        </w:rPr>
        <w:t>.</w:t>
      </w:r>
      <w:r w:rsidR="008D7CC8">
        <w:rPr>
          <w:rStyle w:val="FootnoteReference"/>
          <w:rFonts w:ascii="Times New Roman" w:hAnsi="Times New Roman"/>
          <w:sz w:val="26"/>
          <w:szCs w:val="26"/>
        </w:rPr>
        <w:footnoteReference w:id="23"/>
      </w:r>
    </w:p>
    <w:p w:rsidR="00453812" w:rsidRPr="00F3553E" w:rsidRDefault="00453812" w:rsidP="00D92845">
      <w:pPr>
        <w:tabs>
          <w:tab w:val="left" w:pos="720"/>
        </w:tabs>
        <w:spacing w:after="120" w:line="360" w:lineRule="auto"/>
        <w:rPr>
          <w:sz w:val="26"/>
          <w:szCs w:val="26"/>
        </w:rPr>
      </w:pPr>
    </w:p>
    <w:p w:rsidR="00453812" w:rsidRPr="00F3553E" w:rsidRDefault="00453812">
      <w:pPr>
        <w:tabs>
          <w:tab w:val="left" w:pos="720"/>
        </w:tabs>
        <w:spacing w:line="360" w:lineRule="auto"/>
        <w:rPr>
          <w:sz w:val="26"/>
          <w:szCs w:val="26"/>
        </w:rPr>
      </w:pPr>
      <w:r w:rsidRPr="00F3553E">
        <w:rPr>
          <w:sz w:val="26"/>
          <w:szCs w:val="26"/>
        </w:rPr>
        <w:tab/>
        <w:t>RESA proposes that the compliance filing be due 30 days before the expiration of an EGS’s security instrument, which it believes will give TUS enough time to review the filing and communicate any deficiencies to the EGS for correction.</w:t>
      </w:r>
      <w:r w:rsidR="00D07C6D" w:rsidRPr="00F3553E">
        <w:rPr>
          <w:sz w:val="26"/>
          <w:szCs w:val="26"/>
        </w:rPr>
        <w:t xml:space="preserve">  In addition, RESA proposes that an EGS’s 5% security level</w:t>
      </w:r>
      <w:r w:rsidR="008D7CC8">
        <w:rPr>
          <w:sz w:val="26"/>
          <w:szCs w:val="26"/>
        </w:rPr>
        <w:t xml:space="preserve"> automatically</w:t>
      </w:r>
      <w:r w:rsidR="00D07C6D" w:rsidRPr="00F3553E">
        <w:rPr>
          <w:sz w:val="26"/>
          <w:szCs w:val="26"/>
        </w:rPr>
        <w:t xml:space="preserve"> be </w:t>
      </w:r>
      <w:r w:rsidR="00F3553E" w:rsidRPr="00F3553E">
        <w:rPr>
          <w:sz w:val="26"/>
          <w:szCs w:val="26"/>
        </w:rPr>
        <w:t xml:space="preserve">continued </w:t>
      </w:r>
      <w:r w:rsidR="00D07C6D" w:rsidRPr="00F3553E">
        <w:rPr>
          <w:sz w:val="26"/>
          <w:szCs w:val="26"/>
        </w:rPr>
        <w:t>upon</w:t>
      </w:r>
      <w:r w:rsidR="00F3553E" w:rsidRPr="00F3553E">
        <w:rPr>
          <w:sz w:val="26"/>
          <w:szCs w:val="26"/>
        </w:rPr>
        <w:t xml:space="preserve"> submission of its compliance </w:t>
      </w:r>
      <w:r w:rsidR="00D07C6D" w:rsidRPr="00F3553E">
        <w:rPr>
          <w:sz w:val="26"/>
          <w:szCs w:val="26"/>
        </w:rPr>
        <w:t xml:space="preserve">filing </w:t>
      </w:r>
      <w:r w:rsidR="00F3553E" w:rsidRPr="00F3553E">
        <w:rPr>
          <w:sz w:val="26"/>
          <w:szCs w:val="26"/>
        </w:rPr>
        <w:t>“</w:t>
      </w:r>
      <w:r w:rsidR="00D07C6D" w:rsidRPr="00F3553E">
        <w:rPr>
          <w:sz w:val="26"/>
          <w:szCs w:val="26"/>
        </w:rPr>
        <w:t xml:space="preserve">unless the Commission </w:t>
      </w:r>
      <w:r w:rsidR="00F3553E" w:rsidRPr="00F3553E">
        <w:rPr>
          <w:sz w:val="26"/>
          <w:szCs w:val="26"/>
        </w:rPr>
        <w:t>issues a disapproval requiring the [EGS] to renew its security at the 10% level.”</w:t>
      </w:r>
      <w:r w:rsidR="008D7CC8">
        <w:rPr>
          <w:rStyle w:val="FootnoteReference"/>
          <w:sz w:val="26"/>
          <w:szCs w:val="26"/>
        </w:rPr>
        <w:footnoteReference w:id="24"/>
      </w:r>
    </w:p>
    <w:p w:rsidR="005D4DB4" w:rsidRPr="006C54DD" w:rsidRDefault="005D4DB4">
      <w:pPr>
        <w:tabs>
          <w:tab w:val="left" w:pos="720"/>
        </w:tabs>
        <w:spacing w:line="360" w:lineRule="auto"/>
        <w:rPr>
          <w:sz w:val="26"/>
          <w:szCs w:val="26"/>
        </w:rPr>
      </w:pPr>
    </w:p>
    <w:p w:rsidR="00F3553E" w:rsidRPr="006C54DD" w:rsidRDefault="00F3553E">
      <w:pPr>
        <w:tabs>
          <w:tab w:val="left" w:pos="720"/>
        </w:tabs>
        <w:spacing w:line="360" w:lineRule="auto"/>
        <w:rPr>
          <w:sz w:val="26"/>
          <w:szCs w:val="26"/>
        </w:rPr>
      </w:pPr>
      <w:r w:rsidRPr="006C54DD">
        <w:rPr>
          <w:sz w:val="26"/>
          <w:szCs w:val="26"/>
        </w:rPr>
        <w:tab/>
      </w:r>
      <w:r w:rsidR="00E45952" w:rsidRPr="00926133">
        <w:rPr>
          <w:sz w:val="26"/>
          <w:szCs w:val="26"/>
        </w:rPr>
        <w:t>RESA notes several advantages to its proposed 5% security level renewal process.  First, it would provide some level of assurance to an EGS—</w:t>
      </w:r>
      <w:r w:rsidR="00D23CC1">
        <w:rPr>
          <w:sz w:val="26"/>
          <w:szCs w:val="26"/>
        </w:rPr>
        <w:t>provided</w:t>
      </w:r>
      <w:r w:rsidR="00E45952" w:rsidRPr="00926133">
        <w:rPr>
          <w:sz w:val="26"/>
          <w:szCs w:val="26"/>
        </w:rPr>
        <w:t xml:space="preserve"> the EGS submits its compliance filing and the Commission does not </w:t>
      </w:r>
      <w:r w:rsidR="00D23CC1">
        <w:rPr>
          <w:sz w:val="26"/>
          <w:szCs w:val="26"/>
        </w:rPr>
        <w:t>act</w:t>
      </w:r>
      <w:r w:rsidR="00E45952" w:rsidRPr="00926133">
        <w:rPr>
          <w:sz w:val="26"/>
          <w:szCs w:val="26"/>
        </w:rPr>
        <w:t xml:space="preserve"> to the contrary—that its security level will continue at the 5% level, which will facilitate</w:t>
      </w:r>
      <w:r w:rsidR="00D06809" w:rsidRPr="00926133">
        <w:rPr>
          <w:sz w:val="26"/>
          <w:szCs w:val="26"/>
        </w:rPr>
        <w:t xml:space="preserve"> the EGS’s</w:t>
      </w:r>
      <w:r w:rsidR="00E45952" w:rsidRPr="00926133">
        <w:rPr>
          <w:sz w:val="26"/>
          <w:szCs w:val="26"/>
        </w:rPr>
        <w:t xml:space="preserve"> dealings with its surety.  Second, it relies on existi</w:t>
      </w:r>
      <w:r w:rsidR="00482B57" w:rsidRPr="00926133">
        <w:rPr>
          <w:sz w:val="26"/>
          <w:szCs w:val="26"/>
        </w:rPr>
        <w:t>ng Commission notification procedures (i.e., 60</w:t>
      </w:r>
      <w:r w:rsidR="00D23CC1">
        <w:rPr>
          <w:sz w:val="26"/>
          <w:szCs w:val="26"/>
        </w:rPr>
        <w:noBreakHyphen/>
      </w:r>
      <w:r w:rsidR="00482B57" w:rsidRPr="00926133">
        <w:rPr>
          <w:sz w:val="26"/>
          <w:szCs w:val="26"/>
        </w:rPr>
        <w:t>day letter)</w:t>
      </w:r>
      <w:r w:rsidR="00D06809" w:rsidRPr="00926133">
        <w:rPr>
          <w:sz w:val="26"/>
          <w:szCs w:val="26"/>
        </w:rPr>
        <w:t xml:space="preserve"> regarding filing deadlines, so no changes will be required in that regard.</w:t>
      </w:r>
      <w:r w:rsidR="00E45952" w:rsidRPr="00926133">
        <w:rPr>
          <w:sz w:val="26"/>
          <w:szCs w:val="26"/>
        </w:rPr>
        <w:t xml:space="preserve">  </w:t>
      </w:r>
      <w:r w:rsidR="0052231D" w:rsidRPr="00926133">
        <w:rPr>
          <w:sz w:val="26"/>
          <w:szCs w:val="26"/>
        </w:rPr>
        <w:t xml:space="preserve">Third, it would streamline the renewal process—making that process more efficient for both the EGS and Commission staff—by </w:t>
      </w:r>
      <w:r w:rsidR="0057430A" w:rsidRPr="00926133">
        <w:rPr>
          <w:sz w:val="26"/>
          <w:szCs w:val="26"/>
        </w:rPr>
        <w:t>providing all the currently required information</w:t>
      </w:r>
      <w:r w:rsidR="00D9032C" w:rsidRPr="00926133">
        <w:rPr>
          <w:sz w:val="26"/>
          <w:szCs w:val="26"/>
        </w:rPr>
        <w:t xml:space="preserve"> (i.e., the supporting documentation and the updated security instrument)</w:t>
      </w:r>
      <w:r w:rsidR="0057430A" w:rsidRPr="00926133">
        <w:rPr>
          <w:sz w:val="26"/>
          <w:szCs w:val="26"/>
        </w:rPr>
        <w:t xml:space="preserve"> at one time with the compliance filing</w:t>
      </w:r>
      <w:r w:rsidR="00D9032C" w:rsidRPr="00926133">
        <w:rPr>
          <w:sz w:val="26"/>
          <w:szCs w:val="26"/>
        </w:rPr>
        <w:t>, as opposed to</w:t>
      </w:r>
      <w:r w:rsidR="00D06809" w:rsidRPr="00926133">
        <w:rPr>
          <w:sz w:val="26"/>
          <w:szCs w:val="26"/>
        </w:rPr>
        <w:t xml:space="preserve"> providing the information</w:t>
      </w:r>
      <w:r w:rsidR="00D9032C" w:rsidRPr="00926133">
        <w:rPr>
          <w:sz w:val="26"/>
          <w:szCs w:val="26"/>
        </w:rPr>
        <w:t xml:space="preserve"> sep</w:t>
      </w:r>
      <w:r w:rsidR="00475539" w:rsidRPr="00926133">
        <w:rPr>
          <w:sz w:val="26"/>
          <w:szCs w:val="26"/>
        </w:rPr>
        <w:t xml:space="preserve">arately </w:t>
      </w:r>
      <w:r w:rsidR="00D06809" w:rsidRPr="00926133">
        <w:rPr>
          <w:sz w:val="26"/>
          <w:szCs w:val="26"/>
        </w:rPr>
        <w:t xml:space="preserve">as is done </w:t>
      </w:r>
      <w:r w:rsidR="00475539" w:rsidRPr="00926133">
        <w:rPr>
          <w:sz w:val="26"/>
          <w:szCs w:val="26"/>
        </w:rPr>
        <w:t>now.</w:t>
      </w:r>
      <w:r w:rsidR="00482B57" w:rsidRPr="00926133">
        <w:rPr>
          <w:rStyle w:val="FootnoteReference"/>
          <w:sz w:val="26"/>
          <w:szCs w:val="26"/>
        </w:rPr>
        <w:footnoteReference w:id="25"/>
      </w:r>
    </w:p>
    <w:p w:rsidR="00631360" w:rsidRPr="009308F9" w:rsidRDefault="00631360">
      <w:pPr>
        <w:tabs>
          <w:tab w:val="left" w:pos="720"/>
        </w:tabs>
        <w:spacing w:line="360" w:lineRule="auto"/>
        <w:rPr>
          <w:sz w:val="26"/>
          <w:szCs w:val="26"/>
        </w:rPr>
      </w:pPr>
      <w:r w:rsidRPr="009308F9">
        <w:rPr>
          <w:sz w:val="26"/>
          <w:szCs w:val="26"/>
        </w:rPr>
        <w:lastRenderedPageBreak/>
        <w:tab/>
      </w:r>
      <w:r w:rsidR="00026EB7" w:rsidRPr="009308F9">
        <w:rPr>
          <w:sz w:val="26"/>
          <w:szCs w:val="26"/>
        </w:rPr>
        <w:t xml:space="preserve">According to RESA, the Commission has the legal authority to implement </w:t>
      </w:r>
      <w:r w:rsidR="00D601DF" w:rsidRPr="009308F9">
        <w:rPr>
          <w:sz w:val="26"/>
          <w:szCs w:val="26"/>
        </w:rPr>
        <w:t>the</w:t>
      </w:r>
      <w:r w:rsidR="00026EB7" w:rsidRPr="009308F9">
        <w:rPr>
          <w:sz w:val="26"/>
          <w:szCs w:val="26"/>
        </w:rPr>
        <w:t xml:space="preserve"> proposed changes to the 5% security level renewal process.  </w:t>
      </w:r>
      <w:r w:rsidR="00D601DF" w:rsidRPr="009308F9">
        <w:rPr>
          <w:sz w:val="26"/>
          <w:szCs w:val="26"/>
        </w:rPr>
        <w:t xml:space="preserve">Section 501 of the Code authorizes the Commission to carry out, by its regulations and orders, all provisions of the Code. </w:t>
      </w:r>
      <w:r w:rsidR="00E26DDE" w:rsidRPr="009308F9">
        <w:rPr>
          <w:sz w:val="26"/>
          <w:szCs w:val="26"/>
        </w:rPr>
        <w:t xml:space="preserve"> </w:t>
      </w:r>
      <w:r w:rsidR="00D601DF" w:rsidRPr="009308F9">
        <w:rPr>
          <w:sz w:val="26"/>
          <w:szCs w:val="26"/>
        </w:rPr>
        <w:t>66 Pa. C.S. § 501</w:t>
      </w:r>
      <w:r w:rsidR="00E26DDE" w:rsidRPr="009308F9">
        <w:rPr>
          <w:sz w:val="26"/>
          <w:szCs w:val="26"/>
        </w:rPr>
        <w:t>.  Commission regulations allow an EGS to request approval for “an alternative level of bonding”—other than the standard 10% security level—appropriate to the nature and scope of its operations.  52 Pa. Code</w:t>
      </w:r>
      <w:r w:rsidR="00EE4716">
        <w:rPr>
          <w:sz w:val="26"/>
          <w:szCs w:val="26"/>
        </w:rPr>
        <w:t xml:space="preserve"> </w:t>
      </w:r>
      <w:r w:rsidR="00E26DDE" w:rsidRPr="009308F9">
        <w:rPr>
          <w:sz w:val="26"/>
          <w:szCs w:val="26"/>
        </w:rPr>
        <w:t xml:space="preserve">§ 54.40(d).  </w:t>
      </w:r>
      <w:r w:rsidR="00E72219" w:rsidRPr="009308F9">
        <w:rPr>
          <w:sz w:val="26"/>
          <w:szCs w:val="26"/>
        </w:rPr>
        <w:t>Given that discretion and the fact that the Commission, via Secretarial Letter and Order, has already established procedures for EGSs to gain and renew approval for a 5% security level, RESA believes the Commission has the authority to implement the proposed modifications to that renewal process.</w:t>
      </w:r>
      <w:r w:rsidR="00573C0E">
        <w:rPr>
          <w:rStyle w:val="FootnoteReference"/>
          <w:sz w:val="26"/>
          <w:szCs w:val="26"/>
        </w:rPr>
        <w:footnoteReference w:id="26"/>
      </w:r>
    </w:p>
    <w:p w:rsidR="00D23CC1" w:rsidRDefault="00D23CC1">
      <w:pPr>
        <w:tabs>
          <w:tab w:val="left" w:pos="720"/>
        </w:tabs>
        <w:spacing w:line="360" w:lineRule="auto"/>
        <w:rPr>
          <w:sz w:val="26"/>
          <w:szCs w:val="26"/>
        </w:rPr>
      </w:pPr>
    </w:p>
    <w:p w:rsidR="00F3553E" w:rsidRPr="009308F9" w:rsidRDefault="00E72219">
      <w:pPr>
        <w:tabs>
          <w:tab w:val="left" w:pos="720"/>
        </w:tabs>
        <w:spacing w:line="360" w:lineRule="auto"/>
        <w:rPr>
          <w:sz w:val="26"/>
          <w:szCs w:val="26"/>
        </w:rPr>
      </w:pPr>
      <w:r w:rsidRPr="009308F9">
        <w:rPr>
          <w:sz w:val="26"/>
          <w:szCs w:val="26"/>
        </w:rPr>
        <w:tab/>
        <w:t>Further</w:t>
      </w:r>
      <w:r w:rsidR="00DE2258">
        <w:rPr>
          <w:sz w:val="26"/>
          <w:szCs w:val="26"/>
        </w:rPr>
        <w:t>, RESA asserts that</w:t>
      </w:r>
      <w:r w:rsidRPr="009308F9">
        <w:rPr>
          <w:sz w:val="26"/>
          <w:szCs w:val="26"/>
        </w:rPr>
        <w:t xml:space="preserve"> implementation of </w:t>
      </w:r>
      <w:r w:rsidR="00DE2258">
        <w:rPr>
          <w:sz w:val="26"/>
          <w:szCs w:val="26"/>
        </w:rPr>
        <w:t>its</w:t>
      </w:r>
      <w:r w:rsidRPr="009308F9">
        <w:rPr>
          <w:sz w:val="26"/>
          <w:szCs w:val="26"/>
        </w:rPr>
        <w:t xml:space="preserve"> proposal would not frustrate the Commission’s objective</w:t>
      </w:r>
      <w:r w:rsidR="009D4E09" w:rsidRPr="009308F9">
        <w:rPr>
          <w:sz w:val="26"/>
          <w:szCs w:val="26"/>
        </w:rPr>
        <w:t>s</w:t>
      </w:r>
      <w:r w:rsidRPr="009308F9">
        <w:rPr>
          <w:sz w:val="26"/>
          <w:szCs w:val="26"/>
        </w:rPr>
        <w:t xml:space="preserve"> to </w:t>
      </w:r>
      <w:r w:rsidR="009D4E09" w:rsidRPr="009308F9">
        <w:rPr>
          <w:sz w:val="26"/>
          <w:szCs w:val="26"/>
        </w:rPr>
        <w:t>ensure payment of the Gross Receipts Tax and the supply of electricity in accordance with contracts, agreements, or arrangeme</w:t>
      </w:r>
      <w:r w:rsidR="00573C0E">
        <w:rPr>
          <w:sz w:val="26"/>
          <w:szCs w:val="26"/>
        </w:rPr>
        <w:t xml:space="preserve">nts.  </w:t>
      </w:r>
      <w:r w:rsidR="009338BF">
        <w:rPr>
          <w:sz w:val="26"/>
          <w:szCs w:val="26"/>
        </w:rPr>
        <w:t>RESA asserts that i</w:t>
      </w:r>
      <w:r w:rsidR="00573C0E">
        <w:rPr>
          <w:sz w:val="26"/>
          <w:szCs w:val="26"/>
        </w:rPr>
        <w:t xml:space="preserve">t would </w:t>
      </w:r>
      <w:r w:rsidR="009338BF">
        <w:rPr>
          <w:sz w:val="26"/>
          <w:szCs w:val="26"/>
        </w:rPr>
        <w:t xml:space="preserve">also </w:t>
      </w:r>
      <w:r w:rsidR="00573C0E">
        <w:rPr>
          <w:sz w:val="26"/>
          <w:szCs w:val="26"/>
        </w:rPr>
        <w:t>maintain</w:t>
      </w:r>
      <w:r w:rsidR="009D4E09" w:rsidRPr="009308F9">
        <w:rPr>
          <w:sz w:val="26"/>
          <w:szCs w:val="26"/>
        </w:rPr>
        <w:t xml:space="preserve"> the Commission’s ability to increase the security level of an EGS if the Commission finds it necessary to do so to ensure the </w:t>
      </w:r>
      <w:r w:rsidR="007348D0">
        <w:rPr>
          <w:sz w:val="26"/>
          <w:szCs w:val="26"/>
        </w:rPr>
        <w:t xml:space="preserve">its </w:t>
      </w:r>
      <w:r w:rsidR="009D4E09" w:rsidRPr="009308F9">
        <w:rPr>
          <w:sz w:val="26"/>
          <w:szCs w:val="26"/>
        </w:rPr>
        <w:t>financial responsibility.</w:t>
      </w:r>
      <w:r w:rsidR="00573C0E">
        <w:rPr>
          <w:rStyle w:val="FootnoteReference"/>
          <w:sz w:val="26"/>
          <w:szCs w:val="26"/>
        </w:rPr>
        <w:footnoteReference w:id="27"/>
      </w:r>
    </w:p>
    <w:p w:rsidR="009D4E09" w:rsidRPr="00610062" w:rsidRDefault="009D4E09">
      <w:pPr>
        <w:tabs>
          <w:tab w:val="left" w:pos="720"/>
        </w:tabs>
        <w:spacing w:line="360" w:lineRule="auto"/>
        <w:rPr>
          <w:sz w:val="26"/>
          <w:szCs w:val="26"/>
        </w:rPr>
      </w:pPr>
    </w:p>
    <w:p w:rsidR="00717BC5" w:rsidRPr="004F095F" w:rsidRDefault="00717BC5">
      <w:pPr>
        <w:spacing w:line="360" w:lineRule="auto"/>
        <w:rPr>
          <w:sz w:val="26"/>
          <w:szCs w:val="26"/>
        </w:rPr>
      </w:pPr>
      <w:r w:rsidRPr="00610062">
        <w:rPr>
          <w:sz w:val="26"/>
          <w:szCs w:val="26"/>
        </w:rPr>
        <w:tab/>
      </w:r>
      <w:r w:rsidR="009308F9" w:rsidRPr="00610062">
        <w:rPr>
          <w:sz w:val="26"/>
          <w:szCs w:val="26"/>
        </w:rPr>
        <w:t>For the reasons identified above</w:t>
      </w:r>
      <w:r w:rsidRPr="00610062">
        <w:rPr>
          <w:sz w:val="26"/>
          <w:szCs w:val="26"/>
        </w:rPr>
        <w:t xml:space="preserve">, </w:t>
      </w:r>
      <w:r w:rsidR="009308F9" w:rsidRPr="00610062">
        <w:rPr>
          <w:sz w:val="26"/>
          <w:szCs w:val="26"/>
        </w:rPr>
        <w:t xml:space="preserve">RESA recommends that the Commission (1) </w:t>
      </w:r>
      <w:r w:rsidR="009308F9" w:rsidRPr="004F095F">
        <w:rPr>
          <w:sz w:val="26"/>
          <w:szCs w:val="26"/>
        </w:rPr>
        <w:t>issue an O</w:t>
      </w:r>
      <w:r w:rsidRPr="004F095F">
        <w:rPr>
          <w:sz w:val="26"/>
          <w:szCs w:val="26"/>
        </w:rPr>
        <w:t xml:space="preserve">rder </w:t>
      </w:r>
      <w:r w:rsidR="009308F9" w:rsidRPr="004F095F">
        <w:rPr>
          <w:sz w:val="26"/>
          <w:szCs w:val="26"/>
        </w:rPr>
        <w:t>granting its Petition to Simplify the Financial Security 5% Renewal Process and (2) adopt the procedures it proposed to streamline that process.</w:t>
      </w:r>
      <w:r w:rsidR="00573C0E" w:rsidRPr="004F095F">
        <w:rPr>
          <w:rStyle w:val="FootnoteReference"/>
          <w:sz w:val="26"/>
          <w:szCs w:val="26"/>
        </w:rPr>
        <w:footnoteReference w:id="28"/>
      </w:r>
    </w:p>
    <w:p w:rsidR="007348D0" w:rsidRPr="006B565A" w:rsidRDefault="007348D0">
      <w:pPr>
        <w:spacing w:line="360" w:lineRule="auto"/>
        <w:rPr>
          <w:sz w:val="26"/>
          <w:szCs w:val="26"/>
        </w:rPr>
      </w:pPr>
    </w:p>
    <w:p w:rsidR="00280E2F" w:rsidRPr="00EF1A23" w:rsidRDefault="00280E2F">
      <w:pPr>
        <w:spacing w:line="360" w:lineRule="auto"/>
        <w:jc w:val="center"/>
        <w:rPr>
          <w:b/>
          <w:sz w:val="26"/>
          <w:szCs w:val="26"/>
        </w:rPr>
      </w:pPr>
      <w:r w:rsidRPr="00EF1A23">
        <w:rPr>
          <w:b/>
          <w:sz w:val="26"/>
          <w:szCs w:val="26"/>
        </w:rPr>
        <w:t>DISCUSSION</w:t>
      </w:r>
    </w:p>
    <w:p w:rsidR="00F35E9A" w:rsidRPr="00AD5782" w:rsidRDefault="00125574">
      <w:pPr>
        <w:spacing w:line="360" w:lineRule="auto"/>
        <w:rPr>
          <w:b/>
          <w:sz w:val="26"/>
          <w:szCs w:val="26"/>
        </w:rPr>
      </w:pPr>
      <w:r w:rsidRPr="00AD5782">
        <w:rPr>
          <w:b/>
          <w:sz w:val="26"/>
          <w:szCs w:val="26"/>
        </w:rPr>
        <w:t>A.</w:t>
      </w:r>
      <w:r w:rsidR="003868EB" w:rsidRPr="00AD5782">
        <w:rPr>
          <w:b/>
          <w:sz w:val="26"/>
          <w:szCs w:val="26"/>
        </w:rPr>
        <w:tab/>
      </w:r>
      <w:r w:rsidR="00AD5782">
        <w:rPr>
          <w:b/>
          <w:sz w:val="26"/>
          <w:szCs w:val="26"/>
        </w:rPr>
        <w:t xml:space="preserve">Petition </w:t>
      </w:r>
      <w:proofErr w:type="gramStart"/>
      <w:r w:rsidR="00D92845">
        <w:rPr>
          <w:b/>
          <w:sz w:val="26"/>
          <w:szCs w:val="26"/>
        </w:rPr>
        <w:t>F</w:t>
      </w:r>
      <w:r w:rsidR="00AD5782">
        <w:rPr>
          <w:b/>
          <w:sz w:val="26"/>
          <w:szCs w:val="26"/>
        </w:rPr>
        <w:t>or</w:t>
      </w:r>
      <w:proofErr w:type="gramEnd"/>
      <w:r w:rsidR="00AD5782">
        <w:rPr>
          <w:b/>
          <w:sz w:val="26"/>
          <w:szCs w:val="26"/>
        </w:rPr>
        <w:t xml:space="preserve"> Renewal </w:t>
      </w:r>
      <w:r w:rsidR="00D92845">
        <w:rPr>
          <w:b/>
          <w:sz w:val="26"/>
          <w:szCs w:val="26"/>
        </w:rPr>
        <w:t>O</w:t>
      </w:r>
      <w:r w:rsidR="00AD5782">
        <w:rPr>
          <w:b/>
          <w:sz w:val="26"/>
          <w:szCs w:val="26"/>
        </w:rPr>
        <w:t>f Bond Reduction</w:t>
      </w:r>
    </w:p>
    <w:p w:rsidR="003A07EC" w:rsidRPr="00812E4E" w:rsidRDefault="008930D5" w:rsidP="0089622A">
      <w:pPr>
        <w:spacing w:line="360" w:lineRule="auto"/>
        <w:ind w:firstLine="720"/>
        <w:rPr>
          <w:sz w:val="26"/>
          <w:szCs w:val="26"/>
        </w:rPr>
      </w:pPr>
      <w:r>
        <w:rPr>
          <w:sz w:val="26"/>
          <w:szCs w:val="26"/>
        </w:rPr>
        <w:t xml:space="preserve">The Commission’s </w:t>
      </w:r>
      <w:r w:rsidRPr="001A6F28">
        <w:rPr>
          <w:i/>
          <w:sz w:val="26"/>
          <w:szCs w:val="26"/>
        </w:rPr>
        <w:t>Final Security Order</w:t>
      </w:r>
      <w:r>
        <w:rPr>
          <w:sz w:val="26"/>
          <w:szCs w:val="26"/>
        </w:rPr>
        <w:t xml:space="preserve"> requires an EGS seeking a 5% financial security reduction to file a formal petition with the Commission.  The Commission delegated authority to review uncontested petitions to TUS and required </w:t>
      </w:r>
      <w:r w:rsidR="001A6F28">
        <w:rPr>
          <w:sz w:val="26"/>
          <w:szCs w:val="26"/>
        </w:rPr>
        <w:t xml:space="preserve">the bureau </w:t>
      </w:r>
      <w:r w:rsidR="003868EB">
        <w:rPr>
          <w:sz w:val="26"/>
          <w:szCs w:val="26"/>
        </w:rPr>
        <w:t xml:space="preserve">to </w:t>
      </w:r>
      <w:r>
        <w:rPr>
          <w:sz w:val="26"/>
          <w:szCs w:val="26"/>
        </w:rPr>
        <w:lastRenderedPageBreak/>
        <w:t xml:space="preserve">approve or deny the reduction </w:t>
      </w:r>
      <w:r w:rsidR="005C3C75">
        <w:rPr>
          <w:sz w:val="26"/>
          <w:szCs w:val="26"/>
        </w:rPr>
        <w:t>petition</w:t>
      </w:r>
      <w:r>
        <w:rPr>
          <w:sz w:val="26"/>
          <w:szCs w:val="26"/>
        </w:rPr>
        <w:t xml:space="preserve"> through the </w:t>
      </w:r>
      <w:r w:rsidR="005C3C75">
        <w:rPr>
          <w:sz w:val="26"/>
          <w:szCs w:val="26"/>
        </w:rPr>
        <w:t>issuance</w:t>
      </w:r>
      <w:r>
        <w:rPr>
          <w:sz w:val="26"/>
          <w:szCs w:val="26"/>
        </w:rPr>
        <w:t xml:space="preserve"> of a </w:t>
      </w:r>
      <w:r w:rsidR="005C3C75">
        <w:rPr>
          <w:sz w:val="26"/>
          <w:szCs w:val="26"/>
        </w:rPr>
        <w:t>Secretarial</w:t>
      </w:r>
      <w:r>
        <w:rPr>
          <w:sz w:val="26"/>
          <w:szCs w:val="26"/>
        </w:rPr>
        <w:t xml:space="preserve"> </w:t>
      </w:r>
      <w:r w:rsidR="005C3C75">
        <w:rPr>
          <w:sz w:val="26"/>
          <w:szCs w:val="26"/>
        </w:rPr>
        <w:t>Letter</w:t>
      </w:r>
      <w:r w:rsidR="001A6F28">
        <w:rPr>
          <w:sz w:val="26"/>
          <w:szCs w:val="26"/>
        </w:rPr>
        <w:t>.</w:t>
      </w:r>
      <w:r w:rsidR="005C3C75">
        <w:rPr>
          <w:rStyle w:val="FootnoteReference"/>
          <w:sz w:val="26"/>
          <w:szCs w:val="26"/>
        </w:rPr>
        <w:footnoteReference w:id="29"/>
      </w:r>
      <w:r>
        <w:rPr>
          <w:sz w:val="26"/>
          <w:szCs w:val="26"/>
        </w:rPr>
        <w:t xml:space="preserve"> </w:t>
      </w:r>
      <w:r w:rsidR="00812E4E">
        <w:rPr>
          <w:sz w:val="26"/>
          <w:szCs w:val="26"/>
        </w:rPr>
        <w:t xml:space="preserve"> RESA, through its Petition, seeks an amendment to the </w:t>
      </w:r>
      <w:r w:rsidR="00812E4E" w:rsidRPr="001A6F28">
        <w:rPr>
          <w:i/>
          <w:sz w:val="26"/>
          <w:szCs w:val="26"/>
        </w:rPr>
        <w:t>Final Security Order</w:t>
      </w:r>
      <w:r w:rsidR="00812E4E">
        <w:rPr>
          <w:sz w:val="26"/>
          <w:szCs w:val="26"/>
        </w:rPr>
        <w:t xml:space="preserve"> entered July 24, 2014 at Docket No. M</w:t>
      </w:r>
      <w:r w:rsidR="00812E4E">
        <w:rPr>
          <w:sz w:val="26"/>
          <w:szCs w:val="26"/>
        </w:rPr>
        <w:noBreakHyphen/>
        <w:t>2013</w:t>
      </w:r>
      <w:r w:rsidR="00812E4E">
        <w:rPr>
          <w:sz w:val="26"/>
          <w:szCs w:val="26"/>
        </w:rPr>
        <w:noBreakHyphen/>
        <w:t xml:space="preserve">2393141.  </w:t>
      </w:r>
      <w:r w:rsidR="003A07EC">
        <w:rPr>
          <w:sz w:val="26"/>
          <w:szCs w:val="26"/>
        </w:rPr>
        <w:t xml:space="preserve">The Code establishes a party’s right to seek relief following the issuance of our final decisions pursuant to Subsections 703(f) and (g), 66 Pa. C.S. § 703(f) and § 703(g), relating to </w:t>
      </w:r>
      <w:proofErr w:type="spellStart"/>
      <w:r w:rsidR="003A07EC">
        <w:rPr>
          <w:sz w:val="26"/>
          <w:szCs w:val="26"/>
        </w:rPr>
        <w:t>rehearings</w:t>
      </w:r>
      <w:proofErr w:type="spellEnd"/>
      <w:r w:rsidR="003A07EC">
        <w:rPr>
          <w:sz w:val="26"/>
          <w:szCs w:val="26"/>
        </w:rPr>
        <w:t>, as well as the rescission and amendment of orders.  Such requests for relief must be consistent with Section 5.572 of our Regulations, 52 Pa. Code § 5.572, relating to petitions for relief following the issuance of a final decision.</w:t>
      </w:r>
    </w:p>
    <w:p w:rsidR="008930D5" w:rsidRPr="004F095F" w:rsidRDefault="008930D5" w:rsidP="001A6F28">
      <w:pPr>
        <w:spacing w:line="360" w:lineRule="auto"/>
        <w:ind w:firstLine="720"/>
        <w:rPr>
          <w:sz w:val="26"/>
          <w:szCs w:val="26"/>
        </w:rPr>
      </w:pPr>
    </w:p>
    <w:p w:rsidR="00B12F47" w:rsidRPr="00AD5782" w:rsidRDefault="003868EB" w:rsidP="003868EB">
      <w:pPr>
        <w:spacing w:line="360" w:lineRule="auto"/>
        <w:ind w:left="720"/>
        <w:rPr>
          <w:b/>
          <w:sz w:val="26"/>
          <w:szCs w:val="26"/>
        </w:rPr>
      </w:pPr>
      <w:bookmarkStart w:id="2" w:name="_Hlk521573610"/>
      <w:r w:rsidRPr="00AD5782">
        <w:rPr>
          <w:b/>
          <w:sz w:val="26"/>
          <w:szCs w:val="26"/>
        </w:rPr>
        <w:t>1.</w:t>
      </w:r>
      <w:r w:rsidRPr="00AD5782">
        <w:rPr>
          <w:b/>
          <w:sz w:val="26"/>
          <w:szCs w:val="26"/>
        </w:rPr>
        <w:tab/>
      </w:r>
      <w:r w:rsidR="00B12F47" w:rsidRPr="00AD5782">
        <w:rPr>
          <w:b/>
          <w:sz w:val="26"/>
          <w:szCs w:val="26"/>
        </w:rPr>
        <w:t>RESA Proposals</w:t>
      </w:r>
    </w:p>
    <w:bookmarkEnd w:id="2"/>
    <w:p w:rsidR="00EF1A23" w:rsidRDefault="00A97C3E" w:rsidP="00EF1A23">
      <w:pPr>
        <w:spacing w:line="360" w:lineRule="auto"/>
        <w:ind w:firstLine="720"/>
        <w:rPr>
          <w:sz w:val="26"/>
          <w:szCs w:val="26"/>
        </w:rPr>
      </w:pPr>
      <w:r>
        <w:rPr>
          <w:sz w:val="26"/>
          <w:szCs w:val="26"/>
        </w:rPr>
        <w:t xml:space="preserve">In </w:t>
      </w:r>
      <w:r w:rsidR="00F35E9A">
        <w:rPr>
          <w:sz w:val="26"/>
          <w:szCs w:val="26"/>
        </w:rPr>
        <w:t>its</w:t>
      </w:r>
      <w:r>
        <w:rPr>
          <w:sz w:val="26"/>
          <w:szCs w:val="26"/>
        </w:rPr>
        <w:t xml:space="preserve"> Petition, RESA</w:t>
      </w:r>
      <w:r w:rsidR="00280E2F" w:rsidRPr="00AD4EC9">
        <w:rPr>
          <w:sz w:val="26"/>
          <w:szCs w:val="26"/>
        </w:rPr>
        <w:t xml:space="preserve"> request</w:t>
      </w:r>
      <w:r w:rsidR="00DC4DBF">
        <w:rPr>
          <w:sz w:val="26"/>
          <w:szCs w:val="26"/>
        </w:rPr>
        <w:t>s</w:t>
      </w:r>
      <w:r w:rsidR="00280E2F" w:rsidRPr="00AD4EC9">
        <w:rPr>
          <w:sz w:val="26"/>
          <w:szCs w:val="26"/>
        </w:rPr>
        <w:t xml:space="preserve"> that the Commission modif</w:t>
      </w:r>
      <w:r w:rsidR="00F35E9A">
        <w:rPr>
          <w:sz w:val="26"/>
          <w:szCs w:val="26"/>
        </w:rPr>
        <w:t>y the</w:t>
      </w:r>
      <w:r w:rsidR="00280E2F" w:rsidRPr="00AD4EC9">
        <w:rPr>
          <w:sz w:val="26"/>
          <w:szCs w:val="26"/>
        </w:rPr>
        <w:t xml:space="preserve"> process for EGSs to renew their </w:t>
      </w:r>
      <w:r>
        <w:rPr>
          <w:sz w:val="26"/>
          <w:szCs w:val="26"/>
        </w:rPr>
        <w:t xml:space="preserve">5% financial </w:t>
      </w:r>
      <w:r w:rsidR="00280E2F" w:rsidRPr="00AD4EC9">
        <w:rPr>
          <w:sz w:val="26"/>
          <w:szCs w:val="26"/>
        </w:rPr>
        <w:t xml:space="preserve">security </w:t>
      </w:r>
      <w:r>
        <w:rPr>
          <w:sz w:val="26"/>
          <w:szCs w:val="26"/>
        </w:rPr>
        <w:t>reduction</w:t>
      </w:r>
      <w:r w:rsidR="00280E2F" w:rsidRPr="00AD4EC9">
        <w:rPr>
          <w:sz w:val="26"/>
          <w:szCs w:val="26"/>
        </w:rPr>
        <w:t xml:space="preserve">. </w:t>
      </w:r>
      <w:r w:rsidR="000C28C2">
        <w:rPr>
          <w:sz w:val="26"/>
          <w:szCs w:val="26"/>
        </w:rPr>
        <w:t xml:space="preserve"> </w:t>
      </w:r>
      <w:r w:rsidR="004F3E4B" w:rsidRPr="00AD4EC9">
        <w:rPr>
          <w:sz w:val="26"/>
          <w:szCs w:val="26"/>
        </w:rPr>
        <w:t>RESA propose</w:t>
      </w:r>
      <w:r w:rsidR="00DC4DBF">
        <w:rPr>
          <w:sz w:val="26"/>
          <w:szCs w:val="26"/>
        </w:rPr>
        <w:t>s</w:t>
      </w:r>
      <w:r w:rsidR="004F3E4B" w:rsidRPr="00AD4EC9">
        <w:rPr>
          <w:sz w:val="26"/>
          <w:szCs w:val="26"/>
        </w:rPr>
        <w:t xml:space="preserve"> that the Commission authorize EGSs (with a previously approved 5% Financial Security Reduction Petition) to submit a</w:t>
      </w:r>
      <w:r w:rsidR="00F74E2F">
        <w:rPr>
          <w:sz w:val="26"/>
          <w:szCs w:val="26"/>
        </w:rPr>
        <w:t>n</w:t>
      </w:r>
      <w:r w:rsidR="004F3E4B" w:rsidRPr="00AD4EC9">
        <w:rPr>
          <w:sz w:val="26"/>
          <w:szCs w:val="26"/>
        </w:rPr>
        <w:t xml:space="preserve"> </w:t>
      </w:r>
      <w:r w:rsidR="00DC4DBF">
        <w:rPr>
          <w:sz w:val="26"/>
          <w:szCs w:val="26"/>
        </w:rPr>
        <w:t>a</w:t>
      </w:r>
      <w:r w:rsidR="004F3E4B" w:rsidRPr="00AD4EC9">
        <w:rPr>
          <w:sz w:val="26"/>
          <w:szCs w:val="26"/>
        </w:rPr>
        <w:t xml:space="preserve">nnual </w:t>
      </w:r>
      <w:r w:rsidR="00DC4DBF">
        <w:rPr>
          <w:sz w:val="26"/>
          <w:szCs w:val="26"/>
        </w:rPr>
        <w:t>c</w:t>
      </w:r>
      <w:r w:rsidR="004F3E4B" w:rsidRPr="00AD4EC9">
        <w:rPr>
          <w:sz w:val="26"/>
          <w:szCs w:val="26"/>
        </w:rPr>
        <w:t xml:space="preserve">ompliance </w:t>
      </w:r>
      <w:r w:rsidR="00DC4DBF">
        <w:rPr>
          <w:sz w:val="26"/>
          <w:szCs w:val="26"/>
        </w:rPr>
        <w:t>f</w:t>
      </w:r>
      <w:r w:rsidR="004F3E4B" w:rsidRPr="00AD4EC9">
        <w:rPr>
          <w:sz w:val="26"/>
          <w:szCs w:val="26"/>
        </w:rPr>
        <w:t>iling with supporting documentation</w:t>
      </w:r>
      <w:r w:rsidR="004F3E4B">
        <w:rPr>
          <w:sz w:val="26"/>
          <w:szCs w:val="26"/>
        </w:rPr>
        <w:t>,</w:t>
      </w:r>
      <w:r w:rsidR="004F3E4B" w:rsidRPr="00AD4EC9">
        <w:rPr>
          <w:sz w:val="26"/>
          <w:szCs w:val="26"/>
        </w:rPr>
        <w:t xml:space="preserve"> instead of a petition to renew </w:t>
      </w:r>
      <w:r w:rsidR="004F3E4B">
        <w:rPr>
          <w:sz w:val="26"/>
          <w:szCs w:val="26"/>
        </w:rPr>
        <w:t>its</w:t>
      </w:r>
      <w:r w:rsidR="004F3E4B" w:rsidRPr="00AD4EC9">
        <w:rPr>
          <w:sz w:val="26"/>
          <w:szCs w:val="26"/>
        </w:rPr>
        <w:t xml:space="preserve"> 5% Financial Security Reduction Petition approval.  </w:t>
      </w:r>
      <w:r w:rsidR="00F74E2F">
        <w:rPr>
          <w:sz w:val="26"/>
          <w:szCs w:val="26"/>
        </w:rPr>
        <w:t>Additionally,</w:t>
      </w:r>
      <w:r w:rsidR="00EF1A23">
        <w:rPr>
          <w:sz w:val="26"/>
          <w:szCs w:val="26"/>
        </w:rPr>
        <w:t xml:space="preserve"> RESA propose</w:t>
      </w:r>
      <w:r w:rsidR="00DC4DBF">
        <w:rPr>
          <w:sz w:val="26"/>
          <w:szCs w:val="26"/>
        </w:rPr>
        <w:t>s</w:t>
      </w:r>
      <w:r w:rsidR="00EF1A23" w:rsidRPr="00815D52">
        <w:rPr>
          <w:sz w:val="26"/>
          <w:szCs w:val="26"/>
        </w:rPr>
        <w:t xml:space="preserve"> </w:t>
      </w:r>
      <w:r w:rsidR="00EF1A23" w:rsidRPr="00AD4EC9">
        <w:rPr>
          <w:sz w:val="26"/>
          <w:szCs w:val="26"/>
        </w:rPr>
        <w:t xml:space="preserve">that the </w:t>
      </w:r>
      <w:r w:rsidR="00DC4DBF">
        <w:rPr>
          <w:sz w:val="26"/>
          <w:szCs w:val="26"/>
        </w:rPr>
        <w:t>a</w:t>
      </w:r>
      <w:r w:rsidR="00EF1A23" w:rsidRPr="00AD4EC9">
        <w:rPr>
          <w:sz w:val="26"/>
          <w:szCs w:val="26"/>
        </w:rPr>
        <w:t xml:space="preserve">nnual </w:t>
      </w:r>
      <w:r w:rsidR="00DC4DBF">
        <w:rPr>
          <w:sz w:val="26"/>
          <w:szCs w:val="26"/>
        </w:rPr>
        <w:t>c</w:t>
      </w:r>
      <w:r w:rsidR="00EF1A23" w:rsidRPr="00AD4EC9">
        <w:rPr>
          <w:sz w:val="26"/>
          <w:szCs w:val="26"/>
        </w:rPr>
        <w:t xml:space="preserve">ompliance </w:t>
      </w:r>
      <w:r w:rsidR="00DC4DBF">
        <w:rPr>
          <w:sz w:val="26"/>
          <w:szCs w:val="26"/>
        </w:rPr>
        <w:t>f</w:t>
      </w:r>
      <w:r w:rsidR="00EF1A23" w:rsidRPr="00AD4EC9">
        <w:rPr>
          <w:sz w:val="26"/>
          <w:szCs w:val="26"/>
        </w:rPr>
        <w:t>iling be due 30</w:t>
      </w:r>
      <w:r w:rsidR="006F16E9">
        <w:rPr>
          <w:sz w:val="26"/>
          <w:szCs w:val="26"/>
        </w:rPr>
        <w:t xml:space="preserve"> </w:t>
      </w:r>
      <w:r w:rsidR="00EF1A23" w:rsidRPr="00AD4EC9">
        <w:rPr>
          <w:sz w:val="26"/>
          <w:szCs w:val="26"/>
        </w:rPr>
        <w:t>days prior to the expiration/anniversary date of an EGS’s financial security</w:t>
      </w:r>
      <w:r w:rsidR="00EF1A23">
        <w:rPr>
          <w:sz w:val="26"/>
          <w:szCs w:val="26"/>
        </w:rPr>
        <w:t xml:space="preserve">. </w:t>
      </w:r>
      <w:r w:rsidR="003868EB">
        <w:rPr>
          <w:sz w:val="26"/>
          <w:szCs w:val="26"/>
        </w:rPr>
        <w:t xml:space="preserve"> </w:t>
      </w:r>
      <w:r w:rsidR="00EF1A23" w:rsidRPr="00AD4EC9">
        <w:rPr>
          <w:sz w:val="26"/>
          <w:szCs w:val="26"/>
        </w:rPr>
        <w:t xml:space="preserve">RESA </w:t>
      </w:r>
      <w:r w:rsidR="00EF1A23">
        <w:rPr>
          <w:sz w:val="26"/>
          <w:szCs w:val="26"/>
        </w:rPr>
        <w:t xml:space="preserve">further </w:t>
      </w:r>
      <w:r w:rsidR="00EF1A23" w:rsidRPr="00AD4EC9">
        <w:rPr>
          <w:sz w:val="26"/>
          <w:szCs w:val="26"/>
        </w:rPr>
        <w:t>propose</w:t>
      </w:r>
      <w:r w:rsidR="000C3B56">
        <w:rPr>
          <w:sz w:val="26"/>
          <w:szCs w:val="26"/>
        </w:rPr>
        <w:t>s</w:t>
      </w:r>
      <w:r w:rsidR="00EF1A23" w:rsidRPr="00AD4EC9">
        <w:rPr>
          <w:sz w:val="26"/>
          <w:szCs w:val="26"/>
        </w:rPr>
        <w:t xml:space="preserve"> that upon filing of the </w:t>
      </w:r>
      <w:r w:rsidR="000C3B56">
        <w:rPr>
          <w:sz w:val="26"/>
          <w:szCs w:val="26"/>
        </w:rPr>
        <w:t>a</w:t>
      </w:r>
      <w:r w:rsidR="00EF1A23">
        <w:rPr>
          <w:sz w:val="26"/>
          <w:szCs w:val="26"/>
        </w:rPr>
        <w:t xml:space="preserve">nnual </w:t>
      </w:r>
      <w:r w:rsidR="000C3B56">
        <w:rPr>
          <w:sz w:val="26"/>
          <w:szCs w:val="26"/>
        </w:rPr>
        <w:t>c</w:t>
      </w:r>
      <w:r w:rsidR="00EF1A23">
        <w:rPr>
          <w:sz w:val="26"/>
          <w:szCs w:val="26"/>
        </w:rPr>
        <w:t xml:space="preserve">ompliance </w:t>
      </w:r>
      <w:r w:rsidR="000C3B56">
        <w:rPr>
          <w:sz w:val="26"/>
          <w:szCs w:val="26"/>
        </w:rPr>
        <w:t>f</w:t>
      </w:r>
      <w:r w:rsidR="00EF1A23">
        <w:rPr>
          <w:sz w:val="26"/>
          <w:szCs w:val="26"/>
        </w:rPr>
        <w:t>iling</w:t>
      </w:r>
      <w:r w:rsidR="00EF1A23" w:rsidRPr="00AD4EC9">
        <w:rPr>
          <w:sz w:val="26"/>
          <w:szCs w:val="26"/>
        </w:rPr>
        <w:t xml:space="preserve">, an </w:t>
      </w:r>
      <w:r w:rsidR="00EF1A23" w:rsidRPr="00D6412C">
        <w:rPr>
          <w:sz w:val="26"/>
          <w:szCs w:val="26"/>
        </w:rPr>
        <w:t>EGS’s 5% financial security reduction should be continued unless the Commission issues a denial requiring the EGS to renew its security at the previously</w:t>
      </w:r>
      <w:r w:rsidR="00EF1A23" w:rsidRPr="00D43E13">
        <w:rPr>
          <w:sz w:val="26"/>
          <w:szCs w:val="26"/>
        </w:rPr>
        <w:t xml:space="preserve"> required 10% level.</w:t>
      </w:r>
    </w:p>
    <w:p w:rsidR="00C05654" w:rsidRPr="00D43E13" w:rsidRDefault="00C05654" w:rsidP="00EF1A23">
      <w:pPr>
        <w:spacing w:line="360" w:lineRule="auto"/>
        <w:ind w:firstLine="720"/>
        <w:rPr>
          <w:sz w:val="26"/>
          <w:szCs w:val="26"/>
        </w:rPr>
      </w:pPr>
    </w:p>
    <w:p w:rsidR="00B12F47" w:rsidRPr="00AD5782" w:rsidRDefault="003868EB" w:rsidP="003868EB">
      <w:pPr>
        <w:spacing w:line="360" w:lineRule="auto"/>
        <w:ind w:left="720"/>
        <w:rPr>
          <w:b/>
          <w:sz w:val="26"/>
          <w:szCs w:val="26"/>
        </w:rPr>
      </w:pPr>
      <w:bookmarkStart w:id="3" w:name="_Hlk521573688"/>
      <w:r w:rsidRPr="00AD5782">
        <w:rPr>
          <w:b/>
          <w:sz w:val="26"/>
          <w:szCs w:val="26"/>
        </w:rPr>
        <w:t>2.</w:t>
      </w:r>
      <w:r w:rsidRPr="00AD5782">
        <w:rPr>
          <w:b/>
          <w:sz w:val="26"/>
          <w:szCs w:val="26"/>
        </w:rPr>
        <w:tab/>
      </w:r>
      <w:r w:rsidR="00125574" w:rsidRPr="00AD5782">
        <w:rPr>
          <w:b/>
          <w:sz w:val="26"/>
          <w:szCs w:val="26"/>
        </w:rPr>
        <w:t>Disposition</w:t>
      </w:r>
    </w:p>
    <w:bookmarkEnd w:id="3"/>
    <w:p w:rsidR="004F3E4B" w:rsidRPr="00A25A44" w:rsidRDefault="004F3E4B" w:rsidP="004F3E4B">
      <w:pPr>
        <w:spacing w:line="360" w:lineRule="auto"/>
        <w:rPr>
          <w:sz w:val="26"/>
          <w:szCs w:val="26"/>
        </w:rPr>
      </w:pPr>
      <w:r w:rsidRPr="00D43E13">
        <w:rPr>
          <w:sz w:val="26"/>
          <w:szCs w:val="26"/>
        </w:rPr>
        <w:tab/>
      </w:r>
      <w:r w:rsidR="00125574">
        <w:rPr>
          <w:sz w:val="26"/>
          <w:szCs w:val="26"/>
        </w:rPr>
        <w:t>We</w:t>
      </w:r>
      <w:r w:rsidRPr="00D43E13">
        <w:rPr>
          <w:sz w:val="26"/>
          <w:szCs w:val="26"/>
        </w:rPr>
        <w:t xml:space="preserve"> agree </w:t>
      </w:r>
      <w:r w:rsidR="00D43E13" w:rsidRPr="001A6F28">
        <w:rPr>
          <w:sz w:val="26"/>
          <w:szCs w:val="26"/>
        </w:rPr>
        <w:t xml:space="preserve">with RESA </w:t>
      </w:r>
      <w:r w:rsidRPr="00D6412C">
        <w:rPr>
          <w:sz w:val="26"/>
          <w:szCs w:val="26"/>
        </w:rPr>
        <w:t xml:space="preserve">that requiring </w:t>
      </w:r>
      <w:r w:rsidR="006F16E9">
        <w:rPr>
          <w:sz w:val="26"/>
          <w:szCs w:val="26"/>
        </w:rPr>
        <w:t xml:space="preserve">EGSs to file </w:t>
      </w:r>
      <w:r w:rsidRPr="00D6412C">
        <w:rPr>
          <w:sz w:val="26"/>
          <w:szCs w:val="26"/>
        </w:rPr>
        <w:t xml:space="preserve">annual petitions to maintain a previously approved </w:t>
      </w:r>
      <w:r w:rsidR="006F16E9">
        <w:rPr>
          <w:sz w:val="26"/>
          <w:szCs w:val="26"/>
        </w:rPr>
        <w:t xml:space="preserve">security </w:t>
      </w:r>
      <w:r w:rsidRPr="00D6412C">
        <w:rPr>
          <w:sz w:val="26"/>
          <w:szCs w:val="26"/>
        </w:rPr>
        <w:t xml:space="preserve">reduction may be cumbersome and present unnecessary challenges that could be addressed through a more simplified process </w:t>
      </w:r>
      <w:r w:rsidR="00CA34A9">
        <w:rPr>
          <w:sz w:val="26"/>
          <w:szCs w:val="26"/>
        </w:rPr>
        <w:t>that</w:t>
      </w:r>
      <w:r w:rsidRPr="00D6412C">
        <w:rPr>
          <w:sz w:val="26"/>
          <w:szCs w:val="26"/>
        </w:rPr>
        <w:t xml:space="preserve"> would improve administrative efficiencies for both EGSs and C</w:t>
      </w:r>
      <w:r w:rsidRPr="00D43E13">
        <w:rPr>
          <w:sz w:val="26"/>
          <w:szCs w:val="26"/>
        </w:rPr>
        <w:t>ommission staff</w:t>
      </w:r>
      <w:r w:rsidR="006F16E9">
        <w:rPr>
          <w:sz w:val="26"/>
          <w:szCs w:val="26"/>
        </w:rPr>
        <w:t>.</w:t>
      </w:r>
      <w:r w:rsidR="00D43E13" w:rsidRPr="001A6F28">
        <w:rPr>
          <w:sz w:val="26"/>
          <w:szCs w:val="26"/>
        </w:rPr>
        <w:t xml:space="preserve">  As such, we approve RESA’s suggestion that</w:t>
      </w:r>
      <w:r w:rsidRPr="00D6412C">
        <w:rPr>
          <w:sz w:val="26"/>
          <w:szCs w:val="26"/>
        </w:rPr>
        <w:t xml:space="preserve"> </w:t>
      </w:r>
      <w:r w:rsidR="00D43E13" w:rsidRPr="001A6F28">
        <w:rPr>
          <w:sz w:val="26"/>
          <w:szCs w:val="26"/>
        </w:rPr>
        <w:t xml:space="preserve">an </w:t>
      </w:r>
      <w:r w:rsidRPr="00D43E13">
        <w:rPr>
          <w:sz w:val="26"/>
          <w:szCs w:val="26"/>
        </w:rPr>
        <w:t>EGS</w:t>
      </w:r>
      <w:r w:rsidR="006F16E9">
        <w:rPr>
          <w:sz w:val="26"/>
          <w:szCs w:val="26"/>
        </w:rPr>
        <w:t>,</w:t>
      </w:r>
      <w:r w:rsidR="00D43E13" w:rsidRPr="001A6F28">
        <w:rPr>
          <w:sz w:val="26"/>
          <w:szCs w:val="26"/>
        </w:rPr>
        <w:t xml:space="preserve"> with an approved 5% reduction to their financial </w:t>
      </w:r>
      <w:r w:rsidR="00D43E13" w:rsidRPr="001A6F28">
        <w:rPr>
          <w:sz w:val="26"/>
          <w:szCs w:val="26"/>
        </w:rPr>
        <w:lastRenderedPageBreak/>
        <w:t>security</w:t>
      </w:r>
      <w:r w:rsidR="006F16E9">
        <w:rPr>
          <w:sz w:val="26"/>
          <w:szCs w:val="26"/>
        </w:rPr>
        <w:t>,</w:t>
      </w:r>
      <w:r w:rsidR="00D43E13" w:rsidRPr="001A6F28">
        <w:rPr>
          <w:sz w:val="26"/>
          <w:szCs w:val="26"/>
        </w:rPr>
        <w:t xml:space="preserve"> </w:t>
      </w:r>
      <w:r w:rsidRPr="00D6412C">
        <w:rPr>
          <w:sz w:val="26"/>
          <w:szCs w:val="26"/>
        </w:rPr>
        <w:t>may provide a</w:t>
      </w:r>
      <w:r w:rsidR="00D43E13" w:rsidRPr="001A6F28">
        <w:rPr>
          <w:sz w:val="26"/>
          <w:szCs w:val="26"/>
        </w:rPr>
        <w:t xml:space="preserve">n </w:t>
      </w:r>
      <w:r w:rsidR="00CA34A9">
        <w:rPr>
          <w:sz w:val="26"/>
          <w:szCs w:val="26"/>
        </w:rPr>
        <w:t>a</w:t>
      </w:r>
      <w:r w:rsidRPr="00D6412C">
        <w:rPr>
          <w:sz w:val="26"/>
          <w:szCs w:val="26"/>
        </w:rPr>
        <w:t xml:space="preserve">nnual </w:t>
      </w:r>
      <w:r w:rsidR="00CA34A9">
        <w:rPr>
          <w:sz w:val="26"/>
          <w:szCs w:val="26"/>
        </w:rPr>
        <w:t>c</w:t>
      </w:r>
      <w:r w:rsidRPr="00D6412C">
        <w:rPr>
          <w:sz w:val="26"/>
          <w:szCs w:val="26"/>
        </w:rPr>
        <w:t xml:space="preserve">ompliance </w:t>
      </w:r>
      <w:r w:rsidR="00CA34A9">
        <w:rPr>
          <w:sz w:val="26"/>
          <w:szCs w:val="26"/>
        </w:rPr>
        <w:t>f</w:t>
      </w:r>
      <w:r w:rsidRPr="00D6412C">
        <w:rPr>
          <w:sz w:val="26"/>
          <w:szCs w:val="26"/>
        </w:rPr>
        <w:t xml:space="preserve">iling in lieu of an annual petition to renew its reduced security level.  </w:t>
      </w:r>
    </w:p>
    <w:p w:rsidR="004F3E4B" w:rsidRPr="001A6F28" w:rsidRDefault="004F3E4B" w:rsidP="003F671F">
      <w:pPr>
        <w:spacing w:line="360" w:lineRule="auto"/>
        <w:ind w:firstLine="720"/>
        <w:rPr>
          <w:sz w:val="26"/>
          <w:szCs w:val="26"/>
        </w:rPr>
      </w:pPr>
    </w:p>
    <w:p w:rsidR="002D2ABE" w:rsidRPr="00D6412C" w:rsidRDefault="002D2ABE" w:rsidP="002D2ABE">
      <w:pPr>
        <w:spacing w:line="360" w:lineRule="auto"/>
        <w:ind w:firstLine="720"/>
        <w:rPr>
          <w:sz w:val="26"/>
          <w:szCs w:val="26"/>
        </w:rPr>
      </w:pPr>
      <w:r w:rsidRPr="001A6F28">
        <w:rPr>
          <w:sz w:val="26"/>
          <w:szCs w:val="26"/>
        </w:rPr>
        <w:t xml:space="preserve">However, we do not agree with </w:t>
      </w:r>
      <w:r w:rsidRPr="00D6412C">
        <w:rPr>
          <w:sz w:val="26"/>
          <w:szCs w:val="26"/>
        </w:rPr>
        <w:t>RESA</w:t>
      </w:r>
      <w:r w:rsidRPr="001A6F28">
        <w:rPr>
          <w:sz w:val="26"/>
          <w:szCs w:val="26"/>
        </w:rPr>
        <w:t>’s proposal t</w:t>
      </w:r>
      <w:r w:rsidRPr="00D6412C">
        <w:rPr>
          <w:sz w:val="26"/>
          <w:szCs w:val="26"/>
        </w:rPr>
        <w:t xml:space="preserve">hat the </w:t>
      </w:r>
      <w:r w:rsidR="00CA34A9">
        <w:rPr>
          <w:sz w:val="26"/>
          <w:szCs w:val="26"/>
        </w:rPr>
        <w:t>a</w:t>
      </w:r>
      <w:r w:rsidRPr="00D6412C">
        <w:rPr>
          <w:sz w:val="26"/>
          <w:szCs w:val="26"/>
        </w:rPr>
        <w:t xml:space="preserve">nnual </w:t>
      </w:r>
      <w:r w:rsidR="00CA34A9">
        <w:rPr>
          <w:sz w:val="26"/>
          <w:szCs w:val="26"/>
        </w:rPr>
        <w:t>c</w:t>
      </w:r>
      <w:r w:rsidRPr="00D6412C">
        <w:rPr>
          <w:sz w:val="26"/>
          <w:szCs w:val="26"/>
        </w:rPr>
        <w:t xml:space="preserve">ompliance </w:t>
      </w:r>
      <w:r w:rsidR="00CA34A9">
        <w:rPr>
          <w:sz w:val="26"/>
          <w:szCs w:val="26"/>
        </w:rPr>
        <w:t>f</w:t>
      </w:r>
      <w:r w:rsidRPr="00D6412C">
        <w:rPr>
          <w:sz w:val="26"/>
          <w:szCs w:val="26"/>
        </w:rPr>
        <w:t xml:space="preserve">iling be </w:t>
      </w:r>
      <w:r w:rsidR="00CA34A9">
        <w:rPr>
          <w:sz w:val="26"/>
          <w:szCs w:val="26"/>
        </w:rPr>
        <w:t>submitted</w:t>
      </w:r>
      <w:r w:rsidRPr="00D6412C">
        <w:rPr>
          <w:sz w:val="26"/>
          <w:szCs w:val="26"/>
        </w:rPr>
        <w:t xml:space="preserve"> 30 days prior to the expiration of an EGS’ financial security</w:t>
      </w:r>
      <w:r w:rsidRPr="001A6F28">
        <w:rPr>
          <w:sz w:val="26"/>
          <w:szCs w:val="26"/>
        </w:rPr>
        <w:t xml:space="preserve">.  </w:t>
      </w:r>
      <w:r w:rsidR="006F16E9">
        <w:rPr>
          <w:sz w:val="26"/>
          <w:szCs w:val="26"/>
        </w:rPr>
        <w:t xml:space="preserve">In its Petition, </w:t>
      </w:r>
      <w:r w:rsidRPr="001A6F28">
        <w:rPr>
          <w:sz w:val="26"/>
          <w:szCs w:val="26"/>
        </w:rPr>
        <w:t xml:space="preserve">RESA </w:t>
      </w:r>
      <w:r w:rsidR="00CA34A9">
        <w:rPr>
          <w:sz w:val="26"/>
          <w:szCs w:val="26"/>
        </w:rPr>
        <w:t>asserts</w:t>
      </w:r>
      <w:r w:rsidRPr="001A6F28">
        <w:rPr>
          <w:sz w:val="26"/>
          <w:szCs w:val="26"/>
        </w:rPr>
        <w:t xml:space="preserve"> that 30 days provides</w:t>
      </w:r>
      <w:r w:rsidRPr="00D6412C">
        <w:rPr>
          <w:sz w:val="26"/>
          <w:szCs w:val="26"/>
        </w:rPr>
        <w:t xml:space="preserve"> Commission staff ample opportunity to review filings and communicate any deficiencies.  RESA state</w:t>
      </w:r>
      <w:r w:rsidR="00CA34A9">
        <w:rPr>
          <w:sz w:val="26"/>
          <w:szCs w:val="26"/>
        </w:rPr>
        <w:t>s that</w:t>
      </w:r>
      <w:r w:rsidRPr="00D6412C">
        <w:rPr>
          <w:sz w:val="26"/>
          <w:szCs w:val="26"/>
        </w:rPr>
        <w:t xml:space="preserve"> the current 60</w:t>
      </w:r>
      <w:r w:rsidR="00CA34A9">
        <w:rPr>
          <w:sz w:val="26"/>
          <w:szCs w:val="26"/>
        </w:rPr>
        <w:noBreakHyphen/>
      </w:r>
      <w:r w:rsidRPr="00D6412C">
        <w:rPr>
          <w:sz w:val="26"/>
          <w:szCs w:val="26"/>
        </w:rPr>
        <w:t>day Financial Security Renewal Secretarial Le</w:t>
      </w:r>
      <w:r w:rsidRPr="00A25A44">
        <w:rPr>
          <w:sz w:val="26"/>
          <w:szCs w:val="26"/>
        </w:rPr>
        <w:t>tter sent by Commission staff</w:t>
      </w:r>
      <w:r w:rsidR="00C107F3">
        <w:rPr>
          <w:rStyle w:val="FootnoteReference"/>
          <w:sz w:val="26"/>
          <w:szCs w:val="26"/>
        </w:rPr>
        <w:footnoteReference w:id="30"/>
      </w:r>
      <w:r w:rsidRPr="00A25A44">
        <w:rPr>
          <w:sz w:val="26"/>
          <w:szCs w:val="26"/>
        </w:rPr>
        <w:t xml:space="preserve"> to notify each EGS about its upcoming financial security expiration date could serve the purpose of providing notice to EGSs with already approved security level reductions of the due date to submit a 5% </w:t>
      </w:r>
      <w:r w:rsidR="00CA34A9">
        <w:rPr>
          <w:sz w:val="26"/>
          <w:szCs w:val="26"/>
        </w:rPr>
        <w:t>a</w:t>
      </w:r>
      <w:r w:rsidRPr="00A25A44">
        <w:rPr>
          <w:sz w:val="26"/>
          <w:szCs w:val="26"/>
        </w:rPr>
        <w:t xml:space="preserve">nnual </w:t>
      </w:r>
      <w:r w:rsidR="00CA34A9">
        <w:rPr>
          <w:sz w:val="26"/>
          <w:szCs w:val="26"/>
        </w:rPr>
        <w:t>c</w:t>
      </w:r>
      <w:r w:rsidRPr="00A25A44">
        <w:rPr>
          <w:sz w:val="26"/>
          <w:szCs w:val="26"/>
        </w:rPr>
        <w:t xml:space="preserve">ompliance </w:t>
      </w:r>
      <w:r w:rsidR="00CA34A9">
        <w:rPr>
          <w:sz w:val="26"/>
          <w:szCs w:val="26"/>
        </w:rPr>
        <w:t>f</w:t>
      </w:r>
      <w:r w:rsidRPr="00A25A44">
        <w:rPr>
          <w:sz w:val="26"/>
          <w:szCs w:val="26"/>
        </w:rPr>
        <w:t>iling.</w:t>
      </w:r>
      <w:r w:rsidR="00757C92" w:rsidRPr="001A6F28">
        <w:rPr>
          <w:sz w:val="26"/>
          <w:szCs w:val="26"/>
        </w:rPr>
        <w:t xml:space="preserve"> </w:t>
      </w:r>
    </w:p>
    <w:p w:rsidR="002D2ABE" w:rsidRPr="00A25A44" w:rsidRDefault="002D2ABE" w:rsidP="002D2ABE">
      <w:pPr>
        <w:spacing w:line="360" w:lineRule="auto"/>
        <w:ind w:firstLine="720"/>
        <w:rPr>
          <w:sz w:val="26"/>
          <w:szCs w:val="26"/>
        </w:rPr>
      </w:pPr>
    </w:p>
    <w:p w:rsidR="002D2ABE" w:rsidRPr="000951EF" w:rsidRDefault="00A25A44" w:rsidP="002D2ABE">
      <w:pPr>
        <w:spacing w:line="360" w:lineRule="auto"/>
        <w:ind w:firstLine="720"/>
        <w:rPr>
          <w:sz w:val="26"/>
          <w:szCs w:val="26"/>
        </w:rPr>
      </w:pPr>
      <w:r w:rsidRPr="001A6F28">
        <w:rPr>
          <w:sz w:val="26"/>
          <w:szCs w:val="26"/>
        </w:rPr>
        <w:t>We</w:t>
      </w:r>
      <w:r w:rsidR="002D2ABE" w:rsidRPr="00D6412C">
        <w:rPr>
          <w:sz w:val="26"/>
          <w:szCs w:val="26"/>
        </w:rPr>
        <w:t xml:space="preserve"> </w:t>
      </w:r>
      <w:r w:rsidR="00CA34A9">
        <w:rPr>
          <w:sz w:val="26"/>
          <w:szCs w:val="26"/>
        </w:rPr>
        <w:t>find</w:t>
      </w:r>
      <w:r w:rsidR="002D2ABE" w:rsidRPr="00A25A44">
        <w:rPr>
          <w:sz w:val="26"/>
          <w:szCs w:val="26"/>
        </w:rPr>
        <w:t xml:space="preserve"> that</w:t>
      </w:r>
      <w:r w:rsidRPr="001A6F28">
        <w:rPr>
          <w:sz w:val="26"/>
          <w:szCs w:val="26"/>
        </w:rPr>
        <w:t xml:space="preserve"> submission of the </w:t>
      </w:r>
      <w:r w:rsidR="00CA34A9">
        <w:rPr>
          <w:sz w:val="26"/>
          <w:szCs w:val="26"/>
        </w:rPr>
        <w:t>a</w:t>
      </w:r>
      <w:r w:rsidRPr="001A6F28">
        <w:rPr>
          <w:sz w:val="26"/>
          <w:szCs w:val="26"/>
        </w:rPr>
        <w:t xml:space="preserve">nnual </w:t>
      </w:r>
      <w:r w:rsidR="00CA34A9">
        <w:rPr>
          <w:sz w:val="26"/>
          <w:szCs w:val="26"/>
        </w:rPr>
        <w:t>c</w:t>
      </w:r>
      <w:r w:rsidRPr="001A6F28">
        <w:rPr>
          <w:sz w:val="26"/>
          <w:szCs w:val="26"/>
        </w:rPr>
        <w:t xml:space="preserve">ompliance </w:t>
      </w:r>
      <w:r w:rsidR="00CA34A9">
        <w:rPr>
          <w:sz w:val="26"/>
          <w:szCs w:val="26"/>
        </w:rPr>
        <w:t>f</w:t>
      </w:r>
      <w:r w:rsidRPr="001A6F28">
        <w:rPr>
          <w:sz w:val="26"/>
          <w:szCs w:val="26"/>
        </w:rPr>
        <w:t>iling</w:t>
      </w:r>
      <w:r w:rsidR="002D2ABE" w:rsidRPr="00D6412C">
        <w:rPr>
          <w:sz w:val="26"/>
          <w:szCs w:val="26"/>
        </w:rPr>
        <w:t xml:space="preserve"> 30 days prior to the EGS’ </w:t>
      </w:r>
      <w:r w:rsidRPr="001A6F28">
        <w:rPr>
          <w:sz w:val="26"/>
          <w:szCs w:val="26"/>
        </w:rPr>
        <w:t xml:space="preserve">financial security </w:t>
      </w:r>
      <w:r w:rsidR="002D2ABE" w:rsidRPr="00125574">
        <w:rPr>
          <w:sz w:val="26"/>
          <w:szCs w:val="26"/>
        </w:rPr>
        <w:t xml:space="preserve">expiration date </w:t>
      </w:r>
      <w:r w:rsidR="00125574" w:rsidRPr="00125574">
        <w:rPr>
          <w:sz w:val="26"/>
          <w:szCs w:val="26"/>
        </w:rPr>
        <w:t>does not provide</w:t>
      </w:r>
      <w:r w:rsidR="002D2ABE" w:rsidRPr="00125574">
        <w:rPr>
          <w:sz w:val="26"/>
          <w:szCs w:val="26"/>
        </w:rPr>
        <w:t xml:space="preserve"> adequate time for the Commission to</w:t>
      </w:r>
      <w:r w:rsidRPr="001A6F28">
        <w:rPr>
          <w:sz w:val="26"/>
          <w:szCs w:val="26"/>
        </w:rPr>
        <w:t xml:space="preserve"> administratively process the filing</w:t>
      </w:r>
      <w:r w:rsidRPr="00125574">
        <w:rPr>
          <w:sz w:val="26"/>
          <w:szCs w:val="26"/>
        </w:rPr>
        <w:t>.</w:t>
      </w:r>
      <w:r w:rsidR="00CA34A9">
        <w:rPr>
          <w:sz w:val="26"/>
          <w:szCs w:val="26"/>
        </w:rPr>
        <w:t xml:space="preserve">  </w:t>
      </w:r>
      <w:r w:rsidR="00CA34A9" w:rsidRPr="00A25A44">
        <w:rPr>
          <w:sz w:val="26"/>
          <w:szCs w:val="26"/>
        </w:rPr>
        <w:t>The 2016 Guidance Letter stated that to be eligible for the renewal, an EGS must provide annual documentation of its eligibility for a financial security reduction at least 90-days prior to the current security’s expiration date</w:t>
      </w:r>
      <w:r w:rsidR="00CA34A9">
        <w:rPr>
          <w:sz w:val="26"/>
          <w:szCs w:val="26"/>
        </w:rPr>
        <w:t>.</w:t>
      </w:r>
      <w:r w:rsidR="00CA34A9" w:rsidRPr="00DC0A1B">
        <w:rPr>
          <w:rStyle w:val="FootnoteReference"/>
          <w:sz w:val="26"/>
          <w:szCs w:val="26"/>
        </w:rPr>
        <w:footnoteReference w:id="31"/>
      </w:r>
      <w:r w:rsidR="00CA34A9">
        <w:rPr>
          <w:sz w:val="26"/>
          <w:szCs w:val="26"/>
        </w:rPr>
        <w:t xml:space="preserve">  </w:t>
      </w:r>
      <w:r w:rsidR="00125574" w:rsidRPr="00125574">
        <w:rPr>
          <w:sz w:val="26"/>
          <w:szCs w:val="26"/>
        </w:rPr>
        <w:t xml:space="preserve">Commission staff </w:t>
      </w:r>
      <w:r w:rsidR="002D2ABE" w:rsidRPr="00125574">
        <w:rPr>
          <w:sz w:val="26"/>
          <w:szCs w:val="26"/>
        </w:rPr>
        <w:t>review the filing</w:t>
      </w:r>
      <w:r w:rsidR="00CA34A9">
        <w:rPr>
          <w:sz w:val="26"/>
          <w:szCs w:val="26"/>
        </w:rPr>
        <w:t xml:space="preserve"> may involve some or all of the following;</w:t>
      </w:r>
      <w:r w:rsidR="002D2ABE" w:rsidRPr="00125574">
        <w:rPr>
          <w:sz w:val="26"/>
          <w:szCs w:val="26"/>
        </w:rPr>
        <w:t xml:space="preserve"> </w:t>
      </w:r>
      <w:r w:rsidR="00CA34A9">
        <w:rPr>
          <w:sz w:val="26"/>
          <w:szCs w:val="26"/>
        </w:rPr>
        <w:t xml:space="preserve">a </w:t>
      </w:r>
      <w:r w:rsidR="00125574" w:rsidRPr="001A6F28">
        <w:rPr>
          <w:sz w:val="26"/>
          <w:szCs w:val="26"/>
        </w:rPr>
        <w:t xml:space="preserve">request </w:t>
      </w:r>
      <w:r w:rsidR="00CA34A9">
        <w:rPr>
          <w:sz w:val="26"/>
          <w:szCs w:val="26"/>
        </w:rPr>
        <w:t xml:space="preserve">for </w:t>
      </w:r>
      <w:r w:rsidR="00125574" w:rsidRPr="001A6F28">
        <w:rPr>
          <w:sz w:val="26"/>
          <w:szCs w:val="26"/>
        </w:rPr>
        <w:t xml:space="preserve">additional data if the filing is not complete </w:t>
      </w:r>
      <w:r w:rsidR="00CA34A9">
        <w:rPr>
          <w:sz w:val="26"/>
          <w:szCs w:val="26"/>
        </w:rPr>
        <w:t>or</w:t>
      </w:r>
      <w:r w:rsidR="00125574" w:rsidRPr="001A6F28">
        <w:rPr>
          <w:sz w:val="26"/>
          <w:szCs w:val="26"/>
        </w:rPr>
        <w:t xml:space="preserve"> clear</w:t>
      </w:r>
      <w:r w:rsidR="00CA34A9">
        <w:rPr>
          <w:sz w:val="26"/>
          <w:szCs w:val="26"/>
        </w:rPr>
        <w:t>;</w:t>
      </w:r>
      <w:r w:rsidR="00125574" w:rsidRPr="001A6F28">
        <w:rPr>
          <w:sz w:val="26"/>
          <w:szCs w:val="26"/>
        </w:rPr>
        <w:t xml:space="preserve"> </w:t>
      </w:r>
      <w:r w:rsidR="00CA34A9">
        <w:rPr>
          <w:sz w:val="26"/>
          <w:szCs w:val="26"/>
        </w:rPr>
        <w:t>request</w:t>
      </w:r>
      <w:r w:rsidR="00125574" w:rsidRPr="001A6F28">
        <w:rPr>
          <w:sz w:val="26"/>
          <w:szCs w:val="26"/>
        </w:rPr>
        <w:t xml:space="preserve"> the EGS </w:t>
      </w:r>
      <w:r w:rsidR="00CA34A9">
        <w:rPr>
          <w:sz w:val="26"/>
          <w:szCs w:val="26"/>
        </w:rPr>
        <w:t xml:space="preserve">to </w:t>
      </w:r>
      <w:r w:rsidR="00125574" w:rsidRPr="001A6F28">
        <w:rPr>
          <w:sz w:val="26"/>
          <w:szCs w:val="26"/>
        </w:rPr>
        <w:t xml:space="preserve">correct any deficiencies in language or amount </w:t>
      </w:r>
      <w:r w:rsidR="00CA34A9">
        <w:rPr>
          <w:sz w:val="26"/>
          <w:szCs w:val="26"/>
        </w:rPr>
        <w:t>on</w:t>
      </w:r>
      <w:r w:rsidR="00125574" w:rsidRPr="001A6F28">
        <w:rPr>
          <w:sz w:val="26"/>
          <w:szCs w:val="26"/>
        </w:rPr>
        <w:t xml:space="preserve"> the financial security</w:t>
      </w:r>
      <w:r w:rsidR="00B11B48">
        <w:rPr>
          <w:sz w:val="26"/>
          <w:szCs w:val="26"/>
        </w:rPr>
        <w:t>;</w:t>
      </w:r>
      <w:r w:rsidR="00125574" w:rsidRPr="001A6F28">
        <w:rPr>
          <w:sz w:val="26"/>
          <w:szCs w:val="26"/>
        </w:rPr>
        <w:t xml:space="preserve"> </w:t>
      </w:r>
      <w:r w:rsidR="002D2ABE" w:rsidRPr="00125574">
        <w:rPr>
          <w:sz w:val="26"/>
          <w:szCs w:val="26"/>
        </w:rPr>
        <w:t xml:space="preserve">and </w:t>
      </w:r>
      <w:r w:rsidR="00125574" w:rsidRPr="001A6F28">
        <w:rPr>
          <w:sz w:val="26"/>
          <w:szCs w:val="26"/>
        </w:rPr>
        <w:t xml:space="preserve">potentially issue a formal decision to </w:t>
      </w:r>
      <w:r w:rsidR="002D2ABE" w:rsidRPr="00125574">
        <w:rPr>
          <w:sz w:val="26"/>
          <w:szCs w:val="26"/>
        </w:rPr>
        <w:t xml:space="preserve">deny </w:t>
      </w:r>
      <w:r w:rsidR="006F278C">
        <w:rPr>
          <w:sz w:val="26"/>
          <w:szCs w:val="26"/>
        </w:rPr>
        <w:t>the</w:t>
      </w:r>
      <w:r w:rsidR="002D2ABE" w:rsidRPr="00125574">
        <w:rPr>
          <w:sz w:val="26"/>
          <w:szCs w:val="26"/>
        </w:rPr>
        <w:t xml:space="preserve"> 5% </w:t>
      </w:r>
      <w:r w:rsidR="00CA34A9">
        <w:rPr>
          <w:sz w:val="26"/>
          <w:szCs w:val="26"/>
        </w:rPr>
        <w:t>renewal</w:t>
      </w:r>
      <w:r w:rsidR="002D2ABE" w:rsidRPr="00125574">
        <w:rPr>
          <w:sz w:val="26"/>
          <w:szCs w:val="26"/>
        </w:rPr>
        <w:t xml:space="preserve">.  </w:t>
      </w:r>
      <w:r w:rsidR="00D6412C" w:rsidRPr="001A6F28">
        <w:rPr>
          <w:sz w:val="26"/>
          <w:szCs w:val="26"/>
        </w:rPr>
        <w:t>We</w:t>
      </w:r>
      <w:r w:rsidR="002D2ABE" w:rsidRPr="00125574">
        <w:rPr>
          <w:sz w:val="26"/>
          <w:szCs w:val="26"/>
        </w:rPr>
        <w:t xml:space="preserve"> find that </w:t>
      </w:r>
      <w:r w:rsidR="00D6412C" w:rsidRPr="001A6F28">
        <w:rPr>
          <w:sz w:val="26"/>
          <w:szCs w:val="26"/>
        </w:rPr>
        <w:t xml:space="preserve">submission of the </w:t>
      </w:r>
      <w:r w:rsidR="00B11B48">
        <w:rPr>
          <w:sz w:val="26"/>
          <w:szCs w:val="26"/>
        </w:rPr>
        <w:t>a</w:t>
      </w:r>
      <w:r w:rsidR="00D6412C" w:rsidRPr="001A6F28">
        <w:rPr>
          <w:sz w:val="26"/>
          <w:szCs w:val="26"/>
        </w:rPr>
        <w:t xml:space="preserve">nnual </w:t>
      </w:r>
      <w:r w:rsidR="00B11B48">
        <w:rPr>
          <w:sz w:val="26"/>
          <w:szCs w:val="26"/>
        </w:rPr>
        <w:t>c</w:t>
      </w:r>
      <w:r w:rsidR="00D6412C" w:rsidRPr="001A6F28">
        <w:rPr>
          <w:sz w:val="26"/>
          <w:szCs w:val="26"/>
        </w:rPr>
        <w:t xml:space="preserve">ompliance </w:t>
      </w:r>
      <w:r w:rsidR="00B11B48">
        <w:rPr>
          <w:sz w:val="26"/>
          <w:szCs w:val="26"/>
        </w:rPr>
        <w:t>f</w:t>
      </w:r>
      <w:r w:rsidR="00D6412C" w:rsidRPr="001A6F28">
        <w:rPr>
          <w:sz w:val="26"/>
          <w:szCs w:val="26"/>
        </w:rPr>
        <w:t xml:space="preserve">iling at least </w:t>
      </w:r>
      <w:r w:rsidR="002D2ABE" w:rsidRPr="00D6412C">
        <w:rPr>
          <w:sz w:val="26"/>
          <w:szCs w:val="26"/>
        </w:rPr>
        <w:t>90</w:t>
      </w:r>
      <w:r w:rsidR="00C05654">
        <w:rPr>
          <w:sz w:val="26"/>
          <w:szCs w:val="26"/>
        </w:rPr>
        <w:t xml:space="preserve"> </w:t>
      </w:r>
      <w:r w:rsidR="002D2ABE" w:rsidRPr="00D6412C">
        <w:rPr>
          <w:sz w:val="26"/>
          <w:szCs w:val="26"/>
        </w:rPr>
        <w:t xml:space="preserve">days </w:t>
      </w:r>
      <w:r w:rsidR="00D6412C" w:rsidRPr="001A6F28">
        <w:rPr>
          <w:sz w:val="26"/>
          <w:szCs w:val="26"/>
        </w:rPr>
        <w:t xml:space="preserve">prior to the expiration of an EGS’ financial security is </w:t>
      </w:r>
      <w:r w:rsidR="00B11B48">
        <w:rPr>
          <w:sz w:val="26"/>
          <w:szCs w:val="26"/>
        </w:rPr>
        <w:t>reasonable and necessary</w:t>
      </w:r>
      <w:r w:rsidR="00D6412C" w:rsidRPr="001A6F28">
        <w:rPr>
          <w:sz w:val="26"/>
          <w:szCs w:val="26"/>
        </w:rPr>
        <w:t xml:space="preserve"> </w:t>
      </w:r>
      <w:r w:rsidR="002D2ABE" w:rsidRPr="00C107F3">
        <w:rPr>
          <w:sz w:val="26"/>
          <w:szCs w:val="26"/>
        </w:rPr>
        <w:t xml:space="preserve">for Commission staff to process </w:t>
      </w:r>
      <w:r w:rsidR="00D6412C" w:rsidRPr="001A6F28">
        <w:rPr>
          <w:sz w:val="26"/>
          <w:szCs w:val="26"/>
        </w:rPr>
        <w:t xml:space="preserve">the </w:t>
      </w:r>
      <w:r w:rsidR="00B11B48">
        <w:rPr>
          <w:sz w:val="26"/>
          <w:szCs w:val="26"/>
        </w:rPr>
        <w:t>renewal request prior to the expiration of the EGS’ current security</w:t>
      </w:r>
      <w:r w:rsidR="002D2ABE" w:rsidRPr="000951EF">
        <w:rPr>
          <w:sz w:val="26"/>
          <w:szCs w:val="26"/>
        </w:rPr>
        <w:t>.</w:t>
      </w:r>
      <w:r w:rsidR="006F278C" w:rsidRPr="000951EF">
        <w:rPr>
          <w:sz w:val="26"/>
          <w:szCs w:val="26"/>
        </w:rPr>
        <w:t xml:space="preserve">  Therefore, we affirm the </w:t>
      </w:r>
      <w:r w:rsidR="00C107F3" w:rsidRPr="000951EF">
        <w:rPr>
          <w:sz w:val="26"/>
          <w:szCs w:val="26"/>
        </w:rPr>
        <w:t xml:space="preserve">directive provided in </w:t>
      </w:r>
      <w:r w:rsidR="00C107F3" w:rsidRPr="000951EF">
        <w:rPr>
          <w:sz w:val="26"/>
          <w:szCs w:val="26"/>
        </w:rPr>
        <w:lastRenderedPageBreak/>
        <w:t xml:space="preserve">the </w:t>
      </w:r>
      <w:r w:rsidR="006F278C" w:rsidRPr="000951EF">
        <w:rPr>
          <w:sz w:val="26"/>
          <w:szCs w:val="26"/>
        </w:rPr>
        <w:t>2016 Guidance Letter</w:t>
      </w:r>
      <w:r w:rsidR="00C107F3" w:rsidRPr="000951EF">
        <w:rPr>
          <w:sz w:val="26"/>
          <w:szCs w:val="26"/>
        </w:rPr>
        <w:t xml:space="preserve"> that a 5% financial </w:t>
      </w:r>
      <w:r w:rsidR="006F16E9" w:rsidRPr="000951EF">
        <w:rPr>
          <w:sz w:val="26"/>
          <w:szCs w:val="26"/>
        </w:rPr>
        <w:t xml:space="preserve">security </w:t>
      </w:r>
      <w:r w:rsidR="00C107F3" w:rsidRPr="000951EF">
        <w:rPr>
          <w:sz w:val="26"/>
          <w:szCs w:val="26"/>
        </w:rPr>
        <w:t xml:space="preserve">renewal request must be filed at least 90 days prior to </w:t>
      </w:r>
      <w:r w:rsidR="00B11B48">
        <w:rPr>
          <w:sz w:val="26"/>
          <w:szCs w:val="26"/>
        </w:rPr>
        <w:t xml:space="preserve">the expiration date of the </w:t>
      </w:r>
      <w:r w:rsidR="00C107F3" w:rsidRPr="000951EF">
        <w:rPr>
          <w:sz w:val="26"/>
          <w:szCs w:val="26"/>
        </w:rPr>
        <w:t xml:space="preserve">EGS’ </w:t>
      </w:r>
      <w:r w:rsidR="00B11B48">
        <w:rPr>
          <w:sz w:val="26"/>
          <w:szCs w:val="26"/>
        </w:rPr>
        <w:t xml:space="preserve">current </w:t>
      </w:r>
      <w:r w:rsidR="00C107F3" w:rsidRPr="000951EF">
        <w:rPr>
          <w:sz w:val="26"/>
          <w:szCs w:val="26"/>
        </w:rPr>
        <w:t>financial security.</w:t>
      </w:r>
    </w:p>
    <w:p w:rsidR="002D2ABE" w:rsidRPr="00B73B75" w:rsidRDefault="002D2ABE" w:rsidP="002D2ABE">
      <w:pPr>
        <w:spacing w:line="360" w:lineRule="auto"/>
        <w:ind w:firstLine="720"/>
        <w:rPr>
          <w:sz w:val="26"/>
          <w:szCs w:val="26"/>
        </w:rPr>
      </w:pPr>
    </w:p>
    <w:p w:rsidR="000D57DF" w:rsidRDefault="00B11B48" w:rsidP="000D57DF">
      <w:pPr>
        <w:spacing w:line="360" w:lineRule="auto"/>
        <w:ind w:firstLine="720"/>
        <w:rPr>
          <w:sz w:val="26"/>
          <w:szCs w:val="26"/>
        </w:rPr>
      </w:pPr>
      <w:r>
        <w:rPr>
          <w:sz w:val="26"/>
          <w:szCs w:val="26"/>
        </w:rPr>
        <w:t>In addition</w:t>
      </w:r>
      <w:r w:rsidR="00AB5FAB" w:rsidRPr="000951EF">
        <w:rPr>
          <w:sz w:val="26"/>
          <w:szCs w:val="26"/>
        </w:rPr>
        <w:t xml:space="preserve">, </w:t>
      </w:r>
      <w:r w:rsidR="000D57DF" w:rsidRPr="000951EF">
        <w:rPr>
          <w:sz w:val="26"/>
          <w:szCs w:val="26"/>
        </w:rPr>
        <w:t>RESA</w:t>
      </w:r>
      <w:r w:rsidR="00FF0C46">
        <w:rPr>
          <w:sz w:val="26"/>
          <w:szCs w:val="26"/>
        </w:rPr>
        <w:t xml:space="preserve"> propose</w:t>
      </w:r>
      <w:r>
        <w:rPr>
          <w:sz w:val="26"/>
          <w:szCs w:val="26"/>
        </w:rPr>
        <w:t>s</w:t>
      </w:r>
      <w:r w:rsidR="000D57DF" w:rsidRPr="000951EF">
        <w:rPr>
          <w:sz w:val="26"/>
          <w:szCs w:val="26"/>
        </w:rPr>
        <w:t xml:space="preserve"> </w:t>
      </w:r>
      <w:r w:rsidR="00FF0C46">
        <w:rPr>
          <w:sz w:val="26"/>
          <w:szCs w:val="26"/>
        </w:rPr>
        <w:t>that</w:t>
      </w:r>
      <w:r w:rsidR="00FF0C46" w:rsidRPr="000951EF">
        <w:rPr>
          <w:sz w:val="26"/>
          <w:szCs w:val="26"/>
        </w:rPr>
        <w:t xml:space="preserve"> </w:t>
      </w:r>
      <w:r w:rsidR="00AB5FAB" w:rsidRPr="000951EF">
        <w:rPr>
          <w:sz w:val="26"/>
          <w:szCs w:val="26"/>
        </w:rPr>
        <w:t xml:space="preserve">a timely and properly filed </w:t>
      </w:r>
      <w:r w:rsidR="00CA34A9">
        <w:rPr>
          <w:sz w:val="26"/>
          <w:szCs w:val="26"/>
        </w:rPr>
        <w:t>a</w:t>
      </w:r>
      <w:r w:rsidR="00AB5FAB" w:rsidRPr="000951EF">
        <w:rPr>
          <w:sz w:val="26"/>
          <w:szCs w:val="26"/>
        </w:rPr>
        <w:t xml:space="preserve">nnual </w:t>
      </w:r>
      <w:r w:rsidR="00CA34A9">
        <w:rPr>
          <w:sz w:val="26"/>
          <w:szCs w:val="26"/>
        </w:rPr>
        <w:t>c</w:t>
      </w:r>
      <w:r w:rsidR="00AB5FAB" w:rsidRPr="000951EF">
        <w:rPr>
          <w:sz w:val="26"/>
          <w:szCs w:val="26"/>
        </w:rPr>
        <w:t xml:space="preserve">ompliance </w:t>
      </w:r>
      <w:r w:rsidR="00CA34A9">
        <w:rPr>
          <w:sz w:val="26"/>
          <w:szCs w:val="26"/>
        </w:rPr>
        <w:t>f</w:t>
      </w:r>
      <w:r w:rsidR="00AB5FAB" w:rsidRPr="000951EF">
        <w:rPr>
          <w:sz w:val="26"/>
          <w:szCs w:val="26"/>
        </w:rPr>
        <w:t xml:space="preserve">iling </w:t>
      </w:r>
      <w:r w:rsidR="00FF0C46">
        <w:rPr>
          <w:sz w:val="26"/>
          <w:szCs w:val="26"/>
        </w:rPr>
        <w:t>would</w:t>
      </w:r>
      <w:r w:rsidR="00AB5FAB" w:rsidRPr="000951EF">
        <w:rPr>
          <w:sz w:val="26"/>
          <w:szCs w:val="26"/>
        </w:rPr>
        <w:t xml:space="preserve"> </w:t>
      </w:r>
      <w:r w:rsidR="00FF0C46">
        <w:rPr>
          <w:sz w:val="26"/>
          <w:szCs w:val="26"/>
        </w:rPr>
        <w:t xml:space="preserve">not require </w:t>
      </w:r>
      <w:r>
        <w:rPr>
          <w:sz w:val="26"/>
          <w:szCs w:val="26"/>
        </w:rPr>
        <w:t xml:space="preserve">a </w:t>
      </w:r>
      <w:r w:rsidR="00FF0C46">
        <w:rPr>
          <w:sz w:val="26"/>
          <w:szCs w:val="26"/>
        </w:rPr>
        <w:t>formal approval</w:t>
      </w:r>
      <w:r>
        <w:rPr>
          <w:sz w:val="26"/>
          <w:szCs w:val="26"/>
        </w:rPr>
        <w:t>,</w:t>
      </w:r>
      <w:r w:rsidR="00FF0C46">
        <w:rPr>
          <w:sz w:val="26"/>
          <w:szCs w:val="26"/>
        </w:rPr>
        <w:t xml:space="preserve"> by Secretarial Letter, but </w:t>
      </w:r>
      <w:r w:rsidR="00AB5FAB" w:rsidRPr="000951EF">
        <w:rPr>
          <w:sz w:val="26"/>
          <w:szCs w:val="26"/>
        </w:rPr>
        <w:t xml:space="preserve">result in </w:t>
      </w:r>
      <w:r w:rsidR="000D57DF" w:rsidRPr="000951EF">
        <w:rPr>
          <w:sz w:val="26"/>
          <w:szCs w:val="26"/>
        </w:rPr>
        <w:t xml:space="preserve">an EGS’ 5% financial security reduction </w:t>
      </w:r>
      <w:r w:rsidR="00AB5FAB" w:rsidRPr="000951EF">
        <w:rPr>
          <w:sz w:val="26"/>
          <w:szCs w:val="26"/>
        </w:rPr>
        <w:t xml:space="preserve">being </w:t>
      </w:r>
      <w:r w:rsidR="000D57DF" w:rsidRPr="000951EF">
        <w:rPr>
          <w:sz w:val="26"/>
          <w:szCs w:val="26"/>
        </w:rPr>
        <w:t>continued</w:t>
      </w:r>
      <w:r w:rsidR="00AB5FAB" w:rsidRPr="000951EF">
        <w:rPr>
          <w:sz w:val="26"/>
          <w:szCs w:val="26"/>
        </w:rPr>
        <w:t xml:space="preserve"> unless the Commission formally acts to deny the renewal.</w:t>
      </w:r>
      <w:r w:rsidR="00FF0C46">
        <w:rPr>
          <w:sz w:val="26"/>
          <w:szCs w:val="26"/>
        </w:rPr>
        <w:t xml:space="preserve">  We </w:t>
      </w:r>
      <w:r>
        <w:rPr>
          <w:sz w:val="26"/>
          <w:szCs w:val="26"/>
        </w:rPr>
        <w:t xml:space="preserve">agree and will adopt RESA’s </w:t>
      </w:r>
      <w:r w:rsidR="00FF0C46">
        <w:rPr>
          <w:sz w:val="26"/>
          <w:szCs w:val="26"/>
        </w:rPr>
        <w:t xml:space="preserve">proposal </w:t>
      </w:r>
      <w:r>
        <w:rPr>
          <w:sz w:val="26"/>
          <w:szCs w:val="26"/>
        </w:rPr>
        <w:t>as</w:t>
      </w:r>
      <w:r w:rsidR="00AB5FAB" w:rsidRPr="000951EF">
        <w:rPr>
          <w:sz w:val="26"/>
          <w:szCs w:val="26"/>
        </w:rPr>
        <w:t xml:space="preserve"> </w:t>
      </w:r>
      <w:r w:rsidR="00FF0C46">
        <w:rPr>
          <w:sz w:val="26"/>
          <w:szCs w:val="26"/>
        </w:rPr>
        <w:t>t</w:t>
      </w:r>
      <w:r w:rsidR="00AB5FAB" w:rsidRPr="000951EF">
        <w:rPr>
          <w:sz w:val="26"/>
          <w:szCs w:val="26"/>
        </w:rPr>
        <w:t xml:space="preserve">he requirement that an EGS file its </w:t>
      </w:r>
      <w:r>
        <w:rPr>
          <w:sz w:val="26"/>
          <w:szCs w:val="26"/>
        </w:rPr>
        <w:t>a</w:t>
      </w:r>
      <w:r w:rsidR="00AB5FAB" w:rsidRPr="000951EF">
        <w:rPr>
          <w:sz w:val="26"/>
          <w:szCs w:val="26"/>
        </w:rPr>
        <w:t xml:space="preserve">nnual </w:t>
      </w:r>
      <w:r>
        <w:rPr>
          <w:sz w:val="26"/>
          <w:szCs w:val="26"/>
        </w:rPr>
        <w:t>c</w:t>
      </w:r>
      <w:r w:rsidR="00AB5FAB" w:rsidRPr="000951EF">
        <w:rPr>
          <w:sz w:val="26"/>
          <w:szCs w:val="26"/>
        </w:rPr>
        <w:t xml:space="preserve">ompliance </w:t>
      </w:r>
      <w:r>
        <w:rPr>
          <w:sz w:val="26"/>
          <w:szCs w:val="26"/>
        </w:rPr>
        <w:t>f</w:t>
      </w:r>
      <w:r w:rsidR="00AB5FAB" w:rsidRPr="000951EF">
        <w:rPr>
          <w:sz w:val="26"/>
          <w:szCs w:val="26"/>
        </w:rPr>
        <w:t xml:space="preserve">iling at least 90 days prior to the expiration of </w:t>
      </w:r>
      <w:r>
        <w:rPr>
          <w:sz w:val="26"/>
          <w:szCs w:val="26"/>
        </w:rPr>
        <w:t>its current</w:t>
      </w:r>
      <w:r w:rsidR="00AB5FAB" w:rsidRPr="000951EF">
        <w:rPr>
          <w:sz w:val="26"/>
          <w:szCs w:val="26"/>
        </w:rPr>
        <w:t xml:space="preserve"> financial security provides sufficient time for Commission staff to work with an EGS to correct any deficiencies in the filing or reject the renewal and </w:t>
      </w:r>
      <w:r w:rsidR="000D57DF" w:rsidRPr="000951EF">
        <w:rPr>
          <w:sz w:val="26"/>
          <w:szCs w:val="26"/>
        </w:rPr>
        <w:t>requir</w:t>
      </w:r>
      <w:r w:rsidR="00AB5FAB" w:rsidRPr="000951EF">
        <w:rPr>
          <w:sz w:val="26"/>
          <w:szCs w:val="26"/>
        </w:rPr>
        <w:t>e</w:t>
      </w:r>
      <w:r w:rsidR="000D57DF" w:rsidRPr="000951EF">
        <w:rPr>
          <w:sz w:val="26"/>
          <w:szCs w:val="26"/>
        </w:rPr>
        <w:t xml:space="preserve"> the EGS to renew its security at the 10% level.</w:t>
      </w:r>
      <w:r w:rsidR="006F7E64" w:rsidRPr="000951EF">
        <w:rPr>
          <w:sz w:val="26"/>
          <w:szCs w:val="26"/>
        </w:rPr>
        <w:t xml:space="preserve">  </w:t>
      </w:r>
      <w:r>
        <w:rPr>
          <w:sz w:val="26"/>
          <w:szCs w:val="26"/>
        </w:rPr>
        <w:t xml:space="preserve">We note that under this renewal process, the EGS is to provide </w:t>
      </w:r>
      <w:r w:rsidR="00EE2F35" w:rsidRPr="004108C8">
        <w:rPr>
          <w:sz w:val="26"/>
          <w:szCs w:val="26"/>
        </w:rPr>
        <w:t xml:space="preserve">an original bond, letter of credit, rider, amendment, or other financial instrument </w:t>
      </w:r>
      <w:r w:rsidR="00EE2F35">
        <w:rPr>
          <w:sz w:val="26"/>
          <w:szCs w:val="26"/>
        </w:rPr>
        <w:t xml:space="preserve">in an amount equal to </w:t>
      </w:r>
      <w:r w:rsidR="00EE2F35" w:rsidRPr="004108C8">
        <w:rPr>
          <w:sz w:val="26"/>
          <w:szCs w:val="26"/>
        </w:rPr>
        <w:t>5% of the EGS’ most recent 12-months of gross receipts</w:t>
      </w:r>
      <w:r w:rsidR="00EE2F35">
        <w:rPr>
          <w:sz w:val="26"/>
          <w:szCs w:val="26"/>
        </w:rPr>
        <w:t xml:space="preserve">.  Acceptance of this financial instrument, without request for modification or rejection, we find is adequate to inform the EGS that its renewal was approved.  </w:t>
      </w:r>
      <w:r>
        <w:rPr>
          <w:sz w:val="26"/>
          <w:szCs w:val="26"/>
        </w:rPr>
        <w:t>Accordingly</w:t>
      </w:r>
      <w:r w:rsidR="006F7E64" w:rsidRPr="000951EF">
        <w:rPr>
          <w:sz w:val="26"/>
          <w:szCs w:val="26"/>
        </w:rPr>
        <w:t xml:space="preserve">, we </w:t>
      </w:r>
      <w:r w:rsidR="006F16E9" w:rsidRPr="000951EF">
        <w:rPr>
          <w:sz w:val="26"/>
          <w:szCs w:val="26"/>
        </w:rPr>
        <w:t xml:space="preserve">rescind </w:t>
      </w:r>
      <w:r w:rsidR="006F7E64" w:rsidRPr="000951EF">
        <w:rPr>
          <w:sz w:val="26"/>
          <w:szCs w:val="26"/>
        </w:rPr>
        <w:t xml:space="preserve">the requirement set forth in the </w:t>
      </w:r>
      <w:r w:rsidR="006F7E64" w:rsidRPr="000951EF">
        <w:rPr>
          <w:i/>
          <w:sz w:val="26"/>
          <w:szCs w:val="26"/>
        </w:rPr>
        <w:t>Final Security Order</w:t>
      </w:r>
      <w:r w:rsidR="006F7E64" w:rsidRPr="000951EF">
        <w:rPr>
          <w:sz w:val="26"/>
          <w:szCs w:val="26"/>
        </w:rPr>
        <w:t xml:space="preserve"> that </w:t>
      </w:r>
      <w:r w:rsidR="00FF0C46">
        <w:rPr>
          <w:sz w:val="26"/>
          <w:szCs w:val="26"/>
        </w:rPr>
        <w:t>TUS</w:t>
      </w:r>
      <w:r w:rsidR="006F7E64">
        <w:rPr>
          <w:sz w:val="26"/>
          <w:szCs w:val="26"/>
        </w:rPr>
        <w:t xml:space="preserve"> issue a Secretarial Letter approving the bond reduction renewal</w:t>
      </w:r>
      <w:r w:rsidR="000951EF">
        <w:rPr>
          <w:sz w:val="26"/>
          <w:szCs w:val="26"/>
        </w:rPr>
        <w:t>.</w:t>
      </w:r>
      <w:r w:rsidR="006F7E64">
        <w:rPr>
          <w:sz w:val="26"/>
          <w:szCs w:val="26"/>
        </w:rPr>
        <w:t xml:space="preserve"> </w:t>
      </w:r>
    </w:p>
    <w:p w:rsidR="00EE4716" w:rsidRPr="000D57DF" w:rsidRDefault="00EE4716" w:rsidP="000D57DF">
      <w:pPr>
        <w:spacing w:line="360" w:lineRule="auto"/>
        <w:ind w:firstLine="720"/>
        <w:rPr>
          <w:sz w:val="26"/>
          <w:szCs w:val="26"/>
        </w:rPr>
      </w:pPr>
    </w:p>
    <w:p w:rsidR="00C96616" w:rsidRPr="00AD5782" w:rsidRDefault="00125574" w:rsidP="001A6F28">
      <w:pPr>
        <w:spacing w:line="360" w:lineRule="auto"/>
        <w:rPr>
          <w:b/>
          <w:sz w:val="26"/>
          <w:szCs w:val="26"/>
          <w:u w:val="single"/>
        </w:rPr>
      </w:pPr>
      <w:r w:rsidRPr="00AD5782">
        <w:rPr>
          <w:b/>
          <w:sz w:val="26"/>
          <w:szCs w:val="26"/>
        </w:rPr>
        <w:t>B.</w:t>
      </w:r>
      <w:r w:rsidR="00EE2F35" w:rsidRPr="00AD5782">
        <w:rPr>
          <w:b/>
          <w:sz w:val="26"/>
          <w:szCs w:val="26"/>
        </w:rPr>
        <w:tab/>
      </w:r>
      <w:r w:rsidR="003F671F" w:rsidRPr="00AD5782">
        <w:rPr>
          <w:b/>
          <w:sz w:val="26"/>
          <w:szCs w:val="26"/>
        </w:rPr>
        <w:t>Annual Compliance Filing</w:t>
      </w:r>
    </w:p>
    <w:p w:rsidR="005C3C75" w:rsidRDefault="005C3C75" w:rsidP="005C3C75">
      <w:pPr>
        <w:spacing w:line="360" w:lineRule="auto"/>
        <w:ind w:firstLine="720"/>
        <w:rPr>
          <w:sz w:val="26"/>
          <w:szCs w:val="26"/>
        </w:rPr>
      </w:pPr>
      <w:r>
        <w:rPr>
          <w:sz w:val="26"/>
          <w:szCs w:val="26"/>
        </w:rPr>
        <w:t xml:space="preserve">The Commission’s </w:t>
      </w:r>
      <w:r w:rsidRPr="001A6F28">
        <w:rPr>
          <w:i/>
          <w:sz w:val="26"/>
          <w:szCs w:val="26"/>
        </w:rPr>
        <w:t>Final Security Order</w:t>
      </w:r>
      <w:r>
        <w:rPr>
          <w:sz w:val="26"/>
          <w:szCs w:val="26"/>
        </w:rPr>
        <w:t xml:space="preserve"> requires an EGS seeking a 5% financial security reduction to provide information in five specific subject areas and noted that Commission staff may seek more information from the EGS</w:t>
      </w:r>
      <w:r w:rsidR="006F16E9">
        <w:rPr>
          <w:sz w:val="26"/>
          <w:szCs w:val="26"/>
        </w:rPr>
        <w:t>.</w:t>
      </w:r>
      <w:r>
        <w:rPr>
          <w:rStyle w:val="FootnoteReference"/>
          <w:sz w:val="26"/>
          <w:szCs w:val="26"/>
        </w:rPr>
        <w:footnoteReference w:id="32"/>
      </w:r>
      <w:r>
        <w:rPr>
          <w:sz w:val="26"/>
          <w:szCs w:val="26"/>
        </w:rPr>
        <w:t xml:space="preserve">   </w:t>
      </w:r>
    </w:p>
    <w:p w:rsidR="005C3C75" w:rsidRDefault="005C3C75" w:rsidP="001A6F28">
      <w:pPr>
        <w:spacing w:line="360" w:lineRule="auto"/>
        <w:ind w:firstLine="720"/>
        <w:rPr>
          <w:sz w:val="26"/>
          <w:szCs w:val="26"/>
        </w:rPr>
      </w:pPr>
    </w:p>
    <w:p w:rsidR="00B12F47" w:rsidRPr="00E90CE0" w:rsidRDefault="00E90CE0" w:rsidP="00E90CE0">
      <w:pPr>
        <w:spacing w:line="360" w:lineRule="auto"/>
        <w:ind w:left="720"/>
        <w:rPr>
          <w:b/>
          <w:sz w:val="26"/>
          <w:szCs w:val="26"/>
        </w:rPr>
      </w:pPr>
      <w:r w:rsidRPr="00E90CE0">
        <w:rPr>
          <w:b/>
          <w:sz w:val="26"/>
          <w:szCs w:val="26"/>
        </w:rPr>
        <w:t>1.</w:t>
      </w:r>
      <w:r w:rsidRPr="00E90CE0">
        <w:rPr>
          <w:b/>
          <w:sz w:val="26"/>
          <w:szCs w:val="26"/>
        </w:rPr>
        <w:tab/>
      </w:r>
      <w:r w:rsidR="00B12F47" w:rsidRPr="00E90CE0">
        <w:rPr>
          <w:b/>
          <w:sz w:val="26"/>
          <w:szCs w:val="26"/>
        </w:rPr>
        <w:t>RESA Proposal</w:t>
      </w:r>
    </w:p>
    <w:p w:rsidR="004E41AC" w:rsidRDefault="004F3E4B" w:rsidP="004E41AC">
      <w:pPr>
        <w:spacing w:line="360" w:lineRule="auto"/>
        <w:ind w:firstLine="720"/>
        <w:rPr>
          <w:sz w:val="26"/>
          <w:szCs w:val="26"/>
        </w:rPr>
      </w:pPr>
      <w:r w:rsidRPr="004E41AC">
        <w:rPr>
          <w:sz w:val="26"/>
          <w:szCs w:val="26"/>
        </w:rPr>
        <w:t xml:space="preserve">As previously noted, RESA </w:t>
      </w:r>
      <w:r>
        <w:rPr>
          <w:sz w:val="26"/>
          <w:szCs w:val="26"/>
        </w:rPr>
        <w:t>propose</w:t>
      </w:r>
      <w:r w:rsidR="0049193C">
        <w:rPr>
          <w:sz w:val="26"/>
          <w:szCs w:val="26"/>
        </w:rPr>
        <w:t>s</w:t>
      </w:r>
      <w:r>
        <w:rPr>
          <w:sz w:val="26"/>
          <w:szCs w:val="26"/>
        </w:rPr>
        <w:t xml:space="preserve"> that an EGS would provide certain information with its Annual Compliance filing.  First, </w:t>
      </w:r>
      <w:r w:rsidR="00280E2F" w:rsidRPr="00AD4EC9">
        <w:rPr>
          <w:sz w:val="26"/>
          <w:szCs w:val="26"/>
        </w:rPr>
        <w:t>RESA propose</w:t>
      </w:r>
      <w:r w:rsidR="0049193C">
        <w:rPr>
          <w:sz w:val="26"/>
          <w:szCs w:val="26"/>
        </w:rPr>
        <w:t>s</w:t>
      </w:r>
      <w:r w:rsidR="00280E2F" w:rsidRPr="00AD4EC9">
        <w:rPr>
          <w:sz w:val="26"/>
          <w:szCs w:val="26"/>
        </w:rPr>
        <w:t xml:space="preserve"> that </w:t>
      </w:r>
      <w:r w:rsidR="00F74E2F">
        <w:rPr>
          <w:sz w:val="26"/>
          <w:szCs w:val="26"/>
        </w:rPr>
        <w:t>an</w:t>
      </w:r>
      <w:r w:rsidR="00280E2F" w:rsidRPr="00AD4EC9">
        <w:rPr>
          <w:sz w:val="26"/>
          <w:szCs w:val="26"/>
        </w:rPr>
        <w:t xml:space="preserve"> EGS would include its most recent 12</w:t>
      </w:r>
      <w:r w:rsidR="006F16E9">
        <w:rPr>
          <w:sz w:val="26"/>
          <w:szCs w:val="26"/>
        </w:rPr>
        <w:t xml:space="preserve"> </w:t>
      </w:r>
      <w:r w:rsidR="00280E2F" w:rsidRPr="00AD4EC9">
        <w:rPr>
          <w:sz w:val="26"/>
          <w:szCs w:val="26"/>
        </w:rPr>
        <w:t xml:space="preserve">months of gross receipts and a 5% </w:t>
      </w:r>
      <w:r w:rsidR="007579B6">
        <w:rPr>
          <w:sz w:val="26"/>
          <w:szCs w:val="26"/>
        </w:rPr>
        <w:t xml:space="preserve">gross receipt </w:t>
      </w:r>
      <w:r w:rsidR="00280E2F" w:rsidRPr="00AD4EC9">
        <w:rPr>
          <w:sz w:val="26"/>
          <w:szCs w:val="26"/>
        </w:rPr>
        <w:t xml:space="preserve">calculation in </w:t>
      </w:r>
      <w:r w:rsidR="007579B6">
        <w:rPr>
          <w:sz w:val="26"/>
          <w:szCs w:val="26"/>
        </w:rPr>
        <w:lastRenderedPageBreak/>
        <w:t>its</w:t>
      </w:r>
      <w:r w:rsidR="00280E2F" w:rsidRPr="00AD4EC9">
        <w:rPr>
          <w:sz w:val="26"/>
          <w:szCs w:val="26"/>
        </w:rPr>
        <w:t xml:space="preserve"> </w:t>
      </w:r>
      <w:bookmarkStart w:id="4" w:name="_Hlk521497149"/>
      <w:r w:rsidR="0049193C">
        <w:rPr>
          <w:sz w:val="26"/>
          <w:szCs w:val="26"/>
        </w:rPr>
        <w:t>filing</w:t>
      </w:r>
      <w:bookmarkEnd w:id="4"/>
      <w:r w:rsidR="00280E2F" w:rsidRPr="00AD4EC9">
        <w:rPr>
          <w:sz w:val="26"/>
          <w:szCs w:val="26"/>
        </w:rPr>
        <w:t>.</w:t>
      </w:r>
      <w:r w:rsidR="0049193C">
        <w:rPr>
          <w:sz w:val="26"/>
          <w:szCs w:val="26"/>
        </w:rPr>
        <w:t xml:space="preserve">  </w:t>
      </w:r>
      <w:r>
        <w:rPr>
          <w:sz w:val="26"/>
          <w:szCs w:val="26"/>
        </w:rPr>
        <w:t xml:space="preserve">Additionally, </w:t>
      </w:r>
      <w:r w:rsidR="00280E2F" w:rsidRPr="00AD4EC9">
        <w:rPr>
          <w:sz w:val="26"/>
          <w:szCs w:val="26"/>
        </w:rPr>
        <w:t>RESA propose</w:t>
      </w:r>
      <w:r w:rsidR="0049193C">
        <w:rPr>
          <w:sz w:val="26"/>
          <w:szCs w:val="26"/>
        </w:rPr>
        <w:t>s</w:t>
      </w:r>
      <w:r w:rsidR="00280E2F" w:rsidRPr="00AD4EC9">
        <w:rPr>
          <w:sz w:val="26"/>
          <w:szCs w:val="26"/>
        </w:rPr>
        <w:t xml:space="preserve"> that the Commission allow EGSs to file an original financial security</w:t>
      </w:r>
      <w:r w:rsidR="00280E2F">
        <w:rPr>
          <w:sz w:val="26"/>
          <w:szCs w:val="26"/>
        </w:rPr>
        <w:t xml:space="preserve"> instrument</w:t>
      </w:r>
      <w:r w:rsidR="00280E2F" w:rsidRPr="00AD4EC9">
        <w:rPr>
          <w:sz w:val="26"/>
          <w:szCs w:val="26"/>
        </w:rPr>
        <w:t xml:space="preserve"> covering the 5% of the most recent 12</w:t>
      </w:r>
      <w:r w:rsidR="006F16E9">
        <w:rPr>
          <w:sz w:val="26"/>
          <w:szCs w:val="26"/>
        </w:rPr>
        <w:t xml:space="preserve"> m</w:t>
      </w:r>
      <w:r w:rsidR="00280E2F" w:rsidRPr="00AD4EC9">
        <w:rPr>
          <w:sz w:val="26"/>
          <w:szCs w:val="26"/>
        </w:rPr>
        <w:t>onths of gross receipts</w:t>
      </w:r>
      <w:r>
        <w:rPr>
          <w:sz w:val="26"/>
          <w:szCs w:val="26"/>
        </w:rPr>
        <w:t xml:space="preserve"> at the time of the </w:t>
      </w:r>
      <w:r w:rsidR="0049193C">
        <w:rPr>
          <w:sz w:val="26"/>
          <w:szCs w:val="26"/>
        </w:rPr>
        <w:t>f</w:t>
      </w:r>
      <w:r w:rsidRPr="00AD4EC9">
        <w:rPr>
          <w:sz w:val="26"/>
          <w:szCs w:val="26"/>
        </w:rPr>
        <w:t>iling</w:t>
      </w:r>
      <w:r w:rsidR="00280E2F" w:rsidRPr="00AD4EC9">
        <w:rPr>
          <w:sz w:val="26"/>
          <w:szCs w:val="26"/>
        </w:rPr>
        <w:t xml:space="preserve">.  RESA further </w:t>
      </w:r>
      <w:r w:rsidR="004E41AC">
        <w:rPr>
          <w:sz w:val="26"/>
          <w:szCs w:val="26"/>
        </w:rPr>
        <w:t>submit</w:t>
      </w:r>
      <w:r w:rsidR="0049193C">
        <w:rPr>
          <w:sz w:val="26"/>
          <w:szCs w:val="26"/>
        </w:rPr>
        <w:t>s</w:t>
      </w:r>
      <w:r w:rsidR="004E41AC">
        <w:rPr>
          <w:sz w:val="26"/>
          <w:szCs w:val="26"/>
        </w:rPr>
        <w:t xml:space="preserve"> </w:t>
      </w:r>
      <w:r w:rsidR="00280E2F" w:rsidRPr="00AD4EC9">
        <w:rPr>
          <w:sz w:val="26"/>
          <w:szCs w:val="26"/>
        </w:rPr>
        <w:t xml:space="preserve">that if an EGS has a financial security instrument on file with the Commission that contains an </w:t>
      </w:r>
      <w:r w:rsidR="004E41AC">
        <w:rPr>
          <w:sz w:val="26"/>
          <w:szCs w:val="26"/>
        </w:rPr>
        <w:t>automatic renewal provision</w:t>
      </w:r>
      <w:r w:rsidR="00280E2F" w:rsidRPr="00AD4EC9">
        <w:rPr>
          <w:sz w:val="26"/>
          <w:szCs w:val="26"/>
        </w:rPr>
        <w:t xml:space="preserve"> and </w:t>
      </w:r>
      <w:r w:rsidR="004E41AC">
        <w:rPr>
          <w:sz w:val="26"/>
          <w:szCs w:val="26"/>
        </w:rPr>
        <w:t xml:space="preserve">the </w:t>
      </w:r>
      <w:r w:rsidR="00280E2F" w:rsidRPr="00AD4EC9">
        <w:rPr>
          <w:sz w:val="26"/>
          <w:szCs w:val="26"/>
        </w:rPr>
        <w:t xml:space="preserve">amount </w:t>
      </w:r>
      <w:r w:rsidR="004E41AC">
        <w:rPr>
          <w:sz w:val="26"/>
          <w:szCs w:val="26"/>
        </w:rPr>
        <w:t xml:space="preserve">of the instrument is enough to </w:t>
      </w:r>
      <w:r w:rsidR="00280E2F" w:rsidRPr="00AD4EC9">
        <w:rPr>
          <w:sz w:val="26"/>
          <w:szCs w:val="26"/>
        </w:rPr>
        <w:t xml:space="preserve">cover the 5% </w:t>
      </w:r>
      <w:r w:rsidR="007579B6">
        <w:rPr>
          <w:sz w:val="26"/>
          <w:szCs w:val="26"/>
        </w:rPr>
        <w:t xml:space="preserve">gross receipt </w:t>
      </w:r>
      <w:r w:rsidR="00280E2F" w:rsidRPr="00AD4EC9">
        <w:rPr>
          <w:sz w:val="26"/>
          <w:szCs w:val="26"/>
        </w:rPr>
        <w:t xml:space="preserve">calculation, the EGS </w:t>
      </w:r>
      <w:r w:rsidR="004E41AC">
        <w:rPr>
          <w:sz w:val="26"/>
          <w:szCs w:val="26"/>
        </w:rPr>
        <w:t xml:space="preserve">would advise the Commission of such in </w:t>
      </w:r>
      <w:r w:rsidR="0049193C">
        <w:rPr>
          <w:sz w:val="26"/>
          <w:szCs w:val="26"/>
        </w:rPr>
        <w:t>its</w:t>
      </w:r>
      <w:r w:rsidR="00280E2F" w:rsidRPr="00AD4EC9">
        <w:rPr>
          <w:sz w:val="26"/>
          <w:szCs w:val="26"/>
        </w:rPr>
        <w:t xml:space="preserve"> </w:t>
      </w:r>
      <w:r w:rsidR="0049193C">
        <w:rPr>
          <w:sz w:val="26"/>
          <w:szCs w:val="26"/>
        </w:rPr>
        <w:t>f</w:t>
      </w:r>
      <w:r w:rsidR="00280E2F" w:rsidRPr="00AD4EC9">
        <w:rPr>
          <w:sz w:val="26"/>
          <w:szCs w:val="26"/>
        </w:rPr>
        <w:t>iling.</w:t>
      </w:r>
      <w:r w:rsidR="0049193C">
        <w:rPr>
          <w:sz w:val="26"/>
          <w:szCs w:val="26"/>
        </w:rPr>
        <w:t xml:space="preserve">  </w:t>
      </w:r>
      <w:r w:rsidR="004E41AC">
        <w:rPr>
          <w:sz w:val="26"/>
          <w:szCs w:val="26"/>
        </w:rPr>
        <w:t>Finally, RESA propose</w:t>
      </w:r>
      <w:r w:rsidR="0049193C">
        <w:rPr>
          <w:sz w:val="26"/>
          <w:szCs w:val="26"/>
        </w:rPr>
        <w:t>s</w:t>
      </w:r>
      <w:r w:rsidR="004E41AC">
        <w:rPr>
          <w:sz w:val="26"/>
          <w:szCs w:val="26"/>
        </w:rPr>
        <w:t xml:space="preserve"> </w:t>
      </w:r>
      <w:r w:rsidR="004E41AC" w:rsidRPr="00AD4EC9">
        <w:rPr>
          <w:sz w:val="26"/>
          <w:szCs w:val="26"/>
        </w:rPr>
        <w:t xml:space="preserve">that </w:t>
      </w:r>
      <w:r w:rsidR="006F16E9">
        <w:rPr>
          <w:sz w:val="26"/>
          <w:szCs w:val="26"/>
        </w:rPr>
        <w:t>an</w:t>
      </w:r>
      <w:r w:rsidR="004E41AC" w:rsidRPr="00AD4EC9">
        <w:rPr>
          <w:sz w:val="26"/>
          <w:szCs w:val="26"/>
        </w:rPr>
        <w:t xml:space="preserve"> EGS </w:t>
      </w:r>
      <w:r w:rsidR="0049193C">
        <w:rPr>
          <w:sz w:val="26"/>
          <w:szCs w:val="26"/>
        </w:rPr>
        <w:t>is to</w:t>
      </w:r>
      <w:r w:rsidR="004E41AC" w:rsidRPr="00AD4EC9">
        <w:rPr>
          <w:sz w:val="26"/>
          <w:szCs w:val="26"/>
        </w:rPr>
        <w:t xml:space="preserve"> include an attestation signed by an officer</w:t>
      </w:r>
      <w:r w:rsidR="004E41AC">
        <w:rPr>
          <w:sz w:val="26"/>
          <w:szCs w:val="26"/>
        </w:rPr>
        <w:t xml:space="preserve"> </w:t>
      </w:r>
      <w:r w:rsidR="004E41AC" w:rsidRPr="00991CDD">
        <w:rPr>
          <w:sz w:val="26"/>
          <w:szCs w:val="26"/>
        </w:rPr>
        <w:t xml:space="preserve">of the EGS, verifying that </w:t>
      </w:r>
      <w:r w:rsidR="006F16E9">
        <w:rPr>
          <w:sz w:val="26"/>
          <w:szCs w:val="26"/>
        </w:rPr>
        <w:t>it</w:t>
      </w:r>
      <w:r w:rsidR="004E41AC" w:rsidRPr="00991CDD">
        <w:rPr>
          <w:sz w:val="26"/>
          <w:szCs w:val="26"/>
        </w:rPr>
        <w:t xml:space="preserve"> will pay all taxes it is subject to in Pennsylvania.</w:t>
      </w:r>
    </w:p>
    <w:p w:rsidR="005C3C75" w:rsidRDefault="005C3C75" w:rsidP="004E41AC">
      <w:pPr>
        <w:spacing w:line="360" w:lineRule="auto"/>
        <w:ind w:firstLine="720"/>
        <w:rPr>
          <w:sz w:val="26"/>
          <w:szCs w:val="26"/>
        </w:rPr>
      </w:pPr>
    </w:p>
    <w:p w:rsidR="00B12F47" w:rsidRPr="0049193C" w:rsidRDefault="0049193C" w:rsidP="0049193C">
      <w:pPr>
        <w:spacing w:line="360" w:lineRule="auto"/>
        <w:ind w:left="720"/>
        <w:rPr>
          <w:b/>
          <w:sz w:val="26"/>
          <w:szCs w:val="26"/>
        </w:rPr>
      </w:pPr>
      <w:r>
        <w:rPr>
          <w:b/>
          <w:sz w:val="26"/>
          <w:szCs w:val="26"/>
        </w:rPr>
        <w:t>2.</w:t>
      </w:r>
      <w:r>
        <w:rPr>
          <w:b/>
          <w:sz w:val="26"/>
          <w:szCs w:val="26"/>
        </w:rPr>
        <w:tab/>
      </w:r>
      <w:r w:rsidR="00125574" w:rsidRPr="0049193C">
        <w:rPr>
          <w:b/>
          <w:sz w:val="26"/>
          <w:szCs w:val="26"/>
        </w:rPr>
        <w:t>Disposition</w:t>
      </w:r>
    </w:p>
    <w:p w:rsidR="002505CF" w:rsidRPr="001A6F28" w:rsidRDefault="00991CDD">
      <w:pPr>
        <w:spacing w:line="360" w:lineRule="auto"/>
        <w:ind w:firstLine="720"/>
        <w:rPr>
          <w:snapToGrid w:val="0"/>
          <w:sz w:val="26"/>
          <w:szCs w:val="26"/>
        </w:rPr>
      </w:pPr>
      <w:r w:rsidRPr="001A6F28">
        <w:rPr>
          <w:sz w:val="26"/>
          <w:szCs w:val="26"/>
        </w:rPr>
        <w:t xml:space="preserve">The </w:t>
      </w:r>
      <w:r w:rsidRPr="001A6F28">
        <w:rPr>
          <w:i/>
          <w:sz w:val="26"/>
          <w:szCs w:val="26"/>
        </w:rPr>
        <w:t>Final Security Order</w:t>
      </w:r>
      <w:r w:rsidRPr="001A6F28">
        <w:rPr>
          <w:sz w:val="26"/>
          <w:szCs w:val="26"/>
        </w:rPr>
        <w:t xml:space="preserve"> require</w:t>
      </w:r>
      <w:r w:rsidR="0049193C">
        <w:rPr>
          <w:sz w:val="26"/>
          <w:szCs w:val="26"/>
        </w:rPr>
        <w:t>d</w:t>
      </w:r>
      <w:r w:rsidRPr="001A6F28">
        <w:rPr>
          <w:sz w:val="26"/>
          <w:szCs w:val="26"/>
        </w:rPr>
        <w:t xml:space="preserve"> an EGS to provide its gross revenues for the sale of electricity to retail customers in Pennsylvania for the most recent 12 months</w:t>
      </w:r>
      <w:r w:rsidR="000951EF">
        <w:rPr>
          <w:sz w:val="26"/>
          <w:szCs w:val="26"/>
        </w:rPr>
        <w:t>.</w:t>
      </w:r>
      <w:r w:rsidRPr="0049193C">
        <w:rPr>
          <w:rStyle w:val="FootnoteReference"/>
          <w:sz w:val="26"/>
          <w:szCs w:val="26"/>
        </w:rPr>
        <w:footnoteReference w:id="33"/>
      </w:r>
      <w:r w:rsidRPr="001A6F28">
        <w:rPr>
          <w:sz w:val="26"/>
          <w:szCs w:val="26"/>
        </w:rPr>
        <w:t xml:space="preserve">  RESA’s proposal to continue this reporting requirement </w:t>
      </w:r>
      <w:r>
        <w:rPr>
          <w:sz w:val="26"/>
          <w:szCs w:val="26"/>
        </w:rPr>
        <w:t>and add the additional step of calculating and presenting the 5% gross receipt figure</w:t>
      </w:r>
      <w:r w:rsidR="006F16E9">
        <w:rPr>
          <w:sz w:val="26"/>
          <w:szCs w:val="26"/>
        </w:rPr>
        <w:t xml:space="preserve"> has merit</w:t>
      </w:r>
      <w:r>
        <w:rPr>
          <w:sz w:val="26"/>
          <w:szCs w:val="26"/>
        </w:rPr>
        <w:t xml:space="preserve"> and we adopt it.  Since the financial security amount is based on the 5% gross receipt figure, we </w:t>
      </w:r>
      <w:r w:rsidR="00B12F47" w:rsidRPr="0001194D">
        <w:rPr>
          <w:sz w:val="26"/>
          <w:szCs w:val="26"/>
        </w:rPr>
        <w:t>believe that it is important for both the Commission and the EGS to clearly understand and agree upon the data and calculations that underpin the financial security amount.</w:t>
      </w:r>
      <w:r w:rsidRPr="0001194D">
        <w:rPr>
          <w:sz w:val="26"/>
          <w:szCs w:val="26"/>
        </w:rPr>
        <w:t xml:space="preserve">  </w:t>
      </w:r>
    </w:p>
    <w:p w:rsidR="00412707" w:rsidRPr="0001194D" w:rsidRDefault="00412707" w:rsidP="001A6F28">
      <w:pPr>
        <w:spacing w:line="360" w:lineRule="auto"/>
        <w:ind w:firstLine="720"/>
        <w:rPr>
          <w:snapToGrid w:val="0"/>
          <w:sz w:val="26"/>
          <w:szCs w:val="26"/>
        </w:rPr>
      </w:pPr>
    </w:p>
    <w:p w:rsidR="0001194D" w:rsidRPr="001A6F28" w:rsidRDefault="0001194D" w:rsidP="00991CDD">
      <w:pPr>
        <w:spacing w:line="360" w:lineRule="auto"/>
        <w:ind w:firstLine="720"/>
        <w:rPr>
          <w:sz w:val="26"/>
          <w:szCs w:val="26"/>
        </w:rPr>
      </w:pPr>
      <w:r w:rsidRPr="001A6F28">
        <w:rPr>
          <w:snapToGrid w:val="0"/>
          <w:sz w:val="26"/>
          <w:szCs w:val="26"/>
        </w:rPr>
        <w:t>Additionally, R</w:t>
      </w:r>
      <w:r w:rsidR="00412707" w:rsidRPr="001A6F28">
        <w:rPr>
          <w:snapToGrid w:val="0"/>
          <w:sz w:val="26"/>
          <w:szCs w:val="26"/>
        </w:rPr>
        <w:t>ESA</w:t>
      </w:r>
      <w:r w:rsidRPr="001A6F28">
        <w:rPr>
          <w:snapToGrid w:val="0"/>
          <w:sz w:val="26"/>
          <w:szCs w:val="26"/>
        </w:rPr>
        <w:t xml:space="preserve"> propose</w:t>
      </w:r>
      <w:r w:rsidR="0049193C">
        <w:rPr>
          <w:snapToGrid w:val="0"/>
          <w:sz w:val="26"/>
          <w:szCs w:val="26"/>
        </w:rPr>
        <w:t>s</w:t>
      </w:r>
      <w:r w:rsidRPr="001A6F28">
        <w:rPr>
          <w:snapToGrid w:val="0"/>
          <w:sz w:val="26"/>
          <w:szCs w:val="26"/>
        </w:rPr>
        <w:t xml:space="preserve"> that EGSs be allowed to file the financial security covering the 5% gross receipt amount at the time of the </w:t>
      </w:r>
      <w:r w:rsidR="0049193C">
        <w:rPr>
          <w:snapToGrid w:val="0"/>
          <w:sz w:val="26"/>
          <w:szCs w:val="26"/>
        </w:rPr>
        <w:t>its</w:t>
      </w:r>
      <w:r w:rsidRPr="001A6F28">
        <w:rPr>
          <w:snapToGrid w:val="0"/>
          <w:sz w:val="26"/>
          <w:szCs w:val="26"/>
        </w:rPr>
        <w:t xml:space="preserve"> </w:t>
      </w:r>
      <w:r w:rsidR="0049193C">
        <w:rPr>
          <w:snapToGrid w:val="0"/>
          <w:sz w:val="26"/>
          <w:szCs w:val="26"/>
        </w:rPr>
        <w:t>f</w:t>
      </w:r>
      <w:r w:rsidRPr="001A6F28">
        <w:rPr>
          <w:snapToGrid w:val="0"/>
          <w:sz w:val="26"/>
          <w:szCs w:val="26"/>
        </w:rPr>
        <w:t xml:space="preserve">iling.  The current protocol requires the EGS to submit the financial security after Commission approval of the 5% bond reduction </w:t>
      </w:r>
      <w:r w:rsidR="00252773">
        <w:rPr>
          <w:snapToGrid w:val="0"/>
          <w:sz w:val="26"/>
          <w:szCs w:val="26"/>
        </w:rPr>
        <w:t xml:space="preserve">renewal </w:t>
      </w:r>
      <w:r w:rsidRPr="001A6F28">
        <w:rPr>
          <w:snapToGrid w:val="0"/>
          <w:sz w:val="26"/>
          <w:szCs w:val="26"/>
        </w:rPr>
        <w:t>petition.  RESA further purpose</w:t>
      </w:r>
      <w:r w:rsidR="0049193C">
        <w:rPr>
          <w:snapToGrid w:val="0"/>
          <w:sz w:val="26"/>
          <w:szCs w:val="26"/>
        </w:rPr>
        <w:t>s</w:t>
      </w:r>
      <w:r w:rsidRPr="001A6F28">
        <w:rPr>
          <w:snapToGrid w:val="0"/>
          <w:sz w:val="26"/>
          <w:szCs w:val="26"/>
        </w:rPr>
        <w:t xml:space="preserve"> that </w:t>
      </w:r>
      <w:r w:rsidR="00280E2F" w:rsidRPr="0001194D">
        <w:rPr>
          <w:sz w:val="26"/>
          <w:szCs w:val="26"/>
        </w:rPr>
        <w:t xml:space="preserve">if an EGS </w:t>
      </w:r>
      <w:r w:rsidR="00280E2F" w:rsidRPr="00252773">
        <w:rPr>
          <w:sz w:val="26"/>
          <w:szCs w:val="26"/>
        </w:rPr>
        <w:t xml:space="preserve">has a financial security instrument on file with the Commission that contains an </w:t>
      </w:r>
      <w:r w:rsidR="00412707" w:rsidRPr="001A6F28">
        <w:rPr>
          <w:sz w:val="26"/>
          <w:szCs w:val="26"/>
        </w:rPr>
        <w:t xml:space="preserve">automatic </w:t>
      </w:r>
      <w:r w:rsidR="00280E2F" w:rsidRPr="00252773">
        <w:rPr>
          <w:sz w:val="26"/>
          <w:szCs w:val="26"/>
        </w:rPr>
        <w:t xml:space="preserve">renewal provision and the amount continues to cover the 5% </w:t>
      </w:r>
      <w:r w:rsidR="007579B6" w:rsidRPr="00252773">
        <w:rPr>
          <w:sz w:val="26"/>
          <w:szCs w:val="26"/>
        </w:rPr>
        <w:t xml:space="preserve">gross receipts </w:t>
      </w:r>
      <w:r w:rsidR="00280E2F" w:rsidRPr="00252773">
        <w:rPr>
          <w:sz w:val="26"/>
          <w:szCs w:val="26"/>
        </w:rPr>
        <w:t xml:space="preserve">calculation, the EGS must state this in </w:t>
      </w:r>
      <w:r w:rsidR="0049193C">
        <w:rPr>
          <w:sz w:val="26"/>
          <w:szCs w:val="26"/>
        </w:rPr>
        <w:t>its</w:t>
      </w:r>
      <w:r w:rsidR="00280E2F" w:rsidRPr="00252773">
        <w:rPr>
          <w:sz w:val="26"/>
          <w:szCs w:val="26"/>
        </w:rPr>
        <w:t xml:space="preserve"> </w:t>
      </w:r>
      <w:r w:rsidR="0049193C">
        <w:rPr>
          <w:sz w:val="26"/>
          <w:szCs w:val="26"/>
        </w:rPr>
        <w:t>f</w:t>
      </w:r>
      <w:r w:rsidR="00280E2F" w:rsidRPr="00252773">
        <w:rPr>
          <w:sz w:val="26"/>
          <w:szCs w:val="26"/>
        </w:rPr>
        <w:t>iling</w:t>
      </w:r>
      <w:r w:rsidRPr="001A6F28">
        <w:rPr>
          <w:sz w:val="26"/>
          <w:szCs w:val="26"/>
        </w:rPr>
        <w:t xml:space="preserve"> and not be required to submit a new financial instrument</w:t>
      </w:r>
      <w:r w:rsidR="00280E2F" w:rsidRPr="00252773">
        <w:rPr>
          <w:sz w:val="26"/>
          <w:szCs w:val="26"/>
        </w:rPr>
        <w:t>.</w:t>
      </w:r>
      <w:r w:rsidR="00991CDD" w:rsidRPr="001A6F28">
        <w:rPr>
          <w:sz w:val="26"/>
          <w:szCs w:val="26"/>
        </w:rPr>
        <w:t xml:space="preserve"> </w:t>
      </w:r>
    </w:p>
    <w:p w:rsidR="0001194D" w:rsidRPr="001A6F28" w:rsidRDefault="0001194D" w:rsidP="00991CDD">
      <w:pPr>
        <w:spacing w:line="360" w:lineRule="auto"/>
        <w:ind w:firstLine="720"/>
        <w:rPr>
          <w:sz w:val="26"/>
          <w:szCs w:val="26"/>
        </w:rPr>
      </w:pPr>
    </w:p>
    <w:p w:rsidR="00991CDD" w:rsidRPr="001A6F28" w:rsidRDefault="00252773" w:rsidP="00991CDD">
      <w:pPr>
        <w:spacing w:line="360" w:lineRule="auto"/>
        <w:ind w:firstLine="720"/>
        <w:rPr>
          <w:snapToGrid w:val="0"/>
          <w:sz w:val="26"/>
          <w:szCs w:val="26"/>
        </w:rPr>
      </w:pPr>
      <w:r w:rsidRPr="001A6F28">
        <w:rPr>
          <w:sz w:val="26"/>
          <w:szCs w:val="26"/>
        </w:rPr>
        <w:lastRenderedPageBreak/>
        <w:t xml:space="preserve">Since we are replacing the annual 5% bond reduction renewal petition and associated </w:t>
      </w:r>
      <w:r w:rsidR="00A017BD">
        <w:rPr>
          <w:sz w:val="26"/>
          <w:szCs w:val="26"/>
        </w:rPr>
        <w:t>approval via Secretarial Letter</w:t>
      </w:r>
      <w:r w:rsidRPr="001A6F28">
        <w:rPr>
          <w:sz w:val="26"/>
          <w:szCs w:val="26"/>
        </w:rPr>
        <w:t xml:space="preserve"> with </w:t>
      </w:r>
      <w:r w:rsidR="009752C7">
        <w:rPr>
          <w:sz w:val="26"/>
          <w:szCs w:val="26"/>
        </w:rPr>
        <w:t>an</w:t>
      </w:r>
      <w:r w:rsidRPr="001A6F28">
        <w:rPr>
          <w:sz w:val="26"/>
          <w:szCs w:val="26"/>
        </w:rPr>
        <w:t xml:space="preserve"> </w:t>
      </w:r>
      <w:r w:rsidR="009752C7">
        <w:rPr>
          <w:sz w:val="26"/>
          <w:szCs w:val="26"/>
        </w:rPr>
        <w:t>a</w:t>
      </w:r>
      <w:r w:rsidRPr="001A6F28">
        <w:rPr>
          <w:sz w:val="26"/>
          <w:szCs w:val="26"/>
        </w:rPr>
        <w:t xml:space="preserve">nnual </w:t>
      </w:r>
      <w:r w:rsidR="009752C7">
        <w:rPr>
          <w:sz w:val="26"/>
          <w:szCs w:val="26"/>
        </w:rPr>
        <w:t>c</w:t>
      </w:r>
      <w:r w:rsidRPr="001A6F28">
        <w:rPr>
          <w:sz w:val="26"/>
          <w:szCs w:val="26"/>
        </w:rPr>
        <w:t xml:space="preserve">ompliance </w:t>
      </w:r>
      <w:r w:rsidR="009752C7">
        <w:rPr>
          <w:sz w:val="26"/>
          <w:szCs w:val="26"/>
        </w:rPr>
        <w:t>f</w:t>
      </w:r>
      <w:r w:rsidRPr="001A6F28">
        <w:rPr>
          <w:sz w:val="26"/>
          <w:szCs w:val="26"/>
        </w:rPr>
        <w:t xml:space="preserve">iling, </w:t>
      </w:r>
      <w:r w:rsidR="009752C7">
        <w:rPr>
          <w:sz w:val="26"/>
          <w:szCs w:val="26"/>
        </w:rPr>
        <w:t xml:space="preserve">we find </w:t>
      </w:r>
      <w:r w:rsidRPr="001A6F28">
        <w:rPr>
          <w:sz w:val="26"/>
          <w:szCs w:val="26"/>
        </w:rPr>
        <w:t xml:space="preserve">the RESA proposal </w:t>
      </w:r>
      <w:r w:rsidR="00A017BD" w:rsidRPr="001A6F28">
        <w:rPr>
          <w:sz w:val="26"/>
          <w:szCs w:val="26"/>
        </w:rPr>
        <w:t>reasonable</w:t>
      </w:r>
      <w:r w:rsidRPr="001A6F28">
        <w:rPr>
          <w:sz w:val="26"/>
          <w:szCs w:val="26"/>
        </w:rPr>
        <w:t xml:space="preserve"> and we adopt it.  We</w:t>
      </w:r>
      <w:r w:rsidR="00991CDD" w:rsidRPr="001A6F28">
        <w:rPr>
          <w:sz w:val="26"/>
          <w:szCs w:val="26"/>
        </w:rPr>
        <w:t xml:space="preserve"> note</w:t>
      </w:r>
      <w:r w:rsidRPr="001A6F28">
        <w:rPr>
          <w:sz w:val="26"/>
          <w:szCs w:val="26"/>
        </w:rPr>
        <w:t xml:space="preserve"> that </w:t>
      </w:r>
      <w:r w:rsidR="00991CDD" w:rsidRPr="001A6F28">
        <w:rPr>
          <w:sz w:val="26"/>
          <w:szCs w:val="26"/>
        </w:rPr>
        <w:t xml:space="preserve">the </w:t>
      </w:r>
      <w:r w:rsidRPr="001A6F28">
        <w:rPr>
          <w:sz w:val="26"/>
          <w:szCs w:val="26"/>
        </w:rPr>
        <w:t>f</w:t>
      </w:r>
      <w:r w:rsidR="00991CDD" w:rsidRPr="001A6F28">
        <w:rPr>
          <w:sz w:val="26"/>
          <w:szCs w:val="26"/>
        </w:rPr>
        <w:t xml:space="preserve">inancial security </w:t>
      </w:r>
      <w:r w:rsidRPr="001A6F28">
        <w:rPr>
          <w:sz w:val="26"/>
          <w:szCs w:val="26"/>
        </w:rPr>
        <w:t xml:space="preserve">submitted with the </w:t>
      </w:r>
      <w:r w:rsidR="009752C7">
        <w:rPr>
          <w:sz w:val="26"/>
          <w:szCs w:val="26"/>
        </w:rPr>
        <w:t>a</w:t>
      </w:r>
      <w:r w:rsidRPr="001A6F28">
        <w:rPr>
          <w:sz w:val="26"/>
          <w:szCs w:val="26"/>
        </w:rPr>
        <w:t xml:space="preserve">nnual </w:t>
      </w:r>
      <w:r w:rsidR="009752C7">
        <w:rPr>
          <w:sz w:val="26"/>
          <w:szCs w:val="26"/>
        </w:rPr>
        <w:t>c</w:t>
      </w:r>
      <w:r w:rsidRPr="001A6F28">
        <w:rPr>
          <w:sz w:val="26"/>
          <w:szCs w:val="26"/>
        </w:rPr>
        <w:t xml:space="preserve">ompliance </w:t>
      </w:r>
      <w:r w:rsidR="009752C7">
        <w:rPr>
          <w:sz w:val="26"/>
          <w:szCs w:val="26"/>
        </w:rPr>
        <w:t>f</w:t>
      </w:r>
      <w:r w:rsidRPr="001A6F28">
        <w:rPr>
          <w:sz w:val="26"/>
          <w:szCs w:val="26"/>
        </w:rPr>
        <w:t xml:space="preserve">iling </w:t>
      </w:r>
      <w:r w:rsidR="00991CDD" w:rsidRPr="001A6F28">
        <w:rPr>
          <w:sz w:val="26"/>
          <w:szCs w:val="26"/>
        </w:rPr>
        <w:t xml:space="preserve">must </w:t>
      </w:r>
      <w:r w:rsidRPr="001A6F28">
        <w:rPr>
          <w:sz w:val="26"/>
          <w:szCs w:val="26"/>
        </w:rPr>
        <w:t xml:space="preserve">have an </w:t>
      </w:r>
      <w:r w:rsidR="00991CDD" w:rsidRPr="001A6F28">
        <w:rPr>
          <w:sz w:val="26"/>
          <w:szCs w:val="26"/>
        </w:rPr>
        <w:t xml:space="preserve">effective </w:t>
      </w:r>
      <w:r w:rsidRPr="001A6F28">
        <w:rPr>
          <w:sz w:val="26"/>
          <w:szCs w:val="26"/>
        </w:rPr>
        <w:t>date that coincides with the e</w:t>
      </w:r>
      <w:r w:rsidR="00991CDD" w:rsidRPr="001A6F28">
        <w:rPr>
          <w:sz w:val="26"/>
          <w:szCs w:val="26"/>
        </w:rPr>
        <w:t xml:space="preserve">xpiration/anniversary date of the EGS’ current financial security.  </w:t>
      </w:r>
    </w:p>
    <w:p w:rsidR="00280E2F" w:rsidRPr="00252773" w:rsidRDefault="00280E2F" w:rsidP="001A6F28">
      <w:pPr>
        <w:spacing w:line="360" w:lineRule="auto"/>
        <w:ind w:firstLine="720"/>
        <w:rPr>
          <w:snapToGrid w:val="0"/>
          <w:sz w:val="26"/>
          <w:szCs w:val="26"/>
        </w:rPr>
      </w:pPr>
    </w:p>
    <w:p w:rsidR="0081288D" w:rsidRPr="0001784D" w:rsidRDefault="000668D0">
      <w:pPr>
        <w:spacing w:line="360" w:lineRule="auto"/>
        <w:ind w:firstLine="720"/>
        <w:rPr>
          <w:sz w:val="26"/>
          <w:szCs w:val="26"/>
        </w:rPr>
      </w:pPr>
      <w:r w:rsidRPr="00252773">
        <w:rPr>
          <w:sz w:val="26"/>
          <w:szCs w:val="26"/>
        </w:rPr>
        <w:t>Finally,</w:t>
      </w:r>
      <w:r w:rsidR="00280E2F" w:rsidRPr="00252773">
        <w:rPr>
          <w:sz w:val="26"/>
          <w:szCs w:val="26"/>
        </w:rPr>
        <w:t xml:space="preserve"> </w:t>
      </w:r>
      <w:r w:rsidR="009752C7">
        <w:rPr>
          <w:sz w:val="26"/>
          <w:szCs w:val="26"/>
        </w:rPr>
        <w:t xml:space="preserve">regarding </w:t>
      </w:r>
      <w:r w:rsidR="00280E2F" w:rsidRPr="00252773">
        <w:rPr>
          <w:sz w:val="26"/>
          <w:szCs w:val="26"/>
        </w:rPr>
        <w:t>RESA</w:t>
      </w:r>
      <w:r w:rsidR="009752C7">
        <w:rPr>
          <w:sz w:val="26"/>
          <w:szCs w:val="26"/>
        </w:rPr>
        <w:t>’s</w:t>
      </w:r>
      <w:r w:rsidR="00280E2F" w:rsidRPr="00252773">
        <w:rPr>
          <w:sz w:val="26"/>
          <w:szCs w:val="26"/>
        </w:rPr>
        <w:t xml:space="preserve"> request that </w:t>
      </w:r>
      <w:r w:rsidR="00A017BD">
        <w:rPr>
          <w:sz w:val="26"/>
          <w:szCs w:val="26"/>
        </w:rPr>
        <w:t>an</w:t>
      </w:r>
      <w:r w:rsidR="00280E2F" w:rsidRPr="00252773">
        <w:rPr>
          <w:sz w:val="26"/>
          <w:szCs w:val="26"/>
        </w:rPr>
        <w:t xml:space="preserve"> EGS </w:t>
      </w:r>
      <w:r w:rsidRPr="00252773">
        <w:rPr>
          <w:sz w:val="26"/>
          <w:szCs w:val="26"/>
        </w:rPr>
        <w:t xml:space="preserve">be permitted to </w:t>
      </w:r>
      <w:r w:rsidR="00280E2F" w:rsidRPr="00252773">
        <w:rPr>
          <w:sz w:val="26"/>
          <w:szCs w:val="26"/>
        </w:rPr>
        <w:t>include an attestation signed by a</w:t>
      </w:r>
      <w:r w:rsidRPr="00252773">
        <w:rPr>
          <w:sz w:val="26"/>
          <w:szCs w:val="26"/>
        </w:rPr>
        <w:t xml:space="preserve"> corporate </w:t>
      </w:r>
      <w:r w:rsidR="00280E2F" w:rsidRPr="00252773">
        <w:rPr>
          <w:sz w:val="26"/>
          <w:szCs w:val="26"/>
        </w:rPr>
        <w:t xml:space="preserve">officer </w:t>
      </w:r>
      <w:r w:rsidR="00280E2F" w:rsidRPr="000668D0">
        <w:rPr>
          <w:sz w:val="26"/>
          <w:szCs w:val="26"/>
        </w:rPr>
        <w:t xml:space="preserve">verifying that </w:t>
      </w:r>
      <w:r w:rsidR="00A017BD">
        <w:rPr>
          <w:sz w:val="26"/>
          <w:szCs w:val="26"/>
        </w:rPr>
        <w:t xml:space="preserve">it </w:t>
      </w:r>
      <w:r w:rsidR="00280E2F" w:rsidRPr="000668D0">
        <w:rPr>
          <w:sz w:val="26"/>
          <w:szCs w:val="26"/>
        </w:rPr>
        <w:t>will pay all taxes it is subject to in Pennsylvania</w:t>
      </w:r>
      <w:r w:rsidRPr="000668D0">
        <w:rPr>
          <w:sz w:val="26"/>
          <w:szCs w:val="26"/>
        </w:rPr>
        <w:t xml:space="preserve"> in lieu of providing any documentation from the Department of Revenue as required by the </w:t>
      </w:r>
      <w:r w:rsidRPr="001A6F28">
        <w:rPr>
          <w:i/>
          <w:sz w:val="26"/>
          <w:szCs w:val="26"/>
        </w:rPr>
        <w:t>Final Security Order</w:t>
      </w:r>
      <w:r w:rsidRPr="000668D0">
        <w:rPr>
          <w:rStyle w:val="FootnoteReference"/>
          <w:sz w:val="26"/>
          <w:szCs w:val="26"/>
        </w:rPr>
        <w:footnoteReference w:id="34"/>
      </w:r>
      <w:r w:rsidRPr="000668D0">
        <w:rPr>
          <w:sz w:val="26"/>
          <w:szCs w:val="26"/>
        </w:rPr>
        <w:t xml:space="preserve"> and the 2016 Guidance Letter</w:t>
      </w:r>
      <w:r w:rsidR="009752C7">
        <w:rPr>
          <w:sz w:val="26"/>
          <w:szCs w:val="26"/>
        </w:rPr>
        <w:t xml:space="preserve">, we find </w:t>
      </w:r>
      <w:r w:rsidR="000C0896">
        <w:rPr>
          <w:sz w:val="26"/>
          <w:szCs w:val="26"/>
        </w:rPr>
        <w:t>that an attestation is</w:t>
      </w:r>
      <w:r w:rsidR="009752C7">
        <w:rPr>
          <w:sz w:val="26"/>
          <w:szCs w:val="26"/>
        </w:rPr>
        <w:t xml:space="preserve"> inadequate</w:t>
      </w:r>
      <w:r w:rsidR="00280E2F" w:rsidRPr="000668D0">
        <w:rPr>
          <w:sz w:val="26"/>
          <w:szCs w:val="26"/>
        </w:rPr>
        <w:t>.</w:t>
      </w:r>
      <w:r w:rsidR="009752C7">
        <w:rPr>
          <w:sz w:val="26"/>
          <w:szCs w:val="26"/>
        </w:rPr>
        <w:t xml:space="preserve">  </w:t>
      </w:r>
      <w:r w:rsidR="00280E2F" w:rsidRPr="000668D0">
        <w:rPr>
          <w:sz w:val="26"/>
          <w:szCs w:val="26"/>
        </w:rPr>
        <w:t xml:space="preserve">The 2016 Guidance Letter </w:t>
      </w:r>
      <w:r w:rsidR="00A017BD">
        <w:rPr>
          <w:sz w:val="26"/>
          <w:szCs w:val="26"/>
        </w:rPr>
        <w:t>detailed</w:t>
      </w:r>
      <w:r w:rsidR="00A017BD" w:rsidRPr="001A6F28">
        <w:rPr>
          <w:sz w:val="26"/>
          <w:szCs w:val="26"/>
        </w:rPr>
        <w:t xml:space="preserve"> </w:t>
      </w:r>
      <w:r w:rsidRPr="001A6F28">
        <w:rPr>
          <w:sz w:val="26"/>
          <w:szCs w:val="26"/>
        </w:rPr>
        <w:t xml:space="preserve">several items that </w:t>
      </w:r>
      <w:r w:rsidR="00A017BD">
        <w:rPr>
          <w:sz w:val="26"/>
          <w:szCs w:val="26"/>
        </w:rPr>
        <w:t>must</w:t>
      </w:r>
      <w:r w:rsidRPr="001A6F28">
        <w:rPr>
          <w:sz w:val="26"/>
          <w:szCs w:val="26"/>
        </w:rPr>
        <w:t xml:space="preserve"> be filed to </w:t>
      </w:r>
      <w:r w:rsidR="00280E2F" w:rsidRPr="000668D0">
        <w:rPr>
          <w:sz w:val="26"/>
          <w:szCs w:val="26"/>
        </w:rPr>
        <w:t xml:space="preserve">be eligible for </w:t>
      </w:r>
      <w:r w:rsidRPr="001A6F28">
        <w:rPr>
          <w:sz w:val="26"/>
          <w:szCs w:val="26"/>
        </w:rPr>
        <w:t xml:space="preserve">a 5% financial security reduction </w:t>
      </w:r>
      <w:r w:rsidR="00280E2F" w:rsidRPr="000668D0">
        <w:rPr>
          <w:sz w:val="26"/>
          <w:szCs w:val="26"/>
        </w:rPr>
        <w:t>renewal</w:t>
      </w:r>
      <w:r w:rsidRPr="001A6F28">
        <w:rPr>
          <w:sz w:val="26"/>
          <w:szCs w:val="26"/>
        </w:rPr>
        <w:t>.  One of the items was</w:t>
      </w:r>
      <w:r w:rsidR="00280E2F" w:rsidRPr="000668D0">
        <w:rPr>
          <w:sz w:val="26"/>
          <w:szCs w:val="26"/>
        </w:rPr>
        <w:t xml:space="preserve"> </w:t>
      </w:r>
      <w:r w:rsidR="00A017BD">
        <w:rPr>
          <w:sz w:val="26"/>
          <w:szCs w:val="26"/>
        </w:rPr>
        <w:t xml:space="preserve">the </w:t>
      </w:r>
      <w:r w:rsidR="0081288D">
        <w:rPr>
          <w:sz w:val="26"/>
          <w:szCs w:val="26"/>
        </w:rPr>
        <w:t>Letter of Good Standing</w:t>
      </w:r>
      <w:r w:rsidR="00280E2F" w:rsidRPr="000668D0">
        <w:rPr>
          <w:sz w:val="26"/>
          <w:szCs w:val="26"/>
        </w:rPr>
        <w:t xml:space="preserve"> from the Department of Revenue. </w:t>
      </w:r>
      <w:r w:rsidR="009752C7">
        <w:rPr>
          <w:sz w:val="26"/>
          <w:szCs w:val="26"/>
        </w:rPr>
        <w:t xml:space="preserve"> </w:t>
      </w:r>
      <w:r w:rsidR="0081288D">
        <w:rPr>
          <w:sz w:val="26"/>
          <w:szCs w:val="26"/>
        </w:rPr>
        <w:t xml:space="preserve">RESA </w:t>
      </w:r>
      <w:r w:rsidR="00A017BD">
        <w:rPr>
          <w:sz w:val="26"/>
          <w:szCs w:val="26"/>
        </w:rPr>
        <w:t>submit</w:t>
      </w:r>
      <w:r w:rsidR="009752C7">
        <w:rPr>
          <w:sz w:val="26"/>
          <w:szCs w:val="26"/>
        </w:rPr>
        <w:t>s</w:t>
      </w:r>
      <w:r w:rsidR="0081288D">
        <w:rPr>
          <w:sz w:val="26"/>
          <w:szCs w:val="26"/>
        </w:rPr>
        <w:t xml:space="preserve"> that the process for EGSs to obtain the Letter of Good Standing has been lengthy and tedious for some EGSs.  RESA state</w:t>
      </w:r>
      <w:r w:rsidR="009752C7">
        <w:rPr>
          <w:sz w:val="26"/>
          <w:szCs w:val="26"/>
        </w:rPr>
        <w:t>s</w:t>
      </w:r>
      <w:r w:rsidR="0081288D">
        <w:rPr>
          <w:sz w:val="26"/>
          <w:szCs w:val="26"/>
        </w:rPr>
        <w:t xml:space="preserve"> that some EGSs without any outstanding tax issues, wait months for a response from the Department of Revenue to the request for a Letter of Good Standing.  RESA </w:t>
      </w:r>
      <w:r w:rsidR="00A017BD">
        <w:rPr>
          <w:sz w:val="26"/>
          <w:szCs w:val="26"/>
        </w:rPr>
        <w:t>aver</w:t>
      </w:r>
      <w:r w:rsidR="009752C7">
        <w:rPr>
          <w:sz w:val="26"/>
          <w:szCs w:val="26"/>
        </w:rPr>
        <w:t>s</w:t>
      </w:r>
      <w:r w:rsidR="0081288D">
        <w:rPr>
          <w:sz w:val="26"/>
          <w:szCs w:val="26"/>
        </w:rPr>
        <w:t xml:space="preserve"> that while the process for obtaining the letter appears to be more streamlined recently, suppliers should not be </w:t>
      </w:r>
      <w:r w:rsidR="0081288D" w:rsidRPr="0001784D">
        <w:rPr>
          <w:sz w:val="26"/>
          <w:szCs w:val="26"/>
        </w:rPr>
        <w:t xml:space="preserve">subject to Department of Revenue impediments that create unnecessary delays and administrative burdens for EGSs. </w:t>
      </w:r>
      <w:r w:rsidR="00280E2F" w:rsidRPr="0001784D">
        <w:rPr>
          <w:sz w:val="26"/>
          <w:szCs w:val="26"/>
        </w:rPr>
        <w:t xml:space="preserve"> </w:t>
      </w:r>
    </w:p>
    <w:p w:rsidR="0081288D" w:rsidRPr="0001784D" w:rsidRDefault="0081288D">
      <w:pPr>
        <w:spacing w:line="360" w:lineRule="auto"/>
        <w:ind w:firstLine="720"/>
        <w:rPr>
          <w:sz w:val="26"/>
          <w:szCs w:val="26"/>
        </w:rPr>
      </w:pPr>
    </w:p>
    <w:p w:rsidR="000C3B56" w:rsidRDefault="0081288D">
      <w:pPr>
        <w:spacing w:line="360" w:lineRule="auto"/>
        <w:ind w:firstLine="720"/>
        <w:rPr>
          <w:sz w:val="26"/>
          <w:szCs w:val="26"/>
        </w:rPr>
      </w:pPr>
      <w:r w:rsidRPr="001A6F28">
        <w:rPr>
          <w:sz w:val="26"/>
          <w:szCs w:val="26"/>
        </w:rPr>
        <w:t xml:space="preserve">We do not agree that an attestation signed by an officer of an EGS verifying compliance with Pennsylvania gross receipt tax obligations is sufficient.  We find </w:t>
      </w:r>
      <w:r w:rsidR="009752C7">
        <w:rPr>
          <w:sz w:val="26"/>
          <w:szCs w:val="26"/>
        </w:rPr>
        <w:t xml:space="preserve">that </w:t>
      </w:r>
      <w:r w:rsidRPr="001A6F28">
        <w:rPr>
          <w:sz w:val="26"/>
          <w:szCs w:val="26"/>
        </w:rPr>
        <w:t>Department of Revenue compliance documentation</w:t>
      </w:r>
      <w:r w:rsidR="009752C7">
        <w:rPr>
          <w:sz w:val="26"/>
          <w:szCs w:val="26"/>
        </w:rPr>
        <w:t xml:space="preserve"> is necessary</w:t>
      </w:r>
      <w:r w:rsidRPr="001A6F28">
        <w:rPr>
          <w:sz w:val="26"/>
          <w:szCs w:val="26"/>
        </w:rPr>
        <w:t>.</w:t>
      </w:r>
      <w:r w:rsidR="000D7156">
        <w:rPr>
          <w:sz w:val="26"/>
          <w:szCs w:val="26"/>
        </w:rPr>
        <w:t xml:space="preserve">  In addition to the Letter of Good Standing</w:t>
      </w:r>
      <w:r w:rsidR="0001784D" w:rsidRPr="001A6F28">
        <w:rPr>
          <w:sz w:val="26"/>
          <w:szCs w:val="26"/>
        </w:rPr>
        <w:t xml:space="preserve">, TUS staff has required that an EGS requesting a 5% financial security reduction file </w:t>
      </w:r>
      <w:r w:rsidR="00A017BD">
        <w:rPr>
          <w:sz w:val="26"/>
          <w:szCs w:val="26"/>
        </w:rPr>
        <w:t>the</w:t>
      </w:r>
      <w:r w:rsidR="0001784D" w:rsidRPr="001A6F28">
        <w:rPr>
          <w:sz w:val="26"/>
          <w:szCs w:val="26"/>
        </w:rPr>
        <w:t xml:space="preserve"> Department of Revenue</w:t>
      </w:r>
      <w:r w:rsidR="00A017BD">
        <w:rPr>
          <w:sz w:val="26"/>
          <w:szCs w:val="26"/>
        </w:rPr>
        <w:t>’s</w:t>
      </w:r>
      <w:r w:rsidR="0001784D" w:rsidRPr="001A6F28">
        <w:rPr>
          <w:sz w:val="26"/>
          <w:szCs w:val="26"/>
        </w:rPr>
        <w:t xml:space="preserve"> REV</w:t>
      </w:r>
      <w:r w:rsidR="0001784D" w:rsidRPr="001A6F28">
        <w:rPr>
          <w:sz w:val="26"/>
          <w:szCs w:val="26"/>
        </w:rPr>
        <w:noBreakHyphen/>
        <w:t xml:space="preserve">423 </w:t>
      </w:r>
      <w:r w:rsidR="00A017BD">
        <w:rPr>
          <w:sz w:val="26"/>
          <w:szCs w:val="26"/>
        </w:rPr>
        <w:t xml:space="preserve">PA Corporation </w:t>
      </w:r>
      <w:r w:rsidR="0001784D" w:rsidRPr="001A6F28">
        <w:rPr>
          <w:sz w:val="26"/>
          <w:szCs w:val="26"/>
        </w:rPr>
        <w:t>Specialty Tax Estimated Payment form</w:t>
      </w:r>
      <w:r w:rsidR="00A017BD">
        <w:rPr>
          <w:sz w:val="26"/>
          <w:szCs w:val="26"/>
        </w:rPr>
        <w:t xml:space="preserve"> </w:t>
      </w:r>
      <w:r w:rsidR="000951EF">
        <w:rPr>
          <w:sz w:val="26"/>
          <w:szCs w:val="26"/>
        </w:rPr>
        <w:t>(</w:t>
      </w:r>
      <w:r w:rsidR="00A017BD">
        <w:rPr>
          <w:sz w:val="26"/>
          <w:szCs w:val="26"/>
        </w:rPr>
        <w:t>REV-423 form)</w:t>
      </w:r>
      <w:r w:rsidR="000D7156" w:rsidRPr="001A6F28">
        <w:rPr>
          <w:sz w:val="26"/>
          <w:szCs w:val="26"/>
        </w:rPr>
        <w:t>.</w:t>
      </w:r>
      <w:r w:rsidR="000D7156">
        <w:rPr>
          <w:sz w:val="26"/>
          <w:szCs w:val="26"/>
        </w:rPr>
        <w:t xml:space="preserve">  This form is used </w:t>
      </w:r>
      <w:r w:rsidR="000D7156" w:rsidRPr="002317B0">
        <w:rPr>
          <w:sz w:val="26"/>
          <w:szCs w:val="26"/>
        </w:rPr>
        <w:t xml:space="preserve">to verify the requirement in </w:t>
      </w:r>
      <w:r w:rsidR="000D7156" w:rsidRPr="002317B0">
        <w:rPr>
          <w:sz w:val="26"/>
          <w:szCs w:val="26"/>
        </w:rPr>
        <w:lastRenderedPageBreak/>
        <w:t xml:space="preserve">the </w:t>
      </w:r>
      <w:r w:rsidR="000D7156" w:rsidRPr="001A6F28">
        <w:rPr>
          <w:i/>
          <w:sz w:val="26"/>
          <w:szCs w:val="26"/>
        </w:rPr>
        <w:t>Final Security Order</w:t>
      </w:r>
      <w:r w:rsidR="000D7156" w:rsidRPr="002317B0">
        <w:rPr>
          <w:sz w:val="26"/>
          <w:szCs w:val="26"/>
        </w:rPr>
        <w:t xml:space="preserve"> that an EGS provide the amount of gross receipts taxes it has prepaid toward its estimated taxes for the current year</w:t>
      </w:r>
      <w:r w:rsidR="000951EF">
        <w:rPr>
          <w:sz w:val="26"/>
          <w:szCs w:val="26"/>
        </w:rPr>
        <w:t>.</w:t>
      </w:r>
      <w:r w:rsidR="000D7156" w:rsidRPr="002317B0">
        <w:rPr>
          <w:rStyle w:val="FootnoteReference"/>
          <w:sz w:val="26"/>
          <w:szCs w:val="26"/>
        </w:rPr>
        <w:footnoteReference w:id="35"/>
      </w:r>
      <w:r w:rsidR="000C0896">
        <w:rPr>
          <w:sz w:val="26"/>
          <w:szCs w:val="26"/>
        </w:rPr>
        <w:t xml:space="preserve">  </w:t>
      </w:r>
    </w:p>
    <w:p w:rsidR="000C3B56" w:rsidRDefault="000C3B56">
      <w:pPr>
        <w:spacing w:line="360" w:lineRule="auto"/>
        <w:ind w:firstLine="720"/>
        <w:rPr>
          <w:sz w:val="26"/>
          <w:szCs w:val="26"/>
        </w:rPr>
      </w:pPr>
    </w:p>
    <w:p w:rsidR="0081288D" w:rsidRDefault="000C0896">
      <w:pPr>
        <w:spacing w:line="360" w:lineRule="auto"/>
        <w:ind w:firstLine="720"/>
        <w:rPr>
          <w:sz w:val="26"/>
          <w:szCs w:val="26"/>
        </w:rPr>
      </w:pPr>
      <w:r>
        <w:rPr>
          <w:sz w:val="26"/>
          <w:szCs w:val="26"/>
        </w:rPr>
        <w:t xml:space="preserve">As the </w:t>
      </w:r>
      <w:r w:rsidRPr="00AB478A">
        <w:rPr>
          <w:sz w:val="26"/>
          <w:szCs w:val="26"/>
        </w:rPr>
        <w:t>specific purpose</w:t>
      </w:r>
      <w:r>
        <w:rPr>
          <w:sz w:val="26"/>
          <w:szCs w:val="26"/>
        </w:rPr>
        <w:t>s</w:t>
      </w:r>
      <w:r w:rsidRPr="00AB478A">
        <w:rPr>
          <w:sz w:val="26"/>
          <w:szCs w:val="26"/>
        </w:rPr>
        <w:t xml:space="preserve"> o</w:t>
      </w:r>
      <w:r>
        <w:rPr>
          <w:sz w:val="26"/>
          <w:szCs w:val="26"/>
        </w:rPr>
        <w:t>f the security requirement are</w:t>
      </w:r>
      <w:r w:rsidRPr="00AB478A">
        <w:rPr>
          <w:sz w:val="26"/>
          <w:szCs w:val="26"/>
        </w:rPr>
        <w:t xml:space="preserve"> (1) to ensure payment of the GRT </w:t>
      </w:r>
      <w:r>
        <w:rPr>
          <w:sz w:val="26"/>
          <w:szCs w:val="26"/>
        </w:rPr>
        <w:t>owed</w:t>
      </w:r>
      <w:r w:rsidRPr="00AB478A">
        <w:rPr>
          <w:sz w:val="26"/>
          <w:szCs w:val="26"/>
        </w:rPr>
        <w:t xml:space="preserve"> to the Department of Revenue</w:t>
      </w:r>
      <w:r>
        <w:rPr>
          <w:sz w:val="26"/>
          <w:szCs w:val="26"/>
        </w:rPr>
        <w:t>;</w:t>
      </w:r>
      <w:r w:rsidRPr="00AB478A">
        <w:rPr>
          <w:sz w:val="26"/>
          <w:szCs w:val="26"/>
        </w:rPr>
        <w:t xml:space="preserve"> (2) to ensure the supply of electricity at the retail level in accordance with contracts, agreements, or arrangements</w:t>
      </w:r>
      <w:r>
        <w:rPr>
          <w:sz w:val="26"/>
          <w:szCs w:val="26"/>
        </w:rPr>
        <w:t>;</w:t>
      </w:r>
      <w:r w:rsidRPr="00AB478A">
        <w:rPr>
          <w:sz w:val="26"/>
          <w:szCs w:val="26"/>
        </w:rPr>
        <w:t xml:space="preserve"> and (3) to ensure payment of any alternative compliance payments </w:t>
      </w:r>
      <w:r>
        <w:rPr>
          <w:sz w:val="26"/>
          <w:szCs w:val="26"/>
        </w:rPr>
        <w:t>owed</w:t>
      </w:r>
      <w:r w:rsidRPr="00AB478A">
        <w:rPr>
          <w:sz w:val="26"/>
          <w:szCs w:val="26"/>
        </w:rPr>
        <w:t xml:space="preserve"> to the Pennsylvania Sustainable Energy </w:t>
      </w:r>
      <w:r>
        <w:rPr>
          <w:sz w:val="26"/>
          <w:szCs w:val="26"/>
        </w:rPr>
        <w:t>Funds</w:t>
      </w:r>
      <w:r w:rsidRPr="00AB478A">
        <w:rPr>
          <w:sz w:val="26"/>
          <w:szCs w:val="26"/>
        </w:rPr>
        <w:t xml:space="preserve"> under the </w:t>
      </w:r>
      <w:r>
        <w:rPr>
          <w:sz w:val="26"/>
          <w:szCs w:val="26"/>
        </w:rPr>
        <w:t>AEPS Act, a Letter of Good Standing and a recent REV</w:t>
      </w:r>
      <w:r>
        <w:rPr>
          <w:sz w:val="26"/>
          <w:szCs w:val="26"/>
        </w:rPr>
        <w:noBreakHyphen/>
        <w:t xml:space="preserve">423 form from the Department of Revenue </w:t>
      </w:r>
      <w:r w:rsidR="006E2E69">
        <w:rPr>
          <w:sz w:val="26"/>
          <w:szCs w:val="26"/>
        </w:rPr>
        <w:t>demonstrates that the EGS has substantially meet its GRT obligations.  We note that the GRT is 5.90% of the EGS’ gross receipts.  Obviously, a 5% bond alone, would not cover the</w:t>
      </w:r>
      <w:r w:rsidR="000C3B56">
        <w:rPr>
          <w:sz w:val="26"/>
          <w:szCs w:val="26"/>
        </w:rPr>
        <w:t xml:space="preserve"> entire</w:t>
      </w:r>
      <w:r w:rsidR="006E2E69">
        <w:rPr>
          <w:sz w:val="26"/>
          <w:szCs w:val="26"/>
        </w:rPr>
        <w:t xml:space="preserve"> </w:t>
      </w:r>
      <w:r w:rsidR="000C3B56">
        <w:rPr>
          <w:sz w:val="26"/>
          <w:szCs w:val="26"/>
        </w:rPr>
        <w:t>5</w:t>
      </w:r>
      <w:r w:rsidR="006E2E69">
        <w:rPr>
          <w:sz w:val="26"/>
          <w:szCs w:val="26"/>
        </w:rPr>
        <w:t>.9</w:t>
      </w:r>
      <w:r w:rsidR="000C3B56">
        <w:rPr>
          <w:sz w:val="26"/>
          <w:szCs w:val="26"/>
        </w:rPr>
        <w:t>0</w:t>
      </w:r>
      <w:r w:rsidR="006E2E69">
        <w:rPr>
          <w:sz w:val="26"/>
          <w:szCs w:val="26"/>
        </w:rPr>
        <w:t xml:space="preserve">% and may not cover the EGS’ AEPS obligations if it were to default on those obligations.  </w:t>
      </w:r>
      <w:r w:rsidR="005B6D5C">
        <w:rPr>
          <w:sz w:val="26"/>
          <w:szCs w:val="26"/>
        </w:rPr>
        <w:t>We find that having a Letter of Good Standing and a recent REV</w:t>
      </w:r>
      <w:r w:rsidR="005B6D5C">
        <w:rPr>
          <w:sz w:val="26"/>
          <w:szCs w:val="26"/>
        </w:rPr>
        <w:noBreakHyphen/>
        <w:t xml:space="preserve">423 form from the department of Revenue demonstrates that the EGS is in substantial compliance with its GRT obligations and that the EGS is has substantially met its financial obligations pursuant to its business operations and practices.  Such a business practice </w:t>
      </w:r>
      <w:r w:rsidR="006E2E69">
        <w:rPr>
          <w:sz w:val="26"/>
          <w:szCs w:val="26"/>
        </w:rPr>
        <w:t xml:space="preserve">makes it more likely </w:t>
      </w:r>
      <w:r w:rsidR="005B6D5C">
        <w:rPr>
          <w:sz w:val="26"/>
          <w:szCs w:val="26"/>
        </w:rPr>
        <w:t xml:space="preserve">than not </w:t>
      </w:r>
      <w:r w:rsidR="006E2E69">
        <w:rPr>
          <w:sz w:val="26"/>
          <w:szCs w:val="26"/>
        </w:rPr>
        <w:t xml:space="preserve">that a 5% bonding level will cover any remaining </w:t>
      </w:r>
      <w:r w:rsidR="005B6D5C">
        <w:rPr>
          <w:sz w:val="26"/>
          <w:szCs w:val="26"/>
        </w:rPr>
        <w:t xml:space="preserve">financial </w:t>
      </w:r>
      <w:r w:rsidR="006E2E69">
        <w:rPr>
          <w:sz w:val="26"/>
          <w:szCs w:val="26"/>
        </w:rPr>
        <w:t>liability</w:t>
      </w:r>
      <w:r w:rsidR="005B6D5C">
        <w:rPr>
          <w:sz w:val="26"/>
          <w:szCs w:val="26"/>
        </w:rPr>
        <w:t xml:space="preserve"> related to GRT, supply of electricity at retail and the AEPS Act obligations that may arise</w:t>
      </w:r>
      <w:r w:rsidR="006E2E69">
        <w:rPr>
          <w:sz w:val="26"/>
          <w:szCs w:val="26"/>
        </w:rPr>
        <w:t xml:space="preserve">.  </w:t>
      </w:r>
    </w:p>
    <w:p w:rsidR="000D7156" w:rsidRPr="001A6F28" w:rsidRDefault="000D7156">
      <w:pPr>
        <w:spacing w:line="360" w:lineRule="auto"/>
        <w:ind w:firstLine="720"/>
        <w:rPr>
          <w:sz w:val="26"/>
          <w:szCs w:val="26"/>
        </w:rPr>
      </w:pPr>
    </w:p>
    <w:p w:rsidR="00280E2F" w:rsidRPr="000D7156" w:rsidRDefault="000D7156" w:rsidP="001A6F28">
      <w:pPr>
        <w:spacing w:line="360" w:lineRule="auto"/>
        <w:ind w:firstLine="720"/>
        <w:rPr>
          <w:sz w:val="26"/>
          <w:szCs w:val="26"/>
        </w:rPr>
      </w:pPr>
      <w:r>
        <w:rPr>
          <w:sz w:val="26"/>
          <w:szCs w:val="26"/>
        </w:rPr>
        <w:t xml:space="preserve">Regarding RESA’s assertion that acquiring the necessary documentation from the Department of Revenue is difficult and </w:t>
      </w:r>
      <w:r w:rsidR="0001194D">
        <w:rPr>
          <w:sz w:val="26"/>
          <w:szCs w:val="26"/>
        </w:rPr>
        <w:t>time consuming,</w:t>
      </w:r>
      <w:r>
        <w:rPr>
          <w:sz w:val="26"/>
          <w:szCs w:val="26"/>
        </w:rPr>
        <w:t xml:space="preserve"> we </w:t>
      </w:r>
      <w:r w:rsidR="008843DE">
        <w:rPr>
          <w:sz w:val="26"/>
          <w:szCs w:val="26"/>
        </w:rPr>
        <w:t xml:space="preserve">find, even if true, eliminating such inconvenience does not outweigh the requirement that the bonding levels must be in the form and amount to meet the EGS’ </w:t>
      </w:r>
      <w:r w:rsidR="00BD40BA">
        <w:rPr>
          <w:sz w:val="26"/>
          <w:szCs w:val="26"/>
        </w:rPr>
        <w:t xml:space="preserve">financial obligations related to </w:t>
      </w:r>
      <w:r w:rsidR="008843DE">
        <w:rPr>
          <w:sz w:val="26"/>
          <w:szCs w:val="26"/>
        </w:rPr>
        <w:t>GRT</w:t>
      </w:r>
      <w:r w:rsidR="00BD40BA">
        <w:rPr>
          <w:sz w:val="26"/>
          <w:szCs w:val="26"/>
        </w:rPr>
        <w:t xml:space="preserve">, </w:t>
      </w:r>
      <w:r w:rsidR="00BD40BA" w:rsidRPr="00AB478A">
        <w:rPr>
          <w:sz w:val="26"/>
          <w:szCs w:val="26"/>
        </w:rPr>
        <w:t>supply of electricity at the retail</w:t>
      </w:r>
      <w:r w:rsidR="008843DE">
        <w:rPr>
          <w:sz w:val="26"/>
          <w:szCs w:val="26"/>
        </w:rPr>
        <w:t xml:space="preserve">, </w:t>
      </w:r>
      <w:r w:rsidR="00BD40BA">
        <w:rPr>
          <w:sz w:val="26"/>
          <w:szCs w:val="26"/>
        </w:rPr>
        <w:t>and the AEPS Act</w:t>
      </w:r>
      <w:r w:rsidRPr="0099381E">
        <w:rPr>
          <w:sz w:val="26"/>
          <w:szCs w:val="26"/>
        </w:rPr>
        <w:t>.</w:t>
      </w:r>
      <w:r>
        <w:rPr>
          <w:sz w:val="26"/>
          <w:szCs w:val="26"/>
        </w:rPr>
        <w:t xml:space="preserve"> </w:t>
      </w:r>
      <w:r w:rsidRPr="0099381E">
        <w:rPr>
          <w:sz w:val="26"/>
          <w:szCs w:val="26"/>
        </w:rPr>
        <w:t xml:space="preserve"> </w:t>
      </w:r>
      <w:r w:rsidR="00BD40BA">
        <w:rPr>
          <w:sz w:val="26"/>
          <w:szCs w:val="26"/>
        </w:rPr>
        <w:t>We also find it significant that, as RESA acknowledges,</w:t>
      </w:r>
      <w:r w:rsidR="00BD40BA">
        <w:rPr>
          <w:rStyle w:val="FootnoteReference"/>
          <w:sz w:val="26"/>
          <w:szCs w:val="26"/>
        </w:rPr>
        <w:footnoteReference w:id="36"/>
      </w:r>
      <w:r w:rsidR="00BD40BA">
        <w:rPr>
          <w:sz w:val="26"/>
          <w:szCs w:val="26"/>
        </w:rPr>
        <w:t xml:space="preserve"> the process for obtaining the Letters of Good Standing from the Department of Revenue has improved, reducing any inconvenience the EGSs may have experienced in the past.  Accordingly</w:t>
      </w:r>
      <w:r w:rsidRPr="000D7156">
        <w:rPr>
          <w:sz w:val="26"/>
          <w:szCs w:val="26"/>
        </w:rPr>
        <w:t xml:space="preserve">, </w:t>
      </w:r>
      <w:r w:rsidRPr="001A6F28">
        <w:rPr>
          <w:sz w:val="26"/>
          <w:szCs w:val="26"/>
        </w:rPr>
        <w:t>we</w:t>
      </w:r>
      <w:r w:rsidR="00280E2F" w:rsidRPr="000D7156">
        <w:rPr>
          <w:sz w:val="26"/>
          <w:szCs w:val="26"/>
        </w:rPr>
        <w:t xml:space="preserve"> </w:t>
      </w:r>
      <w:r>
        <w:rPr>
          <w:sz w:val="26"/>
          <w:szCs w:val="26"/>
        </w:rPr>
        <w:t xml:space="preserve">will require both </w:t>
      </w:r>
      <w:r w:rsidR="00BD40BA">
        <w:rPr>
          <w:sz w:val="26"/>
          <w:szCs w:val="26"/>
        </w:rPr>
        <w:t>a</w:t>
      </w:r>
      <w:r>
        <w:rPr>
          <w:sz w:val="26"/>
          <w:szCs w:val="26"/>
        </w:rPr>
        <w:t xml:space="preserve"> </w:t>
      </w:r>
      <w:r w:rsidR="00280E2F" w:rsidRPr="000D7156">
        <w:rPr>
          <w:sz w:val="26"/>
          <w:szCs w:val="26"/>
        </w:rPr>
        <w:t xml:space="preserve">Letter of Good Standing </w:t>
      </w:r>
      <w:r>
        <w:rPr>
          <w:sz w:val="26"/>
          <w:szCs w:val="26"/>
        </w:rPr>
        <w:t xml:space="preserve">and </w:t>
      </w:r>
      <w:r>
        <w:rPr>
          <w:sz w:val="26"/>
          <w:szCs w:val="26"/>
        </w:rPr>
        <w:lastRenderedPageBreak/>
        <w:t>the</w:t>
      </w:r>
      <w:r w:rsidR="00BD40BA">
        <w:rPr>
          <w:sz w:val="26"/>
          <w:szCs w:val="26"/>
        </w:rPr>
        <w:t xml:space="preserve"> most recent</w:t>
      </w:r>
      <w:r>
        <w:rPr>
          <w:sz w:val="26"/>
          <w:szCs w:val="26"/>
        </w:rPr>
        <w:t xml:space="preserve"> </w:t>
      </w:r>
      <w:r w:rsidRPr="0099381E">
        <w:rPr>
          <w:sz w:val="26"/>
          <w:szCs w:val="26"/>
        </w:rPr>
        <w:t>REV</w:t>
      </w:r>
      <w:r w:rsidRPr="0099381E">
        <w:rPr>
          <w:sz w:val="26"/>
          <w:szCs w:val="26"/>
        </w:rPr>
        <w:noBreakHyphen/>
        <w:t>423 form</w:t>
      </w:r>
      <w:r>
        <w:rPr>
          <w:sz w:val="26"/>
          <w:szCs w:val="26"/>
        </w:rPr>
        <w:t xml:space="preserve"> </w:t>
      </w:r>
      <w:r w:rsidR="00BD40BA">
        <w:rPr>
          <w:sz w:val="26"/>
          <w:szCs w:val="26"/>
        </w:rPr>
        <w:t xml:space="preserve">from the Department of Revenue </w:t>
      </w:r>
      <w:r>
        <w:rPr>
          <w:sz w:val="26"/>
          <w:szCs w:val="26"/>
        </w:rPr>
        <w:t xml:space="preserve">to </w:t>
      </w:r>
      <w:r w:rsidR="00280E2F" w:rsidRPr="000D7156">
        <w:rPr>
          <w:sz w:val="26"/>
          <w:szCs w:val="26"/>
        </w:rPr>
        <w:t xml:space="preserve">demonstrate past </w:t>
      </w:r>
      <w:r>
        <w:rPr>
          <w:sz w:val="26"/>
          <w:szCs w:val="26"/>
        </w:rPr>
        <w:t xml:space="preserve">and present </w:t>
      </w:r>
      <w:r w:rsidR="00280E2F" w:rsidRPr="000D7156">
        <w:rPr>
          <w:sz w:val="26"/>
          <w:szCs w:val="26"/>
        </w:rPr>
        <w:t>gross receipt tax compliance</w:t>
      </w:r>
      <w:r w:rsidR="00BD40BA">
        <w:rPr>
          <w:sz w:val="26"/>
          <w:szCs w:val="26"/>
        </w:rPr>
        <w:t xml:space="preserve"> </w:t>
      </w:r>
      <w:proofErr w:type="gramStart"/>
      <w:r w:rsidR="00BD40BA">
        <w:rPr>
          <w:sz w:val="26"/>
          <w:szCs w:val="26"/>
        </w:rPr>
        <w:t>in order to</w:t>
      </w:r>
      <w:proofErr w:type="gramEnd"/>
      <w:r w:rsidR="00BD40BA">
        <w:rPr>
          <w:sz w:val="26"/>
          <w:szCs w:val="26"/>
        </w:rPr>
        <w:t xml:space="preserve"> maintain a 5% bonding level</w:t>
      </w:r>
      <w:r>
        <w:rPr>
          <w:sz w:val="26"/>
          <w:szCs w:val="26"/>
        </w:rPr>
        <w:t>.</w:t>
      </w:r>
      <w:r w:rsidR="00280E2F" w:rsidRPr="000D7156">
        <w:rPr>
          <w:sz w:val="26"/>
          <w:szCs w:val="26"/>
        </w:rPr>
        <w:t xml:space="preserve"> </w:t>
      </w:r>
    </w:p>
    <w:p w:rsidR="00275681" w:rsidRPr="000D7156" w:rsidRDefault="00275681" w:rsidP="003F671F">
      <w:pPr>
        <w:spacing w:line="360" w:lineRule="auto"/>
        <w:rPr>
          <w:sz w:val="26"/>
          <w:szCs w:val="26"/>
        </w:rPr>
      </w:pPr>
    </w:p>
    <w:p w:rsidR="00275681" w:rsidRPr="00BD40BA" w:rsidRDefault="00BD40BA" w:rsidP="003F671F">
      <w:pPr>
        <w:spacing w:line="360" w:lineRule="auto"/>
        <w:rPr>
          <w:b/>
          <w:sz w:val="26"/>
          <w:szCs w:val="26"/>
        </w:rPr>
      </w:pPr>
      <w:r>
        <w:rPr>
          <w:b/>
          <w:sz w:val="26"/>
          <w:szCs w:val="26"/>
        </w:rPr>
        <w:t>C.</w:t>
      </w:r>
      <w:r>
        <w:rPr>
          <w:b/>
          <w:sz w:val="26"/>
          <w:szCs w:val="26"/>
        </w:rPr>
        <w:tab/>
      </w:r>
      <w:r w:rsidR="00275681" w:rsidRPr="00BD40BA">
        <w:rPr>
          <w:b/>
          <w:sz w:val="26"/>
          <w:szCs w:val="26"/>
        </w:rPr>
        <w:t xml:space="preserve">Summary </w:t>
      </w:r>
      <w:proofErr w:type="gramStart"/>
      <w:r w:rsidR="00D92845">
        <w:rPr>
          <w:b/>
          <w:sz w:val="26"/>
          <w:szCs w:val="26"/>
        </w:rPr>
        <w:t>O</w:t>
      </w:r>
      <w:r w:rsidR="00275681" w:rsidRPr="00BD40BA">
        <w:rPr>
          <w:b/>
          <w:sz w:val="26"/>
          <w:szCs w:val="26"/>
        </w:rPr>
        <w:t>f</w:t>
      </w:r>
      <w:proofErr w:type="gramEnd"/>
      <w:r w:rsidR="00275681" w:rsidRPr="00BD40BA">
        <w:rPr>
          <w:b/>
          <w:sz w:val="26"/>
          <w:szCs w:val="26"/>
        </w:rPr>
        <w:t xml:space="preserve"> </w:t>
      </w:r>
      <w:r w:rsidR="00B12F47" w:rsidRPr="00BD40BA">
        <w:rPr>
          <w:b/>
          <w:sz w:val="26"/>
          <w:szCs w:val="26"/>
        </w:rPr>
        <w:t xml:space="preserve">Annual Compliance Filing </w:t>
      </w:r>
      <w:r w:rsidR="00275681" w:rsidRPr="00BD40BA">
        <w:rPr>
          <w:b/>
          <w:sz w:val="26"/>
          <w:szCs w:val="26"/>
        </w:rPr>
        <w:t>Requirements</w:t>
      </w:r>
    </w:p>
    <w:p w:rsidR="00275681" w:rsidRDefault="0086266D" w:rsidP="004F095F">
      <w:pPr>
        <w:spacing w:line="360" w:lineRule="auto"/>
        <w:ind w:firstLine="720"/>
        <w:rPr>
          <w:sz w:val="26"/>
          <w:szCs w:val="26"/>
        </w:rPr>
      </w:pPr>
      <w:r>
        <w:rPr>
          <w:sz w:val="26"/>
          <w:szCs w:val="26"/>
        </w:rPr>
        <w:t>As this Order modifies, but does not vacate</w:t>
      </w:r>
      <w:r w:rsidR="004B72ED">
        <w:rPr>
          <w:sz w:val="26"/>
          <w:szCs w:val="26"/>
        </w:rPr>
        <w:t>,</w:t>
      </w:r>
      <w:r>
        <w:rPr>
          <w:sz w:val="26"/>
          <w:szCs w:val="26"/>
        </w:rPr>
        <w:t xml:space="preserve"> the filing requirements set forth in the</w:t>
      </w:r>
      <w:r w:rsidR="00EF1A23">
        <w:rPr>
          <w:sz w:val="26"/>
          <w:szCs w:val="26"/>
        </w:rPr>
        <w:t xml:space="preserve"> </w:t>
      </w:r>
      <w:r w:rsidR="00EF1A23" w:rsidRPr="001A6F28">
        <w:rPr>
          <w:i/>
          <w:sz w:val="26"/>
          <w:szCs w:val="26"/>
        </w:rPr>
        <w:t>Final Security Order</w:t>
      </w:r>
      <w:r w:rsidR="00EF1A23">
        <w:rPr>
          <w:sz w:val="26"/>
          <w:szCs w:val="26"/>
        </w:rPr>
        <w:t xml:space="preserve">, we </w:t>
      </w:r>
      <w:r w:rsidR="00BD40BA">
        <w:rPr>
          <w:sz w:val="26"/>
          <w:szCs w:val="26"/>
        </w:rPr>
        <w:t xml:space="preserve">require an EGS seeking to </w:t>
      </w:r>
      <w:r w:rsidR="00275681">
        <w:rPr>
          <w:sz w:val="26"/>
          <w:szCs w:val="26"/>
        </w:rPr>
        <w:t>maintain a</w:t>
      </w:r>
      <w:r w:rsidR="004B72ED">
        <w:rPr>
          <w:sz w:val="26"/>
          <w:szCs w:val="26"/>
        </w:rPr>
        <w:t xml:space="preserve"> previously approved</w:t>
      </w:r>
      <w:r w:rsidR="00275681">
        <w:rPr>
          <w:sz w:val="26"/>
          <w:szCs w:val="26"/>
        </w:rPr>
        <w:t xml:space="preserve"> 5% financial security reduction, </w:t>
      </w:r>
      <w:r w:rsidR="004B72ED">
        <w:rPr>
          <w:sz w:val="26"/>
          <w:szCs w:val="26"/>
        </w:rPr>
        <w:t>the</w:t>
      </w:r>
      <w:r w:rsidR="00275681">
        <w:rPr>
          <w:sz w:val="26"/>
          <w:szCs w:val="26"/>
        </w:rPr>
        <w:t xml:space="preserve"> EGS must </w:t>
      </w:r>
      <w:r w:rsidR="004B72ED">
        <w:rPr>
          <w:sz w:val="26"/>
          <w:szCs w:val="26"/>
        </w:rPr>
        <w:t xml:space="preserve">make an annual compliance filing </w:t>
      </w:r>
      <w:r w:rsidR="00275681">
        <w:rPr>
          <w:sz w:val="26"/>
          <w:szCs w:val="26"/>
        </w:rPr>
        <w:t>at least 90</w:t>
      </w:r>
      <w:r w:rsidR="00BD40BA">
        <w:rPr>
          <w:sz w:val="26"/>
          <w:szCs w:val="26"/>
        </w:rPr>
        <w:noBreakHyphen/>
      </w:r>
      <w:r w:rsidR="00275681">
        <w:rPr>
          <w:sz w:val="26"/>
          <w:szCs w:val="26"/>
        </w:rPr>
        <w:t>days prior to the EGS’s current financial security expiration date</w:t>
      </w:r>
      <w:r w:rsidR="004B72ED">
        <w:rPr>
          <w:sz w:val="26"/>
          <w:szCs w:val="26"/>
        </w:rPr>
        <w:t>.  We also direct that the annual compliance filing must include the following information and documentation</w:t>
      </w:r>
      <w:r w:rsidR="003E4641">
        <w:rPr>
          <w:sz w:val="26"/>
          <w:szCs w:val="26"/>
        </w:rPr>
        <w:t>:</w:t>
      </w:r>
    </w:p>
    <w:p w:rsidR="00275681" w:rsidRPr="004108C8" w:rsidRDefault="00BD40BA" w:rsidP="00D92845">
      <w:pPr>
        <w:pStyle w:val="ListParagraph"/>
        <w:numPr>
          <w:ilvl w:val="0"/>
          <w:numId w:val="13"/>
        </w:numPr>
        <w:spacing w:after="120"/>
        <w:ind w:left="1080"/>
        <w:rPr>
          <w:sz w:val="26"/>
          <w:szCs w:val="26"/>
        </w:rPr>
      </w:pPr>
      <w:r>
        <w:rPr>
          <w:rFonts w:ascii="Times New Roman" w:hAnsi="Times New Roman"/>
          <w:sz w:val="26"/>
          <w:szCs w:val="26"/>
        </w:rPr>
        <w:t>I</w:t>
      </w:r>
      <w:r w:rsidR="003E4641">
        <w:rPr>
          <w:rFonts w:ascii="Times New Roman" w:hAnsi="Times New Roman"/>
          <w:sz w:val="26"/>
          <w:szCs w:val="26"/>
        </w:rPr>
        <w:t>ntent</w:t>
      </w:r>
      <w:r w:rsidR="00275681" w:rsidRPr="004108C8">
        <w:rPr>
          <w:rFonts w:ascii="Times New Roman" w:hAnsi="Times New Roman"/>
          <w:sz w:val="26"/>
          <w:szCs w:val="26"/>
        </w:rPr>
        <w:t xml:space="preserve"> to renew 5% Financial Security Reduction</w:t>
      </w:r>
      <w:r>
        <w:rPr>
          <w:rFonts w:ascii="Times New Roman" w:hAnsi="Times New Roman"/>
          <w:sz w:val="26"/>
          <w:szCs w:val="26"/>
        </w:rPr>
        <w:t>.</w:t>
      </w:r>
    </w:p>
    <w:p w:rsidR="003E4641" w:rsidRDefault="00275681" w:rsidP="00D92845">
      <w:pPr>
        <w:pStyle w:val="ListParagraph"/>
        <w:numPr>
          <w:ilvl w:val="0"/>
          <w:numId w:val="13"/>
        </w:numPr>
        <w:spacing w:after="120"/>
        <w:ind w:left="1080"/>
        <w:rPr>
          <w:rFonts w:ascii="Times New Roman" w:hAnsi="Times New Roman"/>
          <w:sz w:val="26"/>
          <w:szCs w:val="26"/>
        </w:rPr>
      </w:pPr>
      <w:r w:rsidRPr="004108C8">
        <w:rPr>
          <w:rFonts w:ascii="Times New Roman" w:hAnsi="Times New Roman"/>
          <w:sz w:val="26"/>
          <w:szCs w:val="26"/>
        </w:rPr>
        <w:t>EGS’ licensed name, docket number, and utility code</w:t>
      </w:r>
      <w:r w:rsidR="00BD40BA">
        <w:rPr>
          <w:rFonts w:ascii="Times New Roman" w:hAnsi="Times New Roman"/>
          <w:sz w:val="26"/>
          <w:szCs w:val="26"/>
        </w:rPr>
        <w:t>.</w:t>
      </w:r>
      <w:r w:rsidR="003E4641" w:rsidRPr="003E4641">
        <w:rPr>
          <w:rFonts w:ascii="Times New Roman" w:hAnsi="Times New Roman"/>
          <w:sz w:val="26"/>
          <w:szCs w:val="26"/>
        </w:rPr>
        <w:t xml:space="preserve"> </w:t>
      </w:r>
    </w:p>
    <w:p w:rsidR="003E4641" w:rsidRDefault="003E4641" w:rsidP="00D92845">
      <w:pPr>
        <w:pStyle w:val="ListParagraph"/>
        <w:numPr>
          <w:ilvl w:val="0"/>
          <w:numId w:val="13"/>
        </w:numPr>
        <w:spacing w:after="120"/>
        <w:ind w:left="1080"/>
        <w:rPr>
          <w:rFonts w:ascii="Times New Roman" w:hAnsi="Times New Roman"/>
          <w:sz w:val="26"/>
          <w:szCs w:val="26"/>
        </w:rPr>
      </w:pPr>
      <w:r w:rsidRPr="004E7953">
        <w:rPr>
          <w:rFonts w:ascii="Times New Roman" w:hAnsi="Times New Roman"/>
          <w:sz w:val="26"/>
          <w:szCs w:val="26"/>
        </w:rPr>
        <w:t>EGS</w:t>
      </w:r>
      <w:r w:rsidR="000951EF">
        <w:rPr>
          <w:rFonts w:ascii="Times New Roman" w:hAnsi="Times New Roman"/>
          <w:sz w:val="26"/>
          <w:szCs w:val="26"/>
        </w:rPr>
        <w:t>’</w:t>
      </w:r>
      <w:r w:rsidRPr="004E7953">
        <w:rPr>
          <w:rFonts w:ascii="Times New Roman" w:hAnsi="Times New Roman"/>
          <w:sz w:val="26"/>
          <w:szCs w:val="26"/>
        </w:rPr>
        <w:t xml:space="preserve"> contact information (name, address, email, and phone number)</w:t>
      </w:r>
      <w:r w:rsidR="00BD40BA">
        <w:rPr>
          <w:rFonts w:ascii="Times New Roman" w:hAnsi="Times New Roman"/>
          <w:sz w:val="26"/>
          <w:szCs w:val="26"/>
        </w:rPr>
        <w:t>.</w:t>
      </w:r>
    </w:p>
    <w:p w:rsidR="00275681" w:rsidRPr="00303936" w:rsidRDefault="004B72ED" w:rsidP="00D92845">
      <w:pPr>
        <w:pStyle w:val="ListParagraph"/>
        <w:numPr>
          <w:ilvl w:val="0"/>
          <w:numId w:val="13"/>
        </w:numPr>
        <w:spacing w:after="120"/>
        <w:ind w:left="1080"/>
        <w:rPr>
          <w:sz w:val="26"/>
          <w:szCs w:val="26"/>
        </w:rPr>
      </w:pPr>
      <w:r>
        <w:rPr>
          <w:rFonts w:ascii="Times New Roman" w:hAnsi="Times New Roman"/>
          <w:sz w:val="26"/>
          <w:szCs w:val="26"/>
        </w:rPr>
        <w:t>T</w:t>
      </w:r>
      <w:r w:rsidR="00275681" w:rsidRPr="00303936">
        <w:rPr>
          <w:rFonts w:ascii="Times New Roman" w:hAnsi="Times New Roman"/>
          <w:sz w:val="26"/>
          <w:szCs w:val="26"/>
        </w:rPr>
        <w:t>he expiration/anniversary date of its current Financial Security</w:t>
      </w:r>
      <w:r>
        <w:rPr>
          <w:rFonts w:ascii="Times New Roman" w:hAnsi="Times New Roman"/>
          <w:sz w:val="26"/>
          <w:szCs w:val="26"/>
        </w:rPr>
        <w:t>.</w:t>
      </w:r>
      <w:r w:rsidR="00275681" w:rsidRPr="00303936">
        <w:rPr>
          <w:rFonts w:ascii="Times New Roman" w:hAnsi="Times New Roman"/>
          <w:sz w:val="26"/>
          <w:szCs w:val="26"/>
        </w:rPr>
        <w:t xml:space="preserve"> </w:t>
      </w:r>
    </w:p>
    <w:p w:rsidR="00275681" w:rsidRPr="008A7793" w:rsidRDefault="00275681" w:rsidP="00D92845">
      <w:pPr>
        <w:pStyle w:val="ListParagraph"/>
        <w:numPr>
          <w:ilvl w:val="0"/>
          <w:numId w:val="14"/>
        </w:numPr>
        <w:spacing w:after="120"/>
        <w:ind w:left="1080"/>
        <w:rPr>
          <w:sz w:val="26"/>
          <w:szCs w:val="26"/>
        </w:rPr>
      </w:pPr>
      <w:r w:rsidRPr="008A7793">
        <w:rPr>
          <w:rFonts w:ascii="Times New Roman" w:hAnsi="Times New Roman"/>
          <w:sz w:val="26"/>
          <w:szCs w:val="26"/>
        </w:rPr>
        <w:t xml:space="preserve">Certificate of Service showing that the 5% </w:t>
      </w:r>
      <w:r w:rsidR="004B72ED">
        <w:rPr>
          <w:rFonts w:ascii="Times New Roman" w:hAnsi="Times New Roman"/>
          <w:sz w:val="26"/>
          <w:szCs w:val="26"/>
        </w:rPr>
        <w:t>a</w:t>
      </w:r>
      <w:r w:rsidRPr="008A7793">
        <w:rPr>
          <w:rFonts w:ascii="Times New Roman" w:hAnsi="Times New Roman"/>
          <w:sz w:val="26"/>
          <w:szCs w:val="26"/>
        </w:rPr>
        <w:t xml:space="preserve">nnual </w:t>
      </w:r>
      <w:r w:rsidR="004B72ED">
        <w:rPr>
          <w:rFonts w:ascii="Times New Roman" w:hAnsi="Times New Roman"/>
          <w:sz w:val="26"/>
          <w:szCs w:val="26"/>
        </w:rPr>
        <w:t>c</w:t>
      </w:r>
      <w:r w:rsidRPr="008A7793">
        <w:rPr>
          <w:rFonts w:ascii="Times New Roman" w:hAnsi="Times New Roman"/>
          <w:sz w:val="26"/>
          <w:szCs w:val="26"/>
        </w:rPr>
        <w:t xml:space="preserve">ompliance </w:t>
      </w:r>
      <w:r w:rsidR="004B72ED">
        <w:rPr>
          <w:rFonts w:ascii="Times New Roman" w:hAnsi="Times New Roman"/>
          <w:sz w:val="26"/>
          <w:szCs w:val="26"/>
        </w:rPr>
        <w:t>f</w:t>
      </w:r>
      <w:r w:rsidRPr="008A7793">
        <w:rPr>
          <w:rFonts w:ascii="Times New Roman" w:hAnsi="Times New Roman"/>
          <w:sz w:val="26"/>
          <w:szCs w:val="26"/>
        </w:rPr>
        <w:t>iling was served on the statutory advocates and all affected EDCs</w:t>
      </w:r>
      <w:r w:rsidR="004B72ED">
        <w:rPr>
          <w:rFonts w:ascii="Times New Roman" w:hAnsi="Times New Roman"/>
          <w:sz w:val="26"/>
          <w:szCs w:val="26"/>
        </w:rPr>
        <w:t>.</w:t>
      </w:r>
    </w:p>
    <w:p w:rsidR="00275681" w:rsidRPr="00B73B75" w:rsidRDefault="004D4800" w:rsidP="00D92845">
      <w:pPr>
        <w:pStyle w:val="ListParagraph"/>
        <w:numPr>
          <w:ilvl w:val="0"/>
          <w:numId w:val="14"/>
        </w:numPr>
        <w:spacing w:after="120"/>
        <w:ind w:left="1080"/>
        <w:rPr>
          <w:rFonts w:ascii="Times New Roman" w:hAnsi="Times New Roman"/>
          <w:sz w:val="26"/>
          <w:szCs w:val="26"/>
        </w:rPr>
      </w:pPr>
      <w:r>
        <w:rPr>
          <w:rFonts w:ascii="Times New Roman" w:hAnsi="Times New Roman"/>
          <w:sz w:val="26"/>
          <w:szCs w:val="26"/>
        </w:rPr>
        <w:t xml:space="preserve">A recent </w:t>
      </w:r>
      <w:r w:rsidR="000951EF">
        <w:rPr>
          <w:rFonts w:ascii="Times New Roman" w:hAnsi="Times New Roman"/>
          <w:sz w:val="26"/>
          <w:szCs w:val="26"/>
        </w:rPr>
        <w:t xml:space="preserve">Department of Revenue </w:t>
      </w:r>
      <w:r w:rsidR="00275681" w:rsidRPr="008A7793">
        <w:rPr>
          <w:rFonts w:ascii="Times New Roman" w:hAnsi="Times New Roman"/>
          <w:sz w:val="26"/>
          <w:szCs w:val="26"/>
        </w:rPr>
        <w:t xml:space="preserve">Tax Status Letter </w:t>
      </w:r>
      <w:r w:rsidR="00275681" w:rsidRPr="000951EF">
        <w:rPr>
          <w:rFonts w:ascii="Times New Roman" w:hAnsi="Times New Roman"/>
          <w:sz w:val="26"/>
          <w:szCs w:val="26"/>
        </w:rPr>
        <w:t>of Good Standing</w:t>
      </w:r>
      <w:r w:rsidR="004B72ED">
        <w:rPr>
          <w:rFonts w:ascii="Times New Roman" w:hAnsi="Times New Roman"/>
          <w:sz w:val="26"/>
          <w:szCs w:val="26"/>
        </w:rPr>
        <w:t>.</w:t>
      </w:r>
      <w:r w:rsidR="00275681" w:rsidRPr="000951EF">
        <w:rPr>
          <w:rFonts w:ascii="Times New Roman" w:hAnsi="Times New Roman"/>
          <w:sz w:val="26"/>
          <w:szCs w:val="26"/>
        </w:rPr>
        <w:t xml:space="preserve"> </w:t>
      </w:r>
    </w:p>
    <w:p w:rsidR="00275681" w:rsidRPr="008A7793" w:rsidRDefault="004B72ED" w:rsidP="00D92845">
      <w:pPr>
        <w:pStyle w:val="ListParagraph"/>
        <w:numPr>
          <w:ilvl w:val="0"/>
          <w:numId w:val="14"/>
        </w:numPr>
        <w:spacing w:after="120"/>
        <w:ind w:left="1080"/>
        <w:rPr>
          <w:sz w:val="26"/>
          <w:szCs w:val="26"/>
        </w:rPr>
      </w:pPr>
      <w:r>
        <w:rPr>
          <w:rFonts w:ascii="Times New Roman" w:hAnsi="Times New Roman"/>
          <w:sz w:val="26"/>
          <w:szCs w:val="26"/>
        </w:rPr>
        <w:t xml:space="preserve">EGS’ most recent </w:t>
      </w:r>
      <w:r w:rsidR="000951EF" w:rsidRPr="00B73B75">
        <w:rPr>
          <w:rFonts w:ascii="Times New Roman" w:hAnsi="Times New Roman"/>
          <w:sz w:val="26"/>
          <w:szCs w:val="26"/>
        </w:rPr>
        <w:t>Department of Revenue</w:t>
      </w:r>
      <w:r>
        <w:rPr>
          <w:rFonts w:ascii="Times New Roman" w:hAnsi="Times New Roman"/>
          <w:sz w:val="26"/>
          <w:szCs w:val="26"/>
        </w:rPr>
        <w:t xml:space="preserve"> </w:t>
      </w:r>
      <w:r w:rsidR="000951EF" w:rsidRPr="00B73B75">
        <w:rPr>
          <w:rFonts w:ascii="Times New Roman" w:hAnsi="Times New Roman"/>
          <w:sz w:val="26"/>
          <w:szCs w:val="26"/>
        </w:rPr>
        <w:t>REV</w:t>
      </w:r>
      <w:r w:rsidR="000951EF" w:rsidRPr="00B73B75">
        <w:rPr>
          <w:rFonts w:ascii="Times New Roman" w:hAnsi="Times New Roman"/>
          <w:sz w:val="26"/>
          <w:szCs w:val="26"/>
        </w:rPr>
        <w:noBreakHyphen/>
        <w:t>423 PA Corporation Specialty Tax Estimated Payment form</w:t>
      </w:r>
      <w:r>
        <w:rPr>
          <w:rFonts w:ascii="Times New Roman" w:hAnsi="Times New Roman"/>
          <w:sz w:val="26"/>
          <w:szCs w:val="26"/>
        </w:rPr>
        <w:t>.</w:t>
      </w:r>
    </w:p>
    <w:p w:rsidR="00275681" w:rsidRPr="004F095F" w:rsidRDefault="004B72ED" w:rsidP="00D92845">
      <w:pPr>
        <w:pStyle w:val="ListParagraph"/>
        <w:numPr>
          <w:ilvl w:val="0"/>
          <w:numId w:val="14"/>
        </w:numPr>
        <w:spacing w:after="120"/>
        <w:ind w:left="1080"/>
        <w:rPr>
          <w:sz w:val="26"/>
          <w:szCs w:val="26"/>
        </w:rPr>
      </w:pPr>
      <w:r>
        <w:rPr>
          <w:rFonts w:ascii="Times New Roman" w:hAnsi="Times New Roman"/>
          <w:sz w:val="26"/>
          <w:szCs w:val="26"/>
        </w:rPr>
        <w:t xml:space="preserve">EGS’ </w:t>
      </w:r>
      <w:r w:rsidR="000951EF">
        <w:rPr>
          <w:rFonts w:ascii="Times New Roman" w:hAnsi="Times New Roman"/>
          <w:sz w:val="26"/>
          <w:szCs w:val="26"/>
        </w:rPr>
        <w:t>m</w:t>
      </w:r>
      <w:r w:rsidR="00275681" w:rsidRPr="004F095F">
        <w:rPr>
          <w:rFonts w:ascii="Times New Roman" w:hAnsi="Times New Roman"/>
          <w:sz w:val="26"/>
          <w:szCs w:val="26"/>
        </w:rPr>
        <w:t>ost recent 12-months of gross receipts</w:t>
      </w:r>
      <w:r>
        <w:rPr>
          <w:rFonts w:ascii="Times New Roman" w:hAnsi="Times New Roman"/>
          <w:sz w:val="26"/>
          <w:szCs w:val="26"/>
        </w:rPr>
        <w:t>.</w:t>
      </w:r>
    </w:p>
    <w:p w:rsidR="00275681" w:rsidRPr="008A7793" w:rsidRDefault="004B72ED" w:rsidP="00D92845">
      <w:pPr>
        <w:pStyle w:val="ListParagraph"/>
        <w:numPr>
          <w:ilvl w:val="0"/>
          <w:numId w:val="14"/>
        </w:numPr>
        <w:spacing w:after="120"/>
        <w:ind w:left="1080"/>
        <w:rPr>
          <w:rFonts w:ascii="Times New Roman" w:hAnsi="Times New Roman"/>
          <w:sz w:val="26"/>
          <w:szCs w:val="26"/>
        </w:rPr>
      </w:pPr>
      <w:r>
        <w:rPr>
          <w:rFonts w:ascii="Times New Roman" w:hAnsi="Times New Roman"/>
          <w:sz w:val="26"/>
          <w:szCs w:val="26"/>
        </w:rPr>
        <w:t xml:space="preserve">EGS’ </w:t>
      </w:r>
      <w:r w:rsidR="00275681" w:rsidRPr="008A7793">
        <w:rPr>
          <w:rFonts w:ascii="Times New Roman" w:hAnsi="Times New Roman"/>
          <w:sz w:val="26"/>
          <w:szCs w:val="26"/>
        </w:rPr>
        <w:t xml:space="preserve">5% </w:t>
      </w:r>
      <w:r w:rsidR="00275681">
        <w:rPr>
          <w:rFonts w:ascii="Times New Roman" w:hAnsi="Times New Roman"/>
          <w:sz w:val="26"/>
          <w:szCs w:val="26"/>
        </w:rPr>
        <w:t xml:space="preserve">gross receipts </w:t>
      </w:r>
      <w:r>
        <w:rPr>
          <w:rFonts w:ascii="Times New Roman" w:hAnsi="Times New Roman"/>
          <w:sz w:val="26"/>
          <w:szCs w:val="26"/>
        </w:rPr>
        <w:t>c</w:t>
      </w:r>
      <w:r w:rsidR="00275681" w:rsidRPr="008A7793">
        <w:rPr>
          <w:rFonts w:ascii="Times New Roman" w:hAnsi="Times New Roman"/>
          <w:sz w:val="26"/>
          <w:szCs w:val="26"/>
        </w:rPr>
        <w:t xml:space="preserve">alculation </w:t>
      </w:r>
      <w:r w:rsidR="003E4641">
        <w:rPr>
          <w:rFonts w:ascii="Times New Roman" w:hAnsi="Times New Roman"/>
          <w:sz w:val="26"/>
          <w:szCs w:val="26"/>
        </w:rPr>
        <w:t xml:space="preserve">using </w:t>
      </w:r>
      <w:r w:rsidR="00275681" w:rsidRPr="008A7793">
        <w:rPr>
          <w:rFonts w:ascii="Times New Roman" w:hAnsi="Times New Roman"/>
          <w:sz w:val="26"/>
          <w:szCs w:val="26"/>
        </w:rPr>
        <w:t>the EGS’ most recent 12</w:t>
      </w:r>
      <w:r>
        <w:rPr>
          <w:rFonts w:ascii="Times New Roman" w:hAnsi="Times New Roman"/>
          <w:sz w:val="26"/>
          <w:szCs w:val="26"/>
        </w:rPr>
        <w:noBreakHyphen/>
      </w:r>
      <w:r w:rsidR="00275681" w:rsidRPr="008A7793">
        <w:rPr>
          <w:rFonts w:ascii="Times New Roman" w:hAnsi="Times New Roman"/>
          <w:sz w:val="26"/>
          <w:szCs w:val="26"/>
        </w:rPr>
        <w:t>months of gross receipts</w:t>
      </w:r>
      <w:r>
        <w:rPr>
          <w:rFonts w:ascii="Times New Roman" w:hAnsi="Times New Roman"/>
          <w:sz w:val="26"/>
          <w:szCs w:val="26"/>
        </w:rPr>
        <w:t>.</w:t>
      </w:r>
    </w:p>
    <w:p w:rsidR="00275681" w:rsidRPr="004108C8" w:rsidRDefault="004B72ED" w:rsidP="00D92845">
      <w:pPr>
        <w:pStyle w:val="ListParagraph"/>
        <w:numPr>
          <w:ilvl w:val="0"/>
          <w:numId w:val="14"/>
        </w:numPr>
        <w:spacing w:after="120"/>
        <w:ind w:left="1080"/>
        <w:rPr>
          <w:rFonts w:ascii="Times New Roman" w:hAnsi="Times New Roman"/>
          <w:sz w:val="26"/>
          <w:szCs w:val="26"/>
        </w:rPr>
      </w:pPr>
      <w:bookmarkStart w:id="5" w:name="_Hlk521923862"/>
      <w:r>
        <w:rPr>
          <w:rFonts w:ascii="Times New Roman" w:hAnsi="Times New Roman"/>
          <w:sz w:val="26"/>
          <w:szCs w:val="26"/>
        </w:rPr>
        <w:t>A</w:t>
      </w:r>
      <w:r w:rsidR="00275681" w:rsidRPr="004108C8">
        <w:rPr>
          <w:rFonts w:ascii="Times New Roman" w:hAnsi="Times New Roman"/>
          <w:sz w:val="26"/>
          <w:szCs w:val="26"/>
        </w:rPr>
        <w:t xml:space="preserve">n original bond, letter of credit, rider, amendment, or other financial instrument </w:t>
      </w:r>
      <w:r w:rsidR="003E4641">
        <w:rPr>
          <w:rFonts w:ascii="Times New Roman" w:hAnsi="Times New Roman"/>
          <w:sz w:val="26"/>
          <w:szCs w:val="26"/>
        </w:rPr>
        <w:t xml:space="preserve">in an amount equal to </w:t>
      </w:r>
      <w:r w:rsidR="00275681" w:rsidRPr="004108C8">
        <w:rPr>
          <w:rFonts w:ascii="Times New Roman" w:hAnsi="Times New Roman"/>
          <w:sz w:val="26"/>
          <w:szCs w:val="26"/>
        </w:rPr>
        <w:t>5% of the EGS’ most recent 12-months of gross receipts</w:t>
      </w:r>
      <w:bookmarkEnd w:id="5"/>
      <w:r w:rsidR="00275681" w:rsidRPr="004108C8">
        <w:rPr>
          <w:rFonts w:ascii="Times New Roman" w:hAnsi="Times New Roman"/>
          <w:sz w:val="26"/>
          <w:szCs w:val="26"/>
        </w:rPr>
        <w:t xml:space="preserve"> (effective on the expiration/anniversary date of the EGS’s current financial security)</w:t>
      </w:r>
      <w:r w:rsidR="000951EF">
        <w:rPr>
          <w:rFonts w:ascii="Times New Roman" w:hAnsi="Times New Roman"/>
          <w:sz w:val="26"/>
          <w:szCs w:val="26"/>
        </w:rPr>
        <w:t>.</w:t>
      </w:r>
    </w:p>
    <w:p w:rsidR="00275681" w:rsidRDefault="00EF1A23" w:rsidP="004B72ED">
      <w:pPr>
        <w:spacing w:line="360" w:lineRule="auto"/>
        <w:rPr>
          <w:sz w:val="26"/>
          <w:szCs w:val="26"/>
        </w:rPr>
      </w:pPr>
      <w:r>
        <w:rPr>
          <w:sz w:val="26"/>
          <w:szCs w:val="26"/>
        </w:rPr>
        <w:t xml:space="preserve">As noted in the </w:t>
      </w:r>
      <w:r w:rsidRPr="001A6F28">
        <w:rPr>
          <w:i/>
          <w:sz w:val="26"/>
          <w:szCs w:val="26"/>
        </w:rPr>
        <w:t>Final Security Order</w:t>
      </w:r>
      <w:r>
        <w:rPr>
          <w:sz w:val="26"/>
          <w:szCs w:val="26"/>
        </w:rPr>
        <w:t xml:space="preserve">, </w:t>
      </w:r>
      <w:r w:rsidR="00275681" w:rsidRPr="00926452">
        <w:rPr>
          <w:sz w:val="26"/>
          <w:szCs w:val="26"/>
        </w:rPr>
        <w:t xml:space="preserve">Commission staff may seek more information from </w:t>
      </w:r>
      <w:r w:rsidR="00275681">
        <w:rPr>
          <w:sz w:val="26"/>
          <w:szCs w:val="26"/>
        </w:rPr>
        <w:t>an</w:t>
      </w:r>
      <w:r w:rsidR="00275681" w:rsidRPr="00926452">
        <w:rPr>
          <w:sz w:val="26"/>
          <w:szCs w:val="26"/>
        </w:rPr>
        <w:t xml:space="preserve"> EGS</w:t>
      </w:r>
      <w:r w:rsidR="00275681">
        <w:rPr>
          <w:sz w:val="26"/>
          <w:szCs w:val="26"/>
        </w:rPr>
        <w:t xml:space="preserve"> as required</w:t>
      </w:r>
      <w:r w:rsidR="00275681" w:rsidRPr="00926452">
        <w:rPr>
          <w:sz w:val="26"/>
          <w:szCs w:val="26"/>
        </w:rPr>
        <w:t>.</w:t>
      </w:r>
    </w:p>
    <w:p w:rsidR="00D92845" w:rsidRPr="00926452" w:rsidRDefault="00D92845" w:rsidP="004B72ED">
      <w:pPr>
        <w:spacing w:line="360" w:lineRule="auto"/>
        <w:rPr>
          <w:sz w:val="26"/>
          <w:szCs w:val="26"/>
        </w:rPr>
      </w:pPr>
    </w:p>
    <w:p w:rsidR="00067C9E" w:rsidRPr="00A4738A" w:rsidRDefault="00067C9E" w:rsidP="004F095F">
      <w:pPr>
        <w:spacing w:line="360" w:lineRule="auto"/>
        <w:jc w:val="center"/>
        <w:rPr>
          <w:b/>
          <w:sz w:val="26"/>
          <w:szCs w:val="26"/>
        </w:rPr>
      </w:pPr>
      <w:r w:rsidRPr="00A4738A">
        <w:rPr>
          <w:b/>
          <w:sz w:val="26"/>
          <w:szCs w:val="26"/>
        </w:rPr>
        <w:t>CONCLUSION</w:t>
      </w:r>
    </w:p>
    <w:p w:rsidR="00932DFD" w:rsidRPr="00E21E80" w:rsidRDefault="00220DDF">
      <w:pPr>
        <w:spacing w:line="360" w:lineRule="auto"/>
        <w:rPr>
          <w:sz w:val="26"/>
          <w:szCs w:val="26"/>
        </w:rPr>
      </w:pPr>
      <w:r w:rsidRPr="00E21E80">
        <w:rPr>
          <w:sz w:val="26"/>
          <w:szCs w:val="26"/>
        </w:rPr>
        <w:tab/>
        <w:t>The Commission adopt</w:t>
      </w:r>
      <w:r w:rsidR="000951EF">
        <w:rPr>
          <w:sz w:val="26"/>
          <w:szCs w:val="26"/>
        </w:rPr>
        <w:t>s</w:t>
      </w:r>
      <w:r w:rsidRPr="00E21E80">
        <w:rPr>
          <w:sz w:val="26"/>
          <w:szCs w:val="26"/>
        </w:rPr>
        <w:t xml:space="preserve"> RESA’s </w:t>
      </w:r>
      <w:r w:rsidR="00C539CE">
        <w:rPr>
          <w:sz w:val="26"/>
          <w:szCs w:val="26"/>
        </w:rPr>
        <w:t>financial security</w:t>
      </w:r>
      <w:r w:rsidR="004D1747" w:rsidRPr="00E21E80">
        <w:rPr>
          <w:sz w:val="26"/>
          <w:szCs w:val="26"/>
        </w:rPr>
        <w:t xml:space="preserve"> renewal </w:t>
      </w:r>
      <w:r w:rsidRPr="00E21E80">
        <w:rPr>
          <w:sz w:val="26"/>
          <w:szCs w:val="26"/>
        </w:rPr>
        <w:t xml:space="preserve">proposal as modified </w:t>
      </w:r>
      <w:r w:rsidR="004D1747" w:rsidRPr="00E21E80">
        <w:rPr>
          <w:sz w:val="26"/>
          <w:szCs w:val="26"/>
        </w:rPr>
        <w:t>by</w:t>
      </w:r>
      <w:r w:rsidRPr="00E21E80">
        <w:rPr>
          <w:sz w:val="26"/>
          <w:szCs w:val="26"/>
        </w:rPr>
        <w:t xml:space="preserve"> this Order.  </w:t>
      </w:r>
      <w:r w:rsidR="004D1747" w:rsidRPr="00E21E80">
        <w:rPr>
          <w:sz w:val="26"/>
          <w:szCs w:val="26"/>
        </w:rPr>
        <w:t>The Commission notes that</w:t>
      </w:r>
      <w:r w:rsidR="00145B3E" w:rsidRPr="00E21E80">
        <w:rPr>
          <w:sz w:val="26"/>
          <w:szCs w:val="26"/>
        </w:rPr>
        <w:t>,</w:t>
      </w:r>
      <w:r w:rsidR="004D1747" w:rsidRPr="00E21E80">
        <w:rPr>
          <w:sz w:val="26"/>
          <w:szCs w:val="26"/>
        </w:rPr>
        <w:t xml:space="preserve"> the process and fee set forth in the </w:t>
      </w:r>
      <w:bookmarkStart w:id="6" w:name="_Hlk522004855"/>
      <w:r w:rsidR="00F74E2F" w:rsidRPr="001A6F28">
        <w:rPr>
          <w:i/>
          <w:sz w:val="26"/>
          <w:szCs w:val="26"/>
        </w:rPr>
        <w:t xml:space="preserve">Final </w:t>
      </w:r>
      <w:r w:rsidR="00F74E2F" w:rsidRPr="001A6F28">
        <w:rPr>
          <w:i/>
          <w:sz w:val="26"/>
          <w:szCs w:val="26"/>
        </w:rPr>
        <w:lastRenderedPageBreak/>
        <w:t>Security Order</w:t>
      </w:r>
      <w:bookmarkEnd w:id="6"/>
      <w:r w:rsidR="004D1747" w:rsidRPr="002C0AE9">
        <w:rPr>
          <w:rStyle w:val="FootnoteReference"/>
          <w:sz w:val="26"/>
          <w:szCs w:val="26"/>
        </w:rPr>
        <w:footnoteReference w:id="37"/>
      </w:r>
      <w:r w:rsidR="004D1747" w:rsidRPr="00E21E80">
        <w:rPr>
          <w:sz w:val="26"/>
          <w:szCs w:val="26"/>
        </w:rPr>
        <w:t xml:space="preserve"> for obtaining an initial reduction in </w:t>
      </w:r>
      <w:r w:rsidR="00F407BA">
        <w:rPr>
          <w:sz w:val="26"/>
          <w:szCs w:val="26"/>
        </w:rPr>
        <w:t>financial security</w:t>
      </w:r>
      <w:r w:rsidR="004D1747" w:rsidRPr="00E21E80">
        <w:rPr>
          <w:sz w:val="26"/>
          <w:szCs w:val="26"/>
        </w:rPr>
        <w:t xml:space="preserve"> to 5% is not being revised by this Order and remains in effect.  </w:t>
      </w:r>
    </w:p>
    <w:p w:rsidR="004D1747" w:rsidRPr="00E21E80" w:rsidRDefault="004D1747">
      <w:pPr>
        <w:spacing w:line="360" w:lineRule="auto"/>
        <w:rPr>
          <w:sz w:val="26"/>
          <w:szCs w:val="26"/>
        </w:rPr>
      </w:pPr>
    </w:p>
    <w:p w:rsidR="00F700D5" w:rsidRDefault="004D1747" w:rsidP="006B565A">
      <w:pPr>
        <w:spacing w:line="360" w:lineRule="auto"/>
        <w:rPr>
          <w:sz w:val="26"/>
          <w:szCs w:val="26"/>
        </w:rPr>
      </w:pPr>
      <w:r w:rsidRPr="00E21E80">
        <w:rPr>
          <w:sz w:val="26"/>
          <w:szCs w:val="26"/>
        </w:rPr>
        <w:tab/>
        <w:t xml:space="preserve">For EGSs that have received approval for a reduced </w:t>
      </w:r>
      <w:r w:rsidR="00F407BA">
        <w:rPr>
          <w:sz w:val="26"/>
          <w:szCs w:val="26"/>
        </w:rPr>
        <w:t>financial security</w:t>
      </w:r>
      <w:r w:rsidRPr="00E21E80">
        <w:rPr>
          <w:sz w:val="26"/>
          <w:szCs w:val="26"/>
        </w:rPr>
        <w:t xml:space="preserve"> amount of 5%, </w:t>
      </w:r>
      <w:r w:rsidR="00CC0B0A" w:rsidRPr="00E21E80">
        <w:rPr>
          <w:sz w:val="26"/>
          <w:szCs w:val="26"/>
        </w:rPr>
        <w:t xml:space="preserve">the Commission </w:t>
      </w:r>
      <w:r w:rsidR="0089622A">
        <w:rPr>
          <w:sz w:val="26"/>
          <w:szCs w:val="26"/>
        </w:rPr>
        <w:t xml:space="preserve">is amending the </w:t>
      </w:r>
      <w:r w:rsidR="0089622A" w:rsidRPr="001A6F28">
        <w:rPr>
          <w:i/>
          <w:sz w:val="26"/>
          <w:szCs w:val="26"/>
        </w:rPr>
        <w:t>Final Security Order</w:t>
      </w:r>
      <w:r w:rsidR="0089622A" w:rsidRPr="00E21E80">
        <w:rPr>
          <w:sz w:val="26"/>
          <w:szCs w:val="26"/>
        </w:rPr>
        <w:t xml:space="preserve"> </w:t>
      </w:r>
      <w:r w:rsidR="0089622A">
        <w:rPr>
          <w:sz w:val="26"/>
          <w:szCs w:val="26"/>
        </w:rPr>
        <w:t>in accordance with our authority under Section 703(g) of the Code, 66 Pa. C.S. § 703(g)</w:t>
      </w:r>
      <w:r w:rsidR="002C0AE9" w:rsidRPr="002C0AE9">
        <w:rPr>
          <w:rStyle w:val="FootnoteReference"/>
          <w:sz w:val="26"/>
          <w:szCs w:val="26"/>
        </w:rPr>
        <w:footnoteReference w:id="38"/>
      </w:r>
      <w:r w:rsidR="0089622A" w:rsidRPr="002C0AE9">
        <w:rPr>
          <w:i/>
          <w:sz w:val="26"/>
          <w:szCs w:val="26"/>
        </w:rPr>
        <w:t xml:space="preserve"> </w:t>
      </w:r>
      <w:r w:rsidR="0089622A">
        <w:rPr>
          <w:sz w:val="26"/>
          <w:szCs w:val="26"/>
        </w:rPr>
        <w:t xml:space="preserve">and </w:t>
      </w:r>
      <w:r w:rsidR="00CC0B0A" w:rsidRPr="00E21E80">
        <w:rPr>
          <w:sz w:val="26"/>
          <w:szCs w:val="26"/>
        </w:rPr>
        <w:t xml:space="preserve">will no longer require a petition for renewal to be filed with the Commission’s Secretary’s Bureau or a $350 filing fee.  The Commission will, however, require EGSs </w:t>
      </w:r>
      <w:r w:rsidR="00B45273">
        <w:rPr>
          <w:sz w:val="26"/>
          <w:szCs w:val="26"/>
        </w:rPr>
        <w:t xml:space="preserve">that wish to maintain the reduced security amount </w:t>
      </w:r>
      <w:r w:rsidR="00CC0B0A" w:rsidRPr="00E21E80">
        <w:rPr>
          <w:sz w:val="26"/>
          <w:szCs w:val="26"/>
        </w:rPr>
        <w:t xml:space="preserve">to submit </w:t>
      </w:r>
      <w:r w:rsidR="004B72ED">
        <w:rPr>
          <w:sz w:val="26"/>
          <w:szCs w:val="26"/>
        </w:rPr>
        <w:t>an</w:t>
      </w:r>
      <w:r w:rsidR="00CC0B0A" w:rsidRPr="00E21E80">
        <w:rPr>
          <w:sz w:val="26"/>
          <w:szCs w:val="26"/>
        </w:rPr>
        <w:t xml:space="preserve"> </w:t>
      </w:r>
      <w:r w:rsidR="004B72ED">
        <w:rPr>
          <w:sz w:val="26"/>
          <w:szCs w:val="26"/>
        </w:rPr>
        <w:t>a</w:t>
      </w:r>
      <w:r w:rsidR="00605B2F">
        <w:rPr>
          <w:sz w:val="26"/>
          <w:szCs w:val="26"/>
        </w:rPr>
        <w:t xml:space="preserve">nnual </w:t>
      </w:r>
      <w:r w:rsidR="004B72ED">
        <w:rPr>
          <w:sz w:val="26"/>
          <w:szCs w:val="26"/>
        </w:rPr>
        <w:t>c</w:t>
      </w:r>
      <w:r w:rsidR="00605B2F">
        <w:rPr>
          <w:sz w:val="26"/>
          <w:szCs w:val="26"/>
        </w:rPr>
        <w:t xml:space="preserve">ompliance </w:t>
      </w:r>
      <w:r w:rsidR="004B72ED">
        <w:rPr>
          <w:sz w:val="26"/>
          <w:szCs w:val="26"/>
        </w:rPr>
        <w:t>f</w:t>
      </w:r>
      <w:r w:rsidR="00605B2F">
        <w:rPr>
          <w:sz w:val="26"/>
          <w:szCs w:val="26"/>
        </w:rPr>
        <w:t xml:space="preserve">iling </w:t>
      </w:r>
      <w:r w:rsidR="004B72ED">
        <w:rPr>
          <w:sz w:val="26"/>
          <w:szCs w:val="26"/>
        </w:rPr>
        <w:t xml:space="preserve">containing the information and documentation required by this Order </w:t>
      </w:r>
      <w:r w:rsidR="00B45273">
        <w:rPr>
          <w:sz w:val="26"/>
          <w:szCs w:val="26"/>
        </w:rPr>
        <w:t xml:space="preserve">at least </w:t>
      </w:r>
      <w:r w:rsidR="00CC0B0A" w:rsidRPr="00E21E80">
        <w:rPr>
          <w:sz w:val="26"/>
          <w:szCs w:val="26"/>
        </w:rPr>
        <w:t>90</w:t>
      </w:r>
      <w:r w:rsidR="000951EF">
        <w:rPr>
          <w:sz w:val="26"/>
          <w:szCs w:val="26"/>
        </w:rPr>
        <w:t xml:space="preserve"> </w:t>
      </w:r>
      <w:r w:rsidR="00CC0B0A" w:rsidRPr="00E21E80">
        <w:rPr>
          <w:sz w:val="26"/>
          <w:szCs w:val="26"/>
        </w:rPr>
        <w:t>days</w:t>
      </w:r>
      <w:r w:rsidR="00936ED8">
        <w:rPr>
          <w:sz w:val="26"/>
          <w:szCs w:val="26"/>
        </w:rPr>
        <w:t xml:space="preserve"> </w:t>
      </w:r>
      <w:r w:rsidR="00CC0B0A" w:rsidRPr="00E21E80">
        <w:rPr>
          <w:sz w:val="26"/>
          <w:szCs w:val="26"/>
        </w:rPr>
        <w:t>prior to the expiration</w:t>
      </w:r>
      <w:r w:rsidR="00605B2F">
        <w:rPr>
          <w:sz w:val="26"/>
          <w:szCs w:val="26"/>
        </w:rPr>
        <w:t>/anniversary date</w:t>
      </w:r>
      <w:r w:rsidR="00CC0B0A" w:rsidRPr="00E21E80">
        <w:rPr>
          <w:sz w:val="26"/>
          <w:szCs w:val="26"/>
        </w:rPr>
        <w:t xml:space="preserve"> of the EGS’ current </w:t>
      </w:r>
      <w:r w:rsidR="00605B2F">
        <w:rPr>
          <w:sz w:val="26"/>
          <w:szCs w:val="26"/>
        </w:rPr>
        <w:t xml:space="preserve">financial </w:t>
      </w:r>
      <w:r w:rsidR="00CC0B0A" w:rsidRPr="00E21E80">
        <w:rPr>
          <w:sz w:val="26"/>
          <w:szCs w:val="26"/>
        </w:rPr>
        <w:t>security</w:t>
      </w:r>
      <w:r w:rsidR="00605B2F">
        <w:rPr>
          <w:sz w:val="26"/>
          <w:szCs w:val="26"/>
        </w:rPr>
        <w:t>.</w:t>
      </w:r>
      <w:r w:rsidR="0012782C">
        <w:rPr>
          <w:sz w:val="26"/>
          <w:szCs w:val="26"/>
        </w:rPr>
        <w:t xml:space="preserve">  </w:t>
      </w:r>
      <w:r w:rsidR="009A75DA" w:rsidRPr="00DF6FD7">
        <w:rPr>
          <w:sz w:val="26"/>
          <w:szCs w:val="26"/>
        </w:rPr>
        <w:t xml:space="preserve">In the event the EGS </w:t>
      </w:r>
      <w:r w:rsidR="00DF6FD7" w:rsidRPr="00DF6FD7">
        <w:rPr>
          <w:sz w:val="26"/>
          <w:szCs w:val="26"/>
        </w:rPr>
        <w:t>fails to</w:t>
      </w:r>
      <w:r w:rsidR="009A75DA" w:rsidRPr="00DF6FD7">
        <w:rPr>
          <w:sz w:val="26"/>
          <w:szCs w:val="26"/>
        </w:rPr>
        <w:t xml:space="preserve"> </w:t>
      </w:r>
      <w:r w:rsidR="004B72ED">
        <w:rPr>
          <w:sz w:val="26"/>
          <w:szCs w:val="26"/>
        </w:rPr>
        <w:t>make</w:t>
      </w:r>
      <w:r w:rsidR="00E21E80" w:rsidRPr="00DF6FD7">
        <w:rPr>
          <w:sz w:val="26"/>
          <w:szCs w:val="26"/>
        </w:rPr>
        <w:t xml:space="preserve"> the required </w:t>
      </w:r>
      <w:r w:rsidR="004B72ED">
        <w:rPr>
          <w:sz w:val="26"/>
          <w:szCs w:val="26"/>
        </w:rPr>
        <w:t>a</w:t>
      </w:r>
      <w:r w:rsidR="00DF6FD7" w:rsidRPr="00DF6FD7">
        <w:rPr>
          <w:sz w:val="26"/>
          <w:szCs w:val="26"/>
        </w:rPr>
        <w:t xml:space="preserve">nnual </w:t>
      </w:r>
      <w:r w:rsidR="004B72ED">
        <w:rPr>
          <w:sz w:val="26"/>
          <w:szCs w:val="26"/>
        </w:rPr>
        <w:t>c</w:t>
      </w:r>
      <w:r w:rsidR="00DF6FD7" w:rsidRPr="00DF6FD7">
        <w:rPr>
          <w:sz w:val="26"/>
          <w:szCs w:val="26"/>
        </w:rPr>
        <w:t xml:space="preserve">ompliance </w:t>
      </w:r>
      <w:r w:rsidR="004B72ED">
        <w:rPr>
          <w:sz w:val="26"/>
          <w:szCs w:val="26"/>
        </w:rPr>
        <w:t>f</w:t>
      </w:r>
      <w:r w:rsidR="00DF6FD7" w:rsidRPr="00DF6FD7">
        <w:rPr>
          <w:sz w:val="26"/>
          <w:szCs w:val="26"/>
        </w:rPr>
        <w:t>iling 90</w:t>
      </w:r>
      <w:r w:rsidR="000951EF">
        <w:rPr>
          <w:sz w:val="26"/>
          <w:szCs w:val="26"/>
        </w:rPr>
        <w:t xml:space="preserve"> </w:t>
      </w:r>
      <w:r w:rsidR="00DF6FD7" w:rsidRPr="00DF6FD7">
        <w:rPr>
          <w:sz w:val="26"/>
          <w:szCs w:val="26"/>
        </w:rPr>
        <w:t>days prior to the EGS’s</w:t>
      </w:r>
      <w:r w:rsidR="00B45273">
        <w:rPr>
          <w:sz w:val="26"/>
          <w:szCs w:val="26"/>
        </w:rPr>
        <w:t xml:space="preserve"> financial security</w:t>
      </w:r>
      <w:r w:rsidR="00DF6FD7" w:rsidRPr="00DF6FD7">
        <w:rPr>
          <w:sz w:val="26"/>
          <w:szCs w:val="26"/>
        </w:rPr>
        <w:t xml:space="preserve"> expiration/anniversary date</w:t>
      </w:r>
      <w:r w:rsidR="009A75DA" w:rsidRPr="00DF6FD7">
        <w:rPr>
          <w:sz w:val="26"/>
          <w:szCs w:val="26"/>
        </w:rPr>
        <w:t xml:space="preserve">, the EGS’ </w:t>
      </w:r>
      <w:r w:rsidR="00DF6FD7" w:rsidRPr="00DF6FD7">
        <w:rPr>
          <w:sz w:val="26"/>
          <w:szCs w:val="26"/>
        </w:rPr>
        <w:t>financial security</w:t>
      </w:r>
      <w:r w:rsidR="009A75DA" w:rsidRPr="00DF6FD7">
        <w:rPr>
          <w:sz w:val="26"/>
          <w:szCs w:val="26"/>
        </w:rPr>
        <w:t xml:space="preserve"> requirement will revert to 10% </w:t>
      </w:r>
      <w:r w:rsidR="004B20E0">
        <w:rPr>
          <w:sz w:val="26"/>
          <w:szCs w:val="26"/>
        </w:rPr>
        <w:t xml:space="preserve">of </w:t>
      </w:r>
      <w:r w:rsidR="00DF6FD7" w:rsidRPr="00DF6FD7">
        <w:rPr>
          <w:sz w:val="26"/>
          <w:szCs w:val="26"/>
        </w:rPr>
        <w:t>its most recent 12-months of gross receipts</w:t>
      </w:r>
      <w:r w:rsidR="009A75DA" w:rsidRPr="00DF6FD7">
        <w:rPr>
          <w:sz w:val="26"/>
          <w:szCs w:val="26"/>
        </w:rPr>
        <w:t xml:space="preserve">, pursuant to 52 Pa. Code </w:t>
      </w:r>
    </w:p>
    <w:p w:rsidR="004F0F95" w:rsidRPr="00A4738A" w:rsidRDefault="009A75DA" w:rsidP="006B565A">
      <w:pPr>
        <w:spacing w:line="360" w:lineRule="auto"/>
        <w:rPr>
          <w:b/>
          <w:sz w:val="26"/>
          <w:szCs w:val="26"/>
        </w:rPr>
      </w:pPr>
      <w:r w:rsidRPr="00DF6FD7">
        <w:rPr>
          <w:sz w:val="26"/>
          <w:szCs w:val="26"/>
        </w:rPr>
        <w:t>§ 54.40(d)</w:t>
      </w:r>
      <w:r w:rsidR="00C07781">
        <w:rPr>
          <w:sz w:val="26"/>
          <w:szCs w:val="26"/>
        </w:rPr>
        <w:t xml:space="preserve">; </w:t>
      </w:r>
      <w:r w:rsidR="001C72BC" w:rsidRPr="00A4738A">
        <w:rPr>
          <w:b/>
          <w:sz w:val="26"/>
          <w:szCs w:val="26"/>
        </w:rPr>
        <w:t>THEREFORE,</w:t>
      </w:r>
    </w:p>
    <w:p w:rsidR="001C72BC" w:rsidRPr="00A4738A" w:rsidRDefault="001C72BC">
      <w:pPr>
        <w:spacing w:line="360" w:lineRule="auto"/>
        <w:rPr>
          <w:sz w:val="26"/>
          <w:szCs w:val="26"/>
        </w:rPr>
      </w:pPr>
    </w:p>
    <w:p w:rsidR="001C72BC" w:rsidRPr="00A4738A" w:rsidRDefault="001C72BC">
      <w:pPr>
        <w:spacing w:line="360" w:lineRule="auto"/>
        <w:rPr>
          <w:b/>
          <w:sz w:val="26"/>
          <w:szCs w:val="26"/>
        </w:rPr>
      </w:pPr>
      <w:r w:rsidRPr="00A4738A">
        <w:rPr>
          <w:b/>
          <w:sz w:val="26"/>
          <w:szCs w:val="26"/>
        </w:rPr>
        <w:tab/>
        <w:t>IT IS ORDERED:</w:t>
      </w:r>
    </w:p>
    <w:p w:rsidR="004F0F95" w:rsidRPr="00A4738A" w:rsidRDefault="004F0F95">
      <w:pPr>
        <w:spacing w:line="360" w:lineRule="auto"/>
        <w:rPr>
          <w:sz w:val="26"/>
          <w:szCs w:val="26"/>
        </w:rPr>
      </w:pPr>
    </w:p>
    <w:p w:rsidR="0086266D" w:rsidRDefault="001C72BC" w:rsidP="0086266D">
      <w:pPr>
        <w:spacing w:line="360" w:lineRule="auto"/>
        <w:rPr>
          <w:sz w:val="26"/>
          <w:szCs w:val="26"/>
        </w:rPr>
      </w:pPr>
      <w:r w:rsidRPr="00A4738A">
        <w:rPr>
          <w:sz w:val="26"/>
          <w:szCs w:val="26"/>
        </w:rPr>
        <w:tab/>
        <w:t>1.</w:t>
      </w:r>
      <w:r w:rsidRPr="00A4738A">
        <w:rPr>
          <w:sz w:val="26"/>
          <w:szCs w:val="26"/>
        </w:rPr>
        <w:tab/>
      </w:r>
      <w:r w:rsidR="00A01EE1" w:rsidRPr="00A4738A">
        <w:rPr>
          <w:sz w:val="26"/>
          <w:szCs w:val="26"/>
        </w:rPr>
        <w:t>That the</w:t>
      </w:r>
      <w:r w:rsidR="00B45273">
        <w:rPr>
          <w:sz w:val="26"/>
          <w:szCs w:val="26"/>
        </w:rPr>
        <w:t xml:space="preserve"> Petition </w:t>
      </w:r>
      <w:r w:rsidR="0086266D" w:rsidRPr="005D0370">
        <w:rPr>
          <w:sz w:val="26"/>
          <w:szCs w:val="26"/>
        </w:rPr>
        <w:t xml:space="preserve">of </w:t>
      </w:r>
      <w:r w:rsidR="0086266D">
        <w:rPr>
          <w:sz w:val="26"/>
          <w:szCs w:val="26"/>
        </w:rPr>
        <w:t>t</w:t>
      </w:r>
      <w:r w:rsidR="0086266D" w:rsidRPr="005D0370">
        <w:rPr>
          <w:sz w:val="26"/>
          <w:szCs w:val="26"/>
        </w:rPr>
        <w:t xml:space="preserve">he </w:t>
      </w:r>
      <w:r w:rsidR="0086266D">
        <w:rPr>
          <w:sz w:val="26"/>
          <w:szCs w:val="26"/>
        </w:rPr>
        <w:t xml:space="preserve">Retail Energy Supply Association to Simplify the Financial Security 5% Renewal Process is granted </w:t>
      </w:r>
      <w:r w:rsidR="0012782C">
        <w:rPr>
          <w:sz w:val="26"/>
          <w:szCs w:val="26"/>
        </w:rPr>
        <w:t xml:space="preserve">as modified by </w:t>
      </w:r>
      <w:r w:rsidR="0086266D" w:rsidRPr="00A4738A">
        <w:rPr>
          <w:sz w:val="26"/>
          <w:szCs w:val="26"/>
        </w:rPr>
        <w:t>this Order.</w:t>
      </w:r>
    </w:p>
    <w:p w:rsidR="0089622A" w:rsidRDefault="0089622A" w:rsidP="0086266D">
      <w:pPr>
        <w:spacing w:line="360" w:lineRule="auto"/>
        <w:rPr>
          <w:sz w:val="26"/>
          <w:szCs w:val="26"/>
        </w:rPr>
      </w:pPr>
    </w:p>
    <w:p w:rsidR="0089622A" w:rsidRDefault="0089622A" w:rsidP="0086266D">
      <w:pPr>
        <w:spacing w:line="360" w:lineRule="auto"/>
        <w:rPr>
          <w:sz w:val="26"/>
          <w:szCs w:val="26"/>
        </w:rPr>
      </w:pPr>
      <w:r>
        <w:rPr>
          <w:sz w:val="26"/>
          <w:szCs w:val="26"/>
        </w:rPr>
        <w:tab/>
        <w:t>2.</w:t>
      </w:r>
      <w:r>
        <w:rPr>
          <w:sz w:val="26"/>
          <w:szCs w:val="26"/>
        </w:rPr>
        <w:tab/>
        <w:t>That the Commission’s Final Order in Public Utility Commission Bonding/Security Requirements for Electric Generation Supplier; Acceptable Security Instruments at Docket No. M</w:t>
      </w:r>
      <w:r>
        <w:rPr>
          <w:sz w:val="26"/>
          <w:szCs w:val="26"/>
        </w:rPr>
        <w:noBreakHyphen/>
        <w:t>2013</w:t>
      </w:r>
      <w:r>
        <w:rPr>
          <w:sz w:val="26"/>
          <w:szCs w:val="26"/>
        </w:rPr>
        <w:noBreakHyphen/>
        <w:t>2393141 entered on July 24, 2014 is amended as set forth in this Order.</w:t>
      </w:r>
    </w:p>
    <w:p w:rsidR="00765AF1" w:rsidRDefault="00B45273" w:rsidP="00B45273">
      <w:pPr>
        <w:spacing w:line="360" w:lineRule="auto"/>
        <w:rPr>
          <w:sz w:val="26"/>
          <w:szCs w:val="26"/>
        </w:rPr>
      </w:pPr>
      <w:r w:rsidRPr="000951EF">
        <w:rPr>
          <w:sz w:val="26"/>
          <w:szCs w:val="26"/>
        </w:rPr>
        <w:lastRenderedPageBreak/>
        <w:tab/>
      </w:r>
      <w:r w:rsidR="0089622A">
        <w:rPr>
          <w:sz w:val="26"/>
          <w:szCs w:val="26"/>
        </w:rPr>
        <w:t>3</w:t>
      </w:r>
      <w:r w:rsidR="00A01EE1" w:rsidRPr="000951EF">
        <w:rPr>
          <w:sz w:val="26"/>
          <w:szCs w:val="26"/>
        </w:rPr>
        <w:t>.</w:t>
      </w:r>
      <w:r w:rsidR="00A01EE1" w:rsidRPr="000951EF">
        <w:rPr>
          <w:sz w:val="26"/>
          <w:szCs w:val="26"/>
        </w:rPr>
        <w:tab/>
      </w:r>
      <w:r w:rsidR="0086266D" w:rsidRPr="000951EF">
        <w:rPr>
          <w:sz w:val="26"/>
          <w:szCs w:val="26"/>
        </w:rPr>
        <w:t xml:space="preserve">That </w:t>
      </w:r>
      <w:r w:rsidR="00C07781">
        <w:rPr>
          <w:sz w:val="26"/>
          <w:szCs w:val="26"/>
        </w:rPr>
        <w:t xml:space="preserve">this </w:t>
      </w:r>
      <w:r w:rsidR="0089622A">
        <w:rPr>
          <w:sz w:val="26"/>
          <w:szCs w:val="26"/>
        </w:rPr>
        <w:t xml:space="preserve">Tentative </w:t>
      </w:r>
      <w:r w:rsidR="00C07781">
        <w:rPr>
          <w:sz w:val="26"/>
          <w:szCs w:val="26"/>
        </w:rPr>
        <w:t>Opinion and Order be served on all Electric Distribution Companies, all licensed Electric Generation Suppliers, the Bureau of Investigation and Enforcement, the Office of Consumer Advocate, the Office of Small Business Advocate, the Pennsylvania Department of Revenue, the Retail Energy Supply Association, and the Energy Association of Pennsylvania</w:t>
      </w:r>
      <w:r w:rsidR="0086266D" w:rsidRPr="00B73B75">
        <w:rPr>
          <w:sz w:val="26"/>
          <w:szCs w:val="26"/>
        </w:rPr>
        <w:t>.</w:t>
      </w:r>
    </w:p>
    <w:p w:rsidR="00C07781" w:rsidRDefault="00C07781" w:rsidP="00B45273">
      <w:pPr>
        <w:spacing w:line="360" w:lineRule="auto"/>
        <w:rPr>
          <w:sz w:val="26"/>
          <w:szCs w:val="26"/>
        </w:rPr>
      </w:pPr>
    </w:p>
    <w:p w:rsidR="00C07781" w:rsidRDefault="00C07781" w:rsidP="00B45273">
      <w:pPr>
        <w:spacing w:line="360" w:lineRule="auto"/>
        <w:rPr>
          <w:sz w:val="26"/>
          <w:szCs w:val="26"/>
        </w:rPr>
      </w:pPr>
      <w:r>
        <w:rPr>
          <w:sz w:val="26"/>
          <w:szCs w:val="26"/>
        </w:rPr>
        <w:tab/>
      </w:r>
      <w:r w:rsidR="0089622A">
        <w:rPr>
          <w:sz w:val="26"/>
          <w:szCs w:val="26"/>
        </w:rPr>
        <w:t>4</w:t>
      </w:r>
      <w:r>
        <w:rPr>
          <w:sz w:val="26"/>
          <w:szCs w:val="26"/>
        </w:rPr>
        <w:t>.</w:t>
      </w:r>
      <w:r>
        <w:rPr>
          <w:sz w:val="26"/>
          <w:szCs w:val="26"/>
        </w:rPr>
        <w:tab/>
        <w:t xml:space="preserve">That the Law Bureau shall deposit a copy of this </w:t>
      </w:r>
      <w:r w:rsidR="0089622A">
        <w:rPr>
          <w:sz w:val="26"/>
          <w:szCs w:val="26"/>
        </w:rPr>
        <w:t xml:space="preserve">Tentative </w:t>
      </w:r>
      <w:r>
        <w:rPr>
          <w:sz w:val="26"/>
          <w:szCs w:val="26"/>
        </w:rPr>
        <w:t xml:space="preserve">Opinion and Order with the Legislative Reference Bureau for publication in the </w:t>
      </w:r>
      <w:r w:rsidRPr="00C07781">
        <w:rPr>
          <w:i/>
          <w:sz w:val="26"/>
          <w:szCs w:val="26"/>
        </w:rPr>
        <w:t>Pennsylvania Bulletin</w:t>
      </w:r>
      <w:r>
        <w:rPr>
          <w:sz w:val="26"/>
          <w:szCs w:val="26"/>
        </w:rPr>
        <w:t>.</w:t>
      </w:r>
    </w:p>
    <w:p w:rsidR="00C07781" w:rsidRDefault="00C07781" w:rsidP="00B45273">
      <w:pPr>
        <w:spacing w:line="360" w:lineRule="auto"/>
        <w:rPr>
          <w:sz w:val="26"/>
          <w:szCs w:val="26"/>
        </w:rPr>
      </w:pPr>
    </w:p>
    <w:p w:rsidR="00C07781" w:rsidRDefault="00C07781" w:rsidP="00B45273">
      <w:pPr>
        <w:spacing w:line="360" w:lineRule="auto"/>
        <w:rPr>
          <w:sz w:val="26"/>
          <w:szCs w:val="26"/>
        </w:rPr>
      </w:pPr>
      <w:r>
        <w:rPr>
          <w:sz w:val="26"/>
          <w:szCs w:val="26"/>
        </w:rPr>
        <w:tab/>
      </w:r>
      <w:r w:rsidR="0089622A">
        <w:rPr>
          <w:sz w:val="26"/>
          <w:szCs w:val="26"/>
        </w:rPr>
        <w:t>5</w:t>
      </w:r>
      <w:r>
        <w:rPr>
          <w:sz w:val="26"/>
          <w:szCs w:val="26"/>
        </w:rPr>
        <w:t>.</w:t>
      </w:r>
      <w:r>
        <w:rPr>
          <w:sz w:val="26"/>
          <w:szCs w:val="26"/>
        </w:rPr>
        <w:tab/>
        <w:t xml:space="preserve">That a copy of this </w:t>
      </w:r>
      <w:r w:rsidR="0089622A">
        <w:rPr>
          <w:sz w:val="26"/>
          <w:szCs w:val="26"/>
        </w:rPr>
        <w:t xml:space="preserve">Tentative </w:t>
      </w:r>
      <w:r>
        <w:rPr>
          <w:sz w:val="26"/>
          <w:szCs w:val="26"/>
        </w:rPr>
        <w:t>Opinion and Order shall be posed on the Commission’s website at the Office of Competitive Market Oversight’s web page.</w:t>
      </w:r>
    </w:p>
    <w:p w:rsidR="00C07781" w:rsidRDefault="00C07781" w:rsidP="00B45273">
      <w:pPr>
        <w:spacing w:line="360" w:lineRule="auto"/>
        <w:rPr>
          <w:sz w:val="26"/>
          <w:szCs w:val="26"/>
        </w:rPr>
      </w:pPr>
    </w:p>
    <w:p w:rsidR="00C07781" w:rsidRDefault="00C07781" w:rsidP="00B45273">
      <w:pPr>
        <w:spacing w:line="360" w:lineRule="auto"/>
        <w:rPr>
          <w:sz w:val="26"/>
          <w:szCs w:val="26"/>
        </w:rPr>
      </w:pPr>
      <w:r>
        <w:rPr>
          <w:sz w:val="26"/>
          <w:szCs w:val="26"/>
        </w:rPr>
        <w:tab/>
      </w:r>
      <w:r w:rsidR="0089622A">
        <w:rPr>
          <w:sz w:val="26"/>
          <w:szCs w:val="26"/>
        </w:rPr>
        <w:t>6</w:t>
      </w:r>
      <w:r>
        <w:rPr>
          <w:sz w:val="26"/>
          <w:szCs w:val="26"/>
        </w:rPr>
        <w:t>.</w:t>
      </w:r>
      <w:r>
        <w:rPr>
          <w:sz w:val="26"/>
          <w:szCs w:val="26"/>
        </w:rPr>
        <w:tab/>
        <w:t xml:space="preserve">That the Office of Competitive Market Oversight shall electronically serve a copy of this </w:t>
      </w:r>
      <w:r w:rsidR="0089622A">
        <w:rPr>
          <w:sz w:val="26"/>
          <w:szCs w:val="26"/>
        </w:rPr>
        <w:t xml:space="preserve">Tentative </w:t>
      </w:r>
      <w:r>
        <w:rPr>
          <w:sz w:val="26"/>
          <w:szCs w:val="26"/>
        </w:rPr>
        <w:t>Opinion and O</w:t>
      </w:r>
      <w:r w:rsidR="00DC4DBF">
        <w:rPr>
          <w:sz w:val="26"/>
          <w:szCs w:val="26"/>
        </w:rPr>
        <w:t>r</w:t>
      </w:r>
      <w:r>
        <w:rPr>
          <w:sz w:val="26"/>
          <w:szCs w:val="26"/>
        </w:rPr>
        <w:t xml:space="preserve">der </w:t>
      </w:r>
      <w:r w:rsidR="00DC4DBF">
        <w:rPr>
          <w:sz w:val="26"/>
          <w:szCs w:val="26"/>
        </w:rPr>
        <w:t>on all persons on the contact list for the Committee Handling Activities for Retail Growth in Electricity.</w:t>
      </w:r>
    </w:p>
    <w:p w:rsidR="0089622A" w:rsidRDefault="0089622A" w:rsidP="00B45273">
      <w:pPr>
        <w:spacing w:line="360" w:lineRule="auto"/>
        <w:rPr>
          <w:sz w:val="26"/>
          <w:szCs w:val="26"/>
        </w:rPr>
      </w:pPr>
    </w:p>
    <w:p w:rsidR="0089622A" w:rsidRDefault="0089622A" w:rsidP="00B45273">
      <w:pPr>
        <w:spacing w:line="360" w:lineRule="auto"/>
        <w:rPr>
          <w:sz w:val="26"/>
          <w:szCs w:val="26"/>
        </w:rPr>
      </w:pPr>
      <w:r>
        <w:rPr>
          <w:sz w:val="26"/>
          <w:szCs w:val="26"/>
        </w:rPr>
        <w:tab/>
        <w:t>7.</w:t>
      </w:r>
      <w:r>
        <w:rPr>
          <w:sz w:val="26"/>
          <w:szCs w:val="26"/>
        </w:rPr>
        <w:tab/>
      </w:r>
      <w:r w:rsidR="00C6620D">
        <w:rPr>
          <w:sz w:val="26"/>
          <w:szCs w:val="26"/>
        </w:rPr>
        <w:t xml:space="preserve">That if no adverse comments are received within </w:t>
      </w:r>
      <w:r w:rsidR="00CF3653">
        <w:rPr>
          <w:sz w:val="26"/>
          <w:szCs w:val="26"/>
        </w:rPr>
        <w:t>ten</w:t>
      </w:r>
      <w:r w:rsidR="00C6620D">
        <w:rPr>
          <w:sz w:val="26"/>
          <w:szCs w:val="26"/>
        </w:rPr>
        <w:t xml:space="preserve"> days of publication in the </w:t>
      </w:r>
      <w:r w:rsidR="00C6620D" w:rsidRPr="00635A4D">
        <w:rPr>
          <w:i/>
          <w:sz w:val="26"/>
          <w:szCs w:val="26"/>
        </w:rPr>
        <w:t>Pennsylvania Bulletin</w:t>
      </w:r>
      <w:r w:rsidR="00C6620D">
        <w:rPr>
          <w:sz w:val="26"/>
          <w:szCs w:val="26"/>
        </w:rPr>
        <w:t>, this Tentative Opinion and Order shall become final without further Commission action.</w:t>
      </w:r>
    </w:p>
    <w:p w:rsidR="0089622A" w:rsidRDefault="0089622A" w:rsidP="00B45273">
      <w:pPr>
        <w:spacing w:line="360" w:lineRule="auto"/>
        <w:rPr>
          <w:sz w:val="26"/>
          <w:szCs w:val="26"/>
        </w:rPr>
      </w:pPr>
    </w:p>
    <w:p w:rsidR="00833DE4" w:rsidRDefault="00DC4DBF" w:rsidP="00B45273">
      <w:pPr>
        <w:spacing w:line="360" w:lineRule="auto"/>
        <w:rPr>
          <w:sz w:val="26"/>
          <w:szCs w:val="26"/>
        </w:rPr>
      </w:pPr>
      <w:r>
        <w:rPr>
          <w:sz w:val="26"/>
          <w:szCs w:val="26"/>
        </w:rPr>
        <w:tab/>
      </w:r>
      <w:r w:rsidR="0089622A">
        <w:rPr>
          <w:sz w:val="26"/>
          <w:szCs w:val="26"/>
        </w:rPr>
        <w:t>8</w:t>
      </w:r>
      <w:r>
        <w:rPr>
          <w:sz w:val="26"/>
          <w:szCs w:val="26"/>
        </w:rPr>
        <w:t>.</w:t>
      </w:r>
      <w:r>
        <w:rPr>
          <w:sz w:val="26"/>
          <w:szCs w:val="26"/>
        </w:rPr>
        <w:tab/>
        <w:t>That the contact information for this Opinion and Order is the Bureau of Technical Utility Services, Energy Section, (717) 783-5242.</w:t>
      </w:r>
    </w:p>
    <w:p w:rsidR="00833DE4" w:rsidRDefault="00833DE4">
      <w:pPr>
        <w:overflowPunct/>
        <w:autoSpaceDE/>
        <w:autoSpaceDN/>
        <w:adjustRightInd/>
        <w:textAlignment w:val="auto"/>
        <w:rPr>
          <w:sz w:val="26"/>
          <w:szCs w:val="26"/>
        </w:rPr>
      </w:pPr>
      <w:r>
        <w:rPr>
          <w:sz w:val="26"/>
          <w:szCs w:val="26"/>
        </w:rPr>
        <w:br w:type="page"/>
      </w:r>
    </w:p>
    <w:p w:rsidR="0086266D" w:rsidRPr="00021D0F" w:rsidRDefault="0086266D" w:rsidP="0086266D">
      <w:pPr>
        <w:spacing w:line="360" w:lineRule="auto"/>
        <w:rPr>
          <w:sz w:val="26"/>
          <w:szCs w:val="26"/>
        </w:rPr>
      </w:pPr>
      <w:r>
        <w:rPr>
          <w:sz w:val="26"/>
          <w:szCs w:val="26"/>
        </w:rPr>
        <w:lastRenderedPageBreak/>
        <w:tab/>
      </w:r>
      <w:r w:rsidR="00F0302C">
        <w:rPr>
          <w:sz w:val="26"/>
          <w:szCs w:val="26"/>
        </w:rPr>
        <w:t>9</w:t>
      </w:r>
      <w:r>
        <w:rPr>
          <w:sz w:val="26"/>
          <w:szCs w:val="26"/>
        </w:rPr>
        <w:t>.</w:t>
      </w:r>
      <w:r w:rsidRPr="00A7155A">
        <w:rPr>
          <w:sz w:val="26"/>
          <w:szCs w:val="26"/>
        </w:rPr>
        <w:tab/>
      </w:r>
      <w:r w:rsidR="00021D0F" w:rsidRPr="00021D0F">
        <w:rPr>
          <w:sz w:val="26"/>
          <w:szCs w:val="26"/>
        </w:rPr>
        <w:t>That this proceeding at Docket No. P-2017-2608078 be closed if no adverse comments are received and upon this Tentative Opinion and Order becoming final.</w:t>
      </w:r>
    </w:p>
    <w:p w:rsidR="000D68A5" w:rsidRDefault="000D68A5" w:rsidP="006B565A">
      <w:pPr>
        <w:overflowPunct/>
        <w:autoSpaceDE/>
        <w:autoSpaceDN/>
        <w:adjustRightInd/>
        <w:textAlignment w:val="auto"/>
        <w:rPr>
          <w:sz w:val="26"/>
          <w:szCs w:val="26"/>
        </w:rPr>
      </w:pPr>
    </w:p>
    <w:p w:rsidR="008C29BA" w:rsidRPr="008C29BA" w:rsidRDefault="008C29BA">
      <w:pPr>
        <w:overflowPunct/>
        <w:autoSpaceDE/>
        <w:autoSpaceDN/>
        <w:adjustRightInd/>
        <w:textAlignment w:val="auto"/>
        <w:rPr>
          <w:sz w:val="26"/>
          <w:szCs w:val="26"/>
        </w:rPr>
      </w:pPr>
    </w:p>
    <w:p w:rsidR="00A25A83" w:rsidRPr="00144622" w:rsidRDefault="00912C87">
      <w:pPr>
        <w:pStyle w:val="p17"/>
        <w:ind w:left="5057"/>
        <w:rPr>
          <w:b/>
          <w:bCs/>
          <w:sz w:val="26"/>
          <w:szCs w:val="26"/>
        </w:rPr>
      </w:pPr>
      <w:r>
        <w:rPr>
          <w:noProof/>
        </w:rPr>
        <w:drawing>
          <wp:anchor distT="0" distB="0" distL="114300" distR="114300" simplePos="0" relativeHeight="251659264" behindDoc="1" locked="0" layoutInCell="1" allowOverlap="1" wp14:anchorId="5BBE78F4" wp14:editId="35331C55">
            <wp:simplePos x="0" y="0"/>
            <wp:positionH relativeFrom="column">
              <wp:posOffset>3219450</wp:posOffset>
            </wp:positionH>
            <wp:positionV relativeFrom="paragraph">
              <wp:posOffset>66675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A83" w:rsidRPr="00144622">
        <w:rPr>
          <w:b/>
          <w:bCs/>
          <w:sz w:val="26"/>
          <w:szCs w:val="26"/>
        </w:rPr>
        <w:t>BY THE COMMISSION</w:t>
      </w:r>
    </w:p>
    <w:p w:rsidR="00A25A83" w:rsidRPr="00144622" w:rsidRDefault="00A25A83">
      <w:pPr>
        <w:tabs>
          <w:tab w:val="left" w:pos="5057"/>
        </w:tabs>
        <w:rPr>
          <w:bCs/>
          <w:sz w:val="26"/>
          <w:szCs w:val="26"/>
        </w:rPr>
      </w:pPr>
    </w:p>
    <w:p w:rsidR="00734381" w:rsidRPr="00144622" w:rsidRDefault="00734381">
      <w:pPr>
        <w:tabs>
          <w:tab w:val="left" w:pos="5057"/>
        </w:tabs>
        <w:rPr>
          <w:bCs/>
          <w:sz w:val="26"/>
          <w:szCs w:val="26"/>
        </w:rPr>
      </w:pPr>
    </w:p>
    <w:p w:rsidR="00F30875" w:rsidRPr="00144622" w:rsidRDefault="00F30875">
      <w:pPr>
        <w:tabs>
          <w:tab w:val="left" w:pos="5057"/>
        </w:tabs>
        <w:rPr>
          <w:bCs/>
          <w:sz w:val="26"/>
          <w:szCs w:val="26"/>
        </w:rPr>
      </w:pPr>
    </w:p>
    <w:p w:rsidR="00A25A83" w:rsidRPr="00144622" w:rsidRDefault="00A25A83">
      <w:pPr>
        <w:pStyle w:val="p18"/>
        <w:ind w:left="5062"/>
        <w:rPr>
          <w:sz w:val="26"/>
          <w:szCs w:val="26"/>
        </w:rPr>
      </w:pPr>
      <w:r w:rsidRPr="00144622">
        <w:rPr>
          <w:sz w:val="26"/>
          <w:szCs w:val="26"/>
        </w:rPr>
        <w:t>Rosemary Chiavetta</w:t>
      </w:r>
    </w:p>
    <w:p w:rsidR="00A25A83" w:rsidRPr="00144622" w:rsidRDefault="00A25A83">
      <w:pPr>
        <w:pStyle w:val="p18"/>
        <w:ind w:left="5062"/>
        <w:rPr>
          <w:sz w:val="26"/>
          <w:szCs w:val="26"/>
        </w:rPr>
      </w:pPr>
      <w:r w:rsidRPr="00144622">
        <w:rPr>
          <w:sz w:val="26"/>
          <w:szCs w:val="26"/>
        </w:rPr>
        <w:t>Secretary</w:t>
      </w:r>
    </w:p>
    <w:p w:rsidR="002C3494" w:rsidRPr="00144622" w:rsidRDefault="002C3494">
      <w:pPr>
        <w:pStyle w:val="p14"/>
        <w:rPr>
          <w:sz w:val="26"/>
          <w:szCs w:val="26"/>
        </w:rPr>
      </w:pPr>
    </w:p>
    <w:p w:rsidR="00F30875" w:rsidRPr="00144622" w:rsidRDefault="00F30875">
      <w:pPr>
        <w:pStyle w:val="p14"/>
        <w:rPr>
          <w:sz w:val="26"/>
          <w:szCs w:val="26"/>
        </w:rPr>
      </w:pPr>
    </w:p>
    <w:p w:rsidR="00F30875" w:rsidRPr="00144622" w:rsidRDefault="00F30875">
      <w:pPr>
        <w:pStyle w:val="p14"/>
        <w:rPr>
          <w:sz w:val="26"/>
          <w:szCs w:val="26"/>
        </w:rPr>
      </w:pPr>
    </w:p>
    <w:p w:rsidR="00A25A83" w:rsidRPr="00144622" w:rsidRDefault="00F92618">
      <w:pPr>
        <w:pStyle w:val="p14"/>
        <w:rPr>
          <w:sz w:val="26"/>
          <w:szCs w:val="26"/>
        </w:rPr>
      </w:pPr>
      <w:r w:rsidRPr="00144622">
        <w:rPr>
          <w:sz w:val="26"/>
          <w:szCs w:val="26"/>
        </w:rPr>
        <w:t>(</w:t>
      </w:r>
      <w:r w:rsidR="00A25A83" w:rsidRPr="00144622">
        <w:rPr>
          <w:sz w:val="26"/>
          <w:szCs w:val="26"/>
        </w:rPr>
        <w:t>SEAL)</w:t>
      </w:r>
    </w:p>
    <w:p w:rsidR="00A25A83" w:rsidRPr="00144622" w:rsidRDefault="00A25A83">
      <w:pPr>
        <w:tabs>
          <w:tab w:val="left" w:pos="204"/>
        </w:tabs>
        <w:rPr>
          <w:sz w:val="26"/>
          <w:szCs w:val="26"/>
        </w:rPr>
      </w:pPr>
    </w:p>
    <w:p w:rsidR="00A25A83" w:rsidRPr="00144622" w:rsidRDefault="00A25A83">
      <w:pPr>
        <w:pStyle w:val="p14"/>
        <w:rPr>
          <w:sz w:val="26"/>
          <w:szCs w:val="26"/>
        </w:rPr>
      </w:pPr>
      <w:r w:rsidRPr="00144622">
        <w:rPr>
          <w:sz w:val="26"/>
          <w:szCs w:val="26"/>
        </w:rPr>
        <w:t xml:space="preserve">ORDER ADOPTED:  </w:t>
      </w:r>
      <w:r w:rsidR="00D470C0">
        <w:rPr>
          <w:sz w:val="26"/>
          <w:szCs w:val="26"/>
        </w:rPr>
        <w:t>September 20</w:t>
      </w:r>
      <w:r w:rsidR="007245E6">
        <w:rPr>
          <w:sz w:val="26"/>
          <w:szCs w:val="26"/>
        </w:rPr>
        <w:t>, 2018</w:t>
      </w:r>
    </w:p>
    <w:p w:rsidR="00A25A83" w:rsidRPr="00144622" w:rsidRDefault="00A25A83">
      <w:pPr>
        <w:pStyle w:val="p14"/>
        <w:rPr>
          <w:sz w:val="26"/>
          <w:szCs w:val="26"/>
        </w:rPr>
      </w:pPr>
    </w:p>
    <w:p w:rsidR="00B71120" w:rsidRPr="00144622" w:rsidRDefault="00A25A83">
      <w:pPr>
        <w:pStyle w:val="p14"/>
        <w:rPr>
          <w:sz w:val="26"/>
          <w:szCs w:val="26"/>
        </w:rPr>
      </w:pPr>
      <w:r w:rsidRPr="00144622">
        <w:rPr>
          <w:sz w:val="26"/>
          <w:szCs w:val="26"/>
        </w:rPr>
        <w:t xml:space="preserve">ORDER ENTERED:  </w:t>
      </w:r>
      <w:r w:rsidR="00912C87">
        <w:rPr>
          <w:sz w:val="26"/>
          <w:szCs w:val="26"/>
        </w:rPr>
        <w:t>September 20, 2018</w:t>
      </w:r>
    </w:p>
    <w:sectPr w:rsidR="00B71120" w:rsidRPr="00144622" w:rsidSect="00260343">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135" w:rsidRDefault="002A2135">
      <w:r>
        <w:separator/>
      </w:r>
    </w:p>
  </w:endnote>
  <w:endnote w:type="continuationSeparator" w:id="0">
    <w:p w:rsidR="002A2135" w:rsidRDefault="002A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711388"/>
      <w:docPartObj>
        <w:docPartGallery w:val="Page Numbers (Bottom of Page)"/>
        <w:docPartUnique/>
      </w:docPartObj>
    </w:sdtPr>
    <w:sdtEndPr>
      <w:rPr>
        <w:noProof/>
        <w:sz w:val="22"/>
        <w:szCs w:val="22"/>
      </w:rPr>
    </w:sdtEndPr>
    <w:sdtContent>
      <w:p w:rsidR="008843DE" w:rsidRPr="00D92845" w:rsidRDefault="008843DE" w:rsidP="00D92845">
        <w:pPr>
          <w:pStyle w:val="Footer"/>
          <w:jc w:val="center"/>
          <w:rPr>
            <w:sz w:val="22"/>
            <w:szCs w:val="22"/>
          </w:rPr>
        </w:pPr>
        <w:r w:rsidRPr="00D92845">
          <w:rPr>
            <w:sz w:val="22"/>
            <w:szCs w:val="22"/>
          </w:rPr>
          <w:fldChar w:fldCharType="begin"/>
        </w:r>
        <w:r w:rsidRPr="00D92845">
          <w:rPr>
            <w:sz w:val="22"/>
            <w:szCs w:val="22"/>
          </w:rPr>
          <w:instrText xml:space="preserve"> PAGE   \* MERGEFORMAT </w:instrText>
        </w:r>
        <w:r w:rsidRPr="00D92845">
          <w:rPr>
            <w:sz w:val="22"/>
            <w:szCs w:val="22"/>
          </w:rPr>
          <w:fldChar w:fldCharType="separate"/>
        </w:r>
        <w:r w:rsidRPr="00D92845">
          <w:rPr>
            <w:noProof/>
            <w:sz w:val="22"/>
            <w:szCs w:val="22"/>
          </w:rPr>
          <w:t>12</w:t>
        </w:r>
        <w:r w:rsidRPr="00D92845">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135" w:rsidRDefault="002A2135">
      <w:r>
        <w:separator/>
      </w:r>
    </w:p>
  </w:footnote>
  <w:footnote w:type="continuationSeparator" w:id="0">
    <w:p w:rsidR="002A2135" w:rsidRDefault="002A2135">
      <w:r>
        <w:continuationSeparator/>
      </w:r>
    </w:p>
  </w:footnote>
  <w:footnote w:id="1">
    <w:p w:rsidR="008843DE" w:rsidRPr="004B10FF" w:rsidRDefault="008843DE">
      <w:pPr>
        <w:pStyle w:val="FootnoteText"/>
        <w:rPr>
          <w:sz w:val="22"/>
          <w:szCs w:val="22"/>
        </w:rPr>
      </w:pPr>
      <w:r w:rsidRPr="004B10FF">
        <w:rPr>
          <w:rStyle w:val="FootnoteReference"/>
          <w:sz w:val="22"/>
          <w:szCs w:val="22"/>
        </w:rPr>
        <w:footnoteRef/>
      </w:r>
      <w:r w:rsidRPr="004B10FF">
        <w:rPr>
          <w:sz w:val="22"/>
          <w:szCs w:val="22"/>
        </w:rPr>
        <w:t xml:space="preserve"> </w:t>
      </w:r>
      <w:r w:rsidRPr="004B10FF">
        <w:rPr>
          <w:i/>
          <w:sz w:val="22"/>
          <w:szCs w:val="22"/>
        </w:rPr>
        <w:t>See</w:t>
      </w:r>
      <w:r w:rsidRPr="004B10FF">
        <w:rPr>
          <w:sz w:val="22"/>
          <w:szCs w:val="22"/>
        </w:rPr>
        <w:t xml:space="preserve"> 66 Pa. C.S. §§ 2809(c)(1)(ii) &amp; 2810; 52 Pa. Code § 54.40(f)(2).</w:t>
      </w:r>
    </w:p>
  </w:footnote>
  <w:footnote w:id="2">
    <w:p w:rsidR="008843DE" w:rsidRPr="004B10FF" w:rsidRDefault="008843DE">
      <w:pPr>
        <w:pStyle w:val="FootnoteText"/>
        <w:rPr>
          <w:sz w:val="22"/>
          <w:szCs w:val="22"/>
        </w:rPr>
      </w:pPr>
      <w:r w:rsidRPr="004B10FF">
        <w:rPr>
          <w:rStyle w:val="FootnoteReference"/>
          <w:sz w:val="22"/>
          <w:szCs w:val="22"/>
        </w:rPr>
        <w:footnoteRef/>
      </w:r>
      <w:r w:rsidRPr="004B10FF">
        <w:rPr>
          <w:sz w:val="22"/>
          <w:szCs w:val="22"/>
        </w:rPr>
        <w:t xml:space="preserve"> </w:t>
      </w:r>
      <w:r w:rsidRPr="004B10FF">
        <w:rPr>
          <w:i/>
          <w:sz w:val="22"/>
          <w:szCs w:val="22"/>
        </w:rPr>
        <w:t>See</w:t>
      </w:r>
      <w:r w:rsidRPr="004B10FF">
        <w:rPr>
          <w:sz w:val="22"/>
          <w:szCs w:val="22"/>
        </w:rPr>
        <w:t xml:space="preserve"> 66 Pa. C.S. § 2809(c)(1)(i); 52 Pa. Code § 54.40(f)(2).</w:t>
      </w:r>
    </w:p>
  </w:footnote>
  <w:footnote w:id="3">
    <w:p w:rsidR="008843DE" w:rsidRPr="004B10FF" w:rsidRDefault="008843DE">
      <w:pPr>
        <w:pStyle w:val="FootnoteText"/>
        <w:rPr>
          <w:sz w:val="22"/>
          <w:szCs w:val="22"/>
        </w:rPr>
      </w:pPr>
      <w:r w:rsidRPr="004B10FF">
        <w:rPr>
          <w:rStyle w:val="FootnoteReference"/>
          <w:sz w:val="22"/>
          <w:szCs w:val="22"/>
        </w:rPr>
        <w:footnoteRef/>
      </w:r>
      <w:r w:rsidRPr="004B10FF">
        <w:rPr>
          <w:sz w:val="22"/>
          <w:szCs w:val="22"/>
        </w:rPr>
        <w:t xml:space="preserve"> </w:t>
      </w:r>
      <w:r w:rsidRPr="004B10FF">
        <w:rPr>
          <w:i/>
          <w:sz w:val="22"/>
          <w:szCs w:val="22"/>
        </w:rPr>
        <w:t>See</w:t>
      </w:r>
      <w:r w:rsidRPr="004B10FF">
        <w:rPr>
          <w:sz w:val="22"/>
          <w:szCs w:val="22"/>
        </w:rPr>
        <w:t xml:space="preserve"> 73 P.S. § 1648.3(f) &amp; (g).</w:t>
      </w:r>
    </w:p>
  </w:footnote>
  <w:footnote w:id="4">
    <w:p w:rsidR="008843DE" w:rsidRPr="00D92845" w:rsidRDefault="008843DE" w:rsidP="00D92845">
      <w:pPr>
        <w:rPr>
          <w:sz w:val="22"/>
          <w:szCs w:val="22"/>
        </w:rPr>
      </w:pPr>
      <w:r w:rsidRPr="004B10FF">
        <w:rPr>
          <w:rStyle w:val="FootnoteReference"/>
          <w:sz w:val="22"/>
          <w:szCs w:val="22"/>
        </w:rPr>
        <w:footnoteRef/>
      </w:r>
      <w:r w:rsidRPr="004B10FF">
        <w:rPr>
          <w:sz w:val="22"/>
          <w:szCs w:val="22"/>
        </w:rPr>
        <w:t xml:space="preserve"> Under the applicable regulations, the Commission has routinely approved waivers requesting a reduced financial security level in the amount of $10,000 for brokers/marketers, who do not take title to electricity, do not pay gross receipts taxes, and do not make payments on behalf of clients.  </w:t>
      </w:r>
      <w:r w:rsidRPr="004B10FF">
        <w:rPr>
          <w:i/>
          <w:sz w:val="22"/>
          <w:szCs w:val="22"/>
        </w:rPr>
        <w:t>See Application of Advisors Energy Group LLC for Approval to Offer, Render, Furnish or Supply Electricity or Electric Generation Services as a Broker/Marketer</w:t>
      </w:r>
      <w:r w:rsidRPr="004B10FF">
        <w:rPr>
          <w:sz w:val="22"/>
          <w:szCs w:val="22"/>
        </w:rPr>
        <w:t>, Order at Docket No. A</w:t>
      </w:r>
      <w:r w:rsidRPr="004B10FF">
        <w:rPr>
          <w:sz w:val="22"/>
          <w:szCs w:val="22"/>
        </w:rPr>
        <w:noBreakHyphen/>
        <w:t>2017</w:t>
      </w:r>
      <w:r w:rsidRPr="004B10FF">
        <w:rPr>
          <w:sz w:val="22"/>
          <w:szCs w:val="22"/>
        </w:rPr>
        <w:noBreakHyphen/>
        <w:t>2625563.</w:t>
      </w:r>
    </w:p>
  </w:footnote>
  <w:footnote w:id="5">
    <w:p w:rsidR="008843DE" w:rsidRPr="00683F12" w:rsidRDefault="008843DE" w:rsidP="00974879">
      <w:pPr>
        <w:pStyle w:val="FootnoteText"/>
        <w:rPr>
          <w:sz w:val="22"/>
          <w:szCs w:val="22"/>
        </w:rPr>
      </w:pPr>
      <w:r w:rsidRPr="00683F12">
        <w:rPr>
          <w:rStyle w:val="FootnoteReference"/>
          <w:sz w:val="22"/>
          <w:szCs w:val="22"/>
        </w:rPr>
        <w:footnoteRef/>
      </w:r>
      <w:r w:rsidRPr="00683F12">
        <w:rPr>
          <w:sz w:val="22"/>
          <w:szCs w:val="22"/>
        </w:rPr>
        <w:t xml:space="preserve"> </w:t>
      </w:r>
      <w:r w:rsidRPr="00683F12">
        <w:rPr>
          <w:i/>
          <w:sz w:val="22"/>
          <w:szCs w:val="22"/>
        </w:rPr>
        <w:t>In Re: Public Utility Commission Bonding/Security Requirements for Electric Generation Suppliers; Acceptable Security Instruments</w:t>
      </w:r>
      <w:r>
        <w:rPr>
          <w:sz w:val="22"/>
          <w:szCs w:val="22"/>
        </w:rPr>
        <w:t>, Final Order at</w:t>
      </w:r>
      <w:r w:rsidRPr="00683F12">
        <w:rPr>
          <w:sz w:val="22"/>
          <w:szCs w:val="22"/>
        </w:rPr>
        <w:t xml:space="preserve"> Docket No. M-2013-2393141 (entered July 24, 2014) (</w:t>
      </w:r>
      <w:r w:rsidRPr="00683F12">
        <w:rPr>
          <w:i/>
          <w:sz w:val="22"/>
          <w:szCs w:val="22"/>
        </w:rPr>
        <w:t>Final Security Order</w:t>
      </w:r>
      <w:r w:rsidRPr="00683F12">
        <w:rPr>
          <w:sz w:val="22"/>
          <w:szCs w:val="22"/>
        </w:rPr>
        <w:t>)</w:t>
      </w:r>
      <w:r>
        <w:rPr>
          <w:sz w:val="22"/>
          <w:szCs w:val="22"/>
        </w:rPr>
        <w:t xml:space="preserve"> at 2-3</w:t>
      </w:r>
      <w:r w:rsidRPr="00683F12">
        <w:rPr>
          <w:sz w:val="22"/>
          <w:szCs w:val="22"/>
        </w:rPr>
        <w:t>.</w:t>
      </w:r>
    </w:p>
  </w:footnote>
  <w:footnote w:id="6">
    <w:p w:rsidR="008843DE" w:rsidRPr="00683F12" w:rsidRDefault="008843DE">
      <w:pPr>
        <w:pStyle w:val="FootnoteText"/>
      </w:pPr>
      <w:r w:rsidRPr="00683F12">
        <w:rPr>
          <w:rStyle w:val="FootnoteReference"/>
          <w:sz w:val="22"/>
          <w:szCs w:val="22"/>
        </w:rPr>
        <w:footnoteRef/>
      </w:r>
      <w:r w:rsidRPr="00683F12">
        <w:rPr>
          <w:sz w:val="22"/>
          <w:szCs w:val="22"/>
        </w:rPr>
        <w:t xml:space="preserve"> </w:t>
      </w:r>
      <w:r w:rsidRPr="00683F12">
        <w:rPr>
          <w:i/>
          <w:sz w:val="22"/>
          <w:szCs w:val="22"/>
        </w:rPr>
        <w:t xml:space="preserve">Final Security Order </w:t>
      </w:r>
      <w:r w:rsidRPr="00683F12">
        <w:rPr>
          <w:sz w:val="22"/>
          <w:szCs w:val="22"/>
        </w:rPr>
        <w:t>at 5-7.</w:t>
      </w:r>
    </w:p>
  </w:footnote>
  <w:footnote w:id="7">
    <w:p w:rsidR="008843DE" w:rsidRPr="00205405" w:rsidRDefault="008843DE">
      <w:pPr>
        <w:pStyle w:val="FootnoteText"/>
        <w:rPr>
          <w:sz w:val="22"/>
          <w:szCs w:val="22"/>
        </w:rPr>
      </w:pPr>
      <w:r w:rsidRPr="00205405">
        <w:rPr>
          <w:rStyle w:val="FootnoteReference"/>
          <w:sz w:val="22"/>
          <w:szCs w:val="22"/>
        </w:rPr>
        <w:footnoteRef/>
      </w:r>
      <w:r w:rsidRPr="00205405">
        <w:rPr>
          <w:sz w:val="22"/>
          <w:szCs w:val="22"/>
        </w:rPr>
        <w:t xml:space="preserve"> The Commission had previously based the calculation on the EGS’ reported gross receipts from the last annual reporting period; however, the Commission changed that to the “most recent 12 months of revenue” because the Commission found that measure was more accurate and more likely to protect against default risk in light of the reduced security requirement.  </w:t>
      </w:r>
      <w:r w:rsidRPr="00205405">
        <w:rPr>
          <w:i/>
          <w:sz w:val="22"/>
          <w:szCs w:val="22"/>
        </w:rPr>
        <w:t xml:space="preserve">Final Security Order </w:t>
      </w:r>
      <w:r w:rsidRPr="00205405">
        <w:rPr>
          <w:sz w:val="22"/>
          <w:szCs w:val="22"/>
        </w:rPr>
        <w:t>at 10-11</w:t>
      </w:r>
    </w:p>
  </w:footnote>
  <w:footnote w:id="8">
    <w:p w:rsidR="008843DE" w:rsidRPr="00205405" w:rsidRDefault="008843DE">
      <w:pPr>
        <w:pStyle w:val="FootnoteText"/>
        <w:rPr>
          <w:sz w:val="22"/>
          <w:szCs w:val="22"/>
        </w:rPr>
      </w:pPr>
      <w:r w:rsidRPr="00205405">
        <w:rPr>
          <w:rStyle w:val="FootnoteReference"/>
          <w:sz w:val="22"/>
          <w:szCs w:val="22"/>
        </w:rPr>
        <w:footnoteRef/>
      </w:r>
      <w:r w:rsidRPr="00205405">
        <w:rPr>
          <w:sz w:val="22"/>
          <w:szCs w:val="22"/>
        </w:rPr>
        <w:t xml:space="preserve"> </w:t>
      </w:r>
      <w:r w:rsidRPr="00205405">
        <w:rPr>
          <w:i/>
          <w:sz w:val="22"/>
          <w:szCs w:val="22"/>
        </w:rPr>
        <w:t xml:space="preserve">Final Security Order </w:t>
      </w:r>
      <w:r w:rsidRPr="00205405">
        <w:rPr>
          <w:sz w:val="22"/>
          <w:szCs w:val="22"/>
        </w:rPr>
        <w:t>at 10-11.</w:t>
      </w:r>
    </w:p>
  </w:footnote>
  <w:footnote w:id="9">
    <w:p w:rsidR="008843DE" w:rsidRPr="00205405" w:rsidRDefault="008843DE">
      <w:pPr>
        <w:pStyle w:val="FootnoteText"/>
        <w:rPr>
          <w:i/>
          <w:sz w:val="22"/>
          <w:szCs w:val="22"/>
        </w:rPr>
      </w:pPr>
      <w:r w:rsidRPr="00205405">
        <w:rPr>
          <w:rStyle w:val="FootnoteReference"/>
          <w:sz w:val="22"/>
          <w:szCs w:val="22"/>
        </w:rPr>
        <w:footnoteRef/>
      </w:r>
      <w:r w:rsidRPr="00205405">
        <w:rPr>
          <w:i/>
          <w:sz w:val="22"/>
          <w:szCs w:val="22"/>
        </w:rPr>
        <w:t xml:space="preserve"> Final Security Order </w:t>
      </w:r>
      <w:r w:rsidRPr="00205405">
        <w:rPr>
          <w:sz w:val="22"/>
          <w:szCs w:val="22"/>
        </w:rPr>
        <w:t>at 11-12.</w:t>
      </w:r>
    </w:p>
  </w:footnote>
  <w:footnote w:id="10">
    <w:p w:rsidR="008843DE" w:rsidRPr="00205405" w:rsidRDefault="008843DE">
      <w:pPr>
        <w:pStyle w:val="FootnoteText"/>
        <w:rPr>
          <w:i/>
          <w:sz w:val="22"/>
          <w:szCs w:val="22"/>
        </w:rPr>
      </w:pPr>
      <w:r w:rsidRPr="00205405">
        <w:rPr>
          <w:rStyle w:val="FootnoteReference"/>
          <w:sz w:val="22"/>
          <w:szCs w:val="22"/>
        </w:rPr>
        <w:footnoteRef/>
      </w:r>
      <w:r w:rsidRPr="00205405">
        <w:rPr>
          <w:i/>
          <w:sz w:val="22"/>
          <w:szCs w:val="22"/>
        </w:rPr>
        <w:t xml:space="preserve"> Final Security Order </w:t>
      </w:r>
      <w:r w:rsidRPr="00205405">
        <w:rPr>
          <w:sz w:val="22"/>
          <w:szCs w:val="22"/>
        </w:rPr>
        <w:t>at 12</w:t>
      </w:r>
      <w:r w:rsidRPr="00205405">
        <w:rPr>
          <w:i/>
          <w:sz w:val="22"/>
          <w:szCs w:val="22"/>
        </w:rPr>
        <w:t>.</w:t>
      </w:r>
    </w:p>
  </w:footnote>
  <w:footnote w:id="11">
    <w:p w:rsidR="008843DE" w:rsidRPr="00205405" w:rsidRDefault="008843DE">
      <w:pPr>
        <w:pStyle w:val="FootnoteText"/>
        <w:rPr>
          <w:sz w:val="22"/>
          <w:szCs w:val="22"/>
        </w:rPr>
      </w:pPr>
      <w:r w:rsidRPr="00205405">
        <w:rPr>
          <w:rStyle w:val="FootnoteReference"/>
          <w:sz w:val="22"/>
          <w:szCs w:val="22"/>
        </w:rPr>
        <w:footnoteRef/>
      </w:r>
      <w:r>
        <w:rPr>
          <w:i/>
          <w:sz w:val="22"/>
          <w:szCs w:val="22"/>
        </w:rPr>
        <w:t xml:space="preserve"> </w:t>
      </w:r>
      <w:r w:rsidRPr="00205405">
        <w:rPr>
          <w:i/>
          <w:sz w:val="22"/>
          <w:szCs w:val="22"/>
        </w:rPr>
        <w:t xml:space="preserve">Final Security Order </w:t>
      </w:r>
      <w:r w:rsidRPr="00205405">
        <w:rPr>
          <w:sz w:val="22"/>
          <w:szCs w:val="22"/>
        </w:rPr>
        <w:t>at 12-13.</w:t>
      </w:r>
    </w:p>
  </w:footnote>
  <w:footnote w:id="12">
    <w:p w:rsidR="008843DE" w:rsidRPr="001A6F28" w:rsidRDefault="008843DE">
      <w:pPr>
        <w:pStyle w:val="FootnoteText"/>
        <w:rPr>
          <w:i/>
        </w:rPr>
      </w:pPr>
      <w:r w:rsidRPr="00205405">
        <w:rPr>
          <w:rStyle w:val="FootnoteReference"/>
          <w:sz w:val="22"/>
          <w:szCs w:val="22"/>
        </w:rPr>
        <w:footnoteRef/>
      </w:r>
      <w:r w:rsidRPr="00205405">
        <w:rPr>
          <w:sz w:val="22"/>
          <w:szCs w:val="22"/>
        </w:rPr>
        <w:t xml:space="preserve"> </w:t>
      </w:r>
      <w:r w:rsidRPr="00205405">
        <w:rPr>
          <w:i/>
          <w:sz w:val="22"/>
          <w:szCs w:val="22"/>
        </w:rPr>
        <w:t xml:space="preserve">Final Security Order </w:t>
      </w:r>
      <w:r w:rsidRPr="00205405">
        <w:rPr>
          <w:sz w:val="22"/>
          <w:szCs w:val="22"/>
        </w:rPr>
        <w:t>at 16</w:t>
      </w:r>
      <w:r w:rsidRPr="00205405">
        <w:rPr>
          <w:i/>
          <w:sz w:val="22"/>
          <w:szCs w:val="22"/>
        </w:rPr>
        <w:t>.</w:t>
      </w:r>
    </w:p>
  </w:footnote>
  <w:footnote w:id="13">
    <w:p w:rsidR="008843DE" w:rsidRPr="00321572" w:rsidRDefault="008843DE">
      <w:pPr>
        <w:pStyle w:val="FootnoteText"/>
        <w:rPr>
          <w:sz w:val="22"/>
          <w:szCs w:val="22"/>
        </w:rPr>
      </w:pPr>
      <w:r w:rsidRPr="00321572">
        <w:rPr>
          <w:rStyle w:val="FootnoteReference"/>
          <w:sz w:val="22"/>
          <w:szCs w:val="22"/>
        </w:rPr>
        <w:footnoteRef/>
      </w:r>
      <w:r w:rsidRPr="00321572">
        <w:rPr>
          <w:sz w:val="22"/>
          <w:szCs w:val="22"/>
        </w:rPr>
        <w:t xml:space="preserve"> </w:t>
      </w:r>
      <w:r w:rsidRPr="00321572">
        <w:rPr>
          <w:i/>
          <w:sz w:val="22"/>
          <w:szCs w:val="22"/>
        </w:rPr>
        <w:t>Guidance on Electric Generation Supplier Licensee Financial Security</w:t>
      </w:r>
      <w:r w:rsidRPr="00321572">
        <w:rPr>
          <w:sz w:val="22"/>
          <w:szCs w:val="22"/>
        </w:rPr>
        <w:t>, Docket No. M-2013-2393141, Secretarial Letter dated April 8, 2016.</w:t>
      </w:r>
    </w:p>
  </w:footnote>
  <w:footnote w:id="14">
    <w:p w:rsidR="008843DE" w:rsidRPr="00321572" w:rsidRDefault="008843DE">
      <w:pPr>
        <w:pStyle w:val="FootnoteText"/>
        <w:rPr>
          <w:sz w:val="22"/>
          <w:szCs w:val="22"/>
        </w:rPr>
      </w:pPr>
      <w:r w:rsidRPr="00321572">
        <w:rPr>
          <w:rStyle w:val="FootnoteReference"/>
          <w:sz w:val="22"/>
          <w:szCs w:val="22"/>
        </w:rPr>
        <w:footnoteRef/>
      </w:r>
      <w:r w:rsidRPr="00321572">
        <w:rPr>
          <w:sz w:val="22"/>
          <w:szCs w:val="22"/>
        </w:rPr>
        <w:t xml:space="preserve"> </w:t>
      </w:r>
      <w:r w:rsidRPr="00321572">
        <w:rPr>
          <w:i/>
          <w:sz w:val="22"/>
          <w:szCs w:val="22"/>
        </w:rPr>
        <w:t>Petition of the Retail Energy Supply Association to Simplify the Financial Security 5% Renewal Process</w:t>
      </w:r>
      <w:r w:rsidRPr="00321572">
        <w:rPr>
          <w:sz w:val="22"/>
          <w:szCs w:val="22"/>
        </w:rPr>
        <w:t>, Docket No. P-2017-2608078, at 2 (emphasis original) (</w:t>
      </w:r>
      <w:r w:rsidRPr="00321572">
        <w:rPr>
          <w:i/>
          <w:sz w:val="22"/>
          <w:szCs w:val="22"/>
        </w:rPr>
        <w:t>RESA Petition</w:t>
      </w:r>
      <w:r w:rsidRPr="00321572">
        <w:rPr>
          <w:sz w:val="22"/>
          <w:szCs w:val="22"/>
        </w:rPr>
        <w:t>).  A copy of RESA’s proposed compliance template is attached to the Petition as “Attachment A.”</w:t>
      </w:r>
    </w:p>
  </w:footnote>
  <w:footnote w:id="15">
    <w:p w:rsidR="008843DE" w:rsidRPr="00321572" w:rsidRDefault="008843DE">
      <w:pPr>
        <w:pStyle w:val="FootnoteText"/>
        <w:rPr>
          <w:sz w:val="22"/>
          <w:szCs w:val="22"/>
        </w:rPr>
      </w:pPr>
      <w:r w:rsidRPr="00321572">
        <w:rPr>
          <w:rStyle w:val="FootnoteReference"/>
          <w:sz w:val="22"/>
          <w:szCs w:val="22"/>
        </w:rPr>
        <w:footnoteRef/>
      </w:r>
      <w:r w:rsidRPr="00321572">
        <w:rPr>
          <w:sz w:val="22"/>
          <w:szCs w:val="22"/>
        </w:rPr>
        <w:t xml:space="preserve"> </w:t>
      </w:r>
      <w:r w:rsidRPr="00321572">
        <w:rPr>
          <w:i/>
          <w:sz w:val="22"/>
          <w:szCs w:val="22"/>
        </w:rPr>
        <w:t xml:space="preserve">RESA Petition </w:t>
      </w:r>
      <w:r w:rsidRPr="00321572">
        <w:rPr>
          <w:sz w:val="22"/>
          <w:szCs w:val="22"/>
        </w:rPr>
        <w:t>at 2.</w:t>
      </w:r>
    </w:p>
  </w:footnote>
  <w:footnote w:id="16">
    <w:p w:rsidR="008843DE" w:rsidRPr="00321572" w:rsidRDefault="008843DE">
      <w:pPr>
        <w:pStyle w:val="FootnoteText"/>
        <w:rPr>
          <w:sz w:val="22"/>
          <w:szCs w:val="22"/>
        </w:rPr>
      </w:pPr>
      <w:r w:rsidRPr="00321572">
        <w:rPr>
          <w:rStyle w:val="FootnoteReference"/>
          <w:sz w:val="22"/>
          <w:szCs w:val="22"/>
        </w:rPr>
        <w:footnoteRef/>
      </w:r>
      <w:r w:rsidRPr="00321572">
        <w:rPr>
          <w:sz w:val="22"/>
          <w:szCs w:val="22"/>
        </w:rPr>
        <w:t xml:space="preserve"> </w:t>
      </w:r>
      <w:r w:rsidRPr="00321572">
        <w:rPr>
          <w:i/>
          <w:sz w:val="22"/>
          <w:szCs w:val="22"/>
        </w:rPr>
        <w:t>RESA Petition</w:t>
      </w:r>
      <w:r w:rsidRPr="00321572">
        <w:rPr>
          <w:sz w:val="22"/>
          <w:szCs w:val="22"/>
        </w:rPr>
        <w:t xml:space="preserve"> at ¶¶ 6-9.</w:t>
      </w:r>
    </w:p>
  </w:footnote>
  <w:footnote w:id="17">
    <w:p w:rsidR="008843DE" w:rsidRPr="00321572" w:rsidRDefault="008843DE">
      <w:pPr>
        <w:pStyle w:val="FootnoteText"/>
        <w:rPr>
          <w:sz w:val="22"/>
          <w:szCs w:val="22"/>
        </w:rPr>
      </w:pPr>
      <w:r w:rsidRPr="00321572">
        <w:rPr>
          <w:rStyle w:val="FootnoteReference"/>
          <w:sz w:val="22"/>
          <w:szCs w:val="22"/>
        </w:rPr>
        <w:footnoteRef/>
      </w:r>
      <w:r w:rsidRPr="00321572">
        <w:rPr>
          <w:sz w:val="22"/>
          <w:szCs w:val="22"/>
        </w:rPr>
        <w:t xml:space="preserve"> </w:t>
      </w:r>
      <w:r w:rsidRPr="00321572">
        <w:rPr>
          <w:i/>
          <w:sz w:val="22"/>
          <w:szCs w:val="22"/>
        </w:rPr>
        <w:t xml:space="preserve">RESA Petition </w:t>
      </w:r>
      <w:r w:rsidRPr="00321572">
        <w:rPr>
          <w:sz w:val="22"/>
          <w:szCs w:val="22"/>
        </w:rPr>
        <w:t>at 6-7.</w:t>
      </w:r>
    </w:p>
  </w:footnote>
  <w:footnote w:id="18">
    <w:p w:rsidR="008843DE" w:rsidRPr="00321572" w:rsidRDefault="008843DE">
      <w:pPr>
        <w:pStyle w:val="FootnoteText"/>
        <w:rPr>
          <w:sz w:val="22"/>
          <w:szCs w:val="22"/>
        </w:rPr>
      </w:pPr>
      <w:r w:rsidRPr="00321572">
        <w:rPr>
          <w:rStyle w:val="FootnoteReference"/>
          <w:sz w:val="22"/>
          <w:szCs w:val="22"/>
        </w:rPr>
        <w:footnoteRef/>
      </w:r>
      <w:r w:rsidRPr="00321572">
        <w:rPr>
          <w:sz w:val="22"/>
          <w:szCs w:val="22"/>
        </w:rPr>
        <w:t xml:space="preserve"> </w:t>
      </w:r>
      <w:r w:rsidRPr="00321572">
        <w:rPr>
          <w:i/>
          <w:sz w:val="22"/>
          <w:szCs w:val="22"/>
        </w:rPr>
        <w:t xml:space="preserve">RESA Petition </w:t>
      </w:r>
      <w:r w:rsidRPr="00321572">
        <w:rPr>
          <w:sz w:val="22"/>
          <w:szCs w:val="22"/>
        </w:rPr>
        <w:t>at ¶ 16-17.</w:t>
      </w:r>
    </w:p>
  </w:footnote>
  <w:footnote w:id="19">
    <w:p w:rsidR="008843DE" w:rsidRPr="00321572" w:rsidRDefault="008843DE">
      <w:pPr>
        <w:pStyle w:val="FootnoteText"/>
        <w:rPr>
          <w:sz w:val="22"/>
          <w:szCs w:val="22"/>
        </w:rPr>
      </w:pPr>
      <w:r w:rsidRPr="00321572">
        <w:rPr>
          <w:rStyle w:val="FootnoteReference"/>
          <w:sz w:val="22"/>
          <w:szCs w:val="22"/>
        </w:rPr>
        <w:footnoteRef/>
      </w:r>
      <w:r w:rsidRPr="00321572">
        <w:rPr>
          <w:sz w:val="22"/>
          <w:szCs w:val="22"/>
        </w:rPr>
        <w:t xml:space="preserve"> </w:t>
      </w:r>
      <w:r w:rsidRPr="00321572">
        <w:rPr>
          <w:i/>
          <w:sz w:val="22"/>
          <w:szCs w:val="22"/>
        </w:rPr>
        <w:t xml:space="preserve">RESA Petition </w:t>
      </w:r>
      <w:r w:rsidRPr="00321572">
        <w:rPr>
          <w:sz w:val="22"/>
          <w:szCs w:val="22"/>
        </w:rPr>
        <w:t>at ¶ 18.</w:t>
      </w:r>
    </w:p>
  </w:footnote>
  <w:footnote w:id="20">
    <w:p w:rsidR="008843DE" w:rsidRPr="00321572" w:rsidRDefault="008843DE">
      <w:pPr>
        <w:pStyle w:val="FootnoteText"/>
        <w:rPr>
          <w:sz w:val="22"/>
          <w:szCs w:val="22"/>
        </w:rPr>
      </w:pPr>
      <w:r w:rsidRPr="00321572">
        <w:rPr>
          <w:rStyle w:val="FootnoteReference"/>
          <w:sz w:val="22"/>
          <w:szCs w:val="22"/>
        </w:rPr>
        <w:footnoteRef/>
      </w:r>
      <w:r w:rsidRPr="00321572">
        <w:rPr>
          <w:sz w:val="22"/>
          <w:szCs w:val="22"/>
        </w:rPr>
        <w:t xml:space="preserve"> </w:t>
      </w:r>
      <w:r w:rsidRPr="00321572">
        <w:rPr>
          <w:i/>
          <w:sz w:val="22"/>
          <w:szCs w:val="22"/>
        </w:rPr>
        <w:t>RESA Petition</w:t>
      </w:r>
      <w:r w:rsidRPr="00321572">
        <w:rPr>
          <w:sz w:val="22"/>
          <w:szCs w:val="22"/>
        </w:rPr>
        <w:t xml:space="preserve"> at ¶ 19.</w:t>
      </w:r>
    </w:p>
  </w:footnote>
  <w:footnote w:id="21">
    <w:p w:rsidR="008843DE" w:rsidRPr="00D23CC1" w:rsidRDefault="008843DE">
      <w:pPr>
        <w:pStyle w:val="FootnoteText"/>
        <w:rPr>
          <w:sz w:val="22"/>
          <w:szCs w:val="22"/>
        </w:rPr>
      </w:pPr>
      <w:r w:rsidRPr="00D23CC1">
        <w:rPr>
          <w:rStyle w:val="FootnoteReference"/>
          <w:sz w:val="22"/>
          <w:szCs w:val="22"/>
        </w:rPr>
        <w:footnoteRef/>
      </w:r>
      <w:r w:rsidRPr="00D23CC1">
        <w:rPr>
          <w:sz w:val="22"/>
          <w:szCs w:val="22"/>
        </w:rPr>
        <w:t xml:space="preserve"> </w:t>
      </w:r>
      <w:r w:rsidRPr="00D23CC1">
        <w:rPr>
          <w:i/>
          <w:sz w:val="22"/>
          <w:szCs w:val="22"/>
        </w:rPr>
        <w:t xml:space="preserve">RESA Petition </w:t>
      </w:r>
      <w:r w:rsidRPr="00D23CC1">
        <w:rPr>
          <w:sz w:val="22"/>
          <w:szCs w:val="22"/>
        </w:rPr>
        <w:t>at ¶¶ 20-24.</w:t>
      </w:r>
    </w:p>
  </w:footnote>
  <w:footnote w:id="22">
    <w:p w:rsidR="008843DE" w:rsidRPr="00D23CC1" w:rsidRDefault="008843DE">
      <w:pPr>
        <w:pStyle w:val="FootnoteText"/>
        <w:rPr>
          <w:sz w:val="22"/>
          <w:szCs w:val="22"/>
        </w:rPr>
      </w:pPr>
      <w:r w:rsidRPr="00D23CC1">
        <w:rPr>
          <w:rStyle w:val="FootnoteReference"/>
          <w:sz w:val="22"/>
          <w:szCs w:val="22"/>
        </w:rPr>
        <w:footnoteRef/>
      </w:r>
      <w:r w:rsidRPr="00D23CC1">
        <w:rPr>
          <w:sz w:val="22"/>
          <w:szCs w:val="22"/>
        </w:rPr>
        <w:t xml:space="preserve"> </w:t>
      </w:r>
      <w:r w:rsidRPr="00D23CC1">
        <w:rPr>
          <w:i/>
          <w:sz w:val="22"/>
          <w:szCs w:val="22"/>
        </w:rPr>
        <w:t>RESA Petition</w:t>
      </w:r>
      <w:r w:rsidRPr="00D23CC1">
        <w:rPr>
          <w:sz w:val="22"/>
          <w:szCs w:val="22"/>
        </w:rPr>
        <w:t xml:space="preserve"> at ¶ 25.</w:t>
      </w:r>
    </w:p>
  </w:footnote>
  <w:footnote w:id="23">
    <w:p w:rsidR="008843DE" w:rsidRPr="00D23CC1" w:rsidRDefault="008843DE">
      <w:pPr>
        <w:pStyle w:val="FootnoteText"/>
        <w:rPr>
          <w:sz w:val="22"/>
          <w:szCs w:val="22"/>
        </w:rPr>
      </w:pPr>
      <w:r w:rsidRPr="00D23CC1">
        <w:rPr>
          <w:rStyle w:val="FootnoteReference"/>
          <w:sz w:val="22"/>
          <w:szCs w:val="22"/>
        </w:rPr>
        <w:footnoteRef/>
      </w:r>
      <w:r w:rsidRPr="00D23CC1">
        <w:rPr>
          <w:sz w:val="22"/>
          <w:szCs w:val="22"/>
        </w:rPr>
        <w:t xml:space="preserve"> </w:t>
      </w:r>
      <w:r w:rsidRPr="00D23CC1">
        <w:rPr>
          <w:i/>
          <w:sz w:val="22"/>
          <w:szCs w:val="22"/>
        </w:rPr>
        <w:t xml:space="preserve">RESA Petition </w:t>
      </w:r>
      <w:r w:rsidRPr="00D23CC1">
        <w:rPr>
          <w:sz w:val="22"/>
          <w:szCs w:val="22"/>
        </w:rPr>
        <w:t>at ¶ 26.</w:t>
      </w:r>
    </w:p>
  </w:footnote>
  <w:footnote w:id="24">
    <w:p w:rsidR="008843DE" w:rsidRPr="008D7CC8" w:rsidRDefault="008843DE">
      <w:pPr>
        <w:pStyle w:val="FootnoteText"/>
      </w:pPr>
      <w:r w:rsidRPr="00D23CC1">
        <w:rPr>
          <w:rStyle w:val="FootnoteReference"/>
          <w:sz w:val="22"/>
          <w:szCs w:val="22"/>
        </w:rPr>
        <w:footnoteRef/>
      </w:r>
      <w:r w:rsidRPr="00D23CC1">
        <w:rPr>
          <w:sz w:val="22"/>
          <w:szCs w:val="22"/>
        </w:rPr>
        <w:t xml:space="preserve"> </w:t>
      </w:r>
      <w:r w:rsidRPr="00D23CC1">
        <w:rPr>
          <w:i/>
          <w:sz w:val="22"/>
          <w:szCs w:val="22"/>
        </w:rPr>
        <w:t>RESA Petition</w:t>
      </w:r>
      <w:r w:rsidRPr="00D23CC1">
        <w:rPr>
          <w:sz w:val="22"/>
          <w:szCs w:val="22"/>
        </w:rPr>
        <w:t xml:space="preserve"> at ¶ 26.</w:t>
      </w:r>
    </w:p>
  </w:footnote>
  <w:footnote w:id="25">
    <w:p w:rsidR="008843DE" w:rsidRPr="007348D0" w:rsidRDefault="008843DE">
      <w:pPr>
        <w:pStyle w:val="FootnoteText"/>
        <w:rPr>
          <w:sz w:val="22"/>
          <w:szCs w:val="22"/>
        </w:rPr>
      </w:pPr>
      <w:r w:rsidRPr="007348D0">
        <w:rPr>
          <w:rStyle w:val="FootnoteReference"/>
          <w:sz w:val="22"/>
          <w:szCs w:val="22"/>
        </w:rPr>
        <w:footnoteRef/>
      </w:r>
      <w:r w:rsidRPr="007348D0">
        <w:rPr>
          <w:sz w:val="22"/>
          <w:szCs w:val="22"/>
        </w:rPr>
        <w:t xml:space="preserve"> </w:t>
      </w:r>
      <w:r w:rsidRPr="007348D0">
        <w:rPr>
          <w:i/>
          <w:sz w:val="22"/>
          <w:szCs w:val="22"/>
        </w:rPr>
        <w:t>RESA Petition</w:t>
      </w:r>
      <w:r w:rsidRPr="007348D0">
        <w:rPr>
          <w:sz w:val="22"/>
          <w:szCs w:val="22"/>
        </w:rPr>
        <w:t xml:space="preserve"> at ¶¶ 27-30.</w:t>
      </w:r>
    </w:p>
  </w:footnote>
  <w:footnote w:id="26">
    <w:p w:rsidR="008843DE" w:rsidRPr="007348D0" w:rsidRDefault="008843DE">
      <w:pPr>
        <w:pStyle w:val="FootnoteText"/>
        <w:rPr>
          <w:sz w:val="22"/>
          <w:szCs w:val="22"/>
        </w:rPr>
      </w:pPr>
      <w:r w:rsidRPr="007348D0">
        <w:rPr>
          <w:rStyle w:val="FootnoteReference"/>
          <w:sz w:val="22"/>
          <w:szCs w:val="22"/>
        </w:rPr>
        <w:footnoteRef/>
      </w:r>
      <w:r w:rsidRPr="007348D0">
        <w:rPr>
          <w:sz w:val="22"/>
          <w:szCs w:val="22"/>
        </w:rPr>
        <w:t xml:space="preserve"> </w:t>
      </w:r>
      <w:r w:rsidRPr="007348D0">
        <w:rPr>
          <w:i/>
          <w:sz w:val="22"/>
          <w:szCs w:val="22"/>
        </w:rPr>
        <w:t>RESA Petition</w:t>
      </w:r>
      <w:r w:rsidRPr="007348D0">
        <w:rPr>
          <w:sz w:val="22"/>
          <w:szCs w:val="22"/>
        </w:rPr>
        <w:t xml:space="preserve"> at ¶¶ 31-32.</w:t>
      </w:r>
    </w:p>
  </w:footnote>
  <w:footnote w:id="27">
    <w:p w:rsidR="008843DE" w:rsidRPr="007348D0" w:rsidRDefault="008843DE">
      <w:pPr>
        <w:pStyle w:val="FootnoteText"/>
        <w:rPr>
          <w:sz w:val="22"/>
          <w:szCs w:val="22"/>
        </w:rPr>
      </w:pPr>
      <w:r w:rsidRPr="007348D0">
        <w:rPr>
          <w:rStyle w:val="FootnoteReference"/>
          <w:sz w:val="22"/>
          <w:szCs w:val="22"/>
        </w:rPr>
        <w:footnoteRef/>
      </w:r>
      <w:r w:rsidRPr="007348D0">
        <w:rPr>
          <w:sz w:val="22"/>
          <w:szCs w:val="22"/>
        </w:rPr>
        <w:t xml:space="preserve"> </w:t>
      </w:r>
      <w:r w:rsidRPr="007348D0">
        <w:rPr>
          <w:i/>
          <w:sz w:val="22"/>
          <w:szCs w:val="22"/>
        </w:rPr>
        <w:t xml:space="preserve">RESA Petition </w:t>
      </w:r>
      <w:r w:rsidRPr="007348D0">
        <w:rPr>
          <w:sz w:val="22"/>
          <w:szCs w:val="22"/>
        </w:rPr>
        <w:t>at ¶¶ 33-34.</w:t>
      </w:r>
    </w:p>
  </w:footnote>
  <w:footnote w:id="28">
    <w:p w:rsidR="008843DE" w:rsidRPr="007348D0" w:rsidRDefault="008843DE">
      <w:pPr>
        <w:pStyle w:val="FootnoteText"/>
        <w:rPr>
          <w:sz w:val="22"/>
          <w:szCs w:val="22"/>
        </w:rPr>
      </w:pPr>
      <w:r w:rsidRPr="007348D0">
        <w:rPr>
          <w:rStyle w:val="FootnoteReference"/>
          <w:sz w:val="22"/>
          <w:szCs w:val="22"/>
        </w:rPr>
        <w:footnoteRef/>
      </w:r>
      <w:r w:rsidRPr="007348D0">
        <w:rPr>
          <w:sz w:val="22"/>
          <w:szCs w:val="22"/>
        </w:rPr>
        <w:t xml:space="preserve"> </w:t>
      </w:r>
      <w:r w:rsidRPr="007348D0">
        <w:rPr>
          <w:i/>
          <w:sz w:val="22"/>
          <w:szCs w:val="22"/>
        </w:rPr>
        <w:t>RESA Petition</w:t>
      </w:r>
      <w:r w:rsidRPr="007348D0">
        <w:rPr>
          <w:sz w:val="22"/>
          <w:szCs w:val="22"/>
        </w:rPr>
        <w:t xml:space="preserve"> at 15.</w:t>
      </w:r>
    </w:p>
  </w:footnote>
  <w:footnote w:id="29">
    <w:p w:rsidR="008843DE" w:rsidRPr="003868EB" w:rsidRDefault="008843DE">
      <w:pPr>
        <w:pStyle w:val="FootnoteText"/>
        <w:rPr>
          <w:sz w:val="22"/>
          <w:szCs w:val="22"/>
        </w:rPr>
      </w:pPr>
      <w:r w:rsidRPr="003868EB">
        <w:rPr>
          <w:rStyle w:val="FootnoteReference"/>
          <w:sz w:val="22"/>
          <w:szCs w:val="22"/>
        </w:rPr>
        <w:footnoteRef/>
      </w:r>
      <w:r w:rsidRPr="003868EB">
        <w:rPr>
          <w:sz w:val="22"/>
          <w:szCs w:val="22"/>
        </w:rPr>
        <w:t xml:space="preserve"> </w:t>
      </w:r>
      <w:r w:rsidRPr="003868EB">
        <w:rPr>
          <w:i/>
          <w:sz w:val="22"/>
          <w:szCs w:val="22"/>
        </w:rPr>
        <w:t>Final Security Order</w:t>
      </w:r>
      <w:r w:rsidRPr="003868EB">
        <w:rPr>
          <w:sz w:val="22"/>
          <w:szCs w:val="22"/>
        </w:rPr>
        <w:t xml:space="preserve"> at 12-13.</w:t>
      </w:r>
    </w:p>
  </w:footnote>
  <w:footnote w:id="30">
    <w:p w:rsidR="008843DE" w:rsidRPr="00CA34A9" w:rsidRDefault="008843DE">
      <w:pPr>
        <w:pStyle w:val="FootnoteText"/>
        <w:rPr>
          <w:sz w:val="22"/>
          <w:szCs w:val="22"/>
        </w:rPr>
      </w:pPr>
      <w:r w:rsidRPr="00CA34A9">
        <w:rPr>
          <w:rStyle w:val="FootnoteReference"/>
          <w:sz w:val="22"/>
          <w:szCs w:val="22"/>
        </w:rPr>
        <w:footnoteRef/>
      </w:r>
      <w:r w:rsidRPr="00CA34A9">
        <w:rPr>
          <w:sz w:val="22"/>
          <w:szCs w:val="22"/>
        </w:rPr>
        <w:t xml:space="preserve"> Since May 2017, the Commission staff has sent a 90-day Financial Security Renewal Secretarial Letter to EGSs.</w:t>
      </w:r>
    </w:p>
  </w:footnote>
  <w:footnote w:id="31">
    <w:p w:rsidR="008843DE" w:rsidRPr="00CA34A9" w:rsidRDefault="008843DE" w:rsidP="00CA34A9">
      <w:pPr>
        <w:pStyle w:val="FootnoteText"/>
        <w:rPr>
          <w:sz w:val="22"/>
          <w:szCs w:val="22"/>
        </w:rPr>
      </w:pPr>
      <w:r w:rsidRPr="00CA34A9">
        <w:rPr>
          <w:rStyle w:val="FootnoteReference"/>
          <w:sz w:val="22"/>
          <w:szCs w:val="22"/>
        </w:rPr>
        <w:footnoteRef/>
      </w:r>
      <w:r w:rsidRPr="00CA34A9">
        <w:rPr>
          <w:sz w:val="22"/>
          <w:szCs w:val="22"/>
        </w:rPr>
        <w:t xml:space="preserve"> </w:t>
      </w:r>
      <w:r w:rsidRPr="00CA34A9">
        <w:rPr>
          <w:i/>
          <w:sz w:val="22"/>
          <w:szCs w:val="22"/>
        </w:rPr>
        <w:t>Guidance on Electric Generation Supplier Licensee Financial Security</w:t>
      </w:r>
      <w:r w:rsidRPr="00CA34A9">
        <w:rPr>
          <w:sz w:val="22"/>
          <w:szCs w:val="22"/>
        </w:rPr>
        <w:t>, Docket No. M-2013-2393141, Secretarial Letter dated April 8, 2016.</w:t>
      </w:r>
    </w:p>
    <w:p w:rsidR="008843DE" w:rsidRDefault="008843DE" w:rsidP="00CA34A9">
      <w:pPr>
        <w:pStyle w:val="FootnoteText"/>
      </w:pPr>
    </w:p>
  </w:footnote>
  <w:footnote w:id="32">
    <w:p w:rsidR="008843DE" w:rsidRPr="00B11B48" w:rsidRDefault="008843DE">
      <w:pPr>
        <w:pStyle w:val="FootnoteText"/>
        <w:rPr>
          <w:sz w:val="22"/>
          <w:szCs w:val="22"/>
        </w:rPr>
      </w:pPr>
      <w:r w:rsidRPr="00B11B48">
        <w:rPr>
          <w:rStyle w:val="FootnoteReference"/>
          <w:sz w:val="22"/>
          <w:szCs w:val="22"/>
        </w:rPr>
        <w:footnoteRef/>
      </w:r>
      <w:r w:rsidRPr="00B11B48">
        <w:rPr>
          <w:sz w:val="22"/>
          <w:szCs w:val="22"/>
        </w:rPr>
        <w:t xml:space="preserve"> </w:t>
      </w:r>
      <w:r w:rsidRPr="00B11B48">
        <w:rPr>
          <w:i/>
          <w:sz w:val="22"/>
          <w:szCs w:val="22"/>
        </w:rPr>
        <w:t>Final Security Order</w:t>
      </w:r>
      <w:r w:rsidRPr="00B11B48">
        <w:rPr>
          <w:sz w:val="22"/>
          <w:szCs w:val="22"/>
        </w:rPr>
        <w:t xml:space="preserve"> at 16.</w:t>
      </w:r>
    </w:p>
  </w:footnote>
  <w:footnote w:id="33">
    <w:p w:rsidR="008843DE" w:rsidRPr="0049193C" w:rsidRDefault="008843DE" w:rsidP="00991CDD">
      <w:pPr>
        <w:pStyle w:val="FootnoteText"/>
        <w:rPr>
          <w:sz w:val="22"/>
          <w:szCs w:val="22"/>
        </w:rPr>
      </w:pPr>
      <w:r w:rsidRPr="0049193C">
        <w:rPr>
          <w:rStyle w:val="FootnoteReference"/>
          <w:sz w:val="22"/>
          <w:szCs w:val="22"/>
        </w:rPr>
        <w:footnoteRef/>
      </w:r>
      <w:r w:rsidRPr="0049193C">
        <w:rPr>
          <w:sz w:val="22"/>
          <w:szCs w:val="22"/>
        </w:rPr>
        <w:t xml:space="preserve"> </w:t>
      </w:r>
      <w:r w:rsidRPr="0049193C">
        <w:rPr>
          <w:i/>
          <w:sz w:val="22"/>
          <w:szCs w:val="22"/>
        </w:rPr>
        <w:t>Final Security Order</w:t>
      </w:r>
      <w:r w:rsidRPr="0049193C">
        <w:rPr>
          <w:sz w:val="22"/>
          <w:szCs w:val="22"/>
        </w:rPr>
        <w:t xml:space="preserve"> at 16.</w:t>
      </w:r>
    </w:p>
  </w:footnote>
  <w:footnote w:id="34">
    <w:p w:rsidR="008843DE" w:rsidRPr="003F13F2" w:rsidRDefault="008843DE">
      <w:pPr>
        <w:pStyle w:val="FootnoteText"/>
        <w:rPr>
          <w:sz w:val="22"/>
          <w:szCs w:val="22"/>
        </w:rPr>
      </w:pPr>
      <w:r w:rsidRPr="003F13F2">
        <w:rPr>
          <w:rStyle w:val="FootnoteReference"/>
          <w:sz w:val="22"/>
          <w:szCs w:val="22"/>
        </w:rPr>
        <w:footnoteRef/>
      </w:r>
      <w:r w:rsidRPr="003F13F2">
        <w:rPr>
          <w:sz w:val="22"/>
          <w:szCs w:val="22"/>
        </w:rPr>
        <w:t xml:space="preserve"> </w:t>
      </w:r>
      <w:r w:rsidRPr="003F13F2">
        <w:rPr>
          <w:i/>
          <w:sz w:val="22"/>
          <w:szCs w:val="22"/>
        </w:rPr>
        <w:t xml:space="preserve">Final Security Order </w:t>
      </w:r>
      <w:r w:rsidRPr="003F13F2">
        <w:rPr>
          <w:sz w:val="22"/>
          <w:szCs w:val="22"/>
        </w:rPr>
        <w:t>at 16</w:t>
      </w:r>
      <w:r w:rsidRPr="003F13F2">
        <w:rPr>
          <w:i/>
          <w:sz w:val="22"/>
          <w:szCs w:val="22"/>
        </w:rPr>
        <w:t>.</w:t>
      </w:r>
    </w:p>
  </w:footnote>
  <w:footnote w:id="35">
    <w:p w:rsidR="008843DE" w:rsidRPr="000C0896" w:rsidRDefault="008843DE" w:rsidP="000D7156">
      <w:pPr>
        <w:pStyle w:val="FootnoteText"/>
        <w:rPr>
          <w:sz w:val="22"/>
          <w:szCs w:val="22"/>
        </w:rPr>
      </w:pPr>
      <w:r w:rsidRPr="000C0896">
        <w:rPr>
          <w:rStyle w:val="FootnoteReference"/>
          <w:sz w:val="22"/>
          <w:szCs w:val="22"/>
        </w:rPr>
        <w:footnoteRef/>
      </w:r>
      <w:r w:rsidRPr="000C0896">
        <w:rPr>
          <w:sz w:val="22"/>
          <w:szCs w:val="22"/>
        </w:rPr>
        <w:t xml:space="preserve"> </w:t>
      </w:r>
      <w:r w:rsidRPr="000C0896">
        <w:rPr>
          <w:i/>
          <w:sz w:val="22"/>
          <w:szCs w:val="22"/>
        </w:rPr>
        <w:t>Final Security Order</w:t>
      </w:r>
      <w:r w:rsidRPr="000C0896">
        <w:rPr>
          <w:sz w:val="22"/>
          <w:szCs w:val="22"/>
        </w:rPr>
        <w:t xml:space="preserve"> at 16.</w:t>
      </w:r>
    </w:p>
  </w:footnote>
  <w:footnote w:id="36">
    <w:p w:rsidR="00BD40BA" w:rsidRDefault="00BD40BA">
      <w:pPr>
        <w:pStyle w:val="FootnoteText"/>
      </w:pPr>
      <w:r w:rsidRPr="00BD40BA">
        <w:rPr>
          <w:rStyle w:val="FootnoteReference"/>
          <w:sz w:val="22"/>
          <w:szCs w:val="22"/>
        </w:rPr>
        <w:footnoteRef/>
      </w:r>
      <w:r>
        <w:t xml:space="preserve"> </w:t>
      </w:r>
      <w:r w:rsidRPr="00D23CC1">
        <w:rPr>
          <w:i/>
          <w:sz w:val="22"/>
          <w:szCs w:val="22"/>
        </w:rPr>
        <w:t xml:space="preserve">RESA Petition </w:t>
      </w:r>
      <w:r w:rsidRPr="00D23CC1">
        <w:rPr>
          <w:sz w:val="22"/>
          <w:szCs w:val="22"/>
        </w:rPr>
        <w:t>at ¶ 2</w:t>
      </w:r>
      <w:r>
        <w:rPr>
          <w:sz w:val="22"/>
          <w:szCs w:val="22"/>
        </w:rPr>
        <w:t>4</w:t>
      </w:r>
      <w:r w:rsidRPr="00D23CC1">
        <w:rPr>
          <w:sz w:val="22"/>
          <w:szCs w:val="22"/>
        </w:rPr>
        <w:t>.</w:t>
      </w:r>
    </w:p>
  </w:footnote>
  <w:footnote w:id="37">
    <w:p w:rsidR="008843DE" w:rsidRPr="00D92845" w:rsidRDefault="008843DE">
      <w:pPr>
        <w:pStyle w:val="FootnoteText"/>
        <w:rPr>
          <w:sz w:val="22"/>
          <w:szCs w:val="22"/>
        </w:rPr>
      </w:pPr>
      <w:r w:rsidRPr="00D92845">
        <w:rPr>
          <w:rStyle w:val="FootnoteReference"/>
          <w:sz w:val="22"/>
          <w:szCs w:val="22"/>
        </w:rPr>
        <w:footnoteRef/>
      </w:r>
      <w:r w:rsidRPr="00D92845">
        <w:rPr>
          <w:sz w:val="22"/>
          <w:szCs w:val="22"/>
        </w:rPr>
        <w:t xml:space="preserve"> </w:t>
      </w:r>
      <w:r w:rsidRPr="00D92845">
        <w:rPr>
          <w:i/>
          <w:sz w:val="22"/>
          <w:szCs w:val="22"/>
        </w:rPr>
        <w:t>Final Security Order</w:t>
      </w:r>
      <w:r w:rsidRPr="00D92845">
        <w:rPr>
          <w:sz w:val="22"/>
          <w:szCs w:val="22"/>
        </w:rPr>
        <w:t xml:space="preserve"> at pgs. 12-13.</w:t>
      </w:r>
    </w:p>
  </w:footnote>
  <w:footnote w:id="38">
    <w:p w:rsidR="002C0AE9" w:rsidRPr="002C0AE9" w:rsidRDefault="002C0AE9">
      <w:pPr>
        <w:pStyle w:val="FootnoteText"/>
        <w:rPr>
          <w:sz w:val="22"/>
          <w:szCs w:val="22"/>
        </w:rPr>
      </w:pPr>
      <w:r>
        <w:rPr>
          <w:rStyle w:val="FootnoteReference"/>
        </w:rPr>
        <w:footnoteRef/>
      </w:r>
      <w:r>
        <w:t xml:space="preserve"> </w:t>
      </w:r>
      <w:r w:rsidRPr="002C0AE9">
        <w:rPr>
          <w:sz w:val="22"/>
          <w:szCs w:val="22"/>
        </w:rPr>
        <w:t xml:space="preserve">Section 703(g) provides that the Commission may amend its prior orders after notice and opportunity to be heard.  Accordingly, the Commission is issuing this order as a Tentative Opinion and Order </w:t>
      </w:r>
      <w:proofErr w:type="gramStart"/>
      <w:r w:rsidRPr="002C0AE9">
        <w:rPr>
          <w:sz w:val="22"/>
          <w:szCs w:val="22"/>
        </w:rPr>
        <w:t>so as to</w:t>
      </w:r>
      <w:proofErr w:type="gramEnd"/>
      <w:r w:rsidRPr="002C0AE9">
        <w:rPr>
          <w:sz w:val="22"/>
          <w:szCs w:val="22"/>
        </w:rPr>
        <w:t xml:space="preserve"> provide interested persons with notice and an opportunity to file comments for our consideration before it becomes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5AB0DE4"/>
    <w:multiLevelType w:val="hybridMultilevel"/>
    <w:tmpl w:val="2E28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F6F68"/>
    <w:multiLevelType w:val="hybridMultilevel"/>
    <w:tmpl w:val="E0385B3C"/>
    <w:lvl w:ilvl="0" w:tplc="04090001">
      <w:start w:val="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75923"/>
    <w:multiLevelType w:val="hybridMultilevel"/>
    <w:tmpl w:val="E79846CA"/>
    <w:lvl w:ilvl="0" w:tplc="1C6A998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0B05B5"/>
    <w:multiLevelType w:val="hybridMultilevel"/>
    <w:tmpl w:val="774A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15679"/>
    <w:multiLevelType w:val="hybridMultilevel"/>
    <w:tmpl w:val="481A6E5E"/>
    <w:lvl w:ilvl="0" w:tplc="9EAEF0C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8D4207"/>
    <w:multiLevelType w:val="hybridMultilevel"/>
    <w:tmpl w:val="D116C3C4"/>
    <w:lvl w:ilvl="0" w:tplc="DD9E776A">
      <w:start w:val="1"/>
      <w:numFmt w:val="lowerRoman"/>
      <w:lvlText w:val="(%1)"/>
      <w:lvlJc w:val="left"/>
      <w:pPr>
        <w:ind w:left="2520" w:hanging="720"/>
      </w:pPr>
      <w:rPr>
        <w:rFonts w:hint="default"/>
        <w:color w:val="auto"/>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7" w15:restartNumberingAfterBreak="0">
    <w:nsid w:val="32202855"/>
    <w:multiLevelType w:val="hybridMultilevel"/>
    <w:tmpl w:val="EF124F2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7266AAC"/>
    <w:multiLevelType w:val="hybridMultilevel"/>
    <w:tmpl w:val="0A1E8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87A3498"/>
    <w:multiLevelType w:val="hybridMultilevel"/>
    <w:tmpl w:val="D826A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FEF243C"/>
    <w:multiLevelType w:val="hybridMultilevel"/>
    <w:tmpl w:val="A01C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69D2"/>
    <w:multiLevelType w:val="hybridMultilevel"/>
    <w:tmpl w:val="F8B0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39244E"/>
    <w:multiLevelType w:val="hybridMultilevel"/>
    <w:tmpl w:val="18E6B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3F2242"/>
    <w:multiLevelType w:val="hybridMultilevel"/>
    <w:tmpl w:val="E89A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24815"/>
    <w:multiLevelType w:val="hybridMultilevel"/>
    <w:tmpl w:val="188C2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BF646E"/>
    <w:multiLevelType w:val="hybridMultilevel"/>
    <w:tmpl w:val="46A6B2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CCD2141"/>
    <w:multiLevelType w:val="hybridMultilevel"/>
    <w:tmpl w:val="530E8F46"/>
    <w:lvl w:ilvl="0" w:tplc="EF3C74B4">
      <w:start w:val="1"/>
      <w:numFmt w:val="decimal"/>
      <w:lvlText w:val="(%1)"/>
      <w:lvlJc w:val="left"/>
      <w:pPr>
        <w:tabs>
          <w:tab w:val="num" w:pos="1440"/>
        </w:tabs>
        <w:ind w:left="1440" w:hanging="360"/>
      </w:pPr>
      <w:rPr>
        <w:rFonts w:ascii="Times New Roman" w:eastAsia="Times New Roman" w:hAnsi="Times New Roman" w:cs="Times New Roman"/>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7"/>
  </w:num>
  <w:num w:numId="3">
    <w:abstractNumId w:val="16"/>
  </w:num>
  <w:num w:numId="4">
    <w:abstractNumId w:val="6"/>
  </w:num>
  <w:num w:numId="5">
    <w:abstractNumId w:val="2"/>
  </w:num>
  <w:num w:numId="6">
    <w:abstractNumId w:val="8"/>
  </w:num>
  <w:num w:numId="7">
    <w:abstractNumId w:val="1"/>
  </w:num>
  <w:num w:numId="8">
    <w:abstractNumId w:val="14"/>
  </w:num>
  <w:num w:numId="9">
    <w:abstractNumId w:val="15"/>
  </w:num>
  <w:num w:numId="10">
    <w:abstractNumId w:val="13"/>
  </w:num>
  <w:num w:numId="11">
    <w:abstractNumId w:val="10"/>
  </w:num>
  <w:num w:numId="12">
    <w:abstractNumId w:val="4"/>
  </w:num>
  <w:num w:numId="13">
    <w:abstractNumId w:val="12"/>
  </w:num>
  <w:num w:numId="14">
    <w:abstractNumId w:val="9"/>
  </w:num>
  <w:num w:numId="15">
    <w:abstractNumId w:val="11"/>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D4"/>
    <w:rsid w:val="00000B90"/>
    <w:rsid w:val="00000D4B"/>
    <w:rsid w:val="0000186B"/>
    <w:rsid w:val="00006682"/>
    <w:rsid w:val="0001194D"/>
    <w:rsid w:val="0001427A"/>
    <w:rsid w:val="00014625"/>
    <w:rsid w:val="00014C9D"/>
    <w:rsid w:val="00014E04"/>
    <w:rsid w:val="00016750"/>
    <w:rsid w:val="0001784D"/>
    <w:rsid w:val="00021085"/>
    <w:rsid w:val="00021D0F"/>
    <w:rsid w:val="00022C35"/>
    <w:rsid w:val="00023996"/>
    <w:rsid w:val="00024EF9"/>
    <w:rsid w:val="00025D90"/>
    <w:rsid w:val="00025E38"/>
    <w:rsid w:val="00026EB7"/>
    <w:rsid w:val="00032633"/>
    <w:rsid w:val="00034E4E"/>
    <w:rsid w:val="000358B8"/>
    <w:rsid w:val="00037BDE"/>
    <w:rsid w:val="00040110"/>
    <w:rsid w:val="000404ED"/>
    <w:rsid w:val="000405BA"/>
    <w:rsid w:val="00043C2E"/>
    <w:rsid w:val="00044369"/>
    <w:rsid w:val="00045992"/>
    <w:rsid w:val="00047B4E"/>
    <w:rsid w:val="000512EE"/>
    <w:rsid w:val="00052A56"/>
    <w:rsid w:val="00053141"/>
    <w:rsid w:val="00060D77"/>
    <w:rsid w:val="0006146D"/>
    <w:rsid w:val="000626B0"/>
    <w:rsid w:val="0006454D"/>
    <w:rsid w:val="0006536F"/>
    <w:rsid w:val="00065AF8"/>
    <w:rsid w:val="000668D0"/>
    <w:rsid w:val="00067454"/>
    <w:rsid w:val="000675A4"/>
    <w:rsid w:val="00067C9E"/>
    <w:rsid w:val="00070AF3"/>
    <w:rsid w:val="00070F7D"/>
    <w:rsid w:val="000713C1"/>
    <w:rsid w:val="00073945"/>
    <w:rsid w:val="000740DC"/>
    <w:rsid w:val="00075D62"/>
    <w:rsid w:val="00075EB1"/>
    <w:rsid w:val="000771E5"/>
    <w:rsid w:val="00077431"/>
    <w:rsid w:val="00080FD3"/>
    <w:rsid w:val="000811B9"/>
    <w:rsid w:val="000816B7"/>
    <w:rsid w:val="00081FB8"/>
    <w:rsid w:val="00082E6B"/>
    <w:rsid w:val="00083D3A"/>
    <w:rsid w:val="00085A75"/>
    <w:rsid w:val="00090F3A"/>
    <w:rsid w:val="00091EA5"/>
    <w:rsid w:val="00092191"/>
    <w:rsid w:val="00092C0A"/>
    <w:rsid w:val="00094075"/>
    <w:rsid w:val="000951EF"/>
    <w:rsid w:val="00096FC3"/>
    <w:rsid w:val="000975C1"/>
    <w:rsid w:val="000A2B43"/>
    <w:rsid w:val="000A2C5F"/>
    <w:rsid w:val="000A4A45"/>
    <w:rsid w:val="000A6AC7"/>
    <w:rsid w:val="000A6EAD"/>
    <w:rsid w:val="000A7ADD"/>
    <w:rsid w:val="000B1788"/>
    <w:rsid w:val="000B3458"/>
    <w:rsid w:val="000B35D7"/>
    <w:rsid w:val="000B37C2"/>
    <w:rsid w:val="000B386C"/>
    <w:rsid w:val="000B4252"/>
    <w:rsid w:val="000B58B0"/>
    <w:rsid w:val="000B63FD"/>
    <w:rsid w:val="000B68D3"/>
    <w:rsid w:val="000B6A8E"/>
    <w:rsid w:val="000B6B6B"/>
    <w:rsid w:val="000B75BC"/>
    <w:rsid w:val="000C0896"/>
    <w:rsid w:val="000C2809"/>
    <w:rsid w:val="000C28C2"/>
    <w:rsid w:val="000C3220"/>
    <w:rsid w:val="000C3B56"/>
    <w:rsid w:val="000C4CE7"/>
    <w:rsid w:val="000C54F6"/>
    <w:rsid w:val="000C5CF7"/>
    <w:rsid w:val="000C6D0E"/>
    <w:rsid w:val="000C7DF1"/>
    <w:rsid w:val="000D024E"/>
    <w:rsid w:val="000D1B24"/>
    <w:rsid w:val="000D57DF"/>
    <w:rsid w:val="000D585D"/>
    <w:rsid w:val="000D64D3"/>
    <w:rsid w:val="000D66CF"/>
    <w:rsid w:val="000D68A5"/>
    <w:rsid w:val="000D6E5C"/>
    <w:rsid w:val="000D7156"/>
    <w:rsid w:val="000E097C"/>
    <w:rsid w:val="000E3ECD"/>
    <w:rsid w:val="000E64D7"/>
    <w:rsid w:val="000F13B9"/>
    <w:rsid w:val="000F3610"/>
    <w:rsid w:val="000F3689"/>
    <w:rsid w:val="000F69A3"/>
    <w:rsid w:val="0010058B"/>
    <w:rsid w:val="0010119B"/>
    <w:rsid w:val="00101962"/>
    <w:rsid w:val="00102BD3"/>
    <w:rsid w:val="00106D84"/>
    <w:rsid w:val="00107AB8"/>
    <w:rsid w:val="001119EF"/>
    <w:rsid w:val="001128EC"/>
    <w:rsid w:val="00113868"/>
    <w:rsid w:val="00114C8F"/>
    <w:rsid w:val="0011608A"/>
    <w:rsid w:val="0011723F"/>
    <w:rsid w:val="0011764D"/>
    <w:rsid w:val="00121653"/>
    <w:rsid w:val="00121BCA"/>
    <w:rsid w:val="00121FFF"/>
    <w:rsid w:val="001238FC"/>
    <w:rsid w:val="00123F76"/>
    <w:rsid w:val="00124513"/>
    <w:rsid w:val="00125574"/>
    <w:rsid w:val="00125C15"/>
    <w:rsid w:val="001269BE"/>
    <w:rsid w:val="0012782C"/>
    <w:rsid w:val="00127863"/>
    <w:rsid w:val="00134879"/>
    <w:rsid w:val="00134966"/>
    <w:rsid w:val="00134C77"/>
    <w:rsid w:val="00140201"/>
    <w:rsid w:val="00142688"/>
    <w:rsid w:val="00142828"/>
    <w:rsid w:val="0014399D"/>
    <w:rsid w:val="00143CB9"/>
    <w:rsid w:val="00144622"/>
    <w:rsid w:val="00145B3E"/>
    <w:rsid w:val="00145DA1"/>
    <w:rsid w:val="00147689"/>
    <w:rsid w:val="00150770"/>
    <w:rsid w:val="00151AE9"/>
    <w:rsid w:val="0015549B"/>
    <w:rsid w:val="001565A6"/>
    <w:rsid w:val="00162196"/>
    <w:rsid w:val="001627EC"/>
    <w:rsid w:val="0016373C"/>
    <w:rsid w:val="00163B63"/>
    <w:rsid w:val="001647BF"/>
    <w:rsid w:val="00165677"/>
    <w:rsid w:val="001667BB"/>
    <w:rsid w:val="001708C8"/>
    <w:rsid w:val="001713F3"/>
    <w:rsid w:val="00171412"/>
    <w:rsid w:val="00172FC1"/>
    <w:rsid w:val="00173D35"/>
    <w:rsid w:val="00174434"/>
    <w:rsid w:val="00177564"/>
    <w:rsid w:val="00180759"/>
    <w:rsid w:val="0018084E"/>
    <w:rsid w:val="001816E3"/>
    <w:rsid w:val="00185C4F"/>
    <w:rsid w:val="001877EA"/>
    <w:rsid w:val="00187C10"/>
    <w:rsid w:val="00187E41"/>
    <w:rsid w:val="001932C6"/>
    <w:rsid w:val="00193645"/>
    <w:rsid w:val="001937F4"/>
    <w:rsid w:val="00193F81"/>
    <w:rsid w:val="00197362"/>
    <w:rsid w:val="001A0551"/>
    <w:rsid w:val="001A161C"/>
    <w:rsid w:val="001A2276"/>
    <w:rsid w:val="001A29B7"/>
    <w:rsid w:val="001A2E25"/>
    <w:rsid w:val="001A301F"/>
    <w:rsid w:val="001A3993"/>
    <w:rsid w:val="001A4034"/>
    <w:rsid w:val="001A6F28"/>
    <w:rsid w:val="001A75D8"/>
    <w:rsid w:val="001B2690"/>
    <w:rsid w:val="001B518C"/>
    <w:rsid w:val="001B5590"/>
    <w:rsid w:val="001B590E"/>
    <w:rsid w:val="001B66FA"/>
    <w:rsid w:val="001B6DC1"/>
    <w:rsid w:val="001B7588"/>
    <w:rsid w:val="001C0496"/>
    <w:rsid w:val="001C3976"/>
    <w:rsid w:val="001C3EAC"/>
    <w:rsid w:val="001C4CA9"/>
    <w:rsid w:val="001C5035"/>
    <w:rsid w:val="001C5A87"/>
    <w:rsid w:val="001C62C5"/>
    <w:rsid w:val="001C6F60"/>
    <w:rsid w:val="001C72BC"/>
    <w:rsid w:val="001C7561"/>
    <w:rsid w:val="001C7938"/>
    <w:rsid w:val="001D0B82"/>
    <w:rsid w:val="001D5BA1"/>
    <w:rsid w:val="001D5C9E"/>
    <w:rsid w:val="001D7F5E"/>
    <w:rsid w:val="001E3846"/>
    <w:rsid w:val="001E5BB5"/>
    <w:rsid w:val="001E5C39"/>
    <w:rsid w:val="001E7766"/>
    <w:rsid w:val="001F279B"/>
    <w:rsid w:val="001F3BD7"/>
    <w:rsid w:val="001F41AA"/>
    <w:rsid w:val="001F51D4"/>
    <w:rsid w:val="001F7099"/>
    <w:rsid w:val="0020081E"/>
    <w:rsid w:val="00204B93"/>
    <w:rsid w:val="00205405"/>
    <w:rsid w:val="00205E91"/>
    <w:rsid w:val="00207CB5"/>
    <w:rsid w:val="002109D0"/>
    <w:rsid w:val="00210EF6"/>
    <w:rsid w:val="0021267C"/>
    <w:rsid w:val="00212762"/>
    <w:rsid w:val="00212B60"/>
    <w:rsid w:val="00213981"/>
    <w:rsid w:val="00213CEC"/>
    <w:rsid w:val="00214C36"/>
    <w:rsid w:val="00216B36"/>
    <w:rsid w:val="00217EF7"/>
    <w:rsid w:val="00220DDF"/>
    <w:rsid w:val="00221E66"/>
    <w:rsid w:val="00221F4C"/>
    <w:rsid w:val="0022217F"/>
    <w:rsid w:val="00223594"/>
    <w:rsid w:val="00224EA4"/>
    <w:rsid w:val="0022503C"/>
    <w:rsid w:val="002306BC"/>
    <w:rsid w:val="00230B4D"/>
    <w:rsid w:val="00230CF0"/>
    <w:rsid w:val="00230ECC"/>
    <w:rsid w:val="002319A3"/>
    <w:rsid w:val="0023283C"/>
    <w:rsid w:val="00232A47"/>
    <w:rsid w:val="00236400"/>
    <w:rsid w:val="00236B3D"/>
    <w:rsid w:val="00240B9B"/>
    <w:rsid w:val="00241E2F"/>
    <w:rsid w:val="00241FDA"/>
    <w:rsid w:val="00242FAF"/>
    <w:rsid w:val="00244D4D"/>
    <w:rsid w:val="002468E8"/>
    <w:rsid w:val="00250087"/>
    <w:rsid w:val="002505CF"/>
    <w:rsid w:val="0025082A"/>
    <w:rsid w:val="00251B07"/>
    <w:rsid w:val="00251C2E"/>
    <w:rsid w:val="00251C6E"/>
    <w:rsid w:val="00251DC3"/>
    <w:rsid w:val="00252773"/>
    <w:rsid w:val="0025318F"/>
    <w:rsid w:val="0025610B"/>
    <w:rsid w:val="00257E80"/>
    <w:rsid w:val="00260343"/>
    <w:rsid w:val="002606E4"/>
    <w:rsid w:val="00260C80"/>
    <w:rsid w:val="00262AB2"/>
    <w:rsid w:val="002640EC"/>
    <w:rsid w:val="002652E8"/>
    <w:rsid w:val="00271B5E"/>
    <w:rsid w:val="0027224E"/>
    <w:rsid w:val="00272942"/>
    <w:rsid w:val="002730DD"/>
    <w:rsid w:val="002735F2"/>
    <w:rsid w:val="00275681"/>
    <w:rsid w:val="0027625A"/>
    <w:rsid w:val="0027704A"/>
    <w:rsid w:val="0027790E"/>
    <w:rsid w:val="00280E2F"/>
    <w:rsid w:val="00282031"/>
    <w:rsid w:val="00285173"/>
    <w:rsid w:val="0028555A"/>
    <w:rsid w:val="00285BEF"/>
    <w:rsid w:val="00287D3F"/>
    <w:rsid w:val="00290A3D"/>
    <w:rsid w:val="00291685"/>
    <w:rsid w:val="0029343A"/>
    <w:rsid w:val="0029397B"/>
    <w:rsid w:val="00295A65"/>
    <w:rsid w:val="0029665B"/>
    <w:rsid w:val="00296B0A"/>
    <w:rsid w:val="00297B7F"/>
    <w:rsid w:val="002A1A08"/>
    <w:rsid w:val="002A2135"/>
    <w:rsid w:val="002A239F"/>
    <w:rsid w:val="002A23AC"/>
    <w:rsid w:val="002A2660"/>
    <w:rsid w:val="002A288D"/>
    <w:rsid w:val="002B0014"/>
    <w:rsid w:val="002B181E"/>
    <w:rsid w:val="002B18E0"/>
    <w:rsid w:val="002B1A5B"/>
    <w:rsid w:val="002B290A"/>
    <w:rsid w:val="002B49E8"/>
    <w:rsid w:val="002B51BB"/>
    <w:rsid w:val="002B73F1"/>
    <w:rsid w:val="002C0AE9"/>
    <w:rsid w:val="002C19D7"/>
    <w:rsid w:val="002C20B0"/>
    <w:rsid w:val="002C30F7"/>
    <w:rsid w:val="002C3494"/>
    <w:rsid w:val="002C3B6B"/>
    <w:rsid w:val="002C4ABC"/>
    <w:rsid w:val="002C5052"/>
    <w:rsid w:val="002C5B35"/>
    <w:rsid w:val="002C5BF8"/>
    <w:rsid w:val="002C7630"/>
    <w:rsid w:val="002D0567"/>
    <w:rsid w:val="002D221E"/>
    <w:rsid w:val="002D2ABE"/>
    <w:rsid w:val="002D3843"/>
    <w:rsid w:val="002D3BB8"/>
    <w:rsid w:val="002D3C48"/>
    <w:rsid w:val="002D4FAF"/>
    <w:rsid w:val="002D5E08"/>
    <w:rsid w:val="002D6B3C"/>
    <w:rsid w:val="002D6FC9"/>
    <w:rsid w:val="002D7DAA"/>
    <w:rsid w:val="002E2A06"/>
    <w:rsid w:val="002E2B14"/>
    <w:rsid w:val="002E3A73"/>
    <w:rsid w:val="002E4F97"/>
    <w:rsid w:val="002E73DC"/>
    <w:rsid w:val="002E742A"/>
    <w:rsid w:val="002F036C"/>
    <w:rsid w:val="002F0C09"/>
    <w:rsid w:val="002F1035"/>
    <w:rsid w:val="002F1036"/>
    <w:rsid w:val="002F6D5B"/>
    <w:rsid w:val="002F7691"/>
    <w:rsid w:val="00303936"/>
    <w:rsid w:val="003043CF"/>
    <w:rsid w:val="00304809"/>
    <w:rsid w:val="00304A7F"/>
    <w:rsid w:val="00305867"/>
    <w:rsid w:val="00307DA6"/>
    <w:rsid w:val="00311379"/>
    <w:rsid w:val="00311F08"/>
    <w:rsid w:val="00313482"/>
    <w:rsid w:val="00315B4B"/>
    <w:rsid w:val="003160C1"/>
    <w:rsid w:val="00317882"/>
    <w:rsid w:val="003206F5"/>
    <w:rsid w:val="00321572"/>
    <w:rsid w:val="00321710"/>
    <w:rsid w:val="00323D04"/>
    <w:rsid w:val="00325991"/>
    <w:rsid w:val="003268D2"/>
    <w:rsid w:val="003279D9"/>
    <w:rsid w:val="003279FE"/>
    <w:rsid w:val="00331874"/>
    <w:rsid w:val="003318A2"/>
    <w:rsid w:val="00335A17"/>
    <w:rsid w:val="0033672D"/>
    <w:rsid w:val="0034152E"/>
    <w:rsid w:val="00341DB2"/>
    <w:rsid w:val="00342C7E"/>
    <w:rsid w:val="0034586F"/>
    <w:rsid w:val="00345A98"/>
    <w:rsid w:val="00346424"/>
    <w:rsid w:val="003474FE"/>
    <w:rsid w:val="0035040B"/>
    <w:rsid w:val="00352D15"/>
    <w:rsid w:val="00353735"/>
    <w:rsid w:val="00353A13"/>
    <w:rsid w:val="00354637"/>
    <w:rsid w:val="00367824"/>
    <w:rsid w:val="00374935"/>
    <w:rsid w:val="00375D98"/>
    <w:rsid w:val="00375DB7"/>
    <w:rsid w:val="003764E0"/>
    <w:rsid w:val="003769F6"/>
    <w:rsid w:val="003777D5"/>
    <w:rsid w:val="003810FB"/>
    <w:rsid w:val="003816C0"/>
    <w:rsid w:val="00382C45"/>
    <w:rsid w:val="003868EB"/>
    <w:rsid w:val="003875F0"/>
    <w:rsid w:val="00387B92"/>
    <w:rsid w:val="00390542"/>
    <w:rsid w:val="003A004F"/>
    <w:rsid w:val="003A01A0"/>
    <w:rsid w:val="003A07EC"/>
    <w:rsid w:val="003A2239"/>
    <w:rsid w:val="003A2B55"/>
    <w:rsid w:val="003A55F6"/>
    <w:rsid w:val="003A5D82"/>
    <w:rsid w:val="003A7043"/>
    <w:rsid w:val="003B26BD"/>
    <w:rsid w:val="003B39FE"/>
    <w:rsid w:val="003B5055"/>
    <w:rsid w:val="003B52CC"/>
    <w:rsid w:val="003B5A2A"/>
    <w:rsid w:val="003B5F6D"/>
    <w:rsid w:val="003B6362"/>
    <w:rsid w:val="003B6D41"/>
    <w:rsid w:val="003C0C56"/>
    <w:rsid w:val="003C1168"/>
    <w:rsid w:val="003C1FEB"/>
    <w:rsid w:val="003C2EB9"/>
    <w:rsid w:val="003C4197"/>
    <w:rsid w:val="003C4D4E"/>
    <w:rsid w:val="003C6544"/>
    <w:rsid w:val="003D12B9"/>
    <w:rsid w:val="003D38B7"/>
    <w:rsid w:val="003D51B7"/>
    <w:rsid w:val="003D5746"/>
    <w:rsid w:val="003D6D7F"/>
    <w:rsid w:val="003E0590"/>
    <w:rsid w:val="003E0FFA"/>
    <w:rsid w:val="003E16FE"/>
    <w:rsid w:val="003E3210"/>
    <w:rsid w:val="003E4641"/>
    <w:rsid w:val="003E4882"/>
    <w:rsid w:val="003E501F"/>
    <w:rsid w:val="003E56C8"/>
    <w:rsid w:val="003E6B08"/>
    <w:rsid w:val="003E6C5B"/>
    <w:rsid w:val="003F022C"/>
    <w:rsid w:val="003F13F2"/>
    <w:rsid w:val="003F1B7F"/>
    <w:rsid w:val="003F3741"/>
    <w:rsid w:val="003F3E46"/>
    <w:rsid w:val="003F671F"/>
    <w:rsid w:val="00402DB2"/>
    <w:rsid w:val="004055FA"/>
    <w:rsid w:val="004060A7"/>
    <w:rsid w:val="00407173"/>
    <w:rsid w:val="004108C8"/>
    <w:rsid w:val="00412306"/>
    <w:rsid w:val="00412707"/>
    <w:rsid w:val="00413E6C"/>
    <w:rsid w:val="0041426A"/>
    <w:rsid w:val="004152AF"/>
    <w:rsid w:val="00422867"/>
    <w:rsid w:val="00425E31"/>
    <w:rsid w:val="00426FAC"/>
    <w:rsid w:val="00427441"/>
    <w:rsid w:val="00430D18"/>
    <w:rsid w:val="00432E9F"/>
    <w:rsid w:val="00435346"/>
    <w:rsid w:val="00435749"/>
    <w:rsid w:val="00436C2C"/>
    <w:rsid w:val="00441557"/>
    <w:rsid w:val="00442107"/>
    <w:rsid w:val="00443BC8"/>
    <w:rsid w:val="004442CB"/>
    <w:rsid w:val="004457CC"/>
    <w:rsid w:val="00447FB4"/>
    <w:rsid w:val="00451039"/>
    <w:rsid w:val="00451464"/>
    <w:rsid w:val="00451738"/>
    <w:rsid w:val="00453812"/>
    <w:rsid w:val="004562FB"/>
    <w:rsid w:val="00456D3B"/>
    <w:rsid w:val="00457F58"/>
    <w:rsid w:val="00460B0E"/>
    <w:rsid w:val="0046281B"/>
    <w:rsid w:val="00464B47"/>
    <w:rsid w:val="0046728D"/>
    <w:rsid w:val="00475539"/>
    <w:rsid w:val="004757D1"/>
    <w:rsid w:val="00475E6A"/>
    <w:rsid w:val="004768B5"/>
    <w:rsid w:val="004776F4"/>
    <w:rsid w:val="00480669"/>
    <w:rsid w:val="00481808"/>
    <w:rsid w:val="00482B57"/>
    <w:rsid w:val="00485F98"/>
    <w:rsid w:val="004866B4"/>
    <w:rsid w:val="00486969"/>
    <w:rsid w:val="004875FF"/>
    <w:rsid w:val="00490CE7"/>
    <w:rsid w:val="00490E41"/>
    <w:rsid w:val="004917D2"/>
    <w:rsid w:val="0049193C"/>
    <w:rsid w:val="0049394A"/>
    <w:rsid w:val="00493D77"/>
    <w:rsid w:val="004944C6"/>
    <w:rsid w:val="00494A04"/>
    <w:rsid w:val="00494B69"/>
    <w:rsid w:val="00497209"/>
    <w:rsid w:val="00497A92"/>
    <w:rsid w:val="004A06D9"/>
    <w:rsid w:val="004A25D3"/>
    <w:rsid w:val="004A5743"/>
    <w:rsid w:val="004A5AD7"/>
    <w:rsid w:val="004A6CFD"/>
    <w:rsid w:val="004B10FF"/>
    <w:rsid w:val="004B20E0"/>
    <w:rsid w:val="004B2FB1"/>
    <w:rsid w:val="004B2FB7"/>
    <w:rsid w:val="004B3E92"/>
    <w:rsid w:val="004B69FF"/>
    <w:rsid w:val="004B6FE4"/>
    <w:rsid w:val="004B72ED"/>
    <w:rsid w:val="004C1607"/>
    <w:rsid w:val="004C3301"/>
    <w:rsid w:val="004C3DBE"/>
    <w:rsid w:val="004C3EC8"/>
    <w:rsid w:val="004C4941"/>
    <w:rsid w:val="004C49E2"/>
    <w:rsid w:val="004C5470"/>
    <w:rsid w:val="004C591D"/>
    <w:rsid w:val="004D1747"/>
    <w:rsid w:val="004D22FD"/>
    <w:rsid w:val="004D29A3"/>
    <w:rsid w:val="004D346F"/>
    <w:rsid w:val="004D4704"/>
    <w:rsid w:val="004D4800"/>
    <w:rsid w:val="004E3402"/>
    <w:rsid w:val="004E3C76"/>
    <w:rsid w:val="004E41AC"/>
    <w:rsid w:val="004E5396"/>
    <w:rsid w:val="004E58A5"/>
    <w:rsid w:val="004E7953"/>
    <w:rsid w:val="004F0575"/>
    <w:rsid w:val="004F07BB"/>
    <w:rsid w:val="004F095F"/>
    <w:rsid w:val="004F0F95"/>
    <w:rsid w:val="004F1B4E"/>
    <w:rsid w:val="004F370A"/>
    <w:rsid w:val="004F3E4B"/>
    <w:rsid w:val="004F521E"/>
    <w:rsid w:val="004F7352"/>
    <w:rsid w:val="00501897"/>
    <w:rsid w:val="00501E03"/>
    <w:rsid w:val="005022F6"/>
    <w:rsid w:val="00503963"/>
    <w:rsid w:val="00503BA5"/>
    <w:rsid w:val="00507FC9"/>
    <w:rsid w:val="00511CE4"/>
    <w:rsid w:val="00513563"/>
    <w:rsid w:val="00513753"/>
    <w:rsid w:val="00514917"/>
    <w:rsid w:val="005200F1"/>
    <w:rsid w:val="00520427"/>
    <w:rsid w:val="0052231D"/>
    <w:rsid w:val="00523A8C"/>
    <w:rsid w:val="00524B6D"/>
    <w:rsid w:val="00524ED7"/>
    <w:rsid w:val="005252E5"/>
    <w:rsid w:val="00525B42"/>
    <w:rsid w:val="005303AA"/>
    <w:rsid w:val="00530A51"/>
    <w:rsid w:val="0053248E"/>
    <w:rsid w:val="005329DF"/>
    <w:rsid w:val="0053509F"/>
    <w:rsid w:val="00541524"/>
    <w:rsid w:val="005426BD"/>
    <w:rsid w:val="005443AD"/>
    <w:rsid w:val="005453D3"/>
    <w:rsid w:val="00547170"/>
    <w:rsid w:val="00547345"/>
    <w:rsid w:val="005529E9"/>
    <w:rsid w:val="005551D7"/>
    <w:rsid w:val="00557E9F"/>
    <w:rsid w:val="00561D41"/>
    <w:rsid w:val="005630E0"/>
    <w:rsid w:val="0056569C"/>
    <w:rsid w:val="00566E5D"/>
    <w:rsid w:val="00567756"/>
    <w:rsid w:val="00567BB4"/>
    <w:rsid w:val="00567DAA"/>
    <w:rsid w:val="005705F0"/>
    <w:rsid w:val="00571027"/>
    <w:rsid w:val="005717CB"/>
    <w:rsid w:val="00572919"/>
    <w:rsid w:val="00572CCC"/>
    <w:rsid w:val="00573586"/>
    <w:rsid w:val="00573C0E"/>
    <w:rsid w:val="0057430A"/>
    <w:rsid w:val="00574714"/>
    <w:rsid w:val="0057490E"/>
    <w:rsid w:val="0057657D"/>
    <w:rsid w:val="00576FC7"/>
    <w:rsid w:val="00580755"/>
    <w:rsid w:val="00580BD1"/>
    <w:rsid w:val="005812D7"/>
    <w:rsid w:val="00582145"/>
    <w:rsid w:val="005836AD"/>
    <w:rsid w:val="00584B1B"/>
    <w:rsid w:val="00584D9D"/>
    <w:rsid w:val="005855B0"/>
    <w:rsid w:val="0059211C"/>
    <w:rsid w:val="005921A3"/>
    <w:rsid w:val="005951BA"/>
    <w:rsid w:val="00595B37"/>
    <w:rsid w:val="005A16DD"/>
    <w:rsid w:val="005A266B"/>
    <w:rsid w:val="005A31B0"/>
    <w:rsid w:val="005A390E"/>
    <w:rsid w:val="005A521A"/>
    <w:rsid w:val="005A5FA6"/>
    <w:rsid w:val="005A6D6C"/>
    <w:rsid w:val="005A6FCE"/>
    <w:rsid w:val="005A7356"/>
    <w:rsid w:val="005B17F9"/>
    <w:rsid w:val="005B4B37"/>
    <w:rsid w:val="005B4C5C"/>
    <w:rsid w:val="005B6D5C"/>
    <w:rsid w:val="005C0493"/>
    <w:rsid w:val="005C0EAE"/>
    <w:rsid w:val="005C3C75"/>
    <w:rsid w:val="005C4561"/>
    <w:rsid w:val="005C552C"/>
    <w:rsid w:val="005C6030"/>
    <w:rsid w:val="005D0370"/>
    <w:rsid w:val="005D03E0"/>
    <w:rsid w:val="005D0DFD"/>
    <w:rsid w:val="005D1C25"/>
    <w:rsid w:val="005D4DB4"/>
    <w:rsid w:val="005D5CE0"/>
    <w:rsid w:val="005E5306"/>
    <w:rsid w:val="005F0A34"/>
    <w:rsid w:val="005F1C61"/>
    <w:rsid w:val="005F3889"/>
    <w:rsid w:val="005F659B"/>
    <w:rsid w:val="005F7B65"/>
    <w:rsid w:val="005F7F11"/>
    <w:rsid w:val="006008E6"/>
    <w:rsid w:val="00600A17"/>
    <w:rsid w:val="00602785"/>
    <w:rsid w:val="006027A7"/>
    <w:rsid w:val="00603158"/>
    <w:rsid w:val="0060384A"/>
    <w:rsid w:val="006048E2"/>
    <w:rsid w:val="00605B2F"/>
    <w:rsid w:val="00610062"/>
    <w:rsid w:val="00613CD5"/>
    <w:rsid w:val="0061496D"/>
    <w:rsid w:val="006149C4"/>
    <w:rsid w:val="00614ED7"/>
    <w:rsid w:val="006150B1"/>
    <w:rsid w:val="00621EEE"/>
    <w:rsid w:val="00622AFA"/>
    <w:rsid w:val="00623368"/>
    <w:rsid w:val="0062349D"/>
    <w:rsid w:val="006240B0"/>
    <w:rsid w:val="00626D24"/>
    <w:rsid w:val="0063097F"/>
    <w:rsid w:val="006311E3"/>
    <w:rsid w:val="00631360"/>
    <w:rsid w:val="00631CD3"/>
    <w:rsid w:val="0063313F"/>
    <w:rsid w:val="00633A96"/>
    <w:rsid w:val="00635628"/>
    <w:rsid w:val="00635A4D"/>
    <w:rsid w:val="0063698B"/>
    <w:rsid w:val="006409A2"/>
    <w:rsid w:val="006431B5"/>
    <w:rsid w:val="006448B0"/>
    <w:rsid w:val="00644D9F"/>
    <w:rsid w:val="006524AD"/>
    <w:rsid w:val="006565E1"/>
    <w:rsid w:val="0065793A"/>
    <w:rsid w:val="00657F42"/>
    <w:rsid w:val="00660773"/>
    <w:rsid w:val="006637DE"/>
    <w:rsid w:val="00663A0A"/>
    <w:rsid w:val="00664271"/>
    <w:rsid w:val="006656C5"/>
    <w:rsid w:val="00665ABE"/>
    <w:rsid w:val="00665DFF"/>
    <w:rsid w:val="00666695"/>
    <w:rsid w:val="006723EA"/>
    <w:rsid w:val="00672556"/>
    <w:rsid w:val="00675A7C"/>
    <w:rsid w:val="00676D6C"/>
    <w:rsid w:val="00680A7C"/>
    <w:rsid w:val="00683F12"/>
    <w:rsid w:val="00684099"/>
    <w:rsid w:val="00684EBF"/>
    <w:rsid w:val="0068571C"/>
    <w:rsid w:val="006873B4"/>
    <w:rsid w:val="0068755C"/>
    <w:rsid w:val="006876EE"/>
    <w:rsid w:val="00687E6B"/>
    <w:rsid w:val="006901E2"/>
    <w:rsid w:val="0069020E"/>
    <w:rsid w:val="00690293"/>
    <w:rsid w:val="00690779"/>
    <w:rsid w:val="006936E8"/>
    <w:rsid w:val="0069479A"/>
    <w:rsid w:val="00695B10"/>
    <w:rsid w:val="00696FAF"/>
    <w:rsid w:val="00697266"/>
    <w:rsid w:val="00697E11"/>
    <w:rsid w:val="006A01F9"/>
    <w:rsid w:val="006A0D97"/>
    <w:rsid w:val="006A118E"/>
    <w:rsid w:val="006A17CF"/>
    <w:rsid w:val="006A2241"/>
    <w:rsid w:val="006A40D5"/>
    <w:rsid w:val="006A6919"/>
    <w:rsid w:val="006B1962"/>
    <w:rsid w:val="006B2928"/>
    <w:rsid w:val="006B2984"/>
    <w:rsid w:val="006B36CD"/>
    <w:rsid w:val="006B3C2F"/>
    <w:rsid w:val="006B565A"/>
    <w:rsid w:val="006B7098"/>
    <w:rsid w:val="006B7414"/>
    <w:rsid w:val="006B77BE"/>
    <w:rsid w:val="006C0500"/>
    <w:rsid w:val="006C0E2A"/>
    <w:rsid w:val="006C1E6A"/>
    <w:rsid w:val="006C2E04"/>
    <w:rsid w:val="006C54DD"/>
    <w:rsid w:val="006C5BEC"/>
    <w:rsid w:val="006C6989"/>
    <w:rsid w:val="006D5F72"/>
    <w:rsid w:val="006D6C63"/>
    <w:rsid w:val="006D78C0"/>
    <w:rsid w:val="006E13C1"/>
    <w:rsid w:val="006E2E69"/>
    <w:rsid w:val="006E3D23"/>
    <w:rsid w:val="006E5AFB"/>
    <w:rsid w:val="006E7EAA"/>
    <w:rsid w:val="006E7FF2"/>
    <w:rsid w:val="006F08ED"/>
    <w:rsid w:val="006F16E9"/>
    <w:rsid w:val="006F1D04"/>
    <w:rsid w:val="006F23C4"/>
    <w:rsid w:val="006F25CF"/>
    <w:rsid w:val="006F278C"/>
    <w:rsid w:val="006F567E"/>
    <w:rsid w:val="006F71A5"/>
    <w:rsid w:val="006F7E64"/>
    <w:rsid w:val="00700950"/>
    <w:rsid w:val="00701D7A"/>
    <w:rsid w:val="007034E4"/>
    <w:rsid w:val="00704546"/>
    <w:rsid w:val="00704898"/>
    <w:rsid w:val="00704FB6"/>
    <w:rsid w:val="00710AF6"/>
    <w:rsid w:val="007112B3"/>
    <w:rsid w:val="007115CA"/>
    <w:rsid w:val="00716A88"/>
    <w:rsid w:val="00717BC5"/>
    <w:rsid w:val="0072097D"/>
    <w:rsid w:val="007216FB"/>
    <w:rsid w:val="00721D53"/>
    <w:rsid w:val="00722B9A"/>
    <w:rsid w:val="00723334"/>
    <w:rsid w:val="007238B5"/>
    <w:rsid w:val="00724422"/>
    <w:rsid w:val="007245E6"/>
    <w:rsid w:val="00724ABC"/>
    <w:rsid w:val="00727BF3"/>
    <w:rsid w:val="007308CF"/>
    <w:rsid w:val="007325AE"/>
    <w:rsid w:val="007327BF"/>
    <w:rsid w:val="00732B86"/>
    <w:rsid w:val="007330FC"/>
    <w:rsid w:val="00734381"/>
    <w:rsid w:val="007348D0"/>
    <w:rsid w:val="00736CA8"/>
    <w:rsid w:val="00741161"/>
    <w:rsid w:val="00742D43"/>
    <w:rsid w:val="007436D2"/>
    <w:rsid w:val="0074532D"/>
    <w:rsid w:val="007458CF"/>
    <w:rsid w:val="00745A39"/>
    <w:rsid w:val="00747283"/>
    <w:rsid w:val="007527CA"/>
    <w:rsid w:val="00753BB3"/>
    <w:rsid w:val="00754FE8"/>
    <w:rsid w:val="007559DD"/>
    <w:rsid w:val="007563DC"/>
    <w:rsid w:val="0075781E"/>
    <w:rsid w:val="007579B6"/>
    <w:rsid w:val="00757C92"/>
    <w:rsid w:val="00760230"/>
    <w:rsid w:val="00760FF7"/>
    <w:rsid w:val="007614F5"/>
    <w:rsid w:val="00761502"/>
    <w:rsid w:val="00763295"/>
    <w:rsid w:val="007632B0"/>
    <w:rsid w:val="00764339"/>
    <w:rsid w:val="00765AF1"/>
    <w:rsid w:val="007663B5"/>
    <w:rsid w:val="00766BD8"/>
    <w:rsid w:val="007701CC"/>
    <w:rsid w:val="0077290F"/>
    <w:rsid w:val="0077310A"/>
    <w:rsid w:val="00773BD4"/>
    <w:rsid w:val="00773C72"/>
    <w:rsid w:val="00774407"/>
    <w:rsid w:val="00776F80"/>
    <w:rsid w:val="00777484"/>
    <w:rsid w:val="00777A67"/>
    <w:rsid w:val="00781E8C"/>
    <w:rsid w:val="00782A96"/>
    <w:rsid w:val="0078496F"/>
    <w:rsid w:val="00787BB8"/>
    <w:rsid w:val="0079101B"/>
    <w:rsid w:val="00793B3C"/>
    <w:rsid w:val="00794C64"/>
    <w:rsid w:val="007A1862"/>
    <w:rsid w:val="007A36BF"/>
    <w:rsid w:val="007A42BB"/>
    <w:rsid w:val="007A4E67"/>
    <w:rsid w:val="007A7930"/>
    <w:rsid w:val="007B0EF1"/>
    <w:rsid w:val="007B13C0"/>
    <w:rsid w:val="007B19C4"/>
    <w:rsid w:val="007B21C5"/>
    <w:rsid w:val="007B2569"/>
    <w:rsid w:val="007B282C"/>
    <w:rsid w:val="007B395C"/>
    <w:rsid w:val="007B3E5E"/>
    <w:rsid w:val="007B3ED9"/>
    <w:rsid w:val="007B5C7B"/>
    <w:rsid w:val="007B65EA"/>
    <w:rsid w:val="007B676D"/>
    <w:rsid w:val="007B744C"/>
    <w:rsid w:val="007C02CF"/>
    <w:rsid w:val="007C1D48"/>
    <w:rsid w:val="007C4647"/>
    <w:rsid w:val="007D3648"/>
    <w:rsid w:val="007D368E"/>
    <w:rsid w:val="007D56FA"/>
    <w:rsid w:val="007D669A"/>
    <w:rsid w:val="007D6A5F"/>
    <w:rsid w:val="007E3A01"/>
    <w:rsid w:val="007E465B"/>
    <w:rsid w:val="007E48D6"/>
    <w:rsid w:val="007E5C51"/>
    <w:rsid w:val="007E62E1"/>
    <w:rsid w:val="007E6598"/>
    <w:rsid w:val="007E7995"/>
    <w:rsid w:val="007F0C76"/>
    <w:rsid w:val="007F1419"/>
    <w:rsid w:val="007F1BCE"/>
    <w:rsid w:val="007F20F0"/>
    <w:rsid w:val="007F23C9"/>
    <w:rsid w:val="007F2CF7"/>
    <w:rsid w:val="007F37C1"/>
    <w:rsid w:val="00803ACB"/>
    <w:rsid w:val="0080492E"/>
    <w:rsid w:val="00804BF8"/>
    <w:rsid w:val="00804FBE"/>
    <w:rsid w:val="00806E34"/>
    <w:rsid w:val="00806E35"/>
    <w:rsid w:val="00810980"/>
    <w:rsid w:val="00810D06"/>
    <w:rsid w:val="00810FC4"/>
    <w:rsid w:val="0081271C"/>
    <w:rsid w:val="0081288D"/>
    <w:rsid w:val="00812E4E"/>
    <w:rsid w:val="00814F91"/>
    <w:rsid w:val="00816287"/>
    <w:rsid w:val="0081728B"/>
    <w:rsid w:val="00817704"/>
    <w:rsid w:val="00817DF2"/>
    <w:rsid w:val="00822936"/>
    <w:rsid w:val="00822AD3"/>
    <w:rsid w:val="00822B36"/>
    <w:rsid w:val="0082312A"/>
    <w:rsid w:val="00824475"/>
    <w:rsid w:val="00833039"/>
    <w:rsid w:val="00833DE4"/>
    <w:rsid w:val="00835BE7"/>
    <w:rsid w:val="00836AE6"/>
    <w:rsid w:val="00836F34"/>
    <w:rsid w:val="0083769E"/>
    <w:rsid w:val="00840408"/>
    <w:rsid w:val="00842CB9"/>
    <w:rsid w:val="0084523B"/>
    <w:rsid w:val="00845598"/>
    <w:rsid w:val="008475B9"/>
    <w:rsid w:val="00851EEC"/>
    <w:rsid w:val="0085245B"/>
    <w:rsid w:val="00854801"/>
    <w:rsid w:val="00855008"/>
    <w:rsid w:val="0086266D"/>
    <w:rsid w:val="00865158"/>
    <w:rsid w:val="00865ACC"/>
    <w:rsid w:val="008665A7"/>
    <w:rsid w:val="00866AC8"/>
    <w:rsid w:val="008702F3"/>
    <w:rsid w:val="008704E6"/>
    <w:rsid w:val="008723B8"/>
    <w:rsid w:val="00873709"/>
    <w:rsid w:val="008757A2"/>
    <w:rsid w:val="00875C69"/>
    <w:rsid w:val="00880068"/>
    <w:rsid w:val="008802B6"/>
    <w:rsid w:val="00882DA9"/>
    <w:rsid w:val="008843DE"/>
    <w:rsid w:val="00884487"/>
    <w:rsid w:val="00884517"/>
    <w:rsid w:val="00884D8C"/>
    <w:rsid w:val="008851CA"/>
    <w:rsid w:val="00887304"/>
    <w:rsid w:val="00887670"/>
    <w:rsid w:val="00890E4A"/>
    <w:rsid w:val="00892772"/>
    <w:rsid w:val="00892933"/>
    <w:rsid w:val="00892D65"/>
    <w:rsid w:val="008930D5"/>
    <w:rsid w:val="0089622A"/>
    <w:rsid w:val="008976A4"/>
    <w:rsid w:val="008A080F"/>
    <w:rsid w:val="008A0A9D"/>
    <w:rsid w:val="008A1F01"/>
    <w:rsid w:val="008A1F30"/>
    <w:rsid w:val="008A3245"/>
    <w:rsid w:val="008A39C7"/>
    <w:rsid w:val="008A44D4"/>
    <w:rsid w:val="008A4D4E"/>
    <w:rsid w:val="008A560E"/>
    <w:rsid w:val="008A61BD"/>
    <w:rsid w:val="008A6752"/>
    <w:rsid w:val="008A7793"/>
    <w:rsid w:val="008B2162"/>
    <w:rsid w:val="008B22F4"/>
    <w:rsid w:val="008B5653"/>
    <w:rsid w:val="008B7AF1"/>
    <w:rsid w:val="008C0914"/>
    <w:rsid w:val="008C191E"/>
    <w:rsid w:val="008C24AE"/>
    <w:rsid w:val="008C29BA"/>
    <w:rsid w:val="008C423C"/>
    <w:rsid w:val="008C7224"/>
    <w:rsid w:val="008C7ABF"/>
    <w:rsid w:val="008C7C9F"/>
    <w:rsid w:val="008D132F"/>
    <w:rsid w:val="008D1829"/>
    <w:rsid w:val="008D1895"/>
    <w:rsid w:val="008D2747"/>
    <w:rsid w:val="008D4D81"/>
    <w:rsid w:val="008D7CC8"/>
    <w:rsid w:val="008E187D"/>
    <w:rsid w:val="008E196B"/>
    <w:rsid w:val="008E19D2"/>
    <w:rsid w:val="008E28F6"/>
    <w:rsid w:val="008E2A41"/>
    <w:rsid w:val="008E389F"/>
    <w:rsid w:val="008E54D4"/>
    <w:rsid w:val="008E6853"/>
    <w:rsid w:val="008F067F"/>
    <w:rsid w:val="008F1DB7"/>
    <w:rsid w:val="008F2981"/>
    <w:rsid w:val="008F4F3C"/>
    <w:rsid w:val="008F7104"/>
    <w:rsid w:val="008F7B27"/>
    <w:rsid w:val="008F7FD5"/>
    <w:rsid w:val="00900F07"/>
    <w:rsid w:val="00901D93"/>
    <w:rsid w:val="00901FAE"/>
    <w:rsid w:val="00902A62"/>
    <w:rsid w:val="00903BE2"/>
    <w:rsid w:val="0090541B"/>
    <w:rsid w:val="009114A4"/>
    <w:rsid w:val="00911D6F"/>
    <w:rsid w:val="00912C87"/>
    <w:rsid w:val="009205C7"/>
    <w:rsid w:val="0092068B"/>
    <w:rsid w:val="00920F41"/>
    <w:rsid w:val="0092105E"/>
    <w:rsid w:val="009229E2"/>
    <w:rsid w:val="00922C11"/>
    <w:rsid w:val="00922E25"/>
    <w:rsid w:val="00923CFA"/>
    <w:rsid w:val="009248F5"/>
    <w:rsid w:val="00924C14"/>
    <w:rsid w:val="00924FB9"/>
    <w:rsid w:val="009260B5"/>
    <w:rsid w:val="00926133"/>
    <w:rsid w:val="009262F5"/>
    <w:rsid w:val="00926452"/>
    <w:rsid w:val="00927823"/>
    <w:rsid w:val="009308F9"/>
    <w:rsid w:val="00932DFD"/>
    <w:rsid w:val="009338BF"/>
    <w:rsid w:val="00933C7E"/>
    <w:rsid w:val="009345BB"/>
    <w:rsid w:val="00935642"/>
    <w:rsid w:val="00935E5E"/>
    <w:rsid w:val="00936ED8"/>
    <w:rsid w:val="00937CC7"/>
    <w:rsid w:val="00941451"/>
    <w:rsid w:val="00941A65"/>
    <w:rsid w:val="0094233C"/>
    <w:rsid w:val="00944748"/>
    <w:rsid w:val="009455CA"/>
    <w:rsid w:val="00946BDF"/>
    <w:rsid w:val="00947DB5"/>
    <w:rsid w:val="00950A2D"/>
    <w:rsid w:val="00950C07"/>
    <w:rsid w:val="009510C0"/>
    <w:rsid w:val="009516A3"/>
    <w:rsid w:val="00951C33"/>
    <w:rsid w:val="00952BCF"/>
    <w:rsid w:val="009534F4"/>
    <w:rsid w:val="00955D69"/>
    <w:rsid w:val="00956958"/>
    <w:rsid w:val="00960538"/>
    <w:rsid w:val="009617FE"/>
    <w:rsid w:val="009622EE"/>
    <w:rsid w:val="00963C30"/>
    <w:rsid w:val="0096430B"/>
    <w:rsid w:val="00964E17"/>
    <w:rsid w:val="0096502D"/>
    <w:rsid w:val="00965099"/>
    <w:rsid w:val="009705A2"/>
    <w:rsid w:val="00972D4C"/>
    <w:rsid w:val="00972D62"/>
    <w:rsid w:val="0097334F"/>
    <w:rsid w:val="00974879"/>
    <w:rsid w:val="009752C7"/>
    <w:rsid w:val="009774E8"/>
    <w:rsid w:val="00981EE0"/>
    <w:rsid w:val="009820D3"/>
    <w:rsid w:val="00982173"/>
    <w:rsid w:val="00982BD4"/>
    <w:rsid w:val="00983A71"/>
    <w:rsid w:val="00985472"/>
    <w:rsid w:val="0098566A"/>
    <w:rsid w:val="00987293"/>
    <w:rsid w:val="0098789B"/>
    <w:rsid w:val="00987CCE"/>
    <w:rsid w:val="00987D18"/>
    <w:rsid w:val="0099100E"/>
    <w:rsid w:val="00991CDD"/>
    <w:rsid w:val="00993635"/>
    <w:rsid w:val="00994598"/>
    <w:rsid w:val="00994B28"/>
    <w:rsid w:val="00995FFD"/>
    <w:rsid w:val="0099633B"/>
    <w:rsid w:val="009A0CC0"/>
    <w:rsid w:val="009A2831"/>
    <w:rsid w:val="009A30A4"/>
    <w:rsid w:val="009A32D4"/>
    <w:rsid w:val="009A67BD"/>
    <w:rsid w:val="009A6839"/>
    <w:rsid w:val="009A75DA"/>
    <w:rsid w:val="009A7B01"/>
    <w:rsid w:val="009A7D38"/>
    <w:rsid w:val="009B1705"/>
    <w:rsid w:val="009B17B8"/>
    <w:rsid w:val="009B1998"/>
    <w:rsid w:val="009B5845"/>
    <w:rsid w:val="009C08BB"/>
    <w:rsid w:val="009C1AC8"/>
    <w:rsid w:val="009C325A"/>
    <w:rsid w:val="009C35F8"/>
    <w:rsid w:val="009C5642"/>
    <w:rsid w:val="009C6991"/>
    <w:rsid w:val="009C7084"/>
    <w:rsid w:val="009D3507"/>
    <w:rsid w:val="009D4CC6"/>
    <w:rsid w:val="009D4CED"/>
    <w:rsid w:val="009D4E09"/>
    <w:rsid w:val="009D5658"/>
    <w:rsid w:val="009D5C65"/>
    <w:rsid w:val="009D5F04"/>
    <w:rsid w:val="009D6517"/>
    <w:rsid w:val="009E0B53"/>
    <w:rsid w:val="009E0FE3"/>
    <w:rsid w:val="009E149A"/>
    <w:rsid w:val="009E1AE0"/>
    <w:rsid w:val="009E6D0F"/>
    <w:rsid w:val="009F0C15"/>
    <w:rsid w:val="009F10EE"/>
    <w:rsid w:val="009F241C"/>
    <w:rsid w:val="009F388D"/>
    <w:rsid w:val="009F45CA"/>
    <w:rsid w:val="009F4E33"/>
    <w:rsid w:val="009F4F61"/>
    <w:rsid w:val="009F5AFB"/>
    <w:rsid w:val="00A01292"/>
    <w:rsid w:val="00A017BD"/>
    <w:rsid w:val="00A01EE1"/>
    <w:rsid w:val="00A01FA4"/>
    <w:rsid w:val="00A045FD"/>
    <w:rsid w:val="00A04776"/>
    <w:rsid w:val="00A047BB"/>
    <w:rsid w:val="00A04D04"/>
    <w:rsid w:val="00A04DFA"/>
    <w:rsid w:val="00A067FC"/>
    <w:rsid w:val="00A06B76"/>
    <w:rsid w:val="00A11618"/>
    <w:rsid w:val="00A11AEA"/>
    <w:rsid w:val="00A134AE"/>
    <w:rsid w:val="00A13804"/>
    <w:rsid w:val="00A146E7"/>
    <w:rsid w:val="00A14747"/>
    <w:rsid w:val="00A152EF"/>
    <w:rsid w:val="00A1570C"/>
    <w:rsid w:val="00A17273"/>
    <w:rsid w:val="00A20BE8"/>
    <w:rsid w:val="00A22A54"/>
    <w:rsid w:val="00A230DB"/>
    <w:rsid w:val="00A24D9F"/>
    <w:rsid w:val="00A25A44"/>
    <w:rsid w:val="00A25A83"/>
    <w:rsid w:val="00A307B0"/>
    <w:rsid w:val="00A307E8"/>
    <w:rsid w:val="00A338FD"/>
    <w:rsid w:val="00A33B2B"/>
    <w:rsid w:val="00A35037"/>
    <w:rsid w:val="00A36E1A"/>
    <w:rsid w:val="00A375BE"/>
    <w:rsid w:val="00A411D7"/>
    <w:rsid w:val="00A436A1"/>
    <w:rsid w:val="00A44D47"/>
    <w:rsid w:val="00A44F16"/>
    <w:rsid w:val="00A45BB5"/>
    <w:rsid w:val="00A4738A"/>
    <w:rsid w:val="00A508B3"/>
    <w:rsid w:val="00A54763"/>
    <w:rsid w:val="00A5536B"/>
    <w:rsid w:val="00A573F9"/>
    <w:rsid w:val="00A5763E"/>
    <w:rsid w:val="00A60873"/>
    <w:rsid w:val="00A630F4"/>
    <w:rsid w:val="00A66FD1"/>
    <w:rsid w:val="00A70BC0"/>
    <w:rsid w:val="00A71B86"/>
    <w:rsid w:val="00A71BDC"/>
    <w:rsid w:val="00A72C10"/>
    <w:rsid w:val="00A72DA3"/>
    <w:rsid w:val="00A73AB3"/>
    <w:rsid w:val="00A77790"/>
    <w:rsid w:val="00A801E2"/>
    <w:rsid w:val="00A80CEC"/>
    <w:rsid w:val="00A82B74"/>
    <w:rsid w:val="00A82FC9"/>
    <w:rsid w:val="00A83043"/>
    <w:rsid w:val="00A83C62"/>
    <w:rsid w:val="00A84C03"/>
    <w:rsid w:val="00A8596F"/>
    <w:rsid w:val="00A86ABA"/>
    <w:rsid w:val="00A86BBE"/>
    <w:rsid w:val="00A86D18"/>
    <w:rsid w:val="00A9040A"/>
    <w:rsid w:val="00A90D73"/>
    <w:rsid w:val="00A920ED"/>
    <w:rsid w:val="00A95444"/>
    <w:rsid w:val="00A97C3E"/>
    <w:rsid w:val="00AA292E"/>
    <w:rsid w:val="00AA4BCD"/>
    <w:rsid w:val="00AA50AB"/>
    <w:rsid w:val="00AA633F"/>
    <w:rsid w:val="00AA6B94"/>
    <w:rsid w:val="00AA72AF"/>
    <w:rsid w:val="00AA7F00"/>
    <w:rsid w:val="00AB0162"/>
    <w:rsid w:val="00AB2CF1"/>
    <w:rsid w:val="00AB478A"/>
    <w:rsid w:val="00AB4CBB"/>
    <w:rsid w:val="00AB5BBE"/>
    <w:rsid w:val="00AB5FAB"/>
    <w:rsid w:val="00AB738E"/>
    <w:rsid w:val="00AB74B6"/>
    <w:rsid w:val="00AB7FCA"/>
    <w:rsid w:val="00AC0081"/>
    <w:rsid w:val="00AC00B3"/>
    <w:rsid w:val="00AC0E74"/>
    <w:rsid w:val="00AC10BA"/>
    <w:rsid w:val="00AC1FA9"/>
    <w:rsid w:val="00AC3D32"/>
    <w:rsid w:val="00AD02B8"/>
    <w:rsid w:val="00AD0B0E"/>
    <w:rsid w:val="00AD32D6"/>
    <w:rsid w:val="00AD41A7"/>
    <w:rsid w:val="00AD4E30"/>
    <w:rsid w:val="00AD5782"/>
    <w:rsid w:val="00AD599B"/>
    <w:rsid w:val="00AD5F40"/>
    <w:rsid w:val="00AE077F"/>
    <w:rsid w:val="00AE0C96"/>
    <w:rsid w:val="00AE3E24"/>
    <w:rsid w:val="00AE4D6A"/>
    <w:rsid w:val="00AE69A9"/>
    <w:rsid w:val="00AF07FA"/>
    <w:rsid w:val="00AF372B"/>
    <w:rsid w:val="00AF392A"/>
    <w:rsid w:val="00AF3B0E"/>
    <w:rsid w:val="00AF4F75"/>
    <w:rsid w:val="00AF50D6"/>
    <w:rsid w:val="00AF6E17"/>
    <w:rsid w:val="00B023D8"/>
    <w:rsid w:val="00B04EF8"/>
    <w:rsid w:val="00B071B9"/>
    <w:rsid w:val="00B0769B"/>
    <w:rsid w:val="00B07D26"/>
    <w:rsid w:val="00B07F5E"/>
    <w:rsid w:val="00B10704"/>
    <w:rsid w:val="00B10F16"/>
    <w:rsid w:val="00B11B48"/>
    <w:rsid w:val="00B12B86"/>
    <w:rsid w:val="00B12EB5"/>
    <w:rsid w:val="00B12F47"/>
    <w:rsid w:val="00B13F3F"/>
    <w:rsid w:val="00B13F9F"/>
    <w:rsid w:val="00B14F0A"/>
    <w:rsid w:val="00B2009D"/>
    <w:rsid w:val="00B2205A"/>
    <w:rsid w:val="00B22609"/>
    <w:rsid w:val="00B22612"/>
    <w:rsid w:val="00B22FC4"/>
    <w:rsid w:val="00B2328A"/>
    <w:rsid w:val="00B24609"/>
    <w:rsid w:val="00B25567"/>
    <w:rsid w:val="00B26FAE"/>
    <w:rsid w:val="00B30B05"/>
    <w:rsid w:val="00B3246D"/>
    <w:rsid w:val="00B33F89"/>
    <w:rsid w:val="00B363B0"/>
    <w:rsid w:val="00B36A46"/>
    <w:rsid w:val="00B36F6E"/>
    <w:rsid w:val="00B379FC"/>
    <w:rsid w:val="00B37C21"/>
    <w:rsid w:val="00B40453"/>
    <w:rsid w:val="00B4098A"/>
    <w:rsid w:val="00B45273"/>
    <w:rsid w:val="00B45DD4"/>
    <w:rsid w:val="00B465DB"/>
    <w:rsid w:val="00B50A4F"/>
    <w:rsid w:val="00B50D3B"/>
    <w:rsid w:val="00B517F6"/>
    <w:rsid w:val="00B5383D"/>
    <w:rsid w:val="00B54DEF"/>
    <w:rsid w:val="00B55BD3"/>
    <w:rsid w:val="00B564DC"/>
    <w:rsid w:val="00B56CED"/>
    <w:rsid w:val="00B57A0F"/>
    <w:rsid w:val="00B57B62"/>
    <w:rsid w:val="00B60683"/>
    <w:rsid w:val="00B611F8"/>
    <w:rsid w:val="00B61D06"/>
    <w:rsid w:val="00B7065D"/>
    <w:rsid w:val="00B70F6B"/>
    <w:rsid w:val="00B71120"/>
    <w:rsid w:val="00B71989"/>
    <w:rsid w:val="00B71A48"/>
    <w:rsid w:val="00B71BF2"/>
    <w:rsid w:val="00B725B4"/>
    <w:rsid w:val="00B72F11"/>
    <w:rsid w:val="00B72FB8"/>
    <w:rsid w:val="00B73B75"/>
    <w:rsid w:val="00B74658"/>
    <w:rsid w:val="00B75CD6"/>
    <w:rsid w:val="00B7780A"/>
    <w:rsid w:val="00B81038"/>
    <w:rsid w:val="00B817F3"/>
    <w:rsid w:val="00B85663"/>
    <w:rsid w:val="00B85674"/>
    <w:rsid w:val="00B86B7B"/>
    <w:rsid w:val="00B870DA"/>
    <w:rsid w:val="00B87187"/>
    <w:rsid w:val="00B87A9F"/>
    <w:rsid w:val="00B90B1E"/>
    <w:rsid w:val="00B92341"/>
    <w:rsid w:val="00B9643A"/>
    <w:rsid w:val="00B9662F"/>
    <w:rsid w:val="00B96FEE"/>
    <w:rsid w:val="00BA17A7"/>
    <w:rsid w:val="00BA2264"/>
    <w:rsid w:val="00BA249A"/>
    <w:rsid w:val="00BA5D6C"/>
    <w:rsid w:val="00BB02BC"/>
    <w:rsid w:val="00BB039E"/>
    <w:rsid w:val="00BB24FB"/>
    <w:rsid w:val="00BB2699"/>
    <w:rsid w:val="00BB2BFC"/>
    <w:rsid w:val="00BB5134"/>
    <w:rsid w:val="00BC152B"/>
    <w:rsid w:val="00BC15CE"/>
    <w:rsid w:val="00BC1F3B"/>
    <w:rsid w:val="00BC2BB9"/>
    <w:rsid w:val="00BC3761"/>
    <w:rsid w:val="00BC404D"/>
    <w:rsid w:val="00BC5329"/>
    <w:rsid w:val="00BC596E"/>
    <w:rsid w:val="00BC5AC0"/>
    <w:rsid w:val="00BC72EF"/>
    <w:rsid w:val="00BC7BE0"/>
    <w:rsid w:val="00BD14C2"/>
    <w:rsid w:val="00BD2007"/>
    <w:rsid w:val="00BD2BD6"/>
    <w:rsid w:val="00BD31E0"/>
    <w:rsid w:val="00BD3C50"/>
    <w:rsid w:val="00BD40BA"/>
    <w:rsid w:val="00BD6D24"/>
    <w:rsid w:val="00BD7C30"/>
    <w:rsid w:val="00BE08F2"/>
    <w:rsid w:val="00BE2339"/>
    <w:rsid w:val="00BE2C19"/>
    <w:rsid w:val="00BE2E67"/>
    <w:rsid w:val="00BE499A"/>
    <w:rsid w:val="00BE4B53"/>
    <w:rsid w:val="00BE5642"/>
    <w:rsid w:val="00BE63D7"/>
    <w:rsid w:val="00BE64B3"/>
    <w:rsid w:val="00BE6943"/>
    <w:rsid w:val="00BE72FD"/>
    <w:rsid w:val="00BF0B7E"/>
    <w:rsid w:val="00BF1B8A"/>
    <w:rsid w:val="00BF33AE"/>
    <w:rsid w:val="00BF408F"/>
    <w:rsid w:val="00BF63BE"/>
    <w:rsid w:val="00BF6679"/>
    <w:rsid w:val="00BF6DEB"/>
    <w:rsid w:val="00BF7A28"/>
    <w:rsid w:val="00BF7B60"/>
    <w:rsid w:val="00BF7EA2"/>
    <w:rsid w:val="00C00EBF"/>
    <w:rsid w:val="00C01B5E"/>
    <w:rsid w:val="00C01D96"/>
    <w:rsid w:val="00C03609"/>
    <w:rsid w:val="00C03E28"/>
    <w:rsid w:val="00C0451E"/>
    <w:rsid w:val="00C04B75"/>
    <w:rsid w:val="00C05654"/>
    <w:rsid w:val="00C065CF"/>
    <w:rsid w:val="00C07483"/>
    <w:rsid w:val="00C07781"/>
    <w:rsid w:val="00C107F3"/>
    <w:rsid w:val="00C10AC7"/>
    <w:rsid w:val="00C10F05"/>
    <w:rsid w:val="00C113A0"/>
    <w:rsid w:val="00C14B6E"/>
    <w:rsid w:val="00C20BC7"/>
    <w:rsid w:val="00C22FD8"/>
    <w:rsid w:val="00C25479"/>
    <w:rsid w:val="00C25866"/>
    <w:rsid w:val="00C260FD"/>
    <w:rsid w:val="00C270ED"/>
    <w:rsid w:val="00C33473"/>
    <w:rsid w:val="00C366C7"/>
    <w:rsid w:val="00C37D76"/>
    <w:rsid w:val="00C410FE"/>
    <w:rsid w:val="00C43690"/>
    <w:rsid w:val="00C43FF0"/>
    <w:rsid w:val="00C44DCB"/>
    <w:rsid w:val="00C5148D"/>
    <w:rsid w:val="00C5155F"/>
    <w:rsid w:val="00C5245D"/>
    <w:rsid w:val="00C526F8"/>
    <w:rsid w:val="00C5342D"/>
    <w:rsid w:val="00C5353F"/>
    <w:rsid w:val="00C539CE"/>
    <w:rsid w:val="00C604A3"/>
    <w:rsid w:val="00C617E4"/>
    <w:rsid w:val="00C61FC4"/>
    <w:rsid w:val="00C62652"/>
    <w:rsid w:val="00C63570"/>
    <w:rsid w:val="00C6620D"/>
    <w:rsid w:val="00C6718C"/>
    <w:rsid w:val="00C67456"/>
    <w:rsid w:val="00C708F8"/>
    <w:rsid w:val="00C721AF"/>
    <w:rsid w:val="00C73A74"/>
    <w:rsid w:val="00C74B02"/>
    <w:rsid w:val="00C74F4B"/>
    <w:rsid w:val="00C76971"/>
    <w:rsid w:val="00C827AF"/>
    <w:rsid w:val="00C85484"/>
    <w:rsid w:val="00C872BA"/>
    <w:rsid w:val="00C90526"/>
    <w:rsid w:val="00C93872"/>
    <w:rsid w:val="00C93DFD"/>
    <w:rsid w:val="00C94F7F"/>
    <w:rsid w:val="00C95C17"/>
    <w:rsid w:val="00C95E3F"/>
    <w:rsid w:val="00C96173"/>
    <w:rsid w:val="00C96616"/>
    <w:rsid w:val="00C96AAB"/>
    <w:rsid w:val="00C97049"/>
    <w:rsid w:val="00CA0946"/>
    <w:rsid w:val="00CA34A9"/>
    <w:rsid w:val="00CA4001"/>
    <w:rsid w:val="00CA5126"/>
    <w:rsid w:val="00CA5772"/>
    <w:rsid w:val="00CA7FDA"/>
    <w:rsid w:val="00CB0278"/>
    <w:rsid w:val="00CB196A"/>
    <w:rsid w:val="00CB371B"/>
    <w:rsid w:val="00CB3B06"/>
    <w:rsid w:val="00CB4145"/>
    <w:rsid w:val="00CC0B0A"/>
    <w:rsid w:val="00CC0C47"/>
    <w:rsid w:val="00CC17E6"/>
    <w:rsid w:val="00CC221E"/>
    <w:rsid w:val="00CC22EA"/>
    <w:rsid w:val="00CC454E"/>
    <w:rsid w:val="00CC50FF"/>
    <w:rsid w:val="00CC796B"/>
    <w:rsid w:val="00CD196E"/>
    <w:rsid w:val="00CD2AE8"/>
    <w:rsid w:val="00CD3868"/>
    <w:rsid w:val="00CD414B"/>
    <w:rsid w:val="00CD4CF0"/>
    <w:rsid w:val="00CD4FEC"/>
    <w:rsid w:val="00CD5BEF"/>
    <w:rsid w:val="00CD6C97"/>
    <w:rsid w:val="00CD73E7"/>
    <w:rsid w:val="00CD7842"/>
    <w:rsid w:val="00CD79C6"/>
    <w:rsid w:val="00CE00B9"/>
    <w:rsid w:val="00CE2690"/>
    <w:rsid w:val="00CE3DD6"/>
    <w:rsid w:val="00CE6506"/>
    <w:rsid w:val="00CE65E1"/>
    <w:rsid w:val="00CE74CC"/>
    <w:rsid w:val="00CF0802"/>
    <w:rsid w:val="00CF278F"/>
    <w:rsid w:val="00CF2D35"/>
    <w:rsid w:val="00CF3653"/>
    <w:rsid w:val="00CF5AA6"/>
    <w:rsid w:val="00CF7B5B"/>
    <w:rsid w:val="00CF7B73"/>
    <w:rsid w:val="00D009BD"/>
    <w:rsid w:val="00D029FB"/>
    <w:rsid w:val="00D04BBC"/>
    <w:rsid w:val="00D05928"/>
    <w:rsid w:val="00D06809"/>
    <w:rsid w:val="00D07C6D"/>
    <w:rsid w:val="00D11359"/>
    <w:rsid w:val="00D14322"/>
    <w:rsid w:val="00D14C99"/>
    <w:rsid w:val="00D14F6C"/>
    <w:rsid w:val="00D151DF"/>
    <w:rsid w:val="00D15A9D"/>
    <w:rsid w:val="00D1631B"/>
    <w:rsid w:val="00D1663C"/>
    <w:rsid w:val="00D1798C"/>
    <w:rsid w:val="00D2019A"/>
    <w:rsid w:val="00D226AF"/>
    <w:rsid w:val="00D23CC1"/>
    <w:rsid w:val="00D26685"/>
    <w:rsid w:val="00D2785D"/>
    <w:rsid w:val="00D30471"/>
    <w:rsid w:val="00D306E4"/>
    <w:rsid w:val="00D3080B"/>
    <w:rsid w:val="00D35FD8"/>
    <w:rsid w:val="00D374CC"/>
    <w:rsid w:val="00D4134C"/>
    <w:rsid w:val="00D420A4"/>
    <w:rsid w:val="00D43433"/>
    <w:rsid w:val="00D436A6"/>
    <w:rsid w:val="00D43D14"/>
    <w:rsid w:val="00D43E13"/>
    <w:rsid w:val="00D448C4"/>
    <w:rsid w:val="00D44F6C"/>
    <w:rsid w:val="00D45B97"/>
    <w:rsid w:val="00D45BA0"/>
    <w:rsid w:val="00D46A78"/>
    <w:rsid w:val="00D470C0"/>
    <w:rsid w:val="00D51C01"/>
    <w:rsid w:val="00D52011"/>
    <w:rsid w:val="00D52790"/>
    <w:rsid w:val="00D53CF7"/>
    <w:rsid w:val="00D5578E"/>
    <w:rsid w:val="00D55B2A"/>
    <w:rsid w:val="00D601DF"/>
    <w:rsid w:val="00D61F9F"/>
    <w:rsid w:val="00D6227D"/>
    <w:rsid w:val="00D62516"/>
    <w:rsid w:val="00D64054"/>
    <w:rsid w:val="00D6412C"/>
    <w:rsid w:val="00D70FA5"/>
    <w:rsid w:val="00D73C38"/>
    <w:rsid w:val="00D7432E"/>
    <w:rsid w:val="00D757F2"/>
    <w:rsid w:val="00D773C3"/>
    <w:rsid w:val="00D77A1B"/>
    <w:rsid w:val="00D80286"/>
    <w:rsid w:val="00D8059E"/>
    <w:rsid w:val="00D830CD"/>
    <w:rsid w:val="00D83182"/>
    <w:rsid w:val="00D850D4"/>
    <w:rsid w:val="00D85DB9"/>
    <w:rsid w:val="00D9032C"/>
    <w:rsid w:val="00D90D20"/>
    <w:rsid w:val="00D91B49"/>
    <w:rsid w:val="00D91BC0"/>
    <w:rsid w:val="00D92845"/>
    <w:rsid w:val="00D94EE9"/>
    <w:rsid w:val="00D96CA8"/>
    <w:rsid w:val="00D96F1E"/>
    <w:rsid w:val="00D97761"/>
    <w:rsid w:val="00DA031F"/>
    <w:rsid w:val="00DA196C"/>
    <w:rsid w:val="00DA4F7F"/>
    <w:rsid w:val="00DA565F"/>
    <w:rsid w:val="00DA5C6C"/>
    <w:rsid w:val="00DA688F"/>
    <w:rsid w:val="00DA78E4"/>
    <w:rsid w:val="00DB0F28"/>
    <w:rsid w:val="00DB2446"/>
    <w:rsid w:val="00DB538F"/>
    <w:rsid w:val="00DB574F"/>
    <w:rsid w:val="00DB5AC0"/>
    <w:rsid w:val="00DB623A"/>
    <w:rsid w:val="00DB701C"/>
    <w:rsid w:val="00DC12A6"/>
    <w:rsid w:val="00DC30C9"/>
    <w:rsid w:val="00DC3861"/>
    <w:rsid w:val="00DC3EB1"/>
    <w:rsid w:val="00DC4DBF"/>
    <w:rsid w:val="00DC716A"/>
    <w:rsid w:val="00DC7B5A"/>
    <w:rsid w:val="00DC7F2D"/>
    <w:rsid w:val="00DD1691"/>
    <w:rsid w:val="00DD1834"/>
    <w:rsid w:val="00DD1E2F"/>
    <w:rsid w:val="00DD5D95"/>
    <w:rsid w:val="00DD7631"/>
    <w:rsid w:val="00DD7929"/>
    <w:rsid w:val="00DE0A19"/>
    <w:rsid w:val="00DE0F77"/>
    <w:rsid w:val="00DE152F"/>
    <w:rsid w:val="00DE1705"/>
    <w:rsid w:val="00DE2258"/>
    <w:rsid w:val="00DE351F"/>
    <w:rsid w:val="00DE41F1"/>
    <w:rsid w:val="00DE520F"/>
    <w:rsid w:val="00DE5C2F"/>
    <w:rsid w:val="00DE64E2"/>
    <w:rsid w:val="00DE6BEF"/>
    <w:rsid w:val="00DE6E2C"/>
    <w:rsid w:val="00DF0453"/>
    <w:rsid w:val="00DF0470"/>
    <w:rsid w:val="00DF219C"/>
    <w:rsid w:val="00DF280C"/>
    <w:rsid w:val="00DF286B"/>
    <w:rsid w:val="00DF2AFF"/>
    <w:rsid w:val="00DF2E06"/>
    <w:rsid w:val="00DF2E9F"/>
    <w:rsid w:val="00DF3843"/>
    <w:rsid w:val="00DF62E8"/>
    <w:rsid w:val="00DF6FD7"/>
    <w:rsid w:val="00E0028C"/>
    <w:rsid w:val="00E00C07"/>
    <w:rsid w:val="00E013C1"/>
    <w:rsid w:val="00E01515"/>
    <w:rsid w:val="00E01ACA"/>
    <w:rsid w:val="00E02900"/>
    <w:rsid w:val="00E04BAF"/>
    <w:rsid w:val="00E06B8D"/>
    <w:rsid w:val="00E100E1"/>
    <w:rsid w:val="00E10C72"/>
    <w:rsid w:val="00E11A5F"/>
    <w:rsid w:val="00E13180"/>
    <w:rsid w:val="00E14883"/>
    <w:rsid w:val="00E14C41"/>
    <w:rsid w:val="00E15458"/>
    <w:rsid w:val="00E15934"/>
    <w:rsid w:val="00E15B26"/>
    <w:rsid w:val="00E1789A"/>
    <w:rsid w:val="00E20E18"/>
    <w:rsid w:val="00E21777"/>
    <w:rsid w:val="00E21D4D"/>
    <w:rsid w:val="00E21E80"/>
    <w:rsid w:val="00E23C3B"/>
    <w:rsid w:val="00E26DDE"/>
    <w:rsid w:val="00E276D7"/>
    <w:rsid w:val="00E30B53"/>
    <w:rsid w:val="00E30E04"/>
    <w:rsid w:val="00E311FE"/>
    <w:rsid w:val="00E31AD3"/>
    <w:rsid w:val="00E31BF2"/>
    <w:rsid w:val="00E32806"/>
    <w:rsid w:val="00E32F1E"/>
    <w:rsid w:val="00E35E80"/>
    <w:rsid w:val="00E36544"/>
    <w:rsid w:val="00E37A46"/>
    <w:rsid w:val="00E40D8B"/>
    <w:rsid w:val="00E441B6"/>
    <w:rsid w:val="00E441EC"/>
    <w:rsid w:val="00E44350"/>
    <w:rsid w:val="00E45952"/>
    <w:rsid w:val="00E45A7C"/>
    <w:rsid w:val="00E462E9"/>
    <w:rsid w:val="00E47B6C"/>
    <w:rsid w:val="00E47FCF"/>
    <w:rsid w:val="00E51670"/>
    <w:rsid w:val="00E52E18"/>
    <w:rsid w:val="00E546B5"/>
    <w:rsid w:val="00E57B23"/>
    <w:rsid w:val="00E61D97"/>
    <w:rsid w:val="00E62476"/>
    <w:rsid w:val="00E630D1"/>
    <w:rsid w:val="00E64A60"/>
    <w:rsid w:val="00E653B7"/>
    <w:rsid w:val="00E72219"/>
    <w:rsid w:val="00E72324"/>
    <w:rsid w:val="00E7465D"/>
    <w:rsid w:val="00E75368"/>
    <w:rsid w:val="00E7552B"/>
    <w:rsid w:val="00E75885"/>
    <w:rsid w:val="00E75D49"/>
    <w:rsid w:val="00E76659"/>
    <w:rsid w:val="00E8397A"/>
    <w:rsid w:val="00E84069"/>
    <w:rsid w:val="00E86F9F"/>
    <w:rsid w:val="00E90CE0"/>
    <w:rsid w:val="00E93756"/>
    <w:rsid w:val="00E9625D"/>
    <w:rsid w:val="00E96680"/>
    <w:rsid w:val="00E97C77"/>
    <w:rsid w:val="00EA16B7"/>
    <w:rsid w:val="00EA2183"/>
    <w:rsid w:val="00EA3AA2"/>
    <w:rsid w:val="00EA3DE2"/>
    <w:rsid w:val="00EA40AC"/>
    <w:rsid w:val="00EA4B51"/>
    <w:rsid w:val="00EA5865"/>
    <w:rsid w:val="00EA5B39"/>
    <w:rsid w:val="00EA78E6"/>
    <w:rsid w:val="00EA7A30"/>
    <w:rsid w:val="00EB3458"/>
    <w:rsid w:val="00EB3459"/>
    <w:rsid w:val="00EB4F39"/>
    <w:rsid w:val="00EB5A1C"/>
    <w:rsid w:val="00EB68F5"/>
    <w:rsid w:val="00EC04BF"/>
    <w:rsid w:val="00EC0C09"/>
    <w:rsid w:val="00EC221D"/>
    <w:rsid w:val="00EC2459"/>
    <w:rsid w:val="00EC6C5D"/>
    <w:rsid w:val="00EC7973"/>
    <w:rsid w:val="00ED01DD"/>
    <w:rsid w:val="00ED0866"/>
    <w:rsid w:val="00ED1381"/>
    <w:rsid w:val="00ED2055"/>
    <w:rsid w:val="00ED2363"/>
    <w:rsid w:val="00ED30DB"/>
    <w:rsid w:val="00ED32D7"/>
    <w:rsid w:val="00ED3410"/>
    <w:rsid w:val="00ED3ACE"/>
    <w:rsid w:val="00ED4FC6"/>
    <w:rsid w:val="00ED55E8"/>
    <w:rsid w:val="00ED63DD"/>
    <w:rsid w:val="00ED7DE0"/>
    <w:rsid w:val="00EE0126"/>
    <w:rsid w:val="00EE144E"/>
    <w:rsid w:val="00EE2F35"/>
    <w:rsid w:val="00EE40D7"/>
    <w:rsid w:val="00EE4716"/>
    <w:rsid w:val="00EE480F"/>
    <w:rsid w:val="00EE5FE0"/>
    <w:rsid w:val="00EE68FA"/>
    <w:rsid w:val="00EE6AD2"/>
    <w:rsid w:val="00EE6DDD"/>
    <w:rsid w:val="00EE786C"/>
    <w:rsid w:val="00EF0A7B"/>
    <w:rsid w:val="00EF11CB"/>
    <w:rsid w:val="00EF1A23"/>
    <w:rsid w:val="00EF2405"/>
    <w:rsid w:val="00EF29FA"/>
    <w:rsid w:val="00EF3294"/>
    <w:rsid w:val="00EF530C"/>
    <w:rsid w:val="00EF7277"/>
    <w:rsid w:val="00EF7E08"/>
    <w:rsid w:val="00F01F97"/>
    <w:rsid w:val="00F0279D"/>
    <w:rsid w:val="00F0302C"/>
    <w:rsid w:val="00F03BE4"/>
    <w:rsid w:val="00F04AC2"/>
    <w:rsid w:val="00F04BE7"/>
    <w:rsid w:val="00F05E0C"/>
    <w:rsid w:val="00F10030"/>
    <w:rsid w:val="00F10E29"/>
    <w:rsid w:val="00F1113F"/>
    <w:rsid w:val="00F11EDA"/>
    <w:rsid w:val="00F15A31"/>
    <w:rsid w:val="00F20E4B"/>
    <w:rsid w:val="00F233DC"/>
    <w:rsid w:val="00F23B36"/>
    <w:rsid w:val="00F25BE6"/>
    <w:rsid w:val="00F25E17"/>
    <w:rsid w:val="00F2603E"/>
    <w:rsid w:val="00F262B7"/>
    <w:rsid w:val="00F27679"/>
    <w:rsid w:val="00F30875"/>
    <w:rsid w:val="00F3276B"/>
    <w:rsid w:val="00F32992"/>
    <w:rsid w:val="00F335C5"/>
    <w:rsid w:val="00F33F40"/>
    <w:rsid w:val="00F350DB"/>
    <w:rsid w:val="00F3552C"/>
    <w:rsid w:val="00F3553E"/>
    <w:rsid w:val="00F35C8B"/>
    <w:rsid w:val="00F35E9A"/>
    <w:rsid w:val="00F36C35"/>
    <w:rsid w:val="00F37090"/>
    <w:rsid w:val="00F407BA"/>
    <w:rsid w:val="00F40E23"/>
    <w:rsid w:val="00F417F4"/>
    <w:rsid w:val="00F4359F"/>
    <w:rsid w:val="00F4390E"/>
    <w:rsid w:val="00F446A7"/>
    <w:rsid w:val="00F477FC"/>
    <w:rsid w:val="00F5096D"/>
    <w:rsid w:val="00F50A49"/>
    <w:rsid w:val="00F50B76"/>
    <w:rsid w:val="00F54982"/>
    <w:rsid w:val="00F5499D"/>
    <w:rsid w:val="00F54D8E"/>
    <w:rsid w:val="00F555E0"/>
    <w:rsid w:val="00F55770"/>
    <w:rsid w:val="00F55B91"/>
    <w:rsid w:val="00F6280E"/>
    <w:rsid w:val="00F62F87"/>
    <w:rsid w:val="00F649E4"/>
    <w:rsid w:val="00F666F4"/>
    <w:rsid w:val="00F700D5"/>
    <w:rsid w:val="00F7132C"/>
    <w:rsid w:val="00F713B7"/>
    <w:rsid w:val="00F72991"/>
    <w:rsid w:val="00F72E46"/>
    <w:rsid w:val="00F73112"/>
    <w:rsid w:val="00F74C2A"/>
    <w:rsid w:val="00F74E2F"/>
    <w:rsid w:val="00F75D9D"/>
    <w:rsid w:val="00F77132"/>
    <w:rsid w:val="00F77CEE"/>
    <w:rsid w:val="00F77DA1"/>
    <w:rsid w:val="00F80429"/>
    <w:rsid w:val="00F81004"/>
    <w:rsid w:val="00F814D4"/>
    <w:rsid w:val="00F82FA9"/>
    <w:rsid w:val="00F846E3"/>
    <w:rsid w:val="00F85330"/>
    <w:rsid w:val="00F86913"/>
    <w:rsid w:val="00F90B4C"/>
    <w:rsid w:val="00F90E4F"/>
    <w:rsid w:val="00F90EF1"/>
    <w:rsid w:val="00F92560"/>
    <w:rsid w:val="00F92618"/>
    <w:rsid w:val="00F926EB"/>
    <w:rsid w:val="00F96312"/>
    <w:rsid w:val="00F972FB"/>
    <w:rsid w:val="00FA1E0B"/>
    <w:rsid w:val="00FA29A2"/>
    <w:rsid w:val="00FA40BB"/>
    <w:rsid w:val="00FA550F"/>
    <w:rsid w:val="00FA586B"/>
    <w:rsid w:val="00FA58E0"/>
    <w:rsid w:val="00FA58EC"/>
    <w:rsid w:val="00FA6647"/>
    <w:rsid w:val="00FB1CAA"/>
    <w:rsid w:val="00FB2414"/>
    <w:rsid w:val="00FB2760"/>
    <w:rsid w:val="00FB2854"/>
    <w:rsid w:val="00FB2D77"/>
    <w:rsid w:val="00FB4180"/>
    <w:rsid w:val="00FB5523"/>
    <w:rsid w:val="00FB60F7"/>
    <w:rsid w:val="00FC10A8"/>
    <w:rsid w:val="00FC18C7"/>
    <w:rsid w:val="00FC3464"/>
    <w:rsid w:val="00FC4B0F"/>
    <w:rsid w:val="00FC6073"/>
    <w:rsid w:val="00FD0141"/>
    <w:rsid w:val="00FD5942"/>
    <w:rsid w:val="00FD6465"/>
    <w:rsid w:val="00FD688C"/>
    <w:rsid w:val="00FE06D8"/>
    <w:rsid w:val="00FE0DE8"/>
    <w:rsid w:val="00FE1805"/>
    <w:rsid w:val="00FE19FB"/>
    <w:rsid w:val="00FE6F40"/>
    <w:rsid w:val="00FF0C46"/>
    <w:rsid w:val="00FF1444"/>
    <w:rsid w:val="00FF6CCD"/>
    <w:rsid w:val="00FF6D35"/>
    <w:rsid w:val="00FF762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BDD04"/>
  <w15:docId w15:val="{5F2C30FA-FEA9-4C56-903D-29A7138C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sid w:val="009248F5"/>
    <w:rPr>
      <w:sz w:val="20"/>
    </w:rPr>
  </w:style>
  <w:style w:type="character" w:styleId="FootnoteReference">
    <w:name w:val="footnote reference"/>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documentbody5">
    <w:name w:val="documentbody5"/>
    <w:rsid w:val="00FC6073"/>
    <w:rPr>
      <w:rFonts w:ascii="Verdana" w:hAnsi="Verdana" w:hint="default"/>
      <w:sz w:val="19"/>
      <w:szCs w:val="19"/>
    </w:rPr>
  </w:style>
  <w:style w:type="paragraph" w:styleId="ListParagraph">
    <w:name w:val="List Paragraph"/>
    <w:basedOn w:val="Normal"/>
    <w:uiPriority w:val="34"/>
    <w:qFormat/>
    <w:rsid w:val="00F972FB"/>
    <w:pPr>
      <w:overflowPunct/>
      <w:autoSpaceDE/>
      <w:autoSpaceDN/>
      <w:adjustRightInd/>
      <w:ind w:left="720"/>
      <w:textAlignment w:val="auto"/>
    </w:pPr>
    <w:rPr>
      <w:rFonts w:ascii="Courier New" w:hAnsi="Courier New"/>
    </w:rPr>
  </w:style>
  <w:style w:type="character" w:styleId="CommentReference">
    <w:name w:val="annotation reference"/>
    <w:rsid w:val="001708C8"/>
    <w:rPr>
      <w:sz w:val="16"/>
      <w:szCs w:val="16"/>
    </w:rPr>
  </w:style>
  <w:style w:type="paragraph" w:styleId="CommentText">
    <w:name w:val="annotation text"/>
    <w:basedOn w:val="Normal"/>
    <w:link w:val="CommentTextChar"/>
    <w:rsid w:val="001708C8"/>
    <w:rPr>
      <w:sz w:val="20"/>
    </w:rPr>
  </w:style>
  <w:style w:type="character" w:customStyle="1" w:styleId="CommentTextChar">
    <w:name w:val="Comment Text Char"/>
    <w:basedOn w:val="DefaultParagraphFont"/>
    <w:link w:val="CommentText"/>
    <w:rsid w:val="001708C8"/>
  </w:style>
  <w:style w:type="paragraph" w:styleId="CommentSubject">
    <w:name w:val="annotation subject"/>
    <w:basedOn w:val="CommentText"/>
    <w:next w:val="CommentText"/>
    <w:link w:val="CommentSubjectChar"/>
    <w:rsid w:val="001708C8"/>
    <w:rPr>
      <w:b/>
      <w:bCs/>
    </w:rPr>
  </w:style>
  <w:style w:type="character" w:customStyle="1" w:styleId="CommentSubjectChar">
    <w:name w:val="Comment Subject Char"/>
    <w:link w:val="CommentSubject"/>
    <w:rsid w:val="001708C8"/>
    <w:rPr>
      <w:b/>
      <w:bCs/>
    </w:rPr>
  </w:style>
  <w:style w:type="paragraph" w:styleId="Revision">
    <w:name w:val="Revision"/>
    <w:hidden/>
    <w:uiPriority w:val="99"/>
    <w:semiHidden/>
    <w:rsid w:val="00E04BAF"/>
    <w:rPr>
      <w:sz w:val="24"/>
    </w:rPr>
  </w:style>
  <w:style w:type="character" w:customStyle="1" w:styleId="FootnoteTextChar">
    <w:name w:val="Footnote Text Char"/>
    <w:basedOn w:val="DefaultParagraphFont"/>
    <w:link w:val="FootnoteText"/>
    <w:uiPriority w:val="99"/>
    <w:rsid w:val="005A266B"/>
  </w:style>
  <w:style w:type="character" w:customStyle="1" w:styleId="FooterChar">
    <w:name w:val="Footer Char"/>
    <w:basedOn w:val="DefaultParagraphFont"/>
    <w:link w:val="Footer"/>
    <w:uiPriority w:val="99"/>
    <w:rsid w:val="002B51BB"/>
    <w:rPr>
      <w:sz w:val="24"/>
    </w:rPr>
  </w:style>
  <w:style w:type="character" w:styleId="PlaceholderText">
    <w:name w:val="Placeholder Text"/>
    <w:basedOn w:val="DefaultParagraphFont"/>
    <w:uiPriority w:val="99"/>
    <w:semiHidden/>
    <w:rsid w:val="004D4704"/>
    <w:rPr>
      <w:color w:val="808080"/>
    </w:rPr>
  </w:style>
  <w:style w:type="character" w:styleId="Hyperlink">
    <w:name w:val="Hyperlink"/>
    <w:basedOn w:val="DefaultParagraphFont"/>
    <w:uiPriority w:val="99"/>
    <w:rsid w:val="004D4704"/>
    <w:rPr>
      <w:color w:val="0000FF" w:themeColor="hyperlink"/>
      <w:u w:val="single"/>
    </w:rPr>
  </w:style>
  <w:style w:type="paragraph" w:styleId="NormalWeb">
    <w:name w:val="Normal (Web)"/>
    <w:basedOn w:val="Normal"/>
    <w:uiPriority w:val="99"/>
    <w:unhideWhenUsed/>
    <w:rsid w:val="008C7224"/>
    <w:pPr>
      <w:overflowPunct/>
      <w:autoSpaceDE/>
      <w:autoSpaceDN/>
      <w:adjustRightInd/>
      <w:spacing w:before="100" w:beforeAutospacing="1" w:after="100" w:afterAutospacing="1"/>
      <w:textAlignment w:val="auto"/>
    </w:pPr>
    <w:rPr>
      <w:szCs w:val="24"/>
    </w:rPr>
  </w:style>
  <w:style w:type="character" w:styleId="FollowedHyperlink">
    <w:name w:val="FollowedHyperlink"/>
    <w:basedOn w:val="DefaultParagraphFont"/>
    <w:semiHidden/>
    <w:unhideWhenUsed/>
    <w:rsid w:val="0010119B"/>
    <w:rPr>
      <w:color w:val="800080" w:themeColor="followedHyperlink"/>
      <w:u w:val="single"/>
    </w:rPr>
  </w:style>
  <w:style w:type="paragraph" w:styleId="EndnoteText">
    <w:name w:val="endnote text"/>
    <w:basedOn w:val="Normal"/>
    <w:link w:val="EndnoteTextChar"/>
    <w:semiHidden/>
    <w:unhideWhenUsed/>
    <w:rsid w:val="00C107F3"/>
    <w:rPr>
      <w:sz w:val="20"/>
    </w:rPr>
  </w:style>
  <w:style w:type="character" w:customStyle="1" w:styleId="EndnoteTextChar">
    <w:name w:val="Endnote Text Char"/>
    <w:basedOn w:val="DefaultParagraphFont"/>
    <w:link w:val="EndnoteText"/>
    <w:semiHidden/>
    <w:rsid w:val="00C107F3"/>
  </w:style>
  <w:style w:type="character" w:styleId="EndnoteReference">
    <w:name w:val="endnote reference"/>
    <w:basedOn w:val="DefaultParagraphFont"/>
    <w:semiHidden/>
    <w:unhideWhenUsed/>
    <w:rsid w:val="00C107F3"/>
    <w:rPr>
      <w:vertAlign w:val="superscript"/>
    </w:rPr>
  </w:style>
  <w:style w:type="paragraph" w:styleId="BlockText">
    <w:name w:val="Block Text"/>
    <w:basedOn w:val="Normal"/>
    <w:rsid w:val="004B10FF"/>
    <w:pPr>
      <w:tabs>
        <w:tab w:val="left" w:pos="0"/>
      </w:tabs>
      <w:suppressAutoHyphens/>
      <w:overflowPunct/>
      <w:autoSpaceDE/>
      <w:autoSpaceDN/>
      <w:adjustRightInd/>
      <w:ind w:left="720" w:right="1440" w:hanging="720"/>
      <w:jc w:val="both"/>
      <w:textAlignment w:val="auto"/>
    </w:pPr>
    <w:rPr>
      <w:color w:val="0000FF"/>
      <w:spacing w:val="-3"/>
      <w:kern w:val="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912088759">
      <w:bodyDiv w:val="1"/>
      <w:marLeft w:val="0"/>
      <w:marRight w:val="0"/>
      <w:marTop w:val="0"/>
      <w:marBottom w:val="0"/>
      <w:divBdr>
        <w:top w:val="none" w:sz="0" w:space="0" w:color="auto"/>
        <w:left w:val="none" w:sz="0" w:space="0" w:color="auto"/>
        <w:bottom w:val="none" w:sz="0" w:space="0" w:color="auto"/>
        <w:right w:val="none" w:sz="0" w:space="0" w:color="auto"/>
      </w:divBdr>
      <w:divsChild>
        <w:div w:id="2038196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86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BC0CD-DBFA-4001-934A-6FAB068A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5006</Words>
  <Characters>28536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Wagner, Nathan R</cp:lastModifiedBy>
  <cp:revision>10</cp:revision>
  <cp:lastPrinted>2018-08-14T17:14:00Z</cp:lastPrinted>
  <dcterms:created xsi:type="dcterms:W3CDTF">2018-08-14T14:29:00Z</dcterms:created>
  <dcterms:modified xsi:type="dcterms:W3CDTF">2018-09-20T12:51:00Z</dcterms:modified>
</cp:coreProperties>
</file>