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Pr="00BC2FA7" w:rsidRDefault="00D60188" w:rsidP="00D60188">
      <w:pPr>
        <w:jc w:val="center"/>
        <w:rPr>
          <w:b/>
          <w:sz w:val="24"/>
          <w:szCs w:val="24"/>
        </w:rPr>
      </w:pPr>
    </w:p>
    <w:p w:rsidR="007721A0" w:rsidRPr="006D5924" w:rsidRDefault="0015504A" w:rsidP="00D60188">
      <w:pPr>
        <w:rPr>
          <w:sz w:val="24"/>
          <w:szCs w:val="24"/>
        </w:rPr>
      </w:pPr>
      <w:r>
        <w:rPr>
          <w:sz w:val="24"/>
          <w:szCs w:val="24"/>
        </w:rPr>
        <w:t>William Mosser</w:t>
      </w:r>
      <w:r w:rsidR="006D5924">
        <w:rPr>
          <w:sz w:val="24"/>
          <w:szCs w:val="24"/>
        </w:rPr>
        <w:tab/>
      </w:r>
      <w:r w:rsidR="00EE1B7C">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15504A">
        <w:rPr>
          <w:sz w:val="24"/>
          <w:szCs w:val="24"/>
        </w:rPr>
        <w:t>C</w:t>
      </w:r>
      <w:r w:rsidR="00EE1B7C">
        <w:rPr>
          <w:sz w:val="24"/>
          <w:szCs w:val="24"/>
        </w:rPr>
        <w:t>-2018-300</w:t>
      </w:r>
      <w:r w:rsidR="0015504A">
        <w:rPr>
          <w:sz w:val="24"/>
          <w:szCs w:val="24"/>
        </w:rPr>
        <w:t>4569</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6D5924">
        <w:rPr>
          <w:sz w:val="24"/>
          <w:szCs w:val="24"/>
        </w:rPr>
        <w:tab/>
      </w:r>
      <w:r w:rsidR="00BC2FA7">
        <w:rPr>
          <w:sz w:val="24"/>
          <w:szCs w:val="24"/>
        </w:rPr>
        <w:tab/>
      </w:r>
      <w:r w:rsidR="006D5924">
        <w:rPr>
          <w:sz w:val="24"/>
          <w:szCs w:val="24"/>
        </w:rPr>
        <w:t>:</w:t>
      </w:r>
    </w:p>
    <w:p w:rsidR="00D60188" w:rsidRDefault="00A5320E" w:rsidP="00D60188">
      <w:pPr>
        <w:rPr>
          <w:sz w:val="24"/>
          <w:szCs w:val="24"/>
        </w:rPr>
      </w:pPr>
      <w:r>
        <w:rPr>
          <w:sz w:val="24"/>
          <w:szCs w:val="24"/>
        </w:rPr>
        <w:t>PPL Electric Utilities Corporation</w:t>
      </w:r>
      <w:r w:rsidR="0088098E">
        <w:rPr>
          <w:sz w:val="24"/>
          <w:szCs w:val="24"/>
        </w:rPr>
        <w:tab/>
      </w:r>
      <w:r w:rsidR="0088098E">
        <w:rPr>
          <w:sz w:val="24"/>
          <w:szCs w:val="24"/>
        </w:rPr>
        <w:tab/>
      </w:r>
      <w:r w:rsidR="00D60188">
        <w:rPr>
          <w:sz w:val="24"/>
          <w:szCs w:val="24"/>
        </w:rPr>
        <w:tab/>
        <w:t>:</w:t>
      </w:r>
    </w:p>
    <w:p w:rsidR="00E7368A" w:rsidRDefault="00E7368A" w:rsidP="00D60188">
      <w:pPr>
        <w:rPr>
          <w:sz w:val="24"/>
          <w:szCs w:val="24"/>
        </w:rPr>
      </w:pPr>
    </w:p>
    <w:p w:rsidR="0088098E" w:rsidRDefault="0088098E" w:rsidP="00D60188">
      <w:pPr>
        <w:rPr>
          <w:sz w:val="24"/>
          <w:szCs w:val="24"/>
        </w:rPr>
      </w:pPr>
    </w:p>
    <w:p w:rsidR="00BC2FA7" w:rsidRDefault="00BC2FA7" w:rsidP="00D60188">
      <w:pPr>
        <w:rPr>
          <w:sz w:val="24"/>
          <w:szCs w:val="24"/>
        </w:rPr>
      </w:pPr>
    </w:p>
    <w:p w:rsidR="00D60188" w:rsidRPr="00F83DCF" w:rsidRDefault="00D60188" w:rsidP="00E7368A">
      <w:pPr>
        <w:jc w:val="center"/>
        <w:rPr>
          <w:b/>
          <w:sz w:val="24"/>
          <w:szCs w:val="24"/>
          <w:u w:val="single"/>
        </w:rPr>
      </w:pPr>
      <w:r w:rsidRPr="00F83DCF">
        <w:rPr>
          <w:b/>
          <w:sz w:val="24"/>
          <w:szCs w:val="24"/>
          <w:u w:val="single"/>
        </w:rPr>
        <w:t>PREHEARING ORDER</w:t>
      </w:r>
    </w:p>
    <w:p w:rsidR="00D60188" w:rsidRPr="00BC2FA7" w:rsidRDefault="00D60188" w:rsidP="00D60188">
      <w:pPr>
        <w:jc w:val="center"/>
        <w:rPr>
          <w:sz w:val="24"/>
          <w:szCs w:val="24"/>
        </w:rP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15504A">
        <w:rPr>
          <w:b/>
          <w:sz w:val="24"/>
          <w:szCs w:val="24"/>
        </w:rPr>
        <w:t xml:space="preserve">Thursday, </w:t>
      </w:r>
      <w:r w:rsidR="00A5320E">
        <w:rPr>
          <w:b/>
          <w:sz w:val="24"/>
          <w:szCs w:val="24"/>
        </w:rPr>
        <w:t xml:space="preserve">November </w:t>
      </w:r>
      <w:r w:rsidR="0015504A">
        <w:rPr>
          <w:b/>
          <w:sz w:val="24"/>
          <w:szCs w:val="24"/>
        </w:rPr>
        <w:t>8</w:t>
      </w:r>
      <w:r w:rsidR="00A5320E">
        <w:rPr>
          <w:b/>
          <w:sz w:val="24"/>
          <w:szCs w:val="24"/>
        </w:rPr>
        <w:t xml:space="preserve">, </w:t>
      </w:r>
      <w:r w:rsidR="00803015">
        <w:rPr>
          <w:b/>
          <w:sz w:val="24"/>
          <w:szCs w:val="24"/>
        </w:rPr>
        <w:t xml:space="preserve">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BC2FA7" w:rsidRPr="00BF61B7" w:rsidRDefault="00BC2FA7"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A5320E">
        <w:rPr>
          <w:sz w:val="24"/>
          <w:szCs w:val="24"/>
          <w:u w:val="single"/>
        </w:rPr>
        <w:t>October 22, 2018</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BC2FA7" w:rsidRDefault="008E49EA" w:rsidP="002671EC">
      <w:pPr>
        <w:spacing w:line="360" w:lineRule="auto"/>
        <w:rPr>
          <w:sz w:val="24"/>
          <w:szCs w:val="24"/>
        </w:rPr>
        <w:sectPr w:rsidR="00BC2FA7"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BC2FA7">
        <w:rPr>
          <w:sz w:val="24"/>
          <w:szCs w:val="24"/>
        </w:rPr>
        <w:t xml:space="preserve">  </w:t>
      </w:r>
    </w:p>
    <w:p w:rsidR="00BC2FA7" w:rsidRPr="00DD1B8E" w:rsidRDefault="00BC2FA7" w:rsidP="00BC2FA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b/>
          <w:sz w:val="24"/>
          <w:u w:val="single"/>
        </w:rPr>
        <w:t>C-2018-3004569 - WILLIAM MOSSER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DD1B8E">
        <w:rPr>
          <w:rFonts w:ascii="Microsoft Sans Serif" w:eastAsia="Microsoft Sans Serif" w:hAnsi="Microsoft Sans Serif" w:cs="Microsoft Sans Serif"/>
          <w:caps/>
          <w:sz w:val="24"/>
        </w:rPr>
        <w:t>WILLIAM MOSSER</w:t>
      </w:r>
      <w:r w:rsidRPr="00DD1B8E">
        <w:rPr>
          <w:rFonts w:ascii="Microsoft Sans Serif" w:eastAsia="Microsoft Sans Serif" w:hAnsi="Microsoft Sans Serif" w:cs="Microsoft Sans Serif"/>
          <w:caps/>
          <w:sz w:val="24"/>
        </w:rPr>
        <w:cr/>
        <w:t>3 TALL TIMBERS LOT 91</w:t>
      </w:r>
      <w:r w:rsidRPr="00DD1B8E">
        <w:rPr>
          <w:rFonts w:ascii="Microsoft Sans Serif" w:eastAsia="Microsoft Sans Serif" w:hAnsi="Microsoft Sans Serif" w:cs="Microsoft Sans Serif"/>
          <w:caps/>
          <w:sz w:val="24"/>
        </w:rPr>
        <w:cr/>
        <w:t>PO BOX 25 White Pine Loop</w:t>
      </w:r>
    </w:p>
    <w:p w:rsidR="00BC2FA7" w:rsidRPr="00DD1B8E" w:rsidRDefault="00BC2FA7" w:rsidP="00BC2FA7">
      <w:pPr>
        <w:rPr>
          <w:rFonts w:ascii="Microsoft Sans Serif" w:eastAsia="Microsoft Sans Serif" w:hAnsi="Microsoft Sans Serif" w:cs="Microsoft Sans Serif"/>
          <w:caps/>
          <w:sz w:val="24"/>
        </w:rPr>
      </w:pPr>
      <w:r w:rsidRPr="00DD1B8E">
        <w:rPr>
          <w:rFonts w:ascii="Microsoft Sans Serif" w:eastAsia="Microsoft Sans Serif" w:hAnsi="Microsoft Sans Serif" w:cs="Microsoft Sans Serif"/>
          <w:caps/>
          <w:sz w:val="24"/>
        </w:rPr>
        <w:t>FACTORYVILLE PA  18419</w:t>
      </w:r>
      <w:r w:rsidRPr="00DD1B8E">
        <w:rPr>
          <w:rFonts w:ascii="Microsoft Sans Serif" w:eastAsia="Microsoft Sans Serif" w:hAnsi="Microsoft Sans Serif" w:cs="Microsoft Sans Serif"/>
          <w:caps/>
          <w:sz w:val="24"/>
        </w:rPr>
        <w:cr/>
      </w:r>
      <w:r w:rsidRPr="00DD1B8E">
        <w:rPr>
          <w:rFonts w:ascii="Microsoft Sans Serif" w:eastAsia="Microsoft Sans Serif" w:hAnsi="Microsoft Sans Serif" w:cs="Microsoft Sans Serif"/>
          <w:b/>
          <w:caps/>
          <w:sz w:val="24"/>
        </w:rPr>
        <w:t>570.903.8886</w:t>
      </w:r>
      <w:r w:rsidRPr="00DD1B8E">
        <w:rPr>
          <w:rFonts w:ascii="Microsoft Sans Serif" w:eastAsia="Microsoft Sans Serif" w:hAnsi="Microsoft Sans Serif" w:cs="Microsoft Sans Serif"/>
          <w:caps/>
          <w:sz w:val="24"/>
        </w:rPr>
        <w:cr/>
      </w:r>
      <w:r w:rsidRPr="00DD1B8E">
        <w:rPr>
          <w:rFonts w:ascii="Microsoft Sans Serif" w:eastAsia="Microsoft Sans Serif" w:hAnsi="Microsoft Sans Serif" w:cs="Microsoft Sans Serif"/>
          <w:b/>
          <w:i/>
          <w:caps/>
          <w:sz w:val="24"/>
          <w:u w:val="single"/>
        </w:rPr>
        <w:t>ACCEPTS E-SERVICE</w:t>
      </w:r>
    </w:p>
    <w:p w:rsidR="00BC2FA7" w:rsidRPr="00DD1B8E" w:rsidRDefault="00BC2FA7" w:rsidP="00BC2FA7">
      <w:pPr>
        <w:rPr>
          <w:caps/>
        </w:rPr>
      </w:pPr>
      <w:r w:rsidRPr="00DD1B8E">
        <w:rPr>
          <w:rFonts w:ascii="Microsoft Sans Serif" w:eastAsia="Microsoft Sans Serif" w:hAnsi="Microsoft Sans Serif" w:cs="Microsoft Sans Serif"/>
          <w:caps/>
          <w:sz w:val="24"/>
        </w:rPr>
        <w:cr/>
        <w:t>GRAIG M SCHULTZ ESQUIRE</w:t>
      </w:r>
      <w:r w:rsidRPr="00DD1B8E">
        <w:rPr>
          <w:rFonts w:ascii="Microsoft Sans Serif" w:eastAsia="Microsoft Sans Serif" w:hAnsi="Microsoft Sans Serif" w:cs="Microsoft Sans Serif"/>
          <w:caps/>
          <w:sz w:val="24"/>
        </w:rPr>
        <w:cr/>
        <w:t>GROSS MCGINLEY LLP</w:t>
      </w:r>
      <w:r w:rsidRPr="00DD1B8E">
        <w:rPr>
          <w:rFonts w:ascii="Microsoft Sans Serif" w:eastAsia="Microsoft Sans Serif" w:hAnsi="Microsoft Sans Serif" w:cs="Microsoft Sans Serif"/>
          <w:caps/>
          <w:sz w:val="24"/>
        </w:rPr>
        <w:cr/>
        <w:t>33 SOUTH SEVENTH STREET</w:t>
      </w:r>
      <w:r w:rsidRPr="00DD1B8E">
        <w:rPr>
          <w:rFonts w:ascii="Microsoft Sans Serif" w:eastAsia="Microsoft Sans Serif" w:hAnsi="Microsoft Sans Serif" w:cs="Microsoft Sans Serif"/>
          <w:caps/>
          <w:sz w:val="24"/>
        </w:rPr>
        <w:cr/>
        <w:t>P O BOX 4060</w:t>
      </w:r>
      <w:r w:rsidRPr="00DD1B8E">
        <w:rPr>
          <w:rFonts w:ascii="Microsoft Sans Serif" w:eastAsia="Microsoft Sans Serif" w:hAnsi="Microsoft Sans Serif" w:cs="Microsoft Sans Serif"/>
          <w:caps/>
          <w:sz w:val="24"/>
        </w:rPr>
        <w:cr/>
        <w:t>ALLENTOWN PA  18105-4060</w:t>
      </w:r>
      <w:r w:rsidRPr="00DD1B8E">
        <w:rPr>
          <w:rFonts w:ascii="Microsoft Sans Serif" w:eastAsia="Microsoft Sans Serif" w:hAnsi="Microsoft Sans Serif" w:cs="Microsoft Sans Serif"/>
          <w:caps/>
          <w:sz w:val="24"/>
        </w:rPr>
        <w:cr/>
      </w:r>
      <w:r w:rsidRPr="00DD1B8E">
        <w:rPr>
          <w:rFonts w:ascii="Microsoft Sans Serif" w:eastAsia="Microsoft Sans Serif" w:hAnsi="Microsoft Sans Serif" w:cs="Microsoft Sans Serif"/>
          <w:b/>
          <w:caps/>
          <w:sz w:val="24"/>
        </w:rPr>
        <w:t>610.820.5450</w:t>
      </w:r>
      <w:r w:rsidRPr="00DD1B8E">
        <w:rPr>
          <w:rFonts w:ascii="Microsoft Sans Serif" w:eastAsia="Microsoft Sans Serif" w:hAnsi="Microsoft Sans Serif" w:cs="Microsoft Sans Serif"/>
          <w:b/>
          <w:caps/>
          <w:sz w:val="24"/>
        </w:rPr>
        <w:cr/>
      </w:r>
      <w:r w:rsidRPr="00DD1B8E">
        <w:rPr>
          <w:rFonts w:ascii="Microsoft Sans Serif" w:eastAsia="Microsoft Sans Serif" w:hAnsi="Microsoft Sans Serif" w:cs="Microsoft Sans Serif"/>
          <w:b/>
          <w:i/>
          <w:caps/>
          <w:sz w:val="24"/>
          <w:u w:val="single"/>
        </w:rPr>
        <w:t>ACCEPTS E-SERVICE</w:t>
      </w:r>
    </w:p>
    <w:p w:rsidR="00BC2FA7" w:rsidRDefault="00BC2FA7" w:rsidP="00BC2FA7"/>
    <w:p w:rsidR="00C04960" w:rsidRDefault="00C04960" w:rsidP="00BC2FA7">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F3A" w:rsidRDefault="00671F3A" w:rsidP="00AD704E">
      <w:r>
        <w:separator/>
      </w:r>
    </w:p>
  </w:endnote>
  <w:endnote w:type="continuationSeparator" w:id="0">
    <w:p w:rsidR="00671F3A" w:rsidRDefault="00671F3A"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A7" w:rsidRDefault="00BC2F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F3A" w:rsidRDefault="00671F3A" w:rsidP="00AD704E">
      <w:r>
        <w:separator/>
      </w:r>
    </w:p>
  </w:footnote>
  <w:footnote w:type="continuationSeparator" w:id="0">
    <w:p w:rsidR="00671F3A" w:rsidRDefault="00671F3A"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1F3A"/>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BE1"/>
    <w:rsid w:val="00BC055E"/>
    <w:rsid w:val="00BC2FA7"/>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1437"/>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C2E15FD"/>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77C5B3-7B6E-4B1C-BE3C-46FC2727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2018-10-22T19:17:00Z</dcterms:created>
  <dcterms:modified xsi:type="dcterms:W3CDTF">2018-10-22T19:17:00Z</dcterms:modified>
</cp:coreProperties>
</file>