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77777777" w:rsidR="00577603" w:rsidRPr="00A1530D" w:rsidRDefault="00577603" w:rsidP="00577603">
      <w:pPr>
        <w:jc w:val="center"/>
        <w:rPr>
          <w:rFonts w:ascii="Times New Roman" w:hAnsi="Times New Roman"/>
          <w:sz w:val="24"/>
          <w:szCs w:val="24"/>
        </w:rPr>
      </w:pPr>
    </w:p>
    <w:p w14:paraId="173E0AB4" w14:textId="52358102"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2363AC">
        <w:rPr>
          <w:rFonts w:ascii="Times New Roman" w:hAnsi="Times New Roman"/>
          <w:sz w:val="24"/>
          <w:szCs w:val="24"/>
        </w:rPr>
        <w:t xml:space="preserve">October </w:t>
      </w:r>
      <w:r w:rsidR="002C0722">
        <w:rPr>
          <w:rFonts w:ascii="Times New Roman" w:hAnsi="Times New Roman"/>
          <w:sz w:val="24"/>
          <w:szCs w:val="24"/>
        </w:rPr>
        <w:t>25</w:t>
      </w:r>
      <w:r w:rsidR="00701D3A">
        <w:rPr>
          <w:rFonts w:ascii="Times New Roman" w:hAnsi="Times New Roman"/>
          <w:sz w:val="24"/>
          <w:szCs w:val="24"/>
        </w:rPr>
        <w:t>, 2018</w:t>
      </w:r>
    </w:p>
    <w:p w14:paraId="422D474C" w14:textId="77777777" w:rsidR="00CF786A" w:rsidRPr="00A1530D" w:rsidRDefault="00CF786A"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228B9175" w14:textId="77777777" w:rsidR="000A63CB" w:rsidRPr="00A1530D" w:rsidRDefault="00577603" w:rsidP="000A63CB">
      <w:pPr>
        <w:rPr>
          <w:rFonts w:ascii="Times New Roman" w:eastAsia="Times New Roman" w:hAnsi="Times New Roman"/>
          <w:bCs/>
          <w:sz w:val="24"/>
          <w:szCs w:val="24"/>
        </w:rPr>
      </w:pPr>
      <w:r w:rsidRPr="00A1530D">
        <w:rPr>
          <w:rFonts w:ascii="Times New Roman" w:hAnsi="Times New Roman"/>
          <w:sz w:val="24"/>
          <w:szCs w:val="24"/>
        </w:rPr>
        <w:tab/>
      </w:r>
      <w:r w:rsidR="000A63CB" w:rsidRPr="00A1530D">
        <w:rPr>
          <w:rFonts w:ascii="Times New Roman" w:eastAsia="Times New Roman" w:hAnsi="Times New Roman"/>
          <w:bCs/>
          <w:sz w:val="24"/>
          <w:szCs w:val="24"/>
        </w:rPr>
        <w:t>Gladys M. Brown, Chairman</w:t>
      </w:r>
    </w:p>
    <w:p w14:paraId="5F580BAB"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Andrew G. Place, Vice Chairman</w:t>
      </w:r>
    </w:p>
    <w:p w14:paraId="4FC49AFA"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r>
      <w:r w:rsidR="000944C1" w:rsidRPr="00A1530D">
        <w:rPr>
          <w:rFonts w:ascii="Times New Roman" w:eastAsia="Times New Roman" w:hAnsi="Times New Roman"/>
          <w:bCs/>
          <w:sz w:val="24"/>
          <w:szCs w:val="24"/>
        </w:rPr>
        <w:t>Norman J. Kennard</w:t>
      </w:r>
    </w:p>
    <w:p w14:paraId="447A4C53"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David W. Sweet</w:t>
      </w:r>
    </w:p>
    <w:p w14:paraId="22CEEE63" w14:textId="77777777" w:rsidR="000944C1" w:rsidRPr="00A1530D" w:rsidRDefault="000944C1" w:rsidP="000944C1">
      <w:pPr>
        <w:ind w:firstLine="720"/>
        <w:rPr>
          <w:rFonts w:ascii="Times New Roman" w:eastAsia="Times New Roman" w:hAnsi="Times New Roman"/>
          <w:bCs/>
          <w:sz w:val="24"/>
          <w:szCs w:val="24"/>
        </w:rPr>
      </w:pPr>
      <w:r w:rsidRPr="00A1530D">
        <w:rPr>
          <w:rFonts w:ascii="Times New Roman" w:eastAsia="Times New Roman" w:hAnsi="Times New Roman"/>
          <w:bCs/>
          <w:sz w:val="24"/>
          <w:szCs w:val="24"/>
        </w:rPr>
        <w:t>John F. Coleman, Jr.</w:t>
      </w:r>
    </w:p>
    <w:p w14:paraId="779C0475" w14:textId="77777777" w:rsidR="00693D35" w:rsidRPr="00A1530D" w:rsidRDefault="00693D35" w:rsidP="000A63CB">
      <w:pPr>
        <w:rPr>
          <w:rFonts w:ascii="Times New Roman" w:eastAsia="Times New Roman" w:hAnsi="Times New Roman"/>
          <w:bCs/>
          <w:sz w:val="24"/>
          <w:szCs w:val="24"/>
        </w:rPr>
      </w:pPr>
    </w:p>
    <w:p w14:paraId="65818AE6" w14:textId="77777777" w:rsidR="006418EF" w:rsidRDefault="006418EF" w:rsidP="000A63CB">
      <w:pPr>
        <w:rPr>
          <w:rFonts w:ascii="Times New Roman" w:eastAsia="Times New Roman" w:hAnsi="Times New Roman"/>
          <w:bCs/>
          <w:sz w:val="24"/>
          <w:szCs w:val="24"/>
        </w:rPr>
      </w:pPr>
    </w:p>
    <w:p w14:paraId="230B3BC2" w14:textId="77777777" w:rsidR="0077716A" w:rsidRPr="0077716A" w:rsidRDefault="0077716A" w:rsidP="0077716A">
      <w:pPr>
        <w:tabs>
          <w:tab w:val="left" w:pos="5040"/>
        </w:tabs>
        <w:ind w:left="24" w:right="3593" w:hanging="10"/>
        <w:rPr>
          <w:rFonts w:ascii="Times New Roman" w:eastAsiaTheme="minorEastAsia" w:hAnsi="Times New Roman"/>
          <w:color w:val="000000"/>
          <w:sz w:val="24"/>
        </w:rPr>
      </w:pPr>
      <w:bookmarkStart w:id="0" w:name="_Hlk526508930"/>
      <w:r w:rsidRPr="0077716A">
        <w:rPr>
          <w:rFonts w:ascii="Times New Roman" w:eastAsiaTheme="minorEastAsia" w:hAnsi="Times New Roman"/>
          <w:color w:val="000000"/>
          <w:sz w:val="24"/>
        </w:rPr>
        <w:t xml:space="preserve">In re: Application and related filings of </w:t>
      </w:r>
      <w:bookmarkStart w:id="1" w:name="_Hlk526508957"/>
      <w:bookmarkEnd w:id="0"/>
      <w:r w:rsidRPr="0077716A">
        <w:rPr>
          <w:rFonts w:ascii="Times New Roman" w:eastAsiaTheme="minorEastAsia" w:hAnsi="Times New Roman"/>
          <w:color w:val="000000"/>
          <w:sz w:val="24"/>
        </w:rPr>
        <w:tab/>
        <w:t>:</w:t>
      </w:r>
    </w:p>
    <w:p w14:paraId="01003974" w14:textId="77777777" w:rsidR="0077716A" w:rsidRPr="0077716A" w:rsidRDefault="0077716A" w:rsidP="0077716A">
      <w:pPr>
        <w:tabs>
          <w:tab w:val="left" w:pos="5040"/>
          <w:tab w:val="left" w:pos="6480"/>
        </w:tabs>
        <w:autoSpaceDE w:val="0"/>
        <w:autoSpaceDN w:val="0"/>
        <w:adjustRightInd w:val="0"/>
        <w:rPr>
          <w:rFonts w:ascii="Times New Roman" w:eastAsiaTheme="minorEastAsia" w:hAnsi="Times New Roman"/>
          <w:sz w:val="24"/>
          <w:szCs w:val="24"/>
        </w:rPr>
      </w:pPr>
      <w:r w:rsidRPr="0077716A">
        <w:rPr>
          <w:rFonts w:ascii="Times New Roman" w:eastAsiaTheme="minorEastAsia" w:hAnsi="Times New Roman"/>
          <w:sz w:val="24"/>
          <w:szCs w:val="24"/>
        </w:rPr>
        <w:t>Pennsylvania-American</w:t>
      </w:r>
      <w:bookmarkEnd w:id="1"/>
      <w:r w:rsidRPr="0077716A">
        <w:rPr>
          <w:rFonts w:ascii="Times New Roman" w:eastAsiaTheme="minorEastAsia" w:hAnsi="Times New Roman"/>
          <w:sz w:val="24"/>
          <w:szCs w:val="24"/>
        </w:rPr>
        <w:t xml:space="preserve"> Water Company </w:t>
      </w:r>
      <w:r w:rsidRPr="0077716A">
        <w:rPr>
          <w:rFonts w:ascii="Times New Roman" w:eastAsiaTheme="minorEastAsia" w:hAnsi="Times New Roman"/>
          <w:sz w:val="24"/>
          <w:szCs w:val="24"/>
        </w:rPr>
        <w:tab/>
        <w:t>:</w:t>
      </w:r>
    </w:p>
    <w:p w14:paraId="00A8BE8F" w14:textId="77777777" w:rsidR="0077716A" w:rsidRPr="0077716A" w:rsidRDefault="0077716A" w:rsidP="0077716A">
      <w:pPr>
        <w:tabs>
          <w:tab w:val="left" w:pos="5040"/>
          <w:tab w:val="left" w:pos="6480"/>
        </w:tabs>
        <w:autoSpaceDE w:val="0"/>
        <w:autoSpaceDN w:val="0"/>
        <w:adjustRightInd w:val="0"/>
        <w:rPr>
          <w:rFonts w:ascii="Times New Roman" w:eastAsiaTheme="minorEastAsia" w:hAnsi="Times New Roman"/>
          <w:sz w:val="24"/>
          <w:szCs w:val="24"/>
        </w:rPr>
      </w:pPr>
      <w:r w:rsidRPr="0077716A">
        <w:rPr>
          <w:rFonts w:ascii="Times New Roman" w:eastAsiaTheme="minorEastAsia" w:hAnsi="Times New Roman"/>
          <w:sz w:val="24"/>
          <w:szCs w:val="24"/>
        </w:rPr>
        <w:t>under Sections 507, 1102(a), and 1329 of the</w:t>
      </w:r>
      <w:r w:rsidRPr="0077716A">
        <w:rPr>
          <w:rFonts w:ascii="Times New Roman" w:eastAsiaTheme="minorEastAsia" w:hAnsi="Times New Roman"/>
          <w:sz w:val="24"/>
          <w:szCs w:val="24"/>
        </w:rPr>
        <w:tab/>
        <w:t>:</w:t>
      </w:r>
    </w:p>
    <w:p w14:paraId="64A315E4" w14:textId="77777777" w:rsidR="0077716A" w:rsidRPr="0077716A" w:rsidRDefault="0077716A" w:rsidP="0077716A">
      <w:pPr>
        <w:tabs>
          <w:tab w:val="left" w:pos="5040"/>
          <w:tab w:val="left" w:pos="6480"/>
        </w:tabs>
        <w:autoSpaceDE w:val="0"/>
        <w:autoSpaceDN w:val="0"/>
        <w:adjustRightInd w:val="0"/>
        <w:rPr>
          <w:rFonts w:ascii="Times New Roman" w:eastAsiaTheme="minorEastAsia" w:hAnsi="Times New Roman"/>
          <w:sz w:val="24"/>
          <w:szCs w:val="24"/>
        </w:rPr>
      </w:pPr>
      <w:r w:rsidRPr="0077716A">
        <w:rPr>
          <w:rFonts w:ascii="Times New Roman" w:eastAsiaTheme="minorEastAsia" w:hAnsi="Times New Roman"/>
          <w:sz w:val="24"/>
          <w:szCs w:val="24"/>
        </w:rPr>
        <w:t xml:space="preserve">Pennsylvania Public Utility </w:t>
      </w:r>
      <w:r w:rsidRPr="0077716A">
        <w:rPr>
          <w:rFonts w:ascii="Times New Roman" w:eastAsiaTheme="minorEastAsia" w:hAnsi="Times New Roman"/>
          <w:sz w:val="24"/>
          <w:szCs w:val="24"/>
        </w:rPr>
        <w:tab/>
        <w:t>:</w:t>
      </w:r>
    </w:p>
    <w:p w14:paraId="5F8BBC08" w14:textId="77777777" w:rsidR="0077716A" w:rsidRPr="0077716A" w:rsidRDefault="0077716A" w:rsidP="0077716A">
      <w:pPr>
        <w:tabs>
          <w:tab w:val="left" w:pos="5040"/>
          <w:tab w:val="left" w:pos="6480"/>
        </w:tabs>
        <w:autoSpaceDE w:val="0"/>
        <w:autoSpaceDN w:val="0"/>
        <w:adjustRightInd w:val="0"/>
        <w:rPr>
          <w:rFonts w:ascii="Times New Roman" w:eastAsiaTheme="minorEastAsia" w:hAnsi="Times New Roman"/>
          <w:sz w:val="24"/>
          <w:szCs w:val="24"/>
        </w:rPr>
      </w:pPr>
      <w:r w:rsidRPr="0077716A">
        <w:rPr>
          <w:rFonts w:ascii="Times New Roman" w:eastAsiaTheme="minorEastAsia" w:hAnsi="Times New Roman"/>
          <w:sz w:val="24"/>
          <w:szCs w:val="24"/>
        </w:rPr>
        <w:t xml:space="preserve">Code, 66 Pa.C.S. §§ 507, l 102(a), 1329, </w:t>
      </w:r>
      <w:r w:rsidRPr="0077716A">
        <w:rPr>
          <w:rFonts w:ascii="Times New Roman" w:eastAsiaTheme="minorEastAsia" w:hAnsi="Times New Roman"/>
          <w:sz w:val="24"/>
          <w:szCs w:val="24"/>
        </w:rPr>
        <w:tab/>
        <w:t>:</w:t>
      </w:r>
    </w:p>
    <w:p w14:paraId="0EB9553A" w14:textId="47D3A323" w:rsidR="0077716A" w:rsidRPr="0077716A" w:rsidRDefault="0077716A" w:rsidP="0077716A">
      <w:pPr>
        <w:tabs>
          <w:tab w:val="left" w:pos="5040"/>
          <w:tab w:val="left" w:pos="6480"/>
        </w:tabs>
        <w:ind w:left="24" w:right="900" w:hanging="10"/>
        <w:rPr>
          <w:rFonts w:ascii="Times New Roman" w:eastAsiaTheme="minorEastAsia" w:hAnsi="Times New Roman"/>
          <w:color w:val="000000"/>
          <w:sz w:val="24"/>
        </w:rPr>
      </w:pPr>
      <w:r w:rsidRPr="0077716A">
        <w:rPr>
          <w:rFonts w:ascii="Times New Roman" w:eastAsiaTheme="minorEastAsia" w:hAnsi="Times New Roman"/>
          <w:color w:val="000000"/>
          <w:sz w:val="24"/>
        </w:rPr>
        <w:t>for approval of its acquisition</w:t>
      </w:r>
      <w:r w:rsidR="008E2995">
        <w:rPr>
          <w:rFonts w:ascii="Times New Roman" w:eastAsiaTheme="minorEastAsia" w:hAnsi="Times New Roman"/>
          <w:color w:val="000000"/>
          <w:sz w:val="24"/>
        </w:rPr>
        <w:t xml:space="preserve"> of </w:t>
      </w:r>
      <w:r w:rsidRPr="0077716A">
        <w:rPr>
          <w:rFonts w:ascii="Times New Roman" w:eastAsiaTheme="minorEastAsia" w:hAnsi="Times New Roman"/>
          <w:color w:val="000000"/>
          <w:sz w:val="24"/>
        </w:rPr>
        <w:tab/>
        <w:t>:</w:t>
      </w:r>
      <w:r w:rsidRPr="0077716A">
        <w:rPr>
          <w:rFonts w:ascii="Times New Roman" w:eastAsiaTheme="minorEastAsia" w:hAnsi="Times New Roman"/>
          <w:color w:val="000000"/>
          <w:sz w:val="24"/>
        </w:rPr>
        <w:tab/>
        <w:t>A-2018-3002437</w:t>
      </w:r>
    </w:p>
    <w:p w14:paraId="77074F22" w14:textId="2200BF11" w:rsidR="0077716A" w:rsidRPr="0077716A" w:rsidRDefault="0077716A" w:rsidP="0077716A">
      <w:pPr>
        <w:autoSpaceDE w:val="0"/>
        <w:autoSpaceDN w:val="0"/>
        <w:adjustRightInd w:val="0"/>
        <w:rPr>
          <w:rFonts w:ascii="Times New Roman" w:eastAsiaTheme="minorEastAsia" w:hAnsi="Times New Roman"/>
          <w:sz w:val="24"/>
          <w:szCs w:val="24"/>
        </w:rPr>
      </w:pPr>
      <w:r w:rsidRPr="0077716A">
        <w:rPr>
          <w:rFonts w:ascii="Times New Roman" w:eastAsiaTheme="minorEastAsia" w:hAnsi="Times New Roman"/>
          <w:sz w:val="24"/>
          <w:szCs w:val="24"/>
        </w:rPr>
        <w:t>wastewater system assets of</w:t>
      </w:r>
      <w:r w:rsidR="00FC5BB2">
        <w:rPr>
          <w:rFonts w:ascii="Times New Roman" w:eastAsiaTheme="minorEastAsia" w:hAnsi="Times New Roman"/>
          <w:sz w:val="24"/>
          <w:szCs w:val="24"/>
        </w:rPr>
        <w:t xml:space="preserve"> Sadsbury Township,</w:t>
      </w:r>
      <w:r w:rsidRPr="0077716A">
        <w:rPr>
          <w:rFonts w:ascii="Times New Roman" w:eastAsiaTheme="minorEastAsia" w:hAnsi="Times New Roman"/>
          <w:sz w:val="24"/>
          <w:szCs w:val="24"/>
        </w:rPr>
        <w:tab/>
        <w:t>:</w:t>
      </w:r>
    </w:p>
    <w:p w14:paraId="6B8B75F3" w14:textId="013A8896" w:rsidR="0077716A" w:rsidRPr="0077716A" w:rsidRDefault="0077716A" w:rsidP="0077716A">
      <w:pPr>
        <w:autoSpaceDE w:val="0"/>
        <w:autoSpaceDN w:val="0"/>
        <w:adjustRightInd w:val="0"/>
        <w:rPr>
          <w:rFonts w:ascii="Times New Roman" w:eastAsiaTheme="minorEastAsia" w:hAnsi="Times New Roman"/>
          <w:sz w:val="24"/>
          <w:szCs w:val="24"/>
        </w:rPr>
      </w:pPr>
      <w:r w:rsidRPr="0077716A">
        <w:rPr>
          <w:rFonts w:ascii="Times New Roman" w:eastAsiaTheme="minorEastAsia" w:hAnsi="Times New Roman"/>
          <w:sz w:val="24"/>
          <w:szCs w:val="24"/>
        </w:rPr>
        <w:t xml:space="preserve">related wastewater service rights, </w:t>
      </w:r>
      <w:r w:rsidR="00FC5BB2">
        <w:rPr>
          <w:rFonts w:ascii="Times New Roman" w:eastAsiaTheme="minorEastAsia" w:hAnsi="Times New Roman"/>
          <w:sz w:val="24"/>
          <w:szCs w:val="24"/>
        </w:rPr>
        <w:t xml:space="preserve">fair market </w:t>
      </w:r>
      <w:r w:rsidRPr="0077716A">
        <w:rPr>
          <w:rFonts w:ascii="Times New Roman" w:eastAsiaTheme="minorEastAsia" w:hAnsi="Times New Roman"/>
          <w:sz w:val="24"/>
          <w:szCs w:val="24"/>
        </w:rPr>
        <w:tab/>
        <w:t>:</w:t>
      </w:r>
    </w:p>
    <w:p w14:paraId="6038D11A" w14:textId="7CD37D9D" w:rsidR="0077716A" w:rsidRPr="0077716A" w:rsidRDefault="0077716A" w:rsidP="0077716A">
      <w:pPr>
        <w:autoSpaceDE w:val="0"/>
        <w:autoSpaceDN w:val="0"/>
        <w:adjustRightInd w:val="0"/>
        <w:rPr>
          <w:rFonts w:ascii="Times New Roman" w:eastAsiaTheme="minorEastAsia" w:hAnsi="Times New Roman"/>
          <w:sz w:val="24"/>
          <w:szCs w:val="24"/>
        </w:rPr>
      </w:pPr>
      <w:r w:rsidRPr="0077716A">
        <w:rPr>
          <w:rFonts w:ascii="Times New Roman" w:eastAsiaTheme="minorEastAsia" w:hAnsi="Times New Roman"/>
          <w:sz w:val="24"/>
          <w:szCs w:val="24"/>
        </w:rPr>
        <w:t>valuation ratemaking</w:t>
      </w:r>
      <w:r w:rsidR="00FC5BB2">
        <w:rPr>
          <w:rFonts w:ascii="Times New Roman" w:eastAsiaTheme="minorEastAsia" w:hAnsi="Times New Roman"/>
          <w:sz w:val="24"/>
          <w:szCs w:val="24"/>
        </w:rPr>
        <w:t xml:space="preserve"> treatment, deferral of the</w:t>
      </w:r>
      <w:r w:rsidRPr="0077716A">
        <w:rPr>
          <w:rFonts w:ascii="Times New Roman" w:eastAsiaTheme="minorEastAsia" w:hAnsi="Times New Roman"/>
          <w:sz w:val="24"/>
          <w:szCs w:val="24"/>
        </w:rPr>
        <w:tab/>
        <w:t>:</w:t>
      </w:r>
    </w:p>
    <w:p w14:paraId="5F5585CE" w14:textId="321847F6" w:rsidR="0077716A" w:rsidRPr="0077716A" w:rsidRDefault="0077716A" w:rsidP="0077716A">
      <w:pPr>
        <w:autoSpaceDE w:val="0"/>
        <w:autoSpaceDN w:val="0"/>
        <w:adjustRightInd w:val="0"/>
        <w:rPr>
          <w:rFonts w:ascii="Times New Roman" w:eastAsiaTheme="minorEastAsia" w:hAnsi="Times New Roman"/>
          <w:sz w:val="24"/>
          <w:szCs w:val="24"/>
        </w:rPr>
      </w:pPr>
      <w:r w:rsidRPr="0077716A">
        <w:rPr>
          <w:rFonts w:ascii="Times New Roman" w:eastAsiaTheme="minorEastAsia" w:hAnsi="Times New Roman"/>
          <w:sz w:val="24"/>
          <w:szCs w:val="24"/>
        </w:rPr>
        <w:t xml:space="preserve">post-acquisition improvement costs, and </w:t>
      </w:r>
      <w:r w:rsidRPr="0077716A">
        <w:rPr>
          <w:rFonts w:ascii="Times New Roman" w:eastAsiaTheme="minorEastAsia" w:hAnsi="Times New Roman"/>
          <w:sz w:val="24"/>
          <w:szCs w:val="24"/>
        </w:rPr>
        <w:tab/>
      </w:r>
      <w:r w:rsidRPr="0077716A">
        <w:rPr>
          <w:rFonts w:ascii="Times New Roman" w:eastAsiaTheme="minorEastAsia" w:hAnsi="Times New Roman"/>
          <w:sz w:val="24"/>
          <w:szCs w:val="24"/>
        </w:rPr>
        <w:tab/>
        <w:t>:</w:t>
      </w:r>
    </w:p>
    <w:p w14:paraId="6EFB0FAB" w14:textId="77777777" w:rsidR="0077716A" w:rsidRPr="0077716A" w:rsidRDefault="0077716A" w:rsidP="0077716A">
      <w:pPr>
        <w:autoSpaceDE w:val="0"/>
        <w:autoSpaceDN w:val="0"/>
        <w:adjustRightInd w:val="0"/>
        <w:rPr>
          <w:rFonts w:ascii="Times New Roman" w:eastAsiaTheme="minorEastAsia" w:hAnsi="Times New Roman"/>
          <w:sz w:val="24"/>
          <w:szCs w:val="24"/>
        </w:rPr>
      </w:pPr>
      <w:r w:rsidRPr="0077716A">
        <w:rPr>
          <w:rFonts w:ascii="Times New Roman" w:eastAsiaTheme="minorEastAsia" w:hAnsi="Times New Roman"/>
          <w:sz w:val="24"/>
          <w:szCs w:val="24"/>
        </w:rPr>
        <w:t>certain contracts with municipal corporations</w:t>
      </w:r>
      <w:r w:rsidRPr="0077716A">
        <w:rPr>
          <w:rFonts w:ascii="Times New Roman" w:eastAsiaTheme="minorEastAsia" w:hAnsi="Times New Roman"/>
          <w:sz w:val="24"/>
          <w:szCs w:val="24"/>
        </w:rPr>
        <w:tab/>
        <w:t>:</w:t>
      </w:r>
    </w:p>
    <w:p w14:paraId="5C8A8368" w14:textId="0451DE1F" w:rsidR="00F55530" w:rsidRDefault="00F55530" w:rsidP="00577603">
      <w:pPr>
        <w:jc w:val="center"/>
        <w:rPr>
          <w:rFonts w:ascii="Times New Roman" w:hAnsi="Times New Roman"/>
          <w:b/>
          <w:sz w:val="24"/>
          <w:szCs w:val="24"/>
          <w:u w:val="single"/>
        </w:rPr>
      </w:pPr>
    </w:p>
    <w:p w14:paraId="70D72A97" w14:textId="77777777" w:rsidR="00A72EB8" w:rsidRPr="00A1530D" w:rsidRDefault="00A72EB8" w:rsidP="00577603">
      <w:pPr>
        <w:jc w:val="center"/>
        <w:rPr>
          <w:rFonts w:ascii="Times New Roman" w:hAnsi="Times New Roman"/>
          <w:b/>
          <w:sz w:val="24"/>
          <w:szCs w:val="24"/>
          <w:u w:val="single"/>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577603">
      <w:pPr>
        <w:spacing w:line="360" w:lineRule="auto"/>
        <w:rPr>
          <w:rFonts w:ascii="Times New Roman" w:hAnsi="Times New Roman"/>
          <w:sz w:val="24"/>
          <w:szCs w:val="24"/>
        </w:rPr>
      </w:pPr>
    </w:p>
    <w:p w14:paraId="1A7B7930" w14:textId="0E68FC6C" w:rsidR="006A62FB" w:rsidRPr="00A1530D" w:rsidRDefault="00577603" w:rsidP="006418EF">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895C96">
        <w:rPr>
          <w:rFonts w:ascii="Times New Roman" w:hAnsi="Times New Roman"/>
          <w:sz w:val="24"/>
          <w:szCs w:val="24"/>
        </w:rPr>
        <w:t>Recommended</w:t>
      </w:r>
      <w:r w:rsidR="0096560D" w:rsidRPr="00A1530D">
        <w:rPr>
          <w:rFonts w:ascii="Times New Roman" w:hAnsi="Times New Roman"/>
          <w:sz w:val="24"/>
          <w:szCs w:val="24"/>
        </w:rPr>
        <w:t xml:space="preserve"> </w:t>
      </w:r>
      <w:r w:rsidRPr="00A1530D">
        <w:rPr>
          <w:rFonts w:ascii="Times New Roman" w:hAnsi="Times New Roman"/>
          <w:sz w:val="24"/>
          <w:szCs w:val="24"/>
        </w:rPr>
        <w:t xml:space="preserve">Decision of </w:t>
      </w:r>
      <w:r w:rsidR="00895C96">
        <w:rPr>
          <w:rFonts w:ascii="Times New Roman" w:hAnsi="Times New Roman"/>
          <w:sz w:val="24"/>
          <w:szCs w:val="24"/>
        </w:rPr>
        <w:t>Administrative Law Judge</w:t>
      </w:r>
      <w:r w:rsidR="00FC5BB2">
        <w:rPr>
          <w:rFonts w:ascii="Times New Roman" w:hAnsi="Times New Roman"/>
          <w:sz w:val="24"/>
          <w:szCs w:val="24"/>
        </w:rPr>
        <w:t xml:space="preserve"> Darlene Davis Heep</w:t>
      </w:r>
      <w:r w:rsidR="00E17242" w:rsidRPr="00A1530D">
        <w:rPr>
          <w:rFonts w:ascii="Times New Roman" w:hAnsi="Times New Roman"/>
          <w:sz w:val="24"/>
          <w:szCs w:val="24"/>
        </w:rPr>
        <w:t xml:space="preserve">, dated </w:t>
      </w:r>
      <w:r w:rsidR="00FC5BB2">
        <w:rPr>
          <w:rFonts w:ascii="Times New Roman" w:hAnsi="Times New Roman"/>
          <w:sz w:val="24"/>
          <w:szCs w:val="24"/>
        </w:rPr>
        <w:t>October 4</w:t>
      </w:r>
      <w:r w:rsidR="00E42626">
        <w:rPr>
          <w:rFonts w:ascii="Times New Roman" w:hAnsi="Times New Roman"/>
          <w:sz w:val="24"/>
          <w:szCs w:val="24"/>
        </w:rPr>
        <w:t>, 2018</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6418EF">
      <w:pPr>
        <w:spacing w:line="360" w:lineRule="auto"/>
        <w:ind w:firstLine="720"/>
        <w:jc w:val="both"/>
        <w:rPr>
          <w:rFonts w:ascii="Times New Roman" w:hAnsi="Times New Roman"/>
          <w:sz w:val="24"/>
          <w:szCs w:val="24"/>
        </w:rPr>
      </w:pPr>
    </w:p>
    <w:p w14:paraId="1F6ED8D9" w14:textId="77777777" w:rsidR="00577603" w:rsidRPr="00A1530D" w:rsidRDefault="00577603" w:rsidP="006418EF">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6418EF">
      <w:pPr>
        <w:spacing w:line="360" w:lineRule="auto"/>
        <w:rPr>
          <w:rFonts w:ascii="Times New Roman" w:hAnsi="Times New Roman"/>
          <w:sz w:val="24"/>
          <w:szCs w:val="24"/>
        </w:rPr>
      </w:pPr>
    </w:p>
    <w:p w14:paraId="5C137B58" w14:textId="77777777" w:rsidR="0018257D" w:rsidRPr="00A1530D" w:rsidRDefault="00577603" w:rsidP="006418EF">
      <w:pPr>
        <w:spacing w:line="360" w:lineRule="auto"/>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685C05" w:rsidRDefault="00685C05" w:rsidP="006418EF">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58650049" w14:textId="77777777" w:rsidR="00FC5BB2" w:rsidRDefault="00FC5BB2" w:rsidP="00FC5BB2">
      <w:pPr>
        <w:numPr>
          <w:ilvl w:val="0"/>
          <w:numId w:val="10"/>
        </w:numPr>
        <w:tabs>
          <w:tab w:val="left" w:pos="2160"/>
        </w:tabs>
        <w:spacing w:line="360" w:lineRule="auto"/>
        <w:ind w:left="0" w:firstLine="1440"/>
        <w:contextualSpacing/>
        <w:jc w:val="both"/>
        <w:rPr>
          <w:rFonts w:ascii="Times New Roman" w:eastAsia="Times New Roman" w:hAnsi="Times New Roman"/>
          <w:sz w:val="24"/>
          <w:szCs w:val="24"/>
        </w:rPr>
        <w:sectPr w:rsidR="00FC5BB2" w:rsidSect="003248FA">
          <w:footerReference w:type="default" r:id="rId8"/>
          <w:pgSz w:w="12240" w:h="15840" w:code="1"/>
          <w:pgMar w:top="1152" w:right="1440" w:bottom="1296" w:left="1440" w:header="720" w:footer="720" w:gutter="0"/>
          <w:cols w:space="720"/>
          <w:docGrid w:linePitch="360"/>
        </w:sectPr>
      </w:pPr>
      <w:r w:rsidRPr="00FC5BB2">
        <w:rPr>
          <w:rFonts w:ascii="Times New Roman" w:eastAsia="Times New Roman" w:hAnsi="Times New Roman"/>
          <w:sz w:val="24"/>
          <w:szCs w:val="24"/>
        </w:rPr>
        <w:t xml:space="preserve">That the Joint Petition for Approval of Settlement of All Issues, filed by Pennsylvania-American Water Company, the Office of Consumer Advocate, the Pennsylvania Public Utility Commission’s Bureau of Investigation and Enforcement, and Sadsbury Township </w:t>
      </w:r>
    </w:p>
    <w:p w14:paraId="6CE7A19E" w14:textId="508D50E3" w:rsidR="00FC5BB2" w:rsidRPr="00FC5BB2" w:rsidRDefault="00FC5BB2" w:rsidP="00FC5BB2">
      <w:pPr>
        <w:tabs>
          <w:tab w:val="left" w:pos="2160"/>
        </w:tabs>
        <w:spacing w:line="360" w:lineRule="auto"/>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lastRenderedPageBreak/>
        <w:t xml:space="preserve">(“Joint Petitioners”), on September 14, 2018 at Docket No. A-2018-3002437, including all terms and conditions thereof, is approved, without modification.  </w:t>
      </w:r>
    </w:p>
    <w:p w14:paraId="0D301FBD"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p>
    <w:p w14:paraId="0A3E5A86" w14:textId="77777777" w:rsidR="00FC5BB2" w:rsidRPr="00FC5BB2" w:rsidRDefault="00FC5BB2" w:rsidP="00FC5BB2">
      <w:pPr>
        <w:numPr>
          <w:ilvl w:val="0"/>
          <w:numId w:val="10"/>
        </w:numPr>
        <w:tabs>
          <w:tab w:val="left" w:pos="2160"/>
        </w:tabs>
        <w:spacing w:line="360" w:lineRule="auto"/>
        <w:ind w:left="0" w:firstLine="144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That the Application filed by Pennsylvania-American Water Company on June 19, 2018 is granted, subject to the following conditions:</w:t>
      </w:r>
    </w:p>
    <w:p w14:paraId="15237763"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p>
    <w:p w14:paraId="0CA7C6FE" w14:textId="77777777" w:rsidR="00FC5BB2" w:rsidRPr="00FC5BB2" w:rsidRDefault="00FC5BB2" w:rsidP="003248FA">
      <w:pPr>
        <w:numPr>
          <w:ilvl w:val="1"/>
          <w:numId w:val="10"/>
        </w:numPr>
        <w:tabs>
          <w:tab w:val="left" w:pos="2880"/>
        </w:tabs>
        <w:ind w:firstLine="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That Pennsylvania-American Water Company, at the time of filing its next base rate case, shall submit a cost of service study that removes all costs and revenues associated with the operation of the Sadsbury system.</w:t>
      </w:r>
    </w:p>
    <w:p w14:paraId="1B89B054" w14:textId="77777777" w:rsidR="00FC5BB2" w:rsidRPr="00FC5BB2" w:rsidRDefault="00FC5BB2" w:rsidP="003248FA">
      <w:pPr>
        <w:tabs>
          <w:tab w:val="left" w:pos="2880"/>
        </w:tabs>
        <w:ind w:left="2160"/>
        <w:contextualSpacing/>
        <w:jc w:val="both"/>
        <w:rPr>
          <w:rFonts w:ascii="Times New Roman" w:eastAsia="Times New Roman" w:hAnsi="Times New Roman"/>
          <w:sz w:val="24"/>
          <w:szCs w:val="24"/>
        </w:rPr>
      </w:pPr>
    </w:p>
    <w:p w14:paraId="0C3E46E2" w14:textId="77777777" w:rsidR="00FC5BB2" w:rsidRPr="00FC5BB2" w:rsidRDefault="00FC5BB2" w:rsidP="003248FA">
      <w:pPr>
        <w:numPr>
          <w:ilvl w:val="1"/>
          <w:numId w:val="10"/>
        </w:numPr>
        <w:tabs>
          <w:tab w:val="left" w:pos="2880"/>
        </w:tabs>
        <w:ind w:firstLine="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That Pennsylvania-American Water Company, at the time of filing its next base rate case, shall also provide a separate cost of service study for the Sadsbury System.</w:t>
      </w:r>
    </w:p>
    <w:p w14:paraId="4C3200B3" w14:textId="77777777" w:rsidR="00FC5BB2" w:rsidRPr="00FC5BB2" w:rsidRDefault="00FC5BB2" w:rsidP="004128DE">
      <w:pPr>
        <w:tabs>
          <w:tab w:val="left" w:pos="2160"/>
        </w:tabs>
        <w:spacing w:line="360" w:lineRule="auto"/>
        <w:ind w:firstLine="1440"/>
        <w:contextualSpacing/>
        <w:jc w:val="both"/>
        <w:rPr>
          <w:rFonts w:ascii="Times New Roman" w:eastAsia="Times New Roman" w:hAnsi="Times New Roman"/>
          <w:sz w:val="24"/>
          <w:szCs w:val="24"/>
        </w:rPr>
      </w:pPr>
    </w:p>
    <w:p w14:paraId="3551C080"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3.</w:t>
      </w:r>
      <w:r w:rsidRPr="00FC5BB2">
        <w:rPr>
          <w:rFonts w:ascii="Times New Roman" w:eastAsia="Times New Roman" w:hAnsi="Times New Roman"/>
          <w:sz w:val="24"/>
          <w:szCs w:val="24"/>
        </w:rPr>
        <w:tab/>
        <w:t xml:space="preserve">That the Commission’s Secretary’s Bureau shall issue Certificates of Public Convenience under 66 Pa. C.S. §§ 1102(a) and 1103(a) evidencing Commission approval of:  (i) the transfer, by sale, of Sadsbury’s assets, properties and rights related to its wastewater collection System to Pennsylvania-American Water Company as provided in the Application, and (ii) Pennsylvania-American Water Company’s right to begin to offer, render, furnish and supply wastewater service to the public in the areas served by Sadsbury as indicated in the Application.  </w:t>
      </w:r>
    </w:p>
    <w:p w14:paraId="1C52B070"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p>
    <w:p w14:paraId="2B478C89"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4.</w:t>
      </w:r>
      <w:r w:rsidRPr="00FC5BB2">
        <w:rPr>
          <w:rFonts w:ascii="Times New Roman" w:eastAsia="Times New Roman" w:hAnsi="Times New Roman"/>
          <w:sz w:val="24"/>
          <w:szCs w:val="24"/>
        </w:rPr>
        <w:tab/>
        <w:t xml:space="preserve">That Pennsylvania-American Water Company, upon closing of the Transaction, shall issue a compliance tariff supplement, consistent with the </w:t>
      </w:r>
      <w:r w:rsidRPr="00FC5BB2">
        <w:rPr>
          <w:rFonts w:ascii="Times New Roman" w:eastAsia="Times New Roman" w:hAnsi="Times New Roman"/>
          <w:i/>
          <w:sz w:val="24"/>
          <w:szCs w:val="24"/>
        </w:rPr>
        <w:t xml:space="preserve">pro forma </w:t>
      </w:r>
      <w:r w:rsidRPr="00FC5BB2">
        <w:rPr>
          <w:rFonts w:ascii="Times New Roman" w:eastAsia="Times New Roman" w:hAnsi="Times New Roman"/>
          <w:sz w:val="24"/>
          <w:szCs w:val="24"/>
        </w:rPr>
        <w:t>tariff supplement attached to the Joint Petition for Approval of Settlement of All Issues, to be effective on the date of issuance.</w:t>
      </w:r>
    </w:p>
    <w:p w14:paraId="72E7210F"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p>
    <w:p w14:paraId="27EC2C9E"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5.</w:t>
      </w:r>
      <w:r w:rsidRPr="00FC5BB2">
        <w:rPr>
          <w:rFonts w:ascii="Times New Roman" w:eastAsia="Times New Roman" w:hAnsi="Times New Roman"/>
          <w:sz w:val="24"/>
          <w:szCs w:val="24"/>
        </w:rPr>
        <w:tab/>
        <w:t>That the Commission approve, under 66 Pa. C.S. § 1329(c), a rate base addition of $8,300,000 associated with PAWC’s acquisition of the Sadsbury System.</w:t>
      </w:r>
    </w:p>
    <w:p w14:paraId="2A788018"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p>
    <w:p w14:paraId="6BD6D243" w14:textId="78AC3551" w:rsid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6.</w:t>
      </w:r>
      <w:r w:rsidRPr="00FC5BB2">
        <w:rPr>
          <w:rFonts w:ascii="Times New Roman" w:eastAsia="Times New Roman" w:hAnsi="Times New Roman"/>
          <w:sz w:val="24"/>
          <w:szCs w:val="24"/>
        </w:rPr>
        <w:tab/>
        <w:t>That, although the Commission acknowledges that the Joint Petitioners reserve the right to present adjustments and oppose adjustments to appraisals in future cases, for purposes of this proceeding, the Commission accepts the following adjustments:</w:t>
      </w:r>
    </w:p>
    <w:p w14:paraId="01865499" w14:textId="68F0F220" w:rsidR="00FC5BB2" w:rsidRDefault="00FC5BB2">
      <w:pPr>
        <w:rPr>
          <w:rFonts w:ascii="Times New Roman" w:eastAsia="Times New Roman" w:hAnsi="Times New Roman"/>
          <w:sz w:val="24"/>
          <w:szCs w:val="24"/>
        </w:rPr>
      </w:pPr>
    </w:p>
    <w:p w14:paraId="69166946" w14:textId="77777777" w:rsidR="003248FA" w:rsidRDefault="003248FA">
      <w:pPr>
        <w:rPr>
          <w:rFonts w:ascii="Times New Roman" w:eastAsia="Times New Roman" w:hAnsi="Times New Roman"/>
          <w:sz w:val="24"/>
          <w:szCs w:val="24"/>
        </w:rPr>
      </w:pPr>
      <w:bookmarkStart w:id="2" w:name="_Hlk526835540"/>
      <w:r>
        <w:rPr>
          <w:rFonts w:ascii="Times New Roman" w:eastAsia="Times New Roman" w:hAnsi="Times New Roman"/>
          <w:sz w:val="24"/>
          <w:szCs w:val="24"/>
        </w:rPr>
        <w:br w:type="page"/>
      </w:r>
    </w:p>
    <w:p w14:paraId="4DD14B5A" w14:textId="7E85ABA2" w:rsidR="00FC5BB2" w:rsidRPr="00FC5BB2" w:rsidRDefault="00FC5BB2" w:rsidP="0002098B">
      <w:pPr>
        <w:numPr>
          <w:ilvl w:val="1"/>
          <w:numId w:val="12"/>
        </w:numPr>
        <w:tabs>
          <w:tab w:val="left" w:pos="2160"/>
        </w:tabs>
        <w:ind w:firstLine="72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Market Approach:</w:t>
      </w:r>
    </w:p>
    <w:p w14:paraId="714488DE" w14:textId="77777777" w:rsidR="00FC5BB2" w:rsidRPr="00FC5BB2" w:rsidRDefault="00FC5BB2" w:rsidP="0002098B">
      <w:pPr>
        <w:tabs>
          <w:tab w:val="left" w:pos="2160"/>
        </w:tabs>
        <w:ind w:firstLine="1440"/>
        <w:contextualSpacing/>
        <w:jc w:val="both"/>
        <w:rPr>
          <w:rFonts w:ascii="Times New Roman" w:eastAsia="Times New Roman" w:hAnsi="Times New Roman"/>
          <w:sz w:val="24"/>
          <w:szCs w:val="24"/>
        </w:rPr>
      </w:pPr>
    </w:p>
    <w:p w14:paraId="6D43B04C" w14:textId="77777777" w:rsidR="00FC5BB2" w:rsidRPr="00FC5BB2" w:rsidRDefault="00FC5BB2" w:rsidP="003248FA">
      <w:pPr>
        <w:numPr>
          <w:ilvl w:val="2"/>
          <w:numId w:val="12"/>
        </w:numPr>
        <w:ind w:left="2880" w:firstLine="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If “comparable acquisitions” are used as a factor in determining market value, the purchase price for each “comparable acquisition” for non-Section 1329 acquisitions shall be based on the actual amount paid for the assets at the time of purchase and future capital improvements shall not be included.</w:t>
      </w:r>
    </w:p>
    <w:p w14:paraId="58CF32FE" w14:textId="77777777" w:rsidR="00FC5BB2" w:rsidRPr="00FC5BB2" w:rsidRDefault="00FC5BB2" w:rsidP="003248FA">
      <w:pPr>
        <w:ind w:left="2880"/>
        <w:contextualSpacing/>
        <w:jc w:val="both"/>
        <w:rPr>
          <w:rFonts w:ascii="Times New Roman" w:eastAsia="Times New Roman" w:hAnsi="Times New Roman"/>
          <w:sz w:val="24"/>
          <w:szCs w:val="24"/>
        </w:rPr>
      </w:pPr>
    </w:p>
    <w:p w14:paraId="1FE41CF5" w14:textId="77777777" w:rsidR="00FC5BB2" w:rsidRPr="00FC5BB2" w:rsidRDefault="00FC5BB2" w:rsidP="003248FA">
      <w:pPr>
        <w:numPr>
          <w:ilvl w:val="2"/>
          <w:numId w:val="12"/>
        </w:numPr>
        <w:ind w:left="2880" w:firstLine="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Comparable sales used to establish the valuation may not be limited to those that the UVE previously appraised.</w:t>
      </w:r>
    </w:p>
    <w:p w14:paraId="0D379EF3" w14:textId="77777777" w:rsidR="00FC5BB2" w:rsidRPr="00FC5BB2" w:rsidRDefault="00FC5BB2" w:rsidP="003248FA">
      <w:pPr>
        <w:ind w:left="2880"/>
        <w:contextualSpacing/>
        <w:jc w:val="both"/>
        <w:rPr>
          <w:rFonts w:ascii="Times New Roman" w:eastAsia="Times New Roman" w:hAnsi="Times New Roman"/>
          <w:sz w:val="24"/>
          <w:szCs w:val="24"/>
        </w:rPr>
      </w:pPr>
    </w:p>
    <w:p w14:paraId="29D98FBE" w14:textId="77777777" w:rsidR="00FC5BB2" w:rsidRPr="00FC5BB2" w:rsidRDefault="00FC5BB2" w:rsidP="003248FA">
      <w:pPr>
        <w:numPr>
          <w:ilvl w:val="2"/>
          <w:numId w:val="12"/>
        </w:numPr>
        <w:ind w:left="2880" w:firstLine="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The “net book financials” multiplier shall not be used in the market approach.</w:t>
      </w:r>
    </w:p>
    <w:p w14:paraId="1A6C4018" w14:textId="77777777" w:rsidR="00FC5BB2" w:rsidRPr="00FC5BB2" w:rsidRDefault="00FC5BB2" w:rsidP="0002098B">
      <w:pPr>
        <w:tabs>
          <w:tab w:val="left" w:pos="2160"/>
        </w:tabs>
        <w:ind w:firstLine="1440"/>
        <w:contextualSpacing/>
        <w:jc w:val="both"/>
        <w:rPr>
          <w:rFonts w:ascii="Times New Roman" w:eastAsia="Times New Roman" w:hAnsi="Times New Roman"/>
          <w:sz w:val="24"/>
          <w:szCs w:val="24"/>
        </w:rPr>
      </w:pPr>
    </w:p>
    <w:p w14:paraId="45E3AAEA" w14:textId="77777777" w:rsidR="00FC5BB2" w:rsidRPr="00FC5BB2" w:rsidRDefault="00FC5BB2" w:rsidP="0002098B">
      <w:pPr>
        <w:numPr>
          <w:ilvl w:val="0"/>
          <w:numId w:val="11"/>
        </w:numPr>
        <w:tabs>
          <w:tab w:val="left" w:pos="2160"/>
        </w:tabs>
        <w:ind w:left="2160" w:firstLine="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Income Approach:  The rate base/rate of return methodology is not an appropriate analysis for the appraisal.  Pennsylvania-American Water Company</w:t>
      </w:r>
    </w:p>
    <w:p w14:paraId="4A20B6D0" w14:textId="77777777" w:rsidR="00FC5BB2" w:rsidRPr="00FC5BB2" w:rsidRDefault="00FC5BB2" w:rsidP="0002098B">
      <w:pPr>
        <w:tabs>
          <w:tab w:val="left" w:pos="2160"/>
        </w:tabs>
        <w:ind w:left="1620" w:firstLine="648"/>
        <w:contextualSpacing/>
        <w:jc w:val="both"/>
        <w:rPr>
          <w:rFonts w:ascii="Times New Roman" w:eastAsia="Times New Roman" w:hAnsi="Times New Roman"/>
          <w:sz w:val="24"/>
          <w:szCs w:val="24"/>
        </w:rPr>
      </w:pPr>
    </w:p>
    <w:p w14:paraId="6412214D" w14:textId="77777777" w:rsidR="00FC5BB2" w:rsidRPr="00FC5BB2" w:rsidRDefault="00FC5BB2" w:rsidP="0002098B">
      <w:pPr>
        <w:numPr>
          <w:ilvl w:val="0"/>
          <w:numId w:val="11"/>
        </w:numPr>
        <w:tabs>
          <w:tab w:val="left" w:pos="2160"/>
        </w:tabs>
        <w:ind w:left="2160" w:firstLine="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The “Going Value” and “Provision for Erosion on Return” add-ons will not be adopted or included in the appraisals.</w:t>
      </w:r>
    </w:p>
    <w:p w14:paraId="26947BB6" w14:textId="77777777" w:rsidR="00FC5BB2" w:rsidRPr="00FC5BB2" w:rsidRDefault="00FC5BB2" w:rsidP="0002098B">
      <w:pPr>
        <w:tabs>
          <w:tab w:val="left" w:pos="2160"/>
        </w:tabs>
        <w:ind w:left="1620" w:firstLine="648"/>
        <w:contextualSpacing/>
        <w:jc w:val="both"/>
        <w:rPr>
          <w:rFonts w:ascii="Times New Roman" w:eastAsia="Times New Roman" w:hAnsi="Times New Roman"/>
          <w:sz w:val="24"/>
          <w:szCs w:val="24"/>
        </w:rPr>
      </w:pPr>
    </w:p>
    <w:p w14:paraId="295ACECF" w14:textId="77777777" w:rsidR="00FC5BB2" w:rsidRPr="00FC5BB2" w:rsidRDefault="00FC5BB2" w:rsidP="0002098B">
      <w:pPr>
        <w:numPr>
          <w:ilvl w:val="0"/>
          <w:numId w:val="12"/>
        </w:numPr>
        <w:tabs>
          <w:tab w:val="left" w:pos="2160"/>
        </w:tabs>
        <w:ind w:left="1620" w:firstLine="54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Cost Approach:</w:t>
      </w:r>
    </w:p>
    <w:p w14:paraId="1BBC9EF0" w14:textId="77777777" w:rsidR="00FC5BB2" w:rsidRPr="00FC5BB2" w:rsidRDefault="00FC5BB2" w:rsidP="0002098B">
      <w:pPr>
        <w:tabs>
          <w:tab w:val="left" w:pos="2160"/>
        </w:tabs>
        <w:ind w:firstLine="1440"/>
        <w:contextualSpacing/>
        <w:jc w:val="both"/>
        <w:rPr>
          <w:rFonts w:ascii="Times New Roman" w:eastAsia="Times New Roman" w:hAnsi="Times New Roman"/>
          <w:sz w:val="24"/>
          <w:szCs w:val="24"/>
        </w:rPr>
      </w:pPr>
    </w:p>
    <w:p w14:paraId="2E2A1875" w14:textId="77777777" w:rsidR="00FC5BB2" w:rsidRPr="00FC5BB2" w:rsidRDefault="00FC5BB2" w:rsidP="003248FA">
      <w:pPr>
        <w:numPr>
          <w:ilvl w:val="2"/>
          <w:numId w:val="12"/>
        </w:numPr>
        <w:tabs>
          <w:tab w:val="left" w:pos="3600"/>
        </w:tabs>
        <w:ind w:left="2880" w:firstLine="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 xml:space="preserve">The overhead cost add-on will not be adopted or included in the appraisals. </w:t>
      </w:r>
    </w:p>
    <w:p w14:paraId="1FF90DFB" w14:textId="77777777" w:rsidR="00FC5BB2" w:rsidRPr="00FC5BB2" w:rsidRDefault="00FC5BB2" w:rsidP="003248FA">
      <w:pPr>
        <w:tabs>
          <w:tab w:val="left" w:pos="3600"/>
        </w:tabs>
        <w:ind w:left="2880"/>
        <w:contextualSpacing/>
        <w:jc w:val="both"/>
        <w:rPr>
          <w:rFonts w:ascii="Times New Roman" w:eastAsia="Times New Roman" w:hAnsi="Times New Roman"/>
          <w:sz w:val="24"/>
          <w:szCs w:val="24"/>
        </w:rPr>
      </w:pPr>
    </w:p>
    <w:p w14:paraId="309A28FB" w14:textId="77777777" w:rsidR="00FC5BB2" w:rsidRPr="00FC5BB2" w:rsidRDefault="00FC5BB2" w:rsidP="003248FA">
      <w:pPr>
        <w:numPr>
          <w:ilvl w:val="2"/>
          <w:numId w:val="12"/>
        </w:numPr>
        <w:tabs>
          <w:tab w:val="left" w:pos="3600"/>
        </w:tabs>
        <w:ind w:left="2880" w:firstLine="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If the reproduction cost methodology is used, valuation of the collection mains will not be treated differently or as a special circumstance unless reasonably justified.</w:t>
      </w:r>
    </w:p>
    <w:bookmarkEnd w:id="2"/>
    <w:p w14:paraId="2522F403"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p>
    <w:p w14:paraId="48F7CDDD"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7.</w:t>
      </w:r>
      <w:r w:rsidRPr="00FC5BB2">
        <w:rPr>
          <w:rFonts w:ascii="Times New Roman" w:eastAsia="Times New Roman" w:hAnsi="Times New Roman"/>
          <w:sz w:val="24"/>
          <w:szCs w:val="24"/>
        </w:rPr>
        <w:tab/>
        <w:t>That, within the first 90 days of Pennsylvania-American Water Company’s ownership of the Sadsbury system, Pennsylvania-American Water Company shall include a bill insert to Sadsbury-area customers regarding its low-income programs or, alternatively, shall include such information in a welcome letter to Sadsbury Township-area customers.  The bill insert, or welcome letter shall include, at a minimum, a description of the available low-income programs, the eligibility requirements for participation in the programs, and Pennsylvania-American Water Company’s contact information.</w:t>
      </w:r>
    </w:p>
    <w:p w14:paraId="65A168A8"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p>
    <w:p w14:paraId="7C38D8E8" w14:textId="01D5DB7C"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8.</w:t>
      </w:r>
      <w:r w:rsidRPr="00FC5BB2">
        <w:rPr>
          <w:rFonts w:ascii="Times New Roman" w:eastAsia="Times New Roman" w:hAnsi="Times New Roman"/>
          <w:sz w:val="24"/>
          <w:szCs w:val="24"/>
        </w:rPr>
        <w:tab/>
      </w:r>
      <w:bookmarkStart w:id="3" w:name="_Hlk526927313"/>
      <w:r w:rsidRPr="00FC5BB2">
        <w:rPr>
          <w:rFonts w:ascii="Times New Roman" w:eastAsia="Times New Roman" w:hAnsi="Times New Roman"/>
          <w:sz w:val="24"/>
          <w:szCs w:val="24"/>
        </w:rPr>
        <w:t>That Pennsylvania-American Water Company, pursuant to 66 Pa. C.S. §</w:t>
      </w:r>
      <w:r>
        <w:rPr>
          <w:rFonts w:ascii="Times New Roman" w:eastAsia="Times New Roman" w:hAnsi="Times New Roman"/>
          <w:sz w:val="24"/>
          <w:szCs w:val="24"/>
        </w:rPr>
        <w:t> </w:t>
      </w:r>
      <w:r w:rsidRPr="00FC5BB2">
        <w:rPr>
          <w:rFonts w:ascii="Times New Roman" w:eastAsia="Times New Roman" w:hAnsi="Times New Roman"/>
          <w:sz w:val="24"/>
          <w:szCs w:val="24"/>
        </w:rPr>
        <w:t>1329(d), may collect a distribution system improvement charge related to the Sadsbury System prior to the first base rate case in which the System plant-in-service is incorporated into rate base only if the following conditions are met: They are:</w:t>
      </w:r>
    </w:p>
    <w:p w14:paraId="3B660A50" w14:textId="3A9B1FA1" w:rsidR="00FC5BB2" w:rsidRPr="00FC5BB2" w:rsidRDefault="003248FA" w:rsidP="003248FA">
      <w:pPr>
        <w:numPr>
          <w:ilvl w:val="2"/>
          <w:numId w:val="10"/>
        </w:numPr>
        <w:tabs>
          <w:tab w:val="left" w:pos="3600"/>
        </w:tabs>
        <w:ind w:left="2880" w:firstLine="0"/>
        <w:contextualSpacing/>
        <w:jc w:val="both"/>
        <w:rPr>
          <w:rFonts w:ascii="Times New Roman" w:eastAsia="Times New Roman" w:hAnsi="Times New Roman"/>
          <w:sz w:val="24"/>
          <w:szCs w:val="24"/>
        </w:rPr>
      </w:pPr>
      <w:r>
        <w:rPr>
          <w:rFonts w:ascii="Times New Roman" w:eastAsia="Times New Roman" w:hAnsi="Times New Roman"/>
          <w:sz w:val="24"/>
          <w:szCs w:val="24"/>
        </w:rPr>
        <w:tab/>
      </w:r>
      <w:r w:rsidR="00FC5BB2" w:rsidRPr="00FC5BB2">
        <w:rPr>
          <w:rFonts w:ascii="Times New Roman" w:eastAsia="Times New Roman" w:hAnsi="Times New Roman"/>
          <w:sz w:val="24"/>
          <w:szCs w:val="24"/>
        </w:rPr>
        <w:t>Pennsylvania-American Water Company files for approval an amended wastewater long term infrastructure investment plan incorporating the Sadsbury area, which does not re-prioritize other existing commitments in other service areas;</w:t>
      </w:r>
    </w:p>
    <w:p w14:paraId="54A67920" w14:textId="77777777" w:rsidR="00FC5BB2" w:rsidRPr="00FC5BB2" w:rsidRDefault="00FC5BB2" w:rsidP="003248FA">
      <w:pPr>
        <w:tabs>
          <w:tab w:val="left" w:pos="3600"/>
        </w:tabs>
        <w:ind w:left="2880"/>
        <w:contextualSpacing/>
        <w:jc w:val="both"/>
        <w:rPr>
          <w:rFonts w:ascii="Times New Roman" w:eastAsia="Times New Roman" w:hAnsi="Times New Roman"/>
          <w:sz w:val="24"/>
          <w:szCs w:val="24"/>
        </w:rPr>
      </w:pPr>
    </w:p>
    <w:p w14:paraId="1181A734" w14:textId="6C194425" w:rsidR="00FC5BB2" w:rsidRPr="00FC5BB2" w:rsidRDefault="003248FA" w:rsidP="003248FA">
      <w:pPr>
        <w:numPr>
          <w:ilvl w:val="2"/>
          <w:numId w:val="10"/>
        </w:numPr>
        <w:tabs>
          <w:tab w:val="left" w:pos="3600"/>
        </w:tabs>
        <w:ind w:left="2880" w:firstLine="0"/>
        <w:contextualSpacing/>
        <w:jc w:val="both"/>
        <w:rPr>
          <w:rFonts w:ascii="Times New Roman" w:eastAsia="Times New Roman" w:hAnsi="Times New Roman"/>
          <w:sz w:val="24"/>
          <w:szCs w:val="24"/>
        </w:rPr>
      </w:pPr>
      <w:r>
        <w:rPr>
          <w:rFonts w:ascii="Times New Roman" w:eastAsia="Times New Roman" w:hAnsi="Times New Roman"/>
          <w:sz w:val="24"/>
          <w:szCs w:val="24"/>
        </w:rPr>
        <w:tab/>
      </w:r>
      <w:r w:rsidR="00FC5BB2" w:rsidRPr="00FC5BB2">
        <w:rPr>
          <w:rFonts w:ascii="Times New Roman" w:eastAsia="Times New Roman" w:hAnsi="Times New Roman"/>
          <w:sz w:val="24"/>
          <w:szCs w:val="24"/>
        </w:rPr>
        <w:t>The Commission approves the amended wastewater long term infrastructure improvement plan incorporating the Sadsbury area, as may be modified in the discretion of the Commission; and</w:t>
      </w:r>
    </w:p>
    <w:p w14:paraId="35F842EB" w14:textId="77777777" w:rsidR="00FC5BB2" w:rsidRPr="00FC5BB2" w:rsidRDefault="00FC5BB2" w:rsidP="003248FA">
      <w:pPr>
        <w:tabs>
          <w:tab w:val="left" w:pos="3600"/>
        </w:tabs>
        <w:ind w:left="2880"/>
        <w:contextualSpacing/>
        <w:jc w:val="both"/>
        <w:rPr>
          <w:rFonts w:ascii="Times New Roman" w:eastAsia="Times New Roman" w:hAnsi="Times New Roman"/>
          <w:sz w:val="24"/>
          <w:szCs w:val="24"/>
        </w:rPr>
      </w:pPr>
    </w:p>
    <w:p w14:paraId="102C00B9" w14:textId="2058256C" w:rsidR="00FC5BB2" w:rsidRPr="00FC5BB2" w:rsidRDefault="003248FA" w:rsidP="003248FA">
      <w:pPr>
        <w:numPr>
          <w:ilvl w:val="2"/>
          <w:numId w:val="10"/>
        </w:numPr>
        <w:tabs>
          <w:tab w:val="left" w:pos="3600"/>
        </w:tabs>
        <w:ind w:left="2880" w:firstLine="0"/>
        <w:contextualSpacing/>
        <w:jc w:val="both"/>
        <w:rPr>
          <w:rFonts w:ascii="Times New Roman" w:eastAsia="Times New Roman" w:hAnsi="Times New Roman"/>
          <w:sz w:val="24"/>
          <w:szCs w:val="24"/>
        </w:rPr>
      </w:pPr>
      <w:r>
        <w:rPr>
          <w:rFonts w:ascii="Times New Roman" w:eastAsia="Times New Roman" w:hAnsi="Times New Roman"/>
          <w:sz w:val="24"/>
          <w:szCs w:val="24"/>
        </w:rPr>
        <w:tab/>
      </w:r>
      <w:r w:rsidR="00FC5BB2" w:rsidRPr="00FC5BB2">
        <w:rPr>
          <w:rFonts w:ascii="Times New Roman" w:eastAsia="Times New Roman" w:hAnsi="Times New Roman"/>
          <w:sz w:val="24"/>
          <w:szCs w:val="24"/>
        </w:rPr>
        <w:t>Pennsylvania-American Water Company files a compliance tariff supplement which incorporates Sadsbury Township into its existing DSIC tariff, including all customer safeguards applicable thereto, after Commission approval of the amended long-term infrastructure improvement plan.</w:t>
      </w:r>
    </w:p>
    <w:bookmarkEnd w:id="3"/>
    <w:p w14:paraId="03247A66"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p>
    <w:p w14:paraId="29784F95"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9.</w:t>
      </w:r>
      <w:r w:rsidRPr="00FC5BB2">
        <w:rPr>
          <w:rFonts w:ascii="Times New Roman" w:eastAsia="Times New Roman" w:hAnsi="Times New Roman"/>
          <w:sz w:val="24"/>
          <w:szCs w:val="24"/>
        </w:rPr>
        <w:tab/>
        <w:t>That Pennsylvania-American Water Company, pursuant to 66 Pa. C.S. § 1329(f), may accrue an allowance for funds used during construction for post-acquisition improvements not recovered through the DSIC for book and ratemaking purposes.  The Commission recognizes that the Joint Petitioners reserve their rights to litigate their positions fully in future rate cases when this issue is ripe for review and does not construe the Joint Petitioners’ assent to this term to operate as their preapproval of Pennsylvania-American Water Company’s request.</w:t>
      </w:r>
    </w:p>
    <w:p w14:paraId="0791C746"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p>
    <w:p w14:paraId="7E967F20"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10.</w:t>
      </w:r>
      <w:r w:rsidRPr="00FC5BB2">
        <w:rPr>
          <w:rFonts w:ascii="Times New Roman" w:eastAsia="Times New Roman" w:hAnsi="Times New Roman"/>
          <w:sz w:val="24"/>
          <w:szCs w:val="24"/>
        </w:rPr>
        <w:tab/>
        <w:t>That Pennsylvania-American Water Company, pursuant to 66 Pa. C.S. § 1329(f), may defer depreciation related to post-acquisition improvements not recovered through the DSIC for book and ratemaking purposes.  The Commission recognizes that the Joint Petitioners reserve their rights to litigate their positions fully in future rate cases when this issue is ripe for review and does not construe the Joint Petitioners’ assent to this term to operate as their preapproval of Pennsylvania-American Water Company’s request.</w:t>
      </w:r>
    </w:p>
    <w:p w14:paraId="6E97DF64"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p>
    <w:p w14:paraId="5361E767"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11.</w:t>
      </w:r>
      <w:r w:rsidRPr="00FC5BB2">
        <w:rPr>
          <w:rFonts w:ascii="Times New Roman" w:eastAsia="Times New Roman" w:hAnsi="Times New Roman"/>
          <w:sz w:val="24"/>
          <w:szCs w:val="24"/>
        </w:rPr>
        <w:tab/>
        <w:t>That Pennsylvania-American Water Company, pursuant to 66 Pa. C.S. § 1329(d)(iv), may include, in its next base rate case, a claim for transaction and closing costs related to the acquisition of the Sadsbury system.  The Commission recognizes that the Joint Petitioners reserve their rights to litigate their positions fully in future rate cases when this issue is ripe for review and does not construe the Joint Petitioners’ assent to this term to operate as their preapproval of Pennsylvania-American Water Company’s request.</w:t>
      </w:r>
    </w:p>
    <w:p w14:paraId="6DF73FCB"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p>
    <w:p w14:paraId="415745BC"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12.</w:t>
      </w:r>
      <w:r w:rsidRPr="00FC5BB2">
        <w:rPr>
          <w:rFonts w:ascii="Times New Roman" w:eastAsia="Times New Roman" w:hAnsi="Times New Roman"/>
          <w:sz w:val="24"/>
          <w:szCs w:val="24"/>
        </w:rPr>
        <w:tab/>
        <w:t>That the Commission’s Secretary’s Bureau shall issue Certificates of Filing or approvals for the following agreements between Pennsylvania-American Water Company and a municipal corporation:</w:t>
      </w:r>
    </w:p>
    <w:p w14:paraId="4C1B01DB" w14:textId="77777777" w:rsidR="00FC5BB2" w:rsidRPr="00FC5BB2" w:rsidRDefault="00FC5BB2" w:rsidP="0002098B">
      <w:pPr>
        <w:tabs>
          <w:tab w:val="left" w:pos="2160"/>
        </w:tabs>
        <w:ind w:firstLine="1440"/>
        <w:contextualSpacing/>
        <w:jc w:val="both"/>
        <w:rPr>
          <w:rFonts w:ascii="Times New Roman" w:eastAsia="Times New Roman" w:hAnsi="Times New Roman"/>
          <w:sz w:val="24"/>
          <w:szCs w:val="24"/>
        </w:rPr>
      </w:pPr>
    </w:p>
    <w:p w14:paraId="4323101E" w14:textId="4F102A2A" w:rsidR="00FC5BB2" w:rsidRPr="00FC5BB2" w:rsidRDefault="003248FA" w:rsidP="003248FA">
      <w:pPr>
        <w:numPr>
          <w:ilvl w:val="2"/>
          <w:numId w:val="11"/>
        </w:numPr>
        <w:tabs>
          <w:tab w:val="left" w:pos="3600"/>
        </w:tabs>
        <w:ind w:left="2880" w:firstLine="0"/>
        <w:contextualSpacing/>
        <w:jc w:val="both"/>
        <w:rPr>
          <w:rFonts w:ascii="Times New Roman" w:eastAsia="Times New Roman" w:hAnsi="Times New Roman"/>
          <w:sz w:val="24"/>
          <w:szCs w:val="24"/>
        </w:rPr>
      </w:pPr>
      <w:r>
        <w:rPr>
          <w:rFonts w:ascii="Times New Roman" w:eastAsia="Times New Roman" w:hAnsi="Times New Roman"/>
          <w:sz w:val="24"/>
          <w:szCs w:val="24"/>
        </w:rPr>
        <w:tab/>
      </w:r>
      <w:r w:rsidR="00FC5BB2" w:rsidRPr="00FC5BB2">
        <w:rPr>
          <w:rFonts w:ascii="Times New Roman" w:eastAsia="Times New Roman" w:hAnsi="Times New Roman"/>
          <w:sz w:val="24"/>
          <w:szCs w:val="24"/>
        </w:rPr>
        <w:t>Asset Purchase Agreement By and Among the Township of Sadsbury, as Seller, and Pennsylvania-American Water Company, as Buyer, Dated as of May 1, 2018;</w:t>
      </w:r>
    </w:p>
    <w:p w14:paraId="332E1568" w14:textId="77777777" w:rsidR="00FC5BB2" w:rsidRPr="00FC5BB2" w:rsidRDefault="00FC5BB2" w:rsidP="003248FA">
      <w:pPr>
        <w:tabs>
          <w:tab w:val="left" w:pos="3600"/>
        </w:tabs>
        <w:ind w:left="2880"/>
        <w:contextualSpacing/>
        <w:jc w:val="both"/>
        <w:rPr>
          <w:rFonts w:ascii="Times New Roman" w:eastAsia="Times New Roman" w:hAnsi="Times New Roman"/>
          <w:sz w:val="24"/>
          <w:szCs w:val="24"/>
        </w:rPr>
      </w:pPr>
    </w:p>
    <w:p w14:paraId="09F80DB4" w14:textId="3A2E758F" w:rsidR="00FC5BB2" w:rsidRPr="00FC5BB2" w:rsidRDefault="003248FA" w:rsidP="003248FA">
      <w:pPr>
        <w:numPr>
          <w:ilvl w:val="2"/>
          <w:numId w:val="11"/>
        </w:numPr>
        <w:tabs>
          <w:tab w:val="left" w:pos="3600"/>
        </w:tabs>
        <w:ind w:left="2880" w:firstLine="0"/>
        <w:contextualSpacing/>
        <w:jc w:val="both"/>
        <w:rPr>
          <w:rFonts w:ascii="Times New Roman" w:eastAsia="Times New Roman" w:hAnsi="Times New Roman"/>
          <w:sz w:val="24"/>
          <w:szCs w:val="24"/>
        </w:rPr>
      </w:pPr>
      <w:r>
        <w:rPr>
          <w:rFonts w:ascii="Times New Roman" w:eastAsia="Times New Roman" w:hAnsi="Times New Roman"/>
          <w:sz w:val="24"/>
          <w:szCs w:val="24"/>
        </w:rPr>
        <w:tab/>
      </w:r>
      <w:r w:rsidR="00FC5BB2" w:rsidRPr="00FC5BB2">
        <w:rPr>
          <w:rFonts w:ascii="Times New Roman" w:eastAsia="Times New Roman" w:hAnsi="Times New Roman"/>
          <w:sz w:val="24"/>
          <w:szCs w:val="24"/>
        </w:rPr>
        <w:t>Settlement Agreement, dated as of May 15, 2000, by and between Sadsbury Township and Pennsylvania-American Water Company;</w:t>
      </w:r>
    </w:p>
    <w:p w14:paraId="0C325A7B" w14:textId="77777777" w:rsidR="00FC5BB2" w:rsidRPr="00FC5BB2" w:rsidRDefault="00FC5BB2" w:rsidP="003248FA">
      <w:pPr>
        <w:tabs>
          <w:tab w:val="left" w:pos="3600"/>
        </w:tabs>
        <w:ind w:left="2880"/>
        <w:contextualSpacing/>
        <w:jc w:val="both"/>
        <w:rPr>
          <w:rFonts w:ascii="Times New Roman" w:eastAsia="Times New Roman" w:hAnsi="Times New Roman"/>
          <w:sz w:val="24"/>
          <w:szCs w:val="24"/>
        </w:rPr>
      </w:pPr>
    </w:p>
    <w:p w14:paraId="02C5DAFB" w14:textId="520E8CE8" w:rsidR="00FC5BB2" w:rsidRPr="00FC5BB2" w:rsidRDefault="003248FA" w:rsidP="003248FA">
      <w:pPr>
        <w:numPr>
          <w:ilvl w:val="2"/>
          <w:numId w:val="11"/>
        </w:numPr>
        <w:tabs>
          <w:tab w:val="left" w:pos="3600"/>
        </w:tabs>
        <w:ind w:left="2880" w:firstLine="0"/>
        <w:contextualSpacing/>
        <w:jc w:val="both"/>
        <w:rPr>
          <w:rFonts w:ascii="Times New Roman" w:eastAsia="Times New Roman" w:hAnsi="Times New Roman"/>
          <w:sz w:val="24"/>
          <w:szCs w:val="24"/>
        </w:rPr>
      </w:pPr>
      <w:r>
        <w:rPr>
          <w:rFonts w:ascii="Times New Roman" w:eastAsia="Times New Roman" w:hAnsi="Times New Roman"/>
          <w:sz w:val="24"/>
          <w:szCs w:val="24"/>
        </w:rPr>
        <w:tab/>
      </w:r>
      <w:r w:rsidR="00FC5BB2" w:rsidRPr="00FC5BB2">
        <w:rPr>
          <w:rFonts w:ascii="Times New Roman" w:eastAsia="Times New Roman" w:hAnsi="Times New Roman"/>
          <w:sz w:val="24"/>
          <w:szCs w:val="24"/>
        </w:rPr>
        <w:t>Wastewater Conveyance Agreement, dated as of September</w:t>
      </w:r>
      <w:r>
        <w:rPr>
          <w:rFonts w:ascii="Times New Roman" w:eastAsia="Times New Roman" w:hAnsi="Times New Roman"/>
          <w:sz w:val="24"/>
          <w:szCs w:val="24"/>
        </w:rPr>
        <w:t> </w:t>
      </w:r>
      <w:r w:rsidR="00FC5BB2" w:rsidRPr="00FC5BB2">
        <w:rPr>
          <w:rFonts w:ascii="Times New Roman" w:eastAsia="Times New Roman" w:hAnsi="Times New Roman"/>
          <w:sz w:val="24"/>
          <w:szCs w:val="24"/>
        </w:rPr>
        <w:t>16, 2003, by and between Sadsbury Township, Pennsylvania-American Water Company, All County Partnership and Calnshire Estates, LLC;</w:t>
      </w:r>
    </w:p>
    <w:p w14:paraId="7B6E8ECB" w14:textId="77777777" w:rsidR="00FC5BB2" w:rsidRPr="00FC5BB2" w:rsidRDefault="00FC5BB2" w:rsidP="003248FA">
      <w:pPr>
        <w:tabs>
          <w:tab w:val="left" w:pos="3600"/>
        </w:tabs>
        <w:ind w:left="2880"/>
        <w:contextualSpacing/>
        <w:jc w:val="both"/>
        <w:rPr>
          <w:rFonts w:ascii="Times New Roman" w:eastAsia="Times New Roman" w:hAnsi="Times New Roman"/>
          <w:sz w:val="24"/>
          <w:szCs w:val="24"/>
        </w:rPr>
      </w:pPr>
    </w:p>
    <w:p w14:paraId="5B690A1E" w14:textId="521DC966" w:rsidR="00FC5BB2" w:rsidRPr="00FC5BB2" w:rsidRDefault="003248FA" w:rsidP="003248FA">
      <w:pPr>
        <w:numPr>
          <w:ilvl w:val="2"/>
          <w:numId w:val="11"/>
        </w:numPr>
        <w:tabs>
          <w:tab w:val="left" w:pos="3600"/>
        </w:tabs>
        <w:ind w:left="2880" w:firstLine="0"/>
        <w:contextualSpacing/>
        <w:jc w:val="both"/>
        <w:rPr>
          <w:rFonts w:ascii="Times New Roman" w:eastAsia="Times New Roman" w:hAnsi="Times New Roman"/>
          <w:sz w:val="24"/>
          <w:szCs w:val="24"/>
        </w:rPr>
      </w:pPr>
      <w:r>
        <w:rPr>
          <w:rFonts w:ascii="Times New Roman" w:eastAsia="Times New Roman" w:hAnsi="Times New Roman"/>
          <w:sz w:val="24"/>
          <w:szCs w:val="24"/>
        </w:rPr>
        <w:tab/>
      </w:r>
      <w:r w:rsidR="00FC5BB2" w:rsidRPr="00FC5BB2">
        <w:rPr>
          <w:rFonts w:ascii="Times New Roman" w:eastAsia="Times New Roman" w:hAnsi="Times New Roman"/>
          <w:sz w:val="24"/>
          <w:szCs w:val="24"/>
        </w:rPr>
        <w:t>Memorandum dated as of September 16, 2003, Wastewater Conveyance Agreement, recorded September 17, 2003, in the Office of Recorder of Deeds for Chester County;</w:t>
      </w:r>
    </w:p>
    <w:p w14:paraId="67B601EE" w14:textId="77777777" w:rsidR="00FC5BB2" w:rsidRPr="00FC5BB2" w:rsidRDefault="00FC5BB2" w:rsidP="003248FA">
      <w:pPr>
        <w:tabs>
          <w:tab w:val="left" w:pos="3600"/>
        </w:tabs>
        <w:ind w:left="2880"/>
        <w:contextualSpacing/>
        <w:jc w:val="both"/>
        <w:rPr>
          <w:rFonts w:ascii="Times New Roman" w:eastAsia="Times New Roman" w:hAnsi="Times New Roman"/>
          <w:sz w:val="24"/>
          <w:szCs w:val="24"/>
        </w:rPr>
      </w:pPr>
    </w:p>
    <w:p w14:paraId="4C74E9EB" w14:textId="5BC43E39" w:rsidR="00FC5BB2" w:rsidRPr="00FC5BB2" w:rsidRDefault="003248FA" w:rsidP="003248FA">
      <w:pPr>
        <w:numPr>
          <w:ilvl w:val="2"/>
          <w:numId w:val="11"/>
        </w:numPr>
        <w:tabs>
          <w:tab w:val="left" w:pos="3600"/>
        </w:tabs>
        <w:ind w:left="2880" w:firstLine="0"/>
        <w:contextualSpacing/>
        <w:jc w:val="both"/>
        <w:rPr>
          <w:rFonts w:ascii="Times New Roman" w:eastAsia="Times New Roman" w:hAnsi="Times New Roman"/>
          <w:sz w:val="24"/>
          <w:szCs w:val="24"/>
        </w:rPr>
      </w:pPr>
      <w:r>
        <w:rPr>
          <w:rFonts w:ascii="Times New Roman" w:eastAsia="Times New Roman" w:hAnsi="Times New Roman"/>
          <w:sz w:val="24"/>
          <w:szCs w:val="24"/>
        </w:rPr>
        <w:tab/>
      </w:r>
      <w:r w:rsidR="00FC5BB2" w:rsidRPr="00FC5BB2">
        <w:rPr>
          <w:rFonts w:ascii="Times New Roman" w:eastAsia="Times New Roman" w:hAnsi="Times New Roman"/>
          <w:sz w:val="24"/>
          <w:szCs w:val="24"/>
        </w:rPr>
        <w:t>Second Agreement for the Conveyance of Wastewater from West Caln Township through Sadsbury Township, dated as of August 9, 2013, between Sadsbury Township, Pennsylvania-American Water Company, West Caln Township and Lawrence Developers, LP; and,</w:t>
      </w:r>
    </w:p>
    <w:p w14:paraId="3C3EA9C6" w14:textId="77777777" w:rsidR="00FC5BB2" w:rsidRPr="00FC5BB2" w:rsidRDefault="00FC5BB2" w:rsidP="003248FA">
      <w:pPr>
        <w:tabs>
          <w:tab w:val="left" w:pos="3600"/>
        </w:tabs>
        <w:ind w:left="2880"/>
        <w:contextualSpacing/>
        <w:jc w:val="both"/>
        <w:rPr>
          <w:rFonts w:ascii="Times New Roman" w:eastAsia="Times New Roman" w:hAnsi="Times New Roman"/>
          <w:sz w:val="24"/>
          <w:szCs w:val="24"/>
        </w:rPr>
      </w:pPr>
    </w:p>
    <w:p w14:paraId="4B03DCC2" w14:textId="15E0B79E" w:rsidR="00FC5BB2" w:rsidRPr="00FC5BB2" w:rsidRDefault="003248FA" w:rsidP="003248FA">
      <w:pPr>
        <w:numPr>
          <w:ilvl w:val="2"/>
          <w:numId w:val="11"/>
        </w:numPr>
        <w:tabs>
          <w:tab w:val="left" w:pos="3600"/>
        </w:tabs>
        <w:ind w:left="2880" w:firstLine="0"/>
        <w:contextualSpacing/>
        <w:jc w:val="both"/>
        <w:rPr>
          <w:rFonts w:ascii="Times New Roman" w:eastAsia="Times New Roman" w:hAnsi="Times New Roman"/>
          <w:sz w:val="24"/>
          <w:szCs w:val="24"/>
        </w:rPr>
      </w:pPr>
      <w:r>
        <w:rPr>
          <w:rFonts w:ascii="Times New Roman" w:eastAsia="Times New Roman" w:hAnsi="Times New Roman"/>
          <w:sz w:val="24"/>
          <w:szCs w:val="24"/>
        </w:rPr>
        <w:tab/>
      </w:r>
      <w:r w:rsidR="00FC5BB2" w:rsidRPr="00FC5BB2">
        <w:rPr>
          <w:rFonts w:ascii="Times New Roman" w:eastAsia="Times New Roman" w:hAnsi="Times New Roman"/>
          <w:sz w:val="24"/>
          <w:szCs w:val="24"/>
        </w:rPr>
        <w:t>Intergovernmental Agreement, dated as of November 15, 2011, between Sadsbury Township and Valley Township regarding sanitary sewer service for 2800 West Lincoln Highway.</w:t>
      </w:r>
    </w:p>
    <w:p w14:paraId="6E38D16B"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p>
    <w:p w14:paraId="14C6F900" w14:textId="77777777" w:rsidR="00FC5BB2" w:rsidRPr="00FC5BB2" w:rsidRDefault="00FC5BB2" w:rsidP="00FC5BB2">
      <w:pPr>
        <w:tabs>
          <w:tab w:val="left" w:pos="2160"/>
        </w:tabs>
        <w:spacing w:line="360" w:lineRule="auto"/>
        <w:ind w:firstLine="1440"/>
        <w:contextualSpacing/>
        <w:jc w:val="both"/>
        <w:rPr>
          <w:rFonts w:ascii="Times New Roman" w:eastAsia="Times New Roman" w:hAnsi="Times New Roman"/>
          <w:sz w:val="24"/>
          <w:szCs w:val="24"/>
        </w:rPr>
      </w:pPr>
      <w:r w:rsidRPr="00FC5BB2">
        <w:rPr>
          <w:rFonts w:ascii="Times New Roman" w:eastAsia="Times New Roman" w:hAnsi="Times New Roman"/>
          <w:sz w:val="24"/>
          <w:szCs w:val="24"/>
        </w:rPr>
        <w:t>13.</w:t>
      </w:r>
      <w:r w:rsidRPr="00FC5BB2">
        <w:rPr>
          <w:rFonts w:ascii="Times New Roman" w:eastAsia="Times New Roman" w:hAnsi="Times New Roman"/>
          <w:sz w:val="24"/>
          <w:szCs w:val="24"/>
        </w:rPr>
        <w:tab/>
        <w:t>That the Commission’s proceeding at Docket No. A-2018-3002437 is terminated and marked closed.</w:t>
      </w:r>
    </w:p>
    <w:p w14:paraId="720172E0" w14:textId="50FDA2E7" w:rsidR="00CB1D98" w:rsidRPr="00A1530D" w:rsidRDefault="00571AA5" w:rsidP="00CB1D98">
      <w:pPr>
        <w:tabs>
          <w:tab w:val="left" w:pos="2160"/>
        </w:tabs>
        <w:spacing w:line="360" w:lineRule="auto"/>
        <w:ind w:firstLine="1440"/>
        <w:contextualSpacing/>
        <w:jc w:val="both"/>
        <w:rPr>
          <w:rFonts w:ascii="Times New Roman" w:hAnsi="Times New Roman"/>
          <w:spacing w:val="-3"/>
          <w:sz w:val="24"/>
          <w:szCs w:val="24"/>
        </w:rPr>
      </w:pPr>
      <w:bookmarkStart w:id="4" w:name="_GoBack"/>
      <w:r w:rsidRPr="009F01BA">
        <w:rPr>
          <w:b/>
          <w:noProof/>
          <w:sz w:val="20"/>
          <w:szCs w:val="20"/>
        </w:rPr>
        <w:drawing>
          <wp:anchor distT="0" distB="0" distL="114300" distR="114300" simplePos="0" relativeHeight="251659264" behindDoc="1" locked="0" layoutInCell="1" allowOverlap="1" wp14:anchorId="7A38D412" wp14:editId="667A313F">
            <wp:simplePos x="0" y="0"/>
            <wp:positionH relativeFrom="column">
              <wp:posOffset>3343275</wp:posOffset>
            </wp:positionH>
            <wp:positionV relativeFrom="paragraph">
              <wp:posOffset>215265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p>
    <w:p w14:paraId="32EC2B50" w14:textId="7DAA6523" w:rsidR="00577603" w:rsidRPr="00A1530D" w:rsidRDefault="0094719D" w:rsidP="0094719D">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463B1262" w:rsidR="00577603" w:rsidRPr="00A1530D" w:rsidRDefault="00577603" w:rsidP="00577603">
      <w:pPr>
        <w:ind w:left="5040"/>
        <w:rPr>
          <w:rFonts w:ascii="Times New Roman" w:hAnsi="Times New Roman"/>
          <w:sz w:val="24"/>
          <w:szCs w:val="24"/>
        </w:rPr>
      </w:pPr>
    </w:p>
    <w:p w14:paraId="0E541A09" w14:textId="5FA4D148" w:rsidR="00577603" w:rsidRPr="00A1530D" w:rsidRDefault="00577603" w:rsidP="00577603">
      <w:pPr>
        <w:ind w:left="504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0621D2F9" w14:textId="0C59AC63"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66F6224C"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Pr="00A1530D">
        <w:rPr>
          <w:rFonts w:ascii="Times New Roman" w:hAnsi="Times New Roman"/>
          <w:sz w:val="24"/>
          <w:szCs w:val="24"/>
        </w:rPr>
        <w:tab/>
      </w:r>
      <w:r w:rsidR="002363AC">
        <w:rPr>
          <w:rFonts w:ascii="Times New Roman" w:hAnsi="Times New Roman"/>
          <w:sz w:val="24"/>
          <w:szCs w:val="24"/>
        </w:rPr>
        <w:t xml:space="preserve">October </w:t>
      </w:r>
      <w:r w:rsidR="002C0722">
        <w:rPr>
          <w:rFonts w:ascii="Times New Roman" w:hAnsi="Times New Roman"/>
          <w:sz w:val="24"/>
          <w:szCs w:val="24"/>
        </w:rPr>
        <w:t>25</w:t>
      </w:r>
      <w:r w:rsidR="00701D3A">
        <w:rPr>
          <w:rFonts w:ascii="Times New Roman" w:hAnsi="Times New Roman"/>
          <w:sz w:val="24"/>
          <w:szCs w:val="24"/>
        </w:rPr>
        <w:t>, 2018</w:t>
      </w:r>
    </w:p>
    <w:p w14:paraId="20F78A23" w14:textId="77777777" w:rsidR="00577603" w:rsidRPr="00A1530D" w:rsidRDefault="00577603" w:rsidP="00577603">
      <w:pPr>
        <w:rPr>
          <w:rFonts w:ascii="Times New Roman" w:hAnsi="Times New Roman"/>
          <w:sz w:val="24"/>
          <w:szCs w:val="24"/>
        </w:rPr>
      </w:pPr>
    </w:p>
    <w:p w14:paraId="537B2293" w14:textId="1A994854"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Pr="00A1530D">
        <w:rPr>
          <w:rFonts w:ascii="Times New Roman" w:hAnsi="Times New Roman"/>
          <w:sz w:val="24"/>
          <w:szCs w:val="24"/>
        </w:rPr>
        <w:tab/>
      </w:r>
      <w:r w:rsidR="00571AA5">
        <w:rPr>
          <w:rFonts w:ascii="Times New Roman" w:hAnsi="Times New Roman"/>
          <w:sz w:val="24"/>
          <w:szCs w:val="24"/>
        </w:rPr>
        <w:t>October 25, 2018</w:t>
      </w:r>
    </w:p>
    <w:sectPr w:rsidR="00B4392F" w:rsidRPr="00A1530D" w:rsidSect="003248FA">
      <w:footerReference w:type="default" r:id="rId10"/>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A65C6" w14:textId="77777777" w:rsidR="00847500" w:rsidRDefault="00847500" w:rsidP="00577603">
      <w:r>
        <w:separator/>
      </w:r>
    </w:p>
  </w:endnote>
  <w:endnote w:type="continuationSeparator" w:id="0">
    <w:p w14:paraId="70DD8A72" w14:textId="77777777" w:rsidR="00847500" w:rsidRDefault="00847500"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CE0F5" w14:textId="3EA5E828" w:rsidR="00CB1D98" w:rsidRPr="00C403E2" w:rsidRDefault="00CB1D98">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591784"/>
      <w:docPartObj>
        <w:docPartGallery w:val="Page Numbers (Bottom of Page)"/>
        <w:docPartUnique/>
      </w:docPartObj>
    </w:sdtPr>
    <w:sdtEndPr>
      <w:rPr>
        <w:rFonts w:ascii="Times New Roman" w:hAnsi="Times New Roman"/>
        <w:noProof/>
        <w:sz w:val="20"/>
        <w:szCs w:val="20"/>
      </w:rPr>
    </w:sdtEndPr>
    <w:sdtContent>
      <w:p w14:paraId="2E82BA2E" w14:textId="77777777" w:rsidR="00FC5BB2" w:rsidRPr="00C403E2" w:rsidRDefault="00FC5BB2">
        <w:pPr>
          <w:pStyle w:val="Footer"/>
          <w:jc w:val="center"/>
          <w:rPr>
            <w:rFonts w:ascii="Times New Roman" w:hAnsi="Times New Roman"/>
            <w:sz w:val="20"/>
            <w:szCs w:val="20"/>
          </w:rPr>
        </w:pPr>
        <w:r w:rsidRPr="00C403E2">
          <w:rPr>
            <w:rFonts w:ascii="Times New Roman" w:hAnsi="Times New Roman"/>
            <w:sz w:val="20"/>
            <w:szCs w:val="20"/>
          </w:rPr>
          <w:fldChar w:fldCharType="begin"/>
        </w:r>
        <w:r w:rsidRPr="00C403E2">
          <w:rPr>
            <w:rFonts w:ascii="Times New Roman" w:hAnsi="Times New Roman"/>
            <w:sz w:val="20"/>
            <w:szCs w:val="20"/>
          </w:rPr>
          <w:instrText xml:space="preserve"> PAGE   \* MERGEFORMAT </w:instrText>
        </w:r>
        <w:r w:rsidRPr="00C403E2">
          <w:rPr>
            <w:rFonts w:ascii="Times New Roman" w:hAnsi="Times New Roman"/>
            <w:sz w:val="20"/>
            <w:szCs w:val="20"/>
          </w:rPr>
          <w:fldChar w:fldCharType="separate"/>
        </w:r>
        <w:r>
          <w:rPr>
            <w:rFonts w:ascii="Times New Roman" w:hAnsi="Times New Roman"/>
            <w:noProof/>
            <w:sz w:val="20"/>
            <w:szCs w:val="20"/>
          </w:rPr>
          <w:t>2</w:t>
        </w:r>
        <w:r w:rsidRPr="00C403E2">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B1077" w14:textId="77777777" w:rsidR="00847500" w:rsidRDefault="00847500" w:rsidP="00577603">
      <w:r>
        <w:separator/>
      </w:r>
    </w:p>
  </w:footnote>
  <w:footnote w:type="continuationSeparator" w:id="0">
    <w:p w14:paraId="14E3938E" w14:textId="77777777" w:rsidR="00847500" w:rsidRDefault="00847500"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C624E4"/>
    <w:multiLevelType w:val="hybridMultilevel"/>
    <w:tmpl w:val="FCB67F86"/>
    <w:lvl w:ilvl="0" w:tplc="BFA246BE">
      <w:start w:val="2"/>
      <w:numFmt w:val="lowerLetter"/>
      <w:lvlText w:val="%1."/>
      <w:lvlJc w:val="left"/>
      <w:pPr>
        <w:ind w:left="1512" w:hanging="360"/>
      </w:pPr>
      <w:rPr>
        <w:rFonts w:hint="default"/>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AFA7D5F"/>
    <w:multiLevelType w:val="hybridMultilevel"/>
    <w:tmpl w:val="5CA8EBA0"/>
    <w:lvl w:ilvl="0" w:tplc="0409000F">
      <w:start w:val="1"/>
      <w:numFmt w:val="decimal"/>
      <w:lvlText w:val="%1."/>
      <w:lvlJc w:val="left"/>
      <w:pPr>
        <w:ind w:left="720" w:hanging="360"/>
      </w:pPr>
    </w:lvl>
    <w:lvl w:ilvl="1" w:tplc="04090019">
      <w:start w:val="1"/>
      <w:numFmt w:val="lowerLetter"/>
      <w:lvlText w:val="%2."/>
      <w:lvlJc w:val="left"/>
      <w:pPr>
        <w:ind w:left="2160" w:hanging="360"/>
      </w:pPr>
    </w:lvl>
    <w:lvl w:ilvl="2" w:tplc="0409001B">
      <w:start w:val="1"/>
      <w:numFmt w:val="lowerRoman"/>
      <w:lvlText w:val="%3."/>
      <w:lvlJc w:val="right"/>
      <w:pPr>
        <w:ind w:left="144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322D12"/>
    <w:multiLevelType w:val="hybridMultilevel"/>
    <w:tmpl w:val="0B9EF096"/>
    <w:lvl w:ilvl="0" w:tplc="BFA246BE">
      <w:start w:val="3"/>
      <w:numFmt w:val="lowerLetter"/>
      <w:lvlText w:val="%1."/>
      <w:lvlJc w:val="left"/>
      <w:pPr>
        <w:ind w:left="1512" w:hanging="360"/>
      </w:pPr>
      <w:rPr>
        <w:rFonts w:hint="default"/>
      </w:rPr>
    </w:lvl>
    <w:lvl w:ilvl="1" w:tplc="04090019">
      <w:start w:val="1"/>
      <w:numFmt w:val="lowerLetter"/>
      <w:lvlText w:val="%2."/>
      <w:lvlJc w:val="left"/>
      <w:pPr>
        <w:ind w:left="1440" w:hanging="360"/>
      </w:pPr>
    </w:lvl>
    <w:lvl w:ilvl="2" w:tplc="43FCA97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5"/>
  </w:num>
  <w:num w:numId="3">
    <w:abstractNumId w:val="9"/>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720"/>
    <w:rsid w:val="00007BA3"/>
    <w:rsid w:val="00017D3A"/>
    <w:rsid w:val="0002098B"/>
    <w:rsid w:val="000273F0"/>
    <w:rsid w:val="00040018"/>
    <w:rsid w:val="000479FE"/>
    <w:rsid w:val="00052E3E"/>
    <w:rsid w:val="00053534"/>
    <w:rsid w:val="000611CF"/>
    <w:rsid w:val="00063411"/>
    <w:rsid w:val="000844A5"/>
    <w:rsid w:val="00085D71"/>
    <w:rsid w:val="000944C1"/>
    <w:rsid w:val="000A179A"/>
    <w:rsid w:val="000A2947"/>
    <w:rsid w:val="000A63CB"/>
    <w:rsid w:val="000B00DA"/>
    <w:rsid w:val="000C14A2"/>
    <w:rsid w:val="000C3643"/>
    <w:rsid w:val="000C6988"/>
    <w:rsid w:val="000D4CC8"/>
    <w:rsid w:val="000D5F69"/>
    <w:rsid w:val="000E48FC"/>
    <w:rsid w:val="001013CF"/>
    <w:rsid w:val="001146D1"/>
    <w:rsid w:val="00115803"/>
    <w:rsid w:val="00125F74"/>
    <w:rsid w:val="00134222"/>
    <w:rsid w:val="001430DE"/>
    <w:rsid w:val="00143DCF"/>
    <w:rsid w:val="00167B29"/>
    <w:rsid w:val="0018257D"/>
    <w:rsid w:val="001A7A94"/>
    <w:rsid w:val="001B27C9"/>
    <w:rsid w:val="001B79A6"/>
    <w:rsid w:val="001C6A74"/>
    <w:rsid w:val="001D4E5B"/>
    <w:rsid w:val="001D5649"/>
    <w:rsid w:val="001D654E"/>
    <w:rsid w:val="001D7592"/>
    <w:rsid w:val="001F620A"/>
    <w:rsid w:val="001F6775"/>
    <w:rsid w:val="002053BB"/>
    <w:rsid w:val="00227917"/>
    <w:rsid w:val="002363AC"/>
    <w:rsid w:val="00246581"/>
    <w:rsid w:val="00253A7E"/>
    <w:rsid w:val="00253F1B"/>
    <w:rsid w:val="00274749"/>
    <w:rsid w:val="00277876"/>
    <w:rsid w:val="00287DA4"/>
    <w:rsid w:val="0029123A"/>
    <w:rsid w:val="00292B26"/>
    <w:rsid w:val="002A4D09"/>
    <w:rsid w:val="002B0A6D"/>
    <w:rsid w:val="002B1C7D"/>
    <w:rsid w:val="002B3E19"/>
    <w:rsid w:val="002B5251"/>
    <w:rsid w:val="002B55B0"/>
    <w:rsid w:val="002C0722"/>
    <w:rsid w:val="002C4774"/>
    <w:rsid w:val="002C691F"/>
    <w:rsid w:val="002D24DB"/>
    <w:rsid w:val="002E7FB1"/>
    <w:rsid w:val="002F32B8"/>
    <w:rsid w:val="003051A8"/>
    <w:rsid w:val="00305EAC"/>
    <w:rsid w:val="0031226C"/>
    <w:rsid w:val="003157A2"/>
    <w:rsid w:val="003248FA"/>
    <w:rsid w:val="003308DC"/>
    <w:rsid w:val="0033198C"/>
    <w:rsid w:val="003331C8"/>
    <w:rsid w:val="00333862"/>
    <w:rsid w:val="003365BA"/>
    <w:rsid w:val="003410FE"/>
    <w:rsid w:val="0035079A"/>
    <w:rsid w:val="00363AA5"/>
    <w:rsid w:val="00372617"/>
    <w:rsid w:val="00377BA7"/>
    <w:rsid w:val="0038237F"/>
    <w:rsid w:val="00385E75"/>
    <w:rsid w:val="00391736"/>
    <w:rsid w:val="003922EF"/>
    <w:rsid w:val="003A3201"/>
    <w:rsid w:val="003B47A2"/>
    <w:rsid w:val="003B4E07"/>
    <w:rsid w:val="003B5917"/>
    <w:rsid w:val="003D6178"/>
    <w:rsid w:val="003E02CE"/>
    <w:rsid w:val="004031CC"/>
    <w:rsid w:val="0040782F"/>
    <w:rsid w:val="004128DE"/>
    <w:rsid w:val="00422C47"/>
    <w:rsid w:val="004236CA"/>
    <w:rsid w:val="00440E92"/>
    <w:rsid w:val="00442788"/>
    <w:rsid w:val="00443F42"/>
    <w:rsid w:val="0044606E"/>
    <w:rsid w:val="00451040"/>
    <w:rsid w:val="00451BD4"/>
    <w:rsid w:val="00461867"/>
    <w:rsid w:val="00461D0C"/>
    <w:rsid w:val="00474BF2"/>
    <w:rsid w:val="00491BAF"/>
    <w:rsid w:val="00495A06"/>
    <w:rsid w:val="004A4684"/>
    <w:rsid w:val="004B2AB3"/>
    <w:rsid w:val="004C1C2B"/>
    <w:rsid w:val="004C5399"/>
    <w:rsid w:val="004C58B6"/>
    <w:rsid w:val="004D1BC3"/>
    <w:rsid w:val="004E445E"/>
    <w:rsid w:val="004F3637"/>
    <w:rsid w:val="00513883"/>
    <w:rsid w:val="00516857"/>
    <w:rsid w:val="0053164C"/>
    <w:rsid w:val="00533816"/>
    <w:rsid w:val="00534A0E"/>
    <w:rsid w:val="00536AD8"/>
    <w:rsid w:val="00536E3F"/>
    <w:rsid w:val="00547388"/>
    <w:rsid w:val="0054758E"/>
    <w:rsid w:val="00547892"/>
    <w:rsid w:val="0055254D"/>
    <w:rsid w:val="00571AA5"/>
    <w:rsid w:val="00571DA4"/>
    <w:rsid w:val="00573009"/>
    <w:rsid w:val="0057436D"/>
    <w:rsid w:val="005764C4"/>
    <w:rsid w:val="00577603"/>
    <w:rsid w:val="0058122C"/>
    <w:rsid w:val="00582B03"/>
    <w:rsid w:val="00585565"/>
    <w:rsid w:val="005A1768"/>
    <w:rsid w:val="005B0E9D"/>
    <w:rsid w:val="005B29B4"/>
    <w:rsid w:val="005C28EE"/>
    <w:rsid w:val="005D0E37"/>
    <w:rsid w:val="005D4D77"/>
    <w:rsid w:val="00607708"/>
    <w:rsid w:val="00616F40"/>
    <w:rsid w:val="00617AF8"/>
    <w:rsid w:val="0062057F"/>
    <w:rsid w:val="00622639"/>
    <w:rsid w:val="00630955"/>
    <w:rsid w:val="006418EF"/>
    <w:rsid w:val="0064430B"/>
    <w:rsid w:val="0067513D"/>
    <w:rsid w:val="00682353"/>
    <w:rsid w:val="006859AE"/>
    <w:rsid w:val="00685C05"/>
    <w:rsid w:val="00693D35"/>
    <w:rsid w:val="006A62FB"/>
    <w:rsid w:val="006B2B82"/>
    <w:rsid w:val="006D5B2B"/>
    <w:rsid w:val="006E1DD9"/>
    <w:rsid w:val="006E3DEA"/>
    <w:rsid w:val="006F3F31"/>
    <w:rsid w:val="00701D3A"/>
    <w:rsid w:val="007061E7"/>
    <w:rsid w:val="007133E8"/>
    <w:rsid w:val="00740F14"/>
    <w:rsid w:val="00744935"/>
    <w:rsid w:val="0074619B"/>
    <w:rsid w:val="00746A95"/>
    <w:rsid w:val="007672AE"/>
    <w:rsid w:val="007712F9"/>
    <w:rsid w:val="00772A3D"/>
    <w:rsid w:val="0077716A"/>
    <w:rsid w:val="00780B4F"/>
    <w:rsid w:val="007A0A01"/>
    <w:rsid w:val="007A4000"/>
    <w:rsid w:val="007A44A6"/>
    <w:rsid w:val="007A738F"/>
    <w:rsid w:val="007C2265"/>
    <w:rsid w:val="007C7618"/>
    <w:rsid w:val="007D692A"/>
    <w:rsid w:val="007E3AEA"/>
    <w:rsid w:val="007E3C9C"/>
    <w:rsid w:val="007E4D0E"/>
    <w:rsid w:val="007E51C6"/>
    <w:rsid w:val="00800BED"/>
    <w:rsid w:val="008148F1"/>
    <w:rsid w:val="008312BE"/>
    <w:rsid w:val="00847500"/>
    <w:rsid w:val="0085572D"/>
    <w:rsid w:val="00871EEB"/>
    <w:rsid w:val="00876B81"/>
    <w:rsid w:val="00885CBF"/>
    <w:rsid w:val="00887780"/>
    <w:rsid w:val="00892B7B"/>
    <w:rsid w:val="00895C96"/>
    <w:rsid w:val="008A1028"/>
    <w:rsid w:val="008A4505"/>
    <w:rsid w:val="008D6D3F"/>
    <w:rsid w:val="008E2995"/>
    <w:rsid w:val="008F4EF1"/>
    <w:rsid w:val="008F5BA5"/>
    <w:rsid w:val="008F60F4"/>
    <w:rsid w:val="0090326D"/>
    <w:rsid w:val="0090332D"/>
    <w:rsid w:val="00912FB5"/>
    <w:rsid w:val="00916825"/>
    <w:rsid w:val="00922798"/>
    <w:rsid w:val="009408D5"/>
    <w:rsid w:val="00943357"/>
    <w:rsid w:val="0094719D"/>
    <w:rsid w:val="009543C9"/>
    <w:rsid w:val="00954588"/>
    <w:rsid w:val="00960F87"/>
    <w:rsid w:val="0096560D"/>
    <w:rsid w:val="00966A62"/>
    <w:rsid w:val="009714D3"/>
    <w:rsid w:val="00984892"/>
    <w:rsid w:val="00991F61"/>
    <w:rsid w:val="009A62B3"/>
    <w:rsid w:val="009B272B"/>
    <w:rsid w:val="009C1616"/>
    <w:rsid w:val="009C6EDE"/>
    <w:rsid w:val="009D03FD"/>
    <w:rsid w:val="009E33FD"/>
    <w:rsid w:val="009E7057"/>
    <w:rsid w:val="009F23FA"/>
    <w:rsid w:val="00A118DC"/>
    <w:rsid w:val="00A14B56"/>
    <w:rsid w:val="00A1530D"/>
    <w:rsid w:val="00A15432"/>
    <w:rsid w:val="00A21079"/>
    <w:rsid w:val="00A3486C"/>
    <w:rsid w:val="00A529F4"/>
    <w:rsid w:val="00A72EB8"/>
    <w:rsid w:val="00A7354A"/>
    <w:rsid w:val="00A770A9"/>
    <w:rsid w:val="00A83A7C"/>
    <w:rsid w:val="00AA1373"/>
    <w:rsid w:val="00AC0834"/>
    <w:rsid w:val="00AC132D"/>
    <w:rsid w:val="00AC3136"/>
    <w:rsid w:val="00AC3230"/>
    <w:rsid w:val="00AC3AFC"/>
    <w:rsid w:val="00AC4910"/>
    <w:rsid w:val="00AD6CC9"/>
    <w:rsid w:val="00AF34C5"/>
    <w:rsid w:val="00B05A2D"/>
    <w:rsid w:val="00B21F40"/>
    <w:rsid w:val="00B40D01"/>
    <w:rsid w:val="00B4119A"/>
    <w:rsid w:val="00B4392F"/>
    <w:rsid w:val="00B65524"/>
    <w:rsid w:val="00B70CE4"/>
    <w:rsid w:val="00B71000"/>
    <w:rsid w:val="00B71993"/>
    <w:rsid w:val="00B76A14"/>
    <w:rsid w:val="00B81C8B"/>
    <w:rsid w:val="00B951B5"/>
    <w:rsid w:val="00BA307A"/>
    <w:rsid w:val="00BA46C8"/>
    <w:rsid w:val="00BB2619"/>
    <w:rsid w:val="00BB6128"/>
    <w:rsid w:val="00BC29F8"/>
    <w:rsid w:val="00BD38B5"/>
    <w:rsid w:val="00BD4A29"/>
    <w:rsid w:val="00BE3AA4"/>
    <w:rsid w:val="00BE7D22"/>
    <w:rsid w:val="00BF3B18"/>
    <w:rsid w:val="00C014DF"/>
    <w:rsid w:val="00C019A7"/>
    <w:rsid w:val="00C04D76"/>
    <w:rsid w:val="00C11F28"/>
    <w:rsid w:val="00C1282F"/>
    <w:rsid w:val="00C403E2"/>
    <w:rsid w:val="00C4283F"/>
    <w:rsid w:val="00C547DA"/>
    <w:rsid w:val="00C71175"/>
    <w:rsid w:val="00C95A82"/>
    <w:rsid w:val="00CA6486"/>
    <w:rsid w:val="00CA6929"/>
    <w:rsid w:val="00CA79C7"/>
    <w:rsid w:val="00CB1D98"/>
    <w:rsid w:val="00CB52DB"/>
    <w:rsid w:val="00CC0069"/>
    <w:rsid w:val="00CC2B3F"/>
    <w:rsid w:val="00CD2CD8"/>
    <w:rsid w:val="00CD3435"/>
    <w:rsid w:val="00CE494A"/>
    <w:rsid w:val="00CF786A"/>
    <w:rsid w:val="00CF7960"/>
    <w:rsid w:val="00D04B98"/>
    <w:rsid w:val="00D06F19"/>
    <w:rsid w:val="00D20889"/>
    <w:rsid w:val="00D524F7"/>
    <w:rsid w:val="00D63366"/>
    <w:rsid w:val="00D6599E"/>
    <w:rsid w:val="00D665B5"/>
    <w:rsid w:val="00D95B75"/>
    <w:rsid w:val="00D96CF9"/>
    <w:rsid w:val="00DA2F02"/>
    <w:rsid w:val="00DA6E2D"/>
    <w:rsid w:val="00DB10D3"/>
    <w:rsid w:val="00DE6DE4"/>
    <w:rsid w:val="00E02C0B"/>
    <w:rsid w:val="00E06370"/>
    <w:rsid w:val="00E17242"/>
    <w:rsid w:val="00E2017D"/>
    <w:rsid w:val="00E42626"/>
    <w:rsid w:val="00E52E26"/>
    <w:rsid w:val="00E53903"/>
    <w:rsid w:val="00E53B8C"/>
    <w:rsid w:val="00E54321"/>
    <w:rsid w:val="00E56536"/>
    <w:rsid w:val="00E5783A"/>
    <w:rsid w:val="00E850D3"/>
    <w:rsid w:val="00E857CE"/>
    <w:rsid w:val="00E90854"/>
    <w:rsid w:val="00E965D1"/>
    <w:rsid w:val="00E974A2"/>
    <w:rsid w:val="00EA6E89"/>
    <w:rsid w:val="00EC515D"/>
    <w:rsid w:val="00EE723A"/>
    <w:rsid w:val="00F022E2"/>
    <w:rsid w:val="00F03384"/>
    <w:rsid w:val="00F24F76"/>
    <w:rsid w:val="00F37419"/>
    <w:rsid w:val="00F411A1"/>
    <w:rsid w:val="00F5543B"/>
    <w:rsid w:val="00F55530"/>
    <w:rsid w:val="00F6326F"/>
    <w:rsid w:val="00F73B1B"/>
    <w:rsid w:val="00F757F6"/>
    <w:rsid w:val="00F7724B"/>
    <w:rsid w:val="00F77FC4"/>
    <w:rsid w:val="00F91579"/>
    <w:rsid w:val="00F94652"/>
    <w:rsid w:val="00FA1A8E"/>
    <w:rsid w:val="00FA576D"/>
    <w:rsid w:val="00FA5939"/>
    <w:rsid w:val="00FB02BC"/>
    <w:rsid w:val="00FC5BB2"/>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269BA38-7035-4AC0-A77F-076DEEBB3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Farner, Joyce</cp:lastModifiedBy>
  <cp:revision>5</cp:revision>
  <cp:lastPrinted>2018-10-25T16:46:00Z</cp:lastPrinted>
  <dcterms:created xsi:type="dcterms:W3CDTF">2018-10-15T12:17:00Z</dcterms:created>
  <dcterms:modified xsi:type="dcterms:W3CDTF">2018-10-25T16:46:00Z</dcterms:modified>
</cp:coreProperties>
</file>