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F131F" w14:textId="77777777" w:rsidR="00A87203" w:rsidRPr="00B13B40" w:rsidRDefault="00A87203" w:rsidP="00A8720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761D8B1D" w14:textId="77777777" w:rsidR="00A87203" w:rsidRPr="00B13B40" w:rsidRDefault="00A87203" w:rsidP="00A8720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666EC54E" w14:textId="23271C76" w:rsidR="00A87203" w:rsidRDefault="00A87203" w:rsidP="00F52E1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E7BAF50" w14:textId="5A015EBC" w:rsidR="00F52E15" w:rsidRDefault="00F52E15" w:rsidP="00F52E1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19C47DD" w14:textId="77777777" w:rsidR="00F52E15" w:rsidRPr="00B13B40" w:rsidRDefault="00F52E15" w:rsidP="00F52E1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2941F39" w14:textId="5C65AB9D" w:rsidR="00A87203" w:rsidRPr="00B13B40" w:rsidRDefault="00A87203" w:rsidP="00A8720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Bill </w:t>
      </w:r>
      <w:proofErr w:type="spellStart"/>
      <w:r>
        <w:rPr>
          <w:rFonts w:ascii="Times New Roman" w:eastAsia="Times New Roman" w:hAnsi="Times New Roman" w:cs="Times New Roman"/>
          <w:spacing w:val="-3"/>
          <w:sz w:val="24"/>
          <w:szCs w:val="24"/>
        </w:rPr>
        <w:t>Tsikas</w:t>
      </w:r>
      <w:proofErr w:type="spellEnd"/>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477E9809" w14:textId="77777777" w:rsidR="00A87203" w:rsidRPr="00B13B40" w:rsidRDefault="00A87203" w:rsidP="00A8720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5E9B724D" w14:textId="3C1F8AF9" w:rsidR="00A87203" w:rsidRPr="00B13B40" w:rsidRDefault="00A87203" w:rsidP="00A8720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F-2018-3005092</w:t>
      </w:r>
    </w:p>
    <w:p w14:paraId="0C7CD66F" w14:textId="77777777" w:rsidR="00A87203" w:rsidRPr="00B13B40" w:rsidRDefault="00A87203" w:rsidP="00A8720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2C3B075D" w14:textId="77777777" w:rsidR="00A87203" w:rsidRPr="00B13B40" w:rsidRDefault="00A87203" w:rsidP="00A8720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F96469C" w14:textId="637D9C89" w:rsidR="00A87203" w:rsidRDefault="00A87203" w:rsidP="00F52E1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4EB16E6" w14:textId="29DA66C6" w:rsidR="00F52E15" w:rsidRDefault="00F52E15" w:rsidP="00F52E1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AA57F04" w14:textId="77777777" w:rsidR="00F52E15" w:rsidRPr="00B13B40" w:rsidRDefault="00F52E15" w:rsidP="00F52E1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31FC7FA" w14:textId="77777777" w:rsidR="00A87203" w:rsidRPr="00B13B40" w:rsidRDefault="00A87203" w:rsidP="00A8720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2547C506" w14:textId="77777777" w:rsidR="00A87203" w:rsidRPr="00B13B40" w:rsidRDefault="00A87203" w:rsidP="00A8720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4D5E2CC1" w14:textId="1B4FD039" w:rsidR="00A87203" w:rsidRPr="00B13B40" w:rsidRDefault="00A87203" w:rsidP="00A8720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November 13, at 1:30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30E7BD15" w14:textId="77777777" w:rsidR="00A87203" w:rsidRPr="00B13B40" w:rsidRDefault="00A87203" w:rsidP="00A87203">
      <w:pPr>
        <w:tabs>
          <w:tab w:val="left" w:pos="0"/>
        </w:tabs>
        <w:spacing w:after="0" w:line="360" w:lineRule="auto"/>
        <w:ind w:firstLine="1440"/>
        <w:rPr>
          <w:rFonts w:ascii="Times New Roman" w:hAnsi="Times New Roman" w:cs="Times New Roman"/>
          <w:sz w:val="24"/>
        </w:rPr>
      </w:pPr>
    </w:p>
    <w:p w14:paraId="454DA7B8" w14:textId="79A8FBDD" w:rsidR="00A87203" w:rsidRPr="00B13B40" w:rsidRDefault="00A87203" w:rsidP="00A8720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F52E15"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4F28168F" w14:textId="77777777" w:rsidR="00A87203" w:rsidRPr="00B13B40" w:rsidRDefault="00A87203" w:rsidP="00A87203">
      <w:pPr>
        <w:tabs>
          <w:tab w:val="num" w:pos="0"/>
        </w:tabs>
        <w:spacing w:after="0" w:line="360" w:lineRule="auto"/>
        <w:ind w:firstLine="1440"/>
        <w:rPr>
          <w:rFonts w:ascii="Times New Roman" w:hAnsi="Times New Roman" w:cs="Times New Roman"/>
          <w:sz w:val="24"/>
        </w:rPr>
      </w:pPr>
    </w:p>
    <w:p w14:paraId="4FF6482F" w14:textId="77777777" w:rsidR="00A87203" w:rsidRPr="008B66F4" w:rsidRDefault="00A87203" w:rsidP="00A8720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363C23EB" w14:textId="77777777" w:rsidR="00A87203" w:rsidRPr="008B66F4" w:rsidRDefault="00A87203" w:rsidP="00A8720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3C3AB6FA" w14:textId="77777777" w:rsidR="00A87203" w:rsidRPr="008B66F4" w:rsidRDefault="00A87203" w:rsidP="00A8720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338A6F09" w14:textId="77777777" w:rsidR="00A87203" w:rsidRPr="008B66F4" w:rsidRDefault="00A87203" w:rsidP="00A8720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60D27A6B" w14:textId="77777777" w:rsidR="00A87203" w:rsidRPr="008B66F4" w:rsidRDefault="00A87203" w:rsidP="00A8720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05AF4606" w14:textId="77777777" w:rsidR="00A87203" w:rsidRPr="00B13B40" w:rsidRDefault="00A87203" w:rsidP="00A87203">
      <w:pPr>
        <w:tabs>
          <w:tab w:val="num" w:pos="0"/>
        </w:tabs>
        <w:spacing w:after="0" w:line="240" w:lineRule="auto"/>
        <w:ind w:firstLine="1440"/>
        <w:rPr>
          <w:rFonts w:ascii="Times New Roman" w:hAnsi="Times New Roman" w:cs="Times New Roman"/>
          <w:sz w:val="24"/>
        </w:rPr>
      </w:pPr>
    </w:p>
    <w:p w14:paraId="301DFDEB" w14:textId="77777777" w:rsidR="00A87203" w:rsidRPr="00B13B40" w:rsidRDefault="00A87203" w:rsidP="00A8720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09A2DA85" w14:textId="77777777" w:rsidR="00A87203" w:rsidRPr="00B13B40" w:rsidRDefault="00A87203" w:rsidP="00A87203">
      <w:pPr>
        <w:tabs>
          <w:tab w:val="num" w:pos="0"/>
          <w:tab w:val="left" w:pos="2070"/>
        </w:tabs>
        <w:spacing w:after="0" w:line="360" w:lineRule="auto"/>
        <w:ind w:firstLine="1440"/>
        <w:rPr>
          <w:rFonts w:ascii="Times New Roman" w:hAnsi="Times New Roman" w:cs="Times New Roman"/>
          <w:sz w:val="24"/>
        </w:rPr>
      </w:pPr>
    </w:p>
    <w:p w14:paraId="47A5D1FE" w14:textId="77777777" w:rsidR="00A87203" w:rsidRPr="00B13B40" w:rsidRDefault="00A87203" w:rsidP="00A87203">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3F75E786" w14:textId="77777777" w:rsidR="00A87203" w:rsidRPr="00B13B40" w:rsidRDefault="00A87203" w:rsidP="00A87203">
      <w:pPr>
        <w:tabs>
          <w:tab w:val="num" w:pos="0"/>
        </w:tabs>
        <w:spacing w:after="0" w:line="360" w:lineRule="auto"/>
        <w:ind w:firstLine="1440"/>
        <w:rPr>
          <w:rFonts w:ascii="Times New Roman" w:hAnsi="Times New Roman" w:cs="Times New Roman"/>
          <w:sz w:val="24"/>
        </w:rPr>
      </w:pPr>
    </w:p>
    <w:p w14:paraId="293FC8E3" w14:textId="77777777" w:rsidR="00A87203" w:rsidRPr="00B13B40" w:rsidRDefault="00A87203" w:rsidP="00A8720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0F0A71B4" w14:textId="77777777" w:rsidR="00A87203" w:rsidRPr="00B13B40" w:rsidRDefault="00A87203" w:rsidP="00A87203">
      <w:pPr>
        <w:tabs>
          <w:tab w:val="num" w:pos="0"/>
        </w:tabs>
        <w:spacing w:after="0" w:line="360" w:lineRule="auto"/>
        <w:ind w:firstLine="1440"/>
        <w:contextualSpacing/>
        <w:rPr>
          <w:rFonts w:ascii="Times New Roman" w:eastAsia="Times New Roman" w:hAnsi="Times New Roman" w:cs="Times New Roman"/>
          <w:sz w:val="24"/>
          <w:szCs w:val="20"/>
        </w:rPr>
      </w:pPr>
    </w:p>
    <w:p w14:paraId="1EB8B393" w14:textId="77777777" w:rsidR="00A87203" w:rsidRPr="00B13B40" w:rsidRDefault="00A87203" w:rsidP="00A8720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2ECDD62F" w14:textId="77777777" w:rsidR="00A87203" w:rsidRPr="00B13B40" w:rsidRDefault="00A87203" w:rsidP="00A87203">
      <w:pPr>
        <w:spacing w:after="0" w:line="360" w:lineRule="auto"/>
        <w:ind w:firstLine="1440"/>
        <w:rPr>
          <w:rFonts w:ascii="Times New Roman" w:hAnsi="Times New Roman" w:cs="Times New Roman"/>
          <w:sz w:val="24"/>
        </w:rPr>
      </w:pPr>
    </w:p>
    <w:p w14:paraId="299EA35D" w14:textId="77777777" w:rsidR="00A87203" w:rsidRPr="00B13B40" w:rsidRDefault="00A87203" w:rsidP="00A8720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45EDFBE7" w14:textId="77777777" w:rsidR="00A87203" w:rsidRPr="00B13B40" w:rsidRDefault="00A87203" w:rsidP="00A87203">
      <w:pPr>
        <w:spacing w:after="0" w:line="360" w:lineRule="auto"/>
        <w:ind w:firstLine="1440"/>
        <w:contextualSpacing/>
        <w:rPr>
          <w:rFonts w:ascii="Times New Roman" w:eastAsia="Times New Roman" w:hAnsi="Times New Roman" w:cs="Times New Roman"/>
          <w:sz w:val="24"/>
          <w:szCs w:val="20"/>
        </w:rPr>
      </w:pPr>
    </w:p>
    <w:p w14:paraId="55E5B3F1" w14:textId="77777777" w:rsidR="00A87203" w:rsidRPr="00B13B40" w:rsidRDefault="00A87203" w:rsidP="00A8720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68351B63" w14:textId="77777777" w:rsidR="00A87203" w:rsidRPr="00B13B40" w:rsidRDefault="00A87203" w:rsidP="00A87203">
      <w:pPr>
        <w:tabs>
          <w:tab w:val="left" w:pos="0"/>
          <w:tab w:val="left" w:pos="2070"/>
        </w:tabs>
        <w:spacing w:after="0" w:line="360" w:lineRule="auto"/>
        <w:ind w:firstLine="1440"/>
        <w:rPr>
          <w:rFonts w:ascii="Times New Roman" w:hAnsi="Times New Roman" w:cs="Times New Roman"/>
          <w:sz w:val="24"/>
        </w:rPr>
      </w:pPr>
    </w:p>
    <w:p w14:paraId="586881F3" w14:textId="77777777" w:rsidR="00A87203" w:rsidRPr="00B13B40" w:rsidRDefault="00A87203" w:rsidP="00A8720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C4E3114" w14:textId="77777777" w:rsidR="00A87203" w:rsidRPr="00B13B40" w:rsidRDefault="00A87203" w:rsidP="00A87203">
      <w:pPr>
        <w:tabs>
          <w:tab w:val="left" w:pos="0"/>
        </w:tabs>
        <w:spacing w:after="0" w:line="360" w:lineRule="auto"/>
        <w:ind w:firstLine="1440"/>
        <w:rPr>
          <w:rFonts w:ascii="Times New Roman" w:hAnsi="Times New Roman" w:cs="Times New Roman"/>
          <w:sz w:val="24"/>
        </w:rPr>
      </w:pPr>
    </w:p>
    <w:p w14:paraId="1EBD9207" w14:textId="77777777" w:rsidR="00A87203" w:rsidRPr="00B13B40" w:rsidRDefault="00A87203" w:rsidP="00A8720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6997CE23" w14:textId="77777777" w:rsidR="00A87203" w:rsidRPr="00B13B40" w:rsidRDefault="00A87203" w:rsidP="00A87203">
      <w:pPr>
        <w:tabs>
          <w:tab w:val="left" w:pos="0"/>
        </w:tabs>
        <w:spacing w:after="0" w:line="360" w:lineRule="auto"/>
        <w:ind w:firstLine="1440"/>
        <w:rPr>
          <w:rFonts w:ascii="Times New Roman" w:hAnsi="Times New Roman" w:cs="Times New Roman"/>
          <w:sz w:val="24"/>
        </w:rPr>
      </w:pPr>
    </w:p>
    <w:p w14:paraId="7FCC0C5F" w14:textId="77777777" w:rsidR="00A87203" w:rsidRPr="00B13B40" w:rsidRDefault="00A87203" w:rsidP="00A8720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52039BC9" w14:textId="77777777" w:rsidR="00A87203" w:rsidRPr="00B13B40" w:rsidRDefault="00A87203" w:rsidP="00A87203">
      <w:pPr>
        <w:tabs>
          <w:tab w:val="left" w:pos="0"/>
        </w:tabs>
        <w:spacing w:after="0" w:line="360" w:lineRule="auto"/>
        <w:ind w:firstLine="1440"/>
        <w:rPr>
          <w:rFonts w:ascii="Times New Roman" w:hAnsi="Times New Roman" w:cs="Times New Roman"/>
          <w:sz w:val="24"/>
        </w:rPr>
      </w:pPr>
    </w:p>
    <w:p w14:paraId="6F7C50D9" w14:textId="77777777" w:rsidR="00A87203" w:rsidRPr="00B13B40" w:rsidRDefault="00A87203" w:rsidP="00A8720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0F368514" w14:textId="77777777" w:rsidR="00A87203" w:rsidRPr="00B13B40" w:rsidRDefault="00A87203" w:rsidP="00A87203">
      <w:pPr>
        <w:tabs>
          <w:tab w:val="left" w:pos="0"/>
        </w:tabs>
        <w:spacing w:after="0" w:line="360" w:lineRule="auto"/>
        <w:ind w:firstLine="1440"/>
        <w:rPr>
          <w:rFonts w:ascii="Times New Roman" w:hAnsi="Times New Roman" w:cs="Times New Roman"/>
          <w:sz w:val="24"/>
        </w:rPr>
      </w:pPr>
    </w:p>
    <w:p w14:paraId="399C07A3" w14:textId="77777777" w:rsidR="00A87203" w:rsidRPr="00B13B40" w:rsidRDefault="00A87203" w:rsidP="00A8720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31DDDAF9" w14:textId="62D34552" w:rsidR="00F52E15" w:rsidRDefault="00F52E15">
      <w:pPr>
        <w:rPr>
          <w:rFonts w:ascii="Times New Roman" w:hAnsi="Times New Roman" w:cs="Times New Roman"/>
          <w:sz w:val="24"/>
        </w:rPr>
      </w:pPr>
      <w:r>
        <w:rPr>
          <w:rFonts w:ascii="Times New Roman" w:hAnsi="Times New Roman" w:cs="Times New Roman"/>
          <w:sz w:val="24"/>
        </w:rPr>
        <w:br w:type="page"/>
      </w:r>
    </w:p>
    <w:p w14:paraId="6906E4E8" w14:textId="77777777" w:rsidR="00A87203" w:rsidRPr="00B13B40" w:rsidRDefault="00A87203" w:rsidP="00A8720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48889629" w14:textId="77777777" w:rsidR="00A87203" w:rsidRPr="00B13B40" w:rsidRDefault="00A87203" w:rsidP="00A8720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3AF582BA" w14:textId="77777777" w:rsidR="00A87203" w:rsidRPr="00B13B40" w:rsidRDefault="00A87203" w:rsidP="00A8720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77A4FF9F" w14:textId="77777777" w:rsidR="00A87203" w:rsidRPr="00B13B40" w:rsidRDefault="00A87203" w:rsidP="00A8720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6D389B91" w14:textId="77777777" w:rsidR="00A87203" w:rsidRPr="00B13B40" w:rsidRDefault="00A87203" w:rsidP="00A8720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FB4F593" w14:textId="7206AA62" w:rsidR="00A87203" w:rsidRPr="00F52E15" w:rsidRDefault="00A87203" w:rsidP="00A8720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30, 2018</w:t>
      </w:r>
      <w:r w:rsidR="00F52E15">
        <w:rPr>
          <w:rFonts w:ascii="Times New Roman" w:eastAsia="Times New Roman" w:hAnsi="Times New Roman" w:cs="Times New Roman"/>
          <w:spacing w:val="-3"/>
          <w:sz w:val="24"/>
          <w:szCs w:val="24"/>
        </w:rPr>
        <w:tab/>
      </w:r>
      <w:r w:rsidR="00F52E15">
        <w:rPr>
          <w:rFonts w:ascii="Times New Roman" w:eastAsia="Times New Roman" w:hAnsi="Times New Roman" w:cs="Times New Roman"/>
          <w:spacing w:val="-3"/>
          <w:sz w:val="24"/>
          <w:szCs w:val="24"/>
        </w:rPr>
        <w:tab/>
      </w:r>
      <w:r w:rsidR="00F52E15">
        <w:rPr>
          <w:rFonts w:ascii="Times New Roman" w:eastAsia="Times New Roman" w:hAnsi="Times New Roman" w:cs="Times New Roman"/>
          <w:spacing w:val="-3"/>
          <w:sz w:val="24"/>
          <w:szCs w:val="24"/>
        </w:rPr>
        <w:tab/>
      </w:r>
      <w:r w:rsidR="00F52E15">
        <w:rPr>
          <w:rFonts w:ascii="Times New Roman" w:eastAsia="Times New Roman" w:hAnsi="Times New Roman" w:cs="Times New Roman"/>
          <w:spacing w:val="-3"/>
          <w:sz w:val="24"/>
          <w:szCs w:val="24"/>
        </w:rPr>
        <w:tab/>
      </w:r>
      <w:r w:rsidR="00F52E15">
        <w:rPr>
          <w:rFonts w:ascii="Times New Roman" w:eastAsia="Times New Roman" w:hAnsi="Times New Roman" w:cs="Times New Roman"/>
          <w:spacing w:val="-3"/>
          <w:sz w:val="24"/>
          <w:szCs w:val="24"/>
          <w:u w:val="single"/>
        </w:rPr>
        <w:tab/>
        <w:t>/s/</w:t>
      </w:r>
      <w:r w:rsidR="00F52E15">
        <w:rPr>
          <w:rFonts w:ascii="Times New Roman" w:eastAsia="Times New Roman" w:hAnsi="Times New Roman" w:cs="Times New Roman"/>
          <w:spacing w:val="-3"/>
          <w:sz w:val="24"/>
          <w:szCs w:val="24"/>
          <w:u w:val="single"/>
        </w:rPr>
        <w:tab/>
      </w:r>
      <w:r w:rsidR="00F52E15">
        <w:rPr>
          <w:rFonts w:ascii="Times New Roman" w:eastAsia="Times New Roman" w:hAnsi="Times New Roman" w:cs="Times New Roman"/>
          <w:spacing w:val="-3"/>
          <w:sz w:val="24"/>
          <w:szCs w:val="24"/>
          <w:u w:val="single"/>
        </w:rPr>
        <w:tab/>
      </w:r>
      <w:r w:rsidR="00F52E15">
        <w:rPr>
          <w:rFonts w:ascii="Times New Roman" w:eastAsia="Times New Roman" w:hAnsi="Times New Roman" w:cs="Times New Roman"/>
          <w:spacing w:val="-3"/>
          <w:sz w:val="24"/>
          <w:szCs w:val="24"/>
          <w:u w:val="single"/>
        </w:rPr>
        <w:tab/>
      </w:r>
    </w:p>
    <w:p w14:paraId="4C3DD175" w14:textId="36833DA2" w:rsidR="00A87203" w:rsidRPr="00B13B40" w:rsidRDefault="00A87203" w:rsidP="00A8720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7A995329" w14:textId="63E04558" w:rsidR="00A87203" w:rsidRPr="00B13B40" w:rsidRDefault="00A87203" w:rsidP="00A8720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67184E0B" w14:textId="77777777" w:rsidR="00A87203" w:rsidRPr="00B13B40" w:rsidRDefault="00A87203" w:rsidP="00A87203"/>
    <w:p w14:paraId="2A76E978" w14:textId="77777777" w:rsidR="00A87203" w:rsidRPr="00B13B40" w:rsidRDefault="00A87203" w:rsidP="00A87203"/>
    <w:p w14:paraId="2ED4B28B" w14:textId="04C36478" w:rsidR="00F52E15" w:rsidRDefault="00F52E15">
      <w:r>
        <w:br w:type="page"/>
      </w:r>
    </w:p>
    <w:p w14:paraId="644BB41D" w14:textId="77777777" w:rsidR="00F52E15" w:rsidRPr="00F52E15" w:rsidRDefault="00F52E15" w:rsidP="00F52E15">
      <w:pPr>
        <w:pStyle w:val="NoSpacing"/>
        <w:rPr>
          <w:rFonts w:ascii="Times New Roman" w:hAnsi="Times New Roman" w:cs="Times New Roman"/>
          <w:b/>
          <w:sz w:val="24"/>
          <w:szCs w:val="24"/>
          <w:u w:val="single"/>
        </w:rPr>
      </w:pPr>
      <w:r w:rsidRPr="00F52E15">
        <w:rPr>
          <w:rFonts w:ascii="Times New Roman" w:hAnsi="Times New Roman" w:cs="Times New Roman"/>
          <w:b/>
          <w:sz w:val="24"/>
          <w:szCs w:val="24"/>
          <w:u w:val="single"/>
        </w:rPr>
        <w:lastRenderedPageBreak/>
        <w:t xml:space="preserve">F-2018-3005092 - BILL TSIKAS v. PECO ENERGY COMPANY </w:t>
      </w:r>
    </w:p>
    <w:p w14:paraId="4749A848" w14:textId="3E5CC21B" w:rsidR="00F52E15" w:rsidRPr="00F52E15" w:rsidRDefault="00F52E15" w:rsidP="00F52E15">
      <w:pPr>
        <w:pStyle w:val="NoSpacing"/>
        <w:rPr>
          <w:rFonts w:ascii="Times New Roman" w:hAnsi="Times New Roman" w:cs="Times New Roman"/>
          <w:b/>
          <w:sz w:val="24"/>
          <w:szCs w:val="24"/>
          <w:u w:val="single"/>
        </w:rPr>
      </w:pPr>
    </w:p>
    <w:p w14:paraId="078F5C34" w14:textId="21D0FAED" w:rsidR="00F52E15" w:rsidRPr="00F52E15" w:rsidRDefault="00F52E15" w:rsidP="00F52E15">
      <w:pPr>
        <w:pStyle w:val="NoSpacing"/>
        <w:rPr>
          <w:rFonts w:ascii="Times New Roman" w:hAnsi="Times New Roman" w:cs="Times New Roman"/>
          <w:b/>
          <w:sz w:val="24"/>
          <w:szCs w:val="24"/>
          <w:u w:val="single"/>
        </w:rPr>
      </w:pPr>
    </w:p>
    <w:p w14:paraId="69372D3D" w14:textId="2C1759EF" w:rsidR="00F52E15" w:rsidRDefault="00F52E15" w:rsidP="00F52E15">
      <w:pPr>
        <w:pStyle w:val="NoSpacing"/>
        <w:jc w:val="center"/>
        <w:rPr>
          <w:rFonts w:ascii="Times New Roman" w:hAnsi="Times New Roman" w:cs="Times New Roman"/>
          <w:b/>
          <w:sz w:val="24"/>
          <w:szCs w:val="24"/>
          <w:u w:val="single"/>
        </w:rPr>
      </w:pPr>
      <w:r w:rsidRPr="00F52E15">
        <w:rPr>
          <w:rFonts w:ascii="Times New Roman" w:hAnsi="Times New Roman" w:cs="Times New Roman"/>
          <w:b/>
          <w:sz w:val="24"/>
          <w:szCs w:val="24"/>
          <w:u w:val="single"/>
        </w:rPr>
        <w:t>SERVICE LIST</w:t>
      </w:r>
    </w:p>
    <w:p w14:paraId="16E1E5AA" w14:textId="73347B4E" w:rsidR="00F52E15" w:rsidRDefault="00F52E15" w:rsidP="00F52E15">
      <w:pPr>
        <w:pStyle w:val="NoSpacing"/>
        <w:jc w:val="center"/>
        <w:rPr>
          <w:rFonts w:ascii="Times New Roman" w:hAnsi="Times New Roman" w:cs="Times New Roman"/>
          <w:b/>
          <w:sz w:val="24"/>
          <w:szCs w:val="24"/>
          <w:u w:val="single"/>
        </w:rPr>
      </w:pPr>
    </w:p>
    <w:p w14:paraId="3F6B434A" w14:textId="77777777" w:rsidR="00F52E15" w:rsidRPr="00F52E15" w:rsidRDefault="00F52E15" w:rsidP="00F52E15">
      <w:pPr>
        <w:pStyle w:val="NoSpacing"/>
        <w:jc w:val="center"/>
        <w:rPr>
          <w:rFonts w:ascii="Times New Roman" w:hAnsi="Times New Roman" w:cs="Times New Roman"/>
          <w:b/>
          <w:sz w:val="24"/>
          <w:szCs w:val="24"/>
          <w:u w:val="single"/>
        </w:rPr>
      </w:pPr>
      <w:bookmarkStart w:id="0" w:name="_GoBack"/>
      <w:bookmarkEnd w:id="0"/>
    </w:p>
    <w:p w14:paraId="0C78A76A" w14:textId="0BBB50CC" w:rsidR="00F52E15" w:rsidRPr="00F52E15" w:rsidRDefault="00F52E15" w:rsidP="00F52E15">
      <w:pPr>
        <w:pStyle w:val="NoSpacing"/>
        <w:rPr>
          <w:rFonts w:ascii="Times New Roman" w:hAnsi="Times New Roman" w:cs="Times New Roman"/>
          <w:sz w:val="24"/>
          <w:szCs w:val="24"/>
        </w:rPr>
      </w:pPr>
      <w:r w:rsidRPr="00F52E15">
        <w:rPr>
          <w:rFonts w:ascii="Times New Roman" w:hAnsi="Times New Roman" w:cs="Times New Roman"/>
          <w:sz w:val="24"/>
          <w:szCs w:val="24"/>
        </w:rPr>
        <w:t>BILL TSIKAS</w:t>
      </w:r>
    </w:p>
    <w:p w14:paraId="27FD5A1E" w14:textId="77777777" w:rsidR="00F52E15" w:rsidRPr="00F52E15" w:rsidRDefault="00F52E15" w:rsidP="00F52E15">
      <w:pPr>
        <w:pStyle w:val="NoSpacing"/>
        <w:rPr>
          <w:rFonts w:ascii="Times New Roman" w:hAnsi="Times New Roman" w:cs="Times New Roman"/>
          <w:sz w:val="24"/>
          <w:szCs w:val="24"/>
        </w:rPr>
      </w:pPr>
      <w:r w:rsidRPr="00F52E15">
        <w:rPr>
          <w:rFonts w:ascii="Times New Roman" w:hAnsi="Times New Roman" w:cs="Times New Roman"/>
          <w:sz w:val="24"/>
          <w:szCs w:val="24"/>
        </w:rPr>
        <w:t>352 BRIDGE ST</w:t>
      </w:r>
    </w:p>
    <w:p w14:paraId="3D770BF0" w14:textId="77777777" w:rsidR="00F52E15" w:rsidRPr="00F52E15" w:rsidRDefault="00F52E15" w:rsidP="00F52E15">
      <w:pPr>
        <w:pStyle w:val="NoSpacing"/>
        <w:rPr>
          <w:rFonts w:ascii="Times New Roman" w:hAnsi="Times New Roman" w:cs="Times New Roman"/>
          <w:sz w:val="24"/>
          <w:szCs w:val="24"/>
        </w:rPr>
      </w:pPr>
      <w:r w:rsidRPr="00F52E15">
        <w:rPr>
          <w:rFonts w:ascii="Times New Roman" w:hAnsi="Times New Roman" w:cs="Times New Roman"/>
          <w:sz w:val="24"/>
          <w:szCs w:val="24"/>
        </w:rPr>
        <w:t>COLLEGEVILLE PA  19426</w:t>
      </w:r>
    </w:p>
    <w:p w14:paraId="1B11C444" w14:textId="77777777" w:rsidR="00F52E15" w:rsidRPr="00F52E15" w:rsidRDefault="00F52E15" w:rsidP="00F52E15">
      <w:pPr>
        <w:pStyle w:val="NoSpacing"/>
        <w:rPr>
          <w:rFonts w:ascii="Times New Roman" w:hAnsi="Times New Roman" w:cs="Times New Roman"/>
          <w:sz w:val="24"/>
          <w:szCs w:val="24"/>
        </w:rPr>
      </w:pPr>
      <w:r w:rsidRPr="00F52E15">
        <w:rPr>
          <w:rFonts w:ascii="Times New Roman" w:hAnsi="Times New Roman" w:cs="Times New Roman"/>
          <w:sz w:val="24"/>
          <w:szCs w:val="24"/>
        </w:rPr>
        <w:t>215.859.8502</w:t>
      </w:r>
    </w:p>
    <w:p w14:paraId="13A32286" w14:textId="77777777" w:rsidR="00F52E15" w:rsidRPr="00F52E15" w:rsidRDefault="00F52E15" w:rsidP="00F52E15">
      <w:pPr>
        <w:pStyle w:val="NoSpacing"/>
        <w:rPr>
          <w:rFonts w:ascii="Times New Roman" w:hAnsi="Times New Roman" w:cs="Times New Roman"/>
          <w:sz w:val="24"/>
          <w:szCs w:val="24"/>
        </w:rPr>
      </w:pPr>
    </w:p>
    <w:p w14:paraId="74701C88" w14:textId="77777777" w:rsidR="00F52E15" w:rsidRPr="00F52E15" w:rsidRDefault="00F52E15" w:rsidP="00F52E15">
      <w:pPr>
        <w:pStyle w:val="NoSpacing"/>
        <w:rPr>
          <w:rFonts w:ascii="Times New Roman" w:hAnsi="Times New Roman" w:cs="Times New Roman"/>
          <w:sz w:val="24"/>
          <w:szCs w:val="24"/>
        </w:rPr>
      </w:pPr>
      <w:r w:rsidRPr="00F52E15">
        <w:rPr>
          <w:rFonts w:ascii="Times New Roman" w:hAnsi="Times New Roman" w:cs="Times New Roman"/>
          <w:sz w:val="24"/>
          <w:szCs w:val="24"/>
        </w:rPr>
        <w:t>SHAWANE L LEE ESQUIRE</w:t>
      </w:r>
    </w:p>
    <w:p w14:paraId="0C0393E8" w14:textId="77777777" w:rsidR="00F52E15" w:rsidRPr="00F52E15" w:rsidRDefault="00F52E15" w:rsidP="00F52E15">
      <w:pPr>
        <w:pStyle w:val="NoSpacing"/>
        <w:rPr>
          <w:rFonts w:ascii="Times New Roman" w:hAnsi="Times New Roman" w:cs="Times New Roman"/>
          <w:sz w:val="24"/>
          <w:szCs w:val="24"/>
        </w:rPr>
      </w:pPr>
      <w:r w:rsidRPr="00F52E15">
        <w:rPr>
          <w:rFonts w:ascii="Times New Roman" w:hAnsi="Times New Roman" w:cs="Times New Roman"/>
          <w:sz w:val="24"/>
          <w:szCs w:val="24"/>
        </w:rPr>
        <w:t>EXELON BUSINESS SERVICES</w:t>
      </w:r>
    </w:p>
    <w:p w14:paraId="004DE08F" w14:textId="77777777" w:rsidR="00F52E15" w:rsidRPr="00F52E15" w:rsidRDefault="00F52E15" w:rsidP="00F52E15">
      <w:pPr>
        <w:pStyle w:val="NoSpacing"/>
        <w:rPr>
          <w:rFonts w:ascii="Times New Roman" w:hAnsi="Times New Roman" w:cs="Times New Roman"/>
          <w:sz w:val="24"/>
          <w:szCs w:val="24"/>
        </w:rPr>
      </w:pPr>
      <w:r w:rsidRPr="00F52E15">
        <w:rPr>
          <w:rFonts w:ascii="Times New Roman" w:hAnsi="Times New Roman" w:cs="Times New Roman"/>
          <w:sz w:val="24"/>
          <w:szCs w:val="24"/>
        </w:rPr>
        <w:t xml:space="preserve">LEGAL DEPT S23-1 </w:t>
      </w:r>
    </w:p>
    <w:p w14:paraId="46AC870B" w14:textId="77777777" w:rsidR="00F52E15" w:rsidRPr="00F52E15" w:rsidRDefault="00F52E15" w:rsidP="00F52E15">
      <w:pPr>
        <w:pStyle w:val="NoSpacing"/>
        <w:rPr>
          <w:rFonts w:ascii="Times New Roman" w:hAnsi="Times New Roman" w:cs="Times New Roman"/>
          <w:sz w:val="24"/>
          <w:szCs w:val="24"/>
        </w:rPr>
      </w:pPr>
      <w:r w:rsidRPr="00F52E15">
        <w:rPr>
          <w:rFonts w:ascii="Times New Roman" w:hAnsi="Times New Roman" w:cs="Times New Roman"/>
          <w:sz w:val="24"/>
          <w:szCs w:val="24"/>
        </w:rPr>
        <w:t>2301 MARKET STREET</w:t>
      </w:r>
    </w:p>
    <w:p w14:paraId="63C59A92" w14:textId="77777777" w:rsidR="00F52E15" w:rsidRPr="00F52E15" w:rsidRDefault="00F52E15" w:rsidP="00F52E15">
      <w:pPr>
        <w:pStyle w:val="NoSpacing"/>
        <w:rPr>
          <w:rFonts w:ascii="Times New Roman" w:hAnsi="Times New Roman" w:cs="Times New Roman"/>
          <w:sz w:val="24"/>
          <w:szCs w:val="24"/>
        </w:rPr>
      </w:pPr>
      <w:r w:rsidRPr="00F52E15">
        <w:rPr>
          <w:rFonts w:ascii="Times New Roman" w:hAnsi="Times New Roman" w:cs="Times New Roman"/>
          <w:sz w:val="24"/>
          <w:szCs w:val="24"/>
        </w:rPr>
        <w:t>PHILADELPHIA PA  19101</w:t>
      </w:r>
    </w:p>
    <w:p w14:paraId="2EC7B8A5" w14:textId="77777777" w:rsidR="00F52E15" w:rsidRPr="00F52E15" w:rsidRDefault="00F52E15" w:rsidP="00F52E15">
      <w:pPr>
        <w:pStyle w:val="NoSpacing"/>
        <w:rPr>
          <w:rFonts w:ascii="Times New Roman" w:hAnsi="Times New Roman" w:cs="Times New Roman"/>
          <w:sz w:val="24"/>
          <w:szCs w:val="24"/>
        </w:rPr>
      </w:pPr>
      <w:r w:rsidRPr="00F52E15">
        <w:rPr>
          <w:rFonts w:ascii="Times New Roman" w:hAnsi="Times New Roman" w:cs="Times New Roman"/>
          <w:sz w:val="24"/>
          <w:szCs w:val="24"/>
        </w:rPr>
        <w:t>215.841.6841</w:t>
      </w:r>
      <w:r w:rsidRPr="00F52E15">
        <w:rPr>
          <w:rFonts w:ascii="Times New Roman" w:hAnsi="Times New Roman" w:cs="Times New Roman"/>
          <w:sz w:val="24"/>
          <w:szCs w:val="24"/>
        </w:rPr>
        <w:br/>
      </w:r>
      <w:r w:rsidRPr="00F52E15">
        <w:rPr>
          <w:rFonts w:ascii="Times New Roman" w:hAnsi="Times New Roman" w:cs="Times New Roman"/>
          <w:i/>
          <w:sz w:val="24"/>
          <w:szCs w:val="24"/>
        </w:rPr>
        <w:t>ACCEPTS E-SERVICE</w:t>
      </w:r>
    </w:p>
    <w:p w14:paraId="56F2149A" w14:textId="77777777" w:rsidR="00CB408E" w:rsidRDefault="00CB408E"/>
    <w:sectPr w:rsidR="00CB408E"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36A73" w14:textId="77777777" w:rsidR="0029100B" w:rsidRDefault="0029100B">
      <w:pPr>
        <w:spacing w:after="0" w:line="240" w:lineRule="auto"/>
      </w:pPr>
      <w:r>
        <w:separator/>
      </w:r>
    </w:p>
  </w:endnote>
  <w:endnote w:type="continuationSeparator" w:id="0">
    <w:p w14:paraId="6D8A5A03" w14:textId="77777777" w:rsidR="0029100B" w:rsidRDefault="0029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09217"/>
      <w:docPartObj>
        <w:docPartGallery w:val="Page Numbers (Bottom of Page)"/>
        <w:docPartUnique/>
      </w:docPartObj>
    </w:sdtPr>
    <w:sdtEndPr>
      <w:rPr>
        <w:noProof/>
      </w:rPr>
    </w:sdtEndPr>
    <w:sdtContent>
      <w:p w14:paraId="0E1DE5E1" w14:textId="77777777" w:rsidR="00B41669" w:rsidRDefault="00A87203">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C0897B8" w14:textId="77777777" w:rsidR="00B13B40" w:rsidRDefault="00291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0B73FD9F" w14:textId="77777777" w:rsidR="00727CE5" w:rsidRDefault="00A8720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D57481" w14:textId="77777777" w:rsidR="00727CE5" w:rsidRDefault="00291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CA8EB" w14:textId="77777777" w:rsidR="0029100B" w:rsidRDefault="0029100B">
      <w:pPr>
        <w:spacing w:after="0" w:line="240" w:lineRule="auto"/>
      </w:pPr>
      <w:r>
        <w:separator/>
      </w:r>
    </w:p>
  </w:footnote>
  <w:footnote w:type="continuationSeparator" w:id="0">
    <w:p w14:paraId="65C167FD" w14:textId="77777777" w:rsidR="0029100B" w:rsidRDefault="00291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03"/>
    <w:rsid w:val="0029100B"/>
    <w:rsid w:val="00397885"/>
    <w:rsid w:val="0069376C"/>
    <w:rsid w:val="0079171C"/>
    <w:rsid w:val="00A87203"/>
    <w:rsid w:val="00C73FFD"/>
    <w:rsid w:val="00CB408E"/>
    <w:rsid w:val="00DF2E01"/>
    <w:rsid w:val="00F5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C1AAD9"/>
  <w15:chartTrackingRefBased/>
  <w15:docId w15:val="{70FEF708-09E6-4011-8404-B36CB4BB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203"/>
  </w:style>
  <w:style w:type="character" w:styleId="CommentReference">
    <w:name w:val="annotation reference"/>
    <w:basedOn w:val="DefaultParagraphFont"/>
    <w:uiPriority w:val="99"/>
    <w:semiHidden/>
    <w:unhideWhenUsed/>
    <w:rsid w:val="00A87203"/>
    <w:rPr>
      <w:sz w:val="16"/>
      <w:szCs w:val="16"/>
    </w:rPr>
  </w:style>
  <w:style w:type="paragraph" w:styleId="CommentText">
    <w:name w:val="annotation text"/>
    <w:basedOn w:val="Normal"/>
    <w:link w:val="CommentTextChar"/>
    <w:uiPriority w:val="99"/>
    <w:semiHidden/>
    <w:unhideWhenUsed/>
    <w:rsid w:val="00A87203"/>
    <w:pPr>
      <w:spacing w:line="240" w:lineRule="auto"/>
    </w:pPr>
    <w:rPr>
      <w:sz w:val="20"/>
      <w:szCs w:val="20"/>
    </w:rPr>
  </w:style>
  <w:style w:type="character" w:customStyle="1" w:styleId="CommentTextChar">
    <w:name w:val="Comment Text Char"/>
    <w:basedOn w:val="DefaultParagraphFont"/>
    <w:link w:val="CommentText"/>
    <w:uiPriority w:val="99"/>
    <w:semiHidden/>
    <w:rsid w:val="00A87203"/>
    <w:rPr>
      <w:sz w:val="20"/>
      <w:szCs w:val="20"/>
    </w:rPr>
  </w:style>
  <w:style w:type="paragraph" w:styleId="CommentSubject">
    <w:name w:val="annotation subject"/>
    <w:basedOn w:val="CommentText"/>
    <w:next w:val="CommentText"/>
    <w:link w:val="CommentSubjectChar"/>
    <w:uiPriority w:val="99"/>
    <w:semiHidden/>
    <w:unhideWhenUsed/>
    <w:rsid w:val="00A87203"/>
    <w:rPr>
      <w:b/>
      <w:bCs/>
    </w:rPr>
  </w:style>
  <w:style w:type="character" w:customStyle="1" w:styleId="CommentSubjectChar">
    <w:name w:val="Comment Subject Char"/>
    <w:basedOn w:val="CommentTextChar"/>
    <w:link w:val="CommentSubject"/>
    <w:uiPriority w:val="99"/>
    <w:semiHidden/>
    <w:rsid w:val="00A87203"/>
    <w:rPr>
      <w:b/>
      <w:bCs/>
      <w:sz w:val="20"/>
      <w:szCs w:val="20"/>
    </w:rPr>
  </w:style>
  <w:style w:type="paragraph" w:styleId="BalloonText">
    <w:name w:val="Balloon Text"/>
    <w:basedOn w:val="Normal"/>
    <w:link w:val="BalloonTextChar"/>
    <w:uiPriority w:val="99"/>
    <w:semiHidden/>
    <w:unhideWhenUsed/>
    <w:rsid w:val="00A87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203"/>
    <w:rPr>
      <w:rFonts w:ascii="Segoe UI" w:hAnsi="Segoe UI" w:cs="Segoe UI"/>
      <w:sz w:val="18"/>
      <w:szCs w:val="18"/>
    </w:rPr>
  </w:style>
  <w:style w:type="paragraph" w:styleId="NoSpacing">
    <w:name w:val="No Spacing"/>
    <w:uiPriority w:val="1"/>
    <w:qFormat/>
    <w:rsid w:val="00F52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81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2018-10-31T18:57:00Z</cp:lastPrinted>
  <dcterms:created xsi:type="dcterms:W3CDTF">2018-10-31T18:59:00Z</dcterms:created>
  <dcterms:modified xsi:type="dcterms:W3CDTF">2018-10-31T18:59:00Z</dcterms:modified>
</cp:coreProperties>
</file>