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BAD05" w14:textId="77777777" w:rsidR="00416112" w:rsidRPr="00160E8F" w:rsidRDefault="008040D2" w:rsidP="00D23B41">
      <w:pPr>
        <w:tabs>
          <w:tab w:val="left" w:pos="-1440"/>
          <w:tab w:val="left" w:pos="-720"/>
          <w:tab w:val="left" w:pos="0"/>
          <w:tab w:val="left" w:pos="432"/>
          <w:tab w:val="left" w:pos="576"/>
          <w:tab w:val="left" w:pos="1440"/>
          <w:tab w:val="left" w:pos="2086"/>
          <w:tab w:val="left" w:pos="2880"/>
        </w:tabs>
        <w:suppressAutoHyphens/>
        <w:jc w:val="center"/>
        <w:rPr>
          <w:b/>
          <w:sz w:val="26"/>
          <w:szCs w:val="26"/>
        </w:rPr>
      </w:pPr>
      <w:r w:rsidRPr="00160E8F">
        <w:rPr>
          <w:b/>
          <w:sz w:val="26"/>
          <w:szCs w:val="26"/>
        </w:rPr>
        <w:t>PENNSYLVANIA</w:t>
      </w:r>
    </w:p>
    <w:p w14:paraId="1E996D90" w14:textId="77777777" w:rsidR="008040D2" w:rsidRPr="00160E8F" w:rsidRDefault="008040D2" w:rsidP="00246FB9">
      <w:pPr>
        <w:jc w:val="center"/>
        <w:rPr>
          <w:b/>
          <w:sz w:val="26"/>
          <w:szCs w:val="26"/>
        </w:rPr>
      </w:pPr>
      <w:r w:rsidRPr="00160E8F">
        <w:rPr>
          <w:b/>
          <w:sz w:val="26"/>
          <w:szCs w:val="26"/>
        </w:rPr>
        <w:t>PUBLIC UTILITY COMMISSION</w:t>
      </w:r>
    </w:p>
    <w:p w14:paraId="7F0CF17E" w14:textId="77777777" w:rsidR="008040D2" w:rsidRPr="00160E8F" w:rsidRDefault="002C4C75" w:rsidP="00246FB9">
      <w:pPr>
        <w:jc w:val="center"/>
        <w:rPr>
          <w:b/>
          <w:sz w:val="26"/>
          <w:szCs w:val="26"/>
        </w:rPr>
      </w:pPr>
      <w:r w:rsidRPr="00160E8F">
        <w:rPr>
          <w:b/>
          <w:sz w:val="26"/>
          <w:szCs w:val="26"/>
        </w:rPr>
        <w:t>Harrisburg, PA</w:t>
      </w:r>
      <w:r w:rsidR="008040D2" w:rsidRPr="00160E8F">
        <w:rPr>
          <w:b/>
          <w:sz w:val="26"/>
          <w:szCs w:val="26"/>
        </w:rPr>
        <w:t xml:space="preserve"> 17105-3265</w:t>
      </w:r>
    </w:p>
    <w:p w14:paraId="2E997A37" w14:textId="77777777" w:rsidR="008040D2" w:rsidRPr="00160E8F" w:rsidRDefault="008040D2" w:rsidP="00246FB9">
      <w:pPr>
        <w:rPr>
          <w:sz w:val="26"/>
          <w:szCs w:val="26"/>
        </w:rPr>
      </w:pPr>
    </w:p>
    <w:p w14:paraId="50F26B2B" w14:textId="77777777" w:rsidR="008040D2" w:rsidRPr="00160E8F" w:rsidRDefault="002C4C75" w:rsidP="00B40E48">
      <w:pPr>
        <w:jc w:val="right"/>
        <w:rPr>
          <w:sz w:val="26"/>
          <w:szCs w:val="26"/>
        </w:rPr>
      </w:pPr>
      <w:r w:rsidRPr="00160E8F">
        <w:rPr>
          <w:sz w:val="26"/>
          <w:szCs w:val="26"/>
        </w:rPr>
        <w:tab/>
      </w:r>
      <w:r w:rsidRPr="00160E8F">
        <w:rPr>
          <w:sz w:val="26"/>
          <w:szCs w:val="26"/>
        </w:rPr>
        <w:tab/>
      </w:r>
      <w:r w:rsidRPr="00160E8F">
        <w:rPr>
          <w:sz w:val="26"/>
          <w:szCs w:val="26"/>
        </w:rPr>
        <w:tab/>
      </w:r>
      <w:r w:rsidRPr="00160E8F">
        <w:rPr>
          <w:sz w:val="26"/>
          <w:szCs w:val="26"/>
        </w:rPr>
        <w:tab/>
      </w:r>
      <w:r w:rsidRPr="00160E8F">
        <w:rPr>
          <w:sz w:val="26"/>
          <w:szCs w:val="26"/>
        </w:rPr>
        <w:tab/>
      </w:r>
      <w:r w:rsidRPr="00160E8F">
        <w:rPr>
          <w:sz w:val="26"/>
          <w:szCs w:val="26"/>
        </w:rPr>
        <w:tab/>
      </w:r>
      <w:r w:rsidR="00565316" w:rsidRPr="00160E8F">
        <w:rPr>
          <w:sz w:val="26"/>
          <w:szCs w:val="26"/>
        </w:rPr>
        <w:t xml:space="preserve"> </w:t>
      </w:r>
      <w:r w:rsidR="00631D0F" w:rsidRPr="00160E8F">
        <w:rPr>
          <w:sz w:val="26"/>
          <w:szCs w:val="26"/>
        </w:rPr>
        <w:t xml:space="preserve">         </w:t>
      </w:r>
      <w:r w:rsidR="004C2A50" w:rsidRPr="00160E8F">
        <w:rPr>
          <w:sz w:val="26"/>
          <w:szCs w:val="26"/>
        </w:rPr>
        <w:t>Public Meeting held</w:t>
      </w:r>
      <w:r w:rsidR="007F6CF0" w:rsidRPr="00160E8F">
        <w:rPr>
          <w:sz w:val="26"/>
          <w:szCs w:val="26"/>
        </w:rPr>
        <w:t xml:space="preserve"> </w:t>
      </w:r>
      <w:r w:rsidR="00674D14">
        <w:rPr>
          <w:sz w:val="26"/>
          <w:szCs w:val="26"/>
        </w:rPr>
        <w:t>November 8</w:t>
      </w:r>
      <w:r w:rsidR="007539B2">
        <w:rPr>
          <w:sz w:val="26"/>
          <w:szCs w:val="26"/>
        </w:rPr>
        <w:t>,</w:t>
      </w:r>
      <w:r w:rsidR="002F4CB8">
        <w:rPr>
          <w:sz w:val="26"/>
          <w:szCs w:val="26"/>
        </w:rPr>
        <w:t xml:space="preserve"> 201</w:t>
      </w:r>
      <w:r w:rsidR="007539B2">
        <w:rPr>
          <w:sz w:val="26"/>
          <w:szCs w:val="26"/>
        </w:rPr>
        <w:t>8</w:t>
      </w:r>
    </w:p>
    <w:p w14:paraId="7F062CA1" w14:textId="77777777" w:rsidR="008040D2" w:rsidRPr="00160E8F" w:rsidRDefault="008040D2" w:rsidP="00246FB9">
      <w:pPr>
        <w:rPr>
          <w:sz w:val="26"/>
          <w:szCs w:val="26"/>
        </w:rPr>
      </w:pPr>
    </w:p>
    <w:tbl>
      <w:tblPr>
        <w:tblW w:w="10296" w:type="dxa"/>
        <w:tblLayout w:type="fixed"/>
        <w:tblLook w:val="04A0" w:firstRow="1" w:lastRow="0" w:firstColumn="1" w:lastColumn="0" w:noHBand="0" w:noVBand="1"/>
      </w:tblPr>
      <w:tblGrid>
        <w:gridCol w:w="5148"/>
        <w:gridCol w:w="5148"/>
      </w:tblGrid>
      <w:tr w:rsidR="001B4B65" w:rsidRPr="00160E8F" w14:paraId="096235A9" w14:textId="77777777" w:rsidTr="001B4B65">
        <w:tc>
          <w:tcPr>
            <w:tcW w:w="5148" w:type="dxa"/>
            <w:hideMark/>
          </w:tcPr>
          <w:p w14:paraId="2AEB1ECA" w14:textId="77777777" w:rsidR="001B4B65" w:rsidRPr="00160E8F" w:rsidRDefault="001B4B65" w:rsidP="00320094">
            <w:pPr>
              <w:rPr>
                <w:sz w:val="26"/>
                <w:szCs w:val="26"/>
              </w:rPr>
            </w:pPr>
            <w:r w:rsidRPr="00160E8F">
              <w:rPr>
                <w:sz w:val="26"/>
                <w:szCs w:val="26"/>
              </w:rPr>
              <w:t>Commissioners Present:</w:t>
            </w:r>
          </w:p>
        </w:tc>
        <w:tc>
          <w:tcPr>
            <w:tcW w:w="5148" w:type="dxa"/>
          </w:tcPr>
          <w:p w14:paraId="1909006E" w14:textId="77777777" w:rsidR="001B4B65" w:rsidRPr="00160E8F" w:rsidRDefault="001B4B65" w:rsidP="00320094">
            <w:pPr>
              <w:rPr>
                <w:sz w:val="26"/>
                <w:szCs w:val="26"/>
              </w:rPr>
            </w:pPr>
          </w:p>
        </w:tc>
      </w:tr>
    </w:tbl>
    <w:p w14:paraId="17B142A1" w14:textId="77777777" w:rsidR="00320094" w:rsidRPr="00160E8F" w:rsidRDefault="00320094" w:rsidP="00320094">
      <w:pPr>
        <w:rPr>
          <w:sz w:val="26"/>
          <w:szCs w:val="26"/>
        </w:rPr>
      </w:pPr>
    </w:p>
    <w:tbl>
      <w:tblPr>
        <w:tblW w:w="10290" w:type="dxa"/>
        <w:tblLayout w:type="fixed"/>
        <w:tblLook w:val="04A0" w:firstRow="1" w:lastRow="0" w:firstColumn="1" w:lastColumn="0" w:noHBand="0" w:noVBand="1"/>
      </w:tblPr>
      <w:tblGrid>
        <w:gridCol w:w="5954"/>
        <w:gridCol w:w="3946"/>
        <w:gridCol w:w="390"/>
      </w:tblGrid>
      <w:tr w:rsidR="00320094" w:rsidRPr="00160E8F" w14:paraId="16B8ECC4" w14:textId="77777777" w:rsidTr="001B4B65">
        <w:trPr>
          <w:trHeight w:val="243"/>
        </w:trPr>
        <w:tc>
          <w:tcPr>
            <w:tcW w:w="9900" w:type="dxa"/>
            <w:gridSpan w:val="2"/>
            <w:hideMark/>
          </w:tcPr>
          <w:p w14:paraId="0655D0BD" w14:textId="77777777" w:rsidR="00320094" w:rsidRPr="00160E8F" w:rsidRDefault="00B6485F" w:rsidP="001B4B65">
            <w:pPr>
              <w:ind w:left="612"/>
              <w:rPr>
                <w:sz w:val="26"/>
                <w:szCs w:val="26"/>
              </w:rPr>
            </w:pPr>
            <w:r w:rsidRPr="00160E8F">
              <w:rPr>
                <w:sz w:val="26"/>
                <w:szCs w:val="26"/>
              </w:rPr>
              <w:t>Gladys M. Brown</w:t>
            </w:r>
            <w:r w:rsidR="00320094" w:rsidRPr="00160E8F">
              <w:rPr>
                <w:sz w:val="26"/>
                <w:szCs w:val="26"/>
              </w:rPr>
              <w:t>, Chairman</w:t>
            </w:r>
          </w:p>
        </w:tc>
        <w:tc>
          <w:tcPr>
            <w:tcW w:w="390" w:type="dxa"/>
          </w:tcPr>
          <w:p w14:paraId="2535A99F" w14:textId="77777777" w:rsidR="00320094" w:rsidRPr="00160E8F" w:rsidRDefault="00320094" w:rsidP="00320094">
            <w:pPr>
              <w:rPr>
                <w:sz w:val="26"/>
                <w:szCs w:val="26"/>
              </w:rPr>
            </w:pPr>
          </w:p>
        </w:tc>
      </w:tr>
      <w:tr w:rsidR="00320094" w:rsidRPr="00160E8F" w14:paraId="20DF9B15" w14:textId="77777777" w:rsidTr="001B4B65">
        <w:tc>
          <w:tcPr>
            <w:tcW w:w="9900" w:type="dxa"/>
            <w:gridSpan w:val="2"/>
            <w:hideMark/>
          </w:tcPr>
          <w:p w14:paraId="4F5FD0ED" w14:textId="12B53CF9" w:rsidR="00320094" w:rsidRDefault="00ED63F8" w:rsidP="001B4B65">
            <w:pPr>
              <w:ind w:left="612"/>
              <w:rPr>
                <w:sz w:val="26"/>
                <w:szCs w:val="26"/>
              </w:rPr>
            </w:pPr>
            <w:r w:rsidRPr="00160E8F">
              <w:rPr>
                <w:sz w:val="26"/>
                <w:szCs w:val="26"/>
              </w:rPr>
              <w:t>Andrew G. Place</w:t>
            </w:r>
            <w:r w:rsidR="00320094" w:rsidRPr="00160E8F">
              <w:rPr>
                <w:sz w:val="26"/>
                <w:szCs w:val="26"/>
              </w:rPr>
              <w:t>, Vice Chairman</w:t>
            </w:r>
            <w:r w:rsidR="004264B6">
              <w:rPr>
                <w:sz w:val="26"/>
                <w:szCs w:val="26"/>
              </w:rPr>
              <w:t>, Statement, concurring in result only</w:t>
            </w:r>
          </w:p>
          <w:p w14:paraId="29DEF701" w14:textId="77777777" w:rsidR="004246B5" w:rsidRPr="00160E8F" w:rsidRDefault="004246B5" w:rsidP="001B4B65">
            <w:pPr>
              <w:ind w:left="612"/>
              <w:rPr>
                <w:sz w:val="26"/>
                <w:szCs w:val="26"/>
              </w:rPr>
            </w:pPr>
            <w:r>
              <w:rPr>
                <w:sz w:val="26"/>
                <w:szCs w:val="26"/>
              </w:rPr>
              <w:t>Norman J. Kennard</w:t>
            </w:r>
          </w:p>
        </w:tc>
        <w:tc>
          <w:tcPr>
            <w:tcW w:w="390" w:type="dxa"/>
          </w:tcPr>
          <w:p w14:paraId="69B6B235" w14:textId="77777777" w:rsidR="00320094" w:rsidRPr="00160E8F" w:rsidRDefault="00320094" w:rsidP="00320094">
            <w:pPr>
              <w:rPr>
                <w:sz w:val="26"/>
                <w:szCs w:val="26"/>
              </w:rPr>
            </w:pPr>
          </w:p>
        </w:tc>
      </w:tr>
      <w:tr w:rsidR="00B6485F" w:rsidRPr="00160E8F" w14:paraId="38F01BDF" w14:textId="77777777" w:rsidTr="001B4B65">
        <w:tc>
          <w:tcPr>
            <w:tcW w:w="9900" w:type="dxa"/>
            <w:gridSpan w:val="2"/>
            <w:hideMark/>
          </w:tcPr>
          <w:p w14:paraId="3D4D49D3" w14:textId="77777777" w:rsidR="00B6485F" w:rsidRPr="00160E8F" w:rsidRDefault="00B97F4A" w:rsidP="001B4B65">
            <w:pPr>
              <w:ind w:left="612"/>
              <w:rPr>
                <w:sz w:val="26"/>
                <w:szCs w:val="26"/>
              </w:rPr>
            </w:pPr>
            <w:r w:rsidRPr="00160E8F">
              <w:rPr>
                <w:sz w:val="26"/>
                <w:szCs w:val="26"/>
              </w:rPr>
              <w:t xml:space="preserve">David W. Sweet </w:t>
            </w:r>
          </w:p>
        </w:tc>
        <w:tc>
          <w:tcPr>
            <w:tcW w:w="390" w:type="dxa"/>
          </w:tcPr>
          <w:p w14:paraId="5915EB48" w14:textId="77777777" w:rsidR="00B6485F" w:rsidRPr="00160E8F" w:rsidRDefault="00B6485F" w:rsidP="00320094">
            <w:pPr>
              <w:rPr>
                <w:sz w:val="26"/>
                <w:szCs w:val="26"/>
              </w:rPr>
            </w:pPr>
          </w:p>
        </w:tc>
      </w:tr>
      <w:tr w:rsidR="00B6485F" w:rsidRPr="00160E8F" w14:paraId="0D758856" w14:textId="77777777" w:rsidTr="001B4B65">
        <w:tc>
          <w:tcPr>
            <w:tcW w:w="9900" w:type="dxa"/>
            <w:gridSpan w:val="2"/>
          </w:tcPr>
          <w:p w14:paraId="6E6A175F" w14:textId="77777777" w:rsidR="00ED63F8" w:rsidRDefault="00B97F4A" w:rsidP="001B4B65">
            <w:pPr>
              <w:ind w:left="612"/>
              <w:rPr>
                <w:sz w:val="26"/>
                <w:szCs w:val="26"/>
              </w:rPr>
            </w:pPr>
            <w:r w:rsidRPr="00160E8F">
              <w:rPr>
                <w:sz w:val="26"/>
                <w:szCs w:val="26"/>
              </w:rPr>
              <w:t>John F. Coleman, Jr.</w:t>
            </w:r>
          </w:p>
          <w:p w14:paraId="770F7DC9" w14:textId="77777777" w:rsidR="005E3215" w:rsidRPr="00160E8F" w:rsidRDefault="005E3215" w:rsidP="001B4B65">
            <w:pPr>
              <w:ind w:left="612"/>
              <w:rPr>
                <w:sz w:val="26"/>
                <w:szCs w:val="26"/>
              </w:rPr>
            </w:pPr>
          </w:p>
        </w:tc>
        <w:tc>
          <w:tcPr>
            <w:tcW w:w="390" w:type="dxa"/>
          </w:tcPr>
          <w:p w14:paraId="285985FA" w14:textId="77777777" w:rsidR="00B6485F" w:rsidRPr="00160E8F" w:rsidRDefault="00B6485F" w:rsidP="00B6485F">
            <w:pPr>
              <w:rPr>
                <w:sz w:val="26"/>
                <w:szCs w:val="26"/>
              </w:rPr>
            </w:pPr>
          </w:p>
        </w:tc>
      </w:tr>
      <w:tr w:rsidR="005802AD" w:rsidRPr="00160E8F" w14:paraId="4F4E8771" w14:textId="77777777" w:rsidTr="001B4B65">
        <w:trPr>
          <w:gridAfter w:val="1"/>
          <w:wAfter w:w="390" w:type="dxa"/>
        </w:trPr>
        <w:tc>
          <w:tcPr>
            <w:tcW w:w="5954" w:type="dxa"/>
          </w:tcPr>
          <w:p w14:paraId="70FC0DC7" w14:textId="2EDD2FEF" w:rsidR="005802AD" w:rsidRPr="00160E8F" w:rsidRDefault="005802AD" w:rsidP="005802AD">
            <w:pPr>
              <w:rPr>
                <w:sz w:val="26"/>
                <w:szCs w:val="26"/>
              </w:rPr>
            </w:pPr>
            <w:r w:rsidRPr="00160E8F">
              <w:rPr>
                <w:sz w:val="26"/>
                <w:szCs w:val="26"/>
              </w:rPr>
              <w:t xml:space="preserve">Policy Statement </w:t>
            </w:r>
            <w:r w:rsidR="001B4B65">
              <w:rPr>
                <w:sz w:val="26"/>
                <w:szCs w:val="26"/>
              </w:rPr>
              <w:t>R</w:t>
            </w:r>
            <w:r w:rsidR="007539B2">
              <w:rPr>
                <w:sz w:val="26"/>
                <w:szCs w:val="26"/>
              </w:rPr>
              <w:t>egarding</w:t>
            </w:r>
            <w:r w:rsidR="00FE5FDC">
              <w:rPr>
                <w:sz w:val="26"/>
                <w:szCs w:val="26"/>
              </w:rPr>
              <w:t xml:space="preserve"> the Reporting of Intrastate Operating Revenues for Section 510 Assessment Purposes by</w:t>
            </w:r>
            <w:r w:rsidR="007539B2">
              <w:rPr>
                <w:sz w:val="26"/>
                <w:szCs w:val="26"/>
              </w:rPr>
              <w:t xml:space="preserve"> </w:t>
            </w:r>
            <w:r w:rsidR="003B406A">
              <w:rPr>
                <w:sz w:val="26"/>
                <w:szCs w:val="26"/>
              </w:rPr>
              <w:t xml:space="preserve">Jurisdictional Telecommunications Carriers </w:t>
            </w:r>
            <w:r w:rsidR="00E1579B">
              <w:rPr>
                <w:sz w:val="26"/>
                <w:szCs w:val="26"/>
              </w:rPr>
              <w:t>O</w:t>
            </w:r>
            <w:r w:rsidR="003B406A">
              <w:rPr>
                <w:sz w:val="26"/>
                <w:szCs w:val="26"/>
              </w:rPr>
              <w:t xml:space="preserve">ffering </w:t>
            </w:r>
            <w:r w:rsidR="00FB336C">
              <w:rPr>
                <w:sz w:val="26"/>
                <w:szCs w:val="26"/>
              </w:rPr>
              <w:t xml:space="preserve">Special Access and </w:t>
            </w:r>
            <w:r w:rsidR="00E1579B">
              <w:rPr>
                <w:sz w:val="26"/>
                <w:szCs w:val="26"/>
              </w:rPr>
              <w:t>O</w:t>
            </w:r>
            <w:r w:rsidR="00FB336C">
              <w:rPr>
                <w:sz w:val="26"/>
                <w:szCs w:val="26"/>
              </w:rPr>
              <w:t>ther Similar Jurisdictionally</w:t>
            </w:r>
            <w:r w:rsidR="00E1579B">
              <w:rPr>
                <w:sz w:val="26"/>
                <w:szCs w:val="26"/>
              </w:rPr>
              <w:t>-</w:t>
            </w:r>
            <w:r w:rsidR="003B406A">
              <w:rPr>
                <w:sz w:val="26"/>
                <w:szCs w:val="26"/>
              </w:rPr>
              <w:t xml:space="preserve">Mixed </w:t>
            </w:r>
            <w:r w:rsidR="00B75009">
              <w:rPr>
                <w:sz w:val="26"/>
                <w:szCs w:val="26"/>
              </w:rPr>
              <w:t xml:space="preserve">Telecommunications </w:t>
            </w:r>
            <w:r w:rsidR="003B406A">
              <w:rPr>
                <w:sz w:val="26"/>
                <w:szCs w:val="26"/>
              </w:rPr>
              <w:t>Services</w:t>
            </w:r>
          </w:p>
        </w:tc>
        <w:tc>
          <w:tcPr>
            <w:tcW w:w="3946" w:type="dxa"/>
          </w:tcPr>
          <w:p w14:paraId="10A97086" w14:textId="77777777" w:rsidR="005802AD" w:rsidRPr="00160E8F" w:rsidRDefault="006E6D9A" w:rsidP="001B4B65">
            <w:pPr>
              <w:jc w:val="center"/>
              <w:rPr>
                <w:sz w:val="26"/>
                <w:szCs w:val="26"/>
              </w:rPr>
            </w:pPr>
            <w:bookmarkStart w:id="0" w:name="_Hlk528054673"/>
            <w:r>
              <w:rPr>
                <w:sz w:val="26"/>
                <w:szCs w:val="26"/>
              </w:rPr>
              <w:t>M-</w:t>
            </w:r>
            <w:r w:rsidR="004246B5">
              <w:rPr>
                <w:sz w:val="26"/>
                <w:szCs w:val="26"/>
              </w:rPr>
              <w:t>2018-</w:t>
            </w:r>
            <w:r w:rsidR="00EA4CD3" w:rsidRPr="00EA4CD3">
              <w:rPr>
                <w:sz w:val="26"/>
                <w:szCs w:val="26"/>
              </w:rPr>
              <w:t>3004578</w:t>
            </w:r>
            <w:bookmarkEnd w:id="0"/>
          </w:p>
        </w:tc>
      </w:tr>
    </w:tbl>
    <w:p w14:paraId="12AECDD3" w14:textId="77777777" w:rsidR="0046479C" w:rsidRPr="00160E8F" w:rsidRDefault="00AE4892" w:rsidP="00246FB9">
      <w:pPr>
        <w:rPr>
          <w:sz w:val="26"/>
          <w:szCs w:val="26"/>
        </w:rPr>
      </w:pPr>
      <w:r w:rsidRPr="00160E8F">
        <w:rPr>
          <w:sz w:val="26"/>
          <w:szCs w:val="26"/>
        </w:rPr>
        <w:tab/>
      </w:r>
      <w:r w:rsidRPr="00160E8F">
        <w:rPr>
          <w:sz w:val="26"/>
          <w:szCs w:val="26"/>
        </w:rPr>
        <w:tab/>
      </w:r>
      <w:r w:rsidRPr="00160E8F">
        <w:rPr>
          <w:sz w:val="26"/>
          <w:szCs w:val="26"/>
        </w:rPr>
        <w:tab/>
      </w:r>
      <w:r w:rsidRPr="00160E8F">
        <w:rPr>
          <w:sz w:val="26"/>
          <w:szCs w:val="26"/>
        </w:rPr>
        <w:tab/>
      </w:r>
      <w:r w:rsidRPr="00160E8F">
        <w:rPr>
          <w:sz w:val="26"/>
          <w:szCs w:val="26"/>
        </w:rPr>
        <w:tab/>
      </w:r>
    </w:p>
    <w:p w14:paraId="571ACDF9" w14:textId="77777777" w:rsidR="008040D2" w:rsidRPr="00160E8F" w:rsidRDefault="005E3215" w:rsidP="000E1912">
      <w:pPr>
        <w:jc w:val="center"/>
        <w:rPr>
          <w:b/>
          <w:sz w:val="26"/>
          <w:szCs w:val="26"/>
        </w:rPr>
      </w:pPr>
      <w:r>
        <w:rPr>
          <w:b/>
          <w:sz w:val="26"/>
          <w:szCs w:val="26"/>
        </w:rPr>
        <w:t xml:space="preserve">PROPOSED </w:t>
      </w:r>
      <w:r w:rsidR="007768AF" w:rsidRPr="00160E8F">
        <w:rPr>
          <w:b/>
          <w:sz w:val="26"/>
          <w:szCs w:val="26"/>
        </w:rPr>
        <w:t>POLICY STATEMENT</w:t>
      </w:r>
    </w:p>
    <w:p w14:paraId="3A5CBDBF" w14:textId="77777777" w:rsidR="0046479C" w:rsidRPr="00160E8F" w:rsidRDefault="0046479C" w:rsidP="000E1912">
      <w:pPr>
        <w:jc w:val="center"/>
        <w:rPr>
          <w:b/>
          <w:sz w:val="26"/>
          <w:szCs w:val="26"/>
        </w:rPr>
      </w:pPr>
    </w:p>
    <w:p w14:paraId="12E81EA2" w14:textId="77777777" w:rsidR="004C6F3D" w:rsidRPr="00160E8F" w:rsidRDefault="004C6F3D" w:rsidP="000E1912">
      <w:pPr>
        <w:jc w:val="center"/>
        <w:rPr>
          <w:b/>
          <w:sz w:val="26"/>
          <w:szCs w:val="26"/>
        </w:rPr>
      </w:pPr>
    </w:p>
    <w:p w14:paraId="6DEBE2F3" w14:textId="77777777" w:rsidR="000C2E24" w:rsidRPr="00160E8F" w:rsidRDefault="008040D2" w:rsidP="000E1912">
      <w:pPr>
        <w:spacing w:line="360" w:lineRule="auto"/>
        <w:rPr>
          <w:b/>
          <w:sz w:val="26"/>
          <w:szCs w:val="26"/>
        </w:rPr>
      </w:pPr>
      <w:r w:rsidRPr="00160E8F">
        <w:rPr>
          <w:b/>
          <w:sz w:val="26"/>
          <w:szCs w:val="26"/>
        </w:rPr>
        <w:t>BY THE COMMISSION:</w:t>
      </w:r>
    </w:p>
    <w:p w14:paraId="0D6E63AA" w14:textId="77777777" w:rsidR="006E6D9A" w:rsidRDefault="006E6D9A" w:rsidP="0055345F">
      <w:pPr>
        <w:spacing w:line="360" w:lineRule="auto"/>
        <w:ind w:firstLine="720"/>
        <w:rPr>
          <w:sz w:val="26"/>
          <w:szCs w:val="26"/>
        </w:rPr>
      </w:pPr>
    </w:p>
    <w:p w14:paraId="5EF22D13" w14:textId="77777777" w:rsidR="0001264D" w:rsidRDefault="004252CD" w:rsidP="0055345F">
      <w:pPr>
        <w:spacing w:line="360" w:lineRule="auto"/>
        <w:ind w:firstLine="720"/>
        <w:rPr>
          <w:sz w:val="26"/>
          <w:szCs w:val="26"/>
        </w:rPr>
      </w:pPr>
      <w:r>
        <w:rPr>
          <w:sz w:val="26"/>
          <w:szCs w:val="26"/>
        </w:rPr>
        <w:t>Pursuant to the Public Utility Code</w:t>
      </w:r>
      <w:r w:rsidR="004B59A3">
        <w:rPr>
          <w:sz w:val="26"/>
          <w:szCs w:val="26"/>
        </w:rPr>
        <w:t xml:space="preserve"> (Code)</w:t>
      </w:r>
      <w:r>
        <w:rPr>
          <w:sz w:val="26"/>
          <w:szCs w:val="26"/>
        </w:rPr>
        <w:t xml:space="preserve">, 66 Pa. C.S. §§ 101 – 3316, the Commission has regulatory authority over all public utilities and certain licensed entities operating and providing service to the public in Pennsylvania.  In particular, the Commission has </w:t>
      </w:r>
      <w:r w:rsidR="009B01EA">
        <w:rPr>
          <w:sz w:val="26"/>
          <w:szCs w:val="26"/>
        </w:rPr>
        <w:t xml:space="preserve">full </w:t>
      </w:r>
      <w:r>
        <w:rPr>
          <w:sz w:val="26"/>
          <w:szCs w:val="26"/>
        </w:rPr>
        <w:t xml:space="preserve">regulatory authority over </w:t>
      </w:r>
      <w:r w:rsidR="00C23FEC">
        <w:rPr>
          <w:sz w:val="26"/>
          <w:szCs w:val="26"/>
        </w:rPr>
        <w:t xml:space="preserve">all </w:t>
      </w:r>
      <w:r w:rsidR="00422B2C">
        <w:rPr>
          <w:sz w:val="26"/>
          <w:szCs w:val="26"/>
        </w:rPr>
        <w:t>Commission-</w:t>
      </w:r>
      <w:r w:rsidR="001B5119">
        <w:rPr>
          <w:sz w:val="26"/>
          <w:szCs w:val="26"/>
        </w:rPr>
        <w:t xml:space="preserve">certificated </w:t>
      </w:r>
      <w:r>
        <w:rPr>
          <w:sz w:val="26"/>
          <w:szCs w:val="26"/>
        </w:rPr>
        <w:t>telecommunications carriers</w:t>
      </w:r>
      <w:r w:rsidR="00C23FEC">
        <w:rPr>
          <w:sz w:val="26"/>
          <w:szCs w:val="26"/>
        </w:rPr>
        <w:t xml:space="preserve"> </w:t>
      </w:r>
      <w:r>
        <w:rPr>
          <w:sz w:val="26"/>
          <w:szCs w:val="26"/>
        </w:rPr>
        <w:t>offering intrastate telecommunications services, whether it is on a retail or wholesale basis.</w:t>
      </w:r>
      <w:r w:rsidR="009B01EA">
        <w:rPr>
          <w:rStyle w:val="FootnoteReference"/>
          <w:sz w:val="26"/>
          <w:szCs w:val="26"/>
        </w:rPr>
        <w:footnoteReference w:id="1"/>
      </w:r>
      <w:r>
        <w:rPr>
          <w:sz w:val="26"/>
          <w:szCs w:val="26"/>
        </w:rPr>
        <w:t xml:space="preserve">  </w:t>
      </w:r>
      <w:r w:rsidR="00C23FEC">
        <w:rPr>
          <w:sz w:val="26"/>
          <w:szCs w:val="26"/>
        </w:rPr>
        <w:t xml:space="preserve">Moreover, no person or corporation </w:t>
      </w:r>
      <w:r w:rsidR="00385CDF">
        <w:rPr>
          <w:sz w:val="26"/>
          <w:szCs w:val="26"/>
        </w:rPr>
        <w:t xml:space="preserve">that is a public utility under Pennsylvania law </w:t>
      </w:r>
      <w:r w:rsidR="00C23FEC">
        <w:rPr>
          <w:sz w:val="26"/>
          <w:szCs w:val="26"/>
        </w:rPr>
        <w:t xml:space="preserve">may offer telecommunications service to the public in Pennsylvania without first obtaining, from the Commission, a Certificate of Public </w:t>
      </w:r>
      <w:r w:rsidR="00C23FEC">
        <w:rPr>
          <w:sz w:val="26"/>
          <w:szCs w:val="26"/>
        </w:rPr>
        <w:lastRenderedPageBreak/>
        <w:t xml:space="preserve">Convenience (CPC) based on a finding that the service is necessary or proper for the service, accommodation, convenience or safety of the public.  66 Pa. C.S. §§ 1102-1103.  </w:t>
      </w:r>
    </w:p>
    <w:p w14:paraId="0BB81436" w14:textId="77777777" w:rsidR="00F0479C" w:rsidRDefault="00C23FEC" w:rsidP="00DD1A6B">
      <w:pPr>
        <w:spacing w:line="360" w:lineRule="auto"/>
        <w:rPr>
          <w:sz w:val="26"/>
          <w:szCs w:val="26"/>
        </w:rPr>
      </w:pPr>
      <w:r>
        <w:rPr>
          <w:sz w:val="26"/>
          <w:szCs w:val="26"/>
        </w:rPr>
        <w:t xml:space="preserve">All telecommunications carriers holding a CPC </w:t>
      </w:r>
      <w:r w:rsidR="001D71D8">
        <w:rPr>
          <w:sz w:val="26"/>
          <w:szCs w:val="26"/>
        </w:rPr>
        <w:t xml:space="preserve">in Pennsylvania </w:t>
      </w:r>
      <w:r>
        <w:rPr>
          <w:sz w:val="26"/>
          <w:szCs w:val="26"/>
        </w:rPr>
        <w:t xml:space="preserve">are subject to the Commission’s regulatory, </w:t>
      </w:r>
      <w:r w:rsidR="0001264D">
        <w:rPr>
          <w:sz w:val="26"/>
          <w:szCs w:val="26"/>
        </w:rPr>
        <w:t>investigati</w:t>
      </w:r>
      <w:r w:rsidR="0097777B">
        <w:rPr>
          <w:sz w:val="26"/>
          <w:szCs w:val="26"/>
        </w:rPr>
        <w:t>ve</w:t>
      </w:r>
      <w:r w:rsidR="0001264D">
        <w:rPr>
          <w:sz w:val="26"/>
          <w:szCs w:val="26"/>
        </w:rPr>
        <w:t xml:space="preserve">, </w:t>
      </w:r>
      <w:r>
        <w:rPr>
          <w:sz w:val="26"/>
          <w:szCs w:val="26"/>
        </w:rPr>
        <w:t xml:space="preserve">enforcement, audit and information gathering authority, </w:t>
      </w:r>
      <w:r w:rsidR="0001264D">
        <w:rPr>
          <w:sz w:val="26"/>
          <w:szCs w:val="26"/>
        </w:rPr>
        <w:t>66</w:t>
      </w:r>
      <w:r w:rsidR="00737933">
        <w:rPr>
          <w:sz w:val="26"/>
          <w:szCs w:val="26"/>
        </w:rPr>
        <w:t> </w:t>
      </w:r>
      <w:r w:rsidR="0001264D">
        <w:rPr>
          <w:sz w:val="26"/>
          <w:szCs w:val="26"/>
        </w:rPr>
        <w:t>Pa.</w:t>
      </w:r>
      <w:r w:rsidR="00737933">
        <w:rPr>
          <w:sz w:val="26"/>
          <w:szCs w:val="26"/>
        </w:rPr>
        <w:t> </w:t>
      </w:r>
      <w:r w:rsidR="0001264D">
        <w:rPr>
          <w:sz w:val="26"/>
          <w:szCs w:val="26"/>
        </w:rPr>
        <w:t xml:space="preserve">C.S. §§ 501, 504, 505, 506, and 516, </w:t>
      </w:r>
      <w:r>
        <w:rPr>
          <w:sz w:val="26"/>
          <w:szCs w:val="26"/>
        </w:rPr>
        <w:t>including the Commission’s authority under Section 510</w:t>
      </w:r>
      <w:r w:rsidR="0001264D">
        <w:rPr>
          <w:sz w:val="26"/>
          <w:szCs w:val="26"/>
        </w:rPr>
        <w:t xml:space="preserve"> of the Code</w:t>
      </w:r>
      <w:r>
        <w:rPr>
          <w:sz w:val="26"/>
          <w:szCs w:val="26"/>
        </w:rPr>
        <w:t xml:space="preserve">, 66 Pa. C.S. § 510 to impose assessments </w:t>
      </w:r>
      <w:r w:rsidR="00F0479C">
        <w:rPr>
          <w:sz w:val="26"/>
          <w:szCs w:val="26"/>
        </w:rPr>
        <w:t xml:space="preserve">upon these carriers </w:t>
      </w:r>
      <w:r w:rsidR="0001264D">
        <w:rPr>
          <w:sz w:val="26"/>
          <w:szCs w:val="26"/>
        </w:rPr>
        <w:t xml:space="preserve">to cover their “reasonable share” of the costs of administering the Code.  </w:t>
      </w:r>
    </w:p>
    <w:p w14:paraId="2FEC1B15" w14:textId="77777777" w:rsidR="00F0479C" w:rsidRDefault="00F0479C" w:rsidP="0055345F">
      <w:pPr>
        <w:spacing w:line="360" w:lineRule="auto"/>
        <w:ind w:firstLine="720"/>
        <w:rPr>
          <w:sz w:val="26"/>
          <w:szCs w:val="26"/>
        </w:rPr>
      </w:pPr>
    </w:p>
    <w:p w14:paraId="0FD7C8B4" w14:textId="212151D1" w:rsidR="00F0479C" w:rsidRDefault="00385CDF" w:rsidP="0055345F">
      <w:pPr>
        <w:spacing w:line="360" w:lineRule="auto"/>
        <w:ind w:firstLine="720"/>
        <w:rPr>
          <w:sz w:val="26"/>
          <w:szCs w:val="26"/>
        </w:rPr>
      </w:pPr>
      <w:r>
        <w:rPr>
          <w:sz w:val="26"/>
          <w:szCs w:val="26"/>
        </w:rPr>
        <w:t xml:space="preserve">Through the Section 510 assessment process, each telecommunications carrier holding a CPC is assessed and is obligated to pay for the reasonable costs attributable to the regulation of </w:t>
      </w:r>
      <w:r w:rsidR="009263C6">
        <w:rPr>
          <w:sz w:val="26"/>
          <w:szCs w:val="26"/>
        </w:rPr>
        <w:t xml:space="preserve">all Commission-certificated </w:t>
      </w:r>
      <w:r>
        <w:rPr>
          <w:sz w:val="26"/>
          <w:szCs w:val="26"/>
        </w:rPr>
        <w:t xml:space="preserve">telecommunications carriers.  </w:t>
      </w:r>
      <w:r w:rsidR="0001264D">
        <w:rPr>
          <w:sz w:val="26"/>
          <w:szCs w:val="26"/>
        </w:rPr>
        <w:t>For the Commission’s 2017-18 fiscal year, the total costs of administering the Code was $60.7</w:t>
      </w:r>
      <w:r w:rsidR="00511EB0">
        <w:rPr>
          <w:sz w:val="26"/>
          <w:szCs w:val="26"/>
        </w:rPr>
        <w:t> </w:t>
      </w:r>
      <w:r w:rsidR="0001264D">
        <w:rPr>
          <w:sz w:val="26"/>
          <w:szCs w:val="26"/>
        </w:rPr>
        <w:t>million</w:t>
      </w:r>
      <w:r w:rsidR="00F0479C">
        <w:rPr>
          <w:sz w:val="26"/>
          <w:szCs w:val="26"/>
        </w:rPr>
        <w:t xml:space="preserve"> for all utilities and license</w:t>
      </w:r>
      <w:r w:rsidR="009A287F">
        <w:rPr>
          <w:sz w:val="26"/>
          <w:szCs w:val="26"/>
        </w:rPr>
        <w:t>d</w:t>
      </w:r>
      <w:r w:rsidR="00F0479C">
        <w:rPr>
          <w:sz w:val="26"/>
          <w:szCs w:val="26"/>
        </w:rPr>
        <w:t xml:space="preserve"> entities.  B</w:t>
      </w:r>
      <w:r w:rsidR="0001264D">
        <w:rPr>
          <w:sz w:val="26"/>
          <w:szCs w:val="26"/>
        </w:rPr>
        <w:t>ased on employee time records for direct costs and a</w:t>
      </w:r>
      <w:r w:rsidR="00F0479C">
        <w:rPr>
          <w:sz w:val="26"/>
          <w:szCs w:val="26"/>
        </w:rPr>
        <w:t xml:space="preserve"> revenue-based</w:t>
      </w:r>
      <w:r w:rsidR="0001264D">
        <w:rPr>
          <w:sz w:val="26"/>
          <w:szCs w:val="26"/>
        </w:rPr>
        <w:t xml:space="preserve"> allocation of indirect costs, the sub-total attributable to the regulation of </w:t>
      </w:r>
      <w:r w:rsidR="00F0479C">
        <w:rPr>
          <w:sz w:val="26"/>
          <w:szCs w:val="26"/>
        </w:rPr>
        <w:t xml:space="preserve">all </w:t>
      </w:r>
      <w:r>
        <w:rPr>
          <w:sz w:val="26"/>
          <w:szCs w:val="26"/>
        </w:rPr>
        <w:t xml:space="preserve">Commission-certificated </w:t>
      </w:r>
      <w:r w:rsidR="0001264D">
        <w:rPr>
          <w:sz w:val="26"/>
          <w:szCs w:val="26"/>
        </w:rPr>
        <w:t>telecommunication</w:t>
      </w:r>
      <w:r w:rsidR="00666A94">
        <w:rPr>
          <w:sz w:val="26"/>
          <w:szCs w:val="26"/>
        </w:rPr>
        <w:t>s</w:t>
      </w:r>
      <w:r w:rsidR="0001264D">
        <w:rPr>
          <w:sz w:val="26"/>
          <w:szCs w:val="26"/>
        </w:rPr>
        <w:t xml:space="preserve"> carriers</w:t>
      </w:r>
      <w:r w:rsidR="00F0479C">
        <w:rPr>
          <w:sz w:val="26"/>
          <w:szCs w:val="26"/>
        </w:rPr>
        <w:t xml:space="preserve"> </w:t>
      </w:r>
      <w:r w:rsidR="0001264D">
        <w:rPr>
          <w:sz w:val="26"/>
          <w:szCs w:val="26"/>
        </w:rPr>
        <w:t>was $5.9</w:t>
      </w:r>
      <w:r w:rsidR="00511EB0">
        <w:rPr>
          <w:sz w:val="26"/>
          <w:szCs w:val="26"/>
        </w:rPr>
        <w:t> </w:t>
      </w:r>
      <w:r w:rsidR="0001264D">
        <w:rPr>
          <w:sz w:val="26"/>
          <w:szCs w:val="26"/>
        </w:rPr>
        <w:t>million.</w:t>
      </w:r>
      <w:r w:rsidR="00A84E9C">
        <w:rPr>
          <w:sz w:val="26"/>
          <w:szCs w:val="26"/>
        </w:rPr>
        <w:t xml:space="preserve">  </w:t>
      </w:r>
      <w:r w:rsidR="00F0479C">
        <w:rPr>
          <w:sz w:val="26"/>
          <w:szCs w:val="26"/>
        </w:rPr>
        <w:t>By statute,</w:t>
      </w:r>
      <w:r>
        <w:rPr>
          <w:sz w:val="26"/>
          <w:szCs w:val="26"/>
        </w:rPr>
        <w:t xml:space="preserve"> </w:t>
      </w:r>
      <w:r w:rsidR="00F0479C">
        <w:rPr>
          <w:sz w:val="26"/>
          <w:szCs w:val="26"/>
        </w:rPr>
        <w:t>the allocation of the Commission’s indirect costs i</w:t>
      </w:r>
      <w:r w:rsidR="00800E6A">
        <w:rPr>
          <w:sz w:val="26"/>
          <w:szCs w:val="26"/>
        </w:rPr>
        <w:t>s</w:t>
      </w:r>
      <w:r w:rsidR="00F0479C">
        <w:rPr>
          <w:sz w:val="26"/>
          <w:szCs w:val="26"/>
        </w:rPr>
        <w:t xml:space="preserve"> based on each carrier’s intrastate revenues</w:t>
      </w:r>
      <w:r w:rsidR="00E1579B">
        <w:rPr>
          <w:sz w:val="26"/>
          <w:szCs w:val="26"/>
        </w:rPr>
        <w:t>.</w:t>
      </w:r>
      <w:r w:rsidR="0001264D">
        <w:rPr>
          <w:sz w:val="26"/>
          <w:szCs w:val="26"/>
        </w:rPr>
        <w:t xml:space="preserve"> </w:t>
      </w:r>
      <w:r w:rsidR="00511EB0">
        <w:rPr>
          <w:sz w:val="26"/>
          <w:szCs w:val="26"/>
        </w:rPr>
        <w:t xml:space="preserve"> </w:t>
      </w:r>
      <w:r w:rsidR="00E1579B">
        <w:rPr>
          <w:i/>
          <w:sz w:val="26"/>
          <w:szCs w:val="26"/>
        </w:rPr>
        <w:t>S</w:t>
      </w:r>
      <w:r w:rsidR="00FD2217" w:rsidRPr="00A84E9C">
        <w:rPr>
          <w:i/>
          <w:sz w:val="26"/>
          <w:szCs w:val="26"/>
        </w:rPr>
        <w:t>ee</w:t>
      </w:r>
      <w:r w:rsidR="00FD2217">
        <w:rPr>
          <w:sz w:val="26"/>
          <w:szCs w:val="26"/>
        </w:rPr>
        <w:t xml:space="preserve"> </w:t>
      </w:r>
      <w:r w:rsidR="00F0479C">
        <w:rPr>
          <w:sz w:val="26"/>
          <w:szCs w:val="26"/>
        </w:rPr>
        <w:t>66 Pa. C.S. § 510(b)</w:t>
      </w:r>
      <w:r w:rsidR="00FD2217">
        <w:rPr>
          <w:sz w:val="26"/>
          <w:szCs w:val="26"/>
        </w:rPr>
        <w:t>(2)</w:t>
      </w:r>
      <w:r>
        <w:rPr>
          <w:sz w:val="26"/>
          <w:szCs w:val="26"/>
        </w:rPr>
        <w:t>.  Therefore</w:t>
      </w:r>
      <w:r w:rsidR="00FD2217">
        <w:rPr>
          <w:sz w:val="26"/>
          <w:szCs w:val="26"/>
        </w:rPr>
        <w:t xml:space="preserve">, </w:t>
      </w:r>
      <w:r w:rsidR="0001264D">
        <w:rPr>
          <w:sz w:val="26"/>
          <w:szCs w:val="26"/>
        </w:rPr>
        <w:t>if</w:t>
      </w:r>
      <w:r w:rsidR="00737933">
        <w:rPr>
          <w:sz w:val="26"/>
          <w:szCs w:val="26"/>
        </w:rPr>
        <w:t> </w:t>
      </w:r>
      <w:r w:rsidR="0001264D">
        <w:rPr>
          <w:sz w:val="26"/>
          <w:szCs w:val="26"/>
        </w:rPr>
        <w:t xml:space="preserve">some carriers </w:t>
      </w:r>
      <w:r w:rsidR="00F0479C">
        <w:rPr>
          <w:sz w:val="26"/>
          <w:szCs w:val="26"/>
        </w:rPr>
        <w:t>fail to accurately report their intrastate revenues, the burden of the</w:t>
      </w:r>
      <w:r w:rsidR="007E53B4">
        <w:rPr>
          <w:sz w:val="26"/>
          <w:szCs w:val="26"/>
        </w:rPr>
        <w:t xml:space="preserve">ir cost of </w:t>
      </w:r>
      <w:r w:rsidR="00A55751">
        <w:rPr>
          <w:sz w:val="26"/>
          <w:szCs w:val="26"/>
        </w:rPr>
        <w:t>regulation to be recovered through the</w:t>
      </w:r>
      <w:r w:rsidR="00F0479C">
        <w:rPr>
          <w:sz w:val="26"/>
          <w:szCs w:val="26"/>
        </w:rPr>
        <w:t xml:space="preserve"> assessment is improperly shifted to all other </w:t>
      </w:r>
      <w:r w:rsidR="008D00D6">
        <w:rPr>
          <w:sz w:val="26"/>
          <w:szCs w:val="26"/>
        </w:rPr>
        <w:t xml:space="preserve">certificated </w:t>
      </w:r>
      <w:r w:rsidR="00F0479C">
        <w:rPr>
          <w:sz w:val="26"/>
          <w:szCs w:val="26"/>
        </w:rPr>
        <w:t>telecommunication carriers.</w:t>
      </w:r>
    </w:p>
    <w:p w14:paraId="643B4D39" w14:textId="77777777" w:rsidR="00F0479C" w:rsidRDefault="00F0479C" w:rsidP="0055345F">
      <w:pPr>
        <w:spacing w:line="360" w:lineRule="auto"/>
        <w:ind w:firstLine="720"/>
        <w:rPr>
          <w:sz w:val="26"/>
          <w:szCs w:val="26"/>
        </w:rPr>
      </w:pPr>
    </w:p>
    <w:p w14:paraId="1A7D56E8" w14:textId="77777777" w:rsidR="00B41342" w:rsidRDefault="007539B2" w:rsidP="009263C6">
      <w:pPr>
        <w:spacing w:line="360" w:lineRule="auto"/>
        <w:ind w:firstLine="720"/>
        <w:rPr>
          <w:bCs/>
          <w:sz w:val="26"/>
          <w:szCs w:val="26"/>
        </w:rPr>
      </w:pPr>
      <w:bookmarkStart w:id="1" w:name="_Hlk525048052"/>
      <w:r>
        <w:rPr>
          <w:sz w:val="26"/>
          <w:szCs w:val="26"/>
        </w:rPr>
        <w:t xml:space="preserve">The Commission is </w:t>
      </w:r>
      <w:r w:rsidR="005E3215">
        <w:rPr>
          <w:sz w:val="26"/>
          <w:szCs w:val="26"/>
        </w:rPr>
        <w:t xml:space="preserve">proposing this </w:t>
      </w:r>
      <w:r w:rsidR="00781E1E" w:rsidRPr="00160E8F">
        <w:rPr>
          <w:sz w:val="26"/>
          <w:szCs w:val="26"/>
        </w:rPr>
        <w:t>policy statement</w:t>
      </w:r>
      <w:r w:rsidR="00027AE7" w:rsidRPr="00160E8F">
        <w:rPr>
          <w:sz w:val="26"/>
          <w:szCs w:val="26"/>
        </w:rPr>
        <w:t xml:space="preserve"> </w:t>
      </w:r>
      <w:r w:rsidR="00BD0564">
        <w:rPr>
          <w:sz w:val="26"/>
          <w:szCs w:val="26"/>
        </w:rPr>
        <w:t xml:space="preserve">to </w:t>
      </w:r>
      <w:r w:rsidR="00FE5FDC">
        <w:rPr>
          <w:sz w:val="26"/>
          <w:szCs w:val="26"/>
        </w:rPr>
        <w:t>provide guidance regarding the reporting of gross intrastate operating revenues for Section 510 assessment purposes</w:t>
      </w:r>
      <w:r w:rsidR="00132513">
        <w:rPr>
          <w:sz w:val="26"/>
          <w:szCs w:val="26"/>
        </w:rPr>
        <w:t xml:space="preserve"> </w:t>
      </w:r>
      <w:r w:rsidR="00FE5FDC">
        <w:rPr>
          <w:sz w:val="26"/>
          <w:szCs w:val="26"/>
        </w:rPr>
        <w:t>by</w:t>
      </w:r>
      <w:r>
        <w:rPr>
          <w:sz w:val="26"/>
          <w:szCs w:val="26"/>
        </w:rPr>
        <w:t xml:space="preserve"> </w:t>
      </w:r>
      <w:bookmarkStart w:id="2" w:name="_Hlk528051683"/>
      <w:r w:rsidR="003B406A">
        <w:rPr>
          <w:sz w:val="26"/>
          <w:szCs w:val="26"/>
        </w:rPr>
        <w:t xml:space="preserve">jurisdictional telecommunications public utilities in Pennsylvania </w:t>
      </w:r>
      <w:r w:rsidR="00CB75AC">
        <w:rPr>
          <w:sz w:val="26"/>
          <w:szCs w:val="26"/>
        </w:rPr>
        <w:t xml:space="preserve">that </w:t>
      </w:r>
      <w:r w:rsidR="003B406A">
        <w:rPr>
          <w:sz w:val="26"/>
          <w:szCs w:val="26"/>
        </w:rPr>
        <w:t xml:space="preserve">offer </w:t>
      </w:r>
      <w:r w:rsidR="003B406A">
        <w:rPr>
          <w:bCs/>
          <w:sz w:val="26"/>
          <w:szCs w:val="26"/>
        </w:rPr>
        <w:t>special access or other similar jurisdictionally-mixed telecommunications services</w:t>
      </w:r>
      <w:r w:rsidR="009263C6">
        <w:rPr>
          <w:bCs/>
          <w:sz w:val="26"/>
          <w:szCs w:val="26"/>
        </w:rPr>
        <w:t xml:space="preserve"> but report</w:t>
      </w:r>
    </w:p>
    <w:p w14:paraId="06BC1C5C" w14:textId="77777777" w:rsidR="00B41342" w:rsidRDefault="00B41342">
      <w:pPr>
        <w:rPr>
          <w:bCs/>
          <w:sz w:val="26"/>
          <w:szCs w:val="26"/>
        </w:rPr>
      </w:pPr>
      <w:r>
        <w:rPr>
          <w:bCs/>
          <w:sz w:val="26"/>
          <w:szCs w:val="26"/>
        </w:rPr>
        <w:br w:type="page"/>
      </w:r>
    </w:p>
    <w:p w14:paraId="520E6783" w14:textId="2182B9EB" w:rsidR="00EE74CC" w:rsidRPr="009263C6" w:rsidRDefault="009263C6" w:rsidP="00B41342">
      <w:pPr>
        <w:spacing w:line="360" w:lineRule="auto"/>
        <w:rPr>
          <w:spacing w:val="-1"/>
          <w:sz w:val="26"/>
          <w:szCs w:val="26"/>
        </w:rPr>
      </w:pPr>
      <w:r>
        <w:rPr>
          <w:bCs/>
          <w:sz w:val="26"/>
          <w:szCs w:val="26"/>
        </w:rPr>
        <w:t>zero gross intrastate revenues.</w:t>
      </w:r>
      <w:r w:rsidR="003B406A">
        <w:rPr>
          <w:rStyle w:val="FootnoteReference"/>
          <w:bCs/>
          <w:sz w:val="26"/>
          <w:szCs w:val="26"/>
        </w:rPr>
        <w:footnoteReference w:id="2"/>
      </w:r>
      <w:r w:rsidR="003B406A">
        <w:rPr>
          <w:sz w:val="26"/>
          <w:szCs w:val="26"/>
        </w:rPr>
        <w:t xml:space="preserve"> </w:t>
      </w:r>
      <w:r>
        <w:rPr>
          <w:sz w:val="26"/>
          <w:szCs w:val="26"/>
        </w:rPr>
        <w:t xml:space="preserve"> These services often are</w:t>
      </w:r>
      <w:r w:rsidR="003B406A">
        <w:rPr>
          <w:sz w:val="26"/>
          <w:szCs w:val="26"/>
        </w:rPr>
        <w:t xml:space="preserve"> </w:t>
      </w:r>
      <w:r>
        <w:rPr>
          <w:sz w:val="26"/>
          <w:szCs w:val="26"/>
        </w:rPr>
        <w:t>provided by</w:t>
      </w:r>
      <w:r w:rsidR="005E3215" w:rsidRPr="005E3215">
        <w:rPr>
          <w:sz w:val="26"/>
          <w:szCs w:val="26"/>
        </w:rPr>
        <w:t xml:space="preserve"> </w:t>
      </w:r>
      <w:r w:rsidR="005E3215" w:rsidRPr="005E3215">
        <w:rPr>
          <w:bCs/>
          <w:sz w:val="26"/>
          <w:szCs w:val="26"/>
        </w:rPr>
        <w:t>Competitive Access Providers (CAP</w:t>
      </w:r>
      <w:r w:rsidR="0080632C">
        <w:rPr>
          <w:bCs/>
          <w:sz w:val="26"/>
          <w:szCs w:val="26"/>
        </w:rPr>
        <w:t>s</w:t>
      </w:r>
      <w:r w:rsidR="005E3215" w:rsidRPr="005E3215">
        <w:rPr>
          <w:bCs/>
          <w:sz w:val="26"/>
          <w:szCs w:val="26"/>
        </w:rPr>
        <w:t>)</w:t>
      </w:r>
      <w:r w:rsidR="003B406A">
        <w:rPr>
          <w:bCs/>
          <w:sz w:val="26"/>
          <w:szCs w:val="26"/>
        </w:rPr>
        <w:t>,</w:t>
      </w:r>
      <w:r w:rsidR="008D00D6">
        <w:rPr>
          <w:bCs/>
          <w:sz w:val="26"/>
          <w:szCs w:val="26"/>
        </w:rPr>
        <w:t xml:space="preserve"> </w:t>
      </w:r>
      <w:r>
        <w:rPr>
          <w:bCs/>
          <w:sz w:val="26"/>
          <w:szCs w:val="26"/>
        </w:rPr>
        <w:t>but also</w:t>
      </w:r>
      <w:r w:rsidR="00CB75AC">
        <w:rPr>
          <w:bCs/>
          <w:sz w:val="26"/>
          <w:szCs w:val="26"/>
        </w:rPr>
        <w:t>,</w:t>
      </w:r>
      <w:r>
        <w:rPr>
          <w:bCs/>
          <w:sz w:val="26"/>
          <w:szCs w:val="26"/>
        </w:rPr>
        <w:t xml:space="preserve"> are provided by </w:t>
      </w:r>
      <w:r w:rsidR="008D00D6">
        <w:rPr>
          <w:bCs/>
          <w:sz w:val="26"/>
          <w:szCs w:val="26"/>
        </w:rPr>
        <w:t>other telecommunications public utilities</w:t>
      </w:r>
      <w:r w:rsidR="001F41D9">
        <w:rPr>
          <w:bCs/>
          <w:sz w:val="26"/>
          <w:szCs w:val="26"/>
        </w:rPr>
        <w:t xml:space="preserve"> in Pennsylvania</w:t>
      </w:r>
      <w:r w:rsidR="00A64243">
        <w:rPr>
          <w:bCs/>
          <w:sz w:val="26"/>
          <w:szCs w:val="26"/>
        </w:rPr>
        <w:t>, including Incumbent Local Exchange Carriers</w:t>
      </w:r>
      <w:r w:rsidR="00416A6F">
        <w:rPr>
          <w:bCs/>
          <w:sz w:val="26"/>
          <w:szCs w:val="26"/>
        </w:rPr>
        <w:t xml:space="preserve"> (ILECs)</w:t>
      </w:r>
      <w:bookmarkStart w:id="4" w:name="_Hlk528050239"/>
      <w:bookmarkStart w:id="5" w:name="_Hlk528051956"/>
      <w:r w:rsidR="00FE5FDC">
        <w:rPr>
          <w:bCs/>
          <w:sz w:val="26"/>
          <w:szCs w:val="26"/>
        </w:rPr>
        <w:t>.  As explained herein, these carriers are</w:t>
      </w:r>
      <w:r w:rsidR="00132513">
        <w:rPr>
          <w:bCs/>
          <w:sz w:val="26"/>
          <w:szCs w:val="26"/>
        </w:rPr>
        <w:t xml:space="preserve"> obligated </w:t>
      </w:r>
      <w:bookmarkEnd w:id="4"/>
      <w:r w:rsidR="005E3215" w:rsidRPr="005E3215">
        <w:rPr>
          <w:spacing w:val="-1"/>
          <w:sz w:val="26"/>
          <w:szCs w:val="26"/>
        </w:rPr>
        <w:t xml:space="preserve">file </w:t>
      </w:r>
      <w:bookmarkStart w:id="6" w:name="_Hlk528053650"/>
      <w:r w:rsidR="005E3215" w:rsidRPr="005E3215">
        <w:rPr>
          <w:spacing w:val="-1"/>
          <w:sz w:val="26"/>
          <w:szCs w:val="26"/>
        </w:rPr>
        <w:t xml:space="preserve">their </w:t>
      </w:r>
      <w:r w:rsidR="005E3215" w:rsidRPr="005E3215">
        <w:rPr>
          <w:i/>
          <w:spacing w:val="-1"/>
          <w:sz w:val="26"/>
          <w:szCs w:val="26"/>
        </w:rPr>
        <w:t>de facto</w:t>
      </w:r>
      <w:r w:rsidR="005E3215" w:rsidRPr="005E3215">
        <w:rPr>
          <w:spacing w:val="-1"/>
          <w:sz w:val="26"/>
          <w:szCs w:val="26"/>
        </w:rPr>
        <w:t xml:space="preserve"> </w:t>
      </w:r>
      <w:r w:rsidR="000E7AAC">
        <w:rPr>
          <w:spacing w:val="-1"/>
          <w:sz w:val="26"/>
          <w:szCs w:val="26"/>
        </w:rPr>
        <w:t xml:space="preserve">gross </w:t>
      </w:r>
      <w:r w:rsidR="005E3215" w:rsidRPr="005E3215">
        <w:rPr>
          <w:spacing w:val="-1"/>
          <w:sz w:val="26"/>
          <w:szCs w:val="26"/>
        </w:rPr>
        <w:t>intrastate revenues</w:t>
      </w:r>
      <w:r w:rsidR="006D1CEF">
        <w:rPr>
          <w:rStyle w:val="FootnoteReference"/>
          <w:spacing w:val="-1"/>
          <w:sz w:val="26"/>
          <w:szCs w:val="26"/>
        </w:rPr>
        <w:footnoteReference w:id="3"/>
      </w:r>
      <w:r w:rsidR="005E3215" w:rsidRPr="005E3215">
        <w:rPr>
          <w:spacing w:val="-1"/>
          <w:sz w:val="26"/>
          <w:szCs w:val="26"/>
        </w:rPr>
        <w:t xml:space="preserve"> </w:t>
      </w:r>
      <w:r w:rsidR="00772950">
        <w:rPr>
          <w:spacing w:val="-1"/>
          <w:sz w:val="26"/>
          <w:szCs w:val="26"/>
        </w:rPr>
        <w:t>with the Commission</w:t>
      </w:r>
      <w:r w:rsidR="00132513">
        <w:rPr>
          <w:spacing w:val="-1"/>
          <w:sz w:val="26"/>
          <w:szCs w:val="26"/>
        </w:rPr>
        <w:t>.</w:t>
      </w:r>
      <w:bookmarkEnd w:id="6"/>
      <w:r w:rsidR="00132513">
        <w:rPr>
          <w:spacing w:val="-1"/>
          <w:sz w:val="26"/>
          <w:szCs w:val="26"/>
        </w:rPr>
        <w:t xml:space="preserve">  </w:t>
      </w:r>
      <w:bookmarkEnd w:id="2"/>
      <w:r w:rsidR="00132513">
        <w:rPr>
          <w:spacing w:val="-1"/>
          <w:sz w:val="26"/>
          <w:szCs w:val="26"/>
        </w:rPr>
        <w:t xml:space="preserve">The Commission is proposing this policy statement </w:t>
      </w:r>
      <w:proofErr w:type="gramStart"/>
      <w:r w:rsidR="00F0479C">
        <w:rPr>
          <w:spacing w:val="-1"/>
          <w:sz w:val="26"/>
          <w:szCs w:val="26"/>
        </w:rPr>
        <w:t>in order to</w:t>
      </w:r>
      <w:proofErr w:type="gramEnd"/>
      <w:r w:rsidR="00132513">
        <w:rPr>
          <w:spacing w:val="-1"/>
          <w:sz w:val="26"/>
          <w:szCs w:val="26"/>
        </w:rPr>
        <w:t xml:space="preserve"> assist these carriers</w:t>
      </w:r>
      <w:r w:rsidR="00F0479C">
        <w:rPr>
          <w:spacing w:val="-1"/>
          <w:sz w:val="26"/>
          <w:szCs w:val="26"/>
        </w:rPr>
        <w:t xml:space="preserve"> </w:t>
      </w:r>
      <w:r w:rsidR="00132513">
        <w:rPr>
          <w:spacing w:val="-1"/>
          <w:sz w:val="26"/>
          <w:szCs w:val="26"/>
        </w:rPr>
        <w:t xml:space="preserve">in </w:t>
      </w:r>
      <w:r w:rsidR="00F0479C">
        <w:rPr>
          <w:spacing w:val="-1"/>
          <w:sz w:val="26"/>
          <w:szCs w:val="26"/>
        </w:rPr>
        <w:t>comply</w:t>
      </w:r>
      <w:r w:rsidR="00132513">
        <w:rPr>
          <w:spacing w:val="-1"/>
          <w:sz w:val="26"/>
          <w:szCs w:val="26"/>
        </w:rPr>
        <w:t>ing</w:t>
      </w:r>
      <w:r w:rsidR="00F0479C">
        <w:rPr>
          <w:spacing w:val="-1"/>
          <w:sz w:val="26"/>
          <w:szCs w:val="26"/>
        </w:rPr>
        <w:t xml:space="preserve"> with their statutory obligation</w:t>
      </w:r>
      <w:r w:rsidR="001B7FB5">
        <w:rPr>
          <w:spacing w:val="-1"/>
          <w:sz w:val="26"/>
          <w:szCs w:val="26"/>
        </w:rPr>
        <w:t>s to file their Section 510 revenues report on March 3</w:t>
      </w:r>
      <w:r w:rsidR="004F4E42">
        <w:rPr>
          <w:spacing w:val="-1"/>
          <w:sz w:val="26"/>
          <w:szCs w:val="26"/>
        </w:rPr>
        <w:t>1</w:t>
      </w:r>
      <w:r w:rsidR="001B7FB5">
        <w:rPr>
          <w:spacing w:val="-1"/>
          <w:sz w:val="26"/>
          <w:szCs w:val="26"/>
        </w:rPr>
        <w:t xml:space="preserve"> of each year and</w:t>
      </w:r>
      <w:r w:rsidR="00F0479C">
        <w:rPr>
          <w:spacing w:val="-1"/>
          <w:sz w:val="26"/>
          <w:szCs w:val="26"/>
        </w:rPr>
        <w:t xml:space="preserve"> to </w:t>
      </w:r>
      <w:r w:rsidR="005E3215" w:rsidRPr="005E3215">
        <w:rPr>
          <w:spacing w:val="-1"/>
          <w:sz w:val="26"/>
          <w:szCs w:val="26"/>
        </w:rPr>
        <w:t xml:space="preserve">pay a reasonable share of the </w:t>
      </w:r>
      <w:r w:rsidR="001B7FB5">
        <w:rPr>
          <w:spacing w:val="-1"/>
          <w:sz w:val="26"/>
          <w:szCs w:val="26"/>
        </w:rPr>
        <w:t xml:space="preserve">Commission’s </w:t>
      </w:r>
      <w:r w:rsidR="005E3215" w:rsidRPr="005E3215">
        <w:rPr>
          <w:spacing w:val="-1"/>
          <w:sz w:val="26"/>
          <w:szCs w:val="26"/>
        </w:rPr>
        <w:t xml:space="preserve">costs of administering the </w:t>
      </w:r>
      <w:r w:rsidR="001B7FB5">
        <w:rPr>
          <w:spacing w:val="-1"/>
          <w:sz w:val="26"/>
          <w:szCs w:val="26"/>
        </w:rPr>
        <w:t xml:space="preserve">Public Utility </w:t>
      </w:r>
      <w:r w:rsidR="005E3215" w:rsidRPr="005E3215">
        <w:rPr>
          <w:spacing w:val="-1"/>
          <w:sz w:val="26"/>
          <w:szCs w:val="26"/>
        </w:rPr>
        <w:t>Code.</w:t>
      </w:r>
      <w:r w:rsidR="00EE74CC">
        <w:rPr>
          <w:spacing w:val="-1"/>
          <w:sz w:val="26"/>
          <w:szCs w:val="26"/>
        </w:rPr>
        <w:t xml:space="preserve"> </w:t>
      </w:r>
      <w:r w:rsidR="007539B2">
        <w:rPr>
          <w:spacing w:val="-1"/>
          <w:sz w:val="26"/>
          <w:szCs w:val="26"/>
        </w:rPr>
        <w:t xml:space="preserve"> </w:t>
      </w:r>
      <w:bookmarkEnd w:id="1"/>
    </w:p>
    <w:bookmarkEnd w:id="5"/>
    <w:p w14:paraId="0DA5E456" w14:textId="77777777" w:rsidR="001B7FB5" w:rsidRDefault="001B7FB5" w:rsidP="00553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14:paraId="12ACDA56" w14:textId="048F800D" w:rsidR="00A64243" w:rsidRDefault="00B72FC0" w:rsidP="00553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0"/>
        </w:rPr>
      </w:pPr>
      <w:r>
        <w:rPr>
          <w:sz w:val="26"/>
          <w:szCs w:val="26"/>
        </w:rPr>
        <w:tab/>
      </w:r>
      <w:r w:rsidR="00F266D5">
        <w:rPr>
          <w:sz w:val="26"/>
          <w:szCs w:val="26"/>
        </w:rPr>
        <w:t>Specifically</w:t>
      </w:r>
      <w:r w:rsidR="000C590E" w:rsidRPr="00160E8F">
        <w:rPr>
          <w:sz w:val="26"/>
          <w:szCs w:val="26"/>
        </w:rPr>
        <w:t xml:space="preserve">, </w:t>
      </w:r>
      <w:r w:rsidR="00781E1E" w:rsidRPr="00160E8F">
        <w:rPr>
          <w:sz w:val="26"/>
          <w:szCs w:val="26"/>
        </w:rPr>
        <w:t>we</w:t>
      </w:r>
      <w:r w:rsidR="00484B7E" w:rsidRPr="00160E8F">
        <w:rPr>
          <w:sz w:val="26"/>
          <w:szCs w:val="26"/>
        </w:rPr>
        <w:t xml:space="preserve"> </w:t>
      </w:r>
      <w:r w:rsidR="0067497D">
        <w:rPr>
          <w:sz w:val="26"/>
          <w:szCs w:val="26"/>
        </w:rPr>
        <w:t xml:space="preserve">propose to </w:t>
      </w:r>
      <w:r w:rsidR="00C870BE" w:rsidRPr="00C870BE">
        <w:rPr>
          <w:sz w:val="26"/>
          <w:szCs w:val="20"/>
        </w:rPr>
        <w:t xml:space="preserve">amend 52 Pa. Code Chapter </w:t>
      </w:r>
      <w:r w:rsidR="00EF2132">
        <w:rPr>
          <w:sz w:val="26"/>
          <w:szCs w:val="20"/>
        </w:rPr>
        <w:t>69</w:t>
      </w:r>
      <w:r w:rsidR="00C870BE">
        <w:rPr>
          <w:sz w:val="26"/>
          <w:szCs w:val="20"/>
        </w:rPr>
        <w:t xml:space="preserve"> </w:t>
      </w:r>
      <w:r w:rsidR="00C870BE" w:rsidRPr="00C870BE">
        <w:rPr>
          <w:sz w:val="26"/>
          <w:szCs w:val="20"/>
        </w:rPr>
        <w:t>to include Section</w:t>
      </w:r>
      <w:r w:rsidR="0043780E">
        <w:rPr>
          <w:sz w:val="26"/>
          <w:szCs w:val="20"/>
        </w:rPr>
        <w:t> </w:t>
      </w:r>
      <w:r w:rsidR="00EF2132">
        <w:rPr>
          <w:sz w:val="26"/>
          <w:szCs w:val="20"/>
        </w:rPr>
        <w:t>69.3</w:t>
      </w:r>
      <w:r w:rsidR="00DD2AEA">
        <w:rPr>
          <w:sz w:val="26"/>
          <w:szCs w:val="20"/>
        </w:rPr>
        <w:t>7</w:t>
      </w:r>
      <w:r w:rsidR="00EF2132">
        <w:rPr>
          <w:sz w:val="26"/>
          <w:szCs w:val="20"/>
        </w:rPr>
        <w:t>01</w:t>
      </w:r>
      <w:r w:rsidR="00E1579B">
        <w:rPr>
          <w:sz w:val="26"/>
          <w:szCs w:val="20"/>
        </w:rPr>
        <w:t xml:space="preserve">. This section will </w:t>
      </w:r>
      <w:r w:rsidR="00C870BE" w:rsidRPr="00C870BE">
        <w:rPr>
          <w:sz w:val="26"/>
          <w:szCs w:val="20"/>
        </w:rPr>
        <w:t>incorporate the</w:t>
      </w:r>
      <w:r w:rsidR="00EF2132">
        <w:rPr>
          <w:sz w:val="26"/>
          <w:szCs w:val="20"/>
        </w:rPr>
        <w:t xml:space="preserve"> policy determination that </w:t>
      </w:r>
      <w:r w:rsidR="000861E4">
        <w:rPr>
          <w:sz w:val="26"/>
          <w:szCs w:val="20"/>
        </w:rPr>
        <w:t>Commission-jurisdictional provider</w:t>
      </w:r>
      <w:r w:rsidR="00E304FE">
        <w:rPr>
          <w:sz w:val="26"/>
          <w:szCs w:val="20"/>
        </w:rPr>
        <w:t>s</w:t>
      </w:r>
      <w:r w:rsidR="000861E4">
        <w:rPr>
          <w:sz w:val="26"/>
          <w:szCs w:val="20"/>
        </w:rPr>
        <w:t xml:space="preserve"> of special access </w:t>
      </w:r>
      <w:r w:rsidR="00491CD4">
        <w:rPr>
          <w:sz w:val="26"/>
          <w:szCs w:val="20"/>
        </w:rPr>
        <w:t>or</w:t>
      </w:r>
      <w:r w:rsidR="000861E4">
        <w:rPr>
          <w:sz w:val="26"/>
          <w:szCs w:val="20"/>
        </w:rPr>
        <w:t xml:space="preserve"> other similar jurisdictionally-mixed telecommunications services </w:t>
      </w:r>
      <w:r w:rsidR="00E1579B">
        <w:rPr>
          <w:bCs/>
          <w:sz w:val="26"/>
          <w:szCs w:val="20"/>
        </w:rPr>
        <w:t>that</w:t>
      </w:r>
      <w:r w:rsidR="00E1579B" w:rsidRPr="00B75009">
        <w:rPr>
          <w:bCs/>
          <w:sz w:val="26"/>
          <w:szCs w:val="20"/>
        </w:rPr>
        <w:t xml:space="preserve"> </w:t>
      </w:r>
      <w:r w:rsidR="00B75009" w:rsidRPr="00B75009">
        <w:rPr>
          <w:bCs/>
          <w:sz w:val="26"/>
          <w:szCs w:val="20"/>
        </w:rPr>
        <w:t xml:space="preserve">report zero gross intrastate revenues </w:t>
      </w:r>
      <w:r w:rsidR="00FD2217">
        <w:rPr>
          <w:bCs/>
          <w:sz w:val="26"/>
          <w:szCs w:val="20"/>
        </w:rPr>
        <w:t>are obligated to</w:t>
      </w:r>
      <w:r w:rsidR="00EF2132">
        <w:rPr>
          <w:bCs/>
          <w:sz w:val="26"/>
          <w:szCs w:val="20"/>
        </w:rPr>
        <w:t xml:space="preserve"> </w:t>
      </w:r>
      <w:r w:rsidR="001B7FB5">
        <w:rPr>
          <w:bCs/>
          <w:sz w:val="26"/>
          <w:szCs w:val="20"/>
        </w:rPr>
        <w:t>report</w:t>
      </w:r>
      <w:r w:rsidR="00EF2132" w:rsidRPr="00EF2132">
        <w:rPr>
          <w:sz w:val="26"/>
          <w:szCs w:val="20"/>
        </w:rPr>
        <w:t xml:space="preserve"> their </w:t>
      </w:r>
      <w:r w:rsidR="00EF2132" w:rsidRPr="00EF2132">
        <w:rPr>
          <w:i/>
          <w:sz w:val="26"/>
          <w:szCs w:val="20"/>
        </w:rPr>
        <w:t>de facto</w:t>
      </w:r>
      <w:r w:rsidR="00EF2132" w:rsidRPr="00EF2132">
        <w:rPr>
          <w:sz w:val="26"/>
          <w:szCs w:val="20"/>
        </w:rPr>
        <w:t xml:space="preserve"> </w:t>
      </w:r>
      <w:r w:rsidR="00AF71CD">
        <w:rPr>
          <w:sz w:val="26"/>
          <w:szCs w:val="20"/>
        </w:rPr>
        <w:t xml:space="preserve">gross </w:t>
      </w:r>
      <w:r w:rsidR="00EF2132" w:rsidRPr="00EF2132">
        <w:rPr>
          <w:sz w:val="26"/>
          <w:szCs w:val="20"/>
        </w:rPr>
        <w:t xml:space="preserve">intrastate </w:t>
      </w:r>
      <w:r w:rsidR="001B7FB5">
        <w:rPr>
          <w:sz w:val="26"/>
          <w:szCs w:val="20"/>
        </w:rPr>
        <w:t xml:space="preserve">operating </w:t>
      </w:r>
      <w:r w:rsidR="00EF2132" w:rsidRPr="00EF2132">
        <w:rPr>
          <w:sz w:val="26"/>
          <w:szCs w:val="20"/>
        </w:rPr>
        <w:t xml:space="preserve">revenues </w:t>
      </w:r>
      <w:r w:rsidR="0084512D">
        <w:rPr>
          <w:sz w:val="26"/>
          <w:szCs w:val="20"/>
        </w:rPr>
        <w:t>with the Commission</w:t>
      </w:r>
      <w:r w:rsidR="001B7FB5">
        <w:rPr>
          <w:sz w:val="26"/>
          <w:szCs w:val="20"/>
        </w:rPr>
        <w:t xml:space="preserve"> on March</w:t>
      </w:r>
      <w:r w:rsidR="00217969">
        <w:rPr>
          <w:sz w:val="26"/>
          <w:szCs w:val="20"/>
        </w:rPr>
        <w:t> </w:t>
      </w:r>
      <w:r w:rsidR="001B7FB5">
        <w:rPr>
          <w:sz w:val="26"/>
          <w:szCs w:val="20"/>
        </w:rPr>
        <w:t>3</w:t>
      </w:r>
      <w:r w:rsidR="004F4E42">
        <w:rPr>
          <w:sz w:val="26"/>
          <w:szCs w:val="20"/>
        </w:rPr>
        <w:t>1</w:t>
      </w:r>
      <w:r w:rsidR="001B7FB5">
        <w:rPr>
          <w:sz w:val="26"/>
          <w:szCs w:val="20"/>
        </w:rPr>
        <w:t xml:space="preserve"> of each </w:t>
      </w:r>
      <w:proofErr w:type="gramStart"/>
      <w:r w:rsidR="001B7FB5">
        <w:rPr>
          <w:sz w:val="26"/>
          <w:szCs w:val="20"/>
        </w:rPr>
        <w:t>year,</w:t>
      </w:r>
      <w:r w:rsidR="0084512D">
        <w:rPr>
          <w:sz w:val="26"/>
          <w:szCs w:val="20"/>
        </w:rPr>
        <w:t xml:space="preserve"> </w:t>
      </w:r>
      <w:r w:rsidR="00EF2132" w:rsidRPr="00EF2132">
        <w:rPr>
          <w:sz w:val="26"/>
          <w:szCs w:val="20"/>
        </w:rPr>
        <w:t>and</w:t>
      </w:r>
      <w:proofErr w:type="gramEnd"/>
      <w:r w:rsidR="00EF2132" w:rsidRPr="00EF2132">
        <w:rPr>
          <w:sz w:val="26"/>
          <w:szCs w:val="20"/>
        </w:rPr>
        <w:t xml:space="preserve"> </w:t>
      </w:r>
      <w:r w:rsidR="00FD2217">
        <w:rPr>
          <w:sz w:val="26"/>
          <w:szCs w:val="20"/>
        </w:rPr>
        <w:t xml:space="preserve">are obligated to </w:t>
      </w:r>
      <w:r w:rsidR="00EF2132" w:rsidRPr="00EF2132">
        <w:rPr>
          <w:sz w:val="26"/>
          <w:szCs w:val="20"/>
        </w:rPr>
        <w:t xml:space="preserve">pay a reasonable share of the costs of administering the </w:t>
      </w:r>
      <w:r w:rsidR="001B7FB5">
        <w:rPr>
          <w:sz w:val="26"/>
          <w:szCs w:val="20"/>
        </w:rPr>
        <w:t xml:space="preserve">Public Utility </w:t>
      </w:r>
      <w:r w:rsidR="00EF2132" w:rsidRPr="00EF2132">
        <w:rPr>
          <w:sz w:val="26"/>
          <w:szCs w:val="20"/>
        </w:rPr>
        <w:t>Code</w:t>
      </w:r>
      <w:r w:rsidR="00E1579B">
        <w:rPr>
          <w:sz w:val="26"/>
          <w:szCs w:val="20"/>
        </w:rPr>
        <w:t>. F</w:t>
      </w:r>
      <w:r w:rsidR="001B7FB5">
        <w:rPr>
          <w:sz w:val="26"/>
          <w:szCs w:val="20"/>
        </w:rPr>
        <w:t xml:space="preserve">urther, </w:t>
      </w:r>
      <w:r w:rsidR="00E1579B">
        <w:rPr>
          <w:sz w:val="26"/>
          <w:szCs w:val="20"/>
        </w:rPr>
        <w:t xml:space="preserve">it will be the Commission’s position </w:t>
      </w:r>
      <w:r w:rsidR="001B7FB5">
        <w:rPr>
          <w:sz w:val="26"/>
          <w:szCs w:val="20"/>
        </w:rPr>
        <w:t>that the Federal Communications Commission’s (FCC) ten percent contamination rule doe</w:t>
      </w:r>
      <w:r w:rsidR="00E1579B">
        <w:rPr>
          <w:sz w:val="26"/>
          <w:szCs w:val="20"/>
        </w:rPr>
        <w:t>s</w:t>
      </w:r>
      <w:r w:rsidR="001B7FB5">
        <w:rPr>
          <w:sz w:val="26"/>
          <w:szCs w:val="20"/>
        </w:rPr>
        <w:t xml:space="preserve"> not preempt or otherwise preclude these carriers’ obligation to report their </w:t>
      </w:r>
      <w:r w:rsidR="001B7FB5" w:rsidRPr="00E714B7">
        <w:rPr>
          <w:i/>
          <w:sz w:val="26"/>
          <w:szCs w:val="20"/>
        </w:rPr>
        <w:t>de facto</w:t>
      </w:r>
      <w:r w:rsidR="001B7FB5">
        <w:rPr>
          <w:sz w:val="26"/>
          <w:szCs w:val="20"/>
        </w:rPr>
        <w:t xml:space="preserve"> gross intrastate operating revenues or the associated obligation, under </w:t>
      </w:r>
      <w:r w:rsidR="00ED26B3">
        <w:rPr>
          <w:sz w:val="26"/>
          <w:szCs w:val="20"/>
        </w:rPr>
        <w:t>Section</w:t>
      </w:r>
      <w:r w:rsidR="001B7FB5">
        <w:rPr>
          <w:sz w:val="26"/>
          <w:szCs w:val="20"/>
        </w:rPr>
        <w:t xml:space="preserve"> 510, to pay </w:t>
      </w:r>
      <w:r w:rsidR="00ED26B3">
        <w:rPr>
          <w:sz w:val="26"/>
          <w:szCs w:val="20"/>
        </w:rPr>
        <w:t xml:space="preserve">a </w:t>
      </w:r>
      <w:r w:rsidR="001B7FB5">
        <w:rPr>
          <w:sz w:val="26"/>
          <w:szCs w:val="20"/>
        </w:rPr>
        <w:t xml:space="preserve">reasonable share of the costs of </w:t>
      </w:r>
      <w:r w:rsidR="00ED26B3">
        <w:rPr>
          <w:sz w:val="26"/>
          <w:szCs w:val="20"/>
        </w:rPr>
        <w:t>administering</w:t>
      </w:r>
      <w:r w:rsidR="001B7FB5">
        <w:rPr>
          <w:sz w:val="26"/>
          <w:szCs w:val="20"/>
        </w:rPr>
        <w:t xml:space="preserve"> the Public </w:t>
      </w:r>
      <w:r w:rsidR="00ED26B3">
        <w:rPr>
          <w:sz w:val="26"/>
          <w:szCs w:val="20"/>
        </w:rPr>
        <w:t>Utility</w:t>
      </w:r>
      <w:r w:rsidR="001B7FB5">
        <w:rPr>
          <w:sz w:val="26"/>
          <w:szCs w:val="20"/>
        </w:rPr>
        <w:t xml:space="preserve"> Code.</w:t>
      </w:r>
      <w:r w:rsidR="00EF2132">
        <w:rPr>
          <w:sz w:val="26"/>
          <w:szCs w:val="20"/>
        </w:rPr>
        <w:t xml:space="preserve">  </w:t>
      </w:r>
    </w:p>
    <w:p w14:paraId="2F6C0978" w14:textId="77777777" w:rsidR="00A64243" w:rsidRDefault="00A64243" w:rsidP="00553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0"/>
        </w:rPr>
      </w:pPr>
    </w:p>
    <w:p w14:paraId="30355F41" w14:textId="1B7FDCAD" w:rsidR="00AA241D" w:rsidRPr="00A64243" w:rsidRDefault="00A64243" w:rsidP="00553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0"/>
        </w:rPr>
      </w:pPr>
      <w:r>
        <w:rPr>
          <w:sz w:val="26"/>
          <w:szCs w:val="20"/>
        </w:rPr>
        <w:tab/>
        <w:t xml:space="preserve">In addition, the Commission is proposing this policy statement to provide guidance to Commission-jurisdictional providers of special access or other similar jurisdictionally-mixed telecommunications services who report gross intrastate revenues </w:t>
      </w:r>
      <w:r w:rsidR="002744E0">
        <w:rPr>
          <w:sz w:val="26"/>
          <w:szCs w:val="20"/>
        </w:rPr>
        <w:t xml:space="preserve">to the Commission </w:t>
      </w:r>
      <w:r>
        <w:rPr>
          <w:sz w:val="26"/>
          <w:szCs w:val="20"/>
        </w:rPr>
        <w:t>from other intrastate service</w:t>
      </w:r>
      <w:r w:rsidR="00BF422A">
        <w:rPr>
          <w:sz w:val="26"/>
          <w:szCs w:val="20"/>
        </w:rPr>
        <w:t>s</w:t>
      </w:r>
      <w:r>
        <w:rPr>
          <w:sz w:val="26"/>
          <w:szCs w:val="20"/>
        </w:rPr>
        <w:t xml:space="preserve"> but </w:t>
      </w:r>
      <w:r w:rsidR="00852857">
        <w:rPr>
          <w:sz w:val="26"/>
          <w:szCs w:val="20"/>
        </w:rPr>
        <w:t xml:space="preserve">may </w:t>
      </w:r>
      <w:r>
        <w:rPr>
          <w:sz w:val="26"/>
          <w:szCs w:val="20"/>
        </w:rPr>
        <w:t xml:space="preserve">not </w:t>
      </w:r>
      <w:r w:rsidR="00852857">
        <w:rPr>
          <w:sz w:val="26"/>
          <w:szCs w:val="20"/>
        </w:rPr>
        <w:t xml:space="preserve">be reporting such revenues </w:t>
      </w:r>
      <w:r>
        <w:rPr>
          <w:sz w:val="26"/>
          <w:szCs w:val="20"/>
        </w:rPr>
        <w:t>from special access or other similar jurisdictionally-mixed telecommunications services.  It will be the Commission’s position that the FCC’s ten percent contamination rule does not preempt or otherwise preclude these carriers’ obligation to report</w:t>
      </w:r>
      <w:r w:rsidR="00BF422A">
        <w:rPr>
          <w:sz w:val="26"/>
          <w:szCs w:val="20"/>
        </w:rPr>
        <w:t>, as part of their gross intrastate operating revenues,</w:t>
      </w:r>
      <w:r>
        <w:rPr>
          <w:sz w:val="26"/>
          <w:szCs w:val="20"/>
        </w:rPr>
        <w:t xml:space="preserve"> </w:t>
      </w:r>
      <w:r w:rsidR="00BF422A">
        <w:rPr>
          <w:sz w:val="26"/>
          <w:szCs w:val="20"/>
        </w:rPr>
        <w:t xml:space="preserve">their </w:t>
      </w:r>
      <w:r w:rsidR="00BF422A">
        <w:rPr>
          <w:i/>
          <w:sz w:val="26"/>
          <w:szCs w:val="20"/>
        </w:rPr>
        <w:t xml:space="preserve">de facto </w:t>
      </w:r>
      <w:r w:rsidR="00BF422A">
        <w:rPr>
          <w:sz w:val="26"/>
          <w:szCs w:val="20"/>
        </w:rPr>
        <w:t>gross intrastate operating revenues from providing special access or other similar jurisdictionally-mixed telecommunications services in Pennsylvania</w:t>
      </w:r>
      <w:r>
        <w:rPr>
          <w:sz w:val="26"/>
          <w:szCs w:val="20"/>
        </w:rPr>
        <w:t xml:space="preserve">.  </w:t>
      </w:r>
      <w:r w:rsidR="00C870BE" w:rsidRPr="00C870BE">
        <w:rPr>
          <w:sz w:val="26"/>
          <w:szCs w:val="20"/>
        </w:rPr>
        <w:t>The Commission further direct</w:t>
      </w:r>
      <w:r w:rsidR="00EF2132">
        <w:rPr>
          <w:sz w:val="26"/>
          <w:szCs w:val="20"/>
        </w:rPr>
        <w:t>s</w:t>
      </w:r>
      <w:r w:rsidR="00C870BE" w:rsidRPr="00C870BE">
        <w:rPr>
          <w:sz w:val="26"/>
          <w:szCs w:val="20"/>
        </w:rPr>
        <w:t xml:space="preserve"> that the proposed policy statement be published in the </w:t>
      </w:r>
      <w:r w:rsidR="00C870BE" w:rsidRPr="00217969">
        <w:rPr>
          <w:i/>
          <w:sz w:val="26"/>
          <w:szCs w:val="20"/>
        </w:rPr>
        <w:t>Pennsylvania Bulletin</w:t>
      </w:r>
      <w:r w:rsidR="00C870BE" w:rsidRPr="00C870BE">
        <w:rPr>
          <w:sz w:val="26"/>
          <w:szCs w:val="20"/>
        </w:rPr>
        <w:t xml:space="preserve"> for comment by interested parties.  </w:t>
      </w:r>
    </w:p>
    <w:p w14:paraId="6EC1E612" w14:textId="14F59EB7" w:rsidR="00CB75AC" w:rsidRDefault="00CB75AC">
      <w:pPr>
        <w:rPr>
          <w:b/>
          <w:sz w:val="26"/>
          <w:szCs w:val="26"/>
        </w:rPr>
      </w:pPr>
    </w:p>
    <w:p w14:paraId="1FA4222C" w14:textId="77777777" w:rsidR="0055345F" w:rsidRDefault="0055345F" w:rsidP="0055345F">
      <w:pPr>
        <w:spacing w:line="360" w:lineRule="auto"/>
        <w:rPr>
          <w:b/>
          <w:sz w:val="26"/>
          <w:szCs w:val="26"/>
        </w:rPr>
      </w:pPr>
      <w:r>
        <w:rPr>
          <w:b/>
          <w:sz w:val="26"/>
          <w:szCs w:val="26"/>
        </w:rPr>
        <w:t>Background</w:t>
      </w:r>
    </w:p>
    <w:p w14:paraId="76BFBF88" w14:textId="77777777" w:rsidR="0055345F" w:rsidRDefault="0055345F" w:rsidP="007539B2">
      <w:pPr>
        <w:spacing w:line="360" w:lineRule="auto"/>
        <w:ind w:left="720"/>
        <w:rPr>
          <w:color w:val="000000"/>
          <w:spacing w:val="-1"/>
          <w:sz w:val="26"/>
        </w:rPr>
      </w:pPr>
      <w:r w:rsidRPr="00CB17D4">
        <w:rPr>
          <w:color w:val="000000"/>
          <w:spacing w:val="-1"/>
          <w:sz w:val="26"/>
        </w:rPr>
        <w:t xml:space="preserve">The </w:t>
      </w:r>
      <w:r>
        <w:rPr>
          <w:color w:val="000000"/>
          <w:spacing w:val="-1"/>
          <w:sz w:val="26"/>
        </w:rPr>
        <w:t xml:space="preserve">Commission’s </w:t>
      </w:r>
      <w:r w:rsidRPr="00CB17D4">
        <w:rPr>
          <w:color w:val="000000"/>
          <w:spacing w:val="-1"/>
          <w:sz w:val="26"/>
        </w:rPr>
        <w:t xml:space="preserve">Fiscal Office, the Bureaus of Technical Utility Services, </w:t>
      </w:r>
    </w:p>
    <w:p w14:paraId="3523C489" w14:textId="41E38719" w:rsidR="004F4E42" w:rsidRDefault="0055345F" w:rsidP="003832ED">
      <w:pPr>
        <w:spacing w:line="360" w:lineRule="auto"/>
        <w:rPr>
          <w:sz w:val="26"/>
          <w:szCs w:val="26"/>
        </w:rPr>
      </w:pPr>
      <w:r w:rsidRPr="00CB17D4">
        <w:rPr>
          <w:color w:val="000000"/>
          <w:spacing w:val="-1"/>
          <w:sz w:val="26"/>
        </w:rPr>
        <w:t xml:space="preserve">Investigation &amp; Enforcement, and Audits, and the Law Bureau </w:t>
      </w:r>
      <w:r w:rsidR="00986979">
        <w:rPr>
          <w:color w:val="000000"/>
          <w:spacing w:val="-1"/>
          <w:sz w:val="26"/>
        </w:rPr>
        <w:t xml:space="preserve">(Staff) </w:t>
      </w:r>
      <w:r w:rsidRPr="00CB17D4">
        <w:rPr>
          <w:color w:val="000000"/>
          <w:spacing w:val="-1"/>
          <w:sz w:val="26"/>
        </w:rPr>
        <w:t xml:space="preserve">identified </w:t>
      </w:r>
      <w:r w:rsidR="00F90D5F">
        <w:rPr>
          <w:color w:val="000000"/>
          <w:spacing w:val="-1"/>
          <w:sz w:val="26"/>
        </w:rPr>
        <w:t>some</w:t>
      </w:r>
      <w:r w:rsidR="00F90D5F" w:rsidRPr="00CB17D4">
        <w:rPr>
          <w:color w:val="000000"/>
          <w:spacing w:val="-1"/>
          <w:sz w:val="26"/>
        </w:rPr>
        <w:t xml:space="preserve"> </w:t>
      </w:r>
      <w:r>
        <w:rPr>
          <w:color w:val="000000"/>
          <w:spacing w:val="-1"/>
          <w:sz w:val="26"/>
        </w:rPr>
        <w:t xml:space="preserve">telecommunications carriers </w:t>
      </w:r>
      <w:r w:rsidR="002F0AD1">
        <w:rPr>
          <w:color w:val="000000"/>
          <w:spacing w:val="-1"/>
          <w:sz w:val="26"/>
        </w:rPr>
        <w:t xml:space="preserve">certificated </w:t>
      </w:r>
      <w:r>
        <w:rPr>
          <w:color w:val="000000"/>
          <w:spacing w:val="-1"/>
          <w:sz w:val="26"/>
        </w:rPr>
        <w:t xml:space="preserve">as CAPs </w:t>
      </w:r>
      <w:r>
        <w:rPr>
          <w:sz w:val="26"/>
          <w:szCs w:val="26"/>
        </w:rPr>
        <w:t>who</w:t>
      </w:r>
      <w:r w:rsidR="00ED26B3" w:rsidRPr="00ED26B3">
        <w:rPr>
          <w:sz w:val="26"/>
          <w:szCs w:val="26"/>
        </w:rPr>
        <w:t xml:space="preserve"> </w:t>
      </w:r>
      <w:r w:rsidR="00ED26B3">
        <w:rPr>
          <w:sz w:val="26"/>
          <w:szCs w:val="26"/>
        </w:rPr>
        <w:t>reported revenues inconsistently or</w:t>
      </w:r>
      <w:r>
        <w:rPr>
          <w:sz w:val="26"/>
          <w:szCs w:val="26"/>
        </w:rPr>
        <w:t xml:space="preserve"> </w:t>
      </w:r>
      <w:r w:rsidR="007C1F43">
        <w:rPr>
          <w:sz w:val="26"/>
          <w:szCs w:val="26"/>
        </w:rPr>
        <w:t>repeatedly</w:t>
      </w:r>
      <w:r>
        <w:rPr>
          <w:sz w:val="26"/>
          <w:szCs w:val="26"/>
        </w:rPr>
        <w:t xml:space="preserve"> </w:t>
      </w:r>
      <w:r w:rsidRPr="00CB17D4">
        <w:rPr>
          <w:sz w:val="26"/>
          <w:szCs w:val="26"/>
        </w:rPr>
        <w:t>report</w:t>
      </w:r>
      <w:r w:rsidR="007C1F43">
        <w:rPr>
          <w:sz w:val="26"/>
          <w:szCs w:val="26"/>
        </w:rPr>
        <w:t>ed</w:t>
      </w:r>
      <w:r w:rsidRPr="00CB17D4">
        <w:rPr>
          <w:sz w:val="26"/>
          <w:szCs w:val="26"/>
        </w:rPr>
        <w:t xml:space="preserve"> zero intrastate revenues.</w:t>
      </w:r>
      <w:r>
        <w:rPr>
          <w:sz w:val="26"/>
          <w:szCs w:val="26"/>
        </w:rPr>
        <w:t xml:space="preserve">  </w:t>
      </w:r>
      <w:r w:rsidR="00ED26B3">
        <w:rPr>
          <w:sz w:val="26"/>
          <w:szCs w:val="26"/>
        </w:rPr>
        <w:t>Accordingly, the</w:t>
      </w:r>
      <w:r w:rsidRPr="00CB17D4">
        <w:rPr>
          <w:color w:val="1D2B3E"/>
          <w:sz w:val="26"/>
          <w:szCs w:val="26"/>
          <w:lang w:val="en"/>
        </w:rPr>
        <w:t xml:space="preserve"> Commission requested </w:t>
      </w:r>
      <w:r w:rsidR="007539B2">
        <w:rPr>
          <w:sz w:val="26"/>
          <w:szCs w:val="26"/>
        </w:rPr>
        <w:t xml:space="preserve">Staff </w:t>
      </w:r>
      <w:r>
        <w:rPr>
          <w:sz w:val="26"/>
          <w:szCs w:val="26"/>
        </w:rPr>
        <w:t xml:space="preserve">to </w:t>
      </w:r>
      <w:r w:rsidRPr="00CB17D4">
        <w:rPr>
          <w:sz w:val="26"/>
          <w:szCs w:val="26"/>
        </w:rPr>
        <w:t xml:space="preserve">undertake an inquiry to </w:t>
      </w:r>
      <w:r w:rsidR="00161CE4">
        <w:rPr>
          <w:sz w:val="26"/>
          <w:szCs w:val="26"/>
        </w:rPr>
        <w:t xml:space="preserve">examine </w:t>
      </w:r>
      <w:r w:rsidRPr="00CB17D4">
        <w:rPr>
          <w:sz w:val="26"/>
          <w:szCs w:val="26"/>
        </w:rPr>
        <w:t>the carriers’ claims of zero intrastate revenue</w:t>
      </w:r>
      <w:r w:rsidR="00507969">
        <w:rPr>
          <w:sz w:val="26"/>
          <w:szCs w:val="26"/>
        </w:rPr>
        <w:t>s</w:t>
      </w:r>
      <w:r w:rsidRPr="00CB17D4">
        <w:rPr>
          <w:sz w:val="26"/>
          <w:szCs w:val="26"/>
        </w:rPr>
        <w:t xml:space="preserve">.  As part of this </w:t>
      </w:r>
      <w:r>
        <w:rPr>
          <w:sz w:val="26"/>
          <w:szCs w:val="26"/>
        </w:rPr>
        <w:t>inquiry</w:t>
      </w:r>
      <w:r w:rsidRPr="00CB17D4">
        <w:rPr>
          <w:sz w:val="26"/>
          <w:szCs w:val="26"/>
        </w:rPr>
        <w:t xml:space="preserve">, </w:t>
      </w:r>
      <w:r w:rsidR="005E2461">
        <w:rPr>
          <w:sz w:val="26"/>
          <w:szCs w:val="26"/>
        </w:rPr>
        <w:t>on</w:t>
      </w:r>
      <w:r w:rsidR="00E714B7">
        <w:rPr>
          <w:sz w:val="26"/>
          <w:szCs w:val="26"/>
        </w:rPr>
        <w:t xml:space="preserve"> </w:t>
      </w:r>
      <w:r w:rsidR="00E714B7" w:rsidRPr="00E714B7">
        <w:rPr>
          <w:sz w:val="26"/>
          <w:szCs w:val="26"/>
        </w:rPr>
        <w:t>September 7, 2018</w:t>
      </w:r>
      <w:r w:rsidR="00E714B7">
        <w:rPr>
          <w:sz w:val="26"/>
          <w:szCs w:val="26"/>
        </w:rPr>
        <w:t xml:space="preserve">, </w:t>
      </w:r>
      <w:r>
        <w:rPr>
          <w:sz w:val="26"/>
          <w:szCs w:val="26"/>
        </w:rPr>
        <w:t xml:space="preserve">Staff issued </w:t>
      </w:r>
      <w:r w:rsidRPr="0055345F">
        <w:rPr>
          <w:sz w:val="26"/>
          <w:szCs w:val="26"/>
        </w:rPr>
        <w:t>to all carriers who report</w:t>
      </w:r>
      <w:r w:rsidR="00AF71CD">
        <w:rPr>
          <w:sz w:val="26"/>
          <w:szCs w:val="26"/>
        </w:rPr>
        <w:t>ed</w:t>
      </w:r>
      <w:r w:rsidRPr="0055345F">
        <w:rPr>
          <w:sz w:val="26"/>
          <w:szCs w:val="26"/>
        </w:rPr>
        <w:t xml:space="preserve"> zero intrastate revenues a </w:t>
      </w:r>
      <w:r w:rsidR="00AF71CD" w:rsidRPr="0055345F">
        <w:rPr>
          <w:sz w:val="26"/>
          <w:szCs w:val="26"/>
        </w:rPr>
        <w:t>Secretarial Letter</w:t>
      </w:r>
      <w:r w:rsidR="00AF71CD">
        <w:rPr>
          <w:sz w:val="26"/>
          <w:szCs w:val="26"/>
        </w:rPr>
        <w:t xml:space="preserve"> setting forth</w:t>
      </w:r>
      <w:r w:rsidR="00AF71CD" w:rsidRPr="0055345F">
        <w:rPr>
          <w:sz w:val="26"/>
          <w:szCs w:val="26"/>
        </w:rPr>
        <w:t xml:space="preserve"> </w:t>
      </w:r>
      <w:r w:rsidR="009A287F">
        <w:rPr>
          <w:sz w:val="26"/>
          <w:szCs w:val="26"/>
        </w:rPr>
        <w:t xml:space="preserve">a </w:t>
      </w:r>
      <w:r w:rsidRPr="0055345F">
        <w:rPr>
          <w:sz w:val="26"/>
          <w:szCs w:val="26"/>
        </w:rPr>
        <w:t>comprehensive</w:t>
      </w:r>
      <w:r w:rsidR="00AF71CD">
        <w:rPr>
          <w:sz w:val="26"/>
          <w:szCs w:val="26"/>
        </w:rPr>
        <w:t xml:space="preserve"> </w:t>
      </w:r>
      <w:r w:rsidRPr="0055345F">
        <w:rPr>
          <w:sz w:val="26"/>
          <w:szCs w:val="26"/>
        </w:rPr>
        <w:t xml:space="preserve">set of inquiries examining the basis for </w:t>
      </w:r>
      <w:r w:rsidR="00ED26B3">
        <w:rPr>
          <w:sz w:val="26"/>
          <w:szCs w:val="26"/>
        </w:rPr>
        <w:t>some</w:t>
      </w:r>
      <w:r w:rsidRPr="0055345F">
        <w:rPr>
          <w:sz w:val="26"/>
          <w:szCs w:val="26"/>
        </w:rPr>
        <w:t xml:space="preserve"> carrier</w:t>
      </w:r>
      <w:r w:rsidR="004F1002">
        <w:rPr>
          <w:sz w:val="26"/>
          <w:szCs w:val="26"/>
        </w:rPr>
        <w:t>s</w:t>
      </w:r>
      <w:r w:rsidRPr="0055345F">
        <w:rPr>
          <w:sz w:val="26"/>
          <w:szCs w:val="26"/>
        </w:rPr>
        <w:t>’ claim</w:t>
      </w:r>
      <w:r w:rsidR="004F1002">
        <w:rPr>
          <w:sz w:val="26"/>
          <w:szCs w:val="26"/>
        </w:rPr>
        <w:t>s</w:t>
      </w:r>
      <w:r w:rsidRPr="0055345F">
        <w:rPr>
          <w:sz w:val="26"/>
          <w:szCs w:val="26"/>
        </w:rPr>
        <w:t xml:space="preserve"> of zero intrastate revenue</w:t>
      </w:r>
      <w:r w:rsidR="00463384">
        <w:rPr>
          <w:sz w:val="26"/>
          <w:szCs w:val="26"/>
        </w:rPr>
        <w:t xml:space="preserve">s.  </w:t>
      </w:r>
    </w:p>
    <w:p w14:paraId="383786A0" w14:textId="77777777" w:rsidR="004F4E42" w:rsidRDefault="004F4E42" w:rsidP="003832ED">
      <w:pPr>
        <w:spacing w:line="360" w:lineRule="auto"/>
        <w:rPr>
          <w:sz w:val="26"/>
          <w:szCs w:val="26"/>
        </w:rPr>
      </w:pPr>
    </w:p>
    <w:p w14:paraId="45346D35" w14:textId="17E88F28" w:rsidR="00463384" w:rsidRDefault="007C6334" w:rsidP="00E714B7">
      <w:pPr>
        <w:spacing w:line="360" w:lineRule="auto"/>
        <w:ind w:firstLine="720"/>
        <w:rPr>
          <w:sz w:val="26"/>
          <w:szCs w:val="26"/>
        </w:rPr>
      </w:pPr>
      <w:r>
        <w:rPr>
          <w:sz w:val="26"/>
          <w:szCs w:val="26"/>
        </w:rPr>
        <w:t xml:space="preserve">Specifically, Staff sought information necessary </w:t>
      </w:r>
      <w:r w:rsidR="0055345F">
        <w:rPr>
          <w:sz w:val="26"/>
          <w:szCs w:val="26"/>
        </w:rPr>
        <w:t>to e</w:t>
      </w:r>
      <w:r w:rsidR="0055345F" w:rsidRPr="0055345F">
        <w:rPr>
          <w:sz w:val="26"/>
          <w:szCs w:val="26"/>
        </w:rPr>
        <w:t>xamine the factual bas</w:t>
      </w:r>
      <w:r w:rsidR="00E1579B">
        <w:rPr>
          <w:sz w:val="26"/>
          <w:szCs w:val="26"/>
        </w:rPr>
        <w:t>e</w:t>
      </w:r>
      <w:r w:rsidR="0055345F" w:rsidRPr="0055345F">
        <w:rPr>
          <w:sz w:val="26"/>
          <w:szCs w:val="26"/>
        </w:rPr>
        <w:t xml:space="preserve">s </w:t>
      </w:r>
      <w:r w:rsidR="00FD37E6">
        <w:rPr>
          <w:sz w:val="26"/>
          <w:szCs w:val="26"/>
        </w:rPr>
        <w:t xml:space="preserve">and analyze the legal theories underlying </w:t>
      </w:r>
      <w:r w:rsidR="0055345F" w:rsidRPr="0055345F">
        <w:rPr>
          <w:sz w:val="26"/>
          <w:szCs w:val="26"/>
        </w:rPr>
        <w:t>the carrier</w:t>
      </w:r>
      <w:r w:rsidR="004F1002">
        <w:rPr>
          <w:sz w:val="26"/>
          <w:szCs w:val="26"/>
        </w:rPr>
        <w:t>s</w:t>
      </w:r>
      <w:r w:rsidR="0055345F" w:rsidRPr="0055345F">
        <w:rPr>
          <w:sz w:val="26"/>
          <w:szCs w:val="26"/>
        </w:rPr>
        <w:t>’ claim</w:t>
      </w:r>
      <w:r w:rsidR="004F1002">
        <w:rPr>
          <w:sz w:val="26"/>
          <w:szCs w:val="26"/>
        </w:rPr>
        <w:t>s</w:t>
      </w:r>
      <w:r w:rsidR="0055345F" w:rsidRPr="0055345F">
        <w:rPr>
          <w:sz w:val="26"/>
          <w:szCs w:val="26"/>
        </w:rPr>
        <w:t xml:space="preserve"> of zero reportable intrastate revenue.</w:t>
      </w:r>
      <w:r w:rsidR="00463384">
        <w:rPr>
          <w:sz w:val="26"/>
          <w:szCs w:val="26"/>
        </w:rPr>
        <w:t xml:space="preserve">  As their legal basis, a majority of the zero reporters </w:t>
      </w:r>
      <w:r w:rsidR="00463384" w:rsidRPr="00CB17D4">
        <w:rPr>
          <w:spacing w:val="-2"/>
          <w:sz w:val="26"/>
          <w:szCs w:val="26"/>
        </w:rPr>
        <w:t xml:space="preserve">referred to the </w:t>
      </w:r>
      <w:r w:rsidR="00B75009">
        <w:rPr>
          <w:spacing w:val="-2"/>
          <w:sz w:val="26"/>
          <w:szCs w:val="26"/>
        </w:rPr>
        <w:t>FCC</w:t>
      </w:r>
      <w:r w:rsidR="00E1579B">
        <w:rPr>
          <w:spacing w:val="-2"/>
          <w:sz w:val="26"/>
          <w:szCs w:val="26"/>
        </w:rPr>
        <w:t>’s</w:t>
      </w:r>
      <w:r w:rsidR="00B75009">
        <w:rPr>
          <w:spacing w:val="-2"/>
          <w:sz w:val="26"/>
          <w:szCs w:val="26"/>
        </w:rPr>
        <w:t xml:space="preserve"> </w:t>
      </w:r>
      <w:r w:rsidR="00463384" w:rsidRPr="00CB17D4">
        <w:rPr>
          <w:spacing w:val="-2"/>
          <w:sz w:val="26"/>
          <w:szCs w:val="26"/>
        </w:rPr>
        <w:t>ten percent contamination rule</w:t>
      </w:r>
      <w:r w:rsidR="003832ED">
        <w:rPr>
          <w:spacing w:val="-2"/>
          <w:sz w:val="26"/>
          <w:szCs w:val="26"/>
        </w:rPr>
        <w:t xml:space="preserve"> (discussed in more detail below)</w:t>
      </w:r>
      <w:r w:rsidR="00463384" w:rsidRPr="00CB17D4">
        <w:rPr>
          <w:spacing w:val="-2"/>
          <w:sz w:val="26"/>
          <w:szCs w:val="26"/>
        </w:rPr>
        <w:t xml:space="preserve"> as their rationale and justification for reporting zero intrastate revenues to the Commission</w:t>
      </w:r>
      <w:r w:rsidR="00463384">
        <w:rPr>
          <w:spacing w:val="-2"/>
          <w:sz w:val="26"/>
          <w:szCs w:val="26"/>
        </w:rPr>
        <w:t>.</w:t>
      </w:r>
    </w:p>
    <w:p w14:paraId="074E763B" w14:textId="77777777" w:rsidR="00463384" w:rsidRDefault="00463384" w:rsidP="0055345F">
      <w:pPr>
        <w:spacing w:line="360" w:lineRule="auto"/>
        <w:rPr>
          <w:b/>
          <w:sz w:val="26"/>
          <w:szCs w:val="26"/>
        </w:rPr>
      </w:pPr>
    </w:p>
    <w:p w14:paraId="681A5F17" w14:textId="77777777" w:rsidR="00EF2132" w:rsidRPr="0055345F" w:rsidRDefault="00FD2217" w:rsidP="0055345F">
      <w:pPr>
        <w:spacing w:line="360" w:lineRule="auto"/>
        <w:rPr>
          <w:b/>
          <w:sz w:val="26"/>
          <w:szCs w:val="26"/>
        </w:rPr>
      </w:pPr>
      <w:r>
        <w:rPr>
          <w:b/>
          <w:sz w:val="26"/>
          <w:szCs w:val="26"/>
        </w:rPr>
        <w:t>Regulation of Telecommunications Carriers</w:t>
      </w:r>
    </w:p>
    <w:p w14:paraId="56BEF542" w14:textId="32B31223" w:rsidR="00EF2132" w:rsidRDefault="00737933" w:rsidP="00463384">
      <w:pPr>
        <w:spacing w:line="360" w:lineRule="auto"/>
        <w:ind w:firstLine="720"/>
        <w:rPr>
          <w:sz w:val="26"/>
          <w:szCs w:val="26"/>
        </w:rPr>
      </w:pPr>
      <w:r>
        <w:rPr>
          <w:sz w:val="26"/>
          <w:szCs w:val="26"/>
        </w:rPr>
        <w:t>T</w:t>
      </w:r>
      <w:r w:rsidR="00463384" w:rsidRPr="00463384">
        <w:rPr>
          <w:sz w:val="26"/>
          <w:szCs w:val="26"/>
        </w:rPr>
        <w:t xml:space="preserve">elecommunications services are regulated by a combination of rules from the United States Congress, the FCC, state legislatures and </w:t>
      </w:r>
      <w:r w:rsidR="00385CDF">
        <w:rPr>
          <w:sz w:val="26"/>
          <w:szCs w:val="26"/>
        </w:rPr>
        <w:t xml:space="preserve">state </w:t>
      </w:r>
      <w:r w:rsidR="00463384" w:rsidRPr="00463384">
        <w:rPr>
          <w:sz w:val="26"/>
          <w:szCs w:val="26"/>
        </w:rPr>
        <w:t>public utility commissions (PUCs).  The state legislature</w:t>
      </w:r>
      <w:r w:rsidR="00E1579B">
        <w:rPr>
          <w:sz w:val="26"/>
          <w:szCs w:val="26"/>
        </w:rPr>
        <w:t>s</w:t>
      </w:r>
      <w:r w:rsidR="00463384" w:rsidRPr="00463384">
        <w:rPr>
          <w:sz w:val="26"/>
          <w:szCs w:val="26"/>
        </w:rPr>
        <w:t xml:space="preserve"> define the activities or services that </w:t>
      </w:r>
      <w:r w:rsidR="00385CDF">
        <w:rPr>
          <w:sz w:val="26"/>
          <w:szCs w:val="26"/>
        </w:rPr>
        <w:t xml:space="preserve">state </w:t>
      </w:r>
      <w:r w:rsidR="00463384" w:rsidRPr="00463384">
        <w:rPr>
          <w:sz w:val="26"/>
          <w:szCs w:val="26"/>
        </w:rPr>
        <w:t xml:space="preserve">PUCs have the authority to regulate and the </w:t>
      </w:r>
      <w:proofErr w:type="gramStart"/>
      <w:r w:rsidR="00463384" w:rsidRPr="00463384">
        <w:rPr>
          <w:sz w:val="26"/>
          <w:szCs w:val="26"/>
        </w:rPr>
        <w:t>manner in which</w:t>
      </w:r>
      <w:proofErr w:type="gramEnd"/>
      <w:r w:rsidR="00463384" w:rsidRPr="00463384">
        <w:rPr>
          <w:sz w:val="26"/>
          <w:szCs w:val="26"/>
        </w:rPr>
        <w:t xml:space="preserve"> entities that provide such services are certifi</w:t>
      </w:r>
      <w:r w:rsidR="00E1579B">
        <w:rPr>
          <w:sz w:val="26"/>
          <w:szCs w:val="26"/>
        </w:rPr>
        <w:t>cat</w:t>
      </w:r>
      <w:r w:rsidR="00463384" w:rsidRPr="00463384">
        <w:rPr>
          <w:sz w:val="26"/>
          <w:szCs w:val="26"/>
        </w:rPr>
        <w:t xml:space="preserve">ed.  </w:t>
      </w:r>
      <w:r w:rsidR="00463384" w:rsidRPr="00463384">
        <w:rPr>
          <w:i/>
          <w:sz w:val="26"/>
          <w:szCs w:val="26"/>
        </w:rPr>
        <w:t>See generally Bethlehem Steel Corp. v. Pa. P</w:t>
      </w:r>
      <w:r w:rsidR="00217969">
        <w:rPr>
          <w:i/>
          <w:sz w:val="26"/>
          <w:szCs w:val="26"/>
        </w:rPr>
        <w:t>ublic Utility Commission</w:t>
      </w:r>
      <w:r w:rsidR="00463384" w:rsidRPr="00463384">
        <w:rPr>
          <w:sz w:val="26"/>
          <w:szCs w:val="26"/>
        </w:rPr>
        <w:t>, 713</w:t>
      </w:r>
      <w:r w:rsidR="00217969">
        <w:rPr>
          <w:sz w:val="26"/>
          <w:szCs w:val="26"/>
        </w:rPr>
        <w:t> </w:t>
      </w:r>
      <w:r w:rsidR="00463384" w:rsidRPr="00463384">
        <w:rPr>
          <w:sz w:val="26"/>
          <w:szCs w:val="26"/>
        </w:rPr>
        <w:t>A.2d 1110 (Pa. Sup</w:t>
      </w:r>
      <w:r w:rsidR="00920027">
        <w:rPr>
          <w:sz w:val="26"/>
          <w:szCs w:val="26"/>
        </w:rPr>
        <w:t>er</w:t>
      </w:r>
      <w:r w:rsidR="00463384" w:rsidRPr="00463384">
        <w:rPr>
          <w:sz w:val="26"/>
          <w:szCs w:val="26"/>
        </w:rPr>
        <w:t xml:space="preserve">. 1998).  While the </w:t>
      </w:r>
      <w:r w:rsidR="00920027">
        <w:rPr>
          <w:sz w:val="26"/>
          <w:szCs w:val="26"/>
        </w:rPr>
        <w:t xml:space="preserve">federal </w:t>
      </w:r>
      <w:r w:rsidR="00463384" w:rsidRPr="00463384">
        <w:rPr>
          <w:sz w:val="26"/>
          <w:szCs w:val="26"/>
        </w:rPr>
        <w:t>Communications Act of 1934 (the</w:t>
      </w:r>
      <w:r w:rsidR="00217969">
        <w:rPr>
          <w:sz w:val="26"/>
          <w:szCs w:val="26"/>
        </w:rPr>
        <w:t> </w:t>
      </w:r>
      <w:r w:rsidR="00463384" w:rsidRPr="00463384">
        <w:rPr>
          <w:sz w:val="26"/>
          <w:szCs w:val="26"/>
        </w:rPr>
        <w:t xml:space="preserve">1934 Act), </w:t>
      </w:r>
      <w:r w:rsidR="00924A92">
        <w:rPr>
          <w:sz w:val="26"/>
          <w:szCs w:val="26"/>
        </w:rPr>
        <w:t xml:space="preserve">as amended, </w:t>
      </w:r>
      <w:r w:rsidR="00463384" w:rsidRPr="00463384">
        <w:rPr>
          <w:sz w:val="26"/>
          <w:szCs w:val="26"/>
        </w:rPr>
        <w:t xml:space="preserve">codified at 47 U.S.C. §§ 151 </w:t>
      </w:r>
      <w:r w:rsidR="00463384" w:rsidRPr="00463384">
        <w:rPr>
          <w:i/>
          <w:sz w:val="26"/>
          <w:szCs w:val="26"/>
        </w:rPr>
        <w:t>et seq</w:t>
      </w:r>
      <w:r w:rsidR="00463384" w:rsidRPr="00463384">
        <w:rPr>
          <w:sz w:val="26"/>
          <w:szCs w:val="26"/>
        </w:rPr>
        <w:t xml:space="preserve">., established </w:t>
      </w:r>
      <w:r>
        <w:rPr>
          <w:sz w:val="26"/>
          <w:szCs w:val="26"/>
        </w:rPr>
        <w:t>“</w:t>
      </w:r>
      <w:r w:rsidR="00463384" w:rsidRPr="00463384">
        <w:rPr>
          <w:sz w:val="26"/>
          <w:szCs w:val="26"/>
        </w:rPr>
        <w:t>a system of dual state and federal regulation over telephone service,</w:t>
      </w:r>
      <w:r>
        <w:rPr>
          <w:sz w:val="26"/>
          <w:szCs w:val="26"/>
        </w:rPr>
        <w:t>”</w:t>
      </w:r>
      <w:r w:rsidR="00463384" w:rsidRPr="00463384">
        <w:rPr>
          <w:sz w:val="26"/>
          <w:szCs w:val="26"/>
        </w:rPr>
        <w:t xml:space="preserve"> it also preserved state authority to regulate intrastate telecommunications and specifically denie</w:t>
      </w:r>
      <w:r w:rsidR="008D78F5">
        <w:rPr>
          <w:sz w:val="26"/>
          <w:szCs w:val="26"/>
        </w:rPr>
        <w:t>d</w:t>
      </w:r>
      <w:r w:rsidR="00463384" w:rsidRPr="00463384">
        <w:rPr>
          <w:sz w:val="26"/>
          <w:szCs w:val="26"/>
        </w:rPr>
        <w:t xml:space="preserve"> the FCC jurisdiction to regulate wholly “intrastate” telecommunication services.  47 U.S.C. § 152(b); </w:t>
      </w:r>
      <w:r w:rsidR="00463384" w:rsidRPr="00463384">
        <w:rPr>
          <w:i/>
          <w:sz w:val="26"/>
          <w:szCs w:val="26"/>
        </w:rPr>
        <w:t>see</w:t>
      </w:r>
      <w:r w:rsidR="00463384" w:rsidRPr="00463384">
        <w:rPr>
          <w:sz w:val="26"/>
          <w:szCs w:val="26"/>
        </w:rPr>
        <w:t xml:space="preserve"> </w:t>
      </w:r>
      <w:r w:rsidR="00463384" w:rsidRPr="00463384">
        <w:rPr>
          <w:i/>
          <w:sz w:val="26"/>
          <w:szCs w:val="26"/>
        </w:rPr>
        <w:t>Louisiana Pub. Serv. Comm</w:t>
      </w:r>
      <w:r>
        <w:rPr>
          <w:i/>
          <w:sz w:val="26"/>
          <w:szCs w:val="26"/>
        </w:rPr>
        <w:t>’</w:t>
      </w:r>
      <w:r w:rsidR="00463384" w:rsidRPr="00463384">
        <w:rPr>
          <w:i/>
          <w:sz w:val="26"/>
          <w:szCs w:val="26"/>
        </w:rPr>
        <w:t>n v. FCC</w:t>
      </w:r>
      <w:r w:rsidR="00463384" w:rsidRPr="00463384">
        <w:rPr>
          <w:sz w:val="26"/>
          <w:szCs w:val="26"/>
        </w:rPr>
        <w:t>, 476 U.S. 355, 360 (1986) (</w:t>
      </w:r>
      <w:r w:rsidR="00463384" w:rsidRPr="00463384">
        <w:rPr>
          <w:i/>
          <w:sz w:val="26"/>
          <w:szCs w:val="26"/>
        </w:rPr>
        <w:t>Louisiana PSC</w:t>
      </w:r>
      <w:r w:rsidR="00463384" w:rsidRPr="00463384">
        <w:rPr>
          <w:sz w:val="26"/>
          <w:szCs w:val="26"/>
        </w:rPr>
        <w:t xml:space="preserve">); </w:t>
      </w:r>
      <w:r w:rsidR="00463384" w:rsidRPr="00463384">
        <w:rPr>
          <w:i/>
          <w:sz w:val="26"/>
          <w:szCs w:val="26"/>
        </w:rPr>
        <w:t>cf. Smith v. Illinois Bell Tel. Co.</w:t>
      </w:r>
      <w:r w:rsidR="00463384" w:rsidRPr="00463384">
        <w:rPr>
          <w:sz w:val="26"/>
          <w:szCs w:val="26"/>
        </w:rPr>
        <w:t>, 282</w:t>
      </w:r>
      <w:r w:rsidR="0043780E">
        <w:rPr>
          <w:sz w:val="26"/>
          <w:szCs w:val="26"/>
        </w:rPr>
        <w:t> </w:t>
      </w:r>
      <w:r w:rsidR="00463384" w:rsidRPr="00463384">
        <w:rPr>
          <w:sz w:val="26"/>
          <w:szCs w:val="26"/>
        </w:rPr>
        <w:t>U.S. 133, 148-51 (1930).</w:t>
      </w:r>
    </w:p>
    <w:p w14:paraId="76D3C123" w14:textId="77777777" w:rsidR="004E3E47" w:rsidRDefault="004E3E47" w:rsidP="00463384">
      <w:pPr>
        <w:spacing w:line="360" w:lineRule="auto"/>
        <w:ind w:firstLine="720"/>
        <w:rPr>
          <w:sz w:val="26"/>
          <w:szCs w:val="26"/>
        </w:rPr>
      </w:pPr>
    </w:p>
    <w:p w14:paraId="34A54597" w14:textId="77777777" w:rsidR="004E3E47" w:rsidRPr="004E3E47" w:rsidRDefault="004E3E47" w:rsidP="004E3E47">
      <w:pPr>
        <w:shd w:val="clear" w:color="auto" w:fill="FFFFFF"/>
        <w:spacing w:line="360" w:lineRule="auto"/>
        <w:ind w:firstLine="720"/>
        <w:rPr>
          <w:rFonts w:eastAsia="Calibri"/>
          <w:sz w:val="26"/>
          <w:szCs w:val="26"/>
        </w:rPr>
      </w:pPr>
      <w:r w:rsidRPr="004E3E47">
        <w:rPr>
          <w:sz w:val="26"/>
          <w:szCs w:val="26"/>
        </w:rPr>
        <w:t>The General Assembly</w:t>
      </w:r>
      <w:r w:rsidR="00166B4A">
        <w:rPr>
          <w:sz w:val="26"/>
          <w:szCs w:val="26"/>
        </w:rPr>
        <w:t xml:space="preserve">, </w:t>
      </w:r>
      <w:r w:rsidRPr="004E3E47">
        <w:rPr>
          <w:sz w:val="26"/>
          <w:szCs w:val="26"/>
        </w:rPr>
        <w:t xml:space="preserve">via </w:t>
      </w:r>
      <w:r w:rsidR="00166B4A">
        <w:rPr>
          <w:sz w:val="26"/>
          <w:szCs w:val="26"/>
        </w:rPr>
        <w:t xml:space="preserve">enactment of the </w:t>
      </w:r>
      <w:r w:rsidRPr="004E3E47">
        <w:rPr>
          <w:sz w:val="26"/>
          <w:szCs w:val="26"/>
        </w:rPr>
        <w:t xml:space="preserve">Code, has granted the Commission the authority to supervise and regulate all public utilities doing business within this Commonwealth.  66 Pa. C.S. § 501(b).  Moreover, the Commission has the authority to regulate those public utilities that are offering </w:t>
      </w:r>
      <w:r w:rsidRPr="004E3E47">
        <w:rPr>
          <w:i/>
          <w:sz w:val="26"/>
          <w:szCs w:val="26"/>
        </w:rPr>
        <w:t>intrastate</w:t>
      </w:r>
      <w:r w:rsidRPr="004E3E47">
        <w:rPr>
          <w:sz w:val="26"/>
          <w:szCs w:val="26"/>
        </w:rPr>
        <w:t xml:space="preserve"> telecommunications, whether on a retail or wholesale basis.  </w:t>
      </w:r>
      <w:r w:rsidRPr="004E3E47">
        <w:rPr>
          <w:i/>
          <w:sz w:val="26"/>
          <w:szCs w:val="26"/>
        </w:rPr>
        <w:t xml:space="preserve">See </w:t>
      </w:r>
      <w:r w:rsidRPr="004E3E47">
        <w:rPr>
          <w:rFonts w:eastAsia="Calibri"/>
          <w:i/>
          <w:iCs/>
          <w:sz w:val="26"/>
          <w:szCs w:val="26"/>
        </w:rPr>
        <w:t xml:space="preserve">Application of Sprint Communications Company L.P. </w:t>
      </w:r>
      <w:r w:rsidR="008122EC">
        <w:rPr>
          <w:rFonts w:eastAsia="Calibri"/>
          <w:i/>
          <w:iCs/>
          <w:sz w:val="26"/>
          <w:szCs w:val="26"/>
        </w:rPr>
        <w:t>f</w:t>
      </w:r>
      <w:r w:rsidRPr="004E3E47">
        <w:rPr>
          <w:rFonts w:eastAsia="Calibri"/>
          <w:i/>
          <w:iCs/>
          <w:sz w:val="26"/>
          <w:szCs w:val="26"/>
        </w:rPr>
        <w:t>or Approval of the Right to Offer, Render, Furnish or Supply Telecommunications Services as a Competitive Local Exchange Carrier to the Public in the Service Territories of Alltel Pennsylvania, Inc., Commonwealth Telephone Company and Palmerton Telephone Company</w:t>
      </w:r>
      <w:r w:rsidRPr="004E3E47">
        <w:rPr>
          <w:rFonts w:eastAsia="Calibri"/>
          <w:sz w:val="26"/>
          <w:szCs w:val="26"/>
        </w:rPr>
        <w:t xml:space="preserve">, Docket Nos. A-310183F0002AMA </w:t>
      </w:r>
      <w:r w:rsidRPr="004E3E47">
        <w:rPr>
          <w:rFonts w:eastAsia="Calibri"/>
          <w:i/>
          <w:sz w:val="26"/>
          <w:szCs w:val="26"/>
        </w:rPr>
        <w:t>et al</w:t>
      </w:r>
      <w:r w:rsidRPr="004E3E47">
        <w:rPr>
          <w:rFonts w:eastAsia="Calibri"/>
          <w:sz w:val="26"/>
          <w:szCs w:val="26"/>
        </w:rPr>
        <w:t xml:space="preserve">. (Order entered December 1, 2006); </w:t>
      </w:r>
      <w:r w:rsidRPr="00DD1A6B">
        <w:rPr>
          <w:rFonts w:eastAsia="Calibri"/>
          <w:i/>
          <w:sz w:val="26"/>
          <w:szCs w:val="26"/>
        </w:rPr>
        <w:t>see also</w:t>
      </w:r>
      <w:r w:rsidRPr="004E3E47">
        <w:rPr>
          <w:rFonts w:eastAsia="Calibri"/>
          <w:sz w:val="26"/>
          <w:szCs w:val="26"/>
        </w:rPr>
        <w:t xml:space="preserve"> 66 Pa. C.S. § 3012 (</w:t>
      </w:r>
      <w:r w:rsidRPr="004E3E47">
        <w:rPr>
          <w:sz w:val="26"/>
          <w:szCs w:val="26"/>
        </w:rPr>
        <w:t>intrastate telecommunications service</w:t>
      </w:r>
      <w:r w:rsidRPr="004E3E47">
        <w:rPr>
          <w:i/>
          <w:sz w:val="26"/>
          <w:szCs w:val="26"/>
        </w:rPr>
        <w:t xml:space="preserve"> </w:t>
      </w:r>
      <w:r w:rsidRPr="004E3E47">
        <w:rPr>
          <w:sz w:val="26"/>
          <w:szCs w:val="26"/>
        </w:rPr>
        <w:t>consists of</w:t>
      </w:r>
      <w:r w:rsidRPr="004E3E47">
        <w:rPr>
          <w:i/>
          <w:sz w:val="26"/>
          <w:szCs w:val="26"/>
        </w:rPr>
        <w:t xml:space="preserve"> local exchange </w:t>
      </w:r>
      <w:r w:rsidRPr="004E3E47">
        <w:rPr>
          <w:sz w:val="26"/>
          <w:szCs w:val="26"/>
        </w:rPr>
        <w:t>telecommunications, intrastate, interexchange services or [intrastate] toll services, and [intrastate] access telephone service [switched or special] to the public for compensation)</w:t>
      </w:r>
      <w:r w:rsidR="00E1579B">
        <w:rPr>
          <w:sz w:val="26"/>
          <w:szCs w:val="26"/>
        </w:rPr>
        <w:t xml:space="preserve"> (emphasis added)</w:t>
      </w:r>
      <w:r w:rsidRPr="004E3E47">
        <w:rPr>
          <w:sz w:val="26"/>
          <w:szCs w:val="26"/>
        </w:rPr>
        <w:t xml:space="preserve">.  </w:t>
      </w:r>
    </w:p>
    <w:p w14:paraId="436B7EA8" w14:textId="77777777" w:rsidR="007539B2" w:rsidRDefault="007539B2" w:rsidP="00463384">
      <w:pPr>
        <w:spacing w:line="360" w:lineRule="auto"/>
        <w:ind w:firstLine="720"/>
        <w:rPr>
          <w:sz w:val="26"/>
          <w:szCs w:val="26"/>
        </w:rPr>
      </w:pPr>
    </w:p>
    <w:p w14:paraId="0DE6D3D8" w14:textId="3E80ECA5" w:rsidR="00F368DD" w:rsidRDefault="00B75009" w:rsidP="00F368DD">
      <w:pPr>
        <w:autoSpaceDE w:val="0"/>
        <w:autoSpaceDN w:val="0"/>
        <w:adjustRightInd w:val="0"/>
        <w:spacing w:line="360" w:lineRule="auto"/>
        <w:ind w:firstLine="720"/>
        <w:rPr>
          <w:sz w:val="26"/>
          <w:szCs w:val="26"/>
          <w:lang w:val="en"/>
        </w:rPr>
      </w:pPr>
      <w:r>
        <w:rPr>
          <w:sz w:val="26"/>
          <w:szCs w:val="26"/>
        </w:rPr>
        <w:t>In particular, p</w:t>
      </w:r>
      <w:r w:rsidR="007539B2" w:rsidRPr="00CB17D4">
        <w:rPr>
          <w:sz w:val="26"/>
          <w:szCs w:val="26"/>
        </w:rPr>
        <w:t xml:space="preserve">ursuant to Chapter 30, the Commission has the authority to regulate telecommunications public utilities </w:t>
      </w:r>
      <w:r w:rsidR="00E1579B">
        <w:rPr>
          <w:sz w:val="26"/>
          <w:szCs w:val="26"/>
        </w:rPr>
        <w:t xml:space="preserve">that </w:t>
      </w:r>
      <w:r w:rsidR="00DD2AEA">
        <w:rPr>
          <w:sz w:val="26"/>
          <w:szCs w:val="26"/>
        </w:rPr>
        <w:t xml:space="preserve">offer special access services that </w:t>
      </w:r>
      <w:r w:rsidR="00DD2AEA" w:rsidRPr="00CB17D4">
        <w:rPr>
          <w:sz w:val="26"/>
          <w:szCs w:val="26"/>
        </w:rPr>
        <w:t>provide point-to-point telecommunications service to customers via dedicated lines</w:t>
      </w:r>
      <w:r w:rsidR="00E1579B">
        <w:rPr>
          <w:sz w:val="26"/>
          <w:szCs w:val="26"/>
        </w:rPr>
        <w:t>, many but not all of which</w:t>
      </w:r>
      <w:r w:rsidR="00DD2AEA">
        <w:rPr>
          <w:sz w:val="26"/>
          <w:szCs w:val="26"/>
        </w:rPr>
        <w:t xml:space="preserve"> are </w:t>
      </w:r>
      <w:r w:rsidR="009E30BE">
        <w:rPr>
          <w:sz w:val="26"/>
          <w:szCs w:val="26"/>
        </w:rPr>
        <w:t>certificated</w:t>
      </w:r>
      <w:r w:rsidR="009E30BE" w:rsidRPr="00CB17D4">
        <w:rPr>
          <w:sz w:val="26"/>
          <w:szCs w:val="26"/>
        </w:rPr>
        <w:t xml:space="preserve"> </w:t>
      </w:r>
      <w:r w:rsidR="007539B2" w:rsidRPr="00CB17D4">
        <w:rPr>
          <w:sz w:val="26"/>
          <w:szCs w:val="26"/>
        </w:rPr>
        <w:t>as CAPs</w:t>
      </w:r>
      <w:r w:rsidR="00DD2AEA">
        <w:rPr>
          <w:sz w:val="26"/>
          <w:szCs w:val="26"/>
        </w:rPr>
        <w:t xml:space="preserve"> in Pennsylvania</w:t>
      </w:r>
      <w:r w:rsidR="007539B2" w:rsidRPr="00CB17D4">
        <w:rPr>
          <w:sz w:val="26"/>
          <w:szCs w:val="26"/>
        </w:rPr>
        <w:t>.  66 Pa. C.S. § 3012.</w:t>
      </w:r>
      <w:r w:rsidR="007539B2">
        <w:rPr>
          <w:sz w:val="26"/>
          <w:szCs w:val="26"/>
        </w:rPr>
        <w:t xml:space="preserve">  </w:t>
      </w:r>
      <w:r w:rsidR="00F368DD" w:rsidRPr="00CB17D4">
        <w:rPr>
          <w:sz w:val="26"/>
          <w:szCs w:val="26"/>
        </w:rPr>
        <w:t xml:space="preserve">The </w:t>
      </w:r>
      <w:r w:rsidR="00FD2217">
        <w:rPr>
          <w:sz w:val="26"/>
          <w:szCs w:val="26"/>
        </w:rPr>
        <w:t>Commission</w:t>
      </w:r>
      <w:r w:rsidR="00F368DD" w:rsidRPr="00CB17D4">
        <w:rPr>
          <w:sz w:val="26"/>
          <w:szCs w:val="26"/>
        </w:rPr>
        <w:t xml:space="preserve"> acknowledges that the </w:t>
      </w:r>
      <w:r w:rsidR="005B1675">
        <w:rPr>
          <w:sz w:val="26"/>
          <w:szCs w:val="26"/>
        </w:rPr>
        <w:t xml:space="preserve">network </w:t>
      </w:r>
      <w:r w:rsidR="00F368DD" w:rsidRPr="00CB17D4">
        <w:rPr>
          <w:sz w:val="26"/>
          <w:szCs w:val="26"/>
        </w:rPr>
        <w:t xml:space="preserve">facilities and equipment used by CAP </w:t>
      </w:r>
      <w:r w:rsidR="00E1579B">
        <w:rPr>
          <w:sz w:val="26"/>
          <w:szCs w:val="26"/>
        </w:rPr>
        <w:t>and other carriers</w:t>
      </w:r>
      <w:r w:rsidR="00F368DD" w:rsidRPr="00CB17D4">
        <w:rPr>
          <w:sz w:val="26"/>
          <w:szCs w:val="26"/>
        </w:rPr>
        <w:t xml:space="preserve"> to provide intrastate telecommunications services to customers are often used to provide interstate telecommunications services as well.  Hence, a s</w:t>
      </w:r>
      <w:r w:rsidR="00F368DD" w:rsidRPr="00CB17D4">
        <w:rPr>
          <w:sz w:val="26"/>
          <w:szCs w:val="26"/>
          <w:lang w:val="en"/>
        </w:rPr>
        <w:t>pecial access circuit, which may carry both interstate and intrastate communications, implicates regulation at both the federal and state level</w:t>
      </w:r>
      <w:r w:rsidR="005B1C79">
        <w:rPr>
          <w:sz w:val="26"/>
          <w:szCs w:val="26"/>
          <w:lang w:val="en"/>
        </w:rPr>
        <w:t>s</w:t>
      </w:r>
      <w:r w:rsidR="00F368DD" w:rsidRPr="00CB17D4">
        <w:rPr>
          <w:sz w:val="26"/>
          <w:szCs w:val="26"/>
          <w:lang w:val="en"/>
        </w:rPr>
        <w:t xml:space="preserve">.  </w:t>
      </w:r>
    </w:p>
    <w:p w14:paraId="6B59ACA7" w14:textId="77777777" w:rsidR="00F368DD" w:rsidRDefault="00F368DD" w:rsidP="00F368DD">
      <w:pPr>
        <w:autoSpaceDE w:val="0"/>
        <w:autoSpaceDN w:val="0"/>
        <w:adjustRightInd w:val="0"/>
        <w:spacing w:line="360" w:lineRule="auto"/>
        <w:ind w:firstLine="720"/>
        <w:rPr>
          <w:sz w:val="26"/>
          <w:szCs w:val="26"/>
        </w:rPr>
      </w:pPr>
    </w:p>
    <w:p w14:paraId="6A4182CB" w14:textId="73035DA4" w:rsidR="00F368DD" w:rsidRPr="00CB17D4" w:rsidRDefault="00DD2AEA" w:rsidP="00F368DD">
      <w:pPr>
        <w:autoSpaceDE w:val="0"/>
        <w:autoSpaceDN w:val="0"/>
        <w:adjustRightInd w:val="0"/>
        <w:spacing w:line="360" w:lineRule="auto"/>
        <w:ind w:firstLine="720"/>
        <w:rPr>
          <w:sz w:val="26"/>
          <w:szCs w:val="26"/>
        </w:rPr>
      </w:pPr>
      <w:r>
        <w:rPr>
          <w:sz w:val="26"/>
          <w:szCs w:val="26"/>
        </w:rPr>
        <w:t xml:space="preserve">Facilities </w:t>
      </w:r>
      <w:r w:rsidR="00F368DD" w:rsidRPr="00CB17D4">
        <w:rPr>
          <w:sz w:val="26"/>
          <w:szCs w:val="26"/>
        </w:rPr>
        <w:t xml:space="preserve">that </w:t>
      </w:r>
      <w:proofErr w:type="gramStart"/>
      <w:r w:rsidR="00F368DD" w:rsidRPr="00CB17D4">
        <w:rPr>
          <w:sz w:val="26"/>
          <w:szCs w:val="26"/>
        </w:rPr>
        <w:t xml:space="preserve">are capable of </w:t>
      </w:r>
      <w:r>
        <w:rPr>
          <w:sz w:val="26"/>
          <w:szCs w:val="26"/>
        </w:rPr>
        <w:t>providing</w:t>
      </w:r>
      <w:proofErr w:type="gramEnd"/>
      <w:r>
        <w:rPr>
          <w:sz w:val="26"/>
          <w:szCs w:val="26"/>
        </w:rPr>
        <w:t xml:space="preserve"> </w:t>
      </w:r>
      <w:r w:rsidR="00F368DD" w:rsidRPr="00CB17D4">
        <w:rPr>
          <w:sz w:val="26"/>
          <w:szCs w:val="26"/>
        </w:rPr>
        <w:t>communications between int</w:t>
      </w:r>
      <w:r w:rsidR="00ED26B3">
        <w:rPr>
          <w:sz w:val="26"/>
          <w:szCs w:val="26"/>
        </w:rPr>
        <w:t>er</w:t>
      </w:r>
      <w:r w:rsidR="00F368DD" w:rsidRPr="00CB17D4">
        <w:rPr>
          <w:sz w:val="26"/>
          <w:szCs w:val="26"/>
        </w:rPr>
        <w:t xml:space="preserve">state end points </w:t>
      </w:r>
      <w:r w:rsidR="00ED26B3">
        <w:rPr>
          <w:sz w:val="26"/>
          <w:szCs w:val="26"/>
        </w:rPr>
        <w:t>as well as</w:t>
      </w:r>
      <w:r w:rsidR="00F368DD" w:rsidRPr="00CB17D4">
        <w:rPr>
          <w:sz w:val="26"/>
          <w:szCs w:val="26"/>
        </w:rPr>
        <w:t xml:space="preserve"> int</w:t>
      </w:r>
      <w:r w:rsidR="00ED26B3">
        <w:rPr>
          <w:sz w:val="26"/>
          <w:szCs w:val="26"/>
        </w:rPr>
        <w:t>ra</w:t>
      </w:r>
      <w:r w:rsidR="00F368DD" w:rsidRPr="00CB17D4">
        <w:rPr>
          <w:sz w:val="26"/>
          <w:szCs w:val="26"/>
        </w:rPr>
        <w:t xml:space="preserve">state end points are deemed to be </w:t>
      </w:r>
      <w:r w:rsidR="00CB346B">
        <w:rPr>
          <w:sz w:val="26"/>
          <w:szCs w:val="26"/>
        </w:rPr>
        <w:t>“</w:t>
      </w:r>
      <w:r w:rsidR="00F368DD" w:rsidRPr="00CB17D4">
        <w:rPr>
          <w:sz w:val="26"/>
          <w:szCs w:val="26"/>
        </w:rPr>
        <w:t>mixed-use</w:t>
      </w:r>
      <w:r w:rsidR="00CB346B">
        <w:rPr>
          <w:sz w:val="26"/>
          <w:szCs w:val="26"/>
        </w:rPr>
        <w:t>”</w:t>
      </w:r>
      <w:r w:rsidR="00F368DD" w:rsidRPr="00CB17D4">
        <w:rPr>
          <w:sz w:val="26"/>
          <w:szCs w:val="26"/>
        </w:rPr>
        <w:t xml:space="preserve"> or </w:t>
      </w:r>
      <w:r w:rsidR="00CB346B">
        <w:rPr>
          <w:sz w:val="26"/>
          <w:szCs w:val="26"/>
        </w:rPr>
        <w:t>“</w:t>
      </w:r>
      <w:r w:rsidR="00F368DD" w:rsidRPr="00CB17D4">
        <w:rPr>
          <w:sz w:val="26"/>
          <w:szCs w:val="26"/>
        </w:rPr>
        <w:t>jurisdictionally</w:t>
      </w:r>
      <w:r w:rsidR="00E1579B">
        <w:rPr>
          <w:sz w:val="26"/>
          <w:szCs w:val="26"/>
        </w:rPr>
        <w:t>-</w:t>
      </w:r>
      <w:r w:rsidR="00F368DD" w:rsidRPr="00CB17D4">
        <w:rPr>
          <w:sz w:val="26"/>
          <w:szCs w:val="26"/>
        </w:rPr>
        <w:t>mixed</w:t>
      </w:r>
      <w:r w:rsidR="00CB346B">
        <w:rPr>
          <w:sz w:val="26"/>
          <w:szCs w:val="26"/>
        </w:rPr>
        <w:t>”</w:t>
      </w:r>
      <w:r w:rsidR="00F368DD" w:rsidRPr="00CB17D4">
        <w:rPr>
          <w:sz w:val="26"/>
          <w:szCs w:val="26"/>
        </w:rPr>
        <w:t xml:space="preserve"> </w:t>
      </w:r>
      <w:r>
        <w:rPr>
          <w:sz w:val="26"/>
          <w:szCs w:val="26"/>
        </w:rPr>
        <w:t xml:space="preserve">facilities </w:t>
      </w:r>
      <w:r w:rsidR="00F368DD" w:rsidRPr="00CB17D4">
        <w:rPr>
          <w:sz w:val="26"/>
          <w:szCs w:val="26"/>
        </w:rPr>
        <w:t>and</w:t>
      </w:r>
      <w:r w:rsidR="00E1579B">
        <w:rPr>
          <w:sz w:val="26"/>
          <w:szCs w:val="26"/>
        </w:rPr>
        <w:t>,</w:t>
      </w:r>
      <w:r w:rsidR="00F368DD" w:rsidRPr="00CB17D4">
        <w:rPr>
          <w:sz w:val="26"/>
          <w:szCs w:val="26"/>
        </w:rPr>
        <w:t xml:space="preserve"> conceivably</w:t>
      </w:r>
      <w:r w:rsidR="0012433B">
        <w:rPr>
          <w:sz w:val="26"/>
          <w:szCs w:val="26"/>
        </w:rPr>
        <w:t>, are</w:t>
      </w:r>
      <w:r w:rsidR="00F368DD" w:rsidRPr="00CB17D4">
        <w:rPr>
          <w:sz w:val="26"/>
          <w:szCs w:val="26"/>
        </w:rPr>
        <w:t xml:space="preserve"> within the jurisdiction of both state and federal authorities.  </w:t>
      </w:r>
      <w:r w:rsidR="00F368DD" w:rsidRPr="00CB17D4">
        <w:rPr>
          <w:i/>
          <w:sz w:val="26"/>
          <w:szCs w:val="26"/>
        </w:rPr>
        <w:t>See</w:t>
      </w:r>
      <w:r w:rsidR="001709DF">
        <w:rPr>
          <w:i/>
          <w:sz w:val="26"/>
          <w:szCs w:val="26"/>
        </w:rPr>
        <w:t>,</w:t>
      </w:r>
      <w:r w:rsidR="00F368DD" w:rsidRPr="00CB17D4">
        <w:rPr>
          <w:i/>
          <w:sz w:val="26"/>
          <w:szCs w:val="26"/>
        </w:rPr>
        <w:t xml:space="preserve"> e.g., </w:t>
      </w:r>
      <w:r w:rsidR="00F368DD" w:rsidRPr="00CB17D4">
        <w:rPr>
          <w:i/>
          <w:iCs/>
          <w:sz w:val="26"/>
          <w:szCs w:val="26"/>
        </w:rPr>
        <w:t>MTS and WATS Market Structure Amendment of Part 67 of the Commission</w:t>
      </w:r>
      <w:r w:rsidR="00CB346B">
        <w:rPr>
          <w:i/>
          <w:iCs/>
          <w:sz w:val="26"/>
          <w:szCs w:val="26"/>
        </w:rPr>
        <w:t>’</w:t>
      </w:r>
      <w:r w:rsidR="00F368DD" w:rsidRPr="00CB17D4">
        <w:rPr>
          <w:i/>
          <w:iCs/>
          <w:sz w:val="26"/>
          <w:szCs w:val="26"/>
        </w:rPr>
        <w:t>s Rules and Establishment of a Joint Board</w:t>
      </w:r>
      <w:r w:rsidR="00F368DD" w:rsidRPr="00CB346B">
        <w:rPr>
          <w:iCs/>
          <w:sz w:val="26"/>
          <w:szCs w:val="26"/>
        </w:rPr>
        <w:t>,</w:t>
      </w:r>
      <w:r w:rsidR="00F368DD" w:rsidRPr="00CB17D4">
        <w:rPr>
          <w:sz w:val="26"/>
          <w:szCs w:val="26"/>
        </w:rPr>
        <w:t xml:space="preserve"> CC Docket Nos. 78-72, 80-286, Memorandum Opinion and Order on Reconsideration and Order Inviting Comments, 1</w:t>
      </w:r>
      <w:r w:rsidR="00737933">
        <w:rPr>
          <w:sz w:val="26"/>
          <w:szCs w:val="26"/>
        </w:rPr>
        <w:t> </w:t>
      </w:r>
      <w:r w:rsidR="00F368DD" w:rsidRPr="00CB17D4">
        <w:rPr>
          <w:sz w:val="26"/>
          <w:szCs w:val="26"/>
        </w:rPr>
        <w:t xml:space="preserve">FCC Rcd 1287 (1987); </w:t>
      </w:r>
      <w:r w:rsidR="00F368DD" w:rsidRPr="00CB17D4">
        <w:rPr>
          <w:i/>
          <w:iCs/>
          <w:sz w:val="26"/>
          <w:szCs w:val="26"/>
        </w:rPr>
        <w:t>Petition for Emergency Relief and Declaratory Ruling Filed by the BellSouth Corporation</w:t>
      </w:r>
      <w:r w:rsidR="00F368DD" w:rsidRPr="00CB346B">
        <w:rPr>
          <w:iCs/>
          <w:sz w:val="26"/>
          <w:szCs w:val="26"/>
        </w:rPr>
        <w:t>,</w:t>
      </w:r>
      <w:r w:rsidR="00F368DD" w:rsidRPr="00CB17D4">
        <w:rPr>
          <w:sz w:val="26"/>
          <w:szCs w:val="26"/>
        </w:rPr>
        <w:t xml:space="preserve"> 7 FCC Rcd 1619, 1620, ¶ 7 (1992) (</w:t>
      </w:r>
      <w:r w:rsidR="00F368DD" w:rsidRPr="00CB17D4">
        <w:rPr>
          <w:i/>
          <w:iCs/>
          <w:sz w:val="26"/>
          <w:szCs w:val="26"/>
        </w:rPr>
        <w:t>BellSouth MemoryCall)</w:t>
      </w:r>
      <w:r w:rsidR="00F368DD" w:rsidRPr="00CB17D4">
        <w:rPr>
          <w:sz w:val="26"/>
          <w:szCs w:val="26"/>
        </w:rPr>
        <w:t xml:space="preserve">; </w:t>
      </w:r>
      <w:r w:rsidR="00F368DD" w:rsidRPr="00CB17D4">
        <w:rPr>
          <w:i/>
          <w:iCs/>
          <w:sz w:val="26"/>
          <w:szCs w:val="26"/>
        </w:rPr>
        <w:t>Southwestern Bell Tel. Co. v. FCC</w:t>
      </w:r>
      <w:r w:rsidR="00F368DD" w:rsidRPr="00737933">
        <w:rPr>
          <w:iCs/>
          <w:sz w:val="26"/>
          <w:szCs w:val="26"/>
        </w:rPr>
        <w:t>,</w:t>
      </w:r>
      <w:r w:rsidR="00F368DD" w:rsidRPr="00CB17D4">
        <w:rPr>
          <w:sz w:val="26"/>
          <w:szCs w:val="26"/>
        </w:rPr>
        <w:t xml:space="preserve"> 153 F.3d 523, 543 (8th Cir. 1998).  </w:t>
      </w:r>
    </w:p>
    <w:p w14:paraId="6E4396F6" w14:textId="77777777" w:rsidR="00FD2217" w:rsidRDefault="00FD2217" w:rsidP="00F368DD">
      <w:pPr>
        <w:spacing w:line="360" w:lineRule="auto"/>
        <w:ind w:firstLine="720"/>
        <w:rPr>
          <w:sz w:val="26"/>
          <w:szCs w:val="26"/>
        </w:rPr>
      </w:pPr>
    </w:p>
    <w:p w14:paraId="320346D1" w14:textId="77777777" w:rsidR="00FD2217" w:rsidRPr="00A84E9C" w:rsidRDefault="00FD2217" w:rsidP="00A84E9C">
      <w:pPr>
        <w:spacing w:line="360" w:lineRule="auto"/>
        <w:rPr>
          <w:b/>
          <w:sz w:val="26"/>
          <w:szCs w:val="26"/>
        </w:rPr>
      </w:pPr>
      <w:r w:rsidRPr="00A84E9C">
        <w:rPr>
          <w:b/>
          <w:sz w:val="26"/>
          <w:szCs w:val="26"/>
        </w:rPr>
        <w:t>Treatment of Mixed-</w:t>
      </w:r>
      <w:r w:rsidR="00737933">
        <w:rPr>
          <w:b/>
          <w:sz w:val="26"/>
          <w:szCs w:val="26"/>
        </w:rPr>
        <w:t>U</w:t>
      </w:r>
      <w:r w:rsidRPr="00A84E9C">
        <w:rPr>
          <w:b/>
          <w:sz w:val="26"/>
          <w:szCs w:val="26"/>
        </w:rPr>
        <w:t>se Services</w:t>
      </w:r>
    </w:p>
    <w:p w14:paraId="42C085AF" w14:textId="3DEDEF99" w:rsidR="00F368DD" w:rsidRDefault="00F368DD" w:rsidP="00F368DD">
      <w:pPr>
        <w:spacing w:line="360" w:lineRule="auto"/>
        <w:ind w:firstLine="720"/>
        <w:rPr>
          <w:sz w:val="26"/>
          <w:szCs w:val="26"/>
        </w:rPr>
      </w:pPr>
      <w:r w:rsidRPr="00CB17D4">
        <w:rPr>
          <w:sz w:val="26"/>
          <w:szCs w:val="26"/>
        </w:rPr>
        <w:t xml:space="preserve">Mixed-use </w:t>
      </w:r>
      <w:r w:rsidR="00B008F1">
        <w:rPr>
          <w:sz w:val="26"/>
          <w:szCs w:val="26"/>
        </w:rPr>
        <w:t xml:space="preserve">or jurisdictionally-mixed </w:t>
      </w:r>
      <w:r w:rsidRPr="00CB17D4">
        <w:rPr>
          <w:sz w:val="26"/>
          <w:szCs w:val="26"/>
        </w:rPr>
        <w:t>services are generally subject to dual federal/state jurisdiction, except where it is impossible or impractical to separate the service</w:t>
      </w:r>
      <w:r w:rsidR="00CB346B">
        <w:rPr>
          <w:sz w:val="26"/>
          <w:szCs w:val="26"/>
        </w:rPr>
        <w:t>’</w:t>
      </w:r>
      <w:r w:rsidRPr="00CB17D4">
        <w:rPr>
          <w:sz w:val="26"/>
          <w:szCs w:val="26"/>
        </w:rPr>
        <w:t xml:space="preserve">s intrastate </w:t>
      </w:r>
      <w:r w:rsidR="007173BF">
        <w:rPr>
          <w:sz w:val="26"/>
          <w:szCs w:val="26"/>
        </w:rPr>
        <w:t xml:space="preserve">components </w:t>
      </w:r>
      <w:r w:rsidRPr="00CB17D4">
        <w:rPr>
          <w:sz w:val="26"/>
          <w:szCs w:val="26"/>
        </w:rPr>
        <w:t xml:space="preserve">from </w:t>
      </w:r>
      <w:r w:rsidR="007173BF">
        <w:rPr>
          <w:sz w:val="26"/>
          <w:szCs w:val="26"/>
        </w:rPr>
        <w:t xml:space="preserve">its </w:t>
      </w:r>
      <w:r w:rsidRPr="00CB17D4">
        <w:rPr>
          <w:sz w:val="26"/>
          <w:szCs w:val="26"/>
        </w:rPr>
        <w:t>interstate components</w:t>
      </w:r>
      <w:r w:rsidR="00D50634">
        <w:rPr>
          <w:sz w:val="26"/>
          <w:szCs w:val="26"/>
        </w:rPr>
        <w:t>,</w:t>
      </w:r>
      <w:r w:rsidRPr="00CB17D4">
        <w:rPr>
          <w:sz w:val="26"/>
          <w:szCs w:val="26"/>
        </w:rPr>
        <w:t xml:space="preserve"> and the state regulation of the intrastate component interferes with valid federal rules or policies.  </w:t>
      </w:r>
      <w:r w:rsidRPr="00CB17D4">
        <w:rPr>
          <w:i/>
          <w:sz w:val="26"/>
          <w:szCs w:val="26"/>
        </w:rPr>
        <w:t>See</w:t>
      </w:r>
      <w:r w:rsidR="00D50634">
        <w:rPr>
          <w:i/>
          <w:sz w:val="26"/>
          <w:szCs w:val="26"/>
        </w:rPr>
        <w:t>,</w:t>
      </w:r>
      <w:r w:rsidRPr="00CB17D4">
        <w:rPr>
          <w:sz w:val="26"/>
          <w:szCs w:val="26"/>
        </w:rPr>
        <w:t xml:space="preserve"> </w:t>
      </w:r>
      <w:r w:rsidRPr="00CB17D4">
        <w:rPr>
          <w:i/>
          <w:sz w:val="26"/>
          <w:szCs w:val="26"/>
        </w:rPr>
        <w:t>e.g.</w:t>
      </w:r>
      <w:r w:rsidRPr="00CB17D4">
        <w:rPr>
          <w:sz w:val="26"/>
          <w:szCs w:val="26"/>
        </w:rPr>
        <w:t xml:space="preserve">, </w:t>
      </w:r>
      <w:r w:rsidRPr="00CB17D4">
        <w:rPr>
          <w:i/>
          <w:iCs/>
          <w:sz w:val="26"/>
          <w:szCs w:val="26"/>
        </w:rPr>
        <w:t>See Louisiana PSC</w:t>
      </w:r>
      <w:r w:rsidRPr="00737933">
        <w:rPr>
          <w:iCs/>
          <w:sz w:val="26"/>
          <w:szCs w:val="26"/>
        </w:rPr>
        <w:t>,</w:t>
      </w:r>
      <w:r w:rsidRPr="00CB17D4">
        <w:rPr>
          <w:sz w:val="26"/>
          <w:szCs w:val="26"/>
        </w:rPr>
        <w:t xml:space="preserve"> 476 U.S. at 368 (1986) (</w:t>
      </w:r>
      <w:r w:rsidRPr="00CB17D4">
        <w:rPr>
          <w:i/>
          <w:sz w:val="26"/>
          <w:szCs w:val="26"/>
        </w:rPr>
        <w:t>citing</w:t>
      </w:r>
      <w:r w:rsidRPr="00CB17D4">
        <w:rPr>
          <w:sz w:val="26"/>
          <w:szCs w:val="26"/>
        </w:rPr>
        <w:t xml:space="preserve"> </w:t>
      </w:r>
      <w:r w:rsidRPr="00CB17D4">
        <w:rPr>
          <w:i/>
          <w:iCs/>
          <w:sz w:val="26"/>
          <w:szCs w:val="26"/>
        </w:rPr>
        <w:t>Florida Lime &amp; Avocado Growers, Inc. v. Paul</w:t>
      </w:r>
      <w:r w:rsidRPr="00737933">
        <w:rPr>
          <w:iCs/>
          <w:sz w:val="26"/>
          <w:szCs w:val="26"/>
        </w:rPr>
        <w:t>,</w:t>
      </w:r>
      <w:r w:rsidRPr="00CB17D4">
        <w:rPr>
          <w:sz w:val="26"/>
          <w:szCs w:val="26"/>
        </w:rPr>
        <w:t xml:space="preserve"> 373 U.S. 132 (1963)</w:t>
      </w:r>
      <w:r w:rsidR="00737933">
        <w:rPr>
          <w:sz w:val="26"/>
          <w:szCs w:val="26"/>
        </w:rPr>
        <w:t>)</w:t>
      </w:r>
      <w:r w:rsidRPr="00CB17D4">
        <w:rPr>
          <w:sz w:val="26"/>
          <w:szCs w:val="26"/>
        </w:rPr>
        <w:t xml:space="preserve">; </w:t>
      </w:r>
      <w:r w:rsidRPr="00CB17D4">
        <w:rPr>
          <w:i/>
          <w:sz w:val="26"/>
          <w:szCs w:val="26"/>
        </w:rPr>
        <w:t>National Ass</w:t>
      </w:r>
      <w:r w:rsidR="00737933">
        <w:rPr>
          <w:i/>
          <w:sz w:val="26"/>
          <w:szCs w:val="26"/>
        </w:rPr>
        <w:t>’</w:t>
      </w:r>
      <w:r w:rsidRPr="00CB17D4">
        <w:rPr>
          <w:i/>
          <w:sz w:val="26"/>
          <w:szCs w:val="26"/>
        </w:rPr>
        <w:t>n of Regulatory Util. Comm</w:t>
      </w:r>
      <w:r w:rsidR="00737933">
        <w:rPr>
          <w:i/>
          <w:sz w:val="26"/>
          <w:szCs w:val="26"/>
        </w:rPr>
        <w:t>’</w:t>
      </w:r>
      <w:r w:rsidRPr="00CB17D4">
        <w:rPr>
          <w:i/>
          <w:sz w:val="26"/>
          <w:szCs w:val="26"/>
        </w:rPr>
        <w:t>rs</w:t>
      </w:r>
      <w:r w:rsidRPr="00CB17D4">
        <w:rPr>
          <w:i/>
          <w:iCs/>
          <w:sz w:val="26"/>
          <w:szCs w:val="26"/>
        </w:rPr>
        <w:t xml:space="preserve"> v. FCC</w:t>
      </w:r>
      <w:r w:rsidRPr="00CB17D4">
        <w:rPr>
          <w:sz w:val="26"/>
          <w:szCs w:val="26"/>
        </w:rPr>
        <w:t>, 737</w:t>
      </w:r>
      <w:r w:rsidR="00217969">
        <w:rPr>
          <w:sz w:val="26"/>
          <w:szCs w:val="26"/>
        </w:rPr>
        <w:t> </w:t>
      </w:r>
      <w:r w:rsidRPr="00CB17D4">
        <w:rPr>
          <w:sz w:val="26"/>
          <w:szCs w:val="26"/>
        </w:rPr>
        <w:t xml:space="preserve">F.2d 1095, 1114-15 (D.C. Cir. 1984); </w:t>
      </w:r>
      <w:r w:rsidRPr="00CB17D4">
        <w:rPr>
          <w:i/>
          <w:iCs/>
          <w:sz w:val="26"/>
          <w:szCs w:val="26"/>
        </w:rPr>
        <w:t>Computer &amp; Communications Industry Association v. FCC</w:t>
      </w:r>
      <w:r w:rsidRPr="00CB17D4">
        <w:rPr>
          <w:sz w:val="26"/>
          <w:szCs w:val="26"/>
        </w:rPr>
        <w:t>, 693 F.2d 198, 214-18 (D.C. Cir. 1982)</w:t>
      </w:r>
      <w:r w:rsidR="003131E9" w:rsidRPr="00CB17D4">
        <w:rPr>
          <w:i/>
          <w:iCs/>
          <w:sz w:val="26"/>
          <w:szCs w:val="26"/>
        </w:rPr>
        <w:t xml:space="preserve"> (CCIA)</w:t>
      </w:r>
      <w:r w:rsidRPr="00CB17D4">
        <w:rPr>
          <w:sz w:val="26"/>
          <w:szCs w:val="26"/>
        </w:rPr>
        <w:t xml:space="preserve">, </w:t>
      </w:r>
      <w:r w:rsidRPr="00CB17D4">
        <w:rPr>
          <w:i/>
          <w:iCs/>
          <w:sz w:val="26"/>
          <w:szCs w:val="26"/>
        </w:rPr>
        <w:t>cert. denied</w:t>
      </w:r>
      <w:r w:rsidRPr="00CB17D4">
        <w:rPr>
          <w:sz w:val="26"/>
          <w:szCs w:val="26"/>
        </w:rPr>
        <w:t>, 461</w:t>
      </w:r>
      <w:r w:rsidR="00217969">
        <w:rPr>
          <w:sz w:val="26"/>
          <w:szCs w:val="26"/>
        </w:rPr>
        <w:t> </w:t>
      </w:r>
      <w:r w:rsidRPr="00CB17D4">
        <w:rPr>
          <w:sz w:val="26"/>
          <w:szCs w:val="26"/>
        </w:rPr>
        <w:t xml:space="preserve">U.S. 938 (1983); </w:t>
      </w:r>
      <w:r w:rsidRPr="00CB17D4">
        <w:rPr>
          <w:i/>
          <w:iCs/>
          <w:sz w:val="26"/>
          <w:szCs w:val="26"/>
        </w:rPr>
        <w:t>Qwest Corp. v. Minnesota Pub. Utils. Comm</w:t>
      </w:r>
      <w:r w:rsidR="00737933">
        <w:rPr>
          <w:i/>
          <w:iCs/>
          <w:sz w:val="26"/>
          <w:szCs w:val="26"/>
        </w:rPr>
        <w:t>’</w:t>
      </w:r>
      <w:r w:rsidRPr="00CB17D4">
        <w:rPr>
          <w:i/>
          <w:iCs/>
          <w:sz w:val="26"/>
          <w:szCs w:val="26"/>
        </w:rPr>
        <w:t>n</w:t>
      </w:r>
      <w:r w:rsidRPr="00737933">
        <w:rPr>
          <w:iCs/>
          <w:sz w:val="26"/>
          <w:szCs w:val="26"/>
        </w:rPr>
        <w:t>,</w:t>
      </w:r>
      <w:r w:rsidRPr="00CB17D4">
        <w:rPr>
          <w:sz w:val="26"/>
          <w:szCs w:val="26"/>
        </w:rPr>
        <w:t xml:space="preserve"> 380 F.3d 367, 374</w:t>
      </w:r>
      <w:r w:rsidR="00217969">
        <w:rPr>
          <w:sz w:val="26"/>
          <w:szCs w:val="26"/>
        </w:rPr>
        <w:t> </w:t>
      </w:r>
      <w:r w:rsidRPr="00CB17D4">
        <w:rPr>
          <w:sz w:val="26"/>
          <w:szCs w:val="26"/>
        </w:rPr>
        <w:t>(8th Cir. 2004)</w:t>
      </w:r>
      <w:r w:rsidRPr="00737933">
        <w:rPr>
          <w:sz w:val="26"/>
          <w:szCs w:val="26"/>
        </w:rPr>
        <w:t>;</w:t>
      </w:r>
      <w:r w:rsidR="004B59A3" w:rsidRPr="00737933">
        <w:rPr>
          <w:sz w:val="26"/>
          <w:szCs w:val="26"/>
        </w:rPr>
        <w:t xml:space="preserve"> </w:t>
      </w:r>
      <w:r w:rsidRPr="00CB17D4">
        <w:rPr>
          <w:i/>
          <w:iCs/>
          <w:sz w:val="26"/>
          <w:szCs w:val="26"/>
        </w:rPr>
        <w:t xml:space="preserve">BellSouth </w:t>
      </w:r>
      <w:proofErr w:type="spellStart"/>
      <w:r w:rsidRPr="00CB17D4">
        <w:rPr>
          <w:i/>
          <w:iCs/>
          <w:sz w:val="26"/>
          <w:szCs w:val="26"/>
        </w:rPr>
        <w:t>MemoryCall</w:t>
      </w:r>
      <w:proofErr w:type="spellEnd"/>
      <w:r w:rsidRPr="0043780E">
        <w:rPr>
          <w:iCs/>
          <w:sz w:val="26"/>
          <w:szCs w:val="26"/>
        </w:rPr>
        <w:t>,</w:t>
      </w:r>
      <w:r w:rsidRPr="00CB17D4">
        <w:rPr>
          <w:sz w:val="26"/>
          <w:szCs w:val="26"/>
        </w:rPr>
        <w:t xml:space="preserve"> 7</w:t>
      </w:r>
      <w:r w:rsidR="0043780E">
        <w:rPr>
          <w:sz w:val="26"/>
          <w:szCs w:val="26"/>
        </w:rPr>
        <w:t> </w:t>
      </w:r>
      <w:r w:rsidRPr="00CB17D4">
        <w:rPr>
          <w:sz w:val="26"/>
          <w:szCs w:val="26"/>
        </w:rPr>
        <w:t>FCC</w:t>
      </w:r>
      <w:r w:rsidR="0043780E">
        <w:rPr>
          <w:sz w:val="26"/>
          <w:szCs w:val="26"/>
        </w:rPr>
        <w:t> </w:t>
      </w:r>
      <w:proofErr w:type="spellStart"/>
      <w:r w:rsidRPr="00CB17D4">
        <w:rPr>
          <w:sz w:val="26"/>
          <w:szCs w:val="26"/>
        </w:rPr>
        <w:t>Rcd</w:t>
      </w:r>
      <w:proofErr w:type="spellEnd"/>
      <w:r w:rsidR="0043780E">
        <w:rPr>
          <w:sz w:val="26"/>
          <w:szCs w:val="26"/>
        </w:rPr>
        <w:t> </w:t>
      </w:r>
      <w:r w:rsidR="00E1579B">
        <w:rPr>
          <w:sz w:val="26"/>
          <w:szCs w:val="26"/>
        </w:rPr>
        <w:t>at</w:t>
      </w:r>
      <w:r w:rsidR="00674D14">
        <w:rPr>
          <w:sz w:val="26"/>
          <w:szCs w:val="26"/>
        </w:rPr>
        <w:t xml:space="preserve"> </w:t>
      </w:r>
      <w:r w:rsidRPr="00CB17D4">
        <w:rPr>
          <w:sz w:val="26"/>
          <w:szCs w:val="26"/>
        </w:rPr>
        <w:t>1622</w:t>
      </w:r>
      <w:r w:rsidR="00737933">
        <w:rPr>
          <w:sz w:val="26"/>
          <w:szCs w:val="26"/>
        </w:rPr>
        <w:noBreakHyphen/>
      </w:r>
      <w:r w:rsidRPr="00CB17D4">
        <w:rPr>
          <w:sz w:val="26"/>
          <w:szCs w:val="26"/>
        </w:rPr>
        <w:t>23, ¶¶ 18-19.</w:t>
      </w:r>
    </w:p>
    <w:p w14:paraId="6ED56888" w14:textId="77777777" w:rsidR="00F368DD" w:rsidRDefault="00F368DD" w:rsidP="00F368DD">
      <w:pPr>
        <w:spacing w:line="360" w:lineRule="auto"/>
        <w:ind w:firstLine="720"/>
        <w:rPr>
          <w:sz w:val="26"/>
          <w:szCs w:val="26"/>
        </w:rPr>
      </w:pPr>
    </w:p>
    <w:p w14:paraId="0C182112" w14:textId="77777777" w:rsidR="00F368DD" w:rsidRPr="00CB17D4" w:rsidRDefault="00F368DD" w:rsidP="00F368DD">
      <w:pPr>
        <w:spacing w:after="270" w:line="360" w:lineRule="auto"/>
        <w:ind w:firstLine="720"/>
        <w:rPr>
          <w:spacing w:val="-2"/>
          <w:sz w:val="26"/>
          <w:szCs w:val="26"/>
        </w:rPr>
      </w:pPr>
      <w:r w:rsidRPr="00CB17D4">
        <w:rPr>
          <w:spacing w:val="-2"/>
          <w:sz w:val="26"/>
          <w:szCs w:val="26"/>
        </w:rPr>
        <w:t xml:space="preserve">Recognizing that conflicts may emerge when dealing with </w:t>
      </w:r>
      <w:r w:rsidR="00FD2217">
        <w:rPr>
          <w:spacing w:val="-2"/>
          <w:sz w:val="26"/>
          <w:szCs w:val="26"/>
        </w:rPr>
        <w:t>“</w:t>
      </w:r>
      <w:r w:rsidRPr="00CB17D4">
        <w:rPr>
          <w:spacing w:val="-2"/>
          <w:sz w:val="26"/>
          <w:szCs w:val="26"/>
        </w:rPr>
        <w:t>mixed</w:t>
      </w:r>
      <w:r w:rsidR="00F37440">
        <w:rPr>
          <w:spacing w:val="-2"/>
          <w:sz w:val="26"/>
          <w:szCs w:val="26"/>
        </w:rPr>
        <w:t>-</w:t>
      </w:r>
      <w:r w:rsidRPr="00CB17D4">
        <w:rPr>
          <w:spacing w:val="-2"/>
          <w:sz w:val="26"/>
          <w:szCs w:val="26"/>
        </w:rPr>
        <w:t xml:space="preserve">use” facilities, the 1934 Act </w:t>
      </w:r>
      <w:r w:rsidR="00737933">
        <w:rPr>
          <w:spacing w:val="-2"/>
          <w:sz w:val="26"/>
          <w:szCs w:val="26"/>
        </w:rPr>
        <w:t>“</w:t>
      </w:r>
      <w:r w:rsidRPr="00CB17D4">
        <w:rPr>
          <w:spacing w:val="-2"/>
          <w:sz w:val="26"/>
          <w:szCs w:val="26"/>
        </w:rPr>
        <w:t xml:space="preserve">established a process designed to resolve what is known as </w:t>
      </w:r>
      <w:r w:rsidR="00737933">
        <w:rPr>
          <w:spacing w:val="-2"/>
          <w:sz w:val="26"/>
          <w:szCs w:val="26"/>
        </w:rPr>
        <w:t>‘</w:t>
      </w:r>
      <w:r w:rsidRPr="00CB17D4">
        <w:rPr>
          <w:spacing w:val="-2"/>
          <w:sz w:val="26"/>
          <w:szCs w:val="26"/>
        </w:rPr>
        <w:t>jurisdictional separations</w:t>
      </w:r>
      <w:r w:rsidR="00737933">
        <w:rPr>
          <w:spacing w:val="-2"/>
          <w:sz w:val="26"/>
          <w:szCs w:val="26"/>
        </w:rPr>
        <w:t>’</w:t>
      </w:r>
      <w:r w:rsidRPr="00CB17D4">
        <w:rPr>
          <w:spacing w:val="-2"/>
          <w:sz w:val="26"/>
          <w:szCs w:val="26"/>
        </w:rPr>
        <w:t xml:space="preserve"> matters, by which process it may be determined what portion of an asset is employed to produce or deliver interstate as opposed to intrastate service.</w:t>
      </w:r>
      <w:r w:rsidR="00737933">
        <w:rPr>
          <w:spacing w:val="-2"/>
          <w:sz w:val="26"/>
          <w:szCs w:val="26"/>
        </w:rPr>
        <w:t>”</w:t>
      </w:r>
      <w:r w:rsidRPr="00CB17D4">
        <w:rPr>
          <w:spacing w:val="-2"/>
          <w:sz w:val="26"/>
          <w:szCs w:val="26"/>
        </w:rPr>
        <w:t xml:space="preserve">  </w:t>
      </w:r>
      <w:r w:rsidRPr="00CB17D4">
        <w:rPr>
          <w:i/>
          <w:spacing w:val="-2"/>
          <w:sz w:val="26"/>
          <w:szCs w:val="26"/>
        </w:rPr>
        <w:t>Louisiana PSC</w:t>
      </w:r>
      <w:r w:rsidRPr="00CB17D4">
        <w:rPr>
          <w:spacing w:val="-2"/>
          <w:sz w:val="26"/>
          <w:szCs w:val="26"/>
        </w:rPr>
        <w:t xml:space="preserve">, 476 U.S. at 375 (citing 47 U.S.C. §§ 221(c), 410(c)).  The United States Supreme Court explained that </w:t>
      </w:r>
      <w:r w:rsidR="00737933">
        <w:rPr>
          <w:spacing w:val="-2"/>
          <w:sz w:val="26"/>
          <w:szCs w:val="26"/>
        </w:rPr>
        <w:t>“</w:t>
      </w:r>
      <w:r w:rsidRPr="00CB17D4">
        <w:rPr>
          <w:spacing w:val="-2"/>
          <w:sz w:val="26"/>
          <w:szCs w:val="26"/>
        </w:rPr>
        <w:t>[b]ecause the separations process literally separates costs such as taxes and operating expenses between interstate and intrastate service, it facilitates the creation or recognition of distinct spheres of regulation.</w:t>
      </w:r>
      <w:r w:rsidR="00737933">
        <w:rPr>
          <w:spacing w:val="-2"/>
          <w:sz w:val="26"/>
          <w:szCs w:val="26"/>
        </w:rPr>
        <w:t>”</w:t>
      </w:r>
      <w:r w:rsidRPr="00CB17D4">
        <w:rPr>
          <w:spacing w:val="-2"/>
          <w:sz w:val="26"/>
          <w:szCs w:val="26"/>
        </w:rPr>
        <w:t xml:space="preserve"> </w:t>
      </w:r>
      <w:r w:rsidR="00737933">
        <w:rPr>
          <w:spacing w:val="-2"/>
          <w:sz w:val="26"/>
          <w:szCs w:val="26"/>
        </w:rPr>
        <w:t xml:space="preserve"> </w:t>
      </w:r>
      <w:r w:rsidRPr="00CB17D4">
        <w:rPr>
          <w:i/>
          <w:spacing w:val="-2"/>
          <w:sz w:val="26"/>
          <w:szCs w:val="26"/>
        </w:rPr>
        <w:t>Id</w:t>
      </w:r>
      <w:r w:rsidRPr="00CB17D4">
        <w:rPr>
          <w:spacing w:val="-2"/>
          <w:sz w:val="26"/>
          <w:szCs w:val="26"/>
        </w:rPr>
        <w:t xml:space="preserve">.  </w:t>
      </w:r>
      <w:r>
        <w:rPr>
          <w:spacing w:val="-2"/>
          <w:sz w:val="26"/>
          <w:szCs w:val="26"/>
        </w:rPr>
        <w:t xml:space="preserve">Pursuant to Section 221(c) of the </w:t>
      </w:r>
      <w:r w:rsidR="00784968">
        <w:rPr>
          <w:spacing w:val="-2"/>
          <w:sz w:val="26"/>
          <w:szCs w:val="26"/>
        </w:rPr>
        <w:t xml:space="preserve">1934 </w:t>
      </w:r>
      <w:r>
        <w:rPr>
          <w:spacing w:val="-2"/>
          <w:sz w:val="26"/>
          <w:szCs w:val="26"/>
        </w:rPr>
        <w:t>Act, t</w:t>
      </w:r>
      <w:r w:rsidRPr="00CB17D4">
        <w:rPr>
          <w:spacing w:val="-2"/>
          <w:sz w:val="26"/>
          <w:szCs w:val="26"/>
        </w:rPr>
        <w:t xml:space="preserve">he FCC promulgated regulations entitled </w:t>
      </w:r>
      <w:r w:rsidR="00737933">
        <w:rPr>
          <w:spacing w:val="-2"/>
          <w:sz w:val="26"/>
          <w:szCs w:val="26"/>
        </w:rPr>
        <w:t>“</w:t>
      </w:r>
      <w:r w:rsidRPr="00CB17D4">
        <w:rPr>
          <w:spacing w:val="-2"/>
          <w:sz w:val="26"/>
          <w:szCs w:val="26"/>
        </w:rPr>
        <w:t xml:space="preserve">Jurisdictional </w:t>
      </w:r>
      <w:r w:rsidRPr="00DB3169">
        <w:rPr>
          <w:spacing w:val="-2"/>
          <w:sz w:val="26"/>
          <w:szCs w:val="26"/>
        </w:rPr>
        <w:t>Separations Procedures</w:t>
      </w:r>
      <w:r w:rsidR="00737933" w:rsidRPr="00DB3169">
        <w:rPr>
          <w:spacing w:val="-2"/>
          <w:sz w:val="26"/>
          <w:szCs w:val="26"/>
        </w:rPr>
        <w:t>”</w:t>
      </w:r>
      <w:r w:rsidRPr="00DB3169">
        <w:rPr>
          <w:spacing w:val="-2"/>
          <w:sz w:val="26"/>
          <w:szCs w:val="26"/>
        </w:rPr>
        <w:t xml:space="preserve"> to delineate the appropriate jurisdictions for itself and state regulators of mixed</w:t>
      </w:r>
      <w:r w:rsidR="00DB3169" w:rsidRPr="00DB3169">
        <w:rPr>
          <w:spacing w:val="-2"/>
          <w:sz w:val="26"/>
          <w:szCs w:val="26"/>
        </w:rPr>
        <w:t>-</w:t>
      </w:r>
      <w:r w:rsidRPr="00DB3169">
        <w:rPr>
          <w:spacing w:val="-2"/>
          <w:sz w:val="26"/>
          <w:szCs w:val="26"/>
        </w:rPr>
        <w:t xml:space="preserve">used facilities.  47 U.S.C. § 221(c).  According to the FCC, the procedures </w:t>
      </w:r>
      <w:r w:rsidR="00737933" w:rsidRPr="00DB3169">
        <w:rPr>
          <w:spacing w:val="-2"/>
          <w:sz w:val="26"/>
          <w:szCs w:val="26"/>
        </w:rPr>
        <w:t>“</w:t>
      </w:r>
      <w:r w:rsidRPr="00DB3169">
        <w:rPr>
          <w:spacing w:val="-2"/>
          <w:sz w:val="26"/>
          <w:szCs w:val="26"/>
        </w:rPr>
        <w:t>are designed</w:t>
      </w:r>
      <w:r w:rsidRPr="00CB17D4">
        <w:rPr>
          <w:spacing w:val="-2"/>
          <w:sz w:val="26"/>
          <w:szCs w:val="26"/>
        </w:rPr>
        <w:t xml:space="preserve"> primarily for the allocation of property costs, revenues, expenses, taxes and reserves between state and interstate jurisdictions.</w:t>
      </w:r>
      <w:r w:rsidR="00737933">
        <w:rPr>
          <w:spacing w:val="-2"/>
          <w:sz w:val="26"/>
          <w:szCs w:val="26"/>
        </w:rPr>
        <w:t>”</w:t>
      </w:r>
      <w:r w:rsidRPr="00CB17D4">
        <w:rPr>
          <w:spacing w:val="-2"/>
          <w:sz w:val="26"/>
          <w:szCs w:val="26"/>
        </w:rPr>
        <w:t xml:space="preserve">  47 C.F.R. § 36.1(b).</w:t>
      </w:r>
    </w:p>
    <w:p w14:paraId="14B9662A" w14:textId="77777777" w:rsidR="00F368DD" w:rsidRPr="00CB17D4" w:rsidRDefault="00F368DD" w:rsidP="00F368DD">
      <w:pPr>
        <w:spacing w:line="360" w:lineRule="auto"/>
        <w:ind w:firstLine="720"/>
        <w:rPr>
          <w:sz w:val="26"/>
          <w:szCs w:val="26"/>
        </w:rPr>
      </w:pPr>
      <w:r w:rsidRPr="00CB17D4">
        <w:rPr>
          <w:spacing w:val="-3"/>
          <w:sz w:val="26"/>
          <w:szCs w:val="26"/>
        </w:rPr>
        <w:t xml:space="preserve">In 1989, the FCC revised the jurisdictional separations procedures for </w:t>
      </w:r>
      <w:r w:rsidR="00737933">
        <w:rPr>
          <w:spacing w:val="-3"/>
          <w:sz w:val="26"/>
          <w:szCs w:val="26"/>
        </w:rPr>
        <w:t>“</w:t>
      </w:r>
      <w:r w:rsidRPr="00CB17D4">
        <w:rPr>
          <w:spacing w:val="-3"/>
          <w:sz w:val="26"/>
          <w:szCs w:val="26"/>
        </w:rPr>
        <w:t>mixed</w:t>
      </w:r>
      <w:r w:rsidR="006A55AD">
        <w:rPr>
          <w:spacing w:val="-3"/>
          <w:sz w:val="26"/>
          <w:szCs w:val="26"/>
        </w:rPr>
        <w:t>-</w:t>
      </w:r>
      <w:r w:rsidRPr="00CB17D4">
        <w:rPr>
          <w:spacing w:val="-3"/>
          <w:sz w:val="26"/>
          <w:szCs w:val="26"/>
        </w:rPr>
        <w:t>use special access lines,</w:t>
      </w:r>
      <w:r w:rsidR="00737933">
        <w:rPr>
          <w:spacing w:val="-3"/>
          <w:sz w:val="26"/>
          <w:szCs w:val="26"/>
        </w:rPr>
        <w:t>”</w:t>
      </w:r>
      <w:r w:rsidRPr="00CB17D4">
        <w:rPr>
          <w:spacing w:val="-3"/>
          <w:sz w:val="26"/>
          <w:szCs w:val="26"/>
        </w:rPr>
        <w:t xml:space="preserve"> which carry both interstate and intrastate traffic.  </w:t>
      </w:r>
      <w:r w:rsidRPr="00CB17D4">
        <w:rPr>
          <w:i/>
          <w:spacing w:val="-3"/>
          <w:sz w:val="26"/>
          <w:szCs w:val="26"/>
        </w:rPr>
        <w:t>See In the Matter of MTS and WATS Mkt. Structure, Amendment of Part 36 of the Commission</w:t>
      </w:r>
      <w:r w:rsidR="00737933">
        <w:rPr>
          <w:i/>
          <w:spacing w:val="-3"/>
          <w:sz w:val="26"/>
          <w:szCs w:val="26"/>
        </w:rPr>
        <w:t>’</w:t>
      </w:r>
      <w:r w:rsidRPr="00CB17D4">
        <w:rPr>
          <w:i/>
          <w:spacing w:val="-3"/>
          <w:sz w:val="26"/>
          <w:szCs w:val="26"/>
        </w:rPr>
        <w:t>s Rules and Establishment of a Joint Bd.</w:t>
      </w:r>
      <w:r w:rsidRPr="00CB17D4">
        <w:rPr>
          <w:spacing w:val="-3"/>
          <w:sz w:val="26"/>
          <w:szCs w:val="26"/>
        </w:rPr>
        <w:t>, 4 FCC Rcd 5660, ¶ 1 (1989) (</w:t>
      </w:r>
      <w:r w:rsidRPr="00CB17D4">
        <w:rPr>
          <w:i/>
          <w:spacing w:val="-3"/>
          <w:sz w:val="26"/>
          <w:szCs w:val="26"/>
        </w:rPr>
        <w:t>Special Access</w:t>
      </w:r>
      <w:r w:rsidRPr="00CB17D4">
        <w:rPr>
          <w:spacing w:val="-3"/>
          <w:sz w:val="26"/>
          <w:szCs w:val="26"/>
        </w:rPr>
        <w:t xml:space="preserve"> </w:t>
      </w:r>
      <w:r w:rsidRPr="00CB17D4">
        <w:rPr>
          <w:i/>
          <w:spacing w:val="-3"/>
          <w:sz w:val="26"/>
          <w:szCs w:val="26"/>
        </w:rPr>
        <w:t>10% Order</w:t>
      </w:r>
      <w:r w:rsidRPr="00CB17D4">
        <w:rPr>
          <w:spacing w:val="-3"/>
          <w:sz w:val="26"/>
          <w:szCs w:val="26"/>
        </w:rPr>
        <w:t xml:space="preserve">).  The FCC explained that prior to this revision, </w:t>
      </w:r>
      <w:r w:rsidR="00737933">
        <w:rPr>
          <w:spacing w:val="-3"/>
          <w:sz w:val="26"/>
          <w:szCs w:val="26"/>
        </w:rPr>
        <w:t>“</w:t>
      </w:r>
      <w:r w:rsidRPr="00CB17D4">
        <w:rPr>
          <w:spacing w:val="-3"/>
          <w:sz w:val="26"/>
          <w:szCs w:val="26"/>
        </w:rPr>
        <w:t>the cost of special access lines carrying both state and interstate traffic [was] generally assigned to the interstate jurisdiction.</w:t>
      </w:r>
      <w:r w:rsidR="00737933">
        <w:rPr>
          <w:spacing w:val="-3"/>
          <w:sz w:val="26"/>
          <w:szCs w:val="26"/>
        </w:rPr>
        <w:t>”</w:t>
      </w:r>
      <w:r w:rsidRPr="00CB17D4">
        <w:rPr>
          <w:spacing w:val="-3"/>
          <w:sz w:val="26"/>
          <w:szCs w:val="26"/>
        </w:rPr>
        <w:t xml:space="preserve"> </w:t>
      </w:r>
      <w:r w:rsidR="00737933">
        <w:rPr>
          <w:spacing w:val="-3"/>
          <w:sz w:val="26"/>
          <w:szCs w:val="26"/>
        </w:rPr>
        <w:t xml:space="preserve"> </w:t>
      </w:r>
      <w:r w:rsidRPr="00CB17D4">
        <w:rPr>
          <w:i/>
          <w:spacing w:val="-3"/>
          <w:sz w:val="26"/>
          <w:szCs w:val="26"/>
        </w:rPr>
        <w:t xml:space="preserve">Id. </w:t>
      </w:r>
      <w:r w:rsidRPr="00CB17D4">
        <w:rPr>
          <w:spacing w:val="-3"/>
          <w:sz w:val="26"/>
          <w:szCs w:val="26"/>
        </w:rPr>
        <w:t xml:space="preserve">at ¶ 2.  This allocation was known as the </w:t>
      </w:r>
      <w:r w:rsidR="00737933">
        <w:rPr>
          <w:spacing w:val="-3"/>
          <w:sz w:val="26"/>
          <w:szCs w:val="26"/>
        </w:rPr>
        <w:t>“</w:t>
      </w:r>
      <w:r w:rsidRPr="00CB17D4">
        <w:rPr>
          <w:spacing w:val="-3"/>
          <w:sz w:val="26"/>
          <w:szCs w:val="26"/>
        </w:rPr>
        <w:t>contamination doctrine</w:t>
      </w:r>
      <w:r w:rsidR="00737933">
        <w:rPr>
          <w:spacing w:val="-3"/>
          <w:sz w:val="26"/>
          <w:szCs w:val="26"/>
        </w:rPr>
        <w:t>”</w:t>
      </w:r>
      <w:r w:rsidR="00BC43BD">
        <w:rPr>
          <w:spacing w:val="-3"/>
          <w:sz w:val="26"/>
          <w:szCs w:val="26"/>
        </w:rPr>
        <w:t>;</w:t>
      </w:r>
      <w:r w:rsidRPr="00CB17D4">
        <w:rPr>
          <w:spacing w:val="-3"/>
          <w:sz w:val="26"/>
          <w:szCs w:val="26"/>
        </w:rPr>
        <w:t xml:space="preserve"> where any interstate traffic was </w:t>
      </w:r>
      <w:r w:rsidRPr="00CB17D4">
        <w:rPr>
          <w:sz w:val="26"/>
          <w:szCs w:val="26"/>
        </w:rPr>
        <w:t xml:space="preserve">deemed to </w:t>
      </w:r>
      <w:r w:rsidR="00737933">
        <w:rPr>
          <w:sz w:val="26"/>
          <w:szCs w:val="26"/>
        </w:rPr>
        <w:t>“</w:t>
      </w:r>
      <w:r w:rsidRPr="00CB17D4">
        <w:rPr>
          <w:sz w:val="26"/>
          <w:szCs w:val="26"/>
        </w:rPr>
        <w:t>contaminate</w:t>
      </w:r>
      <w:r w:rsidR="00737933">
        <w:rPr>
          <w:sz w:val="26"/>
          <w:szCs w:val="26"/>
        </w:rPr>
        <w:t>”</w:t>
      </w:r>
      <w:r w:rsidRPr="00CB17D4">
        <w:rPr>
          <w:sz w:val="26"/>
          <w:szCs w:val="26"/>
        </w:rPr>
        <w:t xml:space="preserve"> the service, even when the facilities involved were physically located intrastate.  </w:t>
      </w:r>
      <w:r w:rsidRPr="00CB17D4">
        <w:rPr>
          <w:i/>
          <w:sz w:val="26"/>
          <w:szCs w:val="26"/>
        </w:rPr>
        <w:t>See In the Matter of MTS and WATS Mkt. Structure, Amendment of Part 36 of the Commission</w:t>
      </w:r>
      <w:r w:rsidR="00737933">
        <w:rPr>
          <w:i/>
          <w:sz w:val="26"/>
          <w:szCs w:val="26"/>
        </w:rPr>
        <w:t>’</w:t>
      </w:r>
      <w:r w:rsidRPr="00CB17D4">
        <w:rPr>
          <w:i/>
          <w:sz w:val="26"/>
          <w:szCs w:val="26"/>
        </w:rPr>
        <w:t>s Rules and Establishment of a Joint Bd.</w:t>
      </w:r>
      <w:r w:rsidRPr="00CB17D4">
        <w:rPr>
          <w:sz w:val="26"/>
          <w:szCs w:val="26"/>
        </w:rPr>
        <w:t>, 4 FCC Rcd 1352, ¶</w:t>
      </w:r>
      <w:r w:rsidR="00737933">
        <w:rPr>
          <w:sz w:val="26"/>
          <w:szCs w:val="26"/>
        </w:rPr>
        <w:t> </w:t>
      </w:r>
      <w:r w:rsidRPr="00CB17D4">
        <w:rPr>
          <w:sz w:val="26"/>
          <w:szCs w:val="26"/>
        </w:rPr>
        <w:t>5, n.14 (1989) (</w:t>
      </w:r>
      <w:r w:rsidRPr="00CB17D4">
        <w:rPr>
          <w:i/>
          <w:sz w:val="26"/>
          <w:szCs w:val="26"/>
        </w:rPr>
        <w:t>10% Recommendation</w:t>
      </w:r>
      <w:r w:rsidRPr="00CB17D4">
        <w:rPr>
          <w:sz w:val="26"/>
          <w:szCs w:val="26"/>
        </w:rPr>
        <w:t>).</w:t>
      </w:r>
    </w:p>
    <w:p w14:paraId="27911CB2" w14:textId="77777777" w:rsidR="00F368DD" w:rsidRPr="00CB17D4" w:rsidRDefault="00F368DD" w:rsidP="00F368DD">
      <w:pPr>
        <w:spacing w:line="360" w:lineRule="auto"/>
        <w:ind w:firstLine="720"/>
        <w:rPr>
          <w:sz w:val="26"/>
          <w:szCs w:val="26"/>
        </w:rPr>
      </w:pPr>
    </w:p>
    <w:p w14:paraId="05069E6D" w14:textId="30A3F623" w:rsidR="00F368DD" w:rsidRDefault="00F368DD" w:rsidP="00F368DD">
      <w:pPr>
        <w:spacing w:line="360" w:lineRule="auto"/>
        <w:ind w:firstLine="720"/>
        <w:textAlignment w:val="baseline"/>
        <w:rPr>
          <w:spacing w:val="-2"/>
          <w:sz w:val="26"/>
          <w:szCs w:val="26"/>
        </w:rPr>
      </w:pPr>
      <w:r w:rsidRPr="00CB17D4">
        <w:rPr>
          <w:sz w:val="26"/>
          <w:szCs w:val="26"/>
        </w:rPr>
        <w:t xml:space="preserve">The contamination doctrine was </w:t>
      </w:r>
      <w:r>
        <w:rPr>
          <w:sz w:val="26"/>
          <w:szCs w:val="26"/>
        </w:rPr>
        <w:t xml:space="preserve">initially </w:t>
      </w:r>
      <w:r w:rsidRPr="00CB17D4">
        <w:rPr>
          <w:sz w:val="26"/>
          <w:szCs w:val="26"/>
        </w:rPr>
        <w:t>criticized because it deprived state regulators of authority over largely intrastate private line systems that carried only small amo</w:t>
      </w:r>
      <w:r w:rsidRPr="00DB3169">
        <w:rPr>
          <w:sz w:val="26"/>
          <w:szCs w:val="26"/>
        </w:rPr>
        <w:t xml:space="preserve">unts of interstate traffic.  </w:t>
      </w:r>
      <w:r w:rsidRPr="00DB3169">
        <w:rPr>
          <w:i/>
          <w:sz w:val="26"/>
          <w:szCs w:val="26"/>
        </w:rPr>
        <w:t>Special Access</w:t>
      </w:r>
      <w:r w:rsidRPr="00DB3169">
        <w:rPr>
          <w:sz w:val="26"/>
          <w:szCs w:val="26"/>
        </w:rPr>
        <w:t xml:space="preserve"> </w:t>
      </w:r>
      <w:r w:rsidRPr="00DB3169">
        <w:rPr>
          <w:i/>
          <w:sz w:val="26"/>
          <w:szCs w:val="26"/>
        </w:rPr>
        <w:t>10% Order</w:t>
      </w:r>
      <w:r w:rsidRPr="00DB3169">
        <w:rPr>
          <w:sz w:val="26"/>
          <w:szCs w:val="26"/>
        </w:rPr>
        <w:t xml:space="preserve">, 4 FCC Rcd 5660, ¶¶ 5-6.  </w:t>
      </w:r>
      <w:bookmarkStart w:id="7" w:name="_Hlk525130319"/>
      <w:r w:rsidRPr="00DB3169">
        <w:rPr>
          <w:spacing w:val="-2"/>
          <w:sz w:val="26"/>
          <w:szCs w:val="26"/>
        </w:rPr>
        <w:t xml:space="preserve">Therefore, the FCC adopted a bright-line administrative rule known as the </w:t>
      </w:r>
      <w:r w:rsidR="00737933" w:rsidRPr="00DB3169">
        <w:rPr>
          <w:spacing w:val="-2"/>
          <w:sz w:val="26"/>
          <w:szCs w:val="26"/>
        </w:rPr>
        <w:t>“</w:t>
      </w:r>
      <w:r w:rsidRPr="00DB3169">
        <w:rPr>
          <w:spacing w:val="-2"/>
          <w:sz w:val="26"/>
          <w:szCs w:val="26"/>
        </w:rPr>
        <w:t>ten percent rule,</w:t>
      </w:r>
      <w:r w:rsidRPr="00CB17D4">
        <w:rPr>
          <w:spacing w:val="-2"/>
          <w:sz w:val="26"/>
          <w:szCs w:val="26"/>
        </w:rPr>
        <w:t xml:space="preserve"> under which interstate traffic is deemed </w:t>
      </w:r>
      <w:r w:rsidRPr="00CB17D4">
        <w:rPr>
          <w:i/>
          <w:spacing w:val="-2"/>
          <w:sz w:val="26"/>
          <w:szCs w:val="26"/>
        </w:rPr>
        <w:t xml:space="preserve">de minimis </w:t>
      </w:r>
      <w:r w:rsidRPr="00CB17D4">
        <w:rPr>
          <w:spacing w:val="-2"/>
          <w:sz w:val="26"/>
          <w:szCs w:val="26"/>
        </w:rPr>
        <w:t>when it amounts to ten percent or less of the total traffic on a special access line.  Under the ten percent contamination rule, the cost of a mixed</w:t>
      </w:r>
      <w:r w:rsidR="006A55AD">
        <w:rPr>
          <w:spacing w:val="-2"/>
          <w:sz w:val="26"/>
          <w:szCs w:val="26"/>
        </w:rPr>
        <w:t>-</w:t>
      </w:r>
      <w:r w:rsidRPr="00CB17D4">
        <w:rPr>
          <w:spacing w:val="-2"/>
          <w:sz w:val="26"/>
          <w:szCs w:val="26"/>
        </w:rPr>
        <w:t>use line is directly assigned to the interstate jurisdiction only if the line carries interstate traffic in a proportion greater than ten percent.</w:t>
      </w:r>
      <w:r w:rsidR="00DB3169">
        <w:rPr>
          <w:spacing w:val="-2"/>
          <w:sz w:val="26"/>
          <w:szCs w:val="26"/>
        </w:rPr>
        <w:t>”</w:t>
      </w:r>
      <w:r w:rsidRPr="00CB17D4">
        <w:rPr>
          <w:spacing w:val="-2"/>
          <w:sz w:val="26"/>
          <w:szCs w:val="26"/>
        </w:rPr>
        <w:t xml:space="preserve"> </w:t>
      </w:r>
      <w:r w:rsidR="00CB346B">
        <w:rPr>
          <w:spacing w:val="-2"/>
          <w:sz w:val="26"/>
          <w:szCs w:val="26"/>
        </w:rPr>
        <w:t xml:space="preserve"> </w:t>
      </w:r>
      <w:r w:rsidRPr="00CB17D4">
        <w:rPr>
          <w:i/>
          <w:spacing w:val="-2"/>
          <w:sz w:val="26"/>
          <w:szCs w:val="26"/>
        </w:rPr>
        <w:t>Id</w:t>
      </w:r>
      <w:r w:rsidRPr="00CB17D4">
        <w:rPr>
          <w:spacing w:val="-2"/>
          <w:sz w:val="26"/>
          <w:szCs w:val="26"/>
        </w:rPr>
        <w:t xml:space="preserve">. at ¶¶ 2, 6-7; </w:t>
      </w:r>
      <w:r w:rsidRPr="00CB17D4">
        <w:rPr>
          <w:i/>
          <w:spacing w:val="-2"/>
          <w:sz w:val="26"/>
          <w:szCs w:val="26"/>
        </w:rPr>
        <w:t xml:space="preserve">see also </w:t>
      </w:r>
      <w:r w:rsidRPr="00CB17D4">
        <w:rPr>
          <w:spacing w:val="-2"/>
          <w:sz w:val="26"/>
          <w:szCs w:val="26"/>
        </w:rPr>
        <w:t>47</w:t>
      </w:r>
      <w:r w:rsidR="00737933">
        <w:rPr>
          <w:spacing w:val="-2"/>
          <w:sz w:val="26"/>
          <w:szCs w:val="26"/>
        </w:rPr>
        <w:t> </w:t>
      </w:r>
      <w:r w:rsidRPr="00CB17D4">
        <w:rPr>
          <w:spacing w:val="-2"/>
          <w:sz w:val="26"/>
          <w:szCs w:val="26"/>
        </w:rPr>
        <w:t xml:space="preserve">C.F.R. § 36.154(a)-(b).  </w:t>
      </w:r>
      <w:bookmarkEnd w:id="7"/>
      <w:r w:rsidR="00924A92">
        <w:rPr>
          <w:spacing w:val="-2"/>
          <w:sz w:val="26"/>
          <w:szCs w:val="26"/>
        </w:rPr>
        <w:t xml:space="preserve">Accordingly, if ten percent or more of the traffic on a mixed-use special access line is interstate, then </w:t>
      </w:r>
      <w:proofErr w:type="gramStart"/>
      <w:r w:rsidR="00924A92">
        <w:rPr>
          <w:spacing w:val="-2"/>
          <w:sz w:val="26"/>
          <w:szCs w:val="26"/>
        </w:rPr>
        <w:t>all of</w:t>
      </w:r>
      <w:proofErr w:type="gramEnd"/>
      <w:r w:rsidR="00924A92">
        <w:rPr>
          <w:spacing w:val="-2"/>
          <w:sz w:val="26"/>
          <w:szCs w:val="26"/>
        </w:rPr>
        <w:t xml:space="preserve"> the traffic for that line is considered interstate</w:t>
      </w:r>
      <w:r w:rsidR="00ED26B3">
        <w:rPr>
          <w:spacing w:val="-2"/>
          <w:sz w:val="26"/>
          <w:szCs w:val="26"/>
        </w:rPr>
        <w:t xml:space="preserve">; in other words, the 90% of </w:t>
      </w:r>
      <w:r w:rsidR="004F4E42">
        <w:rPr>
          <w:spacing w:val="-2"/>
          <w:sz w:val="26"/>
          <w:szCs w:val="26"/>
        </w:rPr>
        <w:t>a</w:t>
      </w:r>
      <w:r w:rsidR="00ED26B3">
        <w:rPr>
          <w:spacing w:val="-2"/>
          <w:sz w:val="26"/>
          <w:szCs w:val="26"/>
        </w:rPr>
        <w:t xml:space="preserve"> carrier’s traffic that is in fact geographically </w:t>
      </w:r>
      <w:r w:rsidR="00ED26B3" w:rsidRPr="00E714B7">
        <w:rPr>
          <w:i/>
          <w:spacing w:val="-2"/>
          <w:sz w:val="26"/>
          <w:szCs w:val="26"/>
        </w:rPr>
        <w:t>intrastate</w:t>
      </w:r>
      <w:r w:rsidR="00ED26B3">
        <w:rPr>
          <w:spacing w:val="-2"/>
          <w:sz w:val="26"/>
          <w:szCs w:val="26"/>
        </w:rPr>
        <w:t xml:space="preserve"> is deemed to be </w:t>
      </w:r>
      <w:r w:rsidR="00ED26B3" w:rsidRPr="00E714B7">
        <w:rPr>
          <w:i/>
          <w:spacing w:val="-2"/>
          <w:sz w:val="26"/>
          <w:szCs w:val="26"/>
        </w:rPr>
        <w:t>interstate</w:t>
      </w:r>
      <w:r w:rsidR="00ED26B3">
        <w:rPr>
          <w:spacing w:val="-2"/>
          <w:sz w:val="26"/>
          <w:szCs w:val="26"/>
        </w:rPr>
        <w:t xml:space="preserve"> for jurisdictional </w:t>
      </w:r>
      <w:r w:rsidR="00335C31">
        <w:rPr>
          <w:spacing w:val="-2"/>
          <w:sz w:val="26"/>
          <w:szCs w:val="26"/>
        </w:rPr>
        <w:t xml:space="preserve">separations </w:t>
      </w:r>
      <w:r w:rsidR="00ED26B3">
        <w:rPr>
          <w:spacing w:val="-2"/>
          <w:sz w:val="26"/>
          <w:szCs w:val="26"/>
        </w:rPr>
        <w:t>purposes</w:t>
      </w:r>
      <w:r w:rsidR="00924A92">
        <w:rPr>
          <w:spacing w:val="-2"/>
          <w:sz w:val="26"/>
          <w:szCs w:val="26"/>
        </w:rPr>
        <w:t>.</w:t>
      </w:r>
      <w:r w:rsidR="00E1579B">
        <w:rPr>
          <w:spacing w:val="-2"/>
          <w:sz w:val="26"/>
          <w:szCs w:val="26"/>
        </w:rPr>
        <w:t xml:space="preserve">  </w:t>
      </w:r>
      <w:r w:rsidR="00123350">
        <w:rPr>
          <w:spacing w:val="-2"/>
          <w:sz w:val="26"/>
          <w:szCs w:val="26"/>
        </w:rPr>
        <w:t>Under this scenario</w:t>
      </w:r>
      <w:r w:rsidR="00E1579B">
        <w:rPr>
          <w:spacing w:val="-2"/>
          <w:sz w:val="26"/>
          <w:szCs w:val="26"/>
        </w:rPr>
        <w:t xml:space="preserve">, </w:t>
      </w:r>
      <w:r w:rsidR="00123350">
        <w:rPr>
          <w:spacing w:val="-2"/>
          <w:sz w:val="26"/>
          <w:szCs w:val="26"/>
        </w:rPr>
        <w:t xml:space="preserve">however, </w:t>
      </w:r>
      <w:r w:rsidR="00E1579B">
        <w:rPr>
          <w:spacing w:val="-2"/>
          <w:sz w:val="26"/>
          <w:szCs w:val="26"/>
        </w:rPr>
        <w:t xml:space="preserve">a carrier’s traffic </w:t>
      </w:r>
      <w:r w:rsidR="00123350">
        <w:rPr>
          <w:spacing w:val="-2"/>
          <w:sz w:val="26"/>
          <w:szCs w:val="26"/>
        </w:rPr>
        <w:t xml:space="preserve">also </w:t>
      </w:r>
      <w:r w:rsidR="00E1579B">
        <w:rPr>
          <w:spacing w:val="-2"/>
          <w:sz w:val="26"/>
          <w:szCs w:val="26"/>
        </w:rPr>
        <w:t xml:space="preserve">may </w:t>
      </w:r>
      <w:proofErr w:type="gramStart"/>
      <w:r w:rsidR="00E1579B">
        <w:rPr>
          <w:spacing w:val="-2"/>
          <w:sz w:val="26"/>
          <w:szCs w:val="26"/>
        </w:rPr>
        <w:t>be considered to be</w:t>
      </w:r>
      <w:proofErr w:type="gramEnd"/>
      <w:r w:rsidR="00E1579B">
        <w:rPr>
          <w:spacing w:val="-2"/>
          <w:sz w:val="26"/>
          <w:szCs w:val="26"/>
        </w:rPr>
        <w:t xml:space="preserve"> 90% </w:t>
      </w:r>
      <w:r w:rsidR="00E1579B" w:rsidRPr="00217969">
        <w:rPr>
          <w:i/>
          <w:spacing w:val="-2"/>
          <w:sz w:val="26"/>
          <w:szCs w:val="26"/>
        </w:rPr>
        <w:t>de facto</w:t>
      </w:r>
      <w:r w:rsidR="00E1579B">
        <w:rPr>
          <w:spacing w:val="-2"/>
          <w:sz w:val="26"/>
          <w:szCs w:val="26"/>
        </w:rPr>
        <w:t xml:space="preserve"> intrastate. </w:t>
      </w:r>
    </w:p>
    <w:p w14:paraId="69F87331" w14:textId="77777777" w:rsidR="00F368DD" w:rsidRDefault="00F368DD" w:rsidP="00F368DD">
      <w:pPr>
        <w:spacing w:line="360" w:lineRule="auto"/>
        <w:ind w:firstLine="720"/>
        <w:textAlignment w:val="baseline"/>
        <w:rPr>
          <w:spacing w:val="-2"/>
          <w:sz w:val="26"/>
          <w:szCs w:val="26"/>
        </w:rPr>
      </w:pPr>
    </w:p>
    <w:p w14:paraId="7B681675" w14:textId="77777777" w:rsidR="00F368DD" w:rsidRPr="00CB17D4" w:rsidRDefault="00F368DD" w:rsidP="00F368DD">
      <w:pPr>
        <w:spacing w:line="360" w:lineRule="auto"/>
        <w:ind w:firstLine="720"/>
        <w:textAlignment w:val="baseline"/>
        <w:rPr>
          <w:spacing w:val="-2"/>
          <w:sz w:val="26"/>
          <w:szCs w:val="26"/>
        </w:rPr>
      </w:pPr>
      <w:r w:rsidRPr="00CB17D4">
        <w:rPr>
          <w:spacing w:val="-2"/>
          <w:sz w:val="26"/>
          <w:szCs w:val="26"/>
        </w:rPr>
        <w:t xml:space="preserve">The FCC concluded that the new rule would </w:t>
      </w:r>
      <w:r w:rsidR="00737933">
        <w:rPr>
          <w:spacing w:val="-2"/>
          <w:sz w:val="26"/>
          <w:szCs w:val="26"/>
        </w:rPr>
        <w:t>“</w:t>
      </w:r>
      <w:r w:rsidRPr="00CB17D4">
        <w:rPr>
          <w:spacing w:val="-2"/>
          <w:sz w:val="26"/>
          <w:szCs w:val="26"/>
        </w:rPr>
        <w:t>resolve existing concerns in a manner that reasonably recognizes state and federal regulatory interests and fosters administrative simplicity and economic efficiency.</w:t>
      </w:r>
      <w:r w:rsidR="00737933">
        <w:rPr>
          <w:spacing w:val="-2"/>
          <w:sz w:val="26"/>
          <w:szCs w:val="26"/>
        </w:rPr>
        <w:t>”</w:t>
      </w:r>
      <w:r w:rsidRPr="00CB17D4">
        <w:rPr>
          <w:spacing w:val="-2"/>
          <w:sz w:val="26"/>
          <w:szCs w:val="26"/>
        </w:rPr>
        <w:t xml:space="preserve"> </w:t>
      </w:r>
      <w:r w:rsidR="00737933">
        <w:rPr>
          <w:spacing w:val="-2"/>
          <w:sz w:val="26"/>
          <w:szCs w:val="26"/>
        </w:rPr>
        <w:t xml:space="preserve"> </w:t>
      </w:r>
      <w:r w:rsidRPr="00CB17D4">
        <w:rPr>
          <w:i/>
          <w:spacing w:val="-2"/>
          <w:sz w:val="26"/>
          <w:szCs w:val="26"/>
        </w:rPr>
        <w:t>Special Access</w:t>
      </w:r>
      <w:r w:rsidRPr="00CB17D4">
        <w:rPr>
          <w:spacing w:val="-2"/>
          <w:sz w:val="26"/>
          <w:szCs w:val="26"/>
        </w:rPr>
        <w:t xml:space="preserve"> </w:t>
      </w:r>
      <w:r w:rsidRPr="00CB17D4">
        <w:rPr>
          <w:i/>
          <w:spacing w:val="-2"/>
          <w:sz w:val="26"/>
          <w:szCs w:val="26"/>
        </w:rPr>
        <w:t>10% Order</w:t>
      </w:r>
      <w:r w:rsidRPr="00CB17D4">
        <w:rPr>
          <w:spacing w:val="-2"/>
          <w:sz w:val="26"/>
          <w:szCs w:val="26"/>
        </w:rPr>
        <w:t xml:space="preserve">, 4 FCC Rcd 5660, ¶ 6 (footnote omitted).  Accordingly, if the interstate traffic is greater than the ten percent threshold the carrier has to file a tariff with the FCC for such service.  </w:t>
      </w:r>
      <w:r w:rsidRPr="00CB17D4">
        <w:rPr>
          <w:i/>
          <w:spacing w:val="-2"/>
          <w:sz w:val="26"/>
          <w:szCs w:val="26"/>
        </w:rPr>
        <w:t>See</w:t>
      </w:r>
      <w:r w:rsidRPr="00CB17D4">
        <w:rPr>
          <w:spacing w:val="-2"/>
          <w:sz w:val="26"/>
          <w:szCs w:val="26"/>
        </w:rPr>
        <w:t xml:space="preserve"> 47 C.F.R. §</w:t>
      </w:r>
      <w:r w:rsidR="00737933">
        <w:rPr>
          <w:spacing w:val="-2"/>
          <w:sz w:val="26"/>
          <w:szCs w:val="26"/>
        </w:rPr>
        <w:t> </w:t>
      </w:r>
      <w:r w:rsidRPr="00CB17D4">
        <w:rPr>
          <w:spacing w:val="-2"/>
          <w:sz w:val="26"/>
          <w:szCs w:val="26"/>
        </w:rPr>
        <w:t>36.154(a).</w:t>
      </w:r>
    </w:p>
    <w:p w14:paraId="633289C7" w14:textId="77777777" w:rsidR="00FD2217" w:rsidRDefault="00FD2217" w:rsidP="00F368DD">
      <w:pPr>
        <w:spacing w:line="360" w:lineRule="auto"/>
        <w:ind w:firstLine="720"/>
        <w:rPr>
          <w:sz w:val="26"/>
          <w:szCs w:val="26"/>
        </w:rPr>
      </w:pPr>
    </w:p>
    <w:p w14:paraId="24DC7A20" w14:textId="77777777" w:rsidR="00F368DD" w:rsidRPr="00A84E9C" w:rsidRDefault="0076506D" w:rsidP="00A84E9C">
      <w:pPr>
        <w:spacing w:line="360" w:lineRule="auto"/>
        <w:rPr>
          <w:b/>
          <w:sz w:val="26"/>
          <w:szCs w:val="26"/>
        </w:rPr>
      </w:pPr>
      <w:r>
        <w:rPr>
          <w:b/>
          <w:sz w:val="26"/>
          <w:szCs w:val="26"/>
        </w:rPr>
        <w:t xml:space="preserve">Preemption and </w:t>
      </w:r>
      <w:r w:rsidR="004B59A3">
        <w:rPr>
          <w:b/>
          <w:sz w:val="26"/>
          <w:szCs w:val="26"/>
        </w:rPr>
        <w:t>Jurisdictionally-Mixed Services</w:t>
      </w:r>
    </w:p>
    <w:p w14:paraId="3945E781" w14:textId="164C916D" w:rsidR="0076506D" w:rsidRDefault="0076506D" w:rsidP="00924A92">
      <w:pPr>
        <w:spacing w:line="360" w:lineRule="auto"/>
        <w:ind w:firstLine="720"/>
        <w:textAlignment w:val="baseline"/>
        <w:rPr>
          <w:rFonts w:eastAsia="Calibri"/>
          <w:sz w:val="26"/>
          <w:szCs w:val="26"/>
        </w:rPr>
      </w:pPr>
      <w:r>
        <w:rPr>
          <w:rFonts w:eastAsia="Calibri"/>
          <w:sz w:val="26"/>
          <w:szCs w:val="26"/>
        </w:rPr>
        <w:t xml:space="preserve">Based upon their responses to our Secretarial letter, it appears that those </w:t>
      </w:r>
      <w:r w:rsidRPr="0076506D">
        <w:rPr>
          <w:rFonts w:eastAsia="Calibri"/>
          <w:sz w:val="26"/>
          <w:szCs w:val="26"/>
        </w:rPr>
        <w:t xml:space="preserve">jurisdictional telecommunications public utilities in Pennsylvania offering </w:t>
      </w:r>
      <w:r w:rsidRPr="0076506D">
        <w:rPr>
          <w:rFonts w:eastAsia="Calibri"/>
          <w:bCs/>
          <w:sz w:val="26"/>
          <w:szCs w:val="26"/>
        </w:rPr>
        <w:t>special access or other similar jurisdictionally-mixed telecommunications services</w:t>
      </w:r>
      <w:r w:rsidRPr="0076506D">
        <w:rPr>
          <w:rFonts w:eastAsia="Calibri"/>
          <w:bCs/>
          <w:sz w:val="26"/>
          <w:szCs w:val="26"/>
          <w:vertAlign w:val="superscript"/>
        </w:rPr>
        <w:footnoteReference w:id="4"/>
      </w:r>
      <w:r w:rsidRPr="0076506D">
        <w:rPr>
          <w:rFonts w:eastAsia="Calibri"/>
          <w:bCs/>
          <w:sz w:val="26"/>
          <w:szCs w:val="26"/>
        </w:rPr>
        <w:t xml:space="preserve"> report zero gross intrastate revenues to the Commission</w:t>
      </w:r>
      <w:r>
        <w:rPr>
          <w:rFonts w:eastAsia="Calibri"/>
          <w:bCs/>
          <w:sz w:val="26"/>
          <w:szCs w:val="26"/>
        </w:rPr>
        <w:t xml:space="preserve"> because it is their belief that </w:t>
      </w:r>
      <w:r w:rsidRPr="0076506D">
        <w:rPr>
          <w:rFonts w:eastAsia="Calibri"/>
          <w:bCs/>
          <w:sz w:val="26"/>
          <w:szCs w:val="26"/>
        </w:rPr>
        <w:t xml:space="preserve">the FCC has exclusive jurisdiction over </w:t>
      </w:r>
      <w:r w:rsidR="005B1675">
        <w:rPr>
          <w:rFonts w:eastAsia="Calibri"/>
          <w:bCs/>
          <w:sz w:val="26"/>
          <w:szCs w:val="26"/>
        </w:rPr>
        <w:t xml:space="preserve">special </w:t>
      </w:r>
      <w:r>
        <w:rPr>
          <w:rFonts w:eastAsia="Calibri"/>
          <w:bCs/>
          <w:sz w:val="26"/>
          <w:szCs w:val="26"/>
        </w:rPr>
        <w:t xml:space="preserve">access </w:t>
      </w:r>
      <w:r w:rsidRPr="0076506D">
        <w:rPr>
          <w:rFonts w:eastAsia="Calibri"/>
          <w:bCs/>
          <w:sz w:val="26"/>
          <w:szCs w:val="26"/>
        </w:rPr>
        <w:t xml:space="preserve">lines </w:t>
      </w:r>
      <w:r>
        <w:rPr>
          <w:rFonts w:eastAsia="Calibri"/>
          <w:bCs/>
          <w:sz w:val="26"/>
          <w:szCs w:val="26"/>
        </w:rPr>
        <w:t xml:space="preserve">implicated by the ten percent contamination rule.  Nevertheless, </w:t>
      </w:r>
      <w:r w:rsidR="00ED26B3">
        <w:rPr>
          <w:rFonts w:eastAsia="Calibri"/>
          <w:bCs/>
          <w:sz w:val="26"/>
          <w:szCs w:val="26"/>
        </w:rPr>
        <w:t xml:space="preserve">given the differing purposes of the FCC’s ten percent contamination rule and the Section 510 assessment process, </w:t>
      </w:r>
      <w:r w:rsidR="00E1579B">
        <w:rPr>
          <w:rFonts w:eastAsia="Calibri"/>
          <w:bCs/>
          <w:sz w:val="26"/>
          <w:szCs w:val="26"/>
        </w:rPr>
        <w:t xml:space="preserve">the Commission believes </w:t>
      </w:r>
      <w:r w:rsidR="004F4E42">
        <w:rPr>
          <w:rFonts w:eastAsia="Calibri"/>
          <w:bCs/>
          <w:sz w:val="26"/>
          <w:szCs w:val="26"/>
        </w:rPr>
        <w:t xml:space="preserve">that the </w:t>
      </w:r>
      <w:r>
        <w:rPr>
          <w:rFonts w:eastAsia="Calibri"/>
          <w:bCs/>
          <w:sz w:val="26"/>
          <w:szCs w:val="26"/>
        </w:rPr>
        <w:t>ten percent contamination</w:t>
      </w:r>
      <w:r>
        <w:rPr>
          <w:rFonts w:eastAsia="Calibri"/>
          <w:sz w:val="26"/>
          <w:szCs w:val="26"/>
        </w:rPr>
        <w:t xml:space="preserve"> rule </w:t>
      </w:r>
      <w:r w:rsidR="00E1579B">
        <w:rPr>
          <w:rFonts w:eastAsia="Calibri"/>
          <w:sz w:val="26"/>
          <w:szCs w:val="26"/>
        </w:rPr>
        <w:t xml:space="preserve">does not </w:t>
      </w:r>
      <w:r>
        <w:rPr>
          <w:rFonts w:eastAsia="Calibri"/>
          <w:sz w:val="26"/>
          <w:szCs w:val="26"/>
        </w:rPr>
        <w:t xml:space="preserve">preempt </w:t>
      </w:r>
      <w:r w:rsidR="004F4E42">
        <w:rPr>
          <w:rFonts w:eastAsia="Calibri"/>
          <w:sz w:val="26"/>
          <w:szCs w:val="26"/>
        </w:rPr>
        <w:t>the Commission</w:t>
      </w:r>
      <w:r>
        <w:rPr>
          <w:rFonts w:eastAsia="Calibri"/>
          <w:sz w:val="26"/>
          <w:szCs w:val="26"/>
        </w:rPr>
        <w:t xml:space="preserve"> from requiring jurisdictional telecommunications carriers </w:t>
      </w:r>
      <w:r>
        <w:rPr>
          <w:rFonts w:eastAsia="Calibri"/>
          <w:bCs/>
          <w:sz w:val="26"/>
          <w:szCs w:val="26"/>
        </w:rPr>
        <w:t xml:space="preserve">to file their </w:t>
      </w:r>
      <w:r w:rsidRPr="0076506D">
        <w:rPr>
          <w:rFonts w:eastAsia="Calibri"/>
          <w:i/>
          <w:sz w:val="26"/>
          <w:szCs w:val="26"/>
        </w:rPr>
        <w:t>de facto</w:t>
      </w:r>
      <w:r w:rsidRPr="0076506D">
        <w:rPr>
          <w:rFonts w:eastAsia="Calibri"/>
          <w:sz w:val="26"/>
          <w:szCs w:val="26"/>
        </w:rPr>
        <w:t xml:space="preserve"> gross intrastate </w:t>
      </w:r>
      <w:r w:rsidR="004F4E42">
        <w:rPr>
          <w:rFonts w:eastAsia="Calibri"/>
          <w:sz w:val="26"/>
          <w:szCs w:val="26"/>
        </w:rPr>
        <w:t xml:space="preserve">operating </w:t>
      </w:r>
      <w:r w:rsidRPr="0076506D">
        <w:rPr>
          <w:rFonts w:eastAsia="Calibri"/>
          <w:sz w:val="26"/>
          <w:szCs w:val="26"/>
        </w:rPr>
        <w:t>revenues with the Commission</w:t>
      </w:r>
      <w:r>
        <w:rPr>
          <w:rFonts w:eastAsia="Calibri"/>
          <w:sz w:val="26"/>
          <w:szCs w:val="26"/>
        </w:rPr>
        <w:t xml:space="preserve"> for their mixed</w:t>
      </w:r>
      <w:r w:rsidR="001A2915">
        <w:rPr>
          <w:rFonts w:eastAsia="Calibri"/>
          <w:sz w:val="26"/>
          <w:szCs w:val="26"/>
        </w:rPr>
        <w:t>-</w:t>
      </w:r>
      <w:r>
        <w:rPr>
          <w:rFonts w:eastAsia="Calibri"/>
          <w:sz w:val="26"/>
          <w:szCs w:val="26"/>
        </w:rPr>
        <w:t xml:space="preserve">use </w:t>
      </w:r>
      <w:r w:rsidR="001A2915">
        <w:rPr>
          <w:rFonts w:eastAsia="Calibri"/>
          <w:sz w:val="26"/>
          <w:szCs w:val="26"/>
        </w:rPr>
        <w:t xml:space="preserve">access </w:t>
      </w:r>
      <w:r>
        <w:rPr>
          <w:rFonts w:eastAsia="Calibri"/>
          <w:sz w:val="26"/>
          <w:szCs w:val="26"/>
        </w:rPr>
        <w:t>lines</w:t>
      </w:r>
      <w:r w:rsidR="001A2915">
        <w:rPr>
          <w:rFonts w:eastAsia="Calibri"/>
          <w:sz w:val="26"/>
          <w:szCs w:val="26"/>
        </w:rPr>
        <w:t xml:space="preserve"> </w:t>
      </w:r>
      <w:proofErr w:type="gramStart"/>
      <w:r w:rsidR="001A2915">
        <w:rPr>
          <w:rFonts w:eastAsia="Calibri"/>
          <w:sz w:val="26"/>
          <w:szCs w:val="26"/>
        </w:rPr>
        <w:t>in order to</w:t>
      </w:r>
      <w:proofErr w:type="gramEnd"/>
      <w:r w:rsidR="001A2915">
        <w:rPr>
          <w:rFonts w:eastAsia="Calibri"/>
          <w:sz w:val="26"/>
          <w:szCs w:val="26"/>
        </w:rPr>
        <w:t xml:space="preserve"> </w:t>
      </w:r>
      <w:r w:rsidRPr="0076506D">
        <w:rPr>
          <w:rFonts w:eastAsia="Calibri"/>
          <w:sz w:val="26"/>
          <w:szCs w:val="26"/>
        </w:rPr>
        <w:t xml:space="preserve">pay </w:t>
      </w:r>
      <w:r w:rsidR="001A2915">
        <w:rPr>
          <w:rFonts w:eastAsia="Calibri"/>
          <w:sz w:val="26"/>
          <w:szCs w:val="26"/>
        </w:rPr>
        <w:t xml:space="preserve">their </w:t>
      </w:r>
      <w:r w:rsidRPr="0076506D">
        <w:rPr>
          <w:rFonts w:eastAsia="Calibri"/>
          <w:sz w:val="26"/>
          <w:szCs w:val="26"/>
        </w:rPr>
        <w:t xml:space="preserve">reasonable share of the costs of administering the Code pursuant to Section 510.  </w:t>
      </w:r>
    </w:p>
    <w:p w14:paraId="1273C10E" w14:textId="77777777" w:rsidR="00511EB0" w:rsidRDefault="00511EB0" w:rsidP="00924A92">
      <w:pPr>
        <w:spacing w:line="360" w:lineRule="auto"/>
        <w:ind w:firstLine="720"/>
        <w:textAlignment w:val="baseline"/>
        <w:rPr>
          <w:rFonts w:eastAsia="Calibri"/>
          <w:sz w:val="26"/>
          <w:szCs w:val="26"/>
        </w:rPr>
      </w:pPr>
    </w:p>
    <w:p w14:paraId="29A99999" w14:textId="418EAA7E" w:rsidR="00924A92" w:rsidRPr="00924A92" w:rsidRDefault="00924A92" w:rsidP="00924A92">
      <w:pPr>
        <w:spacing w:line="360" w:lineRule="auto"/>
        <w:ind w:firstLine="720"/>
        <w:textAlignment w:val="baseline"/>
        <w:rPr>
          <w:rFonts w:eastAsia="Calibri"/>
          <w:sz w:val="26"/>
          <w:szCs w:val="26"/>
        </w:rPr>
      </w:pPr>
      <w:r w:rsidRPr="00924A92">
        <w:rPr>
          <w:rFonts w:eastAsia="Calibri"/>
          <w:sz w:val="26"/>
          <w:szCs w:val="26"/>
        </w:rPr>
        <w:t xml:space="preserve">The federal government may preempt state law in one of three ways.  First, Congress may explicitly state its intent to preempt state action.  </w:t>
      </w:r>
      <w:r w:rsidRPr="00924A92">
        <w:rPr>
          <w:rFonts w:eastAsia="Calibri"/>
          <w:i/>
          <w:iCs/>
          <w:sz w:val="26"/>
          <w:szCs w:val="26"/>
        </w:rPr>
        <w:t xml:space="preserve">See, e.g., </w:t>
      </w:r>
      <w:r w:rsidRPr="00924A92">
        <w:rPr>
          <w:rFonts w:eastAsia="Calibri"/>
          <w:i/>
          <w:sz w:val="26"/>
          <w:szCs w:val="26"/>
        </w:rPr>
        <w:t>Jones v. Rath Packing Co.</w:t>
      </w:r>
      <w:r w:rsidRPr="00924A92">
        <w:rPr>
          <w:rFonts w:eastAsia="Calibri"/>
          <w:sz w:val="26"/>
          <w:szCs w:val="26"/>
        </w:rPr>
        <w:t xml:space="preserve">, 430 </w:t>
      </w:r>
      <w:r w:rsidRPr="00924A92">
        <w:rPr>
          <w:rFonts w:eastAsia="Calibri"/>
          <w:bCs/>
          <w:sz w:val="26"/>
          <w:szCs w:val="26"/>
        </w:rPr>
        <w:t xml:space="preserve">U.S. 519, 525 (1977).  </w:t>
      </w:r>
      <w:r w:rsidRPr="00924A92">
        <w:rPr>
          <w:rFonts w:eastAsia="Calibri"/>
          <w:sz w:val="26"/>
          <w:szCs w:val="26"/>
        </w:rPr>
        <w:t xml:space="preserve">Second, courts may imply congressional intent to preempt state action where federal legislation completely occupies a given field.  </w:t>
      </w:r>
      <w:r w:rsidRPr="00924A92">
        <w:rPr>
          <w:rFonts w:eastAsia="Calibri"/>
          <w:i/>
          <w:iCs/>
          <w:sz w:val="26"/>
          <w:szCs w:val="26"/>
        </w:rPr>
        <w:t xml:space="preserve">See, e.g., </w:t>
      </w:r>
      <w:r w:rsidRPr="00924A92">
        <w:rPr>
          <w:rFonts w:eastAsia="Calibri"/>
          <w:i/>
          <w:sz w:val="26"/>
          <w:szCs w:val="26"/>
        </w:rPr>
        <w:t>Rice v. Santa Fe Elevator Corp.</w:t>
      </w:r>
      <w:r w:rsidRPr="00924A92">
        <w:rPr>
          <w:rFonts w:eastAsia="Calibri"/>
          <w:sz w:val="26"/>
          <w:szCs w:val="26"/>
        </w:rPr>
        <w:t xml:space="preserve">, </w:t>
      </w:r>
      <w:r w:rsidRPr="00924A92">
        <w:rPr>
          <w:rFonts w:eastAsia="Calibri"/>
          <w:bCs/>
          <w:sz w:val="26"/>
          <w:szCs w:val="26"/>
        </w:rPr>
        <w:t xml:space="preserve">331 U.S. 218, 230 </w:t>
      </w:r>
      <w:r w:rsidRPr="00924A92">
        <w:rPr>
          <w:rFonts w:eastAsia="Calibri"/>
          <w:sz w:val="26"/>
          <w:szCs w:val="26"/>
        </w:rPr>
        <w:t xml:space="preserve">(1947).  Finally, preemption may be implied where the state action would </w:t>
      </w:r>
      <w:proofErr w:type="gramStart"/>
      <w:r w:rsidRPr="00924A92">
        <w:rPr>
          <w:rFonts w:eastAsia="Calibri"/>
          <w:sz w:val="26"/>
          <w:szCs w:val="26"/>
        </w:rPr>
        <w:t>actually conflict</w:t>
      </w:r>
      <w:proofErr w:type="gramEnd"/>
      <w:r w:rsidRPr="00924A92">
        <w:rPr>
          <w:rFonts w:eastAsia="Calibri"/>
          <w:sz w:val="26"/>
          <w:szCs w:val="26"/>
        </w:rPr>
        <w:t xml:space="preserve"> with the federal law or its purposes. </w:t>
      </w:r>
      <w:r w:rsidR="0043780E">
        <w:rPr>
          <w:rFonts w:eastAsia="Calibri"/>
          <w:sz w:val="26"/>
          <w:szCs w:val="26"/>
        </w:rPr>
        <w:t xml:space="preserve"> </w:t>
      </w:r>
      <w:r w:rsidRPr="00924A92">
        <w:rPr>
          <w:rFonts w:eastAsia="Calibri"/>
          <w:i/>
          <w:iCs/>
          <w:sz w:val="26"/>
          <w:szCs w:val="26"/>
        </w:rPr>
        <w:t xml:space="preserve">See, e.g., </w:t>
      </w:r>
      <w:r w:rsidRPr="00924A92">
        <w:rPr>
          <w:rFonts w:eastAsia="Calibri"/>
          <w:i/>
          <w:sz w:val="26"/>
          <w:szCs w:val="26"/>
        </w:rPr>
        <w:t xml:space="preserve">Florida Lime </w:t>
      </w:r>
      <w:r w:rsidRPr="00924A92">
        <w:rPr>
          <w:rFonts w:eastAsia="Calibri"/>
          <w:bCs/>
          <w:i/>
          <w:sz w:val="26"/>
          <w:szCs w:val="26"/>
        </w:rPr>
        <w:t xml:space="preserve">&amp; </w:t>
      </w:r>
      <w:r w:rsidRPr="00924A92">
        <w:rPr>
          <w:rFonts w:eastAsia="Calibri"/>
          <w:i/>
          <w:sz w:val="26"/>
          <w:szCs w:val="26"/>
        </w:rPr>
        <w:t>Avocado Growers, Inc. v. Paul</w:t>
      </w:r>
      <w:r w:rsidRPr="00924A92">
        <w:rPr>
          <w:rFonts w:eastAsia="Calibri"/>
          <w:sz w:val="26"/>
          <w:szCs w:val="26"/>
        </w:rPr>
        <w:t xml:space="preserve">, </w:t>
      </w:r>
      <w:r w:rsidRPr="00924A92">
        <w:rPr>
          <w:rFonts w:eastAsia="Calibri"/>
          <w:bCs/>
          <w:sz w:val="26"/>
          <w:szCs w:val="26"/>
        </w:rPr>
        <w:t xml:space="preserve">373 U.S. 132, </w:t>
      </w:r>
      <w:r w:rsidRPr="00924A92">
        <w:rPr>
          <w:rFonts w:eastAsia="Calibri"/>
          <w:sz w:val="26"/>
          <w:szCs w:val="26"/>
        </w:rPr>
        <w:t>142</w:t>
      </w:r>
      <w:r w:rsidR="0043780E">
        <w:rPr>
          <w:rFonts w:eastAsia="Calibri"/>
          <w:sz w:val="26"/>
          <w:szCs w:val="26"/>
        </w:rPr>
        <w:noBreakHyphen/>
      </w:r>
      <w:r w:rsidRPr="00924A92">
        <w:rPr>
          <w:rFonts w:eastAsia="Calibri"/>
          <w:sz w:val="26"/>
          <w:szCs w:val="26"/>
        </w:rPr>
        <w:t xml:space="preserve">43 </w:t>
      </w:r>
      <w:r w:rsidRPr="00924A92">
        <w:rPr>
          <w:rFonts w:eastAsia="Calibri"/>
          <w:bCs/>
          <w:sz w:val="26"/>
          <w:szCs w:val="26"/>
        </w:rPr>
        <w:t xml:space="preserve">(1963); </w:t>
      </w:r>
      <w:r w:rsidRPr="00924A92">
        <w:rPr>
          <w:rFonts w:eastAsia="Calibri"/>
          <w:i/>
          <w:sz w:val="26"/>
          <w:szCs w:val="26"/>
        </w:rPr>
        <w:t>Hines v. Davidowitz</w:t>
      </w:r>
      <w:r w:rsidRPr="00924A92">
        <w:rPr>
          <w:rFonts w:eastAsia="Calibri"/>
          <w:sz w:val="26"/>
          <w:szCs w:val="26"/>
        </w:rPr>
        <w:t xml:space="preserve">, </w:t>
      </w:r>
      <w:r w:rsidRPr="00924A92">
        <w:rPr>
          <w:rFonts w:eastAsia="Calibri"/>
          <w:bCs/>
          <w:sz w:val="26"/>
          <w:szCs w:val="26"/>
        </w:rPr>
        <w:t xml:space="preserve">312 U.S. 52, 67 </w:t>
      </w:r>
      <w:r w:rsidRPr="00924A92">
        <w:rPr>
          <w:rFonts w:eastAsia="Calibri"/>
          <w:sz w:val="26"/>
          <w:szCs w:val="26"/>
        </w:rPr>
        <w:t xml:space="preserve">(1941).  The U.S. Supreme Court, in </w:t>
      </w:r>
      <w:r w:rsidRPr="00924A92">
        <w:rPr>
          <w:rFonts w:eastAsia="Calibri"/>
          <w:i/>
          <w:sz w:val="26"/>
          <w:szCs w:val="26"/>
        </w:rPr>
        <w:t>New York Blue Cross v</w:t>
      </w:r>
      <w:r w:rsidR="00E1579B">
        <w:rPr>
          <w:rFonts w:eastAsia="Calibri"/>
          <w:i/>
          <w:sz w:val="26"/>
          <w:szCs w:val="26"/>
        </w:rPr>
        <w:t>.</w:t>
      </w:r>
      <w:r w:rsidRPr="00924A92">
        <w:rPr>
          <w:rFonts w:eastAsia="Calibri"/>
          <w:i/>
          <w:sz w:val="26"/>
          <w:szCs w:val="26"/>
        </w:rPr>
        <w:t xml:space="preserve"> Travelers Ins</w:t>
      </w:r>
      <w:r w:rsidR="00E1579B">
        <w:rPr>
          <w:rFonts w:eastAsia="Calibri"/>
          <w:i/>
          <w:sz w:val="26"/>
          <w:szCs w:val="26"/>
        </w:rPr>
        <w:t>.</w:t>
      </w:r>
      <w:r w:rsidRPr="00924A92">
        <w:rPr>
          <w:rFonts w:eastAsia="Calibri"/>
          <w:sz w:val="26"/>
          <w:szCs w:val="26"/>
        </w:rPr>
        <w:t>, 514 U</w:t>
      </w:r>
      <w:r w:rsidR="00E1579B">
        <w:rPr>
          <w:rFonts w:eastAsia="Calibri"/>
          <w:sz w:val="26"/>
          <w:szCs w:val="26"/>
        </w:rPr>
        <w:t>.</w:t>
      </w:r>
      <w:r w:rsidRPr="00924A92">
        <w:rPr>
          <w:rFonts w:eastAsia="Calibri"/>
          <w:sz w:val="26"/>
          <w:szCs w:val="26"/>
        </w:rPr>
        <w:t>S</w:t>
      </w:r>
      <w:r w:rsidR="00E1579B">
        <w:rPr>
          <w:rFonts w:eastAsia="Calibri"/>
          <w:sz w:val="26"/>
          <w:szCs w:val="26"/>
        </w:rPr>
        <w:t>.</w:t>
      </w:r>
      <w:r w:rsidRPr="00924A92">
        <w:rPr>
          <w:rFonts w:eastAsia="Calibri"/>
          <w:sz w:val="26"/>
          <w:szCs w:val="26"/>
        </w:rPr>
        <w:t xml:space="preserve"> 645 (1995)</w:t>
      </w:r>
      <w:r w:rsidR="00E1579B">
        <w:rPr>
          <w:rFonts w:eastAsia="Calibri"/>
          <w:sz w:val="26"/>
          <w:szCs w:val="26"/>
        </w:rPr>
        <w:t xml:space="preserve"> (</w:t>
      </w:r>
      <w:r w:rsidR="00E1579B">
        <w:rPr>
          <w:rFonts w:eastAsia="Calibri"/>
          <w:i/>
          <w:sz w:val="26"/>
          <w:szCs w:val="26"/>
        </w:rPr>
        <w:t>NY Blue Cross</w:t>
      </w:r>
      <w:r w:rsidR="00E1579B">
        <w:rPr>
          <w:rFonts w:eastAsia="Calibri"/>
          <w:sz w:val="26"/>
          <w:szCs w:val="26"/>
        </w:rPr>
        <w:t>)</w:t>
      </w:r>
      <w:r w:rsidRPr="00924A92">
        <w:rPr>
          <w:rFonts w:eastAsia="Calibri"/>
          <w:sz w:val="26"/>
          <w:szCs w:val="26"/>
        </w:rPr>
        <w:t>, summarized the scope of federal preemption analysis as follows:</w:t>
      </w:r>
    </w:p>
    <w:p w14:paraId="57910641" w14:textId="11EE836E" w:rsidR="00E1579B" w:rsidRDefault="00924A92" w:rsidP="00511EB0">
      <w:pPr>
        <w:ind w:left="1440" w:right="1350"/>
        <w:textAlignment w:val="baseline"/>
        <w:rPr>
          <w:rFonts w:eastAsia="Calibri"/>
          <w:sz w:val="26"/>
          <w:szCs w:val="26"/>
        </w:rPr>
      </w:pPr>
      <w:r w:rsidRPr="00924A92">
        <w:rPr>
          <w:rFonts w:eastAsia="Calibri"/>
          <w:sz w:val="26"/>
          <w:szCs w:val="26"/>
        </w:rPr>
        <w:t>[T]he Supremacy Clause, U.S. Const., Art. VI, may entail preemption of state law either by express provision, by implication, or by a conflict between federal and state law</w:t>
      </w:r>
      <w:proofErr w:type="gramStart"/>
      <w:r w:rsidRPr="00924A92">
        <w:rPr>
          <w:rFonts w:eastAsia="Calibri"/>
          <w:sz w:val="26"/>
          <w:szCs w:val="26"/>
        </w:rPr>
        <w:t>. . . .</w:t>
      </w:r>
      <w:proofErr w:type="gramEnd"/>
      <w:r w:rsidRPr="00924A92">
        <w:rPr>
          <w:rFonts w:eastAsia="Calibri"/>
          <w:sz w:val="26"/>
          <w:szCs w:val="26"/>
        </w:rPr>
        <w:t xml:space="preserve"> And yet, despite the variety of these opportunities for federal preeminence, we have never assumed lightly that Congress has derogated state regulation, but instead have addressed claims of preemption with the starting presumption that Congress does not intend to supplant state law. . . . Indeed, in cases like this </w:t>
      </w:r>
      <w:proofErr w:type="gramStart"/>
      <w:r w:rsidRPr="00924A92">
        <w:rPr>
          <w:rFonts w:eastAsia="Calibri"/>
          <w:sz w:val="26"/>
          <w:szCs w:val="26"/>
        </w:rPr>
        <w:t>one,  . . .</w:t>
      </w:r>
      <w:proofErr w:type="gramEnd"/>
      <w:r w:rsidRPr="00924A92">
        <w:rPr>
          <w:rFonts w:eastAsia="Calibri"/>
          <w:sz w:val="26"/>
          <w:szCs w:val="26"/>
        </w:rPr>
        <w:t xml:space="preserve"> we have worked on the “assumption that the historic police powers of the States were not to be superseded by the Federal Act unless that was the clear and manifest purpose of Congress.</w:t>
      </w:r>
    </w:p>
    <w:p w14:paraId="194801F8" w14:textId="249C5EC2" w:rsidR="00924A92" w:rsidRPr="00924A92" w:rsidRDefault="00E1579B" w:rsidP="00217969">
      <w:pPr>
        <w:spacing w:before="160" w:line="360" w:lineRule="auto"/>
        <w:textAlignment w:val="baseline"/>
        <w:rPr>
          <w:rFonts w:eastAsia="Calibri"/>
          <w:sz w:val="26"/>
          <w:szCs w:val="26"/>
          <w:lang w:val="en"/>
        </w:rPr>
      </w:pPr>
      <w:r>
        <w:rPr>
          <w:rFonts w:eastAsia="Calibri"/>
          <w:i/>
          <w:sz w:val="26"/>
          <w:szCs w:val="26"/>
        </w:rPr>
        <w:t>NY Blue Cross</w:t>
      </w:r>
      <w:r>
        <w:rPr>
          <w:rFonts w:eastAsia="Calibri"/>
          <w:sz w:val="26"/>
          <w:szCs w:val="26"/>
        </w:rPr>
        <w:t>, 514 U.S. at 654-55 (c</w:t>
      </w:r>
      <w:r w:rsidR="00924A92" w:rsidRPr="00924A92">
        <w:rPr>
          <w:rFonts w:eastAsia="Calibri"/>
          <w:sz w:val="26"/>
          <w:szCs w:val="26"/>
        </w:rPr>
        <w:t>itations omitted</w:t>
      </w:r>
      <w:r>
        <w:rPr>
          <w:rFonts w:eastAsia="Calibri"/>
          <w:sz w:val="26"/>
          <w:szCs w:val="26"/>
        </w:rPr>
        <w:t>)</w:t>
      </w:r>
      <w:r w:rsidR="00924A92" w:rsidRPr="00924A92">
        <w:rPr>
          <w:rFonts w:eastAsia="Calibri"/>
          <w:sz w:val="26"/>
          <w:szCs w:val="26"/>
        </w:rPr>
        <w:t>.</w:t>
      </w:r>
      <w:r w:rsidR="00073E70">
        <w:rPr>
          <w:rFonts w:eastAsia="Calibri"/>
          <w:sz w:val="26"/>
          <w:szCs w:val="26"/>
        </w:rPr>
        <w:t xml:space="preserve">  Upon review, we do not believe that the Commission is pree</w:t>
      </w:r>
      <w:r w:rsidR="004B1A16">
        <w:rPr>
          <w:rFonts w:eastAsia="Calibri"/>
          <w:sz w:val="26"/>
          <w:szCs w:val="26"/>
        </w:rPr>
        <w:t xml:space="preserve">mpted from </w:t>
      </w:r>
      <w:r w:rsidR="004B1A16">
        <w:rPr>
          <w:sz w:val="26"/>
          <w:szCs w:val="26"/>
          <w:lang w:val="en"/>
        </w:rPr>
        <w:t xml:space="preserve">directing telecommunications public utilities to report </w:t>
      </w:r>
      <w:r w:rsidR="004B1A16" w:rsidRPr="00FB336C">
        <w:rPr>
          <w:sz w:val="26"/>
          <w:szCs w:val="26"/>
        </w:rPr>
        <w:t xml:space="preserve">their </w:t>
      </w:r>
      <w:r w:rsidR="004B1A16" w:rsidRPr="00FB336C">
        <w:rPr>
          <w:i/>
          <w:sz w:val="26"/>
          <w:szCs w:val="26"/>
        </w:rPr>
        <w:t>de facto</w:t>
      </w:r>
      <w:r w:rsidR="004B1A16" w:rsidRPr="00FB336C">
        <w:rPr>
          <w:sz w:val="26"/>
          <w:szCs w:val="26"/>
        </w:rPr>
        <w:t xml:space="preserve"> gross intrastate revenues with the Commission</w:t>
      </w:r>
      <w:r w:rsidR="004B1A16">
        <w:rPr>
          <w:sz w:val="26"/>
          <w:szCs w:val="26"/>
        </w:rPr>
        <w:t xml:space="preserve"> for mixed</w:t>
      </w:r>
      <w:r w:rsidR="00B41342">
        <w:rPr>
          <w:sz w:val="26"/>
          <w:szCs w:val="26"/>
        </w:rPr>
        <w:t>-</w:t>
      </w:r>
      <w:r w:rsidR="004B1A16">
        <w:rPr>
          <w:sz w:val="26"/>
          <w:szCs w:val="26"/>
        </w:rPr>
        <w:t xml:space="preserve">use access lines and from imposing a fiscal assessment based in part on those reports so that these carriers </w:t>
      </w:r>
      <w:r w:rsidR="004B1A16" w:rsidRPr="00FB336C">
        <w:rPr>
          <w:sz w:val="26"/>
          <w:szCs w:val="26"/>
        </w:rPr>
        <w:t>pay for the reasonable costs</w:t>
      </w:r>
      <w:r w:rsidR="004B1A16">
        <w:rPr>
          <w:sz w:val="26"/>
          <w:szCs w:val="26"/>
        </w:rPr>
        <w:t xml:space="preserve"> of administering the </w:t>
      </w:r>
      <w:r w:rsidR="001E0FB4">
        <w:rPr>
          <w:sz w:val="26"/>
          <w:szCs w:val="26"/>
        </w:rPr>
        <w:t xml:space="preserve">Public Utility </w:t>
      </w:r>
      <w:r w:rsidR="004B1A16">
        <w:rPr>
          <w:sz w:val="26"/>
          <w:szCs w:val="26"/>
        </w:rPr>
        <w:t>Code.</w:t>
      </w:r>
    </w:p>
    <w:p w14:paraId="26307115" w14:textId="013DCD29" w:rsidR="001A2915" w:rsidRDefault="004B1A16" w:rsidP="00EF2727">
      <w:pPr>
        <w:spacing w:line="360" w:lineRule="auto"/>
        <w:ind w:firstLine="720"/>
        <w:textAlignment w:val="baseline"/>
        <w:rPr>
          <w:rFonts w:eastAsia="Calibri"/>
          <w:sz w:val="26"/>
          <w:szCs w:val="26"/>
          <w:lang w:val="en"/>
        </w:rPr>
      </w:pPr>
      <w:r>
        <w:rPr>
          <w:rFonts w:eastAsia="Calibri"/>
          <w:sz w:val="26"/>
          <w:szCs w:val="26"/>
        </w:rPr>
        <w:t>W</w:t>
      </w:r>
      <w:r w:rsidR="00F368DD">
        <w:rPr>
          <w:rFonts w:eastAsia="Calibri"/>
          <w:sz w:val="26"/>
          <w:szCs w:val="26"/>
        </w:rPr>
        <w:t>hile t</w:t>
      </w:r>
      <w:r w:rsidR="00F368DD" w:rsidRPr="00166B4A">
        <w:rPr>
          <w:rFonts w:eastAsia="Calibri"/>
          <w:sz w:val="26"/>
          <w:szCs w:val="26"/>
        </w:rPr>
        <w:t>he federal government may preempt state law</w:t>
      </w:r>
      <w:r w:rsidR="00F368DD">
        <w:rPr>
          <w:rFonts w:eastAsia="Calibri"/>
          <w:sz w:val="26"/>
          <w:szCs w:val="26"/>
        </w:rPr>
        <w:t>, t</w:t>
      </w:r>
      <w:r w:rsidR="00F368DD" w:rsidRPr="00CB17D4">
        <w:rPr>
          <w:sz w:val="26"/>
          <w:szCs w:val="26"/>
        </w:rPr>
        <w:t xml:space="preserve">he courts have indicated that they will reject preemption of state regulation </w:t>
      </w:r>
      <w:r w:rsidR="00F368DD" w:rsidRPr="00CB17D4">
        <w:rPr>
          <w:sz w:val="26"/>
          <w:szCs w:val="26"/>
          <w:lang w:val="en"/>
        </w:rPr>
        <w:t>where the FCC has declined to preempt state regulation in jurisdictionally</w:t>
      </w:r>
      <w:r w:rsidR="00E1579B">
        <w:rPr>
          <w:sz w:val="26"/>
          <w:szCs w:val="26"/>
          <w:lang w:val="en"/>
        </w:rPr>
        <w:t>-</w:t>
      </w:r>
      <w:r w:rsidR="00F368DD" w:rsidRPr="00CB17D4">
        <w:rPr>
          <w:sz w:val="26"/>
          <w:szCs w:val="26"/>
          <w:lang w:val="en"/>
        </w:rPr>
        <w:t xml:space="preserve">mixed areas and where there is no federal rule on point and the state action does not frustrate any important federal interest.  </w:t>
      </w:r>
      <w:r w:rsidR="00F368DD" w:rsidRPr="00CB17D4">
        <w:rPr>
          <w:i/>
          <w:sz w:val="26"/>
          <w:szCs w:val="26"/>
        </w:rPr>
        <w:t>See Louisiana PSC</w:t>
      </w:r>
      <w:r w:rsidR="00F368DD" w:rsidRPr="00CB17D4">
        <w:rPr>
          <w:sz w:val="26"/>
          <w:szCs w:val="26"/>
        </w:rPr>
        <w:t xml:space="preserve">, 476 U.S. at 375; </w:t>
      </w:r>
      <w:r w:rsidR="00F368DD" w:rsidRPr="00CB17D4">
        <w:rPr>
          <w:i/>
          <w:sz w:val="26"/>
          <w:szCs w:val="26"/>
          <w:lang w:val="en"/>
        </w:rPr>
        <w:t>Diamond Int</w:t>
      </w:r>
      <w:r w:rsidR="00737933">
        <w:rPr>
          <w:i/>
          <w:sz w:val="26"/>
          <w:szCs w:val="26"/>
          <w:lang w:val="en"/>
        </w:rPr>
        <w:t>’</w:t>
      </w:r>
      <w:r w:rsidR="00F368DD" w:rsidRPr="00CB17D4">
        <w:rPr>
          <w:i/>
          <w:sz w:val="26"/>
          <w:szCs w:val="26"/>
          <w:lang w:val="en"/>
        </w:rPr>
        <w:t>l Corp. v. FCC</w:t>
      </w:r>
      <w:r w:rsidR="00F368DD" w:rsidRPr="00CB17D4">
        <w:rPr>
          <w:sz w:val="26"/>
          <w:szCs w:val="26"/>
          <w:lang w:val="en"/>
        </w:rPr>
        <w:t>, 627 F.2d 489, 493</w:t>
      </w:r>
      <w:r w:rsidR="00217969">
        <w:rPr>
          <w:sz w:val="26"/>
          <w:szCs w:val="26"/>
          <w:lang w:val="en"/>
        </w:rPr>
        <w:t> </w:t>
      </w:r>
      <w:r w:rsidR="00F368DD" w:rsidRPr="00CB17D4">
        <w:rPr>
          <w:sz w:val="26"/>
          <w:szCs w:val="26"/>
          <w:lang w:val="en"/>
        </w:rPr>
        <w:t>(D.C.</w:t>
      </w:r>
      <w:r w:rsidR="00737933">
        <w:rPr>
          <w:sz w:val="26"/>
          <w:szCs w:val="26"/>
          <w:lang w:val="en"/>
        </w:rPr>
        <w:t> </w:t>
      </w:r>
      <w:r w:rsidR="00F368DD" w:rsidRPr="00CB17D4">
        <w:rPr>
          <w:sz w:val="26"/>
          <w:szCs w:val="26"/>
          <w:lang w:val="en"/>
        </w:rPr>
        <w:t>Cir. 1980) (permitting state regulation of mixed-use service within FCC</w:t>
      </w:r>
      <w:r w:rsidR="00737933">
        <w:rPr>
          <w:sz w:val="26"/>
          <w:szCs w:val="26"/>
          <w:lang w:val="en"/>
        </w:rPr>
        <w:t>’</w:t>
      </w:r>
      <w:r w:rsidR="00F368DD" w:rsidRPr="00CB17D4">
        <w:rPr>
          <w:sz w:val="26"/>
          <w:szCs w:val="26"/>
          <w:lang w:val="en"/>
        </w:rPr>
        <w:t>s authority</w:t>
      </w:r>
      <w:bookmarkStart w:id="8" w:name="_Hlk525130417"/>
      <w:r w:rsidR="00F368DD" w:rsidRPr="00CB17D4">
        <w:rPr>
          <w:sz w:val="26"/>
          <w:szCs w:val="26"/>
          <w:lang w:val="en"/>
        </w:rPr>
        <w:t xml:space="preserve">); </w:t>
      </w:r>
      <w:r w:rsidR="00F368DD" w:rsidRPr="00CB17D4">
        <w:rPr>
          <w:i/>
          <w:sz w:val="26"/>
          <w:szCs w:val="26"/>
          <w:lang w:val="en"/>
        </w:rPr>
        <w:t>In the Matter of Filing and Review of Open Network Architecture Plans</w:t>
      </w:r>
      <w:r w:rsidR="00F368DD" w:rsidRPr="00CB17D4">
        <w:rPr>
          <w:sz w:val="26"/>
          <w:szCs w:val="26"/>
          <w:lang w:val="en"/>
        </w:rPr>
        <w:t>, 4</w:t>
      </w:r>
      <w:r w:rsidR="00737933">
        <w:rPr>
          <w:sz w:val="26"/>
          <w:szCs w:val="26"/>
          <w:lang w:val="en"/>
        </w:rPr>
        <w:t> </w:t>
      </w:r>
      <w:r w:rsidR="00F368DD" w:rsidRPr="00CB17D4">
        <w:rPr>
          <w:sz w:val="26"/>
          <w:szCs w:val="26"/>
          <w:lang w:val="en"/>
        </w:rPr>
        <w:t>F.C.C.R. 1 ¶¶ 276, 277 (1988) (deciding to allow continuation of state tariffing of Complementary Network Services) (</w:t>
      </w:r>
      <w:r w:rsidR="00F368DD" w:rsidRPr="00CB17D4">
        <w:rPr>
          <w:i/>
          <w:sz w:val="26"/>
          <w:szCs w:val="26"/>
          <w:lang w:val="en"/>
        </w:rPr>
        <w:t>Open Network Order</w:t>
      </w:r>
      <w:r w:rsidR="00F368DD" w:rsidRPr="00CB17D4">
        <w:rPr>
          <w:sz w:val="26"/>
          <w:szCs w:val="26"/>
          <w:lang w:val="en"/>
        </w:rPr>
        <w:t xml:space="preserve">).  </w:t>
      </w:r>
      <w:bookmarkEnd w:id="8"/>
      <w:r w:rsidR="001A2915">
        <w:rPr>
          <w:rFonts w:eastAsia="Calibri"/>
          <w:sz w:val="26"/>
          <w:szCs w:val="26"/>
          <w:lang w:val="en"/>
        </w:rPr>
        <w:t xml:space="preserve">Indeed, </w:t>
      </w:r>
      <w:r w:rsidR="001A2915" w:rsidRPr="00924A92">
        <w:rPr>
          <w:rFonts w:eastAsia="Calibri"/>
          <w:sz w:val="26"/>
          <w:szCs w:val="26"/>
          <w:lang w:val="en"/>
        </w:rPr>
        <w:t xml:space="preserve">no court has </w:t>
      </w:r>
      <w:r w:rsidR="001A2915">
        <w:rPr>
          <w:rFonts w:eastAsia="Calibri"/>
          <w:sz w:val="26"/>
          <w:szCs w:val="26"/>
          <w:lang w:val="en"/>
        </w:rPr>
        <w:t xml:space="preserve">ever </w:t>
      </w:r>
      <w:r w:rsidR="001A2915" w:rsidRPr="00924A92">
        <w:rPr>
          <w:rFonts w:eastAsia="Calibri"/>
          <w:sz w:val="26"/>
          <w:szCs w:val="26"/>
          <w:lang w:val="en"/>
        </w:rPr>
        <w:t>determined that a state commission is preempted from imposing filing fees, annual maintenance fees, annual assessments or other administrative fees on a telecommunications public utility to cover the reasonable and allocated operating costs of the state commission and as a condition for maintaining its CPC or license granted by that state commission.</w:t>
      </w:r>
    </w:p>
    <w:p w14:paraId="2B6EE7C1" w14:textId="77777777" w:rsidR="004F4E42" w:rsidRDefault="004F4E42" w:rsidP="0076506D">
      <w:pPr>
        <w:spacing w:line="360" w:lineRule="auto"/>
        <w:ind w:firstLine="720"/>
        <w:textAlignment w:val="baseline"/>
        <w:rPr>
          <w:rFonts w:eastAsia="Calibri"/>
          <w:sz w:val="26"/>
          <w:szCs w:val="26"/>
          <w:lang w:val="en"/>
        </w:rPr>
      </w:pPr>
    </w:p>
    <w:p w14:paraId="07ECB698" w14:textId="3896F7E3" w:rsidR="0076506D" w:rsidRDefault="0076506D" w:rsidP="00EF2727">
      <w:pPr>
        <w:spacing w:line="360" w:lineRule="auto"/>
        <w:ind w:firstLine="720"/>
        <w:textAlignment w:val="baseline"/>
        <w:rPr>
          <w:sz w:val="26"/>
          <w:szCs w:val="26"/>
        </w:rPr>
      </w:pPr>
      <w:r w:rsidRPr="0076506D">
        <w:rPr>
          <w:sz w:val="26"/>
          <w:szCs w:val="26"/>
        </w:rPr>
        <w:t xml:space="preserve">There </w:t>
      </w:r>
      <w:r>
        <w:rPr>
          <w:sz w:val="26"/>
          <w:szCs w:val="26"/>
        </w:rPr>
        <w:t xml:space="preserve">is an </w:t>
      </w:r>
      <w:r w:rsidRPr="0076506D">
        <w:rPr>
          <w:sz w:val="26"/>
          <w:szCs w:val="26"/>
        </w:rPr>
        <w:t xml:space="preserve">illustrative federal appellate court case that addressed the issue of whether states are preempted from regulating “special access lines” deemed interstate pursuant to the ten percent contamination rule.  </w:t>
      </w:r>
      <w:r>
        <w:rPr>
          <w:sz w:val="26"/>
          <w:szCs w:val="26"/>
        </w:rPr>
        <w:t xml:space="preserve">In </w:t>
      </w:r>
      <w:r w:rsidR="001A2915" w:rsidRPr="001A2915">
        <w:rPr>
          <w:i/>
          <w:sz w:val="26"/>
          <w:szCs w:val="26"/>
        </w:rPr>
        <w:t>Qwest Corporation v. Scott</w:t>
      </w:r>
      <w:r w:rsidR="001A2915" w:rsidRPr="001A2915">
        <w:rPr>
          <w:sz w:val="26"/>
          <w:szCs w:val="26"/>
        </w:rPr>
        <w:t>, 380</w:t>
      </w:r>
      <w:r w:rsidR="00511EB0">
        <w:rPr>
          <w:sz w:val="26"/>
          <w:szCs w:val="26"/>
        </w:rPr>
        <w:t> </w:t>
      </w:r>
      <w:r w:rsidR="001A2915" w:rsidRPr="001A2915">
        <w:rPr>
          <w:sz w:val="26"/>
          <w:szCs w:val="26"/>
        </w:rPr>
        <w:t>F.3d</w:t>
      </w:r>
      <w:r w:rsidR="00511EB0">
        <w:rPr>
          <w:sz w:val="26"/>
          <w:szCs w:val="26"/>
        </w:rPr>
        <w:t> </w:t>
      </w:r>
      <w:r w:rsidR="001A2915" w:rsidRPr="001A2915">
        <w:rPr>
          <w:sz w:val="26"/>
          <w:szCs w:val="26"/>
        </w:rPr>
        <w:t>367 (2004) (</w:t>
      </w:r>
      <w:r w:rsidR="001A2915" w:rsidRPr="001A2915">
        <w:rPr>
          <w:i/>
          <w:sz w:val="26"/>
          <w:szCs w:val="26"/>
        </w:rPr>
        <w:t>Scott</w:t>
      </w:r>
      <w:r w:rsidR="001A2915" w:rsidRPr="001A2915">
        <w:rPr>
          <w:sz w:val="26"/>
          <w:szCs w:val="26"/>
        </w:rPr>
        <w:t>)</w:t>
      </w:r>
      <w:r w:rsidR="001A2915">
        <w:rPr>
          <w:sz w:val="26"/>
          <w:szCs w:val="26"/>
        </w:rPr>
        <w:t xml:space="preserve">, </w:t>
      </w:r>
      <w:r w:rsidR="001A2915" w:rsidRPr="001A2915">
        <w:rPr>
          <w:sz w:val="26"/>
          <w:szCs w:val="26"/>
          <w:lang w:val="en"/>
        </w:rPr>
        <w:t xml:space="preserve">the Minnesota Public Utilities Commission </w:t>
      </w:r>
      <w:r w:rsidR="001A2915">
        <w:rPr>
          <w:sz w:val="26"/>
          <w:szCs w:val="26"/>
          <w:lang w:val="en"/>
        </w:rPr>
        <w:t xml:space="preserve">(Minnesota Commission) </w:t>
      </w:r>
      <w:r w:rsidR="00323BA4">
        <w:rPr>
          <w:sz w:val="26"/>
          <w:szCs w:val="26"/>
          <w:lang w:val="en"/>
        </w:rPr>
        <w:t xml:space="preserve">had </w:t>
      </w:r>
      <w:r w:rsidR="001A2915" w:rsidRPr="001A2915">
        <w:rPr>
          <w:sz w:val="26"/>
          <w:szCs w:val="26"/>
          <w:lang w:val="en"/>
        </w:rPr>
        <w:t xml:space="preserve">issued an order requiring Qwest Corporation </w:t>
      </w:r>
      <w:r w:rsidR="001A2915">
        <w:rPr>
          <w:sz w:val="26"/>
          <w:szCs w:val="26"/>
          <w:lang w:val="en"/>
        </w:rPr>
        <w:t>(</w:t>
      </w:r>
      <w:r w:rsidR="001A2915" w:rsidRPr="001A2915">
        <w:rPr>
          <w:sz w:val="26"/>
          <w:szCs w:val="26"/>
          <w:lang w:val="en"/>
        </w:rPr>
        <w:t>Qwest</w:t>
      </w:r>
      <w:r w:rsidR="001A2915">
        <w:rPr>
          <w:sz w:val="26"/>
          <w:szCs w:val="26"/>
          <w:lang w:val="en"/>
        </w:rPr>
        <w:t>)</w:t>
      </w:r>
      <w:r w:rsidR="001A2915" w:rsidRPr="001A2915">
        <w:rPr>
          <w:sz w:val="26"/>
          <w:szCs w:val="26"/>
          <w:lang w:val="en"/>
        </w:rPr>
        <w:t xml:space="preserve"> to provide reports regarding special access performance data to </w:t>
      </w:r>
      <w:r w:rsidR="00323BA4" w:rsidRPr="00323BA4">
        <w:rPr>
          <w:sz w:val="26"/>
          <w:szCs w:val="26"/>
        </w:rPr>
        <w:t xml:space="preserve">AT&amp;T Communications of the Midwest </w:t>
      </w:r>
      <w:r w:rsidR="00323BA4">
        <w:rPr>
          <w:sz w:val="26"/>
          <w:szCs w:val="26"/>
        </w:rPr>
        <w:t>(</w:t>
      </w:r>
      <w:r w:rsidR="001A2915" w:rsidRPr="001A2915">
        <w:rPr>
          <w:sz w:val="26"/>
          <w:szCs w:val="26"/>
          <w:lang w:val="en"/>
        </w:rPr>
        <w:t>AT&amp;T</w:t>
      </w:r>
      <w:r w:rsidR="00323BA4">
        <w:rPr>
          <w:sz w:val="26"/>
          <w:szCs w:val="26"/>
          <w:lang w:val="en"/>
        </w:rPr>
        <w:t>)</w:t>
      </w:r>
      <w:r w:rsidR="001A2915" w:rsidRPr="001A2915">
        <w:rPr>
          <w:sz w:val="26"/>
          <w:szCs w:val="26"/>
          <w:lang w:val="en"/>
        </w:rPr>
        <w:t xml:space="preserve"> and </w:t>
      </w:r>
      <w:r w:rsidR="00323BA4" w:rsidRPr="00323BA4">
        <w:rPr>
          <w:sz w:val="26"/>
          <w:szCs w:val="26"/>
          <w:lang w:val="en"/>
        </w:rPr>
        <w:t xml:space="preserve">WorldCom, Inc. and Time Warner Telecom of Minnesota, LLC (collectively </w:t>
      </w:r>
      <w:r w:rsidR="004C3954">
        <w:rPr>
          <w:sz w:val="26"/>
          <w:szCs w:val="26"/>
          <w:lang w:val="en"/>
        </w:rPr>
        <w:t>“</w:t>
      </w:r>
      <w:r w:rsidR="00323BA4" w:rsidRPr="00323BA4">
        <w:rPr>
          <w:sz w:val="26"/>
          <w:szCs w:val="26"/>
          <w:lang w:val="en"/>
        </w:rPr>
        <w:t>WorldCom</w:t>
      </w:r>
      <w:r w:rsidR="004C3954">
        <w:rPr>
          <w:sz w:val="26"/>
          <w:szCs w:val="26"/>
          <w:lang w:val="en"/>
        </w:rPr>
        <w:t>”</w:t>
      </w:r>
      <w:r w:rsidR="00323BA4" w:rsidRPr="00323BA4">
        <w:rPr>
          <w:sz w:val="26"/>
          <w:szCs w:val="26"/>
          <w:lang w:val="en"/>
        </w:rPr>
        <w:t>)</w:t>
      </w:r>
      <w:r w:rsidR="001A2915" w:rsidRPr="001A2915">
        <w:rPr>
          <w:sz w:val="26"/>
          <w:szCs w:val="26"/>
          <w:lang w:val="en"/>
        </w:rPr>
        <w:t>, in accordance with WorldCom's suggested requirements.</w:t>
      </w:r>
      <w:r w:rsidR="001A2915">
        <w:rPr>
          <w:sz w:val="26"/>
          <w:szCs w:val="26"/>
          <w:lang w:val="en"/>
        </w:rPr>
        <w:t xml:space="preserve">  </w:t>
      </w:r>
      <w:r w:rsidR="00EF2727">
        <w:rPr>
          <w:sz w:val="26"/>
          <w:szCs w:val="26"/>
          <w:lang w:val="en"/>
        </w:rPr>
        <w:t>In this case</w:t>
      </w:r>
      <w:r w:rsidR="00323BA4">
        <w:rPr>
          <w:sz w:val="26"/>
          <w:szCs w:val="26"/>
        </w:rPr>
        <w:t>, t</w:t>
      </w:r>
      <w:r w:rsidR="001A2915">
        <w:rPr>
          <w:sz w:val="26"/>
          <w:szCs w:val="26"/>
        </w:rPr>
        <w:t xml:space="preserve">he Eighth Circuit Court </w:t>
      </w:r>
      <w:r w:rsidR="00E1579B">
        <w:rPr>
          <w:sz w:val="26"/>
          <w:szCs w:val="26"/>
        </w:rPr>
        <w:t xml:space="preserve">faced the issue </w:t>
      </w:r>
      <w:r w:rsidR="00EF2727">
        <w:rPr>
          <w:sz w:val="26"/>
          <w:szCs w:val="26"/>
        </w:rPr>
        <w:t xml:space="preserve">of </w:t>
      </w:r>
      <w:r w:rsidR="001A2915">
        <w:rPr>
          <w:sz w:val="26"/>
          <w:szCs w:val="26"/>
        </w:rPr>
        <w:t xml:space="preserve">whether </w:t>
      </w:r>
      <w:r w:rsidR="001A2915" w:rsidRPr="001A2915">
        <w:rPr>
          <w:sz w:val="26"/>
          <w:szCs w:val="26"/>
        </w:rPr>
        <w:t xml:space="preserve">the </w:t>
      </w:r>
      <w:r w:rsidR="001A2915" w:rsidRPr="001A2915">
        <w:rPr>
          <w:i/>
          <w:sz w:val="26"/>
          <w:szCs w:val="26"/>
        </w:rPr>
        <w:t>Special Access</w:t>
      </w:r>
      <w:r w:rsidR="001A2915" w:rsidRPr="001A2915">
        <w:rPr>
          <w:sz w:val="26"/>
          <w:szCs w:val="26"/>
        </w:rPr>
        <w:t xml:space="preserve"> </w:t>
      </w:r>
      <w:r w:rsidR="001A2915" w:rsidRPr="001A2915">
        <w:rPr>
          <w:i/>
          <w:sz w:val="26"/>
          <w:szCs w:val="26"/>
        </w:rPr>
        <w:t xml:space="preserve">10% Order </w:t>
      </w:r>
      <w:r w:rsidR="001A2915" w:rsidRPr="001A2915">
        <w:rPr>
          <w:sz w:val="26"/>
          <w:szCs w:val="26"/>
        </w:rPr>
        <w:t xml:space="preserve">allocated between federal and state jurisdictions </w:t>
      </w:r>
      <w:r w:rsidR="001A2915" w:rsidRPr="001A2915">
        <w:rPr>
          <w:i/>
          <w:sz w:val="26"/>
          <w:szCs w:val="26"/>
        </w:rPr>
        <w:t xml:space="preserve">all </w:t>
      </w:r>
      <w:r w:rsidR="001A2915" w:rsidRPr="001A2915">
        <w:rPr>
          <w:sz w:val="26"/>
          <w:szCs w:val="26"/>
        </w:rPr>
        <w:t xml:space="preserve">regulatory authority over special access lines based on the ten percent traffic threshold or </w:t>
      </w:r>
      <w:r w:rsidR="00EF2727">
        <w:rPr>
          <w:sz w:val="26"/>
          <w:szCs w:val="26"/>
        </w:rPr>
        <w:t>whether</w:t>
      </w:r>
      <w:r w:rsidR="00EF2727" w:rsidRPr="001A2915">
        <w:rPr>
          <w:sz w:val="26"/>
          <w:szCs w:val="26"/>
        </w:rPr>
        <w:t xml:space="preserve"> </w:t>
      </w:r>
      <w:r w:rsidR="001A2915" w:rsidRPr="001A2915">
        <w:rPr>
          <w:sz w:val="26"/>
          <w:szCs w:val="26"/>
        </w:rPr>
        <w:t>the FCC</w:t>
      </w:r>
      <w:r w:rsidR="001B5B86">
        <w:rPr>
          <w:sz w:val="26"/>
          <w:szCs w:val="26"/>
        </w:rPr>
        <w:t>’</w:t>
      </w:r>
      <w:r w:rsidR="001A2915" w:rsidRPr="001A2915">
        <w:rPr>
          <w:sz w:val="26"/>
          <w:szCs w:val="26"/>
        </w:rPr>
        <w:t xml:space="preserve">s intent </w:t>
      </w:r>
      <w:r w:rsidR="00EF2727">
        <w:rPr>
          <w:sz w:val="26"/>
          <w:szCs w:val="26"/>
        </w:rPr>
        <w:t xml:space="preserve">with the Order was </w:t>
      </w:r>
      <w:r w:rsidR="001A2915" w:rsidRPr="001A2915">
        <w:rPr>
          <w:sz w:val="26"/>
          <w:szCs w:val="26"/>
        </w:rPr>
        <w:t>more limited</w:t>
      </w:r>
      <w:r w:rsidR="00E1579B">
        <w:rPr>
          <w:sz w:val="26"/>
          <w:szCs w:val="26"/>
        </w:rPr>
        <w:t>.</w:t>
      </w:r>
      <w:r w:rsidR="001A2915">
        <w:rPr>
          <w:sz w:val="26"/>
          <w:szCs w:val="26"/>
        </w:rPr>
        <w:t xml:space="preserve">   </w:t>
      </w:r>
    </w:p>
    <w:p w14:paraId="1F258A03" w14:textId="77777777" w:rsidR="0076506D" w:rsidRDefault="0076506D" w:rsidP="0076506D">
      <w:pPr>
        <w:spacing w:line="360" w:lineRule="auto"/>
        <w:ind w:firstLine="720"/>
        <w:textAlignment w:val="baseline"/>
        <w:rPr>
          <w:sz w:val="26"/>
          <w:szCs w:val="26"/>
        </w:rPr>
      </w:pPr>
    </w:p>
    <w:p w14:paraId="7E2C4FAE" w14:textId="6D5EB359" w:rsidR="00323BA4" w:rsidRPr="00323BA4" w:rsidRDefault="001A2915" w:rsidP="00323BA4">
      <w:pPr>
        <w:spacing w:line="360" w:lineRule="auto"/>
        <w:ind w:firstLine="720"/>
        <w:textAlignment w:val="baseline"/>
        <w:rPr>
          <w:sz w:val="26"/>
          <w:szCs w:val="26"/>
        </w:rPr>
      </w:pPr>
      <w:r>
        <w:rPr>
          <w:sz w:val="26"/>
          <w:szCs w:val="26"/>
        </w:rPr>
        <w:t xml:space="preserve">The Eighth Circuit </w:t>
      </w:r>
      <w:r w:rsidR="00323BA4">
        <w:rPr>
          <w:sz w:val="26"/>
          <w:szCs w:val="26"/>
        </w:rPr>
        <w:t xml:space="preserve">Court </w:t>
      </w:r>
      <w:r>
        <w:rPr>
          <w:sz w:val="26"/>
          <w:szCs w:val="26"/>
        </w:rPr>
        <w:t xml:space="preserve">determined that </w:t>
      </w:r>
      <w:r w:rsidRPr="001A2915">
        <w:rPr>
          <w:sz w:val="26"/>
          <w:szCs w:val="26"/>
        </w:rPr>
        <w:t xml:space="preserve">the ten percent rule set forth in the </w:t>
      </w:r>
      <w:r w:rsidRPr="001A2915">
        <w:rPr>
          <w:i/>
          <w:sz w:val="26"/>
          <w:szCs w:val="26"/>
        </w:rPr>
        <w:t>Special Access</w:t>
      </w:r>
      <w:r w:rsidRPr="001A2915">
        <w:rPr>
          <w:sz w:val="26"/>
          <w:szCs w:val="26"/>
        </w:rPr>
        <w:t xml:space="preserve"> </w:t>
      </w:r>
      <w:r w:rsidRPr="001A2915">
        <w:rPr>
          <w:i/>
          <w:sz w:val="26"/>
          <w:szCs w:val="26"/>
        </w:rPr>
        <w:t>10% Order</w:t>
      </w:r>
      <w:r w:rsidRPr="001A2915">
        <w:rPr>
          <w:sz w:val="26"/>
          <w:szCs w:val="26"/>
        </w:rPr>
        <w:t xml:space="preserve"> did </w:t>
      </w:r>
      <w:r w:rsidRPr="001A2915">
        <w:rPr>
          <w:sz w:val="26"/>
          <w:szCs w:val="26"/>
          <w:u w:val="single"/>
        </w:rPr>
        <w:t>not</w:t>
      </w:r>
      <w:r w:rsidRPr="001A2915">
        <w:rPr>
          <w:sz w:val="26"/>
          <w:szCs w:val="26"/>
        </w:rPr>
        <w:t xml:space="preserve"> preempt the Minnesota Commission's reporting requirements for special access lines.</w:t>
      </w:r>
      <w:r w:rsidR="00323BA4">
        <w:rPr>
          <w:sz w:val="26"/>
          <w:szCs w:val="26"/>
        </w:rPr>
        <w:t xml:space="preserve">  First, t</w:t>
      </w:r>
      <w:r w:rsidR="00323BA4" w:rsidRPr="00323BA4">
        <w:rPr>
          <w:sz w:val="26"/>
          <w:szCs w:val="26"/>
        </w:rPr>
        <w:t xml:space="preserve">he Court determined that the jurisdictional separations process is one part of a larger regulatory process for rate regulation and therefore, neither the jurisdictional separations process, nor the larger regulatory framework in which it exists, is generally designed to confer exclusive regulatory power.  </w:t>
      </w:r>
      <w:r w:rsidR="00EF2727">
        <w:rPr>
          <w:sz w:val="26"/>
          <w:szCs w:val="26"/>
        </w:rPr>
        <w:t>T</w:t>
      </w:r>
      <w:r w:rsidR="00323BA4" w:rsidRPr="00323BA4">
        <w:rPr>
          <w:sz w:val="26"/>
          <w:szCs w:val="26"/>
        </w:rPr>
        <w:t xml:space="preserve">he Court noted </w:t>
      </w:r>
      <w:r w:rsidR="00E1579B">
        <w:rPr>
          <w:sz w:val="26"/>
          <w:szCs w:val="26"/>
        </w:rPr>
        <w:t>that</w:t>
      </w:r>
      <w:r w:rsidR="00E1579B" w:rsidRPr="00323BA4">
        <w:rPr>
          <w:sz w:val="26"/>
          <w:szCs w:val="26"/>
        </w:rPr>
        <w:t xml:space="preserve"> </w:t>
      </w:r>
      <w:r w:rsidR="00323BA4" w:rsidRPr="00323BA4">
        <w:rPr>
          <w:sz w:val="26"/>
          <w:szCs w:val="26"/>
        </w:rPr>
        <w:t xml:space="preserve">the District of Columbia Circuit Court (DC Circuit Court) in </w:t>
      </w:r>
      <w:r w:rsidR="00323BA4" w:rsidRPr="00323BA4">
        <w:rPr>
          <w:i/>
          <w:sz w:val="26"/>
          <w:szCs w:val="26"/>
        </w:rPr>
        <w:t>Illinois Bell</w:t>
      </w:r>
      <w:r w:rsidR="00E1579B">
        <w:rPr>
          <w:sz w:val="26"/>
          <w:szCs w:val="26"/>
        </w:rPr>
        <w:t xml:space="preserve"> </w:t>
      </w:r>
      <w:r w:rsidR="00323BA4" w:rsidRPr="00323BA4">
        <w:rPr>
          <w:sz w:val="26"/>
          <w:szCs w:val="26"/>
        </w:rPr>
        <w:t>recognized that the regulatory accounting treatment of a telecommunications service as interstate or intrastate does not necessarily negate the mixed</w:t>
      </w:r>
      <w:r w:rsidR="00B41342">
        <w:rPr>
          <w:sz w:val="26"/>
          <w:szCs w:val="26"/>
        </w:rPr>
        <w:t>-</w:t>
      </w:r>
      <w:r w:rsidR="00323BA4" w:rsidRPr="00323BA4">
        <w:rPr>
          <w:sz w:val="26"/>
          <w:szCs w:val="26"/>
        </w:rPr>
        <w:t>use character of the service for purposes of regulating other aspects of that service.</w:t>
      </w:r>
      <w:r w:rsidR="00323BA4" w:rsidRPr="00323BA4">
        <w:rPr>
          <w:sz w:val="26"/>
          <w:szCs w:val="26"/>
          <w:vertAlign w:val="superscript"/>
        </w:rPr>
        <w:footnoteReference w:id="5"/>
      </w:r>
      <w:r w:rsidR="00323BA4" w:rsidRPr="00323BA4">
        <w:rPr>
          <w:sz w:val="26"/>
          <w:szCs w:val="26"/>
        </w:rPr>
        <w:t xml:space="preserve">  The Eight Circuit Court found the </w:t>
      </w:r>
      <w:r w:rsidR="00323BA4" w:rsidRPr="00323BA4">
        <w:rPr>
          <w:i/>
          <w:sz w:val="26"/>
          <w:szCs w:val="26"/>
        </w:rPr>
        <w:t>Illinois Bell</w:t>
      </w:r>
      <w:r w:rsidR="00323BA4" w:rsidRPr="00323BA4">
        <w:rPr>
          <w:sz w:val="26"/>
          <w:szCs w:val="26"/>
        </w:rPr>
        <w:t xml:space="preserve"> case instructive and agreed with the DC Circuit Court’s analysis.  </w:t>
      </w:r>
    </w:p>
    <w:p w14:paraId="04F9C811" w14:textId="77777777" w:rsidR="001A2915" w:rsidRPr="001A2915" w:rsidRDefault="001A2915" w:rsidP="001A2915">
      <w:pPr>
        <w:spacing w:line="360" w:lineRule="auto"/>
        <w:ind w:firstLine="720"/>
        <w:textAlignment w:val="baseline"/>
        <w:rPr>
          <w:sz w:val="26"/>
          <w:szCs w:val="26"/>
        </w:rPr>
      </w:pPr>
    </w:p>
    <w:p w14:paraId="7D7CDF68" w14:textId="59069BB7" w:rsidR="00323BA4" w:rsidRPr="00323BA4" w:rsidRDefault="00323BA4" w:rsidP="00323BA4">
      <w:pPr>
        <w:spacing w:line="360" w:lineRule="auto"/>
        <w:ind w:firstLine="720"/>
        <w:textAlignment w:val="baseline"/>
        <w:rPr>
          <w:sz w:val="26"/>
          <w:szCs w:val="26"/>
        </w:rPr>
      </w:pPr>
      <w:r>
        <w:rPr>
          <w:sz w:val="26"/>
          <w:szCs w:val="26"/>
        </w:rPr>
        <w:t xml:space="preserve">Additionally, </w:t>
      </w:r>
      <w:r w:rsidRPr="00323BA4">
        <w:rPr>
          <w:sz w:val="26"/>
          <w:szCs w:val="26"/>
        </w:rPr>
        <w:t xml:space="preserve">the Eighth Circuit Court focused on the </w:t>
      </w:r>
      <w:r w:rsidRPr="00323BA4">
        <w:rPr>
          <w:i/>
          <w:sz w:val="26"/>
          <w:szCs w:val="26"/>
        </w:rPr>
        <w:t>Special Access</w:t>
      </w:r>
      <w:r w:rsidRPr="00323BA4">
        <w:rPr>
          <w:sz w:val="26"/>
          <w:szCs w:val="26"/>
        </w:rPr>
        <w:t xml:space="preserve"> </w:t>
      </w:r>
      <w:r w:rsidRPr="00323BA4">
        <w:rPr>
          <w:i/>
          <w:sz w:val="26"/>
          <w:szCs w:val="26"/>
        </w:rPr>
        <w:t>10% Order</w:t>
      </w:r>
      <w:r w:rsidRPr="00323BA4">
        <w:rPr>
          <w:sz w:val="26"/>
          <w:szCs w:val="26"/>
        </w:rPr>
        <w:t xml:space="preserve"> itself and determined that it </w:t>
      </w:r>
      <w:r w:rsidR="00E1579B">
        <w:rPr>
          <w:sz w:val="26"/>
          <w:szCs w:val="26"/>
        </w:rPr>
        <w:t>was</w:t>
      </w:r>
      <w:r w:rsidR="00E1579B" w:rsidRPr="00323BA4">
        <w:rPr>
          <w:sz w:val="26"/>
          <w:szCs w:val="26"/>
        </w:rPr>
        <w:t xml:space="preserve"> </w:t>
      </w:r>
      <w:r w:rsidRPr="00323BA4">
        <w:rPr>
          <w:sz w:val="26"/>
          <w:szCs w:val="26"/>
        </w:rPr>
        <w:t>plainly concerned with cost allocation.</w:t>
      </w:r>
      <w:r w:rsidRPr="00323BA4">
        <w:rPr>
          <w:sz w:val="26"/>
          <w:szCs w:val="26"/>
          <w:vertAlign w:val="superscript"/>
        </w:rPr>
        <w:footnoteReference w:id="6"/>
      </w:r>
      <w:r w:rsidRPr="00323BA4">
        <w:rPr>
          <w:sz w:val="26"/>
          <w:szCs w:val="26"/>
        </w:rPr>
        <w:t xml:space="preserve">  The Court also noted that the codification of the </w:t>
      </w:r>
      <w:r w:rsidRPr="00323BA4">
        <w:rPr>
          <w:i/>
          <w:sz w:val="26"/>
          <w:szCs w:val="26"/>
        </w:rPr>
        <w:t>Special Access</w:t>
      </w:r>
      <w:r w:rsidRPr="00323BA4">
        <w:rPr>
          <w:sz w:val="26"/>
          <w:szCs w:val="26"/>
        </w:rPr>
        <w:t xml:space="preserve"> </w:t>
      </w:r>
      <w:r w:rsidRPr="00323BA4">
        <w:rPr>
          <w:i/>
          <w:sz w:val="26"/>
          <w:szCs w:val="26"/>
        </w:rPr>
        <w:t xml:space="preserve">10% Order </w:t>
      </w:r>
      <w:r w:rsidRPr="00323BA4">
        <w:rPr>
          <w:sz w:val="26"/>
          <w:szCs w:val="26"/>
        </w:rPr>
        <w:t>likewise refer</w:t>
      </w:r>
      <w:r w:rsidR="00E1579B">
        <w:rPr>
          <w:sz w:val="26"/>
          <w:szCs w:val="26"/>
        </w:rPr>
        <w:t>red</w:t>
      </w:r>
      <w:r w:rsidRPr="00323BA4">
        <w:rPr>
          <w:sz w:val="26"/>
          <w:szCs w:val="26"/>
        </w:rPr>
        <w:t xml:space="preserve"> only to costs, without any mention of other regulatory authority.  </w:t>
      </w:r>
      <w:r w:rsidRPr="00323BA4">
        <w:rPr>
          <w:i/>
          <w:sz w:val="26"/>
          <w:szCs w:val="26"/>
        </w:rPr>
        <w:t xml:space="preserve">See </w:t>
      </w:r>
      <w:r w:rsidRPr="00323BA4">
        <w:rPr>
          <w:sz w:val="26"/>
          <w:szCs w:val="26"/>
        </w:rPr>
        <w:t xml:space="preserve">47 C.F.R. § 36.154(a)-(b).  Furthermore, the Eighth Circuit </w:t>
      </w:r>
      <w:r w:rsidR="00E1579B">
        <w:rPr>
          <w:sz w:val="26"/>
          <w:szCs w:val="26"/>
        </w:rPr>
        <w:t xml:space="preserve">Court </w:t>
      </w:r>
      <w:r w:rsidRPr="00323BA4">
        <w:rPr>
          <w:sz w:val="26"/>
          <w:szCs w:val="26"/>
        </w:rPr>
        <w:t xml:space="preserve">noted that </w:t>
      </w:r>
      <w:r w:rsidR="00217969" w:rsidRPr="00323BA4">
        <w:rPr>
          <w:sz w:val="26"/>
          <w:szCs w:val="26"/>
        </w:rPr>
        <w:t>the</w:t>
      </w:r>
      <w:r>
        <w:rPr>
          <w:sz w:val="26"/>
          <w:szCs w:val="26"/>
          <w:lang w:val="en"/>
        </w:rPr>
        <w:t xml:space="preserve"> </w:t>
      </w:r>
      <w:r w:rsidRPr="00323BA4">
        <w:rPr>
          <w:sz w:val="26"/>
          <w:szCs w:val="26"/>
          <w:lang w:val="en"/>
        </w:rPr>
        <w:t xml:space="preserve">U.S. Supreme Court also has spoken of </w:t>
      </w:r>
      <w:r w:rsidR="007173D2">
        <w:rPr>
          <w:sz w:val="26"/>
          <w:szCs w:val="26"/>
          <w:lang w:val="en"/>
        </w:rPr>
        <w:t>“</w:t>
      </w:r>
      <w:r w:rsidRPr="00323BA4">
        <w:rPr>
          <w:sz w:val="26"/>
          <w:szCs w:val="26"/>
          <w:lang w:val="en"/>
        </w:rPr>
        <w:t>distinct spheres of regulation</w:t>
      </w:r>
      <w:r w:rsidR="007173D2">
        <w:rPr>
          <w:sz w:val="26"/>
          <w:szCs w:val="26"/>
          <w:lang w:val="en"/>
        </w:rPr>
        <w:t>”</w:t>
      </w:r>
      <w:r w:rsidRPr="00323BA4">
        <w:rPr>
          <w:sz w:val="26"/>
          <w:szCs w:val="26"/>
          <w:lang w:val="en"/>
        </w:rPr>
        <w:t xml:space="preserve"> that are recognized by the </w:t>
      </w:r>
      <w:r w:rsidRPr="0043780E">
        <w:rPr>
          <w:color w:val="000000" w:themeColor="text1"/>
          <w:sz w:val="26"/>
          <w:szCs w:val="26"/>
          <w:lang w:val="en"/>
        </w:rPr>
        <w:t xml:space="preserve">jurisdictional separations process, but it has done so in connection with questions of cost allocation and rate regulation. </w:t>
      </w:r>
      <w:r w:rsidR="007173D2">
        <w:rPr>
          <w:color w:val="000000" w:themeColor="text1"/>
          <w:sz w:val="26"/>
          <w:szCs w:val="26"/>
          <w:lang w:val="en"/>
        </w:rPr>
        <w:t xml:space="preserve"> </w:t>
      </w:r>
      <w:r w:rsidRPr="0043780E">
        <w:rPr>
          <w:i/>
          <w:iCs/>
          <w:color w:val="000000" w:themeColor="text1"/>
          <w:sz w:val="26"/>
          <w:szCs w:val="26"/>
          <w:lang w:val="en"/>
        </w:rPr>
        <w:t>Louisiana PSC</w:t>
      </w:r>
      <w:r w:rsidRPr="007173D2">
        <w:rPr>
          <w:iCs/>
          <w:color w:val="000000" w:themeColor="text1"/>
          <w:sz w:val="26"/>
          <w:szCs w:val="26"/>
          <w:lang w:val="en"/>
        </w:rPr>
        <w:t>,</w:t>
      </w:r>
      <w:r w:rsidRPr="0043780E">
        <w:rPr>
          <w:color w:val="000000" w:themeColor="text1"/>
          <w:sz w:val="26"/>
          <w:szCs w:val="26"/>
          <w:lang w:val="en"/>
        </w:rPr>
        <w:t xml:space="preserve"> 476 U.S. at 375 (citing </w:t>
      </w:r>
      <w:r w:rsidRPr="0043780E">
        <w:rPr>
          <w:i/>
          <w:iCs/>
          <w:color w:val="000000" w:themeColor="text1"/>
          <w:sz w:val="26"/>
          <w:szCs w:val="26"/>
          <w:lang w:val="en"/>
        </w:rPr>
        <w:t>Smith</w:t>
      </w:r>
      <w:r w:rsidR="007173D2" w:rsidRPr="007173D2">
        <w:rPr>
          <w:iCs/>
          <w:color w:val="000000" w:themeColor="text1"/>
          <w:sz w:val="26"/>
          <w:szCs w:val="26"/>
          <w:lang w:val="en"/>
        </w:rPr>
        <w:t>,</w:t>
      </w:r>
      <w:r w:rsidRPr="0043780E">
        <w:rPr>
          <w:color w:val="000000" w:themeColor="text1"/>
          <w:sz w:val="26"/>
          <w:szCs w:val="26"/>
          <w:lang w:val="en"/>
        </w:rPr>
        <w:t xml:space="preserve"> </w:t>
      </w:r>
      <w:r w:rsidRPr="0043780E">
        <w:rPr>
          <w:rStyle w:val="Hyperlink"/>
          <w:color w:val="000000" w:themeColor="text1"/>
          <w:sz w:val="26"/>
          <w:szCs w:val="26"/>
          <w:u w:val="none"/>
          <w:lang w:val="en"/>
        </w:rPr>
        <w:t>282 U.S. 133</w:t>
      </w:r>
      <w:r w:rsidRPr="0043780E">
        <w:rPr>
          <w:color w:val="000000" w:themeColor="text1"/>
          <w:sz w:val="26"/>
          <w:szCs w:val="26"/>
          <w:lang w:val="en"/>
        </w:rPr>
        <w:t xml:space="preserve">, </w:t>
      </w:r>
      <w:r w:rsidRPr="00323BA4">
        <w:rPr>
          <w:sz w:val="26"/>
          <w:szCs w:val="26"/>
          <w:lang w:val="en"/>
        </w:rPr>
        <w:t>51 S. Ct. 65, 75</w:t>
      </w:r>
      <w:r w:rsidR="00217969">
        <w:rPr>
          <w:sz w:val="26"/>
          <w:szCs w:val="26"/>
          <w:lang w:val="en"/>
        </w:rPr>
        <w:t> </w:t>
      </w:r>
      <w:r w:rsidRPr="00323BA4">
        <w:rPr>
          <w:sz w:val="26"/>
          <w:szCs w:val="26"/>
          <w:lang w:val="en"/>
        </w:rPr>
        <w:t xml:space="preserve">L. Ed. 255).  Moreover, the Eighth Circuit further noted that the Joint Board explained in recommending the ten percent rule, </w:t>
      </w:r>
      <w:r w:rsidR="007173D2">
        <w:rPr>
          <w:sz w:val="26"/>
          <w:szCs w:val="26"/>
          <w:lang w:val="en"/>
        </w:rPr>
        <w:t>“</w:t>
      </w:r>
      <w:r w:rsidRPr="00323BA4">
        <w:rPr>
          <w:sz w:val="26"/>
          <w:szCs w:val="26"/>
          <w:lang w:val="en"/>
        </w:rPr>
        <w:t>[t]he fundamental principles of separations were described by the Supreme Court in [</w:t>
      </w:r>
      <w:r w:rsidRPr="00323BA4">
        <w:rPr>
          <w:i/>
          <w:iCs/>
          <w:sz w:val="26"/>
          <w:szCs w:val="26"/>
          <w:lang w:val="en"/>
        </w:rPr>
        <w:t>Smith</w:t>
      </w:r>
      <w:r w:rsidRPr="00323BA4">
        <w:rPr>
          <w:sz w:val="26"/>
          <w:szCs w:val="26"/>
          <w:lang w:val="en"/>
        </w:rPr>
        <w:t xml:space="preserve">], which holds that the separation of telephone company plant is necessary </w:t>
      </w:r>
      <w:r w:rsidRPr="00323BA4">
        <w:rPr>
          <w:i/>
          <w:iCs/>
          <w:sz w:val="26"/>
          <w:szCs w:val="26"/>
          <w:lang w:val="en"/>
        </w:rPr>
        <w:t>to proper rate regulation.</w:t>
      </w:r>
      <w:r w:rsidR="007173D2">
        <w:rPr>
          <w:sz w:val="26"/>
          <w:szCs w:val="26"/>
          <w:lang w:val="en"/>
        </w:rPr>
        <w:t>”</w:t>
      </w:r>
      <w:r w:rsidRPr="00323BA4">
        <w:rPr>
          <w:sz w:val="26"/>
          <w:szCs w:val="26"/>
          <w:lang w:val="en"/>
        </w:rPr>
        <w:t xml:space="preserve"> </w:t>
      </w:r>
      <w:r w:rsidRPr="00323BA4">
        <w:rPr>
          <w:i/>
          <w:iCs/>
          <w:sz w:val="26"/>
          <w:szCs w:val="26"/>
          <w:lang w:val="en"/>
        </w:rPr>
        <w:t>10%</w:t>
      </w:r>
      <w:r w:rsidR="007173D2">
        <w:rPr>
          <w:i/>
          <w:iCs/>
          <w:sz w:val="26"/>
          <w:szCs w:val="26"/>
          <w:lang w:val="en"/>
        </w:rPr>
        <w:t> </w:t>
      </w:r>
      <w:r w:rsidRPr="00323BA4">
        <w:rPr>
          <w:i/>
          <w:iCs/>
          <w:sz w:val="26"/>
          <w:szCs w:val="26"/>
          <w:lang w:val="en"/>
        </w:rPr>
        <w:t>Recommendation</w:t>
      </w:r>
      <w:r w:rsidRPr="007173D2">
        <w:rPr>
          <w:iCs/>
          <w:sz w:val="26"/>
          <w:szCs w:val="26"/>
          <w:lang w:val="en"/>
        </w:rPr>
        <w:t>,</w:t>
      </w:r>
      <w:r w:rsidRPr="00323BA4">
        <w:rPr>
          <w:sz w:val="26"/>
          <w:szCs w:val="26"/>
          <w:lang w:val="en"/>
        </w:rPr>
        <w:t xml:space="preserve"> 4</w:t>
      </w:r>
      <w:r w:rsidR="00217969">
        <w:rPr>
          <w:sz w:val="26"/>
          <w:szCs w:val="26"/>
          <w:lang w:val="en"/>
        </w:rPr>
        <w:t> </w:t>
      </w:r>
      <w:r w:rsidRPr="00323BA4">
        <w:rPr>
          <w:sz w:val="26"/>
          <w:szCs w:val="26"/>
          <w:lang w:val="en"/>
        </w:rPr>
        <w:t xml:space="preserve">F.C.C.R. 1352 at ¶ 33 (citation omitted) (emphasis added).  Accordingly, the Eighth Circuit Court concluded that when the </w:t>
      </w:r>
      <w:r w:rsidRPr="00323BA4">
        <w:rPr>
          <w:i/>
          <w:sz w:val="26"/>
          <w:szCs w:val="26"/>
          <w:lang w:val="en"/>
        </w:rPr>
        <w:t>Special Access</w:t>
      </w:r>
      <w:r w:rsidRPr="00323BA4">
        <w:rPr>
          <w:sz w:val="26"/>
          <w:szCs w:val="26"/>
          <w:lang w:val="en"/>
        </w:rPr>
        <w:t xml:space="preserve"> </w:t>
      </w:r>
      <w:r w:rsidRPr="00323BA4">
        <w:rPr>
          <w:i/>
          <w:iCs/>
          <w:sz w:val="26"/>
          <w:szCs w:val="26"/>
          <w:lang w:val="en"/>
        </w:rPr>
        <w:t>10% Order</w:t>
      </w:r>
      <w:r w:rsidRPr="00323BA4">
        <w:rPr>
          <w:sz w:val="26"/>
          <w:szCs w:val="26"/>
          <w:lang w:val="en"/>
        </w:rPr>
        <w:t xml:space="preserve"> is read as a whole, the Commission's expressed intent to preempt state regulation does not extend to performance measurements and standards.</w:t>
      </w:r>
    </w:p>
    <w:p w14:paraId="3A939191" w14:textId="77777777" w:rsidR="00323BA4" w:rsidRPr="00323BA4" w:rsidRDefault="00323BA4" w:rsidP="00323BA4">
      <w:pPr>
        <w:spacing w:line="360" w:lineRule="auto"/>
        <w:ind w:firstLine="720"/>
        <w:textAlignment w:val="baseline"/>
        <w:rPr>
          <w:sz w:val="26"/>
          <w:szCs w:val="26"/>
        </w:rPr>
      </w:pPr>
    </w:p>
    <w:p w14:paraId="4A443A06" w14:textId="709890C8" w:rsidR="00FB336C" w:rsidRDefault="00323BA4" w:rsidP="00323BA4">
      <w:pPr>
        <w:spacing w:line="360" w:lineRule="auto"/>
        <w:ind w:firstLine="720"/>
        <w:textAlignment w:val="baseline"/>
        <w:rPr>
          <w:sz w:val="26"/>
          <w:szCs w:val="26"/>
        </w:rPr>
      </w:pPr>
      <w:r w:rsidRPr="00323BA4">
        <w:rPr>
          <w:sz w:val="26"/>
          <w:szCs w:val="26"/>
        </w:rPr>
        <w:t xml:space="preserve">Thus, in </w:t>
      </w:r>
      <w:r w:rsidRPr="00323BA4">
        <w:rPr>
          <w:i/>
          <w:sz w:val="26"/>
          <w:szCs w:val="26"/>
        </w:rPr>
        <w:t>Scott</w:t>
      </w:r>
      <w:r w:rsidRPr="00323BA4">
        <w:rPr>
          <w:sz w:val="26"/>
          <w:szCs w:val="26"/>
        </w:rPr>
        <w:t>, the Eighth Circuit Court determined that the FCC</w:t>
      </w:r>
      <w:r w:rsidR="007173D2">
        <w:rPr>
          <w:sz w:val="26"/>
          <w:szCs w:val="26"/>
        </w:rPr>
        <w:t>’</w:t>
      </w:r>
      <w:r w:rsidRPr="00323BA4">
        <w:rPr>
          <w:sz w:val="26"/>
          <w:szCs w:val="26"/>
        </w:rPr>
        <w:t xml:space="preserve">s orders concerning the ten percent contamination rule </w:t>
      </w:r>
      <w:r w:rsidR="00E1579B">
        <w:rPr>
          <w:sz w:val="26"/>
          <w:szCs w:val="26"/>
        </w:rPr>
        <w:t>were</w:t>
      </w:r>
      <w:r w:rsidR="00E1579B" w:rsidRPr="00323BA4">
        <w:rPr>
          <w:sz w:val="26"/>
          <w:szCs w:val="26"/>
        </w:rPr>
        <w:t xml:space="preserve"> </w:t>
      </w:r>
      <w:r w:rsidRPr="00323BA4">
        <w:rPr>
          <w:sz w:val="26"/>
          <w:szCs w:val="26"/>
        </w:rPr>
        <w:t xml:space="preserve">consistent with </w:t>
      </w:r>
      <w:r w:rsidR="00E1579B">
        <w:rPr>
          <w:sz w:val="26"/>
          <w:szCs w:val="26"/>
        </w:rPr>
        <w:t>the Court’s</w:t>
      </w:r>
      <w:r w:rsidR="00E1579B" w:rsidRPr="00323BA4">
        <w:rPr>
          <w:sz w:val="26"/>
          <w:szCs w:val="26"/>
        </w:rPr>
        <w:t xml:space="preserve"> </w:t>
      </w:r>
      <w:r w:rsidRPr="00323BA4">
        <w:rPr>
          <w:sz w:val="26"/>
          <w:szCs w:val="26"/>
        </w:rPr>
        <w:t xml:space="preserve">view that jurisdictional separations procedures generally are designed to allocate </w:t>
      </w:r>
      <w:r w:rsidRPr="00217969">
        <w:rPr>
          <w:i/>
          <w:sz w:val="26"/>
          <w:szCs w:val="26"/>
        </w:rPr>
        <w:t>costs</w:t>
      </w:r>
      <w:r w:rsidRPr="00323BA4">
        <w:rPr>
          <w:sz w:val="26"/>
          <w:szCs w:val="26"/>
        </w:rPr>
        <w:t xml:space="preserve"> </w:t>
      </w:r>
      <w:r w:rsidRPr="00323BA4">
        <w:rPr>
          <w:i/>
          <w:sz w:val="26"/>
          <w:szCs w:val="26"/>
        </w:rPr>
        <w:t>only</w:t>
      </w:r>
      <w:r w:rsidRPr="00323BA4">
        <w:rPr>
          <w:sz w:val="26"/>
          <w:szCs w:val="26"/>
        </w:rPr>
        <w:t xml:space="preserve"> and regulatory authority over </w:t>
      </w:r>
      <w:r w:rsidRPr="00217969">
        <w:rPr>
          <w:i/>
          <w:sz w:val="26"/>
          <w:szCs w:val="26"/>
        </w:rPr>
        <w:t>ratemaking</w:t>
      </w:r>
      <w:r w:rsidRPr="00323BA4">
        <w:rPr>
          <w:sz w:val="26"/>
          <w:szCs w:val="26"/>
        </w:rPr>
        <w:t xml:space="preserve">, rather than </w:t>
      </w:r>
      <w:r w:rsidRPr="00323BA4">
        <w:rPr>
          <w:i/>
          <w:sz w:val="26"/>
          <w:szCs w:val="26"/>
        </w:rPr>
        <w:t>plenary</w:t>
      </w:r>
      <w:r w:rsidRPr="00323BA4">
        <w:rPr>
          <w:sz w:val="26"/>
          <w:szCs w:val="26"/>
        </w:rPr>
        <w:t xml:space="preserve"> regulatory authority over a telecommunications service.  The Eighth Circuit Court concluded that when the </w:t>
      </w:r>
      <w:r w:rsidRPr="00323BA4">
        <w:rPr>
          <w:i/>
          <w:sz w:val="26"/>
          <w:szCs w:val="26"/>
        </w:rPr>
        <w:t>Special Access</w:t>
      </w:r>
      <w:r w:rsidRPr="00323BA4">
        <w:rPr>
          <w:sz w:val="26"/>
          <w:szCs w:val="26"/>
        </w:rPr>
        <w:t xml:space="preserve"> </w:t>
      </w:r>
      <w:r w:rsidRPr="00323BA4">
        <w:rPr>
          <w:i/>
          <w:sz w:val="26"/>
          <w:szCs w:val="26"/>
        </w:rPr>
        <w:t xml:space="preserve">10% Order </w:t>
      </w:r>
      <w:r w:rsidRPr="00323BA4">
        <w:rPr>
          <w:sz w:val="26"/>
          <w:szCs w:val="26"/>
        </w:rPr>
        <w:t>is read as a whole, the FCC's expressed intent to preempt state regulation does not extend to performance measurements and standards.  Therefore, the Eighth Circuit Court reversed the district court’s grant of a permanent injunction as to applicability of the Minnesota Commission’s performance standards to the interstate special access lines.</w:t>
      </w:r>
      <w:r>
        <w:rPr>
          <w:sz w:val="26"/>
          <w:szCs w:val="26"/>
        </w:rPr>
        <w:t xml:space="preserve">  </w:t>
      </w:r>
    </w:p>
    <w:p w14:paraId="3672C38F" w14:textId="77777777" w:rsidR="00FB336C" w:rsidRDefault="00FB336C" w:rsidP="00323BA4">
      <w:pPr>
        <w:spacing w:line="360" w:lineRule="auto"/>
        <w:ind w:firstLine="720"/>
        <w:textAlignment w:val="baseline"/>
        <w:rPr>
          <w:sz w:val="26"/>
          <w:szCs w:val="26"/>
          <w:lang w:val="en"/>
        </w:rPr>
      </w:pPr>
    </w:p>
    <w:p w14:paraId="6BC51472" w14:textId="2F2C8E3B" w:rsidR="00FB336C" w:rsidRDefault="00FB336C" w:rsidP="00FB336C">
      <w:pPr>
        <w:spacing w:line="360" w:lineRule="auto"/>
        <w:ind w:firstLine="720"/>
        <w:rPr>
          <w:spacing w:val="-1"/>
          <w:sz w:val="26"/>
          <w:szCs w:val="26"/>
        </w:rPr>
      </w:pPr>
      <w:r>
        <w:rPr>
          <w:sz w:val="26"/>
          <w:szCs w:val="26"/>
          <w:lang w:val="en"/>
        </w:rPr>
        <w:t xml:space="preserve">Likewise, </w:t>
      </w:r>
      <w:r w:rsidR="00323BA4" w:rsidRPr="00323BA4">
        <w:rPr>
          <w:sz w:val="26"/>
          <w:szCs w:val="26"/>
          <w:lang w:val="en"/>
        </w:rPr>
        <w:t xml:space="preserve">the FCC has not preempted </w:t>
      </w:r>
      <w:r w:rsidR="00EF2727">
        <w:rPr>
          <w:sz w:val="26"/>
          <w:szCs w:val="26"/>
          <w:lang w:val="en"/>
        </w:rPr>
        <w:t>the Commission’s authority to direct</w:t>
      </w:r>
      <w:r>
        <w:rPr>
          <w:sz w:val="26"/>
          <w:szCs w:val="26"/>
          <w:lang w:val="en"/>
        </w:rPr>
        <w:t xml:space="preserve"> telecommunications public utilities to report </w:t>
      </w:r>
      <w:r w:rsidRPr="00FB336C">
        <w:rPr>
          <w:sz w:val="26"/>
          <w:szCs w:val="26"/>
        </w:rPr>
        <w:t xml:space="preserve">their </w:t>
      </w:r>
      <w:r w:rsidRPr="00FB336C">
        <w:rPr>
          <w:i/>
          <w:sz w:val="26"/>
          <w:szCs w:val="26"/>
        </w:rPr>
        <w:t>de facto</w:t>
      </w:r>
      <w:r w:rsidRPr="00FB336C">
        <w:rPr>
          <w:sz w:val="26"/>
          <w:szCs w:val="26"/>
        </w:rPr>
        <w:t xml:space="preserve"> gross intrastate revenues with the Commission</w:t>
      </w:r>
      <w:r>
        <w:rPr>
          <w:sz w:val="26"/>
          <w:szCs w:val="26"/>
        </w:rPr>
        <w:t xml:space="preserve"> for mixed</w:t>
      </w:r>
      <w:r w:rsidR="00B41342">
        <w:rPr>
          <w:sz w:val="26"/>
          <w:szCs w:val="26"/>
        </w:rPr>
        <w:t>-</w:t>
      </w:r>
      <w:r>
        <w:rPr>
          <w:sz w:val="26"/>
          <w:szCs w:val="26"/>
        </w:rPr>
        <w:t xml:space="preserve">use </w:t>
      </w:r>
      <w:r w:rsidR="00E9134F">
        <w:rPr>
          <w:sz w:val="26"/>
          <w:szCs w:val="26"/>
        </w:rPr>
        <w:t xml:space="preserve">special </w:t>
      </w:r>
      <w:r>
        <w:rPr>
          <w:sz w:val="26"/>
          <w:szCs w:val="26"/>
        </w:rPr>
        <w:t xml:space="preserve">access lines and </w:t>
      </w:r>
      <w:r w:rsidR="00EF2727">
        <w:rPr>
          <w:sz w:val="26"/>
          <w:szCs w:val="26"/>
        </w:rPr>
        <w:t xml:space="preserve">to </w:t>
      </w:r>
      <w:r>
        <w:rPr>
          <w:sz w:val="26"/>
          <w:szCs w:val="26"/>
        </w:rPr>
        <w:t>impos</w:t>
      </w:r>
      <w:r w:rsidR="00EF2727">
        <w:rPr>
          <w:sz w:val="26"/>
          <w:szCs w:val="26"/>
        </w:rPr>
        <w:t>e</w:t>
      </w:r>
      <w:r>
        <w:rPr>
          <w:sz w:val="26"/>
          <w:szCs w:val="26"/>
        </w:rPr>
        <w:t xml:space="preserve"> a fiscal assessment so that these carriers </w:t>
      </w:r>
      <w:r w:rsidRPr="00FB336C">
        <w:rPr>
          <w:sz w:val="26"/>
          <w:szCs w:val="26"/>
        </w:rPr>
        <w:t xml:space="preserve">pay for the reasonable costs attributable to the </w:t>
      </w:r>
      <w:r w:rsidR="00E1579B">
        <w:rPr>
          <w:sz w:val="26"/>
          <w:szCs w:val="26"/>
        </w:rPr>
        <w:t xml:space="preserve">Commission’s administration of the Public Utility Code, which includes various degrees of </w:t>
      </w:r>
      <w:r w:rsidRPr="00FB336C">
        <w:rPr>
          <w:sz w:val="26"/>
          <w:szCs w:val="26"/>
        </w:rPr>
        <w:t xml:space="preserve">regulation of telecommunications carriers.  </w:t>
      </w:r>
      <w:r>
        <w:rPr>
          <w:rFonts w:eastAsia="Calibri"/>
          <w:sz w:val="26"/>
          <w:szCs w:val="26"/>
        </w:rPr>
        <w:t xml:space="preserve">While </w:t>
      </w:r>
      <w:r w:rsidRPr="00CB17D4">
        <w:rPr>
          <w:rFonts w:eastAsia="Calibri"/>
          <w:sz w:val="26"/>
          <w:szCs w:val="26"/>
        </w:rPr>
        <w:t xml:space="preserve">preemption may be implied where the state action </w:t>
      </w:r>
      <w:proofErr w:type="gramStart"/>
      <w:r w:rsidRPr="00CB17D4">
        <w:rPr>
          <w:rFonts w:eastAsia="Calibri"/>
          <w:sz w:val="26"/>
          <w:szCs w:val="26"/>
        </w:rPr>
        <w:t>actually conflict</w:t>
      </w:r>
      <w:r w:rsidR="00E1579B">
        <w:rPr>
          <w:rFonts w:eastAsia="Calibri"/>
          <w:sz w:val="26"/>
          <w:szCs w:val="26"/>
        </w:rPr>
        <w:t>s</w:t>
      </w:r>
      <w:proofErr w:type="gramEnd"/>
      <w:r w:rsidRPr="00CB17D4">
        <w:rPr>
          <w:rFonts w:eastAsia="Calibri"/>
          <w:sz w:val="26"/>
          <w:szCs w:val="26"/>
        </w:rPr>
        <w:t xml:space="preserve"> with the federal law or </w:t>
      </w:r>
      <w:r w:rsidR="00E1579B">
        <w:rPr>
          <w:rFonts w:eastAsia="Calibri"/>
          <w:sz w:val="26"/>
          <w:szCs w:val="26"/>
        </w:rPr>
        <w:t xml:space="preserve">frustrates </w:t>
      </w:r>
      <w:r w:rsidRPr="00CB17D4">
        <w:rPr>
          <w:rFonts w:eastAsia="Calibri"/>
          <w:sz w:val="26"/>
          <w:szCs w:val="26"/>
        </w:rPr>
        <w:t>its purposes</w:t>
      </w:r>
      <w:r>
        <w:rPr>
          <w:rFonts w:eastAsia="Calibri"/>
          <w:sz w:val="26"/>
          <w:szCs w:val="26"/>
        </w:rPr>
        <w:t xml:space="preserve">, </w:t>
      </w:r>
      <w:r w:rsidR="00EF2727">
        <w:rPr>
          <w:rFonts w:eastAsia="Calibri"/>
          <w:sz w:val="26"/>
          <w:szCs w:val="26"/>
        </w:rPr>
        <w:t xml:space="preserve">there is no such conflict or frustration of purpose with directing </w:t>
      </w:r>
      <w:r w:rsidR="00EF2727">
        <w:rPr>
          <w:sz w:val="26"/>
          <w:szCs w:val="26"/>
          <w:lang w:val="en"/>
        </w:rPr>
        <w:t xml:space="preserve">telecommunications public utilities to report </w:t>
      </w:r>
      <w:r w:rsidR="00EF2727" w:rsidRPr="00FB336C">
        <w:rPr>
          <w:sz w:val="26"/>
          <w:szCs w:val="26"/>
        </w:rPr>
        <w:t xml:space="preserve">their </w:t>
      </w:r>
      <w:r w:rsidR="00EF2727" w:rsidRPr="00FB336C">
        <w:rPr>
          <w:i/>
          <w:sz w:val="26"/>
          <w:szCs w:val="26"/>
        </w:rPr>
        <w:t>de facto</w:t>
      </w:r>
      <w:r w:rsidR="00EF2727" w:rsidRPr="00FB336C">
        <w:rPr>
          <w:sz w:val="26"/>
          <w:szCs w:val="26"/>
        </w:rPr>
        <w:t xml:space="preserve"> gross intrastate revenues with the Commission</w:t>
      </w:r>
      <w:r w:rsidR="00EF2727">
        <w:rPr>
          <w:sz w:val="26"/>
          <w:szCs w:val="26"/>
        </w:rPr>
        <w:t xml:space="preserve"> for mixed</w:t>
      </w:r>
      <w:r w:rsidR="00B41342">
        <w:rPr>
          <w:sz w:val="26"/>
          <w:szCs w:val="26"/>
        </w:rPr>
        <w:t>-</w:t>
      </w:r>
      <w:r w:rsidR="00EF2727">
        <w:rPr>
          <w:sz w:val="26"/>
          <w:szCs w:val="26"/>
        </w:rPr>
        <w:t xml:space="preserve">use access lines for regulatory assessment purposes.  </w:t>
      </w:r>
      <w:r w:rsidR="00EF2727">
        <w:rPr>
          <w:rFonts w:eastAsia="Calibri"/>
          <w:sz w:val="26"/>
          <w:szCs w:val="26"/>
        </w:rPr>
        <w:t>T</w:t>
      </w:r>
      <w:r w:rsidR="00EF2727" w:rsidRPr="00CB17D4">
        <w:rPr>
          <w:spacing w:val="-2"/>
          <w:sz w:val="26"/>
          <w:szCs w:val="26"/>
        </w:rPr>
        <w:t xml:space="preserve">he </w:t>
      </w:r>
      <w:r w:rsidRPr="00CB17D4">
        <w:rPr>
          <w:spacing w:val="-2"/>
          <w:sz w:val="26"/>
          <w:szCs w:val="26"/>
        </w:rPr>
        <w:t>FCC</w:t>
      </w:r>
      <w:r>
        <w:rPr>
          <w:spacing w:val="-2"/>
          <w:sz w:val="26"/>
          <w:szCs w:val="26"/>
        </w:rPr>
        <w:t>’</w:t>
      </w:r>
      <w:r w:rsidRPr="00CB17D4">
        <w:rPr>
          <w:spacing w:val="-2"/>
          <w:sz w:val="26"/>
          <w:szCs w:val="26"/>
        </w:rPr>
        <w:t xml:space="preserve">s orders concerning the ten percent contamination rule are consistent with </w:t>
      </w:r>
      <w:r w:rsidR="00E1579B">
        <w:rPr>
          <w:spacing w:val="-2"/>
          <w:sz w:val="26"/>
          <w:szCs w:val="26"/>
        </w:rPr>
        <w:t>the Commission’s</w:t>
      </w:r>
      <w:r w:rsidR="00E1579B" w:rsidRPr="00CB17D4">
        <w:rPr>
          <w:spacing w:val="-2"/>
          <w:sz w:val="26"/>
          <w:szCs w:val="26"/>
        </w:rPr>
        <w:t xml:space="preserve"> </w:t>
      </w:r>
      <w:r w:rsidRPr="00CB17D4">
        <w:rPr>
          <w:spacing w:val="-2"/>
          <w:sz w:val="26"/>
          <w:szCs w:val="26"/>
        </w:rPr>
        <w:t xml:space="preserve">view that jurisdictional separations procedures generally are designed to allocate </w:t>
      </w:r>
      <w:r w:rsidRPr="00217969">
        <w:rPr>
          <w:i/>
          <w:spacing w:val="-2"/>
          <w:sz w:val="26"/>
          <w:szCs w:val="26"/>
        </w:rPr>
        <w:t xml:space="preserve">costs </w:t>
      </w:r>
      <w:r w:rsidRPr="00E1579B">
        <w:rPr>
          <w:i/>
          <w:spacing w:val="-2"/>
          <w:sz w:val="26"/>
          <w:szCs w:val="26"/>
        </w:rPr>
        <w:t>only</w:t>
      </w:r>
      <w:r w:rsidRPr="00217969">
        <w:rPr>
          <w:i/>
          <w:spacing w:val="-2"/>
          <w:sz w:val="26"/>
          <w:szCs w:val="26"/>
        </w:rPr>
        <w:t xml:space="preserve"> and regulatory authority over ratemaking</w:t>
      </w:r>
      <w:r w:rsidRPr="00CB17D4">
        <w:rPr>
          <w:spacing w:val="-2"/>
          <w:sz w:val="26"/>
          <w:szCs w:val="26"/>
        </w:rPr>
        <w:t xml:space="preserve">, rather than </w:t>
      </w:r>
      <w:r w:rsidRPr="00CB17D4">
        <w:rPr>
          <w:i/>
          <w:spacing w:val="-2"/>
          <w:sz w:val="26"/>
          <w:szCs w:val="26"/>
        </w:rPr>
        <w:t>plenary</w:t>
      </w:r>
      <w:r w:rsidRPr="00CB17D4">
        <w:rPr>
          <w:spacing w:val="-2"/>
          <w:sz w:val="26"/>
          <w:szCs w:val="26"/>
        </w:rPr>
        <w:t xml:space="preserve"> regulatory authority over a telecommunications service.  </w:t>
      </w:r>
      <w:r>
        <w:rPr>
          <w:spacing w:val="-2"/>
          <w:sz w:val="26"/>
          <w:szCs w:val="26"/>
        </w:rPr>
        <w:t xml:space="preserve">Thus, </w:t>
      </w:r>
      <w:r w:rsidRPr="00CB17D4">
        <w:rPr>
          <w:spacing w:val="-3"/>
          <w:sz w:val="26"/>
          <w:szCs w:val="26"/>
        </w:rPr>
        <w:t xml:space="preserve">when the </w:t>
      </w:r>
      <w:r w:rsidRPr="00CB17D4">
        <w:rPr>
          <w:i/>
          <w:spacing w:val="-3"/>
          <w:sz w:val="26"/>
          <w:szCs w:val="26"/>
        </w:rPr>
        <w:t>Special Access</w:t>
      </w:r>
      <w:r w:rsidRPr="00CB17D4">
        <w:rPr>
          <w:spacing w:val="-3"/>
          <w:sz w:val="26"/>
          <w:szCs w:val="26"/>
        </w:rPr>
        <w:t xml:space="preserve"> </w:t>
      </w:r>
      <w:r w:rsidRPr="00CB17D4">
        <w:rPr>
          <w:i/>
          <w:spacing w:val="-3"/>
          <w:sz w:val="26"/>
          <w:szCs w:val="26"/>
        </w:rPr>
        <w:t xml:space="preserve">10% Order </w:t>
      </w:r>
      <w:r w:rsidRPr="00CB17D4">
        <w:rPr>
          <w:spacing w:val="-3"/>
          <w:sz w:val="26"/>
          <w:szCs w:val="26"/>
        </w:rPr>
        <w:t>is read as a whole</w:t>
      </w:r>
      <w:r>
        <w:rPr>
          <w:spacing w:val="-3"/>
          <w:sz w:val="26"/>
          <w:szCs w:val="26"/>
        </w:rPr>
        <w:t xml:space="preserve"> and within the context of other substantive orders in which the FCC has addressed preemption</w:t>
      </w:r>
      <w:r w:rsidRPr="00CB17D4">
        <w:rPr>
          <w:spacing w:val="-3"/>
          <w:sz w:val="26"/>
          <w:szCs w:val="26"/>
        </w:rPr>
        <w:t>, the FCC</w:t>
      </w:r>
      <w:r>
        <w:rPr>
          <w:spacing w:val="-3"/>
          <w:sz w:val="26"/>
          <w:szCs w:val="26"/>
        </w:rPr>
        <w:t>’</w:t>
      </w:r>
      <w:r w:rsidRPr="00CB17D4">
        <w:rPr>
          <w:spacing w:val="-3"/>
          <w:sz w:val="26"/>
          <w:szCs w:val="26"/>
        </w:rPr>
        <w:t xml:space="preserve">s intent to preempt state regulation </w:t>
      </w:r>
      <w:r w:rsidR="00EF2727">
        <w:rPr>
          <w:spacing w:val="-3"/>
          <w:sz w:val="26"/>
          <w:szCs w:val="26"/>
        </w:rPr>
        <w:t xml:space="preserve">is limited to cost allocation and ratemaking and </w:t>
      </w:r>
      <w:r>
        <w:rPr>
          <w:spacing w:val="-3"/>
          <w:sz w:val="26"/>
          <w:szCs w:val="26"/>
        </w:rPr>
        <w:t>has</w:t>
      </w:r>
      <w:r w:rsidRPr="00CB17D4">
        <w:rPr>
          <w:spacing w:val="-3"/>
          <w:sz w:val="26"/>
          <w:szCs w:val="26"/>
        </w:rPr>
        <w:t xml:space="preserve"> not extend</w:t>
      </w:r>
      <w:r>
        <w:rPr>
          <w:spacing w:val="-3"/>
          <w:sz w:val="26"/>
          <w:szCs w:val="26"/>
        </w:rPr>
        <w:t>ed</w:t>
      </w:r>
      <w:r w:rsidRPr="00CB17D4">
        <w:rPr>
          <w:spacing w:val="-3"/>
          <w:sz w:val="26"/>
          <w:szCs w:val="26"/>
        </w:rPr>
        <w:t xml:space="preserve"> to</w:t>
      </w:r>
      <w:r>
        <w:rPr>
          <w:spacing w:val="-3"/>
          <w:sz w:val="26"/>
          <w:szCs w:val="26"/>
        </w:rPr>
        <w:t xml:space="preserve"> a state’s assessment of certificated carriers in order to recover </w:t>
      </w:r>
      <w:r w:rsidR="00E1579B">
        <w:rPr>
          <w:spacing w:val="-3"/>
          <w:sz w:val="26"/>
          <w:szCs w:val="26"/>
        </w:rPr>
        <w:t xml:space="preserve">from those carriers </w:t>
      </w:r>
      <w:r>
        <w:rPr>
          <w:spacing w:val="-3"/>
          <w:sz w:val="26"/>
          <w:szCs w:val="26"/>
        </w:rPr>
        <w:t xml:space="preserve">the </w:t>
      </w:r>
      <w:r w:rsidR="00E1579B">
        <w:rPr>
          <w:spacing w:val="-3"/>
          <w:sz w:val="26"/>
          <w:szCs w:val="26"/>
        </w:rPr>
        <w:t xml:space="preserve">Commission’s </w:t>
      </w:r>
      <w:r>
        <w:rPr>
          <w:spacing w:val="-3"/>
          <w:sz w:val="26"/>
          <w:szCs w:val="26"/>
        </w:rPr>
        <w:t xml:space="preserve">cost </w:t>
      </w:r>
      <w:r w:rsidRPr="00DC74D5">
        <w:rPr>
          <w:spacing w:val="-1"/>
          <w:sz w:val="26"/>
          <w:szCs w:val="26"/>
        </w:rPr>
        <w:t>of administering the Public Utility Code.</w:t>
      </w:r>
    </w:p>
    <w:p w14:paraId="02AE4EE8" w14:textId="77777777" w:rsidR="00323BA4" w:rsidRPr="00323BA4" w:rsidRDefault="00323BA4" w:rsidP="00323BA4">
      <w:pPr>
        <w:spacing w:line="360" w:lineRule="auto"/>
        <w:ind w:firstLine="720"/>
        <w:textAlignment w:val="baseline"/>
        <w:rPr>
          <w:sz w:val="26"/>
          <w:szCs w:val="26"/>
        </w:rPr>
      </w:pPr>
    </w:p>
    <w:p w14:paraId="7415C690" w14:textId="0606CC86" w:rsidR="001B3796" w:rsidRDefault="004F4E42" w:rsidP="00737933">
      <w:pPr>
        <w:spacing w:line="360" w:lineRule="auto"/>
        <w:ind w:firstLine="720"/>
        <w:textAlignment w:val="baseline"/>
        <w:rPr>
          <w:sz w:val="26"/>
          <w:szCs w:val="26"/>
        </w:rPr>
      </w:pPr>
      <w:r>
        <w:rPr>
          <w:sz w:val="26"/>
          <w:szCs w:val="26"/>
          <w:lang w:val="en"/>
        </w:rPr>
        <w:t xml:space="preserve">Based on these cases, </w:t>
      </w:r>
      <w:r w:rsidR="00E1579B">
        <w:rPr>
          <w:sz w:val="26"/>
          <w:szCs w:val="26"/>
          <w:lang w:val="en"/>
        </w:rPr>
        <w:t xml:space="preserve">the Commission concludes </w:t>
      </w:r>
      <w:r>
        <w:rPr>
          <w:sz w:val="26"/>
          <w:szCs w:val="26"/>
          <w:lang w:val="en"/>
        </w:rPr>
        <w:t xml:space="preserve">that </w:t>
      </w:r>
      <w:r w:rsidR="00FB336C">
        <w:rPr>
          <w:sz w:val="26"/>
          <w:szCs w:val="26"/>
          <w:lang w:val="en"/>
        </w:rPr>
        <w:t>t</w:t>
      </w:r>
      <w:r w:rsidR="00517B7E">
        <w:rPr>
          <w:sz w:val="26"/>
          <w:szCs w:val="26"/>
          <w:lang w:val="en"/>
        </w:rPr>
        <w:t xml:space="preserve">he ten percent contamination rule is an </w:t>
      </w:r>
      <w:r w:rsidR="00517B7E" w:rsidRPr="00CB17D4">
        <w:rPr>
          <w:sz w:val="26"/>
          <w:szCs w:val="26"/>
          <w:lang w:val="en"/>
        </w:rPr>
        <w:t xml:space="preserve">administrative rule for </w:t>
      </w:r>
      <w:r w:rsidR="004136B9">
        <w:rPr>
          <w:sz w:val="26"/>
          <w:szCs w:val="26"/>
          <w:lang w:val="en"/>
        </w:rPr>
        <w:t xml:space="preserve">certain </w:t>
      </w:r>
      <w:r w:rsidR="00517B7E" w:rsidRPr="00CB17D4">
        <w:rPr>
          <w:sz w:val="26"/>
          <w:szCs w:val="26"/>
          <w:lang w:val="en"/>
        </w:rPr>
        <w:t xml:space="preserve">jurisdictional cost allocations that deems all services to be interstate if a ten percent threshold is met.  </w:t>
      </w:r>
      <w:bookmarkStart w:id="9" w:name="_Hlk528753359"/>
      <w:r w:rsidR="0012433B" w:rsidRPr="00CB17D4">
        <w:rPr>
          <w:sz w:val="26"/>
          <w:szCs w:val="26"/>
          <w:lang w:val="en"/>
        </w:rPr>
        <w:t xml:space="preserve">While any attempted regulation of the rates, terms and conditions of service for telecommunications services that are </w:t>
      </w:r>
      <w:r w:rsidR="0012433B" w:rsidRPr="00CB17D4">
        <w:rPr>
          <w:i/>
          <w:sz w:val="26"/>
          <w:szCs w:val="26"/>
          <w:lang w:val="en"/>
        </w:rPr>
        <w:t>deemed</w:t>
      </w:r>
      <w:r w:rsidR="0012433B" w:rsidRPr="00CB17D4">
        <w:rPr>
          <w:sz w:val="26"/>
          <w:szCs w:val="26"/>
          <w:lang w:val="en"/>
        </w:rPr>
        <w:t xml:space="preserve"> to be interstate </w:t>
      </w:r>
      <w:r w:rsidR="0012433B">
        <w:rPr>
          <w:sz w:val="26"/>
          <w:szCs w:val="26"/>
          <w:lang w:val="en"/>
        </w:rPr>
        <w:t>is</w:t>
      </w:r>
      <w:r w:rsidR="0012433B" w:rsidRPr="00CB17D4">
        <w:rPr>
          <w:sz w:val="26"/>
          <w:szCs w:val="26"/>
          <w:lang w:val="en"/>
        </w:rPr>
        <w:t xml:space="preserve"> likely to be preempted, </w:t>
      </w:r>
      <w:r w:rsidR="0012433B">
        <w:rPr>
          <w:sz w:val="26"/>
          <w:szCs w:val="26"/>
        </w:rPr>
        <w:t>t</w:t>
      </w:r>
      <w:r w:rsidR="00517B7E">
        <w:rPr>
          <w:sz w:val="26"/>
          <w:szCs w:val="26"/>
        </w:rPr>
        <w:t>h</w:t>
      </w:r>
      <w:r w:rsidR="00517B7E" w:rsidRPr="00CB17D4">
        <w:rPr>
          <w:sz w:val="26"/>
          <w:szCs w:val="26"/>
        </w:rPr>
        <w:t xml:space="preserve">e FCC has not gone so far as to preempt a state’s authority to impose annual fiscal assessments or any other administrative fees to cover the cost of a state commission’s operations as they pertain to telecommunications public utilities and, in particular, the use of </w:t>
      </w:r>
      <w:r w:rsidR="00517B7E" w:rsidRPr="00CB17D4">
        <w:rPr>
          <w:i/>
          <w:sz w:val="26"/>
          <w:szCs w:val="26"/>
        </w:rPr>
        <w:t>de facto</w:t>
      </w:r>
      <w:r w:rsidR="00517B7E" w:rsidRPr="00CB17D4">
        <w:rPr>
          <w:sz w:val="26"/>
          <w:szCs w:val="26"/>
        </w:rPr>
        <w:t xml:space="preserve"> intrastate revenues as the metric to allocate those costs among the telecommunications carriers certificated by that state commission.</w:t>
      </w:r>
      <w:bookmarkEnd w:id="9"/>
    </w:p>
    <w:p w14:paraId="026F6992" w14:textId="77777777" w:rsidR="00FB336C" w:rsidRDefault="00FB336C" w:rsidP="00737933">
      <w:pPr>
        <w:spacing w:line="360" w:lineRule="auto"/>
        <w:ind w:firstLine="720"/>
        <w:rPr>
          <w:rFonts w:eastAsia="Calibri"/>
          <w:sz w:val="26"/>
          <w:szCs w:val="26"/>
        </w:rPr>
      </w:pPr>
    </w:p>
    <w:p w14:paraId="0731B5C6" w14:textId="77777777" w:rsidR="00831D19" w:rsidRDefault="00831D19" w:rsidP="00737933">
      <w:pPr>
        <w:spacing w:line="360" w:lineRule="auto"/>
        <w:rPr>
          <w:b/>
          <w:spacing w:val="-1"/>
          <w:sz w:val="26"/>
          <w:szCs w:val="26"/>
        </w:rPr>
      </w:pPr>
      <w:r w:rsidRPr="00A84E9C">
        <w:rPr>
          <w:b/>
          <w:spacing w:val="-1"/>
          <w:sz w:val="26"/>
          <w:szCs w:val="26"/>
        </w:rPr>
        <w:t>Section 510 Assessment Process</w:t>
      </w:r>
    </w:p>
    <w:p w14:paraId="19171519" w14:textId="77777777" w:rsidR="008E26D2" w:rsidRDefault="008E26D2" w:rsidP="00737933">
      <w:pPr>
        <w:spacing w:line="360" w:lineRule="auto"/>
        <w:ind w:firstLine="720"/>
        <w:rPr>
          <w:sz w:val="26"/>
          <w:szCs w:val="26"/>
        </w:rPr>
      </w:pPr>
      <w:r>
        <w:rPr>
          <w:spacing w:val="-1"/>
          <w:sz w:val="26"/>
          <w:szCs w:val="26"/>
        </w:rPr>
        <w:t xml:space="preserve">  </w:t>
      </w:r>
      <w:r w:rsidR="00166B4A" w:rsidRPr="00CB17D4">
        <w:rPr>
          <w:sz w:val="26"/>
          <w:szCs w:val="26"/>
        </w:rPr>
        <w:t xml:space="preserve">In Pennsylvania, the General Assembly established an annual </w:t>
      </w:r>
      <w:r w:rsidR="00166B4A">
        <w:rPr>
          <w:sz w:val="26"/>
          <w:szCs w:val="26"/>
        </w:rPr>
        <w:t xml:space="preserve">fiscal </w:t>
      </w:r>
      <w:r w:rsidR="00166B4A" w:rsidRPr="00CB17D4">
        <w:rPr>
          <w:sz w:val="26"/>
          <w:szCs w:val="26"/>
        </w:rPr>
        <w:t xml:space="preserve">assessment process, based on </w:t>
      </w:r>
      <w:r w:rsidR="00831D19">
        <w:rPr>
          <w:sz w:val="26"/>
          <w:szCs w:val="26"/>
        </w:rPr>
        <w:t xml:space="preserve">both </w:t>
      </w:r>
      <w:r w:rsidR="006B51AB">
        <w:rPr>
          <w:sz w:val="26"/>
          <w:szCs w:val="26"/>
        </w:rPr>
        <w:t xml:space="preserve">records of </w:t>
      </w:r>
      <w:r w:rsidR="00831D19">
        <w:rPr>
          <w:sz w:val="26"/>
          <w:szCs w:val="26"/>
        </w:rPr>
        <w:t xml:space="preserve">direct employee hours and an allocation of indirect costs based on </w:t>
      </w:r>
      <w:r w:rsidR="00166B4A" w:rsidRPr="00CB17D4">
        <w:rPr>
          <w:sz w:val="26"/>
          <w:szCs w:val="26"/>
        </w:rPr>
        <w:t xml:space="preserve">the relative size of each public utility, as the primary means to cover the costs of operation of the Commission.  </w:t>
      </w:r>
      <w:r w:rsidRPr="00CB17D4">
        <w:rPr>
          <w:sz w:val="26"/>
          <w:szCs w:val="26"/>
        </w:rPr>
        <w:t>Hence, the Code directs the Commission to impose annual fiscal a</w:t>
      </w:r>
      <w:r w:rsidRPr="00CB17D4">
        <w:rPr>
          <w:bCs/>
          <w:sz w:val="26"/>
          <w:szCs w:val="26"/>
        </w:rPr>
        <w:t>ssessments upon public utilities</w:t>
      </w:r>
      <w:r w:rsidR="00831D19">
        <w:rPr>
          <w:bCs/>
          <w:sz w:val="26"/>
          <w:szCs w:val="26"/>
        </w:rPr>
        <w:t xml:space="preserve"> and a concomitant statutory obligation on public utilities holding a CPC to pay, via such assessments, their reasonable share of the </w:t>
      </w:r>
      <w:r w:rsidRPr="00CB17D4">
        <w:rPr>
          <w:bCs/>
          <w:sz w:val="26"/>
          <w:szCs w:val="26"/>
        </w:rPr>
        <w:t>Commission’s cost of administering the Public Utility Code.  66 Pa. C.S. §</w:t>
      </w:r>
      <w:r w:rsidR="00413135">
        <w:rPr>
          <w:bCs/>
          <w:sz w:val="26"/>
          <w:szCs w:val="26"/>
        </w:rPr>
        <w:t> </w:t>
      </w:r>
      <w:r w:rsidRPr="00CB17D4">
        <w:rPr>
          <w:bCs/>
          <w:sz w:val="26"/>
          <w:szCs w:val="26"/>
        </w:rPr>
        <w:t>510.</w:t>
      </w:r>
      <w:r w:rsidRPr="00CB17D4">
        <w:rPr>
          <w:b/>
          <w:bCs/>
          <w:sz w:val="26"/>
          <w:szCs w:val="26"/>
        </w:rPr>
        <w:t xml:space="preserve">  </w:t>
      </w:r>
    </w:p>
    <w:p w14:paraId="259111FA" w14:textId="77777777" w:rsidR="008E26D2" w:rsidRDefault="008E26D2" w:rsidP="00737933">
      <w:pPr>
        <w:spacing w:line="360" w:lineRule="auto"/>
        <w:ind w:firstLine="720"/>
        <w:rPr>
          <w:sz w:val="26"/>
          <w:szCs w:val="26"/>
        </w:rPr>
      </w:pPr>
    </w:p>
    <w:p w14:paraId="496B6D5D" w14:textId="455EBE11" w:rsidR="00370086" w:rsidRPr="00DD1A6B" w:rsidRDefault="00DC74D5" w:rsidP="00737933">
      <w:pPr>
        <w:spacing w:line="360" w:lineRule="auto"/>
        <w:ind w:firstLine="720"/>
        <w:rPr>
          <w:color w:val="000000" w:themeColor="text1"/>
          <w:sz w:val="26"/>
          <w:szCs w:val="26"/>
        </w:rPr>
      </w:pPr>
      <w:proofErr w:type="gramStart"/>
      <w:r w:rsidRPr="00CB17D4">
        <w:rPr>
          <w:sz w:val="26"/>
          <w:szCs w:val="26"/>
        </w:rPr>
        <w:t>In order to</w:t>
      </w:r>
      <w:proofErr w:type="gramEnd"/>
      <w:r w:rsidRPr="00CB17D4">
        <w:rPr>
          <w:sz w:val="26"/>
          <w:szCs w:val="26"/>
        </w:rPr>
        <w:t xml:space="preserve"> compute the annual fiscal assessment, in addition to </w:t>
      </w:r>
      <w:r w:rsidR="00413135">
        <w:rPr>
          <w:sz w:val="26"/>
          <w:szCs w:val="26"/>
        </w:rPr>
        <w:t>Commission</w:t>
      </w:r>
      <w:r w:rsidR="00413135" w:rsidRPr="00CB17D4">
        <w:rPr>
          <w:sz w:val="26"/>
          <w:szCs w:val="26"/>
        </w:rPr>
        <w:t xml:space="preserve"> </w:t>
      </w:r>
      <w:r w:rsidRPr="00CB17D4">
        <w:rPr>
          <w:sz w:val="26"/>
          <w:szCs w:val="26"/>
        </w:rPr>
        <w:t xml:space="preserve">employee direct hours data for each industry group, the </w:t>
      </w:r>
      <w:r w:rsidR="005B7C22">
        <w:rPr>
          <w:sz w:val="26"/>
          <w:szCs w:val="26"/>
        </w:rPr>
        <w:t xml:space="preserve">Commission </w:t>
      </w:r>
      <w:r w:rsidRPr="00CB17D4">
        <w:rPr>
          <w:sz w:val="26"/>
          <w:szCs w:val="26"/>
        </w:rPr>
        <w:t xml:space="preserve">receives necessary data relating to each </w:t>
      </w:r>
      <w:r w:rsidRPr="00CB17D4">
        <w:rPr>
          <w:bCs/>
          <w:sz w:val="26"/>
          <w:szCs w:val="26"/>
        </w:rPr>
        <w:t>public utility</w:t>
      </w:r>
      <w:r w:rsidR="007173D2">
        <w:rPr>
          <w:bCs/>
          <w:sz w:val="26"/>
          <w:szCs w:val="26"/>
        </w:rPr>
        <w:t>’</w:t>
      </w:r>
      <w:r w:rsidRPr="00CB17D4">
        <w:rPr>
          <w:bCs/>
          <w:sz w:val="26"/>
          <w:szCs w:val="26"/>
        </w:rPr>
        <w:t>s</w:t>
      </w:r>
      <w:r w:rsidRPr="00CB17D4">
        <w:rPr>
          <w:sz w:val="26"/>
          <w:szCs w:val="26"/>
        </w:rPr>
        <w:t xml:space="preserve"> gross intrastate operating revenue in </w:t>
      </w:r>
      <w:r w:rsidRPr="00CB17D4">
        <w:rPr>
          <w:bCs/>
          <w:sz w:val="26"/>
          <w:szCs w:val="26"/>
        </w:rPr>
        <w:t>Pennsylvania</w:t>
      </w:r>
      <w:r w:rsidRPr="00CB17D4">
        <w:rPr>
          <w:sz w:val="26"/>
          <w:szCs w:val="26"/>
        </w:rPr>
        <w:t xml:space="preserve"> from the </w:t>
      </w:r>
      <w:r w:rsidRPr="00CB17D4">
        <w:rPr>
          <w:bCs/>
          <w:sz w:val="26"/>
          <w:szCs w:val="26"/>
        </w:rPr>
        <w:t xml:space="preserve">utilities from the assessment report.  In particular, </w:t>
      </w:r>
      <w:r w:rsidRPr="00CB17D4">
        <w:rPr>
          <w:sz w:val="26"/>
          <w:szCs w:val="26"/>
        </w:rPr>
        <w:t xml:space="preserve">each public </w:t>
      </w:r>
      <w:r w:rsidRPr="00CB17D4">
        <w:rPr>
          <w:bCs/>
          <w:sz w:val="26"/>
          <w:szCs w:val="26"/>
        </w:rPr>
        <w:t>utility</w:t>
      </w:r>
      <w:r w:rsidRPr="00CB17D4">
        <w:rPr>
          <w:sz w:val="26"/>
          <w:szCs w:val="26"/>
        </w:rPr>
        <w:t xml:space="preserve"> is required to </w:t>
      </w:r>
      <w:r w:rsidRPr="005B7C22">
        <w:rPr>
          <w:sz w:val="26"/>
          <w:szCs w:val="26"/>
        </w:rPr>
        <w:t>file</w:t>
      </w:r>
      <w:r w:rsidR="005B7C22" w:rsidRPr="005B7C22">
        <w:rPr>
          <w:sz w:val="26"/>
          <w:szCs w:val="26"/>
        </w:rPr>
        <w:t>, on or before March 31 of each year,</w:t>
      </w:r>
      <w:r w:rsidRPr="005B7C22">
        <w:rPr>
          <w:sz w:val="26"/>
          <w:szCs w:val="26"/>
        </w:rPr>
        <w:t xml:space="preserve"> a statement under oath reporting the </w:t>
      </w:r>
      <w:r w:rsidRPr="003B734E">
        <w:rPr>
          <w:bCs/>
          <w:sz w:val="26"/>
          <w:szCs w:val="26"/>
        </w:rPr>
        <w:t>utility</w:t>
      </w:r>
      <w:r w:rsidR="00737933">
        <w:rPr>
          <w:bCs/>
          <w:sz w:val="26"/>
          <w:szCs w:val="26"/>
        </w:rPr>
        <w:t>’</w:t>
      </w:r>
      <w:r w:rsidRPr="003B734E">
        <w:rPr>
          <w:bCs/>
          <w:sz w:val="26"/>
          <w:szCs w:val="26"/>
        </w:rPr>
        <w:t>s</w:t>
      </w:r>
      <w:r w:rsidRPr="003B734E">
        <w:rPr>
          <w:sz w:val="26"/>
          <w:szCs w:val="26"/>
        </w:rPr>
        <w:t xml:space="preserve"> </w:t>
      </w:r>
      <w:r w:rsidR="005B7C22" w:rsidRPr="00675A98">
        <w:rPr>
          <w:sz w:val="26"/>
          <w:szCs w:val="26"/>
        </w:rPr>
        <w:t xml:space="preserve">“gross intrastate operating </w:t>
      </w:r>
      <w:r w:rsidR="005B7C22" w:rsidRPr="006117FB">
        <w:rPr>
          <w:sz w:val="26"/>
          <w:szCs w:val="26"/>
        </w:rPr>
        <w:t xml:space="preserve">revenues for the preceding </w:t>
      </w:r>
      <w:r w:rsidR="005B7C22" w:rsidRPr="00EE24F5">
        <w:rPr>
          <w:sz w:val="26"/>
          <w:szCs w:val="26"/>
        </w:rPr>
        <w:t>calendar year.</w:t>
      </w:r>
      <w:r w:rsidR="009A287F">
        <w:rPr>
          <w:sz w:val="26"/>
          <w:szCs w:val="26"/>
        </w:rPr>
        <w:t>”</w:t>
      </w:r>
      <w:r w:rsidR="005B7C22" w:rsidRPr="00EE24F5">
        <w:rPr>
          <w:sz w:val="26"/>
          <w:szCs w:val="26"/>
        </w:rPr>
        <w:t xml:space="preserve">  66 Pa. C.S. §</w:t>
      </w:r>
      <w:r w:rsidR="00737933">
        <w:rPr>
          <w:sz w:val="26"/>
          <w:szCs w:val="26"/>
        </w:rPr>
        <w:t> </w:t>
      </w:r>
      <w:r w:rsidR="005B7C22" w:rsidRPr="00EE24F5">
        <w:rPr>
          <w:sz w:val="26"/>
          <w:szCs w:val="26"/>
        </w:rPr>
        <w:t xml:space="preserve">510(b).  </w:t>
      </w:r>
      <w:r w:rsidR="00370086" w:rsidRPr="00DD1A6B">
        <w:rPr>
          <w:color w:val="000000" w:themeColor="text1"/>
          <w:sz w:val="26"/>
          <w:szCs w:val="26"/>
        </w:rPr>
        <w:t>Per Section 309 of the Public Utility Code, 66 Pa. C.S. § 309, the Commission’s plenary investigative authority over entities and matters within its jurisdiction includes the power to compel the production of information as deemed necessary or proper in any investigation.  In addition, pursuant to Sections 504 and 505 of the Public Utility Code, 66 Pa. C.S. §§ 504-505, the Commission may require any public utility to file such reports and to furnish such records, documents and information as may be necessary in aid of any inspection, examination, inquiry, investigation or hearing.</w:t>
      </w:r>
      <w:r w:rsidR="0096054C" w:rsidRPr="00DD1A6B">
        <w:rPr>
          <w:rStyle w:val="FootnoteReference"/>
          <w:color w:val="000000" w:themeColor="text1"/>
          <w:sz w:val="26"/>
          <w:szCs w:val="26"/>
        </w:rPr>
        <w:footnoteReference w:id="7"/>
      </w:r>
    </w:p>
    <w:p w14:paraId="394F5A32" w14:textId="77777777" w:rsidR="0096054C" w:rsidRDefault="0096054C" w:rsidP="00737933">
      <w:pPr>
        <w:spacing w:line="360" w:lineRule="auto"/>
        <w:ind w:firstLine="720"/>
        <w:rPr>
          <w:sz w:val="26"/>
          <w:szCs w:val="26"/>
        </w:rPr>
      </w:pPr>
    </w:p>
    <w:p w14:paraId="1897BDCF" w14:textId="77777777" w:rsidR="00511EB0" w:rsidRDefault="00511EB0">
      <w:pPr>
        <w:rPr>
          <w:sz w:val="26"/>
          <w:szCs w:val="26"/>
        </w:rPr>
      </w:pPr>
      <w:r>
        <w:rPr>
          <w:sz w:val="26"/>
          <w:szCs w:val="26"/>
        </w:rPr>
        <w:br w:type="page"/>
      </w:r>
    </w:p>
    <w:p w14:paraId="34440462" w14:textId="12B082D4" w:rsidR="00DC74D5" w:rsidRDefault="005B7C22" w:rsidP="00737933">
      <w:pPr>
        <w:spacing w:line="360" w:lineRule="auto"/>
        <w:ind w:firstLine="720"/>
        <w:rPr>
          <w:sz w:val="26"/>
          <w:szCs w:val="26"/>
        </w:rPr>
      </w:pPr>
      <w:r w:rsidRPr="00A84E9C">
        <w:rPr>
          <w:sz w:val="26"/>
          <w:szCs w:val="26"/>
        </w:rPr>
        <w:t xml:space="preserve">In order to compute the precise assessment for each public utility, Section 510(b) provides for a four-step calculation process based on </w:t>
      </w:r>
      <w:r w:rsidRPr="005B7C22">
        <w:rPr>
          <w:sz w:val="26"/>
          <w:szCs w:val="26"/>
        </w:rPr>
        <w:t xml:space="preserve">employee time records for direct costs and a revenue-based </w:t>
      </w:r>
      <w:r w:rsidRPr="003B734E">
        <w:rPr>
          <w:sz w:val="26"/>
          <w:szCs w:val="26"/>
        </w:rPr>
        <w:t>allocation of indirect costs</w:t>
      </w:r>
      <w:r>
        <w:rPr>
          <w:sz w:val="26"/>
          <w:szCs w:val="26"/>
        </w:rPr>
        <w:t>.</w:t>
      </w:r>
      <w:r w:rsidR="00DC74D5" w:rsidRPr="005B7C22">
        <w:rPr>
          <w:sz w:val="26"/>
          <w:szCs w:val="26"/>
          <w:vertAlign w:val="superscript"/>
        </w:rPr>
        <w:footnoteReference w:id="8"/>
      </w:r>
      <w:r w:rsidR="00DC74D5" w:rsidRPr="005B7C22">
        <w:rPr>
          <w:sz w:val="26"/>
          <w:szCs w:val="26"/>
        </w:rPr>
        <w:t xml:space="preserve">  For any </w:t>
      </w:r>
      <w:r w:rsidR="00DC74D5" w:rsidRPr="005B7C22">
        <w:rPr>
          <w:bCs/>
          <w:sz w:val="26"/>
          <w:szCs w:val="26"/>
        </w:rPr>
        <w:t>public utility</w:t>
      </w:r>
      <w:r w:rsidR="00DC74D5" w:rsidRPr="005B7C22">
        <w:rPr>
          <w:sz w:val="26"/>
          <w:szCs w:val="26"/>
        </w:rPr>
        <w:t xml:space="preserve"> that fails to file a timely actual revenue statement, the </w:t>
      </w:r>
      <w:r w:rsidRPr="005B7C22">
        <w:rPr>
          <w:sz w:val="26"/>
          <w:szCs w:val="26"/>
        </w:rPr>
        <w:t>Commission</w:t>
      </w:r>
      <w:r w:rsidR="00DC74D5" w:rsidRPr="005B7C22">
        <w:rPr>
          <w:sz w:val="26"/>
          <w:szCs w:val="26"/>
        </w:rPr>
        <w:t xml:space="preserve"> is required to estimate the revenue, and the estimated gross operating re</w:t>
      </w:r>
      <w:r w:rsidR="00DC74D5" w:rsidRPr="00675A98">
        <w:rPr>
          <w:sz w:val="26"/>
          <w:szCs w:val="26"/>
        </w:rPr>
        <w:t>venue is used to calculate</w:t>
      </w:r>
      <w:r w:rsidR="00DC74D5" w:rsidRPr="00CB17D4">
        <w:rPr>
          <w:sz w:val="26"/>
          <w:szCs w:val="26"/>
        </w:rPr>
        <w:t xml:space="preserve"> that </w:t>
      </w:r>
      <w:r w:rsidR="00DC74D5" w:rsidRPr="00CB17D4">
        <w:rPr>
          <w:bCs/>
          <w:sz w:val="26"/>
          <w:szCs w:val="26"/>
        </w:rPr>
        <w:t>utility</w:t>
      </w:r>
      <w:r w:rsidR="009A287F">
        <w:rPr>
          <w:bCs/>
          <w:sz w:val="26"/>
          <w:szCs w:val="26"/>
        </w:rPr>
        <w:t>’</w:t>
      </w:r>
      <w:r w:rsidR="00DC74D5" w:rsidRPr="00CB17D4">
        <w:rPr>
          <w:bCs/>
          <w:sz w:val="26"/>
          <w:szCs w:val="26"/>
        </w:rPr>
        <w:t>s</w:t>
      </w:r>
      <w:r w:rsidR="00DC74D5" w:rsidRPr="00CB17D4">
        <w:rPr>
          <w:sz w:val="26"/>
          <w:szCs w:val="26"/>
        </w:rPr>
        <w:t xml:space="preserve"> assessment, along with the allocation of the total assessment among all </w:t>
      </w:r>
      <w:r w:rsidR="00DC74D5" w:rsidRPr="00CB17D4">
        <w:rPr>
          <w:bCs/>
          <w:sz w:val="26"/>
          <w:szCs w:val="26"/>
        </w:rPr>
        <w:t>public utilities</w:t>
      </w:r>
      <w:r w:rsidR="00DC74D5" w:rsidRPr="00CB17D4">
        <w:rPr>
          <w:sz w:val="26"/>
          <w:szCs w:val="26"/>
        </w:rPr>
        <w:t xml:space="preserve"> operating in the Commonwealth.</w:t>
      </w:r>
    </w:p>
    <w:p w14:paraId="306903BC" w14:textId="77777777" w:rsidR="00DC74D5" w:rsidRDefault="00DC74D5" w:rsidP="00737933">
      <w:pPr>
        <w:spacing w:line="360" w:lineRule="auto"/>
        <w:ind w:firstLine="720"/>
        <w:rPr>
          <w:spacing w:val="-1"/>
          <w:sz w:val="26"/>
          <w:szCs w:val="26"/>
        </w:rPr>
      </w:pPr>
    </w:p>
    <w:p w14:paraId="47C11EDC" w14:textId="77777777" w:rsidR="00DC74D5" w:rsidRDefault="00DC74D5" w:rsidP="00737933">
      <w:pPr>
        <w:spacing w:line="360" w:lineRule="auto"/>
        <w:ind w:firstLine="720"/>
        <w:rPr>
          <w:sz w:val="26"/>
          <w:szCs w:val="26"/>
        </w:rPr>
      </w:pPr>
      <w:r w:rsidRPr="00CB17D4">
        <w:rPr>
          <w:sz w:val="26"/>
          <w:szCs w:val="26"/>
        </w:rPr>
        <w:t xml:space="preserve">Accordingly, the plain intent of the </w:t>
      </w:r>
      <w:r w:rsidRPr="00CB17D4">
        <w:rPr>
          <w:bCs/>
          <w:sz w:val="26"/>
          <w:szCs w:val="26"/>
        </w:rPr>
        <w:t>General Assembly</w:t>
      </w:r>
      <w:r w:rsidRPr="00CB17D4">
        <w:rPr>
          <w:sz w:val="26"/>
          <w:szCs w:val="26"/>
        </w:rPr>
        <w:t xml:space="preserve"> is that each </w:t>
      </w:r>
      <w:r w:rsidRPr="00CB17D4">
        <w:rPr>
          <w:bCs/>
          <w:sz w:val="26"/>
          <w:szCs w:val="26"/>
        </w:rPr>
        <w:t>public utility</w:t>
      </w:r>
      <w:r w:rsidRPr="00CB17D4">
        <w:rPr>
          <w:sz w:val="26"/>
          <w:szCs w:val="26"/>
        </w:rPr>
        <w:t xml:space="preserve"> lawfully doing business in Pennsylvania with a Commission-issued CPC “shall advance to the commission its reasonable share of the costs incurred in connection with the administration and enforcement of [the Public Utility Code] and any other statute.</w:t>
      </w:r>
      <w:r w:rsidR="00CB346B">
        <w:rPr>
          <w:sz w:val="26"/>
          <w:szCs w:val="26"/>
        </w:rPr>
        <w:t>”</w:t>
      </w:r>
      <w:r w:rsidRPr="00CB17D4">
        <w:rPr>
          <w:sz w:val="26"/>
          <w:szCs w:val="26"/>
        </w:rPr>
        <w:t xml:space="preserve">  66</w:t>
      </w:r>
      <w:r w:rsidR="00CB346B">
        <w:rPr>
          <w:sz w:val="26"/>
          <w:szCs w:val="26"/>
        </w:rPr>
        <w:t> </w:t>
      </w:r>
      <w:r w:rsidRPr="00CB17D4">
        <w:rPr>
          <w:sz w:val="26"/>
          <w:szCs w:val="26"/>
        </w:rPr>
        <w:t>Pa. C.S. § 510(f).   In this statutory scheme, the General Assembly has chosen intrastate revenues as the metric by which a public utility’s “reasonable share” of the costs incurred for the telecommunications industry is allocated.</w:t>
      </w:r>
    </w:p>
    <w:p w14:paraId="56C9B669" w14:textId="77777777" w:rsidR="003B734E" w:rsidRDefault="003B734E" w:rsidP="00737933">
      <w:pPr>
        <w:spacing w:line="360" w:lineRule="auto"/>
        <w:ind w:firstLine="720"/>
        <w:rPr>
          <w:sz w:val="26"/>
          <w:szCs w:val="26"/>
        </w:rPr>
      </w:pPr>
    </w:p>
    <w:p w14:paraId="1367C7D8" w14:textId="77777777" w:rsidR="003B734E" w:rsidRPr="008E26D2" w:rsidRDefault="003B734E" w:rsidP="00737933">
      <w:pPr>
        <w:spacing w:line="360" w:lineRule="auto"/>
        <w:ind w:firstLine="720"/>
        <w:rPr>
          <w:sz w:val="26"/>
          <w:szCs w:val="26"/>
        </w:rPr>
      </w:pPr>
      <w:r>
        <w:rPr>
          <w:sz w:val="26"/>
          <w:szCs w:val="26"/>
        </w:rPr>
        <w:t>In Pennsylvania, t</w:t>
      </w:r>
      <w:r w:rsidRPr="009A2DB7">
        <w:rPr>
          <w:sz w:val="26"/>
          <w:szCs w:val="26"/>
        </w:rPr>
        <w:t xml:space="preserve">he General Assembly could have chosen a number of different mechanisms and metrics to allocate the costs of regulation, such as filing fees for applications and other pleadings, annual license or certificate maintenance fees, annual assessments based on the relative size of each public utility or other types regulatory fees designed to cover the costs of administering and regulating a utility’s services.  </w:t>
      </w:r>
      <w:r>
        <w:rPr>
          <w:sz w:val="26"/>
          <w:szCs w:val="26"/>
        </w:rPr>
        <w:t>T</w:t>
      </w:r>
      <w:r w:rsidRPr="00CB17D4">
        <w:rPr>
          <w:sz w:val="26"/>
          <w:szCs w:val="26"/>
        </w:rPr>
        <w:t>he General Assembly chose to adopt a system of annual fiscal assessments</w:t>
      </w:r>
      <w:r w:rsidRPr="008E26D2">
        <w:rPr>
          <w:sz w:val="26"/>
          <w:szCs w:val="26"/>
        </w:rPr>
        <w:t xml:space="preserve"> </w:t>
      </w:r>
      <w:r w:rsidRPr="00CB17D4">
        <w:rPr>
          <w:sz w:val="26"/>
          <w:szCs w:val="26"/>
        </w:rPr>
        <w:t xml:space="preserve">that is based on both direct hours of staff time devoted to each industry group and the </w:t>
      </w:r>
      <w:r w:rsidRPr="00A84E9C">
        <w:rPr>
          <w:i/>
          <w:sz w:val="26"/>
          <w:szCs w:val="26"/>
        </w:rPr>
        <w:t>intrastate</w:t>
      </w:r>
      <w:r w:rsidRPr="00CB17D4">
        <w:rPr>
          <w:sz w:val="26"/>
          <w:szCs w:val="26"/>
        </w:rPr>
        <w:t xml:space="preserve"> revenues of each industry group to develop a per public utility assessment fee</w:t>
      </w:r>
      <w:r>
        <w:rPr>
          <w:sz w:val="26"/>
          <w:szCs w:val="26"/>
        </w:rPr>
        <w:t xml:space="preserve"> (s</w:t>
      </w:r>
      <w:r w:rsidRPr="00CB17D4">
        <w:rPr>
          <w:sz w:val="26"/>
          <w:szCs w:val="26"/>
        </w:rPr>
        <w:t>upplemented by modest filing fees</w:t>
      </w:r>
      <w:r>
        <w:rPr>
          <w:sz w:val="26"/>
          <w:szCs w:val="26"/>
        </w:rPr>
        <w:t xml:space="preserve">) as its </w:t>
      </w:r>
      <w:r w:rsidRPr="008E26D2">
        <w:rPr>
          <w:sz w:val="26"/>
          <w:szCs w:val="26"/>
        </w:rPr>
        <w:t>allocation metric</w:t>
      </w:r>
      <w:r>
        <w:rPr>
          <w:sz w:val="26"/>
          <w:szCs w:val="26"/>
        </w:rPr>
        <w:t>s</w:t>
      </w:r>
      <w:r w:rsidRPr="008E26D2">
        <w:rPr>
          <w:sz w:val="26"/>
          <w:szCs w:val="26"/>
        </w:rPr>
        <w:t xml:space="preserve"> to recover the cost of administering the Code from all certificated telecommunications carriers operating in the Commonwealth.  </w:t>
      </w:r>
    </w:p>
    <w:p w14:paraId="0F6A59F3" w14:textId="77777777" w:rsidR="00DC74D5" w:rsidRDefault="00DC74D5" w:rsidP="00737933">
      <w:pPr>
        <w:spacing w:line="360" w:lineRule="auto"/>
        <w:rPr>
          <w:spacing w:val="-1"/>
          <w:sz w:val="26"/>
          <w:szCs w:val="26"/>
        </w:rPr>
      </w:pPr>
    </w:p>
    <w:p w14:paraId="7E0986C1" w14:textId="77777777" w:rsidR="008E26D2" w:rsidRDefault="003B734E" w:rsidP="00737933">
      <w:pPr>
        <w:spacing w:line="360" w:lineRule="auto"/>
        <w:ind w:firstLine="720"/>
        <w:rPr>
          <w:sz w:val="26"/>
          <w:szCs w:val="26"/>
        </w:rPr>
      </w:pPr>
      <w:r>
        <w:rPr>
          <w:sz w:val="26"/>
          <w:szCs w:val="26"/>
        </w:rPr>
        <w:t>Accordingly, the</w:t>
      </w:r>
      <w:r w:rsidR="009A2DB7">
        <w:rPr>
          <w:sz w:val="26"/>
          <w:szCs w:val="26"/>
        </w:rPr>
        <w:t xml:space="preserve"> imposition of an annual fiscal assessment to recover </w:t>
      </w:r>
      <w:r>
        <w:rPr>
          <w:sz w:val="26"/>
          <w:szCs w:val="26"/>
        </w:rPr>
        <w:t>each telecommunication</w:t>
      </w:r>
      <w:r w:rsidR="00E1579B">
        <w:rPr>
          <w:sz w:val="26"/>
          <w:szCs w:val="26"/>
        </w:rPr>
        <w:t>s</w:t>
      </w:r>
      <w:r>
        <w:rPr>
          <w:sz w:val="26"/>
          <w:szCs w:val="26"/>
        </w:rPr>
        <w:t xml:space="preserve"> carrier’s reasonable share of the </w:t>
      </w:r>
      <w:r w:rsidR="009A2DB7">
        <w:rPr>
          <w:sz w:val="26"/>
          <w:szCs w:val="26"/>
        </w:rPr>
        <w:t xml:space="preserve">costs of administering the Code is </w:t>
      </w:r>
      <w:r>
        <w:rPr>
          <w:sz w:val="26"/>
          <w:szCs w:val="26"/>
        </w:rPr>
        <w:t>in no sense</w:t>
      </w:r>
      <w:r w:rsidR="009A2DB7">
        <w:rPr>
          <w:sz w:val="26"/>
          <w:szCs w:val="26"/>
        </w:rPr>
        <w:t xml:space="preserve"> an </w:t>
      </w:r>
      <w:r w:rsidR="00F368DD" w:rsidRPr="00CB17D4">
        <w:rPr>
          <w:sz w:val="26"/>
          <w:szCs w:val="26"/>
        </w:rPr>
        <w:t xml:space="preserve">actual or attempted regulation of the rates, terms or conditions of service for the services whose intrastate revenues are </w:t>
      </w:r>
      <w:r w:rsidR="00F368DD" w:rsidRPr="00CB17D4">
        <w:rPr>
          <w:i/>
          <w:sz w:val="26"/>
          <w:szCs w:val="26"/>
        </w:rPr>
        <w:t>deemed</w:t>
      </w:r>
      <w:r w:rsidR="00F368DD" w:rsidRPr="00CB17D4">
        <w:rPr>
          <w:sz w:val="26"/>
          <w:szCs w:val="26"/>
        </w:rPr>
        <w:t xml:space="preserve"> to be interstate</w:t>
      </w:r>
      <w:r>
        <w:rPr>
          <w:sz w:val="26"/>
          <w:szCs w:val="26"/>
        </w:rPr>
        <w:t xml:space="preserve"> pursuant to the</w:t>
      </w:r>
      <w:r w:rsidRPr="003B734E">
        <w:rPr>
          <w:spacing w:val="-1"/>
          <w:sz w:val="26"/>
          <w:szCs w:val="26"/>
        </w:rPr>
        <w:t xml:space="preserve"> </w:t>
      </w:r>
      <w:r w:rsidRPr="00CB17D4">
        <w:rPr>
          <w:spacing w:val="-1"/>
          <w:sz w:val="26"/>
          <w:szCs w:val="26"/>
        </w:rPr>
        <w:t>FCC’s ten percent contamination rule</w:t>
      </w:r>
      <w:r w:rsidR="00F368DD" w:rsidRPr="00CB17D4">
        <w:rPr>
          <w:sz w:val="26"/>
          <w:szCs w:val="26"/>
        </w:rPr>
        <w:t>.</w:t>
      </w:r>
      <w:r w:rsidR="009A2DB7">
        <w:rPr>
          <w:sz w:val="26"/>
          <w:szCs w:val="26"/>
        </w:rPr>
        <w:t xml:space="preserve">  </w:t>
      </w:r>
      <w:r w:rsidR="008E26D2" w:rsidRPr="008E26D2">
        <w:rPr>
          <w:sz w:val="26"/>
          <w:szCs w:val="26"/>
        </w:rPr>
        <w:t>Thus, if an entity is offering intrastate telecommunications public utility service in P</w:t>
      </w:r>
      <w:r>
        <w:rPr>
          <w:sz w:val="26"/>
          <w:szCs w:val="26"/>
        </w:rPr>
        <w:t>ennsylvania</w:t>
      </w:r>
      <w:r w:rsidR="008E26D2" w:rsidRPr="008E26D2">
        <w:rPr>
          <w:sz w:val="26"/>
          <w:szCs w:val="26"/>
        </w:rPr>
        <w:t>, it is subject to an annual fiscal assessment based</w:t>
      </w:r>
      <w:r>
        <w:rPr>
          <w:sz w:val="26"/>
          <w:szCs w:val="26"/>
        </w:rPr>
        <w:t>, in part,</w:t>
      </w:r>
      <w:r w:rsidR="008E26D2" w:rsidRPr="008E26D2">
        <w:rPr>
          <w:sz w:val="26"/>
          <w:szCs w:val="26"/>
        </w:rPr>
        <w:t xml:space="preserve"> on its intrastate revenues in order to</w:t>
      </w:r>
      <w:r w:rsidR="009A287F">
        <w:rPr>
          <w:sz w:val="26"/>
          <w:szCs w:val="26"/>
        </w:rPr>
        <w:t xml:space="preserve"> determine </w:t>
      </w:r>
      <w:r>
        <w:rPr>
          <w:sz w:val="26"/>
          <w:szCs w:val="26"/>
        </w:rPr>
        <w:t xml:space="preserve">its reasonable share of </w:t>
      </w:r>
      <w:r w:rsidR="008E26D2" w:rsidRPr="008E26D2">
        <w:rPr>
          <w:sz w:val="26"/>
          <w:szCs w:val="26"/>
        </w:rPr>
        <w:t>the cost of the Commission’s operations</w:t>
      </w:r>
      <w:r>
        <w:rPr>
          <w:sz w:val="26"/>
          <w:szCs w:val="26"/>
        </w:rPr>
        <w:t>,</w:t>
      </w:r>
      <w:r w:rsidR="008E26D2" w:rsidRPr="008E26D2">
        <w:rPr>
          <w:sz w:val="26"/>
          <w:szCs w:val="26"/>
        </w:rPr>
        <w:t xml:space="preserve"> and </w:t>
      </w:r>
      <w:r w:rsidR="009A287F">
        <w:rPr>
          <w:sz w:val="26"/>
          <w:szCs w:val="26"/>
        </w:rPr>
        <w:t xml:space="preserve">payment of that assessment </w:t>
      </w:r>
      <w:r w:rsidR="008E26D2" w:rsidRPr="008E26D2">
        <w:rPr>
          <w:sz w:val="26"/>
          <w:szCs w:val="26"/>
        </w:rPr>
        <w:t>as a condition of maintaining its CPC or license in P</w:t>
      </w:r>
      <w:r>
        <w:rPr>
          <w:sz w:val="26"/>
          <w:szCs w:val="26"/>
        </w:rPr>
        <w:t>ennsylvania</w:t>
      </w:r>
      <w:r w:rsidR="008E26D2" w:rsidRPr="008E26D2">
        <w:rPr>
          <w:sz w:val="26"/>
          <w:szCs w:val="26"/>
        </w:rPr>
        <w:t>.</w:t>
      </w:r>
    </w:p>
    <w:p w14:paraId="4E83A541" w14:textId="77777777" w:rsidR="00737933" w:rsidRDefault="00737933" w:rsidP="00737933">
      <w:pPr>
        <w:spacing w:line="360" w:lineRule="auto"/>
        <w:ind w:firstLine="720"/>
        <w:rPr>
          <w:sz w:val="26"/>
          <w:szCs w:val="26"/>
        </w:rPr>
      </w:pPr>
    </w:p>
    <w:p w14:paraId="2B67944B" w14:textId="77777777" w:rsidR="00DC74D5" w:rsidRPr="009A2DB7" w:rsidRDefault="009A2DB7" w:rsidP="00737933">
      <w:pPr>
        <w:spacing w:line="360" w:lineRule="auto"/>
        <w:rPr>
          <w:b/>
          <w:sz w:val="26"/>
          <w:szCs w:val="26"/>
        </w:rPr>
      </w:pPr>
      <w:r w:rsidRPr="009A2DB7">
        <w:rPr>
          <w:b/>
          <w:sz w:val="26"/>
          <w:szCs w:val="26"/>
        </w:rPr>
        <w:t xml:space="preserve">Conclusion </w:t>
      </w:r>
    </w:p>
    <w:p w14:paraId="3FB0C761" w14:textId="1F15F624" w:rsidR="008E26D2" w:rsidRDefault="004F4E42" w:rsidP="007173D2">
      <w:pPr>
        <w:spacing w:line="360" w:lineRule="auto"/>
        <w:ind w:firstLine="720"/>
        <w:rPr>
          <w:sz w:val="26"/>
          <w:szCs w:val="26"/>
        </w:rPr>
      </w:pPr>
      <w:r>
        <w:rPr>
          <w:sz w:val="26"/>
          <w:szCs w:val="26"/>
        </w:rPr>
        <w:t>Section 510</w:t>
      </w:r>
      <w:r w:rsidR="006D46B0">
        <w:rPr>
          <w:sz w:val="26"/>
          <w:szCs w:val="26"/>
        </w:rPr>
        <w:t xml:space="preserve"> requires that</w:t>
      </w:r>
      <w:r>
        <w:rPr>
          <w:sz w:val="26"/>
          <w:szCs w:val="26"/>
        </w:rPr>
        <w:t xml:space="preserve"> each telecommunications carrier holding a CPC is </w:t>
      </w:r>
      <w:r w:rsidR="006D46B0">
        <w:rPr>
          <w:sz w:val="26"/>
          <w:szCs w:val="26"/>
        </w:rPr>
        <w:t>obligated to report its gross intrastate operating revenues on March 31</w:t>
      </w:r>
      <w:r w:rsidR="00CE294D" w:rsidRPr="00CE294D">
        <w:rPr>
          <w:sz w:val="26"/>
          <w:szCs w:val="26"/>
          <w:vertAlign w:val="superscript"/>
        </w:rPr>
        <w:t>st</w:t>
      </w:r>
      <w:r w:rsidR="00CE294D">
        <w:rPr>
          <w:sz w:val="26"/>
          <w:szCs w:val="26"/>
        </w:rPr>
        <w:t xml:space="preserve"> </w:t>
      </w:r>
      <w:r w:rsidR="006D46B0">
        <w:rPr>
          <w:sz w:val="26"/>
          <w:szCs w:val="26"/>
        </w:rPr>
        <w:t>of each year and to pay an appropriate assessment, based on those revenues, to cover</w:t>
      </w:r>
      <w:r>
        <w:rPr>
          <w:sz w:val="26"/>
          <w:szCs w:val="26"/>
        </w:rPr>
        <w:t xml:space="preserve"> the reasonable costs attributable to the regulation of telecommunications carriers.  </w:t>
      </w:r>
      <w:r w:rsidR="006D46B0">
        <w:rPr>
          <w:sz w:val="26"/>
          <w:szCs w:val="26"/>
        </w:rPr>
        <w:t>Based upon the Commission’s analysis to date, n</w:t>
      </w:r>
      <w:r w:rsidR="008E26D2" w:rsidRPr="00CB17D4">
        <w:rPr>
          <w:sz w:val="26"/>
          <w:szCs w:val="26"/>
          <w:lang w:val="en"/>
        </w:rPr>
        <w:t xml:space="preserve">either the FCC nor the courts have determined or held that the </w:t>
      </w:r>
      <w:r w:rsidR="00217969">
        <w:rPr>
          <w:sz w:val="26"/>
          <w:szCs w:val="26"/>
          <w:lang w:val="en"/>
        </w:rPr>
        <w:t>states</w:t>
      </w:r>
      <w:r w:rsidR="008E26D2" w:rsidRPr="00CB17D4">
        <w:rPr>
          <w:spacing w:val="-1"/>
          <w:sz w:val="26"/>
          <w:szCs w:val="26"/>
        </w:rPr>
        <w:t xml:space="preserve"> lack the authority to impose annual fiscal assessments, </w:t>
      </w:r>
      <w:r w:rsidR="005B7C22">
        <w:rPr>
          <w:spacing w:val="-1"/>
          <w:sz w:val="26"/>
          <w:szCs w:val="26"/>
        </w:rPr>
        <w:t xml:space="preserve">annual </w:t>
      </w:r>
      <w:r w:rsidR="008E26D2" w:rsidRPr="00CB17D4">
        <w:rPr>
          <w:spacing w:val="-1"/>
          <w:sz w:val="26"/>
          <w:szCs w:val="26"/>
        </w:rPr>
        <w:t>licensing</w:t>
      </w:r>
      <w:r w:rsidR="005B7C22">
        <w:rPr>
          <w:spacing w:val="-1"/>
          <w:sz w:val="26"/>
          <w:szCs w:val="26"/>
        </w:rPr>
        <w:t xml:space="preserve"> fees</w:t>
      </w:r>
      <w:r w:rsidR="008E26D2" w:rsidRPr="00CB17D4">
        <w:rPr>
          <w:spacing w:val="-1"/>
          <w:sz w:val="26"/>
          <w:szCs w:val="26"/>
        </w:rPr>
        <w:t>, filing</w:t>
      </w:r>
      <w:r w:rsidR="005B7C22">
        <w:rPr>
          <w:spacing w:val="-1"/>
          <w:sz w:val="26"/>
          <w:szCs w:val="26"/>
        </w:rPr>
        <w:t xml:space="preserve"> fees</w:t>
      </w:r>
      <w:r w:rsidR="008E26D2" w:rsidRPr="00CB17D4">
        <w:rPr>
          <w:spacing w:val="-1"/>
          <w:sz w:val="26"/>
          <w:szCs w:val="26"/>
        </w:rPr>
        <w:t xml:space="preserve"> or other </w:t>
      </w:r>
      <w:r w:rsidR="005B7C22">
        <w:rPr>
          <w:spacing w:val="-1"/>
          <w:sz w:val="26"/>
          <w:szCs w:val="26"/>
        </w:rPr>
        <w:t>charges</w:t>
      </w:r>
      <w:r w:rsidR="008E26D2" w:rsidRPr="00CB17D4">
        <w:rPr>
          <w:spacing w:val="-1"/>
          <w:sz w:val="26"/>
          <w:szCs w:val="26"/>
        </w:rPr>
        <w:t xml:space="preserve"> to cover the costs incurred by state commissions for the regulation of state-certifi</w:t>
      </w:r>
      <w:r w:rsidR="0011301F">
        <w:rPr>
          <w:spacing w:val="-1"/>
          <w:sz w:val="26"/>
          <w:szCs w:val="26"/>
        </w:rPr>
        <w:t>cat</w:t>
      </w:r>
      <w:r w:rsidR="008E26D2" w:rsidRPr="00CB17D4">
        <w:rPr>
          <w:spacing w:val="-1"/>
          <w:sz w:val="26"/>
          <w:szCs w:val="26"/>
        </w:rPr>
        <w:t xml:space="preserve">ed telecommunications carriers.  As such, the FCC’s ten percent contamination rule does not preempt or otherwise bar the Commission from imposing an annual fiscal assessment based on </w:t>
      </w:r>
      <w:r w:rsidR="006D46B0">
        <w:rPr>
          <w:spacing w:val="-1"/>
          <w:sz w:val="26"/>
          <w:szCs w:val="26"/>
        </w:rPr>
        <w:t xml:space="preserve">a telecommunications carriers’ </w:t>
      </w:r>
      <w:r w:rsidR="008E26D2" w:rsidRPr="00CB17D4">
        <w:rPr>
          <w:i/>
          <w:spacing w:val="-1"/>
          <w:sz w:val="26"/>
          <w:szCs w:val="26"/>
        </w:rPr>
        <w:t>de facto</w:t>
      </w:r>
      <w:r w:rsidR="008E26D2" w:rsidRPr="00CB17D4">
        <w:rPr>
          <w:spacing w:val="-1"/>
          <w:sz w:val="26"/>
          <w:szCs w:val="26"/>
        </w:rPr>
        <w:t xml:space="preserve"> intrastate revenues to cover </w:t>
      </w:r>
      <w:r w:rsidR="006D46B0">
        <w:rPr>
          <w:spacing w:val="-1"/>
          <w:sz w:val="26"/>
          <w:szCs w:val="26"/>
        </w:rPr>
        <w:t>the costs of administering the Public Utility Code.</w:t>
      </w:r>
    </w:p>
    <w:p w14:paraId="7BDDAEAC" w14:textId="77777777" w:rsidR="008E26D2" w:rsidRDefault="008E26D2" w:rsidP="007173D2">
      <w:pPr>
        <w:spacing w:line="360" w:lineRule="auto"/>
        <w:ind w:firstLine="720"/>
        <w:rPr>
          <w:sz w:val="26"/>
          <w:szCs w:val="26"/>
        </w:rPr>
      </w:pPr>
    </w:p>
    <w:p w14:paraId="028305E8" w14:textId="7251FA61" w:rsidR="00C464C2" w:rsidRDefault="00EC2083" w:rsidP="00511EB0">
      <w:pPr>
        <w:pStyle w:val="NormalWeb"/>
        <w:spacing w:before="0" w:beforeAutospacing="0" w:after="0" w:afterAutospacing="0" w:line="360" w:lineRule="auto"/>
        <w:ind w:firstLine="720"/>
        <w:rPr>
          <w:sz w:val="26"/>
          <w:szCs w:val="26"/>
        </w:rPr>
      </w:pPr>
      <w:r>
        <w:rPr>
          <w:sz w:val="26"/>
          <w:szCs w:val="26"/>
        </w:rPr>
        <w:t xml:space="preserve">Based on the foregoing, </w:t>
      </w:r>
      <w:r w:rsidR="00E1579B">
        <w:rPr>
          <w:sz w:val="26"/>
          <w:szCs w:val="26"/>
        </w:rPr>
        <w:t>the Commission</w:t>
      </w:r>
      <w:r w:rsidR="0062081B" w:rsidRPr="00CB17D4">
        <w:rPr>
          <w:sz w:val="26"/>
          <w:szCs w:val="26"/>
        </w:rPr>
        <w:t xml:space="preserve"> </w:t>
      </w:r>
      <w:r>
        <w:rPr>
          <w:sz w:val="26"/>
          <w:szCs w:val="26"/>
        </w:rPr>
        <w:t>is not precluded from imposing</w:t>
      </w:r>
      <w:r w:rsidR="008E26D2" w:rsidRPr="00CB17D4">
        <w:rPr>
          <w:sz w:val="26"/>
          <w:szCs w:val="26"/>
        </w:rPr>
        <w:t xml:space="preserve"> impose filing fees, license maintenance fees, annual fiscal assessments or any other administrative fees, separately or in combination, to recover the costs incurred to </w:t>
      </w:r>
      <w:r w:rsidR="00E1579B">
        <w:rPr>
          <w:sz w:val="26"/>
          <w:szCs w:val="26"/>
        </w:rPr>
        <w:t>cover the cost of the Commission’s operations</w:t>
      </w:r>
      <w:r w:rsidR="008E26D2">
        <w:rPr>
          <w:sz w:val="26"/>
          <w:szCs w:val="26"/>
        </w:rPr>
        <w:t xml:space="preserve">.  </w:t>
      </w:r>
      <w:r w:rsidR="00E714B7">
        <w:rPr>
          <w:sz w:val="26"/>
          <w:szCs w:val="26"/>
        </w:rPr>
        <w:t xml:space="preserve">Accordingly, the </w:t>
      </w:r>
      <w:r w:rsidR="009A2DB7">
        <w:rPr>
          <w:sz w:val="26"/>
          <w:szCs w:val="26"/>
        </w:rPr>
        <w:t xml:space="preserve">FCC’s ten percent contamination rule </w:t>
      </w:r>
      <w:r w:rsidR="00E714B7">
        <w:rPr>
          <w:sz w:val="26"/>
          <w:szCs w:val="26"/>
        </w:rPr>
        <w:t>does not exempt telecommunications carriers holding CPCs issued by the Commission from their obligation under Section 510 to report their total gross intrastate operating revenues</w:t>
      </w:r>
      <w:r w:rsidR="00E1579B">
        <w:rPr>
          <w:sz w:val="26"/>
          <w:szCs w:val="26"/>
        </w:rPr>
        <w:t>,</w:t>
      </w:r>
      <w:r w:rsidR="00E714B7">
        <w:rPr>
          <w:rStyle w:val="FootnoteReference"/>
          <w:sz w:val="26"/>
          <w:szCs w:val="26"/>
        </w:rPr>
        <w:footnoteReference w:id="9"/>
      </w:r>
      <w:r w:rsidR="00E714B7">
        <w:rPr>
          <w:sz w:val="26"/>
          <w:szCs w:val="26"/>
        </w:rPr>
        <w:t xml:space="preserve"> under oath, in order to accurately compute the assessment</w:t>
      </w:r>
      <w:r w:rsidR="00E1579B">
        <w:rPr>
          <w:sz w:val="26"/>
          <w:szCs w:val="26"/>
        </w:rPr>
        <w:t>;</w:t>
      </w:r>
      <w:r w:rsidR="00E714B7">
        <w:rPr>
          <w:sz w:val="26"/>
          <w:szCs w:val="26"/>
        </w:rPr>
        <w:t xml:space="preserve"> does </w:t>
      </w:r>
      <w:r w:rsidR="00E1579B">
        <w:rPr>
          <w:sz w:val="26"/>
          <w:szCs w:val="26"/>
        </w:rPr>
        <w:t xml:space="preserve">not </w:t>
      </w:r>
      <w:r w:rsidR="009A2DB7">
        <w:rPr>
          <w:sz w:val="26"/>
          <w:szCs w:val="26"/>
        </w:rPr>
        <w:t xml:space="preserve">nullify </w:t>
      </w:r>
      <w:r w:rsidR="009A2DB7" w:rsidRPr="00CB17D4">
        <w:rPr>
          <w:sz w:val="26"/>
          <w:szCs w:val="26"/>
        </w:rPr>
        <w:t>the Commission</w:t>
      </w:r>
      <w:r w:rsidR="009A2DB7">
        <w:rPr>
          <w:sz w:val="26"/>
          <w:szCs w:val="26"/>
        </w:rPr>
        <w:t>’s</w:t>
      </w:r>
      <w:r w:rsidR="009A2DB7" w:rsidRPr="00CB17D4">
        <w:rPr>
          <w:sz w:val="26"/>
          <w:szCs w:val="26"/>
        </w:rPr>
        <w:t xml:space="preserve"> authority to impose</w:t>
      </w:r>
      <w:r w:rsidR="00DB211A">
        <w:rPr>
          <w:sz w:val="26"/>
          <w:szCs w:val="26"/>
        </w:rPr>
        <w:t xml:space="preserve"> and telecommunication carriers’ concomitant obligation to pay</w:t>
      </w:r>
      <w:r w:rsidR="009A2DB7" w:rsidRPr="00CB17D4">
        <w:rPr>
          <w:sz w:val="26"/>
          <w:szCs w:val="26"/>
        </w:rPr>
        <w:t xml:space="preserve"> the annual fiscal assessment</w:t>
      </w:r>
      <w:r w:rsidR="00DB211A">
        <w:rPr>
          <w:sz w:val="26"/>
          <w:szCs w:val="26"/>
        </w:rPr>
        <w:t xml:space="preserve"> pursuant to Section</w:t>
      </w:r>
      <w:r w:rsidR="0082017E">
        <w:rPr>
          <w:sz w:val="26"/>
          <w:szCs w:val="26"/>
        </w:rPr>
        <w:t> </w:t>
      </w:r>
      <w:r w:rsidR="00DB211A">
        <w:rPr>
          <w:sz w:val="26"/>
          <w:szCs w:val="26"/>
        </w:rPr>
        <w:t>510</w:t>
      </w:r>
      <w:r w:rsidR="00E1579B">
        <w:rPr>
          <w:sz w:val="26"/>
          <w:szCs w:val="26"/>
        </w:rPr>
        <w:t xml:space="preserve">; and </w:t>
      </w:r>
      <w:r w:rsidR="00DB211A">
        <w:rPr>
          <w:sz w:val="26"/>
          <w:szCs w:val="26"/>
        </w:rPr>
        <w:t xml:space="preserve"> does </w:t>
      </w:r>
      <w:r w:rsidR="00E1579B">
        <w:rPr>
          <w:sz w:val="26"/>
          <w:szCs w:val="26"/>
        </w:rPr>
        <w:t>not</w:t>
      </w:r>
      <w:r w:rsidR="00DB211A">
        <w:rPr>
          <w:sz w:val="26"/>
          <w:szCs w:val="26"/>
        </w:rPr>
        <w:t xml:space="preserve"> preclude the obligation of telecommunication carriers to report their gross intrastate operating revenues, under oath, in order to accurately compute the assessment</w:t>
      </w:r>
      <w:r w:rsidR="00C464C2">
        <w:rPr>
          <w:sz w:val="26"/>
          <w:szCs w:val="26"/>
        </w:rPr>
        <w:t xml:space="preserve">.  </w:t>
      </w:r>
    </w:p>
    <w:p w14:paraId="4DFF3ED1" w14:textId="77777777" w:rsidR="00511EB0" w:rsidRDefault="00511EB0" w:rsidP="00511EB0">
      <w:pPr>
        <w:pStyle w:val="NormalWeb"/>
        <w:spacing w:before="0" w:beforeAutospacing="0" w:after="0" w:afterAutospacing="0" w:line="360" w:lineRule="auto"/>
        <w:ind w:firstLine="720"/>
        <w:rPr>
          <w:sz w:val="26"/>
          <w:szCs w:val="26"/>
        </w:rPr>
      </w:pPr>
    </w:p>
    <w:p w14:paraId="77864DD9" w14:textId="5FE72C04" w:rsidR="000E1912" w:rsidRPr="00160E8F" w:rsidRDefault="00C464C2" w:rsidP="00511EB0">
      <w:pPr>
        <w:pStyle w:val="NormalWeb"/>
        <w:spacing w:before="0" w:beforeAutospacing="0" w:after="0" w:afterAutospacing="0" w:line="360" w:lineRule="auto"/>
        <w:ind w:firstLine="720"/>
        <w:rPr>
          <w:sz w:val="26"/>
          <w:szCs w:val="26"/>
        </w:rPr>
      </w:pPr>
      <w:r w:rsidRPr="00DB2540">
        <w:rPr>
          <w:color w:val="000000"/>
          <w:sz w:val="26"/>
          <w:szCs w:val="26"/>
        </w:rPr>
        <w:t xml:space="preserve">Lastly, we note here that while this a policy statement provides guidance regarding the reporting of </w:t>
      </w:r>
      <w:r>
        <w:rPr>
          <w:color w:val="000000"/>
          <w:sz w:val="26"/>
          <w:szCs w:val="26"/>
        </w:rPr>
        <w:t xml:space="preserve">gross </w:t>
      </w:r>
      <w:r w:rsidRPr="00DB2540">
        <w:rPr>
          <w:color w:val="000000"/>
          <w:sz w:val="26"/>
          <w:szCs w:val="26"/>
        </w:rPr>
        <w:t xml:space="preserve">intrastate </w:t>
      </w:r>
      <w:r>
        <w:rPr>
          <w:color w:val="000000"/>
          <w:sz w:val="26"/>
          <w:szCs w:val="26"/>
        </w:rPr>
        <w:t xml:space="preserve">operating </w:t>
      </w:r>
      <w:r w:rsidRPr="00DB2540">
        <w:rPr>
          <w:color w:val="000000"/>
          <w:sz w:val="26"/>
          <w:szCs w:val="26"/>
        </w:rPr>
        <w:t>revenues by telecommunication carriers for assessment purposes, any final decision on the precise amount of an assessment to be imposed on an individual telecom</w:t>
      </w:r>
      <w:r>
        <w:rPr>
          <w:color w:val="000000"/>
          <w:sz w:val="26"/>
          <w:szCs w:val="26"/>
        </w:rPr>
        <w:t>munications</w:t>
      </w:r>
      <w:r w:rsidRPr="00DB2540">
        <w:rPr>
          <w:color w:val="000000"/>
          <w:sz w:val="26"/>
          <w:szCs w:val="26"/>
        </w:rPr>
        <w:t xml:space="preserve"> carrier, if challenged, will be made only </w:t>
      </w:r>
      <w:r w:rsidR="00EC6674">
        <w:rPr>
          <w:color w:val="000000"/>
          <w:sz w:val="26"/>
          <w:szCs w:val="26"/>
        </w:rPr>
        <w:t xml:space="preserve">after </w:t>
      </w:r>
      <w:r>
        <w:rPr>
          <w:color w:val="000000"/>
          <w:sz w:val="26"/>
          <w:szCs w:val="26"/>
        </w:rPr>
        <w:t>a formal adjudication that follows</w:t>
      </w:r>
      <w:r w:rsidRPr="00DB2540">
        <w:rPr>
          <w:color w:val="000000"/>
          <w:sz w:val="26"/>
          <w:szCs w:val="26"/>
        </w:rPr>
        <w:t> </w:t>
      </w:r>
      <w:r>
        <w:rPr>
          <w:color w:val="000000"/>
          <w:sz w:val="26"/>
          <w:szCs w:val="26"/>
        </w:rPr>
        <w:t xml:space="preserve">the </w:t>
      </w:r>
      <w:r w:rsidRPr="00DB2540">
        <w:rPr>
          <w:color w:val="000000"/>
          <w:sz w:val="26"/>
          <w:szCs w:val="26"/>
        </w:rPr>
        <w:t>notice, objection and hearing procedures provided for in Section 510(c).  66 Pa. C.S. § 510(c)</w:t>
      </w:r>
      <w:r w:rsidR="00E1579B">
        <w:rPr>
          <w:color w:val="000000"/>
          <w:sz w:val="26"/>
          <w:szCs w:val="26"/>
        </w:rPr>
        <w:t>.  This is a statement of general policy reserving our discretion to act in future individual cases</w:t>
      </w:r>
      <w:r w:rsidR="00E92295">
        <w:rPr>
          <w:color w:val="000000"/>
          <w:sz w:val="26"/>
          <w:szCs w:val="26"/>
        </w:rPr>
        <w:t>,</w:t>
      </w:r>
      <w:r w:rsidR="00E1579B" w:rsidRPr="00E1579B">
        <w:rPr>
          <w:color w:val="000000"/>
          <w:sz w:val="26"/>
          <w:szCs w:val="26"/>
        </w:rPr>
        <w:t xml:space="preserve"> based on the facts and arguments presented</w:t>
      </w:r>
      <w:r w:rsidR="00E1579B">
        <w:rPr>
          <w:color w:val="000000"/>
          <w:sz w:val="26"/>
          <w:szCs w:val="26"/>
        </w:rPr>
        <w:t xml:space="preserve"> </w:t>
      </w:r>
      <w:r w:rsidR="00E92295">
        <w:rPr>
          <w:color w:val="000000"/>
          <w:sz w:val="26"/>
          <w:szCs w:val="26"/>
        </w:rPr>
        <w:t>in those cases, and is</w:t>
      </w:r>
      <w:r w:rsidR="00E1579B">
        <w:rPr>
          <w:color w:val="000000"/>
          <w:sz w:val="26"/>
          <w:szCs w:val="26"/>
        </w:rPr>
        <w:t xml:space="preserve"> not a final, binding rule on the Commission</w:t>
      </w:r>
      <w:r w:rsidR="007173D2">
        <w:rPr>
          <w:color w:val="000000"/>
          <w:sz w:val="26"/>
          <w:szCs w:val="26"/>
        </w:rPr>
        <w:t>;</w:t>
      </w:r>
      <w:r w:rsidR="00A00202" w:rsidRPr="00160E8F">
        <w:rPr>
          <w:sz w:val="26"/>
          <w:szCs w:val="26"/>
        </w:rPr>
        <w:t xml:space="preserve"> </w:t>
      </w:r>
      <w:r w:rsidR="000900C9" w:rsidRPr="00160E8F">
        <w:rPr>
          <w:b/>
          <w:sz w:val="26"/>
          <w:szCs w:val="26"/>
          <w:lang w:bidi="en-US"/>
        </w:rPr>
        <w:t>THEREFORE</w:t>
      </w:r>
      <w:r w:rsidR="000900C9" w:rsidRPr="00160E8F">
        <w:rPr>
          <w:sz w:val="26"/>
          <w:szCs w:val="26"/>
          <w:lang w:bidi="en-US"/>
        </w:rPr>
        <w:t>,</w:t>
      </w:r>
    </w:p>
    <w:p w14:paraId="7665835B" w14:textId="77777777" w:rsidR="00A00202" w:rsidRPr="00160E8F" w:rsidRDefault="00A00202" w:rsidP="00737933">
      <w:pPr>
        <w:spacing w:line="360" w:lineRule="auto"/>
        <w:rPr>
          <w:sz w:val="26"/>
          <w:szCs w:val="26"/>
        </w:rPr>
      </w:pPr>
    </w:p>
    <w:p w14:paraId="7B15A33B" w14:textId="77777777" w:rsidR="00511EB0" w:rsidRDefault="00511EB0">
      <w:pPr>
        <w:rPr>
          <w:b/>
          <w:sz w:val="26"/>
          <w:szCs w:val="26"/>
        </w:rPr>
      </w:pPr>
      <w:r>
        <w:rPr>
          <w:b/>
          <w:sz w:val="26"/>
          <w:szCs w:val="26"/>
        </w:rPr>
        <w:br w:type="page"/>
      </w:r>
    </w:p>
    <w:p w14:paraId="2F6D1ED7" w14:textId="5419C133" w:rsidR="002B32BD" w:rsidRPr="00160E8F" w:rsidRDefault="007E1866" w:rsidP="00737933">
      <w:pPr>
        <w:spacing w:line="360" w:lineRule="auto"/>
        <w:ind w:firstLine="720"/>
        <w:rPr>
          <w:b/>
          <w:sz w:val="26"/>
          <w:szCs w:val="26"/>
        </w:rPr>
      </w:pPr>
      <w:r w:rsidRPr="00160E8F">
        <w:rPr>
          <w:b/>
          <w:sz w:val="26"/>
          <w:szCs w:val="26"/>
        </w:rPr>
        <w:t>IT IS ORDERED:</w:t>
      </w:r>
    </w:p>
    <w:p w14:paraId="0844DD6C" w14:textId="77777777" w:rsidR="000E1912" w:rsidRPr="00160E8F" w:rsidRDefault="000E1912" w:rsidP="00737933">
      <w:pPr>
        <w:spacing w:line="360" w:lineRule="auto"/>
        <w:ind w:firstLine="720"/>
        <w:rPr>
          <w:b/>
          <w:sz w:val="26"/>
          <w:szCs w:val="26"/>
        </w:rPr>
      </w:pPr>
    </w:p>
    <w:p w14:paraId="54EF3E5E" w14:textId="77777777" w:rsidR="002B32BD" w:rsidRDefault="002B32BD" w:rsidP="00737933">
      <w:pPr>
        <w:spacing w:line="360" w:lineRule="auto"/>
        <w:ind w:firstLine="720"/>
        <w:rPr>
          <w:sz w:val="26"/>
          <w:szCs w:val="26"/>
        </w:rPr>
      </w:pPr>
      <w:r w:rsidRPr="00160E8F">
        <w:rPr>
          <w:sz w:val="26"/>
          <w:szCs w:val="26"/>
        </w:rPr>
        <w:t xml:space="preserve">1.  </w:t>
      </w:r>
      <w:r w:rsidRPr="00160E8F">
        <w:rPr>
          <w:sz w:val="26"/>
          <w:szCs w:val="26"/>
        </w:rPr>
        <w:tab/>
      </w:r>
      <w:r w:rsidR="00A018E5" w:rsidRPr="00160E8F">
        <w:rPr>
          <w:sz w:val="26"/>
          <w:szCs w:val="26"/>
        </w:rPr>
        <w:t xml:space="preserve">That the Commission adopt the </w:t>
      </w:r>
      <w:r w:rsidR="00EF2132">
        <w:rPr>
          <w:sz w:val="26"/>
          <w:szCs w:val="26"/>
        </w:rPr>
        <w:t xml:space="preserve">proposed </w:t>
      </w:r>
      <w:r w:rsidR="00A018E5" w:rsidRPr="00160E8F">
        <w:rPr>
          <w:sz w:val="26"/>
          <w:szCs w:val="26"/>
        </w:rPr>
        <w:t xml:space="preserve">policy </w:t>
      </w:r>
      <w:r w:rsidR="00160E8F" w:rsidRPr="00160E8F">
        <w:rPr>
          <w:sz w:val="26"/>
          <w:szCs w:val="26"/>
        </w:rPr>
        <w:t>statement as set forth in Annex </w:t>
      </w:r>
      <w:r w:rsidR="00A018E5" w:rsidRPr="00160E8F">
        <w:rPr>
          <w:sz w:val="26"/>
          <w:szCs w:val="26"/>
        </w:rPr>
        <w:t>A.</w:t>
      </w:r>
    </w:p>
    <w:p w14:paraId="79387695" w14:textId="77777777" w:rsidR="005802AD" w:rsidRPr="006E6D9A" w:rsidRDefault="005802AD" w:rsidP="00737933">
      <w:pPr>
        <w:spacing w:line="360" w:lineRule="auto"/>
        <w:ind w:firstLine="720"/>
        <w:rPr>
          <w:sz w:val="26"/>
          <w:szCs w:val="26"/>
        </w:rPr>
      </w:pPr>
    </w:p>
    <w:p w14:paraId="062A3B8D" w14:textId="77777777" w:rsidR="00320094" w:rsidRPr="006E6D9A" w:rsidRDefault="00E61968" w:rsidP="00737933">
      <w:pPr>
        <w:spacing w:line="360" w:lineRule="auto"/>
        <w:ind w:firstLine="720"/>
        <w:rPr>
          <w:sz w:val="26"/>
          <w:szCs w:val="26"/>
        </w:rPr>
      </w:pPr>
      <w:r w:rsidRPr="006E6D9A">
        <w:rPr>
          <w:sz w:val="26"/>
          <w:szCs w:val="26"/>
        </w:rPr>
        <w:t>2.</w:t>
      </w:r>
      <w:r w:rsidRPr="006E6D9A">
        <w:rPr>
          <w:sz w:val="26"/>
          <w:szCs w:val="26"/>
        </w:rPr>
        <w:tab/>
      </w:r>
      <w:r w:rsidR="00A018E5" w:rsidRPr="006E6D9A">
        <w:rPr>
          <w:sz w:val="26"/>
          <w:szCs w:val="26"/>
        </w:rPr>
        <w:t xml:space="preserve">That the </w:t>
      </w:r>
      <w:r w:rsidR="00B40E48" w:rsidRPr="006E6D9A">
        <w:rPr>
          <w:sz w:val="26"/>
          <w:szCs w:val="26"/>
        </w:rPr>
        <w:t>Law Bureau</w:t>
      </w:r>
      <w:r w:rsidR="00A018E5" w:rsidRPr="006E6D9A">
        <w:rPr>
          <w:sz w:val="26"/>
          <w:szCs w:val="26"/>
        </w:rPr>
        <w:t xml:space="preserve"> shall </w:t>
      </w:r>
      <w:r w:rsidR="008E26D2" w:rsidRPr="006E6D9A">
        <w:rPr>
          <w:sz w:val="26"/>
          <w:szCs w:val="26"/>
        </w:rPr>
        <w:t xml:space="preserve">deposit </w:t>
      </w:r>
      <w:r w:rsidR="00A018E5" w:rsidRPr="006E6D9A">
        <w:rPr>
          <w:sz w:val="26"/>
          <w:szCs w:val="26"/>
        </w:rPr>
        <w:t xml:space="preserve">this order and Annex A with the Legislative Reference Bureau for publication in the </w:t>
      </w:r>
      <w:r w:rsidR="00A018E5" w:rsidRPr="006E6D9A">
        <w:rPr>
          <w:i/>
          <w:sz w:val="26"/>
          <w:szCs w:val="26"/>
        </w:rPr>
        <w:t>Pennsylvania Bulletin</w:t>
      </w:r>
      <w:r w:rsidR="00A018E5" w:rsidRPr="006E6D9A">
        <w:rPr>
          <w:sz w:val="26"/>
          <w:szCs w:val="26"/>
        </w:rPr>
        <w:t>.</w:t>
      </w:r>
    </w:p>
    <w:p w14:paraId="1D3B48CC" w14:textId="77777777" w:rsidR="000E1912" w:rsidRPr="006E6D9A" w:rsidRDefault="000E1912" w:rsidP="00737933">
      <w:pPr>
        <w:spacing w:line="360" w:lineRule="auto"/>
        <w:ind w:firstLine="720"/>
        <w:rPr>
          <w:sz w:val="26"/>
          <w:szCs w:val="26"/>
        </w:rPr>
      </w:pPr>
    </w:p>
    <w:p w14:paraId="066472E9" w14:textId="77777777" w:rsidR="006E6D9A" w:rsidRDefault="006E6D9A" w:rsidP="00737933">
      <w:pPr>
        <w:keepNext/>
        <w:overflowPunct w:val="0"/>
        <w:autoSpaceDE w:val="0"/>
        <w:autoSpaceDN w:val="0"/>
        <w:adjustRightInd w:val="0"/>
        <w:spacing w:line="360" w:lineRule="auto"/>
        <w:ind w:left="720"/>
        <w:textAlignment w:val="baseline"/>
        <w:rPr>
          <w:bCs/>
          <w:sz w:val="26"/>
          <w:szCs w:val="26"/>
        </w:rPr>
      </w:pPr>
      <w:r w:rsidRPr="006E6D9A">
        <w:rPr>
          <w:sz w:val="26"/>
          <w:szCs w:val="26"/>
        </w:rPr>
        <w:t>3</w:t>
      </w:r>
      <w:r w:rsidR="00E61968" w:rsidRPr="006E6D9A">
        <w:rPr>
          <w:sz w:val="26"/>
          <w:szCs w:val="26"/>
        </w:rPr>
        <w:t>.</w:t>
      </w:r>
      <w:r w:rsidR="002B32BD" w:rsidRPr="006E6D9A">
        <w:rPr>
          <w:sz w:val="26"/>
          <w:szCs w:val="26"/>
        </w:rPr>
        <w:tab/>
      </w:r>
      <w:r w:rsidRPr="006E6D9A">
        <w:rPr>
          <w:bCs/>
          <w:sz w:val="26"/>
          <w:szCs w:val="26"/>
        </w:rPr>
        <w:t>That comments to the Order and Annex A shall be filed within 45 days of</w:t>
      </w:r>
    </w:p>
    <w:p w14:paraId="5698FBFB" w14:textId="5C63CBF0" w:rsidR="00D44CF1" w:rsidRPr="006E6D9A" w:rsidRDefault="006E6D9A" w:rsidP="00737933">
      <w:pPr>
        <w:keepNext/>
        <w:overflowPunct w:val="0"/>
        <w:autoSpaceDE w:val="0"/>
        <w:autoSpaceDN w:val="0"/>
        <w:adjustRightInd w:val="0"/>
        <w:spacing w:line="360" w:lineRule="auto"/>
        <w:textAlignment w:val="baseline"/>
        <w:rPr>
          <w:sz w:val="26"/>
          <w:szCs w:val="26"/>
        </w:rPr>
      </w:pPr>
      <w:r w:rsidRPr="006E6D9A">
        <w:rPr>
          <w:bCs/>
          <w:sz w:val="26"/>
          <w:szCs w:val="26"/>
        </w:rPr>
        <w:t xml:space="preserve">the date </w:t>
      </w:r>
      <w:r w:rsidR="00604D61">
        <w:rPr>
          <w:bCs/>
          <w:sz w:val="26"/>
          <w:szCs w:val="26"/>
        </w:rPr>
        <w:t xml:space="preserve">of </w:t>
      </w:r>
      <w:r w:rsidR="00A018E5" w:rsidRPr="006E6D9A">
        <w:rPr>
          <w:sz w:val="26"/>
          <w:szCs w:val="26"/>
        </w:rPr>
        <w:t xml:space="preserve">publication in the </w:t>
      </w:r>
      <w:r w:rsidR="00A018E5" w:rsidRPr="006E6D9A">
        <w:rPr>
          <w:i/>
          <w:sz w:val="26"/>
          <w:szCs w:val="26"/>
        </w:rPr>
        <w:t>Pennsylvania Bulletin</w:t>
      </w:r>
      <w:r w:rsidR="00A018E5" w:rsidRPr="006E6D9A">
        <w:rPr>
          <w:sz w:val="26"/>
          <w:szCs w:val="26"/>
        </w:rPr>
        <w:t>.</w:t>
      </w:r>
      <w:r w:rsidR="00217969" w:rsidRPr="00217969">
        <w:rPr>
          <w:sz w:val="26"/>
          <w:szCs w:val="26"/>
        </w:rPr>
        <w:t xml:space="preserve"> </w:t>
      </w:r>
      <w:r w:rsidR="00217969">
        <w:rPr>
          <w:sz w:val="26"/>
          <w:szCs w:val="26"/>
        </w:rPr>
        <w:t xml:space="preserve"> Reply comments are due within 60 days </w:t>
      </w:r>
      <w:r w:rsidR="00511EB0">
        <w:rPr>
          <w:sz w:val="26"/>
          <w:szCs w:val="26"/>
        </w:rPr>
        <w:t xml:space="preserve">of the date of </w:t>
      </w:r>
      <w:r w:rsidR="00217969">
        <w:rPr>
          <w:sz w:val="26"/>
          <w:szCs w:val="26"/>
        </w:rPr>
        <w:t xml:space="preserve">publication in the </w:t>
      </w:r>
      <w:r w:rsidR="00217969" w:rsidRPr="00217969">
        <w:rPr>
          <w:i/>
          <w:sz w:val="26"/>
          <w:szCs w:val="26"/>
        </w:rPr>
        <w:t>Pennsylvania Bulletin</w:t>
      </w:r>
      <w:r w:rsidR="00217969">
        <w:rPr>
          <w:sz w:val="26"/>
          <w:szCs w:val="26"/>
        </w:rPr>
        <w:t>.</w:t>
      </w:r>
    </w:p>
    <w:p w14:paraId="4607B3E2" w14:textId="1CD018D7" w:rsidR="00BD0564" w:rsidRDefault="00BD0564" w:rsidP="00737933">
      <w:pPr>
        <w:spacing w:line="360" w:lineRule="auto"/>
        <w:ind w:firstLine="720"/>
        <w:rPr>
          <w:sz w:val="26"/>
          <w:szCs w:val="26"/>
        </w:rPr>
      </w:pPr>
    </w:p>
    <w:p w14:paraId="308CCDED" w14:textId="77777777" w:rsidR="00E77C74" w:rsidRPr="00160E8F" w:rsidRDefault="006E6D9A" w:rsidP="00737933">
      <w:pPr>
        <w:spacing w:line="360" w:lineRule="auto"/>
        <w:ind w:firstLine="720"/>
        <w:rPr>
          <w:sz w:val="26"/>
          <w:szCs w:val="26"/>
        </w:rPr>
      </w:pPr>
      <w:r w:rsidRPr="006E6D9A">
        <w:rPr>
          <w:sz w:val="26"/>
          <w:szCs w:val="26"/>
        </w:rPr>
        <w:t>4</w:t>
      </w:r>
      <w:r w:rsidR="00284D14" w:rsidRPr="006E6D9A">
        <w:rPr>
          <w:sz w:val="26"/>
          <w:szCs w:val="26"/>
        </w:rPr>
        <w:t>.</w:t>
      </w:r>
      <w:r w:rsidR="00284D14" w:rsidRPr="006E6D9A">
        <w:rPr>
          <w:sz w:val="26"/>
          <w:szCs w:val="26"/>
        </w:rPr>
        <w:tab/>
      </w:r>
      <w:r w:rsidR="00A018E5" w:rsidRPr="006E6D9A">
        <w:rPr>
          <w:sz w:val="26"/>
          <w:szCs w:val="26"/>
        </w:rPr>
        <w:t xml:space="preserve">That this Order and Annex A </w:t>
      </w:r>
      <w:r w:rsidRPr="006E6D9A">
        <w:rPr>
          <w:sz w:val="26"/>
          <w:szCs w:val="26"/>
        </w:rPr>
        <w:t xml:space="preserve">shall also </w:t>
      </w:r>
      <w:r w:rsidR="00A018E5" w:rsidRPr="006E6D9A">
        <w:rPr>
          <w:sz w:val="26"/>
          <w:szCs w:val="26"/>
        </w:rPr>
        <w:t>be posted on the Commission’s website.</w:t>
      </w:r>
      <w:r w:rsidR="00604D61" w:rsidRPr="00604D61">
        <w:rPr>
          <w:bCs/>
          <w:sz w:val="22"/>
          <w:szCs w:val="22"/>
        </w:rPr>
        <w:t xml:space="preserve"> </w:t>
      </w:r>
    </w:p>
    <w:p w14:paraId="24C4DB5C" w14:textId="77777777" w:rsidR="00604D61" w:rsidRDefault="00604D61" w:rsidP="00737933">
      <w:pPr>
        <w:spacing w:line="360" w:lineRule="auto"/>
        <w:ind w:firstLine="720"/>
        <w:rPr>
          <w:sz w:val="26"/>
          <w:szCs w:val="26"/>
        </w:rPr>
      </w:pPr>
    </w:p>
    <w:p w14:paraId="00576A41" w14:textId="4FADA0EB" w:rsidR="00160E8F" w:rsidRPr="009B7B9F" w:rsidRDefault="000A2553" w:rsidP="009B7B9F">
      <w:pPr>
        <w:pStyle w:val="ListParagraph"/>
        <w:numPr>
          <w:ilvl w:val="0"/>
          <w:numId w:val="21"/>
        </w:numPr>
        <w:spacing w:line="360" w:lineRule="auto"/>
        <w:ind w:left="0" w:firstLine="720"/>
        <w:rPr>
          <w:rFonts w:ascii="Times New Roman" w:hAnsi="Times New Roman"/>
          <w:sz w:val="26"/>
          <w:szCs w:val="26"/>
        </w:rPr>
      </w:pPr>
      <w:r w:rsidRPr="009B7B9F">
        <w:rPr>
          <w:rFonts w:ascii="Times New Roman" w:hAnsi="Times New Roman"/>
          <w:sz w:val="26"/>
          <w:szCs w:val="26"/>
        </w:rPr>
        <w:t>That the contact person</w:t>
      </w:r>
      <w:r w:rsidR="008B3592" w:rsidRPr="009B7B9F">
        <w:rPr>
          <w:rFonts w:ascii="Times New Roman" w:hAnsi="Times New Roman"/>
          <w:sz w:val="26"/>
          <w:szCs w:val="26"/>
        </w:rPr>
        <w:t xml:space="preserve"> </w:t>
      </w:r>
      <w:r w:rsidRPr="009B7B9F">
        <w:rPr>
          <w:rFonts w:ascii="Times New Roman" w:hAnsi="Times New Roman"/>
          <w:sz w:val="26"/>
          <w:szCs w:val="26"/>
        </w:rPr>
        <w:t xml:space="preserve">is </w:t>
      </w:r>
      <w:r w:rsidR="00EF2132" w:rsidRPr="009B7B9F">
        <w:rPr>
          <w:rFonts w:ascii="Times New Roman" w:hAnsi="Times New Roman"/>
          <w:sz w:val="26"/>
          <w:szCs w:val="26"/>
        </w:rPr>
        <w:t>David E. Screven</w:t>
      </w:r>
      <w:r w:rsidRPr="009B7B9F">
        <w:rPr>
          <w:rFonts w:ascii="Times New Roman" w:hAnsi="Times New Roman"/>
          <w:sz w:val="26"/>
          <w:szCs w:val="26"/>
        </w:rPr>
        <w:t>, Assistant Counsel, Law Bureau</w:t>
      </w:r>
      <w:r w:rsidR="00C6429C" w:rsidRPr="009B7B9F">
        <w:rPr>
          <w:rFonts w:ascii="Times New Roman" w:hAnsi="Times New Roman"/>
          <w:sz w:val="26"/>
          <w:szCs w:val="26"/>
        </w:rPr>
        <w:t xml:space="preserve">, </w:t>
      </w:r>
      <w:r w:rsidRPr="009B7B9F">
        <w:rPr>
          <w:rFonts w:ascii="Times New Roman" w:hAnsi="Times New Roman"/>
          <w:sz w:val="26"/>
          <w:szCs w:val="26"/>
        </w:rPr>
        <w:t>(</w:t>
      </w:r>
      <w:r w:rsidR="00F60C39" w:rsidRPr="009B7B9F">
        <w:rPr>
          <w:rFonts w:ascii="Times New Roman" w:hAnsi="Times New Roman"/>
          <w:sz w:val="26"/>
          <w:szCs w:val="26"/>
        </w:rPr>
        <w:t>717</w:t>
      </w:r>
      <w:r w:rsidRPr="009B7B9F">
        <w:rPr>
          <w:rFonts w:ascii="Times New Roman" w:hAnsi="Times New Roman"/>
          <w:sz w:val="26"/>
          <w:szCs w:val="26"/>
        </w:rPr>
        <w:t>)</w:t>
      </w:r>
      <w:r w:rsidR="007173D2" w:rsidRPr="009B7B9F">
        <w:rPr>
          <w:rFonts w:ascii="Times New Roman" w:hAnsi="Times New Roman"/>
          <w:sz w:val="26"/>
          <w:szCs w:val="26"/>
        </w:rPr>
        <w:t xml:space="preserve"> </w:t>
      </w:r>
      <w:r w:rsidRPr="009B7B9F">
        <w:rPr>
          <w:rFonts w:ascii="Times New Roman" w:hAnsi="Times New Roman"/>
          <w:sz w:val="26"/>
          <w:szCs w:val="26"/>
        </w:rPr>
        <w:t>7</w:t>
      </w:r>
      <w:r w:rsidR="00182456" w:rsidRPr="009B7B9F">
        <w:rPr>
          <w:rFonts w:ascii="Times New Roman" w:hAnsi="Times New Roman"/>
          <w:sz w:val="26"/>
          <w:szCs w:val="26"/>
        </w:rPr>
        <w:t>87</w:t>
      </w:r>
      <w:r w:rsidR="00F60C39" w:rsidRPr="009B7B9F">
        <w:rPr>
          <w:rFonts w:ascii="Times New Roman" w:hAnsi="Times New Roman"/>
          <w:sz w:val="26"/>
          <w:szCs w:val="26"/>
        </w:rPr>
        <w:t>-</w:t>
      </w:r>
      <w:r w:rsidR="00EF2132" w:rsidRPr="009B7B9F">
        <w:rPr>
          <w:rFonts w:ascii="Times New Roman" w:hAnsi="Times New Roman"/>
          <w:sz w:val="26"/>
          <w:szCs w:val="26"/>
        </w:rPr>
        <w:t>2126</w:t>
      </w:r>
      <w:r w:rsidR="00604D61" w:rsidRPr="009B7B9F">
        <w:rPr>
          <w:rFonts w:ascii="Times New Roman" w:hAnsi="Times New Roman"/>
          <w:sz w:val="26"/>
          <w:szCs w:val="26"/>
        </w:rPr>
        <w:t xml:space="preserve">, </w:t>
      </w:r>
      <w:hyperlink r:id="rId8" w:history="1">
        <w:r w:rsidR="00737933" w:rsidRPr="009B7B9F">
          <w:rPr>
            <w:rStyle w:val="Hyperlink"/>
            <w:rFonts w:ascii="Times New Roman" w:hAnsi="Times New Roman"/>
            <w:sz w:val="26"/>
            <w:szCs w:val="26"/>
          </w:rPr>
          <w:t>dscreven@pa.gov</w:t>
        </w:r>
      </w:hyperlink>
      <w:r w:rsidR="00F60C39" w:rsidRPr="009B7B9F">
        <w:rPr>
          <w:rFonts w:ascii="Times New Roman" w:hAnsi="Times New Roman"/>
          <w:sz w:val="26"/>
          <w:szCs w:val="26"/>
        </w:rPr>
        <w:t>.</w:t>
      </w:r>
    </w:p>
    <w:p w14:paraId="3493FB7B" w14:textId="481E0927" w:rsidR="00AF71CD" w:rsidRDefault="00663FB0" w:rsidP="00737933">
      <w:pPr>
        <w:rPr>
          <w:b/>
          <w:sz w:val="26"/>
          <w:szCs w:val="26"/>
        </w:rPr>
      </w:pPr>
      <w:bookmarkStart w:id="10" w:name="_GoBack"/>
      <w:r w:rsidRPr="009F01BA">
        <w:rPr>
          <w:b/>
          <w:noProof/>
          <w:sz w:val="20"/>
          <w:szCs w:val="20"/>
        </w:rPr>
        <w:drawing>
          <wp:anchor distT="0" distB="0" distL="114300" distR="114300" simplePos="0" relativeHeight="251659264" behindDoc="1" locked="0" layoutInCell="1" allowOverlap="1" wp14:anchorId="11F091E3" wp14:editId="2639F8E6">
            <wp:simplePos x="0" y="0"/>
            <wp:positionH relativeFrom="column">
              <wp:posOffset>3076575</wp:posOffset>
            </wp:positionH>
            <wp:positionV relativeFrom="paragraph">
              <wp:posOffset>159385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0"/>
    </w:p>
    <w:p w14:paraId="2C237C8C" w14:textId="522A9B89" w:rsidR="007E1866" w:rsidRPr="00160E8F" w:rsidRDefault="007E1866" w:rsidP="00737933">
      <w:pPr>
        <w:ind w:left="5040"/>
        <w:rPr>
          <w:sz w:val="26"/>
          <w:szCs w:val="26"/>
        </w:rPr>
      </w:pPr>
      <w:r w:rsidRPr="00160E8F">
        <w:rPr>
          <w:b/>
          <w:sz w:val="26"/>
          <w:szCs w:val="26"/>
        </w:rPr>
        <w:t>BY THE COMMISSION</w:t>
      </w:r>
      <w:r w:rsidRPr="00160E8F">
        <w:rPr>
          <w:sz w:val="26"/>
          <w:szCs w:val="26"/>
        </w:rPr>
        <w:t>,</w:t>
      </w:r>
    </w:p>
    <w:p w14:paraId="686DC712" w14:textId="77777777" w:rsidR="007E1866" w:rsidRPr="00160E8F" w:rsidRDefault="007E1866" w:rsidP="00737933">
      <w:pPr>
        <w:jc w:val="center"/>
        <w:rPr>
          <w:sz w:val="26"/>
          <w:szCs w:val="26"/>
        </w:rPr>
      </w:pPr>
    </w:p>
    <w:p w14:paraId="567AF0ED" w14:textId="09136533" w:rsidR="007E1866" w:rsidRDefault="007E1866" w:rsidP="00737933">
      <w:pPr>
        <w:jc w:val="center"/>
        <w:rPr>
          <w:sz w:val="26"/>
          <w:szCs w:val="26"/>
        </w:rPr>
      </w:pPr>
    </w:p>
    <w:p w14:paraId="4579A9CF" w14:textId="77777777" w:rsidR="005802AD" w:rsidRPr="00160E8F" w:rsidRDefault="005802AD" w:rsidP="00737933">
      <w:pPr>
        <w:jc w:val="center"/>
        <w:rPr>
          <w:sz w:val="26"/>
          <w:szCs w:val="26"/>
        </w:rPr>
      </w:pPr>
    </w:p>
    <w:p w14:paraId="677451BF" w14:textId="77777777" w:rsidR="007E1866" w:rsidRPr="00160E8F" w:rsidRDefault="00182F8A" w:rsidP="00737933">
      <w:pPr>
        <w:rPr>
          <w:sz w:val="26"/>
          <w:szCs w:val="26"/>
        </w:rPr>
      </w:pPr>
      <w:r w:rsidRPr="00160E8F">
        <w:rPr>
          <w:sz w:val="26"/>
          <w:szCs w:val="26"/>
        </w:rPr>
        <w:t xml:space="preserve">                                                         </w:t>
      </w:r>
      <w:r w:rsidR="000E1912" w:rsidRPr="00160E8F">
        <w:rPr>
          <w:sz w:val="26"/>
          <w:szCs w:val="26"/>
        </w:rPr>
        <w:tab/>
      </w:r>
      <w:r w:rsidR="005802AD">
        <w:rPr>
          <w:sz w:val="26"/>
          <w:szCs w:val="26"/>
        </w:rPr>
        <w:tab/>
      </w:r>
      <w:r w:rsidR="005566CE" w:rsidRPr="00160E8F">
        <w:rPr>
          <w:sz w:val="26"/>
          <w:szCs w:val="26"/>
        </w:rPr>
        <w:t>Rosemary Chiavetta</w:t>
      </w:r>
      <w:r w:rsidR="007E1866" w:rsidRPr="00160E8F">
        <w:rPr>
          <w:sz w:val="26"/>
          <w:szCs w:val="26"/>
        </w:rPr>
        <w:t>,</w:t>
      </w:r>
    </w:p>
    <w:p w14:paraId="74710DA3" w14:textId="77777777" w:rsidR="0018219E" w:rsidRPr="00160E8F" w:rsidRDefault="00182F8A" w:rsidP="00737933">
      <w:pPr>
        <w:rPr>
          <w:sz w:val="26"/>
          <w:szCs w:val="26"/>
        </w:rPr>
      </w:pPr>
      <w:r w:rsidRPr="00160E8F">
        <w:rPr>
          <w:sz w:val="26"/>
          <w:szCs w:val="26"/>
        </w:rPr>
        <w:t xml:space="preserve">                                                        </w:t>
      </w:r>
      <w:r w:rsidR="000E1912" w:rsidRPr="00160E8F">
        <w:rPr>
          <w:sz w:val="26"/>
          <w:szCs w:val="26"/>
        </w:rPr>
        <w:tab/>
      </w:r>
      <w:r w:rsidRPr="00160E8F">
        <w:rPr>
          <w:sz w:val="26"/>
          <w:szCs w:val="26"/>
        </w:rPr>
        <w:t xml:space="preserve"> </w:t>
      </w:r>
      <w:r w:rsidR="005802AD">
        <w:rPr>
          <w:sz w:val="26"/>
          <w:szCs w:val="26"/>
        </w:rPr>
        <w:tab/>
      </w:r>
      <w:r w:rsidR="007E1866" w:rsidRPr="00160E8F">
        <w:rPr>
          <w:sz w:val="26"/>
          <w:szCs w:val="26"/>
        </w:rPr>
        <w:t>Secretary</w:t>
      </w:r>
    </w:p>
    <w:p w14:paraId="30250CB8" w14:textId="77777777" w:rsidR="007E2E41" w:rsidRPr="00160E8F" w:rsidRDefault="007E2E41" w:rsidP="00737933">
      <w:pPr>
        <w:rPr>
          <w:sz w:val="26"/>
          <w:szCs w:val="26"/>
        </w:rPr>
      </w:pPr>
    </w:p>
    <w:p w14:paraId="1865B4E8" w14:textId="77777777" w:rsidR="00B71F65" w:rsidRDefault="00217763" w:rsidP="00737933">
      <w:pPr>
        <w:rPr>
          <w:sz w:val="26"/>
          <w:szCs w:val="26"/>
        </w:rPr>
      </w:pPr>
      <w:r w:rsidRPr="00160E8F">
        <w:rPr>
          <w:sz w:val="26"/>
          <w:szCs w:val="26"/>
        </w:rPr>
        <w:t>(SEAL)</w:t>
      </w:r>
    </w:p>
    <w:p w14:paraId="10D9D564" w14:textId="77777777" w:rsidR="005802AD" w:rsidRPr="00160E8F" w:rsidRDefault="005802AD" w:rsidP="00737933">
      <w:pPr>
        <w:rPr>
          <w:sz w:val="26"/>
          <w:szCs w:val="26"/>
        </w:rPr>
      </w:pPr>
    </w:p>
    <w:p w14:paraId="0FDC1E25" w14:textId="77777777" w:rsidR="007E1866" w:rsidRDefault="007E1866" w:rsidP="00737933">
      <w:pPr>
        <w:rPr>
          <w:sz w:val="26"/>
          <w:szCs w:val="26"/>
        </w:rPr>
      </w:pPr>
      <w:r w:rsidRPr="00160E8F">
        <w:rPr>
          <w:sz w:val="26"/>
          <w:szCs w:val="26"/>
        </w:rPr>
        <w:t>ORDER ADOPTED:</w:t>
      </w:r>
      <w:r w:rsidR="00182F8A" w:rsidRPr="00160E8F">
        <w:rPr>
          <w:sz w:val="26"/>
          <w:szCs w:val="26"/>
        </w:rPr>
        <w:t xml:space="preserve">  </w:t>
      </w:r>
      <w:r w:rsidR="001D5C18">
        <w:rPr>
          <w:sz w:val="26"/>
          <w:szCs w:val="26"/>
        </w:rPr>
        <w:t>November 8</w:t>
      </w:r>
      <w:r w:rsidR="00EF2132">
        <w:rPr>
          <w:sz w:val="26"/>
          <w:szCs w:val="26"/>
        </w:rPr>
        <w:t>, 2018</w:t>
      </w:r>
    </w:p>
    <w:p w14:paraId="0A7D297E" w14:textId="77777777" w:rsidR="005802AD" w:rsidRPr="00160E8F" w:rsidRDefault="005802AD" w:rsidP="00737933">
      <w:pPr>
        <w:rPr>
          <w:sz w:val="26"/>
          <w:szCs w:val="26"/>
        </w:rPr>
      </w:pPr>
    </w:p>
    <w:p w14:paraId="7EAD7527" w14:textId="6072EA52" w:rsidR="00BE4802" w:rsidRPr="00160E8F" w:rsidRDefault="007E1866" w:rsidP="00737933">
      <w:pPr>
        <w:rPr>
          <w:sz w:val="26"/>
          <w:szCs w:val="26"/>
        </w:rPr>
        <w:sectPr w:rsidR="00BE4802" w:rsidRPr="00160E8F" w:rsidSect="000D4728">
          <w:footerReference w:type="even" r:id="rId10"/>
          <w:footerReference w:type="default" r:id="rId11"/>
          <w:pgSz w:w="12240" w:h="15840" w:code="1"/>
          <w:pgMar w:top="1440" w:right="1440" w:bottom="1440" w:left="1440" w:header="720" w:footer="720" w:gutter="0"/>
          <w:pgNumType w:start="1"/>
          <w:cols w:space="720"/>
          <w:titlePg/>
          <w:docGrid w:linePitch="360"/>
        </w:sectPr>
      </w:pPr>
      <w:r w:rsidRPr="00160E8F">
        <w:rPr>
          <w:sz w:val="26"/>
          <w:szCs w:val="26"/>
        </w:rPr>
        <w:t>ORDER ENTERED:</w:t>
      </w:r>
      <w:r w:rsidR="005F5E73" w:rsidRPr="00160E8F">
        <w:rPr>
          <w:sz w:val="26"/>
          <w:szCs w:val="26"/>
        </w:rPr>
        <w:t xml:space="preserve"> </w:t>
      </w:r>
      <w:r w:rsidR="006A16FB" w:rsidRPr="00160E8F">
        <w:rPr>
          <w:sz w:val="26"/>
          <w:szCs w:val="26"/>
        </w:rPr>
        <w:t xml:space="preserve"> </w:t>
      </w:r>
      <w:r w:rsidR="00663FB0">
        <w:rPr>
          <w:sz w:val="26"/>
          <w:szCs w:val="26"/>
        </w:rPr>
        <w:t xml:space="preserve"> November 8, 2018</w:t>
      </w:r>
    </w:p>
    <w:p w14:paraId="5F7443B7" w14:textId="77777777" w:rsidR="00020C6D" w:rsidRPr="00160E8F" w:rsidRDefault="00020C6D" w:rsidP="00020C6D">
      <w:pPr>
        <w:pStyle w:val="NoSpacing"/>
        <w:jc w:val="center"/>
        <w:rPr>
          <w:b/>
          <w:sz w:val="26"/>
          <w:szCs w:val="26"/>
        </w:rPr>
      </w:pPr>
      <w:r w:rsidRPr="00160E8F">
        <w:rPr>
          <w:b/>
          <w:sz w:val="26"/>
          <w:szCs w:val="26"/>
        </w:rPr>
        <w:t>ANNEX</w:t>
      </w:r>
    </w:p>
    <w:p w14:paraId="0A56A8B6" w14:textId="77777777" w:rsidR="00020C6D" w:rsidRPr="00160E8F" w:rsidRDefault="00020C6D" w:rsidP="00020C6D">
      <w:pPr>
        <w:pStyle w:val="NoSpacing"/>
        <w:jc w:val="center"/>
        <w:rPr>
          <w:b/>
          <w:sz w:val="26"/>
          <w:szCs w:val="26"/>
        </w:rPr>
      </w:pPr>
      <w:r w:rsidRPr="00160E8F">
        <w:rPr>
          <w:b/>
          <w:sz w:val="26"/>
          <w:szCs w:val="26"/>
        </w:rPr>
        <w:t>TITLE 52. PUBLIC UTILITIES</w:t>
      </w:r>
    </w:p>
    <w:p w14:paraId="399310CE" w14:textId="77777777" w:rsidR="00020C6D" w:rsidRPr="00160E8F" w:rsidRDefault="00020C6D" w:rsidP="00020C6D">
      <w:pPr>
        <w:pStyle w:val="NoSpacing"/>
        <w:jc w:val="center"/>
        <w:rPr>
          <w:b/>
          <w:sz w:val="26"/>
          <w:szCs w:val="26"/>
        </w:rPr>
      </w:pPr>
      <w:r w:rsidRPr="00160E8F">
        <w:rPr>
          <w:b/>
          <w:sz w:val="26"/>
          <w:szCs w:val="26"/>
        </w:rPr>
        <w:t>PART 1. PUBLIC UTILITY COMMISSION</w:t>
      </w:r>
    </w:p>
    <w:p w14:paraId="59F87BA3" w14:textId="77777777" w:rsidR="00020C6D" w:rsidRPr="00160E8F" w:rsidRDefault="007011AC" w:rsidP="00020C6D">
      <w:pPr>
        <w:pStyle w:val="NoSpacing"/>
        <w:jc w:val="center"/>
        <w:rPr>
          <w:b/>
          <w:sz w:val="26"/>
          <w:szCs w:val="26"/>
        </w:rPr>
      </w:pPr>
      <w:r w:rsidRPr="00160E8F">
        <w:rPr>
          <w:b/>
          <w:sz w:val="26"/>
          <w:szCs w:val="26"/>
        </w:rPr>
        <w:t>Subpart B</w:t>
      </w:r>
      <w:r w:rsidR="00020C6D" w:rsidRPr="00160E8F">
        <w:rPr>
          <w:b/>
          <w:sz w:val="26"/>
          <w:szCs w:val="26"/>
        </w:rPr>
        <w:t xml:space="preserve">. </w:t>
      </w:r>
      <w:r w:rsidRPr="00160E8F">
        <w:rPr>
          <w:b/>
          <w:sz w:val="26"/>
          <w:szCs w:val="26"/>
        </w:rPr>
        <w:t>CARRIERS OF PASSENGERS OR PROPERTY</w:t>
      </w:r>
    </w:p>
    <w:p w14:paraId="2CABFD06" w14:textId="77777777" w:rsidR="00020C6D" w:rsidRPr="00160E8F" w:rsidRDefault="00020C6D" w:rsidP="00020C6D">
      <w:pPr>
        <w:pStyle w:val="NoSpacing"/>
        <w:jc w:val="center"/>
        <w:rPr>
          <w:b/>
          <w:sz w:val="26"/>
          <w:szCs w:val="26"/>
        </w:rPr>
      </w:pPr>
      <w:r w:rsidRPr="00160E8F">
        <w:rPr>
          <w:b/>
          <w:sz w:val="26"/>
          <w:szCs w:val="26"/>
        </w:rPr>
        <w:t xml:space="preserve">CHAPTER </w:t>
      </w:r>
      <w:r w:rsidR="00EF2132">
        <w:rPr>
          <w:b/>
          <w:sz w:val="26"/>
          <w:szCs w:val="26"/>
        </w:rPr>
        <w:t>69</w:t>
      </w:r>
      <w:r w:rsidRPr="00160E8F">
        <w:rPr>
          <w:b/>
          <w:sz w:val="26"/>
          <w:szCs w:val="26"/>
        </w:rPr>
        <w:t xml:space="preserve">: </w:t>
      </w:r>
      <w:r w:rsidR="008865C2" w:rsidRPr="00160E8F">
        <w:rPr>
          <w:b/>
          <w:sz w:val="26"/>
          <w:szCs w:val="26"/>
        </w:rPr>
        <w:t xml:space="preserve">GENERAL ORDERS, POLICY STATEMENT AND GUIDELINES ON </w:t>
      </w:r>
      <w:r w:rsidR="00EF2132">
        <w:rPr>
          <w:b/>
          <w:sz w:val="26"/>
          <w:szCs w:val="26"/>
        </w:rPr>
        <w:t xml:space="preserve">FIXED </w:t>
      </w:r>
      <w:r w:rsidR="008865C2" w:rsidRPr="00160E8F">
        <w:rPr>
          <w:b/>
          <w:sz w:val="26"/>
          <w:szCs w:val="26"/>
        </w:rPr>
        <w:t>UTILITIES</w:t>
      </w:r>
    </w:p>
    <w:p w14:paraId="5D169CBB" w14:textId="77777777" w:rsidR="00020C6D" w:rsidRPr="00160E8F" w:rsidRDefault="00020C6D" w:rsidP="00020C6D">
      <w:pPr>
        <w:pStyle w:val="NoSpacing"/>
        <w:rPr>
          <w:sz w:val="26"/>
          <w:szCs w:val="26"/>
        </w:rPr>
      </w:pPr>
    </w:p>
    <w:p w14:paraId="47878BB3" w14:textId="77777777" w:rsidR="00020C6D" w:rsidRPr="00160E8F" w:rsidRDefault="00020C6D" w:rsidP="00020C6D">
      <w:pPr>
        <w:pStyle w:val="NoSpacing"/>
        <w:jc w:val="center"/>
        <w:rPr>
          <w:sz w:val="26"/>
          <w:szCs w:val="26"/>
        </w:rPr>
      </w:pPr>
      <w:r w:rsidRPr="00160E8F">
        <w:rPr>
          <w:sz w:val="26"/>
          <w:szCs w:val="26"/>
        </w:rPr>
        <w:t xml:space="preserve">*  </w:t>
      </w:r>
      <w:r w:rsidRPr="00160E8F">
        <w:rPr>
          <w:sz w:val="26"/>
          <w:szCs w:val="26"/>
        </w:rPr>
        <w:tab/>
        <w:t>*</w:t>
      </w:r>
      <w:r w:rsidRPr="00160E8F">
        <w:rPr>
          <w:sz w:val="26"/>
          <w:szCs w:val="26"/>
        </w:rPr>
        <w:tab/>
        <w:t>*</w:t>
      </w:r>
      <w:r w:rsidRPr="00160E8F">
        <w:rPr>
          <w:sz w:val="26"/>
          <w:szCs w:val="26"/>
        </w:rPr>
        <w:tab/>
        <w:t>*</w:t>
      </w:r>
      <w:r w:rsidRPr="00160E8F">
        <w:rPr>
          <w:sz w:val="26"/>
          <w:szCs w:val="26"/>
        </w:rPr>
        <w:tab/>
        <w:t>*</w:t>
      </w:r>
    </w:p>
    <w:p w14:paraId="36071CBB" w14:textId="77777777" w:rsidR="00020C6D" w:rsidRPr="00160E8F" w:rsidRDefault="00020C6D" w:rsidP="00020C6D">
      <w:pPr>
        <w:pStyle w:val="NoSpacing"/>
        <w:rPr>
          <w:sz w:val="26"/>
          <w:szCs w:val="26"/>
        </w:rPr>
      </w:pPr>
    </w:p>
    <w:p w14:paraId="49E60F72" w14:textId="77777777" w:rsidR="00597B2C" w:rsidRPr="00674D14" w:rsidRDefault="002F355F" w:rsidP="00E40D27">
      <w:pPr>
        <w:pStyle w:val="NoSpacing"/>
        <w:rPr>
          <w:b/>
          <w:sz w:val="26"/>
          <w:szCs w:val="26"/>
          <w:u w:val="single"/>
        </w:rPr>
      </w:pPr>
      <w:r w:rsidRPr="00674D14">
        <w:rPr>
          <w:b/>
          <w:sz w:val="26"/>
          <w:szCs w:val="26"/>
          <w:u w:val="single"/>
        </w:rPr>
        <w:t xml:space="preserve">§ </w:t>
      </w:r>
      <w:r w:rsidR="006E6D9A" w:rsidRPr="00674D14">
        <w:rPr>
          <w:b/>
          <w:sz w:val="26"/>
          <w:szCs w:val="26"/>
          <w:u w:val="single"/>
        </w:rPr>
        <w:t>69.3</w:t>
      </w:r>
      <w:r w:rsidR="00674D14" w:rsidRPr="00674D14">
        <w:rPr>
          <w:b/>
          <w:sz w:val="26"/>
          <w:szCs w:val="26"/>
          <w:u w:val="single"/>
        </w:rPr>
        <w:t>7</w:t>
      </w:r>
      <w:r w:rsidR="006E6D9A" w:rsidRPr="00674D14">
        <w:rPr>
          <w:b/>
          <w:sz w:val="26"/>
          <w:szCs w:val="26"/>
          <w:u w:val="single"/>
        </w:rPr>
        <w:t>01</w:t>
      </w:r>
      <w:r w:rsidR="00B40E48" w:rsidRPr="00674D14">
        <w:rPr>
          <w:b/>
          <w:sz w:val="26"/>
          <w:szCs w:val="26"/>
          <w:u w:val="single"/>
        </w:rPr>
        <w:t xml:space="preserve">.  </w:t>
      </w:r>
      <w:r w:rsidR="00F96A53" w:rsidRPr="00674D14">
        <w:rPr>
          <w:b/>
          <w:sz w:val="26"/>
          <w:szCs w:val="26"/>
          <w:u w:val="single"/>
        </w:rPr>
        <w:t>Computation of Section 510 Assessment</w:t>
      </w:r>
      <w:r w:rsidR="00F3099A" w:rsidRPr="00674D14">
        <w:rPr>
          <w:b/>
          <w:sz w:val="26"/>
          <w:szCs w:val="26"/>
          <w:u w:val="single"/>
        </w:rPr>
        <w:t>s</w:t>
      </w:r>
      <w:r w:rsidR="00F96A53" w:rsidRPr="00674D14">
        <w:rPr>
          <w:b/>
          <w:sz w:val="26"/>
          <w:szCs w:val="26"/>
          <w:u w:val="single"/>
        </w:rPr>
        <w:t xml:space="preserve"> for </w:t>
      </w:r>
      <w:r w:rsidR="00983009" w:rsidRPr="00674D14">
        <w:rPr>
          <w:b/>
          <w:sz w:val="26"/>
          <w:szCs w:val="26"/>
          <w:u w:val="single"/>
        </w:rPr>
        <w:t xml:space="preserve">Providers of </w:t>
      </w:r>
      <w:r w:rsidR="002447EE" w:rsidRPr="00674D14">
        <w:rPr>
          <w:b/>
          <w:sz w:val="26"/>
          <w:szCs w:val="26"/>
          <w:u w:val="single"/>
        </w:rPr>
        <w:t xml:space="preserve">Special Access </w:t>
      </w:r>
      <w:r w:rsidR="006B7A9D" w:rsidRPr="00674D14">
        <w:rPr>
          <w:b/>
          <w:sz w:val="26"/>
          <w:szCs w:val="26"/>
          <w:u w:val="single"/>
        </w:rPr>
        <w:t>or</w:t>
      </w:r>
      <w:r w:rsidR="002447EE" w:rsidRPr="00674D14">
        <w:rPr>
          <w:b/>
          <w:sz w:val="26"/>
          <w:szCs w:val="26"/>
          <w:u w:val="single"/>
        </w:rPr>
        <w:t xml:space="preserve"> Other Similar </w:t>
      </w:r>
      <w:r w:rsidR="00602F0B" w:rsidRPr="00674D14">
        <w:rPr>
          <w:b/>
          <w:sz w:val="26"/>
          <w:szCs w:val="26"/>
          <w:u w:val="single"/>
        </w:rPr>
        <w:t>Jurisdictionally</w:t>
      </w:r>
      <w:r w:rsidR="00983009" w:rsidRPr="00674D14">
        <w:rPr>
          <w:b/>
          <w:sz w:val="26"/>
          <w:szCs w:val="26"/>
          <w:u w:val="single"/>
        </w:rPr>
        <w:t>-</w:t>
      </w:r>
      <w:r w:rsidR="00602F0B" w:rsidRPr="00674D14">
        <w:rPr>
          <w:b/>
          <w:sz w:val="26"/>
          <w:szCs w:val="26"/>
          <w:u w:val="single"/>
        </w:rPr>
        <w:t>Mixed Telecommunications Services</w:t>
      </w:r>
      <w:r w:rsidR="00F96F7B" w:rsidRPr="00674D14">
        <w:rPr>
          <w:b/>
          <w:sz w:val="26"/>
          <w:szCs w:val="26"/>
          <w:u w:val="single"/>
        </w:rPr>
        <w:t xml:space="preserve"> </w:t>
      </w:r>
    </w:p>
    <w:p w14:paraId="19EB5644" w14:textId="77777777" w:rsidR="00F96A53" w:rsidRPr="00674D14" w:rsidRDefault="00F96A53" w:rsidP="00E40D27">
      <w:pPr>
        <w:pStyle w:val="NoSpacing"/>
        <w:rPr>
          <w:b/>
          <w:sz w:val="26"/>
          <w:szCs w:val="26"/>
          <w:u w:val="single"/>
        </w:rPr>
      </w:pPr>
    </w:p>
    <w:p w14:paraId="74593DF9" w14:textId="69462BE3" w:rsidR="004246B5" w:rsidRPr="00674D14" w:rsidRDefault="00602F0B" w:rsidP="004246B5">
      <w:pPr>
        <w:pStyle w:val="NoSpacing"/>
        <w:numPr>
          <w:ilvl w:val="0"/>
          <w:numId w:val="19"/>
        </w:numPr>
        <w:rPr>
          <w:sz w:val="26"/>
          <w:szCs w:val="26"/>
          <w:u w:val="single"/>
        </w:rPr>
      </w:pPr>
      <w:r w:rsidRPr="00674D14">
        <w:rPr>
          <w:sz w:val="26"/>
          <w:szCs w:val="26"/>
          <w:u w:val="single"/>
        </w:rPr>
        <w:t>Tel</w:t>
      </w:r>
      <w:r w:rsidR="008D178B" w:rsidRPr="00674D14">
        <w:rPr>
          <w:sz w:val="26"/>
          <w:szCs w:val="26"/>
          <w:u w:val="single"/>
        </w:rPr>
        <w:t>ecommunications</w:t>
      </w:r>
      <w:r w:rsidRPr="00674D14">
        <w:rPr>
          <w:sz w:val="26"/>
          <w:szCs w:val="26"/>
          <w:u w:val="single"/>
        </w:rPr>
        <w:t xml:space="preserve"> </w:t>
      </w:r>
      <w:r w:rsidR="008D178B" w:rsidRPr="00674D14">
        <w:rPr>
          <w:sz w:val="26"/>
          <w:szCs w:val="26"/>
          <w:u w:val="single"/>
        </w:rPr>
        <w:t>carriers</w:t>
      </w:r>
      <w:r w:rsidRPr="00674D14">
        <w:rPr>
          <w:sz w:val="26"/>
          <w:szCs w:val="26"/>
          <w:u w:val="single"/>
        </w:rPr>
        <w:t xml:space="preserve">, including </w:t>
      </w:r>
      <w:r w:rsidR="006117FB" w:rsidRPr="00674D14">
        <w:rPr>
          <w:sz w:val="26"/>
          <w:szCs w:val="26"/>
          <w:u w:val="single"/>
        </w:rPr>
        <w:t xml:space="preserve">Competitive Access Providers </w:t>
      </w:r>
      <w:r w:rsidR="00AE314B" w:rsidRPr="00674D14">
        <w:rPr>
          <w:sz w:val="26"/>
          <w:szCs w:val="26"/>
          <w:u w:val="single"/>
        </w:rPr>
        <w:t>(CAPs)</w:t>
      </w:r>
      <w:r w:rsidRPr="00674D14">
        <w:rPr>
          <w:sz w:val="26"/>
          <w:szCs w:val="26"/>
          <w:u w:val="single"/>
        </w:rPr>
        <w:t>,</w:t>
      </w:r>
      <w:r w:rsidR="00AE314B" w:rsidRPr="00674D14">
        <w:rPr>
          <w:sz w:val="26"/>
          <w:szCs w:val="26"/>
          <w:u w:val="single"/>
        </w:rPr>
        <w:t xml:space="preserve"> </w:t>
      </w:r>
      <w:r w:rsidR="006117FB" w:rsidRPr="00674D14">
        <w:rPr>
          <w:sz w:val="26"/>
          <w:szCs w:val="26"/>
          <w:u w:val="single"/>
        </w:rPr>
        <w:t>holding Certificates of Public Convenience (CPC) issued pursuant to Sections 1102 and 1103 of the Public Utility Code</w:t>
      </w:r>
      <w:r w:rsidR="0043324C">
        <w:rPr>
          <w:sz w:val="26"/>
          <w:szCs w:val="26"/>
          <w:u w:val="single"/>
        </w:rPr>
        <w:t xml:space="preserve"> (Code)</w:t>
      </w:r>
      <w:r w:rsidR="006117FB" w:rsidRPr="00674D14">
        <w:rPr>
          <w:sz w:val="26"/>
          <w:szCs w:val="26"/>
          <w:u w:val="single"/>
        </w:rPr>
        <w:t xml:space="preserve">, 66 Pa. C.S. §§ 1102-1103, are </w:t>
      </w:r>
      <w:r w:rsidR="007905E5" w:rsidRPr="00674D14">
        <w:rPr>
          <w:sz w:val="26"/>
          <w:szCs w:val="26"/>
          <w:u w:val="single"/>
        </w:rPr>
        <w:t xml:space="preserve">public utilities </w:t>
      </w:r>
      <w:r w:rsidR="006117FB" w:rsidRPr="00674D14">
        <w:rPr>
          <w:sz w:val="26"/>
          <w:szCs w:val="26"/>
          <w:u w:val="single"/>
        </w:rPr>
        <w:t>subject to</w:t>
      </w:r>
      <w:r w:rsidR="004246B5" w:rsidRPr="00674D14">
        <w:rPr>
          <w:sz w:val="26"/>
          <w:szCs w:val="26"/>
          <w:u w:val="single"/>
        </w:rPr>
        <w:t xml:space="preserve"> </w:t>
      </w:r>
      <w:r w:rsidR="006117FB" w:rsidRPr="00674D14">
        <w:rPr>
          <w:sz w:val="26"/>
          <w:szCs w:val="26"/>
          <w:u w:val="single"/>
        </w:rPr>
        <w:t>the Commission’s regulatory, investigati</w:t>
      </w:r>
      <w:r w:rsidR="00E1579B">
        <w:rPr>
          <w:sz w:val="26"/>
          <w:szCs w:val="26"/>
          <w:u w:val="single"/>
        </w:rPr>
        <w:t>ve</w:t>
      </w:r>
      <w:r w:rsidR="006117FB" w:rsidRPr="00674D14">
        <w:rPr>
          <w:sz w:val="26"/>
          <w:szCs w:val="26"/>
          <w:u w:val="single"/>
        </w:rPr>
        <w:t xml:space="preserve">, enforcement, audit and information gathering authority, 66 Pa. C. S. §§ 501, 504, 505, 506, and 516, </w:t>
      </w:r>
      <w:r w:rsidR="00F3099A" w:rsidRPr="00674D14">
        <w:rPr>
          <w:sz w:val="26"/>
          <w:szCs w:val="26"/>
          <w:u w:val="single"/>
        </w:rPr>
        <w:t>as well as</w:t>
      </w:r>
      <w:r w:rsidR="006117FB" w:rsidRPr="00674D14">
        <w:rPr>
          <w:sz w:val="26"/>
          <w:szCs w:val="26"/>
          <w:u w:val="single"/>
        </w:rPr>
        <w:t xml:space="preserve"> the Commission’s authority under Section 510 of the Code, 66 Pa. C.S. § 510 to impose assessments upon these carriers to cover their “reasonable share” of the costs of administering the Public Utility Code.  </w:t>
      </w:r>
      <w:r w:rsidR="004246B5" w:rsidRPr="00674D14">
        <w:rPr>
          <w:sz w:val="26"/>
          <w:szCs w:val="26"/>
          <w:u w:val="single"/>
        </w:rPr>
        <w:t xml:space="preserve"> </w:t>
      </w:r>
    </w:p>
    <w:p w14:paraId="1EAB8068" w14:textId="77777777" w:rsidR="004246B5" w:rsidRPr="00674D14" w:rsidRDefault="004246B5" w:rsidP="004246B5">
      <w:pPr>
        <w:pStyle w:val="ListParagraph"/>
        <w:rPr>
          <w:rFonts w:ascii="Times New Roman" w:hAnsi="Times New Roman"/>
          <w:sz w:val="26"/>
          <w:szCs w:val="26"/>
          <w:u w:val="single"/>
        </w:rPr>
      </w:pPr>
    </w:p>
    <w:p w14:paraId="3469CE81" w14:textId="65F330B1" w:rsidR="00F979A2" w:rsidRPr="00674D14" w:rsidRDefault="006117FB" w:rsidP="00EE24F5">
      <w:pPr>
        <w:pStyle w:val="p3"/>
        <w:keepNext/>
        <w:widowControl/>
        <w:numPr>
          <w:ilvl w:val="0"/>
          <w:numId w:val="19"/>
        </w:numPr>
        <w:tabs>
          <w:tab w:val="clear" w:pos="204"/>
        </w:tabs>
        <w:rPr>
          <w:sz w:val="26"/>
          <w:szCs w:val="26"/>
          <w:u w:val="single"/>
        </w:rPr>
      </w:pPr>
      <w:r w:rsidRPr="00674D14">
        <w:rPr>
          <w:sz w:val="26"/>
          <w:szCs w:val="26"/>
          <w:u w:val="single"/>
        </w:rPr>
        <w:t xml:space="preserve">Section 510(b) </w:t>
      </w:r>
      <w:r w:rsidR="0043324C">
        <w:rPr>
          <w:sz w:val="26"/>
          <w:szCs w:val="26"/>
          <w:u w:val="single"/>
        </w:rPr>
        <w:t xml:space="preserve">of the Code </w:t>
      </w:r>
      <w:r w:rsidRPr="00674D14">
        <w:rPr>
          <w:sz w:val="26"/>
          <w:szCs w:val="26"/>
          <w:u w:val="single"/>
        </w:rPr>
        <w:t>requires every public utility holding a CPC</w:t>
      </w:r>
      <w:r w:rsidR="007905E5" w:rsidRPr="00674D14">
        <w:rPr>
          <w:sz w:val="26"/>
          <w:szCs w:val="26"/>
          <w:u w:val="single"/>
        </w:rPr>
        <w:t xml:space="preserve"> from the Commission</w:t>
      </w:r>
      <w:r w:rsidRPr="00674D14">
        <w:rPr>
          <w:sz w:val="26"/>
          <w:szCs w:val="26"/>
          <w:u w:val="single"/>
        </w:rPr>
        <w:t xml:space="preserve"> to file, on March 31 of each year, a statement, under oath, showing its gross intrastate operating revenues for the preceding calendar year</w:t>
      </w:r>
      <w:r w:rsidR="00F979A2" w:rsidRPr="00674D14">
        <w:rPr>
          <w:sz w:val="26"/>
          <w:szCs w:val="26"/>
          <w:u w:val="single"/>
        </w:rPr>
        <w:t xml:space="preserve"> and to pay to the Commission its proportionate share of the amount assessed to each utility group based on its total gross intrastate revenues.</w:t>
      </w:r>
      <w:r w:rsidRPr="00674D14">
        <w:rPr>
          <w:sz w:val="26"/>
          <w:szCs w:val="26"/>
          <w:u w:val="single"/>
        </w:rPr>
        <w:t xml:space="preserve">  </w:t>
      </w:r>
      <w:r w:rsidR="00F979A2" w:rsidRPr="00674D14">
        <w:rPr>
          <w:sz w:val="26"/>
          <w:szCs w:val="26"/>
          <w:u w:val="single"/>
        </w:rPr>
        <w:t xml:space="preserve">     </w:t>
      </w:r>
    </w:p>
    <w:p w14:paraId="5A23F198" w14:textId="77777777" w:rsidR="00F979A2" w:rsidRPr="00674D14" w:rsidRDefault="00F979A2" w:rsidP="00A84E9C">
      <w:pPr>
        <w:pStyle w:val="ListParagraph"/>
        <w:rPr>
          <w:sz w:val="26"/>
          <w:szCs w:val="26"/>
          <w:u w:val="single"/>
        </w:rPr>
      </w:pPr>
    </w:p>
    <w:p w14:paraId="2FF8400B" w14:textId="58A3D452" w:rsidR="00C26780" w:rsidRPr="00674D14" w:rsidRDefault="00F96A53" w:rsidP="00C26780">
      <w:pPr>
        <w:pStyle w:val="p3"/>
        <w:keepNext/>
        <w:widowControl/>
        <w:numPr>
          <w:ilvl w:val="0"/>
          <w:numId w:val="19"/>
        </w:numPr>
        <w:tabs>
          <w:tab w:val="clear" w:pos="204"/>
        </w:tabs>
        <w:rPr>
          <w:sz w:val="26"/>
          <w:szCs w:val="26"/>
          <w:u w:val="single"/>
        </w:rPr>
      </w:pPr>
      <w:r w:rsidRPr="00674D14">
        <w:rPr>
          <w:sz w:val="26"/>
          <w:szCs w:val="26"/>
          <w:u w:val="single"/>
        </w:rPr>
        <w:t>C</w:t>
      </w:r>
      <w:r w:rsidR="00624B20" w:rsidRPr="00674D14">
        <w:rPr>
          <w:sz w:val="26"/>
          <w:szCs w:val="26"/>
          <w:u w:val="single"/>
        </w:rPr>
        <w:t>AP</w:t>
      </w:r>
      <w:r w:rsidR="00C26780" w:rsidRPr="00674D14">
        <w:rPr>
          <w:sz w:val="26"/>
          <w:szCs w:val="26"/>
          <w:u w:val="single"/>
        </w:rPr>
        <w:t>s</w:t>
      </w:r>
      <w:r w:rsidR="00624B20" w:rsidRPr="00674D14">
        <w:rPr>
          <w:sz w:val="26"/>
          <w:szCs w:val="26"/>
          <w:u w:val="single"/>
        </w:rPr>
        <w:t xml:space="preserve"> </w:t>
      </w:r>
      <w:r w:rsidR="00E1579B" w:rsidRPr="00674D14">
        <w:rPr>
          <w:sz w:val="26"/>
          <w:szCs w:val="26"/>
          <w:u w:val="single"/>
        </w:rPr>
        <w:t xml:space="preserve">and other telecommunications public utilities </w:t>
      </w:r>
      <w:r w:rsidR="00C26780" w:rsidRPr="00674D14">
        <w:rPr>
          <w:sz w:val="26"/>
          <w:szCs w:val="26"/>
          <w:u w:val="single"/>
        </w:rPr>
        <w:t>holding Commission</w:t>
      </w:r>
      <w:r w:rsidR="00F979A2" w:rsidRPr="00674D14">
        <w:rPr>
          <w:sz w:val="26"/>
          <w:szCs w:val="26"/>
          <w:u w:val="single"/>
        </w:rPr>
        <w:t>-issued CPC</w:t>
      </w:r>
      <w:r w:rsidR="00C26780" w:rsidRPr="00674D14">
        <w:rPr>
          <w:sz w:val="26"/>
          <w:szCs w:val="26"/>
          <w:u w:val="single"/>
        </w:rPr>
        <w:t xml:space="preserve">s </w:t>
      </w:r>
      <w:r w:rsidR="00F979A2" w:rsidRPr="00674D14">
        <w:rPr>
          <w:sz w:val="26"/>
          <w:szCs w:val="26"/>
          <w:u w:val="single"/>
        </w:rPr>
        <w:t>are obligated</w:t>
      </w:r>
      <w:r w:rsidR="00C26780" w:rsidRPr="00674D14">
        <w:rPr>
          <w:sz w:val="26"/>
          <w:szCs w:val="26"/>
          <w:u w:val="single"/>
        </w:rPr>
        <w:t xml:space="preserve"> by Section 510</w:t>
      </w:r>
      <w:r w:rsidR="00F979A2" w:rsidRPr="00674D14">
        <w:rPr>
          <w:sz w:val="26"/>
          <w:szCs w:val="26"/>
          <w:u w:val="single"/>
        </w:rPr>
        <w:t xml:space="preserve"> </w:t>
      </w:r>
      <w:r w:rsidR="0043324C">
        <w:rPr>
          <w:sz w:val="26"/>
          <w:szCs w:val="26"/>
          <w:u w:val="single"/>
        </w:rPr>
        <w:t xml:space="preserve">of the Code </w:t>
      </w:r>
      <w:r w:rsidR="00F979A2" w:rsidRPr="00674D14">
        <w:rPr>
          <w:sz w:val="26"/>
          <w:szCs w:val="26"/>
          <w:u w:val="single"/>
        </w:rPr>
        <w:t xml:space="preserve">to file assessment reports </w:t>
      </w:r>
      <w:r w:rsidR="00F00AED" w:rsidRPr="00674D14">
        <w:rPr>
          <w:sz w:val="26"/>
          <w:szCs w:val="26"/>
          <w:u w:val="single"/>
        </w:rPr>
        <w:t xml:space="preserve">with the Commission </w:t>
      </w:r>
      <w:r w:rsidR="00F979A2" w:rsidRPr="00674D14">
        <w:rPr>
          <w:sz w:val="26"/>
          <w:szCs w:val="26"/>
          <w:u w:val="single"/>
        </w:rPr>
        <w:t xml:space="preserve">showing their gross intrastate operating revenues and to pay </w:t>
      </w:r>
      <w:r w:rsidR="00C26780" w:rsidRPr="00674D14">
        <w:rPr>
          <w:sz w:val="26"/>
          <w:szCs w:val="26"/>
          <w:u w:val="single"/>
        </w:rPr>
        <w:t xml:space="preserve">to the Commission their proportionate share of the amount assessed to the telecommunications utility group based on each </w:t>
      </w:r>
      <w:r w:rsidR="00602F0B" w:rsidRPr="00674D14">
        <w:rPr>
          <w:sz w:val="26"/>
          <w:szCs w:val="26"/>
          <w:u w:val="single"/>
        </w:rPr>
        <w:t xml:space="preserve">carrier’s </w:t>
      </w:r>
      <w:r w:rsidR="00C26780" w:rsidRPr="00674D14">
        <w:rPr>
          <w:sz w:val="26"/>
          <w:szCs w:val="26"/>
          <w:u w:val="single"/>
        </w:rPr>
        <w:t xml:space="preserve">total gross intrastate revenues.       </w:t>
      </w:r>
    </w:p>
    <w:p w14:paraId="61BDA815" w14:textId="77777777" w:rsidR="00F979A2" w:rsidRPr="00674D14" w:rsidRDefault="00F979A2" w:rsidP="00A84E9C">
      <w:pPr>
        <w:pStyle w:val="ListParagraph"/>
        <w:rPr>
          <w:sz w:val="26"/>
          <w:szCs w:val="26"/>
          <w:u w:val="single"/>
        </w:rPr>
      </w:pPr>
    </w:p>
    <w:p w14:paraId="43E60F69" w14:textId="20152768" w:rsidR="00D81BA0" w:rsidRPr="00674D14" w:rsidRDefault="00593533" w:rsidP="00D81BA0">
      <w:pPr>
        <w:pStyle w:val="p3"/>
        <w:keepNext/>
        <w:widowControl/>
        <w:numPr>
          <w:ilvl w:val="0"/>
          <w:numId w:val="19"/>
        </w:numPr>
        <w:tabs>
          <w:tab w:val="clear" w:pos="204"/>
        </w:tabs>
        <w:rPr>
          <w:sz w:val="26"/>
          <w:szCs w:val="26"/>
          <w:u w:val="single"/>
        </w:rPr>
      </w:pPr>
      <w:r w:rsidRPr="00674D14">
        <w:rPr>
          <w:sz w:val="26"/>
          <w:szCs w:val="26"/>
          <w:u w:val="single"/>
        </w:rPr>
        <w:t>CAPs and other telecommunications public utilities holding Commission-issued CPC</w:t>
      </w:r>
      <w:r w:rsidR="0044090E" w:rsidRPr="00674D14">
        <w:rPr>
          <w:sz w:val="26"/>
          <w:szCs w:val="26"/>
          <w:u w:val="single"/>
        </w:rPr>
        <w:t>s</w:t>
      </w:r>
      <w:r w:rsidRPr="00674D14">
        <w:rPr>
          <w:sz w:val="26"/>
          <w:szCs w:val="26"/>
          <w:u w:val="single"/>
        </w:rPr>
        <w:t xml:space="preserve"> in Pennsylvania provide, among other things, special access </w:t>
      </w:r>
      <w:r w:rsidR="008E4487" w:rsidRPr="00674D14">
        <w:rPr>
          <w:sz w:val="26"/>
          <w:szCs w:val="26"/>
          <w:u w:val="single"/>
        </w:rPr>
        <w:t>or</w:t>
      </w:r>
      <w:r w:rsidRPr="00674D14">
        <w:rPr>
          <w:sz w:val="26"/>
          <w:szCs w:val="26"/>
          <w:u w:val="single"/>
        </w:rPr>
        <w:t xml:space="preserve"> other similar jurisdictionally-mixed telecommunications services</w:t>
      </w:r>
      <w:r w:rsidR="00F100FA" w:rsidRPr="00674D14">
        <w:rPr>
          <w:sz w:val="26"/>
          <w:szCs w:val="26"/>
          <w:u w:val="single"/>
        </w:rPr>
        <w:t xml:space="preserve">.  </w:t>
      </w:r>
      <w:r w:rsidR="00D611B2">
        <w:rPr>
          <w:sz w:val="26"/>
          <w:szCs w:val="26"/>
          <w:u w:val="single"/>
        </w:rPr>
        <w:t>Under current Pennsylvania law, t</w:t>
      </w:r>
      <w:r w:rsidR="00F100FA" w:rsidRPr="00674D14">
        <w:rPr>
          <w:sz w:val="26"/>
          <w:szCs w:val="26"/>
          <w:u w:val="single"/>
        </w:rPr>
        <w:t>h</w:t>
      </w:r>
      <w:r w:rsidR="00642B06" w:rsidRPr="00674D14">
        <w:rPr>
          <w:sz w:val="26"/>
          <w:szCs w:val="26"/>
          <w:u w:val="single"/>
        </w:rPr>
        <w:t>ese jurisdictionally-mixed services</w:t>
      </w:r>
      <w:r w:rsidR="00F100FA" w:rsidRPr="00674D14">
        <w:rPr>
          <w:sz w:val="26"/>
          <w:szCs w:val="26"/>
          <w:u w:val="single"/>
        </w:rPr>
        <w:t xml:space="preserve"> include </w:t>
      </w:r>
      <w:r w:rsidRPr="00674D14">
        <w:rPr>
          <w:sz w:val="26"/>
          <w:szCs w:val="26"/>
          <w:u w:val="single"/>
        </w:rPr>
        <w:t>services provided by operators of Distributed Antenna Systems</w:t>
      </w:r>
      <w:r w:rsidR="0044090E" w:rsidRPr="00674D14">
        <w:rPr>
          <w:sz w:val="26"/>
          <w:szCs w:val="26"/>
          <w:u w:val="single"/>
        </w:rPr>
        <w:t xml:space="preserve"> (DAS)</w:t>
      </w:r>
      <w:r w:rsidRPr="00674D14">
        <w:rPr>
          <w:sz w:val="26"/>
          <w:szCs w:val="26"/>
          <w:u w:val="single"/>
        </w:rPr>
        <w:t>.</w:t>
      </w:r>
    </w:p>
    <w:p w14:paraId="0CA3DA82" w14:textId="2F23E1FC" w:rsidR="0084512D" w:rsidRPr="00674D14" w:rsidRDefault="0084512D">
      <w:pPr>
        <w:rPr>
          <w:color w:val="000000"/>
          <w:spacing w:val="-1"/>
          <w:sz w:val="26"/>
          <w:u w:val="single"/>
        </w:rPr>
      </w:pPr>
    </w:p>
    <w:p w14:paraId="05025684" w14:textId="1D48EA09" w:rsidR="00593533" w:rsidRPr="00D7657C" w:rsidRDefault="004B1A16" w:rsidP="00D81BA0">
      <w:pPr>
        <w:pStyle w:val="p3"/>
        <w:keepNext/>
        <w:widowControl/>
        <w:numPr>
          <w:ilvl w:val="0"/>
          <w:numId w:val="19"/>
        </w:numPr>
        <w:tabs>
          <w:tab w:val="clear" w:pos="204"/>
        </w:tabs>
        <w:rPr>
          <w:sz w:val="26"/>
          <w:szCs w:val="26"/>
          <w:u w:val="single"/>
        </w:rPr>
      </w:pPr>
      <w:r>
        <w:rPr>
          <w:color w:val="000000"/>
          <w:spacing w:val="-1"/>
          <w:sz w:val="26"/>
          <w:u w:val="single"/>
        </w:rPr>
        <w:t>Certain</w:t>
      </w:r>
      <w:r w:rsidRPr="00674D14">
        <w:rPr>
          <w:color w:val="000000"/>
          <w:spacing w:val="-1"/>
          <w:sz w:val="26"/>
          <w:u w:val="single"/>
        </w:rPr>
        <w:t xml:space="preserve"> </w:t>
      </w:r>
      <w:r w:rsidR="0044090E" w:rsidRPr="00674D14">
        <w:rPr>
          <w:color w:val="000000"/>
          <w:spacing w:val="-1"/>
          <w:sz w:val="26"/>
          <w:u w:val="single"/>
        </w:rPr>
        <w:t xml:space="preserve">telecommunications </w:t>
      </w:r>
      <w:r>
        <w:rPr>
          <w:color w:val="000000"/>
          <w:spacing w:val="-1"/>
          <w:sz w:val="26"/>
          <w:u w:val="single"/>
        </w:rPr>
        <w:t>public utilities</w:t>
      </w:r>
      <w:r w:rsidR="0044090E" w:rsidRPr="00674D14">
        <w:rPr>
          <w:color w:val="000000"/>
          <w:spacing w:val="-1"/>
          <w:sz w:val="26"/>
          <w:u w:val="single"/>
        </w:rPr>
        <w:t xml:space="preserve"> </w:t>
      </w:r>
      <w:r w:rsidR="00D81BA0" w:rsidRPr="00674D14">
        <w:rPr>
          <w:sz w:val="26"/>
          <w:szCs w:val="26"/>
          <w:u w:val="single"/>
        </w:rPr>
        <w:t xml:space="preserve">in Pennsylvania </w:t>
      </w:r>
      <w:r w:rsidR="0044090E" w:rsidRPr="00674D14">
        <w:rPr>
          <w:sz w:val="26"/>
          <w:szCs w:val="26"/>
          <w:u w:val="single"/>
        </w:rPr>
        <w:t xml:space="preserve">who are providing special access </w:t>
      </w:r>
      <w:r w:rsidR="008E4487" w:rsidRPr="00674D14">
        <w:rPr>
          <w:sz w:val="26"/>
          <w:szCs w:val="26"/>
          <w:u w:val="single"/>
        </w:rPr>
        <w:t>or</w:t>
      </w:r>
      <w:r w:rsidR="0044090E" w:rsidRPr="00674D14">
        <w:rPr>
          <w:sz w:val="26"/>
          <w:szCs w:val="26"/>
          <w:u w:val="single"/>
        </w:rPr>
        <w:t xml:space="preserve"> other similar jurisdictionally-mixed telecommunications services, including </w:t>
      </w:r>
      <w:r w:rsidR="00D81BA0" w:rsidRPr="00674D14">
        <w:rPr>
          <w:sz w:val="26"/>
          <w:szCs w:val="26"/>
          <w:u w:val="single"/>
        </w:rPr>
        <w:t>some</w:t>
      </w:r>
      <w:r w:rsidR="0044090E" w:rsidRPr="00674D14">
        <w:rPr>
          <w:sz w:val="26"/>
          <w:szCs w:val="26"/>
          <w:u w:val="single"/>
        </w:rPr>
        <w:t xml:space="preserve"> DAS operators, repeatedly have reported zero</w:t>
      </w:r>
      <w:r w:rsidR="00D81BA0" w:rsidRPr="00674D14">
        <w:rPr>
          <w:sz w:val="26"/>
          <w:szCs w:val="26"/>
          <w:u w:val="single"/>
        </w:rPr>
        <w:t xml:space="preserve"> gross</w:t>
      </w:r>
      <w:r w:rsidR="0044090E" w:rsidRPr="00674D14">
        <w:rPr>
          <w:sz w:val="26"/>
          <w:szCs w:val="26"/>
          <w:u w:val="single"/>
        </w:rPr>
        <w:t xml:space="preserve"> intrastate revenues</w:t>
      </w:r>
      <w:r w:rsidR="00D81BA0" w:rsidRPr="00674D14">
        <w:rPr>
          <w:sz w:val="26"/>
          <w:szCs w:val="26"/>
          <w:u w:val="single"/>
        </w:rPr>
        <w:t xml:space="preserve"> to the Commission for </w:t>
      </w:r>
      <w:r w:rsidR="005D64D0" w:rsidRPr="00674D14">
        <w:rPr>
          <w:sz w:val="26"/>
          <w:szCs w:val="26"/>
          <w:u w:val="single"/>
        </w:rPr>
        <w:t xml:space="preserve">regulatory </w:t>
      </w:r>
      <w:r w:rsidR="00D81BA0" w:rsidRPr="00674D14">
        <w:rPr>
          <w:sz w:val="26"/>
          <w:szCs w:val="26"/>
          <w:u w:val="single"/>
        </w:rPr>
        <w:t>assessment purposes</w:t>
      </w:r>
      <w:r w:rsidR="0044090E" w:rsidRPr="00674D14">
        <w:rPr>
          <w:sz w:val="26"/>
          <w:szCs w:val="26"/>
          <w:u w:val="single"/>
        </w:rPr>
        <w:t xml:space="preserve">.  As their legal basis, a majority of the zero reporters </w:t>
      </w:r>
      <w:r w:rsidR="0044090E" w:rsidRPr="00674D14">
        <w:rPr>
          <w:spacing w:val="-2"/>
          <w:sz w:val="26"/>
          <w:szCs w:val="26"/>
          <w:u w:val="single"/>
        </w:rPr>
        <w:t xml:space="preserve">refer to the ten percent contamination rule of the Federal Communications Commission </w:t>
      </w:r>
      <w:r w:rsidR="00FC4976" w:rsidRPr="00674D14">
        <w:rPr>
          <w:spacing w:val="-2"/>
          <w:sz w:val="26"/>
          <w:szCs w:val="26"/>
          <w:u w:val="single"/>
        </w:rPr>
        <w:t>(FCC) to justify</w:t>
      </w:r>
      <w:r w:rsidR="0044090E" w:rsidRPr="00674D14">
        <w:rPr>
          <w:spacing w:val="-2"/>
          <w:sz w:val="26"/>
          <w:szCs w:val="26"/>
          <w:u w:val="single"/>
        </w:rPr>
        <w:t xml:space="preserve"> reporting zero </w:t>
      </w:r>
      <w:r w:rsidR="00D81BA0" w:rsidRPr="00674D14">
        <w:rPr>
          <w:spacing w:val="-2"/>
          <w:sz w:val="26"/>
          <w:szCs w:val="26"/>
          <w:u w:val="single"/>
        </w:rPr>
        <w:t xml:space="preserve">gross </w:t>
      </w:r>
      <w:r w:rsidR="0044090E" w:rsidRPr="00674D14">
        <w:rPr>
          <w:spacing w:val="-2"/>
          <w:sz w:val="26"/>
          <w:szCs w:val="26"/>
          <w:u w:val="single"/>
        </w:rPr>
        <w:t>intrastate revenues to the Commission.</w:t>
      </w:r>
      <w:r w:rsidR="00D81BA0" w:rsidRPr="00674D14">
        <w:rPr>
          <w:spacing w:val="-2"/>
          <w:sz w:val="26"/>
          <w:szCs w:val="26"/>
          <w:u w:val="single"/>
        </w:rPr>
        <w:t xml:space="preserve">  Under this rule, which is an administrative jurisdictional cost allocation rule, the cost of a mixed-use line is directly assigned to the interstate jurisdiction only if the line carries interstate traffic in a proportion greater than ten percent.</w:t>
      </w:r>
    </w:p>
    <w:p w14:paraId="18A6ECE2" w14:textId="77777777" w:rsidR="00D7657C" w:rsidRPr="00D7657C" w:rsidRDefault="00D7657C" w:rsidP="00D7657C">
      <w:pPr>
        <w:pStyle w:val="p3"/>
        <w:keepNext/>
        <w:widowControl/>
        <w:tabs>
          <w:tab w:val="clear" w:pos="204"/>
        </w:tabs>
        <w:ind w:left="720"/>
        <w:rPr>
          <w:sz w:val="26"/>
          <w:szCs w:val="26"/>
          <w:u w:val="single"/>
        </w:rPr>
      </w:pPr>
    </w:p>
    <w:p w14:paraId="45BDBCA7" w14:textId="1127D403" w:rsidR="0044090E" w:rsidRPr="00D7657C" w:rsidRDefault="00D7657C" w:rsidP="00D7657C">
      <w:pPr>
        <w:pStyle w:val="p3"/>
        <w:keepNext/>
        <w:widowControl/>
        <w:numPr>
          <w:ilvl w:val="0"/>
          <w:numId w:val="19"/>
        </w:numPr>
        <w:tabs>
          <w:tab w:val="clear" w:pos="204"/>
        </w:tabs>
        <w:rPr>
          <w:sz w:val="26"/>
          <w:szCs w:val="26"/>
          <w:u w:val="single"/>
        </w:rPr>
      </w:pPr>
      <w:r w:rsidRPr="00D7657C">
        <w:rPr>
          <w:sz w:val="26"/>
          <w:szCs w:val="26"/>
          <w:u w:val="single"/>
        </w:rPr>
        <w:t xml:space="preserve">Other </w:t>
      </w:r>
      <w:r w:rsidR="00D611B2">
        <w:rPr>
          <w:sz w:val="26"/>
          <w:szCs w:val="26"/>
          <w:u w:val="single"/>
        </w:rPr>
        <w:t>telecommunications</w:t>
      </w:r>
      <w:r w:rsidRPr="00D7657C">
        <w:rPr>
          <w:sz w:val="26"/>
          <w:szCs w:val="26"/>
          <w:u w:val="single"/>
        </w:rPr>
        <w:t xml:space="preserve"> public utilities </w:t>
      </w:r>
      <w:r>
        <w:rPr>
          <w:sz w:val="26"/>
          <w:szCs w:val="26"/>
          <w:u w:val="single"/>
        </w:rPr>
        <w:t>in Pennsylvania</w:t>
      </w:r>
      <w:r w:rsidRPr="00D7657C">
        <w:rPr>
          <w:sz w:val="26"/>
          <w:szCs w:val="26"/>
          <w:u w:val="single"/>
        </w:rPr>
        <w:t xml:space="preserve"> </w:t>
      </w:r>
      <w:r w:rsidR="00067665">
        <w:rPr>
          <w:sz w:val="26"/>
          <w:szCs w:val="26"/>
          <w:u w:val="single"/>
        </w:rPr>
        <w:t xml:space="preserve">who </w:t>
      </w:r>
      <w:r w:rsidR="00D611B2" w:rsidRPr="00D7657C">
        <w:rPr>
          <w:sz w:val="26"/>
          <w:szCs w:val="20"/>
          <w:u w:val="single"/>
        </w:rPr>
        <w:t xml:space="preserve">report gross intrastate revenues </w:t>
      </w:r>
      <w:r w:rsidR="00D611B2">
        <w:rPr>
          <w:sz w:val="26"/>
          <w:szCs w:val="20"/>
          <w:u w:val="single"/>
        </w:rPr>
        <w:t xml:space="preserve">to the Commission </w:t>
      </w:r>
      <w:r w:rsidR="00067665">
        <w:rPr>
          <w:sz w:val="26"/>
          <w:szCs w:val="20"/>
          <w:u w:val="single"/>
        </w:rPr>
        <w:t xml:space="preserve">may not be reporting gross intrastate revenues </w:t>
      </w:r>
      <w:r w:rsidR="00067665" w:rsidRPr="00D7657C">
        <w:rPr>
          <w:sz w:val="26"/>
          <w:szCs w:val="20"/>
          <w:u w:val="single"/>
        </w:rPr>
        <w:t xml:space="preserve">from </w:t>
      </w:r>
      <w:r w:rsidR="00067665">
        <w:rPr>
          <w:sz w:val="26"/>
          <w:szCs w:val="20"/>
          <w:u w:val="single"/>
        </w:rPr>
        <w:t xml:space="preserve">providing </w:t>
      </w:r>
      <w:r w:rsidR="00067665" w:rsidRPr="00D7657C">
        <w:rPr>
          <w:sz w:val="26"/>
          <w:szCs w:val="20"/>
          <w:u w:val="single"/>
        </w:rPr>
        <w:t>special access or other similar jurisdictionally-mixed telecommunications services</w:t>
      </w:r>
      <w:r w:rsidRPr="00D7657C">
        <w:rPr>
          <w:sz w:val="26"/>
          <w:szCs w:val="20"/>
          <w:u w:val="single"/>
        </w:rPr>
        <w:t xml:space="preserve">.    </w:t>
      </w:r>
    </w:p>
    <w:p w14:paraId="1182A58F" w14:textId="77777777" w:rsidR="00D7657C" w:rsidRPr="00674D14" w:rsidRDefault="00D7657C" w:rsidP="0044090E">
      <w:pPr>
        <w:pStyle w:val="ListParagraph"/>
        <w:rPr>
          <w:sz w:val="26"/>
          <w:szCs w:val="26"/>
          <w:u w:val="single"/>
        </w:rPr>
      </w:pPr>
    </w:p>
    <w:p w14:paraId="463DDA05" w14:textId="34D02674" w:rsidR="00D7657C" w:rsidRPr="004B1A16" w:rsidRDefault="0012043B" w:rsidP="00D7657C">
      <w:pPr>
        <w:pStyle w:val="p3"/>
        <w:keepNext/>
        <w:widowControl/>
        <w:numPr>
          <w:ilvl w:val="0"/>
          <w:numId w:val="19"/>
        </w:numPr>
        <w:tabs>
          <w:tab w:val="clear" w:pos="204"/>
        </w:tabs>
        <w:rPr>
          <w:sz w:val="26"/>
          <w:szCs w:val="26"/>
          <w:u w:val="single"/>
        </w:rPr>
      </w:pPr>
      <w:r w:rsidRPr="004B1A16">
        <w:rPr>
          <w:sz w:val="26"/>
          <w:szCs w:val="26"/>
          <w:u w:val="single"/>
        </w:rPr>
        <w:t xml:space="preserve">Any </w:t>
      </w:r>
      <w:r w:rsidR="00F979A2" w:rsidRPr="004B1A16">
        <w:rPr>
          <w:sz w:val="26"/>
          <w:szCs w:val="26"/>
          <w:u w:val="single"/>
        </w:rPr>
        <w:t xml:space="preserve">CAP </w:t>
      </w:r>
      <w:r w:rsidRPr="004B1A16">
        <w:rPr>
          <w:sz w:val="26"/>
          <w:szCs w:val="26"/>
          <w:u w:val="single"/>
        </w:rPr>
        <w:t xml:space="preserve">or other telecommunications public utility </w:t>
      </w:r>
      <w:r w:rsidR="00F979A2" w:rsidRPr="004B1A16">
        <w:rPr>
          <w:sz w:val="26"/>
          <w:szCs w:val="26"/>
          <w:u w:val="single"/>
        </w:rPr>
        <w:t xml:space="preserve">holding </w:t>
      </w:r>
      <w:r w:rsidR="00C26780" w:rsidRPr="004B1A16">
        <w:rPr>
          <w:sz w:val="26"/>
          <w:szCs w:val="26"/>
          <w:u w:val="single"/>
        </w:rPr>
        <w:t xml:space="preserve">a </w:t>
      </w:r>
      <w:r w:rsidR="00F979A2" w:rsidRPr="004B1A16">
        <w:rPr>
          <w:sz w:val="26"/>
          <w:szCs w:val="26"/>
          <w:u w:val="single"/>
        </w:rPr>
        <w:t xml:space="preserve">Commission-issued CPC </w:t>
      </w:r>
      <w:r w:rsidR="00F96F7B" w:rsidRPr="004B1A16">
        <w:rPr>
          <w:sz w:val="26"/>
          <w:szCs w:val="26"/>
          <w:u w:val="single"/>
        </w:rPr>
        <w:t xml:space="preserve">operating in Pennsylvania and </w:t>
      </w:r>
      <w:r w:rsidR="00624B20" w:rsidRPr="004B1A16">
        <w:rPr>
          <w:sz w:val="26"/>
          <w:szCs w:val="26"/>
          <w:u w:val="single"/>
        </w:rPr>
        <w:t xml:space="preserve">providing </w:t>
      </w:r>
      <w:r w:rsidR="008872DD" w:rsidRPr="004B1A16">
        <w:rPr>
          <w:sz w:val="26"/>
          <w:szCs w:val="26"/>
          <w:u w:val="single"/>
        </w:rPr>
        <w:t xml:space="preserve">special access or other similar </w:t>
      </w:r>
      <w:r w:rsidR="00624B20" w:rsidRPr="004B1A16">
        <w:rPr>
          <w:sz w:val="26"/>
          <w:szCs w:val="26"/>
          <w:u w:val="single"/>
        </w:rPr>
        <w:t xml:space="preserve">jurisdictionally-mixed telecommunications services </w:t>
      </w:r>
      <w:r w:rsidR="00C26780" w:rsidRPr="004B1A16">
        <w:rPr>
          <w:sz w:val="26"/>
          <w:szCs w:val="26"/>
          <w:u w:val="single"/>
        </w:rPr>
        <w:t xml:space="preserve">is </w:t>
      </w:r>
      <w:r w:rsidR="00F96A53" w:rsidRPr="004B1A16">
        <w:rPr>
          <w:sz w:val="26"/>
          <w:szCs w:val="26"/>
          <w:u w:val="single"/>
        </w:rPr>
        <w:t>obligated to</w:t>
      </w:r>
      <w:r w:rsidR="00624B20" w:rsidRPr="004B1A16">
        <w:rPr>
          <w:sz w:val="26"/>
          <w:szCs w:val="26"/>
          <w:u w:val="single"/>
        </w:rPr>
        <w:t xml:space="preserve"> </w:t>
      </w:r>
      <w:r w:rsidR="00154841" w:rsidRPr="004B1A16">
        <w:rPr>
          <w:spacing w:val="-1"/>
          <w:sz w:val="26"/>
          <w:szCs w:val="26"/>
          <w:u w:val="single"/>
        </w:rPr>
        <w:t>submit</w:t>
      </w:r>
      <w:r w:rsidR="000E7AAC" w:rsidRPr="004B1A16">
        <w:rPr>
          <w:spacing w:val="-1"/>
          <w:sz w:val="26"/>
          <w:szCs w:val="26"/>
          <w:u w:val="single"/>
        </w:rPr>
        <w:t xml:space="preserve"> its </w:t>
      </w:r>
      <w:r w:rsidR="000E7AAC" w:rsidRPr="004B1A16">
        <w:rPr>
          <w:i/>
          <w:spacing w:val="-1"/>
          <w:sz w:val="26"/>
          <w:szCs w:val="26"/>
          <w:u w:val="single"/>
        </w:rPr>
        <w:t>de facto</w:t>
      </w:r>
      <w:r w:rsidR="000E7AAC" w:rsidRPr="004B1A16">
        <w:rPr>
          <w:spacing w:val="-1"/>
          <w:sz w:val="26"/>
          <w:szCs w:val="26"/>
          <w:u w:val="single"/>
        </w:rPr>
        <w:t xml:space="preserve"> gross intrastate revenues</w:t>
      </w:r>
      <w:r w:rsidR="000E7AAC" w:rsidRPr="004B1A16">
        <w:rPr>
          <w:sz w:val="26"/>
          <w:szCs w:val="26"/>
          <w:u w:val="single"/>
        </w:rPr>
        <w:t xml:space="preserve"> </w:t>
      </w:r>
      <w:r w:rsidR="004B1A16" w:rsidRPr="004B1A16">
        <w:rPr>
          <w:sz w:val="26"/>
          <w:szCs w:val="26"/>
          <w:u w:val="single"/>
        </w:rPr>
        <w:t xml:space="preserve">from providing these services </w:t>
      </w:r>
      <w:r w:rsidR="000E7AAC" w:rsidRPr="004B1A16">
        <w:rPr>
          <w:sz w:val="26"/>
          <w:szCs w:val="26"/>
          <w:u w:val="single"/>
        </w:rPr>
        <w:t>to the Commission’s Fiscal Office</w:t>
      </w:r>
      <w:r w:rsidR="00154841" w:rsidRPr="004B1A16">
        <w:rPr>
          <w:sz w:val="26"/>
          <w:szCs w:val="26"/>
          <w:u w:val="single"/>
        </w:rPr>
        <w:t>,</w:t>
      </w:r>
      <w:r w:rsidR="000E7AAC" w:rsidRPr="004B1A16">
        <w:rPr>
          <w:sz w:val="26"/>
          <w:szCs w:val="26"/>
          <w:u w:val="single"/>
        </w:rPr>
        <w:t xml:space="preserve"> along with </w:t>
      </w:r>
      <w:r w:rsidR="000E7AAC" w:rsidRPr="004B1A16">
        <w:rPr>
          <w:color w:val="000000" w:themeColor="text1"/>
          <w:sz w:val="26"/>
          <w:szCs w:val="26"/>
          <w:u w:val="single"/>
        </w:rPr>
        <w:t xml:space="preserve">all supporting information </w:t>
      </w:r>
      <w:r w:rsidR="004B1A16" w:rsidRPr="004B1A16">
        <w:rPr>
          <w:color w:val="000000" w:themeColor="text1"/>
          <w:sz w:val="26"/>
          <w:szCs w:val="26"/>
          <w:u w:val="single"/>
        </w:rPr>
        <w:t>(</w:t>
      </w:r>
      <w:r w:rsidR="004B1A16" w:rsidRPr="004B1A16">
        <w:rPr>
          <w:sz w:val="26"/>
          <w:szCs w:val="26"/>
        </w:rPr>
        <w:t>such as</w:t>
      </w:r>
      <w:r w:rsidR="004B1A16" w:rsidRPr="004B1A16">
        <w:rPr>
          <w:rFonts w:eastAsia="TimesNewRoman"/>
          <w:color w:val="000000" w:themeColor="text1"/>
          <w:sz w:val="26"/>
          <w:szCs w:val="26"/>
        </w:rPr>
        <w:t xml:space="preserve"> traffic studies, tax returns, jurisdictional allocation formulas and factors, books of account, reports</w:t>
      </w:r>
      <w:r w:rsidR="004B1A16">
        <w:rPr>
          <w:rFonts w:eastAsia="TimesNewRoman"/>
          <w:color w:val="000000" w:themeColor="text1"/>
          <w:sz w:val="26"/>
          <w:szCs w:val="26"/>
        </w:rPr>
        <w:t>, etc.</w:t>
      </w:r>
      <w:r w:rsidR="004B1A16" w:rsidRPr="004B1A16">
        <w:rPr>
          <w:rFonts w:eastAsia="TimesNewRoman"/>
          <w:color w:val="000000" w:themeColor="text1"/>
          <w:sz w:val="26"/>
          <w:szCs w:val="26"/>
        </w:rPr>
        <w:t xml:space="preserve">) </w:t>
      </w:r>
      <w:r w:rsidR="000E7AAC" w:rsidRPr="004B1A16">
        <w:rPr>
          <w:color w:val="000000" w:themeColor="text1"/>
          <w:sz w:val="26"/>
          <w:szCs w:val="26"/>
          <w:u w:val="single"/>
        </w:rPr>
        <w:t>on which the c</w:t>
      </w:r>
      <w:r w:rsidR="0083308C" w:rsidRPr="004B1A16">
        <w:rPr>
          <w:color w:val="000000" w:themeColor="text1"/>
          <w:sz w:val="26"/>
          <w:szCs w:val="26"/>
          <w:u w:val="single"/>
        </w:rPr>
        <w:t xml:space="preserve">arrier </w:t>
      </w:r>
      <w:r w:rsidR="000E7AAC" w:rsidRPr="004B1A16">
        <w:rPr>
          <w:color w:val="000000" w:themeColor="text1"/>
          <w:sz w:val="26"/>
          <w:szCs w:val="26"/>
          <w:u w:val="single"/>
        </w:rPr>
        <w:t xml:space="preserve">bases its </w:t>
      </w:r>
      <w:r w:rsidR="000E7AAC" w:rsidRPr="004B1A16">
        <w:rPr>
          <w:sz w:val="26"/>
          <w:szCs w:val="26"/>
          <w:u w:val="single"/>
        </w:rPr>
        <w:t xml:space="preserve">revenue </w:t>
      </w:r>
      <w:r w:rsidR="002554C6" w:rsidRPr="004B1A16">
        <w:rPr>
          <w:sz w:val="26"/>
          <w:szCs w:val="26"/>
          <w:u w:val="single"/>
        </w:rPr>
        <w:t>determination</w:t>
      </w:r>
      <w:r w:rsidR="000E7AAC" w:rsidRPr="004B1A16">
        <w:rPr>
          <w:sz w:val="26"/>
          <w:szCs w:val="26"/>
          <w:u w:val="single"/>
        </w:rPr>
        <w:t>,</w:t>
      </w:r>
      <w:r w:rsidR="00154841" w:rsidRPr="004B1A16">
        <w:rPr>
          <w:sz w:val="26"/>
          <w:szCs w:val="26"/>
          <w:u w:val="single"/>
        </w:rPr>
        <w:t xml:space="preserve"> </w:t>
      </w:r>
      <w:r w:rsidR="00624B20" w:rsidRPr="004B1A16">
        <w:rPr>
          <w:sz w:val="26"/>
          <w:szCs w:val="26"/>
          <w:u w:val="single"/>
        </w:rPr>
        <w:t xml:space="preserve">so that the Fiscal Office </w:t>
      </w:r>
      <w:r w:rsidR="00C26780" w:rsidRPr="004B1A16">
        <w:rPr>
          <w:sz w:val="26"/>
          <w:szCs w:val="26"/>
          <w:u w:val="single"/>
        </w:rPr>
        <w:t xml:space="preserve">can ascertain </w:t>
      </w:r>
      <w:r w:rsidRPr="004B1A16">
        <w:rPr>
          <w:sz w:val="26"/>
          <w:szCs w:val="26"/>
          <w:u w:val="single"/>
        </w:rPr>
        <w:t xml:space="preserve">the carrier’s </w:t>
      </w:r>
      <w:r w:rsidR="00C26780" w:rsidRPr="004B1A16">
        <w:rPr>
          <w:i/>
          <w:sz w:val="26"/>
          <w:szCs w:val="26"/>
          <w:u w:val="single"/>
        </w:rPr>
        <w:t>de facto</w:t>
      </w:r>
      <w:r w:rsidR="00C26780" w:rsidRPr="004B1A16">
        <w:rPr>
          <w:sz w:val="26"/>
          <w:szCs w:val="26"/>
          <w:u w:val="single"/>
        </w:rPr>
        <w:t xml:space="preserve"> gross intrastate operating revenues and compute an accurate assessment in accordance with the metrics and requirements of Section 510</w:t>
      </w:r>
      <w:r w:rsidR="004B1A16">
        <w:rPr>
          <w:sz w:val="26"/>
          <w:szCs w:val="26"/>
          <w:u w:val="single"/>
        </w:rPr>
        <w:t xml:space="preserve"> of the Code</w:t>
      </w:r>
      <w:r w:rsidR="00C26780" w:rsidRPr="004B1A16">
        <w:rPr>
          <w:sz w:val="26"/>
          <w:szCs w:val="26"/>
          <w:u w:val="single"/>
        </w:rPr>
        <w:t>.</w:t>
      </w:r>
      <w:r w:rsidR="006B7A9D" w:rsidRPr="004B1A16">
        <w:rPr>
          <w:sz w:val="26"/>
          <w:szCs w:val="26"/>
          <w:u w:val="single"/>
        </w:rPr>
        <w:t xml:space="preserve">  </w:t>
      </w:r>
    </w:p>
    <w:p w14:paraId="4DE1C510" w14:textId="77777777" w:rsidR="00D7657C" w:rsidRPr="002744E0" w:rsidRDefault="00D7657C" w:rsidP="00D7657C">
      <w:pPr>
        <w:pStyle w:val="ListParagraph"/>
        <w:rPr>
          <w:sz w:val="26"/>
          <w:szCs w:val="26"/>
          <w:u w:val="single"/>
        </w:rPr>
      </w:pPr>
    </w:p>
    <w:p w14:paraId="5BEDE409" w14:textId="71AAD75B" w:rsidR="00D7657C" w:rsidRPr="002744E0" w:rsidRDefault="004B1A16" w:rsidP="00D7657C">
      <w:pPr>
        <w:pStyle w:val="p3"/>
        <w:keepNext/>
        <w:widowControl/>
        <w:numPr>
          <w:ilvl w:val="0"/>
          <w:numId w:val="19"/>
        </w:numPr>
        <w:tabs>
          <w:tab w:val="clear" w:pos="204"/>
        </w:tabs>
        <w:rPr>
          <w:sz w:val="26"/>
          <w:szCs w:val="26"/>
        </w:rPr>
      </w:pPr>
      <w:r>
        <w:rPr>
          <w:i/>
          <w:sz w:val="26"/>
          <w:szCs w:val="26"/>
        </w:rPr>
        <w:t>D</w:t>
      </w:r>
      <w:r w:rsidR="00E1579B" w:rsidRPr="004B1A16">
        <w:rPr>
          <w:i/>
          <w:sz w:val="26"/>
          <w:szCs w:val="26"/>
        </w:rPr>
        <w:t>e</w:t>
      </w:r>
      <w:r w:rsidR="00E1579B" w:rsidRPr="002744E0">
        <w:rPr>
          <w:i/>
          <w:sz w:val="26"/>
          <w:szCs w:val="26"/>
        </w:rPr>
        <w:t xml:space="preserve"> facto </w:t>
      </w:r>
      <w:r w:rsidR="00E1579B" w:rsidRPr="002744E0">
        <w:rPr>
          <w:sz w:val="26"/>
          <w:szCs w:val="26"/>
        </w:rPr>
        <w:t xml:space="preserve">gross intrastate operating revenues </w:t>
      </w:r>
      <w:r w:rsidR="002744E0" w:rsidRPr="002744E0">
        <w:rPr>
          <w:sz w:val="26"/>
          <w:szCs w:val="26"/>
        </w:rPr>
        <w:t>are those operating revenues that are billed, charged or otherwise due for all telecommunications services and traffic between points that are both located within the Commonwealth of Pennsylvania</w:t>
      </w:r>
      <w:r w:rsidR="00E1579B" w:rsidRPr="002744E0">
        <w:rPr>
          <w:sz w:val="26"/>
          <w:szCs w:val="26"/>
        </w:rPr>
        <w:t>.</w:t>
      </w:r>
    </w:p>
    <w:p w14:paraId="21CECD16" w14:textId="78604F4A" w:rsidR="00D7657C" w:rsidRDefault="00D7657C" w:rsidP="00D7657C">
      <w:pPr>
        <w:pStyle w:val="ListParagraph"/>
        <w:rPr>
          <w:sz w:val="26"/>
          <w:szCs w:val="26"/>
        </w:rPr>
      </w:pPr>
    </w:p>
    <w:p w14:paraId="6BE834E7" w14:textId="4214C0BC" w:rsidR="001C4D1A" w:rsidRPr="008B6DCD" w:rsidRDefault="00EE24F5" w:rsidP="008B6DCD">
      <w:pPr>
        <w:pStyle w:val="p3"/>
        <w:keepNext/>
        <w:widowControl/>
        <w:numPr>
          <w:ilvl w:val="0"/>
          <w:numId w:val="19"/>
        </w:numPr>
        <w:tabs>
          <w:tab w:val="clear" w:pos="204"/>
        </w:tabs>
        <w:rPr>
          <w:sz w:val="26"/>
          <w:szCs w:val="26"/>
        </w:rPr>
      </w:pPr>
      <w:r w:rsidRPr="00D7657C">
        <w:rPr>
          <w:sz w:val="26"/>
          <w:szCs w:val="26"/>
          <w:u w:val="single"/>
        </w:rPr>
        <w:t xml:space="preserve">The ten percent contamination rule established by the </w:t>
      </w:r>
      <w:r w:rsidR="00FC4976" w:rsidRPr="00D7657C">
        <w:rPr>
          <w:sz w:val="26"/>
          <w:szCs w:val="26"/>
          <w:u w:val="single"/>
        </w:rPr>
        <w:t>FCC</w:t>
      </w:r>
      <w:r w:rsidR="0065301A" w:rsidRPr="00D7657C">
        <w:rPr>
          <w:sz w:val="26"/>
          <w:szCs w:val="26"/>
          <w:u w:val="single"/>
        </w:rPr>
        <w:t>, which is an administrative rule</w:t>
      </w:r>
      <w:r w:rsidRPr="00D7657C">
        <w:rPr>
          <w:sz w:val="26"/>
          <w:szCs w:val="26"/>
          <w:u w:val="single"/>
        </w:rPr>
        <w:t xml:space="preserve"> for certain jurisdictional </w:t>
      </w:r>
      <w:r w:rsidR="001C4D1A" w:rsidRPr="00D7657C">
        <w:rPr>
          <w:sz w:val="26"/>
          <w:szCs w:val="26"/>
          <w:u w:val="single"/>
        </w:rPr>
        <w:t xml:space="preserve">cost </w:t>
      </w:r>
      <w:r w:rsidRPr="00D7657C">
        <w:rPr>
          <w:sz w:val="26"/>
          <w:szCs w:val="26"/>
          <w:u w:val="single"/>
        </w:rPr>
        <w:t>allocations</w:t>
      </w:r>
      <w:r w:rsidR="0065301A" w:rsidRPr="00D7657C">
        <w:rPr>
          <w:sz w:val="26"/>
          <w:szCs w:val="26"/>
          <w:u w:val="single"/>
        </w:rPr>
        <w:t>,</w:t>
      </w:r>
      <w:r w:rsidRPr="00D7657C">
        <w:rPr>
          <w:sz w:val="26"/>
          <w:szCs w:val="26"/>
          <w:u w:val="single"/>
        </w:rPr>
        <w:t xml:space="preserve"> does not </w:t>
      </w:r>
      <w:r w:rsidR="005B5206" w:rsidRPr="00D7657C">
        <w:rPr>
          <w:sz w:val="26"/>
          <w:szCs w:val="26"/>
          <w:u w:val="single"/>
        </w:rPr>
        <w:t xml:space="preserve">preempt or otherwise </w:t>
      </w:r>
      <w:r w:rsidRPr="00D7657C">
        <w:rPr>
          <w:sz w:val="26"/>
          <w:szCs w:val="26"/>
          <w:u w:val="single"/>
        </w:rPr>
        <w:t>nullify the Commission’s authority to impose and a telecommunication</w:t>
      </w:r>
      <w:r w:rsidR="00BC7BB7" w:rsidRPr="00D7657C">
        <w:rPr>
          <w:sz w:val="26"/>
          <w:szCs w:val="26"/>
          <w:u w:val="single"/>
        </w:rPr>
        <w:t>s</w:t>
      </w:r>
      <w:r w:rsidRPr="00D7657C">
        <w:rPr>
          <w:sz w:val="26"/>
          <w:szCs w:val="26"/>
          <w:u w:val="single"/>
        </w:rPr>
        <w:t xml:space="preserve"> </w:t>
      </w:r>
      <w:r w:rsidR="00BC7BB7" w:rsidRPr="00D7657C">
        <w:rPr>
          <w:sz w:val="26"/>
          <w:szCs w:val="26"/>
          <w:u w:val="single"/>
        </w:rPr>
        <w:t xml:space="preserve">public utility’s </w:t>
      </w:r>
      <w:r w:rsidRPr="00D7657C">
        <w:rPr>
          <w:sz w:val="26"/>
          <w:szCs w:val="26"/>
          <w:u w:val="single"/>
        </w:rPr>
        <w:t>concomitant obligation to pay the annual fiscal assessment required by Section 510</w:t>
      </w:r>
      <w:r w:rsidR="0043324C">
        <w:rPr>
          <w:sz w:val="26"/>
          <w:szCs w:val="26"/>
          <w:u w:val="single"/>
        </w:rPr>
        <w:t xml:space="preserve"> of the Code</w:t>
      </w:r>
      <w:r w:rsidR="003B2BD2" w:rsidRPr="00D7657C">
        <w:rPr>
          <w:sz w:val="26"/>
          <w:szCs w:val="26"/>
          <w:u w:val="single"/>
        </w:rPr>
        <w:t xml:space="preserve">.  Nor </w:t>
      </w:r>
      <w:r w:rsidRPr="00D7657C">
        <w:rPr>
          <w:sz w:val="26"/>
          <w:szCs w:val="26"/>
          <w:u w:val="single"/>
        </w:rPr>
        <w:t xml:space="preserve">does </w:t>
      </w:r>
      <w:r w:rsidR="003B2BD2" w:rsidRPr="00D7657C">
        <w:rPr>
          <w:sz w:val="26"/>
          <w:szCs w:val="26"/>
          <w:u w:val="single"/>
        </w:rPr>
        <w:t xml:space="preserve">the rule </w:t>
      </w:r>
      <w:r w:rsidR="005B5206" w:rsidRPr="00D7657C">
        <w:rPr>
          <w:sz w:val="26"/>
          <w:szCs w:val="26"/>
          <w:u w:val="single"/>
        </w:rPr>
        <w:t xml:space="preserve">preempt or otherwise </w:t>
      </w:r>
      <w:r w:rsidRPr="00D7657C">
        <w:rPr>
          <w:sz w:val="26"/>
          <w:szCs w:val="26"/>
          <w:u w:val="single"/>
        </w:rPr>
        <w:t>preclude the obligation of CAPs and other telecommunication</w:t>
      </w:r>
      <w:r w:rsidR="00BC7BB7" w:rsidRPr="00D7657C">
        <w:rPr>
          <w:sz w:val="26"/>
          <w:szCs w:val="26"/>
          <w:u w:val="single"/>
        </w:rPr>
        <w:t>s</w:t>
      </w:r>
      <w:r w:rsidRPr="00D7657C">
        <w:rPr>
          <w:sz w:val="26"/>
          <w:szCs w:val="26"/>
          <w:u w:val="single"/>
        </w:rPr>
        <w:t xml:space="preserve"> </w:t>
      </w:r>
      <w:r w:rsidR="00BC7BB7" w:rsidRPr="00D7657C">
        <w:rPr>
          <w:sz w:val="26"/>
          <w:szCs w:val="26"/>
          <w:u w:val="single"/>
        </w:rPr>
        <w:t xml:space="preserve">public utilities </w:t>
      </w:r>
      <w:r w:rsidRPr="00D7657C">
        <w:rPr>
          <w:sz w:val="26"/>
          <w:szCs w:val="26"/>
          <w:u w:val="single"/>
        </w:rPr>
        <w:t xml:space="preserve">to report their </w:t>
      </w:r>
      <w:r w:rsidRPr="00D7657C">
        <w:rPr>
          <w:i/>
          <w:sz w:val="26"/>
          <w:szCs w:val="26"/>
          <w:u w:val="single"/>
        </w:rPr>
        <w:t>de facto</w:t>
      </w:r>
      <w:r w:rsidRPr="00D7657C">
        <w:rPr>
          <w:sz w:val="26"/>
          <w:szCs w:val="26"/>
          <w:u w:val="single"/>
        </w:rPr>
        <w:t xml:space="preserve"> gross intrastate operating revenues</w:t>
      </w:r>
      <w:r w:rsidR="008E057B">
        <w:rPr>
          <w:sz w:val="26"/>
          <w:szCs w:val="26"/>
          <w:u w:val="single"/>
        </w:rPr>
        <w:t xml:space="preserve"> from providing </w:t>
      </w:r>
      <w:r w:rsidR="008E057B" w:rsidRPr="004B1A16">
        <w:rPr>
          <w:sz w:val="26"/>
          <w:szCs w:val="26"/>
          <w:u w:val="single"/>
        </w:rPr>
        <w:t>special access or other similar jurisdictionally-mixed telecommunications services</w:t>
      </w:r>
      <w:r w:rsidRPr="00D7657C">
        <w:rPr>
          <w:sz w:val="26"/>
          <w:szCs w:val="26"/>
          <w:u w:val="single"/>
        </w:rPr>
        <w:t xml:space="preserve">, without regard to any intrastate revenues deemed to be interstate pursuant to the ten percent contamination rule.  </w:t>
      </w:r>
    </w:p>
    <w:p w14:paraId="46426C51" w14:textId="77777777" w:rsidR="00EE24F5" w:rsidRPr="00A84E9C" w:rsidRDefault="00EE24F5" w:rsidP="00A84E9C">
      <w:pPr>
        <w:pStyle w:val="ListParagraph"/>
        <w:rPr>
          <w:rFonts w:ascii="Times New Roman" w:hAnsi="Times New Roman"/>
          <w:sz w:val="26"/>
          <w:szCs w:val="26"/>
        </w:rPr>
      </w:pPr>
    </w:p>
    <w:p w14:paraId="70343C07" w14:textId="4FBC9695" w:rsidR="00CC57A1" w:rsidRPr="004B1A16" w:rsidRDefault="00EE24F5" w:rsidP="004B1A16">
      <w:pPr>
        <w:pStyle w:val="ListParagraph"/>
        <w:autoSpaceDE w:val="0"/>
        <w:autoSpaceDN w:val="0"/>
        <w:adjustRightInd w:val="0"/>
        <w:rPr>
          <w:rFonts w:ascii="Times New Roman" w:hAnsi="Times New Roman"/>
          <w:sz w:val="26"/>
          <w:szCs w:val="26"/>
        </w:rPr>
      </w:pPr>
      <w:r w:rsidRPr="00EE24F5">
        <w:rPr>
          <w:rFonts w:ascii="Times New Roman" w:hAnsi="Times New Roman"/>
          <w:sz w:val="26"/>
          <w:szCs w:val="26"/>
        </w:rPr>
        <w:t xml:space="preserve"> </w:t>
      </w:r>
    </w:p>
    <w:sectPr w:rsidR="00CC57A1" w:rsidRPr="004B1A16" w:rsidSect="00B40E48">
      <w:headerReference w:type="default"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1325A" w14:textId="77777777" w:rsidR="00552188" w:rsidRDefault="00552188">
      <w:r>
        <w:separator/>
      </w:r>
    </w:p>
  </w:endnote>
  <w:endnote w:type="continuationSeparator" w:id="0">
    <w:p w14:paraId="650FEB16" w14:textId="77777777" w:rsidR="00552188" w:rsidRDefault="0055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7EF4" w14:textId="77777777" w:rsidR="00DD1A6B" w:rsidRDefault="00DD1A6B" w:rsidP="00A97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08205E" w14:textId="77777777" w:rsidR="00DD1A6B" w:rsidRDefault="00DD1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7DF4" w14:textId="77777777" w:rsidR="00DD1A6B" w:rsidRPr="000E1912" w:rsidRDefault="00DD1A6B" w:rsidP="000E1912">
    <w:pPr>
      <w:pStyle w:val="Footer"/>
      <w:jc w:val="center"/>
      <w:rPr>
        <w:sz w:val="22"/>
        <w:szCs w:val="22"/>
      </w:rPr>
    </w:pPr>
    <w:r w:rsidRPr="000E1912">
      <w:rPr>
        <w:sz w:val="22"/>
        <w:szCs w:val="22"/>
      </w:rPr>
      <w:fldChar w:fldCharType="begin"/>
    </w:r>
    <w:r w:rsidRPr="000E1912">
      <w:rPr>
        <w:sz w:val="22"/>
        <w:szCs w:val="22"/>
      </w:rPr>
      <w:instrText xml:space="preserve"> PAGE   \* MERGEFORMAT </w:instrText>
    </w:r>
    <w:r w:rsidRPr="000E1912">
      <w:rPr>
        <w:sz w:val="22"/>
        <w:szCs w:val="22"/>
      </w:rPr>
      <w:fldChar w:fldCharType="separate"/>
    </w:r>
    <w:r>
      <w:rPr>
        <w:noProof/>
        <w:sz w:val="22"/>
        <w:szCs w:val="22"/>
      </w:rPr>
      <w:t>3</w:t>
    </w:r>
    <w:r w:rsidRPr="000E1912">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084348"/>
      <w:docPartObj>
        <w:docPartGallery w:val="Page Numbers (Bottom of Page)"/>
        <w:docPartUnique/>
      </w:docPartObj>
    </w:sdtPr>
    <w:sdtEndPr>
      <w:rPr>
        <w:noProof/>
        <w:sz w:val="22"/>
        <w:szCs w:val="22"/>
      </w:rPr>
    </w:sdtEndPr>
    <w:sdtContent>
      <w:p w14:paraId="0DC3BCF1" w14:textId="77777777" w:rsidR="00DD1A6B" w:rsidRPr="009810C7" w:rsidRDefault="00DD1A6B" w:rsidP="009810C7">
        <w:pPr>
          <w:pStyle w:val="Footer"/>
          <w:jc w:val="center"/>
          <w:rPr>
            <w:sz w:val="22"/>
            <w:szCs w:val="22"/>
          </w:rPr>
        </w:pPr>
        <w:r w:rsidRPr="009810C7">
          <w:rPr>
            <w:sz w:val="22"/>
            <w:szCs w:val="22"/>
          </w:rPr>
          <w:fldChar w:fldCharType="begin"/>
        </w:r>
        <w:r w:rsidRPr="009810C7">
          <w:rPr>
            <w:sz w:val="22"/>
            <w:szCs w:val="22"/>
          </w:rPr>
          <w:instrText xml:space="preserve"> PAGE   \* MERGEFORMAT </w:instrText>
        </w:r>
        <w:r w:rsidRPr="009810C7">
          <w:rPr>
            <w:sz w:val="22"/>
            <w:szCs w:val="22"/>
          </w:rPr>
          <w:fldChar w:fldCharType="separate"/>
        </w:r>
        <w:r>
          <w:rPr>
            <w:noProof/>
            <w:sz w:val="22"/>
            <w:szCs w:val="22"/>
          </w:rPr>
          <w:t>2</w:t>
        </w:r>
        <w:r w:rsidRPr="009810C7">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C3405" w14:textId="77777777" w:rsidR="00552188" w:rsidRDefault="00552188">
      <w:r>
        <w:separator/>
      </w:r>
    </w:p>
  </w:footnote>
  <w:footnote w:type="continuationSeparator" w:id="0">
    <w:p w14:paraId="7ED1BA95" w14:textId="77777777" w:rsidR="00552188" w:rsidRDefault="00552188">
      <w:r>
        <w:continuationSeparator/>
      </w:r>
    </w:p>
  </w:footnote>
  <w:footnote w:id="1">
    <w:p w14:paraId="5C3D916D" w14:textId="3132BDBF" w:rsidR="00DD1A6B" w:rsidRPr="00DD1A6B" w:rsidRDefault="00DD1A6B">
      <w:pPr>
        <w:pStyle w:val="FootnoteText"/>
        <w:rPr>
          <w:sz w:val="22"/>
          <w:szCs w:val="22"/>
        </w:rPr>
      </w:pPr>
      <w:r w:rsidRPr="00DD1A6B">
        <w:rPr>
          <w:rStyle w:val="FootnoteReference"/>
          <w:sz w:val="22"/>
          <w:szCs w:val="22"/>
        </w:rPr>
        <w:footnoteRef/>
      </w:r>
      <w:r w:rsidRPr="00DD1A6B">
        <w:rPr>
          <w:sz w:val="22"/>
          <w:szCs w:val="22"/>
        </w:rPr>
        <w:t xml:space="preserve"> The Commission’s regulatory reach over wireless carriers and Voice-over-Internet Protocol carriers is more circumscribed.  </w:t>
      </w:r>
      <w:r w:rsidRPr="00217969">
        <w:rPr>
          <w:i/>
          <w:sz w:val="22"/>
          <w:szCs w:val="22"/>
        </w:rPr>
        <w:t>See</w:t>
      </w:r>
      <w:r w:rsidRPr="00DD1A6B">
        <w:rPr>
          <w:sz w:val="22"/>
          <w:szCs w:val="22"/>
        </w:rPr>
        <w:t xml:space="preserve"> 66 Pa. C.S. § 102(2)(iv) and 73 P.S. § 2251.1</w:t>
      </w:r>
      <w:r w:rsidR="00045B01">
        <w:rPr>
          <w:sz w:val="22"/>
          <w:szCs w:val="22"/>
        </w:rPr>
        <w:t>.</w:t>
      </w:r>
    </w:p>
  </w:footnote>
  <w:footnote w:id="2">
    <w:p w14:paraId="4100EE1F" w14:textId="50335464" w:rsidR="00DD1A6B" w:rsidRPr="00B41342" w:rsidRDefault="00DD1A6B" w:rsidP="00B41342">
      <w:pPr>
        <w:rPr>
          <w:sz w:val="22"/>
          <w:szCs w:val="22"/>
        </w:rPr>
      </w:pPr>
      <w:r w:rsidRPr="00B41342">
        <w:rPr>
          <w:rStyle w:val="FootnoteReference"/>
          <w:sz w:val="22"/>
          <w:szCs w:val="22"/>
        </w:rPr>
        <w:footnoteRef/>
      </w:r>
      <w:r w:rsidRPr="00B41342">
        <w:rPr>
          <w:sz w:val="22"/>
          <w:szCs w:val="22"/>
        </w:rPr>
        <w:t xml:space="preserve"> </w:t>
      </w:r>
      <w:r w:rsidR="00E1579B" w:rsidRPr="00B41342">
        <w:rPr>
          <w:sz w:val="22"/>
          <w:szCs w:val="22"/>
        </w:rPr>
        <w:t xml:space="preserve">Pending the final appellate disposition of our jurisdiction over Distributed Antenna Systems or DAS providers, this would </w:t>
      </w:r>
      <w:r w:rsidRPr="00B41342">
        <w:rPr>
          <w:sz w:val="22"/>
          <w:szCs w:val="22"/>
        </w:rPr>
        <w:t xml:space="preserve">include the services provided by </w:t>
      </w:r>
      <w:r w:rsidR="00E1579B" w:rsidRPr="00B41342">
        <w:rPr>
          <w:sz w:val="22"/>
          <w:szCs w:val="22"/>
        </w:rPr>
        <w:t xml:space="preserve">those DAS </w:t>
      </w:r>
      <w:r w:rsidRPr="00B41342">
        <w:rPr>
          <w:sz w:val="22"/>
          <w:szCs w:val="22"/>
        </w:rPr>
        <w:t>operators who have been certificated by the Commission.</w:t>
      </w:r>
      <w:r w:rsidR="00B41342" w:rsidRPr="00B41342">
        <w:rPr>
          <w:sz w:val="22"/>
          <w:szCs w:val="22"/>
        </w:rPr>
        <w:t xml:space="preserve">  </w:t>
      </w:r>
      <w:bookmarkStart w:id="3" w:name="_Hlk529362212"/>
      <w:r w:rsidR="00B41342" w:rsidRPr="00B41342">
        <w:rPr>
          <w:i/>
          <w:iCs/>
          <w:sz w:val="22"/>
          <w:szCs w:val="22"/>
        </w:rPr>
        <w:t>See Crown Castle NG East LLC, et al. v. Pa. Public Utility Commission</w:t>
      </w:r>
      <w:r w:rsidR="00B41342" w:rsidRPr="00B41342">
        <w:rPr>
          <w:sz w:val="22"/>
          <w:szCs w:val="22"/>
        </w:rPr>
        <w:t xml:space="preserve">, </w:t>
      </w:r>
      <w:r w:rsidR="008F3658">
        <w:rPr>
          <w:sz w:val="22"/>
          <w:szCs w:val="22"/>
        </w:rPr>
        <w:t>188</w:t>
      </w:r>
      <w:r w:rsidR="00B41342" w:rsidRPr="00B41342">
        <w:rPr>
          <w:sz w:val="22"/>
          <w:szCs w:val="22"/>
        </w:rPr>
        <w:t xml:space="preserve"> A.3d </w:t>
      </w:r>
      <w:r w:rsidR="008F3658">
        <w:rPr>
          <w:sz w:val="22"/>
          <w:szCs w:val="22"/>
        </w:rPr>
        <w:t>617</w:t>
      </w:r>
      <w:r w:rsidR="00B41342" w:rsidRPr="00B41342">
        <w:rPr>
          <w:sz w:val="22"/>
          <w:szCs w:val="22"/>
        </w:rPr>
        <w:t xml:space="preserve"> (Pa. </w:t>
      </w:r>
      <w:proofErr w:type="spellStart"/>
      <w:r w:rsidR="00B41342" w:rsidRPr="00B41342">
        <w:rPr>
          <w:sz w:val="22"/>
          <w:szCs w:val="22"/>
        </w:rPr>
        <w:t>Cmwlth</w:t>
      </w:r>
      <w:proofErr w:type="spellEnd"/>
      <w:r w:rsidR="00B41342" w:rsidRPr="00B41342">
        <w:rPr>
          <w:sz w:val="22"/>
          <w:szCs w:val="22"/>
        </w:rPr>
        <w:t xml:space="preserve">. 2018), 2018 Pa. </w:t>
      </w:r>
      <w:proofErr w:type="spellStart"/>
      <w:r w:rsidR="00B41342" w:rsidRPr="00B41342">
        <w:rPr>
          <w:sz w:val="22"/>
          <w:szCs w:val="22"/>
        </w:rPr>
        <w:t>Commw</w:t>
      </w:r>
      <w:proofErr w:type="spellEnd"/>
      <w:r w:rsidR="00B41342" w:rsidRPr="00B41342">
        <w:rPr>
          <w:sz w:val="22"/>
          <w:szCs w:val="22"/>
        </w:rPr>
        <w:t xml:space="preserve">. LEXIS 217, </w:t>
      </w:r>
      <w:proofErr w:type="spellStart"/>
      <w:r w:rsidR="00B41342" w:rsidRPr="00B41342">
        <w:rPr>
          <w:i/>
          <w:iCs/>
          <w:sz w:val="22"/>
          <w:szCs w:val="22"/>
        </w:rPr>
        <w:t>allocatur</w:t>
      </w:r>
      <w:proofErr w:type="spellEnd"/>
      <w:r w:rsidR="00B41342" w:rsidRPr="00B41342">
        <w:rPr>
          <w:i/>
          <w:iCs/>
          <w:sz w:val="22"/>
          <w:szCs w:val="22"/>
        </w:rPr>
        <w:t xml:space="preserve"> pending</w:t>
      </w:r>
      <w:r w:rsidR="00B41342" w:rsidRPr="00B41342">
        <w:rPr>
          <w:sz w:val="22"/>
          <w:szCs w:val="22"/>
        </w:rPr>
        <w:t xml:space="preserve">, </w:t>
      </w:r>
      <w:r w:rsidR="00B41342" w:rsidRPr="00B41342">
        <w:rPr>
          <w:i/>
          <w:iCs/>
          <w:sz w:val="22"/>
          <w:szCs w:val="22"/>
        </w:rPr>
        <w:t>Crown Castle NG East LLC, et al v. Pa. Public Utility Commission</w:t>
      </w:r>
      <w:r w:rsidR="00B41342" w:rsidRPr="00B41342">
        <w:rPr>
          <w:sz w:val="22"/>
          <w:szCs w:val="22"/>
        </w:rPr>
        <w:t xml:space="preserve"> 447 MAL 2018.</w:t>
      </w:r>
      <w:bookmarkEnd w:id="3"/>
    </w:p>
  </w:footnote>
  <w:footnote w:id="3">
    <w:p w14:paraId="5BBBE7D6" w14:textId="77777777" w:rsidR="00DD1A6B" w:rsidRDefault="00DD1A6B">
      <w:pPr>
        <w:pStyle w:val="FootnoteText"/>
      </w:pPr>
      <w:r w:rsidRPr="00B41342">
        <w:rPr>
          <w:rStyle w:val="FootnoteReference"/>
          <w:sz w:val="22"/>
          <w:szCs w:val="22"/>
        </w:rPr>
        <w:footnoteRef/>
      </w:r>
      <w:r w:rsidRPr="00B41342">
        <w:rPr>
          <w:sz w:val="22"/>
          <w:szCs w:val="22"/>
        </w:rPr>
        <w:t xml:space="preserve"> </w:t>
      </w:r>
      <w:r w:rsidRPr="00B41342">
        <w:rPr>
          <w:i/>
          <w:sz w:val="22"/>
          <w:szCs w:val="22"/>
        </w:rPr>
        <w:t xml:space="preserve">De facto </w:t>
      </w:r>
      <w:r w:rsidRPr="00B41342">
        <w:rPr>
          <w:sz w:val="22"/>
          <w:szCs w:val="22"/>
        </w:rPr>
        <w:t xml:space="preserve">gross intrastate </w:t>
      </w:r>
      <w:r w:rsidR="00FE5FDC" w:rsidRPr="00B41342">
        <w:rPr>
          <w:sz w:val="22"/>
          <w:szCs w:val="22"/>
        </w:rPr>
        <w:t xml:space="preserve">operating </w:t>
      </w:r>
      <w:r w:rsidRPr="00B41342">
        <w:rPr>
          <w:sz w:val="22"/>
          <w:szCs w:val="22"/>
        </w:rPr>
        <w:t>revenues are</w:t>
      </w:r>
      <w:r w:rsidR="00FE5FDC" w:rsidRPr="00B41342">
        <w:rPr>
          <w:sz w:val="22"/>
          <w:szCs w:val="22"/>
        </w:rPr>
        <w:t xml:space="preserve"> those operating revenues that are </w:t>
      </w:r>
      <w:r w:rsidR="001B7FB5" w:rsidRPr="00B41342">
        <w:rPr>
          <w:sz w:val="22"/>
          <w:szCs w:val="22"/>
        </w:rPr>
        <w:t xml:space="preserve">billed, </w:t>
      </w:r>
      <w:r w:rsidR="00FE5FDC" w:rsidRPr="00B41342">
        <w:rPr>
          <w:sz w:val="22"/>
          <w:szCs w:val="22"/>
        </w:rPr>
        <w:t xml:space="preserve">charged </w:t>
      </w:r>
      <w:r w:rsidR="001B7FB5" w:rsidRPr="00B41342">
        <w:rPr>
          <w:sz w:val="22"/>
          <w:szCs w:val="22"/>
        </w:rPr>
        <w:t xml:space="preserve">or otherwise due </w:t>
      </w:r>
      <w:r w:rsidR="00FE5FDC" w:rsidRPr="00B41342">
        <w:rPr>
          <w:sz w:val="22"/>
          <w:szCs w:val="22"/>
        </w:rPr>
        <w:t xml:space="preserve">for </w:t>
      </w:r>
      <w:r w:rsidR="001B7FB5" w:rsidRPr="00B41342">
        <w:rPr>
          <w:sz w:val="22"/>
          <w:szCs w:val="22"/>
        </w:rPr>
        <w:t xml:space="preserve">all </w:t>
      </w:r>
      <w:r w:rsidR="00FE5FDC" w:rsidRPr="00B41342">
        <w:rPr>
          <w:sz w:val="22"/>
          <w:szCs w:val="22"/>
        </w:rPr>
        <w:t>telecommunications</w:t>
      </w:r>
      <w:r w:rsidR="001B7FB5" w:rsidRPr="00B41342">
        <w:rPr>
          <w:sz w:val="22"/>
          <w:szCs w:val="22"/>
        </w:rPr>
        <w:t xml:space="preserve"> services and</w:t>
      </w:r>
      <w:r w:rsidR="00FE5FDC" w:rsidRPr="00B41342">
        <w:rPr>
          <w:sz w:val="22"/>
          <w:szCs w:val="22"/>
        </w:rPr>
        <w:t xml:space="preserve"> traffic between points that are both located within the Commonwealth of Pennsylvania.</w:t>
      </w:r>
    </w:p>
  </w:footnote>
  <w:footnote w:id="4">
    <w:p w14:paraId="52B9EF02" w14:textId="77777777" w:rsidR="00DD1A6B" w:rsidRDefault="00DD1A6B" w:rsidP="0076506D">
      <w:pPr>
        <w:pStyle w:val="FootnoteText"/>
        <w:rPr>
          <w:sz w:val="22"/>
          <w:szCs w:val="22"/>
        </w:rPr>
      </w:pPr>
      <w:r w:rsidRPr="00DD1A6B">
        <w:rPr>
          <w:rStyle w:val="FootnoteReference"/>
          <w:sz w:val="22"/>
          <w:szCs w:val="22"/>
        </w:rPr>
        <w:footnoteRef/>
      </w:r>
      <w:r w:rsidRPr="00DD1A6B">
        <w:rPr>
          <w:sz w:val="22"/>
          <w:szCs w:val="22"/>
        </w:rPr>
        <w:t xml:space="preserve"> This includes the services provided by operators of Distributed Antenna Systems or DAS who have been certificated by the Commission.</w:t>
      </w:r>
    </w:p>
    <w:p w14:paraId="4212F9A4" w14:textId="77777777" w:rsidR="00DD1A6B" w:rsidRPr="00DD1A6B" w:rsidRDefault="00DD1A6B" w:rsidP="0076506D">
      <w:pPr>
        <w:pStyle w:val="FootnoteText"/>
        <w:rPr>
          <w:sz w:val="22"/>
          <w:szCs w:val="22"/>
        </w:rPr>
      </w:pPr>
    </w:p>
  </w:footnote>
  <w:footnote w:id="5">
    <w:p w14:paraId="2F6FF69D" w14:textId="3BD6C76F" w:rsidR="00DD1A6B" w:rsidRPr="00DD1A6B" w:rsidRDefault="00DD1A6B" w:rsidP="00323BA4">
      <w:pPr>
        <w:pStyle w:val="FootnoteText"/>
        <w:rPr>
          <w:sz w:val="22"/>
          <w:szCs w:val="22"/>
        </w:rPr>
      </w:pPr>
      <w:r w:rsidRPr="00DD1A6B">
        <w:rPr>
          <w:rStyle w:val="FootnoteReference"/>
          <w:sz w:val="22"/>
          <w:szCs w:val="22"/>
        </w:rPr>
        <w:footnoteRef/>
      </w:r>
      <w:r w:rsidRPr="00DD1A6B">
        <w:rPr>
          <w:sz w:val="22"/>
          <w:szCs w:val="22"/>
        </w:rPr>
        <w:t xml:space="preserve"> </w:t>
      </w:r>
      <w:r w:rsidRPr="006D1CEF">
        <w:rPr>
          <w:i/>
          <w:sz w:val="22"/>
          <w:szCs w:val="22"/>
        </w:rPr>
        <w:t>See</w:t>
      </w:r>
      <w:r w:rsidRPr="006D1CEF">
        <w:rPr>
          <w:sz w:val="22"/>
          <w:szCs w:val="22"/>
        </w:rPr>
        <w:t xml:space="preserve"> </w:t>
      </w:r>
      <w:r w:rsidRPr="006D1CEF">
        <w:rPr>
          <w:i/>
          <w:sz w:val="22"/>
          <w:szCs w:val="22"/>
        </w:rPr>
        <w:t>Illinois Bell</w:t>
      </w:r>
      <w:r w:rsidRPr="004C3954">
        <w:rPr>
          <w:sz w:val="22"/>
          <w:szCs w:val="22"/>
        </w:rPr>
        <w:t>,</w:t>
      </w:r>
      <w:r w:rsidRPr="006D1CEF">
        <w:rPr>
          <w:sz w:val="22"/>
          <w:szCs w:val="22"/>
        </w:rPr>
        <w:t xml:space="preserve"> 883 F.2d at 114.  In that particular case, which involved the marketing of a mixed-use service, the DC Circuit Court rejected an argume</w:t>
      </w:r>
      <w:r w:rsidRPr="00DD1A6B">
        <w:rPr>
          <w:sz w:val="22"/>
          <w:szCs w:val="22"/>
        </w:rPr>
        <w:t xml:space="preserve">nt that assignment to the intrastate jurisdiction of certain </w:t>
      </w:r>
      <w:r w:rsidRPr="00DD1A6B">
        <w:rPr>
          <w:i/>
          <w:sz w:val="22"/>
          <w:szCs w:val="22"/>
        </w:rPr>
        <w:t xml:space="preserve">costs </w:t>
      </w:r>
      <w:r w:rsidRPr="00DD1A6B">
        <w:rPr>
          <w:sz w:val="22"/>
          <w:szCs w:val="22"/>
        </w:rPr>
        <w:t xml:space="preserve">associated with marketing controlled whether the FCC could preempt state regulatory authority over the </w:t>
      </w:r>
      <w:r w:rsidRPr="00DD1A6B">
        <w:rPr>
          <w:i/>
          <w:sz w:val="22"/>
          <w:szCs w:val="22"/>
        </w:rPr>
        <w:t xml:space="preserve">manner </w:t>
      </w:r>
      <w:r w:rsidRPr="00DD1A6B">
        <w:rPr>
          <w:sz w:val="22"/>
          <w:szCs w:val="22"/>
        </w:rPr>
        <w:t xml:space="preserve">in which the services were marketed.  </w:t>
      </w:r>
      <w:r w:rsidRPr="00DD1A6B">
        <w:rPr>
          <w:i/>
          <w:sz w:val="22"/>
          <w:szCs w:val="22"/>
        </w:rPr>
        <w:t xml:space="preserve">Id. </w:t>
      </w:r>
      <w:r w:rsidRPr="00DD1A6B">
        <w:rPr>
          <w:sz w:val="22"/>
          <w:szCs w:val="22"/>
        </w:rPr>
        <w:t>at 113-14.   Instead, th</w:t>
      </w:r>
      <w:r w:rsidR="00E1579B">
        <w:rPr>
          <w:sz w:val="22"/>
          <w:szCs w:val="22"/>
        </w:rPr>
        <w:t>at</w:t>
      </w:r>
      <w:r w:rsidRPr="00DD1A6B">
        <w:rPr>
          <w:sz w:val="22"/>
          <w:szCs w:val="22"/>
        </w:rPr>
        <w:t xml:space="preserve"> court viewed the allocation of costs through a jurisdictional separation proceeding and the regulation of marketing practices by the FCC as independent matters.  </w:t>
      </w:r>
    </w:p>
  </w:footnote>
  <w:footnote w:id="6">
    <w:p w14:paraId="7554B3C8" w14:textId="74567C9D" w:rsidR="00DD1A6B" w:rsidRPr="00DD1A6B" w:rsidRDefault="00DD1A6B" w:rsidP="00323BA4">
      <w:pPr>
        <w:pStyle w:val="FootnoteText"/>
        <w:rPr>
          <w:sz w:val="22"/>
          <w:szCs w:val="22"/>
        </w:rPr>
      </w:pPr>
      <w:r w:rsidRPr="00DD1A6B">
        <w:rPr>
          <w:rStyle w:val="FootnoteReference"/>
          <w:sz w:val="22"/>
          <w:szCs w:val="22"/>
        </w:rPr>
        <w:footnoteRef/>
      </w:r>
      <w:r w:rsidRPr="00DD1A6B">
        <w:rPr>
          <w:sz w:val="22"/>
          <w:szCs w:val="22"/>
        </w:rPr>
        <w:t xml:space="preserve"> </w:t>
      </w:r>
      <w:r w:rsidRPr="006D1CEF">
        <w:rPr>
          <w:sz w:val="22"/>
          <w:szCs w:val="22"/>
        </w:rPr>
        <w:t xml:space="preserve">The Court stated that the </w:t>
      </w:r>
      <w:r w:rsidRPr="006D1CEF">
        <w:rPr>
          <w:i/>
          <w:sz w:val="22"/>
          <w:szCs w:val="22"/>
        </w:rPr>
        <w:t>Special Access 10 % Order</w:t>
      </w:r>
      <w:r w:rsidRPr="006D1CEF">
        <w:rPr>
          <w:sz w:val="22"/>
          <w:szCs w:val="22"/>
        </w:rPr>
        <w:t xml:space="preserve"> begins by noting that </w:t>
      </w:r>
      <w:r w:rsidR="007173D2">
        <w:rPr>
          <w:sz w:val="22"/>
          <w:szCs w:val="22"/>
        </w:rPr>
        <w:t>“</w:t>
      </w:r>
      <w:r w:rsidRPr="006D1CEF">
        <w:rPr>
          <w:sz w:val="22"/>
          <w:szCs w:val="22"/>
        </w:rPr>
        <w:t xml:space="preserve">[a]t present, </w:t>
      </w:r>
      <w:r w:rsidRPr="006D1CEF">
        <w:rPr>
          <w:i/>
          <w:sz w:val="22"/>
          <w:szCs w:val="22"/>
        </w:rPr>
        <w:t>the cost of s</w:t>
      </w:r>
      <w:r w:rsidRPr="00DD1A6B">
        <w:rPr>
          <w:i/>
          <w:sz w:val="22"/>
          <w:szCs w:val="22"/>
        </w:rPr>
        <w:t xml:space="preserve">pecial access lines </w:t>
      </w:r>
      <w:r w:rsidRPr="00DD1A6B">
        <w:rPr>
          <w:sz w:val="22"/>
          <w:szCs w:val="22"/>
        </w:rPr>
        <w:t>carrying both state and interstate traffic is generally assigned to the interstate jurisdiction,</w:t>
      </w:r>
      <w:r w:rsidR="007173D2">
        <w:rPr>
          <w:sz w:val="22"/>
          <w:szCs w:val="22"/>
        </w:rPr>
        <w:t>”</w:t>
      </w:r>
      <w:r w:rsidRPr="00DD1A6B">
        <w:rPr>
          <w:sz w:val="22"/>
          <w:szCs w:val="22"/>
        </w:rPr>
        <w:t xml:space="preserve"> </w:t>
      </w:r>
      <w:r w:rsidRPr="00DD1A6B">
        <w:rPr>
          <w:i/>
          <w:sz w:val="22"/>
          <w:szCs w:val="22"/>
        </w:rPr>
        <w:t>Special Access</w:t>
      </w:r>
      <w:r w:rsidRPr="00DD1A6B">
        <w:rPr>
          <w:sz w:val="22"/>
          <w:szCs w:val="22"/>
        </w:rPr>
        <w:t xml:space="preserve"> </w:t>
      </w:r>
      <w:r w:rsidRPr="00DD1A6B">
        <w:rPr>
          <w:i/>
          <w:sz w:val="22"/>
          <w:szCs w:val="22"/>
        </w:rPr>
        <w:t>10% Order</w:t>
      </w:r>
      <w:r w:rsidRPr="00DD1A6B">
        <w:rPr>
          <w:sz w:val="22"/>
          <w:szCs w:val="22"/>
        </w:rPr>
        <w:t xml:space="preserve">, 4 F.C.C.R. 5660 at ¶ 2 (emphasis added), and ultimately </w:t>
      </w:r>
      <w:r w:rsidR="007173D2">
        <w:rPr>
          <w:sz w:val="22"/>
          <w:szCs w:val="22"/>
        </w:rPr>
        <w:t>“</w:t>
      </w:r>
      <w:r w:rsidRPr="00DD1A6B">
        <w:rPr>
          <w:sz w:val="22"/>
          <w:szCs w:val="22"/>
        </w:rPr>
        <w:t>adopt[s] the Joint Board</w:t>
      </w:r>
      <w:r w:rsidR="007173D2">
        <w:rPr>
          <w:sz w:val="22"/>
          <w:szCs w:val="22"/>
        </w:rPr>
        <w:t>’</w:t>
      </w:r>
      <w:r w:rsidRPr="00DD1A6B">
        <w:rPr>
          <w:sz w:val="22"/>
          <w:szCs w:val="22"/>
        </w:rPr>
        <w:t xml:space="preserve">s recommendations </w:t>
      </w:r>
      <w:r w:rsidRPr="00DD1A6B">
        <w:rPr>
          <w:i/>
          <w:sz w:val="22"/>
          <w:szCs w:val="22"/>
        </w:rPr>
        <w:t xml:space="preserve">for the separation of investment </w:t>
      </w:r>
      <w:r w:rsidRPr="00DD1A6B">
        <w:rPr>
          <w:sz w:val="22"/>
          <w:szCs w:val="22"/>
        </w:rPr>
        <w:t>in mixed use special access lines.</w:t>
      </w:r>
      <w:r w:rsidR="007173D2">
        <w:rPr>
          <w:sz w:val="22"/>
          <w:szCs w:val="22"/>
        </w:rPr>
        <w:t>”</w:t>
      </w:r>
      <w:r w:rsidRPr="00DD1A6B">
        <w:rPr>
          <w:sz w:val="22"/>
          <w:szCs w:val="22"/>
        </w:rPr>
        <w:t xml:space="preserve"> </w:t>
      </w:r>
      <w:r w:rsidR="0043780E">
        <w:rPr>
          <w:sz w:val="22"/>
          <w:szCs w:val="22"/>
        </w:rPr>
        <w:t xml:space="preserve"> </w:t>
      </w:r>
      <w:r w:rsidRPr="00DD1A6B">
        <w:rPr>
          <w:i/>
          <w:sz w:val="22"/>
          <w:szCs w:val="22"/>
        </w:rPr>
        <w:t>Id</w:t>
      </w:r>
      <w:r w:rsidRPr="00DD1A6B">
        <w:rPr>
          <w:sz w:val="22"/>
          <w:szCs w:val="22"/>
        </w:rPr>
        <w:t xml:space="preserve">. at ¶ 8 (emphasis added).  The Joint Board, whose reasoning was adopted by the FCC, likewise framed its recommendation as a matter of cost allocation.  It began its discussion by noting that a </w:t>
      </w:r>
      <w:r w:rsidR="007173D2">
        <w:rPr>
          <w:sz w:val="22"/>
          <w:szCs w:val="22"/>
        </w:rPr>
        <w:t>“</w:t>
      </w:r>
      <w:r w:rsidRPr="00DD1A6B">
        <w:rPr>
          <w:sz w:val="22"/>
          <w:szCs w:val="22"/>
        </w:rPr>
        <w:t xml:space="preserve">variety of options might be used </w:t>
      </w:r>
      <w:r w:rsidRPr="00DD1A6B">
        <w:rPr>
          <w:i/>
          <w:sz w:val="22"/>
          <w:szCs w:val="22"/>
        </w:rPr>
        <w:t>to separate special access costs</w:t>
      </w:r>
      <w:r w:rsidRPr="00DD1A6B">
        <w:rPr>
          <w:sz w:val="22"/>
          <w:szCs w:val="22"/>
        </w:rPr>
        <w:t>,</w:t>
      </w:r>
      <w:r w:rsidR="007173D2">
        <w:rPr>
          <w:sz w:val="22"/>
          <w:szCs w:val="22"/>
        </w:rPr>
        <w:t>”</w:t>
      </w:r>
      <w:r w:rsidRPr="00DD1A6B">
        <w:rPr>
          <w:sz w:val="22"/>
          <w:szCs w:val="22"/>
        </w:rPr>
        <w:t xml:space="preserve"> </w:t>
      </w:r>
      <w:r w:rsidRPr="00DD1A6B">
        <w:rPr>
          <w:i/>
          <w:sz w:val="22"/>
          <w:szCs w:val="22"/>
        </w:rPr>
        <w:t>10% Recommendation</w:t>
      </w:r>
      <w:r w:rsidRPr="00DD1A6B">
        <w:rPr>
          <w:sz w:val="22"/>
          <w:szCs w:val="22"/>
        </w:rPr>
        <w:t>, 4 F.C.C.R. 1352 at ¶</w:t>
      </w:r>
      <w:r w:rsidR="007173D2">
        <w:rPr>
          <w:sz w:val="22"/>
          <w:szCs w:val="22"/>
        </w:rPr>
        <w:t> </w:t>
      </w:r>
      <w:r w:rsidRPr="00DD1A6B">
        <w:rPr>
          <w:sz w:val="22"/>
          <w:szCs w:val="22"/>
        </w:rPr>
        <w:t xml:space="preserve">22 (emphasis added), and then expressed its final view in similar terms: </w:t>
      </w:r>
      <w:r w:rsidR="007173D2">
        <w:rPr>
          <w:sz w:val="22"/>
          <w:szCs w:val="22"/>
        </w:rPr>
        <w:t>“</w:t>
      </w:r>
      <w:r w:rsidRPr="00DD1A6B">
        <w:rPr>
          <w:sz w:val="22"/>
          <w:szCs w:val="22"/>
        </w:rPr>
        <w:t xml:space="preserve">Based on a careful review of the record in this proceeding, we conclude that </w:t>
      </w:r>
      <w:r w:rsidRPr="00DD1A6B">
        <w:rPr>
          <w:i/>
          <w:sz w:val="22"/>
          <w:szCs w:val="22"/>
        </w:rPr>
        <w:t xml:space="preserve">direct assignment of special access costs </w:t>
      </w:r>
      <w:r w:rsidRPr="00DD1A6B">
        <w:rPr>
          <w:sz w:val="22"/>
          <w:szCs w:val="22"/>
        </w:rPr>
        <w:t>is superior to an allocation-based approach in terms of administrative simplicity and economic efficiency.</w:t>
      </w:r>
      <w:r w:rsidR="007173D2">
        <w:rPr>
          <w:sz w:val="22"/>
          <w:szCs w:val="22"/>
        </w:rPr>
        <w:t>”</w:t>
      </w:r>
      <w:r w:rsidRPr="00DD1A6B">
        <w:rPr>
          <w:sz w:val="22"/>
          <w:szCs w:val="22"/>
        </w:rPr>
        <w:t xml:space="preserve"> </w:t>
      </w:r>
      <w:r w:rsidR="007173D2">
        <w:rPr>
          <w:sz w:val="22"/>
          <w:szCs w:val="22"/>
        </w:rPr>
        <w:t xml:space="preserve"> </w:t>
      </w:r>
      <w:r w:rsidRPr="00DD1A6B">
        <w:rPr>
          <w:i/>
          <w:sz w:val="22"/>
          <w:szCs w:val="22"/>
        </w:rPr>
        <w:t>Id</w:t>
      </w:r>
      <w:r w:rsidRPr="00DD1A6B">
        <w:rPr>
          <w:sz w:val="22"/>
          <w:szCs w:val="22"/>
        </w:rPr>
        <w:t xml:space="preserve">. at ¶ 25 (emphasis added).  </w:t>
      </w:r>
    </w:p>
  </w:footnote>
  <w:footnote w:id="7">
    <w:p w14:paraId="4D81FC30" w14:textId="77777777" w:rsidR="00DD1A6B" w:rsidRPr="007173D2" w:rsidRDefault="00DD1A6B">
      <w:pPr>
        <w:pStyle w:val="FootnoteText"/>
        <w:rPr>
          <w:rFonts w:eastAsia="TimesNewRoman"/>
          <w:color w:val="000000" w:themeColor="text1"/>
          <w:sz w:val="22"/>
          <w:szCs w:val="22"/>
        </w:rPr>
      </w:pPr>
      <w:r w:rsidRPr="00DD1A6B">
        <w:rPr>
          <w:rStyle w:val="FootnoteReference"/>
          <w:sz w:val="22"/>
          <w:szCs w:val="22"/>
        </w:rPr>
        <w:footnoteRef/>
      </w:r>
      <w:r w:rsidRPr="00DD1A6B">
        <w:rPr>
          <w:sz w:val="22"/>
          <w:szCs w:val="22"/>
        </w:rPr>
        <w:t xml:space="preserve"> For illustration purposes only, such records and information may include, but is not limited to, </w:t>
      </w:r>
      <w:r w:rsidRPr="00DD1A6B">
        <w:rPr>
          <w:rFonts w:eastAsia="TimesNewRoman"/>
          <w:color w:val="000000" w:themeColor="text1"/>
          <w:sz w:val="22"/>
          <w:szCs w:val="22"/>
        </w:rPr>
        <w:t xml:space="preserve">the traffic studies, tax returns, jurisdictional allocation formulas and factors, books of account, reports or other information used to determine and verify interstate vs. Pennsylvania-intrastate revenues. </w:t>
      </w:r>
    </w:p>
  </w:footnote>
  <w:footnote w:id="8">
    <w:p w14:paraId="0EB49315" w14:textId="105969EC" w:rsidR="00DD1A6B" w:rsidRPr="00737933" w:rsidRDefault="00DD1A6B" w:rsidP="00DC74D5">
      <w:pPr>
        <w:pStyle w:val="FootnoteText"/>
        <w:rPr>
          <w:sz w:val="22"/>
          <w:szCs w:val="22"/>
        </w:rPr>
      </w:pPr>
      <w:r w:rsidRPr="006D1CEF">
        <w:rPr>
          <w:rStyle w:val="FootnoteReference"/>
          <w:sz w:val="22"/>
          <w:szCs w:val="22"/>
        </w:rPr>
        <w:footnoteRef/>
      </w:r>
      <w:r w:rsidRPr="006D1CEF">
        <w:rPr>
          <w:sz w:val="22"/>
          <w:szCs w:val="22"/>
        </w:rPr>
        <w:t xml:space="preserve"> In order to compute the precise assessment for each public utility, </w:t>
      </w:r>
      <w:r w:rsidR="00E1579B">
        <w:rPr>
          <w:sz w:val="22"/>
          <w:szCs w:val="22"/>
        </w:rPr>
        <w:t>Section 510(b)</w:t>
      </w:r>
      <w:r w:rsidRPr="006D1CEF">
        <w:rPr>
          <w:sz w:val="22"/>
          <w:szCs w:val="22"/>
        </w:rPr>
        <w:t xml:space="preserve"> provides for a four-step calculation in which the </w:t>
      </w:r>
      <w:r w:rsidRPr="006D1CEF">
        <w:rPr>
          <w:rStyle w:val="term1"/>
          <w:rFonts w:ascii="Times New Roman" w:hAnsi="Times New Roman"/>
          <w:b w:val="0"/>
          <w:sz w:val="22"/>
          <w:szCs w:val="22"/>
        </w:rPr>
        <w:t>Commission:</w:t>
      </w:r>
      <w:r w:rsidRPr="006D1CEF">
        <w:rPr>
          <w:sz w:val="22"/>
          <w:szCs w:val="22"/>
        </w:rPr>
        <w:t xml:space="preserve"> (1) determines and assigns expenditures dedicated to the group of </w:t>
      </w:r>
      <w:r w:rsidRPr="006D1CEF">
        <w:rPr>
          <w:rStyle w:val="term1"/>
          <w:rFonts w:ascii="Times New Roman" w:hAnsi="Times New Roman"/>
          <w:b w:val="0"/>
          <w:sz w:val="22"/>
          <w:szCs w:val="22"/>
        </w:rPr>
        <w:t>utilities</w:t>
      </w:r>
      <w:r w:rsidRPr="006D1CEF">
        <w:rPr>
          <w:sz w:val="22"/>
          <w:szCs w:val="22"/>
        </w:rPr>
        <w:t xml:space="preserve"> to which the specific </w:t>
      </w:r>
      <w:r w:rsidRPr="001524E1">
        <w:rPr>
          <w:rStyle w:val="term1"/>
          <w:rFonts w:ascii="Times New Roman" w:hAnsi="Times New Roman"/>
          <w:b w:val="0"/>
          <w:sz w:val="22"/>
          <w:szCs w:val="22"/>
        </w:rPr>
        <w:t>public utility</w:t>
      </w:r>
      <w:r w:rsidRPr="001524E1">
        <w:rPr>
          <w:sz w:val="22"/>
          <w:szCs w:val="22"/>
        </w:rPr>
        <w:t xml:space="preserve"> belongs based on </w:t>
      </w:r>
      <w:r w:rsidRPr="00DD1A6B">
        <w:rPr>
          <w:sz w:val="22"/>
          <w:szCs w:val="22"/>
        </w:rPr>
        <w:t xml:space="preserve">Commission employee direct hours for each industry group; (2) determines the balance of total expenditures, after direct costs are assigned, and assigns portions of the balance among groups of </w:t>
      </w:r>
      <w:r w:rsidRPr="00DD1A6B">
        <w:rPr>
          <w:rStyle w:val="term1"/>
          <w:rFonts w:ascii="Times New Roman" w:hAnsi="Times New Roman"/>
          <w:b w:val="0"/>
          <w:sz w:val="22"/>
          <w:szCs w:val="22"/>
        </w:rPr>
        <w:t>utilities</w:t>
      </w:r>
      <w:r w:rsidRPr="00DD1A6B">
        <w:rPr>
          <w:sz w:val="22"/>
          <w:szCs w:val="22"/>
        </w:rPr>
        <w:t xml:space="preserve"> in accordance with the proportion of their revenue to the total revenue sum for all </w:t>
      </w:r>
      <w:r w:rsidRPr="00DD1A6B">
        <w:rPr>
          <w:rStyle w:val="term1"/>
          <w:rFonts w:ascii="Times New Roman" w:hAnsi="Times New Roman"/>
          <w:b w:val="0"/>
          <w:sz w:val="22"/>
          <w:szCs w:val="22"/>
        </w:rPr>
        <w:t>utilities;</w:t>
      </w:r>
      <w:r w:rsidRPr="00DD1A6B">
        <w:rPr>
          <w:sz w:val="22"/>
          <w:szCs w:val="22"/>
        </w:rPr>
        <w:t xml:space="preserve"> (3) allocates a share of the total assessment to each </w:t>
      </w:r>
      <w:r w:rsidRPr="00DD1A6B">
        <w:rPr>
          <w:rStyle w:val="term1"/>
          <w:rFonts w:ascii="Times New Roman" w:hAnsi="Times New Roman"/>
          <w:b w:val="0"/>
          <w:sz w:val="22"/>
          <w:szCs w:val="22"/>
        </w:rPr>
        <w:t>utility</w:t>
      </w:r>
      <w:r w:rsidRPr="00DD1A6B">
        <w:rPr>
          <w:sz w:val="22"/>
          <w:szCs w:val="22"/>
        </w:rPr>
        <w:t xml:space="preserve"> group, in proportion to the expenditures assigned to the group; and (4) allocates a share of the assessment of the group to each </w:t>
      </w:r>
      <w:r w:rsidRPr="00DD1A6B">
        <w:rPr>
          <w:rStyle w:val="term1"/>
          <w:rFonts w:ascii="Times New Roman" w:hAnsi="Times New Roman"/>
          <w:b w:val="0"/>
          <w:sz w:val="22"/>
          <w:szCs w:val="22"/>
        </w:rPr>
        <w:t>utility,</w:t>
      </w:r>
      <w:r w:rsidRPr="00DD1A6B">
        <w:rPr>
          <w:sz w:val="22"/>
          <w:szCs w:val="22"/>
        </w:rPr>
        <w:t xml:space="preserve"> in proportion to the revenue of the </w:t>
      </w:r>
      <w:r w:rsidRPr="00DD1A6B">
        <w:rPr>
          <w:rStyle w:val="term1"/>
          <w:rFonts w:ascii="Times New Roman" w:hAnsi="Times New Roman"/>
          <w:b w:val="0"/>
          <w:sz w:val="22"/>
          <w:szCs w:val="22"/>
        </w:rPr>
        <w:t>utility</w:t>
      </w:r>
      <w:r w:rsidRPr="00DD1A6B">
        <w:rPr>
          <w:sz w:val="22"/>
          <w:szCs w:val="22"/>
        </w:rPr>
        <w:t xml:space="preserve"> to the total revenue sum of the </w:t>
      </w:r>
      <w:r w:rsidRPr="00DD1A6B">
        <w:rPr>
          <w:rStyle w:val="term1"/>
          <w:rFonts w:ascii="Times New Roman" w:hAnsi="Times New Roman"/>
          <w:b w:val="0"/>
          <w:sz w:val="22"/>
          <w:szCs w:val="22"/>
        </w:rPr>
        <w:t>public utilities</w:t>
      </w:r>
      <w:r w:rsidRPr="00DD1A6B">
        <w:rPr>
          <w:sz w:val="22"/>
          <w:szCs w:val="22"/>
        </w:rPr>
        <w:t xml:space="preserve"> in its group. </w:t>
      </w:r>
      <w:r w:rsidR="00511EB0">
        <w:rPr>
          <w:sz w:val="22"/>
          <w:szCs w:val="22"/>
        </w:rPr>
        <w:t xml:space="preserve"> </w:t>
      </w:r>
      <w:r w:rsidRPr="00DD1A6B">
        <w:rPr>
          <w:sz w:val="22"/>
          <w:szCs w:val="22"/>
        </w:rPr>
        <w:t xml:space="preserve">66 Pa. C.S. </w:t>
      </w:r>
      <w:hyperlink r:id="rId1" w:history="1">
        <w:r w:rsidRPr="006D1CEF">
          <w:rPr>
            <w:sz w:val="22"/>
            <w:szCs w:val="22"/>
          </w:rPr>
          <w:t>§ 510(b)(1)-(4)</w:t>
        </w:r>
      </w:hyperlink>
      <w:r w:rsidRPr="006D1CEF">
        <w:rPr>
          <w:sz w:val="22"/>
          <w:szCs w:val="22"/>
        </w:rPr>
        <w:t>. The resulting assessment rate is subject to an appeal and review process in the form of a utility’s filing objections on the grounds that the assessment</w:t>
      </w:r>
      <w:r w:rsidRPr="001524E1">
        <w:rPr>
          <w:sz w:val="22"/>
          <w:szCs w:val="22"/>
        </w:rPr>
        <w:t xml:space="preserve"> is “</w:t>
      </w:r>
      <w:r w:rsidRPr="00DD1A6B">
        <w:rPr>
          <w:sz w:val="22"/>
          <w:szCs w:val="22"/>
        </w:rPr>
        <w:t xml:space="preserve">excessive, erroneous, unlawful, or invalid.”  66 Pa. C.S. </w:t>
      </w:r>
      <w:hyperlink r:id="rId2" w:history="1">
        <w:r w:rsidRPr="006D1CEF">
          <w:rPr>
            <w:sz w:val="22"/>
            <w:szCs w:val="22"/>
          </w:rPr>
          <w:t>§ 510(c)</w:t>
        </w:r>
      </w:hyperlink>
      <w:r w:rsidRPr="006D1CEF">
        <w:rPr>
          <w:sz w:val="22"/>
          <w:szCs w:val="22"/>
        </w:rPr>
        <w:t>.</w:t>
      </w:r>
    </w:p>
    <w:p w14:paraId="407B57B5" w14:textId="77777777" w:rsidR="00DD1A6B" w:rsidRPr="008E158E" w:rsidRDefault="00DD1A6B" w:rsidP="00DC74D5">
      <w:pPr>
        <w:pStyle w:val="FootnoteText"/>
        <w:rPr>
          <w:sz w:val="22"/>
          <w:szCs w:val="22"/>
        </w:rPr>
      </w:pPr>
    </w:p>
  </w:footnote>
  <w:footnote w:id="9">
    <w:p w14:paraId="00B71CA3" w14:textId="4D4B6747" w:rsidR="00E714B7" w:rsidRPr="00217969" w:rsidRDefault="00E714B7">
      <w:pPr>
        <w:pStyle w:val="FootnoteText"/>
        <w:rPr>
          <w:sz w:val="22"/>
          <w:szCs w:val="22"/>
        </w:rPr>
      </w:pPr>
      <w:r w:rsidRPr="007173D2">
        <w:rPr>
          <w:rStyle w:val="FootnoteReference"/>
          <w:sz w:val="22"/>
          <w:szCs w:val="22"/>
        </w:rPr>
        <w:footnoteRef/>
      </w:r>
      <w:r w:rsidRPr="007173D2">
        <w:rPr>
          <w:sz w:val="22"/>
          <w:szCs w:val="22"/>
        </w:rPr>
        <w:t xml:space="preserve"> For example, if a telecommunications carrier has total operating revenues of $1,000,000 for the 2018 calendar year, and 12% of the revenues was from traffic that was interstate and the other 88% was from traffic that was PA intrastate, that carrier must report, on the Section 510 assessment report due on March</w:t>
      </w:r>
      <w:r w:rsidR="007173D2">
        <w:rPr>
          <w:sz w:val="22"/>
          <w:szCs w:val="22"/>
        </w:rPr>
        <w:t> </w:t>
      </w:r>
      <w:r w:rsidRPr="007173D2">
        <w:rPr>
          <w:sz w:val="22"/>
          <w:szCs w:val="22"/>
        </w:rPr>
        <w:t xml:space="preserve">31, 2019, the sum of $880,000 as its </w:t>
      </w:r>
      <w:r w:rsidRPr="007173D2">
        <w:rPr>
          <w:i/>
          <w:sz w:val="22"/>
          <w:szCs w:val="22"/>
        </w:rPr>
        <w:t>de facto</w:t>
      </w:r>
      <w:r w:rsidRPr="007173D2">
        <w:rPr>
          <w:sz w:val="22"/>
          <w:szCs w:val="22"/>
        </w:rPr>
        <w:t xml:space="preserve"> gross intrastate operating revenues.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7FDA" w14:textId="77777777" w:rsidR="00DD1A6B" w:rsidRDefault="00DD1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349"/>
    <w:multiLevelType w:val="hybridMultilevel"/>
    <w:tmpl w:val="854C3D08"/>
    <w:lvl w:ilvl="0" w:tplc="C1E025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D66D7"/>
    <w:multiLevelType w:val="hybridMultilevel"/>
    <w:tmpl w:val="D11C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028B5"/>
    <w:multiLevelType w:val="hybridMultilevel"/>
    <w:tmpl w:val="E6422DFA"/>
    <w:lvl w:ilvl="0" w:tplc="E17E5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53578"/>
    <w:multiLevelType w:val="hybridMultilevel"/>
    <w:tmpl w:val="AFCEDE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566933"/>
    <w:multiLevelType w:val="hybridMultilevel"/>
    <w:tmpl w:val="ED9C21D8"/>
    <w:lvl w:ilvl="0" w:tplc="BF5A685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6A0475"/>
    <w:multiLevelType w:val="hybridMultilevel"/>
    <w:tmpl w:val="BA08763E"/>
    <w:lvl w:ilvl="0" w:tplc="A502C02A">
      <w:start w:val="1"/>
      <w:numFmt w:val="upperLetter"/>
      <w:lvlText w:val="%1."/>
      <w:lvlJc w:val="left"/>
      <w:pPr>
        <w:ind w:left="720" w:hanging="360"/>
      </w:pPr>
      <w:rPr>
        <w:rFonts w:hint="default"/>
        <w:b w:val="0"/>
      </w:rPr>
    </w:lvl>
    <w:lvl w:ilvl="1" w:tplc="A230A950">
      <w:start w:val="1"/>
      <w:numFmt w:val="decimal"/>
      <w:lvlText w:val="(%2)"/>
      <w:lvlJc w:val="left"/>
      <w:pPr>
        <w:ind w:left="1440" w:hanging="360"/>
      </w:pPr>
      <w:rPr>
        <w:rFonts w:hint="default"/>
      </w:rPr>
    </w:lvl>
    <w:lvl w:ilvl="2" w:tplc="C1DA3A2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E4D50"/>
    <w:multiLevelType w:val="hybridMultilevel"/>
    <w:tmpl w:val="65F022F6"/>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46E1B"/>
    <w:multiLevelType w:val="hybridMultilevel"/>
    <w:tmpl w:val="9C80726A"/>
    <w:lvl w:ilvl="0" w:tplc="BD90D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D3700"/>
    <w:multiLevelType w:val="hybridMultilevel"/>
    <w:tmpl w:val="24BE0770"/>
    <w:lvl w:ilvl="0" w:tplc="A2A8A57C">
      <w:start w:val="5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F72500"/>
    <w:multiLevelType w:val="hybridMultilevel"/>
    <w:tmpl w:val="565A0E70"/>
    <w:lvl w:ilvl="0" w:tplc="6B8AE666">
      <w:start w:val="6"/>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3D28F5"/>
    <w:multiLevelType w:val="hybridMultilevel"/>
    <w:tmpl w:val="920E9358"/>
    <w:lvl w:ilvl="0" w:tplc="C9DCA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443B1"/>
    <w:multiLevelType w:val="hybridMultilevel"/>
    <w:tmpl w:val="B8284542"/>
    <w:lvl w:ilvl="0" w:tplc="B0EE48FE">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7973AE7"/>
    <w:multiLevelType w:val="hybridMultilevel"/>
    <w:tmpl w:val="657CDB1C"/>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927E7"/>
    <w:multiLevelType w:val="hybridMultilevel"/>
    <w:tmpl w:val="8BAE0050"/>
    <w:lvl w:ilvl="0" w:tplc="44980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17DA4"/>
    <w:multiLevelType w:val="hybridMultilevel"/>
    <w:tmpl w:val="8E5AA458"/>
    <w:lvl w:ilvl="0" w:tplc="37CE5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3023F49"/>
    <w:multiLevelType w:val="hybridMultilevel"/>
    <w:tmpl w:val="7262A504"/>
    <w:lvl w:ilvl="0" w:tplc="CB5625A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D9761C"/>
    <w:multiLevelType w:val="hybridMultilevel"/>
    <w:tmpl w:val="1728A470"/>
    <w:lvl w:ilvl="0" w:tplc="C2A601F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2365E"/>
    <w:multiLevelType w:val="hybridMultilevel"/>
    <w:tmpl w:val="CAD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E20C3"/>
    <w:multiLevelType w:val="hybridMultilevel"/>
    <w:tmpl w:val="2AB26C18"/>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4482C"/>
    <w:multiLevelType w:val="hybridMultilevel"/>
    <w:tmpl w:val="B1F0E0C6"/>
    <w:lvl w:ilvl="0" w:tplc="113EC1E2">
      <w:start w:val="9"/>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12"/>
  </w:num>
  <w:num w:numId="6">
    <w:abstractNumId w:val="8"/>
  </w:num>
  <w:num w:numId="7">
    <w:abstractNumId w:val="3"/>
  </w:num>
  <w:num w:numId="8">
    <w:abstractNumId w:val="2"/>
  </w:num>
  <w:num w:numId="9">
    <w:abstractNumId w:val="0"/>
  </w:num>
  <w:num w:numId="10">
    <w:abstractNumId w:val="17"/>
  </w:num>
  <w:num w:numId="11">
    <w:abstractNumId w:val="13"/>
  </w:num>
  <w:num w:numId="12">
    <w:abstractNumId w:val="10"/>
  </w:num>
  <w:num w:numId="13">
    <w:abstractNumId w:val="14"/>
  </w:num>
  <w:num w:numId="14">
    <w:abstractNumId w:val="1"/>
  </w:num>
  <w:num w:numId="15">
    <w:abstractNumId w:val="18"/>
  </w:num>
  <w:num w:numId="16">
    <w:abstractNumId w:val="11"/>
  </w:num>
  <w:num w:numId="17">
    <w:abstractNumId w:val="9"/>
  </w:num>
  <w:num w:numId="18">
    <w:abstractNumId w:val="5"/>
  </w:num>
  <w:num w:numId="19">
    <w:abstractNumId w:val="7"/>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12"/>
    <w:rsid w:val="00000419"/>
    <w:rsid w:val="00000ACD"/>
    <w:rsid w:val="00001B75"/>
    <w:rsid w:val="00001F7E"/>
    <w:rsid w:val="00002125"/>
    <w:rsid w:val="000021A5"/>
    <w:rsid w:val="00003965"/>
    <w:rsid w:val="0000599D"/>
    <w:rsid w:val="00005A74"/>
    <w:rsid w:val="00006417"/>
    <w:rsid w:val="00006502"/>
    <w:rsid w:val="000101D2"/>
    <w:rsid w:val="00010F92"/>
    <w:rsid w:val="00010FB3"/>
    <w:rsid w:val="0001264D"/>
    <w:rsid w:val="00013452"/>
    <w:rsid w:val="00013699"/>
    <w:rsid w:val="00016242"/>
    <w:rsid w:val="00016542"/>
    <w:rsid w:val="00020C6D"/>
    <w:rsid w:val="000236F8"/>
    <w:rsid w:val="00027AE7"/>
    <w:rsid w:val="00030C4C"/>
    <w:rsid w:val="000311E5"/>
    <w:rsid w:val="00031D14"/>
    <w:rsid w:val="00033725"/>
    <w:rsid w:val="000346FA"/>
    <w:rsid w:val="00035B18"/>
    <w:rsid w:val="00035F25"/>
    <w:rsid w:val="0003633D"/>
    <w:rsid w:val="00036BD0"/>
    <w:rsid w:val="00037817"/>
    <w:rsid w:val="000378FB"/>
    <w:rsid w:val="0004206C"/>
    <w:rsid w:val="000455D8"/>
    <w:rsid w:val="00045B01"/>
    <w:rsid w:val="000471F6"/>
    <w:rsid w:val="00050DDA"/>
    <w:rsid w:val="000511FD"/>
    <w:rsid w:val="00051E19"/>
    <w:rsid w:val="00052D8C"/>
    <w:rsid w:val="00055010"/>
    <w:rsid w:val="0005612C"/>
    <w:rsid w:val="000602FA"/>
    <w:rsid w:val="00060C17"/>
    <w:rsid w:val="00060FE3"/>
    <w:rsid w:val="0006115F"/>
    <w:rsid w:val="00061C4B"/>
    <w:rsid w:val="000620EC"/>
    <w:rsid w:val="00062248"/>
    <w:rsid w:val="00063BD0"/>
    <w:rsid w:val="000642E1"/>
    <w:rsid w:val="0006532C"/>
    <w:rsid w:val="00065CDF"/>
    <w:rsid w:val="00066405"/>
    <w:rsid w:val="00067665"/>
    <w:rsid w:val="00067BD5"/>
    <w:rsid w:val="00071577"/>
    <w:rsid w:val="000724F1"/>
    <w:rsid w:val="00073351"/>
    <w:rsid w:val="00073B12"/>
    <w:rsid w:val="00073E70"/>
    <w:rsid w:val="000755D4"/>
    <w:rsid w:val="0007647B"/>
    <w:rsid w:val="000774AA"/>
    <w:rsid w:val="00080EFD"/>
    <w:rsid w:val="000820C3"/>
    <w:rsid w:val="00082103"/>
    <w:rsid w:val="000842B1"/>
    <w:rsid w:val="00085180"/>
    <w:rsid w:val="00085FC4"/>
    <w:rsid w:val="00086097"/>
    <w:rsid w:val="000861E4"/>
    <w:rsid w:val="00086CC8"/>
    <w:rsid w:val="00086E77"/>
    <w:rsid w:val="00087D36"/>
    <w:rsid w:val="000900C9"/>
    <w:rsid w:val="00090C91"/>
    <w:rsid w:val="0009166D"/>
    <w:rsid w:val="00091B37"/>
    <w:rsid w:val="00091BD0"/>
    <w:rsid w:val="00092103"/>
    <w:rsid w:val="000929AB"/>
    <w:rsid w:val="000949EE"/>
    <w:rsid w:val="000958EE"/>
    <w:rsid w:val="000965F6"/>
    <w:rsid w:val="000A0062"/>
    <w:rsid w:val="000A0318"/>
    <w:rsid w:val="000A2553"/>
    <w:rsid w:val="000A3AFF"/>
    <w:rsid w:val="000A458B"/>
    <w:rsid w:val="000A4FA7"/>
    <w:rsid w:val="000A5F5D"/>
    <w:rsid w:val="000A714A"/>
    <w:rsid w:val="000B0EF3"/>
    <w:rsid w:val="000B114D"/>
    <w:rsid w:val="000B11FB"/>
    <w:rsid w:val="000B2C7F"/>
    <w:rsid w:val="000B40E7"/>
    <w:rsid w:val="000B4B87"/>
    <w:rsid w:val="000B52DA"/>
    <w:rsid w:val="000B6987"/>
    <w:rsid w:val="000B7621"/>
    <w:rsid w:val="000C0163"/>
    <w:rsid w:val="000C09F6"/>
    <w:rsid w:val="000C0CFE"/>
    <w:rsid w:val="000C1C04"/>
    <w:rsid w:val="000C2E24"/>
    <w:rsid w:val="000C3290"/>
    <w:rsid w:val="000C3837"/>
    <w:rsid w:val="000C41FE"/>
    <w:rsid w:val="000C4C29"/>
    <w:rsid w:val="000C548A"/>
    <w:rsid w:val="000C5825"/>
    <w:rsid w:val="000C590E"/>
    <w:rsid w:val="000C6D65"/>
    <w:rsid w:val="000C701D"/>
    <w:rsid w:val="000C7794"/>
    <w:rsid w:val="000D05A3"/>
    <w:rsid w:val="000D0738"/>
    <w:rsid w:val="000D09EE"/>
    <w:rsid w:val="000D2136"/>
    <w:rsid w:val="000D3BCD"/>
    <w:rsid w:val="000D3FD1"/>
    <w:rsid w:val="000D4728"/>
    <w:rsid w:val="000D4FE5"/>
    <w:rsid w:val="000D5EE1"/>
    <w:rsid w:val="000D798B"/>
    <w:rsid w:val="000E02CD"/>
    <w:rsid w:val="000E0B04"/>
    <w:rsid w:val="000E0BB2"/>
    <w:rsid w:val="000E0C1E"/>
    <w:rsid w:val="000E0D31"/>
    <w:rsid w:val="000E0FE9"/>
    <w:rsid w:val="000E1037"/>
    <w:rsid w:val="000E1912"/>
    <w:rsid w:val="000E1F92"/>
    <w:rsid w:val="000E3275"/>
    <w:rsid w:val="000E6262"/>
    <w:rsid w:val="000E6CA5"/>
    <w:rsid w:val="000E7256"/>
    <w:rsid w:val="000E7AAC"/>
    <w:rsid w:val="000F087B"/>
    <w:rsid w:val="000F09D3"/>
    <w:rsid w:val="000F16E7"/>
    <w:rsid w:val="000F18FD"/>
    <w:rsid w:val="000F1E39"/>
    <w:rsid w:val="000F2A72"/>
    <w:rsid w:val="000F30EC"/>
    <w:rsid w:val="000F445A"/>
    <w:rsid w:val="000F48D7"/>
    <w:rsid w:val="000F4996"/>
    <w:rsid w:val="000F5916"/>
    <w:rsid w:val="000F5CC4"/>
    <w:rsid w:val="000F6ECC"/>
    <w:rsid w:val="00100838"/>
    <w:rsid w:val="00100D69"/>
    <w:rsid w:val="00100E4B"/>
    <w:rsid w:val="001052E5"/>
    <w:rsid w:val="00105E56"/>
    <w:rsid w:val="001066F7"/>
    <w:rsid w:val="00107001"/>
    <w:rsid w:val="0011029D"/>
    <w:rsid w:val="00110659"/>
    <w:rsid w:val="00110F63"/>
    <w:rsid w:val="00111CEB"/>
    <w:rsid w:val="0011301F"/>
    <w:rsid w:val="00114544"/>
    <w:rsid w:val="00114D16"/>
    <w:rsid w:val="001152D9"/>
    <w:rsid w:val="0012043B"/>
    <w:rsid w:val="00121E01"/>
    <w:rsid w:val="00121E37"/>
    <w:rsid w:val="0012275E"/>
    <w:rsid w:val="00123350"/>
    <w:rsid w:val="0012415A"/>
    <w:rsid w:val="0012433B"/>
    <w:rsid w:val="00125759"/>
    <w:rsid w:val="00125D50"/>
    <w:rsid w:val="00126F5E"/>
    <w:rsid w:val="0013052C"/>
    <w:rsid w:val="00131668"/>
    <w:rsid w:val="00132513"/>
    <w:rsid w:val="00132B19"/>
    <w:rsid w:val="0013393A"/>
    <w:rsid w:val="00133F75"/>
    <w:rsid w:val="00134FF3"/>
    <w:rsid w:val="00135698"/>
    <w:rsid w:val="00137D10"/>
    <w:rsid w:val="00137FC1"/>
    <w:rsid w:val="00140273"/>
    <w:rsid w:val="00140480"/>
    <w:rsid w:val="00140A2A"/>
    <w:rsid w:val="00140A75"/>
    <w:rsid w:val="00140F53"/>
    <w:rsid w:val="00141C9D"/>
    <w:rsid w:val="00145405"/>
    <w:rsid w:val="00145710"/>
    <w:rsid w:val="0014657B"/>
    <w:rsid w:val="001465E5"/>
    <w:rsid w:val="0014770F"/>
    <w:rsid w:val="0014795E"/>
    <w:rsid w:val="00147F68"/>
    <w:rsid w:val="001500E4"/>
    <w:rsid w:val="00150478"/>
    <w:rsid w:val="001516A1"/>
    <w:rsid w:val="001519AA"/>
    <w:rsid w:val="00152337"/>
    <w:rsid w:val="001524E1"/>
    <w:rsid w:val="001539B0"/>
    <w:rsid w:val="00154841"/>
    <w:rsid w:val="001549C8"/>
    <w:rsid w:val="0015580D"/>
    <w:rsid w:val="001576E1"/>
    <w:rsid w:val="0016089B"/>
    <w:rsid w:val="00160AB8"/>
    <w:rsid w:val="00160E8F"/>
    <w:rsid w:val="0016161C"/>
    <w:rsid w:val="00161CE4"/>
    <w:rsid w:val="001629C3"/>
    <w:rsid w:val="00163551"/>
    <w:rsid w:val="00164AF4"/>
    <w:rsid w:val="00164B1C"/>
    <w:rsid w:val="00166B4A"/>
    <w:rsid w:val="00167A65"/>
    <w:rsid w:val="00167D4F"/>
    <w:rsid w:val="001701D8"/>
    <w:rsid w:val="0017033B"/>
    <w:rsid w:val="001709DF"/>
    <w:rsid w:val="00172C04"/>
    <w:rsid w:val="00172E0D"/>
    <w:rsid w:val="00172FC4"/>
    <w:rsid w:val="00173738"/>
    <w:rsid w:val="00173DDD"/>
    <w:rsid w:val="00174D9D"/>
    <w:rsid w:val="001759BB"/>
    <w:rsid w:val="00176045"/>
    <w:rsid w:val="0017641D"/>
    <w:rsid w:val="001766B0"/>
    <w:rsid w:val="001802A3"/>
    <w:rsid w:val="0018219E"/>
    <w:rsid w:val="00182456"/>
    <w:rsid w:val="001829E0"/>
    <w:rsid w:val="00182F8A"/>
    <w:rsid w:val="00185082"/>
    <w:rsid w:val="00185CED"/>
    <w:rsid w:val="00185DBD"/>
    <w:rsid w:val="00187B70"/>
    <w:rsid w:val="00187CCF"/>
    <w:rsid w:val="00187DC8"/>
    <w:rsid w:val="0019145C"/>
    <w:rsid w:val="001914F4"/>
    <w:rsid w:val="0019248E"/>
    <w:rsid w:val="0019293B"/>
    <w:rsid w:val="001931CC"/>
    <w:rsid w:val="001948BF"/>
    <w:rsid w:val="001958C2"/>
    <w:rsid w:val="001A0A20"/>
    <w:rsid w:val="001A279A"/>
    <w:rsid w:val="001A2915"/>
    <w:rsid w:val="001A2946"/>
    <w:rsid w:val="001A3EA8"/>
    <w:rsid w:val="001A41D8"/>
    <w:rsid w:val="001A4E79"/>
    <w:rsid w:val="001A5985"/>
    <w:rsid w:val="001A6F45"/>
    <w:rsid w:val="001B2E8E"/>
    <w:rsid w:val="001B3796"/>
    <w:rsid w:val="001B4B65"/>
    <w:rsid w:val="001B4CA2"/>
    <w:rsid w:val="001B5119"/>
    <w:rsid w:val="001B56BB"/>
    <w:rsid w:val="001B5B86"/>
    <w:rsid w:val="001B5E45"/>
    <w:rsid w:val="001B68BB"/>
    <w:rsid w:val="001B71EE"/>
    <w:rsid w:val="001B7FB5"/>
    <w:rsid w:val="001C08D7"/>
    <w:rsid w:val="001C1CA8"/>
    <w:rsid w:val="001C23B7"/>
    <w:rsid w:val="001C24D2"/>
    <w:rsid w:val="001C2B55"/>
    <w:rsid w:val="001C3830"/>
    <w:rsid w:val="001C42F0"/>
    <w:rsid w:val="001C45F2"/>
    <w:rsid w:val="001C46D2"/>
    <w:rsid w:val="001C4D1A"/>
    <w:rsid w:val="001C704F"/>
    <w:rsid w:val="001C72A1"/>
    <w:rsid w:val="001C74DB"/>
    <w:rsid w:val="001C77C4"/>
    <w:rsid w:val="001D0DA3"/>
    <w:rsid w:val="001D16B5"/>
    <w:rsid w:val="001D1BB5"/>
    <w:rsid w:val="001D1CB1"/>
    <w:rsid w:val="001D1DD0"/>
    <w:rsid w:val="001D3AD1"/>
    <w:rsid w:val="001D3AFB"/>
    <w:rsid w:val="001D5B19"/>
    <w:rsid w:val="001D5C18"/>
    <w:rsid w:val="001D6E83"/>
    <w:rsid w:val="001D702D"/>
    <w:rsid w:val="001D71D8"/>
    <w:rsid w:val="001D7921"/>
    <w:rsid w:val="001E0C2B"/>
    <w:rsid w:val="001E0D01"/>
    <w:rsid w:val="001E0FB4"/>
    <w:rsid w:val="001E2B3F"/>
    <w:rsid w:val="001E3310"/>
    <w:rsid w:val="001E3BC8"/>
    <w:rsid w:val="001E482B"/>
    <w:rsid w:val="001E4D23"/>
    <w:rsid w:val="001E4F40"/>
    <w:rsid w:val="001E54F5"/>
    <w:rsid w:val="001E65BA"/>
    <w:rsid w:val="001E6B5E"/>
    <w:rsid w:val="001E7DC3"/>
    <w:rsid w:val="001F035A"/>
    <w:rsid w:val="001F0B67"/>
    <w:rsid w:val="001F2308"/>
    <w:rsid w:val="001F29CA"/>
    <w:rsid w:val="001F41D9"/>
    <w:rsid w:val="001F43B6"/>
    <w:rsid w:val="001F4C4B"/>
    <w:rsid w:val="001F6158"/>
    <w:rsid w:val="001F6501"/>
    <w:rsid w:val="001F677A"/>
    <w:rsid w:val="001F757D"/>
    <w:rsid w:val="001F7675"/>
    <w:rsid w:val="001F798E"/>
    <w:rsid w:val="00201EB0"/>
    <w:rsid w:val="002022F9"/>
    <w:rsid w:val="00202436"/>
    <w:rsid w:val="00203C21"/>
    <w:rsid w:val="002040DC"/>
    <w:rsid w:val="00205831"/>
    <w:rsid w:val="00206304"/>
    <w:rsid w:val="002109BE"/>
    <w:rsid w:val="002126C1"/>
    <w:rsid w:val="0021348D"/>
    <w:rsid w:val="0021437B"/>
    <w:rsid w:val="00214963"/>
    <w:rsid w:val="00214BA0"/>
    <w:rsid w:val="00216500"/>
    <w:rsid w:val="00216C0B"/>
    <w:rsid w:val="00217658"/>
    <w:rsid w:val="00217693"/>
    <w:rsid w:val="00217763"/>
    <w:rsid w:val="00217969"/>
    <w:rsid w:val="00220DE5"/>
    <w:rsid w:val="00225208"/>
    <w:rsid w:val="0022550E"/>
    <w:rsid w:val="00227086"/>
    <w:rsid w:val="00231D75"/>
    <w:rsid w:val="0023375A"/>
    <w:rsid w:val="00233BB2"/>
    <w:rsid w:val="002366EE"/>
    <w:rsid w:val="00237E36"/>
    <w:rsid w:val="00240E0D"/>
    <w:rsid w:val="0024140B"/>
    <w:rsid w:val="0024165A"/>
    <w:rsid w:val="002423FE"/>
    <w:rsid w:val="002447EE"/>
    <w:rsid w:val="00244AEE"/>
    <w:rsid w:val="002451DC"/>
    <w:rsid w:val="00246FB9"/>
    <w:rsid w:val="0025073F"/>
    <w:rsid w:val="00251445"/>
    <w:rsid w:val="00251A38"/>
    <w:rsid w:val="0025320A"/>
    <w:rsid w:val="002554C6"/>
    <w:rsid w:val="0025598F"/>
    <w:rsid w:val="00256169"/>
    <w:rsid w:val="002562FC"/>
    <w:rsid w:val="0025663B"/>
    <w:rsid w:val="00256A63"/>
    <w:rsid w:val="00256EA9"/>
    <w:rsid w:val="00257F98"/>
    <w:rsid w:val="00261BC4"/>
    <w:rsid w:val="002641D0"/>
    <w:rsid w:val="002642E7"/>
    <w:rsid w:val="002648E2"/>
    <w:rsid w:val="00264F5B"/>
    <w:rsid w:val="0026708B"/>
    <w:rsid w:val="00270CB9"/>
    <w:rsid w:val="00271BE9"/>
    <w:rsid w:val="00272E75"/>
    <w:rsid w:val="00273087"/>
    <w:rsid w:val="002744E0"/>
    <w:rsid w:val="002746A7"/>
    <w:rsid w:val="00275A0C"/>
    <w:rsid w:val="0027637F"/>
    <w:rsid w:val="00276CD3"/>
    <w:rsid w:val="00283E4B"/>
    <w:rsid w:val="0028447A"/>
    <w:rsid w:val="00284BC9"/>
    <w:rsid w:val="00284D14"/>
    <w:rsid w:val="00285016"/>
    <w:rsid w:val="00290D58"/>
    <w:rsid w:val="00290E8C"/>
    <w:rsid w:val="002923EA"/>
    <w:rsid w:val="002950CA"/>
    <w:rsid w:val="00295A4C"/>
    <w:rsid w:val="00296564"/>
    <w:rsid w:val="002966BC"/>
    <w:rsid w:val="002A131E"/>
    <w:rsid w:val="002A17A1"/>
    <w:rsid w:val="002A2178"/>
    <w:rsid w:val="002A27FC"/>
    <w:rsid w:val="002A2A87"/>
    <w:rsid w:val="002A438C"/>
    <w:rsid w:val="002A4DDC"/>
    <w:rsid w:val="002A6E41"/>
    <w:rsid w:val="002A7175"/>
    <w:rsid w:val="002A7DDB"/>
    <w:rsid w:val="002B12A2"/>
    <w:rsid w:val="002B1547"/>
    <w:rsid w:val="002B32BD"/>
    <w:rsid w:val="002B364E"/>
    <w:rsid w:val="002B394A"/>
    <w:rsid w:val="002B4182"/>
    <w:rsid w:val="002B5615"/>
    <w:rsid w:val="002B5E81"/>
    <w:rsid w:val="002B6357"/>
    <w:rsid w:val="002C0263"/>
    <w:rsid w:val="002C080E"/>
    <w:rsid w:val="002C0B6D"/>
    <w:rsid w:val="002C0E42"/>
    <w:rsid w:val="002C2C76"/>
    <w:rsid w:val="002C3A6E"/>
    <w:rsid w:val="002C3FBE"/>
    <w:rsid w:val="002C4C75"/>
    <w:rsid w:val="002C5FC8"/>
    <w:rsid w:val="002C5FF0"/>
    <w:rsid w:val="002C7515"/>
    <w:rsid w:val="002D041A"/>
    <w:rsid w:val="002D1306"/>
    <w:rsid w:val="002D1A15"/>
    <w:rsid w:val="002D38D4"/>
    <w:rsid w:val="002D3B49"/>
    <w:rsid w:val="002D43A4"/>
    <w:rsid w:val="002D59DB"/>
    <w:rsid w:val="002D61FD"/>
    <w:rsid w:val="002D6EA4"/>
    <w:rsid w:val="002E2101"/>
    <w:rsid w:val="002E6E33"/>
    <w:rsid w:val="002E7680"/>
    <w:rsid w:val="002E7989"/>
    <w:rsid w:val="002F0304"/>
    <w:rsid w:val="002F0AD1"/>
    <w:rsid w:val="002F2A41"/>
    <w:rsid w:val="002F348D"/>
    <w:rsid w:val="002F355F"/>
    <w:rsid w:val="002F3FEA"/>
    <w:rsid w:val="002F42B7"/>
    <w:rsid w:val="002F485B"/>
    <w:rsid w:val="002F4CB8"/>
    <w:rsid w:val="002F4D54"/>
    <w:rsid w:val="002F4E0B"/>
    <w:rsid w:val="002F5546"/>
    <w:rsid w:val="002F5E6F"/>
    <w:rsid w:val="0030280B"/>
    <w:rsid w:val="003064F9"/>
    <w:rsid w:val="00307406"/>
    <w:rsid w:val="00310BCF"/>
    <w:rsid w:val="003131E9"/>
    <w:rsid w:val="0031371B"/>
    <w:rsid w:val="00315320"/>
    <w:rsid w:val="00315C77"/>
    <w:rsid w:val="003172B7"/>
    <w:rsid w:val="00320094"/>
    <w:rsid w:val="003209C2"/>
    <w:rsid w:val="00321744"/>
    <w:rsid w:val="00322172"/>
    <w:rsid w:val="003226FC"/>
    <w:rsid w:val="00322CEE"/>
    <w:rsid w:val="00323BA4"/>
    <w:rsid w:val="003250E0"/>
    <w:rsid w:val="00325629"/>
    <w:rsid w:val="00325755"/>
    <w:rsid w:val="00325D55"/>
    <w:rsid w:val="003266C7"/>
    <w:rsid w:val="003269E9"/>
    <w:rsid w:val="0032771D"/>
    <w:rsid w:val="00327B79"/>
    <w:rsid w:val="00327D25"/>
    <w:rsid w:val="00333A95"/>
    <w:rsid w:val="00334F9E"/>
    <w:rsid w:val="0033541F"/>
    <w:rsid w:val="00335AE3"/>
    <w:rsid w:val="00335C31"/>
    <w:rsid w:val="0033676B"/>
    <w:rsid w:val="00336D82"/>
    <w:rsid w:val="00337D3E"/>
    <w:rsid w:val="003401CB"/>
    <w:rsid w:val="003403CF"/>
    <w:rsid w:val="003412CA"/>
    <w:rsid w:val="00346080"/>
    <w:rsid w:val="00346B5D"/>
    <w:rsid w:val="00346D23"/>
    <w:rsid w:val="003471D4"/>
    <w:rsid w:val="00347AE7"/>
    <w:rsid w:val="003510B3"/>
    <w:rsid w:val="0035136C"/>
    <w:rsid w:val="0035176A"/>
    <w:rsid w:val="00351771"/>
    <w:rsid w:val="00351EAC"/>
    <w:rsid w:val="003523E1"/>
    <w:rsid w:val="00353135"/>
    <w:rsid w:val="00354B02"/>
    <w:rsid w:val="00356827"/>
    <w:rsid w:val="00360352"/>
    <w:rsid w:val="0036194B"/>
    <w:rsid w:val="00361DEB"/>
    <w:rsid w:val="00362C73"/>
    <w:rsid w:val="00362D1F"/>
    <w:rsid w:val="00364540"/>
    <w:rsid w:val="003648C8"/>
    <w:rsid w:val="00365CFE"/>
    <w:rsid w:val="0036612F"/>
    <w:rsid w:val="0036758A"/>
    <w:rsid w:val="00370086"/>
    <w:rsid w:val="00371497"/>
    <w:rsid w:val="00371D78"/>
    <w:rsid w:val="00371ECC"/>
    <w:rsid w:val="00372F07"/>
    <w:rsid w:val="00373225"/>
    <w:rsid w:val="003737FE"/>
    <w:rsid w:val="00373B1D"/>
    <w:rsid w:val="0037433D"/>
    <w:rsid w:val="00375D57"/>
    <w:rsid w:val="0037669F"/>
    <w:rsid w:val="003806B3"/>
    <w:rsid w:val="00381FC7"/>
    <w:rsid w:val="003832ED"/>
    <w:rsid w:val="0038406A"/>
    <w:rsid w:val="003843B9"/>
    <w:rsid w:val="00385036"/>
    <w:rsid w:val="00385CDF"/>
    <w:rsid w:val="003871A1"/>
    <w:rsid w:val="00387258"/>
    <w:rsid w:val="00391A0E"/>
    <w:rsid w:val="00391D4A"/>
    <w:rsid w:val="00392695"/>
    <w:rsid w:val="00392E74"/>
    <w:rsid w:val="00395E30"/>
    <w:rsid w:val="00396F17"/>
    <w:rsid w:val="00397234"/>
    <w:rsid w:val="00397B67"/>
    <w:rsid w:val="00397DBE"/>
    <w:rsid w:val="003A061B"/>
    <w:rsid w:val="003A3597"/>
    <w:rsid w:val="003B08C5"/>
    <w:rsid w:val="003B155D"/>
    <w:rsid w:val="003B2BD2"/>
    <w:rsid w:val="003B406A"/>
    <w:rsid w:val="003B40A1"/>
    <w:rsid w:val="003B5779"/>
    <w:rsid w:val="003B5D94"/>
    <w:rsid w:val="003B612E"/>
    <w:rsid w:val="003B61D1"/>
    <w:rsid w:val="003B634B"/>
    <w:rsid w:val="003B69DA"/>
    <w:rsid w:val="003B734E"/>
    <w:rsid w:val="003B78D4"/>
    <w:rsid w:val="003B7DA6"/>
    <w:rsid w:val="003C0146"/>
    <w:rsid w:val="003C053A"/>
    <w:rsid w:val="003C0C6C"/>
    <w:rsid w:val="003C10DE"/>
    <w:rsid w:val="003C13BF"/>
    <w:rsid w:val="003C1B88"/>
    <w:rsid w:val="003C5481"/>
    <w:rsid w:val="003C5FEB"/>
    <w:rsid w:val="003C74A2"/>
    <w:rsid w:val="003C7822"/>
    <w:rsid w:val="003C7A7F"/>
    <w:rsid w:val="003D036E"/>
    <w:rsid w:val="003D0D05"/>
    <w:rsid w:val="003D14DC"/>
    <w:rsid w:val="003D1728"/>
    <w:rsid w:val="003D3DBE"/>
    <w:rsid w:val="003D459E"/>
    <w:rsid w:val="003D4FF2"/>
    <w:rsid w:val="003E216A"/>
    <w:rsid w:val="003E27FC"/>
    <w:rsid w:val="003E313C"/>
    <w:rsid w:val="003E4564"/>
    <w:rsid w:val="003E4F52"/>
    <w:rsid w:val="003E6488"/>
    <w:rsid w:val="003F01FF"/>
    <w:rsid w:val="003F0B27"/>
    <w:rsid w:val="003F1741"/>
    <w:rsid w:val="003F28A3"/>
    <w:rsid w:val="003F2D0E"/>
    <w:rsid w:val="003F3035"/>
    <w:rsid w:val="003F60DD"/>
    <w:rsid w:val="00401336"/>
    <w:rsid w:val="00401413"/>
    <w:rsid w:val="00401C4C"/>
    <w:rsid w:val="00401C57"/>
    <w:rsid w:val="00402EFD"/>
    <w:rsid w:val="004034BF"/>
    <w:rsid w:val="00403ABD"/>
    <w:rsid w:val="00404331"/>
    <w:rsid w:val="00404847"/>
    <w:rsid w:val="0040582B"/>
    <w:rsid w:val="004058FA"/>
    <w:rsid w:val="00405CC2"/>
    <w:rsid w:val="00405CC3"/>
    <w:rsid w:val="00406577"/>
    <w:rsid w:val="004071FD"/>
    <w:rsid w:val="00407CB5"/>
    <w:rsid w:val="00407DAF"/>
    <w:rsid w:val="00411AEF"/>
    <w:rsid w:val="004122A2"/>
    <w:rsid w:val="00413135"/>
    <w:rsid w:val="004136B9"/>
    <w:rsid w:val="004140E1"/>
    <w:rsid w:val="004144DE"/>
    <w:rsid w:val="004150C2"/>
    <w:rsid w:val="00415322"/>
    <w:rsid w:val="00416112"/>
    <w:rsid w:val="004161B5"/>
    <w:rsid w:val="00416A6F"/>
    <w:rsid w:val="00417A98"/>
    <w:rsid w:val="00417CA6"/>
    <w:rsid w:val="00421159"/>
    <w:rsid w:val="0042231A"/>
    <w:rsid w:val="00422460"/>
    <w:rsid w:val="00422B2C"/>
    <w:rsid w:val="00423A9B"/>
    <w:rsid w:val="00423DC3"/>
    <w:rsid w:val="004246B5"/>
    <w:rsid w:val="0042511E"/>
    <w:rsid w:val="004252CD"/>
    <w:rsid w:val="004264B6"/>
    <w:rsid w:val="00427863"/>
    <w:rsid w:val="004316D0"/>
    <w:rsid w:val="00433135"/>
    <w:rsid w:val="0043324C"/>
    <w:rsid w:val="00434AC7"/>
    <w:rsid w:val="00435219"/>
    <w:rsid w:val="00436842"/>
    <w:rsid w:val="0043728D"/>
    <w:rsid w:val="00437627"/>
    <w:rsid w:val="0043780E"/>
    <w:rsid w:val="0044090E"/>
    <w:rsid w:val="00441CE2"/>
    <w:rsid w:val="0044361A"/>
    <w:rsid w:val="0044458A"/>
    <w:rsid w:val="0044498D"/>
    <w:rsid w:val="00444D19"/>
    <w:rsid w:val="0044620B"/>
    <w:rsid w:val="004468D2"/>
    <w:rsid w:val="00446B9C"/>
    <w:rsid w:val="0044742D"/>
    <w:rsid w:val="004475CC"/>
    <w:rsid w:val="00447862"/>
    <w:rsid w:val="004478CA"/>
    <w:rsid w:val="00447C5C"/>
    <w:rsid w:val="00447FB9"/>
    <w:rsid w:val="0045207C"/>
    <w:rsid w:val="004537D7"/>
    <w:rsid w:val="0045518E"/>
    <w:rsid w:val="00456845"/>
    <w:rsid w:val="00456D44"/>
    <w:rsid w:val="00457C7A"/>
    <w:rsid w:val="00460772"/>
    <w:rsid w:val="00460F06"/>
    <w:rsid w:val="00461EB4"/>
    <w:rsid w:val="00462830"/>
    <w:rsid w:val="004630FA"/>
    <w:rsid w:val="00463384"/>
    <w:rsid w:val="0046479C"/>
    <w:rsid w:val="00466E13"/>
    <w:rsid w:val="00466EF1"/>
    <w:rsid w:val="004672DA"/>
    <w:rsid w:val="00467AC3"/>
    <w:rsid w:val="00470F6B"/>
    <w:rsid w:val="00470FEA"/>
    <w:rsid w:val="00471091"/>
    <w:rsid w:val="004723BE"/>
    <w:rsid w:val="0047266B"/>
    <w:rsid w:val="004735E3"/>
    <w:rsid w:val="00474120"/>
    <w:rsid w:val="0047539D"/>
    <w:rsid w:val="00476130"/>
    <w:rsid w:val="00481472"/>
    <w:rsid w:val="00481544"/>
    <w:rsid w:val="0048159E"/>
    <w:rsid w:val="004815F3"/>
    <w:rsid w:val="00482201"/>
    <w:rsid w:val="00483B55"/>
    <w:rsid w:val="00484A6F"/>
    <w:rsid w:val="00484B7E"/>
    <w:rsid w:val="004852D1"/>
    <w:rsid w:val="0048649D"/>
    <w:rsid w:val="0048713D"/>
    <w:rsid w:val="004915DE"/>
    <w:rsid w:val="00491631"/>
    <w:rsid w:val="00491CD4"/>
    <w:rsid w:val="00492E59"/>
    <w:rsid w:val="00493C35"/>
    <w:rsid w:val="004945D6"/>
    <w:rsid w:val="00496298"/>
    <w:rsid w:val="0049670D"/>
    <w:rsid w:val="004979EE"/>
    <w:rsid w:val="00497CC8"/>
    <w:rsid w:val="004A06B0"/>
    <w:rsid w:val="004A3371"/>
    <w:rsid w:val="004A3E83"/>
    <w:rsid w:val="004A49C1"/>
    <w:rsid w:val="004A4C77"/>
    <w:rsid w:val="004A4EBB"/>
    <w:rsid w:val="004A5684"/>
    <w:rsid w:val="004A5E74"/>
    <w:rsid w:val="004A61A7"/>
    <w:rsid w:val="004A6A5F"/>
    <w:rsid w:val="004B0877"/>
    <w:rsid w:val="004B08DD"/>
    <w:rsid w:val="004B1A16"/>
    <w:rsid w:val="004B47A3"/>
    <w:rsid w:val="004B5015"/>
    <w:rsid w:val="004B59A3"/>
    <w:rsid w:val="004B5C9D"/>
    <w:rsid w:val="004B78A1"/>
    <w:rsid w:val="004C09AB"/>
    <w:rsid w:val="004C29E6"/>
    <w:rsid w:val="004C2A50"/>
    <w:rsid w:val="004C38A6"/>
    <w:rsid w:val="004C3954"/>
    <w:rsid w:val="004C3D5A"/>
    <w:rsid w:val="004C3F38"/>
    <w:rsid w:val="004C521D"/>
    <w:rsid w:val="004C55DD"/>
    <w:rsid w:val="004C5B2B"/>
    <w:rsid w:val="004C63FC"/>
    <w:rsid w:val="004C675B"/>
    <w:rsid w:val="004C6881"/>
    <w:rsid w:val="004C6F3D"/>
    <w:rsid w:val="004C74AB"/>
    <w:rsid w:val="004C75AC"/>
    <w:rsid w:val="004D0709"/>
    <w:rsid w:val="004D1FEA"/>
    <w:rsid w:val="004D3776"/>
    <w:rsid w:val="004D38B1"/>
    <w:rsid w:val="004D3B44"/>
    <w:rsid w:val="004D4742"/>
    <w:rsid w:val="004D51D1"/>
    <w:rsid w:val="004D5C59"/>
    <w:rsid w:val="004D5EAE"/>
    <w:rsid w:val="004D7FFB"/>
    <w:rsid w:val="004E0B63"/>
    <w:rsid w:val="004E2AEC"/>
    <w:rsid w:val="004E2C57"/>
    <w:rsid w:val="004E301C"/>
    <w:rsid w:val="004E3B9C"/>
    <w:rsid w:val="004E3E47"/>
    <w:rsid w:val="004E6451"/>
    <w:rsid w:val="004E69F1"/>
    <w:rsid w:val="004F0EE8"/>
    <w:rsid w:val="004F1002"/>
    <w:rsid w:val="004F1B3B"/>
    <w:rsid w:val="004F2D45"/>
    <w:rsid w:val="004F2DAD"/>
    <w:rsid w:val="004F3646"/>
    <w:rsid w:val="004F3C18"/>
    <w:rsid w:val="004F48AE"/>
    <w:rsid w:val="004F4CB4"/>
    <w:rsid w:val="004F4E42"/>
    <w:rsid w:val="004F50B8"/>
    <w:rsid w:val="004F737F"/>
    <w:rsid w:val="005015A7"/>
    <w:rsid w:val="00501AC6"/>
    <w:rsid w:val="00501B81"/>
    <w:rsid w:val="00501B88"/>
    <w:rsid w:val="005037F1"/>
    <w:rsid w:val="00504A5E"/>
    <w:rsid w:val="00504B61"/>
    <w:rsid w:val="00505733"/>
    <w:rsid w:val="005073CD"/>
    <w:rsid w:val="00507969"/>
    <w:rsid w:val="00510A2F"/>
    <w:rsid w:val="0051137A"/>
    <w:rsid w:val="005118B4"/>
    <w:rsid w:val="00511B33"/>
    <w:rsid w:val="00511EB0"/>
    <w:rsid w:val="00512645"/>
    <w:rsid w:val="00512717"/>
    <w:rsid w:val="00512A77"/>
    <w:rsid w:val="005145F1"/>
    <w:rsid w:val="00515E0C"/>
    <w:rsid w:val="00516EBA"/>
    <w:rsid w:val="00517B7E"/>
    <w:rsid w:val="00517EC7"/>
    <w:rsid w:val="005213E6"/>
    <w:rsid w:val="00522168"/>
    <w:rsid w:val="00522953"/>
    <w:rsid w:val="00525C3F"/>
    <w:rsid w:val="00525F22"/>
    <w:rsid w:val="00525FD9"/>
    <w:rsid w:val="00526C4B"/>
    <w:rsid w:val="0052704A"/>
    <w:rsid w:val="005307AE"/>
    <w:rsid w:val="00530BD6"/>
    <w:rsid w:val="00530EFA"/>
    <w:rsid w:val="00533DB4"/>
    <w:rsid w:val="00533DD3"/>
    <w:rsid w:val="00533E5C"/>
    <w:rsid w:val="005344EF"/>
    <w:rsid w:val="00534C9C"/>
    <w:rsid w:val="005366B3"/>
    <w:rsid w:val="00540BD3"/>
    <w:rsid w:val="0054246F"/>
    <w:rsid w:val="00544E0D"/>
    <w:rsid w:val="005465A8"/>
    <w:rsid w:val="00546D74"/>
    <w:rsid w:val="00546FA3"/>
    <w:rsid w:val="005479B5"/>
    <w:rsid w:val="00550FB6"/>
    <w:rsid w:val="00552188"/>
    <w:rsid w:val="0055345F"/>
    <w:rsid w:val="00553AC6"/>
    <w:rsid w:val="00553FA1"/>
    <w:rsid w:val="005566CE"/>
    <w:rsid w:val="005572AC"/>
    <w:rsid w:val="005576B5"/>
    <w:rsid w:val="005621FB"/>
    <w:rsid w:val="0056298C"/>
    <w:rsid w:val="00563205"/>
    <w:rsid w:val="00563AE6"/>
    <w:rsid w:val="00564768"/>
    <w:rsid w:val="00565125"/>
    <w:rsid w:val="00565316"/>
    <w:rsid w:val="00565862"/>
    <w:rsid w:val="00566735"/>
    <w:rsid w:val="00570F42"/>
    <w:rsid w:val="0057239C"/>
    <w:rsid w:val="00572FDA"/>
    <w:rsid w:val="00573089"/>
    <w:rsid w:val="00575CB2"/>
    <w:rsid w:val="00576D5A"/>
    <w:rsid w:val="0057786C"/>
    <w:rsid w:val="00577C27"/>
    <w:rsid w:val="005802AD"/>
    <w:rsid w:val="00580678"/>
    <w:rsid w:val="005826B8"/>
    <w:rsid w:val="00586690"/>
    <w:rsid w:val="00587681"/>
    <w:rsid w:val="005902A9"/>
    <w:rsid w:val="00590830"/>
    <w:rsid w:val="00590CF9"/>
    <w:rsid w:val="00590F15"/>
    <w:rsid w:val="00591C87"/>
    <w:rsid w:val="00591EB2"/>
    <w:rsid w:val="00592066"/>
    <w:rsid w:val="0059289B"/>
    <w:rsid w:val="00593533"/>
    <w:rsid w:val="0059374F"/>
    <w:rsid w:val="00593BEE"/>
    <w:rsid w:val="00593D8B"/>
    <w:rsid w:val="005940A1"/>
    <w:rsid w:val="00595F0D"/>
    <w:rsid w:val="00596D2C"/>
    <w:rsid w:val="00597B2C"/>
    <w:rsid w:val="005A02C7"/>
    <w:rsid w:val="005A03A7"/>
    <w:rsid w:val="005A0405"/>
    <w:rsid w:val="005A185C"/>
    <w:rsid w:val="005A2821"/>
    <w:rsid w:val="005A34DA"/>
    <w:rsid w:val="005A43F7"/>
    <w:rsid w:val="005A570E"/>
    <w:rsid w:val="005A6079"/>
    <w:rsid w:val="005A65DE"/>
    <w:rsid w:val="005A796A"/>
    <w:rsid w:val="005B0E33"/>
    <w:rsid w:val="005B1675"/>
    <w:rsid w:val="005B1C79"/>
    <w:rsid w:val="005B3FD5"/>
    <w:rsid w:val="005B4EF3"/>
    <w:rsid w:val="005B5206"/>
    <w:rsid w:val="005B5282"/>
    <w:rsid w:val="005B52DA"/>
    <w:rsid w:val="005B5340"/>
    <w:rsid w:val="005B7C22"/>
    <w:rsid w:val="005C1B0C"/>
    <w:rsid w:val="005C20F1"/>
    <w:rsid w:val="005C2567"/>
    <w:rsid w:val="005C2666"/>
    <w:rsid w:val="005C2E25"/>
    <w:rsid w:val="005C3A6E"/>
    <w:rsid w:val="005C3CA0"/>
    <w:rsid w:val="005C557F"/>
    <w:rsid w:val="005C5B1C"/>
    <w:rsid w:val="005C5D48"/>
    <w:rsid w:val="005C5ED5"/>
    <w:rsid w:val="005D182F"/>
    <w:rsid w:val="005D22BB"/>
    <w:rsid w:val="005D2C12"/>
    <w:rsid w:val="005D39E6"/>
    <w:rsid w:val="005D4690"/>
    <w:rsid w:val="005D53CE"/>
    <w:rsid w:val="005D64D0"/>
    <w:rsid w:val="005D6B4A"/>
    <w:rsid w:val="005D6BAF"/>
    <w:rsid w:val="005E2461"/>
    <w:rsid w:val="005E2C9F"/>
    <w:rsid w:val="005E3215"/>
    <w:rsid w:val="005E37F7"/>
    <w:rsid w:val="005E4903"/>
    <w:rsid w:val="005E565F"/>
    <w:rsid w:val="005E615B"/>
    <w:rsid w:val="005E70BD"/>
    <w:rsid w:val="005E7394"/>
    <w:rsid w:val="005F1D00"/>
    <w:rsid w:val="005F1F3D"/>
    <w:rsid w:val="005F215F"/>
    <w:rsid w:val="005F21D7"/>
    <w:rsid w:val="005F2573"/>
    <w:rsid w:val="005F28C4"/>
    <w:rsid w:val="005F313D"/>
    <w:rsid w:val="005F38F3"/>
    <w:rsid w:val="005F4A2F"/>
    <w:rsid w:val="005F5302"/>
    <w:rsid w:val="005F5E73"/>
    <w:rsid w:val="005F64B6"/>
    <w:rsid w:val="005F6625"/>
    <w:rsid w:val="005F7362"/>
    <w:rsid w:val="00600CD7"/>
    <w:rsid w:val="00601074"/>
    <w:rsid w:val="00602F0B"/>
    <w:rsid w:val="00603148"/>
    <w:rsid w:val="00604D61"/>
    <w:rsid w:val="0060652D"/>
    <w:rsid w:val="00606584"/>
    <w:rsid w:val="00607E81"/>
    <w:rsid w:val="00607E9E"/>
    <w:rsid w:val="00607F83"/>
    <w:rsid w:val="00610328"/>
    <w:rsid w:val="00611041"/>
    <w:rsid w:val="006117FB"/>
    <w:rsid w:val="0061328C"/>
    <w:rsid w:val="00615AF7"/>
    <w:rsid w:val="00615B9D"/>
    <w:rsid w:val="006161D6"/>
    <w:rsid w:val="00616F59"/>
    <w:rsid w:val="00617736"/>
    <w:rsid w:val="0062081B"/>
    <w:rsid w:val="006212E6"/>
    <w:rsid w:val="00622F13"/>
    <w:rsid w:val="00623A91"/>
    <w:rsid w:val="00623BAF"/>
    <w:rsid w:val="006244CF"/>
    <w:rsid w:val="00624B20"/>
    <w:rsid w:val="00626173"/>
    <w:rsid w:val="006272D6"/>
    <w:rsid w:val="0063046A"/>
    <w:rsid w:val="0063055A"/>
    <w:rsid w:val="00630C98"/>
    <w:rsid w:val="00631D0F"/>
    <w:rsid w:val="0063320A"/>
    <w:rsid w:val="0063368D"/>
    <w:rsid w:val="00633906"/>
    <w:rsid w:val="00633E31"/>
    <w:rsid w:val="00635DA6"/>
    <w:rsid w:val="006375F0"/>
    <w:rsid w:val="00637EAF"/>
    <w:rsid w:val="00637EDD"/>
    <w:rsid w:val="006407D8"/>
    <w:rsid w:val="00641BB5"/>
    <w:rsid w:val="00641CFF"/>
    <w:rsid w:val="00641EE0"/>
    <w:rsid w:val="00642B06"/>
    <w:rsid w:val="00643F5E"/>
    <w:rsid w:val="00644F51"/>
    <w:rsid w:val="00645D88"/>
    <w:rsid w:val="0064618B"/>
    <w:rsid w:val="00647699"/>
    <w:rsid w:val="00647734"/>
    <w:rsid w:val="0064790D"/>
    <w:rsid w:val="006503B7"/>
    <w:rsid w:val="00651145"/>
    <w:rsid w:val="006524D7"/>
    <w:rsid w:val="0065301A"/>
    <w:rsid w:val="00653129"/>
    <w:rsid w:val="00653453"/>
    <w:rsid w:val="00653B30"/>
    <w:rsid w:val="00653C73"/>
    <w:rsid w:val="00655A7C"/>
    <w:rsid w:val="00655A80"/>
    <w:rsid w:val="00657723"/>
    <w:rsid w:val="00660639"/>
    <w:rsid w:val="00661C68"/>
    <w:rsid w:val="00663232"/>
    <w:rsid w:val="006635C2"/>
    <w:rsid w:val="00663C19"/>
    <w:rsid w:val="00663C92"/>
    <w:rsid w:val="00663FB0"/>
    <w:rsid w:val="00665AAD"/>
    <w:rsid w:val="00666A94"/>
    <w:rsid w:val="00667DA2"/>
    <w:rsid w:val="00670924"/>
    <w:rsid w:val="00671441"/>
    <w:rsid w:val="00671D52"/>
    <w:rsid w:val="0067497D"/>
    <w:rsid w:val="00674D14"/>
    <w:rsid w:val="006753CC"/>
    <w:rsid w:val="00675A98"/>
    <w:rsid w:val="0067667C"/>
    <w:rsid w:val="00680731"/>
    <w:rsid w:val="006809C8"/>
    <w:rsid w:val="0068180B"/>
    <w:rsid w:val="006820CE"/>
    <w:rsid w:val="006820D6"/>
    <w:rsid w:val="0068221B"/>
    <w:rsid w:val="00683813"/>
    <w:rsid w:val="006858E5"/>
    <w:rsid w:val="00686D54"/>
    <w:rsid w:val="00686D9A"/>
    <w:rsid w:val="00687496"/>
    <w:rsid w:val="006875B5"/>
    <w:rsid w:val="00687D7B"/>
    <w:rsid w:val="00691943"/>
    <w:rsid w:val="00691A6D"/>
    <w:rsid w:val="00691DCC"/>
    <w:rsid w:val="0069207C"/>
    <w:rsid w:val="0069243D"/>
    <w:rsid w:val="00693C89"/>
    <w:rsid w:val="00693FD3"/>
    <w:rsid w:val="00694035"/>
    <w:rsid w:val="00694BCF"/>
    <w:rsid w:val="006951ED"/>
    <w:rsid w:val="006953A1"/>
    <w:rsid w:val="00696BB2"/>
    <w:rsid w:val="006979CE"/>
    <w:rsid w:val="00697A4C"/>
    <w:rsid w:val="006A0DE3"/>
    <w:rsid w:val="006A139B"/>
    <w:rsid w:val="006A16FB"/>
    <w:rsid w:val="006A1BAF"/>
    <w:rsid w:val="006A409D"/>
    <w:rsid w:val="006A55AD"/>
    <w:rsid w:val="006A7E95"/>
    <w:rsid w:val="006B0ED5"/>
    <w:rsid w:val="006B1727"/>
    <w:rsid w:val="006B1E17"/>
    <w:rsid w:val="006B51AB"/>
    <w:rsid w:val="006B717D"/>
    <w:rsid w:val="006B7A9D"/>
    <w:rsid w:val="006C09BA"/>
    <w:rsid w:val="006C13F6"/>
    <w:rsid w:val="006C1883"/>
    <w:rsid w:val="006C32CD"/>
    <w:rsid w:val="006C61F3"/>
    <w:rsid w:val="006C6935"/>
    <w:rsid w:val="006C729E"/>
    <w:rsid w:val="006D11EF"/>
    <w:rsid w:val="006D1CEF"/>
    <w:rsid w:val="006D1CF4"/>
    <w:rsid w:val="006D213E"/>
    <w:rsid w:val="006D4341"/>
    <w:rsid w:val="006D46B0"/>
    <w:rsid w:val="006D5C3D"/>
    <w:rsid w:val="006D725C"/>
    <w:rsid w:val="006E15FE"/>
    <w:rsid w:val="006E1ADF"/>
    <w:rsid w:val="006E23EB"/>
    <w:rsid w:val="006E3B3F"/>
    <w:rsid w:val="006E4CEE"/>
    <w:rsid w:val="006E5650"/>
    <w:rsid w:val="006E63D1"/>
    <w:rsid w:val="006E6D9A"/>
    <w:rsid w:val="006E71D3"/>
    <w:rsid w:val="006F041B"/>
    <w:rsid w:val="006F1069"/>
    <w:rsid w:val="006F1B91"/>
    <w:rsid w:val="006F352B"/>
    <w:rsid w:val="006F738D"/>
    <w:rsid w:val="006F794A"/>
    <w:rsid w:val="006F7A87"/>
    <w:rsid w:val="007000CD"/>
    <w:rsid w:val="007011AC"/>
    <w:rsid w:val="00701BA3"/>
    <w:rsid w:val="00701C3F"/>
    <w:rsid w:val="0070385E"/>
    <w:rsid w:val="00705777"/>
    <w:rsid w:val="007106B7"/>
    <w:rsid w:val="00710C3D"/>
    <w:rsid w:val="0071320F"/>
    <w:rsid w:val="007135AF"/>
    <w:rsid w:val="00713E3B"/>
    <w:rsid w:val="00714528"/>
    <w:rsid w:val="00714BF5"/>
    <w:rsid w:val="0071596B"/>
    <w:rsid w:val="007161F9"/>
    <w:rsid w:val="00716396"/>
    <w:rsid w:val="00716AC3"/>
    <w:rsid w:val="007173BF"/>
    <w:rsid w:val="007173D2"/>
    <w:rsid w:val="00720C89"/>
    <w:rsid w:val="00721649"/>
    <w:rsid w:val="0072197B"/>
    <w:rsid w:val="00722757"/>
    <w:rsid w:val="0072359C"/>
    <w:rsid w:val="0072409A"/>
    <w:rsid w:val="007241F8"/>
    <w:rsid w:val="007246BD"/>
    <w:rsid w:val="007246DA"/>
    <w:rsid w:val="007249AF"/>
    <w:rsid w:val="00725726"/>
    <w:rsid w:val="00725759"/>
    <w:rsid w:val="00727065"/>
    <w:rsid w:val="00727948"/>
    <w:rsid w:val="00727B51"/>
    <w:rsid w:val="007300FE"/>
    <w:rsid w:val="00730640"/>
    <w:rsid w:val="0073207C"/>
    <w:rsid w:val="00732DF4"/>
    <w:rsid w:val="00732EDC"/>
    <w:rsid w:val="00732F53"/>
    <w:rsid w:val="007334F9"/>
    <w:rsid w:val="007341F8"/>
    <w:rsid w:val="007342C5"/>
    <w:rsid w:val="0073515E"/>
    <w:rsid w:val="00737933"/>
    <w:rsid w:val="0074125A"/>
    <w:rsid w:val="00742577"/>
    <w:rsid w:val="00743D73"/>
    <w:rsid w:val="00743EA9"/>
    <w:rsid w:val="007460E6"/>
    <w:rsid w:val="0074653B"/>
    <w:rsid w:val="00746A41"/>
    <w:rsid w:val="00747C80"/>
    <w:rsid w:val="00750211"/>
    <w:rsid w:val="00751878"/>
    <w:rsid w:val="00752C50"/>
    <w:rsid w:val="00752CE0"/>
    <w:rsid w:val="007539B2"/>
    <w:rsid w:val="00753C44"/>
    <w:rsid w:val="00754635"/>
    <w:rsid w:val="007564A2"/>
    <w:rsid w:val="00756BAC"/>
    <w:rsid w:val="00760AE8"/>
    <w:rsid w:val="00761F32"/>
    <w:rsid w:val="0076238B"/>
    <w:rsid w:val="0076274A"/>
    <w:rsid w:val="007628E9"/>
    <w:rsid w:val="007640D7"/>
    <w:rsid w:val="00764836"/>
    <w:rsid w:val="00764911"/>
    <w:rsid w:val="0076506D"/>
    <w:rsid w:val="00766976"/>
    <w:rsid w:val="00766C51"/>
    <w:rsid w:val="00767635"/>
    <w:rsid w:val="007706D3"/>
    <w:rsid w:val="00770917"/>
    <w:rsid w:val="00770CCC"/>
    <w:rsid w:val="00772919"/>
    <w:rsid w:val="00772950"/>
    <w:rsid w:val="007730F9"/>
    <w:rsid w:val="00774371"/>
    <w:rsid w:val="007768AF"/>
    <w:rsid w:val="00777028"/>
    <w:rsid w:val="007773A2"/>
    <w:rsid w:val="00777449"/>
    <w:rsid w:val="00781259"/>
    <w:rsid w:val="007817C3"/>
    <w:rsid w:val="00781E1E"/>
    <w:rsid w:val="007835B7"/>
    <w:rsid w:val="00783CD3"/>
    <w:rsid w:val="007843F3"/>
    <w:rsid w:val="0078448C"/>
    <w:rsid w:val="00784968"/>
    <w:rsid w:val="00784D53"/>
    <w:rsid w:val="0078775E"/>
    <w:rsid w:val="00787BD2"/>
    <w:rsid w:val="00790211"/>
    <w:rsid w:val="00790528"/>
    <w:rsid w:val="007905E5"/>
    <w:rsid w:val="007910CF"/>
    <w:rsid w:val="00792AF8"/>
    <w:rsid w:val="00795AF2"/>
    <w:rsid w:val="00796FC1"/>
    <w:rsid w:val="007A1FA8"/>
    <w:rsid w:val="007A37AF"/>
    <w:rsid w:val="007A3B68"/>
    <w:rsid w:val="007A4007"/>
    <w:rsid w:val="007A4144"/>
    <w:rsid w:val="007A4BCE"/>
    <w:rsid w:val="007A54CA"/>
    <w:rsid w:val="007A5746"/>
    <w:rsid w:val="007A58B3"/>
    <w:rsid w:val="007A6456"/>
    <w:rsid w:val="007A6FB5"/>
    <w:rsid w:val="007A708B"/>
    <w:rsid w:val="007B0730"/>
    <w:rsid w:val="007B1413"/>
    <w:rsid w:val="007B3D44"/>
    <w:rsid w:val="007B483E"/>
    <w:rsid w:val="007B6812"/>
    <w:rsid w:val="007B6A27"/>
    <w:rsid w:val="007B7C27"/>
    <w:rsid w:val="007C0703"/>
    <w:rsid w:val="007C0783"/>
    <w:rsid w:val="007C0F47"/>
    <w:rsid w:val="007C0F83"/>
    <w:rsid w:val="007C1121"/>
    <w:rsid w:val="007C1F43"/>
    <w:rsid w:val="007C2E37"/>
    <w:rsid w:val="007C3924"/>
    <w:rsid w:val="007C41D0"/>
    <w:rsid w:val="007C47E8"/>
    <w:rsid w:val="007C54EC"/>
    <w:rsid w:val="007C6334"/>
    <w:rsid w:val="007C6D36"/>
    <w:rsid w:val="007C76AC"/>
    <w:rsid w:val="007C7A41"/>
    <w:rsid w:val="007D0F27"/>
    <w:rsid w:val="007D159E"/>
    <w:rsid w:val="007D21FF"/>
    <w:rsid w:val="007D2DAF"/>
    <w:rsid w:val="007D31B1"/>
    <w:rsid w:val="007D3F97"/>
    <w:rsid w:val="007D4A1F"/>
    <w:rsid w:val="007D4D02"/>
    <w:rsid w:val="007D55F7"/>
    <w:rsid w:val="007D5F92"/>
    <w:rsid w:val="007E1866"/>
    <w:rsid w:val="007E199A"/>
    <w:rsid w:val="007E2786"/>
    <w:rsid w:val="007E2E41"/>
    <w:rsid w:val="007E490C"/>
    <w:rsid w:val="007E53B4"/>
    <w:rsid w:val="007F1B15"/>
    <w:rsid w:val="007F242D"/>
    <w:rsid w:val="007F32B0"/>
    <w:rsid w:val="007F698B"/>
    <w:rsid w:val="007F6CF0"/>
    <w:rsid w:val="007F7483"/>
    <w:rsid w:val="00800E6A"/>
    <w:rsid w:val="008040D2"/>
    <w:rsid w:val="00804C8B"/>
    <w:rsid w:val="00804F0A"/>
    <w:rsid w:val="0080632C"/>
    <w:rsid w:val="00807AA4"/>
    <w:rsid w:val="008122EC"/>
    <w:rsid w:val="00813BA7"/>
    <w:rsid w:val="00814341"/>
    <w:rsid w:val="008147ED"/>
    <w:rsid w:val="00817AC0"/>
    <w:rsid w:val="0082017E"/>
    <w:rsid w:val="00821D85"/>
    <w:rsid w:val="00822840"/>
    <w:rsid w:val="00822F4C"/>
    <w:rsid w:val="0082356A"/>
    <w:rsid w:val="00826798"/>
    <w:rsid w:val="00826A04"/>
    <w:rsid w:val="00826F90"/>
    <w:rsid w:val="00827F97"/>
    <w:rsid w:val="008304E6"/>
    <w:rsid w:val="008307CB"/>
    <w:rsid w:val="00830F7A"/>
    <w:rsid w:val="00831D19"/>
    <w:rsid w:val="00831EB2"/>
    <w:rsid w:val="0083308C"/>
    <w:rsid w:val="00836E24"/>
    <w:rsid w:val="008379F4"/>
    <w:rsid w:val="008411BF"/>
    <w:rsid w:val="0084195A"/>
    <w:rsid w:val="00842943"/>
    <w:rsid w:val="0084476D"/>
    <w:rsid w:val="00845114"/>
    <w:rsid w:val="0084512D"/>
    <w:rsid w:val="00847F8D"/>
    <w:rsid w:val="00851BF6"/>
    <w:rsid w:val="00852857"/>
    <w:rsid w:val="00853EC1"/>
    <w:rsid w:val="00854295"/>
    <w:rsid w:val="008565A7"/>
    <w:rsid w:val="00857C47"/>
    <w:rsid w:val="00857DD9"/>
    <w:rsid w:val="00860315"/>
    <w:rsid w:val="00861388"/>
    <w:rsid w:val="00862310"/>
    <w:rsid w:val="00862B9E"/>
    <w:rsid w:val="00863C32"/>
    <w:rsid w:val="00864967"/>
    <w:rsid w:val="00864B4F"/>
    <w:rsid w:val="008666BD"/>
    <w:rsid w:val="00867283"/>
    <w:rsid w:val="008676F4"/>
    <w:rsid w:val="0086784F"/>
    <w:rsid w:val="00867A03"/>
    <w:rsid w:val="00867B39"/>
    <w:rsid w:val="008710C1"/>
    <w:rsid w:val="00874044"/>
    <w:rsid w:val="008748F5"/>
    <w:rsid w:val="00875167"/>
    <w:rsid w:val="00875796"/>
    <w:rsid w:val="00875C10"/>
    <w:rsid w:val="008764E8"/>
    <w:rsid w:val="008767FA"/>
    <w:rsid w:val="00877353"/>
    <w:rsid w:val="008778B4"/>
    <w:rsid w:val="0088055E"/>
    <w:rsid w:val="0088067F"/>
    <w:rsid w:val="008812E7"/>
    <w:rsid w:val="00884738"/>
    <w:rsid w:val="00884BC8"/>
    <w:rsid w:val="00884DB7"/>
    <w:rsid w:val="00886087"/>
    <w:rsid w:val="008865C2"/>
    <w:rsid w:val="00886D8D"/>
    <w:rsid w:val="00887162"/>
    <w:rsid w:val="00887273"/>
    <w:rsid w:val="008872DD"/>
    <w:rsid w:val="00890CDD"/>
    <w:rsid w:val="00891866"/>
    <w:rsid w:val="008919F8"/>
    <w:rsid w:val="008922DC"/>
    <w:rsid w:val="00893D72"/>
    <w:rsid w:val="00895069"/>
    <w:rsid w:val="00895961"/>
    <w:rsid w:val="00897126"/>
    <w:rsid w:val="00897240"/>
    <w:rsid w:val="00897E5B"/>
    <w:rsid w:val="008A04FE"/>
    <w:rsid w:val="008A0B60"/>
    <w:rsid w:val="008A3275"/>
    <w:rsid w:val="008A3938"/>
    <w:rsid w:val="008A4B3B"/>
    <w:rsid w:val="008A4C78"/>
    <w:rsid w:val="008A54E8"/>
    <w:rsid w:val="008A7149"/>
    <w:rsid w:val="008B337E"/>
    <w:rsid w:val="008B3592"/>
    <w:rsid w:val="008B37D2"/>
    <w:rsid w:val="008B4CC2"/>
    <w:rsid w:val="008B4F32"/>
    <w:rsid w:val="008B55E8"/>
    <w:rsid w:val="008B6DB0"/>
    <w:rsid w:val="008B6DCD"/>
    <w:rsid w:val="008B79C0"/>
    <w:rsid w:val="008C1109"/>
    <w:rsid w:val="008C1F2F"/>
    <w:rsid w:val="008C2E52"/>
    <w:rsid w:val="008C4074"/>
    <w:rsid w:val="008C6527"/>
    <w:rsid w:val="008C6A64"/>
    <w:rsid w:val="008C6B08"/>
    <w:rsid w:val="008C757C"/>
    <w:rsid w:val="008C7DF5"/>
    <w:rsid w:val="008D00D6"/>
    <w:rsid w:val="008D07AA"/>
    <w:rsid w:val="008D0868"/>
    <w:rsid w:val="008D1564"/>
    <w:rsid w:val="008D178B"/>
    <w:rsid w:val="008D2355"/>
    <w:rsid w:val="008D245A"/>
    <w:rsid w:val="008D3CCC"/>
    <w:rsid w:val="008D3DF5"/>
    <w:rsid w:val="008D78F5"/>
    <w:rsid w:val="008E057B"/>
    <w:rsid w:val="008E070C"/>
    <w:rsid w:val="008E26D2"/>
    <w:rsid w:val="008E28BE"/>
    <w:rsid w:val="008E4487"/>
    <w:rsid w:val="008E51A1"/>
    <w:rsid w:val="008E6199"/>
    <w:rsid w:val="008E6C81"/>
    <w:rsid w:val="008E7A88"/>
    <w:rsid w:val="008F0E13"/>
    <w:rsid w:val="008F3658"/>
    <w:rsid w:val="008F3C96"/>
    <w:rsid w:val="008F411E"/>
    <w:rsid w:val="008F4229"/>
    <w:rsid w:val="008F48B9"/>
    <w:rsid w:val="008F5EAD"/>
    <w:rsid w:val="008F6EB9"/>
    <w:rsid w:val="00900DC8"/>
    <w:rsid w:val="00900E67"/>
    <w:rsid w:val="009038FD"/>
    <w:rsid w:val="00903964"/>
    <w:rsid w:val="00905A6C"/>
    <w:rsid w:val="00906560"/>
    <w:rsid w:val="00907370"/>
    <w:rsid w:val="00907402"/>
    <w:rsid w:val="00907566"/>
    <w:rsid w:val="009102EB"/>
    <w:rsid w:val="00910496"/>
    <w:rsid w:val="009110E2"/>
    <w:rsid w:val="009125C8"/>
    <w:rsid w:val="009144FE"/>
    <w:rsid w:val="0091797C"/>
    <w:rsid w:val="00920027"/>
    <w:rsid w:val="00921246"/>
    <w:rsid w:val="00921426"/>
    <w:rsid w:val="009222A6"/>
    <w:rsid w:val="009228F8"/>
    <w:rsid w:val="00922C50"/>
    <w:rsid w:val="009242EA"/>
    <w:rsid w:val="00924A92"/>
    <w:rsid w:val="0092542C"/>
    <w:rsid w:val="00925654"/>
    <w:rsid w:val="009263C6"/>
    <w:rsid w:val="00926F2F"/>
    <w:rsid w:val="0092762C"/>
    <w:rsid w:val="009302F9"/>
    <w:rsid w:val="0093091B"/>
    <w:rsid w:val="009315FA"/>
    <w:rsid w:val="00932A21"/>
    <w:rsid w:val="00932C2E"/>
    <w:rsid w:val="00932CB1"/>
    <w:rsid w:val="0093386A"/>
    <w:rsid w:val="00933C1A"/>
    <w:rsid w:val="00934D4E"/>
    <w:rsid w:val="00935A94"/>
    <w:rsid w:val="00937A03"/>
    <w:rsid w:val="00937BB7"/>
    <w:rsid w:val="0094099B"/>
    <w:rsid w:val="00941878"/>
    <w:rsid w:val="00941934"/>
    <w:rsid w:val="009422B1"/>
    <w:rsid w:val="00942FAD"/>
    <w:rsid w:val="00946184"/>
    <w:rsid w:val="00946DAE"/>
    <w:rsid w:val="00947347"/>
    <w:rsid w:val="00950742"/>
    <w:rsid w:val="00950953"/>
    <w:rsid w:val="00950DD2"/>
    <w:rsid w:val="009510B8"/>
    <w:rsid w:val="00952340"/>
    <w:rsid w:val="00952E58"/>
    <w:rsid w:val="009530DB"/>
    <w:rsid w:val="00953985"/>
    <w:rsid w:val="00954327"/>
    <w:rsid w:val="009543DF"/>
    <w:rsid w:val="00955176"/>
    <w:rsid w:val="009551AB"/>
    <w:rsid w:val="00955AC0"/>
    <w:rsid w:val="0095646C"/>
    <w:rsid w:val="00956719"/>
    <w:rsid w:val="00957A1B"/>
    <w:rsid w:val="00957B0C"/>
    <w:rsid w:val="0096054C"/>
    <w:rsid w:val="009608D0"/>
    <w:rsid w:val="0096206A"/>
    <w:rsid w:val="009621C4"/>
    <w:rsid w:val="00965033"/>
    <w:rsid w:val="009655C3"/>
    <w:rsid w:val="00966CE2"/>
    <w:rsid w:val="00966D38"/>
    <w:rsid w:val="009713BC"/>
    <w:rsid w:val="00971EA8"/>
    <w:rsid w:val="009720F7"/>
    <w:rsid w:val="009735DB"/>
    <w:rsid w:val="009738F0"/>
    <w:rsid w:val="009743B6"/>
    <w:rsid w:val="00974BEC"/>
    <w:rsid w:val="00974D68"/>
    <w:rsid w:val="00975B03"/>
    <w:rsid w:val="00976A7F"/>
    <w:rsid w:val="00976BBC"/>
    <w:rsid w:val="009773CA"/>
    <w:rsid w:val="0097771B"/>
    <w:rsid w:val="0097777B"/>
    <w:rsid w:val="009810C7"/>
    <w:rsid w:val="009823AD"/>
    <w:rsid w:val="00982B06"/>
    <w:rsid w:val="00983009"/>
    <w:rsid w:val="00984297"/>
    <w:rsid w:val="00986979"/>
    <w:rsid w:val="00987E16"/>
    <w:rsid w:val="00987E83"/>
    <w:rsid w:val="0099039A"/>
    <w:rsid w:val="00990533"/>
    <w:rsid w:val="00991324"/>
    <w:rsid w:val="00991D63"/>
    <w:rsid w:val="00992777"/>
    <w:rsid w:val="009929C1"/>
    <w:rsid w:val="00992FF6"/>
    <w:rsid w:val="00993759"/>
    <w:rsid w:val="00993E6A"/>
    <w:rsid w:val="00995A12"/>
    <w:rsid w:val="00995B0B"/>
    <w:rsid w:val="009961E7"/>
    <w:rsid w:val="009974BA"/>
    <w:rsid w:val="009A0036"/>
    <w:rsid w:val="009A0E44"/>
    <w:rsid w:val="009A128E"/>
    <w:rsid w:val="009A287F"/>
    <w:rsid w:val="009A2DB7"/>
    <w:rsid w:val="009A38ED"/>
    <w:rsid w:val="009A5B90"/>
    <w:rsid w:val="009B01EA"/>
    <w:rsid w:val="009B0BFB"/>
    <w:rsid w:val="009B3417"/>
    <w:rsid w:val="009B37CD"/>
    <w:rsid w:val="009B37D8"/>
    <w:rsid w:val="009B3B06"/>
    <w:rsid w:val="009B50D3"/>
    <w:rsid w:val="009B55A3"/>
    <w:rsid w:val="009B7B9F"/>
    <w:rsid w:val="009C00D0"/>
    <w:rsid w:val="009C0A87"/>
    <w:rsid w:val="009C1DA7"/>
    <w:rsid w:val="009C20FA"/>
    <w:rsid w:val="009C4087"/>
    <w:rsid w:val="009C41BE"/>
    <w:rsid w:val="009C75EE"/>
    <w:rsid w:val="009C7C26"/>
    <w:rsid w:val="009D0236"/>
    <w:rsid w:val="009D178B"/>
    <w:rsid w:val="009D19DC"/>
    <w:rsid w:val="009D1CE1"/>
    <w:rsid w:val="009D2084"/>
    <w:rsid w:val="009D390A"/>
    <w:rsid w:val="009D485F"/>
    <w:rsid w:val="009D5787"/>
    <w:rsid w:val="009D7CAB"/>
    <w:rsid w:val="009E0856"/>
    <w:rsid w:val="009E0DC2"/>
    <w:rsid w:val="009E1AAE"/>
    <w:rsid w:val="009E23DE"/>
    <w:rsid w:val="009E30BE"/>
    <w:rsid w:val="009E34D7"/>
    <w:rsid w:val="009E3F64"/>
    <w:rsid w:val="009E4584"/>
    <w:rsid w:val="009E45FF"/>
    <w:rsid w:val="009E5041"/>
    <w:rsid w:val="009E56A7"/>
    <w:rsid w:val="009E5B3F"/>
    <w:rsid w:val="009E69F7"/>
    <w:rsid w:val="009E7986"/>
    <w:rsid w:val="009E79B6"/>
    <w:rsid w:val="009F0C48"/>
    <w:rsid w:val="009F1B58"/>
    <w:rsid w:val="009F43E0"/>
    <w:rsid w:val="009F46A6"/>
    <w:rsid w:val="009F5252"/>
    <w:rsid w:val="009F52E9"/>
    <w:rsid w:val="009F5680"/>
    <w:rsid w:val="009F5ED1"/>
    <w:rsid w:val="009F6C8B"/>
    <w:rsid w:val="009F6F44"/>
    <w:rsid w:val="00A00202"/>
    <w:rsid w:val="00A004F4"/>
    <w:rsid w:val="00A00C40"/>
    <w:rsid w:val="00A018E5"/>
    <w:rsid w:val="00A02943"/>
    <w:rsid w:val="00A03973"/>
    <w:rsid w:val="00A03FF5"/>
    <w:rsid w:val="00A0401F"/>
    <w:rsid w:val="00A073F4"/>
    <w:rsid w:val="00A07621"/>
    <w:rsid w:val="00A07AE4"/>
    <w:rsid w:val="00A07CE5"/>
    <w:rsid w:val="00A104D9"/>
    <w:rsid w:val="00A10AC9"/>
    <w:rsid w:val="00A117AE"/>
    <w:rsid w:val="00A11D2E"/>
    <w:rsid w:val="00A122E2"/>
    <w:rsid w:val="00A12883"/>
    <w:rsid w:val="00A12948"/>
    <w:rsid w:val="00A132A7"/>
    <w:rsid w:val="00A15853"/>
    <w:rsid w:val="00A15BC0"/>
    <w:rsid w:val="00A21FF7"/>
    <w:rsid w:val="00A22993"/>
    <w:rsid w:val="00A22A02"/>
    <w:rsid w:val="00A23289"/>
    <w:rsid w:val="00A25A06"/>
    <w:rsid w:val="00A262E7"/>
    <w:rsid w:val="00A304B4"/>
    <w:rsid w:val="00A31028"/>
    <w:rsid w:val="00A310A8"/>
    <w:rsid w:val="00A32F7F"/>
    <w:rsid w:val="00A34010"/>
    <w:rsid w:val="00A351FE"/>
    <w:rsid w:val="00A36148"/>
    <w:rsid w:val="00A3622B"/>
    <w:rsid w:val="00A40070"/>
    <w:rsid w:val="00A41DBF"/>
    <w:rsid w:val="00A444C7"/>
    <w:rsid w:val="00A46496"/>
    <w:rsid w:val="00A467F1"/>
    <w:rsid w:val="00A47501"/>
    <w:rsid w:val="00A47E7E"/>
    <w:rsid w:val="00A50389"/>
    <w:rsid w:val="00A50F13"/>
    <w:rsid w:val="00A51242"/>
    <w:rsid w:val="00A51EF4"/>
    <w:rsid w:val="00A52AB7"/>
    <w:rsid w:val="00A54FC4"/>
    <w:rsid w:val="00A5562B"/>
    <w:rsid w:val="00A55751"/>
    <w:rsid w:val="00A55E81"/>
    <w:rsid w:val="00A56180"/>
    <w:rsid w:val="00A566D4"/>
    <w:rsid w:val="00A56C33"/>
    <w:rsid w:val="00A56C9C"/>
    <w:rsid w:val="00A57533"/>
    <w:rsid w:val="00A57BFC"/>
    <w:rsid w:val="00A60006"/>
    <w:rsid w:val="00A64243"/>
    <w:rsid w:val="00A66270"/>
    <w:rsid w:val="00A67DE2"/>
    <w:rsid w:val="00A70F6D"/>
    <w:rsid w:val="00A71BB5"/>
    <w:rsid w:val="00A721AC"/>
    <w:rsid w:val="00A72B68"/>
    <w:rsid w:val="00A7572C"/>
    <w:rsid w:val="00A76B4E"/>
    <w:rsid w:val="00A770B3"/>
    <w:rsid w:val="00A779E4"/>
    <w:rsid w:val="00A8069F"/>
    <w:rsid w:val="00A807EB"/>
    <w:rsid w:val="00A82E36"/>
    <w:rsid w:val="00A84E9C"/>
    <w:rsid w:val="00A85285"/>
    <w:rsid w:val="00A85509"/>
    <w:rsid w:val="00A86075"/>
    <w:rsid w:val="00A86D64"/>
    <w:rsid w:val="00A87F71"/>
    <w:rsid w:val="00A90323"/>
    <w:rsid w:val="00A910EC"/>
    <w:rsid w:val="00A91836"/>
    <w:rsid w:val="00A93D0A"/>
    <w:rsid w:val="00A976C1"/>
    <w:rsid w:val="00A97C37"/>
    <w:rsid w:val="00AA241D"/>
    <w:rsid w:val="00AA46AA"/>
    <w:rsid w:val="00AA47A8"/>
    <w:rsid w:val="00AA48FB"/>
    <w:rsid w:val="00AA4E68"/>
    <w:rsid w:val="00AA5A67"/>
    <w:rsid w:val="00AA5C9C"/>
    <w:rsid w:val="00AA6A1B"/>
    <w:rsid w:val="00AA7529"/>
    <w:rsid w:val="00AB0DD3"/>
    <w:rsid w:val="00AB27EB"/>
    <w:rsid w:val="00AB28C0"/>
    <w:rsid w:val="00AB4F22"/>
    <w:rsid w:val="00AB5AA5"/>
    <w:rsid w:val="00AB6018"/>
    <w:rsid w:val="00AB6BFE"/>
    <w:rsid w:val="00AC0542"/>
    <w:rsid w:val="00AC281A"/>
    <w:rsid w:val="00AC2D36"/>
    <w:rsid w:val="00AC2E5D"/>
    <w:rsid w:val="00AC3E09"/>
    <w:rsid w:val="00AC5181"/>
    <w:rsid w:val="00AC6222"/>
    <w:rsid w:val="00AC7779"/>
    <w:rsid w:val="00AC7942"/>
    <w:rsid w:val="00AD2C73"/>
    <w:rsid w:val="00AD384D"/>
    <w:rsid w:val="00AD46DE"/>
    <w:rsid w:val="00AD77F1"/>
    <w:rsid w:val="00AE05D4"/>
    <w:rsid w:val="00AE2135"/>
    <w:rsid w:val="00AE268E"/>
    <w:rsid w:val="00AE314B"/>
    <w:rsid w:val="00AE4398"/>
    <w:rsid w:val="00AE4892"/>
    <w:rsid w:val="00AE56DC"/>
    <w:rsid w:val="00AF05FF"/>
    <w:rsid w:val="00AF0911"/>
    <w:rsid w:val="00AF11A9"/>
    <w:rsid w:val="00AF2729"/>
    <w:rsid w:val="00AF71CD"/>
    <w:rsid w:val="00AF74EA"/>
    <w:rsid w:val="00B008F1"/>
    <w:rsid w:val="00B02140"/>
    <w:rsid w:val="00B0279C"/>
    <w:rsid w:val="00B033E0"/>
    <w:rsid w:val="00B03A43"/>
    <w:rsid w:val="00B04187"/>
    <w:rsid w:val="00B04F97"/>
    <w:rsid w:val="00B057CF"/>
    <w:rsid w:val="00B05E3A"/>
    <w:rsid w:val="00B061A0"/>
    <w:rsid w:val="00B06969"/>
    <w:rsid w:val="00B072AE"/>
    <w:rsid w:val="00B075D9"/>
    <w:rsid w:val="00B10648"/>
    <w:rsid w:val="00B10DC7"/>
    <w:rsid w:val="00B12EF6"/>
    <w:rsid w:val="00B133D5"/>
    <w:rsid w:val="00B137FD"/>
    <w:rsid w:val="00B13CF4"/>
    <w:rsid w:val="00B15415"/>
    <w:rsid w:val="00B17EC4"/>
    <w:rsid w:val="00B20C4C"/>
    <w:rsid w:val="00B20E86"/>
    <w:rsid w:val="00B240CE"/>
    <w:rsid w:val="00B24931"/>
    <w:rsid w:val="00B25BF5"/>
    <w:rsid w:val="00B261AB"/>
    <w:rsid w:val="00B26868"/>
    <w:rsid w:val="00B271C4"/>
    <w:rsid w:val="00B30AFA"/>
    <w:rsid w:val="00B32FA6"/>
    <w:rsid w:val="00B33EE6"/>
    <w:rsid w:val="00B35582"/>
    <w:rsid w:val="00B35A4A"/>
    <w:rsid w:val="00B35E21"/>
    <w:rsid w:val="00B371A2"/>
    <w:rsid w:val="00B40081"/>
    <w:rsid w:val="00B40E48"/>
    <w:rsid w:val="00B41342"/>
    <w:rsid w:val="00B42E45"/>
    <w:rsid w:val="00B42F09"/>
    <w:rsid w:val="00B43386"/>
    <w:rsid w:val="00B43C98"/>
    <w:rsid w:val="00B443B3"/>
    <w:rsid w:val="00B4457E"/>
    <w:rsid w:val="00B45168"/>
    <w:rsid w:val="00B45392"/>
    <w:rsid w:val="00B4565F"/>
    <w:rsid w:val="00B46349"/>
    <w:rsid w:val="00B469FD"/>
    <w:rsid w:val="00B478EE"/>
    <w:rsid w:val="00B5033C"/>
    <w:rsid w:val="00B53EDA"/>
    <w:rsid w:val="00B543BC"/>
    <w:rsid w:val="00B554BD"/>
    <w:rsid w:val="00B5728E"/>
    <w:rsid w:val="00B600BD"/>
    <w:rsid w:val="00B6088A"/>
    <w:rsid w:val="00B6152E"/>
    <w:rsid w:val="00B624AB"/>
    <w:rsid w:val="00B633F2"/>
    <w:rsid w:val="00B6485F"/>
    <w:rsid w:val="00B65517"/>
    <w:rsid w:val="00B65C50"/>
    <w:rsid w:val="00B66B7A"/>
    <w:rsid w:val="00B67263"/>
    <w:rsid w:val="00B67E13"/>
    <w:rsid w:val="00B70466"/>
    <w:rsid w:val="00B710A1"/>
    <w:rsid w:val="00B71F65"/>
    <w:rsid w:val="00B72FC0"/>
    <w:rsid w:val="00B73465"/>
    <w:rsid w:val="00B738C1"/>
    <w:rsid w:val="00B74AA6"/>
    <w:rsid w:val="00B75009"/>
    <w:rsid w:val="00B7558A"/>
    <w:rsid w:val="00B76956"/>
    <w:rsid w:val="00B803A6"/>
    <w:rsid w:val="00B829D4"/>
    <w:rsid w:val="00B82E4B"/>
    <w:rsid w:val="00B856C3"/>
    <w:rsid w:val="00B85C05"/>
    <w:rsid w:val="00B86A38"/>
    <w:rsid w:val="00B86C59"/>
    <w:rsid w:val="00B86D2E"/>
    <w:rsid w:val="00B8798D"/>
    <w:rsid w:val="00B911B3"/>
    <w:rsid w:val="00B92D7F"/>
    <w:rsid w:val="00B946FB"/>
    <w:rsid w:val="00B946FF"/>
    <w:rsid w:val="00B9684B"/>
    <w:rsid w:val="00B970CA"/>
    <w:rsid w:val="00B97F4A"/>
    <w:rsid w:val="00BA1A6E"/>
    <w:rsid w:val="00BA297A"/>
    <w:rsid w:val="00BA51BC"/>
    <w:rsid w:val="00BB2020"/>
    <w:rsid w:val="00BB30AC"/>
    <w:rsid w:val="00BB37C2"/>
    <w:rsid w:val="00BB4C0C"/>
    <w:rsid w:val="00BB4C82"/>
    <w:rsid w:val="00BB5B3B"/>
    <w:rsid w:val="00BC06A3"/>
    <w:rsid w:val="00BC0F51"/>
    <w:rsid w:val="00BC1123"/>
    <w:rsid w:val="00BC1975"/>
    <w:rsid w:val="00BC43BD"/>
    <w:rsid w:val="00BC6593"/>
    <w:rsid w:val="00BC7416"/>
    <w:rsid w:val="00BC7BB7"/>
    <w:rsid w:val="00BC7F8C"/>
    <w:rsid w:val="00BD02A7"/>
    <w:rsid w:val="00BD0564"/>
    <w:rsid w:val="00BD05F0"/>
    <w:rsid w:val="00BD0C9E"/>
    <w:rsid w:val="00BD1538"/>
    <w:rsid w:val="00BD22B7"/>
    <w:rsid w:val="00BD2CDA"/>
    <w:rsid w:val="00BD3F31"/>
    <w:rsid w:val="00BD4036"/>
    <w:rsid w:val="00BD67E3"/>
    <w:rsid w:val="00BD6DCB"/>
    <w:rsid w:val="00BD7BD0"/>
    <w:rsid w:val="00BE12FB"/>
    <w:rsid w:val="00BE15CF"/>
    <w:rsid w:val="00BE2700"/>
    <w:rsid w:val="00BE2D9F"/>
    <w:rsid w:val="00BE4802"/>
    <w:rsid w:val="00BE7753"/>
    <w:rsid w:val="00BF2341"/>
    <w:rsid w:val="00BF2AD0"/>
    <w:rsid w:val="00BF3BF8"/>
    <w:rsid w:val="00BF422A"/>
    <w:rsid w:val="00BF46F8"/>
    <w:rsid w:val="00BF4A24"/>
    <w:rsid w:val="00BF4AA5"/>
    <w:rsid w:val="00BF54C4"/>
    <w:rsid w:val="00BF6D15"/>
    <w:rsid w:val="00BF7991"/>
    <w:rsid w:val="00C002C1"/>
    <w:rsid w:val="00C0086D"/>
    <w:rsid w:val="00C0328F"/>
    <w:rsid w:val="00C03465"/>
    <w:rsid w:val="00C045FA"/>
    <w:rsid w:val="00C06C4A"/>
    <w:rsid w:val="00C0713D"/>
    <w:rsid w:val="00C10075"/>
    <w:rsid w:val="00C12FF4"/>
    <w:rsid w:val="00C13143"/>
    <w:rsid w:val="00C13560"/>
    <w:rsid w:val="00C1376C"/>
    <w:rsid w:val="00C13C82"/>
    <w:rsid w:val="00C15659"/>
    <w:rsid w:val="00C1657A"/>
    <w:rsid w:val="00C20618"/>
    <w:rsid w:val="00C2169E"/>
    <w:rsid w:val="00C23FEC"/>
    <w:rsid w:val="00C244F6"/>
    <w:rsid w:val="00C2580E"/>
    <w:rsid w:val="00C26780"/>
    <w:rsid w:val="00C31D6D"/>
    <w:rsid w:val="00C32985"/>
    <w:rsid w:val="00C3397C"/>
    <w:rsid w:val="00C34AAD"/>
    <w:rsid w:val="00C34D63"/>
    <w:rsid w:val="00C34F26"/>
    <w:rsid w:val="00C357ED"/>
    <w:rsid w:val="00C3676A"/>
    <w:rsid w:val="00C415F4"/>
    <w:rsid w:val="00C43FC3"/>
    <w:rsid w:val="00C449EA"/>
    <w:rsid w:val="00C44D97"/>
    <w:rsid w:val="00C45FCE"/>
    <w:rsid w:val="00C464C2"/>
    <w:rsid w:val="00C47096"/>
    <w:rsid w:val="00C47212"/>
    <w:rsid w:val="00C50456"/>
    <w:rsid w:val="00C518A4"/>
    <w:rsid w:val="00C523CC"/>
    <w:rsid w:val="00C52B5D"/>
    <w:rsid w:val="00C54411"/>
    <w:rsid w:val="00C564E0"/>
    <w:rsid w:val="00C57D03"/>
    <w:rsid w:val="00C60B3C"/>
    <w:rsid w:val="00C62C38"/>
    <w:rsid w:val="00C6379A"/>
    <w:rsid w:val="00C6381C"/>
    <w:rsid w:val="00C6429C"/>
    <w:rsid w:val="00C644D5"/>
    <w:rsid w:val="00C652E6"/>
    <w:rsid w:val="00C652F4"/>
    <w:rsid w:val="00C66272"/>
    <w:rsid w:val="00C6781D"/>
    <w:rsid w:val="00C67E02"/>
    <w:rsid w:val="00C701B6"/>
    <w:rsid w:val="00C717EB"/>
    <w:rsid w:val="00C71DF6"/>
    <w:rsid w:val="00C728A5"/>
    <w:rsid w:val="00C748B8"/>
    <w:rsid w:val="00C74A2B"/>
    <w:rsid w:val="00C753DE"/>
    <w:rsid w:val="00C7715B"/>
    <w:rsid w:val="00C8157F"/>
    <w:rsid w:val="00C82121"/>
    <w:rsid w:val="00C8284C"/>
    <w:rsid w:val="00C84340"/>
    <w:rsid w:val="00C8570B"/>
    <w:rsid w:val="00C85B9E"/>
    <w:rsid w:val="00C86B96"/>
    <w:rsid w:val="00C87085"/>
    <w:rsid w:val="00C870BE"/>
    <w:rsid w:val="00C91A25"/>
    <w:rsid w:val="00C92113"/>
    <w:rsid w:val="00C92AA0"/>
    <w:rsid w:val="00C947D2"/>
    <w:rsid w:val="00C9618D"/>
    <w:rsid w:val="00C96BF9"/>
    <w:rsid w:val="00CA2A8D"/>
    <w:rsid w:val="00CA2FD5"/>
    <w:rsid w:val="00CA317D"/>
    <w:rsid w:val="00CA34E2"/>
    <w:rsid w:val="00CA4563"/>
    <w:rsid w:val="00CA56DD"/>
    <w:rsid w:val="00CA5BA7"/>
    <w:rsid w:val="00CA617D"/>
    <w:rsid w:val="00CA647B"/>
    <w:rsid w:val="00CA6D1E"/>
    <w:rsid w:val="00CA7DC4"/>
    <w:rsid w:val="00CB13C0"/>
    <w:rsid w:val="00CB1D0F"/>
    <w:rsid w:val="00CB1F80"/>
    <w:rsid w:val="00CB2039"/>
    <w:rsid w:val="00CB24CB"/>
    <w:rsid w:val="00CB28B8"/>
    <w:rsid w:val="00CB346B"/>
    <w:rsid w:val="00CB4E40"/>
    <w:rsid w:val="00CB50BD"/>
    <w:rsid w:val="00CB6003"/>
    <w:rsid w:val="00CB75AC"/>
    <w:rsid w:val="00CC0386"/>
    <w:rsid w:val="00CC328C"/>
    <w:rsid w:val="00CC336A"/>
    <w:rsid w:val="00CC57A1"/>
    <w:rsid w:val="00CC6210"/>
    <w:rsid w:val="00CC627D"/>
    <w:rsid w:val="00CC7BC3"/>
    <w:rsid w:val="00CD0A2E"/>
    <w:rsid w:val="00CD2F6D"/>
    <w:rsid w:val="00CD3EE8"/>
    <w:rsid w:val="00CD5D1F"/>
    <w:rsid w:val="00CD5DAF"/>
    <w:rsid w:val="00CD77B4"/>
    <w:rsid w:val="00CD78EA"/>
    <w:rsid w:val="00CD79F0"/>
    <w:rsid w:val="00CE0CC4"/>
    <w:rsid w:val="00CE16BA"/>
    <w:rsid w:val="00CE279F"/>
    <w:rsid w:val="00CE294D"/>
    <w:rsid w:val="00CE2D2F"/>
    <w:rsid w:val="00CE2DC4"/>
    <w:rsid w:val="00CE30EA"/>
    <w:rsid w:val="00CE3993"/>
    <w:rsid w:val="00CE6BA5"/>
    <w:rsid w:val="00CE7282"/>
    <w:rsid w:val="00CE7C99"/>
    <w:rsid w:val="00CF063B"/>
    <w:rsid w:val="00CF0686"/>
    <w:rsid w:val="00CF0A7F"/>
    <w:rsid w:val="00CF0B5A"/>
    <w:rsid w:val="00CF1A91"/>
    <w:rsid w:val="00CF370C"/>
    <w:rsid w:val="00CF39C2"/>
    <w:rsid w:val="00CF3F10"/>
    <w:rsid w:val="00CF68B2"/>
    <w:rsid w:val="00CF73A0"/>
    <w:rsid w:val="00D00CE7"/>
    <w:rsid w:val="00D02A01"/>
    <w:rsid w:val="00D05219"/>
    <w:rsid w:val="00D05229"/>
    <w:rsid w:val="00D06F57"/>
    <w:rsid w:val="00D0781F"/>
    <w:rsid w:val="00D07CBA"/>
    <w:rsid w:val="00D123B1"/>
    <w:rsid w:val="00D128E4"/>
    <w:rsid w:val="00D1377B"/>
    <w:rsid w:val="00D1419C"/>
    <w:rsid w:val="00D15CF5"/>
    <w:rsid w:val="00D16799"/>
    <w:rsid w:val="00D1762B"/>
    <w:rsid w:val="00D2027A"/>
    <w:rsid w:val="00D2054D"/>
    <w:rsid w:val="00D20C78"/>
    <w:rsid w:val="00D2122A"/>
    <w:rsid w:val="00D23B41"/>
    <w:rsid w:val="00D23D21"/>
    <w:rsid w:val="00D24662"/>
    <w:rsid w:val="00D27417"/>
    <w:rsid w:val="00D3147D"/>
    <w:rsid w:val="00D31D17"/>
    <w:rsid w:val="00D337BF"/>
    <w:rsid w:val="00D34629"/>
    <w:rsid w:val="00D349BD"/>
    <w:rsid w:val="00D3731E"/>
    <w:rsid w:val="00D41BFD"/>
    <w:rsid w:val="00D42A3C"/>
    <w:rsid w:val="00D44797"/>
    <w:rsid w:val="00D44CF1"/>
    <w:rsid w:val="00D44EE7"/>
    <w:rsid w:val="00D45D5F"/>
    <w:rsid w:val="00D45E60"/>
    <w:rsid w:val="00D47477"/>
    <w:rsid w:val="00D47F13"/>
    <w:rsid w:val="00D50634"/>
    <w:rsid w:val="00D50E5A"/>
    <w:rsid w:val="00D510C9"/>
    <w:rsid w:val="00D54D1B"/>
    <w:rsid w:val="00D55F88"/>
    <w:rsid w:val="00D570F0"/>
    <w:rsid w:val="00D572D5"/>
    <w:rsid w:val="00D60E15"/>
    <w:rsid w:val="00D611B2"/>
    <w:rsid w:val="00D618FB"/>
    <w:rsid w:val="00D61F46"/>
    <w:rsid w:val="00D6302D"/>
    <w:rsid w:val="00D630C4"/>
    <w:rsid w:val="00D63722"/>
    <w:rsid w:val="00D63EED"/>
    <w:rsid w:val="00D64AE5"/>
    <w:rsid w:val="00D64EF7"/>
    <w:rsid w:val="00D65083"/>
    <w:rsid w:val="00D66AD5"/>
    <w:rsid w:val="00D6751A"/>
    <w:rsid w:val="00D676CD"/>
    <w:rsid w:val="00D71245"/>
    <w:rsid w:val="00D7277B"/>
    <w:rsid w:val="00D737D1"/>
    <w:rsid w:val="00D74D12"/>
    <w:rsid w:val="00D75215"/>
    <w:rsid w:val="00D755EB"/>
    <w:rsid w:val="00D76540"/>
    <w:rsid w:val="00D7657C"/>
    <w:rsid w:val="00D76CB6"/>
    <w:rsid w:val="00D76CF2"/>
    <w:rsid w:val="00D77280"/>
    <w:rsid w:val="00D81BA0"/>
    <w:rsid w:val="00D81E17"/>
    <w:rsid w:val="00D84A27"/>
    <w:rsid w:val="00D864C7"/>
    <w:rsid w:val="00D86795"/>
    <w:rsid w:val="00D87C4D"/>
    <w:rsid w:val="00D92661"/>
    <w:rsid w:val="00D929DA"/>
    <w:rsid w:val="00D93B9D"/>
    <w:rsid w:val="00D97B9E"/>
    <w:rsid w:val="00DA0C70"/>
    <w:rsid w:val="00DA1727"/>
    <w:rsid w:val="00DA1936"/>
    <w:rsid w:val="00DA1D58"/>
    <w:rsid w:val="00DA2359"/>
    <w:rsid w:val="00DA2CE6"/>
    <w:rsid w:val="00DA3D64"/>
    <w:rsid w:val="00DA4185"/>
    <w:rsid w:val="00DA47DC"/>
    <w:rsid w:val="00DA56AA"/>
    <w:rsid w:val="00DA5B0C"/>
    <w:rsid w:val="00DA5BBF"/>
    <w:rsid w:val="00DA5D43"/>
    <w:rsid w:val="00DA6D92"/>
    <w:rsid w:val="00DA770D"/>
    <w:rsid w:val="00DB06B3"/>
    <w:rsid w:val="00DB1085"/>
    <w:rsid w:val="00DB1B22"/>
    <w:rsid w:val="00DB211A"/>
    <w:rsid w:val="00DB2FD7"/>
    <w:rsid w:val="00DB3169"/>
    <w:rsid w:val="00DB368A"/>
    <w:rsid w:val="00DB4A78"/>
    <w:rsid w:val="00DB7C4C"/>
    <w:rsid w:val="00DC2B0C"/>
    <w:rsid w:val="00DC31F2"/>
    <w:rsid w:val="00DC38E2"/>
    <w:rsid w:val="00DC392B"/>
    <w:rsid w:val="00DC5611"/>
    <w:rsid w:val="00DC561F"/>
    <w:rsid w:val="00DC6BD3"/>
    <w:rsid w:val="00DC74D5"/>
    <w:rsid w:val="00DD13CE"/>
    <w:rsid w:val="00DD1A6B"/>
    <w:rsid w:val="00DD2AEA"/>
    <w:rsid w:val="00DD41A9"/>
    <w:rsid w:val="00DD4C97"/>
    <w:rsid w:val="00DD5D1F"/>
    <w:rsid w:val="00DD5DFD"/>
    <w:rsid w:val="00DD63F5"/>
    <w:rsid w:val="00DD696B"/>
    <w:rsid w:val="00DD69EC"/>
    <w:rsid w:val="00DE0769"/>
    <w:rsid w:val="00DE2B5B"/>
    <w:rsid w:val="00DE3DD1"/>
    <w:rsid w:val="00DE488E"/>
    <w:rsid w:val="00DE4A67"/>
    <w:rsid w:val="00DE60D4"/>
    <w:rsid w:val="00DF0074"/>
    <w:rsid w:val="00DF1121"/>
    <w:rsid w:val="00DF154B"/>
    <w:rsid w:val="00DF4A5B"/>
    <w:rsid w:val="00DF5AE2"/>
    <w:rsid w:val="00DF6AA6"/>
    <w:rsid w:val="00E0285D"/>
    <w:rsid w:val="00E0303D"/>
    <w:rsid w:val="00E03250"/>
    <w:rsid w:val="00E0360A"/>
    <w:rsid w:val="00E03EC8"/>
    <w:rsid w:val="00E0518B"/>
    <w:rsid w:val="00E0542F"/>
    <w:rsid w:val="00E06374"/>
    <w:rsid w:val="00E075C1"/>
    <w:rsid w:val="00E0762A"/>
    <w:rsid w:val="00E10D0E"/>
    <w:rsid w:val="00E11C91"/>
    <w:rsid w:val="00E12A1C"/>
    <w:rsid w:val="00E13089"/>
    <w:rsid w:val="00E139D6"/>
    <w:rsid w:val="00E13D56"/>
    <w:rsid w:val="00E14C74"/>
    <w:rsid w:val="00E1545C"/>
    <w:rsid w:val="00E1579B"/>
    <w:rsid w:val="00E15D1D"/>
    <w:rsid w:val="00E178A7"/>
    <w:rsid w:val="00E20351"/>
    <w:rsid w:val="00E20F52"/>
    <w:rsid w:val="00E22F26"/>
    <w:rsid w:val="00E2435F"/>
    <w:rsid w:val="00E24E7F"/>
    <w:rsid w:val="00E2513D"/>
    <w:rsid w:val="00E25E73"/>
    <w:rsid w:val="00E30083"/>
    <w:rsid w:val="00E304FE"/>
    <w:rsid w:val="00E31D77"/>
    <w:rsid w:val="00E326E5"/>
    <w:rsid w:val="00E32B20"/>
    <w:rsid w:val="00E32D5C"/>
    <w:rsid w:val="00E33099"/>
    <w:rsid w:val="00E33446"/>
    <w:rsid w:val="00E33E15"/>
    <w:rsid w:val="00E348ED"/>
    <w:rsid w:val="00E353E6"/>
    <w:rsid w:val="00E355A3"/>
    <w:rsid w:val="00E35A40"/>
    <w:rsid w:val="00E37904"/>
    <w:rsid w:val="00E37AF1"/>
    <w:rsid w:val="00E40D27"/>
    <w:rsid w:val="00E42062"/>
    <w:rsid w:val="00E426F8"/>
    <w:rsid w:val="00E42C1A"/>
    <w:rsid w:val="00E43BFE"/>
    <w:rsid w:val="00E4578F"/>
    <w:rsid w:val="00E461E2"/>
    <w:rsid w:val="00E47B48"/>
    <w:rsid w:val="00E51262"/>
    <w:rsid w:val="00E519D3"/>
    <w:rsid w:val="00E52551"/>
    <w:rsid w:val="00E526A7"/>
    <w:rsid w:val="00E52C80"/>
    <w:rsid w:val="00E53184"/>
    <w:rsid w:val="00E545F1"/>
    <w:rsid w:val="00E55F5C"/>
    <w:rsid w:val="00E56244"/>
    <w:rsid w:val="00E5793D"/>
    <w:rsid w:val="00E60556"/>
    <w:rsid w:val="00E61968"/>
    <w:rsid w:val="00E62491"/>
    <w:rsid w:val="00E62E0B"/>
    <w:rsid w:val="00E631BC"/>
    <w:rsid w:val="00E636B7"/>
    <w:rsid w:val="00E646DA"/>
    <w:rsid w:val="00E64DC8"/>
    <w:rsid w:val="00E655F8"/>
    <w:rsid w:val="00E65F8B"/>
    <w:rsid w:val="00E663A3"/>
    <w:rsid w:val="00E668B4"/>
    <w:rsid w:val="00E673EE"/>
    <w:rsid w:val="00E70C83"/>
    <w:rsid w:val="00E71256"/>
    <w:rsid w:val="00E714B7"/>
    <w:rsid w:val="00E724D0"/>
    <w:rsid w:val="00E72DF5"/>
    <w:rsid w:val="00E73705"/>
    <w:rsid w:val="00E74AA1"/>
    <w:rsid w:val="00E75B23"/>
    <w:rsid w:val="00E76217"/>
    <w:rsid w:val="00E76B6A"/>
    <w:rsid w:val="00E77C74"/>
    <w:rsid w:val="00E81135"/>
    <w:rsid w:val="00E84206"/>
    <w:rsid w:val="00E849E7"/>
    <w:rsid w:val="00E85840"/>
    <w:rsid w:val="00E861E1"/>
    <w:rsid w:val="00E908B7"/>
    <w:rsid w:val="00E9134F"/>
    <w:rsid w:val="00E92295"/>
    <w:rsid w:val="00E9305C"/>
    <w:rsid w:val="00E94579"/>
    <w:rsid w:val="00E95034"/>
    <w:rsid w:val="00E95BD3"/>
    <w:rsid w:val="00E97AC4"/>
    <w:rsid w:val="00E97B22"/>
    <w:rsid w:val="00E97FFC"/>
    <w:rsid w:val="00EA028E"/>
    <w:rsid w:val="00EA0AD5"/>
    <w:rsid w:val="00EA122D"/>
    <w:rsid w:val="00EA2364"/>
    <w:rsid w:val="00EA2781"/>
    <w:rsid w:val="00EA4117"/>
    <w:rsid w:val="00EA4CD3"/>
    <w:rsid w:val="00EA4EB4"/>
    <w:rsid w:val="00EA5389"/>
    <w:rsid w:val="00EA55FE"/>
    <w:rsid w:val="00EA686F"/>
    <w:rsid w:val="00EB0A51"/>
    <w:rsid w:val="00EB4618"/>
    <w:rsid w:val="00EB7166"/>
    <w:rsid w:val="00EB7B52"/>
    <w:rsid w:val="00EC2083"/>
    <w:rsid w:val="00EC3160"/>
    <w:rsid w:val="00EC47CB"/>
    <w:rsid w:val="00EC58F7"/>
    <w:rsid w:val="00EC6674"/>
    <w:rsid w:val="00ED086C"/>
    <w:rsid w:val="00ED0E7F"/>
    <w:rsid w:val="00ED1042"/>
    <w:rsid w:val="00ED11B5"/>
    <w:rsid w:val="00ED19F1"/>
    <w:rsid w:val="00ED21D0"/>
    <w:rsid w:val="00ED248B"/>
    <w:rsid w:val="00ED26B3"/>
    <w:rsid w:val="00ED502A"/>
    <w:rsid w:val="00ED5792"/>
    <w:rsid w:val="00ED5D4B"/>
    <w:rsid w:val="00ED63F8"/>
    <w:rsid w:val="00ED7BB1"/>
    <w:rsid w:val="00EE24F5"/>
    <w:rsid w:val="00EE47A1"/>
    <w:rsid w:val="00EE6E45"/>
    <w:rsid w:val="00EE6ECD"/>
    <w:rsid w:val="00EE74CC"/>
    <w:rsid w:val="00EF1DDD"/>
    <w:rsid w:val="00EF2132"/>
    <w:rsid w:val="00EF2727"/>
    <w:rsid w:val="00EF296B"/>
    <w:rsid w:val="00EF32C5"/>
    <w:rsid w:val="00EF4889"/>
    <w:rsid w:val="00EF5607"/>
    <w:rsid w:val="00EF60B5"/>
    <w:rsid w:val="00EF63CB"/>
    <w:rsid w:val="00EF7C54"/>
    <w:rsid w:val="00F0016A"/>
    <w:rsid w:val="00F00AED"/>
    <w:rsid w:val="00F017B2"/>
    <w:rsid w:val="00F0219A"/>
    <w:rsid w:val="00F0248C"/>
    <w:rsid w:val="00F03910"/>
    <w:rsid w:val="00F03AB7"/>
    <w:rsid w:val="00F0479C"/>
    <w:rsid w:val="00F049BE"/>
    <w:rsid w:val="00F06416"/>
    <w:rsid w:val="00F06E1A"/>
    <w:rsid w:val="00F100FA"/>
    <w:rsid w:val="00F10453"/>
    <w:rsid w:val="00F10719"/>
    <w:rsid w:val="00F10BA3"/>
    <w:rsid w:val="00F11601"/>
    <w:rsid w:val="00F13EBA"/>
    <w:rsid w:val="00F14C3E"/>
    <w:rsid w:val="00F15C6A"/>
    <w:rsid w:val="00F16061"/>
    <w:rsid w:val="00F1717F"/>
    <w:rsid w:val="00F20352"/>
    <w:rsid w:val="00F22903"/>
    <w:rsid w:val="00F22DD1"/>
    <w:rsid w:val="00F23234"/>
    <w:rsid w:val="00F243F4"/>
    <w:rsid w:val="00F25CB4"/>
    <w:rsid w:val="00F2601E"/>
    <w:rsid w:val="00F266D5"/>
    <w:rsid w:val="00F277FA"/>
    <w:rsid w:val="00F3099A"/>
    <w:rsid w:val="00F3250A"/>
    <w:rsid w:val="00F32F86"/>
    <w:rsid w:val="00F33102"/>
    <w:rsid w:val="00F33121"/>
    <w:rsid w:val="00F34C7D"/>
    <w:rsid w:val="00F34F1D"/>
    <w:rsid w:val="00F35818"/>
    <w:rsid w:val="00F368DD"/>
    <w:rsid w:val="00F36C1E"/>
    <w:rsid w:val="00F37440"/>
    <w:rsid w:val="00F41BEE"/>
    <w:rsid w:val="00F43311"/>
    <w:rsid w:val="00F43848"/>
    <w:rsid w:val="00F44263"/>
    <w:rsid w:val="00F44A14"/>
    <w:rsid w:val="00F5071A"/>
    <w:rsid w:val="00F513D5"/>
    <w:rsid w:val="00F51997"/>
    <w:rsid w:val="00F51E3F"/>
    <w:rsid w:val="00F54B93"/>
    <w:rsid w:val="00F572D5"/>
    <w:rsid w:val="00F601EB"/>
    <w:rsid w:val="00F606D5"/>
    <w:rsid w:val="00F60C39"/>
    <w:rsid w:val="00F61449"/>
    <w:rsid w:val="00F615FA"/>
    <w:rsid w:val="00F61E9F"/>
    <w:rsid w:val="00F62284"/>
    <w:rsid w:val="00F64A4C"/>
    <w:rsid w:val="00F65057"/>
    <w:rsid w:val="00F67A83"/>
    <w:rsid w:val="00F67C8D"/>
    <w:rsid w:val="00F67DE9"/>
    <w:rsid w:val="00F712B4"/>
    <w:rsid w:val="00F72F80"/>
    <w:rsid w:val="00F74184"/>
    <w:rsid w:val="00F74530"/>
    <w:rsid w:val="00F752BD"/>
    <w:rsid w:val="00F769E1"/>
    <w:rsid w:val="00F76ED7"/>
    <w:rsid w:val="00F76F8F"/>
    <w:rsid w:val="00F772DE"/>
    <w:rsid w:val="00F77EFB"/>
    <w:rsid w:val="00F81E74"/>
    <w:rsid w:val="00F843C2"/>
    <w:rsid w:val="00F8476B"/>
    <w:rsid w:val="00F85F13"/>
    <w:rsid w:val="00F8669F"/>
    <w:rsid w:val="00F90136"/>
    <w:rsid w:val="00F90A0C"/>
    <w:rsid w:val="00F90D5F"/>
    <w:rsid w:val="00F90ECD"/>
    <w:rsid w:val="00F91301"/>
    <w:rsid w:val="00F92FC0"/>
    <w:rsid w:val="00F95CDB"/>
    <w:rsid w:val="00F96A53"/>
    <w:rsid w:val="00F96C42"/>
    <w:rsid w:val="00F96F7B"/>
    <w:rsid w:val="00F975B7"/>
    <w:rsid w:val="00F979A2"/>
    <w:rsid w:val="00FA10AD"/>
    <w:rsid w:val="00FA2618"/>
    <w:rsid w:val="00FA4777"/>
    <w:rsid w:val="00FA5648"/>
    <w:rsid w:val="00FA56C7"/>
    <w:rsid w:val="00FA6C54"/>
    <w:rsid w:val="00FA7147"/>
    <w:rsid w:val="00FB10F1"/>
    <w:rsid w:val="00FB336C"/>
    <w:rsid w:val="00FB36EF"/>
    <w:rsid w:val="00FB4004"/>
    <w:rsid w:val="00FB6149"/>
    <w:rsid w:val="00FB6DAC"/>
    <w:rsid w:val="00FB78FB"/>
    <w:rsid w:val="00FB7D8A"/>
    <w:rsid w:val="00FC121F"/>
    <w:rsid w:val="00FC25B6"/>
    <w:rsid w:val="00FC4976"/>
    <w:rsid w:val="00FC6010"/>
    <w:rsid w:val="00FC6992"/>
    <w:rsid w:val="00FC79AB"/>
    <w:rsid w:val="00FC7E53"/>
    <w:rsid w:val="00FD1153"/>
    <w:rsid w:val="00FD2217"/>
    <w:rsid w:val="00FD3306"/>
    <w:rsid w:val="00FD37E6"/>
    <w:rsid w:val="00FD3AA5"/>
    <w:rsid w:val="00FE14F0"/>
    <w:rsid w:val="00FE1D29"/>
    <w:rsid w:val="00FE2E84"/>
    <w:rsid w:val="00FE538A"/>
    <w:rsid w:val="00FE5FDC"/>
    <w:rsid w:val="00FE628D"/>
    <w:rsid w:val="00FE73F6"/>
    <w:rsid w:val="00FF1228"/>
    <w:rsid w:val="00FF17D2"/>
    <w:rsid w:val="00FF21BB"/>
    <w:rsid w:val="00FF2BD3"/>
    <w:rsid w:val="00FF3C5E"/>
    <w:rsid w:val="00FF4B31"/>
    <w:rsid w:val="00FF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09539"/>
  <w15:docId w15:val="{03F2889A-EF53-41B9-8AC7-729688B8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6379A"/>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D06F5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073F4"/>
    <w:rPr>
      <w:rFonts w:ascii="Courier" w:hAnsi="Courier"/>
      <w:szCs w:val="20"/>
    </w:rPr>
  </w:style>
  <w:style w:type="paragraph" w:styleId="Footer">
    <w:name w:val="footer"/>
    <w:basedOn w:val="Normal"/>
    <w:link w:val="FooterChar"/>
    <w:uiPriority w:val="99"/>
    <w:rsid w:val="00BD67E3"/>
    <w:pPr>
      <w:tabs>
        <w:tab w:val="center" w:pos="4320"/>
        <w:tab w:val="right" w:pos="8640"/>
      </w:tabs>
    </w:pPr>
  </w:style>
  <w:style w:type="character" w:styleId="PageNumber">
    <w:name w:val="page number"/>
    <w:basedOn w:val="DefaultParagraphFont"/>
    <w:rsid w:val="00BD67E3"/>
  </w:style>
  <w:style w:type="paragraph" w:styleId="FootnoteText">
    <w:name w:val="footnote text"/>
    <w:aliases w:val="Footnote Text Char1,Footnote Text Char Char1,Footnote Text Char1 Char Char,Footnote Text Char Char1 Char Char,Footnote Text Char2 Char Char1 Char Char,Footnote Text Char1 Char Char Char Char Char1,Footnote Text Char"/>
    <w:basedOn w:val="Normal"/>
    <w:uiPriority w:val="99"/>
    <w:rsid w:val="00A76B4E"/>
    <w:rPr>
      <w:sz w:val="20"/>
      <w:szCs w:val="20"/>
    </w:rPr>
  </w:style>
  <w:style w:type="character" w:styleId="FootnoteReference">
    <w:name w:val="footnote reference"/>
    <w:uiPriority w:val="99"/>
    <w:rsid w:val="00A76B4E"/>
    <w:rPr>
      <w:vertAlign w:val="superscript"/>
    </w:rPr>
  </w:style>
  <w:style w:type="paragraph" w:styleId="Header">
    <w:name w:val="header"/>
    <w:basedOn w:val="Normal"/>
    <w:link w:val="HeaderChar"/>
    <w:uiPriority w:val="99"/>
    <w:rsid w:val="0064618B"/>
    <w:pPr>
      <w:tabs>
        <w:tab w:val="center" w:pos="4320"/>
        <w:tab w:val="right" w:pos="8640"/>
      </w:tabs>
    </w:pPr>
  </w:style>
  <w:style w:type="paragraph" w:styleId="BalloonText">
    <w:name w:val="Balloon Text"/>
    <w:basedOn w:val="Normal"/>
    <w:semiHidden/>
    <w:rsid w:val="003F01FF"/>
    <w:rPr>
      <w:rFonts w:ascii="Tahoma" w:hAnsi="Tahoma" w:cs="Tahoma"/>
      <w:sz w:val="16"/>
      <w:szCs w:val="16"/>
    </w:rPr>
  </w:style>
  <w:style w:type="character" w:customStyle="1" w:styleId="term1">
    <w:name w:val="term1"/>
    <w:rsid w:val="00C6379A"/>
    <w:rPr>
      <w:rFonts w:ascii="Verdana" w:hAnsi="Verdana" w:hint="default"/>
      <w:b/>
      <w:bCs/>
      <w:sz w:val="20"/>
      <w:szCs w:val="20"/>
    </w:rPr>
  </w:style>
  <w:style w:type="character" w:styleId="Hyperlink">
    <w:name w:val="Hyperlink"/>
    <w:rsid w:val="0051137A"/>
    <w:rPr>
      <w:color w:val="0000FF"/>
      <w:u w:val="single"/>
    </w:rPr>
  </w:style>
  <w:style w:type="character" w:customStyle="1" w:styleId="documentbody1">
    <w:name w:val="documentbody1"/>
    <w:rsid w:val="006F738D"/>
    <w:rPr>
      <w:rFonts w:ascii="Verdana" w:hAnsi="Verdana" w:hint="default"/>
      <w:sz w:val="19"/>
      <w:szCs w:val="19"/>
    </w:rPr>
  </w:style>
  <w:style w:type="table" w:styleId="TableGrid">
    <w:name w:val="Table Grid"/>
    <w:aliases w:val="none"/>
    <w:basedOn w:val="TableNormal"/>
    <w:rsid w:val="00D6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64AE5"/>
  </w:style>
  <w:style w:type="paragraph" w:styleId="NormalWeb">
    <w:name w:val="Normal (Web)"/>
    <w:basedOn w:val="Normal"/>
    <w:uiPriority w:val="99"/>
    <w:rsid w:val="002B394A"/>
    <w:pPr>
      <w:spacing w:before="100" w:beforeAutospacing="1" w:after="100" w:afterAutospacing="1"/>
    </w:pPr>
  </w:style>
  <w:style w:type="paragraph" w:styleId="ListParagraph">
    <w:name w:val="List Paragraph"/>
    <w:basedOn w:val="Normal"/>
    <w:qFormat/>
    <w:rsid w:val="00590CF9"/>
    <w:pPr>
      <w:ind w:left="720"/>
    </w:pPr>
    <w:rPr>
      <w:rFonts w:ascii="Calibri" w:hAnsi="Calibri"/>
      <w:sz w:val="22"/>
      <w:szCs w:val="22"/>
    </w:rPr>
  </w:style>
  <w:style w:type="character" w:customStyle="1" w:styleId="Heading4Char">
    <w:name w:val="Heading 4 Char"/>
    <w:link w:val="Heading4"/>
    <w:semiHidden/>
    <w:rsid w:val="00D06F57"/>
    <w:rPr>
      <w:rFonts w:ascii="Calibri" w:eastAsia="Times New Roman" w:hAnsi="Calibri" w:cs="Times New Roman"/>
      <w:b/>
      <w:bCs/>
      <w:sz w:val="28"/>
      <w:szCs w:val="28"/>
    </w:rPr>
  </w:style>
  <w:style w:type="character" w:styleId="CommentReference">
    <w:name w:val="annotation reference"/>
    <w:uiPriority w:val="99"/>
    <w:rsid w:val="00172C04"/>
    <w:rPr>
      <w:sz w:val="16"/>
      <w:szCs w:val="16"/>
    </w:rPr>
  </w:style>
  <w:style w:type="paragraph" w:styleId="CommentText">
    <w:name w:val="annotation text"/>
    <w:basedOn w:val="Normal"/>
    <w:link w:val="CommentTextChar"/>
    <w:uiPriority w:val="99"/>
    <w:rsid w:val="00172C04"/>
    <w:rPr>
      <w:sz w:val="20"/>
      <w:szCs w:val="20"/>
    </w:rPr>
  </w:style>
  <w:style w:type="character" w:customStyle="1" w:styleId="CommentTextChar">
    <w:name w:val="Comment Text Char"/>
    <w:basedOn w:val="DefaultParagraphFont"/>
    <w:link w:val="CommentText"/>
    <w:uiPriority w:val="99"/>
    <w:rsid w:val="00172C04"/>
  </w:style>
  <w:style w:type="paragraph" w:styleId="CommentSubject">
    <w:name w:val="annotation subject"/>
    <w:basedOn w:val="CommentText"/>
    <w:next w:val="CommentText"/>
    <w:link w:val="CommentSubjectChar"/>
    <w:rsid w:val="00172C04"/>
    <w:rPr>
      <w:b/>
      <w:bCs/>
    </w:rPr>
  </w:style>
  <w:style w:type="character" w:customStyle="1" w:styleId="CommentSubjectChar">
    <w:name w:val="Comment Subject Char"/>
    <w:link w:val="CommentSubject"/>
    <w:rsid w:val="00172C04"/>
    <w:rPr>
      <w:b/>
      <w:bCs/>
    </w:rPr>
  </w:style>
  <w:style w:type="paragraph" w:styleId="PlainText">
    <w:name w:val="Plain Text"/>
    <w:basedOn w:val="Normal"/>
    <w:link w:val="PlainTextChar"/>
    <w:uiPriority w:val="99"/>
    <w:unhideWhenUsed/>
    <w:rsid w:val="00976BBC"/>
    <w:rPr>
      <w:rFonts w:ascii="Calibri" w:eastAsia="Calibri" w:hAnsi="Calibri"/>
      <w:sz w:val="22"/>
      <w:szCs w:val="21"/>
    </w:rPr>
  </w:style>
  <w:style w:type="character" w:customStyle="1" w:styleId="PlainTextChar">
    <w:name w:val="Plain Text Char"/>
    <w:link w:val="PlainText"/>
    <w:uiPriority w:val="99"/>
    <w:rsid w:val="00976BBC"/>
    <w:rPr>
      <w:rFonts w:ascii="Calibri" w:eastAsia="Calibri" w:hAnsi="Calibri"/>
      <w:sz w:val="22"/>
      <w:szCs w:val="21"/>
    </w:rPr>
  </w:style>
  <w:style w:type="paragraph" w:customStyle="1" w:styleId="Default">
    <w:name w:val="Default"/>
    <w:rsid w:val="004122A2"/>
    <w:pPr>
      <w:autoSpaceDE w:val="0"/>
      <w:autoSpaceDN w:val="0"/>
      <w:adjustRightInd w:val="0"/>
    </w:pPr>
    <w:rPr>
      <w:color w:val="000000"/>
      <w:sz w:val="24"/>
      <w:szCs w:val="24"/>
    </w:rPr>
  </w:style>
  <w:style w:type="character" w:styleId="EndnoteReference">
    <w:name w:val="endnote reference"/>
    <w:rsid w:val="005465A8"/>
    <w:rPr>
      <w:vertAlign w:val="superscript"/>
    </w:rPr>
  </w:style>
  <w:style w:type="character" w:customStyle="1" w:styleId="FooterChar">
    <w:name w:val="Footer Char"/>
    <w:link w:val="Footer"/>
    <w:uiPriority w:val="99"/>
    <w:rsid w:val="00481472"/>
    <w:rPr>
      <w:sz w:val="24"/>
      <w:szCs w:val="24"/>
    </w:rPr>
  </w:style>
  <w:style w:type="paragraph" w:styleId="NoSpacing">
    <w:name w:val="No Spacing"/>
    <w:uiPriority w:val="1"/>
    <w:qFormat/>
    <w:rsid w:val="00B6485F"/>
    <w:rPr>
      <w:sz w:val="24"/>
      <w:szCs w:val="24"/>
    </w:rPr>
  </w:style>
  <w:style w:type="character" w:customStyle="1" w:styleId="HeaderChar">
    <w:name w:val="Header Char"/>
    <w:link w:val="Header"/>
    <w:uiPriority w:val="99"/>
    <w:rsid w:val="00B6485F"/>
    <w:rPr>
      <w:sz w:val="24"/>
      <w:szCs w:val="24"/>
    </w:rPr>
  </w:style>
  <w:style w:type="character" w:styleId="FollowedHyperlink">
    <w:name w:val="FollowedHyperlink"/>
    <w:rsid w:val="00187B70"/>
    <w:rPr>
      <w:color w:val="800080"/>
      <w:u w:val="single"/>
    </w:rPr>
  </w:style>
  <w:style w:type="paragraph" w:customStyle="1" w:styleId="p3">
    <w:name w:val="p3"/>
    <w:basedOn w:val="Normal"/>
    <w:rsid w:val="00EE74CC"/>
    <w:pPr>
      <w:widowControl w:val="0"/>
      <w:tabs>
        <w:tab w:val="left" w:pos="204"/>
      </w:tabs>
      <w:autoSpaceDE w:val="0"/>
      <w:autoSpaceDN w:val="0"/>
      <w:adjustRightInd w:val="0"/>
    </w:pPr>
  </w:style>
  <w:style w:type="character" w:styleId="UnresolvedMention">
    <w:name w:val="Unresolved Mention"/>
    <w:basedOn w:val="DefaultParagraphFont"/>
    <w:uiPriority w:val="99"/>
    <w:semiHidden/>
    <w:unhideWhenUsed/>
    <w:rsid w:val="00604D61"/>
    <w:rPr>
      <w:color w:val="605E5C"/>
      <w:shd w:val="clear" w:color="auto" w:fill="E1DFDD"/>
    </w:rPr>
  </w:style>
  <w:style w:type="paragraph" w:styleId="Revision">
    <w:name w:val="Revision"/>
    <w:hidden/>
    <w:uiPriority w:val="99"/>
    <w:semiHidden/>
    <w:rsid w:val="008B6D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2592">
      <w:bodyDiv w:val="1"/>
      <w:marLeft w:val="0"/>
      <w:marRight w:val="0"/>
      <w:marTop w:val="0"/>
      <w:marBottom w:val="0"/>
      <w:divBdr>
        <w:top w:val="none" w:sz="0" w:space="0" w:color="auto"/>
        <w:left w:val="none" w:sz="0" w:space="0" w:color="auto"/>
        <w:bottom w:val="none" w:sz="0" w:space="0" w:color="auto"/>
        <w:right w:val="none" w:sz="0" w:space="0" w:color="auto"/>
      </w:divBdr>
      <w:divsChild>
        <w:div w:id="349337612">
          <w:marLeft w:val="0"/>
          <w:marRight w:val="0"/>
          <w:marTop w:val="0"/>
          <w:marBottom w:val="0"/>
          <w:divBdr>
            <w:top w:val="none" w:sz="0" w:space="0" w:color="auto"/>
            <w:left w:val="none" w:sz="0" w:space="0" w:color="auto"/>
            <w:bottom w:val="none" w:sz="0" w:space="0" w:color="auto"/>
            <w:right w:val="none" w:sz="0" w:space="0" w:color="auto"/>
          </w:divBdr>
          <w:divsChild>
            <w:div w:id="937326564">
              <w:marLeft w:val="0"/>
              <w:marRight w:val="0"/>
              <w:marTop w:val="0"/>
              <w:marBottom w:val="0"/>
              <w:divBdr>
                <w:top w:val="none" w:sz="0" w:space="0" w:color="auto"/>
                <w:left w:val="none" w:sz="0" w:space="0" w:color="auto"/>
                <w:bottom w:val="none" w:sz="0" w:space="0" w:color="auto"/>
                <w:right w:val="none" w:sz="0" w:space="0" w:color="auto"/>
              </w:divBdr>
              <w:divsChild>
                <w:div w:id="1572234750">
                  <w:marLeft w:val="0"/>
                  <w:marRight w:val="0"/>
                  <w:marTop w:val="0"/>
                  <w:marBottom w:val="0"/>
                  <w:divBdr>
                    <w:top w:val="none" w:sz="0" w:space="0" w:color="auto"/>
                    <w:left w:val="none" w:sz="0" w:space="0" w:color="auto"/>
                    <w:bottom w:val="none" w:sz="0" w:space="0" w:color="auto"/>
                    <w:right w:val="none" w:sz="0" w:space="0" w:color="auto"/>
                  </w:divBdr>
                  <w:divsChild>
                    <w:div w:id="180169386">
                      <w:marLeft w:val="0"/>
                      <w:marRight w:val="0"/>
                      <w:marTop w:val="0"/>
                      <w:marBottom w:val="0"/>
                      <w:divBdr>
                        <w:top w:val="none" w:sz="0" w:space="0" w:color="auto"/>
                        <w:left w:val="none" w:sz="0" w:space="0" w:color="auto"/>
                        <w:bottom w:val="none" w:sz="0" w:space="0" w:color="auto"/>
                        <w:right w:val="none" w:sz="0" w:space="0" w:color="auto"/>
                      </w:divBdr>
                      <w:divsChild>
                        <w:div w:id="18751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6430">
                  <w:marLeft w:val="0"/>
                  <w:marRight w:val="0"/>
                  <w:marTop w:val="0"/>
                  <w:marBottom w:val="0"/>
                  <w:divBdr>
                    <w:top w:val="none" w:sz="0" w:space="0" w:color="auto"/>
                    <w:left w:val="none" w:sz="0" w:space="0" w:color="auto"/>
                    <w:bottom w:val="none" w:sz="0" w:space="0" w:color="auto"/>
                    <w:right w:val="none" w:sz="0" w:space="0" w:color="auto"/>
                  </w:divBdr>
                  <w:divsChild>
                    <w:div w:id="240022825">
                      <w:marLeft w:val="0"/>
                      <w:marRight w:val="0"/>
                      <w:marTop w:val="0"/>
                      <w:marBottom w:val="0"/>
                      <w:divBdr>
                        <w:top w:val="none" w:sz="0" w:space="0" w:color="auto"/>
                        <w:left w:val="none" w:sz="0" w:space="0" w:color="auto"/>
                        <w:bottom w:val="none" w:sz="0" w:space="0" w:color="auto"/>
                        <w:right w:val="none" w:sz="0" w:space="0" w:color="auto"/>
                      </w:divBdr>
                      <w:divsChild>
                        <w:div w:id="14443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0764">
                  <w:marLeft w:val="0"/>
                  <w:marRight w:val="0"/>
                  <w:marTop w:val="0"/>
                  <w:marBottom w:val="0"/>
                  <w:divBdr>
                    <w:top w:val="none" w:sz="0" w:space="0" w:color="auto"/>
                    <w:left w:val="none" w:sz="0" w:space="0" w:color="auto"/>
                    <w:bottom w:val="none" w:sz="0" w:space="0" w:color="auto"/>
                    <w:right w:val="none" w:sz="0" w:space="0" w:color="auto"/>
                  </w:divBdr>
                  <w:divsChild>
                    <w:div w:id="1111898821">
                      <w:marLeft w:val="0"/>
                      <w:marRight w:val="0"/>
                      <w:marTop w:val="0"/>
                      <w:marBottom w:val="0"/>
                      <w:divBdr>
                        <w:top w:val="none" w:sz="0" w:space="0" w:color="auto"/>
                        <w:left w:val="none" w:sz="0" w:space="0" w:color="auto"/>
                        <w:bottom w:val="none" w:sz="0" w:space="0" w:color="auto"/>
                        <w:right w:val="none" w:sz="0" w:space="0" w:color="auto"/>
                      </w:divBdr>
                      <w:divsChild>
                        <w:div w:id="8778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2387">
                  <w:marLeft w:val="0"/>
                  <w:marRight w:val="0"/>
                  <w:marTop w:val="0"/>
                  <w:marBottom w:val="0"/>
                  <w:divBdr>
                    <w:top w:val="none" w:sz="0" w:space="0" w:color="auto"/>
                    <w:left w:val="none" w:sz="0" w:space="0" w:color="auto"/>
                    <w:bottom w:val="none" w:sz="0" w:space="0" w:color="auto"/>
                    <w:right w:val="none" w:sz="0" w:space="0" w:color="auto"/>
                  </w:divBdr>
                  <w:divsChild>
                    <w:div w:id="1012026302">
                      <w:marLeft w:val="0"/>
                      <w:marRight w:val="0"/>
                      <w:marTop w:val="0"/>
                      <w:marBottom w:val="0"/>
                      <w:divBdr>
                        <w:top w:val="none" w:sz="0" w:space="0" w:color="auto"/>
                        <w:left w:val="none" w:sz="0" w:space="0" w:color="auto"/>
                        <w:bottom w:val="none" w:sz="0" w:space="0" w:color="auto"/>
                        <w:right w:val="none" w:sz="0" w:space="0" w:color="auto"/>
                      </w:divBdr>
                      <w:divsChild>
                        <w:div w:id="4088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3031">
                  <w:marLeft w:val="0"/>
                  <w:marRight w:val="0"/>
                  <w:marTop w:val="0"/>
                  <w:marBottom w:val="0"/>
                  <w:divBdr>
                    <w:top w:val="none" w:sz="0" w:space="0" w:color="auto"/>
                    <w:left w:val="none" w:sz="0" w:space="0" w:color="auto"/>
                    <w:bottom w:val="none" w:sz="0" w:space="0" w:color="auto"/>
                    <w:right w:val="none" w:sz="0" w:space="0" w:color="auto"/>
                  </w:divBdr>
                  <w:divsChild>
                    <w:div w:id="1412316934">
                      <w:marLeft w:val="0"/>
                      <w:marRight w:val="0"/>
                      <w:marTop w:val="0"/>
                      <w:marBottom w:val="0"/>
                      <w:divBdr>
                        <w:top w:val="none" w:sz="0" w:space="0" w:color="auto"/>
                        <w:left w:val="none" w:sz="0" w:space="0" w:color="auto"/>
                        <w:bottom w:val="none" w:sz="0" w:space="0" w:color="auto"/>
                        <w:right w:val="none" w:sz="0" w:space="0" w:color="auto"/>
                      </w:divBdr>
                      <w:divsChild>
                        <w:div w:id="342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3062">
      <w:bodyDiv w:val="1"/>
      <w:marLeft w:val="30"/>
      <w:marRight w:val="30"/>
      <w:marTop w:val="30"/>
      <w:marBottom w:val="30"/>
      <w:divBdr>
        <w:top w:val="none" w:sz="0" w:space="0" w:color="auto"/>
        <w:left w:val="none" w:sz="0" w:space="0" w:color="auto"/>
        <w:bottom w:val="none" w:sz="0" w:space="0" w:color="auto"/>
        <w:right w:val="none" w:sz="0" w:space="0" w:color="auto"/>
      </w:divBdr>
      <w:divsChild>
        <w:div w:id="340284776">
          <w:marLeft w:val="0"/>
          <w:marRight w:val="0"/>
          <w:marTop w:val="0"/>
          <w:marBottom w:val="0"/>
          <w:divBdr>
            <w:top w:val="none" w:sz="0" w:space="0" w:color="auto"/>
            <w:left w:val="none" w:sz="0" w:space="0" w:color="auto"/>
            <w:bottom w:val="none" w:sz="0" w:space="0" w:color="auto"/>
            <w:right w:val="none" w:sz="0" w:space="0" w:color="auto"/>
          </w:divBdr>
          <w:divsChild>
            <w:div w:id="1466583786">
              <w:marLeft w:val="45"/>
              <w:marRight w:val="45"/>
              <w:marTop w:val="45"/>
              <w:marBottom w:val="45"/>
              <w:divBdr>
                <w:top w:val="none" w:sz="0" w:space="0" w:color="auto"/>
                <w:left w:val="none" w:sz="0" w:space="0" w:color="auto"/>
                <w:bottom w:val="none" w:sz="0" w:space="0" w:color="auto"/>
                <w:right w:val="none" w:sz="0" w:space="0" w:color="auto"/>
              </w:divBdr>
              <w:divsChild>
                <w:div w:id="51081156">
                  <w:marLeft w:val="720"/>
                  <w:marRight w:val="0"/>
                  <w:marTop w:val="0"/>
                  <w:marBottom w:val="0"/>
                  <w:divBdr>
                    <w:top w:val="none" w:sz="0" w:space="0" w:color="auto"/>
                    <w:left w:val="none" w:sz="0" w:space="0" w:color="auto"/>
                    <w:bottom w:val="none" w:sz="0" w:space="0" w:color="auto"/>
                    <w:right w:val="none" w:sz="0" w:space="0" w:color="auto"/>
                  </w:divBdr>
                </w:div>
                <w:div w:id="889195616">
                  <w:marLeft w:val="360"/>
                  <w:marRight w:val="0"/>
                  <w:marTop w:val="0"/>
                  <w:marBottom w:val="0"/>
                  <w:divBdr>
                    <w:top w:val="none" w:sz="0" w:space="0" w:color="auto"/>
                    <w:left w:val="none" w:sz="0" w:space="0" w:color="auto"/>
                    <w:bottom w:val="none" w:sz="0" w:space="0" w:color="auto"/>
                    <w:right w:val="none" w:sz="0" w:space="0" w:color="auto"/>
                  </w:divBdr>
                </w:div>
                <w:div w:id="1089153232">
                  <w:marLeft w:val="360"/>
                  <w:marRight w:val="0"/>
                  <w:marTop w:val="0"/>
                  <w:marBottom w:val="0"/>
                  <w:divBdr>
                    <w:top w:val="none" w:sz="0" w:space="0" w:color="auto"/>
                    <w:left w:val="none" w:sz="0" w:space="0" w:color="auto"/>
                    <w:bottom w:val="none" w:sz="0" w:space="0" w:color="auto"/>
                    <w:right w:val="none" w:sz="0" w:space="0" w:color="auto"/>
                  </w:divBdr>
                </w:div>
                <w:div w:id="1120220934">
                  <w:marLeft w:val="720"/>
                  <w:marRight w:val="0"/>
                  <w:marTop w:val="0"/>
                  <w:marBottom w:val="0"/>
                  <w:divBdr>
                    <w:top w:val="none" w:sz="0" w:space="0" w:color="auto"/>
                    <w:left w:val="none" w:sz="0" w:space="0" w:color="auto"/>
                    <w:bottom w:val="none" w:sz="0" w:space="0" w:color="auto"/>
                    <w:right w:val="none" w:sz="0" w:space="0" w:color="auto"/>
                  </w:divBdr>
                </w:div>
                <w:div w:id="18011482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5301">
      <w:bodyDiv w:val="1"/>
      <w:marLeft w:val="0"/>
      <w:marRight w:val="0"/>
      <w:marTop w:val="0"/>
      <w:marBottom w:val="0"/>
      <w:divBdr>
        <w:top w:val="none" w:sz="0" w:space="0" w:color="auto"/>
        <w:left w:val="none" w:sz="0" w:space="0" w:color="auto"/>
        <w:bottom w:val="none" w:sz="0" w:space="0" w:color="auto"/>
        <w:right w:val="none" w:sz="0" w:space="0" w:color="auto"/>
      </w:divBdr>
    </w:div>
    <w:div w:id="550069720">
      <w:bodyDiv w:val="1"/>
      <w:marLeft w:val="26"/>
      <w:marRight w:val="26"/>
      <w:marTop w:val="26"/>
      <w:marBottom w:val="26"/>
      <w:divBdr>
        <w:top w:val="none" w:sz="0" w:space="0" w:color="auto"/>
        <w:left w:val="none" w:sz="0" w:space="0" w:color="auto"/>
        <w:bottom w:val="none" w:sz="0" w:space="0" w:color="auto"/>
        <w:right w:val="none" w:sz="0" w:space="0" w:color="auto"/>
      </w:divBdr>
      <w:divsChild>
        <w:div w:id="94986444">
          <w:marLeft w:val="0"/>
          <w:marRight w:val="0"/>
          <w:marTop w:val="0"/>
          <w:marBottom w:val="0"/>
          <w:divBdr>
            <w:top w:val="none" w:sz="0" w:space="0" w:color="auto"/>
            <w:left w:val="none" w:sz="0" w:space="0" w:color="auto"/>
            <w:bottom w:val="none" w:sz="0" w:space="0" w:color="auto"/>
            <w:right w:val="none" w:sz="0" w:space="0" w:color="auto"/>
          </w:divBdr>
          <w:divsChild>
            <w:div w:id="1596086045">
              <w:marLeft w:val="40"/>
              <w:marRight w:val="40"/>
              <w:marTop w:val="40"/>
              <w:marBottom w:val="40"/>
              <w:divBdr>
                <w:top w:val="none" w:sz="0" w:space="0" w:color="auto"/>
                <w:left w:val="none" w:sz="0" w:space="0" w:color="auto"/>
                <w:bottom w:val="none" w:sz="0" w:space="0" w:color="auto"/>
                <w:right w:val="none" w:sz="0" w:space="0" w:color="auto"/>
              </w:divBdr>
              <w:divsChild>
                <w:div w:id="1127547463">
                  <w:marLeft w:val="0"/>
                  <w:marRight w:val="0"/>
                  <w:marTop w:val="0"/>
                  <w:marBottom w:val="0"/>
                  <w:divBdr>
                    <w:top w:val="none" w:sz="0" w:space="0" w:color="auto"/>
                    <w:left w:val="none" w:sz="0" w:space="0" w:color="auto"/>
                    <w:bottom w:val="none" w:sz="0" w:space="0" w:color="auto"/>
                    <w:right w:val="none" w:sz="0" w:space="0" w:color="auto"/>
                  </w:divBdr>
                  <w:divsChild>
                    <w:div w:id="120415992">
                      <w:marLeft w:val="0"/>
                      <w:marRight w:val="0"/>
                      <w:marTop w:val="0"/>
                      <w:marBottom w:val="0"/>
                      <w:divBdr>
                        <w:top w:val="none" w:sz="0" w:space="0" w:color="auto"/>
                        <w:left w:val="none" w:sz="0" w:space="0" w:color="auto"/>
                        <w:bottom w:val="none" w:sz="0" w:space="0" w:color="auto"/>
                        <w:right w:val="none" w:sz="0" w:space="0" w:color="auto"/>
                      </w:divBdr>
                    </w:div>
                    <w:div w:id="529999334">
                      <w:marLeft w:val="0"/>
                      <w:marRight w:val="0"/>
                      <w:marTop w:val="0"/>
                      <w:marBottom w:val="0"/>
                      <w:divBdr>
                        <w:top w:val="none" w:sz="0" w:space="0" w:color="auto"/>
                        <w:left w:val="none" w:sz="0" w:space="0" w:color="auto"/>
                        <w:bottom w:val="none" w:sz="0" w:space="0" w:color="auto"/>
                        <w:right w:val="none" w:sz="0" w:space="0" w:color="auto"/>
                      </w:divBdr>
                    </w:div>
                    <w:div w:id="1389915025">
                      <w:marLeft w:val="0"/>
                      <w:marRight w:val="0"/>
                      <w:marTop w:val="0"/>
                      <w:marBottom w:val="0"/>
                      <w:divBdr>
                        <w:top w:val="none" w:sz="0" w:space="0" w:color="auto"/>
                        <w:left w:val="none" w:sz="0" w:space="0" w:color="auto"/>
                        <w:bottom w:val="none" w:sz="0" w:space="0" w:color="auto"/>
                        <w:right w:val="none" w:sz="0" w:space="0" w:color="auto"/>
                      </w:divBdr>
                    </w:div>
                    <w:div w:id="14351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281">
      <w:bodyDiv w:val="1"/>
      <w:marLeft w:val="0"/>
      <w:marRight w:val="0"/>
      <w:marTop w:val="0"/>
      <w:marBottom w:val="0"/>
      <w:divBdr>
        <w:top w:val="none" w:sz="0" w:space="0" w:color="auto"/>
        <w:left w:val="none" w:sz="0" w:space="0" w:color="auto"/>
        <w:bottom w:val="none" w:sz="0" w:space="0" w:color="auto"/>
        <w:right w:val="none" w:sz="0" w:space="0" w:color="auto"/>
      </w:divBdr>
    </w:div>
    <w:div w:id="815418790">
      <w:bodyDiv w:val="1"/>
      <w:marLeft w:val="0"/>
      <w:marRight w:val="0"/>
      <w:marTop w:val="0"/>
      <w:marBottom w:val="0"/>
      <w:divBdr>
        <w:top w:val="none" w:sz="0" w:space="0" w:color="auto"/>
        <w:left w:val="none" w:sz="0" w:space="0" w:color="auto"/>
        <w:bottom w:val="none" w:sz="0" w:space="0" w:color="auto"/>
        <w:right w:val="none" w:sz="0" w:space="0" w:color="auto"/>
      </w:divBdr>
      <w:divsChild>
        <w:div w:id="4738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454286">
      <w:bodyDiv w:val="1"/>
      <w:marLeft w:val="0"/>
      <w:marRight w:val="0"/>
      <w:marTop w:val="0"/>
      <w:marBottom w:val="0"/>
      <w:divBdr>
        <w:top w:val="none" w:sz="0" w:space="0" w:color="auto"/>
        <w:left w:val="none" w:sz="0" w:space="0" w:color="auto"/>
        <w:bottom w:val="none" w:sz="0" w:space="0" w:color="auto"/>
        <w:right w:val="none" w:sz="0" w:space="0" w:color="auto"/>
      </w:divBdr>
    </w:div>
    <w:div w:id="969242609">
      <w:bodyDiv w:val="1"/>
      <w:marLeft w:val="0"/>
      <w:marRight w:val="0"/>
      <w:marTop w:val="0"/>
      <w:marBottom w:val="0"/>
      <w:divBdr>
        <w:top w:val="none" w:sz="0" w:space="0" w:color="auto"/>
        <w:left w:val="none" w:sz="0" w:space="0" w:color="auto"/>
        <w:bottom w:val="none" w:sz="0" w:space="0" w:color="auto"/>
        <w:right w:val="none" w:sz="0" w:space="0" w:color="auto"/>
      </w:divBdr>
      <w:divsChild>
        <w:div w:id="1940022093">
          <w:marLeft w:val="0"/>
          <w:marRight w:val="0"/>
          <w:marTop w:val="0"/>
          <w:marBottom w:val="0"/>
          <w:divBdr>
            <w:top w:val="none" w:sz="0" w:space="0" w:color="auto"/>
            <w:left w:val="none" w:sz="0" w:space="0" w:color="auto"/>
            <w:bottom w:val="none" w:sz="0" w:space="0" w:color="auto"/>
            <w:right w:val="none" w:sz="0" w:space="0" w:color="auto"/>
          </w:divBdr>
          <w:divsChild>
            <w:div w:id="341052550">
              <w:marLeft w:val="0"/>
              <w:marRight w:val="0"/>
              <w:marTop w:val="0"/>
              <w:marBottom w:val="0"/>
              <w:divBdr>
                <w:top w:val="none" w:sz="0" w:space="0" w:color="auto"/>
                <w:left w:val="none" w:sz="0" w:space="0" w:color="auto"/>
                <w:bottom w:val="none" w:sz="0" w:space="0" w:color="auto"/>
                <w:right w:val="none" w:sz="0" w:space="0" w:color="auto"/>
              </w:divBdr>
              <w:divsChild>
                <w:div w:id="1052844961">
                  <w:marLeft w:val="0"/>
                  <w:marRight w:val="0"/>
                  <w:marTop w:val="0"/>
                  <w:marBottom w:val="0"/>
                  <w:divBdr>
                    <w:top w:val="none" w:sz="0" w:space="0" w:color="auto"/>
                    <w:left w:val="none" w:sz="0" w:space="0" w:color="auto"/>
                    <w:bottom w:val="none" w:sz="0" w:space="0" w:color="auto"/>
                    <w:right w:val="none" w:sz="0" w:space="0" w:color="auto"/>
                  </w:divBdr>
                  <w:divsChild>
                    <w:div w:id="736132837">
                      <w:marLeft w:val="0"/>
                      <w:marRight w:val="0"/>
                      <w:marTop w:val="0"/>
                      <w:marBottom w:val="0"/>
                      <w:divBdr>
                        <w:top w:val="none" w:sz="0" w:space="0" w:color="auto"/>
                        <w:left w:val="none" w:sz="0" w:space="0" w:color="auto"/>
                        <w:bottom w:val="none" w:sz="0" w:space="0" w:color="auto"/>
                        <w:right w:val="none" w:sz="0" w:space="0" w:color="auto"/>
                      </w:divBdr>
                      <w:divsChild>
                        <w:div w:id="8122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047">
                  <w:marLeft w:val="0"/>
                  <w:marRight w:val="0"/>
                  <w:marTop w:val="0"/>
                  <w:marBottom w:val="0"/>
                  <w:divBdr>
                    <w:top w:val="none" w:sz="0" w:space="0" w:color="auto"/>
                    <w:left w:val="none" w:sz="0" w:space="0" w:color="auto"/>
                    <w:bottom w:val="none" w:sz="0" w:space="0" w:color="auto"/>
                    <w:right w:val="none" w:sz="0" w:space="0" w:color="auto"/>
                  </w:divBdr>
                  <w:divsChild>
                    <w:div w:id="1184318457">
                      <w:marLeft w:val="0"/>
                      <w:marRight w:val="0"/>
                      <w:marTop w:val="0"/>
                      <w:marBottom w:val="0"/>
                      <w:divBdr>
                        <w:top w:val="none" w:sz="0" w:space="0" w:color="auto"/>
                        <w:left w:val="none" w:sz="0" w:space="0" w:color="auto"/>
                        <w:bottom w:val="none" w:sz="0" w:space="0" w:color="auto"/>
                        <w:right w:val="none" w:sz="0" w:space="0" w:color="auto"/>
                      </w:divBdr>
                      <w:divsChild>
                        <w:div w:id="1995061437">
                          <w:marLeft w:val="0"/>
                          <w:marRight w:val="0"/>
                          <w:marTop w:val="0"/>
                          <w:marBottom w:val="0"/>
                          <w:divBdr>
                            <w:top w:val="none" w:sz="0" w:space="0" w:color="auto"/>
                            <w:left w:val="none" w:sz="0" w:space="0" w:color="auto"/>
                            <w:bottom w:val="none" w:sz="0" w:space="0" w:color="auto"/>
                            <w:right w:val="none" w:sz="0" w:space="0" w:color="auto"/>
                          </w:divBdr>
                        </w:div>
                      </w:divsChild>
                    </w:div>
                    <w:div w:id="2096201713">
                      <w:marLeft w:val="0"/>
                      <w:marRight w:val="0"/>
                      <w:marTop w:val="0"/>
                      <w:marBottom w:val="0"/>
                      <w:divBdr>
                        <w:top w:val="none" w:sz="0" w:space="0" w:color="auto"/>
                        <w:left w:val="none" w:sz="0" w:space="0" w:color="auto"/>
                        <w:bottom w:val="none" w:sz="0" w:space="0" w:color="auto"/>
                        <w:right w:val="none" w:sz="0" w:space="0" w:color="auto"/>
                      </w:divBdr>
                      <w:divsChild>
                        <w:div w:id="1663193440">
                          <w:marLeft w:val="0"/>
                          <w:marRight w:val="0"/>
                          <w:marTop w:val="0"/>
                          <w:marBottom w:val="0"/>
                          <w:divBdr>
                            <w:top w:val="none" w:sz="0" w:space="0" w:color="auto"/>
                            <w:left w:val="none" w:sz="0" w:space="0" w:color="auto"/>
                            <w:bottom w:val="none" w:sz="0" w:space="0" w:color="auto"/>
                            <w:right w:val="none" w:sz="0" w:space="0" w:color="auto"/>
                          </w:divBdr>
                          <w:divsChild>
                            <w:div w:id="857963097">
                              <w:marLeft w:val="0"/>
                              <w:marRight w:val="0"/>
                              <w:marTop w:val="0"/>
                              <w:marBottom w:val="0"/>
                              <w:divBdr>
                                <w:top w:val="none" w:sz="0" w:space="0" w:color="auto"/>
                                <w:left w:val="none" w:sz="0" w:space="0" w:color="auto"/>
                                <w:bottom w:val="none" w:sz="0" w:space="0" w:color="auto"/>
                                <w:right w:val="none" w:sz="0" w:space="0" w:color="auto"/>
                              </w:divBdr>
                              <w:divsChild>
                                <w:div w:id="13353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0936">
                      <w:marLeft w:val="0"/>
                      <w:marRight w:val="0"/>
                      <w:marTop w:val="0"/>
                      <w:marBottom w:val="0"/>
                      <w:divBdr>
                        <w:top w:val="none" w:sz="0" w:space="0" w:color="auto"/>
                        <w:left w:val="none" w:sz="0" w:space="0" w:color="auto"/>
                        <w:bottom w:val="none" w:sz="0" w:space="0" w:color="auto"/>
                        <w:right w:val="none" w:sz="0" w:space="0" w:color="auto"/>
                      </w:divBdr>
                      <w:divsChild>
                        <w:div w:id="206770202">
                          <w:marLeft w:val="0"/>
                          <w:marRight w:val="0"/>
                          <w:marTop w:val="0"/>
                          <w:marBottom w:val="0"/>
                          <w:divBdr>
                            <w:top w:val="none" w:sz="0" w:space="0" w:color="auto"/>
                            <w:left w:val="none" w:sz="0" w:space="0" w:color="auto"/>
                            <w:bottom w:val="none" w:sz="0" w:space="0" w:color="auto"/>
                            <w:right w:val="none" w:sz="0" w:space="0" w:color="auto"/>
                          </w:divBdr>
                          <w:divsChild>
                            <w:div w:id="64770090">
                              <w:marLeft w:val="0"/>
                              <w:marRight w:val="0"/>
                              <w:marTop w:val="0"/>
                              <w:marBottom w:val="0"/>
                              <w:divBdr>
                                <w:top w:val="none" w:sz="0" w:space="0" w:color="auto"/>
                                <w:left w:val="none" w:sz="0" w:space="0" w:color="auto"/>
                                <w:bottom w:val="none" w:sz="0" w:space="0" w:color="auto"/>
                                <w:right w:val="none" w:sz="0" w:space="0" w:color="auto"/>
                              </w:divBdr>
                              <w:divsChild>
                                <w:div w:id="17154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65716">
                      <w:marLeft w:val="0"/>
                      <w:marRight w:val="0"/>
                      <w:marTop w:val="0"/>
                      <w:marBottom w:val="0"/>
                      <w:divBdr>
                        <w:top w:val="none" w:sz="0" w:space="0" w:color="auto"/>
                        <w:left w:val="none" w:sz="0" w:space="0" w:color="auto"/>
                        <w:bottom w:val="none" w:sz="0" w:space="0" w:color="auto"/>
                        <w:right w:val="none" w:sz="0" w:space="0" w:color="auto"/>
                      </w:divBdr>
                      <w:divsChild>
                        <w:div w:id="1525510396">
                          <w:marLeft w:val="0"/>
                          <w:marRight w:val="0"/>
                          <w:marTop w:val="0"/>
                          <w:marBottom w:val="0"/>
                          <w:divBdr>
                            <w:top w:val="none" w:sz="0" w:space="0" w:color="auto"/>
                            <w:left w:val="none" w:sz="0" w:space="0" w:color="auto"/>
                            <w:bottom w:val="none" w:sz="0" w:space="0" w:color="auto"/>
                            <w:right w:val="none" w:sz="0" w:space="0" w:color="auto"/>
                          </w:divBdr>
                          <w:divsChild>
                            <w:div w:id="266547439">
                              <w:marLeft w:val="0"/>
                              <w:marRight w:val="0"/>
                              <w:marTop w:val="0"/>
                              <w:marBottom w:val="0"/>
                              <w:divBdr>
                                <w:top w:val="none" w:sz="0" w:space="0" w:color="auto"/>
                                <w:left w:val="none" w:sz="0" w:space="0" w:color="auto"/>
                                <w:bottom w:val="none" w:sz="0" w:space="0" w:color="auto"/>
                                <w:right w:val="none" w:sz="0" w:space="0" w:color="auto"/>
                              </w:divBdr>
                              <w:divsChild>
                                <w:div w:id="403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4824">
                      <w:marLeft w:val="0"/>
                      <w:marRight w:val="0"/>
                      <w:marTop w:val="0"/>
                      <w:marBottom w:val="0"/>
                      <w:divBdr>
                        <w:top w:val="none" w:sz="0" w:space="0" w:color="auto"/>
                        <w:left w:val="none" w:sz="0" w:space="0" w:color="auto"/>
                        <w:bottom w:val="none" w:sz="0" w:space="0" w:color="auto"/>
                        <w:right w:val="none" w:sz="0" w:space="0" w:color="auto"/>
                      </w:divBdr>
                      <w:divsChild>
                        <w:div w:id="1672679327">
                          <w:marLeft w:val="0"/>
                          <w:marRight w:val="0"/>
                          <w:marTop w:val="0"/>
                          <w:marBottom w:val="0"/>
                          <w:divBdr>
                            <w:top w:val="none" w:sz="0" w:space="0" w:color="auto"/>
                            <w:left w:val="none" w:sz="0" w:space="0" w:color="auto"/>
                            <w:bottom w:val="none" w:sz="0" w:space="0" w:color="auto"/>
                            <w:right w:val="none" w:sz="0" w:space="0" w:color="auto"/>
                          </w:divBdr>
                          <w:divsChild>
                            <w:div w:id="1647470251">
                              <w:marLeft w:val="0"/>
                              <w:marRight w:val="0"/>
                              <w:marTop w:val="0"/>
                              <w:marBottom w:val="0"/>
                              <w:divBdr>
                                <w:top w:val="none" w:sz="0" w:space="0" w:color="auto"/>
                                <w:left w:val="none" w:sz="0" w:space="0" w:color="auto"/>
                                <w:bottom w:val="none" w:sz="0" w:space="0" w:color="auto"/>
                                <w:right w:val="none" w:sz="0" w:space="0" w:color="auto"/>
                              </w:divBdr>
                              <w:divsChild>
                                <w:div w:id="17464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08963">
                      <w:marLeft w:val="0"/>
                      <w:marRight w:val="0"/>
                      <w:marTop w:val="0"/>
                      <w:marBottom w:val="0"/>
                      <w:divBdr>
                        <w:top w:val="none" w:sz="0" w:space="0" w:color="auto"/>
                        <w:left w:val="none" w:sz="0" w:space="0" w:color="auto"/>
                        <w:bottom w:val="none" w:sz="0" w:space="0" w:color="auto"/>
                        <w:right w:val="none" w:sz="0" w:space="0" w:color="auto"/>
                      </w:divBdr>
                      <w:divsChild>
                        <w:div w:id="1580169482">
                          <w:marLeft w:val="0"/>
                          <w:marRight w:val="0"/>
                          <w:marTop w:val="0"/>
                          <w:marBottom w:val="0"/>
                          <w:divBdr>
                            <w:top w:val="none" w:sz="0" w:space="0" w:color="auto"/>
                            <w:left w:val="none" w:sz="0" w:space="0" w:color="auto"/>
                            <w:bottom w:val="none" w:sz="0" w:space="0" w:color="auto"/>
                            <w:right w:val="none" w:sz="0" w:space="0" w:color="auto"/>
                          </w:divBdr>
                          <w:divsChild>
                            <w:div w:id="746654336">
                              <w:marLeft w:val="0"/>
                              <w:marRight w:val="0"/>
                              <w:marTop w:val="0"/>
                              <w:marBottom w:val="0"/>
                              <w:divBdr>
                                <w:top w:val="none" w:sz="0" w:space="0" w:color="auto"/>
                                <w:left w:val="none" w:sz="0" w:space="0" w:color="auto"/>
                                <w:bottom w:val="none" w:sz="0" w:space="0" w:color="auto"/>
                                <w:right w:val="none" w:sz="0" w:space="0" w:color="auto"/>
                              </w:divBdr>
                              <w:divsChild>
                                <w:div w:id="11428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147">
                      <w:marLeft w:val="0"/>
                      <w:marRight w:val="0"/>
                      <w:marTop w:val="0"/>
                      <w:marBottom w:val="0"/>
                      <w:divBdr>
                        <w:top w:val="none" w:sz="0" w:space="0" w:color="auto"/>
                        <w:left w:val="none" w:sz="0" w:space="0" w:color="auto"/>
                        <w:bottom w:val="none" w:sz="0" w:space="0" w:color="auto"/>
                        <w:right w:val="none" w:sz="0" w:space="0" w:color="auto"/>
                      </w:divBdr>
                      <w:divsChild>
                        <w:div w:id="1335835179">
                          <w:marLeft w:val="0"/>
                          <w:marRight w:val="0"/>
                          <w:marTop w:val="0"/>
                          <w:marBottom w:val="0"/>
                          <w:divBdr>
                            <w:top w:val="none" w:sz="0" w:space="0" w:color="auto"/>
                            <w:left w:val="none" w:sz="0" w:space="0" w:color="auto"/>
                            <w:bottom w:val="none" w:sz="0" w:space="0" w:color="auto"/>
                            <w:right w:val="none" w:sz="0" w:space="0" w:color="auto"/>
                          </w:divBdr>
                          <w:divsChild>
                            <w:div w:id="1102798550">
                              <w:marLeft w:val="0"/>
                              <w:marRight w:val="0"/>
                              <w:marTop w:val="0"/>
                              <w:marBottom w:val="0"/>
                              <w:divBdr>
                                <w:top w:val="none" w:sz="0" w:space="0" w:color="auto"/>
                                <w:left w:val="none" w:sz="0" w:space="0" w:color="auto"/>
                                <w:bottom w:val="none" w:sz="0" w:space="0" w:color="auto"/>
                                <w:right w:val="none" w:sz="0" w:space="0" w:color="auto"/>
                              </w:divBdr>
                              <w:divsChild>
                                <w:div w:id="3985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95405">
                  <w:marLeft w:val="0"/>
                  <w:marRight w:val="0"/>
                  <w:marTop w:val="0"/>
                  <w:marBottom w:val="0"/>
                  <w:divBdr>
                    <w:top w:val="none" w:sz="0" w:space="0" w:color="auto"/>
                    <w:left w:val="none" w:sz="0" w:space="0" w:color="auto"/>
                    <w:bottom w:val="none" w:sz="0" w:space="0" w:color="auto"/>
                    <w:right w:val="none" w:sz="0" w:space="0" w:color="auto"/>
                  </w:divBdr>
                  <w:divsChild>
                    <w:div w:id="406147503">
                      <w:marLeft w:val="0"/>
                      <w:marRight w:val="0"/>
                      <w:marTop w:val="0"/>
                      <w:marBottom w:val="0"/>
                      <w:divBdr>
                        <w:top w:val="none" w:sz="0" w:space="0" w:color="auto"/>
                        <w:left w:val="none" w:sz="0" w:space="0" w:color="auto"/>
                        <w:bottom w:val="none" w:sz="0" w:space="0" w:color="auto"/>
                        <w:right w:val="none" w:sz="0" w:space="0" w:color="auto"/>
                      </w:divBdr>
                      <w:divsChild>
                        <w:div w:id="14522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7489">
                  <w:marLeft w:val="0"/>
                  <w:marRight w:val="0"/>
                  <w:marTop w:val="0"/>
                  <w:marBottom w:val="0"/>
                  <w:divBdr>
                    <w:top w:val="none" w:sz="0" w:space="0" w:color="auto"/>
                    <w:left w:val="none" w:sz="0" w:space="0" w:color="auto"/>
                    <w:bottom w:val="none" w:sz="0" w:space="0" w:color="auto"/>
                    <w:right w:val="none" w:sz="0" w:space="0" w:color="auto"/>
                  </w:divBdr>
                  <w:divsChild>
                    <w:div w:id="1668943489">
                      <w:marLeft w:val="0"/>
                      <w:marRight w:val="0"/>
                      <w:marTop w:val="0"/>
                      <w:marBottom w:val="0"/>
                      <w:divBdr>
                        <w:top w:val="none" w:sz="0" w:space="0" w:color="auto"/>
                        <w:left w:val="none" w:sz="0" w:space="0" w:color="auto"/>
                        <w:bottom w:val="none" w:sz="0" w:space="0" w:color="auto"/>
                        <w:right w:val="none" w:sz="0" w:space="0" w:color="auto"/>
                      </w:divBdr>
                      <w:divsChild>
                        <w:div w:id="1307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975937">
      <w:bodyDiv w:val="1"/>
      <w:marLeft w:val="0"/>
      <w:marRight w:val="0"/>
      <w:marTop w:val="0"/>
      <w:marBottom w:val="0"/>
      <w:divBdr>
        <w:top w:val="none" w:sz="0" w:space="0" w:color="auto"/>
        <w:left w:val="none" w:sz="0" w:space="0" w:color="auto"/>
        <w:bottom w:val="none" w:sz="0" w:space="0" w:color="auto"/>
        <w:right w:val="none" w:sz="0" w:space="0" w:color="auto"/>
      </w:divBdr>
    </w:div>
    <w:div w:id="1184630168">
      <w:bodyDiv w:val="1"/>
      <w:marLeft w:val="0"/>
      <w:marRight w:val="0"/>
      <w:marTop w:val="0"/>
      <w:marBottom w:val="0"/>
      <w:divBdr>
        <w:top w:val="none" w:sz="0" w:space="0" w:color="auto"/>
        <w:left w:val="none" w:sz="0" w:space="0" w:color="auto"/>
        <w:bottom w:val="none" w:sz="0" w:space="0" w:color="auto"/>
        <w:right w:val="none" w:sz="0" w:space="0" w:color="auto"/>
      </w:divBdr>
      <w:divsChild>
        <w:div w:id="1394965558">
          <w:marLeft w:val="0"/>
          <w:marRight w:val="0"/>
          <w:marTop w:val="0"/>
          <w:marBottom w:val="0"/>
          <w:divBdr>
            <w:top w:val="none" w:sz="0" w:space="0" w:color="auto"/>
            <w:left w:val="none" w:sz="0" w:space="0" w:color="auto"/>
            <w:bottom w:val="none" w:sz="0" w:space="0" w:color="auto"/>
            <w:right w:val="none" w:sz="0" w:space="0" w:color="auto"/>
          </w:divBdr>
          <w:divsChild>
            <w:div w:id="2054503590">
              <w:marLeft w:val="0"/>
              <w:marRight w:val="0"/>
              <w:marTop w:val="0"/>
              <w:marBottom w:val="0"/>
              <w:divBdr>
                <w:top w:val="none" w:sz="0" w:space="0" w:color="auto"/>
                <w:left w:val="none" w:sz="0" w:space="0" w:color="auto"/>
                <w:bottom w:val="none" w:sz="0" w:space="0" w:color="auto"/>
                <w:right w:val="none" w:sz="0" w:space="0" w:color="auto"/>
              </w:divBdr>
              <w:divsChild>
                <w:div w:id="117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61116">
      <w:bodyDiv w:val="1"/>
      <w:marLeft w:val="0"/>
      <w:marRight w:val="0"/>
      <w:marTop w:val="0"/>
      <w:marBottom w:val="0"/>
      <w:divBdr>
        <w:top w:val="none" w:sz="0" w:space="0" w:color="auto"/>
        <w:left w:val="none" w:sz="0" w:space="0" w:color="auto"/>
        <w:bottom w:val="none" w:sz="0" w:space="0" w:color="auto"/>
        <w:right w:val="none" w:sz="0" w:space="0" w:color="auto"/>
      </w:divBdr>
      <w:divsChild>
        <w:div w:id="674963076">
          <w:marLeft w:val="0"/>
          <w:marRight w:val="0"/>
          <w:marTop w:val="0"/>
          <w:marBottom w:val="0"/>
          <w:divBdr>
            <w:top w:val="none" w:sz="0" w:space="0" w:color="auto"/>
            <w:left w:val="none" w:sz="0" w:space="0" w:color="auto"/>
            <w:bottom w:val="none" w:sz="0" w:space="0" w:color="auto"/>
            <w:right w:val="none" w:sz="0" w:space="0" w:color="auto"/>
          </w:divBdr>
          <w:divsChild>
            <w:div w:id="1850875724">
              <w:marLeft w:val="0"/>
              <w:marRight w:val="0"/>
              <w:marTop w:val="0"/>
              <w:marBottom w:val="0"/>
              <w:divBdr>
                <w:top w:val="none" w:sz="0" w:space="0" w:color="auto"/>
                <w:left w:val="none" w:sz="0" w:space="0" w:color="auto"/>
                <w:bottom w:val="none" w:sz="0" w:space="0" w:color="auto"/>
                <w:right w:val="none" w:sz="0" w:space="0" w:color="auto"/>
              </w:divBdr>
              <w:divsChild>
                <w:div w:id="551965625">
                  <w:marLeft w:val="0"/>
                  <w:marRight w:val="0"/>
                  <w:marTop w:val="0"/>
                  <w:marBottom w:val="0"/>
                  <w:divBdr>
                    <w:top w:val="none" w:sz="0" w:space="0" w:color="auto"/>
                    <w:left w:val="none" w:sz="0" w:space="0" w:color="auto"/>
                    <w:bottom w:val="none" w:sz="0" w:space="0" w:color="auto"/>
                    <w:right w:val="none" w:sz="0" w:space="0" w:color="auto"/>
                  </w:divBdr>
                  <w:divsChild>
                    <w:div w:id="2079553979">
                      <w:marLeft w:val="0"/>
                      <w:marRight w:val="0"/>
                      <w:marTop w:val="0"/>
                      <w:marBottom w:val="0"/>
                      <w:divBdr>
                        <w:top w:val="none" w:sz="0" w:space="0" w:color="auto"/>
                        <w:left w:val="none" w:sz="0" w:space="0" w:color="auto"/>
                        <w:bottom w:val="none" w:sz="0" w:space="0" w:color="auto"/>
                        <w:right w:val="none" w:sz="0" w:space="0" w:color="auto"/>
                      </w:divBdr>
                      <w:divsChild>
                        <w:div w:id="17517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864">
                  <w:marLeft w:val="0"/>
                  <w:marRight w:val="0"/>
                  <w:marTop w:val="0"/>
                  <w:marBottom w:val="0"/>
                  <w:divBdr>
                    <w:top w:val="none" w:sz="0" w:space="0" w:color="auto"/>
                    <w:left w:val="none" w:sz="0" w:space="0" w:color="auto"/>
                    <w:bottom w:val="none" w:sz="0" w:space="0" w:color="auto"/>
                    <w:right w:val="none" w:sz="0" w:space="0" w:color="auto"/>
                  </w:divBdr>
                  <w:divsChild>
                    <w:div w:id="1598825830">
                      <w:marLeft w:val="0"/>
                      <w:marRight w:val="0"/>
                      <w:marTop w:val="0"/>
                      <w:marBottom w:val="0"/>
                      <w:divBdr>
                        <w:top w:val="none" w:sz="0" w:space="0" w:color="auto"/>
                        <w:left w:val="none" w:sz="0" w:space="0" w:color="auto"/>
                        <w:bottom w:val="none" w:sz="0" w:space="0" w:color="auto"/>
                        <w:right w:val="none" w:sz="0" w:space="0" w:color="auto"/>
                      </w:divBdr>
                      <w:divsChild>
                        <w:div w:id="1869834583">
                          <w:marLeft w:val="0"/>
                          <w:marRight w:val="0"/>
                          <w:marTop w:val="0"/>
                          <w:marBottom w:val="0"/>
                          <w:divBdr>
                            <w:top w:val="none" w:sz="0" w:space="0" w:color="auto"/>
                            <w:left w:val="none" w:sz="0" w:space="0" w:color="auto"/>
                            <w:bottom w:val="none" w:sz="0" w:space="0" w:color="auto"/>
                            <w:right w:val="none" w:sz="0" w:space="0" w:color="auto"/>
                          </w:divBdr>
                        </w:div>
                      </w:divsChild>
                    </w:div>
                    <w:div w:id="1349067943">
                      <w:marLeft w:val="0"/>
                      <w:marRight w:val="0"/>
                      <w:marTop w:val="0"/>
                      <w:marBottom w:val="0"/>
                      <w:divBdr>
                        <w:top w:val="none" w:sz="0" w:space="0" w:color="auto"/>
                        <w:left w:val="none" w:sz="0" w:space="0" w:color="auto"/>
                        <w:bottom w:val="none" w:sz="0" w:space="0" w:color="auto"/>
                        <w:right w:val="none" w:sz="0" w:space="0" w:color="auto"/>
                      </w:divBdr>
                      <w:divsChild>
                        <w:div w:id="489060169">
                          <w:marLeft w:val="0"/>
                          <w:marRight w:val="0"/>
                          <w:marTop w:val="0"/>
                          <w:marBottom w:val="0"/>
                          <w:divBdr>
                            <w:top w:val="none" w:sz="0" w:space="0" w:color="auto"/>
                            <w:left w:val="none" w:sz="0" w:space="0" w:color="auto"/>
                            <w:bottom w:val="none" w:sz="0" w:space="0" w:color="auto"/>
                            <w:right w:val="none" w:sz="0" w:space="0" w:color="auto"/>
                          </w:divBdr>
                          <w:divsChild>
                            <w:div w:id="975991523">
                              <w:marLeft w:val="0"/>
                              <w:marRight w:val="0"/>
                              <w:marTop w:val="0"/>
                              <w:marBottom w:val="0"/>
                              <w:divBdr>
                                <w:top w:val="none" w:sz="0" w:space="0" w:color="auto"/>
                                <w:left w:val="none" w:sz="0" w:space="0" w:color="auto"/>
                                <w:bottom w:val="none" w:sz="0" w:space="0" w:color="auto"/>
                                <w:right w:val="none" w:sz="0" w:space="0" w:color="auto"/>
                              </w:divBdr>
                              <w:divsChild>
                                <w:div w:id="12610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5152">
                      <w:marLeft w:val="0"/>
                      <w:marRight w:val="0"/>
                      <w:marTop w:val="0"/>
                      <w:marBottom w:val="0"/>
                      <w:divBdr>
                        <w:top w:val="none" w:sz="0" w:space="0" w:color="auto"/>
                        <w:left w:val="none" w:sz="0" w:space="0" w:color="auto"/>
                        <w:bottom w:val="none" w:sz="0" w:space="0" w:color="auto"/>
                        <w:right w:val="none" w:sz="0" w:space="0" w:color="auto"/>
                      </w:divBdr>
                      <w:divsChild>
                        <w:div w:id="657078578">
                          <w:marLeft w:val="0"/>
                          <w:marRight w:val="0"/>
                          <w:marTop w:val="0"/>
                          <w:marBottom w:val="0"/>
                          <w:divBdr>
                            <w:top w:val="none" w:sz="0" w:space="0" w:color="auto"/>
                            <w:left w:val="none" w:sz="0" w:space="0" w:color="auto"/>
                            <w:bottom w:val="none" w:sz="0" w:space="0" w:color="auto"/>
                            <w:right w:val="none" w:sz="0" w:space="0" w:color="auto"/>
                          </w:divBdr>
                          <w:divsChild>
                            <w:div w:id="1192255993">
                              <w:marLeft w:val="0"/>
                              <w:marRight w:val="0"/>
                              <w:marTop w:val="0"/>
                              <w:marBottom w:val="0"/>
                              <w:divBdr>
                                <w:top w:val="none" w:sz="0" w:space="0" w:color="auto"/>
                                <w:left w:val="none" w:sz="0" w:space="0" w:color="auto"/>
                                <w:bottom w:val="none" w:sz="0" w:space="0" w:color="auto"/>
                                <w:right w:val="none" w:sz="0" w:space="0" w:color="auto"/>
                              </w:divBdr>
                              <w:divsChild>
                                <w:div w:id="10242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1992">
                      <w:marLeft w:val="0"/>
                      <w:marRight w:val="0"/>
                      <w:marTop w:val="0"/>
                      <w:marBottom w:val="0"/>
                      <w:divBdr>
                        <w:top w:val="none" w:sz="0" w:space="0" w:color="auto"/>
                        <w:left w:val="none" w:sz="0" w:space="0" w:color="auto"/>
                        <w:bottom w:val="none" w:sz="0" w:space="0" w:color="auto"/>
                        <w:right w:val="none" w:sz="0" w:space="0" w:color="auto"/>
                      </w:divBdr>
                      <w:divsChild>
                        <w:div w:id="1673216789">
                          <w:marLeft w:val="0"/>
                          <w:marRight w:val="0"/>
                          <w:marTop w:val="0"/>
                          <w:marBottom w:val="0"/>
                          <w:divBdr>
                            <w:top w:val="none" w:sz="0" w:space="0" w:color="auto"/>
                            <w:left w:val="none" w:sz="0" w:space="0" w:color="auto"/>
                            <w:bottom w:val="none" w:sz="0" w:space="0" w:color="auto"/>
                            <w:right w:val="none" w:sz="0" w:space="0" w:color="auto"/>
                          </w:divBdr>
                          <w:divsChild>
                            <w:div w:id="1027020797">
                              <w:marLeft w:val="0"/>
                              <w:marRight w:val="0"/>
                              <w:marTop w:val="0"/>
                              <w:marBottom w:val="0"/>
                              <w:divBdr>
                                <w:top w:val="none" w:sz="0" w:space="0" w:color="auto"/>
                                <w:left w:val="none" w:sz="0" w:space="0" w:color="auto"/>
                                <w:bottom w:val="none" w:sz="0" w:space="0" w:color="auto"/>
                                <w:right w:val="none" w:sz="0" w:space="0" w:color="auto"/>
                              </w:divBdr>
                              <w:divsChild>
                                <w:div w:id="2969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597">
                      <w:marLeft w:val="0"/>
                      <w:marRight w:val="0"/>
                      <w:marTop w:val="0"/>
                      <w:marBottom w:val="0"/>
                      <w:divBdr>
                        <w:top w:val="none" w:sz="0" w:space="0" w:color="auto"/>
                        <w:left w:val="none" w:sz="0" w:space="0" w:color="auto"/>
                        <w:bottom w:val="none" w:sz="0" w:space="0" w:color="auto"/>
                        <w:right w:val="none" w:sz="0" w:space="0" w:color="auto"/>
                      </w:divBdr>
                      <w:divsChild>
                        <w:div w:id="1493252279">
                          <w:marLeft w:val="0"/>
                          <w:marRight w:val="0"/>
                          <w:marTop w:val="0"/>
                          <w:marBottom w:val="0"/>
                          <w:divBdr>
                            <w:top w:val="none" w:sz="0" w:space="0" w:color="auto"/>
                            <w:left w:val="none" w:sz="0" w:space="0" w:color="auto"/>
                            <w:bottom w:val="none" w:sz="0" w:space="0" w:color="auto"/>
                            <w:right w:val="none" w:sz="0" w:space="0" w:color="auto"/>
                          </w:divBdr>
                          <w:divsChild>
                            <w:div w:id="1217623367">
                              <w:marLeft w:val="0"/>
                              <w:marRight w:val="0"/>
                              <w:marTop w:val="0"/>
                              <w:marBottom w:val="0"/>
                              <w:divBdr>
                                <w:top w:val="none" w:sz="0" w:space="0" w:color="auto"/>
                                <w:left w:val="none" w:sz="0" w:space="0" w:color="auto"/>
                                <w:bottom w:val="none" w:sz="0" w:space="0" w:color="auto"/>
                                <w:right w:val="none" w:sz="0" w:space="0" w:color="auto"/>
                              </w:divBdr>
                              <w:divsChild>
                                <w:div w:id="14532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4106">
                      <w:marLeft w:val="0"/>
                      <w:marRight w:val="0"/>
                      <w:marTop w:val="0"/>
                      <w:marBottom w:val="0"/>
                      <w:divBdr>
                        <w:top w:val="none" w:sz="0" w:space="0" w:color="auto"/>
                        <w:left w:val="none" w:sz="0" w:space="0" w:color="auto"/>
                        <w:bottom w:val="none" w:sz="0" w:space="0" w:color="auto"/>
                        <w:right w:val="none" w:sz="0" w:space="0" w:color="auto"/>
                      </w:divBdr>
                      <w:divsChild>
                        <w:div w:id="450900090">
                          <w:marLeft w:val="0"/>
                          <w:marRight w:val="0"/>
                          <w:marTop w:val="0"/>
                          <w:marBottom w:val="0"/>
                          <w:divBdr>
                            <w:top w:val="none" w:sz="0" w:space="0" w:color="auto"/>
                            <w:left w:val="none" w:sz="0" w:space="0" w:color="auto"/>
                            <w:bottom w:val="none" w:sz="0" w:space="0" w:color="auto"/>
                            <w:right w:val="none" w:sz="0" w:space="0" w:color="auto"/>
                          </w:divBdr>
                          <w:divsChild>
                            <w:div w:id="935796115">
                              <w:marLeft w:val="0"/>
                              <w:marRight w:val="0"/>
                              <w:marTop w:val="0"/>
                              <w:marBottom w:val="0"/>
                              <w:divBdr>
                                <w:top w:val="none" w:sz="0" w:space="0" w:color="auto"/>
                                <w:left w:val="none" w:sz="0" w:space="0" w:color="auto"/>
                                <w:bottom w:val="none" w:sz="0" w:space="0" w:color="auto"/>
                                <w:right w:val="none" w:sz="0" w:space="0" w:color="auto"/>
                              </w:divBdr>
                              <w:divsChild>
                                <w:div w:id="11571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00412">
                      <w:marLeft w:val="0"/>
                      <w:marRight w:val="0"/>
                      <w:marTop w:val="0"/>
                      <w:marBottom w:val="0"/>
                      <w:divBdr>
                        <w:top w:val="none" w:sz="0" w:space="0" w:color="auto"/>
                        <w:left w:val="none" w:sz="0" w:space="0" w:color="auto"/>
                        <w:bottom w:val="none" w:sz="0" w:space="0" w:color="auto"/>
                        <w:right w:val="none" w:sz="0" w:space="0" w:color="auto"/>
                      </w:divBdr>
                      <w:divsChild>
                        <w:div w:id="1995909618">
                          <w:marLeft w:val="0"/>
                          <w:marRight w:val="0"/>
                          <w:marTop w:val="0"/>
                          <w:marBottom w:val="0"/>
                          <w:divBdr>
                            <w:top w:val="none" w:sz="0" w:space="0" w:color="auto"/>
                            <w:left w:val="none" w:sz="0" w:space="0" w:color="auto"/>
                            <w:bottom w:val="none" w:sz="0" w:space="0" w:color="auto"/>
                            <w:right w:val="none" w:sz="0" w:space="0" w:color="auto"/>
                          </w:divBdr>
                          <w:divsChild>
                            <w:div w:id="1594974611">
                              <w:marLeft w:val="0"/>
                              <w:marRight w:val="0"/>
                              <w:marTop w:val="0"/>
                              <w:marBottom w:val="0"/>
                              <w:divBdr>
                                <w:top w:val="none" w:sz="0" w:space="0" w:color="auto"/>
                                <w:left w:val="none" w:sz="0" w:space="0" w:color="auto"/>
                                <w:bottom w:val="none" w:sz="0" w:space="0" w:color="auto"/>
                                <w:right w:val="none" w:sz="0" w:space="0" w:color="auto"/>
                              </w:divBdr>
                              <w:divsChild>
                                <w:div w:id="896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36020">
                  <w:marLeft w:val="0"/>
                  <w:marRight w:val="0"/>
                  <w:marTop w:val="0"/>
                  <w:marBottom w:val="0"/>
                  <w:divBdr>
                    <w:top w:val="none" w:sz="0" w:space="0" w:color="auto"/>
                    <w:left w:val="none" w:sz="0" w:space="0" w:color="auto"/>
                    <w:bottom w:val="none" w:sz="0" w:space="0" w:color="auto"/>
                    <w:right w:val="none" w:sz="0" w:space="0" w:color="auto"/>
                  </w:divBdr>
                  <w:divsChild>
                    <w:div w:id="2099671691">
                      <w:marLeft w:val="0"/>
                      <w:marRight w:val="0"/>
                      <w:marTop w:val="0"/>
                      <w:marBottom w:val="0"/>
                      <w:divBdr>
                        <w:top w:val="none" w:sz="0" w:space="0" w:color="auto"/>
                        <w:left w:val="none" w:sz="0" w:space="0" w:color="auto"/>
                        <w:bottom w:val="none" w:sz="0" w:space="0" w:color="auto"/>
                        <w:right w:val="none" w:sz="0" w:space="0" w:color="auto"/>
                      </w:divBdr>
                      <w:divsChild>
                        <w:div w:id="7346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841">
                  <w:marLeft w:val="0"/>
                  <w:marRight w:val="0"/>
                  <w:marTop w:val="0"/>
                  <w:marBottom w:val="0"/>
                  <w:divBdr>
                    <w:top w:val="none" w:sz="0" w:space="0" w:color="auto"/>
                    <w:left w:val="none" w:sz="0" w:space="0" w:color="auto"/>
                    <w:bottom w:val="none" w:sz="0" w:space="0" w:color="auto"/>
                    <w:right w:val="none" w:sz="0" w:space="0" w:color="auto"/>
                  </w:divBdr>
                  <w:divsChild>
                    <w:div w:id="655181707">
                      <w:marLeft w:val="0"/>
                      <w:marRight w:val="0"/>
                      <w:marTop w:val="0"/>
                      <w:marBottom w:val="0"/>
                      <w:divBdr>
                        <w:top w:val="none" w:sz="0" w:space="0" w:color="auto"/>
                        <w:left w:val="none" w:sz="0" w:space="0" w:color="auto"/>
                        <w:bottom w:val="none" w:sz="0" w:space="0" w:color="auto"/>
                        <w:right w:val="none" w:sz="0" w:space="0" w:color="auto"/>
                      </w:divBdr>
                      <w:divsChild>
                        <w:div w:id="1575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2878">
      <w:bodyDiv w:val="1"/>
      <w:marLeft w:val="0"/>
      <w:marRight w:val="0"/>
      <w:marTop w:val="0"/>
      <w:marBottom w:val="0"/>
      <w:divBdr>
        <w:top w:val="none" w:sz="0" w:space="0" w:color="auto"/>
        <w:left w:val="none" w:sz="0" w:space="0" w:color="auto"/>
        <w:bottom w:val="none" w:sz="0" w:space="0" w:color="auto"/>
        <w:right w:val="none" w:sz="0" w:space="0" w:color="auto"/>
      </w:divBdr>
      <w:divsChild>
        <w:div w:id="661352668">
          <w:marLeft w:val="0"/>
          <w:marRight w:val="0"/>
          <w:marTop w:val="0"/>
          <w:marBottom w:val="0"/>
          <w:divBdr>
            <w:top w:val="none" w:sz="0" w:space="0" w:color="auto"/>
            <w:left w:val="none" w:sz="0" w:space="0" w:color="auto"/>
            <w:bottom w:val="none" w:sz="0" w:space="0" w:color="auto"/>
            <w:right w:val="none" w:sz="0" w:space="0" w:color="auto"/>
          </w:divBdr>
          <w:divsChild>
            <w:div w:id="1263418360">
              <w:marLeft w:val="0"/>
              <w:marRight w:val="0"/>
              <w:marTop w:val="0"/>
              <w:marBottom w:val="0"/>
              <w:divBdr>
                <w:top w:val="none" w:sz="0" w:space="0" w:color="auto"/>
                <w:left w:val="none" w:sz="0" w:space="0" w:color="auto"/>
                <w:bottom w:val="none" w:sz="0" w:space="0" w:color="auto"/>
                <w:right w:val="none" w:sz="0" w:space="0" w:color="auto"/>
              </w:divBdr>
              <w:divsChild>
                <w:div w:id="237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9273">
      <w:bodyDiv w:val="1"/>
      <w:marLeft w:val="0"/>
      <w:marRight w:val="0"/>
      <w:marTop w:val="0"/>
      <w:marBottom w:val="0"/>
      <w:divBdr>
        <w:top w:val="none" w:sz="0" w:space="0" w:color="auto"/>
        <w:left w:val="none" w:sz="0" w:space="0" w:color="auto"/>
        <w:bottom w:val="none" w:sz="0" w:space="0" w:color="auto"/>
        <w:right w:val="none" w:sz="0" w:space="0" w:color="auto"/>
      </w:divBdr>
    </w:div>
    <w:div w:id="1425957923">
      <w:bodyDiv w:val="1"/>
      <w:marLeft w:val="0"/>
      <w:marRight w:val="0"/>
      <w:marTop w:val="0"/>
      <w:marBottom w:val="0"/>
      <w:divBdr>
        <w:top w:val="none" w:sz="0" w:space="0" w:color="auto"/>
        <w:left w:val="none" w:sz="0" w:space="0" w:color="auto"/>
        <w:bottom w:val="none" w:sz="0" w:space="0" w:color="auto"/>
        <w:right w:val="none" w:sz="0" w:space="0" w:color="auto"/>
      </w:divBdr>
      <w:divsChild>
        <w:div w:id="1248229970">
          <w:marLeft w:val="0"/>
          <w:marRight w:val="0"/>
          <w:marTop w:val="0"/>
          <w:marBottom w:val="0"/>
          <w:divBdr>
            <w:top w:val="none" w:sz="0" w:space="0" w:color="auto"/>
            <w:left w:val="none" w:sz="0" w:space="0" w:color="auto"/>
            <w:bottom w:val="none" w:sz="0" w:space="0" w:color="auto"/>
            <w:right w:val="none" w:sz="0" w:space="0" w:color="auto"/>
          </w:divBdr>
          <w:divsChild>
            <w:div w:id="173308365">
              <w:marLeft w:val="0"/>
              <w:marRight w:val="0"/>
              <w:marTop w:val="0"/>
              <w:marBottom w:val="0"/>
              <w:divBdr>
                <w:top w:val="none" w:sz="0" w:space="0" w:color="auto"/>
                <w:left w:val="none" w:sz="0" w:space="0" w:color="auto"/>
                <w:bottom w:val="none" w:sz="0" w:space="0" w:color="auto"/>
                <w:right w:val="none" w:sz="0" w:space="0" w:color="auto"/>
              </w:divBdr>
              <w:divsChild>
                <w:div w:id="7130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42572">
      <w:bodyDiv w:val="1"/>
      <w:marLeft w:val="0"/>
      <w:marRight w:val="0"/>
      <w:marTop w:val="0"/>
      <w:marBottom w:val="0"/>
      <w:divBdr>
        <w:top w:val="none" w:sz="0" w:space="0" w:color="auto"/>
        <w:left w:val="none" w:sz="0" w:space="0" w:color="auto"/>
        <w:bottom w:val="none" w:sz="0" w:space="0" w:color="auto"/>
        <w:right w:val="none" w:sz="0" w:space="0" w:color="auto"/>
      </w:divBdr>
    </w:div>
    <w:div w:id="1592811953">
      <w:bodyDiv w:val="1"/>
      <w:marLeft w:val="0"/>
      <w:marRight w:val="0"/>
      <w:marTop w:val="0"/>
      <w:marBottom w:val="0"/>
      <w:divBdr>
        <w:top w:val="none" w:sz="0" w:space="0" w:color="auto"/>
        <w:left w:val="none" w:sz="0" w:space="0" w:color="auto"/>
        <w:bottom w:val="none" w:sz="0" w:space="0" w:color="auto"/>
        <w:right w:val="none" w:sz="0" w:space="0" w:color="auto"/>
      </w:divBdr>
      <w:divsChild>
        <w:div w:id="1190140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280989">
      <w:bodyDiv w:val="1"/>
      <w:marLeft w:val="0"/>
      <w:marRight w:val="0"/>
      <w:marTop w:val="0"/>
      <w:marBottom w:val="0"/>
      <w:divBdr>
        <w:top w:val="none" w:sz="0" w:space="0" w:color="auto"/>
        <w:left w:val="none" w:sz="0" w:space="0" w:color="auto"/>
        <w:bottom w:val="none" w:sz="0" w:space="0" w:color="auto"/>
        <w:right w:val="none" w:sz="0" w:space="0" w:color="auto"/>
      </w:divBdr>
    </w:div>
    <w:div w:id="1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2010477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426277">
      <w:bodyDiv w:val="1"/>
      <w:marLeft w:val="0"/>
      <w:marRight w:val="0"/>
      <w:marTop w:val="0"/>
      <w:marBottom w:val="0"/>
      <w:divBdr>
        <w:top w:val="none" w:sz="0" w:space="0" w:color="auto"/>
        <w:left w:val="none" w:sz="0" w:space="0" w:color="auto"/>
        <w:bottom w:val="none" w:sz="0" w:space="0" w:color="auto"/>
        <w:right w:val="none" w:sz="0" w:space="0" w:color="auto"/>
      </w:divBdr>
    </w:div>
    <w:div w:id="1832134266">
      <w:bodyDiv w:val="1"/>
      <w:marLeft w:val="0"/>
      <w:marRight w:val="0"/>
      <w:marTop w:val="0"/>
      <w:marBottom w:val="0"/>
      <w:divBdr>
        <w:top w:val="none" w:sz="0" w:space="0" w:color="auto"/>
        <w:left w:val="none" w:sz="0" w:space="0" w:color="auto"/>
        <w:bottom w:val="none" w:sz="0" w:space="0" w:color="auto"/>
        <w:right w:val="none" w:sz="0" w:space="0" w:color="auto"/>
      </w:divBdr>
    </w:div>
    <w:div w:id="1915629909">
      <w:bodyDiv w:val="1"/>
      <w:marLeft w:val="0"/>
      <w:marRight w:val="0"/>
      <w:marTop w:val="0"/>
      <w:marBottom w:val="0"/>
      <w:divBdr>
        <w:top w:val="none" w:sz="0" w:space="0" w:color="auto"/>
        <w:left w:val="none" w:sz="0" w:space="0" w:color="auto"/>
        <w:bottom w:val="none" w:sz="0" w:space="0" w:color="auto"/>
        <w:right w:val="none" w:sz="0" w:space="0" w:color="auto"/>
      </w:divBdr>
    </w:div>
    <w:div w:id="1936939628">
      <w:bodyDiv w:val="1"/>
      <w:marLeft w:val="0"/>
      <w:marRight w:val="0"/>
      <w:marTop w:val="0"/>
      <w:marBottom w:val="0"/>
      <w:divBdr>
        <w:top w:val="none" w:sz="0" w:space="0" w:color="auto"/>
        <w:left w:val="none" w:sz="0" w:space="0" w:color="auto"/>
        <w:bottom w:val="none" w:sz="0" w:space="0" w:color="auto"/>
        <w:right w:val="none" w:sz="0" w:space="0" w:color="auto"/>
      </w:divBdr>
      <w:divsChild>
        <w:div w:id="318972189">
          <w:marLeft w:val="0"/>
          <w:marRight w:val="0"/>
          <w:marTop w:val="0"/>
          <w:marBottom w:val="0"/>
          <w:divBdr>
            <w:top w:val="none" w:sz="0" w:space="0" w:color="auto"/>
            <w:left w:val="none" w:sz="0" w:space="0" w:color="auto"/>
            <w:bottom w:val="none" w:sz="0" w:space="0" w:color="auto"/>
            <w:right w:val="none" w:sz="0" w:space="0" w:color="auto"/>
          </w:divBdr>
          <w:divsChild>
            <w:div w:id="85467506">
              <w:marLeft w:val="0"/>
              <w:marRight w:val="0"/>
              <w:marTop w:val="0"/>
              <w:marBottom w:val="0"/>
              <w:divBdr>
                <w:top w:val="none" w:sz="0" w:space="0" w:color="auto"/>
                <w:left w:val="none" w:sz="0" w:space="0" w:color="auto"/>
                <w:bottom w:val="none" w:sz="0" w:space="0" w:color="auto"/>
                <w:right w:val="none" w:sz="0" w:space="0" w:color="auto"/>
              </w:divBdr>
              <w:divsChild>
                <w:div w:id="5732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6103">
      <w:bodyDiv w:val="1"/>
      <w:marLeft w:val="0"/>
      <w:marRight w:val="0"/>
      <w:marTop w:val="0"/>
      <w:marBottom w:val="0"/>
      <w:divBdr>
        <w:top w:val="none" w:sz="0" w:space="0" w:color="auto"/>
        <w:left w:val="none" w:sz="0" w:space="0" w:color="auto"/>
        <w:bottom w:val="none" w:sz="0" w:space="0" w:color="auto"/>
        <w:right w:val="none" w:sz="0" w:space="0" w:color="auto"/>
      </w:divBdr>
    </w:div>
    <w:div w:id="20524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reven@pa.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exis.com/research/buttonTFLink?_m=8312abfccfb61ce554e95938690196b7&amp;_xfercite=%3ccite%20cc%3d%22USA%22%3e%3c%21%5bCDATA%5b618%20Pa.%20175%5d%5d%3e%3c%2fcite%3e&amp;_butType=4&amp;_butStat=0&amp;_butNum=241&amp;_butInline=1&amp;_butinfo=66%20PA.C.S.%20510&amp;_fmtstr=FULL&amp;docnum=3&amp;_startdoc=1&amp;wchp=dGLbVzt-zSkAb&amp;_md5=41f782eada40d41a8b92bd66fa5172de" TargetMode="External"/><Relationship Id="rId1" Type="http://schemas.openxmlformats.org/officeDocument/2006/relationships/hyperlink" Target="https://www.lexis.com/research/buttonTFLink?_m=8312abfccfb61ce554e95938690196b7&amp;_xfercite=%3ccite%20cc%3d%22USA%22%3e%3c%21%5bCDATA%5b618%20Pa.%20175%5d%5d%3e%3c%2fcite%3e&amp;_butType=4&amp;_butStat=0&amp;_butNum=240&amp;_butInline=1&amp;_butinfo=66%20PA.C.S.%20510&amp;_fmtstr=FULL&amp;docnum=3&amp;_startdoc=1&amp;wchp=dGLbVzt-zSkAb&amp;_md5=8ff23bb0b22429278630b7b67ef7a3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622B-219C-44FD-9A95-1972D327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5734</Words>
  <Characters>32685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38343</CharactersWithSpaces>
  <SharedDoc>false</SharedDoc>
  <HLinks>
    <vt:vector size="6" baseType="variant">
      <vt:variant>
        <vt:i4>6553716</vt:i4>
      </vt:variant>
      <vt:variant>
        <vt:i4>0</vt:i4>
      </vt:variant>
      <vt:variant>
        <vt:i4>0</vt:i4>
      </vt:variant>
      <vt:variant>
        <vt:i4>5</vt:i4>
      </vt:variant>
      <vt:variant>
        <vt:lpwstr>http://www.puc.pa.gov/general/pdf/testimony/Powelson-House_Budget_021914.pdf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ROONEY</dc:creator>
  <cp:lastModifiedBy>Farner, Joyce</cp:lastModifiedBy>
  <cp:revision>8</cp:revision>
  <cp:lastPrinted>2018-11-08T14:11:00Z</cp:lastPrinted>
  <dcterms:created xsi:type="dcterms:W3CDTF">2018-11-07T18:50:00Z</dcterms:created>
  <dcterms:modified xsi:type="dcterms:W3CDTF">2018-11-08T14:12:00Z</dcterms:modified>
</cp:coreProperties>
</file>