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F514FB" w:rsidRDefault="00F514FB" w:rsidP="00785214">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785214">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785214">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785214">
      <w:pPr>
        <w:widowControl/>
        <w:tabs>
          <w:tab w:val="left" w:pos="-720"/>
        </w:tabs>
        <w:suppressAutoHyphens/>
        <w:rPr>
          <w:sz w:val="26"/>
          <w:szCs w:val="26"/>
        </w:rPr>
      </w:pPr>
    </w:p>
    <w:p w:rsidR="00F514FB" w:rsidRPr="00F514FB" w:rsidRDefault="00F514FB" w:rsidP="00785214">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363"/>
      </w:tblGrid>
      <w:tr w:rsidR="00F514FB" w:rsidRPr="00F514FB" w:rsidTr="00DE25AC">
        <w:tc>
          <w:tcPr>
            <w:tcW w:w="5058" w:type="dxa"/>
          </w:tcPr>
          <w:p w:rsidR="00F514FB" w:rsidRPr="00F514FB" w:rsidRDefault="00F514FB" w:rsidP="00785214">
            <w:pPr>
              <w:widowControl/>
              <w:rPr>
                <w:sz w:val="26"/>
                <w:szCs w:val="26"/>
              </w:rPr>
            </w:pPr>
          </w:p>
        </w:tc>
        <w:tc>
          <w:tcPr>
            <w:tcW w:w="4428" w:type="dxa"/>
          </w:tcPr>
          <w:p w:rsidR="00F514FB" w:rsidRPr="00F514FB" w:rsidRDefault="00841605" w:rsidP="00785214">
            <w:pPr>
              <w:widowControl/>
              <w:ind w:left="-738"/>
              <w:jc w:val="right"/>
              <w:rPr>
                <w:sz w:val="26"/>
                <w:szCs w:val="26"/>
              </w:rPr>
            </w:pPr>
            <w:r>
              <w:rPr>
                <w:sz w:val="26"/>
                <w:szCs w:val="26"/>
              </w:rPr>
              <w:t xml:space="preserve">Public Meeting held </w:t>
            </w:r>
            <w:r w:rsidR="00FF1D8B">
              <w:rPr>
                <w:sz w:val="26"/>
                <w:szCs w:val="26"/>
              </w:rPr>
              <w:t>October</w:t>
            </w:r>
            <w:r>
              <w:rPr>
                <w:sz w:val="26"/>
                <w:szCs w:val="26"/>
              </w:rPr>
              <w:t xml:space="preserve"> </w:t>
            </w:r>
            <w:r w:rsidR="00B3793E">
              <w:rPr>
                <w:sz w:val="26"/>
                <w:szCs w:val="26"/>
              </w:rPr>
              <w:t>25</w:t>
            </w:r>
            <w:r>
              <w:rPr>
                <w:sz w:val="26"/>
                <w:szCs w:val="26"/>
              </w:rPr>
              <w:t>, 201</w:t>
            </w:r>
            <w:r w:rsidR="002400D0">
              <w:rPr>
                <w:sz w:val="26"/>
                <w:szCs w:val="26"/>
              </w:rPr>
              <w:t>8</w:t>
            </w:r>
          </w:p>
          <w:p w:rsidR="00F514FB" w:rsidRPr="00F514FB" w:rsidRDefault="00F514FB" w:rsidP="00785214">
            <w:pPr>
              <w:widowControl/>
              <w:jc w:val="right"/>
              <w:rPr>
                <w:sz w:val="26"/>
                <w:szCs w:val="26"/>
              </w:rPr>
            </w:pPr>
          </w:p>
          <w:p w:rsidR="00F514FB" w:rsidRPr="00F514FB" w:rsidRDefault="00F514FB" w:rsidP="00785214">
            <w:pPr>
              <w:widowControl/>
              <w:jc w:val="right"/>
              <w:rPr>
                <w:sz w:val="26"/>
                <w:szCs w:val="26"/>
              </w:rPr>
            </w:pPr>
          </w:p>
        </w:tc>
      </w:tr>
      <w:tr w:rsidR="00F514FB" w:rsidRPr="00F514FB" w:rsidTr="00605965">
        <w:tc>
          <w:tcPr>
            <w:tcW w:w="5058" w:type="dxa"/>
          </w:tcPr>
          <w:p w:rsidR="00F514FB" w:rsidRPr="00F514FB" w:rsidRDefault="00F514FB" w:rsidP="00785214">
            <w:pPr>
              <w:widowControl/>
              <w:rPr>
                <w:sz w:val="26"/>
                <w:szCs w:val="26"/>
              </w:rPr>
            </w:pPr>
            <w:r w:rsidRPr="00F514FB">
              <w:rPr>
                <w:sz w:val="26"/>
                <w:szCs w:val="26"/>
              </w:rPr>
              <w:t>Commissioners Present:</w:t>
            </w:r>
          </w:p>
          <w:p w:rsidR="00F514FB" w:rsidRPr="00F514FB" w:rsidRDefault="00F514FB" w:rsidP="00785214">
            <w:pPr>
              <w:widowControl/>
              <w:rPr>
                <w:sz w:val="26"/>
                <w:szCs w:val="26"/>
              </w:rPr>
            </w:pPr>
          </w:p>
          <w:p w:rsidR="002400D0" w:rsidRPr="003D579C" w:rsidRDefault="002400D0" w:rsidP="00785214">
            <w:pPr>
              <w:widowControl/>
              <w:tabs>
                <w:tab w:val="left" w:pos="-720"/>
              </w:tabs>
              <w:suppressAutoHyphens/>
              <w:ind w:left="720"/>
              <w:rPr>
                <w:sz w:val="26"/>
                <w:szCs w:val="26"/>
              </w:rPr>
            </w:pPr>
            <w:r w:rsidRPr="003D579C">
              <w:rPr>
                <w:sz w:val="26"/>
                <w:szCs w:val="26"/>
              </w:rPr>
              <w:t>Gladys M. Brown, Chairman</w:t>
            </w:r>
          </w:p>
          <w:p w:rsidR="002400D0" w:rsidRPr="003D579C" w:rsidRDefault="002400D0" w:rsidP="00785214">
            <w:pPr>
              <w:widowControl/>
              <w:tabs>
                <w:tab w:val="left" w:pos="-720"/>
              </w:tabs>
              <w:suppressAutoHyphens/>
              <w:ind w:left="720"/>
              <w:rPr>
                <w:sz w:val="26"/>
                <w:szCs w:val="26"/>
              </w:rPr>
            </w:pPr>
            <w:r w:rsidRPr="003D579C">
              <w:rPr>
                <w:sz w:val="26"/>
                <w:szCs w:val="26"/>
              </w:rPr>
              <w:t>Andrew G. Place, Vice Chairman</w:t>
            </w:r>
          </w:p>
          <w:p w:rsidR="002400D0" w:rsidRDefault="002400D0" w:rsidP="00785214">
            <w:pPr>
              <w:widowControl/>
              <w:ind w:firstLine="720"/>
              <w:rPr>
                <w:sz w:val="26"/>
                <w:szCs w:val="26"/>
              </w:rPr>
            </w:pPr>
            <w:r>
              <w:rPr>
                <w:sz w:val="26"/>
                <w:szCs w:val="26"/>
              </w:rPr>
              <w:t>Norman J. Kennard</w:t>
            </w:r>
          </w:p>
          <w:p w:rsidR="002400D0" w:rsidRDefault="002400D0" w:rsidP="00785214">
            <w:pPr>
              <w:widowControl/>
              <w:tabs>
                <w:tab w:val="left" w:pos="-720"/>
              </w:tabs>
              <w:suppressAutoHyphens/>
              <w:ind w:left="720"/>
              <w:rPr>
                <w:sz w:val="26"/>
                <w:szCs w:val="26"/>
              </w:rPr>
            </w:pPr>
            <w:r w:rsidRPr="003D579C">
              <w:rPr>
                <w:sz w:val="26"/>
                <w:szCs w:val="26"/>
              </w:rPr>
              <w:t>David W. Sweet</w:t>
            </w:r>
          </w:p>
          <w:p w:rsidR="002400D0" w:rsidRPr="003D579C" w:rsidRDefault="002400D0" w:rsidP="00785214">
            <w:pPr>
              <w:widowControl/>
              <w:tabs>
                <w:tab w:val="left" w:pos="-720"/>
              </w:tabs>
              <w:suppressAutoHyphens/>
              <w:ind w:left="720"/>
              <w:rPr>
                <w:sz w:val="26"/>
                <w:szCs w:val="26"/>
              </w:rPr>
            </w:pPr>
            <w:r w:rsidRPr="003D579C">
              <w:rPr>
                <w:sz w:val="26"/>
                <w:szCs w:val="26"/>
              </w:rPr>
              <w:t xml:space="preserve">John F. Coleman, Jr. </w:t>
            </w:r>
          </w:p>
          <w:p w:rsidR="00F514FB" w:rsidRDefault="00F514FB" w:rsidP="00785214">
            <w:pPr>
              <w:widowControl/>
              <w:rPr>
                <w:sz w:val="26"/>
                <w:szCs w:val="26"/>
              </w:rPr>
            </w:pPr>
          </w:p>
          <w:p w:rsidR="00C32E3C" w:rsidRPr="00F514FB" w:rsidRDefault="00C32E3C" w:rsidP="00785214">
            <w:pPr>
              <w:widowControl/>
              <w:rPr>
                <w:sz w:val="26"/>
                <w:szCs w:val="26"/>
              </w:rPr>
            </w:pPr>
          </w:p>
          <w:p w:rsidR="00F514FB" w:rsidRPr="00F514FB" w:rsidRDefault="00F514FB" w:rsidP="00785214">
            <w:pPr>
              <w:widowControl/>
              <w:rPr>
                <w:sz w:val="26"/>
                <w:szCs w:val="26"/>
              </w:rPr>
            </w:pPr>
          </w:p>
        </w:tc>
        <w:tc>
          <w:tcPr>
            <w:tcW w:w="4428" w:type="dxa"/>
          </w:tcPr>
          <w:p w:rsidR="00F514FB" w:rsidRPr="00F514FB" w:rsidRDefault="00F514FB" w:rsidP="00785214">
            <w:pPr>
              <w:widowControl/>
              <w:jc w:val="right"/>
              <w:rPr>
                <w:sz w:val="26"/>
                <w:szCs w:val="26"/>
              </w:rPr>
            </w:pPr>
          </w:p>
          <w:p w:rsidR="00F514FB" w:rsidRPr="00F514FB" w:rsidRDefault="00F514FB" w:rsidP="00785214">
            <w:pPr>
              <w:widowControl/>
              <w:jc w:val="right"/>
              <w:rPr>
                <w:sz w:val="26"/>
                <w:szCs w:val="26"/>
              </w:rPr>
            </w:pPr>
          </w:p>
        </w:tc>
      </w:tr>
      <w:tr w:rsidR="00F514FB" w:rsidRPr="00F514FB" w:rsidTr="00DE25AC">
        <w:tc>
          <w:tcPr>
            <w:tcW w:w="5058" w:type="dxa"/>
          </w:tcPr>
          <w:p w:rsidR="00F514FB" w:rsidRDefault="00DB151E" w:rsidP="00785214">
            <w:pPr>
              <w:widowControl/>
              <w:rPr>
                <w:sz w:val="26"/>
                <w:szCs w:val="26"/>
              </w:rPr>
            </w:pPr>
            <w:r>
              <w:rPr>
                <w:sz w:val="26"/>
                <w:szCs w:val="26"/>
              </w:rPr>
              <w:t>Mayer Krain</w:t>
            </w:r>
          </w:p>
          <w:p w:rsidR="00A03130" w:rsidRPr="00F514FB" w:rsidRDefault="00A03130" w:rsidP="00785214">
            <w:pPr>
              <w:widowControl/>
              <w:rPr>
                <w:sz w:val="26"/>
                <w:szCs w:val="26"/>
              </w:rPr>
            </w:pPr>
          </w:p>
        </w:tc>
        <w:tc>
          <w:tcPr>
            <w:tcW w:w="4428" w:type="dxa"/>
          </w:tcPr>
          <w:p w:rsidR="00F514FB" w:rsidRPr="00F514FB" w:rsidRDefault="00A03130" w:rsidP="00785214">
            <w:pPr>
              <w:widowControl/>
              <w:jc w:val="right"/>
              <w:rPr>
                <w:sz w:val="26"/>
                <w:szCs w:val="26"/>
              </w:rPr>
            </w:pPr>
            <w:r>
              <w:rPr>
                <w:sz w:val="26"/>
                <w:szCs w:val="26"/>
              </w:rPr>
              <w:t>C-201</w:t>
            </w:r>
            <w:r w:rsidR="00DB151E">
              <w:rPr>
                <w:sz w:val="26"/>
                <w:szCs w:val="26"/>
              </w:rPr>
              <w:t>6</w:t>
            </w:r>
            <w:r>
              <w:rPr>
                <w:sz w:val="26"/>
                <w:szCs w:val="26"/>
              </w:rPr>
              <w:t>-2</w:t>
            </w:r>
            <w:r w:rsidR="009734C1">
              <w:rPr>
                <w:sz w:val="26"/>
                <w:szCs w:val="26"/>
              </w:rPr>
              <w:t>58100</w:t>
            </w:r>
            <w:r w:rsidR="00DB151E">
              <w:rPr>
                <w:sz w:val="26"/>
                <w:szCs w:val="26"/>
              </w:rPr>
              <w:t>6</w:t>
            </w:r>
          </w:p>
        </w:tc>
      </w:tr>
      <w:tr w:rsidR="00F514FB" w:rsidRPr="00F514FB" w:rsidTr="00DE25AC">
        <w:tc>
          <w:tcPr>
            <w:tcW w:w="5058" w:type="dxa"/>
          </w:tcPr>
          <w:p w:rsidR="00F514FB" w:rsidRPr="00F514FB" w:rsidRDefault="00F514FB" w:rsidP="00785214">
            <w:pPr>
              <w:widowControl/>
              <w:ind w:firstLine="1440"/>
              <w:rPr>
                <w:sz w:val="26"/>
                <w:szCs w:val="26"/>
              </w:rPr>
            </w:pPr>
            <w:r w:rsidRPr="00F514FB">
              <w:rPr>
                <w:sz w:val="26"/>
                <w:szCs w:val="26"/>
              </w:rPr>
              <w:t>v.</w:t>
            </w:r>
          </w:p>
          <w:p w:rsidR="00F514FB" w:rsidRPr="00F514FB" w:rsidRDefault="00F514FB" w:rsidP="00785214">
            <w:pPr>
              <w:widowControl/>
              <w:ind w:firstLine="1440"/>
              <w:rPr>
                <w:sz w:val="26"/>
                <w:szCs w:val="26"/>
              </w:rPr>
            </w:pPr>
          </w:p>
        </w:tc>
        <w:tc>
          <w:tcPr>
            <w:tcW w:w="4428" w:type="dxa"/>
          </w:tcPr>
          <w:p w:rsidR="00F514FB" w:rsidRPr="00F514FB" w:rsidRDefault="00F514FB" w:rsidP="00785214">
            <w:pPr>
              <w:widowControl/>
              <w:rPr>
                <w:sz w:val="26"/>
                <w:szCs w:val="26"/>
              </w:rPr>
            </w:pPr>
          </w:p>
        </w:tc>
      </w:tr>
      <w:tr w:rsidR="00F514FB" w:rsidRPr="00F514FB" w:rsidTr="00605965">
        <w:tc>
          <w:tcPr>
            <w:tcW w:w="5058" w:type="dxa"/>
          </w:tcPr>
          <w:p w:rsidR="00F514FB" w:rsidRPr="00F514FB" w:rsidRDefault="00DB151E" w:rsidP="00785214">
            <w:pPr>
              <w:widowControl/>
              <w:rPr>
                <w:sz w:val="26"/>
                <w:szCs w:val="26"/>
              </w:rPr>
            </w:pPr>
            <w:r>
              <w:rPr>
                <w:sz w:val="26"/>
                <w:szCs w:val="26"/>
              </w:rPr>
              <w:t>Choice Energy</w:t>
            </w:r>
            <w:r w:rsidR="00A03130">
              <w:rPr>
                <w:sz w:val="26"/>
                <w:szCs w:val="26"/>
              </w:rPr>
              <w:t>, LLC</w:t>
            </w:r>
          </w:p>
        </w:tc>
        <w:tc>
          <w:tcPr>
            <w:tcW w:w="4428" w:type="dxa"/>
          </w:tcPr>
          <w:p w:rsidR="00F514FB" w:rsidRPr="00F514FB" w:rsidRDefault="00F514FB" w:rsidP="00785214">
            <w:pPr>
              <w:widowControl/>
              <w:rPr>
                <w:sz w:val="26"/>
                <w:szCs w:val="26"/>
              </w:rPr>
            </w:pPr>
          </w:p>
        </w:tc>
      </w:tr>
    </w:tbl>
    <w:p w:rsidR="00F514FB" w:rsidRDefault="00F514FB" w:rsidP="00785214">
      <w:pPr>
        <w:widowControl/>
        <w:rPr>
          <w:sz w:val="26"/>
          <w:szCs w:val="26"/>
        </w:rPr>
      </w:pPr>
    </w:p>
    <w:p w:rsidR="00A159FC" w:rsidRDefault="00A159FC" w:rsidP="00785214">
      <w:pPr>
        <w:widowControl/>
        <w:rPr>
          <w:sz w:val="26"/>
          <w:szCs w:val="26"/>
        </w:rPr>
      </w:pPr>
    </w:p>
    <w:p w:rsidR="00C32E3C" w:rsidRPr="00F514FB" w:rsidRDefault="00C32E3C" w:rsidP="00785214">
      <w:pPr>
        <w:widowControl/>
        <w:rPr>
          <w:sz w:val="26"/>
          <w:szCs w:val="26"/>
        </w:rPr>
      </w:pPr>
    </w:p>
    <w:p w:rsidR="00F514FB" w:rsidRPr="00F514FB" w:rsidRDefault="00F514FB" w:rsidP="00785214">
      <w:pPr>
        <w:widowControl/>
        <w:jc w:val="center"/>
        <w:rPr>
          <w:b/>
          <w:sz w:val="26"/>
          <w:szCs w:val="26"/>
        </w:rPr>
      </w:pPr>
      <w:r w:rsidRPr="00F514FB">
        <w:rPr>
          <w:b/>
          <w:sz w:val="26"/>
          <w:szCs w:val="26"/>
        </w:rPr>
        <w:t>OPINION AND ORDER</w:t>
      </w:r>
    </w:p>
    <w:p w:rsidR="00F514FB" w:rsidRPr="00F514FB" w:rsidRDefault="00F514FB" w:rsidP="00785214">
      <w:pPr>
        <w:widowControl/>
        <w:jc w:val="center"/>
        <w:rPr>
          <w:b/>
          <w:sz w:val="26"/>
          <w:szCs w:val="26"/>
        </w:rPr>
      </w:pPr>
    </w:p>
    <w:p w:rsidR="00F514FB" w:rsidRPr="00F514FB" w:rsidRDefault="00F514FB" w:rsidP="00785214">
      <w:pPr>
        <w:widowControl/>
        <w:jc w:val="center"/>
        <w:rPr>
          <w:b/>
          <w:sz w:val="26"/>
          <w:szCs w:val="26"/>
        </w:rPr>
      </w:pPr>
    </w:p>
    <w:p w:rsidR="00F514FB" w:rsidRPr="00F514FB" w:rsidRDefault="00F514FB" w:rsidP="00785214">
      <w:pPr>
        <w:widowControl/>
        <w:rPr>
          <w:b/>
          <w:sz w:val="26"/>
          <w:szCs w:val="26"/>
        </w:rPr>
      </w:pPr>
      <w:r w:rsidRPr="00F514FB">
        <w:rPr>
          <w:b/>
          <w:sz w:val="26"/>
          <w:szCs w:val="26"/>
        </w:rPr>
        <w:t>BY THE COMMISSION:</w:t>
      </w:r>
    </w:p>
    <w:p w:rsidR="00F514FB" w:rsidRPr="00F514FB" w:rsidRDefault="00F514FB" w:rsidP="00785214">
      <w:pPr>
        <w:widowControl/>
        <w:rPr>
          <w:sz w:val="26"/>
          <w:szCs w:val="26"/>
        </w:rPr>
      </w:pPr>
    </w:p>
    <w:p w:rsidR="00F514FB" w:rsidRPr="00F514FB" w:rsidRDefault="00F514FB" w:rsidP="00785214">
      <w:pPr>
        <w:widowControl/>
        <w:rPr>
          <w:sz w:val="26"/>
          <w:szCs w:val="26"/>
        </w:rPr>
      </w:pPr>
    </w:p>
    <w:p w:rsidR="00CA43A5" w:rsidRPr="00CA43A5" w:rsidRDefault="00B8681B" w:rsidP="00785214">
      <w:pPr>
        <w:widowControl/>
        <w:spacing w:line="360" w:lineRule="auto"/>
        <w:ind w:firstLine="720"/>
        <w:contextualSpacing/>
        <w:rPr>
          <w:sz w:val="26"/>
          <w:szCs w:val="26"/>
        </w:rPr>
      </w:pPr>
      <w:r>
        <w:rPr>
          <w:sz w:val="26"/>
          <w:szCs w:val="26"/>
        </w:rPr>
        <w:tab/>
      </w:r>
      <w:r w:rsidR="00CA43A5" w:rsidRPr="00CA43A5">
        <w:rPr>
          <w:sz w:val="26"/>
          <w:szCs w:val="26"/>
        </w:rPr>
        <w:t xml:space="preserve">Before the Pennsylvania Public Utility Commission (Commission) for consideration and disposition </w:t>
      </w:r>
      <w:r w:rsidR="00671E4C">
        <w:rPr>
          <w:color w:val="000000"/>
          <w:sz w:val="26"/>
        </w:rPr>
        <w:t>are the Exceptions (Exceptions) of</w:t>
      </w:r>
      <w:r w:rsidR="00605965">
        <w:rPr>
          <w:color w:val="000000"/>
          <w:sz w:val="26"/>
        </w:rPr>
        <w:t xml:space="preserve"> </w:t>
      </w:r>
      <w:r w:rsidR="00216510">
        <w:rPr>
          <w:color w:val="000000"/>
          <w:sz w:val="26"/>
        </w:rPr>
        <w:t xml:space="preserve">Mayer Krain (Complainant) and </w:t>
      </w:r>
      <w:r w:rsidR="00DB151E">
        <w:rPr>
          <w:color w:val="000000"/>
          <w:sz w:val="26"/>
        </w:rPr>
        <w:t>Choice Energy, LLC</w:t>
      </w:r>
      <w:r w:rsidR="00671E4C">
        <w:rPr>
          <w:color w:val="000000"/>
          <w:sz w:val="26"/>
        </w:rPr>
        <w:t xml:space="preserve"> (</w:t>
      </w:r>
      <w:r w:rsidR="00DB151E">
        <w:rPr>
          <w:color w:val="000000"/>
          <w:sz w:val="26"/>
        </w:rPr>
        <w:t>Choice Energy</w:t>
      </w:r>
      <w:r w:rsidR="00272916">
        <w:rPr>
          <w:color w:val="000000"/>
          <w:sz w:val="26"/>
        </w:rPr>
        <w:t>,</w:t>
      </w:r>
      <w:r w:rsidR="00DE2C44">
        <w:rPr>
          <w:color w:val="000000"/>
          <w:sz w:val="26"/>
        </w:rPr>
        <w:t xml:space="preserve"> Responden</w:t>
      </w:r>
      <w:r w:rsidR="008D3D18">
        <w:rPr>
          <w:color w:val="000000"/>
          <w:sz w:val="26"/>
        </w:rPr>
        <w:t>t)</w:t>
      </w:r>
      <w:r w:rsidR="00671E4C">
        <w:rPr>
          <w:color w:val="000000"/>
          <w:sz w:val="26"/>
        </w:rPr>
        <w:t xml:space="preserve"> filed on </w:t>
      </w:r>
      <w:r w:rsidR="00CB3174">
        <w:rPr>
          <w:color w:val="000000"/>
          <w:sz w:val="26"/>
        </w:rPr>
        <w:t>January</w:t>
      </w:r>
      <w:r w:rsidR="007300DD">
        <w:rPr>
          <w:color w:val="000000"/>
          <w:sz w:val="26"/>
        </w:rPr>
        <w:t> </w:t>
      </w:r>
      <w:r w:rsidR="00216510">
        <w:rPr>
          <w:color w:val="000000"/>
          <w:sz w:val="26"/>
        </w:rPr>
        <w:t>4, 2018</w:t>
      </w:r>
      <w:r w:rsidR="007300DD">
        <w:rPr>
          <w:color w:val="000000"/>
          <w:sz w:val="26"/>
        </w:rPr>
        <w:t>,</w:t>
      </w:r>
      <w:r w:rsidR="00216510">
        <w:rPr>
          <w:color w:val="000000"/>
          <w:sz w:val="26"/>
        </w:rPr>
        <w:t xml:space="preserve"> and January </w:t>
      </w:r>
      <w:r w:rsidR="00CB3174">
        <w:rPr>
          <w:color w:val="000000"/>
          <w:sz w:val="26"/>
        </w:rPr>
        <w:t>5</w:t>
      </w:r>
      <w:r w:rsidR="00605965">
        <w:rPr>
          <w:color w:val="000000"/>
          <w:sz w:val="26"/>
        </w:rPr>
        <w:t>, 201</w:t>
      </w:r>
      <w:r w:rsidR="00CB3174">
        <w:rPr>
          <w:color w:val="000000"/>
          <w:sz w:val="26"/>
        </w:rPr>
        <w:t>8</w:t>
      </w:r>
      <w:r w:rsidR="00671E4C">
        <w:rPr>
          <w:color w:val="000000"/>
          <w:sz w:val="26"/>
        </w:rPr>
        <w:t xml:space="preserve">, </w:t>
      </w:r>
      <w:r w:rsidR="00216510">
        <w:rPr>
          <w:color w:val="000000"/>
          <w:sz w:val="26"/>
        </w:rPr>
        <w:t xml:space="preserve">respectively, </w:t>
      </w:r>
      <w:r w:rsidR="00671E4C">
        <w:rPr>
          <w:color w:val="000000"/>
          <w:sz w:val="26"/>
        </w:rPr>
        <w:t>to the Initial Decision (I.D.) of Administrative Law Judge (ALJ)</w:t>
      </w:r>
      <w:r w:rsidR="00605965">
        <w:rPr>
          <w:color w:val="000000"/>
          <w:sz w:val="26"/>
        </w:rPr>
        <w:t xml:space="preserve"> Mar</w:t>
      </w:r>
      <w:r w:rsidR="00CB3174">
        <w:rPr>
          <w:color w:val="000000"/>
          <w:sz w:val="26"/>
        </w:rPr>
        <w:t>tha</w:t>
      </w:r>
      <w:r w:rsidR="00605965">
        <w:rPr>
          <w:color w:val="000000"/>
          <w:sz w:val="26"/>
        </w:rPr>
        <w:t xml:space="preserve"> </w:t>
      </w:r>
      <w:r w:rsidR="00CB3174">
        <w:rPr>
          <w:color w:val="000000"/>
          <w:sz w:val="26"/>
        </w:rPr>
        <w:t>Guhl</w:t>
      </w:r>
      <w:r w:rsidR="00671E4C">
        <w:rPr>
          <w:color w:val="000000"/>
          <w:sz w:val="26"/>
        </w:rPr>
        <w:t>, which was issued on</w:t>
      </w:r>
      <w:r w:rsidR="00D40872">
        <w:rPr>
          <w:color w:val="000000"/>
          <w:sz w:val="26"/>
        </w:rPr>
        <w:t xml:space="preserve"> </w:t>
      </w:r>
      <w:r w:rsidR="00CB3174">
        <w:rPr>
          <w:color w:val="000000"/>
          <w:sz w:val="26"/>
        </w:rPr>
        <w:t xml:space="preserve">December </w:t>
      </w:r>
      <w:r w:rsidR="00D1200C">
        <w:rPr>
          <w:color w:val="000000"/>
          <w:sz w:val="26"/>
        </w:rPr>
        <w:t>26</w:t>
      </w:r>
      <w:r w:rsidR="00D40872">
        <w:rPr>
          <w:color w:val="000000"/>
          <w:sz w:val="26"/>
        </w:rPr>
        <w:t>, 201</w:t>
      </w:r>
      <w:r w:rsidR="00CB3174">
        <w:rPr>
          <w:color w:val="000000"/>
          <w:sz w:val="26"/>
        </w:rPr>
        <w:t>7</w:t>
      </w:r>
      <w:r w:rsidR="00671E4C">
        <w:rPr>
          <w:color w:val="000000"/>
          <w:sz w:val="26"/>
        </w:rPr>
        <w:t xml:space="preserve">, in the above-captioned proceeding.  </w:t>
      </w:r>
      <w:r w:rsidR="00DC3CFB">
        <w:rPr>
          <w:color w:val="000000"/>
          <w:sz w:val="26"/>
        </w:rPr>
        <w:t xml:space="preserve">The Complainant filed </w:t>
      </w:r>
      <w:r w:rsidR="00671E4C">
        <w:rPr>
          <w:color w:val="000000"/>
          <w:sz w:val="26"/>
        </w:rPr>
        <w:t xml:space="preserve">Replies to Exceptions on </w:t>
      </w:r>
      <w:r w:rsidR="00CB3174">
        <w:rPr>
          <w:color w:val="000000"/>
          <w:sz w:val="26"/>
        </w:rPr>
        <w:t>January</w:t>
      </w:r>
      <w:r w:rsidR="00D40872">
        <w:rPr>
          <w:color w:val="000000"/>
          <w:sz w:val="26"/>
        </w:rPr>
        <w:t xml:space="preserve"> </w:t>
      </w:r>
      <w:r w:rsidR="00B01EBF">
        <w:rPr>
          <w:color w:val="000000"/>
          <w:sz w:val="26"/>
        </w:rPr>
        <w:t>1</w:t>
      </w:r>
      <w:r w:rsidR="007300DD">
        <w:rPr>
          <w:color w:val="000000"/>
          <w:sz w:val="26"/>
        </w:rPr>
        <w:t>0</w:t>
      </w:r>
      <w:r w:rsidR="00D40872">
        <w:rPr>
          <w:color w:val="000000"/>
          <w:sz w:val="26"/>
        </w:rPr>
        <w:t xml:space="preserve">, </w:t>
      </w:r>
      <w:r w:rsidR="00D40872">
        <w:rPr>
          <w:color w:val="000000"/>
          <w:sz w:val="26"/>
        </w:rPr>
        <w:lastRenderedPageBreak/>
        <w:t>201</w:t>
      </w:r>
      <w:r w:rsidR="00DC3CFB">
        <w:rPr>
          <w:color w:val="000000"/>
          <w:sz w:val="26"/>
        </w:rPr>
        <w:t>8</w:t>
      </w:r>
      <w:r w:rsidR="00B82D49">
        <w:rPr>
          <w:color w:val="000000"/>
          <w:sz w:val="26"/>
        </w:rPr>
        <w:t>.</w:t>
      </w:r>
      <w:r w:rsidR="00B65ED3">
        <w:rPr>
          <w:rStyle w:val="FootnoteReference"/>
          <w:color w:val="000000"/>
          <w:sz w:val="26"/>
        </w:rPr>
        <w:footnoteReference w:id="1"/>
      </w:r>
      <w:r w:rsidR="00671E4C">
        <w:rPr>
          <w:color w:val="000000"/>
          <w:sz w:val="26"/>
        </w:rPr>
        <w:t xml:space="preserve">  </w:t>
      </w:r>
      <w:r w:rsidR="00CA43A5" w:rsidRPr="00CA43A5">
        <w:rPr>
          <w:sz w:val="26"/>
          <w:szCs w:val="26"/>
        </w:rPr>
        <w:t xml:space="preserve">For the reasons stated below, we </w:t>
      </w:r>
      <w:r w:rsidR="00D40872">
        <w:rPr>
          <w:sz w:val="26"/>
          <w:szCs w:val="26"/>
        </w:rPr>
        <w:t xml:space="preserve">will </w:t>
      </w:r>
      <w:r w:rsidR="008266FC">
        <w:rPr>
          <w:sz w:val="26"/>
          <w:szCs w:val="26"/>
        </w:rPr>
        <w:t>grant</w:t>
      </w:r>
      <w:r w:rsidR="0056727C">
        <w:rPr>
          <w:sz w:val="26"/>
          <w:szCs w:val="26"/>
        </w:rPr>
        <w:t xml:space="preserve"> the Complainant’s Exceptions; </w:t>
      </w:r>
      <w:r w:rsidR="00D40872">
        <w:rPr>
          <w:sz w:val="26"/>
          <w:szCs w:val="26"/>
        </w:rPr>
        <w:t>deny</w:t>
      </w:r>
      <w:r w:rsidR="00067D0B">
        <w:rPr>
          <w:sz w:val="26"/>
          <w:szCs w:val="26"/>
        </w:rPr>
        <w:t xml:space="preserve">, in part, and grant, in </w:t>
      </w:r>
      <w:r w:rsidR="0050601C">
        <w:rPr>
          <w:sz w:val="26"/>
          <w:szCs w:val="26"/>
        </w:rPr>
        <w:t xml:space="preserve">limited </w:t>
      </w:r>
      <w:r w:rsidR="00067D0B">
        <w:rPr>
          <w:sz w:val="26"/>
          <w:szCs w:val="26"/>
        </w:rPr>
        <w:t>part,</w:t>
      </w:r>
      <w:r w:rsidR="00D40872">
        <w:rPr>
          <w:sz w:val="26"/>
          <w:szCs w:val="26"/>
        </w:rPr>
        <w:t xml:space="preserve"> </w:t>
      </w:r>
      <w:r w:rsidR="00820842">
        <w:rPr>
          <w:sz w:val="26"/>
          <w:szCs w:val="26"/>
        </w:rPr>
        <w:t>Choice Energy’s</w:t>
      </w:r>
      <w:r w:rsidR="00D40872">
        <w:rPr>
          <w:sz w:val="26"/>
          <w:szCs w:val="26"/>
        </w:rPr>
        <w:t xml:space="preserve"> Exceptions</w:t>
      </w:r>
      <w:r w:rsidR="0056727C">
        <w:rPr>
          <w:sz w:val="26"/>
          <w:szCs w:val="26"/>
        </w:rPr>
        <w:t>;</w:t>
      </w:r>
      <w:r w:rsidR="00F92C68">
        <w:rPr>
          <w:sz w:val="26"/>
          <w:szCs w:val="26"/>
        </w:rPr>
        <w:t xml:space="preserve"> and modify the </w:t>
      </w:r>
      <w:r>
        <w:rPr>
          <w:sz w:val="26"/>
          <w:szCs w:val="26"/>
        </w:rPr>
        <w:t xml:space="preserve">ALJ’s </w:t>
      </w:r>
      <w:r w:rsidR="00F92C68">
        <w:rPr>
          <w:sz w:val="26"/>
          <w:szCs w:val="26"/>
        </w:rPr>
        <w:t>Initial Decision</w:t>
      </w:r>
      <w:r>
        <w:rPr>
          <w:sz w:val="26"/>
          <w:szCs w:val="26"/>
        </w:rPr>
        <w:t xml:space="preserve">, </w:t>
      </w:r>
      <w:r w:rsidR="00F92C68">
        <w:rPr>
          <w:sz w:val="26"/>
          <w:szCs w:val="26"/>
        </w:rPr>
        <w:t>as set forth herein</w:t>
      </w:r>
      <w:r w:rsidR="00CA43A5" w:rsidRPr="00CA43A5">
        <w:rPr>
          <w:sz w:val="26"/>
          <w:szCs w:val="26"/>
        </w:rPr>
        <w:t>.</w:t>
      </w:r>
    </w:p>
    <w:p w:rsidR="00CA43A5" w:rsidRPr="00CA43A5" w:rsidRDefault="00CA43A5" w:rsidP="00785214">
      <w:pPr>
        <w:widowControl/>
        <w:spacing w:line="360" w:lineRule="auto"/>
        <w:rPr>
          <w:sz w:val="26"/>
          <w:szCs w:val="26"/>
        </w:rPr>
      </w:pPr>
    </w:p>
    <w:p w:rsidR="00CA43A5" w:rsidRDefault="00CA43A5" w:rsidP="00785214">
      <w:pPr>
        <w:keepNext/>
        <w:keepLines/>
        <w:widowControl/>
        <w:spacing w:line="360" w:lineRule="auto"/>
        <w:jc w:val="center"/>
        <w:rPr>
          <w:b/>
          <w:sz w:val="26"/>
          <w:szCs w:val="26"/>
        </w:rPr>
      </w:pPr>
      <w:bookmarkStart w:id="0" w:name="OLE_LINK1"/>
      <w:bookmarkStart w:id="1" w:name="OLE_LINK2"/>
      <w:r w:rsidRPr="00CA43A5">
        <w:rPr>
          <w:b/>
          <w:sz w:val="26"/>
          <w:szCs w:val="26"/>
        </w:rPr>
        <w:t>History of the Proceeding</w:t>
      </w:r>
    </w:p>
    <w:p w:rsidR="001135B3" w:rsidRPr="00CA43A5" w:rsidRDefault="001135B3" w:rsidP="00785214">
      <w:pPr>
        <w:keepNext/>
        <w:keepLines/>
        <w:widowControl/>
        <w:spacing w:line="360" w:lineRule="auto"/>
        <w:jc w:val="center"/>
        <w:rPr>
          <w:b/>
          <w:sz w:val="26"/>
          <w:szCs w:val="26"/>
        </w:rPr>
      </w:pPr>
    </w:p>
    <w:bookmarkEnd w:id="0"/>
    <w:bookmarkEnd w:id="1"/>
    <w:p w:rsidR="00302317" w:rsidRDefault="00302317" w:rsidP="00785214">
      <w:pPr>
        <w:widowControl/>
        <w:spacing w:line="360" w:lineRule="auto"/>
        <w:ind w:firstLine="1440"/>
        <w:rPr>
          <w:sz w:val="26"/>
          <w:szCs w:val="26"/>
        </w:rPr>
      </w:pPr>
      <w:r>
        <w:rPr>
          <w:sz w:val="26"/>
          <w:szCs w:val="26"/>
        </w:rPr>
        <w:t>O</w:t>
      </w:r>
      <w:r w:rsidRPr="001135B3">
        <w:rPr>
          <w:sz w:val="26"/>
          <w:szCs w:val="26"/>
        </w:rPr>
        <w:t xml:space="preserve">n </w:t>
      </w:r>
      <w:r>
        <w:rPr>
          <w:sz w:val="26"/>
          <w:szCs w:val="26"/>
        </w:rPr>
        <w:t>December</w:t>
      </w:r>
      <w:r w:rsidRPr="001135B3">
        <w:rPr>
          <w:sz w:val="26"/>
          <w:szCs w:val="26"/>
        </w:rPr>
        <w:t xml:space="preserve"> </w:t>
      </w:r>
      <w:r>
        <w:rPr>
          <w:sz w:val="26"/>
          <w:szCs w:val="26"/>
        </w:rPr>
        <w:t>15</w:t>
      </w:r>
      <w:r w:rsidRPr="001135B3">
        <w:rPr>
          <w:sz w:val="26"/>
          <w:szCs w:val="26"/>
        </w:rPr>
        <w:t>, 201</w:t>
      </w:r>
      <w:r>
        <w:rPr>
          <w:sz w:val="26"/>
          <w:szCs w:val="26"/>
        </w:rPr>
        <w:t>6</w:t>
      </w:r>
      <w:r w:rsidRPr="001135B3">
        <w:rPr>
          <w:sz w:val="26"/>
          <w:szCs w:val="26"/>
        </w:rPr>
        <w:t xml:space="preserve">, </w:t>
      </w:r>
      <w:r>
        <w:rPr>
          <w:sz w:val="26"/>
          <w:szCs w:val="26"/>
        </w:rPr>
        <w:t>t</w:t>
      </w:r>
      <w:r w:rsidR="001135B3">
        <w:rPr>
          <w:sz w:val="26"/>
          <w:szCs w:val="26"/>
        </w:rPr>
        <w:t xml:space="preserve">he </w:t>
      </w:r>
      <w:r w:rsidR="001135B3" w:rsidRPr="001135B3">
        <w:rPr>
          <w:sz w:val="26"/>
          <w:szCs w:val="26"/>
        </w:rPr>
        <w:t xml:space="preserve">Complainant filed a </w:t>
      </w:r>
      <w:r w:rsidR="00FD0B1E">
        <w:rPr>
          <w:sz w:val="26"/>
          <w:szCs w:val="26"/>
        </w:rPr>
        <w:t>F</w:t>
      </w:r>
      <w:r w:rsidR="001135B3" w:rsidRPr="001135B3">
        <w:rPr>
          <w:sz w:val="26"/>
          <w:szCs w:val="26"/>
        </w:rPr>
        <w:t xml:space="preserve">ormal </w:t>
      </w:r>
      <w:r w:rsidR="00DF1B0E">
        <w:rPr>
          <w:sz w:val="26"/>
          <w:szCs w:val="26"/>
        </w:rPr>
        <w:t>C</w:t>
      </w:r>
      <w:r w:rsidR="001135B3" w:rsidRPr="001135B3">
        <w:rPr>
          <w:sz w:val="26"/>
          <w:szCs w:val="26"/>
        </w:rPr>
        <w:t xml:space="preserve">omplaint </w:t>
      </w:r>
      <w:r w:rsidR="00FD0B1E">
        <w:rPr>
          <w:sz w:val="26"/>
          <w:szCs w:val="26"/>
        </w:rPr>
        <w:t xml:space="preserve">(Complaint) </w:t>
      </w:r>
      <w:r w:rsidR="004B4788">
        <w:rPr>
          <w:sz w:val="26"/>
          <w:szCs w:val="26"/>
        </w:rPr>
        <w:t xml:space="preserve">against Choice Energy </w:t>
      </w:r>
      <w:r w:rsidR="00076714">
        <w:rPr>
          <w:sz w:val="26"/>
          <w:szCs w:val="26"/>
        </w:rPr>
        <w:t xml:space="preserve">alleging that </w:t>
      </w:r>
      <w:r w:rsidR="004B4788">
        <w:rPr>
          <w:sz w:val="26"/>
          <w:szCs w:val="26"/>
        </w:rPr>
        <w:t xml:space="preserve">Choice Energy </w:t>
      </w:r>
      <w:r w:rsidR="00076714">
        <w:rPr>
          <w:sz w:val="26"/>
          <w:szCs w:val="26"/>
        </w:rPr>
        <w:t xml:space="preserve">had been calling his home </w:t>
      </w:r>
      <w:r w:rsidR="004B4788">
        <w:rPr>
          <w:sz w:val="26"/>
          <w:szCs w:val="26"/>
        </w:rPr>
        <w:t>telephone</w:t>
      </w:r>
      <w:r w:rsidR="00076714">
        <w:rPr>
          <w:sz w:val="26"/>
          <w:szCs w:val="26"/>
        </w:rPr>
        <w:t xml:space="preserve"> at least on</w:t>
      </w:r>
      <w:r w:rsidR="004B4788">
        <w:rPr>
          <w:sz w:val="26"/>
          <w:szCs w:val="26"/>
        </w:rPr>
        <w:t>c</w:t>
      </w:r>
      <w:r w:rsidR="00076714">
        <w:rPr>
          <w:sz w:val="26"/>
          <w:szCs w:val="26"/>
        </w:rPr>
        <w:t>e</w:t>
      </w:r>
      <w:r w:rsidR="004B4788">
        <w:rPr>
          <w:sz w:val="26"/>
          <w:szCs w:val="26"/>
        </w:rPr>
        <w:t xml:space="preserve"> daily for</w:t>
      </w:r>
      <w:r w:rsidR="00076714">
        <w:rPr>
          <w:sz w:val="26"/>
          <w:szCs w:val="26"/>
        </w:rPr>
        <w:t xml:space="preserve"> an extended period aft</w:t>
      </w:r>
      <w:r w:rsidR="00B9759C">
        <w:rPr>
          <w:sz w:val="26"/>
          <w:szCs w:val="26"/>
        </w:rPr>
        <w:t>er</w:t>
      </w:r>
      <w:r w:rsidR="00B65ED3">
        <w:rPr>
          <w:sz w:val="26"/>
          <w:szCs w:val="26"/>
        </w:rPr>
        <w:t xml:space="preserve"> h</w:t>
      </w:r>
      <w:r w:rsidR="00372AB8">
        <w:rPr>
          <w:sz w:val="26"/>
          <w:szCs w:val="26"/>
        </w:rPr>
        <w:t xml:space="preserve">e </w:t>
      </w:r>
      <w:r w:rsidR="00076714">
        <w:rPr>
          <w:sz w:val="26"/>
          <w:szCs w:val="26"/>
        </w:rPr>
        <w:t>request</w:t>
      </w:r>
      <w:r w:rsidR="00372AB8">
        <w:rPr>
          <w:sz w:val="26"/>
          <w:szCs w:val="26"/>
        </w:rPr>
        <w:t>ed</w:t>
      </w:r>
      <w:r w:rsidR="004B4788">
        <w:rPr>
          <w:sz w:val="26"/>
          <w:szCs w:val="26"/>
        </w:rPr>
        <w:t xml:space="preserve"> to </w:t>
      </w:r>
      <w:r w:rsidR="00372AB8">
        <w:rPr>
          <w:sz w:val="26"/>
          <w:szCs w:val="26"/>
        </w:rPr>
        <w:t xml:space="preserve">have his telephone number removed </w:t>
      </w:r>
      <w:r w:rsidR="00076714">
        <w:rPr>
          <w:sz w:val="26"/>
          <w:szCs w:val="26"/>
        </w:rPr>
        <w:t xml:space="preserve">from </w:t>
      </w:r>
      <w:r w:rsidR="00B341EB">
        <w:rPr>
          <w:sz w:val="26"/>
          <w:szCs w:val="26"/>
        </w:rPr>
        <w:t>its</w:t>
      </w:r>
      <w:r w:rsidR="00076714">
        <w:rPr>
          <w:sz w:val="26"/>
          <w:szCs w:val="26"/>
        </w:rPr>
        <w:t xml:space="preserve"> call</w:t>
      </w:r>
      <w:r>
        <w:rPr>
          <w:sz w:val="26"/>
          <w:szCs w:val="26"/>
        </w:rPr>
        <w:t>ing</w:t>
      </w:r>
      <w:r w:rsidR="00076714">
        <w:rPr>
          <w:sz w:val="26"/>
          <w:szCs w:val="26"/>
        </w:rPr>
        <w:t xml:space="preserve"> list. </w:t>
      </w:r>
      <w:r w:rsidR="004B4788">
        <w:rPr>
          <w:sz w:val="26"/>
          <w:szCs w:val="26"/>
        </w:rPr>
        <w:t xml:space="preserve"> The Complainant request</w:t>
      </w:r>
      <w:r w:rsidR="00B341EB">
        <w:rPr>
          <w:sz w:val="26"/>
          <w:szCs w:val="26"/>
        </w:rPr>
        <w:t>ed</w:t>
      </w:r>
      <w:r w:rsidR="004B4788">
        <w:rPr>
          <w:sz w:val="26"/>
          <w:szCs w:val="26"/>
        </w:rPr>
        <w:t xml:space="preserve"> that the telephone calls </w:t>
      </w:r>
      <w:r w:rsidR="0094524B">
        <w:rPr>
          <w:sz w:val="26"/>
          <w:szCs w:val="26"/>
        </w:rPr>
        <w:t>be stopped</w:t>
      </w:r>
      <w:r w:rsidR="004B4788">
        <w:rPr>
          <w:sz w:val="26"/>
          <w:szCs w:val="26"/>
        </w:rPr>
        <w:t>.</w:t>
      </w:r>
    </w:p>
    <w:p w:rsidR="00302317" w:rsidRDefault="00302317" w:rsidP="00785214">
      <w:pPr>
        <w:widowControl/>
        <w:spacing w:line="360" w:lineRule="auto"/>
        <w:ind w:firstLine="1440"/>
        <w:rPr>
          <w:sz w:val="26"/>
          <w:szCs w:val="26"/>
        </w:rPr>
      </w:pPr>
    </w:p>
    <w:p w:rsidR="001135B3" w:rsidRPr="001135B3" w:rsidRDefault="00076714" w:rsidP="00785214">
      <w:pPr>
        <w:widowControl/>
        <w:spacing w:line="360" w:lineRule="auto"/>
        <w:ind w:firstLine="1440"/>
        <w:rPr>
          <w:sz w:val="26"/>
          <w:szCs w:val="26"/>
        </w:rPr>
      </w:pPr>
      <w:r>
        <w:rPr>
          <w:sz w:val="26"/>
          <w:szCs w:val="26"/>
        </w:rPr>
        <w:t>Choice Energy</w:t>
      </w:r>
      <w:r w:rsidR="001135B3" w:rsidRPr="001135B3">
        <w:rPr>
          <w:sz w:val="26"/>
          <w:szCs w:val="26"/>
        </w:rPr>
        <w:t xml:space="preserve"> filed an </w:t>
      </w:r>
      <w:r w:rsidR="00BE1D74">
        <w:rPr>
          <w:sz w:val="26"/>
          <w:szCs w:val="26"/>
        </w:rPr>
        <w:t>A</w:t>
      </w:r>
      <w:r w:rsidR="001135B3" w:rsidRPr="001135B3">
        <w:rPr>
          <w:sz w:val="26"/>
          <w:szCs w:val="26"/>
        </w:rPr>
        <w:t>nswer on J</w:t>
      </w:r>
      <w:r>
        <w:rPr>
          <w:sz w:val="26"/>
          <w:szCs w:val="26"/>
        </w:rPr>
        <w:t>anuary</w:t>
      </w:r>
      <w:r w:rsidR="001135B3" w:rsidRPr="001135B3">
        <w:rPr>
          <w:sz w:val="26"/>
          <w:szCs w:val="26"/>
        </w:rPr>
        <w:t xml:space="preserve"> </w:t>
      </w:r>
      <w:r>
        <w:rPr>
          <w:sz w:val="26"/>
          <w:szCs w:val="26"/>
        </w:rPr>
        <w:t>11</w:t>
      </w:r>
      <w:r w:rsidR="001135B3" w:rsidRPr="001135B3">
        <w:rPr>
          <w:sz w:val="26"/>
          <w:szCs w:val="26"/>
        </w:rPr>
        <w:t>, 201</w:t>
      </w:r>
      <w:r>
        <w:rPr>
          <w:sz w:val="26"/>
          <w:szCs w:val="26"/>
        </w:rPr>
        <w:t>7</w:t>
      </w:r>
      <w:r w:rsidR="001135B3" w:rsidRPr="001135B3">
        <w:rPr>
          <w:sz w:val="26"/>
          <w:szCs w:val="26"/>
        </w:rPr>
        <w:t xml:space="preserve">, </w:t>
      </w:r>
      <w:r w:rsidR="00B341EB">
        <w:rPr>
          <w:sz w:val="26"/>
          <w:szCs w:val="26"/>
        </w:rPr>
        <w:t>in which it denied</w:t>
      </w:r>
      <w:r w:rsidR="00997597">
        <w:rPr>
          <w:sz w:val="26"/>
          <w:szCs w:val="26"/>
        </w:rPr>
        <w:t xml:space="preserve"> </w:t>
      </w:r>
      <w:r w:rsidR="00786AB8">
        <w:rPr>
          <w:sz w:val="26"/>
          <w:szCs w:val="26"/>
        </w:rPr>
        <w:t>t</w:t>
      </w:r>
      <w:r w:rsidR="00997597">
        <w:rPr>
          <w:sz w:val="26"/>
          <w:szCs w:val="26"/>
        </w:rPr>
        <w:t xml:space="preserve">he main averments of the Complaint.  Choice Energy asserted that the Complainant’s telephone number was not on any state or federal </w:t>
      </w:r>
      <w:r w:rsidR="00786AB8">
        <w:rPr>
          <w:sz w:val="26"/>
          <w:szCs w:val="26"/>
        </w:rPr>
        <w:t>“</w:t>
      </w:r>
      <w:r w:rsidR="00997597">
        <w:rPr>
          <w:sz w:val="26"/>
          <w:szCs w:val="26"/>
        </w:rPr>
        <w:t>do not call</w:t>
      </w:r>
      <w:r w:rsidR="00786AB8">
        <w:rPr>
          <w:sz w:val="26"/>
          <w:szCs w:val="26"/>
        </w:rPr>
        <w:t>”</w:t>
      </w:r>
      <w:r w:rsidR="00997597">
        <w:rPr>
          <w:sz w:val="26"/>
          <w:szCs w:val="26"/>
        </w:rPr>
        <w:t xml:space="preserve"> list</w:t>
      </w:r>
      <w:r w:rsidR="00031119">
        <w:rPr>
          <w:sz w:val="26"/>
          <w:szCs w:val="26"/>
        </w:rPr>
        <w:t>,</w:t>
      </w:r>
      <w:r w:rsidR="00997597">
        <w:rPr>
          <w:sz w:val="26"/>
          <w:szCs w:val="26"/>
        </w:rPr>
        <w:t xml:space="preserve"> and that as soon as the Complaint was filed, the Complainant’s telephone number was removed from </w:t>
      </w:r>
      <w:r w:rsidR="00AF1432">
        <w:rPr>
          <w:sz w:val="26"/>
          <w:szCs w:val="26"/>
        </w:rPr>
        <w:t>Choice Energy</w:t>
      </w:r>
      <w:r w:rsidR="00997597">
        <w:rPr>
          <w:sz w:val="26"/>
          <w:szCs w:val="26"/>
        </w:rPr>
        <w:t>’s call list.</w:t>
      </w:r>
    </w:p>
    <w:p w:rsidR="001135B3" w:rsidRPr="001135B3" w:rsidRDefault="001135B3" w:rsidP="00785214">
      <w:pPr>
        <w:widowControl/>
        <w:spacing w:line="360" w:lineRule="auto"/>
        <w:ind w:firstLine="1440"/>
        <w:rPr>
          <w:sz w:val="26"/>
          <w:szCs w:val="26"/>
        </w:rPr>
      </w:pPr>
    </w:p>
    <w:p w:rsidR="00534731" w:rsidRDefault="00D356D9" w:rsidP="00785214">
      <w:pPr>
        <w:widowControl/>
        <w:spacing w:line="360" w:lineRule="auto"/>
        <w:ind w:firstLine="1440"/>
        <w:rPr>
          <w:sz w:val="26"/>
          <w:szCs w:val="26"/>
        </w:rPr>
      </w:pPr>
      <w:r>
        <w:rPr>
          <w:sz w:val="26"/>
          <w:szCs w:val="26"/>
        </w:rPr>
        <w:t xml:space="preserve">On April 19, 2017, </w:t>
      </w:r>
      <w:r w:rsidR="00661CC5">
        <w:rPr>
          <w:sz w:val="26"/>
          <w:szCs w:val="26"/>
        </w:rPr>
        <w:t xml:space="preserve">the ALJ issued </w:t>
      </w:r>
      <w:r w:rsidR="002D0E75">
        <w:rPr>
          <w:sz w:val="26"/>
          <w:szCs w:val="26"/>
        </w:rPr>
        <w:t>a</w:t>
      </w:r>
      <w:r w:rsidR="00534731">
        <w:rPr>
          <w:sz w:val="26"/>
          <w:szCs w:val="26"/>
        </w:rPr>
        <w:t xml:space="preserve"> </w:t>
      </w:r>
      <w:r>
        <w:rPr>
          <w:sz w:val="26"/>
          <w:szCs w:val="26"/>
        </w:rPr>
        <w:t>Prehearing Order</w:t>
      </w:r>
      <w:r w:rsidR="00B341EB">
        <w:rPr>
          <w:sz w:val="26"/>
          <w:szCs w:val="26"/>
        </w:rPr>
        <w:t xml:space="preserve"> </w:t>
      </w:r>
      <w:r w:rsidR="00661CC5">
        <w:rPr>
          <w:sz w:val="26"/>
          <w:szCs w:val="26"/>
        </w:rPr>
        <w:t>in which</w:t>
      </w:r>
      <w:r w:rsidR="00534731">
        <w:rPr>
          <w:sz w:val="26"/>
          <w:szCs w:val="26"/>
        </w:rPr>
        <w:t xml:space="preserve"> </w:t>
      </w:r>
      <w:r w:rsidR="007D5448">
        <w:rPr>
          <w:sz w:val="26"/>
          <w:szCs w:val="26"/>
        </w:rPr>
        <w:t>s</w:t>
      </w:r>
      <w:r w:rsidR="00BE4F5D">
        <w:rPr>
          <w:sz w:val="26"/>
          <w:szCs w:val="26"/>
        </w:rPr>
        <w:t xml:space="preserve">he </w:t>
      </w:r>
      <w:r w:rsidR="002352AD">
        <w:rPr>
          <w:sz w:val="26"/>
          <w:szCs w:val="26"/>
        </w:rPr>
        <w:t xml:space="preserve">informed </w:t>
      </w:r>
      <w:r w:rsidR="00BE4F5D">
        <w:rPr>
          <w:sz w:val="26"/>
          <w:szCs w:val="26"/>
        </w:rPr>
        <w:t xml:space="preserve">the parties </w:t>
      </w:r>
      <w:r w:rsidR="00AA7EF6">
        <w:rPr>
          <w:sz w:val="26"/>
          <w:szCs w:val="26"/>
        </w:rPr>
        <w:t xml:space="preserve">about </w:t>
      </w:r>
      <w:r w:rsidR="003A3388">
        <w:rPr>
          <w:sz w:val="26"/>
          <w:szCs w:val="26"/>
        </w:rPr>
        <w:t xml:space="preserve">the </w:t>
      </w:r>
      <w:r w:rsidR="00AC3B34">
        <w:rPr>
          <w:sz w:val="26"/>
          <w:szCs w:val="26"/>
        </w:rPr>
        <w:t xml:space="preserve">hearing scheduled </w:t>
      </w:r>
      <w:r w:rsidR="00661CC5">
        <w:rPr>
          <w:sz w:val="26"/>
          <w:szCs w:val="26"/>
        </w:rPr>
        <w:t xml:space="preserve">for </w:t>
      </w:r>
      <w:r w:rsidR="00534731">
        <w:rPr>
          <w:sz w:val="26"/>
          <w:szCs w:val="26"/>
        </w:rPr>
        <w:t>May 25, 2017</w:t>
      </w:r>
      <w:r w:rsidR="00661CC5">
        <w:rPr>
          <w:sz w:val="26"/>
          <w:szCs w:val="26"/>
        </w:rPr>
        <w:t>, and</w:t>
      </w:r>
      <w:r w:rsidR="00B76043">
        <w:rPr>
          <w:sz w:val="26"/>
          <w:szCs w:val="26"/>
        </w:rPr>
        <w:t xml:space="preserve"> of</w:t>
      </w:r>
      <w:r>
        <w:rPr>
          <w:sz w:val="26"/>
          <w:szCs w:val="26"/>
        </w:rPr>
        <w:t xml:space="preserve"> the</w:t>
      </w:r>
      <w:r w:rsidR="00534731">
        <w:rPr>
          <w:sz w:val="26"/>
          <w:szCs w:val="26"/>
        </w:rPr>
        <w:t xml:space="preserve"> applicable </w:t>
      </w:r>
      <w:r>
        <w:rPr>
          <w:sz w:val="26"/>
          <w:szCs w:val="26"/>
        </w:rPr>
        <w:t xml:space="preserve">procedures </w:t>
      </w:r>
      <w:r w:rsidR="00534731">
        <w:rPr>
          <w:sz w:val="26"/>
          <w:szCs w:val="26"/>
        </w:rPr>
        <w:t>o</w:t>
      </w:r>
      <w:r>
        <w:rPr>
          <w:sz w:val="26"/>
          <w:szCs w:val="26"/>
        </w:rPr>
        <w:t>f</w:t>
      </w:r>
      <w:r w:rsidR="00534731">
        <w:rPr>
          <w:sz w:val="26"/>
          <w:szCs w:val="26"/>
        </w:rPr>
        <w:t xml:space="preserve"> the proceeding</w:t>
      </w:r>
      <w:r w:rsidR="00661CC5">
        <w:rPr>
          <w:sz w:val="26"/>
          <w:szCs w:val="26"/>
        </w:rPr>
        <w:t>.</w:t>
      </w:r>
      <w:r w:rsidR="00B76043">
        <w:rPr>
          <w:sz w:val="26"/>
          <w:szCs w:val="26"/>
        </w:rPr>
        <w:t xml:space="preserve"> </w:t>
      </w:r>
      <w:r w:rsidR="00661CC5">
        <w:rPr>
          <w:sz w:val="26"/>
          <w:szCs w:val="26"/>
        </w:rPr>
        <w:t xml:space="preserve"> </w:t>
      </w:r>
      <w:r>
        <w:rPr>
          <w:sz w:val="26"/>
          <w:szCs w:val="26"/>
        </w:rPr>
        <w:t xml:space="preserve">Choice Energy </w:t>
      </w:r>
      <w:r w:rsidR="00B76043">
        <w:rPr>
          <w:sz w:val="26"/>
          <w:szCs w:val="26"/>
        </w:rPr>
        <w:t xml:space="preserve">was informed </w:t>
      </w:r>
      <w:r w:rsidR="00661CC5">
        <w:rPr>
          <w:sz w:val="26"/>
          <w:szCs w:val="26"/>
        </w:rPr>
        <w:t>that as a limited l</w:t>
      </w:r>
      <w:r w:rsidR="00297B1B">
        <w:rPr>
          <w:sz w:val="26"/>
          <w:szCs w:val="26"/>
        </w:rPr>
        <w:t>i</w:t>
      </w:r>
      <w:r w:rsidR="00661CC5">
        <w:rPr>
          <w:sz w:val="26"/>
          <w:szCs w:val="26"/>
        </w:rPr>
        <w:t>ability company</w:t>
      </w:r>
      <w:r w:rsidR="00AC3B34">
        <w:rPr>
          <w:sz w:val="26"/>
          <w:szCs w:val="26"/>
        </w:rPr>
        <w:t>,</w:t>
      </w:r>
      <w:r w:rsidR="00661CC5">
        <w:rPr>
          <w:sz w:val="26"/>
          <w:szCs w:val="26"/>
        </w:rPr>
        <w:t xml:space="preserve"> it needed an </w:t>
      </w:r>
      <w:r>
        <w:rPr>
          <w:sz w:val="26"/>
          <w:szCs w:val="26"/>
        </w:rPr>
        <w:t xml:space="preserve">attorney licensed to practice law in Pennsylvania or </w:t>
      </w:r>
      <w:r w:rsidR="00210F34">
        <w:rPr>
          <w:sz w:val="26"/>
          <w:szCs w:val="26"/>
        </w:rPr>
        <w:t>attorneys admitted</w:t>
      </w:r>
      <w:r>
        <w:rPr>
          <w:sz w:val="26"/>
          <w:szCs w:val="26"/>
        </w:rPr>
        <w:t xml:space="preserve"> </w:t>
      </w:r>
      <w:r w:rsidRPr="00D356D9">
        <w:rPr>
          <w:i/>
          <w:sz w:val="26"/>
          <w:szCs w:val="26"/>
        </w:rPr>
        <w:t>Pro Hac Vice</w:t>
      </w:r>
      <w:r w:rsidR="00661CC5" w:rsidRPr="00661CC5">
        <w:rPr>
          <w:sz w:val="26"/>
          <w:szCs w:val="26"/>
        </w:rPr>
        <w:t xml:space="preserve"> </w:t>
      </w:r>
      <w:r w:rsidR="00B65ED3">
        <w:rPr>
          <w:sz w:val="26"/>
          <w:szCs w:val="26"/>
        </w:rPr>
        <w:t xml:space="preserve">to </w:t>
      </w:r>
      <w:r w:rsidR="00661CC5">
        <w:rPr>
          <w:sz w:val="26"/>
          <w:szCs w:val="26"/>
        </w:rPr>
        <w:t>represent it at the hearing</w:t>
      </w:r>
      <w:r w:rsidR="00534731">
        <w:rPr>
          <w:sz w:val="26"/>
          <w:szCs w:val="26"/>
        </w:rPr>
        <w:t>.</w:t>
      </w:r>
      <w:r>
        <w:rPr>
          <w:sz w:val="26"/>
          <w:szCs w:val="26"/>
        </w:rPr>
        <w:t xml:space="preserve">  I.D. at 2.</w:t>
      </w:r>
    </w:p>
    <w:p w:rsidR="002775BA" w:rsidRDefault="002775BA" w:rsidP="00785214">
      <w:pPr>
        <w:widowControl/>
        <w:spacing w:line="360" w:lineRule="auto"/>
        <w:ind w:firstLine="1440"/>
        <w:rPr>
          <w:sz w:val="26"/>
          <w:szCs w:val="26"/>
        </w:rPr>
      </w:pPr>
    </w:p>
    <w:p w:rsidR="002775BA" w:rsidRDefault="00297B1B" w:rsidP="00785214">
      <w:pPr>
        <w:widowControl/>
        <w:spacing w:line="360" w:lineRule="auto"/>
        <w:ind w:firstLine="1440"/>
        <w:rPr>
          <w:sz w:val="26"/>
          <w:szCs w:val="26"/>
        </w:rPr>
      </w:pPr>
      <w:r>
        <w:rPr>
          <w:sz w:val="26"/>
          <w:szCs w:val="26"/>
        </w:rPr>
        <w:lastRenderedPageBreak/>
        <w:t xml:space="preserve">By Order dated </w:t>
      </w:r>
      <w:r w:rsidR="002775BA">
        <w:rPr>
          <w:sz w:val="26"/>
          <w:szCs w:val="26"/>
        </w:rPr>
        <w:t>May 18, 2017, the ALJ denied Choice Energy’s request to participate in a telephonic hearing in this case.</w:t>
      </w:r>
    </w:p>
    <w:p w:rsidR="00BE5879" w:rsidRDefault="00BE5879" w:rsidP="00785214">
      <w:pPr>
        <w:widowControl/>
        <w:spacing w:line="360" w:lineRule="auto"/>
        <w:ind w:firstLine="1440"/>
        <w:rPr>
          <w:sz w:val="26"/>
          <w:szCs w:val="26"/>
        </w:rPr>
      </w:pPr>
    </w:p>
    <w:p w:rsidR="008A1C74" w:rsidRDefault="002775BA" w:rsidP="00785214">
      <w:pPr>
        <w:widowControl/>
        <w:spacing w:line="360" w:lineRule="auto"/>
        <w:ind w:firstLine="1440"/>
        <w:rPr>
          <w:sz w:val="26"/>
          <w:szCs w:val="26"/>
        </w:rPr>
      </w:pPr>
      <w:r>
        <w:rPr>
          <w:sz w:val="26"/>
          <w:szCs w:val="26"/>
        </w:rPr>
        <w:t>The hearing convened as scheduled</w:t>
      </w:r>
      <w:r w:rsidR="008249BC">
        <w:rPr>
          <w:sz w:val="26"/>
          <w:szCs w:val="26"/>
        </w:rPr>
        <w:t xml:space="preserve"> on May 25, 2017.  T</w:t>
      </w:r>
      <w:r w:rsidR="001135B3" w:rsidRPr="001135B3">
        <w:rPr>
          <w:sz w:val="26"/>
          <w:szCs w:val="26"/>
        </w:rPr>
        <w:t>he Complainant appeared</w:t>
      </w:r>
      <w:r w:rsidR="00BE1D74">
        <w:rPr>
          <w:sz w:val="26"/>
          <w:szCs w:val="26"/>
        </w:rPr>
        <w:t xml:space="preserve"> </w:t>
      </w:r>
      <w:r w:rsidR="00BE1D74" w:rsidRPr="00BE1D74">
        <w:rPr>
          <w:i/>
          <w:sz w:val="26"/>
          <w:szCs w:val="26"/>
        </w:rPr>
        <w:t>pro se</w:t>
      </w:r>
      <w:r w:rsidR="001135B3" w:rsidRPr="001135B3">
        <w:rPr>
          <w:sz w:val="26"/>
          <w:szCs w:val="26"/>
        </w:rPr>
        <w:t xml:space="preserve"> and testified on his own behalf.  </w:t>
      </w:r>
      <w:r w:rsidR="000E67DB">
        <w:rPr>
          <w:sz w:val="26"/>
          <w:szCs w:val="26"/>
        </w:rPr>
        <w:t xml:space="preserve">The Complainant </w:t>
      </w:r>
      <w:r w:rsidR="001135B3" w:rsidRPr="001135B3">
        <w:rPr>
          <w:sz w:val="26"/>
          <w:szCs w:val="26"/>
        </w:rPr>
        <w:t xml:space="preserve">offered </w:t>
      </w:r>
      <w:r w:rsidR="00076714">
        <w:rPr>
          <w:sz w:val="26"/>
          <w:szCs w:val="26"/>
        </w:rPr>
        <w:t xml:space="preserve">four </w:t>
      </w:r>
      <w:r w:rsidR="001135B3" w:rsidRPr="001135B3">
        <w:rPr>
          <w:sz w:val="26"/>
          <w:szCs w:val="26"/>
        </w:rPr>
        <w:t xml:space="preserve">exhibits which were admitted into evidence.  </w:t>
      </w:r>
      <w:r w:rsidR="00AF7385">
        <w:rPr>
          <w:sz w:val="26"/>
          <w:szCs w:val="26"/>
        </w:rPr>
        <w:t>Ms. Gabriella A. Figueroa</w:t>
      </w:r>
      <w:r w:rsidR="00D15801">
        <w:rPr>
          <w:sz w:val="26"/>
          <w:szCs w:val="26"/>
        </w:rPr>
        <w:t xml:space="preserve"> </w:t>
      </w:r>
      <w:r w:rsidR="00297B1B">
        <w:rPr>
          <w:sz w:val="26"/>
          <w:szCs w:val="26"/>
        </w:rPr>
        <w:t>was present on behalf of Choice Energy</w:t>
      </w:r>
      <w:r w:rsidR="001B3E07">
        <w:rPr>
          <w:sz w:val="26"/>
          <w:szCs w:val="26"/>
        </w:rPr>
        <w:t xml:space="preserve"> but was not </w:t>
      </w:r>
      <w:r w:rsidR="003A3388">
        <w:rPr>
          <w:sz w:val="26"/>
          <w:szCs w:val="26"/>
        </w:rPr>
        <w:t>permitted</w:t>
      </w:r>
      <w:r w:rsidR="001B3E07">
        <w:rPr>
          <w:sz w:val="26"/>
          <w:szCs w:val="26"/>
        </w:rPr>
        <w:t xml:space="preserve"> to participate in the proceeding </w:t>
      </w:r>
      <w:r w:rsidR="00D15801">
        <w:rPr>
          <w:sz w:val="26"/>
          <w:szCs w:val="26"/>
        </w:rPr>
        <w:t xml:space="preserve">because she </w:t>
      </w:r>
      <w:r w:rsidR="000E67DB">
        <w:rPr>
          <w:sz w:val="26"/>
          <w:szCs w:val="26"/>
        </w:rPr>
        <w:t xml:space="preserve">failed to complete her request to participate </w:t>
      </w:r>
      <w:r w:rsidR="00763B5E">
        <w:rPr>
          <w:i/>
          <w:sz w:val="26"/>
          <w:szCs w:val="26"/>
        </w:rPr>
        <w:t>p</w:t>
      </w:r>
      <w:r w:rsidR="000E67DB" w:rsidRPr="00D15801">
        <w:rPr>
          <w:i/>
          <w:sz w:val="26"/>
          <w:szCs w:val="26"/>
        </w:rPr>
        <w:t xml:space="preserve">ro </w:t>
      </w:r>
      <w:r w:rsidR="00763B5E">
        <w:rPr>
          <w:i/>
          <w:sz w:val="26"/>
          <w:szCs w:val="26"/>
        </w:rPr>
        <w:t>h</w:t>
      </w:r>
      <w:r w:rsidR="000E67DB" w:rsidRPr="00D15801">
        <w:rPr>
          <w:i/>
          <w:sz w:val="26"/>
          <w:szCs w:val="26"/>
        </w:rPr>
        <w:t xml:space="preserve">ac </w:t>
      </w:r>
      <w:r w:rsidR="00763B5E">
        <w:rPr>
          <w:i/>
          <w:sz w:val="26"/>
          <w:szCs w:val="26"/>
        </w:rPr>
        <w:t>v</w:t>
      </w:r>
      <w:r w:rsidR="000E67DB" w:rsidRPr="00D15801">
        <w:rPr>
          <w:i/>
          <w:sz w:val="26"/>
          <w:szCs w:val="26"/>
        </w:rPr>
        <w:t>ice</w:t>
      </w:r>
      <w:r w:rsidR="000E67DB">
        <w:rPr>
          <w:sz w:val="26"/>
          <w:szCs w:val="26"/>
        </w:rPr>
        <w:t xml:space="preserve">.  </w:t>
      </w:r>
      <w:r w:rsidR="00D15801">
        <w:rPr>
          <w:sz w:val="26"/>
          <w:szCs w:val="26"/>
        </w:rPr>
        <w:t>No attorney licensed to practice law in Pennsylvania had entered their appearance on behalf of Choice Energy.</w:t>
      </w:r>
    </w:p>
    <w:p w:rsidR="008A1C74" w:rsidRDefault="008A1C74" w:rsidP="00785214">
      <w:pPr>
        <w:widowControl/>
        <w:spacing w:line="360" w:lineRule="auto"/>
        <w:ind w:firstLine="1440"/>
        <w:rPr>
          <w:sz w:val="26"/>
          <w:szCs w:val="26"/>
        </w:rPr>
      </w:pPr>
    </w:p>
    <w:p w:rsidR="001135B3" w:rsidRDefault="008A1C74" w:rsidP="00785214">
      <w:pPr>
        <w:widowControl/>
        <w:spacing w:line="360" w:lineRule="auto"/>
        <w:ind w:firstLine="1440"/>
        <w:rPr>
          <w:sz w:val="26"/>
          <w:szCs w:val="26"/>
        </w:rPr>
      </w:pPr>
      <w:r>
        <w:rPr>
          <w:sz w:val="26"/>
          <w:szCs w:val="26"/>
        </w:rPr>
        <w:t>Upon receipt of the</w:t>
      </w:r>
      <w:r w:rsidR="001135B3" w:rsidRPr="001135B3">
        <w:rPr>
          <w:sz w:val="26"/>
          <w:szCs w:val="26"/>
        </w:rPr>
        <w:t xml:space="preserve"> </w:t>
      </w:r>
      <w:r>
        <w:rPr>
          <w:sz w:val="26"/>
          <w:szCs w:val="26"/>
        </w:rPr>
        <w:t>thirty-page</w:t>
      </w:r>
      <w:r w:rsidR="001135B3" w:rsidRPr="001135B3">
        <w:rPr>
          <w:sz w:val="26"/>
          <w:szCs w:val="26"/>
        </w:rPr>
        <w:t xml:space="preserve"> transcript</w:t>
      </w:r>
      <w:r>
        <w:rPr>
          <w:sz w:val="26"/>
          <w:szCs w:val="26"/>
        </w:rPr>
        <w:t xml:space="preserve"> on</w:t>
      </w:r>
      <w:r w:rsidR="001135B3" w:rsidRPr="001135B3">
        <w:rPr>
          <w:sz w:val="26"/>
          <w:szCs w:val="26"/>
        </w:rPr>
        <w:t xml:space="preserve"> </w:t>
      </w:r>
      <w:r>
        <w:rPr>
          <w:sz w:val="26"/>
          <w:szCs w:val="26"/>
        </w:rPr>
        <w:t>J</w:t>
      </w:r>
      <w:r w:rsidR="000E67DB">
        <w:rPr>
          <w:sz w:val="26"/>
          <w:szCs w:val="26"/>
        </w:rPr>
        <w:t>une</w:t>
      </w:r>
      <w:r w:rsidR="001135B3" w:rsidRPr="001135B3">
        <w:rPr>
          <w:sz w:val="26"/>
          <w:szCs w:val="26"/>
        </w:rPr>
        <w:t xml:space="preserve"> 1</w:t>
      </w:r>
      <w:r w:rsidR="000E67DB">
        <w:rPr>
          <w:sz w:val="26"/>
          <w:szCs w:val="26"/>
        </w:rPr>
        <w:t>9,</w:t>
      </w:r>
      <w:r w:rsidR="001135B3" w:rsidRPr="001135B3">
        <w:rPr>
          <w:sz w:val="26"/>
          <w:szCs w:val="26"/>
        </w:rPr>
        <w:t xml:space="preserve"> 201</w:t>
      </w:r>
      <w:r w:rsidR="000E67DB">
        <w:rPr>
          <w:sz w:val="26"/>
          <w:szCs w:val="26"/>
        </w:rPr>
        <w:t>7</w:t>
      </w:r>
      <w:r w:rsidR="001135B3" w:rsidRPr="001135B3">
        <w:rPr>
          <w:sz w:val="26"/>
          <w:szCs w:val="26"/>
        </w:rPr>
        <w:t xml:space="preserve">, the </w:t>
      </w:r>
      <w:r>
        <w:rPr>
          <w:sz w:val="26"/>
          <w:szCs w:val="26"/>
        </w:rPr>
        <w:t xml:space="preserve">ALJ issued an interim order closing the </w:t>
      </w:r>
      <w:r w:rsidR="001135B3" w:rsidRPr="001135B3">
        <w:rPr>
          <w:sz w:val="26"/>
          <w:szCs w:val="26"/>
        </w:rPr>
        <w:t>record.</w:t>
      </w:r>
    </w:p>
    <w:p w:rsidR="00B16BBE" w:rsidRDefault="00B16BBE" w:rsidP="00785214">
      <w:pPr>
        <w:widowControl/>
        <w:spacing w:line="360" w:lineRule="auto"/>
        <w:ind w:firstLine="1440"/>
        <w:rPr>
          <w:sz w:val="26"/>
          <w:szCs w:val="26"/>
        </w:rPr>
      </w:pPr>
    </w:p>
    <w:p w:rsidR="00763B5E" w:rsidRPr="003C202A" w:rsidRDefault="00763B5E" w:rsidP="00785214">
      <w:pPr>
        <w:widowControl/>
        <w:tabs>
          <w:tab w:val="left" w:pos="-720"/>
        </w:tabs>
        <w:suppressAutoHyphens/>
        <w:spacing w:line="360" w:lineRule="auto"/>
        <w:ind w:right="720" w:firstLine="1440"/>
        <w:rPr>
          <w:sz w:val="26"/>
          <w:szCs w:val="24"/>
        </w:rPr>
      </w:pPr>
      <w:r w:rsidRPr="0019074B">
        <w:rPr>
          <w:sz w:val="26"/>
          <w:szCs w:val="24"/>
        </w:rPr>
        <w:t>On June 21, 2017, Michael A Gruin</w:t>
      </w:r>
      <w:r>
        <w:rPr>
          <w:sz w:val="26"/>
          <w:szCs w:val="24"/>
        </w:rPr>
        <w:t>, Esquire</w:t>
      </w:r>
      <w:r w:rsidRPr="0019074B">
        <w:rPr>
          <w:rStyle w:val="FootnoteReference"/>
          <w:sz w:val="26"/>
          <w:szCs w:val="24"/>
        </w:rPr>
        <w:footnoteReference w:id="2"/>
      </w:r>
      <w:r w:rsidRPr="0019074B">
        <w:rPr>
          <w:sz w:val="26"/>
          <w:szCs w:val="24"/>
        </w:rPr>
        <w:t xml:space="preserve"> filed Motions for Admission </w:t>
      </w:r>
      <w:r w:rsidRPr="0019074B">
        <w:rPr>
          <w:i/>
          <w:sz w:val="26"/>
          <w:szCs w:val="24"/>
        </w:rPr>
        <w:t>Pro Hac Vice</w:t>
      </w:r>
      <w:r w:rsidRPr="0019074B">
        <w:rPr>
          <w:sz w:val="26"/>
          <w:szCs w:val="24"/>
        </w:rPr>
        <w:t xml:space="preserve"> </w:t>
      </w:r>
      <w:r>
        <w:rPr>
          <w:sz w:val="26"/>
          <w:szCs w:val="24"/>
        </w:rPr>
        <w:t xml:space="preserve">(Motions) </w:t>
      </w:r>
      <w:r w:rsidRPr="0019074B">
        <w:rPr>
          <w:sz w:val="26"/>
          <w:szCs w:val="24"/>
        </w:rPr>
        <w:t>pursuant to 52 Pa.</w:t>
      </w:r>
      <w:r>
        <w:rPr>
          <w:sz w:val="26"/>
          <w:szCs w:val="24"/>
        </w:rPr>
        <w:t xml:space="preserve"> </w:t>
      </w:r>
      <w:r w:rsidRPr="0019074B">
        <w:rPr>
          <w:sz w:val="26"/>
          <w:szCs w:val="24"/>
        </w:rPr>
        <w:t xml:space="preserve">Code §§ 1.22 and 1.23 and Pa. B.A.R. </w:t>
      </w:r>
      <w:r>
        <w:rPr>
          <w:sz w:val="26"/>
          <w:szCs w:val="24"/>
        </w:rPr>
        <w:t xml:space="preserve">Rule </w:t>
      </w:r>
      <w:r w:rsidRPr="0019074B">
        <w:rPr>
          <w:sz w:val="26"/>
          <w:szCs w:val="24"/>
        </w:rPr>
        <w:t xml:space="preserve">301(a) on behalf of Murray E. Bevan, Esquire, and Gabrielle Figueroa, Esquire, requesting that both be admitted for purposes of representing Choice Energy in this proceeding.  </w:t>
      </w:r>
      <w:r w:rsidRPr="003C202A">
        <w:rPr>
          <w:sz w:val="26"/>
          <w:szCs w:val="24"/>
        </w:rPr>
        <w:t xml:space="preserve">On June 30, 2017, </w:t>
      </w:r>
      <w:r>
        <w:rPr>
          <w:sz w:val="26"/>
          <w:szCs w:val="24"/>
        </w:rPr>
        <w:t xml:space="preserve">the </w:t>
      </w:r>
      <w:r w:rsidRPr="003C202A">
        <w:rPr>
          <w:sz w:val="26"/>
          <w:szCs w:val="24"/>
        </w:rPr>
        <w:t xml:space="preserve">Complainant </w:t>
      </w:r>
      <w:r>
        <w:rPr>
          <w:sz w:val="26"/>
          <w:szCs w:val="24"/>
        </w:rPr>
        <w:t xml:space="preserve">generally </w:t>
      </w:r>
      <w:r w:rsidRPr="003C202A">
        <w:rPr>
          <w:sz w:val="26"/>
          <w:szCs w:val="24"/>
        </w:rPr>
        <w:t xml:space="preserve">requested that the </w:t>
      </w:r>
      <w:r>
        <w:rPr>
          <w:sz w:val="26"/>
          <w:szCs w:val="24"/>
        </w:rPr>
        <w:t>M</w:t>
      </w:r>
      <w:r w:rsidRPr="003C202A">
        <w:rPr>
          <w:sz w:val="26"/>
          <w:szCs w:val="24"/>
        </w:rPr>
        <w:t>otions be denied.</w:t>
      </w:r>
      <w:r>
        <w:rPr>
          <w:sz w:val="26"/>
          <w:szCs w:val="24"/>
        </w:rPr>
        <w:t xml:space="preserve">  By Order dated December 13, 2017, the ALJ granted the Motions and admitted Mr. Bevan and Ms. Figueroa </w:t>
      </w:r>
      <w:r w:rsidRPr="0019074B">
        <w:rPr>
          <w:i/>
          <w:sz w:val="26"/>
          <w:szCs w:val="24"/>
        </w:rPr>
        <w:t>pro hac vice</w:t>
      </w:r>
      <w:r w:rsidR="00393FDF">
        <w:rPr>
          <w:sz w:val="26"/>
          <w:szCs w:val="24"/>
        </w:rPr>
        <w:t xml:space="preserve"> to represent Choice Energy</w:t>
      </w:r>
      <w:r>
        <w:rPr>
          <w:sz w:val="26"/>
          <w:szCs w:val="24"/>
        </w:rPr>
        <w:t>.</w:t>
      </w:r>
    </w:p>
    <w:p w:rsidR="00763B5E" w:rsidRPr="0019074B" w:rsidRDefault="00763B5E" w:rsidP="00785214">
      <w:pPr>
        <w:widowControl/>
        <w:tabs>
          <w:tab w:val="left" w:pos="-720"/>
        </w:tabs>
        <w:suppressAutoHyphens/>
        <w:spacing w:line="360" w:lineRule="auto"/>
        <w:ind w:right="720" w:firstLine="1440"/>
        <w:rPr>
          <w:sz w:val="26"/>
          <w:szCs w:val="24"/>
        </w:rPr>
      </w:pPr>
    </w:p>
    <w:p w:rsidR="008A1C74" w:rsidRDefault="002F6BAF" w:rsidP="00785214">
      <w:pPr>
        <w:widowControl/>
        <w:spacing w:line="360" w:lineRule="auto"/>
        <w:rPr>
          <w:sz w:val="26"/>
          <w:szCs w:val="26"/>
        </w:rPr>
      </w:pPr>
      <w:r>
        <w:rPr>
          <w:sz w:val="26"/>
          <w:szCs w:val="26"/>
        </w:rPr>
        <w:tab/>
      </w:r>
      <w:r>
        <w:rPr>
          <w:sz w:val="26"/>
          <w:szCs w:val="26"/>
        </w:rPr>
        <w:tab/>
        <w:t xml:space="preserve">On </w:t>
      </w:r>
      <w:r w:rsidR="00076714">
        <w:rPr>
          <w:sz w:val="26"/>
          <w:szCs w:val="26"/>
        </w:rPr>
        <w:t>December</w:t>
      </w:r>
      <w:r>
        <w:rPr>
          <w:sz w:val="26"/>
          <w:szCs w:val="26"/>
        </w:rPr>
        <w:t xml:space="preserve"> 2</w:t>
      </w:r>
      <w:r w:rsidR="00076714">
        <w:rPr>
          <w:sz w:val="26"/>
          <w:szCs w:val="26"/>
        </w:rPr>
        <w:t>6</w:t>
      </w:r>
      <w:r>
        <w:rPr>
          <w:sz w:val="26"/>
          <w:szCs w:val="26"/>
        </w:rPr>
        <w:t>, 201</w:t>
      </w:r>
      <w:r w:rsidR="00076714">
        <w:rPr>
          <w:sz w:val="26"/>
          <w:szCs w:val="26"/>
        </w:rPr>
        <w:t>7</w:t>
      </w:r>
      <w:r>
        <w:rPr>
          <w:sz w:val="26"/>
          <w:szCs w:val="26"/>
        </w:rPr>
        <w:t xml:space="preserve">, the </w:t>
      </w:r>
      <w:r w:rsidR="008A1C74">
        <w:rPr>
          <w:sz w:val="26"/>
          <w:szCs w:val="26"/>
        </w:rPr>
        <w:t xml:space="preserve">Commission </w:t>
      </w:r>
      <w:r>
        <w:rPr>
          <w:sz w:val="26"/>
          <w:szCs w:val="26"/>
        </w:rPr>
        <w:t>issued</w:t>
      </w:r>
      <w:r w:rsidR="008A1C74">
        <w:rPr>
          <w:sz w:val="26"/>
          <w:szCs w:val="26"/>
        </w:rPr>
        <w:t xml:space="preserve"> the Initial Decision of ALJ Guhl, in which the ALJ sustained the Complaint and </w:t>
      </w:r>
      <w:r w:rsidR="00000E82">
        <w:rPr>
          <w:sz w:val="26"/>
          <w:szCs w:val="26"/>
        </w:rPr>
        <w:t xml:space="preserve">ordered </w:t>
      </w:r>
      <w:r w:rsidR="00D14EF9">
        <w:rPr>
          <w:sz w:val="26"/>
          <w:szCs w:val="26"/>
        </w:rPr>
        <w:t>Choice</w:t>
      </w:r>
      <w:r w:rsidR="00031119">
        <w:rPr>
          <w:sz w:val="26"/>
          <w:szCs w:val="26"/>
        </w:rPr>
        <w:t xml:space="preserve"> Energy</w:t>
      </w:r>
      <w:r w:rsidR="00D14EF9">
        <w:rPr>
          <w:sz w:val="26"/>
          <w:szCs w:val="26"/>
        </w:rPr>
        <w:t xml:space="preserve"> </w:t>
      </w:r>
      <w:r w:rsidR="00000E82">
        <w:rPr>
          <w:sz w:val="26"/>
          <w:szCs w:val="26"/>
        </w:rPr>
        <w:t>to pay</w:t>
      </w:r>
      <w:r w:rsidR="00031119">
        <w:rPr>
          <w:sz w:val="26"/>
          <w:szCs w:val="26"/>
        </w:rPr>
        <w:t xml:space="preserve"> a </w:t>
      </w:r>
      <w:r w:rsidR="00297B1B">
        <w:rPr>
          <w:sz w:val="26"/>
          <w:szCs w:val="26"/>
        </w:rPr>
        <w:t xml:space="preserve">civil </w:t>
      </w:r>
      <w:r w:rsidR="00031119">
        <w:rPr>
          <w:sz w:val="26"/>
          <w:szCs w:val="26"/>
        </w:rPr>
        <w:t>penalty of $1,000</w:t>
      </w:r>
      <w:r w:rsidR="008A1C74">
        <w:rPr>
          <w:sz w:val="26"/>
          <w:szCs w:val="26"/>
        </w:rPr>
        <w:t>.</w:t>
      </w:r>
    </w:p>
    <w:p w:rsidR="008A1C74" w:rsidRDefault="008A1C74" w:rsidP="00785214">
      <w:pPr>
        <w:widowControl/>
        <w:spacing w:line="360" w:lineRule="auto"/>
        <w:rPr>
          <w:sz w:val="26"/>
          <w:szCs w:val="26"/>
        </w:rPr>
      </w:pPr>
    </w:p>
    <w:p w:rsidR="00CA43A5" w:rsidRDefault="00031119" w:rsidP="00556814">
      <w:pPr>
        <w:widowControl/>
        <w:spacing w:line="360" w:lineRule="auto"/>
        <w:ind w:firstLine="720"/>
        <w:rPr>
          <w:sz w:val="26"/>
          <w:szCs w:val="26"/>
        </w:rPr>
      </w:pPr>
      <w:r>
        <w:rPr>
          <w:sz w:val="26"/>
          <w:szCs w:val="26"/>
        </w:rPr>
        <w:lastRenderedPageBreak/>
        <w:tab/>
        <w:t xml:space="preserve">As previously noted, the Complainant and Choice Energy, respectively, filed Exceptions to the </w:t>
      </w:r>
      <w:r w:rsidR="002F6BAF">
        <w:rPr>
          <w:sz w:val="26"/>
          <w:szCs w:val="26"/>
        </w:rPr>
        <w:t>Initial Decision</w:t>
      </w:r>
      <w:r w:rsidR="00A34C32">
        <w:rPr>
          <w:sz w:val="26"/>
          <w:szCs w:val="26"/>
        </w:rPr>
        <w:t xml:space="preserve"> </w:t>
      </w:r>
      <w:r w:rsidR="00A34C32">
        <w:rPr>
          <w:color w:val="000000"/>
          <w:sz w:val="26"/>
        </w:rPr>
        <w:t>on January 4, 2018, and January 5, 2018</w:t>
      </w:r>
      <w:r w:rsidR="002F6BAF">
        <w:rPr>
          <w:sz w:val="26"/>
          <w:szCs w:val="26"/>
        </w:rPr>
        <w:t xml:space="preserve">.  </w:t>
      </w:r>
      <w:r w:rsidR="00297B1B">
        <w:rPr>
          <w:sz w:val="26"/>
          <w:szCs w:val="26"/>
        </w:rPr>
        <w:t xml:space="preserve">The Complainant </w:t>
      </w:r>
      <w:r w:rsidR="002F6BAF">
        <w:rPr>
          <w:sz w:val="26"/>
          <w:szCs w:val="26"/>
        </w:rPr>
        <w:t>filed Replies to Exceptions</w:t>
      </w:r>
      <w:r w:rsidR="007C216B">
        <w:rPr>
          <w:sz w:val="26"/>
          <w:szCs w:val="26"/>
        </w:rPr>
        <w:t xml:space="preserve"> on January 10, 2018</w:t>
      </w:r>
      <w:r>
        <w:rPr>
          <w:sz w:val="26"/>
          <w:szCs w:val="26"/>
        </w:rPr>
        <w:t>.</w:t>
      </w:r>
    </w:p>
    <w:p w:rsidR="009C247C" w:rsidRPr="002F6BAF" w:rsidRDefault="009C247C" w:rsidP="00785214">
      <w:pPr>
        <w:widowControl/>
        <w:spacing w:line="360" w:lineRule="auto"/>
        <w:rPr>
          <w:sz w:val="26"/>
          <w:szCs w:val="26"/>
        </w:rPr>
      </w:pPr>
    </w:p>
    <w:p w:rsidR="00CA43A5" w:rsidRDefault="00CA43A5" w:rsidP="00785214">
      <w:pPr>
        <w:keepNext/>
        <w:widowControl/>
        <w:spacing w:line="360" w:lineRule="auto"/>
        <w:jc w:val="center"/>
        <w:rPr>
          <w:b/>
          <w:sz w:val="26"/>
          <w:szCs w:val="26"/>
        </w:rPr>
      </w:pPr>
      <w:r w:rsidRPr="00CA43A5">
        <w:rPr>
          <w:b/>
          <w:sz w:val="26"/>
          <w:szCs w:val="26"/>
        </w:rPr>
        <w:t>Discussion</w:t>
      </w:r>
    </w:p>
    <w:p w:rsidR="000B22AF" w:rsidRPr="00CA43A5" w:rsidRDefault="000B22AF" w:rsidP="00785214">
      <w:pPr>
        <w:keepNext/>
        <w:widowControl/>
        <w:spacing w:line="360" w:lineRule="auto"/>
        <w:jc w:val="center"/>
        <w:rPr>
          <w:sz w:val="26"/>
          <w:szCs w:val="26"/>
        </w:rPr>
      </w:pPr>
    </w:p>
    <w:p w:rsidR="0043592C" w:rsidRDefault="0043592C" w:rsidP="00785214">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B01EBF">
        <w:rPr>
          <w:sz w:val="26"/>
          <w:szCs w:val="26"/>
        </w:rPr>
        <w:t xml:space="preserve">Public Utility </w:t>
      </w:r>
      <w:r w:rsidRPr="00CA43A5">
        <w:rPr>
          <w:sz w:val="26"/>
          <w:szCs w:val="26"/>
        </w:rPr>
        <w:t>Code</w:t>
      </w:r>
      <w:r w:rsidR="00B01EBF">
        <w:rPr>
          <w:sz w:val="26"/>
          <w:szCs w:val="26"/>
        </w:rPr>
        <w:t xml:space="preserve"> (Code)</w:t>
      </w:r>
      <w:r w:rsidR="009C247C">
        <w:rPr>
          <w:sz w:val="26"/>
          <w:szCs w:val="26"/>
        </w:rPr>
        <w:t>,</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785214">
      <w:pPr>
        <w:widowControl/>
        <w:spacing w:line="360" w:lineRule="auto"/>
        <w:rPr>
          <w:sz w:val="26"/>
          <w:szCs w:val="26"/>
        </w:rPr>
      </w:pPr>
    </w:p>
    <w:p w:rsidR="00195F2E" w:rsidRPr="00CC1FD7" w:rsidRDefault="00670BFD" w:rsidP="00785214">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to rebut the evidence of the customer</w:t>
      </w:r>
      <w:r>
        <w:rPr>
          <w:sz w:val="26"/>
        </w:rPr>
        <w:t xml:space="preserve"> shifts</w:t>
      </w:r>
      <w:r w:rsidRPr="00472547">
        <w:rPr>
          <w:sz w:val="26"/>
        </w:rPr>
        <w:t xml:space="preserve"> to the respondent. </w:t>
      </w:r>
      <w:r w:rsidR="00A66994">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8"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785214">
      <w:pPr>
        <w:widowControl/>
        <w:spacing w:line="360" w:lineRule="auto"/>
        <w:ind w:firstLine="1440"/>
        <w:rPr>
          <w:sz w:val="26"/>
        </w:rPr>
      </w:pPr>
    </w:p>
    <w:p w:rsidR="00154CB6" w:rsidRDefault="00670BFD" w:rsidP="00785214">
      <w:pPr>
        <w:widowControl/>
        <w:spacing w:line="360" w:lineRule="auto"/>
        <w:ind w:firstLine="1440"/>
        <w:rPr>
          <w:sz w:val="26"/>
        </w:rPr>
      </w:pPr>
      <w:r w:rsidRPr="00182752">
        <w:rPr>
          <w:sz w:val="26"/>
        </w:rPr>
        <w:lastRenderedPageBreak/>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4430D0">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623818" w:rsidRDefault="00623818" w:rsidP="00785214">
      <w:pPr>
        <w:widowControl/>
        <w:spacing w:line="360" w:lineRule="auto"/>
        <w:ind w:firstLine="1440"/>
        <w:rPr>
          <w:sz w:val="26"/>
        </w:rPr>
      </w:pPr>
    </w:p>
    <w:p w:rsidR="00CA43A5" w:rsidRDefault="00CA43A5" w:rsidP="00785214">
      <w:pPr>
        <w:widowControl/>
        <w:spacing w:line="360" w:lineRule="auto"/>
        <w:ind w:firstLine="1440"/>
        <w:rPr>
          <w:sz w:val="26"/>
          <w:szCs w:val="26"/>
        </w:rPr>
      </w:pPr>
      <w:r w:rsidRPr="00CA43A5">
        <w:rPr>
          <w:sz w:val="26"/>
          <w:szCs w:val="26"/>
        </w:rPr>
        <w:t xml:space="preserve">ALJ </w:t>
      </w:r>
      <w:r w:rsidR="00FF1D8B">
        <w:rPr>
          <w:sz w:val="26"/>
          <w:szCs w:val="26"/>
        </w:rPr>
        <w:t>Guhl</w:t>
      </w:r>
      <w:r w:rsidRPr="00CA43A5">
        <w:rPr>
          <w:sz w:val="26"/>
          <w:szCs w:val="26"/>
        </w:rPr>
        <w:t xml:space="preserve"> made </w:t>
      </w:r>
      <w:r w:rsidR="00FF1D8B">
        <w:rPr>
          <w:sz w:val="26"/>
          <w:szCs w:val="26"/>
        </w:rPr>
        <w:t>eleven</w:t>
      </w:r>
      <w:r w:rsidRPr="00CA43A5">
        <w:rPr>
          <w:sz w:val="26"/>
          <w:szCs w:val="26"/>
        </w:rPr>
        <w:t xml:space="preserve"> Findings of Fact and reached </w:t>
      </w:r>
      <w:r w:rsidR="009C247C">
        <w:rPr>
          <w:sz w:val="26"/>
          <w:szCs w:val="26"/>
        </w:rPr>
        <w:t>t</w:t>
      </w:r>
      <w:r w:rsidR="00FF1D8B">
        <w:rPr>
          <w:sz w:val="26"/>
          <w:szCs w:val="26"/>
        </w:rPr>
        <w:t>welve</w:t>
      </w:r>
      <w:r w:rsidRPr="00CA43A5">
        <w:rPr>
          <w:sz w:val="26"/>
          <w:szCs w:val="26"/>
        </w:rPr>
        <w:t xml:space="preserve"> Conclusions of Law.  </w:t>
      </w:r>
      <w:r w:rsidR="00223542">
        <w:rPr>
          <w:sz w:val="26"/>
          <w:szCs w:val="26"/>
        </w:rPr>
        <w:t xml:space="preserve">I.D. at 3-4, 12-13.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FF1D8B" w:rsidRPr="00CA43A5" w:rsidRDefault="00FF1D8B" w:rsidP="00785214">
      <w:pPr>
        <w:widowControl/>
        <w:spacing w:line="360" w:lineRule="auto"/>
        <w:ind w:firstLine="1440"/>
        <w:rPr>
          <w:sz w:val="26"/>
          <w:szCs w:val="26"/>
        </w:rPr>
      </w:pPr>
    </w:p>
    <w:p w:rsidR="00214B3E" w:rsidRPr="002A6750" w:rsidRDefault="00006F35" w:rsidP="00785214">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9"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0"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785214">
      <w:pPr>
        <w:widowControl/>
        <w:spacing w:line="360" w:lineRule="auto"/>
        <w:ind w:firstLine="1440"/>
        <w:rPr>
          <w:sz w:val="26"/>
          <w:szCs w:val="26"/>
        </w:rPr>
      </w:pPr>
    </w:p>
    <w:p w:rsidR="00006F35" w:rsidRDefault="00006F35" w:rsidP="00785214">
      <w:pPr>
        <w:keepNext/>
        <w:widowControl/>
        <w:spacing w:line="360" w:lineRule="auto"/>
        <w:ind w:firstLine="1440"/>
        <w:rPr>
          <w:b/>
          <w:sz w:val="26"/>
          <w:szCs w:val="26"/>
        </w:rPr>
      </w:pPr>
      <w:r>
        <w:rPr>
          <w:b/>
          <w:sz w:val="26"/>
          <w:szCs w:val="26"/>
        </w:rPr>
        <w:t xml:space="preserve">ALJ’s </w:t>
      </w:r>
      <w:r w:rsidR="002449F0">
        <w:rPr>
          <w:b/>
          <w:sz w:val="26"/>
          <w:szCs w:val="26"/>
        </w:rPr>
        <w:t xml:space="preserve">Initial </w:t>
      </w:r>
      <w:r w:rsidR="009C247C">
        <w:rPr>
          <w:b/>
          <w:sz w:val="26"/>
          <w:szCs w:val="26"/>
        </w:rPr>
        <w:t>Decision</w:t>
      </w:r>
    </w:p>
    <w:p w:rsidR="00006F35" w:rsidRDefault="00006F35" w:rsidP="00785214">
      <w:pPr>
        <w:keepNext/>
        <w:widowControl/>
        <w:spacing w:line="360" w:lineRule="auto"/>
        <w:ind w:firstLine="1440"/>
        <w:rPr>
          <w:b/>
          <w:sz w:val="26"/>
          <w:szCs w:val="26"/>
        </w:rPr>
      </w:pPr>
    </w:p>
    <w:p w:rsidR="00D54D28" w:rsidRDefault="00D54D28" w:rsidP="00785214">
      <w:pPr>
        <w:widowControl/>
        <w:spacing w:line="360" w:lineRule="auto"/>
        <w:ind w:firstLine="1440"/>
        <w:rPr>
          <w:sz w:val="26"/>
          <w:szCs w:val="26"/>
        </w:rPr>
      </w:pPr>
      <w:r>
        <w:rPr>
          <w:sz w:val="26"/>
          <w:szCs w:val="26"/>
        </w:rPr>
        <w:t>In h</w:t>
      </w:r>
      <w:r w:rsidR="008A1300">
        <w:rPr>
          <w:sz w:val="26"/>
          <w:szCs w:val="26"/>
        </w:rPr>
        <w:t>er</w:t>
      </w:r>
      <w:r>
        <w:rPr>
          <w:sz w:val="26"/>
          <w:szCs w:val="26"/>
        </w:rPr>
        <w:t xml:space="preserve"> Initial Decision, the ALJ </w:t>
      </w:r>
      <w:r w:rsidR="00AC7AB0">
        <w:rPr>
          <w:sz w:val="26"/>
          <w:szCs w:val="26"/>
        </w:rPr>
        <w:t xml:space="preserve">first </w:t>
      </w:r>
      <w:r w:rsidR="00AD2845">
        <w:rPr>
          <w:sz w:val="26"/>
          <w:szCs w:val="26"/>
        </w:rPr>
        <w:t xml:space="preserve">addressed </w:t>
      </w:r>
      <w:r>
        <w:rPr>
          <w:sz w:val="26"/>
          <w:szCs w:val="26"/>
        </w:rPr>
        <w:t xml:space="preserve">the applicable rules </w:t>
      </w:r>
      <w:r w:rsidR="00AC3C1A">
        <w:rPr>
          <w:sz w:val="26"/>
          <w:szCs w:val="26"/>
        </w:rPr>
        <w:t>and regulation</w:t>
      </w:r>
      <w:r w:rsidR="003A0C82">
        <w:rPr>
          <w:sz w:val="26"/>
          <w:szCs w:val="26"/>
        </w:rPr>
        <w:t>s</w:t>
      </w:r>
      <w:r w:rsidR="00AC3C1A">
        <w:rPr>
          <w:sz w:val="26"/>
          <w:szCs w:val="26"/>
        </w:rPr>
        <w:t xml:space="preserve"> </w:t>
      </w:r>
      <w:r w:rsidR="007C4955">
        <w:rPr>
          <w:sz w:val="26"/>
          <w:szCs w:val="26"/>
        </w:rPr>
        <w:t>pertaining to</w:t>
      </w:r>
      <w:r w:rsidR="00AC3C1A">
        <w:rPr>
          <w:sz w:val="26"/>
          <w:szCs w:val="26"/>
        </w:rPr>
        <w:t xml:space="preserve"> </w:t>
      </w:r>
      <w:r>
        <w:rPr>
          <w:sz w:val="26"/>
          <w:szCs w:val="26"/>
        </w:rPr>
        <w:t>the</w:t>
      </w:r>
      <w:r w:rsidR="00AC3C1A">
        <w:rPr>
          <w:sz w:val="26"/>
          <w:szCs w:val="26"/>
        </w:rPr>
        <w:t xml:space="preserve"> Complaint.  The ALJ noted that Section 111.10(a) of </w:t>
      </w:r>
      <w:r w:rsidR="005C4E76">
        <w:rPr>
          <w:sz w:val="26"/>
          <w:szCs w:val="26"/>
        </w:rPr>
        <w:t>the Commission’s</w:t>
      </w:r>
      <w:r w:rsidR="008B49AF">
        <w:rPr>
          <w:sz w:val="26"/>
          <w:szCs w:val="26"/>
        </w:rPr>
        <w:t xml:space="preserve"> Regulations</w:t>
      </w:r>
      <w:r w:rsidR="00AC3C1A">
        <w:rPr>
          <w:sz w:val="26"/>
          <w:szCs w:val="26"/>
        </w:rPr>
        <w:t xml:space="preserve">, 52 Pa. Code </w:t>
      </w:r>
      <w:bookmarkStart w:id="2" w:name="_Hlk525218193"/>
      <w:r w:rsidR="00AC3C1A">
        <w:rPr>
          <w:sz w:val="26"/>
          <w:szCs w:val="26"/>
        </w:rPr>
        <w:t>§</w:t>
      </w:r>
      <w:bookmarkEnd w:id="2"/>
      <w:r w:rsidR="003A0C82">
        <w:rPr>
          <w:sz w:val="26"/>
          <w:szCs w:val="26"/>
        </w:rPr>
        <w:t xml:space="preserve"> </w:t>
      </w:r>
      <w:r w:rsidR="00AC3C1A">
        <w:rPr>
          <w:sz w:val="26"/>
          <w:szCs w:val="26"/>
        </w:rPr>
        <w:t>111.10(a), requires that a supplier and its agents shall comply with regulations that govern marketing, consumer protection and telemarketing sales</w:t>
      </w:r>
      <w:r w:rsidR="00593DB5">
        <w:rPr>
          <w:sz w:val="26"/>
          <w:szCs w:val="26"/>
        </w:rPr>
        <w:t>,</w:t>
      </w:r>
      <w:r w:rsidR="00AC3C1A">
        <w:rPr>
          <w:sz w:val="26"/>
          <w:szCs w:val="26"/>
        </w:rPr>
        <w:t xml:space="preserve"> including consumer protection regulations.  </w:t>
      </w:r>
      <w:r w:rsidR="003A0C82">
        <w:rPr>
          <w:sz w:val="26"/>
          <w:szCs w:val="26"/>
        </w:rPr>
        <w:t xml:space="preserve">The ALJ also noted that </w:t>
      </w:r>
      <w:r w:rsidR="007E5DAA">
        <w:rPr>
          <w:sz w:val="26"/>
          <w:szCs w:val="26"/>
        </w:rPr>
        <w:t>Section 111.10(a)(3)</w:t>
      </w:r>
      <w:r w:rsidR="008B49AF">
        <w:rPr>
          <w:sz w:val="26"/>
          <w:szCs w:val="26"/>
        </w:rPr>
        <w:t xml:space="preserve"> of </w:t>
      </w:r>
      <w:r w:rsidR="005C4E76">
        <w:rPr>
          <w:sz w:val="26"/>
          <w:szCs w:val="26"/>
        </w:rPr>
        <w:t>the Commission’s</w:t>
      </w:r>
      <w:r w:rsidR="008B49AF">
        <w:rPr>
          <w:sz w:val="26"/>
          <w:szCs w:val="26"/>
        </w:rPr>
        <w:t xml:space="preserve"> Regulations</w:t>
      </w:r>
      <w:r w:rsidR="007E5DAA">
        <w:rPr>
          <w:sz w:val="26"/>
          <w:szCs w:val="26"/>
        </w:rPr>
        <w:t>, 52 Pa. Code §</w:t>
      </w:r>
      <w:r w:rsidR="008B49AF">
        <w:rPr>
          <w:sz w:val="26"/>
          <w:szCs w:val="26"/>
        </w:rPr>
        <w:t xml:space="preserve"> 111.10(a)(3),</w:t>
      </w:r>
      <w:r w:rsidR="007E5DAA">
        <w:rPr>
          <w:sz w:val="26"/>
          <w:szCs w:val="26"/>
        </w:rPr>
        <w:t xml:space="preserve"> </w:t>
      </w:r>
      <w:r w:rsidR="008B49AF">
        <w:rPr>
          <w:sz w:val="26"/>
          <w:szCs w:val="26"/>
        </w:rPr>
        <w:t xml:space="preserve">requires </w:t>
      </w:r>
      <w:r w:rsidR="00AC3C1A">
        <w:rPr>
          <w:sz w:val="26"/>
          <w:szCs w:val="26"/>
        </w:rPr>
        <w:t xml:space="preserve">a supplier and its agents </w:t>
      </w:r>
      <w:r w:rsidR="008B49AF">
        <w:rPr>
          <w:sz w:val="26"/>
          <w:szCs w:val="26"/>
        </w:rPr>
        <w:t>to</w:t>
      </w:r>
      <w:r w:rsidR="00AC3C1A">
        <w:rPr>
          <w:sz w:val="26"/>
          <w:szCs w:val="26"/>
        </w:rPr>
        <w:t xml:space="preserve"> comply </w:t>
      </w:r>
      <w:r>
        <w:rPr>
          <w:sz w:val="26"/>
          <w:szCs w:val="26"/>
        </w:rPr>
        <w:t>with the Telemarketing and Consumer Fraud and Abuse Prevention Act</w:t>
      </w:r>
      <w:r w:rsidR="00CF61FF">
        <w:rPr>
          <w:sz w:val="26"/>
          <w:szCs w:val="26"/>
        </w:rPr>
        <w:t xml:space="preserve"> (Telemarketing Act)</w:t>
      </w:r>
      <w:r w:rsidR="003A0C82">
        <w:rPr>
          <w:sz w:val="26"/>
          <w:szCs w:val="26"/>
        </w:rPr>
        <w:t>,</w:t>
      </w:r>
      <w:r>
        <w:rPr>
          <w:sz w:val="26"/>
          <w:szCs w:val="26"/>
        </w:rPr>
        <w:t xml:space="preserve"> 15 U</w:t>
      </w:r>
      <w:r w:rsidR="003A0C82">
        <w:rPr>
          <w:sz w:val="26"/>
          <w:szCs w:val="26"/>
        </w:rPr>
        <w:t>.</w:t>
      </w:r>
      <w:r>
        <w:rPr>
          <w:sz w:val="26"/>
          <w:szCs w:val="26"/>
        </w:rPr>
        <w:t>S</w:t>
      </w:r>
      <w:r w:rsidR="003A0C82">
        <w:rPr>
          <w:sz w:val="26"/>
          <w:szCs w:val="26"/>
        </w:rPr>
        <w:t>.</w:t>
      </w:r>
      <w:r>
        <w:rPr>
          <w:sz w:val="26"/>
          <w:szCs w:val="26"/>
        </w:rPr>
        <w:t>C</w:t>
      </w:r>
      <w:r w:rsidR="003A0C82">
        <w:rPr>
          <w:sz w:val="26"/>
          <w:szCs w:val="26"/>
        </w:rPr>
        <w:t>.</w:t>
      </w:r>
      <w:r>
        <w:rPr>
          <w:sz w:val="26"/>
          <w:szCs w:val="26"/>
        </w:rPr>
        <w:t xml:space="preserve"> §§ 6101-6108</w:t>
      </w:r>
      <w:r w:rsidR="008B49AF">
        <w:rPr>
          <w:sz w:val="26"/>
          <w:szCs w:val="26"/>
        </w:rPr>
        <w:t>,</w:t>
      </w:r>
      <w:r>
        <w:rPr>
          <w:sz w:val="26"/>
          <w:szCs w:val="26"/>
        </w:rPr>
        <w:t xml:space="preserve"> and 16 CFR Part 310 (relating to telemarketing sale</w:t>
      </w:r>
      <w:r w:rsidR="003A0C82">
        <w:rPr>
          <w:sz w:val="26"/>
          <w:szCs w:val="26"/>
        </w:rPr>
        <w:t>s</w:t>
      </w:r>
      <w:r>
        <w:rPr>
          <w:sz w:val="26"/>
          <w:szCs w:val="26"/>
        </w:rPr>
        <w:t xml:space="preserve"> rule).</w:t>
      </w:r>
    </w:p>
    <w:p w:rsidR="00D54D28" w:rsidRDefault="00D54D28" w:rsidP="00785214">
      <w:pPr>
        <w:widowControl/>
        <w:spacing w:line="360" w:lineRule="auto"/>
        <w:ind w:firstLine="1440"/>
        <w:rPr>
          <w:sz w:val="26"/>
          <w:szCs w:val="26"/>
        </w:rPr>
      </w:pPr>
    </w:p>
    <w:p w:rsidR="00AC7AB0" w:rsidRDefault="00D54D28" w:rsidP="00785214">
      <w:pPr>
        <w:widowControl/>
        <w:spacing w:line="360" w:lineRule="auto"/>
        <w:ind w:firstLine="1440"/>
        <w:rPr>
          <w:sz w:val="26"/>
          <w:szCs w:val="26"/>
        </w:rPr>
      </w:pPr>
      <w:r>
        <w:rPr>
          <w:sz w:val="26"/>
          <w:szCs w:val="26"/>
        </w:rPr>
        <w:lastRenderedPageBreak/>
        <w:t xml:space="preserve">The ALJ </w:t>
      </w:r>
      <w:r w:rsidR="009116BE">
        <w:rPr>
          <w:sz w:val="26"/>
          <w:szCs w:val="26"/>
        </w:rPr>
        <w:t xml:space="preserve">observed </w:t>
      </w:r>
      <w:r>
        <w:rPr>
          <w:sz w:val="26"/>
          <w:szCs w:val="26"/>
        </w:rPr>
        <w:t xml:space="preserve">that </w:t>
      </w:r>
      <w:r w:rsidR="00AC7AB0">
        <w:rPr>
          <w:sz w:val="26"/>
          <w:szCs w:val="26"/>
        </w:rPr>
        <w:t xml:space="preserve">under the Commission’s </w:t>
      </w:r>
      <w:r w:rsidR="005C4E76">
        <w:rPr>
          <w:sz w:val="26"/>
          <w:szCs w:val="26"/>
        </w:rPr>
        <w:t>R</w:t>
      </w:r>
      <w:r w:rsidR="00AC7AB0">
        <w:rPr>
          <w:sz w:val="26"/>
          <w:szCs w:val="26"/>
        </w:rPr>
        <w:t>egulations an agent who contacts customers by telephone shall, after greeting the customer, immediately identify himself by name, identify the supplier the agent represents and the reason for the call.  The agent shall state that h</w:t>
      </w:r>
      <w:r w:rsidR="008A1300">
        <w:rPr>
          <w:sz w:val="26"/>
          <w:szCs w:val="26"/>
        </w:rPr>
        <w:t>e</w:t>
      </w:r>
      <w:r w:rsidR="00AC7AB0">
        <w:rPr>
          <w:sz w:val="26"/>
          <w:szCs w:val="26"/>
        </w:rPr>
        <w:t xml:space="preserve"> is not working for an</w:t>
      </w:r>
      <w:r w:rsidR="009116BE">
        <w:rPr>
          <w:sz w:val="26"/>
          <w:szCs w:val="26"/>
        </w:rPr>
        <w:t>d</w:t>
      </w:r>
      <w:r w:rsidR="00AC7AB0">
        <w:rPr>
          <w:sz w:val="26"/>
          <w:szCs w:val="26"/>
        </w:rPr>
        <w:t xml:space="preserve"> is independent of the local distribution company or another supplier.  </w:t>
      </w:r>
      <w:r w:rsidR="009116BE">
        <w:rPr>
          <w:sz w:val="26"/>
          <w:szCs w:val="26"/>
        </w:rPr>
        <w:t xml:space="preserve">I.D. at 6 (citing </w:t>
      </w:r>
      <w:r w:rsidR="00AC7AB0">
        <w:rPr>
          <w:sz w:val="26"/>
          <w:szCs w:val="26"/>
        </w:rPr>
        <w:t>52 Pa. Code §</w:t>
      </w:r>
      <w:r w:rsidR="00701BA8">
        <w:rPr>
          <w:sz w:val="26"/>
          <w:szCs w:val="26"/>
        </w:rPr>
        <w:t> </w:t>
      </w:r>
      <w:r w:rsidR="00AC7AB0">
        <w:rPr>
          <w:sz w:val="26"/>
          <w:szCs w:val="26"/>
        </w:rPr>
        <w:t>111.10(b)</w:t>
      </w:r>
      <w:r w:rsidR="009116BE">
        <w:rPr>
          <w:sz w:val="26"/>
          <w:szCs w:val="26"/>
        </w:rPr>
        <w:t>)</w:t>
      </w:r>
      <w:r w:rsidR="00AC7AB0">
        <w:rPr>
          <w:sz w:val="26"/>
          <w:szCs w:val="26"/>
        </w:rPr>
        <w:t>.</w:t>
      </w:r>
    </w:p>
    <w:p w:rsidR="00785214" w:rsidRDefault="00785214" w:rsidP="00785214">
      <w:pPr>
        <w:widowControl/>
        <w:spacing w:line="360" w:lineRule="auto"/>
        <w:ind w:firstLine="1440"/>
        <w:rPr>
          <w:sz w:val="26"/>
          <w:szCs w:val="26"/>
        </w:rPr>
      </w:pPr>
    </w:p>
    <w:p w:rsidR="00D54D28" w:rsidRDefault="00AC7AB0" w:rsidP="00785214">
      <w:pPr>
        <w:widowControl/>
        <w:spacing w:line="360" w:lineRule="auto"/>
        <w:ind w:firstLine="1440"/>
        <w:rPr>
          <w:sz w:val="26"/>
          <w:szCs w:val="26"/>
        </w:rPr>
      </w:pPr>
      <w:r>
        <w:rPr>
          <w:sz w:val="26"/>
          <w:szCs w:val="26"/>
        </w:rPr>
        <w:t xml:space="preserve">The ALJ also </w:t>
      </w:r>
      <w:r w:rsidR="002973BB">
        <w:rPr>
          <w:sz w:val="26"/>
          <w:szCs w:val="26"/>
        </w:rPr>
        <w:t>observed</w:t>
      </w:r>
      <w:r>
        <w:rPr>
          <w:sz w:val="26"/>
          <w:szCs w:val="26"/>
        </w:rPr>
        <w:t xml:space="preserve"> that </w:t>
      </w:r>
      <w:r w:rsidR="00D54D28">
        <w:rPr>
          <w:sz w:val="26"/>
          <w:szCs w:val="26"/>
        </w:rPr>
        <w:t>t</w:t>
      </w:r>
      <w:r w:rsidR="00D54D28" w:rsidRPr="009B6C6A">
        <w:rPr>
          <w:sz w:val="26"/>
          <w:szCs w:val="26"/>
        </w:rPr>
        <w:t xml:space="preserve">he </w:t>
      </w:r>
      <w:r w:rsidR="007D5448">
        <w:rPr>
          <w:sz w:val="26"/>
          <w:szCs w:val="26"/>
        </w:rPr>
        <w:t>f</w:t>
      </w:r>
      <w:r w:rsidR="00D54D28" w:rsidRPr="009B6C6A">
        <w:rPr>
          <w:sz w:val="26"/>
          <w:szCs w:val="26"/>
        </w:rPr>
        <w:t xml:space="preserve">ederal regulations related to the Telemarketing Act indicate that excessive telephone calls are considered an abusive telemarking practice. </w:t>
      </w:r>
      <w:r w:rsidR="00593DB5">
        <w:rPr>
          <w:sz w:val="26"/>
          <w:szCs w:val="26"/>
        </w:rPr>
        <w:t xml:space="preserve"> </w:t>
      </w:r>
      <w:r w:rsidR="00CF61FF">
        <w:rPr>
          <w:sz w:val="26"/>
          <w:szCs w:val="26"/>
        </w:rPr>
        <w:t xml:space="preserve">I.D. at 6 (citing </w:t>
      </w:r>
      <w:r w:rsidR="00D54D28" w:rsidRPr="009B6C6A">
        <w:rPr>
          <w:sz w:val="26"/>
          <w:szCs w:val="26"/>
        </w:rPr>
        <w:t>16</w:t>
      </w:r>
      <w:r w:rsidR="008A1300">
        <w:rPr>
          <w:sz w:val="26"/>
          <w:szCs w:val="26"/>
        </w:rPr>
        <w:t> </w:t>
      </w:r>
      <w:r w:rsidR="00D54D28" w:rsidRPr="009B6C6A">
        <w:rPr>
          <w:sz w:val="26"/>
          <w:szCs w:val="26"/>
        </w:rPr>
        <w:t>C.F.R. § 310.4(b)</w:t>
      </w:r>
      <w:r w:rsidR="00CF61FF">
        <w:rPr>
          <w:sz w:val="26"/>
          <w:szCs w:val="26"/>
        </w:rPr>
        <w:t>)</w:t>
      </w:r>
      <w:r w:rsidR="00D54D28" w:rsidRPr="009B6C6A">
        <w:rPr>
          <w:sz w:val="26"/>
          <w:szCs w:val="26"/>
        </w:rPr>
        <w:t xml:space="preserve">. </w:t>
      </w:r>
      <w:r w:rsidR="00CF61FF">
        <w:rPr>
          <w:sz w:val="26"/>
          <w:szCs w:val="26"/>
        </w:rPr>
        <w:t xml:space="preserve"> </w:t>
      </w:r>
      <w:r w:rsidR="00D54D28" w:rsidRPr="009B6C6A">
        <w:rPr>
          <w:sz w:val="26"/>
          <w:szCs w:val="26"/>
        </w:rPr>
        <w:t xml:space="preserve">Specifically, it is a violation of the Telemarketing Act to repeatedly call a person with the intent to abuse, annoy or harass the person at the telephone number called. </w:t>
      </w:r>
      <w:r w:rsidR="00CF61FF">
        <w:rPr>
          <w:sz w:val="26"/>
          <w:szCs w:val="26"/>
        </w:rPr>
        <w:t xml:space="preserve"> I.D. at 6 (citing </w:t>
      </w:r>
      <w:r w:rsidR="00D54D28" w:rsidRPr="009B6C6A">
        <w:rPr>
          <w:sz w:val="26"/>
          <w:szCs w:val="26"/>
        </w:rPr>
        <w:t>16 C.F.R. §</w:t>
      </w:r>
      <w:r w:rsidR="00A77B24">
        <w:rPr>
          <w:sz w:val="26"/>
          <w:szCs w:val="26"/>
        </w:rPr>
        <w:t> </w:t>
      </w:r>
      <w:r w:rsidR="00D54D28" w:rsidRPr="009B6C6A">
        <w:rPr>
          <w:sz w:val="26"/>
          <w:szCs w:val="26"/>
        </w:rPr>
        <w:t>310.4(b)(1)(i)</w:t>
      </w:r>
      <w:r w:rsidR="00CF61FF">
        <w:rPr>
          <w:sz w:val="26"/>
          <w:szCs w:val="26"/>
        </w:rPr>
        <w:t>)</w:t>
      </w:r>
      <w:r w:rsidR="00D54D28" w:rsidRPr="009B6C6A">
        <w:rPr>
          <w:sz w:val="26"/>
          <w:szCs w:val="26"/>
        </w:rPr>
        <w:t xml:space="preserve">. </w:t>
      </w:r>
      <w:r w:rsidR="00AC3C1A">
        <w:rPr>
          <w:sz w:val="26"/>
          <w:szCs w:val="26"/>
        </w:rPr>
        <w:t xml:space="preserve"> </w:t>
      </w:r>
      <w:r w:rsidR="00D54D28" w:rsidRPr="009B6C6A">
        <w:rPr>
          <w:sz w:val="26"/>
          <w:szCs w:val="26"/>
        </w:rPr>
        <w:t>Further, it is a violation of the Telemarketing Act to deny or interfere with a person’s right to be place</w:t>
      </w:r>
      <w:r w:rsidR="00CF61FF">
        <w:rPr>
          <w:sz w:val="26"/>
          <w:szCs w:val="26"/>
        </w:rPr>
        <w:t>d</w:t>
      </w:r>
      <w:r w:rsidR="00D54D28" w:rsidRPr="009B6C6A">
        <w:rPr>
          <w:sz w:val="26"/>
          <w:szCs w:val="26"/>
        </w:rPr>
        <w:t xml:space="preserve"> on a do not call list for the company. </w:t>
      </w:r>
      <w:r w:rsidR="00CF61FF">
        <w:rPr>
          <w:sz w:val="26"/>
          <w:szCs w:val="26"/>
        </w:rPr>
        <w:t xml:space="preserve"> I.D. at 6 (citing </w:t>
      </w:r>
      <w:r w:rsidR="00D54D28" w:rsidRPr="009B6C6A">
        <w:rPr>
          <w:sz w:val="26"/>
          <w:szCs w:val="26"/>
        </w:rPr>
        <w:t>16 C.F.R. §</w:t>
      </w:r>
      <w:r w:rsidR="00D54D28">
        <w:rPr>
          <w:sz w:val="26"/>
          <w:szCs w:val="26"/>
        </w:rPr>
        <w:t> </w:t>
      </w:r>
      <w:r w:rsidR="00D54D28" w:rsidRPr="009B6C6A">
        <w:rPr>
          <w:sz w:val="26"/>
          <w:szCs w:val="26"/>
        </w:rPr>
        <w:t>310.4(b)(1)(ii)</w:t>
      </w:r>
      <w:r w:rsidR="00CF61FF">
        <w:rPr>
          <w:sz w:val="26"/>
          <w:szCs w:val="26"/>
        </w:rPr>
        <w:t>)</w:t>
      </w:r>
      <w:r w:rsidR="00D54D28" w:rsidRPr="009B6C6A">
        <w:rPr>
          <w:sz w:val="26"/>
          <w:szCs w:val="26"/>
        </w:rPr>
        <w:t>.</w:t>
      </w:r>
    </w:p>
    <w:p w:rsidR="00CF61FF" w:rsidRDefault="00CF61FF" w:rsidP="00785214">
      <w:pPr>
        <w:widowControl/>
        <w:spacing w:line="360" w:lineRule="auto"/>
        <w:ind w:firstLine="1440"/>
        <w:rPr>
          <w:sz w:val="26"/>
          <w:szCs w:val="26"/>
        </w:rPr>
      </w:pPr>
    </w:p>
    <w:p w:rsidR="001447FC" w:rsidRDefault="00A05207" w:rsidP="00785214">
      <w:pPr>
        <w:widowControl/>
        <w:spacing w:line="360" w:lineRule="auto"/>
        <w:ind w:firstLine="1440"/>
        <w:rPr>
          <w:sz w:val="26"/>
          <w:szCs w:val="26"/>
        </w:rPr>
      </w:pPr>
      <w:r>
        <w:rPr>
          <w:sz w:val="26"/>
          <w:szCs w:val="26"/>
        </w:rPr>
        <w:t xml:space="preserve">The ALJ reviewed the Complainant’s allegation that Choice Energy </w:t>
      </w:r>
      <w:r w:rsidR="001447FC">
        <w:rPr>
          <w:sz w:val="26"/>
          <w:szCs w:val="26"/>
        </w:rPr>
        <w:t>violated the consumer protection laws</w:t>
      </w:r>
      <w:r w:rsidR="00F1240F">
        <w:rPr>
          <w:sz w:val="26"/>
          <w:szCs w:val="26"/>
        </w:rPr>
        <w:t xml:space="preserve"> under 52 Pa. Code § 111.10(a)</w:t>
      </w:r>
      <w:r w:rsidR="001447FC">
        <w:rPr>
          <w:sz w:val="26"/>
          <w:szCs w:val="26"/>
        </w:rPr>
        <w:t xml:space="preserve">.  The ALJ’s introduction of </w:t>
      </w:r>
      <w:r w:rsidR="00701AEE">
        <w:rPr>
          <w:sz w:val="26"/>
          <w:szCs w:val="26"/>
        </w:rPr>
        <w:t>the</w:t>
      </w:r>
      <w:r w:rsidR="001447FC">
        <w:rPr>
          <w:sz w:val="26"/>
          <w:szCs w:val="26"/>
        </w:rPr>
        <w:t xml:space="preserve"> discussion on this issue is instructive and we will quote it in full:</w:t>
      </w:r>
    </w:p>
    <w:p w:rsidR="00AC7AB0" w:rsidRDefault="00AC7AB0" w:rsidP="00785214">
      <w:pPr>
        <w:widowControl/>
        <w:spacing w:line="360" w:lineRule="auto"/>
        <w:ind w:firstLine="1440"/>
        <w:rPr>
          <w:sz w:val="26"/>
          <w:szCs w:val="26"/>
        </w:rPr>
      </w:pPr>
    </w:p>
    <w:p w:rsidR="008149CB" w:rsidRDefault="001447FC" w:rsidP="00785214">
      <w:pPr>
        <w:pStyle w:val="Default"/>
        <w:ind w:left="1440" w:right="1152"/>
        <w:rPr>
          <w:sz w:val="26"/>
          <w:szCs w:val="26"/>
        </w:rPr>
      </w:pPr>
      <w:r w:rsidRPr="001447FC">
        <w:rPr>
          <w:sz w:val="26"/>
          <w:szCs w:val="26"/>
        </w:rPr>
        <w:t xml:space="preserve">In support of his claim, Mr. Krain testified that in November and December 2016, he received numerous telephone calls from the Respondent at his home telephone number. Tr. 12-13, 16; Complainant Exh. 1. </w:t>
      </w:r>
      <w:r w:rsidR="0070723E">
        <w:rPr>
          <w:sz w:val="26"/>
          <w:szCs w:val="26"/>
        </w:rPr>
        <w:t xml:space="preserve"> </w:t>
      </w:r>
      <w:r w:rsidRPr="001447FC">
        <w:rPr>
          <w:sz w:val="26"/>
          <w:szCs w:val="26"/>
        </w:rPr>
        <w:t xml:space="preserve">He testified that the telephone calls came from several telephone numbers, including 908-428-4714, 610-628-9792, 732-807-5614, and 201-603-2805, which were identified as “Choice Energy” on the caller ID on his telephone. Tr. 14, 17; Complainant Exh. 1. </w:t>
      </w:r>
      <w:r w:rsidR="00DE2C44">
        <w:rPr>
          <w:sz w:val="26"/>
          <w:szCs w:val="26"/>
        </w:rPr>
        <w:t xml:space="preserve"> </w:t>
      </w:r>
      <w:r w:rsidRPr="001447FC">
        <w:rPr>
          <w:sz w:val="26"/>
          <w:szCs w:val="26"/>
        </w:rPr>
        <w:t xml:space="preserve">Mr. Krain indicated that he requested telephone calls stop, and his home telephone number be removed from the Respondent’s call list. Tr. 13, 19, 20. </w:t>
      </w:r>
      <w:r w:rsidR="00DE2C44">
        <w:rPr>
          <w:sz w:val="26"/>
          <w:szCs w:val="26"/>
        </w:rPr>
        <w:t xml:space="preserve"> </w:t>
      </w:r>
      <w:r w:rsidRPr="001447FC">
        <w:rPr>
          <w:sz w:val="26"/>
          <w:szCs w:val="26"/>
        </w:rPr>
        <w:t xml:space="preserve">The Complainant also requested to speak to a supervisor on at least three occasions to resolve the issue. Tr. 16. </w:t>
      </w:r>
      <w:r w:rsidR="00DE2C44">
        <w:rPr>
          <w:sz w:val="26"/>
          <w:szCs w:val="26"/>
        </w:rPr>
        <w:t xml:space="preserve"> </w:t>
      </w:r>
      <w:r w:rsidRPr="001447FC">
        <w:rPr>
          <w:sz w:val="26"/>
          <w:szCs w:val="26"/>
        </w:rPr>
        <w:t xml:space="preserve">Mr. Krain testified that he continued to receive telephone calls from Choice after his request. Tr. 13-14. </w:t>
      </w:r>
      <w:r w:rsidR="00DE2C44">
        <w:rPr>
          <w:sz w:val="26"/>
          <w:szCs w:val="26"/>
        </w:rPr>
        <w:t xml:space="preserve"> </w:t>
      </w:r>
      <w:r w:rsidRPr="001447FC">
        <w:rPr>
          <w:sz w:val="26"/>
          <w:szCs w:val="26"/>
        </w:rPr>
        <w:t xml:space="preserve">Mr. Krain also noted that in the phone </w:t>
      </w:r>
      <w:r w:rsidRPr="001447FC">
        <w:rPr>
          <w:sz w:val="26"/>
          <w:szCs w:val="26"/>
        </w:rPr>
        <w:lastRenderedPageBreak/>
        <w:t xml:space="preserve">calls, the Respondent’s telemarketer did not properly identify themselves or the purpose of the call. Tr. 20. </w:t>
      </w:r>
      <w:r w:rsidR="00DE2C44">
        <w:rPr>
          <w:sz w:val="26"/>
          <w:szCs w:val="26"/>
        </w:rPr>
        <w:t xml:space="preserve"> </w:t>
      </w:r>
      <w:r w:rsidRPr="001447FC">
        <w:rPr>
          <w:sz w:val="26"/>
          <w:szCs w:val="26"/>
        </w:rPr>
        <w:t>Lastly, Mr. Krain testified that the phone calls ended after December 28, 2016, after he filed his Formal Complaint with the Commission. Tr.</w:t>
      </w:r>
      <w:r w:rsidR="00632A15">
        <w:rPr>
          <w:sz w:val="26"/>
          <w:szCs w:val="26"/>
        </w:rPr>
        <w:t> </w:t>
      </w:r>
      <w:r w:rsidRPr="001447FC">
        <w:rPr>
          <w:sz w:val="26"/>
          <w:szCs w:val="26"/>
        </w:rPr>
        <w:t>14, 21; Complainant Exh. 1.</w:t>
      </w:r>
    </w:p>
    <w:p w:rsidR="00632A15" w:rsidRDefault="00632A15" w:rsidP="00785214">
      <w:pPr>
        <w:pStyle w:val="Default"/>
        <w:ind w:left="1440" w:right="1152"/>
        <w:rPr>
          <w:sz w:val="26"/>
          <w:szCs w:val="26"/>
        </w:rPr>
      </w:pPr>
    </w:p>
    <w:p w:rsidR="008149CB" w:rsidRDefault="008149CB" w:rsidP="00785214">
      <w:pPr>
        <w:pStyle w:val="Default"/>
        <w:ind w:left="1440" w:right="1152"/>
        <w:rPr>
          <w:sz w:val="26"/>
          <w:szCs w:val="26"/>
        </w:rPr>
      </w:pPr>
    </w:p>
    <w:p w:rsidR="009B27B0" w:rsidRDefault="009B27B0" w:rsidP="00785214">
      <w:pPr>
        <w:widowControl/>
        <w:spacing w:line="360" w:lineRule="auto"/>
        <w:rPr>
          <w:sz w:val="26"/>
          <w:szCs w:val="26"/>
        </w:rPr>
      </w:pPr>
      <w:r>
        <w:rPr>
          <w:sz w:val="26"/>
          <w:szCs w:val="26"/>
        </w:rPr>
        <w:t>I.D. at 6.</w:t>
      </w:r>
    </w:p>
    <w:p w:rsidR="009B27B0" w:rsidRDefault="009B27B0" w:rsidP="00785214">
      <w:pPr>
        <w:pStyle w:val="Default"/>
        <w:rPr>
          <w:sz w:val="26"/>
          <w:szCs w:val="26"/>
        </w:rPr>
      </w:pPr>
    </w:p>
    <w:p w:rsidR="00BE720A" w:rsidRDefault="009B27B0" w:rsidP="00785214">
      <w:pPr>
        <w:pStyle w:val="Default"/>
        <w:spacing w:line="360" w:lineRule="auto"/>
        <w:ind w:firstLine="720"/>
        <w:rPr>
          <w:sz w:val="26"/>
          <w:szCs w:val="26"/>
        </w:rPr>
      </w:pPr>
      <w:r>
        <w:rPr>
          <w:sz w:val="26"/>
          <w:szCs w:val="26"/>
        </w:rPr>
        <w:tab/>
      </w:r>
      <w:r w:rsidR="001447FC" w:rsidRPr="001447FC">
        <w:rPr>
          <w:sz w:val="26"/>
          <w:szCs w:val="26"/>
        </w:rPr>
        <w:t xml:space="preserve">The </w:t>
      </w:r>
      <w:r>
        <w:rPr>
          <w:sz w:val="26"/>
          <w:szCs w:val="26"/>
        </w:rPr>
        <w:t xml:space="preserve">ALJ </w:t>
      </w:r>
      <w:r w:rsidR="00654447">
        <w:rPr>
          <w:sz w:val="26"/>
          <w:szCs w:val="26"/>
        </w:rPr>
        <w:t xml:space="preserve">concluded that the Complainant met his burden of proof to establish that Choice Energy violated the Commission’s Regulations regarding telemarketing practices and the Federal Telemarketing Act </w:t>
      </w:r>
      <w:r w:rsidR="005F03E8">
        <w:rPr>
          <w:sz w:val="26"/>
          <w:szCs w:val="26"/>
        </w:rPr>
        <w:t xml:space="preserve">based on the following testimony that </w:t>
      </w:r>
      <w:r w:rsidR="00854F0C">
        <w:rPr>
          <w:sz w:val="26"/>
          <w:szCs w:val="26"/>
        </w:rPr>
        <w:t xml:space="preserve">he </w:t>
      </w:r>
      <w:r w:rsidR="005F03E8">
        <w:rPr>
          <w:sz w:val="26"/>
          <w:szCs w:val="26"/>
        </w:rPr>
        <w:t>found to be credible:</w:t>
      </w:r>
    </w:p>
    <w:p w:rsidR="00BE720A" w:rsidRDefault="00BE720A" w:rsidP="00785214">
      <w:pPr>
        <w:pStyle w:val="Default"/>
        <w:spacing w:line="360" w:lineRule="auto"/>
        <w:ind w:firstLine="720"/>
        <w:rPr>
          <w:sz w:val="26"/>
          <w:szCs w:val="26"/>
        </w:rPr>
      </w:pPr>
    </w:p>
    <w:p w:rsidR="00BE720A" w:rsidRDefault="00E055ED" w:rsidP="00785214">
      <w:pPr>
        <w:pStyle w:val="Default"/>
        <w:spacing w:line="360" w:lineRule="auto"/>
        <w:ind w:left="720" w:hanging="720"/>
        <w:rPr>
          <w:sz w:val="26"/>
          <w:szCs w:val="26"/>
        </w:rPr>
      </w:pPr>
      <w:r>
        <w:rPr>
          <w:sz w:val="26"/>
          <w:szCs w:val="26"/>
        </w:rPr>
        <w:t>(</w:t>
      </w:r>
      <w:r w:rsidR="00B01023">
        <w:rPr>
          <w:sz w:val="26"/>
          <w:szCs w:val="26"/>
        </w:rPr>
        <w:t>1</w:t>
      </w:r>
      <w:r>
        <w:rPr>
          <w:sz w:val="26"/>
          <w:szCs w:val="26"/>
        </w:rPr>
        <w:t>)</w:t>
      </w:r>
      <w:r w:rsidR="00BE720A">
        <w:rPr>
          <w:sz w:val="26"/>
          <w:szCs w:val="26"/>
        </w:rPr>
        <w:tab/>
      </w:r>
      <w:r w:rsidR="00F8039A">
        <w:rPr>
          <w:sz w:val="26"/>
          <w:szCs w:val="26"/>
        </w:rPr>
        <w:t xml:space="preserve">Choice Energy </w:t>
      </w:r>
      <w:r>
        <w:rPr>
          <w:sz w:val="26"/>
          <w:szCs w:val="26"/>
        </w:rPr>
        <w:t xml:space="preserve">called him </w:t>
      </w:r>
      <w:r w:rsidR="00617C21">
        <w:rPr>
          <w:sz w:val="26"/>
          <w:szCs w:val="26"/>
        </w:rPr>
        <w:t>at his home phone from several different telephone numbers</w:t>
      </w:r>
      <w:r w:rsidR="001F0622">
        <w:rPr>
          <w:sz w:val="26"/>
          <w:szCs w:val="26"/>
        </w:rPr>
        <w:t xml:space="preserve"> identified as “Choice Energy” on his Caller ID </w:t>
      </w:r>
      <w:r>
        <w:rPr>
          <w:sz w:val="26"/>
          <w:szCs w:val="26"/>
        </w:rPr>
        <w:t xml:space="preserve">on numerous occasions </w:t>
      </w:r>
      <w:r w:rsidR="00617C21">
        <w:rPr>
          <w:sz w:val="26"/>
          <w:szCs w:val="26"/>
        </w:rPr>
        <w:t>in November and December 2016</w:t>
      </w:r>
      <w:r w:rsidR="00551D86">
        <w:rPr>
          <w:sz w:val="26"/>
          <w:szCs w:val="26"/>
        </w:rPr>
        <w:t xml:space="preserve"> (</w:t>
      </w:r>
      <w:r w:rsidR="004B1085">
        <w:rPr>
          <w:sz w:val="26"/>
          <w:szCs w:val="26"/>
        </w:rPr>
        <w:t>Tr. at 12-13, 14, 16 and 17, Complainant Exh. 1</w:t>
      </w:r>
      <w:r w:rsidR="00551D86">
        <w:rPr>
          <w:sz w:val="26"/>
          <w:szCs w:val="26"/>
        </w:rPr>
        <w:t>)</w:t>
      </w:r>
      <w:r w:rsidR="001F0622">
        <w:rPr>
          <w:sz w:val="26"/>
          <w:szCs w:val="26"/>
        </w:rPr>
        <w:t>;</w:t>
      </w:r>
    </w:p>
    <w:p w:rsidR="00551D86" w:rsidRDefault="00551D86" w:rsidP="00785214">
      <w:pPr>
        <w:pStyle w:val="Default"/>
        <w:spacing w:line="360" w:lineRule="auto"/>
        <w:ind w:left="720" w:hanging="720"/>
        <w:rPr>
          <w:sz w:val="26"/>
          <w:szCs w:val="26"/>
        </w:rPr>
      </w:pPr>
    </w:p>
    <w:p w:rsidR="00BE720A" w:rsidRDefault="00B01023" w:rsidP="00785214">
      <w:pPr>
        <w:pStyle w:val="Default"/>
        <w:spacing w:line="360" w:lineRule="auto"/>
        <w:ind w:left="720" w:hanging="720"/>
        <w:rPr>
          <w:sz w:val="26"/>
          <w:szCs w:val="26"/>
        </w:rPr>
      </w:pPr>
      <w:r w:rsidRPr="00FF5DF7">
        <w:rPr>
          <w:sz w:val="26"/>
          <w:szCs w:val="26"/>
        </w:rPr>
        <w:t>(</w:t>
      </w:r>
      <w:r>
        <w:rPr>
          <w:sz w:val="26"/>
          <w:szCs w:val="26"/>
        </w:rPr>
        <w:t>2</w:t>
      </w:r>
      <w:r w:rsidRPr="00FF5DF7">
        <w:rPr>
          <w:sz w:val="26"/>
          <w:szCs w:val="26"/>
        </w:rPr>
        <w:t>)</w:t>
      </w:r>
      <w:r w:rsidR="00BE720A">
        <w:rPr>
          <w:sz w:val="26"/>
          <w:szCs w:val="26"/>
        </w:rPr>
        <w:tab/>
      </w:r>
      <w:r w:rsidRPr="00FF5DF7">
        <w:rPr>
          <w:sz w:val="26"/>
          <w:szCs w:val="26"/>
        </w:rPr>
        <w:t>Choice</w:t>
      </w:r>
      <w:r>
        <w:rPr>
          <w:sz w:val="26"/>
          <w:szCs w:val="26"/>
        </w:rPr>
        <w:t xml:space="preserve"> Energy’s telemarketers did not properly identify themselves in the calls or the purposes of the calls</w:t>
      </w:r>
      <w:r w:rsidR="00551D86">
        <w:rPr>
          <w:sz w:val="26"/>
          <w:szCs w:val="26"/>
        </w:rPr>
        <w:t xml:space="preserve"> (</w:t>
      </w:r>
      <w:r>
        <w:rPr>
          <w:sz w:val="26"/>
          <w:szCs w:val="26"/>
        </w:rPr>
        <w:t>Tr. at 20</w:t>
      </w:r>
      <w:r w:rsidR="00551D86">
        <w:rPr>
          <w:sz w:val="26"/>
          <w:szCs w:val="26"/>
        </w:rPr>
        <w:t>)</w:t>
      </w:r>
      <w:r>
        <w:rPr>
          <w:sz w:val="26"/>
          <w:szCs w:val="26"/>
        </w:rPr>
        <w:t xml:space="preserve">; </w:t>
      </w:r>
    </w:p>
    <w:p w:rsidR="00BE720A" w:rsidRDefault="00BE720A" w:rsidP="00785214">
      <w:pPr>
        <w:pStyle w:val="Default"/>
        <w:spacing w:line="360" w:lineRule="auto"/>
        <w:ind w:left="720" w:hanging="720"/>
        <w:rPr>
          <w:sz w:val="26"/>
          <w:szCs w:val="26"/>
        </w:rPr>
      </w:pPr>
    </w:p>
    <w:p w:rsidR="00BE720A" w:rsidRDefault="00B01023" w:rsidP="00785214">
      <w:pPr>
        <w:pStyle w:val="Default"/>
        <w:spacing w:line="360" w:lineRule="auto"/>
        <w:ind w:left="720" w:hanging="720"/>
        <w:rPr>
          <w:sz w:val="26"/>
          <w:szCs w:val="26"/>
        </w:rPr>
      </w:pPr>
      <w:r>
        <w:rPr>
          <w:sz w:val="26"/>
          <w:szCs w:val="26"/>
        </w:rPr>
        <w:t>(3)</w:t>
      </w:r>
      <w:r w:rsidR="00BE720A">
        <w:rPr>
          <w:sz w:val="26"/>
          <w:szCs w:val="26"/>
        </w:rPr>
        <w:tab/>
      </w:r>
      <w:r>
        <w:rPr>
          <w:sz w:val="26"/>
          <w:szCs w:val="26"/>
        </w:rPr>
        <w:t xml:space="preserve">Choice Energy failed to respond to his requests to stop calling and to remove his telephone number from their </w:t>
      </w:r>
      <w:r w:rsidRPr="00FF5DF7">
        <w:rPr>
          <w:sz w:val="26"/>
          <w:szCs w:val="26"/>
        </w:rPr>
        <w:t xml:space="preserve">list </w:t>
      </w:r>
      <w:r w:rsidR="00551D86">
        <w:rPr>
          <w:sz w:val="26"/>
          <w:szCs w:val="26"/>
        </w:rPr>
        <w:t>(</w:t>
      </w:r>
      <w:r w:rsidRPr="00FF5DF7">
        <w:rPr>
          <w:sz w:val="26"/>
          <w:szCs w:val="26"/>
        </w:rPr>
        <w:t>Tr. 13, 19, 20</w:t>
      </w:r>
      <w:r w:rsidR="00551D86">
        <w:rPr>
          <w:sz w:val="26"/>
          <w:szCs w:val="26"/>
        </w:rPr>
        <w:t>)</w:t>
      </w:r>
      <w:r w:rsidRPr="00FF5DF7">
        <w:rPr>
          <w:sz w:val="26"/>
          <w:szCs w:val="26"/>
        </w:rPr>
        <w:t>;</w:t>
      </w:r>
      <w:r>
        <w:rPr>
          <w:sz w:val="26"/>
          <w:szCs w:val="26"/>
        </w:rPr>
        <w:t xml:space="preserve"> </w:t>
      </w:r>
      <w:r w:rsidR="006373B2">
        <w:rPr>
          <w:sz w:val="26"/>
          <w:szCs w:val="26"/>
        </w:rPr>
        <w:t xml:space="preserve">and </w:t>
      </w:r>
    </w:p>
    <w:p w:rsidR="00BE720A" w:rsidRDefault="00BE720A" w:rsidP="00785214">
      <w:pPr>
        <w:pStyle w:val="Default"/>
        <w:spacing w:line="360" w:lineRule="auto"/>
        <w:ind w:left="720" w:hanging="720"/>
        <w:rPr>
          <w:sz w:val="26"/>
          <w:szCs w:val="26"/>
        </w:rPr>
      </w:pPr>
    </w:p>
    <w:p w:rsidR="00BE720A" w:rsidRDefault="006373B2" w:rsidP="00785214">
      <w:pPr>
        <w:pStyle w:val="Default"/>
        <w:spacing w:line="360" w:lineRule="auto"/>
        <w:ind w:left="720" w:hanging="720"/>
        <w:rPr>
          <w:sz w:val="26"/>
          <w:szCs w:val="26"/>
        </w:rPr>
      </w:pPr>
      <w:r>
        <w:rPr>
          <w:sz w:val="26"/>
          <w:szCs w:val="26"/>
        </w:rPr>
        <w:t>(</w:t>
      </w:r>
      <w:r w:rsidR="00B01023">
        <w:rPr>
          <w:sz w:val="26"/>
          <w:szCs w:val="26"/>
        </w:rPr>
        <w:t>4</w:t>
      </w:r>
      <w:r>
        <w:rPr>
          <w:sz w:val="26"/>
          <w:szCs w:val="26"/>
        </w:rPr>
        <w:t>)</w:t>
      </w:r>
      <w:r w:rsidR="00BE720A">
        <w:rPr>
          <w:sz w:val="26"/>
          <w:szCs w:val="26"/>
        </w:rPr>
        <w:tab/>
      </w:r>
      <w:r w:rsidR="00486FBA">
        <w:rPr>
          <w:sz w:val="26"/>
          <w:szCs w:val="26"/>
        </w:rPr>
        <w:t xml:space="preserve">Choice Energy stopped making </w:t>
      </w:r>
      <w:r>
        <w:rPr>
          <w:sz w:val="26"/>
          <w:szCs w:val="26"/>
        </w:rPr>
        <w:t>the telephone calls after December</w:t>
      </w:r>
      <w:r w:rsidR="00AD2845">
        <w:rPr>
          <w:sz w:val="26"/>
          <w:szCs w:val="26"/>
        </w:rPr>
        <w:t> </w:t>
      </w:r>
      <w:r>
        <w:rPr>
          <w:sz w:val="26"/>
          <w:szCs w:val="26"/>
        </w:rPr>
        <w:t xml:space="preserve">28, 2016, </w:t>
      </w:r>
      <w:r w:rsidR="006420C7">
        <w:rPr>
          <w:sz w:val="26"/>
          <w:szCs w:val="26"/>
        </w:rPr>
        <w:t xml:space="preserve">after </w:t>
      </w:r>
      <w:r w:rsidR="004B2C0A">
        <w:rPr>
          <w:sz w:val="26"/>
          <w:szCs w:val="26"/>
        </w:rPr>
        <w:t>the Complainant</w:t>
      </w:r>
      <w:r w:rsidR="00486FBA">
        <w:rPr>
          <w:sz w:val="26"/>
          <w:szCs w:val="26"/>
        </w:rPr>
        <w:t xml:space="preserve"> </w:t>
      </w:r>
      <w:r>
        <w:rPr>
          <w:sz w:val="26"/>
          <w:szCs w:val="26"/>
        </w:rPr>
        <w:t>filed his Formal Complaint with the Commission</w:t>
      </w:r>
      <w:r w:rsidR="00551D86">
        <w:rPr>
          <w:sz w:val="26"/>
          <w:szCs w:val="26"/>
        </w:rPr>
        <w:t xml:space="preserve"> (</w:t>
      </w:r>
      <w:r w:rsidR="005F1983">
        <w:rPr>
          <w:sz w:val="26"/>
          <w:szCs w:val="26"/>
        </w:rPr>
        <w:t>Tr. at 14, 21; Complainant Exh 1</w:t>
      </w:r>
      <w:r w:rsidR="00551D86">
        <w:rPr>
          <w:sz w:val="26"/>
          <w:szCs w:val="26"/>
        </w:rPr>
        <w:t>)</w:t>
      </w:r>
      <w:r w:rsidR="00654447">
        <w:rPr>
          <w:sz w:val="26"/>
          <w:szCs w:val="26"/>
        </w:rPr>
        <w:t>.</w:t>
      </w:r>
    </w:p>
    <w:p w:rsidR="00BE720A" w:rsidRDefault="00BE720A" w:rsidP="00785214">
      <w:pPr>
        <w:pStyle w:val="Default"/>
        <w:spacing w:line="360" w:lineRule="auto"/>
        <w:ind w:firstLine="720"/>
        <w:rPr>
          <w:sz w:val="26"/>
          <w:szCs w:val="26"/>
        </w:rPr>
      </w:pPr>
    </w:p>
    <w:p w:rsidR="00A77B24" w:rsidRDefault="002006BE" w:rsidP="00785214">
      <w:pPr>
        <w:pStyle w:val="Default"/>
        <w:spacing w:line="360" w:lineRule="auto"/>
        <w:rPr>
          <w:sz w:val="26"/>
          <w:szCs w:val="26"/>
        </w:rPr>
      </w:pPr>
      <w:r>
        <w:rPr>
          <w:sz w:val="26"/>
          <w:szCs w:val="26"/>
        </w:rPr>
        <w:t>The ALJ noted that Choice Energy did not present any evidence to rebut the Complainant’s credible testimony and</w:t>
      </w:r>
      <w:r w:rsidR="005F70E9">
        <w:rPr>
          <w:sz w:val="26"/>
          <w:szCs w:val="26"/>
        </w:rPr>
        <w:t>,</w:t>
      </w:r>
      <w:r>
        <w:rPr>
          <w:sz w:val="26"/>
          <w:szCs w:val="26"/>
        </w:rPr>
        <w:t xml:space="preserve"> based on h</w:t>
      </w:r>
      <w:r w:rsidR="00FD6059">
        <w:rPr>
          <w:sz w:val="26"/>
          <w:szCs w:val="26"/>
        </w:rPr>
        <w:t>er</w:t>
      </w:r>
      <w:r>
        <w:rPr>
          <w:sz w:val="26"/>
          <w:szCs w:val="26"/>
        </w:rPr>
        <w:t xml:space="preserve"> findings, </w:t>
      </w:r>
      <w:r w:rsidR="00AD2845">
        <w:rPr>
          <w:sz w:val="26"/>
          <w:szCs w:val="26"/>
        </w:rPr>
        <w:t xml:space="preserve">the ALJ concluded that the </w:t>
      </w:r>
      <w:r w:rsidR="00854F0C">
        <w:rPr>
          <w:sz w:val="26"/>
          <w:szCs w:val="26"/>
        </w:rPr>
        <w:t xml:space="preserve">Respondent </w:t>
      </w:r>
      <w:r w:rsidR="005F03E8">
        <w:rPr>
          <w:sz w:val="26"/>
          <w:szCs w:val="26"/>
        </w:rPr>
        <w:t xml:space="preserve">violated </w:t>
      </w:r>
      <w:r w:rsidR="0044352A">
        <w:rPr>
          <w:sz w:val="26"/>
          <w:szCs w:val="26"/>
        </w:rPr>
        <w:t>different section</w:t>
      </w:r>
      <w:r w:rsidR="00CF52E3">
        <w:rPr>
          <w:sz w:val="26"/>
          <w:szCs w:val="26"/>
        </w:rPr>
        <w:t>s</w:t>
      </w:r>
      <w:r w:rsidR="0044352A">
        <w:rPr>
          <w:sz w:val="26"/>
          <w:szCs w:val="26"/>
        </w:rPr>
        <w:t xml:space="preserve"> of the Commission’s Telemarketing Regulations </w:t>
      </w:r>
      <w:r w:rsidR="0044352A">
        <w:rPr>
          <w:sz w:val="26"/>
          <w:szCs w:val="26"/>
        </w:rPr>
        <w:lastRenderedPageBreak/>
        <w:t>at</w:t>
      </w:r>
      <w:r w:rsidR="00304523">
        <w:rPr>
          <w:sz w:val="26"/>
          <w:szCs w:val="26"/>
        </w:rPr>
        <w:t> </w:t>
      </w:r>
      <w:r w:rsidRPr="002006BE">
        <w:rPr>
          <w:sz w:val="26"/>
          <w:szCs w:val="26"/>
        </w:rPr>
        <w:t>52 Pa.</w:t>
      </w:r>
      <w:r>
        <w:rPr>
          <w:sz w:val="26"/>
          <w:szCs w:val="26"/>
        </w:rPr>
        <w:t xml:space="preserve"> </w:t>
      </w:r>
      <w:r w:rsidRPr="002006BE">
        <w:rPr>
          <w:sz w:val="26"/>
          <w:szCs w:val="26"/>
        </w:rPr>
        <w:t>Code § 111.10</w:t>
      </w:r>
      <w:r w:rsidR="00E8734B">
        <w:rPr>
          <w:sz w:val="26"/>
          <w:szCs w:val="26"/>
        </w:rPr>
        <w:t xml:space="preserve"> which, </w:t>
      </w:r>
      <w:r w:rsidR="00E8734B">
        <w:rPr>
          <w:i/>
          <w:sz w:val="26"/>
          <w:szCs w:val="26"/>
        </w:rPr>
        <w:t>inter alia</w:t>
      </w:r>
      <w:r w:rsidR="00E8734B" w:rsidRPr="00E8734B">
        <w:rPr>
          <w:sz w:val="26"/>
          <w:szCs w:val="26"/>
        </w:rPr>
        <w:t>,</w:t>
      </w:r>
      <w:r w:rsidR="00E8734B">
        <w:rPr>
          <w:sz w:val="26"/>
          <w:szCs w:val="26"/>
        </w:rPr>
        <w:t xml:space="preserve"> </w:t>
      </w:r>
      <w:r w:rsidR="00A77B24">
        <w:rPr>
          <w:sz w:val="26"/>
          <w:szCs w:val="26"/>
        </w:rPr>
        <w:t xml:space="preserve">requires a supplier and its agents to comply with the </w:t>
      </w:r>
      <w:r w:rsidR="00E8734B">
        <w:rPr>
          <w:sz w:val="26"/>
          <w:szCs w:val="26"/>
        </w:rPr>
        <w:t xml:space="preserve">federal </w:t>
      </w:r>
      <w:r w:rsidR="00A77B24">
        <w:rPr>
          <w:sz w:val="26"/>
          <w:szCs w:val="26"/>
        </w:rPr>
        <w:t>Telemarketing Act</w:t>
      </w:r>
      <w:r w:rsidR="00E8734B">
        <w:rPr>
          <w:sz w:val="26"/>
          <w:szCs w:val="26"/>
        </w:rPr>
        <w:t>.</w:t>
      </w:r>
    </w:p>
    <w:p w:rsidR="00A77B24" w:rsidRDefault="00A77B24" w:rsidP="00785214">
      <w:pPr>
        <w:pStyle w:val="Default"/>
        <w:spacing w:line="360" w:lineRule="auto"/>
        <w:rPr>
          <w:sz w:val="26"/>
          <w:szCs w:val="26"/>
        </w:rPr>
      </w:pPr>
    </w:p>
    <w:p w:rsidR="006661AC" w:rsidRDefault="00CF52E3" w:rsidP="00304523">
      <w:pPr>
        <w:widowControl/>
        <w:spacing w:line="360" w:lineRule="auto"/>
        <w:ind w:firstLine="720"/>
        <w:rPr>
          <w:sz w:val="26"/>
          <w:szCs w:val="26"/>
        </w:rPr>
      </w:pPr>
      <w:r>
        <w:rPr>
          <w:sz w:val="26"/>
          <w:szCs w:val="26"/>
        </w:rPr>
        <w:tab/>
      </w:r>
      <w:r w:rsidR="005F70E9">
        <w:rPr>
          <w:sz w:val="26"/>
          <w:szCs w:val="26"/>
        </w:rPr>
        <w:t>Finally, t</w:t>
      </w:r>
      <w:r>
        <w:rPr>
          <w:sz w:val="26"/>
          <w:szCs w:val="26"/>
        </w:rPr>
        <w:t xml:space="preserve">he ALJ addressed whether </w:t>
      </w:r>
      <w:r w:rsidR="00501C51">
        <w:rPr>
          <w:sz w:val="26"/>
          <w:szCs w:val="26"/>
        </w:rPr>
        <w:t xml:space="preserve">a civil penalty </w:t>
      </w:r>
      <w:r w:rsidR="003E2DAB">
        <w:rPr>
          <w:sz w:val="26"/>
          <w:szCs w:val="26"/>
        </w:rPr>
        <w:t xml:space="preserve">should be assessed against </w:t>
      </w:r>
      <w:r w:rsidR="005F70E9">
        <w:rPr>
          <w:sz w:val="26"/>
          <w:szCs w:val="26"/>
        </w:rPr>
        <w:t>C</w:t>
      </w:r>
      <w:r>
        <w:rPr>
          <w:sz w:val="26"/>
          <w:szCs w:val="26"/>
        </w:rPr>
        <w:t>hoice Energy</w:t>
      </w:r>
      <w:r w:rsidR="00501C51">
        <w:rPr>
          <w:sz w:val="26"/>
          <w:szCs w:val="26"/>
        </w:rPr>
        <w:t xml:space="preserve">’s </w:t>
      </w:r>
      <w:r w:rsidR="003E2DAB">
        <w:rPr>
          <w:sz w:val="26"/>
          <w:szCs w:val="26"/>
        </w:rPr>
        <w:t xml:space="preserve">based on its </w:t>
      </w:r>
      <w:r w:rsidR="00501C51">
        <w:rPr>
          <w:sz w:val="26"/>
          <w:szCs w:val="26"/>
        </w:rPr>
        <w:t xml:space="preserve">violations.  </w:t>
      </w:r>
      <w:r w:rsidR="00AC5DE8" w:rsidRPr="0097237E">
        <w:rPr>
          <w:sz w:val="26"/>
          <w:szCs w:val="26"/>
        </w:rPr>
        <w:t>The ALJ noted that pursuant to Section 3301 of the Code, 66 Pa. C.S. §</w:t>
      </w:r>
      <w:r w:rsidR="00A57B63" w:rsidRPr="0097237E">
        <w:rPr>
          <w:sz w:val="26"/>
          <w:szCs w:val="26"/>
        </w:rPr>
        <w:t> </w:t>
      </w:r>
      <w:r w:rsidR="00AC5DE8" w:rsidRPr="0097237E">
        <w:rPr>
          <w:sz w:val="26"/>
          <w:szCs w:val="26"/>
        </w:rPr>
        <w:t xml:space="preserve">3301, the Commission may impose a maximum civil penalty of $1,000 per day for each violation of the Code, its </w:t>
      </w:r>
      <w:r w:rsidR="00DE2C44">
        <w:rPr>
          <w:sz w:val="26"/>
          <w:szCs w:val="26"/>
        </w:rPr>
        <w:t>R</w:t>
      </w:r>
      <w:r w:rsidR="00AC5DE8" w:rsidRPr="0097237E">
        <w:rPr>
          <w:sz w:val="26"/>
          <w:szCs w:val="26"/>
        </w:rPr>
        <w:t xml:space="preserve">egulations or its </w:t>
      </w:r>
      <w:r w:rsidR="00DE2C44">
        <w:rPr>
          <w:sz w:val="26"/>
          <w:szCs w:val="26"/>
        </w:rPr>
        <w:t>O</w:t>
      </w:r>
      <w:r w:rsidR="00AC5DE8" w:rsidRPr="0097237E">
        <w:rPr>
          <w:sz w:val="26"/>
          <w:szCs w:val="26"/>
        </w:rPr>
        <w:t xml:space="preserve">rders.  </w:t>
      </w:r>
      <w:r w:rsidR="00FD6740">
        <w:rPr>
          <w:sz w:val="26"/>
          <w:szCs w:val="26"/>
        </w:rPr>
        <w:t>T</w:t>
      </w:r>
      <w:r w:rsidR="0076246F" w:rsidRPr="0076246F">
        <w:rPr>
          <w:sz w:val="26"/>
          <w:szCs w:val="26"/>
        </w:rPr>
        <w:t xml:space="preserve">he ALJ evaluated the facts in this proceeding under </w:t>
      </w:r>
      <w:r w:rsidR="00FD6740">
        <w:rPr>
          <w:sz w:val="26"/>
          <w:szCs w:val="26"/>
        </w:rPr>
        <w:t>the</w:t>
      </w:r>
      <w:r w:rsidR="0076246F" w:rsidRPr="0076246F">
        <w:rPr>
          <w:sz w:val="26"/>
          <w:szCs w:val="26"/>
        </w:rPr>
        <w:t xml:space="preserve"> Commission’s Policy Statement at 52 Pa. Code § 69.1201(c)</w:t>
      </w:r>
      <w:r w:rsidR="00BE1354">
        <w:rPr>
          <w:sz w:val="26"/>
          <w:szCs w:val="26"/>
        </w:rPr>
        <w:t xml:space="preserve"> (Civil Penalty Policy Statement)</w:t>
      </w:r>
      <w:r w:rsidR="009F3A46">
        <w:rPr>
          <w:sz w:val="26"/>
          <w:szCs w:val="26"/>
        </w:rPr>
        <w:t>,</w:t>
      </w:r>
      <w:r w:rsidR="00AC5DE8">
        <w:rPr>
          <w:rStyle w:val="FootnoteReference"/>
          <w:sz w:val="26"/>
          <w:szCs w:val="26"/>
        </w:rPr>
        <w:footnoteReference w:id="3"/>
      </w:r>
      <w:r w:rsidR="0076246F" w:rsidRPr="0076246F">
        <w:rPr>
          <w:sz w:val="26"/>
          <w:szCs w:val="26"/>
        </w:rPr>
        <w:t xml:space="preserve"> which sets forth ten factors that the Commission may consider in evaluating whether a civil penalty for violating a Commission order, regulation or statute is appropriate.  Based on her analysis, the ALJ concluded that a total civil penalty of $1,000 against </w:t>
      </w:r>
      <w:r w:rsidR="0076246F">
        <w:rPr>
          <w:sz w:val="26"/>
          <w:szCs w:val="26"/>
        </w:rPr>
        <w:t>Choice Energy</w:t>
      </w:r>
      <w:r w:rsidR="0076246F" w:rsidRPr="0076246F">
        <w:rPr>
          <w:sz w:val="26"/>
          <w:szCs w:val="26"/>
        </w:rPr>
        <w:t xml:space="preserve"> was appropriate in this case</w:t>
      </w:r>
      <w:r w:rsidR="00D11F11">
        <w:rPr>
          <w:sz w:val="26"/>
          <w:szCs w:val="26"/>
        </w:rPr>
        <w:t>.</w:t>
      </w:r>
      <w:r w:rsidR="006661AC">
        <w:rPr>
          <w:sz w:val="26"/>
          <w:szCs w:val="26"/>
        </w:rPr>
        <w:t xml:space="preserve">  </w:t>
      </w:r>
      <w:r w:rsidR="0076246F">
        <w:rPr>
          <w:sz w:val="26"/>
          <w:szCs w:val="26"/>
        </w:rPr>
        <w:t>Th</w:t>
      </w:r>
      <w:r w:rsidR="00D34AC3">
        <w:rPr>
          <w:sz w:val="26"/>
          <w:szCs w:val="26"/>
        </w:rPr>
        <w:t>is</w:t>
      </w:r>
      <w:r w:rsidR="0076246F">
        <w:rPr>
          <w:sz w:val="26"/>
          <w:szCs w:val="26"/>
        </w:rPr>
        <w:t xml:space="preserve"> penalty </w:t>
      </w:r>
      <w:r w:rsidR="002A6774">
        <w:rPr>
          <w:sz w:val="26"/>
          <w:szCs w:val="26"/>
        </w:rPr>
        <w:t>wa</w:t>
      </w:r>
      <w:r w:rsidR="004C40D9">
        <w:rPr>
          <w:sz w:val="26"/>
          <w:szCs w:val="26"/>
        </w:rPr>
        <w:t xml:space="preserve">s comprised of </w:t>
      </w:r>
      <w:r w:rsidR="0076246F">
        <w:rPr>
          <w:sz w:val="26"/>
          <w:szCs w:val="26"/>
        </w:rPr>
        <w:t xml:space="preserve">two $500 penalties – one for each month </w:t>
      </w:r>
      <w:r w:rsidR="004D5E71">
        <w:rPr>
          <w:sz w:val="26"/>
          <w:szCs w:val="26"/>
        </w:rPr>
        <w:t>in</w:t>
      </w:r>
      <w:r w:rsidR="0076246F">
        <w:rPr>
          <w:sz w:val="26"/>
          <w:szCs w:val="26"/>
        </w:rPr>
        <w:t xml:space="preserve"> November 2016 and December 2016 </w:t>
      </w:r>
      <w:r w:rsidR="004D5E71">
        <w:rPr>
          <w:sz w:val="26"/>
          <w:szCs w:val="26"/>
        </w:rPr>
        <w:t xml:space="preserve">when </w:t>
      </w:r>
      <w:r w:rsidR="0076246F">
        <w:rPr>
          <w:sz w:val="26"/>
          <w:szCs w:val="26"/>
        </w:rPr>
        <w:t>the Complainant received misleading telephone calls and Choice Energy</w:t>
      </w:r>
      <w:r w:rsidR="00E6235C">
        <w:rPr>
          <w:sz w:val="26"/>
          <w:szCs w:val="26"/>
        </w:rPr>
        <w:t xml:space="preserve"> </w:t>
      </w:r>
      <w:r w:rsidR="0076246F">
        <w:rPr>
          <w:sz w:val="26"/>
          <w:szCs w:val="26"/>
        </w:rPr>
        <w:t xml:space="preserve">failed to stop the marketing calls and place the Complainant’s telephone number on a do-not-call list.  </w:t>
      </w:r>
      <w:r w:rsidR="0076246F" w:rsidRPr="00EF778E">
        <w:rPr>
          <w:sz w:val="26"/>
          <w:szCs w:val="26"/>
        </w:rPr>
        <w:t>I.D. at 7-11.</w:t>
      </w:r>
    </w:p>
    <w:p w:rsidR="00380077" w:rsidRDefault="00380077" w:rsidP="00785214">
      <w:pPr>
        <w:widowControl/>
        <w:spacing w:line="360" w:lineRule="auto"/>
        <w:rPr>
          <w:sz w:val="26"/>
          <w:szCs w:val="26"/>
        </w:rPr>
      </w:pPr>
    </w:p>
    <w:p w:rsidR="00687725" w:rsidRDefault="002D7860" w:rsidP="009B5DAF">
      <w:pPr>
        <w:keepNext/>
        <w:keepLines/>
        <w:widowControl/>
        <w:spacing w:line="360" w:lineRule="auto"/>
        <w:ind w:firstLine="1440"/>
        <w:rPr>
          <w:b/>
          <w:sz w:val="26"/>
          <w:szCs w:val="26"/>
        </w:rPr>
      </w:pPr>
      <w:r w:rsidRPr="002C69EB">
        <w:rPr>
          <w:b/>
          <w:sz w:val="26"/>
          <w:szCs w:val="26"/>
        </w:rPr>
        <w:t>Exceptions</w:t>
      </w:r>
      <w:r w:rsidR="00AF21F5">
        <w:rPr>
          <w:b/>
          <w:sz w:val="26"/>
          <w:szCs w:val="26"/>
        </w:rPr>
        <w:t>,</w:t>
      </w:r>
      <w:r w:rsidRPr="002C69EB">
        <w:rPr>
          <w:b/>
          <w:sz w:val="26"/>
          <w:szCs w:val="26"/>
        </w:rPr>
        <w:t xml:space="preserve"> Replies</w:t>
      </w:r>
      <w:r w:rsidR="00AF21F5">
        <w:rPr>
          <w:b/>
          <w:sz w:val="26"/>
          <w:szCs w:val="26"/>
        </w:rPr>
        <w:t xml:space="preserve"> and Disposition</w:t>
      </w:r>
    </w:p>
    <w:p w:rsidR="009B5DAF" w:rsidRDefault="009B5DAF" w:rsidP="009B5DAF">
      <w:pPr>
        <w:keepNext/>
        <w:keepLines/>
        <w:widowControl/>
        <w:spacing w:line="360" w:lineRule="auto"/>
        <w:ind w:firstLine="1440"/>
        <w:rPr>
          <w:sz w:val="26"/>
          <w:szCs w:val="26"/>
        </w:rPr>
      </w:pPr>
    </w:p>
    <w:p w:rsidR="00DA053F" w:rsidRDefault="001A04BB" w:rsidP="00785214">
      <w:pPr>
        <w:widowControl/>
        <w:spacing w:line="360" w:lineRule="auto"/>
        <w:rPr>
          <w:sz w:val="26"/>
          <w:szCs w:val="26"/>
        </w:rPr>
      </w:pPr>
      <w:r>
        <w:rPr>
          <w:sz w:val="26"/>
          <w:szCs w:val="26"/>
        </w:rPr>
        <w:tab/>
      </w:r>
      <w:r>
        <w:rPr>
          <w:sz w:val="26"/>
          <w:szCs w:val="26"/>
        </w:rPr>
        <w:tab/>
      </w:r>
      <w:r w:rsidR="00520E58">
        <w:rPr>
          <w:sz w:val="26"/>
          <w:szCs w:val="26"/>
        </w:rPr>
        <w:t>Choice Energy</w:t>
      </w:r>
      <w:r w:rsidR="007524A8">
        <w:rPr>
          <w:sz w:val="26"/>
          <w:szCs w:val="26"/>
        </w:rPr>
        <w:t>’s</w:t>
      </w:r>
      <w:r w:rsidR="00A84E96">
        <w:rPr>
          <w:sz w:val="26"/>
          <w:szCs w:val="26"/>
        </w:rPr>
        <w:t xml:space="preserve"> first Exception concerns Finding of Fact No. 5 that “[t]he Complainant requested that he stop receiving telephone calls, and his home telephone number be removed from the Respondent’s call list</w:t>
      </w:r>
      <w:r w:rsidR="000925A0">
        <w:rPr>
          <w:sz w:val="26"/>
          <w:szCs w:val="26"/>
        </w:rPr>
        <w:t>.</w:t>
      </w:r>
      <w:r w:rsidR="000925A0" w:rsidRPr="0000153E">
        <w:rPr>
          <w:sz w:val="26"/>
          <w:szCs w:val="26"/>
        </w:rPr>
        <w:t>”</w:t>
      </w:r>
      <w:r w:rsidR="00A84E96">
        <w:rPr>
          <w:sz w:val="26"/>
          <w:szCs w:val="26"/>
        </w:rPr>
        <w:t xml:space="preserve">  Tr. 13, 19, 20.  </w:t>
      </w:r>
      <w:r w:rsidR="004C4573">
        <w:rPr>
          <w:sz w:val="26"/>
          <w:szCs w:val="26"/>
        </w:rPr>
        <w:t xml:space="preserve">Choice Energy </w:t>
      </w:r>
      <w:r w:rsidR="00CE70E0">
        <w:rPr>
          <w:sz w:val="26"/>
          <w:szCs w:val="26"/>
        </w:rPr>
        <w:t>submits that</w:t>
      </w:r>
      <w:r w:rsidR="00341402">
        <w:rPr>
          <w:sz w:val="26"/>
          <w:szCs w:val="26"/>
        </w:rPr>
        <w:t xml:space="preserve"> this was the sole remedy that the Complainant requested in his Complaint and that Choice Energy </w:t>
      </w:r>
      <w:r w:rsidR="00E444D3">
        <w:rPr>
          <w:sz w:val="26"/>
          <w:szCs w:val="26"/>
        </w:rPr>
        <w:t xml:space="preserve">complied with </w:t>
      </w:r>
      <w:r w:rsidR="000D631F">
        <w:rPr>
          <w:sz w:val="26"/>
          <w:szCs w:val="26"/>
        </w:rPr>
        <w:t>the Complainant</w:t>
      </w:r>
      <w:r w:rsidR="00E444D3">
        <w:rPr>
          <w:sz w:val="26"/>
          <w:szCs w:val="26"/>
        </w:rPr>
        <w:t xml:space="preserve">’s request </w:t>
      </w:r>
      <w:r w:rsidR="004419BD">
        <w:rPr>
          <w:sz w:val="26"/>
          <w:szCs w:val="26"/>
        </w:rPr>
        <w:t xml:space="preserve">to remove </w:t>
      </w:r>
      <w:r w:rsidR="005E3D45">
        <w:rPr>
          <w:sz w:val="26"/>
          <w:szCs w:val="26"/>
        </w:rPr>
        <w:t xml:space="preserve">the </w:t>
      </w:r>
      <w:r w:rsidR="005E3D45">
        <w:rPr>
          <w:sz w:val="26"/>
          <w:szCs w:val="26"/>
        </w:rPr>
        <w:lastRenderedPageBreak/>
        <w:t>Complainant</w:t>
      </w:r>
      <w:r w:rsidR="00AE6EF1">
        <w:rPr>
          <w:sz w:val="26"/>
          <w:szCs w:val="26"/>
        </w:rPr>
        <w:t xml:space="preserve">’s </w:t>
      </w:r>
      <w:r w:rsidR="00CE70E0">
        <w:rPr>
          <w:sz w:val="26"/>
          <w:szCs w:val="26"/>
        </w:rPr>
        <w:t xml:space="preserve">telephone </w:t>
      </w:r>
      <w:r w:rsidR="00AE6EF1">
        <w:rPr>
          <w:sz w:val="26"/>
          <w:szCs w:val="26"/>
        </w:rPr>
        <w:t xml:space="preserve">number </w:t>
      </w:r>
      <w:r w:rsidR="004419BD">
        <w:rPr>
          <w:sz w:val="26"/>
          <w:szCs w:val="26"/>
        </w:rPr>
        <w:t>from its call list on December 28, 2016, when it</w:t>
      </w:r>
      <w:r w:rsidR="00E444D3">
        <w:rPr>
          <w:sz w:val="26"/>
          <w:szCs w:val="26"/>
        </w:rPr>
        <w:t xml:space="preserve"> re</w:t>
      </w:r>
      <w:r w:rsidR="004419BD">
        <w:rPr>
          <w:sz w:val="26"/>
          <w:szCs w:val="26"/>
        </w:rPr>
        <w:t>ceived the Complaint from the Commission</w:t>
      </w:r>
      <w:r w:rsidR="00EB33DE">
        <w:rPr>
          <w:sz w:val="26"/>
          <w:szCs w:val="26"/>
        </w:rPr>
        <w:t>.</w:t>
      </w:r>
    </w:p>
    <w:p w:rsidR="00DA053F" w:rsidRDefault="00DA053F" w:rsidP="00785214">
      <w:pPr>
        <w:widowControl/>
        <w:spacing w:line="360" w:lineRule="auto"/>
        <w:rPr>
          <w:sz w:val="26"/>
          <w:szCs w:val="26"/>
        </w:rPr>
      </w:pPr>
    </w:p>
    <w:p w:rsidR="000D631F" w:rsidRDefault="00E444D3" w:rsidP="00785214">
      <w:pPr>
        <w:widowControl/>
        <w:spacing w:line="360" w:lineRule="auto"/>
        <w:rPr>
          <w:sz w:val="26"/>
          <w:szCs w:val="26"/>
        </w:rPr>
      </w:pPr>
      <w:r>
        <w:rPr>
          <w:sz w:val="26"/>
          <w:szCs w:val="26"/>
        </w:rPr>
        <w:tab/>
      </w:r>
      <w:r>
        <w:rPr>
          <w:sz w:val="26"/>
          <w:szCs w:val="26"/>
        </w:rPr>
        <w:tab/>
      </w:r>
      <w:r w:rsidR="004A0B0E">
        <w:rPr>
          <w:sz w:val="26"/>
          <w:szCs w:val="26"/>
        </w:rPr>
        <w:t xml:space="preserve">The Complainant replies </w:t>
      </w:r>
      <w:r w:rsidR="00EB26F6">
        <w:rPr>
          <w:sz w:val="26"/>
          <w:szCs w:val="26"/>
        </w:rPr>
        <w:t xml:space="preserve">that </w:t>
      </w:r>
      <w:r w:rsidR="00E5745C">
        <w:rPr>
          <w:sz w:val="26"/>
          <w:szCs w:val="26"/>
        </w:rPr>
        <w:t xml:space="preserve">he filed his Complaint two weeks prior to December 28, 2016, after his verbal requests to stop calling him were unheeded.  Thus, the Complainant asserts that </w:t>
      </w:r>
      <w:r w:rsidR="00AE10AE">
        <w:rPr>
          <w:sz w:val="26"/>
          <w:szCs w:val="26"/>
        </w:rPr>
        <w:t xml:space="preserve">Choice Energy should have complied with his request to remove his home </w:t>
      </w:r>
      <w:r w:rsidR="00EB26F6">
        <w:rPr>
          <w:sz w:val="26"/>
          <w:szCs w:val="26"/>
        </w:rPr>
        <w:t xml:space="preserve">telephone </w:t>
      </w:r>
      <w:r w:rsidR="00AE10AE">
        <w:rPr>
          <w:sz w:val="26"/>
          <w:szCs w:val="26"/>
        </w:rPr>
        <w:t xml:space="preserve">number from </w:t>
      </w:r>
      <w:r w:rsidR="00EB26F6">
        <w:rPr>
          <w:sz w:val="26"/>
          <w:szCs w:val="26"/>
        </w:rPr>
        <w:t xml:space="preserve">Choice Energy’s </w:t>
      </w:r>
      <w:r w:rsidR="00AE10AE">
        <w:rPr>
          <w:sz w:val="26"/>
          <w:szCs w:val="26"/>
        </w:rPr>
        <w:t xml:space="preserve">call list </w:t>
      </w:r>
      <w:r w:rsidR="00EB26F6">
        <w:rPr>
          <w:sz w:val="26"/>
          <w:szCs w:val="26"/>
        </w:rPr>
        <w:t xml:space="preserve">at the time he first made his </w:t>
      </w:r>
      <w:r w:rsidR="0090428A">
        <w:rPr>
          <w:sz w:val="26"/>
          <w:szCs w:val="26"/>
        </w:rPr>
        <w:t>verbal</w:t>
      </w:r>
      <w:r w:rsidR="00824D10">
        <w:rPr>
          <w:sz w:val="26"/>
          <w:szCs w:val="26"/>
        </w:rPr>
        <w:t xml:space="preserve"> request and</w:t>
      </w:r>
      <w:r w:rsidR="0090428A">
        <w:rPr>
          <w:sz w:val="26"/>
          <w:szCs w:val="26"/>
        </w:rPr>
        <w:t xml:space="preserve"> prior to </w:t>
      </w:r>
      <w:r w:rsidR="00EB26F6">
        <w:rPr>
          <w:sz w:val="26"/>
          <w:szCs w:val="26"/>
        </w:rPr>
        <w:t xml:space="preserve">when he filed </w:t>
      </w:r>
      <w:r w:rsidR="006733D7">
        <w:rPr>
          <w:sz w:val="26"/>
          <w:szCs w:val="26"/>
        </w:rPr>
        <w:t>his</w:t>
      </w:r>
      <w:r w:rsidR="0090428A">
        <w:rPr>
          <w:sz w:val="26"/>
          <w:szCs w:val="26"/>
        </w:rPr>
        <w:t xml:space="preserve"> Complaint.  </w:t>
      </w:r>
      <w:r w:rsidR="000D631F">
        <w:rPr>
          <w:sz w:val="26"/>
          <w:szCs w:val="26"/>
        </w:rPr>
        <w:t>R.Exc. at 1.</w:t>
      </w:r>
    </w:p>
    <w:p w:rsidR="00AF21F5" w:rsidRDefault="00AF21F5" w:rsidP="00785214">
      <w:pPr>
        <w:widowControl/>
        <w:spacing w:line="360" w:lineRule="auto"/>
        <w:rPr>
          <w:sz w:val="26"/>
          <w:szCs w:val="26"/>
        </w:rPr>
      </w:pPr>
    </w:p>
    <w:p w:rsidR="00AF21F5" w:rsidRDefault="00AF21F5" w:rsidP="00AF21F5">
      <w:pPr>
        <w:widowControl/>
        <w:spacing w:line="360" w:lineRule="auto"/>
        <w:ind w:firstLine="720"/>
        <w:rPr>
          <w:sz w:val="26"/>
          <w:szCs w:val="26"/>
        </w:rPr>
      </w:pPr>
      <w:r>
        <w:rPr>
          <w:sz w:val="26"/>
          <w:szCs w:val="26"/>
        </w:rPr>
        <w:tab/>
        <w:t>Based upon our review of the record, we agree with the Complainant that Choice Energy should have honored his original request to be placed on Choice Energy’s do-not-call list before the Complainant filed his Complaint with the Commission.  The record in this proceeding shows that the Complainant received numerous telephone calls from Choice Energy in November and December 2016, Tr. at 12-13, 16; Complainant Exh. 1, and that those calls came from several telephone numbers identified as Choice Energy on the Complainant’s Caller ID, Tr. at 13-22; Complainant Exh. 1.  The record also shows that the telephone calls ended after December 28, 2016, after the Complainant filed his Complaint with the Commission.</w:t>
      </w:r>
      <w:r>
        <w:rPr>
          <w:rStyle w:val="FootnoteReference"/>
          <w:sz w:val="26"/>
          <w:szCs w:val="26"/>
        </w:rPr>
        <w:footnoteReference w:id="4"/>
      </w:r>
      <w:r>
        <w:rPr>
          <w:sz w:val="26"/>
          <w:szCs w:val="26"/>
        </w:rPr>
        <w:t xml:space="preserve">  Tr. at 14, 21; Complainant Exh. 1.  Although we acknowledge that </w:t>
      </w:r>
      <w:r w:rsidR="00673169">
        <w:rPr>
          <w:sz w:val="26"/>
          <w:szCs w:val="26"/>
        </w:rPr>
        <w:t>Choice Energy</w:t>
      </w:r>
      <w:r>
        <w:rPr>
          <w:sz w:val="26"/>
          <w:szCs w:val="26"/>
        </w:rPr>
        <w:t xml:space="preserve"> did eventually place the Complainant on its do-not-call list on December 2</w:t>
      </w:r>
      <w:r w:rsidR="00854F0C">
        <w:rPr>
          <w:sz w:val="26"/>
          <w:szCs w:val="26"/>
        </w:rPr>
        <w:t>8</w:t>
      </w:r>
      <w:r>
        <w:rPr>
          <w:sz w:val="26"/>
          <w:szCs w:val="26"/>
        </w:rPr>
        <w:t xml:space="preserve">, 2016, </w:t>
      </w:r>
      <w:r w:rsidR="00673169">
        <w:rPr>
          <w:sz w:val="26"/>
          <w:szCs w:val="26"/>
        </w:rPr>
        <w:t>Choice Energy</w:t>
      </w:r>
      <w:r>
        <w:rPr>
          <w:sz w:val="26"/>
          <w:szCs w:val="26"/>
        </w:rPr>
        <w:t xml:space="preserve"> should have responded to the Complainant’s original request and removed him from the calling list at that time.  Accordingly, this Exception is denied.</w:t>
      </w:r>
    </w:p>
    <w:p w:rsidR="00AF21F5" w:rsidRDefault="00AF21F5" w:rsidP="00785214">
      <w:pPr>
        <w:widowControl/>
        <w:spacing w:line="360" w:lineRule="auto"/>
        <w:rPr>
          <w:sz w:val="26"/>
          <w:szCs w:val="26"/>
        </w:rPr>
      </w:pPr>
    </w:p>
    <w:p w:rsidR="009B5DAF" w:rsidRDefault="009B5DAF" w:rsidP="009B5DAF">
      <w:pPr>
        <w:pStyle w:val="Default"/>
        <w:spacing w:line="360" w:lineRule="auto"/>
        <w:ind w:firstLine="720"/>
        <w:rPr>
          <w:sz w:val="26"/>
          <w:szCs w:val="26"/>
        </w:rPr>
      </w:pPr>
      <w:r>
        <w:rPr>
          <w:sz w:val="26"/>
          <w:szCs w:val="26"/>
        </w:rPr>
        <w:tab/>
        <w:t>In its second Exception, Choice Energy compares the ALJ’s evaluation of the first and third factors of the Commission’s Civil Penalty Policy Statement that she used to support her ruling to impose a $1,000 penalty on Choice Energy.</w:t>
      </w:r>
    </w:p>
    <w:p w:rsidR="009B5DAF" w:rsidRDefault="009B5DAF" w:rsidP="009B5DAF">
      <w:pPr>
        <w:pStyle w:val="Default"/>
        <w:spacing w:line="360" w:lineRule="auto"/>
        <w:rPr>
          <w:sz w:val="26"/>
          <w:szCs w:val="26"/>
        </w:rPr>
      </w:pPr>
    </w:p>
    <w:p w:rsidR="009B5DAF" w:rsidRDefault="009B5DAF" w:rsidP="009B5DAF">
      <w:pPr>
        <w:pStyle w:val="Default"/>
        <w:spacing w:line="360" w:lineRule="auto"/>
        <w:rPr>
          <w:sz w:val="26"/>
          <w:szCs w:val="26"/>
        </w:rPr>
      </w:pPr>
      <w:r>
        <w:rPr>
          <w:sz w:val="26"/>
          <w:szCs w:val="26"/>
        </w:rPr>
        <w:lastRenderedPageBreak/>
        <w:tab/>
      </w:r>
      <w:r>
        <w:rPr>
          <w:sz w:val="26"/>
          <w:szCs w:val="26"/>
        </w:rPr>
        <w:tab/>
        <w:t>The ALJ made the following evaluations regarding the first and third factors:</w:t>
      </w:r>
    </w:p>
    <w:p w:rsidR="009B5DAF" w:rsidRDefault="009B5DAF" w:rsidP="009B5DAF">
      <w:pPr>
        <w:widowControl/>
        <w:spacing w:line="360" w:lineRule="auto"/>
        <w:rPr>
          <w:sz w:val="26"/>
          <w:szCs w:val="26"/>
        </w:rPr>
      </w:pPr>
    </w:p>
    <w:p w:rsidR="009B5DAF" w:rsidRDefault="009B5DAF" w:rsidP="009B5DAF">
      <w:pPr>
        <w:pStyle w:val="FootnoteText"/>
        <w:keepLines w:val="0"/>
        <w:ind w:left="1440" w:right="1440"/>
      </w:pPr>
      <w:r w:rsidRPr="00DE54FD">
        <w:t>(1)</w:t>
      </w:r>
      <w:r>
        <w:tab/>
        <w:t>[Choice Energy</w:t>
      </w:r>
      <w:r w:rsidRPr="00DE54FD">
        <w:t>’s</w:t>
      </w:r>
      <w:r>
        <w:t>]</w:t>
      </w:r>
      <w:r w:rsidRPr="00DE54FD">
        <w:t xml:space="preserve"> failure to comply with Mr.</w:t>
      </w:r>
      <w:r>
        <w:t> </w:t>
      </w:r>
      <w:r w:rsidRPr="00DE54FD">
        <w:t xml:space="preserve">Krain’s request and </w:t>
      </w:r>
      <w:r w:rsidRPr="00105657">
        <w:t>immediately</w:t>
      </w:r>
      <w:r w:rsidRPr="00DE54FD">
        <w:t xml:space="preserve"> stop telemarketing calls to his home telephone and place him on a do not call list is not a serious offense. </w:t>
      </w:r>
      <w:r>
        <w:t xml:space="preserve"> </w:t>
      </w:r>
      <w:bookmarkStart w:id="3" w:name="_Hlk526424622"/>
      <w:r w:rsidRPr="00DE54FD">
        <w:t xml:space="preserve">It appears that it was more of an administrative or technical error, rather than willful fraud or misrepresentation on the part of the Respondent. </w:t>
      </w:r>
      <w:r>
        <w:t xml:space="preserve"> </w:t>
      </w:r>
      <w:r w:rsidRPr="00DE54FD">
        <w:t>As such, a lower civil penalty is warranted.</w:t>
      </w:r>
      <w:bookmarkEnd w:id="3"/>
    </w:p>
    <w:p w:rsidR="009B5DAF" w:rsidRDefault="009B5DAF" w:rsidP="009B5DAF">
      <w:pPr>
        <w:pStyle w:val="FootnoteText"/>
        <w:keepLines w:val="0"/>
        <w:ind w:left="1440" w:right="1440"/>
        <w:jc w:val="center"/>
      </w:pPr>
      <w:r>
        <w:t>*   *   *</w:t>
      </w:r>
    </w:p>
    <w:p w:rsidR="009B5DAF" w:rsidRDefault="009B5DAF" w:rsidP="009B5DAF">
      <w:pPr>
        <w:pStyle w:val="FootnoteText"/>
        <w:keepLines w:val="0"/>
        <w:ind w:left="1440" w:right="1440"/>
      </w:pPr>
    </w:p>
    <w:p w:rsidR="009B5DAF" w:rsidRDefault="009B5DAF" w:rsidP="009B5DAF">
      <w:pPr>
        <w:pStyle w:val="FootnoteText"/>
        <w:keepLines w:val="0"/>
        <w:ind w:left="1440" w:right="1440"/>
      </w:pPr>
      <w:r w:rsidRPr="00DE54FD">
        <w:t>(3)</w:t>
      </w:r>
      <w:r>
        <w:tab/>
      </w:r>
      <w:r w:rsidRPr="00DE54FD">
        <w:t xml:space="preserve">This was a litigated case. </w:t>
      </w:r>
      <w:r>
        <w:t xml:space="preserve"> [Choice Energy’s]</w:t>
      </w:r>
      <w:r w:rsidRPr="00DE54FD">
        <w:t xml:space="preserve"> failure to act when Mr. Krain requested that the telephone calls stop and his name be placed on a do not call list is deemed intentional. </w:t>
      </w:r>
      <w:r>
        <w:t xml:space="preserve"> </w:t>
      </w:r>
      <w:r w:rsidRPr="00DE54FD">
        <w:t xml:space="preserve">The agent also failed to clearly identify itself and </w:t>
      </w:r>
      <w:r>
        <w:t>[</w:t>
      </w:r>
      <w:r w:rsidRPr="00DE54FD">
        <w:t xml:space="preserve">Choice </w:t>
      </w:r>
      <w:r>
        <w:t xml:space="preserve">Energy] </w:t>
      </w:r>
      <w:r w:rsidRPr="00DE54FD">
        <w:t xml:space="preserve">and their relationship to electric distribution company. </w:t>
      </w:r>
      <w:r>
        <w:t xml:space="preserve"> </w:t>
      </w:r>
      <w:r w:rsidRPr="00DE54FD">
        <w:t xml:space="preserve">When an agent acting on behalf of </w:t>
      </w:r>
      <w:r>
        <w:t>[</w:t>
      </w:r>
      <w:r w:rsidRPr="00DE54FD">
        <w:t xml:space="preserve">Choice </w:t>
      </w:r>
      <w:r>
        <w:t xml:space="preserve">Energy] </w:t>
      </w:r>
      <w:r w:rsidRPr="00DE54FD">
        <w:t xml:space="preserve">violates a Commission regulation, </w:t>
      </w:r>
      <w:r>
        <w:t>[</w:t>
      </w:r>
      <w:r w:rsidRPr="00DE54FD">
        <w:t>Choice</w:t>
      </w:r>
    </w:p>
    <w:p w:rsidR="009B5DAF" w:rsidRDefault="009B5DAF" w:rsidP="009B5DAF">
      <w:pPr>
        <w:pStyle w:val="FootnoteText"/>
        <w:keepLines w:val="0"/>
        <w:ind w:left="1440" w:right="1440"/>
      </w:pPr>
      <w:r>
        <w:t xml:space="preserve">Energy] </w:t>
      </w:r>
      <w:r w:rsidRPr="00DE54FD">
        <w:t xml:space="preserve">is responsible. </w:t>
      </w:r>
      <w:r>
        <w:t xml:space="preserve"> </w:t>
      </w:r>
      <w:r w:rsidRPr="00DE54FD">
        <w:t xml:space="preserve">Such </w:t>
      </w:r>
      <w:bookmarkStart w:id="4" w:name="_Hlk526424451"/>
      <w:r w:rsidRPr="00DE54FD">
        <w:t>conduct is intentional and supports imposing a higher civil penalty</w:t>
      </w:r>
      <w:bookmarkEnd w:id="4"/>
      <w:r w:rsidRPr="00DE54FD">
        <w:t>.</w:t>
      </w:r>
    </w:p>
    <w:p w:rsidR="009B5DAF" w:rsidRDefault="009B5DAF" w:rsidP="009B5DAF">
      <w:pPr>
        <w:pStyle w:val="FootnoteText"/>
      </w:pPr>
    </w:p>
    <w:p w:rsidR="009B5DAF" w:rsidRPr="00DE54FD" w:rsidRDefault="009B5DAF" w:rsidP="009B5DAF">
      <w:pPr>
        <w:pStyle w:val="FootnoteText"/>
      </w:pPr>
    </w:p>
    <w:p w:rsidR="009B5DAF" w:rsidRDefault="009B5DAF" w:rsidP="009B5DAF">
      <w:pPr>
        <w:widowControl/>
        <w:spacing w:line="360" w:lineRule="auto"/>
        <w:rPr>
          <w:sz w:val="26"/>
          <w:szCs w:val="26"/>
        </w:rPr>
      </w:pPr>
      <w:r>
        <w:rPr>
          <w:sz w:val="26"/>
          <w:szCs w:val="26"/>
        </w:rPr>
        <w:t>I.D. at 9-10.</w:t>
      </w:r>
    </w:p>
    <w:p w:rsidR="009B5DAF" w:rsidRDefault="009B5DAF" w:rsidP="009B5DAF">
      <w:pPr>
        <w:widowControl/>
        <w:spacing w:line="360" w:lineRule="auto"/>
        <w:rPr>
          <w:sz w:val="26"/>
          <w:szCs w:val="26"/>
        </w:rPr>
      </w:pPr>
    </w:p>
    <w:p w:rsidR="009B5DAF" w:rsidRDefault="009B5DAF" w:rsidP="009B5DAF">
      <w:pPr>
        <w:pStyle w:val="Default"/>
        <w:spacing w:line="360" w:lineRule="auto"/>
        <w:rPr>
          <w:sz w:val="26"/>
          <w:szCs w:val="26"/>
        </w:rPr>
      </w:pPr>
      <w:r>
        <w:rPr>
          <w:sz w:val="26"/>
          <w:szCs w:val="26"/>
        </w:rPr>
        <w:tab/>
      </w:r>
      <w:r>
        <w:rPr>
          <w:sz w:val="26"/>
          <w:szCs w:val="26"/>
        </w:rPr>
        <w:tab/>
        <w:t>Choice Energy argues the ALJ’s conclusions in the first factor and the third factor are materially inconsistent because the ALJ used the same cause</w:t>
      </w:r>
      <w:r w:rsidRPr="00345247">
        <w:rPr>
          <w:sz w:val="26"/>
          <w:szCs w:val="26"/>
        </w:rPr>
        <w:t xml:space="preserve"> </w:t>
      </w:r>
      <w:r>
        <w:rPr>
          <w:sz w:val="26"/>
          <w:szCs w:val="26"/>
        </w:rPr>
        <w:t xml:space="preserve">to reach two different conclusions in each of the factors.  Choice Energy agrees with the ALJ’s evaluation in the first factor where the ALJ found Choice Energy’s failure to comply with the Complainant’s request to immediately stop telemarketing calls to his home telephone and place him on a do-not-call list is not a serious offense but </w:t>
      </w:r>
      <w:bookmarkStart w:id="5" w:name="_Hlk526425160"/>
      <w:r w:rsidRPr="00C819D8">
        <w:rPr>
          <w:i/>
          <w:sz w:val="26"/>
          <w:szCs w:val="26"/>
        </w:rPr>
        <w:t>more of an administrative or technical error</w:t>
      </w:r>
      <w:r>
        <w:rPr>
          <w:sz w:val="26"/>
          <w:szCs w:val="26"/>
        </w:rPr>
        <w:t xml:space="preserve"> which </w:t>
      </w:r>
      <w:r>
        <w:rPr>
          <w:i/>
          <w:sz w:val="26"/>
          <w:szCs w:val="26"/>
        </w:rPr>
        <w:t>warrants a lower penalty</w:t>
      </w:r>
      <w:bookmarkEnd w:id="5"/>
      <w:r>
        <w:rPr>
          <w:sz w:val="26"/>
          <w:szCs w:val="26"/>
        </w:rPr>
        <w:t>.  Choice Energy contends that after finding that the above action of Choice Energy is not a serious offen</w:t>
      </w:r>
      <w:r w:rsidR="00F11231">
        <w:rPr>
          <w:sz w:val="26"/>
          <w:szCs w:val="26"/>
        </w:rPr>
        <w:t>s</w:t>
      </w:r>
      <w:r>
        <w:rPr>
          <w:sz w:val="26"/>
          <w:szCs w:val="26"/>
        </w:rPr>
        <w:t>e in her analysis of factor one, she used the same cause</w:t>
      </w:r>
      <w:r w:rsidRPr="00345247">
        <w:rPr>
          <w:sz w:val="26"/>
          <w:szCs w:val="26"/>
        </w:rPr>
        <w:t xml:space="preserve"> </w:t>
      </w:r>
      <w:r>
        <w:rPr>
          <w:sz w:val="26"/>
          <w:szCs w:val="26"/>
        </w:rPr>
        <w:t xml:space="preserve">to reach a different conclusion for the third factor for </w:t>
      </w:r>
      <w:r>
        <w:rPr>
          <w:sz w:val="26"/>
          <w:szCs w:val="26"/>
        </w:rPr>
        <w:lastRenderedPageBreak/>
        <w:t xml:space="preserve">which she found that Choice Energy’s action was </w:t>
      </w:r>
      <w:r w:rsidRPr="00C819D8">
        <w:rPr>
          <w:i/>
          <w:sz w:val="26"/>
          <w:szCs w:val="26"/>
        </w:rPr>
        <w:t xml:space="preserve">intentional </w:t>
      </w:r>
      <w:r>
        <w:rPr>
          <w:sz w:val="26"/>
          <w:szCs w:val="26"/>
        </w:rPr>
        <w:t xml:space="preserve">and </w:t>
      </w:r>
      <w:r w:rsidRPr="00C819D8">
        <w:rPr>
          <w:i/>
          <w:sz w:val="26"/>
          <w:szCs w:val="26"/>
        </w:rPr>
        <w:t>warrants a higher penalty</w:t>
      </w:r>
      <w:r w:rsidRPr="00CC2234">
        <w:rPr>
          <w:sz w:val="26"/>
          <w:szCs w:val="26"/>
        </w:rPr>
        <w:t>.</w:t>
      </w:r>
    </w:p>
    <w:p w:rsidR="009B5DAF" w:rsidRDefault="009B5DAF" w:rsidP="009B5DAF">
      <w:pPr>
        <w:widowControl/>
        <w:spacing w:line="360" w:lineRule="auto"/>
        <w:rPr>
          <w:sz w:val="26"/>
          <w:szCs w:val="26"/>
        </w:rPr>
      </w:pPr>
    </w:p>
    <w:p w:rsidR="009B5DAF" w:rsidRDefault="009B5DAF" w:rsidP="009B5DAF">
      <w:pPr>
        <w:widowControl/>
        <w:spacing w:line="360" w:lineRule="auto"/>
        <w:ind w:firstLine="720"/>
        <w:rPr>
          <w:sz w:val="26"/>
          <w:szCs w:val="26"/>
        </w:rPr>
      </w:pPr>
      <w:r>
        <w:rPr>
          <w:sz w:val="26"/>
          <w:szCs w:val="26"/>
        </w:rPr>
        <w:tab/>
        <w:t>Choice Energy submits that it did place the Complainant’s number on its internal do-not-call list as soon as it received the Formal Complaint</w:t>
      </w:r>
      <w:r w:rsidRPr="00FD53CE">
        <w:rPr>
          <w:sz w:val="26"/>
          <w:szCs w:val="26"/>
        </w:rPr>
        <w:t xml:space="preserve"> </w:t>
      </w:r>
      <w:r>
        <w:rPr>
          <w:sz w:val="26"/>
          <w:szCs w:val="26"/>
        </w:rPr>
        <w:t xml:space="preserve">on December 28, 2016.  Thus, Choice Energy avers that it could not have </w:t>
      </w:r>
      <w:r w:rsidRPr="005A10BC">
        <w:rPr>
          <w:i/>
          <w:sz w:val="26"/>
          <w:szCs w:val="26"/>
        </w:rPr>
        <w:t>intentionally</w:t>
      </w:r>
      <w:r>
        <w:rPr>
          <w:sz w:val="26"/>
          <w:szCs w:val="26"/>
        </w:rPr>
        <w:t xml:space="preserve"> failed to place the Complainant’s number on its internal do-not-call list and simultaneously </w:t>
      </w:r>
      <w:r w:rsidRPr="005A10BC">
        <w:rPr>
          <w:i/>
          <w:sz w:val="26"/>
          <w:szCs w:val="26"/>
        </w:rPr>
        <w:t>commit an administrative or technical error</w:t>
      </w:r>
      <w:r>
        <w:rPr>
          <w:sz w:val="26"/>
          <w:szCs w:val="26"/>
        </w:rPr>
        <w:t>.</w:t>
      </w:r>
    </w:p>
    <w:p w:rsidR="00AF21F5" w:rsidRDefault="00AF21F5" w:rsidP="009B5DAF">
      <w:pPr>
        <w:widowControl/>
        <w:spacing w:line="360" w:lineRule="auto"/>
        <w:ind w:firstLine="720"/>
        <w:rPr>
          <w:sz w:val="26"/>
          <w:szCs w:val="26"/>
        </w:rPr>
      </w:pPr>
    </w:p>
    <w:p w:rsidR="00AF21F5" w:rsidRDefault="00056BD4" w:rsidP="00056BD4">
      <w:pPr>
        <w:pStyle w:val="Default"/>
        <w:spacing w:line="360" w:lineRule="auto"/>
        <w:ind w:firstLine="720"/>
        <w:rPr>
          <w:sz w:val="26"/>
          <w:szCs w:val="26"/>
        </w:rPr>
      </w:pPr>
      <w:r>
        <w:rPr>
          <w:sz w:val="26"/>
          <w:szCs w:val="26"/>
        </w:rPr>
        <w:tab/>
      </w:r>
      <w:r w:rsidR="00AF21F5">
        <w:rPr>
          <w:sz w:val="26"/>
          <w:szCs w:val="26"/>
        </w:rPr>
        <w:t xml:space="preserve">After reviewing the record in this </w:t>
      </w:r>
      <w:r w:rsidR="00EF7D95">
        <w:rPr>
          <w:sz w:val="26"/>
          <w:szCs w:val="26"/>
        </w:rPr>
        <w:t>proceeding,</w:t>
      </w:r>
      <w:r w:rsidR="00AF21F5">
        <w:rPr>
          <w:sz w:val="26"/>
          <w:szCs w:val="26"/>
        </w:rPr>
        <w:t xml:space="preserve"> we are of the opinion that the ALJ’s determination regarding the first factor that “</w:t>
      </w:r>
      <w:r w:rsidR="00AF21F5" w:rsidRPr="00737BBE">
        <w:rPr>
          <w:sz w:val="26"/>
          <w:szCs w:val="26"/>
        </w:rPr>
        <w:t>a lower civil penalty is warranted</w:t>
      </w:r>
      <w:r w:rsidR="00AF21F5">
        <w:rPr>
          <w:sz w:val="26"/>
          <w:szCs w:val="26"/>
        </w:rPr>
        <w:t>” because “[i]</w:t>
      </w:r>
      <w:r w:rsidR="00AF21F5" w:rsidRPr="006A067B">
        <w:rPr>
          <w:sz w:val="26"/>
          <w:szCs w:val="26"/>
        </w:rPr>
        <w:t>t appears that it was more of an administrative or technical error, rather than willful fraud or misrepresentation on the part of the Respondent</w:t>
      </w:r>
      <w:r w:rsidR="00AF21F5">
        <w:rPr>
          <w:sz w:val="26"/>
          <w:szCs w:val="26"/>
        </w:rPr>
        <w:t>,” is not supported by the record</w:t>
      </w:r>
      <w:r w:rsidR="00264A9E">
        <w:rPr>
          <w:sz w:val="26"/>
          <w:szCs w:val="26"/>
        </w:rPr>
        <w:t>.</w:t>
      </w:r>
      <w:r w:rsidR="00AF21F5">
        <w:rPr>
          <w:sz w:val="26"/>
          <w:szCs w:val="26"/>
        </w:rPr>
        <w:t xml:space="preserve">  Rather, we find the conduct of Choice Energy to be of a serious nature because the record </w:t>
      </w:r>
      <w:bookmarkStart w:id="6" w:name="_Hlk526426568"/>
      <w:r w:rsidR="00AF21F5" w:rsidRPr="002F69B3">
        <w:rPr>
          <w:sz w:val="26"/>
          <w:szCs w:val="26"/>
        </w:rPr>
        <w:t xml:space="preserve">demonstrates that on numerous occasions the Complainant </w:t>
      </w:r>
      <w:r w:rsidR="00AF21F5">
        <w:rPr>
          <w:sz w:val="26"/>
          <w:szCs w:val="26"/>
        </w:rPr>
        <w:t>asked Choice Energy</w:t>
      </w:r>
      <w:r w:rsidR="00AF21F5" w:rsidRPr="002F69B3">
        <w:rPr>
          <w:sz w:val="26"/>
          <w:szCs w:val="26"/>
        </w:rPr>
        <w:t xml:space="preserve"> not to call </w:t>
      </w:r>
      <w:r w:rsidR="00AF21F5">
        <w:rPr>
          <w:sz w:val="26"/>
          <w:szCs w:val="26"/>
        </w:rPr>
        <w:t xml:space="preserve">him </w:t>
      </w:r>
      <w:r w:rsidR="00AF21F5" w:rsidRPr="002F69B3">
        <w:rPr>
          <w:sz w:val="26"/>
          <w:szCs w:val="26"/>
        </w:rPr>
        <w:t>and to place hi</w:t>
      </w:r>
      <w:r w:rsidR="00AF21F5">
        <w:rPr>
          <w:sz w:val="26"/>
          <w:szCs w:val="26"/>
        </w:rPr>
        <w:t xml:space="preserve">s telephone number </w:t>
      </w:r>
      <w:r w:rsidR="00AF21F5" w:rsidRPr="002F69B3">
        <w:rPr>
          <w:sz w:val="26"/>
          <w:szCs w:val="26"/>
        </w:rPr>
        <w:t xml:space="preserve">on </w:t>
      </w:r>
      <w:r w:rsidR="00AF21F5">
        <w:rPr>
          <w:sz w:val="26"/>
          <w:szCs w:val="26"/>
        </w:rPr>
        <w:t xml:space="preserve">the do-not-call </w:t>
      </w:r>
      <w:r w:rsidR="00AF21F5" w:rsidRPr="002F69B3">
        <w:rPr>
          <w:sz w:val="26"/>
          <w:szCs w:val="26"/>
        </w:rPr>
        <w:t>list.</w:t>
      </w:r>
      <w:r w:rsidR="00AF21F5">
        <w:rPr>
          <w:sz w:val="26"/>
          <w:szCs w:val="26"/>
        </w:rPr>
        <w:t xml:space="preserve">  </w:t>
      </w:r>
      <w:r w:rsidR="00264A9E">
        <w:rPr>
          <w:sz w:val="26"/>
          <w:szCs w:val="26"/>
        </w:rPr>
        <w:t xml:space="preserve">We take seriously EGS’ violations of the Commission’s Regulations regarding marketing and sales practices, as well as violations of </w:t>
      </w:r>
      <w:r w:rsidR="00A635EB">
        <w:rPr>
          <w:sz w:val="26"/>
          <w:szCs w:val="26"/>
        </w:rPr>
        <w:t>the federal Telemarketing Act.</w:t>
      </w:r>
      <w:r w:rsidR="00264A9E">
        <w:rPr>
          <w:sz w:val="26"/>
          <w:szCs w:val="26"/>
        </w:rPr>
        <w:t xml:space="preserve"> </w:t>
      </w:r>
      <w:r w:rsidR="00EF7D95">
        <w:rPr>
          <w:sz w:val="26"/>
          <w:szCs w:val="26"/>
        </w:rPr>
        <w:t xml:space="preserve"> </w:t>
      </w:r>
      <w:r w:rsidR="00264A9E">
        <w:rPr>
          <w:sz w:val="26"/>
          <w:szCs w:val="26"/>
        </w:rPr>
        <w:t>As</w:t>
      </w:r>
      <w:r w:rsidR="00AF21F5">
        <w:rPr>
          <w:sz w:val="26"/>
          <w:szCs w:val="26"/>
        </w:rPr>
        <w:t xml:space="preserve"> the Complainant explained</w:t>
      </w:r>
      <w:r w:rsidR="00264A9E">
        <w:rPr>
          <w:sz w:val="26"/>
          <w:szCs w:val="26"/>
        </w:rPr>
        <w:t>,</w:t>
      </w:r>
      <w:r w:rsidR="00AF21F5">
        <w:rPr>
          <w:sz w:val="26"/>
          <w:szCs w:val="26"/>
        </w:rPr>
        <w:t xml:space="preserve"> Choice Energy never honored his request because he continued to receive telephone calls from Choice Energy as demonstrated in the Complainant’s Exhibit 1 which includes copies of photographs of his Caller ID displaying various telephone numbers that belonged to Choice Energy.</w:t>
      </w:r>
      <w:r w:rsidR="00AF21F5">
        <w:rPr>
          <w:rStyle w:val="FootnoteReference"/>
          <w:sz w:val="26"/>
          <w:szCs w:val="26"/>
        </w:rPr>
        <w:footnoteReference w:id="5"/>
      </w:r>
      <w:r w:rsidR="00AF21F5">
        <w:rPr>
          <w:sz w:val="26"/>
          <w:szCs w:val="26"/>
        </w:rPr>
        <w:t xml:space="preserve">  Tr. at 13-14.</w:t>
      </w:r>
      <w:bookmarkEnd w:id="6"/>
      <w:r w:rsidR="00AF21F5">
        <w:rPr>
          <w:sz w:val="26"/>
          <w:szCs w:val="26"/>
        </w:rPr>
        <w:t xml:space="preserve">  The Complainant testified that Choice Energy never removed his telephone number until after Choice Energy received his Complaint.  In this regard, the Complainant testified as follows:</w:t>
      </w:r>
    </w:p>
    <w:p w:rsidR="00AF21F5" w:rsidRDefault="00AF21F5" w:rsidP="00AF21F5">
      <w:pPr>
        <w:widowControl/>
        <w:spacing w:line="360" w:lineRule="auto"/>
        <w:ind w:firstLine="720"/>
        <w:rPr>
          <w:sz w:val="26"/>
          <w:szCs w:val="26"/>
        </w:rPr>
      </w:pPr>
    </w:p>
    <w:p w:rsidR="00AF21F5" w:rsidRDefault="00AF21F5" w:rsidP="00AF21F5">
      <w:pPr>
        <w:widowControl/>
        <w:ind w:left="1440" w:right="1440" w:firstLine="720"/>
        <w:rPr>
          <w:sz w:val="26"/>
          <w:szCs w:val="26"/>
        </w:rPr>
      </w:pPr>
      <w:r w:rsidRPr="000C79D1">
        <w:rPr>
          <w:sz w:val="26"/>
          <w:szCs w:val="26"/>
        </w:rPr>
        <w:lastRenderedPageBreak/>
        <w:t>At that time on my Caller-ID, there were just two phone numbers and that</w:t>
      </w:r>
      <w:r>
        <w:rPr>
          <w:sz w:val="26"/>
          <w:szCs w:val="26"/>
        </w:rPr>
        <w:t>’</w:t>
      </w:r>
      <w:r w:rsidRPr="000C79D1">
        <w:rPr>
          <w:sz w:val="26"/>
          <w:szCs w:val="26"/>
        </w:rPr>
        <w:t xml:space="preserve">s what was in the original complaint. </w:t>
      </w:r>
      <w:r>
        <w:rPr>
          <w:sz w:val="26"/>
          <w:szCs w:val="26"/>
        </w:rPr>
        <w:t xml:space="preserve"> </w:t>
      </w:r>
      <w:r w:rsidRPr="000C79D1">
        <w:rPr>
          <w:sz w:val="26"/>
          <w:szCs w:val="26"/>
        </w:rPr>
        <w:t>The 908-428-4714, and the 610-628-9792.</w:t>
      </w:r>
      <w:r>
        <w:rPr>
          <w:sz w:val="26"/>
          <w:szCs w:val="26"/>
        </w:rPr>
        <w:t xml:space="preserve"> </w:t>
      </w:r>
      <w:r w:rsidRPr="000C79D1">
        <w:rPr>
          <w:sz w:val="26"/>
          <w:szCs w:val="26"/>
        </w:rPr>
        <w:t xml:space="preserve"> I even spoke to a couple of them, I asked for their supervisor and they said, you know, they would take care of it, it would take a couple of days to co</w:t>
      </w:r>
      <w:r>
        <w:rPr>
          <w:sz w:val="26"/>
          <w:szCs w:val="26"/>
        </w:rPr>
        <w:t>m</w:t>
      </w:r>
      <w:r w:rsidRPr="000C79D1">
        <w:rPr>
          <w:sz w:val="26"/>
          <w:szCs w:val="26"/>
        </w:rPr>
        <w:t>e off their calling list.</w:t>
      </w:r>
      <w:r>
        <w:rPr>
          <w:sz w:val="26"/>
          <w:szCs w:val="26"/>
        </w:rPr>
        <w:t xml:space="preserve"> </w:t>
      </w:r>
      <w:r w:rsidRPr="000C79D1">
        <w:rPr>
          <w:sz w:val="26"/>
          <w:szCs w:val="26"/>
        </w:rPr>
        <w:t xml:space="preserve"> I thought that would be fine, but it kept on continuing.</w:t>
      </w:r>
    </w:p>
    <w:p w:rsidR="00AF21F5" w:rsidRDefault="00AF21F5" w:rsidP="00AF21F5">
      <w:pPr>
        <w:widowControl/>
        <w:ind w:left="1440" w:right="1440" w:firstLine="720"/>
        <w:rPr>
          <w:sz w:val="26"/>
          <w:szCs w:val="26"/>
        </w:rPr>
      </w:pPr>
    </w:p>
    <w:p w:rsidR="00AF21F5" w:rsidRDefault="00AF21F5" w:rsidP="00AF21F5">
      <w:pPr>
        <w:widowControl/>
        <w:ind w:left="1440" w:right="1440" w:firstLine="720"/>
        <w:rPr>
          <w:sz w:val="26"/>
          <w:szCs w:val="26"/>
        </w:rPr>
      </w:pPr>
      <w:r w:rsidRPr="00641655">
        <w:rPr>
          <w:sz w:val="26"/>
          <w:szCs w:val="26"/>
        </w:rPr>
        <w:t xml:space="preserve">I even got one person from the telemarketer telling me that she was going to call me repeadily </w:t>
      </w:r>
      <w:r>
        <w:rPr>
          <w:sz w:val="26"/>
          <w:szCs w:val="26"/>
        </w:rPr>
        <w:t>[</w:t>
      </w:r>
      <w:r w:rsidRPr="00641655">
        <w:rPr>
          <w:i/>
          <w:sz w:val="26"/>
          <w:szCs w:val="26"/>
        </w:rPr>
        <w:t>sic</w:t>
      </w:r>
      <w:r>
        <w:rPr>
          <w:sz w:val="26"/>
          <w:szCs w:val="26"/>
        </w:rPr>
        <w:t xml:space="preserve">] </w:t>
      </w:r>
      <w:r w:rsidRPr="00641655">
        <w:rPr>
          <w:sz w:val="26"/>
          <w:szCs w:val="26"/>
        </w:rPr>
        <w:t>all night long, very fresh and very arrogant</w:t>
      </w:r>
      <w:r>
        <w:rPr>
          <w:sz w:val="26"/>
          <w:szCs w:val="26"/>
        </w:rPr>
        <w:t xml:space="preserve">. </w:t>
      </w:r>
      <w:r w:rsidRPr="00641655">
        <w:rPr>
          <w:sz w:val="26"/>
          <w:szCs w:val="26"/>
        </w:rPr>
        <w:t xml:space="preserve"> So, like I said before, that was the reason for the complaint.</w:t>
      </w:r>
    </w:p>
    <w:p w:rsidR="00AF21F5" w:rsidRDefault="00AF21F5" w:rsidP="00AF21F5">
      <w:pPr>
        <w:widowControl/>
        <w:ind w:left="1440" w:right="1440" w:firstLine="720"/>
        <w:rPr>
          <w:sz w:val="26"/>
          <w:szCs w:val="26"/>
        </w:rPr>
      </w:pPr>
    </w:p>
    <w:p w:rsidR="00AF21F5" w:rsidRDefault="00AF21F5" w:rsidP="00AF21F5">
      <w:pPr>
        <w:widowControl/>
        <w:ind w:left="1440" w:right="1440" w:firstLine="720"/>
        <w:rPr>
          <w:sz w:val="26"/>
          <w:szCs w:val="26"/>
        </w:rPr>
      </w:pPr>
    </w:p>
    <w:p w:rsidR="00AF21F5" w:rsidRDefault="00AF21F5" w:rsidP="00AF21F5">
      <w:pPr>
        <w:widowControl/>
        <w:spacing w:line="360" w:lineRule="auto"/>
        <w:rPr>
          <w:sz w:val="26"/>
          <w:szCs w:val="26"/>
        </w:rPr>
      </w:pPr>
      <w:r>
        <w:rPr>
          <w:sz w:val="26"/>
          <w:szCs w:val="26"/>
        </w:rPr>
        <w:t xml:space="preserve">Tr. at 14.  For these reasons, </w:t>
      </w:r>
      <w:r w:rsidR="0050601C">
        <w:rPr>
          <w:sz w:val="26"/>
          <w:szCs w:val="26"/>
        </w:rPr>
        <w:t xml:space="preserve">any inconsistency Choice Energy perceived in the ALJ’s findings is no longer at issue, and </w:t>
      </w:r>
      <w:r>
        <w:rPr>
          <w:sz w:val="26"/>
          <w:szCs w:val="26"/>
        </w:rPr>
        <w:t xml:space="preserve">we shall </w:t>
      </w:r>
      <w:r w:rsidR="00A635EB">
        <w:rPr>
          <w:sz w:val="26"/>
          <w:szCs w:val="26"/>
        </w:rPr>
        <w:t>deny</w:t>
      </w:r>
      <w:r>
        <w:rPr>
          <w:sz w:val="26"/>
          <w:szCs w:val="26"/>
        </w:rPr>
        <w:t xml:space="preserve"> Choice Energy’s second Exception.  </w:t>
      </w:r>
    </w:p>
    <w:p w:rsidR="0063252E" w:rsidRDefault="0063252E" w:rsidP="009B5DAF">
      <w:pPr>
        <w:widowControl/>
        <w:spacing w:line="360" w:lineRule="auto"/>
        <w:ind w:firstLine="720"/>
        <w:rPr>
          <w:sz w:val="26"/>
          <w:szCs w:val="26"/>
        </w:rPr>
      </w:pPr>
    </w:p>
    <w:p w:rsidR="009B5DAF" w:rsidRDefault="009B5DAF" w:rsidP="009B5DAF">
      <w:pPr>
        <w:widowControl/>
        <w:spacing w:line="360" w:lineRule="auto"/>
        <w:ind w:firstLine="720"/>
        <w:rPr>
          <w:sz w:val="26"/>
          <w:szCs w:val="26"/>
        </w:rPr>
      </w:pPr>
      <w:r>
        <w:rPr>
          <w:sz w:val="26"/>
          <w:szCs w:val="26"/>
        </w:rPr>
        <w:tab/>
        <w:t>In its third and final Exception, Choice Energy disagrees with the ALJ’s finding that a higher penalty was warranted based on her evaluation of the tenth factor in the Commission’s Civil Penalty Policy Statement that pertains to “other relevant factors.”  With regard to the tenth factor, the ALJ determined that this factor supports a higher civil penalty because “[t]here is no evidence in the record that [Choice Energy] was properly recording the telephone calls to the Complainant,” and “[t]here is nothing in the record to rebut Mr. Krain’s assertions.”  Choice Energy argues that the recording of telemarketing calls was not part of the original complaint or part of the record in this case, and the ruling of a higher penalty for this factor is both unfair and unwarranted.</w:t>
      </w:r>
    </w:p>
    <w:p w:rsidR="00AF21F5" w:rsidRDefault="00AF21F5" w:rsidP="009B5DAF">
      <w:pPr>
        <w:widowControl/>
        <w:spacing w:line="360" w:lineRule="auto"/>
        <w:ind w:firstLine="720"/>
        <w:rPr>
          <w:sz w:val="26"/>
          <w:szCs w:val="26"/>
        </w:rPr>
      </w:pPr>
    </w:p>
    <w:p w:rsidR="00AF21F5" w:rsidRPr="00882F38" w:rsidRDefault="00AF21F5" w:rsidP="00AF21F5">
      <w:pPr>
        <w:widowControl/>
        <w:spacing w:line="360" w:lineRule="auto"/>
        <w:ind w:firstLine="720"/>
        <w:rPr>
          <w:sz w:val="26"/>
          <w:szCs w:val="26"/>
        </w:rPr>
      </w:pPr>
      <w:r>
        <w:rPr>
          <w:sz w:val="26"/>
          <w:szCs w:val="26"/>
        </w:rPr>
        <w:tab/>
        <w:t xml:space="preserve">We agree with Choice Energy that there is no evidence in the record regarding this matter and we do not find this as sufficient reason to assess a higher penalty under this criterion.  </w:t>
      </w:r>
      <w:r w:rsidR="00D9386D">
        <w:rPr>
          <w:sz w:val="26"/>
          <w:szCs w:val="26"/>
        </w:rPr>
        <w:t xml:space="preserve">For this reason, we shall grant Choice Energy’s Exception on this issue in limited part.  </w:t>
      </w:r>
      <w:r>
        <w:rPr>
          <w:sz w:val="26"/>
          <w:szCs w:val="26"/>
        </w:rPr>
        <w:t xml:space="preserve">Nevertheless, </w:t>
      </w:r>
      <w:r w:rsidR="004914AA">
        <w:rPr>
          <w:sz w:val="26"/>
          <w:szCs w:val="26"/>
        </w:rPr>
        <w:t xml:space="preserve">as discussed, </w:t>
      </w:r>
      <w:r w:rsidR="004914AA">
        <w:rPr>
          <w:i/>
          <w:sz w:val="26"/>
          <w:szCs w:val="26"/>
        </w:rPr>
        <w:t>infra</w:t>
      </w:r>
      <w:r w:rsidR="001414E4">
        <w:rPr>
          <w:sz w:val="26"/>
          <w:szCs w:val="26"/>
        </w:rPr>
        <w:t>,</w:t>
      </w:r>
      <w:r w:rsidR="001414E4">
        <w:rPr>
          <w:i/>
          <w:sz w:val="26"/>
          <w:szCs w:val="26"/>
        </w:rPr>
        <w:t xml:space="preserve"> </w:t>
      </w:r>
      <w:r w:rsidR="001414E4" w:rsidRPr="001414E4">
        <w:rPr>
          <w:sz w:val="26"/>
          <w:szCs w:val="26"/>
        </w:rPr>
        <w:t xml:space="preserve">our determination to </w:t>
      </w:r>
      <w:r w:rsidR="00E47C1A">
        <w:rPr>
          <w:sz w:val="26"/>
          <w:szCs w:val="26"/>
        </w:rPr>
        <w:t xml:space="preserve">grant this Exception </w:t>
      </w:r>
      <w:r w:rsidR="00455BF4">
        <w:rPr>
          <w:sz w:val="26"/>
          <w:szCs w:val="26"/>
        </w:rPr>
        <w:t xml:space="preserve">does </w:t>
      </w:r>
      <w:r w:rsidR="00E47C1A">
        <w:rPr>
          <w:sz w:val="26"/>
          <w:szCs w:val="26"/>
        </w:rPr>
        <w:t xml:space="preserve">not deter </w:t>
      </w:r>
      <w:r w:rsidR="00455BF4">
        <w:rPr>
          <w:sz w:val="26"/>
          <w:szCs w:val="26"/>
        </w:rPr>
        <w:t xml:space="preserve">us </w:t>
      </w:r>
      <w:r w:rsidR="00E47C1A">
        <w:rPr>
          <w:sz w:val="26"/>
          <w:szCs w:val="26"/>
        </w:rPr>
        <w:t xml:space="preserve">from our decision to assess a higher penalty </w:t>
      </w:r>
      <w:r w:rsidR="001414E4" w:rsidRPr="001414E4">
        <w:rPr>
          <w:sz w:val="26"/>
          <w:szCs w:val="26"/>
        </w:rPr>
        <w:t xml:space="preserve">against </w:t>
      </w:r>
      <w:r w:rsidR="001414E4" w:rsidRPr="001414E4">
        <w:rPr>
          <w:sz w:val="26"/>
          <w:szCs w:val="26"/>
        </w:rPr>
        <w:lastRenderedPageBreak/>
        <w:t>Choice Energy</w:t>
      </w:r>
      <w:r w:rsidR="005028FB">
        <w:rPr>
          <w:sz w:val="26"/>
          <w:szCs w:val="26"/>
        </w:rPr>
        <w:t xml:space="preserve"> under other </w:t>
      </w:r>
      <w:r w:rsidR="00671CDD">
        <w:rPr>
          <w:sz w:val="26"/>
          <w:szCs w:val="26"/>
        </w:rPr>
        <w:t xml:space="preserve">pertinent </w:t>
      </w:r>
      <w:r w:rsidR="005028FB">
        <w:rPr>
          <w:sz w:val="26"/>
          <w:szCs w:val="26"/>
        </w:rPr>
        <w:t xml:space="preserve">factors </w:t>
      </w:r>
      <w:r w:rsidR="00671CDD">
        <w:rPr>
          <w:sz w:val="26"/>
          <w:szCs w:val="26"/>
        </w:rPr>
        <w:t xml:space="preserve">addressing the </w:t>
      </w:r>
      <w:r w:rsidR="00455BF4">
        <w:rPr>
          <w:sz w:val="26"/>
          <w:szCs w:val="26"/>
        </w:rPr>
        <w:t xml:space="preserve">appropriate </w:t>
      </w:r>
      <w:r w:rsidR="00671CDD">
        <w:rPr>
          <w:sz w:val="26"/>
          <w:szCs w:val="26"/>
        </w:rPr>
        <w:t>magnitude of the penalt</w:t>
      </w:r>
      <w:r w:rsidR="00455BF4">
        <w:rPr>
          <w:sz w:val="26"/>
          <w:szCs w:val="26"/>
        </w:rPr>
        <w:t>y.</w:t>
      </w:r>
    </w:p>
    <w:p w:rsidR="00AF21F5" w:rsidRDefault="00AF21F5" w:rsidP="009B5DAF">
      <w:pPr>
        <w:widowControl/>
        <w:spacing w:line="360" w:lineRule="auto"/>
        <w:ind w:firstLine="720"/>
        <w:rPr>
          <w:sz w:val="26"/>
          <w:szCs w:val="26"/>
        </w:rPr>
      </w:pPr>
    </w:p>
    <w:p w:rsidR="0063252E" w:rsidRDefault="0063252E" w:rsidP="0063252E">
      <w:pPr>
        <w:widowControl/>
        <w:spacing w:line="360" w:lineRule="auto"/>
        <w:ind w:firstLine="720"/>
        <w:rPr>
          <w:sz w:val="26"/>
          <w:szCs w:val="26"/>
        </w:rPr>
      </w:pPr>
      <w:r>
        <w:rPr>
          <w:sz w:val="26"/>
          <w:szCs w:val="26"/>
        </w:rPr>
        <w:tab/>
      </w:r>
      <w:r w:rsidRPr="004D39B6">
        <w:rPr>
          <w:sz w:val="26"/>
          <w:szCs w:val="26"/>
        </w:rPr>
        <w:t>The Complainant</w:t>
      </w:r>
      <w:r>
        <w:rPr>
          <w:sz w:val="26"/>
          <w:szCs w:val="26"/>
        </w:rPr>
        <w:t>’s</w:t>
      </w:r>
      <w:r w:rsidRPr="004D39B6">
        <w:rPr>
          <w:sz w:val="26"/>
          <w:szCs w:val="26"/>
        </w:rPr>
        <w:t xml:space="preserve"> Exception</w:t>
      </w:r>
      <w:r>
        <w:rPr>
          <w:sz w:val="26"/>
          <w:szCs w:val="26"/>
        </w:rPr>
        <w:t>s</w:t>
      </w:r>
      <w:r w:rsidRPr="004D39B6">
        <w:rPr>
          <w:sz w:val="26"/>
          <w:szCs w:val="26"/>
        </w:rPr>
        <w:t xml:space="preserve"> </w:t>
      </w:r>
      <w:r>
        <w:rPr>
          <w:sz w:val="26"/>
          <w:szCs w:val="26"/>
        </w:rPr>
        <w:t xml:space="preserve">consist of a </w:t>
      </w:r>
      <w:r w:rsidRPr="004D39B6">
        <w:rPr>
          <w:sz w:val="26"/>
          <w:szCs w:val="26"/>
        </w:rPr>
        <w:t>one</w:t>
      </w:r>
      <w:r>
        <w:rPr>
          <w:sz w:val="26"/>
          <w:szCs w:val="26"/>
        </w:rPr>
        <w:t>-</w:t>
      </w:r>
      <w:r w:rsidRPr="004D39B6">
        <w:rPr>
          <w:sz w:val="26"/>
          <w:szCs w:val="26"/>
        </w:rPr>
        <w:t xml:space="preserve">page type written letter in which </w:t>
      </w:r>
      <w:r w:rsidR="00FC109C">
        <w:rPr>
          <w:sz w:val="26"/>
          <w:szCs w:val="26"/>
        </w:rPr>
        <w:t>he</w:t>
      </w:r>
      <w:r w:rsidRPr="004D39B6">
        <w:rPr>
          <w:sz w:val="26"/>
          <w:szCs w:val="26"/>
        </w:rPr>
        <w:t xml:space="preserve"> </w:t>
      </w:r>
      <w:r>
        <w:rPr>
          <w:sz w:val="26"/>
          <w:szCs w:val="26"/>
        </w:rPr>
        <w:t>contends</w:t>
      </w:r>
      <w:r w:rsidRPr="004D39B6">
        <w:rPr>
          <w:sz w:val="26"/>
          <w:szCs w:val="26"/>
        </w:rPr>
        <w:t xml:space="preserve"> that</w:t>
      </w:r>
      <w:r>
        <w:rPr>
          <w:sz w:val="26"/>
          <w:szCs w:val="26"/>
        </w:rPr>
        <w:t xml:space="preserve"> the ALJ erred in the amount of the penalty she directed in her Initial Decision based on her evaluation</w:t>
      </w:r>
      <w:r w:rsidRPr="004D39B6">
        <w:rPr>
          <w:sz w:val="26"/>
          <w:szCs w:val="26"/>
        </w:rPr>
        <w:t xml:space="preserve"> </w:t>
      </w:r>
      <w:r>
        <w:rPr>
          <w:sz w:val="26"/>
          <w:szCs w:val="26"/>
        </w:rPr>
        <w:t xml:space="preserve">of the third, eighth, ninth and tenth factors contained in the Commission’s Civil Penalty Policy Statement.  The Complainant requests that the Commission assess a civil penalty greater than the $1,000 that the ALJ found to be appropriate; however, the Complainant did not suggest a </w:t>
      </w:r>
      <w:r w:rsidR="00D9386D">
        <w:rPr>
          <w:sz w:val="26"/>
          <w:szCs w:val="26"/>
        </w:rPr>
        <w:t xml:space="preserve">specific </w:t>
      </w:r>
      <w:r>
        <w:rPr>
          <w:sz w:val="26"/>
          <w:szCs w:val="26"/>
        </w:rPr>
        <w:t xml:space="preserve">amount in support of his Exception. </w:t>
      </w:r>
      <w:r w:rsidRPr="004D39B6">
        <w:rPr>
          <w:sz w:val="26"/>
          <w:szCs w:val="26"/>
        </w:rPr>
        <w:t xml:space="preserve"> </w:t>
      </w:r>
      <w:r>
        <w:rPr>
          <w:sz w:val="26"/>
          <w:szCs w:val="26"/>
        </w:rPr>
        <w:t>Complainant Exc. at 1.</w:t>
      </w:r>
    </w:p>
    <w:p w:rsidR="0063252E" w:rsidRDefault="0063252E" w:rsidP="0063252E">
      <w:pPr>
        <w:widowControl/>
        <w:spacing w:line="360" w:lineRule="auto"/>
        <w:rPr>
          <w:sz w:val="26"/>
          <w:szCs w:val="26"/>
        </w:rPr>
      </w:pPr>
    </w:p>
    <w:p w:rsidR="0063252E" w:rsidRDefault="004E5C86" w:rsidP="0063252E">
      <w:pPr>
        <w:widowControl/>
        <w:spacing w:line="360" w:lineRule="auto"/>
        <w:ind w:firstLine="720"/>
        <w:rPr>
          <w:sz w:val="26"/>
          <w:szCs w:val="26"/>
        </w:rPr>
      </w:pPr>
      <w:r>
        <w:rPr>
          <w:sz w:val="26"/>
          <w:szCs w:val="26"/>
        </w:rPr>
        <w:tab/>
      </w:r>
      <w:r w:rsidR="00CB70D6">
        <w:rPr>
          <w:sz w:val="26"/>
          <w:szCs w:val="26"/>
        </w:rPr>
        <w:t xml:space="preserve">Based on our review of the record in this case, we </w:t>
      </w:r>
      <w:r w:rsidR="00FC109C">
        <w:rPr>
          <w:sz w:val="26"/>
          <w:szCs w:val="26"/>
        </w:rPr>
        <w:t xml:space="preserve">agree with the Complainant that a civil penalty greater than the $1,000 </w:t>
      </w:r>
      <w:r w:rsidR="00A463FD">
        <w:rPr>
          <w:sz w:val="26"/>
          <w:szCs w:val="26"/>
        </w:rPr>
        <w:t>recommended by the ALJ is warranted.</w:t>
      </w:r>
      <w:r w:rsidR="00CB70D6">
        <w:rPr>
          <w:sz w:val="26"/>
          <w:szCs w:val="26"/>
        </w:rPr>
        <w:t xml:space="preserve">  </w:t>
      </w:r>
      <w:r w:rsidR="00A463FD">
        <w:rPr>
          <w:sz w:val="26"/>
          <w:szCs w:val="26"/>
        </w:rPr>
        <w:t>F</w:t>
      </w:r>
      <w:r w:rsidR="00CB70D6">
        <w:rPr>
          <w:sz w:val="26"/>
          <w:szCs w:val="26"/>
        </w:rPr>
        <w:t xml:space="preserve">or the reasons explained below, we find </w:t>
      </w:r>
      <w:r w:rsidR="00A463FD">
        <w:rPr>
          <w:sz w:val="26"/>
          <w:szCs w:val="26"/>
        </w:rPr>
        <w:t xml:space="preserve">that </w:t>
      </w:r>
      <w:r w:rsidR="00CB70D6">
        <w:rPr>
          <w:sz w:val="26"/>
          <w:szCs w:val="26"/>
        </w:rPr>
        <w:t xml:space="preserve">a $5,000 civil penalty </w:t>
      </w:r>
      <w:r w:rsidR="00A463FD">
        <w:rPr>
          <w:sz w:val="26"/>
          <w:szCs w:val="26"/>
        </w:rPr>
        <w:t xml:space="preserve">is more </w:t>
      </w:r>
      <w:r w:rsidR="00CB70D6">
        <w:rPr>
          <w:sz w:val="26"/>
          <w:szCs w:val="26"/>
        </w:rPr>
        <w:t xml:space="preserve">appropriate under the circumstances in this case.  </w:t>
      </w:r>
      <w:r w:rsidR="0063252E" w:rsidRPr="0063252E">
        <w:rPr>
          <w:sz w:val="26"/>
          <w:szCs w:val="26"/>
        </w:rPr>
        <w:t>Historically, th</w:t>
      </w:r>
      <w:r w:rsidR="00A463FD">
        <w:rPr>
          <w:sz w:val="26"/>
          <w:szCs w:val="26"/>
        </w:rPr>
        <w:t>is</w:t>
      </w:r>
      <w:r w:rsidR="0063252E" w:rsidRPr="0063252E">
        <w:rPr>
          <w:sz w:val="26"/>
          <w:szCs w:val="26"/>
        </w:rPr>
        <w:t xml:space="preserve"> Commission has not hesitated to enforce its </w:t>
      </w:r>
      <w:r w:rsidR="00D9386D">
        <w:rPr>
          <w:sz w:val="26"/>
          <w:szCs w:val="26"/>
        </w:rPr>
        <w:t>R</w:t>
      </w:r>
      <w:r w:rsidR="0063252E" w:rsidRPr="0063252E">
        <w:rPr>
          <w:sz w:val="26"/>
          <w:szCs w:val="26"/>
        </w:rPr>
        <w:t xml:space="preserve">egulations regarding marketing and sales practices. </w:t>
      </w:r>
      <w:r w:rsidR="00AF21F5">
        <w:rPr>
          <w:sz w:val="26"/>
          <w:szCs w:val="26"/>
        </w:rPr>
        <w:t xml:space="preserve"> </w:t>
      </w:r>
      <w:r w:rsidR="00A463FD">
        <w:rPr>
          <w:sz w:val="26"/>
          <w:szCs w:val="26"/>
        </w:rPr>
        <w:t xml:space="preserve">We </w:t>
      </w:r>
      <w:r w:rsidR="0063252E" w:rsidRPr="0063252E">
        <w:rPr>
          <w:sz w:val="26"/>
          <w:szCs w:val="26"/>
        </w:rPr>
        <w:t>ha</w:t>
      </w:r>
      <w:r w:rsidR="00A463FD">
        <w:rPr>
          <w:sz w:val="26"/>
          <w:szCs w:val="26"/>
        </w:rPr>
        <w:t>ve</w:t>
      </w:r>
      <w:r w:rsidR="0063252E" w:rsidRPr="0063252E">
        <w:rPr>
          <w:sz w:val="26"/>
          <w:szCs w:val="26"/>
        </w:rPr>
        <w:t xml:space="preserve"> imposed civil penalties on EGSs that violate </w:t>
      </w:r>
      <w:r w:rsidR="00A463FD">
        <w:rPr>
          <w:sz w:val="26"/>
          <w:szCs w:val="26"/>
        </w:rPr>
        <w:t xml:space="preserve">our </w:t>
      </w:r>
      <w:r w:rsidR="00D9386D">
        <w:rPr>
          <w:sz w:val="26"/>
          <w:szCs w:val="26"/>
        </w:rPr>
        <w:t>R</w:t>
      </w:r>
      <w:r w:rsidR="0063252E" w:rsidRPr="0063252E">
        <w:rPr>
          <w:sz w:val="26"/>
          <w:szCs w:val="26"/>
        </w:rPr>
        <w:t xml:space="preserve">egulations as well as the federal Telemarketing </w:t>
      </w:r>
      <w:r w:rsidR="0048417E">
        <w:rPr>
          <w:sz w:val="26"/>
          <w:szCs w:val="26"/>
        </w:rPr>
        <w:t xml:space="preserve">and Consumer Fraud and Abuse Prevention </w:t>
      </w:r>
      <w:r w:rsidR="00D9386D">
        <w:rPr>
          <w:sz w:val="26"/>
          <w:szCs w:val="26"/>
        </w:rPr>
        <w:t>Ac</w:t>
      </w:r>
      <w:r w:rsidR="00F11231">
        <w:rPr>
          <w:sz w:val="26"/>
          <w:szCs w:val="26"/>
        </w:rPr>
        <w:t>t</w:t>
      </w:r>
      <w:r w:rsidR="0048417E">
        <w:rPr>
          <w:sz w:val="26"/>
          <w:szCs w:val="26"/>
        </w:rPr>
        <w:t>, 15 U.S.C. §§6101-6108, and 16 CFR Part 310</w:t>
      </w:r>
      <w:r w:rsidR="00381BD2">
        <w:rPr>
          <w:sz w:val="26"/>
          <w:szCs w:val="26"/>
        </w:rPr>
        <w:t>.</w:t>
      </w:r>
      <w:r>
        <w:rPr>
          <w:rStyle w:val="FootnoteReference"/>
          <w:sz w:val="26"/>
          <w:szCs w:val="26"/>
        </w:rPr>
        <w:footnoteReference w:id="6"/>
      </w:r>
      <w:r w:rsidR="0063252E" w:rsidRPr="0063252E">
        <w:rPr>
          <w:sz w:val="26"/>
          <w:szCs w:val="26"/>
        </w:rPr>
        <w:t xml:space="preserve"> </w:t>
      </w:r>
      <w:r w:rsidR="00AF21F5">
        <w:rPr>
          <w:sz w:val="26"/>
          <w:szCs w:val="26"/>
        </w:rPr>
        <w:t xml:space="preserve"> </w:t>
      </w:r>
      <w:r w:rsidR="0063252E" w:rsidRPr="0063252E">
        <w:rPr>
          <w:sz w:val="26"/>
          <w:szCs w:val="26"/>
        </w:rPr>
        <w:t>The penalties are determined upon evaluation of certain factors in litigated and settled cases to determine if a fine is appropriate</w:t>
      </w:r>
      <w:r w:rsidR="00D9386D">
        <w:rPr>
          <w:sz w:val="26"/>
          <w:szCs w:val="26"/>
        </w:rPr>
        <w:t>, consistent with our Civil Penalty Policy Statement</w:t>
      </w:r>
      <w:r w:rsidR="0063252E" w:rsidRPr="0063252E">
        <w:rPr>
          <w:sz w:val="26"/>
          <w:szCs w:val="26"/>
        </w:rPr>
        <w:t xml:space="preserve">. </w:t>
      </w:r>
      <w:r w:rsidR="00AF21F5">
        <w:rPr>
          <w:sz w:val="26"/>
          <w:szCs w:val="26"/>
        </w:rPr>
        <w:t xml:space="preserve"> </w:t>
      </w:r>
      <w:r w:rsidR="0063252E" w:rsidRPr="0063252E">
        <w:rPr>
          <w:sz w:val="26"/>
          <w:szCs w:val="26"/>
        </w:rPr>
        <w:t xml:space="preserve">Those factors include, but are not limited to, whether the violation was intentional or negligent, the compliance history of the regulated entity which committed the violation, the amount necessary to deter future violations, and past Commission decisions in similar situations. </w:t>
      </w:r>
      <w:r w:rsidR="00AF21F5">
        <w:rPr>
          <w:sz w:val="26"/>
          <w:szCs w:val="26"/>
        </w:rPr>
        <w:t xml:space="preserve"> </w:t>
      </w:r>
      <w:r w:rsidR="0063252E" w:rsidRPr="0063252E">
        <w:rPr>
          <w:sz w:val="26"/>
          <w:szCs w:val="26"/>
        </w:rPr>
        <w:t xml:space="preserve">In addition, </w:t>
      </w:r>
      <w:r w:rsidR="003D43DA">
        <w:rPr>
          <w:sz w:val="26"/>
          <w:szCs w:val="26"/>
        </w:rPr>
        <w:t>we</w:t>
      </w:r>
      <w:r w:rsidR="0063252E" w:rsidRPr="0063252E">
        <w:rPr>
          <w:sz w:val="26"/>
          <w:szCs w:val="26"/>
        </w:rPr>
        <w:t xml:space="preserve"> issued further guidance and </w:t>
      </w:r>
      <w:r w:rsidR="0063252E" w:rsidRPr="0063252E">
        <w:rPr>
          <w:sz w:val="26"/>
          <w:szCs w:val="26"/>
        </w:rPr>
        <w:lastRenderedPageBreak/>
        <w:t>reminders to all EGSs because of an escalation of specific marketing practices that were not in compliance with</w:t>
      </w:r>
      <w:r w:rsidR="003D43DA">
        <w:rPr>
          <w:sz w:val="26"/>
          <w:szCs w:val="26"/>
        </w:rPr>
        <w:t xml:space="preserve"> our R</w:t>
      </w:r>
      <w:r w:rsidR="0063252E" w:rsidRPr="0063252E">
        <w:rPr>
          <w:sz w:val="26"/>
          <w:szCs w:val="26"/>
        </w:rPr>
        <w:t>egulations.</w:t>
      </w:r>
      <w:r w:rsidR="0007103D">
        <w:rPr>
          <w:rStyle w:val="FootnoteReference"/>
          <w:sz w:val="26"/>
          <w:szCs w:val="26"/>
        </w:rPr>
        <w:footnoteReference w:id="7"/>
      </w:r>
    </w:p>
    <w:p w:rsidR="004E5C86" w:rsidRPr="0063252E" w:rsidRDefault="004E5C86" w:rsidP="0063252E">
      <w:pPr>
        <w:widowControl/>
        <w:spacing w:line="360" w:lineRule="auto"/>
        <w:ind w:firstLine="720"/>
        <w:rPr>
          <w:sz w:val="26"/>
          <w:szCs w:val="26"/>
        </w:rPr>
      </w:pPr>
    </w:p>
    <w:p w:rsidR="0063252E" w:rsidRDefault="00AF21F5" w:rsidP="0063252E">
      <w:pPr>
        <w:widowControl/>
        <w:spacing w:line="360" w:lineRule="auto"/>
        <w:ind w:firstLine="720"/>
        <w:rPr>
          <w:sz w:val="26"/>
          <w:szCs w:val="26"/>
        </w:rPr>
      </w:pPr>
      <w:r>
        <w:rPr>
          <w:sz w:val="26"/>
          <w:szCs w:val="26"/>
        </w:rPr>
        <w:tab/>
      </w:r>
      <w:r w:rsidR="0063252E" w:rsidRPr="0063252E">
        <w:rPr>
          <w:sz w:val="26"/>
          <w:szCs w:val="26"/>
        </w:rPr>
        <w:t xml:space="preserve">In accordance with </w:t>
      </w:r>
      <w:r w:rsidR="00D9386D">
        <w:rPr>
          <w:sz w:val="26"/>
          <w:szCs w:val="26"/>
        </w:rPr>
        <w:t>our Civil Penalty Policy Statement</w:t>
      </w:r>
      <w:r w:rsidR="001B1B0C">
        <w:rPr>
          <w:sz w:val="26"/>
          <w:szCs w:val="26"/>
        </w:rPr>
        <w:t xml:space="preserve"> at 52 Pa. Code § 69.1201</w:t>
      </w:r>
      <w:r w:rsidR="0063252E" w:rsidRPr="0063252E">
        <w:rPr>
          <w:sz w:val="26"/>
          <w:szCs w:val="26"/>
        </w:rPr>
        <w:t xml:space="preserve">, </w:t>
      </w:r>
      <w:r w:rsidR="00D9386D">
        <w:rPr>
          <w:sz w:val="26"/>
          <w:szCs w:val="26"/>
        </w:rPr>
        <w:t>we</w:t>
      </w:r>
      <w:r w:rsidR="0063252E" w:rsidRPr="0063252E">
        <w:rPr>
          <w:sz w:val="26"/>
          <w:szCs w:val="26"/>
        </w:rPr>
        <w:t xml:space="preserve"> ha</w:t>
      </w:r>
      <w:r w:rsidR="00D9386D">
        <w:rPr>
          <w:sz w:val="26"/>
          <w:szCs w:val="26"/>
        </w:rPr>
        <w:t>ve</w:t>
      </w:r>
      <w:r w:rsidR="0063252E" w:rsidRPr="0063252E">
        <w:rPr>
          <w:sz w:val="26"/>
          <w:szCs w:val="26"/>
        </w:rPr>
        <w:t xml:space="preserve"> imposed civil penalties on EGSs that engage in marketing practices that violate </w:t>
      </w:r>
      <w:r w:rsidR="0063252E" w:rsidRPr="0063252E">
        <w:rPr>
          <w:noProof/>
          <w:sz w:val="26"/>
          <w:szCs w:val="26"/>
        </w:rPr>
        <mc:AlternateContent>
          <mc:Choice Requires="wps">
            <w:drawing>
              <wp:anchor distT="0" distB="0" distL="0" distR="0" simplePos="0" relativeHeight="251660288" behindDoc="0" locked="0" layoutInCell="0" allowOverlap="1" wp14:anchorId="4EA90E6E" wp14:editId="469B6A9A">
                <wp:simplePos x="0" y="0"/>
                <wp:positionH relativeFrom="page">
                  <wp:posOffset>7674610</wp:posOffset>
                </wp:positionH>
                <wp:positionV relativeFrom="page">
                  <wp:posOffset>140335</wp:posOffset>
                </wp:positionV>
                <wp:extent cx="0" cy="244475"/>
                <wp:effectExtent l="0" t="0" r="0" b="0"/>
                <wp:wrapSquare wrapText="bothSides"/>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FF4A6"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04.3pt,11.05pt" to="604.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" o:allowincell="f" strokeweight=".5pt">
                <v:stroke dashstyle="1 1"/>
                <w10:wrap type="square" anchorx="page" anchory="page"/>
              </v:line>
            </w:pict>
          </mc:Fallback>
        </mc:AlternateContent>
      </w:r>
      <w:r w:rsidR="00D9386D">
        <w:rPr>
          <w:sz w:val="26"/>
          <w:szCs w:val="26"/>
        </w:rPr>
        <w:t>our</w:t>
      </w:r>
      <w:r w:rsidR="0063252E" w:rsidRPr="0063252E">
        <w:rPr>
          <w:sz w:val="26"/>
          <w:szCs w:val="26"/>
        </w:rPr>
        <w:t xml:space="preserve"> </w:t>
      </w:r>
      <w:r w:rsidR="00D9386D">
        <w:rPr>
          <w:sz w:val="26"/>
          <w:szCs w:val="26"/>
        </w:rPr>
        <w:t>R</w:t>
      </w:r>
      <w:r w:rsidR="0063252E" w:rsidRPr="0063252E">
        <w:rPr>
          <w:sz w:val="26"/>
          <w:szCs w:val="26"/>
        </w:rPr>
        <w:t>egulations</w:t>
      </w:r>
      <w:r w:rsidR="0068051E">
        <w:rPr>
          <w:sz w:val="26"/>
          <w:szCs w:val="26"/>
        </w:rPr>
        <w:t>,</w:t>
      </w:r>
      <w:r w:rsidR="0063252E" w:rsidRPr="0063252E">
        <w:rPr>
          <w:sz w:val="26"/>
          <w:szCs w:val="26"/>
        </w:rPr>
        <w:t xml:space="preserve"> including failure to promptly place consumers on a do</w:t>
      </w:r>
      <w:r w:rsidR="001B1B0C">
        <w:rPr>
          <w:sz w:val="26"/>
          <w:szCs w:val="26"/>
        </w:rPr>
        <w:t>-</w:t>
      </w:r>
      <w:r w:rsidR="0063252E" w:rsidRPr="0063252E">
        <w:rPr>
          <w:sz w:val="26"/>
          <w:szCs w:val="26"/>
        </w:rPr>
        <w:t>not</w:t>
      </w:r>
      <w:r w:rsidR="001B1B0C">
        <w:rPr>
          <w:sz w:val="26"/>
          <w:szCs w:val="26"/>
        </w:rPr>
        <w:t>-</w:t>
      </w:r>
      <w:r w:rsidR="0063252E" w:rsidRPr="0063252E">
        <w:rPr>
          <w:sz w:val="26"/>
          <w:szCs w:val="26"/>
        </w:rPr>
        <w:t xml:space="preserve">call list. </w:t>
      </w:r>
      <w:r>
        <w:rPr>
          <w:sz w:val="26"/>
          <w:szCs w:val="26"/>
        </w:rPr>
        <w:t xml:space="preserve"> </w:t>
      </w:r>
      <w:r w:rsidR="0063252E" w:rsidRPr="0063252E">
        <w:rPr>
          <w:sz w:val="26"/>
          <w:szCs w:val="26"/>
        </w:rPr>
        <w:t xml:space="preserve">In </w:t>
      </w:r>
      <w:r w:rsidR="0063252E" w:rsidRPr="00DC5831">
        <w:rPr>
          <w:i/>
          <w:sz w:val="26"/>
          <w:szCs w:val="26"/>
        </w:rPr>
        <w:t>I&amp;E</w:t>
      </w:r>
      <w:r w:rsidR="0063252E" w:rsidRPr="0063252E">
        <w:rPr>
          <w:sz w:val="26"/>
          <w:szCs w:val="26"/>
        </w:rPr>
        <w:t xml:space="preserve"> </w:t>
      </w:r>
      <w:r w:rsidR="0063252E" w:rsidRPr="00EF7D95">
        <w:rPr>
          <w:i/>
          <w:sz w:val="26"/>
          <w:szCs w:val="26"/>
        </w:rPr>
        <w:t>v. Great American Power, LLC</w:t>
      </w:r>
      <w:r w:rsidR="0063252E" w:rsidRPr="0063252E">
        <w:rPr>
          <w:sz w:val="26"/>
          <w:szCs w:val="26"/>
        </w:rPr>
        <w:t xml:space="preserve">, </w:t>
      </w:r>
      <w:r w:rsidR="0068051E">
        <w:rPr>
          <w:sz w:val="26"/>
          <w:szCs w:val="26"/>
        </w:rPr>
        <w:t xml:space="preserve">Docket No. M-2016-2536806 (Order entered September 15, 2016), </w:t>
      </w:r>
      <w:r w:rsidR="00037101">
        <w:rPr>
          <w:sz w:val="26"/>
          <w:szCs w:val="26"/>
        </w:rPr>
        <w:t xml:space="preserve">we imposed a penalty of </w:t>
      </w:r>
      <w:r w:rsidR="0063252E" w:rsidRPr="0063252E">
        <w:rPr>
          <w:sz w:val="26"/>
          <w:szCs w:val="26"/>
        </w:rPr>
        <w:t xml:space="preserve">$18,000 </w:t>
      </w:r>
      <w:r w:rsidR="00037101">
        <w:rPr>
          <w:sz w:val="26"/>
          <w:szCs w:val="26"/>
        </w:rPr>
        <w:t xml:space="preserve">pursuant to </w:t>
      </w:r>
      <w:r w:rsidR="0063252E" w:rsidRPr="0063252E">
        <w:rPr>
          <w:sz w:val="26"/>
          <w:szCs w:val="26"/>
        </w:rPr>
        <w:t xml:space="preserve">a settlement agreement </w:t>
      </w:r>
      <w:r w:rsidR="00037101">
        <w:rPr>
          <w:sz w:val="26"/>
          <w:szCs w:val="26"/>
        </w:rPr>
        <w:t xml:space="preserve">which we approved </w:t>
      </w:r>
      <w:r w:rsidR="0063252E" w:rsidRPr="0063252E">
        <w:rPr>
          <w:sz w:val="26"/>
          <w:szCs w:val="26"/>
        </w:rPr>
        <w:t>that</w:t>
      </w:r>
      <w:r w:rsidR="00037101">
        <w:rPr>
          <w:sz w:val="26"/>
          <w:szCs w:val="26"/>
        </w:rPr>
        <w:t xml:space="preserve"> acknowledged</w:t>
      </w:r>
      <w:r w:rsidR="00000E8A">
        <w:rPr>
          <w:sz w:val="26"/>
          <w:szCs w:val="26"/>
        </w:rPr>
        <w:t xml:space="preserve"> that</w:t>
      </w:r>
      <w:r w:rsidR="0063252E" w:rsidRPr="0063252E">
        <w:rPr>
          <w:sz w:val="26"/>
          <w:szCs w:val="26"/>
        </w:rPr>
        <w:t xml:space="preserve"> on seventeen occasions, </w:t>
      </w:r>
      <w:r w:rsidR="00DA0F0C">
        <w:rPr>
          <w:sz w:val="26"/>
          <w:szCs w:val="26"/>
        </w:rPr>
        <w:t xml:space="preserve">the </w:t>
      </w:r>
      <w:r w:rsidR="00DA0F0C" w:rsidRPr="0063252E">
        <w:rPr>
          <w:sz w:val="26"/>
          <w:szCs w:val="26"/>
        </w:rPr>
        <w:t>outside vendor</w:t>
      </w:r>
      <w:r w:rsidR="00DA0F0C">
        <w:rPr>
          <w:sz w:val="26"/>
          <w:szCs w:val="26"/>
        </w:rPr>
        <w:t>’</w:t>
      </w:r>
      <w:r w:rsidR="00DA0F0C" w:rsidRPr="0063252E">
        <w:rPr>
          <w:sz w:val="26"/>
          <w:szCs w:val="26"/>
        </w:rPr>
        <w:t>s telemarketing sales representatives</w:t>
      </w:r>
      <w:r w:rsidR="00DA0F0C">
        <w:rPr>
          <w:sz w:val="26"/>
          <w:szCs w:val="26"/>
        </w:rPr>
        <w:t xml:space="preserve"> contracted by </w:t>
      </w:r>
      <w:r w:rsidR="00000E8A">
        <w:rPr>
          <w:sz w:val="26"/>
          <w:szCs w:val="26"/>
        </w:rPr>
        <w:t>Great American</w:t>
      </w:r>
      <w:r w:rsidR="00E023B5">
        <w:rPr>
          <w:sz w:val="26"/>
          <w:szCs w:val="26"/>
        </w:rPr>
        <w:t xml:space="preserve"> Power LLC</w:t>
      </w:r>
      <w:r w:rsidR="00000E8A">
        <w:rPr>
          <w:sz w:val="26"/>
          <w:szCs w:val="26"/>
        </w:rPr>
        <w:t xml:space="preserve"> </w:t>
      </w:r>
      <w:r w:rsidR="00E023B5">
        <w:rPr>
          <w:sz w:val="26"/>
          <w:szCs w:val="26"/>
        </w:rPr>
        <w:t xml:space="preserve">(Great American) </w:t>
      </w:r>
      <w:r w:rsidR="0063252E" w:rsidRPr="0063252E">
        <w:rPr>
          <w:sz w:val="26"/>
          <w:szCs w:val="26"/>
        </w:rPr>
        <w:t xml:space="preserve">exhibited unacceptable or questionable marketing practices on behalf of Great American. </w:t>
      </w:r>
      <w:r w:rsidR="002F7D6C">
        <w:rPr>
          <w:sz w:val="26"/>
          <w:szCs w:val="26"/>
        </w:rPr>
        <w:t xml:space="preserve"> </w:t>
      </w:r>
      <w:r w:rsidR="0063252E" w:rsidRPr="0063252E">
        <w:rPr>
          <w:sz w:val="26"/>
          <w:szCs w:val="26"/>
        </w:rPr>
        <w:t xml:space="preserve">The Settlement also acknowledged the corrective action </w:t>
      </w:r>
      <w:r w:rsidR="00DA0F0C">
        <w:rPr>
          <w:sz w:val="26"/>
          <w:szCs w:val="26"/>
        </w:rPr>
        <w:t xml:space="preserve">taken by Great American </w:t>
      </w:r>
      <w:r w:rsidR="0063252E" w:rsidRPr="0063252E">
        <w:rPr>
          <w:sz w:val="26"/>
          <w:szCs w:val="26"/>
        </w:rPr>
        <w:t>and the implementation of revised operating procedures.</w:t>
      </w:r>
    </w:p>
    <w:p w:rsidR="00AF21F5" w:rsidRDefault="00AF21F5" w:rsidP="0063252E">
      <w:pPr>
        <w:widowControl/>
        <w:spacing w:line="360" w:lineRule="auto"/>
        <w:ind w:firstLine="720"/>
        <w:rPr>
          <w:sz w:val="26"/>
          <w:szCs w:val="26"/>
        </w:rPr>
      </w:pPr>
    </w:p>
    <w:p w:rsidR="0007767E" w:rsidRPr="0007767E" w:rsidRDefault="0007767E" w:rsidP="0007767E">
      <w:pPr>
        <w:widowControl/>
        <w:spacing w:line="360" w:lineRule="auto"/>
        <w:ind w:firstLine="720"/>
        <w:rPr>
          <w:sz w:val="26"/>
          <w:szCs w:val="26"/>
        </w:rPr>
      </w:pPr>
      <w:r>
        <w:rPr>
          <w:sz w:val="26"/>
          <w:szCs w:val="26"/>
        </w:rPr>
        <w:tab/>
      </w:r>
      <w:r w:rsidRPr="0007767E">
        <w:rPr>
          <w:sz w:val="26"/>
          <w:szCs w:val="26"/>
        </w:rPr>
        <w:t>In this case, the ALJ noted, pursuant to Section 3301 of the Public Utility Code, 66 Pa. C.S. §3301, that the Commission may impose a maximum civil penalty of $1,000 per day per violation of the Code, its Regulations or its Orders. The A</w:t>
      </w:r>
      <w:r>
        <w:rPr>
          <w:sz w:val="26"/>
          <w:szCs w:val="26"/>
        </w:rPr>
        <w:t>LJ</w:t>
      </w:r>
      <w:r w:rsidRPr="0007767E">
        <w:rPr>
          <w:sz w:val="26"/>
          <w:szCs w:val="26"/>
        </w:rPr>
        <w:t xml:space="preserve"> evaluated the facts in this proceeding under </w:t>
      </w:r>
      <w:r>
        <w:rPr>
          <w:sz w:val="26"/>
          <w:szCs w:val="26"/>
        </w:rPr>
        <w:t xml:space="preserve">our </w:t>
      </w:r>
      <w:r w:rsidR="00343165">
        <w:rPr>
          <w:sz w:val="26"/>
          <w:szCs w:val="26"/>
        </w:rPr>
        <w:t xml:space="preserve">Civil Penalty Policy Statement </w:t>
      </w:r>
      <w:r w:rsidRPr="0007767E">
        <w:rPr>
          <w:sz w:val="26"/>
          <w:szCs w:val="26"/>
        </w:rPr>
        <w:t xml:space="preserve">at 52 Pa. Code §69.1201(c) which sets forth ten factors that the Commission may consider in evaluating whether a civil penalty for violating a Commission order, regulation or statute is appropriate. </w:t>
      </w:r>
      <w:r w:rsidR="00343165">
        <w:rPr>
          <w:sz w:val="26"/>
          <w:szCs w:val="26"/>
        </w:rPr>
        <w:t xml:space="preserve"> As noted, t</w:t>
      </w:r>
      <w:r w:rsidRPr="0007767E">
        <w:rPr>
          <w:sz w:val="26"/>
          <w:szCs w:val="26"/>
        </w:rPr>
        <w:t xml:space="preserve">he ALJ determined that a total civil penalty of $1,000 against Choice Energy, comprised of two $500 penalties for the months of November and </w:t>
      </w:r>
      <w:r w:rsidRPr="0007767E">
        <w:rPr>
          <w:sz w:val="26"/>
          <w:szCs w:val="26"/>
        </w:rPr>
        <w:lastRenderedPageBreak/>
        <w:t xml:space="preserve">December 2016, was appropriate in this case. </w:t>
      </w:r>
      <w:r w:rsidR="00343165">
        <w:rPr>
          <w:sz w:val="26"/>
          <w:szCs w:val="26"/>
        </w:rPr>
        <w:t xml:space="preserve"> </w:t>
      </w:r>
      <w:r w:rsidRPr="0007767E">
        <w:rPr>
          <w:sz w:val="26"/>
          <w:szCs w:val="26"/>
        </w:rPr>
        <w:t xml:space="preserve">Based on the record evidence in this case, </w:t>
      </w:r>
      <w:r w:rsidR="00343165">
        <w:rPr>
          <w:sz w:val="26"/>
          <w:szCs w:val="26"/>
        </w:rPr>
        <w:t>we</w:t>
      </w:r>
      <w:r w:rsidRPr="0007767E">
        <w:rPr>
          <w:sz w:val="26"/>
          <w:szCs w:val="26"/>
        </w:rPr>
        <w:t xml:space="preserve"> disagree.</w:t>
      </w:r>
    </w:p>
    <w:p w:rsidR="00F2119B" w:rsidRDefault="00F2119B" w:rsidP="0063252E">
      <w:pPr>
        <w:widowControl/>
        <w:spacing w:line="360" w:lineRule="auto"/>
        <w:ind w:firstLine="720"/>
        <w:rPr>
          <w:sz w:val="26"/>
          <w:szCs w:val="26"/>
        </w:rPr>
      </w:pPr>
    </w:p>
    <w:p w:rsidR="0063252E" w:rsidRDefault="002F7D6C" w:rsidP="0063252E">
      <w:pPr>
        <w:widowControl/>
        <w:spacing w:line="360" w:lineRule="auto"/>
        <w:ind w:firstLine="720"/>
        <w:rPr>
          <w:sz w:val="26"/>
          <w:szCs w:val="26"/>
        </w:rPr>
      </w:pPr>
      <w:r>
        <w:rPr>
          <w:sz w:val="26"/>
          <w:szCs w:val="26"/>
        </w:rPr>
        <w:tab/>
      </w:r>
      <w:r w:rsidR="002B38BE">
        <w:rPr>
          <w:sz w:val="26"/>
          <w:szCs w:val="26"/>
        </w:rPr>
        <w:t>First, upon our review of the record, the</w:t>
      </w:r>
      <w:r w:rsidR="0063252E" w:rsidRPr="0063252E">
        <w:rPr>
          <w:sz w:val="26"/>
          <w:szCs w:val="26"/>
        </w:rPr>
        <w:t xml:space="preserve"> Complainant </w:t>
      </w:r>
      <w:r w:rsidR="002B38BE">
        <w:rPr>
          <w:sz w:val="26"/>
          <w:szCs w:val="26"/>
        </w:rPr>
        <w:t xml:space="preserve">testified that </w:t>
      </w:r>
      <w:r w:rsidR="0063252E" w:rsidRPr="0063252E">
        <w:rPr>
          <w:sz w:val="26"/>
          <w:szCs w:val="26"/>
        </w:rPr>
        <w:t>he received dozens of calls over a two-month period</w:t>
      </w:r>
      <w:r w:rsidR="00A25E32">
        <w:rPr>
          <w:sz w:val="26"/>
          <w:szCs w:val="26"/>
        </w:rPr>
        <w:t>,</w:t>
      </w:r>
      <w:r w:rsidR="0063252E" w:rsidRPr="0063252E">
        <w:rPr>
          <w:sz w:val="26"/>
          <w:szCs w:val="26"/>
        </w:rPr>
        <w:t xml:space="preserve"> receiving at times multiple calls per day from Choice Energy.</w:t>
      </w:r>
      <w:r w:rsidR="00272916">
        <w:rPr>
          <w:sz w:val="26"/>
          <w:szCs w:val="26"/>
        </w:rPr>
        <w:t xml:space="preserve">  Tr. at 14-16.</w:t>
      </w:r>
      <w:r w:rsidR="0063252E" w:rsidRPr="0063252E">
        <w:rPr>
          <w:sz w:val="26"/>
          <w:szCs w:val="26"/>
        </w:rPr>
        <w:t xml:space="preserve"> </w:t>
      </w:r>
      <w:r>
        <w:rPr>
          <w:sz w:val="26"/>
          <w:szCs w:val="26"/>
        </w:rPr>
        <w:t xml:space="preserve"> The Complainant</w:t>
      </w:r>
      <w:r w:rsidR="0063252E" w:rsidRPr="0063252E">
        <w:rPr>
          <w:sz w:val="26"/>
          <w:szCs w:val="26"/>
        </w:rPr>
        <w:t xml:space="preserve"> indicated that on at least three occasions he spoke with a supervisor and asked to be put on </w:t>
      </w:r>
      <w:r w:rsidR="00673169">
        <w:rPr>
          <w:sz w:val="26"/>
          <w:szCs w:val="26"/>
        </w:rPr>
        <w:t>Choice Energy</w:t>
      </w:r>
      <w:r w:rsidR="00272916">
        <w:rPr>
          <w:sz w:val="26"/>
          <w:szCs w:val="26"/>
        </w:rPr>
        <w:t>’</w:t>
      </w:r>
      <w:r w:rsidR="0063252E" w:rsidRPr="0063252E">
        <w:rPr>
          <w:sz w:val="26"/>
          <w:szCs w:val="26"/>
        </w:rPr>
        <w:t>s do</w:t>
      </w:r>
      <w:r w:rsidR="00A155F3">
        <w:rPr>
          <w:sz w:val="26"/>
          <w:szCs w:val="26"/>
        </w:rPr>
        <w:t>-</w:t>
      </w:r>
      <w:r w:rsidR="0063252E" w:rsidRPr="0063252E">
        <w:rPr>
          <w:sz w:val="26"/>
          <w:szCs w:val="26"/>
        </w:rPr>
        <w:t>not</w:t>
      </w:r>
      <w:r w:rsidR="00A155F3">
        <w:rPr>
          <w:sz w:val="26"/>
          <w:szCs w:val="26"/>
        </w:rPr>
        <w:t>-</w:t>
      </w:r>
      <w:r w:rsidR="0063252E" w:rsidRPr="0063252E">
        <w:rPr>
          <w:sz w:val="26"/>
          <w:szCs w:val="26"/>
        </w:rPr>
        <w:t>call list.</w:t>
      </w:r>
      <w:r w:rsidR="00D40607">
        <w:rPr>
          <w:sz w:val="26"/>
          <w:szCs w:val="26"/>
        </w:rPr>
        <w:t xml:space="preserve">  Tr. at 13.</w:t>
      </w:r>
      <w:r w:rsidR="0063252E" w:rsidRPr="0063252E">
        <w:rPr>
          <w:sz w:val="26"/>
          <w:szCs w:val="26"/>
        </w:rPr>
        <w:t xml:space="preserve"> </w:t>
      </w:r>
      <w:r>
        <w:rPr>
          <w:sz w:val="26"/>
          <w:szCs w:val="26"/>
        </w:rPr>
        <w:t xml:space="preserve"> </w:t>
      </w:r>
      <w:r w:rsidR="0063252E" w:rsidRPr="0063252E">
        <w:rPr>
          <w:sz w:val="26"/>
          <w:szCs w:val="26"/>
        </w:rPr>
        <w:t>This is in addition to his many requests to be removed from the telemarketing list where he did not request to speak to a supervisor.</w:t>
      </w:r>
      <w:r>
        <w:rPr>
          <w:sz w:val="26"/>
          <w:szCs w:val="26"/>
        </w:rPr>
        <w:t xml:space="preserve"> </w:t>
      </w:r>
      <w:r w:rsidR="0063252E" w:rsidRPr="0063252E">
        <w:rPr>
          <w:sz w:val="26"/>
          <w:szCs w:val="26"/>
        </w:rPr>
        <w:t xml:space="preserve"> He was assured this had been completed. </w:t>
      </w:r>
      <w:r>
        <w:rPr>
          <w:sz w:val="26"/>
          <w:szCs w:val="26"/>
        </w:rPr>
        <w:t xml:space="preserve"> </w:t>
      </w:r>
      <w:r w:rsidR="00A155F3">
        <w:rPr>
          <w:sz w:val="26"/>
          <w:szCs w:val="26"/>
        </w:rPr>
        <w:t>However, t</w:t>
      </w:r>
      <w:r w:rsidR="0063252E" w:rsidRPr="0063252E">
        <w:rPr>
          <w:sz w:val="26"/>
          <w:szCs w:val="26"/>
        </w:rPr>
        <w:t>he calls continued</w:t>
      </w:r>
      <w:r w:rsidR="00A155F3">
        <w:rPr>
          <w:sz w:val="26"/>
          <w:szCs w:val="26"/>
        </w:rPr>
        <w:t>, and a</w:t>
      </w:r>
      <w:r w:rsidR="0063252E" w:rsidRPr="0063252E">
        <w:rPr>
          <w:sz w:val="26"/>
          <w:szCs w:val="26"/>
        </w:rPr>
        <w:t>t one point</w:t>
      </w:r>
      <w:r w:rsidR="00D40607">
        <w:rPr>
          <w:sz w:val="26"/>
          <w:szCs w:val="26"/>
        </w:rPr>
        <w:t>,</w:t>
      </w:r>
      <w:r w:rsidR="0063252E" w:rsidRPr="0063252E">
        <w:rPr>
          <w:sz w:val="26"/>
          <w:szCs w:val="26"/>
        </w:rPr>
        <w:t xml:space="preserve"> one of the supervisors threatened to </w:t>
      </w:r>
      <w:r w:rsidR="00D40607">
        <w:rPr>
          <w:sz w:val="26"/>
          <w:szCs w:val="26"/>
        </w:rPr>
        <w:t>“</w:t>
      </w:r>
      <w:r w:rsidR="0063252E" w:rsidRPr="0063252E">
        <w:rPr>
          <w:sz w:val="26"/>
          <w:szCs w:val="26"/>
        </w:rPr>
        <w:t>call him repeatedly, all night long.</w:t>
      </w:r>
      <w:r w:rsidR="00D40607">
        <w:rPr>
          <w:sz w:val="26"/>
          <w:szCs w:val="26"/>
        </w:rPr>
        <w:t>”</w:t>
      </w:r>
      <w:r>
        <w:rPr>
          <w:sz w:val="26"/>
          <w:szCs w:val="26"/>
        </w:rPr>
        <w:t xml:space="preserve"> </w:t>
      </w:r>
      <w:r w:rsidR="0063252E" w:rsidRPr="0063252E">
        <w:rPr>
          <w:sz w:val="26"/>
          <w:szCs w:val="26"/>
        </w:rPr>
        <w:t xml:space="preserve"> </w:t>
      </w:r>
      <w:r w:rsidR="00D40607">
        <w:rPr>
          <w:sz w:val="26"/>
          <w:szCs w:val="26"/>
        </w:rPr>
        <w:t xml:space="preserve">Tr. at 16.  </w:t>
      </w:r>
      <w:r w:rsidR="0063252E" w:rsidRPr="0063252E">
        <w:rPr>
          <w:sz w:val="26"/>
          <w:szCs w:val="26"/>
        </w:rPr>
        <w:t>The Complainant also indicated that he blocked the number from which Choice Energy was calling in an attempt to stop the calls.</w:t>
      </w:r>
      <w:r>
        <w:rPr>
          <w:sz w:val="26"/>
          <w:szCs w:val="26"/>
        </w:rPr>
        <w:t xml:space="preserve"> </w:t>
      </w:r>
      <w:r w:rsidR="0063252E" w:rsidRPr="0063252E">
        <w:rPr>
          <w:sz w:val="26"/>
          <w:szCs w:val="26"/>
        </w:rPr>
        <w:t xml:space="preserve"> However, the Complainant indicated that calls began coming from different numbers, all identified </w:t>
      </w:r>
      <w:r w:rsidR="00DE1F9B">
        <w:rPr>
          <w:sz w:val="26"/>
          <w:szCs w:val="26"/>
        </w:rPr>
        <w:t xml:space="preserve">by his Caller ID </w:t>
      </w:r>
      <w:r w:rsidR="0063252E" w:rsidRPr="0063252E">
        <w:rPr>
          <w:sz w:val="26"/>
          <w:szCs w:val="26"/>
        </w:rPr>
        <w:t xml:space="preserve">as Choice Energy LLC, and later confirmed as such by representatives of </w:t>
      </w:r>
      <w:r w:rsidR="00673169">
        <w:rPr>
          <w:sz w:val="26"/>
          <w:szCs w:val="26"/>
        </w:rPr>
        <w:t>Choice Energy</w:t>
      </w:r>
      <w:r w:rsidR="0063252E" w:rsidRPr="0063252E">
        <w:rPr>
          <w:sz w:val="26"/>
          <w:szCs w:val="26"/>
        </w:rPr>
        <w:t xml:space="preserve">. </w:t>
      </w:r>
      <w:r>
        <w:rPr>
          <w:sz w:val="26"/>
          <w:szCs w:val="26"/>
        </w:rPr>
        <w:t xml:space="preserve"> </w:t>
      </w:r>
      <w:r w:rsidR="0063252E" w:rsidRPr="0063252E">
        <w:rPr>
          <w:sz w:val="26"/>
          <w:szCs w:val="26"/>
        </w:rPr>
        <w:t>The Complainant further explained that callers did not identify themselves and led him to believe they worked for PECO</w:t>
      </w:r>
      <w:r w:rsidR="00D40607">
        <w:rPr>
          <w:sz w:val="26"/>
          <w:szCs w:val="26"/>
        </w:rPr>
        <w:t>,</w:t>
      </w:r>
      <w:r w:rsidR="0063252E" w:rsidRPr="0063252E">
        <w:rPr>
          <w:sz w:val="26"/>
          <w:szCs w:val="26"/>
        </w:rPr>
        <w:t xml:space="preserve"> which he would have believed had it not been for the Caller ID indicating that the caller was Choice Energy LLC.</w:t>
      </w:r>
      <w:r w:rsidR="00D40607">
        <w:rPr>
          <w:sz w:val="26"/>
          <w:szCs w:val="26"/>
        </w:rPr>
        <w:t xml:space="preserve">  Complainant Exh. 1.</w:t>
      </w:r>
    </w:p>
    <w:p w:rsidR="004E5C86" w:rsidRPr="0063252E" w:rsidRDefault="004E5C86" w:rsidP="0063252E">
      <w:pPr>
        <w:widowControl/>
        <w:spacing w:line="360" w:lineRule="auto"/>
        <w:ind w:firstLine="720"/>
        <w:rPr>
          <w:sz w:val="26"/>
          <w:szCs w:val="26"/>
        </w:rPr>
      </w:pPr>
    </w:p>
    <w:p w:rsidR="0063252E" w:rsidRPr="0063252E" w:rsidRDefault="002F7D6C" w:rsidP="0063252E">
      <w:pPr>
        <w:widowControl/>
        <w:spacing w:line="360" w:lineRule="auto"/>
        <w:ind w:firstLine="720"/>
        <w:rPr>
          <w:sz w:val="26"/>
          <w:szCs w:val="26"/>
        </w:rPr>
      </w:pPr>
      <w:r>
        <w:rPr>
          <w:sz w:val="26"/>
          <w:szCs w:val="26"/>
        </w:rPr>
        <w:tab/>
      </w:r>
      <w:r w:rsidR="0063252E" w:rsidRPr="0063252E">
        <w:rPr>
          <w:sz w:val="26"/>
          <w:szCs w:val="26"/>
        </w:rPr>
        <w:t xml:space="preserve">Based upon </w:t>
      </w:r>
      <w:r>
        <w:rPr>
          <w:sz w:val="26"/>
          <w:szCs w:val="26"/>
        </w:rPr>
        <w:t>our</w:t>
      </w:r>
      <w:r w:rsidR="0063252E" w:rsidRPr="0063252E">
        <w:rPr>
          <w:sz w:val="26"/>
          <w:szCs w:val="26"/>
        </w:rPr>
        <w:t xml:space="preserve"> review of the record, we agree with the Complainant that Choice Energy did not honor his original request to be placed on </w:t>
      </w:r>
      <w:r w:rsidR="00DE1F9B">
        <w:rPr>
          <w:sz w:val="26"/>
          <w:szCs w:val="26"/>
        </w:rPr>
        <w:t xml:space="preserve">its </w:t>
      </w:r>
      <w:r w:rsidR="0063252E" w:rsidRPr="0063252E">
        <w:rPr>
          <w:sz w:val="26"/>
          <w:szCs w:val="26"/>
        </w:rPr>
        <w:t>do</w:t>
      </w:r>
      <w:r w:rsidR="00DE1F9B">
        <w:rPr>
          <w:sz w:val="26"/>
          <w:szCs w:val="26"/>
        </w:rPr>
        <w:t>-</w:t>
      </w:r>
      <w:r w:rsidR="0063252E" w:rsidRPr="0063252E">
        <w:rPr>
          <w:sz w:val="26"/>
          <w:szCs w:val="26"/>
        </w:rPr>
        <w:t>not</w:t>
      </w:r>
      <w:r w:rsidR="00DE1F9B">
        <w:rPr>
          <w:sz w:val="26"/>
          <w:szCs w:val="26"/>
        </w:rPr>
        <w:t>-</w:t>
      </w:r>
      <w:r w:rsidR="0063252E" w:rsidRPr="0063252E">
        <w:rPr>
          <w:sz w:val="26"/>
          <w:szCs w:val="26"/>
        </w:rPr>
        <w:t xml:space="preserve">call list before the Complainant filed his Complaint with the Commission. </w:t>
      </w:r>
      <w:r>
        <w:rPr>
          <w:sz w:val="26"/>
          <w:szCs w:val="26"/>
        </w:rPr>
        <w:t xml:space="preserve"> </w:t>
      </w:r>
      <w:r w:rsidR="0063252E" w:rsidRPr="0063252E">
        <w:rPr>
          <w:sz w:val="26"/>
          <w:szCs w:val="26"/>
        </w:rPr>
        <w:t>The record evidence shows that Choice Energy did not properly identify itself during at least the initial phone call</w:t>
      </w:r>
      <w:r w:rsidR="00D40607">
        <w:rPr>
          <w:sz w:val="26"/>
          <w:szCs w:val="26"/>
        </w:rPr>
        <w:t>,</w:t>
      </w:r>
      <w:r w:rsidR="0063252E" w:rsidRPr="0063252E">
        <w:rPr>
          <w:sz w:val="26"/>
          <w:szCs w:val="26"/>
        </w:rPr>
        <w:t xml:space="preserve"> which is a violation of </w:t>
      </w:r>
      <w:r w:rsidR="00D40607">
        <w:rPr>
          <w:sz w:val="26"/>
          <w:szCs w:val="26"/>
        </w:rPr>
        <w:t xml:space="preserve">Section 111.10(b) of </w:t>
      </w:r>
      <w:r w:rsidR="0063252E" w:rsidRPr="0063252E">
        <w:rPr>
          <w:sz w:val="26"/>
          <w:szCs w:val="26"/>
        </w:rPr>
        <w:t>the Commission</w:t>
      </w:r>
      <w:r w:rsidR="00D40607">
        <w:rPr>
          <w:sz w:val="26"/>
          <w:szCs w:val="26"/>
        </w:rPr>
        <w:t>’</w:t>
      </w:r>
      <w:r w:rsidR="0063252E" w:rsidRPr="0063252E">
        <w:rPr>
          <w:sz w:val="26"/>
          <w:szCs w:val="26"/>
        </w:rPr>
        <w:t xml:space="preserve">s </w:t>
      </w:r>
      <w:r w:rsidR="00D40607">
        <w:rPr>
          <w:sz w:val="26"/>
          <w:szCs w:val="26"/>
        </w:rPr>
        <w:t>R</w:t>
      </w:r>
      <w:r w:rsidR="0063252E" w:rsidRPr="0063252E">
        <w:rPr>
          <w:sz w:val="26"/>
          <w:szCs w:val="26"/>
        </w:rPr>
        <w:t>egulations</w:t>
      </w:r>
      <w:r w:rsidR="00D40607">
        <w:rPr>
          <w:sz w:val="26"/>
          <w:szCs w:val="26"/>
        </w:rPr>
        <w:t>,</w:t>
      </w:r>
      <w:r w:rsidR="0063252E" w:rsidRPr="0063252E">
        <w:rPr>
          <w:sz w:val="26"/>
          <w:szCs w:val="26"/>
        </w:rPr>
        <w:t xml:space="preserve"> 52 Pa. Code §</w:t>
      </w:r>
      <w:r w:rsidR="00D40607">
        <w:rPr>
          <w:sz w:val="26"/>
          <w:szCs w:val="26"/>
        </w:rPr>
        <w:t xml:space="preserve"> </w:t>
      </w:r>
      <w:r w:rsidR="0063252E" w:rsidRPr="0063252E">
        <w:rPr>
          <w:sz w:val="26"/>
          <w:szCs w:val="26"/>
        </w:rPr>
        <w:t xml:space="preserve">111.10(b). </w:t>
      </w:r>
      <w:r>
        <w:rPr>
          <w:sz w:val="26"/>
          <w:szCs w:val="26"/>
        </w:rPr>
        <w:t xml:space="preserve"> </w:t>
      </w:r>
      <w:r w:rsidR="0063252E" w:rsidRPr="0063252E">
        <w:rPr>
          <w:sz w:val="26"/>
          <w:szCs w:val="26"/>
        </w:rPr>
        <w:t xml:space="preserve">In addition, the record evidence demonstrates that Choice Energy </w:t>
      </w:r>
      <w:r w:rsidR="00820E3A">
        <w:rPr>
          <w:sz w:val="26"/>
          <w:szCs w:val="26"/>
        </w:rPr>
        <w:t xml:space="preserve">clearly </w:t>
      </w:r>
      <w:r w:rsidR="0063252E" w:rsidRPr="0063252E">
        <w:rPr>
          <w:sz w:val="26"/>
          <w:szCs w:val="26"/>
        </w:rPr>
        <w:t xml:space="preserve">continued </w:t>
      </w:r>
      <w:r w:rsidR="00BD44F4">
        <w:rPr>
          <w:sz w:val="26"/>
          <w:szCs w:val="26"/>
        </w:rPr>
        <w:t xml:space="preserve">to </w:t>
      </w:r>
      <w:r w:rsidR="00820E3A">
        <w:rPr>
          <w:sz w:val="26"/>
          <w:szCs w:val="26"/>
        </w:rPr>
        <w:t>violat</w:t>
      </w:r>
      <w:r w:rsidR="00BD44F4">
        <w:rPr>
          <w:sz w:val="26"/>
          <w:szCs w:val="26"/>
        </w:rPr>
        <w:t>e</w:t>
      </w:r>
      <w:r w:rsidR="00820E3A">
        <w:rPr>
          <w:sz w:val="26"/>
          <w:szCs w:val="26"/>
        </w:rPr>
        <w:t xml:space="preserve"> </w:t>
      </w:r>
      <w:r w:rsidR="00E966B1">
        <w:rPr>
          <w:sz w:val="26"/>
          <w:szCs w:val="26"/>
        </w:rPr>
        <w:t xml:space="preserve">the Section 111.10(b) </w:t>
      </w:r>
      <w:r w:rsidR="00820E3A">
        <w:rPr>
          <w:sz w:val="26"/>
          <w:szCs w:val="26"/>
        </w:rPr>
        <w:t xml:space="preserve">Regulation </w:t>
      </w:r>
      <w:r w:rsidR="0063252E" w:rsidRPr="0063252E">
        <w:rPr>
          <w:sz w:val="26"/>
          <w:szCs w:val="26"/>
        </w:rPr>
        <w:t xml:space="preserve">by placing numerous calls to the Complainant during the months of November and December 2016 </w:t>
      </w:r>
      <w:r w:rsidR="00E966B1">
        <w:rPr>
          <w:sz w:val="26"/>
          <w:szCs w:val="26"/>
        </w:rPr>
        <w:t xml:space="preserve">and in </w:t>
      </w:r>
      <w:r w:rsidR="0063252E" w:rsidRPr="0063252E">
        <w:rPr>
          <w:sz w:val="26"/>
          <w:szCs w:val="26"/>
        </w:rPr>
        <w:t xml:space="preserve">which </w:t>
      </w:r>
      <w:r w:rsidR="000376B9">
        <w:rPr>
          <w:sz w:val="26"/>
          <w:szCs w:val="26"/>
        </w:rPr>
        <w:t xml:space="preserve">its representatives </w:t>
      </w:r>
      <w:r w:rsidR="0063252E" w:rsidRPr="0063252E">
        <w:rPr>
          <w:sz w:val="26"/>
          <w:szCs w:val="26"/>
        </w:rPr>
        <w:t xml:space="preserve">did not properly identify </w:t>
      </w:r>
      <w:r w:rsidR="00673169">
        <w:rPr>
          <w:sz w:val="26"/>
          <w:szCs w:val="26"/>
        </w:rPr>
        <w:t>Choice Energy</w:t>
      </w:r>
      <w:r w:rsidR="0063252E" w:rsidRPr="0063252E">
        <w:rPr>
          <w:sz w:val="26"/>
          <w:szCs w:val="26"/>
        </w:rPr>
        <w:t xml:space="preserve"> and its relationship to the electric distribution company</w:t>
      </w:r>
      <w:r w:rsidR="00E966B1">
        <w:rPr>
          <w:sz w:val="26"/>
          <w:szCs w:val="26"/>
        </w:rPr>
        <w:t>.</w:t>
      </w:r>
      <w:r w:rsidR="0063252E" w:rsidRPr="0063252E">
        <w:rPr>
          <w:sz w:val="26"/>
          <w:szCs w:val="26"/>
        </w:rPr>
        <w:t xml:space="preserve"> </w:t>
      </w:r>
      <w:r>
        <w:rPr>
          <w:sz w:val="26"/>
          <w:szCs w:val="26"/>
        </w:rPr>
        <w:t xml:space="preserve"> </w:t>
      </w:r>
      <w:r w:rsidR="00E966B1">
        <w:rPr>
          <w:sz w:val="26"/>
          <w:szCs w:val="26"/>
        </w:rPr>
        <w:t xml:space="preserve">Thus, </w:t>
      </w:r>
      <w:r w:rsidR="0014789E">
        <w:rPr>
          <w:sz w:val="26"/>
          <w:szCs w:val="26"/>
        </w:rPr>
        <w:t xml:space="preserve">because </w:t>
      </w:r>
      <w:r w:rsidR="00E966B1">
        <w:rPr>
          <w:sz w:val="26"/>
          <w:szCs w:val="26"/>
        </w:rPr>
        <w:t>t</w:t>
      </w:r>
      <w:r w:rsidR="0063252E" w:rsidRPr="0063252E">
        <w:rPr>
          <w:sz w:val="26"/>
          <w:szCs w:val="26"/>
        </w:rPr>
        <w:t xml:space="preserve">he record clearly demonstrates that Choice Energy </w:t>
      </w:r>
      <w:r w:rsidR="0063252E" w:rsidRPr="0063252E">
        <w:rPr>
          <w:sz w:val="26"/>
          <w:szCs w:val="26"/>
        </w:rPr>
        <w:lastRenderedPageBreak/>
        <w:t>engaged in</w:t>
      </w:r>
      <w:r w:rsidR="004E5C86">
        <w:rPr>
          <w:sz w:val="26"/>
          <w:szCs w:val="26"/>
        </w:rPr>
        <w:t xml:space="preserve"> </w:t>
      </w:r>
      <w:r w:rsidR="0063252E" w:rsidRPr="0063252E">
        <w:rPr>
          <w:sz w:val="26"/>
          <w:szCs w:val="26"/>
        </w:rPr>
        <w:t>abusive telemarketing and intentional misconduct by misrepresenting itself to the Complainant on numerous occasions over a period of two months</w:t>
      </w:r>
      <w:r w:rsidR="00996584">
        <w:rPr>
          <w:sz w:val="26"/>
          <w:szCs w:val="26"/>
        </w:rPr>
        <w:t xml:space="preserve">, we </w:t>
      </w:r>
      <w:r w:rsidR="0014789E">
        <w:rPr>
          <w:sz w:val="26"/>
          <w:szCs w:val="26"/>
        </w:rPr>
        <w:t xml:space="preserve">believe </w:t>
      </w:r>
      <w:r w:rsidR="00996584">
        <w:rPr>
          <w:sz w:val="26"/>
          <w:szCs w:val="26"/>
        </w:rPr>
        <w:t xml:space="preserve">the violations committed by Choice Energy </w:t>
      </w:r>
      <w:r w:rsidR="0063252E" w:rsidRPr="0063252E">
        <w:rPr>
          <w:sz w:val="26"/>
          <w:szCs w:val="26"/>
        </w:rPr>
        <w:t xml:space="preserve">warrant a higher penalty in this case. </w:t>
      </w:r>
      <w:r>
        <w:rPr>
          <w:sz w:val="26"/>
          <w:szCs w:val="26"/>
        </w:rPr>
        <w:t xml:space="preserve"> </w:t>
      </w:r>
      <w:r w:rsidR="0063252E" w:rsidRPr="0063252E">
        <w:rPr>
          <w:sz w:val="26"/>
          <w:szCs w:val="26"/>
        </w:rPr>
        <w:t>A conservative reading of the record makes it clear that there were dozens of phone calls</w:t>
      </w:r>
      <w:r w:rsidR="00D40607">
        <w:rPr>
          <w:sz w:val="26"/>
          <w:szCs w:val="26"/>
        </w:rPr>
        <w:t>,</w:t>
      </w:r>
      <w:r w:rsidR="0063252E" w:rsidRPr="0063252E">
        <w:rPr>
          <w:sz w:val="26"/>
          <w:szCs w:val="26"/>
        </w:rPr>
        <w:t xml:space="preserve"> each with multiple violations and clear abusive telemarketing behavior.</w:t>
      </w:r>
      <w:r>
        <w:rPr>
          <w:sz w:val="26"/>
          <w:szCs w:val="26"/>
        </w:rPr>
        <w:t xml:space="preserve"> </w:t>
      </w:r>
      <w:r w:rsidR="0063252E" w:rsidRPr="0063252E">
        <w:rPr>
          <w:sz w:val="26"/>
          <w:szCs w:val="26"/>
        </w:rPr>
        <w:t xml:space="preserve"> Therefore, in order to deter future misconduct by </w:t>
      </w:r>
      <w:r w:rsidR="00587E1D">
        <w:rPr>
          <w:sz w:val="26"/>
          <w:szCs w:val="26"/>
        </w:rPr>
        <w:t xml:space="preserve">Choice Energy, </w:t>
      </w:r>
      <w:r w:rsidR="0014789E">
        <w:rPr>
          <w:sz w:val="26"/>
          <w:szCs w:val="26"/>
        </w:rPr>
        <w:t xml:space="preserve">we shall increase </w:t>
      </w:r>
      <w:r w:rsidR="0063252E" w:rsidRPr="0063252E">
        <w:rPr>
          <w:sz w:val="26"/>
          <w:szCs w:val="26"/>
        </w:rPr>
        <w:t xml:space="preserve">the civil penalty in this proceeding </w:t>
      </w:r>
      <w:r w:rsidR="0014789E">
        <w:rPr>
          <w:sz w:val="26"/>
          <w:szCs w:val="26"/>
        </w:rPr>
        <w:t xml:space="preserve">to </w:t>
      </w:r>
      <w:r w:rsidR="0063252E" w:rsidRPr="0063252E">
        <w:rPr>
          <w:sz w:val="26"/>
          <w:szCs w:val="26"/>
        </w:rPr>
        <w:t>$5,000</w:t>
      </w:r>
      <w:r w:rsidR="002B2ED3">
        <w:rPr>
          <w:sz w:val="26"/>
          <w:szCs w:val="26"/>
        </w:rPr>
        <w:t xml:space="preserve">, consistent with </w:t>
      </w:r>
      <w:r w:rsidR="00B857CF" w:rsidRPr="0063252E">
        <w:rPr>
          <w:sz w:val="26"/>
          <w:szCs w:val="26"/>
        </w:rPr>
        <w:t xml:space="preserve">Section 3301 of </w:t>
      </w:r>
      <w:r w:rsidR="00B857CF">
        <w:rPr>
          <w:sz w:val="26"/>
          <w:szCs w:val="26"/>
        </w:rPr>
        <w:t xml:space="preserve">the Code, </w:t>
      </w:r>
      <w:r w:rsidR="00B857CF" w:rsidRPr="0063252E">
        <w:rPr>
          <w:sz w:val="26"/>
          <w:szCs w:val="26"/>
        </w:rPr>
        <w:t xml:space="preserve">66 </w:t>
      </w:r>
      <w:r w:rsidR="00B857CF">
        <w:rPr>
          <w:sz w:val="26"/>
          <w:szCs w:val="26"/>
        </w:rPr>
        <w:t>Pa. C.S. § 3301, and t</w:t>
      </w:r>
      <w:r w:rsidR="002B2ED3">
        <w:rPr>
          <w:sz w:val="26"/>
          <w:szCs w:val="26"/>
        </w:rPr>
        <w:t xml:space="preserve">he ALJ’s evaluation of the </w:t>
      </w:r>
      <w:r w:rsidR="005B203E">
        <w:rPr>
          <w:sz w:val="26"/>
          <w:szCs w:val="26"/>
        </w:rPr>
        <w:t xml:space="preserve">ten civil penalty factors </w:t>
      </w:r>
      <w:r w:rsidR="00B857CF">
        <w:rPr>
          <w:sz w:val="26"/>
          <w:szCs w:val="26"/>
        </w:rPr>
        <w:t xml:space="preserve">in our </w:t>
      </w:r>
      <w:r w:rsidR="00B857CF" w:rsidRPr="0063252E">
        <w:rPr>
          <w:sz w:val="26"/>
          <w:szCs w:val="26"/>
        </w:rPr>
        <w:t>Policy Statement at 52 Pa. Code §</w:t>
      </w:r>
      <w:r w:rsidR="00B857CF">
        <w:rPr>
          <w:sz w:val="26"/>
          <w:szCs w:val="26"/>
        </w:rPr>
        <w:t xml:space="preserve"> </w:t>
      </w:r>
      <w:r w:rsidR="00B857CF" w:rsidRPr="0063252E">
        <w:rPr>
          <w:sz w:val="26"/>
          <w:szCs w:val="26"/>
        </w:rPr>
        <w:t>69.1201</w:t>
      </w:r>
      <w:r w:rsidR="00B857CF">
        <w:rPr>
          <w:sz w:val="26"/>
          <w:szCs w:val="26"/>
        </w:rPr>
        <w:t>,</w:t>
      </w:r>
      <w:r w:rsidR="00CA2913">
        <w:rPr>
          <w:rStyle w:val="FootnoteReference"/>
          <w:sz w:val="26"/>
          <w:szCs w:val="26"/>
        </w:rPr>
        <w:footnoteReference w:id="8"/>
      </w:r>
      <w:r w:rsidR="00B857CF">
        <w:rPr>
          <w:sz w:val="26"/>
          <w:szCs w:val="26"/>
        </w:rPr>
        <w:t xml:space="preserve"> </w:t>
      </w:r>
      <w:r w:rsidR="005B203E">
        <w:rPr>
          <w:sz w:val="26"/>
          <w:szCs w:val="26"/>
        </w:rPr>
        <w:t>as modified by this Opinion and Order</w:t>
      </w:r>
      <w:r w:rsidR="00B857CF">
        <w:rPr>
          <w:sz w:val="26"/>
          <w:szCs w:val="26"/>
        </w:rPr>
        <w:t>.</w:t>
      </w:r>
    </w:p>
    <w:p w:rsidR="000D631F" w:rsidRDefault="000D631F" w:rsidP="0063252E">
      <w:pPr>
        <w:widowControl/>
        <w:spacing w:line="360" w:lineRule="auto"/>
        <w:rPr>
          <w:sz w:val="26"/>
          <w:szCs w:val="26"/>
        </w:rPr>
      </w:pPr>
    </w:p>
    <w:p w:rsidR="00CA43A5" w:rsidRPr="00CA43A5" w:rsidRDefault="00CA43A5" w:rsidP="0043084D">
      <w:pPr>
        <w:keepNext/>
        <w:widowControl/>
        <w:spacing w:line="360" w:lineRule="auto"/>
        <w:jc w:val="center"/>
        <w:rPr>
          <w:b/>
          <w:sz w:val="26"/>
          <w:szCs w:val="26"/>
        </w:rPr>
      </w:pPr>
      <w:r w:rsidRPr="00CA43A5">
        <w:rPr>
          <w:b/>
          <w:sz w:val="26"/>
          <w:szCs w:val="26"/>
        </w:rPr>
        <w:t>Conclusion</w:t>
      </w:r>
    </w:p>
    <w:p w:rsidR="00CA43A5" w:rsidRPr="00CA43A5" w:rsidRDefault="00CA43A5" w:rsidP="0043084D">
      <w:pPr>
        <w:keepNext/>
        <w:widowControl/>
        <w:spacing w:line="360" w:lineRule="auto"/>
        <w:ind w:firstLine="1440"/>
        <w:rPr>
          <w:sz w:val="26"/>
          <w:szCs w:val="26"/>
        </w:rPr>
      </w:pPr>
    </w:p>
    <w:p w:rsidR="00CA43A5" w:rsidRPr="002952E2" w:rsidRDefault="00514346" w:rsidP="0043084D">
      <w:pPr>
        <w:keepNext/>
        <w:widowControl/>
        <w:spacing w:line="360" w:lineRule="auto"/>
        <w:ind w:firstLine="720"/>
        <w:rPr>
          <w:b/>
          <w:sz w:val="26"/>
          <w:szCs w:val="26"/>
        </w:rPr>
      </w:pPr>
      <w:r>
        <w:rPr>
          <w:sz w:val="26"/>
          <w:szCs w:val="26"/>
        </w:rPr>
        <w:tab/>
      </w:r>
      <w:r w:rsidR="002952E2" w:rsidRPr="002952E2">
        <w:rPr>
          <w:sz w:val="26"/>
          <w:szCs w:val="26"/>
        </w:rPr>
        <w:t xml:space="preserve">Based </w:t>
      </w:r>
      <w:r w:rsidR="004E5C86">
        <w:rPr>
          <w:sz w:val="26"/>
          <w:szCs w:val="26"/>
        </w:rPr>
        <w:t xml:space="preserve">upon the forgoing discussion, we shall </w:t>
      </w:r>
      <w:r w:rsidR="001845C1">
        <w:rPr>
          <w:sz w:val="26"/>
          <w:szCs w:val="26"/>
        </w:rPr>
        <w:t>grant</w:t>
      </w:r>
      <w:r w:rsidR="002952E2" w:rsidRPr="002952E2">
        <w:rPr>
          <w:sz w:val="26"/>
          <w:szCs w:val="26"/>
        </w:rPr>
        <w:t xml:space="preserve"> </w:t>
      </w:r>
      <w:r w:rsidR="00847E95">
        <w:rPr>
          <w:sz w:val="26"/>
          <w:szCs w:val="26"/>
        </w:rPr>
        <w:t>the Complainant’s Exception</w:t>
      </w:r>
      <w:r w:rsidR="00B42478">
        <w:rPr>
          <w:sz w:val="26"/>
          <w:szCs w:val="26"/>
        </w:rPr>
        <w:t>s;</w:t>
      </w:r>
      <w:r w:rsidR="00F75224">
        <w:rPr>
          <w:sz w:val="26"/>
          <w:szCs w:val="26"/>
        </w:rPr>
        <w:t xml:space="preserve"> </w:t>
      </w:r>
      <w:r w:rsidR="00632499">
        <w:rPr>
          <w:sz w:val="26"/>
          <w:szCs w:val="26"/>
        </w:rPr>
        <w:t>deny</w:t>
      </w:r>
      <w:r w:rsidR="001845C1">
        <w:rPr>
          <w:sz w:val="26"/>
          <w:szCs w:val="26"/>
        </w:rPr>
        <w:t xml:space="preserve"> in part, </w:t>
      </w:r>
      <w:r w:rsidR="00F75224">
        <w:rPr>
          <w:sz w:val="26"/>
          <w:szCs w:val="26"/>
        </w:rPr>
        <w:t xml:space="preserve">and </w:t>
      </w:r>
      <w:r w:rsidR="00632499">
        <w:rPr>
          <w:sz w:val="26"/>
          <w:szCs w:val="26"/>
        </w:rPr>
        <w:t>grant</w:t>
      </w:r>
      <w:r w:rsidR="00F75224">
        <w:rPr>
          <w:sz w:val="26"/>
          <w:szCs w:val="26"/>
        </w:rPr>
        <w:t xml:space="preserve">, in </w:t>
      </w:r>
      <w:r w:rsidR="00632499">
        <w:rPr>
          <w:sz w:val="26"/>
          <w:szCs w:val="26"/>
        </w:rPr>
        <w:t xml:space="preserve">limited </w:t>
      </w:r>
      <w:r w:rsidR="003B2CC2">
        <w:rPr>
          <w:sz w:val="26"/>
          <w:szCs w:val="26"/>
        </w:rPr>
        <w:t>part, Choice</w:t>
      </w:r>
      <w:r w:rsidR="007E3BF7">
        <w:rPr>
          <w:sz w:val="26"/>
          <w:szCs w:val="26"/>
        </w:rPr>
        <w:t xml:space="preserve"> Energy’s</w:t>
      </w:r>
      <w:r w:rsidR="00F75224">
        <w:rPr>
          <w:sz w:val="26"/>
          <w:szCs w:val="26"/>
        </w:rPr>
        <w:t xml:space="preserve"> Exceptions; </w:t>
      </w:r>
      <w:r w:rsidR="00B42478">
        <w:rPr>
          <w:sz w:val="26"/>
          <w:szCs w:val="26"/>
        </w:rPr>
        <w:t xml:space="preserve">and </w:t>
      </w:r>
      <w:r w:rsidR="00F75224">
        <w:rPr>
          <w:sz w:val="26"/>
          <w:szCs w:val="26"/>
        </w:rPr>
        <w:t xml:space="preserve">modify the Initial Decision, </w:t>
      </w:r>
      <w:r w:rsidR="00C86140">
        <w:rPr>
          <w:sz w:val="26"/>
          <w:szCs w:val="26"/>
        </w:rPr>
        <w:t xml:space="preserve">by increasing the civil penalty against Choice Energy, from $1,000 to $5,000, </w:t>
      </w:r>
      <w:r w:rsidR="002952E2" w:rsidRPr="002952E2">
        <w:rPr>
          <w:sz w:val="26"/>
          <w:szCs w:val="26"/>
        </w:rPr>
        <w:t xml:space="preserve">consistent with this Opinion and Order; </w:t>
      </w:r>
      <w:r w:rsidR="002952E2" w:rsidRPr="002952E2">
        <w:rPr>
          <w:b/>
          <w:sz w:val="26"/>
          <w:szCs w:val="26"/>
        </w:rPr>
        <w:t>THEREFORE,</w:t>
      </w:r>
    </w:p>
    <w:p w:rsidR="00CA43A5" w:rsidRPr="00CA43A5" w:rsidRDefault="00CA43A5" w:rsidP="00785214">
      <w:pPr>
        <w:widowControl/>
        <w:rPr>
          <w:sz w:val="26"/>
          <w:szCs w:val="26"/>
        </w:rPr>
      </w:pPr>
    </w:p>
    <w:p w:rsidR="001F6F58" w:rsidRDefault="00CA43A5" w:rsidP="008507C0">
      <w:pPr>
        <w:widowControl/>
        <w:spacing w:line="360" w:lineRule="auto"/>
        <w:ind w:firstLine="1440"/>
        <w:rPr>
          <w:b/>
          <w:sz w:val="26"/>
          <w:szCs w:val="26"/>
        </w:rPr>
      </w:pPr>
      <w:r w:rsidRPr="00CA43A5">
        <w:rPr>
          <w:b/>
          <w:sz w:val="26"/>
          <w:szCs w:val="26"/>
        </w:rPr>
        <w:t>IT IS ORDERED:</w:t>
      </w:r>
    </w:p>
    <w:p w:rsidR="00F92C68" w:rsidRPr="00CA43A5" w:rsidRDefault="00F92C68" w:rsidP="008507C0">
      <w:pPr>
        <w:widowControl/>
        <w:rPr>
          <w:sz w:val="26"/>
          <w:szCs w:val="26"/>
        </w:rPr>
      </w:pPr>
    </w:p>
    <w:p w:rsidR="000A57BC" w:rsidRDefault="000A57BC" w:rsidP="008507C0">
      <w:pPr>
        <w:widowControl/>
        <w:numPr>
          <w:ilvl w:val="0"/>
          <w:numId w:val="1"/>
        </w:numPr>
        <w:tabs>
          <w:tab w:val="num" w:pos="0"/>
        </w:tabs>
        <w:spacing w:line="360" w:lineRule="auto"/>
        <w:ind w:left="0" w:firstLine="1440"/>
        <w:rPr>
          <w:sz w:val="26"/>
          <w:szCs w:val="26"/>
        </w:rPr>
      </w:pPr>
      <w:r>
        <w:rPr>
          <w:sz w:val="26"/>
          <w:szCs w:val="26"/>
        </w:rPr>
        <w:t xml:space="preserve">That the Exceptions of Mayer Krain, filed on January 4, 2018, </w:t>
      </w:r>
      <w:r w:rsidR="008507C0">
        <w:rPr>
          <w:sz w:val="26"/>
          <w:szCs w:val="26"/>
        </w:rPr>
        <w:t xml:space="preserve">to the Initial Decision of Administrative Law Judge Marta Guhl, </w:t>
      </w:r>
      <w:r w:rsidR="004D057B">
        <w:rPr>
          <w:sz w:val="26"/>
          <w:szCs w:val="26"/>
        </w:rPr>
        <w:t>that was</w:t>
      </w:r>
      <w:r w:rsidR="008507C0">
        <w:rPr>
          <w:sz w:val="26"/>
          <w:szCs w:val="26"/>
        </w:rPr>
        <w:t xml:space="preserve"> issued on </w:t>
      </w:r>
      <w:r w:rsidR="004D057B">
        <w:rPr>
          <w:sz w:val="26"/>
          <w:szCs w:val="26"/>
        </w:rPr>
        <w:t xml:space="preserve">December 26, 2017, </w:t>
      </w:r>
      <w:bookmarkStart w:id="7" w:name="_Hlk529200528"/>
      <w:r w:rsidR="004D057B">
        <w:rPr>
          <w:sz w:val="26"/>
          <w:szCs w:val="26"/>
        </w:rPr>
        <w:t xml:space="preserve">at Docket No. C-2016-2581006, </w:t>
      </w:r>
      <w:bookmarkEnd w:id="7"/>
      <w:r>
        <w:rPr>
          <w:sz w:val="26"/>
          <w:szCs w:val="26"/>
        </w:rPr>
        <w:t xml:space="preserve">are </w:t>
      </w:r>
      <w:r w:rsidR="00207E16">
        <w:rPr>
          <w:sz w:val="26"/>
          <w:szCs w:val="26"/>
        </w:rPr>
        <w:t>granted</w:t>
      </w:r>
      <w:r>
        <w:rPr>
          <w:sz w:val="26"/>
          <w:szCs w:val="26"/>
        </w:rPr>
        <w:t>, consistent with this Opinion and Order.</w:t>
      </w:r>
    </w:p>
    <w:p w:rsidR="000A57BC" w:rsidRDefault="000A57BC" w:rsidP="00785214">
      <w:pPr>
        <w:keepNext/>
        <w:widowControl/>
        <w:spacing w:line="360" w:lineRule="auto"/>
        <w:ind w:left="2160"/>
        <w:rPr>
          <w:sz w:val="26"/>
          <w:szCs w:val="26"/>
        </w:rPr>
      </w:pPr>
    </w:p>
    <w:p w:rsidR="009155F7" w:rsidRDefault="009155F7" w:rsidP="00785214">
      <w:pPr>
        <w:keepNext/>
        <w:widowControl/>
        <w:numPr>
          <w:ilvl w:val="0"/>
          <w:numId w:val="1"/>
        </w:numPr>
        <w:tabs>
          <w:tab w:val="num" w:pos="0"/>
        </w:tabs>
        <w:spacing w:line="360" w:lineRule="auto"/>
        <w:ind w:left="0" w:firstLine="1440"/>
        <w:rPr>
          <w:sz w:val="26"/>
          <w:szCs w:val="26"/>
        </w:rPr>
      </w:pPr>
      <w:r>
        <w:rPr>
          <w:sz w:val="26"/>
          <w:szCs w:val="26"/>
        </w:rPr>
        <w:t xml:space="preserve">That the Exceptions of </w:t>
      </w:r>
      <w:r w:rsidR="00514346">
        <w:rPr>
          <w:sz w:val="26"/>
          <w:szCs w:val="26"/>
        </w:rPr>
        <w:t>Choice Energy</w:t>
      </w:r>
      <w:r w:rsidR="00D75314">
        <w:rPr>
          <w:sz w:val="26"/>
          <w:szCs w:val="26"/>
        </w:rPr>
        <w:t>, LLC</w:t>
      </w:r>
      <w:r w:rsidR="004D057B">
        <w:rPr>
          <w:sz w:val="26"/>
          <w:szCs w:val="26"/>
        </w:rPr>
        <w:t>,</w:t>
      </w:r>
      <w:r w:rsidR="00514346">
        <w:rPr>
          <w:sz w:val="26"/>
          <w:szCs w:val="26"/>
        </w:rPr>
        <w:t xml:space="preserve"> </w:t>
      </w:r>
      <w:r w:rsidR="00D75314">
        <w:rPr>
          <w:sz w:val="26"/>
          <w:szCs w:val="26"/>
        </w:rPr>
        <w:t>filed on January 5, 2018,</w:t>
      </w:r>
      <w:r w:rsidR="00105657">
        <w:rPr>
          <w:sz w:val="26"/>
          <w:szCs w:val="26"/>
        </w:rPr>
        <w:t xml:space="preserve"> </w:t>
      </w:r>
      <w:r w:rsidR="004D057B">
        <w:rPr>
          <w:sz w:val="26"/>
          <w:szCs w:val="26"/>
        </w:rPr>
        <w:t xml:space="preserve">to the Initial Decision of Administrative Law Judge Marta Guhl, that was issued on </w:t>
      </w:r>
      <w:r w:rsidR="004D057B">
        <w:rPr>
          <w:sz w:val="26"/>
          <w:szCs w:val="26"/>
        </w:rPr>
        <w:lastRenderedPageBreak/>
        <w:t xml:space="preserve">December 26, 2017, at Docket No. C-2016-2581006, </w:t>
      </w:r>
      <w:r w:rsidR="00D75314">
        <w:rPr>
          <w:sz w:val="26"/>
          <w:szCs w:val="26"/>
        </w:rPr>
        <w:t>are</w:t>
      </w:r>
      <w:r>
        <w:rPr>
          <w:sz w:val="26"/>
          <w:szCs w:val="26"/>
        </w:rPr>
        <w:t xml:space="preserve"> </w:t>
      </w:r>
      <w:r w:rsidR="00F75224">
        <w:rPr>
          <w:sz w:val="26"/>
          <w:szCs w:val="26"/>
        </w:rPr>
        <w:t>denied</w:t>
      </w:r>
      <w:r w:rsidR="00175AA1">
        <w:rPr>
          <w:sz w:val="26"/>
          <w:szCs w:val="26"/>
        </w:rPr>
        <w:t xml:space="preserve">, in part, and </w:t>
      </w:r>
      <w:r w:rsidR="00F75224">
        <w:rPr>
          <w:sz w:val="26"/>
          <w:szCs w:val="26"/>
        </w:rPr>
        <w:t>gr</w:t>
      </w:r>
      <w:r w:rsidR="007016F9">
        <w:rPr>
          <w:sz w:val="26"/>
          <w:szCs w:val="26"/>
        </w:rPr>
        <w:t>a</w:t>
      </w:r>
      <w:r w:rsidR="00F75224">
        <w:rPr>
          <w:sz w:val="26"/>
          <w:szCs w:val="26"/>
        </w:rPr>
        <w:t>nted</w:t>
      </w:r>
      <w:r w:rsidR="00175AA1">
        <w:rPr>
          <w:sz w:val="26"/>
          <w:szCs w:val="26"/>
        </w:rPr>
        <w:t xml:space="preserve">, in </w:t>
      </w:r>
      <w:r w:rsidR="004E3C18">
        <w:rPr>
          <w:sz w:val="26"/>
          <w:szCs w:val="26"/>
        </w:rPr>
        <w:t xml:space="preserve">limited </w:t>
      </w:r>
      <w:r w:rsidR="00175AA1">
        <w:rPr>
          <w:sz w:val="26"/>
          <w:szCs w:val="26"/>
        </w:rPr>
        <w:t>part</w:t>
      </w:r>
      <w:r w:rsidR="003F51F4">
        <w:rPr>
          <w:sz w:val="26"/>
          <w:szCs w:val="26"/>
        </w:rPr>
        <w:t xml:space="preserve">, consistent with this Opinion </w:t>
      </w:r>
      <w:r w:rsidR="00B80C43">
        <w:rPr>
          <w:sz w:val="26"/>
          <w:szCs w:val="26"/>
        </w:rPr>
        <w:t>and Order</w:t>
      </w:r>
      <w:r>
        <w:rPr>
          <w:sz w:val="26"/>
          <w:szCs w:val="26"/>
        </w:rPr>
        <w:t>.</w:t>
      </w:r>
    </w:p>
    <w:p w:rsidR="00514346" w:rsidRDefault="00514346" w:rsidP="00785214">
      <w:pPr>
        <w:widowControl/>
        <w:spacing w:line="360" w:lineRule="auto"/>
        <w:ind w:left="1440"/>
        <w:rPr>
          <w:sz w:val="26"/>
          <w:szCs w:val="26"/>
        </w:rPr>
      </w:pPr>
    </w:p>
    <w:p w:rsidR="00CA43A5" w:rsidRPr="00175AA1" w:rsidRDefault="00CA43A5" w:rsidP="00785214">
      <w:pPr>
        <w:widowControl/>
        <w:numPr>
          <w:ilvl w:val="0"/>
          <w:numId w:val="1"/>
        </w:numPr>
        <w:tabs>
          <w:tab w:val="num" w:pos="0"/>
        </w:tabs>
        <w:spacing w:line="360" w:lineRule="auto"/>
        <w:ind w:left="0" w:firstLine="1440"/>
        <w:rPr>
          <w:sz w:val="26"/>
          <w:szCs w:val="26"/>
        </w:rPr>
      </w:pPr>
      <w:r w:rsidRPr="00175AA1">
        <w:rPr>
          <w:sz w:val="26"/>
          <w:szCs w:val="26"/>
        </w:rPr>
        <w:t xml:space="preserve">That the Initial Decision of Administrative Law Judge </w:t>
      </w:r>
      <w:r w:rsidR="00820B8E" w:rsidRPr="00175AA1">
        <w:rPr>
          <w:sz w:val="26"/>
          <w:szCs w:val="26"/>
        </w:rPr>
        <w:t>Mar</w:t>
      </w:r>
      <w:r w:rsidR="00E32EF2" w:rsidRPr="00175AA1">
        <w:rPr>
          <w:sz w:val="26"/>
          <w:szCs w:val="26"/>
        </w:rPr>
        <w:t>ta</w:t>
      </w:r>
      <w:r w:rsidR="00820B8E" w:rsidRPr="00175AA1">
        <w:rPr>
          <w:sz w:val="26"/>
          <w:szCs w:val="26"/>
        </w:rPr>
        <w:t xml:space="preserve"> </w:t>
      </w:r>
      <w:r w:rsidR="00E32EF2" w:rsidRPr="00175AA1">
        <w:rPr>
          <w:sz w:val="26"/>
          <w:szCs w:val="26"/>
        </w:rPr>
        <w:t>Guh</w:t>
      </w:r>
      <w:r w:rsidR="00257F9A" w:rsidRPr="00175AA1">
        <w:rPr>
          <w:sz w:val="26"/>
          <w:szCs w:val="26"/>
        </w:rPr>
        <w:t>l</w:t>
      </w:r>
      <w:r w:rsidRPr="00175AA1">
        <w:rPr>
          <w:sz w:val="26"/>
          <w:szCs w:val="26"/>
        </w:rPr>
        <w:t xml:space="preserve"> </w:t>
      </w:r>
      <w:r w:rsidR="00D75314">
        <w:rPr>
          <w:sz w:val="26"/>
          <w:szCs w:val="26"/>
        </w:rPr>
        <w:t xml:space="preserve">issued on December 26, 2017, </w:t>
      </w:r>
      <w:r w:rsidR="00444B24">
        <w:rPr>
          <w:sz w:val="26"/>
          <w:szCs w:val="26"/>
        </w:rPr>
        <w:t xml:space="preserve">at Docket No. C-2016-2581006, </w:t>
      </w:r>
      <w:r w:rsidRPr="00175AA1">
        <w:rPr>
          <w:sz w:val="26"/>
          <w:szCs w:val="26"/>
        </w:rPr>
        <w:t xml:space="preserve">is </w:t>
      </w:r>
      <w:r w:rsidR="00175AA1">
        <w:rPr>
          <w:sz w:val="26"/>
          <w:szCs w:val="26"/>
        </w:rPr>
        <w:t>modified</w:t>
      </w:r>
      <w:r w:rsidRPr="00175AA1">
        <w:rPr>
          <w:sz w:val="26"/>
          <w:szCs w:val="26"/>
        </w:rPr>
        <w:t>, consistent with this Opinion and Order.</w:t>
      </w:r>
    </w:p>
    <w:p w:rsidR="0097237E" w:rsidRDefault="0097237E" w:rsidP="00785214">
      <w:pPr>
        <w:pStyle w:val="ListParagraph"/>
        <w:widowControl/>
        <w:rPr>
          <w:sz w:val="26"/>
          <w:szCs w:val="26"/>
        </w:rPr>
      </w:pPr>
    </w:p>
    <w:p w:rsidR="00D471E7" w:rsidRDefault="006E01F7" w:rsidP="0043084D">
      <w:pPr>
        <w:widowControl/>
        <w:numPr>
          <w:ilvl w:val="0"/>
          <w:numId w:val="1"/>
        </w:numPr>
        <w:tabs>
          <w:tab w:val="num" w:pos="0"/>
        </w:tabs>
        <w:spacing w:line="360" w:lineRule="auto"/>
        <w:ind w:left="0" w:firstLine="1440"/>
        <w:rPr>
          <w:sz w:val="26"/>
          <w:szCs w:val="26"/>
        </w:rPr>
      </w:pPr>
      <w:r w:rsidRPr="00D471E7">
        <w:rPr>
          <w:sz w:val="26"/>
          <w:szCs w:val="26"/>
        </w:rPr>
        <w:t xml:space="preserve">That the Complaint of </w:t>
      </w:r>
      <w:r w:rsidR="0072202F" w:rsidRPr="00D471E7">
        <w:rPr>
          <w:sz w:val="26"/>
          <w:szCs w:val="26"/>
        </w:rPr>
        <w:t>Mayer Krain</w:t>
      </w:r>
      <w:r w:rsidRPr="00D471E7">
        <w:rPr>
          <w:sz w:val="26"/>
          <w:szCs w:val="26"/>
        </w:rPr>
        <w:t xml:space="preserve"> against </w:t>
      </w:r>
      <w:r w:rsidR="00076714" w:rsidRPr="00D471E7">
        <w:rPr>
          <w:sz w:val="26"/>
          <w:szCs w:val="26"/>
        </w:rPr>
        <w:t>Choice Energy</w:t>
      </w:r>
      <w:r w:rsidRPr="00D471E7">
        <w:rPr>
          <w:sz w:val="26"/>
          <w:szCs w:val="26"/>
        </w:rPr>
        <w:t>, LLC at Docket No. C-201</w:t>
      </w:r>
      <w:r w:rsidR="0072202F" w:rsidRPr="00D471E7">
        <w:rPr>
          <w:sz w:val="26"/>
          <w:szCs w:val="26"/>
        </w:rPr>
        <w:t>6</w:t>
      </w:r>
      <w:r w:rsidRPr="00D471E7">
        <w:rPr>
          <w:sz w:val="26"/>
          <w:szCs w:val="26"/>
        </w:rPr>
        <w:t>-</w:t>
      </w:r>
      <w:r w:rsidR="00552351" w:rsidRPr="00D471E7">
        <w:rPr>
          <w:sz w:val="26"/>
          <w:szCs w:val="26"/>
        </w:rPr>
        <w:t>2</w:t>
      </w:r>
      <w:r w:rsidR="0072202F" w:rsidRPr="00D471E7">
        <w:rPr>
          <w:sz w:val="26"/>
          <w:szCs w:val="26"/>
        </w:rPr>
        <w:t>581006</w:t>
      </w:r>
      <w:r w:rsidRPr="00D471E7">
        <w:rPr>
          <w:sz w:val="26"/>
          <w:szCs w:val="26"/>
        </w:rPr>
        <w:t xml:space="preserve"> is sustained</w:t>
      </w:r>
      <w:r w:rsidR="00444B24">
        <w:rPr>
          <w:sz w:val="26"/>
          <w:szCs w:val="26"/>
        </w:rPr>
        <w:t>, consistent with this Opinion and Order</w:t>
      </w:r>
      <w:r w:rsidR="00514346" w:rsidRPr="00D471E7">
        <w:rPr>
          <w:sz w:val="26"/>
          <w:szCs w:val="26"/>
        </w:rPr>
        <w:t>.</w:t>
      </w:r>
    </w:p>
    <w:p w:rsidR="004E3C18" w:rsidRDefault="004E3C18" w:rsidP="00197C49">
      <w:pPr>
        <w:widowControl/>
        <w:spacing w:line="360" w:lineRule="auto"/>
        <w:rPr>
          <w:sz w:val="26"/>
          <w:szCs w:val="26"/>
        </w:rPr>
      </w:pPr>
    </w:p>
    <w:p w:rsidR="00175AA1" w:rsidRPr="000A57BC" w:rsidRDefault="00175AA1" w:rsidP="0043084D">
      <w:pPr>
        <w:widowControl/>
        <w:numPr>
          <w:ilvl w:val="0"/>
          <w:numId w:val="1"/>
        </w:numPr>
        <w:tabs>
          <w:tab w:val="num" w:pos="0"/>
        </w:tabs>
        <w:spacing w:line="360" w:lineRule="auto"/>
        <w:ind w:left="0" w:firstLine="1440"/>
        <w:rPr>
          <w:sz w:val="26"/>
          <w:szCs w:val="26"/>
        </w:rPr>
      </w:pPr>
      <w:r w:rsidRPr="00F46F44">
        <w:rPr>
          <w:sz w:val="26"/>
        </w:rPr>
        <w:t xml:space="preserve">That </w:t>
      </w:r>
      <w:r w:rsidR="003218C7" w:rsidRPr="00F46F44">
        <w:rPr>
          <w:sz w:val="26"/>
        </w:rPr>
        <w:t xml:space="preserve">within </w:t>
      </w:r>
      <w:r w:rsidRPr="00F46F44">
        <w:rPr>
          <w:sz w:val="26"/>
        </w:rPr>
        <w:t xml:space="preserve">thirty (30) days of </w:t>
      </w:r>
      <w:r w:rsidR="003218C7" w:rsidRPr="00F46F44">
        <w:rPr>
          <w:sz w:val="26"/>
        </w:rPr>
        <w:t xml:space="preserve">the </w:t>
      </w:r>
      <w:r w:rsidR="00444B24">
        <w:rPr>
          <w:sz w:val="26"/>
        </w:rPr>
        <w:t xml:space="preserve">date of </w:t>
      </w:r>
      <w:r w:rsidR="003218C7" w:rsidRPr="00F46F44">
        <w:rPr>
          <w:sz w:val="26"/>
        </w:rPr>
        <w:t>entry of this Opinion and Order, Choice Energy, LLC shall remit</w:t>
      </w:r>
      <w:r w:rsidRPr="00F46F44">
        <w:rPr>
          <w:sz w:val="26"/>
        </w:rPr>
        <w:t xml:space="preserve"> </w:t>
      </w:r>
      <w:r w:rsidR="00444B24">
        <w:rPr>
          <w:sz w:val="26"/>
        </w:rPr>
        <w:t>Five Thousand Dollars (</w:t>
      </w:r>
      <w:r w:rsidRPr="00F46F44">
        <w:rPr>
          <w:sz w:val="26"/>
        </w:rPr>
        <w:t>$</w:t>
      </w:r>
      <w:r w:rsidR="00207E16">
        <w:rPr>
          <w:sz w:val="26"/>
        </w:rPr>
        <w:t>5</w:t>
      </w:r>
      <w:r w:rsidRPr="00F46F44">
        <w:rPr>
          <w:sz w:val="26"/>
        </w:rPr>
        <w:t>,000</w:t>
      </w:r>
      <w:r w:rsidR="00444B24">
        <w:rPr>
          <w:sz w:val="26"/>
        </w:rPr>
        <w:t>)</w:t>
      </w:r>
      <w:r w:rsidRPr="00F46F44">
        <w:rPr>
          <w:sz w:val="26"/>
        </w:rPr>
        <w:t xml:space="preserve">, </w:t>
      </w:r>
      <w:r w:rsidR="003218C7" w:rsidRPr="00F46F44">
        <w:rPr>
          <w:sz w:val="26"/>
        </w:rPr>
        <w:t xml:space="preserve">payable </w:t>
      </w:r>
      <w:r w:rsidRPr="00F46F44">
        <w:rPr>
          <w:sz w:val="26"/>
        </w:rPr>
        <w:t>by certified check or money order</w:t>
      </w:r>
      <w:r w:rsidR="003218C7" w:rsidRPr="00F46F44">
        <w:rPr>
          <w:sz w:val="26"/>
        </w:rPr>
        <w:t>,</w:t>
      </w:r>
      <w:r w:rsidRPr="00F46F44">
        <w:rPr>
          <w:sz w:val="26"/>
        </w:rPr>
        <w:t xml:space="preserve"> to </w:t>
      </w:r>
      <w:r w:rsidR="002B1D40" w:rsidRPr="00F46F44">
        <w:rPr>
          <w:sz w:val="26"/>
        </w:rPr>
        <w:t>“</w:t>
      </w:r>
      <w:r w:rsidR="003218C7" w:rsidRPr="00F46F44">
        <w:rPr>
          <w:sz w:val="26"/>
        </w:rPr>
        <w:t>Commonwealth of Pennsylvania” with the docket number of this proceeding listed, and sent to</w:t>
      </w:r>
      <w:r w:rsidRPr="00F46F44">
        <w:rPr>
          <w:sz w:val="26"/>
        </w:rPr>
        <w:t>:</w:t>
      </w:r>
    </w:p>
    <w:p w:rsidR="000A57BC" w:rsidRPr="00F46F44" w:rsidRDefault="000A57BC" w:rsidP="00785214">
      <w:pPr>
        <w:widowControl/>
        <w:spacing w:line="360" w:lineRule="auto"/>
        <w:ind w:left="1440"/>
        <w:rPr>
          <w:sz w:val="26"/>
          <w:szCs w:val="26"/>
        </w:rPr>
      </w:pPr>
    </w:p>
    <w:p w:rsidR="00175AA1" w:rsidRPr="00175AA1" w:rsidRDefault="003218C7" w:rsidP="009D357E">
      <w:pPr>
        <w:keepNext/>
        <w:keepLines/>
        <w:widowControl/>
        <w:rPr>
          <w:sz w:val="26"/>
          <w:szCs w:val="26"/>
        </w:rPr>
      </w:pPr>
      <w:r>
        <w:rPr>
          <w:sz w:val="26"/>
          <w:szCs w:val="26"/>
        </w:rPr>
        <w:tab/>
      </w:r>
      <w:r>
        <w:rPr>
          <w:sz w:val="26"/>
          <w:szCs w:val="26"/>
        </w:rPr>
        <w:tab/>
      </w:r>
      <w:r>
        <w:rPr>
          <w:sz w:val="26"/>
          <w:szCs w:val="26"/>
        </w:rPr>
        <w:tab/>
      </w:r>
      <w:r w:rsidR="00AC2FC9">
        <w:rPr>
          <w:sz w:val="26"/>
          <w:szCs w:val="26"/>
        </w:rPr>
        <w:t>Rosemary Chiavetta, Secretary</w:t>
      </w:r>
    </w:p>
    <w:p w:rsidR="00175AA1" w:rsidRPr="007625B7" w:rsidRDefault="00175AA1" w:rsidP="009D357E">
      <w:pPr>
        <w:keepNext/>
        <w:keepLines/>
        <w:widowControl/>
        <w:rPr>
          <w:sz w:val="26"/>
        </w:rPr>
      </w:pPr>
      <w:r w:rsidRPr="007625B7">
        <w:rPr>
          <w:sz w:val="26"/>
        </w:rPr>
        <w:tab/>
      </w:r>
      <w:r w:rsidRPr="007625B7">
        <w:rPr>
          <w:sz w:val="26"/>
        </w:rPr>
        <w:tab/>
      </w:r>
      <w:r w:rsidRPr="007625B7">
        <w:rPr>
          <w:sz w:val="26"/>
        </w:rPr>
        <w:tab/>
        <w:t>Pennsylvania Public Utility Commission</w:t>
      </w:r>
    </w:p>
    <w:p w:rsidR="00AC2FC9" w:rsidRDefault="00175AA1" w:rsidP="009D357E">
      <w:pPr>
        <w:keepNext/>
        <w:keepLines/>
        <w:widowControl/>
        <w:rPr>
          <w:sz w:val="26"/>
        </w:rPr>
      </w:pPr>
      <w:r w:rsidRPr="007625B7">
        <w:rPr>
          <w:sz w:val="26"/>
        </w:rPr>
        <w:tab/>
      </w:r>
      <w:r w:rsidRPr="007625B7">
        <w:rPr>
          <w:sz w:val="26"/>
        </w:rPr>
        <w:tab/>
      </w:r>
      <w:r w:rsidRPr="007625B7">
        <w:rPr>
          <w:sz w:val="26"/>
        </w:rPr>
        <w:tab/>
      </w:r>
      <w:r w:rsidR="00AC2FC9">
        <w:rPr>
          <w:sz w:val="26"/>
        </w:rPr>
        <w:t>Commonwealth Keystone Building</w:t>
      </w:r>
    </w:p>
    <w:p w:rsidR="00AC2FC9" w:rsidRDefault="00AC2FC9" w:rsidP="009D357E">
      <w:pPr>
        <w:keepNext/>
        <w:keepLines/>
        <w:widowControl/>
        <w:rPr>
          <w:sz w:val="26"/>
        </w:rPr>
      </w:pPr>
      <w:r>
        <w:rPr>
          <w:sz w:val="26"/>
        </w:rPr>
        <w:tab/>
      </w:r>
      <w:r>
        <w:rPr>
          <w:sz w:val="26"/>
        </w:rPr>
        <w:tab/>
      </w:r>
      <w:r>
        <w:rPr>
          <w:sz w:val="26"/>
        </w:rPr>
        <w:tab/>
        <w:t>400 North Street</w:t>
      </w:r>
    </w:p>
    <w:p w:rsidR="00175AA1" w:rsidRDefault="00175AA1" w:rsidP="009D357E">
      <w:pPr>
        <w:keepNext/>
        <w:keepLines/>
        <w:widowControl/>
        <w:rPr>
          <w:sz w:val="26"/>
        </w:rPr>
      </w:pPr>
      <w:r w:rsidRPr="007625B7">
        <w:rPr>
          <w:sz w:val="26"/>
        </w:rPr>
        <w:tab/>
      </w:r>
      <w:r w:rsidRPr="007625B7">
        <w:rPr>
          <w:sz w:val="26"/>
        </w:rPr>
        <w:tab/>
      </w:r>
      <w:r w:rsidRPr="007625B7">
        <w:rPr>
          <w:sz w:val="26"/>
        </w:rPr>
        <w:tab/>
        <w:t>Harrisburg, PA 171</w:t>
      </w:r>
      <w:r w:rsidR="00AC2FC9">
        <w:rPr>
          <w:sz w:val="26"/>
        </w:rPr>
        <w:t>20</w:t>
      </w:r>
    </w:p>
    <w:p w:rsidR="009D357E" w:rsidRDefault="009D357E" w:rsidP="0094012A">
      <w:pPr>
        <w:widowControl/>
        <w:spacing w:line="360" w:lineRule="auto"/>
        <w:rPr>
          <w:sz w:val="26"/>
        </w:rPr>
      </w:pPr>
    </w:p>
    <w:p w:rsidR="00175AA1" w:rsidRDefault="00175AA1" w:rsidP="00785214">
      <w:pPr>
        <w:widowControl/>
        <w:numPr>
          <w:ilvl w:val="0"/>
          <w:numId w:val="1"/>
        </w:numPr>
        <w:tabs>
          <w:tab w:val="num" w:pos="0"/>
        </w:tabs>
        <w:spacing w:line="360" w:lineRule="auto"/>
        <w:ind w:left="0" w:firstLine="1440"/>
        <w:rPr>
          <w:sz w:val="26"/>
        </w:rPr>
      </w:pPr>
      <w:r w:rsidRPr="007625B7">
        <w:rPr>
          <w:sz w:val="26"/>
        </w:rPr>
        <w:t>That a copy of this Opinion and Order be served upon the Financial and Assessment Chief</w:t>
      </w:r>
      <w:r w:rsidR="00AC2FC9">
        <w:rPr>
          <w:sz w:val="26"/>
        </w:rPr>
        <w:t>,</w:t>
      </w:r>
      <w:r w:rsidR="003F45C2">
        <w:rPr>
          <w:sz w:val="26"/>
        </w:rPr>
        <w:t xml:space="preserve"> </w:t>
      </w:r>
      <w:r w:rsidR="00AC2FC9">
        <w:rPr>
          <w:sz w:val="26"/>
        </w:rPr>
        <w:t>O</w:t>
      </w:r>
      <w:r w:rsidRPr="007625B7">
        <w:rPr>
          <w:sz w:val="26"/>
        </w:rPr>
        <w:t>ffice of Administrative Services.</w:t>
      </w:r>
    </w:p>
    <w:p w:rsidR="00175AA1" w:rsidRPr="007625B7" w:rsidRDefault="00175AA1" w:rsidP="00785214">
      <w:pPr>
        <w:widowControl/>
        <w:spacing w:line="360" w:lineRule="auto"/>
        <w:ind w:left="1440"/>
        <w:rPr>
          <w:sz w:val="26"/>
        </w:rPr>
      </w:pPr>
    </w:p>
    <w:p w:rsidR="00175AA1" w:rsidRDefault="00175AA1" w:rsidP="00785214">
      <w:pPr>
        <w:widowControl/>
        <w:numPr>
          <w:ilvl w:val="0"/>
          <w:numId w:val="1"/>
        </w:numPr>
        <w:tabs>
          <w:tab w:val="num" w:pos="0"/>
        </w:tabs>
        <w:spacing w:line="360" w:lineRule="auto"/>
        <w:ind w:left="0" w:firstLine="1440"/>
        <w:rPr>
          <w:sz w:val="26"/>
        </w:rPr>
      </w:pPr>
      <w:r w:rsidRPr="00175AA1">
        <w:rPr>
          <w:sz w:val="26"/>
        </w:rPr>
        <w:t xml:space="preserve">That Choice Energy, </w:t>
      </w:r>
      <w:r w:rsidR="00AC2FC9">
        <w:rPr>
          <w:sz w:val="26"/>
        </w:rPr>
        <w:t xml:space="preserve">LLC </w:t>
      </w:r>
      <w:r w:rsidRPr="00175AA1">
        <w:rPr>
          <w:sz w:val="26"/>
        </w:rPr>
        <w:t>cease and desist from further violations of the Public Utility Code and the Commission’s Regulations.</w:t>
      </w:r>
    </w:p>
    <w:p w:rsidR="00175AA1" w:rsidRPr="00175AA1" w:rsidRDefault="00175AA1" w:rsidP="00785214">
      <w:pPr>
        <w:widowControl/>
        <w:spacing w:after="200" w:line="276" w:lineRule="auto"/>
        <w:rPr>
          <w:sz w:val="26"/>
        </w:rPr>
      </w:pPr>
    </w:p>
    <w:p w:rsidR="00175AA1" w:rsidRPr="00175AA1" w:rsidRDefault="00175AA1" w:rsidP="00785214">
      <w:pPr>
        <w:keepNext/>
        <w:keepLines/>
        <w:widowControl/>
        <w:numPr>
          <w:ilvl w:val="0"/>
          <w:numId w:val="1"/>
        </w:numPr>
        <w:tabs>
          <w:tab w:val="num" w:pos="0"/>
        </w:tabs>
        <w:spacing w:line="360" w:lineRule="auto"/>
        <w:ind w:left="0" w:firstLine="1440"/>
        <w:rPr>
          <w:sz w:val="26"/>
        </w:rPr>
      </w:pPr>
      <w:r w:rsidRPr="00175AA1">
        <w:rPr>
          <w:sz w:val="26"/>
        </w:rPr>
        <w:lastRenderedPageBreak/>
        <w:t xml:space="preserve">That upon receipt of </w:t>
      </w:r>
      <w:r w:rsidR="00AC2FC9">
        <w:rPr>
          <w:sz w:val="26"/>
        </w:rPr>
        <w:t>the payment of $</w:t>
      </w:r>
      <w:r w:rsidR="00207E16">
        <w:rPr>
          <w:sz w:val="26"/>
        </w:rPr>
        <w:t>5</w:t>
      </w:r>
      <w:r w:rsidR="00AC2FC9">
        <w:rPr>
          <w:sz w:val="26"/>
        </w:rPr>
        <w:t xml:space="preserve">,000 by Choice Energy, LLC, as directed by Ordering Paragraph No. </w:t>
      </w:r>
      <w:r w:rsidR="00D471E7">
        <w:rPr>
          <w:sz w:val="26"/>
        </w:rPr>
        <w:t>5</w:t>
      </w:r>
      <w:r w:rsidR="00AC2FC9">
        <w:rPr>
          <w:sz w:val="26"/>
        </w:rPr>
        <w:t xml:space="preserve"> above,</w:t>
      </w:r>
      <w:r w:rsidR="003F45C2">
        <w:rPr>
          <w:sz w:val="26"/>
        </w:rPr>
        <w:t xml:space="preserve"> </w:t>
      </w:r>
      <w:r w:rsidRPr="00175AA1">
        <w:rPr>
          <w:sz w:val="26"/>
        </w:rPr>
        <w:t>th</w:t>
      </w:r>
      <w:r w:rsidR="0048040C">
        <w:rPr>
          <w:sz w:val="26"/>
        </w:rPr>
        <w:t xml:space="preserve">e </w:t>
      </w:r>
      <w:r w:rsidRPr="00175AA1">
        <w:rPr>
          <w:sz w:val="26"/>
        </w:rPr>
        <w:t xml:space="preserve">proceeding </w:t>
      </w:r>
      <w:r w:rsidR="0048040C">
        <w:rPr>
          <w:sz w:val="26"/>
        </w:rPr>
        <w:t>at Docket No. C</w:t>
      </w:r>
      <w:r w:rsidR="0048040C">
        <w:rPr>
          <w:sz w:val="26"/>
        </w:rPr>
        <w:noBreakHyphen/>
        <w:t xml:space="preserve">2016-2581006 </w:t>
      </w:r>
      <w:r w:rsidR="00AC2FC9">
        <w:rPr>
          <w:sz w:val="26"/>
        </w:rPr>
        <w:t xml:space="preserve">be marked </w:t>
      </w:r>
      <w:r w:rsidRPr="00175AA1">
        <w:rPr>
          <w:sz w:val="26"/>
        </w:rPr>
        <w:t>closed.</w:t>
      </w:r>
      <w:r w:rsidR="00D8628A" w:rsidRPr="00D8628A">
        <w:rPr>
          <w:noProof/>
        </w:rPr>
        <w:t xml:space="preserve"> </w:t>
      </w:r>
    </w:p>
    <w:p w:rsidR="0072202F" w:rsidRDefault="0072202F" w:rsidP="00785214">
      <w:pPr>
        <w:keepNext/>
        <w:keepLines/>
        <w:widowControl/>
        <w:spacing w:line="360" w:lineRule="auto"/>
        <w:rPr>
          <w:sz w:val="26"/>
          <w:szCs w:val="26"/>
        </w:rPr>
      </w:pPr>
    </w:p>
    <w:p w:rsidR="00CA43A5" w:rsidRPr="00CA43A5" w:rsidRDefault="00D8628A" w:rsidP="00785214">
      <w:pPr>
        <w:keepNext/>
        <w:keepLines/>
        <w:widowControl/>
        <w:tabs>
          <w:tab w:val="left" w:pos="-720"/>
        </w:tabs>
        <w:ind w:firstLine="5040"/>
        <w:rPr>
          <w:sz w:val="26"/>
          <w:szCs w:val="26"/>
        </w:rPr>
      </w:pPr>
      <w:r>
        <w:rPr>
          <w:noProof/>
        </w:rPr>
        <w:drawing>
          <wp:anchor distT="0" distB="0" distL="114300" distR="114300" simplePos="0" relativeHeight="251662336" behindDoc="1" locked="0" layoutInCell="1" allowOverlap="1" wp14:anchorId="6C6DDE26" wp14:editId="4DF051F0">
            <wp:simplePos x="0" y="0"/>
            <wp:positionH relativeFrom="column">
              <wp:posOffset>3219450</wp:posOffset>
            </wp:positionH>
            <wp:positionV relativeFrom="paragraph">
              <wp:posOffset>153670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785214">
      <w:pPr>
        <w:keepNext/>
        <w:keepLines/>
        <w:widowControl/>
        <w:tabs>
          <w:tab w:val="left" w:pos="-720"/>
        </w:tabs>
        <w:rPr>
          <w:sz w:val="26"/>
          <w:szCs w:val="26"/>
        </w:rPr>
      </w:pPr>
    </w:p>
    <w:p w:rsidR="00CA43A5" w:rsidRDefault="00CA43A5" w:rsidP="00785214">
      <w:pPr>
        <w:keepNext/>
        <w:keepLines/>
        <w:widowControl/>
        <w:tabs>
          <w:tab w:val="left" w:pos="-720"/>
        </w:tabs>
        <w:rPr>
          <w:sz w:val="26"/>
          <w:szCs w:val="26"/>
        </w:rPr>
      </w:pPr>
    </w:p>
    <w:p w:rsidR="0097237E" w:rsidRPr="00CA43A5" w:rsidRDefault="0097237E" w:rsidP="00785214">
      <w:pPr>
        <w:keepNext/>
        <w:keepLines/>
        <w:widowControl/>
        <w:tabs>
          <w:tab w:val="left" w:pos="-720"/>
        </w:tabs>
        <w:rPr>
          <w:sz w:val="26"/>
          <w:szCs w:val="26"/>
        </w:rPr>
      </w:pPr>
      <w:bookmarkStart w:id="8" w:name="_GoBack"/>
      <w:bookmarkEnd w:id="8"/>
    </w:p>
    <w:p w:rsidR="00CA43A5" w:rsidRPr="00CA43A5" w:rsidRDefault="00CA43A5" w:rsidP="00785214">
      <w:pPr>
        <w:keepNext/>
        <w:keepLines/>
        <w:widowControl/>
        <w:tabs>
          <w:tab w:val="left" w:pos="-720"/>
        </w:tabs>
        <w:rPr>
          <w:sz w:val="26"/>
          <w:szCs w:val="26"/>
        </w:rPr>
      </w:pPr>
    </w:p>
    <w:p w:rsidR="00CA43A5" w:rsidRPr="00CA43A5" w:rsidRDefault="00564565" w:rsidP="00785214">
      <w:pPr>
        <w:keepNext/>
        <w:keepLines/>
        <w:widowControl/>
        <w:tabs>
          <w:tab w:val="left" w:pos="-720"/>
        </w:tabs>
        <w:ind w:firstLine="5040"/>
        <w:rPr>
          <w:b/>
          <w:sz w:val="26"/>
          <w:szCs w:val="26"/>
        </w:rPr>
      </w:pPr>
      <w:r>
        <w:rPr>
          <w:sz w:val="26"/>
          <w:szCs w:val="26"/>
        </w:rPr>
        <w:t>Rosemary Chiavetta</w:t>
      </w:r>
    </w:p>
    <w:p w:rsidR="00CA43A5" w:rsidRPr="00CA43A5" w:rsidRDefault="00CA43A5" w:rsidP="00785214">
      <w:pPr>
        <w:keepNext/>
        <w:keepLines/>
        <w:widowControl/>
        <w:tabs>
          <w:tab w:val="left" w:pos="-720"/>
        </w:tabs>
        <w:ind w:firstLine="5040"/>
        <w:rPr>
          <w:sz w:val="26"/>
          <w:szCs w:val="26"/>
        </w:rPr>
      </w:pPr>
      <w:r w:rsidRPr="00CA43A5">
        <w:rPr>
          <w:sz w:val="26"/>
          <w:szCs w:val="26"/>
        </w:rPr>
        <w:t>Secretary</w:t>
      </w:r>
    </w:p>
    <w:p w:rsidR="00481DD6" w:rsidRDefault="00481DD6" w:rsidP="00785214">
      <w:pPr>
        <w:keepNext/>
        <w:keepLines/>
        <w:widowControl/>
        <w:tabs>
          <w:tab w:val="left" w:pos="-720"/>
        </w:tabs>
        <w:rPr>
          <w:sz w:val="26"/>
          <w:szCs w:val="26"/>
        </w:rPr>
      </w:pPr>
    </w:p>
    <w:p w:rsidR="00CA43A5" w:rsidRPr="00CA43A5" w:rsidRDefault="00CA43A5" w:rsidP="00785214">
      <w:pPr>
        <w:keepNext/>
        <w:keepLines/>
        <w:widowControl/>
        <w:tabs>
          <w:tab w:val="left" w:pos="-720"/>
        </w:tabs>
        <w:rPr>
          <w:sz w:val="26"/>
          <w:szCs w:val="26"/>
        </w:rPr>
      </w:pPr>
      <w:r w:rsidRPr="00CA43A5">
        <w:rPr>
          <w:sz w:val="26"/>
          <w:szCs w:val="26"/>
        </w:rPr>
        <w:t>(SEAL)</w:t>
      </w:r>
    </w:p>
    <w:p w:rsidR="00481DD6" w:rsidRDefault="00481DD6" w:rsidP="00785214">
      <w:pPr>
        <w:keepNext/>
        <w:keepLines/>
        <w:widowControl/>
        <w:tabs>
          <w:tab w:val="left" w:pos="-720"/>
        </w:tabs>
        <w:rPr>
          <w:sz w:val="26"/>
          <w:szCs w:val="26"/>
        </w:rPr>
      </w:pPr>
    </w:p>
    <w:p w:rsidR="00CA43A5" w:rsidRPr="00CA43A5" w:rsidRDefault="00CC1311" w:rsidP="00785214">
      <w:pPr>
        <w:keepNext/>
        <w:keepLines/>
        <w:widowControl/>
        <w:tabs>
          <w:tab w:val="left" w:pos="-720"/>
        </w:tabs>
        <w:rPr>
          <w:sz w:val="26"/>
          <w:szCs w:val="26"/>
        </w:rPr>
      </w:pPr>
      <w:r>
        <w:rPr>
          <w:sz w:val="26"/>
          <w:szCs w:val="26"/>
        </w:rPr>
        <w:t xml:space="preserve">ORDER ADOPTED:  </w:t>
      </w:r>
      <w:r w:rsidR="00FF1D8B">
        <w:rPr>
          <w:sz w:val="26"/>
          <w:szCs w:val="26"/>
        </w:rPr>
        <w:t>October</w:t>
      </w:r>
      <w:r>
        <w:rPr>
          <w:sz w:val="26"/>
          <w:szCs w:val="26"/>
        </w:rPr>
        <w:t xml:space="preserve"> </w:t>
      </w:r>
      <w:r w:rsidR="00B3793E">
        <w:rPr>
          <w:sz w:val="26"/>
          <w:szCs w:val="26"/>
        </w:rPr>
        <w:t>25</w:t>
      </w:r>
      <w:r>
        <w:rPr>
          <w:sz w:val="26"/>
          <w:szCs w:val="26"/>
        </w:rPr>
        <w:t>, 201</w:t>
      </w:r>
      <w:r w:rsidR="002400D0">
        <w:rPr>
          <w:sz w:val="26"/>
          <w:szCs w:val="26"/>
        </w:rPr>
        <w:t>8</w:t>
      </w:r>
    </w:p>
    <w:p w:rsidR="00481DD6" w:rsidRDefault="00481DD6" w:rsidP="00785214">
      <w:pPr>
        <w:keepNext/>
        <w:keepLines/>
        <w:widowControl/>
        <w:tabs>
          <w:tab w:val="left" w:pos="-720"/>
        </w:tabs>
        <w:rPr>
          <w:sz w:val="26"/>
          <w:szCs w:val="26"/>
        </w:rPr>
      </w:pPr>
    </w:p>
    <w:p w:rsidR="00344804" w:rsidRDefault="00CA43A5" w:rsidP="00A135AD">
      <w:pPr>
        <w:keepNext/>
        <w:keepLines/>
        <w:widowControl/>
        <w:tabs>
          <w:tab w:val="left" w:pos="-720"/>
          <w:tab w:val="left" w:pos="2640"/>
        </w:tabs>
        <w:rPr>
          <w:sz w:val="26"/>
          <w:szCs w:val="26"/>
        </w:rPr>
      </w:pPr>
      <w:r w:rsidRPr="00CA43A5">
        <w:rPr>
          <w:sz w:val="26"/>
          <w:szCs w:val="26"/>
        </w:rPr>
        <w:t>ORDER ENTERED:</w:t>
      </w:r>
      <w:r w:rsidR="009D357E">
        <w:rPr>
          <w:sz w:val="26"/>
          <w:szCs w:val="26"/>
        </w:rPr>
        <w:t xml:space="preserve"> </w:t>
      </w:r>
      <w:r w:rsidR="00D8628A">
        <w:rPr>
          <w:sz w:val="26"/>
          <w:szCs w:val="26"/>
        </w:rPr>
        <w:t xml:space="preserve"> November 15, 2018</w:t>
      </w:r>
      <w:r w:rsidR="009D357E">
        <w:rPr>
          <w:sz w:val="26"/>
          <w:szCs w:val="26"/>
        </w:rPr>
        <w:t xml:space="preserve"> </w:t>
      </w:r>
    </w:p>
    <w:sectPr w:rsidR="00344804" w:rsidSect="00B561A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C53" w:rsidRDefault="00F54C53" w:rsidP="00B56E5F">
      <w:r>
        <w:separator/>
      </w:r>
    </w:p>
  </w:endnote>
  <w:endnote w:type="continuationSeparator" w:id="0">
    <w:p w:rsidR="00F54C53" w:rsidRDefault="00F54C53" w:rsidP="00B5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783115"/>
      <w:docPartObj>
        <w:docPartGallery w:val="Page Numbers (Bottom of Page)"/>
        <w:docPartUnique/>
      </w:docPartObj>
    </w:sdtPr>
    <w:sdtEndPr>
      <w:rPr>
        <w:noProof/>
        <w:sz w:val="26"/>
        <w:szCs w:val="26"/>
      </w:rPr>
    </w:sdtEndPr>
    <w:sdtContent>
      <w:p w:rsidR="00882A2A" w:rsidRPr="00E6602A" w:rsidRDefault="00882A2A">
        <w:pPr>
          <w:pStyle w:val="Footer"/>
          <w:jc w:val="center"/>
          <w:rPr>
            <w:sz w:val="26"/>
            <w:szCs w:val="26"/>
          </w:rPr>
        </w:pPr>
        <w:r w:rsidRPr="002D7860">
          <w:rPr>
            <w:sz w:val="26"/>
            <w:szCs w:val="26"/>
          </w:rPr>
          <w:fldChar w:fldCharType="begin"/>
        </w:r>
        <w:r w:rsidRPr="002D7860">
          <w:rPr>
            <w:sz w:val="26"/>
            <w:szCs w:val="26"/>
          </w:rPr>
          <w:instrText xml:space="preserve"> PAGE   \* MERGEFORMAT </w:instrText>
        </w:r>
        <w:r w:rsidRPr="002D7860">
          <w:rPr>
            <w:sz w:val="26"/>
            <w:szCs w:val="26"/>
          </w:rPr>
          <w:fldChar w:fldCharType="separate"/>
        </w:r>
        <w:r>
          <w:rPr>
            <w:noProof/>
            <w:sz w:val="26"/>
            <w:szCs w:val="26"/>
          </w:rPr>
          <w:t>28</w:t>
        </w:r>
        <w:r w:rsidRPr="002D7860">
          <w:rPr>
            <w:noProof/>
            <w:sz w:val="26"/>
            <w:szCs w:val="26"/>
          </w:rPr>
          <w:fldChar w:fldCharType="end"/>
        </w:r>
      </w:p>
    </w:sdtContent>
  </w:sdt>
  <w:p w:rsidR="00882A2A" w:rsidRDefault="0088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C53" w:rsidRDefault="00F54C53" w:rsidP="00B56E5F">
      <w:r>
        <w:separator/>
      </w:r>
    </w:p>
  </w:footnote>
  <w:footnote w:type="continuationSeparator" w:id="0">
    <w:p w:rsidR="00F54C53" w:rsidRDefault="00F54C53" w:rsidP="00B56E5F">
      <w:r>
        <w:continuationSeparator/>
      </w:r>
    </w:p>
  </w:footnote>
  <w:footnote w:id="1">
    <w:p w:rsidR="00B65ED3" w:rsidRPr="00B8681B" w:rsidRDefault="00F85819" w:rsidP="007539E2">
      <w:pPr>
        <w:pStyle w:val="FootnoteText"/>
      </w:pPr>
      <w:r>
        <w:tab/>
      </w:r>
      <w:r w:rsidR="00B65ED3" w:rsidRPr="00B8681B">
        <w:rPr>
          <w:vertAlign w:val="superscript"/>
        </w:rPr>
        <w:footnoteRef/>
      </w:r>
      <w:r w:rsidR="00B65ED3" w:rsidRPr="00B8681B">
        <w:tab/>
        <w:t>The Complainant</w:t>
      </w:r>
      <w:r w:rsidR="009D060A">
        <w:t xml:space="preserve"> entitled his </w:t>
      </w:r>
      <w:r w:rsidR="00B65ED3" w:rsidRPr="00B8681B">
        <w:t>Repl</w:t>
      </w:r>
      <w:r w:rsidR="00B82D49" w:rsidRPr="00B8681B">
        <w:t>ies to</w:t>
      </w:r>
      <w:r w:rsidR="00B65ED3" w:rsidRPr="00B8681B">
        <w:t xml:space="preserve"> Exceptions </w:t>
      </w:r>
      <w:r w:rsidR="009D060A">
        <w:t>a</w:t>
      </w:r>
      <w:r w:rsidR="00226A8D">
        <w:t xml:space="preserve">s </w:t>
      </w:r>
      <w:r w:rsidR="00B65ED3" w:rsidRPr="00B8681B">
        <w:t xml:space="preserve">“Exceptions of Mayer Krain, Complainant.”  </w:t>
      </w:r>
      <w:r w:rsidR="00B82D49" w:rsidRPr="00B8681B">
        <w:t>However, i</w:t>
      </w:r>
      <w:r w:rsidR="00B65ED3" w:rsidRPr="00B8681B">
        <w:t xml:space="preserve">t is apparent from </w:t>
      </w:r>
      <w:r w:rsidR="00B82D49" w:rsidRPr="00B8681B">
        <w:t>the filing’s</w:t>
      </w:r>
      <w:r w:rsidR="00B65ED3" w:rsidRPr="00B8681B">
        <w:t xml:space="preserve"> contents as well as its subtitle “</w:t>
      </w:r>
      <w:r w:rsidR="004F7C2C">
        <w:t>D</w:t>
      </w:r>
      <w:r w:rsidR="00B65ED3" w:rsidRPr="00B8681B">
        <w:t xml:space="preserve">iscussion of </w:t>
      </w:r>
      <w:r w:rsidR="00B65ED3" w:rsidRPr="00481DD6">
        <w:rPr>
          <w:szCs w:val="26"/>
        </w:rPr>
        <w:t>the</w:t>
      </w:r>
      <w:r w:rsidR="00B65ED3" w:rsidRPr="00B8681B">
        <w:t xml:space="preserve"> Choice Energy’s Exceptions,” that the Complainant</w:t>
      </w:r>
      <w:r w:rsidR="00B82D49" w:rsidRPr="00B8681B">
        <w:t>’s</w:t>
      </w:r>
      <w:r w:rsidR="00B65ED3" w:rsidRPr="00B8681B">
        <w:t xml:space="preserve"> document </w:t>
      </w:r>
      <w:r w:rsidR="00226A8D">
        <w:t xml:space="preserve">is a </w:t>
      </w:r>
      <w:r w:rsidR="009D060A">
        <w:t>r</w:t>
      </w:r>
      <w:r w:rsidR="00226A8D">
        <w:t xml:space="preserve">eply to </w:t>
      </w:r>
      <w:r w:rsidR="00B65ED3" w:rsidRPr="00B8681B">
        <w:t>Choice Energy’s Exceptions</w:t>
      </w:r>
      <w:r w:rsidR="009D060A">
        <w:t>, and we will consider it as such</w:t>
      </w:r>
      <w:r w:rsidR="004F7C2C">
        <w:t>.</w:t>
      </w:r>
    </w:p>
  </w:footnote>
  <w:footnote w:id="2">
    <w:p w:rsidR="00763B5E" w:rsidRPr="00B8681B" w:rsidRDefault="00F85819" w:rsidP="007539E2">
      <w:pPr>
        <w:pStyle w:val="FootnoteText"/>
      </w:pPr>
      <w:r>
        <w:tab/>
      </w:r>
      <w:r w:rsidR="00763B5E" w:rsidRPr="00B8681B">
        <w:rPr>
          <w:rStyle w:val="FootnoteReference"/>
        </w:rPr>
        <w:footnoteRef/>
      </w:r>
      <w:r w:rsidR="00763B5E" w:rsidRPr="00B8681B">
        <w:tab/>
      </w:r>
      <w:r w:rsidR="00763B5E" w:rsidRPr="00481DD6">
        <w:rPr>
          <w:szCs w:val="26"/>
        </w:rPr>
        <w:t>Mr</w:t>
      </w:r>
      <w:r w:rsidR="00763B5E" w:rsidRPr="00B8681B">
        <w:t>. Gruin entered his appearance on behalf of Choice Energy on the same date.</w:t>
      </w:r>
    </w:p>
  </w:footnote>
  <w:footnote w:id="3">
    <w:p w:rsidR="00AC5DE8" w:rsidRPr="00B8681B" w:rsidRDefault="00AC5DE8" w:rsidP="002B6B6D">
      <w:pPr>
        <w:pStyle w:val="FootnoteText"/>
        <w:ind w:firstLine="720"/>
        <w:rPr>
          <w:rFonts w:eastAsiaTheme="minorHAnsi"/>
        </w:rPr>
      </w:pPr>
      <w:r w:rsidRPr="00B8681B">
        <w:rPr>
          <w:rStyle w:val="FootnoteReference"/>
        </w:rPr>
        <w:footnoteRef/>
      </w:r>
      <w:r w:rsidRPr="00B8681B">
        <w:tab/>
      </w:r>
      <w:r w:rsidR="00A57B63" w:rsidRPr="00B8681B">
        <w:t xml:space="preserve">Those factors </w:t>
      </w:r>
      <w:r w:rsidR="0097237E" w:rsidRPr="00B8681B">
        <w:t>include</w:t>
      </w:r>
      <w:r w:rsidR="00E33329">
        <w:t>,</w:t>
      </w:r>
      <w:r w:rsidR="0097237E" w:rsidRPr="00B8681B">
        <w:t xml:space="preserve"> but</w:t>
      </w:r>
      <w:r w:rsidR="00A57B63" w:rsidRPr="00B8681B">
        <w:t xml:space="preserve"> are not limited to</w:t>
      </w:r>
      <w:r w:rsidR="00E33329">
        <w:t xml:space="preserve"> the following</w:t>
      </w:r>
      <w:r w:rsidR="00A57B63" w:rsidRPr="00B8681B">
        <w:t xml:space="preserve">: whether the violation </w:t>
      </w:r>
      <w:r w:rsidR="00A57B63" w:rsidRPr="00481DD6">
        <w:rPr>
          <w:szCs w:val="26"/>
        </w:rPr>
        <w:t>was</w:t>
      </w:r>
      <w:r w:rsidR="00A57B63" w:rsidRPr="00B8681B">
        <w:t xml:space="preserve"> intentional or negligent, the compliance history of the regulated entity which</w:t>
      </w:r>
      <w:r w:rsidR="00A57B63" w:rsidRPr="00BC030E">
        <w:t xml:space="preserve"> </w:t>
      </w:r>
      <w:r w:rsidR="00A57B63" w:rsidRPr="00B8681B">
        <w:t>committed the violation, the amount necessary to deter future violations, and past Commission decisions in similar situations.</w:t>
      </w:r>
    </w:p>
  </w:footnote>
  <w:footnote w:id="4">
    <w:p w:rsidR="00AF21F5" w:rsidRDefault="00AF21F5" w:rsidP="00AF21F5">
      <w:pPr>
        <w:pStyle w:val="FootnoteText"/>
      </w:pPr>
      <w:r>
        <w:tab/>
      </w:r>
      <w:r>
        <w:rPr>
          <w:rStyle w:val="FootnoteReference"/>
        </w:rPr>
        <w:footnoteRef/>
      </w:r>
      <w:r>
        <w:tab/>
        <w:t>We note that the Complain</w:t>
      </w:r>
      <w:r w:rsidR="00F11231">
        <w:t xml:space="preserve">t was </w:t>
      </w:r>
      <w:r>
        <w:t>serve</w:t>
      </w:r>
      <w:r w:rsidR="00F11231">
        <w:t>d on</w:t>
      </w:r>
      <w:r>
        <w:t xml:space="preserve"> Choice Energy on December 23, 2016</w:t>
      </w:r>
      <w:r w:rsidR="00F11231">
        <w:t>.</w:t>
      </w:r>
    </w:p>
  </w:footnote>
  <w:footnote w:id="5">
    <w:p w:rsidR="00AF21F5" w:rsidRDefault="00AF21F5" w:rsidP="00AF21F5">
      <w:pPr>
        <w:pStyle w:val="FootnoteText"/>
      </w:pPr>
      <w:r>
        <w:tab/>
      </w:r>
      <w:r>
        <w:rPr>
          <w:rStyle w:val="FootnoteReference"/>
        </w:rPr>
        <w:footnoteRef/>
      </w:r>
      <w:r>
        <w:tab/>
        <w:t xml:space="preserve">The ALJ’s Finding of Fact No. 4 states: “The telephone calls came from several telephone numbers, including 908-428-4714, 610-628-9792, 732-807-5614 and 201-603-2805, which were identified as ‘Choice </w:t>
      </w:r>
      <w:r w:rsidR="00F11231">
        <w:t>E</w:t>
      </w:r>
      <w:r>
        <w:t>nergy’ on the Caller ID on the Complainant’s telephone.”  I.D. at 3 (citing Tr. at 14, 17; Complainant Exh. 1).</w:t>
      </w:r>
    </w:p>
  </w:footnote>
  <w:footnote w:id="6">
    <w:p w:rsidR="004E5C86" w:rsidRPr="00381BD2" w:rsidRDefault="004E5C86" w:rsidP="00381BD2">
      <w:pPr>
        <w:pStyle w:val="FootnoteText"/>
        <w:ind w:firstLine="720"/>
        <w:rPr>
          <w:szCs w:val="26"/>
        </w:rPr>
      </w:pPr>
      <w:r w:rsidRPr="00197C49">
        <w:rPr>
          <w:rStyle w:val="FootnoteReference"/>
          <w:szCs w:val="26"/>
        </w:rPr>
        <w:footnoteRef/>
      </w:r>
      <w:r w:rsidRPr="00197C49">
        <w:rPr>
          <w:szCs w:val="26"/>
        </w:rPr>
        <w:tab/>
      </w:r>
      <w:r w:rsidR="00197C49" w:rsidRPr="00197C49">
        <w:rPr>
          <w:i/>
          <w:szCs w:val="26"/>
        </w:rPr>
        <w:t xml:space="preserve">Hiko </w:t>
      </w:r>
      <w:r w:rsidR="00197C49" w:rsidRPr="00197C49">
        <w:rPr>
          <w:i/>
          <w:iCs/>
          <w:szCs w:val="26"/>
        </w:rPr>
        <w:t>v. Pa. Pub. Util. Comm</w:t>
      </w:r>
      <w:r w:rsidR="00DC5831">
        <w:rPr>
          <w:i/>
          <w:iCs/>
          <w:szCs w:val="26"/>
        </w:rPr>
        <w:t>’</w:t>
      </w:r>
      <w:r w:rsidR="00197C49" w:rsidRPr="00197C49">
        <w:rPr>
          <w:i/>
          <w:iCs/>
          <w:szCs w:val="26"/>
        </w:rPr>
        <w:t xml:space="preserve">n, </w:t>
      </w:r>
      <w:r w:rsidR="00197C49" w:rsidRPr="00197C49">
        <w:rPr>
          <w:szCs w:val="26"/>
        </w:rPr>
        <w:t xml:space="preserve">163 A.3d 1079 (Pa. Cmwlth. 2017), </w:t>
      </w:r>
      <w:r w:rsidR="00197C49" w:rsidRPr="00DC5831">
        <w:rPr>
          <w:iCs/>
          <w:szCs w:val="26"/>
        </w:rPr>
        <w:t xml:space="preserve">appeal granted, </w:t>
      </w:r>
      <w:r w:rsidR="00197C49" w:rsidRPr="00197C49">
        <w:rPr>
          <w:szCs w:val="26"/>
        </w:rPr>
        <w:t>176 A.3d 235 (Pa</w:t>
      </w:r>
      <w:r w:rsidR="00566947">
        <w:rPr>
          <w:szCs w:val="26"/>
        </w:rPr>
        <w:t>.</w:t>
      </w:r>
      <w:r w:rsidR="00197C49" w:rsidRPr="00197C49">
        <w:rPr>
          <w:szCs w:val="26"/>
        </w:rPr>
        <w:t xml:space="preserve"> 2017)</w:t>
      </w:r>
      <w:r w:rsidR="0007103D">
        <w:rPr>
          <w:szCs w:val="26"/>
        </w:rPr>
        <w:t>.</w:t>
      </w:r>
      <w:r w:rsidR="00197C49" w:rsidRPr="00197C49">
        <w:rPr>
          <w:szCs w:val="26"/>
        </w:rPr>
        <w:t xml:space="preserve"> </w:t>
      </w:r>
      <w:r w:rsidR="0007103D">
        <w:rPr>
          <w:szCs w:val="26"/>
        </w:rPr>
        <w:t xml:space="preserve"> </w:t>
      </w:r>
      <w:r w:rsidR="00197C49" w:rsidRPr="00197C49">
        <w:rPr>
          <w:szCs w:val="26"/>
        </w:rPr>
        <w:t>The Commonwealth Court affirmed the Commission</w:t>
      </w:r>
      <w:r w:rsidR="00566947">
        <w:rPr>
          <w:szCs w:val="26"/>
        </w:rPr>
        <w:t>’</w:t>
      </w:r>
      <w:r w:rsidR="00197C49" w:rsidRPr="00197C49">
        <w:rPr>
          <w:szCs w:val="26"/>
        </w:rPr>
        <w:t xml:space="preserve">s </w:t>
      </w:r>
      <w:r w:rsidR="00197C49" w:rsidRPr="00DC5831">
        <w:t>adoption</w:t>
      </w:r>
      <w:r w:rsidR="00197C49" w:rsidRPr="00197C49">
        <w:rPr>
          <w:szCs w:val="26"/>
        </w:rPr>
        <w:t xml:space="preserve"> of the ALJ</w:t>
      </w:r>
      <w:r w:rsidR="00DC5831">
        <w:rPr>
          <w:szCs w:val="26"/>
        </w:rPr>
        <w:t>’</w:t>
      </w:r>
      <w:r w:rsidR="00197C49" w:rsidRPr="00197C49">
        <w:rPr>
          <w:szCs w:val="26"/>
        </w:rPr>
        <w:t>s Initial Decision ordering H</w:t>
      </w:r>
      <w:r w:rsidR="0007103D">
        <w:rPr>
          <w:szCs w:val="26"/>
        </w:rPr>
        <w:t>iko</w:t>
      </w:r>
      <w:r w:rsidR="00197C49" w:rsidRPr="00197C49">
        <w:rPr>
          <w:szCs w:val="26"/>
        </w:rPr>
        <w:t xml:space="preserve"> to pay a civil penalty of approximately $1.8 million for various violations of the Commission</w:t>
      </w:r>
      <w:r w:rsidR="0007103D">
        <w:rPr>
          <w:szCs w:val="26"/>
        </w:rPr>
        <w:t>’</w:t>
      </w:r>
      <w:r w:rsidR="00197C49" w:rsidRPr="00197C49">
        <w:rPr>
          <w:szCs w:val="26"/>
        </w:rPr>
        <w:t xml:space="preserve">s regulations and because </w:t>
      </w:r>
      <w:r w:rsidR="0007103D" w:rsidRPr="00197C49">
        <w:rPr>
          <w:szCs w:val="26"/>
        </w:rPr>
        <w:t>H</w:t>
      </w:r>
      <w:r w:rsidR="0007103D">
        <w:rPr>
          <w:szCs w:val="26"/>
        </w:rPr>
        <w:t>iko’</w:t>
      </w:r>
      <w:r w:rsidR="0007103D" w:rsidRPr="00197C49">
        <w:rPr>
          <w:szCs w:val="26"/>
        </w:rPr>
        <w:t xml:space="preserve">s </w:t>
      </w:r>
      <w:r w:rsidR="00197C49" w:rsidRPr="00197C49">
        <w:rPr>
          <w:szCs w:val="26"/>
        </w:rPr>
        <w:t xml:space="preserve">conduct was, </w:t>
      </w:r>
      <w:r w:rsidR="00197C49" w:rsidRPr="00381BD2">
        <w:rPr>
          <w:i/>
          <w:szCs w:val="26"/>
        </w:rPr>
        <w:t>inter alia</w:t>
      </w:r>
      <w:r w:rsidR="00197C49" w:rsidRPr="00197C49">
        <w:rPr>
          <w:szCs w:val="26"/>
        </w:rPr>
        <w:t>, intentional, which resulted in a higher penalty.</w:t>
      </w:r>
      <w:r w:rsidR="00381BD2">
        <w:rPr>
          <w:szCs w:val="26"/>
        </w:rPr>
        <w:t xml:space="preserve">  </w:t>
      </w:r>
      <w:r w:rsidR="00381BD2">
        <w:rPr>
          <w:i/>
          <w:szCs w:val="26"/>
        </w:rPr>
        <w:t>Id.</w:t>
      </w:r>
      <w:r w:rsidR="00381BD2">
        <w:rPr>
          <w:szCs w:val="26"/>
        </w:rPr>
        <w:t xml:space="preserve"> at 31.</w:t>
      </w:r>
    </w:p>
  </w:footnote>
  <w:footnote w:id="7">
    <w:p w:rsidR="0007103D" w:rsidRDefault="0007103D" w:rsidP="0007103D">
      <w:pPr>
        <w:pStyle w:val="FootnoteText"/>
        <w:ind w:firstLine="720"/>
      </w:pPr>
      <w:r>
        <w:rPr>
          <w:rStyle w:val="FootnoteReference"/>
        </w:rPr>
        <w:footnoteRef/>
      </w:r>
      <w:r>
        <w:tab/>
      </w:r>
      <w:r w:rsidR="00DD6C1C" w:rsidRPr="003D43DA">
        <w:rPr>
          <w:i/>
        </w:rPr>
        <w:t>See</w:t>
      </w:r>
      <w:r w:rsidR="00DD6C1C">
        <w:t xml:space="preserve">, </w:t>
      </w:r>
      <w:r w:rsidRPr="0043084D">
        <w:rPr>
          <w:iCs/>
        </w:rPr>
        <w:t>Secretarial Letter</w:t>
      </w:r>
      <w:r>
        <w:rPr>
          <w:i/>
          <w:iCs/>
        </w:rPr>
        <w:t xml:space="preserve"> Re: Guidance on Chapter 11I Residential Supplier Marketing Regulations, </w:t>
      </w:r>
      <w:r>
        <w:t xml:space="preserve">Docket No. L-2010-2208332, issued December 8, 2017.  As indicated by the Commission in December 2017, suppliers, and their agents are expected to comply with certain standards and practices as required by regulation when engaged in any sales and marketing activities </w:t>
      </w:r>
      <w:r w:rsidRPr="00DC5831">
        <w:rPr>
          <w:szCs w:val="26"/>
        </w:rPr>
        <w:t>involving</w:t>
      </w:r>
      <w:r>
        <w:t xml:space="preserve"> residential customers including immediately identifying himself by name, identify the supplier the agent represents and the reason for the telephone call.  In addition, the Commission advised suppliers to respect state and federal “Do Not Call” lists and to honor individual requests by potential customers to not be contacted again by a supplier or its agent.</w:t>
      </w:r>
    </w:p>
  </w:footnote>
  <w:footnote w:id="8">
    <w:p w:rsidR="00CA2913" w:rsidRDefault="00CA2913">
      <w:pPr>
        <w:pStyle w:val="FootnoteText"/>
      </w:pPr>
      <w:r>
        <w:tab/>
      </w:r>
      <w:r>
        <w:rPr>
          <w:rStyle w:val="FootnoteReference"/>
        </w:rPr>
        <w:footnoteRef/>
      </w:r>
      <w:r>
        <w:tab/>
        <w:t>I.D. at 9-11.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52F2A61C"/>
    <w:lvl w:ilvl="0" w:tplc="E1A4E0D4">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F5E05F6"/>
    <w:multiLevelType w:val="hybridMultilevel"/>
    <w:tmpl w:val="57364B80"/>
    <w:lvl w:ilvl="0" w:tplc="EF88D36C">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A207CE9"/>
    <w:multiLevelType w:val="hybridMultilevel"/>
    <w:tmpl w:val="7E6A3244"/>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C93"/>
    <w:rsid w:val="00000D47"/>
    <w:rsid w:val="00000E82"/>
    <w:rsid w:val="00000E8A"/>
    <w:rsid w:val="0000153E"/>
    <w:rsid w:val="00001FC8"/>
    <w:rsid w:val="00006685"/>
    <w:rsid w:val="00006F35"/>
    <w:rsid w:val="0001490A"/>
    <w:rsid w:val="00016D57"/>
    <w:rsid w:val="00017852"/>
    <w:rsid w:val="00021E46"/>
    <w:rsid w:val="00022B74"/>
    <w:rsid w:val="0002524C"/>
    <w:rsid w:val="00025F3F"/>
    <w:rsid w:val="00026340"/>
    <w:rsid w:val="00026CD2"/>
    <w:rsid w:val="00031119"/>
    <w:rsid w:val="00036B31"/>
    <w:rsid w:val="00037101"/>
    <w:rsid w:val="000376B9"/>
    <w:rsid w:val="00040A8E"/>
    <w:rsid w:val="00040AEA"/>
    <w:rsid w:val="00041458"/>
    <w:rsid w:val="00044106"/>
    <w:rsid w:val="00047874"/>
    <w:rsid w:val="00047F4A"/>
    <w:rsid w:val="000523D1"/>
    <w:rsid w:val="00052B8F"/>
    <w:rsid w:val="00054612"/>
    <w:rsid w:val="00054D32"/>
    <w:rsid w:val="0005572E"/>
    <w:rsid w:val="00056286"/>
    <w:rsid w:val="00056BD4"/>
    <w:rsid w:val="000612FD"/>
    <w:rsid w:val="000642AA"/>
    <w:rsid w:val="000649EC"/>
    <w:rsid w:val="00066EE5"/>
    <w:rsid w:val="00067260"/>
    <w:rsid w:val="00067D0B"/>
    <w:rsid w:val="0007103D"/>
    <w:rsid w:val="00072808"/>
    <w:rsid w:val="0007556B"/>
    <w:rsid w:val="00076714"/>
    <w:rsid w:val="00076F35"/>
    <w:rsid w:val="0007767E"/>
    <w:rsid w:val="00084573"/>
    <w:rsid w:val="00084AF9"/>
    <w:rsid w:val="00087544"/>
    <w:rsid w:val="000906F1"/>
    <w:rsid w:val="000918D4"/>
    <w:rsid w:val="00091C9B"/>
    <w:rsid w:val="00092099"/>
    <w:rsid w:val="000925A0"/>
    <w:rsid w:val="00093164"/>
    <w:rsid w:val="0009612D"/>
    <w:rsid w:val="00097504"/>
    <w:rsid w:val="000A0481"/>
    <w:rsid w:val="000A365D"/>
    <w:rsid w:val="000A3E38"/>
    <w:rsid w:val="000A57BC"/>
    <w:rsid w:val="000B216D"/>
    <w:rsid w:val="000B22AF"/>
    <w:rsid w:val="000B2755"/>
    <w:rsid w:val="000B2A52"/>
    <w:rsid w:val="000B4EAE"/>
    <w:rsid w:val="000B5238"/>
    <w:rsid w:val="000B56D1"/>
    <w:rsid w:val="000B607A"/>
    <w:rsid w:val="000B6B15"/>
    <w:rsid w:val="000B7B76"/>
    <w:rsid w:val="000C2AE3"/>
    <w:rsid w:val="000C709A"/>
    <w:rsid w:val="000C79D1"/>
    <w:rsid w:val="000D3C5A"/>
    <w:rsid w:val="000D58BA"/>
    <w:rsid w:val="000D631F"/>
    <w:rsid w:val="000E4564"/>
    <w:rsid w:val="000E67DB"/>
    <w:rsid w:val="000F1330"/>
    <w:rsid w:val="000F179E"/>
    <w:rsid w:val="000F4307"/>
    <w:rsid w:val="0010158F"/>
    <w:rsid w:val="00101F51"/>
    <w:rsid w:val="001026CA"/>
    <w:rsid w:val="00103FC8"/>
    <w:rsid w:val="001043A4"/>
    <w:rsid w:val="00104D9B"/>
    <w:rsid w:val="00105657"/>
    <w:rsid w:val="0011038A"/>
    <w:rsid w:val="00110E5A"/>
    <w:rsid w:val="001118B0"/>
    <w:rsid w:val="001135B3"/>
    <w:rsid w:val="001175BE"/>
    <w:rsid w:val="00117CB2"/>
    <w:rsid w:val="00120B39"/>
    <w:rsid w:val="001225D6"/>
    <w:rsid w:val="001229B3"/>
    <w:rsid w:val="001238E5"/>
    <w:rsid w:val="00123A2E"/>
    <w:rsid w:val="00124071"/>
    <w:rsid w:val="00124D77"/>
    <w:rsid w:val="001263C1"/>
    <w:rsid w:val="001267D4"/>
    <w:rsid w:val="00131552"/>
    <w:rsid w:val="00132810"/>
    <w:rsid w:val="00132A40"/>
    <w:rsid w:val="001347B3"/>
    <w:rsid w:val="00135972"/>
    <w:rsid w:val="001360FC"/>
    <w:rsid w:val="00137B4D"/>
    <w:rsid w:val="00140829"/>
    <w:rsid w:val="001414E4"/>
    <w:rsid w:val="00142E39"/>
    <w:rsid w:val="00143C8F"/>
    <w:rsid w:val="001447A0"/>
    <w:rsid w:val="001447FC"/>
    <w:rsid w:val="0014497F"/>
    <w:rsid w:val="00146DDD"/>
    <w:rsid w:val="00146E58"/>
    <w:rsid w:val="00147145"/>
    <w:rsid w:val="0014789E"/>
    <w:rsid w:val="00150096"/>
    <w:rsid w:val="001508E4"/>
    <w:rsid w:val="0015380A"/>
    <w:rsid w:val="00154CB6"/>
    <w:rsid w:val="0016221A"/>
    <w:rsid w:val="00162B85"/>
    <w:rsid w:val="00164DA4"/>
    <w:rsid w:val="00164E8E"/>
    <w:rsid w:val="00166298"/>
    <w:rsid w:val="001663C8"/>
    <w:rsid w:val="001672EE"/>
    <w:rsid w:val="00174D3D"/>
    <w:rsid w:val="001752FE"/>
    <w:rsid w:val="00175AA1"/>
    <w:rsid w:val="0017652E"/>
    <w:rsid w:val="00182478"/>
    <w:rsid w:val="001837D2"/>
    <w:rsid w:val="001845C1"/>
    <w:rsid w:val="00186642"/>
    <w:rsid w:val="00186A97"/>
    <w:rsid w:val="0019073B"/>
    <w:rsid w:val="0019074B"/>
    <w:rsid w:val="0019530E"/>
    <w:rsid w:val="00195F2E"/>
    <w:rsid w:val="00197A7B"/>
    <w:rsid w:val="00197C49"/>
    <w:rsid w:val="001A04BB"/>
    <w:rsid w:val="001B1B0C"/>
    <w:rsid w:val="001B1DB4"/>
    <w:rsid w:val="001B3E07"/>
    <w:rsid w:val="001C4978"/>
    <w:rsid w:val="001C5E5F"/>
    <w:rsid w:val="001C5EBD"/>
    <w:rsid w:val="001D0ED2"/>
    <w:rsid w:val="001D578E"/>
    <w:rsid w:val="001E0914"/>
    <w:rsid w:val="001E0B61"/>
    <w:rsid w:val="001E1276"/>
    <w:rsid w:val="001F0622"/>
    <w:rsid w:val="001F087F"/>
    <w:rsid w:val="001F285E"/>
    <w:rsid w:val="001F6F58"/>
    <w:rsid w:val="002006BE"/>
    <w:rsid w:val="00202524"/>
    <w:rsid w:val="00207E16"/>
    <w:rsid w:val="00210736"/>
    <w:rsid w:val="00210F34"/>
    <w:rsid w:val="00210F81"/>
    <w:rsid w:val="00211622"/>
    <w:rsid w:val="00214B3E"/>
    <w:rsid w:val="00215CB8"/>
    <w:rsid w:val="00216510"/>
    <w:rsid w:val="00222ADB"/>
    <w:rsid w:val="00223542"/>
    <w:rsid w:val="0022698E"/>
    <w:rsid w:val="00226A8D"/>
    <w:rsid w:val="00227912"/>
    <w:rsid w:val="002311EE"/>
    <w:rsid w:val="002352AD"/>
    <w:rsid w:val="0023551A"/>
    <w:rsid w:val="002370F5"/>
    <w:rsid w:val="002400D0"/>
    <w:rsid w:val="002402E3"/>
    <w:rsid w:val="00240ACA"/>
    <w:rsid w:val="00240D7B"/>
    <w:rsid w:val="00240E1E"/>
    <w:rsid w:val="00241299"/>
    <w:rsid w:val="002449F0"/>
    <w:rsid w:val="00253F8F"/>
    <w:rsid w:val="00255462"/>
    <w:rsid w:val="00256E6E"/>
    <w:rsid w:val="00257F9A"/>
    <w:rsid w:val="00260957"/>
    <w:rsid w:val="00264646"/>
    <w:rsid w:val="00264A9E"/>
    <w:rsid w:val="002667AE"/>
    <w:rsid w:val="00267852"/>
    <w:rsid w:val="00271E2B"/>
    <w:rsid w:val="0027232D"/>
    <w:rsid w:val="00272916"/>
    <w:rsid w:val="00274D0F"/>
    <w:rsid w:val="002766D3"/>
    <w:rsid w:val="00276F2D"/>
    <w:rsid w:val="00277500"/>
    <w:rsid w:val="002775BA"/>
    <w:rsid w:val="00281A5F"/>
    <w:rsid w:val="00281CFC"/>
    <w:rsid w:val="00287922"/>
    <w:rsid w:val="00291A5F"/>
    <w:rsid w:val="00291F68"/>
    <w:rsid w:val="00292B4F"/>
    <w:rsid w:val="002952E2"/>
    <w:rsid w:val="002973BB"/>
    <w:rsid w:val="00297B1B"/>
    <w:rsid w:val="002A060A"/>
    <w:rsid w:val="002A4450"/>
    <w:rsid w:val="002A6750"/>
    <w:rsid w:val="002A6774"/>
    <w:rsid w:val="002B1D40"/>
    <w:rsid w:val="002B2296"/>
    <w:rsid w:val="002B2E25"/>
    <w:rsid w:val="002B2ED3"/>
    <w:rsid w:val="002B38BE"/>
    <w:rsid w:val="002B4407"/>
    <w:rsid w:val="002B67B7"/>
    <w:rsid w:val="002B6B6D"/>
    <w:rsid w:val="002C0429"/>
    <w:rsid w:val="002C19E4"/>
    <w:rsid w:val="002C69EB"/>
    <w:rsid w:val="002C6CC4"/>
    <w:rsid w:val="002D0E75"/>
    <w:rsid w:val="002D13C4"/>
    <w:rsid w:val="002D275E"/>
    <w:rsid w:val="002D6357"/>
    <w:rsid w:val="002D7584"/>
    <w:rsid w:val="002D7860"/>
    <w:rsid w:val="002E23A3"/>
    <w:rsid w:val="002E3026"/>
    <w:rsid w:val="002E33F5"/>
    <w:rsid w:val="002E3F06"/>
    <w:rsid w:val="002E6FFA"/>
    <w:rsid w:val="002E7F8F"/>
    <w:rsid w:val="002F3F04"/>
    <w:rsid w:val="002F41BA"/>
    <w:rsid w:val="002F69B3"/>
    <w:rsid w:val="002F6BAF"/>
    <w:rsid w:val="002F7D6C"/>
    <w:rsid w:val="003018AA"/>
    <w:rsid w:val="00302317"/>
    <w:rsid w:val="00303B99"/>
    <w:rsid w:val="00304523"/>
    <w:rsid w:val="0030714F"/>
    <w:rsid w:val="003073E2"/>
    <w:rsid w:val="00307DDF"/>
    <w:rsid w:val="00312738"/>
    <w:rsid w:val="00313D89"/>
    <w:rsid w:val="00314A43"/>
    <w:rsid w:val="00316E1F"/>
    <w:rsid w:val="003218C7"/>
    <w:rsid w:val="00322040"/>
    <w:rsid w:val="003240B8"/>
    <w:rsid w:val="003246DD"/>
    <w:rsid w:val="00325422"/>
    <w:rsid w:val="00333FDA"/>
    <w:rsid w:val="003340DE"/>
    <w:rsid w:val="00340D19"/>
    <w:rsid w:val="00341402"/>
    <w:rsid w:val="00343165"/>
    <w:rsid w:val="00344804"/>
    <w:rsid w:val="0034520C"/>
    <w:rsid w:val="00345E9E"/>
    <w:rsid w:val="003518C8"/>
    <w:rsid w:val="00353034"/>
    <w:rsid w:val="003533B5"/>
    <w:rsid w:val="003622CA"/>
    <w:rsid w:val="00363030"/>
    <w:rsid w:val="0036462C"/>
    <w:rsid w:val="00364A42"/>
    <w:rsid w:val="00372AB8"/>
    <w:rsid w:val="003755FB"/>
    <w:rsid w:val="0037577C"/>
    <w:rsid w:val="00380077"/>
    <w:rsid w:val="00381941"/>
    <w:rsid w:val="00381BD2"/>
    <w:rsid w:val="00385502"/>
    <w:rsid w:val="0038561B"/>
    <w:rsid w:val="00391A43"/>
    <w:rsid w:val="00393FDF"/>
    <w:rsid w:val="0039487E"/>
    <w:rsid w:val="003A0C82"/>
    <w:rsid w:val="003A3388"/>
    <w:rsid w:val="003B0611"/>
    <w:rsid w:val="003B2CC2"/>
    <w:rsid w:val="003B42D9"/>
    <w:rsid w:val="003B572A"/>
    <w:rsid w:val="003C3140"/>
    <w:rsid w:val="003C3C2D"/>
    <w:rsid w:val="003C3E02"/>
    <w:rsid w:val="003C3FE8"/>
    <w:rsid w:val="003C6ECB"/>
    <w:rsid w:val="003C73A8"/>
    <w:rsid w:val="003C73F9"/>
    <w:rsid w:val="003D1DCE"/>
    <w:rsid w:val="003D43DA"/>
    <w:rsid w:val="003D54B4"/>
    <w:rsid w:val="003D5F07"/>
    <w:rsid w:val="003D67C9"/>
    <w:rsid w:val="003D6AB5"/>
    <w:rsid w:val="003E2AEE"/>
    <w:rsid w:val="003E2DAB"/>
    <w:rsid w:val="003E3FF5"/>
    <w:rsid w:val="003E5354"/>
    <w:rsid w:val="003F2748"/>
    <w:rsid w:val="003F45C2"/>
    <w:rsid w:val="003F51F4"/>
    <w:rsid w:val="003F52C6"/>
    <w:rsid w:val="003F558E"/>
    <w:rsid w:val="003F631B"/>
    <w:rsid w:val="003F6676"/>
    <w:rsid w:val="00402E24"/>
    <w:rsid w:val="00403D6E"/>
    <w:rsid w:val="00405E68"/>
    <w:rsid w:val="00407AC0"/>
    <w:rsid w:val="00411440"/>
    <w:rsid w:val="004128F0"/>
    <w:rsid w:val="00412E30"/>
    <w:rsid w:val="00413708"/>
    <w:rsid w:val="00414C32"/>
    <w:rsid w:val="004170AF"/>
    <w:rsid w:val="0043084D"/>
    <w:rsid w:val="00431CB0"/>
    <w:rsid w:val="00432BB7"/>
    <w:rsid w:val="004331E9"/>
    <w:rsid w:val="0043331B"/>
    <w:rsid w:val="004338E4"/>
    <w:rsid w:val="00433E8D"/>
    <w:rsid w:val="0043592C"/>
    <w:rsid w:val="00435B9C"/>
    <w:rsid w:val="0043700A"/>
    <w:rsid w:val="004411B9"/>
    <w:rsid w:val="00441207"/>
    <w:rsid w:val="004419BD"/>
    <w:rsid w:val="004422CA"/>
    <w:rsid w:val="004430D0"/>
    <w:rsid w:val="0044352A"/>
    <w:rsid w:val="00443807"/>
    <w:rsid w:val="00444B24"/>
    <w:rsid w:val="004462F7"/>
    <w:rsid w:val="004510FA"/>
    <w:rsid w:val="0045251B"/>
    <w:rsid w:val="00455859"/>
    <w:rsid w:val="00455BF4"/>
    <w:rsid w:val="00456B71"/>
    <w:rsid w:val="00457AD6"/>
    <w:rsid w:val="0046019D"/>
    <w:rsid w:val="00460DAD"/>
    <w:rsid w:val="00462461"/>
    <w:rsid w:val="00462B31"/>
    <w:rsid w:val="00464131"/>
    <w:rsid w:val="00464536"/>
    <w:rsid w:val="0046514E"/>
    <w:rsid w:val="0046623C"/>
    <w:rsid w:val="004663AE"/>
    <w:rsid w:val="00467739"/>
    <w:rsid w:val="00470D0C"/>
    <w:rsid w:val="004720C2"/>
    <w:rsid w:val="00473C26"/>
    <w:rsid w:val="00473C7F"/>
    <w:rsid w:val="00474E22"/>
    <w:rsid w:val="0047608F"/>
    <w:rsid w:val="00476554"/>
    <w:rsid w:val="00476C39"/>
    <w:rsid w:val="004772AA"/>
    <w:rsid w:val="0048040C"/>
    <w:rsid w:val="004813D4"/>
    <w:rsid w:val="00481DD6"/>
    <w:rsid w:val="0048417E"/>
    <w:rsid w:val="00486FBA"/>
    <w:rsid w:val="004914AA"/>
    <w:rsid w:val="00491D91"/>
    <w:rsid w:val="0049580C"/>
    <w:rsid w:val="0049768F"/>
    <w:rsid w:val="004A04E5"/>
    <w:rsid w:val="004A0B0E"/>
    <w:rsid w:val="004A1495"/>
    <w:rsid w:val="004A2165"/>
    <w:rsid w:val="004A3B51"/>
    <w:rsid w:val="004A5F74"/>
    <w:rsid w:val="004A7BFD"/>
    <w:rsid w:val="004B1052"/>
    <w:rsid w:val="004B1085"/>
    <w:rsid w:val="004B2C0A"/>
    <w:rsid w:val="004B2EE7"/>
    <w:rsid w:val="004B4788"/>
    <w:rsid w:val="004B6023"/>
    <w:rsid w:val="004B6B14"/>
    <w:rsid w:val="004C29C8"/>
    <w:rsid w:val="004C40D9"/>
    <w:rsid w:val="004C4573"/>
    <w:rsid w:val="004D057B"/>
    <w:rsid w:val="004D39B6"/>
    <w:rsid w:val="004D5E71"/>
    <w:rsid w:val="004D7549"/>
    <w:rsid w:val="004E0952"/>
    <w:rsid w:val="004E3C18"/>
    <w:rsid w:val="004E47EC"/>
    <w:rsid w:val="004E480E"/>
    <w:rsid w:val="004E514F"/>
    <w:rsid w:val="004E5C86"/>
    <w:rsid w:val="004E6CC6"/>
    <w:rsid w:val="004E6DC9"/>
    <w:rsid w:val="004E737F"/>
    <w:rsid w:val="004F03DE"/>
    <w:rsid w:val="004F22DA"/>
    <w:rsid w:val="004F7C2C"/>
    <w:rsid w:val="005002E7"/>
    <w:rsid w:val="00501C51"/>
    <w:rsid w:val="00502014"/>
    <w:rsid w:val="00502165"/>
    <w:rsid w:val="005028FB"/>
    <w:rsid w:val="00503B3A"/>
    <w:rsid w:val="00504834"/>
    <w:rsid w:val="00504C7A"/>
    <w:rsid w:val="00505AEE"/>
    <w:rsid w:val="0050601C"/>
    <w:rsid w:val="0050632E"/>
    <w:rsid w:val="0050752D"/>
    <w:rsid w:val="00511EF3"/>
    <w:rsid w:val="0051363F"/>
    <w:rsid w:val="00513E20"/>
    <w:rsid w:val="00513F8F"/>
    <w:rsid w:val="00514346"/>
    <w:rsid w:val="00514507"/>
    <w:rsid w:val="00520E58"/>
    <w:rsid w:val="00521350"/>
    <w:rsid w:val="00526EFB"/>
    <w:rsid w:val="005311F0"/>
    <w:rsid w:val="00534731"/>
    <w:rsid w:val="005351B9"/>
    <w:rsid w:val="00536011"/>
    <w:rsid w:val="005376BC"/>
    <w:rsid w:val="00543EE3"/>
    <w:rsid w:val="005448F3"/>
    <w:rsid w:val="0054682A"/>
    <w:rsid w:val="00550B79"/>
    <w:rsid w:val="0055150B"/>
    <w:rsid w:val="00551D86"/>
    <w:rsid w:val="00552351"/>
    <w:rsid w:val="005532F9"/>
    <w:rsid w:val="0055440B"/>
    <w:rsid w:val="00556814"/>
    <w:rsid w:val="0055708D"/>
    <w:rsid w:val="00557D98"/>
    <w:rsid w:val="00561CA6"/>
    <w:rsid w:val="005639AB"/>
    <w:rsid w:val="00564565"/>
    <w:rsid w:val="005647BE"/>
    <w:rsid w:val="00566299"/>
    <w:rsid w:val="00566947"/>
    <w:rsid w:val="00566EA6"/>
    <w:rsid w:val="0056727C"/>
    <w:rsid w:val="00570479"/>
    <w:rsid w:val="005725F6"/>
    <w:rsid w:val="0057668A"/>
    <w:rsid w:val="00586817"/>
    <w:rsid w:val="00586D92"/>
    <w:rsid w:val="00587507"/>
    <w:rsid w:val="00587E1D"/>
    <w:rsid w:val="00593DB5"/>
    <w:rsid w:val="00596A0B"/>
    <w:rsid w:val="00596E05"/>
    <w:rsid w:val="00596F85"/>
    <w:rsid w:val="005970FA"/>
    <w:rsid w:val="005A0176"/>
    <w:rsid w:val="005A076C"/>
    <w:rsid w:val="005A088E"/>
    <w:rsid w:val="005A0E51"/>
    <w:rsid w:val="005A10BC"/>
    <w:rsid w:val="005A2298"/>
    <w:rsid w:val="005A28C1"/>
    <w:rsid w:val="005A72FC"/>
    <w:rsid w:val="005B0388"/>
    <w:rsid w:val="005B109A"/>
    <w:rsid w:val="005B203E"/>
    <w:rsid w:val="005B36E2"/>
    <w:rsid w:val="005B5ED3"/>
    <w:rsid w:val="005B6415"/>
    <w:rsid w:val="005B73E7"/>
    <w:rsid w:val="005C2FD5"/>
    <w:rsid w:val="005C4E76"/>
    <w:rsid w:val="005C5378"/>
    <w:rsid w:val="005D2AB9"/>
    <w:rsid w:val="005D34E2"/>
    <w:rsid w:val="005D496E"/>
    <w:rsid w:val="005D6F58"/>
    <w:rsid w:val="005D7C20"/>
    <w:rsid w:val="005E0FFE"/>
    <w:rsid w:val="005E3D45"/>
    <w:rsid w:val="005E61F8"/>
    <w:rsid w:val="005E6908"/>
    <w:rsid w:val="005E6960"/>
    <w:rsid w:val="005E6E64"/>
    <w:rsid w:val="005E7EB8"/>
    <w:rsid w:val="005F03E8"/>
    <w:rsid w:val="005F06CB"/>
    <w:rsid w:val="005F18D6"/>
    <w:rsid w:val="005F1983"/>
    <w:rsid w:val="005F6509"/>
    <w:rsid w:val="005F70E9"/>
    <w:rsid w:val="006002C8"/>
    <w:rsid w:val="00600E6A"/>
    <w:rsid w:val="00603024"/>
    <w:rsid w:val="00605965"/>
    <w:rsid w:val="0061161C"/>
    <w:rsid w:val="006116E3"/>
    <w:rsid w:val="0061198D"/>
    <w:rsid w:val="00617C21"/>
    <w:rsid w:val="00620797"/>
    <w:rsid w:val="00623818"/>
    <w:rsid w:val="00624400"/>
    <w:rsid w:val="00624E51"/>
    <w:rsid w:val="006258D0"/>
    <w:rsid w:val="00626162"/>
    <w:rsid w:val="00632499"/>
    <w:rsid w:val="0063252E"/>
    <w:rsid w:val="00632A15"/>
    <w:rsid w:val="00634719"/>
    <w:rsid w:val="00634ACC"/>
    <w:rsid w:val="006373B2"/>
    <w:rsid w:val="006379AA"/>
    <w:rsid w:val="00641655"/>
    <w:rsid w:val="006420C7"/>
    <w:rsid w:val="006448B0"/>
    <w:rsid w:val="00644FB8"/>
    <w:rsid w:val="00646352"/>
    <w:rsid w:val="006503E8"/>
    <w:rsid w:val="00654447"/>
    <w:rsid w:val="00654A4A"/>
    <w:rsid w:val="0065545A"/>
    <w:rsid w:val="00657776"/>
    <w:rsid w:val="006604EC"/>
    <w:rsid w:val="00661CC5"/>
    <w:rsid w:val="00663890"/>
    <w:rsid w:val="00664CB8"/>
    <w:rsid w:val="006661AC"/>
    <w:rsid w:val="006661CF"/>
    <w:rsid w:val="00670BFD"/>
    <w:rsid w:val="00671CDD"/>
    <w:rsid w:val="00671D76"/>
    <w:rsid w:val="00671E4C"/>
    <w:rsid w:val="00673169"/>
    <w:rsid w:val="006733D7"/>
    <w:rsid w:val="00674295"/>
    <w:rsid w:val="0068051E"/>
    <w:rsid w:val="006818A8"/>
    <w:rsid w:val="00681A51"/>
    <w:rsid w:val="00681D81"/>
    <w:rsid w:val="00682469"/>
    <w:rsid w:val="00682D88"/>
    <w:rsid w:val="00683D97"/>
    <w:rsid w:val="00684FCA"/>
    <w:rsid w:val="00685549"/>
    <w:rsid w:val="006856A3"/>
    <w:rsid w:val="00686B5C"/>
    <w:rsid w:val="00687725"/>
    <w:rsid w:val="00691A65"/>
    <w:rsid w:val="006962F0"/>
    <w:rsid w:val="00696997"/>
    <w:rsid w:val="006A067B"/>
    <w:rsid w:val="006A4DB3"/>
    <w:rsid w:val="006A7488"/>
    <w:rsid w:val="006A758C"/>
    <w:rsid w:val="006B61BD"/>
    <w:rsid w:val="006B6501"/>
    <w:rsid w:val="006B66EA"/>
    <w:rsid w:val="006C1EEC"/>
    <w:rsid w:val="006C3FEA"/>
    <w:rsid w:val="006C5CC7"/>
    <w:rsid w:val="006C69E7"/>
    <w:rsid w:val="006D0987"/>
    <w:rsid w:val="006D0DAC"/>
    <w:rsid w:val="006D10AE"/>
    <w:rsid w:val="006D29F2"/>
    <w:rsid w:val="006D3C46"/>
    <w:rsid w:val="006D7CA2"/>
    <w:rsid w:val="006D7E16"/>
    <w:rsid w:val="006E01F7"/>
    <w:rsid w:val="006E065B"/>
    <w:rsid w:val="006E09D3"/>
    <w:rsid w:val="006E1E6C"/>
    <w:rsid w:val="006E3359"/>
    <w:rsid w:val="006E5505"/>
    <w:rsid w:val="006F240A"/>
    <w:rsid w:val="006F2569"/>
    <w:rsid w:val="006F2FB3"/>
    <w:rsid w:val="006F41F1"/>
    <w:rsid w:val="006F531B"/>
    <w:rsid w:val="006F62BC"/>
    <w:rsid w:val="00700D28"/>
    <w:rsid w:val="007016F9"/>
    <w:rsid w:val="00701AEE"/>
    <w:rsid w:val="00701BA8"/>
    <w:rsid w:val="00702493"/>
    <w:rsid w:val="007035C7"/>
    <w:rsid w:val="0070723E"/>
    <w:rsid w:val="00710DCD"/>
    <w:rsid w:val="00712CDB"/>
    <w:rsid w:val="0071392F"/>
    <w:rsid w:val="00714F3B"/>
    <w:rsid w:val="007161EE"/>
    <w:rsid w:val="007166F7"/>
    <w:rsid w:val="00716AEF"/>
    <w:rsid w:val="00717076"/>
    <w:rsid w:val="00717296"/>
    <w:rsid w:val="0072202F"/>
    <w:rsid w:val="00727370"/>
    <w:rsid w:val="007300DD"/>
    <w:rsid w:val="007330CE"/>
    <w:rsid w:val="00735D9E"/>
    <w:rsid w:val="007374FE"/>
    <w:rsid w:val="00737BBE"/>
    <w:rsid w:val="0074109C"/>
    <w:rsid w:val="00742335"/>
    <w:rsid w:val="00742842"/>
    <w:rsid w:val="00746866"/>
    <w:rsid w:val="007473CB"/>
    <w:rsid w:val="00750DA2"/>
    <w:rsid w:val="007522E6"/>
    <w:rsid w:val="007524A8"/>
    <w:rsid w:val="0075270B"/>
    <w:rsid w:val="00753376"/>
    <w:rsid w:val="007539E2"/>
    <w:rsid w:val="007543B0"/>
    <w:rsid w:val="007568A9"/>
    <w:rsid w:val="00761514"/>
    <w:rsid w:val="0076246F"/>
    <w:rsid w:val="0076348C"/>
    <w:rsid w:val="00763B5E"/>
    <w:rsid w:val="00763CE7"/>
    <w:rsid w:val="00767454"/>
    <w:rsid w:val="00767A2C"/>
    <w:rsid w:val="00772177"/>
    <w:rsid w:val="00775C65"/>
    <w:rsid w:val="0077639A"/>
    <w:rsid w:val="0078100C"/>
    <w:rsid w:val="0078157F"/>
    <w:rsid w:val="00781A24"/>
    <w:rsid w:val="00785214"/>
    <w:rsid w:val="00786AB8"/>
    <w:rsid w:val="00786F48"/>
    <w:rsid w:val="0078772C"/>
    <w:rsid w:val="007878E4"/>
    <w:rsid w:val="00793038"/>
    <w:rsid w:val="007963BD"/>
    <w:rsid w:val="007A4783"/>
    <w:rsid w:val="007A5191"/>
    <w:rsid w:val="007A598E"/>
    <w:rsid w:val="007B0500"/>
    <w:rsid w:val="007B111B"/>
    <w:rsid w:val="007B3AE8"/>
    <w:rsid w:val="007B4418"/>
    <w:rsid w:val="007B5F5D"/>
    <w:rsid w:val="007B5F62"/>
    <w:rsid w:val="007B66B3"/>
    <w:rsid w:val="007B7077"/>
    <w:rsid w:val="007C1096"/>
    <w:rsid w:val="007C216B"/>
    <w:rsid w:val="007C3003"/>
    <w:rsid w:val="007C4955"/>
    <w:rsid w:val="007C5679"/>
    <w:rsid w:val="007C6B60"/>
    <w:rsid w:val="007C6F85"/>
    <w:rsid w:val="007D3AA0"/>
    <w:rsid w:val="007D3FE2"/>
    <w:rsid w:val="007D4769"/>
    <w:rsid w:val="007D5448"/>
    <w:rsid w:val="007D5690"/>
    <w:rsid w:val="007D69FA"/>
    <w:rsid w:val="007E1600"/>
    <w:rsid w:val="007E3BF7"/>
    <w:rsid w:val="007E5DAA"/>
    <w:rsid w:val="007E6660"/>
    <w:rsid w:val="00800312"/>
    <w:rsid w:val="0080228E"/>
    <w:rsid w:val="00803934"/>
    <w:rsid w:val="00804EC7"/>
    <w:rsid w:val="00810603"/>
    <w:rsid w:val="00814283"/>
    <w:rsid w:val="008149CB"/>
    <w:rsid w:val="00816963"/>
    <w:rsid w:val="008171E5"/>
    <w:rsid w:val="00820209"/>
    <w:rsid w:val="00820842"/>
    <w:rsid w:val="00820B8E"/>
    <w:rsid w:val="00820E3A"/>
    <w:rsid w:val="00820F35"/>
    <w:rsid w:val="00820FEC"/>
    <w:rsid w:val="0082393D"/>
    <w:rsid w:val="008249BC"/>
    <w:rsid w:val="00824D10"/>
    <w:rsid w:val="008266FC"/>
    <w:rsid w:val="0082773C"/>
    <w:rsid w:val="0083324D"/>
    <w:rsid w:val="00841605"/>
    <w:rsid w:val="00841733"/>
    <w:rsid w:val="008432EE"/>
    <w:rsid w:val="00843DF3"/>
    <w:rsid w:val="00844D38"/>
    <w:rsid w:val="00844D85"/>
    <w:rsid w:val="008469D3"/>
    <w:rsid w:val="0084717E"/>
    <w:rsid w:val="00847E95"/>
    <w:rsid w:val="008507C0"/>
    <w:rsid w:val="008524BE"/>
    <w:rsid w:val="00853BC2"/>
    <w:rsid w:val="00854278"/>
    <w:rsid w:val="00854F0C"/>
    <w:rsid w:val="00856063"/>
    <w:rsid w:val="00857172"/>
    <w:rsid w:val="00857E11"/>
    <w:rsid w:val="00860572"/>
    <w:rsid w:val="00860DFD"/>
    <w:rsid w:val="00861333"/>
    <w:rsid w:val="0086236A"/>
    <w:rsid w:val="00866673"/>
    <w:rsid w:val="00867EFD"/>
    <w:rsid w:val="0087004E"/>
    <w:rsid w:val="0087014E"/>
    <w:rsid w:val="0087035A"/>
    <w:rsid w:val="0087347D"/>
    <w:rsid w:val="008736DE"/>
    <w:rsid w:val="00875FB3"/>
    <w:rsid w:val="00880F9F"/>
    <w:rsid w:val="00882A2A"/>
    <w:rsid w:val="00882DAD"/>
    <w:rsid w:val="00882F38"/>
    <w:rsid w:val="00885263"/>
    <w:rsid w:val="00892DA5"/>
    <w:rsid w:val="008949B1"/>
    <w:rsid w:val="0089713E"/>
    <w:rsid w:val="008A10F3"/>
    <w:rsid w:val="008A1300"/>
    <w:rsid w:val="008A1C74"/>
    <w:rsid w:val="008A5C0F"/>
    <w:rsid w:val="008B1596"/>
    <w:rsid w:val="008B49AF"/>
    <w:rsid w:val="008C09C4"/>
    <w:rsid w:val="008C1F44"/>
    <w:rsid w:val="008C646F"/>
    <w:rsid w:val="008D08DE"/>
    <w:rsid w:val="008D3509"/>
    <w:rsid w:val="008D35B1"/>
    <w:rsid w:val="008D3D18"/>
    <w:rsid w:val="008E3E4B"/>
    <w:rsid w:val="008E47E8"/>
    <w:rsid w:val="008E4EF9"/>
    <w:rsid w:val="008E5DC8"/>
    <w:rsid w:val="008E6DFC"/>
    <w:rsid w:val="008E7710"/>
    <w:rsid w:val="008F007A"/>
    <w:rsid w:val="008F0D9C"/>
    <w:rsid w:val="008F2155"/>
    <w:rsid w:val="008F45FA"/>
    <w:rsid w:val="008F463F"/>
    <w:rsid w:val="00900D4D"/>
    <w:rsid w:val="00900D98"/>
    <w:rsid w:val="00903F34"/>
    <w:rsid w:val="0090428A"/>
    <w:rsid w:val="00905C0A"/>
    <w:rsid w:val="00907383"/>
    <w:rsid w:val="009103FC"/>
    <w:rsid w:val="009116BE"/>
    <w:rsid w:val="009122F8"/>
    <w:rsid w:val="00914BCB"/>
    <w:rsid w:val="00915520"/>
    <w:rsid w:val="009155F7"/>
    <w:rsid w:val="00921131"/>
    <w:rsid w:val="009227BD"/>
    <w:rsid w:val="009247F5"/>
    <w:rsid w:val="00926AB2"/>
    <w:rsid w:val="00927A86"/>
    <w:rsid w:val="009313E8"/>
    <w:rsid w:val="0093251A"/>
    <w:rsid w:val="00934741"/>
    <w:rsid w:val="00935AD0"/>
    <w:rsid w:val="0094012A"/>
    <w:rsid w:val="009407DC"/>
    <w:rsid w:val="009407FE"/>
    <w:rsid w:val="00940820"/>
    <w:rsid w:val="00942436"/>
    <w:rsid w:val="0094524B"/>
    <w:rsid w:val="00951097"/>
    <w:rsid w:val="00953C2E"/>
    <w:rsid w:val="00955FCA"/>
    <w:rsid w:val="00957603"/>
    <w:rsid w:val="00957A1D"/>
    <w:rsid w:val="00957BC0"/>
    <w:rsid w:val="0096487B"/>
    <w:rsid w:val="0097218B"/>
    <w:rsid w:val="0097237E"/>
    <w:rsid w:val="009734C1"/>
    <w:rsid w:val="009757D1"/>
    <w:rsid w:val="009758A4"/>
    <w:rsid w:val="00976036"/>
    <w:rsid w:val="00977492"/>
    <w:rsid w:val="00980754"/>
    <w:rsid w:val="00981535"/>
    <w:rsid w:val="009825C8"/>
    <w:rsid w:val="0098409F"/>
    <w:rsid w:val="00985537"/>
    <w:rsid w:val="00991698"/>
    <w:rsid w:val="00991C17"/>
    <w:rsid w:val="00992D1E"/>
    <w:rsid w:val="00993301"/>
    <w:rsid w:val="00996584"/>
    <w:rsid w:val="00997597"/>
    <w:rsid w:val="00997EB2"/>
    <w:rsid w:val="009A01BA"/>
    <w:rsid w:val="009A06F5"/>
    <w:rsid w:val="009A0788"/>
    <w:rsid w:val="009A099B"/>
    <w:rsid w:val="009A0E92"/>
    <w:rsid w:val="009A17EC"/>
    <w:rsid w:val="009A2EEF"/>
    <w:rsid w:val="009B03DF"/>
    <w:rsid w:val="009B27B0"/>
    <w:rsid w:val="009B5DAF"/>
    <w:rsid w:val="009B6AF0"/>
    <w:rsid w:val="009B6C6A"/>
    <w:rsid w:val="009C247C"/>
    <w:rsid w:val="009C28CA"/>
    <w:rsid w:val="009C292D"/>
    <w:rsid w:val="009C2F29"/>
    <w:rsid w:val="009C5BEB"/>
    <w:rsid w:val="009C5F0C"/>
    <w:rsid w:val="009C607B"/>
    <w:rsid w:val="009C67C0"/>
    <w:rsid w:val="009D060A"/>
    <w:rsid w:val="009D1035"/>
    <w:rsid w:val="009D13D0"/>
    <w:rsid w:val="009D2068"/>
    <w:rsid w:val="009D357E"/>
    <w:rsid w:val="009D3A02"/>
    <w:rsid w:val="009D7D33"/>
    <w:rsid w:val="009E27F6"/>
    <w:rsid w:val="009E4DD4"/>
    <w:rsid w:val="009E4E3F"/>
    <w:rsid w:val="009E698B"/>
    <w:rsid w:val="009F0127"/>
    <w:rsid w:val="009F1547"/>
    <w:rsid w:val="009F392F"/>
    <w:rsid w:val="009F3A46"/>
    <w:rsid w:val="009F4ABA"/>
    <w:rsid w:val="009F752E"/>
    <w:rsid w:val="00A026F2"/>
    <w:rsid w:val="00A03130"/>
    <w:rsid w:val="00A04641"/>
    <w:rsid w:val="00A05207"/>
    <w:rsid w:val="00A066AE"/>
    <w:rsid w:val="00A070B1"/>
    <w:rsid w:val="00A10DD9"/>
    <w:rsid w:val="00A124FD"/>
    <w:rsid w:val="00A12C6B"/>
    <w:rsid w:val="00A135AD"/>
    <w:rsid w:val="00A14117"/>
    <w:rsid w:val="00A149FA"/>
    <w:rsid w:val="00A155F3"/>
    <w:rsid w:val="00A159FC"/>
    <w:rsid w:val="00A17DF0"/>
    <w:rsid w:val="00A20F78"/>
    <w:rsid w:val="00A218F1"/>
    <w:rsid w:val="00A25E32"/>
    <w:rsid w:val="00A26EDD"/>
    <w:rsid w:val="00A27DEE"/>
    <w:rsid w:val="00A309C0"/>
    <w:rsid w:val="00A31B93"/>
    <w:rsid w:val="00A34C32"/>
    <w:rsid w:val="00A34F55"/>
    <w:rsid w:val="00A375EF"/>
    <w:rsid w:val="00A37ACB"/>
    <w:rsid w:val="00A463FD"/>
    <w:rsid w:val="00A4783B"/>
    <w:rsid w:val="00A512B6"/>
    <w:rsid w:val="00A528C2"/>
    <w:rsid w:val="00A54AFD"/>
    <w:rsid w:val="00A54E69"/>
    <w:rsid w:val="00A57088"/>
    <w:rsid w:val="00A57B63"/>
    <w:rsid w:val="00A61B06"/>
    <w:rsid w:val="00A62113"/>
    <w:rsid w:val="00A62E65"/>
    <w:rsid w:val="00A635EB"/>
    <w:rsid w:val="00A66994"/>
    <w:rsid w:val="00A6759C"/>
    <w:rsid w:val="00A67923"/>
    <w:rsid w:val="00A713ED"/>
    <w:rsid w:val="00A714B8"/>
    <w:rsid w:val="00A71FB4"/>
    <w:rsid w:val="00A74901"/>
    <w:rsid w:val="00A75733"/>
    <w:rsid w:val="00A76308"/>
    <w:rsid w:val="00A77B24"/>
    <w:rsid w:val="00A77C08"/>
    <w:rsid w:val="00A80618"/>
    <w:rsid w:val="00A8065D"/>
    <w:rsid w:val="00A81527"/>
    <w:rsid w:val="00A82058"/>
    <w:rsid w:val="00A83675"/>
    <w:rsid w:val="00A84AE7"/>
    <w:rsid w:val="00A84E96"/>
    <w:rsid w:val="00A869B0"/>
    <w:rsid w:val="00A9289F"/>
    <w:rsid w:val="00A92C1D"/>
    <w:rsid w:val="00AA03D6"/>
    <w:rsid w:val="00AA0C77"/>
    <w:rsid w:val="00AA1D27"/>
    <w:rsid w:val="00AA204C"/>
    <w:rsid w:val="00AA2D57"/>
    <w:rsid w:val="00AA3941"/>
    <w:rsid w:val="00AA56D0"/>
    <w:rsid w:val="00AA7EF6"/>
    <w:rsid w:val="00AB0C9F"/>
    <w:rsid w:val="00AB143A"/>
    <w:rsid w:val="00AB2C27"/>
    <w:rsid w:val="00AB4AA1"/>
    <w:rsid w:val="00AC003C"/>
    <w:rsid w:val="00AC0103"/>
    <w:rsid w:val="00AC0C89"/>
    <w:rsid w:val="00AC1404"/>
    <w:rsid w:val="00AC2FC9"/>
    <w:rsid w:val="00AC3B34"/>
    <w:rsid w:val="00AC3C1A"/>
    <w:rsid w:val="00AC5DE8"/>
    <w:rsid w:val="00AC7AB0"/>
    <w:rsid w:val="00AD039F"/>
    <w:rsid w:val="00AD2845"/>
    <w:rsid w:val="00AD30E5"/>
    <w:rsid w:val="00AD3902"/>
    <w:rsid w:val="00AD6010"/>
    <w:rsid w:val="00AD6B3B"/>
    <w:rsid w:val="00AE10AE"/>
    <w:rsid w:val="00AE215D"/>
    <w:rsid w:val="00AE33FF"/>
    <w:rsid w:val="00AE3400"/>
    <w:rsid w:val="00AE4847"/>
    <w:rsid w:val="00AE58AC"/>
    <w:rsid w:val="00AE6EF1"/>
    <w:rsid w:val="00AF06D5"/>
    <w:rsid w:val="00AF09DD"/>
    <w:rsid w:val="00AF1432"/>
    <w:rsid w:val="00AF21F5"/>
    <w:rsid w:val="00AF2CDD"/>
    <w:rsid w:val="00AF7385"/>
    <w:rsid w:val="00AF79B8"/>
    <w:rsid w:val="00AF7B89"/>
    <w:rsid w:val="00B00442"/>
    <w:rsid w:val="00B01023"/>
    <w:rsid w:val="00B01EBF"/>
    <w:rsid w:val="00B02655"/>
    <w:rsid w:val="00B05102"/>
    <w:rsid w:val="00B06AD7"/>
    <w:rsid w:val="00B16A34"/>
    <w:rsid w:val="00B16BBE"/>
    <w:rsid w:val="00B24795"/>
    <w:rsid w:val="00B25453"/>
    <w:rsid w:val="00B31B9C"/>
    <w:rsid w:val="00B341EB"/>
    <w:rsid w:val="00B34D6C"/>
    <w:rsid w:val="00B35523"/>
    <w:rsid w:val="00B35E02"/>
    <w:rsid w:val="00B3793E"/>
    <w:rsid w:val="00B40AD2"/>
    <w:rsid w:val="00B4127D"/>
    <w:rsid w:val="00B42478"/>
    <w:rsid w:val="00B45A4A"/>
    <w:rsid w:val="00B47DC2"/>
    <w:rsid w:val="00B51573"/>
    <w:rsid w:val="00B54126"/>
    <w:rsid w:val="00B5518B"/>
    <w:rsid w:val="00B5544F"/>
    <w:rsid w:val="00B55E5D"/>
    <w:rsid w:val="00B561A6"/>
    <w:rsid w:val="00B56E5F"/>
    <w:rsid w:val="00B60A36"/>
    <w:rsid w:val="00B64BCC"/>
    <w:rsid w:val="00B65ED3"/>
    <w:rsid w:val="00B66867"/>
    <w:rsid w:val="00B66994"/>
    <w:rsid w:val="00B70C3A"/>
    <w:rsid w:val="00B71AFB"/>
    <w:rsid w:val="00B71F3A"/>
    <w:rsid w:val="00B72606"/>
    <w:rsid w:val="00B73C97"/>
    <w:rsid w:val="00B76043"/>
    <w:rsid w:val="00B76340"/>
    <w:rsid w:val="00B80C43"/>
    <w:rsid w:val="00B82474"/>
    <w:rsid w:val="00B82D49"/>
    <w:rsid w:val="00B857CF"/>
    <w:rsid w:val="00B858AF"/>
    <w:rsid w:val="00B8681B"/>
    <w:rsid w:val="00B94786"/>
    <w:rsid w:val="00B9759C"/>
    <w:rsid w:val="00BA0E44"/>
    <w:rsid w:val="00BA1333"/>
    <w:rsid w:val="00BA1A9F"/>
    <w:rsid w:val="00BA4F51"/>
    <w:rsid w:val="00BA5196"/>
    <w:rsid w:val="00BA73B7"/>
    <w:rsid w:val="00BA78B6"/>
    <w:rsid w:val="00BB26AD"/>
    <w:rsid w:val="00BB79BD"/>
    <w:rsid w:val="00BC030E"/>
    <w:rsid w:val="00BC3D51"/>
    <w:rsid w:val="00BC7208"/>
    <w:rsid w:val="00BD0B48"/>
    <w:rsid w:val="00BD129D"/>
    <w:rsid w:val="00BD1A4C"/>
    <w:rsid w:val="00BD2A0A"/>
    <w:rsid w:val="00BD44F4"/>
    <w:rsid w:val="00BD58BA"/>
    <w:rsid w:val="00BD5D0F"/>
    <w:rsid w:val="00BD6A92"/>
    <w:rsid w:val="00BD7C68"/>
    <w:rsid w:val="00BE1354"/>
    <w:rsid w:val="00BE1CBC"/>
    <w:rsid w:val="00BE1D74"/>
    <w:rsid w:val="00BE1EAA"/>
    <w:rsid w:val="00BE29DC"/>
    <w:rsid w:val="00BE4F5D"/>
    <w:rsid w:val="00BE4F8D"/>
    <w:rsid w:val="00BE5879"/>
    <w:rsid w:val="00BE720A"/>
    <w:rsid w:val="00BF1933"/>
    <w:rsid w:val="00BF1E85"/>
    <w:rsid w:val="00BF2E59"/>
    <w:rsid w:val="00BF697A"/>
    <w:rsid w:val="00BF6ADB"/>
    <w:rsid w:val="00C027E6"/>
    <w:rsid w:val="00C03776"/>
    <w:rsid w:val="00C07762"/>
    <w:rsid w:val="00C13821"/>
    <w:rsid w:val="00C14051"/>
    <w:rsid w:val="00C15F73"/>
    <w:rsid w:val="00C2037B"/>
    <w:rsid w:val="00C223AF"/>
    <w:rsid w:val="00C22FF7"/>
    <w:rsid w:val="00C27F76"/>
    <w:rsid w:val="00C30DA4"/>
    <w:rsid w:val="00C31C41"/>
    <w:rsid w:val="00C32E3C"/>
    <w:rsid w:val="00C40FB0"/>
    <w:rsid w:val="00C44719"/>
    <w:rsid w:val="00C50108"/>
    <w:rsid w:val="00C51533"/>
    <w:rsid w:val="00C534AC"/>
    <w:rsid w:val="00C54D1F"/>
    <w:rsid w:val="00C63979"/>
    <w:rsid w:val="00C6572C"/>
    <w:rsid w:val="00C65D8B"/>
    <w:rsid w:val="00C70CFF"/>
    <w:rsid w:val="00C71FC1"/>
    <w:rsid w:val="00C75655"/>
    <w:rsid w:val="00C760A0"/>
    <w:rsid w:val="00C7780B"/>
    <w:rsid w:val="00C8153B"/>
    <w:rsid w:val="00C819D8"/>
    <w:rsid w:val="00C81FA5"/>
    <w:rsid w:val="00C8209A"/>
    <w:rsid w:val="00C837C3"/>
    <w:rsid w:val="00C84497"/>
    <w:rsid w:val="00C86140"/>
    <w:rsid w:val="00C868F6"/>
    <w:rsid w:val="00C9102B"/>
    <w:rsid w:val="00C9137C"/>
    <w:rsid w:val="00C91644"/>
    <w:rsid w:val="00C9470E"/>
    <w:rsid w:val="00C95124"/>
    <w:rsid w:val="00C9663B"/>
    <w:rsid w:val="00CA028C"/>
    <w:rsid w:val="00CA2913"/>
    <w:rsid w:val="00CA43A5"/>
    <w:rsid w:val="00CA7C0B"/>
    <w:rsid w:val="00CB3174"/>
    <w:rsid w:val="00CB5ACF"/>
    <w:rsid w:val="00CB6E2B"/>
    <w:rsid w:val="00CB6FF7"/>
    <w:rsid w:val="00CB70D6"/>
    <w:rsid w:val="00CB7302"/>
    <w:rsid w:val="00CC1311"/>
    <w:rsid w:val="00CC1E9F"/>
    <w:rsid w:val="00CC2234"/>
    <w:rsid w:val="00CC419C"/>
    <w:rsid w:val="00CC4F4B"/>
    <w:rsid w:val="00CC5896"/>
    <w:rsid w:val="00CD0178"/>
    <w:rsid w:val="00CE0C35"/>
    <w:rsid w:val="00CE3810"/>
    <w:rsid w:val="00CE451E"/>
    <w:rsid w:val="00CE52B4"/>
    <w:rsid w:val="00CE5DCD"/>
    <w:rsid w:val="00CE701C"/>
    <w:rsid w:val="00CE70E0"/>
    <w:rsid w:val="00CE7599"/>
    <w:rsid w:val="00CF414A"/>
    <w:rsid w:val="00CF4FF0"/>
    <w:rsid w:val="00CF52E3"/>
    <w:rsid w:val="00CF5B47"/>
    <w:rsid w:val="00CF61FF"/>
    <w:rsid w:val="00D01348"/>
    <w:rsid w:val="00D03071"/>
    <w:rsid w:val="00D033E3"/>
    <w:rsid w:val="00D104F9"/>
    <w:rsid w:val="00D11F11"/>
    <w:rsid w:val="00D1200C"/>
    <w:rsid w:val="00D123FA"/>
    <w:rsid w:val="00D134E3"/>
    <w:rsid w:val="00D14323"/>
    <w:rsid w:val="00D14EF9"/>
    <w:rsid w:val="00D15708"/>
    <w:rsid w:val="00D15801"/>
    <w:rsid w:val="00D16008"/>
    <w:rsid w:val="00D166D4"/>
    <w:rsid w:val="00D276A3"/>
    <w:rsid w:val="00D30254"/>
    <w:rsid w:val="00D324A2"/>
    <w:rsid w:val="00D33768"/>
    <w:rsid w:val="00D33D87"/>
    <w:rsid w:val="00D34AC3"/>
    <w:rsid w:val="00D35077"/>
    <w:rsid w:val="00D356D9"/>
    <w:rsid w:val="00D35A6E"/>
    <w:rsid w:val="00D40607"/>
    <w:rsid w:val="00D40872"/>
    <w:rsid w:val="00D408A8"/>
    <w:rsid w:val="00D46DAE"/>
    <w:rsid w:val="00D471E7"/>
    <w:rsid w:val="00D47731"/>
    <w:rsid w:val="00D51C8F"/>
    <w:rsid w:val="00D5204B"/>
    <w:rsid w:val="00D54C10"/>
    <w:rsid w:val="00D54D28"/>
    <w:rsid w:val="00D55191"/>
    <w:rsid w:val="00D55CD0"/>
    <w:rsid w:val="00D55F1A"/>
    <w:rsid w:val="00D57544"/>
    <w:rsid w:val="00D57973"/>
    <w:rsid w:val="00D60CE2"/>
    <w:rsid w:val="00D612EC"/>
    <w:rsid w:val="00D6153E"/>
    <w:rsid w:val="00D623C4"/>
    <w:rsid w:val="00D70CC4"/>
    <w:rsid w:val="00D722DF"/>
    <w:rsid w:val="00D74BC7"/>
    <w:rsid w:val="00D75314"/>
    <w:rsid w:val="00D7685C"/>
    <w:rsid w:val="00D80D02"/>
    <w:rsid w:val="00D84675"/>
    <w:rsid w:val="00D8526A"/>
    <w:rsid w:val="00D86252"/>
    <w:rsid w:val="00D8628A"/>
    <w:rsid w:val="00D917F3"/>
    <w:rsid w:val="00D91955"/>
    <w:rsid w:val="00D9386D"/>
    <w:rsid w:val="00D93C05"/>
    <w:rsid w:val="00D9515B"/>
    <w:rsid w:val="00D97BAA"/>
    <w:rsid w:val="00DA053F"/>
    <w:rsid w:val="00DA09C4"/>
    <w:rsid w:val="00DA0F0C"/>
    <w:rsid w:val="00DA3AF3"/>
    <w:rsid w:val="00DA5455"/>
    <w:rsid w:val="00DA5C2B"/>
    <w:rsid w:val="00DA66C2"/>
    <w:rsid w:val="00DA7A72"/>
    <w:rsid w:val="00DB0F0F"/>
    <w:rsid w:val="00DB151E"/>
    <w:rsid w:val="00DB37FE"/>
    <w:rsid w:val="00DB4C57"/>
    <w:rsid w:val="00DB5EFB"/>
    <w:rsid w:val="00DB6EF1"/>
    <w:rsid w:val="00DC19BB"/>
    <w:rsid w:val="00DC3032"/>
    <w:rsid w:val="00DC3CFB"/>
    <w:rsid w:val="00DC5831"/>
    <w:rsid w:val="00DC6404"/>
    <w:rsid w:val="00DC640C"/>
    <w:rsid w:val="00DD6C1C"/>
    <w:rsid w:val="00DD7D77"/>
    <w:rsid w:val="00DD7FDF"/>
    <w:rsid w:val="00DE1703"/>
    <w:rsid w:val="00DE1F55"/>
    <w:rsid w:val="00DE1F9B"/>
    <w:rsid w:val="00DE25AC"/>
    <w:rsid w:val="00DE2C44"/>
    <w:rsid w:val="00DE54FD"/>
    <w:rsid w:val="00DE5C00"/>
    <w:rsid w:val="00DF1B0E"/>
    <w:rsid w:val="00DF2173"/>
    <w:rsid w:val="00DF4B90"/>
    <w:rsid w:val="00DF568D"/>
    <w:rsid w:val="00E00408"/>
    <w:rsid w:val="00E00CCB"/>
    <w:rsid w:val="00E01D91"/>
    <w:rsid w:val="00E023B5"/>
    <w:rsid w:val="00E042C7"/>
    <w:rsid w:val="00E055ED"/>
    <w:rsid w:val="00E0781A"/>
    <w:rsid w:val="00E07B1A"/>
    <w:rsid w:val="00E10FF1"/>
    <w:rsid w:val="00E11475"/>
    <w:rsid w:val="00E12C2E"/>
    <w:rsid w:val="00E175A7"/>
    <w:rsid w:val="00E20168"/>
    <w:rsid w:val="00E20740"/>
    <w:rsid w:val="00E20E92"/>
    <w:rsid w:val="00E222AC"/>
    <w:rsid w:val="00E245DA"/>
    <w:rsid w:val="00E24645"/>
    <w:rsid w:val="00E31012"/>
    <w:rsid w:val="00E31BCB"/>
    <w:rsid w:val="00E31DCF"/>
    <w:rsid w:val="00E32963"/>
    <w:rsid w:val="00E32EF2"/>
    <w:rsid w:val="00E33329"/>
    <w:rsid w:val="00E337BC"/>
    <w:rsid w:val="00E350CD"/>
    <w:rsid w:val="00E372A9"/>
    <w:rsid w:val="00E4001B"/>
    <w:rsid w:val="00E444D3"/>
    <w:rsid w:val="00E45873"/>
    <w:rsid w:val="00E47C1A"/>
    <w:rsid w:val="00E51FDE"/>
    <w:rsid w:val="00E534B2"/>
    <w:rsid w:val="00E53B49"/>
    <w:rsid w:val="00E5524A"/>
    <w:rsid w:val="00E558E2"/>
    <w:rsid w:val="00E563AA"/>
    <w:rsid w:val="00E56B66"/>
    <w:rsid w:val="00E5745C"/>
    <w:rsid w:val="00E579AF"/>
    <w:rsid w:val="00E6039A"/>
    <w:rsid w:val="00E6235C"/>
    <w:rsid w:val="00E65FB6"/>
    <w:rsid w:val="00E6602A"/>
    <w:rsid w:val="00E67F9A"/>
    <w:rsid w:val="00E67FF0"/>
    <w:rsid w:val="00E705B7"/>
    <w:rsid w:val="00E7086E"/>
    <w:rsid w:val="00E70ECC"/>
    <w:rsid w:val="00E71A89"/>
    <w:rsid w:val="00E76563"/>
    <w:rsid w:val="00E77075"/>
    <w:rsid w:val="00E77197"/>
    <w:rsid w:val="00E80B26"/>
    <w:rsid w:val="00E81B1A"/>
    <w:rsid w:val="00E83CE5"/>
    <w:rsid w:val="00E84FB3"/>
    <w:rsid w:val="00E87037"/>
    <w:rsid w:val="00E8734B"/>
    <w:rsid w:val="00E8778D"/>
    <w:rsid w:val="00E966B1"/>
    <w:rsid w:val="00E9794D"/>
    <w:rsid w:val="00EA0F03"/>
    <w:rsid w:val="00EA1EF9"/>
    <w:rsid w:val="00EA2CA0"/>
    <w:rsid w:val="00EA481B"/>
    <w:rsid w:val="00EA7237"/>
    <w:rsid w:val="00EB055B"/>
    <w:rsid w:val="00EB112A"/>
    <w:rsid w:val="00EB1E60"/>
    <w:rsid w:val="00EB26F6"/>
    <w:rsid w:val="00EB33DE"/>
    <w:rsid w:val="00EB4812"/>
    <w:rsid w:val="00EB4B19"/>
    <w:rsid w:val="00EC1212"/>
    <w:rsid w:val="00EC1A8F"/>
    <w:rsid w:val="00EC1D3D"/>
    <w:rsid w:val="00EC2AA7"/>
    <w:rsid w:val="00EC3331"/>
    <w:rsid w:val="00EC3740"/>
    <w:rsid w:val="00EC677E"/>
    <w:rsid w:val="00EC7E67"/>
    <w:rsid w:val="00ED19DF"/>
    <w:rsid w:val="00ED253E"/>
    <w:rsid w:val="00ED5B5C"/>
    <w:rsid w:val="00ED5CD1"/>
    <w:rsid w:val="00ED70BD"/>
    <w:rsid w:val="00EE02F4"/>
    <w:rsid w:val="00EE04D2"/>
    <w:rsid w:val="00EE0B3E"/>
    <w:rsid w:val="00EE0ECF"/>
    <w:rsid w:val="00EE37BB"/>
    <w:rsid w:val="00EF06D2"/>
    <w:rsid w:val="00EF2574"/>
    <w:rsid w:val="00EF4099"/>
    <w:rsid w:val="00EF6BDC"/>
    <w:rsid w:val="00EF778E"/>
    <w:rsid w:val="00EF7D95"/>
    <w:rsid w:val="00F01C4C"/>
    <w:rsid w:val="00F02786"/>
    <w:rsid w:val="00F0434F"/>
    <w:rsid w:val="00F0670F"/>
    <w:rsid w:val="00F071B0"/>
    <w:rsid w:val="00F07CA8"/>
    <w:rsid w:val="00F07DC0"/>
    <w:rsid w:val="00F07FA6"/>
    <w:rsid w:val="00F11231"/>
    <w:rsid w:val="00F11BB3"/>
    <w:rsid w:val="00F1240F"/>
    <w:rsid w:val="00F13036"/>
    <w:rsid w:val="00F2119B"/>
    <w:rsid w:val="00F21D1A"/>
    <w:rsid w:val="00F22865"/>
    <w:rsid w:val="00F24D75"/>
    <w:rsid w:val="00F261E3"/>
    <w:rsid w:val="00F301D5"/>
    <w:rsid w:val="00F34B2F"/>
    <w:rsid w:val="00F34F33"/>
    <w:rsid w:val="00F355B8"/>
    <w:rsid w:val="00F35622"/>
    <w:rsid w:val="00F36D1F"/>
    <w:rsid w:val="00F37694"/>
    <w:rsid w:val="00F3769E"/>
    <w:rsid w:val="00F40F06"/>
    <w:rsid w:val="00F42669"/>
    <w:rsid w:val="00F46E96"/>
    <w:rsid w:val="00F46F44"/>
    <w:rsid w:val="00F4749B"/>
    <w:rsid w:val="00F514FB"/>
    <w:rsid w:val="00F52BF0"/>
    <w:rsid w:val="00F54C53"/>
    <w:rsid w:val="00F56A8C"/>
    <w:rsid w:val="00F56CE9"/>
    <w:rsid w:val="00F61151"/>
    <w:rsid w:val="00F64ECE"/>
    <w:rsid w:val="00F667C0"/>
    <w:rsid w:val="00F67B6E"/>
    <w:rsid w:val="00F75224"/>
    <w:rsid w:val="00F77765"/>
    <w:rsid w:val="00F77EC3"/>
    <w:rsid w:val="00F8039A"/>
    <w:rsid w:val="00F833D8"/>
    <w:rsid w:val="00F85819"/>
    <w:rsid w:val="00F85E98"/>
    <w:rsid w:val="00F860AD"/>
    <w:rsid w:val="00F92C68"/>
    <w:rsid w:val="00FA3278"/>
    <w:rsid w:val="00FA4EC5"/>
    <w:rsid w:val="00FA5033"/>
    <w:rsid w:val="00FA615B"/>
    <w:rsid w:val="00FA6440"/>
    <w:rsid w:val="00FA7C8B"/>
    <w:rsid w:val="00FB0249"/>
    <w:rsid w:val="00FB1256"/>
    <w:rsid w:val="00FB793A"/>
    <w:rsid w:val="00FC109C"/>
    <w:rsid w:val="00FC5915"/>
    <w:rsid w:val="00FC5D6D"/>
    <w:rsid w:val="00FD0B1E"/>
    <w:rsid w:val="00FD13B8"/>
    <w:rsid w:val="00FD53CE"/>
    <w:rsid w:val="00FD6059"/>
    <w:rsid w:val="00FD6657"/>
    <w:rsid w:val="00FD6740"/>
    <w:rsid w:val="00FE0687"/>
    <w:rsid w:val="00FE16F0"/>
    <w:rsid w:val="00FE60E2"/>
    <w:rsid w:val="00FF1A54"/>
    <w:rsid w:val="00FF1D8B"/>
    <w:rsid w:val="00FF5DF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C2BD"/>
  <w15:docId w15:val="{084D318A-63CD-4F47-8043-86702D30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Car,Footnote Text Char3,Footnote Text Char Char,Footnote Text Char2 Char1 Char,Footnote Text Char1 Char1 Char Char,Footnote Text Char Char5 Char Char Char,Footnote Text Char2 Char1 Char Char Char Char,Footnote Text Char2,fn,ALTS FOOTNOTE"/>
    <w:basedOn w:val="Normal"/>
    <w:link w:val="FootnoteTextChar"/>
    <w:autoRedefine/>
    <w:uiPriority w:val="99"/>
    <w:unhideWhenUsed/>
    <w:qFormat/>
    <w:rsid w:val="007539E2"/>
    <w:pPr>
      <w:keepLines/>
      <w:widowControl/>
    </w:pPr>
    <w:rPr>
      <w:sz w:val="26"/>
    </w:rPr>
  </w:style>
  <w:style w:type="character" w:customStyle="1" w:styleId="FootnoteTextChar">
    <w:name w:val="Footnote Text Char"/>
    <w:aliases w:val="Car Char,Footnote Text Char3 Char,Footnote Text Char Char Char,Footnote Text Char2 Char1 Char Char,Footnote Text Char1 Char1 Char Char Char,Footnote Text Char Char5 Char Char Char Char,Footnote Text Char2 Char,fn Char"/>
    <w:basedOn w:val="DefaultParagraphFont"/>
    <w:link w:val="FootnoteText"/>
    <w:uiPriority w:val="99"/>
    <w:rsid w:val="007539E2"/>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B561A6"/>
    <w:pPr>
      <w:tabs>
        <w:tab w:val="center" w:pos="4680"/>
        <w:tab w:val="right" w:pos="9360"/>
      </w:tabs>
    </w:pPr>
  </w:style>
  <w:style w:type="character" w:customStyle="1" w:styleId="HeaderChar">
    <w:name w:val="Header Char"/>
    <w:basedOn w:val="DefaultParagraphFont"/>
    <w:link w:val="Header"/>
    <w:uiPriority w:val="99"/>
    <w:rsid w:val="00B561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61A6"/>
    <w:pPr>
      <w:tabs>
        <w:tab w:val="center" w:pos="4680"/>
        <w:tab w:val="right" w:pos="9360"/>
      </w:tabs>
    </w:pPr>
  </w:style>
  <w:style w:type="character" w:customStyle="1" w:styleId="FooterChar">
    <w:name w:val="Footer Char"/>
    <w:basedOn w:val="DefaultParagraphFont"/>
    <w:link w:val="Footer"/>
    <w:uiPriority w:val="99"/>
    <w:rsid w:val="00B561A6"/>
    <w:rPr>
      <w:rFonts w:ascii="Times New Roman" w:eastAsia="Times New Roman" w:hAnsi="Times New Roman" w:cs="Times New Roman"/>
      <w:sz w:val="20"/>
      <w:szCs w:val="20"/>
    </w:rPr>
  </w:style>
  <w:style w:type="paragraph" w:customStyle="1" w:styleId="Default">
    <w:name w:val="Default"/>
    <w:rsid w:val="001175B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4346"/>
    <w:pPr>
      <w:ind w:left="720"/>
      <w:contextualSpacing/>
    </w:pPr>
  </w:style>
  <w:style w:type="character" w:styleId="CommentReference">
    <w:name w:val="annotation reference"/>
    <w:basedOn w:val="DefaultParagraphFont"/>
    <w:uiPriority w:val="99"/>
    <w:semiHidden/>
    <w:unhideWhenUsed/>
    <w:rsid w:val="006B66EA"/>
    <w:rPr>
      <w:sz w:val="16"/>
      <w:szCs w:val="16"/>
    </w:rPr>
  </w:style>
  <w:style w:type="paragraph" w:styleId="CommentText">
    <w:name w:val="annotation text"/>
    <w:basedOn w:val="Normal"/>
    <w:link w:val="CommentTextChar"/>
    <w:uiPriority w:val="99"/>
    <w:semiHidden/>
    <w:unhideWhenUsed/>
    <w:rsid w:val="006B66EA"/>
  </w:style>
  <w:style w:type="character" w:customStyle="1" w:styleId="CommentTextChar">
    <w:name w:val="Comment Text Char"/>
    <w:basedOn w:val="DefaultParagraphFont"/>
    <w:link w:val="CommentText"/>
    <w:uiPriority w:val="99"/>
    <w:semiHidden/>
    <w:rsid w:val="006B66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6EA"/>
    <w:rPr>
      <w:b/>
      <w:bCs/>
    </w:rPr>
  </w:style>
  <w:style w:type="character" w:customStyle="1" w:styleId="CommentSubjectChar">
    <w:name w:val="Comment Subject Char"/>
    <w:basedOn w:val="CommentTextChar"/>
    <w:link w:val="CommentSubject"/>
    <w:uiPriority w:val="99"/>
    <w:semiHidden/>
    <w:rsid w:val="006B66EA"/>
    <w:rPr>
      <w:rFonts w:ascii="Times New Roman" w:eastAsia="Times New Roman" w:hAnsi="Times New Roman" w:cs="Times New Roman"/>
      <w:b/>
      <w:bCs/>
      <w:sz w:val="20"/>
      <w:szCs w:val="20"/>
    </w:rPr>
  </w:style>
  <w:style w:type="paragraph" w:styleId="Revision">
    <w:name w:val="Revision"/>
    <w:hidden/>
    <w:uiPriority w:val="99"/>
    <w:semiHidden/>
    <w:rsid w:val="00A71FB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582441">
      <w:bodyDiv w:val="1"/>
      <w:marLeft w:val="0"/>
      <w:marRight w:val="0"/>
      <w:marTop w:val="0"/>
      <w:marBottom w:val="0"/>
      <w:divBdr>
        <w:top w:val="none" w:sz="0" w:space="0" w:color="auto"/>
        <w:left w:val="none" w:sz="0" w:space="0" w:color="auto"/>
        <w:bottom w:val="none" w:sz="0" w:space="0" w:color="auto"/>
        <w:right w:val="none" w:sz="0" w:space="0" w:color="auto"/>
      </w:divBdr>
      <w:divsChild>
        <w:div w:id="1114715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3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1E4E-0625-41ED-890F-61A4095B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4453</Words>
  <Characters>25386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Wagner, Nathan R</cp:lastModifiedBy>
  <cp:revision>3</cp:revision>
  <cp:lastPrinted>2018-09-19T19:20:00Z</cp:lastPrinted>
  <dcterms:created xsi:type="dcterms:W3CDTF">2018-11-14T18:17:00Z</dcterms:created>
  <dcterms:modified xsi:type="dcterms:W3CDTF">2018-11-15T15:47:00Z</dcterms:modified>
</cp:coreProperties>
</file>