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AB113" w14:textId="77777777" w:rsidR="005F46C6" w:rsidRPr="00570FA3" w:rsidRDefault="005F46C6" w:rsidP="00FC4BB5">
      <w:pPr>
        <w:widowControl/>
        <w:tabs>
          <w:tab w:val="center" w:pos="4680"/>
        </w:tabs>
        <w:suppressAutoHyphens/>
        <w:contextualSpacing/>
        <w:jc w:val="center"/>
        <w:outlineLvl w:val="0"/>
        <w:rPr>
          <w:b/>
          <w:sz w:val="26"/>
          <w:szCs w:val="26"/>
        </w:rPr>
      </w:pPr>
      <w:r w:rsidRPr="00570FA3">
        <w:rPr>
          <w:b/>
          <w:sz w:val="26"/>
          <w:szCs w:val="26"/>
        </w:rPr>
        <w:t>PENNSYLVANIA</w:t>
      </w:r>
    </w:p>
    <w:p w14:paraId="3F17FCE5" w14:textId="77777777" w:rsidR="005F46C6" w:rsidRPr="00570FA3" w:rsidRDefault="005F46C6" w:rsidP="00FC4BB5">
      <w:pPr>
        <w:widowControl/>
        <w:tabs>
          <w:tab w:val="center" w:pos="4680"/>
        </w:tabs>
        <w:suppressAutoHyphens/>
        <w:contextualSpacing/>
        <w:jc w:val="center"/>
        <w:rPr>
          <w:b/>
          <w:sz w:val="26"/>
          <w:szCs w:val="26"/>
        </w:rPr>
      </w:pPr>
      <w:r w:rsidRPr="00570FA3">
        <w:rPr>
          <w:b/>
          <w:sz w:val="26"/>
          <w:szCs w:val="26"/>
        </w:rPr>
        <w:t>PUBLIC UTILITY COMMISSION</w:t>
      </w:r>
    </w:p>
    <w:p w14:paraId="164DB29D" w14:textId="77777777" w:rsidR="005F46C6" w:rsidRPr="00570FA3" w:rsidRDefault="005F46C6" w:rsidP="00FC4BB5">
      <w:pPr>
        <w:widowControl/>
        <w:tabs>
          <w:tab w:val="center" w:pos="4680"/>
        </w:tabs>
        <w:suppressAutoHyphens/>
        <w:contextualSpacing/>
        <w:jc w:val="center"/>
        <w:rPr>
          <w:b/>
          <w:sz w:val="26"/>
          <w:szCs w:val="26"/>
        </w:rPr>
      </w:pPr>
      <w:r w:rsidRPr="00570FA3">
        <w:rPr>
          <w:b/>
          <w:sz w:val="26"/>
          <w:szCs w:val="26"/>
        </w:rPr>
        <w:t>Harrisburg, PA  17105-3265</w:t>
      </w:r>
    </w:p>
    <w:p w14:paraId="3DC9E735" w14:textId="77777777" w:rsidR="005F46C6" w:rsidRDefault="005F46C6" w:rsidP="00FC4BB5">
      <w:pPr>
        <w:widowControl/>
        <w:tabs>
          <w:tab w:val="left" w:pos="-720"/>
        </w:tabs>
        <w:suppressAutoHyphens/>
        <w:contextualSpacing/>
        <w:rPr>
          <w:sz w:val="26"/>
          <w:szCs w:val="26"/>
        </w:rPr>
      </w:pPr>
    </w:p>
    <w:p w14:paraId="05B7C29C" w14:textId="77777777" w:rsidR="00E743CB" w:rsidRPr="00437389" w:rsidRDefault="00E743CB" w:rsidP="00FC4BB5">
      <w:pPr>
        <w:widowControl/>
        <w:tabs>
          <w:tab w:val="left" w:pos="-720"/>
        </w:tabs>
        <w:suppressAutoHyphens/>
        <w:contextualSpacing/>
        <w:rPr>
          <w:sz w:val="26"/>
          <w:szCs w:val="26"/>
        </w:rPr>
      </w:pPr>
    </w:p>
    <w:p w14:paraId="75B192CA" w14:textId="4658A117" w:rsidR="005F46C6" w:rsidRPr="00570FA3" w:rsidRDefault="005F46C6" w:rsidP="00FC4BB5">
      <w:pPr>
        <w:widowControl/>
        <w:tabs>
          <w:tab w:val="right" w:pos="9360"/>
        </w:tabs>
        <w:suppressAutoHyphens/>
        <w:contextualSpacing/>
        <w:jc w:val="right"/>
        <w:rPr>
          <w:sz w:val="26"/>
          <w:szCs w:val="26"/>
        </w:rPr>
      </w:pPr>
      <w:r w:rsidRPr="00570FA3">
        <w:rPr>
          <w:sz w:val="26"/>
          <w:szCs w:val="26"/>
        </w:rPr>
        <w:t xml:space="preserve">Public Meeting held </w:t>
      </w:r>
      <w:r w:rsidR="003F4D65">
        <w:rPr>
          <w:sz w:val="26"/>
          <w:szCs w:val="26"/>
        </w:rPr>
        <w:t>November 8</w:t>
      </w:r>
      <w:r w:rsidR="008A4F63">
        <w:rPr>
          <w:sz w:val="26"/>
          <w:szCs w:val="26"/>
        </w:rPr>
        <w:t>,</w:t>
      </w:r>
      <w:r w:rsidRPr="00570FA3">
        <w:rPr>
          <w:sz w:val="26"/>
          <w:szCs w:val="26"/>
        </w:rPr>
        <w:t xml:space="preserve"> 2018</w:t>
      </w:r>
    </w:p>
    <w:p w14:paraId="38595176" w14:textId="77777777" w:rsidR="005F46C6" w:rsidRPr="00570FA3" w:rsidRDefault="005F46C6" w:rsidP="00FC4BB5">
      <w:pPr>
        <w:widowControl/>
        <w:tabs>
          <w:tab w:val="left" w:pos="-720"/>
        </w:tabs>
        <w:suppressAutoHyphens/>
        <w:contextualSpacing/>
        <w:rPr>
          <w:sz w:val="26"/>
          <w:szCs w:val="26"/>
        </w:rPr>
      </w:pPr>
    </w:p>
    <w:p w14:paraId="5596DBEE" w14:textId="77777777" w:rsidR="005F46C6" w:rsidRPr="00570FA3" w:rsidRDefault="005F46C6" w:rsidP="00FC4BB5">
      <w:pPr>
        <w:widowControl/>
        <w:tabs>
          <w:tab w:val="left" w:pos="-720"/>
        </w:tabs>
        <w:suppressAutoHyphens/>
        <w:contextualSpacing/>
        <w:rPr>
          <w:sz w:val="26"/>
          <w:szCs w:val="26"/>
        </w:rPr>
      </w:pPr>
      <w:r w:rsidRPr="00570FA3">
        <w:rPr>
          <w:sz w:val="26"/>
          <w:szCs w:val="26"/>
        </w:rPr>
        <w:t>Commissioners Present:</w:t>
      </w:r>
    </w:p>
    <w:p w14:paraId="17801EEB" w14:textId="77777777" w:rsidR="005F46C6" w:rsidRPr="00570FA3" w:rsidRDefault="005F46C6" w:rsidP="00FC4BB5">
      <w:pPr>
        <w:widowControl/>
        <w:tabs>
          <w:tab w:val="left" w:pos="-720"/>
        </w:tabs>
        <w:suppressAutoHyphens/>
        <w:contextualSpacing/>
        <w:rPr>
          <w:sz w:val="26"/>
          <w:szCs w:val="26"/>
        </w:rPr>
      </w:pPr>
    </w:p>
    <w:p w14:paraId="292ECE9A" w14:textId="77777777" w:rsidR="005F46C6" w:rsidRPr="00570FA3" w:rsidRDefault="005F46C6" w:rsidP="00FC4BB5">
      <w:pPr>
        <w:widowControl/>
        <w:tabs>
          <w:tab w:val="left" w:pos="-720"/>
        </w:tabs>
        <w:suppressAutoHyphens/>
        <w:ind w:firstLine="720"/>
        <w:contextualSpacing/>
        <w:rPr>
          <w:sz w:val="26"/>
          <w:szCs w:val="26"/>
        </w:rPr>
      </w:pPr>
      <w:r w:rsidRPr="00570FA3">
        <w:rPr>
          <w:sz w:val="26"/>
          <w:szCs w:val="26"/>
        </w:rPr>
        <w:t>Gladys M. Brown, Chairman</w:t>
      </w:r>
    </w:p>
    <w:p w14:paraId="03B8AA63" w14:textId="77777777" w:rsidR="005F46C6" w:rsidRPr="00570FA3" w:rsidRDefault="005F46C6" w:rsidP="00FC4BB5">
      <w:pPr>
        <w:widowControl/>
        <w:tabs>
          <w:tab w:val="left" w:pos="-720"/>
        </w:tabs>
        <w:suppressAutoHyphens/>
        <w:ind w:firstLine="720"/>
        <w:contextualSpacing/>
        <w:rPr>
          <w:sz w:val="26"/>
          <w:szCs w:val="26"/>
        </w:rPr>
      </w:pPr>
      <w:r w:rsidRPr="00570FA3">
        <w:rPr>
          <w:sz w:val="26"/>
          <w:szCs w:val="26"/>
        </w:rPr>
        <w:t>Andrew G. Place, Vice Chairman</w:t>
      </w:r>
    </w:p>
    <w:p w14:paraId="5E6D5388" w14:textId="77777777" w:rsidR="005F46C6" w:rsidRPr="00570FA3" w:rsidRDefault="005F46C6" w:rsidP="00FC4BB5">
      <w:pPr>
        <w:widowControl/>
        <w:tabs>
          <w:tab w:val="left" w:pos="-720"/>
        </w:tabs>
        <w:suppressAutoHyphens/>
        <w:ind w:firstLine="720"/>
        <w:contextualSpacing/>
        <w:rPr>
          <w:sz w:val="26"/>
          <w:szCs w:val="26"/>
        </w:rPr>
      </w:pPr>
      <w:r w:rsidRPr="00570FA3">
        <w:rPr>
          <w:sz w:val="26"/>
          <w:szCs w:val="26"/>
        </w:rPr>
        <w:t>Norman J. Kennard</w:t>
      </w:r>
    </w:p>
    <w:p w14:paraId="232A71C2" w14:textId="77777777" w:rsidR="005F46C6" w:rsidRPr="00570FA3" w:rsidRDefault="005F46C6" w:rsidP="00FC4BB5">
      <w:pPr>
        <w:widowControl/>
        <w:tabs>
          <w:tab w:val="left" w:pos="-720"/>
        </w:tabs>
        <w:suppressAutoHyphens/>
        <w:ind w:firstLine="720"/>
        <w:contextualSpacing/>
        <w:rPr>
          <w:sz w:val="26"/>
          <w:szCs w:val="26"/>
        </w:rPr>
      </w:pPr>
      <w:r w:rsidRPr="00570FA3">
        <w:rPr>
          <w:sz w:val="26"/>
          <w:szCs w:val="26"/>
        </w:rPr>
        <w:t xml:space="preserve">David W. Sweet </w:t>
      </w:r>
    </w:p>
    <w:p w14:paraId="2E5AE1CA" w14:textId="77777777" w:rsidR="005F46C6" w:rsidRPr="00570FA3" w:rsidRDefault="005F46C6" w:rsidP="00FC4BB5">
      <w:pPr>
        <w:widowControl/>
        <w:tabs>
          <w:tab w:val="left" w:pos="-720"/>
        </w:tabs>
        <w:suppressAutoHyphens/>
        <w:ind w:firstLine="720"/>
        <w:contextualSpacing/>
        <w:rPr>
          <w:sz w:val="26"/>
          <w:szCs w:val="26"/>
        </w:rPr>
      </w:pPr>
      <w:r w:rsidRPr="00570FA3">
        <w:rPr>
          <w:sz w:val="26"/>
          <w:szCs w:val="26"/>
        </w:rPr>
        <w:t>John F. Coleman, Jr.</w:t>
      </w:r>
    </w:p>
    <w:p w14:paraId="6F94D2B4" w14:textId="77777777" w:rsidR="005F46C6" w:rsidRPr="00570FA3" w:rsidRDefault="005F46C6" w:rsidP="00FC4BB5">
      <w:pPr>
        <w:widowControl/>
        <w:contextualSpacing/>
        <w:rPr>
          <w:sz w:val="26"/>
          <w:szCs w:val="26"/>
        </w:rPr>
      </w:pPr>
    </w:p>
    <w:p w14:paraId="3B6438CE" w14:textId="77777777" w:rsidR="005F46C6" w:rsidRPr="00570FA3" w:rsidRDefault="005F46C6" w:rsidP="00FC4BB5">
      <w:pPr>
        <w:widowControl/>
        <w:contextualSpacing/>
        <w:rPr>
          <w:sz w:val="26"/>
          <w:szCs w:val="26"/>
        </w:rPr>
      </w:pPr>
    </w:p>
    <w:p w14:paraId="0EE40297" w14:textId="50973897" w:rsidR="005F46C6" w:rsidRPr="00570FA3" w:rsidRDefault="00385BCF" w:rsidP="00FC4BB5">
      <w:pPr>
        <w:widowControl/>
        <w:spacing w:after="200"/>
        <w:contextualSpacing/>
        <w:rPr>
          <w:sz w:val="26"/>
          <w:szCs w:val="26"/>
        </w:rPr>
      </w:pPr>
      <w:r>
        <w:rPr>
          <w:sz w:val="26"/>
          <w:szCs w:val="26"/>
        </w:rPr>
        <w:t>Thomas Baker</w:t>
      </w:r>
      <w:r w:rsidR="005F46C6" w:rsidRPr="00570FA3">
        <w:rPr>
          <w:sz w:val="26"/>
          <w:szCs w:val="26"/>
        </w:rPr>
        <w:tab/>
      </w:r>
      <w:r w:rsidR="005F46C6" w:rsidRPr="00570FA3">
        <w:rPr>
          <w:sz w:val="26"/>
          <w:szCs w:val="26"/>
        </w:rPr>
        <w:tab/>
      </w:r>
      <w:r w:rsidR="005F46C6" w:rsidRPr="00570FA3">
        <w:rPr>
          <w:sz w:val="26"/>
          <w:szCs w:val="26"/>
        </w:rPr>
        <w:tab/>
      </w:r>
      <w:r w:rsidR="005F46C6" w:rsidRPr="00570FA3">
        <w:rPr>
          <w:sz w:val="26"/>
          <w:szCs w:val="26"/>
        </w:rPr>
        <w:tab/>
      </w:r>
      <w:r w:rsidR="005F46C6" w:rsidRPr="00570FA3">
        <w:rPr>
          <w:sz w:val="26"/>
          <w:szCs w:val="26"/>
        </w:rPr>
        <w:tab/>
      </w:r>
      <w:r w:rsidR="005F46C6" w:rsidRPr="00570FA3">
        <w:rPr>
          <w:sz w:val="26"/>
          <w:szCs w:val="26"/>
        </w:rPr>
        <w:tab/>
      </w:r>
      <w:r w:rsidR="005F46C6" w:rsidRPr="00570FA3">
        <w:rPr>
          <w:sz w:val="26"/>
          <w:szCs w:val="26"/>
        </w:rPr>
        <w:tab/>
      </w:r>
      <w:r w:rsidR="00C61C43">
        <w:rPr>
          <w:sz w:val="26"/>
          <w:szCs w:val="26"/>
        </w:rPr>
        <w:tab/>
      </w:r>
      <w:r w:rsidR="005F46C6" w:rsidRPr="00570FA3">
        <w:rPr>
          <w:sz w:val="26"/>
          <w:szCs w:val="26"/>
        </w:rPr>
        <w:t xml:space="preserve">     C-201</w:t>
      </w:r>
      <w:r>
        <w:rPr>
          <w:sz w:val="26"/>
          <w:szCs w:val="26"/>
        </w:rPr>
        <w:t>6</w:t>
      </w:r>
      <w:r w:rsidR="005F46C6" w:rsidRPr="00570FA3">
        <w:rPr>
          <w:sz w:val="26"/>
          <w:szCs w:val="26"/>
        </w:rPr>
        <w:t>-</w:t>
      </w:r>
      <w:r w:rsidR="005F46C6">
        <w:rPr>
          <w:sz w:val="26"/>
          <w:szCs w:val="26"/>
        </w:rPr>
        <w:t>2</w:t>
      </w:r>
      <w:r w:rsidR="002C7354">
        <w:rPr>
          <w:sz w:val="26"/>
          <w:szCs w:val="26"/>
        </w:rPr>
        <w:t>5</w:t>
      </w:r>
      <w:r>
        <w:rPr>
          <w:sz w:val="26"/>
          <w:szCs w:val="26"/>
        </w:rPr>
        <w:t>73166</w:t>
      </w:r>
    </w:p>
    <w:p w14:paraId="5C4426D5" w14:textId="77777777" w:rsidR="005F46C6" w:rsidRPr="00570FA3" w:rsidRDefault="005F46C6" w:rsidP="00FC4BB5">
      <w:pPr>
        <w:widowControl/>
        <w:spacing w:after="200"/>
        <w:contextualSpacing/>
        <w:rPr>
          <w:sz w:val="26"/>
          <w:szCs w:val="26"/>
        </w:rPr>
      </w:pPr>
    </w:p>
    <w:p w14:paraId="3D929A43" w14:textId="77777777" w:rsidR="005F46C6" w:rsidRPr="00570FA3" w:rsidRDefault="005F46C6" w:rsidP="00FC4BB5">
      <w:pPr>
        <w:widowControl/>
        <w:spacing w:after="200"/>
        <w:contextualSpacing/>
        <w:rPr>
          <w:sz w:val="26"/>
          <w:szCs w:val="26"/>
        </w:rPr>
      </w:pPr>
      <w:r w:rsidRPr="00570FA3">
        <w:rPr>
          <w:sz w:val="26"/>
          <w:szCs w:val="26"/>
        </w:rPr>
        <w:tab/>
      </w:r>
      <w:r w:rsidRPr="00570FA3">
        <w:rPr>
          <w:sz w:val="26"/>
          <w:szCs w:val="26"/>
        </w:rPr>
        <w:tab/>
        <w:t>v.</w:t>
      </w:r>
    </w:p>
    <w:p w14:paraId="3C34D0DC" w14:textId="77777777" w:rsidR="005F46C6" w:rsidRPr="00570FA3" w:rsidRDefault="005F46C6" w:rsidP="00FC4BB5">
      <w:pPr>
        <w:widowControl/>
        <w:tabs>
          <w:tab w:val="left" w:pos="-720"/>
          <w:tab w:val="left" w:pos="0"/>
        </w:tabs>
        <w:suppressAutoHyphens/>
        <w:contextualSpacing/>
        <w:rPr>
          <w:sz w:val="26"/>
          <w:szCs w:val="26"/>
        </w:rPr>
      </w:pPr>
    </w:p>
    <w:p w14:paraId="513D5D90" w14:textId="4AF89E82" w:rsidR="005F46C6" w:rsidRPr="00570FA3" w:rsidRDefault="00385BCF" w:rsidP="00FC4BB5">
      <w:pPr>
        <w:widowControl/>
        <w:tabs>
          <w:tab w:val="left" w:pos="-720"/>
          <w:tab w:val="left" w:pos="0"/>
        </w:tabs>
        <w:suppressAutoHyphens/>
        <w:contextualSpacing/>
        <w:rPr>
          <w:sz w:val="26"/>
          <w:szCs w:val="26"/>
        </w:rPr>
      </w:pPr>
      <w:r>
        <w:rPr>
          <w:sz w:val="26"/>
          <w:szCs w:val="26"/>
        </w:rPr>
        <w:t>PECO Energy Company</w:t>
      </w:r>
    </w:p>
    <w:p w14:paraId="3A3B4EC1" w14:textId="77777777" w:rsidR="005F46C6" w:rsidRPr="00570FA3" w:rsidRDefault="005F46C6" w:rsidP="00FC4BB5">
      <w:pPr>
        <w:widowControl/>
        <w:contextualSpacing/>
        <w:rPr>
          <w:sz w:val="26"/>
          <w:szCs w:val="26"/>
        </w:rPr>
      </w:pPr>
    </w:p>
    <w:p w14:paraId="10491C1B" w14:textId="77777777" w:rsidR="005F46C6" w:rsidRPr="00570FA3" w:rsidRDefault="005F46C6" w:rsidP="00FC4BB5">
      <w:pPr>
        <w:widowControl/>
        <w:contextualSpacing/>
        <w:rPr>
          <w:sz w:val="26"/>
          <w:szCs w:val="26"/>
        </w:rPr>
      </w:pPr>
    </w:p>
    <w:p w14:paraId="5FC7F10D" w14:textId="77777777" w:rsidR="005F46C6" w:rsidRPr="00570FA3" w:rsidRDefault="005F46C6" w:rsidP="00FC4BB5">
      <w:pPr>
        <w:widowControl/>
        <w:spacing w:line="360" w:lineRule="auto"/>
        <w:contextualSpacing/>
        <w:jc w:val="center"/>
        <w:rPr>
          <w:b/>
          <w:sz w:val="26"/>
          <w:szCs w:val="26"/>
        </w:rPr>
      </w:pPr>
      <w:r w:rsidRPr="00570FA3">
        <w:rPr>
          <w:b/>
          <w:sz w:val="26"/>
          <w:szCs w:val="26"/>
        </w:rPr>
        <w:t xml:space="preserve">OPINION </w:t>
      </w:r>
      <w:smartTag w:uri="urn:schemas-microsoft-com:office:smarttags" w:element="stockticker">
        <w:r w:rsidRPr="00570FA3">
          <w:rPr>
            <w:b/>
            <w:sz w:val="26"/>
            <w:szCs w:val="26"/>
          </w:rPr>
          <w:t>AND</w:t>
        </w:r>
      </w:smartTag>
      <w:r w:rsidRPr="00570FA3">
        <w:rPr>
          <w:b/>
          <w:sz w:val="26"/>
          <w:szCs w:val="26"/>
        </w:rPr>
        <w:t xml:space="preserve"> ORDER</w:t>
      </w:r>
    </w:p>
    <w:p w14:paraId="1477773C" w14:textId="77777777" w:rsidR="005F46C6" w:rsidRPr="00570FA3" w:rsidRDefault="005F46C6" w:rsidP="00FC4BB5">
      <w:pPr>
        <w:widowControl/>
        <w:spacing w:line="360" w:lineRule="auto"/>
        <w:contextualSpacing/>
        <w:jc w:val="center"/>
        <w:rPr>
          <w:b/>
          <w:sz w:val="26"/>
          <w:szCs w:val="26"/>
        </w:rPr>
      </w:pPr>
    </w:p>
    <w:p w14:paraId="462607C5" w14:textId="77777777" w:rsidR="005F46C6" w:rsidRPr="00570FA3" w:rsidRDefault="005F46C6" w:rsidP="00FC4BB5">
      <w:pPr>
        <w:keepNext/>
        <w:keepLines/>
        <w:widowControl/>
        <w:spacing w:line="360" w:lineRule="auto"/>
        <w:contextualSpacing/>
        <w:rPr>
          <w:b/>
          <w:sz w:val="26"/>
          <w:szCs w:val="26"/>
        </w:rPr>
      </w:pPr>
      <w:r w:rsidRPr="00570FA3">
        <w:rPr>
          <w:b/>
          <w:sz w:val="26"/>
          <w:szCs w:val="26"/>
        </w:rPr>
        <w:t>BY THE COMMISSION:</w:t>
      </w:r>
    </w:p>
    <w:p w14:paraId="3C04FBA4" w14:textId="77777777" w:rsidR="005F46C6" w:rsidRPr="00570FA3" w:rsidRDefault="005F46C6" w:rsidP="00FC4BB5">
      <w:pPr>
        <w:keepNext/>
        <w:keepLines/>
        <w:widowControl/>
        <w:spacing w:line="360" w:lineRule="auto"/>
        <w:contextualSpacing/>
        <w:rPr>
          <w:sz w:val="26"/>
          <w:szCs w:val="26"/>
        </w:rPr>
      </w:pPr>
    </w:p>
    <w:p w14:paraId="26368BB6" w14:textId="3A56CB09" w:rsidR="005F46C6" w:rsidRPr="00A0739E" w:rsidRDefault="005F46C6" w:rsidP="00FC4BB5">
      <w:pPr>
        <w:widowControl/>
        <w:spacing w:line="360" w:lineRule="auto"/>
        <w:ind w:firstLine="1440"/>
        <w:contextualSpacing/>
        <w:rPr>
          <w:sz w:val="26"/>
          <w:szCs w:val="26"/>
        </w:rPr>
      </w:pPr>
      <w:r w:rsidRPr="00570FA3">
        <w:rPr>
          <w:sz w:val="26"/>
          <w:szCs w:val="26"/>
        </w:rPr>
        <w:t xml:space="preserve">Before the Pennsylvania Public Utility Commission (Commission) for consideration and disposition are the Exceptions (Exceptions) of </w:t>
      </w:r>
      <w:r w:rsidR="00B03CF0">
        <w:rPr>
          <w:sz w:val="26"/>
          <w:szCs w:val="26"/>
        </w:rPr>
        <w:t>Thomas Baker</w:t>
      </w:r>
      <w:r w:rsidRPr="00570FA3">
        <w:rPr>
          <w:sz w:val="26"/>
          <w:szCs w:val="26"/>
        </w:rPr>
        <w:t xml:space="preserve"> (</w:t>
      </w:r>
      <w:r w:rsidR="00001E42">
        <w:rPr>
          <w:sz w:val="26"/>
          <w:szCs w:val="26"/>
        </w:rPr>
        <w:t>Mr. Baker</w:t>
      </w:r>
      <w:r w:rsidRPr="00570FA3">
        <w:rPr>
          <w:sz w:val="26"/>
          <w:szCs w:val="26"/>
        </w:rPr>
        <w:t xml:space="preserve">) filed on </w:t>
      </w:r>
      <w:r w:rsidR="00B03CF0">
        <w:rPr>
          <w:sz w:val="26"/>
          <w:szCs w:val="26"/>
        </w:rPr>
        <w:t>October 10</w:t>
      </w:r>
      <w:r>
        <w:rPr>
          <w:sz w:val="26"/>
          <w:szCs w:val="26"/>
        </w:rPr>
        <w:t>,</w:t>
      </w:r>
      <w:r w:rsidR="00EB448A">
        <w:rPr>
          <w:sz w:val="26"/>
          <w:szCs w:val="26"/>
        </w:rPr>
        <w:t xml:space="preserve"> 2017,</w:t>
      </w:r>
      <w:r w:rsidRPr="00570FA3">
        <w:rPr>
          <w:sz w:val="26"/>
          <w:szCs w:val="26"/>
        </w:rPr>
        <w:t xml:space="preserve"> to the Initial Decision (I.D.) of Administrative Law Judge (ALJ) </w:t>
      </w:r>
      <w:r w:rsidR="00B03CF0">
        <w:rPr>
          <w:sz w:val="26"/>
          <w:szCs w:val="26"/>
        </w:rPr>
        <w:t>Christopher P. Pell</w:t>
      </w:r>
      <w:r w:rsidRPr="00570FA3">
        <w:rPr>
          <w:sz w:val="26"/>
          <w:szCs w:val="26"/>
        </w:rPr>
        <w:t xml:space="preserve">, which was issued on </w:t>
      </w:r>
      <w:r w:rsidR="00B03CF0">
        <w:rPr>
          <w:sz w:val="26"/>
          <w:szCs w:val="26"/>
        </w:rPr>
        <w:t>August 28, 2017</w:t>
      </w:r>
      <w:r w:rsidRPr="00570FA3">
        <w:rPr>
          <w:sz w:val="26"/>
          <w:szCs w:val="26"/>
        </w:rPr>
        <w:t xml:space="preserve">, in the above captioned proceeding.  </w:t>
      </w:r>
      <w:r w:rsidR="00B03CF0">
        <w:rPr>
          <w:sz w:val="26"/>
          <w:szCs w:val="26"/>
        </w:rPr>
        <w:t>PECO Energy Company</w:t>
      </w:r>
      <w:r w:rsidRPr="00570FA3">
        <w:rPr>
          <w:sz w:val="26"/>
          <w:szCs w:val="26"/>
        </w:rPr>
        <w:t xml:space="preserve"> (</w:t>
      </w:r>
      <w:r w:rsidR="00B03CF0">
        <w:rPr>
          <w:sz w:val="26"/>
          <w:szCs w:val="26"/>
        </w:rPr>
        <w:t>PECO</w:t>
      </w:r>
      <w:r w:rsidR="006F46E7">
        <w:rPr>
          <w:sz w:val="26"/>
          <w:szCs w:val="26"/>
        </w:rPr>
        <w:t>, Respondent or the Company</w:t>
      </w:r>
      <w:r w:rsidRPr="00570FA3">
        <w:rPr>
          <w:sz w:val="26"/>
          <w:szCs w:val="26"/>
        </w:rPr>
        <w:t xml:space="preserve">) filed Replies to Exceptions on </w:t>
      </w:r>
      <w:r w:rsidR="00D97D9A">
        <w:rPr>
          <w:sz w:val="26"/>
          <w:szCs w:val="26"/>
        </w:rPr>
        <w:t xml:space="preserve">October </w:t>
      </w:r>
      <w:r w:rsidR="00B03CF0">
        <w:rPr>
          <w:sz w:val="26"/>
          <w:szCs w:val="26"/>
        </w:rPr>
        <w:t>2</w:t>
      </w:r>
      <w:r w:rsidR="00D97D9A">
        <w:rPr>
          <w:sz w:val="26"/>
          <w:szCs w:val="26"/>
        </w:rPr>
        <w:t>0, 2017</w:t>
      </w:r>
      <w:r w:rsidRPr="00570FA3">
        <w:rPr>
          <w:sz w:val="26"/>
          <w:szCs w:val="26"/>
        </w:rPr>
        <w:t xml:space="preserve">.  </w:t>
      </w:r>
      <w:r w:rsidR="00C06E0E" w:rsidRPr="00A0739E">
        <w:rPr>
          <w:sz w:val="26"/>
          <w:szCs w:val="26"/>
        </w:rPr>
        <w:t xml:space="preserve">For the reasons stated below, </w:t>
      </w:r>
      <w:r w:rsidR="00C3624E">
        <w:rPr>
          <w:sz w:val="26"/>
          <w:szCs w:val="26"/>
        </w:rPr>
        <w:t xml:space="preserve">we deny Mr. Baker’s Exceptions, </w:t>
      </w:r>
      <w:r w:rsidR="00951BD2">
        <w:rPr>
          <w:sz w:val="26"/>
          <w:szCs w:val="26"/>
        </w:rPr>
        <w:t xml:space="preserve">adopt </w:t>
      </w:r>
      <w:r w:rsidR="00A24EEF">
        <w:rPr>
          <w:sz w:val="26"/>
          <w:szCs w:val="26"/>
        </w:rPr>
        <w:t>the ALJ’s Initial Decision</w:t>
      </w:r>
      <w:r w:rsidR="00B23D76">
        <w:rPr>
          <w:sz w:val="26"/>
          <w:szCs w:val="26"/>
        </w:rPr>
        <w:t xml:space="preserve">, consistent with this Opinion and Order, </w:t>
      </w:r>
      <w:r w:rsidR="00C06E0E">
        <w:rPr>
          <w:sz w:val="26"/>
          <w:szCs w:val="26"/>
        </w:rPr>
        <w:t>and</w:t>
      </w:r>
      <w:r w:rsidR="00655337">
        <w:rPr>
          <w:sz w:val="26"/>
          <w:szCs w:val="26"/>
        </w:rPr>
        <w:t xml:space="preserve"> dismiss</w:t>
      </w:r>
      <w:r w:rsidR="00EB304E">
        <w:rPr>
          <w:sz w:val="26"/>
          <w:szCs w:val="26"/>
        </w:rPr>
        <w:t xml:space="preserve"> </w:t>
      </w:r>
      <w:r w:rsidR="005F6EE3">
        <w:rPr>
          <w:sz w:val="26"/>
          <w:szCs w:val="26"/>
        </w:rPr>
        <w:t xml:space="preserve">the formal complaint </w:t>
      </w:r>
      <w:r w:rsidR="00D3259A">
        <w:rPr>
          <w:sz w:val="26"/>
          <w:szCs w:val="26"/>
        </w:rPr>
        <w:t xml:space="preserve">(Complaint) </w:t>
      </w:r>
      <w:r w:rsidR="005F6EE3">
        <w:rPr>
          <w:sz w:val="26"/>
          <w:szCs w:val="26"/>
        </w:rPr>
        <w:t>filed on October 26, 2016 in this proceeding by Mr. Baker</w:t>
      </w:r>
      <w:r w:rsidR="00B03CF0">
        <w:rPr>
          <w:sz w:val="26"/>
          <w:szCs w:val="26"/>
        </w:rPr>
        <w:t>.</w:t>
      </w:r>
    </w:p>
    <w:p w14:paraId="63AF1E44" w14:textId="3F898DAF" w:rsidR="005F46C6" w:rsidRPr="004949A8" w:rsidRDefault="005F46C6" w:rsidP="00216175">
      <w:pPr>
        <w:pStyle w:val="ListParagraph"/>
        <w:keepNext/>
        <w:keepLines/>
        <w:widowControl/>
        <w:numPr>
          <w:ilvl w:val="0"/>
          <w:numId w:val="2"/>
        </w:numPr>
        <w:spacing w:line="360" w:lineRule="auto"/>
        <w:jc w:val="center"/>
        <w:rPr>
          <w:b/>
          <w:sz w:val="26"/>
          <w:szCs w:val="26"/>
        </w:rPr>
      </w:pPr>
      <w:r w:rsidRPr="004949A8">
        <w:rPr>
          <w:b/>
          <w:sz w:val="26"/>
          <w:szCs w:val="26"/>
        </w:rPr>
        <w:lastRenderedPageBreak/>
        <w:t>History of the Proceeding</w:t>
      </w:r>
    </w:p>
    <w:p w14:paraId="50290479" w14:textId="77777777" w:rsidR="00397314" w:rsidRPr="00397314" w:rsidRDefault="00397314" w:rsidP="00216175">
      <w:pPr>
        <w:keepNext/>
        <w:keepLines/>
        <w:widowControl/>
        <w:autoSpaceDE w:val="0"/>
        <w:autoSpaceDN w:val="0"/>
        <w:adjustRightInd w:val="0"/>
        <w:spacing w:line="360" w:lineRule="auto"/>
        <w:rPr>
          <w:rFonts w:eastAsiaTheme="minorHAnsi"/>
          <w:color w:val="000000"/>
          <w:sz w:val="24"/>
          <w:szCs w:val="24"/>
        </w:rPr>
      </w:pPr>
    </w:p>
    <w:p w14:paraId="20EDC700" w14:textId="32B9BDBB" w:rsidR="00CC0797" w:rsidRPr="005A0682" w:rsidRDefault="00397314" w:rsidP="00FC4BB5">
      <w:pPr>
        <w:pStyle w:val="Default"/>
        <w:spacing w:line="360" w:lineRule="auto"/>
        <w:ind w:firstLine="1440"/>
        <w:rPr>
          <w:sz w:val="26"/>
          <w:szCs w:val="26"/>
        </w:rPr>
      </w:pPr>
      <w:r w:rsidRPr="005A0682">
        <w:rPr>
          <w:sz w:val="26"/>
          <w:szCs w:val="26"/>
        </w:rPr>
        <w:t xml:space="preserve">On </w:t>
      </w:r>
      <w:r w:rsidR="00CC0797" w:rsidRPr="005A0682">
        <w:rPr>
          <w:sz w:val="26"/>
          <w:szCs w:val="26"/>
        </w:rPr>
        <w:t>October 26, 2016</w:t>
      </w:r>
      <w:r w:rsidRPr="005A0682">
        <w:rPr>
          <w:sz w:val="26"/>
          <w:szCs w:val="26"/>
        </w:rPr>
        <w:t xml:space="preserve">, </w:t>
      </w:r>
      <w:r w:rsidR="00001E42">
        <w:rPr>
          <w:sz w:val="26"/>
          <w:szCs w:val="26"/>
        </w:rPr>
        <w:t>Mr. Baker</w:t>
      </w:r>
      <w:r w:rsidRPr="005A0682">
        <w:rPr>
          <w:sz w:val="26"/>
          <w:szCs w:val="26"/>
        </w:rPr>
        <w:t xml:space="preserve"> filed </w:t>
      </w:r>
      <w:r w:rsidR="00D3259A">
        <w:rPr>
          <w:sz w:val="26"/>
          <w:szCs w:val="26"/>
        </w:rPr>
        <w:t>the instant Complaint</w:t>
      </w:r>
      <w:r w:rsidRPr="005A0682">
        <w:rPr>
          <w:sz w:val="26"/>
          <w:szCs w:val="26"/>
        </w:rPr>
        <w:t xml:space="preserve"> with the Commission against </w:t>
      </w:r>
      <w:r w:rsidR="00CC0797" w:rsidRPr="005A0682">
        <w:rPr>
          <w:sz w:val="26"/>
          <w:szCs w:val="26"/>
        </w:rPr>
        <w:t>PECO</w:t>
      </w:r>
      <w:r w:rsidR="00001E42">
        <w:rPr>
          <w:sz w:val="26"/>
          <w:szCs w:val="26"/>
        </w:rPr>
        <w:t xml:space="preserve"> on behalf of his tanning salon business located at 2525 S</w:t>
      </w:r>
      <w:r w:rsidR="0037370E">
        <w:rPr>
          <w:sz w:val="26"/>
          <w:szCs w:val="26"/>
        </w:rPr>
        <w:t>outh</w:t>
      </w:r>
      <w:r w:rsidR="00001E42">
        <w:rPr>
          <w:sz w:val="26"/>
          <w:szCs w:val="26"/>
        </w:rPr>
        <w:t xml:space="preserve"> Broad Street, Philade</w:t>
      </w:r>
      <w:r w:rsidR="00FD4985">
        <w:rPr>
          <w:sz w:val="26"/>
          <w:szCs w:val="26"/>
        </w:rPr>
        <w:t>l</w:t>
      </w:r>
      <w:r w:rsidR="00001E42">
        <w:rPr>
          <w:sz w:val="26"/>
          <w:szCs w:val="26"/>
        </w:rPr>
        <w:t>phia, PA 19148</w:t>
      </w:r>
      <w:r w:rsidR="00593EF1" w:rsidRPr="005A0682">
        <w:rPr>
          <w:sz w:val="26"/>
          <w:szCs w:val="26"/>
        </w:rPr>
        <w:t xml:space="preserve">.  I.D. at 1.   </w:t>
      </w:r>
      <w:r w:rsidR="00CC0797" w:rsidRPr="005A0682">
        <w:rPr>
          <w:sz w:val="26"/>
          <w:szCs w:val="26"/>
        </w:rPr>
        <w:t xml:space="preserve">In the Complaint, </w:t>
      </w:r>
      <w:r w:rsidR="00001E42">
        <w:rPr>
          <w:sz w:val="26"/>
          <w:szCs w:val="26"/>
        </w:rPr>
        <w:t>Mr. Baker</w:t>
      </w:r>
      <w:r w:rsidR="00CC0797" w:rsidRPr="005A0682">
        <w:rPr>
          <w:sz w:val="26"/>
          <w:szCs w:val="26"/>
        </w:rPr>
        <w:t xml:space="preserve"> placed checkmarks in the boxes indicating “[t]he utility is threatening to shut off or has already shut off my service,” “I would like a payment agreement,” “I am having a reliability, safety or quality problem with my utility service,” and “[o]ther.” In an attached letter, </w:t>
      </w:r>
      <w:r w:rsidR="00001E42">
        <w:rPr>
          <w:sz w:val="26"/>
          <w:szCs w:val="26"/>
        </w:rPr>
        <w:t>Mr. Baker indicated that he runs the</w:t>
      </w:r>
      <w:r w:rsidR="00CC0797" w:rsidRPr="005A0682">
        <w:rPr>
          <w:sz w:val="26"/>
          <w:szCs w:val="26"/>
        </w:rPr>
        <w:t xml:space="preserve"> tanning salon. </w:t>
      </w:r>
      <w:r w:rsidR="00001E42">
        <w:rPr>
          <w:sz w:val="26"/>
          <w:szCs w:val="26"/>
        </w:rPr>
        <w:t>Mr. Baker</w:t>
      </w:r>
      <w:r w:rsidR="00CC0797" w:rsidRPr="005A0682">
        <w:rPr>
          <w:sz w:val="26"/>
          <w:szCs w:val="26"/>
        </w:rPr>
        <w:t xml:space="preserve"> alleged that on an unspecified date, a team of PECO workers came to his tanning salon, refused to provide identification to his counter clerk, and announced to all of his customers that they should leave because there was going to be a fire, causi</w:t>
      </w:r>
      <w:r w:rsidR="005A0682">
        <w:rPr>
          <w:sz w:val="26"/>
          <w:szCs w:val="26"/>
        </w:rPr>
        <w:t xml:space="preserve">ng all of his clients to leave.  </w:t>
      </w:r>
      <w:r w:rsidR="00CC0797" w:rsidRPr="005A0682">
        <w:rPr>
          <w:sz w:val="26"/>
          <w:szCs w:val="26"/>
        </w:rPr>
        <w:t xml:space="preserve">Additionally, </w:t>
      </w:r>
      <w:r w:rsidR="00001E42">
        <w:rPr>
          <w:sz w:val="26"/>
          <w:szCs w:val="26"/>
        </w:rPr>
        <w:t>Mr. Baker</w:t>
      </w:r>
      <w:r w:rsidR="00CC0797" w:rsidRPr="005A0682">
        <w:rPr>
          <w:sz w:val="26"/>
          <w:szCs w:val="26"/>
        </w:rPr>
        <w:t xml:space="preserve"> alleged that after he arrived on site and i</w:t>
      </w:r>
      <w:r w:rsidR="007B71F4">
        <w:rPr>
          <w:sz w:val="26"/>
          <w:szCs w:val="26"/>
        </w:rPr>
        <w:t>ntervened to stop the workers,</w:t>
      </w:r>
      <w:r w:rsidR="00CC0797" w:rsidRPr="005A0682">
        <w:rPr>
          <w:sz w:val="26"/>
          <w:szCs w:val="26"/>
        </w:rPr>
        <w:t xml:space="preserve"> PECO employees contacted the police so they could examine his meter, causing him great embarrassment. </w:t>
      </w:r>
      <w:r w:rsidR="007B71F4">
        <w:rPr>
          <w:sz w:val="26"/>
          <w:szCs w:val="26"/>
        </w:rPr>
        <w:t xml:space="preserve"> </w:t>
      </w:r>
      <w:r w:rsidR="00CC0797" w:rsidRPr="005A0682">
        <w:rPr>
          <w:sz w:val="26"/>
          <w:szCs w:val="26"/>
        </w:rPr>
        <w:t xml:space="preserve">Lastly, </w:t>
      </w:r>
      <w:r w:rsidR="00001E42">
        <w:rPr>
          <w:sz w:val="26"/>
          <w:szCs w:val="26"/>
        </w:rPr>
        <w:t>Mr. Baker</w:t>
      </w:r>
      <w:r w:rsidR="00CC0797" w:rsidRPr="005A0682">
        <w:rPr>
          <w:sz w:val="26"/>
          <w:szCs w:val="26"/>
        </w:rPr>
        <w:t xml:space="preserve"> alleged that this same situatio</w:t>
      </w:r>
      <w:r w:rsidR="007B71F4">
        <w:rPr>
          <w:sz w:val="26"/>
          <w:szCs w:val="26"/>
        </w:rPr>
        <w:t>n occurred the very next day.  Mr. Baker maintained</w:t>
      </w:r>
      <w:r w:rsidR="00CC0797" w:rsidRPr="005A0682">
        <w:rPr>
          <w:sz w:val="26"/>
          <w:szCs w:val="26"/>
        </w:rPr>
        <w:t xml:space="preserve"> that PECO’s actions caused him to lose business, which ultimately caused him to fall behind on his bills. </w:t>
      </w:r>
      <w:r w:rsidR="007B71F4">
        <w:rPr>
          <w:sz w:val="26"/>
          <w:szCs w:val="26"/>
        </w:rPr>
        <w:t xml:space="preserve"> </w:t>
      </w:r>
      <w:r w:rsidR="00CC0797" w:rsidRPr="005A0682">
        <w:rPr>
          <w:sz w:val="26"/>
          <w:szCs w:val="26"/>
        </w:rPr>
        <w:t xml:space="preserve">As relief, </w:t>
      </w:r>
      <w:r w:rsidR="00001E42">
        <w:rPr>
          <w:sz w:val="26"/>
          <w:szCs w:val="26"/>
        </w:rPr>
        <w:t>Mr. Baker</w:t>
      </w:r>
      <w:r w:rsidR="00CC0797" w:rsidRPr="005A0682">
        <w:rPr>
          <w:sz w:val="26"/>
          <w:szCs w:val="26"/>
        </w:rPr>
        <w:t xml:space="preserve"> requested compensation for lost business, removal of a deposit requirement, and a letter from PECO stating that there was never any danger of a fire</w:t>
      </w:r>
      <w:r w:rsidR="007B71F4">
        <w:rPr>
          <w:sz w:val="26"/>
          <w:szCs w:val="26"/>
        </w:rPr>
        <w:t xml:space="preserve"> and permission for him to post the letter to social media</w:t>
      </w:r>
      <w:r w:rsidR="00CC0797" w:rsidRPr="005A0682">
        <w:rPr>
          <w:sz w:val="26"/>
          <w:szCs w:val="26"/>
        </w:rPr>
        <w:t xml:space="preserve">. </w:t>
      </w:r>
      <w:r w:rsidR="00ED4EC7">
        <w:rPr>
          <w:sz w:val="26"/>
          <w:szCs w:val="26"/>
        </w:rPr>
        <w:t xml:space="preserve"> </w:t>
      </w:r>
      <w:r w:rsidR="00ED4EC7" w:rsidRPr="00ED4EC7">
        <w:rPr>
          <w:i/>
          <w:sz w:val="26"/>
          <w:szCs w:val="26"/>
        </w:rPr>
        <w:t>See</w:t>
      </w:r>
      <w:r w:rsidR="00ED4EC7">
        <w:rPr>
          <w:sz w:val="26"/>
          <w:szCs w:val="26"/>
        </w:rPr>
        <w:t xml:space="preserve"> I.D. at 1-2; </w:t>
      </w:r>
      <w:r w:rsidR="00ED4EC7" w:rsidRPr="00ED4EC7">
        <w:rPr>
          <w:i/>
          <w:sz w:val="26"/>
          <w:szCs w:val="26"/>
        </w:rPr>
        <w:t xml:space="preserve">see also </w:t>
      </w:r>
      <w:r w:rsidR="00ED4EC7">
        <w:rPr>
          <w:sz w:val="26"/>
          <w:szCs w:val="26"/>
        </w:rPr>
        <w:t xml:space="preserve">Complaint </w:t>
      </w:r>
      <w:r w:rsidR="00C153AD">
        <w:rPr>
          <w:sz w:val="26"/>
          <w:szCs w:val="26"/>
        </w:rPr>
        <w:t>at ¶ 5</w:t>
      </w:r>
      <w:r w:rsidR="00ED4EC7">
        <w:rPr>
          <w:sz w:val="26"/>
          <w:szCs w:val="26"/>
        </w:rPr>
        <w:t>.</w:t>
      </w:r>
    </w:p>
    <w:p w14:paraId="6FC16A01" w14:textId="77777777" w:rsidR="00CC0797" w:rsidRPr="005A0682" w:rsidRDefault="00CC0797" w:rsidP="00FC4BB5">
      <w:pPr>
        <w:widowControl/>
        <w:autoSpaceDE w:val="0"/>
        <w:autoSpaceDN w:val="0"/>
        <w:adjustRightInd w:val="0"/>
        <w:spacing w:line="360" w:lineRule="auto"/>
        <w:ind w:firstLine="1440"/>
        <w:rPr>
          <w:rFonts w:eastAsiaTheme="minorHAnsi"/>
          <w:color w:val="000000"/>
          <w:sz w:val="26"/>
          <w:szCs w:val="26"/>
        </w:rPr>
      </w:pPr>
    </w:p>
    <w:p w14:paraId="5CF80212" w14:textId="25DB609C" w:rsidR="00CC0797" w:rsidRPr="005A0682" w:rsidRDefault="00CF6948" w:rsidP="00FC4B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On November 17, 2016</w:t>
      </w:r>
      <w:r w:rsidR="00CC0797" w:rsidRPr="005A0682">
        <w:rPr>
          <w:rFonts w:eastAsiaTheme="minorHAnsi"/>
          <w:color w:val="000000"/>
          <w:sz w:val="26"/>
          <w:szCs w:val="26"/>
        </w:rPr>
        <w:t xml:space="preserve">, </w:t>
      </w:r>
      <w:r w:rsidR="007B71F4">
        <w:rPr>
          <w:rFonts w:eastAsiaTheme="minorHAnsi"/>
          <w:color w:val="000000"/>
          <w:sz w:val="26"/>
          <w:szCs w:val="26"/>
        </w:rPr>
        <w:t xml:space="preserve">the </w:t>
      </w:r>
      <w:r w:rsidR="00CC0797" w:rsidRPr="005A0682">
        <w:rPr>
          <w:rFonts w:eastAsiaTheme="minorHAnsi"/>
          <w:color w:val="000000"/>
          <w:sz w:val="26"/>
          <w:szCs w:val="26"/>
        </w:rPr>
        <w:t xml:space="preserve">Respondent filed an Answer denying all material allegations of fact in the Complaint. </w:t>
      </w:r>
      <w:r w:rsidR="007B71F4">
        <w:rPr>
          <w:rFonts w:eastAsiaTheme="minorHAnsi"/>
          <w:color w:val="000000"/>
          <w:sz w:val="26"/>
          <w:szCs w:val="26"/>
        </w:rPr>
        <w:t xml:space="preserve"> </w:t>
      </w:r>
      <w:r w:rsidR="00CC0797" w:rsidRPr="005A0682">
        <w:rPr>
          <w:rFonts w:eastAsiaTheme="minorHAnsi"/>
          <w:color w:val="000000"/>
          <w:sz w:val="26"/>
          <w:szCs w:val="26"/>
        </w:rPr>
        <w:t>Specifically,</w:t>
      </w:r>
      <w:r w:rsidR="007B71F4">
        <w:rPr>
          <w:rFonts w:eastAsiaTheme="minorHAnsi"/>
          <w:color w:val="000000"/>
          <w:sz w:val="26"/>
          <w:szCs w:val="26"/>
        </w:rPr>
        <w:t xml:space="preserve"> the</w:t>
      </w:r>
      <w:r w:rsidR="00CC0797" w:rsidRPr="005A0682">
        <w:rPr>
          <w:rFonts w:eastAsiaTheme="minorHAnsi"/>
          <w:color w:val="000000"/>
          <w:sz w:val="26"/>
          <w:szCs w:val="26"/>
        </w:rPr>
        <w:t xml:space="preserve"> Respondent denied that PECO technicians announced to </w:t>
      </w:r>
      <w:r w:rsidR="00001E42">
        <w:rPr>
          <w:rFonts w:eastAsiaTheme="minorHAnsi"/>
          <w:color w:val="000000"/>
          <w:sz w:val="26"/>
          <w:szCs w:val="26"/>
        </w:rPr>
        <w:t>Mr. Baker</w:t>
      </w:r>
      <w:r w:rsidR="00CC0797" w:rsidRPr="005A0682">
        <w:rPr>
          <w:rFonts w:eastAsiaTheme="minorHAnsi"/>
          <w:color w:val="000000"/>
          <w:sz w:val="26"/>
          <w:szCs w:val="26"/>
        </w:rPr>
        <w:t xml:space="preserve">’s customers that there would be a fire. </w:t>
      </w:r>
      <w:r w:rsidR="007B71F4">
        <w:rPr>
          <w:rFonts w:eastAsiaTheme="minorHAnsi"/>
          <w:color w:val="000000"/>
          <w:sz w:val="26"/>
          <w:szCs w:val="26"/>
        </w:rPr>
        <w:t xml:space="preserve"> I.D. at</w:t>
      </w:r>
      <w:r w:rsidR="005A131E">
        <w:rPr>
          <w:rFonts w:eastAsiaTheme="minorHAnsi"/>
          <w:color w:val="000000"/>
          <w:sz w:val="26"/>
          <w:szCs w:val="26"/>
        </w:rPr>
        <w:t> </w:t>
      </w:r>
      <w:r w:rsidR="007B71F4">
        <w:rPr>
          <w:rFonts w:eastAsiaTheme="minorHAnsi"/>
          <w:color w:val="000000"/>
          <w:sz w:val="26"/>
          <w:szCs w:val="26"/>
        </w:rPr>
        <w:t xml:space="preserve">2. </w:t>
      </w:r>
    </w:p>
    <w:p w14:paraId="1ECF902C" w14:textId="77777777" w:rsidR="00CC0797" w:rsidRPr="005A0682" w:rsidRDefault="00CC0797" w:rsidP="00FC4BB5">
      <w:pPr>
        <w:widowControl/>
        <w:autoSpaceDE w:val="0"/>
        <w:autoSpaceDN w:val="0"/>
        <w:adjustRightInd w:val="0"/>
        <w:spacing w:line="360" w:lineRule="auto"/>
        <w:ind w:firstLine="1440"/>
        <w:rPr>
          <w:rFonts w:eastAsiaTheme="minorHAnsi"/>
          <w:color w:val="000000"/>
          <w:sz w:val="26"/>
          <w:szCs w:val="26"/>
        </w:rPr>
      </w:pPr>
    </w:p>
    <w:p w14:paraId="190B651B" w14:textId="3078D6D5" w:rsidR="00810290" w:rsidRPr="00810290" w:rsidRDefault="00CC0797" w:rsidP="00FC4BB5">
      <w:pPr>
        <w:widowControl/>
        <w:autoSpaceDE w:val="0"/>
        <w:autoSpaceDN w:val="0"/>
        <w:adjustRightInd w:val="0"/>
        <w:spacing w:line="360" w:lineRule="auto"/>
        <w:ind w:firstLine="1440"/>
        <w:rPr>
          <w:rFonts w:eastAsiaTheme="minorHAnsi"/>
          <w:color w:val="000000"/>
          <w:sz w:val="26"/>
          <w:szCs w:val="26"/>
        </w:rPr>
      </w:pPr>
      <w:r w:rsidRPr="005A0682">
        <w:rPr>
          <w:rFonts w:eastAsiaTheme="minorHAnsi"/>
          <w:color w:val="000000"/>
          <w:sz w:val="26"/>
          <w:szCs w:val="26"/>
        </w:rPr>
        <w:t>By Hearing Notice dated December 13, 2016, a hearing was scheduled for January 24, 2017, at 10:00 a.m., and the matter was assigned to ALJ Pell.</w:t>
      </w:r>
      <w:r w:rsidR="007B71F4">
        <w:rPr>
          <w:rFonts w:eastAsiaTheme="minorHAnsi"/>
          <w:color w:val="000000"/>
          <w:sz w:val="26"/>
          <w:szCs w:val="26"/>
        </w:rPr>
        <w:t xml:space="preserve">  I.D. at 2. </w:t>
      </w:r>
    </w:p>
    <w:p w14:paraId="60D3A2F1" w14:textId="77777777" w:rsidR="00CC0797" w:rsidRPr="005A0682" w:rsidRDefault="00CC0797" w:rsidP="00FC4BB5">
      <w:pPr>
        <w:widowControl/>
        <w:autoSpaceDE w:val="0"/>
        <w:autoSpaceDN w:val="0"/>
        <w:adjustRightInd w:val="0"/>
        <w:spacing w:line="360" w:lineRule="auto"/>
        <w:ind w:firstLine="1440"/>
        <w:rPr>
          <w:rFonts w:eastAsiaTheme="minorHAnsi"/>
          <w:color w:val="000000"/>
          <w:sz w:val="26"/>
          <w:szCs w:val="26"/>
        </w:rPr>
      </w:pPr>
    </w:p>
    <w:p w14:paraId="050AF70B" w14:textId="1975A524" w:rsidR="002E7A91" w:rsidRPr="002E7A91" w:rsidRDefault="00CC0797" w:rsidP="00FC4BB5">
      <w:pPr>
        <w:widowControl/>
        <w:autoSpaceDE w:val="0"/>
        <w:autoSpaceDN w:val="0"/>
        <w:adjustRightInd w:val="0"/>
        <w:spacing w:line="360" w:lineRule="auto"/>
        <w:ind w:firstLine="1440"/>
        <w:rPr>
          <w:rFonts w:eastAsiaTheme="minorHAnsi"/>
          <w:color w:val="000000"/>
          <w:sz w:val="26"/>
          <w:szCs w:val="26"/>
        </w:rPr>
      </w:pPr>
      <w:r w:rsidRPr="00810290">
        <w:rPr>
          <w:rFonts w:eastAsiaTheme="minorHAnsi"/>
          <w:color w:val="000000"/>
          <w:sz w:val="26"/>
          <w:szCs w:val="26"/>
        </w:rPr>
        <w:lastRenderedPageBreak/>
        <w:t xml:space="preserve">ALJ Pell issued a Prehearing Order on December 14, 2016. </w:t>
      </w:r>
      <w:r w:rsidR="00BF3748">
        <w:rPr>
          <w:rFonts w:eastAsiaTheme="minorHAnsi"/>
          <w:color w:val="000000"/>
          <w:sz w:val="26"/>
          <w:szCs w:val="26"/>
        </w:rPr>
        <w:t xml:space="preserve"> </w:t>
      </w:r>
      <w:r w:rsidRPr="00810290">
        <w:rPr>
          <w:rFonts w:eastAsiaTheme="minorHAnsi"/>
          <w:color w:val="000000"/>
          <w:sz w:val="26"/>
          <w:szCs w:val="26"/>
        </w:rPr>
        <w:t>The Prehearing Order directed the parties to comply with various procedural requirements.</w:t>
      </w:r>
      <w:r w:rsidR="00BF3748">
        <w:rPr>
          <w:rFonts w:eastAsiaTheme="minorHAnsi"/>
          <w:color w:val="000000"/>
          <w:sz w:val="26"/>
          <w:szCs w:val="26"/>
        </w:rPr>
        <w:t xml:space="preserve">  I.D. at 2.</w:t>
      </w:r>
    </w:p>
    <w:p w14:paraId="1A68F8DA" w14:textId="77777777" w:rsidR="00CC0797" w:rsidRPr="005A0682" w:rsidRDefault="00CC0797" w:rsidP="00FC4BB5">
      <w:pPr>
        <w:widowControl/>
        <w:autoSpaceDE w:val="0"/>
        <w:autoSpaceDN w:val="0"/>
        <w:adjustRightInd w:val="0"/>
        <w:spacing w:line="360" w:lineRule="auto"/>
        <w:ind w:firstLine="1440"/>
        <w:rPr>
          <w:rFonts w:eastAsiaTheme="minorHAnsi"/>
          <w:color w:val="000000"/>
          <w:sz w:val="26"/>
          <w:szCs w:val="26"/>
        </w:rPr>
      </w:pPr>
    </w:p>
    <w:p w14:paraId="37F5630F" w14:textId="5DCDBF4F" w:rsidR="002E7A91" w:rsidRPr="002E7A91" w:rsidRDefault="00CC0797" w:rsidP="00FC4BB5">
      <w:pPr>
        <w:widowControl/>
        <w:autoSpaceDE w:val="0"/>
        <w:autoSpaceDN w:val="0"/>
        <w:adjustRightInd w:val="0"/>
        <w:spacing w:line="360" w:lineRule="auto"/>
        <w:ind w:firstLine="1440"/>
        <w:rPr>
          <w:sz w:val="26"/>
          <w:szCs w:val="26"/>
        </w:rPr>
      </w:pPr>
      <w:r w:rsidRPr="005A0682">
        <w:rPr>
          <w:rFonts w:eastAsiaTheme="minorHAnsi"/>
          <w:color w:val="000000"/>
          <w:sz w:val="26"/>
          <w:szCs w:val="26"/>
        </w:rPr>
        <w:t>By Order dated January 25, 2017, ALJ Pell granted PECO’s Motion for Continuance</w:t>
      </w:r>
      <w:r w:rsidR="00BF3748">
        <w:rPr>
          <w:rFonts w:eastAsiaTheme="minorHAnsi"/>
          <w:color w:val="000000"/>
          <w:sz w:val="26"/>
          <w:szCs w:val="26"/>
        </w:rPr>
        <w:t>, dated January 19, 2017</w:t>
      </w:r>
      <w:r w:rsidRPr="005A0682">
        <w:rPr>
          <w:rFonts w:eastAsiaTheme="minorHAnsi"/>
          <w:color w:val="000000"/>
          <w:sz w:val="26"/>
          <w:szCs w:val="26"/>
        </w:rPr>
        <w:t xml:space="preserve">. </w:t>
      </w:r>
      <w:r w:rsidR="00BF3748">
        <w:rPr>
          <w:rFonts w:eastAsiaTheme="minorHAnsi"/>
          <w:color w:val="000000"/>
          <w:sz w:val="26"/>
          <w:szCs w:val="26"/>
        </w:rPr>
        <w:t xml:space="preserve"> </w:t>
      </w:r>
      <w:r w:rsidRPr="005A0682">
        <w:rPr>
          <w:rFonts w:eastAsiaTheme="minorHAnsi"/>
          <w:color w:val="000000"/>
          <w:sz w:val="26"/>
          <w:szCs w:val="26"/>
        </w:rPr>
        <w:t xml:space="preserve">By Hearing Cancellation/Reschedule Notice dated March 21, 2017, the hearing was rescheduled for April 27, 2017 at 10:00 a.m. </w:t>
      </w:r>
      <w:r w:rsidR="00BF3748">
        <w:rPr>
          <w:rFonts w:eastAsiaTheme="minorHAnsi"/>
          <w:color w:val="000000"/>
          <w:sz w:val="26"/>
          <w:szCs w:val="26"/>
        </w:rPr>
        <w:t xml:space="preserve"> I.D. at 2.</w:t>
      </w:r>
    </w:p>
    <w:p w14:paraId="006096CB" w14:textId="77777777" w:rsidR="002E7A91" w:rsidRPr="005A0682" w:rsidRDefault="002E7A91" w:rsidP="00FC4BB5">
      <w:pPr>
        <w:widowControl/>
        <w:autoSpaceDE w:val="0"/>
        <w:autoSpaceDN w:val="0"/>
        <w:adjustRightInd w:val="0"/>
        <w:spacing w:line="360" w:lineRule="auto"/>
        <w:ind w:firstLine="1440"/>
        <w:rPr>
          <w:rFonts w:eastAsiaTheme="minorHAnsi"/>
          <w:color w:val="000000"/>
          <w:sz w:val="26"/>
          <w:szCs w:val="26"/>
        </w:rPr>
      </w:pPr>
    </w:p>
    <w:p w14:paraId="49854081" w14:textId="4DB46621" w:rsidR="00F90CA9" w:rsidRDefault="00CC0797" w:rsidP="00FC4BB5">
      <w:pPr>
        <w:pStyle w:val="Default"/>
        <w:spacing w:line="360" w:lineRule="auto"/>
        <w:ind w:firstLine="1440"/>
        <w:rPr>
          <w:sz w:val="26"/>
          <w:szCs w:val="26"/>
        </w:rPr>
      </w:pPr>
      <w:r w:rsidRPr="005A0682">
        <w:rPr>
          <w:sz w:val="26"/>
          <w:szCs w:val="26"/>
        </w:rPr>
        <w:t xml:space="preserve">The hearing convened as scheduled on April 27, 2017. </w:t>
      </w:r>
      <w:r w:rsidR="00F90CA9">
        <w:rPr>
          <w:sz w:val="26"/>
          <w:szCs w:val="26"/>
        </w:rPr>
        <w:t xml:space="preserve"> Mr. Baker</w:t>
      </w:r>
      <w:r w:rsidRPr="005A0682">
        <w:rPr>
          <w:sz w:val="26"/>
          <w:szCs w:val="26"/>
        </w:rPr>
        <w:t xml:space="preserve"> appeared</w:t>
      </w:r>
      <w:r w:rsidR="00F90CA9">
        <w:rPr>
          <w:sz w:val="26"/>
          <w:szCs w:val="26"/>
        </w:rPr>
        <w:t xml:space="preserve"> at the hearing without attorney representation. </w:t>
      </w:r>
      <w:r w:rsidR="00BF3748">
        <w:rPr>
          <w:sz w:val="26"/>
          <w:szCs w:val="26"/>
        </w:rPr>
        <w:t xml:space="preserve"> </w:t>
      </w:r>
      <w:r w:rsidRPr="005A0682">
        <w:rPr>
          <w:sz w:val="26"/>
          <w:szCs w:val="26"/>
        </w:rPr>
        <w:t xml:space="preserve">In support of </w:t>
      </w:r>
      <w:r w:rsidR="00F90CA9">
        <w:rPr>
          <w:sz w:val="26"/>
          <w:szCs w:val="26"/>
        </w:rPr>
        <w:t xml:space="preserve">the </w:t>
      </w:r>
      <w:r w:rsidRPr="005A0682">
        <w:rPr>
          <w:sz w:val="26"/>
          <w:szCs w:val="26"/>
        </w:rPr>
        <w:t xml:space="preserve">Complaint, </w:t>
      </w:r>
      <w:r w:rsidR="00001E42">
        <w:rPr>
          <w:sz w:val="26"/>
          <w:szCs w:val="26"/>
        </w:rPr>
        <w:t>Mr. Baker</w:t>
      </w:r>
      <w:r w:rsidRPr="005A0682">
        <w:rPr>
          <w:sz w:val="26"/>
          <w:szCs w:val="26"/>
        </w:rPr>
        <w:t xml:space="preserve"> </w:t>
      </w:r>
      <w:r w:rsidR="00F90CA9">
        <w:rPr>
          <w:sz w:val="26"/>
          <w:szCs w:val="26"/>
        </w:rPr>
        <w:t xml:space="preserve">presented his own testimony and </w:t>
      </w:r>
      <w:r w:rsidRPr="005A0682">
        <w:rPr>
          <w:sz w:val="26"/>
          <w:szCs w:val="26"/>
        </w:rPr>
        <w:t>the testimony of the following</w:t>
      </w:r>
      <w:r w:rsidR="00BF3748">
        <w:rPr>
          <w:sz w:val="26"/>
          <w:szCs w:val="26"/>
        </w:rPr>
        <w:t xml:space="preserve"> </w:t>
      </w:r>
      <w:r w:rsidRPr="005A0682">
        <w:rPr>
          <w:sz w:val="26"/>
          <w:szCs w:val="26"/>
        </w:rPr>
        <w:t xml:space="preserve">people: </w:t>
      </w:r>
      <w:r w:rsidR="00F90CA9">
        <w:rPr>
          <w:sz w:val="26"/>
          <w:szCs w:val="26"/>
        </w:rPr>
        <w:t xml:space="preserve"> </w:t>
      </w:r>
      <w:r w:rsidRPr="005A0682">
        <w:rPr>
          <w:sz w:val="26"/>
          <w:szCs w:val="26"/>
        </w:rPr>
        <w:t>Noel Wilczaa, an employee</w:t>
      </w:r>
      <w:r w:rsidR="00F90CA9">
        <w:rPr>
          <w:sz w:val="26"/>
          <w:szCs w:val="26"/>
        </w:rPr>
        <w:t xml:space="preserve"> of the tanning salon</w:t>
      </w:r>
      <w:r w:rsidRPr="005A0682">
        <w:rPr>
          <w:sz w:val="26"/>
          <w:szCs w:val="26"/>
        </w:rPr>
        <w:t>; Elizabeth Madgin, a customer</w:t>
      </w:r>
      <w:r w:rsidR="00F90CA9">
        <w:rPr>
          <w:sz w:val="26"/>
          <w:szCs w:val="26"/>
        </w:rPr>
        <w:t xml:space="preserve"> of the tanning salon</w:t>
      </w:r>
      <w:r w:rsidRPr="005A0682">
        <w:rPr>
          <w:sz w:val="26"/>
          <w:szCs w:val="26"/>
        </w:rPr>
        <w:t>; Michael R. Vasos, a subcontractor</w:t>
      </w:r>
      <w:r w:rsidR="00F90CA9">
        <w:rPr>
          <w:sz w:val="26"/>
          <w:szCs w:val="26"/>
        </w:rPr>
        <w:t xml:space="preserve"> of the tanning</w:t>
      </w:r>
      <w:r w:rsidR="00FD4985">
        <w:rPr>
          <w:sz w:val="26"/>
          <w:szCs w:val="26"/>
        </w:rPr>
        <w:t xml:space="preserve"> salon business</w:t>
      </w:r>
      <w:r w:rsidRPr="005A0682">
        <w:rPr>
          <w:sz w:val="26"/>
          <w:szCs w:val="26"/>
        </w:rPr>
        <w:t xml:space="preserve">; and Danielle Baker, </w:t>
      </w:r>
      <w:r w:rsidR="00001E42">
        <w:rPr>
          <w:sz w:val="26"/>
          <w:szCs w:val="26"/>
        </w:rPr>
        <w:t>Mr.</w:t>
      </w:r>
      <w:r w:rsidR="005A131E">
        <w:rPr>
          <w:sz w:val="26"/>
          <w:szCs w:val="26"/>
        </w:rPr>
        <w:t> </w:t>
      </w:r>
      <w:r w:rsidR="00001E42">
        <w:rPr>
          <w:sz w:val="26"/>
          <w:szCs w:val="26"/>
        </w:rPr>
        <w:t>Baker</w:t>
      </w:r>
      <w:r w:rsidRPr="005A0682">
        <w:rPr>
          <w:sz w:val="26"/>
          <w:szCs w:val="26"/>
        </w:rPr>
        <w:t>’s daughter.</w:t>
      </w:r>
      <w:r w:rsidR="00F90CA9">
        <w:rPr>
          <w:sz w:val="26"/>
          <w:szCs w:val="26"/>
        </w:rPr>
        <w:t xml:space="preserve"> </w:t>
      </w:r>
      <w:r w:rsidR="00BF3748">
        <w:rPr>
          <w:sz w:val="26"/>
          <w:szCs w:val="26"/>
        </w:rPr>
        <w:t xml:space="preserve"> </w:t>
      </w:r>
      <w:r w:rsidR="00BF3748" w:rsidRPr="00BF3748">
        <w:rPr>
          <w:i/>
          <w:sz w:val="26"/>
          <w:szCs w:val="26"/>
        </w:rPr>
        <w:t>See</w:t>
      </w:r>
      <w:r w:rsidR="00BF3748">
        <w:rPr>
          <w:sz w:val="26"/>
          <w:szCs w:val="26"/>
        </w:rPr>
        <w:t xml:space="preserve"> I.D. at 2.</w:t>
      </w:r>
    </w:p>
    <w:p w14:paraId="5449BD0B" w14:textId="77777777" w:rsidR="00F90CA9" w:rsidRDefault="00F90CA9" w:rsidP="00FC4BB5">
      <w:pPr>
        <w:pStyle w:val="Default"/>
        <w:spacing w:line="360" w:lineRule="auto"/>
        <w:ind w:firstLine="1440"/>
        <w:rPr>
          <w:sz w:val="26"/>
          <w:szCs w:val="26"/>
        </w:rPr>
      </w:pPr>
    </w:p>
    <w:p w14:paraId="22033AE9" w14:textId="72859170" w:rsidR="00E743CB" w:rsidRPr="005A0682" w:rsidRDefault="00F90CA9" w:rsidP="00FC4BB5">
      <w:pPr>
        <w:pStyle w:val="Default"/>
        <w:spacing w:line="360" w:lineRule="auto"/>
        <w:ind w:firstLine="1440"/>
        <w:rPr>
          <w:sz w:val="26"/>
          <w:szCs w:val="26"/>
        </w:rPr>
      </w:pPr>
      <w:r>
        <w:rPr>
          <w:sz w:val="26"/>
          <w:szCs w:val="26"/>
        </w:rPr>
        <w:t xml:space="preserve">PECO </w:t>
      </w:r>
      <w:r w:rsidR="00CC0797" w:rsidRPr="005A0682">
        <w:rPr>
          <w:sz w:val="26"/>
          <w:szCs w:val="26"/>
        </w:rPr>
        <w:t xml:space="preserve">appeared </w:t>
      </w:r>
      <w:r>
        <w:rPr>
          <w:sz w:val="26"/>
          <w:szCs w:val="26"/>
        </w:rPr>
        <w:t xml:space="preserve">at the hearing </w:t>
      </w:r>
      <w:r w:rsidR="00CC0797" w:rsidRPr="005A0682">
        <w:rPr>
          <w:sz w:val="26"/>
          <w:szCs w:val="26"/>
        </w:rPr>
        <w:t xml:space="preserve">and was represented by Shawane L. Lee, Esq., who presented the testimony of the following people: Dana McCollum, a PECO Regulatory Assessor; Michael Brignola, a PECO Energy Technician; George A. Ludwick, a PECO Emergency Response Department Supervisor; and Dennis Fitty, a PECO Senior Engineer in PECO’s Meter Department. </w:t>
      </w:r>
      <w:r w:rsidR="00BF3748">
        <w:rPr>
          <w:sz w:val="26"/>
          <w:szCs w:val="26"/>
        </w:rPr>
        <w:t xml:space="preserve"> PECO</w:t>
      </w:r>
      <w:r w:rsidR="00CC0797" w:rsidRPr="005A0682">
        <w:rPr>
          <w:sz w:val="26"/>
          <w:szCs w:val="26"/>
        </w:rPr>
        <w:t xml:space="preserve"> offered fourteen exhibits (PECO Exhs. 1-14)</w:t>
      </w:r>
      <w:r w:rsidR="00BF3748">
        <w:rPr>
          <w:sz w:val="26"/>
          <w:szCs w:val="26"/>
        </w:rPr>
        <w:t>,</w:t>
      </w:r>
      <w:r w:rsidR="00CC0797" w:rsidRPr="005A0682">
        <w:rPr>
          <w:sz w:val="26"/>
          <w:szCs w:val="26"/>
        </w:rPr>
        <w:t xml:space="preserve"> which were all admitted into the record.</w:t>
      </w:r>
      <w:r w:rsidR="00BF3748">
        <w:rPr>
          <w:sz w:val="26"/>
          <w:szCs w:val="26"/>
        </w:rPr>
        <w:t xml:space="preserve">  I.D. at 2-3.</w:t>
      </w:r>
    </w:p>
    <w:p w14:paraId="737630EE" w14:textId="77777777" w:rsidR="005A0682" w:rsidRDefault="005A0682" w:rsidP="00FC4BB5">
      <w:pPr>
        <w:pStyle w:val="Default"/>
        <w:spacing w:line="360" w:lineRule="auto"/>
        <w:ind w:firstLine="1440"/>
        <w:rPr>
          <w:sz w:val="26"/>
          <w:szCs w:val="26"/>
        </w:rPr>
      </w:pPr>
    </w:p>
    <w:p w14:paraId="45397B57" w14:textId="664374DF" w:rsidR="00CC0797" w:rsidRPr="005A0682" w:rsidRDefault="00CC0797" w:rsidP="00FC4BB5">
      <w:pPr>
        <w:pStyle w:val="Default"/>
        <w:spacing w:line="360" w:lineRule="auto"/>
        <w:ind w:firstLine="1440"/>
        <w:rPr>
          <w:sz w:val="26"/>
          <w:szCs w:val="26"/>
        </w:rPr>
      </w:pPr>
      <w:r w:rsidRPr="005A0682">
        <w:rPr>
          <w:sz w:val="26"/>
          <w:szCs w:val="26"/>
        </w:rPr>
        <w:t xml:space="preserve">The record in this case consists of a 238-page transcript and fourteen exhibits. </w:t>
      </w:r>
      <w:r w:rsidR="00FD4985">
        <w:rPr>
          <w:sz w:val="26"/>
          <w:szCs w:val="26"/>
        </w:rPr>
        <w:t xml:space="preserve"> </w:t>
      </w:r>
      <w:r w:rsidRPr="005A0682">
        <w:rPr>
          <w:sz w:val="26"/>
          <w:szCs w:val="26"/>
        </w:rPr>
        <w:t>The recor</w:t>
      </w:r>
      <w:r w:rsidR="005A0682">
        <w:rPr>
          <w:sz w:val="26"/>
          <w:szCs w:val="26"/>
        </w:rPr>
        <w:t>d closed on May 31, 2017, when ALJ Pell</w:t>
      </w:r>
      <w:r w:rsidRPr="005A0682">
        <w:rPr>
          <w:sz w:val="26"/>
          <w:szCs w:val="26"/>
        </w:rPr>
        <w:t xml:space="preserve"> received a copy of the transcript.</w:t>
      </w:r>
      <w:r w:rsidR="00BF3748">
        <w:rPr>
          <w:sz w:val="26"/>
          <w:szCs w:val="26"/>
        </w:rPr>
        <w:t xml:space="preserve">  I.D. at 3.</w:t>
      </w:r>
    </w:p>
    <w:p w14:paraId="70F7BE94" w14:textId="77777777" w:rsidR="00E743CB" w:rsidRDefault="00E743CB" w:rsidP="00FC4BB5">
      <w:pPr>
        <w:widowControl/>
        <w:spacing w:line="360" w:lineRule="auto"/>
        <w:ind w:firstLine="1440"/>
        <w:rPr>
          <w:rFonts w:eastAsiaTheme="minorHAnsi"/>
          <w:color w:val="000000"/>
          <w:sz w:val="26"/>
          <w:szCs w:val="26"/>
        </w:rPr>
      </w:pPr>
    </w:p>
    <w:p w14:paraId="6B572DF9" w14:textId="350D24CF" w:rsidR="00E743CB" w:rsidRDefault="00E743CB" w:rsidP="00FC4BB5">
      <w:pPr>
        <w:widowControl/>
        <w:spacing w:line="360" w:lineRule="auto"/>
        <w:ind w:firstLine="1440"/>
        <w:rPr>
          <w:sz w:val="26"/>
          <w:szCs w:val="26"/>
        </w:rPr>
      </w:pPr>
      <w:r>
        <w:rPr>
          <w:rFonts w:eastAsiaTheme="minorHAnsi"/>
          <w:color w:val="000000"/>
          <w:sz w:val="26"/>
          <w:szCs w:val="26"/>
        </w:rPr>
        <w:t>On</w:t>
      </w:r>
      <w:r w:rsidR="00710724">
        <w:rPr>
          <w:rFonts w:eastAsiaTheme="minorHAnsi"/>
          <w:color w:val="000000"/>
          <w:sz w:val="26"/>
          <w:szCs w:val="26"/>
        </w:rPr>
        <w:t xml:space="preserve"> </w:t>
      </w:r>
      <w:r w:rsidR="00CC0797">
        <w:rPr>
          <w:rFonts w:eastAsiaTheme="minorHAnsi"/>
          <w:color w:val="000000"/>
          <w:sz w:val="26"/>
          <w:szCs w:val="26"/>
        </w:rPr>
        <w:t>August 28</w:t>
      </w:r>
      <w:r>
        <w:rPr>
          <w:rFonts w:eastAsiaTheme="minorHAnsi"/>
          <w:color w:val="000000"/>
          <w:sz w:val="26"/>
          <w:szCs w:val="26"/>
        </w:rPr>
        <w:t xml:space="preserve">, 2017, </w:t>
      </w:r>
      <w:r w:rsidRPr="00A9787D">
        <w:rPr>
          <w:sz w:val="26"/>
          <w:szCs w:val="26"/>
        </w:rPr>
        <w:t xml:space="preserve">the Initial Decision of </w:t>
      </w:r>
      <w:r>
        <w:rPr>
          <w:sz w:val="26"/>
          <w:szCs w:val="26"/>
        </w:rPr>
        <w:t xml:space="preserve">ALJ </w:t>
      </w:r>
      <w:r w:rsidR="00CC0797">
        <w:rPr>
          <w:sz w:val="26"/>
          <w:szCs w:val="26"/>
        </w:rPr>
        <w:t xml:space="preserve">Pell </w:t>
      </w:r>
      <w:r>
        <w:rPr>
          <w:sz w:val="26"/>
          <w:szCs w:val="26"/>
        </w:rPr>
        <w:t xml:space="preserve">was </w:t>
      </w:r>
      <w:r w:rsidRPr="00A9787D">
        <w:rPr>
          <w:sz w:val="26"/>
          <w:szCs w:val="26"/>
        </w:rPr>
        <w:t>issued</w:t>
      </w:r>
      <w:r>
        <w:rPr>
          <w:sz w:val="26"/>
          <w:szCs w:val="26"/>
        </w:rPr>
        <w:t xml:space="preserve"> via Commission Secretarial Letter.  The Initial Decision d</w:t>
      </w:r>
      <w:r w:rsidR="00CC0797">
        <w:rPr>
          <w:sz w:val="26"/>
          <w:szCs w:val="26"/>
        </w:rPr>
        <w:t>enied</w:t>
      </w:r>
      <w:r>
        <w:rPr>
          <w:sz w:val="26"/>
          <w:szCs w:val="26"/>
        </w:rPr>
        <w:t xml:space="preserve"> the </w:t>
      </w:r>
      <w:r w:rsidRPr="00B5256C">
        <w:rPr>
          <w:sz w:val="26"/>
          <w:szCs w:val="26"/>
        </w:rPr>
        <w:t>Compl</w:t>
      </w:r>
      <w:r>
        <w:rPr>
          <w:sz w:val="26"/>
          <w:szCs w:val="26"/>
        </w:rPr>
        <w:t xml:space="preserve">aint </w:t>
      </w:r>
      <w:r w:rsidR="00BF3748">
        <w:rPr>
          <w:sz w:val="26"/>
          <w:szCs w:val="26"/>
        </w:rPr>
        <w:t xml:space="preserve">and </w:t>
      </w:r>
      <w:r w:rsidR="00CC0797">
        <w:rPr>
          <w:sz w:val="26"/>
          <w:szCs w:val="26"/>
        </w:rPr>
        <w:t xml:space="preserve">concluded that </w:t>
      </w:r>
      <w:r w:rsidR="00001E42">
        <w:rPr>
          <w:sz w:val="26"/>
          <w:szCs w:val="26"/>
        </w:rPr>
        <w:t>Mr. Baker</w:t>
      </w:r>
      <w:r w:rsidR="00CC0797">
        <w:rPr>
          <w:sz w:val="26"/>
          <w:szCs w:val="26"/>
        </w:rPr>
        <w:t xml:space="preserve"> failed to meet his burden of demonstrating that PECO provided him with inadequate service.</w:t>
      </w:r>
    </w:p>
    <w:p w14:paraId="6920780E" w14:textId="3F97FB76" w:rsidR="00CC0797" w:rsidRDefault="00CC0797" w:rsidP="00FC4BB5">
      <w:pPr>
        <w:widowControl/>
        <w:spacing w:line="360" w:lineRule="auto"/>
        <w:ind w:firstLine="1440"/>
        <w:rPr>
          <w:sz w:val="26"/>
          <w:szCs w:val="26"/>
        </w:rPr>
      </w:pPr>
    </w:p>
    <w:p w14:paraId="4496AB31" w14:textId="51809832" w:rsidR="00CC0797" w:rsidRDefault="00CC0797" w:rsidP="00FC4BB5">
      <w:pPr>
        <w:widowControl/>
        <w:spacing w:line="360" w:lineRule="auto"/>
        <w:ind w:firstLine="1440"/>
        <w:rPr>
          <w:sz w:val="26"/>
          <w:szCs w:val="26"/>
        </w:rPr>
      </w:pPr>
      <w:r>
        <w:rPr>
          <w:sz w:val="26"/>
          <w:szCs w:val="26"/>
        </w:rPr>
        <w:t xml:space="preserve">On September 18, 2017, </w:t>
      </w:r>
      <w:r w:rsidR="0053214B">
        <w:rPr>
          <w:sz w:val="26"/>
          <w:szCs w:val="26"/>
        </w:rPr>
        <w:t xml:space="preserve">a Secretarial Letter was issued </w:t>
      </w:r>
      <w:r>
        <w:rPr>
          <w:sz w:val="26"/>
          <w:szCs w:val="26"/>
        </w:rPr>
        <w:t xml:space="preserve">notifying </w:t>
      </w:r>
      <w:r w:rsidR="00001E42">
        <w:rPr>
          <w:sz w:val="26"/>
          <w:szCs w:val="26"/>
        </w:rPr>
        <w:t>Mr. Baker</w:t>
      </w:r>
      <w:r>
        <w:rPr>
          <w:sz w:val="26"/>
          <w:szCs w:val="26"/>
        </w:rPr>
        <w:t xml:space="preserve"> that</w:t>
      </w:r>
      <w:r w:rsidR="0053214B">
        <w:rPr>
          <w:sz w:val="26"/>
          <w:szCs w:val="26"/>
        </w:rPr>
        <w:t xml:space="preserve"> the</w:t>
      </w:r>
      <w:r>
        <w:rPr>
          <w:sz w:val="26"/>
          <w:szCs w:val="26"/>
        </w:rPr>
        <w:t xml:space="preserve"> Exceptions</w:t>
      </w:r>
      <w:r w:rsidR="0053214B">
        <w:rPr>
          <w:sz w:val="26"/>
          <w:szCs w:val="26"/>
        </w:rPr>
        <w:t xml:space="preserve"> e-filed on September 17, 2017</w:t>
      </w:r>
      <w:r w:rsidR="00FD4985">
        <w:rPr>
          <w:sz w:val="26"/>
          <w:szCs w:val="26"/>
        </w:rPr>
        <w:t>,</w:t>
      </w:r>
      <w:r w:rsidR="0053214B">
        <w:rPr>
          <w:sz w:val="26"/>
          <w:szCs w:val="26"/>
        </w:rPr>
        <w:t xml:space="preserve"> had been rejected</w:t>
      </w:r>
      <w:r>
        <w:rPr>
          <w:sz w:val="26"/>
          <w:szCs w:val="26"/>
        </w:rPr>
        <w:t xml:space="preserve"> </w:t>
      </w:r>
      <w:r w:rsidR="0053214B">
        <w:rPr>
          <w:sz w:val="26"/>
          <w:szCs w:val="26"/>
        </w:rPr>
        <w:t xml:space="preserve">by the Secretary’s Bureau </w:t>
      </w:r>
      <w:r w:rsidR="00BF3748">
        <w:rPr>
          <w:sz w:val="26"/>
          <w:szCs w:val="26"/>
        </w:rPr>
        <w:t>because</w:t>
      </w:r>
      <w:r>
        <w:rPr>
          <w:sz w:val="26"/>
          <w:szCs w:val="26"/>
        </w:rPr>
        <w:t xml:space="preserve"> </w:t>
      </w:r>
      <w:r w:rsidR="0053214B">
        <w:rPr>
          <w:sz w:val="26"/>
          <w:szCs w:val="26"/>
        </w:rPr>
        <w:t>the filing was missing a</w:t>
      </w:r>
      <w:r>
        <w:rPr>
          <w:sz w:val="26"/>
          <w:szCs w:val="26"/>
        </w:rPr>
        <w:t xml:space="preserve"> docket number and</w:t>
      </w:r>
      <w:r w:rsidR="0053214B">
        <w:rPr>
          <w:sz w:val="26"/>
          <w:szCs w:val="26"/>
        </w:rPr>
        <w:t xml:space="preserve"> c</w:t>
      </w:r>
      <w:r>
        <w:rPr>
          <w:sz w:val="26"/>
          <w:szCs w:val="26"/>
        </w:rPr>
        <w:t>e</w:t>
      </w:r>
      <w:r w:rsidR="0053214B">
        <w:rPr>
          <w:sz w:val="26"/>
          <w:szCs w:val="26"/>
        </w:rPr>
        <w:t xml:space="preserve">rtificate of service.  The Secretarial Letter notified </w:t>
      </w:r>
      <w:r w:rsidR="00001E42">
        <w:rPr>
          <w:sz w:val="26"/>
          <w:szCs w:val="26"/>
        </w:rPr>
        <w:t>Mr. Baker</w:t>
      </w:r>
      <w:r w:rsidR="0053214B">
        <w:rPr>
          <w:sz w:val="26"/>
          <w:szCs w:val="26"/>
        </w:rPr>
        <w:t xml:space="preserve"> that he may resubmit conforming Exceptions within </w:t>
      </w:r>
      <w:r w:rsidR="005A131E">
        <w:rPr>
          <w:sz w:val="26"/>
          <w:szCs w:val="26"/>
        </w:rPr>
        <w:t>ten</w:t>
      </w:r>
      <w:r w:rsidR="0053214B">
        <w:rPr>
          <w:sz w:val="26"/>
          <w:szCs w:val="26"/>
        </w:rPr>
        <w:t xml:space="preserve"> days of the Secretarial Letter </w:t>
      </w:r>
      <w:r w:rsidR="00605F89">
        <w:rPr>
          <w:sz w:val="26"/>
          <w:szCs w:val="26"/>
        </w:rPr>
        <w:t>or the Exceptions would be deemed unfiled.</w:t>
      </w:r>
    </w:p>
    <w:p w14:paraId="35E9286E" w14:textId="3530F568" w:rsidR="0053214B" w:rsidRDefault="0053214B" w:rsidP="00FC4BB5">
      <w:pPr>
        <w:widowControl/>
        <w:spacing w:line="360" w:lineRule="auto"/>
        <w:ind w:firstLine="1440"/>
        <w:rPr>
          <w:sz w:val="26"/>
          <w:szCs w:val="26"/>
        </w:rPr>
      </w:pPr>
    </w:p>
    <w:p w14:paraId="324366F5" w14:textId="449A1EDF" w:rsidR="0053214B" w:rsidRDefault="0053214B" w:rsidP="00FC4BB5">
      <w:pPr>
        <w:widowControl/>
        <w:spacing w:line="360" w:lineRule="auto"/>
        <w:ind w:firstLine="1440"/>
        <w:rPr>
          <w:rFonts w:eastAsiaTheme="minorHAnsi"/>
          <w:color w:val="000000"/>
          <w:sz w:val="26"/>
          <w:szCs w:val="26"/>
        </w:rPr>
      </w:pPr>
      <w:r>
        <w:rPr>
          <w:sz w:val="26"/>
          <w:szCs w:val="26"/>
        </w:rPr>
        <w:t>On September 28, 2017, a</w:t>
      </w:r>
      <w:r w:rsidR="00BF3748">
        <w:rPr>
          <w:sz w:val="26"/>
          <w:szCs w:val="26"/>
        </w:rPr>
        <w:t>nother</w:t>
      </w:r>
      <w:r>
        <w:rPr>
          <w:sz w:val="26"/>
          <w:szCs w:val="26"/>
        </w:rPr>
        <w:t xml:space="preserve"> Secretarial Letter was issued notifying </w:t>
      </w:r>
      <w:r w:rsidR="00001E42">
        <w:rPr>
          <w:sz w:val="26"/>
          <w:szCs w:val="26"/>
        </w:rPr>
        <w:t>Mr. Baker</w:t>
      </w:r>
      <w:r>
        <w:rPr>
          <w:sz w:val="26"/>
          <w:szCs w:val="26"/>
        </w:rPr>
        <w:t xml:space="preserve"> that his Exceptions e-filed on September 27, 2017</w:t>
      </w:r>
      <w:r w:rsidR="00BF3748">
        <w:rPr>
          <w:sz w:val="26"/>
          <w:szCs w:val="26"/>
        </w:rPr>
        <w:t xml:space="preserve">, </w:t>
      </w:r>
      <w:r>
        <w:rPr>
          <w:sz w:val="26"/>
          <w:szCs w:val="26"/>
        </w:rPr>
        <w:t xml:space="preserve">had been rejected by the Secretary’s Bureau because the filing failed to identify the correct category and failed to be contained in one single pdf document.  The Secretarial Letter notified </w:t>
      </w:r>
      <w:r w:rsidR="00001E42">
        <w:rPr>
          <w:sz w:val="26"/>
          <w:szCs w:val="26"/>
        </w:rPr>
        <w:t>Mr. Baker</w:t>
      </w:r>
      <w:r>
        <w:rPr>
          <w:sz w:val="26"/>
          <w:szCs w:val="26"/>
        </w:rPr>
        <w:t xml:space="preserve"> that he may resubmit conforming Exceptions within </w:t>
      </w:r>
      <w:r w:rsidR="005A131E">
        <w:rPr>
          <w:sz w:val="26"/>
          <w:szCs w:val="26"/>
        </w:rPr>
        <w:t>ten</w:t>
      </w:r>
      <w:r>
        <w:rPr>
          <w:sz w:val="26"/>
          <w:szCs w:val="26"/>
        </w:rPr>
        <w:t xml:space="preserve"> days of the Secretarial Letter</w:t>
      </w:r>
      <w:r w:rsidR="00605F89">
        <w:rPr>
          <w:sz w:val="26"/>
          <w:szCs w:val="26"/>
        </w:rPr>
        <w:t xml:space="preserve"> or the Exceptions would be deemed unfiled</w:t>
      </w:r>
      <w:r>
        <w:rPr>
          <w:sz w:val="26"/>
          <w:szCs w:val="26"/>
        </w:rPr>
        <w:t xml:space="preserve">. </w:t>
      </w:r>
    </w:p>
    <w:p w14:paraId="0A8B8D31" w14:textId="77777777" w:rsidR="00E743CB" w:rsidRDefault="00E743CB" w:rsidP="00FC4BB5">
      <w:pPr>
        <w:widowControl/>
        <w:spacing w:line="360" w:lineRule="auto"/>
        <w:rPr>
          <w:rFonts w:eastAsiaTheme="minorHAnsi"/>
          <w:color w:val="000000"/>
          <w:sz w:val="26"/>
          <w:szCs w:val="26"/>
        </w:rPr>
      </w:pPr>
    </w:p>
    <w:p w14:paraId="58476DDF" w14:textId="273D8EA0" w:rsidR="0053214B" w:rsidRDefault="00E743CB" w:rsidP="00FC4BB5">
      <w:pPr>
        <w:widowControl/>
        <w:spacing w:line="360" w:lineRule="auto"/>
        <w:ind w:firstLine="1440"/>
        <w:rPr>
          <w:rFonts w:eastAsiaTheme="minorHAnsi"/>
          <w:color w:val="000000"/>
          <w:sz w:val="26"/>
          <w:szCs w:val="26"/>
        </w:rPr>
      </w:pPr>
      <w:r>
        <w:rPr>
          <w:rFonts w:eastAsiaTheme="minorHAnsi"/>
          <w:color w:val="000000"/>
          <w:sz w:val="26"/>
          <w:szCs w:val="26"/>
        </w:rPr>
        <w:t xml:space="preserve">On </w:t>
      </w:r>
      <w:r w:rsidR="00CC0797">
        <w:rPr>
          <w:rFonts w:eastAsiaTheme="minorHAnsi"/>
          <w:color w:val="000000"/>
          <w:sz w:val="26"/>
          <w:szCs w:val="26"/>
        </w:rPr>
        <w:t>October 10,</w:t>
      </w:r>
      <w:r w:rsidR="00605F89">
        <w:rPr>
          <w:rFonts w:eastAsiaTheme="minorHAnsi"/>
          <w:color w:val="000000"/>
          <w:sz w:val="26"/>
          <w:szCs w:val="26"/>
        </w:rPr>
        <w:t xml:space="preserve"> 2017, </w:t>
      </w:r>
      <w:r w:rsidR="00001E42">
        <w:rPr>
          <w:rFonts w:eastAsiaTheme="minorHAnsi"/>
          <w:color w:val="000000"/>
          <w:sz w:val="26"/>
          <w:szCs w:val="26"/>
        </w:rPr>
        <w:t>Mr. Baker</w:t>
      </w:r>
      <w:r w:rsidR="00605F89">
        <w:rPr>
          <w:rFonts w:eastAsiaTheme="minorHAnsi"/>
          <w:color w:val="000000"/>
          <w:sz w:val="26"/>
          <w:szCs w:val="26"/>
        </w:rPr>
        <w:t xml:space="preserve"> </w:t>
      </w:r>
      <w:r w:rsidR="009C22EC">
        <w:rPr>
          <w:rFonts w:eastAsiaTheme="minorHAnsi"/>
          <w:color w:val="000000"/>
          <w:sz w:val="26"/>
          <w:szCs w:val="26"/>
        </w:rPr>
        <w:t>submitted</w:t>
      </w:r>
      <w:r w:rsidR="00605F89">
        <w:rPr>
          <w:rFonts w:eastAsiaTheme="minorHAnsi"/>
          <w:color w:val="000000"/>
          <w:sz w:val="26"/>
          <w:szCs w:val="26"/>
        </w:rPr>
        <w:t xml:space="preserve"> </w:t>
      </w:r>
      <w:r>
        <w:rPr>
          <w:rFonts w:eastAsiaTheme="minorHAnsi"/>
          <w:color w:val="000000"/>
          <w:sz w:val="26"/>
          <w:szCs w:val="26"/>
        </w:rPr>
        <w:t>Exceptions to the Initial Decision</w:t>
      </w:r>
      <w:r w:rsidR="0053214B">
        <w:rPr>
          <w:rFonts w:eastAsiaTheme="minorHAnsi"/>
          <w:color w:val="000000"/>
          <w:sz w:val="26"/>
          <w:szCs w:val="26"/>
        </w:rPr>
        <w:t>, which were accepted</w:t>
      </w:r>
      <w:r w:rsidR="009C22EC">
        <w:rPr>
          <w:rFonts w:eastAsiaTheme="minorHAnsi"/>
          <w:color w:val="000000"/>
          <w:sz w:val="26"/>
          <w:szCs w:val="26"/>
        </w:rPr>
        <w:t>, as filed,</w:t>
      </w:r>
      <w:r w:rsidR="0053214B">
        <w:rPr>
          <w:rFonts w:eastAsiaTheme="minorHAnsi"/>
          <w:color w:val="000000"/>
          <w:sz w:val="26"/>
          <w:szCs w:val="26"/>
        </w:rPr>
        <w:t xml:space="preserve"> by the Secretary’s Bureau. </w:t>
      </w:r>
    </w:p>
    <w:p w14:paraId="5338AA1F" w14:textId="77777777" w:rsidR="0053214B" w:rsidRDefault="0053214B" w:rsidP="00FC4BB5">
      <w:pPr>
        <w:widowControl/>
        <w:spacing w:line="360" w:lineRule="auto"/>
        <w:ind w:firstLine="1440"/>
        <w:rPr>
          <w:rFonts w:eastAsiaTheme="minorHAnsi"/>
          <w:color w:val="000000"/>
          <w:sz w:val="26"/>
          <w:szCs w:val="26"/>
        </w:rPr>
      </w:pPr>
    </w:p>
    <w:p w14:paraId="26B43B49" w14:textId="443373E6" w:rsidR="00E743CB" w:rsidRDefault="0053214B" w:rsidP="00FC4BB5">
      <w:pPr>
        <w:widowControl/>
        <w:spacing w:line="360" w:lineRule="auto"/>
        <w:ind w:firstLine="1440"/>
        <w:rPr>
          <w:rFonts w:eastAsiaTheme="minorHAnsi"/>
          <w:color w:val="000000"/>
          <w:sz w:val="26"/>
          <w:szCs w:val="26"/>
        </w:rPr>
      </w:pPr>
      <w:r>
        <w:rPr>
          <w:rFonts w:eastAsiaTheme="minorHAnsi"/>
          <w:color w:val="000000"/>
          <w:sz w:val="26"/>
          <w:szCs w:val="26"/>
        </w:rPr>
        <w:t>On October 20, 2017,</w:t>
      </w:r>
      <w:r w:rsidR="00E743CB">
        <w:rPr>
          <w:rFonts w:eastAsiaTheme="minorHAnsi"/>
          <w:color w:val="000000"/>
          <w:sz w:val="26"/>
          <w:szCs w:val="26"/>
        </w:rPr>
        <w:t xml:space="preserve"> </w:t>
      </w:r>
      <w:r w:rsidR="00CC0797">
        <w:rPr>
          <w:rFonts w:eastAsiaTheme="minorHAnsi"/>
          <w:color w:val="000000"/>
          <w:sz w:val="26"/>
          <w:szCs w:val="26"/>
        </w:rPr>
        <w:t>PECO</w:t>
      </w:r>
      <w:r w:rsidR="00E743CB">
        <w:rPr>
          <w:rFonts w:eastAsiaTheme="minorHAnsi"/>
          <w:color w:val="000000"/>
          <w:sz w:val="26"/>
          <w:szCs w:val="26"/>
        </w:rPr>
        <w:t xml:space="preserve"> filed </w:t>
      </w:r>
      <w:r w:rsidR="00E743CB" w:rsidRPr="00A9787D">
        <w:rPr>
          <w:sz w:val="26"/>
          <w:szCs w:val="26"/>
        </w:rPr>
        <w:t>Replies to Exceptions</w:t>
      </w:r>
      <w:r>
        <w:rPr>
          <w:sz w:val="26"/>
          <w:szCs w:val="26"/>
        </w:rPr>
        <w:t>.</w:t>
      </w:r>
    </w:p>
    <w:p w14:paraId="6B5338FB" w14:textId="77777777" w:rsidR="00042DA6" w:rsidRPr="00E353D0" w:rsidRDefault="00042DA6" w:rsidP="00FC4BB5">
      <w:pPr>
        <w:widowControl/>
        <w:spacing w:line="360" w:lineRule="auto"/>
        <w:ind w:firstLine="1440"/>
        <w:rPr>
          <w:rFonts w:eastAsiaTheme="minorHAnsi"/>
          <w:color w:val="000000"/>
          <w:sz w:val="26"/>
          <w:szCs w:val="26"/>
        </w:rPr>
      </w:pPr>
    </w:p>
    <w:p w14:paraId="72BDF0BD" w14:textId="77777777" w:rsidR="005F46C6" w:rsidRPr="004949A8" w:rsidRDefault="005F46C6" w:rsidP="00FC4BB5">
      <w:pPr>
        <w:pStyle w:val="ListParagraph"/>
        <w:keepNext/>
        <w:keepLines/>
        <w:widowControl/>
        <w:numPr>
          <w:ilvl w:val="0"/>
          <w:numId w:val="2"/>
        </w:numPr>
        <w:spacing w:line="360" w:lineRule="auto"/>
        <w:jc w:val="center"/>
        <w:rPr>
          <w:b/>
          <w:sz w:val="26"/>
          <w:szCs w:val="26"/>
        </w:rPr>
      </w:pPr>
      <w:r w:rsidRPr="004949A8">
        <w:rPr>
          <w:b/>
          <w:sz w:val="26"/>
          <w:szCs w:val="26"/>
        </w:rPr>
        <w:t>Discussion</w:t>
      </w:r>
    </w:p>
    <w:p w14:paraId="4C71DD0E" w14:textId="7AFEEFE5" w:rsidR="00500055" w:rsidRDefault="00500055" w:rsidP="00FC4BB5">
      <w:pPr>
        <w:pStyle w:val="Default"/>
        <w:spacing w:line="360" w:lineRule="auto"/>
        <w:rPr>
          <w:sz w:val="26"/>
          <w:szCs w:val="26"/>
        </w:rPr>
      </w:pPr>
    </w:p>
    <w:p w14:paraId="11432ACA" w14:textId="77777777" w:rsidR="00A93806" w:rsidRDefault="00A93806" w:rsidP="00FC4BB5">
      <w:pPr>
        <w:pStyle w:val="ListParagraph"/>
        <w:keepNext/>
        <w:keepLines/>
        <w:widowControl/>
        <w:numPr>
          <w:ilvl w:val="0"/>
          <w:numId w:val="3"/>
        </w:numPr>
        <w:spacing w:line="360" w:lineRule="auto"/>
        <w:rPr>
          <w:b/>
          <w:sz w:val="26"/>
          <w:szCs w:val="26"/>
        </w:rPr>
      </w:pPr>
      <w:r>
        <w:rPr>
          <w:b/>
          <w:sz w:val="26"/>
          <w:szCs w:val="26"/>
        </w:rPr>
        <w:t>Legal Standards</w:t>
      </w:r>
    </w:p>
    <w:p w14:paraId="4462383D" w14:textId="77777777" w:rsidR="00A93806" w:rsidRDefault="00A93806" w:rsidP="00FC4BB5">
      <w:pPr>
        <w:keepNext/>
        <w:keepLines/>
        <w:widowControl/>
        <w:spacing w:line="360" w:lineRule="auto"/>
        <w:rPr>
          <w:b/>
          <w:sz w:val="26"/>
          <w:szCs w:val="26"/>
        </w:rPr>
      </w:pPr>
    </w:p>
    <w:p w14:paraId="5EC2E091" w14:textId="7B552062" w:rsidR="00A93806" w:rsidRPr="006356D6" w:rsidRDefault="00A93806" w:rsidP="00FC4BB5">
      <w:pPr>
        <w:widowControl/>
        <w:spacing w:line="360" w:lineRule="auto"/>
        <w:ind w:firstLine="1440"/>
        <w:contextualSpacing/>
        <w:rPr>
          <w:sz w:val="26"/>
          <w:szCs w:val="26"/>
        </w:rPr>
      </w:pPr>
      <w:r w:rsidRPr="006356D6">
        <w:rPr>
          <w:sz w:val="26"/>
          <w:szCs w:val="26"/>
        </w:rPr>
        <w:t xml:space="preserve">As a matter of law, to establish a legally sufficient claim, a complainant must show that the named utility is responsible or accountable for the problem described in the complaint in order to prevail.  </w:t>
      </w:r>
      <w:r w:rsidRPr="006356D6">
        <w:rPr>
          <w:i/>
          <w:sz w:val="26"/>
          <w:szCs w:val="26"/>
        </w:rPr>
        <w:t>Patterson v. The Bell Telephone Company of Pennsylvania</w:t>
      </w:r>
      <w:r w:rsidRPr="006356D6">
        <w:rPr>
          <w:sz w:val="26"/>
          <w:szCs w:val="26"/>
        </w:rPr>
        <w:t>, 72 Pa. P.U.C. 196 (1990).  The offense must be a violation of the Public Utility Code</w:t>
      </w:r>
      <w:r>
        <w:rPr>
          <w:sz w:val="26"/>
          <w:szCs w:val="26"/>
        </w:rPr>
        <w:t xml:space="preserve"> (Code)</w:t>
      </w:r>
      <w:r w:rsidRPr="006356D6">
        <w:rPr>
          <w:sz w:val="26"/>
          <w:szCs w:val="26"/>
        </w:rPr>
        <w:t>, a Commission Regulation or Order or a violation of a Commission-approved tariff.  66 Pa. C.S. § 701.</w:t>
      </w:r>
    </w:p>
    <w:p w14:paraId="5C539D09" w14:textId="792D6086" w:rsidR="00A93806" w:rsidRDefault="00A93806" w:rsidP="00FC4BB5">
      <w:pPr>
        <w:widowControl/>
        <w:spacing w:line="360" w:lineRule="auto"/>
        <w:contextualSpacing/>
        <w:rPr>
          <w:color w:val="212121"/>
          <w:sz w:val="26"/>
          <w:szCs w:val="26"/>
        </w:rPr>
      </w:pPr>
    </w:p>
    <w:p w14:paraId="0EBC372B" w14:textId="77777777" w:rsidR="00A93806" w:rsidRPr="00131C9F" w:rsidRDefault="00A93806" w:rsidP="00FC4BB5">
      <w:pPr>
        <w:widowControl/>
        <w:spacing w:line="360" w:lineRule="auto"/>
        <w:ind w:firstLine="1440"/>
        <w:contextualSpacing/>
        <w:rPr>
          <w:sz w:val="26"/>
          <w:szCs w:val="26"/>
        </w:rPr>
      </w:pPr>
      <w:r w:rsidRPr="00131C9F">
        <w:rPr>
          <w:sz w:val="26"/>
          <w:szCs w:val="26"/>
        </w:rPr>
        <w:t xml:space="preserve">A public utility has a duty to maintain safe, adequate and reasonable service and facilities and to make repairs, changes, and improvements that are necessary or proper for the accommodation, convenience, and safety of its patrons, employees, and the public.  </w:t>
      </w:r>
      <w:r w:rsidRPr="00131C9F">
        <w:rPr>
          <w:i/>
          <w:sz w:val="26"/>
          <w:szCs w:val="26"/>
        </w:rPr>
        <w:t>See</w:t>
      </w:r>
      <w:r w:rsidRPr="00131C9F">
        <w:rPr>
          <w:sz w:val="26"/>
          <w:szCs w:val="26"/>
        </w:rPr>
        <w:t xml:space="preserve"> 66 Pa. C.S. § 1501.  In particular, Section 1501 of the Code, 66 Pa. C.S. § 1501, provides, in pertinent part, as follows:</w:t>
      </w:r>
    </w:p>
    <w:p w14:paraId="659D1861" w14:textId="77777777" w:rsidR="00A93806" w:rsidRPr="00D74AB9" w:rsidRDefault="00A93806" w:rsidP="00FC4BB5">
      <w:pPr>
        <w:widowControl/>
        <w:spacing w:line="360" w:lineRule="auto"/>
        <w:ind w:firstLine="1440"/>
        <w:contextualSpacing/>
        <w:rPr>
          <w:sz w:val="26"/>
          <w:szCs w:val="26"/>
        </w:rPr>
      </w:pPr>
    </w:p>
    <w:p w14:paraId="56BD1E13" w14:textId="77777777" w:rsidR="00A93806" w:rsidRPr="00D74AB9" w:rsidRDefault="00A93806" w:rsidP="00FC4BB5">
      <w:pPr>
        <w:widowControl/>
        <w:spacing w:after="120"/>
        <w:ind w:left="1440" w:right="1440"/>
        <w:rPr>
          <w:bCs/>
          <w:sz w:val="26"/>
          <w:szCs w:val="26"/>
        </w:rPr>
      </w:pPr>
      <w:r w:rsidRPr="00D74AB9">
        <w:rPr>
          <w:bCs/>
          <w:sz w:val="26"/>
          <w:szCs w:val="26"/>
        </w:rPr>
        <w:t>§1501.  Character of service and facilities</w:t>
      </w:r>
    </w:p>
    <w:p w14:paraId="30379AC4" w14:textId="77777777" w:rsidR="00A93806" w:rsidRPr="00D74AB9" w:rsidRDefault="00A93806" w:rsidP="00FC4BB5">
      <w:pPr>
        <w:widowControl/>
        <w:ind w:left="1440" w:right="1440"/>
        <w:rPr>
          <w:sz w:val="26"/>
          <w:szCs w:val="26"/>
        </w:rPr>
      </w:pPr>
      <w:r w:rsidRPr="00D74AB9">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14:paraId="60391F34" w14:textId="21D2D8A2" w:rsidR="00A93806" w:rsidRDefault="00A93806" w:rsidP="00FC4BB5">
      <w:pPr>
        <w:widowControl/>
        <w:ind w:left="1440" w:right="1440"/>
        <w:rPr>
          <w:sz w:val="26"/>
          <w:szCs w:val="26"/>
        </w:rPr>
      </w:pPr>
    </w:p>
    <w:p w14:paraId="30CD83C9" w14:textId="77777777" w:rsidR="008A1812" w:rsidRPr="00D74AB9" w:rsidRDefault="008A1812" w:rsidP="00FC4BB5">
      <w:pPr>
        <w:widowControl/>
        <w:ind w:left="1440" w:right="1440"/>
        <w:rPr>
          <w:sz w:val="26"/>
          <w:szCs w:val="26"/>
        </w:rPr>
      </w:pPr>
    </w:p>
    <w:p w14:paraId="0A6EEB1B" w14:textId="77777777" w:rsidR="00A93806" w:rsidRPr="00D74AB9" w:rsidRDefault="00A93806" w:rsidP="00FC4BB5">
      <w:pPr>
        <w:widowControl/>
        <w:ind w:right="1440"/>
        <w:rPr>
          <w:sz w:val="26"/>
          <w:szCs w:val="26"/>
        </w:rPr>
      </w:pPr>
      <w:r w:rsidRPr="00D74AB9">
        <w:rPr>
          <w:sz w:val="26"/>
          <w:szCs w:val="26"/>
        </w:rPr>
        <w:t>66 Pa. C.S. § 1501</w:t>
      </w:r>
      <w:r>
        <w:rPr>
          <w:sz w:val="26"/>
          <w:szCs w:val="26"/>
        </w:rPr>
        <w:t>.</w:t>
      </w:r>
    </w:p>
    <w:p w14:paraId="5C3E1CC9" w14:textId="77777777" w:rsidR="00A93806" w:rsidRDefault="00A93806" w:rsidP="00FC4BB5">
      <w:pPr>
        <w:widowControl/>
        <w:spacing w:line="360" w:lineRule="auto"/>
        <w:ind w:firstLine="1440"/>
        <w:rPr>
          <w:color w:val="212121"/>
          <w:sz w:val="26"/>
          <w:szCs w:val="26"/>
        </w:rPr>
      </w:pPr>
    </w:p>
    <w:p w14:paraId="55E32AC7" w14:textId="77777777" w:rsidR="00A93806" w:rsidRDefault="00A93806" w:rsidP="00FC4BB5">
      <w:pPr>
        <w:widowControl/>
        <w:spacing w:line="360" w:lineRule="auto"/>
        <w:ind w:firstLine="1440"/>
        <w:rPr>
          <w:color w:val="212121"/>
          <w:sz w:val="26"/>
          <w:szCs w:val="26"/>
        </w:rPr>
      </w:pPr>
      <w:r>
        <w:rPr>
          <w:color w:val="212121"/>
          <w:sz w:val="26"/>
          <w:szCs w:val="26"/>
        </w:rPr>
        <w:t xml:space="preserve">The term “service” is defined broadly under Section 102 of the Code, in relevant part, as follows: </w:t>
      </w:r>
    </w:p>
    <w:p w14:paraId="06ECF361" w14:textId="77777777" w:rsidR="00A93806" w:rsidRDefault="00A93806" w:rsidP="00FC4BB5">
      <w:pPr>
        <w:widowControl/>
        <w:spacing w:line="360" w:lineRule="auto"/>
        <w:rPr>
          <w:rFonts w:ascii="Arial" w:hAnsi="Arial" w:cs="Arial"/>
          <w:b/>
          <w:bCs/>
          <w:color w:val="212121"/>
          <w:sz w:val="21"/>
          <w:szCs w:val="21"/>
        </w:rPr>
      </w:pPr>
    </w:p>
    <w:p w14:paraId="24FD71DD" w14:textId="418DF8A7" w:rsidR="00FC4BB5" w:rsidRPr="00CC3239" w:rsidRDefault="00A93806" w:rsidP="00FC4BB5">
      <w:pPr>
        <w:keepNext/>
        <w:keepLines/>
        <w:widowControl/>
        <w:ind w:left="1440" w:right="1440"/>
        <w:rPr>
          <w:color w:val="212121"/>
          <w:sz w:val="26"/>
          <w:szCs w:val="26"/>
        </w:rPr>
      </w:pPr>
      <w:r w:rsidRPr="00CC3239">
        <w:rPr>
          <w:b/>
          <w:bCs/>
          <w:color w:val="212121"/>
          <w:sz w:val="26"/>
          <w:szCs w:val="26"/>
        </w:rPr>
        <w:t xml:space="preserve">“Service.” </w:t>
      </w:r>
      <w:r w:rsidRPr="00CC3239">
        <w:rPr>
          <w:color w:val="212121"/>
          <w:sz w:val="26"/>
          <w:szCs w:val="26"/>
        </w:rPr>
        <w:t>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as well as the interchange of facilities between two or more of them</w:t>
      </w:r>
      <w:r w:rsidR="00216175">
        <w:rPr>
          <w:color w:val="212121"/>
          <w:sz w:val="26"/>
          <w:szCs w:val="26"/>
        </w:rPr>
        <w:t xml:space="preserve"> . . . </w:t>
      </w:r>
    </w:p>
    <w:p w14:paraId="384E5683" w14:textId="1315A4AC" w:rsidR="008A1812" w:rsidRDefault="008A1812" w:rsidP="00FC4BB5">
      <w:pPr>
        <w:keepNext/>
        <w:keepLines/>
        <w:widowControl/>
        <w:rPr>
          <w:color w:val="212121"/>
          <w:sz w:val="26"/>
          <w:szCs w:val="26"/>
        </w:rPr>
      </w:pPr>
    </w:p>
    <w:p w14:paraId="405B257D" w14:textId="77777777" w:rsidR="00216175" w:rsidRDefault="00216175" w:rsidP="00FC4BB5">
      <w:pPr>
        <w:keepNext/>
        <w:keepLines/>
        <w:widowControl/>
        <w:rPr>
          <w:color w:val="212121"/>
          <w:sz w:val="26"/>
          <w:szCs w:val="26"/>
        </w:rPr>
      </w:pPr>
    </w:p>
    <w:p w14:paraId="57BC6075" w14:textId="77777777" w:rsidR="00A93806" w:rsidRPr="00CC3239" w:rsidRDefault="00A93806" w:rsidP="00FC4BB5">
      <w:pPr>
        <w:widowControl/>
        <w:spacing w:line="360" w:lineRule="auto"/>
        <w:rPr>
          <w:sz w:val="26"/>
          <w:szCs w:val="26"/>
        </w:rPr>
      </w:pPr>
      <w:r w:rsidRPr="00CC3239">
        <w:rPr>
          <w:color w:val="212121"/>
          <w:sz w:val="26"/>
          <w:szCs w:val="26"/>
        </w:rPr>
        <w:t>66 Pa. C.S.</w:t>
      </w:r>
      <w:r w:rsidRPr="00CC3239">
        <w:rPr>
          <w:sz w:val="26"/>
          <w:szCs w:val="26"/>
        </w:rPr>
        <w:t>§ 102.</w:t>
      </w:r>
    </w:p>
    <w:p w14:paraId="43320DA8" w14:textId="77777777" w:rsidR="00A93806" w:rsidRDefault="00A93806" w:rsidP="00FC4BB5">
      <w:pPr>
        <w:widowControl/>
        <w:spacing w:line="360" w:lineRule="auto"/>
        <w:ind w:firstLine="1440"/>
        <w:contextualSpacing/>
        <w:rPr>
          <w:sz w:val="26"/>
          <w:szCs w:val="26"/>
        </w:rPr>
      </w:pPr>
    </w:p>
    <w:p w14:paraId="7B46FF37" w14:textId="67BCC790" w:rsidR="00A93806" w:rsidRPr="00D74AB9" w:rsidRDefault="00A93806" w:rsidP="00FC4BB5">
      <w:pPr>
        <w:widowControl/>
        <w:spacing w:line="360" w:lineRule="auto"/>
        <w:ind w:firstLine="1440"/>
        <w:contextualSpacing/>
        <w:rPr>
          <w:sz w:val="26"/>
          <w:szCs w:val="26"/>
        </w:rPr>
      </w:pPr>
      <w:r w:rsidRPr="00D74AB9">
        <w:rPr>
          <w:sz w:val="26"/>
          <w:szCs w:val="26"/>
        </w:rPr>
        <w:lastRenderedPageBreak/>
        <w:t xml:space="preserve">Additionally, </w:t>
      </w:r>
      <w:r>
        <w:rPr>
          <w:sz w:val="26"/>
          <w:szCs w:val="26"/>
        </w:rPr>
        <w:t>pursuant to Section 1501 of the Code, t</w:t>
      </w:r>
      <w:r w:rsidRPr="00D74AB9">
        <w:rPr>
          <w:sz w:val="26"/>
          <w:szCs w:val="26"/>
        </w:rPr>
        <w:t xml:space="preserve">he Commission has developed regulations governing electric safety standards.  </w:t>
      </w:r>
      <w:r w:rsidRPr="00D74AB9">
        <w:rPr>
          <w:i/>
          <w:sz w:val="26"/>
          <w:szCs w:val="26"/>
        </w:rPr>
        <w:t>See generally</w:t>
      </w:r>
      <w:r w:rsidRPr="00D74AB9">
        <w:rPr>
          <w:sz w:val="26"/>
          <w:szCs w:val="26"/>
        </w:rPr>
        <w:t xml:space="preserve"> 52 Pa. Code § 57.28.  </w:t>
      </w:r>
      <w:r>
        <w:rPr>
          <w:sz w:val="26"/>
          <w:szCs w:val="26"/>
        </w:rPr>
        <w:t>A</w:t>
      </w:r>
      <w:r w:rsidRPr="00BC7E17">
        <w:rPr>
          <w:sz w:val="26"/>
          <w:szCs w:val="26"/>
        </w:rPr>
        <w:t>n EDC</w:t>
      </w:r>
      <w:r>
        <w:rPr>
          <w:sz w:val="26"/>
          <w:szCs w:val="26"/>
        </w:rPr>
        <w:t xml:space="preserve"> must</w:t>
      </w:r>
      <w:r w:rsidRPr="00BC7E17">
        <w:rPr>
          <w:sz w:val="26"/>
          <w:szCs w:val="26"/>
        </w:rPr>
        <w:t xml:space="preserve"> use reasonable efforts to properly warn and protect the public from danger and to exercise reasonable care to reduce the hazards to which customers may be subjected to by reason of the EDC’s provision of electric utility service and its associated equipment and facilities.  52 Pa. Code § 57.28(a)(1).</w:t>
      </w:r>
    </w:p>
    <w:p w14:paraId="6DB9D7D0" w14:textId="77777777" w:rsidR="00A93806" w:rsidRDefault="00A93806" w:rsidP="00FC4BB5">
      <w:pPr>
        <w:widowControl/>
        <w:spacing w:line="360" w:lineRule="auto"/>
        <w:contextualSpacing/>
        <w:rPr>
          <w:b/>
          <w:sz w:val="26"/>
          <w:szCs w:val="26"/>
        </w:rPr>
      </w:pPr>
    </w:p>
    <w:p w14:paraId="0D994A11" w14:textId="77777777" w:rsidR="00A93806" w:rsidRDefault="00A93806" w:rsidP="00FC4BB5">
      <w:pPr>
        <w:widowControl/>
        <w:spacing w:line="360" w:lineRule="auto"/>
        <w:ind w:firstLine="1440"/>
        <w:rPr>
          <w:sz w:val="26"/>
          <w:szCs w:val="26"/>
        </w:rPr>
      </w:pPr>
      <w:r w:rsidRPr="00131C9F">
        <w:rPr>
          <w:sz w:val="26"/>
          <w:szCs w:val="26"/>
        </w:rPr>
        <w:t xml:space="preserve">An EDC that violates the Code or a Commission Order or Regulation may be subjected to a civil penalty of up to $1,000 per violation for every day of that violation's continuing offense.  </w:t>
      </w:r>
      <w:r w:rsidRPr="00131C9F">
        <w:rPr>
          <w:i/>
          <w:sz w:val="26"/>
          <w:szCs w:val="26"/>
        </w:rPr>
        <w:t>See</w:t>
      </w:r>
      <w:r w:rsidRPr="00131C9F">
        <w:rPr>
          <w:sz w:val="26"/>
          <w:szCs w:val="26"/>
        </w:rPr>
        <w:t xml:space="preserve"> 66 Pa. C.S. § 3301(a)-(b).  The Commission’s policy statement at 52 Pa. Code § 69.1201 establishes specific factors and standards the Commission will consider in evaluating litigated cases involving violations and in determining whether a fine is appropriate.</w:t>
      </w:r>
    </w:p>
    <w:p w14:paraId="5C64F03D" w14:textId="77777777" w:rsidR="00A93806" w:rsidRDefault="00A93806" w:rsidP="00FC4BB5">
      <w:pPr>
        <w:widowControl/>
        <w:spacing w:line="360" w:lineRule="auto"/>
        <w:rPr>
          <w:sz w:val="26"/>
          <w:szCs w:val="26"/>
        </w:rPr>
      </w:pPr>
    </w:p>
    <w:p w14:paraId="27614527" w14:textId="62F9C610" w:rsidR="00A93806" w:rsidRPr="006356D6" w:rsidRDefault="00A93806" w:rsidP="00FC4BB5">
      <w:pPr>
        <w:widowControl/>
        <w:spacing w:line="360" w:lineRule="auto"/>
        <w:ind w:firstLine="1440"/>
        <w:rPr>
          <w:sz w:val="26"/>
          <w:szCs w:val="26"/>
        </w:rPr>
      </w:pPr>
      <w:r w:rsidRPr="006356D6">
        <w:rPr>
          <w:sz w:val="26"/>
          <w:szCs w:val="26"/>
        </w:rPr>
        <w:t xml:space="preserve">Section 332(a) of the Public Utility Code (Code) provides that a complainant, as the party seeking affirmative relief from the Commission, has the burden of proof.  66 Pa. C.S. § 332(a).  The burden of proof for actions before the Commission is the “preponderance of the evidence” standard.  </w:t>
      </w:r>
      <w:r w:rsidRPr="006356D6">
        <w:rPr>
          <w:i/>
          <w:sz w:val="26"/>
          <w:szCs w:val="26"/>
        </w:rPr>
        <w:t>Suber v. Pennsylvania Com’n on Crime and Deliquency</w:t>
      </w:r>
      <w:r w:rsidRPr="006356D6">
        <w:rPr>
          <w:sz w:val="26"/>
          <w:szCs w:val="26"/>
        </w:rPr>
        <w:t>, 885 A. 2d 678, 682 (Pa. Cmwlth. 2005) (</w:t>
      </w:r>
      <w:r w:rsidRPr="006356D6">
        <w:rPr>
          <w:i/>
          <w:sz w:val="26"/>
          <w:szCs w:val="26"/>
        </w:rPr>
        <w:t>Suber</w:t>
      </w:r>
      <w:r w:rsidRPr="006356D6">
        <w:rPr>
          <w:sz w:val="26"/>
          <w:szCs w:val="26"/>
        </w:rPr>
        <w:t xml:space="preserve">); </w:t>
      </w:r>
      <w:r w:rsidRPr="006356D6">
        <w:rPr>
          <w:i/>
          <w:iCs/>
          <w:sz w:val="26"/>
          <w:szCs w:val="26"/>
        </w:rPr>
        <w:t>Samuel J. Lansberry, Inc. v. Pa. PUC</w:t>
      </w:r>
      <w:r w:rsidRPr="006356D6">
        <w:rPr>
          <w:sz w:val="26"/>
          <w:szCs w:val="26"/>
        </w:rPr>
        <w:t xml:space="preserve">, 578 A.2d 600 (Pa. Cmwlth. 1990), </w:t>
      </w:r>
      <w:r w:rsidRPr="006356D6">
        <w:rPr>
          <w:i/>
          <w:sz w:val="26"/>
          <w:szCs w:val="26"/>
        </w:rPr>
        <w:t>alloc. denied,</w:t>
      </w:r>
      <w:r w:rsidRPr="006356D6">
        <w:rPr>
          <w:sz w:val="26"/>
          <w:szCs w:val="26"/>
        </w:rPr>
        <w:t xml:space="preserve"> 529 Pa. 654, 602 A.2d 863 (1992) (</w:t>
      </w:r>
      <w:r w:rsidRPr="006356D6">
        <w:rPr>
          <w:i/>
          <w:sz w:val="26"/>
          <w:szCs w:val="26"/>
        </w:rPr>
        <w:t>Lansberry</w:t>
      </w:r>
      <w:r w:rsidRPr="006356D6">
        <w:rPr>
          <w:sz w:val="26"/>
          <w:szCs w:val="26"/>
        </w:rPr>
        <w:t xml:space="preserve">); </w:t>
      </w:r>
      <w:r w:rsidRPr="006356D6">
        <w:rPr>
          <w:i/>
          <w:sz w:val="26"/>
          <w:szCs w:val="26"/>
        </w:rPr>
        <w:t>see also</w:t>
      </w:r>
      <w:r w:rsidRPr="006356D6">
        <w:rPr>
          <w:rFonts w:ascii="Arial" w:hAnsi="Arial" w:cs="Arial"/>
          <w:i/>
          <w:sz w:val="21"/>
          <w:szCs w:val="21"/>
        </w:rPr>
        <w:t xml:space="preserve"> </w:t>
      </w:r>
      <w:r w:rsidRPr="006356D6">
        <w:rPr>
          <w:i/>
          <w:iCs/>
          <w:sz w:val="26"/>
          <w:szCs w:val="26"/>
        </w:rPr>
        <w:t>North American Coal Corp. v. Air Pollution Commission,</w:t>
      </w:r>
      <w:r w:rsidRPr="006356D6">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6356D6">
        <w:rPr>
          <w:i/>
          <w:sz w:val="26"/>
          <w:szCs w:val="26"/>
        </w:rPr>
        <w:t xml:space="preserve">See </w:t>
      </w:r>
      <w:r w:rsidRPr="006356D6">
        <w:rPr>
          <w:i/>
          <w:iCs/>
          <w:sz w:val="26"/>
          <w:szCs w:val="26"/>
        </w:rPr>
        <w:t>Se-Ling Hosiery, Inc. v. Margulies,</w:t>
      </w:r>
      <w:r w:rsidRPr="006356D6">
        <w:rPr>
          <w:sz w:val="26"/>
          <w:szCs w:val="26"/>
        </w:rPr>
        <w:t xml:space="preserve"> 364 Pa. 45, 48-49, 70 A.2d 854, 855 (1950).</w:t>
      </w:r>
    </w:p>
    <w:p w14:paraId="59A6BFB5" w14:textId="77777777" w:rsidR="00A93806" w:rsidRPr="006356D6" w:rsidRDefault="00A93806" w:rsidP="00FC4BB5">
      <w:pPr>
        <w:widowControl/>
        <w:spacing w:line="360" w:lineRule="auto"/>
        <w:ind w:firstLine="1440"/>
        <w:rPr>
          <w:sz w:val="26"/>
          <w:szCs w:val="26"/>
        </w:rPr>
      </w:pPr>
    </w:p>
    <w:p w14:paraId="6D157B16" w14:textId="32260722" w:rsidR="00A93806" w:rsidRPr="006356D6" w:rsidRDefault="00A93806" w:rsidP="00FC4BB5">
      <w:pPr>
        <w:widowControl/>
        <w:spacing w:line="360" w:lineRule="auto"/>
        <w:ind w:firstLine="1440"/>
        <w:rPr>
          <w:rFonts w:ascii="Times New (W1)" w:hAnsi="Times New (W1)"/>
          <w:iCs/>
          <w:sz w:val="26"/>
        </w:rPr>
      </w:pPr>
      <w:r w:rsidRPr="006356D6">
        <w:rPr>
          <w:sz w:val="26"/>
          <w:szCs w:val="26"/>
        </w:rPr>
        <w:t xml:space="preserve">The burden of proof is comprised of two distinct burdens:  the burden of production and the burden of persuasion.  </w:t>
      </w:r>
      <w:r w:rsidRPr="006356D6">
        <w:rPr>
          <w:i/>
          <w:sz w:val="26"/>
          <w:szCs w:val="26"/>
        </w:rPr>
        <w:t>Hurley v. Hurley</w:t>
      </w:r>
      <w:r w:rsidRPr="006356D6">
        <w:rPr>
          <w:sz w:val="26"/>
          <w:szCs w:val="26"/>
        </w:rPr>
        <w:t xml:space="preserve">, 2000 Pa. Super. 178, 754 </w:t>
      </w:r>
      <w:r w:rsidRPr="006356D6">
        <w:rPr>
          <w:sz w:val="26"/>
          <w:szCs w:val="26"/>
        </w:rPr>
        <w:lastRenderedPageBreak/>
        <w:t xml:space="preserve">A.2d 1283 (2000).  The burden of production, also called the burden of going forward with the evidence, determines which party must come forward with evidence to support a particular claim or defense.  </w:t>
      </w:r>
      <w:r w:rsidRPr="006356D6">
        <w:rPr>
          <w:i/>
          <w:sz w:val="26"/>
          <w:szCs w:val="26"/>
        </w:rPr>
        <w:t>Scott and Linda Moore v. National Fuel Gas Distribution</w:t>
      </w:r>
      <w:r w:rsidRPr="006356D6">
        <w:rPr>
          <w:sz w:val="26"/>
          <w:szCs w:val="26"/>
        </w:rPr>
        <w:t>, Docket No. C-2014-2458555 (Initial Decision issued May 11, 2015) (</w:t>
      </w:r>
      <w:r w:rsidRPr="006356D6">
        <w:rPr>
          <w:i/>
          <w:sz w:val="26"/>
          <w:szCs w:val="26"/>
        </w:rPr>
        <w:t>Moore</w:t>
      </w:r>
      <w:r w:rsidRPr="006356D6">
        <w:rPr>
          <w:sz w:val="26"/>
          <w:szCs w:val="26"/>
        </w:rPr>
        <w:t xml:space="preserve">).  The burden of production goes to the legal sufficiency of a party’s claim or affirmative defense.  </w:t>
      </w:r>
      <w:r w:rsidRPr="006356D6">
        <w:rPr>
          <w:i/>
          <w:sz w:val="26"/>
          <w:szCs w:val="26"/>
        </w:rPr>
        <w:t>See Id</w:t>
      </w:r>
      <w:r w:rsidRPr="006356D6">
        <w:rPr>
          <w:sz w:val="26"/>
          <w:szCs w:val="26"/>
        </w:rPr>
        <w:t xml:space="preserve">.  It may shift between the parties during a hearing.  </w:t>
      </w:r>
      <w:r w:rsidRPr="006356D6">
        <w:rPr>
          <w:sz w:val="26"/>
        </w:rPr>
        <w:t xml:space="preserve">If a complainant introduces sufficient evidence to establish legal sufficiency of the claim, also called a </w:t>
      </w:r>
      <w:r w:rsidRPr="006356D6">
        <w:rPr>
          <w:i/>
          <w:sz w:val="26"/>
        </w:rPr>
        <w:t>prima facie</w:t>
      </w:r>
      <w:r w:rsidRPr="006356D6">
        <w:rPr>
          <w:sz w:val="26"/>
        </w:rPr>
        <w:t xml:space="preserve"> case, the burden of production shifts to the utility to rebut the complainant’s evidence.  </w:t>
      </w:r>
      <w:r w:rsidRPr="006356D6">
        <w:rPr>
          <w:i/>
          <w:sz w:val="26"/>
          <w:szCs w:val="26"/>
        </w:rPr>
        <w:t>See Id</w:t>
      </w:r>
      <w:r w:rsidRPr="006356D6">
        <w:rPr>
          <w:sz w:val="26"/>
          <w:szCs w:val="26"/>
        </w:rPr>
        <w:t xml:space="preserve">.  </w:t>
      </w:r>
      <w:r w:rsidRPr="006356D6">
        <w:rPr>
          <w:sz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6356D6">
        <w:rPr>
          <w:i/>
          <w:sz w:val="26"/>
        </w:rPr>
        <w:t xml:space="preserve">Milkie v. Pa. PUC, </w:t>
      </w:r>
      <w:r w:rsidRPr="006356D6">
        <w:rPr>
          <w:sz w:val="26"/>
        </w:rPr>
        <w:t xml:space="preserve">768 A.2d 1217 (Pa. Cmwlth. 2001); </w:t>
      </w:r>
      <w:hyperlink r:id="rId8" w:history="1">
        <w:r w:rsidRPr="006356D6">
          <w:rPr>
            <w:rFonts w:ascii="Times New (W1)" w:hAnsi="Times New (W1)"/>
            <w:i/>
            <w:iCs/>
            <w:sz w:val="26"/>
          </w:rPr>
          <w:t>Burleson v. Pa. PUC,</w:t>
        </w:r>
        <w:r w:rsidRPr="006356D6">
          <w:rPr>
            <w:rFonts w:ascii="Times New (W1)" w:hAnsi="Times New (W1)"/>
            <w:iCs/>
            <w:sz w:val="26"/>
          </w:rPr>
          <w:t xml:space="preserve"> 443 A.2d 1373 (Pa. Cmwlth. 1982), </w:t>
        </w:r>
        <w:r w:rsidRPr="006356D6">
          <w:rPr>
            <w:rFonts w:ascii="Times New (W1)" w:hAnsi="Times New (W1)"/>
            <w:i/>
            <w:iCs/>
            <w:sz w:val="26"/>
          </w:rPr>
          <w:t>aff’d,</w:t>
        </w:r>
        <w:r w:rsidRPr="006356D6">
          <w:rPr>
            <w:rFonts w:ascii="Times New (W1)" w:hAnsi="Times New (W1)"/>
            <w:iCs/>
            <w:sz w:val="26"/>
          </w:rPr>
          <w:t xml:space="preserve"> 501 Pa. 433, 461 A.2d 1234 (1983).</w:t>
        </w:r>
      </w:hyperlink>
    </w:p>
    <w:p w14:paraId="6C1FF041" w14:textId="77777777" w:rsidR="00A93806" w:rsidRPr="006356D6" w:rsidRDefault="00A93806" w:rsidP="00FC4BB5">
      <w:pPr>
        <w:widowControl/>
        <w:spacing w:line="360" w:lineRule="auto"/>
        <w:ind w:firstLine="1440"/>
        <w:rPr>
          <w:sz w:val="26"/>
        </w:rPr>
      </w:pPr>
    </w:p>
    <w:p w14:paraId="2050D1CB" w14:textId="77777777" w:rsidR="00A93806" w:rsidRDefault="00A93806" w:rsidP="00FC4BB5">
      <w:pPr>
        <w:widowControl/>
        <w:spacing w:line="360" w:lineRule="auto"/>
        <w:ind w:firstLine="1440"/>
        <w:rPr>
          <w:sz w:val="26"/>
          <w:szCs w:val="26"/>
        </w:rPr>
      </w:pPr>
      <w:r w:rsidRPr="006356D6">
        <w:rPr>
          <w:sz w:val="26"/>
        </w:rPr>
        <w:t xml:space="preserve">Having produced sufficient evidence to establish legal sufficiency of a claim, the party with the burden of proof must also carry the burden of persuasion to be entitled to a favorable ruling.  </w:t>
      </w:r>
      <w:r w:rsidRPr="006356D6">
        <w:rPr>
          <w:i/>
          <w:sz w:val="26"/>
        </w:rPr>
        <w:t>See Moore</w:t>
      </w:r>
      <w:r w:rsidRPr="006356D6">
        <w:rPr>
          <w:sz w:val="26"/>
        </w:rPr>
        <w:t xml:space="preserve">.  While the burden of production may shift back and forth during a proceeding, the burden of persuasion never shifts; it always remains on a complainant as the party seeking affirmative relief from the Commission.  </w:t>
      </w:r>
      <w:r w:rsidRPr="006356D6">
        <w:rPr>
          <w:i/>
          <w:sz w:val="26"/>
        </w:rPr>
        <w:t xml:space="preserve">Milkie v. Pa. PUC, </w:t>
      </w:r>
      <w:r w:rsidRPr="006356D6">
        <w:rPr>
          <w:sz w:val="26"/>
        </w:rPr>
        <w:t xml:space="preserve">768 A.2d 1217 (Pa. Cmwlth. 2001); </w:t>
      </w:r>
      <w:r w:rsidRPr="006356D6">
        <w:rPr>
          <w:i/>
          <w:sz w:val="26"/>
        </w:rPr>
        <w:t>see also, Riedel v. County of Allegheny</w:t>
      </w:r>
      <w:r w:rsidRPr="006356D6">
        <w:rPr>
          <w:sz w:val="26"/>
        </w:rPr>
        <w:t xml:space="preserve">, 633 A.2d 1325, 1328, n.11 (Pa. Cmwlth. 1993); </w:t>
      </w:r>
      <w:r w:rsidRPr="006356D6">
        <w:rPr>
          <w:i/>
          <w:sz w:val="26"/>
        </w:rPr>
        <w:t>see also</w:t>
      </w:r>
      <w:r w:rsidRPr="006356D6">
        <w:rPr>
          <w:sz w:val="26"/>
        </w:rPr>
        <w:t>,</w:t>
      </w:r>
      <w:r w:rsidRPr="006356D6">
        <w:rPr>
          <w:i/>
          <w:sz w:val="26"/>
        </w:rPr>
        <w:t xml:space="preserve"> Burleson v. Pa. Pub. Util. Comm’n</w:t>
      </w:r>
      <w:r w:rsidRPr="006356D6">
        <w:rPr>
          <w:sz w:val="26"/>
        </w:rPr>
        <w:t xml:space="preserve">, 4443 A.2d 1373 (Pa. Cmwlth. 1982), </w:t>
      </w:r>
      <w:r w:rsidRPr="006356D6">
        <w:rPr>
          <w:sz w:val="24"/>
          <w:szCs w:val="24"/>
        </w:rPr>
        <w:t xml:space="preserve">aff'd. </w:t>
      </w:r>
      <w:hyperlink r:id="rId9" w:history="1">
        <w:r w:rsidRPr="006356D6">
          <w:rPr>
            <w:sz w:val="26"/>
            <w:szCs w:val="26"/>
          </w:rPr>
          <w:t>501 Pa. 443, 461 A.2d 1234.</w:t>
        </w:r>
      </w:hyperlink>
      <w:r w:rsidRPr="006356D6">
        <w:rPr>
          <w:sz w:val="26"/>
          <w:szCs w:val="26"/>
        </w:rPr>
        <w:t xml:space="preserve">  It is entirely possible for a party to carry the burden of production but not be entitled to a favorable ruling because the party did not carry the burden of persuasion.  </w:t>
      </w:r>
      <w:r w:rsidRPr="006356D6">
        <w:rPr>
          <w:i/>
          <w:sz w:val="26"/>
          <w:szCs w:val="26"/>
        </w:rPr>
        <w:t>See Moore.</w:t>
      </w:r>
      <w:r w:rsidRPr="006356D6">
        <w:rPr>
          <w:sz w:val="26"/>
          <w:szCs w:val="26"/>
        </w:rPr>
        <w:t xml:space="preserve">  In determining whether a complainant has met the burden of persuasion, the ultimate fact-finder may engage in determinations of credibility, may accept or reject testimony of any </w:t>
      </w:r>
      <w:r w:rsidRPr="006356D6">
        <w:rPr>
          <w:sz w:val="26"/>
          <w:szCs w:val="26"/>
        </w:rPr>
        <w:lastRenderedPageBreak/>
        <w:t>witness in whole or in part, and may accept or reject inferences from the evidence.</w:t>
      </w:r>
      <w:r w:rsidRPr="006356D6">
        <w:rPr>
          <w:i/>
          <w:sz w:val="26"/>
          <w:szCs w:val="26"/>
        </w:rPr>
        <w:t xml:space="preserve">  See Moore</w:t>
      </w:r>
      <w:r w:rsidRPr="006356D6">
        <w:rPr>
          <w:sz w:val="26"/>
          <w:szCs w:val="26"/>
        </w:rPr>
        <w:t>,</w:t>
      </w:r>
      <w:r w:rsidRPr="006356D6">
        <w:rPr>
          <w:i/>
          <w:sz w:val="26"/>
          <w:szCs w:val="26"/>
        </w:rPr>
        <w:t xml:space="preserve"> </w:t>
      </w:r>
      <w:r w:rsidRPr="006356D6">
        <w:rPr>
          <w:sz w:val="26"/>
          <w:szCs w:val="26"/>
        </w:rPr>
        <w:t xml:space="preserve">citing </w:t>
      </w:r>
      <w:r w:rsidRPr="006356D6">
        <w:rPr>
          <w:i/>
          <w:sz w:val="26"/>
          <w:szCs w:val="26"/>
        </w:rPr>
        <w:t>Suber</w:t>
      </w:r>
      <w:r w:rsidRPr="006356D6">
        <w:rPr>
          <w:sz w:val="26"/>
          <w:szCs w:val="26"/>
        </w:rPr>
        <w:t>.</w:t>
      </w:r>
    </w:p>
    <w:p w14:paraId="1D9966BE" w14:textId="3AE7A8B0" w:rsidR="00A93806" w:rsidRDefault="00A93806" w:rsidP="00FC4BB5">
      <w:pPr>
        <w:widowControl/>
        <w:spacing w:line="360" w:lineRule="auto"/>
        <w:contextualSpacing/>
        <w:rPr>
          <w:sz w:val="26"/>
          <w:szCs w:val="26"/>
        </w:rPr>
      </w:pPr>
    </w:p>
    <w:p w14:paraId="21073987" w14:textId="20F9747C" w:rsidR="00A93806" w:rsidRPr="00AF3DB9" w:rsidRDefault="00A93806" w:rsidP="00FC4BB5">
      <w:pPr>
        <w:widowControl/>
        <w:spacing w:line="360" w:lineRule="auto"/>
        <w:ind w:firstLine="1440"/>
        <w:rPr>
          <w:sz w:val="26"/>
          <w:szCs w:val="26"/>
        </w:rPr>
      </w:pPr>
      <w:r w:rsidRPr="00AF3DB9">
        <w:rPr>
          <w:rFonts w:eastAsiaTheme="minorHAnsi"/>
          <w:sz w:val="26"/>
          <w:szCs w:val="26"/>
        </w:rPr>
        <w:t>Finally, adjudications by the Commission must be supported by substantial evidence in the record.  2 Pa.C.S. § 704.</w:t>
      </w:r>
      <w:r w:rsidRPr="00AF3DB9">
        <w:rPr>
          <w:rFonts w:eastAsiaTheme="minorHAnsi"/>
          <w:szCs w:val="26"/>
        </w:rPr>
        <w:t xml:space="preserve">  “</w:t>
      </w:r>
      <w:r w:rsidRPr="00AF3DB9">
        <w:rPr>
          <w:sz w:val="26"/>
          <w:szCs w:val="26"/>
        </w:rPr>
        <w:t xml:space="preserve">Substantial evidence” is such relevant evidence that a reasonable mind might accept as adequate to support a conclusion.  </w:t>
      </w:r>
      <w:r w:rsidRPr="00AF3DB9">
        <w:rPr>
          <w:i/>
          <w:sz w:val="26"/>
          <w:szCs w:val="26"/>
        </w:rPr>
        <w:t>Consolidated Edison Company of New York v. National Labor Relations Board</w:t>
      </w:r>
      <w:r w:rsidRPr="00AF3DB9">
        <w:rPr>
          <w:sz w:val="26"/>
          <w:szCs w:val="26"/>
        </w:rPr>
        <w:t xml:space="preserve">, 305 U.S. 197, 229, 59 S.Ct. 206, 217.  More is required than a mere trace of evidence or a suspicion of the existence of a fact sought to be established.  </w:t>
      </w:r>
      <w:r w:rsidRPr="00AF3DB9">
        <w:rPr>
          <w:i/>
          <w:sz w:val="26"/>
          <w:szCs w:val="26"/>
        </w:rPr>
        <w:t xml:space="preserve">Norfolk &amp; Western Ry. Co. v. Pa. PUC, </w:t>
      </w:r>
      <w:r w:rsidRPr="00AF3DB9">
        <w:rPr>
          <w:sz w:val="26"/>
          <w:szCs w:val="26"/>
        </w:rPr>
        <w:t xml:space="preserve">489 Pa. 109, 413 A.2d 1037 (1980); </w:t>
      </w:r>
      <w:r w:rsidRPr="00AF3DB9">
        <w:rPr>
          <w:i/>
          <w:sz w:val="26"/>
          <w:szCs w:val="26"/>
        </w:rPr>
        <w:t>Erie Resistor Corp. v. Unemployment Comp. Bd. of Review</w:t>
      </w:r>
      <w:r w:rsidRPr="00AF3DB9">
        <w:rPr>
          <w:sz w:val="26"/>
          <w:szCs w:val="26"/>
        </w:rPr>
        <w:t xml:space="preserve">, 166 A.2d 96 (Pa. Super. 1961); </w:t>
      </w:r>
      <w:r w:rsidRPr="00AF3DB9">
        <w:rPr>
          <w:i/>
          <w:sz w:val="26"/>
          <w:szCs w:val="26"/>
        </w:rPr>
        <w:t>Murphy v. Comm. Dept. of Public Welfare, White Haven Center</w:t>
      </w:r>
      <w:r w:rsidRPr="00AF3DB9">
        <w:rPr>
          <w:sz w:val="26"/>
          <w:szCs w:val="26"/>
        </w:rPr>
        <w:t xml:space="preserve">, 480 A.2d 382 (Pa. Cmwlth. 1984). </w:t>
      </w:r>
    </w:p>
    <w:p w14:paraId="7B010FB1" w14:textId="043D729A" w:rsidR="00A93806" w:rsidRPr="00A93806" w:rsidRDefault="00A93806" w:rsidP="00216175">
      <w:pPr>
        <w:widowControl/>
        <w:spacing w:line="360" w:lineRule="auto"/>
        <w:rPr>
          <w:b/>
          <w:sz w:val="26"/>
          <w:szCs w:val="26"/>
        </w:rPr>
      </w:pPr>
    </w:p>
    <w:p w14:paraId="5343CE30" w14:textId="0404B648" w:rsidR="005F46C6" w:rsidRPr="004949A8" w:rsidRDefault="005F46C6" w:rsidP="00FC4BB5">
      <w:pPr>
        <w:pStyle w:val="ListParagraph"/>
        <w:keepNext/>
        <w:keepLines/>
        <w:widowControl/>
        <w:numPr>
          <w:ilvl w:val="0"/>
          <w:numId w:val="3"/>
        </w:numPr>
        <w:spacing w:line="360" w:lineRule="auto"/>
        <w:rPr>
          <w:b/>
          <w:sz w:val="26"/>
          <w:szCs w:val="26"/>
        </w:rPr>
      </w:pPr>
      <w:r w:rsidRPr="004949A8">
        <w:rPr>
          <w:b/>
          <w:sz w:val="26"/>
          <w:szCs w:val="26"/>
        </w:rPr>
        <w:t>ALJ’s Initial Decision</w:t>
      </w:r>
      <w:r w:rsidR="00420886">
        <w:rPr>
          <w:b/>
          <w:sz w:val="26"/>
          <w:szCs w:val="26"/>
        </w:rPr>
        <w:t xml:space="preserve"> and Record</w:t>
      </w:r>
    </w:p>
    <w:p w14:paraId="6B49ED6A" w14:textId="77777777" w:rsidR="003D5C5F" w:rsidRDefault="003D5C5F" w:rsidP="00FC4BB5">
      <w:pPr>
        <w:keepNext/>
        <w:keepLines/>
        <w:widowControl/>
        <w:spacing w:line="360" w:lineRule="auto"/>
        <w:rPr>
          <w:sz w:val="26"/>
          <w:szCs w:val="26"/>
        </w:rPr>
      </w:pPr>
    </w:p>
    <w:p w14:paraId="0E25DD84" w14:textId="71C7A5BC" w:rsidR="00697956" w:rsidRPr="00697956" w:rsidRDefault="00697956" w:rsidP="00FC4BB5">
      <w:pPr>
        <w:widowControl/>
        <w:spacing w:line="360" w:lineRule="auto"/>
        <w:ind w:firstLine="1440"/>
        <w:rPr>
          <w:sz w:val="26"/>
          <w:szCs w:val="26"/>
        </w:rPr>
      </w:pPr>
      <w:r w:rsidRPr="00697956">
        <w:rPr>
          <w:sz w:val="26"/>
          <w:szCs w:val="26"/>
        </w:rPr>
        <w:t xml:space="preserve">ALJ </w:t>
      </w:r>
      <w:r w:rsidR="00E47570">
        <w:rPr>
          <w:sz w:val="26"/>
          <w:szCs w:val="26"/>
        </w:rPr>
        <w:t>Pell</w:t>
      </w:r>
      <w:r w:rsidRPr="00697956">
        <w:rPr>
          <w:sz w:val="26"/>
          <w:szCs w:val="26"/>
        </w:rPr>
        <w:t xml:space="preserve"> made </w:t>
      </w:r>
      <w:r>
        <w:rPr>
          <w:sz w:val="26"/>
          <w:szCs w:val="26"/>
        </w:rPr>
        <w:t>s</w:t>
      </w:r>
      <w:r w:rsidR="00E47570">
        <w:rPr>
          <w:sz w:val="26"/>
          <w:szCs w:val="26"/>
        </w:rPr>
        <w:t>ixty-two</w:t>
      </w:r>
      <w:r w:rsidRPr="00697956">
        <w:rPr>
          <w:sz w:val="26"/>
          <w:szCs w:val="26"/>
        </w:rPr>
        <w:t xml:space="preserve"> Findings of Fact and reached </w:t>
      </w:r>
      <w:r w:rsidR="00E47570">
        <w:rPr>
          <w:sz w:val="26"/>
          <w:szCs w:val="26"/>
        </w:rPr>
        <w:t>four</w:t>
      </w:r>
      <w:r w:rsidRPr="00697956">
        <w:rPr>
          <w:sz w:val="26"/>
          <w:szCs w:val="26"/>
        </w:rPr>
        <w:t xml:space="preserve"> </w:t>
      </w:r>
      <w:r w:rsidR="00E47570">
        <w:rPr>
          <w:sz w:val="26"/>
          <w:szCs w:val="26"/>
        </w:rPr>
        <w:t xml:space="preserve">Conclusions of </w:t>
      </w:r>
      <w:r w:rsidR="00114BE7">
        <w:rPr>
          <w:sz w:val="26"/>
          <w:szCs w:val="26"/>
        </w:rPr>
        <w:t>L</w:t>
      </w:r>
      <w:r w:rsidR="00E47570">
        <w:rPr>
          <w:sz w:val="26"/>
          <w:szCs w:val="26"/>
        </w:rPr>
        <w:t>aw.  I.D. at 3-9</w:t>
      </w:r>
      <w:r w:rsidRPr="00697956">
        <w:rPr>
          <w:sz w:val="26"/>
          <w:szCs w:val="26"/>
        </w:rPr>
        <w:t xml:space="preserve">; </w:t>
      </w:r>
      <w:r w:rsidR="00E47570">
        <w:rPr>
          <w:sz w:val="26"/>
          <w:szCs w:val="26"/>
        </w:rPr>
        <w:t>13</w:t>
      </w:r>
      <w:r w:rsidRPr="00697956">
        <w:rPr>
          <w:sz w:val="26"/>
          <w:szCs w:val="26"/>
        </w:rPr>
        <w:t xml:space="preserve">.  The Findings of Fact and Conclusions of Law are incorporated herein by reference </w:t>
      </w:r>
      <w:r w:rsidR="00E47570">
        <w:rPr>
          <w:sz w:val="26"/>
          <w:szCs w:val="26"/>
        </w:rPr>
        <w:t xml:space="preserve">and are adopted </w:t>
      </w:r>
      <w:r w:rsidR="0024452F">
        <w:rPr>
          <w:sz w:val="26"/>
          <w:szCs w:val="26"/>
        </w:rPr>
        <w:t>without comment</w:t>
      </w:r>
      <w:r w:rsidR="0024452F" w:rsidRPr="003C6B95">
        <w:rPr>
          <w:color w:val="000000"/>
          <w:sz w:val="26"/>
          <w:szCs w:val="26"/>
        </w:rPr>
        <w:t xml:space="preserve"> unless they are either expressly or by necessary implication rejected or modified by this Opinion and Order.</w:t>
      </w:r>
    </w:p>
    <w:p w14:paraId="484A62EA" w14:textId="77777777" w:rsidR="00AF7A16" w:rsidRDefault="00AF7A16" w:rsidP="00FC4BB5">
      <w:pPr>
        <w:pStyle w:val="Default"/>
      </w:pPr>
    </w:p>
    <w:p w14:paraId="5E881445" w14:textId="0EFA5EC8" w:rsidR="00420886" w:rsidRDefault="00420886" w:rsidP="00FC4BB5">
      <w:pPr>
        <w:widowControl/>
        <w:spacing w:line="360" w:lineRule="auto"/>
        <w:ind w:firstLine="1440"/>
        <w:contextualSpacing/>
        <w:rPr>
          <w:spacing w:val="-3"/>
          <w:sz w:val="26"/>
        </w:rPr>
      </w:pPr>
      <w:r>
        <w:rPr>
          <w:sz w:val="26"/>
          <w:szCs w:val="26"/>
        </w:rPr>
        <w:t>We note that at the start of the evidentiary hearing, PECO’s counsel made an oral motion</w:t>
      </w:r>
      <w:r>
        <w:rPr>
          <w:rStyle w:val="FootnoteReference"/>
          <w:sz w:val="26"/>
          <w:szCs w:val="26"/>
        </w:rPr>
        <w:footnoteReference w:id="1"/>
      </w:r>
      <w:r>
        <w:rPr>
          <w:sz w:val="26"/>
          <w:szCs w:val="26"/>
        </w:rPr>
        <w:t xml:space="preserve"> disputing Mr. Baker’s standing to bring the Complaint.  PECO’s counsel withdrew the motion during the hearing after it was established, via Mr. Baker’s testimony, that he, as an individual, is the owner of the building at which the tanning salon business is located on the first floor.  Tr. at 12-13.  PECO acknowledged that, as the </w:t>
      </w:r>
      <w:r>
        <w:rPr>
          <w:sz w:val="26"/>
          <w:szCs w:val="26"/>
        </w:rPr>
        <w:lastRenderedPageBreak/>
        <w:t xml:space="preserve">property owner of the building, Mr. Baker has a direct interest in this proceeding and therefore withdrew its motion to challenge his standing.  Tr. at 14-15.   </w:t>
      </w:r>
    </w:p>
    <w:p w14:paraId="58B8AE6E" w14:textId="77777777" w:rsidR="00420886" w:rsidRDefault="00420886" w:rsidP="00FC4BB5">
      <w:pPr>
        <w:widowControl/>
        <w:autoSpaceDE w:val="0"/>
        <w:autoSpaceDN w:val="0"/>
        <w:adjustRightInd w:val="0"/>
        <w:spacing w:line="360" w:lineRule="auto"/>
        <w:ind w:firstLine="1440"/>
        <w:rPr>
          <w:sz w:val="26"/>
          <w:szCs w:val="26"/>
        </w:rPr>
      </w:pPr>
    </w:p>
    <w:p w14:paraId="0767B61B" w14:textId="132E2239" w:rsidR="00FD4985" w:rsidRDefault="007C4F47" w:rsidP="00FC4B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In his Initial Decision,</w:t>
      </w:r>
      <w:r w:rsidR="00420886" w:rsidRPr="00420886">
        <w:rPr>
          <w:sz w:val="26"/>
          <w:szCs w:val="26"/>
        </w:rPr>
        <w:t xml:space="preserve"> </w:t>
      </w:r>
      <w:r w:rsidR="00114BE7">
        <w:rPr>
          <w:sz w:val="26"/>
          <w:szCs w:val="26"/>
        </w:rPr>
        <w:t>t</w:t>
      </w:r>
      <w:r w:rsidR="00420886" w:rsidRPr="0024452F">
        <w:rPr>
          <w:sz w:val="26"/>
          <w:szCs w:val="26"/>
        </w:rPr>
        <w:t xml:space="preserve">he ALJ </w:t>
      </w:r>
      <w:r w:rsidR="00420886">
        <w:rPr>
          <w:sz w:val="26"/>
          <w:szCs w:val="26"/>
        </w:rPr>
        <w:t>denied the</w:t>
      </w:r>
      <w:r w:rsidR="00420886" w:rsidRPr="0024452F">
        <w:rPr>
          <w:sz w:val="26"/>
          <w:szCs w:val="26"/>
        </w:rPr>
        <w:t xml:space="preserve"> Complaint because</w:t>
      </w:r>
      <w:r w:rsidR="00420886">
        <w:rPr>
          <w:sz w:val="26"/>
          <w:szCs w:val="26"/>
        </w:rPr>
        <w:t xml:space="preserve"> he concluded that Mr. Baker </w:t>
      </w:r>
      <w:r w:rsidR="00420886" w:rsidRPr="0024452F">
        <w:rPr>
          <w:sz w:val="26"/>
          <w:szCs w:val="26"/>
        </w:rPr>
        <w:t>failed to meet his burden of demonstrating that PECO provided him with inadequate service.</w:t>
      </w:r>
      <w:r w:rsidR="00420886">
        <w:rPr>
          <w:sz w:val="26"/>
          <w:szCs w:val="26"/>
        </w:rPr>
        <w:t xml:space="preserve">  I.D. at 1.  T</w:t>
      </w:r>
      <w:r>
        <w:rPr>
          <w:rFonts w:eastAsiaTheme="minorHAnsi"/>
          <w:color w:val="000000"/>
          <w:sz w:val="26"/>
          <w:szCs w:val="26"/>
        </w:rPr>
        <w:t xml:space="preserve">he </w:t>
      </w:r>
      <w:r w:rsidR="00D97D9A">
        <w:rPr>
          <w:rFonts w:eastAsiaTheme="minorHAnsi"/>
          <w:color w:val="000000"/>
          <w:sz w:val="26"/>
          <w:szCs w:val="26"/>
        </w:rPr>
        <w:t xml:space="preserve">ALJ </w:t>
      </w:r>
      <w:r w:rsidR="00500055">
        <w:rPr>
          <w:rFonts w:eastAsiaTheme="minorHAnsi"/>
          <w:color w:val="000000"/>
          <w:sz w:val="26"/>
          <w:szCs w:val="26"/>
        </w:rPr>
        <w:t>noted that i</w:t>
      </w:r>
      <w:r w:rsidR="00500055" w:rsidRPr="00500055">
        <w:rPr>
          <w:rFonts w:eastAsiaTheme="minorHAnsi"/>
          <w:color w:val="000000"/>
          <w:sz w:val="26"/>
          <w:szCs w:val="26"/>
        </w:rPr>
        <w:t xml:space="preserve">n his Complaint and during the hearing, </w:t>
      </w:r>
      <w:r w:rsidR="00001E42">
        <w:rPr>
          <w:rFonts w:eastAsiaTheme="minorHAnsi"/>
          <w:color w:val="000000"/>
          <w:sz w:val="26"/>
          <w:szCs w:val="26"/>
        </w:rPr>
        <w:t>Mr. Baker</w:t>
      </w:r>
      <w:r w:rsidR="00500055" w:rsidRPr="00500055">
        <w:rPr>
          <w:rFonts w:eastAsiaTheme="minorHAnsi"/>
          <w:color w:val="000000"/>
          <w:sz w:val="26"/>
          <w:szCs w:val="26"/>
        </w:rPr>
        <w:t xml:space="preserve"> alleged that on May 24, 2016, PECO’s technicians entered his place of business and announced to his employee and his customers that a fire was imminent. </w:t>
      </w:r>
      <w:r w:rsidR="00B7689F">
        <w:rPr>
          <w:rFonts w:eastAsiaTheme="minorHAnsi"/>
          <w:color w:val="000000"/>
          <w:sz w:val="26"/>
          <w:szCs w:val="26"/>
        </w:rPr>
        <w:t xml:space="preserve"> </w:t>
      </w:r>
      <w:r w:rsidR="00001E42">
        <w:rPr>
          <w:rFonts w:eastAsiaTheme="minorHAnsi"/>
          <w:color w:val="000000"/>
          <w:sz w:val="26"/>
          <w:szCs w:val="26"/>
        </w:rPr>
        <w:t>Mr. Baker</w:t>
      </w:r>
      <w:r w:rsidR="00500055" w:rsidRPr="00500055">
        <w:rPr>
          <w:rFonts w:eastAsiaTheme="minorHAnsi"/>
          <w:color w:val="000000"/>
          <w:sz w:val="26"/>
          <w:szCs w:val="26"/>
        </w:rPr>
        <w:t xml:space="preserve"> alleged that the behavior of PECO’s technicians caused a panic at his salon, resulting in a loss of business. </w:t>
      </w:r>
      <w:r w:rsidR="00FD4985">
        <w:rPr>
          <w:rFonts w:eastAsiaTheme="minorHAnsi"/>
          <w:color w:val="000000"/>
          <w:sz w:val="26"/>
          <w:szCs w:val="26"/>
        </w:rPr>
        <w:t xml:space="preserve"> </w:t>
      </w:r>
      <w:r w:rsidR="00001E42">
        <w:rPr>
          <w:rFonts w:eastAsiaTheme="minorHAnsi"/>
          <w:color w:val="000000"/>
          <w:sz w:val="26"/>
          <w:szCs w:val="26"/>
        </w:rPr>
        <w:t>Mr. Baker</w:t>
      </w:r>
      <w:r w:rsidR="00500055" w:rsidRPr="00500055">
        <w:rPr>
          <w:rFonts w:eastAsiaTheme="minorHAnsi"/>
          <w:color w:val="000000"/>
          <w:sz w:val="26"/>
          <w:szCs w:val="26"/>
        </w:rPr>
        <w:t xml:space="preserve"> further alleged that a PECO representative was rude and discourteous to him when he called on May 25, 2016</w:t>
      </w:r>
      <w:r w:rsidR="00BF3748">
        <w:rPr>
          <w:rFonts w:eastAsiaTheme="minorHAnsi"/>
          <w:color w:val="000000"/>
          <w:sz w:val="26"/>
          <w:szCs w:val="26"/>
        </w:rPr>
        <w:t>,</w:t>
      </w:r>
      <w:r w:rsidR="00500055" w:rsidRPr="00500055">
        <w:rPr>
          <w:rFonts w:eastAsiaTheme="minorHAnsi"/>
          <w:color w:val="000000"/>
          <w:sz w:val="26"/>
          <w:szCs w:val="26"/>
        </w:rPr>
        <w:t xml:space="preserve"> to confirm that a PECO crew was coming to his place of business to inspect another hot socket meter alarm. </w:t>
      </w:r>
      <w:r w:rsidR="00B7689F">
        <w:rPr>
          <w:rFonts w:eastAsiaTheme="minorHAnsi"/>
          <w:color w:val="000000"/>
          <w:sz w:val="26"/>
          <w:szCs w:val="26"/>
        </w:rPr>
        <w:t xml:space="preserve"> </w:t>
      </w:r>
      <w:r w:rsidR="00BF3748">
        <w:rPr>
          <w:rFonts w:eastAsiaTheme="minorHAnsi"/>
          <w:color w:val="000000"/>
          <w:sz w:val="26"/>
          <w:szCs w:val="26"/>
        </w:rPr>
        <w:t>Thus, the ALJ noted that Mr. Baker had</w:t>
      </w:r>
      <w:r w:rsidR="00500055" w:rsidRPr="00500055">
        <w:rPr>
          <w:rFonts w:eastAsiaTheme="minorHAnsi"/>
          <w:color w:val="000000"/>
          <w:sz w:val="26"/>
          <w:szCs w:val="26"/>
        </w:rPr>
        <w:t xml:space="preserve"> raised a claim of inadequate service.  I.D. at 10.</w:t>
      </w:r>
    </w:p>
    <w:p w14:paraId="0EA1AE42" w14:textId="77777777" w:rsidR="00FD4985" w:rsidRDefault="00FD4985" w:rsidP="00FC4BB5">
      <w:pPr>
        <w:widowControl/>
        <w:autoSpaceDE w:val="0"/>
        <w:autoSpaceDN w:val="0"/>
        <w:adjustRightInd w:val="0"/>
        <w:spacing w:line="360" w:lineRule="auto"/>
        <w:ind w:firstLine="1440"/>
        <w:rPr>
          <w:rFonts w:eastAsiaTheme="minorHAnsi"/>
          <w:color w:val="000000"/>
          <w:sz w:val="26"/>
          <w:szCs w:val="26"/>
        </w:rPr>
      </w:pPr>
    </w:p>
    <w:p w14:paraId="2E963704" w14:textId="593F8496" w:rsidR="00500055" w:rsidRPr="00500055" w:rsidRDefault="00500055" w:rsidP="00FC4BB5">
      <w:pPr>
        <w:widowControl/>
        <w:autoSpaceDE w:val="0"/>
        <w:autoSpaceDN w:val="0"/>
        <w:adjustRightInd w:val="0"/>
        <w:spacing w:line="360" w:lineRule="auto"/>
        <w:ind w:firstLine="1440"/>
        <w:rPr>
          <w:rFonts w:eastAsiaTheme="minorHAnsi"/>
          <w:color w:val="000000"/>
          <w:sz w:val="26"/>
          <w:szCs w:val="26"/>
        </w:rPr>
      </w:pPr>
      <w:r w:rsidRPr="00500055">
        <w:rPr>
          <w:rFonts w:eastAsiaTheme="minorHAnsi"/>
          <w:color w:val="000000"/>
          <w:sz w:val="26"/>
          <w:szCs w:val="26"/>
        </w:rPr>
        <w:t>ALJ</w:t>
      </w:r>
      <w:r w:rsidR="00FD4985">
        <w:rPr>
          <w:rFonts w:eastAsiaTheme="minorHAnsi"/>
          <w:color w:val="000000"/>
          <w:sz w:val="26"/>
          <w:szCs w:val="26"/>
        </w:rPr>
        <w:t xml:space="preserve"> Pell</w:t>
      </w:r>
      <w:r w:rsidRPr="00500055">
        <w:rPr>
          <w:rFonts w:eastAsiaTheme="minorHAnsi"/>
          <w:color w:val="000000"/>
          <w:sz w:val="26"/>
          <w:szCs w:val="26"/>
        </w:rPr>
        <w:t xml:space="preserve"> also recognized that a</w:t>
      </w:r>
      <w:r w:rsidRPr="00500055">
        <w:rPr>
          <w:sz w:val="26"/>
          <w:szCs w:val="26"/>
        </w:rPr>
        <w:t xml:space="preserve">lthough </w:t>
      </w:r>
      <w:r w:rsidR="00BF3748">
        <w:rPr>
          <w:sz w:val="26"/>
          <w:szCs w:val="26"/>
        </w:rPr>
        <w:t>Mr. Baker</w:t>
      </w:r>
      <w:r w:rsidRPr="00500055">
        <w:rPr>
          <w:sz w:val="26"/>
          <w:szCs w:val="26"/>
        </w:rPr>
        <w:t xml:space="preserve"> indicated in his written Complaint that he wanted to be reimbursed for lost business as a result of the May 24, 2016 incident, </w:t>
      </w:r>
      <w:r w:rsidR="00BF3748">
        <w:rPr>
          <w:sz w:val="26"/>
          <w:szCs w:val="26"/>
        </w:rPr>
        <w:t>Mr. Baker also</w:t>
      </w:r>
      <w:r w:rsidRPr="00500055">
        <w:rPr>
          <w:sz w:val="26"/>
          <w:szCs w:val="26"/>
        </w:rPr>
        <w:t xml:space="preserve"> stated at the outset of the hearing that he understood the Commission could not award this request for damages if he prevail</w:t>
      </w:r>
      <w:r w:rsidR="00FD4985">
        <w:rPr>
          <w:sz w:val="26"/>
          <w:szCs w:val="26"/>
        </w:rPr>
        <w:t>ed</w:t>
      </w:r>
      <w:r w:rsidRPr="00500055">
        <w:rPr>
          <w:sz w:val="26"/>
          <w:szCs w:val="26"/>
        </w:rPr>
        <w:t xml:space="preserve">.  I.D. at 10. </w:t>
      </w:r>
    </w:p>
    <w:p w14:paraId="16719A41" w14:textId="6D7341CC" w:rsidR="00500055" w:rsidRPr="00500055" w:rsidRDefault="00500055" w:rsidP="00FC4BB5">
      <w:pPr>
        <w:widowControl/>
        <w:autoSpaceDE w:val="0"/>
        <w:autoSpaceDN w:val="0"/>
        <w:adjustRightInd w:val="0"/>
        <w:spacing w:line="360" w:lineRule="auto"/>
        <w:ind w:firstLine="1440"/>
        <w:rPr>
          <w:sz w:val="26"/>
          <w:szCs w:val="26"/>
        </w:rPr>
      </w:pPr>
    </w:p>
    <w:p w14:paraId="0BA6F231" w14:textId="4C05C433" w:rsidR="00424683" w:rsidRPr="00500055" w:rsidRDefault="00500055" w:rsidP="00FC4BB5">
      <w:pPr>
        <w:widowControl/>
        <w:spacing w:line="360" w:lineRule="auto"/>
        <w:ind w:firstLine="1440"/>
        <w:rPr>
          <w:sz w:val="26"/>
          <w:szCs w:val="26"/>
        </w:rPr>
      </w:pPr>
      <w:r w:rsidRPr="00500055">
        <w:rPr>
          <w:sz w:val="26"/>
          <w:szCs w:val="26"/>
        </w:rPr>
        <w:t>In the present case, the ALJ stated that the record demonst</w:t>
      </w:r>
      <w:r w:rsidR="00EE302B">
        <w:rPr>
          <w:sz w:val="26"/>
          <w:szCs w:val="26"/>
        </w:rPr>
        <w:t xml:space="preserve">rated that PECO technicians </w:t>
      </w:r>
      <w:r w:rsidRPr="00500055">
        <w:rPr>
          <w:sz w:val="26"/>
          <w:szCs w:val="26"/>
        </w:rPr>
        <w:t>visit</w:t>
      </w:r>
      <w:r w:rsidR="00EE302B">
        <w:rPr>
          <w:sz w:val="26"/>
          <w:szCs w:val="26"/>
        </w:rPr>
        <w:t>ed</w:t>
      </w:r>
      <w:r w:rsidRPr="00500055">
        <w:rPr>
          <w:sz w:val="26"/>
          <w:szCs w:val="26"/>
        </w:rPr>
        <w:t xml:space="preserve"> </w:t>
      </w:r>
      <w:r w:rsidR="00001E42">
        <w:rPr>
          <w:sz w:val="26"/>
          <w:szCs w:val="26"/>
        </w:rPr>
        <w:t>Mr. Baker</w:t>
      </w:r>
      <w:r w:rsidRPr="00500055">
        <w:rPr>
          <w:sz w:val="26"/>
          <w:szCs w:val="26"/>
        </w:rPr>
        <w:t>’s business on May 24, 201</w:t>
      </w:r>
      <w:r w:rsidR="00FD4985">
        <w:rPr>
          <w:sz w:val="26"/>
          <w:szCs w:val="26"/>
        </w:rPr>
        <w:t>6</w:t>
      </w:r>
      <w:r w:rsidRPr="00500055">
        <w:rPr>
          <w:sz w:val="26"/>
          <w:szCs w:val="26"/>
        </w:rPr>
        <w:t xml:space="preserve">, to investigate a hot socket meter alarm. </w:t>
      </w:r>
      <w:r w:rsidR="00BF3748">
        <w:rPr>
          <w:sz w:val="26"/>
          <w:szCs w:val="26"/>
        </w:rPr>
        <w:t xml:space="preserve"> The ALJ noted that a</w:t>
      </w:r>
      <w:r w:rsidRPr="00500055">
        <w:rPr>
          <w:sz w:val="26"/>
          <w:szCs w:val="26"/>
        </w:rPr>
        <w:t xml:space="preserve">lthough </w:t>
      </w:r>
      <w:r w:rsidR="00001E42">
        <w:rPr>
          <w:sz w:val="26"/>
          <w:szCs w:val="26"/>
        </w:rPr>
        <w:t>Mr. Baker</w:t>
      </w:r>
      <w:r w:rsidRPr="00500055">
        <w:rPr>
          <w:sz w:val="26"/>
          <w:szCs w:val="26"/>
        </w:rPr>
        <w:t xml:space="preserve"> asserted that these technicians caused a panic when they visited his tanning salon, </w:t>
      </w:r>
      <w:r w:rsidR="00001E42">
        <w:rPr>
          <w:sz w:val="26"/>
          <w:szCs w:val="26"/>
        </w:rPr>
        <w:t>Mr. Baker</w:t>
      </w:r>
      <w:r w:rsidRPr="00500055">
        <w:rPr>
          <w:sz w:val="26"/>
          <w:szCs w:val="26"/>
        </w:rPr>
        <w:t>’s own witnesses’ testimony demonstrated that</w:t>
      </w:r>
      <w:r w:rsidR="00BF3748">
        <w:rPr>
          <w:sz w:val="26"/>
          <w:szCs w:val="26"/>
        </w:rPr>
        <w:t xml:space="preserve"> it was </w:t>
      </w:r>
      <w:r w:rsidR="00001E42">
        <w:rPr>
          <w:sz w:val="26"/>
          <w:szCs w:val="26"/>
        </w:rPr>
        <w:t>Mr. Baker</w:t>
      </w:r>
      <w:r w:rsidR="00EE302B">
        <w:rPr>
          <w:sz w:val="26"/>
          <w:szCs w:val="26"/>
        </w:rPr>
        <w:t>’s</w:t>
      </w:r>
      <w:r w:rsidR="00BF3748">
        <w:rPr>
          <w:sz w:val="26"/>
          <w:szCs w:val="26"/>
        </w:rPr>
        <w:t xml:space="preserve"> own</w:t>
      </w:r>
      <w:r w:rsidR="00EE302B">
        <w:rPr>
          <w:sz w:val="26"/>
          <w:szCs w:val="26"/>
        </w:rPr>
        <w:t xml:space="preserve"> employee and</w:t>
      </w:r>
      <w:r w:rsidRPr="00500055">
        <w:rPr>
          <w:sz w:val="26"/>
          <w:szCs w:val="26"/>
        </w:rPr>
        <w:t xml:space="preserve"> counter-person</w:t>
      </w:r>
      <w:r w:rsidR="00BF3748">
        <w:rPr>
          <w:sz w:val="26"/>
          <w:szCs w:val="26"/>
        </w:rPr>
        <w:t>,</w:t>
      </w:r>
      <w:r w:rsidR="00BF3748" w:rsidRPr="00BF3748">
        <w:rPr>
          <w:sz w:val="26"/>
          <w:szCs w:val="26"/>
        </w:rPr>
        <w:t xml:space="preserve"> </w:t>
      </w:r>
      <w:r w:rsidR="00BF3748">
        <w:rPr>
          <w:sz w:val="26"/>
          <w:szCs w:val="26"/>
        </w:rPr>
        <w:t>Ms.</w:t>
      </w:r>
      <w:r w:rsidR="00010B25">
        <w:rPr>
          <w:sz w:val="26"/>
          <w:szCs w:val="26"/>
        </w:rPr>
        <w:t> </w:t>
      </w:r>
      <w:r w:rsidR="00BF3748">
        <w:rPr>
          <w:sz w:val="26"/>
          <w:szCs w:val="26"/>
        </w:rPr>
        <w:t xml:space="preserve">Wilczaa, </w:t>
      </w:r>
      <w:r w:rsidRPr="00500055">
        <w:rPr>
          <w:sz w:val="26"/>
          <w:szCs w:val="26"/>
        </w:rPr>
        <w:t xml:space="preserve">at the salon, </w:t>
      </w:r>
      <w:r w:rsidR="00BF3748">
        <w:rPr>
          <w:sz w:val="26"/>
          <w:szCs w:val="26"/>
        </w:rPr>
        <w:t xml:space="preserve">who </w:t>
      </w:r>
      <w:r w:rsidRPr="00500055">
        <w:rPr>
          <w:sz w:val="26"/>
          <w:szCs w:val="26"/>
        </w:rPr>
        <w:t xml:space="preserve">was walking around the business frantically announcing a potential fire. </w:t>
      </w:r>
      <w:r w:rsidR="00EE302B">
        <w:rPr>
          <w:sz w:val="26"/>
          <w:szCs w:val="26"/>
        </w:rPr>
        <w:t xml:space="preserve"> ALJ Pell</w:t>
      </w:r>
      <w:r w:rsidRPr="00500055">
        <w:rPr>
          <w:sz w:val="26"/>
          <w:szCs w:val="26"/>
        </w:rPr>
        <w:t xml:space="preserve"> found Mr. Brignola’s testimony that he calmly and quietly tried to alert Ms. Wilczaa to the potential problem and the need to examine the meter to be credible.  I.D. at 11.</w:t>
      </w:r>
    </w:p>
    <w:p w14:paraId="157F8689" w14:textId="19AB7582" w:rsidR="00500055" w:rsidRPr="00500055" w:rsidRDefault="00500055" w:rsidP="00FC4BB5">
      <w:pPr>
        <w:widowControl/>
        <w:spacing w:line="360" w:lineRule="auto"/>
        <w:ind w:firstLine="1440"/>
        <w:rPr>
          <w:sz w:val="26"/>
          <w:szCs w:val="26"/>
        </w:rPr>
      </w:pPr>
    </w:p>
    <w:p w14:paraId="61C7BD30" w14:textId="0F19DA61" w:rsidR="00500055" w:rsidRPr="00EE302B" w:rsidRDefault="00500055" w:rsidP="00FC4BB5">
      <w:pPr>
        <w:widowControl/>
        <w:spacing w:line="360" w:lineRule="auto"/>
        <w:ind w:firstLine="1440"/>
        <w:rPr>
          <w:sz w:val="26"/>
          <w:szCs w:val="26"/>
        </w:rPr>
      </w:pPr>
      <w:r>
        <w:rPr>
          <w:sz w:val="26"/>
          <w:szCs w:val="26"/>
        </w:rPr>
        <w:lastRenderedPageBreak/>
        <w:t xml:space="preserve">The ALJ noted, additionally, that </w:t>
      </w:r>
      <w:r w:rsidR="00001E42">
        <w:rPr>
          <w:sz w:val="26"/>
          <w:szCs w:val="26"/>
        </w:rPr>
        <w:t>Mr. Baker</w:t>
      </w:r>
      <w:r w:rsidRPr="00500055">
        <w:rPr>
          <w:sz w:val="26"/>
          <w:szCs w:val="26"/>
        </w:rPr>
        <w:t xml:space="preserve"> also alleged that a PECO Representative was rude to him when he called to confirm that a PECO crew was going to </w:t>
      </w:r>
      <w:r w:rsidRPr="00EE302B">
        <w:rPr>
          <w:sz w:val="26"/>
          <w:szCs w:val="26"/>
        </w:rPr>
        <w:t xml:space="preserve">investigate a second hot socket meter alarm at the service address the following day on May 25, 2016.  I.D. at 11.  </w:t>
      </w:r>
      <w:r w:rsidR="00001E42">
        <w:rPr>
          <w:sz w:val="26"/>
          <w:szCs w:val="26"/>
        </w:rPr>
        <w:t>Mr. Baker</w:t>
      </w:r>
      <w:r w:rsidRPr="00EE302B">
        <w:rPr>
          <w:sz w:val="26"/>
          <w:szCs w:val="26"/>
        </w:rPr>
        <w:t xml:space="preserve"> testified that the Representative informed him that he was sending a crew to the service address and that he would send the police if </w:t>
      </w:r>
      <w:r w:rsidR="00001E42">
        <w:rPr>
          <w:sz w:val="26"/>
          <w:szCs w:val="26"/>
        </w:rPr>
        <w:t>Mr. Baker</w:t>
      </w:r>
      <w:r w:rsidRPr="00EE302B">
        <w:rPr>
          <w:sz w:val="26"/>
          <w:szCs w:val="26"/>
        </w:rPr>
        <w:t xml:space="preserve"> didn’t allow access to the meter. </w:t>
      </w:r>
      <w:r w:rsidR="00BF3748">
        <w:rPr>
          <w:sz w:val="26"/>
          <w:szCs w:val="26"/>
        </w:rPr>
        <w:t xml:space="preserve"> Mr. Baker</w:t>
      </w:r>
      <w:r w:rsidRPr="00EE302B">
        <w:rPr>
          <w:sz w:val="26"/>
          <w:szCs w:val="26"/>
        </w:rPr>
        <w:t xml:space="preserve"> further testified that the police were already present when he arrived at the service address on May 25, 2016.  I.D. at 11 (citing Tr. 25, 51-53).  However, </w:t>
      </w:r>
      <w:r w:rsidR="0093504A">
        <w:rPr>
          <w:sz w:val="26"/>
          <w:szCs w:val="26"/>
        </w:rPr>
        <w:t xml:space="preserve">the ALJ </w:t>
      </w:r>
      <w:r w:rsidR="00BF3748">
        <w:rPr>
          <w:sz w:val="26"/>
          <w:szCs w:val="26"/>
        </w:rPr>
        <w:t xml:space="preserve">noted </w:t>
      </w:r>
      <w:r w:rsidR="0093504A">
        <w:rPr>
          <w:sz w:val="26"/>
          <w:szCs w:val="26"/>
        </w:rPr>
        <w:t>that</w:t>
      </w:r>
      <w:r w:rsidRPr="00EE302B">
        <w:rPr>
          <w:sz w:val="26"/>
          <w:szCs w:val="26"/>
        </w:rPr>
        <w:t xml:space="preserve"> Mr. Brignola, who visited the service address on both days, testified credibly that the police were not present at the service address on May 25, 2016.  I.D. at 11 (citing Tr. 184-185, 193).  ALJ Pell stated that, since </w:t>
      </w:r>
      <w:r w:rsidR="00001E42">
        <w:rPr>
          <w:sz w:val="26"/>
          <w:szCs w:val="26"/>
        </w:rPr>
        <w:t>Mr. Baker</w:t>
      </w:r>
      <w:r w:rsidRPr="00EE302B">
        <w:rPr>
          <w:sz w:val="26"/>
          <w:szCs w:val="26"/>
        </w:rPr>
        <w:t xml:space="preserve">’s recollection of the events of May 25, 2016 is clearly inaccurate, he did not find his testimony regarding his interaction with the PECO Representative to be credible.  I.D. at 11.  Moreover, </w:t>
      </w:r>
      <w:r w:rsidR="0093504A">
        <w:rPr>
          <w:sz w:val="26"/>
          <w:szCs w:val="26"/>
        </w:rPr>
        <w:t xml:space="preserve">according to ALJ Pell, </w:t>
      </w:r>
      <w:r w:rsidRPr="00EE302B">
        <w:rPr>
          <w:sz w:val="26"/>
          <w:szCs w:val="26"/>
        </w:rPr>
        <w:t>considering the events that transpired at the se</w:t>
      </w:r>
      <w:r w:rsidR="0093504A">
        <w:rPr>
          <w:sz w:val="26"/>
          <w:szCs w:val="26"/>
        </w:rPr>
        <w:t>rvice address the previous day,</w:t>
      </w:r>
      <w:r w:rsidRPr="00EE302B">
        <w:rPr>
          <w:sz w:val="26"/>
          <w:szCs w:val="26"/>
        </w:rPr>
        <w:t xml:space="preserve"> it was not unreasonable if PECO’s Representative had informed </w:t>
      </w:r>
      <w:r w:rsidR="00001E42">
        <w:rPr>
          <w:sz w:val="26"/>
          <w:szCs w:val="26"/>
        </w:rPr>
        <w:t>Mr. Baker</w:t>
      </w:r>
      <w:r w:rsidRPr="00EE302B">
        <w:rPr>
          <w:sz w:val="26"/>
          <w:szCs w:val="26"/>
        </w:rPr>
        <w:t xml:space="preserve"> that the police would be called if he refused to grant access to the meter.  I.D. at 12.</w:t>
      </w:r>
    </w:p>
    <w:p w14:paraId="2D0001D7" w14:textId="44F5AB96" w:rsidR="00500055" w:rsidRPr="00EE302B" w:rsidRDefault="00500055" w:rsidP="00FC4BB5">
      <w:pPr>
        <w:widowControl/>
        <w:spacing w:line="360" w:lineRule="auto"/>
        <w:ind w:firstLine="1440"/>
        <w:rPr>
          <w:sz w:val="26"/>
          <w:szCs w:val="26"/>
        </w:rPr>
      </w:pPr>
    </w:p>
    <w:p w14:paraId="1FC47B20" w14:textId="1202E123" w:rsidR="00500055" w:rsidRDefault="00BF3748" w:rsidP="00FC4BB5">
      <w:pPr>
        <w:widowControl/>
        <w:spacing w:line="360" w:lineRule="auto"/>
        <w:ind w:firstLine="1440"/>
        <w:rPr>
          <w:sz w:val="26"/>
          <w:szCs w:val="26"/>
        </w:rPr>
      </w:pPr>
      <w:r>
        <w:rPr>
          <w:sz w:val="26"/>
          <w:szCs w:val="26"/>
        </w:rPr>
        <w:t>The ALJ further noted that, a</w:t>
      </w:r>
      <w:r w:rsidR="00500055" w:rsidRPr="00EE302B">
        <w:rPr>
          <w:sz w:val="26"/>
          <w:szCs w:val="26"/>
        </w:rPr>
        <w:t xml:space="preserve">lthough </w:t>
      </w:r>
      <w:r w:rsidR="00001E42">
        <w:rPr>
          <w:sz w:val="26"/>
          <w:szCs w:val="26"/>
        </w:rPr>
        <w:t>Mr. Baker</w:t>
      </w:r>
      <w:r w:rsidR="00500055" w:rsidRPr="00EE302B">
        <w:rPr>
          <w:sz w:val="26"/>
          <w:szCs w:val="26"/>
        </w:rPr>
        <w:t xml:space="preserve"> indicated on his Complaint form that PECO had terminated or had threatened to terminate his service, he acknowledged during the hearing that PECO never sent him a termination notice.  Additionally, although </w:t>
      </w:r>
      <w:r w:rsidR="00001E42">
        <w:rPr>
          <w:sz w:val="26"/>
          <w:szCs w:val="26"/>
        </w:rPr>
        <w:t>Mr. Baker</w:t>
      </w:r>
      <w:r w:rsidR="00500055" w:rsidRPr="00EE302B">
        <w:rPr>
          <w:sz w:val="26"/>
          <w:szCs w:val="26"/>
        </w:rPr>
        <w:t xml:space="preserve"> indicated on his Complaint form that he wanted a payment agreement, he stated during the hearing that he understood the Commission could not grant this request since the account for service at the service address is a commercial account.  He explained that he was not seeking a Commission-issued payment agreement. </w:t>
      </w:r>
      <w:r>
        <w:rPr>
          <w:sz w:val="26"/>
          <w:szCs w:val="26"/>
        </w:rPr>
        <w:t xml:space="preserve"> Rather, Mr. Baker</w:t>
      </w:r>
      <w:r w:rsidR="00500055" w:rsidRPr="00EE302B">
        <w:rPr>
          <w:sz w:val="26"/>
          <w:szCs w:val="26"/>
        </w:rPr>
        <w:t xml:space="preserve"> explained that he checked off that box since PECO had informed him prior to the hearing that if he did not prevail on his Complaint, they would offer him a payment agreement.</w:t>
      </w:r>
      <w:r>
        <w:rPr>
          <w:sz w:val="26"/>
          <w:szCs w:val="26"/>
        </w:rPr>
        <w:t xml:space="preserve">  I.D. at 12.</w:t>
      </w:r>
    </w:p>
    <w:p w14:paraId="1383A621" w14:textId="4673982F" w:rsidR="00BF3748" w:rsidRDefault="00BF3748" w:rsidP="00FC4BB5">
      <w:pPr>
        <w:widowControl/>
        <w:spacing w:line="360" w:lineRule="auto"/>
        <w:ind w:firstLine="1440"/>
        <w:rPr>
          <w:sz w:val="26"/>
          <w:szCs w:val="26"/>
        </w:rPr>
      </w:pPr>
    </w:p>
    <w:p w14:paraId="5BA22754" w14:textId="2B41FFE7" w:rsidR="00BF3748" w:rsidRPr="00EE302B" w:rsidRDefault="00BF3748" w:rsidP="00FC4BB5">
      <w:pPr>
        <w:widowControl/>
        <w:spacing w:line="360" w:lineRule="auto"/>
        <w:ind w:firstLine="1440"/>
        <w:rPr>
          <w:rFonts w:eastAsiaTheme="minorHAnsi"/>
          <w:color w:val="000000"/>
          <w:sz w:val="26"/>
          <w:szCs w:val="26"/>
        </w:rPr>
      </w:pPr>
      <w:r>
        <w:rPr>
          <w:sz w:val="26"/>
          <w:szCs w:val="26"/>
        </w:rPr>
        <w:lastRenderedPageBreak/>
        <w:t>Finally, the ALJ found that upon his review of the record, PECO’s personnel acted appropriately while communicating about, and trying to investigate, the hot socket meter alarms at the service address.  I.D. at 12.  Since Mr. Baker was unable to meet his burden demonstrating that PECO provided him with inadequate or unreasonable service, the ALJ denied the Complaint.  I.D. at 13.</w:t>
      </w:r>
    </w:p>
    <w:p w14:paraId="6146345D" w14:textId="77777777" w:rsidR="00500055" w:rsidRPr="00430CE5" w:rsidRDefault="00500055" w:rsidP="00FC4BB5">
      <w:pPr>
        <w:widowControl/>
        <w:spacing w:line="360" w:lineRule="auto"/>
        <w:rPr>
          <w:sz w:val="26"/>
          <w:szCs w:val="26"/>
        </w:rPr>
      </w:pPr>
    </w:p>
    <w:p w14:paraId="1EA5EF5C" w14:textId="42C0F037" w:rsidR="00430CE5" w:rsidRPr="004949A8" w:rsidRDefault="004949A8" w:rsidP="00FC4BB5">
      <w:pPr>
        <w:pStyle w:val="ListParagraph"/>
        <w:keepNext/>
        <w:keepLines/>
        <w:widowControl/>
        <w:numPr>
          <w:ilvl w:val="0"/>
          <w:numId w:val="3"/>
        </w:numPr>
        <w:rPr>
          <w:b/>
          <w:sz w:val="26"/>
          <w:szCs w:val="26"/>
        </w:rPr>
      </w:pPr>
      <w:r>
        <w:rPr>
          <w:b/>
          <w:sz w:val="26"/>
          <w:szCs w:val="26"/>
        </w:rPr>
        <w:t xml:space="preserve">  </w:t>
      </w:r>
      <w:r w:rsidR="00430CE5" w:rsidRPr="004949A8">
        <w:rPr>
          <w:b/>
          <w:sz w:val="26"/>
          <w:szCs w:val="26"/>
        </w:rPr>
        <w:t xml:space="preserve">Exceptions </w:t>
      </w:r>
      <w:r w:rsidR="00430CE5" w:rsidRPr="004365AD">
        <w:rPr>
          <w:b/>
          <w:sz w:val="26"/>
          <w:szCs w:val="26"/>
        </w:rPr>
        <w:t>and Repl</w:t>
      </w:r>
      <w:r w:rsidR="004116F3" w:rsidRPr="004365AD">
        <w:rPr>
          <w:b/>
          <w:sz w:val="26"/>
          <w:szCs w:val="26"/>
        </w:rPr>
        <w:t>ies</w:t>
      </w:r>
      <w:r w:rsidR="004116F3">
        <w:rPr>
          <w:b/>
          <w:sz w:val="26"/>
          <w:szCs w:val="26"/>
        </w:rPr>
        <w:t xml:space="preserve"> to</w:t>
      </w:r>
      <w:r w:rsidR="00430CE5" w:rsidRPr="004949A8">
        <w:rPr>
          <w:b/>
          <w:sz w:val="26"/>
          <w:szCs w:val="26"/>
        </w:rPr>
        <w:t xml:space="preserve"> Exceptions</w:t>
      </w:r>
    </w:p>
    <w:p w14:paraId="5EDC60AE" w14:textId="77777777" w:rsidR="00430CE5" w:rsidRPr="00430CE5" w:rsidRDefault="00430CE5" w:rsidP="00FC4BB5">
      <w:pPr>
        <w:keepNext/>
        <w:keepLines/>
        <w:widowControl/>
        <w:spacing w:line="360" w:lineRule="auto"/>
        <w:rPr>
          <w:sz w:val="26"/>
          <w:szCs w:val="26"/>
        </w:rPr>
      </w:pPr>
    </w:p>
    <w:p w14:paraId="33B2E15A" w14:textId="6EAD74F0" w:rsidR="00FD4985" w:rsidRDefault="00001E42" w:rsidP="00FC4BB5">
      <w:pPr>
        <w:widowControl/>
        <w:spacing w:line="360" w:lineRule="auto"/>
        <w:ind w:firstLine="1440"/>
        <w:rPr>
          <w:sz w:val="26"/>
          <w:szCs w:val="26"/>
        </w:rPr>
      </w:pPr>
      <w:r>
        <w:rPr>
          <w:sz w:val="26"/>
          <w:szCs w:val="26"/>
        </w:rPr>
        <w:t>Mr. Baker</w:t>
      </w:r>
      <w:r w:rsidR="005B4AAA">
        <w:rPr>
          <w:sz w:val="26"/>
          <w:szCs w:val="26"/>
        </w:rPr>
        <w:t>’s</w:t>
      </w:r>
      <w:r w:rsidR="00C113F3">
        <w:rPr>
          <w:sz w:val="26"/>
          <w:szCs w:val="26"/>
        </w:rPr>
        <w:t xml:space="preserve"> Exceptions</w:t>
      </w:r>
      <w:r w:rsidR="005B4AAA">
        <w:rPr>
          <w:sz w:val="26"/>
          <w:szCs w:val="26"/>
        </w:rPr>
        <w:t xml:space="preserve"> consists of a single typed page </w:t>
      </w:r>
      <w:r w:rsidR="00CE72BE">
        <w:rPr>
          <w:sz w:val="26"/>
          <w:szCs w:val="26"/>
        </w:rPr>
        <w:t>along with an attachment that includes a copy</w:t>
      </w:r>
      <w:r w:rsidR="005B4AAA">
        <w:rPr>
          <w:sz w:val="26"/>
          <w:szCs w:val="26"/>
        </w:rPr>
        <w:t xml:space="preserve"> of the Initial Decision with </w:t>
      </w:r>
      <w:r>
        <w:rPr>
          <w:sz w:val="26"/>
          <w:szCs w:val="26"/>
        </w:rPr>
        <w:t>Mr. Baker</w:t>
      </w:r>
      <w:r w:rsidR="005B4AAA">
        <w:rPr>
          <w:sz w:val="26"/>
          <w:szCs w:val="26"/>
        </w:rPr>
        <w:t xml:space="preserve">’s hand-written notes </w:t>
      </w:r>
      <w:r w:rsidR="00CE72BE">
        <w:rPr>
          <w:sz w:val="26"/>
          <w:szCs w:val="26"/>
        </w:rPr>
        <w:t xml:space="preserve">appearing throughout and responding </w:t>
      </w:r>
      <w:r w:rsidR="005B4AAA">
        <w:rPr>
          <w:sz w:val="26"/>
          <w:szCs w:val="26"/>
        </w:rPr>
        <w:t xml:space="preserve">to various parts of the Initial Decision.  </w:t>
      </w:r>
      <w:r w:rsidR="006A068E">
        <w:rPr>
          <w:sz w:val="26"/>
          <w:szCs w:val="26"/>
        </w:rPr>
        <w:t>I</w:t>
      </w:r>
      <w:r w:rsidR="00C113F3">
        <w:rPr>
          <w:sz w:val="26"/>
          <w:szCs w:val="26"/>
        </w:rPr>
        <w:t xml:space="preserve">n relevant part, </w:t>
      </w:r>
      <w:r>
        <w:rPr>
          <w:sz w:val="26"/>
          <w:szCs w:val="26"/>
        </w:rPr>
        <w:t>Mr. Baker</w:t>
      </w:r>
      <w:r w:rsidR="00C113F3">
        <w:rPr>
          <w:sz w:val="26"/>
          <w:szCs w:val="26"/>
        </w:rPr>
        <w:t xml:space="preserve"> </w:t>
      </w:r>
      <w:r w:rsidR="006A068E">
        <w:rPr>
          <w:sz w:val="26"/>
          <w:szCs w:val="26"/>
        </w:rPr>
        <w:t>makes a general allegation in his single typed page that this proceeding is</w:t>
      </w:r>
      <w:r w:rsidR="00C24B8B">
        <w:rPr>
          <w:sz w:val="26"/>
          <w:szCs w:val="26"/>
        </w:rPr>
        <w:t xml:space="preserve"> biased against him because he</w:t>
      </w:r>
      <w:r w:rsidR="009A360E">
        <w:rPr>
          <w:sz w:val="26"/>
          <w:szCs w:val="26"/>
        </w:rPr>
        <w:t xml:space="preserve"> does not stand a chance against the size of </w:t>
      </w:r>
      <w:r w:rsidR="006A068E">
        <w:rPr>
          <w:sz w:val="26"/>
          <w:szCs w:val="26"/>
        </w:rPr>
        <w:t>PECO</w:t>
      </w:r>
      <w:r w:rsidR="00C24B8B">
        <w:rPr>
          <w:sz w:val="26"/>
          <w:szCs w:val="26"/>
        </w:rPr>
        <w:t xml:space="preserve">, which was </w:t>
      </w:r>
      <w:r w:rsidR="009A360E">
        <w:rPr>
          <w:sz w:val="26"/>
          <w:szCs w:val="26"/>
        </w:rPr>
        <w:t>represented by</w:t>
      </w:r>
      <w:r w:rsidR="006A068E">
        <w:rPr>
          <w:sz w:val="26"/>
          <w:szCs w:val="26"/>
        </w:rPr>
        <w:t xml:space="preserve"> counsel.</w:t>
      </w:r>
    </w:p>
    <w:p w14:paraId="4D2FDF38" w14:textId="77777777" w:rsidR="00FD4985" w:rsidRDefault="00FD4985" w:rsidP="00FC4BB5">
      <w:pPr>
        <w:widowControl/>
        <w:spacing w:line="360" w:lineRule="auto"/>
        <w:ind w:firstLine="1440"/>
        <w:rPr>
          <w:sz w:val="26"/>
          <w:szCs w:val="26"/>
        </w:rPr>
      </w:pPr>
    </w:p>
    <w:p w14:paraId="543EA883" w14:textId="0F6C12A0" w:rsidR="00C113F3" w:rsidRDefault="006A068E" w:rsidP="00FC4BB5">
      <w:pPr>
        <w:widowControl/>
        <w:spacing w:line="360" w:lineRule="auto"/>
        <w:ind w:firstLine="1440"/>
        <w:rPr>
          <w:sz w:val="26"/>
          <w:szCs w:val="26"/>
        </w:rPr>
      </w:pPr>
      <w:r>
        <w:rPr>
          <w:sz w:val="26"/>
          <w:szCs w:val="26"/>
        </w:rPr>
        <w:t>In its Replies to</w:t>
      </w:r>
      <w:r w:rsidR="001E37CB">
        <w:rPr>
          <w:sz w:val="26"/>
          <w:szCs w:val="26"/>
        </w:rPr>
        <w:t xml:space="preserve"> Exceptions, PECO addresses the </w:t>
      </w:r>
      <w:r w:rsidR="009A360E">
        <w:rPr>
          <w:sz w:val="26"/>
          <w:szCs w:val="26"/>
        </w:rPr>
        <w:t xml:space="preserve">various parts of the Initial Decision to which </w:t>
      </w:r>
      <w:r w:rsidR="00001E42">
        <w:rPr>
          <w:sz w:val="26"/>
          <w:szCs w:val="26"/>
        </w:rPr>
        <w:t>Mr. Baker</w:t>
      </w:r>
      <w:r w:rsidR="009A360E">
        <w:rPr>
          <w:sz w:val="26"/>
          <w:szCs w:val="26"/>
        </w:rPr>
        <w:t xml:space="preserve"> takes exception in his hand-written notes and categorically and specifically denies each of </w:t>
      </w:r>
      <w:r w:rsidR="00001E42">
        <w:rPr>
          <w:sz w:val="26"/>
          <w:szCs w:val="26"/>
        </w:rPr>
        <w:t>Mr. Baker</w:t>
      </w:r>
      <w:r w:rsidR="009A360E">
        <w:rPr>
          <w:sz w:val="26"/>
          <w:szCs w:val="26"/>
        </w:rPr>
        <w:t>’s Exceptions.</w:t>
      </w:r>
    </w:p>
    <w:p w14:paraId="02D38621" w14:textId="77777777" w:rsidR="0049276F" w:rsidRPr="00430CE5" w:rsidRDefault="0049276F" w:rsidP="00FC4BB5">
      <w:pPr>
        <w:widowControl/>
        <w:rPr>
          <w:sz w:val="26"/>
          <w:szCs w:val="26"/>
        </w:rPr>
      </w:pPr>
    </w:p>
    <w:p w14:paraId="07CD5FFB" w14:textId="1D4D4058" w:rsidR="00430CE5" w:rsidRPr="004949A8" w:rsidRDefault="004949A8" w:rsidP="00FC4BB5">
      <w:pPr>
        <w:pStyle w:val="ListParagraph"/>
        <w:keepNext/>
        <w:keepLines/>
        <w:widowControl/>
        <w:numPr>
          <w:ilvl w:val="0"/>
          <w:numId w:val="3"/>
        </w:numPr>
        <w:rPr>
          <w:b/>
          <w:sz w:val="26"/>
          <w:szCs w:val="26"/>
        </w:rPr>
      </w:pPr>
      <w:r>
        <w:rPr>
          <w:b/>
          <w:sz w:val="26"/>
          <w:szCs w:val="26"/>
        </w:rPr>
        <w:t xml:space="preserve">  </w:t>
      </w:r>
      <w:r w:rsidR="00430CE5" w:rsidRPr="004949A8">
        <w:rPr>
          <w:b/>
          <w:sz w:val="26"/>
          <w:szCs w:val="26"/>
        </w:rPr>
        <w:t>Disposition</w:t>
      </w:r>
    </w:p>
    <w:p w14:paraId="6CE7D84E" w14:textId="77777777" w:rsidR="00430CE5" w:rsidRPr="002A578E" w:rsidRDefault="00430CE5" w:rsidP="00FC4BB5">
      <w:pPr>
        <w:keepNext/>
        <w:keepLines/>
        <w:widowControl/>
        <w:spacing w:line="360" w:lineRule="auto"/>
        <w:ind w:firstLine="1440"/>
        <w:rPr>
          <w:sz w:val="26"/>
          <w:szCs w:val="26"/>
        </w:rPr>
      </w:pPr>
    </w:p>
    <w:p w14:paraId="063A4FD2" w14:textId="16B18F11" w:rsidR="00D131BC" w:rsidRDefault="00C153AD" w:rsidP="00FC4BB5">
      <w:pPr>
        <w:widowControl/>
        <w:spacing w:line="360" w:lineRule="auto"/>
        <w:ind w:firstLine="1440"/>
        <w:contextualSpacing/>
        <w:rPr>
          <w:sz w:val="26"/>
          <w:szCs w:val="26"/>
        </w:rPr>
      </w:pPr>
      <w:r>
        <w:rPr>
          <w:sz w:val="26"/>
          <w:szCs w:val="26"/>
        </w:rPr>
        <w:t>At the outset</w:t>
      </w:r>
      <w:r w:rsidR="00D131BC">
        <w:rPr>
          <w:sz w:val="26"/>
          <w:szCs w:val="26"/>
        </w:rPr>
        <w:t>,</w:t>
      </w:r>
      <w:r>
        <w:rPr>
          <w:sz w:val="26"/>
          <w:szCs w:val="26"/>
        </w:rPr>
        <w:t xml:space="preserve"> we acknowledge that</w:t>
      </w:r>
      <w:r w:rsidR="00D131BC">
        <w:rPr>
          <w:sz w:val="26"/>
          <w:szCs w:val="26"/>
        </w:rPr>
        <w:t xml:space="preserve"> t</w:t>
      </w:r>
      <w:r w:rsidR="00D131BC">
        <w:rPr>
          <w:color w:val="212121"/>
          <w:sz w:val="26"/>
          <w:szCs w:val="26"/>
        </w:rPr>
        <w:t xml:space="preserve">he Exceptions do not comply </w:t>
      </w:r>
      <w:r w:rsidR="00D131BC" w:rsidRPr="00C85906">
        <w:rPr>
          <w:color w:val="212121"/>
          <w:sz w:val="26"/>
          <w:szCs w:val="26"/>
        </w:rPr>
        <w:t>with the formatting requirements of Section 5.533(b) of our Regulations, whic</w:t>
      </w:r>
      <w:r w:rsidR="00D131BC">
        <w:rPr>
          <w:color w:val="212121"/>
          <w:sz w:val="26"/>
          <w:szCs w:val="26"/>
        </w:rPr>
        <w:t>h require</w:t>
      </w:r>
      <w:r w:rsidR="00D131BC" w:rsidRPr="00C85906">
        <w:rPr>
          <w:color w:val="212121"/>
          <w:sz w:val="26"/>
          <w:szCs w:val="26"/>
        </w:rPr>
        <w:t xml:space="preserve"> that each </w:t>
      </w:r>
      <w:r w:rsidR="00D131BC" w:rsidRPr="00C85906">
        <w:rPr>
          <w:bCs/>
          <w:color w:val="252525"/>
          <w:sz w:val="26"/>
          <w:szCs w:val="26"/>
        </w:rPr>
        <w:t>exception</w:t>
      </w:r>
      <w:r w:rsidR="00D131BC" w:rsidRPr="00C85906">
        <w:rPr>
          <w:color w:val="212121"/>
          <w:sz w:val="26"/>
          <w:szCs w:val="26"/>
        </w:rPr>
        <w:t xml:space="preserve"> be numbered and identify the finding of fact and conclusion of law to which </w:t>
      </w:r>
      <w:r w:rsidR="00D131BC" w:rsidRPr="00C85906">
        <w:rPr>
          <w:bCs/>
          <w:color w:val="252525"/>
          <w:sz w:val="26"/>
          <w:szCs w:val="26"/>
        </w:rPr>
        <w:t>exception</w:t>
      </w:r>
      <w:r w:rsidR="00D131BC" w:rsidRPr="00C85906">
        <w:rPr>
          <w:color w:val="212121"/>
          <w:sz w:val="26"/>
          <w:szCs w:val="26"/>
        </w:rPr>
        <w:t xml:space="preserve"> is taken, and cite to the relevant pages of the Initial Decision. </w:t>
      </w:r>
      <w:r w:rsidR="00D131BC">
        <w:rPr>
          <w:color w:val="212121"/>
          <w:sz w:val="26"/>
          <w:szCs w:val="26"/>
        </w:rPr>
        <w:t xml:space="preserve"> </w:t>
      </w:r>
      <w:r w:rsidR="00D131BC" w:rsidRPr="00C85906">
        <w:rPr>
          <w:sz w:val="26"/>
          <w:szCs w:val="26"/>
        </w:rPr>
        <w:t>52 Pa. Code §</w:t>
      </w:r>
      <w:r w:rsidR="005278CB">
        <w:rPr>
          <w:sz w:val="26"/>
          <w:szCs w:val="26"/>
        </w:rPr>
        <w:t> </w:t>
      </w:r>
      <w:r w:rsidR="00D131BC" w:rsidRPr="00C85906">
        <w:rPr>
          <w:sz w:val="26"/>
          <w:szCs w:val="26"/>
        </w:rPr>
        <w:t xml:space="preserve">5.533(b).  </w:t>
      </w:r>
      <w:r w:rsidR="00D131BC">
        <w:rPr>
          <w:sz w:val="26"/>
          <w:szCs w:val="26"/>
        </w:rPr>
        <w:t>According to Section 1.2 of our Regulations, we may, at any stage of an action or proceeding, disregard an error or defect of procedure which does not affect the substantive rights of the parties.  52 Pa. Code § 1.2.  Because PECO was provided a meaningful opportunity to respond to Mr. Baker’s Exceptions, however, we will disregard the defect in the format of the Complainant’s Exceptions.</w:t>
      </w:r>
    </w:p>
    <w:p w14:paraId="7DA5E6F9" w14:textId="2959EF50" w:rsidR="00C06E0E" w:rsidRDefault="00C06E0E" w:rsidP="00FC4BB5">
      <w:pPr>
        <w:widowControl/>
        <w:spacing w:line="360" w:lineRule="auto"/>
        <w:ind w:firstLine="1440"/>
        <w:contextualSpacing/>
        <w:rPr>
          <w:sz w:val="26"/>
          <w:szCs w:val="26"/>
        </w:rPr>
      </w:pPr>
      <w:r>
        <w:rPr>
          <w:sz w:val="26"/>
          <w:szCs w:val="26"/>
        </w:rPr>
        <w:lastRenderedPageBreak/>
        <w:t xml:space="preserve">As to the </w:t>
      </w:r>
      <w:r w:rsidR="00C3624E">
        <w:rPr>
          <w:sz w:val="26"/>
          <w:szCs w:val="26"/>
        </w:rPr>
        <w:t xml:space="preserve">Complainant’s </w:t>
      </w:r>
      <w:r>
        <w:rPr>
          <w:sz w:val="26"/>
          <w:szCs w:val="26"/>
        </w:rPr>
        <w:t>allegations in his Exceptions of bias in this proceeding, we find no merit or basis to the Complainant’s allegations based on our review of the record.  Accordingly, we will deny the Exceptions.</w:t>
      </w:r>
    </w:p>
    <w:p w14:paraId="4EA6F475" w14:textId="77777777" w:rsidR="00D131BC" w:rsidRDefault="00D131BC" w:rsidP="00FC4BB5">
      <w:pPr>
        <w:widowControl/>
        <w:spacing w:line="360" w:lineRule="auto"/>
        <w:ind w:firstLine="1440"/>
        <w:contextualSpacing/>
        <w:rPr>
          <w:sz w:val="26"/>
          <w:szCs w:val="26"/>
        </w:rPr>
      </w:pPr>
    </w:p>
    <w:p w14:paraId="2E8B1824" w14:textId="24B61F32" w:rsidR="00146B61" w:rsidRPr="005F558B" w:rsidRDefault="003F4D65" w:rsidP="00FC4BB5">
      <w:pPr>
        <w:widowControl/>
        <w:spacing w:line="360" w:lineRule="auto"/>
        <w:ind w:firstLine="1440"/>
        <w:contextualSpacing/>
        <w:rPr>
          <w:sz w:val="26"/>
          <w:szCs w:val="26"/>
        </w:rPr>
      </w:pPr>
      <w:r>
        <w:rPr>
          <w:sz w:val="26"/>
          <w:szCs w:val="26"/>
        </w:rPr>
        <w:t>Moreover, we recognize that t</w:t>
      </w:r>
      <w:r w:rsidR="00146B61">
        <w:rPr>
          <w:sz w:val="26"/>
          <w:szCs w:val="26"/>
        </w:rPr>
        <w:t>here appears to be two</w:t>
      </w:r>
      <w:r w:rsidR="00A93806">
        <w:rPr>
          <w:sz w:val="26"/>
          <w:szCs w:val="26"/>
        </w:rPr>
        <w:t xml:space="preserve"> main</w:t>
      </w:r>
      <w:r w:rsidR="00146B61">
        <w:rPr>
          <w:sz w:val="26"/>
          <w:szCs w:val="26"/>
        </w:rPr>
        <w:t xml:space="preserve"> claims set forth in the Complaint that are within our jurisdiction to hear and </w:t>
      </w:r>
      <w:r w:rsidR="00A93806">
        <w:rPr>
          <w:sz w:val="26"/>
          <w:szCs w:val="26"/>
        </w:rPr>
        <w:t>adjudicate</w:t>
      </w:r>
      <w:r w:rsidR="00146B61">
        <w:rPr>
          <w:sz w:val="26"/>
          <w:szCs w:val="26"/>
        </w:rPr>
        <w:t xml:space="preserve">.  The first claim is </w:t>
      </w:r>
      <w:r w:rsidR="00146B61" w:rsidRPr="005152AF">
        <w:rPr>
          <w:spacing w:val="-3"/>
          <w:sz w:val="26"/>
        </w:rPr>
        <w:t xml:space="preserve">of unsafe, unreasonable or inadequate service </w:t>
      </w:r>
      <w:r w:rsidR="00146B61">
        <w:rPr>
          <w:spacing w:val="-3"/>
          <w:sz w:val="26"/>
        </w:rPr>
        <w:t xml:space="preserve">by PECO </w:t>
      </w:r>
      <w:r w:rsidR="00146B61" w:rsidRPr="005152AF">
        <w:rPr>
          <w:spacing w:val="-3"/>
          <w:sz w:val="26"/>
        </w:rPr>
        <w:t xml:space="preserve">in response to the hot socket alarm that occurred at the property located at 2525 South Broad Street, </w:t>
      </w:r>
      <w:bookmarkStart w:id="0" w:name="_Hlk524688000"/>
      <w:r w:rsidR="00146B61" w:rsidRPr="005152AF">
        <w:rPr>
          <w:spacing w:val="-3"/>
          <w:sz w:val="26"/>
        </w:rPr>
        <w:t>Philadelphia, PA, 19148</w:t>
      </w:r>
      <w:r w:rsidR="00A93806">
        <w:rPr>
          <w:spacing w:val="-3"/>
          <w:sz w:val="26"/>
        </w:rPr>
        <w:t>,</w:t>
      </w:r>
      <w:r w:rsidR="00146B61" w:rsidRPr="005152AF">
        <w:rPr>
          <w:spacing w:val="-3"/>
          <w:sz w:val="26"/>
        </w:rPr>
        <w:t xml:space="preserve"> </w:t>
      </w:r>
      <w:bookmarkEnd w:id="0"/>
      <w:r w:rsidR="00146B61" w:rsidRPr="005152AF">
        <w:rPr>
          <w:spacing w:val="-3"/>
          <w:sz w:val="26"/>
        </w:rPr>
        <w:t>on May 24, 2016</w:t>
      </w:r>
      <w:r w:rsidR="00146B61">
        <w:rPr>
          <w:spacing w:val="-3"/>
          <w:sz w:val="26"/>
        </w:rPr>
        <w:t xml:space="preserve"> (first claim)</w:t>
      </w:r>
      <w:r w:rsidR="00146B61" w:rsidRPr="005152AF">
        <w:rPr>
          <w:spacing w:val="-3"/>
          <w:sz w:val="26"/>
        </w:rPr>
        <w:t>.</w:t>
      </w:r>
      <w:r w:rsidR="00146B61">
        <w:rPr>
          <w:spacing w:val="-3"/>
          <w:sz w:val="26"/>
        </w:rPr>
        <w:t xml:space="preserve">  The second claim is of unreasonable service by PECO due to the</w:t>
      </w:r>
      <w:r w:rsidR="00146B61" w:rsidRPr="005152AF">
        <w:rPr>
          <w:spacing w:val="-3"/>
          <w:sz w:val="26"/>
        </w:rPr>
        <w:t xml:space="preserve"> security deposit </w:t>
      </w:r>
      <w:r w:rsidR="00146B61">
        <w:rPr>
          <w:spacing w:val="-3"/>
          <w:sz w:val="26"/>
        </w:rPr>
        <w:t xml:space="preserve">required by PECO </w:t>
      </w:r>
      <w:r w:rsidR="00146B61" w:rsidRPr="005152AF">
        <w:rPr>
          <w:spacing w:val="-3"/>
          <w:sz w:val="26"/>
        </w:rPr>
        <w:t xml:space="preserve">on the commercial account </w:t>
      </w:r>
      <w:r w:rsidR="00146B61">
        <w:rPr>
          <w:spacing w:val="-3"/>
          <w:sz w:val="26"/>
        </w:rPr>
        <w:t>(second claim).</w:t>
      </w:r>
      <w:r w:rsidR="00146B61" w:rsidRPr="00524B5F">
        <w:rPr>
          <w:spacing w:val="-3"/>
          <w:sz w:val="26"/>
        </w:rPr>
        <w:t xml:space="preserve"> </w:t>
      </w:r>
      <w:r w:rsidR="00146B61">
        <w:rPr>
          <w:spacing w:val="-3"/>
          <w:sz w:val="26"/>
        </w:rPr>
        <w:t xml:space="preserve"> </w:t>
      </w:r>
    </w:p>
    <w:p w14:paraId="7B78C55A" w14:textId="77777777" w:rsidR="00D25186" w:rsidRDefault="00D25186" w:rsidP="00FC4BB5">
      <w:pPr>
        <w:widowControl/>
        <w:spacing w:line="360" w:lineRule="auto"/>
        <w:ind w:firstLine="1440"/>
        <w:contextualSpacing/>
        <w:rPr>
          <w:sz w:val="26"/>
          <w:szCs w:val="26"/>
        </w:rPr>
      </w:pPr>
    </w:p>
    <w:p w14:paraId="3CB331A9" w14:textId="7F94C16D" w:rsidR="00E05EAF" w:rsidRPr="00E05EAF" w:rsidRDefault="00A93806" w:rsidP="00FC4BB5">
      <w:pPr>
        <w:widowControl/>
        <w:spacing w:line="360" w:lineRule="auto"/>
        <w:ind w:firstLine="1440"/>
        <w:contextualSpacing/>
        <w:rPr>
          <w:spacing w:val="-3"/>
          <w:sz w:val="26"/>
        </w:rPr>
      </w:pPr>
      <w:r>
        <w:rPr>
          <w:spacing w:val="-3"/>
          <w:sz w:val="26"/>
        </w:rPr>
        <w:t>With respect to th</w:t>
      </w:r>
      <w:r w:rsidR="00C3624E">
        <w:rPr>
          <w:spacing w:val="-3"/>
          <w:sz w:val="26"/>
        </w:rPr>
        <w:t>e</w:t>
      </w:r>
      <w:r>
        <w:rPr>
          <w:spacing w:val="-3"/>
          <w:sz w:val="26"/>
        </w:rPr>
        <w:t xml:space="preserve"> first claim, u</w:t>
      </w:r>
      <w:r w:rsidR="00146B61">
        <w:rPr>
          <w:spacing w:val="-3"/>
          <w:sz w:val="26"/>
        </w:rPr>
        <w:t>pon</w:t>
      </w:r>
      <w:r w:rsidR="00B23D76">
        <w:rPr>
          <w:sz w:val="26"/>
          <w:szCs w:val="26"/>
        </w:rPr>
        <w:t xml:space="preserve"> considering the Exceptions,</w:t>
      </w:r>
      <w:r w:rsidR="00E05EAF" w:rsidRPr="00E05EAF">
        <w:rPr>
          <w:sz w:val="26"/>
          <w:szCs w:val="26"/>
        </w:rPr>
        <w:t xml:space="preserve"> PECO’s Replies</w:t>
      </w:r>
      <w:r w:rsidR="009C0224">
        <w:rPr>
          <w:sz w:val="26"/>
          <w:szCs w:val="26"/>
        </w:rPr>
        <w:t xml:space="preserve"> to Exceptions</w:t>
      </w:r>
      <w:r w:rsidR="00E05EAF" w:rsidRPr="00E05EAF">
        <w:rPr>
          <w:sz w:val="26"/>
          <w:szCs w:val="26"/>
        </w:rPr>
        <w:t xml:space="preserve">, </w:t>
      </w:r>
      <w:r w:rsidR="00E05EAF" w:rsidRPr="00E05EAF">
        <w:rPr>
          <w:spacing w:val="-3"/>
          <w:sz w:val="26"/>
        </w:rPr>
        <w:t>the Initial Decision and the</w:t>
      </w:r>
      <w:r w:rsidR="00B23D76">
        <w:rPr>
          <w:spacing w:val="-3"/>
          <w:sz w:val="26"/>
        </w:rPr>
        <w:t xml:space="preserve"> entire</w:t>
      </w:r>
      <w:r w:rsidR="00E05EAF" w:rsidRPr="00E05EAF">
        <w:rPr>
          <w:spacing w:val="-3"/>
          <w:sz w:val="26"/>
        </w:rPr>
        <w:t xml:space="preserve"> record, we </w:t>
      </w:r>
      <w:r w:rsidR="009C0224">
        <w:rPr>
          <w:spacing w:val="-3"/>
          <w:sz w:val="26"/>
        </w:rPr>
        <w:t>concur with</w:t>
      </w:r>
      <w:r w:rsidR="00E05EAF" w:rsidRPr="00E05EAF">
        <w:rPr>
          <w:spacing w:val="-3"/>
          <w:sz w:val="26"/>
        </w:rPr>
        <w:t xml:space="preserve"> A</w:t>
      </w:r>
      <w:r w:rsidR="009965BC">
        <w:rPr>
          <w:spacing w:val="-3"/>
          <w:sz w:val="26"/>
        </w:rPr>
        <w:t>LJ Pell’s conclusion that</w:t>
      </w:r>
      <w:r>
        <w:rPr>
          <w:spacing w:val="-3"/>
          <w:sz w:val="26"/>
        </w:rPr>
        <w:t xml:space="preserve"> Mr. Baker failed </w:t>
      </w:r>
      <w:r w:rsidRPr="00EE5899">
        <w:rPr>
          <w:spacing w:val="-3"/>
          <w:sz w:val="26"/>
          <w:szCs w:val="26"/>
        </w:rPr>
        <w:t xml:space="preserve">to carry his burden of proof </w:t>
      </w:r>
      <w:r w:rsidR="003F4D65" w:rsidRPr="00EE5899">
        <w:rPr>
          <w:spacing w:val="-3"/>
          <w:sz w:val="26"/>
          <w:szCs w:val="26"/>
        </w:rPr>
        <w:t>to show</w:t>
      </w:r>
      <w:r w:rsidR="00E05EAF" w:rsidRPr="00EE5899">
        <w:rPr>
          <w:spacing w:val="-3"/>
          <w:sz w:val="26"/>
          <w:szCs w:val="26"/>
        </w:rPr>
        <w:t xml:space="preserve"> that </w:t>
      </w:r>
      <w:r w:rsidR="00EE5899" w:rsidRPr="00EE5899">
        <w:rPr>
          <w:sz w:val="26"/>
          <w:szCs w:val="26"/>
        </w:rPr>
        <w:t xml:space="preserve">PECO provided unsafe, unreasonable, or inadequate service in response to a hot socket </w:t>
      </w:r>
      <w:r w:rsidR="0080275D">
        <w:rPr>
          <w:sz w:val="26"/>
          <w:szCs w:val="26"/>
        </w:rPr>
        <w:t xml:space="preserve">meter </w:t>
      </w:r>
      <w:r w:rsidR="00EE5899" w:rsidRPr="00EE5899">
        <w:rPr>
          <w:sz w:val="26"/>
          <w:szCs w:val="26"/>
        </w:rPr>
        <w:t>alarm that occurred at the service location</w:t>
      </w:r>
      <w:r w:rsidR="00B23D76" w:rsidRPr="00EE5899">
        <w:rPr>
          <w:sz w:val="26"/>
          <w:szCs w:val="26"/>
        </w:rPr>
        <w:t xml:space="preserve"> at</w:t>
      </w:r>
      <w:r w:rsidR="00E05EAF" w:rsidRPr="00EE5899">
        <w:rPr>
          <w:sz w:val="26"/>
          <w:szCs w:val="26"/>
        </w:rPr>
        <w:t xml:space="preserve"> 2525 South Broad Street, Philadelphia</w:t>
      </w:r>
      <w:r w:rsidR="00E05EAF" w:rsidRPr="00E05EAF">
        <w:rPr>
          <w:sz w:val="26"/>
          <w:szCs w:val="26"/>
        </w:rPr>
        <w:t xml:space="preserve">, PA, </w:t>
      </w:r>
      <w:r w:rsidR="00E05EAF" w:rsidRPr="00E05EAF">
        <w:rPr>
          <w:spacing w:val="-3"/>
          <w:sz w:val="26"/>
        </w:rPr>
        <w:t>19148</w:t>
      </w:r>
      <w:r w:rsidR="00C3624E">
        <w:rPr>
          <w:spacing w:val="-3"/>
          <w:sz w:val="26"/>
        </w:rPr>
        <w:t>, when it responded to the alarm that occurred on May 24, 2016 and during the events that followed the next day</w:t>
      </w:r>
      <w:r w:rsidR="00B9061B">
        <w:rPr>
          <w:spacing w:val="-3"/>
          <w:sz w:val="26"/>
        </w:rPr>
        <w:t>.</w:t>
      </w:r>
      <w:r w:rsidR="00E05EAF" w:rsidRPr="00E05EAF">
        <w:rPr>
          <w:spacing w:val="-3"/>
          <w:sz w:val="26"/>
        </w:rPr>
        <w:t xml:space="preserve"> </w:t>
      </w:r>
      <w:r w:rsidR="001A42E1">
        <w:rPr>
          <w:spacing w:val="-3"/>
          <w:sz w:val="26"/>
        </w:rPr>
        <w:t xml:space="preserve"> </w:t>
      </w:r>
      <w:r>
        <w:rPr>
          <w:spacing w:val="-3"/>
          <w:sz w:val="26"/>
        </w:rPr>
        <w:t>Addit</w:t>
      </w:r>
      <w:r w:rsidR="00C3624E">
        <w:rPr>
          <w:spacing w:val="-3"/>
          <w:sz w:val="26"/>
        </w:rPr>
        <w:t>i</w:t>
      </w:r>
      <w:r>
        <w:rPr>
          <w:spacing w:val="-3"/>
          <w:sz w:val="26"/>
        </w:rPr>
        <w:t>onally,</w:t>
      </w:r>
      <w:r w:rsidR="001A42E1">
        <w:rPr>
          <w:spacing w:val="-3"/>
          <w:sz w:val="26"/>
        </w:rPr>
        <w:t xml:space="preserve"> upon</w:t>
      </w:r>
      <w:r w:rsidR="001A42E1">
        <w:rPr>
          <w:sz w:val="26"/>
          <w:szCs w:val="26"/>
        </w:rPr>
        <w:t xml:space="preserve"> review of the </w:t>
      </w:r>
      <w:r w:rsidR="0080275D">
        <w:rPr>
          <w:sz w:val="26"/>
          <w:szCs w:val="26"/>
        </w:rPr>
        <w:t xml:space="preserve">record </w:t>
      </w:r>
      <w:r w:rsidR="00B23D76">
        <w:rPr>
          <w:sz w:val="26"/>
          <w:szCs w:val="26"/>
        </w:rPr>
        <w:t>evidence</w:t>
      </w:r>
      <w:r w:rsidR="001A42E1">
        <w:rPr>
          <w:sz w:val="26"/>
          <w:szCs w:val="26"/>
        </w:rPr>
        <w:t xml:space="preserve">, we affirm the ALJ’s conclusion that PECO’s personnel acted appropriately in the circumstances with respect to the hot socket meter alarm at the </w:t>
      </w:r>
      <w:r w:rsidR="00B23D76">
        <w:rPr>
          <w:sz w:val="26"/>
          <w:szCs w:val="26"/>
        </w:rPr>
        <w:t>property</w:t>
      </w:r>
      <w:r w:rsidR="001A42E1">
        <w:rPr>
          <w:sz w:val="26"/>
          <w:szCs w:val="26"/>
        </w:rPr>
        <w:t>.  I.D. at 12.</w:t>
      </w:r>
      <w:r w:rsidR="00C3624E">
        <w:rPr>
          <w:sz w:val="26"/>
          <w:szCs w:val="26"/>
        </w:rPr>
        <w:t xml:space="preserve">  Accordingly, we dismiss the first claim in the Complaint.</w:t>
      </w:r>
    </w:p>
    <w:p w14:paraId="4184E567" w14:textId="77777777" w:rsidR="00E05EAF" w:rsidRPr="00E05EAF" w:rsidRDefault="00E05EAF" w:rsidP="00FC4BB5">
      <w:pPr>
        <w:widowControl/>
        <w:spacing w:line="360" w:lineRule="auto"/>
        <w:ind w:firstLine="1440"/>
        <w:contextualSpacing/>
        <w:rPr>
          <w:spacing w:val="-3"/>
          <w:sz w:val="26"/>
        </w:rPr>
      </w:pPr>
    </w:p>
    <w:p w14:paraId="019DD832" w14:textId="7BE0DB95" w:rsidR="00951BD2" w:rsidRDefault="00D82ED6" w:rsidP="00FC4BB5">
      <w:pPr>
        <w:widowControl/>
        <w:spacing w:line="360" w:lineRule="auto"/>
        <w:ind w:firstLine="1440"/>
        <w:contextualSpacing/>
        <w:rPr>
          <w:sz w:val="26"/>
          <w:szCs w:val="26"/>
        </w:rPr>
      </w:pPr>
      <w:r>
        <w:rPr>
          <w:spacing w:val="-3"/>
          <w:sz w:val="26"/>
        </w:rPr>
        <w:t>A</w:t>
      </w:r>
      <w:r w:rsidR="00146B61">
        <w:rPr>
          <w:spacing w:val="-3"/>
          <w:sz w:val="26"/>
        </w:rPr>
        <w:t xml:space="preserve">s to </w:t>
      </w:r>
      <w:r w:rsidR="00B23D76">
        <w:rPr>
          <w:spacing w:val="-3"/>
          <w:sz w:val="26"/>
        </w:rPr>
        <w:t xml:space="preserve">Mr. Baker’s </w:t>
      </w:r>
      <w:r w:rsidR="00146B61">
        <w:rPr>
          <w:spacing w:val="-3"/>
          <w:sz w:val="26"/>
        </w:rPr>
        <w:t xml:space="preserve">second claim of unreasonable service by PECO </w:t>
      </w:r>
      <w:r w:rsidR="00C3624E">
        <w:rPr>
          <w:spacing w:val="-3"/>
          <w:sz w:val="26"/>
        </w:rPr>
        <w:t>related</w:t>
      </w:r>
      <w:r w:rsidR="00146B61">
        <w:rPr>
          <w:spacing w:val="-3"/>
          <w:sz w:val="26"/>
        </w:rPr>
        <w:t xml:space="preserve"> to the</w:t>
      </w:r>
      <w:r w:rsidR="003F4D65">
        <w:rPr>
          <w:spacing w:val="-3"/>
          <w:sz w:val="26"/>
        </w:rPr>
        <w:t xml:space="preserve"> </w:t>
      </w:r>
      <w:r w:rsidR="00951BD2">
        <w:rPr>
          <w:spacing w:val="-3"/>
          <w:sz w:val="26"/>
        </w:rPr>
        <w:t xml:space="preserve">$2,500 </w:t>
      </w:r>
      <w:r w:rsidR="003F4D65">
        <w:rPr>
          <w:spacing w:val="-3"/>
          <w:sz w:val="26"/>
        </w:rPr>
        <w:t>security deposit, i</w:t>
      </w:r>
      <w:r w:rsidR="00146B61">
        <w:rPr>
          <w:spacing w:val="-3"/>
          <w:sz w:val="26"/>
        </w:rPr>
        <w:t xml:space="preserve">n his Complaint, Mr. Baker </w:t>
      </w:r>
      <w:r w:rsidR="00B23D76">
        <w:rPr>
          <w:sz w:val="26"/>
          <w:szCs w:val="26"/>
        </w:rPr>
        <w:t>stated that “[After the incident</w:t>
      </w:r>
      <w:r w:rsidR="00470C67">
        <w:rPr>
          <w:sz w:val="26"/>
          <w:szCs w:val="26"/>
        </w:rPr>
        <w:t xml:space="preserve"> with the hot socket meter alarm</w:t>
      </w:r>
      <w:r w:rsidR="00B23D76">
        <w:rPr>
          <w:sz w:val="26"/>
          <w:szCs w:val="26"/>
        </w:rPr>
        <w:t xml:space="preserve">,] [b]usiness was so bad that I could not keep up with my bills including PECO.  So now PECO is asking for a deposit of about [$]2500.00.”  Complaint Attachment at 2.  He </w:t>
      </w:r>
      <w:r w:rsidR="00146B61">
        <w:rPr>
          <w:spacing w:val="-3"/>
          <w:sz w:val="26"/>
        </w:rPr>
        <w:t>requested the following relief</w:t>
      </w:r>
      <w:r w:rsidR="00146B61">
        <w:rPr>
          <w:sz w:val="26"/>
          <w:szCs w:val="26"/>
        </w:rPr>
        <w:t xml:space="preserve">: “I would like to be </w:t>
      </w:r>
      <w:r w:rsidR="00146B61">
        <w:rPr>
          <w:sz w:val="26"/>
          <w:szCs w:val="26"/>
        </w:rPr>
        <w:lastRenderedPageBreak/>
        <w:t xml:space="preserve">compensated for my </w:t>
      </w:r>
      <w:r w:rsidR="00146B61" w:rsidRPr="00420886">
        <w:rPr>
          <w:i/>
          <w:sz w:val="26"/>
          <w:szCs w:val="26"/>
        </w:rPr>
        <w:t>lost business</w:t>
      </w:r>
      <w:r w:rsidR="001829CD" w:rsidRPr="00420886">
        <w:rPr>
          <w:rStyle w:val="FootnoteReference"/>
          <w:sz w:val="26"/>
          <w:szCs w:val="26"/>
        </w:rPr>
        <w:footnoteReference w:id="2"/>
      </w:r>
      <w:r w:rsidR="00146B61" w:rsidRPr="00C153AD">
        <w:rPr>
          <w:sz w:val="26"/>
          <w:szCs w:val="26"/>
        </w:rPr>
        <w:t xml:space="preserve"> and have the deposit requirement removed.</w:t>
      </w:r>
      <w:r w:rsidR="00146B61">
        <w:rPr>
          <w:sz w:val="26"/>
          <w:szCs w:val="26"/>
        </w:rPr>
        <w:t xml:space="preserve"> </w:t>
      </w:r>
      <w:r w:rsidR="00CF4C24">
        <w:rPr>
          <w:sz w:val="26"/>
          <w:szCs w:val="26"/>
        </w:rPr>
        <w:t xml:space="preserve"> </w:t>
      </w:r>
      <w:r w:rsidR="00146B61">
        <w:rPr>
          <w:sz w:val="26"/>
          <w:szCs w:val="26"/>
        </w:rPr>
        <w:t xml:space="preserve">Also I would like a letter stating that there was never any danger of a fire.  I would like to post that letter on social media and in my salon.” </w:t>
      </w:r>
      <w:r w:rsidR="00DC2A6E">
        <w:rPr>
          <w:sz w:val="26"/>
          <w:szCs w:val="26"/>
        </w:rPr>
        <w:t xml:space="preserve"> </w:t>
      </w:r>
      <w:r w:rsidR="00146B61">
        <w:rPr>
          <w:sz w:val="26"/>
          <w:szCs w:val="26"/>
        </w:rPr>
        <w:t>Complaint at ¶ 5 (emphasis in original).</w:t>
      </w:r>
    </w:p>
    <w:p w14:paraId="5A75ECA5" w14:textId="77777777" w:rsidR="00951BD2" w:rsidRDefault="00951BD2" w:rsidP="00FC4BB5">
      <w:pPr>
        <w:widowControl/>
        <w:spacing w:line="360" w:lineRule="auto"/>
        <w:ind w:firstLine="1440"/>
        <w:contextualSpacing/>
        <w:rPr>
          <w:sz w:val="26"/>
          <w:szCs w:val="26"/>
        </w:rPr>
      </w:pPr>
    </w:p>
    <w:p w14:paraId="42A1267B" w14:textId="5F1AEBA1" w:rsidR="00B23D76" w:rsidRPr="00A93806" w:rsidRDefault="00C3624E" w:rsidP="00FC4BB5">
      <w:pPr>
        <w:widowControl/>
        <w:spacing w:line="360" w:lineRule="auto"/>
        <w:ind w:firstLine="1440"/>
        <w:rPr>
          <w:sz w:val="26"/>
          <w:szCs w:val="26"/>
        </w:rPr>
      </w:pPr>
      <w:bookmarkStart w:id="1" w:name="_Hlk524620045"/>
      <w:r>
        <w:rPr>
          <w:sz w:val="26"/>
          <w:szCs w:val="26"/>
        </w:rPr>
        <w:t>In reviewing</w:t>
      </w:r>
      <w:r w:rsidRPr="003F4D65">
        <w:rPr>
          <w:sz w:val="26"/>
          <w:szCs w:val="26"/>
        </w:rPr>
        <w:t xml:space="preserve"> Mr. Baker’s second claim</w:t>
      </w:r>
      <w:r w:rsidR="00646D89" w:rsidRPr="003F4D65">
        <w:rPr>
          <w:sz w:val="26"/>
          <w:szCs w:val="26"/>
        </w:rPr>
        <w:t xml:space="preserve"> on the merits</w:t>
      </w:r>
      <w:r w:rsidRPr="003F4D65">
        <w:rPr>
          <w:sz w:val="26"/>
          <w:szCs w:val="26"/>
        </w:rPr>
        <w:t>,</w:t>
      </w:r>
      <w:r w:rsidR="00646D89" w:rsidRPr="003F4D65">
        <w:rPr>
          <w:sz w:val="26"/>
          <w:szCs w:val="26"/>
        </w:rPr>
        <w:t xml:space="preserve"> </w:t>
      </w:r>
      <w:r w:rsidR="003F4D65" w:rsidRPr="003F4D65">
        <w:rPr>
          <w:sz w:val="26"/>
          <w:szCs w:val="26"/>
        </w:rPr>
        <w:t xml:space="preserve">the Complainant also did not meet his burden of proof that the $2,500 security deposit required by PECO constitutes unreasonable service.  </w:t>
      </w:r>
      <w:r w:rsidR="00646D89">
        <w:rPr>
          <w:sz w:val="26"/>
          <w:szCs w:val="26"/>
        </w:rPr>
        <w:t>Mr. Baker</w:t>
      </w:r>
      <w:r>
        <w:rPr>
          <w:sz w:val="26"/>
          <w:szCs w:val="26"/>
        </w:rPr>
        <w:t xml:space="preserve"> argues that the security deposit required by PECO constitutes unreasonable service because </w:t>
      </w:r>
      <w:r w:rsidR="00B9061B">
        <w:rPr>
          <w:sz w:val="26"/>
          <w:szCs w:val="26"/>
        </w:rPr>
        <w:t>his failure to pay his electric bills</w:t>
      </w:r>
      <w:r>
        <w:rPr>
          <w:sz w:val="26"/>
          <w:szCs w:val="26"/>
        </w:rPr>
        <w:t xml:space="preserve"> was caused by PECO’s </w:t>
      </w:r>
      <w:r w:rsidR="00951BD2">
        <w:rPr>
          <w:sz w:val="26"/>
          <w:szCs w:val="26"/>
        </w:rPr>
        <w:t>unreasonable</w:t>
      </w:r>
      <w:r>
        <w:rPr>
          <w:sz w:val="26"/>
          <w:szCs w:val="26"/>
        </w:rPr>
        <w:t xml:space="preserve"> service </w:t>
      </w:r>
      <w:r w:rsidR="003F4D65">
        <w:rPr>
          <w:sz w:val="26"/>
          <w:szCs w:val="26"/>
        </w:rPr>
        <w:t>in response</w:t>
      </w:r>
      <w:r>
        <w:rPr>
          <w:sz w:val="26"/>
          <w:szCs w:val="26"/>
        </w:rPr>
        <w:t xml:space="preserve"> to the hot socket meter alarm.  However, as discussed above, we concluded that PECO’s response to the hot socket meter alarm </w:t>
      </w:r>
      <w:r w:rsidR="003F4D65">
        <w:rPr>
          <w:sz w:val="26"/>
          <w:szCs w:val="26"/>
        </w:rPr>
        <w:t>was</w:t>
      </w:r>
      <w:r w:rsidR="00951BD2">
        <w:rPr>
          <w:sz w:val="26"/>
          <w:szCs w:val="26"/>
        </w:rPr>
        <w:t xml:space="preserve"> </w:t>
      </w:r>
      <w:r w:rsidR="003F4D65">
        <w:rPr>
          <w:sz w:val="26"/>
          <w:szCs w:val="26"/>
        </w:rPr>
        <w:t>reasonable</w:t>
      </w:r>
      <w:r>
        <w:rPr>
          <w:sz w:val="26"/>
          <w:szCs w:val="26"/>
        </w:rPr>
        <w:t>.</w:t>
      </w:r>
      <w:bookmarkEnd w:id="1"/>
    </w:p>
    <w:p w14:paraId="43FB8CE7" w14:textId="129276FC" w:rsidR="00C3624E" w:rsidRDefault="00C3624E" w:rsidP="00FC4BB5">
      <w:pPr>
        <w:widowControl/>
        <w:spacing w:line="360" w:lineRule="auto"/>
        <w:contextualSpacing/>
        <w:rPr>
          <w:sz w:val="26"/>
          <w:szCs w:val="26"/>
        </w:rPr>
      </w:pPr>
    </w:p>
    <w:p w14:paraId="76910649" w14:textId="77777777" w:rsidR="009B3B8E" w:rsidRPr="009B3B8E" w:rsidRDefault="009B3B8E" w:rsidP="00FC4BB5">
      <w:pPr>
        <w:pStyle w:val="ListParagraph"/>
        <w:keepNext/>
        <w:keepLines/>
        <w:widowControl/>
        <w:numPr>
          <w:ilvl w:val="0"/>
          <w:numId w:val="2"/>
        </w:numPr>
        <w:spacing w:line="360" w:lineRule="auto"/>
        <w:contextualSpacing w:val="0"/>
        <w:jc w:val="center"/>
        <w:rPr>
          <w:b/>
          <w:sz w:val="26"/>
          <w:szCs w:val="26"/>
        </w:rPr>
      </w:pPr>
      <w:r w:rsidRPr="009B3B8E">
        <w:rPr>
          <w:b/>
          <w:sz w:val="26"/>
          <w:szCs w:val="26"/>
        </w:rPr>
        <w:t>Conclusion</w:t>
      </w:r>
    </w:p>
    <w:p w14:paraId="34AB1043" w14:textId="77777777" w:rsidR="009B3B8E" w:rsidRDefault="009B3B8E" w:rsidP="00FC4BB5">
      <w:pPr>
        <w:keepNext/>
        <w:keepLines/>
        <w:widowControl/>
        <w:spacing w:line="360" w:lineRule="auto"/>
        <w:rPr>
          <w:sz w:val="26"/>
          <w:szCs w:val="26"/>
        </w:rPr>
      </w:pPr>
    </w:p>
    <w:p w14:paraId="219BB83A" w14:textId="29AF5F96" w:rsidR="009B3B8E" w:rsidRDefault="009B3B8E" w:rsidP="00FC4BB5">
      <w:pPr>
        <w:widowControl/>
        <w:spacing w:line="360" w:lineRule="auto"/>
        <w:ind w:firstLine="1440"/>
        <w:rPr>
          <w:b/>
          <w:sz w:val="26"/>
          <w:szCs w:val="26"/>
        </w:rPr>
      </w:pPr>
      <w:r>
        <w:rPr>
          <w:sz w:val="26"/>
          <w:szCs w:val="26"/>
        </w:rPr>
        <w:t xml:space="preserve">Based on the foregoing discussion, we shall </w:t>
      </w:r>
      <w:r w:rsidR="00E535F3">
        <w:rPr>
          <w:sz w:val="26"/>
          <w:szCs w:val="26"/>
        </w:rPr>
        <w:t>deny</w:t>
      </w:r>
      <w:r>
        <w:rPr>
          <w:sz w:val="26"/>
          <w:szCs w:val="26"/>
        </w:rPr>
        <w:t xml:space="preserve"> the</w:t>
      </w:r>
      <w:r w:rsidR="00E51235">
        <w:rPr>
          <w:sz w:val="26"/>
          <w:szCs w:val="26"/>
        </w:rPr>
        <w:t xml:space="preserve"> Complainant’s</w:t>
      </w:r>
      <w:r>
        <w:rPr>
          <w:sz w:val="26"/>
          <w:szCs w:val="26"/>
        </w:rPr>
        <w:t xml:space="preserve"> </w:t>
      </w:r>
      <w:r w:rsidR="00DC6BA3">
        <w:rPr>
          <w:sz w:val="26"/>
          <w:szCs w:val="26"/>
        </w:rPr>
        <w:t>Exceptions</w:t>
      </w:r>
      <w:r w:rsidR="00C3624E">
        <w:rPr>
          <w:sz w:val="26"/>
          <w:szCs w:val="26"/>
        </w:rPr>
        <w:t>, modify the Initial Decision consistent with this Opinion and Order,</w:t>
      </w:r>
      <w:r w:rsidR="00086924">
        <w:rPr>
          <w:sz w:val="26"/>
          <w:szCs w:val="26"/>
        </w:rPr>
        <w:t xml:space="preserve"> </w:t>
      </w:r>
      <w:r w:rsidR="00E535F3">
        <w:rPr>
          <w:sz w:val="26"/>
          <w:szCs w:val="26"/>
        </w:rPr>
        <w:t>and dismiss the Complaint</w:t>
      </w:r>
      <w:r>
        <w:rPr>
          <w:sz w:val="26"/>
          <w:szCs w:val="26"/>
        </w:rPr>
        <w:t xml:space="preserve">; </w:t>
      </w:r>
      <w:r>
        <w:rPr>
          <w:b/>
          <w:sz w:val="26"/>
          <w:szCs w:val="26"/>
        </w:rPr>
        <w:t>THEREFORE,</w:t>
      </w:r>
    </w:p>
    <w:p w14:paraId="243008F2" w14:textId="77777777" w:rsidR="00CB7B52" w:rsidRDefault="00CB7B52" w:rsidP="00FC4BB5">
      <w:pPr>
        <w:widowControl/>
        <w:spacing w:line="360" w:lineRule="auto"/>
        <w:ind w:firstLine="1440"/>
        <w:rPr>
          <w:sz w:val="26"/>
          <w:szCs w:val="26"/>
        </w:rPr>
      </w:pPr>
    </w:p>
    <w:p w14:paraId="44475116" w14:textId="77777777" w:rsidR="009B3B8E" w:rsidRDefault="009B3B8E" w:rsidP="00FC4BB5">
      <w:pPr>
        <w:keepNext/>
        <w:keepLines/>
        <w:widowControl/>
        <w:spacing w:line="360" w:lineRule="auto"/>
        <w:rPr>
          <w:b/>
          <w:sz w:val="26"/>
          <w:szCs w:val="26"/>
        </w:rPr>
      </w:pPr>
      <w:r>
        <w:rPr>
          <w:b/>
          <w:sz w:val="26"/>
          <w:szCs w:val="26"/>
        </w:rPr>
        <w:tab/>
      </w:r>
      <w:r>
        <w:rPr>
          <w:b/>
          <w:sz w:val="26"/>
          <w:szCs w:val="26"/>
        </w:rPr>
        <w:tab/>
        <w:t>IT IS ORDERED:</w:t>
      </w:r>
    </w:p>
    <w:p w14:paraId="7EFE9B85" w14:textId="77777777" w:rsidR="009B3B8E" w:rsidRDefault="009B3B8E" w:rsidP="00FC4BB5">
      <w:pPr>
        <w:keepNext/>
        <w:keepLines/>
        <w:widowControl/>
        <w:spacing w:line="360" w:lineRule="auto"/>
        <w:rPr>
          <w:sz w:val="26"/>
          <w:szCs w:val="26"/>
        </w:rPr>
      </w:pPr>
    </w:p>
    <w:p w14:paraId="08A1380D" w14:textId="7CCC2DD1" w:rsidR="009B3B8E" w:rsidRDefault="009B3B8E" w:rsidP="00FC4BB5">
      <w:pPr>
        <w:widowControl/>
        <w:numPr>
          <w:ilvl w:val="0"/>
          <w:numId w:val="5"/>
        </w:numPr>
        <w:tabs>
          <w:tab w:val="num" w:pos="0"/>
        </w:tabs>
        <w:spacing w:line="360" w:lineRule="auto"/>
        <w:ind w:left="0" w:firstLine="1440"/>
        <w:rPr>
          <w:sz w:val="26"/>
          <w:szCs w:val="26"/>
        </w:rPr>
      </w:pPr>
      <w:r>
        <w:rPr>
          <w:sz w:val="26"/>
          <w:szCs w:val="26"/>
        </w:rPr>
        <w:t xml:space="preserve">That the </w:t>
      </w:r>
      <w:r w:rsidR="00747476">
        <w:rPr>
          <w:sz w:val="26"/>
          <w:szCs w:val="26"/>
        </w:rPr>
        <w:t xml:space="preserve">Exceptions </w:t>
      </w:r>
      <w:r w:rsidR="00CF00E9">
        <w:rPr>
          <w:sz w:val="26"/>
          <w:szCs w:val="26"/>
        </w:rPr>
        <w:t xml:space="preserve">filed by </w:t>
      </w:r>
      <w:r w:rsidR="00E535F3">
        <w:rPr>
          <w:sz w:val="26"/>
          <w:szCs w:val="26"/>
        </w:rPr>
        <w:t>Thomas Baker</w:t>
      </w:r>
      <w:r w:rsidR="00747476">
        <w:rPr>
          <w:sz w:val="26"/>
        </w:rPr>
        <w:t xml:space="preserve"> </w:t>
      </w:r>
      <w:r>
        <w:rPr>
          <w:sz w:val="26"/>
        </w:rPr>
        <w:t xml:space="preserve">on </w:t>
      </w:r>
      <w:r w:rsidR="00E535F3">
        <w:rPr>
          <w:sz w:val="26"/>
        </w:rPr>
        <w:t>October 10</w:t>
      </w:r>
      <w:r>
        <w:rPr>
          <w:sz w:val="26"/>
        </w:rPr>
        <w:t xml:space="preserve">, 2017, </w:t>
      </w:r>
      <w:r w:rsidR="00DC2A6E">
        <w:rPr>
          <w:sz w:val="26"/>
        </w:rPr>
        <w:t>at</w:t>
      </w:r>
      <w:r w:rsidR="00747476">
        <w:rPr>
          <w:sz w:val="26"/>
        </w:rPr>
        <w:t xml:space="preserve"> </w:t>
      </w:r>
      <w:r w:rsidR="004365AD">
        <w:rPr>
          <w:sz w:val="26"/>
          <w:szCs w:val="26"/>
        </w:rPr>
        <w:t>Docket No. C-2016-2573166</w:t>
      </w:r>
      <w:r w:rsidR="00747476">
        <w:rPr>
          <w:sz w:val="26"/>
        </w:rPr>
        <w:t xml:space="preserve">, are </w:t>
      </w:r>
      <w:r w:rsidR="00E535F3">
        <w:rPr>
          <w:sz w:val="26"/>
        </w:rPr>
        <w:t>denied.</w:t>
      </w:r>
    </w:p>
    <w:p w14:paraId="2BF01295" w14:textId="77777777" w:rsidR="009B3B8E" w:rsidRDefault="009B3B8E" w:rsidP="00FC4BB5">
      <w:pPr>
        <w:keepLines/>
        <w:widowControl/>
        <w:spacing w:line="360" w:lineRule="auto"/>
        <w:ind w:left="1440"/>
        <w:rPr>
          <w:sz w:val="26"/>
          <w:szCs w:val="26"/>
        </w:rPr>
      </w:pPr>
    </w:p>
    <w:p w14:paraId="199341C0" w14:textId="669162BF" w:rsidR="007646BC" w:rsidRDefault="007646BC" w:rsidP="00FC4BB5">
      <w:pPr>
        <w:keepLines/>
        <w:widowControl/>
        <w:numPr>
          <w:ilvl w:val="0"/>
          <w:numId w:val="5"/>
        </w:numPr>
        <w:tabs>
          <w:tab w:val="num" w:pos="0"/>
        </w:tabs>
        <w:spacing w:line="360" w:lineRule="auto"/>
        <w:ind w:left="0" w:firstLine="1440"/>
        <w:rPr>
          <w:sz w:val="26"/>
          <w:szCs w:val="26"/>
        </w:rPr>
      </w:pPr>
      <w:r>
        <w:rPr>
          <w:sz w:val="26"/>
          <w:szCs w:val="26"/>
        </w:rPr>
        <w:t xml:space="preserve">That </w:t>
      </w:r>
      <w:bookmarkStart w:id="2" w:name="_Hlk529967519"/>
      <w:r>
        <w:rPr>
          <w:sz w:val="26"/>
          <w:szCs w:val="26"/>
        </w:rPr>
        <w:t xml:space="preserve">the Initial Decision of Administrative Law Judge </w:t>
      </w:r>
      <w:r w:rsidR="008A1812">
        <w:rPr>
          <w:sz w:val="26"/>
          <w:szCs w:val="26"/>
        </w:rPr>
        <w:t>Christopher</w:t>
      </w:r>
      <w:r w:rsidR="00DC2A6E">
        <w:rPr>
          <w:sz w:val="26"/>
          <w:szCs w:val="26"/>
        </w:rPr>
        <w:t> </w:t>
      </w:r>
      <w:r w:rsidR="008A1812">
        <w:rPr>
          <w:sz w:val="26"/>
          <w:szCs w:val="26"/>
        </w:rPr>
        <w:t>P. Pell</w:t>
      </w:r>
      <w:r w:rsidR="00CF0091">
        <w:rPr>
          <w:sz w:val="26"/>
          <w:szCs w:val="26"/>
        </w:rPr>
        <w:t>,</w:t>
      </w:r>
      <w:r w:rsidR="008A1812">
        <w:rPr>
          <w:sz w:val="26"/>
          <w:szCs w:val="26"/>
        </w:rPr>
        <w:t xml:space="preserve"> </w:t>
      </w:r>
      <w:r>
        <w:rPr>
          <w:sz w:val="26"/>
          <w:szCs w:val="26"/>
        </w:rPr>
        <w:t xml:space="preserve">issued </w:t>
      </w:r>
      <w:r w:rsidR="006247DF">
        <w:rPr>
          <w:sz w:val="26"/>
          <w:szCs w:val="26"/>
        </w:rPr>
        <w:t>August 2</w:t>
      </w:r>
      <w:r w:rsidR="00E535F3">
        <w:rPr>
          <w:sz w:val="26"/>
          <w:szCs w:val="26"/>
        </w:rPr>
        <w:t>8</w:t>
      </w:r>
      <w:r>
        <w:rPr>
          <w:sz w:val="26"/>
          <w:szCs w:val="26"/>
        </w:rPr>
        <w:t>, 2017</w:t>
      </w:r>
      <w:bookmarkEnd w:id="2"/>
      <w:r>
        <w:rPr>
          <w:sz w:val="26"/>
          <w:szCs w:val="26"/>
        </w:rPr>
        <w:t>,</w:t>
      </w:r>
      <w:r w:rsidR="00CF0091" w:rsidRPr="00CF0091">
        <w:rPr>
          <w:sz w:val="26"/>
          <w:szCs w:val="26"/>
        </w:rPr>
        <w:t xml:space="preserve"> </w:t>
      </w:r>
      <w:r w:rsidR="00CF0091">
        <w:rPr>
          <w:sz w:val="26"/>
          <w:szCs w:val="26"/>
        </w:rPr>
        <w:t xml:space="preserve">at Docket No. C-2016-2573166, </w:t>
      </w:r>
      <w:r>
        <w:rPr>
          <w:sz w:val="26"/>
          <w:szCs w:val="26"/>
        </w:rPr>
        <w:t xml:space="preserve">is </w:t>
      </w:r>
      <w:r w:rsidR="00951BD2">
        <w:rPr>
          <w:sz w:val="26"/>
          <w:szCs w:val="26"/>
        </w:rPr>
        <w:t>adopted</w:t>
      </w:r>
      <w:r w:rsidR="00C3624E">
        <w:rPr>
          <w:sz w:val="26"/>
          <w:szCs w:val="26"/>
        </w:rPr>
        <w:t>,</w:t>
      </w:r>
      <w:r w:rsidR="00777440">
        <w:rPr>
          <w:sz w:val="26"/>
          <w:szCs w:val="26"/>
        </w:rPr>
        <w:t xml:space="preserve"> consistent with this Opinion and Order.</w:t>
      </w:r>
    </w:p>
    <w:p w14:paraId="4B91E565" w14:textId="77777777" w:rsidR="007A54F9" w:rsidRDefault="007A54F9" w:rsidP="00FC4BB5">
      <w:pPr>
        <w:pStyle w:val="ListParagraph"/>
        <w:widowControl/>
        <w:rPr>
          <w:sz w:val="26"/>
          <w:szCs w:val="26"/>
        </w:rPr>
      </w:pPr>
    </w:p>
    <w:p w14:paraId="6F88D4C5" w14:textId="2ABACA0A" w:rsidR="009B3B8E" w:rsidRDefault="009B3B8E" w:rsidP="00FC4BB5">
      <w:pPr>
        <w:keepLines/>
        <w:widowControl/>
        <w:numPr>
          <w:ilvl w:val="0"/>
          <w:numId w:val="5"/>
        </w:numPr>
        <w:tabs>
          <w:tab w:val="num" w:pos="0"/>
        </w:tabs>
        <w:spacing w:line="360" w:lineRule="auto"/>
        <w:ind w:left="0" w:firstLine="1440"/>
        <w:rPr>
          <w:sz w:val="26"/>
          <w:szCs w:val="26"/>
        </w:rPr>
      </w:pPr>
      <w:r>
        <w:rPr>
          <w:sz w:val="26"/>
          <w:szCs w:val="26"/>
        </w:rPr>
        <w:t xml:space="preserve">That </w:t>
      </w:r>
      <w:r w:rsidR="007646BC">
        <w:rPr>
          <w:sz w:val="26"/>
          <w:szCs w:val="26"/>
        </w:rPr>
        <w:t>the Formal Complaint filed</w:t>
      </w:r>
      <w:r w:rsidR="008902FC">
        <w:rPr>
          <w:sz w:val="26"/>
          <w:szCs w:val="26"/>
        </w:rPr>
        <w:t xml:space="preserve"> by Thomas Baker</w:t>
      </w:r>
      <w:r w:rsidR="007646BC">
        <w:rPr>
          <w:sz w:val="26"/>
          <w:szCs w:val="26"/>
        </w:rPr>
        <w:t xml:space="preserve"> </w:t>
      </w:r>
      <w:r w:rsidR="008902FC">
        <w:rPr>
          <w:sz w:val="26"/>
          <w:szCs w:val="26"/>
        </w:rPr>
        <w:t xml:space="preserve">against PECO Energy Company, </w:t>
      </w:r>
      <w:r w:rsidR="007646BC">
        <w:rPr>
          <w:sz w:val="26"/>
          <w:szCs w:val="26"/>
        </w:rPr>
        <w:t xml:space="preserve">on </w:t>
      </w:r>
      <w:r w:rsidR="00E535F3">
        <w:rPr>
          <w:sz w:val="26"/>
          <w:szCs w:val="26"/>
        </w:rPr>
        <w:t xml:space="preserve">October 26, 2016, </w:t>
      </w:r>
      <w:r w:rsidR="00CF00E9">
        <w:rPr>
          <w:sz w:val="26"/>
          <w:szCs w:val="26"/>
        </w:rPr>
        <w:t>at</w:t>
      </w:r>
      <w:r w:rsidR="007646BC">
        <w:rPr>
          <w:sz w:val="26"/>
          <w:szCs w:val="26"/>
        </w:rPr>
        <w:t xml:space="preserve"> </w:t>
      </w:r>
      <w:r w:rsidR="008A1812">
        <w:rPr>
          <w:sz w:val="26"/>
          <w:szCs w:val="26"/>
        </w:rPr>
        <w:t>Docket No. C-2016-2573166</w:t>
      </w:r>
      <w:r w:rsidR="007646BC" w:rsidRPr="007646BC">
        <w:rPr>
          <w:sz w:val="26"/>
          <w:szCs w:val="26"/>
        </w:rPr>
        <w:t xml:space="preserve">, </w:t>
      </w:r>
      <w:r w:rsidR="006C3C70">
        <w:rPr>
          <w:sz w:val="26"/>
          <w:szCs w:val="26"/>
        </w:rPr>
        <w:t>is dismissed.</w:t>
      </w:r>
    </w:p>
    <w:p w14:paraId="4BF39E69" w14:textId="5C1112E9" w:rsidR="00DC2A6E" w:rsidRDefault="00DC2A6E" w:rsidP="00FC4BB5">
      <w:pPr>
        <w:keepLines/>
        <w:widowControl/>
        <w:spacing w:line="360" w:lineRule="auto"/>
        <w:rPr>
          <w:sz w:val="26"/>
          <w:szCs w:val="26"/>
        </w:rPr>
      </w:pPr>
    </w:p>
    <w:p w14:paraId="160F5CA6" w14:textId="28C4E20B" w:rsidR="00DC2A6E" w:rsidRDefault="00DC2A6E" w:rsidP="00FC4BB5">
      <w:pPr>
        <w:keepLines/>
        <w:widowControl/>
        <w:spacing w:line="360" w:lineRule="auto"/>
        <w:rPr>
          <w:sz w:val="26"/>
          <w:szCs w:val="26"/>
        </w:rPr>
      </w:pPr>
      <w:r>
        <w:rPr>
          <w:sz w:val="26"/>
          <w:szCs w:val="26"/>
        </w:rPr>
        <w:tab/>
      </w:r>
      <w:r>
        <w:rPr>
          <w:sz w:val="26"/>
          <w:szCs w:val="26"/>
        </w:rPr>
        <w:tab/>
        <w:t>4.</w:t>
      </w:r>
      <w:r>
        <w:rPr>
          <w:sz w:val="26"/>
          <w:szCs w:val="26"/>
        </w:rPr>
        <w:tab/>
        <w:t xml:space="preserve">That the record in this proceeding </w:t>
      </w:r>
      <w:r w:rsidR="00DF6BC5">
        <w:rPr>
          <w:sz w:val="26"/>
          <w:szCs w:val="26"/>
        </w:rPr>
        <w:t>is</w:t>
      </w:r>
      <w:r>
        <w:rPr>
          <w:sz w:val="26"/>
          <w:szCs w:val="26"/>
        </w:rPr>
        <w:t xml:space="preserve"> </w:t>
      </w:r>
      <w:r w:rsidR="00CF00E9">
        <w:rPr>
          <w:sz w:val="26"/>
          <w:szCs w:val="26"/>
        </w:rPr>
        <w:t xml:space="preserve">marked </w:t>
      </w:r>
      <w:r>
        <w:rPr>
          <w:sz w:val="26"/>
          <w:szCs w:val="26"/>
        </w:rPr>
        <w:t>closed.</w:t>
      </w:r>
    </w:p>
    <w:p w14:paraId="09397FC1" w14:textId="4A5747C8" w:rsidR="004A1916" w:rsidRPr="00734573" w:rsidRDefault="004A1916" w:rsidP="00FC4BB5">
      <w:pPr>
        <w:keepNext/>
        <w:keepLines/>
        <w:widowControl/>
        <w:spacing w:line="360" w:lineRule="auto"/>
        <w:rPr>
          <w:sz w:val="26"/>
          <w:szCs w:val="26"/>
        </w:rPr>
      </w:pPr>
    </w:p>
    <w:p w14:paraId="7DE6B373" w14:textId="11699598" w:rsidR="004A1916" w:rsidRPr="00A9787D" w:rsidRDefault="00135766" w:rsidP="00FC4BB5">
      <w:pPr>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29FCBA92" wp14:editId="2AFE160C">
            <wp:simplePos x="0" y="0"/>
            <wp:positionH relativeFrom="column">
              <wp:posOffset>3209925</wp:posOffset>
            </wp:positionH>
            <wp:positionV relativeFrom="paragraph">
              <wp:posOffset>143510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1916" w:rsidRPr="00A9787D">
        <w:rPr>
          <w:b/>
          <w:sz w:val="26"/>
          <w:szCs w:val="26"/>
        </w:rPr>
        <w:t>BY THE COMMISSION,</w:t>
      </w:r>
    </w:p>
    <w:p w14:paraId="167F46A7" w14:textId="3678B892" w:rsidR="004A1916" w:rsidRPr="00A9787D" w:rsidRDefault="004A1916" w:rsidP="00FC4BB5">
      <w:pPr>
        <w:widowControl/>
        <w:tabs>
          <w:tab w:val="left" w:pos="-720"/>
        </w:tabs>
        <w:rPr>
          <w:sz w:val="26"/>
          <w:szCs w:val="26"/>
        </w:rPr>
      </w:pPr>
    </w:p>
    <w:p w14:paraId="2BC64285" w14:textId="77777777" w:rsidR="004A1916" w:rsidRPr="00A9787D" w:rsidRDefault="004A1916" w:rsidP="00FC4BB5">
      <w:pPr>
        <w:widowControl/>
        <w:tabs>
          <w:tab w:val="left" w:pos="-720"/>
        </w:tabs>
        <w:rPr>
          <w:sz w:val="26"/>
          <w:szCs w:val="26"/>
        </w:rPr>
      </w:pPr>
    </w:p>
    <w:p w14:paraId="6FF2B797" w14:textId="77777777" w:rsidR="004A1916" w:rsidRPr="00A9787D" w:rsidRDefault="004A1916" w:rsidP="00FC4BB5">
      <w:pPr>
        <w:widowControl/>
        <w:tabs>
          <w:tab w:val="left" w:pos="-720"/>
        </w:tabs>
        <w:rPr>
          <w:sz w:val="26"/>
          <w:szCs w:val="26"/>
        </w:rPr>
      </w:pPr>
    </w:p>
    <w:p w14:paraId="4D79FC70" w14:textId="77777777" w:rsidR="004A1916" w:rsidRPr="00A9787D" w:rsidRDefault="004A1916" w:rsidP="00FC4BB5">
      <w:pPr>
        <w:widowControl/>
        <w:tabs>
          <w:tab w:val="left" w:pos="-720"/>
        </w:tabs>
        <w:rPr>
          <w:sz w:val="26"/>
          <w:szCs w:val="26"/>
        </w:rPr>
      </w:pPr>
    </w:p>
    <w:p w14:paraId="5BD633C5" w14:textId="77777777" w:rsidR="004A1916" w:rsidRPr="00A9787D" w:rsidRDefault="004A1916" w:rsidP="00FC4BB5">
      <w:pPr>
        <w:widowControl/>
        <w:tabs>
          <w:tab w:val="left" w:pos="-720"/>
        </w:tabs>
        <w:ind w:firstLine="5040"/>
        <w:rPr>
          <w:b/>
          <w:sz w:val="26"/>
          <w:szCs w:val="26"/>
        </w:rPr>
      </w:pPr>
      <w:r w:rsidRPr="00A9787D">
        <w:rPr>
          <w:sz w:val="26"/>
          <w:szCs w:val="26"/>
        </w:rPr>
        <w:t>Rosemary Chiavetta</w:t>
      </w:r>
    </w:p>
    <w:p w14:paraId="438CF9A9" w14:textId="77777777" w:rsidR="004A1916" w:rsidRPr="00A9787D" w:rsidRDefault="004A1916" w:rsidP="00FC4BB5">
      <w:pPr>
        <w:widowControl/>
        <w:tabs>
          <w:tab w:val="left" w:pos="-720"/>
        </w:tabs>
        <w:ind w:firstLine="5040"/>
        <w:rPr>
          <w:sz w:val="26"/>
          <w:szCs w:val="26"/>
        </w:rPr>
      </w:pPr>
      <w:r w:rsidRPr="00A9787D">
        <w:rPr>
          <w:sz w:val="26"/>
          <w:szCs w:val="26"/>
        </w:rPr>
        <w:t>Secretary</w:t>
      </w:r>
    </w:p>
    <w:p w14:paraId="1252B438" w14:textId="77777777" w:rsidR="004A1916" w:rsidRPr="00A9787D" w:rsidRDefault="004A1916" w:rsidP="00FC4BB5">
      <w:pPr>
        <w:widowControl/>
        <w:tabs>
          <w:tab w:val="left" w:pos="-720"/>
        </w:tabs>
        <w:ind w:firstLine="5040"/>
        <w:rPr>
          <w:sz w:val="26"/>
          <w:szCs w:val="26"/>
        </w:rPr>
      </w:pPr>
    </w:p>
    <w:p w14:paraId="09D88A6F" w14:textId="77777777" w:rsidR="004A1916" w:rsidRPr="00A9787D" w:rsidRDefault="004A1916" w:rsidP="00FC4BB5">
      <w:pPr>
        <w:widowControl/>
        <w:tabs>
          <w:tab w:val="left" w:pos="-720"/>
        </w:tabs>
        <w:rPr>
          <w:sz w:val="26"/>
          <w:szCs w:val="26"/>
        </w:rPr>
      </w:pPr>
      <w:r w:rsidRPr="00A9787D">
        <w:rPr>
          <w:sz w:val="26"/>
          <w:szCs w:val="26"/>
        </w:rPr>
        <w:t>(SEAL)</w:t>
      </w:r>
    </w:p>
    <w:p w14:paraId="53437FBE" w14:textId="77777777" w:rsidR="004A1916" w:rsidRPr="00A9787D" w:rsidRDefault="004A1916" w:rsidP="00FC4BB5">
      <w:pPr>
        <w:widowControl/>
        <w:tabs>
          <w:tab w:val="left" w:pos="-720"/>
        </w:tabs>
        <w:rPr>
          <w:sz w:val="26"/>
          <w:szCs w:val="26"/>
        </w:rPr>
      </w:pPr>
    </w:p>
    <w:p w14:paraId="5F88776F" w14:textId="759A164A" w:rsidR="004A1916" w:rsidRPr="00A9787D" w:rsidRDefault="004A1916" w:rsidP="00FC4BB5">
      <w:pPr>
        <w:widowControl/>
        <w:tabs>
          <w:tab w:val="left" w:pos="-720"/>
        </w:tabs>
        <w:rPr>
          <w:sz w:val="26"/>
          <w:szCs w:val="26"/>
        </w:rPr>
      </w:pPr>
      <w:r>
        <w:rPr>
          <w:sz w:val="26"/>
          <w:szCs w:val="26"/>
        </w:rPr>
        <w:t xml:space="preserve">ORDER ADOPTED: </w:t>
      </w:r>
      <w:r w:rsidR="003F4D65">
        <w:rPr>
          <w:sz w:val="26"/>
          <w:szCs w:val="26"/>
        </w:rPr>
        <w:t>November 8</w:t>
      </w:r>
      <w:r>
        <w:rPr>
          <w:sz w:val="26"/>
          <w:szCs w:val="26"/>
        </w:rPr>
        <w:t>, 2018</w:t>
      </w:r>
    </w:p>
    <w:p w14:paraId="115ACE3F" w14:textId="77777777" w:rsidR="004A1916" w:rsidRPr="00A9787D" w:rsidRDefault="004A1916" w:rsidP="00FC4BB5">
      <w:pPr>
        <w:widowControl/>
        <w:tabs>
          <w:tab w:val="left" w:pos="-720"/>
        </w:tabs>
        <w:rPr>
          <w:sz w:val="26"/>
          <w:szCs w:val="26"/>
        </w:rPr>
      </w:pPr>
    </w:p>
    <w:p w14:paraId="63A6F018" w14:textId="69EBD685" w:rsidR="004A1916" w:rsidRPr="00A9787D" w:rsidRDefault="004A1916" w:rsidP="00FC4BB5">
      <w:pPr>
        <w:widowControl/>
        <w:tabs>
          <w:tab w:val="left" w:pos="-720"/>
        </w:tabs>
        <w:rPr>
          <w:sz w:val="26"/>
          <w:szCs w:val="26"/>
        </w:rPr>
      </w:pPr>
      <w:r w:rsidRPr="00A9787D">
        <w:rPr>
          <w:sz w:val="26"/>
          <w:szCs w:val="26"/>
        </w:rPr>
        <w:t xml:space="preserve">ORDER ENTERED:  </w:t>
      </w:r>
      <w:r w:rsidR="00135766">
        <w:rPr>
          <w:sz w:val="26"/>
          <w:szCs w:val="26"/>
        </w:rPr>
        <w:t>November 16, 2018</w:t>
      </w:r>
      <w:bookmarkStart w:id="3" w:name="_GoBack"/>
      <w:bookmarkEnd w:id="3"/>
    </w:p>
    <w:sectPr w:rsidR="004A1916" w:rsidRPr="00A9787D" w:rsidSect="009465B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C178F" w14:textId="77777777" w:rsidR="00AD0A85" w:rsidRDefault="00AD0A85" w:rsidP="005F46C6">
      <w:r>
        <w:separator/>
      </w:r>
    </w:p>
  </w:endnote>
  <w:endnote w:type="continuationSeparator" w:id="0">
    <w:p w14:paraId="45BAB607" w14:textId="77777777" w:rsidR="00AD0A85" w:rsidRDefault="00AD0A85" w:rsidP="005F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211639"/>
      <w:docPartObj>
        <w:docPartGallery w:val="Page Numbers (Bottom of Page)"/>
        <w:docPartUnique/>
      </w:docPartObj>
    </w:sdtPr>
    <w:sdtEndPr>
      <w:rPr>
        <w:noProof/>
        <w:sz w:val="26"/>
        <w:szCs w:val="26"/>
      </w:rPr>
    </w:sdtEndPr>
    <w:sdtContent>
      <w:p w14:paraId="64D0E908" w14:textId="561D5442" w:rsidR="009A51E0" w:rsidRPr="007F1A39" w:rsidRDefault="009A51E0">
        <w:pPr>
          <w:pStyle w:val="Footer"/>
          <w:jc w:val="center"/>
          <w:rPr>
            <w:sz w:val="26"/>
            <w:szCs w:val="26"/>
          </w:rPr>
        </w:pPr>
        <w:r w:rsidRPr="007F1A39">
          <w:rPr>
            <w:sz w:val="26"/>
            <w:szCs w:val="26"/>
          </w:rPr>
          <w:fldChar w:fldCharType="begin"/>
        </w:r>
        <w:r w:rsidRPr="007F1A39">
          <w:rPr>
            <w:sz w:val="26"/>
            <w:szCs w:val="26"/>
          </w:rPr>
          <w:instrText xml:space="preserve"> PAGE   \* MERGEFORMAT </w:instrText>
        </w:r>
        <w:r w:rsidRPr="007F1A39">
          <w:rPr>
            <w:sz w:val="26"/>
            <w:szCs w:val="26"/>
          </w:rPr>
          <w:fldChar w:fldCharType="separate"/>
        </w:r>
        <w:r w:rsidR="00420886">
          <w:rPr>
            <w:noProof/>
            <w:sz w:val="26"/>
            <w:szCs w:val="26"/>
          </w:rPr>
          <w:t>14</w:t>
        </w:r>
        <w:r w:rsidRPr="007F1A39">
          <w:rPr>
            <w:noProof/>
            <w:sz w:val="26"/>
            <w:szCs w:val="26"/>
          </w:rPr>
          <w:fldChar w:fldCharType="end"/>
        </w:r>
      </w:p>
    </w:sdtContent>
  </w:sdt>
  <w:p w14:paraId="3D88CAEC" w14:textId="77777777" w:rsidR="009A51E0" w:rsidRDefault="009A5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69B96" w14:textId="77777777" w:rsidR="00AD0A85" w:rsidRDefault="00AD0A85" w:rsidP="005F46C6">
      <w:r>
        <w:separator/>
      </w:r>
    </w:p>
  </w:footnote>
  <w:footnote w:type="continuationSeparator" w:id="0">
    <w:p w14:paraId="0F2D04D6" w14:textId="77777777" w:rsidR="00AD0A85" w:rsidRDefault="00AD0A85" w:rsidP="005F46C6">
      <w:r>
        <w:continuationSeparator/>
      </w:r>
    </w:p>
  </w:footnote>
  <w:footnote w:id="1">
    <w:p w14:paraId="257E83E5" w14:textId="3948F0B4" w:rsidR="00420886" w:rsidRDefault="00420886" w:rsidP="00420886">
      <w:pPr>
        <w:pStyle w:val="FootnoteText"/>
        <w:keepNext/>
        <w:keepLines/>
        <w:widowControl/>
        <w:ind w:firstLine="720"/>
      </w:pPr>
      <w:r w:rsidRPr="00C215F3">
        <w:rPr>
          <w:rStyle w:val="FootnoteReference"/>
          <w:sz w:val="26"/>
          <w:szCs w:val="26"/>
        </w:rPr>
        <w:footnoteRef/>
      </w:r>
      <w:r>
        <w:tab/>
      </w:r>
      <w:r>
        <w:rPr>
          <w:sz w:val="26"/>
          <w:szCs w:val="26"/>
        </w:rPr>
        <w:t>We note here that the proper vehicle for a respondent to dispute a complainant’s standing to bring a complaint is through preliminary objections that are required to be filed simultaneously with the respondent’s answer to the complaint.  52 Pa. Code § 5.101.</w:t>
      </w:r>
    </w:p>
  </w:footnote>
  <w:footnote w:id="2">
    <w:p w14:paraId="4AEF5E57" w14:textId="5C87BDEC" w:rsidR="001829CD" w:rsidRPr="001829CD" w:rsidRDefault="001829CD" w:rsidP="001829CD">
      <w:pPr>
        <w:keepNext/>
        <w:keepLines/>
        <w:widowControl/>
        <w:ind w:firstLine="720"/>
        <w:rPr>
          <w:sz w:val="26"/>
          <w:szCs w:val="26"/>
        </w:rPr>
      </w:pPr>
      <w:r w:rsidRPr="001829CD">
        <w:rPr>
          <w:rStyle w:val="FootnoteReference"/>
          <w:sz w:val="26"/>
          <w:szCs w:val="26"/>
        </w:rPr>
        <w:footnoteRef/>
      </w:r>
      <w:r w:rsidRPr="001829CD">
        <w:rPr>
          <w:sz w:val="26"/>
          <w:szCs w:val="26"/>
        </w:rPr>
        <w:t xml:space="preserve"> </w:t>
      </w:r>
      <w:r>
        <w:rPr>
          <w:sz w:val="26"/>
          <w:szCs w:val="26"/>
        </w:rPr>
        <w:tab/>
      </w:r>
      <w:r w:rsidRPr="001829CD">
        <w:rPr>
          <w:sz w:val="26"/>
          <w:szCs w:val="26"/>
        </w:rPr>
        <w:t xml:space="preserve">Although Mr. Baker indicated in his written Complaint that he wanted to be reimbursed for lost business as a result of the May 24, 2016 incident, he stated at the outset of the evidentiary hearing that he understood the Commission could not award his request for damages if he would prevail.  I.D. at 10, n. 2.  Therefore, like the ALJ, </w:t>
      </w:r>
      <w:r>
        <w:rPr>
          <w:sz w:val="26"/>
          <w:szCs w:val="26"/>
        </w:rPr>
        <w:t xml:space="preserve">we </w:t>
      </w:r>
      <w:r w:rsidRPr="001829CD">
        <w:rPr>
          <w:sz w:val="26"/>
          <w:szCs w:val="26"/>
        </w:rPr>
        <w:t xml:space="preserve">disregard his request for monetary damages related to his business.  It is well-settled that we lack jurisdiction to award monetary damages to a complainant in adjudicating a complaint properly brought before this Commission.  </w:t>
      </w:r>
      <w:r w:rsidRPr="001829CD">
        <w:rPr>
          <w:i/>
          <w:sz w:val="26"/>
          <w:szCs w:val="26"/>
        </w:rPr>
        <w:t>See Poorbaugh v. Pa. PUC</w:t>
      </w:r>
      <w:r w:rsidRPr="001829CD">
        <w:rPr>
          <w:sz w:val="26"/>
          <w:szCs w:val="26"/>
        </w:rPr>
        <w:t>, 666 A. 2d 744 (Pa. Cmwlth. 1995).</w:t>
      </w:r>
    </w:p>
    <w:p w14:paraId="278ABF0C" w14:textId="16C1896E" w:rsidR="001829CD" w:rsidRDefault="001829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67F49"/>
    <w:multiLevelType w:val="hybridMultilevel"/>
    <w:tmpl w:val="0A6658CC"/>
    <w:lvl w:ilvl="0" w:tplc="4CF83C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3F265643"/>
    <w:multiLevelType w:val="hybridMultilevel"/>
    <w:tmpl w:val="6D70DCD8"/>
    <w:lvl w:ilvl="0" w:tplc="0568AA7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E64BE7"/>
    <w:multiLevelType w:val="hybridMultilevel"/>
    <w:tmpl w:val="D756841A"/>
    <w:lvl w:ilvl="0" w:tplc="15B06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32FF9"/>
    <w:multiLevelType w:val="hybridMultilevel"/>
    <w:tmpl w:val="31FE571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C6"/>
    <w:rsid w:val="00001E42"/>
    <w:rsid w:val="00003B52"/>
    <w:rsid w:val="00005D42"/>
    <w:rsid w:val="000100D2"/>
    <w:rsid w:val="00010B25"/>
    <w:rsid w:val="00013431"/>
    <w:rsid w:val="00014259"/>
    <w:rsid w:val="000204C0"/>
    <w:rsid w:val="00020F8F"/>
    <w:rsid w:val="00024481"/>
    <w:rsid w:val="000255BB"/>
    <w:rsid w:val="00027177"/>
    <w:rsid w:val="00031F5F"/>
    <w:rsid w:val="00033495"/>
    <w:rsid w:val="00033A89"/>
    <w:rsid w:val="000354FA"/>
    <w:rsid w:val="000356AB"/>
    <w:rsid w:val="0003785C"/>
    <w:rsid w:val="00042DA6"/>
    <w:rsid w:val="0005674C"/>
    <w:rsid w:val="00057EB6"/>
    <w:rsid w:val="0006365F"/>
    <w:rsid w:val="000671C9"/>
    <w:rsid w:val="000732A4"/>
    <w:rsid w:val="00080BBC"/>
    <w:rsid w:val="00080E11"/>
    <w:rsid w:val="000838BA"/>
    <w:rsid w:val="00083FFD"/>
    <w:rsid w:val="00084C50"/>
    <w:rsid w:val="00086924"/>
    <w:rsid w:val="000915D5"/>
    <w:rsid w:val="00093281"/>
    <w:rsid w:val="000975A0"/>
    <w:rsid w:val="00097C3C"/>
    <w:rsid w:val="00097F34"/>
    <w:rsid w:val="000A4A2F"/>
    <w:rsid w:val="000A4DA8"/>
    <w:rsid w:val="000B7192"/>
    <w:rsid w:val="000C6885"/>
    <w:rsid w:val="000D427D"/>
    <w:rsid w:val="000D5EEB"/>
    <w:rsid w:val="000E05C8"/>
    <w:rsid w:val="000E2319"/>
    <w:rsid w:val="000E43A4"/>
    <w:rsid w:val="000E65ED"/>
    <w:rsid w:val="000F3A4A"/>
    <w:rsid w:val="000F491D"/>
    <w:rsid w:val="000F50C9"/>
    <w:rsid w:val="000F634A"/>
    <w:rsid w:val="00104500"/>
    <w:rsid w:val="00107D01"/>
    <w:rsid w:val="001123D0"/>
    <w:rsid w:val="00114BE7"/>
    <w:rsid w:val="00115256"/>
    <w:rsid w:val="001174A0"/>
    <w:rsid w:val="0012292A"/>
    <w:rsid w:val="00126433"/>
    <w:rsid w:val="00135766"/>
    <w:rsid w:val="00135AC3"/>
    <w:rsid w:val="00146B61"/>
    <w:rsid w:val="0014738D"/>
    <w:rsid w:val="0015155F"/>
    <w:rsid w:val="00151C4F"/>
    <w:rsid w:val="00154AB9"/>
    <w:rsid w:val="00155943"/>
    <w:rsid w:val="00170A23"/>
    <w:rsid w:val="001758C1"/>
    <w:rsid w:val="001803BA"/>
    <w:rsid w:val="00181ECF"/>
    <w:rsid w:val="001829CD"/>
    <w:rsid w:val="00186D63"/>
    <w:rsid w:val="00191AAE"/>
    <w:rsid w:val="00193EA2"/>
    <w:rsid w:val="00194253"/>
    <w:rsid w:val="00195DC3"/>
    <w:rsid w:val="00197143"/>
    <w:rsid w:val="001A2CF1"/>
    <w:rsid w:val="001A42E1"/>
    <w:rsid w:val="001B0260"/>
    <w:rsid w:val="001B648F"/>
    <w:rsid w:val="001C0D35"/>
    <w:rsid w:val="001D7397"/>
    <w:rsid w:val="001E37CB"/>
    <w:rsid w:val="001E37CD"/>
    <w:rsid w:val="001E4513"/>
    <w:rsid w:val="001F051A"/>
    <w:rsid w:val="001F148E"/>
    <w:rsid w:val="0020633A"/>
    <w:rsid w:val="002109D0"/>
    <w:rsid w:val="00216175"/>
    <w:rsid w:val="002239F9"/>
    <w:rsid w:val="0023155D"/>
    <w:rsid w:val="00231A8C"/>
    <w:rsid w:val="00232394"/>
    <w:rsid w:val="002333E3"/>
    <w:rsid w:val="002368B0"/>
    <w:rsid w:val="00240BD2"/>
    <w:rsid w:val="0024364C"/>
    <w:rsid w:val="0024452F"/>
    <w:rsid w:val="00244CC2"/>
    <w:rsid w:val="002557F4"/>
    <w:rsid w:val="00257E69"/>
    <w:rsid w:val="00260538"/>
    <w:rsid w:val="002606A5"/>
    <w:rsid w:val="00264779"/>
    <w:rsid w:val="00264C7F"/>
    <w:rsid w:val="00266D22"/>
    <w:rsid w:val="00267070"/>
    <w:rsid w:val="0027029F"/>
    <w:rsid w:val="0027641E"/>
    <w:rsid w:val="00277C4A"/>
    <w:rsid w:val="002879A0"/>
    <w:rsid w:val="002907BC"/>
    <w:rsid w:val="00297487"/>
    <w:rsid w:val="002A3018"/>
    <w:rsid w:val="002A37E2"/>
    <w:rsid w:val="002A578E"/>
    <w:rsid w:val="002B45DB"/>
    <w:rsid w:val="002C7354"/>
    <w:rsid w:val="002C79AF"/>
    <w:rsid w:val="002D0687"/>
    <w:rsid w:val="002E7A91"/>
    <w:rsid w:val="002F34E1"/>
    <w:rsid w:val="002F3976"/>
    <w:rsid w:val="002F5D37"/>
    <w:rsid w:val="00310952"/>
    <w:rsid w:val="0031255C"/>
    <w:rsid w:val="003148E7"/>
    <w:rsid w:val="00317FC1"/>
    <w:rsid w:val="003203F7"/>
    <w:rsid w:val="00324021"/>
    <w:rsid w:val="00330623"/>
    <w:rsid w:val="00334AEF"/>
    <w:rsid w:val="003364C3"/>
    <w:rsid w:val="00336515"/>
    <w:rsid w:val="00346D89"/>
    <w:rsid w:val="003512C1"/>
    <w:rsid w:val="003528EB"/>
    <w:rsid w:val="0035546E"/>
    <w:rsid w:val="00356BA5"/>
    <w:rsid w:val="003614FD"/>
    <w:rsid w:val="003660CD"/>
    <w:rsid w:val="003679F1"/>
    <w:rsid w:val="00372956"/>
    <w:rsid w:val="0037370E"/>
    <w:rsid w:val="00373E2D"/>
    <w:rsid w:val="0037539D"/>
    <w:rsid w:val="0037687D"/>
    <w:rsid w:val="00380FE9"/>
    <w:rsid w:val="003849EA"/>
    <w:rsid w:val="00385BCF"/>
    <w:rsid w:val="003916B2"/>
    <w:rsid w:val="0039527A"/>
    <w:rsid w:val="00396783"/>
    <w:rsid w:val="00397314"/>
    <w:rsid w:val="003A245B"/>
    <w:rsid w:val="003A2BD3"/>
    <w:rsid w:val="003A3A0C"/>
    <w:rsid w:val="003B3D3A"/>
    <w:rsid w:val="003B3E7E"/>
    <w:rsid w:val="003B5754"/>
    <w:rsid w:val="003B7C79"/>
    <w:rsid w:val="003C0EE5"/>
    <w:rsid w:val="003C30CF"/>
    <w:rsid w:val="003D5C5F"/>
    <w:rsid w:val="003D5D75"/>
    <w:rsid w:val="003D781E"/>
    <w:rsid w:val="003E1706"/>
    <w:rsid w:val="003E239C"/>
    <w:rsid w:val="003F4D65"/>
    <w:rsid w:val="00402326"/>
    <w:rsid w:val="00403A94"/>
    <w:rsid w:val="00407D2F"/>
    <w:rsid w:val="004116F3"/>
    <w:rsid w:val="00412CFF"/>
    <w:rsid w:val="004135D5"/>
    <w:rsid w:val="004145AE"/>
    <w:rsid w:val="00417C66"/>
    <w:rsid w:val="00420886"/>
    <w:rsid w:val="00420FBF"/>
    <w:rsid w:val="00424683"/>
    <w:rsid w:val="00425F8D"/>
    <w:rsid w:val="0043036E"/>
    <w:rsid w:val="00430CE5"/>
    <w:rsid w:val="00435A48"/>
    <w:rsid w:val="004365AD"/>
    <w:rsid w:val="00437584"/>
    <w:rsid w:val="00446692"/>
    <w:rsid w:val="00455B3C"/>
    <w:rsid w:val="00457734"/>
    <w:rsid w:val="00465B85"/>
    <w:rsid w:val="00470C67"/>
    <w:rsid w:val="00473CCF"/>
    <w:rsid w:val="00474FFC"/>
    <w:rsid w:val="00475E33"/>
    <w:rsid w:val="004804C7"/>
    <w:rsid w:val="00480B5A"/>
    <w:rsid w:val="00481C2F"/>
    <w:rsid w:val="00483611"/>
    <w:rsid w:val="00484A36"/>
    <w:rsid w:val="00485459"/>
    <w:rsid w:val="00491B15"/>
    <w:rsid w:val="0049276F"/>
    <w:rsid w:val="004931EB"/>
    <w:rsid w:val="004949A8"/>
    <w:rsid w:val="004A07FF"/>
    <w:rsid w:val="004A0D22"/>
    <w:rsid w:val="004A1916"/>
    <w:rsid w:val="004A55A5"/>
    <w:rsid w:val="004B4A65"/>
    <w:rsid w:val="004B5E70"/>
    <w:rsid w:val="004B78A0"/>
    <w:rsid w:val="004B7E49"/>
    <w:rsid w:val="004C48FD"/>
    <w:rsid w:val="004C7707"/>
    <w:rsid w:val="004D050E"/>
    <w:rsid w:val="004D061B"/>
    <w:rsid w:val="004D0770"/>
    <w:rsid w:val="004D1705"/>
    <w:rsid w:val="004D32FE"/>
    <w:rsid w:val="004D56FA"/>
    <w:rsid w:val="004D78E7"/>
    <w:rsid w:val="004D799B"/>
    <w:rsid w:val="004F0D3F"/>
    <w:rsid w:val="004F320D"/>
    <w:rsid w:val="00500055"/>
    <w:rsid w:val="0050080B"/>
    <w:rsid w:val="005056BA"/>
    <w:rsid w:val="0051790B"/>
    <w:rsid w:val="0051798D"/>
    <w:rsid w:val="00524B5F"/>
    <w:rsid w:val="005278CB"/>
    <w:rsid w:val="0053214B"/>
    <w:rsid w:val="00532C4F"/>
    <w:rsid w:val="0053408E"/>
    <w:rsid w:val="00534DE9"/>
    <w:rsid w:val="00545B2D"/>
    <w:rsid w:val="0055153D"/>
    <w:rsid w:val="00554920"/>
    <w:rsid w:val="00562111"/>
    <w:rsid w:val="00564F2E"/>
    <w:rsid w:val="00565EBD"/>
    <w:rsid w:val="00567914"/>
    <w:rsid w:val="0057464C"/>
    <w:rsid w:val="005762F2"/>
    <w:rsid w:val="0057760E"/>
    <w:rsid w:val="005819A0"/>
    <w:rsid w:val="0058389C"/>
    <w:rsid w:val="00583B7D"/>
    <w:rsid w:val="005853C7"/>
    <w:rsid w:val="00585AA0"/>
    <w:rsid w:val="00586638"/>
    <w:rsid w:val="005916C5"/>
    <w:rsid w:val="00593EF1"/>
    <w:rsid w:val="005965CF"/>
    <w:rsid w:val="00596F40"/>
    <w:rsid w:val="005A0682"/>
    <w:rsid w:val="005A131E"/>
    <w:rsid w:val="005A5320"/>
    <w:rsid w:val="005B18BC"/>
    <w:rsid w:val="005B4AAA"/>
    <w:rsid w:val="005B5582"/>
    <w:rsid w:val="005B6415"/>
    <w:rsid w:val="005C10B0"/>
    <w:rsid w:val="005D2436"/>
    <w:rsid w:val="005D370C"/>
    <w:rsid w:val="005E4CB4"/>
    <w:rsid w:val="005E7A25"/>
    <w:rsid w:val="005F1B54"/>
    <w:rsid w:val="005F1D56"/>
    <w:rsid w:val="005F46C6"/>
    <w:rsid w:val="005F4989"/>
    <w:rsid w:val="005F558B"/>
    <w:rsid w:val="005F6249"/>
    <w:rsid w:val="005F676C"/>
    <w:rsid w:val="005F6EE3"/>
    <w:rsid w:val="005F7DF0"/>
    <w:rsid w:val="00605F89"/>
    <w:rsid w:val="00612E08"/>
    <w:rsid w:val="00615EB7"/>
    <w:rsid w:val="006160B6"/>
    <w:rsid w:val="00622F3C"/>
    <w:rsid w:val="006234A2"/>
    <w:rsid w:val="006238D7"/>
    <w:rsid w:val="006247DF"/>
    <w:rsid w:val="00642A4C"/>
    <w:rsid w:val="00646D89"/>
    <w:rsid w:val="00650B65"/>
    <w:rsid w:val="00651F55"/>
    <w:rsid w:val="00654048"/>
    <w:rsid w:val="00655337"/>
    <w:rsid w:val="00656DC7"/>
    <w:rsid w:val="006619E7"/>
    <w:rsid w:val="006661B2"/>
    <w:rsid w:val="00671516"/>
    <w:rsid w:val="00671B3A"/>
    <w:rsid w:val="006735FD"/>
    <w:rsid w:val="00673DFB"/>
    <w:rsid w:val="00677509"/>
    <w:rsid w:val="00681132"/>
    <w:rsid w:val="00685982"/>
    <w:rsid w:val="00691305"/>
    <w:rsid w:val="00694DAA"/>
    <w:rsid w:val="00697956"/>
    <w:rsid w:val="006A068E"/>
    <w:rsid w:val="006A10B6"/>
    <w:rsid w:val="006B4A41"/>
    <w:rsid w:val="006B5DC4"/>
    <w:rsid w:val="006B690D"/>
    <w:rsid w:val="006C3C70"/>
    <w:rsid w:val="006D0F65"/>
    <w:rsid w:val="006D44CB"/>
    <w:rsid w:val="006D624A"/>
    <w:rsid w:val="006D722D"/>
    <w:rsid w:val="006F0027"/>
    <w:rsid w:val="006F46E7"/>
    <w:rsid w:val="006F5FC3"/>
    <w:rsid w:val="00702D70"/>
    <w:rsid w:val="00706183"/>
    <w:rsid w:val="0070690F"/>
    <w:rsid w:val="00710724"/>
    <w:rsid w:val="00712782"/>
    <w:rsid w:val="007152F1"/>
    <w:rsid w:val="00717E38"/>
    <w:rsid w:val="00720ED3"/>
    <w:rsid w:val="00724251"/>
    <w:rsid w:val="007265D0"/>
    <w:rsid w:val="00727A85"/>
    <w:rsid w:val="007325A4"/>
    <w:rsid w:val="007337F7"/>
    <w:rsid w:val="0074013C"/>
    <w:rsid w:val="00747476"/>
    <w:rsid w:val="007474D1"/>
    <w:rsid w:val="00763421"/>
    <w:rsid w:val="007646BC"/>
    <w:rsid w:val="00765A3B"/>
    <w:rsid w:val="00765E3F"/>
    <w:rsid w:val="007708B0"/>
    <w:rsid w:val="00775B30"/>
    <w:rsid w:val="007761EA"/>
    <w:rsid w:val="00777440"/>
    <w:rsid w:val="00781AD8"/>
    <w:rsid w:val="007926D5"/>
    <w:rsid w:val="00793A53"/>
    <w:rsid w:val="00795C7E"/>
    <w:rsid w:val="007A1AAE"/>
    <w:rsid w:val="007A397E"/>
    <w:rsid w:val="007A54F9"/>
    <w:rsid w:val="007B71F4"/>
    <w:rsid w:val="007C493D"/>
    <w:rsid w:val="007C4F47"/>
    <w:rsid w:val="007D2240"/>
    <w:rsid w:val="007E0A72"/>
    <w:rsid w:val="007E1FAC"/>
    <w:rsid w:val="007E2669"/>
    <w:rsid w:val="007E39C6"/>
    <w:rsid w:val="007E50F4"/>
    <w:rsid w:val="007E61EB"/>
    <w:rsid w:val="007F1173"/>
    <w:rsid w:val="007F1A39"/>
    <w:rsid w:val="0080275D"/>
    <w:rsid w:val="00810290"/>
    <w:rsid w:val="00813501"/>
    <w:rsid w:val="00814149"/>
    <w:rsid w:val="00816CB5"/>
    <w:rsid w:val="00821C96"/>
    <w:rsid w:val="008227BD"/>
    <w:rsid w:val="00823FFB"/>
    <w:rsid w:val="00825CA4"/>
    <w:rsid w:val="008332E0"/>
    <w:rsid w:val="008338C4"/>
    <w:rsid w:val="00833E4E"/>
    <w:rsid w:val="00841E28"/>
    <w:rsid w:val="00844362"/>
    <w:rsid w:val="00860AC1"/>
    <w:rsid w:val="008633EF"/>
    <w:rsid w:val="00871A31"/>
    <w:rsid w:val="00875827"/>
    <w:rsid w:val="0087653B"/>
    <w:rsid w:val="008816B4"/>
    <w:rsid w:val="00884818"/>
    <w:rsid w:val="00884FB8"/>
    <w:rsid w:val="008902FC"/>
    <w:rsid w:val="00893D09"/>
    <w:rsid w:val="00894751"/>
    <w:rsid w:val="00895940"/>
    <w:rsid w:val="00896AF8"/>
    <w:rsid w:val="0089761E"/>
    <w:rsid w:val="008A12AC"/>
    <w:rsid w:val="008A1812"/>
    <w:rsid w:val="008A4F63"/>
    <w:rsid w:val="008B14D8"/>
    <w:rsid w:val="008B4326"/>
    <w:rsid w:val="008B5070"/>
    <w:rsid w:val="008B70D2"/>
    <w:rsid w:val="008C2BF9"/>
    <w:rsid w:val="008C3BEB"/>
    <w:rsid w:val="008C4698"/>
    <w:rsid w:val="008C491E"/>
    <w:rsid w:val="008D10E4"/>
    <w:rsid w:val="008D2CB9"/>
    <w:rsid w:val="008D52A0"/>
    <w:rsid w:val="008D6D1F"/>
    <w:rsid w:val="008D74F0"/>
    <w:rsid w:val="008E5B34"/>
    <w:rsid w:val="008E76C4"/>
    <w:rsid w:val="008F1EA3"/>
    <w:rsid w:val="008F633C"/>
    <w:rsid w:val="00906C0E"/>
    <w:rsid w:val="00910F99"/>
    <w:rsid w:val="00912BF2"/>
    <w:rsid w:val="009134B7"/>
    <w:rsid w:val="009145E8"/>
    <w:rsid w:val="009148AE"/>
    <w:rsid w:val="00917942"/>
    <w:rsid w:val="009227C4"/>
    <w:rsid w:val="00926ABA"/>
    <w:rsid w:val="0093061D"/>
    <w:rsid w:val="009310EB"/>
    <w:rsid w:val="0093504A"/>
    <w:rsid w:val="00935180"/>
    <w:rsid w:val="00942D82"/>
    <w:rsid w:val="00944CEF"/>
    <w:rsid w:val="00944EFF"/>
    <w:rsid w:val="009465B5"/>
    <w:rsid w:val="00950AED"/>
    <w:rsid w:val="00951612"/>
    <w:rsid w:val="00951BD2"/>
    <w:rsid w:val="00970C65"/>
    <w:rsid w:val="009850FC"/>
    <w:rsid w:val="00990895"/>
    <w:rsid w:val="00990A51"/>
    <w:rsid w:val="00991206"/>
    <w:rsid w:val="0099461C"/>
    <w:rsid w:val="009965BC"/>
    <w:rsid w:val="009968B8"/>
    <w:rsid w:val="009A04B8"/>
    <w:rsid w:val="009A1249"/>
    <w:rsid w:val="009A360E"/>
    <w:rsid w:val="009A36EF"/>
    <w:rsid w:val="009A51E0"/>
    <w:rsid w:val="009B0B5C"/>
    <w:rsid w:val="009B17B0"/>
    <w:rsid w:val="009B3B8E"/>
    <w:rsid w:val="009C0224"/>
    <w:rsid w:val="009C22EC"/>
    <w:rsid w:val="009C275F"/>
    <w:rsid w:val="009C3CFD"/>
    <w:rsid w:val="009C40E0"/>
    <w:rsid w:val="009D40F0"/>
    <w:rsid w:val="009E225B"/>
    <w:rsid w:val="009E4D0D"/>
    <w:rsid w:val="009E702F"/>
    <w:rsid w:val="009F115E"/>
    <w:rsid w:val="009F3F10"/>
    <w:rsid w:val="009F7E4D"/>
    <w:rsid w:val="00A064E2"/>
    <w:rsid w:val="00A1591E"/>
    <w:rsid w:val="00A21D50"/>
    <w:rsid w:val="00A243D9"/>
    <w:rsid w:val="00A249A0"/>
    <w:rsid w:val="00A24EEF"/>
    <w:rsid w:val="00A2536C"/>
    <w:rsid w:val="00A42371"/>
    <w:rsid w:val="00A47FB5"/>
    <w:rsid w:val="00A55024"/>
    <w:rsid w:val="00A569C7"/>
    <w:rsid w:val="00A64F3F"/>
    <w:rsid w:val="00A660C6"/>
    <w:rsid w:val="00A70DEA"/>
    <w:rsid w:val="00A81526"/>
    <w:rsid w:val="00A81AA3"/>
    <w:rsid w:val="00A90285"/>
    <w:rsid w:val="00A93806"/>
    <w:rsid w:val="00A97CA1"/>
    <w:rsid w:val="00AA000F"/>
    <w:rsid w:val="00AA2163"/>
    <w:rsid w:val="00AA26C2"/>
    <w:rsid w:val="00AC3D48"/>
    <w:rsid w:val="00AC4117"/>
    <w:rsid w:val="00AC6051"/>
    <w:rsid w:val="00AD0A85"/>
    <w:rsid w:val="00AE2308"/>
    <w:rsid w:val="00AE3E8A"/>
    <w:rsid w:val="00AE74DE"/>
    <w:rsid w:val="00AF0FFE"/>
    <w:rsid w:val="00AF40F2"/>
    <w:rsid w:val="00AF7A16"/>
    <w:rsid w:val="00AF7E21"/>
    <w:rsid w:val="00B00395"/>
    <w:rsid w:val="00B023EA"/>
    <w:rsid w:val="00B02F2E"/>
    <w:rsid w:val="00B034A7"/>
    <w:rsid w:val="00B03CF0"/>
    <w:rsid w:val="00B1505B"/>
    <w:rsid w:val="00B17C9E"/>
    <w:rsid w:val="00B23D76"/>
    <w:rsid w:val="00B25B96"/>
    <w:rsid w:val="00B26C22"/>
    <w:rsid w:val="00B27AA4"/>
    <w:rsid w:val="00B328DA"/>
    <w:rsid w:val="00B400C1"/>
    <w:rsid w:val="00B42719"/>
    <w:rsid w:val="00B44DF0"/>
    <w:rsid w:val="00B458C8"/>
    <w:rsid w:val="00B46E92"/>
    <w:rsid w:val="00B4719B"/>
    <w:rsid w:val="00B518F4"/>
    <w:rsid w:val="00B519F1"/>
    <w:rsid w:val="00B522D0"/>
    <w:rsid w:val="00B5291A"/>
    <w:rsid w:val="00B56936"/>
    <w:rsid w:val="00B602FA"/>
    <w:rsid w:val="00B6205B"/>
    <w:rsid w:val="00B626E5"/>
    <w:rsid w:val="00B66B98"/>
    <w:rsid w:val="00B6788F"/>
    <w:rsid w:val="00B7503C"/>
    <w:rsid w:val="00B7689F"/>
    <w:rsid w:val="00B8238B"/>
    <w:rsid w:val="00B82A7F"/>
    <w:rsid w:val="00B84041"/>
    <w:rsid w:val="00B847C5"/>
    <w:rsid w:val="00B85910"/>
    <w:rsid w:val="00B9061B"/>
    <w:rsid w:val="00B94569"/>
    <w:rsid w:val="00B95085"/>
    <w:rsid w:val="00BA1F46"/>
    <w:rsid w:val="00BA2FA9"/>
    <w:rsid w:val="00BB389E"/>
    <w:rsid w:val="00BB4409"/>
    <w:rsid w:val="00BC2F89"/>
    <w:rsid w:val="00BD0CE3"/>
    <w:rsid w:val="00BD4A5E"/>
    <w:rsid w:val="00BD4FB5"/>
    <w:rsid w:val="00BD5482"/>
    <w:rsid w:val="00BD6086"/>
    <w:rsid w:val="00BE5089"/>
    <w:rsid w:val="00BE53D7"/>
    <w:rsid w:val="00BF261F"/>
    <w:rsid w:val="00BF3748"/>
    <w:rsid w:val="00C0353B"/>
    <w:rsid w:val="00C04140"/>
    <w:rsid w:val="00C04829"/>
    <w:rsid w:val="00C05C82"/>
    <w:rsid w:val="00C06E0E"/>
    <w:rsid w:val="00C113F3"/>
    <w:rsid w:val="00C11A9F"/>
    <w:rsid w:val="00C153AD"/>
    <w:rsid w:val="00C166C7"/>
    <w:rsid w:val="00C1689F"/>
    <w:rsid w:val="00C175E0"/>
    <w:rsid w:val="00C215F3"/>
    <w:rsid w:val="00C24B8B"/>
    <w:rsid w:val="00C30816"/>
    <w:rsid w:val="00C3624E"/>
    <w:rsid w:val="00C413E9"/>
    <w:rsid w:val="00C46ED5"/>
    <w:rsid w:val="00C61C43"/>
    <w:rsid w:val="00C6296D"/>
    <w:rsid w:val="00C66B7A"/>
    <w:rsid w:val="00C721AE"/>
    <w:rsid w:val="00C76D6F"/>
    <w:rsid w:val="00C772FC"/>
    <w:rsid w:val="00C82DA5"/>
    <w:rsid w:val="00C83573"/>
    <w:rsid w:val="00C85906"/>
    <w:rsid w:val="00C915BE"/>
    <w:rsid w:val="00C9341B"/>
    <w:rsid w:val="00CB7B52"/>
    <w:rsid w:val="00CC0797"/>
    <w:rsid w:val="00CC1C16"/>
    <w:rsid w:val="00CC4DDD"/>
    <w:rsid w:val="00CC6347"/>
    <w:rsid w:val="00CC7F43"/>
    <w:rsid w:val="00CD25B3"/>
    <w:rsid w:val="00CE1473"/>
    <w:rsid w:val="00CE470B"/>
    <w:rsid w:val="00CE72BE"/>
    <w:rsid w:val="00CF0091"/>
    <w:rsid w:val="00CF00E9"/>
    <w:rsid w:val="00CF4C24"/>
    <w:rsid w:val="00CF6948"/>
    <w:rsid w:val="00D01FC4"/>
    <w:rsid w:val="00D038DB"/>
    <w:rsid w:val="00D06C19"/>
    <w:rsid w:val="00D07C44"/>
    <w:rsid w:val="00D131BC"/>
    <w:rsid w:val="00D15D23"/>
    <w:rsid w:val="00D17BE9"/>
    <w:rsid w:val="00D218CF"/>
    <w:rsid w:val="00D23895"/>
    <w:rsid w:val="00D25186"/>
    <w:rsid w:val="00D31BAA"/>
    <w:rsid w:val="00D3259A"/>
    <w:rsid w:val="00D33D8E"/>
    <w:rsid w:val="00D374FE"/>
    <w:rsid w:val="00D44703"/>
    <w:rsid w:val="00D50D17"/>
    <w:rsid w:val="00D5166F"/>
    <w:rsid w:val="00D544D2"/>
    <w:rsid w:val="00D55500"/>
    <w:rsid w:val="00D651D9"/>
    <w:rsid w:val="00D65D9C"/>
    <w:rsid w:val="00D66021"/>
    <w:rsid w:val="00D70AAB"/>
    <w:rsid w:val="00D727AA"/>
    <w:rsid w:val="00D74CBA"/>
    <w:rsid w:val="00D82ED6"/>
    <w:rsid w:val="00D93808"/>
    <w:rsid w:val="00D9602F"/>
    <w:rsid w:val="00D97D9A"/>
    <w:rsid w:val="00DA44BD"/>
    <w:rsid w:val="00DA54B4"/>
    <w:rsid w:val="00DC2A6E"/>
    <w:rsid w:val="00DC56F3"/>
    <w:rsid w:val="00DC6BA3"/>
    <w:rsid w:val="00DD0873"/>
    <w:rsid w:val="00DD7950"/>
    <w:rsid w:val="00DE5D0A"/>
    <w:rsid w:val="00DF31D0"/>
    <w:rsid w:val="00DF3406"/>
    <w:rsid w:val="00DF6BC5"/>
    <w:rsid w:val="00E05EAF"/>
    <w:rsid w:val="00E15FAE"/>
    <w:rsid w:val="00E17871"/>
    <w:rsid w:val="00E3384E"/>
    <w:rsid w:val="00E36D94"/>
    <w:rsid w:val="00E41F8A"/>
    <w:rsid w:val="00E42672"/>
    <w:rsid w:val="00E47570"/>
    <w:rsid w:val="00E50B75"/>
    <w:rsid w:val="00E51235"/>
    <w:rsid w:val="00E535F3"/>
    <w:rsid w:val="00E55317"/>
    <w:rsid w:val="00E5551B"/>
    <w:rsid w:val="00E555FA"/>
    <w:rsid w:val="00E62E30"/>
    <w:rsid w:val="00E634D0"/>
    <w:rsid w:val="00E634DA"/>
    <w:rsid w:val="00E66A62"/>
    <w:rsid w:val="00E7011A"/>
    <w:rsid w:val="00E743CB"/>
    <w:rsid w:val="00E81DB2"/>
    <w:rsid w:val="00E86157"/>
    <w:rsid w:val="00E87634"/>
    <w:rsid w:val="00E94B71"/>
    <w:rsid w:val="00EB042B"/>
    <w:rsid w:val="00EB1C8D"/>
    <w:rsid w:val="00EB304E"/>
    <w:rsid w:val="00EB448A"/>
    <w:rsid w:val="00EB72A9"/>
    <w:rsid w:val="00ED0747"/>
    <w:rsid w:val="00ED4AC0"/>
    <w:rsid w:val="00ED4EC7"/>
    <w:rsid w:val="00ED739E"/>
    <w:rsid w:val="00EE0786"/>
    <w:rsid w:val="00EE302B"/>
    <w:rsid w:val="00EE4207"/>
    <w:rsid w:val="00EE4898"/>
    <w:rsid w:val="00EE5899"/>
    <w:rsid w:val="00EE77E0"/>
    <w:rsid w:val="00EF053A"/>
    <w:rsid w:val="00F01D29"/>
    <w:rsid w:val="00F12B79"/>
    <w:rsid w:val="00F1433B"/>
    <w:rsid w:val="00F15124"/>
    <w:rsid w:val="00F21195"/>
    <w:rsid w:val="00F3777C"/>
    <w:rsid w:val="00F528CF"/>
    <w:rsid w:val="00F57594"/>
    <w:rsid w:val="00F64079"/>
    <w:rsid w:val="00F6616B"/>
    <w:rsid w:val="00F7298B"/>
    <w:rsid w:val="00F72F9B"/>
    <w:rsid w:val="00F745FD"/>
    <w:rsid w:val="00F74F69"/>
    <w:rsid w:val="00F77F2C"/>
    <w:rsid w:val="00F81ADB"/>
    <w:rsid w:val="00F855F1"/>
    <w:rsid w:val="00F86AB9"/>
    <w:rsid w:val="00F90CA9"/>
    <w:rsid w:val="00FA2712"/>
    <w:rsid w:val="00FA6C9F"/>
    <w:rsid w:val="00FA72F3"/>
    <w:rsid w:val="00FA7EDD"/>
    <w:rsid w:val="00FB1702"/>
    <w:rsid w:val="00FC424A"/>
    <w:rsid w:val="00FC4BB5"/>
    <w:rsid w:val="00FC532A"/>
    <w:rsid w:val="00FC63D4"/>
    <w:rsid w:val="00FD4985"/>
    <w:rsid w:val="00FD55EB"/>
    <w:rsid w:val="00FE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509D3F7"/>
  <w15:chartTrackingRefBased/>
  <w15:docId w15:val="{D2C96968-9951-4DBC-B0F7-CCDE06DF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6C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46C6"/>
    <w:rPr>
      <w:color w:val="0000FF"/>
      <w:u w:val="single"/>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semiHidden/>
    <w:unhideWhenUsed/>
    <w:qFormat/>
    <w:rsid w:val="005F46C6"/>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5F46C6"/>
    <w:rPr>
      <w:rFonts w:ascii="Times New Roman" w:eastAsia="Times New Roman" w:hAnsi="Times New Roman" w:cs="Times New Roman"/>
      <w:sz w:val="20"/>
      <w:szCs w:val="20"/>
    </w:rPr>
  </w:style>
  <w:style w:type="character" w:styleId="FootnoteReference">
    <w:name w:val="footnote reference"/>
    <w:aliases w:val="o,fr,footnote text,Style 13,Style 12,Style 28,(NECG) Footnote Reference,Style 11,Style 9,Style 16,Style 15,Style 17,Style 20,o1,fr1,o2,fr2,o3,fr3,Style 8,Style 7,Style 19"/>
    <w:basedOn w:val="DefaultParagraphFont"/>
    <w:uiPriority w:val="99"/>
    <w:unhideWhenUsed/>
    <w:rsid w:val="005F46C6"/>
    <w:rPr>
      <w:vertAlign w:val="superscript"/>
    </w:rPr>
  </w:style>
  <w:style w:type="paragraph" w:customStyle="1" w:styleId="Default">
    <w:name w:val="Default"/>
    <w:rsid w:val="005F46C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30CE5"/>
    <w:pPr>
      <w:ind w:left="720"/>
      <w:contextualSpacing/>
    </w:pPr>
  </w:style>
  <w:style w:type="paragraph" w:styleId="Header">
    <w:name w:val="header"/>
    <w:basedOn w:val="Normal"/>
    <w:link w:val="HeaderChar"/>
    <w:uiPriority w:val="99"/>
    <w:unhideWhenUsed/>
    <w:rsid w:val="0070690F"/>
    <w:pPr>
      <w:tabs>
        <w:tab w:val="center" w:pos="4680"/>
        <w:tab w:val="right" w:pos="9360"/>
      </w:tabs>
    </w:pPr>
  </w:style>
  <w:style w:type="character" w:customStyle="1" w:styleId="HeaderChar">
    <w:name w:val="Header Char"/>
    <w:basedOn w:val="DefaultParagraphFont"/>
    <w:link w:val="Header"/>
    <w:uiPriority w:val="99"/>
    <w:rsid w:val="007069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690F"/>
    <w:pPr>
      <w:tabs>
        <w:tab w:val="center" w:pos="4680"/>
        <w:tab w:val="right" w:pos="9360"/>
      </w:tabs>
    </w:pPr>
  </w:style>
  <w:style w:type="character" w:customStyle="1" w:styleId="FooterChar">
    <w:name w:val="Footer Char"/>
    <w:basedOn w:val="DefaultParagraphFont"/>
    <w:link w:val="Footer"/>
    <w:uiPriority w:val="99"/>
    <w:rsid w:val="007069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F4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6E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F46E7"/>
    <w:rPr>
      <w:sz w:val="16"/>
      <w:szCs w:val="16"/>
    </w:rPr>
  </w:style>
  <w:style w:type="paragraph" w:styleId="CommentText">
    <w:name w:val="annotation text"/>
    <w:basedOn w:val="Normal"/>
    <w:link w:val="CommentTextChar"/>
    <w:uiPriority w:val="99"/>
    <w:semiHidden/>
    <w:unhideWhenUsed/>
    <w:rsid w:val="006F46E7"/>
  </w:style>
  <w:style w:type="character" w:customStyle="1" w:styleId="CommentTextChar">
    <w:name w:val="Comment Text Char"/>
    <w:basedOn w:val="DefaultParagraphFont"/>
    <w:link w:val="CommentText"/>
    <w:uiPriority w:val="99"/>
    <w:semiHidden/>
    <w:rsid w:val="006F46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6E7"/>
    <w:rPr>
      <w:b/>
      <w:bCs/>
    </w:rPr>
  </w:style>
  <w:style w:type="character" w:customStyle="1" w:styleId="CommentSubjectChar">
    <w:name w:val="Comment Subject Char"/>
    <w:basedOn w:val="CommentTextChar"/>
    <w:link w:val="CommentSubject"/>
    <w:uiPriority w:val="99"/>
    <w:semiHidden/>
    <w:rsid w:val="006F46E7"/>
    <w:rPr>
      <w:rFonts w:ascii="Times New Roman" w:eastAsia="Times New Roman" w:hAnsi="Times New Roman" w:cs="Times New Roman"/>
      <w:b/>
      <w:bCs/>
      <w:sz w:val="20"/>
      <w:szCs w:val="20"/>
    </w:rPr>
  </w:style>
  <w:style w:type="paragraph" w:styleId="NormalWeb">
    <w:name w:val="Normal (Web)"/>
    <w:basedOn w:val="Normal"/>
    <w:uiPriority w:val="99"/>
    <w:unhideWhenUsed/>
    <w:rsid w:val="00E55317"/>
    <w:pPr>
      <w:widowControl/>
      <w:spacing w:before="100" w:beforeAutospacing="1" w:after="100" w:afterAutospacing="1"/>
    </w:pPr>
    <w:rPr>
      <w:sz w:val="24"/>
      <w:szCs w:val="24"/>
    </w:rPr>
  </w:style>
  <w:style w:type="paragraph" w:customStyle="1" w:styleId="Blockquote">
    <w:name w:val="Blockquote"/>
    <w:basedOn w:val="Normal"/>
    <w:rsid w:val="002368B0"/>
    <w:pPr>
      <w:widowControl/>
      <w:snapToGrid w:val="0"/>
      <w:spacing w:before="100" w:after="100"/>
      <w:ind w:left="360" w:right="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7486">
      <w:bodyDiv w:val="1"/>
      <w:marLeft w:val="0"/>
      <w:marRight w:val="0"/>
      <w:marTop w:val="0"/>
      <w:marBottom w:val="0"/>
      <w:divBdr>
        <w:top w:val="none" w:sz="0" w:space="0" w:color="auto"/>
        <w:left w:val="none" w:sz="0" w:space="0" w:color="auto"/>
        <w:bottom w:val="none" w:sz="0" w:space="0" w:color="auto"/>
        <w:right w:val="none" w:sz="0" w:space="0" w:color="auto"/>
      </w:divBdr>
    </w:div>
    <w:div w:id="633020254">
      <w:bodyDiv w:val="1"/>
      <w:marLeft w:val="0"/>
      <w:marRight w:val="0"/>
      <w:marTop w:val="0"/>
      <w:marBottom w:val="0"/>
      <w:divBdr>
        <w:top w:val="none" w:sz="0" w:space="0" w:color="auto"/>
        <w:left w:val="none" w:sz="0" w:space="0" w:color="auto"/>
        <w:bottom w:val="none" w:sz="0" w:space="0" w:color="auto"/>
        <w:right w:val="none" w:sz="0" w:space="0" w:color="auto"/>
      </w:divBdr>
      <w:divsChild>
        <w:div w:id="684209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648747">
      <w:bodyDiv w:val="1"/>
      <w:marLeft w:val="0"/>
      <w:marRight w:val="0"/>
      <w:marTop w:val="0"/>
      <w:marBottom w:val="0"/>
      <w:divBdr>
        <w:top w:val="none" w:sz="0" w:space="0" w:color="auto"/>
        <w:left w:val="none" w:sz="0" w:space="0" w:color="auto"/>
        <w:bottom w:val="none" w:sz="0" w:space="0" w:color="auto"/>
        <w:right w:val="none" w:sz="0" w:space="0" w:color="auto"/>
      </w:divBdr>
    </w:div>
    <w:div w:id="1033924181">
      <w:bodyDiv w:val="1"/>
      <w:marLeft w:val="0"/>
      <w:marRight w:val="0"/>
      <w:marTop w:val="0"/>
      <w:marBottom w:val="0"/>
      <w:divBdr>
        <w:top w:val="none" w:sz="0" w:space="0" w:color="auto"/>
        <w:left w:val="none" w:sz="0" w:space="0" w:color="auto"/>
        <w:bottom w:val="none" w:sz="0" w:space="0" w:color="auto"/>
        <w:right w:val="none" w:sz="0" w:space="0" w:color="auto"/>
      </w:divBdr>
      <w:divsChild>
        <w:div w:id="875854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637161">
      <w:bodyDiv w:val="1"/>
      <w:marLeft w:val="0"/>
      <w:marRight w:val="0"/>
      <w:marTop w:val="0"/>
      <w:marBottom w:val="0"/>
      <w:divBdr>
        <w:top w:val="none" w:sz="0" w:space="0" w:color="auto"/>
        <w:left w:val="none" w:sz="0" w:space="0" w:color="auto"/>
        <w:bottom w:val="none" w:sz="0" w:space="0" w:color="auto"/>
        <w:right w:val="none" w:sz="0" w:space="0" w:color="auto"/>
      </w:divBdr>
    </w:div>
    <w:div w:id="1145898669">
      <w:bodyDiv w:val="1"/>
      <w:marLeft w:val="0"/>
      <w:marRight w:val="0"/>
      <w:marTop w:val="0"/>
      <w:marBottom w:val="0"/>
      <w:divBdr>
        <w:top w:val="none" w:sz="0" w:space="0" w:color="auto"/>
        <w:left w:val="none" w:sz="0" w:space="0" w:color="auto"/>
        <w:bottom w:val="none" w:sz="0" w:space="0" w:color="auto"/>
        <w:right w:val="none" w:sz="0" w:space="0" w:color="auto"/>
      </w:divBdr>
      <w:divsChild>
        <w:div w:id="884605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709567">
      <w:bodyDiv w:val="1"/>
      <w:marLeft w:val="0"/>
      <w:marRight w:val="0"/>
      <w:marTop w:val="0"/>
      <w:marBottom w:val="0"/>
      <w:divBdr>
        <w:top w:val="none" w:sz="0" w:space="0" w:color="auto"/>
        <w:left w:val="none" w:sz="0" w:space="0" w:color="auto"/>
        <w:bottom w:val="none" w:sz="0" w:space="0" w:color="auto"/>
        <w:right w:val="none" w:sz="0" w:space="0" w:color="auto"/>
      </w:divBdr>
    </w:div>
    <w:div w:id="1601182248">
      <w:bodyDiv w:val="1"/>
      <w:marLeft w:val="0"/>
      <w:marRight w:val="0"/>
      <w:marTop w:val="0"/>
      <w:marBottom w:val="0"/>
      <w:divBdr>
        <w:top w:val="none" w:sz="0" w:space="0" w:color="auto"/>
        <w:left w:val="none" w:sz="0" w:space="0" w:color="auto"/>
        <w:bottom w:val="none" w:sz="0" w:space="0" w:color="auto"/>
        <w:right w:val="none" w:sz="0" w:space="0" w:color="auto"/>
      </w:divBdr>
      <w:divsChild>
        <w:div w:id="1791120436">
          <w:marLeft w:val="0"/>
          <w:marRight w:val="0"/>
          <w:marTop w:val="0"/>
          <w:marBottom w:val="0"/>
          <w:divBdr>
            <w:top w:val="none" w:sz="0" w:space="0" w:color="auto"/>
            <w:left w:val="single" w:sz="6" w:space="0" w:color="BBBBBB"/>
            <w:bottom w:val="single" w:sz="6" w:space="0" w:color="BBBBBB"/>
            <w:right w:val="single" w:sz="6" w:space="0" w:color="BBBBBB"/>
          </w:divBdr>
          <w:divsChild>
            <w:div w:id="454645041">
              <w:marLeft w:val="0"/>
              <w:marRight w:val="0"/>
              <w:marTop w:val="0"/>
              <w:marBottom w:val="0"/>
              <w:divBdr>
                <w:top w:val="none" w:sz="0" w:space="0" w:color="auto"/>
                <w:left w:val="none" w:sz="0" w:space="0" w:color="auto"/>
                <w:bottom w:val="none" w:sz="0" w:space="0" w:color="auto"/>
                <w:right w:val="none" w:sz="0" w:space="0" w:color="auto"/>
              </w:divBdr>
              <w:divsChild>
                <w:div w:id="1886330219">
                  <w:marLeft w:val="0"/>
                  <w:marRight w:val="0"/>
                  <w:marTop w:val="75"/>
                  <w:marBottom w:val="0"/>
                  <w:divBdr>
                    <w:top w:val="none" w:sz="0" w:space="0" w:color="auto"/>
                    <w:left w:val="none" w:sz="0" w:space="0" w:color="auto"/>
                    <w:bottom w:val="none" w:sz="0" w:space="0" w:color="auto"/>
                    <w:right w:val="none" w:sz="0" w:space="0" w:color="auto"/>
                  </w:divBdr>
                  <w:divsChild>
                    <w:div w:id="1370497276">
                      <w:marLeft w:val="0"/>
                      <w:marRight w:val="0"/>
                      <w:marTop w:val="0"/>
                      <w:marBottom w:val="0"/>
                      <w:divBdr>
                        <w:top w:val="none" w:sz="0" w:space="0" w:color="auto"/>
                        <w:left w:val="none" w:sz="0" w:space="0" w:color="auto"/>
                        <w:bottom w:val="none" w:sz="0" w:space="0" w:color="auto"/>
                        <w:right w:val="none" w:sz="0" w:space="0" w:color="auto"/>
                      </w:divBdr>
                      <w:divsChild>
                        <w:div w:id="991714513">
                          <w:marLeft w:val="0"/>
                          <w:marRight w:val="0"/>
                          <w:marTop w:val="0"/>
                          <w:marBottom w:val="0"/>
                          <w:divBdr>
                            <w:top w:val="none" w:sz="0" w:space="0" w:color="auto"/>
                            <w:left w:val="none" w:sz="0" w:space="0" w:color="auto"/>
                            <w:bottom w:val="none" w:sz="0" w:space="0" w:color="auto"/>
                            <w:right w:val="none" w:sz="0" w:space="0" w:color="auto"/>
                          </w:divBdr>
                          <w:divsChild>
                            <w:div w:id="973171184">
                              <w:marLeft w:val="0"/>
                              <w:marRight w:val="0"/>
                              <w:marTop w:val="0"/>
                              <w:marBottom w:val="0"/>
                              <w:divBdr>
                                <w:top w:val="none" w:sz="0" w:space="0" w:color="auto"/>
                                <w:left w:val="none" w:sz="0" w:space="0" w:color="auto"/>
                                <w:bottom w:val="none" w:sz="0" w:space="0" w:color="auto"/>
                                <w:right w:val="none" w:sz="0" w:space="0" w:color="auto"/>
                              </w:divBdr>
                              <w:divsChild>
                                <w:div w:id="355664904">
                                  <w:marLeft w:val="0"/>
                                  <w:marRight w:val="0"/>
                                  <w:marTop w:val="0"/>
                                  <w:marBottom w:val="0"/>
                                  <w:divBdr>
                                    <w:top w:val="none" w:sz="0" w:space="0" w:color="auto"/>
                                    <w:left w:val="none" w:sz="0" w:space="0" w:color="auto"/>
                                    <w:bottom w:val="none" w:sz="0" w:space="0" w:color="auto"/>
                                    <w:right w:val="none" w:sz="0" w:space="0" w:color="auto"/>
                                  </w:divBdr>
                                  <w:divsChild>
                                    <w:div w:id="519590041">
                                      <w:marLeft w:val="0"/>
                                      <w:marRight w:val="0"/>
                                      <w:marTop w:val="0"/>
                                      <w:marBottom w:val="0"/>
                                      <w:divBdr>
                                        <w:top w:val="none" w:sz="0" w:space="0" w:color="auto"/>
                                        <w:left w:val="none" w:sz="0" w:space="0" w:color="auto"/>
                                        <w:bottom w:val="none" w:sz="0" w:space="0" w:color="auto"/>
                                        <w:right w:val="none" w:sz="0" w:space="0" w:color="auto"/>
                                      </w:divBdr>
                                      <w:divsChild>
                                        <w:div w:id="873425972">
                                          <w:marLeft w:val="1200"/>
                                          <w:marRight w:val="1200"/>
                                          <w:marTop w:val="0"/>
                                          <w:marBottom w:val="0"/>
                                          <w:divBdr>
                                            <w:top w:val="none" w:sz="0" w:space="0" w:color="auto"/>
                                            <w:left w:val="none" w:sz="0" w:space="0" w:color="auto"/>
                                            <w:bottom w:val="none" w:sz="0" w:space="0" w:color="auto"/>
                                            <w:right w:val="none" w:sz="0" w:space="0" w:color="auto"/>
                                          </w:divBdr>
                                          <w:divsChild>
                                            <w:div w:id="72550458">
                                              <w:marLeft w:val="0"/>
                                              <w:marRight w:val="0"/>
                                              <w:marTop w:val="0"/>
                                              <w:marBottom w:val="0"/>
                                              <w:divBdr>
                                                <w:top w:val="none" w:sz="0" w:space="0" w:color="auto"/>
                                                <w:left w:val="none" w:sz="0" w:space="0" w:color="auto"/>
                                                <w:bottom w:val="none" w:sz="0" w:space="0" w:color="auto"/>
                                                <w:right w:val="none" w:sz="0" w:space="0" w:color="auto"/>
                                              </w:divBdr>
                                              <w:divsChild>
                                                <w:div w:id="1340541005">
                                                  <w:marLeft w:val="0"/>
                                                  <w:marRight w:val="0"/>
                                                  <w:marTop w:val="0"/>
                                                  <w:marBottom w:val="0"/>
                                                  <w:divBdr>
                                                    <w:top w:val="none" w:sz="0" w:space="0" w:color="auto"/>
                                                    <w:left w:val="none" w:sz="0" w:space="0" w:color="auto"/>
                                                    <w:bottom w:val="none" w:sz="0" w:space="0" w:color="auto"/>
                                                    <w:right w:val="none" w:sz="0" w:space="0" w:color="auto"/>
                                                  </w:divBdr>
                                                  <w:divsChild>
                                                    <w:div w:id="1083644862">
                                                      <w:marLeft w:val="0"/>
                                                      <w:marRight w:val="0"/>
                                                      <w:marTop w:val="0"/>
                                                      <w:marBottom w:val="0"/>
                                                      <w:divBdr>
                                                        <w:top w:val="none" w:sz="0" w:space="0" w:color="auto"/>
                                                        <w:left w:val="none" w:sz="0" w:space="0" w:color="auto"/>
                                                        <w:bottom w:val="none" w:sz="0" w:space="0" w:color="auto"/>
                                                        <w:right w:val="none" w:sz="0" w:space="0" w:color="auto"/>
                                                      </w:divBdr>
                                                      <w:divsChild>
                                                        <w:div w:id="1789352359">
                                                          <w:marLeft w:val="0"/>
                                                          <w:marRight w:val="0"/>
                                                          <w:marTop w:val="0"/>
                                                          <w:marBottom w:val="0"/>
                                                          <w:divBdr>
                                                            <w:top w:val="none" w:sz="0" w:space="0" w:color="auto"/>
                                                            <w:left w:val="none" w:sz="0" w:space="0" w:color="auto"/>
                                                            <w:bottom w:val="none" w:sz="0" w:space="0" w:color="auto"/>
                                                            <w:right w:val="none" w:sz="0" w:space="0" w:color="auto"/>
                                                          </w:divBdr>
                                                        </w:div>
                                                        <w:div w:id="1999073241">
                                                          <w:marLeft w:val="0"/>
                                                          <w:marRight w:val="0"/>
                                                          <w:marTop w:val="0"/>
                                                          <w:marBottom w:val="0"/>
                                                          <w:divBdr>
                                                            <w:top w:val="none" w:sz="0" w:space="0" w:color="auto"/>
                                                            <w:left w:val="none" w:sz="0" w:space="0" w:color="auto"/>
                                                            <w:bottom w:val="none" w:sz="0" w:space="0" w:color="auto"/>
                                                            <w:right w:val="none" w:sz="0" w:space="0" w:color="auto"/>
                                                          </w:divBdr>
                                                          <w:divsChild>
                                                            <w:div w:id="1821463961">
                                                              <w:marLeft w:val="0"/>
                                                              <w:marRight w:val="0"/>
                                                              <w:marTop w:val="0"/>
                                                              <w:marBottom w:val="0"/>
                                                              <w:divBdr>
                                                                <w:top w:val="none" w:sz="0" w:space="0" w:color="auto"/>
                                                                <w:left w:val="none" w:sz="0" w:space="0" w:color="auto"/>
                                                                <w:bottom w:val="none" w:sz="0" w:space="0" w:color="auto"/>
                                                                <w:right w:val="none" w:sz="0" w:space="0" w:color="auto"/>
                                                              </w:divBdr>
                                                              <w:divsChild>
                                                                <w:div w:id="1664895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1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73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FE16E-F493-4AB4-BF19-A6B4EE4C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3</cp:revision>
  <cp:lastPrinted>2018-09-13T21:05:00Z</cp:lastPrinted>
  <dcterms:created xsi:type="dcterms:W3CDTF">2018-11-15T16:07:00Z</dcterms:created>
  <dcterms:modified xsi:type="dcterms:W3CDTF">2018-11-16T15:50:00Z</dcterms:modified>
</cp:coreProperties>
</file>