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2D06E1"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2D06E1">
        <w:rPr>
          <w:rFonts w:ascii="Times New Roman" w:eastAsia="Times New Roman" w:hAnsi="Times New Roman" w:cs="Times New Roman"/>
          <w:b/>
          <w:sz w:val="24"/>
          <w:szCs w:val="24"/>
        </w:rPr>
        <w:t>BEFORE THE</w:t>
      </w:r>
    </w:p>
    <w:p w:rsidR="00BD5884" w:rsidRPr="002D06E1"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2D06E1">
        <w:rPr>
          <w:rFonts w:ascii="Times New Roman" w:eastAsia="Times New Roman" w:hAnsi="Times New Roman" w:cs="Times New Roman"/>
          <w:b/>
          <w:bCs/>
          <w:spacing w:val="-3"/>
          <w:sz w:val="24"/>
          <w:szCs w:val="24"/>
        </w:rPr>
        <w:t>PENNSYLVANIA PUBLIC UTILITY COMMISSION</w:t>
      </w:r>
    </w:p>
    <w:p w:rsidR="00BD5884" w:rsidRPr="002D06E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2D06E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2D06E1"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2D06E1" w:rsidRDefault="001E0EA8" w:rsidP="001565B1">
      <w:pPr>
        <w:pStyle w:val="Style"/>
        <w:rPr>
          <w:bCs/>
          <w:color w:val="000000"/>
        </w:rPr>
      </w:pPr>
      <w:r>
        <w:rPr>
          <w:bCs/>
          <w:color w:val="000000"/>
        </w:rPr>
        <w:t>Robert G. Kuhn, Jr.</w:t>
      </w:r>
      <w:r w:rsidR="00910C95" w:rsidRPr="002D06E1">
        <w:rPr>
          <w:bCs/>
          <w:color w:val="000000"/>
        </w:rPr>
        <w:t xml:space="preserve"> </w:t>
      </w:r>
      <w:r w:rsidR="005258C6" w:rsidRPr="002D06E1">
        <w:rPr>
          <w:bCs/>
          <w:color w:val="000000"/>
        </w:rPr>
        <w:tab/>
      </w:r>
      <w:r w:rsidR="003C103D" w:rsidRPr="002D06E1">
        <w:rPr>
          <w:bCs/>
          <w:color w:val="000000"/>
        </w:rPr>
        <w:tab/>
      </w:r>
      <w:r w:rsidR="003C103D" w:rsidRPr="002D06E1">
        <w:rPr>
          <w:bCs/>
          <w:color w:val="000000"/>
        </w:rPr>
        <w:tab/>
      </w:r>
      <w:r w:rsidR="001565B1" w:rsidRPr="002D06E1">
        <w:rPr>
          <w:bCs/>
          <w:color w:val="000000"/>
        </w:rPr>
        <w:tab/>
      </w:r>
      <w:r w:rsidR="001565B1" w:rsidRPr="002D06E1">
        <w:rPr>
          <w:bCs/>
          <w:color w:val="000000"/>
        </w:rPr>
        <w:tab/>
        <w:t>:</w:t>
      </w:r>
    </w:p>
    <w:p w:rsidR="001565B1" w:rsidRPr="002D06E1" w:rsidRDefault="001565B1" w:rsidP="001565B1">
      <w:pPr>
        <w:pStyle w:val="Style"/>
        <w:rPr>
          <w:bCs/>
          <w:color w:val="000000"/>
        </w:rPr>
      </w:pPr>
      <w:r w:rsidRPr="002D06E1">
        <w:rPr>
          <w:bCs/>
          <w:color w:val="000000"/>
        </w:rPr>
        <w:tab/>
      </w:r>
      <w:r w:rsidRPr="002D06E1">
        <w:rPr>
          <w:bCs/>
          <w:color w:val="000000"/>
        </w:rPr>
        <w:tab/>
      </w:r>
      <w:r w:rsidRPr="002D06E1">
        <w:rPr>
          <w:bCs/>
          <w:color w:val="000000"/>
        </w:rPr>
        <w:tab/>
      </w:r>
      <w:r w:rsidRPr="002D06E1">
        <w:rPr>
          <w:bCs/>
          <w:color w:val="000000"/>
        </w:rPr>
        <w:tab/>
      </w:r>
      <w:r w:rsidRPr="002D06E1">
        <w:rPr>
          <w:bCs/>
          <w:color w:val="000000"/>
        </w:rPr>
        <w:tab/>
      </w:r>
      <w:r w:rsidRPr="002D06E1">
        <w:rPr>
          <w:bCs/>
          <w:color w:val="000000"/>
        </w:rPr>
        <w:tab/>
      </w:r>
      <w:r w:rsidRPr="002D06E1">
        <w:rPr>
          <w:bCs/>
          <w:color w:val="000000"/>
        </w:rPr>
        <w:tab/>
        <w:t>:</w:t>
      </w:r>
    </w:p>
    <w:p w:rsidR="001565B1" w:rsidRPr="002D06E1" w:rsidRDefault="001565B1" w:rsidP="001565B1">
      <w:pPr>
        <w:pStyle w:val="Style"/>
        <w:rPr>
          <w:bCs/>
          <w:color w:val="000000"/>
        </w:rPr>
      </w:pPr>
      <w:r w:rsidRPr="002D06E1">
        <w:rPr>
          <w:bCs/>
          <w:color w:val="000000"/>
        </w:rPr>
        <w:tab/>
        <w:t>v.</w:t>
      </w:r>
      <w:r w:rsidRPr="002D06E1">
        <w:rPr>
          <w:bCs/>
          <w:color w:val="000000"/>
        </w:rPr>
        <w:tab/>
      </w:r>
      <w:r w:rsidRPr="002D06E1">
        <w:rPr>
          <w:bCs/>
          <w:color w:val="000000"/>
        </w:rPr>
        <w:tab/>
      </w:r>
      <w:r w:rsidRPr="002D06E1">
        <w:rPr>
          <w:bCs/>
          <w:color w:val="000000"/>
        </w:rPr>
        <w:tab/>
      </w:r>
      <w:r w:rsidRPr="002D06E1">
        <w:rPr>
          <w:bCs/>
          <w:color w:val="000000"/>
        </w:rPr>
        <w:tab/>
      </w:r>
      <w:r w:rsidRPr="002D06E1">
        <w:rPr>
          <w:bCs/>
          <w:color w:val="000000"/>
        </w:rPr>
        <w:tab/>
      </w:r>
      <w:r w:rsidRPr="002D06E1">
        <w:rPr>
          <w:bCs/>
          <w:color w:val="000000"/>
        </w:rPr>
        <w:tab/>
        <w:t>:</w:t>
      </w:r>
      <w:r w:rsidRPr="002D06E1">
        <w:rPr>
          <w:bCs/>
          <w:color w:val="000000"/>
        </w:rPr>
        <w:tab/>
      </w:r>
      <w:r w:rsidRPr="002D06E1">
        <w:rPr>
          <w:bCs/>
          <w:color w:val="000000"/>
        </w:rPr>
        <w:tab/>
      </w:r>
      <w:r w:rsidR="001E0EA8">
        <w:rPr>
          <w:bCs/>
          <w:color w:val="000000"/>
        </w:rPr>
        <w:t>C-2017-2610584</w:t>
      </w:r>
    </w:p>
    <w:p w:rsidR="001565B1" w:rsidRPr="002D06E1" w:rsidRDefault="001565B1" w:rsidP="001565B1">
      <w:pPr>
        <w:pStyle w:val="Style"/>
        <w:rPr>
          <w:bCs/>
          <w:color w:val="000000"/>
        </w:rPr>
      </w:pPr>
      <w:r w:rsidRPr="002D06E1">
        <w:rPr>
          <w:bCs/>
          <w:color w:val="000000"/>
        </w:rPr>
        <w:tab/>
      </w:r>
      <w:r w:rsidRPr="002D06E1">
        <w:rPr>
          <w:bCs/>
          <w:color w:val="000000"/>
        </w:rPr>
        <w:tab/>
      </w:r>
      <w:r w:rsidRPr="002D06E1">
        <w:rPr>
          <w:bCs/>
          <w:color w:val="000000"/>
        </w:rPr>
        <w:tab/>
      </w:r>
      <w:r w:rsidRPr="002D06E1">
        <w:rPr>
          <w:bCs/>
          <w:color w:val="000000"/>
        </w:rPr>
        <w:tab/>
      </w:r>
      <w:r w:rsidRPr="002D06E1">
        <w:rPr>
          <w:bCs/>
          <w:color w:val="000000"/>
        </w:rPr>
        <w:tab/>
      </w:r>
      <w:r w:rsidRPr="002D06E1">
        <w:rPr>
          <w:bCs/>
          <w:color w:val="000000"/>
        </w:rPr>
        <w:tab/>
      </w:r>
      <w:r w:rsidRPr="002D06E1">
        <w:rPr>
          <w:bCs/>
          <w:color w:val="000000"/>
        </w:rPr>
        <w:tab/>
        <w:t>:</w:t>
      </w:r>
    </w:p>
    <w:p w:rsidR="001565B1" w:rsidRPr="002D06E1" w:rsidRDefault="001E0EA8" w:rsidP="001565B1">
      <w:pPr>
        <w:pStyle w:val="Style"/>
        <w:rPr>
          <w:bCs/>
          <w:color w:val="000000"/>
        </w:rPr>
      </w:pPr>
      <w:r>
        <w:rPr>
          <w:bCs/>
          <w:color w:val="000000"/>
        </w:rPr>
        <w:t xml:space="preserve">Duquesne Light </w:t>
      </w:r>
      <w:r>
        <w:rPr>
          <w:bCs/>
          <w:color w:val="000000"/>
        </w:rPr>
        <w:tab/>
      </w:r>
      <w:r>
        <w:rPr>
          <w:bCs/>
          <w:color w:val="000000"/>
        </w:rPr>
        <w:tab/>
      </w:r>
      <w:r w:rsidR="00B906A4" w:rsidRPr="002D06E1">
        <w:rPr>
          <w:bCs/>
          <w:color w:val="000000"/>
        </w:rPr>
        <w:tab/>
      </w:r>
      <w:r w:rsidR="00B906A4" w:rsidRPr="002D06E1">
        <w:rPr>
          <w:bCs/>
          <w:color w:val="000000"/>
        </w:rPr>
        <w:tab/>
      </w:r>
      <w:r w:rsidR="00B906A4" w:rsidRPr="002D06E1">
        <w:rPr>
          <w:bCs/>
          <w:color w:val="000000"/>
        </w:rPr>
        <w:tab/>
      </w:r>
      <w:r w:rsidR="001565B1" w:rsidRPr="002D06E1">
        <w:rPr>
          <w:bCs/>
          <w:color w:val="000000"/>
        </w:rPr>
        <w:t>:</w:t>
      </w:r>
    </w:p>
    <w:p w:rsidR="00BD5884" w:rsidRPr="002D06E1"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2D06E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2D06E1" w:rsidRDefault="0020080D" w:rsidP="0020080D">
      <w:pPr>
        <w:pStyle w:val="Style"/>
        <w:rPr>
          <w:bCs/>
          <w:color w:val="000000"/>
        </w:rPr>
      </w:pPr>
    </w:p>
    <w:p w:rsidR="001E0EA8" w:rsidRDefault="0020080D" w:rsidP="002D06E1">
      <w:pPr>
        <w:pStyle w:val="Style"/>
        <w:jc w:val="center"/>
        <w:rPr>
          <w:b/>
          <w:bCs/>
          <w:color w:val="000000"/>
          <w:u w:val="single"/>
        </w:rPr>
      </w:pPr>
      <w:r w:rsidRPr="002D06E1">
        <w:rPr>
          <w:b/>
          <w:bCs/>
          <w:color w:val="000000"/>
          <w:u w:val="single"/>
        </w:rPr>
        <w:t xml:space="preserve">ORDER GRANTING </w:t>
      </w:r>
      <w:r w:rsidR="00CA504B" w:rsidRPr="002D06E1">
        <w:rPr>
          <w:b/>
          <w:bCs/>
          <w:color w:val="000000"/>
          <w:u w:val="single"/>
        </w:rPr>
        <w:t>CONTINUANCE</w:t>
      </w:r>
    </w:p>
    <w:p w:rsidR="002D06E1" w:rsidRDefault="001E0EA8" w:rsidP="002D06E1">
      <w:pPr>
        <w:pStyle w:val="Style"/>
        <w:jc w:val="center"/>
        <w:rPr>
          <w:b/>
          <w:bCs/>
          <w:color w:val="000000"/>
          <w:u w:val="single"/>
        </w:rPr>
      </w:pPr>
      <w:r>
        <w:rPr>
          <w:b/>
          <w:bCs/>
          <w:color w:val="000000"/>
          <w:u w:val="single"/>
        </w:rPr>
        <w:t>OF REMAND HEARING</w:t>
      </w:r>
    </w:p>
    <w:p w:rsidR="002D06E1" w:rsidRDefault="002D06E1" w:rsidP="002D06E1">
      <w:pPr>
        <w:pStyle w:val="Style"/>
        <w:jc w:val="center"/>
        <w:rPr>
          <w:b/>
          <w:bCs/>
          <w:color w:val="000000"/>
          <w:u w:val="single"/>
        </w:rPr>
      </w:pPr>
    </w:p>
    <w:p w:rsidR="002D06E1" w:rsidRDefault="002D06E1" w:rsidP="002D06E1">
      <w:pPr>
        <w:pStyle w:val="Style"/>
        <w:jc w:val="center"/>
        <w:rPr>
          <w:b/>
          <w:bCs/>
          <w:color w:val="000000"/>
          <w:u w:val="single"/>
        </w:rPr>
      </w:pPr>
    </w:p>
    <w:p w:rsidR="002D06E1" w:rsidRDefault="002D06E1" w:rsidP="002D06E1">
      <w:pPr>
        <w:tabs>
          <w:tab w:val="num"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Order entered October 16, 2018, the Pennsylvania Public Utility Commission ruled that </w:t>
      </w:r>
      <w:r w:rsidRPr="002D06E1">
        <w:rPr>
          <w:rFonts w:ascii="Times New Roman" w:hAnsi="Times New Roman" w:cs="Times New Roman"/>
          <w:sz w:val="24"/>
          <w:szCs w:val="24"/>
        </w:rPr>
        <w:t xml:space="preserve">the Initial Decision of Administrative Law Judge David A. Salapa which was issued on September 7, 2017, at Docket No. C-2017-2610584, </w:t>
      </w:r>
      <w:r>
        <w:rPr>
          <w:rFonts w:ascii="Times New Roman" w:hAnsi="Times New Roman" w:cs="Times New Roman"/>
          <w:sz w:val="24"/>
          <w:szCs w:val="24"/>
        </w:rPr>
        <w:t xml:space="preserve">was </w:t>
      </w:r>
      <w:r w:rsidRPr="002D06E1">
        <w:rPr>
          <w:rFonts w:ascii="Times New Roman" w:hAnsi="Times New Roman" w:cs="Times New Roman"/>
          <w:sz w:val="24"/>
          <w:szCs w:val="24"/>
        </w:rPr>
        <w:t>affirmed in part and reversed in part, consistent with th</w:t>
      </w:r>
      <w:r>
        <w:rPr>
          <w:rFonts w:ascii="Times New Roman" w:hAnsi="Times New Roman" w:cs="Times New Roman"/>
          <w:sz w:val="24"/>
          <w:szCs w:val="24"/>
        </w:rPr>
        <w:t>e</w:t>
      </w:r>
      <w:r w:rsidRPr="002D06E1">
        <w:rPr>
          <w:rFonts w:ascii="Times New Roman" w:hAnsi="Times New Roman" w:cs="Times New Roman"/>
          <w:sz w:val="24"/>
          <w:szCs w:val="24"/>
        </w:rPr>
        <w:t xml:space="preserve"> Opinion and Order.</w:t>
      </w:r>
      <w:r>
        <w:rPr>
          <w:rFonts w:ascii="Times New Roman" w:hAnsi="Times New Roman" w:cs="Times New Roman"/>
          <w:sz w:val="24"/>
          <w:szCs w:val="24"/>
        </w:rPr>
        <w:t xml:space="preserve">  The Commission further ruled that </w:t>
      </w:r>
      <w:r w:rsidRPr="002D06E1">
        <w:rPr>
          <w:rFonts w:ascii="Times New Roman" w:hAnsi="Times New Roman" w:cs="Times New Roman"/>
          <w:sz w:val="24"/>
          <w:szCs w:val="24"/>
        </w:rPr>
        <w:t xml:space="preserve">the </w:t>
      </w:r>
      <w:r>
        <w:rPr>
          <w:rFonts w:ascii="Times New Roman" w:hAnsi="Times New Roman" w:cs="Times New Roman"/>
          <w:sz w:val="24"/>
          <w:szCs w:val="24"/>
        </w:rPr>
        <w:t>f</w:t>
      </w:r>
      <w:r w:rsidRPr="002D06E1">
        <w:rPr>
          <w:rFonts w:ascii="Times New Roman" w:hAnsi="Times New Roman" w:cs="Times New Roman"/>
          <w:sz w:val="24"/>
          <w:szCs w:val="24"/>
        </w:rPr>
        <w:t xml:space="preserve">ormal </w:t>
      </w:r>
      <w:r>
        <w:rPr>
          <w:rFonts w:ascii="Times New Roman" w:hAnsi="Times New Roman" w:cs="Times New Roman"/>
          <w:sz w:val="24"/>
          <w:szCs w:val="24"/>
        </w:rPr>
        <w:t>c</w:t>
      </w:r>
      <w:r w:rsidRPr="002D06E1">
        <w:rPr>
          <w:rFonts w:ascii="Times New Roman" w:hAnsi="Times New Roman" w:cs="Times New Roman"/>
          <w:sz w:val="24"/>
          <w:szCs w:val="24"/>
        </w:rPr>
        <w:t xml:space="preserve">omplaint filed by Robert G. Kuhn, Jr. on May 30, 2017, at Docket No. C-2017-2610584, </w:t>
      </w:r>
      <w:r>
        <w:rPr>
          <w:rFonts w:ascii="Times New Roman" w:hAnsi="Times New Roman" w:cs="Times New Roman"/>
          <w:sz w:val="24"/>
          <w:szCs w:val="24"/>
        </w:rPr>
        <w:t xml:space="preserve">was </w:t>
      </w:r>
      <w:r w:rsidRPr="002D06E1">
        <w:rPr>
          <w:rFonts w:ascii="Times New Roman" w:hAnsi="Times New Roman" w:cs="Times New Roman"/>
          <w:sz w:val="24"/>
          <w:szCs w:val="24"/>
        </w:rPr>
        <w:t>dismissed, in part, consistent with th</w:t>
      </w:r>
      <w:r>
        <w:rPr>
          <w:rFonts w:ascii="Times New Roman" w:hAnsi="Times New Roman" w:cs="Times New Roman"/>
          <w:sz w:val="24"/>
          <w:szCs w:val="24"/>
        </w:rPr>
        <w:t>e</w:t>
      </w:r>
      <w:r w:rsidRPr="002D06E1">
        <w:rPr>
          <w:rFonts w:ascii="Times New Roman" w:hAnsi="Times New Roman" w:cs="Times New Roman"/>
          <w:sz w:val="24"/>
          <w:szCs w:val="24"/>
        </w:rPr>
        <w:t xml:space="preserve"> Opinion and Order.</w:t>
      </w:r>
      <w:r>
        <w:rPr>
          <w:rFonts w:ascii="Times New Roman" w:hAnsi="Times New Roman" w:cs="Times New Roman"/>
          <w:sz w:val="24"/>
          <w:szCs w:val="24"/>
        </w:rPr>
        <w:t xml:space="preserve">  </w:t>
      </w:r>
    </w:p>
    <w:p w:rsidR="002D06E1" w:rsidRDefault="002D06E1" w:rsidP="002D06E1">
      <w:pPr>
        <w:tabs>
          <w:tab w:val="num" w:pos="0"/>
        </w:tabs>
        <w:spacing w:after="0" w:line="360" w:lineRule="auto"/>
        <w:rPr>
          <w:rFonts w:ascii="Times New Roman" w:hAnsi="Times New Roman" w:cs="Times New Roman"/>
          <w:sz w:val="24"/>
          <w:szCs w:val="24"/>
        </w:rPr>
      </w:pPr>
    </w:p>
    <w:p w:rsidR="002D06E1" w:rsidRPr="002D06E1" w:rsidRDefault="002D06E1" w:rsidP="002D06E1">
      <w:pPr>
        <w:tabs>
          <w:tab w:val="num"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Commission then remanded this proceeding </w:t>
      </w:r>
      <w:r w:rsidRPr="002D06E1">
        <w:rPr>
          <w:rFonts w:ascii="Times New Roman" w:hAnsi="Times New Roman" w:cs="Times New Roman"/>
          <w:sz w:val="24"/>
          <w:szCs w:val="24"/>
        </w:rPr>
        <w:t xml:space="preserve">to the Office of Administrative Law Judge for such further  hearings, as may be necessary, and the issuance of an Initial Decision on Remand limited to the vegetation management claims  made by  Robert G. Kuhn Jr. as appearing in the pleadings at this docket and the issues raised in the pleadings regarding whether the actions of Duquesne Light Company are consistent with the Company’s representations and the Commission’s directives in the case captioned </w:t>
      </w:r>
      <w:r w:rsidRPr="002D06E1">
        <w:rPr>
          <w:rFonts w:ascii="Times New Roman" w:hAnsi="Times New Roman" w:cs="Times New Roman"/>
          <w:i/>
          <w:sz w:val="24"/>
          <w:szCs w:val="24"/>
        </w:rPr>
        <w:t>Letter of Notification of Duquesne Light Company for Increasing the Voltage to 138 kV on a 6.4 Mile Long Double Circuit Transmission Line in Indiana Township, Harmar Township, Springdale Township, and Springdale Borough, Allegheny County</w:t>
      </w:r>
      <w:r w:rsidRPr="002D06E1">
        <w:rPr>
          <w:rFonts w:ascii="Times New Roman" w:hAnsi="Times New Roman" w:cs="Times New Roman"/>
          <w:sz w:val="24"/>
          <w:szCs w:val="24"/>
        </w:rPr>
        <w:t>, Docket No. A-110150F0033 (Order Entered August 13, 2007).</w:t>
      </w:r>
      <w:r>
        <w:rPr>
          <w:rFonts w:ascii="Times New Roman" w:hAnsi="Times New Roman" w:cs="Times New Roman"/>
          <w:sz w:val="24"/>
          <w:szCs w:val="24"/>
        </w:rPr>
        <w:t xml:space="preserve">  This case was then assigned to me as the Presiding Officer for purposes of the remand hearing and remand decision.</w:t>
      </w:r>
    </w:p>
    <w:p w:rsidR="00D52F60" w:rsidRPr="002D06E1" w:rsidRDefault="00D52F60" w:rsidP="00D52F60">
      <w:pPr>
        <w:pStyle w:val="ParaTab1"/>
        <w:tabs>
          <w:tab w:val="left" w:pos="2070"/>
        </w:tabs>
        <w:spacing w:line="360" w:lineRule="auto"/>
        <w:rPr>
          <w:rFonts w:ascii="Times New Roman" w:hAnsi="Times New Roman" w:cs="Times New Roman"/>
        </w:rPr>
      </w:pPr>
    </w:p>
    <w:p w:rsidR="002D06E1" w:rsidRDefault="002D06E1" w:rsidP="00D52F60">
      <w:pPr>
        <w:pStyle w:val="ParaTab1"/>
        <w:tabs>
          <w:tab w:val="left" w:pos="2070"/>
        </w:tabs>
        <w:spacing w:line="360" w:lineRule="auto"/>
        <w:rPr>
          <w:rFonts w:ascii="Times New Roman" w:hAnsi="Times New Roman" w:cs="Times New Roman"/>
        </w:rPr>
      </w:pPr>
    </w:p>
    <w:p w:rsidR="002D06E1" w:rsidRDefault="002D06E1" w:rsidP="00D52F60">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After the remand case was assigned to me, I issued a Telephonic Hearing Notice indicating that an Initial Telephonic Remand Hearing would be held on Wednesday, November 28, 2018 at 10:00 A.M.  The Hearing Notice was issued on October 18, 2018.</w:t>
      </w:r>
      <w:r w:rsidR="001E0EA8">
        <w:rPr>
          <w:rFonts w:ascii="Times New Roman" w:hAnsi="Times New Roman" w:cs="Times New Roman"/>
        </w:rPr>
        <w:t xml:space="preserve">  On November 12, 2018, the parties submitted a Joint Motion for Continuance in this matter.  In their Motion, the parties state that they are attempting to resolve this matter but need more time in that regard.</w:t>
      </w:r>
    </w:p>
    <w:p w:rsidR="002D06E1" w:rsidRDefault="002D06E1" w:rsidP="00D52F60">
      <w:pPr>
        <w:pStyle w:val="ParaTab1"/>
        <w:tabs>
          <w:tab w:val="left" w:pos="2070"/>
        </w:tabs>
        <w:spacing w:line="360" w:lineRule="auto"/>
        <w:rPr>
          <w:rFonts w:ascii="Times New Roman" w:hAnsi="Times New Roman" w:cs="Times New Roman"/>
        </w:rPr>
      </w:pPr>
    </w:p>
    <w:p w:rsidR="001E0EA8" w:rsidRDefault="00B1072B" w:rsidP="00B1072B">
      <w:pPr>
        <w:pStyle w:val="ParaTab1"/>
        <w:tabs>
          <w:tab w:val="left" w:pos="2070"/>
        </w:tabs>
        <w:spacing w:line="360" w:lineRule="auto"/>
        <w:rPr>
          <w:rFonts w:ascii="Times New Roman" w:hAnsi="Times New Roman" w:cs="Times New Roman"/>
        </w:rPr>
      </w:pPr>
      <w:r w:rsidRPr="002D06E1">
        <w:rPr>
          <w:rFonts w:ascii="Times New Roman" w:hAnsi="Times New Roman" w:cs="Times New Roman"/>
        </w:rPr>
        <w:t>Section 1.15 of the Commission’s regulations provides</w:t>
      </w:r>
      <w:proofErr w:type="gramStart"/>
      <w:r w:rsidRPr="002D06E1">
        <w:rPr>
          <w:rFonts w:ascii="Times New Roman" w:hAnsi="Times New Roman" w:cs="Times New Roman"/>
        </w:rPr>
        <w:t>:  “</w:t>
      </w:r>
      <w:proofErr w:type="gramEnd"/>
      <w:r w:rsidRPr="002D06E1">
        <w:rPr>
          <w:rFonts w:ascii="Times New Roman" w:hAnsi="Times New Roman" w:cs="Times New Roman"/>
        </w:rPr>
        <w:t xml:space="preserve">Except as otherwise provided by statute, requests for continuance of hearings </w:t>
      </w:r>
      <w:r w:rsidR="00C604F9">
        <w:rPr>
          <w:rFonts w:ascii="Times New Roman" w:hAnsi="Times New Roman" w:cs="Times New Roman"/>
        </w:rPr>
        <w:t xml:space="preserve">. . . </w:t>
      </w:r>
      <w:r w:rsidRPr="002D06E1">
        <w:rPr>
          <w:rFonts w:ascii="Times New Roman" w:hAnsi="Times New Roman" w:cs="Times New Roman"/>
        </w:rPr>
        <w:t xml:space="preserve">shall be by motion in writing, timely filed with the Commission, stating the facts on which the application rests.”  52 </w:t>
      </w:r>
      <w:proofErr w:type="gramStart"/>
      <w:r w:rsidRPr="002D06E1">
        <w:rPr>
          <w:rFonts w:ascii="Times New Roman" w:hAnsi="Times New Roman" w:cs="Times New Roman"/>
        </w:rPr>
        <w:t>Pa.Code</w:t>
      </w:r>
      <w:proofErr w:type="gramEnd"/>
      <w:r w:rsidRPr="002D06E1">
        <w:rPr>
          <w:rFonts w:ascii="Times New Roman" w:hAnsi="Times New Roman" w:cs="Times New Roman"/>
        </w:rPr>
        <w:t xml:space="preserve"> § 1.15(b).  This Section also provides that “only for good cause shown will requests for continuance be considered.”  </w:t>
      </w:r>
      <w:r w:rsidRPr="002D06E1">
        <w:rPr>
          <w:rFonts w:ascii="Times New Roman" w:hAnsi="Times New Roman" w:cs="Times New Roman"/>
          <w:u w:val="single"/>
        </w:rPr>
        <w:t>Id</w:t>
      </w:r>
      <w:r w:rsidR="00C604F9">
        <w:rPr>
          <w:rFonts w:ascii="Times New Roman" w:hAnsi="Times New Roman" w:cs="Times New Roman"/>
        </w:rPr>
        <w:t>.</w:t>
      </w:r>
      <w:r w:rsidRPr="002D06E1">
        <w:rPr>
          <w:rFonts w:ascii="Times New Roman" w:hAnsi="Times New Roman" w:cs="Times New Roman"/>
        </w:rPr>
        <w:t xml:space="preserve">  </w:t>
      </w:r>
      <w:r w:rsidR="00C604F9">
        <w:rPr>
          <w:rFonts w:ascii="Times New Roman" w:hAnsi="Times New Roman" w:cs="Times New Roman"/>
        </w:rPr>
        <w:t>I conclude that the parties’ efforts to resolve this case without the need for a remand hearing constitutes good cause for the issuance of a continuance, and therefore grant the Joint Motion for Continuance.</w:t>
      </w:r>
    </w:p>
    <w:p w:rsidR="001E0EA8" w:rsidRDefault="001E0EA8" w:rsidP="00B1072B">
      <w:pPr>
        <w:pStyle w:val="ParaTab1"/>
        <w:tabs>
          <w:tab w:val="left" w:pos="2070"/>
        </w:tabs>
        <w:spacing w:line="360" w:lineRule="auto"/>
        <w:rPr>
          <w:rFonts w:ascii="Times New Roman" w:hAnsi="Times New Roman" w:cs="Times New Roman"/>
        </w:rPr>
      </w:pPr>
    </w:p>
    <w:p w:rsidR="00BD5884" w:rsidRPr="002D06E1" w:rsidRDefault="00BD5884" w:rsidP="00F749C5">
      <w:pPr>
        <w:spacing w:line="240" w:lineRule="auto"/>
        <w:jc w:val="center"/>
        <w:rPr>
          <w:rFonts w:ascii="Times New Roman" w:eastAsia="Times New Roman" w:hAnsi="Times New Roman" w:cs="Times New Roman"/>
          <w:sz w:val="24"/>
          <w:szCs w:val="24"/>
          <w:u w:val="single"/>
        </w:rPr>
      </w:pPr>
      <w:r w:rsidRPr="002D06E1">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373E91" w:rsidRPr="002D06E1" w:rsidRDefault="00373E9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2D06E1"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D06E1">
        <w:rPr>
          <w:rFonts w:ascii="Times New Roman" w:eastAsia="Times New Roman" w:hAnsi="Times New Roman" w:cs="Times New Roman"/>
          <w:sz w:val="24"/>
          <w:szCs w:val="24"/>
        </w:rPr>
        <w:tab/>
      </w:r>
      <w:r w:rsidRPr="002D06E1">
        <w:rPr>
          <w:rFonts w:ascii="Times New Roman" w:eastAsia="Times New Roman" w:hAnsi="Times New Roman" w:cs="Times New Roman"/>
          <w:sz w:val="24"/>
          <w:szCs w:val="24"/>
        </w:rPr>
        <w:tab/>
        <w:t>THEREFORE,</w:t>
      </w:r>
    </w:p>
    <w:p w:rsidR="00911957" w:rsidRPr="002D06E1"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2D06E1"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D06E1">
        <w:rPr>
          <w:rFonts w:ascii="Times New Roman" w:eastAsia="Times New Roman" w:hAnsi="Times New Roman" w:cs="Times New Roman"/>
          <w:sz w:val="24"/>
          <w:szCs w:val="24"/>
        </w:rPr>
        <w:tab/>
      </w:r>
      <w:r w:rsidRPr="002D06E1">
        <w:rPr>
          <w:rFonts w:ascii="Times New Roman" w:eastAsia="Times New Roman" w:hAnsi="Times New Roman" w:cs="Times New Roman"/>
          <w:sz w:val="24"/>
          <w:szCs w:val="24"/>
        </w:rPr>
        <w:tab/>
        <w:t>IT IS ORDERED:</w:t>
      </w:r>
    </w:p>
    <w:p w:rsidR="00911957" w:rsidRPr="002D06E1"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C5FB0" w:rsidRPr="002D06E1" w:rsidRDefault="00CC5FB0" w:rsidP="00CC5FB0">
      <w:pPr>
        <w:pStyle w:val="ParaTab1"/>
        <w:numPr>
          <w:ilvl w:val="0"/>
          <w:numId w:val="16"/>
        </w:numPr>
        <w:tabs>
          <w:tab w:val="left" w:pos="2070"/>
        </w:tabs>
        <w:spacing w:line="360" w:lineRule="auto"/>
        <w:ind w:left="0" w:firstLine="1440"/>
        <w:rPr>
          <w:rFonts w:ascii="Times New Roman" w:hAnsi="Times New Roman" w:cs="Times New Roman"/>
        </w:rPr>
      </w:pPr>
      <w:r w:rsidRPr="002D06E1">
        <w:rPr>
          <w:rFonts w:ascii="Times New Roman" w:hAnsi="Times New Roman" w:cs="Times New Roman"/>
          <w:spacing w:val="-3"/>
        </w:rPr>
        <w:t xml:space="preserve">That the </w:t>
      </w:r>
      <w:r w:rsidR="001E0EA8">
        <w:rPr>
          <w:rFonts w:ascii="Times New Roman" w:hAnsi="Times New Roman" w:cs="Times New Roman"/>
          <w:spacing w:val="-3"/>
        </w:rPr>
        <w:t>Joint Motion for Continuance of Hearing at Docket No. C-2017-2610584</w:t>
      </w:r>
      <w:r w:rsidR="00046479" w:rsidRPr="002D06E1">
        <w:rPr>
          <w:rFonts w:ascii="Times New Roman" w:hAnsi="Times New Roman" w:cs="Times New Roman"/>
          <w:spacing w:val="-3"/>
        </w:rPr>
        <w:t xml:space="preserve"> </w:t>
      </w:r>
      <w:r w:rsidRPr="002D06E1">
        <w:rPr>
          <w:rFonts w:ascii="Times New Roman" w:hAnsi="Times New Roman" w:cs="Times New Roman"/>
          <w:spacing w:val="-3"/>
        </w:rPr>
        <w:t>is hereby granted.</w:t>
      </w:r>
    </w:p>
    <w:p w:rsidR="00CC5FB0" w:rsidRPr="002D06E1" w:rsidRDefault="00CC5FB0" w:rsidP="00CC5FB0">
      <w:pPr>
        <w:pStyle w:val="ParaTab1"/>
        <w:tabs>
          <w:tab w:val="left" w:pos="2070"/>
        </w:tabs>
        <w:spacing w:line="360" w:lineRule="auto"/>
        <w:ind w:left="1440" w:firstLine="0"/>
        <w:rPr>
          <w:rFonts w:ascii="Times New Roman" w:hAnsi="Times New Roman" w:cs="Times New Roman"/>
        </w:rPr>
      </w:pPr>
    </w:p>
    <w:p w:rsidR="001E0EA8" w:rsidRDefault="00CC5FB0" w:rsidP="00CC5FB0">
      <w:pPr>
        <w:pStyle w:val="ParaTab1"/>
        <w:numPr>
          <w:ilvl w:val="0"/>
          <w:numId w:val="16"/>
        </w:numPr>
        <w:tabs>
          <w:tab w:val="left" w:pos="2070"/>
        </w:tabs>
        <w:spacing w:line="360" w:lineRule="auto"/>
        <w:ind w:left="0" w:firstLine="1440"/>
        <w:rPr>
          <w:rFonts w:ascii="Times New Roman" w:hAnsi="Times New Roman" w:cs="Times New Roman"/>
        </w:rPr>
      </w:pPr>
      <w:r w:rsidRPr="002D06E1">
        <w:rPr>
          <w:rFonts w:ascii="Times New Roman" w:hAnsi="Times New Roman" w:cs="Times New Roman"/>
        </w:rPr>
        <w:t xml:space="preserve">That the Initial Telephonic Hearing </w:t>
      </w:r>
      <w:r w:rsidR="001E0EA8">
        <w:rPr>
          <w:rFonts w:ascii="Times New Roman" w:hAnsi="Times New Roman" w:cs="Times New Roman"/>
        </w:rPr>
        <w:t xml:space="preserve">on Remand </w:t>
      </w:r>
      <w:r w:rsidRPr="002D06E1">
        <w:rPr>
          <w:rFonts w:ascii="Times New Roman" w:hAnsi="Times New Roman" w:cs="Times New Roman"/>
        </w:rPr>
        <w:t xml:space="preserve">scheduled for </w:t>
      </w:r>
      <w:r w:rsidR="001E0EA8">
        <w:rPr>
          <w:rFonts w:ascii="Times New Roman" w:hAnsi="Times New Roman" w:cs="Times New Roman"/>
        </w:rPr>
        <w:t xml:space="preserve">November 28, 2018 </w:t>
      </w:r>
      <w:r w:rsidRPr="002D06E1">
        <w:rPr>
          <w:rFonts w:ascii="Times New Roman" w:hAnsi="Times New Roman" w:cs="Times New Roman"/>
        </w:rPr>
        <w:t>is c</w:t>
      </w:r>
      <w:r w:rsidR="00F06FB5" w:rsidRPr="002D06E1">
        <w:rPr>
          <w:rFonts w:ascii="Times New Roman" w:hAnsi="Times New Roman" w:cs="Times New Roman"/>
        </w:rPr>
        <w:t>ancelled</w:t>
      </w:r>
      <w:r w:rsidR="00064374" w:rsidRPr="002D06E1">
        <w:rPr>
          <w:rFonts w:ascii="Times New Roman" w:hAnsi="Times New Roman" w:cs="Times New Roman"/>
        </w:rPr>
        <w:t xml:space="preserve"> and </w:t>
      </w:r>
      <w:r w:rsidR="001E0EA8">
        <w:rPr>
          <w:rFonts w:ascii="Times New Roman" w:hAnsi="Times New Roman" w:cs="Times New Roman"/>
        </w:rPr>
        <w:t>that the parties shall be given 45 days in which to work on settlement.</w:t>
      </w:r>
    </w:p>
    <w:p w:rsidR="001E0EA8" w:rsidRDefault="001E0EA8" w:rsidP="001E0EA8">
      <w:pPr>
        <w:pStyle w:val="ParaTab1"/>
        <w:tabs>
          <w:tab w:val="left" w:pos="2070"/>
        </w:tabs>
        <w:spacing w:line="360" w:lineRule="auto"/>
        <w:ind w:left="1440" w:firstLine="0"/>
        <w:rPr>
          <w:rFonts w:ascii="Times New Roman" w:hAnsi="Times New Roman" w:cs="Times New Roman"/>
        </w:rPr>
      </w:pPr>
    </w:p>
    <w:p w:rsidR="001E0EA8" w:rsidRDefault="001E0EA8" w:rsidP="00CC5FB0">
      <w:pPr>
        <w:pStyle w:val="ParaTab1"/>
        <w:numPr>
          <w:ilvl w:val="0"/>
          <w:numId w:val="16"/>
        </w:numPr>
        <w:tabs>
          <w:tab w:val="left" w:pos="2070"/>
        </w:tabs>
        <w:spacing w:line="360" w:lineRule="auto"/>
        <w:ind w:left="0" w:firstLine="1440"/>
        <w:rPr>
          <w:rFonts w:ascii="Times New Roman" w:hAnsi="Times New Roman" w:cs="Times New Roman"/>
        </w:rPr>
      </w:pPr>
      <w:r>
        <w:rPr>
          <w:rFonts w:ascii="Times New Roman" w:hAnsi="Times New Roman" w:cs="Times New Roman"/>
        </w:rPr>
        <w:t>That the parties shall report back to the Presiding Officer within 45 days and advise of the status of settlement efforts.</w:t>
      </w:r>
    </w:p>
    <w:p w:rsidR="001E0EA8" w:rsidRDefault="001E0EA8" w:rsidP="001E0EA8">
      <w:pPr>
        <w:pStyle w:val="ParaTab1"/>
        <w:tabs>
          <w:tab w:val="left" w:pos="2070"/>
        </w:tabs>
        <w:spacing w:line="360" w:lineRule="auto"/>
        <w:ind w:left="1440" w:firstLine="0"/>
        <w:rPr>
          <w:rFonts w:ascii="Times New Roman" w:hAnsi="Times New Roman" w:cs="Times New Roman"/>
        </w:rPr>
      </w:pPr>
    </w:p>
    <w:p w:rsidR="001E0EA8" w:rsidRDefault="001E0EA8" w:rsidP="00CC5FB0">
      <w:pPr>
        <w:pStyle w:val="ParaTab1"/>
        <w:numPr>
          <w:ilvl w:val="0"/>
          <w:numId w:val="16"/>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That the hearing shall be rescheduled </w:t>
      </w:r>
      <w:proofErr w:type="gramStart"/>
      <w:r>
        <w:rPr>
          <w:rFonts w:ascii="Times New Roman" w:hAnsi="Times New Roman" w:cs="Times New Roman"/>
        </w:rPr>
        <w:t>in the event that</w:t>
      </w:r>
      <w:proofErr w:type="gramEnd"/>
      <w:r>
        <w:rPr>
          <w:rFonts w:ascii="Times New Roman" w:hAnsi="Times New Roman" w:cs="Times New Roman"/>
        </w:rPr>
        <w:t xml:space="preserve"> the parties are unsuccessful in settling this case.</w:t>
      </w:r>
    </w:p>
    <w:p w:rsidR="001E0EA8" w:rsidRDefault="001E0EA8" w:rsidP="001E0EA8">
      <w:pPr>
        <w:pStyle w:val="ParaTab1"/>
        <w:tabs>
          <w:tab w:val="left" w:pos="2070"/>
        </w:tabs>
        <w:spacing w:line="360" w:lineRule="auto"/>
        <w:ind w:left="1440" w:firstLine="0"/>
        <w:rPr>
          <w:rFonts w:ascii="Times New Roman" w:hAnsi="Times New Roman" w:cs="Times New Roman"/>
        </w:rPr>
      </w:pPr>
    </w:p>
    <w:p w:rsidR="001E0EA8" w:rsidRDefault="001E0EA8" w:rsidP="003156FF">
      <w:pPr>
        <w:spacing w:after="0" w:line="360" w:lineRule="auto"/>
        <w:rPr>
          <w:rFonts w:ascii="Times New Roman" w:eastAsia="Times New Roman" w:hAnsi="Times New Roman" w:cs="Times New Roman"/>
          <w:spacing w:val="-3"/>
          <w:sz w:val="24"/>
          <w:szCs w:val="24"/>
        </w:rPr>
      </w:pPr>
    </w:p>
    <w:p w:rsidR="001E0EA8" w:rsidRPr="002D06E1" w:rsidRDefault="001E0EA8" w:rsidP="003156FF">
      <w:pPr>
        <w:spacing w:after="0" w:line="360" w:lineRule="auto"/>
        <w:rPr>
          <w:rFonts w:ascii="Times New Roman" w:eastAsia="Times New Roman" w:hAnsi="Times New Roman" w:cs="Times New Roman"/>
          <w:spacing w:val="-3"/>
          <w:sz w:val="24"/>
          <w:szCs w:val="24"/>
        </w:rPr>
      </w:pPr>
    </w:p>
    <w:p w:rsidR="001E0EA8" w:rsidRPr="001E0EA8" w:rsidRDefault="00BD5884" w:rsidP="001E0EA8">
      <w:pPr>
        <w:spacing w:after="0" w:line="240" w:lineRule="auto"/>
        <w:rPr>
          <w:rFonts w:ascii="Times New Roman" w:eastAsia="Times New Roman" w:hAnsi="Times New Roman" w:cs="Times New Roman"/>
          <w:sz w:val="24"/>
          <w:szCs w:val="24"/>
        </w:rPr>
      </w:pPr>
      <w:r w:rsidRPr="002D06E1">
        <w:rPr>
          <w:rFonts w:ascii="Times New Roman" w:eastAsia="Times New Roman" w:hAnsi="Times New Roman" w:cs="Times New Roman"/>
          <w:spacing w:val="-3"/>
          <w:sz w:val="24"/>
          <w:szCs w:val="24"/>
        </w:rPr>
        <w:t>Date:</w:t>
      </w:r>
      <w:r w:rsidRPr="002D06E1">
        <w:rPr>
          <w:rFonts w:ascii="Times New Roman" w:eastAsia="Times New Roman" w:hAnsi="Times New Roman" w:cs="Times New Roman"/>
          <w:spacing w:val="-3"/>
          <w:sz w:val="24"/>
          <w:szCs w:val="24"/>
        </w:rPr>
        <w:tab/>
      </w:r>
      <w:r w:rsidR="001E0EA8">
        <w:rPr>
          <w:rFonts w:ascii="Times New Roman" w:eastAsia="Times New Roman" w:hAnsi="Times New Roman" w:cs="Times New Roman"/>
          <w:spacing w:val="-3"/>
          <w:sz w:val="24"/>
          <w:szCs w:val="24"/>
          <w:u w:val="single"/>
        </w:rPr>
        <w:t>November 14, 2018</w:t>
      </w:r>
      <w:r w:rsidRPr="002D06E1">
        <w:rPr>
          <w:rFonts w:ascii="Times New Roman" w:eastAsia="Times New Roman" w:hAnsi="Times New Roman" w:cs="Times New Roman"/>
          <w:spacing w:val="-3"/>
          <w:sz w:val="24"/>
          <w:szCs w:val="24"/>
        </w:rPr>
        <w:tab/>
      </w:r>
      <w:r w:rsidR="001E0EA8">
        <w:rPr>
          <w:rFonts w:ascii="Times New Roman" w:eastAsia="Times New Roman" w:hAnsi="Times New Roman" w:cs="Times New Roman"/>
          <w:spacing w:val="-3"/>
          <w:sz w:val="24"/>
          <w:szCs w:val="24"/>
        </w:rPr>
        <w:tab/>
      </w:r>
      <w:r w:rsidR="001E0EA8">
        <w:rPr>
          <w:rFonts w:ascii="Times New Roman" w:eastAsia="Times New Roman" w:hAnsi="Times New Roman" w:cs="Times New Roman"/>
          <w:spacing w:val="-3"/>
          <w:sz w:val="24"/>
          <w:szCs w:val="24"/>
        </w:rPr>
        <w:tab/>
      </w:r>
      <w:r w:rsidR="001E0EA8">
        <w:rPr>
          <w:rFonts w:ascii="Times New Roman" w:eastAsia="Times New Roman" w:hAnsi="Times New Roman" w:cs="Times New Roman"/>
          <w:spacing w:val="-3"/>
          <w:sz w:val="24"/>
          <w:szCs w:val="24"/>
        </w:rPr>
        <w:tab/>
      </w:r>
      <w:r w:rsidR="001E0EA8">
        <w:rPr>
          <w:rFonts w:ascii="Times New Roman" w:eastAsia="Times New Roman" w:hAnsi="Times New Roman" w:cs="Times New Roman"/>
          <w:spacing w:val="-3"/>
          <w:sz w:val="24"/>
          <w:szCs w:val="24"/>
        </w:rPr>
        <w:tab/>
      </w:r>
      <w:r w:rsidR="001E0EA8" w:rsidRPr="001E0EA8">
        <w:rPr>
          <w:rFonts w:ascii="Times New Roman" w:eastAsia="Times New Roman" w:hAnsi="Times New Roman" w:cs="Times New Roman"/>
          <w:sz w:val="24"/>
          <w:szCs w:val="24"/>
          <w:u w:val="single"/>
        </w:rPr>
        <w:tab/>
        <w:t xml:space="preserve">     /s/</w:t>
      </w:r>
      <w:r w:rsidR="001E0EA8" w:rsidRPr="001E0EA8">
        <w:rPr>
          <w:rFonts w:ascii="Times New Roman" w:eastAsia="Times New Roman" w:hAnsi="Times New Roman" w:cs="Times New Roman"/>
          <w:sz w:val="24"/>
          <w:szCs w:val="24"/>
          <w:u w:val="single"/>
        </w:rPr>
        <w:tab/>
      </w:r>
      <w:r w:rsidR="001E0EA8" w:rsidRPr="001E0EA8">
        <w:rPr>
          <w:rFonts w:ascii="Times New Roman" w:eastAsia="Times New Roman" w:hAnsi="Times New Roman" w:cs="Times New Roman"/>
          <w:sz w:val="24"/>
          <w:szCs w:val="24"/>
          <w:u w:val="single"/>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r>
      <w:r w:rsidR="001E0EA8" w:rsidRPr="001E0EA8">
        <w:rPr>
          <w:rFonts w:ascii="Times New Roman" w:eastAsia="Times New Roman" w:hAnsi="Times New Roman" w:cs="Times New Roman"/>
          <w:sz w:val="24"/>
          <w:szCs w:val="24"/>
        </w:rPr>
        <w:tab/>
        <w:t>Andrew M. Calvelli</w:t>
      </w:r>
    </w:p>
    <w:p w:rsidR="001E0EA8" w:rsidRPr="001E0EA8" w:rsidRDefault="001E0EA8" w:rsidP="001E0EA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Pr="001E0EA8">
        <w:rPr>
          <w:rFonts w:ascii="Times New Roman" w:eastAsia="Times New Roman" w:hAnsi="Times New Roman" w:cs="Times New Roman"/>
          <w:sz w:val="24"/>
          <w:szCs w:val="24"/>
        </w:rPr>
        <w:tab/>
      </w:r>
      <w:r w:rsidRPr="001E0EA8">
        <w:rPr>
          <w:rFonts w:ascii="Times New Roman" w:eastAsia="Times New Roman" w:hAnsi="Times New Roman" w:cs="Times New Roman"/>
          <w:sz w:val="24"/>
          <w:szCs w:val="24"/>
        </w:rPr>
        <w:tab/>
      </w:r>
      <w:r w:rsidRPr="001E0EA8">
        <w:rPr>
          <w:rFonts w:ascii="Times New Roman" w:eastAsia="Times New Roman" w:hAnsi="Times New Roman" w:cs="Times New Roman"/>
          <w:sz w:val="24"/>
          <w:szCs w:val="24"/>
        </w:rPr>
        <w:tab/>
      </w:r>
      <w:r w:rsidRPr="001E0EA8">
        <w:rPr>
          <w:rFonts w:ascii="Times New Roman" w:eastAsia="Times New Roman" w:hAnsi="Times New Roman" w:cs="Times New Roman"/>
          <w:sz w:val="24"/>
          <w:szCs w:val="24"/>
        </w:rPr>
        <w:tab/>
      </w:r>
      <w:r w:rsidRPr="001E0EA8">
        <w:rPr>
          <w:rFonts w:ascii="Times New Roman" w:eastAsia="Times New Roman" w:hAnsi="Times New Roman" w:cs="Times New Roman"/>
          <w:sz w:val="24"/>
          <w:szCs w:val="24"/>
        </w:rPr>
        <w:tab/>
      </w:r>
      <w:r w:rsidRPr="001E0EA8">
        <w:rPr>
          <w:rFonts w:ascii="Times New Roman" w:eastAsia="Times New Roman" w:hAnsi="Times New Roman" w:cs="Times New Roman"/>
          <w:sz w:val="24"/>
          <w:szCs w:val="24"/>
        </w:rPr>
        <w:tab/>
      </w:r>
      <w:r w:rsidRPr="001E0EA8">
        <w:rPr>
          <w:rFonts w:ascii="Times New Roman" w:eastAsia="Times New Roman" w:hAnsi="Times New Roman" w:cs="Times New Roman"/>
          <w:sz w:val="24"/>
          <w:szCs w:val="24"/>
        </w:rPr>
        <w:tab/>
        <w:t>Administrative Law Judge</w:t>
      </w:r>
    </w:p>
    <w:p w:rsidR="001E0EA8" w:rsidRPr="001E0EA8" w:rsidRDefault="001E0EA8" w:rsidP="001E0EA8">
      <w:pPr>
        <w:spacing w:after="0" w:line="240" w:lineRule="auto"/>
        <w:rPr>
          <w:rFonts w:ascii="Times New Roman" w:eastAsia="Times New Roman" w:hAnsi="Times New Roman" w:cs="Times New Roman"/>
          <w:sz w:val="26"/>
          <w:szCs w:val="26"/>
        </w:rPr>
      </w:pPr>
    </w:p>
    <w:p w:rsidR="00640DEC" w:rsidRDefault="00640DEC" w:rsidP="001E0EA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640DEC" w:rsidSect="00640DEC">
          <w:footerReference w:type="default" r:id="rId8"/>
          <w:footerReference w:type="first" r:id="rId9"/>
          <w:pgSz w:w="12240" w:h="15840"/>
          <w:pgMar w:top="1440" w:right="1440" w:bottom="1440" w:left="1440" w:header="720" w:footer="720" w:gutter="0"/>
          <w:cols w:space="720"/>
          <w:titlePg/>
          <w:docGrid w:linePitch="360"/>
        </w:sectPr>
      </w:pPr>
    </w:p>
    <w:p w:rsidR="00640DEC" w:rsidRDefault="00640DEC" w:rsidP="00640DEC">
      <w:pPr>
        <w:spacing w:after="0" w:line="240" w:lineRule="auto"/>
        <w:contextualSpacing/>
        <w:rPr>
          <w:rFonts w:ascii="Microsoft Sans Serif"/>
          <w:b/>
          <w:sz w:val="24"/>
        </w:rPr>
      </w:pPr>
      <w:r>
        <w:rPr>
          <w:rFonts w:ascii="Microsoft Sans Serif"/>
          <w:b/>
          <w:sz w:val="24"/>
          <w:u w:val="single"/>
        </w:rPr>
        <w:t>C-2017-2610584 - ROBERT G KUHN JR v. DUQUESNE LIGHT COMPANY</w:t>
      </w:r>
      <w:r>
        <w:rPr>
          <w:rFonts w:ascii="Microsoft Sans Serif"/>
          <w:b/>
          <w:sz w:val="24"/>
          <w:u w:val="single"/>
        </w:rPr>
        <w:cr/>
      </w:r>
      <w:r>
        <w:rPr>
          <w:rFonts w:ascii="Microsoft Sans Serif"/>
          <w:b/>
          <w:sz w:val="24"/>
          <w:u w:val="single"/>
        </w:rPr>
        <w:cr/>
      </w:r>
      <w:bookmarkStart w:id="0" w:name="_Hlk530473060"/>
      <w:r>
        <w:rPr>
          <w:rFonts w:ascii="Microsoft Sans Serif"/>
          <w:sz w:val="24"/>
        </w:rPr>
        <w:t>ROBERT G KUHN JR</w:t>
      </w:r>
      <w:r>
        <w:rPr>
          <w:rFonts w:ascii="Microsoft Sans Serif"/>
          <w:sz w:val="24"/>
        </w:rPr>
        <w:cr/>
        <w:t>3705 AURELIA DRIVE</w:t>
      </w:r>
      <w:r>
        <w:rPr>
          <w:rFonts w:ascii="Microsoft Sans Serif"/>
          <w:sz w:val="24"/>
        </w:rPr>
        <w:cr/>
        <w:t>ALLISON PARK PA  15101</w:t>
      </w:r>
      <w:bookmarkEnd w:id="0"/>
      <w:r>
        <w:rPr>
          <w:rFonts w:ascii="Microsoft Sans Serif"/>
          <w:sz w:val="24"/>
        </w:rPr>
        <w:cr/>
      </w:r>
      <w:r>
        <w:rPr>
          <w:rFonts w:ascii="Microsoft Sans Serif"/>
          <w:b/>
          <w:sz w:val="24"/>
        </w:rPr>
        <w:t>412.486.</w:t>
      </w:r>
      <w:r w:rsidRPr="0099295E">
        <w:rPr>
          <w:rFonts w:ascii="Microsoft Sans Serif"/>
          <w:b/>
          <w:sz w:val="24"/>
        </w:rPr>
        <w:t>1286</w:t>
      </w:r>
      <w:r w:rsidRPr="0099295E">
        <w:rPr>
          <w:rFonts w:ascii="Microsoft Sans Serif"/>
          <w:b/>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99295E">
        <w:rPr>
          <w:rFonts w:ascii="Microsoft Sans Serif"/>
          <w:b/>
          <w:sz w:val="24"/>
        </w:rPr>
        <w:t>412.594.3938</w:t>
      </w:r>
      <w:r w:rsidRPr="0099295E">
        <w:rPr>
          <w:rFonts w:ascii="Microsoft Sans Serif"/>
          <w:b/>
          <w:sz w:val="24"/>
        </w:rPr>
        <w:cr/>
        <w:t>412.566.1212</w:t>
      </w:r>
    </w:p>
    <w:p w:rsidR="00640DEC" w:rsidRPr="00360959" w:rsidRDefault="00640DEC" w:rsidP="00640DEC">
      <w:pPr>
        <w:spacing w:after="0" w:line="240" w:lineRule="auto"/>
        <w:contextualSpacing/>
        <w:rPr>
          <w:rFonts w:ascii="Microsoft Sans Serif"/>
          <w:b/>
          <w:i/>
          <w:sz w:val="24"/>
        </w:rPr>
      </w:pPr>
      <w:r w:rsidRPr="00360959">
        <w:rPr>
          <w:rFonts w:ascii="Microsoft Sans Serif"/>
          <w:b/>
          <w:i/>
          <w:sz w:val="24"/>
        </w:rPr>
        <w:t>Accepts E-service</w:t>
      </w:r>
    </w:p>
    <w:p w:rsidR="00640DEC" w:rsidRPr="0099295E" w:rsidRDefault="00640DEC" w:rsidP="00640DEC">
      <w:pPr>
        <w:spacing w:after="0" w:line="240" w:lineRule="auto"/>
        <w:contextualSpacing/>
        <w:rPr>
          <w:i/>
        </w:rPr>
      </w:pPr>
      <w:r w:rsidRPr="0099295E">
        <w:rPr>
          <w:rFonts w:ascii="Microsoft Sans Serif"/>
          <w:i/>
          <w:sz w:val="24"/>
        </w:rPr>
        <w:t>Representing</w:t>
      </w:r>
      <w:r>
        <w:rPr>
          <w:rFonts w:ascii="Microsoft Sans Serif"/>
          <w:i/>
          <w:sz w:val="24"/>
        </w:rPr>
        <w:t xml:space="preserve"> Duquesne Light Company</w:t>
      </w:r>
      <w:r w:rsidRPr="0099295E">
        <w:rPr>
          <w:rFonts w:ascii="Microsoft Sans Serif"/>
          <w:i/>
          <w:sz w:val="24"/>
        </w:rPr>
        <w:cr/>
      </w:r>
    </w:p>
    <w:p w:rsidR="00640DEC" w:rsidRDefault="00640DEC" w:rsidP="00640DEC">
      <w:pPr>
        <w:spacing w:after="0" w:line="240" w:lineRule="auto"/>
        <w:contextualSpacing/>
      </w:pPr>
    </w:p>
    <w:p w:rsidR="00C0545A" w:rsidRPr="002D06E1" w:rsidRDefault="00C0545A" w:rsidP="001E0EA8">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1" w:name="_GoBack"/>
      <w:bookmarkEnd w:id="1"/>
    </w:p>
    <w:sectPr w:rsidR="00C0545A" w:rsidRPr="002D06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3F8" w:rsidRDefault="007773F8" w:rsidP="00CE5CC7">
      <w:pPr>
        <w:spacing w:after="0" w:line="240" w:lineRule="auto"/>
      </w:pPr>
      <w:r>
        <w:separator/>
      </w:r>
    </w:p>
  </w:endnote>
  <w:endnote w:type="continuationSeparator" w:id="0">
    <w:p w:rsidR="007773F8" w:rsidRDefault="007773F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80561">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DEC" w:rsidRPr="00932A73" w:rsidRDefault="00640DEC"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3F8" w:rsidRDefault="007773F8" w:rsidP="00CE5CC7">
      <w:pPr>
        <w:spacing w:after="0" w:line="240" w:lineRule="auto"/>
      </w:pPr>
      <w:r>
        <w:separator/>
      </w:r>
    </w:p>
  </w:footnote>
  <w:footnote w:type="continuationSeparator" w:id="0">
    <w:p w:rsidR="007773F8" w:rsidRDefault="007773F8"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5C93AA2"/>
    <w:multiLevelType w:val="hybridMultilevel"/>
    <w:tmpl w:val="002AC642"/>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3"/>
  </w:num>
  <w:num w:numId="8">
    <w:abstractNumId w:val="12"/>
  </w:num>
  <w:num w:numId="9">
    <w:abstractNumId w:val="7"/>
  </w:num>
  <w:num w:numId="10">
    <w:abstractNumId w:val="9"/>
  </w:num>
  <w:num w:numId="11">
    <w:abstractNumId w:val="1"/>
  </w:num>
  <w:num w:numId="12">
    <w:abstractNumId w:val="3"/>
  </w:num>
  <w:num w:numId="13">
    <w:abstractNumId w:val="8"/>
  </w:num>
  <w:num w:numId="14">
    <w:abstractNumId w:val="10"/>
  </w:num>
  <w:num w:numId="15">
    <w:abstractNumId w:val="2"/>
  </w:num>
  <w:num w:numId="16">
    <w:abstractNumId w:val="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6C19"/>
    <w:rsid w:val="00012008"/>
    <w:rsid w:val="0001449E"/>
    <w:rsid w:val="00015520"/>
    <w:rsid w:val="0001590C"/>
    <w:rsid w:val="0001669E"/>
    <w:rsid w:val="0002089A"/>
    <w:rsid w:val="00023AAE"/>
    <w:rsid w:val="00023BCF"/>
    <w:rsid w:val="000251EC"/>
    <w:rsid w:val="00026F1C"/>
    <w:rsid w:val="00026FA5"/>
    <w:rsid w:val="0002728D"/>
    <w:rsid w:val="00027FD1"/>
    <w:rsid w:val="00031E4F"/>
    <w:rsid w:val="00033C20"/>
    <w:rsid w:val="000363FC"/>
    <w:rsid w:val="00036A54"/>
    <w:rsid w:val="000373AF"/>
    <w:rsid w:val="00042E4D"/>
    <w:rsid w:val="00045CAF"/>
    <w:rsid w:val="00046479"/>
    <w:rsid w:val="00050838"/>
    <w:rsid w:val="000520BE"/>
    <w:rsid w:val="000541D8"/>
    <w:rsid w:val="00057FE2"/>
    <w:rsid w:val="00060098"/>
    <w:rsid w:val="00063319"/>
    <w:rsid w:val="00064374"/>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24A6"/>
    <w:rsid w:val="000C4F78"/>
    <w:rsid w:val="000C7035"/>
    <w:rsid w:val="000C7B96"/>
    <w:rsid w:val="000D139E"/>
    <w:rsid w:val="000D15FC"/>
    <w:rsid w:val="000D1F19"/>
    <w:rsid w:val="000D261C"/>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17E"/>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2664"/>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1370"/>
    <w:rsid w:val="001D2A67"/>
    <w:rsid w:val="001D331C"/>
    <w:rsid w:val="001D4441"/>
    <w:rsid w:val="001D5D29"/>
    <w:rsid w:val="001D6796"/>
    <w:rsid w:val="001D7453"/>
    <w:rsid w:val="001E0EA8"/>
    <w:rsid w:val="001E60EF"/>
    <w:rsid w:val="001F0D35"/>
    <w:rsid w:val="001F1682"/>
    <w:rsid w:val="001F1B85"/>
    <w:rsid w:val="001F2FF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2BC1"/>
    <w:rsid w:val="002338E4"/>
    <w:rsid w:val="00236196"/>
    <w:rsid w:val="002369D3"/>
    <w:rsid w:val="00237B23"/>
    <w:rsid w:val="00237FB5"/>
    <w:rsid w:val="00242F91"/>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20B"/>
    <w:rsid w:val="002B23B6"/>
    <w:rsid w:val="002B24CB"/>
    <w:rsid w:val="002B508E"/>
    <w:rsid w:val="002B7BCA"/>
    <w:rsid w:val="002C01B2"/>
    <w:rsid w:val="002C0B85"/>
    <w:rsid w:val="002C2CAC"/>
    <w:rsid w:val="002C4326"/>
    <w:rsid w:val="002C7CBB"/>
    <w:rsid w:val="002D06E1"/>
    <w:rsid w:val="002D09AF"/>
    <w:rsid w:val="002D1409"/>
    <w:rsid w:val="002D16A5"/>
    <w:rsid w:val="002D1E8D"/>
    <w:rsid w:val="002D270E"/>
    <w:rsid w:val="002D39FC"/>
    <w:rsid w:val="002D59EB"/>
    <w:rsid w:val="002D6DD3"/>
    <w:rsid w:val="002E1645"/>
    <w:rsid w:val="002E3622"/>
    <w:rsid w:val="002E6262"/>
    <w:rsid w:val="002F069A"/>
    <w:rsid w:val="002F14B0"/>
    <w:rsid w:val="002F1BCB"/>
    <w:rsid w:val="002F36FD"/>
    <w:rsid w:val="002F4796"/>
    <w:rsid w:val="002F5F8A"/>
    <w:rsid w:val="002F6446"/>
    <w:rsid w:val="003036DD"/>
    <w:rsid w:val="0030374C"/>
    <w:rsid w:val="003037E3"/>
    <w:rsid w:val="00306CA9"/>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3E91"/>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1C08"/>
    <w:rsid w:val="00412A4B"/>
    <w:rsid w:val="00413398"/>
    <w:rsid w:val="004157B8"/>
    <w:rsid w:val="00415A33"/>
    <w:rsid w:val="00417304"/>
    <w:rsid w:val="00420D62"/>
    <w:rsid w:val="0042401A"/>
    <w:rsid w:val="004255B4"/>
    <w:rsid w:val="0042596E"/>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561"/>
    <w:rsid w:val="0048064E"/>
    <w:rsid w:val="00480826"/>
    <w:rsid w:val="00480B88"/>
    <w:rsid w:val="00484601"/>
    <w:rsid w:val="00485726"/>
    <w:rsid w:val="00485980"/>
    <w:rsid w:val="004869D7"/>
    <w:rsid w:val="00491C46"/>
    <w:rsid w:val="00492093"/>
    <w:rsid w:val="00493DF8"/>
    <w:rsid w:val="00496786"/>
    <w:rsid w:val="00497468"/>
    <w:rsid w:val="004A1466"/>
    <w:rsid w:val="004A2EEF"/>
    <w:rsid w:val="004B01E0"/>
    <w:rsid w:val="004B0500"/>
    <w:rsid w:val="004B2BF7"/>
    <w:rsid w:val="004B33AD"/>
    <w:rsid w:val="004B5A63"/>
    <w:rsid w:val="004B6090"/>
    <w:rsid w:val="004B66A1"/>
    <w:rsid w:val="004B6F15"/>
    <w:rsid w:val="004C1116"/>
    <w:rsid w:val="004C21A1"/>
    <w:rsid w:val="004C2F0D"/>
    <w:rsid w:val="004C535A"/>
    <w:rsid w:val="004C584C"/>
    <w:rsid w:val="004C5EEE"/>
    <w:rsid w:val="004C6F0F"/>
    <w:rsid w:val="004D3179"/>
    <w:rsid w:val="004D3A5D"/>
    <w:rsid w:val="004D4452"/>
    <w:rsid w:val="004D450D"/>
    <w:rsid w:val="004D4D94"/>
    <w:rsid w:val="004D52B0"/>
    <w:rsid w:val="004E30DB"/>
    <w:rsid w:val="004E42DA"/>
    <w:rsid w:val="004E4CAE"/>
    <w:rsid w:val="004E5077"/>
    <w:rsid w:val="004E68CA"/>
    <w:rsid w:val="004F0409"/>
    <w:rsid w:val="004F24E7"/>
    <w:rsid w:val="004F3090"/>
    <w:rsid w:val="004F3C38"/>
    <w:rsid w:val="004F47CC"/>
    <w:rsid w:val="004F4C98"/>
    <w:rsid w:val="004F5ACD"/>
    <w:rsid w:val="0050016A"/>
    <w:rsid w:val="005051B0"/>
    <w:rsid w:val="0050570A"/>
    <w:rsid w:val="0051166D"/>
    <w:rsid w:val="00511BAD"/>
    <w:rsid w:val="005136FE"/>
    <w:rsid w:val="00520602"/>
    <w:rsid w:val="0052097B"/>
    <w:rsid w:val="00524329"/>
    <w:rsid w:val="005258C6"/>
    <w:rsid w:val="00526FA7"/>
    <w:rsid w:val="00530125"/>
    <w:rsid w:val="00532C1C"/>
    <w:rsid w:val="0053404D"/>
    <w:rsid w:val="00537491"/>
    <w:rsid w:val="00537C12"/>
    <w:rsid w:val="005425AD"/>
    <w:rsid w:val="00546DAA"/>
    <w:rsid w:val="005513B6"/>
    <w:rsid w:val="00553AE1"/>
    <w:rsid w:val="0055556B"/>
    <w:rsid w:val="00560D44"/>
    <w:rsid w:val="005617E8"/>
    <w:rsid w:val="00561AD6"/>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2044"/>
    <w:rsid w:val="005B2A18"/>
    <w:rsid w:val="005B4665"/>
    <w:rsid w:val="005B50DA"/>
    <w:rsid w:val="005B5A10"/>
    <w:rsid w:val="005B68C9"/>
    <w:rsid w:val="005B68CA"/>
    <w:rsid w:val="005B7C0A"/>
    <w:rsid w:val="005C15C0"/>
    <w:rsid w:val="005C301D"/>
    <w:rsid w:val="005C6483"/>
    <w:rsid w:val="005C7F71"/>
    <w:rsid w:val="005D24B1"/>
    <w:rsid w:val="005D43D9"/>
    <w:rsid w:val="005D5009"/>
    <w:rsid w:val="005D7AB6"/>
    <w:rsid w:val="005D7B32"/>
    <w:rsid w:val="005E0264"/>
    <w:rsid w:val="005E6DDE"/>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0DEC"/>
    <w:rsid w:val="00643607"/>
    <w:rsid w:val="00643989"/>
    <w:rsid w:val="00644B50"/>
    <w:rsid w:val="00646741"/>
    <w:rsid w:val="00650B04"/>
    <w:rsid w:val="00651784"/>
    <w:rsid w:val="00652400"/>
    <w:rsid w:val="00654603"/>
    <w:rsid w:val="0065592B"/>
    <w:rsid w:val="00656C70"/>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1A43"/>
    <w:rsid w:val="006A34AA"/>
    <w:rsid w:val="006A3BDA"/>
    <w:rsid w:val="006A5AAF"/>
    <w:rsid w:val="006B2BD0"/>
    <w:rsid w:val="006B6034"/>
    <w:rsid w:val="006B7016"/>
    <w:rsid w:val="006B7ECE"/>
    <w:rsid w:val="006C264A"/>
    <w:rsid w:val="006C2F2B"/>
    <w:rsid w:val="006C3A04"/>
    <w:rsid w:val="006C708C"/>
    <w:rsid w:val="006C7966"/>
    <w:rsid w:val="006D1F2D"/>
    <w:rsid w:val="006D2B0F"/>
    <w:rsid w:val="006D5EA1"/>
    <w:rsid w:val="006E0689"/>
    <w:rsid w:val="006E0AEB"/>
    <w:rsid w:val="006E28B6"/>
    <w:rsid w:val="006E2AF0"/>
    <w:rsid w:val="006E3537"/>
    <w:rsid w:val="006E3813"/>
    <w:rsid w:val="006E3C88"/>
    <w:rsid w:val="006E533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773F8"/>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C745A"/>
    <w:rsid w:val="007D0271"/>
    <w:rsid w:val="007D1AF3"/>
    <w:rsid w:val="007D4966"/>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4C91"/>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0455"/>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2F78"/>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0C95"/>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3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47F55"/>
    <w:rsid w:val="00A52784"/>
    <w:rsid w:val="00A52B7B"/>
    <w:rsid w:val="00A627EE"/>
    <w:rsid w:val="00A63662"/>
    <w:rsid w:val="00A64CC0"/>
    <w:rsid w:val="00A71339"/>
    <w:rsid w:val="00A71E60"/>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96A"/>
    <w:rsid w:val="00AD1C3D"/>
    <w:rsid w:val="00AD4209"/>
    <w:rsid w:val="00AD6127"/>
    <w:rsid w:val="00AE297F"/>
    <w:rsid w:val="00AE3174"/>
    <w:rsid w:val="00AF08B5"/>
    <w:rsid w:val="00AF3145"/>
    <w:rsid w:val="00AF3AA3"/>
    <w:rsid w:val="00B01B66"/>
    <w:rsid w:val="00B0218E"/>
    <w:rsid w:val="00B02A05"/>
    <w:rsid w:val="00B06B5C"/>
    <w:rsid w:val="00B10487"/>
    <w:rsid w:val="00B1072B"/>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28B6"/>
    <w:rsid w:val="00C231D2"/>
    <w:rsid w:val="00C2390A"/>
    <w:rsid w:val="00C23C8E"/>
    <w:rsid w:val="00C245F9"/>
    <w:rsid w:val="00C24A4F"/>
    <w:rsid w:val="00C26A92"/>
    <w:rsid w:val="00C27908"/>
    <w:rsid w:val="00C279A3"/>
    <w:rsid w:val="00C32B73"/>
    <w:rsid w:val="00C3436C"/>
    <w:rsid w:val="00C363F0"/>
    <w:rsid w:val="00C40F2F"/>
    <w:rsid w:val="00C41A13"/>
    <w:rsid w:val="00C424BC"/>
    <w:rsid w:val="00C43E11"/>
    <w:rsid w:val="00C461A8"/>
    <w:rsid w:val="00C52D56"/>
    <w:rsid w:val="00C5363C"/>
    <w:rsid w:val="00C604F9"/>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504B"/>
    <w:rsid w:val="00CA6A81"/>
    <w:rsid w:val="00CB0900"/>
    <w:rsid w:val="00CB335B"/>
    <w:rsid w:val="00CB5F92"/>
    <w:rsid w:val="00CB662E"/>
    <w:rsid w:val="00CB706A"/>
    <w:rsid w:val="00CB738F"/>
    <w:rsid w:val="00CB7A87"/>
    <w:rsid w:val="00CC07A3"/>
    <w:rsid w:val="00CC2837"/>
    <w:rsid w:val="00CC56CB"/>
    <w:rsid w:val="00CC5FB0"/>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395"/>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2F60"/>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35C"/>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06FB5"/>
    <w:rsid w:val="00F10523"/>
    <w:rsid w:val="00F114D9"/>
    <w:rsid w:val="00F11C8C"/>
    <w:rsid w:val="00F1360A"/>
    <w:rsid w:val="00F14F06"/>
    <w:rsid w:val="00F15272"/>
    <w:rsid w:val="00F162D5"/>
    <w:rsid w:val="00F1632D"/>
    <w:rsid w:val="00F20F1C"/>
    <w:rsid w:val="00F21829"/>
    <w:rsid w:val="00F23696"/>
    <w:rsid w:val="00F247F2"/>
    <w:rsid w:val="00F25AD6"/>
    <w:rsid w:val="00F268A2"/>
    <w:rsid w:val="00F305B6"/>
    <w:rsid w:val="00F308B5"/>
    <w:rsid w:val="00F3114D"/>
    <w:rsid w:val="00F320D3"/>
    <w:rsid w:val="00F33D40"/>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9C6"/>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2AE8"/>
  <w15:docId w15:val="{B09EA34B-782A-466E-A6C6-FA26AD2D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1072B"/>
    <w:pPr>
      <w:spacing w:after="120"/>
      <w:ind w:left="360"/>
    </w:pPr>
  </w:style>
  <w:style w:type="character" w:customStyle="1" w:styleId="BodyTextIndentChar">
    <w:name w:val="Body Text Indent Char"/>
    <w:basedOn w:val="DefaultParagraphFont"/>
    <w:link w:val="BodyTextIndent"/>
    <w:uiPriority w:val="99"/>
    <w:semiHidden/>
    <w:rsid w:val="00B1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27945">
      <w:bodyDiv w:val="1"/>
      <w:marLeft w:val="0"/>
      <w:marRight w:val="0"/>
      <w:marTop w:val="0"/>
      <w:marBottom w:val="0"/>
      <w:divBdr>
        <w:top w:val="none" w:sz="0" w:space="0" w:color="auto"/>
        <w:left w:val="none" w:sz="0" w:space="0" w:color="auto"/>
        <w:bottom w:val="none" w:sz="0" w:space="0" w:color="auto"/>
        <w:right w:val="none" w:sz="0" w:space="0" w:color="auto"/>
      </w:divBdr>
    </w:div>
    <w:div w:id="537671062">
      <w:bodyDiv w:val="1"/>
      <w:marLeft w:val="0"/>
      <w:marRight w:val="0"/>
      <w:marTop w:val="0"/>
      <w:marBottom w:val="0"/>
      <w:divBdr>
        <w:top w:val="none" w:sz="0" w:space="0" w:color="auto"/>
        <w:left w:val="none" w:sz="0" w:space="0" w:color="auto"/>
        <w:bottom w:val="none" w:sz="0" w:space="0" w:color="auto"/>
        <w:right w:val="none" w:sz="0" w:space="0" w:color="auto"/>
      </w:divBdr>
    </w:div>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ACF41-F0AC-4133-84AA-8745157D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2014-09-12T16:39:00Z</cp:lastPrinted>
  <dcterms:created xsi:type="dcterms:W3CDTF">2018-11-20T15:30:00Z</dcterms:created>
  <dcterms:modified xsi:type="dcterms:W3CDTF">2018-11-20T15:30:00Z</dcterms:modified>
</cp:coreProperties>
</file>