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2" w:type="dxa"/>
        <w:tblInd w:w="-702" w:type="dxa"/>
        <w:tblLayout w:type="fixed"/>
        <w:tblLook w:val="0000" w:firstRow="0" w:lastRow="0" w:firstColumn="0" w:lastColumn="0" w:noHBand="0" w:noVBand="0"/>
      </w:tblPr>
      <w:tblGrid>
        <w:gridCol w:w="1363"/>
        <w:gridCol w:w="7709"/>
        <w:gridCol w:w="1620"/>
      </w:tblGrid>
      <w:tr w:rsidR="00C74A51" w14:paraId="64DFF00C" w14:textId="77777777" w:rsidTr="00295BCA">
        <w:trPr>
          <w:trHeight w:val="990"/>
        </w:trPr>
        <w:tc>
          <w:tcPr>
            <w:tcW w:w="1363" w:type="dxa"/>
          </w:tcPr>
          <w:p w14:paraId="78FA2CC0" w14:textId="77777777" w:rsidR="00C74A51" w:rsidRDefault="00DD771F">
            <w:pPr>
              <w:rPr>
                <w:sz w:val="24"/>
              </w:rPr>
            </w:pPr>
            <w:r>
              <w:rPr>
                <w:noProof/>
                <w:spacing w:val="-2"/>
              </w:rPr>
              <w:drawing>
                <wp:inline distT="0" distB="0" distL="0" distR="0" wp14:anchorId="4027914C" wp14:editId="48FDF4A3">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3093AA0D" w14:textId="77777777" w:rsidR="00C74A51" w:rsidRDefault="00C74A51">
            <w:pPr>
              <w:suppressAutoHyphens/>
              <w:spacing w:line="204" w:lineRule="auto"/>
              <w:jc w:val="center"/>
              <w:rPr>
                <w:rFonts w:ascii="Arial" w:hAnsi="Arial"/>
                <w:color w:val="000080"/>
                <w:spacing w:val="-3"/>
                <w:sz w:val="26"/>
              </w:rPr>
            </w:pPr>
          </w:p>
          <w:p w14:paraId="2BEF889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F570655"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89AB4AE"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12127432" w14:textId="77777777" w:rsidR="00C74A51" w:rsidRDefault="00C74A51">
            <w:pPr>
              <w:rPr>
                <w:rFonts w:ascii="Arial" w:hAnsi="Arial"/>
                <w:sz w:val="12"/>
              </w:rPr>
            </w:pPr>
          </w:p>
          <w:p w14:paraId="690054BD" w14:textId="77777777" w:rsidR="00C74A51" w:rsidRDefault="00C74A51">
            <w:pPr>
              <w:rPr>
                <w:rFonts w:ascii="Arial" w:hAnsi="Arial"/>
                <w:sz w:val="12"/>
              </w:rPr>
            </w:pPr>
          </w:p>
          <w:p w14:paraId="4CBFC7CD"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460E7F3"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44AF455F"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3051D2A" w14:textId="77777777" w:rsidR="00C95F36" w:rsidRPr="00295BCA" w:rsidRDefault="00295BCA" w:rsidP="00C46A62">
            <w:pPr>
              <w:ind w:left="-828"/>
              <w:jc w:val="right"/>
            </w:pPr>
            <w:r w:rsidRPr="00295BCA">
              <w:t xml:space="preserve"> (water)</w:t>
            </w:r>
          </w:p>
          <w:p w14:paraId="463C8AF5" w14:textId="77777777" w:rsidR="00672F33" w:rsidRPr="00295BCA" w:rsidRDefault="00295BCA" w:rsidP="00C46A62">
            <w:pPr>
              <w:ind w:left="-828"/>
              <w:jc w:val="right"/>
            </w:pPr>
            <w:r w:rsidRPr="00295BCA">
              <w:t>M-2018-264</w:t>
            </w:r>
            <w:r w:rsidR="00F86D50">
              <w:t>0</w:t>
            </w:r>
            <w:r w:rsidRPr="00295BCA">
              <w:t>803</w:t>
            </w:r>
          </w:p>
          <w:p w14:paraId="1BABA369" w14:textId="77777777" w:rsidR="00295BCA" w:rsidRPr="00295BCA" w:rsidRDefault="00295BCA" w:rsidP="00C46A62">
            <w:pPr>
              <w:ind w:left="-828"/>
              <w:jc w:val="right"/>
            </w:pPr>
            <w:r w:rsidRPr="00295BCA">
              <w:t>(wastewater)</w:t>
            </w:r>
          </w:p>
          <w:p w14:paraId="22A8B4C9" w14:textId="77777777" w:rsidR="00295BCA" w:rsidRPr="00295BCA" w:rsidRDefault="00295BCA" w:rsidP="00C46A62">
            <w:pPr>
              <w:ind w:left="-828"/>
              <w:jc w:val="right"/>
            </w:pPr>
          </w:p>
          <w:p w14:paraId="3D2C3AFE"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7E08EB06" w14:textId="77777777" w:rsidR="00C74A51" w:rsidRDefault="00C74A51">
      <w:pPr>
        <w:rPr>
          <w:sz w:val="24"/>
        </w:rPr>
        <w:sectPr w:rsidR="00C74A51" w:rsidSect="00B414F2">
          <w:footerReference w:type="even" r:id="rId9"/>
          <w:footerReference w:type="default" r:id="rId10"/>
          <w:pgSz w:w="12240" w:h="15840"/>
          <w:pgMar w:top="504" w:right="1440" w:bottom="1440" w:left="1440" w:header="720" w:footer="720" w:gutter="0"/>
          <w:cols w:space="720"/>
          <w:titlePg/>
        </w:sectPr>
      </w:pPr>
    </w:p>
    <w:p w14:paraId="372D503F" w14:textId="5E1E8C81" w:rsidR="00FA0E37" w:rsidRDefault="003A58D9" w:rsidP="00FA0E37">
      <w:pPr>
        <w:jc w:val="center"/>
        <w:rPr>
          <w:b/>
          <w:sz w:val="26"/>
          <w:szCs w:val="26"/>
        </w:rPr>
      </w:pPr>
      <w:r>
        <w:rPr>
          <w:b/>
          <w:sz w:val="26"/>
          <w:szCs w:val="26"/>
        </w:rPr>
        <w:t>November</w:t>
      </w:r>
      <w:r w:rsidR="00873DB1">
        <w:rPr>
          <w:b/>
          <w:sz w:val="26"/>
          <w:szCs w:val="26"/>
        </w:rPr>
        <w:t xml:space="preserve"> 27</w:t>
      </w:r>
      <w:r w:rsidR="00665587">
        <w:rPr>
          <w:b/>
          <w:sz w:val="26"/>
          <w:szCs w:val="26"/>
        </w:rPr>
        <w:t>, 201</w:t>
      </w:r>
      <w:r w:rsidR="00C86536">
        <w:rPr>
          <w:b/>
          <w:sz w:val="26"/>
          <w:szCs w:val="26"/>
        </w:rPr>
        <w:t>8</w:t>
      </w:r>
    </w:p>
    <w:p w14:paraId="606C5F85" w14:textId="77777777" w:rsidR="00F25403" w:rsidRDefault="00F25403" w:rsidP="00F25403">
      <w:pPr>
        <w:jc w:val="right"/>
        <w:rPr>
          <w:sz w:val="26"/>
          <w:szCs w:val="26"/>
        </w:rPr>
      </w:pPr>
    </w:p>
    <w:p w14:paraId="38995AF7" w14:textId="77777777" w:rsidR="00F25403" w:rsidRDefault="00F25403" w:rsidP="00F25403">
      <w:pPr>
        <w:jc w:val="right"/>
        <w:rPr>
          <w:sz w:val="26"/>
          <w:szCs w:val="26"/>
        </w:rPr>
      </w:pPr>
    </w:p>
    <w:p w14:paraId="6E4393EA" w14:textId="77777777" w:rsidR="00295BCA" w:rsidRDefault="003A58D9" w:rsidP="00C86536">
      <w:pPr>
        <w:tabs>
          <w:tab w:val="left" w:pos="5760"/>
          <w:tab w:val="left" w:pos="7200"/>
        </w:tabs>
        <w:jc w:val="center"/>
        <w:rPr>
          <w:b/>
          <w:sz w:val="26"/>
          <w:szCs w:val="26"/>
        </w:rPr>
      </w:pPr>
      <w:r>
        <w:rPr>
          <w:b/>
          <w:sz w:val="26"/>
          <w:szCs w:val="26"/>
        </w:rPr>
        <w:t xml:space="preserve">ASSIGNMENT OF THE PITTSBURGH WATER AND SEWER AUTHORITY </w:t>
      </w:r>
    </w:p>
    <w:p w14:paraId="318E5E36" w14:textId="77777777" w:rsidR="00295BCA" w:rsidRDefault="00295BCA" w:rsidP="00C86536">
      <w:pPr>
        <w:tabs>
          <w:tab w:val="left" w:pos="5760"/>
          <w:tab w:val="left" w:pos="7200"/>
        </w:tabs>
        <w:jc w:val="center"/>
        <w:rPr>
          <w:b/>
          <w:sz w:val="26"/>
          <w:szCs w:val="26"/>
        </w:rPr>
      </w:pPr>
      <w:r>
        <w:rPr>
          <w:b/>
          <w:sz w:val="26"/>
          <w:szCs w:val="26"/>
        </w:rPr>
        <w:t xml:space="preserve">COMPLIANCE PLAN </w:t>
      </w:r>
      <w:r w:rsidR="003A58D9">
        <w:rPr>
          <w:b/>
          <w:sz w:val="26"/>
          <w:szCs w:val="26"/>
        </w:rPr>
        <w:t>TO THE OFFICE OF ADMINISTRATIVE LAW JUDGE</w:t>
      </w:r>
    </w:p>
    <w:p w14:paraId="3DC10E2A" w14:textId="77777777" w:rsidR="00B14F9F" w:rsidRDefault="00B14F9F" w:rsidP="00C86536">
      <w:pPr>
        <w:tabs>
          <w:tab w:val="left" w:pos="5760"/>
          <w:tab w:val="left" w:pos="7200"/>
        </w:tabs>
        <w:jc w:val="center"/>
        <w:rPr>
          <w:b/>
          <w:sz w:val="26"/>
          <w:szCs w:val="26"/>
        </w:rPr>
      </w:pPr>
    </w:p>
    <w:p w14:paraId="32494537" w14:textId="6567E334" w:rsidR="003122F6" w:rsidRDefault="00970A95" w:rsidP="00295BCA">
      <w:pPr>
        <w:rPr>
          <w:rFonts w:eastAsia="Calibri"/>
          <w:sz w:val="26"/>
          <w:szCs w:val="22"/>
        </w:rPr>
      </w:pPr>
      <w:r>
        <w:rPr>
          <w:sz w:val="26"/>
          <w:szCs w:val="26"/>
        </w:rPr>
        <w:tab/>
      </w:r>
      <w:r w:rsidR="006B5573">
        <w:rPr>
          <w:rFonts w:eastAsia="Calibri"/>
          <w:sz w:val="26"/>
          <w:szCs w:val="22"/>
        </w:rPr>
        <w:t>This Secretarial Letter assigns the Pittsburgh Water and Sewer Authority (PWSA) Compliance Plan at the above-referenced dockets from the Commission</w:t>
      </w:r>
      <w:r w:rsidR="00D03701">
        <w:rPr>
          <w:rFonts w:eastAsia="Calibri"/>
          <w:sz w:val="26"/>
          <w:szCs w:val="22"/>
        </w:rPr>
        <w:t>’s</w:t>
      </w:r>
      <w:r w:rsidR="006B5573">
        <w:rPr>
          <w:rFonts w:eastAsia="Calibri"/>
          <w:sz w:val="26"/>
          <w:szCs w:val="22"/>
        </w:rPr>
        <w:t xml:space="preserve"> Bureau of Technical Utility Services to its Office of Administrative Law Judge</w:t>
      </w:r>
      <w:r w:rsidR="002D7034">
        <w:rPr>
          <w:rFonts w:eastAsia="Calibri"/>
          <w:sz w:val="26"/>
          <w:szCs w:val="22"/>
        </w:rPr>
        <w:t xml:space="preserve"> (OALJ)</w:t>
      </w:r>
      <w:r w:rsidR="006B5573">
        <w:rPr>
          <w:rFonts w:eastAsia="Calibri"/>
          <w:sz w:val="26"/>
          <w:szCs w:val="22"/>
        </w:rPr>
        <w:t xml:space="preserve">.  This assignment moves the Compliance Plan from initial technical staff review to an on-the-record contested proceeding whereby PWSA and interested persons may </w:t>
      </w:r>
      <w:r w:rsidR="00490C59">
        <w:rPr>
          <w:rFonts w:eastAsia="Calibri"/>
          <w:sz w:val="26"/>
          <w:szCs w:val="22"/>
        </w:rPr>
        <w:t>litigate</w:t>
      </w:r>
      <w:r w:rsidR="00AB3DDD">
        <w:rPr>
          <w:rFonts w:eastAsia="Calibri"/>
          <w:sz w:val="26"/>
          <w:szCs w:val="22"/>
        </w:rPr>
        <w:t xml:space="preserve"> and </w:t>
      </w:r>
      <w:r w:rsidR="006B5573">
        <w:rPr>
          <w:rFonts w:eastAsia="Calibri"/>
          <w:sz w:val="26"/>
          <w:szCs w:val="22"/>
        </w:rPr>
        <w:t xml:space="preserve">develop issues for Commission consideration in a final compliance plan.  </w:t>
      </w:r>
    </w:p>
    <w:p w14:paraId="3FF10E4C" w14:textId="77777777" w:rsidR="003122F6" w:rsidRDefault="003122F6" w:rsidP="00295BCA">
      <w:pPr>
        <w:rPr>
          <w:rFonts w:eastAsia="Calibri"/>
          <w:sz w:val="26"/>
          <w:szCs w:val="22"/>
        </w:rPr>
      </w:pPr>
    </w:p>
    <w:p w14:paraId="1DBE3FBF" w14:textId="77777777" w:rsidR="006B5573" w:rsidRDefault="006B5573" w:rsidP="00D727F3">
      <w:pPr>
        <w:ind w:firstLine="720"/>
        <w:rPr>
          <w:rFonts w:eastAsia="Calibri"/>
          <w:sz w:val="26"/>
          <w:szCs w:val="22"/>
        </w:rPr>
      </w:pPr>
      <w:r>
        <w:rPr>
          <w:rFonts w:eastAsia="Calibri"/>
          <w:sz w:val="26"/>
          <w:szCs w:val="22"/>
        </w:rPr>
        <w:t>In addition, this Secretarial Letter establishes two stages of review for the PWSA Compliance Plan</w:t>
      </w:r>
      <w:r w:rsidR="00A05A5B">
        <w:rPr>
          <w:rFonts w:eastAsia="Calibri"/>
          <w:sz w:val="26"/>
          <w:szCs w:val="22"/>
        </w:rPr>
        <w:t xml:space="preserve">.  </w:t>
      </w:r>
      <w:r w:rsidR="003122F6">
        <w:rPr>
          <w:rFonts w:eastAsia="Calibri"/>
          <w:sz w:val="26"/>
          <w:szCs w:val="22"/>
        </w:rPr>
        <w:t>For Stage 1, the</w:t>
      </w:r>
      <w:r>
        <w:rPr>
          <w:rFonts w:eastAsia="Calibri"/>
          <w:sz w:val="26"/>
          <w:szCs w:val="22"/>
        </w:rPr>
        <w:t xml:space="preserve"> Commission directs PWSA and its stakeholders to prioritize health and safety issues over other matters that, while important, </w:t>
      </w:r>
      <w:r w:rsidR="00541C74">
        <w:rPr>
          <w:rFonts w:eastAsia="Calibri"/>
          <w:sz w:val="26"/>
          <w:szCs w:val="22"/>
        </w:rPr>
        <w:t xml:space="preserve">are not as </w:t>
      </w:r>
      <w:r>
        <w:rPr>
          <w:rFonts w:eastAsia="Calibri"/>
          <w:sz w:val="26"/>
          <w:szCs w:val="22"/>
        </w:rPr>
        <w:t>urgen</w:t>
      </w:r>
      <w:r w:rsidR="00541C74">
        <w:rPr>
          <w:rFonts w:eastAsia="Calibri"/>
          <w:sz w:val="26"/>
          <w:szCs w:val="22"/>
        </w:rPr>
        <w:t xml:space="preserve">t as those </w:t>
      </w:r>
      <w:r w:rsidR="00A05A5B">
        <w:rPr>
          <w:rFonts w:eastAsia="Calibri"/>
          <w:sz w:val="26"/>
          <w:szCs w:val="22"/>
        </w:rPr>
        <w:t>related to the safe</w:t>
      </w:r>
      <w:r w:rsidR="00AB3DDD">
        <w:rPr>
          <w:rFonts w:eastAsia="Calibri"/>
          <w:sz w:val="26"/>
          <w:szCs w:val="22"/>
        </w:rPr>
        <w:t>, adequate, reliable,</w:t>
      </w:r>
      <w:r w:rsidR="00A05A5B">
        <w:rPr>
          <w:rFonts w:eastAsia="Calibri"/>
          <w:sz w:val="26"/>
          <w:szCs w:val="22"/>
        </w:rPr>
        <w:t xml:space="preserve"> and reasonable provision of water service and </w:t>
      </w:r>
      <w:r w:rsidR="00541C74">
        <w:rPr>
          <w:rFonts w:eastAsia="Calibri"/>
          <w:sz w:val="26"/>
          <w:szCs w:val="22"/>
        </w:rPr>
        <w:t xml:space="preserve">the </w:t>
      </w:r>
      <w:r w:rsidR="00A05A5B">
        <w:rPr>
          <w:rFonts w:eastAsia="Calibri"/>
          <w:sz w:val="26"/>
          <w:szCs w:val="22"/>
        </w:rPr>
        <w:t>revenue</w:t>
      </w:r>
      <w:r w:rsidR="00541C74">
        <w:rPr>
          <w:rFonts w:eastAsia="Calibri"/>
          <w:sz w:val="26"/>
          <w:szCs w:val="22"/>
        </w:rPr>
        <w:t>s</w:t>
      </w:r>
      <w:r w:rsidR="00A05A5B">
        <w:rPr>
          <w:rFonts w:eastAsia="Calibri"/>
          <w:sz w:val="26"/>
          <w:szCs w:val="22"/>
        </w:rPr>
        <w:t xml:space="preserve"> necessary to support adequate water quantity and quality</w:t>
      </w:r>
      <w:r>
        <w:rPr>
          <w:rFonts w:eastAsia="Calibri"/>
          <w:sz w:val="26"/>
          <w:szCs w:val="22"/>
        </w:rPr>
        <w:t>.</w:t>
      </w:r>
      <w:r w:rsidR="003122F6">
        <w:rPr>
          <w:rFonts w:eastAsia="Calibri"/>
          <w:sz w:val="26"/>
          <w:szCs w:val="22"/>
        </w:rPr>
        <w:t xml:space="preserve">  For Stage 2, the focus will be on Chapter 56 billing and collection issues and development of a storm water tariff.</w:t>
      </w:r>
      <w:r>
        <w:rPr>
          <w:rFonts w:eastAsia="Calibri"/>
          <w:sz w:val="26"/>
          <w:szCs w:val="22"/>
        </w:rPr>
        <w:t xml:space="preserve"> </w:t>
      </w:r>
      <w:r w:rsidR="00D727F3">
        <w:rPr>
          <w:rFonts w:eastAsia="Calibri"/>
          <w:sz w:val="26"/>
          <w:szCs w:val="22"/>
        </w:rPr>
        <w:t xml:space="preserve"> </w:t>
      </w:r>
    </w:p>
    <w:p w14:paraId="26A03677" w14:textId="77777777" w:rsidR="00A05A5B" w:rsidRDefault="00A05A5B" w:rsidP="00295BCA">
      <w:pPr>
        <w:rPr>
          <w:rFonts w:eastAsia="Calibri"/>
          <w:sz w:val="26"/>
          <w:szCs w:val="22"/>
        </w:rPr>
      </w:pPr>
    </w:p>
    <w:p w14:paraId="6B562FEC" w14:textId="77777777" w:rsidR="006B5573" w:rsidRPr="006B5573" w:rsidRDefault="006B5573" w:rsidP="00295BCA">
      <w:pPr>
        <w:rPr>
          <w:rFonts w:eastAsia="Calibri"/>
          <w:b/>
          <w:sz w:val="26"/>
          <w:szCs w:val="22"/>
          <w:u w:val="single"/>
        </w:rPr>
      </w:pPr>
      <w:r w:rsidRPr="006B5573">
        <w:rPr>
          <w:rFonts w:eastAsia="Calibri"/>
          <w:b/>
          <w:sz w:val="26"/>
          <w:szCs w:val="22"/>
          <w:u w:val="single"/>
        </w:rPr>
        <w:t>Background</w:t>
      </w:r>
    </w:p>
    <w:p w14:paraId="64794F84" w14:textId="77777777" w:rsidR="006B5573" w:rsidRDefault="006B5573" w:rsidP="00295BCA">
      <w:pPr>
        <w:rPr>
          <w:rFonts w:eastAsia="Calibri"/>
          <w:sz w:val="26"/>
          <w:szCs w:val="22"/>
        </w:rPr>
      </w:pPr>
    </w:p>
    <w:p w14:paraId="1CEC729E" w14:textId="3524ED30" w:rsidR="00295BCA" w:rsidRDefault="00295BCA" w:rsidP="006B5573">
      <w:pPr>
        <w:ind w:firstLine="720"/>
        <w:rPr>
          <w:rFonts w:eastAsia="Calibri"/>
          <w:sz w:val="26"/>
          <w:szCs w:val="22"/>
        </w:rPr>
      </w:pPr>
      <w:r>
        <w:rPr>
          <w:rFonts w:eastAsia="Calibri"/>
          <w:sz w:val="26"/>
          <w:szCs w:val="22"/>
        </w:rPr>
        <w:t xml:space="preserve">On March 15, 2018, the Commission entered its Final Implementation Order (FIO) at Docket Nos. M-2018-2640802 (water) and M-2018-2640803 (wastewater) in a consolidated proceeding to establish the procedures by which the Commission would implement Chapter 32 of the Public Utility Code commencing on April 1, 2018.  That Chapter provides for Commission oversight of the PWSA as if it were a public utility, subject to certain Code exemptions.  </w:t>
      </w:r>
    </w:p>
    <w:p w14:paraId="35F5CDF2" w14:textId="77777777" w:rsidR="00295BCA" w:rsidRDefault="00295BCA" w:rsidP="00295BCA">
      <w:pPr>
        <w:rPr>
          <w:rFonts w:eastAsia="Calibri"/>
          <w:sz w:val="26"/>
          <w:szCs w:val="22"/>
        </w:rPr>
      </w:pPr>
    </w:p>
    <w:p w14:paraId="31EA9FBF" w14:textId="77777777" w:rsidR="003A58D9" w:rsidRDefault="00295BCA" w:rsidP="003A58D9">
      <w:pPr>
        <w:tabs>
          <w:tab w:val="left" w:pos="720"/>
        </w:tabs>
        <w:rPr>
          <w:sz w:val="26"/>
          <w:szCs w:val="26"/>
        </w:rPr>
      </w:pPr>
      <w:r>
        <w:rPr>
          <w:rFonts w:eastAsia="Calibri"/>
          <w:sz w:val="26"/>
          <w:szCs w:val="22"/>
        </w:rPr>
        <w:tab/>
        <w:t>The FIO also established a due date of September 28, 2018</w:t>
      </w:r>
      <w:r w:rsidR="00DE51FD">
        <w:rPr>
          <w:rFonts w:eastAsia="Calibri"/>
          <w:sz w:val="26"/>
          <w:szCs w:val="22"/>
        </w:rPr>
        <w:t>,</w:t>
      </w:r>
      <w:r>
        <w:rPr>
          <w:rFonts w:eastAsia="Calibri"/>
          <w:sz w:val="26"/>
          <w:szCs w:val="22"/>
        </w:rPr>
        <w:t xml:space="preserve"> for the filing of </w:t>
      </w:r>
      <w:r w:rsidR="00DE51FD">
        <w:rPr>
          <w:rFonts w:eastAsia="Calibri"/>
          <w:sz w:val="26"/>
          <w:szCs w:val="22"/>
        </w:rPr>
        <w:t xml:space="preserve">a </w:t>
      </w:r>
      <w:r>
        <w:rPr>
          <w:rFonts w:eastAsia="Calibri"/>
          <w:sz w:val="26"/>
          <w:szCs w:val="22"/>
        </w:rPr>
        <w:t xml:space="preserve">Compliance Plan and </w:t>
      </w:r>
      <w:r w:rsidR="00AB3DDD">
        <w:rPr>
          <w:rFonts w:eastAsia="Calibri"/>
          <w:sz w:val="26"/>
          <w:szCs w:val="22"/>
        </w:rPr>
        <w:t xml:space="preserve">a </w:t>
      </w:r>
      <w:r>
        <w:rPr>
          <w:rFonts w:eastAsia="Calibri"/>
          <w:sz w:val="26"/>
          <w:szCs w:val="22"/>
        </w:rPr>
        <w:t xml:space="preserve">Long-Term Infrastructure Improvement Plan </w:t>
      </w:r>
      <w:r w:rsidR="003A58D9">
        <w:rPr>
          <w:rFonts w:eastAsia="Calibri"/>
          <w:sz w:val="26"/>
          <w:szCs w:val="22"/>
        </w:rPr>
        <w:t xml:space="preserve">(LTIIP) </w:t>
      </w:r>
      <w:r>
        <w:rPr>
          <w:rFonts w:eastAsia="Calibri"/>
          <w:sz w:val="26"/>
          <w:szCs w:val="22"/>
        </w:rPr>
        <w:t>based o</w:t>
      </w:r>
      <w:r w:rsidR="00DE51FD">
        <w:rPr>
          <w:rFonts w:eastAsia="Calibri"/>
          <w:sz w:val="26"/>
          <w:szCs w:val="22"/>
        </w:rPr>
        <w:t>n</w:t>
      </w:r>
      <w:r>
        <w:rPr>
          <w:rFonts w:eastAsia="Calibri"/>
          <w:sz w:val="26"/>
          <w:szCs w:val="22"/>
        </w:rPr>
        <w:t xml:space="preserve"> the 180-day filing deadline of </w:t>
      </w:r>
      <w:r w:rsidR="00DE51FD">
        <w:rPr>
          <w:rFonts w:eastAsia="Calibri"/>
          <w:sz w:val="26"/>
          <w:szCs w:val="22"/>
        </w:rPr>
        <w:t>66 Pa. C.S. § 3204</w:t>
      </w:r>
      <w:r>
        <w:rPr>
          <w:rFonts w:eastAsia="Calibri"/>
          <w:sz w:val="26"/>
          <w:szCs w:val="22"/>
        </w:rPr>
        <w:t>.</w:t>
      </w:r>
      <w:r w:rsidR="003A58D9">
        <w:rPr>
          <w:rFonts w:eastAsia="Calibri"/>
          <w:sz w:val="26"/>
          <w:szCs w:val="22"/>
        </w:rPr>
        <w:t xml:space="preserve">  Chapter 32 does not provide express procedures under which the Commission is to conduct its review of the PWSA Compliance Plan and LTIIP.  On September 26, 2018</w:t>
      </w:r>
      <w:r w:rsidR="00DE51FD">
        <w:rPr>
          <w:rFonts w:eastAsia="Calibri"/>
          <w:sz w:val="26"/>
          <w:szCs w:val="22"/>
        </w:rPr>
        <w:t>,</w:t>
      </w:r>
      <w:r w:rsidR="003A58D9">
        <w:rPr>
          <w:rFonts w:eastAsia="Calibri"/>
          <w:sz w:val="26"/>
          <w:szCs w:val="22"/>
        </w:rPr>
        <w:t xml:space="preserve"> the Commission issued a Secretarial Letter at the above-referenced dockets providing the procedures under which the Commission would conduct its</w:t>
      </w:r>
      <w:r w:rsidR="00DE51FD">
        <w:rPr>
          <w:rFonts w:eastAsia="Calibri"/>
          <w:sz w:val="26"/>
          <w:szCs w:val="22"/>
        </w:rPr>
        <w:t xml:space="preserve"> review</w:t>
      </w:r>
      <w:r w:rsidR="003A58D9">
        <w:rPr>
          <w:rFonts w:eastAsia="Calibri"/>
          <w:sz w:val="26"/>
          <w:szCs w:val="22"/>
        </w:rPr>
        <w:t xml:space="preserve">.  PWSA timely filed its Compliance Plan and LTIIP on September 28, 2018.   </w:t>
      </w:r>
    </w:p>
    <w:p w14:paraId="28520A4A" w14:textId="6773C7BC" w:rsidR="00311C3E" w:rsidRDefault="006B1A00" w:rsidP="00346307">
      <w:pPr>
        <w:rPr>
          <w:sz w:val="26"/>
          <w:szCs w:val="26"/>
        </w:rPr>
      </w:pPr>
      <w:r>
        <w:rPr>
          <w:sz w:val="26"/>
          <w:szCs w:val="26"/>
        </w:rPr>
        <w:lastRenderedPageBreak/>
        <w:tab/>
      </w:r>
      <w:r w:rsidR="00A13334">
        <w:rPr>
          <w:sz w:val="26"/>
          <w:szCs w:val="26"/>
        </w:rPr>
        <w:t xml:space="preserve">Regarding </w:t>
      </w:r>
      <w:r w:rsidR="00346307">
        <w:rPr>
          <w:sz w:val="26"/>
          <w:szCs w:val="26"/>
        </w:rPr>
        <w:t xml:space="preserve">the </w:t>
      </w:r>
      <w:r w:rsidR="00A13334">
        <w:rPr>
          <w:sz w:val="26"/>
          <w:szCs w:val="26"/>
        </w:rPr>
        <w:t xml:space="preserve">PWSA </w:t>
      </w:r>
      <w:r w:rsidR="00346307">
        <w:rPr>
          <w:sz w:val="26"/>
          <w:szCs w:val="26"/>
        </w:rPr>
        <w:t xml:space="preserve">LTIIP filings, the Commission </w:t>
      </w:r>
      <w:r w:rsidR="00F52B69">
        <w:rPr>
          <w:sz w:val="26"/>
          <w:szCs w:val="26"/>
        </w:rPr>
        <w:t xml:space="preserve">determined to </w:t>
      </w:r>
      <w:r w:rsidR="00346307">
        <w:rPr>
          <w:sz w:val="26"/>
          <w:szCs w:val="26"/>
        </w:rPr>
        <w:t xml:space="preserve">employ </w:t>
      </w:r>
      <w:r w:rsidR="00F52B69">
        <w:rPr>
          <w:sz w:val="26"/>
          <w:szCs w:val="26"/>
        </w:rPr>
        <w:t xml:space="preserve">standard </w:t>
      </w:r>
      <w:r w:rsidR="00346307">
        <w:rPr>
          <w:sz w:val="26"/>
          <w:szCs w:val="26"/>
        </w:rPr>
        <w:t>procedures developed for LTIIPs filed pursuant to 66 Pa. C.S. § 1352.</w:t>
      </w:r>
      <w:r w:rsidR="00F52B69">
        <w:rPr>
          <w:sz w:val="26"/>
          <w:szCs w:val="26"/>
        </w:rPr>
        <w:t xml:space="preserve">  While currently under way, the September 26 Secretarial Letter provided that the LTIIP review was subject to consolidation with Commission review of the </w:t>
      </w:r>
      <w:r w:rsidR="00311C3E">
        <w:rPr>
          <w:sz w:val="26"/>
          <w:szCs w:val="26"/>
        </w:rPr>
        <w:t>Compliance Plan upon motion</w:t>
      </w:r>
      <w:r w:rsidR="00F52B69">
        <w:rPr>
          <w:sz w:val="26"/>
          <w:szCs w:val="26"/>
        </w:rPr>
        <w:t xml:space="preserve">.  </w:t>
      </w:r>
    </w:p>
    <w:p w14:paraId="6E618DB3" w14:textId="77777777" w:rsidR="00311C3E" w:rsidRDefault="00311C3E" w:rsidP="00346307">
      <w:pPr>
        <w:rPr>
          <w:sz w:val="26"/>
          <w:szCs w:val="26"/>
        </w:rPr>
      </w:pPr>
    </w:p>
    <w:p w14:paraId="2F85FD8C" w14:textId="77777777" w:rsidR="00311C3E" w:rsidRDefault="00F52B69" w:rsidP="00161652">
      <w:pPr>
        <w:ind w:firstLine="720"/>
        <w:rPr>
          <w:sz w:val="26"/>
          <w:szCs w:val="26"/>
        </w:rPr>
      </w:pPr>
      <w:r>
        <w:rPr>
          <w:sz w:val="26"/>
          <w:szCs w:val="26"/>
        </w:rPr>
        <w:t xml:space="preserve">Regarding the PWSA Compliance Plan, the September 26 Secretarial Letter directed that </w:t>
      </w:r>
      <w:r w:rsidR="00161652">
        <w:rPr>
          <w:sz w:val="26"/>
          <w:szCs w:val="26"/>
        </w:rPr>
        <w:t xml:space="preserve">notice of the filing of the Compliance Plan and the procedures outlined </w:t>
      </w:r>
      <w:r>
        <w:rPr>
          <w:sz w:val="26"/>
          <w:szCs w:val="26"/>
        </w:rPr>
        <w:t xml:space="preserve">therein be published in the </w:t>
      </w:r>
      <w:r w:rsidR="00161652">
        <w:rPr>
          <w:sz w:val="26"/>
          <w:szCs w:val="26"/>
        </w:rPr>
        <w:t>Pennsylvania Bulletin on October 13, 2018</w:t>
      </w:r>
      <w:r>
        <w:rPr>
          <w:sz w:val="26"/>
          <w:szCs w:val="26"/>
        </w:rPr>
        <w:t>, which occurred</w:t>
      </w:r>
      <w:r w:rsidR="00161652">
        <w:rPr>
          <w:sz w:val="26"/>
          <w:szCs w:val="26"/>
        </w:rPr>
        <w:t>.</w:t>
      </w:r>
      <w:r>
        <w:rPr>
          <w:sz w:val="26"/>
          <w:szCs w:val="26"/>
        </w:rPr>
        <w:t xml:space="preserve"> </w:t>
      </w:r>
      <w:r w:rsidR="00714C8F">
        <w:rPr>
          <w:sz w:val="26"/>
          <w:szCs w:val="26"/>
        </w:rPr>
        <w:t>Th</w:t>
      </w:r>
      <w:r w:rsidR="002D7034">
        <w:rPr>
          <w:sz w:val="26"/>
          <w:szCs w:val="26"/>
        </w:rPr>
        <w:t>e</w:t>
      </w:r>
      <w:r w:rsidR="00714C8F">
        <w:rPr>
          <w:sz w:val="26"/>
          <w:szCs w:val="26"/>
        </w:rPr>
        <w:t xml:space="preserve"> Secretarial Letter also provided</w:t>
      </w:r>
      <w:r w:rsidR="00714C8F">
        <w:rPr>
          <w:rFonts w:eastAsia="Calibri"/>
          <w:sz w:val="26"/>
          <w:szCs w:val="22"/>
        </w:rPr>
        <w:t xml:space="preserve"> interested persons with the opportunity to file comments in anticipation of the assignment of the Compliance Plan to OALJ and to inform preliminary Commission review of the Plan, discussed below.  </w:t>
      </w:r>
      <w:r>
        <w:rPr>
          <w:sz w:val="26"/>
          <w:szCs w:val="26"/>
        </w:rPr>
        <w:t>The September 26 Secretarial Letter directed that</w:t>
      </w:r>
      <w:r w:rsidR="002D7034">
        <w:rPr>
          <w:sz w:val="26"/>
          <w:szCs w:val="26"/>
        </w:rPr>
        <w:t>,</w:t>
      </w:r>
      <w:r>
        <w:rPr>
          <w:sz w:val="26"/>
          <w:szCs w:val="26"/>
        </w:rPr>
        <w:t xml:space="preserve"> n</w:t>
      </w:r>
      <w:r w:rsidR="00FC5F41">
        <w:rPr>
          <w:sz w:val="26"/>
          <w:szCs w:val="26"/>
        </w:rPr>
        <w:t xml:space="preserve">o later than </w:t>
      </w:r>
      <w:r w:rsidR="00956655">
        <w:rPr>
          <w:sz w:val="26"/>
          <w:szCs w:val="26"/>
        </w:rPr>
        <w:t xml:space="preserve">forty-five </w:t>
      </w:r>
      <w:r w:rsidR="002D7034">
        <w:rPr>
          <w:sz w:val="26"/>
          <w:szCs w:val="26"/>
        </w:rPr>
        <w:t xml:space="preserve">(45) </w:t>
      </w:r>
      <w:r w:rsidR="00DA4DAA">
        <w:rPr>
          <w:sz w:val="26"/>
          <w:szCs w:val="26"/>
        </w:rPr>
        <w:t xml:space="preserve">days </w:t>
      </w:r>
      <w:r>
        <w:rPr>
          <w:sz w:val="26"/>
          <w:szCs w:val="26"/>
        </w:rPr>
        <w:t>after Pennsylvania Bulletin publication</w:t>
      </w:r>
      <w:r w:rsidR="002D7034">
        <w:rPr>
          <w:sz w:val="26"/>
          <w:szCs w:val="26"/>
        </w:rPr>
        <w:t>,</w:t>
      </w:r>
      <w:r>
        <w:rPr>
          <w:sz w:val="26"/>
          <w:szCs w:val="26"/>
        </w:rPr>
        <w:t xml:space="preserve"> </w:t>
      </w:r>
      <w:r w:rsidR="00FC5F41">
        <w:rPr>
          <w:sz w:val="26"/>
          <w:szCs w:val="26"/>
        </w:rPr>
        <w:t>the Commission w</w:t>
      </w:r>
      <w:r>
        <w:rPr>
          <w:sz w:val="26"/>
          <w:szCs w:val="26"/>
        </w:rPr>
        <w:t xml:space="preserve">ould </w:t>
      </w:r>
      <w:r w:rsidR="00FC5F41">
        <w:rPr>
          <w:sz w:val="26"/>
          <w:szCs w:val="26"/>
        </w:rPr>
        <w:t xml:space="preserve">assign the </w:t>
      </w:r>
      <w:r>
        <w:rPr>
          <w:sz w:val="26"/>
          <w:szCs w:val="26"/>
        </w:rPr>
        <w:t xml:space="preserve">PWSA Compliance Plan </w:t>
      </w:r>
      <w:r w:rsidR="00FC5F41">
        <w:rPr>
          <w:sz w:val="26"/>
          <w:szCs w:val="26"/>
        </w:rPr>
        <w:t xml:space="preserve">to </w:t>
      </w:r>
      <w:bookmarkStart w:id="0" w:name="_Hlk528063313"/>
      <w:r w:rsidR="00ED158A">
        <w:rPr>
          <w:sz w:val="26"/>
          <w:szCs w:val="26"/>
        </w:rPr>
        <w:t xml:space="preserve">OALJ </w:t>
      </w:r>
      <w:r w:rsidR="00FC5F41">
        <w:rPr>
          <w:sz w:val="26"/>
          <w:szCs w:val="26"/>
        </w:rPr>
        <w:t>for the resolution of any factual matters.</w:t>
      </w:r>
      <w:bookmarkEnd w:id="0"/>
    </w:p>
    <w:p w14:paraId="425C9E87" w14:textId="77777777" w:rsidR="00A05A5B" w:rsidRDefault="00A05A5B" w:rsidP="00161652">
      <w:pPr>
        <w:ind w:firstLine="720"/>
        <w:rPr>
          <w:sz w:val="26"/>
          <w:szCs w:val="26"/>
        </w:rPr>
      </w:pPr>
    </w:p>
    <w:p w14:paraId="763A837F" w14:textId="77777777" w:rsidR="00A05A5B" w:rsidRDefault="00AD0361" w:rsidP="00311C3E">
      <w:pPr>
        <w:ind w:firstLine="720"/>
        <w:rPr>
          <w:sz w:val="26"/>
          <w:szCs w:val="26"/>
        </w:rPr>
      </w:pPr>
      <w:r>
        <w:rPr>
          <w:sz w:val="26"/>
          <w:szCs w:val="26"/>
        </w:rPr>
        <w:t>T</w:t>
      </w:r>
      <w:r w:rsidR="00FC5F41">
        <w:rPr>
          <w:sz w:val="26"/>
          <w:szCs w:val="26"/>
        </w:rPr>
        <w:t xml:space="preserve">he Commission </w:t>
      </w:r>
      <w:r w:rsidR="00311C3E">
        <w:rPr>
          <w:sz w:val="26"/>
          <w:szCs w:val="26"/>
        </w:rPr>
        <w:t>also directed that technical staff submit with the referral to OALJ a</w:t>
      </w:r>
      <w:r w:rsidR="002D7034">
        <w:rPr>
          <w:sz w:val="26"/>
          <w:szCs w:val="26"/>
        </w:rPr>
        <w:t>n</w:t>
      </w:r>
      <w:r w:rsidR="00311C3E">
        <w:rPr>
          <w:sz w:val="26"/>
          <w:szCs w:val="26"/>
        </w:rPr>
        <w:t xml:space="preserve"> </w:t>
      </w:r>
      <w:r w:rsidR="009C44B6">
        <w:rPr>
          <w:sz w:val="26"/>
          <w:szCs w:val="26"/>
        </w:rPr>
        <w:t xml:space="preserve">initial </w:t>
      </w:r>
      <w:r w:rsidR="00311C3E">
        <w:rPr>
          <w:sz w:val="26"/>
          <w:szCs w:val="26"/>
        </w:rPr>
        <w:t xml:space="preserve">report consisting of </w:t>
      </w:r>
      <w:r w:rsidR="00FC5F41">
        <w:rPr>
          <w:sz w:val="26"/>
          <w:szCs w:val="26"/>
        </w:rPr>
        <w:t xml:space="preserve">directed questions </w:t>
      </w:r>
      <w:r>
        <w:rPr>
          <w:sz w:val="26"/>
          <w:szCs w:val="26"/>
        </w:rPr>
        <w:t xml:space="preserve">or issue areas </w:t>
      </w:r>
      <w:r w:rsidR="00D87CB2">
        <w:rPr>
          <w:sz w:val="26"/>
          <w:szCs w:val="26"/>
        </w:rPr>
        <w:t xml:space="preserve">that PWSA and interested parties are to address. </w:t>
      </w:r>
      <w:r w:rsidR="000C4351">
        <w:rPr>
          <w:sz w:val="26"/>
          <w:szCs w:val="26"/>
        </w:rPr>
        <w:t xml:space="preserve"> </w:t>
      </w:r>
      <w:r w:rsidR="00311C3E">
        <w:rPr>
          <w:sz w:val="26"/>
          <w:szCs w:val="26"/>
        </w:rPr>
        <w:t>The list is attached to this Secretarial Letter as</w:t>
      </w:r>
      <w:r w:rsidR="0082124F">
        <w:rPr>
          <w:sz w:val="26"/>
          <w:szCs w:val="26"/>
        </w:rPr>
        <w:t xml:space="preserve"> </w:t>
      </w:r>
      <w:r w:rsidR="005A30B5">
        <w:rPr>
          <w:sz w:val="26"/>
          <w:szCs w:val="26"/>
        </w:rPr>
        <w:t>“</w:t>
      </w:r>
      <w:r w:rsidR="0082124F">
        <w:rPr>
          <w:sz w:val="26"/>
          <w:szCs w:val="26"/>
        </w:rPr>
        <w:t>Technical Staff Initial Report and Directed Questions</w:t>
      </w:r>
      <w:r w:rsidR="00BA7C9C">
        <w:rPr>
          <w:sz w:val="26"/>
          <w:szCs w:val="26"/>
        </w:rPr>
        <w:t xml:space="preserve"> Stage 1</w:t>
      </w:r>
      <w:r w:rsidR="00311C3E">
        <w:rPr>
          <w:sz w:val="26"/>
          <w:szCs w:val="26"/>
        </w:rPr>
        <w:t>.</w:t>
      </w:r>
      <w:r w:rsidR="005A30B5">
        <w:rPr>
          <w:sz w:val="26"/>
          <w:szCs w:val="26"/>
        </w:rPr>
        <w:t>”</w:t>
      </w:r>
    </w:p>
    <w:p w14:paraId="3DD392E7" w14:textId="77777777" w:rsidR="00A05A5B" w:rsidRDefault="00A05A5B" w:rsidP="00311C3E">
      <w:pPr>
        <w:ind w:firstLine="720"/>
        <w:rPr>
          <w:sz w:val="26"/>
          <w:szCs w:val="26"/>
        </w:rPr>
      </w:pPr>
    </w:p>
    <w:p w14:paraId="78B773D1" w14:textId="77777777" w:rsidR="00A05A5B" w:rsidRPr="00A05A5B" w:rsidRDefault="00A05A5B" w:rsidP="00A05A5B">
      <w:pPr>
        <w:rPr>
          <w:b/>
          <w:sz w:val="26"/>
          <w:szCs w:val="26"/>
          <w:u w:val="single"/>
        </w:rPr>
      </w:pPr>
      <w:r w:rsidRPr="00A05A5B">
        <w:rPr>
          <w:b/>
          <w:sz w:val="26"/>
          <w:szCs w:val="26"/>
          <w:u w:val="single"/>
        </w:rPr>
        <w:t xml:space="preserve">Comments </w:t>
      </w:r>
    </w:p>
    <w:p w14:paraId="30E31934" w14:textId="77777777" w:rsidR="00021DB5" w:rsidRDefault="00021DB5" w:rsidP="00311C3E">
      <w:pPr>
        <w:ind w:firstLine="720"/>
        <w:rPr>
          <w:sz w:val="26"/>
          <w:szCs w:val="26"/>
        </w:rPr>
      </w:pPr>
    </w:p>
    <w:p w14:paraId="134AB889" w14:textId="77777777" w:rsidR="00A05A5B" w:rsidRDefault="00021DB5" w:rsidP="00311C3E">
      <w:pPr>
        <w:ind w:firstLine="720"/>
        <w:rPr>
          <w:sz w:val="26"/>
          <w:szCs w:val="26"/>
        </w:rPr>
      </w:pPr>
      <w:r>
        <w:rPr>
          <w:sz w:val="26"/>
          <w:szCs w:val="26"/>
        </w:rPr>
        <w:t xml:space="preserve">Two stakeholders filed initial comments to the Compliance Plan: Pittsburgh United (United) and the Office of Consumer Advocate (OCA).  </w:t>
      </w:r>
      <w:bookmarkStart w:id="1" w:name="_Hlk530388367"/>
      <w:r w:rsidR="006A09EE">
        <w:rPr>
          <w:sz w:val="26"/>
          <w:szCs w:val="26"/>
        </w:rPr>
        <w:t>T</w:t>
      </w:r>
      <w:r w:rsidR="00051030">
        <w:rPr>
          <w:sz w:val="26"/>
          <w:szCs w:val="26"/>
        </w:rPr>
        <w:t xml:space="preserve">he </w:t>
      </w:r>
      <w:bookmarkStart w:id="2" w:name="_Hlk530146173"/>
      <w:r w:rsidR="00051030">
        <w:rPr>
          <w:sz w:val="26"/>
          <w:szCs w:val="26"/>
        </w:rPr>
        <w:t>Technical Staff Initial Report and Directed Questions</w:t>
      </w:r>
      <w:r w:rsidR="006A09EE">
        <w:rPr>
          <w:sz w:val="26"/>
          <w:szCs w:val="26"/>
        </w:rPr>
        <w:t xml:space="preserve"> </w:t>
      </w:r>
      <w:bookmarkEnd w:id="1"/>
      <w:r w:rsidR="000C4351">
        <w:rPr>
          <w:sz w:val="26"/>
          <w:szCs w:val="26"/>
        </w:rPr>
        <w:t xml:space="preserve">(Initial Report) </w:t>
      </w:r>
      <w:r w:rsidR="006A09EE">
        <w:rPr>
          <w:sz w:val="26"/>
          <w:szCs w:val="26"/>
        </w:rPr>
        <w:t>address</w:t>
      </w:r>
      <w:r w:rsidR="00C71F5A">
        <w:rPr>
          <w:sz w:val="26"/>
          <w:szCs w:val="26"/>
        </w:rPr>
        <w:t>es</w:t>
      </w:r>
      <w:r w:rsidR="006A09EE">
        <w:rPr>
          <w:sz w:val="26"/>
          <w:szCs w:val="26"/>
        </w:rPr>
        <w:t xml:space="preserve"> many of the issues raised by the OCA and United</w:t>
      </w:r>
      <w:r w:rsidR="00051030">
        <w:rPr>
          <w:sz w:val="26"/>
          <w:szCs w:val="26"/>
        </w:rPr>
        <w:t>.</w:t>
      </w:r>
      <w:bookmarkEnd w:id="2"/>
      <w:r w:rsidR="00A05A5B">
        <w:rPr>
          <w:sz w:val="26"/>
          <w:szCs w:val="26"/>
        </w:rPr>
        <w:t xml:space="preserve">  The Commission will not reiterate those issues here as they are contained in the attached </w:t>
      </w:r>
      <w:r w:rsidR="009C44B6">
        <w:rPr>
          <w:sz w:val="26"/>
          <w:szCs w:val="26"/>
        </w:rPr>
        <w:t xml:space="preserve">Initial </w:t>
      </w:r>
      <w:r w:rsidR="00A05A5B">
        <w:rPr>
          <w:sz w:val="26"/>
          <w:szCs w:val="26"/>
        </w:rPr>
        <w:t>Report.</w:t>
      </w:r>
      <w:r w:rsidR="00051030">
        <w:rPr>
          <w:sz w:val="26"/>
          <w:szCs w:val="26"/>
        </w:rPr>
        <w:t xml:space="preserve">   </w:t>
      </w:r>
    </w:p>
    <w:p w14:paraId="34960EAD" w14:textId="77777777" w:rsidR="00A05A5B" w:rsidRDefault="00A05A5B" w:rsidP="00311C3E">
      <w:pPr>
        <w:ind w:firstLine="720"/>
        <w:rPr>
          <w:sz w:val="26"/>
          <w:szCs w:val="26"/>
        </w:rPr>
      </w:pPr>
    </w:p>
    <w:p w14:paraId="7BBDD172" w14:textId="77777777" w:rsidR="00021DB5" w:rsidRDefault="006A09EE" w:rsidP="00311C3E">
      <w:pPr>
        <w:ind w:firstLine="720"/>
        <w:rPr>
          <w:sz w:val="26"/>
          <w:szCs w:val="26"/>
        </w:rPr>
      </w:pPr>
      <w:r>
        <w:rPr>
          <w:sz w:val="26"/>
          <w:szCs w:val="26"/>
        </w:rPr>
        <w:t xml:space="preserve">Much </w:t>
      </w:r>
      <w:r w:rsidR="00021DB5">
        <w:rPr>
          <w:sz w:val="26"/>
          <w:szCs w:val="26"/>
        </w:rPr>
        <w:t>of United</w:t>
      </w:r>
      <w:r w:rsidR="000C4351">
        <w:rPr>
          <w:sz w:val="26"/>
          <w:szCs w:val="26"/>
        </w:rPr>
        <w:t>’s</w:t>
      </w:r>
      <w:r w:rsidR="00021DB5">
        <w:rPr>
          <w:sz w:val="26"/>
          <w:szCs w:val="26"/>
        </w:rPr>
        <w:t xml:space="preserve"> comments focus on billing issues related to Chapter</w:t>
      </w:r>
      <w:r w:rsidR="00B57462">
        <w:rPr>
          <w:sz w:val="26"/>
          <w:szCs w:val="26"/>
        </w:rPr>
        <w:t xml:space="preserve"> 56 of the Commission’s regulations and Chapter 14 of the Public Utility Code.  United include</w:t>
      </w:r>
      <w:r>
        <w:rPr>
          <w:sz w:val="26"/>
          <w:szCs w:val="26"/>
        </w:rPr>
        <w:t>s</w:t>
      </w:r>
      <w:r w:rsidR="00B57462">
        <w:rPr>
          <w:sz w:val="26"/>
          <w:szCs w:val="26"/>
        </w:rPr>
        <w:t xml:space="preserve"> a multi-page table of billing issues </w:t>
      </w:r>
      <w:r>
        <w:rPr>
          <w:sz w:val="26"/>
          <w:szCs w:val="26"/>
        </w:rPr>
        <w:t>a</w:t>
      </w:r>
      <w:r w:rsidR="00B57462">
        <w:rPr>
          <w:sz w:val="26"/>
          <w:szCs w:val="26"/>
        </w:rPr>
        <w:t xml:space="preserve">nd offers that these are merely its initial list of </w:t>
      </w:r>
      <w:r>
        <w:rPr>
          <w:sz w:val="26"/>
          <w:szCs w:val="26"/>
        </w:rPr>
        <w:t xml:space="preserve">its </w:t>
      </w:r>
      <w:r w:rsidR="00B57462">
        <w:rPr>
          <w:sz w:val="26"/>
          <w:szCs w:val="26"/>
        </w:rPr>
        <w:t>most pressing suggestions.  United at 7-9.</w:t>
      </w:r>
      <w:r w:rsidR="00051030">
        <w:rPr>
          <w:sz w:val="26"/>
          <w:szCs w:val="26"/>
        </w:rPr>
        <w:t xml:space="preserve">  </w:t>
      </w:r>
      <w:r w:rsidR="00B57462">
        <w:rPr>
          <w:sz w:val="26"/>
          <w:szCs w:val="26"/>
        </w:rPr>
        <w:t xml:space="preserve">The OCA comments that it does not agree with PWSA regarding </w:t>
      </w:r>
      <w:r w:rsidR="000C4351">
        <w:rPr>
          <w:sz w:val="26"/>
          <w:szCs w:val="26"/>
        </w:rPr>
        <w:t>PWSA</w:t>
      </w:r>
      <w:r w:rsidR="00051030">
        <w:rPr>
          <w:sz w:val="26"/>
          <w:szCs w:val="26"/>
        </w:rPr>
        <w:t>’s compliance with the Commission’s Chapter 56 billing regulations.  OCA at 3-5.</w:t>
      </w:r>
      <w:r w:rsidR="00C71F5A">
        <w:rPr>
          <w:sz w:val="26"/>
          <w:szCs w:val="26"/>
        </w:rPr>
        <w:t xml:space="preserve">  These issues are among many addressed in the Compliance Plan. </w:t>
      </w:r>
      <w:r w:rsidR="00051030">
        <w:rPr>
          <w:sz w:val="26"/>
          <w:szCs w:val="26"/>
        </w:rPr>
        <w:t xml:space="preserve">     </w:t>
      </w:r>
      <w:r w:rsidR="00021DB5">
        <w:rPr>
          <w:sz w:val="26"/>
          <w:szCs w:val="26"/>
        </w:rPr>
        <w:t xml:space="preserve">   </w:t>
      </w:r>
    </w:p>
    <w:p w14:paraId="3C18F102" w14:textId="77777777" w:rsidR="00021DB5" w:rsidRDefault="00021DB5" w:rsidP="00311C3E">
      <w:pPr>
        <w:ind w:firstLine="720"/>
        <w:rPr>
          <w:sz w:val="26"/>
          <w:szCs w:val="26"/>
        </w:rPr>
      </w:pPr>
    </w:p>
    <w:p w14:paraId="23E2B777" w14:textId="31598E23" w:rsidR="00A05A5B" w:rsidRDefault="00051030" w:rsidP="00311C3E">
      <w:pPr>
        <w:ind w:firstLine="720"/>
        <w:rPr>
          <w:rFonts w:eastAsia="Calibri"/>
          <w:sz w:val="26"/>
          <w:szCs w:val="22"/>
        </w:rPr>
      </w:pPr>
      <w:r>
        <w:rPr>
          <w:sz w:val="26"/>
          <w:szCs w:val="26"/>
        </w:rPr>
        <w:t xml:space="preserve">United also notes the difficulty engendered by Chapter 32 of the Public Utility Code whereby the Commission is directed to conduct </w:t>
      </w:r>
      <w:r w:rsidR="006A09EE">
        <w:rPr>
          <w:sz w:val="26"/>
          <w:szCs w:val="26"/>
        </w:rPr>
        <w:t>concurrent ra</w:t>
      </w:r>
      <w:r>
        <w:rPr>
          <w:sz w:val="26"/>
          <w:szCs w:val="26"/>
        </w:rPr>
        <w:t xml:space="preserve">te and compliance plan proceedings.  United at 17-18.  </w:t>
      </w:r>
      <w:r w:rsidR="00BA7C9C">
        <w:rPr>
          <w:sz w:val="26"/>
          <w:szCs w:val="26"/>
        </w:rPr>
        <w:t>T</w:t>
      </w:r>
      <w:r w:rsidR="006A09EE">
        <w:rPr>
          <w:sz w:val="26"/>
          <w:szCs w:val="26"/>
        </w:rPr>
        <w:t xml:space="preserve">he Commission </w:t>
      </w:r>
      <w:r w:rsidR="00F46D8B">
        <w:rPr>
          <w:sz w:val="26"/>
          <w:szCs w:val="26"/>
        </w:rPr>
        <w:t>notes</w:t>
      </w:r>
      <w:r w:rsidR="006A09EE">
        <w:rPr>
          <w:sz w:val="26"/>
          <w:szCs w:val="26"/>
        </w:rPr>
        <w:t xml:space="preserve"> that there is no </w:t>
      </w:r>
      <w:r w:rsidR="00A46025">
        <w:rPr>
          <w:sz w:val="26"/>
          <w:szCs w:val="26"/>
        </w:rPr>
        <w:t>need to address the full scope of PWSA regulatory compliance in one fell swoop.</w:t>
      </w:r>
      <w:r>
        <w:rPr>
          <w:sz w:val="26"/>
          <w:szCs w:val="26"/>
        </w:rPr>
        <w:t xml:space="preserve"> </w:t>
      </w:r>
      <w:r w:rsidR="000C4351">
        <w:rPr>
          <w:sz w:val="26"/>
          <w:szCs w:val="26"/>
        </w:rPr>
        <w:t xml:space="preserve"> </w:t>
      </w:r>
      <w:r w:rsidR="00BA7C9C">
        <w:rPr>
          <w:sz w:val="26"/>
          <w:szCs w:val="26"/>
        </w:rPr>
        <w:t xml:space="preserve"> </w:t>
      </w:r>
      <w:r w:rsidR="00A46025">
        <w:rPr>
          <w:sz w:val="26"/>
          <w:szCs w:val="26"/>
        </w:rPr>
        <w:t xml:space="preserve">As the September 26 Secretarial Letter pointed out, </w:t>
      </w:r>
      <w:r w:rsidR="00B1794C">
        <w:rPr>
          <w:sz w:val="26"/>
          <w:szCs w:val="26"/>
        </w:rPr>
        <w:t xml:space="preserve">66 Pa. C.S. § </w:t>
      </w:r>
      <w:r w:rsidR="00B1794C">
        <w:rPr>
          <w:rFonts w:eastAsia="Calibri"/>
          <w:sz w:val="26"/>
          <w:szCs w:val="22"/>
        </w:rPr>
        <w:t>3204(b) and (c)</w:t>
      </w:r>
      <w:r w:rsidR="00F46D8B">
        <w:rPr>
          <w:rFonts w:eastAsia="Calibri"/>
          <w:sz w:val="26"/>
          <w:szCs w:val="22"/>
        </w:rPr>
        <w:t>,</w:t>
      </w:r>
      <w:r w:rsidR="00B1794C">
        <w:rPr>
          <w:rFonts w:eastAsia="Calibri"/>
          <w:sz w:val="26"/>
          <w:szCs w:val="22"/>
        </w:rPr>
        <w:t xml:space="preserve"> do not require the Commission to </w:t>
      </w:r>
      <w:r w:rsidR="006A09EE">
        <w:rPr>
          <w:rFonts w:eastAsia="Calibri"/>
          <w:sz w:val="26"/>
          <w:szCs w:val="22"/>
        </w:rPr>
        <w:t xml:space="preserve">adhere to </w:t>
      </w:r>
      <w:r w:rsidR="00B1794C">
        <w:rPr>
          <w:rFonts w:eastAsia="Calibri"/>
          <w:sz w:val="26"/>
          <w:szCs w:val="22"/>
        </w:rPr>
        <w:t xml:space="preserve">specific procedures </w:t>
      </w:r>
      <w:r w:rsidR="006A09EE">
        <w:rPr>
          <w:rFonts w:eastAsia="Calibri"/>
          <w:sz w:val="26"/>
          <w:szCs w:val="22"/>
        </w:rPr>
        <w:t xml:space="preserve">to address the required </w:t>
      </w:r>
      <w:r w:rsidR="00B1794C">
        <w:rPr>
          <w:rFonts w:eastAsia="Calibri"/>
          <w:sz w:val="26"/>
          <w:szCs w:val="22"/>
        </w:rPr>
        <w:t xml:space="preserve">PWSA </w:t>
      </w:r>
      <w:r w:rsidR="00B1794C">
        <w:rPr>
          <w:rFonts w:eastAsia="Calibri"/>
          <w:sz w:val="26"/>
          <w:szCs w:val="22"/>
        </w:rPr>
        <w:lastRenderedPageBreak/>
        <w:t>Compliance Plan</w:t>
      </w:r>
      <w:r w:rsidR="00D26DD0">
        <w:rPr>
          <w:rFonts w:eastAsia="Calibri"/>
          <w:sz w:val="26"/>
          <w:szCs w:val="22"/>
        </w:rPr>
        <w:t xml:space="preserve"> review</w:t>
      </w:r>
      <w:r w:rsidR="00B1794C">
        <w:rPr>
          <w:rFonts w:eastAsia="Calibri"/>
          <w:sz w:val="26"/>
          <w:szCs w:val="22"/>
        </w:rPr>
        <w:t>.  Similarly, neither Chapter 32 nor the remainder of the Public Utility Code establish a deadline by which the Commission must complete its review of these filings.</w:t>
      </w:r>
    </w:p>
    <w:p w14:paraId="4BA50C9F" w14:textId="77777777" w:rsidR="00B1794C" w:rsidRDefault="00B1794C" w:rsidP="00311C3E">
      <w:pPr>
        <w:ind w:firstLine="720"/>
        <w:rPr>
          <w:sz w:val="26"/>
          <w:szCs w:val="26"/>
        </w:rPr>
      </w:pPr>
    </w:p>
    <w:p w14:paraId="15E2190A" w14:textId="77777777" w:rsidR="00A05A5B" w:rsidRPr="00A05A5B" w:rsidRDefault="00A05A5B" w:rsidP="00A05A5B">
      <w:pPr>
        <w:rPr>
          <w:b/>
          <w:sz w:val="26"/>
          <w:szCs w:val="26"/>
          <w:u w:val="single"/>
        </w:rPr>
      </w:pPr>
      <w:r w:rsidRPr="00A05A5B">
        <w:rPr>
          <w:b/>
          <w:sz w:val="26"/>
          <w:szCs w:val="26"/>
          <w:u w:val="single"/>
        </w:rPr>
        <w:t xml:space="preserve">Staged </w:t>
      </w:r>
      <w:r w:rsidR="00EE3C90">
        <w:rPr>
          <w:b/>
          <w:sz w:val="26"/>
          <w:szCs w:val="26"/>
          <w:u w:val="single"/>
        </w:rPr>
        <w:t>R</w:t>
      </w:r>
      <w:r w:rsidRPr="00A05A5B">
        <w:rPr>
          <w:b/>
          <w:sz w:val="26"/>
          <w:szCs w:val="26"/>
          <w:u w:val="single"/>
        </w:rPr>
        <w:t>eview</w:t>
      </w:r>
    </w:p>
    <w:p w14:paraId="1DE74FFA" w14:textId="77777777" w:rsidR="00A05A5B" w:rsidRDefault="00A05A5B" w:rsidP="00311C3E">
      <w:pPr>
        <w:ind w:firstLine="720"/>
        <w:rPr>
          <w:sz w:val="26"/>
          <w:szCs w:val="26"/>
        </w:rPr>
      </w:pPr>
    </w:p>
    <w:p w14:paraId="4DF3FE44" w14:textId="36E7F848" w:rsidR="009C44B6" w:rsidRDefault="006A09EE" w:rsidP="00311C3E">
      <w:pPr>
        <w:ind w:firstLine="720"/>
        <w:rPr>
          <w:sz w:val="26"/>
          <w:szCs w:val="26"/>
        </w:rPr>
      </w:pPr>
      <w:r>
        <w:rPr>
          <w:sz w:val="26"/>
          <w:szCs w:val="26"/>
        </w:rPr>
        <w:t>A primary challenge for PWSA, its stakeholders, and the Commission</w:t>
      </w:r>
      <w:r w:rsidR="00A05A5B">
        <w:rPr>
          <w:sz w:val="26"/>
          <w:szCs w:val="26"/>
        </w:rPr>
        <w:t>,</w:t>
      </w:r>
      <w:r>
        <w:rPr>
          <w:sz w:val="26"/>
          <w:szCs w:val="26"/>
        </w:rPr>
        <w:t xml:space="preserve"> is that of prioritization</w:t>
      </w:r>
      <w:r w:rsidR="00BA7C9C">
        <w:rPr>
          <w:sz w:val="26"/>
          <w:szCs w:val="26"/>
        </w:rPr>
        <w:t xml:space="preserve"> of the many issues presented</w:t>
      </w:r>
      <w:r>
        <w:rPr>
          <w:sz w:val="26"/>
          <w:szCs w:val="26"/>
        </w:rPr>
        <w:t xml:space="preserve">.  The PWSA transition from regulation under the Municipal Authorities Act to regulation under the Public Utility Code </w:t>
      </w:r>
      <w:r w:rsidR="006B5573">
        <w:rPr>
          <w:sz w:val="26"/>
          <w:szCs w:val="26"/>
        </w:rPr>
        <w:t>requires a broad</w:t>
      </w:r>
      <w:r w:rsidR="00A05A5B">
        <w:rPr>
          <w:sz w:val="26"/>
          <w:szCs w:val="26"/>
        </w:rPr>
        <w:t xml:space="preserve"> and complex </w:t>
      </w:r>
      <w:r w:rsidR="006B5573">
        <w:rPr>
          <w:sz w:val="26"/>
          <w:szCs w:val="26"/>
        </w:rPr>
        <w:t>reconfiguration of PWSA management and operations to ensure safe</w:t>
      </w:r>
      <w:r w:rsidR="0054393B">
        <w:rPr>
          <w:sz w:val="26"/>
          <w:szCs w:val="26"/>
        </w:rPr>
        <w:t>,</w:t>
      </w:r>
      <w:r w:rsidR="006B5573">
        <w:rPr>
          <w:sz w:val="26"/>
          <w:szCs w:val="26"/>
        </w:rPr>
        <w:t xml:space="preserve"> adequate</w:t>
      </w:r>
      <w:r w:rsidR="0054393B">
        <w:rPr>
          <w:sz w:val="26"/>
          <w:szCs w:val="26"/>
        </w:rPr>
        <w:t>,</w:t>
      </w:r>
      <w:r w:rsidR="006B5573">
        <w:rPr>
          <w:sz w:val="26"/>
          <w:szCs w:val="26"/>
        </w:rPr>
        <w:t xml:space="preserve"> </w:t>
      </w:r>
      <w:r w:rsidR="0054393B">
        <w:rPr>
          <w:sz w:val="26"/>
          <w:szCs w:val="26"/>
        </w:rPr>
        <w:t xml:space="preserve">and reliable </w:t>
      </w:r>
      <w:r w:rsidR="006B5573">
        <w:rPr>
          <w:sz w:val="26"/>
          <w:szCs w:val="26"/>
        </w:rPr>
        <w:t>service at just and reasonable rates</w:t>
      </w:r>
      <w:r w:rsidR="00BA7C9C">
        <w:rPr>
          <w:sz w:val="26"/>
          <w:szCs w:val="26"/>
        </w:rPr>
        <w:t>.</w:t>
      </w:r>
      <w:r w:rsidR="00A05A5B">
        <w:rPr>
          <w:sz w:val="26"/>
          <w:szCs w:val="26"/>
        </w:rPr>
        <w:t xml:space="preserve"> </w:t>
      </w:r>
      <w:r w:rsidR="00BA7C9C">
        <w:rPr>
          <w:sz w:val="26"/>
          <w:szCs w:val="26"/>
        </w:rPr>
        <w:t xml:space="preserve"> </w:t>
      </w:r>
      <w:r w:rsidR="009C44B6">
        <w:rPr>
          <w:sz w:val="26"/>
          <w:szCs w:val="26"/>
        </w:rPr>
        <w:t>In addition</w:t>
      </w:r>
      <w:r w:rsidR="00A659E0">
        <w:rPr>
          <w:sz w:val="26"/>
          <w:szCs w:val="26"/>
        </w:rPr>
        <w:t>,</w:t>
      </w:r>
      <w:r w:rsidR="009C44B6">
        <w:rPr>
          <w:sz w:val="26"/>
          <w:szCs w:val="26"/>
        </w:rPr>
        <w:t xml:space="preserve"> PWSA </w:t>
      </w:r>
      <w:r w:rsidR="00A659E0">
        <w:rPr>
          <w:sz w:val="26"/>
          <w:szCs w:val="26"/>
        </w:rPr>
        <w:t>is transitioning from oversight by the Allegheny County Health Department to a more direct regulatory relationship with t</w:t>
      </w:r>
      <w:r w:rsidR="009C44B6">
        <w:rPr>
          <w:sz w:val="26"/>
          <w:szCs w:val="26"/>
        </w:rPr>
        <w:t xml:space="preserve">he Department of Environmental Protection (DEP).  As to regulated public water and wastewater service, the Commission and DEP are </w:t>
      </w:r>
      <w:r w:rsidR="0054393B">
        <w:rPr>
          <w:sz w:val="26"/>
          <w:szCs w:val="26"/>
        </w:rPr>
        <w:t xml:space="preserve">State </w:t>
      </w:r>
      <w:r w:rsidR="009C44B6">
        <w:rPr>
          <w:sz w:val="26"/>
          <w:szCs w:val="26"/>
        </w:rPr>
        <w:t>agencies jointly charged with the protection of fundamental aspects of public health and safety.</w:t>
      </w:r>
      <w:r w:rsidR="009D6421">
        <w:rPr>
          <w:sz w:val="26"/>
          <w:szCs w:val="26"/>
        </w:rPr>
        <w:t xml:space="preserve">  The procedure established here reflects</w:t>
      </w:r>
      <w:r w:rsidR="00A659E0">
        <w:rPr>
          <w:sz w:val="26"/>
          <w:szCs w:val="26"/>
        </w:rPr>
        <w:t xml:space="preserve"> the challenges of the PWSA transition and </w:t>
      </w:r>
      <w:r w:rsidR="009D6421">
        <w:rPr>
          <w:sz w:val="26"/>
          <w:szCs w:val="26"/>
        </w:rPr>
        <w:t xml:space="preserve">a harmonization </w:t>
      </w:r>
      <w:r w:rsidR="00A659E0">
        <w:rPr>
          <w:sz w:val="26"/>
          <w:szCs w:val="26"/>
        </w:rPr>
        <w:t xml:space="preserve">of the </w:t>
      </w:r>
      <w:r w:rsidR="009D6421">
        <w:rPr>
          <w:sz w:val="26"/>
          <w:szCs w:val="26"/>
        </w:rPr>
        <w:t>joint regulatory roles</w:t>
      </w:r>
      <w:r w:rsidR="00A659E0">
        <w:rPr>
          <w:sz w:val="26"/>
          <w:szCs w:val="26"/>
        </w:rPr>
        <w:t xml:space="preserve"> of DEP and the Commission</w:t>
      </w:r>
      <w:r w:rsidR="009D6421">
        <w:rPr>
          <w:sz w:val="26"/>
          <w:szCs w:val="26"/>
        </w:rPr>
        <w:t>.</w:t>
      </w:r>
      <w:r w:rsidR="009C44B6">
        <w:rPr>
          <w:sz w:val="26"/>
          <w:szCs w:val="26"/>
        </w:rPr>
        <w:t xml:space="preserve">  </w:t>
      </w:r>
    </w:p>
    <w:p w14:paraId="246E4561" w14:textId="77777777" w:rsidR="009C44B6" w:rsidRDefault="009C44B6" w:rsidP="00311C3E">
      <w:pPr>
        <w:ind w:firstLine="720"/>
        <w:rPr>
          <w:sz w:val="26"/>
          <w:szCs w:val="26"/>
        </w:rPr>
      </w:pPr>
    </w:p>
    <w:p w14:paraId="35686970" w14:textId="77777777" w:rsidR="009C44B6" w:rsidRDefault="004804BC" w:rsidP="00311C3E">
      <w:pPr>
        <w:ind w:firstLine="720"/>
        <w:rPr>
          <w:sz w:val="26"/>
          <w:szCs w:val="26"/>
        </w:rPr>
      </w:pPr>
      <w:r>
        <w:rPr>
          <w:sz w:val="26"/>
          <w:szCs w:val="26"/>
        </w:rPr>
        <w:t xml:space="preserve">The PWSA Compliance Plan explains that </w:t>
      </w:r>
      <w:r w:rsidR="009C44B6">
        <w:rPr>
          <w:sz w:val="26"/>
          <w:szCs w:val="26"/>
        </w:rPr>
        <w:t>DEP and PWSA management agree that PWSA faces myriad challenges as it works to correct years of delayed infrastructure investment</w:t>
      </w:r>
      <w:r w:rsidR="009D6421">
        <w:rPr>
          <w:sz w:val="26"/>
          <w:szCs w:val="26"/>
        </w:rPr>
        <w:t>, maintenance,</w:t>
      </w:r>
      <w:r w:rsidR="009C44B6">
        <w:rPr>
          <w:sz w:val="26"/>
          <w:szCs w:val="26"/>
        </w:rPr>
        <w:t xml:space="preserve"> revenue</w:t>
      </w:r>
      <w:r w:rsidR="009D6421">
        <w:rPr>
          <w:sz w:val="26"/>
          <w:szCs w:val="26"/>
        </w:rPr>
        <w:t xml:space="preserve"> management, and customer service.  The Commission is likewise concerned about these issues and others addressed in the Initial Report.  </w:t>
      </w:r>
      <w:r w:rsidR="003168FD">
        <w:rPr>
          <w:sz w:val="26"/>
          <w:szCs w:val="26"/>
        </w:rPr>
        <w:t xml:space="preserve">It </w:t>
      </w:r>
      <w:r w:rsidR="00DD3108">
        <w:rPr>
          <w:sz w:val="26"/>
          <w:szCs w:val="26"/>
        </w:rPr>
        <w:t>is apparent that t</w:t>
      </w:r>
      <w:r w:rsidR="00A659E0">
        <w:rPr>
          <w:sz w:val="26"/>
          <w:szCs w:val="26"/>
        </w:rPr>
        <w:t xml:space="preserve">he Pittsburgh region served by PWSA needs more than a successful </w:t>
      </w:r>
      <w:r w:rsidR="00DD3108">
        <w:rPr>
          <w:sz w:val="26"/>
          <w:szCs w:val="26"/>
        </w:rPr>
        <w:t xml:space="preserve">outcome regarding the </w:t>
      </w:r>
      <w:r w:rsidR="00A659E0">
        <w:rPr>
          <w:sz w:val="26"/>
          <w:szCs w:val="26"/>
        </w:rPr>
        <w:t xml:space="preserve">Compliance Plan.  </w:t>
      </w:r>
      <w:r w:rsidR="009D6421">
        <w:rPr>
          <w:sz w:val="26"/>
          <w:szCs w:val="26"/>
        </w:rPr>
        <w:t xml:space="preserve">PWSA </w:t>
      </w:r>
      <w:r w:rsidR="00DD3108">
        <w:rPr>
          <w:sz w:val="26"/>
          <w:szCs w:val="26"/>
        </w:rPr>
        <w:t xml:space="preserve">must achieve </w:t>
      </w:r>
      <w:r w:rsidR="00A659E0">
        <w:rPr>
          <w:sz w:val="26"/>
          <w:szCs w:val="26"/>
        </w:rPr>
        <w:t>successful compliance</w:t>
      </w:r>
      <w:r w:rsidR="00DD3108">
        <w:rPr>
          <w:sz w:val="26"/>
          <w:szCs w:val="26"/>
        </w:rPr>
        <w:t xml:space="preserve"> </w:t>
      </w:r>
      <w:r w:rsidR="00DD3108" w:rsidRPr="00DD3108">
        <w:rPr>
          <w:i/>
          <w:sz w:val="26"/>
          <w:szCs w:val="26"/>
        </w:rPr>
        <w:t>action</w:t>
      </w:r>
      <w:r w:rsidR="00DD3108">
        <w:rPr>
          <w:sz w:val="26"/>
          <w:szCs w:val="26"/>
        </w:rPr>
        <w:t xml:space="preserve"> </w:t>
      </w:r>
      <w:r w:rsidR="00050A77">
        <w:rPr>
          <w:sz w:val="26"/>
          <w:szCs w:val="26"/>
        </w:rPr>
        <w:t xml:space="preserve">on all fronts </w:t>
      </w:r>
      <w:r w:rsidR="00DD3108">
        <w:rPr>
          <w:sz w:val="26"/>
          <w:szCs w:val="26"/>
        </w:rPr>
        <w:t xml:space="preserve">if it is to continue to </w:t>
      </w:r>
      <w:r w:rsidR="0054393B">
        <w:rPr>
          <w:sz w:val="26"/>
          <w:szCs w:val="26"/>
        </w:rPr>
        <w:t xml:space="preserve">meet its </w:t>
      </w:r>
      <w:r w:rsidR="00DD3108">
        <w:rPr>
          <w:sz w:val="26"/>
          <w:szCs w:val="26"/>
        </w:rPr>
        <w:t>serv</w:t>
      </w:r>
      <w:r w:rsidR="0054393B">
        <w:rPr>
          <w:sz w:val="26"/>
          <w:szCs w:val="26"/>
        </w:rPr>
        <w:t>ic</w:t>
      </w:r>
      <w:r w:rsidR="00DD3108">
        <w:rPr>
          <w:sz w:val="26"/>
          <w:szCs w:val="26"/>
        </w:rPr>
        <w:t xml:space="preserve">e </w:t>
      </w:r>
      <w:r w:rsidR="0054393B">
        <w:rPr>
          <w:sz w:val="26"/>
          <w:szCs w:val="26"/>
        </w:rPr>
        <w:t xml:space="preserve">obligations consistent with </w:t>
      </w:r>
      <w:r w:rsidR="00DD3108">
        <w:rPr>
          <w:sz w:val="26"/>
          <w:szCs w:val="26"/>
        </w:rPr>
        <w:t>the public interest.  T</w:t>
      </w:r>
      <w:r w:rsidR="00A659E0">
        <w:rPr>
          <w:sz w:val="26"/>
          <w:szCs w:val="26"/>
        </w:rPr>
        <w:t>he Commission believes that</w:t>
      </w:r>
      <w:r w:rsidR="00DD3108">
        <w:rPr>
          <w:sz w:val="26"/>
          <w:szCs w:val="26"/>
        </w:rPr>
        <w:t xml:space="preserve"> part of the statutory mandate of 66 Pa. C.S. § 3204(b) is to </w:t>
      </w:r>
      <w:r w:rsidR="00050A77">
        <w:rPr>
          <w:sz w:val="26"/>
          <w:szCs w:val="26"/>
        </w:rPr>
        <w:t>ensure that its procedures and process</w:t>
      </w:r>
      <w:r w:rsidR="004D5523">
        <w:rPr>
          <w:sz w:val="26"/>
          <w:szCs w:val="26"/>
        </w:rPr>
        <w:t>es</w:t>
      </w:r>
      <w:r w:rsidR="00050A77">
        <w:rPr>
          <w:sz w:val="26"/>
          <w:szCs w:val="26"/>
        </w:rPr>
        <w:t xml:space="preserve"> facilitate focused and immediate attention to those issues that are both important and urgent.</w:t>
      </w:r>
      <w:r w:rsidR="009C44B6">
        <w:rPr>
          <w:sz w:val="26"/>
          <w:szCs w:val="26"/>
        </w:rPr>
        <w:t xml:space="preserve"> </w:t>
      </w:r>
    </w:p>
    <w:p w14:paraId="01A1C74E" w14:textId="77777777" w:rsidR="009C44B6" w:rsidRDefault="009C44B6" w:rsidP="00311C3E">
      <w:pPr>
        <w:ind w:firstLine="720"/>
        <w:rPr>
          <w:sz w:val="26"/>
          <w:szCs w:val="26"/>
        </w:rPr>
      </w:pPr>
    </w:p>
    <w:p w14:paraId="3667B81B" w14:textId="7C2CB732" w:rsidR="00541C74" w:rsidRDefault="00050A77" w:rsidP="00311C3E">
      <w:pPr>
        <w:ind w:firstLine="720"/>
        <w:rPr>
          <w:sz w:val="26"/>
          <w:szCs w:val="26"/>
        </w:rPr>
      </w:pPr>
      <w:r>
        <w:rPr>
          <w:sz w:val="26"/>
          <w:szCs w:val="26"/>
        </w:rPr>
        <w:t>To th</w:t>
      </w:r>
      <w:r w:rsidR="00920692">
        <w:rPr>
          <w:sz w:val="26"/>
          <w:szCs w:val="26"/>
        </w:rPr>
        <w:t>at</w:t>
      </w:r>
      <w:r>
        <w:rPr>
          <w:sz w:val="26"/>
          <w:szCs w:val="26"/>
        </w:rPr>
        <w:t xml:space="preserve"> end, the Commission has determined to stage its review of the Compliance </w:t>
      </w:r>
      <w:r w:rsidR="0025741C">
        <w:rPr>
          <w:sz w:val="26"/>
          <w:szCs w:val="26"/>
        </w:rPr>
        <w:t>P</w:t>
      </w:r>
      <w:r>
        <w:rPr>
          <w:sz w:val="26"/>
          <w:szCs w:val="26"/>
        </w:rPr>
        <w:t xml:space="preserve">lan.  Litigation concerning </w:t>
      </w:r>
      <w:r w:rsidR="006C7442">
        <w:rPr>
          <w:sz w:val="26"/>
          <w:szCs w:val="26"/>
        </w:rPr>
        <w:t>S</w:t>
      </w:r>
      <w:r>
        <w:rPr>
          <w:sz w:val="26"/>
          <w:szCs w:val="26"/>
        </w:rPr>
        <w:t xml:space="preserve">tage </w:t>
      </w:r>
      <w:r w:rsidR="006C7442">
        <w:rPr>
          <w:sz w:val="26"/>
          <w:szCs w:val="26"/>
        </w:rPr>
        <w:t>1</w:t>
      </w:r>
      <w:r>
        <w:rPr>
          <w:sz w:val="26"/>
          <w:szCs w:val="26"/>
        </w:rPr>
        <w:t xml:space="preserve"> will commence on November 27, 2018</w:t>
      </w:r>
      <w:r w:rsidR="0025741C">
        <w:rPr>
          <w:sz w:val="26"/>
          <w:szCs w:val="26"/>
        </w:rPr>
        <w:t>,</w:t>
      </w:r>
      <w:r>
        <w:rPr>
          <w:sz w:val="26"/>
          <w:szCs w:val="26"/>
        </w:rPr>
        <w:t xml:space="preserve"> with the assignment of the Compliance Plan to OALJ along with the attached </w:t>
      </w:r>
      <w:r w:rsidR="00B1794C">
        <w:rPr>
          <w:sz w:val="26"/>
          <w:szCs w:val="26"/>
        </w:rPr>
        <w:t>Initial Report</w:t>
      </w:r>
      <w:r>
        <w:rPr>
          <w:sz w:val="26"/>
          <w:szCs w:val="26"/>
        </w:rPr>
        <w:t xml:space="preserve">.  Stage </w:t>
      </w:r>
      <w:r w:rsidR="006C7442">
        <w:rPr>
          <w:sz w:val="26"/>
          <w:szCs w:val="26"/>
        </w:rPr>
        <w:t>1</w:t>
      </w:r>
      <w:r>
        <w:rPr>
          <w:sz w:val="26"/>
          <w:szCs w:val="26"/>
        </w:rPr>
        <w:t xml:space="preserve"> </w:t>
      </w:r>
      <w:r w:rsidR="00FE0EC5">
        <w:rPr>
          <w:sz w:val="26"/>
          <w:szCs w:val="26"/>
        </w:rPr>
        <w:t xml:space="preserve">is </w:t>
      </w:r>
      <w:r>
        <w:rPr>
          <w:sz w:val="26"/>
          <w:szCs w:val="26"/>
        </w:rPr>
        <w:t>directed to</w:t>
      </w:r>
      <w:r w:rsidR="0025741C">
        <w:rPr>
          <w:sz w:val="26"/>
          <w:szCs w:val="26"/>
        </w:rPr>
        <w:t>ward</w:t>
      </w:r>
      <w:r w:rsidR="00B1794C">
        <w:rPr>
          <w:sz w:val="26"/>
          <w:szCs w:val="26"/>
        </w:rPr>
        <w:t xml:space="preserve"> </w:t>
      </w:r>
      <w:r w:rsidR="00C71F5A">
        <w:rPr>
          <w:sz w:val="26"/>
          <w:szCs w:val="26"/>
        </w:rPr>
        <w:t xml:space="preserve">urgent </w:t>
      </w:r>
      <w:r w:rsidR="00BA7C9C">
        <w:rPr>
          <w:sz w:val="26"/>
          <w:szCs w:val="26"/>
        </w:rPr>
        <w:t xml:space="preserve">infrastructure </w:t>
      </w:r>
      <w:r w:rsidR="001210EA">
        <w:rPr>
          <w:sz w:val="26"/>
          <w:szCs w:val="26"/>
        </w:rPr>
        <w:t xml:space="preserve">remediation </w:t>
      </w:r>
      <w:r w:rsidR="0054393B">
        <w:rPr>
          <w:sz w:val="26"/>
          <w:szCs w:val="26"/>
        </w:rPr>
        <w:t xml:space="preserve">and improvement, </w:t>
      </w:r>
      <w:r w:rsidR="00BA7C9C">
        <w:rPr>
          <w:sz w:val="26"/>
          <w:szCs w:val="26"/>
        </w:rPr>
        <w:t xml:space="preserve">and the </w:t>
      </w:r>
      <w:r w:rsidR="001210EA">
        <w:rPr>
          <w:sz w:val="26"/>
          <w:szCs w:val="26"/>
        </w:rPr>
        <w:t xml:space="preserve">revenue and financing </w:t>
      </w:r>
      <w:r w:rsidR="00BA7C9C">
        <w:rPr>
          <w:sz w:val="26"/>
          <w:szCs w:val="26"/>
        </w:rPr>
        <w:t xml:space="preserve">requirements of maintaining service that supports </w:t>
      </w:r>
      <w:r w:rsidR="00B1794C">
        <w:rPr>
          <w:sz w:val="26"/>
          <w:szCs w:val="26"/>
        </w:rPr>
        <w:t>public health and safety</w:t>
      </w:r>
      <w:r w:rsidR="001210EA">
        <w:rPr>
          <w:sz w:val="26"/>
          <w:szCs w:val="26"/>
        </w:rPr>
        <w:t>.</w:t>
      </w:r>
      <w:r w:rsidR="00F1500B">
        <w:rPr>
          <w:sz w:val="26"/>
          <w:szCs w:val="26"/>
        </w:rPr>
        <w:t xml:space="preserve">  Stage </w:t>
      </w:r>
      <w:r w:rsidR="006C7442">
        <w:rPr>
          <w:sz w:val="26"/>
          <w:szCs w:val="26"/>
        </w:rPr>
        <w:t>2</w:t>
      </w:r>
      <w:r w:rsidR="00F1500B">
        <w:rPr>
          <w:sz w:val="26"/>
          <w:szCs w:val="26"/>
        </w:rPr>
        <w:t xml:space="preserve"> will address </w:t>
      </w:r>
      <w:r w:rsidR="00C71F5A">
        <w:rPr>
          <w:sz w:val="26"/>
          <w:szCs w:val="26"/>
        </w:rPr>
        <w:t xml:space="preserve">important </w:t>
      </w:r>
      <w:r w:rsidR="001210EA">
        <w:rPr>
          <w:sz w:val="26"/>
          <w:szCs w:val="26"/>
        </w:rPr>
        <w:t>PWSA billing issues and the development of a proposed PWSA stormwater tariff.</w:t>
      </w:r>
    </w:p>
    <w:p w14:paraId="440EA333" w14:textId="77777777" w:rsidR="00541C74" w:rsidRDefault="00541C74" w:rsidP="00311C3E">
      <w:pPr>
        <w:ind w:firstLine="720"/>
        <w:rPr>
          <w:sz w:val="26"/>
          <w:szCs w:val="26"/>
        </w:rPr>
      </w:pPr>
    </w:p>
    <w:p w14:paraId="0097B419" w14:textId="77777777" w:rsidR="003122F6" w:rsidRDefault="0025741C" w:rsidP="00311C3E">
      <w:pPr>
        <w:ind w:firstLine="720"/>
        <w:rPr>
          <w:sz w:val="26"/>
          <w:szCs w:val="26"/>
        </w:rPr>
      </w:pPr>
      <w:r>
        <w:rPr>
          <w:sz w:val="26"/>
          <w:szCs w:val="26"/>
        </w:rPr>
        <w:t>In other words</w:t>
      </w:r>
      <w:r w:rsidR="001210EA">
        <w:rPr>
          <w:sz w:val="26"/>
          <w:szCs w:val="26"/>
        </w:rPr>
        <w:t xml:space="preserve">, </w:t>
      </w:r>
      <w:r w:rsidR="006C7442">
        <w:rPr>
          <w:sz w:val="26"/>
          <w:szCs w:val="26"/>
        </w:rPr>
        <w:t>S</w:t>
      </w:r>
      <w:r w:rsidR="001210EA">
        <w:rPr>
          <w:sz w:val="26"/>
          <w:szCs w:val="26"/>
        </w:rPr>
        <w:t xml:space="preserve">tage </w:t>
      </w:r>
      <w:r w:rsidR="006C7442">
        <w:rPr>
          <w:sz w:val="26"/>
          <w:szCs w:val="26"/>
        </w:rPr>
        <w:t>1</w:t>
      </w:r>
      <w:r w:rsidR="001210EA">
        <w:rPr>
          <w:sz w:val="26"/>
          <w:szCs w:val="26"/>
        </w:rPr>
        <w:t xml:space="preserve"> of the Commission’s review will address </w:t>
      </w:r>
      <w:r w:rsidR="00DA498F">
        <w:rPr>
          <w:sz w:val="26"/>
          <w:szCs w:val="26"/>
        </w:rPr>
        <w:t xml:space="preserve">all issues </w:t>
      </w:r>
      <w:r w:rsidR="00541C74">
        <w:rPr>
          <w:sz w:val="26"/>
          <w:szCs w:val="26"/>
        </w:rPr>
        <w:t>except for</w:t>
      </w:r>
      <w:r w:rsidR="001210EA">
        <w:rPr>
          <w:sz w:val="26"/>
          <w:szCs w:val="26"/>
        </w:rPr>
        <w:t xml:space="preserve"> PWSA</w:t>
      </w:r>
      <w:r w:rsidR="00DA498F">
        <w:rPr>
          <w:sz w:val="26"/>
          <w:szCs w:val="26"/>
        </w:rPr>
        <w:t>’s</w:t>
      </w:r>
      <w:r w:rsidR="001210EA">
        <w:rPr>
          <w:sz w:val="26"/>
          <w:szCs w:val="26"/>
        </w:rPr>
        <w:t xml:space="preserve"> compliance with </w:t>
      </w:r>
      <w:r w:rsidR="0099337F">
        <w:rPr>
          <w:sz w:val="26"/>
          <w:szCs w:val="26"/>
        </w:rPr>
        <w:t xml:space="preserve">Chapter 14 of the </w:t>
      </w:r>
      <w:r w:rsidR="001210EA">
        <w:rPr>
          <w:sz w:val="26"/>
          <w:szCs w:val="26"/>
        </w:rPr>
        <w:t xml:space="preserve">Public Utility Code and Chapter 56 of the Commission’s regulations and the development of a PWSA stormwater tariff, which </w:t>
      </w:r>
      <w:r w:rsidR="00DA498F">
        <w:rPr>
          <w:sz w:val="26"/>
          <w:szCs w:val="26"/>
        </w:rPr>
        <w:t xml:space="preserve">are reserved for </w:t>
      </w:r>
      <w:r w:rsidR="00D727F3">
        <w:rPr>
          <w:sz w:val="26"/>
          <w:szCs w:val="26"/>
        </w:rPr>
        <w:t xml:space="preserve">the second </w:t>
      </w:r>
      <w:r w:rsidR="001210EA">
        <w:rPr>
          <w:sz w:val="26"/>
          <w:szCs w:val="26"/>
        </w:rPr>
        <w:t xml:space="preserve">stage.  Litigation of </w:t>
      </w:r>
      <w:r w:rsidR="00F24D0D">
        <w:rPr>
          <w:sz w:val="26"/>
          <w:szCs w:val="26"/>
        </w:rPr>
        <w:t>S</w:t>
      </w:r>
      <w:r w:rsidR="001210EA">
        <w:rPr>
          <w:sz w:val="26"/>
          <w:szCs w:val="26"/>
        </w:rPr>
        <w:t xml:space="preserve">tage </w:t>
      </w:r>
      <w:r w:rsidR="00F24D0D">
        <w:rPr>
          <w:sz w:val="26"/>
          <w:szCs w:val="26"/>
        </w:rPr>
        <w:t>2</w:t>
      </w:r>
      <w:r w:rsidR="001210EA">
        <w:rPr>
          <w:sz w:val="26"/>
          <w:szCs w:val="26"/>
        </w:rPr>
        <w:t xml:space="preserve"> issues will commence after the issuance of a Commission order on </w:t>
      </w:r>
      <w:r w:rsidR="00F24D0D">
        <w:rPr>
          <w:sz w:val="26"/>
          <w:szCs w:val="26"/>
        </w:rPr>
        <w:t>S</w:t>
      </w:r>
      <w:r w:rsidR="001210EA">
        <w:rPr>
          <w:sz w:val="26"/>
          <w:szCs w:val="26"/>
        </w:rPr>
        <w:t xml:space="preserve">tage </w:t>
      </w:r>
      <w:r w:rsidR="00F24D0D">
        <w:rPr>
          <w:sz w:val="26"/>
          <w:szCs w:val="26"/>
        </w:rPr>
        <w:t>1</w:t>
      </w:r>
      <w:r w:rsidR="001210EA">
        <w:rPr>
          <w:sz w:val="26"/>
          <w:szCs w:val="26"/>
        </w:rPr>
        <w:t xml:space="preserve"> issues in late 2019.  </w:t>
      </w:r>
      <w:r w:rsidR="00B96FA0">
        <w:rPr>
          <w:sz w:val="26"/>
          <w:szCs w:val="26"/>
        </w:rPr>
        <w:t xml:space="preserve">To be </w:t>
      </w:r>
      <w:r w:rsidR="00E36A9D">
        <w:rPr>
          <w:sz w:val="26"/>
          <w:szCs w:val="26"/>
        </w:rPr>
        <w:t>clear</w:t>
      </w:r>
      <w:r w:rsidR="00B96FA0">
        <w:rPr>
          <w:sz w:val="26"/>
          <w:szCs w:val="26"/>
        </w:rPr>
        <w:t xml:space="preserve">, metering </w:t>
      </w:r>
      <w:r w:rsidR="00E36A9D">
        <w:rPr>
          <w:sz w:val="26"/>
          <w:szCs w:val="26"/>
        </w:rPr>
        <w:t xml:space="preserve">and </w:t>
      </w:r>
      <w:r w:rsidR="00E36A9D">
        <w:rPr>
          <w:sz w:val="26"/>
          <w:szCs w:val="26"/>
        </w:rPr>
        <w:lastRenderedPageBreak/>
        <w:t xml:space="preserve">related revenue </w:t>
      </w:r>
      <w:r w:rsidR="00B96FA0">
        <w:rPr>
          <w:sz w:val="26"/>
          <w:szCs w:val="26"/>
        </w:rPr>
        <w:t xml:space="preserve">issues </w:t>
      </w:r>
      <w:r w:rsidR="00541C74">
        <w:rPr>
          <w:sz w:val="26"/>
          <w:szCs w:val="26"/>
        </w:rPr>
        <w:t xml:space="preserve">will be addressed immediately </w:t>
      </w:r>
      <w:r w:rsidR="00B96FA0">
        <w:rPr>
          <w:sz w:val="26"/>
          <w:szCs w:val="26"/>
        </w:rPr>
        <w:t>regardless of their connection</w:t>
      </w:r>
      <w:r w:rsidR="00E36A9D">
        <w:rPr>
          <w:sz w:val="26"/>
          <w:szCs w:val="26"/>
        </w:rPr>
        <w:t xml:space="preserve"> to billing practices.</w:t>
      </w:r>
      <w:r w:rsidR="00F1500B">
        <w:rPr>
          <w:sz w:val="26"/>
          <w:szCs w:val="26"/>
        </w:rPr>
        <w:t xml:space="preserve"> </w:t>
      </w:r>
      <w:r w:rsidR="00541C74">
        <w:rPr>
          <w:sz w:val="26"/>
          <w:szCs w:val="26"/>
        </w:rPr>
        <w:t xml:space="preserve"> </w:t>
      </w:r>
    </w:p>
    <w:p w14:paraId="56E4CB05" w14:textId="77777777" w:rsidR="00D727F3" w:rsidRDefault="00D727F3" w:rsidP="00311C3E">
      <w:pPr>
        <w:ind w:firstLine="720"/>
        <w:rPr>
          <w:sz w:val="26"/>
          <w:szCs w:val="26"/>
        </w:rPr>
      </w:pPr>
    </w:p>
    <w:p w14:paraId="224D518A" w14:textId="6EBADBBF" w:rsidR="00D727F3" w:rsidRDefault="00D727F3" w:rsidP="00311C3E">
      <w:pPr>
        <w:ind w:firstLine="720"/>
        <w:rPr>
          <w:sz w:val="26"/>
          <w:szCs w:val="26"/>
        </w:rPr>
      </w:pPr>
      <w:r>
        <w:rPr>
          <w:sz w:val="26"/>
          <w:szCs w:val="26"/>
        </w:rPr>
        <w:t xml:space="preserve">The Commission acknowledges that it has not yet received a Recommended Decision, exceptions, or settlement proposal on the pending PWSA rate proceedings at Docket Nos. </w:t>
      </w:r>
      <w:r w:rsidRPr="00D727F3">
        <w:rPr>
          <w:sz w:val="26"/>
          <w:szCs w:val="26"/>
        </w:rPr>
        <w:t>R-2018-3002645</w:t>
      </w:r>
      <w:r>
        <w:rPr>
          <w:sz w:val="26"/>
          <w:szCs w:val="26"/>
        </w:rPr>
        <w:t xml:space="preserve"> and R-2018</w:t>
      </w:r>
      <w:r w:rsidRPr="00D727F3">
        <w:rPr>
          <w:sz w:val="26"/>
          <w:szCs w:val="26"/>
        </w:rPr>
        <w:t>-3002647</w:t>
      </w:r>
      <w:r>
        <w:rPr>
          <w:sz w:val="26"/>
          <w:szCs w:val="26"/>
        </w:rPr>
        <w:t xml:space="preserve">.  To the extent that </w:t>
      </w:r>
      <w:r w:rsidR="00F02B06">
        <w:rPr>
          <w:sz w:val="26"/>
          <w:szCs w:val="26"/>
        </w:rPr>
        <w:t xml:space="preserve">perceived </w:t>
      </w:r>
      <w:r>
        <w:rPr>
          <w:sz w:val="26"/>
          <w:szCs w:val="26"/>
        </w:rPr>
        <w:t xml:space="preserve">conflicts may arise between the PWSA rate proceeding and the staged litigation of the PWSA </w:t>
      </w:r>
      <w:r w:rsidR="00FD277D">
        <w:rPr>
          <w:sz w:val="26"/>
          <w:szCs w:val="26"/>
        </w:rPr>
        <w:t>C</w:t>
      </w:r>
      <w:r>
        <w:rPr>
          <w:sz w:val="26"/>
          <w:szCs w:val="26"/>
        </w:rPr>
        <w:t xml:space="preserve">ompliance </w:t>
      </w:r>
      <w:r w:rsidR="00FD277D">
        <w:rPr>
          <w:sz w:val="26"/>
          <w:szCs w:val="26"/>
        </w:rPr>
        <w:t>P</w:t>
      </w:r>
      <w:r>
        <w:rPr>
          <w:sz w:val="26"/>
          <w:szCs w:val="26"/>
        </w:rPr>
        <w:t xml:space="preserve">lan the Commission will entertain </w:t>
      </w:r>
      <w:r w:rsidR="00F02B06">
        <w:rPr>
          <w:sz w:val="26"/>
          <w:szCs w:val="26"/>
        </w:rPr>
        <w:t xml:space="preserve">resolution of those conflicts by motion or petition within Stage 1 of the Compliance Plan. </w:t>
      </w:r>
      <w:r>
        <w:rPr>
          <w:sz w:val="26"/>
          <w:szCs w:val="26"/>
        </w:rPr>
        <w:t xml:space="preserve">  </w:t>
      </w:r>
    </w:p>
    <w:p w14:paraId="0B3DEE75" w14:textId="77777777" w:rsidR="003122F6" w:rsidRDefault="003122F6" w:rsidP="00311C3E">
      <w:pPr>
        <w:ind w:firstLine="720"/>
        <w:rPr>
          <w:sz w:val="26"/>
          <w:szCs w:val="26"/>
        </w:rPr>
      </w:pPr>
    </w:p>
    <w:p w14:paraId="61F1B161" w14:textId="4F5C177C" w:rsidR="00B96FA0" w:rsidRDefault="003122F6" w:rsidP="00311C3E">
      <w:pPr>
        <w:ind w:firstLine="720"/>
        <w:rPr>
          <w:sz w:val="26"/>
          <w:szCs w:val="26"/>
        </w:rPr>
      </w:pPr>
      <w:r>
        <w:rPr>
          <w:sz w:val="26"/>
          <w:szCs w:val="26"/>
        </w:rPr>
        <w:t>In the Commission’s judgment, c</w:t>
      </w:r>
      <w:r w:rsidR="001210EA">
        <w:rPr>
          <w:sz w:val="26"/>
          <w:szCs w:val="26"/>
        </w:rPr>
        <w:t>onducting staged litigation has benefits other than providing priority to issues that are both important and urgent.  Stakeholders</w:t>
      </w:r>
      <w:r>
        <w:rPr>
          <w:sz w:val="26"/>
          <w:szCs w:val="26"/>
        </w:rPr>
        <w:t xml:space="preserve"> will remain</w:t>
      </w:r>
      <w:r w:rsidR="001210EA">
        <w:rPr>
          <w:sz w:val="26"/>
          <w:szCs w:val="26"/>
        </w:rPr>
        <w:t xml:space="preserve"> free to engage</w:t>
      </w:r>
      <w:r>
        <w:rPr>
          <w:sz w:val="26"/>
          <w:szCs w:val="26"/>
        </w:rPr>
        <w:t xml:space="preserve"> informally</w:t>
      </w:r>
      <w:r w:rsidR="001210EA">
        <w:rPr>
          <w:sz w:val="26"/>
          <w:szCs w:val="26"/>
        </w:rPr>
        <w:t xml:space="preserve"> with Commission staff on billing and stormwater issues over the next year</w:t>
      </w:r>
      <w:r w:rsidR="006C7442">
        <w:rPr>
          <w:sz w:val="26"/>
          <w:szCs w:val="26"/>
        </w:rPr>
        <w:t xml:space="preserve"> outside of the formal hearing process</w:t>
      </w:r>
      <w:r w:rsidR="001210EA">
        <w:rPr>
          <w:sz w:val="26"/>
          <w:szCs w:val="26"/>
        </w:rPr>
        <w:t xml:space="preserve">.  </w:t>
      </w:r>
      <w:r w:rsidR="00B96FA0">
        <w:rPr>
          <w:sz w:val="26"/>
          <w:szCs w:val="26"/>
        </w:rPr>
        <w:t>In addition, t</w:t>
      </w:r>
      <w:r w:rsidR="001210EA">
        <w:rPr>
          <w:sz w:val="26"/>
          <w:szCs w:val="26"/>
        </w:rPr>
        <w:t>he Commission expects that PWSA will continue to</w:t>
      </w:r>
      <w:r w:rsidR="00B96FA0">
        <w:rPr>
          <w:sz w:val="26"/>
          <w:szCs w:val="26"/>
        </w:rPr>
        <w:t xml:space="preserve"> work cooperatively with stakeholders to adapt its practices to obtain full compliance</w:t>
      </w:r>
      <w:r w:rsidR="00F80A89">
        <w:rPr>
          <w:sz w:val="26"/>
          <w:szCs w:val="26"/>
        </w:rPr>
        <w:t xml:space="preserve"> with applicable statutes and Commission regulations</w:t>
      </w:r>
      <w:r w:rsidR="00B96FA0">
        <w:rPr>
          <w:sz w:val="26"/>
          <w:szCs w:val="26"/>
        </w:rPr>
        <w:t xml:space="preserve">.  </w:t>
      </w:r>
    </w:p>
    <w:p w14:paraId="102EBCE5" w14:textId="77777777" w:rsidR="007F4C9E" w:rsidRDefault="007F4C9E" w:rsidP="00311C3E">
      <w:pPr>
        <w:ind w:firstLine="720"/>
        <w:rPr>
          <w:sz w:val="26"/>
          <w:szCs w:val="26"/>
        </w:rPr>
      </w:pPr>
    </w:p>
    <w:p w14:paraId="6C114AD2" w14:textId="77777777" w:rsidR="00E36A9D" w:rsidRPr="00E36A9D" w:rsidRDefault="00E36A9D" w:rsidP="00E36A9D">
      <w:pPr>
        <w:rPr>
          <w:b/>
          <w:sz w:val="26"/>
          <w:szCs w:val="26"/>
          <w:u w:val="single"/>
        </w:rPr>
      </w:pPr>
      <w:r w:rsidRPr="00E36A9D">
        <w:rPr>
          <w:b/>
          <w:sz w:val="26"/>
          <w:szCs w:val="26"/>
          <w:u w:val="single"/>
        </w:rPr>
        <w:t>Billing and Stormwater Tariff Workshops</w:t>
      </w:r>
    </w:p>
    <w:p w14:paraId="6E704BE1" w14:textId="77777777" w:rsidR="00E36A9D" w:rsidRDefault="00E36A9D" w:rsidP="00311C3E">
      <w:pPr>
        <w:ind w:firstLine="720"/>
        <w:rPr>
          <w:sz w:val="26"/>
          <w:szCs w:val="26"/>
        </w:rPr>
      </w:pPr>
    </w:p>
    <w:p w14:paraId="7939F732" w14:textId="349A61D9" w:rsidR="001210EA" w:rsidRDefault="00B96FA0" w:rsidP="00311C3E">
      <w:pPr>
        <w:ind w:firstLine="720"/>
        <w:rPr>
          <w:sz w:val="26"/>
          <w:szCs w:val="26"/>
        </w:rPr>
      </w:pPr>
      <w:r>
        <w:rPr>
          <w:sz w:val="26"/>
          <w:szCs w:val="26"/>
        </w:rPr>
        <w:t xml:space="preserve">To facilitate </w:t>
      </w:r>
      <w:r w:rsidR="00541C74">
        <w:rPr>
          <w:sz w:val="26"/>
          <w:szCs w:val="26"/>
        </w:rPr>
        <w:t xml:space="preserve">a </w:t>
      </w:r>
      <w:r>
        <w:rPr>
          <w:sz w:val="26"/>
          <w:szCs w:val="26"/>
        </w:rPr>
        <w:t>goal</w:t>
      </w:r>
      <w:r w:rsidR="00541C74">
        <w:rPr>
          <w:sz w:val="26"/>
          <w:szCs w:val="26"/>
        </w:rPr>
        <w:t xml:space="preserve"> of continuous compliance improvement</w:t>
      </w:r>
      <w:r>
        <w:rPr>
          <w:sz w:val="26"/>
          <w:szCs w:val="26"/>
        </w:rPr>
        <w:t xml:space="preserve">, the Commission hereby directs its Bureau of Consumer Services (BCS) to conduct quarterly workshops in 2019 for the benefit of PWSA, stakeholders and the Commission.  Like the Initial Report included here, the focus of the BCS workshops will be the development of an initial report and directed questions regarding PWSA compliance with </w:t>
      </w:r>
      <w:r w:rsidR="0099337F">
        <w:rPr>
          <w:sz w:val="26"/>
          <w:szCs w:val="26"/>
        </w:rPr>
        <w:t xml:space="preserve">Chapter 14 of the </w:t>
      </w:r>
      <w:r>
        <w:rPr>
          <w:sz w:val="26"/>
          <w:szCs w:val="26"/>
        </w:rPr>
        <w:t xml:space="preserve">Public Utility Code and Chapter 56 of the Commission’s regulations for use in </w:t>
      </w:r>
      <w:r w:rsidR="00F24D0D">
        <w:rPr>
          <w:sz w:val="26"/>
          <w:szCs w:val="26"/>
        </w:rPr>
        <w:t>Stage 2</w:t>
      </w:r>
      <w:r>
        <w:rPr>
          <w:sz w:val="26"/>
          <w:szCs w:val="26"/>
        </w:rPr>
        <w:t xml:space="preserve"> of Commission review of the PWSA Compliance Plan.  Stakeholders </w:t>
      </w:r>
      <w:r w:rsidR="00DB3767">
        <w:rPr>
          <w:sz w:val="26"/>
          <w:szCs w:val="26"/>
        </w:rPr>
        <w:t>are</w:t>
      </w:r>
      <w:r>
        <w:rPr>
          <w:sz w:val="26"/>
          <w:szCs w:val="26"/>
        </w:rPr>
        <w:t xml:space="preserve"> assured that the Commission’s informal and formal complaint process are available should the need arise for immediate attention to any </w:t>
      </w:r>
      <w:r w:rsidR="00F24D0D">
        <w:rPr>
          <w:sz w:val="26"/>
          <w:szCs w:val="26"/>
        </w:rPr>
        <w:t>S</w:t>
      </w:r>
      <w:r w:rsidR="00541C74">
        <w:rPr>
          <w:sz w:val="26"/>
          <w:szCs w:val="26"/>
        </w:rPr>
        <w:t xml:space="preserve">tage 2 </w:t>
      </w:r>
      <w:r>
        <w:rPr>
          <w:sz w:val="26"/>
          <w:szCs w:val="26"/>
        </w:rPr>
        <w:t>issue.</w:t>
      </w:r>
      <w:r w:rsidR="00490C59">
        <w:rPr>
          <w:sz w:val="26"/>
          <w:szCs w:val="26"/>
        </w:rPr>
        <w:t xml:space="preserve">  The BCS workshops are to commence after Commission issuance of a final order in the above-referenced PWSA rate proceedings.</w:t>
      </w:r>
    </w:p>
    <w:p w14:paraId="34B1F240" w14:textId="77777777" w:rsidR="00490C59" w:rsidRDefault="00490C59" w:rsidP="00311C3E">
      <w:pPr>
        <w:ind w:firstLine="720"/>
        <w:rPr>
          <w:sz w:val="26"/>
          <w:szCs w:val="26"/>
        </w:rPr>
      </w:pPr>
    </w:p>
    <w:p w14:paraId="3FCD3865" w14:textId="77777777" w:rsidR="00E36A9D" w:rsidRDefault="00E36A9D" w:rsidP="00311C3E">
      <w:pPr>
        <w:ind w:firstLine="720"/>
        <w:rPr>
          <w:sz w:val="26"/>
          <w:szCs w:val="26"/>
        </w:rPr>
      </w:pPr>
      <w:r>
        <w:rPr>
          <w:sz w:val="26"/>
          <w:szCs w:val="26"/>
        </w:rPr>
        <w:t xml:space="preserve">Likewise, the Commission’s Bureau of Technical Utility Services (TUS) will conduct a stormwater tariff workshop in 2019 for the benefit of PWSA, stakeholders, and the Commission.  TUS will develop an initial report and directed questions regarding a PWSA proposed stormwater tariff for use in </w:t>
      </w:r>
      <w:r w:rsidR="00F24D0D">
        <w:rPr>
          <w:sz w:val="26"/>
          <w:szCs w:val="26"/>
        </w:rPr>
        <w:t>Stage 2</w:t>
      </w:r>
      <w:r>
        <w:rPr>
          <w:sz w:val="26"/>
          <w:szCs w:val="26"/>
        </w:rPr>
        <w:t xml:space="preserve"> of Commission review of the PWSA Compliance Plan. </w:t>
      </w:r>
    </w:p>
    <w:p w14:paraId="3EF93EA7" w14:textId="77777777" w:rsidR="00E36A9D" w:rsidRDefault="00E36A9D" w:rsidP="00311C3E">
      <w:pPr>
        <w:ind w:firstLine="720"/>
        <w:rPr>
          <w:sz w:val="26"/>
          <w:szCs w:val="26"/>
        </w:rPr>
      </w:pPr>
    </w:p>
    <w:p w14:paraId="7AE55CD7" w14:textId="77777777" w:rsidR="00E36A9D" w:rsidRPr="00E36A9D" w:rsidRDefault="00E36A9D" w:rsidP="00E36A9D">
      <w:pPr>
        <w:rPr>
          <w:b/>
          <w:sz w:val="26"/>
          <w:szCs w:val="26"/>
          <w:u w:val="single"/>
        </w:rPr>
      </w:pPr>
      <w:r w:rsidRPr="00E36A9D">
        <w:rPr>
          <w:b/>
          <w:sz w:val="26"/>
          <w:szCs w:val="26"/>
          <w:u w:val="single"/>
        </w:rPr>
        <w:t>Referral to Office of Administrative Law Judge</w:t>
      </w:r>
    </w:p>
    <w:p w14:paraId="4C278B95" w14:textId="77777777" w:rsidR="00E36A9D" w:rsidRDefault="00E36A9D" w:rsidP="00E36A9D">
      <w:pPr>
        <w:rPr>
          <w:sz w:val="26"/>
          <w:szCs w:val="26"/>
        </w:rPr>
      </w:pPr>
    </w:p>
    <w:p w14:paraId="2422A720" w14:textId="77777777" w:rsidR="003122F6" w:rsidRDefault="00A9634C" w:rsidP="00E36A9D">
      <w:pPr>
        <w:ind w:firstLine="720"/>
        <w:rPr>
          <w:sz w:val="26"/>
          <w:szCs w:val="26"/>
        </w:rPr>
      </w:pPr>
      <w:r>
        <w:rPr>
          <w:sz w:val="26"/>
          <w:szCs w:val="26"/>
        </w:rPr>
        <w:t xml:space="preserve">  Consistent with the direction of th</w:t>
      </w:r>
      <w:r w:rsidR="00E36A9D">
        <w:rPr>
          <w:sz w:val="26"/>
          <w:szCs w:val="26"/>
        </w:rPr>
        <w:t xml:space="preserve">is Secretarial Letter and the </w:t>
      </w:r>
      <w:r>
        <w:rPr>
          <w:sz w:val="26"/>
          <w:szCs w:val="26"/>
        </w:rPr>
        <w:t>September 26</w:t>
      </w:r>
      <w:r w:rsidR="00541C74">
        <w:rPr>
          <w:sz w:val="26"/>
          <w:szCs w:val="26"/>
        </w:rPr>
        <w:t xml:space="preserve">, 2018 </w:t>
      </w:r>
      <w:r>
        <w:rPr>
          <w:sz w:val="26"/>
          <w:szCs w:val="26"/>
        </w:rPr>
        <w:t xml:space="preserve">Secretarial Letter, OALJ is hereby directed to </w:t>
      </w:r>
      <w:r w:rsidR="006B1562">
        <w:rPr>
          <w:sz w:val="26"/>
          <w:szCs w:val="26"/>
        </w:rPr>
        <w:t xml:space="preserve">incorporate </w:t>
      </w:r>
      <w:r w:rsidR="0082124F">
        <w:rPr>
          <w:sz w:val="26"/>
          <w:szCs w:val="26"/>
        </w:rPr>
        <w:t xml:space="preserve">the </w:t>
      </w:r>
      <w:r w:rsidR="00F24D0D">
        <w:rPr>
          <w:sz w:val="26"/>
          <w:szCs w:val="26"/>
        </w:rPr>
        <w:t>Stage 1</w:t>
      </w:r>
      <w:r w:rsidR="00E36A9D">
        <w:rPr>
          <w:sz w:val="26"/>
          <w:szCs w:val="26"/>
        </w:rPr>
        <w:t xml:space="preserve"> </w:t>
      </w:r>
      <w:r w:rsidR="0082124F">
        <w:rPr>
          <w:sz w:val="26"/>
          <w:szCs w:val="26"/>
        </w:rPr>
        <w:t xml:space="preserve">Initial Report </w:t>
      </w:r>
      <w:r w:rsidR="006B1562">
        <w:rPr>
          <w:sz w:val="26"/>
          <w:szCs w:val="26"/>
        </w:rPr>
        <w:t xml:space="preserve">into its Prehearing Order and to conduct </w:t>
      </w:r>
      <w:r w:rsidR="0054393B">
        <w:rPr>
          <w:sz w:val="26"/>
          <w:szCs w:val="26"/>
        </w:rPr>
        <w:t xml:space="preserve">evidentiary </w:t>
      </w:r>
      <w:r>
        <w:rPr>
          <w:sz w:val="26"/>
          <w:szCs w:val="26"/>
        </w:rPr>
        <w:t xml:space="preserve">hearings </w:t>
      </w:r>
      <w:r w:rsidR="006B1562">
        <w:rPr>
          <w:sz w:val="26"/>
          <w:szCs w:val="26"/>
        </w:rPr>
        <w:t xml:space="preserve">to address </w:t>
      </w:r>
      <w:r>
        <w:rPr>
          <w:sz w:val="26"/>
          <w:szCs w:val="26"/>
        </w:rPr>
        <w:t>matters</w:t>
      </w:r>
      <w:r w:rsidR="00E36A9D">
        <w:rPr>
          <w:sz w:val="26"/>
          <w:szCs w:val="26"/>
        </w:rPr>
        <w:t xml:space="preserve"> raised therein</w:t>
      </w:r>
      <w:r>
        <w:rPr>
          <w:sz w:val="26"/>
          <w:szCs w:val="26"/>
        </w:rPr>
        <w:t>.</w:t>
      </w:r>
      <w:r w:rsidR="00E36A9D">
        <w:rPr>
          <w:sz w:val="26"/>
          <w:szCs w:val="26"/>
        </w:rPr>
        <w:t xml:space="preserve">  </w:t>
      </w:r>
      <w:r w:rsidR="00311C3E">
        <w:rPr>
          <w:sz w:val="26"/>
          <w:szCs w:val="26"/>
        </w:rPr>
        <w:t>Per the September 26</w:t>
      </w:r>
      <w:r w:rsidR="00541C74">
        <w:rPr>
          <w:sz w:val="26"/>
          <w:szCs w:val="26"/>
        </w:rPr>
        <w:t xml:space="preserve">, 2018 </w:t>
      </w:r>
      <w:r w:rsidR="00311C3E">
        <w:rPr>
          <w:sz w:val="26"/>
          <w:szCs w:val="26"/>
        </w:rPr>
        <w:t>Secretarial Letter, t</w:t>
      </w:r>
      <w:r w:rsidR="00ED158A">
        <w:rPr>
          <w:sz w:val="26"/>
          <w:szCs w:val="26"/>
        </w:rPr>
        <w:t xml:space="preserve">he OALJ will </w:t>
      </w:r>
      <w:r w:rsidR="00DB3767">
        <w:rPr>
          <w:sz w:val="26"/>
          <w:szCs w:val="26"/>
        </w:rPr>
        <w:t xml:space="preserve">issue </w:t>
      </w:r>
      <w:r w:rsidR="00ED158A">
        <w:rPr>
          <w:sz w:val="26"/>
          <w:szCs w:val="26"/>
        </w:rPr>
        <w:t xml:space="preserve">a </w:t>
      </w:r>
      <w:r w:rsidR="00ED158A">
        <w:rPr>
          <w:sz w:val="26"/>
          <w:szCs w:val="26"/>
        </w:rPr>
        <w:lastRenderedPageBreak/>
        <w:t xml:space="preserve">recommended decision on the </w:t>
      </w:r>
      <w:r w:rsidR="00541C74">
        <w:rPr>
          <w:sz w:val="26"/>
          <w:szCs w:val="26"/>
        </w:rPr>
        <w:t xml:space="preserve">matters </w:t>
      </w:r>
      <w:r w:rsidR="00ED158A">
        <w:rPr>
          <w:sz w:val="26"/>
          <w:szCs w:val="26"/>
        </w:rPr>
        <w:t>raised</w:t>
      </w:r>
      <w:r w:rsidR="00311C3E">
        <w:rPr>
          <w:sz w:val="26"/>
          <w:szCs w:val="26"/>
        </w:rPr>
        <w:t xml:space="preserve"> </w:t>
      </w:r>
      <w:r w:rsidR="00541C74">
        <w:rPr>
          <w:sz w:val="26"/>
          <w:szCs w:val="26"/>
        </w:rPr>
        <w:t xml:space="preserve">in </w:t>
      </w:r>
      <w:r w:rsidR="00F24D0D">
        <w:rPr>
          <w:sz w:val="26"/>
          <w:szCs w:val="26"/>
        </w:rPr>
        <w:t>Stage 1</w:t>
      </w:r>
      <w:r w:rsidR="00541C74">
        <w:rPr>
          <w:sz w:val="26"/>
          <w:szCs w:val="26"/>
        </w:rPr>
        <w:t xml:space="preserve"> </w:t>
      </w:r>
      <w:r w:rsidR="00ED158A">
        <w:rPr>
          <w:sz w:val="26"/>
          <w:szCs w:val="26"/>
        </w:rPr>
        <w:t xml:space="preserve">no later than </w:t>
      </w:r>
      <w:r w:rsidR="00956655">
        <w:rPr>
          <w:sz w:val="26"/>
          <w:szCs w:val="26"/>
        </w:rPr>
        <w:t xml:space="preserve">eight (8) </w:t>
      </w:r>
      <w:r w:rsidR="00ED158A">
        <w:rPr>
          <w:sz w:val="26"/>
          <w:szCs w:val="26"/>
        </w:rPr>
        <w:t xml:space="preserve">months from the date </w:t>
      </w:r>
      <w:r w:rsidR="00311C3E">
        <w:rPr>
          <w:sz w:val="26"/>
          <w:szCs w:val="26"/>
        </w:rPr>
        <w:t>of this Secretarial Letter</w:t>
      </w:r>
      <w:r w:rsidR="00DB3767">
        <w:rPr>
          <w:sz w:val="26"/>
          <w:szCs w:val="26"/>
        </w:rPr>
        <w:t>,</w:t>
      </w:r>
      <w:r>
        <w:rPr>
          <w:sz w:val="26"/>
          <w:szCs w:val="26"/>
        </w:rPr>
        <w:t xml:space="preserve"> May 27, 2019</w:t>
      </w:r>
      <w:r w:rsidR="00956655">
        <w:rPr>
          <w:sz w:val="26"/>
          <w:szCs w:val="26"/>
        </w:rPr>
        <w:t xml:space="preserve">.  </w:t>
      </w:r>
    </w:p>
    <w:p w14:paraId="607241DA" w14:textId="77777777" w:rsidR="003122F6" w:rsidRDefault="003122F6" w:rsidP="00E36A9D">
      <w:pPr>
        <w:ind w:firstLine="720"/>
        <w:rPr>
          <w:sz w:val="26"/>
          <w:szCs w:val="26"/>
        </w:rPr>
      </w:pPr>
    </w:p>
    <w:p w14:paraId="1A553020" w14:textId="77777777" w:rsidR="00ED158A" w:rsidRDefault="00956655" w:rsidP="00E36A9D">
      <w:pPr>
        <w:ind w:firstLine="720"/>
        <w:rPr>
          <w:sz w:val="26"/>
          <w:szCs w:val="26"/>
        </w:rPr>
      </w:pPr>
      <w:r>
        <w:rPr>
          <w:sz w:val="26"/>
          <w:szCs w:val="26"/>
        </w:rPr>
        <w:t>Parties may submit exceptions within twenty (20) days</w:t>
      </w:r>
      <w:r w:rsidR="00C83151">
        <w:rPr>
          <w:sz w:val="26"/>
          <w:szCs w:val="26"/>
        </w:rPr>
        <w:t xml:space="preserve"> of the recommended decision</w:t>
      </w:r>
      <w:r>
        <w:rPr>
          <w:sz w:val="26"/>
          <w:szCs w:val="26"/>
        </w:rPr>
        <w:t xml:space="preserve"> and reply exceptions no later than fifteen (15) days thereafter.</w:t>
      </w:r>
      <w:r w:rsidR="00C83151">
        <w:rPr>
          <w:sz w:val="26"/>
          <w:szCs w:val="26"/>
        </w:rPr>
        <w:t xml:space="preserve"> </w:t>
      </w:r>
      <w:r>
        <w:rPr>
          <w:sz w:val="26"/>
          <w:szCs w:val="26"/>
        </w:rPr>
        <w:t xml:space="preserve"> T</w:t>
      </w:r>
      <w:r w:rsidR="00ED158A">
        <w:rPr>
          <w:sz w:val="26"/>
          <w:szCs w:val="26"/>
        </w:rPr>
        <w:t>he Commission will issue appropriate orders</w:t>
      </w:r>
      <w:r w:rsidR="008E7730">
        <w:rPr>
          <w:sz w:val="26"/>
          <w:szCs w:val="26"/>
        </w:rPr>
        <w:t xml:space="preserve"> on the filings no later than </w:t>
      </w:r>
      <w:r w:rsidR="00541C74">
        <w:rPr>
          <w:sz w:val="26"/>
          <w:szCs w:val="26"/>
        </w:rPr>
        <w:t>November 30, 2019 and</w:t>
      </w:r>
      <w:r w:rsidR="000A395F">
        <w:rPr>
          <w:sz w:val="26"/>
          <w:szCs w:val="26"/>
        </w:rPr>
        <w:t xml:space="preserve"> will issue further guidance regarding </w:t>
      </w:r>
      <w:r w:rsidR="00F24D0D">
        <w:rPr>
          <w:sz w:val="26"/>
          <w:szCs w:val="26"/>
        </w:rPr>
        <w:t>Stage 2</w:t>
      </w:r>
      <w:r w:rsidR="000A395F">
        <w:rPr>
          <w:sz w:val="26"/>
          <w:szCs w:val="26"/>
        </w:rPr>
        <w:t xml:space="preserve"> of its review shortly thereafter</w:t>
      </w:r>
      <w:r w:rsidR="008E7730">
        <w:rPr>
          <w:sz w:val="26"/>
          <w:szCs w:val="26"/>
        </w:rPr>
        <w:t>.</w:t>
      </w:r>
      <w:r w:rsidR="00ED158A">
        <w:rPr>
          <w:sz w:val="26"/>
          <w:szCs w:val="26"/>
        </w:rPr>
        <w:t xml:space="preserve">  </w:t>
      </w:r>
    </w:p>
    <w:p w14:paraId="5123ECA1" w14:textId="77777777" w:rsidR="00ED158A" w:rsidRDefault="00ED158A" w:rsidP="00346307">
      <w:pPr>
        <w:rPr>
          <w:sz w:val="26"/>
          <w:szCs w:val="26"/>
        </w:rPr>
      </w:pPr>
    </w:p>
    <w:p w14:paraId="6A39AE62" w14:textId="77777777" w:rsidR="00ED158A" w:rsidRDefault="00ED158A" w:rsidP="00346307">
      <w:pPr>
        <w:rPr>
          <w:sz w:val="26"/>
          <w:szCs w:val="26"/>
        </w:rPr>
      </w:pPr>
    </w:p>
    <w:p w14:paraId="41E3D3E5" w14:textId="47583E1D" w:rsidR="00573262" w:rsidRPr="003C56E2" w:rsidRDefault="00ED158A" w:rsidP="00346307">
      <w:pPr>
        <w:rPr>
          <w:sz w:val="26"/>
          <w:szCs w:val="26"/>
        </w:rPr>
      </w:pPr>
      <w:r>
        <w:rPr>
          <w:sz w:val="26"/>
          <w:szCs w:val="26"/>
        </w:rPr>
        <w:t xml:space="preserve"> </w:t>
      </w:r>
      <w:r w:rsidR="00D64657">
        <w:rPr>
          <w:sz w:val="26"/>
          <w:szCs w:val="26"/>
        </w:rPr>
        <w:tab/>
        <w:t xml:space="preserve"> </w:t>
      </w:r>
      <w:r w:rsidR="00873EEF">
        <w:rPr>
          <w:sz w:val="26"/>
          <w:szCs w:val="26"/>
        </w:rPr>
        <w:t xml:space="preserve">  </w:t>
      </w:r>
      <w:r w:rsidR="006F3543">
        <w:rPr>
          <w:sz w:val="26"/>
          <w:szCs w:val="26"/>
        </w:rPr>
        <w:t xml:space="preserve"> </w:t>
      </w:r>
      <w:r w:rsidR="00873EEF">
        <w:rPr>
          <w:sz w:val="26"/>
          <w:szCs w:val="26"/>
        </w:rPr>
        <w:t xml:space="preserve"> </w:t>
      </w:r>
      <w:r w:rsidR="006F3543">
        <w:rPr>
          <w:sz w:val="26"/>
          <w:szCs w:val="26"/>
        </w:rPr>
        <w:t xml:space="preserve">  </w:t>
      </w:r>
      <w:r w:rsidR="00347A10">
        <w:rPr>
          <w:sz w:val="26"/>
          <w:szCs w:val="26"/>
        </w:rPr>
        <w:tab/>
      </w:r>
    </w:p>
    <w:p w14:paraId="5C44E06A" w14:textId="18CA9B38" w:rsidR="00930003" w:rsidRPr="003C56E2" w:rsidRDefault="00873DB1" w:rsidP="00B414F2">
      <w:pPr>
        <w:tabs>
          <w:tab w:val="left" w:pos="720"/>
          <w:tab w:val="left" w:pos="5040"/>
        </w:tabs>
        <w:rPr>
          <w:sz w:val="26"/>
          <w:szCs w:val="26"/>
        </w:rPr>
      </w:pPr>
      <w:bookmarkStart w:id="3" w:name="_GoBack"/>
      <w:r w:rsidRPr="009F01BA">
        <w:rPr>
          <w:b/>
          <w:noProof/>
        </w:rPr>
        <w:drawing>
          <wp:anchor distT="0" distB="0" distL="114300" distR="114300" simplePos="0" relativeHeight="251659264" behindDoc="1" locked="0" layoutInCell="1" allowOverlap="1" wp14:anchorId="7A44532A" wp14:editId="71823E3A">
            <wp:simplePos x="0" y="0"/>
            <wp:positionH relativeFrom="column">
              <wp:posOffset>2867025</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930003" w:rsidRPr="003C56E2">
        <w:rPr>
          <w:sz w:val="26"/>
          <w:szCs w:val="26"/>
        </w:rPr>
        <w:tab/>
      </w:r>
      <w:r w:rsidR="00930003" w:rsidRPr="003C56E2">
        <w:rPr>
          <w:sz w:val="26"/>
          <w:szCs w:val="26"/>
        </w:rPr>
        <w:tab/>
        <w:t>Sincerely,</w:t>
      </w:r>
    </w:p>
    <w:p w14:paraId="596235BF" w14:textId="26655716" w:rsidR="00930003" w:rsidRDefault="00930003" w:rsidP="00B414F2">
      <w:pPr>
        <w:tabs>
          <w:tab w:val="left" w:pos="720"/>
          <w:tab w:val="left" w:pos="5040"/>
        </w:tabs>
        <w:rPr>
          <w:sz w:val="26"/>
          <w:szCs w:val="26"/>
        </w:rPr>
      </w:pPr>
    </w:p>
    <w:p w14:paraId="27B4C82A" w14:textId="77777777" w:rsidR="00573262" w:rsidRDefault="00573262" w:rsidP="00B414F2">
      <w:pPr>
        <w:tabs>
          <w:tab w:val="left" w:pos="720"/>
          <w:tab w:val="left" w:pos="5040"/>
        </w:tabs>
        <w:rPr>
          <w:sz w:val="26"/>
          <w:szCs w:val="26"/>
        </w:rPr>
      </w:pPr>
    </w:p>
    <w:p w14:paraId="5D6FBCB0" w14:textId="77777777" w:rsidR="00573262" w:rsidRPr="003C56E2" w:rsidRDefault="00573262" w:rsidP="00B414F2">
      <w:pPr>
        <w:tabs>
          <w:tab w:val="left" w:pos="720"/>
          <w:tab w:val="left" w:pos="5040"/>
        </w:tabs>
        <w:rPr>
          <w:sz w:val="26"/>
          <w:szCs w:val="26"/>
        </w:rPr>
      </w:pPr>
    </w:p>
    <w:p w14:paraId="22A68614" w14:textId="77777777"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335A29">
        <w:rPr>
          <w:sz w:val="26"/>
          <w:szCs w:val="26"/>
        </w:rPr>
        <w:t>Rosemary Chiavetta</w:t>
      </w:r>
    </w:p>
    <w:p w14:paraId="69727472" w14:textId="77777777" w:rsidR="00573262" w:rsidRDefault="003F07C8" w:rsidP="00B414F2">
      <w:pPr>
        <w:tabs>
          <w:tab w:val="left" w:pos="720"/>
          <w:tab w:val="left" w:pos="5040"/>
        </w:tabs>
        <w:rPr>
          <w:sz w:val="26"/>
          <w:szCs w:val="26"/>
        </w:rPr>
      </w:pPr>
      <w:r>
        <w:rPr>
          <w:sz w:val="26"/>
          <w:szCs w:val="26"/>
        </w:rPr>
        <w:tab/>
      </w:r>
      <w:r>
        <w:rPr>
          <w:sz w:val="26"/>
          <w:szCs w:val="26"/>
        </w:rPr>
        <w:tab/>
        <w:t>Secretary</w:t>
      </w:r>
    </w:p>
    <w:p w14:paraId="66EA28AE" w14:textId="77777777" w:rsidR="00573262" w:rsidRPr="003C56E2" w:rsidRDefault="00573262" w:rsidP="00B414F2">
      <w:pPr>
        <w:tabs>
          <w:tab w:val="left" w:pos="720"/>
          <w:tab w:val="left" w:pos="5040"/>
        </w:tabs>
        <w:rPr>
          <w:sz w:val="26"/>
          <w:szCs w:val="26"/>
        </w:rPr>
      </w:pPr>
    </w:p>
    <w:sectPr w:rsidR="00573262" w:rsidRPr="003C56E2" w:rsidSect="0084218B">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F0760" w14:textId="77777777" w:rsidR="00EA6444" w:rsidRDefault="00EA6444">
      <w:r>
        <w:separator/>
      </w:r>
    </w:p>
  </w:endnote>
  <w:endnote w:type="continuationSeparator" w:id="0">
    <w:p w14:paraId="36A88504" w14:textId="77777777" w:rsidR="00EA6444" w:rsidRDefault="00EA6444">
      <w:r>
        <w:continuationSeparator/>
      </w:r>
    </w:p>
  </w:endnote>
  <w:endnote w:type="continuationNotice" w:id="1">
    <w:p w14:paraId="7AF920A9" w14:textId="77777777" w:rsidR="00EA6444" w:rsidRDefault="00EA6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6872"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1EACF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C0E4"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3DADAC17"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BA45"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DCE200"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85A9" w14:textId="77777777" w:rsidR="0027054C" w:rsidRPr="00541C74" w:rsidRDefault="0027054C">
    <w:pPr>
      <w:pStyle w:val="Footer"/>
      <w:jc w:val="center"/>
      <w:rPr>
        <w:sz w:val="26"/>
        <w:szCs w:val="26"/>
      </w:rPr>
    </w:pPr>
    <w:r w:rsidRPr="00541C74">
      <w:rPr>
        <w:sz w:val="26"/>
        <w:szCs w:val="26"/>
      </w:rPr>
      <w:fldChar w:fldCharType="begin"/>
    </w:r>
    <w:r w:rsidRPr="00541C74">
      <w:rPr>
        <w:sz w:val="26"/>
        <w:szCs w:val="26"/>
      </w:rPr>
      <w:instrText xml:space="preserve"> PAGE   \* MERGEFORMAT </w:instrText>
    </w:r>
    <w:r w:rsidRPr="00541C74">
      <w:rPr>
        <w:sz w:val="26"/>
        <w:szCs w:val="26"/>
      </w:rPr>
      <w:fldChar w:fldCharType="separate"/>
    </w:r>
    <w:r w:rsidR="00EB6CAE">
      <w:rPr>
        <w:noProof/>
        <w:sz w:val="26"/>
        <w:szCs w:val="26"/>
      </w:rPr>
      <w:t>2</w:t>
    </w:r>
    <w:r w:rsidRPr="00541C74">
      <w:rPr>
        <w:noProof/>
        <w:sz w:val="26"/>
        <w:szCs w:val="26"/>
      </w:rPr>
      <w:fldChar w:fldCharType="end"/>
    </w:r>
  </w:p>
  <w:p w14:paraId="33B04E48" w14:textId="6016FD4F" w:rsidR="0027054C" w:rsidRPr="00807AB8"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A27B" w14:textId="77777777" w:rsidR="00EA6444" w:rsidRDefault="00EA6444">
      <w:r>
        <w:separator/>
      </w:r>
    </w:p>
  </w:footnote>
  <w:footnote w:type="continuationSeparator" w:id="0">
    <w:p w14:paraId="3080FE06" w14:textId="77777777" w:rsidR="00EA6444" w:rsidRDefault="00EA6444">
      <w:r>
        <w:continuationSeparator/>
      </w:r>
    </w:p>
  </w:footnote>
  <w:footnote w:type="continuationNotice" w:id="1">
    <w:p w14:paraId="4CAA3BDE" w14:textId="77777777" w:rsidR="00EA6444" w:rsidRDefault="00EA64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DB5"/>
    <w:rsid w:val="0002499A"/>
    <w:rsid w:val="0002763A"/>
    <w:rsid w:val="00034796"/>
    <w:rsid w:val="0004604B"/>
    <w:rsid w:val="00050A77"/>
    <w:rsid w:val="00051030"/>
    <w:rsid w:val="0005730C"/>
    <w:rsid w:val="0006085A"/>
    <w:rsid w:val="00067B3B"/>
    <w:rsid w:val="00067F2B"/>
    <w:rsid w:val="00075539"/>
    <w:rsid w:val="00076B03"/>
    <w:rsid w:val="00076F23"/>
    <w:rsid w:val="00080A75"/>
    <w:rsid w:val="000816F6"/>
    <w:rsid w:val="00082D79"/>
    <w:rsid w:val="00083245"/>
    <w:rsid w:val="00083963"/>
    <w:rsid w:val="00091504"/>
    <w:rsid w:val="00094150"/>
    <w:rsid w:val="000A395F"/>
    <w:rsid w:val="000A68CC"/>
    <w:rsid w:val="000B53A1"/>
    <w:rsid w:val="000B7CD3"/>
    <w:rsid w:val="000C4351"/>
    <w:rsid w:val="000D48C3"/>
    <w:rsid w:val="000E1DD1"/>
    <w:rsid w:val="000E4C77"/>
    <w:rsid w:val="000E5648"/>
    <w:rsid w:val="000F711A"/>
    <w:rsid w:val="00115CAF"/>
    <w:rsid w:val="0012016E"/>
    <w:rsid w:val="001209F1"/>
    <w:rsid w:val="001210EA"/>
    <w:rsid w:val="0012404A"/>
    <w:rsid w:val="00124DD5"/>
    <w:rsid w:val="00136F64"/>
    <w:rsid w:val="0014179A"/>
    <w:rsid w:val="00152F72"/>
    <w:rsid w:val="001547A1"/>
    <w:rsid w:val="00160837"/>
    <w:rsid w:val="00161652"/>
    <w:rsid w:val="00170283"/>
    <w:rsid w:val="00170789"/>
    <w:rsid w:val="001743D0"/>
    <w:rsid w:val="0018625A"/>
    <w:rsid w:val="001B588A"/>
    <w:rsid w:val="001B6399"/>
    <w:rsid w:val="001C07DF"/>
    <w:rsid w:val="001D5DBB"/>
    <w:rsid w:val="001E1BF3"/>
    <w:rsid w:val="001E48B2"/>
    <w:rsid w:val="001F2EDC"/>
    <w:rsid w:val="00202276"/>
    <w:rsid w:val="00203780"/>
    <w:rsid w:val="00206F2B"/>
    <w:rsid w:val="00221F61"/>
    <w:rsid w:val="002229C3"/>
    <w:rsid w:val="00232C83"/>
    <w:rsid w:val="002367C5"/>
    <w:rsid w:val="0023795A"/>
    <w:rsid w:val="0025446A"/>
    <w:rsid w:val="0025706D"/>
    <w:rsid w:val="0025741C"/>
    <w:rsid w:val="00261A11"/>
    <w:rsid w:val="00261BBB"/>
    <w:rsid w:val="0027054C"/>
    <w:rsid w:val="00280E91"/>
    <w:rsid w:val="00284E35"/>
    <w:rsid w:val="00285461"/>
    <w:rsid w:val="00290618"/>
    <w:rsid w:val="002907DD"/>
    <w:rsid w:val="00292374"/>
    <w:rsid w:val="0029471C"/>
    <w:rsid w:val="00295BCA"/>
    <w:rsid w:val="002A464E"/>
    <w:rsid w:val="002A4E0F"/>
    <w:rsid w:val="002A52A0"/>
    <w:rsid w:val="002B0C60"/>
    <w:rsid w:val="002C08FE"/>
    <w:rsid w:val="002D7034"/>
    <w:rsid w:val="002D7E06"/>
    <w:rsid w:val="002F0138"/>
    <w:rsid w:val="002F45B4"/>
    <w:rsid w:val="002F5511"/>
    <w:rsid w:val="00301A20"/>
    <w:rsid w:val="00303D80"/>
    <w:rsid w:val="00307FF2"/>
    <w:rsid w:val="00311C3E"/>
    <w:rsid w:val="003122F6"/>
    <w:rsid w:val="00313F77"/>
    <w:rsid w:val="0031429F"/>
    <w:rsid w:val="003168FD"/>
    <w:rsid w:val="00323A6F"/>
    <w:rsid w:val="0032677D"/>
    <w:rsid w:val="00335A29"/>
    <w:rsid w:val="00341AC9"/>
    <w:rsid w:val="00341B56"/>
    <w:rsid w:val="00345522"/>
    <w:rsid w:val="00346307"/>
    <w:rsid w:val="00347A10"/>
    <w:rsid w:val="003516A6"/>
    <w:rsid w:val="00353111"/>
    <w:rsid w:val="0035626C"/>
    <w:rsid w:val="003569E8"/>
    <w:rsid w:val="00357749"/>
    <w:rsid w:val="00366A65"/>
    <w:rsid w:val="00367B7F"/>
    <w:rsid w:val="00370A14"/>
    <w:rsid w:val="0037360B"/>
    <w:rsid w:val="00382785"/>
    <w:rsid w:val="00386D99"/>
    <w:rsid w:val="00392538"/>
    <w:rsid w:val="003A58D9"/>
    <w:rsid w:val="003B26C3"/>
    <w:rsid w:val="003B50F2"/>
    <w:rsid w:val="003B552B"/>
    <w:rsid w:val="003B785A"/>
    <w:rsid w:val="003B78E1"/>
    <w:rsid w:val="003C102A"/>
    <w:rsid w:val="003C56E2"/>
    <w:rsid w:val="003C5769"/>
    <w:rsid w:val="003E04B4"/>
    <w:rsid w:val="003E4B39"/>
    <w:rsid w:val="003F07C8"/>
    <w:rsid w:val="00401E1A"/>
    <w:rsid w:val="004047EC"/>
    <w:rsid w:val="0042140E"/>
    <w:rsid w:val="004246D9"/>
    <w:rsid w:val="00437C24"/>
    <w:rsid w:val="00455F78"/>
    <w:rsid w:val="00463C82"/>
    <w:rsid w:val="004804BC"/>
    <w:rsid w:val="00490C59"/>
    <w:rsid w:val="0049553A"/>
    <w:rsid w:val="004A1767"/>
    <w:rsid w:val="004C0450"/>
    <w:rsid w:val="004C1524"/>
    <w:rsid w:val="004C1EC4"/>
    <w:rsid w:val="004D10D0"/>
    <w:rsid w:val="004D2698"/>
    <w:rsid w:val="004D5523"/>
    <w:rsid w:val="004F32B3"/>
    <w:rsid w:val="004F5AAA"/>
    <w:rsid w:val="00503409"/>
    <w:rsid w:val="00504515"/>
    <w:rsid w:val="005102F7"/>
    <w:rsid w:val="00513DCA"/>
    <w:rsid w:val="00514EA3"/>
    <w:rsid w:val="0051639C"/>
    <w:rsid w:val="00523C67"/>
    <w:rsid w:val="00526ADA"/>
    <w:rsid w:val="00526F31"/>
    <w:rsid w:val="00530F15"/>
    <w:rsid w:val="00540F1C"/>
    <w:rsid w:val="00541C74"/>
    <w:rsid w:val="0054393B"/>
    <w:rsid w:val="00545968"/>
    <w:rsid w:val="00546F1A"/>
    <w:rsid w:val="00554F51"/>
    <w:rsid w:val="00563E8F"/>
    <w:rsid w:val="00563F20"/>
    <w:rsid w:val="00566E5A"/>
    <w:rsid w:val="00573262"/>
    <w:rsid w:val="00581352"/>
    <w:rsid w:val="00584C01"/>
    <w:rsid w:val="005A0955"/>
    <w:rsid w:val="005A30B5"/>
    <w:rsid w:val="005B3262"/>
    <w:rsid w:val="005B58B7"/>
    <w:rsid w:val="005C03C4"/>
    <w:rsid w:val="005C5A49"/>
    <w:rsid w:val="005E25C5"/>
    <w:rsid w:val="005E3690"/>
    <w:rsid w:val="005E5E63"/>
    <w:rsid w:val="005F3D24"/>
    <w:rsid w:val="0062315E"/>
    <w:rsid w:val="006375A3"/>
    <w:rsid w:val="006375FE"/>
    <w:rsid w:val="00641C58"/>
    <w:rsid w:val="006432D9"/>
    <w:rsid w:val="0065140D"/>
    <w:rsid w:val="00662427"/>
    <w:rsid w:val="00665587"/>
    <w:rsid w:val="00672262"/>
    <w:rsid w:val="00672F33"/>
    <w:rsid w:val="006755C0"/>
    <w:rsid w:val="0067617E"/>
    <w:rsid w:val="006A09EE"/>
    <w:rsid w:val="006A0B45"/>
    <w:rsid w:val="006A1D3F"/>
    <w:rsid w:val="006A385A"/>
    <w:rsid w:val="006B1562"/>
    <w:rsid w:val="006B1A00"/>
    <w:rsid w:val="006B5573"/>
    <w:rsid w:val="006C2028"/>
    <w:rsid w:val="006C5C47"/>
    <w:rsid w:val="006C64F8"/>
    <w:rsid w:val="006C7442"/>
    <w:rsid w:val="006D6779"/>
    <w:rsid w:val="006E1A84"/>
    <w:rsid w:val="006F3543"/>
    <w:rsid w:val="00700501"/>
    <w:rsid w:val="00701D53"/>
    <w:rsid w:val="00701ED5"/>
    <w:rsid w:val="00714C8F"/>
    <w:rsid w:val="00721FA8"/>
    <w:rsid w:val="007232D8"/>
    <w:rsid w:val="0075019A"/>
    <w:rsid w:val="007617B1"/>
    <w:rsid w:val="0077210F"/>
    <w:rsid w:val="00772716"/>
    <w:rsid w:val="007735AC"/>
    <w:rsid w:val="00773F47"/>
    <w:rsid w:val="00774744"/>
    <w:rsid w:val="00775C4D"/>
    <w:rsid w:val="00792AE4"/>
    <w:rsid w:val="00794208"/>
    <w:rsid w:val="00794E58"/>
    <w:rsid w:val="007A16AE"/>
    <w:rsid w:val="007A21EA"/>
    <w:rsid w:val="007D1219"/>
    <w:rsid w:val="007E64B5"/>
    <w:rsid w:val="007F0775"/>
    <w:rsid w:val="007F2DD0"/>
    <w:rsid w:val="007F4C9E"/>
    <w:rsid w:val="007F55F1"/>
    <w:rsid w:val="007F606E"/>
    <w:rsid w:val="008018EB"/>
    <w:rsid w:val="00803E76"/>
    <w:rsid w:val="0080792C"/>
    <w:rsid w:val="00807AB8"/>
    <w:rsid w:val="00807CAF"/>
    <w:rsid w:val="00811EEC"/>
    <w:rsid w:val="0082124F"/>
    <w:rsid w:val="008249B0"/>
    <w:rsid w:val="008263F7"/>
    <w:rsid w:val="00834358"/>
    <w:rsid w:val="008405DF"/>
    <w:rsid w:val="0084218B"/>
    <w:rsid w:val="008476A6"/>
    <w:rsid w:val="00853B77"/>
    <w:rsid w:val="00861BBC"/>
    <w:rsid w:val="00870078"/>
    <w:rsid w:val="00873DB1"/>
    <w:rsid w:val="00873EEF"/>
    <w:rsid w:val="00882E5E"/>
    <w:rsid w:val="0089421A"/>
    <w:rsid w:val="008A2241"/>
    <w:rsid w:val="008A3712"/>
    <w:rsid w:val="008B04D0"/>
    <w:rsid w:val="008C5743"/>
    <w:rsid w:val="008E5EA0"/>
    <w:rsid w:val="008E6FCA"/>
    <w:rsid w:val="008E7730"/>
    <w:rsid w:val="008F4334"/>
    <w:rsid w:val="008F600A"/>
    <w:rsid w:val="008F78AA"/>
    <w:rsid w:val="00920692"/>
    <w:rsid w:val="00927022"/>
    <w:rsid w:val="00930003"/>
    <w:rsid w:val="00930308"/>
    <w:rsid w:val="0093258F"/>
    <w:rsid w:val="00956655"/>
    <w:rsid w:val="009615DA"/>
    <w:rsid w:val="00970A95"/>
    <w:rsid w:val="00976F5C"/>
    <w:rsid w:val="00984274"/>
    <w:rsid w:val="009847BF"/>
    <w:rsid w:val="0099337F"/>
    <w:rsid w:val="0099767B"/>
    <w:rsid w:val="009A1144"/>
    <w:rsid w:val="009A3E77"/>
    <w:rsid w:val="009A5A76"/>
    <w:rsid w:val="009B1956"/>
    <w:rsid w:val="009B23D8"/>
    <w:rsid w:val="009B2E39"/>
    <w:rsid w:val="009B36CB"/>
    <w:rsid w:val="009C3B4F"/>
    <w:rsid w:val="009C3B80"/>
    <w:rsid w:val="009C44B6"/>
    <w:rsid w:val="009D6421"/>
    <w:rsid w:val="009D74E1"/>
    <w:rsid w:val="009E40EC"/>
    <w:rsid w:val="009E65F6"/>
    <w:rsid w:val="009E7E5D"/>
    <w:rsid w:val="009F5F66"/>
    <w:rsid w:val="00A0038E"/>
    <w:rsid w:val="00A050A8"/>
    <w:rsid w:val="00A05A5B"/>
    <w:rsid w:val="00A05BAF"/>
    <w:rsid w:val="00A0792A"/>
    <w:rsid w:val="00A10D04"/>
    <w:rsid w:val="00A113C9"/>
    <w:rsid w:val="00A13334"/>
    <w:rsid w:val="00A16EE4"/>
    <w:rsid w:val="00A27FCF"/>
    <w:rsid w:val="00A46025"/>
    <w:rsid w:val="00A4660A"/>
    <w:rsid w:val="00A55AE1"/>
    <w:rsid w:val="00A55C11"/>
    <w:rsid w:val="00A573D8"/>
    <w:rsid w:val="00A61871"/>
    <w:rsid w:val="00A659E0"/>
    <w:rsid w:val="00A66D1F"/>
    <w:rsid w:val="00A80E71"/>
    <w:rsid w:val="00A8114F"/>
    <w:rsid w:val="00A82B8C"/>
    <w:rsid w:val="00A82C28"/>
    <w:rsid w:val="00A84699"/>
    <w:rsid w:val="00A955FA"/>
    <w:rsid w:val="00A9634C"/>
    <w:rsid w:val="00AA0347"/>
    <w:rsid w:val="00AA6F16"/>
    <w:rsid w:val="00AB36A9"/>
    <w:rsid w:val="00AB3DDD"/>
    <w:rsid w:val="00AC311D"/>
    <w:rsid w:val="00AD0361"/>
    <w:rsid w:val="00AD6503"/>
    <w:rsid w:val="00AD77EE"/>
    <w:rsid w:val="00AE4FAB"/>
    <w:rsid w:val="00AE6FA9"/>
    <w:rsid w:val="00AE792C"/>
    <w:rsid w:val="00AF16AC"/>
    <w:rsid w:val="00AF62A4"/>
    <w:rsid w:val="00B00393"/>
    <w:rsid w:val="00B12277"/>
    <w:rsid w:val="00B14F9F"/>
    <w:rsid w:val="00B1794C"/>
    <w:rsid w:val="00B20F0E"/>
    <w:rsid w:val="00B3013C"/>
    <w:rsid w:val="00B30A72"/>
    <w:rsid w:val="00B31B02"/>
    <w:rsid w:val="00B3551A"/>
    <w:rsid w:val="00B414F2"/>
    <w:rsid w:val="00B44A1E"/>
    <w:rsid w:val="00B4565E"/>
    <w:rsid w:val="00B57462"/>
    <w:rsid w:val="00B607CE"/>
    <w:rsid w:val="00B61D52"/>
    <w:rsid w:val="00B62D45"/>
    <w:rsid w:val="00B6636E"/>
    <w:rsid w:val="00B719AA"/>
    <w:rsid w:val="00B758CC"/>
    <w:rsid w:val="00B90D9B"/>
    <w:rsid w:val="00B96FA0"/>
    <w:rsid w:val="00B97014"/>
    <w:rsid w:val="00B97D7A"/>
    <w:rsid w:val="00BA2A05"/>
    <w:rsid w:val="00BA7C9C"/>
    <w:rsid w:val="00BC3A3C"/>
    <w:rsid w:val="00BC68FE"/>
    <w:rsid w:val="00BC6A54"/>
    <w:rsid w:val="00BC7ABE"/>
    <w:rsid w:val="00BD3A5C"/>
    <w:rsid w:val="00BD752E"/>
    <w:rsid w:val="00BE2A21"/>
    <w:rsid w:val="00BE33CB"/>
    <w:rsid w:val="00BE4A72"/>
    <w:rsid w:val="00BE5119"/>
    <w:rsid w:val="00BF66A8"/>
    <w:rsid w:val="00BF6D7C"/>
    <w:rsid w:val="00BF6F03"/>
    <w:rsid w:val="00C032FB"/>
    <w:rsid w:val="00C05787"/>
    <w:rsid w:val="00C06525"/>
    <w:rsid w:val="00C140D5"/>
    <w:rsid w:val="00C17CD5"/>
    <w:rsid w:val="00C27E95"/>
    <w:rsid w:val="00C35E20"/>
    <w:rsid w:val="00C400E2"/>
    <w:rsid w:val="00C46A62"/>
    <w:rsid w:val="00C53D34"/>
    <w:rsid w:val="00C6395B"/>
    <w:rsid w:val="00C71F5A"/>
    <w:rsid w:val="00C74A51"/>
    <w:rsid w:val="00C77C13"/>
    <w:rsid w:val="00C77F29"/>
    <w:rsid w:val="00C83151"/>
    <w:rsid w:val="00C83B15"/>
    <w:rsid w:val="00C86536"/>
    <w:rsid w:val="00C90506"/>
    <w:rsid w:val="00C95F36"/>
    <w:rsid w:val="00C96CF9"/>
    <w:rsid w:val="00CA44B2"/>
    <w:rsid w:val="00CB5080"/>
    <w:rsid w:val="00CB5738"/>
    <w:rsid w:val="00CC0A93"/>
    <w:rsid w:val="00CC1602"/>
    <w:rsid w:val="00CC402C"/>
    <w:rsid w:val="00CD4FFE"/>
    <w:rsid w:val="00CE2A65"/>
    <w:rsid w:val="00CE66C0"/>
    <w:rsid w:val="00CF047C"/>
    <w:rsid w:val="00CF1A22"/>
    <w:rsid w:val="00CF1EDE"/>
    <w:rsid w:val="00D03701"/>
    <w:rsid w:val="00D066C7"/>
    <w:rsid w:val="00D14110"/>
    <w:rsid w:val="00D155FB"/>
    <w:rsid w:val="00D24D9B"/>
    <w:rsid w:val="00D26DD0"/>
    <w:rsid w:val="00D355DB"/>
    <w:rsid w:val="00D55E96"/>
    <w:rsid w:val="00D64657"/>
    <w:rsid w:val="00D64F9B"/>
    <w:rsid w:val="00D727F3"/>
    <w:rsid w:val="00D75F05"/>
    <w:rsid w:val="00D87CB2"/>
    <w:rsid w:val="00DA498F"/>
    <w:rsid w:val="00DA4D87"/>
    <w:rsid w:val="00DA4DAA"/>
    <w:rsid w:val="00DB3767"/>
    <w:rsid w:val="00DB4F98"/>
    <w:rsid w:val="00DB7C6E"/>
    <w:rsid w:val="00DC0966"/>
    <w:rsid w:val="00DC1875"/>
    <w:rsid w:val="00DC35C5"/>
    <w:rsid w:val="00DD04E9"/>
    <w:rsid w:val="00DD1A19"/>
    <w:rsid w:val="00DD3108"/>
    <w:rsid w:val="00DD771F"/>
    <w:rsid w:val="00DD7880"/>
    <w:rsid w:val="00DE2B2D"/>
    <w:rsid w:val="00DE3C6A"/>
    <w:rsid w:val="00DE4076"/>
    <w:rsid w:val="00DE51FD"/>
    <w:rsid w:val="00DE5315"/>
    <w:rsid w:val="00DF0874"/>
    <w:rsid w:val="00DF2494"/>
    <w:rsid w:val="00DF6F4E"/>
    <w:rsid w:val="00E100FF"/>
    <w:rsid w:val="00E236E3"/>
    <w:rsid w:val="00E33051"/>
    <w:rsid w:val="00E349DA"/>
    <w:rsid w:val="00E36A9D"/>
    <w:rsid w:val="00E5656F"/>
    <w:rsid w:val="00E821ED"/>
    <w:rsid w:val="00E8242E"/>
    <w:rsid w:val="00E93258"/>
    <w:rsid w:val="00EA6444"/>
    <w:rsid w:val="00EB6CAE"/>
    <w:rsid w:val="00EC0F0A"/>
    <w:rsid w:val="00EC6401"/>
    <w:rsid w:val="00EC71DD"/>
    <w:rsid w:val="00EC7A49"/>
    <w:rsid w:val="00EC7ADB"/>
    <w:rsid w:val="00ED158A"/>
    <w:rsid w:val="00ED1C12"/>
    <w:rsid w:val="00ED57C8"/>
    <w:rsid w:val="00EE3C90"/>
    <w:rsid w:val="00F02B06"/>
    <w:rsid w:val="00F11A81"/>
    <w:rsid w:val="00F1500B"/>
    <w:rsid w:val="00F24D0D"/>
    <w:rsid w:val="00F25403"/>
    <w:rsid w:val="00F42F47"/>
    <w:rsid w:val="00F46460"/>
    <w:rsid w:val="00F46D8B"/>
    <w:rsid w:val="00F50C1C"/>
    <w:rsid w:val="00F52B69"/>
    <w:rsid w:val="00F706A3"/>
    <w:rsid w:val="00F7094C"/>
    <w:rsid w:val="00F76BF1"/>
    <w:rsid w:val="00F80A89"/>
    <w:rsid w:val="00F86D50"/>
    <w:rsid w:val="00F90527"/>
    <w:rsid w:val="00FA0E37"/>
    <w:rsid w:val="00FA244D"/>
    <w:rsid w:val="00FA2FCC"/>
    <w:rsid w:val="00FB3D01"/>
    <w:rsid w:val="00FB415E"/>
    <w:rsid w:val="00FB51AE"/>
    <w:rsid w:val="00FB5900"/>
    <w:rsid w:val="00FB7E25"/>
    <w:rsid w:val="00FC1D6A"/>
    <w:rsid w:val="00FC5F41"/>
    <w:rsid w:val="00FD0003"/>
    <w:rsid w:val="00FD1F4F"/>
    <w:rsid w:val="00FD277D"/>
    <w:rsid w:val="00FE0EC5"/>
    <w:rsid w:val="00FE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B1586"/>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8F8F-D7C9-486E-9A18-CC2DF5FD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11386</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Sheffer, Ryan</cp:lastModifiedBy>
  <cp:revision>3</cp:revision>
  <cp:lastPrinted>2018-11-20T18:59:00Z</cp:lastPrinted>
  <dcterms:created xsi:type="dcterms:W3CDTF">2018-11-27T18:42:00Z</dcterms:created>
  <dcterms:modified xsi:type="dcterms:W3CDTF">2018-11-27T19:01:00Z</dcterms:modified>
</cp:coreProperties>
</file>