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36E1" w:rsidRPr="00F538B7" w:rsidRDefault="00F936E1" w:rsidP="00D70A06">
      <w:pPr>
        <w:tabs>
          <w:tab w:val="center" w:pos="4680"/>
        </w:tabs>
        <w:suppressAutoHyphens/>
        <w:jc w:val="center"/>
        <w:rPr>
          <w:b/>
          <w:spacing w:val="-3"/>
          <w:sz w:val="24"/>
          <w:szCs w:val="24"/>
        </w:rPr>
      </w:pPr>
      <w:r w:rsidRPr="00F538B7">
        <w:rPr>
          <w:b/>
          <w:spacing w:val="-3"/>
          <w:sz w:val="24"/>
          <w:szCs w:val="24"/>
        </w:rPr>
        <w:t>BEFORE THE</w:t>
      </w:r>
    </w:p>
    <w:p w:rsidR="00F936E1" w:rsidRPr="00F538B7" w:rsidRDefault="00F936E1" w:rsidP="00D70A06">
      <w:pPr>
        <w:tabs>
          <w:tab w:val="center" w:pos="4680"/>
        </w:tabs>
        <w:suppressAutoHyphens/>
        <w:jc w:val="center"/>
        <w:rPr>
          <w:b/>
          <w:spacing w:val="-3"/>
          <w:sz w:val="24"/>
          <w:szCs w:val="24"/>
        </w:rPr>
      </w:pPr>
      <w:r w:rsidRPr="00F538B7">
        <w:rPr>
          <w:b/>
          <w:spacing w:val="-3"/>
          <w:sz w:val="24"/>
          <w:szCs w:val="24"/>
        </w:rPr>
        <w:t>PENNSYLVANIA PUBLIC UTILITY COMMISSION</w:t>
      </w: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F936E1" w:rsidRPr="00F538B7" w:rsidRDefault="0054413D" w:rsidP="00D70A06">
      <w:pPr>
        <w:tabs>
          <w:tab w:val="left" w:pos="-1440"/>
          <w:tab w:val="left" w:pos="-720"/>
        </w:tabs>
        <w:suppressAutoHyphens/>
        <w:rPr>
          <w:spacing w:val="-3"/>
          <w:sz w:val="24"/>
          <w:szCs w:val="24"/>
        </w:rPr>
      </w:pPr>
      <w:r>
        <w:rPr>
          <w:spacing w:val="-3"/>
          <w:sz w:val="24"/>
          <w:szCs w:val="24"/>
        </w:rPr>
        <w:t xml:space="preserve">Kimberly </w:t>
      </w:r>
      <w:proofErr w:type="spellStart"/>
      <w:r>
        <w:rPr>
          <w:spacing w:val="-3"/>
          <w:sz w:val="24"/>
          <w:szCs w:val="24"/>
        </w:rPr>
        <w:t>Rineer</w:t>
      </w:r>
      <w:proofErr w:type="spellEnd"/>
      <w:r w:rsidR="00271244">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F936E1" w:rsidP="00D70A06">
      <w:pPr>
        <w:tabs>
          <w:tab w:val="left" w:pos="-1440"/>
          <w:tab w:val="left" w:pos="-720"/>
        </w:tabs>
        <w:suppressAutoHyphens/>
        <w:rPr>
          <w:sz w:val="24"/>
          <w:szCs w:val="24"/>
        </w:rPr>
      </w:pPr>
      <w:r w:rsidRPr="00F538B7">
        <w:rPr>
          <w:spacing w:val="-3"/>
          <w:sz w:val="24"/>
          <w:szCs w:val="24"/>
        </w:rPr>
        <w:tab/>
        <w:t>v.</w:t>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r w:rsidRPr="00F538B7">
        <w:rPr>
          <w:spacing w:val="-3"/>
          <w:sz w:val="24"/>
          <w:szCs w:val="24"/>
        </w:rPr>
        <w:tab/>
      </w:r>
      <w:r w:rsidRPr="00F538B7">
        <w:rPr>
          <w:spacing w:val="-3"/>
          <w:sz w:val="24"/>
          <w:szCs w:val="24"/>
        </w:rPr>
        <w:tab/>
        <w:t>C</w:t>
      </w:r>
      <w:r w:rsidRPr="00F538B7">
        <w:rPr>
          <w:sz w:val="24"/>
          <w:szCs w:val="24"/>
        </w:rPr>
        <w:t>-201</w:t>
      </w:r>
      <w:r w:rsidR="0054413D">
        <w:rPr>
          <w:sz w:val="24"/>
          <w:szCs w:val="24"/>
        </w:rPr>
        <w:t>8</w:t>
      </w:r>
      <w:r w:rsidR="006E3650">
        <w:rPr>
          <w:sz w:val="24"/>
          <w:szCs w:val="24"/>
        </w:rPr>
        <w:t>-</w:t>
      </w:r>
      <w:r w:rsidR="0054413D">
        <w:rPr>
          <w:sz w:val="24"/>
          <w:szCs w:val="24"/>
        </w:rPr>
        <w:t>3005053</w:t>
      </w:r>
    </w:p>
    <w:p w:rsidR="00F936E1" w:rsidRPr="00F538B7" w:rsidRDefault="00F936E1" w:rsidP="00D70A06">
      <w:pPr>
        <w:tabs>
          <w:tab w:val="left" w:pos="-1440"/>
          <w:tab w:val="left" w:pos="-720"/>
        </w:tabs>
        <w:suppressAutoHyphens/>
        <w:rPr>
          <w:spacing w:val="-3"/>
          <w:sz w:val="24"/>
          <w:szCs w:val="24"/>
        </w:rPr>
      </w:pP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r>
      <w:r w:rsidRPr="00F538B7">
        <w:rPr>
          <w:spacing w:val="-3"/>
          <w:sz w:val="24"/>
          <w:szCs w:val="24"/>
        </w:rPr>
        <w:tab/>
        <w:t>:</w:t>
      </w:r>
    </w:p>
    <w:p w:rsidR="00F936E1" w:rsidRPr="00F538B7" w:rsidRDefault="006E3650" w:rsidP="00D70A06">
      <w:pPr>
        <w:tabs>
          <w:tab w:val="left" w:pos="-1440"/>
          <w:tab w:val="left" w:pos="-720"/>
        </w:tabs>
        <w:suppressAutoHyphens/>
        <w:rPr>
          <w:spacing w:val="-3"/>
          <w:sz w:val="24"/>
          <w:szCs w:val="24"/>
        </w:rPr>
      </w:pPr>
      <w:r>
        <w:rPr>
          <w:spacing w:val="-3"/>
          <w:sz w:val="24"/>
          <w:szCs w:val="24"/>
        </w:rPr>
        <w:t>P</w:t>
      </w:r>
      <w:r w:rsidR="003D0248">
        <w:rPr>
          <w:spacing w:val="-3"/>
          <w:sz w:val="24"/>
          <w:szCs w:val="24"/>
        </w:rPr>
        <w:t>PL Electric Utilities Corporation</w:t>
      </w:r>
      <w:r w:rsidR="00F936E1" w:rsidRPr="00F538B7">
        <w:rPr>
          <w:spacing w:val="-3"/>
          <w:sz w:val="24"/>
          <w:szCs w:val="24"/>
        </w:rPr>
        <w:tab/>
      </w:r>
      <w:r w:rsidR="00F936E1" w:rsidRPr="00F538B7">
        <w:rPr>
          <w:spacing w:val="-3"/>
          <w:sz w:val="24"/>
          <w:szCs w:val="24"/>
        </w:rPr>
        <w:tab/>
      </w:r>
      <w:r w:rsidR="00F936E1" w:rsidRPr="00F538B7">
        <w:rPr>
          <w:spacing w:val="-3"/>
          <w:sz w:val="24"/>
          <w:szCs w:val="24"/>
        </w:rPr>
        <w:tab/>
        <w:t>:</w:t>
      </w:r>
    </w:p>
    <w:p w:rsidR="00F936E1" w:rsidRPr="00F538B7" w:rsidRDefault="00F936E1" w:rsidP="00D70A06">
      <w:pPr>
        <w:tabs>
          <w:tab w:val="left" w:pos="-1440"/>
          <w:tab w:val="left" w:pos="-720"/>
        </w:tabs>
        <w:suppressAutoHyphens/>
        <w:rPr>
          <w:spacing w:val="-3"/>
          <w:sz w:val="24"/>
          <w:szCs w:val="24"/>
        </w:rPr>
      </w:pPr>
    </w:p>
    <w:p w:rsidR="00F936E1" w:rsidRDefault="00F936E1" w:rsidP="00D70A06">
      <w:pPr>
        <w:tabs>
          <w:tab w:val="left" w:pos="-1440"/>
          <w:tab w:val="left" w:pos="-720"/>
        </w:tabs>
        <w:suppressAutoHyphens/>
        <w:rPr>
          <w:spacing w:val="-3"/>
          <w:sz w:val="24"/>
          <w:szCs w:val="24"/>
        </w:rPr>
      </w:pPr>
    </w:p>
    <w:p w:rsidR="00792F54" w:rsidRPr="00F538B7" w:rsidRDefault="00792F54" w:rsidP="00D70A06">
      <w:pPr>
        <w:tabs>
          <w:tab w:val="left" w:pos="-1440"/>
          <w:tab w:val="left" w:pos="-720"/>
        </w:tabs>
        <w:suppressAutoHyphens/>
        <w:rPr>
          <w:spacing w:val="-3"/>
          <w:sz w:val="24"/>
          <w:szCs w:val="24"/>
        </w:rPr>
      </w:pPr>
    </w:p>
    <w:p w:rsidR="00F936E1" w:rsidRPr="00F538B7" w:rsidRDefault="009029C3" w:rsidP="00D70A06">
      <w:pPr>
        <w:tabs>
          <w:tab w:val="center" w:pos="4680"/>
        </w:tabs>
        <w:suppressAutoHyphens/>
        <w:jc w:val="center"/>
        <w:rPr>
          <w:b/>
          <w:spacing w:val="-3"/>
          <w:sz w:val="24"/>
          <w:szCs w:val="24"/>
          <w:u w:val="single"/>
        </w:rPr>
      </w:pPr>
      <w:r>
        <w:rPr>
          <w:b/>
          <w:spacing w:val="-3"/>
          <w:sz w:val="24"/>
          <w:szCs w:val="24"/>
          <w:u w:val="single"/>
        </w:rPr>
        <w:t xml:space="preserve">ORDER </w:t>
      </w:r>
      <w:r w:rsidR="0047225F">
        <w:rPr>
          <w:b/>
          <w:spacing w:val="-3"/>
          <w:sz w:val="24"/>
          <w:szCs w:val="24"/>
          <w:u w:val="single"/>
        </w:rPr>
        <w:t xml:space="preserve">GRANTING </w:t>
      </w:r>
      <w:r w:rsidR="00EA3814">
        <w:rPr>
          <w:b/>
          <w:spacing w:val="-3"/>
          <w:sz w:val="24"/>
          <w:szCs w:val="24"/>
          <w:u w:val="single"/>
        </w:rPr>
        <w:t xml:space="preserve">IN PART AND DENYING IN PART </w:t>
      </w:r>
      <w:r>
        <w:rPr>
          <w:b/>
          <w:spacing w:val="-3"/>
          <w:sz w:val="24"/>
          <w:szCs w:val="24"/>
          <w:u w:val="single"/>
        </w:rPr>
        <w:t>PRELIMINARY OBJECTIONS</w:t>
      </w:r>
    </w:p>
    <w:p w:rsidR="00F936E1" w:rsidRPr="00F538B7" w:rsidRDefault="00F936E1" w:rsidP="00D70A06">
      <w:pPr>
        <w:tabs>
          <w:tab w:val="center" w:pos="4680"/>
        </w:tabs>
        <w:suppressAutoHyphens/>
        <w:jc w:val="center"/>
        <w:rPr>
          <w:b/>
          <w:spacing w:val="-3"/>
          <w:sz w:val="24"/>
          <w:szCs w:val="24"/>
        </w:rPr>
      </w:pPr>
    </w:p>
    <w:p w:rsidR="00F936E1" w:rsidRDefault="00F936E1" w:rsidP="00D70A06">
      <w:pPr>
        <w:tabs>
          <w:tab w:val="left" w:pos="-1440"/>
          <w:tab w:val="left" w:pos="-720"/>
        </w:tabs>
        <w:suppressAutoHyphens/>
        <w:ind w:firstLine="1440"/>
        <w:jc w:val="center"/>
        <w:rPr>
          <w:spacing w:val="-3"/>
          <w:sz w:val="24"/>
          <w:szCs w:val="24"/>
        </w:rPr>
      </w:pPr>
    </w:p>
    <w:p w:rsidR="00F936E1" w:rsidRPr="00F538B7" w:rsidRDefault="00F936E1" w:rsidP="00D70A06">
      <w:pPr>
        <w:tabs>
          <w:tab w:val="center" w:pos="4680"/>
        </w:tabs>
        <w:suppressAutoHyphens/>
        <w:jc w:val="center"/>
        <w:rPr>
          <w:spacing w:val="-3"/>
          <w:sz w:val="24"/>
          <w:szCs w:val="24"/>
          <w:u w:val="single"/>
        </w:rPr>
      </w:pPr>
      <w:r w:rsidRPr="00F538B7">
        <w:rPr>
          <w:spacing w:val="-3"/>
          <w:sz w:val="24"/>
          <w:szCs w:val="24"/>
          <w:u w:val="single"/>
        </w:rPr>
        <w:t>HISTORY OF THE PROCEEDING</w:t>
      </w:r>
    </w:p>
    <w:p w:rsidR="00F936E1" w:rsidRPr="00F538B7" w:rsidRDefault="00F936E1" w:rsidP="00D70A06">
      <w:pPr>
        <w:tabs>
          <w:tab w:val="center" w:pos="4680"/>
        </w:tabs>
        <w:suppressAutoHyphens/>
        <w:ind w:firstLine="1440"/>
        <w:rPr>
          <w:spacing w:val="-3"/>
          <w:sz w:val="24"/>
          <w:szCs w:val="24"/>
        </w:rPr>
      </w:pPr>
    </w:p>
    <w:p w:rsidR="00F936E1" w:rsidRPr="00F538B7" w:rsidRDefault="00F936E1" w:rsidP="00D70A06">
      <w:pPr>
        <w:tabs>
          <w:tab w:val="left" w:pos="-1440"/>
          <w:tab w:val="left" w:pos="-720"/>
        </w:tabs>
        <w:suppressAutoHyphens/>
        <w:ind w:firstLine="1440"/>
        <w:rPr>
          <w:spacing w:val="-3"/>
          <w:sz w:val="24"/>
          <w:szCs w:val="24"/>
        </w:rPr>
      </w:pPr>
    </w:p>
    <w:p w:rsidR="00EC1E81" w:rsidRDefault="00034B41" w:rsidP="00D70A06">
      <w:pPr>
        <w:spacing w:line="360" w:lineRule="auto"/>
        <w:rPr>
          <w:spacing w:val="-3"/>
          <w:sz w:val="24"/>
          <w:szCs w:val="24"/>
        </w:rPr>
      </w:pPr>
      <w:r>
        <w:rPr>
          <w:spacing w:val="-3"/>
          <w:sz w:val="24"/>
          <w:szCs w:val="24"/>
        </w:rPr>
        <w:tab/>
      </w:r>
      <w:r>
        <w:rPr>
          <w:spacing w:val="-3"/>
          <w:sz w:val="24"/>
          <w:szCs w:val="24"/>
        </w:rPr>
        <w:tab/>
        <w:t xml:space="preserve">On </w:t>
      </w:r>
      <w:r w:rsidR="0054413D">
        <w:rPr>
          <w:spacing w:val="-3"/>
          <w:sz w:val="24"/>
          <w:szCs w:val="24"/>
        </w:rPr>
        <w:t xml:space="preserve">October 2, 2018, </w:t>
      </w:r>
      <w:r w:rsidR="00B23240">
        <w:rPr>
          <w:spacing w:val="-3"/>
          <w:sz w:val="24"/>
          <w:szCs w:val="24"/>
        </w:rPr>
        <w:t xml:space="preserve">Kimberly </w:t>
      </w:r>
      <w:proofErr w:type="spellStart"/>
      <w:r w:rsidR="00B23240">
        <w:rPr>
          <w:spacing w:val="-3"/>
          <w:sz w:val="24"/>
          <w:szCs w:val="24"/>
        </w:rPr>
        <w:t>Rineer</w:t>
      </w:r>
      <w:proofErr w:type="spellEnd"/>
      <w:r w:rsidR="00B23240">
        <w:rPr>
          <w:spacing w:val="-3"/>
          <w:sz w:val="24"/>
          <w:szCs w:val="24"/>
        </w:rPr>
        <w:t xml:space="preserve"> (Complainant) filed a formal complaint at Docket No. C-2018-3005053</w:t>
      </w:r>
      <w:r w:rsidR="00DB0ED4">
        <w:rPr>
          <w:spacing w:val="-3"/>
          <w:sz w:val="24"/>
          <w:szCs w:val="24"/>
        </w:rPr>
        <w:t xml:space="preserve"> against </w:t>
      </w:r>
      <w:r w:rsidR="0054413D">
        <w:rPr>
          <w:spacing w:val="-3"/>
          <w:sz w:val="24"/>
          <w:szCs w:val="24"/>
        </w:rPr>
        <w:t xml:space="preserve">PPL </w:t>
      </w:r>
      <w:r w:rsidR="00DB0ED4">
        <w:rPr>
          <w:spacing w:val="-3"/>
          <w:sz w:val="24"/>
          <w:szCs w:val="24"/>
        </w:rPr>
        <w:t xml:space="preserve">Electric Utilities Corporation (PPL).  PPL </w:t>
      </w:r>
      <w:r w:rsidR="0054413D">
        <w:rPr>
          <w:spacing w:val="-3"/>
          <w:sz w:val="24"/>
          <w:szCs w:val="24"/>
        </w:rPr>
        <w:t>was served with the above-captioned Complaint</w:t>
      </w:r>
      <w:r w:rsidR="00DB0ED4">
        <w:rPr>
          <w:spacing w:val="-3"/>
          <w:sz w:val="24"/>
          <w:szCs w:val="24"/>
        </w:rPr>
        <w:t xml:space="preserve"> on the same date</w:t>
      </w:r>
      <w:r w:rsidR="0054413D">
        <w:rPr>
          <w:spacing w:val="-3"/>
          <w:sz w:val="24"/>
          <w:szCs w:val="24"/>
        </w:rPr>
        <w:t xml:space="preserve">.  The issues raised in the Complaint concern the installation of a new automated metering infrastructure (AMI) meter at Complainant’s residence.  Complainant </w:t>
      </w:r>
      <w:r w:rsidR="00DB0ED4">
        <w:rPr>
          <w:spacing w:val="-3"/>
          <w:sz w:val="24"/>
          <w:szCs w:val="24"/>
        </w:rPr>
        <w:t xml:space="preserve">claims she has been suffering since the installation of an electric smart meter was attached to her house on August 4 or 5, 2017.  </w:t>
      </w:r>
      <w:r w:rsidR="00947D46">
        <w:rPr>
          <w:spacing w:val="-3"/>
          <w:sz w:val="24"/>
          <w:szCs w:val="24"/>
        </w:rPr>
        <w:t>Complainant</w:t>
      </w:r>
      <w:r w:rsidR="00DB0ED4">
        <w:rPr>
          <w:spacing w:val="-3"/>
          <w:sz w:val="24"/>
          <w:szCs w:val="24"/>
        </w:rPr>
        <w:t xml:space="preserve"> claims she can hear the frequencies from the meter and avers they can have a deleterious </w:t>
      </w:r>
      <w:r w:rsidR="00EC1E81">
        <w:rPr>
          <w:spacing w:val="-3"/>
          <w:sz w:val="24"/>
          <w:szCs w:val="24"/>
        </w:rPr>
        <w:t xml:space="preserve">health </w:t>
      </w:r>
      <w:r w:rsidR="00DB0ED4">
        <w:rPr>
          <w:spacing w:val="-3"/>
          <w:sz w:val="24"/>
          <w:szCs w:val="24"/>
        </w:rPr>
        <w:t>effect</w:t>
      </w:r>
      <w:r w:rsidR="00EC1E81">
        <w:rPr>
          <w:spacing w:val="-3"/>
          <w:sz w:val="24"/>
          <w:szCs w:val="24"/>
        </w:rPr>
        <w:t>s</w:t>
      </w:r>
      <w:r w:rsidR="00DB0ED4">
        <w:rPr>
          <w:spacing w:val="-3"/>
          <w:sz w:val="24"/>
          <w:szCs w:val="24"/>
        </w:rPr>
        <w:t xml:space="preserve">.  Complainant </w:t>
      </w:r>
      <w:r w:rsidR="0054413D">
        <w:rPr>
          <w:spacing w:val="-3"/>
          <w:sz w:val="24"/>
          <w:szCs w:val="24"/>
        </w:rPr>
        <w:t>requests</w:t>
      </w:r>
      <w:r w:rsidR="00DB0ED4">
        <w:rPr>
          <w:spacing w:val="-3"/>
          <w:sz w:val="24"/>
          <w:szCs w:val="24"/>
        </w:rPr>
        <w:t xml:space="preserve"> PPL be directed to remove the AMI meter on her service property and replace it with an analog meter.  She further demands damages in the amount of $1,000 per occupant of the residence</w:t>
      </w:r>
      <w:r w:rsidR="0047225F">
        <w:rPr>
          <w:spacing w:val="-3"/>
          <w:sz w:val="24"/>
          <w:szCs w:val="24"/>
        </w:rPr>
        <w:t xml:space="preserve"> </w:t>
      </w:r>
      <w:r w:rsidR="00947D46">
        <w:rPr>
          <w:spacing w:val="-3"/>
          <w:sz w:val="24"/>
          <w:szCs w:val="24"/>
        </w:rPr>
        <w:t xml:space="preserve">(including four-legged ones) </w:t>
      </w:r>
      <w:r w:rsidR="0047225F">
        <w:rPr>
          <w:spacing w:val="-3"/>
          <w:sz w:val="24"/>
          <w:szCs w:val="24"/>
        </w:rPr>
        <w:t xml:space="preserve">for every day the alleged harms have occurred.  Complaint Par. 5. </w:t>
      </w:r>
      <w:r w:rsidR="00DB0ED4">
        <w:rPr>
          <w:spacing w:val="-3"/>
          <w:sz w:val="24"/>
          <w:szCs w:val="24"/>
        </w:rPr>
        <w:t xml:space="preserve">  </w:t>
      </w:r>
    </w:p>
    <w:p w:rsidR="00EC1E81" w:rsidRDefault="00EC1E81" w:rsidP="00D70A06">
      <w:pPr>
        <w:spacing w:line="360" w:lineRule="auto"/>
        <w:rPr>
          <w:spacing w:val="-3"/>
          <w:sz w:val="24"/>
          <w:szCs w:val="24"/>
        </w:rPr>
      </w:pPr>
    </w:p>
    <w:p w:rsidR="001A5FB1" w:rsidRPr="001A5FB1" w:rsidRDefault="004C42DD" w:rsidP="00D70A06">
      <w:pPr>
        <w:spacing w:line="360" w:lineRule="auto"/>
        <w:rPr>
          <w:spacing w:val="-3"/>
          <w:sz w:val="24"/>
          <w:szCs w:val="24"/>
        </w:rPr>
      </w:pPr>
      <w:r>
        <w:rPr>
          <w:spacing w:val="-3"/>
          <w:sz w:val="24"/>
          <w:szCs w:val="24"/>
        </w:rPr>
        <w:tab/>
      </w:r>
      <w:r>
        <w:rPr>
          <w:spacing w:val="-3"/>
          <w:sz w:val="24"/>
          <w:szCs w:val="24"/>
        </w:rPr>
        <w:tab/>
      </w:r>
      <w:r w:rsidR="0094208F" w:rsidRPr="00F538B7">
        <w:rPr>
          <w:spacing w:val="-3"/>
          <w:sz w:val="24"/>
          <w:szCs w:val="24"/>
        </w:rPr>
        <w:t xml:space="preserve">On </w:t>
      </w:r>
      <w:r w:rsidR="00EC1E81">
        <w:rPr>
          <w:spacing w:val="-3"/>
          <w:sz w:val="24"/>
          <w:szCs w:val="24"/>
        </w:rPr>
        <w:t>October 22, 2018</w:t>
      </w:r>
      <w:r w:rsidR="00EA4BA4">
        <w:rPr>
          <w:spacing w:val="-3"/>
          <w:sz w:val="24"/>
          <w:szCs w:val="24"/>
        </w:rPr>
        <w:t xml:space="preserve">, </w:t>
      </w:r>
      <w:r w:rsidR="00EC1E81">
        <w:rPr>
          <w:spacing w:val="-3"/>
          <w:sz w:val="24"/>
          <w:szCs w:val="24"/>
        </w:rPr>
        <w:t xml:space="preserve">the </w:t>
      </w:r>
      <w:r w:rsidR="00CB3587">
        <w:rPr>
          <w:spacing w:val="-3"/>
          <w:sz w:val="24"/>
          <w:szCs w:val="24"/>
        </w:rPr>
        <w:t>R</w:t>
      </w:r>
      <w:r w:rsidR="001A5FB1">
        <w:rPr>
          <w:spacing w:val="-3"/>
          <w:sz w:val="24"/>
          <w:szCs w:val="24"/>
        </w:rPr>
        <w:t>espondent</w:t>
      </w:r>
      <w:r w:rsidR="00EA4BA4">
        <w:rPr>
          <w:spacing w:val="-3"/>
          <w:sz w:val="24"/>
          <w:szCs w:val="24"/>
        </w:rPr>
        <w:t xml:space="preserve"> filed an Answer and Preliminary Objections</w:t>
      </w:r>
      <w:r w:rsidR="001A5FB1">
        <w:rPr>
          <w:spacing w:val="-3"/>
          <w:sz w:val="24"/>
          <w:szCs w:val="24"/>
        </w:rPr>
        <w:t xml:space="preserve">. </w:t>
      </w:r>
      <w:r w:rsidR="003D0248">
        <w:rPr>
          <w:spacing w:val="-3"/>
          <w:sz w:val="24"/>
          <w:szCs w:val="24"/>
        </w:rPr>
        <w:t xml:space="preserve"> </w:t>
      </w:r>
      <w:r w:rsidR="001A5FB1">
        <w:rPr>
          <w:spacing w:val="-3"/>
          <w:sz w:val="24"/>
          <w:szCs w:val="24"/>
        </w:rPr>
        <w:t>The A</w:t>
      </w:r>
      <w:r w:rsidR="001A5FB1" w:rsidRPr="001A5FB1">
        <w:rPr>
          <w:spacing w:val="-3"/>
          <w:sz w:val="24"/>
          <w:szCs w:val="24"/>
        </w:rPr>
        <w:t>nswer admits that the Respondent provides electric service to the Complainan</w:t>
      </w:r>
      <w:r w:rsidR="00CB3587">
        <w:rPr>
          <w:spacing w:val="-3"/>
          <w:sz w:val="24"/>
          <w:szCs w:val="24"/>
        </w:rPr>
        <w:t>t at the address shown on the C</w:t>
      </w:r>
      <w:r w:rsidR="001A5FB1" w:rsidRPr="001A5FB1">
        <w:rPr>
          <w:spacing w:val="-3"/>
          <w:sz w:val="24"/>
          <w:szCs w:val="24"/>
        </w:rPr>
        <w:t>om</w:t>
      </w:r>
      <w:r w:rsidR="001A5FB1">
        <w:rPr>
          <w:spacing w:val="-3"/>
          <w:sz w:val="24"/>
          <w:szCs w:val="24"/>
        </w:rPr>
        <w:t xml:space="preserve">plaint.  </w:t>
      </w:r>
      <w:r w:rsidR="00EC1E81">
        <w:rPr>
          <w:spacing w:val="-3"/>
          <w:sz w:val="24"/>
          <w:szCs w:val="24"/>
        </w:rPr>
        <w:t xml:space="preserve">However, the Answer denies the AMI meter has caused, contributed to, or exacerbated any illnesses or will cause, contribute to or exacerbate any illnesses.  </w:t>
      </w:r>
      <w:r w:rsidR="001A5FB1">
        <w:rPr>
          <w:spacing w:val="-3"/>
          <w:sz w:val="24"/>
          <w:szCs w:val="24"/>
        </w:rPr>
        <w:t>The A</w:t>
      </w:r>
      <w:r w:rsidR="001A5FB1" w:rsidRPr="001A5FB1">
        <w:rPr>
          <w:spacing w:val="-3"/>
          <w:sz w:val="24"/>
          <w:szCs w:val="24"/>
        </w:rPr>
        <w:t xml:space="preserve">nswer contends that the Respondent is required to install </w:t>
      </w:r>
      <w:r w:rsidR="00EA4BA4">
        <w:rPr>
          <w:spacing w:val="-3"/>
          <w:sz w:val="24"/>
          <w:szCs w:val="24"/>
        </w:rPr>
        <w:t xml:space="preserve">the </w:t>
      </w:r>
      <w:r w:rsidR="00CB3587">
        <w:rPr>
          <w:spacing w:val="-3"/>
          <w:sz w:val="24"/>
          <w:szCs w:val="24"/>
        </w:rPr>
        <w:t>smart</w:t>
      </w:r>
      <w:r w:rsidR="001A5FB1">
        <w:rPr>
          <w:spacing w:val="-3"/>
          <w:sz w:val="24"/>
          <w:szCs w:val="24"/>
        </w:rPr>
        <w:t xml:space="preserve"> </w:t>
      </w:r>
      <w:r w:rsidR="001A5FB1" w:rsidRPr="001A5FB1">
        <w:rPr>
          <w:spacing w:val="-3"/>
          <w:sz w:val="24"/>
          <w:szCs w:val="24"/>
        </w:rPr>
        <w:t>meter</w:t>
      </w:r>
      <w:r w:rsidR="00EA4BA4">
        <w:rPr>
          <w:spacing w:val="-3"/>
          <w:sz w:val="24"/>
          <w:szCs w:val="24"/>
        </w:rPr>
        <w:t xml:space="preserve"> at Complainant’s property</w:t>
      </w:r>
      <w:r w:rsidR="001A5FB1" w:rsidRPr="001A5FB1">
        <w:rPr>
          <w:spacing w:val="-3"/>
          <w:sz w:val="24"/>
          <w:szCs w:val="24"/>
        </w:rPr>
        <w:t xml:space="preserve"> </w:t>
      </w:r>
      <w:r w:rsidR="00493C6F">
        <w:rPr>
          <w:spacing w:val="-3"/>
          <w:sz w:val="24"/>
          <w:szCs w:val="24"/>
        </w:rPr>
        <w:t>subject to the requirements of Act 129</w:t>
      </w:r>
      <w:r w:rsidR="001A5FB1" w:rsidRPr="001A5FB1">
        <w:rPr>
          <w:spacing w:val="-3"/>
          <w:sz w:val="24"/>
          <w:szCs w:val="24"/>
        </w:rPr>
        <w:t xml:space="preserve"> and that it has the right to terminate service for failure of the customer to permit access to the meter.</w:t>
      </w:r>
    </w:p>
    <w:p w:rsidR="001A5FB1" w:rsidRPr="001A5FB1" w:rsidRDefault="001A5FB1" w:rsidP="00D70A06">
      <w:pPr>
        <w:spacing w:line="360" w:lineRule="auto"/>
        <w:rPr>
          <w:spacing w:val="-3"/>
          <w:sz w:val="24"/>
          <w:szCs w:val="24"/>
        </w:rPr>
      </w:pPr>
    </w:p>
    <w:p w:rsidR="00F15449" w:rsidRPr="00F538B7" w:rsidRDefault="001A5FB1" w:rsidP="00D70A06">
      <w:pPr>
        <w:spacing w:line="360" w:lineRule="auto"/>
        <w:rPr>
          <w:spacing w:val="-3"/>
          <w:sz w:val="24"/>
          <w:szCs w:val="24"/>
        </w:rPr>
      </w:pPr>
      <w:r>
        <w:rPr>
          <w:spacing w:val="-3"/>
          <w:sz w:val="24"/>
          <w:szCs w:val="24"/>
        </w:rPr>
        <w:lastRenderedPageBreak/>
        <w:tab/>
      </w:r>
      <w:r>
        <w:rPr>
          <w:spacing w:val="-3"/>
          <w:sz w:val="24"/>
          <w:szCs w:val="24"/>
        </w:rPr>
        <w:tab/>
        <w:t xml:space="preserve">The Preliminary Objections contend that the </w:t>
      </w:r>
      <w:r w:rsidR="00A92EC4">
        <w:rPr>
          <w:spacing w:val="-3"/>
          <w:sz w:val="24"/>
          <w:szCs w:val="24"/>
        </w:rPr>
        <w:t xml:space="preserve">Complainant’s request for damages should be dismissed because the Commission has no power to award damages.  </w:t>
      </w:r>
      <w:r w:rsidR="000D4485">
        <w:rPr>
          <w:spacing w:val="-3"/>
          <w:sz w:val="24"/>
          <w:szCs w:val="24"/>
        </w:rPr>
        <w:t xml:space="preserve"> </w:t>
      </w:r>
      <w:r w:rsidR="00B63C44" w:rsidRPr="00B63C44">
        <w:rPr>
          <w:spacing w:val="-3"/>
          <w:sz w:val="24"/>
          <w:szCs w:val="24"/>
        </w:rPr>
        <w:t>The Preliminary Objections are now ripe for a decision</w:t>
      </w:r>
      <w:r w:rsidR="00197564" w:rsidRPr="00197564">
        <w:rPr>
          <w:spacing w:val="-3"/>
          <w:sz w:val="24"/>
          <w:szCs w:val="24"/>
        </w:rPr>
        <w:t xml:space="preserve">.  For the reasons set forth below, I will </w:t>
      </w:r>
      <w:r w:rsidR="00A92EC4">
        <w:rPr>
          <w:spacing w:val="-3"/>
          <w:sz w:val="24"/>
          <w:szCs w:val="24"/>
        </w:rPr>
        <w:t>grant</w:t>
      </w:r>
      <w:r w:rsidR="00197564" w:rsidRPr="00197564">
        <w:rPr>
          <w:spacing w:val="-3"/>
          <w:sz w:val="24"/>
          <w:szCs w:val="24"/>
        </w:rPr>
        <w:t xml:space="preserve"> </w:t>
      </w:r>
      <w:r w:rsidR="00947D46">
        <w:rPr>
          <w:spacing w:val="-3"/>
          <w:sz w:val="24"/>
          <w:szCs w:val="24"/>
        </w:rPr>
        <w:t xml:space="preserve">in part and deny in part </w:t>
      </w:r>
      <w:r w:rsidR="00B63C44">
        <w:rPr>
          <w:spacing w:val="-3"/>
          <w:sz w:val="24"/>
          <w:szCs w:val="24"/>
        </w:rPr>
        <w:t>the Preliminary O</w:t>
      </w:r>
      <w:r w:rsidR="00197564" w:rsidRPr="00197564">
        <w:rPr>
          <w:spacing w:val="-3"/>
          <w:sz w:val="24"/>
          <w:szCs w:val="24"/>
        </w:rPr>
        <w:t>bjections</w:t>
      </w:r>
      <w:r w:rsidR="00A92EC4">
        <w:rPr>
          <w:spacing w:val="-3"/>
          <w:sz w:val="24"/>
          <w:szCs w:val="24"/>
        </w:rPr>
        <w:t xml:space="preserve">, strike </w:t>
      </w:r>
      <w:r w:rsidR="00947D46">
        <w:rPr>
          <w:spacing w:val="-3"/>
          <w:sz w:val="24"/>
          <w:szCs w:val="24"/>
        </w:rPr>
        <w:t xml:space="preserve">the claim for </w:t>
      </w:r>
      <w:r w:rsidR="00A92EC4">
        <w:rPr>
          <w:spacing w:val="-3"/>
          <w:sz w:val="24"/>
          <w:szCs w:val="24"/>
        </w:rPr>
        <w:t xml:space="preserve">damages from the </w:t>
      </w:r>
      <w:r w:rsidR="00947D46">
        <w:rPr>
          <w:spacing w:val="-3"/>
          <w:sz w:val="24"/>
          <w:szCs w:val="24"/>
        </w:rPr>
        <w:t>Complaint</w:t>
      </w:r>
      <w:r w:rsidR="00A92EC4">
        <w:rPr>
          <w:spacing w:val="-3"/>
          <w:sz w:val="24"/>
          <w:szCs w:val="24"/>
        </w:rPr>
        <w:t xml:space="preserve">, and direct </w:t>
      </w:r>
      <w:r w:rsidR="00947D46">
        <w:rPr>
          <w:spacing w:val="-3"/>
          <w:sz w:val="24"/>
          <w:szCs w:val="24"/>
        </w:rPr>
        <w:t>a hearing be held on the remaining issues</w:t>
      </w:r>
      <w:r w:rsidR="00197564" w:rsidRPr="00197564">
        <w:rPr>
          <w:spacing w:val="-3"/>
          <w:sz w:val="24"/>
          <w:szCs w:val="24"/>
        </w:rPr>
        <w:t>.</w:t>
      </w:r>
    </w:p>
    <w:p w:rsidR="00F15449" w:rsidRPr="00F538B7" w:rsidRDefault="00F15449" w:rsidP="00D70A06">
      <w:pPr>
        <w:spacing w:line="360" w:lineRule="auto"/>
        <w:rPr>
          <w:spacing w:val="-3"/>
          <w:sz w:val="24"/>
          <w:szCs w:val="24"/>
        </w:rPr>
      </w:pPr>
    </w:p>
    <w:p w:rsidR="00B61B76" w:rsidRPr="00F538B7" w:rsidRDefault="00B61B76" w:rsidP="00D70A06">
      <w:pPr>
        <w:spacing w:line="360" w:lineRule="auto"/>
        <w:jc w:val="center"/>
        <w:outlineLvl w:val="0"/>
        <w:rPr>
          <w:sz w:val="24"/>
          <w:szCs w:val="24"/>
          <w:u w:val="single"/>
        </w:rPr>
      </w:pPr>
      <w:r w:rsidRPr="00F538B7">
        <w:rPr>
          <w:sz w:val="24"/>
          <w:szCs w:val="24"/>
          <w:u w:val="single"/>
        </w:rPr>
        <w:t>DISCUSSION</w:t>
      </w:r>
    </w:p>
    <w:p w:rsidR="00B61B76" w:rsidRPr="00F538B7" w:rsidRDefault="00B61B76" w:rsidP="00D70A06">
      <w:pPr>
        <w:spacing w:line="360" w:lineRule="auto"/>
        <w:ind w:firstLine="1440"/>
        <w:outlineLvl w:val="0"/>
        <w:rPr>
          <w:sz w:val="24"/>
          <w:szCs w:val="24"/>
          <w:u w:val="single"/>
        </w:rPr>
      </w:pPr>
    </w:p>
    <w:p w:rsidR="0036156C" w:rsidRPr="00F538B7" w:rsidRDefault="0036156C" w:rsidP="00D70A06">
      <w:pPr>
        <w:spacing w:line="360" w:lineRule="auto"/>
        <w:rPr>
          <w:sz w:val="24"/>
          <w:szCs w:val="24"/>
        </w:rPr>
      </w:pPr>
      <w:r w:rsidRPr="00F538B7">
        <w:rPr>
          <w:sz w:val="24"/>
          <w:szCs w:val="24"/>
        </w:rPr>
        <w:tab/>
      </w:r>
      <w:r w:rsidR="00504517" w:rsidRPr="00F538B7">
        <w:rPr>
          <w:sz w:val="24"/>
          <w:szCs w:val="24"/>
        </w:rPr>
        <w:tab/>
      </w:r>
      <w:r w:rsidRPr="00F538B7">
        <w:rPr>
          <w:sz w:val="24"/>
          <w:szCs w:val="24"/>
        </w:rPr>
        <w:t xml:space="preserve">Preliminary objections are appropriate under Commission regulations.  52 Pa. Code §5.101.  Commission preliminary objection practice is similar to Pennsylvania civil practice respecting the filing of preliminary objections.  </w:t>
      </w:r>
      <w:r w:rsidRPr="00F538B7">
        <w:rPr>
          <w:i/>
          <w:sz w:val="24"/>
          <w:szCs w:val="24"/>
        </w:rPr>
        <w:t xml:space="preserve">Equitable Small Transportation Interveners v. Equitable Gas Company, </w:t>
      </w:r>
      <w:r w:rsidRPr="00F538B7">
        <w:rPr>
          <w:sz w:val="24"/>
          <w:szCs w:val="24"/>
        </w:rPr>
        <w:t xml:space="preserve">1994 Pa. PUC LEXIS 69, PUC Docket No. </w:t>
      </w:r>
      <w:r w:rsidR="00D70A06">
        <w:rPr>
          <w:sz w:val="24"/>
          <w:szCs w:val="24"/>
        </w:rPr>
        <w:br/>
      </w:r>
      <w:r w:rsidRPr="00F538B7">
        <w:rPr>
          <w:sz w:val="24"/>
          <w:szCs w:val="24"/>
        </w:rPr>
        <w:t>C-000935435 (July 18, 1994).</w:t>
      </w:r>
    </w:p>
    <w:p w:rsidR="00422676" w:rsidRPr="00F538B7" w:rsidRDefault="00422676" w:rsidP="00D70A06">
      <w:pPr>
        <w:spacing w:line="360" w:lineRule="auto"/>
        <w:rPr>
          <w:sz w:val="24"/>
          <w:szCs w:val="24"/>
        </w:rPr>
      </w:pPr>
    </w:p>
    <w:p w:rsidR="0036156C" w:rsidRPr="00F538B7" w:rsidRDefault="00504517" w:rsidP="00D70A06">
      <w:pPr>
        <w:spacing w:line="360" w:lineRule="auto"/>
        <w:ind w:firstLine="720"/>
        <w:rPr>
          <w:sz w:val="24"/>
          <w:szCs w:val="24"/>
        </w:rPr>
      </w:pPr>
      <w:r w:rsidRPr="00F538B7">
        <w:rPr>
          <w:sz w:val="24"/>
          <w:szCs w:val="24"/>
        </w:rPr>
        <w:tab/>
      </w:r>
      <w:r w:rsidR="0036156C" w:rsidRPr="00F538B7">
        <w:rPr>
          <w:sz w:val="24"/>
          <w:szCs w:val="24"/>
        </w:rPr>
        <w:t>Preliminary objections are limited to the following:</w:t>
      </w:r>
    </w:p>
    <w:p w:rsidR="0036156C" w:rsidRPr="00F538B7" w:rsidRDefault="0036156C" w:rsidP="00D70A06">
      <w:pPr>
        <w:spacing w:line="360" w:lineRule="auto"/>
        <w:rPr>
          <w:sz w:val="24"/>
          <w:szCs w:val="24"/>
        </w:rPr>
      </w:pPr>
    </w:p>
    <w:p w:rsidR="0036156C" w:rsidRPr="00F538B7" w:rsidRDefault="0036156C" w:rsidP="0026006A">
      <w:pPr>
        <w:ind w:left="720" w:right="720"/>
        <w:rPr>
          <w:b/>
          <w:sz w:val="24"/>
          <w:szCs w:val="24"/>
        </w:rPr>
      </w:pPr>
      <w:r w:rsidRPr="00F538B7">
        <w:rPr>
          <w:b/>
          <w:sz w:val="24"/>
          <w:szCs w:val="24"/>
        </w:rPr>
        <w:t>§ 5.101.  Preliminary objections.</w:t>
      </w:r>
    </w:p>
    <w:p w:rsidR="00C7592A" w:rsidRPr="00F538B7" w:rsidRDefault="00C7592A" w:rsidP="0026006A">
      <w:pPr>
        <w:ind w:left="720" w:right="720"/>
        <w:rPr>
          <w:b/>
          <w:sz w:val="24"/>
          <w:szCs w:val="24"/>
        </w:rPr>
      </w:pPr>
    </w:p>
    <w:p w:rsidR="0036156C" w:rsidRPr="00F538B7" w:rsidRDefault="0036156C" w:rsidP="0026006A">
      <w:pPr>
        <w:ind w:left="720" w:right="720"/>
        <w:rPr>
          <w:sz w:val="24"/>
          <w:szCs w:val="24"/>
        </w:rPr>
      </w:pPr>
      <w:r w:rsidRPr="00F538B7">
        <w:rPr>
          <w:sz w:val="24"/>
          <w:szCs w:val="24"/>
        </w:rPr>
        <w:t>(a)</w:t>
      </w:r>
      <w:r w:rsidRPr="00F538B7">
        <w:rPr>
          <w:sz w:val="24"/>
          <w:szCs w:val="24"/>
        </w:rPr>
        <w:tab/>
      </w:r>
      <w:r w:rsidRPr="00F538B7">
        <w:rPr>
          <w:i/>
          <w:sz w:val="24"/>
          <w:szCs w:val="24"/>
        </w:rPr>
        <w:t>Grounds.</w:t>
      </w:r>
      <w:r w:rsidRPr="00F538B7">
        <w:rPr>
          <w:sz w:val="24"/>
          <w:szCs w:val="24"/>
        </w:rPr>
        <w:t xml:space="preserve"> </w:t>
      </w:r>
      <w:r w:rsidR="00F977B0">
        <w:rPr>
          <w:sz w:val="24"/>
          <w:szCs w:val="24"/>
        </w:rPr>
        <w:t xml:space="preserve"> </w:t>
      </w:r>
      <w:r w:rsidRPr="00F538B7">
        <w:rPr>
          <w:sz w:val="24"/>
          <w:szCs w:val="24"/>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rsidR="0036156C" w:rsidRPr="00F538B7" w:rsidRDefault="0036156C" w:rsidP="0026006A">
      <w:pPr>
        <w:ind w:left="720" w:right="720"/>
        <w:rPr>
          <w:i/>
          <w:sz w:val="24"/>
          <w:szCs w:val="24"/>
        </w:rPr>
      </w:pPr>
    </w:p>
    <w:p w:rsidR="0036156C" w:rsidRPr="00F538B7" w:rsidRDefault="000A18DF" w:rsidP="0026006A">
      <w:pPr>
        <w:ind w:left="720" w:right="720"/>
        <w:rPr>
          <w:sz w:val="24"/>
          <w:szCs w:val="24"/>
        </w:rPr>
      </w:pPr>
      <w:r>
        <w:rPr>
          <w:sz w:val="24"/>
          <w:szCs w:val="24"/>
        </w:rPr>
        <w:t xml:space="preserve">(1) </w:t>
      </w:r>
      <w:r w:rsidR="0094111D">
        <w:rPr>
          <w:sz w:val="24"/>
          <w:szCs w:val="24"/>
        </w:rPr>
        <w:tab/>
      </w:r>
      <w:r w:rsidR="0036156C" w:rsidRPr="00F538B7">
        <w:rPr>
          <w:sz w:val="24"/>
          <w:szCs w:val="24"/>
        </w:rPr>
        <w:t>Lack of Commission jurisdiction or improper service of the pleading initiating the proceeding.</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(2) </w:t>
      </w:r>
      <w:r w:rsidR="0094111D">
        <w:rPr>
          <w:sz w:val="24"/>
          <w:szCs w:val="24"/>
        </w:rPr>
        <w:tab/>
      </w:r>
      <w:r w:rsidR="0036156C" w:rsidRPr="00F538B7">
        <w:rPr>
          <w:sz w:val="24"/>
          <w:szCs w:val="24"/>
        </w:rPr>
        <w:t>Failure of a pleading to conform to this chapter or the inclusion of scandalous or impertinent matter.</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(3) </w:t>
      </w:r>
      <w:r w:rsidR="0094111D">
        <w:rPr>
          <w:sz w:val="24"/>
          <w:szCs w:val="24"/>
        </w:rPr>
        <w:tab/>
      </w:r>
      <w:r w:rsidR="0036156C" w:rsidRPr="00F538B7">
        <w:rPr>
          <w:sz w:val="24"/>
          <w:szCs w:val="24"/>
        </w:rPr>
        <w:t>Insufficient specificity of a pleading.</w:t>
      </w:r>
    </w:p>
    <w:p w:rsidR="0036156C" w:rsidRPr="00F538B7" w:rsidRDefault="0036156C" w:rsidP="0026006A">
      <w:pPr>
        <w:ind w:left="720" w:right="720"/>
        <w:rPr>
          <w:sz w:val="24"/>
          <w:szCs w:val="24"/>
        </w:rPr>
      </w:pPr>
    </w:p>
    <w:p w:rsidR="0036156C" w:rsidRPr="00F538B7" w:rsidRDefault="000A18DF" w:rsidP="0026006A">
      <w:pPr>
        <w:ind w:left="720" w:right="720"/>
        <w:rPr>
          <w:sz w:val="24"/>
          <w:szCs w:val="24"/>
        </w:rPr>
      </w:pPr>
      <w:r>
        <w:rPr>
          <w:sz w:val="24"/>
          <w:szCs w:val="24"/>
        </w:rPr>
        <w:t xml:space="preserve">(4) </w:t>
      </w:r>
      <w:r w:rsidR="0094111D">
        <w:rPr>
          <w:sz w:val="24"/>
          <w:szCs w:val="24"/>
        </w:rPr>
        <w:tab/>
      </w:r>
      <w:r w:rsidR="0036156C" w:rsidRPr="00F538B7">
        <w:rPr>
          <w:sz w:val="24"/>
          <w:szCs w:val="24"/>
        </w:rPr>
        <w:t>Legal insufficiency of a pleading.</w:t>
      </w:r>
    </w:p>
    <w:p w:rsidR="0036156C" w:rsidRPr="00F538B7" w:rsidRDefault="0036156C" w:rsidP="0026006A">
      <w:pPr>
        <w:ind w:left="720" w:right="720"/>
        <w:rPr>
          <w:sz w:val="24"/>
          <w:szCs w:val="24"/>
        </w:rPr>
      </w:pPr>
    </w:p>
    <w:p w:rsidR="0036156C" w:rsidRPr="00F538B7" w:rsidRDefault="0036156C" w:rsidP="0026006A">
      <w:pPr>
        <w:ind w:left="720" w:right="720"/>
        <w:rPr>
          <w:sz w:val="24"/>
          <w:szCs w:val="24"/>
        </w:rPr>
      </w:pPr>
      <w:r w:rsidRPr="00F538B7">
        <w:rPr>
          <w:sz w:val="24"/>
          <w:szCs w:val="24"/>
        </w:rPr>
        <w:t xml:space="preserve">(5) </w:t>
      </w:r>
      <w:r w:rsidR="0094111D">
        <w:rPr>
          <w:sz w:val="24"/>
          <w:szCs w:val="24"/>
        </w:rPr>
        <w:tab/>
      </w:r>
      <w:r w:rsidRPr="00F538B7">
        <w:rPr>
          <w:sz w:val="24"/>
          <w:szCs w:val="24"/>
        </w:rPr>
        <w:t>Lack of capacity to sue, nonjoinder of a necessary party or misjoinder of a cause of action.</w:t>
      </w:r>
    </w:p>
    <w:p w:rsidR="0036156C" w:rsidRPr="00F538B7" w:rsidRDefault="0036156C" w:rsidP="0026006A">
      <w:pPr>
        <w:ind w:left="720" w:right="720"/>
        <w:rPr>
          <w:sz w:val="24"/>
          <w:szCs w:val="24"/>
        </w:rPr>
      </w:pPr>
    </w:p>
    <w:p w:rsidR="0036156C" w:rsidRDefault="00B07454" w:rsidP="0026006A">
      <w:pPr>
        <w:ind w:left="720" w:right="720"/>
        <w:rPr>
          <w:sz w:val="24"/>
          <w:szCs w:val="24"/>
        </w:rPr>
      </w:pPr>
      <w:r>
        <w:rPr>
          <w:sz w:val="24"/>
          <w:szCs w:val="24"/>
        </w:rPr>
        <w:t xml:space="preserve">(6) </w:t>
      </w:r>
      <w:r w:rsidR="0094111D">
        <w:rPr>
          <w:sz w:val="24"/>
          <w:szCs w:val="24"/>
        </w:rPr>
        <w:tab/>
      </w:r>
      <w:r w:rsidR="0036156C" w:rsidRPr="00F538B7">
        <w:rPr>
          <w:sz w:val="24"/>
          <w:szCs w:val="24"/>
        </w:rPr>
        <w:t>Pendency of a prior proceeding or agreement for alternative dispute resolution.</w:t>
      </w:r>
    </w:p>
    <w:p w:rsidR="00453D3A" w:rsidRDefault="00453D3A" w:rsidP="0026006A">
      <w:pPr>
        <w:ind w:left="720" w:right="720"/>
        <w:rPr>
          <w:sz w:val="24"/>
          <w:szCs w:val="24"/>
        </w:rPr>
      </w:pPr>
    </w:p>
    <w:p w:rsidR="00453D3A" w:rsidRPr="00453D3A" w:rsidRDefault="00453D3A" w:rsidP="0026006A">
      <w:pPr>
        <w:ind w:left="720" w:right="720"/>
        <w:rPr>
          <w:sz w:val="24"/>
          <w:szCs w:val="24"/>
        </w:rPr>
      </w:pPr>
      <w:r>
        <w:rPr>
          <w:sz w:val="24"/>
          <w:szCs w:val="24"/>
        </w:rPr>
        <w:t>(7)</w:t>
      </w:r>
      <w:r w:rsidR="0094111D">
        <w:rPr>
          <w:sz w:val="24"/>
          <w:szCs w:val="24"/>
        </w:rPr>
        <w:tab/>
      </w:r>
      <w:r w:rsidRPr="00453D3A">
        <w:rPr>
          <w:sz w:val="24"/>
          <w:szCs w:val="24"/>
        </w:rPr>
        <w:t>Standing of a party to participate in the proceeding</w:t>
      </w:r>
    </w:p>
    <w:p w:rsidR="00453D3A" w:rsidRPr="00F538B7" w:rsidRDefault="00453D3A" w:rsidP="0026006A">
      <w:pPr>
        <w:ind w:left="720" w:right="720"/>
        <w:rPr>
          <w:sz w:val="24"/>
          <w:szCs w:val="24"/>
        </w:rPr>
      </w:pPr>
    </w:p>
    <w:p w:rsidR="0036156C" w:rsidRPr="00F538B7" w:rsidRDefault="0036156C" w:rsidP="0026006A">
      <w:pPr>
        <w:ind w:left="720" w:right="720"/>
        <w:jc w:val="center"/>
        <w:rPr>
          <w:sz w:val="24"/>
          <w:szCs w:val="24"/>
        </w:rPr>
      </w:pPr>
      <w:r w:rsidRPr="00F538B7">
        <w:rPr>
          <w:sz w:val="24"/>
          <w:szCs w:val="24"/>
        </w:rPr>
        <w:t xml:space="preserve">* * * </w:t>
      </w:r>
    </w:p>
    <w:p w:rsidR="0036156C" w:rsidRPr="00F538B7" w:rsidRDefault="0036156C" w:rsidP="0026006A">
      <w:pPr>
        <w:ind w:left="720" w:right="720"/>
        <w:rPr>
          <w:sz w:val="24"/>
          <w:szCs w:val="24"/>
        </w:rPr>
      </w:pPr>
      <w:r w:rsidRPr="00F538B7">
        <w:rPr>
          <w:sz w:val="24"/>
          <w:szCs w:val="24"/>
        </w:rPr>
        <w:t>52 Pa. Code § 5.101(a).</w:t>
      </w:r>
    </w:p>
    <w:p w:rsidR="0036156C" w:rsidRPr="00F538B7" w:rsidRDefault="0036156C" w:rsidP="00D70A06">
      <w:pPr>
        <w:spacing w:line="360" w:lineRule="auto"/>
        <w:rPr>
          <w:sz w:val="24"/>
          <w:szCs w:val="24"/>
        </w:rPr>
      </w:pPr>
    </w:p>
    <w:p w:rsidR="0036156C" w:rsidRPr="00F538B7" w:rsidRDefault="0036156C" w:rsidP="00D70A06">
      <w:pPr>
        <w:spacing w:line="360" w:lineRule="auto"/>
        <w:rPr>
          <w:sz w:val="24"/>
          <w:szCs w:val="24"/>
        </w:rPr>
      </w:pPr>
      <w:r w:rsidRPr="00F538B7">
        <w:rPr>
          <w:sz w:val="24"/>
          <w:szCs w:val="24"/>
        </w:rPr>
        <w:tab/>
      </w:r>
      <w:r w:rsidRPr="00F538B7">
        <w:rPr>
          <w:sz w:val="24"/>
          <w:szCs w:val="24"/>
        </w:rPr>
        <w:tab/>
        <w:t xml:space="preserve">When considering the preliminary objection, the Commission must determine “whether the law says with certainty, based on well-pleading factual averments . . . that no recovery or relief is possible.”  </w:t>
      </w:r>
      <w:r w:rsidRPr="00F538B7">
        <w:rPr>
          <w:i/>
          <w:sz w:val="24"/>
          <w:szCs w:val="24"/>
        </w:rPr>
        <w:t xml:space="preserve">P. J. S. v. Pa. State Ethics Commission, </w:t>
      </w:r>
      <w:r w:rsidRPr="00F538B7">
        <w:rPr>
          <w:sz w:val="24"/>
          <w:szCs w:val="24"/>
        </w:rPr>
        <w:t xml:space="preserve">669 A.2d 1105 (Pa. Cmwlth. 1996).  Any doubt must be resolved in favor of the non-moving party by refusing to sustain the preliminary objections.  </w:t>
      </w:r>
      <w:r w:rsidRPr="00F538B7">
        <w:rPr>
          <w:i/>
          <w:sz w:val="24"/>
          <w:szCs w:val="24"/>
        </w:rPr>
        <w:t xml:space="preserve">Boyd v. Ward, </w:t>
      </w:r>
      <w:r w:rsidRPr="00F538B7">
        <w:rPr>
          <w:sz w:val="24"/>
          <w:szCs w:val="24"/>
        </w:rPr>
        <w:t xml:space="preserve">802 A.2d 705 (Pa. Cmwlth. 2002).  </w:t>
      </w:r>
      <w:r w:rsidRPr="00F538B7">
        <w:rPr>
          <w:i/>
          <w:sz w:val="24"/>
          <w:szCs w:val="24"/>
        </w:rPr>
        <w:t xml:space="preserve">Dept. of Auditor General, et al. v. State Employees’ Retirement System, et al., </w:t>
      </w:r>
      <w:r w:rsidRPr="00F538B7">
        <w:rPr>
          <w:sz w:val="24"/>
          <w:szCs w:val="24"/>
        </w:rPr>
        <w:t>836 A.2</w:t>
      </w:r>
      <w:r w:rsidR="00532F60">
        <w:rPr>
          <w:sz w:val="24"/>
          <w:szCs w:val="24"/>
        </w:rPr>
        <w:t>d 1053, 1064 (Pa. Cmwlth. 2003).</w:t>
      </w:r>
    </w:p>
    <w:p w:rsidR="00A51CF8" w:rsidRPr="00F538B7" w:rsidRDefault="00A51CF8" w:rsidP="00D70A06">
      <w:pPr>
        <w:tabs>
          <w:tab w:val="left" w:pos="5040"/>
        </w:tabs>
        <w:spacing w:line="360" w:lineRule="auto"/>
        <w:rPr>
          <w:sz w:val="24"/>
          <w:szCs w:val="24"/>
        </w:rPr>
      </w:pPr>
    </w:p>
    <w:p w:rsidR="0036156C" w:rsidRPr="00F538B7" w:rsidRDefault="0036156C" w:rsidP="00D70A06">
      <w:pPr>
        <w:tabs>
          <w:tab w:val="left" w:pos="-1440"/>
          <w:tab w:val="left" w:pos="-720"/>
        </w:tabs>
        <w:suppressAutoHyphens/>
        <w:spacing w:line="360" w:lineRule="auto"/>
        <w:ind w:firstLine="1440"/>
        <w:rPr>
          <w:sz w:val="24"/>
          <w:szCs w:val="24"/>
        </w:rPr>
      </w:pPr>
      <w:r w:rsidRPr="00F538B7">
        <w:rPr>
          <w:sz w:val="24"/>
          <w:szCs w:val="24"/>
        </w:rPr>
        <w:t xml:space="preserve">Preliminary objections in civil practice requesting dismissal of a pleading will be granted only where the right to relief is clearly warranted and free from doubt.  </w:t>
      </w:r>
      <w:r w:rsidRPr="00F538B7">
        <w:rPr>
          <w:i/>
          <w:sz w:val="24"/>
          <w:szCs w:val="24"/>
        </w:rPr>
        <w:t>Interstate Traveller Services, Inc. v. Pa. Dept. of Environment Resources,</w:t>
      </w:r>
      <w:r w:rsidRPr="00F538B7">
        <w:rPr>
          <w:sz w:val="24"/>
          <w:szCs w:val="24"/>
        </w:rPr>
        <w:t xml:space="preserve"> 406 A.2d 1020 (Pa. 1979); </w:t>
      </w:r>
      <w:r w:rsidRPr="00F538B7">
        <w:rPr>
          <w:i/>
          <w:sz w:val="24"/>
          <w:szCs w:val="24"/>
        </w:rPr>
        <w:t>Rivera v. Philadelphia Theological Seminary of St. Charles Borromeo, Inc.</w:t>
      </w:r>
      <w:r w:rsidRPr="00F538B7">
        <w:rPr>
          <w:sz w:val="24"/>
          <w:szCs w:val="24"/>
        </w:rPr>
        <w:t xml:space="preserve">, 595 A.2d 172 (Pa. Super 1991).  The Commission follows this standard.  </w:t>
      </w:r>
      <w:r w:rsidRPr="00F538B7">
        <w:rPr>
          <w:i/>
          <w:sz w:val="24"/>
          <w:szCs w:val="24"/>
        </w:rPr>
        <w:t>Montague v. Philadelphia Electric Company,</w:t>
      </w:r>
      <w:r w:rsidRPr="00F538B7">
        <w:rPr>
          <w:sz w:val="24"/>
          <w:szCs w:val="24"/>
        </w:rPr>
        <w:t xml:space="preserve"> 66 Pa.PUC 24 (1988).</w:t>
      </w:r>
    </w:p>
    <w:p w:rsidR="0036156C" w:rsidRPr="00F538B7" w:rsidRDefault="0036156C" w:rsidP="00D70A06">
      <w:pPr>
        <w:tabs>
          <w:tab w:val="left" w:pos="-1440"/>
          <w:tab w:val="left" w:pos="-720"/>
        </w:tabs>
        <w:suppressAutoHyphens/>
        <w:spacing w:line="360" w:lineRule="auto"/>
        <w:ind w:firstLine="1440"/>
        <w:rPr>
          <w:sz w:val="24"/>
          <w:szCs w:val="24"/>
        </w:rPr>
      </w:pPr>
    </w:p>
    <w:p w:rsidR="00EA3814" w:rsidRPr="007F27A1" w:rsidRDefault="00EA3814" w:rsidP="00EA3814">
      <w:pPr>
        <w:tabs>
          <w:tab w:val="left" w:pos="-1440"/>
          <w:tab w:val="left" w:pos="-720"/>
        </w:tabs>
        <w:suppressAutoHyphens/>
        <w:spacing w:line="360" w:lineRule="auto"/>
        <w:ind w:firstLine="1440"/>
        <w:rPr>
          <w:sz w:val="24"/>
          <w:szCs w:val="24"/>
        </w:rPr>
      </w:pPr>
      <w:r w:rsidRPr="007F27A1">
        <w:rPr>
          <w:sz w:val="24"/>
          <w:szCs w:val="24"/>
        </w:rPr>
        <w:t xml:space="preserve">The Commission must act within and cannot exceed its jurisdiction.  </w:t>
      </w:r>
      <w:r w:rsidRPr="007F27A1">
        <w:rPr>
          <w:i/>
          <w:sz w:val="24"/>
          <w:szCs w:val="24"/>
        </w:rPr>
        <w:t xml:space="preserve">City of Pittsburgh v. PUC, </w:t>
      </w:r>
      <w:r w:rsidRPr="007F27A1">
        <w:rPr>
          <w:sz w:val="24"/>
          <w:szCs w:val="24"/>
        </w:rPr>
        <w:t xml:space="preserve">157 Pa. Super 595, 43 A.2d 348 (1945).  Jurisdiction may not be conferred by the parties where none exists.  </w:t>
      </w:r>
      <w:r w:rsidRPr="007F27A1">
        <w:rPr>
          <w:i/>
          <w:sz w:val="24"/>
          <w:szCs w:val="24"/>
        </w:rPr>
        <w:t xml:space="preserve">Roberts v. Martorano, </w:t>
      </w:r>
      <w:r w:rsidRPr="007F27A1">
        <w:rPr>
          <w:sz w:val="24"/>
          <w:szCs w:val="24"/>
        </w:rPr>
        <w:t xml:space="preserve">427 Pa. 581, 235 A.2d 602(1967).  This Commission has discretion to “dismiss any complaint without a hearing if, in its opinion, a hearing is not necessary in the public interest.”  66 Pa. C.S. §703(b)(, 52 Pa. Code §5.21(d).  A hearing is necessary only to resolve disputed questions of fact, and when the question presented is one of law, the Commission need not hold a hearing  </w:t>
      </w:r>
      <w:r w:rsidRPr="007F27A1">
        <w:rPr>
          <w:i/>
          <w:sz w:val="24"/>
          <w:szCs w:val="24"/>
        </w:rPr>
        <w:t xml:space="preserve">Lehigh Valley Power Comm. </w:t>
      </w:r>
      <w:r w:rsidR="00947D46">
        <w:rPr>
          <w:i/>
          <w:sz w:val="24"/>
          <w:szCs w:val="24"/>
        </w:rPr>
        <w:t>v</w:t>
      </w:r>
      <w:r w:rsidRPr="007F27A1">
        <w:rPr>
          <w:i/>
          <w:sz w:val="24"/>
          <w:szCs w:val="24"/>
        </w:rPr>
        <w:t xml:space="preserve">. PUC, </w:t>
      </w:r>
      <w:r w:rsidRPr="007F27A1">
        <w:rPr>
          <w:sz w:val="24"/>
          <w:szCs w:val="24"/>
        </w:rPr>
        <w:t xml:space="preserve">128 Pa.Cmwlth. 259, 563 A.2d 548 (1989), </w:t>
      </w:r>
      <w:r w:rsidRPr="007F27A1">
        <w:rPr>
          <w:i/>
          <w:sz w:val="24"/>
          <w:szCs w:val="24"/>
        </w:rPr>
        <w:t xml:space="preserve">Edan Transportation Corp. v. PUC, </w:t>
      </w:r>
      <w:r w:rsidRPr="007F27A1">
        <w:rPr>
          <w:sz w:val="24"/>
          <w:szCs w:val="24"/>
        </w:rPr>
        <w:t xml:space="preserve">154 Pa.Cmwlth. 21, 623 A.2d 6 (1993).  </w:t>
      </w:r>
    </w:p>
    <w:p w:rsidR="00EA3814" w:rsidRDefault="00EA3814" w:rsidP="00EA3814">
      <w:pPr>
        <w:tabs>
          <w:tab w:val="left" w:pos="-1440"/>
          <w:tab w:val="left" w:pos="-720"/>
        </w:tabs>
        <w:suppressAutoHyphens/>
        <w:spacing w:line="360" w:lineRule="auto"/>
        <w:ind w:firstLine="1440"/>
        <w:rPr>
          <w:sz w:val="24"/>
          <w:szCs w:val="24"/>
        </w:rPr>
      </w:pPr>
    </w:p>
    <w:p w:rsidR="00EA3814" w:rsidRDefault="00EA3814" w:rsidP="00EA3814">
      <w:pPr>
        <w:tabs>
          <w:tab w:val="left" w:pos="-1440"/>
          <w:tab w:val="left" w:pos="-720"/>
        </w:tabs>
        <w:suppressAutoHyphens/>
        <w:spacing w:line="360" w:lineRule="auto"/>
        <w:ind w:firstLine="1440"/>
        <w:rPr>
          <w:sz w:val="24"/>
          <w:szCs w:val="24"/>
        </w:rPr>
      </w:pPr>
      <w:r>
        <w:rPr>
          <w:sz w:val="24"/>
          <w:szCs w:val="24"/>
        </w:rPr>
        <w:t xml:space="preserve">Preliminary objections in civil practice requesting dismissal of a pleading will be granted only where the right to relief is clearly warranted and free from doubt.  </w:t>
      </w:r>
      <w:r w:rsidRPr="001D56D9">
        <w:rPr>
          <w:i/>
          <w:sz w:val="24"/>
          <w:szCs w:val="24"/>
        </w:rPr>
        <w:t>Interstate Traveller Services, Inc. v. Pa. Dept. of Environment Resources,</w:t>
      </w:r>
      <w:r>
        <w:rPr>
          <w:sz w:val="24"/>
          <w:szCs w:val="24"/>
        </w:rPr>
        <w:t xml:space="preserve"> 406 A.2d 1020 (Pa. 1979); </w:t>
      </w:r>
      <w:r w:rsidRPr="001D56D9">
        <w:rPr>
          <w:i/>
          <w:sz w:val="24"/>
          <w:szCs w:val="24"/>
        </w:rPr>
        <w:t>Rivera v. Philadelphia Theological Seminary of St. Charles Borromeo, Inc.</w:t>
      </w:r>
      <w:r>
        <w:rPr>
          <w:sz w:val="24"/>
          <w:szCs w:val="24"/>
        </w:rPr>
        <w:t xml:space="preserve">, 595 A.2d 172 (Pa. Super 1991).  The Commission follows this standard.  </w:t>
      </w:r>
      <w:r>
        <w:rPr>
          <w:i/>
          <w:sz w:val="24"/>
          <w:szCs w:val="24"/>
        </w:rPr>
        <w:t>Montague v. Philadelphia Electric Company,</w:t>
      </w:r>
      <w:r>
        <w:rPr>
          <w:sz w:val="24"/>
          <w:szCs w:val="24"/>
        </w:rPr>
        <w:t xml:space="preserve"> 66 Pa.PUC 24 (1988).</w:t>
      </w:r>
    </w:p>
    <w:p w:rsidR="00EA3814" w:rsidRDefault="00EA3814" w:rsidP="00EA3814">
      <w:pPr>
        <w:tabs>
          <w:tab w:val="left" w:pos="-1440"/>
          <w:tab w:val="left" w:pos="-720"/>
        </w:tabs>
        <w:suppressAutoHyphens/>
        <w:spacing w:line="360" w:lineRule="auto"/>
        <w:ind w:firstLine="1440"/>
        <w:rPr>
          <w:sz w:val="24"/>
          <w:szCs w:val="24"/>
        </w:rPr>
      </w:pPr>
    </w:p>
    <w:p w:rsidR="00EA3814" w:rsidRDefault="00EA3814" w:rsidP="00EA3814">
      <w:pPr>
        <w:tabs>
          <w:tab w:val="left" w:pos="-1440"/>
          <w:tab w:val="left" w:pos="-720"/>
        </w:tabs>
        <w:suppressAutoHyphens/>
        <w:spacing w:line="360" w:lineRule="auto"/>
        <w:ind w:firstLine="1440"/>
        <w:rPr>
          <w:sz w:val="24"/>
          <w:szCs w:val="24"/>
        </w:rPr>
      </w:pPr>
      <w:r>
        <w:rPr>
          <w:sz w:val="24"/>
          <w:szCs w:val="24"/>
        </w:rPr>
        <w:t xml:space="preserve">The Commission must view the complaint in the light most favorable to Complainant and should dismiss the complaint only if it appears that the Complainant would not be entitled to relief under any circumstances as a matter of law.  </w:t>
      </w:r>
      <w:r>
        <w:rPr>
          <w:i/>
          <w:sz w:val="24"/>
          <w:szCs w:val="24"/>
        </w:rPr>
        <w:t xml:space="preserve">Equitable Small Transportation Intervenors v. Equitable Gas Company, </w:t>
      </w:r>
      <w:r>
        <w:rPr>
          <w:sz w:val="24"/>
          <w:szCs w:val="24"/>
        </w:rPr>
        <w:t>1994 Pa PUC LEXIS 69, Docket No. C-00935435 (1994).</w:t>
      </w:r>
    </w:p>
    <w:p w:rsidR="00EA3814" w:rsidRDefault="00EA3814" w:rsidP="00EA3814">
      <w:pPr>
        <w:tabs>
          <w:tab w:val="left" w:pos="-1440"/>
          <w:tab w:val="left" w:pos="-720"/>
        </w:tabs>
        <w:suppressAutoHyphens/>
        <w:spacing w:line="360" w:lineRule="auto"/>
        <w:ind w:firstLine="1440"/>
        <w:rPr>
          <w:sz w:val="24"/>
          <w:szCs w:val="24"/>
        </w:rPr>
      </w:pPr>
    </w:p>
    <w:p w:rsidR="00EA3814" w:rsidRDefault="00EA3814" w:rsidP="00EA3814">
      <w:pPr>
        <w:tabs>
          <w:tab w:val="left" w:pos="-1440"/>
          <w:tab w:val="left" w:pos="-720"/>
        </w:tabs>
        <w:suppressAutoHyphens/>
        <w:spacing w:line="360" w:lineRule="auto"/>
        <w:ind w:firstLine="1440"/>
        <w:rPr>
          <w:sz w:val="24"/>
          <w:szCs w:val="24"/>
        </w:rPr>
      </w:pPr>
      <w:r w:rsidRPr="007F27A1">
        <w:rPr>
          <w:sz w:val="24"/>
          <w:szCs w:val="24"/>
        </w:rPr>
        <w:t>To the extent that Complainant is seeking c</w:t>
      </w:r>
      <w:r>
        <w:rPr>
          <w:sz w:val="24"/>
          <w:szCs w:val="24"/>
        </w:rPr>
        <w:t xml:space="preserve">ompensatory damages, </w:t>
      </w:r>
      <w:r w:rsidRPr="007F27A1">
        <w:rPr>
          <w:sz w:val="24"/>
          <w:szCs w:val="24"/>
        </w:rPr>
        <w:t xml:space="preserve">this Commission lacks jurisdiction to award compensatory damages.  </w:t>
      </w:r>
      <w:r w:rsidRPr="007F27A1">
        <w:rPr>
          <w:i/>
          <w:sz w:val="24"/>
          <w:szCs w:val="24"/>
        </w:rPr>
        <w:t>See Feingold v. Bell of Pennsylvania,</w:t>
      </w:r>
      <w:r w:rsidRPr="007F27A1">
        <w:rPr>
          <w:sz w:val="24"/>
          <w:szCs w:val="24"/>
        </w:rPr>
        <w:t xml:space="preserve"> 477 Pa. 1, 383 A.2d 791 (1977).  52 Pa. Code §5.101(a)(4).  </w:t>
      </w:r>
      <w:r>
        <w:rPr>
          <w:sz w:val="24"/>
          <w:szCs w:val="24"/>
        </w:rPr>
        <w:t>Although th</w:t>
      </w:r>
      <w:r w:rsidR="00411D55">
        <w:rPr>
          <w:sz w:val="24"/>
          <w:szCs w:val="24"/>
        </w:rPr>
        <w:t>e</w:t>
      </w:r>
      <w:r>
        <w:rPr>
          <w:sz w:val="24"/>
          <w:szCs w:val="24"/>
        </w:rPr>
        <w:t xml:space="preserve"> Commission has general jurisdiction over the rates and services of public utilities operating in Pennsylvania, we have only the powers and authority granted to us by the General Assembly in the Public Utility Code which does not grant the Commission authority to award damages.  </w:t>
      </w:r>
      <w:r>
        <w:rPr>
          <w:i/>
          <w:sz w:val="24"/>
          <w:szCs w:val="24"/>
        </w:rPr>
        <w:t xml:space="preserve">See In Re: Melograne, </w:t>
      </w:r>
      <w:r>
        <w:rPr>
          <w:sz w:val="24"/>
          <w:szCs w:val="24"/>
        </w:rPr>
        <w:t xml:space="preserve">812 A.2d 1164 (Pa. 2002); </w:t>
      </w:r>
      <w:r>
        <w:rPr>
          <w:i/>
          <w:sz w:val="24"/>
          <w:szCs w:val="24"/>
        </w:rPr>
        <w:t xml:space="preserve">Terminato v. Pa. National Insurance Company, </w:t>
      </w:r>
      <w:r>
        <w:rPr>
          <w:sz w:val="24"/>
          <w:szCs w:val="24"/>
        </w:rPr>
        <w:t xml:space="preserve">645 A. 2d 1287 (Pa. 1994).  </w:t>
      </w:r>
    </w:p>
    <w:p w:rsidR="00EA3814" w:rsidRDefault="00EA3814" w:rsidP="00EA3814">
      <w:pPr>
        <w:tabs>
          <w:tab w:val="left" w:pos="-1440"/>
          <w:tab w:val="left" w:pos="-720"/>
        </w:tabs>
        <w:suppressAutoHyphens/>
        <w:spacing w:line="360" w:lineRule="auto"/>
        <w:ind w:firstLine="1440"/>
        <w:rPr>
          <w:sz w:val="24"/>
          <w:szCs w:val="24"/>
        </w:rPr>
      </w:pPr>
    </w:p>
    <w:p w:rsidR="0010756C" w:rsidRDefault="0094111D" w:rsidP="00D70A06">
      <w:pPr>
        <w:spacing w:line="360" w:lineRule="auto"/>
        <w:ind w:firstLine="1440"/>
        <w:rPr>
          <w:sz w:val="24"/>
          <w:szCs w:val="24"/>
        </w:rPr>
      </w:pPr>
      <w:r>
        <w:rPr>
          <w:sz w:val="24"/>
          <w:szCs w:val="24"/>
        </w:rPr>
        <w:t>Viewing the C</w:t>
      </w:r>
      <w:r w:rsidR="009907E5">
        <w:rPr>
          <w:sz w:val="24"/>
          <w:szCs w:val="24"/>
        </w:rPr>
        <w:t>omplaint in the instant case in t</w:t>
      </w:r>
      <w:r w:rsidR="00453D3A">
        <w:rPr>
          <w:sz w:val="24"/>
          <w:szCs w:val="24"/>
        </w:rPr>
        <w:t>he light most favorable to the Complainant, the C</w:t>
      </w:r>
      <w:r w:rsidR="0062700D">
        <w:rPr>
          <w:sz w:val="24"/>
          <w:szCs w:val="24"/>
        </w:rPr>
        <w:t>omplainant asks that the Commission</w:t>
      </w:r>
      <w:r w:rsidR="00A92EC4">
        <w:rPr>
          <w:sz w:val="24"/>
          <w:szCs w:val="24"/>
        </w:rPr>
        <w:t xml:space="preserve"> direct PPL to</w:t>
      </w:r>
      <w:r w:rsidR="00853F5E">
        <w:rPr>
          <w:sz w:val="24"/>
          <w:szCs w:val="24"/>
        </w:rPr>
        <w:t>:</w:t>
      </w:r>
      <w:r w:rsidR="00B473D2">
        <w:rPr>
          <w:sz w:val="24"/>
          <w:szCs w:val="24"/>
        </w:rPr>
        <w:t xml:space="preserve"> 1)</w:t>
      </w:r>
      <w:r w:rsidR="00853F5E">
        <w:rPr>
          <w:sz w:val="24"/>
          <w:szCs w:val="24"/>
        </w:rPr>
        <w:t xml:space="preserve"> </w:t>
      </w:r>
      <w:r w:rsidR="00A92EC4">
        <w:rPr>
          <w:sz w:val="24"/>
          <w:szCs w:val="24"/>
        </w:rPr>
        <w:t xml:space="preserve">remove the AMI meter as soon as possible and replace it with an analog meter; </w:t>
      </w:r>
      <w:r w:rsidR="00EA3814">
        <w:rPr>
          <w:sz w:val="24"/>
          <w:szCs w:val="24"/>
        </w:rPr>
        <w:t xml:space="preserve">and </w:t>
      </w:r>
      <w:r w:rsidR="00A92EC4">
        <w:rPr>
          <w:sz w:val="24"/>
          <w:szCs w:val="24"/>
        </w:rPr>
        <w:t>2) reimburse Complainant $1,000 per occupant of the house, including four legged ones</w:t>
      </w:r>
      <w:r w:rsidR="00EA3814">
        <w:rPr>
          <w:sz w:val="24"/>
          <w:szCs w:val="24"/>
        </w:rPr>
        <w:t xml:space="preserve">, per day of harm.  </w:t>
      </w:r>
    </w:p>
    <w:p w:rsidR="0010756C" w:rsidRDefault="0010756C" w:rsidP="00D70A06">
      <w:pPr>
        <w:spacing w:line="360" w:lineRule="auto"/>
        <w:ind w:firstLine="1440"/>
        <w:rPr>
          <w:sz w:val="24"/>
          <w:szCs w:val="24"/>
        </w:rPr>
      </w:pPr>
    </w:p>
    <w:p w:rsidR="009907E5" w:rsidRDefault="009907E5" w:rsidP="00D70A06">
      <w:pPr>
        <w:spacing w:line="360" w:lineRule="auto"/>
        <w:ind w:firstLine="1440"/>
        <w:rPr>
          <w:sz w:val="24"/>
          <w:szCs w:val="24"/>
        </w:rPr>
      </w:pPr>
      <w:r>
        <w:rPr>
          <w:sz w:val="24"/>
          <w:szCs w:val="24"/>
        </w:rPr>
        <w:t xml:space="preserve">On October 15, 2008, Governor Edward G. Rendell signed Act 129 of 2008 into law, which directed electric distribution companies with at least 100,000 customers to file, with the Commission, a smart meter deployment and installation plan.  Thus, there is a statute requiring smart meter deployment by large electric distribution companies operating within the Commonwealth.  66 Pa. C.S. § 2807(f).  </w:t>
      </w:r>
      <w:r w:rsidRPr="00F538B7">
        <w:rPr>
          <w:sz w:val="24"/>
          <w:szCs w:val="24"/>
        </w:rPr>
        <w:t xml:space="preserve">  </w:t>
      </w:r>
    </w:p>
    <w:p w:rsidR="000E7231" w:rsidRDefault="000E7231" w:rsidP="00D70A06">
      <w:pPr>
        <w:spacing w:line="360" w:lineRule="auto"/>
        <w:ind w:firstLine="1440"/>
        <w:rPr>
          <w:sz w:val="24"/>
          <w:szCs w:val="24"/>
        </w:rPr>
      </w:pPr>
    </w:p>
    <w:p w:rsidR="009907E5" w:rsidRPr="00F538B7" w:rsidRDefault="00762825" w:rsidP="00D70A06">
      <w:pPr>
        <w:spacing w:line="360" w:lineRule="auto"/>
        <w:rPr>
          <w:spacing w:val="-3"/>
          <w:sz w:val="24"/>
          <w:szCs w:val="24"/>
        </w:rPr>
      </w:pPr>
      <w:r>
        <w:rPr>
          <w:spacing w:val="-3"/>
          <w:sz w:val="24"/>
          <w:szCs w:val="24"/>
        </w:rPr>
        <w:tab/>
      </w:r>
      <w:r>
        <w:rPr>
          <w:spacing w:val="-3"/>
          <w:sz w:val="24"/>
          <w:szCs w:val="24"/>
        </w:rPr>
        <w:tab/>
      </w:r>
      <w:r w:rsidR="0094111D">
        <w:rPr>
          <w:spacing w:val="-3"/>
          <w:sz w:val="24"/>
          <w:szCs w:val="24"/>
        </w:rPr>
        <w:t>The Commission approved the Respondent’s Smart M</w:t>
      </w:r>
      <w:r w:rsidR="00F86D7D">
        <w:rPr>
          <w:spacing w:val="-3"/>
          <w:sz w:val="24"/>
          <w:szCs w:val="24"/>
        </w:rPr>
        <w:t>eter P</w:t>
      </w:r>
      <w:r w:rsidR="0094111D">
        <w:rPr>
          <w:spacing w:val="-3"/>
          <w:sz w:val="24"/>
          <w:szCs w:val="24"/>
        </w:rPr>
        <w:t xml:space="preserve">lan by </w:t>
      </w:r>
      <w:r w:rsidR="0094111D" w:rsidRPr="0094111D">
        <w:rPr>
          <w:spacing w:val="-3"/>
          <w:sz w:val="24"/>
          <w:szCs w:val="24"/>
        </w:rPr>
        <w:t xml:space="preserve">order entered </w:t>
      </w:r>
      <w:r w:rsidR="005E2CB0">
        <w:rPr>
          <w:spacing w:val="-3"/>
          <w:sz w:val="24"/>
          <w:szCs w:val="24"/>
        </w:rPr>
        <w:t>September 3, 2015</w:t>
      </w:r>
      <w:r w:rsidR="00F86D7D">
        <w:rPr>
          <w:spacing w:val="-3"/>
          <w:sz w:val="24"/>
          <w:szCs w:val="24"/>
        </w:rPr>
        <w:t xml:space="preserve">.  </w:t>
      </w:r>
      <w:r w:rsidR="005E2CB0">
        <w:rPr>
          <w:i/>
          <w:spacing w:val="-3"/>
          <w:sz w:val="24"/>
          <w:szCs w:val="24"/>
        </w:rPr>
        <w:t xml:space="preserve">Petition of PPL Electric Utilities Corp. for Approval of Its Smart Meter Technology Procurement and Installation Plan, </w:t>
      </w:r>
      <w:r w:rsidR="005E2CB0">
        <w:rPr>
          <w:spacing w:val="-3"/>
          <w:sz w:val="24"/>
          <w:szCs w:val="24"/>
        </w:rPr>
        <w:t xml:space="preserve">Docket No. M-2014-2430781 (Order entered September 3, 2015).  </w:t>
      </w:r>
      <w:r w:rsidR="0094111D">
        <w:rPr>
          <w:spacing w:val="-3"/>
          <w:sz w:val="24"/>
          <w:szCs w:val="24"/>
        </w:rPr>
        <w:t>The implementation of the Respondent’</w:t>
      </w:r>
      <w:r w:rsidR="0094111D" w:rsidRPr="00F538B7">
        <w:rPr>
          <w:spacing w:val="-3"/>
          <w:sz w:val="24"/>
          <w:szCs w:val="24"/>
        </w:rPr>
        <w:t>s</w:t>
      </w:r>
      <w:r w:rsidR="009907E5" w:rsidRPr="00F538B7">
        <w:rPr>
          <w:spacing w:val="-3"/>
          <w:sz w:val="24"/>
          <w:szCs w:val="24"/>
        </w:rPr>
        <w:t xml:space="preserve"> Smart Meter Deployment Plan and the approval of the costs associated with its implementation </w:t>
      </w:r>
      <w:r w:rsidR="009907E5">
        <w:rPr>
          <w:spacing w:val="-3"/>
          <w:sz w:val="24"/>
          <w:szCs w:val="24"/>
        </w:rPr>
        <w:t xml:space="preserve">have been found by the Commission to be </w:t>
      </w:r>
      <w:r w:rsidR="009907E5" w:rsidRPr="00F538B7">
        <w:rPr>
          <w:spacing w:val="-3"/>
          <w:sz w:val="24"/>
          <w:szCs w:val="24"/>
        </w:rPr>
        <w:t xml:space="preserve">in accordance with Act 129 of 2008, 66 Pa. C.S. § 2807(f). </w:t>
      </w:r>
      <w:r w:rsidR="009907E5">
        <w:rPr>
          <w:spacing w:val="-3"/>
          <w:sz w:val="24"/>
          <w:szCs w:val="24"/>
        </w:rPr>
        <w:t xml:space="preserve">  </w:t>
      </w:r>
      <w:r w:rsidR="0094111D">
        <w:rPr>
          <w:spacing w:val="-3"/>
          <w:sz w:val="24"/>
          <w:szCs w:val="24"/>
        </w:rPr>
        <w:t>The Respondent is required by statute and</w:t>
      </w:r>
      <w:r w:rsidR="009907E5" w:rsidRPr="00F538B7">
        <w:rPr>
          <w:spacing w:val="-3"/>
          <w:sz w:val="24"/>
          <w:szCs w:val="24"/>
        </w:rPr>
        <w:t xml:space="preserve"> Commission Order</w:t>
      </w:r>
      <w:r w:rsidR="000E7231">
        <w:rPr>
          <w:spacing w:val="-3"/>
          <w:sz w:val="24"/>
          <w:szCs w:val="24"/>
        </w:rPr>
        <w:t xml:space="preserve"> to implement a Smart Meter Program, install smart m</w:t>
      </w:r>
      <w:r w:rsidR="009907E5" w:rsidRPr="00F538B7">
        <w:rPr>
          <w:spacing w:val="-3"/>
          <w:sz w:val="24"/>
          <w:szCs w:val="24"/>
        </w:rPr>
        <w:t xml:space="preserve">eters throughout is service territory, and to charge a SMT Surcharge to all of its metered customers.  </w:t>
      </w:r>
    </w:p>
    <w:p w:rsidR="009907E5" w:rsidRPr="00F538B7" w:rsidRDefault="009907E5" w:rsidP="00D70A06">
      <w:pPr>
        <w:spacing w:line="360" w:lineRule="auto"/>
        <w:ind w:firstLine="1440"/>
        <w:rPr>
          <w:sz w:val="24"/>
          <w:szCs w:val="24"/>
        </w:rPr>
      </w:pPr>
    </w:p>
    <w:p w:rsidR="001C67E4" w:rsidRDefault="00853F5E" w:rsidP="00D70A06">
      <w:pPr>
        <w:spacing w:line="360" w:lineRule="auto"/>
        <w:ind w:firstLine="1440"/>
        <w:rPr>
          <w:sz w:val="24"/>
          <w:szCs w:val="24"/>
        </w:rPr>
      </w:pPr>
      <w:r>
        <w:rPr>
          <w:sz w:val="24"/>
          <w:szCs w:val="24"/>
        </w:rPr>
        <w:t>Recently</w:t>
      </w:r>
      <w:r w:rsidR="00B473D2">
        <w:rPr>
          <w:sz w:val="24"/>
          <w:szCs w:val="24"/>
        </w:rPr>
        <w:t xml:space="preserve">, the Commonwealth Court held that a </w:t>
      </w:r>
      <w:r>
        <w:rPr>
          <w:sz w:val="24"/>
          <w:szCs w:val="24"/>
        </w:rPr>
        <w:t xml:space="preserve">similar </w:t>
      </w:r>
      <w:r w:rsidR="00B473D2">
        <w:rPr>
          <w:sz w:val="24"/>
          <w:szCs w:val="24"/>
        </w:rPr>
        <w:t xml:space="preserve">claim </w:t>
      </w:r>
      <w:r>
        <w:rPr>
          <w:sz w:val="24"/>
          <w:szCs w:val="24"/>
        </w:rPr>
        <w:t xml:space="preserve">by a PECO Energy Company customer </w:t>
      </w:r>
      <w:r w:rsidR="00B473D2">
        <w:rPr>
          <w:sz w:val="24"/>
          <w:szCs w:val="24"/>
        </w:rPr>
        <w:t xml:space="preserve">that smart meters have a negative health impact is not legally insufficient pursuant to 66 Pa. C.S. § 1501, which requires utilities </w:t>
      </w:r>
      <w:r w:rsidR="000C193D">
        <w:rPr>
          <w:sz w:val="24"/>
          <w:szCs w:val="24"/>
        </w:rPr>
        <w:t xml:space="preserve">to maintain adequate, efficient, safe and reasonable service and facilities for their customers.  </w:t>
      </w:r>
      <w:r w:rsidR="000C193D">
        <w:rPr>
          <w:i/>
          <w:sz w:val="24"/>
          <w:szCs w:val="24"/>
        </w:rPr>
        <w:t xml:space="preserve">Antonio </w:t>
      </w:r>
      <w:r w:rsidR="000C193D" w:rsidRPr="001C67E4">
        <w:rPr>
          <w:i/>
          <w:sz w:val="24"/>
          <w:szCs w:val="24"/>
        </w:rPr>
        <w:t xml:space="preserve">Romeo </w:t>
      </w:r>
      <w:r w:rsidR="000C193D">
        <w:rPr>
          <w:i/>
          <w:sz w:val="24"/>
          <w:szCs w:val="24"/>
        </w:rPr>
        <w:t>v. Pa. Pub. Util. Comm’n</w:t>
      </w:r>
      <w:r w:rsidR="001C67E4">
        <w:rPr>
          <w:i/>
          <w:sz w:val="24"/>
          <w:szCs w:val="24"/>
        </w:rPr>
        <w:t xml:space="preserve">, </w:t>
      </w:r>
      <w:r w:rsidR="001C67E4">
        <w:rPr>
          <w:sz w:val="24"/>
          <w:szCs w:val="24"/>
        </w:rPr>
        <w:t>No. 498 C.D. 2016</w:t>
      </w:r>
      <w:r w:rsidR="000C193D">
        <w:rPr>
          <w:sz w:val="24"/>
          <w:szCs w:val="24"/>
        </w:rPr>
        <w:t xml:space="preserve"> (</w:t>
      </w:r>
      <w:r w:rsidR="001C67E4">
        <w:rPr>
          <w:sz w:val="24"/>
          <w:szCs w:val="24"/>
        </w:rPr>
        <w:t>February 8,</w:t>
      </w:r>
      <w:r w:rsidR="000C193D">
        <w:rPr>
          <w:sz w:val="24"/>
          <w:szCs w:val="24"/>
        </w:rPr>
        <w:t xml:space="preserve"> 2017).  </w:t>
      </w:r>
      <w:r w:rsidR="001C67E4">
        <w:rPr>
          <w:sz w:val="24"/>
          <w:szCs w:val="24"/>
        </w:rPr>
        <w:t xml:space="preserve">I infer from the </w:t>
      </w:r>
      <w:r w:rsidR="001C67E4" w:rsidRPr="001C67E4">
        <w:rPr>
          <w:i/>
          <w:sz w:val="24"/>
          <w:szCs w:val="24"/>
        </w:rPr>
        <w:t xml:space="preserve">Romeo </w:t>
      </w:r>
      <w:r w:rsidR="001C67E4">
        <w:rPr>
          <w:sz w:val="24"/>
          <w:szCs w:val="24"/>
        </w:rPr>
        <w:t xml:space="preserve">decision, that it is legally sufficient to plead the injunctive relief requested and the claim that smart meters </w:t>
      </w:r>
      <w:r>
        <w:rPr>
          <w:sz w:val="24"/>
          <w:szCs w:val="24"/>
        </w:rPr>
        <w:t>are</w:t>
      </w:r>
      <w:r w:rsidR="001C67E4">
        <w:rPr>
          <w:sz w:val="24"/>
          <w:szCs w:val="24"/>
        </w:rPr>
        <w:t xml:space="preserve"> generally unsafe, unhealthy, and the installation of them </w:t>
      </w:r>
      <w:r>
        <w:rPr>
          <w:sz w:val="24"/>
          <w:szCs w:val="24"/>
        </w:rPr>
        <w:t>is</w:t>
      </w:r>
      <w:r w:rsidR="001C67E4">
        <w:rPr>
          <w:sz w:val="24"/>
          <w:szCs w:val="24"/>
        </w:rPr>
        <w:t xml:space="preserve"> unreasonable service in violation of 66 Pa. C.S. § 1501.  </w:t>
      </w:r>
      <w:r w:rsidR="00947D46">
        <w:rPr>
          <w:sz w:val="24"/>
          <w:szCs w:val="24"/>
        </w:rPr>
        <w:t xml:space="preserve">However, </w:t>
      </w:r>
      <w:r w:rsidR="00411D55">
        <w:rPr>
          <w:sz w:val="24"/>
          <w:szCs w:val="24"/>
        </w:rPr>
        <w:t xml:space="preserve">regarding the claim for damages, </w:t>
      </w:r>
      <w:r w:rsidR="00947D46">
        <w:rPr>
          <w:sz w:val="24"/>
          <w:szCs w:val="24"/>
        </w:rPr>
        <w:t xml:space="preserve">I agree with Respondent that the Commission has no authority to award damages in the amount of $1,000 per occupant per day as Complainant requests.  </w:t>
      </w:r>
      <w:r>
        <w:rPr>
          <w:sz w:val="24"/>
          <w:szCs w:val="24"/>
        </w:rPr>
        <w:t xml:space="preserve">Accordingly, Respondent’s Preliminary Objections shall be </w:t>
      </w:r>
      <w:r w:rsidR="00947D46">
        <w:rPr>
          <w:sz w:val="24"/>
          <w:szCs w:val="24"/>
        </w:rPr>
        <w:t xml:space="preserve">granted in part and </w:t>
      </w:r>
      <w:r>
        <w:rPr>
          <w:sz w:val="24"/>
          <w:szCs w:val="24"/>
        </w:rPr>
        <w:t xml:space="preserve">denied </w:t>
      </w:r>
      <w:r w:rsidR="00947D46">
        <w:rPr>
          <w:sz w:val="24"/>
          <w:szCs w:val="24"/>
        </w:rPr>
        <w:t xml:space="preserve">in part </w:t>
      </w:r>
      <w:r>
        <w:rPr>
          <w:sz w:val="24"/>
          <w:szCs w:val="24"/>
        </w:rPr>
        <w:t xml:space="preserve">and this case shall be set for hearing.  </w:t>
      </w:r>
    </w:p>
    <w:p w:rsidR="00853F5E" w:rsidRDefault="00853F5E" w:rsidP="00D70A06">
      <w:pPr>
        <w:spacing w:line="360" w:lineRule="auto"/>
        <w:ind w:firstLine="1440"/>
        <w:rPr>
          <w:sz w:val="24"/>
          <w:szCs w:val="24"/>
        </w:rPr>
      </w:pPr>
    </w:p>
    <w:p w:rsidR="00A76AD7" w:rsidRPr="00F538B7" w:rsidRDefault="00A76AD7" w:rsidP="00D70A06">
      <w:pPr>
        <w:spacing w:line="360" w:lineRule="auto"/>
        <w:jc w:val="center"/>
        <w:outlineLvl w:val="0"/>
        <w:rPr>
          <w:sz w:val="24"/>
          <w:szCs w:val="24"/>
          <w:u w:val="single"/>
        </w:rPr>
      </w:pPr>
      <w:r w:rsidRPr="00F538B7">
        <w:rPr>
          <w:sz w:val="24"/>
          <w:szCs w:val="24"/>
          <w:u w:val="single"/>
        </w:rPr>
        <w:t>ORDER</w:t>
      </w:r>
    </w:p>
    <w:p w:rsidR="00DB12AB" w:rsidRDefault="00DB12AB" w:rsidP="00D70A06">
      <w:pPr>
        <w:spacing w:line="360" w:lineRule="auto"/>
        <w:ind w:firstLine="1440"/>
        <w:outlineLvl w:val="0"/>
        <w:rPr>
          <w:sz w:val="24"/>
          <w:szCs w:val="24"/>
        </w:rPr>
      </w:pPr>
    </w:p>
    <w:p w:rsidR="008A506D" w:rsidRPr="00F538B7" w:rsidRDefault="008A506D" w:rsidP="00D70A06">
      <w:pPr>
        <w:spacing w:line="360" w:lineRule="auto"/>
        <w:ind w:firstLine="1440"/>
        <w:outlineLvl w:val="0"/>
        <w:rPr>
          <w:sz w:val="24"/>
          <w:szCs w:val="24"/>
        </w:rPr>
      </w:pPr>
    </w:p>
    <w:p w:rsidR="00A76AD7" w:rsidRPr="00F538B7" w:rsidRDefault="00A76AD7" w:rsidP="00D70A06">
      <w:pPr>
        <w:spacing w:line="360" w:lineRule="auto"/>
        <w:ind w:firstLine="1440"/>
        <w:outlineLvl w:val="0"/>
        <w:rPr>
          <w:sz w:val="24"/>
          <w:szCs w:val="24"/>
        </w:rPr>
      </w:pPr>
      <w:r w:rsidRPr="00F538B7">
        <w:rPr>
          <w:sz w:val="24"/>
          <w:szCs w:val="24"/>
        </w:rPr>
        <w:t>THEREFORE,</w:t>
      </w:r>
    </w:p>
    <w:p w:rsidR="00A76AD7" w:rsidRPr="00F538B7" w:rsidRDefault="00A76AD7" w:rsidP="00D70A06">
      <w:pPr>
        <w:spacing w:line="360" w:lineRule="auto"/>
        <w:ind w:firstLine="1440"/>
        <w:outlineLvl w:val="0"/>
        <w:rPr>
          <w:sz w:val="24"/>
          <w:szCs w:val="24"/>
        </w:rPr>
      </w:pPr>
    </w:p>
    <w:p w:rsidR="002B6B99" w:rsidRPr="00F538B7" w:rsidRDefault="002B6B99" w:rsidP="00D70A06">
      <w:pPr>
        <w:spacing w:line="360" w:lineRule="auto"/>
        <w:ind w:firstLine="1440"/>
        <w:outlineLvl w:val="0"/>
        <w:rPr>
          <w:sz w:val="24"/>
          <w:szCs w:val="24"/>
        </w:rPr>
      </w:pPr>
      <w:r w:rsidRPr="00F538B7">
        <w:rPr>
          <w:sz w:val="24"/>
          <w:szCs w:val="24"/>
        </w:rPr>
        <w:t>IT IS ORDERED:</w:t>
      </w:r>
    </w:p>
    <w:p w:rsidR="002B6B99" w:rsidRPr="00F538B7" w:rsidRDefault="002B6B99" w:rsidP="00D70A06">
      <w:pPr>
        <w:spacing w:line="360" w:lineRule="auto"/>
        <w:ind w:firstLine="1440"/>
        <w:rPr>
          <w:sz w:val="24"/>
          <w:szCs w:val="24"/>
        </w:rPr>
      </w:pPr>
    </w:p>
    <w:p w:rsidR="002B6B99" w:rsidRPr="00F538B7" w:rsidRDefault="002B6B99" w:rsidP="00D70A06">
      <w:pPr>
        <w:spacing w:line="360" w:lineRule="auto"/>
        <w:ind w:firstLine="1440"/>
        <w:rPr>
          <w:sz w:val="24"/>
          <w:szCs w:val="24"/>
        </w:rPr>
      </w:pPr>
      <w:r w:rsidRPr="00F538B7">
        <w:rPr>
          <w:sz w:val="24"/>
          <w:szCs w:val="24"/>
        </w:rPr>
        <w:t>1.</w:t>
      </w:r>
      <w:r w:rsidRPr="00F538B7">
        <w:rPr>
          <w:sz w:val="24"/>
          <w:szCs w:val="24"/>
        </w:rPr>
        <w:tab/>
        <w:t xml:space="preserve">That the </w:t>
      </w:r>
      <w:r w:rsidR="00441338" w:rsidRPr="00F538B7">
        <w:rPr>
          <w:sz w:val="24"/>
          <w:szCs w:val="24"/>
        </w:rPr>
        <w:t xml:space="preserve">Preliminary Objections </w:t>
      </w:r>
      <w:r w:rsidRPr="00F538B7">
        <w:rPr>
          <w:sz w:val="24"/>
          <w:szCs w:val="24"/>
        </w:rPr>
        <w:t xml:space="preserve">filed by </w:t>
      </w:r>
      <w:r w:rsidR="00853F5E">
        <w:rPr>
          <w:sz w:val="24"/>
          <w:szCs w:val="24"/>
        </w:rPr>
        <w:t xml:space="preserve">PPL </w:t>
      </w:r>
      <w:r w:rsidR="00947D46">
        <w:rPr>
          <w:sz w:val="24"/>
          <w:szCs w:val="24"/>
        </w:rPr>
        <w:t xml:space="preserve">Electric </w:t>
      </w:r>
      <w:r w:rsidR="00853F5E">
        <w:rPr>
          <w:sz w:val="24"/>
          <w:szCs w:val="24"/>
        </w:rPr>
        <w:t>Utilities Corporation at Docket No. C-201</w:t>
      </w:r>
      <w:r w:rsidR="00947D46">
        <w:rPr>
          <w:sz w:val="24"/>
          <w:szCs w:val="24"/>
        </w:rPr>
        <w:t>8</w:t>
      </w:r>
      <w:r w:rsidR="00853F5E">
        <w:rPr>
          <w:sz w:val="24"/>
          <w:szCs w:val="24"/>
        </w:rPr>
        <w:t>-</w:t>
      </w:r>
      <w:r w:rsidR="00947D46">
        <w:rPr>
          <w:sz w:val="24"/>
          <w:szCs w:val="24"/>
        </w:rPr>
        <w:t>3005053 are granted in part and denied in part</w:t>
      </w:r>
      <w:r w:rsidR="00853F5E">
        <w:rPr>
          <w:sz w:val="24"/>
          <w:szCs w:val="24"/>
        </w:rPr>
        <w:t xml:space="preserve">.  </w:t>
      </w:r>
    </w:p>
    <w:p w:rsidR="002B6B99" w:rsidRPr="00F538B7" w:rsidRDefault="002B6B99" w:rsidP="00D70A06">
      <w:pPr>
        <w:spacing w:line="360" w:lineRule="auto"/>
        <w:ind w:firstLine="1440"/>
        <w:rPr>
          <w:sz w:val="24"/>
          <w:szCs w:val="24"/>
        </w:rPr>
      </w:pPr>
    </w:p>
    <w:p w:rsidR="00947D46" w:rsidRDefault="002B6B99" w:rsidP="00D70A06">
      <w:pPr>
        <w:spacing w:line="360" w:lineRule="auto"/>
        <w:ind w:firstLine="1440"/>
        <w:rPr>
          <w:sz w:val="24"/>
          <w:szCs w:val="24"/>
        </w:rPr>
      </w:pPr>
      <w:r w:rsidRPr="00F538B7">
        <w:rPr>
          <w:sz w:val="24"/>
          <w:szCs w:val="24"/>
        </w:rPr>
        <w:t>2.</w:t>
      </w:r>
      <w:r w:rsidRPr="00F538B7">
        <w:rPr>
          <w:sz w:val="24"/>
          <w:szCs w:val="24"/>
        </w:rPr>
        <w:tab/>
        <w:t xml:space="preserve">That the </w:t>
      </w:r>
      <w:r w:rsidR="00947D46">
        <w:rPr>
          <w:sz w:val="24"/>
          <w:szCs w:val="24"/>
        </w:rPr>
        <w:t>request for damages is stricken from the Complaint</w:t>
      </w:r>
      <w:r w:rsidR="00411D55">
        <w:rPr>
          <w:sz w:val="24"/>
          <w:szCs w:val="24"/>
        </w:rPr>
        <w:t xml:space="preserve"> at Docket No. C-2018-3005053</w:t>
      </w:r>
      <w:r w:rsidR="00947D46">
        <w:rPr>
          <w:sz w:val="24"/>
          <w:szCs w:val="24"/>
        </w:rPr>
        <w:t>.</w:t>
      </w:r>
    </w:p>
    <w:p w:rsidR="00947D46" w:rsidRDefault="00947D46" w:rsidP="00D70A06">
      <w:pPr>
        <w:spacing w:line="360" w:lineRule="auto"/>
        <w:ind w:firstLine="1440"/>
        <w:rPr>
          <w:sz w:val="24"/>
          <w:szCs w:val="24"/>
        </w:rPr>
      </w:pPr>
    </w:p>
    <w:p w:rsidR="002B6B99" w:rsidRPr="00F538B7" w:rsidRDefault="00947D46" w:rsidP="00D70A06">
      <w:pPr>
        <w:spacing w:line="360" w:lineRule="auto"/>
        <w:ind w:firstLine="1440"/>
        <w:rPr>
          <w:sz w:val="24"/>
          <w:szCs w:val="24"/>
        </w:rPr>
      </w:pPr>
      <w:r>
        <w:rPr>
          <w:sz w:val="24"/>
          <w:szCs w:val="24"/>
        </w:rPr>
        <w:t>3.</w:t>
      </w:r>
      <w:r>
        <w:rPr>
          <w:sz w:val="24"/>
          <w:szCs w:val="24"/>
        </w:rPr>
        <w:tab/>
        <w:t>That the remain</w:t>
      </w:r>
      <w:r w:rsidR="00411D55">
        <w:rPr>
          <w:sz w:val="24"/>
          <w:szCs w:val="24"/>
        </w:rPr>
        <w:t xml:space="preserve">ing issues </w:t>
      </w:r>
      <w:r>
        <w:rPr>
          <w:sz w:val="24"/>
          <w:szCs w:val="24"/>
        </w:rPr>
        <w:t xml:space="preserve">of the </w:t>
      </w:r>
      <w:r w:rsidR="002B6B99" w:rsidRPr="00F538B7">
        <w:rPr>
          <w:sz w:val="24"/>
          <w:szCs w:val="24"/>
        </w:rPr>
        <w:t xml:space="preserve">Formal Complaint filed by </w:t>
      </w:r>
      <w:r>
        <w:rPr>
          <w:sz w:val="24"/>
          <w:szCs w:val="24"/>
        </w:rPr>
        <w:t xml:space="preserve">Kimberly </w:t>
      </w:r>
      <w:proofErr w:type="spellStart"/>
      <w:r>
        <w:rPr>
          <w:sz w:val="24"/>
          <w:szCs w:val="24"/>
        </w:rPr>
        <w:t>Rineer</w:t>
      </w:r>
      <w:proofErr w:type="spellEnd"/>
      <w:r>
        <w:rPr>
          <w:sz w:val="24"/>
          <w:szCs w:val="24"/>
        </w:rPr>
        <w:t xml:space="preserve"> against PPL Electric Utilities Corporation</w:t>
      </w:r>
      <w:r w:rsidR="00853F5E">
        <w:rPr>
          <w:sz w:val="24"/>
          <w:szCs w:val="24"/>
        </w:rPr>
        <w:t xml:space="preserve"> shall proceed to hearing.  </w:t>
      </w:r>
    </w:p>
    <w:p w:rsidR="00903694" w:rsidRPr="00F538B7" w:rsidRDefault="00903694" w:rsidP="00D70A06">
      <w:pPr>
        <w:spacing w:line="360" w:lineRule="auto"/>
        <w:ind w:firstLine="1440"/>
        <w:outlineLvl w:val="0"/>
        <w:rPr>
          <w:sz w:val="24"/>
          <w:szCs w:val="24"/>
        </w:rPr>
      </w:pPr>
    </w:p>
    <w:p w:rsidR="00A76AD7" w:rsidRPr="00F538B7" w:rsidRDefault="00A76AD7" w:rsidP="00D70A06">
      <w:pPr>
        <w:spacing w:line="360" w:lineRule="auto"/>
        <w:outlineLvl w:val="0"/>
        <w:rPr>
          <w:sz w:val="24"/>
          <w:szCs w:val="24"/>
        </w:rPr>
      </w:pPr>
    </w:p>
    <w:p w:rsidR="006C6130" w:rsidRDefault="006C6130" w:rsidP="00D70A06">
      <w:pPr>
        <w:outlineLvl w:val="0"/>
        <w:rPr>
          <w:snapToGrid w:val="0"/>
          <w:sz w:val="24"/>
          <w:szCs w:val="24"/>
          <w:u w:val="single"/>
        </w:rPr>
      </w:pPr>
      <w:r>
        <w:rPr>
          <w:snapToGrid w:val="0"/>
          <w:sz w:val="24"/>
          <w:szCs w:val="24"/>
        </w:rPr>
        <w:t xml:space="preserve">Date: </w:t>
      </w:r>
      <w:r w:rsidR="00947D46">
        <w:rPr>
          <w:snapToGrid w:val="0"/>
          <w:sz w:val="24"/>
          <w:szCs w:val="24"/>
          <w:u w:val="single"/>
        </w:rPr>
        <w:t xml:space="preserve">November </w:t>
      </w:r>
      <w:r w:rsidR="00437204">
        <w:rPr>
          <w:snapToGrid w:val="0"/>
          <w:sz w:val="24"/>
          <w:szCs w:val="24"/>
          <w:u w:val="single"/>
        </w:rPr>
        <w:t>28</w:t>
      </w:r>
      <w:r w:rsidR="00947D46">
        <w:rPr>
          <w:snapToGrid w:val="0"/>
          <w:sz w:val="24"/>
          <w:szCs w:val="24"/>
          <w:u w:val="single"/>
        </w:rPr>
        <w:t>, 2018</w:t>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u w:val="single"/>
        </w:rPr>
        <w:tab/>
      </w:r>
      <w:r>
        <w:rPr>
          <w:snapToGrid w:val="0"/>
          <w:sz w:val="24"/>
          <w:szCs w:val="24"/>
          <w:u w:val="single"/>
        </w:rPr>
        <w:tab/>
      </w:r>
      <w:r w:rsidR="00411D55">
        <w:rPr>
          <w:snapToGrid w:val="0"/>
          <w:sz w:val="24"/>
          <w:szCs w:val="24"/>
          <w:u w:val="single"/>
        </w:rPr>
        <w:t>/s/</w:t>
      </w:r>
      <w:r>
        <w:rPr>
          <w:snapToGrid w:val="0"/>
          <w:sz w:val="24"/>
          <w:szCs w:val="24"/>
          <w:u w:val="single"/>
        </w:rPr>
        <w:tab/>
      </w:r>
      <w:r>
        <w:rPr>
          <w:snapToGrid w:val="0"/>
          <w:sz w:val="24"/>
          <w:szCs w:val="24"/>
          <w:u w:val="single"/>
        </w:rPr>
        <w:tab/>
      </w:r>
      <w:r>
        <w:rPr>
          <w:snapToGrid w:val="0"/>
          <w:sz w:val="24"/>
          <w:szCs w:val="24"/>
          <w:u w:val="single"/>
        </w:rPr>
        <w:tab/>
      </w:r>
    </w:p>
    <w:p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Elizabeth H. Barnes</w:t>
      </w:r>
    </w:p>
    <w:p w:rsidR="006C6130" w:rsidRDefault="006C6130" w:rsidP="00D70A06">
      <w:pPr>
        <w:outlineLvl w:val="0"/>
        <w:rPr>
          <w:snapToGrid w:val="0"/>
          <w:sz w:val="24"/>
          <w:szCs w:val="24"/>
        </w:rPr>
      </w:pP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r>
      <w:r>
        <w:rPr>
          <w:snapToGrid w:val="0"/>
          <w:sz w:val="24"/>
          <w:szCs w:val="24"/>
        </w:rPr>
        <w:tab/>
        <w:t>Administrative Law Judge</w:t>
      </w:r>
    </w:p>
    <w:p w:rsidR="00792F54" w:rsidRDefault="00792F54" w:rsidP="00D70A06">
      <w:pPr>
        <w:outlineLvl w:val="0"/>
        <w:rPr>
          <w:snapToGrid w:val="0"/>
          <w:sz w:val="24"/>
          <w:szCs w:val="24"/>
        </w:rPr>
        <w:sectPr w:rsidR="00792F54" w:rsidSect="00792F54">
          <w:footerReference w:type="default" r:id="rId7"/>
          <w:pgSz w:w="12240" w:h="15840"/>
          <w:pgMar w:top="1296" w:right="1440" w:bottom="1296" w:left="1440" w:header="720" w:footer="720" w:gutter="0"/>
          <w:cols w:space="720"/>
          <w:titlePg/>
          <w:docGrid w:linePitch="360"/>
        </w:sectPr>
      </w:pPr>
    </w:p>
    <w:p w:rsidR="00792F54" w:rsidRDefault="00792F54" w:rsidP="00792F54">
      <w:r>
        <w:rPr>
          <w:rFonts w:ascii="Microsoft Sans Serif" w:eastAsia="Microsoft Sans Serif" w:hAnsi="Microsoft Sans Serif" w:cs="Microsoft Sans Serif"/>
          <w:b/>
          <w:sz w:val="24"/>
          <w:u w:val="single"/>
        </w:rPr>
        <w:t>C-2018-3005053 - KIMBERLY RINEER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KIMBERLY RINEER</w:t>
      </w:r>
      <w:r>
        <w:rPr>
          <w:rFonts w:ascii="Microsoft Sans Serif" w:eastAsia="Microsoft Sans Serif" w:hAnsi="Microsoft Sans Serif" w:cs="Microsoft Sans Serif"/>
          <w:sz w:val="24"/>
        </w:rPr>
        <w:cr/>
        <w:t>2424 LITITZ PIKE</w:t>
      </w:r>
      <w:r>
        <w:rPr>
          <w:rFonts w:ascii="Microsoft Sans Serif" w:eastAsia="Microsoft Sans Serif" w:hAnsi="Microsoft Sans Serif" w:cs="Microsoft Sans Serif"/>
          <w:sz w:val="24"/>
        </w:rPr>
        <w:cr/>
        <w:t>LANCASTER PA  17601</w:t>
      </w:r>
      <w:r>
        <w:rPr>
          <w:rFonts w:ascii="Microsoft Sans Serif" w:eastAsia="Microsoft Sans Serif" w:hAnsi="Microsoft Sans Serif" w:cs="Microsoft Sans Serif"/>
          <w:sz w:val="24"/>
        </w:rPr>
        <w:cr/>
      </w:r>
      <w:r w:rsidRPr="00E07621">
        <w:rPr>
          <w:rFonts w:ascii="Microsoft Sans Serif" w:eastAsia="Microsoft Sans Serif" w:hAnsi="Microsoft Sans Serif" w:cs="Microsoft Sans Serif"/>
          <w:b/>
          <w:sz w:val="24"/>
        </w:rPr>
        <w:t>717.517.2937</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br/>
        <w:t>GARRET P LENT ESQUIRE</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E07621">
        <w:rPr>
          <w:rFonts w:ascii="Microsoft Sans Serif" w:eastAsia="Microsoft Sans Serif" w:hAnsi="Microsoft Sans Serif" w:cs="Microsoft Sans Serif"/>
          <w:b/>
          <w:sz w:val="24"/>
        </w:rPr>
        <w:t>717.612.6052</w:t>
      </w:r>
      <w:r w:rsidRPr="00E07621">
        <w:rPr>
          <w:rFonts w:ascii="Microsoft Sans Serif" w:eastAsia="Microsoft Sans Serif" w:hAnsi="Microsoft Sans Serif" w:cs="Microsoft Sans Serif"/>
          <w:b/>
          <w:sz w:val="24"/>
        </w:rPr>
        <w:br/>
        <w:t>717.612.6032</w:t>
      </w:r>
      <w:r w:rsidRPr="00E07621">
        <w:rPr>
          <w:rFonts w:ascii="Microsoft Sans Serif" w:eastAsia="Microsoft Sans Serif" w:hAnsi="Microsoft Sans Serif" w:cs="Microsoft Sans Serif"/>
          <w:b/>
          <w:sz w:val="24"/>
        </w:rPr>
        <w:cr/>
      </w:r>
      <w:r w:rsidRPr="00E07621">
        <w:rPr>
          <w:rFonts w:ascii="Microsoft Sans Serif" w:eastAsia="Microsoft Sans Serif" w:hAnsi="Microsoft Sans Serif" w:cs="Microsoft Sans Serif"/>
          <w:b/>
          <w:i/>
          <w:sz w:val="24"/>
          <w:u w:val="single"/>
        </w:rPr>
        <w:t>ACCEPTS E-SERVICE</w:t>
      </w:r>
    </w:p>
    <w:p w:rsidR="00792F54" w:rsidRDefault="00792F54" w:rsidP="00792F54"/>
    <w:p w:rsidR="00792F54" w:rsidRPr="006C6130" w:rsidRDefault="00792F54" w:rsidP="00D70A06">
      <w:pPr>
        <w:outlineLvl w:val="0"/>
        <w:rPr>
          <w:snapToGrid w:val="0"/>
          <w:sz w:val="24"/>
          <w:szCs w:val="24"/>
        </w:rPr>
      </w:pPr>
      <w:bookmarkStart w:id="0" w:name="_GoBack"/>
      <w:bookmarkEnd w:id="0"/>
    </w:p>
    <w:sectPr w:rsidR="00792F54" w:rsidRPr="006C613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38F7" w:rsidRDefault="000938F7" w:rsidP="00F01477">
      <w:r>
        <w:separator/>
      </w:r>
    </w:p>
  </w:endnote>
  <w:endnote w:type="continuationSeparator" w:id="0">
    <w:p w:rsidR="000938F7" w:rsidRDefault="000938F7" w:rsidP="00F01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73D" w:rsidRPr="00C7592A" w:rsidRDefault="0087473D">
    <w:pPr>
      <w:pStyle w:val="Footer"/>
      <w:jc w:val="center"/>
      <w:rPr>
        <w:sz w:val="20"/>
      </w:rPr>
    </w:pPr>
    <w:r w:rsidRPr="00C7592A">
      <w:rPr>
        <w:sz w:val="20"/>
      </w:rPr>
      <w:fldChar w:fldCharType="begin"/>
    </w:r>
    <w:r w:rsidRPr="00C7592A">
      <w:rPr>
        <w:sz w:val="20"/>
      </w:rPr>
      <w:instrText xml:space="preserve"> PAGE   \* MERGEFORMAT </w:instrText>
    </w:r>
    <w:r w:rsidRPr="00C7592A">
      <w:rPr>
        <w:sz w:val="20"/>
      </w:rPr>
      <w:fldChar w:fldCharType="separate"/>
    </w:r>
    <w:r w:rsidR="00DB22D4">
      <w:rPr>
        <w:noProof/>
        <w:sz w:val="20"/>
      </w:rPr>
      <w:t>6</w:t>
    </w:r>
    <w:r w:rsidRPr="00C7592A">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2F54" w:rsidRPr="00792F54" w:rsidRDefault="00792F54" w:rsidP="00792F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38F7" w:rsidRDefault="000938F7" w:rsidP="00F01477">
      <w:r>
        <w:separator/>
      </w:r>
    </w:p>
  </w:footnote>
  <w:footnote w:type="continuationSeparator" w:id="0">
    <w:p w:rsidR="000938F7" w:rsidRDefault="000938F7" w:rsidP="00F014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3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1"/>
    <w:rsid w:val="000013CB"/>
    <w:rsid w:val="00004814"/>
    <w:rsid w:val="00022562"/>
    <w:rsid w:val="00022765"/>
    <w:rsid w:val="00033C16"/>
    <w:rsid w:val="00034B41"/>
    <w:rsid w:val="00041D46"/>
    <w:rsid w:val="00051044"/>
    <w:rsid w:val="00072E55"/>
    <w:rsid w:val="00076451"/>
    <w:rsid w:val="000773B2"/>
    <w:rsid w:val="00077680"/>
    <w:rsid w:val="000938F7"/>
    <w:rsid w:val="00096CC5"/>
    <w:rsid w:val="000A18DF"/>
    <w:rsid w:val="000B2CD1"/>
    <w:rsid w:val="000C193D"/>
    <w:rsid w:val="000D4485"/>
    <w:rsid w:val="000D7CE5"/>
    <w:rsid w:val="000E2805"/>
    <w:rsid w:val="000E7231"/>
    <w:rsid w:val="000F1FDE"/>
    <w:rsid w:val="00101426"/>
    <w:rsid w:val="0010756C"/>
    <w:rsid w:val="00107AA4"/>
    <w:rsid w:val="00116DDE"/>
    <w:rsid w:val="001310C5"/>
    <w:rsid w:val="0013283A"/>
    <w:rsid w:val="00150F49"/>
    <w:rsid w:val="00166AAD"/>
    <w:rsid w:val="00192A2B"/>
    <w:rsid w:val="00194912"/>
    <w:rsid w:val="0019603B"/>
    <w:rsid w:val="00197564"/>
    <w:rsid w:val="001A16B3"/>
    <w:rsid w:val="001A376E"/>
    <w:rsid w:val="001A5FB1"/>
    <w:rsid w:val="001B7605"/>
    <w:rsid w:val="001C67E4"/>
    <w:rsid w:val="001D7CB6"/>
    <w:rsid w:val="001E006E"/>
    <w:rsid w:val="001E03F9"/>
    <w:rsid w:val="00205863"/>
    <w:rsid w:val="002065E1"/>
    <w:rsid w:val="00210906"/>
    <w:rsid w:val="0021607C"/>
    <w:rsid w:val="0023166D"/>
    <w:rsid w:val="00235456"/>
    <w:rsid w:val="00243B05"/>
    <w:rsid w:val="00245556"/>
    <w:rsid w:val="0026006A"/>
    <w:rsid w:val="00271244"/>
    <w:rsid w:val="002753F1"/>
    <w:rsid w:val="00275428"/>
    <w:rsid w:val="00285FF4"/>
    <w:rsid w:val="002B2E47"/>
    <w:rsid w:val="002B5E3F"/>
    <w:rsid w:val="002B6B99"/>
    <w:rsid w:val="002C5A9A"/>
    <w:rsid w:val="002F0078"/>
    <w:rsid w:val="002F1E38"/>
    <w:rsid w:val="00303AF4"/>
    <w:rsid w:val="00335B8D"/>
    <w:rsid w:val="00337876"/>
    <w:rsid w:val="0034684B"/>
    <w:rsid w:val="00355797"/>
    <w:rsid w:val="0036156C"/>
    <w:rsid w:val="0036628E"/>
    <w:rsid w:val="00382280"/>
    <w:rsid w:val="00387FBD"/>
    <w:rsid w:val="00394728"/>
    <w:rsid w:val="00396DBC"/>
    <w:rsid w:val="00397AFE"/>
    <w:rsid w:val="003A335E"/>
    <w:rsid w:val="003C5029"/>
    <w:rsid w:val="003C6450"/>
    <w:rsid w:val="003D0248"/>
    <w:rsid w:val="003D0FAF"/>
    <w:rsid w:val="003D2866"/>
    <w:rsid w:val="003D5763"/>
    <w:rsid w:val="003E1F9A"/>
    <w:rsid w:val="003E3DD3"/>
    <w:rsid w:val="003F1366"/>
    <w:rsid w:val="003F2643"/>
    <w:rsid w:val="003F6760"/>
    <w:rsid w:val="00402748"/>
    <w:rsid w:val="00411D55"/>
    <w:rsid w:val="00422676"/>
    <w:rsid w:val="0042352D"/>
    <w:rsid w:val="00423A71"/>
    <w:rsid w:val="00423E3B"/>
    <w:rsid w:val="00426DD7"/>
    <w:rsid w:val="004335D2"/>
    <w:rsid w:val="004341A5"/>
    <w:rsid w:val="00437204"/>
    <w:rsid w:val="00441244"/>
    <w:rsid w:val="00441338"/>
    <w:rsid w:val="00450D53"/>
    <w:rsid w:val="00453D3A"/>
    <w:rsid w:val="00456773"/>
    <w:rsid w:val="00464796"/>
    <w:rsid w:val="0046625B"/>
    <w:rsid w:val="0047225F"/>
    <w:rsid w:val="00487EB5"/>
    <w:rsid w:val="00493C6F"/>
    <w:rsid w:val="004A070E"/>
    <w:rsid w:val="004A2E15"/>
    <w:rsid w:val="004A6A2C"/>
    <w:rsid w:val="004B5A00"/>
    <w:rsid w:val="004C2F6A"/>
    <w:rsid w:val="004C409D"/>
    <w:rsid w:val="004C42DD"/>
    <w:rsid w:val="004D357A"/>
    <w:rsid w:val="004D4D7C"/>
    <w:rsid w:val="004E1E64"/>
    <w:rsid w:val="004F2EA5"/>
    <w:rsid w:val="004F5773"/>
    <w:rsid w:val="004F5ECC"/>
    <w:rsid w:val="00502687"/>
    <w:rsid w:val="00504517"/>
    <w:rsid w:val="005073FE"/>
    <w:rsid w:val="00521681"/>
    <w:rsid w:val="00532F60"/>
    <w:rsid w:val="0054413D"/>
    <w:rsid w:val="00570E50"/>
    <w:rsid w:val="0057491A"/>
    <w:rsid w:val="00575244"/>
    <w:rsid w:val="00581E35"/>
    <w:rsid w:val="00583767"/>
    <w:rsid w:val="0059485C"/>
    <w:rsid w:val="005B2BCC"/>
    <w:rsid w:val="005B5B6C"/>
    <w:rsid w:val="005C2A2F"/>
    <w:rsid w:val="005D0EE4"/>
    <w:rsid w:val="005D2E97"/>
    <w:rsid w:val="005D57B4"/>
    <w:rsid w:val="005E1388"/>
    <w:rsid w:val="005E2CB0"/>
    <w:rsid w:val="005E4B0D"/>
    <w:rsid w:val="00601B3D"/>
    <w:rsid w:val="00605265"/>
    <w:rsid w:val="00612C2C"/>
    <w:rsid w:val="00615EFF"/>
    <w:rsid w:val="00617D0C"/>
    <w:rsid w:val="006217C2"/>
    <w:rsid w:val="0062700D"/>
    <w:rsid w:val="00630B93"/>
    <w:rsid w:val="00630C9D"/>
    <w:rsid w:val="00632215"/>
    <w:rsid w:val="00652372"/>
    <w:rsid w:val="006536BB"/>
    <w:rsid w:val="006556B7"/>
    <w:rsid w:val="00680A3C"/>
    <w:rsid w:val="006A7C31"/>
    <w:rsid w:val="006A7C5E"/>
    <w:rsid w:val="006B2975"/>
    <w:rsid w:val="006B3FDB"/>
    <w:rsid w:val="006B75D0"/>
    <w:rsid w:val="006C0905"/>
    <w:rsid w:val="006C214C"/>
    <w:rsid w:val="006C5060"/>
    <w:rsid w:val="006C50C3"/>
    <w:rsid w:val="006C54DA"/>
    <w:rsid w:val="006C6130"/>
    <w:rsid w:val="006D47E8"/>
    <w:rsid w:val="006D4BE1"/>
    <w:rsid w:val="006E3650"/>
    <w:rsid w:val="006E64D3"/>
    <w:rsid w:val="00710526"/>
    <w:rsid w:val="007348EE"/>
    <w:rsid w:val="00751BE1"/>
    <w:rsid w:val="00762825"/>
    <w:rsid w:val="00766DFC"/>
    <w:rsid w:val="00776571"/>
    <w:rsid w:val="00782910"/>
    <w:rsid w:val="00783A5D"/>
    <w:rsid w:val="00792F54"/>
    <w:rsid w:val="007A17B2"/>
    <w:rsid w:val="007B582E"/>
    <w:rsid w:val="007C7451"/>
    <w:rsid w:val="007D2FB7"/>
    <w:rsid w:val="007E0AFC"/>
    <w:rsid w:val="007E17FD"/>
    <w:rsid w:val="007F0C2B"/>
    <w:rsid w:val="00801F22"/>
    <w:rsid w:val="008107AC"/>
    <w:rsid w:val="008136E8"/>
    <w:rsid w:val="00822571"/>
    <w:rsid w:val="00826780"/>
    <w:rsid w:val="008358F8"/>
    <w:rsid w:val="008373AE"/>
    <w:rsid w:val="00853F5E"/>
    <w:rsid w:val="008552E7"/>
    <w:rsid w:val="00856901"/>
    <w:rsid w:val="0087473D"/>
    <w:rsid w:val="0088342F"/>
    <w:rsid w:val="008918CF"/>
    <w:rsid w:val="008A506D"/>
    <w:rsid w:val="008C11D9"/>
    <w:rsid w:val="008D2A73"/>
    <w:rsid w:val="008D45D8"/>
    <w:rsid w:val="008F45E8"/>
    <w:rsid w:val="008F7591"/>
    <w:rsid w:val="0090057D"/>
    <w:rsid w:val="009029C3"/>
    <w:rsid w:val="00903694"/>
    <w:rsid w:val="00922ADB"/>
    <w:rsid w:val="00931BAF"/>
    <w:rsid w:val="0094111D"/>
    <w:rsid w:val="0094208F"/>
    <w:rsid w:val="0094368D"/>
    <w:rsid w:val="00947D46"/>
    <w:rsid w:val="00964FAA"/>
    <w:rsid w:val="009711EB"/>
    <w:rsid w:val="00977130"/>
    <w:rsid w:val="00982EFD"/>
    <w:rsid w:val="00984A5A"/>
    <w:rsid w:val="009907E5"/>
    <w:rsid w:val="009A3F94"/>
    <w:rsid w:val="009A7607"/>
    <w:rsid w:val="009B4AFD"/>
    <w:rsid w:val="009C15A3"/>
    <w:rsid w:val="009C4381"/>
    <w:rsid w:val="009D51F3"/>
    <w:rsid w:val="009E1A1C"/>
    <w:rsid w:val="009E263D"/>
    <w:rsid w:val="009F43D4"/>
    <w:rsid w:val="00A027B7"/>
    <w:rsid w:val="00A04CB6"/>
    <w:rsid w:val="00A24A2C"/>
    <w:rsid w:val="00A353B0"/>
    <w:rsid w:val="00A3680E"/>
    <w:rsid w:val="00A51CF8"/>
    <w:rsid w:val="00A5470A"/>
    <w:rsid w:val="00A54CF4"/>
    <w:rsid w:val="00A63583"/>
    <w:rsid w:val="00A74685"/>
    <w:rsid w:val="00A76AD7"/>
    <w:rsid w:val="00A8315D"/>
    <w:rsid w:val="00A92EC4"/>
    <w:rsid w:val="00A93178"/>
    <w:rsid w:val="00A94EE3"/>
    <w:rsid w:val="00A96052"/>
    <w:rsid w:val="00AA4FFC"/>
    <w:rsid w:val="00AB7847"/>
    <w:rsid w:val="00AD36F0"/>
    <w:rsid w:val="00AE4DDF"/>
    <w:rsid w:val="00AE79D7"/>
    <w:rsid w:val="00AF6199"/>
    <w:rsid w:val="00B00D42"/>
    <w:rsid w:val="00B02E57"/>
    <w:rsid w:val="00B046A2"/>
    <w:rsid w:val="00B07454"/>
    <w:rsid w:val="00B11C9B"/>
    <w:rsid w:val="00B13F4A"/>
    <w:rsid w:val="00B23240"/>
    <w:rsid w:val="00B24152"/>
    <w:rsid w:val="00B26BAE"/>
    <w:rsid w:val="00B27270"/>
    <w:rsid w:val="00B40411"/>
    <w:rsid w:val="00B46D3A"/>
    <w:rsid w:val="00B470DA"/>
    <w:rsid w:val="00B473D2"/>
    <w:rsid w:val="00B53BAB"/>
    <w:rsid w:val="00B57FF1"/>
    <w:rsid w:val="00B61B76"/>
    <w:rsid w:val="00B61BD8"/>
    <w:rsid w:val="00B63C44"/>
    <w:rsid w:val="00B70933"/>
    <w:rsid w:val="00BA2359"/>
    <w:rsid w:val="00BA6A3E"/>
    <w:rsid w:val="00BB4F5B"/>
    <w:rsid w:val="00BB6D2F"/>
    <w:rsid w:val="00BC4334"/>
    <w:rsid w:val="00BC6AA9"/>
    <w:rsid w:val="00BC7244"/>
    <w:rsid w:val="00BD44B7"/>
    <w:rsid w:val="00BF0D00"/>
    <w:rsid w:val="00C0004F"/>
    <w:rsid w:val="00C0016E"/>
    <w:rsid w:val="00C02520"/>
    <w:rsid w:val="00C03595"/>
    <w:rsid w:val="00C1129F"/>
    <w:rsid w:val="00C16234"/>
    <w:rsid w:val="00C17A9B"/>
    <w:rsid w:val="00C302EE"/>
    <w:rsid w:val="00C33FCD"/>
    <w:rsid w:val="00C521D8"/>
    <w:rsid w:val="00C54D95"/>
    <w:rsid w:val="00C708E7"/>
    <w:rsid w:val="00C7592A"/>
    <w:rsid w:val="00C759DF"/>
    <w:rsid w:val="00C822E3"/>
    <w:rsid w:val="00CB009D"/>
    <w:rsid w:val="00CB124B"/>
    <w:rsid w:val="00CB3587"/>
    <w:rsid w:val="00CC406F"/>
    <w:rsid w:val="00CC7EB1"/>
    <w:rsid w:val="00CE159B"/>
    <w:rsid w:val="00CE3927"/>
    <w:rsid w:val="00CE4BCD"/>
    <w:rsid w:val="00D01393"/>
    <w:rsid w:val="00D153D6"/>
    <w:rsid w:val="00D23B38"/>
    <w:rsid w:val="00D44070"/>
    <w:rsid w:val="00D531B2"/>
    <w:rsid w:val="00D53B01"/>
    <w:rsid w:val="00D60611"/>
    <w:rsid w:val="00D70A06"/>
    <w:rsid w:val="00D745F2"/>
    <w:rsid w:val="00D77A90"/>
    <w:rsid w:val="00D80EF6"/>
    <w:rsid w:val="00D8703C"/>
    <w:rsid w:val="00DA5530"/>
    <w:rsid w:val="00DB0ED4"/>
    <w:rsid w:val="00DB12AB"/>
    <w:rsid w:val="00DB15A3"/>
    <w:rsid w:val="00DB22D4"/>
    <w:rsid w:val="00DC0D31"/>
    <w:rsid w:val="00DD43D8"/>
    <w:rsid w:val="00DD5B32"/>
    <w:rsid w:val="00DD7978"/>
    <w:rsid w:val="00DF4D98"/>
    <w:rsid w:val="00E00E54"/>
    <w:rsid w:val="00E17458"/>
    <w:rsid w:val="00E2510F"/>
    <w:rsid w:val="00E25323"/>
    <w:rsid w:val="00E321A4"/>
    <w:rsid w:val="00E500B5"/>
    <w:rsid w:val="00E6748E"/>
    <w:rsid w:val="00E76065"/>
    <w:rsid w:val="00E86F4B"/>
    <w:rsid w:val="00EA3814"/>
    <w:rsid w:val="00EA4BA4"/>
    <w:rsid w:val="00EA691B"/>
    <w:rsid w:val="00EC0F80"/>
    <w:rsid w:val="00EC1268"/>
    <w:rsid w:val="00EC1E81"/>
    <w:rsid w:val="00ED1661"/>
    <w:rsid w:val="00ED3542"/>
    <w:rsid w:val="00EE7797"/>
    <w:rsid w:val="00F01477"/>
    <w:rsid w:val="00F15449"/>
    <w:rsid w:val="00F50141"/>
    <w:rsid w:val="00F538B7"/>
    <w:rsid w:val="00F83AEE"/>
    <w:rsid w:val="00F86D7D"/>
    <w:rsid w:val="00F9276B"/>
    <w:rsid w:val="00F936E1"/>
    <w:rsid w:val="00F977B0"/>
    <w:rsid w:val="00FA0D6F"/>
    <w:rsid w:val="00FB673C"/>
    <w:rsid w:val="00FC37B4"/>
    <w:rsid w:val="00FC65A7"/>
    <w:rsid w:val="00FD3AA7"/>
    <w:rsid w:val="00FE2C40"/>
    <w:rsid w:val="00FF29E2"/>
    <w:rsid w:val="00FF4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92950"/>
  <w15:docId w15:val="{360A54F0-374F-4DA4-B4FF-E48A1703F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36E1"/>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Car"/>
    <w:basedOn w:val="Normal"/>
    <w:link w:val="FootnoteTextChar"/>
    <w:uiPriority w:val="99"/>
    <w:unhideWhenUsed/>
    <w:rsid w:val="00F01477"/>
    <w:rPr>
      <w:sz w:val="20"/>
    </w:rPr>
  </w:style>
  <w:style w:type="character" w:customStyle="1" w:styleId="FootnoteTextChar">
    <w:name w:val="Footnote Text Char"/>
    <w:aliases w:val="Car Char"/>
    <w:link w:val="FootnoteText"/>
    <w:uiPriority w:val="99"/>
    <w:semiHidden/>
    <w:rsid w:val="00F01477"/>
    <w:rPr>
      <w:rFonts w:ascii="Times New Roman" w:eastAsia="Times New Roman" w:hAnsi="Times New Roman" w:cs="Times New Roman"/>
      <w:sz w:val="20"/>
      <w:szCs w:val="20"/>
    </w:rPr>
  </w:style>
  <w:style w:type="character" w:styleId="FootnoteReference">
    <w:name w:val="footnote reference"/>
    <w:uiPriority w:val="99"/>
    <w:unhideWhenUsed/>
    <w:rsid w:val="00F01477"/>
    <w:rPr>
      <w:vertAlign w:val="superscript"/>
    </w:rPr>
  </w:style>
  <w:style w:type="paragraph" w:customStyle="1" w:styleId="TxBrp8">
    <w:name w:val="TxBr_p8"/>
    <w:basedOn w:val="Normal"/>
    <w:rsid w:val="00BB6D2F"/>
    <w:pPr>
      <w:widowControl w:val="0"/>
      <w:tabs>
        <w:tab w:val="left" w:pos="1468"/>
      </w:tabs>
      <w:autoSpaceDE w:val="0"/>
      <w:autoSpaceDN w:val="0"/>
      <w:adjustRightInd w:val="0"/>
      <w:spacing w:line="464" w:lineRule="atLeast"/>
      <w:ind w:firstLine="1468"/>
    </w:pPr>
    <w:rPr>
      <w:sz w:val="24"/>
      <w:szCs w:val="24"/>
    </w:rPr>
  </w:style>
  <w:style w:type="paragraph" w:styleId="BodyText">
    <w:name w:val="Body Text"/>
    <w:basedOn w:val="Normal"/>
    <w:link w:val="BodyTextChar"/>
    <w:rsid w:val="00570E50"/>
    <w:pPr>
      <w:spacing w:line="360" w:lineRule="auto"/>
    </w:pPr>
  </w:style>
  <w:style w:type="character" w:customStyle="1" w:styleId="BodyTextChar">
    <w:name w:val="Body Text Char"/>
    <w:link w:val="BodyText"/>
    <w:rsid w:val="00570E50"/>
    <w:rPr>
      <w:rFonts w:ascii="Times New Roman" w:eastAsia="Times New Roman" w:hAnsi="Times New Roman" w:cs="Times New Roman"/>
      <w:sz w:val="26"/>
      <w:szCs w:val="20"/>
    </w:rPr>
  </w:style>
  <w:style w:type="paragraph" w:styleId="NoSpacing">
    <w:name w:val="No Spacing"/>
    <w:uiPriority w:val="1"/>
    <w:qFormat/>
    <w:rsid w:val="00FD3AA7"/>
    <w:rPr>
      <w:rFonts w:ascii="Times New Roman" w:eastAsia="Times New Roman" w:hAnsi="Times New Roman"/>
      <w:sz w:val="26"/>
    </w:rPr>
  </w:style>
  <w:style w:type="paragraph" w:styleId="Header">
    <w:name w:val="header"/>
    <w:basedOn w:val="Normal"/>
    <w:link w:val="HeaderChar"/>
    <w:uiPriority w:val="99"/>
    <w:unhideWhenUsed/>
    <w:rsid w:val="001B7605"/>
    <w:pPr>
      <w:tabs>
        <w:tab w:val="center" w:pos="4680"/>
        <w:tab w:val="right" w:pos="9360"/>
      </w:tabs>
    </w:pPr>
  </w:style>
  <w:style w:type="character" w:customStyle="1" w:styleId="HeaderChar">
    <w:name w:val="Header Char"/>
    <w:link w:val="Header"/>
    <w:uiPriority w:val="99"/>
    <w:rsid w:val="001B7605"/>
    <w:rPr>
      <w:rFonts w:ascii="Times New Roman" w:eastAsia="Times New Roman" w:hAnsi="Times New Roman"/>
      <w:sz w:val="26"/>
    </w:rPr>
  </w:style>
  <w:style w:type="paragraph" w:styleId="Footer">
    <w:name w:val="footer"/>
    <w:basedOn w:val="Normal"/>
    <w:link w:val="FooterChar"/>
    <w:uiPriority w:val="99"/>
    <w:unhideWhenUsed/>
    <w:rsid w:val="001B7605"/>
    <w:pPr>
      <w:tabs>
        <w:tab w:val="center" w:pos="4680"/>
        <w:tab w:val="right" w:pos="9360"/>
      </w:tabs>
    </w:pPr>
  </w:style>
  <w:style w:type="character" w:customStyle="1" w:styleId="FooterChar">
    <w:name w:val="Footer Char"/>
    <w:link w:val="Footer"/>
    <w:uiPriority w:val="99"/>
    <w:rsid w:val="001B7605"/>
    <w:rPr>
      <w:rFonts w:ascii="Times New Roman" w:eastAsia="Times New Roman" w:hAnsi="Times New Roman"/>
      <w:sz w:val="26"/>
    </w:rPr>
  </w:style>
  <w:style w:type="paragraph" w:styleId="BalloonText">
    <w:name w:val="Balloon Text"/>
    <w:basedOn w:val="Normal"/>
    <w:link w:val="BalloonTextChar"/>
    <w:uiPriority w:val="99"/>
    <w:semiHidden/>
    <w:unhideWhenUsed/>
    <w:rsid w:val="00DC0D31"/>
    <w:rPr>
      <w:rFonts w:ascii="Tahoma" w:hAnsi="Tahoma" w:cs="Tahoma"/>
      <w:sz w:val="16"/>
      <w:szCs w:val="16"/>
    </w:rPr>
  </w:style>
  <w:style w:type="character" w:customStyle="1" w:styleId="BalloonTextChar">
    <w:name w:val="Balloon Text Char"/>
    <w:link w:val="BalloonText"/>
    <w:uiPriority w:val="99"/>
    <w:semiHidden/>
    <w:rsid w:val="00DC0D31"/>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280174-0423-4078-9497-2D0CC08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8611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Williams, Bobbie Jo</cp:lastModifiedBy>
  <cp:revision>2</cp:revision>
  <cp:lastPrinted>2015-06-23T14:25:00Z</cp:lastPrinted>
  <dcterms:created xsi:type="dcterms:W3CDTF">2018-11-29T13:50:00Z</dcterms:created>
  <dcterms:modified xsi:type="dcterms:W3CDTF">2018-11-29T13:50:00Z</dcterms:modified>
</cp:coreProperties>
</file>