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0387" w:rsidRPr="00430387" w:rsidRDefault="00430387" w:rsidP="00430387">
      <w:pPr>
        <w:jc w:val="center"/>
        <w:rPr>
          <w:rFonts w:ascii="Times New Roman" w:hAnsi="Times New Roman" w:cs="Times New Roman"/>
          <w:b/>
        </w:rPr>
      </w:pPr>
      <w:r w:rsidRPr="00430387">
        <w:rPr>
          <w:rFonts w:ascii="Times New Roman" w:hAnsi="Times New Roman" w:cs="Times New Roman"/>
          <w:b/>
        </w:rPr>
        <w:t>BEFORE THE</w:t>
      </w:r>
    </w:p>
    <w:p w:rsidR="00430387" w:rsidRPr="00430387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430387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30387" w:rsidRPr="00430387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:rsidR="00412977" w:rsidRPr="00412977" w:rsidRDefault="00412977" w:rsidP="0041297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proofErr w:type="spellStart"/>
      <w:r w:rsidRPr="00412977">
        <w:rPr>
          <w:rFonts w:ascii="Times New Roman" w:hAnsi="Times New Roman" w:cs="Times New Roman"/>
          <w:spacing w:val="-3"/>
        </w:rPr>
        <w:t>Manani</w:t>
      </w:r>
      <w:proofErr w:type="spellEnd"/>
      <w:r w:rsidRPr="00412977">
        <w:rPr>
          <w:rFonts w:ascii="Times New Roman" w:hAnsi="Times New Roman" w:cs="Times New Roman"/>
          <w:spacing w:val="-3"/>
        </w:rPr>
        <w:t xml:space="preserve"> Akbar</w:t>
      </w:r>
      <w:r w:rsidRPr="00412977">
        <w:rPr>
          <w:rFonts w:ascii="Times New Roman" w:hAnsi="Times New Roman" w:cs="Times New Roman"/>
          <w:spacing w:val="-3"/>
        </w:rPr>
        <w:tab/>
        <w:t>:</w:t>
      </w:r>
    </w:p>
    <w:p w:rsidR="00412977" w:rsidRPr="00412977" w:rsidRDefault="00412977" w:rsidP="0041297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12977">
        <w:rPr>
          <w:rFonts w:ascii="Times New Roman" w:hAnsi="Times New Roman" w:cs="Times New Roman"/>
          <w:spacing w:val="-3"/>
        </w:rPr>
        <w:tab/>
      </w:r>
      <w:r w:rsidRPr="00412977">
        <w:rPr>
          <w:rFonts w:ascii="Times New Roman" w:hAnsi="Times New Roman" w:cs="Times New Roman"/>
          <w:spacing w:val="-3"/>
        </w:rPr>
        <w:tab/>
        <w:t>:</w:t>
      </w:r>
      <w:r w:rsidRPr="00412977">
        <w:rPr>
          <w:rFonts w:ascii="Times New Roman" w:hAnsi="Times New Roman" w:cs="Times New Roman"/>
          <w:spacing w:val="-3"/>
        </w:rPr>
        <w:tab/>
      </w:r>
    </w:p>
    <w:p w:rsidR="00412977" w:rsidRPr="00412977" w:rsidRDefault="00412977" w:rsidP="0041297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12977">
        <w:rPr>
          <w:rFonts w:ascii="Times New Roman" w:hAnsi="Times New Roman" w:cs="Times New Roman"/>
          <w:spacing w:val="-3"/>
        </w:rPr>
        <w:tab/>
        <w:t>v.</w:t>
      </w:r>
      <w:r w:rsidRPr="00412977">
        <w:rPr>
          <w:rFonts w:ascii="Times New Roman" w:hAnsi="Times New Roman" w:cs="Times New Roman"/>
          <w:spacing w:val="-3"/>
        </w:rPr>
        <w:tab/>
        <w:t>:</w:t>
      </w:r>
      <w:r w:rsidRPr="00412977">
        <w:rPr>
          <w:rFonts w:ascii="Times New Roman" w:hAnsi="Times New Roman" w:cs="Times New Roman"/>
          <w:spacing w:val="-3"/>
        </w:rPr>
        <w:tab/>
        <w:t>C-2018-3004909</w:t>
      </w:r>
    </w:p>
    <w:p w:rsidR="00412977" w:rsidRPr="00412977" w:rsidRDefault="00412977" w:rsidP="0041297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12977">
        <w:rPr>
          <w:rFonts w:ascii="Times New Roman" w:hAnsi="Times New Roman" w:cs="Times New Roman"/>
          <w:spacing w:val="-3"/>
        </w:rPr>
        <w:tab/>
      </w:r>
      <w:r w:rsidRPr="00412977">
        <w:rPr>
          <w:rFonts w:ascii="Times New Roman" w:hAnsi="Times New Roman" w:cs="Times New Roman"/>
          <w:spacing w:val="-3"/>
        </w:rPr>
        <w:tab/>
        <w:t>:</w:t>
      </w:r>
      <w:r w:rsidRPr="00412977">
        <w:rPr>
          <w:rFonts w:ascii="Times New Roman" w:hAnsi="Times New Roman" w:cs="Times New Roman"/>
          <w:spacing w:val="-3"/>
        </w:rPr>
        <w:tab/>
      </w:r>
    </w:p>
    <w:p w:rsidR="00412977" w:rsidRPr="00412977" w:rsidRDefault="00412977" w:rsidP="00412977">
      <w:pPr>
        <w:tabs>
          <w:tab w:val="left" w:pos="-720"/>
          <w:tab w:val="left" w:pos="720"/>
          <w:tab w:val="left" w:pos="5040"/>
          <w:tab w:val="left" w:pos="648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412977">
        <w:rPr>
          <w:rFonts w:ascii="Times New Roman" w:hAnsi="Times New Roman" w:cs="Times New Roman"/>
          <w:spacing w:val="-3"/>
        </w:rPr>
        <w:t>Philadelphia Gas Works</w:t>
      </w:r>
      <w:r w:rsidRPr="00412977">
        <w:rPr>
          <w:rFonts w:ascii="Times New Roman" w:hAnsi="Times New Roman" w:cs="Times New Roman"/>
          <w:spacing w:val="-3"/>
        </w:rPr>
        <w:tab/>
        <w:t>:</w:t>
      </w:r>
    </w:p>
    <w:p w:rsidR="00A76C9E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627914" w:rsidRPr="005C6571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:rsidR="00BA2A02" w:rsidRPr="00BA2A02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BA2A02">
        <w:rPr>
          <w:rFonts w:ascii="Times New Roman" w:hAnsi="Times New Roman" w:cs="Times New Roman"/>
          <w:b/>
          <w:bCs/>
        </w:rPr>
        <w:t xml:space="preserve">ORDER </w:t>
      </w:r>
    </w:p>
    <w:p w:rsidR="00BA2A02" w:rsidRPr="00A76C9E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  <w:u w:val="single"/>
        </w:rPr>
      </w:pPr>
      <w:r w:rsidRPr="00A76C9E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</w:t>
      </w:r>
      <w:r w:rsidR="00412977">
        <w:rPr>
          <w:rFonts w:ascii="Times New Roman" w:hAnsi="Times New Roman" w:cs="Times New Roman"/>
          <w:b/>
          <w:bCs/>
          <w:u w:val="single"/>
        </w:rPr>
        <w:t>COMPLAINANT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A76C9E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A76C9E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A76C9E">
        <w:rPr>
          <w:rFonts w:ascii="Times New Roman" w:hAnsi="Times New Roman" w:cs="Times New Roman"/>
          <w:b/>
          <w:bCs/>
          <w:u w:val="single"/>
        </w:rPr>
        <w:t xml:space="preserve">  </w:t>
      </w:r>
    </w:p>
    <w:p w:rsidR="00872944" w:rsidRDefault="00872944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By Hearing Notice dated </w:t>
      </w:r>
      <w:r w:rsidR="00412977">
        <w:rPr>
          <w:rFonts w:ascii="Times New Roman" w:hAnsi="Times New Roman" w:cs="Times New Roman"/>
          <w:spacing w:val="-3"/>
        </w:rPr>
        <w:t xml:space="preserve">October </w:t>
      </w:r>
      <w:r w:rsidR="008F20CD">
        <w:rPr>
          <w:rFonts w:ascii="Times New Roman" w:hAnsi="Times New Roman" w:cs="Times New Roman"/>
          <w:spacing w:val="-3"/>
        </w:rPr>
        <w:t>19, 2018</w:t>
      </w:r>
      <w:r w:rsidRPr="005C6571">
        <w:rPr>
          <w:rFonts w:ascii="Times New Roman" w:hAnsi="Times New Roman" w:cs="Times New Roman"/>
          <w:spacing w:val="-3"/>
        </w:rPr>
        <w:t xml:space="preserve">, an Initial </w:t>
      </w:r>
      <w:r w:rsidR="004920C7">
        <w:rPr>
          <w:rFonts w:ascii="Times New Roman" w:hAnsi="Times New Roman" w:cs="Times New Roman"/>
          <w:spacing w:val="-3"/>
        </w:rPr>
        <w:t xml:space="preserve">In-Person </w:t>
      </w:r>
      <w:r w:rsidRPr="005C6571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412977">
        <w:rPr>
          <w:rFonts w:ascii="Times New Roman" w:hAnsi="Times New Roman" w:cs="Times New Roman"/>
          <w:spacing w:val="-3"/>
        </w:rPr>
        <w:t xml:space="preserve">Wednesday, December 05, 2018 </w:t>
      </w:r>
      <w:r w:rsidRPr="005C6571">
        <w:rPr>
          <w:rFonts w:ascii="Times New Roman" w:hAnsi="Times New Roman" w:cs="Times New Roman"/>
          <w:spacing w:val="-3"/>
        </w:rPr>
        <w:t>at 10:00 a.m.</w:t>
      </w:r>
    </w:p>
    <w:p w:rsidR="002D656E" w:rsidRPr="005C6571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12977" w:rsidRDefault="00412977" w:rsidP="0041297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412977">
        <w:rPr>
          <w:rFonts w:ascii="Times New Roman" w:hAnsi="Times New Roman" w:cs="Times New Roman"/>
          <w:spacing w:val="-3"/>
        </w:rPr>
        <w:t xml:space="preserve">The hearing convened as scheduled on </w:t>
      </w:r>
      <w:r>
        <w:rPr>
          <w:rFonts w:ascii="Times New Roman" w:hAnsi="Times New Roman" w:cs="Times New Roman"/>
          <w:spacing w:val="-3"/>
        </w:rPr>
        <w:t>December 5, 2018</w:t>
      </w:r>
      <w:r w:rsidRPr="00412977">
        <w:rPr>
          <w:rFonts w:ascii="Times New Roman" w:hAnsi="Times New Roman" w:cs="Times New Roman"/>
          <w:spacing w:val="-3"/>
        </w:rPr>
        <w:t xml:space="preserve">.  The Complainant appeared </w:t>
      </w:r>
      <w:r w:rsidRPr="00412977">
        <w:rPr>
          <w:rFonts w:ascii="Times New Roman" w:hAnsi="Times New Roman" w:cs="Times New Roman"/>
          <w:i/>
          <w:spacing w:val="-3"/>
        </w:rPr>
        <w:t>pro se</w:t>
      </w:r>
      <w:r>
        <w:rPr>
          <w:rFonts w:ascii="Times New Roman" w:hAnsi="Times New Roman" w:cs="Times New Roman"/>
          <w:spacing w:val="-3"/>
        </w:rPr>
        <w:t xml:space="preserve">.  </w:t>
      </w:r>
      <w:r w:rsidRPr="00412977">
        <w:rPr>
          <w:rFonts w:ascii="Times New Roman" w:hAnsi="Times New Roman" w:cs="Times New Roman"/>
          <w:spacing w:val="-3"/>
        </w:rPr>
        <w:t>The Respondent appeared and was represented by</w:t>
      </w:r>
      <w:r>
        <w:rPr>
          <w:rFonts w:ascii="Times New Roman" w:hAnsi="Times New Roman" w:cs="Times New Roman"/>
          <w:spacing w:val="-3"/>
        </w:rPr>
        <w:t xml:space="preserve"> </w:t>
      </w:r>
      <w:proofErr w:type="spellStart"/>
      <w:r>
        <w:rPr>
          <w:rFonts w:ascii="Times New Roman" w:hAnsi="Times New Roman" w:cs="Times New Roman"/>
          <w:spacing w:val="-3"/>
        </w:rPr>
        <w:t>Laureto</w:t>
      </w:r>
      <w:proofErr w:type="spellEnd"/>
      <w:r>
        <w:rPr>
          <w:rFonts w:ascii="Times New Roman" w:hAnsi="Times New Roman" w:cs="Times New Roman"/>
          <w:spacing w:val="-3"/>
        </w:rPr>
        <w:t xml:space="preserve"> Farinas, Esquire.  </w:t>
      </w:r>
      <w:r w:rsidRPr="00412977">
        <w:rPr>
          <w:rFonts w:ascii="Times New Roman" w:hAnsi="Times New Roman" w:cs="Times New Roman"/>
          <w:spacing w:val="-3"/>
        </w:rPr>
        <w:t xml:space="preserve"> </w:t>
      </w:r>
    </w:p>
    <w:p w:rsidR="00412977" w:rsidRDefault="00412977" w:rsidP="0041297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412977" w:rsidRDefault="00412977" w:rsidP="0041297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At the outset of the hearing, the Complainant requested a </w:t>
      </w:r>
      <w:proofErr w:type="gramStart"/>
      <w:r>
        <w:rPr>
          <w:rFonts w:ascii="Times New Roman" w:hAnsi="Times New Roman" w:cs="Times New Roman"/>
          <w:spacing w:val="-3"/>
        </w:rPr>
        <w:t>30 day</w:t>
      </w:r>
      <w:proofErr w:type="gramEnd"/>
      <w:r>
        <w:rPr>
          <w:rFonts w:ascii="Times New Roman" w:hAnsi="Times New Roman" w:cs="Times New Roman"/>
          <w:spacing w:val="-3"/>
        </w:rPr>
        <w:t xml:space="preserve"> continuance in order to obtain legal counsel.  The Respondent did not object to the request.  </w:t>
      </w:r>
    </w:p>
    <w:p w:rsidR="00412977" w:rsidRDefault="00412977" w:rsidP="0041297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323C5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Pursuant to </w:t>
      </w:r>
      <w:r w:rsidR="00FC0AFB" w:rsidRPr="00FC0AFB">
        <w:rPr>
          <w:rFonts w:ascii="Times New Roman" w:hAnsi="Times New Roman" w:cs="Times New Roman"/>
          <w:spacing w:val="-3"/>
        </w:rPr>
        <w:t>52 Pa.</w:t>
      </w:r>
      <w:r w:rsidR="00FC0AFB">
        <w:rPr>
          <w:rFonts w:ascii="Times New Roman" w:hAnsi="Times New Roman" w:cs="Times New Roman"/>
          <w:spacing w:val="-3"/>
        </w:rPr>
        <w:t xml:space="preserve"> </w:t>
      </w:r>
      <w:r w:rsidR="00FC0AFB" w:rsidRPr="00FC0AFB">
        <w:rPr>
          <w:rFonts w:ascii="Times New Roman" w:hAnsi="Times New Roman" w:cs="Times New Roman"/>
          <w:spacing w:val="-3"/>
        </w:rPr>
        <w:t xml:space="preserve">Code § 1.15(b), I find </w:t>
      </w:r>
      <w:r w:rsidR="00D460B9">
        <w:rPr>
          <w:rFonts w:ascii="Times New Roman" w:hAnsi="Times New Roman" w:cs="Times New Roman"/>
          <w:spacing w:val="-3"/>
        </w:rPr>
        <w:t xml:space="preserve">good cause shown to grant </w:t>
      </w:r>
      <w:r w:rsidR="00412977">
        <w:rPr>
          <w:rFonts w:ascii="Times New Roman" w:hAnsi="Times New Roman" w:cs="Times New Roman"/>
          <w:spacing w:val="-3"/>
        </w:rPr>
        <w:t xml:space="preserve">the Complainant’s </w:t>
      </w:r>
      <w:r w:rsidR="00A323C5">
        <w:rPr>
          <w:rFonts w:ascii="Times New Roman" w:hAnsi="Times New Roman" w:cs="Times New Roman"/>
          <w:spacing w:val="-3"/>
        </w:rPr>
        <w:t xml:space="preserve">Motion </w:t>
      </w:r>
      <w:r w:rsidR="00D460B9">
        <w:rPr>
          <w:rFonts w:ascii="Times New Roman" w:hAnsi="Times New Roman" w:cs="Times New Roman"/>
          <w:spacing w:val="-3"/>
        </w:rPr>
        <w:t xml:space="preserve">for </w:t>
      </w:r>
      <w:r>
        <w:rPr>
          <w:rFonts w:ascii="Times New Roman" w:hAnsi="Times New Roman" w:cs="Times New Roman"/>
          <w:spacing w:val="-3"/>
        </w:rPr>
        <w:t xml:space="preserve">a </w:t>
      </w:r>
      <w:r w:rsidR="00D460B9">
        <w:rPr>
          <w:rFonts w:ascii="Times New Roman" w:hAnsi="Times New Roman" w:cs="Times New Roman"/>
          <w:spacing w:val="-3"/>
        </w:rPr>
        <w:t>Continuance</w:t>
      </w:r>
      <w:r>
        <w:rPr>
          <w:rFonts w:ascii="Times New Roman" w:hAnsi="Times New Roman" w:cs="Times New Roman"/>
          <w:spacing w:val="-3"/>
        </w:rPr>
        <w:t xml:space="preserve">.    </w:t>
      </w:r>
    </w:p>
    <w:p w:rsidR="00A323C5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A323C5">
      <w:pPr>
        <w:pStyle w:val="ParaTab1"/>
        <w:spacing w:line="360" w:lineRule="auto"/>
        <w:ind w:firstLine="0"/>
      </w:pPr>
      <w:r w:rsidRPr="005C6571">
        <w:rPr>
          <w:rFonts w:ascii="Times New Roman" w:hAnsi="Times New Roman" w:cs="Times New Roman"/>
          <w:spacing w:val="-3"/>
        </w:rPr>
        <w:tab/>
      </w:r>
      <w:r w:rsidRPr="005C6571">
        <w:rPr>
          <w:rFonts w:ascii="Times New Roman" w:hAnsi="Times New Roman" w:cs="Times New Roman"/>
          <w:spacing w:val="-3"/>
        </w:rPr>
        <w:tab/>
      </w:r>
      <w:r w:rsidRPr="005C6571">
        <w:t>THEREFORE,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>IT IS ORDERED;</w:t>
      </w:r>
    </w:p>
    <w:p w:rsidR="002D656E" w:rsidRPr="005C6571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D52213" w:rsidRDefault="002D656E" w:rsidP="00D52213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continuance requested by </w:t>
      </w:r>
      <w:proofErr w:type="spellStart"/>
      <w:r w:rsidR="00412977">
        <w:rPr>
          <w:rFonts w:ascii="Times New Roman" w:hAnsi="Times New Roman" w:cs="Times New Roman"/>
          <w:spacing w:val="-3"/>
        </w:rPr>
        <w:t>Manani</w:t>
      </w:r>
      <w:proofErr w:type="spellEnd"/>
      <w:r w:rsidR="00412977">
        <w:rPr>
          <w:rFonts w:ascii="Times New Roman" w:hAnsi="Times New Roman" w:cs="Times New Roman"/>
          <w:spacing w:val="-3"/>
        </w:rPr>
        <w:t xml:space="preserve"> Akbar</w:t>
      </w:r>
      <w:r w:rsidR="007659F2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in the matter of </w:t>
      </w:r>
      <w:proofErr w:type="spellStart"/>
      <w:r w:rsidR="00412977">
        <w:rPr>
          <w:rFonts w:ascii="Times New Roman" w:hAnsi="Times New Roman" w:cs="Times New Roman"/>
          <w:spacing w:val="-3"/>
        </w:rPr>
        <w:t>Manani</w:t>
      </w:r>
      <w:proofErr w:type="spellEnd"/>
      <w:r w:rsidR="00412977">
        <w:rPr>
          <w:rFonts w:ascii="Times New Roman" w:hAnsi="Times New Roman" w:cs="Times New Roman"/>
          <w:spacing w:val="-3"/>
        </w:rPr>
        <w:t xml:space="preserve"> Akbar v. Philadelphia Gas Works</w:t>
      </w:r>
      <w:r w:rsidR="00D460B9">
        <w:rPr>
          <w:rFonts w:ascii="Times New Roman" w:hAnsi="Times New Roman" w:cs="Times New Roman"/>
          <w:spacing w:val="-3"/>
        </w:rPr>
        <w:t xml:space="preserve"> at Docket No. </w:t>
      </w:r>
      <w:r w:rsidR="00412977">
        <w:rPr>
          <w:rFonts w:ascii="Times New Roman" w:hAnsi="Times New Roman" w:cs="Times New Roman"/>
          <w:spacing w:val="-3"/>
        </w:rPr>
        <w:t>C-2018-3004909</w:t>
      </w:r>
      <w:r w:rsidR="00D460B9">
        <w:rPr>
          <w:rFonts w:ascii="Times New Roman" w:hAnsi="Times New Roman" w:cs="Times New Roman"/>
          <w:spacing w:val="-3"/>
        </w:rPr>
        <w:t xml:space="preserve"> </w:t>
      </w:r>
      <w:r w:rsidRPr="005C6571">
        <w:rPr>
          <w:rFonts w:ascii="Times New Roman" w:hAnsi="Times New Roman" w:cs="Times New Roman"/>
          <w:spacing w:val="-3"/>
        </w:rPr>
        <w:t xml:space="preserve">is </w:t>
      </w:r>
      <w:r w:rsidR="007659F2">
        <w:rPr>
          <w:rFonts w:ascii="Times New Roman" w:hAnsi="Times New Roman" w:cs="Times New Roman"/>
          <w:spacing w:val="-3"/>
        </w:rPr>
        <w:t>GRANTED</w:t>
      </w:r>
      <w:r w:rsidRPr="005C6571">
        <w:rPr>
          <w:rFonts w:ascii="Times New Roman" w:hAnsi="Times New Roman" w:cs="Times New Roman"/>
          <w:spacing w:val="-3"/>
        </w:rPr>
        <w:t>;</w:t>
      </w:r>
    </w:p>
    <w:p w:rsidR="00D52213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872944" w:rsidRPr="0087294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That all other provisions of my initial Prehearing Order issued on </w:t>
      </w:r>
      <w:r w:rsidR="00412977">
        <w:rPr>
          <w:rFonts w:ascii="Times New Roman" w:hAnsi="Times New Roman" w:cs="Times New Roman"/>
          <w:spacing w:val="-3"/>
        </w:rPr>
        <w:t>October</w:t>
      </w:r>
      <w:r w:rsidR="001F47DD">
        <w:rPr>
          <w:rFonts w:ascii="Times New Roman" w:hAnsi="Times New Roman" w:cs="Times New Roman"/>
          <w:spacing w:val="-3"/>
        </w:rPr>
        <w:t> </w:t>
      </w:r>
      <w:r w:rsidR="00412977">
        <w:rPr>
          <w:rFonts w:ascii="Times New Roman" w:hAnsi="Times New Roman" w:cs="Times New Roman"/>
          <w:spacing w:val="-3"/>
        </w:rPr>
        <w:t>23</w:t>
      </w:r>
      <w:r w:rsidR="007659F2">
        <w:rPr>
          <w:rFonts w:ascii="Times New Roman" w:hAnsi="Times New Roman" w:cs="Times New Roman"/>
          <w:spacing w:val="-3"/>
        </w:rPr>
        <w:t>, 2018</w:t>
      </w:r>
      <w:r w:rsidR="001F47DD">
        <w:rPr>
          <w:rFonts w:ascii="Times New Roman" w:hAnsi="Times New Roman" w:cs="Times New Roman"/>
          <w:spacing w:val="-3"/>
        </w:rPr>
        <w:t>,</w:t>
      </w:r>
      <w:r>
        <w:rPr>
          <w:rFonts w:ascii="Times New Roman" w:hAnsi="Times New Roman" w:cs="Times New Roman"/>
          <w:spacing w:val="-3"/>
        </w:rPr>
        <w:t xml:space="preserve"> shall remain in effect; and</w:t>
      </w:r>
    </w:p>
    <w:p w:rsidR="00D365D1" w:rsidRPr="005C6571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C6571">
        <w:rPr>
          <w:rFonts w:ascii="Times New Roman" w:hAnsi="Times New Roman" w:cs="Times New Roman"/>
          <w:spacing w:val="-3"/>
        </w:rPr>
        <w:t xml:space="preserve">That the scheduling staff of the Office of Administrative Law Judge shall reschedule this matter for </w:t>
      </w:r>
      <w:r w:rsidR="00412977">
        <w:rPr>
          <w:rFonts w:ascii="Times New Roman" w:hAnsi="Times New Roman" w:cs="Times New Roman"/>
          <w:spacing w:val="-3"/>
        </w:rPr>
        <w:t>January 7, 2019</w:t>
      </w:r>
      <w:r w:rsidR="001F47DD">
        <w:rPr>
          <w:rFonts w:ascii="Times New Roman" w:hAnsi="Times New Roman" w:cs="Times New Roman"/>
          <w:spacing w:val="-3"/>
        </w:rPr>
        <w:t>,</w:t>
      </w:r>
      <w:r w:rsidR="00412977">
        <w:rPr>
          <w:rFonts w:ascii="Times New Roman" w:hAnsi="Times New Roman" w:cs="Times New Roman"/>
          <w:spacing w:val="-3"/>
        </w:rPr>
        <w:t xml:space="preserve"> at 10:00 a.m.</w:t>
      </w:r>
      <w:r w:rsidRPr="005C6571">
        <w:rPr>
          <w:rFonts w:ascii="Times New Roman" w:hAnsi="Times New Roman" w:cs="Times New Roman"/>
          <w:spacing w:val="-3"/>
        </w:rPr>
        <w:t xml:space="preserve"> and notify the parties in writing.</w:t>
      </w:r>
    </w:p>
    <w:p w:rsidR="008F4949" w:rsidRPr="005C6571" w:rsidRDefault="008F4949" w:rsidP="001F47DD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D365D1" w:rsidRPr="005C6571" w:rsidRDefault="00D365D1" w:rsidP="001F47DD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430387" w:rsidRPr="007659F2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430387">
        <w:rPr>
          <w:rFonts w:ascii="Times New Roman" w:hAnsi="Times New Roman" w:cs="Times New Roman"/>
          <w:spacing w:val="-3"/>
        </w:rPr>
        <w:t>Date: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412977">
        <w:rPr>
          <w:rFonts w:ascii="Times New Roman" w:hAnsi="Times New Roman" w:cs="Times New Roman"/>
          <w:spacing w:val="-3"/>
          <w:u w:val="single"/>
        </w:rPr>
        <w:t xml:space="preserve">December </w:t>
      </w:r>
      <w:r w:rsidR="006D640F">
        <w:rPr>
          <w:rFonts w:ascii="Times New Roman" w:hAnsi="Times New Roman" w:cs="Times New Roman"/>
          <w:spacing w:val="-3"/>
          <w:u w:val="single"/>
        </w:rPr>
        <w:t>6</w:t>
      </w:r>
      <w:r w:rsidR="00412977">
        <w:rPr>
          <w:rFonts w:ascii="Times New Roman" w:hAnsi="Times New Roman" w:cs="Times New Roman"/>
          <w:spacing w:val="-3"/>
          <w:u w:val="single"/>
        </w:rPr>
        <w:t>, 2018</w:t>
      </w:r>
      <w:r w:rsidR="007659F2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>
        <w:rPr>
          <w:rFonts w:ascii="Times New Roman" w:hAnsi="Times New Roman" w:cs="Times New Roman"/>
          <w:spacing w:val="-3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  <w:r w:rsidR="007659F2">
        <w:rPr>
          <w:rFonts w:ascii="Times New Roman" w:hAnsi="Times New Roman" w:cs="Times New Roman"/>
          <w:spacing w:val="-3"/>
          <w:u w:val="single"/>
        </w:rPr>
        <w:tab/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430387">
        <w:rPr>
          <w:rFonts w:ascii="Times New Roman" w:hAnsi="Times New Roman" w:cs="Times New Roman"/>
          <w:spacing w:val="-3"/>
        </w:rPr>
        <w:tab/>
      </w:r>
      <w:r w:rsidRPr="00430387">
        <w:rPr>
          <w:rFonts w:ascii="Times New Roman" w:hAnsi="Times New Roman" w:cs="Times New Roman"/>
          <w:spacing w:val="-3"/>
        </w:rPr>
        <w:tab/>
        <w:t xml:space="preserve">F. Joseph Brady </w:t>
      </w:r>
    </w:p>
    <w:p w:rsidR="00430387" w:rsidRPr="00430387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430387">
        <w:rPr>
          <w:rFonts w:ascii="Times New Roman" w:hAnsi="Times New Roman" w:cs="Times New Roman"/>
        </w:rPr>
        <w:tab/>
      </w:r>
      <w:r w:rsidRPr="00430387">
        <w:rPr>
          <w:rFonts w:ascii="Times New Roman" w:hAnsi="Times New Roman" w:cs="Times New Roman"/>
        </w:rPr>
        <w:tab/>
        <w:t>Administrative Law Judge</w:t>
      </w:r>
    </w:p>
    <w:p w:rsidR="005C6571" w:rsidRPr="005C6571" w:rsidRDefault="005C6571">
      <w:pPr>
        <w:rPr>
          <w:rFonts w:ascii="Times New Roman" w:hAnsi="Times New Roman" w:cs="Times New Roman"/>
        </w:rPr>
        <w:sectPr w:rsidR="005C6571" w:rsidRPr="005C6571" w:rsidSect="005C6571">
          <w:footerReference w:type="even" r:id="rId8"/>
          <w:footerReference w:type="default" r:id="rId9"/>
          <w:pgSz w:w="12240" w:h="15840" w:code="1"/>
          <w:pgMar w:top="1440" w:right="1440" w:bottom="1440" w:left="1440" w:header="720" w:footer="432" w:gutter="0"/>
          <w:cols w:space="720"/>
          <w:noEndnote/>
          <w:titlePg/>
          <w:docGrid w:linePitch="326"/>
        </w:sectPr>
      </w:pPr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proofErr w:type="spellStart"/>
      <w:r w:rsidRPr="00E42A57">
        <w:rPr>
          <w:rFonts w:ascii="Times New Roman" w:hAnsi="Times New Roman" w:cs="Times New Roman"/>
          <w:b/>
        </w:rPr>
        <w:lastRenderedPageBreak/>
        <w:t>Manani</w:t>
      </w:r>
      <w:proofErr w:type="spellEnd"/>
      <w:r w:rsidRPr="00E42A57">
        <w:rPr>
          <w:rFonts w:ascii="Times New Roman" w:hAnsi="Times New Roman" w:cs="Times New Roman"/>
          <w:b/>
        </w:rPr>
        <w:t xml:space="preserve"> Akbar v. PGW</w:t>
      </w:r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  <w:r w:rsidRPr="00E42A57">
        <w:rPr>
          <w:rFonts w:ascii="Times New Roman" w:hAnsi="Times New Roman" w:cs="Times New Roman"/>
          <w:b/>
        </w:rPr>
        <w:t>Docket Number: C-2018-3004909</w:t>
      </w:r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b/>
        </w:rPr>
      </w:pPr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  <w:b/>
        </w:rPr>
      </w:pPr>
      <w:r w:rsidRPr="00E42A57">
        <w:rPr>
          <w:rFonts w:ascii="Times New Roman" w:hAnsi="Times New Roman" w:cs="Times New Roman"/>
          <w:b/>
          <w:u w:val="single"/>
        </w:rPr>
        <w:t>SERVICE LIST</w:t>
      </w:r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412977" w:rsidRPr="00E42A57" w:rsidRDefault="00412977" w:rsidP="00412977">
      <w:pPr>
        <w:tabs>
          <w:tab w:val="left" w:pos="720"/>
          <w:tab w:val="left" w:pos="5040"/>
        </w:tabs>
        <w:suppressAutoHyphens/>
        <w:jc w:val="center"/>
        <w:rPr>
          <w:rFonts w:ascii="Times New Roman" w:hAnsi="Times New Roman" w:cs="Times New Roman"/>
        </w:rPr>
      </w:pPr>
    </w:p>
    <w:p w:rsidR="00412977" w:rsidRPr="00E42A57" w:rsidRDefault="00412977" w:rsidP="00412977">
      <w:pPr>
        <w:autoSpaceDE/>
        <w:autoSpaceDN/>
        <w:spacing w:after="160" w:line="259" w:lineRule="auto"/>
        <w:rPr>
          <w:rFonts w:ascii="Times New Roman" w:eastAsia="Microsoft Sans Serif" w:hAnsi="Times New Roman" w:cs="Times New Roman"/>
          <w:szCs w:val="22"/>
        </w:rPr>
      </w:pPr>
      <w:bookmarkStart w:id="1" w:name="_Hlk531857112"/>
      <w:r w:rsidRPr="00E42A57">
        <w:rPr>
          <w:rFonts w:ascii="Times New Roman" w:eastAsia="Microsoft Sans Serif" w:hAnsi="Times New Roman" w:cs="Times New Roman"/>
          <w:szCs w:val="22"/>
        </w:rPr>
        <w:t>MANANI AKBAR</w:t>
      </w:r>
      <w:r w:rsidRPr="00E42A57">
        <w:rPr>
          <w:rFonts w:ascii="Times New Roman" w:eastAsia="Microsoft Sans Serif" w:hAnsi="Times New Roman" w:cs="Times New Roman"/>
          <w:szCs w:val="22"/>
        </w:rPr>
        <w:cr/>
        <w:t>2114 SHALLCROSS STREET</w:t>
      </w:r>
      <w:r w:rsidRPr="00E42A57">
        <w:rPr>
          <w:rFonts w:ascii="Times New Roman" w:eastAsia="Microsoft Sans Serif" w:hAnsi="Times New Roman" w:cs="Times New Roman"/>
          <w:szCs w:val="22"/>
        </w:rPr>
        <w:cr/>
        <w:t>PHILADELPHIA  PA  19124</w:t>
      </w:r>
      <w:r w:rsidRPr="00E42A57">
        <w:rPr>
          <w:rFonts w:ascii="Times New Roman" w:eastAsia="Microsoft Sans Serif" w:hAnsi="Times New Roman" w:cs="Times New Roman"/>
          <w:szCs w:val="22"/>
        </w:rPr>
        <w:cr/>
      </w:r>
      <w:bookmarkEnd w:id="1"/>
      <w:r w:rsidRPr="00E42A57">
        <w:rPr>
          <w:rFonts w:ascii="Times New Roman" w:eastAsia="Microsoft Sans Serif" w:hAnsi="Times New Roman" w:cs="Times New Roman"/>
          <w:b/>
          <w:szCs w:val="22"/>
        </w:rPr>
        <w:t>267.407.1946</w:t>
      </w:r>
      <w:r w:rsidRPr="00E42A57">
        <w:rPr>
          <w:rFonts w:ascii="Times New Roman" w:eastAsia="Microsoft Sans Serif" w:hAnsi="Times New Roman" w:cs="Times New Roman"/>
          <w:szCs w:val="22"/>
        </w:rPr>
        <w:cr/>
      </w:r>
    </w:p>
    <w:p w:rsidR="00412977" w:rsidRPr="00E42A57" w:rsidRDefault="00412977" w:rsidP="00412977">
      <w:pPr>
        <w:autoSpaceDE/>
        <w:autoSpaceDN/>
        <w:spacing w:after="160" w:line="259" w:lineRule="auto"/>
        <w:rPr>
          <w:rFonts w:ascii="Times New Roman" w:hAnsi="Times New Roman" w:cs="Times New Roman"/>
          <w:b/>
          <w:i/>
          <w:sz w:val="22"/>
          <w:szCs w:val="22"/>
          <w:u w:val="single"/>
        </w:rPr>
      </w:pPr>
      <w:r w:rsidRPr="00E42A57">
        <w:rPr>
          <w:rFonts w:ascii="Times New Roman" w:eastAsia="Microsoft Sans Serif" w:hAnsi="Times New Roman" w:cs="Times New Roman"/>
          <w:szCs w:val="22"/>
        </w:rPr>
        <w:t>LAURETO FARINAS ESQUIRE</w:t>
      </w:r>
      <w:r w:rsidRPr="00E42A57">
        <w:rPr>
          <w:rFonts w:ascii="Times New Roman" w:eastAsia="Microsoft Sans Serif" w:hAnsi="Times New Roman" w:cs="Times New Roman"/>
          <w:szCs w:val="22"/>
        </w:rPr>
        <w:cr/>
        <w:t>PHILADELPHIA GAS WORKS</w:t>
      </w:r>
      <w:r w:rsidRPr="00E42A57">
        <w:rPr>
          <w:rFonts w:ascii="Times New Roman" w:eastAsia="Microsoft Sans Serif" w:hAnsi="Times New Roman" w:cs="Times New Roman"/>
          <w:szCs w:val="22"/>
        </w:rPr>
        <w:cr/>
        <w:t>4th Floor</w:t>
      </w:r>
      <w:r w:rsidRPr="00E42A57">
        <w:rPr>
          <w:rFonts w:ascii="Times New Roman" w:eastAsia="Microsoft Sans Serif" w:hAnsi="Times New Roman" w:cs="Times New Roman"/>
          <w:szCs w:val="22"/>
        </w:rPr>
        <w:cr/>
        <w:t>800 W MONTGOMERY AVENUE</w:t>
      </w:r>
      <w:r w:rsidRPr="00E42A57">
        <w:rPr>
          <w:rFonts w:ascii="Times New Roman" w:eastAsia="Microsoft Sans Serif" w:hAnsi="Times New Roman" w:cs="Times New Roman"/>
          <w:szCs w:val="22"/>
        </w:rPr>
        <w:cr/>
        <w:t>PHILADELPHIA PA  19122</w:t>
      </w:r>
      <w:r w:rsidRPr="00E42A57">
        <w:rPr>
          <w:rFonts w:ascii="Times New Roman" w:eastAsia="Microsoft Sans Serif" w:hAnsi="Times New Roman" w:cs="Times New Roman"/>
          <w:szCs w:val="22"/>
        </w:rPr>
        <w:cr/>
      </w:r>
      <w:r w:rsidRPr="00E42A57">
        <w:rPr>
          <w:rFonts w:ascii="Times New Roman" w:eastAsia="Microsoft Sans Serif" w:hAnsi="Times New Roman" w:cs="Times New Roman"/>
          <w:b/>
          <w:szCs w:val="22"/>
        </w:rPr>
        <w:t>215.684.6982</w:t>
      </w:r>
      <w:r w:rsidRPr="00E42A57">
        <w:rPr>
          <w:rFonts w:ascii="Times New Roman" w:eastAsia="Microsoft Sans Serif" w:hAnsi="Times New Roman" w:cs="Times New Roman"/>
          <w:szCs w:val="22"/>
        </w:rPr>
        <w:cr/>
      </w:r>
      <w:r w:rsidRPr="00E42A57">
        <w:rPr>
          <w:rFonts w:ascii="Times New Roman" w:eastAsia="Microsoft Sans Serif" w:hAnsi="Times New Roman" w:cs="Times New Roman"/>
          <w:b/>
          <w:i/>
          <w:szCs w:val="22"/>
          <w:u w:val="single"/>
        </w:rPr>
        <w:t xml:space="preserve">Accepts E-Service </w:t>
      </w:r>
    </w:p>
    <w:p w:rsidR="00D549E7" w:rsidRPr="005C6571" w:rsidRDefault="00D549E7" w:rsidP="00430387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sectPr w:rsidR="00D549E7" w:rsidRPr="005C6571" w:rsidSect="005C6571"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A24" w:rsidRDefault="006E0A24" w:rsidP="00872098">
      <w:r>
        <w:separator/>
      </w:r>
    </w:p>
  </w:endnote>
  <w:endnote w:type="continuationSeparator" w:id="0">
    <w:p w:rsidR="006E0A24" w:rsidRDefault="006E0A24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A24" w:rsidRDefault="006E0A24" w:rsidP="00872098">
      <w:r>
        <w:separator/>
      </w:r>
    </w:p>
  </w:footnote>
  <w:footnote w:type="continuationSeparator" w:id="0">
    <w:p w:rsidR="006E0A24" w:rsidRDefault="006E0A24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E2181"/>
    <w:rsid w:val="000F1D4F"/>
    <w:rsid w:val="001200C0"/>
    <w:rsid w:val="00126F19"/>
    <w:rsid w:val="001312E7"/>
    <w:rsid w:val="001725CF"/>
    <w:rsid w:val="001B34DF"/>
    <w:rsid w:val="001C732F"/>
    <w:rsid w:val="001D02F6"/>
    <w:rsid w:val="001D7621"/>
    <w:rsid w:val="001F1FFA"/>
    <w:rsid w:val="001F47DD"/>
    <w:rsid w:val="00200E83"/>
    <w:rsid w:val="002222F3"/>
    <w:rsid w:val="002236DC"/>
    <w:rsid w:val="00225661"/>
    <w:rsid w:val="00260C12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3044D0"/>
    <w:rsid w:val="0030630B"/>
    <w:rsid w:val="00313942"/>
    <w:rsid w:val="0033179C"/>
    <w:rsid w:val="0033571C"/>
    <w:rsid w:val="003560F1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12977"/>
    <w:rsid w:val="00425E6B"/>
    <w:rsid w:val="00430387"/>
    <w:rsid w:val="00431C39"/>
    <w:rsid w:val="00437994"/>
    <w:rsid w:val="00442630"/>
    <w:rsid w:val="004634E9"/>
    <w:rsid w:val="00475D82"/>
    <w:rsid w:val="004920C7"/>
    <w:rsid w:val="004A0CAF"/>
    <w:rsid w:val="004C1D8D"/>
    <w:rsid w:val="004C2AA9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E39DC"/>
    <w:rsid w:val="005F3C99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64495"/>
    <w:rsid w:val="00686A9E"/>
    <w:rsid w:val="0068710C"/>
    <w:rsid w:val="00687AEE"/>
    <w:rsid w:val="006908AB"/>
    <w:rsid w:val="006A25E0"/>
    <w:rsid w:val="006C1F29"/>
    <w:rsid w:val="006D640F"/>
    <w:rsid w:val="006E004D"/>
    <w:rsid w:val="006E0A24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80293"/>
    <w:rsid w:val="007E1D05"/>
    <w:rsid w:val="007F7BC9"/>
    <w:rsid w:val="00804EFE"/>
    <w:rsid w:val="00836302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66A82"/>
    <w:rsid w:val="009872C8"/>
    <w:rsid w:val="00994DC1"/>
    <w:rsid w:val="009B21B5"/>
    <w:rsid w:val="009D6055"/>
    <w:rsid w:val="009F3BF9"/>
    <w:rsid w:val="00A04869"/>
    <w:rsid w:val="00A323C5"/>
    <w:rsid w:val="00A604A1"/>
    <w:rsid w:val="00A60B88"/>
    <w:rsid w:val="00A670B8"/>
    <w:rsid w:val="00A72FAB"/>
    <w:rsid w:val="00A76C9E"/>
    <w:rsid w:val="00A93723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7721"/>
    <w:rsid w:val="00E42A57"/>
    <w:rsid w:val="00E44504"/>
    <w:rsid w:val="00E6301E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CF498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8470C-5377-49E1-A66C-8FB7B668A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2</cp:revision>
  <cp:lastPrinted>2018-12-06T15:57:00Z</cp:lastPrinted>
  <dcterms:created xsi:type="dcterms:W3CDTF">2018-12-06T15:58:00Z</dcterms:created>
  <dcterms:modified xsi:type="dcterms:W3CDTF">2018-12-06T15:58:00Z</dcterms:modified>
</cp:coreProperties>
</file>