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ADF96" w14:textId="77777777" w:rsidR="00B4613A" w:rsidRPr="002A5D4B" w:rsidRDefault="00B4613A" w:rsidP="00B4613A">
      <w:pPr>
        <w:spacing w:line="240" w:lineRule="auto"/>
        <w:ind w:firstLine="0"/>
        <w:rPr>
          <w:b/>
          <w:sz w:val="26"/>
          <w:szCs w:val="26"/>
        </w:rPr>
      </w:pPr>
      <w:r w:rsidRPr="002A5D4B">
        <w:rPr>
          <w:b/>
          <w:sz w:val="26"/>
          <w:szCs w:val="26"/>
        </w:rPr>
        <w:t>PENNSYLVANIA</w:t>
      </w:r>
    </w:p>
    <w:p w14:paraId="158037A4" w14:textId="77777777" w:rsidR="00B4613A" w:rsidRPr="002A5D4B" w:rsidRDefault="00B4613A" w:rsidP="00B4613A">
      <w:pPr>
        <w:spacing w:line="240" w:lineRule="auto"/>
        <w:ind w:firstLine="0"/>
        <w:rPr>
          <w:b/>
          <w:sz w:val="26"/>
          <w:szCs w:val="26"/>
        </w:rPr>
      </w:pPr>
      <w:r w:rsidRPr="002A5D4B">
        <w:rPr>
          <w:b/>
          <w:sz w:val="26"/>
          <w:szCs w:val="26"/>
        </w:rPr>
        <w:t>PUBLIC UTILITY COMMISSION</w:t>
      </w:r>
    </w:p>
    <w:p w14:paraId="72E34041" w14:textId="77777777" w:rsidR="00B4613A" w:rsidRDefault="00B4613A" w:rsidP="00B4613A">
      <w:pPr>
        <w:spacing w:line="240" w:lineRule="auto"/>
        <w:ind w:firstLine="0"/>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14:paraId="1324E7DD" w14:textId="109D5E81" w:rsidR="00B4613A" w:rsidRDefault="00B4613A" w:rsidP="00B4613A">
      <w:pPr>
        <w:spacing w:line="240" w:lineRule="auto"/>
        <w:ind w:firstLine="0"/>
        <w:jc w:val="left"/>
        <w:rPr>
          <w:sz w:val="26"/>
          <w:szCs w:val="26"/>
        </w:rPr>
      </w:pPr>
    </w:p>
    <w:p w14:paraId="003F2BF2" w14:textId="77777777" w:rsidR="00B44F64" w:rsidRPr="00BA66A4" w:rsidRDefault="00B44F64" w:rsidP="00B4613A">
      <w:pPr>
        <w:spacing w:line="240" w:lineRule="auto"/>
        <w:ind w:firstLine="0"/>
        <w:jc w:val="left"/>
        <w:rPr>
          <w:sz w:val="26"/>
          <w:szCs w:val="26"/>
        </w:rPr>
      </w:pPr>
    </w:p>
    <w:p w14:paraId="09DFD2A5" w14:textId="6D28D9CD" w:rsidR="00B4613A" w:rsidRPr="002A5D4B" w:rsidRDefault="00B4613A" w:rsidP="00B4613A">
      <w:pPr>
        <w:ind w:firstLine="0"/>
        <w:jc w:val="right"/>
        <w:rPr>
          <w:sz w:val="26"/>
          <w:szCs w:val="26"/>
        </w:rPr>
      </w:pPr>
      <w:r>
        <w:rPr>
          <w:sz w:val="26"/>
          <w:szCs w:val="26"/>
        </w:rPr>
        <w:t>P</w:t>
      </w:r>
      <w:r w:rsidRPr="002A5D4B">
        <w:rPr>
          <w:sz w:val="26"/>
          <w:szCs w:val="26"/>
        </w:rPr>
        <w:t xml:space="preserve">ublic Meeting held </w:t>
      </w:r>
      <w:r w:rsidR="001754DC">
        <w:rPr>
          <w:sz w:val="26"/>
          <w:szCs w:val="26"/>
        </w:rPr>
        <w:t>December 6</w:t>
      </w:r>
      <w:r>
        <w:rPr>
          <w:sz w:val="26"/>
          <w:szCs w:val="26"/>
        </w:rPr>
        <w:t>,</w:t>
      </w:r>
      <w:r w:rsidRPr="00B01CA9">
        <w:rPr>
          <w:kern w:val="1"/>
          <w:sz w:val="26"/>
          <w:szCs w:val="26"/>
        </w:rPr>
        <w:t xml:space="preserve"> 20</w:t>
      </w:r>
      <w:r>
        <w:rPr>
          <w:kern w:val="1"/>
          <w:sz w:val="26"/>
          <w:szCs w:val="26"/>
        </w:rPr>
        <w:t>1</w:t>
      </w:r>
      <w:r w:rsidR="005C041B">
        <w:rPr>
          <w:kern w:val="1"/>
          <w:sz w:val="26"/>
          <w:szCs w:val="26"/>
        </w:rPr>
        <w:t>8</w:t>
      </w:r>
    </w:p>
    <w:p w14:paraId="6AA0B0BF" w14:textId="77777777" w:rsidR="00B4613A" w:rsidRPr="002A5D4B" w:rsidRDefault="00B4613A" w:rsidP="00B4613A">
      <w:pPr>
        <w:spacing w:line="240" w:lineRule="auto"/>
        <w:ind w:firstLine="0"/>
        <w:jc w:val="left"/>
        <w:rPr>
          <w:sz w:val="26"/>
          <w:szCs w:val="26"/>
        </w:rPr>
      </w:pPr>
    </w:p>
    <w:p w14:paraId="31A9810E" w14:textId="77777777" w:rsidR="00B4613A" w:rsidRPr="002A5D4B" w:rsidRDefault="00B4613A" w:rsidP="00B4613A">
      <w:pPr>
        <w:spacing w:line="240" w:lineRule="auto"/>
        <w:ind w:firstLine="0"/>
        <w:jc w:val="left"/>
        <w:rPr>
          <w:sz w:val="26"/>
          <w:szCs w:val="26"/>
        </w:rPr>
      </w:pPr>
      <w:r w:rsidRPr="002A5D4B">
        <w:rPr>
          <w:sz w:val="26"/>
          <w:szCs w:val="26"/>
        </w:rPr>
        <w:t>Commissioners Present:</w:t>
      </w:r>
    </w:p>
    <w:p w14:paraId="4EC8BE9E" w14:textId="77777777" w:rsidR="00B4613A" w:rsidRPr="002A5D4B" w:rsidRDefault="00B4613A" w:rsidP="00B4613A">
      <w:pPr>
        <w:spacing w:line="240" w:lineRule="auto"/>
        <w:ind w:firstLine="0"/>
        <w:jc w:val="left"/>
        <w:rPr>
          <w:sz w:val="26"/>
          <w:szCs w:val="26"/>
        </w:rPr>
      </w:pPr>
    </w:p>
    <w:p w14:paraId="064586A6" w14:textId="77777777" w:rsidR="00B4613A" w:rsidRPr="002A5D4B" w:rsidRDefault="00B4613A" w:rsidP="00B4613A">
      <w:pPr>
        <w:spacing w:line="240" w:lineRule="auto"/>
        <w:ind w:firstLine="0"/>
        <w:jc w:val="left"/>
        <w:rPr>
          <w:sz w:val="26"/>
          <w:szCs w:val="26"/>
        </w:rPr>
      </w:pPr>
      <w:r>
        <w:rPr>
          <w:sz w:val="26"/>
          <w:szCs w:val="26"/>
        </w:rPr>
        <w:tab/>
        <w:t>Gladys M. Brown</w:t>
      </w:r>
      <w:r w:rsidRPr="002A5D4B">
        <w:rPr>
          <w:sz w:val="26"/>
          <w:szCs w:val="26"/>
        </w:rPr>
        <w:t>, Chairman</w:t>
      </w:r>
    </w:p>
    <w:p w14:paraId="344B3A37" w14:textId="77777777" w:rsidR="00B4613A" w:rsidRDefault="00B4613A" w:rsidP="00B4613A">
      <w:pPr>
        <w:spacing w:line="240" w:lineRule="auto"/>
        <w:ind w:firstLine="0"/>
        <w:jc w:val="left"/>
        <w:rPr>
          <w:sz w:val="26"/>
          <w:szCs w:val="26"/>
        </w:rPr>
      </w:pPr>
      <w:r>
        <w:rPr>
          <w:sz w:val="26"/>
          <w:szCs w:val="26"/>
        </w:rPr>
        <w:tab/>
        <w:t>Andrew G. Place</w:t>
      </w:r>
      <w:r w:rsidRPr="002A5D4B">
        <w:rPr>
          <w:sz w:val="26"/>
          <w:szCs w:val="26"/>
        </w:rPr>
        <w:t>, Vice Chairman</w:t>
      </w:r>
    </w:p>
    <w:p w14:paraId="45051464" w14:textId="77777777" w:rsidR="00B4613A" w:rsidRDefault="00B4613A" w:rsidP="00B4613A">
      <w:pPr>
        <w:spacing w:line="240" w:lineRule="auto"/>
        <w:ind w:firstLine="0"/>
        <w:jc w:val="left"/>
        <w:rPr>
          <w:sz w:val="26"/>
          <w:szCs w:val="26"/>
        </w:rPr>
      </w:pPr>
      <w:r>
        <w:rPr>
          <w:sz w:val="26"/>
          <w:szCs w:val="26"/>
        </w:rPr>
        <w:tab/>
        <w:t>Norman J. Kennard</w:t>
      </w:r>
    </w:p>
    <w:p w14:paraId="6EEC13F2" w14:textId="35EF9D3D" w:rsidR="00B4613A" w:rsidRDefault="00B23A57" w:rsidP="00B23A57">
      <w:pPr>
        <w:spacing w:line="240" w:lineRule="auto"/>
        <w:ind w:firstLine="0"/>
        <w:jc w:val="left"/>
        <w:rPr>
          <w:sz w:val="26"/>
          <w:szCs w:val="26"/>
        </w:rPr>
      </w:pPr>
      <w:r>
        <w:rPr>
          <w:sz w:val="26"/>
          <w:szCs w:val="26"/>
        </w:rPr>
        <w:tab/>
      </w:r>
      <w:r w:rsidR="00B4613A">
        <w:rPr>
          <w:sz w:val="26"/>
          <w:szCs w:val="26"/>
        </w:rPr>
        <w:t>David W. Sweet</w:t>
      </w:r>
    </w:p>
    <w:p w14:paraId="71C62006" w14:textId="088984FD" w:rsidR="00B4613A" w:rsidRPr="002A5D4B" w:rsidRDefault="00B23A57" w:rsidP="00B23A57">
      <w:pPr>
        <w:spacing w:line="240" w:lineRule="auto"/>
        <w:ind w:firstLine="0"/>
        <w:jc w:val="left"/>
        <w:rPr>
          <w:sz w:val="26"/>
          <w:szCs w:val="26"/>
        </w:rPr>
      </w:pPr>
      <w:r>
        <w:rPr>
          <w:sz w:val="26"/>
          <w:szCs w:val="26"/>
        </w:rPr>
        <w:tab/>
      </w:r>
      <w:r w:rsidR="00B4613A">
        <w:rPr>
          <w:sz w:val="26"/>
          <w:szCs w:val="26"/>
        </w:rPr>
        <w:t>John F. Coleman, Jr.</w:t>
      </w:r>
    </w:p>
    <w:p w14:paraId="58C782C9" w14:textId="4A43C552" w:rsidR="00B4613A" w:rsidRPr="002A5D4B" w:rsidRDefault="00B4613A" w:rsidP="00B4613A">
      <w:pPr>
        <w:spacing w:line="240" w:lineRule="auto"/>
        <w:ind w:firstLine="0"/>
        <w:jc w:val="left"/>
        <w:rPr>
          <w:sz w:val="26"/>
          <w:szCs w:val="26"/>
        </w:rPr>
      </w:pPr>
    </w:p>
    <w:p w14:paraId="78F1358E" w14:textId="77777777" w:rsidR="00B4613A" w:rsidRPr="007F73BF" w:rsidRDefault="00B4613A" w:rsidP="00B4613A">
      <w:pPr>
        <w:spacing w:line="240" w:lineRule="auto"/>
        <w:ind w:firstLine="0"/>
        <w:rPr>
          <w:sz w:val="26"/>
          <w:szCs w:val="26"/>
        </w:rPr>
      </w:pPr>
    </w:p>
    <w:p w14:paraId="58A06EF0" w14:textId="77777777" w:rsidR="00B4613A" w:rsidRPr="007F73BF" w:rsidRDefault="00B4613A" w:rsidP="00B4613A">
      <w:pPr>
        <w:spacing w:line="240" w:lineRule="auto"/>
        <w:ind w:firstLine="0"/>
        <w:rPr>
          <w:sz w:val="26"/>
          <w:szCs w:val="26"/>
        </w:rPr>
      </w:pPr>
    </w:p>
    <w:p w14:paraId="54B420F0" w14:textId="6A775262" w:rsidR="00B4613A" w:rsidRPr="003B2C56" w:rsidRDefault="001754DC" w:rsidP="00B4613A">
      <w:pPr>
        <w:tabs>
          <w:tab w:val="left" w:pos="-720"/>
          <w:tab w:val="left" w:pos="0"/>
        </w:tabs>
        <w:suppressAutoHyphens/>
        <w:spacing w:line="240" w:lineRule="auto"/>
        <w:ind w:firstLine="0"/>
        <w:jc w:val="left"/>
        <w:rPr>
          <w:sz w:val="26"/>
          <w:szCs w:val="26"/>
        </w:rPr>
      </w:pPr>
      <w:r>
        <w:rPr>
          <w:sz w:val="26"/>
          <w:szCs w:val="26"/>
        </w:rPr>
        <w:t>Otis Johnson</w:t>
      </w:r>
      <w:r w:rsidR="003B2C56">
        <w:rPr>
          <w:sz w:val="26"/>
          <w:szCs w:val="26"/>
        </w:rPr>
        <w:t xml:space="preserve"> </w:t>
      </w:r>
      <w:r w:rsidR="00B4613A">
        <w:rPr>
          <w:sz w:val="26"/>
          <w:szCs w:val="26"/>
        </w:rPr>
        <w:tab/>
      </w:r>
      <w:r w:rsidR="00B4613A">
        <w:rPr>
          <w:sz w:val="26"/>
          <w:szCs w:val="26"/>
        </w:rPr>
        <w:tab/>
      </w:r>
      <w:r w:rsidR="00B44F64">
        <w:rPr>
          <w:sz w:val="26"/>
          <w:szCs w:val="26"/>
        </w:rPr>
        <w:t xml:space="preserve"> </w:t>
      </w:r>
      <w:r w:rsidR="00B746FE">
        <w:rPr>
          <w:sz w:val="26"/>
          <w:szCs w:val="26"/>
        </w:rPr>
        <w:t xml:space="preserve">    </w:t>
      </w:r>
      <w:r w:rsidR="00B746FE">
        <w:rPr>
          <w:sz w:val="26"/>
          <w:szCs w:val="26"/>
        </w:rPr>
        <w:tab/>
      </w:r>
      <w:r w:rsidR="00B746FE">
        <w:rPr>
          <w:sz w:val="26"/>
          <w:szCs w:val="26"/>
        </w:rPr>
        <w:tab/>
      </w:r>
      <w:r>
        <w:rPr>
          <w:sz w:val="26"/>
          <w:szCs w:val="26"/>
        </w:rPr>
        <w:t xml:space="preserve">                                                             F-2017-2605672</w:t>
      </w:r>
      <w:r w:rsidR="00B44F64">
        <w:rPr>
          <w:sz w:val="26"/>
          <w:szCs w:val="26"/>
        </w:rPr>
        <w:t xml:space="preserve"> </w:t>
      </w:r>
    </w:p>
    <w:p w14:paraId="694C5486" w14:textId="77777777" w:rsidR="003B2C56" w:rsidRDefault="003B2C56" w:rsidP="00B4613A">
      <w:pPr>
        <w:tabs>
          <w:tab w:val="left" w:pos="-720"/>
          <w:tab w:val="left" w:pos="0"/>
        </w:tabs>
        <w:suppressAutoHyphens/>
        <w:spacing w:line="240" w:lineRule="auto"/>
        <w:ind w:firstLine="0"/>
        <w:jc w:val="left"/>
        <w:rPr>
          <w:b/>
          <w:sz w:val="26"/>
          <w:szCs w:val="26"/>
        </w:rPr>
      </w:pPr>
    </w:p>
    <w:p w14:paraId="1D607560" w14:textId="77777777" w:rsidR="00B4613A" w:rsidRDefault="00B4613A" w:rsidP="00B4613A">
      <w:pPr>
        <w:tabs>
          <w:tab w:val="left" w:pos="-720"/>
          <w:tab w:val="left" w:pos="0"/>
        </w:tabs>
        <w:suppressAutoHyphens/>
        <w:spacing w:line="240" w:lineRule="auto"/>
        <w:ind w:firstLine="0"/>
        <w:jc w:val="left"/>
        <w:rPr>
          <w:sz w:val="26"/>
          <w:szCs w:val="26"/>
        </w:rPr>
      </w:pPr>
      <w:r>
        <w:rPr>
          <w:b/>
          <w:sz w:val="26"/>
          <w:szCs w:val="26"/>
        </w:rPr>
        <w:tab/>
        <w:t xml:space="preserve">     </w:t>
      </w:r>
      <w:r>
        <w:rPr>
          <w:sz w:val="26"/>
          <w:szCs w:val="26"/>
        </w:rPr>
        <w:t>v.</w:t>
      </w:r>
    </w:p>
    <w:p w14:paraId="1883A3B7" w14:textId="77777777" w:rsidR="00B4613A" w:rsidRDefault="00B4613A" w:rsidP="00B4613A">
      <w:pPr>
        <w:tabs>
          <w:tab w:val="left" w:pos="-720"/>
          <w:tab w:val="left" w:pos="0"/>
        </w:tabs>
        <w:suppressAutoHyphens/>
        <w:spacing w:line="240" w:lineRule="auto"/>
        <w:ind w:firstLine="0"/>
        <w:jc w:val="left"/>
        <w:rPr>
          <w:sz w:val="26"/>
          <w:szCs w:val="26"/>
        </w:rPr>
      </w:pPr>
    </w:p>
    <w:p w14:paraId="0D2C7408" w14:textId="0763285D" w:rsidR="00B4613A" w:rsidRDefault="001754DC" w:rsidP="00B4613A">
      <w:pPr>
        <w:tabs>
          <w:tab w:val="left" w:pos="-720"/>
          <w:tab w:val="left" w:pos="0"/>
        </w:tabs>
        <w:suppressAutoHyphens/>
        <w:spacing w:line="240" w:lineRule="auto"/>
        <w:ind w:firstLine="0"/>
        <w:jc w:val="left"/>
        <w:rPr>
          <w:sz w:val="26"/>
          <w:szCs w:val="26"/>
        </w:rPr>
      </w:pPr>
      <w:r>
        <w:rPr>
          <w:sz w:val="26"/>
          <w:szCs w:val="26"/>
        </w:rPr>
        <w:t>Philadelphia Gas Works</w:t>
      </w:r>
    </w:p>
    <w:p w14:paraId="7D6C147E" w14:textId="77777777" w:rsidR="00B4613A" w:rsidRPr="001E0694" w:rsidRDefault="00B4613A" w:rsidP="00B4613A">
      <w:pPr>
        <w:tabs>
          <w:tab w:val="left" w:pos="-720"/>
          <w:tab w:val="left" w:pos="0"/>
        </w:tabs>
        <w:suppressAutoHyphens/>
        <w:spacing w:line="240" w:lineRule="auto"/>
        <w:ind w:firstLine="0"/>
        <w:jc w:val="left"/>
        <w:rPr>
          <w:sz w:val="26"/>
          <w:szCs w:val="26"/>
        </w:rPr>
      </w:pPr>
    </w:p>
    <w:p w14:paraId="365B31D1" w14:textId="77777777" w:rsidR="00B4613A" w:rsidRDefault="00B4613A" w:rsidP="00B4613A">
      <w:pPr>
        <w:tabs>
          <w:tab w:val="left" w:pos="-720"/>
        </w:tabs>
        <w:suppressAutoHyphens/>
        <w:ind w:firstLine="0"/>
        <w:jc w:val="left"/>
        <w:rPr>
          <w:sz w:val="26"/>
        </w:rPr>
      </w:pPr>
    </w:p>
    <w:p w14:paraId="6392E522" w14:textId="77777777" w:rsidR="00B4613A" w:rsidRDefault="00B4613A" w:rsidP="00B4613A">
      <w:pPr>
        <w:suppressAutoHyphens/>
        <w:ind w:firstLine="0"/>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14:paraId="156D2AC3" w14:textId="77777777" w:rsidR="00B4613A" w:rsidRDefault="00B4613A" w:rsidP="00B4613A">
      <w:pPr>
        <w:suppressAutoHyphens/>
        <w:ind w:firstLine="0"/>
        <w:rPr>
          <w:b/>
          <w:sz w:val="26"/>
          <w:szCs w:val="26"/>
        </w:rPr>
      </w:pPr>
    </w:p>
    <w:p w14:paraId="180E336A" w14:textId="77777777" w:rsidR="00B4613A" w:rsidRDefault="00B4613A" w:rsidP="00B4613A">
      <w:pPr>
        <w:tabs>
          <w:tab w:val="left" w:pos="-720"/>
        </w:tabs>
        <w:suppressAutoHyphens/>
        <w:ind w:firstLine="0"/>
        <w:jc w:val="left"/>
        <w:rPr>
          <w:sz w:val="26"/>
        </w:rPr>
      </w:pPr>
      <w:r w:rsidRPr="00624B80">
        <w:rPr>
          <w:b/>
          <w:sz w:val="26"/>
        </w:rPr>
        <w:t>BY THE COMMISSION:</w:t>
      </w:r>
    </w:p>
    <w:p w14:paraId="73D7224D" w14:textId="77777777" w:rsidR="00B4613A" w:rsidRDefault="00B4613A" w:rsidP="00B4613A">
      <w:pPr>
        <w:ind w:firstLine="0"/>
        <w:jc w:val="left"/>
        <w:rPr>
          <w:sz w:val="26"/>
          <w:szCs w:val="26"/>
        </w:rPr>
      </w:pPr>
    </w:p>
    <w:p w14:paraId="75191F7F" w14:textId="75E13652" w:rsidR="0071473C" w:rsidRDefault="00D51C18" w:rsidP="002811D5">
      <w:pPr>
        <w:ind w:firstLine="1440"/>
        <w:jc w:val="left"/>
        <w:rPr>
          <w:sz w:val="26"/>
          <w:szCs w:val="26"/>
        </w:rPr>
      </w:pPr>
      <w:r w:rsidRPr="00FD25A0">
        <w:rPr>
          <w:sz w:val="26"/>
          <w:szCs w:val="26"/>
        </w:rPr>
        <w:t>Before the Pennsylvania Public Utility Commission (Commission) for consideration an</w:t>
      </w:r>
      <w:r w:rsidR="00E37594">
        <w:rPr>
          <w:sz w:val="26"/>
          <w:szCs w:val="26"/>
        </w:rPr>
        <w:t>d disposition</w:t>
      </w:r>
      <w:r w:rsidR="0071473C">
        <w:rPr>
          <w:sz w:val="26"/>
          <w:szCs w:val="26"/>
        </w:rPr>
        <w:t xml:space="preserve"> are the Exceptions of Otis Johnson</w:t>
      </w:r>
      <w:r w:rsidR="0040787D">
        <w:rPr>
          <w:sz w:val="26"/>
          <w:szCs w:val="26"/>
        </w:rPr>
        <w:t xml:space="preserve"> (Complainant) filed on April 19, 2018, to the Initial Decision (I.D.) of Administrative Law Judge (ALJ) Eranda Vero, issued on April 12, 2018, in the above-captioned proceeding.  Replies to Exceptions were filed by Philadelphia Gas Works (PGW or the Company) on May 11, 2018.  For the reasons stated below, we shall deny the Exceptions, and adopt the Initial Decision of ALJ Vero, consistent with this Opinion and Order.</w:t>
      </w:r>
    </w:p>
    <w:p w14:paraId="6BA90628" w14:textId="11507966" w:rsidR="000B47EB" w:rsidRDefault="000B47EB" w:rsidP="0040787D">
      <w:pPr>
        <w:ind w:firstLine="0"/>
        <w:jc w:val="left"/>
        <w:rPr>
          <w:sz w:val="26"/>
          <w:szCs w:val="26"/>
        </w:rPr>
      </w:pPr>
    </w:p>
    <w:p w14:paraId="45E6CACA" w14:textId="2F70BC18" w:rsidR="00B4613A" w:rsidRDefault="00B4613A" w:rsidP="00F843A3">
      <w:pPr>
        <w:pStyle w:val="ListParagraph"/>
        <w:keepNext/>
        <w:keepLines/>
        <w:ind w:left="0" w:firstLine="0"/>
        <w:rPr>
          <w:b/>
          <w:sz w:val="26"/>
          <w:szCs w:val="26"/>
        </w:rPr>
      </w:pPr>
      <w:r w:rsidRPr="00D46080">
        <w:rPr>
          <w:b/>
          <w:sz w:val="26"/>
          <w:szCs w:val="26"/>
        </w:rPr>
        <w:lastRenderedPageBreak/>
        <w:t>History of the Proceeding</w:t>
      </w:r>
    </w:p>
    <w:p w14:paraId="41FE8186" w14:textId="77777777" w:rsidR="00D46080" w:rsidRDefault="00D46080" w:rsidP="000D5317">
      <w:pPr>
        <w:pStyle w:val="ListParagraph"/>
        <w:keepNext/>
        <w:keepLines/>
        <w:ind w:left="0" w:firstLine="0"/>
        <w:jc w:val="both"/>
        <w:rPr>
          <w:b/>
          <w:sz w:val="26"/>
          <w:szCs w:val="26"/>
        </w:rPr>
      </w:pPr>
    </w:p>
    <w:p w14:paraId="11666BDE" w14:textId="7C9C99D2" w:rsidR="00AD2FED" w:rsidRDefault="006D3723" w:rsidP="000C04EA">
      <w:pPr>
        <w:pStyle w:val="Default"/>
        <w:spacing w:line="360" w:lineRule="auto"/>
        <w:ind w:firstLine="1440"/>
        <w:rPr>
          <w:sz w:val="26"/>
          <w:szCs w:val="26"/>
        </w:rPr>
      </w:pPr>
      <w:r>
        <w:rPr>
          <w:sz w:val="26"/>
          <w:szCs w:val="26"/>
        </w:rPr>
        <w:t>On May 12, 2017</w:t>
      </w:r>
      <w:r w:rsidR="00CA026B">
        <w:rPr>
          <w:sz w:val="26"/>
          <w:szCs w:val="26"/>
        </w:rPr>
        <w:t xml:space="preserve">, the Complainant filed a Formal Complaint against PGW with the Commission wherein he alleged that his PGW bill for the month of January was abnormally high.  As relief, the Complainant requested that his gas bill be reviewed and corrected.  </w:t>
      </w:r>
      <w:r w:rsidR="00CA026B" w:rsidRPr="000C04EA">
        <w:rPr>
          <w:sz w:val="26"/>
          <w:szCs w:val="26"/>
        </w:rPr>
        <w:t>Complaint at ¶</w:t>
      </w:r>
      <w:r w:rsidR="00CA026B">
        <w:rPr>
          <w:sz w:val="26"/>
          <w:szCs w:val="26"/>
        </w:rPr>
        <w:t>¶</w:t>
      </w:r>
      <w:r w:rsidR="00CA026B" w:rsidRPr="000C04EA">
        <w:rPr>
          <w:sz w:val="26"/>
          <w:szCs w:val="26"/>
        </w:rPr>
        <w:t xml:space="preserve"> 4</w:t>
      </w:r>
      <w:r w:rsidR="00CA026B">
        <w:rPr>
          <w:sz w:val="26"/>
          <w:szCs w:val="26"/>
        </w:rPr>
        <w:t>-5.</w:t>
      </w:r>
      <w:r w:rsidR="00CA026B" w:rsidRPr="00F747D5">
        <w:rPr>
          <w:bCs/>
          <w:vertAlign w:val="superscript"/>
        </w:rPr>
        <w:footnoteReference w:id="1"/>
      </w:r>
    </w:p>
    <w:p w14:paraId="38780065" w14:textId="4377D1AE" w:rsidR="00AF47EC" w:rsidRPr="003F6E2A" w:rsidRDefault="00AF47EC" w:rsidP="007F3D0C">
      <w:pPr>
        <w:pStyle w:val="Default"/>
        <w:spacing w:line="360" w:lineRule="auto"/>
        <w:rPr>
          <w:sz w:val="26"/>
          <w:szCs w:val="26"/>
        </w:rPr>
      </w:pPr>
    </w:p>
    <w:p w14:paraId="4E959665" w14:textId="1D4B530E" w:rsidR="003979FB" w:rsidRDefault="000B5458" w:rsidP="006101F6">
      <w:pPr>
        <w:pStyle w:val="Default"/>
        <w:spacing w:line="360" w:lineRule="auto"/>
        <w:ind w:firstLine="1440"/>
        <w:rPr>
          <w:color w:val="auto"/>
          <w:sz w:val="26"/>
          <w:szCs w:val="26"/>
        </w:rPr>
      </w:pPr>
      <w:r w:rsidRPr="00357E45">
        <w:rPr>
          <w:color w:val="auto"/>
          <w:sz w:val="26"/>
          <w:szCs w:val="26"/>
        </w:rPr>
        <w:t xml:space="preserve">On </w:t>
      </w:r>
      <w:r w:rsidR="003979FB">
        <w:rPr>
          <w:color w:val="auto"/>
          <w:sz w:val="26"/>
          <w:szCs w:val="26"/>
        </w:rPr>
        <w:t>June 12</w:t>
      </w:r>
      <w:r w:rsidR="001D5D09">
        <w:rPr>
          <w:color w:val="auto"/>
          <w:sz w:val="26"/>
          <w:szCs w:val="26"/>
        </w:rPr>
        <w:t>, 2017</w:t>
      </w:r>
      <w:r w:rsidR="00B63502" w:rsidRPr="00357E45">
        <w:rPr>
          <w:color w:val="auto"/>
          <w:sz w:val="26"/>
          <w:szCs w:val="26"/>
        </w:rPr>
        <w:t>,</w:t>
      </w:r>
      <w:r w:rsidR="003979FB">
        <w:rPr>
          <w:color w:val="auto"/>
          <w:sz w:val="26"/>
          <w:szCs w:val="26"/>
        </w:rPr>
        <w:t xml:space="preserve"> PGW</w:t>
      </w:r>
      <w:r w:rsidR="00D46080" w:rsidRPr="00D46080">
        <w:rPr>
          <w:color w:val="auto"/>
          <w:sz w:val="26"/>
          <w:szCs w:val="26"/>
        </w:rPr>
        <w:t xml:space="preserve"> filed an </w:t>
      </w:r>
      <w:r w:rsidR="001D698E">
        <w:rPr>
          <w:color w:val="auto"/>
          <w:sz w:val="26"/>
          <w:szCs w:val="26"/>
        </w:rPr>
        <w:t>A</w:t>
      </w:r>
      <w:r w:rsidR="00D46080" w:rsidRPr="00D46080">
        <w:rPr>
          <w:color w:val="auto"/>
          <w:sz w:val="26"/>
          <w:szCs w:val="26"/>
        </w:rPr>
        <w:t>nswer</w:t>
      </w:r>
      <w:r w:rsidR="003F6A98">
        <w:rPr>
          <w:color w:val="auto"/>
          <w:sz w:val="26"/>
          <w:szCs w:val="26"/>
        </w:rPr>
        <w:t xml:space="preserve"> (Answer)</w:t>
      </w:r>
      <w:r w:rsidR="000C04EA">
        <w:rPr>
          <w:color w:val="auto"/>
          <w:sz w:val="26"/>
          <w:szCs w:val="26"/>
        </w:rPr>
        <w:t>,</w:t>
      </w:r>
      <w:r w:rsidR="00D75E22">
        <w:rPr>
          <w:color w:val="auto"/>
          <w:sz w:val="26"/>
          <w:szCs w:val="26"/>
        </w:rPr>
        <w:t xml:space="preserve"> </w:t>
      </w:r>
      <w:r w:rsidR="00640FEB">
        <w:rPr>
          <w:color w:val="auto"/>
          <w:sz w:val="26"/>
          <w:szCs w:val="26"/>
        </w:rPr>
        <w:t>in which it</w:t>
      </w:r>
      <w:r w:rsidR="003979FB">
        <w:rPr>
          <w:color w:val="auto"/>
          <w:sz w:val="26"/>
          <w:szCs w:val="26"/>
        </w:rPr>
        <w:t xml:space="preserve"> denied all material allegations of fact and conclusions of law in the Complaint.  As part of its Answer, PGW included, as Exhibit A, the BCS decision at BCS Case No. 3503210 wherein the BCS determined that there is no compelling factual evidence to indicate that the billing is incorrect.  In its decision, the BCS informed the Complainant that his bills are based on actual meter reads, that his average monthly usage decreased by approximately 33% from December 29, 2016 through January 30, 2017</w:t>
      </w:r>
      <w:r w:rsidR="00B23A57">
        <w:rPr>
          <w:color w:val="auto"/>
          <w:sz w:val="26"/>
          <w:szCs w:val="26"/>
        </w:rPr>
        <w:t>,</w:t>
      </w:r>
      <w:r w:rsidR="003979FB">
        <w:rPr>
          <w:color w:val="auto"/>
          <w:sz w:val="26"/>
          <w:szCs w:val="26"/>
        </w:rPr>
        <w:t xml:space="preserve"> when comparing usage to the same time period during previous years, and that, if he believes the meter in his home is faulty, he can request that PGW test the meter for accuracy.  PGW concluded its Answer by requesting that the Complaint be dismissed.  Answer at 1-2.</w:t>
      </w:r>
    </w:p>
    <w:p w14:paraId="1854CA3E" w14:textId="7F1D6E9A" w:rsidR="0004245D" w:rsidRDefault="0004245D" w:rsidP="00D66F1D">
      <w:pPr>
        <w:pStyle w:val="Default"/>
        <w:spacing w:line="360" w:lineRule="auto"/>
        <w:rPr>
          <w:color w:val="auto"/>
          <w:sz w:val="26"/>
          <w:szCs w:val="26"/>
        </w:rPr>
      </w:pPr>
    </w:p>
    <w:p w14:paraId="762C78E3" w14:textId="4659FAEC" w:rsidR="00CE08A7" w:rsidRDefault="000F50C9" w:rsidP="00AD55AB">
      <w:pPr>
        <w:pStyle w:val="ParaTab1"/>
        <w:spacing w:line="360" w:lineRule="auto"/>
        <w:rPr>
          <w:rFonts w:ascii="Times New Roman" w:hAnsi="Times New Roman" w:cs="Times New Roman"/>
          <w:sz w:val="26"/>
        </w:rPr>
      </w:pPr>
      <w:r>
        <w:rPr>
          <w:rFonts w:ascii="Times New Roman" w:hAnsi="Times New Roman" w:cs="Times New Roman"/>
          <w:sz w:val="26"/>
        </w:rPr>
        <w:t xml:space="preserve">By </w:t>
      </w:r>
      <w:r w:rsidR="00392BB0">
        <w:rPr>
          <w:rFonts w:ascii="Times New Roman" w:hAnsi="Times New Roman" w:cs="Times New Roman"/>
          <w:sz w:val="26"/>
        </w:rPr>
        <w:t xml:space="preserve">Hearing Notice </w:t>
      </w:r>
      <w:r w:rsidR="00392BB0" w:rsidRPr="003C2000">
        <w:rPr>
          <w:rFonts w:ascii="Times New Roman" w:hAnsi="Times New Roman" w:cs="Times New Roman"/>
          <w:sz w:val="26"/>
        </w:rPr>
        <w:t xml:space="preserve">dated </w:t>
      </w:r>
      <w:r w:rsidR="00822D4D">
        <w:rPr>
          <w:rFonts w:ascii="Times New Roman" w:hAnsi="Times New Roman" w:cs="Times New Roman"/>
          <w:spacing w:val="-3"/>
          <w:sz w:val="26"/>
        </w:rPr>
        <w:t>June 19</w:t>
      </w:r>
      <w:r w:rsidR="00392BB0">
        <w:rPr>
          <w:rFonts w:ascii="Times New Roman" w:hAnsi="Times New Roman" w:cs="Times New Roman"/>
          <w:spacing w:val="-3"/>
          <w:sz w:val="26"/>
        </w:rPr>
        <w:t>, 2017</w:t>
      </w:r>
      <w:r w:rsidR="00392BB0" w:rsidRPr="003C2000">
        <w:rPr>
          <w:rFonts w:ascii="Times New Roman" w:hAnsi="Times New Roman" w:cs="Times New Roman"/>
          <w:sz w:val="26"/>
        </w:rPr>
        <w:t xml:space="preserve">, an Initial Hearing </w:t>
      </w:r>
      <w:r w:rsidR="00392BB0">
        <w:rPr>
          <w:rFonts w:ascii="Times New Roman" w:hAnsi="Times New Roman" w:cs="Times New Roman"/>
          <w:sz w:val="26"/>
        </w:rPr>
        <w:t>was scheduled</w:t>
      </w:r>
      <w:r w:rsidR="00CE08A7">
        <w:rPr>
          <w:rFonts w:ascii="Times New Roman" w:hAnsi="Times New Roman" w:cs="Times New Roman"/>
          <w:sz w:val="26"/>
        </w:rPr>
        <w:t xml:space="preserve"> as part of the afternoon session of a call of the docket hearing on August 8, 2017.  When it was determined that the Complainant was not a good candidate for a call of the docket hearing, the case was scheduled to be heard separately at a later date.</w:t>
      </w:r>
    </w:p>
    <w:p w14:paraId="04FC0E99" w14:textId="54C8B569" w:rsidR="00CE08A7" w:rsidRDefault="00CE08A7" w:rsidP="00392BB0">
      <w:pPr>
        <w:pStyle w:val="ParaTab1"/>
        <w:spacing w:line="360" w:lineRule="auto"/>
        <w:ind w:firstLine="1354"/>
        <w:rPr>
          <w:rFonts w:ascii="Times New Roman" w:hAnsi="Times New Roman" w:cs="Times New Roman"/>
          <w:sz w:val="26"/>
        </w:rPr>
      </w:pPr>
    </w:p>
    <w:p w14:paraId="32E44EF8" w14:textId="521DE4A4" w:rsidR="00CE08A7" w:rsidRDefault="00CE08A7" w:rsidP="00AD55AB">
      <w:pPr>
        <w:pStyle w:val="ParaTab1"/>
        <w:spacing w:line="360" w:lineRule="auto"/>
        <w:rPr>
          <w:rFonts w:ascii="Times New Roman" w:hAnsi="Times New Roman" w:cs="Times New Roman"/>
          <w:sz w:val="26"/>
        </w:rPr>
      </w:pPr>
      <w:r>
        <w:rPr>
          <w:rFonts w:ascii="Times New Roman" w:hAnsi="Times New Roman" w:cs="Times New Roman"/>
          <w:sz w:val="26"/>
        </w:rPr>
        <w:t>On July 14, 2017, a Hearing Cancellation/Reschedule Notice was issued establishing an</w:t>
      </w:r>
      <w:r w:rsidR="0058308F">
        <w:rPr>
          <w:rFonts w:ascii="Times New Roman" w:hAnsi="Times New Roman" w:cs="Times New Roman"/>
          <w:sz w:val="26"/>
        </w:rPr>
        <w:t xml:space="preserve"> Initial Hearing for September 6, 2017.  However, due to a conflict with </w:t>
      </w:r>
      <w:r w:rsidR="0058308F">
        <w:rPr>
          <w:rFonts w:ascii="Times New Roman" w:hAnsi="Times New Roman" w:cs="Times New Roman"/>
          <w:sz w:val="26"/>
        </w:rPr>
        <w:lastRenderedPageBreak/>
        <w:t>the ALJ’s schedule, a subsequent Hearing Cancellation/Reschedule Notice dated August</w:t>
      </w:r>
      <w:r w:rsidR="00BA550F">
        <w:rPr>
          <w:rFonts w:ascii="Times New Roman" w:hAnsi="Times New Roman" w:cs="Times New Roman"/>
          <w:sz w:val="26"/>
        </w:rPr>
        <w:t> </w:t>
      </w:r>
      <w:r w:rsidR="0058308F">
        <w:rPr>
          <w:rFonts w:ascii="Times New Roman" w:hAnsi="Times New Roman" w:cs="Times New Roman"/>
          <w:sz w:val="26"/>
        </w:rPr>
        <w:t>9, 2017, notified the parties that the initial hearing was rescheduled for October</w:t>
      </w:r>
      <w:r w:rsidR="00765E88">
        <w:rPr>
          <w:rFonts w:ascii="Times New Roman" w:hAnsi="Times New Roman" w:cs="Times New Roman"/>
          <w:sz w:val="26"/>
        </w:rPr>
        <w:t> </w:t>
      </w:r>
      <w:r w:rsidR="0058308F">
        <w:rPr>
          <w:rFonts w:ascii="Times New Roman" w:hAnsi="Times New Roman" w:cs="Times New Roman"/>
          <w:sz w:val="26"/>
        </w:rPr>
        <w:t>11, 2017.</w:t>
      </w:r>
    </w:p>
    <w:p w14:paraId="1254BE2F" w14:textId="3D191CA1" w:rsidR="00CE08A7" w:rsidRDefault="00CE08A7" w:rsidP="00392BB0">
      <w:pPr>
        <w:pStyle w:val="ParaTab1"/>
        <w:spacing w:line="360" w:lineRule="auto"/>
        <w:ind w:firstLine="1354"/>
        <w:rPr>
          <w:rFonts w:ascii="Times New Roman" w:hAnsi="Times New Roman" w:cs="Times New Roman"/>
          <w:sz w:val="26"/>
        </w:rPr>
      </w:pPr>
    </w:p>
    <w:p w14:paraId="076C1373" w14:textId="2C2C1C22" w:rsidR="00AD55AB" w:rsidRDefault="00AD55AB" w:rsidP="00AD55AB">
      <w:pPr>
        <w:pStyle w:val="ParaTab1"/>
        <w:spacing w:line="360" w:lineRule="auto"/>
        <w:rPr>
          <w:rFonts w:ascii="Times New Roman" w:hAnsi="Times New Roman" w:cs="Times New Roman"/>
          <w:sz w:val="26"/>
        </w:rPr>
      </w:pPr>
      <w:r>
        <w:rPr>
          <w:rFonts w:ascii="Times New Roman" w:hAnsi="Times New Roman" w:cs="Times New Roman"/>
          <w:sz w:val="26"/>
        </w:rPr>
        <w:t>A Prehearing Order was issued on September 19, 2017, confirming the hearing date and time, informing the parties of the procedures applicable to this proceeding, and directing the submission of documents prior to the hearing.</w:t>
      </w:r>
    </w:p>
    <w:p w14:paraId="31666C62" w14:textId="77777777" w:rsidR="00AD55AB" w:rsidRDefault="00AD55AB" w:rsidP="00392BB0">
      <w:pPr>
        <w:pStyle w:val="ParaTab1"/>
        <w:spacing w:line="360" w:lineRule="auto"/>
        <w:ind w:firstLine="1354"/>
        <w:rPr>
          <w:rFonts w:ascii="Times New Roman" w:hAnsi="Times New Roman" w:cs="Times New Roman"/>
          <w:sz w:val="26"/>
        </w:rPr>
      </w:pPr>
    </w:p>
    <w:p w14:paraId="15AA6E66" w14:textId="6EB19795" w:rsidR="00CE08A7" w:rsidRDefault="00AD55AB" w:rsidP="00AD55AB">
      <w:pPr>
        <w:pStyle w:val="ParaTab1"/>
        <w:spacing w:line="360" w:lineRule="auto"/>
        <w:rPr>
          <w:rFonts w:ascii="Times New Roman" w:hAnsi="Times New Roman" w:cs="Times New Roman"/>
          <w:sz w:val="26"/>
        </w:rPr>
      </w:pPr>
      <w:r>
        <w:rPr>
          <w:rFonts w:ascii="Times New Roman" w:hAnsi="Times New Roman" w:cs="Times New Roman"/>
          <w:sz w:val="26"/>
        </w:rPr>
        <w:t>On October 4, 2017, the Complainant submitted a written request for a continuance</w:t>
      </w:r>
      <w:r w:rsidR="001F23B1">
        <w:rPr>
          <w:rFonts w:ascii="Times New Roman" w:hAnsi="Times New Roman" w:cs="Times New Roman"/>
          <w:sz w:val="26"/>
        </w:rPr>
        <w:t>, requesting that the hearing be rescheduled for December 8, 2017</w:t>
      </w:r>
      <w:r w:rsidR="006208E2">
        <w:rPr>
          <w:rFonts w:ascii="Times New Roman" w:hAnsi="Times New Roman" w:cs="Times New Roman"/>
          <w:sz w:val="26"/>
        </w:rPr>
        <w:t>; his request also included several procedural questions with regard to the hearing</w:t>
      </w:r>
      <w:r w:rsidR="0086617E">
        <w:rPr>
          <w:rFonts w:ascii="Times New Roman" w:hAnsi="Times New Roman" w:cs="Times New Roman"/>
          <w:sz w:val="26"/>
        </w:rPr>
        <w:t>.  On October 5, 2017, the ALJ sent a copy of the Complainant</w:t>
      </w:r>
      <w:r w:rsidR="00070AFC">
        <w:rPr>
          <w:rFonts w:ascii="Times New Roman" w:hAnsi="Times New Roman" w:cs="Times New Roman"/>
          <w:sz w:val="26"/>
        </w:rPr>
        <w:t>’</w:t>
      </w:r>
      <w:r w:rsidR="0086617E">
        <w:rPr>
          <w:rFonts w:ascii="Times New Roman" w:hAnsi="Times New Roman" w:cs="Times New Roman"/>
          <w:sz w:val="26"/>
        </w:rPr>
        <w:t>s request to PGW’s attorney, who informed the ALJ that PGW had no objections to the Complainant’s request.</w:t>
      </w:r>
    </w:p>
    <w:p w14:paraId="2E1132C8" w14:textId="64D5DBAD" w:rsidR="00FF40BA" w:rsidRDefault="00FF40BA" w:rsidP="00AD55AB">
      <w:pPr>
        <w:pStyle w:val="ParaTab1"/>
        <w:spacing w:line="360" w:lineRule="auto"/>
        <w:rPr>
          <w:rFonts w:ascii="Times New Roman" w:hAnsi="Times New Roman" w:cs="Times New Roman"/>
          <w:sz w:val="26"/>
        </w:rPr>
      </w:pPr>
    </w:p>
    <w:p w14:paraId="7B595E73" w14:textId="37883265" w:rsidR="00FF40BA" w:rsidRDefault="00FF40BA" w:rsidP="00AD55AB">
      <w:pPr>
        <w:pStyle w:val="ParaTab1"/>
        <w:spacing w:line="360" w:lineRule="auto"/>
        <w:rPr>
          <w:rFonts w:ascii="Times New Roman" w:hAnsi="Times New Roman" w:cs="Times New Roman"/>
          <w:sz w:val="26"/>
        </w:rPr>
      </w:pPr>
      <w:r>
        <w:rPr>
          <w:rFonts w:ascii="Times New Roman" w:hAnsi="Times New Roman" w:cs="Times New Roman"/>
          <w:sz w:val="26"/>
        </w:rPr>
        <w:t>On October 17, 2017, the ALJ issued an Order granting the Complainant’</w:t>
      </w:r>
      <w:r w:rsidR="0050136F">
        <w:rPr>
          <w:rFonts w:ascii="Times New Roman" w:hAnsi="Times New Roman" w:cs="Times New Roman"/>
          <w:sz w:val="26"/>
        </w:rPr>
        <w:t xml:space="preserve">s </w:t>
      </w:r>
      <w:r>
        <w:rPr>
          <w:rFonts w:ascii="Times New Roman" w:hAnsi="Times New Roman" w:cs="Times New Roman"/>
          <w:sz w:val="26"/>
        </w:rPr>
        <w:t>request for a continuance and answering the procedural questions he had listed in his October 4, 2017 request.</w:t>
      </w:r>
    </w:p>
    <w:p w14:paraId="6484BE84" w14:textId="538DC337" w:rsidR="00FF40BA" w:rsidRDefault="00FF40BA" w:rsidP="00AD55AB">
      <w:pPr>
        <w:pStyle w:val="ParaTab1"/>
        <w:spacing w:line="360" w:lineRule="auto"/>
        <w:rPr>
          <w:rFonts w:ascii="Times New Roman" w:hAnsi="Times New Roman" w:cs="Times New Roman"/>
          <w:sz w:val="26"/>
        </w:rPr>
      </w:pPr>
    </w:p>
    <w:p w14:paraId="0086F917" w14:textId="07738C7A" w:rsidR="00FF40BA" w:rsidRDefault="00A00A7B" w:rsidP="00AD55AB">
      <w:pPr>
        <w:pStyle w:val="ParaTab1"/>
        <w:spacing w:line="360" w:lineRule="auto"/>
        <w:rPr>
          <w:rFonts w:ascii="Times New Roman" w:hAnsi="Times New Roman" w:cs="Times New Roman"/>
          <w:sz w:val="26"/>
        </w:rPr>
      </w:pPr>
      <w:r>
        <w:rPr>
          <w:rFonts w:ascii="Times New Roman" w:hAnsi="Times New Roman" w:cs="Times New Roman"/>
          <w:sz w:val="26"/>
        </w:rPr>
        <w:t xml:space="preserve">On October 27, 2017, the Complainant e-mailed ALJ Vero with questions regarding the possibility of talking directly with the ALJ prior to the hearing in absence of PGW.  ALJ Vero forwarded a copy of the Complainant’s e-mail to PGW’s attorney and informed the Complainant that </w:t>
      </w:r>
      <w:r w:rsidRPr="00A00A7B">
        <w:rPr>
          <w:rFonts w:ascii="Times New Roman" w:hAnsi="Times New Roman" w:cs="Times New Roman"/>
          <w:i/>
          <w:sz w:val="26"/>
        </w:rPr>
        <w:t>ex-parte</w:t>
      </w:r>
      <w:r>
        <w:rPr>
          <w:rFonts w:ascii="Times New Roman" w:hAnsi="Times New Roman" w:cs="Times New Roman"/>
          <w:sz w:val="26"/>
        </w:rPr>
        <w:t xml:space="preserve"> communications between a party and the presiding officer were prohibited.</w:t>
      </w:r>
    </w:p>
    <w:p w14:paraId="55AE2FE0" w14:textId="166F839D" w:rsidR="00E73E67" w:rsidRDefault="00E73E67" w:rsidP="00AD55AB">
      <w:pPr>
        <w:pStyle w:val="ParaTab1"/>
        <w:spacing w:line="360" w:lineRule="auto"/>
        <w:rPr>
          <w:rFonts w:ascii="Times New Roman" w:hAnsi="Times New Roman" w:cs="Times New Roman"/>
          <w:sz w:val="26"/>
        </w:rPr>
      </w:pPr>
    </w:p>
    <w:p w14:paraId="4F18CC57" w14:textId="76E0D984" w:rsidR="00E73E67" w:rsidRDefault="00E73E67" w:rsidP="00AD55AB">
      <w:pPr>
        <w:pStyle w:val="ParaTab1"/>
        <w:spacing w:line="360" w:lineRule="auto"/>
        <w:rPr>
          <w:rFonts w:ascii="Times New Roman" w:hAnsi="Times New Roman" w:cs="Times New Roman"/>
          <w:sz w:val="26"/>
        </w:rPr>
      </w:pPr>
      <w:r>
        <w:rPr>
          <w:rFonts w:ascii="Times New Roman" w:hAnsi="Times New Roman" w:cs="Times New Roman"/>
          <w:sz w:val="26"/>
        </w:rPr>
        <w:t>On November 16,2017, a Hearing Cancellation/Reschedule Notice was issued establishing an initial hearing for December 8, 2017</w:t>
      </w:r>
      <w:r w:rsidR="00B16189">
        <w:rPr>
          <w:rFonts w:ascii="Times New Roman" w:hAnsi="Times New Roman" w:cs="Times New Roman"/>
          <w:sz w:val="26"/>
        </w:rPr>
        <w:t>,</w:t>
      </w:r>
      <w:r>
        <w:rPr>
          <w:rFonts w:ascii="Times New Roman" w:hAnsi="Times New Roman" w:cs="Times New Roman"/>
          <w:sz w:val="26"/>
        </w:rPr>
        <w:t xml:space="preserve"> at 10:00 a.m.</w:t>
      </w:r>
    </w:p>
    <w:p w14:paraId="5A2DE46C" w14:textId="2DA0EE62" w:rsidR="00E73E67" w:rsidRDefault="00E73E67" w:rsidP="00AD55AB">
      <w:pPr>
        <w:pStyle w:val="ParaTab1"/>
        <w:spacing w:line="360" w:lineRule="auto"/>
        <w:rPr>
          <w:rFonts w:ascii="Times New Roman" w:hAnsi="Times New Roman" w:cs="Times New Roman"/>
          <w:sz w:val="26"/>
        </w:rPr>
      </w:pPr>
    </w:p>
    <w:p w14:paraId="11E5F5B4" w14:textId="3997F617" w:rsidR="00E73E67" w:rsidRDefault="007D7663" w:rsidP="00AD55AB">
      <w:pPr>
        <w:pStyle w:val="ParaTab1"/>
        <w:spacing w:line="360" w:lineRule="auto"/>
        <w:rPr>
          <w:rFonts w:ascii="Times New Roman" w:hAnsi="Times New Roman" w:cs="Times New Roman"/>
          <w:sz w:val="26"/>
        </w:rPr>
      </w:pPr>
      <w:r>
        <w:rPr>
          <w:rFonts w:ascii="Times New Roman" w:hAnsi="Times New Roman" w:cs="Times New Roman"/>
          <w:sz w:val="26"/>
        </w:rPr>
        <w:t xml:space="preserve">On December 8, 2017, the hearing convened as scheduled.  </w:t>
      </w:r>
      <w:r w:rsidR="00973E9C">
        <w:rPr>
          <w:rFonts w:ascii="Times New Roman" w:hAnsi="Times New Roman" w:cs="Times New Roman"/>
          <w:sz w:val="26"/>
        </w:rPr>
        <w:t xml:space="preserve">The Complainant appeared </w:t>
      </w:r>
      <w:r w:rsidR="00973E9C" w:rsidRPr="00973E9C">
        <w:rPr>
          <w:rFonts w:ascii="Times New Roman" w:hAnsi="Times New Roman" w:cs="Times New Roman"/>
          <w:i/>
          <w:sz w:val="26"/>
        </w:rPr>
        <w:t>pro se</w:t>
      </w:r>
      <w:r w:rsidR="00973E9C">
        <w:rPr>
          <w:rFonts w:ascii="Times New Roman" w:hAnsi="Times New Roman" w:cs="Times New Roman"/>
          <w:sz w:val="26"/>
        </w:rPr>
        <w:t>.  PGW appeared and was represented by its couns</w:t>
      </w:r>
      <w:r w:rsidR="00660438">
        <w:rPr>
          <w:rFonts w:ascii="Times New Roman" w:hAnsi="Times New Roman" w:cs="Times New Roman"/>
          <w:sz w:val="26"/>
        </w:rPr>
        <w:t xml:space="preserve">el.  The </w:t>
      </w:r>
      <w:r w:rsidR="00660438">
        <w:rPr>
          <w:rFonts w:ascii="Times New Roman" w:hAnsi="Times New Roman" w:cs="Times New Roman"/>
          <w:sz w:val="26"/>
        </w:rPr>
        <w:lastRenderedPageBreak/>
        <w:t xml:space="preserve">parties agreed to engage in settlement discussions prior to going forward with the hearing.  </w:t>
      </w:r>
      <w:r w:rsidR="001B37D0">
        <w:rPr>
          <w:rFonts w:ascii="Times New Roman" w:hAnsi="Times New Roman" w:cs="Times New Roman"/>
          <w:sz w:val="26"/>
        </w:rPr>
        <w:t>Tr. at 8-10.  The discussions were successful as the parties were able to resolve the issues raised in the Complaint.  In particular, the Complainant conceded that the disputed bill was correct as rendered</w:t>
      </w:r>
      <w:r w:rsidR="00B16189">
        <w:rPr>
          <w:rFonts w:ascii="Times New Roman" w:hAnsi="Times New Roman" w:cs="Times New Roman"/>
          <w:sz w:val="26"/>
        </w:rPr>
        <w:t>,</w:t>
      </w:r>
      <w:r w:rsidR="001B37D0">
        <w:rPr>
          <w:rFonts w:ascii="Times New Roman" w:hAnsi="Times New Roman" w:cs="Times New Roman"/>
          <w:sz w:val="26"/>
        </w:rPr>
        <w:t xml:space="preserve"> and </w:t>
      </w:r>
      <w:r w:rsidR="00B16189">
        <w:rPr>
          <w:rFonts w:ascii="Times New Roman" w:hAnsi="Times New Roman" w:cs="Times New Roman"/>
          <w:sz w:val="26"/>
        </w:rPr>
        <w:t xml:space="preserve">he </w:t>
      </w:r>
      <w:r w:rsidR="001B37D0">
        <w:rPr>
          <w:rFonts w:ascii="Times New Roman" w:hAnsi="Times New Roman" w:cs="Times New Roman"/>
          <w:sz w:val="26"/>
        </w:rPr>
        <w:t>indicated that he no longer wished to prosecute his Compl</w:t>
      </w:r>
      <w:r w:rsidR="00B16189">
        <w:rPr>
          <w:rFonts w:ascii="Times New Roman" w:hAnsi="Times New Roman" w:cs="Times New Roman"/>
          <w:sz w:val="26"/>
        </w:rPr>
        <w:t>a</w:t>
      </w:r>
      <w:r w:rsidR="001B37D0">
        <w:rPr>
          <w:rFonts w:ascii="Times New Roman" w:hAnsi="Times New Roman" w:cs="Times New Roman"/>
          <w:sz w:val="26"/>
        </w:rPr>
        <w:t>int against PGW.  Tr. at 11-12, 14-15.</w:t>
      </w:r>
      <w:r w:rsidR="00713D5D">
        <w:rPr>
          <w:rStyle w:val="FootnoteReference"/>
          <w:rFonts w:ascii="Times New Roman" w:hAnsi="Times New Roman" w:cs="Times New Roman"/>
          <w:sz w:val="26"/>
        </w:rPr>
        <w:footnoteReference w:id="2"/>
      </w:r>
      <w:r w:rsidR="00E31B33">
        <w:rPr>
          <w:rFonts w:ascii="Times New Roman" w:hAnsi="Times New Roman" w:cs="Times New Roman"/>
          <w:sz w:val="26"/>
        </w:rPr>
        <w:t xml:space="preserve">  The record in this matter consists of the pleadings, Prehearing Orders and the sixteen-page transcript from the December 8, 2017 hearing.  The record closed upon receipt of the transcript on January 8, 2018.</w:t>
      </w:r>
    </w:p>
    <w:p w14:paraId="0926D64F" w14:textId="6116AF00" w:rsidR="00CF4688" w:rsidRDefault="00CF4688" w:rsidP="00CF4688">
      <w:pPr>
        <w:pStyle w:val="Default"/>
        <w:spacing w:line="360" w:lineRule="auto"/>
        <w:rPr>
          <w:color w:val="auto"/>
          <w:sz w:val="26"/>
          <w:szCs w:val="26"/>
        </w:rPr>
      </w:pPr>
    </w:p>
    <w:p w14:paraId="4ABCC30B" w14:textId="2439973B" w:rsidR="00DC2779" w:rsidRDefault="00E31B33" w:rsidP="00602DD7">
      <w:pPr>
        <w:pStyle w:val="Default"/>
        <w:spacing w:line="360" w:lineRule="auto"/>
        <w:ind w:firstLine="1440"/>
        <w:rPr>
          <w:color w:val="auto"/>
          <w:sz w:val="26"/>
          <w:szCs w:val="26"/>
        </w:rPr>
      </w:pPr>
      <w:r>
        <w:rPr>
          <w:color w:val="auto"/>
          <w:sz w:val="26"/>
          <w:szCs w:val="26"/>
        </w:rPr>
        <w:t>On April 12</w:t>
      </w:r>
      <w:r w:rsidR="00602DD7">
        <w:rPr>
          <w:color w:val="auto"/>
          <w:sz w:val="26"/>
          <w:szCs w:val="26"/>
        </w:rPr>
        <w:t>, 2018,</w:t>
      </w:r>
      <w:r w:rsidR="00F977C7">
        <w:rPr>
          <w:color w:val="auto"/>
          <w:sz w:val="26"/>
          <w:szCs w:val="26"/>
        </w:rPr>
        <w:t xml:space="preserve"> the Commission issued the</w:t>
      </w:r>
      <w:r>
        <w:rPr>
          <w:color w:val="auto"/>
          <w:sz w:val="26"/>
          <w:szCs w:val="26"/>
        </w:rPr>
        <w:t xml:space="preserve"> Initial Decision of ALJ Vero</w:t>
      </w:r>
      <w:r w:rsidR="00DC2779">
        <w:rPr>
          <w:color w:val="auto"/>
          <w:sz w:val="26"/>
          <w:szCs w:val="26"/>
        </w:rPr>
        <w:t>,</w:t>
      </w:r>
      <w:r>
        <w:rPr>
          <w:color w:val="auto"/>
          <w:sz w:val="26"/>
          <w:szCs w:val="26"/>
        </w:rPr>
        <w:t xml:space="preserve"> wherein she granted the Complainant’s request to withdraw the Complaint.  I.D. at</w:t>
      </w:r>
      <w:r w:rsidR="00513B19">
        <w:rPr>
          <w:color w:val="auto"/>
          <w:sz w:val="26"/>
          <w:szCs w:val="26"/>
        </w:rPr>
        <w:t> </w:t>
      </w:r>
      <w:r>
        <w:rPr>
          <w:color w:val="auto"/>
          <w:sz w:val="26"/>
          <w:szCs w:val="26"/>
        </w:rPr>
        <w:t>5.</w:t>
      </w:r>
    </w:p>
    <w:p w14:paraId="439DDEC2" w14:textId="1A778BA6" w:rsidR="00E31B33" w:rsidRDefault="00E31B33" w:rsidP="00602DD7">
      <w:pPr>
        <w:pStyle w:val="Default"/>
        <w:spacing w:line="360" w:lineRule="auto"/>
        <w:ind w:firstLine="1440"/>
        <w:rPr>
          <w:color w:val="auto"/>
          <w:sz w:val="26"/>
          <w:szCs w:val="26"/>
        </w:rPr>
      </w:pPr>
    </w:p>
    <w:p w14:paraId="0AD7C2C0" w14:textId="3DAF87B2" w:rsidR="00F843A3" w:rsidRDefault="00E31B33" w:rsidP="00602DD7">
      <w:pPr>
        <w:pStyle w:val="Default"/>
        <w:spacing w:line="360" w:lineRule="auto"/>
        <w:ind w:firstLine="1440"/>
        <w:rPr>
          <w:color w:val="auto"/>
          <w:sz w:val="26"/>
          <w:szCs w:val="26"/>
        </w:rPr>
      </w:pPr>
      <w:r>
        <w:rPr>
          <w:color w:val="auto"/>
          <w:sz w:val="26"/>
          <w:szCs w:val="26"/>
        </w:rPr>
        <w:t>As stated above, on April 19, 2018, the Complainant filed Exceptions to the Initial Decision</w:t>
      </w:r>
      <w:r w:rsidR="00556804">
        <w:rPr>
          <w:color w:val="auto"/>
          <w:sz w:val="26"/>
          <w:szCs w:val="26"/>
        </w:rPr>
        <w:t>, but failed</w:t>
      </w:r>
      <w:r w:rsidR="00F843A3">
        <w:rPr>
          <w:color w:val="auto"/>
          <w:sz w:val="26"/>
          <w:szCs w:val="26"/>
        </w:rPr>
        <w:t xml:space="preserve"> to serve them on PGW.</w:t>
      </w:r>
      <w:r w:rsidR="0045317D">
        <w:rPr>
          <w:rStyle w:val="FootnoteReference"/>
          <w:color w:val="auto"/>
          <w:sz w:val="26"/>
          <w:szCs w:val="26"/>
        </w:rPr>
        <w:footnoteReference w:id="3"/>
      </w:r>
      <w:r w:rsidR="00F843A3">
        <w:rPr>
          <w:color w:val="auto"/>
          <w:sz w:val="26"/>
          <w:szCs w:val="26"/>
        </w:rPr>
        <w:t xml:space="preserve">  Consequently, by Secretarial Letter issued April 19, 2018</w:t>
      </w:r>
      <w:r w:rsidR="00D367E1">
        <w:rPr>
          <w:color w:val="auto"/>
          <w:sz w:val="26"/>
          <w:szCs w:val="26"/>
        </w:rPr>
        <w:t xml:space="preserve">, the Commission’s Secretary’s Bureau served </w:t>
      </w:r>
      <w:r w:rsidR="004F227B">
        <w:rPr>
          <w:color w:val="auto"/>
          <w:sz w:val="26"/>
          <w:szCs w:val="26"/>
        </w:rPr>
        <w:t>them on PGW, indicating that PGW would have until May 14, 2018</w:t>
      </w:r>
      <w:r w:rsidR="00513B19">
        <w:rPr>
          <w:color w:val="auto"/>
          <w:sz w:val="26"/>
          <w:szCs w:val="26"/>
        </w:rPr>
        <w:t>,</w:t>
      </w:r>
      <w:r w:rsidR="004F227B">
        <w:rPr>
          <w:color w:val="auto"/>
          <w:sz w:val="26"/>
          <w:szCs w:val="26"/>
        </w:rPr>
        <w:t xml:space="preserve"> to file Reply Exceptions.  PGW filed Replies to Exceptions on May 11, 2018. </w:t>
      </w:r>
    </w:p>
    <w:p w14:paraId="1E8D8CFD" w14:textId="4DBB2C7B" w:rsidR="00001CD3" w:rsidRPr="00155364" w:rsidRDefault="00001CD3" w:rsidP="00155364">
      <w:pPr>
        <w:ind w:firstLine="0"/>
        <w:jc w:val="both"/>
        <w:rPr>
          <w:sz w:val="26"/>
          <w:szCs w:val="26"/>
        </w:rPr>
      </w:pPr>
    </w:p>
    <w:p w14:paraId="3766860D" w14:textId="2D131EBA" w:rsidR="00001CD3" w:rsidRPr="00F51D83" w:rsidRDefault="00001CD3" w:rsidP="00D26D9A">
      <w:pPr>
        <w:pStyle w:val="ListParagraph"/>
        <w:keepNext/>
        <w:keepLines/>
        <w:ind w:left="0" w:firstLine="0"/>
        <w:rPr>
          <w:b/>
          <w:sz w:val="26"/>
          <w:szCs w:val="26"/>
        </w:rPr>
      </w:pPr>
      <w:r w:rsidRPr="00F51D83">
        <w:rPr>
          <w:b/>
          <w:sz w:val="26"/>
          <w:szCs w:val="26"/>
        </w:rPr>
        <w:lastRenderedPageBreak/>
        <w:t>Discussion</w:t>
      </w:r>
    </w:p>
    <w:p w14:paraId="315B8545" w14:textId="1E3D5B27" w:rsidR="00B83949" w:rsidRDefault="00B83949" w:rsidP="000A6F38">
      <w:pPr>
        <w:keepNext/>
        <w:keepLines/>
        <w:ind w:firstLine="1440"/>
        <w:contextualSpacing/>
        <w:jc w:val="left"/>
        <w:rPr>
          <w:sz w:val="26"/>
          <w:szCs w:val="26"/>
        </w:rPr>
      </w:pPr>
    </w:p>
    <w:p w14:paraId="3C8D8711" w14:textId="77777777" w:rsidR="00DC0612" w:rsidRPr="00DC0612" w:rsidRDefault="00DC0612" w:rsidP="00DC0612">
      <w:pPr>
        <w:ind w:firstLine="1440"/>
        <w:jc w:val="left"/>
        <w:rPr>
          <w:rFonts w:eastAsia="Times New Roman"/>
          <w:sz w:val="26"/>
        </w:rPr>
      </w:pPr>
      <w:r w:rsidRPr="00DC0612">
        <w:rPr>
          <w:rFonts w:eastAsia="Times New Roman"/>
          <w:sz w:val="26"/>
          <w:szCs w:val="26"/>
        </w:rPr>
        <w:t xml:space="preserve">As a preliminary matter, we note that any issue that we do not specifically address has been duly considered and will be denied without further discussion.  It is well settled that we are not required to consider, expressly or at length, each contention or argument raised by the parties.  </w:t>
      </w:r>
      <w:r w:rsidRPr="00DC0612">
        <w:rPr>
          <w:rFonts w:eastAsia="Times New Roman"/>
          <w:i/>
          <w:sz w:val="26"/>
          <w:szCs w:val="26"/>
        </w:rPr>
        <w:t xml:space="preserve">Consolidated Rail Corporation v. Pa. PUC, </w:t>
      </w:r>
      <w:r w:rsidRPr="00DC0612">
        <w:rPr>
          <w:rFonts w:eastAsia="Times New Roman"/>
          <w:sz w:val="26"/>
          <w:szCs w:val="26"/>
        </w:rPr>
        <w:t xml:space="preserve">625 A.2d 741 (Pa. Cmwlth. 1993); </w:t>
      </w:r>
      <w:r w:rsidRPr="00DC0612">
        <w:rPr>
          <w:rFonts w:eastAsia="Times New Roman"/>
          <w:i/>
          <w:sz w:val="26"/>
          <w:szCs w:val="26"/>
        </w:rPr>
        <w:t>see also, generally, University of Pennsylvania v. Pa. PUC,</w:t>
      </w:r>
      <w:r w:rsidRPr="00DC0612">
        <w:rPr>
          <w:rFonts w:eastAsia="Times New Roman"/>
          <w:sz w:val="26"/>
          <w:szCs w:val="26"/>
        </w:rPr>
        <w:t xml:space="preserve"> 485 A.2.d 1217 (Pa. Cmwlth. 1984).</w:t>
      </w:r>
    </w:p>
    <w:p w14:paraId="2A487659" w14:textId="77777777" w:rsidR="00AA6686" w:rsidRDefault="00AA6686" w:rsidP="0044545E">
      <w:pPr>
        <w:autoSpaceDE w:val="0"/>
        <w:autoSpaceDN w:val="0"/>
        <w:adjustRightInd w:val="0"/>
        <w:ind w:firstLine="0"/>
        <w:jc w:val="left"/>
      </w:pPr>
    </w:p>
    <w:p w14:paraId="66096979" w14:textId="1051B990" w:rsidR="00006984" w:rsidRDefault="004A44D1" w:rsidP="0044545E">
      <w:pPr>
        <w:autoSpaceDE w:val="0"/>
        <w:autoSpaceDN w:val="0"/>
        <w:adjustRightInd w:val="0"/>
        <w:ind w:firstLine="0"/>
        <w:jc w:val="left"/>
        <w:rPr>
          <w:rFonts w:eastAsiaTheme="minorHAnsi"/>
          <w:b/>
          <w:color w:val="000000"/>
          <w:sz w:val="26"/>
          <w:szCs w:val="26"/>
        </w:rPr>
      </w:pPr>
      <w:r w:rsidRPr="00F8191D">
        <w:rPr>
          <w:rFonts w:eastAsiaTheme="minorHAnsi"/>
          <w:b/>
          <w:color w:val="000000"/>
          <w:sz w:val="26"/>
          <w:szCs w:val="26"/>
        </w:rPr>
        <w:t>Legal Standards</w:t>
      </w:r>
    </w:p>
    <w:p w14:paraId="59058B9E" w14:textId="2EE40038" w:rsidR="0044545E" w:rsidRDefault="0044545E" w:rsidP="0044545E">
      <w:pPr>
        <w:ind w:firstLine="0"/>
        <w:jc w:val="left"/>
        <w:rPr>
          <w:rFonts w:eastAsiaTheme="minorHAnsi"/>
          <w:b/>
          <w:color w:val="000000"/>
          <w:sz w:val="26"/>
          <w:szCs w:val="26"/>
        </w:rPr>
      </w:pPr>
    </w:p>
    <w:p w14:paraId="77129829" w14:textId="54A3ED35" w:rsidR="009B75E7" w:rsidRDefault="009B75E7" w:rsidP="009B75E7">
      <w:pPr>
        <w:tabs>
          <w:tab w:val="left" w:pos="720"/>
        </w:tabs>
        <w:snapToGrid w:val="0"/>
        <w:ind w:firstLine="1440"/>
        <w:jc w:val="left"/>
        <w:rPr>
          <w:rFonts w:eastAsia="Times New Roman"/>
          <w:sz w:val="26"/>
          <w:szCs w:val="26"/>
        </w:rPr>
      </w:pPr>
      <w:r>
        <w:rPr>
          <w:rFonts w:eastAsia="Times New Roman"/>
          <w:sz w:val="26"/>
          <w:szCs w:val="26"/>
        </w:rPr>
        <w:t xml:space="preserve">Withdrawal of a pleading in a contested proceeding is governed by Section 5.94 of our Regulations, </w:t>
      </w:r>
      <w:r w:rsidRPr="008E0558">
        <w:rPr>
          <w:rFonts w:eastAsia="Times New Roman"/>
          <w:sz w:val="26"/>
          <w:szCs w:val="26"/>
        </w:rPr>
        <w:t>52 Pa.</w:t>
      </w:r>
      <w:r>
        <w:rPr>
          <w:rFonts w:eastAsia="Times New Roman"/>
          <w:sz w:val="26"/>
          <w:szCs w:val="26"/>
        </w:rPr>
        <w:t xml:space="preserve"> </w:t>
      </w:r>
      <w:r w:rsidRPr="008E0558">
        <w:rPr>
          <w:rFonts w:eastAsia="Times New Roman"/>
          <w:sz w:val="26"/>
          <w:szCs w:val="26"/>
        </w:rPr>
        <w:t xml:space="preserve">Code </w:t>
      </w:r>
      <w:r>
        <w:rPr>
          <w:rFonts w:eastAsia="Times New Roman"/>
          <w:sz w:val="26"/>
          <w:szCs w:val="26"/>
        </w:rPr>
        <w:t xml:space="preserve">§ 5.94, which </w:t>
      </w:r>
      <w:r w:rsidRPr="008E0558">
        <w:rPr>
          <w:rFonts w:eastAsia="Times New Roman"/>
          <w:sz w:val="26"/>
          <w:szCs w:val="26"/>
        </w:rPr>
        <w:t>provides</w:t>
      </w:r>
      <w:r>
        <w:rPr>
          <w:rFonts w:eastAsia="Times New Roman"/>
          <w:sz w:val="26"/>
          <w:szCs w:val="26"/>
        </w:rPr>
        <w:t xml:space="preserve"> the following</w:t>
      </w:r>
      <w:r w:rsidRPr="008E0558">
        <w:rPr>
          <w:rFonts w:eastAsia="Times New Roman"/>
          <w:sz w:val="26"/>
          <w:szCs w:val="26"/>
        </w:rPr>
        <w:t>:</w:t>
      </w:r>
    </w:p>
    <w:p w14:paraId="1F644DAA" w14:textId="77777777" w:rsidR="009B75E7" w:rsidRPr="008E0558" w:rsidRDefault="009B75E7" w:rsidP="009B75E7">
      <w:pPr>
        <w:tabs>
          <w:tab w:val="left" w:pos="720"/>
        </w:tabs>
        <w:snapToGrid w:val="0"/>
        <w:ind w:firstLine="0"/>
        <w:jc w:val="left"/>
        <w:rPr>
          <w:rFonts w:eastAsia="Times New Roman"/>
          <w:sz w:val="26"/>
          <w:szCs w:val="26"/>
        </w:rPr>
      </w:pPr>
    </w:p>
    <w:p w14:paraId="66043478" w14:textId="77777777" w:rsidR="009B75E7" w:rsidRDefault="009B75E7" w:rsidP="009B75E7">
      <w:pPr>
        <w:spacing w:line="240" w:lineRule="auto"/>
        <w:ind w:left="1440" w:right="1440" w:firstLine="0"/>
        <w:jc w:val="left"/>
        <w:rPr>
          <w:rFonts w:eastAsia="Times New Roman"/>
          <w:sz w:val="26"/>
          <w:szCs w:val="26"/>
        </w:rPr>
      </w:pPr>
      <w:r w:rsidRPr="008E0558">
        <w:rPr>
          <w:rFonts w:eastAsia="Times New Roman"/>
          <w:sz w:val="26"/>
          <w:szCs w:val="26"/>
        </w:rPr>
        <w:t>(a)  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w:t>
      </w:r>
      <w:r>
        <w:rPr>
          <w:rFonts w:eastAsia="Times New Roman"/>
          <w:sz w:val="26"/>
          <w:szCs w:val="26"/>
        </w:rPr>
        <w:t xml:space="preserve"> object to the petition within 1</w:t>
      </w:r>
      <w:r w:rsidRPr="008E0558">
        <w:rPr>
          <w:rFonts w:eastAsia="Times New Roman"/>
          <w:sz w:val="26"/>
          <w:szCs w:val="26"/>
        </w:rPr>
        <w:t xml:space="preserve">0 days of service.  After considering the petition, any objection thereto and the public interest, the presiding officer or the Commission will determine whether the withdrawal will be permitted. </w:t>
      </w:r>
    </w:p>
    <w:p w14:paraId="4A5DC4E6" w14:textId="77777777" w:rsidR="009B75E7" w:rsidRPr="008E0558" w:rsidRDefault="009B75E7" w:rsidP="009B75E7">
      <w:pPr>
        <w:spacing w:line="240" w:lineRule="auto"/>
        <w:ind w:left="1440" w:right="1440" w:firstLine="0"/>
        <w:jc w:val="left"/>
        <w:rPr>
          <w:rFonts w:eastAsia="Times New Roman"/>
          <w:sz w:val="26"/>
          <w:szCs w:val="26"/>
        </w:rPr>
      </w:pPr>
    </w:p>
    <w:p w14:paraId="0A577536" w14:textId="77777777" w:rsidR="009B75E7" w:rsidRPr="008E0558" w:rsidRDefault="009B75E7" w:rsidP="00513B19">
      <w:pPr>
        <w:spacing w:line="240" w:lineRule="auto"/>
        <w:ind w:left="1440" w:right="1440" w:firstLine="0"/>
        <w:jc w:val="left"/>
        <w:rPr>
          <w:rFonts w:eastAsia="Times New Roman"/>
          <w:sz w:val="26"/>
          <w:szCs w:val="26"/>
        </w:rPr>
      </w:pPr>
    </w:p>
    <w:p w14:paraId="5838614C" w14:textId="77777777" w:rsidR="009B75E7" w:rsidRPr="008E0558" w:rsidRDefault="009B75E7" w:rsidP="009B75E7">
      <w:pPr>
        <w:spacing w:before="100" w:after="100" w:line="240" w:lineRule="auto"/>
        <w:ind w:left="1440" w:right="1440" w:hanging="1440"/>
        <w:jc w:val="left"/>
        <w:rPr>
          <w:rFonts w:eastAsia="Times New Roman"/>
          <w:sz w:val="26"/>
          <w:szCs w:val="26"/>
        </w:rPr>
      </w:pPr>
      <w:bookmarkStart w:id="0" w:name="5.94."/>
      <w:r w:rsidRPr="008E0558">
        <w:rPr>
          <w:rFonts w:eastAsia="Times New Roman"/>
          <w:sz w:val="26"/>
          <w:szCs w:val="26"/>
        </w:rPr>
        <w:t>52 Pa.</w:t>
      </w:r>
      <w:r>
        <w:rPr>
          <w:rFonts w:eastAsia="Times New Roman"/>
          <w:sz w:val="26"/>
          <w:szCs w:val="26"/>
        </w:rPr>
        <w:t xml:space="preserve"> </w:t>
      </w:r>
      <w:r w:rsidRPr="008E0558">
        <w:rPr>
          <w:rFonts w:eastAsia="Times New Roman"/>
          <w:sz w:val="26"/>
          <w:szCs w:val="26"/>
        </w:rPr>
        <w:t>Code § 5.94.</w:t>
      </w:r>
      <w:bookmarkEnd w:id="0"/>
    </w:p>
    <w:p w14:paraId="585B0F64" w14:textId="2FCFE166" w:rsidR="009B75E7" w:rsidRDefault="009B75E7" w:rsidP="0044545E">
      <w:pPr>
        <w:ind w:firstLine="0"/>
        <w:jc w:val="left"/>
        <w:rPr>
          <w:rFonts w:eastAsiaTheme="minorHAnsi"/>
          <w:b/>
          <w:color w:val="000000"/>
          <w:sz w:val="26"/>
          <w:szCs w:val="26"/>
        </w:rPr>
      </w:pPr>
    </w:p>
    <w:p w14:paraId="22F48928" w14:textId="285F8FE6" w:rsidR="0044545E" w:rsidRPr="0044545E" w:rsidRDefault="0044545E" w:rsidP="0044545E">
      <w:pPr>
        <w:ind w:firstLine="1440"/>
        <w:jc w:val="left"/>
        <w:rPr>
          <w:rFonts w:eastAsia="Times New Roman"/>
          <w:sz w:val="26"/>
          <w:szCs w:val="26"/>
        </w:rPr>
      </w:pPr>
      <w:r w:rsidRPr="0044545E">
        <w:rPr>
          <w:rFonts w:eastAsia="Times New Roman"/>
          <w:sz w:val="26"/>
          <w:szCs w:val="26"/>
        </w:rPr>
        <w:t xml:space="preserve">Commission Regulations allow a party to petition to reopen the proceeding any time after the record is closed but before a final decision is issued for the purpose of taking additional evidence.  52 Pa. Code § 5.571(a).  The burden is on the petitioner to show grounds for reopening the proceeding, including changes of fact or law that have occurred since the conclusion of the hearing.  52 Pa. Code § 5.571(b).  The Commission </w:t>
      </w:r>
      <w:r w:rsidRPr="0044545E">
        <w:rPr>
          <w:rFonts w:eastAsia="Times New Roman"/>
          <w:sz w:val="26"/>
          <w:szCs w:val="26"/>
        </w:rPr>
        <w:lastRenderedPageBreak/>
        <w:t>may reopen the record after the presiding officer has issued a decision if there is reason to believe that conditions of fact or law have so changed as to require, or that the public interest requires, the reopening of the proceeding.  52 Pa. Code § 5.571(d).</w:t>
      </w:r>
    </w:p>
    <w:p w14:paraId="5C000CF2" w14:textId="77777777" w:rsidR="0013594A" w:rsidRDefault="0013594A" w:rsidP="00784492">
      <w:pPr>
        <w:autoSpaceDE w:val="0"/>
        <w:autoSpaceDN w:val="0"/>
        <w:adjustRightInd w:val="0"/>
        <w:ind w:firstLine="0"/>
        <w:jc w:val="left"/>
        <w:rPr>
          <w:rStyle w:val="Hyperlink"/>
          <w:color w:val="000000"/>
          <w:sz w:val="26"/>
          <w:szCs w:val="26"/>
        </w:rPr>
      </w:pPr>
    </w:p>
    <w:p w14:paraId="1ED93A36" w14:textId="360B9382" w:rsidR="00B92776" w:rsidRDefault="00B92776" w:rsidP="0044545E">
      <w:pPr>
        <w:pStyle w:val="ParaTab1"/>
        <w:keepNext/>
        <w:keepLines/>
        <w:suppressAutoHyphens w:val="0"/>
        <w:spacing w:line="360" w:lineRule="auto"/>
        <w:ind w:firstLine="0"/>
        <w:rPr>
          <w:rFonts w:ascii="Times New Roman" w:hAnsi="Times New Roman" w:cs="Times New Roman"/>
          <w:b/>
          <w:sz w:val="26"/>
          <w:szCs w:val="26"/>
        </w:rPr>
      </w:pPr>
      <w:r w:rsidRPr="00FB158D">
        <w:rPr>
          <w:rFonts w:ascii="Times New Roman" w:hAnsi="Times New Roman" w:cs="Times New Roman"/>
          <w:b/>
          <w:sz w:val="26"/>
          <w:szCs w:val="26"/>
        </w:rPr>
        <w:t>ALJ</w:t>
      </w:r>
      <w:r>
        <w:rPr>
          <w:rFonts w:ascii="Times New Roman" w:hAnsi="Times New Roman" w:cs="Times New Roman"/>
          <w:b/>
          <w:sz w:val="26"/>
          <w:szCs w:val="26"/>
        </w:rPr>
        <w:t>’s</w:t>
      </w:r>
      <w:r w:rsidRPr="00FB158D">
        <w:rPr>
          <w:rFonts w:ascii="Times New Roman" w:hAnsi="Times New Roman" w:cs="Times New Roman"/>
          <w:b/>
          <w:sz w:val="26"/>
          <w:szCs w:val="26"/>
        </w:rPr>
        <w:t xml:space="preserve"> </w:t>
      </w:r>
      <w:r>
        <w:rPr>
          <w:rFonts w:ascii="Times New Roman" w:hAnsi="Times New Roman" w:cs="Times New Roman"/>
          <w:b/>
          <w:sz w:val="26"/>
          <w:szCs w:val="26"/>
        </w:rPr>
        <w:t>Initial Decision</w:t>
      </w:r>
      <w:r w:rsidRPr="00FB158D">
        <w:rPr>
          <w:rFonts w:ascii="Times New Roman" w:hAnsi="Times New Roman" w:cs="Times New Roman"/>
          <w:b/>
          <w:sz w:val="26"/>
          <w:szCs w:val="26"/>
        </w:rPr>
        <w:t xml:space="preserve"> </w:t>
      </w:r>
    </w:p>
    <w:p w14:paraId="3CA631FF" w14:textId="1701DC6B" w:rsidR="005A0B1E" w:rsidRDefault="005A0B1E" w:rsidP="00CE7C2A">
      <w:pPr>
        <w:keepNext/>
        <w:keepLines/>
        <w:autoSpaceDE w:val="0"/>
        <w:autoSpaceDN w:val="0"/>
        <w:adjustRightInd w:val="0"/>
        <w:ind w:firstLine="0"/>
        <w:jc w:val="left"/>
        <w:rPr>
          <w:rStyle w:val="Hyperlink"/>
          <w:color w:val="000000"/>
          <w:sz w:val="26"/>
          <w:szCs w:val="26"/>
          <w:u w:val="none"/>
        </w:rPr>
      </w:pPr>
      <w:r>
        <w:rPr>
          <w:rStyle w:val="Hyperlink"/>
          <w:color w:val="000000"/>
          <w:sz w:val="26"/>
          <w:szCs w:val="26"/>
          <w:u w:val="none"/>
        </w:rPr>
        <w:tab/>
      </w:r>
    </w:p>
    <w:p w14:paraId="0214CDFC" w14:textId="53EB8660" w:rsidR="00006984" w:rsidRDefault="00006984" w:rsidP="00006984">
      <w:pPr>
        <w:autoSpaceDE w:val="0"/>
        <w:autoSpaceDN w:val="0"/>
        <w:adjustRightInd w:val="0"/>
        <w:ind w:firstLine="1440"/>
        <w:jc w:val="left"/>
        <w:rPr>
          <w:sz w:val="26"/>
          <w:szCs w:val="26"/>
        </w:rPr>
      </w:pPr>
      <w:r>
        <w:rPr>
          <w:rFonts w:eastAsia="Times New Roman"/>
          <w:sz w:val="26"/>
          <w:szCs w:val="20"/>
        </w:rPr>
        <w:t xml:space="preserve">In </w:t>
      </w:r>
      <w:r w:rsidR="0044545E">
        <w:rPr>
          <w:rFonts w:eastAsia="Times New Roman"/>
          <w:sz w:val="26"/>
          <w:szCs w:val="20"/>
        </w:rPr>
        <w:t>her</w:t>
      </w:r>
      <w:r w:rsidR="00B10FDB">
        <w:rPr>
          <w:rFonts w:eastAsia="Times New Roman"/>
          <w:sz w:val="26"/>
          <w:szCs w:val="20"/>
        </w:rPr>
        <w:t xml:space="preserve"> Initial Decision,</w:t>
      </w:r>
      <w:r w:rsidR="0044545E">
        <w:rPr>
          <w:rFonts w:eastAsia="Times New Roman"/>
          <w:sz w:val="26"/>
          <w:szCs w:val="20"/>
        </w:rPr>
        <w:t xml:space="preserve"> ALJ Vero made eight</w:t>
      </w:r>
      <w:r>
        <w:rPr>
          <w:rFonts w:eastAsia="Times New Roman"/>
          <w:sz w:val="26"/>
          <w:szCs w:val="20"/>
        </w:rPr>
        <w:t xml:space="preserve"> Findings of Fact</w:t>
      </w:r>
      <w:r w:rsidRPr="00112628">
        <w:rPr>
          <w:rFonts w:eastAsia="Times New Roman"/>
          <w:sz w:val="26"/>
          <w:szCs w:val="20"/>
        </w:rPr>
        <w:t xml:space="preserve"> and</w:t>
      </w:r>
      <w:r w:rsidR="0044545E">
        <w:rPr>
          <w:rFonts w:eastAsia="Times New Roman"/>
          <w:sz w:val="26"/>
          <w:szCs w:val="20"/>
        </w:rPr>
        <w:t xml:space="preserve"> reached four</w:t>
      </w:r>
      <w:r w:rsidR="00B10FDB">
        <w:rPr>
          <w:rFonts w:eastAsia="Times New Roman"/>
          <w:sz w:val="26"/>
          <w:szCs w:val="20"/>
        </w:rPr>
        <w:t xml:space="preserve"> C</w:t>
      </w:r>
      <w:r w:rsidR="0044545E">
        <w:rPr>
          <w:rFonts w:eastAsia="Times New Roman"/>
          <w:sz w:val="26"/>
          <w:szCs w:val="20"/>
        </w:rPr>
        <w:t>onclusions of Law.  I.D. at 3-5</w:t>
      </w:r>
      <w:r w:rsidRPr="00112628">
        <w:rPr>
          <w:rFonts w:eastAsia="Times New Roman"/>
          <w:sz w:val="26"/>
          <w:szCs w:val="20"/>
        </w:rPr>
        <w:t xml:space="preserve">.  </w:t>
      </w:r>
      <w:r w:rsidRPr="00D64605">
        <w:rPr>
          <w:sz w:val="26"/>
          <w:szCs w:val="26"/>
        </w:rPr>
        <w:t>The Findings of Fact and Conclusions of Law are incorporated herein by reference and are adopted without comment unless they are either expressly or by necessary implication rejected or modified by this Opinion and Order.</w:t>
      </w:r>
    </w:p>
    <w:p w14:paraId="0D8EF86E" w14:textId="40DD487C" w:rsidR="0044545E" w:rsidRDefault="0044545E" w:rsidP="00006984">
      <w:pPr>
        <w:autoSpaceDE w:val="0"/>
        <w:autoSpaceDN w:val="0"/>
        <w:adjustRightInd w:val="0"/>
        <w:ind w:firstLine="1440"/>
        <w:jc w:val="left"/>
        <w:rPr>
          <w:sz w:val="26"/>
          <w:szCs w:val="26"/>
        </w:rPr>
      </w:pPr>
    </w:p>
    <w:p w14:paraId="3E425698" w14:textId="77777777" w:rsidR="009B75E7" w:rsidRDefault="00713D5D" w:rsidP="009B75E7">
      <w:pPr>
        <w:ind w:firstLine="1440"/>
        <w:jc w:val="left"/>
        <w:rPr>
          <w:sz w:val="26"/>
          <w:szCs w:val="26"/>
        </w:rPr>
      </w:pPr>
      <w:r w:rsidRPr="00B05BDE">
        <w:rPr>
          <w:sz w:val="26"/>
          <w:szCs w:val="26"/>
        </w:rPr>
        <w:t xml:space="preserve">The ALJ </w:t>
      </w:r>
      <w:r>
        <w:rPr>
          <w:sz w:val="26"/>
          <w:szCs w:val="26"/>
        </w:rPr>
        <w:t>noted that t</w:t>
      </w:r>
      <w:r w:rsidRPr="009F3A68">
        <w:rPr>
          <w:sz w:val="26"/>
          <w:szCs w:val="26"/>
        </w:rPr>
        <w:t>he Commission’s R</w:t>
      </w:r>
      <w:r>
        <w:rPr>
          <w:sz w:val="26"/>
          <w:szCs w:val="26"/>
        </w:rPr>
        <w:t xml:space="preserve">egulation </w:t>
      </w:r>
      <w:r w:rsidRPr="009F3A68">
        <w:rPr>
          <w:sz w:val="26"/>
          <w:szCs w:val="26"/>
        </w:rPr>
        <w:t>at 52 Pa.</w:t>
      </w:r>
      <w:r>
        <w:rPr>
          <w:sz w:val="26"/>
          <w:szCs w:val="26"/>
        </w:rPr>
        <w:t xml:space="preserve"> </w:t>
      </w:r>
      <w:r w:rsidRPr="009F3A68">
        <w:rPr>
          <w:sz w:val="26"/>
          <w:szCs w:val="26"/>
        </w:rPr>
        <w:t>Code § 5.94 permit</w:t>
      </w:r>
      <w:r>
        <w:rPr>
          <w:sz w:val="26"/>
          <w:szCs w:val="26"/>
        </w:rPr>
        <w:t>s</w:t>
      </w:r>
      <w:r w:rsidRPr="009F3A68">
        <w:rPr>
          <w:sz w:val="26"/>
          <w:szCs w:val="26"/>
        </w:rPr>
        <w:t xml:space="preserve"> parties to withdraw pleadings in a contested proceeding.  </w:t>
      </w:r>
      <w:r>
        <w:rPr>
          <w:sz w:val="26"/>
          <w:szCs w:val="26"/>
        </w:rPr>
        <w:t xml:space="preserve">She further noted that, in ruling on such a request, the presiding officer is to consider the petition, any objections thereto, and the public interest.  </w:t>
      </w:r>
      <w:r w:rsidRPr="00B05BDE">
        <w:rPr>
          <w:sz w:val="26"/>
          <w:szCs w:val="26"/>
        </w:rPr>
        <w:t>Noting that PGW did not have an objection to the Compl</w:t>
      </w:r>
      <w:r>
        <w:rPr>
          <w:sz w:val="26"/>
          <w:szCs w:val="26"/>
        </w:rPr>
        <w:t>ainant’s request to withdraw his</w:t>
      </w:r>
      <w:r w:rsidRPr="00B05BDE">
        <w:rPr>
          <w:sz w:val="26"/>
          <w:szCs w:val="26"/>
        </w:rPr>
        <w:t xml:space="preserve"> Complaint, the ALJ granted the Complainant’s Petition</w:t>
      </w:r>
      <w:r>
        <w:rPr>
          <w:sz w:val="26"/>
          <w:szCs w:val="26"/>
        </w:rPr>
        <w:t>,</w:t>
      </w:r>
      <w:r w:rsidRPr="00B05BDE">
        <w:rPr>
          <w:sz w:val="26"/>
          <w:szCs w:val="26"/>
        </w:rPr>
        <w:t xml:space="preserve"> finding that it was in the public interest to do so because the need for litigation would be eliminated</w:t>
      </w:r>
      <w:r w:rsidR="00FB402B">
        <w:rPr>
          <w:sz w:val="26"/>
          <w:szCs w:val="26"/>
        </w:rPr>
        <w:t>, as well as saving the parties any additional</w:t>
      </w:r>
      <w:r w:rsidR="00030990">
        <w:rPr>
          <w:sz w:val="26"/>
          <w:szCs w:val="26"/>
        </w:rPr>
        <w:t xml:space="preserve"> costs in time and money they would otherwise incur litigating the case</w:t>
      </w:r>
      <w:r w:rsidRPr="00B05BDE">
        <w:rPr>
          <w:sz w:val="26"/>
          <w:szCs w:val="26"/>
        </w:rPr>
        <w:t>.  I.D. at 4</w:t>
      </w:r>
      <w:r w:rsidR="00030990">
        <w:rPr>
          <w:sz w:val="26"/>
          <w:szCs w:val="26"/>
        </w:rPr>
        <w:t>-5</w:t>
      </w:r>
      <w:r w:rsidRPr="00B05BDE">
        <w:rPr>
          <w:sz w:val="26"/>
          <w:szCs w:val="26"/>
        </w:rPr>
        <w:t xml:space="preserve">.  </w:t>
      </w:r>
    </w:p>
    <w:p w14:paraId="19577BC7" w14:textId="77777777" w:rsidR="009B75E7" w:rsidRDefault="009B75E7" w:rsidP="009B75E7">
      <w:pPr>
        <w:ind w:firstLine="0"/>
        <w:jc w:val="left"/>
        <w:rPr>
          <w:sz w:val="26"/>
          <w:szCs w:val="26"/>
        </w:rPr>
      </w:pPr>
    </w:p>
    <w:p w14:paraId="44D1C42E" w14:textId="77777777" w:rsidR="009B75E7" w:rsidRDefault="00A15703" w:rsidP="009B75E7">
      <w:pPr>
        <w:ind w:firstLine="0"/>
        <w:jc w:val="left"/>
        <w:rPr>
          <w:sz w:val="26"/>
          <w:szCs w:val="26"/>
        </w:rPr>
      </w:pPr>
      <w:r w:rsidRPr="0044545E">
        <w:rPr>
          <w:b/>
          <w:sz w:val="26"/>
          <w:szCs w:val="26"/>
        </w:rPr>
        <w:t>Exceptions</w:t>
      </w:r>
      <w:r w:rsidR="00726CF7">
        <w:rPr>
          <w:b/>
          <w:sz w:val="26"/>
          <w:szCs w:val="26"/>
        </w:rPr>
        <w:t xml:space="preserve"> and</w:t>
      </w:r>
      <w:r w:rsidR="00AB387F" w:rsidRPr="0044545E">
        <w:rPr>
          <w:b/>
          <w:sz w:val="26"/>
          <w:szCs w:val="26"/>
        </w:rPr>
        <w:t xml:space="preserve"> Replies</w:t>
      </w:r>
    </w:p>
    <w:p w14:paraId="031C6F10" w14:textId="77777777" w:rsidR="009B75E7" w:rsidRDefault="009B75E7" w:rsidP="009B75E7">
      <w:pPr>
        <w:ind w:firstLine="0"/>
        <w:jc w:val="left"/>
        <w:rPr>
          <w:sz w:val="26"/>
          <w:szCs w:val="26"/>
        </w:rPr>
      </w:pPr>
    </w:p>
    <w:p w14:paraId="35ABD65D" w14:textId="77777777" w:rsidR="009B75E7" w:rsidRDefault="00565FFE" w:rsidP="009B75E7">
      <w:pPr>
        <w:ind w:firstLine="1440"/>
        <w:jc w:val="left"/>
        <w:rPr>
          <w:sz w:val="26"/>
          <w:szCs w:val="26"/>
        </w:rPr>
      </w:pPr>
      <w:r>
        <w:rPr>
          <w:sz w:val="26"/>
          <w:szCs w:val="26"/>
        </w:rPr>
        <w:t>The Complainant’s document submitted in response to the ALJ’s Initial Decision consists of one sentence, which merely states that he “is not satisfied with the outcome or the manner in which it was conducted.”</w:t>
      </w:r>
      <w:r w:rsidR="00891747">
        <w:rPr>
          <w:sz w:val="26"/>
          <w:szCs w:val="26"/>
        </w:rPr>
        <w:t xml:space="preserve">  Exc. at 1.  While the format of the Complainant’</w:t>
      </w:r>
      <w:r w:rsidR="0045317D">
        <w:rPr>
          <w:sz w:val="26"/>
          <w:szCs w:val="26"/>
        </w:rPr>
        <w:t xml:space="preserve">s </w:t>
      </w:r>
      <w:r w:rsidR="00891747">
        <w:rPr>
          <w:sz w:val="26"/>
          <w:szCs w:val="26"/>
        </w:rPr>
        <w:t xml:space="preserve">document does not comply with our Regulations, </w:t>
      </w:r>
      <w:r w:rsidR="0045317D">
        <w:rPr>
          <w:sz w:val="26"/>
          <w:szCs w:val="26"/>
        </w:rPr>
        <w:t>we have previously determined that we will accept the document as Exceptions to the Initial Decision.</w:t>
      </w:r>
    </w:p>
    <w:p w14:paraId="16C1AC45" w14:textId="77777777" w:rsidR="009B75E7" w:rsidRDefault="009B75E7" w:rsidP="009B75E7">
      <w:pPr>
        <w:ind w:firstLine="1440"/>
        <w:jc w:val="left"/>
        <w:rPr>
          <w:sz w:val="26"/>
          <w:szCs w:val="26"/>
        </w:rPr>
      </w:pPr>
    </w:p>
    <w:p w14:paraId="762E9E95" w14:textId="03294BC9" w:rsidR="00642D11" w:rsidRDefault="009A64B1" w:rsidP="009B75E7">
      <w:pPr>
        <w:ind w:firstLine="1440"/>
        <w:jc w:val="left"/>
        <w:rPr>
          <w:sz w:val="26"/>
          <w:szCs w:val="26"/>
        </w:rPr>
      </w:pPr>
      <w:r>
        <w:rPr>
          <w:sz w:val="26"/>
          <w:szCs w:val="26"/>
        </w:rPr>
        <w:lastRenderedPageBreak/>
        <w:t>In</w:t>
      </w:r>
      <w:r w:rsidR="00332A4F">
        <w:rPr>
          <w:sz w:val="26"/>
          <w:szCs w:val="26"/>
        </w:rPr>
        <w:t xml:space="preserve"> its Replies to Exceptions, PGW notes the ambiguous nature of the Complainant’s Exceptions</w:t>
      </w:r>
      <w:r w:rsidR="000B7E10">
        <w:rPr>
          <w:sz w:val="26"/>
          <w:szCs w:val="26"/>
        </w:rPr>
        <w:t xml:space="preserve">, and therefore, </w:t>
      </w:r>
      <w:r w:rsidR="00810B36">
        <w:rPr>
          <w:sz w:val="26"/>
          <w:szCs w:val="26"/>
        </w:rPr>
        <w:t xml:space="preserve">it has </w:t>
      </w:r>
      <w:r w:rsidR="000B7E10">
        <w:rPr>
          <w:sz w:val="26"/>
          <w:szCs w:val="26"/>
        </w:rPr>
        <w:t>structure</w:t>
      </w:r>
      <w:r w:rsidR="00810B36">
        <w:rPr>
          <w:sz w:val="26"/>
          <w:szCs w:val="26"/>
        </w:rPr>
        <w:t>d</w:t>
      </w:r>
      <w:r w:rsidR="000B7E10">
        <w:rPr>
          <w:sz w:val="26"/>
          <w:szCs w:val="26"/>
        </w:rPr>
        <w:t xml:space="preserve"> its response</w:t>
      </w:r>
      <w:r w:rsidR="000510C2">
        <w:rPr>
          <w:sz w:val="26"/>
          <w:szCs w:val="26"/>
        </w:rPr>
        <w:t xml:space="preserve"> to serve both as PGW’s Reply Exceptions and</w:t>
      </w:r>
      <w:r w:rsidR="0049466F">
        <w:rPr>
          <w:sz w:val="26"/>
          <w:szCs w:val="26"/>
        </w:rPr>
        <w:t xml:space="preserve"> as</w:t>
      </w:r>
      <w:r w:rsidR="000510C2">
        <w:rPr>
          <w:sz w:val="26"/>
          <w:szCs w:val="26"/>
        </w:rPr>
        <w:t xml:space="preserve"> its Answer to the Petition to Reopen.  R. Exc. at 3.</w:t>
      </w:r>
      <w:r w:rsidR="008C2A3D">
        <w:rPr>
          <w:sz w:val="26"/>
          <w:szCs w:val="26"/>
        </w:rPr>
        <w:t xml:space="preserve">  </w:t>
      </w:r>
      <w:r w:rsidR="007131A4">
        <w:rPr>
          <w:sz w:val="26"/>
          <w:szCs w:val="26"/>
        </w:rPr>
        <w:t xml:space="preserve">PGW avers that the Complainant clearly conveyed his </w:t>
      </w:r>
      <w:r w:rsidR="004F4FBE">
        <w:rPr>
          <w:sz w:val="26"/>
          <w:szCs w:val="26"/>
        </w:rPr>
        <w:t>intent to withdraw his Complaint, highlighting the Complainant’s testimony:</w:t>
      </w:r>
    </w:p>
    <w:p w14:paraId="70E15463" w14:textId="77777777" w:rsidR="00810B36" w:rsidRDefault="00810B36" w:rsidP="009B75E7">
      <w:pPr>
        <w:ind w:firstLine="1440"/>
        <w:jc w:val="left"/>
        <w:rPr>
          <w:sz w:val="26"/>
          <w:szCs w:val="26"/>
        </w:rPr>
      </w:pPr>
    </w:p>
    <w:p w14:paraId="78A23E43" w14:textId="29B6C354" w:rsidR="004F4FBE" w:rsidRPr="004F4FBE" w:rsidRDefault="004F4FBE" w:rsidP="004F4FBE">
      <w:pPr>
        <w:spacing w:line="240" w:lineRule="auto"/>
        <w:ind w:left="1440" w:right="1440" w:firstLine="0"/>
        <w:jc w:val="left"/>
        <w:rPr>
          <w:rFonts w:eastAsia="Times New Roman"/>
          <w:sz w:val="26"/>
          <w:szCs w:val="26"/>
        </w:rPr>
      </w:pPr>
      <w:r>
        <w:rPr>
          <w:rFonts w:eastAsia="Times New Roman"/>
          <w:sz w:val="26"/>
          <w:szCs w:val="26"/>
        </w:rPr>
        <w:t>THE COURT:  Am I clear in understanding that you no longer wish to continue with complaint</w:t>
      </w:r>
      <w:r w:rsidRPr="004F4FBE">
        <w:rPr>
          <w:rFonts w:eastAsia="Times New Roman"/>
          <w:sz w:val="26"/>
          <w:szCs w:val="26"/>
        </w:rPr>
        <w:t>?</w:t>
      </w:r>
    </w:p>
    <w:p w14:paraId="033B9724" w14:textId="77777777" w:rsidR="004F4FBE" w:rsidRPr="004F4FBE" w:rsidRDefault="004F4FBE" w:rsidP="004F4FBE">
      <w:pPr>
        <w:spacing w:line="240" w:lineRule="auto"/>
        <w:ind w:left="1440" w:right="1440" w:firstLine="0"/>
        <w:jc w:val="left"/>
        <w:rPr>
          <w:rFonts w:eastAsia="Times New Roman"/>
          <w:sz w:val="26"/>
          <w:szCs w:val="26"/>
        </w:rPr>
      </w:pPr>
    </w:p>
    <w:p w14:paraId="2021EADD" w14:textId="36DF18D4" w:rsidR="004F4FBE" w:rsidRPr="004F4FBE" w:rsidRDefault="004F4FBE" w:rsidP="004F4FBE">
      <w:pPr>
        <w:spacing w:line="240" w:lineRule="auto"/>
        <w:ind w:left="1440" w:right="1440" w:firstLine="0"/>
        <w:jc w:val="left"/>
        <w:rPr>
          <w:rFonts w:eastAsia="Times New Roman"/>
          <w:sz w:val="26"/>
          <w:szCs w:val="26"/>
        </w:rPr>
      </w:pPr>
      <w:r>
        <w:rPr>
          <w:rFonts w:eastAsia="Times New Roman"/>
          <w:sz w:val="26"/>
          <w:szCs w:val="26"/>
        </w:rPr>
        <w:t>THE WITNESS:  Yes, you’re clear.  I no longer wish to file a complaint</w:t>
      </w:r>
      <w:r w:rsidRPr="004F4FBE">
        <w:rPr>
          <w:rFonts w:eastAsia="Times New Roman"/>
          <w:sz w:val="26"/>
          <w:szCs w:val="26"/>
        </w:rPr>
        <w:t>.</w:t>
      </w:r>
    </w:p>
    <w:p w14:paraId="487186FE" w14:textId="38678AAC" w:rsidR="004F4FBE" w:rsidRDefault="004F4FBE" w:rsidP="004F4FBE">
      <w:pPr>
        <w:ind w:firstLine="0"/>
        <w:jc w:val="left"/>
        <w:rPr>
          <w:sz w:val="26"/>
          <w:szCs w:val="26"/>
        </w:rPr>
      </w:pPr>
    </w:p>
    <w:p w14:paraId="529E9BFB" w14:textId="4F0D3AED" w:rsidR="007C6366" w:rsidRDefault="004F4FBE" w:rsidP="007C6366">
      <w:pPr>
        <w:ind w:firstLine="0"/>
        <w:jc w:val="left"/>
        <w:rPr>
          <w:sz w:val="26"/>
          <w:szCs w:val="26"/>
        </w:rPr>
      </w:pPr>
      <w:r>
        <w:rPr>
          <w:sz w:val="26"/>
          <w:szCs w:val="26"/>
        </w:rPr>
        <w:t>Tr. at 14</w:t>
      </w:r>
      <w:r w:rsidR="005B5E6D">
        <w:rPr>
          <w:sz w:val="26"/>
          <w:szCs w:val="26"/>
        </w:rPr>
        <w:t>:8-12.</w:t>
      </w:r>
    </w:p>
    <w:p w14:paraId="1509911B" w14:textId="77777777" w:rsidR="007C6366" w:rsidRDefault="007C6366" w:rsidP="007C6366">
      <w:pPr>
        <w:ind w:firstLine="0"/>
        <w:jc w:val="left"/>
        <w:rPr>
          <w:sz w:val="26"/>
          <w:szCs w:val="26"/>
        </w:rPr>
      </w:pPr>
    </w:p>
    <w:p w14:paraId="1A144836" w14:textId="44915E30" w:rsidR="004F4FBE" w:rsidRPr="008F5C3A" w:rsidRDefault="0045373F" w:rsidP="007C6366">
      <w:pPr>
        <w:ind w:firstLine="1440"/>
        <w:jc w:val="left"/>
        <w:rPr>
          <w:sz w:val="26"/>
          <w:szCs w:val="26"/>
        </w:rPr>
      </w:pPr>
      <w:r>
        <w:rPr>
          <w:sz w:val="26"/>
          <w:szCs w:val="26"/>
        </w:rPr>
        <w:t>Further PGW argues that</w:t>
      </w:r>
      <w:r w:rsidR="00AC324B">
        <w:rPr>
          <w:sz w:val="26"/>
          <w:szCs w:val="26"/>
        </w:rPr>
        <w:t xml:space="preserve"> the Complainant’s Exceptions fail to address any error in fact or law contained in the Initial Decision refuting the determination that the </w:t>
      </w:r>
      <w:r w:rsidR="00AC324B" w:rsidRPr="008F5C3A">
        <w:rPr>
          <w:sz w:val="26"/>
          <w:szCs w:val="26"/>
        </w:rPr>
        <w:t>Complainant’s statement that he no longer wished to prosecute his Complaint against PGW is tantamount to a Petition for Leave to Withdraw his Complaint or that such Petition should have been granted.  R. Exc. at 3.</w:t>
      </w:r>
    </w:p>
    <w:p w14:paraId="5A3A3FD9" w14:textId="676ACED7" w:rsidR="00AC324B" w:rsidRDefault="00AC324B" w:rsidP="007C6366">
      <w:pPr>
        <w:autoSpaceDE w:val="0"/>
        <w:autoSpaceDN w:val="0"/>
        <w:adjustRightInd w:val="0"/>
        <w:ind w:firstLine="1440"/>
        <w:jc w:val="left"/>
        <w:rPr>
          <w:sz w:val="26"/>
          <w:szCs w:val="26"/>
        </w:rPr>
      </w:pPr>
    </w:p>
    <w:p w14:paraId="433747F9" w14:textId="351747A4" w:rsidR="00AA0645" w:rsidRDefault="00032127" w:rsidP="007C6366">
      <w:pPr>
        <w:autoSpaceDE w:val="0"/>
        <w:autoSpaceDN w:val="0"/>
        <w:adjustRightInd w:val="0"/>
        <w:ind w:firstLine="1440"/>
        <w:jc w:val="left"/>
        <w:rPr>
          <w:sz w:val="26"/>
          <w:szCs w:val="26"/>
        </w:rPr>
      </w:pPr>
      <w:r>
        <w:rPr>
          <w:sz w:val="26"/>
          <w:szCs w:val="26"/>
        </w:rPr>
        <w:t>PGW also asserts that if the Commission were to consider the Complainant’s Exceptions as a request to reopen the record, as permitted by the provisions of the Commission’s Regulations, found at 52 Pa. Code §5.571</w:t>
      </w:r>
      <w:r w:rsidR="00CC4538">
        <w:rPr>
          <w:sz w:val="26"/>
          <w:szCs w:val="26"/>
        </w:rPr>
        <w:t>, “the Complainant offers no changes of fact or law, nothing except his feelings of dissatisfaction with the outcome or the manner in which ‘it’ was conducted.”</w:t>
      </w:r>
      <w:r w:rsidR="00031722">
        <w:rPr>
          <w:sz w:val="26"/>
          <w:szCs w:val="26"/>
        </w:rPr>
        <w:t xml:space="preserve">  R. Exc. at</w:t>
      </w:r>
      <w:r w:rsidR="002C6566">
        <w:rPr>
          <w:sz w:val="26"/>
          <w:szCs w:val="26"/>
        </w:rPr>
        <w:t> </w:t>
      </w:r>
      <w:r w:rsidR="00031722">
        <w:rPr>
          <w:sz w:val="26"/>
          <w:szCs w:val="26"/>
        </w:rPr>
        <w:t>3.</w:t>
      </w:r>
      <w:r w:rsidR="00CC4538">
        <w:rPr>
          <w:sz w:val="26"/>
          <w:szCs w:val="26"/>
        </w:rPr>
        <w:t xml:space="preserve">  PGW notes the Complainant’s satisfaction with the explanation received regarding the accuracy of his billing, as well as </w:t>
      </w:r>
      <w:r w:rsidR="00F25EE3">
        <w:rPr>
          <w:sz w:val="26"/>
          <w:szCs w:val="26"/>
        </w:rPr>
        <w:t>the lack of any indication or explanation from the Complainant regarding the source of his dissatisfaction with respect to any aspect of the proceedings.</w:t>
      </w:r>
      <w:r w:rsidR="00031722">
        <w:rPr>
          <w:sz w:val="26"/>
          <w:szCs w:val="26"/>
        </w:rPr>
        <w:t xml:space="preserve">  </w:t>
      </w:r>
      <w:r w:rsidR="00031722" w:rsidRPr="00031722">
        <w:rPr>
          <w:i/>
          <w:sz w:val="26"/>
          <w:szCs w:val="26"/>
        </w:rPr>
        <w:t>Id.</w:t>
      </w:r>
      <w:r w:rsidR="00AA0645">
        <w:rPr>
          <w:sz w:val="26"/>
          <w:szCs w:val="26"/>
        </w:rPr>
        <w:t xml:space="preserve"> at 4.</w:t>
      </w:r>
    </w:p>
    <w:p w14:paraId="7ADCC325" w14:textId="77777777" w:rsidR="00AA0645" w:rsidRDefault="00AA0645" w:rsidP="007C6366">
      <w:pPr>
        <w:autoSpaceDE w:val="0"/>
        <w:autoSpaceDN w:val="0"/>
        <w:adjustRightInd w:val="0"/>
        <w:ind w:firstLine="1440"/>
        <w:jc w:val="left"/>
        <w:rPr>
          <w:sz w:val="26"/>
          <w:szCs w:val="26"/>
        </w:rPr>
      </w:pPr>
    </w:p>
    <w:p w14:paraId="078E0E76" w14:textId="59241CFE" w:rsidR="00032127" w:rsidRDefault="00AA0645" w:rsidP="007C6366">
      <w:pPr>
        <w:autoSpaceDE w:val="0"/>
        <w:autoSpaceDN w:val="0"/>
        <w:adjustRightInd w:val="0"/>
        <w:ind w:firstLine="1440"/>
        <w:jc w:val="left"/>
        <w:rPr>
          <w:sz w:val="26"/>
          <w:szCs w:val="26"/>
        </w:rPr>
      </w:pPr>
      <w:r>
        <w:rPr>
          <w:sz w:val="26"/>
          <w:szCs w:val="26"/>
        </w:rPr>
        <w:lastRenderedPageBreak/>
        <w:t>PGW notes that, in addition to</w:t>
      </w:r>
      <w:r w:rsidR="00135671">
        <w:rPr>
          <w:sz w:val="26"/>
          <w:szCs w:val="26"/>
        </w:rPr>
        <w:t xml:space="preserve"> material changes of fact or law to have occurred sinc</w:t>
      </w:r>
      <w:r>
        <w:rPr>
          <w:sz w:val="26"/>
          <w:szCs w:val="26"/>
        </w:rPr>
        <w:t>e the conclusion of the hearing, a decision that reopening the record is warranted may also be based on a determination that the public interest dictates that the record should be reopened.  In this regard, PGW argues that there is no public interest that is served by reopening the record and that everything related to the accuracy of the Complainant’s January 2017 bill is the same as it was on December 8, 2017</w:t>
      </w:r>
      <w:r w:rsidR="00D60E6B">
        <w:rPr>
          <w:sz w:val="26"/>
          <w:szCs w:val="26"/>
        </w:rPr>
        <w:t>,</w:t>
      </w:r>
      <w:r>
        <w:rPr>
          <w:sz w:val="26"/>
          <w:szCs w:val="26"/>
        </w:rPr>
        <w:t xml:space="preserve"> when it was explained to him. </w:t>
      </w:r>
      <w:r w:rsidRPr="00AA0645">
        <w:rPr>
          <w:i/>
          <w:sz w:val="26"/>
          <w:szCs w:val="26"/>
        </w:rPr>
        <w:t xml:space="preserve"> Id.</w:t>
      </w:r>
    </w:p>
    <w:p w14:paraId="22B7BD2F" w14:textId="65D0F957" w:rsidR="00F972C8" w:rsidRPr="008F5C3A" w:rsidRDefault="00F972C8" w:rsidP="00031722">
      <w:pPr>
        <w:keepNext/>
        <w:keepLines/>
        <w:autoSpaceDE w:val="0"/>
        <w:autoSpaceDN w:val="0"/>
        <w:adjustRightInd w:val="0"/>
        <w:ind w:firstLine="0"/>
        <w:jc w:val="left"/>
        <w:rPr>
          <w:sz w:val="26"/>
          <w:szCs w:val="26"/>
        </w:rPr>
      </w:pPr>
    </w:p>
    <w:p w14:paraId="67A08FD7" w14:textId="77777777" w:rsidR="00031722" w:rsidRDefault="00360671" w:rsidP="00031722">
      <w:pPr>
        <w:tabs>
          <w:tab w:val="left" w:pos="720"/>
        </w:tabs>
        <w:ind w:firstLine="0"/>
        <w:jc w:val="both"/>
        <w:rPr>
          <w:rFonts w:eastAsiaTheme="minorHAnsi"/>
          <w:b/>
          <w:sz w:val="26"/>
          <w:szCs w:val="26"/>
        </w:rPr>
      </w:pPr>
      <w:r w:rsidRPr="008F5C3A">
        <w:rPr>
          <w:rFonts w:eastAsiaTheme="minorHAnsi"/>
          <w:b/>
          <w:sz w:val="26"/>
          <w:szCs w:val="26"/>
        </w:rPr>
        <w:t>Disposition</w:t>
      </w:r>
      <w:r w:rsidR="00031722">
        <w:rPr>
          <w:rFonts w:eastAsiaTheme="minorHAnsi"/>
          <w:b/>
          <w:sz w:val="26"/>
          <w:szCs w:val="26"/>
        </w:rPr>
        <w:t xml:space="preserve">  </w:t>
      </w:r>
    </w:p>
    <w:p w14:paraId="44A51379" w14:textId="77777777" w:rsidR="00031722" w:rsidRDefault="00031722" w:rsidP="00031722">
      <w:pPr>
        <w:tabs>
          <w:tab w:val="left" w:pos="720"/>
        </w:tabs>
        <w:ind w:firstLine="0"/>
        <w:jc w:val="both"/>
        <w:rPr>
          <w:rFonts w:eastAsiaTheme="minorHAnsi"/>
          <w:b/>
          <w:sz w:val="26"/>
          <w:szCs w:val="26"/>
        </w:rPr>
      </w:pPr>
    </w:p>
    <w:p w14:paraId="28EC850C" w14:textId="5E6BD672" w:rsidR="0052085F" w:rsidRPr="00031722" w:rsidRDefault="008F5C3A" w:rsidP="00031722">
      <w:pPr>
        <w:tabs>
          <w:tab w:val="left" w:pos="720"/>
        </w:tabs>
        <w:ind w:firstLine="1440"/>
        <w:jc w:val="both"/>
        <w:rPr>
          <w:rFonts w:eastAsiaTheme="minorHAnsi"/>
          <w:b/>
          <w:sz w:val="26"/>
          <w:szCs w:val="26"/>
        </w:rPr>
      </w:pPr>
      <w:r w:rsidRPr="008F5C3A">
        <w:rPr>
          <w:sz w:val="26"/>
          <w:szCs w:val="26"/>
        </w:rPr>
        <w:t xml:space="preserve">Based on our review of the record in this proceeding, the Exceptions, and the Replies thereto, we shall deny the </w:t>
      </w:r>
      <w:r w:rsidR="00D60E6B">
        <w:rPr>
          <w:sz w:val="26"/>
          <w:szCs w:val="26"/>
        </w:rPr>
        <w:t xml:space="preserve">Complainant’s </w:t>
      </w:r>
      <w:r w:rsidRPr="008F5C3A">
        <w:rPr>
          <w:sz w:val="26"/>
          <w:szCs w:val="26"/>
        </w:rPr>
        <w:t xml:space="preserve">Exceptions.  First, we find that the general averments the Complainant makes in his Exceptions do not provide us with any specific information on which to evaluate his position.  </w:t>
      </w:r>
      <w:r w:rsidR="00AF5830">
        <w:rPr>
          <w:sz w:val="26"/>
          <w:szCs w:val="26"/>
        </w:rPr>
        <w:t>Additionally, t</w:t>
      </w:r>
      <w:r w:rsidRPr="008F5C3A">
        <w:rPr>
          <w:sz w:val="26"/>
          <w:szCs w:val="26"/>
        </w:rPr>
        <w:t xml:space="preserve">he Complainant has failed to identify any findings of fact or conclusions of law in the Initial Decision to which he objects and has failed to provide supporting reasons for his Exceptions, as required by Section 5.533(b) of </w:t>
      </w:r>
      <w:r w:rsidR="00254E66">
        <w:rPr>
          <w:sz w:val="26"/>
          <w:szCs w:val="26"/>
        </w:rPr>
        <w:t>our Regulations</w:t>
      </w:r>
      <w:r w:rsidRPr="008F5C3A">
        <w:rPr>
          <w:sz w:val="26"/>
          <w:szCs w:val="26"/>
        </w:rPr>
        <w:t xml:space="preserve">, </w:t>
      </w:r>
      <w:r w:rsidR="00254E66">
        <w:rPr>
          <w:sz w:val="26"/>
          <w:szCs w:val="26"/>
        </w:rPr>
        <w:t>52 Pa. Code</w:t>
      </w:r>
      <w:r w:rsidRPr="008F5C3A">
        <w:rPr>
          <w:sz w:val="26"/>
          <w:szCs w:val="26"/>
        </w:rPr>
        <w:t xml:space="preserve"> § 5.533(b).</w:t>
      </w:r>
    </w:p>
    <w:p w14:paraId="1E9808CB" w14:textId="0BDE6CAE" w:rsidR="00F06C99" w:rsidRDefault="00F06C99" w:rsidP="00F06C99">
      <w:pPr>
        <w:ind w:firstLine="1440"/>
        <w:jc w:val="left"/>
        <w:rPr>
          <w:spacing w:val="-3"/>
          <w:sz w:val="26"/>
          <w:szCs w:val="26"/>
        </w:rPr>
      </w:pPr>
    </w:p>
    <w:p w14:paraId="2DCF72EE" w14:textId="122238F8" w:rsidR="009A278B" w:rsidRPr="009A278B" w:rsidRDefault="009A278B" w:rsidP="009A278B">
      <w:pPr>
        <w:tabs>
          <w:tab w:val="left" w:pos="720"/>
        </w:tabs>
        <w:ind w:firstLine="1440"/>
        <w:jc w:val="left"/>
        <w:rPr>
          <w:sz w:val="26"/>
        </w:rPr>
      </w:pPr>
      <w:r>
        <w:rPr>
          <w:sz w:val="26"/>
        </w:rPr>
        <w:t>Furthermore</w:t>
      </w:r>
      <w:r w:rsidRPr="009A278B">
        <w:rPr>
          <w:sz w:val="26"/>
        </w:rPr>
        <w:t xml:space="preserve">, </w:t>
      </w:r>
      <w:r w:rsidR="00AF5830">
        <w:rPr>
          <w:sz w:val="26"/>
        </w:rPr>
        <w:t xml:space="preserve">as </w:t>
      </w:r>
      <w:r w:rsidRPr="009A278B">
        <w:rPr>
          <w:sz w:val="26"/>
        </w:rPr>
        <w:t>acknowledge</w:t>
      </w:r>
      <w:r w:rsidR="00AF5830">
        <w:rPr>
          <w:sz w:val="26"/>
        </w:rPr>
        <w:t xml:space="preserve">d by PGW in its Replies to the Complainant’s Exceptions, there is a </w:t>
      </w:r>
      <w:r w:rsidRPr="009A278B">
        <w:rPr>
          <w:sz w:val="26"/>
        </w:rPr>
        <w:t>possibility that,</w:t>
      </w:r>
      <w:r>
        <w:rPr>
          <w:sz w:val="26"/>
        </w:rPr>
        <w:t xml:space="preserve"> </w:t>
      </w:r>
      <w:r w:rsidR="00D57AF1">
        <w:rPr>
          <w:sz w:val="26"/>
        </w:rPr>
        <w:t xml:space="preserve">even though </w:t>
      </w:r>
      <w:r>
        <w:rPr>
          <w:sz w:val="26"/>
        </w:rPr>
        <w:t>the filing was styled as</w:t>
      </w:r>
      <w:r w:rsidRPr="009A278B">
        <w:rPr>
          <w:sz w:val="26"/>
        </w:rPr>
        <w:t xml:space="preserve"> “Exceptions</w:t>
      </w:r>
      <w:r>
        <w:rPr>
          <w:sz w:val="26"/>
        </w:rPr>
        <w:t xml:space="preserve"> to the Initial Decision</w:t>
      </w:r>
      <w:r w:rsidRPr="009A278B">
        <w:rPr>
          <w:sz w:val="26"/>
        </w:rPr>
        <w:t xml:space="preserve">,” this </w:t>
      </w:r>
      <w:r w:rsidRPr="009A278B">
        <w:rPr>
          <w:i/>
          <w:sz w:val="26"/>
        </w:rPr>
        <w:t>pro se</w:t>
      </w:r>
      <w:r w:rsidRPr="009A278B">
        <w:rPr>
          <w:sz w:val="26"/>
        </w:rPr>
        <w:t xml:space="preserve"> Complainant may have intended to request a reopening of the record, consistent with our Regulation at 52 Pa. Code §</w:t>
      </w:r>
      <w:r w:rsidR="00AF5830">
        <w:rPr>
          <w:sz w:val="26"/>
        </w:rPr>
        <w:t> </w:t>
      </w:r>
      <w:r w:rsidRPr="009A278B">
        <w:rPr>
          <w:sz w:val="26"/>
        </w:rPr>
        <w:t xml:space="preserve">5.571(d)(2) (stating, in pertinent part, “the Commission may reopen the record after the presiding officer has issued a decision”).  </w:t>
      </w:r>
      <w:r w:rsidR="00D57AF1">
        <w:rPr>
          <w:sz w:val="26"/>
        </w:rPr>
        <w:t xml:space="preserve">However, </w:t>
      </w:r>
      <w:r w:rsidRPr="009A278B">
        <w:rPr>
          <w:sz w:val="26"/>
        </w:rPr>
        <w:t xml:space="preserve">Section 5.571 requires </w:t>
      </w:r>
      <w:r w:rsidR="00D57AF1">
        <w:rPr>
          <w:sz w:val="26"/>
        </w:rPr>
        <w:t xml:space="preserve">that such </w:t>
      </w:r>
      <w:r w:rsidRPr="009A278B">
        <w:rPr>
          <w:sz w:val="26"/>
        </w:rPr>
        <w:t xml:space="preserve">petition set forth the facts claimed to constitute grounds requiring </w:t>
      </w:r>
      <w:r w:rsidR="00D57AF1">
        <w:rPr>
          <w:sz w:val="26"/>
        </w:rPr>
        <w:t xml:space="preserve">the </w:t>
      </w:r>
      <w:r w:rsidRPr="009A278B">
        <w:rPr>
          <w:sz w:val="26"/>
        </w:rPr>
        <w:t xml:space="preserve">reopening of the proceeding, including material changes of fact or law alleged to have occurred since the conclusion of the hearing.  52 Pa. Code § 5.571(b).  </w:t>
      </w:r>
      <w:r w:rsidR="00D57AF1">
        <w:rPr>
          <w:sz w:val="26"/>
        </w:rPr>
        <w:t>In this case, t</w:t>
      </w:r>
      <w:r w:rsidRPr="009A278B">
        <w:rPr>
          <w:sz w:val="26"/>
        </w:rPr>
        <w:t>he Complainant</w:t>
      </w:r>
      <w:r w:rsidR="00D57AF1">
        <w:rPr>
          <w:sz w:val="26"/>
        </w:rPr>
        <w:t xml:space="preserve"> provided</w:t>
      </w:r>
      <w:r w:rsidRPr="009A278B">
        <w:rPr>
          <w:sz w:val="26"/>
        </w:rPr>
        <w:t xml:space="preserve"> no indication of the basis for requesting a new hearing.  To the extent the Complainant’s filing can be construed as a request to reopen the record, we </w:t>
      </w:r>
      <w:r w:rsidR="00D57AF1">
        <w:rPr>
          <w:sz w:val="26"/>
        </w:rPr>
        <w:t xml:space="preserve">shall deny </w:t>
      </w:r>
      <w:r w:rsidRPr="009A278B">
        <w:rPr>
          <w:sz w:val="26"/>
        </w:rPr>
        <w:t>that request</w:t>
      </w:r>
      <w:r w:rsidR="009B6165">
        <w:rPr>
          <w:sz w:val="26"/>
        </w:rPr>
        <w:t xml:space="preserve"> as well</w:t>
      </w:r>
      <w:r w:rsidRPr="009A278B">
        <w:rPr>
          <w:sz w:val="26"/>
        </w:rPr>
        <w:t>.</w:t>
      </w:r>
    </w:p>
    <w:p w14:paraId="6EFC17BD" w14:textId="77777777" w:rsidR="009A278B" w:rsidRPr="008F5C3A" w:rsidRDefault="009A278B" w:rsidP="00F06C99">
      <w:pPr>
        <w:ind w:firstLine="1440"/>
        <w:jc w:val="left"/>
        <w:rPr>
          <w:spacing w:val="-3"/>
          <w:sz w:val="26"/>
          <w:szCs w:val="26"/>
        </w:rPr>
      </w:pPr>
    </w:p>
    <w:p w14:paraId="082DC060" w14:textId="77777777" w:rsidR="00B776E7" w:rsidRPr="008F5C3A" w:rsidRDefault="00B776E7" w:rsidP="00247171">
      <w:pPr>
        <w:keepNext/>
        <w:keepLines/>
        <w:autoSpaceDE w:val="0"/>
        <w:autoSpaceDN w:val="0"/>
        <w:adjustRightInd w:val="0"/>
        <w:ind w:firstLine="0"/>
        <w:rPr>
          <w:sz w:val="26"/>
          <w:szCs w:val="26"/>
        </w:rPr>
      </w:pPr>
      <w:r w:rsidRPr="008F5C3A">
        <w:rPr>
          <w:b/>
          <w:sz w:val="26"/>
          <w:szCs w:val="26"/>
        </w:rPr>
        <w:t>Conclusion</w:t>
      </w:r>
    </w:p>
    <w:p w14:paraId="4F857A41" w14:textId="237F8EBF" w:rsidR="00F43F77" w:rsidRDefault="00F43F77" w:rsidP="00247171">
      <w:pPr>
        <w:keepNext/>
        <w:keepLines/>
        <w:jc w:val="left"/>
        <w:rPr>
          <w:spacing w:val="-3"/>
          <w:sz w:val="26"/>
          <w:szCs w:val="26"/>
        </w:rPr>
      </w:pPr>
    </w:p>
    <w:p w14:paraId="3B5EF8E7" w14:textId="5694A1CD" w:rsidR="00B776E7" w:rsidRDefault="006A0AC6" w:rsidP="006A0AC6">
      <w:pPr>
        <w:autoSpaceDE w:val="0"/>
        <w:autoSpaceDN w:val="0"/>
        <w:adjustRightInd w:val="0"/>
        <w:ind w:firstLine="1440"/>
        <w:jc w:val="left"/>
        <w:rPr>
          <w:rFonts w:eastAsia="Times New Roman"/>
          <w:b/>
          <w:sz w:val="26"/>
          <w:szCs w:val="26"/>
        </w:rPr>
      </w:pPr>
      <w:r w:rsidRPr="006A0AC6">
        <w:rPr>
          <w:rFonts w:eastAsia="Times New Roman"/>
          <w:sz w:val="26"/>
          <w:szCs w:val="22"/>
        </w:rPr>
        <w:t>Based on our review</w:t>
      </w:r>
      <w:r w:rsidRPr="006A0AC6">
        <w:rPr>
          <w:rFonts w:eastAsia="Times New Roman"/>
          <w:b/>
          <w:sz w:val="26"/>
          <w:szCs w:val="22"/>
        </w:rPr>
        <w:t xml:space="preserve"> </w:t>
      </w:r>
      <w:r w:rsidRPr="006A0AC6">
        <w:rPr>
          <w:rFonts w:eastAsia="Times New Roman"/>
          <w:sz w:val="26"/>
          <w:szCs w:val="26"/>
        </w:rPr>
        <w:t xml:space="preserve">and analysis of the record in this proceeding, including the Initial Decision, and the Exceptions and Replies thereto, we shall deny the </w:t>
      </w:r>
      <w:r w:rsidR="009B6165">
        <w:rPr>
          <w:rFonts w:eastAsia="Times New Roman"/>
          <w:sz w:val="26"/>
          <w:szCs w:val="26"/>
        </w:rPr>
        <w:t xml:space="preserve">Complainant’s </w:t>
      </w:r>
      <w:r w:rsidRPr="006A0AC6">
        <w:rPr>
          <w:rFonts w:eastAsia="Times New Roman"/>
          <w:sz w:val="26"/>
          <w:szCs w:val="26"/>
        </w:rPr>
        <w:t>Exceptions and adopt the ALJ’s Initial Decision</w:t>
      </w:r>
      <w:r w:rsidR="009B6165">
        <w:rPr>
          <w:rFonts w:eastAsia="Times New Roman"/>
          <w:sz w:val="26"/>
          <w:szCs w:val="26"/>
        </w:rPr>
        <w:t xml:space="preserve"> that </w:t>
      </w:r>
      <w:r w:rsidR="00804129">
        <w:rPr>
          <w:rFonts w:eastAsia="Times New Roman"/>
          <w:sz w:val="26"/>
          <w:szCs w:val="26"/>
        </w:rPr>
        <w:t>grant</w:t>
      </w:r>
      <w:r w:rsidR="0069191E">
        <w:rPr>
          <w:rFonts w:eastAsia="Times New Roman"/>
          <w:sz w:val="26"/>
          <w:szCs w:val="26"/>
        </w:rPr>
        <w:t>s</w:t>
      </w:r>
      <w:r w:rsidR="00804129">
        <w:rPr>
          <w:rFonts w:eastAsia="Times New Roman"/>
          <w:sz w:val="26"/>
          <w:szCs w:val="26"/>
        </w:rPr>
        <w:t xml:space="preserve"> the Complainant’s Petition for Leave to Withdraw his Complaint in this proceeding</w:t>
      </w:r>
      <w:r w:rsidRPr="006A0AC6">
        <w:rPr>
          <w:rFonts w:eastAsia="Times New Roman"/>
          <w:sz w:val="26"/>
          <w:szCs w:val="26"/>
        </w:rPr>
        <w:t>, consistent with this Opinion and Order;</w:t>
      </w:r>
      <w:r w:rsidRPr="006A0AC6">
        <w:rPr>
          <w:rFonts w:eastAsia="Times New Roman"/>
          <w:sz w:val="26"/>
          <w:szCs w:val="22"/>
        </w:rPr>
        <w:t xml:space="preserve"> </w:t>
      </w:r>
      <w:r w:rsidRPr="006A0AC6">
        <w:rPr>
          <w:rFonts w:eastAsia="Times New Roman"/>
          <w:b/>
          <w:sz w:val="26"/>
          <w:szCs w:val="26"/>
        </w:rPr>
        <w:t>THEREFORE</w:t>
      </w:r>
      <w:r>
        <w:rPr>
          <w:rFonts w:eastAsia="Times New Roman"/>
          <w:b/>
          <w:sz w:val="26"/>
          <w:szCs w:val="26"/>
        </w:rPr>
        <w:t>,</w:t>
      </w:r>
    </w:p>
    <w:p w14:paraId="1EFBF3C0" w14:textId="77777777" w:rsidR="006A0AC6" w:rsidRDefault="006A0AC6" w:rsidP="006A0AC6">
      <w:pPr>
        <w:autoSpaceDE w:val="0"/>
        <w:autoSpaceDN w:val="0"/>
        <w:adjustRightInd w:val="0"/>
        <w:ind w:firstLine="1440"/>
        <w:jc w:val="left"/>
        <w:rPr>
          <w:sz w:val="26"/>
          <w:szCs w:val="26"/>
        </w:rPr>
      </w:pPr>
    </w:p>
    <w:p w14:paraId="457F7B60" w14:textId="77777777" w:rsidR="00B776E7" w:rsidRDefault="00B776E7" w:rsidP="000A2650">
      <w:pPr>
        <w:keepNext/>
        <w:keepLines/>
        <w:jc w:val="left"/>
        <w:rPr>
          <w:b/>
          <w:sz w:val="26"/>
          <w:szCs w:val="26"/>
        </w:rPr>
      </w:pPr>
      <w:r>
        <w:rPr>
          <w:sz w:val="26"/>
          <w:szCs w:val="26"/>
        </w:rPr>
        <w:tab/>
      </w:r>
      <w:r w:rsidRPr="000D6043">
        <w:rPr>
          <w:b/>
          <w:sz w:val="26"/>
          <w:szCs w:val="26"/>
        </w:rPr>
        <w:t>IT IS ORDERED:</w:t>
      </w:r>
    </w:p>
    <w:p w14:paraId="46ACFA53" w14:textId="77777777" w:rsidR="00B776E7" w:rsidRDefault="00B776E7" w:rsidP="000A2650">
      <w:pPr>
        <w:keepNext/>
        <w:keepLines/>
        <w:jc w:val="left"/>
        <w:rPr>
          <w:b/>
          <w:sz w:val="26"/>
          <w:szCs w:val="26"/>
        </w:rPr>
      </w:pPr>
    </w:p>
    <w:p w14:paraId="750C23EE" w14:textId="45100C62" w:rsidR="00B776E7" w:rsidRDefault="00B776E7" w:rsidP="000A2650">
      <w:pPr>
        <w:jc w:val="left"/>
        <w:rPr>
          <w:sz w:val="26"/>
          <w:szCs w:val="26"/>
        </w:rPr>
      </w:pPr>
      <w:r>
        <w:rPr>
          <w:b/>
          <w:sz w:val="26"/>
          <w:szCs w:val="26"/>
        </w:rPr>
        <w:tab/>
      </w:r>
      <w:r>
        <w:rPr>
          <w:sz w:val="26"/>
          <w:szCs w:val="26"/>
        </w:rPr>
        <w:t>1.</w:t>
      </w:r>
      <w:r>
        <w:rPr>
          <w:sz w:val="26"/>
          <w:szCs w:val="26"/>
        </w:rPr>
        <w:tab/>
        <w:t xml:space="preserve">That the </w:t>
      </w:r>
      <w:r w:rsidR="001D5774">
        <w:rPr>
          <w:sz w:val="26"/>
          <w:szCs w:val="26"/>
        </w:rPr>
        <w:t>Exceptions</w:t>
      </w:r>
      <w:r w:rsidR="00AC03EB">
        <w:rPr>
          <w:sz w:val="26"/>
          <w:szCs w:val="26"/>
        </w:rPr>
        <w:t xml:space="preserve"> </w:t>
      </w:r>
      <w:r w:rsidR="001D5774">
        <w:rPr>
          <w:sz w:val="26"/>
          <w:szCs w:val="26"/>
        </w:rPr>
        <w:t>of</w:t>
      </w:r>
      <w:r w:rsidR="00AC03EB">
        <w:rPr>
          <w:sz w:val="26"/>
          <w:szCs w:val="26"/>
        </w:rPr>
        <w:t xml:space="preserve"> </w:t>
      </w:r>
      <w:r w:rsidR="006A0AC6">
        <w:rPr>
          <w:sz w:val="26"/>
          <w:szCs w:val="26"/>
        </w:rPr>
        <w:t>Otis Johnson, filed on April 19</w:t>
      </w:r>
      <w:r w:rsidR="001D5774">
        <w:rPr>
          <w:sz w:val="26"/>
          <w:szCs w:val="26"/>
        </w:rPr>
        <w:t xml:space="preserve">, 2018, </w:t>
      </w:r>
      <w:r w:rsidR="00804129">
        <w:rPr>
          <w:sz w:val="26"/>
          <w:szCs w:val="26"/>
        </w:rPr>
        <w:t>to the Initial Decision of Administrative Law Judge Eranda</w:t>
      </w:r>
      <w:r w:rsidR="006F5506">
        <w:rPr>
          <w:sz w:val="26"/>
          <w:szCs w:val="26"/>
        </w:rPr>
        <w:t xml:space="preserve">, issued on April 12, 2018, </w:t>
      </w:r>
      <w:r w:rsidR="006A0AC6">
        <w:rPr>
          <w:sz w:val="26"/>
          <w:szCs w:val="26"/>
        </w:rPr>
        <w:t>are denied</w:t>
      </w:r>
      <w:r w:rsidR="006F5506">
        <w:rPr>
          <w:sz w:val="26"/>
          <w:szCs w:val="26"/>
        </w:rPr>
        <w:t>, consistent with this Opinion and Order</w:t>
      </w:r>
      <w:r w:rsidR="006A0AC6">
        <w:rPr>
          <w:sz w:val="26"/>
          <w:szCs w:val="26"/>
        </w:rPr>
        <w:t>.</w:t>
      </w:r>
    </w:p>
    <w:p w14:paraId="6DCB633C" w14:textId="77777777" w:rsidR="00B776E7" w:rsidRDefault="00B776E7" w:rsidP="000A2650">
      <w:pPr>
        <w:jc w:val="left"/>
        <w:rPr>
          <w:sz w:val="26"/>
          <w:szCs w:val="26"/>
        </w:rPr>
      </w:pPr>
    </w:p>
    <w:p w14:paraId="2EAAE5B7" w14:textId="21FB3C64" w:rsidR="00B776E7" w:rsidRDefault="00B776E7" w:rsidP="000A2650">
      <w:pPr>
        <w:ind w:firstLine="1440"/>
        <w:jc w:val="left"/>
        <w:rPr>
          <w:sz w:val="26"/>
          <w:szCs w:val="26"/>
        </w:rPr>
      </w:pPr>
      <w:r>
        <w:rPr>
          <w:sz w:val="26"/>
          <w:szCs w:val="26"/>
        </w:rPr>
        <w:t>2.</w:t>
      </w:r>
      <w:r>
        <w:rPr>
          <w:sz w:val="26"/>
          <w:szCs w:val="26"/>
        </w:rPr>
        <w:tab/>
      </w:r>
      <w:r w:rsidR="006A0AC6">
        <w:rPr>
          <w:sz w:val="26"/>
          <w:szCs w:val="26"/>
        </w:rPr>
        <w:t>That the Initial Decision of</w:t>
      </w:r>
      <w:r w:rsidR="00344503">
        <w:rPr>
          <w:sz w:val="26"/>
          <w:szCs w:val="26"/>
        </w:rPr>
        <w:t xml:space="preserve"> </w:t>
      </w:r>
      <w:r>
        <w:rPr>
          <w:sz w:val="26"/>
          <w:szCs w:val="26"/>
        </w:rPr>
        <w:t xml:space="preserve">Administrative Law Judge </w:t>
      </w:r>
      <w:r w:rsidR="006A0AC6">
        <w:rPr>
          <w:sz w:val="26"/>
          <w:szCs w:val="26"/>
        </w:rPr>
        <w:t>Eranda Vero</w:t>
      </w:r>
      <w:r>
        <w:rPr>
          <w:sz w:val="26"/>
          <w:szCs w:val="26"/>
        </w:rPr>
        <w:t>, issued on</w:t>
      </w:r>
      <w:r w:rsidR="000A2650">
        <w:rPr>
          <w:sz w:val="26"/>
          <w:szCs w:val="26"/>
        </w:rPr>
        <w:t xml:space="preserve"> </w:t>
      </w:r>
      <w:r w:rsidR="006A0AC6">
        <w:rPr>
          <w:sz w:val="26"/>
          <w:szCs w:val="26"/>
        </w:rPr>
        <w:t>April 12</w:t>
      </w:r>
      <w:r w:rsidR="004E672C">
        <w:rPr>
          <w:sz w:val="26"/>
          <w:szCs w:val="26"/>
        </w:rPr>
        <w:t>, 2018</w:t>
      </w:r>
      <w:r>
        <w:rPr>
          <w:sz w:val="26"/>
          <w:szCs w:val="26"/>
        </w:rPr>
        <w:t xml:space="preserve">, is </w:t>
      </w:r>
      <w:r w:rsidR="006A0AC6">
        <w:rPr>
          <w:sz w:val="26"/>
          <w:szCs w:val="26"/>
        </w:rPr>
        <w:t>adopted</w:t>
      </w:r>
      <w:r w:rsidR="00511DE8">
        <w:rPr>
          <w:sz w:val="26"/>
          <w:szCs w:val="26"/>
        </w:rPr>
        <w:t>,</w:t>
      </w:r>
      <w:r w:rsidR="00D409E4">
        <w:rPr>
          <w:sz w:val="26"/>
          <w:szCs w:val="26"/>
        </w:rPr>
        <w:t xml:space="preserve"> </w:t>
      </w:r>
      <w:r w:rsidR="0005540D">
        <w:rPr>
          <w:sz w:val="26"/>
          <w:szCs w:val="26"/>
        </w:rPr>
        <w:t xml:space="preserve">consistent with </w:t>
      </w:r>
      <w:r>
        <w:rPr>
          <w:sz w:val="26"/>
          <w:szCs w:val="26"/>
        </w:rPr>
        <w:t>this Opinion and Order.</w:t>
      </w:r>
    </w:p>
    <w:p w14:paraId="0B628548" w14:textId="50889313" w:rsidR="006E1AA7" w:rsidRDefault="006E1AA7" w:rsidP="006E1AA7">
      <w:pPr>
        <w:ind w:firstLine="0"/>
        <w:jc w:val="left"/>
        <w:rPr>
          <w:sz w:val="26"/>
          <w:szCs w:val="26"/>
        </w:rPr>
      </w:pPr>
    </w:p>
    <w:p w14:paraId="250AB90D" w14:textId="08171C6D" w:rsidR="000A2650" w:rsidRDefault="00410FC5" w:rsidP="000A6F38">
      <w:pPr>
        <w:ind w:firstLine="1440"/>
        <w:jc w:val="left"/>
        <w:rPr>
          <w:sz w:val="26"/>
          <w:szCs w:val="26"/>
        </w:rPr>
      </w:pPr>
      <w:r>
        <w:rPr>
          <w:sz w:val="26"/>
          <w:szCs w:val="26"/>
        </w:rPr>
        <w:t>3</w:t>
      </w:r>
      <w:r w:rsidR="006E1AA7">
        <w:rPr>
          <w:sz w:val="26"/>
          <w:szCs w:val="26"/>
        </w:rPr>
        <w:t>.</w:t>
      </w:r>
      <w:r w:rsidR="006E1AA7">
        <w:rPr>
          <w:sz w:val="26"/>
          <w:szCs w:val="26"/>
        </w:rPr>
        <w:tab/>
      </w:r>
      <w:r w:rsidR="00B776E7">
        <w:rPr>
          <w:sz w:val="26"/>
          <w:szCs w:val="26"/>
        </w:rPr>
        <w:t>Tha</w:t>
      </w:r>
      <w:r w:rsidR="006A0AC6">
        <w:rPr>
          <w:sz w:val="26"/>
          <w:szCs w:val="26"/>
        </w:rPr>
        <w:t>t the Formal Complaint filed on May 12</w:t>
      </w:r>
      <w:r w:rsidR="00511DE8">
        <w:rPr>
          <w:sz w:val="26"/>
          <w:szCs w:val="26"/>
        </w:rPr>
        <w:t>, 2017</w:t>
      </w:r>
      <w:r w:rsidR="00B776E7">
        <w:rPr>
          <w:sz w:val="26"/>
          <w:szCs w:val="26"/>
        </w:rPr>
        <w:t xml:space="preserve">, by </w:t>
      </w:r>
      <w:r w:rsidR="006A0AC6">
        <w:rPr>
          <w:sz w:val="26"/>
          <w:szCs w:val="26"/>
        </w:rPr>
        <w:t xml:space="preserve">Otis Johnson </w:t>
      </w:r>
      <w:r w:rsidR="00B776E7">
        <w:rPr>
          <w:sz w:val="26"/>
          <w:szCs w:val="26"/>
        </w:rPr>
        <w:t xml:space="preserve">against </w:t>
      </w:r>
      <w:r w:rsidR="006A0AC6">
        <w:rPr>
          <w:sz w:val="26"/>
          <w:szCs w:val="26"/>
        </w:rPr>
        <w:t>Philadelphia Gas Works, at Docket No. F-2017-2605672</w:t>
      </w:r>
      <w:r w:rsidR="004E672C">
        <w:rPr>
          <w:sz w:val="26"/>
          <w:szCs w:val="26"/>
        </w:rPr>
        <w:t xml:space="preserve"> </w:t>
      </w:r>
      <w:r w:rsidR="00B776E7">
        <w:rPr>
          <w:sz w:val="26"/>
          <w:szCs w:val="26"/>
        </w:rPr>
        <w:t xml:space="preserve">is </w:t>
      </w:r>
      <w:r w:rsidR="006F5506">
        <w:rPr>
          <w:sz w:val="26"/>
          <w:szCs w:val="26"/>
        </w:rPr>
        <w:t xml:space="preserve">withdrawn, </w:t>
      </w:r>
      <w:r w:rsidR="006E1AA7">
        <w:rPr>
          <w:sz w:val="26"/>
          <w:szCs w:val="26"/>
        </w:rPr>
        <w:t>consistent with this Opinion and Order</w:t>
      </w:r>
      <w:r w:rsidR="00B776E7">
        <w:rPr>
          <w:sz w:val="26"/>
          <w:szCs w:val="26"/>
        </w:rPr>
        <w:t>.</w:t>
      </w:r>
    </w:p>
    <w:p w14:paraId="591F2768" w14:textId="5709F5A5" w:rsidR="003C315F" w:rsidRDefault="003C315F" w:rsidP="00A265E9">
      <w:pPr>
        <w:keepNext/>
        <w:keepLines/>
        <w:ind w:firstLine="1440"/>
        <w:jc w:val="left"/>
        <w:rPr>
          <w:sz w:val="26"/>
          <w:szCs w:val="26"/>
        </w:rPr>
      </w:pPr>
    </w:p>
    <w:p w14:paraId="3421B0A8" w14:textId="436AEDAE" w:rsidR="003C315F" w:rsidRDefault="003C315F" w:rsidP="00A265E9">
      <w:pPr>
        <w:keepNext/>
        <w:keepLines/>
        <w:ind w:firstLine="1440"/>
        <w:jc w:val="left"/>
        <w:rPr>
          <w:sz w:val="26"/>
          <w:szCs w:val="26"/>
        </w:rPr>
      </w:pPr>
      <w:r>
        <w:rPr>
          <w:sz w:val="26"/>
          <w:szCs w:val="26"/>
        </w:rPr>
        <w:t>4.</w:t>
      </w:r>
      <w:r>
        <w:rPr>
          <w:sz w:val="26"/>
          <w:szCs w:val="26"/>
        </w:rPr>
        <w:tab/>
        <w:t>That the proce</w:t>
      </w:r>
      <w:r w:rsidR="006A0AC6">
        <w:rPr>
          <w:sz w:val="26"/>
          <w:szCs w:val="26"/>
        </w:rPr>
        <w:t>eding docketed at F-2017-2605672</w:t>
      </w:r>
      <w:r>
        <w:rPr>
          <w:sz w:val="26"/>
          <w:szCs w:val="26"/>
        </w:rPr>
        <w:t xml:space="preserve"> be marked closed.</w:t>
      </w:r>
    </w:p>
    <w:p w14:paraId="3C6100E8" w14:textId="3712E848" w:rsidR="006E1AA7" w:rsidRDefault="006E1AA7" w:rsidP="00A265E9">
      <w:pPr>
        <w:keepNext/>
        <w:keepLines/>
        <w:ind w:firstLine="0"/>
        <w:jc w:val="left"/>
        <w:rPr>
          <w:b/>
          <w:sz w:val="26"/>
          <w:szCs w:val="26"/>
        </w:rPr>
      </w:pPr>
    </w:p>
    <w:p w14:paraId="706C943A" w14:textId="5B1C1BC5" w:rsidR="00B776E7" w:rsidRPr="000D6043" w:rsidRDefault="00562AD8" w:rsidP="00CD3564">
      <w:pPr>
        <w:keepNext/>
        <w:keepLines/>
        <w:tabs>
          <w:tab w:val="left" w:pos="5670"/>
          <w:tab w:val="left" w:pos="5760"/>
          <w:tab w:val="left" w:pos="5940"/>
          <w:tab w:val="left" w:pos="6030"/>
          <w:tab w:val="left" w:pos="6120"/>
          <w:tab w:val="left" w:pos="7020"/>
        </w:tabs>
        <w:spacing w:line="240" w:lineRule="auto"/>
        <w:ind w:left="3600" w:firstLine="1440"/>
        <w:jc w:val="left"/>
        <w:rPr>
          <w:b/>
          <w:sz w:val="26"/>
          <w:szCs w:val="26"/>
        </w:rPr>
      </w:pPr>
      <w:r>
        <w:rPr>
          <w:noProof/>
        </w:rPr>
        <w:drawing>
          <wp:anchor distT="0" distB="0" distL="114300" distR="114300" simplePos="0" relativeHeight="251659264" behindDoc="1" locked="0" layoutInCell="1" allowOverlap="1" wp14:anchorId="17751C2E" wp14:editId="3ACDE040">
            <wp:simplePos x="0" y="0"/>
            <wp:positionH relativeFrom="column">
              <wp:posOffset>3248025</wp:posOffset>
            </wp:positionH>
            <wp:positionV relativeFrom="paragraph">
              <wp:posOffset>171450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76E7" w:rsidRPr="000D6043">
        <w:rPr>
          <w:b/>
          <w:sz w:val="26"/>
          <w:szCs w:val="26"/>
        </w:rPr>
        <w:t>BY THE COMMISSION,</w:t>
      </w:r>
    </w:p>
    <w:p w14:paraId="107F6E02" w14:textId="71D03207" w:rsidR="00B776E7" w:rsidRDefault="00B776E7" w:rsidP="000D5317">
      <w:pPr>
        <w:keepNext/>
        <w:keepLines/>
        <w:spacing w:line="240" w:lineRule="auto"/>
        <w:jc w:val="left"/>
        <w:rPr>
          <w:sz w:val="26"/>
          <w:szCs w:val="26"/>
        </w:rPr>
      </w:pPr>
    </w:p>
    <w:p w14:paraId="2EC21534" w14:textId="66B446DA" w:rsidR="00CD3564" w:rsidRDefault="00CD3564" w:rsidP="00CD3564">
      <w:pPr>
        <w:keepNext/>
        <w:keepLines/>
        <w:spacing w:line="240" w:lineRule="auto"/>
        <w:jc w:val="left"/>
        <w:rPr>
          <w:sz w:val="26"/>
          <w:szCs w:val="26"/>
        </w:rPr>
      </w:pPr>
    </w:p>
    <w:p w14:paraId="2D0F06AB" w14:textId="77777777" w:rsidR="00CD3564" w:rsidRDefault="00CD3564" w:rsidP="00CD3564">
      <w:pPr>
        <w:keepNext/>
        <w:keepLines/>
        <w:spacing w:line="240" w:lineRule="auto"/>
        <w:jc w:val="left"/>
        <w:rPr>
          <w:sz w:val="26"/>
          <w:szCs w:val="26"/>
        </w:rPr>
      </w:pPr>
    </w:p>
    <w:p w14:paraId="32C631FA" w14:textId="77777777" w:rsidR="00CD3564" w:rsidRDefault="00CD3564" w:rsidP="00CD3564">
      <w:pPr>
        <w:keepNext/>
        <w:keepLines/>
        <w:spacing w:line="240" w:lineRule="auto"/>
        <w:jc w:val="left"/>
        <w:rPr>
          <w:sz w:val="26"/>
          <w:szCs w:val="26"/>
        </w:rPr>
      </w:pPr>
    </w:p>
    <w:p w14:paraId="780DEF2E" w14:textId="108754A0" w:rsidR="00B776E7" w:rsidRPr="00CD3564" w:rsidRDefault="00B776E7" w:rsidP="00CD3564">
      <w:pPr>
        <w:keepNext/>
        <w:keepLines/>
        <w:tabs>
          <w:tab w:val="left" w:pos="5670"/>
          <w:tab w:val="left" w:pos="5760"/>
          <w:tab w:val="left" w:pos="5940"/>
          <w:tab w:val="left" w:pos="6030"/>
          <w:tab w:val="left" w:pos="6120"/>
          <w:tab w:val="left" w:pos="7020"/>
        </w:tabs>
        <w:spacing w:line="240" w:lineRule="auto"/>
        <w:ind w:left="3600" w:firstLine="1440"/>
        <w:jc w:val="left"/>
        <w:rPr>
          <w:sz w:val="26"/>
          <w:szCs w:val="26"/>
        </w:rPr>
      </w:pPr>
      <w:r w:rsidRPr="00CD3564">
        <w:rPr>
          <w:sz w:val="26"/>
          <w:szCs w:val="26"/>
        </w:rPr>
        <w:t>Rosemary Chiavetta</w:t>
      </w:r>
    </w:p>
    <w:p w14:paraId="499DA614" w14:textId="2910D465" w:rsidR="00B776E7" w:rsidRPr="00CD3564" w:rsidRDefault="00B776E7" w:rsidP="00CD3564">
      <w:pPr>
        <w:keepNext/>
        <w:keepLines/>
        <w:tabs>
          <w:tab w:val="left" w:pos="5670"/>
          <w:tab w:val="left" w:pos="5760"/>
          <w:tab w:val="left" w:pos="5940"/>
          <w:tab w:val="left" w:pos="6030"/>
          <w:tab w:val="left" w:pos="6120"/>
          <w:tab w:val="left" w:pos="7020"/>
        </w:tabs>
        <w:spacing w:line="240" w:lineRule="auto"/>
        <w:ind w:left="3600" w:firstLine="1440"/>
        <w:jc w:val="left"/>
        <w:rPr>
          <w:sz w:val="26"/>
          <w:szCs w:val="26"/>
        </w:rPr>
      </w:pPr>
      <w:r w:rsidRPr="00CD3564">
        <w:rPr>
          <w:sz w:val="26"/>
          <w:szCs w:val="26"/>
        </w:rPr>
        <w:t>Secretary</w:t>
      </w:r>
    </w:p>
    <w:p w14:paraId="5794237E" w14:textId="77777777" w:rsidR="00B776E7" w:rsidRPr="00CD3564" w:rsidRDefault="00B776E7" w:rsidP="00CD3564">
      <w:pPr>
        <w:keepNext/>
        <w:keepLines/>
        <w:tabs>
          <w:tab w:val="left" w:pos="-720"/>
        </w:tabs>
        <w:suppressAutoHyphens/>
        <w:spacing w:line="240" w:lineRule="auto"/>
        <w:jc w:val="left"/>
        <w:rPr>
          <w:sz w:val="26"/>
          <w:szCs w:val="26"/>
        </w:rPr>
      </w:pPr>
    </w:p>
    <w:p w14:paraId="69227CCD" w14:textId="347F900F" w:rsidR="00B776E7" w:rsidRDefault="00B776E7" w:rsidP="00CD3564">
      <w:pPr>
        <w:keepNext/>
        <w:keepLines/>
        <w:tabs>
          <w:tab w:val="left" w:pos="-720"/>
        </w:tabs>
        <w:suppressAutoHyphens/>
        <w:spacing w:line="240" w:lineRule="auto"/>
        <w:ind w:firstLine="0"/>
        <w:jc w:val="left"/>
        <w:rPr>
          <w:sz w:val="26"/>
          <w:szCs w:val="26"/>
        </w:rPr>
      </w:pPr>
      <w:r w:rsidRPr="00AD292A">
        <w:rPr>
          <w:sz w:val="26"/>
          <w:szCs w:val="26"/>
        </w:rPr>
        <w:t>(SEAL)</w:t>
      </w:r>
    </w:p>
    <w:p w14:paraId="1CC6634C" w14:textId="77777777" w:rsidR="00CD3564" w:rsidRPr="001B2BFB" w:rsidRDefault="00CD3564" w:rsidP="00CD3564">
      <w:pPr>
        <w:keepNext/>
        <w:keepLines/>
        <w:tabs>
          <w:tab w:val="left" w:pos="-720"/>
        </w:tabs>
        <w:suppressAutoHyphens/>
        <w:spacing w:line="240" w:lineRule="auto"/>
        <w:ind w:firstLine="0"/>
        <w:jc w:val="left"/>
        <w:rPr>
          <w:sz w:val="26"/>
          <w:szCs w:val="26"/>
        </w:rPr>
      </w:pPr>
    </w:p>
    <w:p w14:paraId="6B1AB11E" w14:textId="7661D9EF" w:rsidR="00B776E7" w:rsidRDefault="00B776E7" w:rsidP="00CD3564">
      <w:pPr>
        <w:keepNext/>
        <w:keepLines/>
        <w:tabs>
          <w:tab w:val="left" w:pos="-720"/>
        </w:tabs>
        <w:suppressAutoHyphens/>
        <w:spacing w:line="240" w:lineRule="auto"/>
        <w:ind w:firstLine="0"/>
        <w:jc w:val="left"/>
        <w:rPr>
          <w:sz w:val="26"/>
          <w:szCs w:val="26"/>
        </w:rPr>
      </w:pPr>
      <w:r w:rsidRPr="00AD292A">
        <w:rPr>
          <w:sz w:val="26"/>
          <w:szCs w:val="26"/>
        </w:rPr>
        <w:t>ORDER ADOPTED:</w:t>
      </w:r>
      <w:r w:rsidRPr="001B2BFB">
        <w:rPr>
          <w:sz w:val="26"/>
          <w:szCs w:val="26"/>
        </w:rPr>
        <w:t xml:space="preserve"> </w:t>
      </w:r>
      <w:r>
        <w:rPr>
          <w:sz w:val="26"/>
          <w:szCs w:val="26"/>
        </w:rPr>
        <w:t xml:space="preserve"> </w:t>
      </w:r>
      <w:r w:rsidR="00556804">
        <w:rPr>
          <w:sz w:val="26"/>
          <w:szCs w:val="26"/>
        </w:rPr>
        <w:t>December 6</w:t>
      </w:r>
      <w:r>
        <w:rPr>
          <w:sz w:val="26"/>
          <w:szCs w:val="26"/>
        </w:rPr>
        <w:t>, 201</w:t>
      </w:r>
      <w:r w:rsidR="005B43BA">
        <w:rPr>
          <w:sz w:val="26"/>
          <w:szCs w:val="26"/>
        </w:rPr>
        <w:t>8</w:t>
      </w:r>
    </w:p>
    <w:p w14:paraId="738DC2B8" w14:textId="77777777" w:rsidR="00CD3564" w:rsidRDefault="00CD3564" w:rsidP="00CD3564">
      <w:pPr>
        <w:keepNext/>
        <w:keepLines/>
        <w:tabs>
          <w:tab w:val="left" w:pos="-720"/>
        </w:tabs>
        <w:suppressAutoHyphens/>
        <w:spacing w:line="240" w:lineRule="auto"/>
        <w:ind w:firstLine="0"/>
        <w:jc w:val="left"/>
        <w:rPr>
          <w:sz w:val="26"/>
          <w:szCs w:val="26"/>
        </w:rPr>
      </w:pPr>
    </w:p>
    <w:p w14:paraId="16B8B022" w14:textId="7D13DBFE" w:rsidR="00CD3564" w:rsidRPr="000544CF" w:rsidRDefault="00B776E7">
      <w:pPr>
        <w:keepNext/>
        <w:keepLines/>
        <w:tabs>
          <w:tab w:val="left" w:pos="-720"/>
        </w:tabs>
        <w:suppressAutoHyphens/>
        <w:spacing w:line="240" w:lineRule="auto"/>
        <w:ind w:firstLine="0"/>
        <w:jc w:val="left"/>
        <w:rPr>
          <w:sz w:val="26"/>
          <w:szCs w:val="26"/>
        </w:rPr>
      </w:pPr>
      <w:r w:rsidRPr="00507493">
        <w:rPr>
          <w:sz w:val="26"/>
          <w:szCs w:val="26"/>
        </w:rPr>
        <w:t xml:space="preserve">ORDER ENTERED: </w:t>
      </w:r>
      <w:r>
        <w:rPr>
          <w:sz w:val="26"/>
          <w:szCs w:val="26"/>
        </w:rPr>
        <w:t xml:space="preserve"> </w:t>
      </w:r>
      <w:r w:rsidR="00562AD8">
        <w:rPr>
          <w:sz w:val="26"/>
          <w:szCs w:val="26"/>
        </w:rPr>
        <w:t>December 6, 2018</w:t>
      </w:r>
      <w:bookmarkStart w:id="1" w:name="_GoBack"/>
      <w:bookmarkEnd w:id="1"/>
    </w:p>
    <w:sectPr w:rsidR="00CD3564" w:rsidRPr="000544CF" w:rsidSect="00181C1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15CDD" w14:textId="77777777" w:rsidR="00043EAD" w:rsidRDefault="00043EAD" w:rsidP="00181C10">
      <w:pPr>
        <w:spacing w:line="240" w:lineRule="auto"/>
      </w:pPr>
      <w:r>
        <w:separator/>
      </w:r>
    </w:p>
  </w:endnote>
  <w:endnote w:type="continuationSeparator" w:id="0">
    <w:p w14:paraId="383C1ADA" w14:textId="77777777" w:rsidR="00043EAD" w:rsidRDefault="00043EAD" w:rsidP="00181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307285"/>
      <w:docPartObj>
        <w:docPartGallery w:val="Page Numbers (Bottom of Page)"/>
        <w:docPartUnique/>
      </w:docPartObj>
    </w:sdtPr>
    <w:sdtEndPr>
      <w:rPr>
        <w:noProof/>
      </w:rPr>
    </w:sdtEndPr>
    <w:sdtContent>
      <w:p w14:paraId="1F307F36" w14:textId="4D1997D4" w:rsidR="0005540D" w:rsidRDefault="0005540D">
        <w:pPr>
          <w:pStyle w:val="Footer"/>
        </w:pPr>
        <w:r>
          <w:fldChar w:fldCharType="begin"/>
        </w:r>
        <w:r>
          <w:instrText xml:space="preserve"> PAGE   \* MERGEFORMAT </w:instrText>
        </w:r>
        <w:r>
          <w:fldChar w:fldCharType="separate"/>
        </w:r>
        <w:r w:rsidR="00867FB5">
          <w:rPr>
            <w:noProof/>
          </w:rPr>
          <w:t>2</w:t>
        </w:r>
        <w:r>
          <w:rPr>
            <w:noProof/>
          </w:rPr>
          <w:fldChar w:fldCharType="end"/>
        </w:r>
      </w:p>
    </w:sdtContent>
  </w:sdt>
  <w:p w14:paraId="228CFB95" w14:textId="77777777" w:rsidR="0005540D" w:rsidRDefault="00055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BED23" w14:textId="77777777" w:rsidR="00043EAD" w:rsidRDefault="00043EAD" w:rsidP="004B0920">
      <w:pPr>
        <w:spacing w:line="240" w:lineRule="auto"/>
        <w:ind w:firstLine="0"/>
        <w:jc w:val="both"/>
      </w:pPr>
      <w:r>
        <w:separator/>
      </w:r>
    </w:p>
  </w:footnote>
  <w:footnote w:type="continuationSeparator" w:id="0">
    <w:p w14:paraId="168BD49E" w14:textId="77777777" w:rsidR="00043EAD" w:rsidRDefault="00043EAD" w:rsidP="00181C10">
      <w:pPr>
        <w:spacing w:line="240" w:lineRule="auto"/>
      </w:pPr>
      <w:r>
        <w:continuationSeparator/>
      </w:r>
    </w:p>
  </w:footnote>
  <w:footnote w:id="1">
    <w:p w14:paraId="0BD44DBF" w14:textId="0F85305F" w:rsidR="00CA026B" w:rsidRPr="00765D9B" w:rsidRDefault="00CA026B" w:rsidP="0045317D">
      <w:pPr>
        <w:keepNext/>
        <w:keepLines/>
        <w:spacing w:after="120" w:line="240" w:lineRule="auto"/>
        <w:jc w:val="left"/>
        <w:rPr>
          <w:rFonts w:eastAsia="Times New Roman"/>
          <w:sz w:val="26"/>
          <w:szCs w:val="26"/>
          <w:highlight w:val="yellow"/>
        </w:rPr>
      </w:pPr>
      <w:r w:rsidRPr="00A86D19">
        <w:rPr>
          <w:rStyle w:val="FootnoteReference"/>
          <w:sz w:val="26"/>
          <w:szCs w:val="26"/>
        </w:rPr>
        <w:footnoteRef/>
      </w:r>
      <w:r w:rsidRPr="00A86D19">
        <w:rPr>
          <w:sz w:val="26"/>
          <w:szCs w:val="26"/>
        </w:rPr>
        <w:t xml:space="preserve"> </w:t>
      </w:r>
      <w:r w:rsidRPr="00A86D19">
        <w:rPr>
          <w:sz w:val="26"/>
          <w:szCs w:val="26"/>
        </w:rPr>
        <w:tab/>
      </w:r>
      <w:r>
        <w:rPr>
          <w:rFonts w:eastAsia="Times New Roman"/>
          <w:sz w:val="26"/>
          <w:szCs w:val="26"/>
        </w:rPr>
        <w:t>This F</w:t>
      </w:r>
      <w:r w:rsidRPr="00765D9B">
        <w:rPr>
          <w:rFonts w:eastAsia="Times New Roman"/>
          <w:sz w:val="26"/>
          <w:szCs w:val="26"/>
        </w:rPr>
        <w:t xml:space="preserve">ormal Complaint is a timely appeal </w:t>
      </w:r>
      <w:r>
        <w:rPr>
          <w:rFonts w:eastAsia="Times New Roman"/>
          <w:sz w:val="26"/>
          <w:szCs w:val="26"/>
        </w:rPr>
        <w:t>of the Commission’s Bureau of Consumer Services (BCS) decision of April 28, 2017 at BCS No. 3503210</w:t>
      </w:r>
      <w:r w:rsidR="000F1229">
        <w:rPr>
          <w:rFonts w:eastAsia="Times New Roman"/>
          <w:sz w:val="26"/>
          <w:szCs w:val="26"/>
        </w:rPr>
        <w:t>, which dismissed the Complainant’s</w:t>
      </w:r>
      <w:r>
        <w:rPr>
          <w:rFonts w:eastAsia="Times New Roman"/>
          <w:sz w:val="26"/>
          <w:szCs w:val="26"/>
        </w:rPr>
        <w:t xml:space="preserve"> Info</w:t>
      </w:r>
      <w:r w:rsidR="000F1229">
        <w:rPr>
          <w:rFonts w:eastAsia="Times New Roman"/>
          <w:sz w:val="26"/>
          <w:szCs w:val="26"/>
        </w:rPr>
        <w:t xml:space="preserve">rmal Complaint filed against PGW, concluding, </w:t>
      </w:r>
      <w:r w:rsidR="000F1229" w:rsidRPr="000F1229">
        <w:rPr>
          <w:rFonts w:eastAsia="Times New Roman"/>
          <w:i/>
          <w:sz w:val="26"/>
          <w:szCs w:val="26"/>
        </w:rPr>
        <w:t>inter alia</w:t>
      </w:r>
      <w:r w:rsidR="000F1229">
        <w:rPr>
          <w:rFonts w:eastAsia="Times New Roman"/>
          <w:sz w:val="26"/>
          <w:szCs w:val="26"/>
        </w:rPr>
        <w:t>, that the bills are based on actual meter readings and are correct as rendered.</w:t>
      </w:r>
    </w:p>
  </w:footnote>
  <w:footnote w:id="2">
    <w:p w14:paraId="27823A15" w14:textId="25E36F93" w:rsidR="00713D5D" w:rsidRPr="00713D5D" w:rsidRDefault="00713D5D" w:rsidP="0045317D">
      <w:pPr>
        <w:pStyle w:val="FootnoteText"/>
        <w:keepNext/>
        <w:keepLines/>
        <w:spacing w:after="120"/>
        <w:jc w:val="left"/>
        <w:rPr>
          <w:sz w:val="26"/>
          <w:szCs w:val="26"/>
        </w:rPr>
      </w:pPr>
      <w:r w:rsidRPr="00713D5D">
        <w:rPr>
          <w:rStyle w:val="FootnoteReference"/>
          <w:sz w:val="26"/>
          <w:szCs w:val="26"/>
        </w:rPr>
        <w:footnoteRef/>
      </w:r>
      <w:r w:rsidRPr="00713D5D">
        <w:rPr>
          <w:sz w:val="26"/>
          <w:szCs w:val="26"/>
        </w:rPr>
        <w:t xml:space="preserve"> </w:t>
      </w:r>
      <w:r w:rsidRPr="00713D5D">
        <w:rPr>
          <w:sz w:val="26"/>
          <w:szCs w:val="26"/>
        </w:rPr>
        <w:tab/>
        <w:t>The ALJ stated that for the purposes of her Initial Decision, the Complainant’s statement that he no longer wished to prosecute his Complaint ag</w:t>
      </w:r>
      <w:r w:rsidR="00726CF7">
        <w:rPr>
          <w:sz w:val="26"/>
          <w:szCs w:val="26"/>
        </w:rPr>
        <w:t>ainst PGW will be treated as a Petition for Leave to W</w:t>
      </w:r>
      <w:r w:rsidRPr="00713D5D">
        <w:rPr>
          <w:sz w:val="26"/>
          <w:szCs w:val="26"/>
        </w:rPr>
        <w:t>ithdraw his Complaint.  I.D. at 4.</w:t>
      </w:r>
    </w:p>
  </w:footnote>
  <w:footnote w:id="3">
    <w:p w14:paraId="5233FFE4" w14:textId="79B4226B" w:rsidR="0045317D" w:rsidRPr="0045317D" w:rsidRDefault="0045317D" w:rsidP="0045317D">
      <w:pPr>
        <w:pStyle w:val="FootnoteText"/>
        <w:keepNext/>
        <w:keepLines/>
        <w:spacing w:after="120"/>
        <w:jc w:val="left"/>
        <w:rPr>
          <w:sz w:val="26"/>
          <w:szCs w:val="26"/>
        </w:rPr>
      </w:pPr>
      <w:r w:rsidRPr="0045317D">
        <w:rPr>
          <w:rStyle w:val="FootnoteReference"/>
          <w:sz w:val="26"/>
          <w:szCs w:val="26"/>
        </w:rPr>
        <w:footnoteRef/>
      </w:r>
      <w:r w:rsidRPr="0045317D">
        <w:rPr>
          <w:sz w:val="26"/>
          <w:szCs w:val="26"/>
        </w:rPr>
        <w:t xml:space="preserve"> </w:t>
      </w:r>
      <w:r w:rsidRPr="0045317D">
        <w:rPr>
          <w:sz w:val="26"/>
          <w:szCs w:val="26"/>
        </w:rPr>
        <w:tab/>
        <w:t>We acknowledge that the format of the Complainant’s Exceptions do</w:t>
      </w:r>
      <w:r w:rsidR="00513B19">
        <w:rPr>
          <w:sz w:val="26"/>
          <w:szCs w:val="26"/>
        </w:rPr>
        <w:t>es</w:t>
      </w:r>
      <w:r w:rsidRPr="0045317D">
        <w:rPr>
          <w:sz w:val="26"/>
          <w:szCs w:val="26"/>
        </w:rPr>
        <w:t xml:space="preserve"> not strictly comply with Section 5.533(b) of our Regulations, 52 Pa. Code § 5.533(b), which requires that exceptions be numbered, identify the finding of fact and conclusion of law to which exception is taken, and cite to the relevant pages of the Initial Decision.  Nevertheless, particularly because the Complainant is appearing </w:t>
      </w:r>
      <w:r w:rsidRPr="0045317D">
        <w:rPr>
          <w:i/>
          <w:sz w:val="26"/>
          <w:szCs w:val="26"/>
        </w:rPr>
        <w:t>pro se</w:t>
      </w:r>
      <w:r w:rsidRPr="0045317D">
        <w:rPr>
          <w:sz w:val="26"/>
          <w:szCs w:val="26"/>
        </w:rPr>
        <w:t>, we will accept the Exceptions as filed pursuant to Section 1.2(a) of our Regulations, 52 Pa. Code § 1.2(a), in order to secure a just, speedy, and inexpensive determination.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7B3"/>
    <w:multiLevelType w:val="hybridMultilevel"/>
    <w:tmpl w:val="646626BA"/>
    <w:lvl w:ilvl="0" w:tplc="BA5CD02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5036EBA"/>
    <w:multiLevelType w:val="hybridMultilevel"/>
    <w:tmpl w:val="BE4E2EC2"/>
    <w:lvl w:ilvl="0" w:tplc="9EC8CC6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FA679D"/>
    <w:multiLevelType w:val="hybridMultilevel"/>
    <w:tmpl w:val="DC2C4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2EC1DC1"/>
    <w:multiLevelType w:val="hybridMultilevel"/>
    <w:tmpl w:val="13449A0E"/>
    <w:lvl w:ilvl="0" w:tplc="5E2064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C1B16"/>
    <w:multiLevelType w:val="hybridMultilevel"/>
    <w:tmpl w:val="B98CA188"/>
    <w:lvl w:ilvl="0" w:tplc="AE5ED72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26F09F8"/>
    <w:multiLevelType w:val="hybridMultilevel"/>
    <w:tmpl w:val="69AC43FE"/>
    <w:lvl w:ilvl="0" w:tplc="4370AC8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E504D68"/>
    <w:multiLevelType w:val="hybridMultilevel"/>
    <w:tmpl w:val="BE4E2EC2"/>
    <w:lvl w:ilvl="0" w:tplc="9EC8CC6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72C1183F"/>
    <w:multiLevelType w:val="hybridMultilevel"/>
    <w:tmpl w:val="07F835B2"/>
    <w:lvl w:ilvl="0" w:tplc="E810429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DB72104"/>
    <w:multiLevelType w:val="hybridMultilevel"/>
    <w:tmpl w:val="BE4E2EC2"/>
    <w:lvl w:ilvl="0" w:tplc="9EC8CC6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5"/>
  </w:num>
  <w:num w:numId="8">
    <w:abstractNumId w:val="10"/>
  </w:num>
  <w:num w:numId="9">
    <w:abstractNumId w:val="0"/>
  </w:num>
  <w:num w:numId="10">
    <w:abstractNumId w:val="7"/>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3A"/>
    <w:rsid w:val="00001CD3"/>
    <w:rsid w:val="00003318"/>
    <w:rsid w:val="00005B07"/>
    <w:rsid w:val="0000670A"/>
    <w:rsid w:val="00006984"/>
    <w:rsid w:val="00013118"/>
    <w:rsid w:val="00013AD6"/>
    <w:rsid w:val="00016B0B"/>
    <w:rsid w:val="000246BF"/>
    <w:rsid w:val="00026DC4"/>
    <w:rsid w:val="000275E7"/>
    <w:rsid w:val="00030990"/>
    <w:rsid w:val="000311A3"/>
    <w:rsid w:val="00031722"/>
    <w:rsid w:val="00032127"/>
    <w:rsid w:val="0004245D"/>
    <w:rsid w:val="00043CCC"/>
    <w:rsid w:val="00043EAD"/>
    <w:rsid w:val="00044D09"/>
    <w:rsid w:val="000478A2"/>
    <w:rsid w:val="0005002E"/>
    <w:rsid w:val="000510C2"/>
    <w:rsid w:val="00051432"/>
    <w:rsid w:val="000544CF"/>
    <w:rsid w:val="00054660"/>
    <w:rsid w:val="0005540D"/>
    <w:rsid w:val="00064B5B"/>
    <w:rsid w:val="00070AFC"/>
    <w:rsid w:val="00070DDD"/>
    <w:rsid w:val="00072C6C"/>
    <w:rsid w:val="00083EDF"/>
    <w:rsid w:val="000845C0"/>
    <w:rsid w:val="000851E9"/>
    <w:rsid w:val="00090342"/>
    <w:rsid w:val="00093206"/>
    <w:rsid w:val="00095C71"/>
    <w:rsid w:val="0009738D"/>
    <w:rsid w:val="000A2361"/>
    <w:rsid w:val="000A2650"/>
    <w:rsid w:val="000A6F38"/>
    <w:rsid w:val="000B47EB"/>
    <w:rsid w:val="000B5458"/>
    <w:rsid w:val="000B5D4F"/>
    <w:rsid w:val="000B7E10"/>
    <w:rsid w:val="000C04EA"/>
    <w:rsid w:val="000C1E1E"/>
    <w:rsid w:val="000C6E41"/>
    <w:rsid w:val="000D1446"/>
    <w:rsid w:val="000D2DC4"/>
    <w:rsid w:val="000D4530"/>
    <w:rsid w:val="000D5317"/>
    <w:rsid w:val="000D5813"/>
    <w:rsid w:val="000D68DB"/>
    <w:rsid w:val="000E3C13"/>
    <w:rsid w:val="000E7A4D"/>
    <w:rsid w:val="000F04F4"/>
    <w:rsid w:val="000F1229"/>
    <w:rsid w:val="000F2930"/>
    <w:rsid w:val="000F3EFD"/>
    <w:rsid w:val="000F4822"/>
    <w:rsid w:val="000F50C9"/>
    <w:rsid w:val="00104F93"/>
    <w:rsid w:val="00105025"/>
    <w:rsid w:val="001076FD"/>
    <w:rsid w:val="00110281"/>
    <w:rsid w:val="00112628"/>
    <w:rsid w:val="00112911"/>
    <w:rsid w:val="00112B08"/>
    <w:rsid w:val="00113BC3"/>
    <w:rsid w:val="0011561E"/>
    <w:rsid w:val="0012207E"/>
    <w:rsid w:val="001345BB"/>
    <w:rsid w:val="00135671"/>
    <w:rsid w:val="0013594A"/>
    <w:rsid w:val="00136811"/>
    <w:rsid w:val="00137987"/>
    <w:rsid w:val="00137AB2"/>
    <w:rsid w:val="00137C8F"/>
    <w:rsid w:val="001402EC"/>
    <w:rsid w:val="001441BC"/>
    <w:rsid w:val="00144F54"/>
    <w:rsid w:val="00145BFF"/>
    <w:rsid w:val="00145ECA"/>
    <w:rsid w:val="0014797A"/>
    <w:rsid w:val="00155364"/>
    <w:rsid w:val="001565CE"/>
    <w:rsid w:val="00156981"/>
    <w:rsid w:val="00163777"/>
    <w:rsid w:val="00170121"/>
    <w:rsid w:val="0017039E"/>
    <w:rsid w:val="00172C3A"/>
    <w:rsid w:val="00173F0A"/>
    <w:rsid w:val="001754DC"/>
    <w:rsid w:val="00176FC5"/>
    <w:rsid w:val="001803DB"/>
    <w:rsid w:val="00181C10"/>
    <w:rsid w:val="001821BC"/>
    <w:rsid w:val="0018298F"/>
    <w:rsid w:val="00186C6F"/>
    <w:rsid w:val="00191DCE"/>
    <w:rsid w:val="001960B7"/>
    <w:rsid w:val="00197D56"/>
    <w:rsid w:val="001A0B3D"/>
    <w:rsid w:val="001B1ECB"/>
    <w:rsid w:val="001B20BE"/>
    <w:rsid w:val="001B37D0"/>
    <w:rsid w:val="001B3A6F"/>
    <w:rsid w:val="001B3AFE"/>
    <w:rsid w:val="001C2822"/>
    <w:rsid w:val="001C2ED3"/>
    <w:rsid w:val="001C32F4"/>
    <w:rsid w:val="001C4527"/>
    <w:rsid w:val="001D2418"/>
    <w:rsid w:val="001D541C"/>
    <w:rsid w:val="001D5774"/>
    <w:rsid w:val="001D5D09"/>
    <w:rsid w:val="001D698E"/>
    <w:rsid w:val="001E47F7"/>
    <w:rsid w:val="001F1AD4"/>
    <w:rsid w:val="001F23B1"/>
    <w:rsid w:val="001F24FE"/>
    <w:rsid w:val="001F3862"/>
    <w:rsid w:val="00202599"/>
    <w:rsid w:val="002033C7"/>
    <w:rsid w:val="00205C67"/>
    <w:rsid w:val="00207A57"/>
    <w:rsid w:val="002165E1"/>
    <w:rsid w:val="002252FF"/>
    <w:rsid w:val="002279AF"/>
    <w:rsid w:val="00236FC7"/>
    <w:rsid w:val="00247171"/>
    <w:rsid w:val="00247C56"/>
    <w:rsid w:val="00247EAC"/>
    <w:rsid w:val="00250751"/>
    <w:rsid w:val="00254A4B"/>
    <w:rsid w:val="00254E66"/>
    <w:rsid w:val="002553B7"/>
    <w:rsid w:val="00257335"/>
    <w:rsid w:val="002576CA"/>
    <w:rsid w:val="002611B2"/>
    <w:rsid w:val="0026146A"/>
    <w:rsid w:val="00264570"/>
    <w:rsid w:val="002749F4"/>
    <w:rsid w:val="0027544D"/>
    <w:rsid w:val="002811D5"/>
    <w:rsid w:val="002824A5"/>
    <w:rsid w:val="00286FD1"/>
    <w:rsid w:val="002952E5"/>
    <w:rsid w:val="002A22D0"/>
    <w:rsid w:val="002A37C1"/>
    <w:rsid w:val="002A38EA"/>
    <w:rsid w:val="002A5184"/>
    <w:rsid w:val="002B34E4"/>
    <w:rsid w:val="002B3CA7"/>
    <w:rsid w:val="002C2E6B"/>
    <w:rsid w:val="002C5FB6"/>
    <w:rsid w:val="002C6566"/>
    <w:rsid w:val="002C7C42"/>
    <w:rsid w:val="002D251D"/>
    <w:rsid w:val="002D2D5A"/>
    <w:rsid w:val="002D65AB"/>
    <w:rsid w:val="002D6DA3"/>
    <w:rsid w:val="002E03FB"/>
    <w:rsid w:val="002E1DA3"/>
    <w:rsid w:val="002E3B80"/>
    <w:rsid w:val="002F53AB"/>
    <w:rsid w:val="002F748E"/>
    <w:rsid w:val="00306D0E"/>
    <w:rsid w:val="003119B3"/>
    <w:rsid w:val="00313CCE"/>
    <w:rsid w:val="00316AD3"/>
    <w:rsid w:val="0031727B"/>
    <w:rsid w:val="003213FC"/>
    <w:rsid w:val="00322C43"/>
    <w:rsid w:val="00331DF0"/>
    <w:rsid w:val="00332A4F"/>
    <w:rsid w:val="00332D27"/>
    <w:rsid w:val="00334A42"/>
    <w:rsid w:val="00340166"/>
    <w:rsid w:val="003419FE"/>
    <w:rsid w:val="00343147"/>
    <w:rsid w:val="00344503"/>
    <w:rsid w:val="00345330"/>
    <w:rsid w:val="0034537A"/>
    <w:rsid w:val="003464F8"/>
    <w:rsid w:val="0035286A"/>
    <w:rsid w:val="00353058"/>
    <w:rsid w:val="00354AA5"/>
    <w:rsid w:val="00355402"/>
    <w:rsid w:val="0035582A"/>
    <w:rsid w:val="0035730E"/>
    <w:rsid w:val="00357E45"/>
    <w:rsid w:val="00357ED4"/>
    <w:rsid w:val="00360671"/>
    <w:rsid w:val="00365C60"/>
    <w:rsid w:val="003708B4"/>
    <w:rsid w:val="00370DC2"/>
    <w:rsid w:val="003721B9"/>
    <w:rsid w:val="00372EFC"/>
    <w:rsid w:val="00373CC2"/>
    <w:rsid w:val="0037499E"/>
    <w:rsid w:val="0038324E"/>
    <w:rsid w:val="00385D79"/>
    <w:rsid w:val="00390250"/>
    <w:rsid w:val="0039099D"/>
    <w:rsid w:val="00392BB0"/>
    <w:rsid w:val="003979B0"/>
    <w:rsid w:val="003979FB"/>
    <w:rsid w:val="003A1EF6"/>
    <w:rsid w:val="003A2C4D"/>
    <w:rsid w:val="003A390E"/>
    <w:rsid w:val="003A6478"/>
    <w:rsid w:val="003A694E"/>
    <w:rsid w:val="003B2C56"/>
    <w:rsid w:val="003B68C2"/>
    <w:rsid w:val="003C0C6E"/>
    <w:rsid w:val="003C0D34"/>
    <w:rsid w:val="003C251B"/>
    <w:rsid w:val="003C2FE7"/>
    <w:rsid w:val="003C315F"/>
    <w:rsid w:val="003C3B50"/>
    <w:rsid w:val="003C404D"/>
    <w:rsid w:val="003C48F8"/>
    <w:rsid w:val="003C58D6"/>
    <w:rsid w:val="003C6DCF"/>
    <w:rsid w:val="003D004B"/>
    <w:rsid w:val="003D42D5"/>
    <w:rsid w:val="003D6930"/>
    <w:rsid w:val="003D6FC9"/>
    <w:rsid w:val="003E3481"/>
    <w:rsid w:val="003E3D65"/>
    <w:rsid w:val="003E7290"/>
    <w:rsid w:val="003F2C2C"/>
    <w:rsid w:val="003F3876"/>
    <w:rsid w:val="003F4CE3"/>
    <w:rsid w:val="003F4FF6"/>
    <w:rsid w:val="003F6A98"/>
    <w:rsid w:val="003F6E2A"/>
    <w:rsid w:val="0040414E"/>
    <w:rsid w:val="00404695"/>
    <w:rsid w:val="0040787D"/>
    <w:rsid w:val="00410FC5"/>
    <w:rsid w:val="004216C1"/>
    <w:rsid w:val="004278C0"/>
    <w:rsid w:val="00430811"/>
    <w:rsid w:val="00431F60"/>
    <w:rsid w:val="00434429"/>
    <w:rsid w:val="00434C01"/>
    <w:rsid w:val="00436415"/>
    <w:rsid w:val="00436688"/>
    <w:rsid w:val="00444C8D"/>
    <w:rsid w:val="0044545E"/>
    <w:rsid w:val="00447AB7"/>
    <w:rsid w:val="0045317D"/>
    <w:rsid w:val="0045373F"/>
    <w:rsid w:val="004543AC"/>
    <w:rsid w:val="00454DD6"/>
    <w:rsid w:val="00455963"/>
    <w:rsid w:val="004570E6"/>
    <w:rsid w:val="0045770A"/>
    <w:rsid w:val="00457E6D"/>
    <w:rsid w:val="004600E4"/>
    <w:rsid w:val="00460AFC"/>
    <w:rsid w:val="00464B3D"/>
    <w:rsid w:val="00465F96"/>
    <w:rsid w:val="004663CA"/>
    <w:rsid w:val="0046702F"/>
    <w:rsid w:val="004710EB"/>
    <w:rsid w:val="004729FA"/>
    <w:rsid w:val="004757FB"/>
    <w:rsid w:val="004869A7"/>
    <w:rsid w:val="00490223"/>
    <w:rsid w:val="004906A9"/>
    <w:rsid w:val="00491833"/>
    <w:rsid w:val="004924DE"/>
    <w:rsid w:val="00492A4D"/>
    <w:rsid w:val="0049466F"/>
    <w:rsid w:val="0049549E"/>
    <w:rsid w:val="00497F16"/>
    <w:rsid w:val="004A1929"/>
    <w:rsid w:val="004A319C"/>
    <w:rsid w:val="004A44D1"/>
    <w:rsid w:val="004A6B27"/>
    <w:rsid w:val="004B0779"/>
    <w:rsid w:val="004B0920"/>
    <w:rsid w:val="004B150E"/>
    <w:rsid w:val="004B2A99"/>
    <w:rsid w:val="004B536F"/>
    <w:rsid w:val="004B7217"/>
    <w:rsid w:val="004C0C3A"/>
    <w:rsid w:val="004C38DC"/>
    <w:rsid w:val="004C6658"/>
    <w:rsid w:val="004D45C4"/>
    <w:rsid w:val="004D5527"/>
    <w:rsid w:val="004D6900"/>
    <w:rsid w:val="004E043E"/>
    <w:rsid w:val="004E1183"/>
    <w:rsid w:val="004E672C"/>
    <w:rsid w:val="004E6987"/>
    <w:rsid w:val="004E70F1"/>
    <w:rsid w:val="004F1AA1"/>
    <w:rsid w:val="004F227B"/>
    <w:rsid w:val="004F4E78"/>
    <w:rsid w:val="004F4FBE"/>
    <w:rsid w:val="004F5EAD"/>
    <w:rsid w:val="004F6982"/>
    <w:rsid w:val="0050136F"/>
    <w:rsid w:val="0050311E"/>
    <w:rsid w:val="0050700C"/>
    <w:rsid w:val="0050755E"/>
    <w:rsid w:val="00511DE8"/>
    <w:rsid w:val="00513B19"/>
    <w:rsid w:val="00516957"/>
    <w:rsid w:val="00517584"/>
    <w:rsid w:val="00517624"/>
    <w:rsid w:val="0051783B"/>
    <w:rsid w:val="00517BEE"/>
    <w:rsid w:val="0052085F"/>
    <w:rsid w:val="00523B3C"/>
    <w:rsid w:val="00524542"/>
    <w:rsid w:val="00525752"/>
    <w:rsid w:val="0052740C"/>
    <w:rsid w:val="00530632"/>
    <w:rsid w:val="00532218"/>
    <w:rsid w:val="005409DE"/>
    <w:rsid w:val="0055610A"/>
    <w:rsid w:val="00556804"/>
    <w:rsid w:val="00557140"/>
    <w:rsid w:val="00562AD8"/>
    <w:rsid w:val="00562E31"/>
    <w:rsid w:val="00565FFE"/>
    <w:rsid w:val="00566309"/>
    <w:rsid w:val="005671E6"/>
    <w:rsid w:val="0057189A"/>
    <w:rsid w:val="00572342"/>
    <w:rsid w:val="00573339"/>
    <w:rsid w:val="00577A7C"/>
    <w:rsid w:val="00582F23"/>
    <w:rsid w:val="0058308F"/>
    <w:rsid w:val="00583CC7"/>
    <w:rsid w:val="00587E57"/>
    <w:rsid w:val="00594BDB"/>
    <w:rsid w:val="00597104"/>
    <w:rsid w:val="00597988"/>
    <w:rsid w:val="005A0B1E"/>
    <w:rsid w:val="005B1FAF"/>
    <w:rsid w:val="005B3F8B"/>
    <w:rsid w:val="005B43BA"/>
    <w:rsid w:val="005B5E6D"/>
    <w:rsid w:val="005B6A65"/>
    <w:rsid w:val="005C041B"/>
    <w:rsid w:val="005C18EB"/>
    <w:rsid w:val="005C21D0"/>
    <w:rsid w:val="005C5FF5"/>
    <w:rsid w:val="005C6800"/>
    <w:rsid w:val="005D20F9"/>
    <w:rsid w:val="005D41CD"/>
    <w:rsid w:val="005E3D21"/>
    <w:rsid w:val="005E43FA"/>
    <w:rsid w:val="005E5046"/>
    <w:rsid w:val="005E7403"/>
    <w:rsid w:val="005F04D1"/>
    <w:rsid w:val="005F226B"/>
    <w:rsid w:val="005F36EC"/>
    <w:rsid w:val="005F4030"/>
    <w:rsid w:val="00602DD7"/>
    <w:rsid w:val="00604522"/>
    <w:rsid w:val="00607935"/>
    <w:rsid w:val="006101F6"/>
    <w:rsid w:val="006208E2"/>
    <w:rsid w:val="00624040"/>
    <w:rsid w:val="00627486"/>
    <w:rsid w:val="00627843"/>
    <w:rsid w:val="00631697"/>
    <w:rsid w:val="0063396C"/>
    <w:rsid w:val="006367B2"/>
    <w:rsid w:val="00637671"/>
    <w:rsid w:val="00640FEB"/>
    <w:rsid w:val="00642D11"/>
    <w:rsid w:val="006519A1"/>
    <w:rsid w:val="0065237B"/>
    <w:rsid w:val="006565D7"/>
    <w:rsid w:val="00660438"/>
    <w:rsid w:val="00660975"/>
    <w:rsid w:val="00662B66"/>
    <w:rsid w:val="00662EDC"/>
    <w:rsid w:val="006649E6"/>
    <w:rsid w:val="00664BD4"/>
    <w:rsid w:val="006701AA"/>
    <w:rsid w:val="00673D55"/>
    <w:rsid w:val="006747FA"/>
    <w:rsid w:val="00677EFC"/>
    <w:rsid w:val="006824B5"/>
    <w:rsid w:val="00685136"/>
    <w:rsid w:val="00690A4A"/>
    <w:rsid w:val="006917A2"/>
    <w:rsid w:val="0069191E"/>
    <w:rsid w:val="00693A18"/>
    <w:rsid w:val="006A0AC6"/>
    <w:rsid w:val="006A651C"/>
    <w:rsid w:val="006C00F8"/>
    <w:rsid w:val="006C3B00"/>
    <w:rsid w:val="006C3D65"/>
    <w:rsid w:val="006D3723"/>
    <w:rsid w:val="006D4A4C"/>
    <w:rsid w:val="006E18E9"/>
    <w:rsid w:val="006E1AA7"/>
    <w:rsid w:val="006E34FB"/>
    <w:rsid w:val="006E52E4"/>
    <w:rsid w:val="006F0617"/>
    <w:rsid w:val="006F1468"/>
    <w:rsid w:val="006F454B"/>
    <w:rsid w:val="006F5506"/>
    <w:rsid w:val="006F6E5D"/>
    <w:rsid w:val="007032B0"/>
    <w:rsid w:val="00705EA0"/>
    <w:rsid w:val="007068C6"/>
    <w:rsid w:val="0071216D"/>
    <w:rsid w:val="00712F91"/>
    <w:rsid w:val="007131A4"/>
    <w:rsid w:val="00713D5D"/>
    <w:rsid w:val="00713FE1"/>
    <w:rsid w:val="0071473C"/>
    <w:rsid w:val="00715760"/>
    <w:rsid w:val="007163D4"/>
    <w:rsid w:val="00722546"/>
    <w:rsid w:val="007258BC"/>
    <w:rsid w:val="00726CF7"/>
    <w:rsid w:val="00730D12"/>
    <w:rsid w:val="00734483"/>
    <w:rsid w:val="00741784"/>
    <w:rsid w:val="00746C73"/>
    <w:rsid w:val="0074786B"/>
    <w:rsid w:val="00750E23"/>
    <w:rsid w:val="0075449F"/>
    <w:rsid w:val="0075548F"/>
    <w:rsid w:val="007603D5"/>
    <w:rsid w:val="007608DA"/>
    <w:rsid w:val="00760B25"/>
    <w:rsid w:val="00765D9B"/>
    <w:rsid w:val="00765E88"/>
    <w:rsid w:val="00767EB3"/>
    <w:rsid w:val="0077091B"/>
    <w:rsid w:val="00771579"/>
    <w:rsid w:val="00772CDC"/>
    <w:rsid w:val="0077306B"/>
    <w:rsid w:val="0078288F"/>
    <w:rsid w:val="00784492"/>
    <w:rsid w:val="0079150C"/>
    <w:rsid w:val="0079203B"/>
    <w:rsid w:val="00792E6A"/>
    <w:rsid w:val="007A020F"/>
    <w:rsid w:val="007A28E8"/>
    <w:rsid w:val="007A4121"/>
    <w:rsid w:val="007A77E7"/>
    <w:rsid w:val="007B01DE"/>
    <w:rsid w:val="007B07E2"/>
    <w:rsid w:val="007B34A4"/>
    <w:rsid w:val="007B36CE"/>
    <w:rsid w:val="007C5499"/>
    <w:rsid w:val="007C6366"/>
    <w:rsid w:val="007C76B6"/>
    <w:rsid w:val="007D7663"/>
    <w:rsid w:val="007E448F"/>
    <w:rsid w:val="007E5C51"/>
    <w:rsid w:val="007F3D0C"/>
    <w:rsid w:val="007F4DCD"/>
    <w:rsid w:val="007F5012"/>
    <w:rsid w:val="007F584D"/>
    <w:rsid w:val="0080117B"/>
    <w:rsid w:val="008034ED"/>
    <w:rsid w:val="00803AB0"/>
    <w:rsid w:val="00803DEC"/>
    <w:rsid w:val="00804129"/>
    <w:rsid w:val="0080455C"/>
    <w:rsid w:val="00805406"/>
    <w:rsid w:val="00810B36"/>
    <w:rsid w:val="00810D70"/>
    <w:rsid w:val="00810F84"/>
    <w:rsid w:val="0081458B"/>
    <w:rsid w:val="0081669B"/>
    <w:rsid w:val="00822D4D"/>
    <w:rsid w:val="008238CC"/>
    <w:rsid w:val="008242A5"/>
    <w:rsid w:val="00837378"/>
    <w:rsid w:val="0084020F"/>
    <w:rsid w:val="00840997"/>
    <w:rsid w:val="00840AEB"/>
    <w:rsid w:val="00843E64"/>
    <w:rsid w:val="00845121"/>
    <w:rsid w:val="00851124"/>
    <w:rsid w:val="00854F3B"/>
    <w:rsid w:val="00856668"/>
    <w:rsid w:val="008610D3"/>
    <w:rsid w:val="0086617E"/>
    <w:rsid w:val="00867FB5"/>
    <w:rsid w:val="00875128"/>
    <w:rsid w:val="008765E5"/>
    <w:rsid w:val="0088484F"/>
    <w:rsid w:val="00885639"/>
    <w:rsid w:val="008865A9"/>
    <w:rsid w:val="008901F4"/>
    <w:rsid w:val="00891227"/>
    <w:rsid w:val="00891747"/>
    <w:rsid w:val="00892B0E"/>
    <w:rsid w:val="00893B9F"/>
    <w:rsid w:val="008A0BBD"/>
    <w:rsid w:val="008A247A"/>
    <w:rsid w:val="008A2651"/>
    <w:rsid w:val="008A417E"/>
    <w:rsid w:val="008A4F0B"/>
    <w:rsid w:val="008A5F74"/>
    <w:rsid w:val="008B44B2"/>
    <w:rsid w:val="008B5379"/>
    <w:rsid w:val="008B5AAA"/>
    <w:rsid w:val="008C1EF2"/>
    <w:rsid w:val="008C2A3D"/>
    <w:rsid w:val="008C7470"/>
    <w:rsid w:val="008D01EE"/>
    <w:rsid w:val="008D0EAE"/>
    <w:rsid w:val="008D14A0"/>
    <w:rsid w:val="008D4612"/>
    <w:rsid w:val="008D498A"/>
    <w:rsid w:val="008D5A51"/>
    <w:rsid w:val="008F182D"/>
    <w:rsid w:val="008F3CBF"/>
    <w:rsid w:val="008F5C3A"/>
    <w:rsid w:val="009035E3"/>
    <w:rsid w:val="0090370A"/>
    <w:rsid w:val="009118EE"/>
    <w:rsid w:val="00911CE0"/>
    <w:rsid w:val="00912BD1"/>
    <w:rsid w:val="00914835"/>
    <w:rsid w:val="00915051"/>
    <w:rsid w:val="00917E49"/>
    <w:rsid w:val="009200EA"/>
    <w:rsid w:val="00931126"/>
    <w:rsid w:val="009326B5"/>
    <w:rsid w:val="009377BD"/>
    <w:rsid w:val="00940CE9"/>
    <w:rsid w:val="00941A79"/>
    <w:rsid w:val="009439A4"/>
    <w:rsid w:val="00945DC2"/>
    <w:rsid w:val="00963445"/>
    <w:rsid w:val="009644AF"/>
    <w:rsid w:val="00973E9C"/>
    <w:rsid w:val="00974550"/>
    <w:rsid w:val="0098532E"/>
    <w:rsid w:val="0099398F"/>
    <w:rsid w:val="00993D97"/>
    <w:rsid w:val="009A0644"/>
    <w:rsid w:val="009A0EFE"/>
    <w:rsid w:val="009A278B"/>
    <w:rsid w:val="009A64B1"/>
    <w:rsid w:val="009A6BF2"/>
    <w:rsid w:val="009A700B"/>
    <w:rsid w:val="009B317C"/>
    <w:rsid w:val="009B3622"/>
    <w:rsid w:val="009B3959"/>
    <w:rsid w:val="009B44EB"/>
    <w:rsid w:val="009B56BE"/>
    <w:rsid w:val="009B5E88"/>
    <w:rsid w:val="009B6165"/>
    <w:rsid w:val="009B75E7"/>
    <w:rsid w:val="009B7632"/>
    <w:rsid w:val="009C18C5"/>
    <w:rsid w:val="009C3C42"/>
    <w:rsid w:val="009D42CD"/>
    <w:rsid w:val="009D46EC"/>
    <w:rsid w:val="009D4E6F"/>
    <w:rsid w:val="009E4D29"/>
    <w:rsid w:val="009E52A6"/>
    <w:rsid w:val="009E548E"/>
    <w:rsid w:val="009E70C8"/>
    <w:rsid w:val="009F2177"/>
    <w:rsid w:val="009F3CA9"/>
    <w:rsid w:val="009F4C97"/>
    <w:rsid w:val="009F5DAD"/>
    <w:rsid w:val="009F7649"/>
    <w:rsid w:val="00A00A7B"/>
    <w:rsid w:val="00A010F7"/>
    <w:rsid w:val="00A01B79"/>
    <w:rsid w:val="00A03FA6"/>
    <w:rsid w:val="00A04F27"/>
    <w:rsid w:val="00A11E3C"/>
    <w:rsid w:val="00A121B1"/>
    <w:rsid w:val="00A15703"/>
    <w:rsid w:val="00A24F6A"/>
    <w:rsid w:val="00A265E9"/>
    <w:rsid w:val="00A27EA8"/>
    <w:rsid w:val="00A34A7B"/>
    <w:rsid w:val="00A43D0C"/>
    <w:rsid w:val="00A45520"/>
    <w:rsid w:val="00A45EAA"/>
    <w:rsid w:val="00A46841"/>
    <w:rsid w:val="00A50A56"/>
    <w:rsid w:val="00A53B01"/>
    <w:rsid w:val="00A55144"/>
    <w:rsid w:val="00A568D8"/>
    <w:rsid w:val="00A5782F"/>
    <w:rsid w:val="00A60CA9"/>
    <w:rsid w:val="00A61546"/>
    <w:rsid w:val="00A62A33"/>
    <w:rsid w:val="00A63DE8"/>
    <w:rsid w:val="00A711E6"/>
    <w:rsid w:val="00A71D80"/>
    <w:rsid w:val="00A767E3"/>
    <w:rsid w:val="00A82450"/>
    <w:rsid w:val="00A86D19"/>
    <w:rsid w:val="00A904E8"/>
    <w:rsid w:val="00A9068B"/>
    <w:rsid w:val="00A9079B"/>
    <w:rsid w:val="00A90FA4"/>
    <w:rsid w:val="00A916B3"/>
    <w:rsid w:val="00A92891"/>
    <w:rsid w:val="00A92FE3"/>
    <w:rsid w:val="00A94A9C"/>
    <w:rsid w:val="00A95575"/>
    <w:rsid w:val="00A957E2"/>
    <w:rsid w:val="00AA0645"/>
    <w:rsid w:val="00AA536A"/>
    <w:rsid w:val="00AA5F56"/>
    <w:rsid w:val="00AA62DB"/>
    <w:rsid w:val="00AA6686"/>
    <w:rsid w:val="00AB387F"/>
    <w:rsid w:val="00AC03EB"/>
    <w:rsid w:val="00AC21DF"/>
    <w:rsid w:val="00AC26D1"/>
    <w:rsid w:val="00AC2E04"/>
    <w:rsid w:val="00AC324B"/>
    <w:rsid w:val="00AC3CF5"/>
    <w:rsid w:val="00AD2FED"/>
    <w:rsid w:val="00AD3D5F"/>
    <w:rsid w:val="00AD55AB"/>
    <w:rsid w:val="00AE2953"/>
    <w:rsid w:val="00AE534A"/>
    <w:rsid w:val="00AE6606"/>
    <w:rsid w:val="00AF47EC"/>
    <w:rsid w:val="00AF5830"/>
    <w:rsid w:val="00B052BA"/>
    <w:rsid w:val="00B068CE"/>
    <w:rsid w:val="00B10FDB"/>
    <w:rsid w:val="00B13262"/>
    <w:rsid w:val="00B14EF6"/>
    <w:rsid w:val="00B16189"/>
    <w:rsid w:val="00B171CC"/>
    <w:rsid w:val="00B17A1A"/>
    <w:rsid w:val="00B20755"/>
    <w:rsid w:val="00B21C95"/>
    <w:rsid w:val="00B2264F"/>
    <w:rsid w:val="00B2325C"/>
    <w:rsid w:val="00B23A57"/>
    <w:rsid w:val="00B250B9"/>
    <w:rsid w:val="00B265D7"/>
    <w:rsid w:val="00B27449"/>
    <w:rsid w:val="00B3046D"/>
    <w:rsid w:val="00B349EE"/>
    <w:rsid w:val="00B361EF"/>
    <w:rsid w:val="00B36370"/>
    <w:rsid w:val="00B44F64"/>
    <w:rsid w:val="00B4613A"/>
    <w:rsid w:val="00B471E4"/>
    <w:rsid w:val="00B53CCA"/>
    <w:rsid w:val="00B556E4"/>
    <w:rsid w:val="00B62F96"/>
    <w:rsid w:val="00B63502"/>
    <w:rsid w:val="00B63CE0"/>
    <w:rsid w:val="00B662FF"/>
    <w:rsid w:val="00B72C94"/>
    <w:rsid w:val="00B7396B"/>
    <w:rsid w:val="00B746FE"/>
    <w:rsid w:val="00B776E7"/>
    <w:rsid w:val="00B77DF6"/>
    <w:rsid w:val="00B80749"/>
    <w:rsid w:val="00B83949"/>
    <w:rsid w:val="00B84916"/>
    <w:rsid w:val="00B8626B"/>
    <w:rsid w:val="00B87BD9"/>
    <w:rsid w:val="00B92776"/>
    <w:rsid w:val="00B93326"/>
    <w:rsid w:val="00B94E5C"/>
    <w:rsid w:val="00BA323F"/>
    <w:rsid w:val="00BA4F1C"/>
    <w:rsid w:val="00BA550F"/>
    <w:rsid w:val="00BB0C54"/>
    <w:rsid w:val="00BB36F2"/>
    <w:rsid w:val="00BB3846"/>
    <w:rsid w:val="00BB7E2A"/>
    <w:rsid w:val="00BC2863"/>
    <w:rsid w:val="00BC6254"/>
    <w:rsid w:val="00BC77E7"/>
    <w:rsid w:val="00BD3880"/>
    <w:rsid w:val="00BD39A6"/>
    <w:rsid w:val="00BE1AC0"/>
    <w:rsid w:val="00BE42F1"/>
    <w:rsid w:val="00BF3EBC"/>
    <w:rsid w:val="00BF6174"/>
    <w:rsid w:val="00C015D8"/>
    <w:rsid w:val="00C0251F"/>
    <w:rsid w:val="00C06C56"/>
    <w:rsid w:val="00C07297"/>
    <w:rsid w:val="00C10A53"/>
    <w:rsid w:val="00C110F6"/>
    <w:rsid w:val="00C16D7E"/>
    <w:rsid w:val="00C173FD"/>
    <w:rsid w:val="00C24EDB"/>
    <w:rsid w:val="00C43E49"/>
    <w:rsid w:val="00C44E98"/>
    <w:rsid w:val="00C5324C"/>
    <w:rsid w:val="00C676D4"/>
    <w:rsid w:val="00C71E5F"/>
    <w:rsid w:val="00C744C7"/>
    <w:rsid w:val="00C80F45"/>
    <w:rsid w:val="00C83BF5"/>
    <w:rsid w:val="00C8610B"/>
    <w:rsid w:val="00C87238"/>
    <w:rsid w:val="00C90A2C"/>
    <w:rsid w:val="00C91C73"/>
    <w:rsid w:val="00C92111"/>
    <w:rsid w:val="00C931D8"/>
    <w:rsid w:val="00C9509F"/>
    <w:rsid w:val="00CA026B"/>
    <w:rsid w:val="00CB0217"/>
    <w:rsid w:val="00CC4538"/>
    <w:rsid w:val="00CC6168"/>
    <w:rsid w:val="00CD01A2"/>
    <w:rsid w:val="00CD3564"/>
    <w:rsid w:val="00CD3AC9"/>
    <w:rsid w:val="00CE08A7"/>
    <w:rsid w:val="00CE1A05"/>
    <w:rsid w:val="00CE3EF6"/>
    <w:rsid w:val="00CE7C2A"/>
    <w:rsid w:val="00CF4688"/>
    <w:rsid w:val="00D02923"/>
    <w:rsid w:val="00D044E2"/>
    <w:rsid w:val="00D05888"/>
    <w:rsid w:val="00D07E78"/>
    <w:rsid w:val="00D11AF4"/>
    <w:rsid w:val="00D1217A"/>
    <w:rsid w:val="00D17076"/>
    <w:rsid w:val="00D17C2D"/>
    <w:rsid w:val="00D2044A"/>
    <w:rsid w:val="00D23683"/>
    <w:rsid w:val="00D26D9A"/>
    <w:rsid w:val="00D32020"/>
    <w:rsid w:val="00D367E1"/>
    <w:rsid w:val="00D409E4"/>
    <w:rsid w:val="00D410C8"/>
    <w:rsid w:val="00D41584"/>
    <w:rsid w:val="00D42242"/>
    <w:rsid w:val="00D456F7"/>
    <w:rsid w:val="00D46080"/>
    <w:rsid w:val="00D46BB8"/>
    <w:rsid w:val="00D51C18"/>
    <w:rsid w:val="00D57AF1"/>
    <w:rsid w:val="00D60E6B"/>
    <w:rsid w:val="00D611AE"/>
    <w:rsid w:val="00D66F1D"/>
    <w:rsid w:val="00D674DA"/>
    <w:rsid w:val="00D71357"/>
    <w:rsid w:val="00D71655"/>
    <w:rsid w:val="00D751D3"/>
    <w:rsid w:val="00D75E22"/>
    <w:rsid w:val="00D769FF"/>
    <w:rsid w:val="00D81A44"/>
    <w:rsid w:val="00D82F0B"/>
    <w:rsid w:val="00D860CE"/>
    <w:rsid w:val="00D86BAE"/>
    <w:rsid w:val="00D90A05"/>
    <w:rsid w:val="00DA2DF1"/>
    <w:rsid w:val="00DA3A32"/>
    <w:rsid w:val="00DA77CE"/>
    <w:rsid w:val="00DB1428"/>
    <w:rsid w:val="00DB49E0"/>
    <w:rsid w:val="00DC0612"/>
    <w:rsid w:val="00DC18D4"/>
    <w:rsid w:val="00DC2779"/>
    <w:rsid w:val="00DC356B"/>
    <w:rsid w:val="00DD14DC"/>
    <w:rsid w:val="00DD4A24"/>
    <w:rsid w:val="00DD78E8"/>
    <w:rsid w:val="00DE4328"/>
    <w:rsid w:val="00DF41F8"/>
    <w:rsid w:val="00DF6E24"/>
    <w:rsid w:val="00DF7558"/>
    <w:rsid w:val="00DF7C41"/>
    <w:rsid w:val="00E033D0"/>
    <w:rsid w:val="00E1752F"/>
    <w:rsid w:val="00E21D5F"/>
    <w:rsid w:val="00E31B33"/>
    <w:rsid w:val="00E32A1A"/>
    <w:rsid w:val="00E34D23"/>
    <w:rsid w:val="00E3582F"/>
    <w:rsid w:val="00E36214"/>
    <w:rsid w:val="00E36DE0"/>
    <w:rsid w:val="00E37594"/>
    <w:rsid w:val="00E42982"/>
    <w:rsid w:val="00E436FB"/>
    <w:rsid w:val="00E4459F"/>
    <w:rsid w:val="00E455D3"/>
    <w:rsid w:val="00E469F2"/>
    <w:rsid w:val="00E507B7"/>
    <w:rsid w:val="00E51696"/>
    <w:rsid w:val="00E522B8"/>
    <w:rsid w:val="00E56C73"/>
    <w:rsid w:val="00E615CF"/>
    <w:rsid w:val="00E62A1C"/>
    <w:rsid w:val="00E6760A"/>
    <w:rsid w:val="00E70386"/>
    <w:rsid w:val="00E709E3"/>
    <w:rsid w:val="00E73E67"/>
    <w:rsid w:val="00E74092"/>
    <w:rsid w:val="00E81461"/>
    <w:rsid w:val="00E85510"/>
    <w:rsid w:val="00E87BE4"/>
    <w:rsid w:val="00E90C18"/>
    <w:rsid w:val="00E953F8"/>
    <w:rsid w:val="00E97C9E"/>
    <w:rsid w:val="00EA441A"/>
    <w:rsid w:val="00EA63F6"/>
    <w:rsid w:val="00EA7851"/>
    <w:rsid w:val="00EA7EEC"/>
    <w:rsid w:val="00EB14A9"/>
    <w:rsid w:val="00EB5B12"/>
    <w:rsid w:val="00EC352D"/>
    <w:rsid w:val="00ED35F9"/>
    <w:rsid w:val="00ED6232"/>
    <w:rsid w:val="00EE23A5"/>
    <w:rsid w:val="00EF0386"/>
    <w:rsid w:val="00EF3FD9"/>
    <w:rsid w:val="00EF5830"/>
    <w:rsid w:val="00EF6F17"/>
    <w:rsid w:val="00EF76DF"/>
    <w:rsid w:val="00F029A7"/>
    <w:rsid w:val="00F03A42"/>
    <w:rsid w:val="00F044F5"/>
    <w:rsid w:val="00F066C8"/>
    <w:rsid w:val="00F06C99"/>
    <w:rsid w:val="00F06D90"/>
    <w:rsid w:val="00F07EBD"/>
    <w:rsid w:val="00F10695"/>
    <w:rsid w:val="00F14949"/>
    <w:rsid w:val="00F15367"/>
    <w:rsid w:val="00F1588E"/>
    <w:rsid w:val="00F23EA7"/>
    <w:rsid w:val="00F25EE3"/>
    <w:rsid w:val="00F27014"/>
    <w:rsid w:val="00F331E2"/>
    <w:rsid w:val="00F40EA5"/>
    <w:rsid w:val="00F410A5"/>
    <w:rsid w:val="00F415C5"/>
    <w:rsid w:val="00F438C8"/>
    <w:rsid w:val="00F43F77"/>
    <w:rsid w:val="00F44A79"/>
    <w:rsid w:val="00F47463"/>
    <w:rsid w:val="00F51D83"/>
    <w:rsid w:val="00F62852"/>
    <w:rsid w:val="00F632E1"/>
    <w:rsid w:val="00F66EFD"/>
    <w:rsid w:val="00F67021"/>
    <w:rsid w:val="00F67D81"/>
    <w:rsid w:val="00F71D79"/>
    <w:rsid w:val="00F747D5"/>
    <w:rsid w:val="00F75C74"/>
    <w:rsid w:val="00F80953"/>
    <w:rsid w:val="00F80E0D"/>
    <w:rsid w:val="00F8191D"/>
    <w:rsid w:val="00F843A3"/>
    <w:rsid w:val="00F86E94"/>
    <w:rsid w:val="00F907CB"/>
    <w:rsid w:val="00F95434"/>
    <w:rsid w:val="00F957B4"/>
    <w:rsid w:val="00F972C8"/>
    <w:rsid w:val="00F977C7"/>
    <w:rsid w:val="00FA080F"/>
    <w:rsid w:val="00FA1B9F"/>
    <w:rsid w:val="00FA4C3B"/>
    <w:rsid w:val="00FA6932"/>
    <w:rsid w:val="00FA78CA"/>
    <w:rsid w:val="00FB0EBF"/>
    <w:rsid w:val="00FB110C"/>
    <w:rsid w:val="00FB2B1E"/>
    <w:rsid w:val="00FB402B"/>
    <w:rsid w:val="00FB43BA"/>
    <w:rsid w:val="00FB4CD1"/>
    <w:rsid w:val="00FB5773"/>
    <w:rsid w:val="00FB5CAE"/>
    <w:rsid w:val="00FB7C3D"/>
    <w:rsid w:val="00FC11AE"/>
    <w:rsid w:val="00FC3DD6"/>
    <w:rsid w:val="00FC6665"/>
    <w:rsid w:val="00FD19B9"/>
    <w:rsid w:val="00FD4135"/>
    <w:rsid w:val="00FD468B"/>
    <w:rsid w:val="00FD6F93"/>
    <w:rsid w:val="00FE4EF8"/>
    <w:rsid w:val="00FE6E73"/>
    <w:rsid w:val="00FF40BA"/>
    <w:rsid w:val="00FF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1F5903B"/>
  <w15:chartTrackingRefBased/>
  <w15:docId w15:val="{8DCCDDB7-FBF0-4A81-AA96-25C602A4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13A"/>
    <w:pPr>
      <w:spacing w:after="0" w:line="360" w:lineRule="auto"/>
      <w:ind w:firstLine="720"/>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13A"/>
    <w:pPr>
      <w:ind w:left="720"/>
      <w:contextualSpacing/>
    </w:pPr>
  </w:style>
  <w:style w:type="paragraph" w:customStyle="1" w:styleId="Default">
    <w:name w:val="Default"/>
    <w:rsid w:val="00D4608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4A44D1"/>
    <w:rPr>
      <w:color w:val="0000FF"/>
      <w:u w:val="single"/>
    </w:rPr>
  </w:style>
  <w:style w:type="character" w:customStyle="1" w:styleId="term1">
    <w:name w:val="term1"/>
    <w:basedOn w:val="DefaultParagraphFont"/>
    <w:rsid w:val="004A44D1"/>
    <w:rPr>
      <w:b/>
      <w:bCs/>
    </w:rPr>
  </w:style>
  <w:style w:type="character" w:styleId="Emphasis">
    <w:name w:val="Emphasis"/>
    <w:basedOn w:val="DefaultParagraphFont"/>
    <w:qFormat/>
    <w:rsid w:val="004A44D1"/>
    <w:rPr>
      <w:i/>
      <w:iCs/>
    </w:rPr>
  </w:style>
  <w:style w:type="paragraph" w:styleId="Header">
    <w:name w:val="header"/>
    <w:basedOn w:val="Normal"/>
    <w:link w:val="HeaderChar"/>
    <w:uiPriority w:val="99"/>
    <w:unhideWhenUsed/>
    <w:rsid w:val="00181C10"/>
    <w:pPr>
      <w:tabs>
        <w:tab w:val="center" w:pos="4680"/>
        <w:tab w:val="right" w:pos="9360"/>
      </w:tabs>
      <w:spacing w:line="240" w:lineRule="auto"/>
    </w:pPr>
  </w:style>
  <w:style w:type="character" w:customStyle="1" w:styleId="HeaderChar">
    <w:name w:val="Header Char"/>
    <w:basedOn w:val="DefaultParagraphFont"/>
    <w:link w:val="Header"/>
    <w:uiPriority w:val="99"/>
    <w:rsid w:val="00181C10"/>
    <w:rPr>
      <w:rFonts w:ascii="Times New Roman" w:eastAsia="Calibri" w:hAnsi="Times New Roman" w:cs="Times New Roman"/>
      <w:sz w:val="24"/>
      <w:szCs w:val="24"/>
    </w:rPr>
  </w:style>
  <w:style w:type="paragraph" w:styleId="Footer">
    <w:name w:val="footer"/>
    <w:basedOn w:val="Normal"/>
    <w:link w:val="FooterChar"/>
    <w:uiPriority w:val="99"/>
    <w:unhideWhenUsed/>
    <w:rsid w:val="00181C10"/>
    <w:pPr>
      <w:tabs>
        <w:tab w:val="center" w:pos="4680"/>
        <w:tab w:val="right" w:pos="9360"/>
      </w:tabs>
      <w:spacing w:line="240" w:lineRule="auto"/>
    </w:pPr>
  </w:style>
  <w:style w:type="character" w:customStyle="1" w:styleId="FooterChar">
    <w:name w:val="Footer Char"/>
    <w:basedOn w:val="DefaultParagraphFont"/>
    <w:link w:val="Footer"/>
    <w:uiPriority w:val="99"/>
    <w:rsid w:val="00181C10"/>
    <w:rPr>
      <w:rFonts w:ascii="Times New Roman" w:eastAsia="Calibri" w:hAnsi="Times New Roman" w:cs="Times New Roman"/>
      <w:sz w:val="24"/>
      <w:szCs w:val="24"/>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D51C18"/>
    <w:pPr>
      <w:spacing w:line="240" w:lineRule="auto"/>
    </w:pPr>
    <w:rPr>
      <w:sz w:val="20"/>
      <w:szCs w:val="20"/>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D51C18"/>
    <w:rPr>
      <w:rFonts w:ascii="Times New Roman" w:eastAsia="Calibri" w:hAnsi="Times New Roman" w:cs="Times New Roman"/>
      <w:sz w:val="20"/>
      <w:szCs w:val="20"/>
    </w:rPr>
  </w:style>
  <w:style w:type="character" w:styleId="FootnoteReference">
    <w:name w:val="footnote reference"/>
    <w:aliases w:val="o,fr,Style 6,Style 20,Appel note de bas de p,Style 8,Style 7,Style 3,Style 17,Style 19"/>
    <w:rsid w:val="00D51C18"/>
    <w:rPr>
      <w:vertAlign w:val="superscript"/>
    </w:rPr>
  </w:style>
  <w:style w:type="paragraph" w:customStyle="1" w:styleId="ParaTab1">
    <w:name w:val="ParaTab 1"/>
    <w:rsid w:val="0020259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8373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37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837378"/>
    <w:rPr>
      <w:sz w:val="16"/>
      <w:szCs w:val="16"/>
    </w:rPr>
  </w:style>
  <w:style w:type="paragraph" w:styleId="CommentText">
    <w:name w:val="annotation text"/>
    <w:basedOn w:val="Normal"/>
    <w:link w:val="CommentTextChar"/>
    <w:uiPriority w:val="99"/>
    <w:semiHidden/>
    <w:unhideWhenUsed/>
    <w:rsid w:val="00837378"/>
    <w:pPr>
      <w:spacing w:line="240" w:lineRule="auto"/>
    </w:pPr>
    <w:rPr>
      <w:sz w:val="20"/>
      <w:szCs w:val="20"/>
    </w:rPr>
  </w:style>
  <w:style w:type="character" w:customStyle="1" w:styleId="CommentTextChar">
    <w:name w:val="Comment Text Char"/>
    <w:basedOn w:val="DefaultParagraphFont"/>
    <w:link w:val="CommentText"/>
    <w:uiPriority w:val="99"/>
    <w:semiHidden/>
    <w:rsid w:val="0083737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7378"/>
    <w:rPr>
      <w:b/>
      <w:bCs/>
    </w:rPr>
  </w:style>
  <w:style w:type="character" w:customStyle="1" w:styleId="CommentSubjectChar">
    <w:name w:val="Comment Subject Char"/>
    <w:basedOn w:val="CommentTextChar"/>
    <w:link w:val="CommentSubject"/>
    <w:uiPriority w:val="99"/>
    <w:semiHidden/>
    <w:rsid w:val="00837378"/>
    <w:rPr>
      <w:rFonts w:ascii="Times New Roman" w:eastAsia="Calibri" w:hAnsi="Times New Roman" w:cs="Times New Roman"/>
      <w:b/>
      <w:bCs/>
      <w:sz w:val="20"/>
      <w:szCs w:val="20"/>
    </w:rPr>
  </w:style>
  <w:style w:type="paragraph" w:styleId="BodyText">
    <w:name w:val="Body Text"/>
    <w:basedOn w:val="Normal"/>
    <w:link w:val="BodyTextChar"/>
    <w:rsid w:val="0013594A"/>
    <w:pPr>
      <w:tabs>
        <w:tab w:val="left" w:pos="-1440"/>
        <w:tab w:val="left" w:pos="-720"/>
        <w:tab w:val="left" w:pos="0"/>
        <w:tab w:val="left" w:pos="720"/>
        <w:tab w:val="left" w:pos="1440"/>
      </w:tabs>
      <w:spacing w:line="480" w:lineRule="auto"/>
      <w:ind w:firstLine="0"/>
      <w:jc w:val="both"/>
    </w:pPr>
    <w:rPr>
      <w:rFonts w:eastAsia="Times New Roman"/>
      <w:szCs w:val="20"/>
    </w:rPr>
  </w:style>
  <w:style w:type="character" w:customStyle="1" w:styleId="BodyTextChar">
    <w:name w:val="Body Text Char"/>
    <w:basedOn w:val="DefaultParagraphFont"/>
    <w:link w:val="BodyText"/>
    <w:rsid w:val="0013594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099492">
      <w:bodyDiv w:val="1"/>
      <w:marLeft w:val="0"/>
      <w:marRight w:val="0"/>
      <w:marTop w:val="0"/>
      <w:marBottom w:val="0"/>
      <w:divBdr>
        <w:top w:val="none" w:sz="0" w:space="0" w:color="auto"/>
        <w:left w:val="none" w:sz="0" w:space="0" w:color="auto"/>
        <w:bottom w:val="none" w:sz="0" w:space="0" w:color="auto"/>
        <w:right w:val="none" w:sz="0" w:space="0" w:color="auto"/>
      </w:divBdr>
    </w:div>
    <w:div w:id="659309337">
      <w:bodyDiv w:val="1"/>
      <w:marLeft w:val="0"/>
      <w:marRight w:val="0"/>
      <w:marTop w:val="0"/>
      <w:marBottom w:val="0"/>
      <w:divBdr>
        <w:top w:val="none" w:sz="0" w:space="0" w:color="auto"/>
        <w:left w:val="none" w:sz="0" w:space="0" w:color="auto"/>
        <w:bottom w:val="none" w:sz="0" w:space="0" w:color="auto"/>
        <w:right w:val="none" w:sz="0" w:space="0" w:color="auto"/>
      </w:divBdr>
    </w:div>
    <w:div w:id="1130627791">
      <w:bodyDiv w:val="1"/>
      <w:marLeft w:val="0"/>
      <w:marRight w:val="0"/>
      <w:marTop w:val="0"/>
      <w:marBottom w:val="0"/>
      <w:divBdr>
        <w:top w:val="none" w:sz="0" w:space="0" w:color="auto"/>
        <w:left w:val="none" w:sz="0" w:space="0" w:color="auto"/>
        <w:bottom w:val="none" w:sz="0" w:space="0" w:color="auto"/>
        <w:right w:val="none" w:sz="0" w:space="0" w:color="auto"/>
      </w:divBdr>
    </w:div>
    <w:div w:id="1476338898">
      <w:bodyDiv w:val="1"/>
      <w:marLeft w:val="0"/>
      <w:marRight w:val="0"/>
      <w:marTop w:val="0"/>
      <w:marBottom w:val="0"/>
      <w:divBdr>
        <w:top w:val="none" w:sz="0" w:space="0" w:color="auto"/>
        <w:left w:val="none" w:sz="0" w:space="0" w:color="auto"/>
        <w:bottom w:val="none" w:sz="0" w:space="0" w:color="auto"/>
        <w:right w:val="none" w:sz="0" w:space="0" w:color="auto"/>
      </w:divBdr>
    </w:div>
    <w:div w:id="1637102373">
      <w:bodyDiv w:val="1"/>
      <w:marLeft w:val="0"/>
      <w:marRight w:val="0"/>
      <w:marTop w:val="0"/>
      <w:marBottom w:val="0"/>
      <w:divBdr>
        <w:top w:val="none" w:sz="0" w:space="0" w:color="auto"/>
        <w:left w:val="none" w:sz="0" w:space="0" w:color="auto"/>
        <w:bottom w:val="none" w:sz="0" w:space="0" w:color="auto"/>
        <w:right w:val="none" w:sz="0" w:space="0" w:color="auto"/>
      </w:divBdr>
    </w:div>
    <w:div w:id="1690839523">
      <w:bodyDiv w:val="1"/>
      <w:marLeft w:val="0"/>
      <w:marRight w:val="0"/>
      <w:marTop w:val="0"/>
      <w:marBottom w:val="0"/>
      <w:divBdr>
        <w:top w:val="none" w:sz="0" w:space="0" w:color="auto"/>
        <w:left w:val="none" w:sz="0" w:space="0" w:color="auto"/>
        <w:bottom w:val="none" w:sz="0" w:space="0" w:color="auto"/>
        <w:right w:val="none" w:sz="0" w:space="0" w:color="auto"/>
      </w:divBdr>
    </w:div>
    <w:div w:id="1778677634">
      <w:bodyDiv w:val="1"/>
      <w:marLeft w:val="0"/>
      <w:marRight w:val="0"/>
      <w:marTop w:val="0"/>
      <w:marBottom w:val="0"/>
      <w:divBdr>
        <w:top w:val="none" w:sz="0" w:space="0" w:color="auto"/>
        <w:left w:val="none" w:sz="0" w:space="0" w:color="auto"/>
        <w:bottom w:val="none" w:sz="0" w:space="0" w:color="auto"/>
        <w:right w:val="none" w:sz="0" w:space="0" w:color="auto"/>
      </w:divBdr>
    </w:div>
    <w:div w:id="1863593678">
      <w:bodyDiv w:val="1"/>
      <w:marLeft w:val="0"/>
      <w:marRight w:val="0"/>
      <w:marTop w:val="0"/>
      <w:marBottom w:val="0"/>
      <w:divBdr>
        <w:top w:val="none" w:sz="0" w:space="0" w:color="auto"/>
        <w:left w:val="none" w:sz="0" w:space="0" w:color="auto"/>
        <w:bottom w:val="none" w:sz="0" w:space="0" w:color="auto"/>
        <w:right w:val="none" w:sz="0" w:space="0" w:color="auto"/>
      </w:divBdr>
    </w:div>
    <w:div w:id="203222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C3702-DAF7-41D7-8220-F260F9930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Wagner, Nathan R</cp:lastModifiedBy>
  <cp:revision>3</cp:revision>
  <cp:lastPrinted>2018-11-19T19:25:00Z</cp:lastPrinted>
  <dcterms:created xsi:type="dcterms:W3CDTF">2018-11-20T14:36:00Z</dcterms:created>
  <dcterms:modified xsi:type="dcterms:W3CDTF">2018-12-06T12:45:00Z</dcterms:modified>
</cp:coreProperties>
</file>