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683EB340"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C077F">
        <w:rPr>
          <w:rFonts w:ascii="Times New Roman" w:hAnsi="Times New Roman"/>
          <w:sz w:val="24"/>
          <w:szCs w:val="24"/>
        </w:rPr>
        <w:t>December 6</w:t>
      </w:r>
      <w:r w:rsidR="00701D3A">
        <w:rPr>
          <w:rFonts w:ascii="Times New Roman" w:hAnsi="Times New Roman"/>
          <w:sz w:val="24"/>
          <w:szCs w:val="24"/>
        </w:rPr>
        <w:t>, 2018</w:t>
      </w:r>
    </w:p>
    <w:p w14:paraId="422D474C" w14:textId="0A5486A9" w:rsidR="00CF786A" w:rsidRDefault="00CF786A" w:rsidP="00577603">
      <w:pPr>
        <w:rPr>
          <w:rFonts w:ascii="Times New Roman" w:hAnsi="Times New Roman"/>
          <w:sz w:val="24"/>
          <w:szCs w:val="24"/>
        </w:rPr>
      </w:pPr>
    </w:p>
    <w:p w14:paraId="67BEB132" w14:textId="77777777" w:rsidR="00CB25E0" w:rsidRPr="00A1530D"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7674C0C8" w14:textId="02EA4786"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bookmarkStart w:id="0" w:name="_Hlk524351114"/>
      <w:r w:rsidRPr="00CE51E8">
        <w:rPr>
          <w:rFonts w:ascii="Times New Roman" w:eastAsia="Times New Roman" w:hAnsi="Times New Roman"/>
          <w:spacing w:val="-3"/>
          <w:sz w:val="24"/>
          <w:szCs w:val="24"/>
        </w:rPr>
        <w:t>Pennsylvania Public Utility Commission</w:t>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t>R-2018-3000834</w:t>
      </w:r>
    </w:p>
    <w:p w14:paraId="7814C119" w14:textId="70C690C1"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Office of Consumer Advocate</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t>C-2018-3001786</w:t>
      </w:r>
    </w:p>
    <w:p w14:paraId="4F40D371" w14:textId="0CAC3B59"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Office of Small Business Advocate</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t>C-2018-3002132</w:t>
      </w:r>
    </w:p>
    <w:p w14:paraId="04FC7D88" w14:textId="74A5D6E6"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z w:val="24"/>
          <w:szCs w:val="24"/>
        </w:rPr>
        <w:t>James and Reva Crownover</w:t>
      </w:r>
      <w:r w:rsidRPr="00CE51E8">
        <w:rPr>
          <w:rFonts w:ascii="Times New Roman" w:eastAsia="Times New Roman" w:hAnsi="Times New Roman"/>
          <w:sz w:val="24"/>
          <w:szCs w:val="24"/>
        </w:rPr>
        <w:tab/>
      </w:r>
      <w:r w:rsidRPr="00CE51E8">
        <w:rPr>
          <w:rFonts w:ascii="Times New Roman" w:eastAsia="Times New Roman" w:hAnsi="Times New Roman"/>
          <w:sz w:val="24"/>
          <w:szCs w:val="24"/>
        </w:rPr>
        <w:tab/>
      </w:r>
      <w:r w:rsidRPr="00CE51E8">
        <w:rPr>
          <w:rFonts w:ascii="Times New Roman" w:eastAsia="Times New Roman" w:hAnsi="Times New Roman"/>
          <w:sz w:val="24"/>
          <w:szCs w:val="24"/>
        </w:rPr>
        <w:tab/>
      </w:r>
      <w:r>
        <w:rPr>
          <w:rFonts w:ascii="Times New Roman" w:eastAsia="Times New Roman" w:hAnsi="Times New Roman"/>
          <w:sz w:val="24"/>
          <w:szCs w:val="24"/>
        </w:rPr>
        <w:tab/>
      </w:r>
      <w:r w:rsidRPr="00CE51E8">
        <w:rPr>
          <w:rFonts w:ascii="Times New Roman" w:eastAsia="Times New Roman" w:hAnsi="Times New Roman"/>
          <w:sz w:val="24"/>
          <w:szCs w:val="24"/>
        </w:rPr>
        <w:t>:</w:t>
      </w:r>
      <w:r w:rsidRPr="00CE51E8">
        <w:rPr>
          <w:rFonts w:ascii="Times New Roman" w:eastAsia="Times New Roman" w:hAnsi="Times New Roman"/>
          <w:sz w:val="24"/>
          <w:szCs w:val="24"/>
        </w:rPr>
        <w:tab/>
      </w:r>
      <w:r w:rsidRPr="00CE51E8">
        <w:rPr>
          <w:rFonts w:ascii="Times New Roman" w:eastAsia="Times New Roman" w:hAnsi="Times New Roman"/>
          <w:sz w:val="24"/>
          <w:szCs w:val="24"/>
        </w:rPr>
        <w:tab/>
        <w:t>C-2018-3003017</w:t>
      </w:r>
    </w:p>
    <w:p w14:paraId="656877F6" w14:textId="294404DF"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p>
    <w:p w14:paraId="73CF02FD" w14:textId="717DDFBA"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ab/>
        <w:t>v.</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p>
    <w:p w14:paraId="67B28FF4" w14:textId="317BB28F"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p>
    <w:p w14:paraId="48498125" w14:textId="04FCE33A" w:rsidR="00CE51E8" w:rsidRPr="00CE51E8" w:rsidRDefault="00CE51E8" w:rsidP="00CE51E8">
      <w:pPr>
        <w:tabs>
          <w:tab w:val="left" w:pos="-720"/>
        </w:tabs>
        <w:suppressAutoHyphens/>
        <w:autoSpaceDE w:val="0"/>
        <w:autoSpaceDN w:val="0"/>
        <w:rPr>
          <w:rFonts w:ascii="Times New Roman" w:eastAsia="Times New Roman" w:hAnsi="Times New Roman"/>
          <w:spacing w:val="-3"/>
          <w:sz w:val="24"/>
          <w:szCs w:val="24"/>
        </w:rPr>
      </w:pPr>
      <w:r w:rsidRPr="00CE51E8">
        <w:rPr>
          <w:rFonts w:ascii="Times New Roman" w:eastAsia="Times New Roman" w:hAnsi="Times New Roman"/>
          <w:spacing w:val="-3"/>
          <w:sz w:val="24"/>
          <w:szCs w:val="24"/>
        </w:rPr>
        <w:t>Suez Water Pennsylvania, Inc.</w:t>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CE51E8">
        <w:rPr>
          <w:rFonts w:ascii="Times New Roman" w:eastAsia="Times New Roman" w:hAnsi="Times New Roman"/>
          <w:spacing w:val="-3"/>
          <w:sz w:val="24"/>
          <w:szCs w:val="24"/>
        </w:rPr>
        <w:t>:</w:t>
      </w:r>
    </w:p>
    <w:bookmarkEnd w:id="0"/>
    <w:p w14:paraId="5620AA35" w14:textId="77777777" w:rsidR="00CB25E0" w:rsidRDefault="00CB25E0"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51723C45"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CE51E8">
        <w:rPr>
          <w:rFonts w:ascii="Times New Roman" w:hAnsi="Times New Roman"/>
          <w:sz w:val="24"/>
          <w:szCs w:val="24"/>
        </w:rPr>
        <w:t>David A. Salapa</w:t>
      </w:r>
      <w:r w:rsidR="00E17242" w:rsidRPr="00A1530D">
        <w:rPr>
          <w:rFonts w:ascii="Times New Roman" w:hAnsi="Times New Roman"/>
          <w:sz w:val="24"/>
          <w:szCs w:val="24"/>
        </w:rPr>
        <w:t xml:space="preserve">, dated </w:t>
      </w:r>
      <w:r w:rsidR="00E3318E">
        <w:rPr>
          <w:rFonts w:ascii="Times New Roman" w:hAnsi="Times New Roman"/>
          <w:sz w:val="24"/>
          <w:szCs w:val="24"/>
        </w:rPr>
        <w:t xml:space="preserve">October </w:t>
      </w:r>
      <w:r w:rsidR="00436B98">
        <w:rPr>
          <w:rFonts w:ascii="Times New Roman" w:hAnsi="Times New Roman"/>
          <w:sz w:val="24"/>
          <w:szCs w:val="24"/>
        </w:rPr>
        <w:t>23</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D998792" w14:textId="540F7370"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ab/>
      </w:r>
      <w:r>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1.</w:t>
      </w:r>
      <w:r w:rsidRPr="0060079E">
        <w:rPr>
          <w:rFonts w:ascii="Times New Roman" w:eastAsia="Times New Roman" w:hAnsi="Times New Roman"/>
          <w:spacing w:val="-3"/>
          <w:sz w:val="24"/>
          <w:szCs w:val="24"/>
        </w:rPr>
        <w:tab/>
        <w:t>That Suez Water Pennsylvania, Inc.</w:t>
      </w:r>
      <w:r w:rsidRPr="0060079E">
        <w:rPr>
          <w:rFonts w:ascii="Times New Roman" w:eastAsia="Times New Roman" w:hAnsi="Times New Roman"/>
          <w:sz w:val="24"/>
          <w:szCs w:val="24"/>
        </w:rPr>
        <w:t xml:space="preserve"> </w:t>
      </w:r>
      <w:r w:rsidRPr="0060079E">
        <w:rPr>
          <w:rFonts w:ascii="Times New Roman" w:eastAsia="Times New Roman" w:hAnsi="Times New Roman"/>
          <w:spacing w:val="-3"/>
          <w:sz w:val="24"/>
          <w:szCs w:val="24"/>
        </w:rPr>
        <w:t xml:space="preserve">shall not place into effect the rates contained in </w:t>
      </w:r>
      <w:r w:rsidRPr="0060079E">
        <w:rPr>
          <w:rFonts w:ascii="Times New Roman" w:eastAsia="Times New Roman" w:hAnsi="Times New Roman"/>
          <w:sz w:val="24"/>
          <w:szCs w:val="24"/>
        </w:rPr>
        <w:t>Supplement No. 53 to Tariff Water-Pa. P.U.C. No. 7</w:t>
      </w:r>
      <w:r w:rsidRPr="0060079E">
        <w:rPr>
          <w:rFonts w:ascii="Times New Roman" w:eastAsia="Times New Roman" w:hAnsi="Times New Roman"/>
          <w:spacing w:val="-3"/>
          <w:sz w:val="24"/>
          <w:szCs w:val="24"/>
        </w:rPr>
        <w:t>.</w:t>
      </w:r>
    </w:p>
    <w:p w14:paraId="103E2E9D" w14:textId="77777777" w:rsid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sectPr w:rsidR="0060079E" w:rsidSect="00CB25E0">
          <w:footerReference w:type="default" r:id="rId8"/>
          <w:pgSz w:w="12240" w:h="15840" w:code="1"/>
          <w:pgMar w:top="1440" w:right="1440" w:bottom="1440" w:left="1440" w:header="720" w:footer="720" w:gutter="0"/>
          <w:cols w:space="720"/>
          <w:docGrid w:linePitch="360"/>
        </w:sectPr>
      </w:pPr>
    </w:p>
    <w:p w14:paraId="40447BF7"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lastRenderedPageBreak/>
        <w:tab/>
      </w:r>
      <w:r w:rsidRPr="0060079E">
        <w:rPr>
          <w:rFonts w:ascii="Times New Roman" w:eastAsia="Times New Roman" w:hAnsi="Times New Roman"/>
          <w:spacing w:val="-3"/>
          <w:sz w:val="24"/>
          <w:szCs w:val="24"/>
        </w:rPr>
        <w:tab/>
        <w:t>2</w:t>
      </w:r>
      <w:r w:rsidRPr="0060079E">
        <w:rPr>
          <w:rFonts w:ascii="Times New Roman" w:eastAsia="Times New Roman" w:hAnsi="Times New Roman"/>
          <w:sz w:val="24"/>
          <w:szCs w:val="24"/>
        </w:rPr>
        <w:t>.</w:t>
      </w:r>
      <w:r w:rsidRPr="0060079E">
        <w:rPr>
          <w:rFonts w:ascii="Times New Roman" w:eastAsia="Times New Roman" w:hAnsi="Times New Roman"/>
          <w:sz w:val="24"/>
          <w:szCs w:val="24"/>
        </w:rPr>
        <w:tab/>
        <w:t xml:space="preserve">That the settlement petition filed on October 10, 2018 among the Pennsylvania Builders Association, </w:t>
      </w:r>
      <w:r w:rsidRPr="0060079E">
        <w:rPr>
          <w:rFonts w:ascii="Times New Roman" w:eastAsia="Times New Roman" w:hAnsi="Times New Roman"/>
          <w:spacing w:val="-3"/>
          <w:sz w:val="24"/>
          <w:szCs w:val="24"/>
        </w:rPr>
        <w:t>Suez Water Pennsylvania, Inc.</w:t>
      </w:r>
      <w:r w:rsidRPr="0060079E">
        <w:rPr>
          <w:rFonts w:ascii="Times New Roman" w:eastAsia="Times New Roman" w:hAnsi="Times New Roman"/>
          <w:sz w:val="24"/>
          <w:szCs w:val="24"/>
        </w:rPr>
        <w:t>, the Office of Consumer Advocate, the Pennsylvania Public Utility Commission’s Bureau of Investigation and Enforcement and the Office of Small Business Advocate in the above-captioned case is approved and adopted.</w:t>
      </w:r>
    </w:p>
    <w:p w14:paraId="1E54859B"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p>
    <w:p w14:paraId="2B963ABD"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3.</w:t>
      </w:r>
      <w:r w:rsidRPr="0060079E">
        <w:rPr>
          <w:rFonts w:ascii="Times New Roman" w:eastAsia="Times New Roman" w:hAnsi="Times New Roman"/>
          <w:spacing w:val="-3"/>
          <w:sz w:val="24"/>
          <w:szCs w:val="24"/>
        </w:rPr>
        <w:tab/>
        <w:t>That Suez Water Pennsylvania, Inc. shall file a tariff supplement reflecting the rates set forth in its proposed compliance tariff attached to the settlement petition as Appendix “A” to become effective on one day’s notice after entry of the Commission’s Final Order, no earlier than February 1, 2019.</w:t>
      </w:r>
    </w:p>
    <w:p w14:paraId="3D583DAD"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p>
    <w:p w14:paraId="7D42E797" w14:textId="594AEAC1" w:rsid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4.</w:t>
      </w:r>
      <w:r w:rsidRPr="0060079E">
        <w:rPr>
          <w:rFonts w:ascii="Times New Roman" w:eastAsia="Times New Roman" w:hAnsi="Times New Roman"/>
          <w:spacing w:val="-3"/>
          <w:sz w:val="24"/>
          <w:szCs w:val="24"/>
        </w:rPr>
        <w:tab/>
        <w:t xml:space="preserve">That the stipulation for admission of evidence filed on October 10, 2018 </w:t>
      </w:r>
      <w:r w:rsidRPr="0060079E">
        <w:rPr>
          <w:rFonts w:ascii="Times New Roman" w:eastAsia="Times New Roman" w:hAnsi="Times New Roman"/>
          <w:sz w:val="24"/>
          <w:szCs w:val="24"/>
        </w:rPr>
        <w:t>among the Pennsylvania Builders Association,</w:t>
      </w:r>
      <w:r w:rsidRPr="0060079E">
        <w:rPr>
          <w:rFonts w:ascii="Times New Roman" w:eastAsia="Times New Roman" w:hAnsi="Times New Roman"/>
          <w:spacing w:val="-3"/>
          <w:sz w:val="24"/>
          <w:szCs w:val="24"/>
        </w:rPr>
        <w:t xml:space="preserve"> Suez Water Pennsylvania, Inc.</w:t>
      </w:r>
      <w:r w:rsidRPr="0060079E">
        <w:rPr>
          <w:rFonts w:ascii="Times New Roman" w:eastAsia="Times New Roman" w:hAnsi="Times New Roman"/>
          <w:sz w:val="24"/>
          <w:szCs w:val="24"/>
        </w:rPr>
        <w:t>, the Office of Consumer Advocate, the Pennsylvania Public Utility Commission’s Bureau of Investigation and Enforcement and the Office of Small Business Advocate in the above-captioned case is approved and adopted.</w:t>
      </w:r>
      <w:r w:rsidRPr="0060079E">
        <w:rPr>
          <w:rFonts w:ascii="Times New Roman" w:eastAsia="Times New Roman" w:hAnsi="Times New Roman"/>
          <w:spacing w:val="-3"/>
          <w:sz w:val="24"/>
          <w:szCs w:val="24"/>
        </w:rPr>
        <w:t xml:space="preserve"> </w:t>
      </w:r>
    </w:p>
    <w:p w14:paraId="2A1CDB83"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p>
    <w:p w14:paraId="0ABB9295" w14:textId="77777777" w:rsidR="0060079E" w:rsidRPr="0060079E" w:rsidRDefault="0060079E" w:rsidP="005A1F30">
      <w:pPr>
        <w:spacing w:line="360" w:lineRule="auto"/>
        <w:jc w:val="both"/>
        <w:rPr>
          <w:rFonts w:ascii="Times New Roman" w:eastAsia="Times New Roman" w:hAnsi="Times New Roman"/>
          <w:sz w:val="24"/>
          <w:szCs w:val="24"/>
        </w:rPr>
      </w:pP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5</w:t>
      </w:r>
      <w:r w:rsidRPr="0060079E">
        <w:rPr>
          <w:rFonts w:ascii="Times New Roman" w:eastAsia="Times New Roman" w:hAnsi="Times New Roman"/>
          <w:sz w:val="24"/>
          <w:szCs w:val="24"/>
        </w:rPr>
        <w:t>.</w:t>
      </w:r>
      <w:r w:rsidRPr="0060079E">
        <w:rPr>
          <w:rFonts w:ascii="Times New Roman" w:eastAsia="Times New Roman" w:hAnsi="Times New Roman"/>
          <w:sz w:val="24"/>
          <w:szCs w:val="24"/>
        </w:rPr>
        <w:tab/>
        <w:t>That the following documents are admitted into the record as set forth in the stipulation for admission of evidence filed on October 10, 2018:</w:t>
      </w:r>
    </w:p>
    <w:p w14:paraId="58F30205" w14:textId="77777777" w:rsidR="0060079E" w:rsidRPr="0060079E" w:rsidRDefault="0060079E" w:rsidP="005A1F30">
      <w:pPr>
        <w:spacing w:line="360" w:lineRule="auto"/>
        <w:jc w:val="both"/>
        <w:rPr>
          <w:rFonts w:ascii="Times New Roman" w:eastAsia="Times New Roman" w:hAnsi="Times New Roman"/>
          <w:sz w:val="24"/>
          <w:szCs w:val="24"/>
        </w:rPr>
      </w:pPr>
    </w:p>
    <w:p w14:paraId="7DA153E0" w14:textId="77777777" w:rsidR="0060079E" w:rsidRPr="0060079E" w:rsidRDefault="0060079E" w:rsidP="005A1F30">
      <w:pPr>
        <w:autoSpaceDE w:val="0"/>
        <w:autoSpaceDN w:val="0"/>
        <w:spacing w:after="120"/>
        <w:jc w:val="both"/>
        <w:rPr>
          <w:rFonts w:ascii="Times New Roman" w:eastAsia="Times New Roman" w:hAnsi="Times New Roman"/>
          <w:b/>
          <w:sz w:val="24"/>
          <w:szCs w:val="24"/>
        </w:rPr>
      </w:pPr>
      <w:r w:rsidRPr="0060079E">
        <w:rPr>
          <w:rFonts w:ascii="Times New Roman" w:eastAsia="Times New Roman" w:hAnsi="Times New Roman"/>
          <w:b/>
          <w:sz w:val="24"/>
          <w:szCs w:val="24"/>
        </w:rPr>
        <w:t>A.</w:t>
      </w:r>
      <w:r w:rsidRPr="0060079E">
        <w:rPr>
          <w:rFonts w:ascii="Times New Roman" w:eastAsia="Times New Roman" w:hAnsi="Times New Roman"/>
          <w:b/>
          <w:sz w:val="24"/>
          <w:szCs w:val="24"/>
        </w:rPr>
        <w:tab/>
        <w:t>SUEZ Water Pennsylvania Inc. Statements and Exhibits</w:t>
      </w:r>
    </w:p>
    <w:p w14:paraId="311BC551" w14:textId="77777777" w:rsidR="0060079E" w:rsidRPr="0060079E" w:rsidRDefault="0060079E" w:rsidP="005A1F30">
      <w:pPr>
        <w:autoSpaceDE w:val="0"/>
        <w:autoSpaceDN w:val="0"/>
        <w:spacing w:after="120"/>
        <w:jc w:val="both"/>
        <w:rPr>
          <w:rFonts w:ascii="Times New Roman" w:eastAsia="Times New Roman" w:hAnsi="Times New Roman"/>
          <w:b/>
          <w:sz w:val="24"/>
          <w:szCs w:val="24"/>
        </w:rPr>
      </w:pPr>
    </w:p>
    <w:p w14:paraId="116D8188" w14:textId="39878D14" w:rsidR="0060079E" w:rsidRPr="0060079E" w:rsidRDefault="0060079E" w:rsidP="005A1F30">
      <w:pPr>
        <w:autoSpaceDE w:val="0"/>
        <w:autoSpaceDN w:val="0"/>
        <w:spacing w:after="120"/>
        <w:ind w:left="1440" w:hanging="1440"/>
        <w:jc w:val="both"/>
        <w:rPr>
          <w:rFonts w:ascii="Times New Roman" w:eastAsia="Times New Roman" w:hAnsi="Times New Roman"/>
          <w:sz w:val="24"/>
          <w:szCs w:val="24"/>
        </w:rPr>
      </w:pPr>
      <w:r w:rsidRPr="0060079E">
        <w:rPr>
          <w:rFonts w:ascii="Times New Roman" w:eastAsia="Times New Roman" w:hAnsi="Times New Roman"/>
          <w:sz w:val="24"/>
          <w:szCs w:val="24"/>
        </w:rPr>
        <w:tab/>
        <w:t>1.</w:t>
      </w:r>
      <w:r w:rsidRPr="0060079E">
        <w:rPr>
          <w:rFonts w:ascii="Times New Roman" w:eastAsia="Times New Roman" w:hAnsi="Times New Roman"/>
          <w:sz w:val="24"/>
          <w:szCs w:val="24"/>
        </w:rPr>
        <w:tab/>
        <w:t>Direct</w:t>
      </w:r>
      <w:r w:rsidRPr="0060079E">
        <w:rPr>
          <w:rFonts w:ascii="Times New Roman" w:eastAsia="Times New Roman" w:hAnsi="Times New Roman"/>
          <w:sz w:val="24"/>
          <w:szCs w:val="24"/>
        </w:rPr>
        <w:tab/>
      </w:r>
    </w:p>
    <w:p w14:paraId="310EEE5D"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SWPA Statement No. 1 – Direct Testimony of John D. Hollenbach and Exhibits JDH-1 and JDH-2;</w:t>
      </w:r>
    </w:p>
    <w:p w14:paraId="24DB22DB"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 xml:space="preserve">SWPA Statement No. 2 – Direct Testimony of Constance E. Heppenstall and Exhibits CEH-1 and CEH-2; </w:t>
      </w:r>
    </w:p>
    <w:p w14:paraId="05D4E076"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SWPA Statement No. 3 – Direct Testimony of James C. Cagle and SWPA Exhibit JCC-1;</w:t>
      </w:r>
    </w:p>
    <w:p w14:paraId="52B3CB7C"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d.</w:t>
      </w:r>
      <w:r w:rsidRPr="0060079E">
        <w:rPr>
          <w:rFonts w:ascii="Times New Roman" w:eastAsia="Times New Roman" w:hAnsi="Times New Roman"/>
          <w:sz w:val="24"/>
          <w:szCs w:val="24"/>
        </w:rPr>
        <w:tab/>
        <w:t>SWPA Statement No. 4 – Direct Testimony of Harold Walker, III and Exhibit HW-1 (including Schedules 1-27);</w:t>
      </w:r>
    </w:p>
    <w:p w14:paraId="56922BDD"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e.</w:t>
      </w:r>
      <w:r w:rsidRPr="0060079E">
        <w:rPr>
          <w:rFonts w:ascii="Times New Roman" w:eastAsia="Times New Roman" w:hAnsi="Times New Roman"/>
          <w:sz w:val="24"/>
          <w:szCs w:val="24"/>
        </w:rPr>
        <w:tab/>
        <w:t>SWPA Statement No. 5 – Direct Testimony of Dylan W. D’Ascendis and SWPA Exhibit No. 5 (including Schedules DWD-1 through DWD-8);</w:t>
      </w:r>
    </w:p>
    <w:p w14:paraId="40A992A1"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f.</w:t>
      </w:r>
      <w:r w:rsidRPr="0060079E">
        <w:rPr>
          <w:rFonts w:ascii="Times New Roman" w:eastAsia="Times New Roman" w:hAnsi="Times New Roman"/>
          <w:sz w:val="24"/>
          <w:szCs w:val="24"/>
        </w:rPr>
        <w:tab/>
        <w:t>SWPA Statement No. 6 – Direct Testimony of Paul R. Herbert and SWPA Exhibit No. PRH-1 and SWPA Exhibit No. PRH-2; and,</w:t>
      </w:r>
    </w:p>
    <w:p w14:paraId="446B000E" w14:textId="77777777" w:rsidR="0060079E" w:rsidRPr="0060079E" w:rsidRDefault="0060079E" w:rsidP="005A1F30">
      <w:pPr>
        <w:autoSpaceDE w:val="0"/>
        <w:autoSpaceDN w:val="0"/>
        <w:spacing w:after="120"/>
        <w:ind w:left="1350" w:hanging="135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r>
      <w:r w:rsidRPr="0060079E">
        <w:rPr>
          <w:rFonts w:ascii="Times New Roman" w:eastAsia="Times New Roman" w:hAnsi="Times New Roman"/>
          <w:sz w:val="24"/>
          <w:szCs w:val="24"/>
        </w:rPr>
        <w:tab/>
        <w:t>g.</w:t>
      </w:r>
      <w:r w:rsidRPr="0060079E">
        <w:rPr>
          <w:rFonts w:ascii="Times New Roman" w:eastAsia="Times New Roman" w:hAnsi="Times New Roman"/>
          <w:sz w:val="24"/>
          <w:szCs w:val="24"/>
        </w:rPr>
        <w:tab/>
        <w:t>SWPA Statement No. 7 – Direct Testimony of John J. Spanos and Exhibits JJS-1 through JJS-3.</w:t>
      </w:r>
    </w:p>
    <w:p w14:paraId="57EE038F" w14:textId="77777777" w:rsidR="0060079E" w:rsidRPr="0060079E" w:rsidRDefault="0060079E" w:rsidP="005A1F30">
      <w:pPr>
        <w:autoSpaceDE w:val="0"/>
        <w:autoSpaceDN w:val="0"/>
        <w:spacing w:after="120"/>
        <w:jc w:val="both"/>
        <w:rPr>
          <w:rFonts w:ascii="Times New Roman" w:eastAsia="Times New Roman" w:hAnsi="Times New Roman"/>
          <w:sz w:val="24"/>
          <w:szCs w:val="24"/>
        </w:rPr>
      </w:pPr>
    </w:p>
    <w:p w14:paraId="610B630F" w14:textId="77777777" w:rsidR="0060079E" w:rsidRPr="0060079E" w:rsidRDefault="0060079E" w:rsidP="005A1F30">
      <w:pPr>
        <w:autoSpaceDE w:val="0"/>
        <w:autoSpaceDN w:val="0"/>
        <w:spacing w:after="1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2.</w:t>
      </w:r>
      <w:r w:rsidRPr="0060079E">
        <w:rPr>
          <w:rFonts w:ascii="Times New Roman" w:eastAsia="Times New Roman" w:hAnsi="Times New Roman"/>
          <w:sz w:val="24"/>
          <w:szCs w:val="24"/>
        </w:rPr>
        <w:tab/>
        <w:t>Rebuttal</w:t>
      </w:r>
    </w:p>
    <w:p w14:paraId="0CE415B0"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SWPA Statement No. 1R – Rebuttal Testimony of John D. Hollenbach and Exhibit JDH-1-R;</w:t>
      </w:r>
    </w:p>
    <w:p w14:paraId="2520AF3F"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SWPA Statement No. 2R – Rebuttal Testimony of Constance E. Heppenstall and Exhibits CEH-1-R through CEH-3-R;</w:t>
      </w:r>
    </w:p>
    <w:p w14:paraId="71EFC11A"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SWPA Statement No. 3R – Rebuttal Testimony of James C. Cagle and Exhibits JCC-1 Rebuttal and JCC-2 Rebuttal;</w:t>
      </w:r>
    </w:p>
    <w:p w14:paraId="15CFEBA6"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d.</w:t>
      </w:r>
      <w:r w:rsidRPr="0060079E">
        <w:rPr>
          <w:rFonts w:ascii="Times New Roman" w:eastAsia="Times New Roman" w:hAnsi="Times New Roman"/>
          <w:sz w:val="24"/>
          <w:szCs w:val="24"/>
        </w:rPr>
        <w:tab/>
        <w:t>SWPA Statement No. 4R – Rebuttal Testimony of Harold Walker III and Updated Schedule 1;</w:t>
      </w:r>
    </w:p>
    <w:p w14:paraId="648FF3AD"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e.</w:t>
      </w:r>
      <w:r w:rsidRPr="0060079E">
        <w:rPr>
          <w:rFonts w:ascii="Times New Roman" w:eastAsia="Times New Roman" w:hAnsi="Times New Roman"/>
          <w:sz w:val="24"/>
          <w:szCs w:val="24"/>
        </w:rPr>
        <w:tab/>
        <w:t>SWPA Statement No. 5R – Rebuttal Testimony of Dylan W. D’Ascendis and Exhibit 5;</w:t>
      </w:r>
    </w:p>
    <w:p w14:paraId="018432C8"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f.</w:t>
      </w:r>
      <w:r w:rsidRPr="0060079E">
        <w:rPr>
          <w:rFonts w:ascii="Times New Roman" w:eastAsia="Times New Roman" w:hAnsi="Times New Roman"/>
          <w:sz w:val="24"/>
          <w:szCs w:val="24"/>
        </w:rPr>
        <w:tab/>
        <w:t>SWPA Statement No. 6-R – Rebuttal Testimony of Paul R. Herbert and Exhibits 6-R-1 through 6-R-3; and,</w:t>
      </w:r>
    </w:p>
    <w:p w14:paraId="479CCA98" w14:textId="77777777" w:rsidR="0060079E" w:rsidRPr="0060079E" w:rsidRDefault="0060079E" w:rsidP="005A1F30">
      <w:pPr>
        <w:autoSpaceDE w:val="0"/>
        <w:autoSpaceDN w:val="0"/>
        <w:spacing w:after="120"/>
        <w:ind w:left="1440" w:hanging="720"/>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g.</w:t>
      </w:r>
      <w:r w:rsidRPr="0060079E">
        <w:rPr>
          <w:rFonts w:ascii="Times New Roman" w:eastAsia="Times New Roman" w:hAnsi="Times New Roman"/>
          <w:sz w:val="24"/>
          <w:szCs w:val="24"/>
        </w:rPr>
        <w:tab/>
        <w:t>SWPA Statement No. 7R – Rebuttal Testimony of John J. Spanos, and Rebuttal Exhibits JJS-1 through JJS-3.</w:t>
      </w:r>
    </w:p>
    <w:p w14:paraId="6514FBF0" w14:textId="77777777" w:rsidR="0060079E" w:rsidRPr="0060079E" w:rsidRDefault="0060079E" w:rsidP="005A1F30">
      <w:pPr>
        <w:autoSpaceDE w:val="0"/>
        <w:autoSpaceDN w:val="0"/>
        <w:spacing w:after="120"/>
        <w:ind w:firstLine="720"/>
        <w:jc w:val="both"/>
        <w:rPr>
          <w:rFonts w:ascii="Times New Roman" w:eastAsia="Times New Roman" w:hAnsi="Times New Roman"/>
          <w:sz w:val="24"/>
          <w:szCs w:val="24"/>
        </w:rPr>
      </w:pPr>
    </w:p>
    <w:p w14:paraId="71121FDE" w14:textId="41178A20" w:rsidR="0060079E" w:rsidRPr="0060079E" w:rsidRDefault="0060079E" w:rsidP="005A1F30">
      <w:pPr>
        <w:autoSpaceDE w:val="0"/>
        <w:autoSpaceDN w:val="0"/>
        <w:spacing w:after="120"/>
        <w:jc w:val="both"/>
        <w:rPr>
          <w:rFonts w:ascii="Times New Roman" w:eastAsia="Times New Roman" w:hAnsi="Times New Roman"/>
          <w:b/>
          <w:sz w:val="24"/>
          <w:szCs w:val="24"/>
        </w:rPr>
      </w:pPr>
      <w:r w:rsidRPr="0060079E">
        <w:rPr>
          <w:rFonts w:ascii="Times New Roman" w:eastAsia="Times New Roman" w:hAnsi="Times New Roman"/>
          <w:b/>
          <w:sz w:val="24"/>
          <w:szCs w:val="24"/>
        </w:rPr>
        <w:t>B.</w:t>
      </w:r>
      <w:r w:rsidRPr="0060079E">
        <w:rPr>
          <w:rFonts w:ascii="Times New Roman" w:eastAsia="Times New Roman" w:hAnsi="Times New Roman"/>
          <w:b/>
          <w:sz w:val="24"/>
          <w:szCs w:val="24"/>
        </w:rPr>
        <w:tab/>
        <w:t>Bureau of Investigation and Enforcement Statements and Exhibits</w:t>
      </w:r>
    </w:p>
    <w:p w14:paraId="5F5D8740" w14:textId="77777777" w:rsidR="0060079E" w:rsidRPr="0060079E" w:rsidRDefault="0060079E" w:rsidP="005A1F30">
      <w:pPr>
        <w:autoSpaceDE w:val="0"/>
        <w:autoSpaceDN w:val="0"/>
        <w:spacing w:after="120"/>
        <w:jc w:val="both"/>
        <w:rPr>
          <w:rFonts w:ascii="Times New Roman" w:eastAsia="Times New Roman" w:hAnsi="Times New Roman"/>
          <w:b/>
          <w:sz w:val="24"/>
          <w:szCs w:val="24"/>
        </w:rPr>
      </w:pPr>
    </w:p>
    <w:p w14:paraId="221A88FB" w14:textId="2D52A78F"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1.</w:t>
      </w:r>
      <w:r w:rsidRPr="0060079E">
        <w:rPr>
          <w:rFonts w:ascii="Times New Roman" w:eastAsia="Times New Roman" w:hAnsi="Times New Roman"/>
          <w:sz w:val="24"/>
          <w:szCs w:val="24"/>
        </w:rPr>
        <w:tab/>
        <w:t>Direct</w:t>
      </w:r>
    </w:p>
    <w:p w14:paraId="6F05B9C8" w14:textId="3DF7C7FB"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I&amp;E Statement No. 1 – Direct Testimony of Brenton Grab and I&amp;E Exhibit No. 1 (including Schedules 1 through 16);</w:t>
      </w:r>
    </w:p>
    <w:p w14:paraId="49B51B20" w14:textId="0A5D7C84"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I&amp;E Statement No. 2 – Direct Testimony of D. C. Patel and I&amp;E Exhibit No. 2 (including Schedules 1 through 7).</w:t>
      </w:r>
    </w:p>
    <w:p w14:paraId="43DE8300" w14:textId="75A2672C"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I&amp;E Statement No. 3 – Direct Testimony of Ethan H. Cline and I&amp;E Exhibit No. 3 (including Schedules 1 through 19).</w:t>
      </w:r>
    </w:p>
    <w:p w14:paraId="4A5471D0"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p>
    <w:p w14:paraId="249F1819" w14:textId="725C1C1F"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2.</w:t>
      </w:r>
      <w:r w:rsidRPr="0060079E">
        <w:rPr>
          <w:rFonts w:ascii="Times New Roman" w:eastAsia="Times New Roman" w:hAnsi="Times New Roman"/>
          <w:sz w:val="24"/>
          <w:szCs w:val="24"/>
        </w:rPr>
        <w:tab/>
        <w:t>Surrebuttal</w:t>
      </w:r>
    </w:p>
    <w:p w14:paraId="066C4144" w14:textId="39A84628"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I&amp;E Statement No. 1-SR – Surrebuttal Testimony of Brenton Grab and I&amp;E Exhibit No. 1-SR (including Schedule 1);</w:t>
      </w:r>
    </w:p>
    <w:p w14:paraId="02107A70" w14:textId="76F32623"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I&amp;E Statement No. 2-SR – Surrebuttal Testimony of D. C. Patel; and,</w:t>
      </w:r>
    </w:p>
    <w:p w14:paraId="4D35DF06" w14:textId="6979B3D7" w:rsidR="0060079E" w:rsidRPr="0060079E" w:rsidRDefault="0060079E" w:rsidP="005A1F30">
      <w:pPr>
        <w:tabs>
          <w:tab w:val="left" w:pos="2160"/>
        </w:tabs>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I&amp;E Statement No. 3-SR – Surrebuttal Testimony of Ethan H. Cline and I&amp;E Exhibit No. 3-SR (including Schedules 1 through 6).</w:t>
      </w:r>
    </w:p>
    <w:p w14:paraId="26B9B5D6"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p>
    <w:p w14:paraId="3D819641" w14:textId="3F1AD3FA" w:rsidR="0060079E" w:rsidRPr="0060079E" w:rsidRDefault="0060079E" w:rsidP="005A1F30">
      <w:pPr>
        <w:tabs>
          <w:tab w:val="left" w:pos="720"/>
        </w:tabs>
        <w:autoSpaceDE w:val="0"/>
        <w:autoSpaceDN w:val="0"/>
        <w:spacing w:after="120"/>
        <w:ind w:hanging="90"/>
        <w:jc w:val="both"/>
        <w:rPr>
          <w:rFonts w:ascii="Times New Roman" w:eastAsia="Times New Roman" w:hAnsi="Times New Roman"/>
          <w:b/>
          <w:sz w:val="24"/>
          <w:szCs w:val="24"/>
        </w:rPr>
      </w:pPr>
      <w:r w:rsidRPr="0060079E">
        <w:rPr>
          <w:rFonts w:ascii="Times New Roman" w:eastAsia="Times New Roman" w:hAnsi="Times New Roman"/>
          <w:b/>
          <w:sz w:val="24"/>
          <w:szCs w:val="24"/>
        </w:rPr>
        <w:t>C.</w:t>
      </w:r>
      <w:r w:rsidRPr="0060079E">
        <w:rPr>
          <w:rFonts w:ascii="Times New Roman" w:eastAsia="Times New Roman" w:hAnsi="Times New Roman"/>
          <w:b/>
          <w:sz w:val="24"/>
          <w:szCs w:val="24"/>
        </w:rPr>
        <w:tab/>
        <w:t>Office of Consumer Advocate Statements and Exhibits</w:t>
      </w:r>
    </w:p>
    <w:p w14:paraId="2F6E0857"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b/>
          <w:sz w:val="24"/>
          <w:szCs w:val="24"/>
        </w:rPr>
      </w:pPr>
    </w:p>
    <w:p w14:paraId="2B42CB72" w14:textId="0B59BC8F"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1.</w:t>
      </w:r>
      <w:r w:rsidRPr="0060079E">
        <w:rPr>
          <w:rFonts w:ascii="Times New Roman" w:eastAsia="Times New Roman" w:hAnsi="Times New Roman"/>
          <w:sz w:val="24"/>
          <w:szCs w:val="24"/>
        </w:rPr>
        <w:tab/>
        <w:t>Direct</w:t>
      </w:r>
    </w:p>
    <w:p w14:paraId="3C83A616" w14:textId="2D1610B5"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OCA Statement No. 1 (Corrected) – Direct Testimony of Lafayette K. Morgan, Jr. and Schedules LKM-1 through LKM-25;</w:t>
      </w:r>
    </w:p>
    <w:p w14:paraId="21877362" w14:textId="428BC34D"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OCA Statement No. 2 – Direct Testimony of Aaron L. Rothschild and Schedules ALR-1 through ALR-9;</w:t>
      </w:r>
    </w:p>
    <w:p w14:paraId="646244D3" w14:textId="06D028C2"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OCA Statement 3 – Direct Testimony of Jerome D. Mierzwa and Schedules JDM-1 and JDM-2; and,</w:t>
      </w:r>
    </w:p>
    <w:p w14:paraId="28F744C5" w14:textId="7AB84E66"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d.</w:t>
      </w:r>
      <w:r w:rsidRPr="0060079E">
        <w:rPr>
          <w:rFonts w:ascii="Times New Roman" w:eastAsia="Times New Roman" w:hAnsi="Times New Roman"/>
          <w:sz w:val="24"/>
          <w:szCs w:val="24"/>
        </w:rPr>
        <w:tab/>
        <w:t>OCA Statement 4 – Direct Testimony of Terry L. Fought and Exhibits TLF-1 through TLF-9.</w:t>
      </w:r>
    </w:p>
    <w:p w14:paraId="3116058C" w14:textId="77777777" w:rsidR="0060079E" w:rsidRPr="0060079E" w:rsidRDefault="0060079E" w:rsidP="005A1F30">
      <w:pPr>
        <w:autoSpaceDE w:val="0"/>
        <w:autoSpaceDN w:val="0"/>
        <w:spacing w:after="120"/>
        <w:ind w:left="1440"/>
        <w:jc w:val="both"/>
        <w:rPr>
          <w:rFonts w:ascii="Times New Roman" w:eastAsia="Times New Roman" w:hAnsi="Times New Roman"/>
          <w:sz w:val="24"/>
          <w:szCs w:val="24"/>
        </w:rPr>
      </w:pPr>
    </w:p>
    <w:p w14:paraId="34DF8661" w14:textId="0CA37B4A"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2.</w:t>
      </w:r>
      <w:r w:rsidRPr="0060079E">
        <w:rPr>
          <w:rFonts w:ascii="Times New Roman" w:eastAsia="Times New Roman" w:hAnsi="Times New Roman"/>
          <w:sz w:val="24"/>
          <w:szCs w:val="24"/>
        </w:rPr>
        <w:tab/>
        <w:t>Surrebuttal</w:t>
      </w:r>
    </w:p>
    <w:p w14:paraId="7E330BC1" w14:textId="0BA49A8A"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a.</w:t>
      </w:r>
      <w:r w:rsidRPr="0060079E">
        <w:rPr>
          <w:rFonts w:ascii="Times New Roman" w:eastAsia="Times New Roman" w:hAnsi="Times New Roman"/>
          <w:sz w:val="24"/>
          <w:szCs w:val="24"/>
        </w:rPr>
        <w:tab/>
        <w:t>OCA Statement 1-SR – Surrebuttal Testimony of Lafayette K. Morgan, Jr. and Surrebuttal Schedules LKM-1 through LKM-24;</w:t>
      </w:r>
    </w:p>
    <w:p w14:paraId="0756E720" w14:textId="44C960CC"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b.</w:t>
      </w:r>
      <w:r w:rsidRPr="0060079E">
        <w:rPr>
          <w:rFonts w:ascii="Times New Roman" w:eastAsia="Times New Roman" w:hAnsi="Times New Roman"/>
          <w:sz w:val="24"/>
          <w:szCs w:val="24"/>
        </w:rPr>
        <w:tab/>
        <w:t>OCA Statement No. 2-SR – Surrebuttal Testimony of Aaron L. Rothschild; and,</w:t>
      </w:r>
    </w:p>
    <w:p w14:paraId="2BED5B6B" w14:textId="7C934294" w:rsidR="0060079E" w:rsidRPr="0060079E" w:rsidRDefault="0060079E" w:rsidP="005A1F30">
      <w:pPr>
        <w:autoSpaceDE w:val="0"/>
        <w:autoSpaceDN w:val="0"/>
        <w:spacing w:after="120"/>
        <w:ind w:left="1440"/>
        <w:jc w:val="both"/>
        <w:rPr>
          <w:rFonts w:ascii="Times New Roman" w:eastAsia="Times New Roman" w:hAnsi="Times New Roman"/>
          <w:sz w:val="24"/>
          <w:szCs w:val="24"/>
        </w:rPr>
      </w:pPr>
      <w:r w:rsidRPr="0060079E">
        <w:rPr>
          <w:rFonts w:ascii="Times New Roman" w:eastAsia="Times New Roman" w:hAnsi="Times New Roman"/>
          <w:sz w:val="24"/>
          <w:szCs w:val="24"/>
        </w:rPr>
        <w:tab/>
        <w:t>c.</w:t>
      </w:r>
      <w:r w:rsidRPr="0060079E">
        <w:rPr>
          <w:rFonts w:ascii="Times New Roman" w:eastAsia="Times New Roman" w:hAnsi="Times New Roman"/>
          <w:sz w:val="24"/>
          <w:szCs w:val="24"/>
        </w:rPr>
        <w:tab/>
        <w:t>OCA Statement No. 3-SR – Surrebuttal Testimony of Jerome D. Mierzwa.</w:t>
      </w:r>
    </w:p>
    <w:p w14:paraId="4BD8D277"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p>
    <w:p w14:paraId="580EFAB7" w14:textId="0342FC4F" w:rsidR="0060079E" w:rsidRPr="0060079E" w:rsidRDefault="0060079E" w:rsidP="005A1F30">
      <w:pPr>
        <w:keepNext/>
        <w:tabs>
          <w:tab w:val="left" w:pos="720"/>
          <w:tab w:val="left" w:pos="2160"/>
        </w:tabs>
        <w:autoSpaceDE w:val="0"/>
        <w:autoSpaceDN w:val="0"/>
        <w:spacing w:after="120"/>
        <w:jc w:val="both"/>
        <w:rPr>
          <w:rFonts w:ascii="Times New Roman" w:eastAsia="Times New Roman" w:hAnsi="Times New Roman"/>
          <w:b/>
          <w:sz w:val="24"/>
          <w:szCs w:val="24"/>
        </w:rPr>
      </w:pPr>
      <w:r w:rsidRPr="0060079E">
        <w:rPr>
          <w:rFonts w:ascii="Times New Roman" w:eastAsia="Times New Roman" w:hAnsi="Times New Roman"/>
          <w:b/>
          <w:sz w:val="24"/>
          <w:szCs w:val="24"/>
        </w:rPr>
        <w:t>D.</w:t>
      </w:r>
      <w:r w:rsidRPr="0060079E">
        <w:rPr>
          <w:rFonts w:ascii="Times New Roman" w:eastAsia="Times New Roman" w:hAnsi="Times New Roman"/>
          <w:b/>
          <w:sz w:val="24"/>
          <w:szCs w:val="24"/>
        </w:rPr>
        <w:tab/>
        <w:t>Office of Small Business Advocate Statements and Exhibits</w:t>
      </w:r>
    </w:p>
    <w:p w14:paraId="51B5365D" w14:textId="77777777" w:rsidR="0060079E" w:rsidRPr="0060079E" w:rsidRDefault="0060079E" w:rsidP="005A1F30">
      <w:pPr>
        <w:keepNext/>
        <w:tabs>
          <w:tab w:val="left" w:pos="2160"/>
        </w:tabs>
        <w:autoSpaceDE w:val="0"/>
        <w:autoSpaceDN w:val="0"/>
        <w:spacing w:after="120"/>
        <w:ind w:firstLine="1440"/>
        <w:jc w:val="both"/>
        <w:rPr>
          <w:rFonts w:ascii="Times New Roman" w:eastAsia="Times New Roman" w:hAnsi="Times New Roman"/>
          <w:b/>
          <w:sz w:val="24"/>
          <w:szCs w:val="24"/>
        </w:rPr>
      </w:pPr>
    </w:p>
    <w:p w14:paraId="2FF37F9A" w14:textId="4F2B984D"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r w:rsidRPr="0060079E">
        <w:rPr>
          <w:rFonts w:ascii="Times New Roman" w:eastAsia="Times New Roman" w:hAnsi="Times New Roman"/>
          <w:sz w:val="24"/>
          <w:szCs w:val="24"/>
        </w:rPr>
        <w:t>OSBA Statement No. 1 – Direct Testimony of Brian Kalcic and Exhibits BK-1 and Interrogatory Response OCA-I-3.</w:t>
      </w:r>
    </w:p>
    <w:p w14:paraId="2B730D6A"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p>
    <w:p w14:paraId="77D66682" w14:textId="7BAC1FD8" w:rsidR="0060079E" w:rsidRPr="0060079E" w:rsidRDefault="0060079E" w:rsidP="005A1F30">
      <w:pPr>
        <w:tabs>
          <w:tab w:val="left" w:pos="720"/>
          <w:tab w:val="left" w:pos="2160"/>
        </w:tabs>
        <w:autoSpaceDE w:val="0"/>
        <w:autoSpaceDN w:val="0"/>
        <w:spacing w:after="120"/>
        <w:jc w:val="both"/>
        <w:rPr>
          <w:rFonts w:ascii="Times New Roman" w:eastAsia="Times New Roman" w:hAnsi="Times New Roman"/>
          <w:b/>
          <w:sz w:val="24"/>
          <w:szCs w:val="24"/>
        </w:rPr>
      </w:pPr>
      <w:r w:rsidRPr="0060079E">
        <w:rPr>
          <w:rFonts w:ascii="Times New Roman" w:eastAsia="Times New Roman" w:hAnsi="Times New Roman"/>
          <w:b/>
          <w:sz w:val="24"/>
          <w:szCs w:val="24"/>
        </w:rPr>
        <w:t>E.</w:t>
      </w:r>
      <w:r w:rsidRPr="0060079E">
        <w:rPr>
          <w:rFonts w:ascii="Times New Roman" w:eastAsia="Times New Roman" w:hAnsi="Times New Roman"/>
          <w:b/>
          <w:sz w:val="24"/>
          <w:szCs w:val="24"/>
        </w:rPr>
        <w:tab/>
        <w:t>Pennsylvania Builders Association</w:t>
      </w:r>
    </w:p>
    <w:p w14:paraId="7727829B" w14:textId="77777777"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p>
    <w:p w14:paraId="41CA7E67" w14:textId="5320A13E" w:rsidR="0060079E" w:rsidRPr="0060079E" w:rsidRDefault="0060079E" w:rsidP="005A1F30">
      <w:pPr>
        <w:tabs>
          <w:tab w:val="left" w:pos="2160"/>
        </w:tabs>
        <w:autoSpaceDE w:val="0"/>
        <w:autoSpaceDN w:val="0"/>
        <w:spacing w:after="120"/>
        <w:ind w:firstLine="1440"/>
        <w:jc w:val="both"/>
        <w:rPr>
          <w:rFonts w:ascii="Times New Roman" w:eastAsia="Times New Roman" w:hAnsi="Times New Roman"/>
          <w:sz w:val="24"/>
          <w:szCs w:val="24"/>
        </w:rPr>
      </w:pPr>
      <w:r w:rsidRPr="0060079E">
        <w:rPr>
          <w:rFonts w:ascii="Times New Roman" w:eastAsia="Times New Roman" w:hAnsi="Times New Roman"/>
          <w:sz w:val="24"/>
          <w:szCs w:val="24"/>
        </w:rPr>
        <w:t>PBA St. No. 1 – Direct Testimony of Daniel E. Durden.</w:t>
      </w:r>
    </w:p>
    <w:p w14:paraId="10600645" w14:textId="77777777" w:rsidR="0060079E" w:rsidRPr="0060079E" w:rsidRDefault="0060079E" w:rsidP="005A1F30">
      <w:pPr>
        <w:autoSpaceDE w:val="0"/>
        <w:autoSpaceDN w:val="0"/>
        <w:jc w:val="both"/>
        <w:rPr>
          <w:rFonts w:ascii="Times New Roman" w:eastAsia="Times New Roman" w:hAnsi="Times New Roman"/>
          <w:sz w:val="24"/>
          <w:szCs w:val="24"/>
        </w:rPr>
      </w:pPr>
    </w:p>
    <w:p w14:paraId="4EDD382B"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t xml:space="preserve"> </w:t>
      </w: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6.</w:t>
      </w:r>
      <w:r w:rsidRPr="0060079E">
        <w:rPr>
          <w:rFonts w:ascii="Times New Roman" w:eastAsia="Times New Roman" w:hAnsi="Times New Roman"/>
          <w:spacing w:val="-3"/>
          <w:sz w:val="24"/>
          <w:szCs w:val="24"/>
        </w:rPr>
        <w:tab/>
        <w:t>That two copies of each filing statement and exhibit listed in the stipulation for admission of evidence be filed with the Secretary of the Pennsylvania Public Utility Commission, unless previously filed.</w:t>
      </w:r>
    </w:p>
    <w:p w14:paraId="17C09ED1"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p>
    <w:p w14:paraId="53997F8E" w14:textId="77777777" w:rsidR="0060079E" w:rsidRPr="0060079E" w:rsidRDefault="0060079E" w:rsidP="005A1F30">
      <w:pPr>
        <w:suppressAutoHyphens/>
        <w:autoSpaceDE w:val="0"/>
        <w:autoSpaceDN w:val="0"/>
        <w:spacing w:line="360" w:lineRule="auto"/>
        <w:ind w:firstLine="1440"/>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t>7.</w:t>
      </w:r>
      <w:r w:rsidRPr="0060079E">
        <w:rPr>
          <w:rFonts w:ascii="Times New Roman" w:eastAsia="Times New Roman" w:hAnsi="Times New Roman"/>
          <w:spacing w:val="-3"/>
          <w:sz w:val="24"/>
          <w:szCs w:val="24"/>
        </w:rPr>
        <w:tab/>
        <w:t>That all filings designated as “confidential” be placed in the non-public folders by the Secretary of the Pennsylvania Public Utility Commission.</w:t>
      </w:r>
    </w:p>
    <w:p w14:paraId="42BF5D4D" w14:textId="77777777" w:rsidR="0060079E" w:rsidRPr="0060079E" w:rsidRDefault="0060079E" w:rsidP="005A1F30">
      <w:pPr>
        <w:suppressAutoHyphens/>
        <w:autoSpaceDE w:val="0"/>
        <w:autoSpaceDN w:val="0"/>
        <w:spacing w:line="360" w:lineRule="auto"/>
        <w:ind w:firstLine="1440"/>
        <w:jc w:val="both"/>
        <w:rPr>
          <w:rFonts w:ascii="Times New Roman" w:eastAsia="Times New Roman" w:hAnsi="Times New Roman"/>
          <w:spacing w:val="-3"/>
          <w:sz w:val="24"/>
          <w:szCs w:val="24"/>
        </w:rPr>
      </w:pPr>
    </w:p>
    <w:p w14:paraId="426B3055" w14:textId="77777777" w:rsidR="0060079E" w:rsidRPr="0060079E" w:rsidRDefault="0060079E" w:rsidP="005A1F30">
      <w:pPr>
        <w:suppressAutoHyphens/>
        <w:autoSpaceDE w:val="0"/>
        <w:autoSpaceDN w:val="0"/>
        <w:spacing w:line="360" w:lineRule="auto"/>
        <w:ind w:firstLine="1440"/>
        <w:jc w:val="both"/>
        <w:rPr>
          <w:rFonts w:ascii="Times New Roman" w:eastAsia="Times New Roman" w:hAnsi="Times New Roman"/>
          <w:spacing w:val="-3"/>
          <w:sz w:val="24"/>
          <w:szCs w:val="24"/>
        </w:rPr>
      </w:pPr>
      <w:r w:rsidRPr="0060079E">
        <w:rPr>
          <w:rFonts w:ascii="Times New Roman" w:eastAsia="Times New Roman" w:hAnsi="Times New Roman"/>
          <w:spacing w:val="-3"/>
          <w:sz w:val="24"/>
          <w:szCs w:val="24"/>
        </w:rPr>
        <w:t>8.</w:t>
      </w:r>
      <w:r w:rsidRPr="0060079E">
        <w:rPr>
          <w:rFonts w:ascii="Times New Roman" w:eastAsia="Times New Roman" w:hAnsi="Times New Roman"/>
          <w:spacing w:val="-3"/>
          <w:sz w:val="24"/>
          <w:szCs w:val="24"/>
        </w:rPr>
        <w:tab/>
        <w:t>That the investigation at Docket R-2018-3000834 be terminated and marked closed.</w:t>
      </w:r>
    </w:p>
    <w:p w14:paraId="252A1328" w14:textId="77777777" w:rsidR="0060079E" w:rsidRPr="0060079E" w:rsidRDefault="0060079E" w:rsidP="005A1F30">
      <w:pPr>
        <w:suppressAutoHyphens/>
        <w:autoSpaceDE w:val="0"/>
        <w:autoSpaceDN w:val="0"/>
        <w:spacing w:line="360" w:lineRule="auto"/>
        <w:jc w:val="both"/>
        <w:rPr>
          <w:rFonts w:ascii="Times New Roman" w:eastAsia="Times New Roman" w:hAnsi="Times New Roman"/>
          <w:spacing w:val="-3"/>
          <w:sz w:val="24"/>
          <w:szCs w:val="24"/>
        </w:rPr>
      </w:pPr>
    </w:p>
    <w:p w14:paraId="5A2DBD0C" w14:textId="77777777" w:rsidR="0060079E" w:rsidRPr="0060079E" w:rsidRDefault="0060079E" w:rsidP="005A1F30">
      <w:pPr>
        <w:autoSpaceDE w:val="0"/>
        <w:autoSpaceDN w:val="0"/>
        <w:adjustRightInd w:val="0"/>
        <w:spacing w:line="360" w:lineRule="auto"/>
        <w:jc w:val="both"/>
        <w:rPr>
          <w:rFonts w:ascii="Times New Roman" w:eastAsia="Times New Roman" w:hAnsi="Times New Roman"/>
          <w:sz w:val="24"/>
          <w:szCs w:val="24"/>
        </w:rPr>
      </w:pP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9</w:t>
      </w:r>
      <w:r w:rsidRPr="0060079E">
        <w:rPr>
          <w:rFonts w:ascii="Times New Roman" w:eastAsia="Times New Roman" w:hAnsi="Times New Roman"/>
          <w:sz w:val="24"/>
          <w:szCs w:val="24"/>
        </w:rPr>
        <w:t>.</w:t>
      </w:r>
      <w:r w:rsidRPr="0060079E">
        <w:rPr>
          <w:rFonts w:ascii="Times New Roman" w:eastAsia="Times New Roman" w:hAnsi="Times New Roman"/>
          <w:sz w:val="24"/>
          <w:szCs w:val="24"/>
        </w:rPr>
        <w:tab/>
        <w:t xml:space="preserve">That the complaint filed by the Office of Consumer Advocate in this proceeding at Docket Number </w:t>
      </w:r>
      <w:r w:rsidRPr="0060079E">
        <w:rPr>
          <w:rFonts w:ascii="Times New Roman" w:eastAsia="Times New Roman" w:hAnsi="Times New Roman"/>
          <w:spacing w:val="-3"/>
          <w:sz w:val="24"/>
          <w:szCs w:val="24"/>
        </w:rPr>
        <w:t>C-2018-3001786</w:t>
      </w:r>
      <w:r w:rsidRPr="0060079E">
        <w:rPr>
          <w:rFonts w:ascii="Times New Roman" w:eastAsia="Times New Roman" w:hAnsi="Times New Roman"/>
          <w:sz w:val="24"/>
          <w:szCs w:val="24"/>
        </w:rPr>
        <w:t xml:space="preserve"> be deemed satisfied and marked closed.</w:t>
      </w:r>
    </w:p>
    <w:p w14:paraId="27BA5532" w14:textId="77777777" w:rsidR="0060079E" w:rsidRPr="0060079E" w:rsidRDefault="0060079E" w:rsidP="005A1F30">
      <w:pPr>
        <w:autoSpaceDE w:val="0"/>
        <w:autoSpaceDN w:val="0"/>
        <w:adjustRightInd w:val="0"/>
        <w:spacing w:line="360" w:lineRule="auto"/>
        <w:jc w:val="both"/>
        <w:rPr>
          <w:rFonts w:ascii="Times New Roman" w:eastAsia="Times New Roman" w:hAnsi="Times New Roman"/>
          <w:sz w:val="24"/>
          <w:szCs w:val="24"/>
        </w:rPr>
      </w:pPr>
    </w:p>
    <w:p w14:paraId="32631EDB" w14:textId="77777777" w:rsidR="0060079E" w:rsidRPr="0060079E" w:rsidRDefault="0060079E" w:rsidP="005A1F30">
      <w:pPr>
        <w:autoSpaceDE w:val="0"/>
        <w:autoSpaceDN w:val="0"/>
        <w:adjustRightInd w:val="0"/>
        <w:spacing w:line="360" w:lineRule="auto"/>
        <w:jc w:val="both"/>
        <w:rPr>
          <w:rFonts w:ascii="Times New Roman" w:eastAsia="Times New Roman" w:hAnsi="Times New Roman"/>
          <w:sz w:val="24"/>
          <w:szCs w:val="24"/>
        </w:rPr>
      </w:pPr>
      <w:r w:rsidRPr="0060079E">
        <w:rPr>
          <w:rFonts w:ascii="Times New Roman" w:eastAsia="Times New Roman" w:hAnsi="Times New Roman"/>
          <w:sz w:val="24"/>
          <w:szCs w:val="24"/>
        </w:rPr>
        <w:tab/>
      </w:r>
      <w:r w:rsidRPr="0060079E">
        <w:rPr>
          <w:rFonts w:ascii="Times New Roman" w:eastAsia="Times New Roman" w:hAnsi="Times New Roman"/>
          <w:sz w:val="24"/>
          <w:szCs w:val="24"/>
        </w:rPr>
        <w:tab/>
        <w:t>10.</w:t>
      </w:r>
      <w:r w:rsidRPr="0060079E">
        <w:rPr>
          <w:rFonts w:ascii="Times New Roman" w:eastAsia="Times New Roman" w:hAnsi="Times New Roman"/>
          <w:sz w:val="24"/>
          <w:szCs w:val="24"/>
        </w:rPr>
        <w:tab/>
        <w:t xml:space="preserve">That the complaint filed by the Office of Small Business Advocate in this proceeding at Docket Number </w:t>
      </w:r>
      <w:r w:rsidRPr="0060079E">
        <w:rPr>
          <w:rFonts w:ascii="Times New Roman" w:eastAsia="Times New Roman" w:hAnsi="Times New Roman"/>
          <w:spacing w:val="-3"/>
          <w:sz w:val="24"/>
          <w:szCs w:val="24"/>
        </w:rPr>
        <w:t>C-2018-3002132</w:t>
      </w:r>
      <w:r w:rsidRPr="0060079E">
        <w:rPr>
          <w:rFonts w:ascii="Times New Roman" w:eastAsia="Times New Roman" w:hAnsi="Times New Roman"/>
          <w:sz w:val="24"/>
          <w:szCs w:val="24"/>
        </w:rPr>
        <w:t xml:space="preserve"> be deemed satisfied and marked closed.</w:t>
      </w:r>
    </w:p>
    <w:p w14:paraId="1FA37A2C" w14:textId="77777777" w:rsidR="0060079E" w:rsidRPr="0060079E" w:rsidRDefault="0060079E" w:rsidP="005A1F30">
      <w:pPr>
        <w:spacing w:line="360" w:lineRule="auto"/>
        <w:jc w:val="both"/>
        <w:rPr>
          <w:rFonts w:ascii="Times New Roman" w:eastAsia="Times New Roman" w:hAnsi="Times New Roman"/>
          <w:sz w:val="24"/>
          <w:szCs w:val="24"/>
        </w:rPr>
      </w:pPr>
    </w:p>
    <w:p w14:paraId="5D92AFD1" w14:textId="77777777" w:rsidR="0060079E" w:rsidRPr="0060079E" w:rsidRDefault="0060079E" w:rsidP="005A1F30">
      <w:pPr>
        <w:spacing w:line="360" w:lineRule="auto"/>
        <w:jc w:val="both"/>
        <w:rPr>
          <w:rFonts w:ascii="Times New Roman" w:eastAsia="Times New Roman" w:hAnsi="Times New Roman"/>
          <w:sz w:val="24"/>
          <w:szCs w:val="24"/>
        </w:rPr>
      </w:pPr>
      <w:r w:rsidRPr="0060079E">
        <w:rPr>
          <w:rFonts w:ascii="Times New Roman" w:eastAsia="Times New Roman" w:hAnsi="Times New Roman"/>
          <w:spacing w:val="-3"/>
          <w:sz w:val="24"/>
          <w:szCs w:val="24"/>
        </w:rPr>
        <w:tab/>
      </w:r>
      <w:r w:rsidRPr="0060079E">
        <w:rPr>
          <w:rFonts w:ascii="Times New Roman" w:eastAsia="Times New Roman" w:hAnsi="Times New Roman"/>
          <w:spacing w:val="-3"/>
          <w:sz w:val="24"/>
          <w:szCs w:val="24"/>
        </w:rPr>
        <w:tab/>
        <w:t>11</w:t>
      </w:r>
      <w:r w:rsidRPr="0060079E">
        <w:rPr>
          <w:rFonts w:ascii="Times New Roman" w:eastAsia="Times New Roman" w:hAnsi="Times New Roman"/>
          <w:sz w:val="24"/>
          <w:szCs w:val="24"/>
        </w:rPr>
        <w:t>.</w:t>
      </w:r>
      <w:r w:rsidRPr="0060079E">
        <w:rPr>
          <w:rFonts w:ascii="Times New Roman" w:eastAsia="Times New Roman" w:hAnsi="Times New Roman"/>
          <w:sz w:val="24"/>
          <w:szCs w:val="24"/>
        </w:rPr>
        <w:tab/>
        <w:t>That the complaint filed by James and Reva Crownover in this proceeding at Docket Number C-2018-3003017 be dismissed and marked closed.</w:t>
      </w:r>
    </w:p>
    <w:p w14:paraId="4647A8AC" w14:textId="1EF46DFF" w:rsidR="00AA5094" w:rsidRDefault="00D93C1C" w:rsidP="00CB25E0">
      <w:pPr>
        <w:spacing w:line="360" w:lineRule="auto"/>
        <w:ind w:firstLine="1440"/>
        <w:jc w:val="both"/>
        <w:rPr>
          <w:rFonts w:ascii="Times New Roman" w:hAnsi="Times New Roman"/>
          <w:sz w:val="24"/>
          <w:szCs w:val="24"/>
        </w:rPr>
      </w:pPr>
      <w:bookmarkStart w:id="1" w:name="_GoBack"/>
      <w:r w:rsidRPr="009F01BA">
        <w:rPr>
          <w:b/>
          <w:noProof/>
          <w:sz w:val="20"/>
          <w:szCs w:val="20"/>
        </w:rPr>
        <w:drawing>
          <wp:anchor distT="0" distB="0" distL="114300" distR="114300" simplePos="0" relativeHeight="251659264" behindDoc="1" locked="0" layoutInCell="1" allowOverlap="1" wp14:anchorId="1F0E4942" wp14:editId="568FA1FE">
            <wp:simplePos x="0" y="0"/>
            <wp:positionH relativeFrom="column">
              <wp:posOffset>2987040</wp:posOffset>
            </wp:positionH>
            <wp:positionV relativeFrom="paragraph">
              <wp:posOffset>242951</wp:posOffset>
            </wp:positionV>
            <wp:extent cx="1950720" cy="838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p>
    <w:p w14:paraId="32EC2B50" w14:textId="1107C901" w:rsidR="00577603" w:rsidRPr="00A1530D" w:rsidRDefault="00AA5094" w:rsidP="0094719D">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3F2AD6AE" w:rsidR="00577603" w:rsidRPr="00A1530D" w:rsidRDefault="00577603" w:rsidP="00577603">
      <w:pPr>
        <w:ind w:left="5040"/>
        <w:rPr>
          <w:rFonts w:ascii="Times New Roman" w:hAnsi="Times New Roman"/>
          <w:sz w:val="24"/>
          <w:szCs w:val="24"/>
        </w:rPr>
      </w:pPr>
    </w:p>
    <w:p w14:paraId="0E541A09" w14:textId="0F2F26E9" w:rsidR="00577603" w:rsidRPr="00A1530D" w:rsidRDefault="00577603" w:rsidP="00577603">
      <w:pPr>
        <w:ind w:left="5040"/>
        <w:rPr>
          <w:rFonts w:ascii="Times New Roman" w:hAnsi="Times New Roman"/>
          <w:sz w:val="24"/>
          <w:szCs w:val="24"/>
        </w:rPr>
      </w:pPr>
    </w:p>
    <w:p w14:paraId="4B77783A" w14:textId="515C2421"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0621D2F9" w14:textId="43D774BE"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196C11B8"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C077F">
        <w:rPr>
          <w:rFonts w:ascii="Times New Roman" w:hAnsi="Times New Roman"/>
          <w:sz w:val="24"/>
          <w:szCs w:val="24"/>
        </w:rPr>
        <w:t>December 6</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59527855"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D93C1C">
        <w:rPr>
          <w:rFonts w:ascii="Times New Roman" w:hAnsi="Times New Roman"/>
          <w:sz w:val="24"/>
          <w:szCs w:val="24"/>
        </w:rPr>
        <w:t>December 6, 2018</w:t>
      </w:r>
    </w:p>
    <w:sectPr w:rsidR="00B4392F" w:rsidRPr="00A1530D"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681B2" w14:textId="77777777" w:rsidR="00D00013" w:rsidRDefault="00D00013" w:rsidP="00577603">
      <w:r>
        <w:separator/>
      </w:r>
    </w:p>
  </w:endnote>
  <w:endnote w:type="continuationSeparator" w:id="0">
    <w:p w14:paraId="1812C55F" w14:textId="77777777" w:rsidR="00D00013" w:rsidRDefault="00D0001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78E8" w14:textId="26CA7C84" w:rsidR="00CB25E0" w:rsidRPr="002C077F" w:rsidRDefault="00CB25E0">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70178"/>
      <w:docPartObj>
        <w:docPartGallery w:val="Page Numbers (Bottom of Page)"/>
        <w:docPartUnique/>
      </w:docPartObj>
    </w:sdtPr>
    <w:sdtEndPr>
      <w:rPr>
        <w:rFonts w:ascii="Times New Roman" w:hAnsi="Times New Roman"/>
        <w:noProof/>
        <w:sz w:val="20"/>
        <w:szCs w:val="20"/>
      </w:rPr>
    </w:sdtEndPr>
    <w:sdtContent>
      <w:p w14:paraId="125DBE87" w14:textId="78DB5571" w:rsidR="0060079E" w:rsidRPr="002C077F" w:rsidRDefault="0060079E">
        <w:pPr>
          <w:pStyle w:val="Footer"/>
          <w:jc w:val="center"/>
          <w:rPr>
            <w:rFonts w:ascii="Times New Roman" w:hAnsi="Times New Roman"/>
            <w:sz w:val="20"/>
            <w:szCs w:val="20"/>
          </w:rPr>
        </w:pPr>
        <w:r w:rsidRPr="002C077F">
          <w:rPr>
            <w:rFonts w:ascii="Times New Roman" w:hAnsi="Times New Roman"/>
            <w:sz w:val="20"/>
            <w:szCs w:val="20"/>
          </w:rPr>
          <w:fldChar w:fldCharType="begin"/>
        </w:r>
        <w:r w:rsidRPr="002C077F">
          <w:rPr>
            <w:rFonts w:ascii="Times New Roman" w:hAnsi="Times New Roman"/>
            <w:sz w:val="20"/>
            <w:szCs w:val="20"/>
          </w:rPr>
          <w:instrText xml:space="preserve"> PAGE   \* MERGEFORMAT </w:instrText>
        </w:r>
        <w:r w:rsidRPr="002C077F">
          <w:rPr>
            <w:rFonts w:ascii="Times New Roman" w:hAnsi="Times New Roman"/>
            <w:sz w:val="20"/>
            <w:szCs w:val="20"/>
          </w:rPr>
          <w:fldChar w:fldCharType="separate"/>
        </w:r>
        <w:r w:rsidRPr="002C077F">
          <w:rPr>
            <w:rFonts w:ascii="Times New Roman" w:hAnsi="Times New Roman"/>
            <w:noProof/>
            <w:sz w:val="20"/>
            <w:szCs w:val="20"/>
          </w:rPr>
          <w:t>2</w:t>
        </w:r>
        <w:r w:rsidRPr="002C077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66DC9" w14:textId="77777777" w:rsidR="00D00013" w:rsidRDefault="00D00013" w:rsidP="00577603">
      <w:r>
        <w:separator/>
      </w:r>
    </w:p>
  </w:footnote>
  <w:footnote w:type="continuationSeparator" w:id="0">
    <w:p w14:paraId="02901ECE" w14:textId="77777777" w:rsidR="00D00013" w:rsidRDefault="00D00013"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1662"/>
    <w:rsid w:val="00134222"/>
    <w:rsid w:val="001430DE"/>
    <w:rsid w:val="00143DCF"/>
    <w:rsid w:val="00167B29"/>
    <w:rsid w:val="0018257D"/>
    <w:rsid w:val="001A7A9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19E"/>
    <w:rsid w:val="003922EF"/>
    <w:rsid w:val="003A3201"/>
    <w:rsid w:val="003B47A2"/>
    <w:rsid w:val="003B4E07"/>
    <w:rsid w:val="003B5917"/>
    <w:rsid w:val="003D6178"/>
    <w:rsid w:val="003E02CE"/>
    <w:rsid w:val="004031CC"/>
    <w:rsid w:val="0040782F"/>
    <w:rsid w:val="00422C47"/>
    <w:rsid w:val="00436B98"/>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A1F30"/>
    <w:rsid w:val="005B0E9D"/>
    <w:rsid w:val="005B29B4"/>
    <w:rsid w:val="005C28EE"/>
    <w:rsid w:val="005D0E37"/>
    <w:rsid w:val="005D4D77"/>
    <w:rsid w:val="0060079E"/>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1DD9"/>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7E4D0E"/>
    <w:rsid w:val="007E51C6"/>
    <w:rsid w:val="0080060F"/>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A5094"/>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D5964"/>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383D"/>
    <w:rsid w:val="00CA6486"/>
    <w:rsid w:val="00CA6929"/>
    <w:rsid w:val="00CA79C7"/>
    <w:rsid w:val="00CB1D98"/>
    <w:rsid w:val="00CB25E0"/>
    <w:rsid w:val="00CB52DB"/>
    <w:rsid w:val="00CC0069"/>
    <w:rsid w:val="00CC2B3F"/>
    <w:rsid w:val="00CD2CD8"/>
    <w:rsid w:val="00CD3435"/>
    <w:rsid w:val="00CE494A"/>
    <w:rsid w:val="00CE51E8"/>
    <w:rsid w:val="00CF786A"/>
    <w:rsid w:val="00CF7960"/>
    <w:rsid w:val="00D00013"/>
    <w:rsid w:val="00D04B98"/>
    <w:rsid w:val="00D06F19"/>
    <w:rsid w:val="00D20889"/>
    <w:rsid w:val="00D524F7"/>
    <w:rsid w:val="00D63366"/>
    <w:rsid w:val="00D6599E"/>
    <w:rsid w:val="00D665B5"/>
    <w:rsid w:val="00D93C1C"/>
    <w:rsid w:val="00D95B75"/>
    <w:rsid w:val="00D96CF9"/>
    <w:rsid w:val="00DA158D"/>
    <w:rsid w:val="00DA2F02"/>
    <w:rsid w:val="00DA6E2D"/>
    <w:rsid w:val="00DB10D3"/>
    <w:rsid w:val="00DE6DE4"/>
    <w:rsid w:val="00E06370"/>
    <w:rsid w:val="00E17242"/>
    <w:rsid w:val="00E2017D"/>
    <w:rsid w:val="00E3318E"/>
    <w:rsid w:val="00E346CC"/>
    <w:rsid w:val="00E42626"/>
    <w:rsid w:val="00E44E55"/>
    <w:rsid w:val="00E52E26"/>
    <w:rsid w:val="00E53903"/>
    <w:rsid w:val="00E53B8C"/>
    <w:rsid w:val="00E54321"/>
    <w:rsid w:val="00E56536"/>
    <w:rsid w:val="00E5783A"/>
    <w:rsid w:val="00E850D3"/>
    <w:rsid w:val="00E857CE"/>
    <w:rsid w:val="00E90854"/>
    <w:rsid w:val="00E965D1"/>
    <w:rsid w:val="00E974A2"/>
    <w:rsid w:val="00EA6E89"/>
    <w:rsid w:val="00EC515D"/>
    <w:rsid w:val="00ED4FFE"/>
    <w:rsid w:val="00EE723A"/>
    <w:rsid w:val="00F022E2"/>
    <w:rsid w:val="00F03384"/>
    <w:rsid w:val="00F0793D"/>
    <w:rsid w:val="00F15DA0"/>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44592E-E374-4FF5-9087-4C83E38A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6</cp:revision>
  <cp:lastPrinted>2018-12-06T11:52:00Z</cp:lastPrinted>
  <dcterms:created xsi:type="dcterms:W3CDTF">2018-11-13T16:34:00Z</dcterms:created>
  <dcterms:modified xsi:type="dcterms:W3CDTF">2018-12-06T11:52:00Z</dcterms:modified>
</cp:coreProperties>
</file>