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2FE9"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7FB9CF17"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164A9035" w14:textId="77777777" w:rsidR="00CA1EAF" w:rsidRPr="00CA1EAF" w:rsidRDefault="00CA1EAF" w:rsidP="00CA1EAF">
      <w:pPr>
        <w:tabs>
          <w:tab w:val="left" w:pos="0"/>
        </w:tabs>
        <w:spacing w:line="233" w:lineRule="auto"/>
        <w:jc w:val="both"/>
        <w:rPr>
          <w:rFonts w:eastAsia="Times New Roman"/>
          <w:b/>
        </w:rPr>
      </w:pPr>
    </w:p>
    <w:p w14:paraId="458AF5A1" w14:textId="77777777" w:rsidR="00CA1EAF" w:rsidRPr="00CA1EAF" w:rsidRDefault="00CA1EAF" w:rsidP="00CA1EAF">
      <w:pPr>
        <w:tabs>
          <w:tab w:val="left" w:pos="0"/>
        </w:tabs>
        <w:spacing w:line="233" w:lineRule="auto"/>
        <w:jc w:val="both"/>
        <w:rPr>
          <w:rFonts w:eastAsia="Times New Roman"/>
          <w:b/>
        </w:rPr>
      </w:pPr>
    </w:p>
    <w:p w14:paraId="7EFDFA0D" w14:textId="77777777" w:rsidR="00CA1EAF" w:rsidRPr="00CA1EAF" w:rsidRDefault="00CA1EAF" w:rsidP="00CA1EAF">
      <w:pPr>
        <w:tabs>
          <w:tab w:val="left" w:pos="0"/>
        </w:tabs>
        <w:spacing w:line="233" w:lineRule="auto"/>
        <w:jc w:val="both"/>
        <w:rPr>
          <w:rFonts w:eastAsia="Times New Roman"/>
          <w:b/>
        </w:rPr>
      </w:pPr>
    </w:p>
    <w:p w14:paraId="706EB962"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62CADDC2"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1BAA50BE"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6FE846C3"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3CEF9A74"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4F053878"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165435C1"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379EDEA4"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64D015E3"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1DE49D47"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66727147"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4F708B61"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2B9FF93B" w14:textId="77777777" w:rsidR="0062613C" w:rsidRDefault="0062613C" w:rsidP="005B4839">
      <w:pPr>
        <w:spacing w:line="240" w:lineRule="auto"/>
      </w:pPr>
    </w:p>
    <w:p w14:paraId="332922FA" w14:textId="77777777" w:rsidR="005B4839" w:rsidRDefault="005B4839" w:rsidP="005B4839">
      <w:pPr>
        <w:spacing w:line="240" w:lineRule="auto"/>
      </w:pPr>
    </w:p>
    <w:p w14:paraId="4C2FA2CB" w14:textId="77777777" w:rsidR="0062613C" w:rsidRDefault="0062613C"/>
    <w:p w14:paraId="5A8514A5" w14:textId="77777777" w:rsidR="003A3CD9" w:rsidRDefault="004805D2" w:rsidP="004805D2">
      <w:pPr>
        <w:spacing w:line="240" w:lineRule="auto"/>
        <w:jc w:val="center"/>
        <w:rPr>
          <w:b/>
        </w:rPr>
      </w:pPr>
      <w:r w:rsidRPr="004805D2">
        <w:rPr>
          <w:b/>
        </w:rPr>
        <w:t>INTERIM ORDER</w:t>
      </w:r>
    </w:p>
    <w:p w14:paraId="3E75E20C" w14:textId="0237351D" w:rsidR="004805D2" w:rsidRDefault="004805D2" w:rsidP="004805D2">
      <w:pPr>
        <w:spacing w:line="240" w:lineRule="auto"/>
        <w:jc w:val="center"/>
        <w:rPr>
          <w:b/>
          <w:u w:val="single"/>
        </w:rPr>
      </w:pPr>
      <w:r w:rsidRPr="003A3CD9">
        <w:rPr>
          <w:b/>
          <w:u w:val="single"/>
        </w:rPr>
        <w:t>SCHEDULING</w:t>
      </w:r>
      <w:r w:rsidR="003A3CD9" w:rsidRPr="003A3CD9">
        <w:rPr>
          <w:b/>
          <w:u w:val="single"/>
        </w:rPr>
        <w:t xml:space="preserve"> </w:t>
      </w:r>
      <w:r w:rsidRPr="003A3CD9">
        <w:rPr>
          <w:b/>
          <w:u w:val="single"/>
        </w:rPr>
        <w:t>FURTHER PR</w:t>
      </w:r>
      <w:r w:rsidR="00096409">
        <w:rPr>
          <w:b/>
          <w:u w:val="single"/>
        </w:rPr>
        <w:t>OCEEDINGS</w:t>
      </w:r>
    </w:p>
    <w:p w14:paraId="4B6DB39C" w14:textId="77777777" w:rsidR="001D10C1" w:rsidRPr="003A3CD9" w:rsidRDefault="001D10C1" w:rsidP="004805D2">
      <w:pPr>
        <w:spacing w:line="240" w:lineRule="auto"/>
        <w:jc w:val="center"/>
        <w:rPr>
          <w:b/>
          <w:u w:val="single"/>
        </w:rPr>
      </w:pPr>
    </w:p>
    <w:p w14:paraId="4A904BED" w14:textId="77777777" w:rsidR="0062613C" w:rsidRDefault="0062613C" w:rsidP="001D10C1">
      <w:pPr>
        <w:spacing w:line="240" w:lineRule="auto"/>
      </w:pPr>
    </w:p>
    <w:p w14:paraId="1CBD9E4A" w14:textId="77777777" w:rsidR="0062613C" w:rsidRDefault="0062613C">
      <w:r>
        <w:tab/>
      </w:r>
      <w:r>
        <w:tab/>
        <w:t xml:space="preserve">Eight </w:t>
      </w:r>
      <w:r w:rsidR="00131D89">
        <w:t>C</w:t>
      </w:r>
      <w:r>
        <w:t xml:space="preserve">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w:t>
      </w:r>
      <w:r w:rsidR="004805D2">
        <w:t xml:space="preserve">and Complainant Michael </w:t>
      </w:r>
      <w:r w:rsidR="00A92CA8">
        <w:t xml:space="preserve">G. </w:t>
      </w:r>
      <w:r w:rsidR="004805D2">
        <w:t xml:space="preserve">Deegan </w:t>
      </w:r>
      <w:r>
        <w:t>filed a motion for consolidation of the complaints.</w:t>
      </w:r>
    </w:p>
    <w:p w14:paraId="316E3288" w14:textId="77777777" w:rsidR="004805D2" w:rsidRDefault="004805D2"/>
    <w:p w14:paraId="6B956757" w14:textId="77777777" w:rsidR="004805D2" w:rsidRDefault="004805D2">
      <w:r>
        <w:tab/>
      </w:r>
      <w:r>
        <w:tab/>
        <w:t xml:space="preserve">The Office of Consumer Advocate filed a notice of intervention and public statement in the complaint of Charles </w:t>
      </w:r>
      <w:r w:rsidR="005C42AC">
        <w:t xml:space="preserve">E. </w:t>
      </w:r>
      <w:r>
        <w:t>Spindler, C-2018-3004179, on October 3, 2018.</w:t>
      </w:r>
    </w:p>
    <w:p w14:paraId="5DAA6FF0" w14:textId="77777777" w:rsidR="0062613C" w:rsidRDefault="0062613C"/>
    <w:p w14:paraId="6E95236D" w14:textId="77777777" w:rsidR="0062613C" w:rsidRDefault="0062613C">
      <w:r>
        <w:tab/>
      </w:r>
      <w:r>
        <w:tab/>
      </w:r>
      <w:r w:rsidR="004805D2">
        <w:t>By order dated Oc</w:t>
      </w:r>
      <w:r w:rsidR="0084718B">
        <w:t>to</w:t>
      </w:r>
      <w:r w:rsidR="004805D2">
        <w:t>ber 4, 2018, a</w:t>
      </w:r>
      <w:r>
        <w:t xml:space="preserve"> prehearing conference </w:t>
      </w:r>
      <w:r w:rsidR="004805D2">
        <w:t>was</w:t>
      </w:r>
      <w:r>
        <w:t xml:space="preserve"> scheduled to permit the </w:t>
      </w:r>
      <w:r w:rsidR="00131D89">
        <w:t>C</w:t>
      </w:r>
      <w:r>
        <w:t xml:space="preserve">omplainants to respond to the preliminary objections and Knox’s motion for consolidation.  </w:t>
      </w:r>
      <w:r w:rsidR="00C71386">
        <w:t>The</w:t>
      </w:r>
      <w:r w:rsidR="00642D9C">
        <w:t xml:space="preserve"> parties </w:t>
      </w:r>
      <w:r w:rsidR="004805D2">
        <w:t>were directed to be prepared</w:t>
      </w:r>
      <w:r w:rsidR="00642D9C">
        <w:t xml:space="preserve"> to discuss the application, if any, of the Commission’s decision in </w:t>
      </w:r>
      <w:r w:rsidR="00642D9C">
        <w:rPr>
          <w:i/>
        </w:rPr>
        <w:t xml:space="preserve">Laffey v. Knox Energy Cooperative Association, Inc., </w:t>
      </w:r>
      <w:r w:rsidR="00642D9C">
        <w:t xml:space="preserve">Docket C-2015-2462487 (Opinion and Order entered September 3, 2015).  </w:t>
      </w:r>
    </w:p>
    <w:p w14:paraId="6A7CF33F" w14:textId="77777777" w:rsidR="004805D2" w:rsidRDefault="004805D2">
      <w:r>
        <w:lastRenderedPageBreak/>
        <w:tab/>
      </w:r>
      <w:r>
        <w:tab/>
        <w:t>OCA filed a prehearing memorandum on October 12, 2018.  OCA requested that its intervention be deemed to apply to all of the complaints and also noted that Knox may not be in compl</w:t>
      </w:r>
      <w:r w:rsidR="00493D29">
        <w:t>ia</w:t>
      </w:r>
      <w:r>
        <w:t xml:space="preserve">nce with the settlement reached in </w:t>
      </w:r>
      <w:r>
        <w:rPr>
          <w:i/>
        </w:rPr>
        <w:t xml:space="preserve">The Matter of the Application of Orwell Natural Gas Company for Approval of the Transfer of its Distribution System Assets, </w:t>
      </w:r>
      <w:r w:rsidR="00AF2FE4" w:rsidRPr="00AF2FE4">
        <w:t>A-2015</w:t>
      </w:r>
      <w:r w:rsidR="00707E09">
        <w:t>-</w:t>
      </w:r>
      <w:r w:rsidR="00AF2FE4" w:rsidRPr="00AF2FE4">
        <w:t>2478270</w:t>
      </w:r>
      <w:r w:rsidR="00916796">
        <w:t xml:space="preserve"> </w:t>
      </w:r>
      <w:r w:rsidR="00916796" w:rsidRPr="0062458E">
        <w:t>(</w:t>
      </w:r>
      <w:r w:rsidR="00916796" w:rsidRPr="0062458E">
        <w:rPr>
          <w:i/>
        </w:rPr>
        <w:t>Orwell</w:t>
      </w:r>
      <w:r w:rsidR="00916796" w:rsidRPr="0062458E">
        <w:t>)</w:t>
      </w:r>
      <w:r w:rsidR="00AF2FE4" w:rsidRPr="0062458E">
        <w:rPr>
          <w:i/>
        </w:rPr>
        <w:t>.</w:t>
      </w:r>
    </w:p>
    <w:p w14:paraId="568CB265" w14:textId="77777777" w:rsidR="008F71AE" w:rsidRDefault="008F71AE">
      <w:pPr>
        <w:rPr>
          <w:i/>
        </w:rPr>
      </w:pPr>
    </w:p>
    <w:p w14:paraId="6EA4A5DB" w14:textId="77777777" w:rsidR="00B65812" w:rsidRDefault="007A1B12">
      <w:r>
        <w:tab/>
      </w:r>
      <w:r>
        <w:tab/>
        <w:t xml:space="preserve">The prehearing conference convened as scheduled.  All of the </w:t>
      </w:r>
      <w:r w:rsidR="00131D89">
        <w:t>C</w:t>
      </w:r>
      <w:r>
        <w:t>omplainants appeared and were self-represented.  Todd</w:t>
      </w:r>
      <w:r w:rsidR="00707E09">
        <w:t xml:space="preserve"> S.</w:t>
      </w:r>
      <w:r>
        <w:t xml:space="preserve"> Stewart, Esquire appeared on behalf of Knox Energy and Dianne </w:t>
      </w:r>
      <w:r w:rsidR="00707E09">
        <w:t xml:space="preserve">E. </w:t>
      </w:r>
      <w:r>
        <w:t xml:space="preserve">Dusman, Esquire appeared on behalf of the OCA.  Consolidation of the complaints, the preliminary objections of Knox, the </w:t>
      </w:r>
      <w:r w:rsidRPr="00707E09">
        <w:rPr>
          <w:i/>
        </w:rPr>
        <w:t xml:space="preserve">Orwell </w:t>
      </w:r>
      <w:r>
        <w:t xml:space="preserve">settlement and further proceedings were discussed.  Four of the Complainants represented that they had already switched to an alternate energy source.  Knox represented that it intended to rescind the notification that the Complainants received from Knox </w:t>
      </w:r>
      <w:r w:rsidR="00B81169">
        <w:t xml:space="preserve">and </w:t>
      </w:r>
      <w:r>
        <w:t xml:space="preserve">that the company would cease providing gas service to them, effective October 31, 2018.  </w:t>
      </w:r>
      <w:r w:rsidR="00B65812">
        <w:t xml:space="preserve"> </w:t>
      </w:r>
      <w:r w:rsidR="00AB1DC5">
        <w:t>Knox’s preliminary objections were held in abeyance.</w:t>
      </w:r>
    </w:p>
    <w:p w14:paraId="3D7BA23E" w14:textId="77777777" w:rsidR="00B65812" w:rsidRDefault="00B65812"/>
    <w:p w14:paraId="4B0BFCB7" w14:textId="77777777" w:rsidR="008F71AE" w:rsidRDefault="00B65812">
      <w:r>
        <w:tab/>
      </w:r>
      <w:r>
        <w:tab/>
        <w:t xml:space="preserve">A further status conference was held on November 1, 2018.  All of the Complainants appeared as well as counsel for OCA and Knox.  Following a discussion of the progress </w:t>
      </w:r>
      <w:r w:rsidR="000B3B5A">
        <w:t xml:space="preserve">of </w:t>
      </w:r>
      <w:r>
        <w:t>the parties in discussion resolution of the complaints, it was agreed that a further status conference would be held on December 7, 2018.</w:t>
      </w:r>
    </w:p>
    <w:p w14:paraId="25EACA4E" w14:textId="77777777" w:rsidR="00B65812" w:rsidRDefault="00B65812"/>
    <w:p w14:paraId="3B5FD34D" w14:textId="77777777" w:rsidR="00B65812" w:rsidRDefault="00B65812" w:rsidP="00B65812">
      <w:r>
        <w:tab/>
      </w:r>
      <w:r>
        <w:tab/>
        <w:t>On November 14, 2018, OCA filed a “Motion for Correction of Caption” to include Utility Pipeline, Limited (UPL) as a respondent.  OCA averred that UPL was named in the formal complaint of Norma Fritz and James Leach,</w:t>
      </w:r>
      <w:r>
        <w:rPr>
          <w:rStyle w:val="FootnoteReference"/>
        </w:rPr>
        <w:footnoteReference w:id="1"/>
      </w:r>
      <w:r>
        <w:t xml:space="preserve">  and was included in the </w:t>
      </w:r>
      <w:r w:rsidR="00C06120">
        <w:t>allegations</w:t>
      </w:r>
      <w:r>
        <w:t xml:space="preserve"> of poor service alleged by Mr. Leach and Ms. Fritz.  OCA also states that UPL was a signatory party to the settlement reached in </w:t>
      </w:r>
      <w:r>
        <w:rPr>
          <w:i/>
        </w:rPr>
        <w:t xml:space="preserve">The Matter of the Application of Orwell Natural Gas Company for Approval of the Transfer of its Distribution System Assets, </w:t>
      </w:r>
      <w:r w:rsidRPr="00AF2FE4">
        <w:t>A-2015</w:t>
      </w:r>
      <w:r>
        <w:t>-</w:t>
      </w:r>
      <w:r w:rsidRPr="00AF2FE4">
        <w:t>2478270</w:t>
      </w:r>
      <w:r>
        <w:t xml:space="preserve"> </w:t>
      </w:r>
      <w:r w:rsidRPr="0062458E">
        <w:t>(</w:t>
      </w:r>
      <w:r w:rsidRPr="0062458E">
        <w:rPr>
          <w:i/>
        </w:rPr>
        <w:t>Orwell</w:t>
      </w:r>
      <w:r w:rsidRPr="0062458E">
        <w:t>)</w:t>
      </w:r>
      <w:r>
        <w:t xml:space="preserve">, as stated on OCA’s October 11, 2018, prehearing memorandum.  Finally, OCA states that the “terms and conditions [of the settlement] are highly relevant to these complaint proceedings as </w:t>
      </w:r>
      <w:r>
        <w:lastRenderedPageBreak/>
        <w:t>several are specific commitments by UPL toward Knox Cooperative members under the same circumstances as alleged by the members . . . .”</w:t>
      </w:r>
      <w:r>
        <w:rPr>
          <w:rStyle w:val="FootnoteReference"/>
        </w:rPr>
        <w:footnoteReference w:id="2"/>
      </w:r>
    </w:p>
    <w:p w14:paraId="6639F6F4" w14:textId="77777777" w:rsidR="00971AB9" w:rsidRDefault="00971AB9" w:rsidP="00B65812"/>
    <w:p w14:paraId="58C3E181" w14:textId="77777777" w:rsidR="00971AB9" w:rsidRDefault="00971AB9" w:rsidP="00B65812">
      <w:r>
        <w:tab/>
      </w:r>
      <w:r>
        <w:tab/>
        <w:t xml:space="preserve">Knox and UPL filed an answer opposing the motion on December 4, 2018.  Among other things, Knox and UPL oppose the motion because issues regarding the </w:t>
      </w:r>
      <w:r>
        <w:rPr>
          <w:i/>
        </w:rPr>
        <w:t>Orwell</w:t>
      </w:r>
      <w:r>
        <w:t xml:space="preserve"> settlement have not been properly raised by any of the Complainants to this proceeding.</w:t>
      </w:r>
    </w:p>
    <w:p w14:paraId="6DAEFD28" w14:textId="77777777" w:rsidR="00971AB9" w:rsidRDefault="00971AB9" w:rsidP="00B65812"/>
    <w:p w14:paraId="6D32EBED" w14:textId="77777777" w:rsidR="00971AB9" w:rsidRDefault="00971AB9">
      <w:r>
        <w:tab/>
      </w:r>
      <w:r>
        <w:tab/>
        <w:t>The December 7, 2018 status conference convened as scheduled.  All of the Complainants appeared as well as counsel for OCA, Knox and UPL.  The status of settlement discussions with the individual Complainants was discussed.  Although proposals have been exchanged, no definitive resolution has been reached.</w:t>
      </w:r>
    </w:p>
    <w:p w14:paraId="5591E1CD" w14:textId="77777777" w:rsidR="00971AB9" w:rsidRDefault="00971AB9"/>
    <w:p w14:paraId="5890554E" w14:textId="77777777" w:rsidR="00B65812" w:rsidRPr="007A1B12" w:rsidRDefault="00971AB9">
      <w:r>
        <w:tab/>
      </w:r>
      <w:r>
        <w:tab/>
        <w:t>OCA’s motion to amend the caption to include UPL was denied.  It is clear from OCA’s motion that the premise for including UPL is OCA’s position that Knox is in violation of the Orwell settlement.  That issue has been raised solely in OCA’s prehearing memorandum and not by any of the current Complainants.</w:t>
      </w:r>
    </w:p>
    <w:p w14:paraId="34257764" w14:textId="77777777" w:rsidR="005E0923" w:rsidRDefault="005E0923"/>
    <w:p w14:paraId="1C61F9F1" w14:textId="77777777" w:rsidR="005E0923" w:rsidRDefault="005E0923" w:rsidP="00333ADE">
      <w:pPr>
        <w:ind w:left="720" w:firstLine="720"/>
      </w:pPr>
      <w:r>
        <w:t>THEREFORE,</w:t>
      </w:r>
    </w:p>
    <w:p w14:paraId="75BE5862" w14:textId="77777777" w:rsidR="005E0923" w:rsidRDefault="005E0923"/>
    <w:p w14:paraId="22518C88" w14:textId="77777777" w:rsidR="005E0923" w:rsidRDefault="005E0923" w:rsidP="00333ADE">
      <w:pPr>
        <w:ind w:left="720" w:firstLine="720"/>
      </w:pPr>
      <w:r>
        <w:t>IT IS ORDERED:</w:t>
      </w:r>
    </w:p>
    <w:p w14:paraId="2D890AA9" w14:textId="77777777" w:rsidR="005E0923" w:rsidRDefault="005E0923"/>
    <w:p w14:paraId="7D6AB348" w14:textId="77777777" w:rsidR="00333ADE" w:rsidRDefault="005E0923" w:rsidP="007A1B12">
      <w:pPr>
        <w:pStyle w:val="ListParagraph"/>
        <w:tabs>
          <w:tab w:val="clear" w:pos="0"/>
          <w:tab w:val="clear" w:pos="1440"/>
        </w:tabs>
      </w:pPr>
      <w:r>
        <w:t>1.</w:t>
      </w:r>
      <w:r>
        <w:tab/>
      </w:r>
      <w:r w:rsidR="007A1B12">
        <w:t xml:space="preserve"> </w:t>
      </w:r>
      <w:r w:rsidR="00971AB9">
        <w:t xml:space="preserve">That OCA’s Motion to for Correction of the Caption is </w:t>
      </w:r>
      <w:r w:rsidR="00592439">
        <w:t>denied</w:t>
      </w:r>
      <w:r w:rsidR="00971AB9">
        <w:t>.</w:t>
      </w:r>
    </w:p>
    <w:p w14:paraId="016CD2B6" w14:textId="77777777" w:rsidR="007A1B12" w:rsidRDefault="007A1B12" w:rsidP="007A1B12">
      <w:pPr>
        <w:pStyle w:val="ListParagraph"/>
        <w:tabs>
          <w:tab w:val="clear" w:pos="0"/>
          <w:tab w:val="clear" w:pos="1440"/>
        </w:tabs>
        <w:rPr>
          <w:rFonts w:eastAsia="Times New Roman"/>
        </w:rPr>
      </w:pPr>
    </w:p>
    <w:p w14:paraId="46DC45D7" w14:textId="77777777" w:rsidR="007A1B12" w:rsidRDefault="007A1B12" w:rsidP="007A1B12">
      <w:pPr>
        <w:pStyle w:val="ListParagraph"/>
        <w:tabs>
          <w:tab w:val="clear" w:pos="0"/>
          <w:tab w:val="clear" w:pos="1440"/>
        </w:tabs>
        <w:rPr>
          <w:rFonts w:eastAsia="Times New Roman"/>
        </w:rPr>
      </w:pPr>
      <w:r>
        <w:rPr>
          <w:rFonts w:eastAsia="Times New Roman"/>
        </w:rPr>
        <w:t>2.</w:t>
      </w:r>
      <w:r>
        <w:rPr>
          <w:rFonts w:eastAsia="Times New Roman"/>
        </w:rPr>
        <w:tab/>
        <w:t xml:space="preserve">That </w:t>
      </w:r>
      <w:r w:rsidR="00971AB9">
        <w:rPr>
          <w:rFonts w:eastAsia="Times New Roman"/>
        </w:rPr>
        <w:t xml:space="preserve">OCA may file a complaint setting forth its allegations against Knox and UPL on or before </w:t>
      </w:r>
      <w:r w:rsidR="00971AB9" w:rsidRPr="00192DB1">
        <w:rPr>
          <w:rFonts w:eastAsia="Times New Roman"/>
          <w:b/>
          <w:u w:val="single"/>
        </w:rPr>
        <w:t>January 4, 2019</w:t>
      </w:r>
      <w:r w:rsidR="00971AB9">
        <w:rPr>
          <w:rFonts w:eastAsia="Times New Roman"/>
        </w:rPr>
        <w:t>.  Any complaint filed shall include a request to consolidate OCA’s complaint with this proceeding.</w:t>
      </w:r>
    </w:p>
    <w:p w14:paraId="0B702C04" w14:textId="77777777" w:rsidR="00971AB9" w:rsidRDefault="00971AB9" w:rsidP="007A1B12">
      <w:pPr>
        <w:pStyle w:val="ListParagraph"/>
        <w:tabs>
          <w:tab w:val="clear" w:pos="0"/>
          <w:tab w:val="clear" w:pos="1440"/>
        </w:tabs>
        <w:rPr>
          <w:rFonts w:eastAsia="Times New Roman"/>
        </w:rPr>
      </w:pPr>
    </w:p>
    <w:p w14:paraId="69554B66" w14:textId="77777777" w:rsidR="00971AB9" w:rsidRDefault="00971AB9" w:rsidP="007A1B12">
      <w:pPr>
        <w:pStyle w:val="ListParagraph"/>
        <w:tabs>
          <w:tab w:val="clear" w:pos="0"/>
          <w:tab w:val="clear" w:pos="1440"/>
        </w:tabs>
        <w:rPr>
          <w:rFonts w:eastAsia="Times New Roman"/>
        </w:rPr>
      </w:pPr>
      <w:r>
        <w:rPr>
          <w:rFonts w:eastAsia="Times New Roman"/>
        </w:rPr>
        <w:t>3.</w:t>
      </w:r>
      <w:r>
        <w:rPr>
          <w:rFonts w:eastAsia="Times New Roman"/>
        </w:rPr>
        <w:tab/>
        <w:t xml:space="preserve">That if OCA files a complaint, Knox and UPL shall file an answer in accordance with the Commission’s procedural rules.  Any preliminary objections filed by Knox </w:t>
      </w:r>
      <w:r>
        <w:rPr>
          <w:rFonts w:eastAsia="Times New Roman"/>
        </w:rPr>
        <w:lastRenderedPageBreak/>
        <w:t xml:space="preserve">or UPL shall include a </w:t>
      </w:r>
      <w:r w:rsidR="002D6BE3">
        <w:rPr>
          <w:rFonts w:eastAsia="Times New Roman"/>
        </w:rPr>
        <w:t>legal memorandum which includes a thorough</w:t>
      </w:r>
      <w:r>
        <w:rPr>
          <w:rFonts w:eastAsia="Times New Roman"/>
        </w:rPr>
        <w:t xml:space="preserve"> discussion of th</w:t>
      </w:r>
      <w:r w:rsidR="003B0A9B">
        <w:rPr>
          <w:rFonts w:eastAsia="Times New Roman"/>
        </w:rPr>
        <w:t>e legal basis for Knox’s and UPL’s objections to the OCA’s complaint.</w:t>
      </w:r>
    </w:p>
    <w:p w14:paraId="083A7FDE" w14:textId="77777777" w:rsidR="007A1B12" w:rsidRDefault="007A1B12" w:rsidP="007A1B12">
      <w:pPr>
        <w:pStyle w:val="ListParagraph"/>
        <w:tabs>
          <w:tab w:val="clear" w:pos="0"/>
          <w:tab w:val="clear" w:pos="1440"/>
        </w:tabs>
        <w:rPr>
          <w:rFonts w:eastAsia="Times New Roman"/>
        </w:rPr>
      </w:pPr>
    </w:p>
    <w:p w14:paraId="47482C22" w14:textId="34C56367" w:rsidR="007A1B12" w:rsidRDefault="00E32219" w:rsidP="007A1B12">
      <w:pPr>
        <w:pStyle w:val="ListParagraph"/>
        <w:tabs>
          <w:tab w:val="clear" w:pos="0"/>
          <w:tab w:val="clear" w:pos="1440"/>
        </w:tabs>
        <w:rPr>
          <w:rFonts w:eastAsia="Times New Roman"/>
        </w:rPr>
      </w:pPr>
      <w:r>
        <w:rPr>
          <w:rFonts w:eastAsia="Times New Roman"/>
        </w:rPr>
        <w:t>4</w:t>
      </w:r>
      <w:r w:rsidR="007A1B12">
        <w:rPr>
          <w:rFonts w:eastAsia="Times New Roman"/>
        </w:rPr>
        <w:t>.</w:t>
      </w:r>
      <w:r w:rsidR="007A1B12">
        <w:rPr>
          <w:rFonts w:eastAsia="Times New Roman"/>
        </w:rPr>
        <w:tab/>
        <w:t xml:space="preserve">That </w:t>
      </w:r>
      <w:r w:rsidR="002D6BE3">
        <w:rPr>
          <w:rFonts w:eastAsia="Times New Roman"/>
        </w:rPr>
        <w:t>OCA shall file a response to any preliminary objections filed by Knox or UPL as provided by the Commissions regulations and include a similar legal memorandum</w:t>
      </w:r>
      <w:r w:rsidR="003B0A9B">
        <w:rPr>
          <w:rFonts w:eastAsia="Times New Roman"/>
        </w:rPr>
        <w:t>.</w:t>
      </w:r>
    </w:p>
    <w:p w14:paraId="36D1EEF1" w14:textId="77777777" w:rsidR="007A1B12" w:rsidRDefault="007A1B12" w:rsidP="007A1B12">
      <w:pPr>
        <w:pStyle w:val="ListParagraph"/>
        <w:tabs>
          <w:tab w:val="clear" w:pos="0"/>
          <w:tab w:val="clear" w:pos="1440"/>
        </w:tabs>
        <w:rPr>
          <w:rFonts w:eastAsia="Times New Roman"/>
        </w:rPr>
      </w:pPr>
    </w:p>
    <w:p w14:paraId="2EC85E2E" w14:textId="2E44CA24" w:rsidR="007A1B12" w:rsidRDefault="00E32219" w:rsidP="007A1B12">
      <w:pPr>
        <w:pStyle w:val="ListParagraph"/>
        <w:tabs>
          <w:tab w:val="clear" w:pos="0"/>
          <w:tab w:val="clear" w:pos="1440"/>
        </w:tabs>
      </w:pPr>
      <w:r>
        <w:rPr>
          <w:rFonts w:eastAsia="Times New Roman"/>
        </w:rPr>
        <w:t>5</w:t>
      </w:r>
      <w:bookmarkStart w:id="1" w:name="_GoBack"/>
      <w:bookmarkEnd w:id="1"/>
      <w:r w:rsidR="007A1B12">
        <w:rPr>
          <w:rFonts w:eastAsia="Times New Roman"/>
        </w:rPr>
        <w:t>.</w:t>
      </w:r>
      <w:r w:rsidR="007A1B12" w:rsidRPr="007A1B12">
        <w:t xml:space="preserve"> </w:t>
      </w:r>
      <w:r w:rsidR="007A1B12">
        <w:tab/>
      </w:r>
      <w:r w:rsidR="007A1B12" w:rsidRPr="00333ADE">
        <w:t xml:space="preserve">That </w:t>
      </w:r>
      <w:r w:rsidR="007A1B12">
        <w:t>a further</w:t>
      </w:r>
      <w:r w:rsidR="007A1B12" w:rsidRPr="00333ADE">
        <w:t xml:space="preserve"> telephonic prehearing conference in this case is scheduled for </w:t>
      </w:r>
      <w:r w:rsidR="002D6BE3">
        <w:rPr>
          <w:b/>
        </w:rPr>
        <w:t xml:space="preserve">Tuesday, February 5, 2019, </w:t>
      </w:r>
      <w:r w:rsidR="007A1B12" w:rsidRPr="007A1B12">
        <w:rPr>
          <w:b/>
        </w:rPr>
        <w:t>at 10:00 a.m.</w:t>
      </w:r>
      <w:r w:rsidR="007A1B12">
        <w:t xml:space="preserve"> </w:t>
      </w:r>
      <w:r w:rsidR="001705C0">
        <w:t xml:space="preserve"> </w:t>
      </w:r>
      <w:r w:rsidR="002D6BE3">
        <w:t xml:space="preserve">The parties should be prepared to propose a litigation schedule if one is necessary and provide </w:t>
      </w:r>
      <w:r w:rsidR="00C06120">
        <w:t>an</w:t>
      </w:r>
      <w:r w:rsidR="002D6BE3">
        <w:t xml:space="preserve"> update regarding any settlements that may be reached with the individual Complainants.</w:t>
      </w:r>
    </w:p>
    <w:p w14:paraId="57D1E141" w14:textId="77777777" w:rsidR="007A1B12" w:rsidRPr="00333ADE" w:rsidRDefault="007A1B12" w:rsidP="007A1B12">
      <w:pPr>
        <w:pStyle w:val="ListParagraph"/>
        <w:tabs>
          <w:tab w:val="clear" w:pos="0"/>
          <w:tab w:val="clear" w:pos="1440"/>
        </w:tabs>
        <w:rPr>
          <w:rFonts w:eastAsia="Times New Roman"/>
        </w:rPr>
      </w:pPr>
    </w:p>
    <w:p w14:paraId="29BB4C96" w14:textId="77777777" w:rsidR="00333ADE" w:rsidRDefault="00333ADE" w:rsidP="00333ADE">
      <w:pPr>
        <w:tabs>
          <w:tab w:val="left" w:pos="0"/>
          <w:tab w:val="left" w:pos="1440"/>
        </w:tabs>
        <w:jc w:val="both"/>
        <w:rPr>
          <w:rFonts w:eastAsia="Times New Roman"/>
        </w:rPr>
      </w:pPr>
    </w:p>
    <w:p w14:paraId="1175E565"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sidR="001A1158">
        <w:rPr>
          <w:rFonts w:eastAsia="Times New Roman"/>
          <w:szCs w:val="24"/>
          <w:u w:val="single"/>
        </w:rPr>
        <w:t xml:space="preserve">December </w:t>
      </w:r>
      <w:r w:rsidR="00D94083">
        <w:rPr>
          <w:rFonts w:eastAsia="Times New Roman"/>
          <w:szCs w:val="24"/>
          <w:u w:val="single"/>
        </w:rPr>
        <w:t>10</w:t>
      </w:r>
      <w:r>
        <w:rPr>
          <w:rFonts w:eastAsia="Times New Roman"/>
          <w:szCs w:val="24"/>
          <w:u w:val="single"/>
        </w:rPr>
        <w:t>,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72EE116E"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321F9C94" w14:textId="77777777" w:rsid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01C697BC" w14:textId="77777777" w:rsidR="001705C0" w:rsidRDefault="001705C0" w:rsidP="00333ADE">
      <w:pPr>
        <w:tabs>
          <w:tab w:val="left" w:pos="1440"/>
        </w:tabs>
        <w:spacing w:line="240" w:lineRule="auto"/>
        <w:rPr>
          <w:rFonts w:eastAsia="Times New Roman"/>
          <w:szCs w:val="24"/>
        </w:rPr>
      </w:pPr>
    </w:p>
    <w:p w14:paraId="3AB7C317" w14:textId="77777777" w:rsidR="001705C0" w:rsidRDefault="001705C0" w:rsidP="00333ADE">
      <w:pPr>
        <w:tabs>
          <w:tab w:val="left" w:pos="1440"/>
        </w:tabs>
        <w:spacing w:line="240" w:lineRule="auto"/>
        <w:rPr>
          <w:rFonts w:eastAsia="Times New Roman"/>
          <w:szCs w:val="24"/>
        </w:rPr>
        <w:sectPr w:rsidR="001705C0" w:rsidSect="001705C0">
          <w:footerReference w:type="default" r:id="rId7"/>
          <w:pgSz w:w="12240" w:h="15840"/>
          <w:pgMar w:top="1440" w:right="1440" w:bottom="1440" w:left="1440" w:header="720" w:footer="720" w:gutter="0"/>
          <w:cols w:space="720"/>
          <w:titlePg/>
          <w:docGrid w:linePitch="360"/>
        </w:sectPr>
      </w:pPr>
    </w:p>
    <w:p w14:paraId="36C42140" w14:textId="77777777" w:rsidR="001705C0" w:rsidRPr="001705C0" w:rsidRDefault="001705C0" w:rsidP="001705C0">
      <w:pPr>
        <w:spacing w:line="240" w:lineRule="auto"/>
        <w:rPr>
          <w:rFonts w:ascii="Microsoft Sans Serif" w:eastAsia="Microsoft Sans Serif" w:hAnsi="Microsoft Sans Serif" w:cs="Microsoft Sans Serif"/>
          <w:b/>
          <w:u w:val="single"/>
        </w:rPr>
      </w:pPr>
      <w:r w:rsidRPr="001705C0">
        <w:rPr>
          <w:rFonts w:ascii="Microsoft Sans Serif" w:eastAsia="Microsoft Sans Serif" w:hAnsi="Microsoft Sans Serif" w:cs="Microsoft Sans Serif"/>
          <w:b/>
          <w:u w:val="single"/>
        </w:rPr>
        <w:lastRenderedPageBreak/>
        <w:t>C-2018-3004165 ET AL; MICHAEL DEEGAN ET AL v. KNOX ENERGY COOPERATIVE ASSOCIATION INC</w:t>
      </w:r>
    </w:p>
    <w:p w14:paraId="1D3C6134" w14:textId="77777777" w:rsidR="001705C0" w:rsidRPr="001705C0" w:rsidRDefault="001705C0" w:rsidP="001705C0">
      <w:pPr>
        <w:spacing w:line="240" w:lineRule="auto"/>
        <w:rPr>
          <w:rFonts w:ascii="Microsoft Sans Serif" w:eastAsia="Microsoft Sans Serif" w:hAnsi="Microsoft Sans Serif" w:cs="Microsoft Sans Serif"/>
          <w:b/>
          <w:u w:val="single"/>
        </w:rPr>
      </w:pPr>
    </w:p>
    <w:p w14:paraId="3069D046" w14:textId="77777777" w:rsidR="001705C0" w:rsidRPr="001705C0" w:rsidRDefault="001705C0" w:rsidP="001705C0">
      <w:pPr>
        <w:spacing w:line="240" w:lineRule="auto"/>
        <w:rPr>
          <w:rFonts w:ascii="Microsoft Sans Serif" w:eastAsia="Microsoft Sans Serif" w:hAnsi="Microsoft Sans Serif" w:cs="Microsoft Sans Serif"/>
          <w:i/>
        </w:rPr>
      </w:pPr>
      <w:bookmarkStart w:id="2" w:name="_Hlk526410621"/>
      <w:r w:rsidRPr="001705C0">
        <w:rPr>
          <w:rFonts w:ascii="Microsoft Sans Serif" w:eastAsia="Microsoft Sans Serif" w:hAnsi="Microsoft Sans Serif" w:cs="Microsoft Sans Serif"/>
          <w:i/>
        </w:rPr>
        <w:t>(Revised 12/5/18)</w:t>
      </w:r>
    </w:p>
    <w:p w14:paraId="6667D2BD" w14:textId="77777777" w:rsidR="001705C0" w:rsidRPr="001705C0" w:rsidRDefault="001705C0" w:rsidP="001705C0">
      <w:pPr>
        <w:spacing w:line="240" w:lineRule="auto"/>
        <w:rPr>
          <w:rFonts w:ascii="Microsoft Sans Serif" w:eastAsia="Microsoft Sans Serif" w:hAnsi="Microsoft Sans Serif" w:cs="Microsoft Sans Serif"/>
        </w:rPr>
      </w:pPr>
    </w:p>
    <w:p w14:paraId="380C772D" w14:textId="77777777" w:rsidR="001705C0" w:rsidRPr="001705C0" w:rsidRDefault="001705C0" w:rsidP="001705C0">
      <w:pPr>
        <w:spacing w:line="240" w:lineRule="auto"/>
        <w:rPr>
          <w:rFonts w:ascii="Microsoft Sans Serif" w:eastAsia="Microsoft Sans Serif" w:hAnsi="Microsoft Sans Serif" w:cs="Microsoft Sans Serif"/>
        </w:rPr>
        <w:sectPr w:rsidR="001705C0" w:rsidRPr="001705C0">
          <w:footerReference w:type="default" r:id="rId8"/>
          <w:pgSz w:w="12240" w:h="15840"/>
          <w:pgMar w:top="1440" w:right="1440" w:bottom="1440" w:left="1440" w:header="720" w:footer="720" w:gutter="0"/>
          <w:cols w:space="720"/>
          <w:docGrid w:linePitch="360"/>
        </w:sectPr>
      </w:pPr>
    </w:p>
    <w:p w14:paraId="5144BD02"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TODD S STEWART ESQUIRE</w:t>
      </w:r>
    </w:p>
    <w:p w14:paraId="5513D064"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BRYCE R BEARD ESQUIRE</w:t>
      </w:r>
    </w:p>
    <w:p w14:paraId="742E5DEC"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HAWKE MCKEON AND SNISCAK LLP</w:t>
      </w:r>
    </w:p>
    <w:p w14:paraId="31D61F85" w14:textId="77777777" w:rsidR="001705C0" w:rsidRPr="001705C0" w:rsidRDefault="001705C0" w:rsidP="001705C0">
      <w:pPr>
        <w:spacing w:line="240" w:lineRule="auto"/>
        <w:rPr>
          <w:rFonts w:ascii="Microsoft Sans Serif" w:eastAsia="Microsoft Sans Serif" w:hAnsi="Microsoft Sans Serif" w:cs="Microsoft Sans Serif"/>
          <w:caps/>
        </w:rPr>
      </w:pPr>
      <w:r w:rsidRPr="001705C0">
        <w:rPr>
          <w:rFonts w:ascii="Microsoft Sans Serif" w:eastAsia="Microsoft Sans Serif" w:hAnsi="Microsoft Sans Serif" w:cs="Microsoft Sans Serif"/>
        </w:rPr>
        <w:t xml:space="preserve">100 </w:t>
      </w:r>
      <w:r w:rsidRPr="001705C0">
        <w:rPr>
          <w:rFonts w:ascii="Microsoft Sans Serif" w:eastAsia="Microsoft Sans Serif" w:hAnsi="Microsoft Sans Serif" w:cs="Microsoft Sans Serif"/>
          <w:caps/>
        </w:rPr>
        <w:t>North Tenth Street</w:t>
      </w:r>
    </w:p>
    <w:p w14:paraId="7E8403A9"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HARRISBURG PA  17101</w:t>
      </w:r>
    </w:p>
    <w:p w14:paraId="298D5C23"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b/>
        </w:rPr>
        <w:t>717.236.1300</w:t>
      </w:r>
    </w:p>
    <w:p w14:paraId="2F147A5D"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i/>
        </w:rPr>
        <w:t>Representing Knox Energ</w:t>
      </w:r>
      <w:r w:rsidRPr="001705C0">
        <w:rPr>
          <w:rFonts w:ascii="Microsoft Sans Serif" w:eastAsia="Microsoft Sans Serif" w:hAnsi="Microsoft Sans Serif" w:cs="Microsoft Sans Serif"/>
        </w:rPr>
        <w:t>y</w:t>
      </w:r>
    </w:p>
    <w:p w14:paraId="3FA71ED9" w14:textId="77777777" w:rsidR="001705C0" w:rsidRPr="001705C0" w:rsidRDefault="001705C0" w:rsidP="001705C0">
      <w:pPr>
        <w:spacing w:line="240" w:lineRule="auto"/>
        <w:rPr>
          <w:rFonts w:eastAsia="Times New Roman"/>
          <w:sz w:val="20"/>
        </w:rPr>
      </w:pPr>
      <w:r w:rsidRPr="001705C0">
        <w:rPr>
          <w:rFonts w:ascii="Microsoft Sans Serif" w:eastAsia="Microsoft Sans Serif" w:hAnsi="Microsoft Sans Serif" w:cs="Microsoft Sans Serif"/>
          <w:b/>
          <w:i/>
          <w:u w:val="single"/>
        </w:rPr>
        <w:t>ACCEPTS E-SERVICE</w:t>
      </w:r>
    </w:p>
    <w:p w14:paraId="0957353D" w14:textId="77777777" w:rsidR="001705C0" w:rsidRPr="001705C0" w:rsidRDefault="001705C0" w:rsidP="001705C0">
      <w:pPr>
        <w:spacing w:line="240" w:lineRule="auto"/>
        <w:rPr>
          <w:rFonts w:ascii="Microsoft Sans Serif" w:eastAsia="Microsoft Sans Serif" w:hAnsi="Microsoft Sans Serif" w:cs="Microsoft Sans Serif"/>
        </w:rPr>
      </w:pPr>
    </w:p>
    <w:p w14:paraId="38657866" w14:textId="77777777" w:rsidR="00096409" w:rsidRPr="00096409" w:rsidRDefault="00096409" w:rsidP="00096409">
      <w:pPr>
        <w:spacing w:line="240" w:lineRule="auto"/>
        <w:rPr>
          <w:rFonts w:ascii="Microsoft Sans Serif" w:eastAsia="Times New Roman" w:hAnsi="Microsoft Sans Serif" w:cs="Microsoft Sans Serif"/>
          <w:szCs w:val="24"/>
        </w:rPr>
      </w:pPr>
      <w:r w:rsidRPr="00096409">
        <w:rPr>
          <w:rFonts w:ascii="Microsoft Sans Serif" w:eastAsia="Times New Roman" w:hAnsi="Microsoft Sans Serif" w:cs="Microsoft Sans Serif"/>
          <w:szCs w:val="24"/>
        </w:rPr>
        <w:t>*CHRISTY M APPLEBY ESQUIRE</w:t>
      </w:r>
    </w:p>
    <w:p w14:paraId="27C8C037" w14:textId="77777777" w:rsidR="00096409" w:rsidRPr="00096409" w:rsidRDefault="00096409" w:rsidP="00096409">
      <w:pPr>
        <w:spacing w:line="240" w:lineRule="auto"/>
        <w:rPr>
          <w:rFonts w:ascii="Microsoft Sans Serif" w:eastAsia="Times New Roman" w:hAnsi="Microsoft Sans Serif" w:cs="Microsoft Sans Serif"/>
          <w:szCs w:val="24"/>
        </w:rPr>
      </w:pPr>
      <w:r w:rsidRPr="00096409">
        <w:rPr>
          <w:rFonts w:ascii="Microsoft Sans Serif" w:eastAsia="Times New Roman" w:hAnsi="Microsoft Sans Serif" w:cs="Microsoft Sans Serif"/>
          <w:szCs w:val="24"/>
        </w:rPr>
        <w:t>DARRYL A LAWRENCE ESQUIRE</w:t>
      </w:r>
    </w:p>
    <w:p w14:paraId="34E36944" w14:textId="77777777" w:rsidR="001705C0" w:rsidRPr="001705C0" w:rsidRDefault="001705C0" w:rsidP="001705C0">
      <w:pPr>
        <w:spacing w:line="240" w:lineRule="auto"/>
        <w:rPr>
          <w:rFonts w:ascii="Microsoft Sans Serif" w:eastAsia="Times New Roman" w:hAnsi="Microsoft Sans Serif" w:cs="Microsoft Sans Serif"/>
          <w:szCs w:val="24"/>
        </w:rPr>
      </w:pPr>
      <w:r w:rsidRPr="001705C0">
        <w:rPr>
          <w:rFonts w:ascii="Microsoft Sans Serif" w:eastAsia="Times New Roman" w:hAnsi="Microsoft Sans Serif" w:cs="Microsoft Sans Serif"/>
          <w:szCs w:val="24"/>
        </w:rPr>
        <w:t>DIANNE E DUSMAN ESQUIRE</w:t>
      </w:r>
    </w:p>
    <w:p w14:paraId="134A250E" w14:textId="77777777" w:rsidR="001705C0" w:rsidRPr="001705C0" w:rsidRDefault="001705C0" w:rsidP="001705C0">
      <w:pPr>
        <w:spacing w:line="240" w:lineRule="auto"/>
        <w:rPr>
          <w:rFonts w:ascii="Microsoft Sans Serif" w:eastAsia="Times New Roman" w:hAnsi="Microsoft Sans Serif" w:cs="Microsoft Sans Serif"/>
          <w:szCs w:val="24"/>
        </w:rPr>
      </w:pPr>
      <w:r w:rsidRPr="001705C0">
        <w:rPr>
          <w:rFonts w:ascii="Microsoft Sans Serif" w:eastAsia="Times New Roman" w:hAnsi="Microsoft Sans Serif" w:cs="Microsoft Sans Serif"/>
          <w:szCs w:val="24"/>
        </w:rPr>
        <w:t>OFFICE OF CONSUMER ADVOCATE</w:t>
      </w:r>
    </w:p>
    <w:p w14:paraId="1E7C4B47" w14:textId="77777777" w:rsidR="001705C0" w:rsidRPr="001705C0" w:rsidRDefault="001705C0" w:rsidP="001705C0">
      <w:pPr>
        <w:spacing w:line="240" w:lineRule="auto"/>
        <w:rPr>
          <w:rFonts w:ascii="Microsoft Sans Serif" w:eastAsia="Times New Roman" w:hAnsi="Microsoft Sans Serif" w:cs="Microsoft Sans Serif"/>
          <w:szCs w:val="24"/>
        </w:rPr>
      </w:pPr>
      <w:r w:rsidRPr="001705C0">
        <w:rPr>
          <w:rFonts w:ascii="Microsoft Sans Serif" w:eastAsia="Times New Roman" w:hAnsi="Microsoft Sans Serif" w:cs="Microsoft Sans Serif"/>
          <w:szCs w:val="24"/>
        </w:rPr>
        <w:t>555 WALNUT STREET 5TH FLOOR</w:t>
      </w:r>
    </w:p>
    <w:p w14:paraId="21609752" w14:textId="77777777" w:rsidR="001705C0" w:rsidRPr="001705C0" w:rsidRDefault="001705C0" w:rsidP="001705C0">
      <w:pPr>
        <w:spacing w:line="240" w:lineRule="auto"/>
        <w:rPr>
          <w:rFonts w:ascii="Microsoft Sans Serif" w:eastAsia="Times New Roman" w:hAnsi="Microsoft Sans Serif" w:cs="Microsoft Sans Serif"/>
          <w:szCs w:val="24"/>
        </w:rPr>
      </w:pPr>
      <w:r w:rsidRPr="001705C0">
        <w:rPr>
          <w:rFonts w:ascii="Microsoft Sans Serif" w:eastAsia="Times New Roman" w:hAnsi="Microsoft Sans Serif" w:cs="Microsoft Sans Serif"/>
          <w:szCs w:val="24"/>
        </w:rPr>
        <w:t>HARRISBURG PA 17101-1923</w:t>
      </w:r>
    </w:p>
    <w:p w14:paraId="1199E4EE" w14:textId="77777777" w:rsidR="001705C0" w:rsidRPr="001705C0" w:rsidRDefault="001705C0" w:rsidP="001705C0">
      <w:pPr>
        <w:spacing w:line="240" w:lineRule="auto"/>
        <w:rPr>
          <w:rFonts w:ascii="Microsoft Sans Serif" w:eastAsia="Times New Roman" w:hAnsi="Microsoft Sans Serif" w:cs="Microsoft Sans Serif"/>
          <w:b/>
          <w:szCs w:val="24"/>
        </w:rPr>
      </w:pPr>
      <w:r w:rsidRPr="001705C0">
        <w:rPr>
          <w:rFonts w:ascii="Microsoft Sans Serif" w:eastAsia="Times New Roman" w:hAnsi="Microsoft Sans Serif" w:cs="Microsoft Sans Serif"/>
          <w:b/>
          <w:szCs w:val="24"/>
        </w:rPr>
        <w:t>717.783.5048</w:t>
      </w:r>
    </w:p>
    <w:p w14:paraId="57F04485" w14:textId="77777777" w:rsidR="001705C0" w:rsidRPr="001705C0" w:rsidRDefault="001705C0" w:rsidP="001705C0">
      <w:pPr>
        <w:spacing w:line="240" w:lineRule="auto"/>
        <w:rPr>
          <w:rFonts w:ascii="Microsoft Sans Serif" w:eastAsia="Times New Roman" w:hAnsi="Microsoft Sans Serif" w:cs="Microsoft Sans Serif"/>
          <w:i/>
          <w:szCs w:val="24"/>
        </w:rPr>
      </w:pPr>
      <w:r w:rsidRPr="001705C0">
        <w:rPr>
          <w:rFonts w:ascii="Microsoft Sans Serif" w:eastAsia="Times New Roman" w:hAnsi="Microsoft Sans Serif" w:cs="Microsoft Sans Serif"/>
          <w:i/>
          <w:szCs w:val="24"/>
        </w:rPr>
        <w:t>Representing OCA</w:t>
      </w:r>
    </w:p>
    <w:p w14:paraId="378175CA" w14:textId="77777777" w:rsidR="001705C0" w:rsidRPr="001705C0" w:rsidRDefault="001705C0" w:rsidP="001705C0">
      <w:pPr>
        <w:spacing w:line="240" w:lineRule="auto"/>
        <w:rPr>
          <w:rFonts w:ascii="Microsoft Sans Serif" w:eastAsia="Microsoft Sans Serif" w:hAnsi="Microsoft Sans Serif" w:cs="Microsoft Sans Serif"/>
          <w:b/>
          <w:i/>
          <w:szCs w:val="24"/>
          <w:u w:val="single"/>
        </w:rPr>
      </w:pPr>
      <w:r w:rsidRPr="001705C0">
        <w:rPr>
          <w:rFonts w:ascii="Microsoft Sans Serif" w:eastAsia="Microsoft Sans Serif" w:hAnsi="Microsoft Sans Serif" w:cs="Microsoft Sans Serif"/>
          <w:b/>
          <w:i/>
          <w:szCs w:val="24"/>
          <w:u w:val="single"/>
        </w:rPr>
        <w:t>*ACCEPTS E-SERVICE</w:t>
      </w:r>
    </w:p>
    <w:p w14:paraId="7C908731" w14:textId="77777777" w:rsidR="001705C0" w:rsidRPr="001705C0" w:rsidRDefault="001705C0" w:rsidP="001705C0">
      <w:pPr>
        <w:spacing w:line="240" w:lineRule="auto"/>
        <w:rPr>
          <w:rFonts w:ascii="Microsoft Sans Serif" w:eastAsia="Microsoft Sans Serif" w:hAnsi="Microsoft Sans Serif" w:cs="Microsoft Sans Serif"/>
        </w:rPr>
      </w:pPr>
    </w:p>
    <w:p w14:paraId="4F9F6793"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MICHAEL G DEEGAN</w:t>
      </w:r>
    </w:p>
    <w:p w14:paraId="31554726"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4141 ELLWOOD RD</w:t>
      </w:r>
    </w:p>
    <w:p w14:paraId="2F9740FE"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NEW CASTLE PA  16101</w:t>
      </w:r>
    </w:p>
    <w:bookmarkEnd w:id="2"/>
    <w:p w14:paraId="58A50EFD"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724.924.9418</w:t>
      </w:r>
    </w:p>
    <w:p w14:paraId="4F3CDB06"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C-2018-3004165</w:t>
      </w:r>
    </w:p>
    <w:p w14:paraId="6CAB4A39" w14:textId="77777777" w:rsidR="001705C0" w:rsidRPr="001705C0" w:rsidRDefault="001705C0" w:rsidP="001705C0">
      <w:pPr>
        <w:spacing w:line="240" w:lineRule="auto"/>
        <w:rPr>
          <w:rFonts w:ascii="Microsoft Sans Serif" w:eastAsia="Microsoft Sans Serif" w:hAnsi="Microsoft Sans Serif" w:cs="Microsoft Sans Serif"/>
          <w:b/>
          <w:i/>
        </w:rPr>
      </w:pPr>
    </w:p>
    <w:p w14:paraId="024B4CC5"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CHARLES E SPINDLER</w:t>
      </w:r>
    </w:p>
    <w:p w14:paraId="1DCCCFF3"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PO BOX 15</w:t>
      </w:r>
    </w:p>
    <w:p w14:paraId="55526177"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FISHER PA  16225</w:t>
      </w:r>
    </w:p>
    <w:p w14:paraId="5471E7F3"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814.764.3493</w:t>
      </w:r>
    </w:p>
    <w:p w14:paraId="30DC2753"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C-2018-3004179</w:t>
      </w:r>
    </w:p>
    <w:p w14:paraId="08DD7106" w14:textId="77777777" w:rsidR="001705C0" w:rsidRPr="001705C0" w:rsidRDefault="001705C0" w:rsidP="001705C0">
      <w:pPr>
        <w:spacing w:line="240" w:lineRule="auto"/>
        <w:rPr>
          <w:rFonts w:ascii="Microsoft Sans Serif" w:eastAsia="Microsoft Sans Serif" w:hAnsi="Microsoft Sans Serif" w:cs="Microsoft Sans Serif"/>
          <w:b/>
          <w:i/>
        </w:rPr>
      </w:pPr>
    </w:p>
    <w:p w14:paraId="3245ACCD"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CHERIE RODDY</w:t>
      </w:r>
    </w:p>
    <w:p w14:paraId="36030219"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839 DEAVER LANE</w:t>
      </w:r>
    </w:p>
    <w:p w14:paraId="2C7459D1"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CREVECOEUR MO  63141</w:t>
      </w:r>
    </w:p>
    <w:p w14:paraId="06A66D83"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314.569.0438</w:t>
      </w:r>
    </w:p>
    <w:p w14:paraId="39C3F21D"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C-2018-3004201</w:t>
      </w:r>
    </w:p>
    <w:p w14:paraId="2D2C0CDE" w14:textId="77777777" w:rsidR="001705C0" w:rsidRPr="001705C0" w:rsidRDefault="001705C0" w:rsidP="001705C0">
      <w:pPr>
        <w:spacing w:line="240" w:lineRule="auto"/>
        <w:rPr>
          <w:rFonts w:ascii="Microsoft Sans Serif" w:eastAsia="Microsoft Sans Serif" w:hAnsi="Microsoft Sans Serif" w:cs="Microsoft Sans Serif"/>
          <w:b/>
          <w:i/>
        </w:rPr>
      </w:pPr>
    </w:p>
    <w:p w14:paraId="0DF65B52"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JOYCE FEDUSA</w:t>
      </w:r>
    </w:p>
    <w:p w14:paraId="3F1A14E2"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THOMAS FEDUSA</w:t>
      </w:r>
    </w:p>
    <w:p w14:paraId="669FEF80"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102 DEER DRIVE</w:t>
      </w:r>
    </w:p>
    <w:p w14:paraId="20B3F3B1"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NEW KENSINGTON PA  15068</w:t>
      </w:r>
    </w:p>
    <w:p w14:paraId="3298A03F"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724.335.8407</w:t>
      </w:r>
    </w:p>
    <w:p w14:paraId="24486DA6"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C-2018-3004342</w:t>
      </w:r>
    </w:p>
    <w:p w14:paraId="09A34E34" w14:textId="77777777" w:rsidR="001705C0" w:rsidRPr="001705C0" w:rsidRDefault="001705C0" w:rsidP="001705C0">
      <w:pPr>
        <w:spacing w:line="240" w:lineRule="auto"/>
        <w:rPr>
          <w:rFonts w:ascii="Microsoft Sans Serif" w:eastAsia="Microsoft Sans Serif" w:hAnsi="Microsoft Sans Serif" w:cs="Microsoft Sans Serif"/>
          <w:b/>
          <w:i/>
        </w:rPr>
      </w:pPr>
    </w:p>
    <w:p w14:paraId="58FBCCA6"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NANCY R NAIL</w:t>
      </w:r>
    </w:p>
    <w:p w14:paraId="4EE6D924"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137 NORTH ASPEN COURT APT 1</w:t>
      </w:r>
    </w:p>
    <w:p w14:paraId="092515F2"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WARREN OH  44484</w:t>
      </w:r>
    </w:p>
    <w:p w14:paraId="6EC78C8C"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321.422.0472</w:t>
      </w:r>
    </w:p>
    <w:p w14:paraId="7867DA6E"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C-2018-3004346</w:t>
      </w:r>
    </w:p>
    <w:p w14:paraId="4333ACAA" w14:textId="77777777" w:rsidR="001705C0" w:rsidRPr="001705C0" w:rsidRDefault="001705C0" w:rsidP="001705C0">
      <w:pPr>
        <w:spacing w:line="240" w:lineRule="auto"/>
        <w:rPr>
          <w:rFonts w:ascii="Microsoft Sans Serif" w:eastAsia="Microsoft Sans Serif" w:hAnsi="Microsoft Sans Serif" w:cs="Microsoft Sans Serif"/>
          <w:b/>
          <w:i/>
        </w:rPr>
      </w:pPr>
    </w:p>
    <w:p w14:paraId="3073D598"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MELVIN BINES</w:t>
      </w:r>
    </w:p>
    <w:p w14:paraId="66D5E7E8"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2682 GRAVEL LICK ROAD</w:t>
      </w:r>
    </w:p>
    <w:p w14:paraId="372E9842"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LEEPER PA  16233</w:t>
      </w:r>
    </w:p>
    <w:p w14:paraId="1193E1D0"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814.764.3132</w:t>
      </w:r>
    </w:p>
    <w:p w14:paraId="714AA720"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C-2018-3004354</w:t>
      </w:r>
    </w:p>
    <w:p w14:paraId="57FA6A2A" w14:textId="77777777" w:rsidR="001705C0" w:rsidRPr="001705C0" w:rsidRDefault="001705C0" w:rsidP="001705C0">
      <w:pPr>
        <w:spacing w:line="240" w:lineRule="auto"/>
        <w:rPr>
          <w:rFonts w:ascii="Microsoft Sans Serif" w:eastAsia="Microsoft Sans Serif" w:hAnsi="Microsoft Sans Serif" w:cs="Microsoft Sans Serif"/>
          <w:b/>
          <w:i/>
        </w:rPr>
      </w:pPr>
    </w:p>
    <w:p w14:paraId="3CC7AAB2"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NORMA D FRITZ</w:t>
      </w:r>
    </w:p>
    <w:p w14:paraId="52EC358C"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2040 ST RT 88</w:t>
      </w:r>
    </w:p>
    <w:p w14:paraId="4ACF0F41"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FINLEYVILLE PA 15332</w:t>
      </w:r>
    </w:p>
    <w:p w14:paraId="048910D3"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724.263.2678</w:t>
      </w:r>
    </w:p>
    <w:p w14:paraId="19572AD3"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C-2018-3004411</w:t>
      </w:r>
    </w:p>
    <w:p w14:paraId="40128EA9" w14:textId="77777777" w:rsidR="001705C0" w:rsidRPr="001705C0" w:rsidRDefault="001705C0" w:rsidP="001705C0">
      <w:pPr>
        <w:spacing w:line="240" w:lineRule="auto"/>
        <w:rPr>
          <w:rFonts w:ascii="Microsoft Sans Serif" w:eastAsia="Microsoft Sans Serif" w:hAnsi="Microsoft Sans Serif" w:cs="Microsoft Sans Serif"/>
          <w:b/>
        </w:rPr>
      </w:pPr>
    </w:p>
    <w:p w14:paraId="22F7B11A"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JAMES LEACH</w:t>
      </w:r>
    </w:p>
    <w:p w14:paraId="135205C5"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PO BOX 42</w:t>
      </w:r>
    </w:p>
    <w:p w14:paraId="4CB40971"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ROME OH  44085</w:t>
      </w:r>
    </w:p>
    <w:p w14:paraId="31DB1AB4"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440.567.6760</w:t>
      </w:r>
    </w:p>
    <w:p w14:paraId="3D9C3F63"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C-2018-3004411</w:t>
      </w:r>
    </w:p>
    <w:p w14:paraId="2E388432" w14:textId="77777777" w:rsidR="001705C0" w:rsidRPr="001705C0" w:rsidRDefault="001705C0" w:rsidP="001705C0">
      <w:pPr>
        <w:spacing w:line="240" w:lineRule="auto"/>
        <w:rPr>
          <w:rFonts w:ascii="Microsoft Sans Serif" w:eastAsia="Microsoft Sans Serif" w:hAnsi="Microsoft Sans Serif" w:cs="Microsoft Sans Serif"/>
          <w:b/>
          <w:i/>
        </w:rPr>
      </w:pPr>
    </w:p>
    <w:p w14:paraId="493433BA"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JAMES HOLLENBAUGH</w:t>
      </w:r>
    </w:p>
    <w:p w14:paraId="72B13DEF"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2662 GRAVEL LICK ROAD</w:t>
      </w:r>
    </w:p>
    <w:p w14:paraId="14A1F216" w14:textId="77777777" w:rsidR="001705C0" w:rsidRPr="001705C0" w:rsidRDefault="001705C0" w:rsidP="001705C0">
      <w:pPr>
        <w:spacing w:line="240" w:lineRule="auto"/>
        <w:rPr>
          <w:rFonts w:ascii="Microsoft Sans Serif" w:eastAsia="Microsoft Sans Serif" w:hAnsi="Microsoft Sans Serif" w:cs="Microsoft Sans Serif"/>
        </w:rPr>
      </w:pPr>
      <w:r w:rsidRPr="001705C0">
        <w:rPr>
          <w:rFonts w:ascii="Microsoft Sans Serif" w:eastAsia="Microsoft Sans Serif" w:hAnsi="Microsoft Sans Serif" w:cs="Microsoft Sans Serif"/>
        </w:rPr>
        <w:t>LEEPER PA  16233</w:t>
      </w:r>
    </w:p>
    <w:p w14:paraId="23D0FE00" w14:textId="77777777" w:rsidR="001705C0" w:rsidRPr="001705C0" w:rsidRDefault="001705C0" w:rsidP="001705C0">
      <w:pPr>
        <w:spacing w:line="240" w:lineRule="auto"/>
        <w:rPr>
          <w:rFonts w:ascii="Microsoft Sans Serif" w:eastAsia="Microsoft Sans Serif" w:hAnsi="Microsoft Sans Serif" w:cs="Microsoft Sans Serif"/>
          <w:b/>
        </w:rPr>
      </w:pPr>
      <w:r w:rsidRPr="001705C0">
        <w:rPr>
          <w:rFonts w:ascii="Microsoft Sans Serif" w:eastAsia="Microsoft Sans Serif" w:hAnsi="Microsoft Sans Serif" w:cs="Microsoft Sans Serif"/>
          <w:b/>
        </w:rPr>
        <w:t>814.764.6170</w:t>
      </w:r>
    </w:p>
    <w:p w14:paraId="23AD0ED5" w14:textId="77777777" w:rsidR="001705C0" w:rsidRPr="001705C0" w:rsidRDefault="001705C0" w:rsidP="001705C0">
      <w:pPr>
        <w:spacing w:line="240" w:lineRule="auto"/>
        <w:rPr>
          <w:rFonts w:ascii="Microsoft Sans Serif" w:eastAsia="Microsoft Sans Serif" w:hAnsi="Microsoft Sans Serif" w:cs="Microsoft Sans Serif"/>
          <w:b/>
          <w:i/>
        </w:rPr>
      </w:pPr>
      <w:r w:rsidRPr="001705C0">
        <w:rPr>
          <w:rFonts w:ascii="Microsoft Sans Serif" w:eastAsia="Microsoft Sans Serif" w:hAnsi="Microsoft Sans Serif" w:cs="Microsoft Sans Serif"/>
          <w:b/>
          <w:i/>
        </w:rPr>
        <w:t>C-2018-3004524</w:t>
      </w:r>
    </w:p>
    <w:p w14:paraId="411ECA22" w14:textId="77777777" w:rsidR="001705C0" w:rsidRPr="001705C0" w:rsidRDefault="001705C0" w:rsidP="001705C0">
      <w:pPr>
        <w:spacing w:line="240" w:lineRule="auto"/>
        <w:rPr>
          <w:rFonts w:ascii="Microsoft Sans Serif" w:eastAsia="Microsoft Sans Serif" w:hAnsi="Microsoft Sans Serif" w:cs="Microsoft Sans Serif"/>
          <w:b/>
        </w:rPr>
        <w:sectPr w:rsidR="001705C0" w:rsidRPr="001705C0" w:rsidSect="000230F4">
          <w:type w:val="continuous"/>
          <w:pgSz w:w="12240" w:h="15840"/>
          <w:pgMar w:top="1440" w:right="1440" w:bottom="1440" w:left="1440" w:header="720" w:footer="720" w:gutter="0"/>
          <w:cols w:num="2" w:space="720"/>
          <w:docGrid w:linePitch="360"/>
        </w:sectPr>
      </w:pPr>
    </w:p>
    <w:p w14:paraId="553D6280" w14:textId="77777777" w:rsidR="001705C0" w:rsidRPr="001705C0" w:rsidRDefault="001705C0" w:rsidP="001705C0">
      <w:pPr>
        <w:spacing w:line="240" w:lineRule="auto"/>
        <w:rPr>
          <w:rFonts w:eastAsia="Times New Roman"/>
          <w:sz w:val="20"/>
        </w:rPr>
      </w:pPr>
    </w:p>
    <w:p w14:paraId="2EF8B4C6" w14:textId="77777777" w:rsidR="001705C0" w:rsidRPr="00333ADE" w:rsidRDefault="001705C0" w:rsidP="00333ADE">
      <w:pPr>
        <w:tabs>
          <w:tab w:val="left" w:pos="1440"/>
        </w:tabs>
        <w:spacing w:line="240" w:lineRule="auto"/>
        <w:rPr>
          <w:rFonts w:eastAsia="Times New Roman"/>
          <w:szCs w:val="24"/>
        </w:rPr>
      </w:pPr>
    </w:p>
    <w:sectPr w:rsidR="001705C0" w:rsidRPr="00333ADE" w:rsidSect="000230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7DA9B" w14:textId="77777777" w:rsidR="00593FFB" w:rsidRDefault="00593FFB" w:rsidP="008516F6">
      <w:pPr>
        <w:spacing w:line="240" w:lineRule="auto"/>
      </w:pPr>
      <w:r>
        <w:separator/>
      </w:r>
    </w:p>
  </w:endnote>
  <w:endnote w:type="continuationSeparator" w:id="0">
    <w:p w14:paraId="0E488F06" w14:textId="77777777" w:rsidR="00593FFB" w:rsidRDefault="00593FFB"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105087"/>
      <w:docPartObj>
        <w:docPartGallery w:val="Page Numbers (Bottom of Page)"/>
        <w:docPartUnique/>
      </w:docPartObj>
    </w:sdtPr>
    <w:sdtEndPr>
      <w:rPr>
        <w:noProof/>
        <w:sz w:val="20"/>
      </w:rPr>
    </w:sdtEndPr>
    <w:sdtContent>
      <w:p w14:paraId="3B632800" w14:textId="77777777" w:rsidR="001705C0" w:rsidRPr="001705C0" w:rsidRDefault="001705C0">
        <w:pPr>
          <w:pStyle w:val="Footer"/>
          <w:jc w:val="center"/>
          <w:rPr>
            <w:sz w:val="20"/>
          </w:rPr>
        </w:pPr>
        <w:r w:rsidRPr="001705C0">
          <w:rPr>
            <w:sz w:val="20"/>
          </w:rPr>
          <w:fldChar w:fldCharType="begin"/>
        </w:r>
        <w:r w:rsidRPr="001705C0">
          <w:rPr>
            <w:sz w:val="20"/>
          </w:rPr>
          <w:instrText xml:space="preserve"> PAGE   \* MERGEFORMAT </w:instrText>
        </w:r>
        <w:r w:rsidRPr="001705C0">
          <w:rPr>
            <w:sz w:val="20"/>
          </w:rPr>
          <w:fldChar w:fldCharType="separate"/>
        </w:r>
        <w:r w:rsidRPr="001705C0">
          <w:rPr>
            <w:noProof/>
            <w:sz w:val="20"/>
          </w:rPr>
          <w:t>2</w:t>
        </w:r>
        <w:r w:rsidRPr="001705C0">
          <w:rPr>
            <w:noProof/>
            <w:sz w:val="20"/>
          </w:rPr>
          <w:fldChar w:fldCharType="end"/>
        </w:r>
      </w:p>
    </w:sdtContent>
  </w:sdt>
  <w:p w14:paraId="66024D3B" w14:textId="77777777" w:rsidR="00B329E6" w:rsidRDefault="00B32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459BF" w14:textId="77777777" w:rsidR="007313B4" w:rsidRPr="001705C0" w:rsidRDefault="007313B4">
    <w:pPr>
      <w:pStyle w:val="Footer"/>
      <w:jc w:val="center"/>
      <w:rPr>
        <w:sz w:val="20"/>
      </w:rPr>
    </w:pPr>
  </w:p>
  <w:p w14:paraId="5DE3F50A" w14:textId="77777777" w:rsidR="007313B4" w:rsidRDefault="00731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181C1" w14:textId="77777777" w:rsidR="00593FFB" w:rsidRDefault="00593FFB" w:rsidP="008516F6">
      <w:pPr>
        <w:spacing w:line="240" w:lineRule="auto"/>
      </w:pPr>
      <w:r>
        <w:separator/>
      </w:r>
    </w:p>
  </w:footnote>
  <w:footnote w:type="continuationSeparator" w:id="0">
    <w:p w14:paraId="5E6047C0" w14:textId="77777777" w:rsidR="00593FFB" w:rsidRDefault="00593FFB" w:rsidP="008516F6">
      <w:pPr>
        <w:spacing w:line="240" w:lineRule="auto"/>
      </w:pPr>
      <w:r>
        <w:continuationSeparator/>
      </w:r>
    </w:p>
  </w:footnote>
  <w:footnote w:id="1">
    <w:p w14:paraId="4797F8D2" w14:textId="77777777" w:rsidR="00B65812" w:rsidRDefault="00B65812">
      <w:pPr>
        <w:pStyle w:val="FootnoteText"/>
      </w:pPr>
      <w:r>
        <w:rPr>
          <w:rStyle w:val="FootnoteReference"/>
        </w:rPr>
        <w:footnoteRef/>
      </w:r>
      <w:r>
        <w:t xml:space="preserve">  </w:t>
      </w:r>
      <w:r>
        <w:tab/>
        <w:t>C-2018-3004411.</w:t>
      </w:r>
    </w:p>
  </w:footnote>
  <w:footnote w:id="2">
    <w:p w14:paraId="2C315A9F" w14:textId="77777777" w:rsidR="00B65812" w:rsidRDefault="00B65812">
      <w:pPr>
        <w:pStyle w:val="FootnoteText"/>
      </w:pPr>
      <w:r>
        <w:rPr>
          <w:rStyle w:val="FootnoteReference"/>
        </w:rPr>
        <w:footnoteRef/>
      </w:r>
      <w:r>
        <w:t xml:space="preserve">  </w:t>
      </w:r>
      <w:r>
        <w:tab/>
        <w:t>OCA Motion, Paragraph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96409"/>
    <w:rsid w:val="000B3B5A"/>
    <w:rsid w:val="000B4F98"/>
    <w:rsid w:val="000E3EDE"/>
    <w:rsid w:val="00107E82"/>
    <w:rsid w:val="00120063"/>
    <w:rsid w:val="00131D89"/>
    <w:rsid w:val="00144ED7"/>
    <w:rsid w:val="00153DC0"/>
    <w:rsid w:val="00156D5E"/>
    <w:rsid w:val="001705C0"/>
    <w:rsid w:val="00190092"/>
    <w:rsid w:val="00192DB1"/>
    <w:rsid w:val="001A1158"/>
    <w:rsid w:val="001A21B6"/>
    <w:rsid w:val="001B1CBA"/>
    <w:rsid w:val="001D10C1"/>
    <w:rsid w:val="001D2AF7"/>
    <w:rsid w:val="00207743"/>
    <w:rsid w:val="00213167"/>
    <w:rsid w:val="00215820"/>
    <w:rsid w:val="002512F9"/>
    <w:rsid w:val="00294FBC"/>
    <w:rsid w:val="002D6BE3"/>
    <w:rsid w:val="00310860"/>
    <w:rsid w:val="003145FA"/>
    <w:rsid w:val="00333ADE"/>
    <w:rsid w:val="00367A41"/>
    <w:rsid w:val="003704A4"/>
    <w:rsid w:val="00393C92"/>
    <w:rsid w:val="003A3CD9"/>
    <w:rsid w:val="003A3E09"/>
    <w:rsid w:val="003A43B1"/>
    <w:rsid w:val="003B0A9B"/>
    <w:rsid w:val="00466CD1"/>
    <w:rsid w:val="004805D2"/>
    <w:rsid w:val="004918E8"/>
    <w:rsid w:val="00493D29"/>
    <w:rsid w:val="004A0B6F"/>
    <w:rsid w:val="004C484A"/>
    <w:rsid w:val="004D523C"/>
    <w:rsid w:val="004E1193"/>
    <w:rsid w:val="005160A7"/>
    <w:rsid w:val="00592439"/>
    <w:rsid w:val="00593FFB"/>
    <w:rsid w:val="005A1C17"/>
    <w:rsid w:val="005A2ABA"/>
    <w:rsid w:val="005B4839"/>
    <w:rsid w:val="005C42AC"/>
    <w:rsid w:val="005D180A"/>
    <w:rsid w:val="005E0923"/>
    <w:rsid w:val="005E7B69"/>
    <w:rsid w:val="0061775F"/>
    <w:rsid w:val="006205F9"/>
    <w:rsid w:val="0062458E"/>
    <w:rsid w:val="0062613C"/>
    <w:rsid w:val="00632086"/>
    <w:rsid w:val="00642D9C"/>
    <w:rsid w:val="00650E56"/>
    <w:rsid w:val="00696C0D"/>
    <w:rsid w:val="006F0329"/>
    <w:rsid w:val="00700807"/>
    <w:rsid w:val="00707E09"/>
    <w:rsid w:val="00712E58"/>
    <w:rsid w:val="007313B4"/>
    <w:rsid w:val="007407AC"/>
    <w:rsid w:val="007540F9"/>
    <w:rsid w:val="00755D72"/>
    <w:rsid w:val="00756355"/>
    <w:rsid w:val="00757344"/>
    <w:rsid w:val="00792796"/>
    <w:rsid w:val="00796B64"/>
    <w:rsid w:val="007A1B12"/>
    <w:rsid w:val="007E6779"/>
    <w:rsid w:val="00820B4C"/>
    <w:rsid w:val="0083239D"/>
    <w:rsid w:val="0084718B"/>
    <w:rsid w:val="008516F6"/>
    <w:rsid w:val="008529D2"/>
    <w:rsid w:val="0088105E"/>
    <w:rsid w:val="008D0CC8"/>
    <w:rsid w:val="008F71AE"/>
    <w:rsid w:val="00912C32"/>
    <w:rsid w:val="00916796"/>
    <w:rsid w:val="00917DCA"/>
    <w:rsid w:val="00931633"/>
    <w:rsid w:val="00971AB9"/>
    <w:rsid w:val="00A22C55"/>
    <w:rsid w:val="00A47096"/>
    <w:rsid w:val="00A501D3"/>
    <w:rsid w:val="00A826C7"/>
    <w:rsid w:val="00A92CA8"/>
    <w:rsid w:val="00AA2EC5"/>
    <w:rsid w:val="00AB1DC5"/>
    <w:rsid w:val="00AB4C73"/>
    <w:rsid w:val="00AB599D"/>
    <w:rsid w:val="00AE6F47"/>
    <w:rsid w:val="00AF06BE"/>
    <w:rsid w:val="00AF2FE4"/>
    <w:rsid w:val="00B329E6"/>
    <w:rsid w:val="00B52517"/>
    <w:rsid w:val="00B65812"/>
    <w:rsid w:val="00B81169"/>
    <w:rsid w:val="00B91E47"/>
    <w:rsid w:val="00BC6B21"/>
    <w:rsid w:val="00C06120"/>
    <w:rsid w:val="00C25FCF"/>
    <w:rsid w:val="00C71386"/>
    <w:rsid w:val="00C87E57"/>
    <w:rsid w:val="00CA1EAF"/>
    <w:rsid w:val="00CA6003"/>
    <w:rsid w:val="00CA6FCA"/>
    <w:rsid w:val="00CB123F"/>
    <w:rsid w:val="00CB1647"/>
    <w:rsid w:val="00CC53F2"/>
    <w:rsid w:val="00CE15C6"/>
    <w:rsid w:val="00CF6143"/>
    <w:rsid w:val="00D94083"/>
    <w:rsid w:val="00DD5C37"/>
    <w:rsid w:val="00E32219"/>
    <w:rsid w:val="00E407A9"/>
    <w:rsid w:val="00E4239A"/>
    <w:rsid w:val="00E604E0"/>
    <w:rsid w:val="00EB027A"/>
    <w:rsid w:val="00EC1CBA"/>
    <w:rsid w:val="00EE7801"/>
    <w:rsid w:val="00F071F9"/>
    <w:rsid w:val="00F11411"/>
    <w:rsid w:val="00F11A19"/>
    <w:rsid w:val="00F16554"/>
    <w:rsid w:val="00F544E1"/>
    <w:rsid w:val="00F75514"/>
    <w:rsid w:val="00F836A4"/>
    <w:rsid w:val="00F973CE"/>
    <w:rsid w:val="00FA33B4"/>
    <w:rsid w:val="00FB3B9E"/>
    <w:rsid w:val="00FD5C1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8C3C6C"/>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 w:type="character" w:styleId="FootnoteReference">
    <w:name w:val="footnote reference"/>
    <w:basedOn w:val="DefaultParagraphFont"/>
    <w:uiPriority w:val="99"/>
    <w:semiHidden/>
    <w:unhideWhenUsed/>
    <w:rsid w:val="00B65812"/>
    <w:rPr>
      <w:vertAlign w:val="superscript"/>
    </w:rPr>
  </w:style>
  <w:style w:type="paragraph" w:styleId="BalloonText">
    <w:name w:val="Balloon Text"/>
    <w:basedOn w:val="Normal"/>
    <w:link w:val="BalloonTextChar"/>
    <w:uiPriority w:val="99"/>
    <w:semiHidden/>
    <w:unhideWhenUsed/>
    <w:rsid w:val="001705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5C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2018-12-10T14:15:00Z</cp:lastPrinted>
  <dcterms:created xsi:type="dcterms:W3CDTF">2018-12-10T15:12:00Z</dcterms:created>
  <dcterms:modified xsi:type="dcterms:W3CDTF">2018-12-10T16:02:00Z</dcterms:modified>
</cp:coreProperties>
</file>