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871" w:rsidRPr="00623871" w:rsidRDefault="00623871" w:rsidP="00623871">
      <w:pPr>
        <w:numPr>
          <w:ilvl w:val="0"/>
          <w:numId w:val="34"/>
        </w:numPr>
        <w:tabs>
          <w:tab w:val="left" w:pos="360"/>
        </w:tabs>
        <w:spacing w:line="240" w:lineRule="auto"/>
        <w:ind w:left="0" w:firstLine="0"/>
        <w:jc w:val="center"/>
        <w:rPr>
          <w:b/>
        </w:rPr>
      </w:pPr>
      <w:r w:rsidRPr="00623871">
        <w:rPr>
          <w:b/>
        </w:rPr>
        <w:t>BEFORE THE</w:t>
      </w:r>
    </w:p>
    <w:p w:rsidR="00623871" w:rsidRPr="00623871" w:rsidRDefault="00623871" w:rsidP="00623871">
      <w:pPr>
        <w:tabs>
          <w:tab w:val="left" w:pos="360"/>
        </w:tabs>
        <w:spacing w:line="240" w:lineRule="auto"/>
        <w:jc w:val="center"/>
        <w:rPr>
          <w:b/>
        </w:rPr>
      </w:pPr>
      <w:r w:rsidRPr="00623871">
        <w:rPr>
          <w:b/>
        </w:rPr>
        <w:t>PENNSYLVANIA PUBLIC UTILITY COMMISSION</w:t>
      </w:r>
    </w:p>
    <w:p w:rsidR="00623871" w:rsidRPr="00623871" w:rsidRDefault="00623871" w:rsidP="00623871">
      <w:pPr>
        <w:tabs>
          <w:tab w:val="left" w:pos="360"/>
        </w:tabs>
        <w:spacing w:line="240" w:lineRule="auto"/>
        <w:jc w:val="both"/>
        <w:rPr>
          <w:b/>
        </w:rPr>
      </w:pPr>
    </w:p>
    <w:p w:rsidR="00623871" w:rsidRPr="00623871" w:rsidRDefault="00623871" w:rsidP="00623871">
      <w:pPr>
        <w:tabs>
          <w:tab w:val="left" w:pos="360"/>
        </w:tabs>
        <w:spacing w:line="240" w:lineRule="auto"/>
        <w:jc w:val="both"/>
        <w:rPr>
          <w:b/>
        </w:rPr>
      </w:pPr>
    </w:p>
    <w:p w:rsidR="00623871" w:rsidRPr="00623871" w:rsidRDefault="00623871" w:rsidP="00623871">
      <w:pPr>
        <w:tabs>
          <w:tab w:val="left" w:pos="360"/>
        </w:tabs>
        <w:spacing w:line="240" w:lineRule="auto"/>
        <w:jc w:val="both"/>
        <w:rPr>
          <w:b/>
        </w:rPr>
      </w:pPr>
    </w:p>
    <w:p w:rsidR="00623871" w:rsidRPr="00623871" w:rsidRDefault="00623871" w:rsidP="00623871">
      <w:pPr>
        <w:tabs>
          <w:tab w:val="left" w:pos="360"/>
        </w:tabs>
        <w:spacing w:line="240" w:lineRule="auto"/>
        <w:jc w:val="both"/>
      </w:pPr>
      <w:r w:rsidRPr="00623871">
        <w:t>HFT Holdings</w:t>
      </w:r>
      <w:r w:rsidR="009A1DFD">
        <w:t>,</w:t>
      </w:r>
      <w:bookmarkStart w:id="0" w:name="_GoBack"/>
      <w:bookmarkEnd w:id="0"/>
      <w:r w:rsidRPr="00623871">
        <w:t xml:space="preserve"> Inc. c/o Stephen Feltovich</w:t>
      </w:r>
      <w:r w:rsidRPr="00623871">
        <w:tab/>
      </w:r>
      <w:r w:rsidRPr="00623871">
        <w:tab/>
        <w:t>:</w:t>
      </w:r>
      <w:r w:rsidRPr="00623871">
        <w:tab/>
      </w:r>
      <w:r w:rsidRPr="00623871">
        <w:tab/>
        <w:t>C-2018-3005529</w:t>
      </w:r>
    </w:p>
    <w:p w:rsidR="00623871" w:rsidRPr="00623871" w:rsidRDefault="00623871" w:rsidP="00623871">
      <w:pPr>
        <w:tabs>
          <w:tab w:val="left" w:pos="360"/>
        </w:tabs>
        <w:spacing w:line="240" w:lineRule="auto"/>
        <w:jc w:val="both"/>
      </w:pPr>
      <w:r w:rsidRPr="00623871">
        <w:tab/>
      </w:r>
      <w:r w:rsidRPr="00623871">
        <w:tab/>
      </w:r>
      <w:r w:rsidRPr="00623871">
        <w:tab/>
      </w:r>
      <w:r w:rsidRPr="00623871">
        <w:tab/>
      </w:r>
      <w:r w:rsidRPr="00623871">
        <w:tab/>
      </w:r>
      <w:r w:rsidRPr="00623871">
        <w:tab/>
      </w:r>
      <w:r w:rsidRPr="00623871">
        <w:tab/>
      </w:r>
      <w:r w:rsidRPr="00623871">
        <w:tab/>
        <w:t>:</w:t>
      </w:r>
      <w:r w:rsidRPr="00623871">
        <w:tab/>
      </w:r>
      <w:r w:rsidRPr="00623871">
        <w:tab/>
        <w:t>C-2018-3005532</w:t>
      </w:r>
    </w:p>
    <w:p w:rsidR="00623871" w:rsidRPr="00623871" w:rsidRDefault="00623871" w:rsidP="00623871">
      <w:pPr>
        <w:tabs>
          <w:tab w:val="left" w:pos="360"/>
          <w:tab w:val="left" w:pos="720"/>
        </w:tabs>
        <w:spacing w:line="240" w:lineRule="auto"/>
        <w:jc w:val="both"/>
      </w:pPr>
      <w:r w:rsidRPr="00623871">
        <w:tab/>
      </w:r>
      <w:r w:rsidRPr="00623871">
        <w:tab/>
        <w:t>v.</w:t>
      </w:r>
      <w:r w:rsidRPr="00623871">
        <w:tab/>
      </w:r>
      <w:r w:rsidRPr="00623871">
        <w:tab/>
      </w:r>
      <w:r w:rsidRPr="00623871">
        <w:tab/>
      </w:r>
      <w:r w:rsidRPr="00623871">
        <w:tab/>
      </w:r>
      <w:r w:rsidRPr="00623871">
        <w:tab/>
      </w:r>
      <w:r w:rsidRPr="00623871">
        <w:tab/>
        <w:t>:</w:t>
      </w:r>
      <w:r w:rsidRPr="00623871">
        <w:tab/>
      </w:r>
      <w:r w:rsidRPr="00623871">
        <w:tab/>
      </w:r>
    </w:p>
    <w:p w:rsidR="00623871" w:rsidRPr="00623871" w:rsidRDefault="00623871" w:rsidP="00623871">
      <w:pPr>
        <w:tabs>
          <w:tab w:val="left" w:pos="360"/>
        </w:tabs>
        <w:spacing w:line="240" w:lineRule="auto"/>
        <w:jc w:val="both"/>
      </w:pPr>
      <w:r w:rsidRPr="00623871">
        <w:tab/>
      </w:r>
      <w:r w:rsidRPr="00623871">
        <w:tab/>
      </w:r>
      <w:r w:rsidRPr="00623871">
        <w:tab/>
      </w:r>
      <w:r w:rsidRPr="00623871">
        <w:tab/>
      </w:r>
      <w:r w:rsidRPr="00623871">
        <w:tab/>
      </w:r>
      <w:r w:rsidRPr="00623871">
        <w:tab/>
      </w:r>
      <w:r w:rsidRPr="00623871">
        <w:tab/>
      </w:r>
      <w:r w:rsidRPr="00623871">
        <w:tab/>
        <w:t>:</w:t>
      </w:r>
      <w:r w:rsidRPr="00623871">
        <w:tab/>
      </w:r>
      <w:r w:rsidRPr="00623871">
        <w:tab/>
      </w:r>
    </w:p>
    <w:p w:rsidR="00623871" w:rsidRPr="00623871" w:rsidRDefault="00623871" w:rsidP="00623871">
      <w:pPr>
        <w:tabs>
          <w:tab w:val="left" w:pos="360"/>
        </w:tabs>
        <w:spacing w:line="240" w:lineRule="auto"/>
        <w:jc w:val="both"/>
      </w:pPr>
      <w:r w:rsidRPr="00623871">
        <w:t>Duquesne Light Company</w:t>
      </w:r>
      <w:r w:rsidRPr="00623871">
        <w:tab/>
      </w:r>
      <w:r w:rsidRPr="00623871">
        <w:tab/>
      </w:r>
      <w:r w:rsidRPr="00623871">
        <w:tab/>
      </w:r>
      <w:r w:rsidRPr="00623871">
        <w:tab/>
        <w:t>:</w:t>
      </w:r>
    </w:p>
    <w:p w:rsidR="00623871" w:rsidRPr="00623871" w:rsidRDefault="00623871" w:rsidP="00623871">
      <w:pPr>
        <w:tabs>
          <w:tab w:val="left" w:pos="360"/>
        </w:tabs>
        <w:spacing w:line="240" w:lineRule="auto"/>
        <w:jc w:val="both"/>
      </w:pPr>
    </w:p>
    <w:p w:rsidR="00623871" w:rsidRPr="00623871" w:rsidRDefault="00623871" w:rsidP="00623871">
      <w:pPr>
        <w:tabs>
          <w:tab w:val="left" w:pos="360"/>
        </w:tabs>
        <w:spacing w:line="240" w:lineRule="auto"/>
        <w:jc w:val="both"/>
        <w:rPr>
          <w:b/>
        </w:rPr>
      </w:pPr>
    </w:p>
    <w:p w:rsidR="00623871" w:rsidRPr="00623871" w:rsidRDefault="00623871" w:rsidP="00623871">
      <w:pPr>
        <w:tabs>
          <w:tab w:val="left" w:pos="360"/>
        </w:tabs>
        <w:spacing w:line="240" w:lineRule="auto"/>
        <w:jc w:val="both"/>
        <w:rPr>
          <w:b/>
        </w:rPr>
      </w:pPr>
    </w:p>
    <w:p w:rsidR="00623871" w:rsidRDefault="00774AED" w:rsidP="0056406E">
      <w:pPr>
        <w:spacing w:line="240" w:lineRule="auto"/>
        <w:jc w:val="center"/>
        <w:rPr>
          <w:b/>
        </w:rPr>
      </w:pPr>
      <w:r w:rsidRPr="0056406E">
        <w:rPr>
          <w:b/>
        </w:rPr>
        <w:t>INTERIM ORDER</w:t>
      </w:r>
    </w:p>
    <w:p w:rsidR="00774AED" w:rsidRPr="0056406E" w:rsidRDefault="00774AED" w:rsidP="0056406E">
      <w:pPr>
        <w:spacing w:line="240" w:lineRule="auto"/>
        <w:jc w:val="center"/>
        <w:rPr>
          <w:u w:val="single"/>
        </w:rPr>
      </w:pPr>
      <w:r w:rsidRPr="00623871">
        <w:rPr>
          <w:b/>
          <w:u w:val="single"/>
        </w:rPr>
        <w:t>ON</w:t>
      </w:r>
      <w:r w:rsidR="00623871" w:rsidRPr="00623871">
        <w:rPr>
          <w:b/>
          <w:u w:val="single"/>
        </w:rPr>
        <w:t xml:space="preserve"> </w:t>
      </w:r>
      <w:r w:rsidRPr="00623871">
        <w:rPr>
          <w:b/>
          <w:u w:val="single"/>
        </w:rPr>
        <w:t>M</w:t>
      </w:r>
      <w:r w:rsidRPr="0056406E">
        <w:rPr>
          <w:b/>
          <w:u w:val="single"/>
        </w:rPr>
        <w:t>OTION TO CONSOLIDATE AND PRELIMINARY OBJECTIONS</w:t>
      </w:r>
    </w:p>
    <w:p w:rsidR="00774AED" w:rsidRDefault="00774AED" w:rsidP="00623871">
      <w:pPr>
        <w:jc w:val="center"/>
      </w:pPr>
    </w:p>
    <w:p w:rsidR="00774AED" w:rsidRDefault="00774AED">
      <w:r>
        <w:tab/>
      </w:r>
      <w:r>
        <w:tab/>
        <w:t xml:space="preserve">On October 19, 2018, HFT Holdings, Inc. </w:t>
      </w:r>
      <w:r w:rsidR="00AE018F">
        <w:t xml:space="preserve">(Complainant) </w:t>
      </w:r>
      <w:r>
        <w:t>filed two formal complaints against Duquesne Light Company, alleging incorrect charges on the bills for two commercial properties</w:t>
      </w:r>
      <w:r w:rsidR="00BD34B2">
        <w:t>, known as Manor Oak I (C-2018-3005529</w:t>
      </w:r>
      <w:r w:rsidR="00B028EF">
        <w:t>)</w:t>
      </w:r>
      <w:r w:rsidR="00BD34B2">
        <w:t xml:space="preserve"> and Manor Oak II</w:t>
      </w:r>
      <w:r w:rsidR="00B028EF">
        <w:t xml:space="preserve"> (C-2018-3005532)</w:t>
      </w:r>
      <w:r>
        <w:t>.  As relief the</w:t>
      </w:r>
      <w:r w:rsidR="00AE018F">
        <w:t xml:space="preserve"> Complainant wants, among other things, the bills </w:t>
      </w:r>
      <w:proofErr w:type="gramStart"/>
      <w:r w:rsidR="00AE018F">
        <w:t>recalculated</w:t>
      </w:r>
      <w:proofErr w:type="gramEnd"/>
      <w:r w:rsidR="00AE018F">
        <w:t xml:space="preserve"> and </w:t>
      </w:r>
      <w:r w:rsidR="00AC5DE4">
        <w:t xml:space="preserve">a </w:t>
      </w:r>
      <w:r w:rsidR="00AE018F">
        <w:t>refund issued for the amount overpaid.  On November 8, 2018, Duquesne Light filed an answer and new matter, preliminary objections and a motion to consolidate</w:t>
      </w:r>
      <w:r w:rsidR="00AE018F">
        <w:rPr>
          <w:rStyle w:val="FootnoteReference"/>
        </w:rPr>
        <w:footnoteReference w:id="1"/>
      </w:r>
      <w:r w:rsidR="00AE018F">
        <w:t xml:space="preserve"> for each complaint.</w:t>
      </w:r>
    </w:p>
    <w:p w:rsidR="00771BA0" w:rsidRDefault="00771BA0"/>
    <w:p w:rsidR="00771BA0" w:rsidRDefault="00771BA0">
      <w:r>
        <w:tab/>
      </w:r>
      <w:r>
        <w:tab/>
        <w:t>On December 14, 2018, the Complainant filed a response to the motion to consolidate</w:t>
      </w:r>
      <w:r w:rsidR="0071608E">
        <w:t xml:space="preserve"> and a reply to new matter.</w:t>
      </w:r>
    </w:p>
    <w:p w:rsidR="000A3812" w:rsidRDefault="000A3812"/>
    <w:p w:rsidR="000A3812" w:rsidRPr="003871BD" w:rsidRDefault="000A3812">
      <w:pPr>
        <w:rPr>
          <w:b/>
        </w:rPr>
      </w:pPr>
      <w:r w:rsidRPr="003871BD">
        <w:rPr>
          <w:b/>
        </w:rPr>
        <w:t>Preliminary Objections</w:t>
      </w:r>
    </w:p>
    <w:p w:rsidR="000A3812" w:rsidRDefault="000A3812"/>
    <w:p w:rsidR="0087450F" w:rsidRDefault="000A3812" w:rsidP="0087450F">
      <w:pPr>
        <w:rPr>
          <w:rFonts w:eastAsia="Times New Roman"/>
        </w:rPr>
      </w:pPr>
      <w:r>
        <w:tab/>
      </w:r>
      <w:r>
        <w:tab/>
      </w:r>
      <w:r w:rsidR="0087450F" w:rsidRPr="0087450F">
        <w:rPr>
          <w:rFonts w:eastAsia="Times New Roman"/>
        </w:rPr>
        <w:t xml:space="preserve">Duquesne Light filed a timely answer which denied the material allegations of the complaint and </w:t>
      </w:r>
      <w:r w:rsidR="009A1DFD">
        <w:rPr>
          <w:rFonts w:eastAsia="Times New Roman"/>
        </w:rPr>
        <w:t xml:space="preserve">filed </w:t>
      </w:r>
      <w:r w:rsidR="0087450F" w:rsidRPr="0087450F">
        <w:rPr>
          <w:rFonts w:eastAsia="Times New Roman"/>
        </w:rPr>
        <w:t>preliminary objection</w:t>
      </w:r>
      <w:r w:rsidR="0087450F">
        <w:rPr>
          <w:rFonts w:eastAsia="Times New Roman"/>
        </w:rPr>
        <w:t>s</w:t>
      </w:r>
      <w:r w:rsidR="0087450F" w:rsidRPr="0087450F">
        <w:rPr>
          <w:rFonts w:eastAsia="Times New Roman"/>
        </w:rPr>
        <w:t>.  The preliminary objection</w:t>
      </w:r>
      <w:r w:rsidR="0087450F">
        <w:rPr>
          <w:rFonts w:eastAsia="Times New Roman"/>
        </w:rPr>
        <w:t>s</w:t>
      </w:r>
      <w:r w:rsidR="0087450F" w:rsidRPr="0087450F">
        <w:rPr>
          <w:rFonts w:eastAsia="Times New Roman"/>
        </w:rPr>
        <w:t xml:space="preserve"> seek dismissal of the complaint </w:t>
      </w:r>
      <w:r w:rsidR="0087450F">
        <w:rPr>
          <w:rFonts w:eastAsia="Times New Roman"/>
        </w:rPr>
        <w:t>due to insufficient specificity</w:t>
      </w:r>
      <w:r w:rsidR="0087450F" w:rsidRPr="0087450F">
        <w:rPr>
          <w:rFonts w:eastAsia="Times New Roman"/>
        </w:rPr>
        <w:t>.  As explained more fully below, the preliminary objection</w:t>
      </w:r>
      <w:r w:rsidR="0087450F">
        <w:rPr>
          <w:rFonts w:eastAsia="Times New Roman"/>
        </w:rPr>
        <w:t>s</w:t>
      </w:r>
      <w:r w:rsidR="0087450F" w:rsidRPr="0087450F">
        <w:rPr>
          <w:rFonts w:eastAsia="Times New Roman"/>
        </w:rPr>
        <w:t xml:space="preserve"> will be </w:t>
      </w:r>
      <w:r w:rsidR="0087450F">
        <w:rPr>
          <w:rFonts w:eastAsia="Times New Roman"/>
        </w:rPr>
        <w:t>dismissed</w:t>
      </w:r>
      <w:r w:rsidR="0087450F" w:rsidRPr="0087450F">
        <w:rPr>
          <w:rFonts w:eastAsia="Times New Roman"/>
        </w:rPr>
        <w:t>.</w:t>
      </w:r>
    </w:p>
    <w:p w:rsidR="00623871" w:rsidRPr="0087450F" w:rsidRDefault="00AC5DE4" w:rsidP="00AC5DE4">
      <w:pPr>
        <w:rPr>
          <w:rFonts w:eastAsia="Times New Roman"/>
        </w:rPr>
      </w:pPr>
      <w:r>
        <w:rPr>
          <w:rFonts w:eastAsia="Times New Roman"/>
        </w:rPr>
        <w:br/>
      </w:r>
    </w:p>
    <w:p w:rsidR="0087450F" w:rsidRPr="0087450F" w:rsidRDefault="0087450F" w:rsidP="0087450F">
      <w:pPr>
        <w:tabs>
          <w:tab w:val="left" w:pos="1440"/>
        </w:tabs>
        <w:spacing w:after="120"/>
        <w:rPr>
          <w:rFonts w:eastAsia="Times New Roman"/>
        </w:rPr>
      </w:pPr>
      <w:r w:rsidRPr="0087450F">
        <w:rPr>
          <w:rFonts w:eastAsia="Times New Roman"/>
        </w:rPr>
        <w:lastRenderedPageBreak/>
        <w:tab/>
        <w:t xml:space="preserve">The grounds for preliminary objection are limited: </w:t>
      </w:r>
    </w:p>
    <w:p w:rsidR="0087450F" w:rsidRPr="0087450F" w:rsidRDefault="0087450F" w:rsidP="0087450F">
      <w:pPr>
        <w:spacing w:after="240"/>
        <w:ind w:left="720" w:firstLine="720"/>
        <w:rPr>
          <w:rFonts w:eastAsia="Times New Roman"/>
          <w:iCs/>
          <w:color w:val="000000" w:themeColor="text1"/>
        </w:rPr>
      </w:pPr>
      <w:r w:rsidRPr="0087450F">
        <w:rPr>
          <w:rFonts w:eastAsia="Times New Roman"/>
          <w:iCs/>
          <w:color w:val="000000" w:themeColor="text1"/>
        </w:rPr>
        <w:t>§ 5.101.  Preliminary objections.</w:t>
      </w:r>
    </w:p>
    <w:p w:rsidR="0087450F" w:rsidRPr="0087450F" w:rsidRDefault="0087450F" w:rsidP="0087450F">
      <w:pPr>
        <w:spacing w:after="240" w:line="240" w:lineRule="auto"/>
        <w:ind w:left="1440" w:right="1440" w:firstLine="720"/>
        <w:rPr>
          <w:rFonts w:eastAsia="Times New Roman"/>
          <w:iCs/>
          <w:color w:val="000000" w:themeColor="text1"/>
        </w:rPr>
      </w:pPr>
      <w:r w:rsidRPr="0087450F">
        <w:rPr>
          <w:rFonts w:eastAsia="Times New Roman"/>
          <w:iCs/>
          <w:color w:val="000000" w:themeColor="text1"/>
        </w:rPr>
        <w:t>(a)</w:t>
      </w:r>
      <w:r w:rsidRPr="0087450F">
        <w:rPr>
          <w:rFonts w:eastAsia="Times New Roman"/>
          <w:iCs/>
          <w:color w:val="000000" w:themeColor="text1"/>
        </w:rP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(1)</w:t>
      </w:r>
      <w:r w:rsidRPr="0087450F">
        <w:rPr>
          <w:rFonts w:eastAsia="Times New Roman"/>
          <w:iCs/>
          <w:color w:val="000000" w:themeColor="text1"/>
        </w:rPr>
        <w:tab/>
        <w:t>Lack of Commission jurisdiction or improper service of the pleading initiating the proceeding.</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(2)</w:t>
      </w:r>
      <w:r w:rsidRPr="0087450F">
        <w:rPr>
          <w:rFonts w:eastAsia="Times New Roman"/>
          <w:iCs/>
          <w:color w:val="000000" w:themeColor="text1"/>
        </w:rPr>
        <w:tab/>
        <w:t>Failure of a pleading to conform to this chapter or the inclusion of scandalous or impertinent matter.</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(3)</w:t>
      </w:r>
      <w:r w:rsidRPr="0087450F">
        <w:rPr>
          <w:rFonts w:eastAsia="Times New Roman"/>
          <w:iCs/>
          <w:color w:val="000000" w:themeColor="text1"/>
        </w:rPr>
        <w:tab/>
        <w:t>Insufficient specificity of a pleading.</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(4)</w:t>
      </w:r>
      <w:r w:rsidRPr="0087450F">
        <w:rPr>
          <w:rFonts w:eastAsia="Times New Roman"/>
          <w:iCs/>
          <w:color w:val="000000" w:themeColor="text1"/>
        </w:rPr>
        <w:tab/>
        <w:t>Legal insufficiency of a pleading.</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(5)</w:t>
      </w:r>
      <w:r w:rsidRPr="0087450F">
        <w:rPr>
          <w:rFonts w:eastAsia="Times New Roman"/>
          <w:iCs/>
          <w:color w:val="000000" w:themeColor="text1"/>
        </w:rPr>
        <w:tab/>
        <w:t>Lack of capacity to sue, nonjoinder of a necessary party or misjoinder of a cause of action.</w:t>
      </w:r>
    </w:p>
    <w:p w:rsidR="0087450F" w:rsidRPr="0087450F" w:rsidRDefault="0087450F" w:rsidP="0087450F">
      <w:pPr>
        <w:spacing w:after="120" w:line="240" w:lineRule="auto"/>
        <w:ind w:left="1440" w:right="1440" w:firstLine="1440"/>
        <w:rPr>
          <w:rFonts w:eastAsia="Times New Roman"/>
          <w:iCs/>
          <w:color w:val="000000" w:themeColor="text1"/>
        </w:rPr>
      </w:pPr>
      <w:r w:rsidRPr="0087450F">
        <w:rPr>
          <w:rFonts w:eastAsia="Times New Roman"/>
          <w:iCs/>
          <w:color w:val="000000" w:themeColor="text1"/>
        </w:rPr>
        <w:t>(6)</w:t>
      </w:r>
      <w:r w:rsidRPr="0087450F">
        <w:rPr>
          <w:rFonts w:eastAsia="Times New Roman"/>
          <w:iCs/>
          <w:color w:val="000000" w:themeColor="text1"/>
        </w:rPr>
        <w:tab/>
        <w:t>Pendency of a prior proceeding or agreement for alternative dispute resolution.</w:t>
      </w:r>
    </w:p>
    <w:p w:rsidR="0087450F" w:rsidRPr="0087450F" w:rsidRDefault="0087450F" w:rsidP="0087450F">
      <w:pPr>
        <w:tabs>
          <w:tab w:val="left" w:pos="1440"/>
        </w:tabs>
        <w:rPr>
          <w:rFonts w:eastAsia="Times New Roman"/>
        </w:rPr>
      </w:pPr>
      <w:r w:rsidRPr="0087450F">
        <w:rPr>
          <w:rFonts w:eastAsia="Times New Roman"/>
        </w:rPr>
        <w:tab/>
      </w:r>
      <w:r w:rsidRPr="0087450F">
        <w:rPr>
          <w:rFonts w:eastAsia="Times New Roman"/>
        </w:rPr>
        <w:tab/>
      </w:r>
      <w:r w:rsidRPr="0087450F">
        <w:rPr>
          <w:rFonts w:eastAsia="Times New Roman"/>
        </w:rPr>
        <w:tab/>
        <w:t xml:space="preserve">(7) </w:t>
      </w:r>
      <w:r w:rsidRPr="0087450F">
        <w:rPr>
          <w:rFonts w:eastAsia="Times New Roman"/>
        </w:rPr>
        <w:tab/>
        <w:t>Standing of a party to participate in the proceeding.</w:t>
      </w:r>
    </w:p>
    <w:p w:rsidR="0087450F" w:rsidRPr="0087450F" w:rsidRDefault="0087450F" w:rsidP="0087450F">
      <w:pPr>
        <w:tabs>
          <w:tab w:val="left" w:pos="1440"/>
        </w:tabs>
        <w:rPr>
          <w:rFonts w:eastAsia="Times New Roman"/>
        </w:rPr>
      </w:pPr>
    </w:p>
    <w:p w:rsidR="0087450F" w:rsidRDefault="0087450F" w:rsidP="0087450F">
      <w:pPr>
        <w:tabs>
          <w:tab w:val="left" w:pos="1440"/>
        </w:tabs>
        <w:rPr>
          <w:rFonts w:eastAsia="Times New Roman"/>
        </w:rPr>
      </w:pPr>
      <w:r w:rsidRPr="0087450F">
        <w:rPr>
          <w:rFonts w:eastAsia="Times New Roman"/>
        </w:rPr>
        <w:t>Preliminary objection practice before the Commission is similar to Pennsylvania civil practice respecting preliminary objections.</w:t>
      </w:r>
      <w:r w:rsidRPr="0087450F">
        <w:rPr>
          <w:rFonts w:eastAsia="Times New Roman"/>
          <w:vertAlign w:val="superscript"/>
        </w:rPr>
        <w:footnoteReference w:id="2"/>
      </w:r>
      <w:r w:rsidRPr="0087450F">
        <w:rPr>
          <w:rFonts w:eastAsia="Times New Roman"/>
        </w:rPr>
        <w:t xml:space="preserve">  In deciding the preliminary objections, the Commission must determine whether, based on well-pleaded factual averments of the petitioners, recovery or relief is possible.</w:t>
      </w:r>
      <w:r w:rsidRPr="0087450F">
        <w:rPr>
          <w:rFonts w:eastAsia="Times New Roman"/>
          <w:vertAlign w:val="superscript"/>
        </w:rPr>
        <w:footnoteReference w:id="3"/>
      </w:r>
      <w:r w:rsidRPr="0087450F">
        <w:rPr>
          <w:rFonts w:eastAsia="Times New Roman"/>
        </w:rPr>
        <w:t xml:space="preserve">  Any doubt must be resolved in favor of the non-moving party by refusing to sustain the preliminary objections.</w:t>
      </w:r>
      <w:r w:rsidRPr="0087450F">
        <w:rPr>
          <w:rFonts w:eastAsia="Times New Roman"/>
          <w:vertAlign w:val="superscript"/>
        </w:rPr>
        <w:footnoteReference w:id="4"/>
      </w:r>
      <w:r w:rsidRPr="0087450F">
        <w:rPr>
          <w:rFonts w:eastAsia="Times New Roman"/>
        </w:rPr>
        <w:t xml:space="preserve">  All of the non-moving party’s averments in the complaint must be viewed as true for purposes of deciding the preliminary objections, and only those facts specifically admitted may be considered against the non-moving party.</w:t>
      </w:r>
      <w:r w:rsidRPr="0087450F">
        <w:rPr>
          <w:rFonts w:eastAsia="Times New Roman"/>
          <w:vertAlign w:val="superscript"/>
        </w:rPr>
        <w:footnoteReference w:id="5"/>
      </w:r>
      <w:r w:rsidRPr="0087450F">
        <w:rPr>
          <w:rFonts w:eastAsia="Times New Roman"/>
        </w:rPr>
        <w:t xml:space="preserve">  A preliminary objection </w:t>
      </w:r>
      <w:r w:rsidRPr="0087450F">
        <w:rPr>
          <w:rFonts w:eastAsia="Times New Roman"/>
        </w:rPr>
        <w:lastRenderedPageBreak/>
        <w:t>which seeks dismissal of a pleading will only be granted where relief is clearly warranted and free from doubt.</w:t>
      </w:r>
      <w:r w:rsidRPr="0087450F">
        <w:rPr>
          <w:rFonts w:eastAsia="Times New Roman"/>
          <w:vertAlign w:val="superscript"/>
        </w:rPr>
        <w:footnoteReference w:id="6"/>
      </w:r>
    </w:p>
    <w:p w:rsidR="000274C9" w:rsidRDefault="000274C9" w:rsidP="0087450F">
      <w:pPr>
        <w:tabs>
          <w:tab w:val="left" w:pos="1440"/>
        </w:tabs>
        <w:rPr>
          <w:rFonts w:eastAsia="Times New Roman"/>
        </w:rPr>
      </w:pPr>
    </w:p>
    <w:p w:rsidR="000274C9" w:rsidRDefault="000274C9" w:rsidP="0087450F">
      <w:pPr>
        <w:tabs>
          <w:tab w:val="left" w:pos="1440"/>
        </w:tabs>
        <w:rPr>
          <w:rFonts w:eastAsia="Times New Roman"/>
        </w:rPr>
      </w:pPr>
      <w:r>
        <w:rPr>
          <w:rFonts w:eastAsia="Times New Roman"/>
        </w:rPr>
        <w:tab/>
        <w:t>Typically, the Commission only dismisses a complaint for insufficiency when the complainant does little more than check a box on the formal complaint form supplied by the Commission.</w:t>
      </w:r>
      <w:r w:rsidR="00381E9E">
        <w:rPr>
          <w:rStyle w:val="FootnoteReference"/>
          <w:rFonts w:eastAsia="Times New Roman"/>
        </w:rPr>
        <w:footnoteReference w:id="7"/>
      </w:r>
      <w:r>
        <w:rPr>
          <w:rFonts w:eastAsia="Times New Roman"/>
        </w:rPr>
        <w:t xml:space="preserve">  Here,  both complaints have disputed bills attached</w:t>
      </w:r>
      <w:r w:rsidR="00752F0E">
        <w:rPr>
          <w:rFonts w:eastAsia="Times New Roman"/>
        </w:rPr>
        <w:t xml:space="preserve"> and list additional disputes related to the rates charged and procedural handling of the bills.  Duquesne Light not only filed a thorough answer to the complaint, but also alleged additional facts in new matter.</w:t>
      </w:r>
      <w:r w:rsidR="00DA0CC0">
        <w:rPr>
          <w:rFonts w:eastAsia="Times New Roman"/>
        </w:rPr>
        <w:t xml:space="preserve">  Indeed, Duquesne Light’s answer suggests that it is well aware of the Complainant and the nature of the ongoing dispute.  Further, the Complainant is represented by counsel and any clarity that Duquesne Light seeks can be achieved with the aid of the Commission’s discovery procedures.</w:t>
      </w:r>
      <w:r w:rsidR="00F834B0">
        <w:rPr>
          <w:rStyle w:val="FootnoteReference"/>
          <w:rFonts w:eastAsia="Times New Roman"/>
        </w:rPr>
        <w:footnoteReference w:id="8"/>
      </w:r>
      <w:r w:rsidR="003E0A7C">
        <w:rPr>
          <w:rFonts w:eastAsia="Times New Roman"/>
        </w:rPr>
        <w:t xml:space="preserve">  Therefore, Duquesne Light’s preliminary objections are dismissed as to both complaints.</w:t>
      </w:r>
    </w:p>
    <w:p w:rsidR="003E0A7C" w:rsidRDefault="003E0A7C" w:rsidP="0087450F">
      <w:pPr>
        <w:tabs>
          <w:tab w:val="left" w:pos="1440"/>
        </w:tabs>
        <w:rPr>
          <w:rFonts w:eastAsia="Times New Roman"/>
        </w:rPr>
      </w:pPr>
    </w:p>
    <w:p w:rsidR="003E0A7C" w:rsidRPr="003871BD" w:rsidRDefault="003E0A7C" w:rsidP="0087450F">
      <w:pPr>
        <w:tabs>
          <w:tab w:val="left" w:pos="1440"/>
        </w:tabs>
        <w:rPr>
          <w:rFonts w:eastAsia="Times New Roman"/>
          <w:b/>
        </w:rPr>
      </w:pPr>
      <w:r w:rsidRPr="003871BD">
        <w:rPr>
          <w:rFonts w:eastAsia="Times New Roman"/>
          <w:b/>
        </w:rPr>
        <w:t>Motion to Consolidate</w:t>
      </w:r>
    </w:p>
    <w:p w:rsidR="003871BD" w:rsidRDefault="003E0A7C" w:rsidP="0087450F">
      <w:pPr>
        <w:tabs>
          <w:tab w:val="left" w:pos="1440"/>
        </w:tabs>
        <w:rPr>
          <w:rFonts w:eastAsia="Times New Roman"/>
        </w:rPr>
      </w:pPr>
      <w:r>
        <w:rPr>
          <w:rFonts w:eastAsia="Times New Roman"/>
        </w:rPr>
        <w:tab/>
      </w:r>
    </w:p>
    <w:p w:rsidR="003E0A7C" w:rsidRDefault="003871BD" w:rsidP="0087450F">
      <w:pPr>
        <w:tabs>
          <w:tab w:val="left" w:pos="1440"/>
        </w:tabs>
        <w:rPr>
          <w:rFonts w:eastAsia="Times New Roman"/>
        </w:rPr>
      </w:pPr>
      <w:r>
        <w:rPr>
          <w:rFonts w:eastAsia="Times New Roman"/>
        </w:rPr>
        <w:tab/>
      </w:r>
      <w:r w:rsidR="003E0A7C">
        <w:rPr>
          <w:rFonts w:eastAsia="Times New Roman"/>
        </w:rPr>
        <w:t>Duquesne Light requests consolidation of the complaints associated with Manor Oak I and Manor Oak II.  In support of its motion Duquesne Light avers that the Complainant has made substantially similar allegations relating to both accounts, that the witnesses of both parties are likely to be the same in both matters and that neither party will be prejudiced by the consolidation.  The Complainant does not object to the consolidation.</w:t>
      </w:r>
    </w:p>
    <w:p w:rsidR="003E0A7C" w:rsidRDefault="003E0A7C" w:rsidP="0087450F">
      <w:pPr>
        <w:tabs>
          <w:tab w:val="left" w:pos="1440"/>
        </w:tabs>
        <w:rPr>
          <w:rFonts w:eastAsia="Times New Roman"/>
        </w:rPr>
      </w:pPr>
    </w:p>
    <w:p w:rsidR="003E0A7C" w:rsidRDefault="003E0A7C" w:rsidP="0087450F">
      <w:pPr>
        <w:tabs>
          <w:tab w:val="left" w:pos="1440"/>
        </w:tabs>
        <w:rPr>
          <w:rFonts w:eastAsia="Times New Roman"/>
        </w:rPr>
      </w:pPr>
      <w:r>
        <w:rPr>
          <w:rFonts w:eastAsia="Times New Roman"/>
        </w:rPr>
        <w:tab/>
        <w:t xml:space="preserve">The motion to consolidate will be granted.  However, both parties are cautioned that some facts may be different for each property, particularly as it relates to amounts owed, payments made, consumption etc.  It is the responsibility of the parties to ensure that any evidence presented is very clear as to which property a particular fact </w:t>
      </w:r>
      <w:r w:rsidR="009A1DFD">
        <w:rPr>
          <w:rFonts w:eastAsia="Times New Roman"/>
        </w:rPr>
        <w:t xml:space="preserve">is </w:t>
      </w:r>
      <w:r>
        <w:rPr>
          <w:rFonts w:eastAsia="Times New Roman"/>
        </w:rPr>
        <w:t>related to.</w:t>
      </w:r>
    </w:p>
    <w:p w:rsidR="001D68E8" w:rsidRDefault="001D68E8" w:rsidP="0087450F">
      <w:pPr>
        <w:tabs>
          <w:tab w:val="left" w:pos="1440"/>
        </w:tabs>
        <w:rPr>
          <w:rFonts w:eastAsia="Times New Roman"/>
        </w:rPr>
      </w:pPr>
    </w:p>
    <w:p w:rsidR="001D68E8" w:rsidRDefault="001D68E8" w:rsidP="0087450F">
      <w:pPr>
        <w:tabs>
          <w:tab w:val="left" w:pos="1440"/>
        </w:tabs>
        <w:rPr>
          <w:rFonts w:eastAsia="Times New Roman"/>
        </w:rPr>
      </w:pPr>
      <w:r w:rsidRPr="003871BD">
        <w:rPr>
          <w:rFonts w:eastAsia="Times New Roman"/>
          <w:b/>
        </w:rPr>
        <w:lastRenderedPageBreak/>
        <w:t>Misc</w:t>
      </w:r>
      <w:r w:rsidR="00623871">
        <w:rPr>
          <w:rFonts w:eastAsia="Times New Roman"/>
          <w:b/>
        </w:rPr>
        <w:t>ellaneous</w:t>
      </w:r>
    </w:p>
    <w:p w:rsidR="00623871" w:rsidRPr="00623871" w:rsidRDefault="00623871" w:rsidP="0087450F">
      <w:pPr>
        <w:tabs>
          <w:tab w:val="left" w:pos="1440"/>
        </w:tabs>
        <w:rPr>
          <w:rFonts w:eastAsia="Times New Roman"/>
        </w:rPr>
      </w:pPr>
    </w:p>
    <w:p w:rsidR="001D68E8" w:rsidRDefault="001D68E8" w:rsidP="0087450F">
      <w:pPr>
        <w:tabs>
          <w:tab w:val="left" w:pos="1440"/>
        </w:tabs>
        <w:rPr>
          <w:rFonts w:eastAsia="Times New Roman"/>
        </w:rPr>
      </w:pPr>
      <w:r>
        <w:rPr>
          <w:rFonts w:eastAsia="Times New Roman"/>
        </w:rPr>
        <w:tab/>
        <w:t xml:space="preserve">The amounts in dispute in these complaints is substantial.  Currently a call-in evidentiary hearing is scheduled for January 29, 2019.  The parties are directed to confer and in the </w:t>
      </w:r>
      <w:proofErr w:type="gramStart"/>
      <w:r>
        <w:rPr>
          <w:rFonts w:eastAsia="Times New Roman"/>
        </w:rPr>
        <w:t>event</w:t>
      </w:r>
      <w:proofErr w:type="gramEnd"/>
      <w:r>
        <w:rPr>
          <w:rFonts w:eastAsia="Times New Roman"/>
        </w:rPr>
        <w:t xml:space="preserve"> counsel believes that a discussion of a discovery schedule and other procedural matters would be more productive, the parties shall </w:t>
      </w:r>
      <w:r w:rsidR="003871BD">
        <w:rPr>
          <w:rFonts w:eastAsia="Times New Roman"/>
        </w:rPr>
        <w:t xml:space="preserve">promptly </w:t>
      </w:r>
      <w:r>
        <w:rPr>
          <w:rFonts w:eastAsia="Times New Roman"/>
        </w:rPr>
        <w:t xml:space="preserve">file a written request for the conversion of the January 29, 2019 </w:t>
      </w:r>
      <w:r w:rsidR="009A1DFD" w:rsidRPr="009A1DFD">
        <w:rPr>
          <w:rFonts w:eastAsia="Times New Roman"/>
        </w:rPr>
        <w:t xml:space="preserve">evidentiary hearing </w:t>
      </w:r>
      <w:r>
        <w:rPr>
          <w:rFonts w:eastAsia="Times New Roman"/>
        </w:rPr>
        <w:t>to a prehearing conference.</w:t>
      </w:r>
      <w:r w:rsidR="003871BD">
        <w:rPr>
          <w:rFonts w:eastAsia="Times New Roman"/>
        </w:rPr>
        <w:t xml:space="preserve">  </w:t>
      </w:r>
    </w:p>
    <w:p w:rsidR="003871BD" w:rsidRDefault="003871BD" w:rsidP="0087450F">
      <w:pPr>
        <w:tabs>
          <w:tab w:val="left" w:pos="1440"/>
        </w:tabs>
        <w:rPr>
          <w:rFonts w:eastAsia="Times New Roman"/>
        </w:rPr>
      </w:pPr>
    </w:p>
    <w:p w:rsidR="003871BD" w:rsidRDefault="00623871" w:rsidP="0087450F">
      <w:pPr>
        <w:tabs>
          <w:tab w:val="left" w:pos="1440"/>
        </w:tabs>
        <w:rPr>
          <w:rFonts w:eastAsia="Times New Roman"/>
        </w:rPr>
      </w:pPr>
      <w:r>
        <w:rPr>
          <w:rFonts w:eastAsia="Times New Roman"/>
        </w:rPr>
        <w:tab/>
      </w:r>
      <w:r w:rsidR="003871BD">
        <w:rPr>
          <w:rFonts w:eastAsia="Times New Roman"/>
        </w:rPr>
        <w:t>THEREFORE,</w:t>
      </w:r>
    </w:p>
    <w:p w:rsidR="00D02BC5" w:rsidRDefault="00D02BC5" w:rsidP="0087450F">
      <w:pPr>
        <w:tabs>
          <w:tab w:val="left" w:pos="1440"/>
        </w:tabs>
        <w:rPr>
          <w:rFonts w:eastAsia="Times New Roman"/>
        </w:rPr>
      </w:pPr>
    </w:p>
    <w:p w:rsidR="003871BD" w:rsidRDefault="00623871" w:rsidP="0087450F">
      <w:pPr>
        <w:tabs>
          <w:tab w:val="left" w:pos="1440"/>
        </w:tabs>
        <w:rPr>
          <w:rFonts w:eastAsia="Times New Roman"/>
        </w:rPr>
      </w:pPr>
      <w:r>
        <w:rPr>
          <w:rFonts w:eastAsia="Times New Roman"/>
        </w:rPr>
        <w:tab/>
      </w:r>
      <w:r w:rsidR="003871BD">
        <w:rPr>
          <w:rFonts w:eastAsia="Times New Roman"/>
        </w:rPr>
        <w:t>IT IS ORDERED:</w:t>
      </w:r>
    </w:p>
    <w:p w:rsidR="003871BD" w:rsidRDefault="003871BD" w:rsidP="0087450F">
      <w:pPr>
        <w:tabs>
          <w:tab w:val="left" w:pos="1440"/>
        </w:tabs>
        <w:rPr>
          <w:rFonts w:eastAsia="Times New Roman"/>
        </w:rPr>
      </w:pPr>
    </w:p>
    <w:p w:rsidR="003871BD" w:rsidRDefault="003871BD" w:rsidP="0087450F">
      <w:pPr>
        <w:tabs>
          <w:tab w:val="left" w:pos="1440"/>
        </w:tabs>
        <w:rPr>
          <w:rFonts w:eastAsia="Times New Roman"/>
        </w:rPr>
      </w:pPr>
      <w:r>
        <w:rPr>
          <w:rFonts w:eastAsia="Times New Roman"/>
        </w:rPr>
        <w:tab/>
        <w:t>1.</w:t>
      </w:r>
      <w:r>
        <w:rPr>
          <w:rFonts w:eastAsia="Times New Roman"/>
        </w:rPr>
        <w:tab/>
        <w:t>That the preliminary objections of Duquesne Light are dismissed.</w:t>
      </w:r>
    </w:p>
    <w:p w:rsidR="003871BD" w:rsidRDefault="003871BD" w:rsidP="0087450F">
      <w:pPr>
        <w:tabs>
          <w:tab w:val="left" w:pos="1440"/>
        </w:tabs>
        <w:rPr>
          <w:rFonts w:eastAsia="Times New Roman"/>
        </w:rPr>
      </w:pPr>
    </w:p>
    <w:p w:rsidR="003871BD" w:rsidRDefault="003871BD" w:rsidP="00623871">
      <w:pPr>
        <w:tabs>
          <w:tab w:val="left" w:pos="1440"/>
        </w:tabs>
        <w:rPr>
          <w:rFonts w:eastAsia="Times New Roman"/>
        </w:rPr>
      </w:pPr>
      <w:r>
        <w:rPr>
          <w:rFonts w:eastAsia="Times New Roman"/>
        </w:rPr>
        <w:tab/>
        <w:t>2.</w:t>
      </w:r>
      <w:r>
        <w:rPr>
          <w:rFonts w:eastAsia="Times New Roman"/>
        </w:rPr>
        <w:tab/>
        <w:t>That the motion of Duquesne Light to consolidate the formal complaints of HFT Holdings, Inc. is granted.</w:t>
      </w:r>
    </w:p>
    <w:p w:rsidR="00623871" w:rsidRPr="00623871" w:rsidRDefault="00623871" w:rsidP="00623871">
      <w:pPr>
        <w:rPr>
          <w:rFonts w:eastAsia="Times New Roman"/>
          <w:szCs w:val="24"/>
        </w:rPr>
      </w:pPr>
      <w:r>
        <w:rPr>
          <w:rFonts w:eastAsia="Times New Roman"/>
        </w:rPr>
        <w:br/>
      </w:r>
      <w:r>
        <w:rPr>
          <w:rFonts w:eastAsia="Times New Roman"/>
        </w:rPr>
        <w:br/>
      </w:r>
      <w:bookmarkStart w:id="1" w:name="_Hlk505862083"/>
      <w:r w:rsidRPr="00623871">
        <w:rPr>
          <w:rFonts w:eastAsia="Times New Roman"/>
          <w:szCs w:val="24"/>
        </w:rPr>
        <w:t xml:space="preserve">Date:  </w:t>
      </w:r>
      <w:r>
        <w:rPr>
          <w:rFonts w:eastAsia="Times New Roman"/>
          <w:szCs w:val="24"/>
          <w:u w:val="single"/>
        </w:rPr>
        <w:t>December 18, 2018</w:t>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u w:val="single"/>
        </w:rPr>
        <w:tab/>
      </w:r>
      <w:r w:rsidRPr="00623871">
        <w:rPr>
          <w:rFonts w:eastAsia="Times New Roman"/>
          <w:szCs w:val="24"/>
          <w:u w:val="single"/>
        </w:rPr>
        <w:tab/>
        <w:t>/s/</w:t>
      </w:r>
      <w:r w:rsidRPr="00623871">
        <w:rPr>
          <w:rFonts w:eastAsia="Times New Roman"/>
          <w:szCs w:val="24"/>
          <w:u w:val="single"/>
        </w:rPr>
        <w:tab/>
      </w:r>
      <w:r w:rsidRPr="00623871">
        <w:rPr>
          <w:rFonts w:eastAsia="Times New Roman"/>
          <w:szCs w:val="24"/>
          <w:u w:val="single"/>
        </w:rPr>
        <w:tab/>
      </w:r>
      <w:r w:rsidRPr="00623871">
        <w:rPr>
          <w:rFonts w:eastAsia="Times New Roman"/>
          <w:szCs w:val="24"/>
          <w:u w:val="single"/>
        </w:rPr>
        <w:tab/>
      </w:r>
      <w:r w:rsidRPr="00623871">
        <w:rPr>
          <w:rFonts w:eastAsia="Times New Roman"/>
          <w:szCs w:val="24"/>
          <w:u w:val="single"/>
        </w:rPr>
        <w:tab/>
      </w:r>
    </w:p>
    <w:p w:rsidR="00623871" w:rsidRPr="00623871" w:rsidRDefault="00623871" w:rsidP="00623871">
      <w:pPr>
        <w:spacing w:line="240" w:lineRule="auto"/>
        <w:rPr>
          <w:rFonts w:eastAsia="Times New Roman"/>
          <w:szCs w:val="24"/>
        </w:rPr>
      </w:pP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t>Mary D. Long</w:t>
      </w:r>
    </w:p>
    <w:p w:rsidR="00623871" w:rsidRPr="00623871" w:rsidRDefault="00623871" w:rsidP="00623871">
      <w:pPr>
        <w:spacing w:line="240" w:lineRule="auto"/>
        <w:rPr>
          <w:rFonts w:eastAsia="Times New Roman"/>
          <w:szCs w:val="24"/>
        </w:rPr>
      </w:pP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r>
      <w:r w:rsidRPr="00623871">
        <w:rPr>
          <w:rFonts w:eastAsia="Times New Roman"/>
          <w:szCs w:val="24"/>
        </w:rPr>
        <w:tab/>
        <w:t>Administrative Law Judge</w:t>
      </w:r>
    </w:p>
    <w:bookmarkEnd w:id="1"/>
    <w:p w:rsidR="00623871" w:rsidRDefault="00623871" w:rsidP="0087450F">
      <w:pPr>
        <w:tabs>
          <w:tab w:val="left" w:pos="1440"/>
        </w:tabs>
        <w:rPr>
          <w:rFonts w:eastAsia="Times New Roman"/>
        </w:rPr>
      </w:pPr>
    </w:p>
    <w:p w:rsidR="0087450F" w:rsidRDefault="0087450F" w:rsidP="0087450F">
      <w:pPr>
        <w:tabs>
          <w:tab w:val="left" w:pos="1440"/>
        </w:tabs>
        <w:rPr>
          <w:rFonts w:eastAsia="Times New Roman"/>
        </w:rPr>
      </w:pPr>
    </w:p>
    <w:p w:rsidR="00065255" w:rsidRDefault="00065255" w:rsidP="0087450F">
      <w:pPr>
        <w:tabs>
          <w:tab w:val="left" w:pos="1440"/>
        </w:tabs>
        <w:rPr>
          <w:rFonts w:eastAsia="Times New Roman"/>
        </w:rPr>
        <w:sectPr w:rsidR="00065255" w:rsidSect="009325AE">
          <w:footerReference w:type="default" r:id="rId7"/>
          <w:pgSz w:w="12240" w:h="15840"/>
          <w:pgMar w:top="1440" w:right="1440" w:bottom="1440" w:left="1440" w:header="720" w:footer="720" w:gutter="0"/>
          <w:cols w:space="720"/>
          <w:titlePg/>
          <w:docGrid w:linePitch="360"/>
        </w:sectPr>
      </w:pPr>
    </w:p>
    <w:p w:rsidR="00065255" w:rsidRPr="00065255" w:rsidRDefault="00065255" w:rsidP="00065255">
      <w:pPr>
        <w:spacing w:line="240" w:lineRule="auto"/>
        <w:rPr>
          <w:rFonts w:ascii="Microsoft Sans Serif" w:eastAsia="Microsoft Sans Serif" w:hAnsi="Microsoft Sans Serif" w:cs="Microsoft Sans Serif"/>
          <w:b/>
          <w:u w:val="single"/>
        </w:rPr>
      </w:pPr>
      <w:r w:rsidRPr="00065255">
        <w:rPr>
          <w:rFonts w:ascii="Microsoft Sans Serif" w:eastAsia="Microsoft Sans Serif" w:hAnsi="Microsoft Sans Serif" w:cs="Microsoft Sans Serif"/>
          <w:b/>
          <w:szCs w:val="22"/>
          <w:u w:val="single"/>
        </w:rPr>
        <w:lastRenderedPageBreak/>
        <w:t>C-2018-3005532, C-2018-3005529 - HFT HOLDINGS INC C/O STEPHEN FELTOVICH v. DUQUESNE LIGHT COMPANY</w:t>
      </w:r>
    </w:p>
    <w:p w:rsidR="00065255" w:rsidRPr="00065255" w:rsidRDefault="00065255" w:rsidP="00065255">
      <w:pPr>
        <w:spacing w:line="240" w:lineRule="auto"/>
        <w:rPr>
          <w:rFonts w:ascii="Microsoft Sans Serif" w:eastAsia="Microsoft Sans Serif" w:hAnsi="Microsoft Sans Serif" w:cs="Microsoft Sans Serif"/>
          <w:b/>
          <w:szCs w:val="22"/>
          <w:u w:val="single"/>
        </w:rPr>
      </w:pPr>
    </w:p>
    <w:p w:rsidR="00065255" w:rsidRPr="00065255" w:rsidRDefault="00065255" w:rsidP="00065255">
      <w:pPr>
        <w:spacing w:line="240" w:lineRule="auto"/>
        <w:rPr>
          <w:rFonts w:ascii="Microsoft Sans Serif" w:eastAsia="Microsoft Sans Serif" w:hAnsi="Microsoft Sans Serif" w:cs="Microsoft Sans Serif"/>
          <w:i/>
          <w:szCs w:val="22"/>
        </w:rPr>
      </w:pPr>
      <w:bookmarkStart w:id="2" w:name="_Hlk532541474"/>
      <w:r w:rsidRPr="00065255">
        <w:rPr>
          <w:rFonts w:ascii="Microsoft Sans Serif" w:eastAsia="Microsoft Sans Serif" w:hAnsi="Microsoft Sans Serif" w:cs="Microsoft Sans Serif"/>
          <w:i/>
          <w:szCs w:val="22"/>
        </w:rPr>
        <w:t>Revised 12/18/18</w:t>
      </w:r>
    </w:p>
    <w:p w:rsidR="00065255" w:rsidRPr="00065255" w:rsidRDefault="00065255" w:rsidP="00065255">
      <w:pPr>
        <w:spacing w:line="240" w:lineRule="auto"/>
        <w:rPr>
          <w:rFonts w:ascii="Microsoft Sans Serif" w:eastAsia="Microsoft Sans Serif" w:hAnsi="Microsoft Sans Serif" w:cs="Microsoft Sans Serif"/>
          <w:szCs w:val="22"/>
        </w:rPr>
      </w:pP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*CRAIG E MARAVICH ESQUIRE</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BRAD N SOMMER ESQUIRE</w:t>
      </w:r>
    </w:p>
    <w:bookmarkEnd w:id="2"/>
    <w:p w:rsidR="00065255" w:rsidRPr="00065255" w:rsidRDefault="00065255" w:rsidP="00065255">
      <w:pPr>
        <w:spacing w:line="240" w:lineRule="auto"/>
        <w:rPr>
          <w:rFonts w:ascii="Calibri" w:eastAsia="Times New Roman" w:hAnsi="Calibri"/>
          <w:szCs w:val="24"/>
        </w:rPr>
      </w:pPr>
      <w:r w:rsidRPr="00065255">
        <w:rPr>
          <w:rFonts w:ascii="Microsoft Sans Serif" w:eastAsia="Microsoft Sans Serif" w:hAnsi="Microsoft Sans Serif" w:cs="Microsoft Sans Serif"/>
          <w:szCs w:val="22"/>
        </w:rPr>
        <w:t>SOMMER LAW GROUP</w:t>
      </w:r>
      <w:r w:rsidRPr="00065255">
        <w:rPr>
          <w:rFonts w:ascii="Calibri" w:eastAsia="Times New Roman" w:hAnsi="Calibri"/>
          <w:szCs w:val="24"/>
        </w:rPr>
        <w:t xml:space="preserve"> </w:t>
      </w:r>
    </w:p>
    <w:p w:rsidR="00065255" w:rsidRPr="00065255" w:rsidRDefault="00065255" w:rsidP="00065255">
      <w:pPr>
        <w:spacing w:line="240" w:lineRule="auto"/>
        <w:rPr>
          <w:rFonts w:ascii="Calibri" w:eastAsia="Times New Roman" w:hAnsi="Calibri"/>
          <w:caps/>
          <w:szCs w:val="24"/>
        </w:rPr>
      </w:pPr>
      <w:r w:rsidRPr="00065255">
        <w:rPr>
          <w:rFonts w:ascii="Microsoft Sans Serif" w:eastAsia="Microsoft Sans Serif" w:hAnsi="Microsoft Sans Serif" w:cs="Microsoft Sans Serif"/>
          <w:caps/>
          <w:szCs w:val="22"/>
        </w:rPr>
        <w:t>6 Market Square</w:t>
      </w:r>
      <w:r w:rsidRPr="00065255">
        <w:rPr>
          <w:rFonts w:ascii="Calibri" w:eastAsia="Times New Roman" w:hAnsi="Calibri"/>
          <w:caps/>
          <w:szCs w:val="24"/>
        </w:rPr>
        <w:t xml:space="preserve"> </w:t>
      </w:r>
    </w:p>
    <w:p w:rsidR="00065255" w:rsidRPr="00065255" w:rsidRDefault="00065255" w:rsidP="00065255">
      <w:pPr>
        <w:spacing w:line="240" w:lineRule="auto"/>
        <w:rPr>
          <w:rFonts w:ascii="Calibri" w:eastAsia="Times New Roman" w:hAnsi="Calibri"/>
          <w:szCs w:val="24"/>
        </w:rPr>
      </w:pPr>
      <w:r w:rsidRPr="00065255">
        <w:rPr>
          <w:rFonts w:ascii="Microsoft Sans Serif" w:eastAsia="Microsoft Sans Serif" w:hAnsi="Microsoft Sans Serif" w:cs="Microsoft Sans Serif"/>
          <w:szCs w:val="22"/>
        </w:rPr>
        <w:t>PITTSBURGH PA  15222</w:t>
      </w:r>
      <w:r w:rsidRPr="00065255">
        <w:rPr>
          <w:rFonts w:ascii="Calibri" w:eastAsia="Times New Roman" w:hAnsi="Calibri"/>
          <w:szCs w:val="24"/>
        </w:rPr>
        <w:t xml:space="preserve"> </w:t>
      </w:r>
    </w:p>
    <w:p w:rsidR="00065255" w:rsidRPr="00065255" w:rsidRDefault="00065255" w:rsidP="00065255">
      <w:pPr>
        <w:spacing w:line="240" w:lineRule="auto"/>
        <w:rPr>
          <w:rFonts w:ascii="Calibri" w:eastAsia="Times New Roman" w:hAnsi="Calibri"/>
          <w:b/>
          <w:szCs w:val="24"/>
        </w:rPr>
      </w:pPr>
      <w:r w:rsidRPr="00065255">
        <w:rPr>
          <w:rFonts w:ascii="Microsoft Sans Serif" w:eastAsia="Microsoft Sans Serif" w:hAnsi="Microsoft Sans Serif" w:cs="Microsoft Sans Serif"/>
          <w:b/>
          <w:szCs w:val="22"/>
        </w:rPr>
        <w:t>412.471.1266</w:t>
      </w:r>
      <w:r w:rsidRPr="00065255">
        <w:rPr>
          <w:rFonts w:ascii="Calibri" w:eastAsia="Times New Roman" w:hAnsi="Calibri"/>
          <w:b/>
          <w:szCs w:val="24"/>
        </w:rPr>
        <w:t xml:space="preserve"> </w:t>
      </w:r>
    </w:p>
    <w:p w:rsidR="00065255" w:rsidRPr="00065255" w:rsidRDefault="00065255" w:rsidP="00065255">
      <w:pPr>
        <w:spacing w:line="240" w:lineRule="auto"/>
        <w:rPr>
          <w:rFonts w:eastAsia="Times New Roman"/>
          <w:sz w:val="20"/>
          <w:szCs w:val="22"/>
        </w:rPr>
      </w:pPr>
      <w:r w:rsidRPr="00065255">
        <w:rPr>
          <w:rFonts w:ascii="Calibri" w:eastAsia="Times New Roman" w:hAnsi="Calibri"/>
          <w:b/>
          <w:i/>
          <w:szCs w:val="24"/>
          <w:u w:val="single"/>
        </w:rPr>
        <w:t>*</w:t>
      </w:r>
      <w:r w:rsidRPr="00065255">
        <w:rPr>
          <w:rFonts w:ascii="Microsoft Sans Serif" w:eastAsia="Microsoft Sans Serif" w:hAnsi="Microsoft Sans Serif" w:cs="Microsoft Sans Serif"/>
          <w:b/>
          <w:i/>
          <w:szCs w:val="22"/>
          <w:u w:val="single"/>
        </w:rPr>
        <w:t xml:space="preserve"> ACCEPTS E-SERVICE</w:t>
      </w:r>
    </w:p>
    <w:p w:rsidR="00065255" w:rsidRPr="00065255" w:rsidRDefault="00065255" w:rsidP="00065255">
      <w:pPr>
        <w:spacing w:line="240" w:lineRule="auto"/>
        <w:rPr>
          <w:rFonts w:ascii="Calibri" w:eastAsia="Times New Roman" w:hAnsi="Calibri"/>
          <w:b/>
          <w:szCs w:val="24"/>
        </w:rPr>
      </w:pPr>
    </w:p>
    <w:p w:rsidR="00065255" w:rsidRPr="00065255" w:rsidRDefault="00065255" w:rsidP="00065255">
      <w:pPr>
        <w:spacing w:line="240" w:lineRule="auto"/>
        <w:rPr>
          <w:rFonts w:ascii="Microsoft Sans Serif" w:eastAsia="Microsoft Sans Serif" w:hAnsi="Microsoft Sans Serif" w:cs="Microsoft Sans Serif"/>
          <w:szCs w:val="22"/>
        </w:rPr>
      </w:pPr>
      <w:bookmarkStart w:id="3" w:name="_Hlk532541448"/>
      <w:r w:rsidRPr="00065255">
        <w:rPr>
          <w:rFonts w:ascii="Microsoft Sans Serif" w:eastAsia="Microsoft Sans Serif" w:hAnsi="Microsoft Sans Serif" w:cs="Microsoft Sans Serif"/>
          <w:szCs w:val="22"/>
        </w:rPr>
        <w:t>STEPHEN FELTOVICH</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HFT HOLDINGS INC</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 xml:space="preserve">MANOR OAK 2 </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1910 COCHRAN RD</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PIITTSBURGH PA  15220</w:t>
      </w:r>
    </w:p>
    <w:bookmarkEnd w:id="3"/>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b/>
          <w:szCs w:val="22"/>
        </w:rPr>
        <w:t>412.721.2655</w:t>
      </w:r>
    </w:p>
    <w:p w:rsidR="00065255" w:rsidRPr="00065255" w:rsidRDefault="00065255" w:rsidP="00065255">
      <w:pPr>
        <w:spacing w:line="240" w:lineRule="auto"/>
        <w:rPr>
          <w:rFonts w:ascii="Microsoft Sans Serif" w:eastAsia="Microsoft Sans Serif" w:hAnsi="Microsoft Sans Serif" w:cs="Microsoft Sans Serif"/>
          <w:szCs w:val="22"/>
        </w:rPr>
      </w:pP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 xml:space="preserve">EMILY M FARAH </w:t>
      </w:r>
      <w:r w:rsidRPr="00065255">
        <w:rPr>
          <w:rFonts w:ascii="Microsoft Sans Serif" w:eastAsia="Microsoft Sans Serif" w:hAnsi="Microsoft Sans Serif" w:cs="Microsoft Sans Serif"/>
          <w:caps/>
          <w:szCs w:val="22"/>
        </w:rPr>
        <w:t>Esquire</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DUQUESNE LIGHT COMPANY</w:t>
      </w:r>
    </w:p>
    <w:p w:rsidR="00065255" w:rsidRPr="00065255" w:rsidRDefault="00065255" w:rsidP="00065255">
      <w:pPr>
        <w:spacing w:line="240" w:lineRule="auto"/>
        <w:rPr>
          <w:rFonts w:ascii="Microsoft Sans Serif" w:eastAsia="Microsoft Sans Serif" w:hAnsi="Microsoft Sans Serif" w:cs="Microsoft Sans Serif"/>
          <w:caps/>
          <w:szCs w:val="22"/>
        </w:rPr>
      </w:pPr>
      <w:r w:rsidRPr="00065255">
        <w:rPr>
          <w:rFonts w:ascii="Microsoft Sans Serif" w:eastAsia="Microsoft Sans Serif" w:hAnsi="Microsoft Sans Serif" w:cs="Microsoft Sans Serif"/>
          <w:caps/>
          <w:szCs w:val="22"/>
        </w:rPr>
        <w:t>411 Seventh Avenue</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szCs w:val="22"/>
        </w:rPr>
        <w:t>PITTSBURGH PA  15219</w:t>
      </w:r>
    </w:p>
    <w:p w:rsidR="00065255" w:rsidRPr="00065255" w:rsidRDefault="00065255" w:rsidP="00065255">
      <w:pPr>
        <w:spacing w:line="240" w:lineRule="auto"/>
        <w:rPr>
          <w:rFonts w:ascii="Microsoft Sans Serif" w:eastAsia="Microsoft Sans Serif" w:hAnsi="Microsoft Sans Serif" w:cs="Microsoft Sans Serif"/>
          <w:szCs w:val="22"/>
        </w:rPr>
      </w:pPr>
      <w:r w:rsidRPr="00065255">
        <w:rPr>
          <w:rFonts w:ascii="Microsoft Sans Serif" w:eastAsia="Microsoft Sans Serif" w:hAnsi="Microsoft Sans Serif" w:cs="Microsoft Sans Serif"/>
          <w:b/>
          <w:szCs w:val="22"/>
        </w:rPr>
        <w:t>412.393.6431</w:t>
      </w:r>
    </w:p>
    <w:p w:rsidR="00065255" w:rsidRPr="00065255" w:rsidRDefault="00065255" w:rsidP="00065255">
      <w:pPr>
        <w:spacing w:line="240" w:lineRule="auto"/>
        <w:rPr>
          <w:rFonts w:eastAsia="Times New Roman"/>
          <w:sz w:val="20"/>
          <w:szCs w:val="22"/>
        </w:rPr>
      </w:pPr>
      <w:r w:rsidRPr="00065255">
        <w:rPr>
          <w:rFonts w:ascii="Microsoft Sans Serif" w:eastAsia="Microsoft Sans Serif" w:hAnsi="Microsoft Sans Serif" w:cs="Microsoft Sans Serif"/>
          <w:b/>
          <w:i/>
          <w:szCs w:val="22"/>
          <w:u w:val="single"/>
        </w:rPr>
        <w:t>ACCEPTS E-SERVICE</w:t>
      </w:r>
    </w:p>
    <w:p w:rsidR="00065255" w:rsidRPr="00065255" w:rsidRDefault="00065255" w:rsidP="00065255">
      <w:pPr>
        <w:spacing w:line="240" w:lineRule="auto"/>
        <w:rPr>
          <w:rFonts w:ascii="Microsoft Sans Serif" w:eastAsia="Times New Roman" w:hAnsi="Microsoft Sans Serif" w:cs="Microsoft Sans Serif"/>
          <w:szCs w:val="22"/>
        </w:rPr>
      </w:pPr>
    </w:p>
    <w:p w:rsidR="0087450F" w:rsidRPr="0087450F" w:rsidRDefault="0087450F" w:rsidP="0087450F">
      <w:pPr>
        <w:tabs>
          <w:tab w:val="left" w:pos="1440"/>
        </w:tabs>
        <w:rPr>
          <w:rFonts w:eastAsia="Times New Roman"/>
        </w:rPr>
      </w:pPr>
    </w:p>
    <w:p w:rsidR="000A3812" w:rsidRDefault="000A3812"/>
    <w:sectPr w:rsidR="000A3812" w:rsidSect="009325A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682" w:rsidRDefault="00615682" w:rsidP="00AE018F">
      <w:pPr>
        <w:spacing w:line="240" w:lineRule="auto"/>
      </w:pPr>
      <w:r>
        <w:separator/>
      </w:r>
    </w:p>
  </w:endnote>
  <w:endnote w:type="continuationSeparator" w:id="0">
    <w:p w:rsidR="00615682" w:rsidRDefault="00615682" w:rsidP="00AE0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905737"/>
      <w:docPartObj>
        <w:docPartGallery w:val="Page Numbers (Bottom of Page)"/>
        <w:docPartUnique/>
      </w:docPartObj>
    </w:sdtPr>
    <w:sdtEndPr>
      <w:rPr>
        <w:noProof/>
        <w:sz w:val="20"/>
      </w:rPr>
    </w:sdtEndPr>
    <w:sdtContent>
      <w:p w:rsidR="009325AE" w:rsidRPr="005E3F0A" w:rsidRDefault="009325AE">
        <w:pPr>
          <w:pStyle w:val="Footer"/>
          <w:jc w:val="center"/>
          <w:rPr>
            <w:sz w:val="20"/>
          </w:rPr>
        </w:pPr>
        <w:r w:rsidRPr="005E3F0A">
          <w:rPr>
            <w:sz w:val="20"/>
          </w:rPr>
          <w:fldChar w:fldCharType="begin"/>
        </w:r>
        <w:r w:rsidRPr="005E3F0A">
          <w:rPr>
            <w:sz w:val="20"/>
          </w:rPr>
          <w:instrText xml:space="preserve"> PAGE   \* MERGEFORMAT </w:instrText>
        </w:r>
        <w:r w:rsidRPr="005E3F0A">
          <w:rPr>
            <w:sz w:val="20"/>
          </w:rPr>
          <w:fldChar w:fldCharType="separate"/>
        </w:r>
        <w:r w:rsidRPr="005E3F0A">
          <w:rPr>
            <w:noProof/>
            <w:sz w:val="20"/>
          </w:rPr>
          <w:t>2</w:t>
        </w:r>
        <w:r w:rsidRPr="005E3F0A">
          <w:rPr>
            <w:noProof/>
            <w:sz w:val="20"/>
          </w:rPr>
          <w:fldChar w:fldCharType="end"/>
        </w:r>
      </w:p>
    </w:sdtContent>
  </w:sdt>
  <w:p w:rsidR="009325AE" w:rsidRDefault="0093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682" w:rsidRDefault="00615682" w:rsidP="00AE018F">
      <w:pPr>
        <w:spacing w:line="240" w:lineRule="auto"/>
      </w:pPr>
      <w:r>
        <w:separator/>
      </w:r>
    </w:p>
  </w:footnote>
  <w:footnote w:type="continuationSeparator" w:id="0">
    <w:p w:rsidR="00615682" w:rsidRDefault="00615682" w:rsidP="00AE018F">
      <w:pPr>
        <w:spacing w:line="240" w:lineRule="auto"/>
      </w:pPr>
      <w:r>
        <w:continuationSeparator/>
      </w:r>
    </w:p>
  </w:footnote>
  <w:footnote w:id="1">
    <w:p w:rsidR="00AE018F" w:rsidRDefault="00AE018F" w:rsidP="00623871">
      <w:pPr>
        <w:pStyle w:val="FootnoteText"/>
        <w:tabs>
          <w:tab w:val="clear" w:pos="1440"/>
          <w:tab w:val="clear" w:pos="1530"/>
        </w:tabs>
      </w:pPr>
      <w:r>
        <w:rPr>
          <w:rStyle w:val="FootnoteReference"/>
        </w:rPr>
        <w:footnoteRef/>
      </w:r>
      <w:r w:rsidR="00623871">
        <w:t xml:space="preserve"> </w:t>
      </w:r>
      <w:r w:rsidR="00623871">
        <w:tab/>
      </w:r>
      <w:r>
        <w:t>On December 3, 2018, Duquesne Light filed a redacted copy of the motion to consolidate which redacted the account numbers associated with each commercial property.</w:t>
      </w:r>
    </w:p>
  </w:footnote>
  <w:footnote w:id="2">
    <w:p w:rsidR="0087450F" w:rsidRDefault="0087450F" w:rsidP="00AC5DE4">
      <w:pPr>
        <w:pStyle w:val="FootnoteText"/>
        <w:tabs>
          <w:tab w:val="clear" w:pos="1440"/>
          <w:tab w:val="clear" w:pos="1530"/>
        </w:tabs>
      </w:pPr>
      <w:r>
        <w:rPr>
          <w:rStyle w:val="FootnoteReference"/>
        </w:rPr>
        <w:footnoteRef/>
      </w:r>
      <w:r>
        <w:t xml:space="preserve"> </w:t>
      </w:r>
      <w:r w:rsidR="00623871">
        <w:tab/>
      </w:r>
      <w:r w:rsidRPr="000E2B4C">
        <w:rPr>
          <w:i/>
        </w:rPr>
        <w:t>Equitable Small Transportation Intervenors v. Equitable Gas Company</w:t>
      </w:r>
      <w:r>
        <w:t xml:space="preserve">, 1994 Pa. PUC LEXIS 69, Docket No. C-00935435 (July 18, 1994).  </w:t>
      </w:r>
    </w:p>
    <w:p w:rsidR="0087450F" w:rsidRDefault="0087450F" w:rsidP="00AC5DE4">
      <w:pPr>
        <w:pStyle w:val="FootnoteText"/>
        <w:tabs>
          <w:tab w:val="clear" w:pos="1440"/>
          <w:tab w:val="clear" w:pos="1530"/>
        </w:tabs>
      </w:pPr>
    </w:p>
  </w:footnote>
  <w:footnote w:id="3">
    <w:p w:rsidR="0087450F" w:rsidRDefault="0087450F" w:rsidP="00AC5DE4">
      <w:pPr>
        <w:pStyle w:val="FootnoteText"/>
        <w:tabs>
          <w:tab w:val="clear" w:pos="1440"/>
          <w:tab w:val="clear" w:pos="1530"/>
        </w:tabs>
      </w:pPr>
      <w:r>
        <w:rPr>
          <w:rStyle w:val="FootnoteReference"/>
        </w:rPr>
        <w:footnoteRef/>
      </w:r>
      <w:r>
        <w:t xml:space="preserve"> </w:t>
      </w:r>
      <w:r w:rsidR="00623871">
        <w:tab/>
      </w:r>
      <w:r>
        <w:rPr>
          <w:i/>
        </w:rPr>
        <w:t>Dept. of Auditor General v. SERS</w:t>
      </w:r>
      <w:r w:rsidRPr="00AB2BD8">
        <w:t>,</w:t>
      </w:r>
      <w:r>
        <w:t xml:space="preserve"> 836 A.2d 1053, 1064 (Pa.Cmwlth. 2003); </w:t>
      </w:r>
      <w:r w:rsidRPr="00B908F9">
        <w:rPr>
          <w:i/>
        </w:rPr>
        <w:t>P.J.S. v. Pa. State Ethics Comm’n</w:t>
      </w:r>
      <w:r>
        <w:t>, 669 A.2d 1105 (Pa.Cmwlth. 1996).</w:t>
      </w:r>
    </w:p>
    <w:p w:rsidR="0087450F" w:rsidRDefault="0087450F" w:rsidP="00AC5DE4">
      <w:pPr>
        <w:pStyle w:val="FootnoteText"/>
        <w:tabs>
          <w:tab w:val="clear" w:pos="1440"/>
          <w:tab w:val="clear" w:pos="1530"/>
        </w:tabs>
      </w:pPr>
    </w:p>
  </w:footnote>
  <w:footnote w:id="4">
    <w:p w:rsidR="0087450F" w:rsidRDefault="0087450F" w:rsidP="00AC5DE4">
      <w:pPr>
        <w:pStyle w:val="FootnoteText"/>
        <w:tabs>
          <w:tab w:val="clear" w:pos="1440"/>
          <w:tab w:val="clear" w:pos="1530"/>
        </w:tabs>
      </w:pPr>
      <w:r>
        <w:rPr>
          <w:rStyle w:val="FootnoteReference"/>
        </w:rPr>
        <w:footnoteRef/>
      </w:r>
      <w:r>
        <w:t xml:space="preserve"> </w:t>
      </w:r>
      <w:r w:rsidR="00623871">
        <w:tab/>
      </w:r>
      <w:r w:rsidRPr="00B908F9">
        <w:rPr>
          <w:i/>
        </w:rPr>
        <w:t>Boyd v. Ward</w:t>
      </w:r>
      <w:r>
        <w:t xml:space="preserve">, 802 A.2d 705 (Pa.Cmwlth. 2002).  </w:t>
      </w:r>
    </w:p>
    <w:p w:rsidR="0087450F" w:rsidRDefault="0087450F" w:rsidP="00AC5DE4">
      <w:pPr>
        <w:pStyle w:val="FootnoteText"/>
        <w:tabs>
          <w:tab w:val="clear" w:pos="1440"/>
          <w:tab w:val="clear" w:pos="1530"/>
        </w:tabs>
      </w:pPr>
    </w:p>
  </w:footnote>
  <w:footnote w:id="5">
    <w:p w:rsidR="0087450F" w:rsidRDefault="0087450F" w:rsidP="00AC5DE4">
      <w:pPr>
        <w:pStyle w:val="FootnoteText"/>
        <w:tabs>
          <w:tab w:val="clear" w:pos="1440"/>
          <w:tab w:val="clear" w:pos="1530"/>
        </w:tabs>
      </w:pPr>
      <w:r>
        <w:rPr>
          <w:rStyle w:val="FootnoteReference"/>
        </w:rPr>
        <w:footnoteRef/>
      </w:r>
      <w:r w:rsidR="00623871">
        <w:t xml:space="preserve"> </w:t>
      </w:r>
      <w:r w:rsidR="00623871">
        <w:tab/>
      </w:r>
      <w:r w:rsidRPr="00AC5DE4">
        <w:rPr>
          <w:i/>
        </w:rPr>
        <w:t>Ridge v. State Employees’ Retirement Board</w:t>
      </w:r>
      <w:r>
        <w:t xml:space="preserve">, 690 A.2d 1312 (Pa.Cmwlth. 1997). </w:t>
      </w:r>
    </w:p>
    <w:p w:rsidR="0087450F" w:rsidRDefault="0087450F" w:rsidP="00AC5DE4">
      <w:pPr>
        <w:pStyle w:val="FootnoteText"/>
        <w:tabs>
          <w:tab w:val="clear" w:pos="1440"/>
          <w:tab w:val="clear" w:pos="1530"/>
        </w:tabs>
      </w:pPr>
    </w:p>
  </w:footnote>
  <w:footnote w:id="6">
    <w:p w:rsidR="0087450F" w:rsidRDefault="0087450F" w:rsidP="00AC5DE4">
      <w:pPr>
        <w:pStyle w:val="FootnoteText"/>
        <w:tabs>
          <w:tab w:val="clear" w:pos="1440"/>
          <w:tab w:val="clear" w:pos="1530"/>
        </w:tabs>
      </w:pPr>
      <w:r>
        <w:rPr>
          <w:rStyle w:val="FootnoteReference"/>
        </w:rPr>
        <w:footnoteRef/>
      </w:r>
      <w:r>
        <w:t xml:space="preserve"> </w:t>
      </w:r>
      <w:r w:rsidR="00623871">
        <w:tab/>
      </w:r>
      <w:r w:rsidRPr="00AC5DE4">
        <w:rPr>
          <w:i/>
        </w:rPr>
        <w:t>Interstate Traveller Services, Inc. v. Pa. Department of Environmental Resources</w:t>
      </w:r>
      <w:r>
        <w:t>, 406 A.2d 1020 (Pa. 1979); Application of K&amp;F Medical Transport, LLC, PUC Docket No. A-2008-2020353 (Initial Decision dated April 25, 2008).</w:t>
      </w:r>
    </w:p>
    <w:p w:rsidR="00623871" w:rsidRPr="00297F80" w:rsidRDefault="00623871" w:rsidP="00623871">
      <w:pPr>
        <w:pStyle w:val="FootnoteText"/>
      </w:pPr>
    </w:p>
  </w:footnote>
  <w:footnote w:id="7">
    <w:p w:rsidR="00381E9E" w:rsidRDefault="00381E9E" w:rsidP="00AC5DE4">
      <w:pPr>
        <w:pStyle w:val="FootnoteText"/>
        <w:tabs>
          <w:tab w:val="clear" w:pos="1440"/>
          <w:tab w:val="clear" w:pos="1530"/>
        </w:tabs>
      </w:pPr>
      <w:r>
        <w:rPr>
          <w:rStyle w:val="FootnoteReference"/>
        </w:rPr>
        <w:footnoteRef/>
      </w:r>
      <w:r>
        <w:t xml:space="preserve"> </w:t>
      </w:r>
      <w:r w:rsidR="00623871">
        <w:tab/>
      </w:r>
      <w:r>
        <w:rPr>
          <w:i/>
        </w:rPr>
        <w:t>E.g., Zaslav v. Philadelphia Gas Works</w:t>
      </w:r>
      <w:r>
        <w:t>, Docket No. F-2016-2549869 (Final Order entered December 20, 2016).</w:t>
      </w:r>
    </w:p>
    <w:p w:rsidR="00623871" w:rsidRPr="00381E9E" w:rsidRDefault="00623871" w:rsidP="00623871">
      <w:pPr>
        <w:pStyle w:val="FootnoteText"/>
      </w:pPr>
    </w:p>
  </w:footnote>
  <w:footnote w:id="8">
    <w:p w:rsidR="00F834B0" w:rsidRDefault="00F834B0" w:rsidP="00AC5DE4">
      <w:pPr>
        <w:pStyle w:val="FootnoteText"/>
        <w:tabs>
          <w:tab w:val="clear" w:pos="1440"/>
          <w:tab w:val="clear" w:pos="1530"/>
        </w:tabs>
      </w:pPr>
      <w:r>
        <w:rPr>
          <w:rStyle w:val="FootnoteReference"/>
        </w:rPr>
        <w:footnoteRef/>
      </w:r>
      <w:r>
        <w:t xml:space="preserve"> </w:t>
      </w:r>
      <w:r w:rsidR="00623871">
        <w:tab/>
      </w:r>
      <w:r>
        <w:t xml:space="preserve">52 Pa.Code § </w:t>
      </w:r>
      <w:r w:rsidR="00817CBD">
        <w:t>5.321-5.372.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ED"/>
    <w:rsid w:val="00004C37"/>
    <w:rsid w:val="000066B3"/>
    <w:rsid w:val="000274C9"/>
    <w:rsid w:val="00065255"/>
    <w:rsid w:val="00066D87"/>
    <w:rsid w:val="000A3812"/>
    <w:rsid w:val="000E3EDE"/>
    <w:rsid w:val="001064B5"/>
    <w:rsid w:val="00107E82"/>
    <w:rsid w:val="001A21B6"/>
    <w:rsid w:val="001B1CBA"/>
    <w:rsid w:val="001D2AF7"/>
    <w:rsid w:val="001D68E8"/>
    <w:rsid w:val="00207743"/>
    <w:rsid w:val="00213167"/>
    <w:rsid w:val="002512F9"/>
    <w:rsid w:val="003145FA"/>
    <w:rsid w:val="00367A41"/>
    <w:rsid w:val="00381E9E"/>
    <w:rsid w:val="003871BD"/>
    <w:rsid w:val="00393C92"/>
    <w:rsid w:val="003A3E09"/>
    <w:rsid w:val="003E0A7C"/>
    <w:rsid w:val="00417566"/>
    <w:rsid w:val="00465A5A"/>
    <w:rsid w:val="004D523C"/>
    <w:rsid w:val="00541EB3"/>
    <w:rsid w:val="005608DA"/>
    <w:rsid w:val="0056406E"/>
    <w:rsid w:val="005A1C17"/>
    <w:rsid w:val="005A2ABA"/>
    <w:rsid w:val="005D180A"/>
    <w:rsid w:val="005E3F0A"/>
    <w:rsid w:val="005E7B69"/>
    <w:rsid w:val="00615682"/>
    <w:rsid w:val="0061775F"/>
    <w:rsid w:val="00623871"/>
    <w:rsid w:val="00696C0D"/>
    <w:rsid w:val="006C6A0D"/>
    <w:rsid w:val="006F0329"/>
    <w:rsid w:val="00700807"/>
    <w:rsid w:val="00712E58"/>
    <w:rsid w:val="0071608E"/>
    <w:rsid w:val="007407AC"/>
    <w:rsid w:val="00752F0E"/>
    <w:rsid w:val="00755D72"/>
    <w:rsid w:val="00771BA0"/>
    <w:rsid w:val="00774AED"/>
    <w:rsid w:val="00792796"/>
    <w:rsid w:val="00796B64"/>
    <w:rsid w:val="007E6779"/>
    <w:rsid w:val="00817CBD"/>
    <w:rsid w:val="00820B4C"/>
    <w:rsid w:val="0083239D"/>
    <w:rsid w:val="008529D2"/>
    <w:rsid w:val="0087450F"/>
    <w:rsid w:val="0088105E"/>
    <w:rsid w:val="00917DCA"/>
    <w:rsid w:val="009325AE"/>
    <w:rsid w:val="009A1DFD"/>
    <w:rsid w:val="00A47096"/>
    <w:rsid w:val="00AA2EC5"/>
    <w:rsid w:val="00AB4C73"/>
    <w:rsid w:val="00AC5DE4"/>
    <w:rsid w:val="00AE018F"/>
    <w:rsid w:val="00AE6F47"/>
    <w:rsid w:val="00B028EF"/>
    <w:rsid w:val="00B91E47"/>
    <w:rsid w:val="00BA3EE5"/>
    <w:rsid w:val="00BC6B21"/>
    <w:rsid w:val="00BD34B2"/>
    <w:rsid w:val="00C87E57"/>
    <w:rsid w:val="00CF6143"/>
    <w:rsid w:val="00D02BC5"/>
    <w:rsid w:val="00DA0CC0"/>
    <w:rsid w:val="00DD5C37"/>
    <w:rsid w:val="00DE54F8"/>
    <w:rsid w:val="00DF35D9"/>
    <w:rsid w:val="00E4239A"/>
    <w:rsid w:val="00EB027A"/>
    <w:rsid w:val="00EC1CBA"/>
    <w:rsid w:val="00EE7801"/>
    <w:rsid w:val="00F11A19"/>
    <w:rsid w:val="00F16554"/>
    <w:rsid w:val="00F544E1"/>
    <w:rsid w:val="00F834B0"/>
    <w:rsid w:val="00FD5C10"/>
    <w:rsid w:val="00F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547F"/>
  <w15:chartTrackingRefBased/>
  <w15:docId w15:val="{8A12E871-E352-4940-A38C-E6965C76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623871"/>
    <w:pPr>
      <w:tabs>
        <w:tab w:val="left" w:pos="1440"/>
        <w:tab w:val="left" w:pos="153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623871"/>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AE018F"/>
    <w:rPr>
      <w:vertAlign w:val="superscript"/>
    </w:rPr>
  </w:style>
  <w:style w:type="paragraph" w:styleId="Header">
    <w:name w:val="header"/>
    <w:basedOn w:val="Normal"/>
    <w:link w:val="HeaderChar"/>
    <w:uiPriority w:val="99"/>
    <w:unhideWhenUsed/>
    <w:rsid w:val="009325AE"/>
    <w:pPr>
      <w:tabs>
        <w:tab w:val="center" w:pos="4680"/>
        <w:tab w:val="right" w:pos="9360"/>
      </w:tabs>
      <w:spacing w:line="240" w:lineRule="auto"/>
    </w:pPr>
  </w:style>
  <w:style w:type="character" w:customStyle="1" w:styleId="HeaderChar">
    <w:name w:val="Header Char"/>
    <w:basedOn w:val="DefaultParagraphFont"/>
    <w:link w:val="Header"/>
    <w:uiPriority w:val="99"/>
    <w:rsid w:val="009325AE"/>
    <w:rPr>
      <w:rFonts w:eastAsia="SimSun"/>
    </w:rPr>
  </w:style>
  <w:style w:type="paragraph" w:styleId="Footer">
    <w:name w:val="footer"/>
    <w:basedOn w:val="Normal"/>
    <w:link w:val="FooterChar"/>
    <w:uiPriority w:val="99"/>
    <w:unhideWhenUsed/>
    <w:rsid w:val="009325AE"/>
    <w:pPr>
      <w:tabs>
        <w:tab w:val="center" w:pos="4680"/>
        <w:tab w:val="right" w:pos="9360"/>
      </w:tabs>
      <w:spacing w:line="240" w:lineRule="auto"/>
    </w:pPr>
  </w:style>
  <w:style w:type="character" w:customStyle="1" w:styleId="FooterChar">
    <w:name w:val="Footer Char"/>
    <w:basedOn w:val="DefaultParagraphFont"/>
    <w:link w:val="Footer"/>
    <w:uiPriority w:val="99"/>
    <w:rsid w:val="009325AE"/>
    <w:rPr>
      <w:rFonts w:eastAsia="SimSun"/>
    </w:rPr>
  </w:style>
  <w:style w:type="paragraph" w:styleId="BalloonText">
    <w:name w:val="Balloon Text"/>
    <w:basedOn w:val="Normal"/>
    <w:link w:val="BalloonTextChar"/>
    <w:uiPriority w:val="99"/>
    <w:semiHidden/>
    <w:unhideWhenUsed/>
    <w:rsid w:val="00AC5D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E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2018-12-18T18:44:00Z</cp:lastPrinted>
  <dcterms:created xsi:type="dcterms:W3CDTF">2018-12-18T17:25:00Z</dcterms:created>
  <dcterms:modified xsi:type="dcterms:W3CDTF">2018-12-18T19:00:00Z</dcterms:modified>
</cp:coreProperties>
</file>