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160"/>
      </w:tblGrid>
      <w:tr w:rsidR="00D850D4" w:rsidRPr="00C0451E" w14:paraId="6B6877D5" w14:textId="77777777" w:rsidTr="00156658">
        <w:tc>
          <w:tcPr>
            <w:tcW w:w="2448" w:type="dxa"/>
          </w:tcPr>
          <w:p w14:paraId="05B20B35" w14:textId="77777777" w:rsidR="00D850D4" w:rsidRPr="00C0451E" w:rsidRDefault="00D850D4" w:rsidP="00BE0DAD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14:paraId="1A649665" w14:textId="77777777" w:rsidR="00D850D4" w:rsidRPr="00C0451E" w:rsidRDefault="00D850D4" w:rsidP="00BE0DAD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14:paraId="1FEA65A1" w14:textId="77777777" w:rsidR="00D850D4" w:rsidRPr="00C0451E" w:rsidRDefault="00D850D4" w:rsidP="00BE0DAD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14:paraId="7E498928" w14:textId="77777777" w:rsidR="00D850D4" w:rsidRPr="00C0451E" w:rsidRDefault="00D850D4" w:rsidP="00BE0DAD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</w:t>
            </w:r>
            <w:r w:rsidR="006048E2" w:rsidRPr="00C0451E">
              <w:rPr>
                <w:b/>
                <w:sz w:val="26"/>
                <w:szCs w:val="26"/>
              </w:rPr>
              <w:t>, PA</w:t>
            </w:r>
            <w:r w:rsidRPr="00C0451E">
              <w:rPr>
                <w:b/>
                <w:sz w:val="26"/>
                <w:szCs w:val="26"/>
              </w:rPr>
              <w:t xml:space="preserve">  17105-3265</w:t>
            </w:r>
          </w:p>
        </w:tc>
        <w:tc>
          <w:tcPr>
            <w:tcW w:w="2160" w:type="dxa"/>
          </w:tcPr>
          <w:p w14:paraId="661FC228" w14:textId="77777777" w:rsidR="00D850D4" w:rsidRPr="00C0451E" w:rsidRDefault="00D850D4" w:rsidP="00BE0DAD">
            <w:pPr>
              <w:rPr>
                <w:sz w:val="26"/>
                <w:szCs w:val="26"/>
              </w:rPr>
            </w:pPr>
          </w:p>
        </w:tc>
      </w:tr>
    </w:tbl>
    <w:p w14:paraId="21CA1786" w14:textId="77777777" w:rsidR="00D850D4" w:rsidRPr="00C0451E" w:rsidRDefault="00D850D4" w:rsidP="00BE0DAD">
      <w:pPr>
        <w:rPr>
          <w:sz w:val="26"/>
          <w:szCs w:val="26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4878"/>
        <w:gridCol w:w="4860"/>
      </w:tblGrid>
      <w:tr w:rsidR="00D850D4" w:rsidRPr="00C0451E" w14:paraId="73534894" w14:textId="77777777" w:rsidTr="00156658">
        <w:tc>
          <w:tcPr>
            <w:tcW w:w="4878" w:type="dxa"/>
          </w:tcPr>
          <w:p w14:paraId="60F52DF2" w14:textId="77777777" w:rsidR="00D850D4" w:rsidRDefault="00D850D4" w:rsidP="00BE0DAD">
            <w:pPr>
              <w:rPr>
                <w:sz w:val="26"/>
                <w:szCs w:val="26"/>
              </w:rPr>
            </w:pPr>
          </w:p>
          <w:p w14:paraId="38F07495" w14:textId="77777777" w:rsidR="00CD5B95" w:rsidRPr="00C0451E" w:rsidRDefault="00CD5B95" w:rsidP="00BE0DAD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14:paraId="7BB53F88" w14:textId="77777777" w:rsidR="00D850D4" w:rsidRPr="00C0451E" w:rsidRDefault="00D850D4" w:rsidP="00156658">
            <w:pPr>
              <w:jc w:val="right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746659">
              <w:rPr>
                <w:sz w:val="26"/>
                <w:szCs w:val="26"/>
              </w:rPr>
              <w:t>December 20</w:t>
            </w:r>
            <w:r w:rsidR="00014994">
              <w:rPr>
                <w:sz w:val="26"/>
                <w:szCs w:val="26"/>
              </w:rPr>
              <w:t>, 2018</w:t>
            </w:r>
          </w:p>
        </w:tc>
      </w:tr>
      <w:tr w:rsidR="00D850D4" w:rsidRPr="00C0451E" w14:paraId="2FCAED44" w14:textId="77777777" w:rsidTr="00156658">
        <w:tc>
          <w:tcPr>
            <w:tcW w:w="4878" w:type="dxa"/>
          </w:tcPr>
          <w:p w14:paraId="5D143F7D" w14:textId="77777777" w:rsidR="00D850D4" w:rsidRPr="00C0451E" w:rsidRDefault="00D850D4" w:rsidP="00156658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4860" w:type="dxa"/>
          </w:tcPr>
          <w:p w14:paraId="6CD483A3" w14:textId="77777777" w:rsidR="00D850D4" w:rsidRPr="00C0451E" w:rsidRDefault="00D850D4" w:rsidP="00BE0DAD">
            <w:pPr>
              <w:rPr>
                <w:sz w:val="26"/>
                <w:szCs w:val="26"/>
              </w:rPr>
            </w:pPr>
          </w:p>
        </w:tc>
      </w:tr>
    </w:tbl>
    <w:p w14:paraId="16FD16A8" w14:textId="77777777" w:rsidR="00D850D4" w:rsidRPr="00C0451E" w:rsidRDefault="00D850D4" w:rsidP="00BE0DAD">
      <w:pPr>
        <w:rPr>
          <w:sz w:val="26"/>
          <w:szCs w:val="26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360"/>
      </w:tblGrid>
      <w:tr w:rsidR="004E58A5" w:rsidRPr="00C0451E" w14:paraId="252EA271" w14:textId="77777777" w:rsidTr="000D7ECA">
        <w:tc>
          <w:tcPr>
            <w:tcW w:w="9378" w:type="dxa"/>
            <w:gridSpan w:val="2"/>
          </w:tcPr>
          <w:p w14:paraId="065AF36A" w14:textId="77777777" w:rsidR="004E58A5" w:rsidRPr="00C0451E" w:rsidRDefault="00ED7D4C" w:rsidP="00BE0DAD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E15458">
              <w:rPr>
                <w:sz w:val="26"/>
                <w:szCs w:val="26"/>
              </w:rPr>
              <w:t>, Chairman</w:t>
            </w:r>
          </w:p>
        </w:tc>
        <w:tc>
          <w:tcPr>
            <w:tcW w:w="360" w:type="dxa"/>
          </w:tcPr>
          <w:p w14:paraId="6A38EED0" w14:textId="77777777" w:rsidR="004E58A5" w:rsidRPr="00C0451E" w:rsidRDefault="004E58A5" w:rsidP="00BE0DAD">
            <w:pPr>
              <w:rPr>
                <w:sz w:val="26"/>
                <w:szCs w:val="26"/>
              </w:rPr>
            </w:pPr>
          </w:p>
        </w:tc>
      </w:tr>
      <w:tr w:rsidR="004E58A5" w:rsidRPr="00C0451E" w14:paraId="20B25641" w14:textId="77777777" w:rsidTr="000D7ECA">
        <w:tc>
          <w:tcPr>
            <w:tcW w:w="9378" w:type="dxa"/>
            <w:gridSpan w:val="2"/>
          </w:tcPr>
          <w:p w14:paraId="091A8CB7" w14:textId="1C986485" w:rsidR="004E58A5" w:rsidRPr="00C0451E" w:rsidRDefault="005430BC" w:rsidP="00BE0DAD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Andrew G. Place</w:t>
            </w:r>
            <w:r w:rsidR="00AB2CF1">
              <w:rPr>
                <w:sz w:val="26"/>
                <w:szCs w:val="26"/>
              </w:rPr>
              <w:t xml:space="preserve">, </w:t>
            </w:r>
            <w:r w:rsidR="004E58A5" w:rsidRPr="00C0451E">
              <w:rPr>
                <w:sz w:val="26"/>
                <w:szCs w:val="26"/>
              </w:rPr>
              <w:t>Vice Chairman</w:t>
            </w:r>
            <w:r w:rsidR="00BB3B24">
              <w:rPr>
                <w:sz w:val="26"/>
                <w:szCs w:val="26"/>
              </w:rPr>
              <w:t>, Statement, Dissenting</w:t>
            </w:r>
          </w:p>
        </w:tc>
        <w:tc>
          <w:tcPr>
            <w:tcW w:w="360" w:type="dxa"/>
          </w:tcPr>
          <w:p w14:paraId="5A94FCC7" w14:textId="77777777" w:rsidR="004E58A5" w:rsidRPr="00C0451E" w:rsidRDefault="004E58A5" w:rsidP="00BE0DAD">
            <w:pPr>
              <w:rPr>
                <w:sz w:val="26"/>
                <w:szCs w:val="26"/>
              </w:rPr>
            </w:pPr>
          </w:p>
        </w:tc>
      </w:tr>
      <w:tr w:rsidR="000C5957" w:rsidRPr="00C0451E" w14:paraId="3F5ED5DA" w14:textId="77777777" w:rsidTr="000D7ECA">
        <w:tc>
          <w:tcPr>
            <w:tcW w:w="5958" w:type="dxa"/>
          </w:tcPr>
          <w:p w14:paraId="74A3CE08" w14:textId="77777777" w:rsidR="000C5957" w:rsidRDefault="000C5957" w:rsidP="00BE0DAD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Norman J. Kennard</w:t>
            </w:r>
          </w:p>
        </w:tc>
        <w:tc>
          <w:tcPr>
            <w:tcW w:w="3780" w:type="dxa"/>
            <w:gridSpan w:val="2"/>
          </w:tcPr>
          <w:p w14:paraId="4B24019E" w14:textId="77777777" w:rsidR="000C5957" w:rsidRPr="00C0451E" w:rsidRDefault="000C5957" w:rsidP="00BE0DAD">
            <w:pPr>
              <w:rPr>
                <w:sz w:val="26"/>
                <w:szCs w:val="26"/>
              </w:rPr>
            </w:pPr>
          </w:p>
        </w:tc>
      </w:tr>
      <w:tr w:rsidR="00572CCC" w:rsidRPr="00C0451E" w14:paraId="366231DC" w14:textId="77777777" w:rsidTr="000D7ECA">
        <w:tc>
          <w:tcPr>
            <w:tcW w:w="5958" w:type="dxa"/>
          </w:tcPr>
          <w:p w14:paraId="343EE2AA" w14:textId="77777777" w:rsidR="00572CCC" w:rsidRPr="00C0451E" w:rsidRDefault="00F90DC1" w:rsidP="00BE0DAD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</w:tc>
        <w:tc>
          <w:tcPr>
            <w:tcW w:w="3780" w:type="dxa"/>
            <w:gridSpan w:val="2"/>
          </w:tcPr>
          <w:p w14:paraId="6B8A5EC2" w14:textId="77777777" w:rsidR="00572CCC" w:rsidRPr="00C0451E" w:rsidRDefault="00572CCC" w:rsidP="00BE0DAD">
            <w:pPr>
              <w:rPr>
                <w:sz w:val="26"/>
                <w:szCs w:val="26"/>
              </w:rPr>
            </w:pPr>
          </w:p>
        </w:tc>
      </w:tr>
      <w:tr w:rsidR="00E441EC" w:rsidRPr="00C0451E" w14:paraId="55A9C4B2" w14:textId="77777777" w:rsidTr="000D7ECA">
        <w:tc>
          <w:tcPr>
            <w:tcW w:w="5958" w:type="dxa"/>
          </w:tcPr>
          <w:p w14:paraId="701FA8A6" w14:textId="77777777" w:rsidR="00E441EC" w:rsidRPr="00C0451E" w:rsidRDefault="00F90DC1" w:rsidP="00BE0DAD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  <w:tc>
          <w:tcPr>
            <w:tcW w:w="3780" w:type="dxa"/>
            <w:gridSpan w:val="2"/>
          </w:tcPr>
          <w:p w14:paraId="0995DF72" w14:textId="77777777" w:rsidR="00E441EC" w:rsidRPr="00C0451E" w:rsidRDefault="00E441EC" w:rsidP="00BE0DAD">
            <w:pPr>
              <w:rPr>
                <w:sz w:val="26"/>
                <w:szCs w:val="26"/>
              </w:rPr>
            </w:pPr>
          </w:p>
        </w:tc>
      </w:tr>
      <w:tr w:rsidR="00350758" w:rsidRPr="00C0451E" w14:paraId="2A1643AA" w14:textId="77777777" w:rsidTr="000D7ECA">
        <w:tc>
          <w:tcPr>
            <w:tcW w:w="5958" w:type="dxa"/>
          </w:tcPr>
          <w:p w14:paraId="6CEBC7EA" w14:textId="77777777" w:rsidR="00350758" w:rsidRDefault="00350758" w:rsidP="00BE0DAD">
            <w:pPr>
              <w:ind w:right="342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2"/>
          </w:tcPr>
          <w:p w14:paraId="2C614163" w14:textId="77777777" w:rsidR="00350758" w:rsidRDefault="00350758" w:rsidP="00BE0DAD">
            <w:pPr>
              <w:jc w:val="center"/>
              <w:rPr>
                <w:sz w:val="26"/>
                <w:szCs w:val="26"/>
              </w:rPr>
            </w:pPr>
          </w:p>
        </w:tc>
      </w:tr>
      <w:tr w:rsidR="00350758" w:rsidRPr="00C0451E" w14:paraId="2F2BB859" w14:textId="77777777" w:rsidTr="000D7ECA">
        <w:tc>
          <w:tcPr>
            <w:tcW w:w="5958" w:type="dxa"/>
          </w:tcPr>
          <w:p w14:paraId="332E9C49" w14:textId="77777777" w:rsidR="00CD5B95" w:rsidRDefault="00CD5B95" w:rsidP="00BE0DAD">
            <w:pPr>
              <w:spacing w:after="180"/>
              <w:ind w:right="3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Meghan Flynn, Rosemary Fuller, Michael Walsh, Nancy Harkins, Gerald McMullen, Caroline Hughes, and Melissa Haines,</w:t>
            </w:r>
          </w:p>
          <w:p w14:paraId="1E2E79F5" w14:textId="77777777" w:rsidR="00CD5B95" w:rsidRDefault="00CD5B95" w:rsidP="00BE0DAD">
            <w:pPr>
              <w:spacing w:after="180"/>
              <w:ind w:right="3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v.</w:t>
            </w:r>
          </w:p>
          <w:p w14:paraId="780972E2" w14:textId="77777777" w:rsidR="00CD5B95" w:rsidRDefault="00CD5B95" w:rsidP="00BE0DAD">
            <w:pPr>
              <w:spacing w:after="180"/>
              <w:ind w:right="3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Sunoco Pipeline, L.P.,</w:t>
            </w:r>
          </w:p>
          <w:p w14:paraId="1D8941DD" w14:textId="77777777" w:rsidR="00CD5B95" w:rsidRDefault="00CD5B95" w:rsidP="00BE0DAD">
            <w:pPr>
              <w:spacing w:after="180"/>
              <w:ind w:right="346"/>
              <w:rPr>
                <w:sz w:val="26"/>
                <w:szCs w:val="26"/>
              </w:rPr>
            </w:pPr>
          </w:p>
          <w:p w14:paraId="35B07535" w14:textId="77777777" w:rsidR="00746659" w:rsidRDefault="00CD5B95" w:rsidP="00BE0DAD">
            <w:pPr>
              <w:spacing w:after="180"/>
              <w:ind w:right="3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Petition of Meghan Flynn, Rosemary Fuller, Michael Walsh, Nancy Harkins, Gerald McMullen, Caroline Hughes, and Melissa Haines for Interim Emergency Relief</w:t>
            </w:r>
          </w:p>
        </w:tc>
        <w:tc>
          <w:tcPr>
            <w:tcW w:w="3780" w:type="dxa"/>
            <w:gridSpan w:val="2"/>
          </w:tcPr>
          <w:p w14:paraId="4D8D3564" w14:textId="77777777" w:rsidR="00350758" w:rsidRDefault="00CE50F6" w:rsidP="00BE0D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="00014994">
              <w:rPr>
                <w:sz w:val="26"/>
                <w:szCs w:val="26"/>
              </w:rPr>
              <w:t>-2018-</w:t>
            </w:r>
            <w:r w:rsidR="008A22C2">
              <w:rPr>
                <w:sz w:val="26"/>
                <w:szCs w:val="26"/>
              </w:rPr>
              <w:t>300</w:t>
            </w:r>
            <w:r>
              <w:rPr>
                <w:sz w:val="26"/>
                <w:szCs w:val="26"/>
              </w:rPr>
              <w:t>6116</w:t>
            </w:r>
          </w:p>
          <w:p w14:paraId="3D460D94" w14:textId="77777777" w:rsidR="00746659" w:rsidRDefault="00746659" w:rsidP="000D7ECA">
            <w:pPr>
              <w:ind w:right="525"/>
              <w:jc w:val="right"/>
              <w:rPr>
                <w:sz w:val="26"/>
                <w:szCs w:val="26"/>
              </w:rPr>
            </w:pPr>
          </w:p>
          <w:p w14:paraId="4383AED9" w14:textId="77777777" w:rsidR="00746659" w:rsidRDefault="00746659" w:rsidP="00BE0DAD">
            <w:pPr>
              <w:jc w:val="right"/>
              <w:rPr>
                <w:sz w:val="26"/>
                <w:szCs w:val="26"/>
              </w:rPr>
            </w:pPr>
          </w:p>
          <w:p w14:paraId="2DD78AA2" w14:textId="77777777" w:rsidR="00746659" w:rsidRDefault="00746659" w:rsidP="00BE0DAD">
            <w:pPr>
              <w:jc w:val="right"/>
              <w:rPr>
                <w:sz w:val="26"/>
                <w:szCs w:val="26"/>
              </w:rPr>
            </w:pPr>
          </w:p>
          <w:p w14:paraId="40EE2D7C" w14:textId="77777777" w:rsidR="00746659" w:rsidRDefault="00746659" w:rsidP="00BE0DAD">
            <w:pPr>
              <w:jc w:val="right"/>
              <w:rPr>
                <w:sz w:val="26"/>
                <w:szCs w:val="26"/>
              </w:rPr>
            </w:pPr>
          </w:p>
          <w:p w14:paraId="0C53D693" w14:textId="77777777" w:rsidR="00CD5B95" w:rsidRDefault="00CD5B95" w:rsidP="00BE0DAD">
            <w:pPr>
              <w:jc w:val="right"/>
              <w:rPr>
                <w:sz w:val="26"/>
                <w:szCs w:val="26"/>
              </w:rPr>
            </w:pPr>
          </w:p>
          <w:p w14:paraId="075B87CB" w14:textId="77777777" w:rsidR="00CD5B95" w:rsidRDefault="00CD5B95" w:rsidP="00BE0DAD">
            <w:pPr>
              <w:jc w:val="right"/>
              <w:rPr>
                <w:sz w:val="26"/>
                <w:szCs w:val="26"/>
              </w:rPr>
            </w:pPr>
          </w:p>
          <w:p w14:paraId="5D7527AC" w14:textId="77777777" w:rsidR="00CD5B95" w:rsidRDefault="00CD5B95" w:rsidP="00BE0DAD">
            <w:pPr>
              <w:jc w:val="right"/>
              <w:rPr>
                <w:sz w:val="26"/>
                <w:szCs w:val="26"/>
              </w:rPr>
            </w:pPr>
          </w:p>
          <w:p w14:paraId="727FE2C6" w14:textId="77777777" w:rsidR="00CE50F6" w:rsidRPr="00C0451E" w:rsidRDefault="00CE50F6" w:rsidP="00BE0D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P-2018-3006117</w:t>
            </w:r>
          </w:p>
        </w:tc>
      </w:tr>
    </w:tbl>
    <w:p w14:paraId="3B4BEFE5" w14:textId="77777777" w:rsidR="00D850D4" w:rsidRDefault="00D850D4" w:rsidP="00BE0DAD">
      <w:pPr>
        <w:jc w:val="center"/>
        <w:rPr>
          <w:b/>
          <w:sz w:val="26"/>
          <w:szCs w:val="26"/>
        </w:rPr>
      </w:pPr>
    </w:p>
    <w:p w14:paraId="6B3EFB8E" w14:textId="77777777" w:rsidR="00156658" w:rsidRDefault="00156658" w:rsidP="00BE0DAD">
      <w:pPr>
        <w:jc w:val="center"/>
        <w:rPr>
          <w:b/>
          <w:sz w:val="26"/>
          <w:szCs w:val="26"/>
        </w:rPr>
      </w:pPr>
    </w:p>
    <w:p w14:paraId="6A456ED8" w14:textId="77777777" w:rsidR="0037498A" w:rsidRPr="00C0451E" w:rsidRDefault="00F420CF" w:rsidP="00BE0D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OPINION AND </w:t>
      </w:r>
      <w:r w:rsidR="0037498A">
        <w:rPr>
          <w:b/>
          <w:sz w:val="26"/>
          <w:szCs w:val="26"/>
        </w:rPr>
        <w:t>ORDER</w:t>
      </w:r>
    </w:p>
    <w:p w14:paraId="04BA42D8" w14:textId="77777777" w:rsidR="00D850D4" w:rsidRDefault="00D850D4" w:rsidP="00BE0DAD">
      <w:pPr>
        <w:spacing w:line="360" w:lineRule="auto"/>
        <w:rPr>
          <w:sz w:val="26"/>
          <w:szCs w:val="26"/>
        </w:rPr>
      </w:pPr>
    </w:p>
    <w:p w14:paraId="78A2FAEF" w14:textId="77777777" w:rsidR="00156658" w:rsidRPr="00C0451E" w:rsidRDefault="00156658" w:rsidP="00BE0DAD">
      <w:pPr>
        <w:spacing w:line="360" w:lineRule="auto"/>
        <w:rPr>
          <w:sz w:val="26"/>
          <w:szCs w:val="26"/>
        </w:rPr>
      </w:pPr>
    </w:p>
    <w:p w14:paraId="1F8191F2" w14:textId="77777777" w:rsidR="00DF0470" w:rsidRDefault="00DF0470" w:rsidP="00BE0DAD">
      <w:pPr>
        <w:pStyle w:val="p3"/>
        <w:widowControl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14:paraId="48C8B2C7" w14:textId="77777777" w:rsidR="008A22C2" w:rsidRDefault="008A22C2" w:rsidP="00BE0DAD">
      <w:pPr>
        <w:pStyle w:val="p3"/>
        <w:widowControl/>
        <w:spacing w:line="360" w:lineRule="auto"/>
        <w:rPr>
          <w:b/>
          <w:sz w:val="26"/>
          <w:szCs w:val="26"/>
        </w:rPr>
      </w:pPr>
    </w:p>
    <w:p w14:paraId="567F492B" w14:textId="77777777" w:rsidR="00CA3F67" w:rsidRDefault="00CA3F67" w:rsidP="00BE0DAD">
      <w:pPr>
        <w:pStyle w:val="p3"/>
        <w:widowControl/>
        <w:tabs>
          <w:tab w:val="clear" w:pos="204"/>
        </w:tabs>
        <w:spacing w:line="360" w:lineRule="auto"/>
        <w:ind w:firstLine="1440"/>
        <w:rPr>
          <w:sz w:val="26"/>
          <w:szCs w:val="26"/>
        </w:rPr>
      </w:pPr>
      <w:r w:rsidRPr="00D12C93">
        <w:rPr>
          <w:sz w:val="26"/>
          <w:szCs w:val="26"/>
        </w:rPr>
        <w:t xml:space="preserve">On </w:t>
      </w:r>
      <w:r>
        <w:rPr>
          <w:sz w:val="26"/>
          <w:szCs w:val="26"/>
        </w:rPr>
        <w:t xml:space="preserve">December 11, 2018, Administrative Law Judge Elizabeth Barnes issued the Interim Emergency Order and Certification of Material Question </w:t>
      </w:r>
      <w:r w:rsidR="00452959">
        <w:rPr>
          <w:sz w:val="26"/>
          <w:szCs w:val="26"/>
        </w:rPr>
        <w:t xml:space="preserve">(Interim Emergency Order) </w:t>
      </w:r>
      <w:r>
        <w:rPr>
          <w:sz w:val="26"/>
          <w:szCs w:val="26"/>
        </w:rPr>
        <w:t>in the above-captioned proceeding.</w:t>
      </w:r>
    </w:p>
    <w:p w14:paraId="6C26DE65" w14:textId="77777777" w:rsidR="00CA3F67" w:rsidRDefault="00CA3F67" w:rsidP="00BE0DAD">
      <w:pPr>
        <w:pStyle w:val="p3"/>
        <w:widowControl/>
        <w:tabs>
          <w:tab w:val="clear" w:pos="204"/>
        </w:tabs>
        <w:spacing w:line="360" w:lineRule="auto"/>
        <w:rPr>
          <w:sz w:val="26"/>
          <w:szCs w:val="26"/>
        </w:rPr>
      </w:pPr>
    </w:p>
    <w:p w14:paraId="2A2EB87C" w14:textId="77777777" w:rsidR="00CA3F67" w:rsidRDefault="00CA3F67" w:rsidP="00BE0DAD">
      <w:pPr>
        <w:pStyle w:val="p3"/>
        <w:widowControl/>
        <w:tabs>
          <w:tab w:val="clear" w:pos="204"/>
        </w:tabs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lastRenderedPageBreak/>
        <w:t>The Commission’s regulation at 52 Pa. Code § 5.305(e) requires the Commission to act on the certified question within thirty days of the date it is filed (</w:t>
      </w:r>
      <w:r w:rsidRPr="00CA3F67">
        <w:rPr>
          <w:i/>
          <w:sz w:val="26"/>
          <w:szCs w:val="26"/>
        </w:rPr>
        <w:t>i.e.</w:t>
      </w:r>
      <w:r>
        <w:rPr>
          <w:sz w:val="26"/>
          <w:szCs w:val="26"/>
        </w:rPr>
        <w:t>, on or before January 10, 2019).</w:t>
      </w:r>
    </w:p>
    <w:p w14:paraId="5D68472F" w14:textId="77777777" w:rsidR="00CA3F67" w:rsidRDefault="00CA3F67" w:rsidP="00BE0DAD">
      <w:pPr>
        <w:pStyle w:val="p3"/>
        <w:widowControl/>
        <w:tabs>
          <w:tab w:val="clear" w:pos="204"/>
        </w:tabs>
        <w:spacing w:line="360" w:lineRule="auto"/>
        <w:rPr>
          <w:sz w:val="26"/>
          <w:szCs w:val="26"/>
        </w:rPr>
      </w:pPr>
    </w:p>
    <w:p w14:paraId="047FC3A0" w14:textId="77777777" w:rsidR="00CA3F67" w:rsidRDefault="00CA3F67" w:rsidP="00BE0DAD">
      <w:pPr>
        <w:pStyle w:val="p3"/>
        <w:widowControl/>
        <w:tabs>
          <w:tab w:val="clear" w:pos="204"/>
        </w:tabs>
        <w:spacing w:line="360" w:lineRule="auto"/>
        <w:ind w:firstLine="1440"/>
        <w:rPr>
          <w:sz w:val="26"/>
          <w:szCs w:val="26"/>
        </w:rPr>
      </w:pPr>
      <w:r w:rsidRPr="00D12C93">
        <w:rPr>
          <w:sz w:val="26"/>
          <w:szCs w:val="26"/>
        </w:rPr>
        <w:t xml:space="preserve">In order to review the matter thoroughly, we </w:t>
      </w:r>
      <w:r w:rsidRPr="00CA3F67">
        <w:rPr>
          <w:b/>
          <w:sz w:val="26"/>
          <w:szCs w:val="26"/>
        </w:rPr>
        <w:t>waive</w:t>
      </w:r>
      <w:r w:rsidRPr="00D12C93">
        <w:rPr>
          <w:sz w:val="26"/>
          <w:szCs w:val="26"/>
        </w:rPr>
        <w:t xml:space="preserve"> the </w:t>
      </w:r>
      <w:r w:rsidR="00BE0DAD">
        <w:rPr>
          <w:sz w:val="26"/>
          <w:szCs w:val="26"/>
        </w:rPr>
        <w:t>thirty</w:t>
      </w:r>
      <w:r w:rsidRPr="00D12C93">
        <w:rPr>
          <w:sz w:val="26"/>
          <w:szCs w:val="26"/>
        </w:rPr>
        <w:t>-day period for consideration set forth in 52 Pa. Code § 5.30</w:t>
      </w:r>
      <w:r>
        <w:rPr>
          <w:sz w:val="26"/>
          <w:szCs w:val="26"/>
        </w:rPr>
        <w:t>5(e)</w:t>
      </w:r>
      <w:r w:rsidRPr="00D12C93">
        <w:rPr>
          <w:sz w:val="26"/>
          <w:szCs w:val="26"/>
        </w:rPr>
        <w:t xml:space="preserve"> and, thereby, extend our consideration beyond the thirty days provided for in said Regulation in order to afford us adequate time to address the question raised.  </w:t>
      </w:r>
      <w:r w:rsidRPr="00CA3F67">
        <w:rPr>
          <w:i/>
          <w:sz w:val="26"/>
          <w:szCs w:val="26"/>
        </w:rPr>
        <w:t>See</w:t>
      </w:r>
      <w:r w:rsidRPr="00D12C93">
        <w:rPr>
          <w:sz w:val="26"/>
          <w:szCs w:val="26"/>
        </w:rPr>
        <w:t xml:space="preserve"> 52 </w:t>
      </w:r>
      <w:smartTag w:uri="urn:schemas-microsoft-com:office:smarttags" w:element="place">
        <w:smartTag w:uri="urn:schemas-microsoft-com:office:smarttags" w:element="State">
          <w:r w:rsidRPr="00D12C93">
            <w:rPr>
              <w:sz w:val="26"/>
              <w:szCs w:val="26"/>
            </w:rPr>
            <w:t>Pa.</w:t>
          </w:r>
        </w:smartTag>
      </w:smartTag>
      <w:r w:rsidRPr="00D12C93">
        <w:rPr>
          <w:sz w:val="26"/>
          <w:szCs w:val="26"/>
        </w:rPr>
        <w:t xml:space="preserve"> Code § 1.2(c); </w:t>
      </w:r>
      <w:r w:rsidRPr="00CA3F67">
        <w:rPr>
          <w:i/>
          <w:sz w:val="26"/>
          <w:szCs w:val="26"/>
        </w:rPr>
        <w:t>see also,</w:t>
      </w:r>
      <w:r w:rsidRPr="00D12C93">
        <w:rPr>
          <w:sz w:val="26"/>
          <w:szCs w:val="26"/>
        </w:rPr>
        <w:t xml:space="preserve"> </w:t>
      </w:r>
      <w:r w:rsidRPr="00CA3F67">
        <w:rPr>
          <w:i/>
          <w:sz w:val="26"/>
          <w:szCs w:val="26"/>
        </w:rPr>
        <w:t>C.S. Warthman Funeral Home, et al. v. GTE North, Incorporated</w:t>
      </w:r>
      <w:r w:rsidRPr="00D12C93">
        <w:rPr>
          <w:sz w:val="26"/>
          <w:szCs w:val="26"/>
        </w:rPr>
        <w:t>, Docket No. C-00924416 (June 4, 1993).</w:t>
      </w:r>
      <w:r>
        <w:rPr>
          <w:sz w:val="26"/>
          <w:szCs w:val="26"/>
        </w:rPr>
        <w:t xml:space="preserve">  Accordingly, the Petition will be addressed at a forthcoming Public Meeting.</w:t>
      </w:r>
    </w:p>
    <w:p w14:paraId="348073AB" w14:textId="77777777" w:rsidR="00CA3F67" w:rsidRDefault="00CA3F67" w:rsidP="00BE0DAD">
      <w:pPr>
        <w:pStyle w:val="p3"/>
        <w:widowControl/>
        <w:tabs>
          <w:tab w:val="clear" w:pos="204"/>
        </w:tabs>
        <w:spacing w:line="360" w:lineRule="auto"/>
        <w:rPr>
          <w:sz w:val="26"/>
          <w:szCs w:val="26"/>
        </w:rPr>
      </w:pPr>
    </w:p>
    <w:p w14:paraId="3EE236D8" w14:textId="77777777" w:rsidR="00CA3F67" w:rsidRPr="00C07E40" w:rsidRDefault="00CA3F67" w:rsidP="00BE0DAD">
      <w:pPr>
        <w:pStyle w:val="p3"/>
        <w:widowControl/>
        <w:tabs>
          <w:tab w:val="clear" w:pos="204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Discussion</w:t>
      </w:r>
    </w:p>
    <w:p w14:paraId="075EE080" w14:textId="77777777" w:rsidR="00CA3F67" w:rsidRDefault="00CA3F67" w:rsidP="00BE0DAD">
      <w:pPr>
        <w:spacing w:line="360" w:lineRule="auto"/>
        <w:ind w:firstLine="1440"/>
        <w:rPr>
          <w:sz w:val="26"/>
          <w:szCs w:val="26"/>
        </w:rPr>
      </w:pPr>
    </w:p>
    <w:p w14:paraId="5DD754C8" w14:textId="77777777" w:rsidR="00F66A75" w:rsidRDefault="008A22C2" w:rsidP="00BE0DAD">
      <w:pPr>
        <w:pStyle w:val="p3"/>
        <w:widowControl/>
        <w:tabs>
          <w:tab w:val="clear" w:pos="204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3F312A" w:rsidRPr="003F312A">
        <w:rPr>
          <w:sz w:val="26"/>
          <w:szCs w:val="26"/>
        </w:rPr>
        <w:t>On</w:t>
      </w:r>
      <w:r w:rsidR="003F312A">
        <w:rPr>
          <w:b/>
          <w:sz w:val="26"/>
          <w:szCs w:val="26"/>
        </w:rPr>
        <w:t xml:space="preserve"> </w:t>
      </w:r>
      <w:r w:rsidR="00F3640F">
        <w:rPr>
          <w:sz w:val="26"/>
          <w:szCs w:val="26"/>
        </w:rPr>
        <w:t>November 19</w:t>
      </w:r>
      <w:r w:rsidR="003F312A" w:rsidRPr="003F312A">
        <w:rPr>
          <w:sz w:val="26"/>
          <w:szCs w:val="26"/>
        </w:rPr>
        <w:t>, 2018,</w:t>
      </w:r>
      <w:r w:rsidR="003F312A">
        <w:rPr>
          <w:b/>
          <w:sz w:val="26"/>
          <w:szCs w:val="26"/>
        </w:rPr>
        <w:t xml:space="preserve"> </w:t>
      </w:r>
      <w:r w:rsidR="003F312A" w:rsidRPr="003F312A">
        <w:rPr>
          <w:sz w:val="26"/>
          <w:szCs w:val="26"/>
        </w:rPr>
        <w:t xml:space="preserve">the </w:t>
      </w:r>
      <w:r w:rsidR="00F3640F">
        <w:rPr>
          <w:sz w:val="26"/>
          <w:szCs w:val="26"/>
        </w:rPr>
        <w:t xml:space="preserve">Pennsylvania Public Utility Commission (Commission) received a </w:t>
      </w:r>
      <w:r w:rsidR="00F66A75">
        <w:rPr>
          <w:sz w:val="26"/>
          <w:szCs w:val="26"/>
        </w:rPr>
        <w:t xml:space="preserve">Formal Complaint and a </w:t>
      </w:r>
      <w:r w:rsidR="00F3640F">
        <w:rPr>
          <w:sz w:val="26"/>
          <w:szCs w:val="26"/>
        </w:rPr>
        <w:t>Petition for</w:t>
      </w:r>
      <w:r w:rsidR="00DC6CDC">
        <w:rPr>
          <w:sz w:val="26"/>
          <w:szCs w:val="26"/>
        </w:rPr>
        <w:t xml:space="preserve"> Interim</w:t>
      </w:r>
      <w:r w:rsidR="00F3640F">
        <w:rPr>
          <w:sz w:val="26"/>
          <w:szCs w:val="26"/>
        </w:rPr>
        <w:t xml:space="preserve"> Emergency Relief from Meghan Flynn, Rosemary Fuller, Michael Walsh, Nancy Harkins, Gerald McMullen, Caroline Hughes, and Melissa Haines</w:t>
      </w:r>
      <w:r w:rsidR="00F66A75" w:rsidRPr="00F66A75">
        <w:rPr>
          <w:sz w:val="26"/>
          <w:szCs w:val="26"/>
        </w:rPr>
        <w:t xml:space="preserve"> </w:t>
      </w:r>
      <w:r w:rsidR="00F66A75">
        <w:rPr>
          <w:sz w:val="26"/>
          <w:szCs w:val="26"/>
        </w:rPr>
        <w:t>(Petitioners)</w:t>
      </w:r>
      <w:r w:rsidR="00F3640F">
        <w:rPr>
          <w:sz w:val="26"/>
          <w:szCs w:val="26"/>
        </w:rPr>
        <w:t xml:space="preserve">.  The </w:t>
      </w:r>
      <w:r w:rsidR="00F66A75">
        <w:rPr>
          <w:sz w:val="26"/>
          <w:szCs w:val="26"/>
        </w:rPr>
        <w:t xml:space="preserve">Complaint and the </w:t>
      </w:r>
      <w:r w:rsidR="00F3640F">
        <w:rPr>
          <w:sz w:val="26"/>
          <w:szCs w:val="26"/>
        </w:rPr>
        <w:t>Emergency Petition w</w:t>
      </w:r>
      <w:r w:rsidR="00F66A75">
        <w:rPr>
          <w:sz w:val="26"/>
          <w:szCs w:val="26"/>
        </w:rPr>
        <w:t>ere</w:t>
      </w:r>
      <w:r w:rsidR="00F3640F">
        <w:rPr>
          <w:sz w:val="26"/>
          <w:szCs w:val="26"/>
        </w:rPr>
        <w:t xml:space="preserve"> served on Sunoco Pipeline, L.P. on November 20, 2018.</w:t>
      </w:r>
    </w:p>
    <w:p w14:paraId="28DC6508" w14:textId="77777777" w:rsidR="00F66A75" w:rsidRDefault="00F66A75" w:rsidP="00BE0DAD">
      <w:pPr>
        <w:pStyle w:val="p3"/>
        <w:widowControl/>
        <w:spacing w:line="360" w:lineRule="auto"/>
        <w:rPr>
          <w:sz w:val="26"/>
          <w:szCs w:val="26"/>
        </w:rPr>
      </w:pPr>
    </w:p>
    <w:p w14:paraId="2A1CBEB9" w14:textId="77777777" w:rsidR="00DD47A4" w:rsidRDefault="00F66A75" w:rsidP="00BE0DAD">
      <w:pPr>
        <w:pStyle w:val="p3"/>
        <w:widowControl/>
        <w:tabs>
          <w:tab w:val="clear" w:pos="20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092E9A">
        <w:rPr>
          <w:sz w:val="26"/>
          <w:szCs w:val="26"/>
        </w:rPr>
        <w:tab/>
      </w:r>
      <w:r w:rsidR="00F3640F">
        <w:rPr>
          <w:sz w:val="26"/>
          <w:szCs w:val="26"/>
        </w:rPr>
        <w:t xml:space="preserve">Petitioners </w:t>
      </w:r>
      <w:r>
        <w:rPr>
          <w:sz w:val="26"/>
          <w:szCs w:val="26"/>
        </w:rPr>
        <w:t>oppose the operation and/or construction associated with Sunoco</w:t>
      </w:r>
      <w:r w:rsidR="008D727C">
        <w:rPr>
          <w:sz w:val="26"/>
          <w:szCs w:val="26"/>
        </w:rPr>
        <w:t>’s</w:t>
      </w:r>
      <w:r>
        <w:rPr>
          <w:sz w:val="26"/>
          <w:szCs w:val="26"/>
        </w:rPr>
        <w:t xml:space="preserve"> pipelines</w:t>
      </w:r>
      <w:r w:rsidRPr="00F66A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Mariner East 1 (ME1), Mariner East 2 (ME2) and Mariner East 2X (ME2X), arguing the </w:t>
      </w:r>
      <w:r w:rsidR="00092E9A">
        <w:rPr>
          <w:sz w:val="26"/>
          <w:szCs w:val="26"/>
        </w:rPr>
        <w:t>transport of hazardous, highly volatile liquids</w:t>
      </w:r>
      <w:r>
        <w:rPr>
          <w:sz w:val="26"/>
          <w:szCs w:val="26"/>
        </w:rPr>
        <w:t xml:space="preserve"> present</w:t>
      </w:r>
      <w:r w:rsidR="00092E9A">
        <w:rPr>
          <w:sz w:val="26"/>
          <w:szCs w:val="26"/>
        </w:rPr>
        <w:t>s</w:t>
      </w:r>
      <w:r>
        <w:rPr>
          <w:sz w:val="26"/>
          <w:szCs w:val="26"/>
        </w:rPr>
        <w:t xml:space="preserve"> an unacceptable </w:t>
      </w:r>
      <w:r w:rsidR="00092E9A">
        <w:rPr>
          <w:sz w:val="26"/>
          <w:szCs w:val="26"/>
        </w:rPr>
        <w:t xml:space="preserve">risk to life and property.  In the Emergency Petition, Petitioners </w:t>
      </w:r>
      <w:r w:rsidR="00F3640F">
        <w:rPr>
          <w:sz w:val="26"/>
          <w:szCs w:val="26"/>
        </w:rPr>
        <w:t>ask the Commission</w:t>
      </w:r>
      <w:r>
        <w:rPr>
          <w:sz w:val="26"/>
          <w:szCs w:val="26"/>
        </w:rPr>
        <w:t xml:space="preserve"> </w:t>
      </w:r>
      <w:r w:rsidR="00F3640F">
        <w:rPr>
          <w:sz w:val="26"/>
          <w:szCs w:val="26"/>
        </w:rPr>
        <w:t>to direct</w:t>
      </w:r>
      <w:r w:rsidR="00771CE2">
        <w:rPr>
          <w:sz w:val="26"/>
          <w:szCs w:val="26"/>
        </w:rPr>
        <w:t xml:space="preserve">, </w:t>
      </w:r>
      <w:r w:rsidR="00771CE2">
        <w:rPr>
          <w:i/>
          <w:sz w:val="26"/>
          <w:szCs w:val="26"/>
        </w:rPr>
        <w:t>inter alia</w:t>
      </w:r>
      <w:r w:rsidR="00771CE2" w:rsidRPr="00771CE2">
        <w:rPr>
          <w:sz w:val="26"/>
          <w:szCs w:val="26"/>
        </w:rPr>
        <w:t>,</w:t>
      </w:r>
      <w:r w:rsidR="00F3640F">
        <w:rPr>
          <w:sz w:val="26"/>
          <w:szCs w:val="26"/>
        </w:rPr>
        <w:t xml:space="preserve"> Sunoco to cease operation of its </w:t>
      </w:r>
      <w:r>
        <w:rPr>
          <w:sz w:val="26"/>
          <w:szCs w:val="26"/>
        </w:rPr>
        <w:t xml:space="preserve">ME1 </w:t>
      </w:r>
      <w:r w:rsidR="00F3640F">
        <w:rPr>
          <w:sz w:val="26"/>
          <w:szCs w:val="26"/>
        </w:rPr>
        <w:t xml:space="preserve">pipeline immediately and to prohibit operation of </w:t>
      </w:r>
      <w:r w:rsidR="00771CE2">
        <w:rPr>
          <w:sz w:val="26"/>
          <w:szCs w:val="26"/>
        </w:rPr>
        <w:t>an</w:t>
      </w:r>
      <w:r w:rsidR="00F3640F">
        <w:rPr>
          <w:sz w:val="26"/>
          <w:szCs w:val="26"/>
        </w:rPr>
        <w:t xml:space="preserve"> </w:t>
      </w:r>
      <w:r w:rsidR="00092E9A">
        <w:rPr>
          <w:sz w:val="26"/>
          <w:szCs w:val="26"/>
        </w:rPr>
        <w:t xml:space="preserve">ME2 and ME2X </w:t>
      </w:r>
      <w:r w:rsidR="00771CE2">
        <w:rPr>
          <w:sz w:val="26"/>
          <w:szCs w:val="26"/>
        </w:rPr>
        <w:t>“</w:t>
      </w:r>
      <w:r w:rsidR="00F3640F">
        <w:rPr>
          <w:sz w:val="26"/>
          <w:szCs w:val="26"/>
        </w:rPr>
        <w:t>workaround pipeline,</w:t>
      </w:r>
      <w:r w:rsidR="00771CE2">
        <w:rPr>
          <w:sz w:val="26"/>
          <w:szCs w:val="26"/>
        </w:rPr>
        <w:t>”</w:t>
      </w:r>
      <w:r w:rsidR="00F364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until a final order </w:t>
      </w:r>
      <w:r w:rsidR="00DC6CDC">
        <w:rPr>
          <w:sz w:val="26"/>
          <w:szCs w:val="26"/>
        </w:rPr>
        <w:t xml:space="preserve">is issued </w:t>
      </w:r>
      <w:r>
        <w:rPr>
          <w:sz w:val="26"/>
          <w:szCs w:val="26"/>
        </w:rPr>
        <w:t>in the Complaint proceeding.</w:t>
      </w:r>
    </w:p>
    <w:p w14:paraId="2BCD7861" w14:textId="77777777" w:rsidR="00DD47A4" w:rsidRDefault="00DD47A4" w:rsidP="00BE0DAD">
      <w:pPr>
        <w:pStyle w:val="p3"/>
        <w:widowControl/>
        <w:tabs>
          <w:tab w:val="clear" w:pos="204"/>
        </w:tabs>
        <w:spacing w:line="360" w:lineRule="auto"/>
        <w:rPr>
          <w:sz w:val="26"/>
          <w:szCs w:val="26"/>
        </w:rPr>
      </w:pPr>
    </w:p>
    <w:p w14:paraId="048FEB6C" w14:textId="77777777" w:rsidR="00DD47A4" w:rsidRDefault="00092E9A" w:rsidP="00BE0DAD">
      <w:pPr>
        <w:pStyle w:val="p3"/>
        <w:widowControl/>
        <w:tabs>
          <w:tab w:val="clear" w:pos="204"/>
        </w:tabs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On November 21, 2018, Sunoco requested </w:t>
      </w:r>
      <w:r w:rsidR="000B710F">
        <w:rPr>
          <w:sz w:val="26"/>
          <w:szCs w:val="26"/>
        </w:rPr>
        <w:t xml:space="preserve">via email </w:t>
      </w:r>
      <w:r>
        <w:rPr>
          <w:sz w:val="26"/>
          <w:szCs w:val="26"/>
        </w:rPr>
        <w:t xml:space="preserve">an extension of time in which to answer the Complaint and Emergency </w:t>
      </w:r>
      <w:r w:rsidR="00DC6CDC">
        <w:rPr>
          <w:sz w:val="26"/>
          <w:szCs w:val="26"/>
        </w:rPr>
        <w:t>Petition</w:t>
      </w:r>
      <w:r>
        <w:rPr>
          <w:sz w:val="26"/>
          <w:szCs w:val="26"/>
        </w:rPr>
        <w:t>, given the Thanksgiving holiday.</w:t>
      </w:r>
      <w:r w:rsidR="004E677D">
        <w:rPr>
          <w:sz w:val="26"/>
          <w:szCs w:val="26"/>
        </w:rPr>
        <w:t xml:space="preserve">  </w:t>
      </w:r>
      <w:r w:rsidR="00F504E9">
        <w:rPr>
          <w:sz w:val="26"/>
          <w:szCs w:val="26"/>
        </w:rPr>
        <w:t xml:space="preserve">In the prehearing order, scheduling hearings for November 29 and 30, 2018, the </w:t>
      </w:r>
      <w:r w:rsidR="009A40B7">
        <w:rPr>
          <w:sz w:val="26"/>
          <w:szCs w:val="26"/>
        </w:rPr>
        <w:t>A</w:t>
      </w:r>
      <w:r w:rsidR="00F504E9">
        <w:rPr>
          <w:sz w:val="26"/>
          <w:szCs w:val="26"/>
        </w:rPr>
        <w:t xml:space="preserve">dministrative </w:t>
      </w:r>
      <w:r w:rsidR="009A40B7">
        <w:rPr>
          <w:sz w:val="26"/>
          <w:szCs w:val="26"/>
        </w:rPr>
        <w:t>L</w:t>
      </w:r>
      <w:r w:rsidR="00F504E9">
        <w:rPr>
          <w:sz w:val="26"/>
          <w:szCs w:val="26"/>
        </w:rPr>
        <w:t xml:space="preserve">aw </w:t>
      </w:r>
      <w:r w:rsidR="009A40B7">
        <w:rPr>
          <w:sz w:val="26"/>
          <w:szCs w:val="26"/>
        </w:rPr>
        <w:t>J</w:t>
      </w:r>
      <w:r w:rsidR="00F504E9">
        <w:rPr>
          <w:sz w:val="26"/>
          <w:szCs w:val="26"/>
        </w:rPr>
        <w:t xml:space="preserve">udge </w:t>
      </w:r>
      <w:r w:rsidR="005E0A6C">
        <w:rPr>
          <w:sz w:val="26"/>
          <w:szCs w:val="26"/>
        </w:rPr>
        <w:t xml:space="preserve">allowed Sunoco until November 27, 2018, to file an answer to the </w:t>
      </w:r>
      <w:r w:rsidR="00DC6CDC">
        <w:rPr>
          <w:sz w:val="26"/>
          <w:szCs w:val="26"/>
        </w:rPr>
        <w:t>Emergency Petition</w:t>
      </w:r>
      <w:r w:rsidR="005E0A6C">
        <w:rPr>
          <w:sz w:val="26"/>
          <w:szCs w:val="26"/>
        </w:rPr>
        <w:t>.</w:t>
      </w:r>
    </w:p>
    <w:p w14:paraId="20473AF8" w14:textId="77777777" w:rsidR="00DD47A4" w:rsidRDefault="00DD47A4" w:rsidP="00BE0DAD">
      <w:pPr>
        <w:pStyle w:val="p3"/>
        <w:widowControl/>
        <w:tabs>
          <w:tab w:val="clear" w:pos="204"/>
        </w:tabs>
        <w:spacing w:line="360" w:lineRule="auto"/>
        <w:ind w:firstLine="1440"/>
        <w:rPr>
          <w:sz w:val="26"/>
          <w:szCs w:val="26"/>
        </w:rPr>
      </w:pPr>
    </w:p>
    <w:p w14:paraId="67AE006D" w14:textId="77777777" w:rsidR="00F504E9" w:rsidRDefault="00F500F7" w:rsidP="00BE0DAD">
      <w:pPr>
        <w:pStyle w:val="p3"/>
        <w:widowControl/>
        <w:tabs>
          <w:tab w:val="clear" w:pos="204"/>
        </w:tabs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Noting the length of the testimony and the requests of the </w:t>
      </w:r>
      <w:r w:rsidR="00B07AD0">
        <w:rPr>
          <w:sz w:val="26"/>
          <w:szCs w:val="26"/>
        </w:rPr>
        <w:t>P</w:t>
      </w:r>
      <w:r>
        <w:rPr>
          <w:sz w:val="26"/>
          <w:szCs w:val="26"/>
        </w:rPr>
        <w:t>arties to extend deadlines,</w:t>
      </w:r>
      <w:r w:rsidR="00DD47A4">
        <w:rPr>
          <w:sz w:val="26"/>
          <w:szCs w:val="26"/>
        </w:rPr>
        <w:t xml:space="preserve"> the presiding officer issued an interim order</w:t>
      </w:r>
      <w:r w:rsidRPr="00F500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on December 3, 2018, which </w:t>
      </w:r>
      <w:r w:rsidR="00DD47A4">
        <w:rPr>
          <w:sz w:val="26"/>
          <w:szCs w:val="26"/>
        </w:rPr>
        <w:t>consolidat</w:t>
      </w:r>
      <w:r>
        <w:rPr>
          <w:sz w:val="26"/>
          <w:szCs w:val="26"/>
        </w:rPr>
        <w:t>ed</w:t>
      </w:r>
      <w:r w:rsidR="00DD47A4">
        <w:rPr>
          <w:sz w:val="26"/>
          <w:szCs w:val="26"/>
        </w:rPr>
        <w:t xml:space="preserve"> the above-captioned dockets, grant</w:t>
      </w:r>
      <w:r>
        <w:rPr>
          <w:sz w:val="26"/>
          <w:szCs w:val="26"/>
        </w:rPr>
        <w:t>ed</w:t>
      </w:r>
      <w:r w:rsidR="00DD47A4">
        <w:rPr>
          <w:sz w:val="26"/>
          <w:szCs w:val="26"/>
        </w:rPr>
        <w:t xml:space="preserve"> intervenor status, and allow</w:t>
      </w:r>
      <w:r>
        <w:rPr>
          <w:sz w:val="26"/>
          <w:szCs w:val="26"/>
        </w:rPr>
        <w:t>ed the</w:t>
      </w:r>
      <w:r w:rsidR="00DD47A4">
        <w:rPr>
          <w:sz w:val="26"/>
          <w:szCs w:val="26"/>
        </w:rPr>
        <w:t xml:space="preserve"> </w:t>
      </w:r>
      <w:r w:rsidR="00B07AD0">
        <w:rPr>
          <w:sz w:val="26"/>
          <w:szCs w:val="26"/>
        </w:rPr>
        <w:t>P</w:t>
      </w:r>
      <w:r w:rsidR="00DD47A4">
        <w:rPr>
          <w:sz w:val="26"/>
          <w:szCs w:val="26"/>
        </w:rPr>
        <w:t xml:space="preserve">arties to file briefs on or before December 7, 2018.  The interim order also indicated the order resolving the </w:t>
      </w:r>
      <w:r w:rsidR="00A40588">
        <w:rPr>
          <w:sz w:val="26"/>
          <w:szCs w:val="26"/>
        </w:rPr>
        <w:t>E</w:t>
      </w:r>
      <w:r w:rsidR="00DD47A4">
        <w:rPr>
          <w:sz w:val="26"/>
          <w:szCs w:val="26"/>
        </w:rPr>
        <w:t xml:space="preserve">mergency </w:t>
      </w:r>
      <w:r w:rsidR="00A40588">
        <w:rPr>
          <w:sz w:val="26"/>
          <w:szCs w:val="26"/>
        </w:rPr>
        <w:t>P</w:t>
      </w:r>
      <w:r w:rsidR="00DD47A4">
        <w:rPr>
          <w:sz w:val="26"/>
          <w:szCs w:val="26"/>
        </w:rPr>
        <w:t>etition would be issued on or before December 11, 2018.</w:t>
      </w:r>
    </w:p>
    <w:p w14:paraId="1953489E" w14:textId="77777777" w:rsidR="00092E9A" w:rsidRDefault="00092E9A" w:rsidP="00BE0DAD">
      <w:pPr>
        <w:pStyle w:val="p3"/>
        <w:widowControl/>
        <w:tabs>
          <w:tab w:val="clear" w:pos="204"/>
        </w:tabs>
        <w:spacing w:line="360" w:lineRule="auto"/>
        <w:rPr>
          <w:sz w:val="26"/>
          <w:szCs w:val="26"/>
        </w:rPr>
      </w:pPr>
    </w:p>
    <w:p w14:paraId="2B1581E8" w14:textId="77777777" w:rsidR="005E0A6C" w:rsidRDefault="00816DCB" w:rsidP="00BE0DAD">
      <w:pPr>
        <w:pStyle w:val="p3"/>
        <w:widowControl/>
        <w:tabs>
          <w:tab w:val="clear" w:pos="20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Because of the nature of interim emergency relief, the timing for answers, hearings, and orders is necessarily abbreviated.  </w:t>
      </w:r>
      <w:r w:rsidR="000B710F">
        <w:rPr>
          <w:sz w:val="26"/>
          <w:szCs w:val="26"/>
        </w:rPr>
        <w:t>Because allegations are deemed denied by opposing parties, a</w:t>
      </w:r>
      <w:r>
        <w:rPr>
          <w:sz w:val="26"/>
          <w:szCs w:val="26"/>
        </w:rPr>
        <w:t>nswers are not required</w:t>
      </w:r>
      <w:r w:rsidR="000B710F">
        <w:rPr>
          <w:sz w:val="26"/>
          <w:szCs w:val="26"/>
        </w:rPr>
        <w:t xml:space="preserve">.  </w:t>
      </w:r>
      <w:bookmarkStart w:id="0" w:name="_Hlk531766344"/>
      <w:r w:rsidR="000B710F">
        <w:rPr>
          <w:sz w:val="26"/>
          <w:szCs w:val="26"/>
        </w:rPr>
        <w:t xml:space="preserve">52 Pa. Code § 3.6.  </w:t>
      </w:r>
      <w:bookmarkEnd w:id="0"/>
      <w:r w:rsidR="000B710F">
        <w:rPr>
          <w:sz w:val="26"/>
          <w:szCs w:val="26"/>
        </w:rPr>
        <w:t xml:space="preserve">Still, Commission regulations allow for answers to petitions for interim emergency relief to be filed no later than five days after service of the petition.  </w:t>
      </w:r>
      <w:r w:rsidR="000B710F">
        <w:rPr>
          <w:i/>
          <w:sz w:val="26"/>
          <w:szCs w:val="26"/>
        </w:rPr>
        <w:t>Id.</w:t>
      </w:r>
      <w:r w:rsidR="000B710F">
        <w:rPr>
          <w:sz w:val="26"/>
          <w:szCs w:val="26"/>
        </w:rPr>
        <w:t xml:space="preserve">  Additionally, hearings on the merits of the emergency petition must be held within 10 days of the filing date</w:t>
      </w:r>
      <w:r w:rsidR="00F504E9">
        <w:rPr>
          <w:sz w:val="26"/>
          <w:szCs w:val="26"/>
        </w:rPr>
        <w:t xml:space="preserve">, and the presiding officer must issue an order within </w:t>
      </w:r>
      <w:r w:rsidR="00FC5F5E">
        <w:rPr>
          <w:sz w:val="26"/>
          <w:szCs w:val="26"/>
        </w:rPr>
        <w:t>fifteen</w:t>
      </w:r>
      <w:r w:rsidR="00F504E9">
        <w:rPr>
          <w:sz w:val="26"/>
          <w:szCs w:val="26"/>
        </w:rPr>
        <w:t xml:space="preserve"> days of the filing date</w:t>
      </w:r>
      <w:r w:rsidR="000B710F">
        <w:rPr>
          <w:sz w:val="26"/>
          <w:szCs w:val="26"/>
        </w:rPr>
        <w:t>.  52 Pa. Code §</w:t>
      </w:r>
      <w:r w:rsidR="00F504E9">
        <w:rPr>
          <w:sz w:val="26"/>
          <w:szCs w:val="26"/>
        </w:rPr>
        <w:t>§ 3.6a and</w:t>
      </w:r>
      <w:r w:rsidR="004A64F2">
        <w:rPr>
          <w:sz w:val="26"/>
          <w:szCs w:val="26"/>
        </w:rPr>
        <w:t> </w:t>
      </w:r>
      <w:r w:rsidR="00F504E9">
        <w:rPr>
          <w:sz w:val="26"/>
          <w:szCs w:val="26"/>
        </w:rPr>
        <w:t>3.7.</w:t>
      </w:r>
    </w:p>
    <w:p w14:paraId="73257712" w14:textId="77777777" w:rsidR="005E0A6C" w:rsidRDefault="005E0A6C" w:rsidP="00BE0DAD">
      <w:pPr>
        <w:pStyle w:val="p3"/>
        <w:widowControl/>
        <w:tabs>
          <w:tab w:val="clear" w:pos="204"/>
        </w:tabs>
        <w:spacing w:line="360" w:lineRule="auto"/>
        <w:rPr>
          <w:sz w:val="26"/>
          <w:szCs w:val="26"/>
        </w:rPr>
      </w:pPr>
    </w:p>
    <w:p w14:paraId="7F55ECEA" w14:textId="77777777" w:rsidR="00F504E9" w:rsidRDefault="00F504E9" w:rsidP="00BE0DAD">
      <w:pPr>
        <w:pStyle w:val="p3"/>
        <w:widowControl/>
        <w:tabs>
          <w:tab w:val="clear" w:pos="204"/>
        </w:tabs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Commission review of the presiding officer’s </w:t>
      </w:r>
      <w:r w:rsidR="00452959">
        <w:rPr>
          <w:sz w:val="26"/>
          <w:szCs w:val="26"/>
        </w:rPr>
        <w:t>I</w:t>
      </w:r>
      <w:r>
        <w:rPr>
          <w:sz w:val="26"/>
          <w:szCs w:val="26"/>
        </w:rPr>
        <w:t xml:space="preserve">nterim </w:t>
      </w:r>
      <w:r w:rsidR="00452959">
        <w:rPr>
          <w:sz w:val="26"/>
          <w:szCs w:val="26"/>
        </w:rPr>
        <w:t>E</w:t>
      </w:r>
      <w:r>
        <w:rPr>
          <w:sz w:val="26"/>
          <w:szCs w:val="26"/>
        </w:rPr>
        <w:t xml:space="preserve">mergency </w:t>
      </w:r>
      <w:r w:rsidR="00452959">
        <w:rPr>
          <w:sz w:val="26"/>
          <w:szCs w:val="26"/>
        </w:rPr>
        <w:t>O</w:t>
      </w:r>
      <w:r>
        <w:rPr>
          <w:sz w:val="26"/>
          <w:szCs w:val="26"/>
        </w:rPr>
        <w:t xml:space="preserve">rder </w:t>
      </w:r>
      <w:r w:rsidR="005E0A6C">
        <w:rPr>
          <w:sz w:val="26"/>
          <w:szCs w:val="26"/>
        </w:rPr>
        <w:t>is also on an abbreviated schedule.  The presiding officer is required to certify the question of the grant or denial of relief to the Commission</w:t>
      </w:r>
      <w:r w:rsidR="00DC6CDC">
        <w:rPr>
          <w:sz w:val="26"/>
          <w:szCs w:val="26"/>
        </w:rPr>
        <w:t xml:space="preserve"> as a material question</w:t>
      </w:r>
      <w:r w:rsidR="005E0A6C">
        <w:rPr>
          <w:sz w:val="26"/>
          <w:szCs w:val="26"/>
        </w:rPr>
        <w:t>.  52 Pa. Code § 3.10.  Within seven days of service of the certification, the parties may submit briefs addressing the merits.  52 Pa. Code § 5.30</w:t>
      </w:r>
      <w:r w:rsidR="00DD47A4">
        <w:rPr>
          <w:sz w:val="26"/>
          <w:szCs w:val="26"/>
        </w:rPr>
        <w:t>5</w:t>
      </w:r>
      <w:r w:rsidR="005E0A6C">
        <w:rPr>
          <w:sz w:val="26"/>
          <w:szCs w:val="26"/>
        </w:rPr>
        <w:t xml:space="preserve">.  Within </w:t>
      </w:r>
      <w:r w:rsidR="00FC5F5E">
        <w:rPr>
          <w:sz w:val="26"/>
          <w:szCs w:val="26"/>
        </w:rPr>
        <w:t xml:space="preserve">thirty </w:t>
      </w:r>
      <w:r w:rsidR="005E0A6C">
        <w:rPr>
          <w:sz w:val="26"/>
          <w:szCs w:val="26"/>
        </w:rPr>
        <w:t xml:space="preserve">days of the </w:t>
      </w:r>
      <w:r w:rsidR="00DD47A4">
        <w:rPr>
          <w:sz w:val="26"/>
          <w:szCs w:val="26"/>
        </w:rPr>
        <w:t xml:space="preserve">certification, the Commission </w:t>
      </w:r>
      <w:r w:rsidR="0080407D">
        <w:rPr>
          <w:sz w:val="26"/>
          <w:szCs w:val="26"/>
        </w:rPr>
        <w:t xml:space="preserve">will </w:t>
      </w:r>
      <w:r w:rsidR="00DD47A4">
        <w:rPr>
          <w:sz w:val="26"/>
          <w:szCs w:val="26"/>
        </w:rPr>
        <w:t xml:space="preserve">address the </w:t>
      </w:r>
      <w:r w:rsidR="00DC6CDC">
        <w:rPr>
          <w:sz w:val="26"/>
          <w:szCs w:val="26"/>
        </w:rPr>
        <w:t>ruling of the presiding officer</w:t>
      </w:r>
      <w:r w:rsidR="00DD47A4">
        <w:rPr>
          <w:sz w:val="26"/>
          <w:szCs w:val="26"/>
        </w:rPr>
        <w:t xml:space="preserve"> or it is deemed an affirmation of the presiding officer’s decision.  </w:t>
      </w:r>
      <w:r w:rsidR="00DD47A4">
        <w:rPr>
          <w:i/>
          <w:sz w:val="26"/>
          <w:szCs w:val="26"/>
        </w:rPr>
        <w:t>Id</w:t>
      </w:r>
      <w:r w:rsidR="00DD47A4">
        <w:rPr>
          <w:sz w:val="26"/>
          <w:szCs w:val="26"/>
        </w:rPr>
        <w:t>.</w:t>
      </w:r>
    </w:p>
    <w:p w14:paraId="1E6EC51F" w14:textId="77777777" w:rsidR="00F74B11" w:rsidRDefault="00F74B11" w:rsidP="00BE0DAD">
      <w:pPr>
        <w:pStyle w:val="p3"/>
        <w:widowControl/>
        <w:tabs>
          <w:tab w:val="clear" w:pos="204"/>
        </w:tabs>
        <w:spacing w:line="360" w:lineRule="auto"/>
        <w:ind w:firstLine="1440"/>
        <w:rPr>
          <w:sz w:val="26"/>
          <w:szCs w:val="26"/>
        </w:rPr>
      </w:pPr>
    </w:p>
    <w:p w14:paraId="1A8CF055" w14:textId="77777777" w:rsidR="00F74B11" w:rsidRDefault="00F74B11" w:rsidP="00BE0DAD">
      <w:pPr>
        <w:pStyle w:val="p3"/>
        <w:widowControl/>
        <w:tabs>
          <w:tab w:val="clear" w:pos="204"/>
        </w:tabs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In this instance, the presiding officer’s </w:t>
      </w:r>
      <w:r w:rsidR="00CD5F23">
        <w:rPr>
          <w:sz w:val="26"/>
          <w:szCs w:val="26"/>
        </w:rPr>
        <w:t>Interim Emergency O</w:t>
      </w:r>
      <w:r>
        <w:rPr>
          <w:sz w:val="26"/>
          <w:szCs w:val="26"/>
        </w:rPr>
        <w:t xml:space="preserve">rder denying the petition and certifying the material question was issued on December 11, 2018.  The </w:t>
      </w:r>
      <w:r w:rsidR="00B07AD0">
        <w:rPr>
          <w:sz w:val="26"/>
          <w:szCs w:val="26"/>
        </w:rPr>
        <w:t>P</w:t>
      </w:r>
      <w:r>
        <w:rPr>
          <w:sz w:val="26"/>
          <w:szCs w:val="26"/>
        </w:rPr>
        <w:t xml:space="preserve">arties’ briefs were due on or before December 18, 2018.  The only public meeting scheduled within the </w:t>
      </w:r>
      <w:r w:rsidR="00CD5F23">
        <w:rPr>
          <w:sz w:val="26"/>
          <w:szCs w:val="26"/>
        </w:rPr>
        <w:t>thirty</w:t>
      </w:r>
      <w:r>
        <w:rPr>
          <w:sz w:val="26"/>
          <w:szCs w:val="26"/>
        </w:rPr>
        <w:t xml:space="preserve">-day time frame is December 20, 2018, less than </w:t>
      </w:r>
      <w:r w:rsidR="00FC5F5E">
        <w:rPr>
          <w:sz w:val="26"/>
          <w:szCs w:val="26"/>
        </w:rPr>
        <w:t xml:space="preserve">forty-eight </w:t>
      </w:r>
      <w:r>
        <w:rPr>
          <w:sz w:val="26"/>
          <w:szCs w:val="26"/>
        </w:rPr>
        <w:t xml:space="preserve">hours after briefs </w:t>
      </w:r>
      <w:r w:rsidR="00CD5F23">
        <w:rPr>
          <w:sz w:val="26"/>
          <w:szCs w:val="26"/>
        </w:rPr>
        <w:t>are</w:t>
      </w:r>
      <w:r>
        <w:rPr>
          <w:sz w:val="26"/>
          <w:szCs w:val="26"/>
        </w:rPr>
        <w:t xml:space="preserve"> due.</w:t>
      </w:r>
    </w:p>
    <w:p w14:paraId="2BECBDF4" w14:textId="77777777" w:rsidR="00092E9A" w:rsidRDefault="00092E9A" w:rsidP="00BE0DAD">
      <w:pPr>
        <w:pStyle w:val="p3"/>
        <w:widowControl/>
        <w:tabs>
          <w:tab w:val="clear" w:pos="204"/>
        </w:tabs>
        <w:spacing w:line="360" w:lineRule="auto"/>
        <w:rPr>
          <w:sz w:val="26"/>
          <w:szCs w:val="26"/>
        </w:rPr>
      </w:pPr>
    </w:p>
    <w:p w14:paraId="344001A6" w14:textId="77777777" w:rsidR="00F906EF" w:rsidRDefault="00F906EF" w:rsidP="00BE0DAD">
      <w:pPr>
        <w:pStyle w:val="p3"/>
        <w:widowControl/>
        <w:tabs>
          <w:tab w:val="clear" w:pos="204"/>
        </w:tabs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Generally, a presiding officer may grant extensions and continuances.  52</w:t>
      </w:r>
      <w:r w:rsidR="00FC5F5E">
        <w:rPr>
          <w:sz w:val="26"/>
          <w:szCs w:val="26"/>
        </w:rPr>
        <w:t> </w:t>
      </w:r>
      <w:r>
        <w:rPr>
          <w:sz w:val="26"/>
          <w:szCs w:val="26"/>
        </w:rPr>
        <w:t xml:space="preserve">Pa. Code § 1.15.  </w:t>
      </w:r>
      <w:r w:rsidR="00510ABE">
        <w:rPr>
          <w:sz w:val="26"/>
          <w:szCs w:val="26"/>
        </w:rPr>
        <w:t xml:space="preserve">Presiding officers routinely extend the time in which </w:t>
      </w:r>
      <w:r w:rsidR="00510ABE" w:rsidRPr="00510ABE">
        <w:rPr>
          <w:i/>
          <w:sz w:val="26"/>
          <w:szCs w:val="26"/>
        </w:rPr>
        <w:t>parties</w:t>
      </w:r>
      <w:r w:rsidR="00510ABE">
        <w:rPr>
          <w:sz w:val="26"/>
          <w:szCs w:val="26"/>
        </w:rPr>
        <w:t xml:space="preserve"> are required to act.  </w:t>
      </w:r>
      <w:r>
        <w:rPr>
          <w:sz w:val="26"/>
          <w:szCs w:val="26"/>
        </w:rPr>
        <w:t xml:space="preserve">In the case of emergency petitions, however, </w:t>
      </w:r>
      <w:r w:rsidR="007B0F0A">
        <w:rPr>
          <w:sz w:val="26"/>
          <w:szCs w:val="26"/>
        </w:rPr>
        <w:t xml:space="preserve">extensions could </w:t>
      </w:r>
      <w:r w:rsidR="00510ABE">
        <w:rPr>
          <w:sz w:val="26"/>
          <w:szCs w:val="26"/>
        </w:rPr>
        <w:t xml:space="preserve">disturb regulations directing </w:t>
      </w:r>
      <w:r w:rsidR="00510ABE">
        <w:rPr>
          <w:i/>
          <w:sz w:val="26"/>
          <w:szCs w:val="26"/>
        </w:rPr>
        <w:t>Commission</w:t>
      </w:r>
      <w:r w:rsidR="00510ABE">
        <w:rPr>
          <w:sz w:val="26"/>
          <w:szCs w:val="26"/>
        </w:rPr>
        <w:t xml:space="preserve"> action:</w:t>
      </w:r>
      <w:r w:rsidR="007B0F0A">
        <w:rPr>
          <w:sz w:val="26"/>
          <w:szCs w:val="26"/>
        </w:rPr>
        <w:t xml:space="preserve"> </w:t>
      </w:r>
      <w:r w:rsidR="00510ABE">
        <w:rPr>
          <w:sz w:val="26"/>
          <w:szCs w:val="26"/>
        </w:rPr>
        <w:t>deadlines for</w:t>
      </w:r>
      <w:r w:rsidR="007B0F0A">
        <w:rPr>
          <w:sz w:val="26"/>
          <w:szCs w:val="26"/>
        </w:rPr>
        <w:t xml:space="preserve"> hearings, ALJ orders, and Commission orders.  The parties would need </w:t>
      </w:r>
      <w:r>
        <w:rPr>
          <w:sz w:val="26"/>
          <w:szCs w:val="26"/>
        </w:rPr>
        <w:t xml:space="preserve">waivers of </w:t>
      </w:r>
      <w:r w:rsidR="00510ABE">
        <w:rPr>
          <w:sz w:val="26"/>
          <w:szCs w:val="26"/>
        </w:rPr>
        <w:t xml:space="preserve">these </w:t>
      </w:r>
      <w:r>
        <w:rPr>
          <w:sz w:val="26"/>
          <w:szCs w:val="26"/>
        </w:rPr>
        <w:t xml:space="preserve">regulations </w:t>
      </w:r>
      <w:r w:rsidR="007B0F0A">
        <w:rPr>
          <w:sz w:val="26"/>
          <w:szCs w:val="26"/>
        </w:rPr>
        <w:t xml:space="preserve">if the hearings or orders could not </w:t>
      </w:r>
      <w:r w:rsidR="0080407D">
        <w:rPr>
          <w:sz w:val="26"/>
          <w:szCs w:val="26"/>
        </w:rPr>
        <w:t xml:space="preserve">be </w:t>
      </w:r>
      <w:r w:rsidR="007B0F0A">
        <w:rPr>
          <w:sz w:val="26"/>
          <w:szCs w:val="26"/>
        </w:rPr>
        <w:t>issue</w:t>
      </w:r>
      <w:r w:rsidR="0080407D">
        <w:rPr>
          <w:sz w:val="26"/>
          <w:szCs w:val="26"/>
        </w:rPr>
        <w:t>d</w:t>
      </w:r>
      <w:r w:rsidR="007B0F0A">
        <w:rPr>
          <w:sz w:val="26"/>
          <w:szCs w:val="26"/>
        </w:rPr>
        <w:t xml:space="preserve"> within the specified time frames</w:t>
      </w:r>
      <w:r>
        <w:rPr>
          <w:sz w:val="26"/>
          <w:szCs w:val="26"/>
        </w:rPr>
        <w:t>.  Waiver</w:t>
      </w:r>
      <w:r w:rsidR="00C04E2D">
        <w:rPr>
          <w:sz w:val="26"/>
          <w:szCs w:val="26"/>
        </w:rPr>
        <w:t>s</w:t>
      </w:r>
      <w:r>
        <w:rPr>
          <w:sz w:val="26"/>
          <w:szCs w:val="26"/>
        </w:rPr>
        <w:t xml:space="preserve"> of Commission regulations can</w:t>
      </w:r>
      <w:r w:rsidR="0080407D">
        <w:rPr>
          <w:sz w:val="26"/>
          <w:szCs w:val="26"/>
        </w:rPr>
        <w:t xml:space="preserve"> only be accomplished by petitioning the Commission as they require express permission to allow for or provide for a waiver</w:t>
      </w:r>
      <w:r>
        <w:rPr>
          <w:sz w:val="26"/>
          <w:szCs w:val="26"/>
        </w:rPr>
        <w:t>.</w:t>
      </w:r>
    </w:p>
    <w:p w14:paraId="168C0623" w14:textId="77777777" w:rsidR="00F906EF" w:rsidRDefault="00F906EF" w:rsidP="00BE0DAD">
      <w:pPr>
        <w:pStyle w:val="p3"/>
        <w:widowControl/>
        <w:tabs>
          <w:tab w:val="clear" w:pos="204"/>
        </w:tabs>
        <w:spacing w:line="360" w:lineRule="auto"/>
        <w:ind w:firstLine="1440"/>
        <w:rPr>
          <w:sz w:val="26"/>
          <w:szCs w:val="26"/>
        </w:rPr>
      </w:pPr>
    </w:p>
    <w:p w14:paraId="14D43579" w14:textId="77777777" w:rsidR="00124B35" w:rsidRDefault="00F906EF" w:rsidP="00BE0DAD">
      <w:pPr>
        <w:pStyle w:val="p3"/>
        <w:widowControl/>
        <w:tabs>
          <w:tab w:val="clear" w:pos="204"/>
        </w:tabs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C04E2D">
        <w:rPr>
          <w:sz w:val="26"/>
          <w:szCs w:val="26"/>
        </w:rPr>
        <w:t xml:space="preserve">petition for waiver </w:t>
      </w:r>
      <w:r w:rsidR="00B07AD0">
        <w:rPr>
          <w:sz w:val="26"/>
          <w:szCs w:val="26"/>
        </w:rPr>
        <w:t>c</w:t>
      </w:r>
      <w:r>
        <w:rPr>
          <w:sz w:val="26"/>
          <w:szCs w:val="26"/>
        </w:rPr>
        <w:t xml:space="preserve">ould </w:t>
      </w:r>
      <w:r w:rsidR="00C04E2D">
        <w:rPr>
          <w:sz w:val="26"/>
          <w:szCs w:val="26"/>
        </w:rPr>
        <w:t>have been</w:t>
      </w:r>
      <w:r>
        <w:rPr>
          <w:sz w:val="26"/>
          <w:szCs w:val="26"/>
        </w:rPr>
        <w:t xml:space="preserve"> filed, detailing the reasons </w:t>
      </w:r>
      <w:r w:rsidR="00C04E2D">
        <w:rPr>
          <w:sz w:val="26"/>
          <w:szCs w:val="26"/>
        </w:rPr>
        <w:t>the</w:t>
      </w:r>
      <w:r>
        <w:rPr>
          <w:sz w:val="26"/>
          <w:szCs w:val="26"/>
        </w:rPr>
        <w:t xml:space="preserve"> waiver </w:t>
      </w:r>
      <w:r w:rsidR="00C04E2D">
        <w:rPr>
          <w:sz w:val="26"/>
          <w:szCs w:val="26"/>
        </w:rPr>
        <w:t>was</w:t>
      </w:r>
      <w:r>
        <w:rPr>
          <w:sz w:val="26"/>
          <w:szCs w:val="26"/>
        </w:rPr>
        <w:t xml:space="preserve"> needed.  </w:t>
      </w:r>
      <w:r w:rsidR="00124B35">
        <w:rPr>
          <w:sz w:val="26"/>
          <w:szCs w:val="26"/>
        </w:rPr>
        <w:t xml:space="preserve">In making a determination on a petition for waiver, the Commission will consider whether compliance with our </w:t>
      </w:r>
      <w:r>
        <w:rPr>
          <w:sz w:val="26"/>
          <w:szCs w:val="26"/>
        </w:rPr>
        <w:t xml:space="preserve">regulation or </w:t>
      </w:r>
      <w:r w:rsidR="00124B35">
        <w:rPr>
          <w:sz w:val="26"/>
          <w:szCs w:val="26"/>
        </w:rPr>
        <w:t xml:space="preserve">order will cause an undue burden or hardship on the </w:t>
      </w:r>
      <w:r w:rsidR="007B0F0A">
        <w:rPr>
          <w:sz w:val="26"/>
          <w:szCs w:val="26"/>
        </w:rPr>
        <w:t>p</w:t>
      </w:r>
      <w:r w:rsidR="00124B35">
        <w:rPr>
          <w:sz w:val="26"/>
          <w:szCs w:val="26"/>
        </w:rPr>
        <w:t>etitioner and whether granting the waiver is in the public interest.</w:t>
      </w:r>
    </w:p>
    <w:p w14:paraId="2C1424BF" w14:textId="77777777" w:rsidR="00124B35" w:rsidRDefault="00124B35" w:rsidP="00BE0DAD">
      <w:pPr>
        <w:tabs>
          <w:tab w:val="left" w:pos="742"/>
        </w:tabs>
        <w:spacing w:line="360" w:lineRule="auto"/>
        <w:rPr>
          <w:sz w:val="26"/>
          <w:szCs w:val="26"/>
        </w:rPr>
      </w:pPr>
    </w:p>
    <w:p w14:paraId="1BD2794C" w14:textId="77777777" w:rsidR="00DD6272" w:rsidRDefault="00C04E2D" w:rsidP="00BE0DAD">
      <w:pPr>
        <w:pStyle w:val="p3"/>
        <w:widowControl/>
        <w:tabs>
          <w:tab w:val="clear" w:pos="20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Regulatory deadlines have already been </w:t>
      </w:r>
      <w:r w:rsidR="00B71A46">
        <w:rPr>
          <w:sz w:val="26"/>
          <w:szCs w:val="26"/>
        </w:rPr>
        <w:t>extended</w:t>
      </w:r>
      <w:r>
        <w:rPr>
          <w:sz w:val="26"/>
          <w:szCs w:val="26"/>
        </w:rPr>
        <w:t xml:space="preserve">.  </w:t>
      </w:r>
      <w:r w:rsidR="00573C71">
        <w:rPr>
          <w:sz w:val="26"/>
          <w:szCs w:val="26"/>
        </w:rPr>
        <w:t xml:space="preserve">Further, the new time frame </w:t>
      </w:r>
      <w:r w:rsidR="00B07AD0">
        <w:rPr>
          <w:sz w:val="26"/>
          <w:szCs w:val="26"/>
        </w:rPr>
        <w:t>has</w:t>
      </w:r>
      <w:r w:rsidR="00573C71">
        <w:rPr>
          <w:sz w:val="26"/>
          <w:szCs w:val="26"/>
        </w:rPr>
        <w:t xml:space="preserve"> affect</w:t>
      </w:r>
      <w:r w:rsidR="00B07AD0">
        <w:rPr>
          <w:sz w:val="26"/>
          <w:szCs w:val="26"/>
        </w:rPr>
        <w:t>ed</w:t>
      </w:r>
      <w:r w:rsidR="00573C71">
        <w:rPr>
          <w:sz w:val="26"/>
          <w:szCs w:val="26"/>
        </w:rPr>
        <w:t xml:space="preserve"> the </w:t>
      </w:r>
      <w:r w:rsidR="00510ABE">
        <w:rPr>
          <w:sz w:val="26"/>
          <w:szCs w:val="26"/>
        </w:rPr>
        <w:t xml:space="preserve">timing of </w:t>
      </w:r>
      <w:r w:rsidR="00573C71">
        <w:rPr>
          <w:sz w:val="26"/>
          <w:szCs w:val="26"/>
        </w:rPr>
        <w:t xml:space="preserve">our own review and consideration of the </w:t>
      </w:r>
      <w:r w:rsidR="00B07AD0">
        <w:rPr>
          <w:sz w:val="26"/>
          <w:szCs w:val="26"/>
        </w:rPr>
        <w:t>E</w:t>
      </w:r>
      <w:r w:rsidR="00573C71">
        <w:rPr>
          <w:sz w:val="26"/>
          <w:szCs w:val="26"/>
        </w:rPr>
        <w:t xml:space="preserve">mergency </w:t>
      </w:r>
      <w:r w:rsidR="00B07AD0">
        <w:rPr>
          <w:sz w:val="26"/>
          <w:szCs w:val="26"/>
        </w:rPr>
        <w:t>P</w:t>
      </w:r>
      <w:r w:rsidR="00573C71">
        <w:rPr>
          <w:sz w:val="26"/>
          <w:szCs w:val="26"/>
        </w:rPr>
        <w:t>etition, necessarily moving consideration to our January public meeting.</w:t>
      </w:r>
    </w:p>
    <w:p w14:paraId="74841E24" w14:textId="77777777" w:rsidR="00DD6272" w:rsidRDefault="00DD6272" w:rsidP="00BE0DAD">
      <w:pPr>
        <w:pStyle w:val="p3"/>
        <w:widowControl/>
        <w:spacing w:line="360" w:lineRule="auto"/>
        <w:rPr>
          <w:sz w:val="26"/>
          <w:szCs w:val="26"/>
        </w:rPr>
      </w:pPr>
    </w:p>
    <w:p w14:paraId="0B853A80" w14:textId="77777777" w:rsidR="00CA3F67" w:rsidRDefault="00CA3F67" w:rsidP="00CD5F23">
      <w:pPr>
        <w:pStyle w:val="p3"/>
        <w:keepNext/>
        <w:keepLines/>
        <w:widowControl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Conclusion</w:t>
      </w:r>
    </w:p>
    <w:p w14:paraId="1121F7E0" w14:textId="77777777" w:rsidR="00E61558" w:rsidRPr="00C07E40" w:rsidRDefault="00E61558" w:rsidP="00CD5F23">
      <w:pPr>
        <w:pStyle w:val="p3"/>
        <w:keepNext/>
        <w:keepLines/>
        <w:widowControl/>
        <w:spacing w:line="360" w:lineRule="auto"/>
        <w:jc w:val="center"/>
        <w:rPr>
          <w:b/>
          <w:sz w:val="26"/>
          <w:szCs w:val="26"/>
        </w:rPr>
      </w:pPr>
    </w:p>
    <w:p w14:paraId="5F2F08C4" w14:textId="77777777" w:rsidR="006D5390" w:rsidRPr="00C0451E" w:rsidRDefault="008D727C" w:rsidP="00BE0DAD">
      <w:pPr>
        <w:tabs>
          <w:tab w:val="left" w:pos="742"/>
        </w:tabs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Accordingly, i</w:t>
      </w:r>
      <w:r w:rsidRPr="00DC6CDC">
        <w:rPr>
          <w:sz w:val="26"/>
          <w:szCs w:val="26"/>
        </w:rPr>
        <w:t xml:space="preserve">n order to review the matter thoroughly, we </w:t>
      </w:r>
      <w:r>
        <w:rPr>
          <w:sz w:val="26"/>
          <w:szCs w:val="26"/>
        </w:rPr>
        <w:t xml:space="preserve">shall, </w:t>
      </w:r>
      <w:r w:rsidRPr="005238C4">
        <w:rPr>
          <w:i/>
          <w:sz w:val="26"/>
          <w:szCs w:val="26"/>
        </w:rPr>
        <w:t>sua sponte</w:t>
      </w:r>
      <w:r>
        <w:rPr>
          <w:sz w:val="26"/>
          <w:szCs w:val="26"/>
        </w:rPr>
        <w:t xml:space="preserve">, </w:t>
      </w:r>
      <w:r w:rsidRPr="00DC6CDC">
        <w:rPr>
          <w:sz w:val="26"/>
          <w:szCs w:val="26"/>
        </w:rPr>
        <w:t xml:space="preserve">waive the </w:t>
      </w:r>
      <w:r>
        <w:rPr>
          <w:sz w:val="26"/>
          <w:szCs w:val="26"/>
        </w:rPr>
        <w:t>thirty</w:t>
      </w:r>
      <w:r w:rsidRPr="00DC6CDC">
        <w:rPr>
          <w:sz w:val="26"/>
          <w:szCs w:val="26"/>
        </w:rPr>
        <w:t xml:space="preserve">-day period for consideration set forth in 52 Pa. Code </w:t>
      </w:r>
      <w:r w:rsidRPr="00DC6CDC">
        <w:rPr>
          <w:bCs/>
          <w:sz w:val="26"/>
          <w:szCs w:val="26"/>
        </w:rPr>
        <w:t xml:space="preserve">§ 5.305 and, thereby, extend our consideration beyond the thirty days in order to afford us adequate time to address the question raised.  </w:t>
      </w:r>
      <w:r w:rsidRPr="00DC6CDC">
        <w:rPr>
          <w:bCs/>
          <w:i/>
          <w:sz w:val="26"/>
          <w:szCs w:val="26"/>
        </w:rPr>
        <w:t>See</w:t>
      </w:r>
      <w:r w:rsidRPr="00DC6CDC">
        <w:rPr>
          <w:bCs/>
          <w:sz w:val="26"/>
          <w:szCs w:val="26"/>
        </w:rPr>
        <w:t xml:space="preserve"> 52 Pa. Code § 1.2; </w:t>
      </w:r>
      <w:r w:rsidRPr="00DC6CDC">
        <w:rPr>
          <w:bCs/>
          <w:i/>
          <w:sz w:val="26"/>
          <w:szCs w:val="26"/>
        </w:rPr>
        <w:t>see also C.S. Warthman Funeral Home et. al. v. GTE North Inc.</w:t>
      </w:r>
      <w:r w:rsidRPr="00DC6CDC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Docket No. C-00924416</w:t>
      </w:r>
      <w:r w:rsidRPr="00DC6C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(June 4, 1993)</w:t>
      </w:r>
      <w:r w:rsidRPr="00DD627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 </w:t>
      </w:r>
      <w:r w:rsidR="006D5390" w:rsidRPr="00C0451E">
        <w:rPr>
          <w:b/>
          <w:sz w:val="26"/>
          <w:szCs w:val="26"/>
        </w:rPr>
        <w:t>THEREFORE,</w:t>
      </w:r>
    </w:p>
    <w:p w14:paraId="2A70307B" w14:textId="77777777" w:rsidR="008A22C2" w:rsidRPr="00FC60A7" w:rsidRDefault="008A22C2" w:rsidP="00BE0DAD">
      <w:pPr>
        <w:pStyle w:val="p3"/>
        <w:widowControl/>
        <w:spacing w:line="360" w:lineRule="auto"/>
        <w:rPr>
          <w:sz w:val="26"/>
          <w:szCs w:val="26"/>
        </w:rPr>
      </w:pPr>
    </w:p>
    <w:p w14:paraId="2D009A07" w14:textId="77777777" w:rsidR="00DF0470" w:rsidRDefault="00DF0470" w:rsidP="00BE0DAD">
      <w:pPr>
        <w:pStyle w:val="p3"/>
        <w:widowControl/>
        <w:tabs>
          <w:tab w:val="clear" w:pos="204"/>
        </w:tabs>
        <w:spacing w:line="360" w:lineRule="auto"/>
        <w:rPr>
          <w:b/>
          <w:bCs/>
          <w:sz w:val="26"/>
          <w:szCs w:val="26"/>
        </w:rPr>
      </w:pPr>
      <w:r w:rsidRPr="00C0451E">
        <w:rPr>
          <w:b/>
          <w:sz w:val="26"/>
          <w:szCs w:val="26"/>
        </w:rPr>
        <w:tab/>
      </w:r>
      <w:r w:rsidR="00DD6272">
        <w:rPr>
          <w:b/>
          <w:sz w:val="26"/>
          <w:szCs w:val="26"/>
        </w:rPr>
        <w:tab/>
      </w:r>
      <w:r w:rsidR="006B1962" w:rsidRPr="00C0451E">
        <w:rPr>
          <w:b/>
          <w:bCs/>
          <w:sz w:val="26"/>
          <w:szCs w:val="26"/>
        </w:rPr>
        <w:t>I</w:t>
      </w:r>
      <w:r w:rsidRPr="00C0451E">
        <w:rPr>
          <w:b/>
          <w:bCs/>
          <w:sz w:val="26"/>
          <w:szCs w:val="26"/>
        </w:rPr>
        <w:t>T IS ORDERED:</w:t>
      </w:r>
    </w:p>
    <w:p w14:paraId="0B21D2FE" w14:textId="77777777" w:rsidR="00E61558" w:rsidRDefault="00E61558" w:rsidP="00BE0DAD">
      <w:pPr>
        <w:pStyle w:val="p3"/>
        <w:widowControl/>
        <w:tabs>
          <w:tab w:val="clear" w:pos="204"/>
        </w:tabs>
        <w:spacing w:line="360" w:lineRule="auto"/>
        <w:rPr>
          <w:b/>
          <w:bCs/>
          <w:sz w:val="26"/>
          <w:szCs w:val="26"/>
        </w:rPr>
      </w:pPr>
    </w:p>
    <w:p w14:paraId="2BA80296" w14:textId="77777777" w:rsidR="00E61558" w:rsidRDefault="00E61558" w:rsidP="00BE0DAD">
      <w:pPr>
        <w:pStyle w:val="p3"/>
        <w:widowControl/>
        <w:tabs>
          <w:tab w:val="clear" w:pos="204"/>
        </w:tabs>
        <w:spacing w:line="360" w:lineRule="auto"/>
        <w:ind w:firstLine="1440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Pr="006D5390">
        <w:rPr>
          <w:bCs/>
          <w:sz w:val="26"/>
          <w:szCs w:val="26"/>
        </w:rPr>
        <w:t xml:space="preserve">That </w:t>
      </w:r>
      <w:r>
        <w:rPr>
          <w:bCs/>
          <w:sz w:val="26"/>
          <w:szCs w:val="26"/>
        </w:rPr>
        <w:t xml:space="preserve">the </w:t>
      </w:r>
      <w:r>
        <w:rPr>
          <w:sz w:val="26"/>
          <w:szCs w:val="26"/>
        </w:rPr>
        <w:t>thirty</w:t>
      </w:r>
      <w:r w:rsidRPr="00D12C93">
        <w:rPr>
          <w:sz w:val="26"/>
          <w:szCs w:val="26"/>
        </w:rPr>
        <w:t xml:space="preserve">-day period consideration </w:t>
      </w:r>
      <w:r>
        <w:rPr>
          <w:sz w:val="26"/>
          <w:szCs w:val="26"/>
        </w:rPr>
        <w:t xml:space="preserve">period </w:t>
      </w:r>
      <w:r w:rsidRPr="00D12C93">
        <w:rPr>
          <w:sz w:val="26"/>
          <w:szCs w:val="26"/>
        </w:rPr>
        <w:t>set forth in 52 Pa. Code § 5.30</w:t>
      </w:r>
      <w:r>
        <w:rPr>
          <w:sz w:val="26"/>
          <w:szCs w:val="26"/>
        </w:rPr>
        <w:t>5(e)</w:t>
      </w:r>
      <w:r w:rsidRPr="00D12C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is hereby waived, </w:t>
      </w:r>
      <w:r>
        <w:rPr>
          <w:bCs/>
          <w:i/>
          <w:sz w:val="26"/>
          <w:szCs w:val="26"/>
        </w:rPr>
        <w:t>sua sponte</w:t>
      </w:r>
      <w:r w:rsidRPr="00014A7C">
        <w:rPr>
          <w:bCs/>
          <w:sz w:val="26"/>
          <w:szCs w:val="26"/>
        </w:rPr>
        <w:t>,</w:t>
      </w:r>
      <w:r w:rsidRPr="00D12C93">
        <w:rPr>
          <w:sz w:val="26"/>
          <w:szCs w:val="26"/>
        </w:rPr>
        <w:t xml:space="preserve"> in order to afford </w:t>
      </w:r>
      <w:r>
        <w:rPr>
          <w:sz w:val="26"/>
          <w:szCs w:val="26"/>
        </w:rPr>
        <w:t xml:space="preserve">the Commission </w:t>
      </w:r>
      <w:r w:rsidRPr="00D12C93">
        <w:rPr>
          <w:sz w:val="26"/>
          <w:szCs w:val="26"/>
        </w:rPr>
        <w:t>adequate time to address the question raised.</w:t>
      </w:r>
    </w:p>
    <w:p w14:paraId="677803B0" w14:textId="77777777" w:rsidR="00E61558" w:rsidRDefault="00E61558" w:rsidP="00BE0DAD">
      <w:pPr>
        <w:pStyle w:val="p3"/>
        <w:widowControl/>
        <w:tabs>
          <w:tab w:val="clear" w:pos="204"/>
        </w:tabs>
        <w:spacing w:line="360" w:lineRule="auto"/>
        <w:ind w:firstLine="1440"/>
        <w:rPr>
          <w:bCs/>
          <w:sz w:val="26"/>
          <w:szCs w:val="26"/>
        </w:rPr>
      </w:pPr>
    </w:p>
    <w:p w14:paraId="023276EB" w14:textId="77777777" w:rsidR="00E61558" w:rsidRDefault="00E61558" w:rsidP="00BE0DAD">
      <w:pPr>
        <w:pStyle w:val="p3"/>
        <w:keepNext/>
        <w:keepLines/>
        <w:widowControl/>
        <w:tabs>
          <w:tab w:val="clear" w:pos="204"/>
        </w:tabs>
        <w:spacing w:line="360" w:lineRule="auto"/>
        <w:ind w:firstLine="1440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That </w:t>
      </w:r>
      <w:r>
        <w:rPr>
          <w:sz w:val="26"/>
          <w:szCs w:val="26"/>
        </w:rPr>
        <w:t xml:space="preserve">the Interim Emergency Order and Certification of Material Question that was issued on December 11, 2018, by Administrative Law Judge Elizabeth Barnes, </w:t>
      </w:r>
      <w:r>
        <w:rPr>
          <w:bCs/>
          <w:sz w:val="26"/>
          <w:szCs w:val="26"/>
        </w:rPr>
        <w:t xml:space="preserve">will be considered at the Pennsylvania Public Utility Commission’s </w:t>
      </w:r>
      <w:r>
        <w:rPr>
          <w:sz w:val="26"/>
          <w:szCs w:val="26"/>
        </w:rPr>
        <w:t>January 17, 2019 public meeting</w:t>
      </w:r>
      <w:r>
        <w:rPr>
          <w:bCs/>
          <w:sz w:val="26"/>
          <w:szCs w:val="26"/>
        </w:rPr>
        <w:t>.</w:t>
      </w:r>
    </w:p>
    <w:p w14:paraId="6508D223" w14:textId="49E5E198" w:rsidR="00DF0470" w:rsidRPr="00C0451E" w:rsidRDefault="00BB3B24" w:rsidP="00BE0DAD">
      <w:pPr>
        <w:tabs>
          <w:tab w:val="left" w:pos="742"/>
        </w:tabs>
        <w:spacing w:line="360" w:lineRule="auto"/>
        <w:rPr>
          <w:sz w:val="26"/>
          <w:szCs w:val="26"/>
        </w:rPr>
      </w:pPr>
      <w:bookmarkStart w:id="1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08F42130" wp14:editId="1688A610">
            <wp:simplePos x="0" y="0"/>
            <wp:positionH relativeFrom="column">
              <wp:posOffset>3028950</wp:posOffset>
            </wp:positionH>
            <wp:positionV relativeFrom="paragraph">
              <wp:posOffset>283210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1E726E79" w14:textId="5DF0DB43" w:rsidR="00DF0470" w:rsidRPr="00C0451E" w:rsidRDefault="00DF0470" w:rsidP="00BE0DAD">
      <w:pPr>
        <w:pStyle w:val="p17"/>
        <w:widowControl/>
        <w:ind w:left="5057"/>
        <w:rPr>
          <w:b/>
          <w:bCs/>
          <w:sz w:val="26"/>
          <w:szCs w:val="26"/>
        </w:rPr>
      </w:pPr>
      <w:r w:rsidRPr="00C0451E">
        <w:rPr>
          <w:b/>
          <w:bCs/>
          <w:sz w:val="26"/>
          <w:szCs w:val="26"/>
        </w:rPr>
        <w:t>BY THE COMMISSION</w:t>
      </w:r>
    </w:p>
    <w:p w14:paraId="2704D5B3" w14:textId="313E207C" w:rsidR="00E61558" w:rsidRDefault="00E61558" w:rsidP="00BE0DAD">
      <w:pPr>
        <w:pStyle w:val="p18"/>
        <w:widowControl/>
        <w:ind w:left="5062"/>
        <w:rPr>
          <w:sz w:val="26"/>
          <w:szCs w:val="26"/>
        </w:rPr>
      </w:pPr>
    </w:p>
    <w:p w14:paraId="7F870146" w14:textId="5CCD453B" w:rsidR="00E61558" w:rsidRDefault="00E61558" w:rsidP="00BE0DAD">
      <w:pPr>
        <w:pStyle w:val="p18"/>
        <w:widowControl/>
        <w:ind w:left="5062"/>
        <w:rPr>
          <w:sz w:val="26"/>
          <w:szCs w:val="26"/>
        </w:rPr>
      </w:pPr>
    </w:p>
    <w:p w14:paraId="7948E50B" w14:textId="77777777" w:rsidR="00E61558" w:rsidRDefault="00E61558" w:rsidP="00BE0DAD">
      <w:pPr>
        <w:pStyle w:val="p18"/>
        <w:widowControl/>
        <w:ind w:left="5062"/>
        <w:rPr>
          <w:sz w:val="26"/>
          <w:szCs w:val="26"/>
        </w:rPr>
      </w:pPr>
    </w:p>
    <w:p w14:paraId="7C87D8B2" w14:textId="77777777" w:rsidR="0022503C" w:rsidRPr="00C0451E" w:rsidRDefault="0022503C" w:rsidP="00BE0DAD">
      <w:pPr>
        <w:pStyle w:val="p18"/>
        <w:widowControl/>
        <w:ind w:left="5062"/>
        <w:rPr>
          <w:sz w:val="26"/>
          <w:szCs w:val="26"/>
        </w:rPr>
      </w:pPr>
      <w:r w:rsidRPr="00C0451E">
        <w:rPr>
          <w:sz w:val="26"/>
          <w:szCs w:val="26"/>
        </w:rPr>
        <w:t>Rosemary Chiavetta</w:t>
      </w:r>
    </w:p>
    <w:p w14:paraId="02910EB1" w14:textId="77777777" w:rsidR="00DF0470" w:rsidRPr="00C0451E" w:rsidRDefault="00DF0470" w:rsidP="00BE0DAD">
      <w:pPr>
        <w:pStyle w:val="p18"/>
        <w:widowControl/>
        <w:ind w:left="5062"/>
        <w:rPr>
          <w:sz w:val="26"/>
          <w:szCs w:val="26"/>
        </w:rPr>
      </w:pPr>
      <w:r w:rsidRPr="00C0451E">
        <w:rPr>
          <w:sz w:val="26"/>
          <w:szCs w:val="26"/>
        </w:rPr>
        <w:t>Secretary</w:t>
      </w:r>
    </w:p>
    <w:p w14:paraId="11ED50AE" w14:textId="77777777" w:rsidR="00DF0470" w:rsidRPr="00C0451E" w:rsidRDefault="00DF0470" w:rsidP="00BE0DAD">
      <w:pPr>
        <w:tabs>
          <w:tab w:val="left" w:pos="5062"/>
        </w:tabs>
        <w:rPr>
          <w:sz w:val="26"/>
          <w:szCs w:val="26"/>
        </w:rPr>
      </w:pPr>
    </w:p>
    <w:p w14:paraId="583CD56A" w14:textId="77777777" w:rsidR="00DF0470" w:rsidRPr="00C0451E" w:rsidRDefault="00DF0470" w:rsidP="00BE0DAD">
      <w:pPr>
        <w:pStyle w:val="p14"/>
        <w:widowControl/>
        <w:rPr>
          <w:sz w:val="26"/>
          <w:szCs w:val="26"/>
        </w:rPr>
      </w:pPr>
      <w:r w:rsidRPr="00C0451E">
        <w:rPr>
          <w:sz w:val="26"/>
          <w:szCs w:val="26"/>
        </w:rPr>
        <w:t>(SEAL)</w:t>
      </w:r>
    </w:p>
    <w:p w14:paraId="30D428D0" w14:textId="77777777" w:rsidR="00DF0470" w:rsidRPr="00C0451E" w:rsidRDefault="00DF0470" w:rsidP="00BE0DAD">
      <w:pPr>
        <w:tabs>
          <w:tab w:val="left" w:pos="204"/>
        </w:tabs>
        <w:rPr>
          <w:sz w:val="26"/>
          <w:szCs w:val="26"/>
        </w:rPr>
      </w:pPr>
    </w:p>
    <w:p w14:paraId="562E7D37" w14:textId="77777777" w:rsidR="00DF0470" w:rsidRPr="00C0451E" w:rsidRDefault="00DF0470" w:rsidP="00BE0DAD">
      <w:pPr>
        <w:pStyle w:val="p14"/>
        <w:widowControl/>
        <w:rPr>
          <w:sz w:val="26"/>
          <w:szCs w:val="26"/>
        </w:rPr>
      </w:pPr>
      <w:r w:rsidRPr="00C0451E">
        <w:rPr>
          <w:sz w:val="26"/>
          <w:szCs w:val="26"/>
        </w:rPr>
        <w:t xml:space="preserve">ORDER ADOPTED:  </w:t>
      </w:r>
      <w:r w:rsidR="00573C71">
        <w:rPr>
          <w:sz w:val="26"/>
          <w:szCs w:val="26"/>
        </w:rPr>
        <w:t>December 20</w:t>
      </w:r>
      <w:r w:rsidR="003D6933">
        <w:rPr>
          <w:sz w:val="26"/>
          <w:szCs w:val="26"/>
        </w:rPr>
        <w:t>, 2018</w:t>
      </w:r>
    </w:p>
    <w:p w14:paraId="50869606" w14:textId="77777777" w:rsidR="00BE499A" w:rsidRPr="00C0451E" w:rsidRDefault="00BE499A" w:rsidP="00BE0DAD">
      <w:pPr>
        <w:pStyle w:val="p14"/>
        <w:widowControl/>
        <w:rPr>
          <w:sz w:val="26"/>
          <w:szCs w:val="26"/>
        </w:rPr>
      </w:pPr>
    </w:p>
    <w:p w14:paraId="5636455C" w14:textId="66BDC960" w:rsidR="00CD6C97" w:rsidRPr="00C0451E" w:rsidRDefault="00DF0470" w:rsidP="00BE0DAD">
      <w:pPr>
        <w:pStyle w:val="p14"/>
        <w:widowControl/>
        <w:rPr>
          <w:sz w:val="26"/>
          <w:szCs w:val="26"/>
        </w:rPr>
      </w:pPr>
      <w:r w:rsidRPr="00C0451E">
        <w:rPr>
          <w:sz w:val="26"/>
          <w:szCs w:val="26"/>
        </w:rPr>
        <w:t xml:space="preserve">ORDER ENTERED: </w:t>
      </w:r>
      <w:r w:rsidR="00BB3B24">
        <w:rPr>
          <w:sz w:val="26"/>
          <w:szCs w:val="26"/>
        </w:rPr>
        <w:t>December 20, 2018</w:t>
      </w:r>
      <w:r w:rsidRPr="00C0451E">
        <w:rPr>
          <w:sz w:val="26"/>
          <w:szCs w:val="26"/>
        </w:rPr>
        <w:t xml:space="preserve"> </w:t>
      </w:r>
    </w:p>
    <w:sectPr w:rsidR="00CD6C97" w:rsidRPr="00C0451E" w:rsidSect="00D8318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F45B8" w14:textId="77777777" w:rsidR="00AF7969" w:rsidRDefault="00AF7969">
      <w:r>
        <w:separator/>
      </w:r>
    </w:p>
  </w:endnote>
  <w:endnote w:type="continuationSeparator" w:id="0">
    <w:p w14:paraId="0BF4B6B1" w14:textId="77777777" w:rsidR="00AF7969" w:rsidRDefault="00AF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89DA" w14:textId="77777777" w:rsidR="006A01F9" w:rsidRDefault="006A01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6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053A0" w14:textId="77777777" w:rsidR="006A01F9" w:rsidRDefault="006A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624D1" w14:textId="77777777" w:rsidR="006A01F9" w:rsidRDefault="006A01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016">
      <w:rPr>
        <w:rStyle w:val="PageNumber"/>
        <w:noProof/>
      </w:rPr>
      <w:t>5</w:t>
    </w:r>
    <w:r>
      <w:rPr>
        <w:rStyle w:val="PageNumber"/>
      </w:rPr>
      <w:fldChar w:fldCharType="end"/>
    </w:r>
  </w:p>
  <w:p w14:paraId="2D3F399F" w14:textId="77777777" w:rsidR="006A01F9" w:rsidRDefault="006A01F9" w:rsidP="00FA5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226E1" w14:textId="77777777" w:rsidR="00AF7969" w:rsidRDefault="00AF7969">
      <w:r>
        <w:separator/>
      </w:r>
    </w:p>
  </w:footnote>
  <w:footnote w:type="continuationSeparator" w:id="0">
    <w:p w14:paraId="1B4A2C88" w14:textId="77777777" w:rsidR="00AF7969" w:rsidRDefault="00AF7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34E0F4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A1F2D03"/>
    <w:multiLevelType w:val="hybridMultilevel"/>
    <w:tmpl w:val="670CB702"/>
    <w:lvl w:ilvl="0" w:tplc="4E6AC094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324B134F"/>
    <w:multiLevelType w:val="hybridMultilevel"/>
    <w:tmpl w:val="165C2FFA"/>
    <w:lvl w:ilvl="0" w:tplc="DD9A11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891FCB"/>
    <w:multiLevelType w:val="hybridMultilevel"/>
    <w:tmpl w:val="BA54CC4C"/>
    <w:lvl w:ilvl="0" w:tplc="538A5B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221EF0"/>
    <w:multiLevelType w:val="hybridMultilevel"/>
    <w:tmpl w:val="1E18D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D87C18"/>
    <w:multiLevelType w:val="hybridMultilevel"/>
    <w:tmpl w:val="8DB02840"/>
    <w:lvl w:ilvl="0" w:tplc="A6C085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D4"/>
    <w:rsid w:val="0000186B"/>
    <w:rsid w:val="00002ADF"/>
    <w:rsid w:val="00014994"/>
    <w:rsid w:val="00050EDB"/>
    <w:rsid w:val="000675A4"/>
    <w:rsid w:val="00070804"/>
    <w:rsid w:val="000811B9"/>
    <w:rsid w:val="0008220D"/>
    <w:rsid w:val="00092C0A"/>
    <w:rsid w:val="00092E9A"/>
    <w:rsid w:val="00094FE0"/>
    <w:rsid w:val="000A1184"/>
    <w:rsid w:val="000A4D83"/>
    <w:rsid w:val="000A6AC7"/>
    <w:rsid w:val="000B710F"/>
    <w:rsid w:val="000C5957"/>
    <w:rsid w:val="000D7ECA"/>
    <w:rsid w:val="000E3ECD"/>
    <w:rsid w:val="000E73C3"/>
    <w:rsid w:val="000F41A8"/>
    <w:rsid w:val="00107AB8"/>
    <w:rsid w:val="00107C50"/>
    <w:rsid w:val="001119EF"/>
    <w:rsid w:val="00113B44"/>
    <w:rsid w:val="00124B35"/>
    <w:rsid w:val="00134C08"/>
    <w:rsid w:val="00142828"/>
    <w:rsid w:val="00151917"/>
    <w:rsid w:val="0015549B"/>
    <w:rsid w:val="00156658"/>
    <w:rsid w:val="001700A6"/>
    <w:rsid w:val="001B4DFC"/>
    <w:rsid w:val="001B6DC1"/>
    <w:rsid w:val="001B7588"/>
    <w:rsid w:val="001E369C"/>
    <w:rsid w:val="001E3846"/>
    <w:rsid w:val="00214C36"/>
    <w:rsid w:val="00217EF7"/>
    <w:rsid w:val="00223465"/>
    <w:rsid w:val="0022503C"/>
    <w:rsid w:val="00250087"/>
    <w:rsid w:val="00251C6E"/>
    <w:rsid w:val="0027143F"/>
    <w:rsid w:val="00290A3D"/>
    <w:rsid w:val="002A23AC"/>
    <w:rsid w:val="002B18E0"/>
    <w:rsid w:val="002B49E8"/>
    <w:rsid w:val="002C0FFA"/>
    <w:rsid w:val="002C30F7"/>
    <w:rsid w:val="002C7630"/>
    <w:rsid w:val="002D1823"/>
    <w:rsid w:val="002E2B14"/>
    <w:rsid w:val="002E662B"/>
    <w:rsid w:val="002F7691"/>
    <w:rsid w:val="00304809"/>
    <w:rsid w:val="00313AE7"/>
    <w:rsid w:val="0032124C"/>
    <w:rsid w:val="0035040B"/>
    <w:rsid w:val="00350758"/>
    <w:rsid w:val="00353A13"/>
    <w:rsid w:val="00374695"/>
    <w:rsid w:val="0037498A"/>
    <w:rsid w:val="003D3563"/>
    <w:rsid w:val="003D5A1D"/>
    <w:rsid w:val="003D68CE"/>
    <w:rsid w:val="003D6933"/>
    <w:rsid w:val="003E012C"/>
    <w:rsid w:val="003F312A"/>
    <w:rsid w:val="00452959"/>
    <w:rsid w:val="004768B5"/>
    <w:rsid w:val="004A64F2"/>
    <w:rsid w:val="004E58A5"/>
    <w:rsid w:val="004E677D"/>
    <w:rsid w:val="004F370A"/>
    <w:rsid w:val="00510ABE"/>
    <w:rsid w:val="00520427"/>
    <w:rsid w:val="00523A8C"/>
    <w:rsid w:val="00524B6D"/>
    <w:rsid w:val="0052639C"/>
    <w:rsid w:val="00526467"/>
    <w:rsid w:val="00530DD8"/>
    <w:rsid w:val="005350D6"/>
    <w:rsid w:val="005430BC"/>
    <w:rsid w:val="0054738F"/>
    <w:rsid w:val="005529E9"/>
    <w:rsid w:val="00570EED"/>
    <w:rsid w:val="00571027"/>
    <w:rsid w:val="00572CCC"/>
    <w:rsid w:val="00572D1C"/>
    <w:rsid w:val="00573C71"/>
    <w:rsid w:val="00587FCB"/>
    <w:rsid w:val="00593471"/>
    <w:rsid w:val="005A6FCE"/>
    <w:rsid w:val="005A7356"/>
    <w:rsid w:val="005B1371"/>
    <w:rsid w:val="005C002C"/>
    <w:rsid w:val="005D03E0"/>
    <w:rsid w:val="005D4173"/>
    <w:rsid w:val="005D5488"/>
    <w:rsid w:val="005E0A6C"/>
    <w:rsid w:val="005F1C61"/>
    <w:rsid w:val="005F3889"/>
    <w:rsid w:val="005F3DCD"/>
    <w:rsid w:val="00600A17"/>
    <w:rsid w:val="006027A7"/>
    <w:rsid w:val="006048E2"/>
    <w:rsid w:val="00613CD5"/>
    <w:rsid w:val="00621EEE"/>
    <w:rsid w:val="00622AFA"/>
    <w:rsid w:val="0063608D"/>
    <w:rsid w:val="00664271"/>
    <w:rsid w:val="006745B0"/>
    <w:rsid w:val="00697266"/>
    <w:rsid w:val="006A01F9"/>
    <w:rsid w:val="006A456D"/>
    <w:rsid w:val="006B1962"/>
    <w:rsid w:val="006B2984"/>
    <w:rsid w:val="006B77BE"/>
    <w:rsid w:val="006D5390"/>
    <w:rsid w:val="006E5824"/>
    <w:rsid w:val="006F29C4"/>
    <w:rsid w:val="00723182"/>
    <w:rsid w:val="0073132B"/>
    <w:rsid w:val="00742955"/>
    <w:rsid w:val="0074465A"/>
    <w:rsid w:val="00746659"/>
    <w:rsid w:val="00747283"/>
    <w:rsid w:val="007632B0"/>
    <w:rsid w:val="00771CE2"/>
    <w:rsid w:val="00776F80"/>
    <w:rsid w:val="007A742D"/>
    <w:rsid w:val="007B0F0A"/>
    <w:rsid w:val="007B2569"/>
    <w:rsid w:val="007B744C"/>
    <w:rsid w:val="007D368E"/>
    <w:rsid w:val="007D7A50"/>
    <w:rsid w:val="007E3DC2"/>
    <w:rsid w:val="007E4F46"/>
    <w:rsid w:val="007E6598"/>
    <w:rsid w:val="007F20F0"/>
    <w:rsid w:val="007F37C1"/>
    <w:rsid w:val="0080407D"/>
    <w:rsid w:val="00806A76"/>
    <w:rsid w:val="00806E34"/>
    <w:rsid w:val="00816287"/>
    <w:rsid w:val="00816DCB"/>
    <w:rsid w:val="00835BE7"/>
    <w:rsid w:val="008718E2"/>
    <w:rsid w:val="008844AF"/>
    <w:rsid w:val="008A22C2"/>
    <w:rsid w:val="008B5653"/>
    <w:rsid w:val="008C7ABF"/>
    <w:rsid w:val="008D727C"/>
    <w:rsid w:val="009205C7"/>
    <w:rsid w:val="009248F5"/>
    <w:rsid w:val="00941451"/>
    <w:rsid w:val="009516AB"/>
    <w:rsid w:val="00976012"/>
    <w:rsid w:val="00981EE0"/>
    <w:rsid w:val="00985472"/>
    <w:rsid w:val="0099722A"/>
    <w:rsid w:val="009A40B7"/>
    <w:rsid w:val="009A57F8"/>
    <w:rsid w:val="009B0255"/>
    <w:rsid w:val="009D5F04"/>
    <w:rsid w:val="009E4A40"/>
    <w:rsid w:val="009E5859"/>
    <w:rsid w:val="009F45BB"/>
    <w:rsid w:val="00A12346"/>
    <w:rsid w:val="00A172FF"/>
    <w:rsid w:val="00A20BE8"/>
    <w:rsid w:val="00A21762"/>
    <w:rsid w:val="00A40588"/>
    <w:rsid w:val="00A40FF0"/>
    <w:rsid w:val="00A419D4"/>
    <w:rsid w:val="00A508B3"/>
    <w:rsid w:val="00A515EF"/>
    <w:rsid w:val="00A76768"/>
    <w:rsid w:val="00A81397"/>
    <w:rsid w:val="00A82B74"/>
    <w:rsid w:val="00A82FC9"/>
    <w:rsid w:val="00A9040A"/>
    <w:rsid w:val="00A95AA6"/>
    <w:rsid w:val="00AB2CF1"/>
    <w:rsid w:val="00AB738E"/>
    <w:rsid w:val="00AC6AAA"/>
    <w:rsid w:val="00AD5F40"/>
    <w:rsid w:val="00AE3E24"/>
    <w:rsid w:val="00AE4337"/>
    <w:rsid w:val="00AF7969"/>
    <w:rsid w:val="00B07AD0"/>
    <w:rsid w:val="00B10F16"/>
    <w:rsid w:val="00B3246D"/>
    <w:rsid w:val="00B363B0"/>
    <w:rsid w:val="00B57986"/>
    <w:rsid w:val="00B57B62"/>
    <w:rsid w:val="00B61BB5"/>
    <w:rsid w:val="00B71A46"/>
    <w:rsid w:val="00B7356A"/>
    <w:rsid w:val="00B73970"/>
    <w:rsid w:val="00B8081E"/>
    <w:rsid w:val="00B855DE"/>
    <w:rsid w:val="00B9643A"/>
    <w:rsid w:val="00BB02BC"/>
    <w:rsid w:val="00BB3B24"/>
    <w:rsid w:val="00BD7C30"/>
    <w:rsid w:val="00BE0DAD"/>
    <w:rsid w:val="00BE2339"/>
    <w:rsid w:val="00BE499A"/>
    <w:rsid w:val="00BE74F0"/>
    <w:rsid w:val="00C01D96"/>
    <w:rsid w:val="00C0451E"/>
    <w:rsid w:val="00C04E2D"/>
    <w:rsid w:val="00C07E40"/>
    <w:rsid w:val="00C14B6E"/>
    <w:rsid w:val="00C21D5E"/>
    <w:rsid w:val="00C26245"/>
    <w:rsid w:val="00C410FE"/>
    <w:rsid w:val="00C51B44"/>
    <w:rsid w:val="00C5353F"/>
    <w:rsid w:val="00C5746B"/>
    <w:rsid w:val="00C66806"/>
    <w:rsid w:val="00C728DD"/>
    <w:rsid w:val="00CA3F67"/>
    <w:rsid w:val="00CB3016"/>
    <w:rsid w:val="00CB699F"/>
    <w:rsid w:val="00CD5B95"/>
    <w:rsid w:val="00CD5F23"/>
    <w:rsid w:val="00CD6C97"/>
    <w:rsid w:val="00CD6EBE"/>
    <w:rsid w:val="00CE50F6"/>
    <w:rsid w:val="00D21FD0"/>
    <w:rsid w:val="00D237D5"/>
    <w:rsid w:val="00D37474"/>
    <w:rsid w:val="00D4008D"/>
    <w:rsid w:val="00D53CF7"/>
    <w:rsid w:val="00D61F9F"/>
    <w:rsid w:val="00D62066"/>
    <w:rsid w:val="00D7647D"/>
    <w:rsid w:val="00D83182"/>
    <w:rsid w:val="00D850D4"/>
    <w:rsid w:val="00DA3F31"/>
    <w:rsid w:val="00DA4F7F"/>
    <w:rsid w:val="00DA5B65"/>
    <w:rsid w:val="00DB623A"/>
    <w:rsid w:val="00DC3F91"/>
    <w:rsid w:val="00DC6CDC"/>
    <w:rsid w:val="00DC7F2D"/>
    <w:rsid w:val="00DD47A4"/>
    <w:rsid w:val="00DD6272"/>
    <w:rsid w:val="00DE520F"/>
    <w:rsid w:val="00DF0470"/>
    <w:rsid w:val="00E15458"/>
    <w:rsid w:val="00E20E18"/>
    <w:rsid w:val="00E35B85"/>
    <w:rsid w:val="00E36544"/>
    <w:rsid w:val="00E441EC"/>
    <w:rsid w:val="00E527FA"/>
    <w:rsid w:val="00E52E18"/>
    <w:rsid w:val="00E61558"/>
    <w:rsid w:val="00E61ED5"/>
    <w:rsid w:val="00E80BC7"/>
    <w:rsid w:val="00E96680"/>
    <w:rsid w:val="00EA5B39"/>
    <w:rsid w:val="00EA78E6"/>
    <w:rsid w:val="00ED7D4C"/>
    <w:rsid w:val="00EE385E"/>
    <w:rsid w:val="00F00ABF"/>
    <w:rsid w:val="00F15A31"/>
    <w:rsid w:val="00F17D17"/>
    <w:rsid w:val="00F27679"/>
    <w:rsid w:val="00F3640F"/>
    <w:rsid w:val="00F40964"/>
    <w:rsid w:val="00F420CF"/>
    <w:rsid w:val="00F500F7"/>
    <w:rsid w:val="00F504E9"/>
    <w:rsid w:val="00F55B91"/>
    <w:rsid w:val="00F60509"/>
    <w:rsid w:val="00F649E4"/>
    <w:rsid w:val="00F66A75"/>
    <w:rsid w:val="00F71DF4"/>
    <w:rsid w:val="00F74B11"/>
    <w:rsid w:val="00F80429"/>
    <w:rsid w:val="00F820BC"/>
    <w:rsid w:val="00F906EF"/>
    <w:rsid w:val="00F90DC1"/>
    <w:rsid w:val="00F91611"/>
    <w:rsid w:val="00FA1CEC"/>
    <w:rsid w:val="00FA29A2"/>
    <w:rsid w:val="00FA40BB"/>
    <w:rsid w:val="00FA58EC"/>
    <w:rsid w:val="00FC4B69"/>
    <w:rsid w:val="00FC5F5E"/>
    <w:rsid w:val="00FC60A7"/>
    <w:rsid w:val="00FD66E0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E9D1D54"/>
  <w15:chartTrackingRefBased/>
  <w15:docId w15:val="{C1E88BDF-3794-404A-931D-744A0760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2C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092C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2C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2C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C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9248F5"/>
    <w:rPr>
      <w:sz w:val="20"/>
    </w:rPr>
  </w:style>
  <w:style w:type="character" w:styleId="FootnoteReference">
    <w:name w:val="footnote reference"/>
    <w:semiHidden/>
    <w:rsid w:val="009248F5"/>
    <w:rPr>
      <w:vertAlign w:val="superscript"/>
    </w:rPr>
  </w:style>
  <w:style w:type="paragraph" w:customStyle="1" w:styleId="c1">
    <w:name w:val="c1"/>
    <w:basedOn w:val="Normal"/>
    <w:rsid w:val="00DF0470"/>
    <w:pPr>
      <w:widowControl w:val="0"/>
      <w:overflowPunct/>
      <w:jc w:val="center"/>
      <w:textAlignment w:val="auto"/>
    </w:pPr>
    <w:rPr>
      <w:szCs w:val="24"/>
    </w:rPr>
  </w:style>
  <w:style w:type="paragraph" w:customStyle="1" w:styleId="p3">
    <w:name w:val="p3"/>
    <w:basedOn w:val="Normal"/>
    <w:rsid w:val="00DF0470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6">
    <w:name w:val="p6"/>
    <w:basedOn w:val="Normal"/>
    <w:rsid w:val="00DF0470"/>
    <w:pPr>
      <w:widowControl w:val="0"/>
      <w:overflowPunct/>
      <w:ind w:firstLine="742"/>
      <w:textAlignment w:val="auto"/>
    </w:pPr>
    <w:rPr>
      <w:szCs w:val="24"/>
    </w:rPr>
  </w:style>
  <w:style w:type="paragraph" w:customStyle="1" w:styleId="p8">
    <w:name w:val="p8"/>
    <w:basedOn w:val="Normal"/>
    <w:rsid w:val="00DF0470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c9">
    <w:name w:val="c9"/>
    <w:basedOn w:val="Normal"/>
    <w:rsid w:val="00DF0470"/>
    <w:pPr>
      <w:widowControl w:val="0"/>
      <w:overflowPunct/>
      <w:jc w:val="center"/>
      <w:textAlignment w:val="auto"/>
    </w:pPr>
    <w:rPr>
      <w:szCs w:val="24"/>
    </w:rPr>
  </w:style>
  <w:style w:type="paragraph" w:customStyle="1" w:styleId="c10">
    <w:name w:val="c10"/>
    <w:basedOn w:val="Normal"/>
    <w:rsid w:val="00DF0470"/>
    <w:pPr>
      <w:widowControl w:val="0"/>
      <w:overflowPunct/>
      <w:jc w:val="center"/>
      <w:textAlignment w:val="auto"/>
    </w:pPr>
    <w:rPr>
      <w:szCs w:val="24"/>
    </w:rPr>
  </w:style>
  <w:style w:type="paragraph" w:customStyle="1" w:styleId="p13">
    <w:name w:val="p13"/>
    <w:basedOn w:val="Normal"/>
    <w:rsid w:val="00DF0470"/>
    <w:pPr>
      <w:widowControl w:val="0"/>
      <w:tabs>
        <w:tab w:val="left" w:pos="742"/>
        <w:tab w:val="left" w:pos="1451"/>
      </w:tabs>
      <w:overflowPunct/>
      <w:ind w:left="742" w:firstLine="709"/>
      <w:textAlignment w:val="auto"/>
    </w:pPr>
    <w:rPr>
      <w:szCs w:val="24"/>
    </w:rPr>
  </w:style>
  <w:style w:type="paragraph" w:customStyle="1" w:styleId="p14">
    <w:name w:val="p14"/>
    <w:basedOn w:val="Normal"/>
    <w:rsid w:val="00DF0470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5">
    <w:name w:val="p15"/>
    <w:basedOn w:val="Normal"/>
    <w:rsid w:val="00DF0470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DF0470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DF0470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styleId="BalloonText">
    <w:name w:val="Balloon Text"/>
    <w:basedOn w:val="Normal"/>
    <w:semiHidden/>
    <w:rsid w:val="00214C36"/>
    <w:rPr>
      <w:rFonts w:ascii="Tahoma" w:hAnsi="Tahoma" w:cs="Tahoma"/>
      <w:sz w:val="16"/>
      <w:szCs w:val="16"/>
    </w:rPr>
  </w:style>
  <w:style w:type="paragraph" w:customStyle="1" w:styleId="StyleCentered">
    <w:name w:val="Style Centered"/>
    <w:basedOn w:val="Normal"/>
    <w:rsid w:val="00092C0A"/>
    <w:pPr>
      <w:jc w:val="center"/>
    </w:pPr>
  </w:style>
  <w:style w:type="character" w:styleId="CommentReference">
    <w:name w:val="annotation reference"/>
    <w:rsid w:val="00D374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74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7474"/>
  </w:style>
  <w:style w:type="paragraph" w:styleId="CommentSubject">
    <w:name w:val="annotation subject"/>
    <w:basedOn w:val="CommentText"/>
    <w:next w:val="CommentText"/>
    <w:link w:val="CommentSubjectChar"/>
    <w:rsid w:val="00D37474"/>
    <w:rPr>
      <w:b/>
      <w:bCs/>
    </w:rPr>
  </w:style>
  <w:style w:type="character" w:customStyle="1" w:styleId="CommentSubjectChar">
    <w:name w:val="Comment Subject Char"/>
    <w:link w:val="CommentSubject"/>
    <w:rsid w:val="00D37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09AD-39EB-4732-961B-A91297E7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FUS-0435*; P-00981628.O; Citizens Tel. Co. of New York</vt:lpstr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FUS-0435*; P-00981628.O; Citizens Tel. Co. of New York</dc:title>
  <dc:subject/>
  <dc:creator>Moore, Vikki</dc:creator>
  <cp:keywords/>
  <cp:lastModifiedBy>Farner, Joyce</cp:lastModifiedBy>
  <cp:revision>3</cp:revision>
  <cp:lastPrinted>2018-12-20T16:51:00Z</cp:lastPrinted>
  <dcterms:created xsi:type="dcterms:W3CDTF">2018-12-19T19:53:00Z</dcterms:created>
  <dcterms:modified xsi:type="dcterms:W3CDTF">2018-12-20T16:51:00Z</dcterms:modified>
</cp:coreProperties>
</file>