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BEFORE THE</w:t>
      </w:r>
    </w:p>
    <w:p w:rsidR="00AF6147" w:rsidRDefault="00AF6147" w:rsidP="00AF6147">
      <w:pPr>
        <w:tabs>
          <w:tab w:val="left" w:pos="-720"/>
        </w:tabs>
        <w:suppressAutoHyphens/>
        <w:autoSpaceDE w:val="0"/>
        <w:autoSpaceDN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PENNSYLVANIA PUBLIC UTILITY COMMISSION</w:t>
      </w:r>
    </w:p>
    <w:p w:rsidR="00AF6147" w:rsidRDefault="00AF6147" w:rsidP="000C0690">
      <w:pPr>
        <w:tabs>
          <w:tab w:val="left" w:pos="-720"/>
        </w:tabs>
        <w:suppressAutoHyphens/>
        <w:autoSpaceDE w:val="0"/>
        <w:autoSpaceDN w:val="0"/>
        <w:spacing w:after="0" w:line="240" w:lineRule="auto"/>
        <w:rPr>
          <w:rFonts w:ascii="Times New Roman" w:eastAsia="Times New Roman" w:hAnsi="Times New Roman"/>
          <w:bCs/>
          <w:sz w:val="24"/>
          <w:szCs w:val="24"/>
        </w:rPr>
      </w:pPr>
    </w:p>
    <w:p w:rsidR="00AF6147" w:rsidRDefault="00AF6147" w:rsidP="000C0690">
      <w:pPr>
        <w:tabs>
          <w:tab w:val="left" w:pos="-720"/>
        </w:tabs>
        <w:suppressAutoHyphens/>
        <w:autoSpaceDE w:val="0"/>
        <w:autoSpaceDN w:val="0"/>
        <w:spacing w:after="0" w:line="240" w:lineRule="auto"/>
        <w:rPr>
          <w:rFonts w:ascii="Times New Roman" w:eastAsia="Times New Roman" w:hAnsi="Times New Roman"/>
          <w:bCs/>
          <w:sz w:val="24"/>
          <w:szCs w:val="24"/>
        </w:rPr>
      </w:pPr>
    </w:p>
    <w:p w:rsidR="00AF6147" w:rsidRDefault="00AF6147" w:rsidP="000C0690">
      <w:pPr>
        <w:tabs>
          <w:tab w:val="left" w:pos="-720"/>
        </w:tabs>
        <w:suppressAutoHyphens/>
        <w:autoSpaceDE w:val="0"/>
        <w:autoSpaceDN w:val="0"/>
        <w:spacing w:after="0" w:line="240" w:lineRule="auto"/>
        <w:rPr>
          <w:rFonts w:ascii="Times New Roman" w:eastAsia="Times New Roman" w:hAnsi="Times New Roman"/>
          <w:bCs/>
          <w:sz w:val="24"/>
          <w:szCs w:val="24"/>
        </w:rPr>
      </w:pPr>
    </w:p>
    <w:p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Eleni DiSabatino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sidR="00442F5B">
        <w:rPr>
          <w:rFonts w:ascii="Times New Roman" w:eastAsia="Times New Roman" w:hAnsi="Times New Roman"/>
          <w:sz w:val="24"/>
          <w:szCs w:val="24"/>
        </w:rPr>
        <w:t>C</w:t>
      </w:r>
      <w:r>
        <w:rPr>
          <w:rFonts w:ascii="Times New Roman" w:eastAsia="Times New Roman" w:hAnsi="Times New Roman"/>
          <w:sz w:val="24"/>
          <w:szCs w:val="24"/>
        </w:rPr>
        <w:t>-2018-300</w:t>
      </w:r>
      <w:r w:rsidR="00442F5B">
        <w:rPr>
          <w:rFonts w:ascii="Times New Roman" w:eastAsia="Times New Roman" w:hAnsi="Times New Roman"/>
          <w:sz w:val="24"/>
          <w:szCs w:val="24"/>
        </w:rPr>
        <w:t>5278</w:t>
      </w:r>
    </w:p>
    <w:p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PECO Energy Company</w:t>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rsidR="00AF6147" w:rsidRDefault="00AF6147" w:rsidP="00AF6147">
      <w:pPr>
        <w:spacing w:after="0" w:line="240" w:lineRule="auto"/>
        <w:rPr>
          <w:rFonts w:ascii="Times New Roman" w:eastAsia="Times New Roman" w:hAnsi="Times New Roman"/>
          <w:sz w:val="24"/>
          <w:szCs w:val="24"/>
        </w:rPr>
      </w:pPr>
    </w:p>
    <w:p w:rsidR="00AF6147" w:rsidRDefault="00AF6147" w:rsidP="00AF6147">
      <w:pPr>
        <w:spacing w:after="0" w:line="240" w:lineRule="auto"/>
        <w:rPr>
          <w:rFonts w:ascii="Times New Roman" w:eastAsia="Times New Roman" w:hAnsi="Times New Roman"/>
          <w:sz w:val="24"/>
          <w:szCs w:val="24"/>
        </w:rPr>
      </w:pPr>
    </w:p>
    <w:p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Eleni DiSabatino</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sidR="00442F5B">
        <w:rPr>
          <w:rFonts w:ascii="Times New Roman" w:eastAsia="Times New Roman" w:hAnsi="Times New Roman"/>
          <w:sz w:val="24"/>
          <w:szCs w:val="24"/>
        </w:rPr>
        <w:t>C</w:t>
      </w:r>
      <w:r>
        <w:rPr>
          <w:rFonts w:ascii="Times New Roman" w:eastAsia="Times New Roman" w:hAnsi="Times New Roman"/>
          <w:sz w:val="24"/>
          <w:szCs w:val="24"/>
        </w:rPr>
        <w:t>-2018-300</w:t>
      </w:r>
      <w:r w:rsidR="00442F5B">
        <w:rPr>
          <w:rFonts w:ascii="Times New Roman" w:eastAsia="Times New Roman" w:hAnsi="Times New Roman"/>
          <w:sz w:val="24"/>
          <w:szCs w:val="24"/>
        </w:rPr>
        <w:t>5452</w:t>
      </w:r>
    </w:p>
    <w:p w:rsidR="00AF6147" w:rsidRDefault="00AF6147"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PECO Energy Company</w:t>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rsidR="00AF6147" w:rsidRDefault="00442F5B" w:rsidP="00AF6147">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r>
      <w:r w:rsidR="00AF6147">
        <w:rPr>
          <w:rFonts w:ascii="Times New Roman" w:eastAsia="Times New Roman" w:hAnsi="Times New Roman"/>
          <w:sz w:val="24"/>
          <w:szCs w:val="24"/>
        </w:rPr>
        <w:tab/>
        <w:t>:</w:t>
      </w:r>
    </w:p>
    <w:p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442F5B">
        <w:rPr>
          <w:rFonts w:ascii="Times New Roman" w:eastAsia="Times New Roman" w:hAnsi="Times New Roman"/>
          <w:sz w:val="24"/>
          <w:szCs w:val="24"/>
        </w:rPr>
        <w:tab/>
      </w:r>
      <w:r w:rsidR="00442F5B">
        <w:rPr>
          <w:rFonts w:ascii="Times New Roman" w:eastAsia="Times New Roman" w:hAnsi="Times New Roman"/>
          <w:sz w:val="24"/>
          <w:szCs w:val="24"/>
        </w:rPr>
        <w:tab/>
      </w:r>
      <w:r w:rsidR="00442F5B">
        <w:rPr>
          <w:rFonts w:ascii="Times New Roman" w:eastAsia="Times New Roman" w:hAnsi="Times New Roman"/>
          <w:sz w:val="24"/>
          <w:szCs w:val="24"/>
        </w:rPr>
        <w:tab/>
      </w:r>
      <w:r>
        <w:rPr>
          <w:rFonts w:ascii="Times New Roman" w:eastAsia="Times New Roman" w:hAnsi="Times New Roman"/>
          <w:sz w:val="24"/>
          <w:szCs w:val="24"/>
        </w:rPr>
        <w:t>:</w:t>
      </w:r>
    </w:p>
    <w:p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p>
    <w:p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p>
    <w:p w:rsidR="00AF6147" w:rsidRDefault="00AF6147" w:rsidP="00AF6147">
      <w:pPr>
        <w:tabs>
          <w:tab w:val="left" w:pos="-720"/>
        </w:tabs>
        <w:suppressAutoHyphens/>
        <w:autoSpaceDE w:val="0"/>
        <w:autoSpaceDN w:val="0"/>
        <w:spacing w:after="0" w:line="240" w:lineRule="auto"/>
        <w:rPr>
          <w:rFonts w:ascii="Times New Roman" w:eastAsia="Times New Roman" w:hAnsi="Times New Roman"/>
          <w:sz w:val="24"/>
          <w:szCs w:val="24"/>
        </w:rPr>
      </w:pP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
          <w:bCs/>
          <w:sz w:val="24"/>
          <w:szCs w:val="24"/>
          <w:u w:val="single"/>
        </w:rPr>
      </w:pPr>
      <w:r>
        <w:rPr>
          <w:rFonts w:ascii="Times New Roman" w:eastAsia="Times New Roman" w:hAnsi="Times New Roman"/>
          <w:b/>
          <w:bCs/>
          <w:sz w:val="24"/>
          <w:szCs w:val="24"/>
          <w:u w:val="single"/>
        </w:rPr>
        <w:t xml:space="preserve">ORDER CONSOLIDATING </w:t>
      </w:r>
      <w:r w:rsidR="00292539">
        <w:rPr>
          <w:rFonts w:ascii="Times New Roman" w:eastAsia="Times New Roman" w:hAnsi="Times New Roman"/>
          <w:b/>
          <w:bCs/>
          <w:sz w:val="24"/>
          <w:szCs w:val="24"/>
          <w:u w:val="single"/>
        </w:rPr>
        <w:t>CONSUMER COMPLAINTS</w:t>
      </w: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Before</w:t>
      </w: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Marta Guhl</w:t>
      </w: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rPr>
        <w:t>Administrative Law Judge</w:t>
      </w: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rPr>
      </w:pPr>
    </w:p>
    <w:p w:rsidR="00AF6147" w:rsidRDefault="00AF6147" w:rsidP="00AF6147">
      <w:pPr>
        <w:tabs>
          <w:tab w:val="center" w:pos="4680"/>
        </w:tabs>
        <w:suppressAutoHyphens/>
        <w:autoSpaceDE w:val="0"/>
        <w:autoSpaceDN w:val="0"/>
        <w:spacing w:after="0" w:line="240" w:lineRule="auto"/>
        <w:jc w:val="center"/>
        <w:rPr>
          <w:rFonts w:ascii="Times New Roman" w:eastAsia="Times New Roman" w:hAnsi="Times New Roman"/>
          <w:bCs/>
          <w:sz w:val="24"/>
          <w:szCs w:val="24"/>
          <w:u w:val="single"/>
        </w:rPr>
      </w:pPr>
      <w:r>
        <w:rPr>
          <w:rFonts w:ascii="Times New Roman" w:eastAsia="Times New Roman" w:hAnsi="Times New Roman"/>
          <w:bCs/>
          <w:sz w:val="24"/>
          <w:szCs w:val="24"/>
          <w:u w:val="single"/>
        </w:rPr>
        <w:t>HISTORY OF THE PROCEEDING</w:t>
      </w:r>
    </w:p>
    <w:p w:rsidR="00AF6147" w:rsidRDefault="00AF6147" w:rsidP="000C0690">
      <w:pPr>
        <w:tabs>
          <w:tab w:val="center" w:pos="4680"/>
        </w:tabs>
        <w:suppressAutoHyphens/>
        <w:autoSpaceDE w:val="0"/>
        <w:autoSpaceDN w:val="0"/>
        <w:spacing w:after="0" w:line="360" w:lineRule="auto"/>
        <w:jc w:val="center"/>
        <w:rPr>
          <w:rFonts w:ascii="Times New Roman" w:eastAsia="Times New Roman" w:hAnsi="Times New Roman"/>
          <w:bCs/>
          <w:sz w:val="24"/>
          <w:szCs w:val="24"/>
        </w:rPr>
      </w:pPr>
    </w:p>
    <w:p w:rsidR="00AF6147" w:rsidRDefault="00AF6147" w:rsidP="005467E7">
      <w:pPr>
        <w:spacing w:after="0" w:line="360" w:lineRule="auto"/>
        <w:ind w:firstLine="1440"/>
        <w:rPr>
          <w:rFonts w:ascii="Times New Roman" w:eastAsia="Times New Roman" w:hAnsi="Times New Roman"/>
          <w:sz w:val="24"/>
          <w:szCs w:val="24"/>
        </w:rPr>
      </w:pPr>
      <w:r>
        <w:rPr>
          <w:rFonts w:ascii="Times New Roman" w:hAnsi="Times New Roman"/>
          <w:sz w:val="24"/>
          <w:szCs w:val="24"/>
        </w:rPr>
        <w:t xml:space="preserve">On </w:t>
      </w:r>
      <w:r w:rsidR="004C14EB">
        <w:rPr>
          <w:rFonts w:ascii="Times New Roman" w:hAnsi="Times New Roman"/>
          <w:sz w:val="24"/>
          <w:szCs w:val="24"/>
        </w:rPr>
        <w:t>October 11, 2018</w:t>
      </w:r>
      <w:r>
        <w:rPr>
          <w:rFonts w:ascii="Times New Roman" w:hAnsi="Times New Roman"/>
          <w:sz w:val="24"/>
          <w:szCs w:val="24"/>
        </w:rPr>
        <w:t xml:space="preserve">, </w:t>
      </w:r>
      <w:r w:rsidR="004C14EB">
        <w:rPr>
          <w:rFonts w:ascii="Times New Roman" w:hAnsi="Times New Roman"/>
          <w:sz w:val="24"/>
          <w:szCs w:val="24"/>
        </w:rPr>
        <w:t>Eleni DiSabatino</w:t>
      </w:r>
      <w:r>
        <w:rPr>
          <w:rFonts w:ascii="Times New Roman" w:hAnsi="Times New Roman"/>
          <w:sz w:val="24"/>
          <w:szCs w:val="24"/>
        </w:rPr>
        <w:t xml:space="preserve"> </w:t>
      </w:r>
      <w:r w:rsidR="004C14EB">
        <w:rPr>
          <w:rFonts w:ascii="Times New Roman" w:hAnsi="Times New Roman"/>
          <w:sz w:val="24"/>
          <w:szCs w:val="24"/>
        </w:rPr>
        <w:t xml:space="preserve">(Complainant) </w:t>
      </w:r>
      <w:r>
        <w:rPr>
          <w:rFonts w:ascii="Times New Roman" w:hAnsi="Times New Roman"/>
          <w:sz w:val="24"/>
          <w:szCs w:val="24"/>
        </w:rPr>
        <w:t xml:space="preserve">filed </w:t>
      </w:r>
      <w:r w:rsidR="004C14EB">
        <w:rPr>
          <w:rFonts w:ascii="Times New Roman" w:hAnsi="Times New Roman"/>
          <w:sz w:val="24"/>
          <w:szCs w:val="24"/>
        </w:rPr>
        <w:t xml:space="preserve">a Formal Complaint </w:t>
      </w:r>
      <w:r>
        <w:rPr>
          <w:rFonts w:ascii="Times New Roman" w:hAnsi="Times New Roman"/>
          <w:sz w:val="24"/>
          <w:szCs w:val="24"/>
        </w:rPr>
        <w:t>with the Public Utility Commission (Commission)</w:t>
      </w:r>
      <w:r w:rsidR="004C14EB">
        <w:rPr>
          <w:rFonts w:ascii="Times New Roman" w:hAnsi="Times New Roman"/>
          <w:sz w:val="24"/>
          <w:szCs w:val="24"/>
        </w:rPr>
        <w:t xml:space="preserve"> against PECO Energy Company (PECO or Respondent)</w:t>
      </w:r>
      <w:r>
        <w:rPr>
          <w:rFonts w:ascii="Times New Roman" w:hAnsi="Times New Roman"/>
          <w:sz w:val="24"/>
          <w:szCs w:val="24"/>
        </w:rPr>
        <w:t xml:space="preserve"> at Docket No. </w:t>
      </w:r>
      <w:r w:rsidR="004C14EB">
        <w:rPr>
          <w:rFonts w:ascii="Times New Roman" w:eastAsia="Times New Roman" w:hAnsi="Times New Roman"/>
          <w:sz w:val="24"/>
          <w:szCs w:val="24"/>
        </w:rPr>
        <w:t xml:space="preserve">C-2018-3005278.  The Complainant alleges that the Respondent was threatening to shut off her service and that there were incorrect charges on her bills.  The Complainant alleges that there are incorrect charges related to a prior address at 818 Treetop Lane, Norristown, Pennsylvania 19403.  The Complainant requests that this previous balance related to this address be removed from her account and that the Respondent not shut off her service.  </w:t>
      </w:r>
    </w:p>
    <w:p w:rsidR="00AF6147" w:rsidRDefault="00AF6147" w:rsidP="00AF6147">
      <w:pPr>
        <w:spacing w:line="360" w:lineRule="auto"/>
        <w:rPr>
          <w:rFonts w:ascii="Times New Roman" w:hAnsi="Times New Roman"/>
          <w:sz w:val="24"/>
          <w:szCs w:val="24"/>
        </w:rPr>
      </w:pPr>
    </w:p>
    <w:p w:rsidR="00AF6147" w:rsidRDefault="00AF6147" w:rsidP="005467E7">
      <w:pPr>
        <w:spacing w:after="0" w:line="360" w:lineRule="auto"/>
        <w:ind w:firstLine="720"/>
        <w:rPr>
          <w:rFonts w:ascii="Times New Roman" w:eastAsia="Times New Roman" w:hAnsi="Times New Roman"/>
          <w:sz w:val="24"/>
          <w:szCs w:val="24"/>
        </w:rPr>
      </w:pPr>
      <w:r>
        <w:rPr>
          <w:rFonts w:ascii="Times New Roman" w:hAnsi="Times New Roman"/>
          <w:sz w:val="24"/>
          <w:szCs w:val="24"/>
        </w:rPr>
        <w:lastRenderedPageBreak/>
        <w:tab/>
      </w:r>
      <w:r>
        <w:rPr>
          <w:rFonts w:ascii="Times New Roman" w:hAnsi="Times New Roman"/>
          <w:color w:val="000000"/>
          <w:sz w:val="24"/>
          <w:szCs w:val="24"/>
        </w:rPr>
        <w:t xml:space="preserve">On </w:t>
      </w:r>
      <w:r w:rsidR="004C14EB">
        <w:rPr>
          <w:rFonts w:ascii="Times New Roman" w:hAnsi="Times New Roman"/>
          <w:color w:val="000000"/>
          <w:sz w:val="24"/>
          <w:szCs w:val="24"/>
        </w:rPr>
        <w:t>October 16, 2018</w:t>
      </w:r>
      <w:r>
        <w:rPr>
          <w:rFonts w:ascii="Times New Roman" w:hAnsi="Times New Roman"/>
          <w:color w:val="000000"/>
          <w:sz w:val="24"/>
          <w:szCs w:val="24"/>
        </w:rPr>
        <w:t xml:space="preserve">, </w:t>
      </w:r>
      <w:r w:rsidR="004C14EB">
        <w:rPr>
          <w:rFonts w:ascii="Times New Roman" w:hAnsi="Times New Roman"/>
          <w:color w:val="000000"/>
          <w:sz w:val="24"/>
          <w:szCs w:val="24"/>
        </w:rPr>
        <w:t>the Complainant filed another Formal Complaint with the Commission</w:t>
      </w:r>
      <w:r w:rsidR="00971121">
        <w:rPr>
          <w:rFonts w:ascii="Times New Roman" w:hAnsi="Times New Roman"/>
          <w:color w:val="000000"/>
          <w:sz w:val="24"/>
          <w:szCs w:val="24"/>
        </w:rPr>
        <w:t xml:space="preserve"> against PECO</w:t>
      </w:r>
      <w:r>
        <w:rPr>
          <w:rFonts w:ascii="Times New Roman" w:hAnsi="Times New Roman"/>
          <w:sz w:val="24"/>
          <w:szCs w:val="24"/>
        </w:rPr>
        <w:t>.</w:t>
      </w:r>
      <w:r w:rsidR="00971121">
        <w:rPr>
          <w:rFonts w:ascii="Times New Roman" w:hAnsi="Times New Roman"/>
          <w:sz w:val="24"/>
          <w:szCs w:val="24"/>
        </w:rPr>
        <w:t xml:space="preserve">  This Complaint was docketed at </w:t>
      </w:r>
      <w:r w:rsidR="00971121">
        <w:rPr>
          <w:rFonts w:ascii="Times New Roman" w:eastAsia="Times New Roman" w:hAnsi="Times New Roman"/>
          <w:sz w:val="24"/>
          <w:szCs w:val="24"/>
        </w:rPr>
        <w:t xml:space="preserve">C-2018-3005452.  The Complaint is the same as the first Complaint, in terms of allegations.  </w:t>
      </w:r>
    </w:p>
    <w:p w:rsidR="005467E7" w:rsidRDefault="005467E7" w:rsidP="005467E7">
      <w:pPr>
        <w:spacing w:after="0" w:line="360" w:lineRule="auto"/>
        <w:ind w:firstLine="720"/>
        <w:rPr>
          <w:rFonts w:ascii="Times New Roman" w:hAnsi="Times New Roman"/>
          <w:sz w:val="24"/>
          <w:szCs w:val="24"/>
        </w:rPr>
      </w:pPr>
    </w:p>
    <w:p w:rsidR="00971121" w:rsidRDefault="00AF6147" w:rsidP="006C027D">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971121">
        <w:rPr>
          <w:rFonts w:ascii="Times New Roman" w:hAnsi="Times New Roman"/>
          <w:sz w:val="24"/>
          <w:szCs w:val="24"/>
        </w:rPr>
        <w:t>October 22, 2018</w:t>
      </w:r>
      <w:r>
        <w:rPr>
          <w:rFonts w:ascii="Times New Roman" w:hAnsi="Times New Roman"/>
          <w:sz w:val="24"/>
          <w:szCs w:val="24"/>
        </w:rPr>
        <w:t xml:space="preserve">, </w:t>
      </w:r>
      <w:r w:rsidR="00971121">
        <w:rPr>
          <w:rFonts w:ascii="Times New Roman" w:hAnsi="Times New Roman"/>
          <w:sz w:val="24"/>
          <w:szCs w:val="24"/>
        </w:rPr>
        <w:t xml:space="preserve">PECO filed an Answer to the Complaint at Docket No. </w:t>
      </w:r>
      <w:r w:rsidR="00971121" w:rsidRPr="00971121">
        <w:rPr>
          <w:rFonts w:ascii="Times New Roman" w:hAnsi="Times New Roman"/>
          <w:sz w:val="24"/>
          <w:szCs w:val="24"/>
        </w:rPr>
        <w:t>C</w:t>
      </w:r>
      <w:r w:rsidR="006C027D">
        <w:rPr>
          <w:rFonts w:ascii="Times New Roman" w:hAnsi="Times New Roman"/>
          <w:sz w:val="24"/>
          <w:szCs w:val="24"/>
        </w:rPr>
        <w:t> </w:t>
      </w:r>
      <w:r w:rsidR="00971121" w:rsidRPr="00971121">
        <w:rPr>
          <w:rFonts w:ascii="Times New Roman" w:hAnsi="Times New Roman"/>
          <w:sz w:val="24"/>
          <w:szCs w:val="24"/>
        </w:rPr>
        <w:t>2018-3005278</w:t>
      </w:r>
      <w:r>
        <w:rPr>
          <w:rFonts w:ascii="Times New Roman" w:hAnsi="Times New Roman"/>
          <w:sz w:val="24"/>
          <w:szCs w:val="24"/>
        </w:rPr>
        <w:t>.</w:t>
      </w:r>
      <w:r w:rsidR="00971121">
        <w:rPr>
          <w:rFonts w:ascii="Times New Roman" w:hAnsi="Times New Roman"/>
          <w:sz w:val="24"/>
          <w:szCs w:val="24"/>
        </w:rPr>
        <w:t xml:space="preserve">  The Answer denied the material allegations of the Complaint.  </w:t>
      </w:r>
    </w:p>
    <w:p w:rsidR="005467E7" w:rsidRDefault="005467E7" w:rsidP="006C027D">
      <w:pPr>
        <w:tabs>
          <w:tab w:val="left" w:pos="990"/>
        </w:tabs>
        <w:spacing w:after="0" w:line="360" w:lineRule="auto"/>
        <w:ind w:firstLine="1440"/>
        <w:rPr>
          <w:rFonts w:ascii="Times New Roman" w:hAnsi="Times New Roman"/>
          <w:sz w:val="24"/>
          <w:szCs w:val="24"/>
        </w:rPr>
      </w:pPr>
    </w:p>
    <w:p w:rsidR="00791E9F" w:rsidRDefault="00971121" w:rsidP="006C027D">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 xml:space="preserve">Via Hearing Notice dated November 6, 2018, the matter at Docket No. </w:t>
      </w:r>
      <w:r>
        <w:rPr>
          <w:rFonts w:ascii="Times New Roman" w:eastAsia="Times New Roman" w:hAnsi="Times New Roman"/>
          <w:sz w:val="24"/>
          <w:szCs w:val="24"/>
        </w:rPr>
        <w:t>C-2018-3005278 was scheduled for an initial in person hearing on Friday, December 21, 2018</w:t>
      </w:r>
      <w:r w:rsidR="006C027D">
        <w:rPr>
          <w:rFonts w:ascii="Times New Roman" w:eastAsia="Times New Roman" w:hAnsi="Times New Roman"/>
          <w:sz w:val="24"/>
          <w:szCs w:val="24"/>
        </w:rPr>
        <w:t>,</w:t>
      </w:r>
      <w:r>
        <w:rPr>
          <w:rFonts w:ascii="Times New Roman" w:eastAsia="Times New Roman" w:hAnsi="Times New Roman"/>
          <w:sz w:val="24"/>
          <w:szCs w:val="24"/>
        </w:rPr>
        <w:t xml:space="preserve"> at 10:00 a.m., and the matter was assigned to me</w:t>
      </w:r>
      <w:r>
        <w:rPr>
          <w:rFonts w:ascii="Times New Roman" w:hAnsi="Times New Roman"/>
          <w:sz w:val="24"/>
          <w:szCs w:val="24"/>
        </w:rPr>
        <w:t>.</w:t>
      </w:r>
    </w:p>
    <w:p w:rsidR="005467E7" w:rsidRDefault="005467E7" w:rsidP="006C027D">
      <w:pPr>
        <w:tabs>
          <w:tab w:val="left" w:pos="990"/>
        </w:tabs>
        <w:spacing w:after="0" w:line="360" w:lineRule="auto"/>
        <w:ind w:firstLine="1440"/>
        <w:rPr>
          <w:rFonts w:ascii="Times New Roman" w:hAnsi="Times New Roman"/>
          <w:sz w:val="24"/>
          <w:szCs w:val="24"/>
        </w:rPr>
      </w:pPr>
    </w:p>
    <w:p w:rsidR="00791E9F" w:rsidRDefault="00791E9F" w:rsidP="006C027D">
      <w:pPr>
        <w:tabs>
          <w:tab w:val="left" w:pos="990"/>
        </w:tabs>
        <w:spacing w:after="0" w:line="360" w:lineRule="auto"/>
        <w:ind w:firstLine="1440"/>
        <w:rPr>
          <w:rFonts w:ascii="Times New Roman" w:hAnsi="Times New Roman"/>
          <w:sz w:val="24"/>
          <w:szCs w:val="24"/>
        </w:rPr>
      </w:pPr>
      <w:r>
        <w:rPr>
          <w:rFonts w:ascii="Times New Roman" w:hAnsi="Times New Roman"/>
          <w:sz w:val="24"/>
          <w:szCs w:val="24"/>
        </w:rPr>
        <w:t xml:space="preserve">On November 6, 2018, I issued a Prehearing Order which discussed the procedural issues related to the hearing.  </w:t>
      </w:r>
    </w:p>
    <w:p w:rsidR="005467E7" w:rsidRDefault="005467E7" w:rsidP="006C027D">
      <w:pPr>
        <w:tabs>
          <w:tab w:val="left" w:pos="990"/>
        </w:tabs>
        <w:spacing w:after="0" w:line="360" w:lineRule="auto"/>
        <w:ind w:firstLine="1440"/>
        <w:rPr>
          <w:rFonts w:ascii="Times New Roman" w:hAnsi="Times New Roman"/>
          <w:sz w:val="24"/>
          <w:szCs w:val="24"/>
        </w:rPr>
      </w:pPr>
    </w:p>
    <w:p w:rsidR="00971121" w:rsidRDefault="00AF6147" w:rsidP="006C027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w:t>
      </w:r>
      <w:r w:rsidR="00971121">
        <w:rPr>
          <w:rFonts w:ascii="Times New Roman" w:hAnsi="Times New Roman"/>
          <w:sz w:val="24"/>
          <w:szCs w:val="24"/>
        </w:rPr>
        <w:t>November 19, 2018</w:t>
      </w:r>
      <w:r>
        <w:rPr>
          <w:rFonts w:ascii="Times New Roman" w:hAnsi="Times New Roman"/>
          <w:sz w:val="24"/>
          <w:szCs w:val="24"/>
        </w:rPr>
        <w:t xml:space="preserve">, </w:t>
      </w:r>
      <w:r w:rsidR="00971121">
        <w:rPr>
          <w:rFonts w:ascii="Times New Roman" w:hAnsi="Times New Roman"/>
          <w:sz w:val="24"/>
          <w:szCs w:val="24"/>
        </w:rPr>
        <w:t xml:space="preserve">PECO filed another Answer to the Complaint at Docket No. </w:t>
      </w:r>
      <w:r w:rsidR="00971121" w:rsidRPr="00971121">
        <w:rPr>
          <w:rFonts w:ascii="Times New Roman" w:hAnsi="Times New Roman"/>
          <w:sz w:val="24"/>
          <w:szCs w:val="24"/>
        </w:rPr>
        <w:t>C-2018-3005452</w:t>
      </w:r>
      <w:r>
        <w:rPr>
          <w:rFonts w:ascii="Times New Roman" w:hAnsi="Times New Roman"/>
          <w:sz w:val="24"/>
          <w:szCs w:val="24"/>
        </w:rPr>
        <w:t xml:space="preserve">.  </w:t>
      </w:r>
      <w:r w:rsidR="00971121">
        <w:rPr>
          <w:rFonts w:ascii="Times New Roman" w:hAnsi="Times New Roman"/>
          <w:sz w:val="24"/>
          <w:szCs w:val="24"/>
        </w:rPr>
        <w:t xml:space="preserve">The Answer denied the material allegations of the Complaint.  </w:t>
      </w:r>
    </w:p>
    <w:p w:rsidR="001F23B1" w:rsidRDefault="001F23B1" w:rsidP="006C027D">
      <w:pPr>
        <w:spacing w:after="0" w:line="360" w:lineRule="auto"/>
        <w:rPr>
          <w:rFonts w:ascii="Times New Roman" w:hAnsi="Times New Roman"/>
          <w:sz w:val="24"/>
          <w:szCs w:val="24"/>
        </w:rPr>
      </w:pPr>
    </w:p>
    <w:p w:rsidR="00791E9F" w:rsidRDefault="00791E9F" w:rsidP="006C027D">
      <w:pPr>
        <w:spacing w:after="0" w:line="360" w:lineRule="auto"/>
        <w:rPr>
          <w:rFonts w:ascii="Times New Roman" w:eastAsia="Times New Roman" w:hAnsi="Times New Roman"/>
          <w:sz w:val="24"/>
          <w:szCs w:val="24"/>
        </w:rPr>
      </w:pPr>
      <w:r>
        <w:rPr>
          <w:rFonts w:ascii="Times New Roman" w:hAnsi="Times New Roman"/>
          <w:sz w:val="24"/>
          <w:szCs w:val="24"/>
        </w:rPr>
        <w:tab/>
      </w:r>
      <w:r>
        <w:rPr>
          <w:rFonts w:ascii="Times New Roman" w:hAnsi="Times New Roman"/>
          <w:sz w:val="24"/>
          <w:szCs w:val="24"/>
        </w:rPr>
        <w:tab/>
        <w:t>On the same date, PECO</w:t>
      </w:r>
      <w:r w:rsidR="00780C5A">
        <w:rPr>
          <w:rFonts w:ascii="Times New Roman" w:hAnsi="Times New Roman"/>
          <w:sz w:val="24"/>
          <w:szCs w:val="24"/>
        </w:rPr>
        <w:t xml:space="preserve"> also</w:t>
      </w:r>
      <w:r>
        <w:rPr>
          <w:rFonts w:ascii="Times New Roman" w:hAnsi="Times New Roman"/>
          <w:sz w:val="24"/>
          <w:szCs w:val="24"/>
        </w:rPr>
        <w:t xml:space="preserve"> filed a Motion to Consolidate the Complaints at Docket Nos. </w:t>
      </w:r>
      <w:r>
        <w:rPr>
          <w:rFonts w:ascii="Times New Roman" w:eastAsia="Times New Roman" w:hAnsi="Times New Roman"/>
          <w:sz w:val="24"/>
          <w:szCs w:val="24"/>
        </w:rPr>
        <w:t>C-2018-3005278 and C-2018-3005452.  PECO alleged that the matters involved the same parties</w:t>
      </w:r>
      <w:r w:rsidR="00780C5A">
        <w:rPr>
          <w:rFonts w:ascii="Times New Roman" w:eastAsia="Times New Roman" w:hAnsi="Times New Roman"/>
          <w:sz w:val="24"/>
          <w:szCs w:val="24"/>
        </w:rPr>
        <w:t xml:space="preserve">, same address and same issues.  </w:t>
      </w:r>
    </w:p>
    <w:p w:rsidR="001F23B1" w:rsidRDefault="001F23B1" w:rsidP="006C027D">
      <w:pPr>
        <w:spacing w:after="0" w:line="360" w:lineRule="auto"/>
        <w:rPr>
          <w:rFonts w:ascii="Times New Roman" w:hAnsi="Times New Roman"/>
          <w:sz w:val="24"/>
          <w:szCs w:val="24"/>
        </w:rPr>
      </w:pPr>
    </w:p>
    <w:p w:rsidR="00AF6147" w:rsidRDefault="00AF6147" w:rsidP="006C027D">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80C5A">
        <w:rPr>
          <w:rFonts w:ascii="Times New Roman" w:hAnsi="Times New Roman"/>
          <w:sz w:val="24"/>
          <w:szCs w:val="24"/>
        </w:rPr>
        <w:t>The Complainant did not file</w:t>
      </w:r>
      <w:r>
        <w:rPr>
          <w:rFonts w:ascii="Times New Roman" w:hAnsi="Times New Roman"/>
          <w:sz w:val="24"/>
          <w:szCs w:val="24"/>
        </w:rPr>
        <w:t xml:space="preserve"> a Response or Objection to the Motion within the timeframe allowed under 52 Pa.Code § 5.61(a)(1).  As such, the matter is now ripe for determination.  </w:t>
      </w:r>
    </w:p>
    <w:p w:rsidR="00780C5A" w:rsidRDefault="00780C5A" w:rsidP="00AF6147">
      <w:pPr>
        <w:autoSpaceDE w:val="0"/>
        <w:autoSpaceDN w:val="0"/>
        <w:spacing w:after="0" w:line="360" w:lineRule="auto"/>
        <w:jc w:val="center"/>
        <w:rPr>
          <w:rFonts w:ascii="Times New Roman" w:eastAsia="Times New Roman" w:hAnsi="Times New Roman"/>
          <w:sz w:val="24"/>
          <w:szCs w:val="24"/>
          <w:u w:val="single"/>
        </w:rPr>
      </w:pPr>
    </w:p>
    <w:p w:rsidR="00AF6147" w:rsidRDefault="00AF6147" w:rsidP="00AF6147">
      <w:pPr>
        <w:autoSpaceDE w:val="0"/>
        <w:autoSpaceDN w:val="0"/>
        <w:spacing w:after="0" w:line="360" w:lineRule="auto"/>
        <w:jc w:val="center"/>
        <w:rPr>
          <w:rFonts w:ascii="Times New Roman" w:eastAsia="Times New Roman" w:hAnsi="Times New Roman"/>
          <w:sz w:val="24"/>
          <w:szCs w:val="24"/>
          <w:u w:val="single"/>
        </w:rPr>
      </w:pPr>
      <w:r>
        <w:rPr>
          <w:rFonts w:ascii="Times New Roman" w:eastAsia="Times New Roman" w:hAnsi="Times New Roman"/>
          <w:sz w:val="24"/>
          <w:szCs w:val="24"/>
          <w:u w:val="single"/>
        </w:rPr>
        <w:t>DISCUSSION</w:t>
      </w:r>
    </w:p>
    <w:p w:rsidR="00AF6147" w:rsidRDefault="00AF6147" w:rsidP="00AF6147">
      <w:pPr>
        <w:widowControl w:val="0"/>
        <w:autoSpaceDE w:val="0"/>
        <w:autoSpaceDN w:val="0"/>
        <w:adjustRightInd w:val="0"/>
        <w:spacing w:after="0" w:line="360" w:lineRule="auto"/>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Commission regulation pertaining to consolidation appears at 52 Pa. Code §5.81, and states, in relevant part:</w:t>
      </w:r>
    </w:p>
    <w:p w:rsidR="00697755" w:rsidRDefault="00697755">
      <w:pPr>
        <w:rPr>
          <w:rFonts w:ascii="Times New Roman" w:eastAsia="Times New Roman" w:hAnsi="Times New Roman"/>
          <w:sz w:val="24"/>
          <w:szCs w:val="24"/>
        </w:rPr>
      </w:pPr>
      <w:r>
        <w:rPr>
          <w:rFonts w:ascii="Times New Roman" w:eastAsia="Times New Roman" w:hAnsi="Times New Roman"/>
          <w:sz w:val="24"/>
          <w:szCs w:val="24"/>
        </w:rPr>
        <w:br w:type="page"/>
      </w:r>
      <w:bookmarkStart w:id="0" w:name="_GoBack"/>
      <w:bookmarkEnd w:id="0"/>
    </w:p>
    <w:p w:rsidR="00AF6147" w:rsidRDefault="00AF6147" w:rsidP="00AF6147">
      <w:pPr>
        <w:autoSpaceDE w:val="0"/>
        <w:autoSpaceDN w:val="0"/>
        <w:spacing w:after="0" w:line="240" w:lineRule="auto"/>
        <w:ind w:left="1440" w:right="1440"/>
        <w:rPr>
          <w:rFonts w:ascii="Times New Roman" w:eastAsia="Times New Roman" w:hAnsi="Times New Roman"/>
          <w:b/>
          <w:bCs/>
          <w:sz w:val="24"/>
          <w:szCs w:val="24"/>
        </w:rPr>
      </w:pPr>
      <w:r>
        <w:rPr>
          <w:rFonts w:ascii="Times New Roman" w:eastAsia="Times New Roman" w:hAnsi="Times New Roman"/>
          <w:b/>
          <w:bCs/>
          <w:sz w:val="24"/>
          <w:szCs w:val="24"/>
        </w:rPr>
        <w:lastRenderedPageBreak/>
        <w:t>§5.81. Consolidation.</w:t>
      </w:r>
    </w:p>
    <w:p w:rsidR="00AF6147" w:rsidRDefault="00AF6147" w:rsidP="00697755">
      <w:pPr>
        <w:autoSpaceDE w:val="0"/>
        <w:autoSpaceDN w:val="0"/>
        <w:spacing w:after="0" w:line="360" w:lineRule="auto"/>
        <w:ind w:left="1440" w:right="1440"/>
        <w:rPr>
          <w:rFonts w:ascii="Times New Roman" w:eastAsia="Times New Roman" w:hAnsi="Times New Roman"/>
          <w:sz w:val="24"/>
          <w:szCs w:val="24"/>
        </w:rPr>
      </w:pPr>
    </w:p>
    <w:p w:rsidR="00AF6147" w:rsidRDefault="00AF6147" w:rsidP="00697755">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(a)</w:t>
      </w:r>
      <w:r w:rsidR="00822763">
        <w:rPr>
          <w:rFonts w:ascii="Times New Roman" w:eastAsia="Times New Roman" w:hAnsi="Times New Roman"/>
          <w:sz w:val="24"/>
          <w:szCs w:val="24"/>
        </w:rPr>
        <w:tab/>
      </w:r>
      <w:r>
        <w:rPr>
          <w:rFonts w:ascii="Times New Roman" w:eastAsia="Times New Roman" w:hAnsi="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AF6147" w:rsidRDefault="00AF6147" w:rsidP="00697755">
      <w:pPr>
        <w:autoSpaceDE w:val="0"/>
        <w:autoSpaceDN w:val="0"/>
        <w:spacing w:after="0" w:line="36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question of consolidation is clearly left to the sound discretion of the Commission or presiding officer.</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Pr>
          <w:rFonts w:ascii="Times New Roman" w:eastAsia="Times New Roman" w:hAnsi="Times New Roman"/>
          <w:i/>
          <w:sz w:val="24"/>
          <w:szCs w:val="24"/>
        </w:rPr>
        <w:t>Applications of Philadelphia Electric Co.</w:t>
      </w:r>
      <w:r>
        <w:rPr>
          <w:rFonts w:ascii="Times New Roman" w:eastAsia="Times New Roman" w:hAnsi="Times New Roman"/>
          <w:sz w:val="24"/>
          <w:szCs w:val="24"/>
        </w:rPr>
        <w:t xml:space="preserve">, 43 Pa. PUC 781 (1968), </w:t>
      </w:r>
      <w:r>
        <w:rPr>
          <w:rFonts w:ascii="Times New Roman" w:eastAsia="Times New Roman" w:hAnsi="Times New Roman"/>
          <w:i/>
          <w:sz w:val="24"/>
          <w:szCs w:val="24"/>
        </w:rPr>
        <w:t>Pa. Public Utility Comm’n v. Bell Telephone Co. of Pennsylvania</w:t>
      </w:r>
      <w:r>
        <w:rPr>
          <w:rFonts w:ascii="Times New Roman" w:eastAsia="Times New Roman" w:hAnsi="Times New Roman"/>
          <w:sz w:val="24"/>
          <w:szCs w:val="24"/>
        </w:rPr>
        <w:t xml:space="preserve">, 46 Pa. PUC 568 (1973), and </w:t>
      </w:r>
      <w:r>
        <w:rPr>
          <w:rFonts w:ascii="Times New Roman" w:eastAsia="Times New Roman" w:hAnsi="Times New Roman"/>
          <w:i/>
          <w:sz w:val="24"/>
          <w:szCs w:val="24"/>
        </w:rPr>
        <w:t>Pa. Public Utility Comm’n v. Butler Twp. Water Co</w:t>
      </w:r>
      <w:r>
        <w:rPr>
          <w:rFonts w:ascii="Times New Roman" w:eastAsia="Times New Roman" w:hAnsi="Times New Roman"/>
          <w:sz w:val="24"/>
          <w:szCs w:val="24"/>
        </w:rPr>
        <w:t>., 52 Pa. PUC 442 (1978), as well as those cited above, establishes that considerations in addition to the presence of common questions of law or fact must also be evaluated in ruling on a consolidation.  These other considerations are:</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sz w:val="24"/>
          <w:szCs w:val="24"/>
        </w:rPr>
        <w:tab/>
        <w:t>Will the presence of additional issues cloud a determination of the common issues?</w:t>
      </w:r>
    </w:p>
    <w:p w:rsidR="00AF6147" w:rsidRDefault="00AF6147" w:rsidP="00AF6147">
      <w:pPr>
        <w:autoSpaceDE w:val="0"/>
        <w:autoSpaceDN w:val="0"/>
        <w:spacing w:after="0" w:line="24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ab/>
        <w:t>Will consolidation result in reduced costs of litigation and decision-making for the parties and the Commission?</w:t>
      </w: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3.</w:t>
      </w:r>
      <w:r>
        <w:rPr>
          <w:rFonts w:ascii="Times New Roman" w:eastAsia="Times New Roman" w:hAnsi="Times New Roman"/>
          <w:sz w:val="24"/>
          <w:szCs w:val="24"/>
        </w:rPr>
        <w:tab/>
        <w:t>Do issues in one proceeding go to the heart of an issue in the other proceeding?</w:t>
      </w: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4.</w:t>
      </w:r>
      <w:r>
        <w:rPr>
          <w:rFonts w:ascii="Times New Roman" w:eastAsia="Times New Roman" w:hAnsi="Times New Roman"/>
          <w:sz w:val="24"/>
          <w:szCs w:val="24"/>
        </w:rPr>
        <w:tab/>
        <w:t>Will consolidation unduly protract the hearing, or produce a disorderly and unwieldy record?</w:t>
      </w: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5.</w:t>
      </w:r>
      <w:r>
        <w:rPr>
          <w:rFonts w:ascii="Times New Roman" w:eastAsia="Times New Roman" w:hAnsi="Times New Roman"/>
          <w:sz w:val="24"/>
          <w:szCs w:val="24"/>
        </w:rPr>
        <w:tab/>
        <w:t>Will different statutory and legal issues be involved?</w:t>
      </w: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6.</w:t>
      </w:r>
      <w:r>
        <w:rPr>
          <w:rFonts w:ascii="Times New Roman" w:eastAsia="Times New Roman" w:hAnsi="Times New Roman"/>
          <w:sz w:val="24"/>
          <w:szCs w:val="24"/>
        </w:rPr>
        <w:tab/>
        <w:t>Does the party with the burden of proof differ in the proceedings?</w:t>
      </w: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p>
    <w:p w:rsidR="00AF6147" w:rsidRDefault="00AF6147" w:rsidP="00AF6147">
      <w:pPr>
        <w:widowControl w:val="0"/>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t>7.</w:t>
      </w:r>
      <w:r>
        <w:rPr>
          <w:rFonts w:ascii="Times New Roman" w:eastAsia="Times New Roman" w:hAnsi="Times New Roman"/>
          <w:sz w:val="24"/>
          <w:szCs w:val="24"/>
        </w:rPr>
        <w:tab/>
        <w:t>Will consolidation unduly delay the resolution of one of the proceedings?</w:t>
      </w:r>
    </w:p>
    <w:p w:rsidR="00AF6147" w:rsidRDefault="00AF6147" w:rsidP="00AF6147">
      <w:pPr>
        <w:widowControl w:val="0"/>
        <w:tabs>
          <w:tab w:val="left" w:pos="1584"/>
          <w:tab w:val="left" w:pos="2304"/>
        </w:tabs>
        <w:autoSpaceDE w:val="0"/>
        <w:autoSpaceDN w:val="0"/>
        <w:spacing w:after="0" w:line="240" w:lineRule="auto"/>
        <w:ind w:left="1440" w:right="1440"/>
        <w:rPr>
          <w:rFonts w:ascii="Times New Roman" w:eastAsia="Times New Roman" w:hAnsi="Times New Roman"/>
          <w:sz w:val="24"/>
          <w:szCs w:val="24"/>
        </w:rPr>
      </w:pPr>
      <w:r>
        <w:rPr>
          <w:rFonts w:ascii="Times New Roman" w:eastAsia="Times New Roman" w:hAnsi="Times New Roman"/>
          <w:sz w:val="24"/>
          <w:szCs w:val="24"/>
        </w:rPr>
        <w:lastRenderedPageBreak/>
        <w:t>8.</w:t>
      </w:r>
      <w:r>
        <w:rPr>
          <w:rFonts w:ascii="Times New Roman" w:eastAsia="Times New Roman" w:hAnsi="Times New Roman"/>
          <w:sz w:val="24"/>
          <w:szCs w:val="24"/>
        </w:rPr>
        <w:tab/>
        <w:t>Will supporting data in both proceedings be repetitive?</w:t>
      </w:r>
    </w:p>
    <w:p w:rsidR="00AF6147" w:rsidRDefault="00AF6147" w:rsidP="00EE54C1">
      <w:pPr>
        <w:widowControl w:val="0"/>
        <w:tabs>
          <w:tab w:val="left" w:pos="1584"/>
          <w:tab w:val="left" w:pos="2304"/>
        </w:tabs>
        <w:autoSpaceDE w:val="0"/>
        <w:autoSpaceDN w:val="0"/>
        <w:spacing w:after="0" w:line="360" w:lineRule="auto"/>
        <w:ind w:left="1440" w:right="1440"/>
        <w:rPr>
          <w:rFonts w:ascii="Times New Roman" w:eastAsia="Times New Roman" w:hAnsi="Times New Roman"/>
          <w:sz w:val="24"/>
          <w:szCs w:val="24"/>
        </w:rPr>
      </w:pPr>
    </w:p>
    <w:p w:rsidR="00AF6147" w:rsidRDefault="00236B17" w:rsidP="00EE54C1">
      <w:pPr>
        <w:pStyle w:val="ListNumber"/>
        <w:spacing w:after="0" w:line="360" w:lineRule="auto"/>
        <w:ind w:firstLine="1440"/>
      </w:pPr>
      <w:r>
        <w:t xml:space="preserve">PECO </w:t>
      </w:r>
      <w:r w:rsidR="00AF6147">
        <w:t xml:space="preserve">asserts in its Motion to </w:t>
      </w:r>
      <w:r w:rsidR="00C771E9">
        <w:t xml:space="preserve">Consolidate </w:t>
      </w:r>
      <w:r w:rsidR="00AF6147">
        <w:t xml:space="preserve">that the same </w:t>
      </w:r>
      <w:r w:rsidR="00C771E9">
        <w:t>parties, address, and common legal questions and facts are involved in both Complaints filed by the Complainant</w:t>
      </w:r>
      <w:r w:rsidR="00AF6147">
        <w:t xml:space="preserve">.  Motion to Consolidate at ¶ </w:t>
      </w:r>
      <w:r w:rsidR="00C771E9">
        <w:t>8</w:t>
      </w:r>
      <w:r w:rsidR="00AF6147">
        <w:t>.</w:t>
      </w:r>
    </w:p>
    <w:p w:rsidR="00C771E9" w:rsidRDefault="00C771E9"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In these matters, on balance, consolidation would be advantageous to the proceedings and in the public interest.</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spacing w:after="8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Both cases involve </w:t>
      </w:r>
      <w:r w:rsidR="00C771E9">
        <w:rPr>
          <w:rFonts w:ascii="Times New Roman" w:eastAsia="Times New Roman" w:hAnsi="Times New Roman"/>
          <w:sz w:val="24"/>
          <w:szCs w:val="24"/>
        </w:rPr>
        <w:t>identical Complaints</w:t>
      </w:r>
      <w:r>
        <w:rPr>
          <w:rFonts w:ascii="Times New Roman" w:eastAsia="Times New Roman" w:hAnsi="Times New Roman"/>
          <w:sz w:val="24"/>
          <w:szCs w:val="24"/>
        </w:rPr>
        <w:t xml:space="preserve">.  The parties involved in the cases are the same.  </w:t>
      </w:r>
    </w:p>
    <w:p w:rsidR="00AF6147" w:rsidRDefault="00AF6147" w:rsidP="00AF6147">
      <w:pPr>
        <w:spacing w:after="80" w:line="360" w:lineRule="auto"/>
        <w:ind w:firstLine="1440"/>
        <w:rPr>
          <w:rFonts w:ascii="Times New Roman" w:eastAsia="Times New Roman" w:hAnsi="Times New Roman"/>
          <w:sz w:val="24"/>
          <w:szCs w:val="24"/>
        </w:rPr>
      </w:pPr>
    </w:p>
    <w:p w:rsidR="00AF6147" w:rsidRDefault="00AF6147" w:rsidP="00AF6147">
      <w:pPr>
        <w:spacing w:after="80" w:line="360" w:lineRule="auto"/>
        <w:ind w:firstLine="1440"/>
        <w:rPr>
          <w:rFonts w:ascii="Times New Roman" w:eastAsia="Times New Roman" w:hAnsi="Times New Roman"/>
          <w:b/>
          <w:sz w:val="24"/>
          <w:szCs w:val="24"/>
          <w:u w:val="single"/>
        </w:rPr>
      </w:pPr>
      <w:r>
        <w:rPr>
          <w:rFonts w:ascii="Times New Roman" w:eastAsia="Times New Roman" w:hAnsi="Times New Roman"/>
          <w:sz w:val="24"/>
          <w:szCs w:val="24"/>
        </w:rPr>
        <w:t xml:space="preserve">Consolidation will help </w:t>
      </w:r>
      <w:r w:rsidR="00C771E9">
        <w:rPr>
          <w:rFonts w:ascii="Times New Roman" w:eastAsia="Times New Roman" w:hAnsi="Times New Roman"/>
          <w:sz w:val="24"/>
          <w:szCs w:val="24"/>
        </w:rPr>
        <w:t xml:space="preserve">the </w:t>
      </w:r>
      <w:r>
        <w:rPr>
          <w:rFonts w:ascii="Times New Roman" w:eastAsia="Times New Roman" w:hAnsi="Times New Roman"/>
          <w:sz w:val="24"/>
          <w:szCs w:val="24"/>
        </w:rPr>
        <w:t xml:space="preserve">parties and the Commission reduce costs and time by having one hearing for both matters.  </w:t>
      </w: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will not make the record disorderly or unwieldy as the same parties will appear in each case.</w:t>
      </w: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The burden of proof in both case</w:t>
      </w:r>
      <w:r w:rsidR="00C771E9">
        <w:rPr>
          <w:rFonts w:ascii="Times New Roman" w:eastAsia="Times New Roman" w:hAnsi="Times New Roman"/>
          <w:sz w:val="24"/>
          <w:szCs w:val="24"/>
        </w:rPr>
        <w:t>s</w:t>
      </w:r>
      <w:r>
        <w:rPr>
          <w:rFonts w:ascii="Times New Roman" w:eastAsia="Times New Roman" w:hAnsi="Times New Roman"/>
          <w:sz w:val="24"/>
          <w:szCs w:val="24"/>
        </w:rPr>
        <w:t xml:space="preserve"> reside </w:t>
      </w:r>
      <w:r w:rsidR="00C771E9">
        <w:rPr>
          <w:rFonts w:ascii="Times New Roman" w:eastAsia="Times New Roman" w:hAnsi="Times New Roman"/>
          <w:sz w:val="24"/>
          <w:szCs w:val="24"/>
        </w:rPr>
        <w:t>with the Complainant</w:t>
      </w:r>
      <w:r>
        <w:rPr>
          <w:rFonts w:ascii="Times New Roman" w:eastAsia="Times New Roman" w:hAnsi="Times New Roman"/>
          <w:sz w:val="24"/>
          <w:szCs w:val="24"/>
        </w:rPr>
        <w:t>.</w:t>
      </w: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Consolidation of these cases will not unduly delay the resolution of any of them.  They will be heard together.</w:t>
      </w: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Because the cases involve the same </w:t>
      </w:r>
      <w:r w:rsidR="00C771E9">
        <w:rPr>
          <w:rFonts w:ascii="Times New Roman" w:eastAsia="Times New Roman" w:hAnsi="Times New Roman"/>
          <w:sz w:val="24"/>
          <w:szCs w:val="24"/>
        </w:rPr>
        <w:t>parties</w:t>
      </w:r>
      <w:r>
        <w:rPr>
          <w:rFonts w:ascii="Times New Roman" w:eastAsia="Times New Roman" w:hAnsi="Times New Roman"/>
          <w:sz w:val="24"/>
          <w:szCs w:val="24"/>
        </w:rPr>
        <w:t xml:space="preserve"> and </w:t>
      </w:r>
      <w:r w:rsidR="00C771E9">
        <w:rPr>
          <w:rFonts w:ascii="Times New Roman" w:eastAsia="Times New Roman" w:hAnsi="Times New Roman"/>
          <w:sz w:val="24"/>
          <w:szCs w:val="24"/>
        </w:rPr>
        <w:t xml:space="preserve">the same </w:t>
      </w:r>
      <w:r>
        <w:rPr>
          <w:rFonts w:ascii="Times New Roman" w:eastAsia="Times New Roman" w:hAnsi="Times New Roman"/>
          <w:sz w:val="24"/>
          <w:szCs w:val="24"/>
        </w:rPr>
        <w:t xml:space="preserve">issues, the supporting </w:t>
      </w:r>
      <w:r w:rsidR="00C771E9">
        <w:rPr>
          <w:rFonts w:ascii="Times New Roman" w:eastAsia="Times New Roman" w:hAnsi="Times New Roman"/>
          <w:sz w:val="24"/>
          <w:szCs w:val="24"/>
        </w:rPr>
        <w:t>documents and testimony will be the same</w:t>
      </w:r>
      <w:r>
        <w:rPr>
          <w:rFonts w:ascii="Times New Roman" w:eastAsia="Times New Roman" w:hAnsi="Times New Roman"/>
          <w:sz w:val="24"/>
          <w:szCs w:val="24"/>
        </w:rPr>
        <w:t xml:space="preserve"> and should be heard at once so there is no repetition.</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lastRenderedPageBreak/>
        <w:t>These cases meet all the criteria for consolidation.</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For all of the stated reasons, consolidation of these matters for hearing and adjudication is warranted and in the public interest.</w:t>
      </w:r>
    </w:p>
    <w:p w:rsidR="00AF6147" w:rsidRDefault="00AF6147" w:rsidP="00AF6147">
      <w:pPr>
        <w:widowControl w:val="0"/>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THEREFORE,</w:t>
      </w: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360" w:lineRule="auto"/>
        <w:ind w:firstLine="1440"/>
        <w:rPr>
          <w:rFonts w:ascii="Times New Roman" w:eastAsia="Times New Roman" w:hAnsi="Times New Roman"/>
          <w:bCs/>
          <w:sz w:val="24"/>
          <w:szCs w:val="24"/>
        </w:rPr>
      </w:pPr>
      <w:r>
        <w:rPr>
          <w:rFonts w:ascii="Times New Roman" w:eastAsia="Times New Roman" w:hAnsi="Times New Roman"/>
          <w:bCs/>
          <w:sz w:val="24"/>
          <w:szCs w:val="24"/>
        </w:rPr>
        <w:t>IT IS ORDERED:</w:t>
      </w:r>
    </w:p>
    <w:p w:rsidR="00AF6147" w:rsidRDefault="00AF6147" w:rsidP="00AF6147">
      <w:pPr>
        <w:autoSpaceDE w:val="0"/>
        <w:autoSpaceDN w:val="0"/>
        <w:spacing w:after="0" w:line="360" w:lineRule="auto"/>
        <w:ind w:firstLine="1440"/>
        <w:rPr>
          <w:rFonts w:ascii="Times New Roman" w:eastAsia="Times New Roman" w:hAnsi="Times New Roman"/>
          <w:sz w:val="24"/>
          <w:szCs w:val="24"/>
        </w:rPr>
      </w:pPr>
    </w:p>
    <w:p w:rsidR="00AF6147" w:rsidRDefault="00AF6147" w:rsidP="00AF6147">
      <w:pPr>
        <w:pStyle w:val="CommentText"/>
        <w:numPr>
          <w:ilvl w:val="0"/>
          <w:numId w:val="1"/>
        </w:numPr>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That </w:t>
      </w:r>
      <w:r w:rsidR="00D64378">
        <w:rPr>
          <w:rFonts w:ascii="Times New Roman" w:eastAsia="Times New Roman" w:hAnsi="Times New Roman"/>
          <w:i/>
          <w:sz w:val="24"/>
          <w:szCs w:val="24"/>
        </w:rPr>
        <w:t>Eleni DiSabatino v. PECO Energy Company</w:t>
      </w:r>
      <w:r>
        <w:rPr>
          <w:rFonts w:ascii="Times New Roman" w:eastAsia="Times New Roman" w:hAnsi="Times New Roman"/>
          <w:sz w:val="24"/>
          <w:szCs w:val="24"/>
        </w:rPr>
        <w:t xml:space="preserve">, Docket No. </w:t>
      </w:r>
      <w:r w:rsidR="00D64378">
        <w:rPr>
          <w:rFonts w:ascii="Times New Roman" w:eastAsia="Times New Roman" w:hAnsi="Times New Roman"/>
          <w:sz w:val="24"/>
          <w:szCs w:val="24"/>
        </w:rPr>
        <w:t>C-2018-3005452</w:t>
      </w:r>
      <w:r>
        <w:rPr>
          <w:rFonts w:ascii="Times New Roman" w:eastAsia="Times New Roman" w:hAnsi="Times New Roman"/>
          <w:sz w:val="24"/>
          <w:szCs w:val="24"/>
        </w:rPr>
        <w:t xml:space="preserve">, will be </w:t>
      </w:r>
      <w:r>
        <w:rPr>
          <w:rFonts w:ascii="Times New Roman" w:eastAsia="Times New Roman" w:hAnsi="Times New Roman"/>
          <w:spacing w:val="-3"/>
          <w:sz w:val="24"/>
          <w:szCs w:val="24"/>
        </w:rPr>
        <w:t>consolidated</w:t>
      </w:r>
      <w:r>
        <w:rPr>
          <w:rFonts w:ascii="Times New Roman" w:eastAsia="Times New Roman" w:hAnsi="Times New Roman"/>
          <w:sz w:val="24"/>
          <w:szCs w:val="24"/>
        </w:rPr>
        <w:t xml:space="preserve"> for hearing and adjudication</w:t>
      </w:r>
      <w:r>
        <w:rPr>
          <w:rFonts w:ascii="Times New Roman" w:eastAsia="Times New Roman" w:hAnsi="Times New Roman"/>
          <w:spacing w:val="-3"/>
          <w:sz w:val="24"/>
          <w:szCs w:val="24"/>
        </w:rPr>
        <w:t xml:space="preserve"> with </w:t>
      </w:r>
      <w:r w:rsidR="00D64378">
        <w:rPr>
          <w:rFonts w:ascii="Times New Roman" w:eastAsia="Times New Roman" w:hAnsi="Times New Roman"/>
          <w:i/>
          <w:sz w:val="24"/>
          <w:szCs w:val="24"/>
        </w:rPr>
        <w:t>Eleni DiSabatino v. PECO Energy Company</w:t>
      </w:r>
      <w:r>
        <w:rPr>
          <w:rFonts w:ascii="Times New Roman" w:eastAsia="Times New Roman" w:hAnsi="Times New Roman"/>
          <w:sz w:val="24"/>
          <w:szCs w:val="24"/>
        </w:rPr>
        <w:t xml:space="preserve">, Docket No. </w:t>
      </w:r>
      <w:r w:rsidR="00D64378">
        <w:rPr>
          <w:rFonts w:ascii="Times New Roman" w:eastAsia="Times New Roman" w:hAnsi="Times New Roman"/>
          <w:sz w:val="24"/>
          <w:szCs w:val="24"/>
        </w:rPr>
        <w:t>C-2018-3005278</w:t>
      </w:r>
      <w:r>
        <w:rPr>
          <w:rFonts w:ascii="Times New Roman" w:eastAsia="Times New Roman" w:hAnsi="Times New Roman"/>
          <w:sz w:val="24"/>
          <w:szCs w:val="24"/>
        </w:rPr>
        <w:t>.</w:t>
      </w:r>
    </w:p>
    <w:p w:rsidR="00AF6147" w:rsidRDefault="00AF6147" w:rsidP="00AF6147">
      <w:pPr>
        <w:pStyle w:val="CommentText"/>
        <w:spacing w:after="0" w:line="360" w:lineRule="auto"/>
        <w:ind w:left="1440"/>
        <w:rPr>
          <w:rFonts w:ascii="Times New Roman" w:eastAsia="Times New Roman" w:hAnsi="Times New Roman"/>
          <w:sz w:val="24"/>
          <w:szCs w:val="24"/>
        </w:rPr>
      </w:pPr>
    </w:p>
    <w:p w:rsidR="00AF6147" w:rsidRDefault="00AF6147" w:rsidP="00AF6147">
      <w:pPr>
        <w:pStyle w:val="CommentText"/>
        <w:numPr>
          <w:ilvl w:val="0"/>
          <w:numId w:val="1"/>
        </w:numPr>
        <w:spacing w:after="0" w:line="360" w:lineRule="auto"/>
        <w:ind w:left="0" w:firstLine="1440"/>
        <w:rPr>
          <w:rFonts w:ascii="Times New Roman" w:hAnsi="Times New Roman"/>
          <w:sz w:val="24"/>
          <w:szCs w:val="24"/>
        </w:rPr>
      </w:pPr>
      <w:r>
        <w:rPr>
          <w:rFonts w:ascii="Times New Roman" w:eastAsia="Times New Roman" w:hAnsi="Times New Roman"/>
          <w:sz w:val="24"/>
          <w:szCs w:val="24"/>
        </w:rPr>
        <w:t xml:space="preserve">That both matters will be heard at the hearing scheduled for </w:t>
      </w:r>
      <w:r w:rsidR="00D64378">
        <w:rPr>
          <w:rFonts w:ascii="Times New Roman" w:eastAsia="Times New Roman" w:hAnsi="Times New Roman"/>
          <w:sz w:val="24"/>
          <w:szCs w:val="24"/>
        </w:rPr>
        <w:t>December</w:t>
      </w:r>
      <w:r w:rsidR="00C87A83">
        <w:rPr>
          <w:rFonts w:ascii="Times New Roman" w:eastAsia="Times New Roman" w:hAnsi="Times New Roman"/>
          <w:sz w:val="24"/>
          <w:szCs w:val="24"/>
        </w:rPr>
        <w:t> </w:t>
      </w:r>
      <w:r w:rsidR="00D64378">
        <w:rPr>
          <w:rFonts w:ascii="Times New Roman" w:eastAsia="Times New Roman" w:hAnsi="Times New Roman"/>
          <w:sz w:val="24"/>
          <w:szCs w:val="24"/>
        </w:rPr>
        <w:t>21,</w:t>
      </w:r>
      <w:r w:rsidR="00C87A83">
        <w:rPr>
          <w:rFonts w:ascii="Times New Roman" w:eastAsia="Times New Roman" w:hAnsi="Times New Roman"/>
          <w:sz w:val="24"/>
          <w:szCs w:val="24"/>
        </w:rPr>
        <w:t> </w:t>
      </w:r>
      <w:r w:rsidR="00D64378">
        <w:rPr>
          <w:rFonts w:ascii="Times New Roman" w:eastAsia="Times New Roman" w:hAnsi="Times New Roman"/>
          <w:sz w:val="24"/>
          <w:szCs w:val="24"/>
        </w:rPr>
        <w:t>2018</w:t>
      </w:r>
      <w:r>
        <w:rPr>
          <w:rFonts w:ascii="Times New Roman" w:eastAsia="Times New Roman" w:hAnsi="Times New Roman"/>
          <w:sz w:val="24"/>
          <w:szCs w:val="24"/>
        </w:rPr>
        <w:t xml:space="preserve">.  </w:t>
      </w:r>
    </w:p>
    <w:p w:rsidR="00AF6147" w:rsidRDefault="00AF6147" w:rsidP="00AF6147">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rsidR="00AF6147" w:rsidRDefault="00AF6147" w:rsidP="00AF6147">
      <w:pPr>
        <w:tabs>
          <w:tab w:val="left" w:pos="-720"/>
        </w:tabs>
        <w:suppressAutoHyphens/>
        <w:autoSpaceDE w:val="0"/>
        <w:autoSpaceDN w:val="0"/>
        <w:spacing w:after="0" w:line="360" w:lineRule="auto"/>
        <w:ind w:firstLine="1440"/>
        <w:rPr>
          <w:rFonts w:ascii="Times New Roman" w:eastAsia="Times New Roman" w:hAnsi="Times New Roman"/>
          <w:sz w:val="24"/>
          <w:szCs w:val="24"/>
        </w:rPr>
      </w:pPr>
    </w:p>
    <w:p w:rsidR="00AF6147" w:rsidRDefault="00AF6147" w:rsidP="00AF614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sidR="00442F5B" w:rsidRPr="00442F5B">
        <w:rPr>
          <w:rFonts w:ascii="Times New Roman" w:eastAsia="Times New Roman" w:hAnsi="Times New Roman"/>
          <w:sz w:val="24"/>
          <w:szCs w:val="24"/>
          <w:u w:val="single"/>
        </w:rPr>
        <w:t>:</w:t>
      </w:r>
      <w:r w:rsidR="00C66B77" w:rsidRPr="00442F5B">
        <w:rPr>
          <w:rFonts w:ascii="Times New Roman" w:eastAsia="Times New Roman" w:hAnsi="Times New Roman"/>
          <w:sz w:val="24"/>
          <w:szCs w:val="24"/>
          <w:u w:val="single"/>
        </w:rPr>
        <w:t xml:space="preserve"> December</w:t>
      </w:r>
      <w:r>
        <w:rPr>
          <w:rFonts w:ascii="Times New Roman" w:eastAsia="Times New Roman" w:hAnsi="Times New Roman"/>
          <w:sz w:val="24"/>
          <w:szCs w:val="24"/>
          <w:u w:val="single"/>
        </w:rPr>
        <w:t xml:space="preserve"> 19, 2018</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t>/s/</w:t>
      </w:r>
      <w:r>
        <w:rPr>
          <w:rFonts w:ascii="Times New Roman" w:eastAsia="Times New Roman" w:hAnsi="Times New Roman"/>
          <w:sz w:val="24"/>
          <w:szCs w:val="24"/>
          <w:u w:val="single"/>
        </w:rPr>
        <w:tab/>
      </w:r>
      <w:r>
        <w:rPr>
          <w:rFonts w:ascii="Times New Roman" w:eastAsia="Times New Roman" w:hAnsi="Times New Roman"/>
          <w:sz w:val="24"/>
          <w:szCs w:val="24"/>
          <w:u w:val="single"/>
        </w:rPr>
        <w:tab/>
      </w:r>
      <w:r>
        <w:rPr>
          <w:rFonts w:ascii="Times New Roman" w:eastAsia="Times New Roman" w:hAnsi="Times New Roman"/>
          <w:sz w:val="24"/>
          <w:szCs w:val="24"/>
          <w:u w:val="single"/>
        </w:rPr>
        <w:tab/>
      </w:r>
    </w:p>
    <w:p w:rsidR="00AF6147" w:rsidRDefault="00AF6147" w:rsidP="00AF614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Marta Guhl</w:t>
      </w:r>
    </w:p>
    <w:p w:rsidR="00AF6147" w:rsidRDefault="00AF6147" w:rsidP="00AF6147">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Administrative Law Judge</w:t>
      </w:r>
    </w:p>
    <w:p w:rsidR="00C87A83" w:rsidRDefault="00C87A83" w:rsidP="00ED53D0">
      <w:pPr>
        <w:spacing w:line="240" w:lineRule="auto"/>
        <w:rPr>
          <w:rFonts w:ascii="Times New Roman" w:eastAsia="Times New Roman" w:hAnsi="Times New Roman"/>
          <w:sz w:val="24"/>
          <w:szCs w:val="24"/>
        </w:rPr>
      </w:pPr>
      <w:r>
        <w:rPr>
          <w:rFonts w:ascii="Times New Roman" w:eastAsia="Times New Roman" w:hAnsi="Times New Roman"/>
          <w:sz w:val="24"/>
          <w:szCs w:val="24"/>
        </w:rPr>
        <w:br w:type="page"/>
      </w:r>
      <w:r w:rsidR="00ED53D0" w:rsidRPr="008929DA">
        <w:rPr>
          <w:rFonts w:ascii="Times New Roman" w:eastAsia="Microsoft Sans Serif" w:hAnsi="Times New Roman"/>
          <w:b/>
          <w:sz w:val="24"/>
          <w:u w:val="single"/>
        </w:rPr>
        <w:lastRenderedPageBreak/>
        <w:t>C-2018-3005278 - ELENI DISABATINO v. PECO ENERGY COMPANY</w:t>
      </w:r>
      <w:r w:rsidR="00ED53D0" w:rsidRPr="008929DA">
        <w:rPr>
          <w:rFonts w:ascii="Times New Roman" w:eastAsia="Microsoft Sans Serif" w:hAnsi="Times New Roman"/>
          <w:b/>
          <w:sz w:val="24"/>
          <w:u w:val="single"/>
        </w:rPr>
        <w:cr/>
      </w:r>
      <w:r w:rsidR="00ED53D0" w:rsidRPr="008929DA">
        <w:rPr>
          <w:rFonts w:ascii="Times New Roman" w:eastAsia="Microsoft Sans Serif" w:hAnsi="Times New Roman"/>
          <w:b/>
          <w:sz w:val="24"/>
          <w:u w:val="single"/>
        </w:rPr>
        <w:br/>
      </w:r>
      <w:r w:rsidR="00ED53D0" w:rsidRPr="008929DA">
        <w:rPr>
          <w:rFonts w:ascii="Times New Roman" w:eastAsia="Microsoft Sans Serif" w:hAnsi="Times New Roman"/>
          <w:sz w:val="24"/>
        </w:rPr>
        <w:t>ELENI DISABATINO</w:t>
      </w:r>
      <w:r w:rsidR="00ED53D0" w:rsidRPr="008929DA">
        <w:rPr>
          <w:rFonts w:ascii="Times New Roman" w:eastAsia="Microsoft Sans Serif" w:hAnsi="Times New Roman"/>
          <w:sz w:val="24"/>
        </w:rPr>
        <w:cr/>
        <w:t>22 WHEATSHEAF LANE</w:t>
      </w:r>
      <w:r w:rsidR="00ED53D0" w:rsidRPr="008929DA">
        <w:rPr>
          <w:rFonts w:ascii="Times New Roman" w:eastAsia="Microsoft Sans Serif" w:hAnsi="Times New Roman"/>
          <w:sz w:val="24"/>
        </w:rPr>
        <w:cr/>
        <w:t>EAGLEVILLE PA  19403</w:t>
      </w:r>
      <w:r w:rsidR="00ED53D0" w:rsidRPr="008929DA">
        <w:rPr>
          <w:rFonts w:ascii="Times New Roman" w:eastAsia="Microsoft Sans Serif" w:hAnsi="Times New Roman"/>
          <w:sz w:val="24"/>
        </w:rPr>
        <w:cr/>
      </w:r>
      <w:r w:rsidR="00ED53D0" w:rsidRPr="008929DA">
        <w:rPr>
          <w:rFonts w:ascii="Times New Roman" w:eastAsia="Microsoft Sans Serif" w:hAnsi="Times New Roman"/>
          <w:b/>
          <w:sz w:val="24"/>
        </w:rPr>
        <w:t>484.447.6574</w:t>
      </w:r>
      <w:r w:rsidR="00ED53D0" w:rsidRPr="008929DA">
        <w:rPr>
          <w:rFonts w:ascii="Times New Roman" w:eastAsia="Microsoft Sans Serif" w:hAnsi="Times New Roman"/>
          <w:b/>
          <w:sz w:val="24"/>
        </w:rPr>
        <w:br/>
      </w:r>
      <w:r w:rsidR="00ED53D0" w:rsidRPr="008929DA">
        <w:rPr>
          <w:rFonts w:ascii="Times New Roman" w:eastAsia="Microsoft Sans Serif" w:hAnsi="Times New Roman"/>
          <w:b/>
          <w:i/>
          <w:sz w:val="24"/>
          <w:u w:val="single"/>
        </w:rPr>
        <w:t>ACCEPTS E-SERVICE</w:t>
      </w:r>
      <w:r w:rsidR="00ED53D0" w:rsidRPr="008929DA">
        <w:rPr>
          <w:rFonts w:ascii="Times New Roman" w:eastAsia="Microsoft Sans Serif" w:hAnsi="Times New Roman"/>
          <w:sz w:val="24"/>
        </w:rPr>
        <w:cr/>
      </w:r>
      <w:r w:rsidR="00ED53D0" w:rsidRPr="008929DA">
        <w:rPr>
          <w:rFonts w:ascii="Times New Roman" w:eastAsia="Microsoft Sans Serif" w:hAnsi="Times New Roman"/>
          <w:b/>
          <w:sz w:val="24"/>
          <w:u w:val="single"/>
        </w:rPr>
        <w:cr/>
      </w:r>
      <w:r w:rsidR="00ED53D0" w:rsidRPr="008929DA">
        <w:rPr>
          <w:rFonts w:ascii="Times New Roman" w:eastAsia="Microsoft Sans Serif" w:hAnsi="Times New Roman"/>
          <w:sz w:val="24"/>
        </w:rPr>
        <w:t>SHAWANE L LEE ESQUIRE</w:t>
      </w:r>
      <w:r w:rsidR="00ED53D0" w:rsidRPr="008929DA">
        <w:rPr>
          <w:rFonts w:ascii="Times New Roman" w:eastAsia="Microsoft Sans Serif" w:hAnsi="Times New Roman"/>
          <w:sz w:val="24"/>
        </w:rPr>
        <w:cr/>
        <w:t>EXELON BUSINESS SERVICES</w:t>
      </w:r>
      <w:r w:rsidR="00ED53D0" w:rsidRPr="008929DA">
        <w:rPr>
          <w:rFonts w:ascii="Times New Roman" w:eastAsia="Microsoft Sans Serif" w:hAnsi="Times New Roman"/>
          <w:sz w:val="24"/>
        </w:rPr>
        <w:cr/>
        <w:t xml:space="preserve">LEGAL DEPT S23-1 </w:t>
      </w:r>
      <w:r w:rsidR="00ED53D0" w:rsidRPr="008929DA">
        <w:rPr>
          <w:rFonts w:ascii="Times New Roman" w:eastAsia="Microsoft Sans Serif" w:hAnsi="Times New Roman"/>
          <w:sz w:val="24"/>
        </w:rPr>
        <w:cr/>
        <w:t>2301 MARKET STREET</w:t>
      </w:r>
      <w:r w:rsidR="00ED53D0" w:rsidRPr="008929DA">
        <w:rPr>
          <w:rFonts w:ascii="Times New Roman" w:eastAsia="Microsoft Sans Serif" w:hAnsi="Times New Roman"/>
          <w:sz w:val="24"/>
        </w:rPr>
        <w:cr/>
        <w:t>PHILADELPHIA PA  19101</w:t>
      </w:r>
      <w:r w:rsidR="00ED53D0" w:rsidRPr="008929DA">
        <w:rPr>
          <w:rFonts w:ascii="Times New Roman" w:eastAsia="Microsoft Sans Serif" w:hAnsi="Times New Roman"/>
          <w:sz w:val="24"/>
        </w:rPr>
        <w:cr/>
      </w:r>
      <w:r w:rsidR="00ED53D0" w:rsidRPr="008929DA">
        <w:rPr>
          <w:rFonts w:ascii="Times New Roman" w:eastAsia="Microsoft Sans Serif" w:hAnsi="Times New Roman"/>
          <w:b/>
          <w:sz w:val="24"/>
        </w:rPr>
        <w:t>215.841.6841</w:t>
      </w:r>
      <w:r w:rsidR="00ED53D0" w:rsidRPr="008929DA">
        <w:rPr>
          <w:rFonts w:ascii="Times New Roman" w:eastAsia="Microsoft Sans Serif" w:hAnsi="Times New Roman"/>
          <w:b/>
          <w:sz w:val="24"/>
        </w:rPr>
        <w:br/>
      </w:r>
      <w:r w:rsidR="00ED53D0" w:rsidRPr="008929DA">
        <w:rPr>
          <w:rFonts w:ascii="Times New Roman" w:eastAsia="Microsoft Sans Serif" w:hAnsi="Times New Roman"/>
          <w:b/>
          <w:i/>
          <w:sz w:val="24"/>
          <w:u w:val="single"/>
        </w:rPr>
        <w:t>ACCEPTS E-SERVICE</w:t>
      </w:r>
      <w:r w:rsidR="00ED53D0" w:rsidRPr="008929DA">
        <w:rPr>
          <w:rFonts w:ascii="Times New Roman" w:eastAsia="Microsoft Sans Serif" w:hAnsi="Times New Roman"/>
          <w:sz w:val="24"/>
        </w:rPr>
        <w:t xml:space="preserve"> </w:t>
      </w:r>
      <w:r w:rsidR="00ED53D0" w:rsidRPr="008929DA">
        <w:rPr>
          <w:rFonts w:ascii="Times New Roman" w:eastAsia="Microsoft Sans Serif" w:hAnsi="Times New Roman"/>
          <w:sz w:val="24"/>
        </w:rPr>
        <w:cr/>
      </w:r>
      <w:r w:rsidR="00ED53D0" w:rsidRPr="008929DA">
        <w:rPr>
          <w:rFonts w:ascii="Times New Roman" w:eastAsia="Microsoft Sans Serif" w:hAnsi="Times New Roman"/>
          <w:sz w:val="24"/>
        </w:rPr>
        <w:cr/>
      </w:r>
    </w:p>
    <w:sectPr w:rsidR="00C87A83" w:rsidSect="00ED53D0">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191" w:rsidRDefault="00FA3191" w:rsidP="00780AF5">
      <w:pPr>
        <w:spacing w:after="0" w:line="240" w:lineRule="auto"/>
      </w:pPr>
      <w:r>
        <w:separator/>
      </w:r>
    </w:p>
  </w:endnote>
  <w:endnote w:type="continuationSeparator" w:id="0">
    <w:p w:rsidR="00FA3191" w:rsidRDefault="00FA3191" w:rsidP="0078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0AF5" w:rsidRPr="00780AF5" w:rsidRDefault="00780AF5">
    <w:pPr>
      <w:pStyle w:val="Footer"/>
      <w:tabs>
        <w:tab w:val="clear" w:pos="4680"/>
        <w:tab w:val="clear" w:pos="9360"/>
      </w:tabs>
      <w:jc w:val="center"/>
      <w:rPr>
        <w:rFonts w:ascii="Times New Roman" w:hAnsi="Times New Roman"/>
        <w:caps/>
        <w:noProof/>
        <w:sz w:val="20"/>
        <w:szCs w:val="20"/>
      </w:rPr>
    </w:pPr>
    <w:r w:rsidRPr="00780AF5">
      <w:rPr>
        <w:rFonts w:ascii="Times New Roman" w:hAnsi="Times New Roman"/>
        <w:caps/>
        <w:sz w:val="20"/>
        <w:szCs w:val="20"/>
      </w:rPr>
      <w:fldChar w:fldCharType="begin"/>
    </w:r>
    <w:r w:rsidRPr="00780AF5">
      <w:rPr>
        <w:rFonts w:ascii="Times New Roman" w:hAnsi="Times New Roman"/>
        <w:caps/>
        <w:sz w:val="20"/>
        <w:szCs w:val="20"/>
      </w:rPr>
      <w:instrText xml:space="preserve"> PAGE   \* MERGEFORMAT </w:instrText>
    </w:r>
    <w:r w:rsidRPr="00780AF5">
      <w:rPr>
        <w:rFonts w:ascii="Times New Roman" w:hAnsi="Times New Roman"/>
        <w:caps/>
        <w:sz w:val="20"/>
        <w:szCs w:val="20"/>
      </w:rPr>
      <w:fldChar w:fldCharType="separate"/>
    </w:r>
    <w:r w:rsidRPr="00780AF5">
      <w:rPr>
        <w:rFonts w:ascii="Times New Roman" w:hAnsi="Times New Roman"/>
        <w:caps/>
        <w:noProof/>
        <w:sz w:val="20"/>
        <w:szCs w:val="20"/>
      </w:rPr>
      <w:t>2</w:t>
    </w:r>
    <w:r w:rsidRPr="00780AF5">
      <w:rPr>
        <w:rFonts w:ascii="Times New Roman" w:hAnsi="Times New Roman"/>
        <w:caps/>
        <w:noProof/>
        <w:sz w:val="20"/>
        <w:szCs w:val="20"/>
      </w:rPr>
      <w:fldChar w:fldCharType="end"/>
    </w:r>
  </w:p>
  <w:p w:rsidR="00780AF5" w:rsidRDefault="00780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191" w:rsidRDefault="00FA3191" w:rsidP="00780AF5">
      <w:pPr>
        <w:spacing w:after="0" w:line="240" w:lineRule="auto"/>
      </w:pPr>
      <w:r>
        <w:separator/>
      </w:r>
    </w:p>
  </w:footnote>
  <w:footnote w:type="continuationSeparator" w:id="0">
    <w:p w:rsidR="00FA3191" w:rsidRDefault="00FA3191" w:rsidP="00780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D0269"/>
    <w:multiLevelType w:val="hybridMultilevel"/>
    <w:tmpl w:val="936C0A82"/>
    <w:lvl w:ilvl="0" w:tplc="5A8E937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47"/>
    <w:rsid w:val="000C0690"/>
    <w:rsid w:val="001F23B1"/>
    <w:rsid w:val="00236B17"/>
    <w:rsid w:val="00292539"/>
    <w:rsid w:val="003B6687"/>
    <w:rsid w:val="00442F5B"/>
    <w:rsid w:val="004C14EB"/>
    <w:rsid w:val="00507DFC"/>
    <w:rsid w:val="005467E7"/>
    <w:rsid w:val="00697755"/>
    <w:rsid w:val="006C027D"/>
    <w:rsid w:val="00780AF5"/>
    <w:rsid w:val="00780C5A"/>
    <w:rsid w:val="00791E9F"/>
    <w:rsid w:val="00822763"/>
    <w:rsid w:val="00971121"/>
    <w:rsid w:val="0099283F"/>
    <w:rsid w:val="00AF6147"/>
    <w:rsid w:val="00C66B77"/>
    <w:rsid w:val="00C771E9"/>
    <w:rsid w:val="00C87A83"/>
    <w:rsid w:val="00D64378"/>
    <w:rsid w:val="00D92105"/>
    <w:rsid w:val="00ED53D0"/>
    <w:rsid w:val="00EE54C1"/>
    <w:rsid w:val="00FA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0C954"/>
  <w15:chartTrackingRefBased/>
  <w15:docId w15:val="{1AF8BE95-012D-411D-8333-0E53B45D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1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F6147"/>
    <w:pPr>
      <w:spacing w:line="240" w:lineRule="auto"/>
    </w:pPr>
    <w:rPr>
      <w:sz w:val="20"/>
      <w:szCs w:val="20"/>
    </w:rPr>
  </w:style>
  <w:style w:type="character" w:customStyle="1" w:styleId="CommentTextChar">
    <w:name w:val="Comment Text Char"/>
    <w:basedOn w:val="DefaultParagraphFont"/>
    <w:link w:val="CommentText"/>
    <w:uiPriority w:val="99"/>
    <w:semiHidden/>
    <w:rsid w:val="00AF6147"/>
    <w:rPr>
      <w:rFonts w:ascii="Calibri" w:eastAsia="Calibri" w:hAnsi="Calibri" w:cs="Times New Roman"/>
      <w:sz w:val="20"/>
      <w:szCs w:val="20"/>
    </w:rPr>
  </w:style>
  <w:style w:type="paragraph" w:styleId="ListNumber">
    <w:name w:val="List Number"/>
    <w:basedOn w:val="Normal"/>
    <w:semiHidden/>
    <w:unhideWhenUsed/>
    <w:rsid w:val="00AF6147"/>
    <w:pPr>
      <w:spacing w:after="120" w:line="48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80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AF5"/>
    <w:rPr>
      <w:rFonts w:ascii="Calibri" w:eastAsia="Calibri" w:hAnsi="Calibri" w:cs="Times New Roman"/>
    </w:rPr>
  </w:style>
  <w:style w:type="paragraph" w:styleId="Footer">
    <w:name w:val="footer"/>
    <w:basedOn w:val="Normal"/>
    <w:link w:val="FooterChar"/>
    <w:uiPriority w:val="99"/>
    <w:unhideWhenUsed/>
    <w:rsid w:val="00780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AF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3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Harvell, Diane</cp:lastModifiedBy>
  <cp:revision>19</cp:revision>
  <dcterms:created xsi:type="dcterms:W3CDTF">2018-12-20T16:53:00Z</dcterms:created>
  <dcterms:modified xsi:type="dcterms:W3CDTF">2018-12-20T17:26:00Z</dcterms:modified>
</cp:coreProperties>
</file>