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83256" w14:textId="77777777" w:rsidR="00ED69D5" w:rsidRPr="001E0F20" w:rsidRDefault="00ED69D5" w:rsidP="00DE6AB3">
      <w:pPr>
        <w:widowControl/>
        <w:tabs>
          <w:tab w:val="center" w:pos="4680"/>
        </w:tabs>
        <w:contextualSpacing/>
        <w:jc w:val="center"/>
        <w:rPr>
          <w:b/>
          <w:sz w:val="26"/>
          <w:szCs w:val="26"/>
        </w:rPr>
      </w:pPr>
      <w:r w:rsidRPr="001E0F20">
        <w:rPr>
          <w:b/>
          <w:sz w:val="26"/>
          <w:szCs w:val="26"/>
        </w:rPr>
        <w:t>PENNSYLVANIA</w:t>
      </w:r>
    </w:p>
    <w:p w14:paraId="01D00FFF" w14:textId="77777777" w:rsidR="00ED69D5" w:rsidRPr="001E0F20" w:rsidRDefault="00ED69D5" w:rsidP="00DE6AB3">
      <w:pPr>
        <w:widowControl/>
        <w:tabs>
          <w:tab w:val="center" w:pos="4680"/>
        </w:tabs>
        <w:contextualSpacing/>
        <w:jc w:val="center"/>
        <w:rPr>
          <w:sz w:val="26"/>
          <w:szCs w:val="26"/>
        </w:rPr>
      </w:pPr>
      <w:r w:rsidRPr="001E0F20">
        <w:rPr>
          <w:b/>
          <w:sz w:val="26"/>
          <w:szCs w:val="26"/>
        </w:rPr>
        <w:t>PUBLIC UTILITY COMMISSION</w:t>
      </w:r>
    </w:p>
    <w:p w14:paraId="26025BC4" w14:textId="77777777" w:rsidR="00ED69D5" w:rsidRPr="001E0F20" w:rsidRDefault="00ED69D5" w:rsidP="00DE6AB3">
      <w:pPr>
        <w:widowControl/>
        <w:tabs>
          <w:tab w:val="center" w:pos="4680"/>
        </w:tabs>
        <w:contextualSpacing/>
        <w:jc w:val="center"/>
        <w:rPr>
          <w:sz w:val="26"/>
          <w:szCs w:val="26"/>
        </w:rPr>
      </w:pPr>
      <w:r w:rsidRPr="001E0F20">
        <w:rPr>
          <w:b/>
          <w:sz w:val="26"/>
          <w:szCs w:val="26"/>
        </w:rPr>
        <w:t>Harrisburg, PA 17105-3265</w:t>
      </w:r>
    </w:p>
    <w:p w14:paraId="4387358A" w14:textId="77777777" w:rsidR="00ED69D5" w:rsidRPr="001E0F20" w:rsidRDefault="00ED69D5" w:rsidP="00DE6AB3">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ED69D5" w:rsidRPr="001E0F20" w14:paraId="4CFAD62A" w14:textId="77777777" w:rsidTr="00BD119B">
        <w:tc>
          <w:tcPr>
            <w:tcW w:w="4878" w:type="dxa"/>
          </w:tcPr>
          <w:p w14:paraId="351DB69E" w14:textId="77777777" w:rsidR="00ED69D5" w:rsidRPr="001E0F20" w:rsidRDefault="00ED69D5" w:rsidP="00DE6AB3">
            <w:pPr>
              <w:widowControl/>
              <w:contextualSpacing/>
              <w:rPr>
                <w:sz w:val="26"/>
                <w:szCs w:val="26"/>
              </w:rPr>
            </w:pPr>
          </w:p>
        </w:tc>
        <w:tc>
          <w:tcPr>
            <w:tcW w:w="4608" w:type="dxa"/>
            <w:hideMark/>
          </w:tcPr>
          <w:p w14:paraId="4FF389D0" w14:textId="77777777" w:rsidR="00ED69D5" w:rsidRPr="001E0F20" w:rsidRDefault="00ED69D5" w:rsidP="00DE6AB3">
            <w:pPr>
              <w:widowControl/>
              <w:contextualSpacing/>
              <w:jc w:val="right"/>
              <w:rPr>
                <w:sz w:val="26"/>
                <w:szCs w:val="26"/>
              </w:rPr>
            </w:pPr>
            <w:r w:rsidRPr="001E0F20">
              <w:rPr>
                <w:sz w:val="26"/>
                <w:szCs w:val="26"/>
              </w:rPr>
              <w:t xml:space="preserve">Public Meeting held </w:t>
            </w:r>
            <w:r w:rsidR="00F07174" w:rsidRPr="001E0F20">
              <w:rPr>
                <w:sz w:val="26"/>
                <w:szCs w:val="26"/>
              </w:rPr>
              <w:t xml:space="preserve">December </w:t>
            </w:r>
            <w:r w:rsidR="00A4497A" w:rsidRPr="001E0F20">
              <w:rPr>
                <w:sz w:val="26"/>
                <w:szCs w:val="26"/>
              </w:rPr>
              <w:t>20</w:t>
            </w:r>
            <w:r w:rsidRPr="001E0F20">
              <w:rPr>
                <w:sz w:val="26"/>
                <w:szCs w:val="26"/>
              </w:rPr>
              <w:t>, 2018</w:t>
            </w:r>
          </w:p>
        </w:tc>
      </w:tr>
      <w:tr w:rsidR="00ED69D5" w:rsidRPr="001E0F20" w14:paraId="2E060446" w14:textId="77777777" w:rsidTr="00BD119B">
        <w:tc>
          <w:tcPr>
            <w:tcW w:w="4878" w:type="dxa"/>
          </w:tcPr>
          <w:p w14:paraId="4DF6EEC9" w14:textId="77777777" w:rsidR="00ED69D5" w:rsidRPr="001E0F20" w:rsidRDefault="00ED69D5" w:rsidP="00DE6AB3">
            <w:pPr>
              <w:widowControl/>
              <w:contextualSpacing/>
              <w:rPr>
                <w:sz w:val="26"/>
                <w:szCs w:val="26"/>
              </w:rPr>
            </w:pPr>
          </w:p>
          <w:p w14:paraId="15337395" w14:textId="77777777" w:rsidR="00ED69D5" w:rsidRPr="001E0F20" w:rsidRDefault="00ED69D5" w:rsidP="00DE6AB3">
            <w:pPr>
              <w:widowControl/>
              <w:contextualSpacing/>
              <w:rPr>
                <w:sz w:val="26"/>
                <w:szCs w:val="26"/>
              </w:rPr>
            </w:pPr>
            <w:r w:rsidRPr="001E0F20">
              <w:rPr>
                <w:sz w:val="26"/>
                <w:szCs w:val="26"/>
              </w:rPr>
              <w:t>Commissioners Present:</w:t>
            </w:r>
          </w:p>
          <w:p w14:paraId="71E5D772" w14:textId="77777777" w:rsidR="00ED69D5" w:rsidRPr="001E0F20" w:rsidRDefault="00ED69D5" w:rsidP="00DE6AB3">
            <w:pPr>
              <w:widowControl/>
              <w:contextualSpacing/>
              <w:rPr>
                <w:sz w:val="26"/>
                <w:szCs w:val="26"/>
              </w:rPr>
            </w:pPr>
          </w:p>
          <w:p w14:paraId="198712B9" w14:textId="77777777" w:rsidR="00ED69D5" w:rsidRPr="001E0F20" w:rsidRDefault="00ED69D5" w:rsidP="00DE6AB3">
            <w:pPr>
              <w:widowControl/>
              <w:tabs>
                <w:tab w:val="left" w:pos="-720"/>
              </w:tabs>
              <w:ind w:left="720"/>
              <w:contextualSpacing/>
              <w:rPr>
                <w:sz w:val="26"/>
                <w:szCs w:val="26"/>
              </w:rPr>
            </w:pPr>
            <w:r w:rsidRPr="001E0F20">
              <w:rPr>
                <w:sz w:val="26"/>
                <w:szCs w:val="26"/>
              </w:rPr>
              <w:t>Gladys M. Brown, Chairman</w:t>
            </w:r>
          </w:p>
          <w:p w14:paraId="6DE602AB" w14:textId="77777777" w:rsidR="00ED69D5" w:rsidRPr="001E0F20" w:rsidRDefault="00ED69D5" w:rsidP="00DE6AB3">
            <w:pPr>
              <w:widowControl/>
              <w:tabs>
                <w:tab w:val="left" w:pos="-720"/>
              </w:tabs>
              <w:ind w:left="720"/>
              <w:contextualSpacing/>
              <w:rPr>
                <w:sz w:val="26"/>
                <w:szCs w:val="26"/>
              </w:rPr>
            </w:pPr>
            <w:r w:rsidRPr="001E0F20">
              <w:rPr>
                <w:sz w:val="26"/>
                <w:szCs w:val="26"/>
              </w:rPr>
              <w:t>Andrew G. Place, Vice Chairman</w:t>
            </w:r>
          </w:p>
          <w:p w14:paraId="2C01548E" w14:textId="42DE14FB" w:rsidR="00ED69D5" w:rsidRPr="001E0F20" w:rsidRDefault="00ED69D5" w:rsidP="00DE6AB3">
            <w:pPr>
              <w:widowControl/>
              <w:tabs>
                <w:tab w:val="left" w:pos="-720"/>
              </w:tabs>
              <w:ind w:left="720"/>
              <w:contextualSpacing/>
              <w:rPr>
                <w:sz w:val="26"/>
                <w:szCs w:val="26"/>
              </w:rPr>
            </w:pPr>
            <w:r w:rsidRPr="001E0F20">
              <w:rPr>
                <w:sz w:val="26"/>
                <w:szCs w:val="26"/>
              </w:rPr>
              <w:t>Norman J. Kennard</w:t>
            </w:r>
            <w:r w:rsidR="00D44E67">
              <w:rPr>
                <w:sz w:val="26"/>
                <w:szCs w:val="26"/>
              </w:rPr>
              <w:t>, Statement</w:t>
            </w:r>
          </w:p>
          <w:p w14:paraId="4A159DEF" w14:textId="77777777" w:rsidR="00ED69D5" w:rsidRPr="001E0F20" w:rsidRDefault="00ED69D5" w:rsidP="00DE6AB3">
            <w:pPr>
              <w:widowControl/>
              <w:tabs>
                <w:tab w:val="left" w:pos="-720"/>
              </w:tabs>
              <w:ind w:left="720"/>
              <w:contextualSpacing/>
              <w:rPr>
                <w:sz w:val="26"/>
                <w:szCs w:val="26"/>
              </w:rPr>
            </w:pPr>
            <w:r w:rsidRPr="001E0F20">
              <w:rPr>
                <w:sz w:val="26"/>
                <w:szCs w:val="26"/>
              </w:rPr>
              <w:t>David W. Sweet</w:t>
            </w:r>
          </w:p>
          <w:p w14:paraId="3A58A534" w14:textId="77777777" w:rsidR="00ED69D5" w:rsidRPr="001E0F20" w:rsidRDefault="00ED69D5" w:rsidP="00DE6AB3">
            <w:pPr>
              <w:widowControl/>
              <w:tabs>
                <w:tab w:val="left" w:pos="-720"/>
              </w:tabs>
              <w:ind w:left="720"/>
              <w:contextualSpacing/>
              <w:rPr>
                <w:sz w:val="26"/>
                <w:szCs w:val="26"/>
              </w:rPr>
            </w:pPr>
            <w:r w:rsidRPr="001E0F20">
              <w:rPr>
                <w:sz w:val="26"/>
                <w:szCs w:val="26"/>
              </w:rPr>
              <w:t xml:space="preserve">John F. Coleman, Jr. </w:t>
            </w:r>
          </w:p>
          <w:p w14:paraId="75C68B63" w14:textId="77777777" w:rsidR="00ED69D5" w:rsidRPr="001E0F20" w:rsidRDefault="00ED69D5" w:rsidP="00DE6AB3">
            <w:pPr>
              <w:widowControl/>
              <w:contextualSpacing/>
              <w:rPr>
                <w:sz w:val="26"/>
                <w:szCs w:val="26"/>
              </w:rPr>
            </w:pPr>
          </w:p>
        </w:tc>
        <w:tc>
          <w:tcPr>
            <w:tcW w:w="4608" w:type="dxa"/>
          </w:tcPr>
          <w:p w14:paraId="5CDE4A73" w14:textId="77777777" w:rsidR="00ED69D5" w:rsidRPr="001E0F20" w:rsidRDefault="00ED69D5" w:rsidP="00DE6AB3">
            <w:pPr>
              <w:widowControl/>
              <w:contextualSpacing/>
              <w:jc w:val="right"/>
              <w:rPr>
                <w:sz w:val="26"/>
                <w:szCs w:val="26"/>
              </w:rPr>
            </w:pPr>
          </w:p>
          <w:p w14:paraId="56DB16C9" w14:textId="77777777" w:rsidR="00ED69D5" w:rsidRPr="001E0F20" w:rsidRDefault="00ED69D5" w:rsidP="00DE6AB3">
            <w:pPr>
              <w:widowControl/>
              <w:contextualSpacing/>
              <w:jc w:val="right"/>
              <w:rPr>
                <w:sz w:val="26"/>
                <w:szCs w:val="26"/>
              </w:rPr>
            </w:pPr>
          </w:p>
        </w:tc>
      </w:tr>
      <w:tr w:rsidR="00ED69D5" w:rsidRPr="001E0F20" w14:paraId="11128924" w14:textId="77777777" w:rsidTr="00BD119B">
        <w:tc>
          <w:tcPr>
            <w:tcW w:w="4878" w:type="dxa"/>
          </w:tcPr>
          <w:p w14:paraId="37DEB072" w14:textId="77777777" w:rsidR="00ED69D5" w:rsidRPr="001E0F20" w:rsidRDefault="00ED69D5" w:rsidP="00DE6AB3">
            <w:pPr>
              <w:widowControl/>
              <w:contextualSpacing/>
              <w:rPr>
                <w:sz w:val="26"/>
                <w:szCs w:val="26"/>
              </w:rPr>
            </w:pPr>
          </w:p>
          <w:p w14:paraId="7523D609" w14:textId="77777777" w:rsidR="00ED69D5" w:rsidRPr="001E0F20" w:rsidRDefault="00ED69D5" w:rsidP="00DE6AB3">
            <w:pPr>
              <w:widowControl/>
              <w:contextualSpacing/>
              <w:rPr>
                <w:sz w:val="26"/>
                <w:szCs w:val="26"/>
              </w:rPr>
            </w:pPr>
            <w:r w:rsidRPr="001E0F20">
              <w:rPr>
                <w:sz w:val="26"/>
                <w:szCs w:val="26"/>
              </w:rPr>
              <w:t>Kenneth McLean</w:t>
            </w:r>
          </w:p>
          <w:p w14:paraId="7AD70230" w14:textId="77777777" w:rsidR="00ED69D5" w:rsidRPr="001E0F20" w:rsidRDefault="00ED69D5" w:rsidP="00DE6AB3">
            <w:pPr>
              <w:widowControl/>
              <w:contextualSpacing/>
              <w:rPr>
                <w:sz w:val="26"/>
                <w:szCs w:val="26"/>
              </w:rPr>
            </w:pPr>
          </w:p>
        </w:tc>
        <w:tc>
          <w:tcPr>
            <w:tcW w:w="4608" w:type="dxa"/>
            <w:hideMark/>
          </w:tcPr>
          <w:p w14:paraId="257BF36F" w14:textId="77777777" w:rsidR="00ED69D5" w:rsidRPr="001E0F20" w:rsidRDefault="00ED69D5" w:rsidP="00DE6AB3">
            <w:pPr>
              <w:widowControl/>
              <w:contextualSpacing/>
              <w:jc w:val="right"/>
              <w:rPr>
                <w:sz w:val="26"/>
                <w:szCs w:val="26"/>
              </w:rPr>
            </w:pPr>
          </w:p>
          <w:p w14:paraId="1F36B6E1" w14:textId="77777777" w:rsidR="00ED69D5" w:rsidRPr="001E0F20" w:rsidRDefault="00ED69D5" w:rsidP="00DE6AB3">
            <w:pPr>
              <w:widowControl/>
              <w:contextualSpacing/>
              <w:jc w:val="right"/>
              <w:rPr>
                <w:sz w:val="26"/>
                <w:szCs w:val="26"/>
              </w:rPr>
            </w:pPr>
            <w:r w:rsidRPr="001E0F20">
              <w:rPr>
                <w:sz w:val="26"/>
                <w:szCs w:val="26"/>
              </w:rPr>
              <w:t>C-2016-2539492</w:t>
            </w:r>
          </w:p>
        </w:tc>
      </w:tr>
      <w:tr w:rsidR="00ED69D5" w:rsidRPr="001E0F20" w14:paraId="696A9E4E" w14:textId="77777777" w:rsidTr="00BD119B">
        <w:tc>
          <w:tcPr>
            <w:tcW w:w="4878" w:type="dxa"/>
          </w:tcPr>
          <w:p w14:paraId="0F23F4C9" w14:textId="77777777" w:rsidR="00ED69D5" w:rsidRPr="001E0F20" w:rsidRDefault="00ED69D5" w:rsidP="00DE6AB3">
            <w:pPr>
              <w:widowControl/>
              <w:ind w:firstLine="720"/>
              <w:contextualSpacing/>
              <w:rPr>
                <w:sz w:val="26"/>
                <w:szCs w:val="26"/>
              </w:rPr>
            </w:pPr>
            <w:r w:rsidRPr="001E0F20">
              <w:rPr>
                <w:sz w:val="26"/>
                <w:szCs w:val="26"/>
              </w:rPr>
              <w:t xml:space="preserve">       v.</w:t>
            </w:r>
          </w:p>
          <w:p w14:paraId="71727A2A" w14:textId="77777777" w:rsidR="00ED69D5" w:rsidRPr="001E0F20" w:rsidRDefault="00ED69D5" w:rsidP="00DE6AB3">
            <w:pPr>
              <w:widowControl/>
              <w:ind w:firstLine="1440"/>
              <w:contextualSpacing/>
              <w:rPr>
                <w:sz w:val="26"/>
                <w:szCs w:val="26"/>
              </w:rPr>
            </w:pPr>
          </w:p>
        </w:tc>
        <w:tc>
          <w:tcPr>
            <w:tcW w:w="4608" w:type="dxa"/>
          </w:tcPr>
          <w:p w14:paraId="4FC59179" w14:textId="77777777" w:rsidR="00ED69D5" w:rsidRPr="001E0F20" w:rsidRDefault="00ED69D5" w:rsidP="00DE6AB3">
            <w:pPr>
              <w:widowControl/>
              <w:contextualSpacing/>
              <w:rPr>
                <w:sz w:val="26"/>
                <w:szCs w:val="26"/>
              </w:rPr>
            </w:pPr>
          </w:p>
        </w:tc>
      </w:tr>
      <w:tr w:rsidR="00ED69D5" w:rsidRPr="001E0F20" w14:paraId="19DC6997" w14:textId="77777777" w:rsidTr="00BD119B">
        <w:tc>
          <w:tcPr>
            <w:tcW w:w="4878" w:type="dxa"/>
          </w:tcPr>
          <w:p w14:paraId="3A47FDE3" w14:textId="77777777" w:rsidR="00ED69D5" w:rsidRPr="001E0F20" w:rsidRDefault="00ED69D5" w:rsidP="00DE6AB3">
            <w:pPr>
              <w:widowControl/>
              <w:contextualSpacing/>
              <w:rPr>
                <w:sz w:val="26"/>
                <w:szCs w:val="26"/>
              </w:rPr>
            </w:pPr>
            <w:r w:rsidRPr="001E0F20">
              <w:rPr>
                <w:sz w:val="26"/>
                <w:szCs w:val="26"/>
              </w:rPr>
              <w:t>Philadelphia Gas Works</w:t>
            </w:r>
          </w:p>
          <w:p w14:paraId="76E3C85A" w14:textId="77777777" w:rsidR="00ED69D5" w:rsidRPr="001E0F20" w:rsidRDefault="00ED69D5" w:rsidP="00DE6AB3">
            <w:pPr>
              <w:widowControl/>
              <w:contextualSpacing/>
              <w:rPr>
                <w:sz w:val="26"/>
                <w:szCs w:val="26"/>
              </w:rPr>
            </w:pPr>
          </w:p>
        </w:tc>
        <w:tc>
          <w:tcPr>
            <w:tcW w:w="4608" w:type="dxa"/>
          </w:tcPr>
          <w:p w14:paraId="1B8A0B33" w14:textId="77777777" w:rsidR="00ED69D5" w:rsidRPr="001E0F20" w:rsidRDefault="00ED69D5" w:rsidP="00DE6AB3">
            <w:pPr>
              <w:widowControl/>
              <w:contextualSpacing/>
              <w:rPr>
                <w:sz w:val="26"/>
                <w:szCs w:val="26"/>
              </w:rPr>
            </w:pPr>
          </w:p>
        </w:tc>
      </w:tr>
    </w:tbl>
    <w:p w14:paraId="37CB72F7" w14:textId="77777777" w:rsidR="00ED69D5" w:rsidRPr="001E0F20" w:rsidRDefault="00ED69D5" w:rsidP="00DE6AB3">
      <w:pPr>
        <w:widowControl/>
        <w:contextualSpacing/>
        <w:rPr>
          <w:sz w:val="26"/>
          <w:szCs w:val="26"/>
        </w:rPr>
      </w:pPr>
    </w:p>
    <w:p w14:paraId="13062E8C" w14:textId="77777777" w:rsidR="00ED69D5" w:rsidRPr="001E0F20" w:rsidRDefault="00ED69D5" w:rsidP="00DE6AB3">
      <w:pPr>
        <w:widowControl/>
        <w:contextualSpacing/>
        <w:jc w:val="center"/>
        <w:rPr>
          <w:b/>
          <w:sz w:val="26"/>
          <w:szCs w:val="26"/>
        </w:rPr>
      </w:pPr>
      <w:r w:rsidRPr="001E0F20">
        <w:rPr>
          <w:b/>
          <w:sz w:val="26"/>
          <w:szCs w:val="26"/>
        </w:rPr>
        <w:t>OPINION AND ORDER</w:t>
      </w:r>
    </w:p>
    <w:p w14:paraId="6F3468E7" w14:textId="77777777" w:rsidR="00ED69D5" w:rsidRPr="001E0F20" w:rsidRDefault="00ED69D5" w:rsidP="00DE6AB3">
      <w:pPr>
        <w:widowControl/>
        <w:contextualSpacing/>
        <w:rPr>
          <w:sz w:val="26"/>
          <w:szCs w:val="26"/>
        </w:rPr>
      </w:pPr>
    </w:p>
    <w:p w14:paraId="48A96106" w14:textId="77777777" w:rsidR="00ED69D5" w:rsidRPr="001E0F20" w:rsidRDefault="00ED69D5" w:rsidP="00DE6AB3">
      <w:pPr>
        <w:keepNext/>
        <w:widowControl/>
        <w:spacing w:line="360" w:lineRule="auto"/>
        <w:contextualSpacing/>
        <w:rPr>
          <w:b/>
          <w:sz w:val="26"/>
          <w:szCs w:val="26"/>
        </w:rPr>
      </w:pPr>
      <w:r w:rsidRPr="001E0F20">
        <w:rPr>
          <w:b/>
          <w:sz w:val="26"/>
          <w:szCs w:val="26"/>
        </w:rPr>
        <w:t>BY THE COMMISSION:</w:t>
      </w:r>
    </w:p>
    <w:p w14:paraId="24FC0DCE" w14:textId="77777777" w:rsidR="00ED69D5" w:rsidRPr="001E0F20" w:rsidRDefault="00ED69D5" w:rsidP="00DE6AB3">
      <w:pPr>
        <w:widowControl/>
        <w:spacing w:line="360" w:lineRule="auto"/>
        <w:contextualSpacing/>
        <w:rPr>
          <w:b/>
          <w:sz w:val="26"/>
          <w:szCs w:val="26"/>
        </w:rPr>
      </w:pPr>
    </w:p>
    <w:p w14:paraId="74AA5D84" w14:textId="77777777" w:rsidR="00ED69D5" w:rsidRPr="001E0F20" w:rsidRDefault="00ED69D5" w:rsidP="00DE6AB3">
      <w:pPr>
        <w:widowControl/>
        <w:spacing w:line="360" w:lineRule="auto"/>
        <w:ind w:firstLine="1440"/>
        <w:contextualSpacing/>
        <w:rPr>
          <w:sz w:val="26"/>
          <w:szCs w:val="26"/>
        </w:rPr>
      </w:pPr>
      <w:r w:rsidRPr="001E0F20">
        <w:rPr>
          <w:sz w:val="26"/>
          <w:szCs w:val="26"/>
        </w:rPr>
        <w:t xml:space="preserve">Before the Pennsylvania Public Utility Commission (Commission) for consideration and disposition </w:t>
      </w:r>
      <w:r w:rsidR="002D39DF" w:rsidRPr="001E0F20">
        <w:rPr>
          <w:color w:val="000000"/>
          <w:sz w:val="26"/>
          <w:szCs w:val="26"/>
        </w:rPr>
        <w:t xml:space="preserve">is </w:t>
      </w:r>
      <w:r w:rsidR="00D51D70" w:rsidRPr="001E0F20">
        <w:rPr>
          <w:color w:val="000000"/>
          <w:sz w:val="26"/>
          <w:szCs w:val="26"/>
        </w:rPr>
        <w:t>the Notice of Appeal, Nunc P</w:t>
      </w:r>
      <w:r w:rsidR="006424B4" w:rsidRPr="001E0F20">
        <w:rPr>
          <w:color w:val="000000"/>
          <w:sz w:val="26"/>
          <w:szCs w:val="26"/>
        </w:rPr>
        <w:t xml:space="preserve">ro </w:t>
      </w:r>
      <w:r w:rsidR="00D51D70" w:rsidRPr="001E0F20">
        <w:rPr>
          <w:color w:val="000000"/>
          <w:sz w:val="26"/>
          <w:szCs w:val="26"/>
        </w:rPr>
        <w:t>T</w:t>
      </w:r>
      <w:r w:rsidR="006424B4" w:rsidRPr="001E0F20">
        <w:rPr>
          <w:color w:val="000000"/>
          <w:sz w:val="26"/>
          <w:szCs w:val="26"/>
        </w:rPr>
        <w:t>unc (Petition) of Kenneth McLean (</w:t>
      </w:r>
      <w:r w:rsidR="006424B4" w:rsidRPr="001E0F20">
        <w:rPr>
          <w:rFonts w:eastAsiaTheme="minorHAnsi"/>
          <w:color w:val="000000"/>
          <w:sz w:val="26"/>
          <w:szCs w:val="26"/>
        </w:rPr>
        <w:t xml:space="preserve">Mr. McLean or </w:t>
      </w:r>
      <w:r w:rsidR="006424B4" w:rsidRPr="001E0F20">
        <w:rPr>
          <w:color w:val="000000"/>
          <w:sz w:val="26"/>
          <w:szCs w:val="26"/>
        </w:rPr>
        <w:t>Petitioner)</w:t>
      </w:r>
      <w:r w:rsidR="002D39DF" w:rsidRPr="001E0F20">
        <w:rPr>
          <w:color w:val="000000"/>
          <w:sz w:val="26"/>
          <w:szCs w:val="26"/>
        </w:rPr>
        <w:t xml:space="preserve"> </w:t>
      </w:r>
      <w:r w:rsidR="006424B4" w:rsidRPr="001E0F20">
        <w:rPr>
          <w:color w:val="000000"/>
          <w:sz w:val="26"/>
          <w:szCs w:val="26"/>
        </w:rPr>
        <w:t>filed on February 8</w:t>
      </w:r>
      <w:r w:rsidRPr="001E0F20">
        <w:rPr>
          <w:color w:val="000000"/>
          <w:sz w:val="26"/>
          <w:szCs w:val="26"/>
        </w:rPr>
        <w:t>, 201</w:t>
      </w:r>
      <w:r w:rsidR="002D39DF" w:rsidRPr="001E0F20">
        <w:rPr>
          <w:color w:val="000000"/>
          <w:sz w:val="26"/>
          <w:szCs w:val="26"/>
        </w:rPr>
        <w:t>8</w:t>
      </w:r>
      <w:r w:rsidRPr="001E0F20">
        <w:rPr>
          <w:color w:val="000000"/>
          <w:sz w:val="26"/>
          <w:szCs w:val="26"/>
        </w:rPr>
        <w:t xml:space="preserve">, </w:t>
      </w:r>
      <w:r w:rsidR="006424B4" w:rsidRPr="001E0F20">
        <w:rPr>
          <w:color w:val="000000"/>
          <w:sz w:val="26"/>
          <w:szCs w:val="26"/>
        </w:rPr>
        <w:t xml:space="preserve">in the above-captioned proceeding.  </w:t>
      </w:r>
      <w:r w:rsidR="005C0378" w:rsidRPr="001E0F20">
        <w:rPr>
          <w:color w:val="000000"/>
          <w:sz w:val="26"/>
          <w:szCs w:val="26"/>
        </w:rPr>
        <w:t xml:space="preserve">In his filing, </w:t>
      </w:r>
      <w:r w:rsidR="006424B4" w:rsidRPr="001E0F20">
        <w:rPr>
          <w:color w:val="000000"/>
          <w:sz w:val="26"/>
          <w:szCs w:val="26"/>
        </w:rPr>
        <w:t>Petitioner is</w:t>
      </w:r>
      <w:r w:rsidRPr="001E0F20">
        <w:rPr>
          <w:rFonts w:eastAsiaTheme="minorHAnsi"/>
          <w:color w:val="000000"/>
          <w:sz w:val="26"/>
          <w:szCs w:val="26"/>
        </w:rPr>
        <w:t xml:space="preserve"> </w:t>
      </w:r>
      <w:r w:rsidR="006424B4" w:rsidRPr="001E0F20">
        <w:rPr>
          <w:rFonts w:eastAsiaTheme="minorHAnsi"/>
          <w:color w:val="000000"/>
          <w:sz w:val="26"/>
          <w:szCs w:val="26"/>
        </w:rPr>
        <w:t>“</w:t>
      </w:r>
      <w:r w:rsidR="002D39DF" w:rsidRPr="001E0F20">
        <w:rPr>
          <w:rFonts w:eastAsiaTheme="minorHAnsi"/>
          <w:color w:val="000000"/>
          <w:sz w:val="26"/>
          <w:szCs w:val="26"/>
        </w:rPr>
        <w:t>seeking to nullify</w:t>
      </w:r>
      <w:r w:rsidR="006424B4" w:rsidRPr="001E0F20">
        <w:rPr>
          <w:rFonts w:eastAsiaTheme="minorHAnsi"/>
          <w:color w:val="000000"/>
          <w:sz w:val="26"/>
          <w:szCs w:val="26"/>
        </w:rPr>
        <w:t>”</w:t>
      </w:r>
      <w:r w:rsidR="002D39DF" w:rsidRPr="001E0F20">
        <w:rPr>
          <w:rFonts w:eastAsiaTheme="minorHAnsi"/>
          <w:color w:val="000000"/>
          <w:sz w:val="26"/>
          <w:szCs w:val="26"/>
        </w:rPr>
        <w:t xml:space="preserve"> </w:t>
      </w:r>
      <w:r w:rsidRPr="001E0F20">
        <w:rPr>
          <w:color w:val="000000"/>
          <w:sz w:val="26"/>
          <w:szCs w:val="26"/>
        </w:rPr>
        <w:t>the</w:t>
      </w:r>
      <w:r w:rsidR="002D39DF" w:rsidRPr="001E0F20">
        <w:rPr>
          <w:color w:val="000000"/>
          <w:sz w:val="26"/>
          <w:szCs w:val="26"/>
        </w:rPr>
        <w:t xml:space="preserve"> Commission’s Opinion and Order entered on November 13</w:t>
      </w:r>
      <w:r w:rsidRPr="001E0F20">
        <w:rPr>
          <w:color w:val="000000"/>
          <w:sz w:val="26"/>
          <w:szCs w:val="26"/>
        </w:rPr>
        <w:t>, 2017</w:t>
      </w:r>
      <w:r w:rsidR="00D51D70" w:rsidRPr="001E0F20">
        <w:rPr>
          <w:color w:val="000000"/>
          <w:sz w:val="26"/>
          <w:szCs w:val="26"/>
        </w:rPr>
        <w:t>,</w:t>
      </w:r>
      <w:r w:rsidR="006424B4" w:rsidRPr="001E0F20">
        <w:rPr>
          <w:color w:val="000000"/>
          <w:sz w:val="26"/>
          <w:szCs w:val="26"/>
        </w:rPr>
        <w:t xml:space="preserve"> in the above-captioned proceeding</w:t>
      </w:r>
      <w:r w:rsidR="002D39DF" w:rsidRPr="001E0F20">
        <w:rPr>
          <w:color w:val="000000"/>
          <w:sz w:val="26"/>
          <w:szCs w:val="26"/>
        </w:rPr>
        <w:t xml:space="preserve"> (</w:t>
      </w:r>
      <w:r w:rsidR="002D39DF" w:rsidRPr="001E0F20">
        <w:rPr>
          <w:i/>
          <w:color w:val="000000"/>
          <w:sz w:val="26"/>
          <w:szCs w:val="26"/>
        </w:rPr>
        <w:t>November 2017 Order</w:t>
      </w:r>
      <w:r w:rsidR="002D39DF" w:rsidRPr="001E0F20">
        <w:rPr>
          <w:color w:val="000000"/>
          <w:sz w:val="26"/>
          <w:szCs w:val="26"/>
        </w:rPr>
        <w:t>)</w:t>
      </w:r>
      <w:r w:rsidR="006424B4" w:rsidRPr="001E0F20">
        <w:rPr>
          <w:color w:val="000000"/>
          <w:sz w:val="26"/>
          <w:szCs w:val="26"/>
        </w:rPr>
        <w:t>.</w:t>
      </w:r>
      <w:r w:rsidR="00385C96" w:rsidRPr="001E0F20">
        <w:rPr>
          <w:rStyle w:val="FootnoteReference"/>
          <w:color w:val="000000"/>
          <w:sz w:val="26"/>
          <w:szCs w:val="26"/>
        </w:rPr>
        <w:footnoteReference w:id="2"/>
      </w:r>
      <w:r w:rsidRPr="001E0F20">
        <w:rPr>
          <w:color w:val="000000"/>
          <w:sz w:val="26"/>
          <w:szCs w:val="26"/>
        </w:rPr>
        <w:t xml:space="preserve"> </w:t>
      </w:r>
      <w:r w:rsidR="00D51D70" w:rsidRPr="001E0F20">
        <w:rPr>
          <w:color w:val="000000"/>
          <w:sz w:val="26"/>
          <w:szCs w:val="26"/>
        </w:rPr>
        <w:t xml:space="preserve"> </w:t>
      </w:r>
      <w:r w:rsidRPr="001E0F20">
        <w:rPr>
          <w:color w:val="000000"/>
          <w:sz w:val="26"/>
          <w:szCs w:val="26"/>
        </w:rPr>
        <w:t xml:space="preserve">On </w:t>
      </w:r>
      <w:r w:rsidR="002D39DF" w:rsidRPr="001E0F20">
        <w:rPr>
          <w:color w:val="000000"/>
          <w:sz w:val="26"/>
          <w:szCs w:val="26"/>
        </w:rPr>
        <w:t xml:space="preserve">February </w:t>
      </w:r>
      <w:r w:rsidR="006424B4" w:rsidRPr="001E0F20">
        <w:rPr>
          <w:color w:val="000000"/>
          <w:sz w:val="26"/>
          <w:szCs w:val="26"/>
        </w:rPr>
        <w:t>7</w:t>
      </w:r>
      <w:r w:rsidRPr="001E0F20">
        <w:rPr>
          <w:color w:val="000000"/>
          <w:sz w:val="26"/>
          <w:szCs w:val="26"/>
        </w:rPr>
        <w:t>, 201</w:t>
      </w:r>
      <w:r w:rsidR="006424B4" w:rsidRPr="001E0F20">
        <w:rPr>
          <w:color w:val="000000"/>
          <w:sz w:val="26"/>
          <w:szCs w:val="26"/>
        </w:rPr>
        <w:t>8</w:t>
      </w:r>
      <w:r w:rsidRPr="001E0F20">
        <w:rPr>
          <w:color w:val="000000"/>
          <w:sz w:val="26"/>
          <w:szCs w:val="26"/>
        </w:rPr>
        <w:t xml:space="preserve">, Philadelphia Gas Works (PGW) </w:t>
      </w:r>
      <w:r w:rsidR="006424B4" w:rsidRPr="001E0F20">
        <w:rPr>
          <w:color w:val="000000"/>
          <w:sz w:val="26"/>
          <w:szCs w:val="26"/>
        </w:rPr>
        <w:t xml:space="preserve">filed </w:t>
      </w:r>
      <w:r w:rsidR="004727E0" w:rsidRPr="001E0F20">
        <w:rPr>
          <w:color w:val="000000"/>
          <w:sz w:val="26"/>
          <w:szCs w:val="26"/>
        </w:rPr>
        <w:t>its</w:t>
      </w:r>
      <w:r w:rsidR="006424B4" w:rsidRPr="001E0F20">
        <w:rPr>
          <w:color w:val="000000"/>
          <w:sz w:val="26"/>
          <w:szCs w:val="26"/>
        </w:rPr>
        <w:t xml:space="preserve"> Answer to the Petition</w:t>
      </w:r>
      <w:r w:rsidRPr="001E0F20">
        <w:rPr>
          <w:color w:val="000000"/>
          <w:sz w:val="26"/>
          <w:szCs w:val="26"/>
        </w:rPr>
        <w:t xml:space="preserve">.  </w:t>
      </w:r>
      <w:r w:rsidRPr="001E0F20">
        <w:rPr>
          <w:sz w:val="26"/>
          <w:szCs w:val="26"/>
        </w:rPr>
        <w:t>For the reasons discussed below, we shall deny the Petition</w:t>
      </w:r>
      <w:r w:rsidR="006424B4" w:rsidRPr="001E0F20">
        <w:rPr>
          <w:sz w:val="26"/>
          <w:szCs w:val="26"/>
        </w:rPr>
        <w:t xml:space="preserve"> and mark this proceeding closed.</w:t>
      </w:r>
    </w:p>
    <w:p w14:paraId="46D28E4F" w14:textId="77777777" w:rsidR="00ED69D5" w:rsidRPr="001E0F20" w:rsidRDefault="00ED69D5" w:rsidP="00DE6AB3">
      <w:pPr>
        <w:widowControl/>
        <w:spacing w:line="360" w:lineRule="auto"/>
        <w:contextualSpacing/>
        <w:jc w:val="center"/>
        <w:rPr>
          <w:color w:val="212121"/>
          <w:sz w:val="26"/>
          <w:szCs w:val="26"/>
        </w:rPr>
      </w:pPr>
      <w:bookmarkStart w:id="0" w:name="OLE_LINK1"/>
      <w:bookmarkStart w:id="1" w:name="OLE_LINK2"/>
    </w:p>
    <w:p w14:paraId="16AA4232" w14:textId="77777777" w:rsidR="00ED69D5" w:rsidRPr="001E0F20" w:rsidRDefault="00D26314" w:rsidP="00DE6AB3">
      <w:pPr>
        <w:keepNext/>
        <w:keepLines/>
        <w:widowControl/>
        <w:spacing w:line="360" w:lineRule="auto"/>
        <w:contextualSpacing/>
        <w:jc w:val="center"/>
        <w:rPr>
          <w:b/>
          <w:sz w:val="26"/>
          <w:szCs w:val="26"/>
        </w:rPr>
      </w:pPr>
      <w:r w:rsidRPr="001E0F20">
        <w:rPr>
          <w:b/>
          <w:sz w:val="26"/>
          <w:szCs w:val="26"/>
        </w:rPr>
        <w:t>I.</w:t>
      </w:r>
      <w:r w:rsidRPr="001E0F20">
        <w:rPr>
          <w:b/>
          <w:sz w:val="26"/>
          <w:szCs w:val="26"/>
        </w:rPr>
        <w:tab/>
      </w:r>
      <w:r w:rsidR="00ED69D5" w:rsidRPr="001E0F20">
        <w:rPr>
          <w:b/>
          <w:sz w:val="26"/>
          <w:szCs w:val="26"/>
        </w:rPr>
        <w:t>History of the Proceeding</w:t>
      </w:r>
    </w:p>
    <w:p w14:paraId="1CBA354F" w14:textId="77777777" w:rsidR="00ED69D5" w:rsidRPr="001E0F20" w:rsidRDefault="00ED69D5" w:rsidP="00DE6AB3">
      <w:pPr>
        <w:keepNext/>
        <w:keepLines/>
        <w:widowControl/>
        <w:spacing w:line="360" w:lineRule="auto"/>
        <w:ind w:firstLine="1440"/>
        <w:jc w:val="center"/>
        <w:rPr>
          <w:b/>
          <w:sz w:val="26"/>
          <w:szCs w:val="26"/>
        </w:rPr>
      </w:pPr>
    </w:p>
    <w:bookmarkEnd w:id="0"/>
    <w:bookmarkEnd w:id="1"/>
    <w:p w14:paraId="2E9BD391" w14:textId="77777777" w:rsidR="006424B4" w:rsidRPr="001E0F20" w:rsidRDefault="006424B4" w:rsidP="00864A7E">
      <w:pPr>
        <w:widowControl/>
        <w:spacing w:line="360" w:lineRule="auto"/>
        <w:ind w:firstLine="1440"/>
        <w:rPr>
          <w:sz w:val="26"/>
          <w:szCs w:val="26"/>
        </w:rPr>
      </w:pPr>
      <w:r w:rsidRPr="001E0F20">
        <w:rPr>
          <w:sz w:val="26"/>
          <w:szCs w:val="26"/>
        </w:rPr>
        <w:t xml:space="preserve">On March 29, 2016, Mr. McLean filed a Formal Complaint (Complaint) with the Commission challenging his responsibility for payment of an outstanding balance from a previous natural gas account that was originally opened in the name of his father, Thomas McLean.  </w:t>
      </w:r>
      <w:r w:rsidR="00D93EB6" w:rsidRPr="001E0F20">
        <w:rPr>
          <w:sz w:val="26"/>
          <w:szCs w:val="26"/>
        </w:rPr>
        <w:t>In his Complaint, Mr. McLean</w:t>
      </w:r>
      <w:r w:rsidRPr="001E0F20">
        <w:rPr>
          <w:sz w:val="26"/>
          <w:szCs w:val="26"/>
        </w:rPr>
        <w:t xml:space="preserve"> alleged that although he was born and grew up at the service address, he never lived or stayed at the property from 2011 until he moved in around December 2014.</w:t>
      </w:r>
      <w:r w:rsidRPr="001E0F20">
        <w:rPr>
          <w:rStyle w:val="FootnoteReference"/>
          <w:sz w:val="26"/>
          <w:szCs w:val="26"/>
        </w:rPr>
        <w:footnoteReference w:id="3"/>
      </w:r>
      <w:r w:rsidRPr="001E0F20">
        <w:rPr>
          <w:sz w:val="26"/>
          <w:szCs w:val="26"/>
        </w:rPr>
        <w:t xml:space="preserve">  I.D. at 2, Tr. at 33, 35-36.  </w:t>
      </w:r>
      <w:r w:rsidR="00D93EB6" w:rsidRPr="001E0F20">
        <w:rPr>
          <w:sz w:val="26"/>
          <w:szCs w:val="26"/>
        </w:rPr>
        <w:t xml:space="preserve">He </w:t>
      </w:r>
      <w:r w:rsidRPr="001E0F20">
        <w:rPr>
          <w:sz w:val="26"/>
          <w:szCs w:val="26"/>
        </w:rPr>
        <w:t xml:space="preserve">also averred that from 2012 to December 2014 he did not have a permanent address and was homeless.  I.D. at 3; Tr. at 18, 34.  As such, </w:t>
      </w:r>
      <w:r w:rsidR="00D93EB6" w:rsidRPr="001E0F20">
        <w:rPr>
          <w:sz w:val="26"/>
          <w:szCs w:val="26"/>
        </w:rPr>
        <w:t>Mr. McLean</w:t>
      </w:r>
      <w:r w:rsidRPr="001E0F20">
        <w:rPr>
          <w:sz w:val="26"/>
          <w:szCs w:val="26"/>
        </w:rPr>
        <w:t xml:space="preserve"> argued</w:t>
      </w:r>
      <w:r w:rsidR="00D93EB6" w:rsidRPr="001E0F20">
        <w:rPr>
          <w:sz w:val="26"/>
          <w:szCs w:val="26"/>
        </w:rPr>
        <w:t xml:space="preserve"> in his Complaint</w:t>
      </w:r>
      <w:r w:rsidRPr="001E0F20">
        <w:rPr>
          <w:sz w:val="26"/>
          <w:szCs w:val="26"/>
        </w:rPr>
        <w:t xml:space="preserve"> that PGW improperly transferred a balance of $1,541.49, which accrued at the service address from January 18, 2012, until February 23, 2015, to his name.</w:t>
      </w:r>
    </w:p>
    <w:p w14:paraId="2B104089" w14:textId="77777777" w:rsidR="006424B4" w:rsidRPr="001E0F20" w:rsidRDefault="006424B4" w:rsidP="00864A7E">
      <w:pPr>
        <w:widowControl/>
        <w:spacing w:line="360" w:lineRule="auto"/>
        <w:ind w:firstLine="1440"/>
        <w:rPr>
          <w:sz w:val="26"/>
          <w:szCs w:val="26"/>
        </w:rPr>
      </w:pPr>
    </w:p>
    <w:p w14:paraId="29889FF6" w14:textId="77777777" w:rsidR="006424B4" w:rsidRPr="001E0F20" w:rsidRDefault="006424B4" w:rsidP="00864A7E">
      <w:pPr>
        <w:widowControl/>
        <w:spacing w:line="360" w:lineRule="auto"/>
        <w:ind w:firstLine="1440"/>
        <w:rPr>
          <w:spacing w:val="-3"/>
          <w:sz w:val="26"/>
          <w:szCs w:val="26"/>
        </w:rPr>
      </w:pPr>
      <w:r w:rsidRPr="001E0F20">
        <w:rPr>
          <w:sz w:val="26"/>
          <w:szCs w:val="26"/>
        </w:rPr>
        <w:t xml:space="preserve">On May 2, 2016, PGW filed an Answer denying that there were incorrect charges on the </w:t>
      </w:r>
      <w:r w:rsidR="00D93EB6" w:rsidRPr="001E0F20">
        <w:rPr>
          <w:sz w:val="26"/>
          <w:szCs w:val="26"/>
        </w:rPr>
        <w:t>Petitioner</w:t>
      </w:r>
      <w:r w:rsidRPr="001E0F20">
        <w:rPr>
          <w:sz w:val="26"/>
          <w:szCs w:val="26"/>
        </w:rPr>
        <w:t xml:space="preserve">’s bill.  PGW argued that </w:t>
      </w:r>
      <w:r w:rsidR="00D93EB6" w:rsidRPr="001E0F20">
        <w:rPr>
          <w:sz w:val="26"/>
          <w:szCs w:val="26"/>
        </w:rPr>
        <w:t>Mr. McLean</w:t>
      </w:r>
      <w:r w:rsidRPr="001E0F20">
        <w:rPr>
          <w:sz w:val="26"/>
          <w:szCs w:val="26"/>
        </w:rPr>
        <w:t xml:space="preserve"> resided at the service address during the time when the disputed balance accrued based on a consumer credit report which does not indicate any other address for the </w:t>
      </w:r>
      <w:r w:rsidR="00D93EB6" w:rsidRPr="001E0F20">
        <w:rPr>
          <w:sz w:val="26"/>
          <w:szCs w:val="26"/>
        </w:rPr>
        <w:t>Petitioner</w:t>
      </w:r>
      <w:r w:rsidRPr="001E0F20">
        <w:rPr>
          <w:sz w:val="26"/>
          <w:szCs w:val="26"/>
        </w:rPr>
        <w:t xml:space="preserve"> since 1986</w:t>
      </w:r>
      <w:r w:rsidRPr="001E0F20">
        <w:rPr>
          <w:spacing w:val="-3"/>
          <w:sz w:val="26"/>
          <w:szCs w:val="26"/>
        </w:rPr>
        <w:t xml:space="preserve">.  I.D. at 3; Tr. at 71, 83-84.  Additionally, PGW argued that its customer contact records include a notation whereby </w:t>
      </w:r>
      <w:r w:rsidR="00D93EB6" w:rsidRPr="001E0F20">
        <w:rPr>
          <w:spacing w:val="-3"/>
          <w:sz w:val="26"/>
          <w:szCs w:val="26"/>
        </w:rPr>
        <w:t>Mr. McLean</w:t>
      </w:r>
      <w:r w:rsidRPr="001E0F20">
        <w:rPr>
          <w:spacing w:val="-3"/>
          <w:sz w:val="26"/>
          <w:szCs w:val="26"/>
        </w:rPr>
        <w:t xml:space="preserve"> himself “confirmed he has always lived at the property.”  PGW Ex. 1 at 5.  As</w:t>
      </w:r>
      <w:r w:rsidR="00D93EB6" w:rsidRPr="001E0F20">
        <w:rPr>
          <w:spacing w:val="-3"/>
          <w:sz w:val="26"/>
          <w:szCs w:val="26"/>
        </w:rPr>
        <w:t xml:space="preserve"> such, PGW requested that the</w:t>
      </w:r>
      <w:r w:rsidRPr="001E0F20">
        <w:rPr>
          <w:spacing w:val="-3"/>
          <w:sz w:val="26"/>
          <w:szCs w:val="26"/>
        </w:rPr>
        <w:t xml:space="preserve"> Complaint be dismissed.</w:t>
      </w:r>
    </w:p>
    <w:p w14:paraId="796D7230" w14:textId="77777777" w:rsidR="006424B4" w:rsidRPr="001E0F20" w:rsidRDefault="006424B4" w:rsidP="00864A7E">
      <w:pPr>
        <w:widowControl/>
        <w:spacing w:line="360" w:lineRule="auto"/>
        <w:ind w:firstLine="1440"/>
        <w:rPr>
          <w:spacing w:val="-3"/>
          <w:sz w:val="26"/>
          <w:szCs w:val="26"/>
        </w:rPr>
      </w:pPr>
    </w:p>
    <w:p w14:paraId="76C282C3" w14:textId="77777777" w:rsidR="006424B4" w:rsidRPr="001E0F20" w:rsidRDefault="006424B4" w:rsidP="00864A7E">
      <w:pPr>
        <w:widowControl/>
        <w:spacing w:line="360" w:lineRule="auto"/>
        <w:ind w:firstLine="1440"/>
        <w:rPr>
          <w:sz w:val="26"/>
          <w:szCs w:val="26"/>
        </w:rPr>
      </w:pPr>
      <w:r w:rsidRPr="001E0F20">
        <w:rPr>
          <w:sz w:val="26"/>
          <w:szCs w:val="26"/>
        </w:rPr>
        <w:t xml:space="preserve">On June 15, 2016, the ALJ conducted a telephonic hearing in this matter.  </w:t>
      </w:r>
      <w:r w:rsidR="0092698A" w:rsidRPr="001E0F20">
        <w:rPr>
          <w:sz w:val="26"/>
          <w:szCs w:val="26"/>
        </w:rPr>
        <w:t>Mr. McLean</w:t>
      </w:r>
      <w:r w:rsidRPr="001E0F20">
        <w:rPr>
          <w:sz w:val="26"/>
          <w:szCs w:val="26"/>
        </w:rPr>
        <w:t xml:space="preserve"> appeared </w:t>
      </w:r>
      <w:r w:rsidRPr="001E0F20">
        <w:rPr>
          <w:i/>
          <w:sz w:val="26"/>
          <w:szCs w:val="26"/>
        </w:rPr>
        <w:t>pro se</w:t>
      </w:r>
      <w:r w:rsidRPr="001E0F20">
        <w:rPr>
          <w:sz w:val="26"/>
          <w:szCs w:val="26"/>
        </w:rPr>
        <w:t xml:space="preserve"> and testified on his own behalf.  PGW was represented by counsel.  PGW presented the testimony of one witness, Adrian Crawford, and presented five exhibits which were admitted into </w:t>
      </w:r>
      <w:r w:rsidR="0092698A" w:rsidRPr="001E0F20">
        <w:rPr>
          <w:sz w:val="26"/>
          <w:szCs w:val="26"/>
        </w:rPr>
        <w:t>the record.  The record consisted</w:t>
      </w:r>
      <w:r w:rsidRPr="001E0F20">
        <w:rPr>
          <w:sz w:val="26"/>
          <w:szCs w:val="26"/>
        </w:rPr>
        <w:t xml:space="preserve"> of PGW’s </w:t>
      </w:r>
      <w:r w:rsidRPr="001E0F20">
        <w:rPr>
          <w:sz w:val="26"/>
          <w:szCs w:val="26"/>
        </w:rPr>
        <w:lastRenderedPageBreak/>
        <w:t>Exhibits Nos. 1-4 and 6, as well as a 108-page transcript.  The record was closed on July</w:t>
      </w:r>
      <w:r w:rsidR="0090257C" w:rsidRPr="001E0F20">
        <w:rPr>
          <w:sz w:val="26"/>
          <w:szCs w:val="26"/>
        </w:rPr>
        <w:t> </w:t>
      </w:r>
      <w:r w:rsidRPr="001E0F20">
        <w:rPr>
          <w:sz w:val="26"/>
          <w:szCs w:val="26"/>
        </w:rPr>
        <w:t>25, 2016.</w:t>
      </w:r>
    </w:p>
    <w:p w14:paraId="1F1F5F43" w14:textId="77777777" w:rsidR="006424B4" w:rsidRPr="001E0F20" w:rsidRDefault="006424B4" w:rsidP="00864A7E">
      <w:pPr>
        <w:widowControl/>
        <w:spacing w:line="360" w:lineRule="auto"/>
        <w:ind w:firstLine="1440"/>
        <w:rPr>
          <w:sz w:val="26"/>
          <w:szCs w:val="26"/>
        </w:rPr>
      </w:pPr>
    </w:p>
    <w:p w14:paraId="119660E3" w14:textId="77777777" w:rsidR="006424B4" w:rsidRPr="001E0F20" w:rsidRDefault="006424B4" w:rsidP="00864A7E">
      <w:pPr>
        <w:widowControl/>
        <w:tabs>
          <w:tab w:val="left" w:pos="-1440"/>
          <w:tab w:val="left" w:pos="-720"/>
        </w:tabs>
        <w:suppressAutoHyphens/>
        <w:spacing w:line="360" w:lineRule="auto"/>
        <w:ind w:firstLine="1440"/>
        <w:rPr>
          <w:color w:val="000000"/>
          <w:sz w:val="26"/>
          <w:szCs w:val="26"/>
        </w:rPr>
      </w:pPr>
      <w:r w:rsidRPr="001E0F20">
        <w:rPr>
          <w:sz w:val="26"/>
          <w:szCs w:val="26"/>
        </w:rPr>
        <w:t xml:space="preserve">On </w:t>
      </w:r>
      <w:r w:rsidRPr="001E0F20">
        <w:rPr>
          <w:color w:val="000000"/>
          <w:sz w:val="26"/>
          <w:szCs w:val="26"/>
        </w:rPr>
        <w:t xml:space="preserve">September 29, 2016, the Commission issued ALJ Long’s Initial Decision which recommended that the Complaint be partially sustained </w:t>
      </w:r>
      <w:r w:rsidR="0090257C" w:rsidRPr="001E0F20">
        <w:rPr>
          <w:color w:val="000000"/>
          <w:sz w:val="26"/>
          <w:szCs w:val="26"/>
        </w:rPr>
        <w:t>because</w:t>
      </w:r>
      <w:r w:rsidRPr="001E0F20">
        <w:rPr>
          <w:color w:val="000000"/>
          <w:sz w:val="26"/>
          <w:szCs w:val="26"/>
        </w:rPr>
        <w:t xml:space="preserve"> PGW did not properly transfer </w:t>
      </w:r>
      <w:r w:rsidR="0090257C" w:rsidRPr="001E0F20">
        <w:rPr>
          <w:color w:val="000000"/>
          <w:sz w:val="26"/>
          <w:szCs w:val="26"/>
        </w:rPr>
        <w:t xml:space="preserve">to Mr. McLean, </w:t>
      </w:r>
      <w:r w:rsidRPr="001E0F20">
        <w:rPr>
          <w:color w:val="000000"/>
          <w:sz w:val="26"/>
          <w:szCs w:val="26"/>
        </w:rPr>
        <w:t>the balance of the former ratepayer at the service address which accrued from January 18, 2012, to December 2014</w:t>
      </w:r>
      <w:r w:rsidR="0090257C" w:rsidRPr="001E0F20">
        <w:rPr>
          <w:color w:val="000000"/>
          <w:sz w:val="26"/>
          <w:szCs w:val="26"/>
        </w:rPr>
        <w:t>.</w:t>
      </w:r>
      <w:r w:rsidRPr="001E0F20">
        <w:rPr>
          <w:color w:val="000000"/>
          <w:sz w:val="26"/>
          <w:szCs w:val="26"/>
        </w:rPr>
        <w:t xml:space="preserve">  I.D. at 7.  However, because </w:t>
      </w:r>
      <w:r w:rsidR="0092698A" w:rsidRPr="001E0F20">
        <w:rPr>
          <w:color w:val="000000"/>
          <w:sz w:val="26"/>
          <w:szCs w:val="26"/>
        </w:rPr>
        <w:t>Mr. McLean had</w:t>
      </w:r>
      <w:r w:rsidRPr="001E0F20">
        <w:rPr>
          <w:color w:val="000000"/>
          <w:sz w:val="26"/>
          <w:szCs w:val="26"/>
        </w:rPr>
        <w:t xml:space="preserve"> admitted that he moved into the service address around December 2014, the ALJ found that </w:t>
      </w:r>
      <w:r w:rsidR="0092698A" w:rsidRPr="001E0F20">
        <w:rPr>
          <w:color w:val="000000"/>
          <w:sz w:val="26"/>
          <w:szCs w:val="26"/>
        </w:rPr>
        <w:t>he</w:t>
      </w:r>
      <w:r w:rsidRPr="001E0F20">
        <w:rPr>
          <w:color w:val="000000"/>
          <w:sz w:val="26"/>
          <w:szCs w:val="26"/>
        </w:rPr>
        <w:t xml:space="preserve"> was responsible for any charges </w:t>
      </w:r>
      <w:r w:rsidR="0090257C" w:rsidRPr="001E0F20">
        <w:rPr>
          <w:color w:val="000000"/>
          <w:sz w:val="26"/>
          <w:szCs w:val="26"/>
        </w:rPr>
        <w:t>that</w:t>
      </w:r>
      <w:r w:rsidRPr="001E0F20">
        <w:rPr>
          <w:color w:val="000000"/>
          <w:sz w:val="26"/>
          <w:szCs w:val="26"/>
        </w:rPr>
        <w:t xml:space="preserve"> accrued from December 1, 2014, until the time </w:t>
      </w:r>
      <w:r w:rsidR="0092698A" w:rsidRPr="001E0F20">
        <w:rPr>
          <w:color w:val="000000"/>
          <w:sz w:val="26"/>
          <w:szCs w:val="26"/>
        </w:rPr>
        <w:t>he</w:t>
      </w:r>
      <w:r w:rsidRPr="001E0F20">
        <w:rPr>
          <w:color w:val="000000"/>
          <w:sz w:val="26"/>
          <w:szCs w:val="26"/>
        </w:rPr>
        <w:t xml:space="preserve"> contacted PGW to have service placed in his name on February 20, 2015.  I.D. at 7-8.</w:t>
      </w:r>
    </w:p>
    <w:p w14:paraId="510FAC3F" w14:textId="77777777" w:rsidR="006424B4" w:rsidRPr="001E0F20" w:rsidRDefault="006424B4" w:rsidP="00864A7E">
      <w:pPr>
        <w:widowControl/>
        <w:spacing w:line="360" w:lineRule="auto"/>
        <w:ind w:firstLine="1440"/>
        <w:rPr>
          <w:color w:val="000000"/>
          <w:sz w:val="26"/>
          <w:szCs w:val="26"/>
        </w:rPr>
      </w:pPr>
    </w:p>
    <w:p w14:paraId="614FC72C" w14:textId="77777777" w:rsidR="006424B4" w:rsidRPr="001E0F20" w:rsidRDefault="006424B4" w:rsidP="00864A7E">
      <w:pPr>
        <w:widowControl/>
        <w:spacing w:line="360" w:lineRule="auto"/>
        <w:ind w:firstLine="1440"/>
        <w:rPr>
          <w:color w:val="000000"/>
          <w:sz w:val="26"/>
          <w:szCs w:val="26"/>
        </w:rPr>
      </w:pPr>
      <w:r w:rsidRPr="001E0F20">
        <w:rPr>
          <w:color w:val="000000"/>
          <w:sz w:val="26"/>
          <w:szCs w:val="26"/>
        </w:rPr>
        <w:t xml:space="preserve">PGW filed Exceptions to the Initial Decision on October 19, 2016, and </w:t>
      </w:r>
      <w:r w:rsidR="0092698A" w:rsidRPr="001E0F20">
        <w:rPr>
          <w:color w:val="000000"/>
          <w:sz w:val="26"/>
          <w:szCs w:val="26"/>
        </w:rPr>
        <w:t>Mr. McLean</w:t>
      </w:r>
      <w:r w:rsidRPr="001E0F20">
        <w:rPr>
          <w:color w:val="000000"/>
          <w:sz w:val="26"/>
          <w:szCs w:val="26"/>
        </w:rPr>
        <w:t xml:space="preserve"> filed Replies to Exceptions on November 1, 2016.</w:t>
      </w:r>
    </w:p>
    <w:p w14:paraId="4C98DE77" w14:textId="77777777" w:rsidR="004E3EC9" w:rsidRPr="001E0F20" w:rsidRDefault="004E3EC9" w:rsidP="00864A7E">
      <w:pPr>
        <w:widowControl/>
        <w:spacing w:line="360" w:lineRule="auto"/>
        <w:ind w:firstLine="1440"/>
        <w:rPr>
          <w:color w:val="000000"/>
          <w:sz w:val="26"/>
          <w:szCs w:val="26"/>
        </w:rPr>
      </w:pPr>
    </w:p>
    <w:p w14:paraId="1F9B6242" w14:textId="30FA8069" w:rsidR="00CE5CB5" w:rsidRPr="001E0F20" w:rsidRDefault="00F31A49" w:rsidP="00864A7E">
      <w:pPr>
        <w:widowControl/>
        <w:spacing w:line="360" w:lineRule="auto"/>
        <w:ind w:firstLine="1440"/>
        <w:rPr>
          <w:sz w:val="26"/>
          <w:szCs w:val="26"/>
        </w:rPr>
      </w:pPr>
      <w:r w:rsidRPr="001E0F20">
        <w:rPr>
          <w:color w:val="000000"/>
          <w:sz w:val="26"/>
          <w:szCs w:val="26"/>
        </w:rPr>
        <w:t xml:space="preserve">On November 13, 2017, the Commission entered the </w:t>
      </w:r>
      <w:r w:rsidRPr="001E0F20">
        <w:rPr>
          <w:i/>
          <w:color w:val="000000"/>
          <w:sz w:val="26"/>
          <w:szCs w:val="26"/>
        </w:rPr>
        <w:t xml:space="preserve">November 2017 Order </w:t>
      </w:r>
      <w:r w:rsidRPr="001E0F20">
        <w:rPr>
          <w:sz w:val="26"/>
          <w:szCs w:val="26"/>
        </w:rPr>
        <w:t xml:space="preserve">that </w:t>
      </w:r>
      <w:r w:rsidR="004727E0" w:rsidRPr="001E0F20">
        <w:rPr>
          <w:sz w:val="26"/>
          <w:szCs w:val="26"/>
        </w:rPr>
        <w:t>granted PGW’s Exceptions</w:t>
      </w:r>
      <w:r w:rsidRPr="001E0F20">
        <w:rPr>
          <w:sz w:val="26"/>
          <w:szCs w:val="26"/>
        </w:rPr>
        <w:t xml:space="preserve"> and reversed, in part, the ALJ’s Initial</w:t>
      </w:r>
      <w:r w:rsidR="006424B4" w:rsidRPr="001E0F20">
        <w:rPr>
          <w:sz w:val="26"/>
          <w:szCs w:val="26"/>
        </w:rPr>
        <w:t xml:space="preserve"> Decision to the extent it determined that PGW did not properly transfer </w:t>
      </w:r>
      <w:r w:rsidRPr="001E0F20">
        <w:rPr>
          <w:sz w:val="26"/>
          <w:szCs w:val="26"/>
        </w:rPr>
        <w:t xml:space="preserve">to Mr. McLean, </w:t>
      </w:r>
      <w:r w:rsidR="006424B4" w:rsidRPr="001E0F20">
        <w:rPr>
          <w:sz w:val="26"/>
          <w:szCs w:val="26"/>
        </w:rPr>
        <w:t>the balance of the former ratepayer at the service address which accrued from January 18, 2012, to December 1, 2014</w:t>
      </w:r>
      <w:r w:rsidRPr="001E0F20">
        <w:rPr>
          <w:sz w:val="26"/>
          <w:szCs w:val="26"/>
        </w:rPr>
        <w:t>.</w:t>
      </w:r>
      <w:r w:rsidR="006424B4" w:rsidRPr="001E0F20">
        <w:rPr>
          <w:sz w:val="26"/>
          <w:szCs w:val="26"/>
        </w:rPr>
        <w:t xml:space="preserve">  </w:t>
      </w:r>
      <w:r w:rsidR="00CE5CB5" w:rsidRPr="001E0F20">
        <w:rPr>
          <w:sz w:val="26"/>
          <w:szCs w:val="26"/>
        </w:rPr>
        <w:t>We concluded that Mr. McLean’s Complaint warranted a full dismissal because there was insufficient evidence to find that PGW violated the Public Utility Code</w:t>
      </w:r>
      <w:r w:rsidR="00707C9E" w:rsidRPr="001E0F20">
        <w:rPr>
          <w:sz w:val="26"/>
          <w:szCs w:val="26"/>
        </w:rPr>
        <w:t xml:space="preserve"> (the Code)</w:t>
      </w:r>
      <w:r w:rsidR="00CE5CB5" w:rsidRPr="001E0F20">
        <w:rPr>
          <w:sz w:val="26"/>
          <w:szCs w:val="26"/>
        </w:rPr>
        <w:t xml:space="preserve">, the Commission’s Regulations or Orders by holding him responsible for the payment of the former ratepayer’s balance from January 18, 2012, to December 1, 2014.  We also affirmed the ALJ’s Initial Decision to the extent it found no violation by PGW for holding Mr. McLean responsible for charges </w:t>
      </w:r>
      <w:r w:rsidRPr="001E0F20">
        <w:rPr>
          <w:sz w:val="26"/>
          <w:szCs w:val="26"/>
        </w:rPr>
        <w:t>that</w:t>
      </w:r>
      <w:r w:rsidR="00CE5CB5" w:rsidRPr="001E0F20">
        <w:rPr>
          <w:sz w:val="26"/>
          <w:szCs w:val="26"/>
        </w:rPr>
        <w:t xml:space="preserve"> accrued to the service address from December 1, 2014, when he moved into the service address, until </w:t>
      </w:r>
      <w:r w:rsidRPr="001E0F20">
        <w:rPr>
          <w:sz w:val="26"/>
          <w:szCs w:val="26"/>
        </w:rPr>
        <w:t xml:space="preserve">February 20, 2015, when he </w:t>
      </w:r>
      <w:r w:rsidR="00CE5CB5" w:rsidRPr="001E0F20">
        <w:rPr>
          <w:sz w:val="26"/>
          <w:szCs w:val="26"/>
        </w:rPr>
        <w:t>contacted PGW to have service placed in his name</w:t>
      </w:r>
      <w:r w:rsidRPr="001E0F20">
        <w:rPr>
          <w:sz w:val="26"/>
          <w:szCs w:val="26"/>
        </w:rPr>
        <w:t>.</w:t>
      </w:r>
    </w:p>
    <w:p w14:paraId="27154E74" w14:textId="77777777" w:rsidR="004727E0" w:rsidRPr="001E0F20" w:rsidRDefault="004727E0" w:rsidP="00864A7E">
      <w:pPr>
        <w:keepNext/>
        <w:widowControl/>
        <w:spacing w:line="360" w:lineRule="auto"/>
        <w:ind w:firstLine="1440"/>
        <w:rPr>
          <w:sz w:val="26"/>
          <w:szCs w:val="26"/>
        </w:rPr>
      </w:pPr>
    </w:p>
    <w:p w14:paraId="776F6EC3" w14:textId="77777777" w:rsidR="00AC5573" w:rsidRPr="001E0F20" w:rsidRDefault="00F31A49" w:rsidP="00864A7E">
      <w:pPr>
        <w:widowControl/>
        <w:spacing w:line="360" w:lineRule="auto"/>
        <w:ind w:firstLine="1440"/>
        <w:rPr>
          <w:sz w:val="26"/>
          <w:szCs w:val="26"/>
        </w:rPr>
      </w:pPr>
      <w:r w:rsidRPr="001E0F20">
        <w:rPr>
          <w:sz w:val="26"/>
          <w:szCs w:val="26"/>
        </w:rPr>
        <w:t>As noted</w:t>
      </w:r>
      <w:r w:rsidR="00012EEE" w:rsidRPr="001E0F20">
        <w:rPr>
          <w:sz w:val="26"/>
          <w:szCs w:val="26"/>
        </w:rPr>
        <w:t>, Mr. McLean filed the instant Petition i</w:t>
      </w:r>
      <w:r w:rsidR="001417A1" w:rsidRPr="001E0F20">
        <w:rPr>
          <w:sz w:val="26"/>
          <w:szCs w:val="26"/>
        </w:rPr>
        <w:t xml:space="preserve">n response to the </w:t>
      </w:r>
      <w:r w:rsidR="00BC2197" w:rsidRPr="001E0F20">
        <w:rPr>
          <w:i/>
          <w:sz w:val="26"/>
          <w:szCs w:val="26"/>
        </w:rPr>
        <w:t>November 2017 Order</w:t>
      </w:r>
      <w:r w:rsidR="00012EEE" w:rsidRPr="001E0F20">
        <w:rPr>
          <w:sz w:val="26"/>
          <w:szCs w:val="26"/>
        </w:rPr>
        <w:t xml:space="preserve">. </w:t>
      </w:r>
      <w:r w:rsidR="001417A1" w:rsidRPr="001E0F20">
        <w:rPr>
          <w:sz w:val="26"/>
          <w:szCs w:val="26"/>
        </w:rPr>
        <w:t xml:space="preserve"> </w:t>
      </w:r>
      <w:r w:rsidR="00D53B61" w:rsidRPr="001E0F20">
        <w:rPr>
          <w:sz w:val="26"/>
          <w:szCs w:val="26"/>
        </w:rPr>
        <w:t xml:space="preserve">Although the </w:t>
      </w:r>
      <w:r w:rsidR="00AC5573" w:rsidRPr="001E0F20">
        <w:rPr>
          <w:sz w:val="26"/>
          <w:szCs w:val="26"/>
        </w:rPr>
        <w:t>Petition is dated January 26, 2018</w:t>
      </w:r>
      <w:r w:rsidR="001417A1" w:rsidRPr="001E0F20">
        <w:rPr>
          <w:sz w:val="26"/>
          <w:szCs w:val="26"/>
        </w:rPr>
        <w:t xml:space="preserve">, </w:t>
      </w:r>
      <w:r w:rsidR="00D53B61" w:rsidRPr="001E0F20">
        <w:rPr>
          <w:sz w:val="26"/>
          <w:szCs w:val="26"/>
        </w:rPr>
        <w:t>it</w:t>
      </w:r>
      <w:r w:rsidR="001417A1" w:rsidRPr="001E0F20">
        <w:rPr>
          <w:sz w:val="26"/>
          <w:szCs w:val="26"/>
        </w:rPr>
        <w:t xml:space="preserve"> </w:t>
      </w:r>
      <w:r w:rsidR="006D667B" w:rsidRPr="001E0F20">
        <w:rPr>
          <w:sz w:val="26"/>
          <w:szCs w:val="26"/>
        </w:rPr>
        <w:t>was deemed filed</w:t>
      </w:r>
      <w:r w:rsidR="00D53B61" w:rsidRPr="001E0F20">
        <w:rPr>
          <w:sz w:val="26"/>
          <w:szCs w:val="26"/>
        </w:rPr>
        <w:t xml:space="preserve"> with the Commission’s Secretary’s Bureau</w:t>
      </w:r>
      <w:r w:rsidR="006D667B" w:rsidRPr="001E0F20">
        <w:rPr>
          <w:sz w:val="26"/>
          <w:szCs w:val="26"/>
        </w:rPr>
        <w:t xml:space="preserve"> on</w:t>
      </w:r>
      <w:r w:rsidR="001417A1" w:rsidRPr="001E0F20">
        <w:rPr>
          <w:sz w:val="26"/>
          <w:szCs w:val="26"/>
        </w:rPr>
        <w:t xml:space="preserve"> February 8, 2018</w:t>
      </w:r>
      <w:r w:rsidR="002D27EA" w:rsidRPr="001E0F20">
        <w:rPr>
          <w:sz w:val="26"/>
          <w:szCs w:val="26"/>
        </w:rPr>
        <w:t xml:space="preserve">.  </w:t>
      </w:r>
      <w:r w:rsidR="007C005B" w:rsidRPr="001E0F20">
        <w:rPr>
          <w:sz w:val="26"/>
          <w:szCs w:val="26"/>
        </w:rPr>
        <w:t>On</w:t>
      </w:r>
      <w:r w:rsidR="00AC5573" w:rsidRPr="001E0F20">
        <w:rPr>
          <w:sz w:val="26"/>
          <w:szCs w:val="26"/>
        </w:rPr>
        <w:t xml:space="preserve"> February 2, 2018, the Secretary’s Bureau issued a letter to Mr. McLean explaining that the Petition was missing a verification as required under 52 Pa. Code § 1.36(a)</w:t>
      </w:r>
      <w:r w:rsidR="0031436C" w:rsidRPr="001E0F20">
        <w:rPr>
          <w:sz w:val="26"/>
          <w:szCs w:val="26"/>
        </w:rPr>
        <w:t xml:space="preserve"> and, therefore, it would not accept the filing</w:t>
      </w:r>
      <w:r w:rsidR="00AC5573" w:rsidRPr="001E0F20">
        <w:rPr>
          <w:sz w:val="26"/>
          <w:szCs w:val="26"/>
        </w:rPr>
        <w:t xml:space="preserve">.  </w:t>
      </w:r>
      <w:r w:rsidR="0031436C" w:rsidRPr="001E0F20">
        <w:rPr>
          <w:sz w:val="26"/>
          <w:szCs w:val="26"/>
        </w:rPr>
        <w:t>In a letter dated February 5, 2018, Mr. McLean a</w:t>
      </w:r>
      <w:r w:rsidR="00E218D3" w:rsidRPr="001E0F20">
        <w:rPr>
          <w:sz w:val="26"/>
          <w:szCs w:val="26"/>
        </w:rPr>
        <w:t xml:space="preserve">rgued </w:t>
      </w:r>
      <w:r w:rsidR="0031436C" w:rsidRPr="001E0F20">
        <w:rPr>
          <w:sz w:val="26"/>
          <w:szCs w:val="26"/>
        </w:rPr>
        <w:t xml:space="preserve">that a verification is unnecessary because he is a </w:t>
      </w:r>
      <w:r w:rsidR="0031436C" w:rsidRPr="001E0F20">
        <w:rPr>
          <w:i/>
          <w:sz w:val="26"/>
          <w:szCs w:val="26"/>
        </w:rPr>
        <w:t>pro se</w:t>
      </w:r>
      <w:r w:rsidR="0031436C" w:rsidRPr="001E0F20">
        <w:rPr>
          <w:sz w:val="26"/>
          <w:szCs w:val="26"/>
        </w:rPr>
        <w:t xml:space="preserve"> litigant</w:t>
      </w:r>
      <w:r w:rsidR="00012EEE" w:rsidRPr="001E0F20">
        <w:rPr>
          <w:sz w:val="26"/>
          <w:szCs w:val="26"/>
        </w:rPr>
        <w:t>,</w:t>
      </w:r>
      <w:r w:rsidR="0031436C" w:rsidRPr="001E0F20">
        <w:rPr>
          <w:sz w:val="26"/>
          <w:szCs w:val="26"/>
        </w:rPr>
        <w:t xml:space="preserve"> and the requirement </w:t>
      </w:r>
      <w:r w:rsidR="00356D68" w:rsidRPr="001E0F20">
        <w:rPr>
          <w:sz w:val="26"/>
          <w:szCs w:val="26"/>
        </w:rPr>
        <w:t>for a verification</w:t>
      </w:r>
      <w:r w:rsidR="0031436C" w:rsidRPr="001E0F20">
        <w:rPr>
          <w:sz w:val="26"/>
          <w:szCs w:val="26"/>
        </w:rPr>
        <w:t xml:space="preserve"> does not apply to an individual party litiga</w:t>
      </w:r>
      <w:r w:rsidR="00356D68" w:rsidRPr="001E0F20">
        <w:rPr>
          <w:sz w:val="26"/>
          <w:szCs w:val="26"/>
        </w:rPr>
        <w:t xml:space="preserve">nt. </w:t>
      </w:r>
      <w:r w:rsidR="0031436C" w:rsidRPr="001E0F20">
        <w:rPr>
          <w:sz w:val="26"/>
          <w:szCs w:val="26"/>
        </w:rPr>
        <w:t xml:space="preserve"> </w:t>
      </w:r>
      <w:r w:rsidR="00966A32" w:rsidRPr="001E0F20">
        <w:rPr>
          <w:sz w:val="26"/>
          <w:szCs w:val="26"/>
        </w:rPr>
        <w:t>Thereafter,</w:t>
      </w:r>
      <w:r w:rsidR="002D27EA" w:rsidRPr="001E0F20">
        <w:rPr>
          <w:sz w:val="26"/>
          <w:szCs w:val="26"/>
        </w:rPr>
        <w:t xml:space="preserve"> on February 8, 2018,</w:t>
      </w:r>
      <w:r w:rsidR="00966A32" w:rsidRPr="001E0F20">
        <w:rPr>
          <w:sz w:val="26"/>
          <w:szCs w:val="26"/>
        </w:rPr>
        <w:t xml:space="preserve"> </w:t>
      </w:r>
      <w:r w:rsidR="0031436C" w:rsidRPr="001E0F20">
        <w:rPr>
          <w:sz w:val="26"/>
          <w:szCs w:val="26"/>
        </w:rPr>
        <w:t>t</w:t>
      </w:r>
      <w:r w:rsidR="00AC5573" w:rsidRPr="001E0F20">
        <w:rPr>
          <w:sz w:val="26"/>
          <w:szCs w:val="26"/>
        </w:rPr>
        <w:t xml:space="preserve">he Secretary’s Bureau </w:t>
      </w:r>
      <w:r w:rsidR="0031436C" w:rsidRPr="001E0F20">
        <w:rPr>
          <w:sz w:val="26"/>
          <w:szCs w:val="26"/>
        </w:rPr>
        <w:t>accepted</w:t>
      </w:r>
      <w:r w:rsidR="006D667B" w:rsidRPr="001E0F20">
        <w:rPr>
          <w:sz w:val="26"/>
          <w:szCs w:val="26"/>
        </w:rPr>
        <w:t xml:space="preserve"> </w:t>
      </w:r>
      <w:r w:rsidR="002D27EA" w:rsidRPr="001E0F20">
        <w:rPr>
          <w:sz w:val="26"/>
          <w:szCs w:val="26"/>
        </w:rPr>
        <w:t>the</w:t>
      </w:r>
      <w:r w:rsidR="0031436C" w:rsidRPr="001E0F20">
        <w:rPr>
          <w:sz w:val="26"/>
          <w:szCs w:val="26"/>
        </w:rPr>
        <w:t xml:space="preserve"> </w:t>
      </w:r>
      <w:r w:rsidR="00966A32" w:rsidRPr="001E0F20">
        <w:rPr>
          <w:sz w:val="26"/>
          <w:szCs w:val="26"/>
        </w:rPr>
        <w:t>Petition</w:t>
      </w:r>
      <w:r w:rsidR="00D53B61" w:rsidRPr="001E0F20">
        <w:rPr>
          <w:sz w:val="26"/>
          <w:szCs w:val="26"/>
        </w:rPr>
        <w:t xml:space="preserve"> </w:t>
      </w:r>
      <w:proofErr w:type="spellStart"/>
      <w:r w:rsidR="00D53B61" w:rsidRPr="001E0F20">
        <w:rPr>
          <w:sz w:val="26"/>
          <w:szCs w:val="26"/>
        </w:rPr>
        <w:t>as</w:t>
      </w:r>
      <w:proofErr w:type="spellEnd"/>
      <w:r w:rsidR="00D53B61" w:rsidRPr="001E0F20">
        <w:rPr>
          <w:sz w:val="26"/>
          <w:szCs w:val="26"/>
        </w:rPr>
        <w:t xml:space="preserve"> filed</w:t>
      </w:r>
      <w:r w:rsidR="002D27EA" w:rsidRPr="001E0F20">
        <w:rPr>
          <w:sz w:val="26"/>
          <w:szCs w:val="26"/>
        </w:rPr>
        <w:t>.</w:t>
      </w:r>
    </w:p>
    <w:p w14:paraId="08F918A4" w14:textId="77777777" w:rsidR="007324AE" w:rsidRPr="001E0F20" w:rsidRDefault="007324AE" w:rsidP="00864A7E">
      <w:pPr>
        <w:widowControl/>
        <w:spacing w:line="360" w:lineRule="auto"/>
        <w:ind w:firstLine="1440"/>
        <w:rPr>
          <w:sz w:val="26"/>
          <w:szCs w:val="26"/>
        </w:rPr>
      </w:pPr>
    </w:p>
    <w:p w14:paraId="57331156" w14:textId="77777777" w:rsidR="007324AE" w:rsidRPr="001E0F20" w:rsidRDefault="007324AE" w:rsidP="00DE6AB3">
      <w:pPr>
        <w:widowControl/>
        <w:spacing w:line="360" w:lineRule="auto"/>
        <w:ind w:firstLine="1440"/>
        <w:contextualSpacing/>
        <w:rPr>
          <w:color w:val="000000"/>
          <w:sz w:val="26"/>
          <w:szCs w:val="26"/>
        </w:rPr>
      </w:pPr>
      <w:r w:rsidRPr="001E0F20">
        <w:rPr>
          <w:spacing w:val="-3"/>
          <w:sz w:val="26"/>
          <w:szCs w:val="26"/>
        </w:rPr>
        <w:t xml:space="preserve">The Petition is styled as a Notice of Appeal, </w:t>
      </w:r>
      <w:r w:rsidRPr="001E0F20">
        <w:rPr>
          <w:i/>
          <w:spacing w:val="-3"/>
          <w:sz w:val="26"/>
          <w:szCs w:val="26"/>
        </w:rPr>
        <w:t>Nunc Pro Tunc</w:t>
      </w:r>
      <w:r w:rsidRPr="001E0F20">
        <w:rPr>
          <w:spacing w:val="-3"/>
          <w:sz w:val="26"/>
          <w:szCs w:val="26"/>
        </w:rPr>
        <w:t xml:space="preserve">.  In the first sentence thereof, the Petitioner states he is “seeking to nullify” the Commission’s </w:t>
      </w:r>
      <w:r w:rsidR="00BC2197" w:rsidRPr="001E0F20">
        <w:rPr>
          <w:i/>
          <w:spacing w:val="-3"/>
          <w:sz w:val="26"/>
          <w:szCs w:val="26"/>
        </w:rPr>
        <w:t>November 2017 Order</w:t>
      </w:r>
      <w:r w:rsidRPr="001E0F20">
        <w:rPr>
          <w:spacing w:val="-3"/>
          <w:sz w:val="26"/>
          <w:szCs w:val="26"/>
        </w:rPr>
        <w:t>.  This statement is followed by nine numbered statements or paragraphs providing support for th</w:t>
      </w:r>
      <w:r w:rsidR="007C005B" w:rsidRPr="001E0F20">
        <w:rPr>
          <w:spacing w:val="-3"/>
          <w:sz w:val="26"/>
          <w:szCs w:val="26"/>
        </w:rPr>
        <w:t>e request for the Commission to “</w:t>
      </w:r>
      <w:r w:rsidRPr="001E0F20">
        <w:rPr>
          <w:spacing w:val="-3"/>
          <w:sz w:val="26"/>
          <w:szCs w:val="26"/>
        </w:rPr>
        <w:t xml:space="preserve">nullify” the </w:t>
      </w:r>
      <w:r w:rsidR="00BC2197" w:rsidRPr="001E0F20">
        <w:rPr>
          <w:i/>
          <w:spacing w:val="-3"/>
          <w:sz w:val="26"/>
          <w:szCs w:val="26"/>
        </w:rPr>
        <w:t>November 2017 Order</w:t>
      </w:r>
      <w:r w:rsidRPr="001E0F20">
        <w:rPr>
          <w:spacing w:val="-3"/>
          <w:sz w:val="26"/>
          <w:szCs w:val="26"/>
        </w:rPr>
        <w:t>.</w:t>
      </w:r>
    </w:p>
    <w:p w14:paraId="5D2CEE33" w14:textId="77777777" w:rsidR="00AC5573" w:rsidRPr="001E0F20" w:rsidRDefault="00AC5573" w:rsidP="00864A7E">
      <w:pPr>
        <w:widowControl/>
        <w:spacing w:line="360" w:lineRule="auto"/>
        <w:ind w:firstLine="1440"/>
        <w:rPr>
          <w:sz w:val="26"/>
          <w:szCs w:val="26"/>
        </w:rPr>
      </w:pPr>
    </w:p>
    <w:p w14:paraId="1D0D1289" w14:textId="28E2C14C" w:rsidR="00B107B5" w:rsidRPr="001E0F20" w:rsidRDefault="00AC5573" w:rsidP="00B107B5">
      <w:pPr>
        <w:widowControl/>
        <w:spacing w:line="360" w:lineRule="auto"/>
        <w:ind w:firstLine="1440"/>
        <w:rPr>
          <w:sz w:val="26"/>
          <w:szCs w:val="26"/>
        </w:rPr>
      </w:pPr>
      <w:r w:rsidRPr="001E0F20">
        <w:rPr>
          <w:sz w:val="26"/>
          <w:szCs w:val="26"/>
        </w:rPr>
        <w:t xml:space="preserve">PGW filed its Answer </w:t>
      </w:r>
      <w:r w:rsidR="001417A1" w:rsidRPr="001E0F20">
        <w:rPr>
          <w:sz w:val="26"/>
          <w:szCs w:val="26"/>
        </w:rPr>
        <w:t xml:space="preserve">to the Petition </w:t>
      </w:r>
      <w:r w:rsidRPr="001E0F20">
        <w:rPr>
          <w:sz w:val="26"/>
          <w:szCs w:val="26"/>
        </w:rPr>
        <w:t>on February 7, 2018.  As explained by PGW</w:t>
      </w:r>
      <w:r w:rsidR="00BD5826" w:rsidRPr="001E0F20">
        <w:rPr>
          <w:sz w:val="26"/>
          <w:szCs w:val="26"/>
        </w:rPr>
        <w:t xml:space="preserve"> in its Answer</w:t>
      </w:r>
      <w:r w:rsidRPr="001E0F20">
        <w:rPr>
          <w:sz w:val="26"/>
          <w:szCs w:val="26"/>
        </w:rPr>
        <w:t>, the Petition was served twice upon PGW.  Answer, n.1.  PGW averred that it received the first service of t</w:t>
      </w:r>
      <w:r w:rsidR="004E2B3F" w:rsidRPr="001E0F20">
        <w:rPr>
          <w:sz w:val="26"/>
          <w:szCs w:val="26"/>
        </w:rPr>
        <w:t xml:space="preserve">he Petition on January 30, 2018.  Accordingly, PGW </w:t>
      </w:r>
      <w:r w:rsidRPr="001E0F20">
        <w:rPr>
          <w:sz w:val="26"/>
          <w:szCs w:val="26"/>
        </w:rPr>
        <w:t xml:space="preserve">filed </w:t>
      </w:r>
      <w:r w:rsidR="00012EEE" w:rsidRPr="001E0F20">
        <w:rPr>
          <w:sz w:val="26"/>
          <w:szCs w:val="26"/>
        </w:rPr>
        <w:t xml:space="preserve">a timely </w:t>
      </w:r>
      <w:r w:rsidRPr="001E0F20">
        <w:rPr>
          <w:sz w:val="26"/>
          <w:szCs w:val="26"/>
        </w:rPr>
        <w:t>Answer on February 7, 2018, pursuant to our Regulat</w:t>
      </w:r>
      <w:r w:rsidR="004E2B3F" w:rsidRPr="001E0F20">
        <w:rPr>
          <w:sz w:val="26"/>
          <w:szCs w:val="26"/>
        </w:rPr>
        <w:t>ions at 52 Pa. Code § 5.572(e)</w:t>
      </w:r>
      <w:r w:rsidR="00A347A3" w:rsidRPr="001E0F20">
        <w:rPr>
          <w:sz w:val="26"/>
          <w:szCs w:val="26"/>
        </w:rPr>
        <w:t>,</w:t>
      </w:r>
      <w:r w:rsidR="004E2B3F" w:rsidRPr="001E0F20">
        <w:rPr>
          <w:sz w:val="26"/>
          <w:szCs w:val="26"/>
        </w:rPr>
        <w:t xml:space="preserve"> which requires an answer to a petition to be filed within ten days after service of such petition.</w:t>
      </w:r>
      <w:r w:rsidRPr="001E0F20">
        <w:rPr>
          <w:sz w:val="26"/>
          <w:szCs w:val="26"/>
        </w:rPr>
        <w:t xml:space="preserve">  Answer, n. 1.</w:t>
      </w:r>
      <w:r w:rsidR="00B107B5" w:rsidRPr="001E0F20">
        <w:rPr>
          <w:sz w:val="26"/>
          <w:szCs w:val="26"/>
        </w:rPr>
        <w:t xml:space="preserve">  </w:t>
      </w:r>
    </w:p>
    <w:p w14:paraId="1E1E4B77" w14:textId="77777777" w:rsidR="00AA4879" w:rsidRPr="001E0F20" w:rsidRDefault="00AA4879" w:rsidP="00B107B5">
      <w:pPr>
        <w:widowControl/>
        <w:spacing w:line="360" w:lineRule="auto"/>
        <w:ind w:firstLine="1440"/>
        <w:rPr>
          <w:sz w:val="26"/>
          <w:szCs w:val="26"/>
        </w:rPr>
      </w:pPr>
    </w:p>
    <w:p w14:paraId="5FA27129" w14:textId="67F42A71" w:rsidR="004B0AFE" w:rsidRPr="001E0F20" w:rsidRDefault="004B0AFE" w:rsidP="00B107B5">
      <w:pPr>
        <w:widowControl/>
        <w:spacing w:line="360" w:lineRule="auto"/>
        <w:ind w:firstLine="1440"/>
        <w:rPr>
          <w:sz w:val="26"/>
          <w:szCs w:val="26"/>
        </w:rPr>
      </w:pPr>
      <w:r w:rsidRPr="001E0F20">
        <w:rPr>
          <w:sz w:val="26"/>
          <w:szCs w:val="26"/>
        </w:rPr>
        <w:t xml:space="preserve">On </w:t>
      </w:r>
      <w:r w:rsidR="0012418E" w:rsidRPr="001E0F20">
        <w:rPr>
          <w:sz w:val="26"/>
          <w:szCs w:val="26"/>
        </w:rPr>
        <w:t>February 16, 2018, Mr. McLean filed a Reply to PGW’s Answer</w:t>
      </w:r>
      <w:r w:rsidR="00A347A3" w:rsidRPr="001E0F20">
        <w:rPr>
          <w:sz w:val="26"/>
          <w:szCs w:val="26"/>
        </w:rPr>
        <w:t>.</w:t>
      </w:r>
      <w:r w:rsidR="007F7F21" w:rsidRPr="001E0F20">
        <w:rPr>
          <w:rStyle w:val="FootnoteReference"/>
          <w:sz w:val="26"/>
          <w:szCs w:val="26"/>
        </w:rPr>
        <w:footnoteReference w:id="4"/>
      </w:r>
    </w:p>
    <w:p w14:paraId="75DC2222" w14:textId="77777777" w:rsidR="007324AE" w:rsidRPr="001E0F20" w:rsidRDefault="007324AE" w:rsidP="00DE6AB3">
      <w:pPr>
        <w:widowControl/>
        <w:spacing w:line="360" w:lineRule="auto"/>
        <w:contextualSpacing/>
        <w:rPr>
          <w:color w:val="212121"/>
          <w:sz w:val="26"/>
          <w:szCs w:val="26"/>
        </w:rPr>
      </w:pPr>
    </w:p>
    <w:p w14:paraId="1916764E" w14:textId="77777777" w:rsidR="00ED69D5" w:rsidRPr="001E0F20" w:rsidRDefault="00D26314" w:rsidP="00DE6AB3">
      <w:pPr>
        <w:keepNext/>
        <w:keepLines/>
        <w:widowControl/>
        <w:spacing w:line="360" w:lineRule="auto"/>
        <w:jc w:val="center"/>
        <w:rPr>
          <w:b/>
          <w:sz w:val="26"/>
          <w:szCs w:val="26"/>
        </w:rPr>
      </w:pPr>
      <w:r w:rsidRPr="001E0F20">
        <w:rPr>
          <w:b/>
          <w:sz w:val="26"/>
          <w:szCs w:val="26"/>
        </w:rPr>
        <w:t>II.</w:t>
      </w:r>
      <w:r w:rsidRPr="001E0F20">
        <w:rPr>
          <w:b/>
          <w:sz w:val="26"/>
          <w:szCs w:val="26"/>
        </w:rPr>
        <w:tab/>
      </w:r>
      <w:r w:rsidR="00ED69D5" w:rsidRPr="001E0F20">
        <w:rPr>
          <w:b/>
          <w:sz w:val="26"/>
          <w:szCs w:val="26"/>
        </w:rPr>
        <w:t>Discussion</w:t>
      </w:r>
    </w:p>
    <w:p w14:paraId="0DC53CDF" w14:textId="77777777" w:rsidR="00082053" w:rsidRPr="001E0F20" w:rsidRDefault="00082053" w:rsidP="00DE6AB3">
      <w:pPr>
        <w:keepNext/>
        <w:keepLines/>
        <w:widowControl/>
        <w:overflowPunct w:val="0"/>
        <w:autoSpaceDE w:val="0"/>
        <w:autoSpaceDN w:val="0"/>
        <w:adjustRightInd w:val="0"/>
        <w:spacing w:line="360" w:lineRule="auto"/>
        <w:ind w:firstLine="1440"/>
        <w:textAlignment w:val="baseline"/>
        <w:rPr>
          <w:sz w:val="26"/>
          <w:szCs w:val="26"/>
        </w:rPr>
      </w:pPr>
    </w:p>
    <w:p w14:paraId="62BCE2C5" w14:textId="77777777" w:rsidR="00082053" w:rsidRPr="001E0F20" w:rsidRDefault="00082053" w:rsidP="00DE6AB3">
      <w:pPr>
        <w:widowControl/>
        <w:overflowPunct w:val="0"/>
        <w:autoSpaceDE w:val="0"/>
        <w:autoSpaceDN w:val="0"/>
        <w:adjustRightInd w:val="0"/>
        <w:spacing w:line="360" w:lineRule="auto"/>
        <w:ind w:firstLine="1440"/>
        <w:textAlignment w:val="baseline"/>
        <w:rPr>
          <w:color w:val="000000"/>
          <w:sz w:val="26"/>
          <w:szCs w:val="26"/>
        </w:rPr>
      </w:pPr>
      <w:r w:rsidRPr="001E0F20">
        <w:rPr>
          <w:sz w:val="26"/>
          <w:szCs w:val="26"/>
        </w:rPr>
        <w:t xml:space="preserve">At the outset, we note that any issue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8" w:history="1">
        <w:r w:rsidRPr="001E0F20">
          <w:rPr>
            <w:i/>
            <w:iCs/>
            <w:sz w:val="26"/>
            <w:szCs w:val="26"/>
          </w:rPr>
          <w:t>Consolidated Ra</w:t>
        </w:r>
        <w:r w:rsidRPr="001E0F20">
          <w:rPr>
            <w:i/>
            <w:iCs/>
            <w:color w:val="000000"/>
            <w:sz w:val="26"/>
            <w:szCs w:val="26"/>
          </w:rPr>
          <w:t xml:space="preserve">il Corp. v. Pa. PUC, </w:t>
        </w:r>
        <w:r w:rsidRPr="001E0F20">
          <w:rPr>
            <w:color w:val="000000"/>
            <w:sz w:val="26"/>
            <w:szCs w:val="26"/>
          </w:rPr>
          <w:t>625 A.2d 741 (Pa. Cmwlth. 1993);</w:t>
        </w:r>
      </w:hyperlink>
      <w:r w:rsidRPr="001E0F20">
        <w:rPr>
          <w:color w:val="000000"/>
          <w:sz w:val="26"/>
          <w:szCs w:val="26"/>
        </w:rPr>
        <w:t xml:space="preserve"> </w:t>
      </w:r>
      <w:r w:rsidRPr="001E0F20">
        <w:rPr>
          <w:i/>
          <w:color w:val="000000"/>
          <w:sz w:val="26"/>
          <w:szCs w:val="26"/>
        </w:rPr>
        <w:t xml:space="preserve">also </w:t>
      </w:r>
      <w:r w:rsidRPr="001E0F20">
        <w:rPr>
          <w:i/>
          <w:iCs/>
          <w:color w:val="000000"/>
          <w:sz w:val="26"/>
          <w:szCs w:val="26"/>
        </w:rPr>
        <w:t xml:space="preserve">see, generally, </w:t>
      </w:r>
      <w:hyperlink r:id="rId9" w:history="1">
        <w:r w:rsidRPr="001E0F20">
          <w:rPr>
            <w:i/>
            <w:iCs/>
            <w:color w:val="000000"/>
            <w:sz w:val="26"/>
            <w:szCs w:val="26"/>
          </w:rPr>
          <w:t>University of Pennsylvania v. Pa. PUC</w:t>
        </w:r>
        <w:r w:rsidRPr="001E0F20">
          <w:rPr>
            <w:color w:val="000000"/>
            <w:sz w:val="26"/>
            <w:szCs w:val="26"/>
          </w:rPr>
          <w:t>, 485 A.2d 1217 (Pa. Cmwlth. 1984).</w:t>
        </w:r>
      </w:hyperlink>
    </w:p>
    <w:p w14:paraId="03547C68" w14:textId="77777777" w:rsidR="004B5020" w:rsidRPr="001E0F20" w:rsidRDefault="004B5020" w:rsidP="00DE6AB3">
      <w:pPr>
        <w:widowControl/>
        <w:spacing w:line="360" w:lineRule="auto"/>
        <w:contextualSpacing/>
        <w:rPr>
          <w:b/>
          <w:spacing w:val="-3"/>
          <w:sz w:val="26"/>
          <w:szCs w:val="26"/>
        </w:rPr>
      </w:pPr>
    </w:p>
    <w:p w14:paraId="5B355747" w14:textId="743D997B" w:rsidR="0079351D" w:rsidRPr="001E0F20" w:rsidRDefault="004B5020" w:rsidP="00DE6AB3">
      <w:pPr>
        <w:widowControl/>
        <w:spacing w:line="360" w:lineRule="auto"/>
        <w:contextualSpacing/>
        <w:rPr>
          <w:b/>
          <w:spacing w:val="-3"/>
          <w:sz w:val="26"/>
          <w:szCs w:val="26"/>
        </w:rPr>
      </w:pPr>
      <w:r w:rsidRPr="001E0F20">
        <w:rPr>
          <w:b/>
          <w:spacing w:val="-3"/>
          <w:sz w:val="26"/>
          <w:szCs w:val="26"/>
        </w:rPr>
        <w:t>A.</w:t>
      </w:r>
      <w:r w:rsidRPr="001E0F20">
        <w:rPr>
          <w:b/>
          <w:spacing w:val="-3"/>
          <w:sz w:val="26"/>
          <w:szCs w:val="26"/>
        </w:rPr>
        <w:tab/>
      </w:r>
      <w:r w:rsidR="0079351D" w:rsidRPr="001E0F20">
        <w:rPr>
          <w:b/>
          <w:spacing w:val="-3"/>
          <w:sz w:val="26"/>
          <w:szCs w:val="26"/>
        </w:rPr>
        <w:t xml:space="preserve">Nature of </w:t>
      </w:r>
      <w:r w:rsidR="00567390" w:rsidRPr="001E0F20">
        <w:rPr>
          <w:b/>
          <w:spacing w:val="-3"/>
          <w:sz w:val="26"/>
          <w:szCs w:val="26"/>
        </w:rPr>
        <w:t>Filing</w:t>
      </w:r>
    </w:p>
    <w:p w14:paraId="28623329" w14:textId="77777777" w:rsidR="0079351D" w:rsidRPr="001E0F20" w:rsidRDefault="0079351D" w:rsidP="00DE6AB3">
      <w:pPr>
        <w:widowControl/>
        <w:spacing w:line="360" w:lineRule="auto"/>
        <w:ind w:firstLine="1440"/>
        <w:contextualSpacing/>
        <w:rPr>
          <w:spacing w:val="-3"/>
          <w:sz w:val="26"/>
          <w:szCs w:val="26"/>
        </w:rPr>
      </w:pPr>
    </w:p>
    <w:p w14:paraId="5A5179BE" w14:textId="77777777" w:rsidR="00324C4B" w:rsidRPr="001E0F20" w:rsidRDefault="0079351D" w:rsidP="00864A7E">
      <w:pPr>
        <w:widowControl/>
        <w:spacing w:line="360" w:lineRule="auto"/>
        <w:ind w:firstLine="1440"/>
        <w:contextualSpacing/>
        <w:rPr>
          <w:rFonts w:eastAsiaTheme="minorHAnsi"/>
          <w:sz w:val="26"/>
          <w:szCs w:val="26"/>
        </w:rPr>
      </w:pPr>
      <w:r w:rsidRPr="001E0F20">
        <w:rPr>
          <w:spacing w:val="-3"/>
          <w:sz w:val="26"/>
          <w:szCs w:val="26"/>
        </w:rPr>
        <w:t xml:space="preserve">We begin by considering the nature of the Petitioner’s filing, because the analysis to be applied depends on the type of filing before us.  The Petitioner requests the Commission “to nullify” and “to revoke &amp; disaffirm” the </w:t>
      </w:r>
      <w:r w:rsidRPr="001E0F20">
        <w:rPr>
          <w:i/>
          <w:spacing w:val="-3"/>
          <w:sz w:val="26"/>
          <w:szCs w:val="26"/>
        </w:rPr>
        <w:t>November 2017 Order</w:t>
      </w:r>
      <w:r w:rsidRPr="001E0F20">
        <w:rPr>
          <w:spacing w:val="-3"/>
          <w:sz w:val="26"/>
          <w:szCs w:val="26"/>
        </w:rPr>
        <w:t xml:space="preserve"> and to adopt, without modification, the ALJ’s Initial Decision issued on September 29, 2016</w:t>
      </w:r>
      <w:r w:rsidR="00012EEE" w:rsidRPr="001E0F20">
        <w:rPr>
          <w:spacing w:val="-3"/>
          <w:sz w:val="26"/>
          <w:szCs w:val="26"/>
        </w:rPr>
        <w:t>,</w:t>
      </w:r>
      <w:r w:rsidRPr="001E0F20">
        <w:rPr>
          <w:spacing w:val="-3"/>
          <w:sz w:val="26"/>
          <w:szCs w:val="26"/>
        </w:rPr>
        <w:t xml:space="preserve"> in this proceeding.  Petition at 1, 3.  </w:t>
      </w:r>
      <w:r w:rsidR="00483A2D" w:rsidRPr="001E0F20">
        <w:rPr>
          <w:spacing w:val="-3"/>
          <w:sz w:val="26"/>
          <w:szCs w:val="26"/>
        </w:rPr>
        <w:t xml:space="preserve">In response to the Petitioner’s request, </w:t>
      </w:r>
      <w:r w:rsidRPr="001E0F20">
        <w:rPr>
          <w:spacing w:val="-3"/>
          <w:sz w:val="26"/>
          <w:szCs w:val="26"/>
        </w:rPr>
        <w:t>PGW stated that</w:t>
      </w:r>
      <w:r w:rsidR="00A347A3" w:rsidRPr="001E0F20">
        <w:rPr>
          <w:spacing w:val="-3"/>
          <w:sz w:val="26"/>
          <w:szCs w:val="26"/>
        </w:rPr>
        <w:t>,</w:t>
      </w:r>
      <w:r w:rsidRPr="001E0F20">
        <w:rPr>
          <w:spacing w:val="-3"/>
          <w:sz w:val="26"/>
          <w:szCs w:val="26"/>
        </w:rPr>
        <w:t xml:space="preserve"> after receiving service of the Petition, it treated Mr. McLean’s filing as a petition for rescission under 66 Pa. C.S.</w:t>
      </w:r>
      <w:r w:rsidR="004D4F11" w:rsidRPr="001E0F20">
        <w:rPr>
          <w:spacing w:val="-3"/>
          <w:sz w:val="26"/>
          <w:szCs w:val="26"/>
        </w:rPr>
        <w:t> </w:t>
      </w:r>
      <w:r w:rsidRPr="001E0F20">
        <w:rPr>
          <w:spacing w:val="-3"/>
          <w:sz w:val="26"/>
          <w:szCs w:val="26"/>
        </w:rPr>
        <w:t xml:space="preserve">§ 703(g) and timely filed its Answer thereto, </w:t>
      </w:r>
      <w:r w:rsidR="00012EEE" w:rsidRPr="001E0F20">
        <w:rPr>
          <w:spacing w:val="-3"/>
          <w:sz w:val="26"/>
          <w:szCs w:val="26"/>
        </w:rPr>
        <w:t xml:space="preserve">pursuant to </w:t>
      </w:r>
      <w:r w:rsidRPr="001E0F20">
        <w:rPr>
          <w:spacing w:val="-3"/>
          <w:sz w:val="26"/>
          <w:szCs w:val="26"/>
        </w:rPr>
        <w:t>Section 5.572(e)</w:t>
      </w:r>
      <w:r w:rsidR="00012EEE" w:rsidRPr="001E0F20">
        <w:rPr>
          <w:spacing w:val="-3"/>
          <w:sz w:val="26"/>
          <w:szCs w:val="26"/>
        </w:rPr>
        <w:t xml:space="preserve"> </w:t>
      </w:r>
      <w:r w:rsidRPr="001E0F20">
        <w:rPr>
          <w:spacing w:val="-3"/>
          <w:sz w:val="26"/>
          <w:szCs w:val="26"/>
        </w:rPr>
        <w:t>of our Regulations</w:t>
      </w:r>
      <w:r w:rsidR="00316FED" w:rsidRPr="001E0F20">
        <w:rPr>
          <w:spacing w:val="-3"/>
          <w:sz w:val="26"/>
          <w:szCs w:val="26"/>
        </w:rPr>
        <w:t>, 52 Pa. Code § 5.572(e)</w:t>
      </w:r>
      <w:r w:rsidRPr="001E0F20">
        <w:rPr>
          <w:spacing w:val="-3"/>
          <w:sz w:val="26"/>
          <w:szCs w:val="26"/>
        </w:rPr>
        <w:t xml:space="preserve">.  Based on the Petitioner’s express language and given that PGW was provided a meaningful opportunity to respond to the Petition, we will deem </w:t>
      </w:r>
      <w:r w:rsidR="00483A2D" w:rsidRPr="001E0F20">
        <w:rPr>
          <w:spacing w:val="-3"/>
          <w:sz w:val="26"/>
          <w:szCs w:val="26"/>
        </w:rPr>
        <w:t>Mr. McLean’s</w:t>
      </w:r>
      <w:r w:rsidRPr="001E0F20">
        <w:rPr>
          <w:spacing w:val="-3"/>
          <w:sz w:val="26"/>
          <w:szCs w:val="26"/>
        </w:rPr>
        <w:t xml:space="preserve"> </w:t>
      </w:r>
      <w:r w:rsidR="00316FED" w:rsidRPr="001E0F20">
        <w:rPr>
          <w:spacing w:val="-3"/>
          <w:sz w:val="26"/>
          <w:szCs w:val="26"/>
        </w:rPr>
        <w:t xml:space="preserve">pleading </w:t>
      </w:r>
      <w:r w:rsidRPr="001E0F20">
        <w:rPr>
          <w:spacing w:val="-3"/>
          <w:sz w:val="26"/>
          <w:szCs w:val="26"/>
        </w:rPr>
        <w:t xml:space="preserve">as a petition for rescission or amendment filed under </w:t>
      </w:r>
      <w:r w:rsidR="00316FED" w:rsidRPr="001E0F20">
        <w:rPr>
          <w:spacing w:val="-3"/>
          <w:sz w:val="26"/>
          <w:szCs w:val="26"/>
        </w:rPr>
        <w:t>Section 703(g)</w:t>
      </w:r>
      <w:r w:rsidR="00882303" w:rsidRPr="001E0F20">
        <w:rPr>
          <w:spacing w:val="-3"/>
          <w:sz w:val="26"/>
          <w:szCs w:val="26"/>
        </w:rPr>
        <w:t xml:space="preserve"> of the Code, </w:t>
      </w:r>
      <w:r w:rsidRPr="001E0F20">
        <w:rPr>
          <w:spacing w:val="-3"/>
          <w:sz w:val="26"/>
          <w:szCs w:val="26"/>
        </w:rPr>
        <w:t xml:space="preserve">66 Pa. C.S. § </w:t>
      </w:r>
      <w:r w:rsidRPr="001E0F20">
        <w:rPr>
          <w:sz w:val="26"/>
          <w:szCs w:val="26"/>
        </w:rPr>
        <w:t>703(g)</w:t>
      </w:r>
      <w:r w:rsidR="00882303" w:rsidRPr="001E0F20">
        <w:rPr>
          <w:sz w:val="26"/>
          <w:szCs w:val="26"/>
        </w:rPr>
        <w:t>,</w:t>
      </w:r>
      <w:r w:rsidRPr="001E0F20">
        <w:rPr>
          <w:spacing w:val="-3"/>
          <w:sz w:val="26"/>
          <w:szCs w:val="26"/>
        </w:rPr>
        <w:t xml:space="preserve"> and </w:t>
      </w:r>
      <w:r w:rsidR="00882303" w:rsidRPr="001E0F20">
        <w:rPr>
          <w:spacing w:val="-3"/>
          <w:sz w:val="26"/>
          <w:szCs w:val="26"/>
        </w:rPr>
        <w:t xml:space="preserve">Section 5.572(d) of our Regulations, </w:t>
      </w:r>
      <w:r w:rsidRPr="001E0F20">
        <w:rPr>
          <w:spacing w:val="-3"/>
          <w:sz w:val="26"/>
          <w:szCs w:val="26"/>
        </w:rPr>
        <w:t>52 Pa. Code §</w:t>
      </w:r>
      <w:r w:rsidR="00882303" w:rsidRPr="001E0F20">
        <w:rPr>
          <w:spacing w:val="-3"/>
          <w:sz w:val="26"/>
          <w:szCs w:val="26"/>
        </w:rPr>
        <w:t> </w:t>
      </w:r>
      <w:r w:rsidRPr="001E0F20">
        <w:rPr>
          <w:spacing w:val="-3"/>
          <w:sz w:val="26"/>
          <w:szCs w:val="26"/>
        </w:rPr>
        <w:t>5.572(d)</w:t>
      </w:r>
      <w:r w:rsidRPr="001E0F20">
        <w:rPr>
          <w:sz w:val="26"/>
          <w:szCs w:val="26"/>
        </w:rPr>
        <w:t xml:space="preserve">.  </w:t>
      </w:r>
      <w:r w:rsidRPr="001E0F20">
        <w:rPr>
          <w:spacing w:val="-3"/>
          <w:sz w:val="26"/>
          <w:szCs w:val="26"/>
        </w:rPr>
        <w:t>Pursuant to the</w:t>
      </w:r>
      <w:r w:rsidR="00882303" w:rsidRPr="001E0F20">
        <w:rPr>
          <w:spacing w:val="-3"/>
          <w:sz w:val="26"/>
          <w:szCs w:val="26"/>
        </w:rPr>
        <w:t>se</w:t>
      </w:r>
      <w:r w:rsidRPr="001E0F20">
        <w:rPr>
          <w:spacing w:val="-3"/>
          <w:sz w:val="26"/>
          <w:szCs w:val="26"/>
        </w:rPr>
        <w:t xml:space="preserve"> provisions</w:t>
      </w:r>
      <w:r w:rsidR="00882303" w:rsidRPr="001E0F20">
        <w:rPr>
          <w:spacing w:val="-3"/>
          <w:sz w:val="26"/>
          <w:szCs w:val="26"/>
        </w:rPr>
        <w:t>,</w:t>
      </w:r>
      <w:r w:rsidRPr="001E0F20">
        <w:rPr>
          <w:spacing w:val="-3"/>
          <w:sz w:val="26"/>
          <w:szCs w:val="26"/>
        </w:rPr>
        <w:t xml:space="preserve"> we may, </w:t>
      </w:r>
      <w:r w:rsidRPr="001E0F20">
        <w:rPr>
          <w:i/>
          <w:spacing w:val="-3"/>
          <w:sz w:val="26"/>
          <w:szCs w:val="26"/>
        </w:rPr>
        <w:t>at any time</w:t>
      </w:r>
      <w:r w:rsidRPr="001E0F20">
        <w:rPr>
          <w:spacing w:val="-3"/>
          <w:sz w:val="26"/>
          <w:szCs w:val="26"/>
        </w:rPr>
        <w:t>, rescind or amend a prior order</w:t>
      </w:r>
      <w:r w:rsidRPr="001E0F20">
        <w:rPr>
          <w:rFonts w:eastAsiaTheme="minorHAnsi"/>
          <w:sz w:val="26"/>
          <w:szCs w:val="26"/>
        </w:rPr>
        <w:t xml:space="preserve"> subject only to the requirements of due process of notice </w:t>
      </w:r>
      <w:r w:rsidRPr="001E0F20">
        <w:rPr>
          <w:rFonts w:eastAsiaTheme="minorHAnsi"/>
          <w:sz w:val="26"/>
          <w:szCs w:val="26"/>
        </w:rPr>
        <w:lastRenderedPageBreak/>
        <w:t>and opportunity to be heard</w:t>
      </w:r>
      <w:r w:rsidRPr="001E0F20">
        <w:rPr>
          <w:spacing w:val="-3"/>
          <w:sz w:val="26"/>
          <w:szCs w:val="26"/>
        </w:rPr>
        <w:t xml:space="preserve">.  Therefore, we will disregard the Petitioner’s </w:t>
      </w:r>
      <w:r w:rsidRPr="001E0F20">
        <w:rPr>
          <w:i/>
          <w:spacing w:val="-3"/>
          <w:sz w:val="26"/>
          <w:szCs w:val="26"/>
        </w:rPr>
        <w:t>nunc pro tunc</w:t>
      </w:r>
      <w:r w:rsidRPr="001E0F20">
        <w:rPr>
          <w:spacing w:val="-3"/>
          <w:sz w:val="26"/>
          <w:szCs w:val="26"/>
        </w:rPr>
        <w:t xml:space="preserve"> request as there is no issue of timeliness with respect to a Section 703(g) petition.</w:t>
      </w:r>
      <w:r w:rsidRPr="001E0F20">
        <w:rPr>
          <w:rStyle w:val="FootnoteReference"/>
          <w:spacing w:val="-3"/>
          <w:sz w:val="26"/>
          <w:szCs w:val="26"/>
        </w:rPr>
        <w:footnoteReference w:id="5"/>
      </w:r>
    </w:p>
    <w:p w14:paraId="02B863AA" w14:textId="77777777" w:rsidR="0079351D" w:rsidRPr="001E0F20" w:rsidRDefault="0079351D" w:rsidP="00DE6AB3">
      <w:pPr>
        <w:widowControl/>
        <w:spacing w:line="360" w:lineRule="auto"/>
        <w:contextualSpacing/>
        <w:rPr>
          <w:color w:val="000000"/>
          <w:spacing w:val="-3"/>
          <w:sz w:val="26"/>
          <w:szCs w:val="26"/>
          <w:u w:color="000000"/>
        </w:rPr>
      </w:pPr>
    </w:p>
    <w:p w14:paraId="76D42AF9" w14:textId="77777777" w:rsidR="004B5020" w:rsidRPr="001E0F20" w:rsidRDefault="0079351D" w:rsidP="00DE6AB3">
      <w:pPr>
        <w:widowControl/>
        <w:spacing w:line="360" w:lineRule="auto"/>
        <w:contextualSpacing/>
        <w:rPr>
          <w:b/>
          <w:spacing w:val="-3"/>
          <w:sz w:val="26"/>
          <w:szCs w:val="26"/>
        </w:rPr>
      </w:pPr>
      <w:r w:rsidRPr="001E0F20">
        <w:rPr>
          <w:b/>
          <w:spacing w:val="-3"/>
          <w:sz w:val="26"/>
          <w:szCs w:val="26"/>
        </w:rPr>
        <w:t>B.</w:t>
      </w:r>
      <w:r w:rsidRPr="001E0F20">
        <w:rPr>
          <w:b/>
          <w:spacing w:val="-3"/>
          <w:sz w:val="26"/>
          <w:szCs w:val="26"/>
        </w:rPr>
        <w:tab/>
      </w:r>
      <w:r w:rsidR="004B5020" w:rsidRPr="001E0F20">
        <w:rPr>
          <w:b/>
          <w:spacing w:val="-3"/>
          <w:sz w:val="26"/>
          <w:szCs w:val="26"/>
        </w:rPr>
        <w:t>Legal Standards</w:t>
      </w:r>
    </w:p>
    <w:p w14:paraId="448197D5" w14:textId="77777777" w:rsidR="004B5020" w:rsidRPr="001E0F20" w:rsidRDefault="004B5020" w:rsidP="00DE6AB3">
      <w:pPr>
        <w:widowControl/>
        <w:spacing w:line="360" w:lineRule="auto"/>
        <w:contextualSpacing/>
        <w:rPr>
          <w:b/>
          <w:spacing w:val="-3"/>
          <w:sz w:val="26"/>
          <w:szCs w:val="26"/>
        </w:rPr>
      </w:pPr>
    </w:p>
    <w:p w14:paraId="3AAA9D39" w14:textId="77777777" w:rsidR="004B5020" w:rsidRPr="001E0F20" w:rsidRDefault="004B5020" w:rsidP="00DE6AB3">
      <w:pPr>
        <w:widowControl/>
        <w:spacing w:line="360" w:lineRule="auto"/>
        <w:ind w:firstLine="1440"/>
        <w:contextualSpacing/>
        <w:rPr>
          <w:sz w:val="26"/>
          <w:szCs w:val="26"/>
        </w:rPr>
      </w:pPr>
      <w:r w:rsidRPr="001E0F20">
        <w:rPr>
          <w:sz w:val="26"/>
          <w:szCs w:val="26"/>
        </w:rPr>
        <w:t>The Code establishes a party’s right to seek relief following the issuance of a final</w:t>
      </w:r>
      <w:r w:rsidR="0079351D" w:rsidRPr="001E0F20">
        <w:rPr>
          <w:sz w:val="26"/>
          <w:szCs w:val="26"/>
        </w:rPr>
        <w:t xml:space="preserve"> Commission </w:t>
      </w:r>
      <w:r w:rsidRPr="001E0F20">
        <w:rPr>
          <w:sz w:val="26"/>
          <w:szCs w:val="26"/>
        </w:rPr>
        <w:t xml:space="preserve">decision </w:t>
      </w:r>
      <w:r w:rsidR="0079351D" w:rsidRPr="001E0F20">
        <w:rPr>
          <w:sz w:val="26"/>
          <w:szCs w:val="26"/>
        </w:rPr>
        <w:t xml:space="preserve">pursuant to </w:t>
      </w:r>
      <w:r w:rsidRPr="001E0F20">
        <w:rPr>
          <w:sz w:val="26"/>
          <w:szCs w:val="26"/>
        </w:rPr>
        <w:t xml:space="preserve">66 Pa. C.S. §§ 703(f) </w:t>
      </w:r>
      <w:r w:rsidR="0079351D" w:rsidRPr="001E0F20">
        <w:rPr>
          <w:sz w:val="26"/>
          <w:szCs w:val="26"/>
        </w:rPr>
        <w:t xml:space="preserve">(Rehearing) </w:t>
      </w:r>
      <w:r w:rsidRPr="001E0F20">
        <w:rPr>
          <w:sz w:val="26"/>
          <w:szCs w:val="26"/>
        </w:rPr>
        <w:t>and 703(g)</w:t>
      </w:r>
      <w:r w:rsidR="0079351D" w:rsidRPr="001E0F20">
        <w:rPr>
          <w:sz w:val="26"/>
          <w:szCs w:val="26"/>
        </w:rPr>
        <w:t xml:space="preserve"> (</w:t>
      </w:r>
      <w:r w:rsidR="00776622" w:rsidRPr="001E0F20">
        <w:rPr>
          <w:sz w:val="26"/>
          <w:szCs w:val="26"/>
        </w:rPr>
        <w:t>Rescission</w:t>
      </w:r>
      <w:r w:rsidR="0079351D" w:rsidRPr="001E0F20">
        <w:rPr>
          <w:sz w:val="26"/>
          <w:szCs w:val="26"/>
        </w:rPr>
        <w:t xml:space="preserve"> and amendment of orders)</w:t>
      </w:r>
      <w:r w:rsidRPr="001E0F20">
        <w:rPr>
          <w:sz w:val="26"/>
          <w:szCs w:val="26"/>
        </w:rPr>
        <w:t xml:space="preserve">.  </w:t>
      </w:r>
      <w:r w:rsidRPr="001E0F20">
        <w:rPr>
          <w:rFonts w:eastAsiaTheme="minorHAnsi"/>
          <w:sz w:val="26"/>
          <w:szCs w:val="26"/>
        </w:rPr>
        <w:t xml:space="preserve">Section 703(g) of the </w:t>
      </w:r>
      <w:r w:rsidR="000A6835" w:rsidRPr="001E0F20">
        <w:rPr>
          <w:rFonts w:eastAsiaTheme="minorHAnsi"/>
          <w:sz w:val="26"/>
          <w:szCs w:val="26"/>
        </w:rPr>
        <w:t xml:space="preserve">Public Utility </w:t>
      </w:r>
      <w:r w:rsidRPr="001E0F20">
        <w:rPr>
          <w:rFonts w:eastAsiaTheme="minorHAnsi"/>
          <w:sz w:val="26"/>
          <w:szCs w:val="26"/>
        </w:rPr>
        <w:t>Code</w:t>
      </w:r>
      <w:r w:rsidR="000A6835" w:rsidRPr="001E0F20">
        <w:rPr>
          <w:rFonts w:eastAsiaTheme="minorHAnsi"/>
          <w:sz w:val="26"/>
          <w:szCs w:val="26"/>
        </w:rPr>
        <w:t xml:space="preserve"> (Code)</w:t>
      </w:r>
      <w:r w:rsidRPr="001E0F20">
        <w:rPr>
          <w:rFonts w:eastAsiaTheme="minorHAnsi"/>
          <w:sz w:val="26"/>
          <w:szCs w:val="26"/>
        </w:rPr>
        <w:t>, 66 Pa. C.S. § 703(g), provides as follows:</w:t>
      </w:r>
    </w:p>
    <w:p w14:paraId="3E5E5B30" w14:textId="77777777" w:rsidR="004B5020" w:rsidRPr="001E0F20" w:rsidRDefault="004B5020" w:rsidP="00DE6AB3">
      <w:pPr>
        <w:widowControl/>
        <w:spacing w:line="360" w:lineRule="auto"/>
        <w:ind w:firstLine="1440"/>
        <w:contextualSpacing/>
        <w:rPr>
          <w:rFonts w:eastAsiaTheme="minorHAnsi"/>
          <w:sz w:val="26"/>
          <w:szCs w:val="26"/>
        </w:rPr>
      </w:pPr>
    </w:p>
    <w:p w14:paraId="44DD2537" w14:textId="77777777" w:rsidR="004B5020" w:rsidRPr="001E0F20" w:rsidRDefault="004B5020" w:rsidP="00DE6AB3">
      <w:pPr>
        <w:widowControl/>
        <w:ind w:left="1440" w:right="1440"/>
        <w:contextualSpacing/>
        <w:rPr>
          <w:rFonts w:eastAsiaTheme="minorHAnsi"/>
          <w:sz w:val="26"/>
          <w:szCs w:val="26"/>
        </w:rPr>
      </w:pPr>
      <w:r w:rsidRPr="001E0F20">
        <w:rPr>
          <w:rFonts w:eastAsiaTheme="minorHAnsi"/>
          <w:sz w:val="26"/>
          <w:szCs w:val="26"/>
        </w:rPr>
        <w:t>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p w14:paraId="72E99495" w14:textId="77777777" w:rsidR="00CE5CB5" w:rsidRPr="001E0F20" w:rsidRDefault="00CE5CB5" w:rsidP="00DE6AB3">
      <w:pPr>
        <w:widowControl/>
        <w:ind w:firstLine="1440"/>
        <w:contextualSpacing/>
        <w:rPr>
          <w:rFonts w:eastAsiaTheme="minorHAnsi"/>
          <w:sz w:val="26"/>
          <w:szCs w:val="26"/>
        </w:rPr>
      </w:pPr>
    </w:p>
    <w:p w14:paraId="05F5FDA9" w14:textId="77777777" w:rsidR="008D227D" w:rsidRPr="001E0F20" w:rsidRDefault="008D227D" w:rsidP="00DE6AB3">
      <w:pPr>
        <w:widowControl/>
        <w:ind w:firstLine="1440"/>
        <w:contextualSpacing/>
        <w:rPr>
          <w:rFonts w:eastAsiaTheme="minorHAnsi"/>
          <w:sz w:val="26"/>
          <w:szCs w:val="26"/>
        </w:rPr>
      </w:pPr>
    </w:p>
    <w:p w14:paraId="4910F4AA" w14:textId="77777777" w:rsidR="008D227D" w:rsidRPr="001E0F20" w:rsidRDefault="008D227D" w:rsidP="00DE6AB3">
      <w:pPr>
        <w:widowControl/>
        <w:spacing w:line="360" w:lineRule="auto"/>
        <w:ind w:firstLine="1440"/>
        <w:contextualSpacing/>
        <w:rPr>
          <w:rFonts w:eastAsiaTheme="minorHAnsi"/>
          <w:sz w:val="26"/>
          <w:szCs w:val="26"/>
        </w:rPr>
      </w:pPr>
      <w:r w:rsidRPr="001E0F20">
        <w:rPr>
          <w:rFonts w:eastAsiaTheme="minorHAnsi"/>
          <w:sz w:val="26"/>
          <w:szCs w:val="26"/>
        </w:rPr>
        <w:lastRenderedPageBreak/>
        <w:t>Requests for these types of relief are governed by and must be consistent with Section 5.572 of our regulations, 52 Pa. Code § 5.572, relating to petitions fo</w:t>
      </w:r>
      <w:r w:rsidR="00B11391" w:rsidRPr="001E0F20">
        <w:rPr>
          <w:rFonts w:eastAsiaTheme="minorHAnsi"/>
          <w:sz w:val="26"/>
          <w:szCs w:val="26"/>
        </w:rPr>
        <w:t>r</w:t>
      </w:r>
      <w:r w:rsidRPr="001E0F20">
        <w:rPr>
          <w:rFonts w:eastAsiaTheme="minorHAnsi"/>
          <w:sz w:val="26"/>
          <w:szCs w:val="26"/>
        </w:rPr>
        <w:t xml:space="preserve"> relief following the issuance of a final decision.</w:t>
      </w:r>
      <w:r w:rsidRPr="001E0F20">
        <w:rPr>
          <w:rStyle w:val="FootnoteReference"/>
          <w:rFonts w:eastAsiaTheme="minorHAnsi"/>
          <w:sz w:val="26"/>
          <w:szCs w:val="26"/>
        </w:rPr>
        <w:footnoteReference w:id="6"/>
      </w:r>
    </w:p>
    <w:p w14:paraId="2A870769" w14:textId="77777777" w:rsidR="00B11391" w:rsidRPr="001E0F20" w:rsidRDefault="00B11391" w:rsidP="00DE6AB3">
      <w:pPr>
        <w:widowControl/>
        <w:spacing w:line="360" w:lineRule="auto"/>
        <w:ind w:firstLine="1440"/>
        <w:contextualSpacing/>
        <w:rPr>
          <w:rFonts w:eastAsiaTheme="minorHAnsi"/>
          <w:sz w:val="26"/>
          <w:szCs w:val="26"/>
        </w:rPr>
      </w:pPr>
    </w:p>
    <w:p w14:paraId="1933FEF8" w14:textId="77777777" w:rsidR="004B5020" w:rsidRPr="001E0F20" w:rsidRDefault="004B5020" w:rsidP="00DE6AB3">
      <w:pPr>
        <w:widowControl/>
        <w:spacing w:line="360" w:lineRule="auto"/>
        <w:ind w:firstLine="1440"/>
        <w:contextualSpacing/>
        <w:rPr>
          <w:rFonts w:eastAsiaTheme="minorHAnsi"/>
          <w:sz w:val="26"/>
          <w:szCs w:val="26"/>
        </w:rPr>
      </w:pPr>
      <w:r w:rsidRPr="001E0F20">
        <w:rPr>
          <w:rFonts w:eastAsiaTheme="minorHAnsi"/>
          <w:sz w:val="26"/>
          <w:szCs w:val="26"/>
        </w:rPr>
        <w:t xml:space="preserve">By the terms of Section 703(g) of the Code, the Commission has the power to amend or rescind its own orders at any time subject only to the requirements of due process of notice and opportunity to be heard. </w:t>
      </w:r>
      <w:r w:rsidRPr="001E0F20">
        <w:rPr>
          <w:rFonts w:eastAsiaTheme="minorHAnsi"/>
          <w:i/>
          <w:sz w:val="26"/>
          <w:szCs w:val="26"/>
        </w:rPr>
        <w:t xml:space="preserve"> </w:t>
      </w:r>
      <w:r w:rsidRPr="001E0F20">
        <w:rPr>
          <w:rFonts w:eastAsiaTheme="minorHAnsi"/>
          <w:sz w:val="26"/>
          <w:szCs w:val="26"/>
        </w:rPr>
        <w:t xml:space="preserve">66 Pa. C.S. § 703(g); </w:t>
      </w:r>
      <w:r w:rsidRPr="001E0F20">
        <w:rPr>
          <w:rFonts w:eastAsiaTheme="minorHAnsi"/>
          <w:i/>
          <w:sz w:val="26"/>
          <w:szCs w:val="26"/>
        </w:rPr>
        <w:t>see Department of Highways v. Pa. P.U.C</w:t>
      </w:r>
      <w:r w:rsidRPr="001E0F20">
        <w:rPr>
          <w:rFonts w:eastAsiaTheme="minorHAnsi"/>
          <w:sz w:val="26"/>
          <w:szCs w:val="26"/>
        </w:rPr>
        <w:t>., 185 Pa. Super. 418, 138 A.2d 143 (1958) (</w:t>
      </w:r>
      <w:r w:rsidRPr="001E0F20">
        <w:rPr>
          <w:rFonts w:eastAsiaTheme="minorHAnsi"/>
          <w:i/>
          <w:sz w:val="26"/>
          <w:szCs w:val="26"/>
        </w:rPr>
        <w:t>Department of Highways</w:t>
      </w:r>
      <w:r w:rsidRPr="001E0F20">
        <w:rPr>
          <w:rFonts w:eastAsiaTheme="minorHAnsi"/>
          <w:sz w:val="26"/>
          <w:szCs w:val="26"/>
        </w:rPr>
        <w:t xml:space="preserve">).  However, the Pennsylvania Supreme Court has stated: “Because such relief may result in disturbance of final orders, it must be granted judiciously and only under appropriate circumstances.”  </w:t>
      </w:r>
      <w:r w:rsidRPr="001E0F20">
        <w:rPr>
          <w:rFonts w:eastAsiaTheme="minorHAnsi"/>
          <w:i/>
          <w:sz w:val="26"/>
          <w:szCs w:val="26"/>
        </w:rPr>
        <w:t>See City of Pittsburgh v. Pennsylvania Department of Transportation,</w:t>
      </w:r>
      <w:r w:rsidRPr="001E0F20">
        <w:rPr>
          <w:rFonts w:eastAsiaTheme="minorHAnsi"/>
          <w:sz w:val="26"/>
          <w:szCs w:val="26"/>
        </w:rPr>
        <w:t xml:space="preserve"> 490 Pa. 264, 416 A.2d 461 (Pa. 1980) (</w:t>
      </w:r>
      <w:r w:rsidRPr="001E0F20">
        <w:rPr>
          <w:rFonts w:eastAsiaTheme="minorHAnsi"/>
          <w:i/>
          <w:sz w:val="26"/>
          <w:szCs w:val="26"/>
        </w:rPr>
        <w:t>City of Pittsburgh</w:t>
      </w:r>
      <w:r w:rsidRPr="001E0F20">
        <w:rPr>
          <w:rFonts w:eastAsiaTheme="minorHAnsi"/>
          <w:sz w:val="26"/>
          <w:szCs w:val="26"/>
        </w:rPr>
        <w:t>).</w:t>
      </w:r>
    </w:p>
    <w:p w14:paraId="7AC92FEE" w14:textId="77777777" w:rsidR="004B5020" w:rsidRPr="001E0F20" w:rsidRDefault="004B5020" w:rsidP="00DE6AB3">
      <w:pPr>
        <w:widowControl/>
        <w:spacing w:line="360" w:lineRule="auto"/>
        <w:contextualSpacing/>
        <w:rPr>
          <w:rFonts w:eastAsiaTheme="minorHAnsi"/>
          <w:sz w:val="26"/>
          <w:szCs w:val="26"/>
        </w:rPr>
      </w:pPr>
    </w:p>
    <w:p w14:paraId="1340B460" w14:textId="77777777" w:rsidR="00CE5CB5" w:rsidRPr="001E0F20" w:rsidRDefault="004B5020" w:rsidP="009D04EC">
      <w:pPr>
        <w:widowControl/>
        <w:spacing w:line="360" w:lineRule="auto"/>
        <w:ind w:firstLine="1440"/>
        <w:contextualSpacing/>
        <w:rPr>
          <w:color w:val="000000"/>
          <w:spacing w:val="-3"/>
          <w:sz w:val="26"/>
          <w:szCs w:val="26"/>
          <w:u w:color="000000"/>
        </w:rPr>
      </w:pPr>
      <w:r w:rsidRPr="001E0F20">
        <w:rPr>
          <w:sz w:val="26"/>
          <w:szCs w:val="26"/>
        </w:rPr>
        <w:t xml:space="preserve">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1E0F20">
        <w:rPr>
          <w:i/>
          <w:sz w:val="26"/>
          <w:szCs w:val="26"/>
        </w:rPr>
        <w:t>Duick v. Pennsylvania Gas and Water Company</w:t>
      </w:r>
      <w:r w:rsidRPr="001E0F20">
        <w:rPr>
          <w:sz w:val="26"/>
          <w:szCs w:val="26"/>
        </w:rPr>
        <w:t xml:space="preserve">, Docket No. C-R0597001 </w:t>
      </w:r>
      <w:r w:rsidRPr="001E0F20">
        <w:rPr>
          <w:i/>
          <w:sz w:val="26"/>
          <w:szCs w:val="26"/>
        </w:rPr>
        <w:t>et al</w:t>
      </w:r>
      <w:r w:rsidRPr="001E0F20">
        <w:rPr>
          <w:sz w:val="26"/>
          <w:szCs w:val="26"/>
        </w:rPr>
        <w:t>., 56 Pa. P.U.C. 553 (Order entered December 17, 1982) (</w:t>
      </w:r>
      <w:r w:rsidRPr="001E0F20">
        <w:rPr>
          <w:i/>
          <w:sz w:val="26"/>
          <w:szCs w:val="26"/>
        </w:rPr>
        <w:t>Duick</w:t>
      </w:r>
      <w:r w:rsidRPr="001E0F20">
        <w:rPr>
          <w:sz w:val="26"/>
          <w:szCs w:val="26"/>
        </w:rPr>
        <w:t xml:space="preserve">) (quoting </w:t>
      </w:r>
      <w:hyperlink r:id="rId10" w:tgtFrame="x" w:tooltip="Clicking this link retrieves the full text document in another window" w:history="1">
        <w:r w:rsidRPr="001E0F20">
          <w:rPr>
            <w:i/>
            <w:sz w:val="26"/>
            <w:szCs w:val="26"/>
          </w:rPr>
          <w:t>Pennsylvania Railroad Co. v. Pennsylvania Public Service Commission</w:t>
        </w:r>
        <w:r w:rsidRPr="001E0F20">
          <w:rPr>
            <w:sz w:val="26"/>
            <w:szCs w:val="26"/>
          </w:rPr>
          <w:t>, 179 A. 850, 854  (Pa. Super. Ct. 1935)</w:t>
        </w:r>
      </w:hyperlink>
      <w:r w:rsidRPr="001E0F20">
        <w:rPr>
          <w:sz w:val="26"/>
          <w:szCs w:val="26"/>
        </w:rPr>
        <w:t xml:space="preserve"> (</w:t>
      </w:r>
      <w:r w:rsidRPr="001E0F20">
        <w:rPr>
          <w:i/>
          <w:sz w:val="26"/>
          <w:szCs w:val="26"/>
        </w:rPr>
        <w:t>Pennsylvania Railroad</w:t>
      </w:r>
      <w:r w:rsidRPr="001E0F20">
        <w:rPr>
          <w:sz w:val="26"/>
          <w:szCs w:val="26"/>
        </w:rPr>
        <w:t xml:space="preserve">)).  </w:t>
      </w:r>
      <w:r w:rsidRPr="001E0F20">
        <w:rPr>
          <w:color w:val="000000"/>
          <w:spacing w:val="-3"/>
          <w:sz w:val="26"/>
          <w:szCs w:val="26"/>
          <w:u w:color="000000"/>
        </w:rPr>
        <w:t>Such petitions are likely to succeed only when they raise “new and novel arguments not previously heard or considerations which appear to have been overlooked or not addressed by the [C]</w:t>
      </w:r>
      <w:proofErr w:type="spellStart"/>
      <w:r w:rsidRPr="001E0F20">
        <w:rPr>
          <w:color w:val="000000"/>
          <w:spacing w:val="-3"/>
          <w:sz w:val="26"/>
          <w:szCs w:val="26"/>
          <w:u w:color="000000"/>
        </w:rPr>
        <w:t>ommission</w:t>
      </w:r>
      <w:proofErr w:type="spellEnd"/>
      <w:r w:rsidRPr="001E0F20">
        <w:rPr>
          <w:color w:val="000000"/>
          <w:spacing w:val="-3"/>
          <w:sz w:val="26"/>
          <w:szCs w:val="26"/>
          <w:u w:color="000000"/>
        </w:rPr>
        <w:t xml:space="preserve">.” </w:t>
      </w:r>
      <w:r w:rsidR="002D32D0" w:rsidRPr="001E0F20">
        <w:rPr>
          <w:color w:val="000000"/>
          <w:spacing w:val="-3"/>
          <w:sz w:val="26"/>
          <w:szCs w:val="26"/>
          <w:u w:color="000000"/>
        </w:rPr>
        <w:t xml:space="preserve"> </w:t>
      </w:r>
      <w:r w:rsidR="0071644D" w:rsidRPr="001E0F20">
        <w:rPr>
          <w:color w:val="000000"/>
          <w:spacing w:val="-3"/>
          <w:sz w:val="26"/>
          <w:szCs w:val="26"/>
          <w:u w:color="000000"/>
        </w:rPr>
        <w:t>Duick at 559</w:t>
      </w:r>
      <w:r w:rsidRPr="001E0F20">
        <w:rPr>
          <w:color w:val="000000"/>
          <w:spacing w:val="-3"/>
          <w:sz w:val="26"/>
          <w:szCs w:val="26"/>
          <w:u w:color="000000"/>
        </w:rPr>
        <w:t>.</w:t>
      </w:r>
    </w:p>
    <w:p w14:paraId="3454848B" w14:textId="77777777" w:rsidR="00082053" w:rsidRPr="001E0F20" w:rsidRDefault="00082053" w:rsidP="00DE6AB3">
      <w:pPr>
        <w:widowControl/>
        <w:spacing w:line="360" w:lineRule="auto"/>
        <w:contextualSpacing/>
        <w:rPr>
          <w:b/>
          <w:spacing w:val="-3"/>
          <w:sz w:val="26"/>
          <w:szCs w:val="26"/>
        </w:rPr>
      </w:pPr>
    </w:p>
    <w:p w14:paraId="296D8EC8" w14:textId="77777777" w:rsidR="00BC399E" w:rsidRPr="001E0F20" w:rsidRDefault="008C0AE1" w:rsidP="00DE6AB3">
      <w:pPr>
        <w:widowControl/>
        <w:spacing w:line="360" w:lineRule="auto"/>
        <w:contextualSpacing/>
        <w:rPr>
          <w:b/>
          <w:sz w:val="26"/>
          <w:szCs w:val="26"/>
        </w:rPr>
      </w:pPr>
      <w:r w:rsidRPr="001E0F20">
        <w:rPr>
          <w:b/>
          <w:sz w:val="26"/>
          <w:szCs w:val="26"/>
        </w:rPr>
        <w:t>C</w:t>
      </w:r>
      <w:r w:rsidR="00D26314" w:rsidRPr="001E0F20">
        <w:rPr>
          <w:b/>
          <w:sz w:val="26"/>
          <w:szCs w:val="26"/>
        </w:rPr>
        <w:t>.</w:t>
      </w:r>
      <w:r w:rsidR="00D26314" w:rsidRPr="001E0F20">
        <w:rPr>
          <w:b/>
          <w:sz w:val="26"/>
          <w:szCs w:val="26"/>
        </w:rPr>
        <w:tab/>
      </w:r>
      <w:r w:rsidR="004B5020" w:rsidRPr="001E0F20">
        <w:rPr>
          <w:b/>
          <w:sz w:val="26"/>
          <w:szCs w:val="26"/>
        </w:rPr>
        <w:t>52 Pa. Code § 56.35(b)(2)</w:t>
      </w:r>
      <w:r w:rsidR="00CC0253" w:rsidRPr="001E0F20">
        <w:rPr>
          <w:b/>
          <w:sz w:val="26"/>
          <w:szCs w:val="26"/>
        </w:rPr>
        <w:t xml:space="preserve"> </w:t>
      </w:r>
    </w:p>
    <w:p w14:paraId="6B0B50AA" w14:textId="77777777" w:rsidR="00BC399E" w:rsidRPr="001E0F20" w:rsidRDefault="00BC399E" w:rsidP="00DE6AB3">
      <w:pPr>
        <w:widowControl/>
        <w:spacing w:line="360" w:lineRule="auto"/>
        <w:contextualSpacing/>
        <w:rPr>
          <w:b/>
          <w:sz w:val="26"/>
          <w:szCs w:val="26"/>
        </w:rPr>
      </w:pPr>
    </w:p>
    <w:p w14:paraId="2C228AF0" w14:textId="77777777" w:rsidR="00BC399E" w:rsidRPr="001E0F20" w:rsidRDefault="00BC399E" w:rsidP="00864A7E">
      <w:pPr>
        <w:widowControl/>
        <w:ind w:firstLine="1440"/>
        <w:rPr>
          <w:sz w:val="26"/>
          <w:szCs w:val="26"/>
        </w:rPr>
      </w:pPr>
      <w:bookmarkStart w:id="3" w:name="_Hlk529432913"/>
      <w:r w:rsidRPr="001E0F20">
        <w:rPr>
          <w:sz w:val="26"/>
          <w:szCs w:val="26"/>
        </w:rPr>
        <w:t xml:space="preserve">Section 56.35(b)(2) </w:t>
      </w:r>
      <w:bookmarkEnd w:id="3"/>
      <w:r w:rsidRPr="001E0F20">
        <w:rPr>
          <w:sz w:val="26"/>
          <w:szCs w:val="26"/>
        </w:rPr>
        <w:t>of our Regulations states:</w:t>
      </w:r>
    </w:p>
    <w:p w14:paraId="4438D25C" w14:textId="77777777" w:rsidR="00BC399E" w:rsidRPr="001E0F20" w:rsidRDefault="00BC399E" w:rsidP="00864A7E">
      <w:pPr>
        <w:widowControl/>
        <w:spacing w:line="360" w:lineRule="auto"/>
        <w:rPr>
          <w:sz w:val="26"/>
          <w:szCs w:val="26"/>
        </w:rPr>
      </w:pPr>
    </w:p>
    <w:p w14:paraId="52EADD9A" w14:textId="77777777" w:rsidR="00BC399E" w:rsidRPr="001E0F20" w:rsidRDefault="00BC399E" w:rsidP="00864A7E">
      <w:pPr>
        <w:widowControl/>
        <w:ind w:left="1440" w:right="1440"/>
        <w:rPr>
          <w:sz w:val="26"/>
          <w:szCs w:val="26"/>
        </w:rPr>
      </w:pPr>
      <w:r w:rsidRPr="001E0F20">
        <w:rPr>
          <w:sz w:val="26"/>
          <w:szCs w:val="26"/>
        </w:rPr>
        <w:t>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methods, other than those specifically mentioned in this paragraph, used to determine the applicant’s liability for any outstanding balance.</w:t>
      </w:r>
    </w:p>
    <w:p w14:paraId="1744300B" w14:textId="77777777" w:rsidR="00C843B5" w:rsidRPr="001E0F20" w:rsidRDefault="00C843B5" w:rsidP="00864A7E">
      <w:pPr>
        <w:widowControl/>
        <w:rPr>
          <w:sz w:val="26"/>
          <w:szCs w:val="26"/>
        </w:rPr>
      </w:pPr>
    </w:p>
    <w:p w14:paraId="2DF3DA55" w14:textId="77777777" w:rsidR="00707C9E" w:rsidRPr="001E0F20" w:rsidRDefault="00707C9E" w:rsidP="00864A7E">
      <w:pPr>
        <w:widowControl/>
        <w:rPr>
          <w:sz w:val="26"/>
          <w:szCs w:val="26"/>
        </w:rPr>
      </w:pPr>
    </w:p>
    <w:p w14:paraId="7F0BBB87" w14:textId="77777777" w:rsidR="009B3FF9" w:rsidRPr="001E0F20" w:rsidRDefault="006A3417" w:rsidP="00864A7E">
      <w:pPr>
        <w:widowControl/>
        <w:spacing w:line="360" w:lineRule="auto"/>
        <w:ind w:firstLine="1440"/>
        <w:rPr>
          <w:sz w:val="26"/>
          <w:szCs w:val="26"/>
        </w:rPr>
      </w:pPr>
      <w:r w:rsidRPr="001E0F20">
        <w:rPr>
          <w:sz w:val="26"/>
          <w:szCs w:val="26"/>
        </w:rPr>
        <w:t xml:space="preserve">Section 56.35(b)(2) permits </w:t>
      </w:r>
      <w:r w:rsidR="006E0C97" w:rsidRPr="001E0F20">
        <w:rPr>
          <w:sz w:val="26"/>
          <w:szCs w:val="26"/>
        </w:rPr>
        <w:t>a</w:t>
      </w:r>
      <w:r w:rsidRPr="001E0F20">
        <w:rPr>
          <w:sz w:val="26"/>
          <w:szCs w:val="26"/>
        </w:rPr>
        <w:t xml:space="preserve"> utility</w:t>
      </w:r>
      <w:r w:rsidR="00BC399E" w:rsidRPr="001E0F20">
        <w:rPr>
          <w:sz w:val="26"/>
          <w:szCs w:val="26"/>
        </w:rPr>
        <w:t xml:space="preserve"> </w:t>
      </w:r>
      <w:r w:rsidRPr="001E0F20">
        <w:rPr>
          <w:sz w:val="26"/>
          <w:szCs w:val="26"/>
        </w:rPr>
        <w:t xml:space="preserve">to </w:t>
      </w:r>
      <w:r w:rsidR="00BC399E" w:rsidRPr="001E0F20">
        <w:rPr>
          <w:sz w:val="26"/>
          <w:szCs w:val="26"/>
        </w:rPr>
        <w:t>use</w:t>
      </w:r>
      <w:r w:rsidR="0071644D" w:rsidRPr="001E0F20">
        <w:rPr>
          <w:sz w:val="26"/>
          <w:szCs w:val="26"/>
        </w:rPr>
        <w:t xml:space="preserve">, </w:t>
      </w:r>
      <w:r w:rsidR="0071644D" w:rsidRPr="001E0F20">
        <w:rPr>
          <w:i/>
          <w:sz w:val="26"/>
          <w:szCs w:val="26"/>
        </w:rPr>
        <w:t>inter alia</w:t>
      </w:r>
      <w:r w:rsidR="0071644D" w:rsidRPr="001E0F20">
        <w:rPr>
          <w:sz w:val="26"/>
          <w:szCs w:val="26"/>
        </w:rPr>
        <w:t>,</w:t>
      </w:r>
      <w:r w:rsidR="00BC399E" w:rsidRPr="001E0F20">
        <w:rPr>
          <w:sz w:val="26"/>
          <w:szCs w:val="26"/>
        </w:rPr>
        <w:t xml:space="preserve"> commercially available credit reports to establish</w:t>
      </w:r>
      <w:r w:rsidR="008A77A3" w:rsidRPr="001E0F20">
        <w:rPr>
          <w:sz w:val="26"/>
          <w:szCs w:val="26"/>
        </w:rPr>
        <w:t xml:space="preserve"> the</w:t>
      </w:r>
      <w:r w:rsidR="00BC399E" w:rsidRPr="001E0F20">
        <w:rPr>
          <w:sz w:val="26"/>
          <w:szCs w:val="26"/>
        </w:rPr>
        <w:t xml:space="preserve"> possible residence of an applicant associated with unpaid </w:t>
      </w:r>
      <w:r w:rsidR="006E0C97" w:rsidRPr="001E0F20">
        <w:rPr>
          <w:sz w:val="26"/>
          <w:szCs w:val="26"/>
        </w:rPr>
        <w:t xml:space="preserve">prior </w:t>
      </w:r>
      <w:r w:rsidR="00BC399E" w:rsidRPr="001E0F20">
        <w:rPr>
          <w:sz w:val="26"/>
          <w:szCs w:val="26"/>
        </w:rPr>
        <w:t>utility usage</w:t>
      </w:r>
      <w:r w:rsidR="001C45B6" w:rsidRPr="001E0F20">
        <w:rPr>
          <w:sz w:val="26"/>
          <w:szCs w:val="26"/>
        </w:rPr>
        <w:t xml:space="preserve"> at the property during the time the arrearage was accrued</w:t>
      </w:r>
      <w:r w:rsidR="00BC399E" w:rsidRPr="001E0F20">
        <w:rPr>
          <w:sz w:val="26"/>
          <w:szCs w:val="26"/>
        </w:rPr>
        <w:t xml:space="preserve">.  The rationale behind this </w:t>
      </w:r>
      <w:r w:rsidR="0071644D" w:rsidRPr="001E0F20">
        <w:rPr>
          <w:sz w:val="26"/>
          <w:szCs w:val="26"/>
        </w:rPr>
        <w:t xml:space="preserve">regulation </w:t>
      </w:r>
      <w:r w:rsidR="00BC399E" w:rsidRPr="001E0F20">
        <w:rPr>
          <w:sz w:val="26"/>
          <w:szCs w:val="26"/>
        </w:rPr>
        <w:t xml:space="preserve">recognizes that other ratepayers ultimately bear the burden of unpaid utility accounts through increased utility rates.  Thus, to minimize the </w:t>
      </w:r>
      <w:r w:rsidR="006E0C97" w:rsidRPr="001E0F20">
        <w:rPr>
          <w:sz w:val="26"/>
          <w:szCs w:val="26"/>
        </w:rPr>
        <w:t xml:space="preserve">ultimate rate </w:t>
      </w:r>
      <w:r w:rsidR="00BC399E" w:rsidRPr="001E0F20">
        <w:rPr>
          <w:sz w:val="26"/>
          <w:szCs w:val="26"/>
        </w:rPr>
        <w:t xml:space="preserve">burden passed along to other ratepayers due to uncollectible accounts, </w:t>
      </w:r>
      <w:r w:rsidRPr="001E0F20">
        <w:rPr>
          <w:sz w:val="26"/>
          <w:szCs w:val="26"/>
        </w:rPr>
        <w:t>the</w:t>
      </w:r>
      <w:r w:rsidR="00BC399E" w:rsidRPr="001E0F20">
        <w:rPr>
          <w:sz w:val="26"/>
          <w:szCs w:val="26"/>
        </w:rPr>
        <w:t xml:space="preserve"> utility</w:t>
      </w:r>
      <w:r w:rsidRPr="001E0F20">
        <w:rPr>
          <w:sz w:val="26"/>
          <w:szCs w:val="26"/>
        </w:rPr>
        <w:t xml:space="preserve"> is permitted</w:t>
      </w:r>
      <w:r w:rsidR="00BC399E" w:rsidRPr="001E0F20">
        <w:rPr>
          <w:sz w:val="26"/>
          <w:szCs w:val="26"/>
        </w:rPr>
        <w:t xml:space="preserve"> to use the methods </w:t>
      </w:r>
      <w:r w:rsidR="00C72660" w:rsidRPr="001E0F20">
        <w:rPr>
          <w:sz w:val="26"/>
          <w:szCs w:val="26"/>
        </w:rPr>
        <w:t xml:space="preserve">specified </w:t>
      </w:r>
      <w:r w:rsidRPr="001E0F20">
        <w:rPr>
          <w:sz w:val="26"/>
          <w:szCs w:val="26"/>
        </w:rPr>
        <w:t xml:space="preserve">under Section 56.35(b)(2) </w:t>
      </w:r>
      <w:r w:rsidR="00BC399E" w:rsidRPr="001E0F20">
        <w:rPr>
          <w:sz w:val="26"/>
          <w:szCs w:val="26"/>
        </w:rPr>
        <w:t>to determine an applicant’s possible</w:t>
      </w:r>
      <w:r w:rsidRPr="001E0F20">
        <w:rPr>
          <w:sz w:val="26"/>
          <w:szCs w:val="26"/>
        </w:rPr>
        <w:t xml:space="preserve"> residence and </w:t>
      </w:r>
      <w:r w:rsidR="006E0C97" w:rsidRPr="001E0F20">
        <w:rPr>
          <w:sz w:val="26"/>
          <w:szCs w:val="26"/>
        </w:rPr>
        <w:t xml:space="preserve">establish </w:t>
      </w:r>
      <w:r w:rsidRPr="001E0F20">
        <w:rPr>
          <w:sz w:val="26"/>
          <w:szCs w:val="26"/>
        </w:rPr>
        <w:t xml:space="preserve">financial responsibility </w:t>
      </w:r>
      <w:r w:rsidR="00BC399E" w:rsidRPr="001E0F20">
        <w:rPr>
          <w:sz w:val="26"/>
          <w:szCs w:val="26"/>
        </w:rPr>
        <w:t>for any unpaid account balance associated with the applicant’s service address.</w:t>
      </w:r>
    </w:p>
    <w:p w14:paraId="00262348" w14:textId="77777777" w:rsidR="009B3FF9" w:rsidRPr="001E0F20" w:rsidRDefault="009B3FF9" w:rsidP="00864A7E">
      <w:pPr>
        <w:widowControl/>
        <w:spacing w:line="360" w:lineRule="auto"/>
        <w:rPr>
          <w:sz w:val="26"/>
          <w:szCs w:val="26"/>
        </w:rPr>
      </w:pPr>
    </w:p>
    <w:p w14:paraId="522430BC" w14:textId="77777777" w:rsidR="00226F76" w:rsidRPr="001E0F20" w:rsidRDefault="00226F76" w:rsidP="00864A7E">
      <w:pPr>
        <w:pStyle w:val="Heading1"/>
        <w:widowControl/>
      </w:pPr>
      <w:r w:rsidRPr="001E0F20">
        <w:t>D.</w:t>
      </w:r>
      <w:r w:rsidRPr="001E0F20">
        <w:tab/>
      </w:r>
      <w:r w:rsidRPr="001E0F20">
        <w:rPr>
          <w:i/>
        </w:rPr>
        <w:t>November 2017 Order</w:t>
      </w:r>
      <w:r w:rsidRPr="001E0F20">
        <w:t xml:space="preserve"> </w:t>
      </w:r>
    </w:p>
    <w:p w14:paraId="516E8340" w14:textId="77777777" w:rsidR="00226F76" w:rsidRPr="001E0F20" w:rsidRDefault="00226F76" w:rsidP="00864A7E">
      <w:pPr>
        <w:pStyle w:val="Header"/>
        <w:keepNext/>
        <w:widowControl/>
        <w:tabs>
          <w:tab w:val="clear" w:pos="4680"/>
          <w:tab w:val="clear" w:pos="9360"/>
        </w:tabs>
        <w:spacing w:line="360" w:lineRule="auto"/>
        <w:rPr>
          <w:sz w:val="26"/>
          <w:szCs w:val="26"/>
        </w:rPr>
      </w:pPr>
    </w:p>
    <w:p w14:paraId="17AE0625" w14:textId="77777777" w:rsidR="00230A78" w:rsidRPr="001E0F20" w:rsidRDefault="00BC399E" w:rsidP="00DE6AB3">
      <w:pPr>
        <w:widowControl/>
        <w:spacing w:line="360" w:lineRule="auto"/>
        <w:ind w:firstLine="1440"/>
        <w:rPr>
          <w:sz w:val="26"/>
          <w:szCs w:val="26"/>
        </w:rPr>
      </w:pPr>
      <w:r w:rsidRPr="001E0F20">
        <w:rPr>
          <w:sz w:val="26"/>
          <w:szCs w:val="26"/>
        </w:rPr>
        <w:t xml:space="preserve">As </w:t>
      </w:r>
      <w:r w:rsidR="00226F76" w:rsidRPr="001E0F20">
        <w:rPr>
          <w:sz w:val="26"/>
          <w:szCs w:val="26"/>
        </w:rPr>
        <w:t xml:space="preserve">discussed above, </w:t>
      </w:r>
      <w:r w:rsidR="00CD11E8" w:rsidRPr="001E0F20">
        <w:rPr>
          <w:sz w:val="26"/>
          <w:szCs w:val="26"/>
        </w:rPr>
        <w:t xml:space="preserve">in our </w:t>
      </w:r>
      <w:r w:rsidR="00226F76" w:rsidRPr="001E0F20">
        <w:rPr>
          <w:i/>
          <w:sz w:val="26"/>
          <w:szCs w:val="26"/>
        </w:rPr>
        <w:t>November 2017 Order</w:t>
      </w:r>
      <w:r w:rsidR="00CD11E8" w:rsidRPr="001E0F20">
        <w:rPr>
          <w:sz w:val="26"/>
          <w:szCs w:val="26"/>
        </w:rPr>
        <w:t>, we</w:t>
      </w:r>
      <w:r w:rsidR="00226F76" w:rsidRPr="001E0F20">
        <w:rPr>
          <w:sz w:val="26"/>
          <w:szCs w:val="26"/>
        </w:rPr>
        <w:t xml:space="preserve"> granted PGW’s Exceptions</w:t>
      </w:r>
      <w:r w:rsidR="00CD11E8" w:rsidRPr="001E0F20">
        <w:rPr>
          <w:sz w:val="26"/>
          <w:szCs w:val="26"/>
        </w:rPr>
        <w:t>.</w:t>
      </w:r>
      <w:r w:rsidR="00226F76" w:rsidRPr="001E0F20">
        <w:rPr>
          <w:sz w:val="26"/>
          <w:szCs w:val="26"/>
        </w:rPr>
        <w:t xml:space="preserve">  In doing so, </w:t>
      </w:r>
      <w:r w:rsidR="00AA2673" w:rsidRPr="001E0F20">
        <w:rPr>
          <w:sz w:val="26"/>
          <w:szCs w:val="26"/>
        </w:rPr>
        <w:t>we</w:t>
      </w:r>
      <w:r w:rsidR="00226F76" w:rsidRPr="001E0F20">
        <w:rPr>
          <w:sz w:val="26"/>
          <w:szCs w:val="26"/>
        </w:rPr>
        <w:t xml:space="preserve"> reversed, in part, the ALJ’s Initial decision to the extent it determined that PGW did not properly transfer the balance of the former ratepayer at the service address.  </w:t>
      </w:r>
      <w:r w:rsidR="00AA2673" w:rsidRPr="001E0F20">
        <w:rPr>
          <w:sz w:val="26"/>
          <w:szCs w:val="26"/>
        </w:rPr>
        <w:t>We</w:t>
      </w:r>
      <w:r w:rsidR="00230A78" w:rsidRPr="001E0F20">
        <w:rPr>
          <w:sz w:val="26"/>
          <w:szCs w:val="26"/>
        </w:rPr>
        <w:t xml:space="preserve"> concluded that Mr. McLean’s Complaint warranted a full dismissal because there was in sufficient evidence to find that PGW violated the Code.</w:t>
      </w:r>
    </w:p>
    <w:p w14:paraId="0A2E6F65" w14:textId="77777777" w:rsidR="00AA2673" w:rsidRPr="001E0F20" w:rsidRDefault="00AA2673" w:rsidP="00DE6AB3">
      <w:pPr>
        <w:widowControl/>
        <w:spacing w:line="360" w:lineRule="auto"/>
        <w:ind w:firstLine="1440"/>
        <w:rPr>
          <w:sz w:val="26"/>
          <w:szCs w:val="26"/>
        </w:rPr>
      </w:pPr>
    </w:p>
    <w:p w14:paraId="327420C7" w14:textId="77777777" w:rsidR="00BC399E" w:rsidRPr="001E0F20" w:rsidRDefault="00AA2673" w:rsidP="00864A7E">
      <w:pPr>
        <w:widowControl/>
        <w:spacing w:line="360" w:lineRule="auto"/>
        <w:ind w:firstLine="1440"/>
        <w:rPr>
          <w:sz w:val="26"/>
          <w:szCs w:val="26"/>
        </w:rPr>
      </w:pPr>
      <w:r w:rsidRPr="001E0F20">
        <w:rPr>
          <w:sz w:val="26"/>
          <w:szCs w:val="26"/>
        </w:rPr>
        <w:t xml:space="preserve">We </w:t>
      </w:r>
      <w:r w:rsidR="00BC399E" w:rsidRPr="001E0F20">
        <w:rPr>
          <w:sz w:val="26"/>
          <w:szCs w:val="26"/>
        </w:rPr>
        <w:t xml:space="preserve">explained in the </w:t>
      </w:r>
      <w:r w:rsidR="003D692F" w:rsidRPr="001E0F20">
        <w:rPr>
          <w:i/>
          <w:sz w:val="26"/>
          <w:szCs w:val="26"/>
        </w:rPr>
        <w:t>November</w:t>
      </w:r>
      <w:r w:rsidR="00BC399E" w:rsidRPr="001E0F20">
        <w:rPr>
          <w:i/>
          <w:sz w:val="26"/>
          <w:szCs w:val="26"/>
        </w:rPr>
        <w:t xml:space="preserve"> 2017</w:t>
      </w:r>
      <w:r w:rsidR="00BC399E" w:rsidRPr="001E0F20">
        <w:rPr>
          <w:sz w:val="26"/>
          <w:szCs w:val="26"/>
        </w:rPr>
        <w:t xml:space="preserve"> </w:t>
      </w:r>
      <w:r w:rsidR="00BC399E" w:rsidRPr="001E0F20">
        <w:rPr>
          <w:i/>
          <w:sz w:val="26"/>
          <w:szCs w:val="26"/>
        </w:rPr>
        <w:t>Order</w:t>
      </w:r>
      <w:r w:rsidRPr="001E0F20">
        <w:rPr>
          <w:sz w:val="26"/>
          <w:szCs w:val="26"/>
        </w:rPr>
        <w:t xml:space="preserve"> that</w:t>
      </w:r>
      <w:r w:rsidR="00281538" w:rsidRPr="001E0F20">
        <w:rPr>
          <w:sz w:val="26"/>
          <w:szCs w:val="26"/>
        </w:rPr>
        <w:t>,</w:t>
      </w:r>
      <w:r w:rsidR="00BC399E" w:rsidRPr="001E0F20">
        <w:rPr>
          <w:sz w:val="26"/>
          <w:szCs w:val="26"/>
        </w:rPr>
        <w:t xml:space="preserve"> if the customer or </w:t>
      </w:r>
      <w:r w:rsidR="004B5020" w:rsidRPr="001E0F20">
        <w:rPr>
          <w:sz w:val="26"/>
          <w:szCs w:val="26"/>
        </w:rPr>
        <w:t xml:space="preserve">applicant </w:t>
      </w:r>
      <w:r w:rsidR="00BC399E" w:rsidRPr="001E0F20">
        <w:rPr>
          <w:sz w:val="26"/>
          <w:szCs w:val="26"/>
        </w:rPr>
        <w:t>wishes to contest</w:t>
      </w:r>
      <w:r w:rsidR="009B3FF9" w:rsidRPr="001E0F20">
        <w:rPr>
          <w:sz w:val="26"/>
          <w:szCs w:val="26"/>
        </w:rPr>
        <w:t xml:space="preserve"> </w:t>
      </w:r>
      <w:r w:rsidR="00BC399E" w:rsidRPr="001E0F20">
        <w:rPr>
          <w:sz w:val="26"/>
          <w:szCs w:val="26"/>
        </w:rPr>
        <w:t xml:space="preserve">the assignment </w:t>
      </w:r>
      <w:r w:rsidR="009B3FF9" w:rsidRPr="001E0F20">
        <w:rPr>
          <w:sz w:val="26"/>
          <w:szCs w:val="26"/>
        </w:rPr>
        <w:t xml:space="preserve">of financial responsibility </w:t>
      </w:r>
      <w:r w:rsidR="00BC399E" w:rsidRPr="001E0F20">
        <w:rPr>
          <w:sz w:val="26"/>
          <w:szCs w:val="26"/>
        </w:rPr>
        <w:t>in a formal complaint before the Commission, the customer-complainant has the burden of proof in demonstrating that the utility acted in violation of the Code</w:t>
      </w:r>
      <w:r w:rsidR="009B3FF9" w:rsidRPr="001E0F20">
        <w:rPr>
          <w:sz w:val="26"/>
          <w:szCs w:val="26"/>
        </w:rPr>
        <w:t>,</w:t>
      </w:r>
      <w:r w:rsidR="00BC399E" w:rsidRPr="001E0F20">
        <w:rPr>
          <w:sz w:val="26"/>
          <w:szCs w:val="26"/>
        </w:rPr>
        <w:t xml:space="preserve"> the Commission’s Regulations or Orders.  </w:t>
      </w:r>
      <w:r w:rsidR="00641375" w:rsidRPr="001E0F20">
        <w:rPr>
          <w:sz w:val="26"/>
          <w:szCs w:val="26"/>
        </w:rPr>
        <w:t>66 Pa. C.S. §§ 332(a), 701.</w:t>
      </w:r>
      <w:r w:rsidR="001C45B6" w:rsidRPr="001E0F20">
        <w:rPr>
          <w:rStyle w:val="FootnoteReference"/>
          <w:sz w:val="26"/>
          <w:szCs w:val="26"/>
        </w:rPr>
        <w:footnoteReference w:id="7"/>
      </w:r>
      <w:r w:rsidRPr="001E0F20">
        <w:rPr>
          <w:sz w:val="26"/>
          <w:szCs w:val="26"/>
        </w:rPr>
        <w:t xml:space="preserve">  We explained that </w:t>
      </w:r>
      <w:r w:rsidR="00BC399E" w:rsidRPr="001E0F20">
        <w:rPr>
          <w:sz w:val="26"/>
          <w:szCs w:val="26"/>
        </w:rPr>
        <w:t>the Petitioner, as the complainant in this case, had the burden of proof in showing that PGW incorrectly assigned the arrearage, which accrued at the service address from 2012 to December 2014, to him.  In reviewing the evidence presented by the Petitioner, which consisted entirely of his oral testimony at the hearing, we concluded that the Petitioner failed to satisfy his burden of proof to demonstrate that PGW improperly tran</w:t>
      </w:r>
      <w:r w:rsidR="00D84628" w:rsidRPr="001E0F20">
        <w:rPr>
          <w:sz w:val="26"/>
          <w:szCs w:val="26"/>
        </w:rPr>
        <w:t>sferred the outstanding balance in question to him.</w:t>
      </w:r>
    </w:p>
    <w:p w14:paraId="2C1A36C7" w14:textId="77777777" w:rsidR="00BC399E" w:rsidRPr="001E0F20" w:rsidRDefault="00BC399E" w:rsidP="00864A7E">
      <w:pPr>
        <w:widowControl/>
        <w:spacing w:line="360" w:lineRule="auto"/>
        <w:ind w:firstLine="1440"/>
        <w:rPr>
          <w:sz w:val="26"/>
          <w:szCs w:val="26"/>
        </w:rPr>
      </w:pPr>
    </w:p>
    <w:p w14:paraId="04B44AE3" w14:textId="77777777" w:rsidR="00BC399E" w:rsidRPr="001E0F20" w:rsidRDefault="00BC399E" w:rsidP="00864A7E">
      <w:pPr>
        <w:widowControl/>
        <w:spacing w:line="360" w:lineRule="auto"/>
        <w:ind w:firstLine="1440"/>
        <w:rPr>
          <w:sz w:val="26"/>
          <w:szCs w:val="26"/>
        </w:rPr>
      </w:pPr>
      <w:r w:rsidRPr="001E0F20">
        <w:rPr>
          <w:sz w:val="26"/>
          <w:szCs w:val="26"/>
        </w:rPr>
        <w:t xml:space="preserve">More specifically, we acknowledged that the ALJ determined that the Petitioner </w:t>
      </w:r>
      <w:r w:rsidR="00BE347E" w:rsidRPr="001E0F20">
        <w:rPr>
          <w:sz w:val="26"/>
          <w:szCs w:val="26"/>
        </w:rPr>
        <w:t>c</w:t>
      </w:r>
      <w:r w:rsidRPr="001E0F20">
        <w:rPr>
          <w:sz w:val="26"/>
          <w:szCs w:val="26"/>
        </w:rPr>
        <w:t xml:space="preserve">redibly testified that he did not live at the service address from 1986 until December 2014, when he inherited the property.  We also acknowledged that the ALJ </w:t>
      </w:r>
      <w:r w:rsidRPr="001E0F20">
        <w:rPr>
          <w:sz w:val="26"/>
          <w:szCs w:val="26"/>
        </w:rPr>
        <w:lastRenderedPageBreak/>
        <w:t>found that the Petitioner credibly testified that from 2012 until December 2014, he was largely homeless and reliant upon friends.  However, we noted that the Petitioner’s testimony was not accompanied by a single document to substantiate that he had lived anywhere other than the service address at any point from 1986, when the Petitioner admitted to living at the service address, until December 2014, when the Petitioner moved back into the property.  Moreover, when asked in cross examination, the Petitioner was unable to provide</w:t>
      </w:r>
      <w:r w:rsidR="0021587A" w:rsidRPr="001E0F20">
        <w:rPr>
          <w:sz w:val="26"/>
          <w:szCs w:val="26"/>
        </w:rPr>
        <w:t xml:space="preserve"> any specifics, such as</w:t>
      </w:r>
      <w:r w:rsidRPr="001E0F20">
        <w:rPr>
          <w:sz w:val="26"/>
          <w:szCs w:val="26"/>
        </w:rPr>
        <w:t xml:space="preserve"> addresses where he lived </w:t>
      </w:r>
      <w:r w:rsidR="0021587A" w:rsidRPr="001E0F20">
        <w:rPr>
          <w:sz w:val="26"/>
          <w:szCs w:val="26"/>
        </w:rPr>
        <w:t>or</w:t>
      </w:r>
      <w:r w:rsidRPr="001E0F20">
        <w:rPr>
          <w:sz w:val="26"/>
          <w:szCs w:val="26"/>
        </w:rPr>
        <w:t xml:space="preserve"> full names of any individuals with whom he lived</w:t>
      </w:r>
      <w:r w:rsidR="00DF15CD" w:rsidRPr="001E0F20">
        <w:rPr>
          <w:sz w:val="26"/>
          <w:szCs w:val="26"/>
        </w:rPr>
        <w:t xml:space="preserve"> or stayed</w:t>
      </w:r>
      <w:r w:rsidR="0021587A" w:rsidRPr="001E0F20">
        <w:rPr>
          <w:sz w:val="26"/>
          <w:szCs w:val="26"/>
        </w:rPr>
        <w:t>,</w:t>
      </w:r>
      <w:r w:rsidRPr="001E0F20">
        <w:rPr>
          <w:sz w:val="26"/>
          <w:szCs w:val="26"/>
        </w:rPr>
        <w:t xml:space="preserve"> during the </w:t>
      </w:r>
      <w:r w:rsidR="00DE6AB3" w:rsidRPr="001E0F20">
        <w:rPr>
          <w:sz w:val="26"/>
          <w:szCs w:val="26"/>
        </w:rPr>
        <w:t>period</w:t>
      </w:r>
      <w:r w:rsidRPr="001E0F20">
        <w:rPr>
          <w:sz w:val="26"/>
          <w:szCs w:val="26"/>
        </w:rPr>
        <w:t xml:space="preserve"> in question.</w:t>
      </w:r>
    </w:p>
    <w:p w14:paraId="6A3BFE79" w14:textId="182FD8FF" w:rsidR="00BC399E" w:rsidRPr="001E0F20" w:rsidRDefault="00BC399E" w:rsidP="00ED5B53">
      <w:pPr>
        <w:widowControl/>
        <w:spacing w:line="360" w:lineRule="auto"/>
        <w:rPr>
          <w:sz w:val="26"/>
          <w:szCs w:val="26"/>
        </w:rPr>
      </w:pPr>
      <w:r w:rsidRPr="001E0F20">
        <w:rPr>
          <w:sz w:val="26"/>
          <w:szCs w:val="26"/>
        </w:rPr>
        <w:t>Based on the evidence presented by the Petitioner, we found that the Petitioner failed to meet his initial burd</w:t>
      </w:r>
      <w:r w:rsidR="00FA0E9D" w:rsidRPr="001E0F20">
        <w:rPr>
          <w:sz w:val="26"/>
          <w:szCs w:val="26"/>
        </w:rPr>
        <w:t>en of proof because he failed to demonstrate</w:t>
      </w:r>
      <w:r w:rsidR="001C752B" w:rsidRPr="001E0F20">
        <w:rPr>
          <w:sz w:val="26"/>
          <w:szCs w:val="26"/>
        </w:rPr>
        <w:t>,</w:t>
      </w:r>
      <w:r w:rsidR="00FA0E9D" w:rsidRPr="001E0F20">
        <w:rPr>
          <w:sz w:val="26"/>
          <w:szCs w:val="26"/>
        </w:rPr>
        <w:t xml:space="preserve"> </w:t>
      </w:r>
      <w:r w:rsidR="001C752B" w:rsidRPr="001E0F20">
        <w:rPr>
          <w:sz w:val="26"/>
          <w:szCs w:val="26"/>
        </w:rPr>
        <w:t>with any specificity</w:t>
      </w:r>
      <w:r w:rsidR="009B3FF9" w:rsidRPr="001E0F20">
        <w:rPr>
          <w:sz w:val="26"/>
          <w:szCs w:val="26"/>
        </w:rPr>
        <w:t xml:space="preserve"> or supporting documentation</w:t>
      </w:r>
      <w:r w:rsidR="001C752B" w:rsidRPr="001E0F20">
        <w:rPr>
          <w:sz w:val="26"/>
          <w:szCs w:val="26"/>
        </w:rPr>
        <w:t xml:space="preserve">, </w:t>
      </w:r>
      <w:r w:rsidR="00FA0E9D" w:rsidRPr="001E0F20">
        <w:rPr>
          <w:sz w:val="26"/>
          <w:szCs w:val="26"/>
        </w:rPr>
        <w:t xml:space="preserve">that he lived </w:t>
      </w:r>
      <w:r w:rsidR="0021587A" w:rsidRPr="001E0F20">
        <w:rPr>
          <w:sz w:val="26"/>
          <w:szCs w:val="26"/>
        </w:rPr>
        <w:t>or stayed elsewhere</w:t>
      </w:r>
      <w:r w:rsidR="00FA0E9D" w:rsidRPr="001E0F20">
        <w:rPr>
          <w:sz w:val="26"/>
          <w:szCs w:val="26"/>
        </w:rPr>
        <w:t xml:space="preserve"> during the time the disputed arrearage accrued.</w:t>
      </w:r>
    </w:p>
    <w:p w14:paraId="1A9E604B" w14:textId="77777777" w:rsidR="00BC399E" w:rsidRPr="001E0F20" w:rsidRDefault="00BC399E" w:rsidP="001E0F20">
      <w:pPr>
        <w:widowControl/>
        <w:spacing w:line="360" w:lineRule="auto"/>
        <w:ind w:firstLine="1440"/>
        <w:rPr>
          <w:sz w:val="26"/>
          <w:szCs w:val="26"/>
        </w:rPr>
      </w:pPr>
    </w:p>
    <w:p w14:paraId="48E0EC25" w14:textId="77777777" w:rsidR="00CE5CB5" w:rsidRPr="001E0F20" w:rsidRDefault="00BC399E" w:rsidP="001E0F20">
      <w:pPr>
        <w:widowControl/>
        <w:spacing w:line="360" w:lineRule="auto"/>
        <w:ind w:firstLine="1440"/>
        <w:rPr>
          <w:sz w:val="26"/>
          <w:szCs w:val="26"/>
        </w:rPr>
      </w:pPr>
      <w:r w:rsidRPr="001E0F20">
        <w:rPr>
          <w:sz w:val="26"/>
          <w:szCs w:val="26"/>
        </w:rPr>
        <w:t xml:space="preserve">Notwithstanding the foregoing, we continued our analysis in the </w:t>
      </w:r>
      <w:r w:rsidR="003D692F" w:rsidRPr="001E0F20">
        <w:rPr>
          <w:i/>
          <w:sz w:val="26"/>
          <w:szCs w:val="26"/>
        </w:rPr>
        <w:t>November</w:t>
      </w:r>
      <w:r w:rsidRPr="001E0F20">
        <w:rPr>
          <w:i/>
          <w:sz w:val="26"/>
          <w:szCs w:val="26"/>
        </w:rPr>
        <w:t xml:space="preserve"> 2017 Order</w:t>
      </w:r>
      <w:r w:rsidRPr="001E0F20">
        <w:rPr>
          <w:sz w:val="26"/>
          <w:szCs w:val="26"/>
        </w:rPr>
        <w:t xml:space="preserve"> by recognizing that even if Mr. McLean’s testimony had been sufficient to carry the burden of proof initially, PGW credibly carried its burden of production by rebutting Mr. McLean’s testimony with: (1) its customer contact report which stated that Mr. McLean told PGW that he was living at the service address; and (2) an Experian credit report that could find no other address for Mr. McLean since 1986 other than the service address during the period of time in question. </w:t>
      </w:r>
      <w:r w:rsidR="00560B1D" w:rsidRPr="001E0F20">
        <w:rPr>
          <w:sz w:val="26"/>
          <w:szCs w:val="26"/>
        </w:rPr>
        <w:t xml:space="preserve"> </w:t>
      </w:r>
      <w:r w:rsidR="00A02795" w:rsidRPr="001E0F20">
        <w:rPr>
          <w:sz w:val="26"/>
          <w:szCs w:val="26"/>
        </w:rPr>
        <w:t xml:space="preserve">Since the Complainant did not admit any additional </w:t>
      </w:r>
      <w:r w:rsidRPr="001E0F20">
        <w:rPr>
          <w:sz w:val="26"/>
          <w:szCs w:val="26"/>
        </w:rPr>
        <w:t>evidence to rebut PGW’s evidence, we determined that Mr. McLean failed to carry his burden of production, and in doing so, failed to carry his burden of proof.</w:t>
      </w:r>
    </w:p>
    <w:p w14:paraId="77D02B8B" w14:textId="77777777" w:rsidR="00324C4B" w:rsidRPr="001E0F20" w:rsidRDefault="00324C4B" w:rsidP="001E0F20">
      <w:pPr>
        <w:widowControl/>
        <w:spacing w:line="360" w:lineRule="auto"/>
        <w:ind w:firstLine="1440"/>
        <w:rPr>
          <w:sz w:val="26"/>
          <w:szCs w:val="26"/>
        </w:rPr>
      </w:pPr>
    </w:p>
    <w:p w14:paraId="0823671D" w14:textId="155C82DD" w:rsidR="00864A7E" w:rsidRPr="001E0F20" w:rsidRDefault="00864A7E" w:rsidP="001E0F20">
      <w:pPr>
        <w:widowControl/>
        <w:spacing w:line="360" w:lineRule="auto"/>
        <w:ind w:firstLine="1440"/>
        <w:rPr>
          <w:sz w:val="26"/>
          <w:szCs w:val="26"/>
        </w:rPr>
      </w:pPr>
      <w:r w:rsidRPr="001E0F20">
        <w:rPr>
          <w:sz w:val="26"/>
          <w:szCs w:val="26"/>
        </w:rPr>
        <w:t xml:space="preserve">Upon review of the record, and upon our own motion, we believe it is appropriate to clarify our </w:t>
      </w:r>
      <w:r w:rsidRPr="001E0F20">
        <w:rPr>
          <w:i/>
          <w:sz w:val="26"/>
          <w:szCs w:val="26"/>
        </w:rPr>
        <w:t>November 2017 Order</w:t>
      </w:r>
      <w:r w:rsidRPr="001E0F20">
        <w:rPr>
          <w:sz w:val="26"/>
          <w:szCs w:val="26"/>
        </w:rPr>
        <w:t xml:space="preserve"> here.  While it was correct to state that PGW credibly rebutted the Petitioner’s testimony with its customer contact report, we clarify that PGW did not present the Experian credit report as a hearing exhibit in this proceeding.  </w:t>
      </w:r>
      <w:r w:rsidRPr="001E0F20">
        <w:rPr>
          <w:i/>
          <w:sz w:val="26"/>
          <w:szCs w:val="26"/>
        </w:rPr>
        <w:t>See</w:t>
      </w:r>
      <w:r w:rsidRPr="001E0F20">
        <w:rPr>
          <w:sz w:val="26"/>
          <w:szCs w:val="26"/>
        </w:rPr>
        <w:t xml:space="preserve"> I.D. at 6, n. 7.  </w:t>
      </w:r>
      <w:r w:rsidR="00A21A46" w:rsidRPr="001E0F20">
        <w:rPr>
          <w:sz w:val="26"/>
          <w:szCs w:val="26"/>
        </w:rPr>
        <w:t>As clarification</w:t>
      </w:r>
      <w:r w:rsidRPr="001E0F20">
        <w:rPr>
          <w:sz w:val="26"/>
          <w:szCs w:val="26"/>
        </w:rPr>
        <w:t xml:space="preserve">, it is </w:t>
      </w:r>
      <w:r w:rsidR="00A21A46" w:rsidRPr="001E0F20">
        <w:rPr>
          <w:sz w:val="26"/>
          <w:szCs w:val="26"/>
        </w:rPr>
        <w:t>accurate</w:t>
      </w:r>
      <w:r w:rsidRPr="001E0F20">
        <w:rPr>
          <w:sz w:val="26"/>
          <w:szCs w:val="26"/>
        </w:rPr>
        <w:t xml:space="preserve"> to state that PGW credibly </w:t>
      </w:r>
      <w:r w:rsidRPr="001E0F20">
        <w:rPr>
          <w:sz w:val="26"/>
          <w:szCs w:val="26"/>
        </w:rPr>
        <w:lastRenderedPageBreak/>
        <w:t>carried its burden of production by rebutting Mr. McLean’s testimony with its customer contact report</w:t>
      </w:r>
      <w:r w:rsidR="00A21A46" w:rsidRPr="001E0F20">
        <w:rPr>
          <w:sz w:val="26"/>
          <w:szCs w:val="26"/>
        </w:rPr>
        <w:t>, which</w:t>
      </w:r>
      <w:r w:rsidRPr="001E0F20">
        <w:rPr>
          <w:sz w:val="26"/>
          <w:szCs w:val="26"/>
        </w:rPr>
        <w:t xml:space="preserve"> stated that: (1) Mr. McLean told PGW that he was living at the service address; and (2) the Experian credit report stated that Mr. McLean was lin</w:t>
      </w:r>
      <w:r w:rsidR="00567390" w:rsidRPr="001E0F20">
        <w:rPr>
          <w:sz w:val="26"/>
          <w:szCs w:val="26"/>
        </w:rPr>
        <w:t>ked to the property since 1986.</w:t>
      </w:r>
      <w:r w:rsidRPr="001E0F20">
        <w:rPr>
          <w:sz w:val="26"/>
          <w:szCs w:val="26"/>
        </w:rPr>
        <w:t xml:space="preserve">  Thus, the customer contact report demonstrated that PGW </w:t>
      </w:r>
      <w:r w:rsidRPr="001E0F20">
        <w:rPr>
          <w:i/>
          <w:sz w:val="26"/>
          <w:szCs w:val="26"/>
        </w:rPr>
        <w:t>relied upon</w:t>
      </w:r>
      <w:r w:rsidRPr="001E0F20">
        <w:rPr>
          <w:sz w:val="26"/>
          <w:szCs w:val="26"/>
        </w:rPr>
        <w:t xml:space="preserve"> the Experian credit report statement when it took the action of assigning the disputed arrearage to the Petitioner.  As </w:t>
      </w:r>
      <w:r w:rsidR="00A21A46" w:rsidRPr="001E0F20">
        <w:rPr>
          <w:sz w:val="26"/>
          <w:szCs w:val="26"/>
        </w:rPr>
        <w:t>explained</w:t>
      </w:r>
      <w:r w:rsidRPr="001E0F20">
        <w:rPr>
          <w:sz w:val="26"/>
          <w:szCs w:val="26"/>
        </w:rPr>
        <w:t xml:space="preserve"> above, public utilities are permitted under 52 Pa. Code 56.35(b)(2) to rely upon commercially available credit reports to establish possible residence of the applicant at the property during the time the arrearage was accrued.  Thus, PGW’s evidence demonstrated that PGW complied with the Commission’s regulations when it assigned financial responsibility of the disputed account balance to Mr. McLean.  </w:t>
      </w:r>
      <w:r w:rsidR="001874B9" w:rsidRPr="001E0F20">
        <w:rPr>
          <w:sz w:val="26"/>
          <w:szCs w:val="26"/>
        </w:rPr>
        <w:t xml:space="preserve">The foregoing </w:t>
      </w:r>
      <w:r w:rsidRPr="001E0F20">
        <w:rPr>
          <w:sz w:val="26"/>
          <w:szCs w:val="26"/>
        </w:rPr>
        <w:t xml:space="preserve">clarification does not change </w:t>
      </w:r>
      <w:r w:rsidR="00A21A46" w:rsidRPr="001E0F20">
        <w:rPr>
          <w:sz w:val="26"/>
          <w:szCs w:val="26"/>
        </w:rPr>
        <w:t>our conclusion</w:t>
      </w:r>
      <w:r w:rsidRPr="001E0F20">
        <w:rPr>
          <w:sz w:val="26"/>
          <w:szCs w:val="26"/>
        </w:rPr>
        <w:t xml:space="preserve"> in the </w:t>
      </w:r>
      <w:r w:rsidRPr="001E0F20">
        <w:rPr>
          <w:i/>
          <w:iCs/>
          <w:sz w:val="26"/>
          <w:szCs w:val="26"/>
        </w:rPr>
        <w:t>November 2017 Order</w:t>
      </w:r>
      <w:r w:rsidR="001874B9" w:rsidRPr="001E0F20">
        <w:rPr>
          <w:sz w:val="26"/>
          <w:szCs w:val="26"/>
        </w:rPr>
        <w:t>, however.</w:t>
      </w:r>
      <w:r w:rsidR="00A21A46" w:rsidRPr="001E0F20">
        <w:rPr>
          <w:sz w:val="26"/>
          <w:szCs w:val="26"/>
        </w:rPr>
        <w:t xml:space="preserve">  It </w:t>
      </w:r>
      <w:r w:rsidR="001874B9" w:rsidRPr="001E0F20">
        <w:rPr>
          <w:sz w:val="26"/>
          <w:szCs w:val="26"/>
        </w:rPr>
        <w:t xml:space="preserve">remains </w:t>
      </w:r>
      <w:r w:rsidR="00A21A46" w:rsidRPr="001E0F20">
        <w:rPr>
          <w:sz w:val="26"/>
          <w:szCs w:val="26"/>
        </w:rPr>
        <w:t>accurate</w:t>
      </w:r>
      <w:r w:rsidRPr="001E0F20">
        <w:rPr>
          <w:sz w:val="26"/>
          <w:szCs w:val="26"/>
        </w:rPr>
        <w:t xml:space="preserve"> to state that PGW carried its burden of production with the customer credit report but that the Petitioner failed to present any evidence to rebut PGW’s evidence; therefore, the Petitioner failed to carry his burden of proof.</w:t>
      </w:r>
    </w:p>
    <w:p w14:paraId="51378180" w14:textId="77777777" w:rsidR="00FB17BF" w:rsidRPr="001E0F20" w:rsidRDefault="00FB17BF" w:rsidP="00DE6AB3">
      <w:pPr>
        <w:widowControl/>
        <w:spacing w:line="360" w:lineRule="auto"/>
        <w:contextualSpacing/>
        <w:rPr>
          <w:b/>
          <w:sz w:val="26"/>
          <w:szCs w:val="26"/>
        </w:rPr>
      </w:pPr>
    </w:p>
    <w:p w14:paraId="596FEDA8" w14:textId="44427F19" w:rsidR="003F0347" w:rsidRPr="001E0F20" w:rsidRDefault="00312C8E" w:rsidP="00DE6AB3">
      <w:pPr>
        <w:pStyle w:val="Heading1"/>
        <w:keepLines/>
        <w:widowControl/>
      </w:pPr>
      <w:r w:rsidRPr="001E0F20">
        <w:t>E</w:t>
      </w:r>
      <w:r w:rsidR="00FB17BF" w:rsidRPr="001E0F20">
        <w:t>.</w:t>
      </w:r>
      <w:r w:rsidR="00FB17BF" w:rsidRPr="001E0F20">
        <w:tab/>
      </w:r>
      <w:r w:rsidR="00776622" w:rsidRPr="001E0F20">
        <w:t xml:space="preserve">The Petition, Answer and </w:t>
      </w:r>
      <w:r w:rsidR="00CE0AE9" w:rsidRPr="001E0F20">
        <w:t>Disposition</w:t>
      </w:r>
    </w:p>
    <w:p w14:paraId="35FD1DEC" w14:textId="77777777" w:rsidR="00755991" w:rsidRPr="001E0F20" w:rsidRDefault="00755991" w:rsidP="00DE6AB3">
      <w:pPr>
        <w:keepNext/>
        <w:keepLines/>
        <w:widowControl/>
        <w:spacing w:line="360" w:lineRule="auto"/>
        <w:rPr>
          <w:b/>
          <w:sz w:val="26"/>
          <w:szCs w:val="26"/>
        </w:rPr>
      </w:pPr>
    </w:p>
    <w:p w14:paraId="4A71C30C" w14:textId="77777777" w:rsidR="003F0347" w:rsidRPr="001E0F20" w:rsidRDefault="003F0347" w:rsidP="00DE6AB3">
      <w:pPr>
        <w:widowControl/>
        <w:spacing w:line="360" w:lineRule="auto"/>
        <w:ind w:firstLine="1440"/>
        <w:rPr>
          <w:sz w:val="26"/>
          <w:szCs w:val="26"/>
        </w:rPr>
      </w:pPr>
      <w:r w:rsidRPr="001E0F20">
        <w:rPr>
          <w:sz w:val="26"/>
          <w:szCs w:val="26"/>
        </w:rPr>
        <w:t>In addressing the merits of Mr. McLean’s Petition</w:t>
      </w:r>
      <w:r w:rsidR="00E851B1" w:rsidRPr="001E0F20">
        <w:rPr>
          <w:sz w:val="26"/>
          <w:szCs w:val="26"/>
        </w:rPr>
        <w:t>,</w:t>
      </w:r>
      <w:r w:rsidRPr="001E0F20">
        <w:rPr>
          <w:sz w:val="26"/>
          <w:szCs w:val="26"/>
        </w:rPr>
        <w:t xml:space="preserve"> we will briefly summarize each of the arguments raised by Mr. McLean in the Petition and PGW’s responses as set forth in its Answer.</w:t>
      </w:r>
    </w:p>
    <w:p w14:paraId="095474CF" w14:textId="77777777" w:rsidR="00577A70" w:rsidRPr="001E0F20" w:rsidRDefault="00577A70" w:rsidP="00DE6AB3">
      <w:pPr>
        <w:widowControl/>
        <w:spacing w:line="360" w:lineRule="auto"/>
        <w:rPr>
          <w:rFonts w:eastAsiaTheme="minorHAnsi"/>
          <w:sz w:val="26"/>
          <w:szCs w:val="26"/>
        </w:rPr>
      </w:pPr>
    </w:p>
    <w:p w14:paraId="0811EDB0" w14:textId="77777777" w:rsidR="00D26314" w:rsidRPr="001E0F20" w:rsidRDefault="009726D8" w:rsidP="00864A7E">
      <w:pPr>
        <w:keepNext/>
        <w:keepLines/>
        <w:widowControl/>
        <w:spacing w:line="360" w:lineRule="auto"/>
        <w:ind w:left="720" w:firstLine="720"/>
        <w:rPr>
          <w:b/>
          <w:sz w:val="26"/>
          <w:szCs w:val="26"/>
        </w:rPr>
      </w:pPr>
      <w:r w:rsidRPr="001E0F20">
        <w:rPr>
          <w:b/>
          <w:sz w:val="26"/>
          <w:szCs w:val="26"/>
        </w:rPr>
        <w:t>1.</w:t>
      </w:r>
      <w:r w:rsidRPr="001E0F20">
        <w:rPr>
          <w:b/>
          <w:sz w:val="26"/>
          <w:szCs w:val="26"/>
        </w:rPr>
        <w:tab/>
      </w:r>
      <w:r w:rsidR="00E472A9" w:rsidRPr="001E0F20">
        <w:rPr>
          <w:b/>
          <w:sz w:val="26"/>
          <w:szCs w:val="26"/>
        </w:rPr>
        <w:t xml:space="preserve">Procedural </w:t>
      </w:r>
      <w:r w:rsidR="00D26314" w:rsidRPr="001E0F20">
        <w:rPr>
          <w:b/>
          <w:sz w:val="26"/>
          <w:szCs w:val="26"/>
        </w:rPr>
        <w:t>Due Process</w:t>
      </w:r>
      <w:r w:rsidR="00EA21EB" w:rsidRPr="001E0F20">
        <w:rPr>
          <w:rStyle w:val="FootnoteReference"/>
          <w:b/>
          <w:sz w:val="26"/>
          <w:szCs w:val="26"/>
        </w:rPr>
        <w:footnoteReference w:id="8"/>
      </w:r>
    </w:p>
    <w:p w14:paraId="32D82D2A" w14:textId="77777777" w:rsidR="00CB7B6F" w:rsidRPr="001E0F20" w:rsidRDefault="00CB7B6F" w:rsidP="00DE6AB3">
      <w:pPr>
        <w:pStyle w:val="ListParagraph"/>
        <w:keepNext/>
        <w:keepLines/>
        <w:spacing w:after="0" w:line="360" w:lineRule="auto"/>
        <w:ind w:left="2160"/>
        <w:rPr>
          <w:rFonts w:ascii="Times New Roman" w:hAnsi="Times New Roman" w:cs="Times New Roman"/>
          <w:b/>
          <w:sz w:val="26"/>
          <w:szCs w:val="26"/>
        </w:rPr>
      </w:pPr>
    </w:p>
    <w:p w14:paraId="2A496EE3" w14:textId="77777777" w:rsidR="00864A7E" w:rsidRPr="001E0F20" w:rsidRDefault="00864A7E" w:rsidP="00864A7E">
      <w:pPr>
        <w:widowControl/>
        <w:spacing w:line="360" w:lineRule="auto"/>
        <w:ind w:firstLine="1440"/>
        <w:contextualSpacing/>
        <w:rPr>
          <w:spacing w:val="-3"/>
          <w:sz w:val="26"/>
          <w:szCs w:val="26"/>
        </w:rPr>
      </w:pPr>
      <w:r w:rsidRPr="001E0F20">
        <w:rPr>
          <w:spacing w:val="-3"/>
          <w:sz w:val="26"/>
          <w:szCs w:val="26"/>
        </w:rPr>
        <w:t xml:space="preserve">In his Petition, Mr. McLean alleges that there were malfunctions with the audio equipment and the transcription process during the telephonic hearing held in this proceeding.  Petition at ¶¶ 1-5.  Mr. McLean also claims he did not receive notice informing </w:t>
      </w:r>
      <w:r w:rsidRPr="001E0F20">
        <w:rPr>
          <w:spacing w:val="-3"/>
          <w:sz w:val="26"/>
          <w:szCs w:val="26"/>
        </w:rPr>
        <w:lastRenderedPageBreak/>
        <w:t xml:space="preserve">him of these alleged malfunctions.  Petition at ¶ 3.  Additionally, he claims that the opportunity to inspect the transcript was not launched through an available or open process.  Petition at ¶ 4.  The Petitioner states that due to the equipment malfunctions affecting the transcript, the Commission’s </w:t>
      </w:r>
      <w:r w:rsidRPr="001E0F20">
        <w:rPr>
          <w:i/>
          <w:spacing w:val="-3"/>
          <w:sz w:val="26"/>
          <w:szCs w:val="26"/>
        </w:rPr>
        <w:t>November 2017 Order</w:t>
      </w:r>
      <w:r w:rsidRPr="001E0F20">
        <w:rPr>
          <w:spacing w:val="-3"/>
          <w:sz w:val="26"/>
          <w:szCs w:val="26"/>
        </w:rPr>
        <w:t xml:space="preserve"> was an overreach of the Commission’s authority because the Commission failed to withhold reaching a final decision until the issues that occurred during the hearing had been corrected.  Petition at ¶ 5.</w:t>
      </w:r>
    </w:p>
    <w:p w14:paraId="5E2FD101" w14:textId="77777777" w:rsidR="00864A7E" w:rsidRPr="001E0F20" w:rsidRDefault="00864A7E" w:rsidP="00864A7E">
      <w:pPr>
        <w:widowControl/>
        <w:spacing w:line="360" w:lineRule="auto"/>
        <w:ind w:firstLine="1440"/>
        <w:contextualSpacing/>
        <w:rPr>
          <w:spacing w:val="-3"/>
          <w:sz w:val="26"/>
          <w:szCs w:val="26"/>
        </w:rPr>
      </w:pPr>
    </w:p>
    <w:p w14:paraId="6B720BB2" w14:textId="77777777" w:rsidR="00864A7E" w:rsidRPr="001E0F20" w:rsidRDefault="00864A7E" w:rsidP="00864A7E">
      <w:pPr>
        <w:widowControl/>
        <w:spacing w:line="360" w:lineRule="auto"/>
        <w:ind w:firstLine="1440"/>
        <w:contextualSpacing/>
        <w:rPr>
          <w:spacing w:val="-3"/>
          <w:sz w:val="26"/>
          <w:szCs w:val="26"/>
        </w:rPr>
      </w:pPr>
      <w:r w:rsidRPr="001E0F20">
        <w:rPr>
          <w:spacing w:val="-3"/>
          <w:sz w:val="26"/>
          <w:szCs w:val="26"/>
        </w:rPr>
        <w:t xml:space="preserve">In its Answer, PGW generally denies the averments made by the Petitioner regarding the alleged malfunctions of the audio equipment used to record and/or transcribe the telephonic hearing.  Answer at ¶¶ 1-5.  PGW explains that according to the Commission’s docket, the transcript of the telephonic hearing that occurred on June 15, 2016, was received by the Commission on July 13, 2016, and it appears to have been transcribed in the normal course as with all Commission hearings.  Answer at ¶ 1.  Furthermore, PGW points out that the Petitioner fails to state which parts of the transcript are materially lacking due to the alleged malfunctions of the equipment used to record and/or transcribe the hearing, Answer at ¶¶ 1-3, and fails to identify specific areas from the transcript that are missing or incorrect which render it inadequate.  Answer at ¶ 5.  To its knowledge, PGW maintains that the transcript, as filed with the Commission, represents an accurate transcribing of the hearing that occurred on June 15, 2016.  </w:t>
      </w:r>
      <w:r w:rsidRPr="001E0F20">
        <w:rPr>
          <w:i/>
          <w:spacing w:val="-3"/>
          <w:sz w:val="26"/>
          <w:szCs w:val="26"/>
        </w:rPr>
        <w:t>Id</w:t>
      </w:r>
      <w:r w:rsidRPr="001E0F20">
        <w:rPr>
          <w:spacing w:val="-3"/>
          <w:sz w:val="26"/>
          <w:szCs w:val="26"/>
        </w:rPr>
        <w:t xml:space="preserve">.  Additionally, PGW asserts in its Answer that the transcript is available for inspection at the Commission’s Secretary’s Bureau and is available for purchase from the court reporting service.  Answer at ¶ 4.  Further, PGW explains that the transcript’s availability is made known to anyone who reviews the Commission’s electronic docket information.  </w:t>
      </w:r>
      <w:r w:rsidRPr="001E0F20">
        <w:rPr>
          <w:i/>
          <w:spacing w:val="-3"/>
          <w:sz w:val="26"/>
          <w:szCs w:val="26"/>
        </w:rPr>
        <w:t>Id.</w:t>
      </w:r>
      <w:r w:rsidRPr="001E0F20">
        <w:rPr>
          <w:spacing w:val="-3"/>
          <w:sz w:val="26"/>
          <w:szCs w:val="26"/>
        </w:rPr>
        <w:t xml:space="preserve">  PGW also notes that Mr. McLean filed Replies to PGW’s Exceptions but, at that time, he failed to raise any issue regarding the adequacy of the transcript.  </w:t>
      </w:r>
      <w:r w:rsidRPr="001E0F20">
        <w:rPr>
          <w:i/>
          <w:spacing w:val="-3"/>
          <w:sz w:val="26"/>
          <w:szCs w:val="26"/>
        </w:rPr>
        <w:t>Id</w:t>
      </w:r>
      <w:r w:rsidRPr="001E0F20">
        <w:rPr>
          <w:spacing w:val="-3"/>
          <w:sz w:val="26"/>
          <w:szCs w:val="26"/>
        </w:rPr>
        <w:t>.</w:t>
      </w:r>
    </w:p>
    <w:p w14:paraId="1137A0EE" w14:textId="77777777" w:rsidR="00DB156D" w:rsidRPr="001E0F20" w:rsidRDefault="00DB156D" w:rsidP="00DE6AB3">
      <w:pPr>
        <w:widowControl/>
        <w:spacing w:line="360" w:lineRule="auto"/>
        <w:ind w:firstLine="1440"/>
        <w:contextualSpacing/>
        <w:rPr>
          <w:spacing w:val="-3"/>
          <w:sz w:val="26"/>
          <w:szCs w:val="26"/>
        </w:rPr>
      </w:pPr>
    </w:p>
    <w:p w14:paraId="1E258847" w14:textId="205FEE3A" w:rsidR="00756FF5" w:rsidRPr="001E0F20" w:rsidRDefault="00864A7E" w:rsidP="00756FF5">
      <w:pPr>
        <w:widowControl/>
        <w:spacing w:line="360" w:lineRule="auto"/>
        <w:ind w:firstLine="1440"/>
        <w:contextualSpacing/>
        <w:rPr>
          <w:sz w:val="26"/>
          <w:szCs w:val="26"/>
        </w:rPr>
      </w:pPr>
      <w:r w:rsidRPr="001E0F20">
        <w:rPr>
          <w:spacing w:val="-3"/>
          <w:sz w:val="26"/>
          <w:szCs w:val="26"/>
        </w:rPr>
        <w:t xml:space="preserve">In our view, Mr. McLean’s claims in the Petition, as described above, raises a procedural due process challenge.  </w:t>
      </w:r>
      <w:r w:rsidR="001874B9" w:rsidRPr="001E0F20">
        <w:rPr>
          <w:spacing w:val="-3"/>
          <w:sz w:val="26"/>
          <w:szCs w:val="26"/>
        </w:rPr>
        <w:t xml:space="preserve">Mr. McLean appears to be </w:t>
      </w:r>
      <w:r w:rsidRPr="001E0F20">
        <w:rPr>
          <w:spacing w:val="-3"/>
          <w:sz w:val="26"/>
          <w:szCs w:val="26"/>
        </w:rPr>
        <w:t xml:space="preserve">asserting that he was not provided an </w:t>
      </w:r>
      <w:r w:rsidRPr="001E0F20">
        <w:rPr>
          <w:sz w:val="26"/>
          <w:szCs w:val="26"/>
        </w:rPr>
        <w:t>opportunity to be heard in a meaningful manner</w:t>
      </w:r>
      <w:r w:rsidRPr="001E0F20">
        <w:rPr>
          <w:spacing w:val="-3"/>
          <w:sz w:val="26"/>
          <w:szCs w:val="26"/>
        </w:rPr>
        <w:t xml:space="preserve"> based on the brief inaudible </w:t>
      </w:r>
      <w:r w:rsidRPr="001E0F20">
        <w:rPr>
          <w:spacing w:val="-3"/>
          <w:sz w:val="26"/>
          <w:szCs w:val="26"/>
        </w:rPr>
        <w:lastRenderedPageBreak/>
        <w:t xml:space="preserve">moments that were reflected in the transcript.  </w:t>
      </w:r>
      <w:r w:rsidR="00B25BEF" w:rsidRPr="001E0F20">
        <w:rPr>
          <w:sz w:val="26"/>
          <w:szCs w:val="26"/>
        </w:rPr>
        <w:t xml:space="preserve">However, as discussed further below, we find Mr. McLean’s assertions do not meet the </w:t>
      </w:r>
      <w:r w:rsidR="00B25BEF" w:rsidRPr="001E0F20">
        <w:rPr>
          <w:i/>
          <w:sz w:val="26"/>
          <w:szCs w:val="26"/>
        </w:rPr>
        <w:t xml:space="preserve">Duick </w:t>
      </w:r>
      <w:r w:rsidR="00B25BEF" w:rsidRPr="001E0F20">
        <w:rPr>
          <w:sz w:val="26"/>
          <w:szCs w:val="26"/>
        </w:rPr>
        <w:t xml:space="preserve">standard for granting rescission of an Order. </w:t>
      </w:r>
    </w:p>
    <w:p w14:paraId="20E9E004" w14:textId="77777777" w:rsidR="00864A7E" w:rsidRPr="001E0F20" w:rsidRDefault="00864A7E" w:rsidP="00756FF5">
      <w:pPr>
        <w:widowControl/>
        <w:spacing w:line="360" w:lineRule="auto"/>
        <w:ind w:firstLine="1440"/>
        <w:contextualSpacing/>
        <w:rPr>
          <w:sz w:val="26"/>
          <w:szCs w:val="26"/>
        </w:rPr>
      </w:pPr>
    </w:p>
    <w:p w14:paraId="702FD063" w14:textId="092C3BBC" w:rsidR="00B25BEF" w:rsidRPr="001E0F20" w:rsidRDefault="00B25BEF" w:rsidP="00864A7E">
      <w:pPr>
        <w:widowControl/>
        <w:spacing w:line="360" w:lineRule="auto"/>
        <w:ind w:firstLine="1440"/>
        <w:contextualSpacing/>
        <w:rPr>
          <w:sz w:val="26"/>
          <w:szCs w:val="26"/>
        </w:rPr>
      </w:pPr>
      <w:r w:rsidRPr="001E0F20">
        <w:rPr>
          <w:spacing w:val="-3"/>
          <w:sz w:val="26"/>
          <w:szCs w:val="26"/>
        </w:rPr>
        <w:t>W</w:t>
      </w:r>
      <w:r w:rsidR="004E0507" w:rsidRPr="001E0F20">
        <w:rPr>
          <w:spacing w:val="-3"/>
          <w:sz w:val="26"/>
          <w:szCs w:val="26"/>
        </w:rPr>
        <w:t>e recognize that t</w:t>
      </w:r>
      <w:r w:rsidR="000E2BB4" w:rsidRPr="001E0F20">
        <w:rPr>
          <w:spacing w:val="-3"/>
          <w:sz w:val="26"/>
          <w:szCs w:val="26"/>
        </w:rPr>
        <w:t>he transcript in this proceeding reflect</w:t>
      </w:r>
      <w:r w:rsidR="004E0507" w:rsidRPr="001E0F20">
        <w:rPr>
          <w:spacing w:val="-3"/>
          <w:sz w:val="26"/>
          <w:szCs w:val="26"/>
        </w:rPr>
        <w:t>s</w:t>
      </w:r>
      <w:r w:rsidR="000E2BB4" w:rsidRPr="001E0F20">
        <w:rPr>
          <w:spacing w:val="-3"/>
          <w:sz w:val="26"/>
          <w:szCs w:val="26"/>
        </w:rPr>
        <w:t xml:space="preserve"> that during the telephonic hearing there were several, brief instances where Mr. McLean was inaudible to the ALJ and the court reporter due to a poor telephone connection.  </w:t>
      </w:r>
      <w:r w:rsidRPr="001E0F20">
        <w:rPr>
          <w:i/>
          <w:spacing w:val="-3"/>
          <w:sz w:val="26"/>
          <w:szCs w:val="26"/>
        </w:rPr>
        <w:t>See</w:t>
      </w:r>
      <w:r w:rsidRPr="001E0F20">
        <w:rPr>
          <w:spacing w:val="-3"/>
          <w:sz w:val="26"/>
          <w:szCs w:val="26"/>
        </w:rPr>
        <w:t xml:space="preserve"> Tr. 6, 7, 17, 18, 20, 21, 25, and 33.  </w:t>
      </w:r>
      <w:r w:rsidR="000E2BB4" w:rsidRPr="001E0F20">
        <w:rPr>
          <w:spacing w:val="-3"/>
          <w:sz w:val="26"/>
          <w:szCs w:val="26"/>
        </w:rPr>
        <w:t xml:space="preserve">However, the transcript also reflects </w:t>
      </w:r>
      <w:r w:rsidR="00864A7E" w:rsidRPr="001E0F20">
        <w:rPr>
          <w:spacing w:val="-3"/>
          <w:sz w:val="26"/>
          <w:szCs w:val="26"/>
        </w:rPr>
        <w:t>that each time Mr. McLean was briefly inaudible, the ALJ addressed it directly by seeking clar</w:t>
      </w:r>
      <w:r w:rsidRPr="001E0F20">
        <w:rPr>
          <w:spacing w:val="-3"/>
          <w:sz w:val="26"/>
          <w:szCs w:val="26"/>
        </w:rPr>
        <w:t xml:space="preserve">ity of Mr. McLean’s statement. </w:t>
      </w:r>
      <w:r w:rsidRPr="001E0F20">
        <w:rPr>
          <w:i/>
          <w:spacing w:val="-3"/>
          <w:sz w:val="26"/>
          <w:szCs w:val="26"/>
        </w:rPr>
        <w:t>Id</w:t>
      </w:r>
      <w:r w:rsidR="00864A7E" w:rsidRPr="001E0F20">
        <w:rPr>
          <w:spacing w:val="-3"/>
          <w:sz w:val="26"/>
          <w:szCs w:val="26"/>
        </w:rPr>
        <w:t xml:space="preserve">.  In other words, upon reviewing the transcript, it did not appear that the ALJ simply ignored these brief moments of inaudibility but rather immediately addressed them to ensure that Mr. McLean was heard clearly and correctly.  </w:t>
      </w:r>
      <w:r w:rsidR="00864A7E" w:rsidRPr="001E0F20">
        <w:rPr>
          <w:i/>
          <w:spacing w:val="-3"/>
          <w:sz w:val="26"/>
          <w:szCs w:val="26"/>
        </w:rPr>
        <w:t>Id</w:t>
      </w:r>
      <w:r w:rsidR="00864A7E" w:rsidRPr="001E0F20">
        <w:rPr>
          <w:spacing w:val="-3"/>
          <w:sz w:val="26"/>
          <w:szCs w:val="26"/>
        </w:rPr>
        <w:t xml:space="preserve">.  Mr. </w:t>
      </w:r>
      <w:r w:rsidR="00864A7E" w:rsidRPr="001E0F20">
        <w:rPr>
          <w:sz w:val="26"/>
          <w:szCs w:val="26"/>
        </w:rPr>
        <w:t>McLean was given</w:t>
      </w:r>
      <w:r w:rsidR="000E2BB4" w:rsidRPr="001E0F20">
        <w:rPr>
          <w:sz w:val="26"/>
          <w:szCs w:val="26"/>
        </w:rPr>
        <w:t xml:space="preserve"> a</w:t>
      </w:r>
      <w:r w:rsidR="00864A7E" w:rsidRPr="001E0F20">
        <w:rPr>
          <w:sz w:val="26"/>
          <w:szCs w:val="26"/>
        </w:rPr>
        <w:t xml:space="preserve"> full opportunity to present his case</w:t>
      </w:r>
      <w:r w:rsidR="000E2BB4" w:rsidRPr="001E0F20">
        <w:rPr>
          <w:sz w:val="26"/>
          <w:szCs w:val="26"/>
        </w:rPr>
        <w:t xml:space="preserve"> at the hearing</w:t>
      </w:r>
      <w:r w:rsidR="00864A7E" w:rsidRPr="001E0F20">
        <w:rPr>
          <w:sz w:val="26"/>
          <w:szCs w:val="26"/>
        </w:rPr>
        <w:t xml:space="preserve">, including </w:t>
      </w:r>
      <w:r w:rsidR="00701472" w:rsidRPr="001E0F20">
        <w:rPr>
          <w:sz w:val="26"/>
          <w:szCs w:val="26"/>
        </w:rPr>
        <w:t xml:space="preserve">the </w:t>
      </w:r>
      <w:r w:rsidR="00864A7E" w:rsidRPr="001E0F20">
        <w:rPr>
          <w:sz w:val="26"/>
          <w:szCs w:val="26"/>
        </w:rPr>
        <w:t xml:space="preserve">opportunity to reiterate his position when the </w:t>
      </w:r>
      <w:r w:rsidR="00367C53" w:rsidRPr="001E0F20">
        <w:rPr>
          <w:sz w:val="26"/>
          <w:szCs w:val="26"/>
        </w:rPr>
        <w:t>ALJ</w:t>
      </w:r>
      <w:r w:rsidR="00864A7E" w:rsidRPr="001E0F20">
        <w:rPr>
          <w:sz w:val="26"/>
          <w:szCs w:val="26"/>
        </w:rPr>
        <w:t xml:space="preserve"> had trouble hearing him.  </w:t>
      </w:r>
      <w:r w:rsidR="000B2D37" w:rsidRPr="001E0F20">
        <w:rPr>
          <w:sz w:val="26"/>
          <w:szCs w:val="26"/>
        </w:rPr>
        <w:t xml:space="preserve">He also had the opportunity to propose corrections to the transcript prior to the issuance of the Initial Decision if the court reporter had transcribed his testimony inaccurately.  </w:t>
      </w:r>
      <w:r w:rsidR="000E2BB4" w:rsidRPr="001E0F20">
        <w:rPr>
          <w:sz w:val="26"/>
          <w:szCs w:val="26"/>
        </w:rPr>
        <w:t xml:space="preserve">52 Pa. Code § 5.253.  </w:t>
      </w:r>
    </w:p>
    <w:p w14:paraId="4BA5917C" w14:textId="77777777" w:rsidR="00B25BEF" w:rsidRPr="001E0F20" w:rsidRDefault="00B25BEF" w:rsidP="00864A7E">
      <w:pPr>
        <w:widowControl/>
        <w:spacing w:line="360" w:lineRule="auto"/>
        <w:ind w:firstLine="1440"/>
        <w:contextualSpacing/>
        <w:rPr>
          <w:sz w:val="26"/>
          <w:szCs w:val="26"/>
        </w:rPr>
      </w:pPr>
    </w:p>
    <w:p w14:paraId="1B4FC88F" w14:textId="6F1AEE96" w:rsidR="00864A7E" w:rsidRPr="001E0F20" w:rsidRDefault="00864A7E" w:rsidP="00864A7E">
      <w:pPr>
        <w:widowControl/>
        <w:spacing w:line="360" w:lineRule="auto"/>
        <w:ind w:firstLine="1440"/>
        <w:contextualSpacing/>
        <w:rPr>
          <w:spacing w:val="-3"/>
          <w:sz w:val="26"/>
          <w:szCs w:val="26"/>
        </w:rPr>
      </w:pPr>
      <w:r w:rsidRPr="001E0F20">
        <w:rPr>
          <w:spacing w:val="-3"/>
          <w:sz w:val="26"/>
          <w:szCs w:val="26"/>
        </w:rPr>
        <w:t xml:space="preserve">Furthermore, </w:t>
      </w:r>
      <w:r w:rsidR="00B25BEF" w:rsidRPr="001E0F20">
        <w:rPr>
          <w:spacing w:val="-3"/>
          <w:sz w:val="26"/>
          <w:szCs w:val="26"/>
        </w:rPr>
        <w:t xml:space="preserve">the inaudibility issue was raised in the partially dissenting Statement of Vice Chairman Andrew G. Place, which was attached to the </w:t>
      </w:r>
      <w:r w:rsidR="00B25BEF" w:rsidRPr="001E0F20">
        <w:rPr>
          <w:i/>
          <w:spacing w:val="-3"/>
          <w:sz w:val="26"/>
          <w:szCs w:val="26"/>
        </w:rPr>
        <w:t>November 2017 Order</w:t>
      </w:r>
      <w:r w:rsidR="00B25BEF" w:rsidRPr="001E0F20">
        <w:rPr>
          <w:spacing w:val="-3"/>
          <w:sz w:val="26"/>
          <w:szCs w:val="26"/>
        </w:rPr>
        <w:t xml:space="preserve"> (Partial Dissent Statement)</w:t>
      </w:r>
      <w:r w:rsidR="003653DA" w:rsidRPr="001E0F20">
        <w:rPr>
          <w:spacing w:val="-3"/>
          <w:sz w:val="26"/>
          <w:szCs w:val="26"/>
        </w:rPr>
        <w:t xml:space="preserve">, and which stated as follows: </w:t>
      </w:r>
      <w:r w:rsidR="00B25BEF" w:rsidRPr="001E0F20">
        <w:rPr>
          <w:spacing w:val="-3"/>
          <w:sz w:val="26"/>
          <w:szCs w:val="26"/>
        </w:rPr>
        <w:t xml:space="preserve">“[H]e could not be heard by the Administrative Law Judge and the court reporter…The transcript reflects several instances where the Complainant was simply inaudible.”  </w:t>
      </w:r>
      <w:r w:rsidR="00B25BEF" w:rsidRPr="001E0F20">
        <w:rPr>
          <w:i/>
          <w:spacing w:val="-3"/>
          <w:sz w:val="26"/>
          <w:szCs w:val="26"/>
        </w:rPr>
        <w:t>See</w:t>
      </w:r>
      <w:r w:rsidR="00B25BEF" w:rsidRPr="001E0F20">
        <w:rPr>
          <w:spacing w:val="-3"/>
          <w:sz w:val="26"/>
          <w:szCs w:val="26"/>
        </w:rPr>
        <w:t xml:space="preserve"> Partial Dissent Statement (citing Tr. 6, 7, 17, 18, 20, 21, 25, and 33).   T</w:t>
      </w:r>
      <w:r w:rsidRPr="001E0F20">
        <w:rPr>
          <w:spacing w:val="-3"/>
          <w:sz w:val="26"/>
          <w:szCs w:val="26"/>
        </w:rPr>
        <w:t xml:space="preserve">he Partial Dissent Statement was fully considered at the October 26, 2017 Public Meeting and placed into the record of this proceeding, but the majority of the Commission voted to adopt the Motion of Commissioner David W. Sweet as its final disposition in this matter, which was reflected in the </w:t>
      </w:r>
      <w:r w:rsidRPr="001E0F20">
        <w:rPr>
          <w:i/>
          <w:spacing w:val="-3"/>
          <w:sz w:val="26"/>
          <w:szCs w:val="26"/>
        </w:rPr>
        <w:t>November 2017 Order</w:t>
      </w:r>
      <w:r w:rsidR="004E0507" w:rsidRPr="001E0F20">
        <w:rPr>
          <w:spacing w:val="-3"/>
          <w:sz w:val="26"/>
          <w:szCs w:val="26"/>
        </w:rPr>
        <w:t xml:space="preserve">.  </w:t>
      </w:r>
      <w:r w:rsidR="00B25BEF" w:rsidRPr="001E0F20">
        <w:rPr>
          <w:spacing w:val="-3"/>
          <w:sz w:val="26"/>
          <w:szCs w:val="26"/>
        </w:rPr>
        <w:t xml:space="preserve"> Therefore, f</w:t>
      </w:r>
      <w:r w:rsidR="004E0507" w:rsidRPr="001E0F20">
        <w:rPr>
          <w:spacing w:val="-3"/>
          <w:sz w:val="26"/>
          <w:szCs w:val="26"/>
        </w:rPr>
        <w:t xml:space="preserve">or </w:t>
      </w:r>
      <w:r w:rsidR="00B25BEF" w:rsidRPr="001E0F20">
        <w:rPr>
          <w:spacing w:val="-3"/>
          <w:sz w:val="26"/>
          <w:szCs w:val="26"/>
        </w:rPr>
        <w:t xml:space="preserve">all </w:t>
      </w:r>
      <w:r w:rsidR="004E0507" w:rsidRPr="001E0F20">
        <w:rPr>
          <w:spacing w:val="-3"/>
          <w:sz w:val="26"/>
          <w:szCs w:val="26"/>
        </w:rPr>
        <w:t>the above</w:t>
      </w:r>
      <w:r w:rsidRPr="001E0F20">
        <w:rPr>
          <w:spacing w:val="-3"/>
          <w:sz w:val="26"/>
          <w:szCs w:val="26"/>
        </w:rPr>
        <w:t xml:space="preserve"> reasons, </w:t>
      </w:r>
      <w:r w:rsidR="008079BB" w:rsidRPr="001E0F20">
        <w:rPr>
          <w:spacing w:val="-3"/>
          <w:sz w:val="26"/>
          <w:szCs w:val="26"/>
        </w:rPr>
        <w:t xml:space="preserve">we </w:t>
      </w:r>
      <w:r w:rsidR="008079BB" w:rsidRPr="001E0F20">
        <w:rPr>
          <w:sz w:val="26"/>
          <w:szCs w:val="26"/>
        </w:rPr>
        <w:t>deny Mr. McLean’s Petition on this issue for failing to</w:t>
      </w:r>
      <w:r w:rsidR="008079BB" w:rsidRPr="001E0F20">
        <w:rPr>
          <w:spacing w:val="-3"/>
          <w:sz w:val="26"/>
          <w:szCs w:val="26"/>
        </w:rPr>
        <w:t xml:space="preserve"> meet the </w:t>
      </w:r>
      <w:r w:rsidR="008079BB" w:rsidRPr="001E0F20">
        <w:rPr>
          <w:i/>
          <w:spacing w:val="-3"/>
          <w:sz w:val="26"/>
          <w:szCs w:val="26"/>
        </w:rPr>
        <w:t>Duick</w:t>
      </w:r>
      <w:r w:rsidR="008079BB" w:rsidRPr="001E0F20">
        <w:rPr>
          <w:spacing w:val="-3"/>
          <w:sz w:val="26"/>
          <w:szCs w:val="26"/>
        </w:rPr>
        <w:t xml:space="preserve"> standard </w:t>
      </w:r>
      <w:r w:rsidR="00A21A46" w:rsidRPr="001E0F20">
        <w:rPr>
          <w:spacing w:val="-3"/>
          <w:sz w:val="26"/>
          <w:szCs w:val="26"/>
        </w:rPr>
        <w:t>because</w:t>
      </w:r>
      <w:r w:rsidR="008079BB" w:rsidRPr="001E0F20">
        <w:rPr>
          <w:color w:val="000000"/>
          <w:sz w:val="26"/>
          <w:szCs w:val="26"/>
        </w:rPr>
        <w:t xml:space="preserve"> </w:t>
      </w:r>
      <w:r w:rsidR="001874B9" w:rsidRPr="001E0F20">
        <w:rPr>
          <w:color w:val="000000"/>
          <w:sz w:val="26"/>
          <w:szCs w:val="26"/>
        </w:rPr>
        <w:t>h</w:t>
      </w:r>
      <w:r w:rsidRPr="001E0F20">
        <w:rPr>
          <w:color w:val="000000"/>
          <w:sz w:val="26"/>
          <w:szCs w:val="26"/>
        </w:rPr>
        <w:t xml:space="preserve">e has not raised any new and novel </w:t>
      </w:r>
      <w:r w:rsidRPr="001E0F20">
        <w:rPr>
          <w:color w:val="000000"/>
          <w:sz w:val="26"/>
          <w:szCs w:val="26"/>
        </w:rPr>
        <w:lastRenderedPageBreak/>
        <w:t>arguments or identified considerations that appear to have been overlooked or not addressed by the Commission.</w:t>
      </w:r>
      <w:r w:rsidR="00B107B5" w:rsidRPr="001E0F20">
        <w:rPr>
          <w:rStyle w:val="FootnoteReference"/>
          <w:color w:val="000000"/>
          <w:sz w:val="26"/>
          <w:szCs w:val="26"/>
        </w:rPr>
        <w:footnoteReference w:id="9"/>
      </w:r>
      <w:r w:rsidRPr="001E0F20">
        <w:rPr>
          <w:spacing w:val="-3"/>
          <w:sz w:val="26"/>
          <w:szCs w:val="26"/>
        </w:rPr>
        <w:t xml:space="preserve">  </w:t>
      </w:r>
    </w:p>
    <w:p w14:paraId="5ECDDD48" w14:textId="77777777" w:rsidR="004D0130" w:rsidRPr="001E0F20" w:rsidRDefault="004D0130" w:rsidP="00DE6AB3">
      <w:pPr>
        <w:widowControl/>
        <w:spacing w:line="360" w:lineRule="auto"/>
        <w:ind w:firstLine="1440"/>
        <w:contextualSpacing/>
        <w:rPr>
          <w:spacing w:val="-3"/>
          <w:sz w:val="26"/>
          <w:szCs w:val="26"/>
        </w:rPr>
      </w:pPr>
    </w:p>
    <w:p w14:paraId="4AFF8C78" w14:textId="1F8C5AB7" w:rsidR="00CB7B6F" w:rsidRPr="001E0F20" w:rsidRDefault="00AA4879" w:rsidP="00B107B5">
      <w:pPr>
        <w:widowControl/>
        <w:spacing w:line="360" w:lineRule="auto"/>
        <w:ind w:firstLine="1440"/>
        <w:contextualSpacing/>
        <w:rPr>
          <w:spacing w:val="-3"/>
          <w:sz w:val="26"/>
          <w:szCs w:val="26"/>
        </w:rPr>
      </w:pPr>
      <w:r w:rsidRPr="001E0F20">
        <w:rPr>
          <w:spacing w:val="-3"/>
          <w:sz w:val="26"/>
          <w:szCs w:val="26"/>
        </w:rPr>
        <w:t>We also</w:t>
      </w:r>
      <w:r w:rsidR="00DD64F4" w:rsidRPr="001E0F20">
        <w:rPr>
          <w:spacing w:val="-3"/>
          <w:sz w:val="26"/>
          <w:szCs w:val="26"/>
        </w:rPr>
        <w:t xml:space="preserve"> reject</w:t>
      </w:r>
      <w:r w:rsidR="00BB1303" w:rsidRPr="001E0F20">
        <w:rPr>
          <w:spacing w:val="-3"/>
          <w:sz w:val="26"/>
          <w:szCs w:val="26"/>
        </w:rPr>
        <w:t xml:space="preserve"> </w:t>
      </w:r>
      <w:r w:rsidR="00756FF5" w:rsidRPr="001E0F20">
        <w:rPr>
          <w:spacing w:val="-3"/>
          <w:sz w:val="26"/>
          <w:szCs w:val="26"/>
        </w:rPr>
        <w:t>Mr. McLean</w:t>
      </w:r>
      <w:r w:rsidR="00864A7E" w:rsidRPr="001E0F20">
        <w:rPr>
          <w:spacing w:val="-3"/>
          <w:sz w:val="26"/>
          <w:szCs w:val="26"/>
        </w:rPr>
        <w:t>’s claims</w:t>
      </w:r>
      <w:r w:rsidR="001874B9" w:rsidRPr="001E0F20">
        <w:rPr>
          <w:spacing w:val="-3"/>
          <w:sz w:val="26"/>
          <w:szCs w:val="26"/>
        </w:rPr>
        <w:t xml:space="preserve"> in his Petition</w:t>
      </w:r>
      <w:r w:rsidR="00864A7E" w:rsidRPr="001E0F20">
        <w:rPr>
          <w:spacing w:val="-3"/>
          <w:sz w:val="26"/>
          <w:szCs w:val="26"/>
        </w:rPr>
        <w:t xml:space="preserve"> that he was not informed of the inaudibility mome</w:t>
      </w:r>
      <w:r w:rsidR="00B25BEF" w:rsidRPr="001E0F20">
        <w:rPr>
          <w:spacing w:val="-3"/>
          <w:sz w:val="26"/>
          <w:szCs w:val="26"/>
        </w:rPr>
        <w:t xml:space="preserve">nts reflected in the transcript or provided </w:t>
      </w:r>
      <w:r w:rsidR="00DD64F4" w:rsidRPr="001E0F20">
        <w:rPr>
          <w:spacing w:val="-3"/>
          <w:sz w:val="26"/>
          <w:szCs w:val="26"/>
        </w:rPr>
        <w:t xml:space="preserve">the opportunity to inspect the transcript through an available or open process.  </w:t>
      </w:r>
      <w:r w:rsidR="00B25BEF" w:rsidRPr="001E0F20">
        <w:rPr>
          <w:spacing w:val="-3"/>
          <w:sz w:val="26"/>
          <w:szCs w:val="26"/>
        </w:rPr>
        <w:t xml:space="preserve"> O</w:t>
      </w:r>
      <w:r w:rsidR="00DD64F4" w:rsidRPr="001E0F20">
        <w:rPr>
          <w:spacing w:val="-3"/>
          <w:sz w:val="26"/>
          <w:szCs w:val="26"/>
        </w:rPr>
        <w:t xml:space="preserve">ur </w:t>
      </w:r>
      <w:r w:rsidRPr="001E0F20">
        <w:rPr>
          <w:spacing w:val="-3"/>
          <w:sz w:val="26"/>
          <w:szCs w:val="26"/>
        </w:rPr>
        <w:t>procedural r</w:t>
      </w:r>
      <w:r w:rsidR="00DD64F4" w:rsidRPr="001E0F20">
        <w:rPr>
          <w:spacing w:val="-3"/>
          <w:sz w:val="26"/>
          <w:szCs w:val="26"/>
        </w:rPr>
        <w:t xml:space="preserve">egulations allow </w:t>
      </w:r>
      <w:r w:rsidRPr="001E0F20">
        <w:rPr>
          <w:spacing w:val="-3"/>
          <w:sz w:val="26"/>
          <w:szCs w:val="26"/>
        </w:rPr>
        <w:t xml:space="preserve">for </w:t>
      </w:r>
      <w:r w:rsidR="00DD64F4" w:rsidRPr="001E0F20">
        <w:rPr>
          <w:spacing w:val="-3"/>
          <w:sz w:val="26"/>
          <w:szCs w:val="26"/>
        </w:rPr>
        <w:t>parties</w:t>
      </w:r>
      <w:r w:rsidR="0082297D" w:rsidRPr="001E0F20">
        <w:rPr>
          <w:spacing w:val="-3"/>
          <w:sz w:val="26"/>
          <w:szCs w:val="26"/>
        </w:rPr>
        <w:t xml:space="preserve"> to a pr</w:t>
      </w:r>
      <w:r w:rsidR="00864A7E" w:rsidRPr="001E0F20">
        <w:rPr>
          <w:spacing w:val="-3"/>
          <w:sz w:val="26"/>
          <w:szCs w:val="26"/>
        </w:rPr>
        <w:t xml:space="preserve">oceeding </w:t>
      </w:r>
      <w:r w:rsidR="00701472" w:rsidRPr="001E0F20">
        <w:rPr>
          <w:spacing w:val="-3"/>
          <w:sz w:val="26"/>
          <w:szCs w:val="26"/>
        </w:rPr>
        <w:t>to inspect and review the transcript</w:t>
      </w:r>
      <w:r w:rsidR="00DD64F4" w:rsidRPr="001E0F20">
        <w:rPr>
          <w:spacing w:val="-3"/>
          <w:sz w:val="26"/>
          <w:szCs w:val="26"/>
        </w:rPr>
        <w:t xml:space="preserve"> </w:t>
      </w:r>
      <w:r w:rsidR="00701472" w:rsidRPr="001E0F20">
        <w:rPr>
          <w:spacing w:val="-3"/>
          <w:sz w:val="26"/>
          <w:szCs w:val="26"/>
        </w:rPr>
        <w:t>and even propose corrections to it</w:t>
      </w:r>
      <w:r w:rsidR="00B25BEF" w:rsidRPr="001E0F20">
        <w:rPr>
          <w:spacing w:val="-3"/>
          <w:sz w:val="26"/>
          <w:szCs w:val="26"/>
        </w:rPr>
        <w:t>.</w:t>
      </w:r>
      <w:r w:rsidR="00864A7E" w:rsidRPr="001E0F20">
        <w:rPr>
          <w:spacing w:val="-3"/>
          <w:sz w:val="26"/>
          <w:szCs w:val="26"/>
        </w:rPr>
        <w:t xml:space="preserve"> </w:t>
      </w:r>
      <w:r w:rsidR="00DD64F4" w:rsidRPr="001E0F20">
        <w:rPr>
          <w:spacing w:val="-3"/>
          <w:sz w:val="26"/>
          <w:szCs w:val="26"/>
        </w:rPr>
        <w:t xml:space="preserve"> </w:t>
      </w:r>
      <w:r w:rsidR="00B25BEF" w:rsidRPr="001E0F20">
        <w:rPr>
          <w:i/>
          <w:spacing w:val="-3"/>
          <w:sz w:val="26"/>
          <w:szCs w:val="26"/>
        </w:rPr>
        <w:t>See</w:t>
      </w:r>
      <w:r w:rsidR="00B25BEF" w:rsidRPr="001E0F20">
        <w:rPr>
          <w:spacing w:val="-3"/>
          <w:sz w:val="26"/>
          <w:szCs w:val="26"/>
        </w:rPr>
        <w:t xml:space="preserve"> 52 Pa. Code § 1.72(b)(2)(i); 52 Pa. Code § 1.72(c)(2)</w:t>
      </w:r>
      <w:r w:rsidR="00B25BEF" w:rsidRPr="001E0F20">
        <w:rPr>
          <w:i/>
          <w:sz w:val="26"/>
          <w:szCs w:val="26"/>
        </w:rPr>
        <w:t xml:space="preserve">; </w:t>
      </w:r>
      <w:r w:rsidR="00DD64F4" w:rsidRPr="001E0F20">
        <w:rPr>
          <w:spacing w:val="-3"/>
          <w:sz w:val="26"/>
          <w:szCs w:val="26"/>
        </w:rPr>
        <w:t xml:space="preserve">52 Pa. Code § 5.251(b); </w:t>
      </w:r>
      <w:r w:rsidR="00B25BEF" w:rsidRPr="001E0F20">
        <w:rPr>
          <w:spacing w:val="-3"/>
          <w:sz w:val="26"/>
          <w:szCs w:val="26"/>
        </w:rPr>
        <w:t>52 Pa. Code § 5.251(c); 52 Pa. Code § 5.253.</w:t>
      </w:r>
      <w:r w:rsidR="00DD64F4" w:rsidRPr="001E0F20">
        <w:rPr>
          <w:rStyle w:val="FootnoteReference"/>
          <w:spacing w:val="-3"/>
          <w:sz w:val="26"/>
          <w:szCs w:val="26"/>
        </w:rPr>
        <w:footnoteReference w:id="10"/>
      </w:r>
      <w:r w:rsidR="00B25BEF" w:rsidRPr="001E0F20">
        <w:rPr>
          <w:spacing w:val="-3"/>
          <w:sz w:val="26"/>
          <w:szCs w:val="26"/>
        </w:rPr>
        <w:t xml:space="preserve"> </w:t>
      </w:r>
      <w:r w:rsidR="00DD64F4" w:rsidRPr="001E0F20">
        <w:rPr>
          <w:spacing w:val="-3"/>
          <w:sz w:val="26"/>
          <w:szCs w:val="26"/>
        </w:rPr>
        <w:t xml:space="preserve">  </w:t>
      </w:r>
      <w:r w:rsidRPr="001E0F20">
        <w:rPr>
          <w:spacing w:val="-3"/>
          <w:sz w:val="26"/>
          <w:szCs w:val="26"/>
        </w:rPr>
        <w:t>Moreover, while t</w:t>
      </w:r>
      <w:r w:rsidR="00864A7E" w:rsidRPr="001E0F20">
        <w:rPr>
          <w:spacing w:val="-3"/>
          <w:sz w:val="26"/>
          <w:szCs w:val="26"/>
        </w:rPr>
        <w:t>here</w:t>
      </w:r>
      <w:r w:rsidR="00724B94" w:rsidRPr="001E0F20">
        <w:rPr>
          <w:spacing w:val="-3"/>
          <w:sz w:val="26"/>
          <w:szCs w:val="26"/>
        </w:rPr>
        <w:t xml:space="preserve"> is no requirement</w:t>
      </w:r>
      <w:r w:rsidRPr="001E0F20">
        <w:rPr>
          <w:spacing w:val="-3"/>
          <w:sz w:val="26"/>
          <w:szCs w:val="26"/>
        </w:rPr>
        <w:t xml:space="preserve"> </w:t>
      </w:r>
      <w:r w:rsidR="00724B94" w:rsidRPr="001E0F20">
        <w:rPr>
          <w:spacing w:val="-3"/>
          <w:sz w:val="26"/>
          <w:szCs w:val="26"/>
        </w:rPr>
        <w:t>for the Commission to inform parties about hearing transcripts or inaudible moments during telephonic hearings</w:t>
      </w:r>
      <w:r w:rsidRPr="001E0F20">
        <w:rPr>
          <w:spacing w:val="-3"/>
          <w:sz w:val="26"/>
          <w:szCs w:val="26"/>
        </w:rPr>
        <w:t xml:space="preserve">, </w:t>
      </w:r>
      <w:r w:rsidR="004D0130" w:rsidRPr="001E0F20">
        <w:rPr>
          <w:spacing w:val="-3"/>
          <w:sz w:val="26"/>
          <w:szCs w:val="26"/>
        </w:rPr>
        <w:t xml:space="preserve">the ALJ issued an Interim Order </w:t>
      </w:r>
      <w:r w:rsidRPr="001E0F20">
        <w:rPr>
          <w:spacing w:val="-3"/>
          <w:sz w:val="26"/>
          <w:szCs w:val="26"/>
        </w:rPr>
        <w:t xml:space="preserve">on July 25, 2016 </w:t>
      </w:r>
      <w:r w:rsidR="004D0130" w:rsidRPr="001E0F20">
        <w:rPr>
          <w:spacing w:val="-3"/>
          <w:sz w:val="26"/>
          <w:szCs w:val="26"/>
        </w:rPr>
        <w:t xml:space="preserve">acknowledging </w:t>
      </w:r>
      <w:r w:rsidR="00887C99" w:rsidRPr="001E0F20">
        <w:rPr>
          <w:spacing w:val="-3"/>
          <w:sz w:val="26"/>
          <w:szCs w:val="26"/>
        </w:rPr>
        <w:t xml:space="preserve">that she had received a copy </w:t>
      </w:r>
      <w:r w:rsidR="004D0130" w:rsidRPr="001E0F20">
        <w:rPr>
          <w:spacing w:val="-3"/>
          <w:sz w:val="26"/>
          <w:szCs w:val="26"/>
        </w:rPr>
        <w:t>of the transcript and that she</w:t>
      </w:r>
      <w:r w:rsidRPr="001E0F20">
        <w:rPr>
          <w:spacing w:val="-3"/>
          <w:sz w:val="26"/>
          <w:szCs w:val="26"/>
        </w:rPr>
        <w:t xml:space="preserve"> was closing the hearing record.  T</w:t>
      </w:r>
      <w:r w:rsidR="00887C99" w:rsidRPr="001E0F20">
        <w:rPr>
          <w:spacing w:val="-3"/>
          <w:sz w:val="26"/>
          <w:szCs w:val="26"/>
        </w:rPr>
        <w:t xml:space="preserve">he </w:t>
      </w:r>
      <w:r w:rsidR="004D0130" w:rsidRPr="001E0F20">
        <w:rPr>
          <w:spacing w:val="-3"/>
          <w:sz w:val="26"/>
          <w:szCs w:val="26"/>
        </w:rPr>
        <w:t>July 25, 2016 Interim Or</w:t>
      </w:r>
      <w:r w:rsidR="002151FF" w:rsidRPr="001E0F20">
        <w:rPr>
          <w:spacing w:val="-3"/>
          <w:sz w:val="26"/>
          <w:szCs w:val="26"/>
        </w:rPr>
        <w:t xml:space="preserve">der was served on the parties, </w:t>
      </w:r>
      <w:r w:rsidR="00D808AA" w:rsidRPr="001E0F20">
        <w:rPr>
          <w:spacing w:val="-3"/>
          <w:sz w:val="26"/>
          <w:szCs w:val="26"/>
        </w:rPr>
        <w:t xml:space="preserve">and there is no indication in the </w:t>
      </w:r>
      <w:r w:rsidR="002A4A94" w:rsidRPr="001E0F20">
        <w:rPr>
          <w:spacing w:val="-3"/>
          <w:sz w:val="26"/>
          <w:szCs w:val="26"/>
        </w:rPr>
        <w:t xml:space="preserve">Commission’s </w:t>
      </w:r>
      <w:r w:rsidR="00D808AA" w:rsidRPr="001E0F20">
        <w:rPr>
          <w:spacing w:val="-3"/>
          <w:sz w:val="26"/>
          <w:szCs w:val="26"/>
        </w:rPr>
        <w:t>files that it was returned to the Commission</w:t>
      </w:r>
      <w:r w:rsidR="000C5BA9" w:rsidRPr="001E0F20">
        <w:rPr>
          <w:spacing w:val="-3"/>
          <w:sz w:val="26"/>
          <w:szCs w:val="26"/>
        </w:rPr>
        <w:t xml:space="preserve"> as undeliverable</w:t>
      </w:r>
      <w:r w:rsidR="00D808AA" w:rsidRPr="001E0F20">
        <w:rPr>
          <w:spacing w:val="-3"/>
          <w:sz w:val="26"/>
          <w:szCs w:val="26"/>
        </w:rPr>
        <w:t xml:space="preserve">; therefore, it is </w:t>
      </w:r>
      <w:r w:rsidR="00D808AA" w:rsidRPr="001E0F20">
        <w:rPr>
          <w:spacing w:val="-3"/>
          <w:sz w:val="26"/>
          <w:szCs w:val="26"/>
        </w:rPr>
        <w:lastRenderedPageBreak/>
        <w:t>presumed to have been received by Mr. McLean.</w:t>
      </w:r>
      <w:r w:rsidR="00D808AA" w:rsidRPr="001E0F20">
        <w:rPr>
          <w:rStyle w:val="FootnoteReference"/>
          <w:spacing w:val="-3"/>
          <w:sz w:val="26"/>
          <w:szCs w:val="26"/>
        </w:rPr>
        <w:footnoteReference w:id="11"/>
      </w:r>
      <w:r w:rsidR="0063264E" w:rsidRPr="001E0F20">
        <w:rPr>
          <w:spacing w:val="-3"/>
          <w:sz w:val="26"/>
          <w:szCs w:val="26"/>
        </w:rPr>
        <w:t xml:space="preserve">  </w:t>
      </w:r>
      <w:r w:rsidR="001874B9" w:rsidRPr="001E0F20">
        <w:rPr>
          <w:spacing w:val="-3"/>
          <w:sz w:val="26"/>
          <w:szCs w:val="26"/>
        </w:rPr>
        <w:t xml:space="preserve">Thus, </w:t>
      </w:r>
      <w:r w:rsidR="0082297D" w:rsidRPr="001E0F20">
        <w:rPr>
          <w:spacing w:val="-3"/>
          <w:sz w:val="26"/>
          <w:szCs w:val="26"/>
        </w:rPr>
        <w:t>Mr. McLean</w:t>
      </w:r>
      <w:r w:rsidR="00DE5616" w:rsidRPr="001E0F20">
        <w:rPr>
          <w:spacing w:val="-3"/>
          <w:sz w:val="26"/>
          <w:szCs w:val="26"/>
        </w:rPr>
        <w:t xml:space="preserve"> </w:t>
      </w:r>
      <w:r w:rsidR="001874B9" w:rsidRPr="001E0F20">
        <w:rPr>
          <w:spacing w:val="-3"/>
          <w:sz w:val="26"/>
          <w:szCs w:val="26"/>
        </w:rPr>
        <w:t>received notice</w:t>
      </w:r>
      <w:r w:rsidRPr="001E0F20">
        <w:rPr>
          <w:spacing w:val="-3"/>
          <w:sz w:val="26"/>
          <w:szCs w:val="26"/>
        </w:rPr>
        <w:t>,</w:t>
      </w:r>
      <w:r w:rsidR="001874B9" w:rsidRPr="001E0F20">
        <w:rPr>
          <w:spacing w:val="-3"/>
          <w:sz w:val="26"/>
          <w:szCs w:val="26"/>
        </w:rPr>
        <w:t xml:space="preserve"> </w:t>
      </w:r>
      <w:r w:rsidRPr="001E0F20">
        <w:rPr>
          <w:spacing w:val="-3"/>
          <w:sz w:val="26"/>
          <w:szCs w:val="26"/>
        </w:rPr>
        <w:t xml:space="preserve">via the July 25, 2016 Interim Order, </w:t>
      </w:r>
      <w:r w:rsidR="001874B9" w:rsidRPr="001E0F20">
        <w:rPr>
          <w:spacing w:val="-3"/>
          <w:sz w:val="26"/>
          <w:szCs w:val="26"/>
        </w:rPr>
        <w:t>that the transcript was available</w:t>
      </w:r>
      <w:r w:rsidR="00367C53" w:rsidRPr="001E0F20">
        <w:rPr>
          <w:spacing w:val="-3"/>
          <w:sz w:val="26"/>
          <w:szCs w:val="26"/>
        </w:rPr>
        <w:t>.</w:t>
      </w:r>
      <w:r w:rsidR="001874B9" w:rsidRPr="001E0F20">
        <w:rPr>
          <w:spacing w:val="-3"/>
          <w:sz w:val="26"/>
          <w:szCs w:val="26"/>
        </w:rPr>
        <w:t xml:space="preserve"> </w:t>
      </w:r>
      <w:r w:rsidR="00367C53" w:rsidRPr="001E0F20">
        <w:rPr>
          <w:spacing w:val="-3"/>
          <w:sz w:val="26"/>
          <w:szCs w:val="26"/>
        </w:rPr>
        <w:t xml:space="preserve"> </w:t>
      </w:r>
      <w:r w:rsidR="0082297D" w:rsidRPr="001E0F20">
        <w:rPr>
          <w:spacing w:val="-3"/>
          <w:sz w:val="26"/>
          <w:szCs w:val="26"/>
        </w:rPr>
        <w:t>I</w:t>
      </w:r>
      <w:r w:rsidR="00431C58" w:rsidRPr="001E0F20">
        <w:rPr>
          <w:spacing w:val="-3"/>
          <w:sz w:val="26"/>
          <w:szCs w:val="26"/>
        </w:rPr>
        <w:t>f Mr. McLean was not sure of how, when or where he could inspect the transcript, he had the responsibility to exercise due diligence and inquire about the transcript.</w:t>
      </w:r>
      <w:r w:rsidR="002151FF" w:rsidRPr="001E0F20">
        <w:rPr>
          <w:spacing w:val="-3"/>
          <w:sz w:val="26"/>
          <w:szCs w:val="26"/>
        </w:rPr>
        <w:t xml:space="preserve"> </w:t>
      </w:r>
      <w:r w:rsidR="00431C58" w:rsidRPr="001E0F20">
        <w:rPr>
          <w:spacing w:val="-3"/>
          <w:sz w:val="26"/>
          <w:szCs w:val="26"/>
        </w:rPr>
        <w:t xml:space="preserve"> </w:t>
      </w:r>
      <w:r w:rsidR="004D0130" w:rsidRPr="001E0F20">
        <w:rPr>
          <w:spacing w:val="-3"/>
          <w:sz w:val="26"/>
          <w:szCs w:val="26"/>
        </w:rPr>
        <w:t xml:space="preserve">Mr. McLean makes no mention in </w:t>
      </w:r>
      <w:r w:rsidRPr="001E0F20">
        <w:rPr>
          <w:spacing w:val="-3"/>
          <w:sz w:val="26"/>
          <w:szCs w:val="26"/>
        </w:rPr>
        <w:t>his Petition of</w:t>
      </w:r>
      <w:r w:rsidR="004D0130" w:rsidRPr="001E0F20">
        <w:rPr>
          <w:spacing w:val="-3"/>
          <w:sz w:val="26"/>
          <w:szCs w:val="26"/>
        </w:rPr>
        <w:t xml:space="preserve"> having been prevented </w:t>
      </w:r>
      <w:r w:rsidR="00C068B6" w:rsidRPr="001E0F20">
        <w:rPr>
          <w:spacing w:val="-3"/>
          <w:sz w:val="26"/>
          <w:szCs w:val="26"/>
        </w:rPr>
        <w:t xml:space="preserve">or obstructed </w:t>
      </w:r>
      <w:r w:rsidR="004D0130" w:rsidRPr="001E0F20">
        <w:rPr>
          <w:spacing w:val="-3"/>
          <w:sz w:val="26"/>
          <w:szCs w:val="26"/>
        </w:rPr>
        <w:t xml:space="preserve">from </w:t>
      </w:r>
      <w:r w:rsidR="00431C58" w:rsidRPr="001E0F20">
        <w:rPr>
          <w:spacing w:val="-3"/>
          <w:sz w:val="26"/>
          <w:szCs w:val="26"/>
        </w:rPr>
        <w:t>contacting</w:t>
      </w:r>
      <w:r w:rsidR="00E472A9" w:rsidRPr="001E0F20">
        <w:rPr>
          <w:spacing w:val="-3"/>
          <w:sz w:val="26"/>
          <w:szCs w:val="26"/>
        </w:rPr>
        <w:t xml:space="preserve"> someone in </w:t>
      </w:r>
      <w:r w:rsidR="004D0130" w:rsidRPr="001E0F20">
        <w:rPr>
          <w:spacing w:val="-3"/>
          <w:sz w:val="26"/>
          <w:szCs w:val="26"/>
        </w:rPr>
        <w:t xml:space="preserve">the Commission’s Secretary’s Bureau or the Office of Administrative Law Judge to </w:t>
      </w:r>
      <w:r w:rsidR="00EB6ACE" w:rsidRPr="001E0F20">
        <w:rPr>
          <w:spacing w:val="-3"/>
          <w:sz w:val="26"/>
          <w:szCs w:val="26"/>
        </w:rPr>
        <w:t>inquire about the transcript</w:t>
      </w:r>
      <w:r w:rsidR="004D0130" w:rsidRPr="001E0F20">
        <w:rPr>
          <w:spacing w:val="-3"/>
          <w:sz w:val="26"/>
          <w:szCs w:val="26"/>
        </w:rPr>
        <w:t xml:space="preserve"> </w:t>
      </w:r>
      <w:r w:rsidR="00E472A9" w:rsidRPr="001E0F20">
        <w:rPr>
          <w:spacing w:val="-3"/>
          <w:sz w:val="26"/>
          <w:szCs w:val="26"/>
        </w:rPr>
        <w:t>and</w:t>
      </w:r>
      <w:r w:rsidR="00EB6ACE" w:rsidRPr="001E0F20">
        <w:rPr>
          <w:spacing w:val="-3"/>
          <w:sz w:val="26"/>
          <w:szCs w:val="26"/>
        </w:rPr>
        <w:t xml:space="preserve"> otherwise</w:t>
      </w:r>
      <w:r w:rsidR="004D0130" w:rsidRPr="001E0F20">
        <w:rPr>
          <w:spacing w:val="-3"/>
          <w:sz w:val="26"/>
          <w:szCs w:val="26"/>
        </w:rPr>
        <w:t xml:space="preserve"> seek information related to this step in the process.</w:t>
      </w:r>
      <w:r w:rsidR="00BC4EB8" w:rsidRPr="001E0F20">
        <w:rPr>
          <w:spacing w:val="-3"/>
          <w:sz w:val="26"/>
          <w:szCs w:val="26"/>
        </w:rPr>
        <w:t xml:space="preserve">  </w:t>
      </w:r>
      <w:r w:rsidR="002151FF" w:rsidRPr="001E0F20">
        <w:rPr>
          <w:spacing w:val="-3"/>
          <w:sz w:val="26"/>
          <w:szCs w:val="26"/>
        </w:rPr>
        <w:t xml:space="preserve">In our opinion, </w:t>
      </w:r>
      <w:r w:rsidR="00BC4EB8" w:rsidRPr="001E0F20">
        <w:rPr>
          <w:spacing w:val="-3"/>
          <w:sz w:val="26"/>
          <w:szCs w:val="26"/>
        </w:rPr>
        <w:t>Mr. McLea</w:t>
      </w:r>
      <w:r w:rsidR="002151FF" w:rsidRPr="001E0F20">
        <w:rPr>
          <w:spacing w:val="-3"/>
          <w:sz w:val="26"/>
          <w:szCs w:val="26"/>
        </w:rPr>
        <w:t>n</w:t>
      </w:r>
      <w:r w:rsidR="00BC4EB8" w:rsidRPr="001E0F20">
        <w:rPr>
          <w:spacing w:val="-3"/>
          <w:sz w:val="26"/>
          <w:szCs w:val="26"/>
        </w:rPr>
        <w:t xml:space="preserve"> had notice </w:t>
      </w:r>
      <w:r w:rsidR="002151FF" w:rsidRPr="001E0F20">
        <w:rPr>
          <w:spacing w:val="-3"/>
          <w:sz w:val="26"/>
          <w:szCs w:val="26"/>
        </w:rPr>
        <w:t xml:space="preserve">of </w:t>
      </w:r>
      <w:r w:rsidR="00BC4EB8" w:rsidRPr="001E0F20">
        <w:rPr>
          <w:spacing w:val="-3"/>
          <w:sz w:val="26"/>
          <w:szCs w:val="26"/>
        </w:rPr>
        <w:t>and</w:t>
      </w:r>
      <w:r w:rsidR="002151FF" w:rsidRPr="001E0F20">
        <w:rPr>
          <w:spacing w:val="-3"/>
          <w:sz w:val="26"/>
          <w:szCs w:val="26"/>
        </w:rPr>
        <w:t xml:space="preserve"> the</w:t>
      </w:r>
      <w:r w:rsidR="00BC4EB8" w:rsidRPr="001E0F20">
        <w:rPr>
          <w:spacing w:val="-3"/>
          <w:sz w:val="26"/>
          <w:szCs w:val="26"/>
        </w:rPr>
        <w:t xml:space="preserve"> opportunity to inspect the transcript</w:t>
      </w:r>
      <w:r w:rsidR="00C11FEC" w:rsidRPr="001E0F20">
        <w:rPr>
          <w:spacing w:val="-3"/>
          <w:sz w:val="26"/>
          <w:szCs w:val="26"/>
        </w:rPr>
        <w:t>,</w:t>
      </w:r>
      <w:r w:rsidR="0063264E" w:rsidRPr="001E0F20">
        <w:rPr>
          <w:spacing w:val="-3"/>
          <w:sz w:val="26"/>
          <w:szCs w:val="26"/>
        </w:rPr>
        <w:t xml:space="preserve"> but he </w:t>
      </w:r>
      <w:r w:rsidR="001874B9" w:rsidRPr="001E0F20">
        <w:rPr>
          <w:spacing w:val="-3"/>
          <w:sz w:val="26"/>
          <w:szCs w:val="26"/>
        </w:rPr>
        <w:t xml:space="preserve">simply </w:t>
      </w:r>
      <w:r w:rsidR="00AF7213" w:rsidRPr="001E0F20">
        <w:rPr>
          <w:spacing w:val="-3"/>
          <w:sz w:val="26"/>
          <w:szCs w:val="26"/>
        </w:rPr>
        <w:t>failed to exercise due diligence to inspect it</w:t>
      </w:r>
      <w:r w:rsidR="0063264E" w:rsidRPr="001E0F20">
        <w:rPr>
          <w:spacing w:val="-3"/>
          <w:sz w:val="26"/>
          <w:szCs w:val="26"/>
        </w:rPr>
        <w:t xml:space="preserve">.  </w:t>
      </w:r>
      <w:r w:rsidR="0032474E" w:rsidRPr="001E0F20">
        <w:rPr>
          <w:spacing w:val="-3"/>
          <w:sz w:val="26"/>
          <w:szCs w:val="26"/>
        </w:rPr>
        <w:t>For these reasons, w</w:t>
      </w:r>
      <w:r w:rsidR="006067DD" w:rsidRPr="001E0F20">
        <w:rPr>
          <w:spacing w:val="-3"/>
          <w:sz w:val="26"/>
          <w:szCs w:val="26"/>
        </w:rPr>
        <w:t xml:space="preserve">e reject Mr. McLean’s claims </w:t>
      </w:r>
      <w:bookmarkStart w:id="4" w:name="_Hlk532216130"/>
      <w:r w:rsidR="006067DD" w:rsidRPr="001E0F20">
        <w:rPr>
          <w:spacing w:val="-3"/>
          <w:sz w:val="26"/>
          <w:szCs w:val="26"/>
        </w:rPr>
        <w:t>of inadequate notice as to the transcript.</w:t>
      </w:r>
      <w:bookmarkEnd w:id="4"/>
    </w:p>
    <w:p w14:paraId="3601210A" w14:textId="77777777" w:rsidR="00B107B5" w:rsidRPr="001E0F20" w:rsidRDefault="00B107B5" w:rsidP="00B107B5">
      <w:pPr>
        <w:widowControl/>
        <w:spacing w:line="360" w:lineRule="auto"/>
        <w:ind w:firstLine="1440"/>
        <w:contextualSpacing/>
        <w:rPr>
          <w:spacing w:val="-3"/>
          <w:sz w:val="26"/>
          <w:szCs w:val="26"/>
        </w:rPr>
      </w:pPr>
    </w:p>
    <w:p w14:paraId="48BCBD1F" w14:textId="42CA2590" w:rsidR="00AF0422" w:rsidRPr="001E0F20" w:rsidRDefault="00A511FF" w:rsidP="00864A7E">
      <w:pPr>
        <w:keepNext/>
        <w:keepLines/>
        <w:widowControl/>
        <w:spacing w:line="360" w:lineRule="auto"/>
        <w:ind w:left="2160" w:hanging="720"/>
        <w:rPr>
          <w:b/>
          <w:spacing w:val="-3"/>
          <w:sz w:val="26"/>
          <w:szCs w:val="26"/>
        </w:rPr>
      </w:pPr>
      <w:r w:rsidRPr="001E0F20">
        <w:rPr>
          <w:b/>
          <w:spacing w:val="-3"/>
          <w:sz w:val="26"/>
          <w:szCs w:val="26"/>
        </w:rPr>
        <w:t>2.</w:t>
      </w:r>
      <w:r w:rsidRPr="001E0F20">
        <w:rPr>
          <w:b/>
          <w:spacing w:val="-3"/>
          <w:sz w:val="26"/>
          <w:szCs w:val="26"/>
        </w:rPr>
        <w:tab/>
      </w:r>
      <w:r w:rsidR="003212D7" w:rsidRPr="001E0F20">
        <w:rPr>
          <w:b/>
          <w:spacing w:val="-3"/>
          <w:sz w:val="26"/>
          <w:szCs w:val="26"/>
        </w:rPr>
        <w:t>Substantial Evidence</w:t>
      </w:r>
      <w:r w:rsidR="00567F41" w:rsidRPr="001E0F20">
        <w:rPr>
          <w:b/>
          <w:spacing w:val="-3"/>
          <w:sz w:val="26"/>
          <w:szCs w:val="26"/>
        </w:rPr>
        <w:t xml:space="preserve"> to Support the </w:t>
      </w:r>
      <w:r w:rsidR="00567F41" w:rsidRPr="001E0F20">
        <w:rPr>
          <w:b/>
          <w:i/>
          <w:spacing w:val="-3"/>
          <w:sz w:val="26"/>
          <w:szCs w:val="26"/>
        </w:rPr>
        <w:t>November 2017 Order</w:t>
      </w:r>
      <w:r w:rsidR="00EA21EB" w:rsidRPr="001E0F20">
        <w:rPr>
          <w:rStyle w:val="FootnoteReference"/>
          <w:b/>
          <w:spacing w:val="-3"/>
          <w:sz w:val="26"/>
          <w:szCs w:val="26"/>
        </w:rPr>
        <w:footnoteReference w:id="12"/>
      </w:r>
    </w:p>
    <w:p w14:paraId="0BB03B36" w14:textId="77777777" w:rsidR="00EA21EB" w:rsidRPr="001E0F20" w:rsidRDefault="00EA21EB" w:rsidP="00864A7E">
      <w:pPr>
        <w:keepNext/>
        <w:keepLines/>
        <w:widowControl/>
        <w:spacing w:line="360" w:lineRule="auto"/>
        <w:ind w:left="2160" w:hanging="720"/>
        <w:rPr>
          <w:b/>
          <w:spacing w:val="-3"/>
          <w:sz w:val="26"/>
          <w:szCs w:val="26"/>
        </w:rPr>
      </w:pPr>
    </w:p>
    <w:p w14:paraId="02DC3E25" w14:textId="77777777" w:rsidR="00CB7B6F" w:rsidRPr="001E0F20" w:rsidRDefault="00CB7B6F" w:rsidP="00DE6AB3">
      <w:pPr>
        <w:widowControl/>
        <w:spacing w:line="360" w:lineRule="auto"/>
        <w:ind w:firstLine="1440"/>
        <w:rPr>
          <w:spacing w:val="-3"/>
          <w:sz w:val="26"/>
          <w:szCs w:val="26"/>
        </w:rPr>
      </w:pPr>
      <w:r w:rsidRPr="001E0F20">
        <w:rPr>
          <w:spacing w:val="-3"/>
          <w:sz w:val="26"/>
          <w:szCs w:val="26"/>
        </w:rPr>
        <w:t xml:space="preserve">In the Petition, Mr. McLean asserts that the </w:t>
      </w:r>
      <w:r w:rsidR="00B055F1" w:rsidRPr="001E0F20">
        <w:rPr>
          <w:i/>
          <w:spacing w:val="-3"/>
          <w:sz w:val="26"/>
          <w:szCs w:val="26"/>
        </w:rPr>
        <w:t>November</w:t>
      </w:r>
      <w:r w:rsidRPr="001E0F20">
        <w:rPr>
          <w:i/>
          <w:spacing w:val="-3"/>
          <w:sz w:val="26"/>
          <w:szCs w:val="26"/>
        </w:rPr>
        <w:t xml:space="preserve"> 2017</w:t>
      </w:r>
      <w:r w:rsidRPr="001E0F20">
        <w:rPr>
          <w:spacing w:val="-3"/>
          <w:sz w:val="26"/>
          <w:szCs w:val="26"/>
        </w:rPr>
        <w:t xml:space="preserve"> </w:t>
      </w:r>
      <w:r w:rsidR="00B055F1" w:rsidRPr="001E0F20">
        <w:rPr>
          <w:i/>
          <w:spacing w:val="-3"/>
          <w:sz w:val="26"/>
          <w:szCs w:val="26"/>
        </w:rPr>
        <w:t>Order</w:t>
      </w:r>
      <w:r w:rsidR="00B055F1" w:rsidRPr="001E0F20">
        <w:rPr>
          <w:spacing w:val="-3"/>
          <w:sz w:val="26"/>
          <w:szCs w:val="26"/>
        </w:rPr>
        <w:t xml:space="preserve"> </w:t>
      </w:r>
      <w:r w:rsidRPr="001E0F20">
        <w:rPr>
          <w:spacing w:val="-3"/>
          <w:sz w:val="26"/>
          <w:szCs w:val="26"/>
        </w:rPr>
        <w:t xml:space="preserve">was entered against his interest.  He argues, specifically, that our decision in the </w:t>
      </w:r>
      <w:r w:rsidR="00B055F1" w:rsidRPr="001E0F20">
        <w:rPr>
          <w:i/>
          <w:spacing w:val="-3"/>
          <w:sz w:val="26"/>
          <w:szCs w:val="26"/>
        </w:rPr>
        <w:t>November</w:t>
      </w:r>
      <w:r w:rsidRPr="001E0F20">
        <w:rPr>
          <w:i/>
          <w:spacing w:val="-3"/>
          <w:sz w:val="26"/>
          <w:szCs w:val="26"/>
        </w:rPr>
        <w:t xml:space="preserve"> 2017</w:t>
      </w:r>
      <w:r w:rsidRPr="001E0F20">
        <w:rPr>
          <w:spacing w:val="-3"/>
          <w:sz w:val="26"/>
          <w:szCs w:val="26"/>
        </w:rPr>
        <w:t xml:space="preserve"> </w:t>
      </w:r>
      <w:r w:rsidRPr="001E0F20">
        <w:rPr>
          <w:i/>
          <w:spacing w:val="-3"/>
          <w:sz w:val="26"/>
          <w:szCs w:val="26"/>
        </w:rPr>
        <w:t xml:space="preserve">Order </w:t>
      </w:r>
      <w:r w:rsidRPr="001E0F20">
        <w:rPr>
          <w:spacing w:val="-3"/>
          <w:sz w:val="26"/>
          <w:szCs w:val="26"/>
        </w:rPr>
        <w:t>was not “sufficiently supported by the evidence” and that our decision</w:t>
      </w:r>
      <w:r w:rsidR="008952FB" w:rsidRPr="001E0F20">
        <w:rPr>
          <w:spacing w:val="-3"/>
          <w:sz w:val="26"/>
          <w:szCs w:val="26"/>
        </w:rPr>
        <w:t xml:space="preserve"> in the </w:t>
      </w:r>
      <w:r w:rsidR="00B055F1" w:rsidRPr="001E0F20">
        <w:rPr>
          <w:i/>
          <w:spacing w:val="-3"/>
          <w:sz w:val="26"/>
          <w:szCs w:val="26"/>
        </w:rPr>
        <w:t>November</w:t>
      </w:r>
      <w:r w:rsidR="008952FB" w:rsidRPr="001E0F20">
        <w:rPr>
          <w:i/>
          <w:spacing w:val="-3"/>
          <w:sz w:val="26"/>
          <w:szCs w:val="26"/>
        </w:rPr>
        <w:t>2017</w:t>
      </w:r>
      <w:r w:rsidR="008952FB" w:rsidRPr="001E0F20">
        <w:rPr>
          <w:spacing w:val="-3"/>
          <w:sz w:val="26"/>
          <w:szCs w:val="26"/>
        </w:rPr>
        <w:t xml:space="preserve"> </w:t>
      </w:r>
      <w:r w:rsidR="008952FB" w:rsidRPr="001E0F20">
        <w:rPr>
          <w:i/>
          <w:spacing w:val="-3"/>
          <w:sz w:val="26"/>
          <w:szCs w:val="26"/>
        </w:rPr>
        <w:t>Order</w:t>
      </w:r>
      <w:r w:rsidRPr="001E0F20">
        <w:rPr>
          <w:spacing w:val="-3"/>
          <w:sz w:val="26"/>
          <w:szCs w:val="26"/>
        </w:rPr>
        <w:t xml:space="preserve"> represents, </w:t>
      </w:r>
      <w:r w:rsidRPr="001E0F20">
        <w:rPr>
          <w:i/>
          <w:spacing w:val="-3"/>
          <w:sz w:val="26"/>
          <w:szCs w:val="26"/>
        </w:rPr>
        <w:t>inter alia</w:t>
      </w:r>
      <w:r w:rsidRPr="001E0F20">
        <w:rPr>
          <w:spacing w:val="-3"/>
          <w:sz w:val="26"/>
          <w:szCs w:val="26"/>
        </w:rPr>
        <w:t>, an “arbitrary action</w:t>
      </w:r>
      <w:r w:rsidR="008952FB" w:rsidRPr="001E0F20">
        <w:rPr>
          <w:spacing w:val="-3"/>
          <w:sz w:val="26"/>
          <w:szCs w:val="26"/>
        </w:rPr>
        <w:t>.</w:t>
      </w:r>
      <w:r w:rsidRPr="001E0F20">
        <w:rPr>
          <w:spacing w:val="-3"/>
          <w:sz w:val="26"/>
          <w:szCs w:val="26"/>
        </w:rPr>
        <w:t xml:space="preserve">” </w:t>
      </w:r>
      <w:r w:rsidR="008952FB" w:rsidRPr="001E0F20">
        <w:rPr>
          <w:spacing w:val="-3"/>
          <w:sz w:val="26"/>
          <w:szCs w:val="26"/>
        </w:rPr>
        <w:t xml:space="preserve"> </w:t>
      </w:r>
      <w:r w:rsidRPr="001E0F20">
        <w:rPr>
          <w:spacing w:val="-3"/>
          <w:sz w:val="26"/>
          <w:szCs w:val="26"/>
        </w:rPr>
        <w:t xml:space="preserve">Petition at ¶ 6.  </w:t>
      </w:r>
      <w:r w:rsidR="0086299F" w:rsidRPr="001E0F20">
        <w:rPr>
          <w:spacing w:val="-3"/>
          <w:sz w:val="26"/>
          <w:szCs w:val="26"/>
        </w:rPr>
        <w:t xml:space="preserve">He states that the Commission erred in </w:t>
      </w:r>
      <w:r w:rsidR="00C804FF" w:rsidRPr="001E0F20">
        <w:rPr>
          <w:spacing w:val="-3"/>
          <w:sz w:val="26"/>
          <w:szCs w:val="26"/>
        </w:rPr>
        <w:t xml:space="preserve">requiring </w:t>
      </w:r>
      <w:r w:rsidR="0086299F" w:rsidRPr="001E0F20">
        <w:rPr>
          <w:spacing w:val="-3"/>
          <w:sz w:val="26"/>
          <w:szCs w:val="26"/>
        </w:rPr>
        <w:t>him to provide specific addresses where he lived or full names of any individuals with whom he lived during the period in question.  Petition at ¶ 8.</w:t>
      </w:r>
    </w:p>
    <w:p w14:paraId="5648B568" w14:textId="77777777" w:rsidR="0086299F" w:rsidRPr="001E0F20" w:rsidRDefault="0086299F" w:rsidP="00DE6AB3">
      <w:pPr>
        <w:widowControl/>
        <w:spacing w:line="360" w:lineRule="auto"/>
        <w:ind w:firstLine="1440"/>
        <w:rPr>
          <w:spacing w:val="-3"/>
          <w:sz w:val="26"/>
          <w:szCs w:val="26"/>
        </w:rPr>
      </w:pPr>
    </w:p>
    <w:p w14:paraId="3E6437D1" w14:textId="77777777" w:rsidR="0086299F" w:rsidRPr="001E0F20" w:rsidRDefault="0086299F" w:rsidP="00DE6AB3">
      <w:pPr>
        <w:widowControl/>
        <w:spacing w:line="360" w:lineRule="auto"/>
        <w:ind w:firstLine="1440"/>
        <w:rPr>
          <w:spacing w:val="-3"/>
          <w:sz w:val="26"/>
          <w:szCs w:val="26"/>
        </w:rPr>
      </w:pPr>
      <w:r w:rsidRPr="001E0F20">
        <w:rPr>
          <w:spacing w:val="-3"/>
          <w:sz w:val="26"/>
          <w:szCs w:val="26"/>
        </w:rPr>
        <w:lastRenderedPageBreak/>
        <w:t xml:space="preserve">In the Answer, PGW denies the assertions in the Petition and states that the </w:t>
      </w:r>
      <w:r w:rsidR="00622BF9" w:rsidRPr="001E0F20">
        <w:rPr>
          <w:spacing w:val="-3"/>
          <w:sz w:val="26"/>
          <w:szCs w:val="26"/>
        </w:rPr>
        <w:t>re</w:t>
      </w:r>
      <w:r w:rsidRPr="001E0F20">
        <w:rPr>
          <w:spacing w:val="-3"/>
          <w:sz w:val="26"/>
          <w:szCs w:val="26"/>
        </w:rPr>
        <w:t xml:space="preserve">cord of the proceeding is clear in that the Petitioner failed to demonstrate that he lived somewhere other than the service address in question.  </w:t>
      </w:r>
      <w:r w:rsidR="00622BF9" w:rsidRPr="001E0F20">
        <w:rPr>
          <w:spacing w:val="-3"/>
          <w:sz w:val="26"/>
          <w:szCs w:val="26"/>
        </w:rPr>
        <w:t>Answer at ¶</w:t>
      </w:r>
      <w:r w:rsidR="00120493" w:rsidRPr="001E0F20">
        <w:rPr>
          <w:spacing w:val="-3"/>
          <w:sz w:val="26"/>
          <w:szCs w:val="26"/>
        </w:rPr>
        <w:t>¶ 6,</w:t>
      </w:r>
      <w:r w:rsidR="00622BF9" w:rsidRPr="001E0F20">
        <w:rPr>
          <w:spacing w:val="-3"/>
          <w:sz w:val="26"/>
          <w:szCs w:val="26"/>
        </w:rPr>
        <w:t xml:space="preserve"> 8.  </w:t>
      </w:r>
      <w:r w:rsidRPr="001E0F20">
        <w:rPr>
          <w:spacing w:val="-3"/>
          <w:sz w:val="26"/>
          <w:szCs w:val="26"/>
        </w:rPr>
        <w:t xml:space="preserve">Although the Petitioner’s testimony was that he was homeless and stayed with various friends, he could not state the names of the people </w:t>
      </w:r>
      <w:r w:rsidR="007A74E5" w:rsidRPr="001E0F20">
        <w:rPr>
          <w:spacing w:val="-3"/>
          <w:sz w:val="26"/>
          <w:szCs w:val="26"/>
        </w:rPr>
        <w:t xml:space="preserve">he stayed with </w:t>
      </w:r>
      <w:r w:rsidRPr="001E0F20">
        <w:rPr>
          <w:spacing w:val="-3"/>
          <w:sz w:val="26"/>
          <w:szCs w:val="26"/>
        </w:rPr>
        <w:t xml:space="preserve">while </w:t>
      </w:r>
      <w:r w:rsidR="007A74E5" w:rsidRPr="001E0F20">
        <w:rPr>
          <w:spacing w:val="-3"/>
          <w:sz w:val="26"/>
          <w:szCs w:val="26"/>
        </w:rPr>
        <w:t xml:space="preserve">he was </w:t>
      </w:r>
      <w:r w:rsidRPr="001E0F20">
        <w:rPr>
          <w:spacing w:val="-3"/>
          <w:sz w:val="26"/>
          <w:szCs w:val="26"/>
        </w:rPr>
        <w:t xml:space="preserve">homeless or provide any information about the various friends he stayed with on a temporary basis or the names of shelters he might have stayed in for that period.  He simply denies that he was at the service address. </w:t>
      </w:r>
      <w:r w:rsidR="000A6835" w:rsidRPr="001E0F20">
        <w:rPr>
          <w:spacing w:val="-3"/>
          <w:sz w:val="26"/>
          <w:szCs w:val="26"/>
        </w:rPr>
        <w:t xml:space="preserve"> </w:t>
      </w:r>
      <w:r w:rsidRPr="001E0F20">
        <w:rPr>
          <w:spacing w:val="-3"/>
          <w:sz w:val="26"/>
          <w:szCs w:val="26"/>
        </w:rPr>
        <w:t>Answer at ¶ 8</w:t>
      </w:r>
      <w:r w:rsidR="00120493" w:rsidRPr="001E0F20">
        <w:rPr>
          <w:spacing w:val="-3"/>
          <w:sz w:val="26"/>
          <w:szCs w:val="26"/>
        </w:rPr>
        <w:t xml:space="preserve"> (</w:t>
      </w:r>
      <w:r w:rsidRPr="001E0F20">
        <w:rPr>
          <w:spacing w:val="-3"/>
          <w:sz w:val="26"/>
          <w:szCs w:val="26"/>
        </w:rPr>
        <w:t>citing Tr. at 34-36</w:t>
      </w:r>
      <w:r w:rsidR="00120493" w:rsidRPr="001E0F20">
        <w:rPr>
          <w:spacing w:val="-3"/>
          <w:sz w:val="26"/>
          <w:szCs w:val="26"/>
        </w:rPr>
        <w:t>)</w:t>
      </w:r>
      <w:r w:rsidRPr="001E0F20">
        <w:rPr>
          <w:spacing w:val="-3"/>
          <w:sz w:val="26"/>
          <w:szCs w:val="26"/>
        </w:rPr>
        <w:t xml:space="preserve">.  PGW explained that the purpose of allowing the credit report as permitted by Section 56.35(b)(2) is to establish the possible residence of a person associated with utility usage.  According to PGW, without supporting </w:t>
      </w:r>
      <w:r w:rsidR="00727EFF" w:rsidRPr="001E0F20">
        <w:rPr>
          <w:spacing w:val="-3"/>
          <w:sz w:val="26"/>
          <w:szCs w:val="26"/>
        </w:rPr>
        <w:t>evidence</w:t>
      </w:r>
      <w:r w:rsidRPr="001E0F20">
        <w:rPr>
          <w:spacing w:val="-3"/>
          <w:sz w:val="26"/>
          <w:szCs w:val="26"/>
        </w:rPr>
        <w:t xml:space="preserve"> that the Petitioner was homeless, </w:t>
      </w:r>
      <w:r w:rsidR="007A74E5" w:rsidRPr="001E0F20">
        <w:rPr>
          <w:spacing w:val="-3"/>
          <w:sz w:val="26"/>
          <w:szCs w:val="26"/>
        </w:rPr>
        <w:t>its</w:t>
      </w:r>
      <w:r w:rsidRPr="001E0F20">
        <w:rPr>
          <w:spacing w:val="-3"/>
          <w:sz w:val="26"/>
          <w:szCs w:val="26"/>
        </w:rPr>
        <w:t xml:space="preserve"> </w:t>
      </w:r>
      <w:r w:rsidR="00727EFF" w:rsidRPr="001E0F20">
        <w:rPr>
          <w:spacing w:val="-3"/>
          <w:sz w:val="26"/>
          <w:szCs w:val="26"/>
        </w:rPr>
        <w:t xml:space="preserve">assignment of the utility usage in </w:t>
      </w:r>
      <w:r w:rsidRPr="001E0F20">
        <w:rPr>
          <w:spacing w:val="-3"/>
          <w:sz w:val="26"/>
          <w:szCs w:val="26"/>
        </w:rPr>
        <w:t>reliance on the credit report which showed he was associated with the address during the period in question is un-rebutted.  Answer at ¶ 8.</w:t>
      </w:r>
    </w:p>
    <w:p w14:paraId="25BE2006" w14:textId="77777777" w:rsidR="00CB7B6F" w:rsidRPr="001E0F20" w:rsidRDefault="00CB7B6F" w:rsidP="00DE6AB3">
      <w:pPr>
        <w:widowControl/>
        <w:spacing w:line="360" w:lineRule="auto"/>
        <w:ind w:firstLine="1440"/>
        <w:rPr>
          <w:spacing w:val="-3"/>
          <w:sz w:val="26"/>
          <w:szCs w:val="26"/>
        </w:rPr>
      </w:pPr>
    </w:p>
    <w:p w14:paraId="09DF4A85" w14:textId="47C7EFE7" w:rsidR="00CF4505" w:rsidRPr="001E0F20" w:rsidRDefault="00015CA2" w:rsidP="00864A7E">
      <w:pPr>
        <w:widowControl/>
        <w:spacing w:line="360" w:lineRule="auto"/>
        <w:ind w:firstLine="1440"/>
        <w:rPr>
          <w:sz w:val="26"/>
          <w:szCs w:val="26"/>
        </w:rPr>
      </w:pPr>
      <w:r w:rsidRPr="001E0F20">
        <w:rPr>
          <w:spacing w:val="-3"/>
          <w:sz w:val="26"/>
          <w:szCs w:val="26"/>
        </w:rPr>
        <w:t>I</w:t>
      </w:r>
      <w:r w:rsidR="00CC7AA9" w:rsidRPr="001E0F20">
        <w:rPr>
          <w:spacing w:val="-3"/>
          <w:sz w:val="26"/>
          <w:szCs w:val="26"/>
        </w:rPr>
        <w:t xml:space="preserve">n the </w:t>
      </w:r>
      <w:r w:rsidR="00B055F1" w:rsidRPr="001E0F20">
        <w:rPr>
          <w:i/>
          <w:spacing w:val="-3"/>
          <w:sz w:val="26"/>
          <w:szCs w:val="26"/>
        </w:rPr>
        <w:t>November</w:t>
      </w:r>
      <w:r w:rsidR="00CC7AA9" w:rsidRPr="001E0F20">
        <w:rPr>
          <w:i/>
          <w:spacing w:val="-3"/>
          <w:sz w:val="26"/>
          <w:szCs w:val="26"/>
        </w:rPr>
        <w:t xml:space="preserve"> 2017 Order</w:t>
      </w:r>
      <w:r w:rsidR="00CC7AA9" w:rsidRPr="001E0F20">
        <w:rPr>
          <w:spacing w:val="-3"/>
          <w:sz w:val="26"/>
          <w:szCs w:val="26"/>
        </w:rPr>
        <w:t xml:space="preserve"> </w:t>
      </w:r>
      <w:r w:rsidRPr="001E0F20">
        <w:rPr>
          <w:spacing w:val="-3"/>
          <w:sz w:val="26"/>
          <w:szCs w:val="26"/>
        </w:rPr>
        <w:t xml:space="preserve">we determined </w:t>
      </w:r>
      <w:r w:rsidR="00CC7AA9" w:rsidRPr="001E0F20">
        <w:rPr>
          <w:spacing w:val="-3"/>
          <w:sz w:val="26"/>
          <w:szCs w:val="26"/>
        </w:rPr>
        <w:t>that, b</w:t>
      </w:r>
      <w:r w:rsidR="00CC7AA9" w:rsidRPr="001E0F20">
        <w:rPr>
          <w:sz w:val="26"/>
          <w:szCs w:val="26"/>
        </w:rPr>
        <w:t xml:space="preserve">ased on the evidence presented by the Petitioner, </w:t>
      </w:r>
      <w:r w:rsidR="005D18F0" w:rsidRPr="001E0F20">
        <w:rPr>
          <w:sz w:val="26"/>
          <w:szCs w:val="26"/>
        </w:rPr>
        <w:t xml:space="preserve">he failed to </w:t>
      </w:r>
      <w:r w:rsidR="00120493" w:rsidRPr="001E0F20">
        <w:rPr>
          <w:sz w:val="26"/>
          <w:szCs w:val="26"/>
        </w:rPr>
        <w:t>carry his burden of pro</w:t>
      </w:r>
      <w:r w:rsidR="001874B9" w:rsidRPr="001E0F20">
        <w:rPr>
          <w:sz w:val="26"/>
          <w:szCs w:val="26"/>
        </w:rPr>
        <w:t xml:space="preserve">of in demonstrating </w:t>
      </w:r>
      <w:r w:rsidR="005D18F0" w:rsidRPr="001E0F20">
        <w:rPr>
          <w:sz w:val="26"/>
          <w:szCs w:val="26"/>
        </w:rPr>
        <w:t xml:space="preserve">that he lived </w:t>
      </w:r>
      <w:r w:rsidRPr="001E0F20">
        <w:rPr>
          <w:sz w:val="26"/>
          <w:szCs w:val="26"/>
        </w:rPr>
        <w:t xml:space="preserve">or </w:t>
      </w:r>
      <w:r w:rsidR="005D18F0" w:rsidRPr="001E0F20">
        <w:rPr>
          <w:sz w:val="26"/>
          <w:szCs w:val="26"/>
        </w:rPr>
        <w:t xml:space="preserve">resided at another address during the time the disputed arrearage accrued.  </w:t>
      </w:r>
      <w:r w:rsidR="00120493" w:rsidRPr="001E0F20">
        <w:rPr>
          <w:sz w:val="26"/>
          <w:szCs w:val="26"/>
        </w:rPr>
        <w:t>Accordingly, due to the</w:t>
      </w:r>
      <w:r w:rsidR="005D18F0" w:rsidRPr="001E0F20">
        <w:rPr>
          <w:sz w:val="26"/>
          <w:szCs w:val="26"/>
        </w:rPr>
        <w:t xml:space="preserve"> lack of substantial evidence in the record, we </w:t>
      </w:r>
      <w:r w:rsidR="007A74E5" w:rsidRPr="001E0F20">
        <w:rPr>
          <w:sz w:val="26"/>
          <w:szCs w:val="26"/>
        </w:rPr>
        <w:t xml:space="preserve">were not able to </w:t>
      </w:r>
      <w:r w:rsidR="00465732" w:rsidRPr="001E0F20">
        <w:rPr>
          <w:sz w:val="26"/>
          <w:szCs w:val="26"/>
        </w:rPr>
        <w:t>conclude that it was inappropriate for</w:t>
      </w:r>
      <w:r w:rsidR="00CC7AA9" w:rsidRPr="001E0F20">
        <w:rPr>
          <w:sz w:val="26"/>
          <w:szCs w:val="26"/>
        </w:rPr>
        <w:t xml:space="preserve"> PGW </w:t>
      </w:r>
      <w:r w:rsidR="00465732" w:rsidRPr="001E0F20">
        <w:rPr>
          <w:sz w:val="26"/>
          <w:szCs w:val="26"/>
        </w:rPr>
        <w:t xml:space="preserve">to have </w:t>
      </w:r>
      <w:r w:rsidR="007A74E5" w:rsidRPr="001E0F20">
        <w:rPr>
          <w:sz w:val="26"/>
          <w:szCs w:val="26"/>
        </w:rPr>
        <w:t xml:space="preserve">assigned </w:t>
      </w:r>
      <w:r w:rsidRPr="001E0F20">
        <w:rPr>
          <w:sz w:val="26"/>
          <w:szCs w:val="26"/>
        </w:rPr>
        <w:t xml:space="preserve">to </w:t>
      </w:r>
      <w:r w:rsidR="007A74E5" w:rsidRPr="001E0F20">
        <w:rPr>
          <w:sz w:val="26"/>
          <w:szCs w:val="26"/>
        </w:rPr>
        <w:t xml:space="preserve">Mr. McLean </w:t>
      </w:r>
      <w:r w:rsidRPr="001E0F20">
        <w:rPr>
          <w:sz w:val="26"/>
          <w:szCs w:val="26"/>
        </w:rPr>
        <w:t xml:space="preserve">the </w:t>
      </w:r>
      <w:r w:rsidR="008079BB" w:rsidRPr="001E0F20">
        <w:rPr>
          <w:sz w:val="26"/>
          <w:szCs w:val="26"/>
        </w:rPr>
        <w:t xml:space="preserve">disputed </w:t>
      </w:r>
      <w:r w:rsidRPr="001E0F20">
        <w:rPr>
          <w:sz w:val="26"/>
          <w:szCs w:val="26"/>
        </w:rPr>
        <w:t>arrearage</w:t>
      </w:r>
      <w:r w:rsidR="00465732" w:rsidRPr="001E0F20">
        <w:rPr>
          <w:sz w:val="26"/>
          <w:szCs w:val="26"/>
        </w:rPr>
        <w:t xml:space="preserve"> based on the</w:t>
      </w:r>
      <w:r w:rsidR="008079BB" w:rsidRPr="001E0F20">
        <w:rPr>
          <w:sz w:val="26"/>
          <w:szCs w:val="26"/>
        </w:rPr>
        <w:t xml:space="preserve"> information in the</w:t>
      </w:r>
      <w:r w:rsidR="00465732" w:rsidRPr="001E0F20">
        <w:rPr>
          <w:sz w:val="26"/>
          <w:szCs w:val="26"/>
        </w:rPr>
        <w:t xml:space="preserve"> Experian credit report</w:t>
      </w:r>
      <w:r w:rsidR="008079BB" w:rsidRPr="001E0F20">
        <w:rPr>
          <w:sz w:val="26"/>
          <w:szCs w:val="26"/>
        </w:rPr>
        <w:t>, as PGW was permitted to do under 52 Pa. Code § 56.35(b)(2)</w:t>
      </w:r>
      <w:r w:rsidR="00053C35" w:rsidRPr="001E0F20">
        <w:rPr>
          <w:sz w:val="26"/>
          <w:szCs w:val="26"/>
        </w:rPr>
        <w:t xml:space="preserve">.  </w:t>
      </w:r>
      <w:r w:rsidR="00622BF9" w:rsidRPr="001E0F20">
        <w:rPr>
          <w:sz w:val="26"/>
          <w:szCs w:val="26"/>
        </w:rPr>
        <w:t xml:space="preserve">Thus, </w:t>
      </w:r>
      <w:r w:rsidR="00A511FF" w:rsidRPr="001E0F20">
        <w:rPr>
          <w:sz w:val="26"/>
          <w:szCs w:val="26"/>
        </w:rPr>
        <w:t>we den</w:t>
      </w:r>
      <w:r w:rsidR="00B055F1" w:rsidRPr="001E0F20">
        <w:rPr>
          <w:sz w:val="26"/>
          <w:szCs w:val="26"/>
        </w:rPr>
        <w:t>y</w:t>
      </w:r>
      <w:r w:rsidR="00A511FF" w:rsidRPr="001E0F20">
        <w:rPr>
          <w:sz w:val="26"/>
          <w:szCs w:val="26"/>
        </w:rPr>
        <w:t xml:space="preserve"> Mr. McLean’s Petition on this issue </w:t>
      </w:r>
      <w:r w:rsidR="00A21A46" w:rsidRPr="001E0F20">
        <w:rPr>
          <w:sz w:val="26"/>
          <w:szCs w:val="26"/>
        </w:rPr>
        <w:t>for failing</w:t>
      </w:r>
      <w:r w:rsidR="00B055F1" w:rsidRPr="001E0F20">
        <w:rPr>
          <w:sz w:val="26"/>
          <w:szCs w:val="26"/>
        </w:rPr>
        <w:t xml:space="preserve"> to</w:t>
      </w:r>
      <w:r w:rsidR="00FB177C" w:rsidRPr="001E0F20">
        <w:rPr>
          <w:spacing w:val="-3"/>
          <w:sz w:val="26"/>
          <w:szCs w:val="26"/>
        </w:rPr>
        <w:t xml:space="preserve"> meet the </w:t>
      </w:r>
      <w:r w:rsidR="00FB177C" w:rsidRPr="001E0F20">
        <w:rPr>
          <w:i/>
          <w:spacing w:val="-3"/>
          <w:sz w:val="26"/>
          <w:szCs w:val="26"/>
        </w:rPr>
        <w:t>Duick</w:t>
      </w:r>
      <w:r w:rsidR="00FB177C" w:rsidRPr="001E0F20">
        <w:rPr>
          <w:spacing w:val="-3"/>
          <w:sz w:val="26"/>
          <w:szCs w:val="26"/>
        </w:rPr>
        <w:t xml:space="preserve"> standard </w:t>
      </w:r>
      <w:r w:rsidR="00A21A46" w:rsidRPr="001E0F20">
        <w:rPr>
          <w:spacing w:val="-3"/>
          <w:sz w:val="26"/>
          <w:szCs w:val="26"/>
        </w:rPr>
        <w:t>because he</w:t>
      </w:r>
      <w:r w:rsidR="00FB177C" w:rsidRPr="001E0F20">
        <w:rPr>
          <w:spacing w:val="-3"/>
          <w:sz w:val="26"/>
          <w:szCs w:val="26"/>
        </w:rPr>
        <w:t xml:space="preserve"> do</w:t>
      </w:r>
      <w:r w:rsidR="00A21A46" w:rsidRPr="001E0F20">
        <w:rPr>
          <w:spacing w:val="-3"/>
          <w:sz w:val="26"/>
          <w:szCs w:val="26"/>
        </w:rPr>
        <w:t>es</w:t>
      </w:r>
      <w:r w:rsidR="00FB177C" w:rsidRPr="001E0F20">
        <w:rPr>
          <w:spacing w:val="-3"/>
          <w:sz w:val="26"/>
          <w:szCs w:val="26"/>
        </w:rPr>
        <w:t xml:space="preserve"> not </w:t>
      </w:r>
      <w:r w:rsidR="005D18F0" w:rsidRPr="001E0F20">
        <w:rPr>
          <w:color w:val="000000"/>
          <w:sz w:val="26"/>
          <w:szCs w:val="26"/>
        </w:rPr>
        <w:t>rais</w:t>
      </w:r>
      <w:r w:rsidR="00FB177C" w:rsidRPr="001E0F20">
        <w:rPr>
          <w:color w:val="000000"/>
          <w:sz w:val="26"/>
          <w:szCs w:val="26"/>
        </w:rPr>
        <w:t>e</w:t>
      </w:r>
      <w:r w:rsidR="005D18F0" w:rsidRPr="001E0F20">
        <w:rPr>
          <w:color w:val="000000"/>
          <w:sz w:val="26"/>
          <w:szCs w:val="26"/>
        </w:rPr>
        <w:t xml:space="preserve"> any new and novel arguments or identified considerations that appear to have been overlooked or not addressed by the Commission.</w:t>
      </w:r>
    </w:p>
    <w:p w14:paraId="563A769B" w14:textId="77777777" w:rsidR="00CC7AA9" w:rsidRPr="001E0F20" w:rsidRDefault="00CC7AA9" w:rsidP="00864A7E">
      <w:pPr>
        <w:widowControl/>
        <w:spacing w:line="360" w:lineRule="auto"/>
        <w:rPr>
          <w:spacing w:val="-3"/>
          <w:sz w:val="26"/>
          <w:szCs w:val="26"/>
        </w:rPr>
      </w:pPr>
    </w:p>
    <w:p w14:paraId="1BE4EB2F" w14:textId="17DF49F8" w:rsidR="0089672A" w:rsidRPr="001E0F20" w:rsidRDefault="00A511FF" w:rsidP="00864A7E">
      <w:pPr>
        <w:keepNext/>
        <w:keepLines/>
        <w:widowControl/>
        <w:spacing w:line="360" w:lineRule="auto"/>
        <w:ind w:left="1440"/>
        <w:rPr>
          <w:b/>
          <w:spacing w:val="-3"/>
          <w:sz w:val="26"/>
          <w:szCs w:val="26"/>
        </w:rPr>
      </w:pPr>
      <w:r w:rsidRPr="001E0F20">
        <w:rPr>
          <w:b/>
          <w:spacing w:val="-3"/>
          <w:sz w:val="26"/>
          <w:szCs w:val="26"/>
        </w:rPr>
        <w:lastRenderedPageBreak/>
        <w:t>3.</w:t>
      </w:r>
      <w:r w:rsidRPr="001E0F20">
        <w:rPr>
          <w:b/>
          <w:spacing w:val="-3"/>
          <w:sz w:val="26"/>
          <w:szCs w:val="26"/>
        </w:rPr>
        <w:tab/>
      </w:r>
      <w:r w:rsidR="00E906F0" w:rsidRPr="001E0F20">
        <w:rPr>
          <w:b/>
          <w:spacing w:val="-3"/>
          <w:sz w:val="26"/>
          <w:szCs w:val="26"/>
        </w:rPr>
        <w:t>Credit Report</w:t>
      </w:r>
      <w:r w:rsidR="00567F41" w:rsidRPr="001E0F20">
        <w:rPr>
          <w:b/>
          <w:spacing w:val="-3"/>
          <w:sz w:val="26"/>
          <w:szCs w:val="26"/>
        </w:rPr>
        <w:t>’s Compliance with Federal Law</w:t>
      </w:r>
      <w:r w:rsidR="00EA21EB" w:rsidRPr="001E0F20">
        <w:rPr>
          <w:rStyle w:val="FootnoteReference"/>
          <w:b/>
          <w:spacing w:val="-3"/>
          <w:sz w:val="26"/>
          <w:szCs w:val="26"/>
        </w:rPr>
        <w:footnoteReference w:id="13"/>
      </w:r>
    </w:p>
    <w:p w14:paraId="381F1981" w14:textId="77777777" w:rsidR="00EA21EB" w:rsidRPr="001E0F20" w:rsidRDefault="00EA21EB" w:rsidP="00864A7E">
      <w:pPr>
        <w:keepNext/>
        <w:keepLines/>
        <w:widowControl/>
        <w:spacing w:line="360" w:lineRule="auto"/>
        <w:ind w:left="1440"/>
        <w:rPr>
          <w:spacing w:val="-3"/>
          <w:sz w:val="26"/>
          <w:szCs w:val="26"/>
        </w:rPr>
      </w:pPr>
    </w:p>
    <w:p w14:paraId="1C2242E1" w14:textId="77777777" w:rsidR="007324AE" w:rsidRPr="001E0F20" w:rsidRDefault="00CB7B6F" w:rsidP="00DE6AB3">
      <w:pPr>
        <w:widowControl/>
        <w:spacing w:line="360" w:lineRule="auto"/>
        <w:ind w:firstLine="1440"/>
        <w:rPr>
          <w:spacing w:val="-3"/>
          <w:sz w:val="26"/>
          <w:szCs w:val="26"/>
        </w:rPr>
      </w:pPr>
      <w:r w:rsidRPr="001E0F20">
        <w:rPr>
          <w:spacing w:val="-3"/>
          <w:sz w:val="26"/>
          <w:szCs w:val="26"/>
        </w:rPr>
        <w:t>In the Petition,</w:t>
      </w:r>
      <w:r w:rsidR="00A55319" w:rsidRPr="001E0F20">
        <w:rPr>
          <w:spacing w:val="-3"/>
          <w:sz w:val="26"/>
          <w:szCs w:val="26"/>
        </w:rPr>
        <w:t xml:space="preserve"> </w:t>
      </w:r>
      <w:r w:rsidR="005F2426" w:rsidRPr="001E0F20">
        <w:rPr>
          <w:spacing w:val="-3"/>
          <w:sz w:val="26"/>
          <w:szCs w:val="26"/>
        </w:rPr>
        <w:t xml:space="preserve">the </w:t>
      </w:r>
      <w:r w:rsidR="007A74E5" w:rsidRPr="001E0F20">
        <w:rPr>
          <w:spacing w:val="-3"/>
          <w:sz w:val="26"/>
          <w:szCs w:val="26"/>
        </w:rPr>
        <w:t>Mr. McLean</w:t>
      </w:r>
      <w:r w:rsidR="005F2426" w:rsidRPr="001E0F20">
        <w:rPr>
          <w:spacing w:val="-3"/>
          <w:sz w:val="26"/>
          <w:szCs w:val="26"/>
        </w:rPr>
        <w:t xml:space="preserve"> argues that </w:t>
      </w:r>
      <w:r w:rsidR="007324AE" w:rsidRPr="001E0F20">
        <w:rPr>
          <w:spacing w:val="-3"/>
          <w:sz w:val="26"/>
          <w:szCs w:val="26"/>
        </w:rPr>
        <w:t xml:space="preserve">the Experian credit report </w:t>
      </w:r>
      <w:r w:rsidR="0027423C" w:rsidRPr="001E0F20">
        <w:rPr>
          <w:spacing w:val="-3"/>
          <w:sz w:val="26"/>
          <w:szCs w:val="26"/>
        </w:rPr>
        <w:t xml:space="preserve">relied upon </w:t>
      </w:r>
      <w:r w:rsidR="000D7779" w:rsidRPr="001E0F20">
        <w:rPr>
          <w:spacing w:val="-3"/>
          <w:sz w:val="26"/>
          <w:szCs w:val="26"/>
        </w:rPr>
        <w:t xml:space="preserve">by PGW </w:t>
      </w:r>
      <w:r w:rsidR="0027423C" w:rsidRPr="001E0F20">
        <w:rPr>
          <w:spacing w:val="-3"/>
          <w:sz w:val="26"/>
          <w:szCs w:val="26"/>
        </w:rPr>
        <w:t xml:space="preserve">to establish the Petitioner’s last known address </w:t>
      </w:r>
      <w:r w:rsidR="005F2426" w:rsidRPr="001E0F20">
        <w:rPr>
          <w:spacing w:val="-3"/>
          <w:sz w:val="26"/>
          <w:szCs w:val="26"/>
        </w:rPr>
        <w:t>violated applicable federal law and regulation</w:t>
      </w:r>
      <w:r w:rsidR="00A55319" w:rsidRPr="001E0F20">
        <w:rPr>
          <w:spacing w:val="-3"/>
          <w:sz w:val="26"/>
          <w:szCs w:val="26"/>
        </w:rPr>
        <w:t xml:space="preserve">. </w:t>
      </w:r>
      <w:r w:rsidR="005F2426" w:rsidRPr="001E0F20">
        <w:rPr>
          <w:spacing w:val="-3"/>
          <w:sz w:val="26"/>
          <w:szCs w:val="26"/>
        </w:rPr>
        <w:t xml:space="preserve"> </w:t>
      </w:r>
      <w:r w:rsidR="003612F4" w:rsidRPr="001E0F20">
        <w:rPr>
          <w:spacing w:val="-3"/>
          <w:sz w:val="26"/>
          <w:szCs w:val="26"/>
        </w:rPr>
        <w:t>S</w:t>
      </w:r>
      <w:r w:rsidR="007324AE" w:rsidRPr="001E0F20">
        <w:rPr>
          <w:spacing w:val="-3"/>
          <w:sz w:val="26"/>
          <w:szCs w:val="26"/>
        </w:rPr>
        <w:t>pecifically, he argue</w:t>
      </w:r>
      <w:r w:rsidR="00802FAB" w:rsidRPr="001E0F20">
        <w:rPr>
          <w:spacing w:val="-3"/>
          <w:sz w:val="26"/>
          <w:szCs w:val="26"/>
        </w:rPr>
        <w:t>s</w:t>
      </w:r>
      <w:r w:rsidR="007324AE" w:rsidRPr="001E0F20">
        <w:rPr>
          <w:spacing w:val="-3"/>
          <w:sz w:val="26"/>
          <w:szCs w:val="26"/>
        </w:rPr>
        <w:t xml:space="preserve"> that </w:t>
      </w:r>
      <w:r w:rsidR="0027423C" w:rsidRPr="001E0F20">
        <w:rPr>
          <w:spacing w:val="-3"/>
          <w:sz w:val="26"/>
          <w:szCs w:val="26"/>
        </w:rPr>
        <w:t xml:space="preserve">the </w:t>
      </w:r>
      <w:r w:rsidR="007324AE" w:rsidRPr="001E0F20">
        <w:rPr>
          <w:spacing w:val="-3"/>
          <w:sz w:val="26"/>
          <w:szCs w:val="26"/>
        </w:rPr>
        <w:t xml:space="preserve">credit report violated the “Fair Credit Reporting Agency rule” which </w:t>
      </w:r>
      <w:r w:rsidR="003612F4" w:rsidRPr="001E0F20">
        <w:rPr>
          <w:spacing w:val="-3"/>
          <w:sz w:val="26"/>
          <w:szCs w:val="26"/>
        </w:rPr>
        <w:t xml:space="preserve">he asserts </w:t>
      </w:r>
      <w:r w:rsidR="007324AE" w:rsidRPr="001E0F20">
        <w:rPr>
          <w:spacing w:val="-3"/>
          <w:sz w:val="26"/>
          <w:szCs w:val="26"/>
        </w:rPr>
        <w:t xml:space="preserve">limits </w:t>
      </w:r>
      <w:r w:rsidR="000A6835" w:rsidRPr="001E0F20">
        <w:rPr>
          <w:spacing w:val="-3"/>
          <w:sz w:val="26"/>
          <w:szCs w:val="26"/>
        </w:rPr>
        <w:t>“</w:t>
      </w:r>
      <w:r w:rsidR="007324AE" w:rsidRPr="001E0F20">
        <w:rPr>
          <w:spacing w:val="-3"/>
          <w:sz w:val="26"/>
          <w:szCs w:val="26"/>
        </w:rPr>
        <w:t>all credit report accounts</w:t>
      </w:r>
      <w:r w:rsidR="0089672A" w:rsidRPr="001E0F20">
        <w:rPr>
          <w:spacing w:val="-3"/>
          <w:sz w:val="26"/>
          <w:szCs w:val="26"/>
        </w:rPr>
        <w:t>”</w:t>
      </w:r>
      <w:r w:rsidR="007324AE" w:rsidRPr="001E0F20">
        <w:rPr>
          <w:spacing w:val="-3"/>
          <w:sz w:val="26"/>
          <w:szCs w:val="26"/>
        </w:rPr>
        <w:t xml:space="preserve"> to data accessible </w:t>
      </w:r>
      <w:r w:rsidR="0089672A" w:rsidRPr="001E0F20">
        <w:rPr>
          <w:spacing w:val="-3"/>
          <w:sz w:val="26"/>
          <w:szCs w:val="26"/>
        </w:rPr>
        <w:t>“extending</w:t>
      </w:r>
      <w:r w:rsidR="007324AE" w:rsidRPr="001E0F20">
        <w:rPr>
          <w:spacing w:val="-3"/>
          <w:sz w:val="26"/>
          <w:szCs w:val="26"/>
        </w:rPr>
        <w:t xml:space="preserve"> ten years </w:t>
      </w:r>
      <w:r w:rsidR="0089672A" w:rsidRPr="001E0F20">
        <w:rPr>
          <w:spacing w:val="-3"/>
          <w:sz w:val="26"/>
          <w:szCs w:val="26"/>
        </w:rPr>
        <w:t xml:space="preserve">back from any </w:t>
      </w:r>
      <w:r w:rsidR="007324AE" w:rsidRPr="001E0F20">
        <w:rPr>
          <w:spacing w:val="-3"/>
          <w:sz w:val="26"/>
          <w:szCs w:val="26"/>
        </w:rPr>
        <w:t>search date</w:t>
      </w:r>
      <w:r w:rsidR="0089672A" w:rsidRPr="001E0F20">
        <w:rPr>
          <w:spacing w:val="-3"/>
          <w:sz w:val="26"/>
          <w:szCs w:val="26"/>
        </w:rPr>
        <w:t xml:space="preserve">” executed by Experian. </w:t>
      </w:r>
      <w:r w:rsidR="007324AE" w:rsidRPr="001E0F20">
        <w:rPr>
          <w:spacing w:val="-3"/>
          <w:sz w:val="26"/>
          <w:szCs w:val="26"/>
        </w:rPr>
        <w:t xml:space="preserve"> </w:t>
      </w:r>
      <w:r w:rsidR="00E906F0" w:rsidRPr="001E0F20">
        <w:rPr>
          <w:spacing w:val="-3"/>
          <w:sz w:val="26"/>
          <w:szCs w:val="26"/>
        </w:rPr>
        <w:t>Petition at ¶ 7.</w:t>
      </w:r>
    </w:p>
    <w:p w14:paraId="696C837C" w14:textId="77777777" w:rsidR="00964A80" w:rsidRPr="001E0F20" w:rsidRDefault="00964A80" w:rsidP="00DE6AB3">
      <w:pPr>
        <w:widowControl/>
        <w:spacing w:line="360" w:lineRule="auto"/>
        <w:contextualSpacing/>
        <w:rPr>
          <w:spacing w:val="-3"/>
          <w:sz w:val="26"/>
          <w:szCs w:val="26"/>
        </w:rPr>
      </w:pPr>
    </w:p>
    <w:p w14:paraId="02FD0C69" w14:textId="77777777" w:rsidR="00D26314" w:rsidRPr="001E0F20" w:rsidRDefault="00CB7B6F" w:rsidP="00DE6AB3">
      <w:pPr>
        <w:widowControl/>
        <w:spacing w:line="360" w:lineRule="auto"/>
        <w:ind w:firstLine="1440"/>
        <w:contextualSpacing/>
        <w:rPr>
          <w:sz w:val="26"/>
          <w:szCs w:val="26"/>
        </w:rPr>
      </w:pPr>
      <w:r w:rsidRPr="001E0F20">
        <w:rPr>
          <w:spacing w:val="-3"/>
          <w:sz w:val="26"/>
          <w:szCs w:val="26"/>
        </w:rPr>
        <w:t xml:space="preserve">In the Answer, </w:t>
      </w:r>
      <w:r w:rsidR="00552331" w:rsidRPr="001E0F20">
        <w:rPr>
          <w:spacing w:val="-3"/>
          <w:sz w:val="26"/>
          <w:szCs w:val="26"/>
        </w:rPr>
        <w:t xml:space="preserve">PGW denies the Petitioner’s averments and states that public utilities </w:t>
      </w:r>
      <w:r w:rsidR="00715C7E" w:rsidRPr="001E0F20">
        <w:rPr>
          <w:spacing w:val="-3"/>
          <w:sz w:val="26"/>
          <w:szCs w:val="26"/>
        </w:rPr>
        <w:t xml:space="preserve">regulated by the Commission </w:t>
      </w:r>
      <w:r w:rsidR="00552331" w:rsidRPr="001E0F20">
        <w:rPr>
          <w:spacing w:val="-3"/>
          <w:sz w:val="26"/>
          <w:szCs w:val="26"/>
        </w:rPr>
        <w:t xml:space="preserve">are permitted </w:t>
      </w:r>
      <w:r w:rsidR="00715C7E" w:rsidRPr="001E0F20">
        <w:rPr>
          <w:spacing w:val="-3"/>
          <w:sz w:val="26"/>
          <w:szCs w:val="26"/>
        </w:rPr>
        <w:t>pursuant to</w:t>
      </w:r>
      <w:r w:rsidR="00552331" w:rsidRPr="001E0F20">
        <w:rPr>
          <w:spacing w:val="-3"/>
          <w:sz w:val="26"/>
          <w:szCs w:val="26"/>
        </w:rPr>
        <w:t xml:space="preserve"> the Commission’s Regulations at 52 Pa. Code § 56.35(b)(2) to consult credit report for information on place of residence.  </w:t>
      </w:r>
      <w:r w:rsidR="00CE7886" w:rsidRPr="001E0F20">
        <w:rPr>
          <w:spacing w:val="-3"/>
          <w:sz w:val="26"/>
          <w:szCs w:val="26"/>
        </w:rPr>
        <w:t>Answer at ¶ 7.</w:t>
      </w:r>
    </w:p>
    <w:p w14:paraId="40D1BBE3" w14:textId="77777777" w:rsidR="00802FAB" w:rsidRPr="001E0F20" w:rsidRDefault="00802FAB" w:rsidP="00DE6AB3">
      <w:pPr>
        <w:widowControl/>
        <w:spacing w:line="360" w:lineRule="auto"/>
        <w:ind w:firstLine="1440"/>
        <w:contextualSpacing/>
        <w:rPr>
          <w:spacing w:val="-3"/>
          <w:sz w:val="26"/>
          <w:szCs w:val="26"/>
        </w:rPr>
      </w:pPr>
    </w:p>
    <w:p w14:paraId="4921BF98" w14:textId="77777777" w:rsidR="008A7CAF" w:rsidRPr="001E0F20" w:rsidRDefault="00CF4505" w:rsidP="00DE6AB3">
      <w:pPr>
        <w:widowControl/>
        <w:spacing w:line="360" w:lineRule="auto"/>
        <w:ind w:firstLine="1440"/>
        <w:contextualSpacing/>
        <w:rPr>
          <w:spacing w:val="-3"/>
          <w:sz w:val="26"/>
          <w:szCs w:val="26"/>
        </w:rPr>
      </w:pPr>
      <w:r w:rsidRPr="001E0F20">
        <w:rPr>
          <w:spacing w:val="-3"/>
          <w:sz w:val="26"/>
          <w:szCs w:val="26"/>
        </w:rPr>
        <w:t xml:space="preserve">We acknowledge that we have no authority in interpreting </w:t>
      </w:r>
      <w:r w:rsidR="000D7779" w:rsidRPr="001E0F20">
        <w:rPr>
          <w:spacing w:val="-3"/>
          <w:sz w:val="26"/>
          <w:szCs w:val="26"/>
        </w:rPr>
        <w:t>or adjudicating claims made pursuant to</w:t>
      </w:r>
      <w:r w:rsidRPr="001E0F20">
        <w:rPr>
          <w:spacing w:val="-3"/>
          <w:sz w:val="26"/>
          <w:szCs w:val="26"/>
        </w:rPr>
        <w:t xml:space="preserve"> </w:t>
      </w:r>
      <w:r w:rsidR="000D7779" w:rsidRPr="001E0F20">
        <w:rPr>
          <w:spacing w:val="-3"/>
          <w:sz w:val="26"/>
          <w:szCs w:val="26"/>
        </w:rPr>
        <w:t xml:space="preserve">The Fair Credit Reporting Act, 15 U.S.C. § 1681 </w:t>
      </w:r>
      <w:r w:rsidR="000D7779" w:rsidRPr="001E0F20">
        <w:rPr>
          <w:i/>
          <w:spacing w:val="-3"/>
          <w:sz w:val="26"/>
          <w:szCs w:val="26"/>
        </w:rPr>
        <w:t>et seq.</w:t>
      </w:r>
      <w:r w:rsidR="000D7779" w:rsidRPr="001E0F20">
        <w:rPr>
          <w:spacing w:val="-3"/>
          <w:sz w:val="26"/>
          <w:szCs w:val="26"/>
        </w:rPr>
        <w:t xml:space="preserve"> (FCRA) and 16 CFR Part 602 </w:t>
      </w:r>
      <w:r w:rsidR="000D7779" w:rsidRPr="001E0F20">
        <w:rPr>
          <w:i/>
          <w:spacing w:val="-3"/>
          <w:sz w:val="26"/>
          <w:szCs w:val="26"/>
        </w:rPr>
        <w:t>et seq.</w:t>
      </w:r>
      <w:r w:rsidR="000D7779" w:rsidRPr="001E0F20">
        <w:rPr>
          <w:spacing w:val="-3"/>
          <w:sz w:val="26"/>
          <w:szCs w:val="26"/>
        </w:rPr>
        <w:t xml:space="preserve">, which are the federal regulations under the Federal Trade Commission (FTC)’s oversight.  </w:t>
      </w:r>
      <w:r w:rsidRPr="001E0F20">
        <w:rPr>
          <w:spacing w:val="-3"/>
          <w:sz w:val="26"/>
          <w:szCs w:val="26"/>
        </w:rPr>
        <w:t xml:space="preserve">However, </w:t>
      </w:r>
      <w:r w:rsidR="007A74E5" w:rsidRPr="001E0F20">
        <w:rPr>
          <w:spacing w:val="-3"/>
          <w:sz w:val="26"/>
          <w:szCs w:val="26"/>
        </w:rPr>
        <w:t xml:space="preserve">we do have </w:t>
      </w:r>
      <w:r w:rsidR="00B055F1" w:rsidRPr="001E0F20">
        <w:rPr>
          <w:spacing w:val="-3"/>
          <w:sz w:val="26"/>
          <w:szCs w:val="26"/>
        </w:rPr>
        <w:t>the</w:t>
      </w:r>
      <w:r w:rsidRPr="001E0F20">
        <w:rPr>
          <w:spacing w:val="-3"/>
          <w:sz w:val="26"/>
          <w:szCs w:val="26"/>
        </w:rPr>
        <w:t xml:space="preserve"> authority to determine whether a utility provide</w:t>
      </w:r>
      <w:r w:rsidR="002A045F" w:rsidRPr="001E0F20">
        <w:rPr>
          <w:spacing w:val="-3"/>
          <w:sz w:val="26"/>
          <w:szCs w:val="26"/>
        </w:rPr>
        <w:t>s</w:t>
      </w:r>
      <w:r w:rsidRPr="001E0F20">
        <w:rPr>
          <w:spacing w:val="-3"/>
          <w:sz w:val="26"/>
          <w:szCs w:val="26"/>
        </w:rPr>
        <w:t xml:space="preserve"> reasonable service when relying upon a </w:t>
      </w:r>
      <w:r w:rsidR="000D7779" w:rsidRPr="001E0F20">
        <w:rPr>
          <w:spacing w:val="-3"/>
          <w:sz w:val="26"/>
          <w:szCs w:val="26"/>
        </w:rPr>
        <w:t xml:space="preserve">commercially available </w:t>
      </w:r>
      <w:r w:rsidRPr="001E0F20">
        <w:rPr>
          <w:spacing w:val="-3"/>
          <w:sz w:val="26"/>
          <w:szCs w:val="26"/>
        </w:rPr>
        <w:t>credit report as permitted under 52 Pa. Code § 56.35(b)(2).  For example, if a utility relies on a credit report that is demonstrably out-of-compliance with the FCRA or the FTC’s regulations, we cannot find that the utility or the credit reporting agency violated the FCRA or the FTC’s regulations</w:t>
      </w:r>
      <w:r w:rsidR="007A74E5" w:rsidRPr="001E0F20">
        <w:rPr>
          <w:spacing w:val="-3"/>
          <w:sz w:val="26"/>
          <w:szCs w:val="26"/>
        </w:rPr>
        <w:t>;</w:t>
      </w:r>
      <w:r w:rsidRPr="001E0F20">
        <w:rPr>
          <w:spacing w:val="-3"/>
          <w:sz w:val="26"/>
          <w:szCs w:val="26"/>
        </w:rPr>
        <w:t xml:space="preserve"> </w:t>
      </w:r>
      <w:r w:rsidR="007A74E5" w:rsidRPr="001E0F20">
        <w:rPr>
          <w:spacing w:val="-3"/>
          <w:sz w:val="26"/>
          <w:szCs w:val="26"/>
        </w:rPr>
        <w:t xml:space="preserve">but </w:t>
      </w:r>
      <w:r w:rsidRPr="001E0F20">
        <w:rPr>
          <w:spacing w:val="-3"/>
          <w:sz w:val="26"/>
          <w:szCs w:val="26"/>
        </w:rPr>
        <w:t xml:space="preserve">we can find that the utility did not act reasonably by relying upon the demonstrably non-compliant credit report.  Notwithstanding the foregoing, nothing in the Petition </w:t>
      </w:r>
      <w:r w:rsidR="005F63B8" w:rsidRPr="001E0F20">
        <w:rPr>
          <w:spacing w:val="-3"/>
          <w:sz w:val="26"/>
          <w:szCs w:val="26"/>
        </w:rPr>
        <w:t xml:space="preserve">indicates the specific </w:t>
      </w:r>
      <w:r w:rsidRPr="001E0F20">
        <w:rPr>
          <w:spacing w:val="-3"/>
          <w:sz w:val="26"/>
          <w:szCs w:val="26"/>
        </w:rPr>
        <w:t>provision</w:t>
      </w:r>
      <w:r w:rsidR="005F63B8" w:rsidRPr="001E0F20">
        <w:rPr>
          <w:spacing w:val="-3"/>
          <w:sz w:val="26"/>
          <w:szCs w:val="26"/>
        </w:rPr>
        <w:t xml:space="preserve"> of the FCRA that prohibit</w:t>
      </w:r>
      <w:r w:rsidR="000D7779" w:rsidRPr="001E0F20">
        <w:rPr>
          <w:spacing w:val="-3"/>
          <w:sz w:val="26"/>
          <w:szCs w:val="26"/>
        </w:rPr>
        <w:t>s</w:t>
      </w:r>
      <w:r w:rsidR="005F63B8" w:rsidRPr="001E0F20">
        <w:rPr>
          <w:spacing w:val="-3"/>
          <w:sz w:val="26"/>
          <w:szCs w:val="26"/>
        </w:rPr>
        <w:t xml:space="preserve"> a credit report </w:t>
      </w:r>
      <w:r w:rsidR="000D7779" w:rsidRPr="001E0F20">
        <w:rPr>
          <w:spacing w:val="-3"/>
          <w:sz w:val="26"/>
          <w:szCs w:val="26"/>
        </w:rPr>
        <w:t>from</w:t>
      </w:r>
      <w:r w:rsidR="005F63B8" w:rsidRPr="001E0F20">
        <w:rPr>
          <w:spacing w:val="-3"/>
          <w:sz w:val="26"/>
          <w:szCs w:val="26"/>
        </w:rPr>
        <w:t xml:space="preserve"> show</w:t>
      </w:r>
      <w:r w:rsidR="000D7779" w:rsidRPr="001E0F20">
        <w:rPr>
          <w:spacing w:val="-3"/>
          <w:sz w:val="26"/>
          <w:szCs w:val="26"/>
        </w:rPr>
        <w:t>ing</w:t>
      </w:r>
      <w:r w:rsidR="005F63B8" w:rsidRPr="001E0F20">
        <w:rPr>
          <w:spacing w:val="-3"/>
          <w:sz w:val="26"/>
          <w:szCs w:val="26"/>
        </w:rPr>
        <w:t xml:space="preserve"> an address </w:t>
      </w:r>
      <w:r w:rsidR="000D7779" w:rsidRPr="001E0F20">
        <w:rPr>
          <w:spacing w:val="-3"/>
          <w:sz w:val="26"/>
          <w:szCs w:val="26"/>
        </w:rPr>
        <w:t xml:space="preserve">associated with a customer </w:t>
      </w:r>
      <w:r w:rsidR="005F63B8" w:rsidRPr="001E0F20">
        <w:rPr>
          <w:spacing w:val="-3"/>
          <w:sz w:val="26"/>
          <w:szCs w:val="26"/>
        </w:rPr>
        <w:t xml:space="preserve">by more than ten years from the date of the </w:t>
      </w:r>
      <w:r w:rsidR="005F63B8" w:rsidRPr="001E0F20">
        <w:rPr>
          <w:spacing w:val="-3"/>
          <w:sz w:val="26"/>
          <w:szCs w:val="26"/>
        </w:rPr>
        <w:lastRenderedPageBreak/>
        <w:t xml:space="preserve">credit report.  </w:t>
      </w:r>
      <w:r w:rsidRPr="001E0F20">
        <w:rPr>
          <w:spacing w:val="-3"/>
          <w:sz w:val="26"/>
          <w:szCs w:val="26"/>
        </w:rPr>
        <w:t xml:space="preserve">Moreover, </w:t>
      </w:r>
      <w:r w:rsidR="00DE6AB3" w:rsidRPr="001E0F20">
        <w:rPr>
          <w:spacing w:val="-3"/>
          <w:sz w:val="26"/>
          <w:szCs w:val="26"/>
        </w:rPr>
        <w:t xml:space="preserve">we find no such prohibition </w:t>
      </w:r>
      <w:r w:rsidRPr="001E0F20">
        <w:rPr>
          <w:spacing w:val="-3"/>
          <w:sz w:val="26"/>
          <w:szCs w:val="26"/>
        </w:rPr>
        <w:t xml:space="preserve">based on our </w:t>
      </w:r>
      <w:r w:rsidR="004412E2" w:rsidRPr="001E0F20">
        <w:rPr>
          <w:spacing w:val="-3"/>
          <w:sz w:val="26"/>
          <w:szCs w:val="26"/>
        </w:rPr>
        <w:t>review</w:t>
      </w:r>
      <w:r w:rsidRPr="001E0F20">
        <w:rPr>
          <w:spacing w:val="-3"/>
          <w:sz w:val="26"/>
          <w:szCs w:val="26"/>
        </w:rPr>
        <w:t xml:space="preserve"> of the FCRA and </w:t>
      </w:r>
      <w:r w:rsidR="00B055F1" w:rsidRPr="001E0F20">
        <w:rPr>
          <w:spacing w:val="-3"/>
          <w:sz w:val="26"/>
          <w:szCs w:val="26"/>
        </w:rPr>
        <w:t xml:space="preserve">the implementing </w:t>
      </w:r>
      <w:r w:rsidRPr="001E0F20">
        <w:rPr>
          <w:spacing w:val="-3"/>
          <w:sz w:val="26"/>
          <w:szCs w:val="26"/>
        </w:rPr>
        <w:t>regulations, specifically 15 U.S.C. § 1681c, 16 CFR Part 605</w:t>
      </w:r>
      <w:r w:rsidR="00DE6AB3" w:rsidRPr="001E0F20">
        <w:rPr>
          <w:spacing w:val="-3"/>
          <w:sz w:val="26"/>
          <w:szCs w:val="26"/>
        </w:rPr>
        <w:t>.</w:t>
      </w:r>
    </w:p>
    <w:p w14:paraId="2EC009AE" w14:textId="77777777" w:rsidR="008A7CAF" w:rsidRPr="001E0F20" w:rsidRDefault="008A7CAF" w:rsidP="00DE6AB3">
      <w:pPr>
        <w:widowControl/>
        <w:spacing w:line="360" w:lineRule="auto"/>
        <w:ind w:firstLine="1440"/>
        <w:contextualSpacing/>
        <w:rPr>
          <w:spacing w:val="-3"/>
          <w:sz w:val="26"/>
          <w:szCs w:val="26"/>
        </w:rPr>
      </w:pPr>
    </w:p>
    <w:p w14:paraId="18401B6D" w14:textId="77777777" w:rsidR="00632989" w:rsidRPr="001E0F20" w:rsidRDefault="00283158" w:rsidP="00DE6AB3">
      <w:pPr>
        <w:widowControl/>
        <w:spacing w:line="360" w:lineRule="auto"/>
        <w:ind w:firstLine="1440"/>
        <w:contextualSpacing/>
        <w:rPr>
          <w:spacing w:val="-3"/>
          <w:sz w:val="26"/>
          <w:szCs w:val="26"/>
        </w:rPr>
      </w:pPr>
      <w:r w:rsidRPr="001E0F20">
        <w:rPr>
          <w:spacing w:val="-3"/>
          <w:sz w:val="26"/>
          <w:szCs w:val="26"/>
        </w:rPr>
        <w:t>While t</w:t>
      </w:r>
      <w:r w:rsidR="008A7CAF" w:rsidRPr="001E0F20">
        <w:rPr>
          <w:spacing w:val="-3"/>
          <w:sz w:val="26"/>
          <w:szCs w:val="26"/>
        </w:rPr>
        <w:t xml:space="preserve">his is a new </w:t>
      </w:r>
      <w:r w:rsidR="00164BBB" w:rsidRPr="001E0F20">
        <w:rPr>
          <w:spacing w:val="-3"/>
          <w:sz w:val="26"/>
          <w:szCs w:val="26"/>
        </w:rPr>
        <w:t xml:space="preserve">or novel argument </w:t>
      </w:r>
      <w:r w:rsidR="008A7CAF" w:rsidRPr="001E0F20">
        <w:rPr>
          <w:spacing w:val="-3"/>
          <w:sz w:val="26"/>
          <w:szCs w:val="26"/>
        </w:rPr>
        <w:t>raised</w:t>
      </w:r>
      <w:r w:rsidR="00164BBB" w:rsidRPr="001E0F20">
        <w:rPr>
          <w:spacing w:val="-3"/>
          <w:sz w:val="26"/>
          <w:szCs w:val="26"/>
        </w:rPr>
        <w:t xml:space="preserve"> by Mr. McLean</w:t>
      </w:r>
      <w:r w:rsidR="008A7CAF" w:rsidRPr="001E0F20">
        <w:rPr>
          <w:spacing w:val="-3"/>
          <w:sz w:val="26"/>
          <w:szCs w:val="26"/>
        </w:rPr>
        <w:t xml:space="preserve"> for the first time </w:t>
      </w:r>
      <w:r w:rsidRPr="001E0F20">
        <w:rPr>
          <w:spacing w:val="-3"/>
          <w:sz w:val="26"/>
          <w:szCs w:val="26"/>
        </w:rPr>
        <w:t xml:space="preserve">at this stage of the proceeding, </w:t>
      </w:r>
      <w:r w:rsidR="000D7779" w:rsidRPr="001E0F20">
        <w:rPr>
          <w:spacing w:val="-3"/>
          <w:sz w:val="26"/>
          <w:szCs w:val="26"/>
        </w:rPr>
        <w:t>for the reasons discussed above,</w:t>
      </w:r>
      <w:r w:rsidR="008A7CAF" w:rsidRPr="001E0F20">
        <w:rPr>
          <w:spacing w:val="-3"/>
          <w:sz w:val="26"/>
          <w:szCs w:val="26"/>
        </w:rPr>
        <w:t xml:space="preserve"> it does not merit granting the Petition.</w:t>
      </w:r>
    </w:p>
    <w:p w14:paraId="6E68D573" w14:textId="77777777" w:rsidR="008A7CAF" w:rsidRPr="001E0F20" w:rsidRDefault="008A7CAF" w:rsidP="00864A7E">
      <w:pPr>
        <w:widowControl/>
        <w:rPr>
          <w:sz w:val="26"/>
          <w:szCs w:val="26"/>
        </w:rPr>
      </w:pPr>
    </w:p>
    <w:p w14:paraId="46D1871A" w14:textId="77777777" w:rsidR="00BD119B" w:rsidRPr="001E0F20" w:rsidRDefault="00641875" w:rsidP="00DE6AB3">
      <w:pPr>
        <w:keepNext/>
        <w:keepLines/>
        <w:widowControl/>
        <w:ind w:left="1440"/>
        <w:rPr>
          <w:b/>
          <w:sz w:val="26"/>
          <w:szCs w:val="26"/>
        </w:rPr>
      </w:pPr>
      <w:r w:rsidRPr="001E0F20">
        <w:rPr>
          <w:b/>
          <w:sz w:val="26"/>
          <w:szCs w:val="26"/>
        </w:rPr>
        <w:t>4.</w:t>
      </w:r>
      <w:r w:rsidRPr="001E0F20">
        <w:rPr>
          <w:b/>
          <w:sz w:val="26"/>
          <w:szCs w:val="26"/>
        </w:rPr>
        <w:tab/>
      </w:r>
      <w:r w:rsidR="00632989" w:rsidRPr="001E0F20">
        <w:rPr>
          <w:b/>
          <w:sz w:val="26"/>
          <w:szCs w:val="26"/>
        </w:rPr>
        <w:t>PGW’s Burden of Production</w:t>
      </w:r>
      <w:r w:rsidR="00EA21EB" w:rsidRPr="001E0F20">
        <w:rPr>
          <w:rStyle w:val="FootnoteReference"/>
          <w:b/>
          <w:sz w:val="26"/>
          <w:szCs w:val="26"/>
        </w:rPr>
        <w:footnoteReference w:id="14"/>
      </w:r>
    </w:p>
    <w:p w14:paraId="6F38C0B1" w14:textId="77777777" w:rsidR="00632989" w:rsidRPr="001E0F20" w:rsidRDefault="00632989" w:rsidP="00DE6AB3">
      <w:pPr>
        <w:keepNext/>
        <w:keepLines/>
        <w:widowControl/>
        <w:spacing w:line="360" w:lineRule="auto"/>
        <w:rPr>
          <w:sz w:val="26"/>
          <w:szCs w:val="26"/>
        </w:rPr>
      </w:pPr>
    </w:p>
    <w:p w14:paraId="6F4534BE" w14:textId="77777777" w:rsidR="00632989" w:rsidRPr="001E0F20" w:rsidRDefault="0016532F" w:rsidP="00864A7E">
      <w:pPr>
        <w:pStyle w:val="BodyTextIndent"/>
        <w:widowControl/>
      </w:pPr>
      <w:r w:rsidRPr="001E0F20">
        <w:t>Finally, the Petitioner argues that PGW failed to rebut the Petitioner’s testimony that he was a nomad</w:t>
      </w:r>
      <w:r w:rsidR="00DE6AB3" w:rsidRPr="001E0F20">
        <w:t>,</w:t>
      </w:r>
      <w:r w:rsidRPr="001E0F20">
        <w:t xml:space="preserve"> and therefore </w:t>
      </w:r>
      <w:r w:rsidR="008573F4" w:rsidRPr="001E0F20">
        <w:t>his</w:t>
      </w:r>
      <w:r w:rsidRPr="001E0F20">
        <w:t xml:space="preserve"> testimony was sufficient to meet his burden of proof and the Commission’s requirement that he provide specific supporting information was unnecessary.  Petition at ¶ 9.</w:t>
      </w:r>
    </w:p>
    <w:p w14:paraId="4D055356" w14:textId="77777777" w:rsidR="0016532F" w:rsidRPr="001E0F20" w:rsidRDefault="0016532F" w:rsidP="00864A7E">
      <w:pPr>
        <w:widowControl/>
        <w:spacing w:line="360" w:lineRule="auto"/>
        <w:ind w:firstLine="1440"/>
        <w:rPr>
          <w:sz w:val="26"/>
          <w:szCs w:val="26"/>
        </w:rPr>
      </w:pPr>
    </w:p>
    <w:p w14:paraId="605ADCE3" w14:textId="77777777" w:rsidR="0016532F" w:rsidRPr="001E0F20" w:rsidRDefault="0016532F" w:rsidP="00864A7E">
      <w:pPr>
        <w:widowControl/>
        <w:spacing w:line="360" w:lineRule="auto"/>
        <w:ind w:firstLine="1440"/>
        <w:rPr>
          <w:sz w:val="26"/>
          <w:szCs w:val="26"/>
        </w:rPr>
      </w:pPr>
      <w:r w:rsidRPr="001E0F20">
        <w:rPr>
          <w:sz w:val="26"/>
          <w:szCs w:val="26"/>
        </w:rPr>
        <w:t>In its Answer, PGW asserts that the Petitioner misapplies the shifting burdens of proof and persuasion and ignores the Complainant’s failure to substantiate his period without a permanent address.  PGW asserts that the credit report it relied on showed the Petitioner’s</w:t>
      </w:r>
      <w:r w:rsidR="004D439B" w:rsidRPr="001E0F20">
        <w:rPr>
          <w:sz w:val="26"/>
          <w:szCs w:val="26"/>
        </w:rPr>
        <w:t xml:space="preserve"> address.  The Petitioner attempt</w:t>
      </w:r>
      <w:r w:rsidRPr="001E0F20">
        <w:rPr>
          <w:sz w:val="26"/>
          <w:szCs w:val="26"/>
        </w:rPr>
        <w:t xml:space="preserve">s to rebut that fact by stating that he had been homeless for the period but is unable to support his assertion that he was homeless with any reasonable evidence of where he stayed other than the service address.  He simply maintained that he was a nomad.  Therefore, </w:t>
      </w:r>
      <w:r w:rsidR="008573F4" w:rsidRPr="001E0F20">
        <w:rPr>
          <w:sz w:val="26"/>
          <w:szCs w:val="26"/>
        </w:rPr>
        <w:t xml:space="preserve">PGW asserts that </w:t>
      </w:r>
      <w:r w:rsidRPr="001E0F20">
        <w:rPr>
          <w:sz w:val="26"/>
          <w:szCs w:val="26"/>
        </w:rPr>
        <w:t xml:space="preserve">the Petitioner failed to carry his burden of proof.  </w:t>
      </w:r>
      <w:r w:rsidR="008573F4" w:rsidRPr="001E0F20">
        <w:rPr>
          <w:sz w:val="26"/>
          <w:szCs w:val="26"/>
        </w:rPr>
        <w:t>PGW also argues that t</w:t>
      </w:r>
      <w:r w:rsidRPr="001E0F20">
        <w:rPr>
          <w:sz w:val="26"/>
          <w:szCs w:val="26"/>
        </w:rPr>
        <w:t>he Petitioner fails to raise any plausible new or novel argument that the transcript was defective resulting in the finding that he failed to meet his burden of proof in this matter.</w:t>
      </w:r>
      <w:r w:rsidR="008573F4" w:rsidRPr="001E0F20">
        <w:rPr>
          <w:sz w:val="26"/>
          <w:szCs w:val="26"/>
        </w:rPr>
        <w:t xml:space="preserve">  Answer at ¶ 9.</w:t>
      </w:r>
    </w:p>
    <w:p w14:paraId="18D8D7B8" w14:textId="77777777" w:rsidR="0016532F" w:rsidRPr="001E0F20" w:rsidRDefault="0016532F" w:rsidP="00864A7E">
      <w:pPr>
        <w:widowControl/>
        <w:spacing w:line="360" w:lineRule="auto"/>
        <w:ind w:firstLine="1440"/>
        <w:rPr>
          <w:sz w:val="26"/>
          <w:szCs w:val="26"/>
        </w:rPr>
      </w:pPr>
    </w:p>
    <w:p w14:paraId="51D86CDC" w14:textId="4BD9D953" w:rsidR="00695C2C" w:rsidRPr="001E0F20" w:rsidRDefault="00314865" w:rsidP="00DE6AB3">
      <w:pPr>
        <w:widowControl/>
        <w:spacing w:line="360" w:lineRule="auto"/>
        <w:ind w:firstLine="1440"/>
        <w:contextualSpacing/>
        <w:rPr>
          <w:sz w:val="26"/>
          <w:szCs w:val="26"/>
        </w:rPr>
      </w:pPr>
      <w:r w:rsidRPr="001E0F20">
        <w:rPr>
          <w:sz w:val="26"/>
          <w:szCs w:val="26"/>
        </w:rPr>
        <w:t xml:space="preserve">In our opinion, the Petitioner’s arguments do not meet the </w:t>
      </w:r>
      <w:r w:rsidRPr="001E0F20">
        <w:rPr>
          <w:i/>
          <w:sz w:val="26"/>
          <w:szCs w:val="26"/>
        </w:rPr>
        <w:t>Duick</w:t>
      </w:r>
      <w:r w:rsidRPr="001E0F20">
        <w:rPr>
          <w:sz w:val="26"/>
          <w:szCs w:val="26"/>
        </w:rPr>
        <w:t xml:space="preserve"> standard.  As discussed above, the Petitioner fail</w:t>
      </w:r>
      <w:r w:rsidR="004F7387" w:rsidRPr="001E0F20">
        <w:rPr>
          <w:sz w:val="26"/>
          <w:szCs w:val="26"/>
        </w:rPr>
        <w:t>ed</w:t>
      </w:r>
      <w:r w:rsidRPr="001E0F20">
        <w:rPr>
          <w:sz w:val="26"/>
          <w:szCs w:val="26"/>
        </w:rPr>
        <w:t xml:space="preserve"> to carry his</w:t>
      </w:r>
      <w:r w:rsidR="004F7387" w:rsidRPr="001E0F20">
        <w:rPr>
          <w:sz w:val="26"/>
          <w:szCs w:val="26"/>
        </w:rPr>
        <w:t xml:space="preserve"> initial</w:t>
      </w:r>
      <w:r w:rsidRPr="001E0F20">
        <w:rPr>
          <w:sz w:val="26"/>
          <w:szCs w:val="26"/>
        </w:rPr>
        <w:t xml:space="preserve"> burden of proof in this case. </w:t>
      </w:r>
      <w:r w:rsidR="004F7387" w:rsidRPr="001E0F20">
        <w:rPr>
          <w:sz w:val="26"/>
          <w:szCs w:val="26"/>
        </w:rPr>
        <w:t xml:space="preserve"> </w:t>
      </w:r>
      <w:r w:rsidRPr="001E0F20">
        <w:rPr>
          <w:sz w:val="26"/>
          <w:szCs w:val="26"/>
        </w:rPr>
        <w:lastRenderedPageBreak/>
        <w:t>A</w:t>
      </w:r>
      <w:r w:rsidR="008573F4" w:rsidRPr="001E0F20">
        <w:rPr>
          <w:sz w:val="26"/>
          <w:szCs w:val="26"/>
        </w:rPr>
        <w:t>s clarified above</w:t>
      </w:r>
      <w:r w:rsidRPr="001E0F20">
        <w:rPr>
          <w:sz w:val="26"/>
          <w:szCs w:val="26"/>
        </w:rPr>
        <w:t xml:space="preserve">, </w:t>
      </w:r>
      <w:r w:rsidR="004F7387" w:rsidRPr="001E0F20">
        <w:rPr>
          <w:sz w:val="26"/>
          <w:szCs w:val="26"/>
        </w:rPr>
        <w:t>even if</w:t>
      </w:r>
      <w:r w:rsidR="008573F4" w:rsidRPr="001E0F20">
        <w:rPr>
          <w:sz w:val="26"/>
          <w:szCs w:val="26"/>
        </w:rPr>
        <w:t xml:space="preserve"> </w:t>
      </w:r>
      <w:r w:rsidRPr="001E0F20">
        <w:rPr>
          <w:sz w:val="26"/>
          <w:szCs w:val="26"/>
        </w:rPr>
        <w:t xml:space="preserve">the Petitioner’s testimony had been sufficient to carry the burden of proof initially, PGW credibly </w:t>
      </w:r>
      <w:r w:rsidR="008573F4" w:rsidRPr="001E0F20">
        <w:rPr>
          <w:sz w:val="26"/>
          <w:szCs w:val="26"/>
        </w:rPr>
        <w:t xml:space="preserve">carried its burden of production with its customer contact report.  The customer contact report demonstrated that PGW assigned financial responsibility for the disputed arrearage to the Petitioner because it relied upon, as permitted under Section 56.35(b)(2), an Experian credit report, which stated the Petitioner resided at the premise during the petition in question.  </w:t>
      </w:r>
      <w:r w:rsidRPr="001E0F20">
        <w:rPr>
          <w:sz w:val="26"/>
          <w:szCs w:val="26"/>
        </w:rPr>
        <w:t>Accordingly, the burden of production shifted back to the Petitioner to rebut</w:t>
      </w:r>
      <w:r w:rsidR="008573F4" w:rsidRPr="001E0F20">
        <w:rPr>
          <w:sz w:val="26"/>
          <w:szCs w:val="26"/>
        </w:rPr>
        <w:t xml:space="preserve"> PGW’s evidence</w:t>
      </w:r>
      <w:r w:rsidR="00A21A46" w:rsidRPr="001E0F20">
        <w:rPr>
          <w:sz w:val="26"/>
          <w:szCs w:val="26"/>
        </w:rPr>
        <w:t xml:space="preserve"> and demonstrate, as a matter of fact, that he did not reside at the premise during the disputed period.</w:t>
      </w:r>
      <w:r w:rsidRPr="001E0F20">
        <w:rPr>
          <w:sz w:val="26"/>
          <w:szCs w:val="26"/>
        </w:rPr>
        <w:t xml:space="preserve">  However,</w:t>
      </w:r>
      <w:r w:rsidR="00CE08F1" w:rsidRPr="001E0F20">
        <w:rPr>
          <w:sz w:val="26"/>
          <w:szCs w:val="26"/>
        </w:rPr>
        <w:t xml:space="preserve"> the Pet</w:t>
      </w:r>
      <w:r w:rsidR="005E4FBA" w:rsidRPr="001E0F20">
        <w:rPr>
          <w:sz w:val="26"/>
          <w:szCs w:val="26"/>
        </w:rPr>
        <w:t>itioner did not present any additional evidence</w:t>
      </w:r>
      <w:r w:rsidR="00D63813" w:rsidRPr="001E0F20">
        <w:rPr>
          <w:sz w:val="26"/>
          <w:szCs w:val="26"/>
        </w:rPr>
        <w:t xml:space="preserve"> </w:t>
      </w:r>
      <w:r w:rsidR="008573F4" w:rsidRPr="001E0F20">
        <w:rPr>
          <w:sz w:val="26"/>
          <w:szCs w:val="26"/>
        </w:rPr>
        <w:t xml:space="preserve">in this matter, and therefore, we find the Petitioner </w:t>
      </w:r>
      <w:r w:rsidRPr="001E0F20">
        <w:rPr>
          <w:sz w:val="26"/>
          <w:szCs w:val="26"/>
        </w:rPr>
        <w:t>failed to carry th</w:t>
      </w:r>
      <w:r w:rsidR="00781EBE" w:rsidRPr="001E0F20">
        <w:rPr>
          <w:sz w:val="26"/>
          <w:szCs w:val="26"/>
        </w:rPr>
        <w:t>e</w:t>
      </w:r>
      <w:r w:rsidRPr="001E0F20">
        <w:rPr>
          <w:sz w:val="26"/>
          <w:szCs w:val="26"/>
        </w:rPr>
        <w:t xml:space="preserve"> burden of production, and in doing so, failed to carry his burden of proof.</w:t>
      </w:r>
    </w:p>
    <w:p w14:paraId="76D5048B" w14:textId="77777777" w:rsidR="00A4497A" w:rsidRPr="001E0F20" w:rsidRDefault="00A4497A" w:rsidP="00DE6AB3">
      <w:pPr>
        <w:widowControl/>
        <w:spacing w:line="360" w:lineRule="auto"/>
        <w:ind w:firstLine="1440"/>
        <w:contextualSpacing/>
        <w:rPr>
          <w:sz w:val="26"/>
          <w:szCs w:val="26"/>
        </w:rPr>
      </w:pPr>
    </w:p>
    <w:p w14:paraId="651C336B" w14:textId="15495678" w:rsidR="0001366A" w:rsidRPr="001E0F20" w:rsidRDefault="0084201A" w:rsidP="00DE6AB3">
      <w:pPr>
        <w:keepNext/>
        <w:keepLines/>
        <w:widowControl/>
        <w:spacing w:line="360" w:lineRule="auto"/>
        <w:contextualSpacing/>
        <w:jc w:val="center"/>
        <w:rPr>
          <w:b/>
          <w:sz w:val="26"/>
          <w:szCs w:val="26"/>
        </w:rPr>
      </w:pPr>
      <w:r>
        <w:rPr>
          <w:b/>
          <w:sz w:val="26"/>
          <w:szCs w:val="26"/>
        </w:rPr>
        <w:t>III.</w:t>
      </w:r>
      <w:r>
        <w:rPr>
          <w:b/>
          <w:sz w:val="26"/>
          <w:szCs w:val="26"/>
        </w:rPr>
        <w:tab/>
      </w:r>
      <w:r w:rsidR="0001366A" w:rsidRPr="001E0F20">
        <w:rPr>
          <w:b/>
          <w:sz w:val="26"/>
          <w:szCs w:val="26"/>
        </w:rPr>
        <w:t>Conclusion</w:t>
      </w:r>
    </w:p>
    <w:p w14:paraId="05ED7182" w14:textId="77777777" w:rsidR="0001366A" w:rsidRPr="001E0F20" w:rsidRDefault="0001366A" w:rsidP="00DE6AB3">
      <w:pPr>
        <w:keepNext/>
        <w:keepLines/>
        <w:widowControl/>
        <w:spacing w:line="360" w:lineRule="auto"/>
        <w:ind w:firstLine="1440"/>
        <w:contextualSpacing/>
        <w:rPr>
          <w:sz w:val="26"/>
          <w:szCs w:val="26"/>
        </w:rPr>
      </w:pPr>
    </w:p>
    <w:p w14:paraId="01282F58" w14:textId="77777777" w:rsidR="0001366A" w:rsidRPr="001E0F20" w:rsidRDefault="0001366A" w:rsidP="00DE6AB3">
      <w:pPr>
        <w:widowControl/>
        <w:spacing w:line="360" w:lineRule="auto"/>
        <w:ind w:firstLine="1440"/>
        <w:contextualSpacing/>
        <w:rPr>
          <w:b/>
          <w:sz w:val="26"/>
          <w:szCs w:val="26"/>
        </w:rPr>
      </w:pPr>
      <w:r w:rsidRPr="001E0F20">
        <w:rPr>
          <w:sz w:val="26"/>
          <w:szCs w:val="26"/>
        </w:rPr>
        <w:t xml:space="preserve">Based upon our review of the record and the applicable law, we shall deny the Petition for Rescission or Amendment filed by Mr. McLean; </w:t>
      </w:r>
      <w:r w:rsidRPr="001E0F20">
        <w:rPr>
          <w:b/>
          <w:sz w:val="26"/>
          <w:szCs w:val="26"/>
        </w:rPr>
        <w:t>THEREFORE,</w:t>
      </w:r>
    </w:p>
    <w:p w14:paraId="7DACEF66" w14:textId="77777777" w:rsidR="0001366A" w:rsidRPr="001E0F20" w:rsidRDefault="0001366A" w:rsidP="00DE6AB3">
      <w:pPr>
        <w:widowControl/>
        <w:contextualSpacing/>
        <w:rPr>
          <w:sz w:val="26"/>
          <w:szCs w:val="26"/>
        </w:rPr>
      </w:pPr>
    </w:p>
    <w:p w14:paraId="6E69113E" w14:textId="77777777" w:rsidR="0001366A" w:rsidRPr="001E0F20" w:rsidRDefault="0001366A" w:rsidP="00864A7E">
      <w:pPr>
        <w:keepNext/>
        <w:keepLines/>
        <w:widowControl/>
        <w:ind w:firstLine="1440"/>
        <w:contextualSpacing/>
        <w:rPr>
          <w:b/>
          <w:sz w:val="26"/>
          <w:szCs w:val="26"/>
        </w:rPr>
      </w:pPr>
      <w:r w:rsidRPr="001E0F20">
        <w:rPr>
          <w:b/>
          <w:sz w:val="26"/>
          <w:szCs w:val="26"/>
        </w:rPr>
        <w:t>IT IS ORDERED:</w:t>
      </w:r>
    </w:p>
    <w:p w14:paraId="4FC76033" w14:textId="77777777" w:rsidR="0001366A" w:rsidRPr="001E0F20" w:rsidRDefault="0001366A" w:rsidP="00864A7E">
      <w:pPr>
        <w:keepNext/>
        <w:keepLines/>
        <w:widowControl/>
        <w:ind w:firstLine="1440"/>
        <w:contextualSpacing/>
        <w:rPr>
          <w:b/>
          <w:sz w:val="26"/>
          <w:szCs w:val="26"/>
        </w:rPr>
      </w:pPr>
    </w:p>
    <w:p w14:paraId="2EC254ED" w14:textId="77777777" w:rsidR="0001366A" w:rsidRPr="001E0F20" w:rsidRDefault="0001366A" w:rsidP="00864A7E">
      <w:pPr>
        <w:keepNext/>
        <w:keepLines/>
        <w:widowControl/>
        <w:contextualSpacing/>
        <w:rPr>
          <w:sz w:val="26"/>
          <w:szCs w:val="26"/>
        </w:rPr>
      </w:pPr>
    </w:p>
    <w:p w14:paraId="7040DE1D" w14:textId="77777777" w:rsidR="0001366A" w:rsidRPr="001E0F20" w:rsidRDefault="0001366A" w:rsidP="00DE6AB3">
      <w:pPr>
        <w:widowControl/>
        <w:numPr>
          <w:ilvl w:val="0"/>
          <w:numId w:val="5"/>
        </w:numPr>
        <w:tabs>
          <w:tab w:val="num" w:pos="0"/>
        </w:tabs>
        <w:spacing w:line="360" w:lineRule="auto"/>
        <w:ind w:left="0" w:firstLine="1440"/>
        <w:contextualSpacing/>
        <w:rPr>
          <w:sz w:val="26"/>
          <w:szCs w:val="26"/>
        </w:rPr>
      </w:pPr>
      <w:r w:rsidRPr="001E0F20">
        <w:rPr>
          <w:color w:val="000000"/>
          <w:sz w:val="26"/>
          <w:szCs w:val="26"/>
        </w:rPr>
        <w:t>That the Petition for Rescission or Amendment filed by Kenneth</w:t>
      </w:r>
      <w:r w:rsidR="00DE6AB3" w:rsidRPr="001E0F20">
        <w:rPr>
          <w:color w:val="000000"/>
          <w:sz w:val="26"/>
          <w:szCs w:val="26"/>
        </w:rPr>
        <w:t> </w:t>
      </w:r>
      <w:r w:rsidRPr="001E0F20">
        <w:rPr>
          <w:color w:val="000000"/>
          <w:sz w:val="26"/>
          <w:szCs w:val="26"/>
        </w:rPr>
        <w:t xml:space="preserve">McLean on February 8, 2018, in this </w:t>
      </w:r>
      <w:r w:rsidR="00695C2C" w:rsidRPr="001E0F20">
        <w:rPr>
          <w:color w:val="000000"/>
          <w:sz w:val="26"/>
          <w:szCs w:val="26"/>
        </w:rPr>
        <w:t>proceeding at Docket No.</w:t>
      </w:r>
      <w:r w:rsidRPr="001E0F20">
        <w:rPr>
          <w:sz w:val="26"/>
          <w:szCs w:val="26"/>
        </w:rPr>
        <w:t xml:space="preserve"> C-2016-2539492</w:t>
      </w:r>
      <w:r w:rsidR="00695C2C" w:rsidRPr="001E0F20">
        <w:rPr>
          <w:sz w:val="26"/>
          <w:szCs w:val="26"/>
        </w:rPr>
        <w:t xml:space="preserve">, </w:t>
      </w:r>
      <w:r w:rsidRPr="001E0F20">
        <w:rPr>
          <w:color w:val="000000"/>
          <w:sz w:val="26"/>
          <w:szCs w:val="26"/>
        </w:rPr>
        <w:t>i</w:t>
      </w:r>
      <w:r w:rsidR="00695C2C" w:rsidRPr="001E0F20">
        <w:rPr>
          <w:color w:val="000000"/>
          <w:sz w:val="26"/>
          <w:szCs w:val="26"/>
        </w:rPr>
        <w:t>s</w:t>
      </w:r>
      <w:r w:rsidRPr="001E0F20">
        <w:rPr>
          <w:color w:val="000000"/>
          <w:sz w:val="26"/>
          <w:szCs w:val="26"/>
        </w:rPr>
        <w:t xml:space="preserve"> denied</w:t>
      </w:r>
      <w:r w:rsidR="00E851B1" w:rsidRPr="001E0F20">
        <w:rPr>
          <w:color w:val="000000"/>
          <w:sz w:val="26"/>
          <w:szCs w:val="26"/>
        </w:rPr>
        <w:t>, consistent with Opinion and Order</w:t>
      </w:r>
      <w:r w:rsidRPr="001E0F20">
        <w:rPr>
          <w:color w:val="000000"/>
          <w:sz w:val="26"/>
          <w:szCs w:val="26"/>
        </w:rPr>
        <w:t>.</w:t>
      </w:r>
    </w:p>
    <w:p w14:paraId="0395EC75" w14:textId="77777777" w:rsidR="0001366A" w:rsidRPr="001E0F20" w:rsidRDefault="0001366A" w:rsidP="00864A7E">
      <w:pPr>
        <w:widowControl/>
        <w:rPr>
          <w:sz w:val="26"/>
          <w:szCs w:val="26"/>
        </w:rPr>
      </w:pPr>
    </w:p>
    <w:p w14:paraId="299D09F7" w14:textId="77777777" w:rsidR="0001366A" w:rsidRPr="001E0F20" w:rsidRDefault="0001366A" w:rsidP="00DE6AB3">
      <w:pPr>
        <w:keepNext/>
        <w:keepLines/>
        <w:widowControl/>
        <w:numPr>
          <w:ilvl w:val="0"/>
          <w:numId w:val="5"/>
        </w:numPr>
        <w:tabs>
          <w:tab w:val="num" w:pos="0"/>
        </w:tabs>
        <w:spacing w:line="360" w:lineRule="auto"/>
        <w:ind w:left="0" w:firstLine="1440"/>
        <w:contextualSpacing/>
        <w:rPr>
          <w:sz w:val="26"/>
          <w:szCs w:val="26"/>
        </w:rPr>
      </w:pPr>
      <w:r w:rsidRPr="001E0F20">
        <w:rPr>
          <w:sz w:val="26"/>
          <w:szCs w:val="26"/>
        </w:rPr>
        <w:lastRenderedPageBreak/>
        <w:t>That th</w:t>
      </w:r>
      <w:r w:rsidR="00E851B1" w:rsidRPr="001E0F20">
        <w:rPr>
          <w:sz w:val="26"/>
          <w:szCs w:val="26"/>
        </w:rPr>
        <w:t>is proceeding is marked closed.</w:t>
      </w:r>
    </w:p>
    <w:p w14:paraId="08940AD2" w14:textId="77777777" w:rsidR="0001366A" w:rsidRPr="001E0F20" w:rsidRDefault="0001366A" w:rsidP="00DE6AB3">
      <w:pPr>
        <w:keepNext/>
        <w:keepLines/>
        <w:widowControl/>
        <w:contextualSpacing/>
        <w:rPr>
          <w:sz w:val="26"/>
          <w:szCs w:val="26"/>
        </w:rPr>
      </w:pPr>
    </w:p>
    <w:p w14:paraId="326FD5B5" w14:textId="77777777" w:rsidR="0001366A" w:rsidRPr="001E0F20" w:rsidRDefault="0001366A" w:rsidP="00DE6AB3">
      <w:pPr>
        <w:keepNext/>
        <w:keepLines/>
        <w:widowControl/>
        <w:contextualSpacing/>
        <w:rPr>
          <w:sz w:val="26"/>
          <w:szCs w:val="26"/>
        </w:rPr>
      </w:pPr>
    </w:p>
    <w:p w14:paraId="07665C2C" w14:textId="77777777" w:rsidR="0001366A" w:rsidRPr="001E0F20" w:rsidRDefault="0001366A" w:rsidP="00DE6AB3">
      <w:pPr>
        <w:keepNext/>
        <w:keepLines/>
        <w:widowControl/>
        <w:tabs>
          <w:tab w:val="left" w:pos="-720"/>
        </w:tabs>
        <w:ind w:firstLine="5040"/>
        <w:contextualSpacing/>
        <w:rPr>
          <w:sz w:val="26"/>
          <w:szCs w:val="26"/>
        </w:rPr>
      </w:pPr>
      <w:r w:rsidRPr="001E0F20">
        <w:rPr>
          <w:b/>
          <w:sz w:val="26"/>
          <w:szCs w:val="26"/>
        </w:rPr>
        <w:t>BY THE COMMISSION,</w:t>
      </w:r>
    </w:p>
    <w:p w14:paraId="7CEAA82C" w14:textId="761A6D96" w:rsidR="0001366A" w:rsidRPr="001E0F20" w:rsidRDefault="00D44E67" w:rsidP="00DE6AB3">
      <w:pPr>
        <w:keepNext/>
        <w:keepLines/>
        <w:widowControl/>
        <w:tabs>
          <w:tab w:val="left" w:pos="-720"/>
        </w:tabs>
        <w:contextualSpacing/>
        <w:rPr>
          <w:sz w:val="26"/>
          <w:szCs w:val="26"/>
        </w:rPr>
      </w:pPr>
      <w:bookmarkStart w:id="5" w:name="_GoBack"/>
      <w:r w:rsidRPr="009F01BA">
        <w:rPr>
          <w:b/>
          <w:noProof/>
        </w:rPr>
        <w:drawing>
          <wp:anchor distT="0" distB="0" distL="114300" distR="114300" simplePos="0" relativeHeight="251659264" behindDoc="1" locked="0" layoutInCell="1" allowOverlap="1" wp14:anchorId="60448E9D" wp14:editId="643FDD87">
            <wp:simplePos x="0" y="0"/>
            <wp:positionH relativeFrom="column">
              <wp:posOffset>2847975</wp:posOffset>
            </wp:positionH>
            <wp:positionV relativeFrom="paragraph">
              <wp:posOffset>27305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p>
    <w:p w14:paraId="514295EC" w14:textId="686ED696" w:rsidR="0001366A" w:rsidRPr="001E0F20" w:rsidRDefault="0001366A" w:rsidP="00DE6AB3">
      <w:pPr>
        <w:keepNext/>
        <w:keepLines/>
        <w:widowControl/>
        <w:tabs>
          <w:tab w:val="left" w:pos="-720"/>
        </w:tabs>
        <w:contextualSpacing/>
        <w:rPr>
          <w:sz w:val="26"/>
          <w:szCs w:val="26"/>
        </w:rPr>
      </w:pPr>
    </w:p>
    <w:p w14:paraId="027E54FB" w14:textId="38ECF908" w:rsidR="0001366A" w:rsidRPr="001E0F20" w:rsidRDefault="0001366A" w:rsidP="00DE6AB3">
      <w:pPr>
        <w:keepNext/>
        <w:keepLines/>
        <w:widowControl/>
        <w:tabs>
          <w:tab w:val="left" w:pos="-720"/>
        </w:tabs>
        <w:contextualSpacing/>
        <w:rPr>
          <w:sz w:val="26"/>
          <w:szCs w:val="26"/>
        </w:rPr>
      </w:pPr>
    </w:p>
    <w:p w14:paraId="438ED748" w14:textId="77777777" w:rsidR="0001366A" w:rsidRPr="001E0F20" w:rsidRDefault="0001366A" w:rsidP="00DE6AB3">
      <w:pPr>
        <w:keepNext/>
        <w:keepLines/>
        <w:widowControl/>
        <w:tabs>
          <w:tab w:val="left" w:pos="-720"/>
        </w:tabs>
        <w:contextualSpacing/>
        <w:rPr>
          <w:sz w:val="26"/>
          <w:szCs w:val="26"/>
        </w:rPr>
      </w:pPr>
    </w:p>
    <w:p w14:paraId="59E5C48B" w14:textId="77777777" w:rsidR="0001366A" w:rsidRPr="001E0F20" w:rsidRDefault="0001366A" w:rsidP="00DE6AB3">
      <w:pPr>
        <w:keepNext/>
        <w:keepLines/>
        <w:widowControl/>
        <w:tabs>
          <w:tab w:val="left" w:pos="-720"/>
        </w:tabs>
        <w:ind w:firstLine="5040"/>
        <w:contextualSpacing/>
        <w:rPr>
          <w:b/>
          <w:sz w:val="26"/>
          <w:szCs w:val="26"/>
        </w:rPr>
      </w:pPr>
      <w:r w:rsidRPr="001E0F20">
        <w:rPr>
          <w:sz w:val="26"/>
          <w:szCs w:val="26"/>
        </w:rPr>
        <w:t>Rosemary Chiavetta</w:t>
      </w:r>
    </w:p>
    <w:p w14:paraId="5EB1DBBD" w14:textId="77777777" w:rsidR="0001366A" w:rsidRPr="001E0F20" w:rsidRDefault="0001366A" w:rsidP="00DE6AB3">
      <w:pPr>
        <w:keepNext/>
        <w:keepLines/>
        <w:widowControl/>
        <w:tabs>
          <w:tab w:val="left" w:pos="-720"/>
        </w:tabs>
        <w:ind w:firstLine="5040"/>
        <w:contextualSpacing/>
        <w:rPr>
          <w:sz w:val="26"/>
          <w:szCs w:val="26"/>
        </w:rPr>
      </w:pPr>
      <w:r w:rsidRPr="001E0F20">
        <w:rPr>
          <w:sz w:val="26"/>
          <w:szCs w:val="26"/>
        </w:rPr>
        <w:t>Secretary</w:t>
      </w:r>
    </w:p>
    <w:p w14:paraId="6847DA4B" w14:textId="77777777" w:rsidR="0001366A" w:rsidRPr="001E0F20" w:rsidRDefault="0001366A" w:rsidP="00DE6AB3">
      <w:pPr>
        <w:keepNext/>
        <w:keepLines/>
        <w:widowControl/>
        <w:tabs>
          <w:tab w:val="left" w:pos="-720"/>
        </w:tabs>
        <w:contextualSpacing/>
        <w:rPr>
          <w:sz w:val="26"/>
          <w:szCs w:val="26"/>
        </w:rPr>
      </w:pPr>
    </w:p>
    <w:p w14:paraId="278E5A05" w14:textId="77777777" w:rsidR="0001366A" w:rsidRPr="001E0F20" w:rsidRDefault="0001366A" w:rsidP="00DE6AB3">
      <w:pPr>
        <w:keepNext/>
        <w:keepLines/>
        <w:widowControl/>
        <w:tabs>
          <w:tab w:val="left" w:pos="-720"/>
        </w:tabs>
        <w:contextualSpacing/>
        <w:rPr>
          <w:sz w:val="26"/>
          <w:szCs w:val="26"/>
        </w:rPr>
      </w:pPr>
      <w:r w:rsidRPr="001E0F20">
        <w:rPr>
          <w:sz w:val="26"/>
          <w:szCs w:val="26"/>
        </w:rPr>
        <w:t>(SEAL)</w:t>
      </w:r>
    </w:p>
    <w:p w14:paraId="1B204570" w14:textId="77777777" w:rsidR="0001366A" w:rsidRPr="001E0F20" w:rsidRDefault="0001366A" w:rsidP="00DE6AB3">
      <w:pPr>
        <w:keepNext/>
        <w:keepLines/>
        <w:widowControl/>
        <w:tabs>
          <w:tab w:val="left" w:pos="-720"/>
        </w:tabs>
        <w:contextualSpacing/>
        <w:rPr>
          <w:sz w:val="26"/>
          <w:szCs w:val="26"/>
        </w:rPr>
      </w:pPr>
    </w:p>
    <w:p w14:paraId="4014A870" w14:textId="77777777" w:rsidR="0001366A" w:rsidRPr="001E0F20" w:rsidRDefault="0001366A" w:rsidP="00DE6AB3">
      <w:pPr>
        <w:keepNext/>
        <w:keepLines/>
        <w:widowControl/>
        <w:tabs>
          <w:tab w:val="left" w:pos="-720"/>
        </w:tabs>
        <w:contextualSpacing/>
        <w:rPr>
          <w:sz w:val="26"/>
          <w:szCs w:val="26"/>
        </w:rPr>
      </w:pPr>
      <w:r w:rsidRPr="001E0F20">
        <w:rPr>
          <w:sz w:val="26"/>
          <w:szCs w:val="26"/>
        </w:rPr>
        <w:t xml:space="preserve">ORDER ADOPTED:  December </w:t>
      </w:r>
      <w:r w:rsidR="008D4213" w:rsidRPr="001E0F20">
        <w:rPr>
          <w:sz w:val="26"/>
          <w:szCs w:val="26"/>
        </w:rPr>
        <w:t>20</w:t>
      </w:r>
      <w:r w:rsidRPr="001E0F20">
        <w:rPr>
          <w:sz w:val="26"/>
          <w:szCs w:val="26"/>
        </w:rPr>
        <w:t>, 2018</w:t>
      </w:r>
    </w:p>
    <w:p w14:paraId="738EA6DA" w14:textId="77777777" w:rsidR="0001366A" w:rsidRPr="001E0F20" w:rsidRDefault="0001366A" w:rsidP="00DE6AB3">
      <w:pPr>
        <w:keepNext/>
        <w:keepLines/>
        <w:widowControl/>
        <w:tabs>
          <w:tab w:val="left" w:pos="-720"/>
        </w:tabs>
        <w:contextualSpacing/>
        <w:rPr>
          <w:sz w:val="26"/>
          <w:szCs w:val="26"/>
        </w:rPr>
      </w:pPr>
    </w:p>
    <w:p w14:paraId="42A3F50D" w14:textId="4AAC46D3" w:rsidR="0001366A" w:rsidRPr="001E0F20" w:rsidRDefault="0001366A" w:rsidP="00864A7E">
      <w:pPr>
        <w:keepNext/>
        <w:keepLines/>
        <w:widowControl/>
        <w:tabs>
          <w:tab w:val="left" w:pos="-720"/>
        </w:tabs>
        <w:contextualSpacing/>
        <w:rPr>
          <w:sz w:val="26"/>
          <w:szCs w:val="26"/>
        </w:rPr>
      </w:pPr>
      <w:r w:rsidRPr="001E0F20">
        <w:rPr>
          <w:sz w:val="26"/>
          <w:szCs w:val="26"/>
        </w:rPr>
        <w:t>ORDER ENTERED:</w:t>
      </w:r>
      <w:r w:rsidR="00D44E67">
        <w:rPr>
          <w:sz w:val="26"/>
          <w:szCs w:val="26"/>
        </w:rPr>
        <w:t xml:space="preserve">  December 20, 2018</w:t>
      </w:r>
    </w:p>
    <w:sectPr w:rsidR="0001366A" w:rsidRPr="001E0F20" w:rsidSect="00D51D7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C5304" w14:textId="77777777" w:rsidR="001E0F2F" w:rsidRDefault="001E0F2F" w:rsidP="006424B4">
      <w:r>
        <w:separator/>
      </w:r>
    </w:p>
  </w:endnote>
  <w:endnote w:type="continuationSeparator" w:id="0">
    <w:p w14:paraId="067BE2EB" w14:textId="77777777" w:rsidR="001E0F2F" w:rsidRDefault="001E0F2F" w:rsidP="006424B4">
      <w:r>
        <w:continuationSeparator/>
      </w:r>
    </w:p>
  </w:endnote>
  <w:endnote w:type="continuationNotice" w:id="1">
    <w:p w14:paraId="43D745D9" w14:textId="77777777" w:rsidR="001E0F2F" w:rsidRDefault="001E0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441269"/>
      <w:docPartObj>
        <w:docPartGallery w:val="Page Numbers (Bottom of Page)"/>
        <w:docPartUnique/>
      </w:docPartObj>
    </w:sdtPr>
    <w:sdtEndPr>
      <w:rPr>
        <w:noProof/>
        <w:sz w:val="26"/>
        <w:szCs w:val="26"/>
      </w:rPr>
    </w:sdtEndPr>
    <w:sdtContent>
      <w:p w14:paraId="4BA25C78" w14:textId="295FCA1B" w:rsidR="00B107B5" w:rsidRPr="00FB17BF" w:rsidRDefault="00B107B5">
        <w:pPr>
          <w:pStyle w:val="Footer"/>
          <w:jc w:val="center"/>
          <w:rPr>
            <w:sz w:val="26"/>
            <w:szCs w:val="26"/>
          </w:rPr>
        </w:pPr>
        <w:r w:rsidRPr="00FB17BF">
          <w:rPr>
            <w:sz w:val="26"/>
            <w:szCs w:val="26"/>
          </w:rPr>
          <w:fldChar w:fldCharType="begin"/>
        </w:r>
        <w:r w:rsidRPr="00FB17BF">
          <w:rPr>
            <w:sz w:val="26"/>
            <w:szCs w:val="26"/>
          </w:rPr>
          <w:instrText xml:space="preserve"> PAGE   \* MERGEFORMAT </w:instrText>
        </w:r>
        <w:r w:rsidRPr="00FB17BF">
          <w:rPr>
            <w:sz w:val="26"/>
            <w:szCs w:val="26"/>
          </w:rPr>
          <w:fldChar w:fldCharType="separate"/>
        </w:r>
        <w:r w:rsidR="00312C8E">
          <w:rPr>
            <w:noProof/>
            <w:sz w:val="26"/>
            <w:szCs w:val="26"/>
          </w:rPr>
          <w:t>12</w:t>
        </w:r>
        <w:r w:rsidRPr="00FB17BF">
          <w:rPr>
            <w:noProof/>
            <w:sz w:val="26"/>
            <w:szCs w:val="26"/>
          </w:rPr>
          <w:fldChar w:fldCharType="end"/>
        </w:r>
      </w:p>
    </w:sdtContent>
  </w:sdt>
  <w:p w14:paraId="2EC24255" w14:textId="77777777" w:rsidR="00B107B5" w:rsidRDefault="00B10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52909" w14:textId="77777777" w:rsidR="001E0F2F" w:rsidRPr="00864A7E" w:rsidRDefault="001E0F2F" w:rsidP="006424B4">
      <w:pPr>
        <w:rPr>
          <w:sz w:val="26"/>
        </w:rPr>
      </w:pPr>
      <w:r w:rsidRPr="00864A7E">
        <w:rPr>
          <w:sz w:val="26"/>
        </w:rPr>
        <w:separator/>
      </w:r>
    </w:p>
  </w:footnote>
  <w:footnote w:type="continuationSeparator" w:id="0">
    <w:p w14:paraId="17BCA822" w14:textId="77777777" w:rsidR="001E0F2F" w:rsidRDefault="001E0F2F" w:rsidP="006424B4">
      <w:r>
        <w:continuationSeparator/>
      </w:r>
    </w:p>
  </w:footnote>
  <w:footnote w:type="continuationNotice" w:id="1">
    <w:p w14:paraId="590CB0C1" w14:textId="77777777" w:rsidR="001E0F2F" w:rsidRDefault="001E0F2F"/>
  </w:footnote>
  <w:footnote w:id="2">
    <w:p w14:paraId="4D27FD47" w14:textId="77777777" w:rsidR="00B107B5" w:rsidRPr="0084201A" w:rsidRDefault="00B107B5" w:rsidP="0084201A">
      <w:pPr>
        <w:pStyle w:val="FootnoteText"/>
        <w:keepNext/>
        <w:keepLines/>
        <w:widowControl/>
        <w:spacing w:after="120" w:line="240" w:lineRule="auto"/>
        <w:ind w:firstLine="720"/>
        <w:rPr>
          <w:sz w:val="26"/>
          <w:szCs w:val="26"/>
        </w:rPr>
      </w:pPr>
      <w:r w:rsidRPr="0084201A">
        <w:rPr>
          <w:rStyle w:val="FootnoteReference"/>
          <w:sz w:val="26"/>
          <w:szCs w:val="26"/>
        </w:rPr>
        <w:footnoteRef/>
      </w:r>
      <w:r w:rsidRPr="0084201A">
        <w:rPr>
          <w:sz w:val="26"/>
          <w:szCs w:val="26"/>
        </w:rPr>
        <w:tab/>
        <w:t>As we discuss below, we will treat Mr. McLean’s filing as a Petition for Rescission or Amendment.</w:t>
      </w:r>
    </w:p>
  </w:footnote>
  <w:footnote w:id="3">
    <w:p w14:paraId="122C5B9F" w14:textId="77777777" w:rsidR="00B107B5" w:rsidRPr="0084201A" w:rsidRDefault="00B107B5" w:rsidP="0084201A">
      <w:pPr>
        <w:pStyle w:val="FootnoteText"/>
        <w:keepNext/>
        <w:keepLines/>
        <w:widowControl/>
        <w:spacing w:after="120" w:line="240" w:lineRule="auto"/>
        <w:ind w:firstLine="720"/>
        <w:rPr>
          <w:sz w:val="26"/>
          <w:szCs w:val="26"/>
        </w:rPr>
      </w:pPr>
      <w:r w:rsidRPr="0084201A">
        <w:rPr>
          <w:rStyle w:val="FootnoteReference"/>
          <w:sz w:val="26"/>
          <w:szCs w:val="26"/>
        </w:rPr>
        <w:footnoteRef/>
      </w:r>
      <w:r w:rsidRPr="0084201A">
        <w:rPr>
          <w:sz w:val="26"/>
          <w:szCs w:val="26"/>
        </w:rPr>
        <w:tab/>
        <w:t>The Petitioner inherited the service address from Evelyn McLean, who died in 2014.  I.D. at 3, Tr. at 9, 14.</w:t>
      </w:r>
    </w:p>
  </w:footnote>
  <w:footnote w:id="4">
    <w:p w14:paraId="4AC39989" w14:textId="77777777" w:rsidR="00B107B5" w:rsidRPr="0084201A" w:rsidRDefault="00B107B5" w:rsidP="0084201A">
      <w:pPr>
        <w:pStyle w:val="FootnoteText"/>
        <w:keepNext/>
        <w:keepLines/>
        <w:widowControl/>
        <w:spacing w:after="120" w:line="240" w:lineRule="auto"/>
        <w:ind w:firstLine="720"/>
        <w:rPr>
          <w:sz w:val="26"/>
        </w:rPr>
      </w:pPr>
      <w:r w:rsidRPr="0084201A">
        <w:rPr>
          <w:rStyle w:val="FootnoteReference"/>
          <w:sz w:val="26"/>
          <w:szCs w:val="26"/>
        </w:rPr>
        <w:footnoteRef/>
      </w:r>
      <w:r w:rsidRPr="0084201A">
        <w:rPr>
          <w:sz w:val="26"/>
        </w:rPr>
        <w:tab/>
      </w:r>
      <w:r w:rsidRPr="0084201A">
        <w:rPr>
          <w:sz w:val="26"/>
          <w:szCs w:val="26"/>
        </w:rPr>
        <w:t>Our Regulations in Section 5.572, 52 Pa. Code § 5.572, governing petitions for relief following a final order of the Commission, do not permit a petitioning party to file a reply to an answer to a petition filed by a party to the proceeding.  Accordingly, we will not address this pleading in this Opinion and Order.</w:t>
      </w:r>
    </w:p>
  </w:footnote>
  <w:footnote w:id="5">
    <w:p w14:paraId="4CE5EE24" w14:textId="77777777" w:rsidR="00B107B5" w:rsidRPr="0084201A" w:rsidRDefault="00B107B5" w:rsidP="0084201A">
      <w:pPr>
        <w:keepNext/>
        <w:keepLines/>
        <w:widowControl/>
        <w:spacing w:after="120"/>
        <w:ind w:firstLine="720"/>
        <w:rPr>
          <w:color w:val="000000"/>
          <w:sz w:val="26"/>
        </w:rPr>
      </w:pPr>
      <w:r w:rsidRPr="0084201A">
        <w:rPr>
          <w:rStyle w:val="FootnoteReference"/>
          <w:sz w:val="26"/>
          <w:szCs w:val="26"/>
        </w:rPr>
        <w:footnoteRef/>
      </w:r>
      <w:r w:rsidRPr="0084201A">
        <w:rPr>
          <w:sz w:val="26"/>
        </w:rPr>
        <w:tab/>
      </w:r>
      <w:r w:rsidRPr="0084201A">
        <w:rPr>
          <w:spacing w:val="-3"/>
          <w:sz w:val="26"/>
          <w:szCs w:val="26"/>
        </w:rPr>
        <w:t xml:space="preserve">Although the Petitioner’s filing was </w:t>
      </w:r>
      <w:r w:rsidRPr="0084201A">
        <w:rPr>
          <w:color w:val="000000"/>
          <w:sz w:val="26"/>
          <w:szCs w:val="26"/>
        </w:rPr>
        <w:t xml:space="preserve">made nearly three months after the </w:t>
      </w:r>
      <w:r w:rsidRPr="0084201A">
        <w:rPr>
          <w:i/>
          <w:color w:val="000000"/>
          <w:sz w:val="26"/>
          <w:szCs w:val="26"/>
        </w:rPr>
        <w:t>November 2017 Order</w:t>
      </w:r>
      <w:r w:rsidRPr="0084201A">
        <w:rPr>
          <w:color w:val="000000"/>
          <w:sz w:val="26"/>
          <w:szCs w:val="26"/>
        </w:rPr>
        <w:t xml:space="preserve">, he </w:t>
      </w:r>
      <w:r w:rsidRPr="0084201A">
        <w:rPr>
          <w:spacing w:val="-3"/>
          <w:sz w:val="26"/>
          <w:szCs w:val="26"/>
        </w:rPr>
        <w:t>styled it specifically as “</w:t>
      </w:r>
      <w:r w:rsidRPr="0084201A">
        <w:rPr>
          <w:i/>
          <w:spacing w:val="-3"/>
          <w:sz w:val="26"/>
          <w:szCs w:val="26"/>
        </w:rPr>
        <w:t>nunc pro tunc”</w:t>
      </w:r>
      <w:r w:rsidRPr="0084201A">
        <w:rPr>
          <w:spacing w:val="-3"/>
          <w:sz w:val="26"/>
          <w:szCs w:val="26"/>
        </w:rPr>
        <w:t xml:space="preserve"> and therefore is requesting</w:t>
      </w:r>
      <w:r w:rsidRPr="0084201A">
        <w:rPr>
          <w:sz w:val="26"/>
          <w:szCs w:val="26"/>
        </w:rPr>
        <w:t xml:space="preserve"> that we entertain his Petition as if it were timely filed</w:t>
      </w:r>
      <w:r w:rsidRPr="0084201A">
        <w:rPr>
          <w:spacing w:val="-3"/>
          <w:sz w:val="26"/>
          <w:szCs w:val="26"/>
        </w:rPr>
        <w:t xml:space="preserve">.  </w:t>
      </w:r>
      <w:r w:rsidRPr="0084201A">
        <w:rPr>
          <w:sz w:val="26"/>
          <w:szCs w:val="26"/>
        </w:rPr>
        <w:t>The phrase “</w:t>
      </w:r>
      <w:r w:rsidRPr="0084201A">
        <w:rPr>
          <w:i/>
          <w:sz w:val="26"/>
          <w:szCs w:val="26"/>
        </w:rPr>
        <w:t>nunc pro tunc</w:t>
      </w:r>
      <w:r w:rsidRPr="0084201A">
        <w:rPr>
          <w:sz w:val="26"/>
          <w:szCs w:val="26"/>
        </w:rPr>
        <w:t xml:space="preserve">” applies to acts allowed to be done after the time when they should be done with the same effect as if regularly done.  </w:t>
      </w:r>
      <w:r w:rsidRPr="0084201A">
        <w:rPr>
          <w:i/>
          <w:iCs/>
          <w:sz w:val="26"/>
          <w:szCs w:val="26"/>
        </w:rPr>
        <w:t>Black’s Law Dictionary</w:t>
      </w:r>
      <w:r w:rsidRPr="0084201A">
        <w:rPr>
          <w:sz w:val="26"/>
          <w:szCs w:val="26"/>
        </w:rPr>
        <w:t xml:space="preserve"> (Sixth Edition, 1990).  Generally, </w:t>
      </w:r>
      <w:r w:rsidRPr="0084201A">
        <w:rPr>
          <w:i/>
          <w:sz w:val="26"/>
          <w:szCs w:val="26"/>
        </w:rPr>
        <w:t>nunc pro tunc</w:t>
      </w:r>
      <w:r w:rsidRPr="0084201A">
        <w:rPr>
          <w:sz w:val="26"/>
          <w:szCs w:val="26"/>
        </w:rPr>
        <w:t xml:space="preserve"> relief is granted when a delay in filing a document is caused by extraordinary circumstances involving fraud or a breakdown in the operations of the court or administrative agency involved or is caused by an unforeseeable and unavoidable event, but only if the document is thereafter filed as soon as possible and the opposing party is not thereby prejudiced.  </w:t>
      </w:r>
      <w:r w:rsidRPr="0084201A">
        <w:rPr>
          <w:i/>
          <w:sz w:val="26"/>
          <w:szCs w:val="26"/>
        </w:rPr>
        <w:t>Gloria Scarnati v. Pennsylvania-American Water Company</w:t>
      </w:r>
      <w:r w:rsidRPr="0084201A">
        <w:rPr>
          <w:sz w:val="26"/>
          <w:szCs w:val="26"/>
        </w:rPr>
        <w:t>, Docket No. C-00015273 (Order entered January 10, 2002) (</w:t>
      </w:r>
      <w:r w:rsidRPr="0084201A">
        <w:rPr>
          <w:i/>
          <w:sz w:val="26"/>
          <w:szCs w:val="26"/>
        </w:rPr>
        <w:t>Scarnati</w:t>
      </w:r>
      <w:r w:rsidRPr="0084201A">
        <w:rPr>
          <w:sz w:val="26"/>
          <w:szCs w:val="26"/>
        </w:rPr>
        <w:t xml:space="preserve">) (citing </w:t>
      </w:r>
      <w:r w:rsidRPr="0084201A">
        <w:rPr>
          <w:i/>
          <w:iCs/>
          <w:sz w:val="26"/>
          <w:szCs w:val="26"/>
        </w:rPr>
        <w:t>Cook v. Unemployment Comp. Bd. of Review,</w:t>
      </w:r>
      <w:r w:rsidRPr="0084201A">
        <w:rPr>
          <w:sz w:val="26"/>
          <w:szCs w:val="26"/>
        </w:rPr>
        <w:t xml:space="preserve"> 671 A.2d 1130, 1131 (Pa. 1996).  In this instance, the Petitioner provides absolutely no support or justification as to why his petition </w:t>
      </w:r>
      <w:r w:rsidRPr="0084201A">
        <w:rPr>
          <w:color w:val="000000"/>
          <w:sz w:val="26"/>
          <w:szCs w:val="26"/>
        </w:rPr>
        <w:t>should be considered timely filed.</w:t>
      </w:r>
    </w:p>
  </w:footnote>
  <w:footnote w:id="6">
    <w:p w14:paraId="2BEDBEF6" w14:textId="77777777" w:rsidR="00B107B5" w:rsidRPr="0084201A" w:rsidRDefault="00B107B5" w:rsidP="0084201A">
      <w:pPr>
        <w:pStyle w:val="FootnoteText"/>
        <w:keepNext/>
        <w:keepLines/>
        <w:widowControl/>
        <w:spacing w:after="120" w:line="240" w:lineRule="auto"/>
        <w:ind w:firstLine="720"/>
        <w:rPr>
          <w:sz w:val="26"/>
          <w:szCs w:val="26"/>
        </w:rPr>
      </w:pPr>
      <w:r w:rsidRPr="0084201A">
        <w:rPr>
          <w:rStyle w:val="FootnoteReference"/>
          <w:sz w:val="26"/>
        </w:rPr>
        <w:footnoteRef/>
      </w:r>
      <w:r w:rsidRPr="0084201A">
        <w:rPr>
          <w:sz w:val="26"/>
        </w:rPr>
        <w:tab/>
      </w:r>
      <w:r w:rsidRPr="0084201A">
        <w:rPr>
          <w:sz w:val="26"/>
          <w:szCs w:val="26"/>
        </w:rPr>
        <w:t xml:space="preserve">Section 5.572(c) states that petitions for rehearing, reargument, reconsideration, clarification, rescission, amendment, superseadeas, or the like, are required to be filed within fifteen days after the Commission order involved is entered.  </w:t>
      </w:r>
      <w:bookmarkStart w:id="2" w:name="_Hlk532216604"/>
      <w:r w:rsidRPr="0084201A">
        <w:rPr>
          <w:sz w:val="26"/>
          <w:szCs w:val="26"/>
        </w:rPr>
        <w:t xml:space="preserve">52 Pa. Code § 5.572(c).  </w:t>
      </w:r>
      <w:bookmarkEnd w:id="2"/>
      <w:r w:rsidRPr="0084201A">
        <w:rPr>
          <w:sz w:val="26"/>
          <w:szCs w:val="26"/>
        </w:rPr>
        <w:t>Section 5.572(d) states a petition for rescission or amendment of a Commission order are permitted to be filed at any time in accordance with Section 703(g) of the Code.  52 Pa. Code § 5.572(d).</w:t>
      </w:r>
    </w:p>
  </w:footnote>
  <w:footnote w:id="7">
    <w:p w14:paraId="5AC39BB6" w14:textId="77777777" w:rsidR="00B107B5" w:rsidRPr="0084201A" w:rsidRDefault="00B107B5" w:rsidP="0084201A">
      <w:pPr>
        <w:keepNext/>
        <w:keepLines/>
        <w:widowControl/>
        <w:spacing w:after="120"/>
        <w:ind w:firstLine="720"/>
        <w:rPr>
          <w:sz w:val="26"/>
        </w:rPr>
      </w:pPr>
      <w:r w:rsidRPr="0084201A">
        <w:rPr>
          <w:rStyle w:val="FootnoteReference"/>
          <w:sz w:val="26"/>
        </w:rPr>
        <w:footnoteRef/>
      </w:r>
      <w:r w:rsidRPr="0084201A">
        <w:rPr>
          <w:sz w:val="26"/>
        </w:rPr>
        <w:tab/>
      </w:r>
      <w:r w:rsidRPr="0084201A">
        <w:rPr>
          <w:sz w:val="26"/>
          <w:szCs w:val="26"/>
        </w:rPr>
        <w:t xml:space="preserve">The burden of proof is the “preponderance of the evidence” standard, which means the greater weight of the evidence, or evidence that outweighs, or is more convincing than, by even the smallest amount, the probative value of the evidence presented by the other party.  </w:t>
      </w:r>
      <w:r w:rsidRPr="0084201A">
        <w:rPr>
          <w:i/>
          <w:iCs/>
          <w:sz w:val="26"/>
          <w:szCs w:val="26"/>
        </w:rPr>
        <w:t>Samuel J. Lansberry, Inc. v. Pa. PUC</w:t>
      </w:r>
      <w:r w:rsidRPr="0084201A">
        <w:rPr>
          <w:sz w:val="26"/>
          <w:szCs w:val="26"/>
        </w:rPr>
        <w:t xml:space="preserve">, 578 A.2d 600 (Pa. Cmwlth. 1990), </w:t>
      </w:r>
      <w:r w:rsidRPr="0084201A">
        <w:rPr>
          <w:i/>
          <w:sz w:val="26"/>
          <w:szCs w:val="26"/>
        </w:rPr>
        <w:t>alloc. denied,</w:t>
      </w:r>
      <w:r w:rsidRPr="0084201A">
        <w:rPr>
          <w:sz w:val="26"/>
          <w:szCs w:val="26"/>
        </w:rPr>
        <w:t xml:space="preserve"> 529 Pa. 654, 602 A.2d 863 (1992) (</w:t>
      </w:r>
      <w:r w:rsidRPr="0084201A">
        <w:rPr>
          <w:i/>
          <w:sz w:val="26"/>
          <w:szCs w:val="26"/>
        </w:rPr>
        <w:t>Lansberry</w:t>
      </w:r>
      <w:r w:rsidRPr="0084201A">
        <w:rPr>
          <w:sz w:val="26"/>
          <w:szCs w:val="26"/>
        </w:rPr>
        <w:t xml:space="preserve">); </w:t>
      </w:r>
      <w:r w:rsidRPr="0084201A">
        <w:rPr>
          <w:i/>
          <w:iCs/>
          <w:sz w:val="26"/>
          <w:szCs w:val="26"/>
        </w:rPr>
        <w:t>Se-Ling Hosiery, Inc. v. Margulies,</w:t>
      </w:r>
      <w:r w:rsidRPr="0084201A">
        <w:rPr>
          <w:sz w:val="26"/>
          <w:szCs w:val="26"/>
        </w:rPr>
        <w:t xml:space="preserve"> 364 Pa. 45, 48-49, 70 A.2d 854, 855 (1950).  The burden of proof is comprised of two distinct burdens:  the burden of persuasion and burden of production.  </w:t>
      </w:r>
      <w:r w:rsidRPr="0084201A">
        <w:rPr>
          <w:i/>
          <w:sz w:val="26"/>
          <w:szCs w:val="26"/>
        </w:rPr>
        <w:t>Hurley v. Hurley</w:t>
      </w:r>
      <w:r w:rsidRPr="0084201A">
        <w:rPr>
          <w:sz w:val="26"/>
          <w:szCs w:val="26"/>
        </w:rPr>
        <w:t>, 2000 Pa. Super. 178, 754 A.2d 1283 (2000).</w:t>
      </w:r>
      <w:r w:rsidRPr="0084201A">
        <w:rPr>
          <w:i/>
          <w:sz w:val="26"/>
          <w:szCs w:val="26"/>
        </w:rPr>
        <w:t xml:space="preserve">  </w:t>
      </w:r>
      <w:r w:rsidRPr="0084201A">
        <w:rPr>
          <w:sz w:val="26"/>
          <w:szCs w:val="26"/>
        </w:rPr>
        <w:t xml:space="preserve">Only when the complainant carries his initial burden of proof does the burden of production then shift to the utility to present evidence to rebut the complainant’s evidence.  If the utility presents evidence of equal weight, the burden of production shifts back to the complainant to present additional evidence to rebut the utility’s evidence.  At all times, however, the burden of persuasion remains with the complainant as the party carrying the burden of proof.  </w:t>
      </w:r>
      <w:r w:rsidRPr="0084201A">
        <w:rPr>
          <w:i/>
          <w:sz w:val="26"/>
          <w:szCs w:val="26"/>
        </w:rPr>
        <w:t>See</w:t>
      </w:r>
      <w:r w:rsidRPr="0084201A">
        <w:rPr>
          <w:sz w:val="26"/>
          <w:szCs w:val="26"/>
        </w:rPr>
        <w:t xml:space="preserve"> </w:t>
      </w:r>
      <w:r w:rsidRPr="0084201A">
        <w:rPr>
          <w:i/>
          <w:sz w:val="26"/>
          <w:szCs w:val="26"/>
        </w:rPr>
        <w:t>Scott and Linda Moore v. National Fuel Gas Distribution</w:t>
      </w:r>
      <w:r w:rsidRPr="0084201A">
        <w:rPr>
          <w:sz w:val="26"/>
          <w:szCs w:val="26"/>
        </w:rPr>
        <w:t>, Docket No. C-2014-2458555 (Initial Decision issued May 11, 2015) (</w:t>
      </w:r>
      <w:r w:rsidRPr="0084201A">
        <w:rPr>
          <w:i/>
          <w:sz w:val="26"/>
          <w:szCs w:val="26"/>
        </w:rPr>
        <w:t>Moore</w:t>
      </w:r>
      <w:r w:rsidRPr="0084201A">
        <w:rPr>
          <w:sz w:val="26"/>
          <w:szCs w:val="26"/>
        </w:rPr>
        <w:t>);</w:t>
      </w:r>
      <w:r w:rsidRPr="0084201A">
        <w:rPr>
          <w:i/>
          <w:sz w:val="26"/>
          <w:szCs w:val="26"/>
        </w:rPr>
        <w:t xml:space="preserve"> Milkie v. Pa. PUC, </w:t>
      </w:r>
      <w:r w:rsidRPr="0084201A">
        <w:rPr>
          <w:sz w:val="26"/>
          <w:szCs w:val="26"/>
        </w:rPr>
        <w:t xml:space="preserve">768 A.2d 1217 (Pa. Cmwlth. 2001); </w:t>
      </w:r>
      <w:hyperlink r:id="rId1" w:history="1">
        <w:r w:rsidRPr="0084201A">
          <w:rPr>
            <w:i/>
            <w:sz w:val="26"/>
          </w:rPr>
          <w:t>Burleson v. Pa. PUC,</w:t>
        </w:r>
        <w:r w:rsidRPr="0084201A">
          <w:rPr>
            <w:sz w:val="26"/>
          </w:rPr>
          <w:t xml:space="preserve"> 443 A.2d 1373 (Pa. Cmwlth. 1982), </w:t>
        </w:r>
        <w:r w:rsidRPr="0084201A">
          <w:rPr>
            <w:i/>
            <w:sz w:val="26"/>
          </w:rPr>
          <w:t>aff’d,</w:t>
        </w:r>
        <w:r w:rsidRPr="0084201A">
          <w:rPr>
            <w:sz w:val="26"/>
          </w:rPr>
          <w:t xml:space="preserve"> 501 Pa. 433, 461 A.2d 1234 (1983).</w:t>
        </w:r>
      </w:hyperlink>
    </w:p>
  </w:footnote>
  <w:footnote w:id="8">
    <w:p w14:paraId="1D3985BD" w14:textId="77777777" w:rsidR="00B107B5" w:rsidRPr="0084201A" w:rsidRDefault="00B107B5" w:rsidP="0084201A">
      <w:pPr>
        <w:pStyle w:val="FootnoteText"/>
        <w:keepNext/>
        <w:keepLines/>
        <w:widowControl/>
        <w:spacing w:after="120" w:line="240" w:lineRule="auto"/>
        <w:ind w:firstLine="720"/>
        <w:rPr>
          <w:sz w:val="26"/>
          <w:szCs w:val="26"/>
        </w:rPr>
      </w:pPr>
      <w:r w:rsidRPr="0084201A">
        <w:rPr>
          <w:rStyle w:val="FootnoteReference"/>
          <w:sz w:val="26"/>
          <w:szCs w:val="26"/>
        </w:rPr>
        <w:footnoteRef/>
      </w:r>
      <w:r w:rsidRPr="0084201A">
        <w:rPr>
          <w:sz w:val="26"/>
          <w:szCs w:val="26"/>
        </w:rPr>
        <w:tab/>
        <w:t>Petition at ¶¶ 1-5; Answer at ¶¶ 1-5.</w:t>
      </w:r>
    </w:p>
  </w:footnote>
  <w:footnote w:id="9">
    <w:p w14:paraId="5E8611B0" w14:textId="1C31C4C8" w:rsidR="00B107B5" w:rsidRPr="0084201A" w:rsidRDefault="00B107B5" w:rsidP="0084201A">
      <w:pPr>
        <w:keepNext/>
        <w:keepLines/>
        <w:widowControl/>
        <w:spacing w:after="120"/>
        <w:ind w:firstLine="720"/>
        <w:rPr>
          <w:color w:val="000000"/>
          <w:sz w:val="26"/>
          <w:szCs w:val="26"/>
        </w:rPr>
      </w:pPr>
      <w:r w:rsidRPr="0084201A">
        <w:rPr>
          <w:rStyle w:val="FootnoteReference"/>
          <w:sz w:val="26"/>
        </w:rPr>
        <w:footnoteRef/>
      </w:r>
      <w:r w:rsidRPr="0084201A">
        <w:rPr>
          <w:sz w:val="26"/>
        </w:rPr>
        <w:t xml:space="preserve"> </w:t>
      </w:r>
      <w:r w:rsidRPr="0084201A">
        <w:rPr>
          <w:sz w:val="26"/>
        </w:rPr>
        <w:tab/>
      </w:r>
      <w:r w:rsidRPr="0084201A">
        <w:rPr>
          <w:sz w:val="26"/>
          <w:szCs w:val="26"/>
        </w:rPr>
        <w:t xml:space="preserve">Furthermore, </w:t>
      </w:r>
      <w:r w:rsidRPr="0084201A">
        <w:rPr>
          <w:color w:val="000000"/>
          <w:sz w:val="26"/>
          <w:szCs w:val="26"/>
        </w:rPr>
        <w:t xml:space="preserve">assuming </w:t>
      </w:r>
      <w:r w:rsidRPr="0084201A">
        <w:rPr>
          <w:i/>
          <w:color w:val="000000"/>
          <w:sz w:val="26"/>
          <w:szCs w:val="26"/>
        </w:rPr>
        <w:t>arguendo</w:t>
      </w:r>
      <w:r w:rsidRPr="0084201A">
        <w:rPr>
          <w:color w:val="000000"/>
          <w:sz w:val="26"/>
          <w:szCs w:val="26"/>
        </w:rPr>
        <w:t xml:space="preserve"> that Mr. McLean’s claims regarding the brief moments of his inaudibility had been sufficient to require us to reconsider the </w:t>
      </w:r>
      <w:r w:rsidRPr="0084201A">
        <w:rPr>
          <w:i/>
          <w:color w:val="000000"/>
          <w:sz w:val="26"/>
          <w:szCs w:val="26"/>
        </w:rPr>
        <w:t>November 2017 Order</w:t>
      </w:r>
      <w:r w:rsidRPr="0084201A">
        <w:rPr>
          <w:color w:val="000000"/>
          <w:sz w:val="26"/>
          <w:szCs w:val="26"/>
        </w:rPr>
        <w:t xml:space="preserve">, such claims would undermine not only the </w:t>
      </w:r>
      <w:r w:rsidRPr="0084201A">
        <w:rPr>
          <w:i/>
          <w:color w:val="000000"/>
          <w:sz w:val="26"/>
          <w:szCs w:val="26"/>
        </w:rPr>
        <w:t>November 2017 Order</w:t>
      </w:r>
      <w:r w:rsidRPr="0084201A">
        <w:rPr>
          <w:color w:val="000000"/>
          <w:sz w:val="26"/>
          <w:szCs w:val="26"/>
        </w:rPr>
        <w:t xml:space="preserve"> but also the ALJ’s Initial Decision.  In such case, the appropriate relief to be considered would be rehearing rather than rescission as the Petitioner requests.  We </w:t>
      </w:r>
      <w:r w:rsidRPr="0084201A">
        <w:rPr>
          <w:spacing w:val="-3"/>
          <w:sz w:val="26"/>
          <w:szCs w:val="26"/>
        </w:rPr>
        <w:t xml:space="preserve">may entertain a party’s request for rehearing made in the context of a petition for rescission or amendment filed under the provisions of Section </w:t>
      </w:r>
      <w:r w:rsidRPr="0084201A">
        <w:rPr>
          <w:sz w:val="26"/>
          <w:szCs w:val="26"/>
        </w:rPr>
        <w:t>703(g) “</w:t>
      </w:r>
      <w:r w:rsidRPr="0084201A">
        <w:rPr>
          <w:color w:val="000000"/>
          <w:sz w:val="26"/>
          <w:szCs w:val="26"/>
        </w:rPr>
        <w:t xml:space="preserve">if the newly discovered evidence, was not in existence, or was not discoverable through the exercise of due diligence, prior to the expiration of the time within which to file a petition for rehearing, under the provisions of 66 Pa. C.S. § 703(f).”  </w:t>
      </w:r>
      <w:r w:rsidRPr="0084201A">
        <w:rPr>
          <w:i/>
          <w:color w:val="000000"/>
          <w:sz w:val="26"/>
          <w:szCs w:val="26"/>
        </w:rPr>
        <w:t>See Duick</w:t>
      </w:r>
      <w:r w:rsidRPr="0084201A">
        <w:rPr>
          <w:color w:val="000000"/>
          <w:sz w:val="26"/>
          <w:szCs w:val="26"/>
        </w:rPr>
        <w:t xml:space="preserve"> (citing </w:t>
      </w:r>
      <w:r w:rsidRPr="0084201A">
        <w:rPr>
          <w:i/>
          <w:color w:val="000000"/>
          <w:sz w:val="26"/>
          <w:szCs w:val="26"/>
        </w:rPr>
        <w:t>Pennsylvania Railroad</w:t>
      </w:r>
      <w:r w:rsidRPr="0084201A">
        <w:rPr>
          <w:color w:val="000000"/>
          <w:sz w:val="26"/>
          <w:szCs w:val="26"/>
        </w:rPr>
        <w:t xml:space="preserve">, </w:t>
      </w:r>
      <w:r w:rsidRPr="0084201A">
        <w:rPr>
          <w:i/>
          <w:color w:val="000000"/>
          <w:sz w:val="26"/>
          <w:szCs w:val="26"/>
        </w:rPr>
        <w:t>inter alia</w:t>
      </w:r>
      <w:r w:rsidRPr="0084201A">
        <w:rPr>
          <w:color w:val="000000"/>
          <w:sz w:val="26"/>
          <w:szCs w:val="26"/>
        </w:rPr>
        <w:t xml:space="preserve">).  However, as acknowledged above, Mr. McLean provides absolutely no basis or justification in the Petition to support his </w:t>
      </w:r>
      <w:r w:rsidRPr="0084201A">
        <w:rPr>
          <w:i/>
          <w:color w:val="000000"/>
          <w:sz w:val="26"/>
          <w:szCs w:val="26"/>
        </w:rPr>
        <w:t>nunc pro tunc</w:t>
      </w:r>
      <w:r w:rsidRPr="0084201A">
        <w:rPr>
          <w:color w:val="000000"/>
          <w:sz w:val="26"/>
          <w:szCs w:val="26"/>
        </w:rPr>
        <w:t xml:space="preserve"> request or why he filed it long after the expiration of the fifteen-day period allowed under 66 Pa. C.S. § 703(f) and </w:t>
      </w:r>
      <w:r w:rsidRPr="0084201A">
        <w:rPr>
          <w:sz w:val="26"/>
          <w:szCs w:val="26"/>
        </w:rPr>
        <w:t>52 Pa. Code § 5.572(c)</w:t>
      </w:r>
      <w:r w:rsidRPr="0084201A">
        <w:rPr>
          <w:color w:val="000000"/>
          <w:sz w:val="26"/>
          <w:szCs w:val="26"/>
        </w:rPr>
        <w:t xml:space="preserve">.  </w:t>
      </w:r>
      <w:r w:rsidRPr="0084201A">
        <w:rPr>
          <w:i/>
          <w:color w:val="000000"/>
          <w:sz w:val="26"/>
          <w:szCs w:val="26"/>
        </w:rPr>
        <w:t>See</w:t>
      </w:r>
      <w:r w:rsidRPr="0084201A">
        <w:rPr>
          <w:color w:val="000000"/>
          <w:sz w:val="26"/>
          <w:szCs w:val="26"/>
        </w:rPr>
        <w:t>,</w:t>
      </w:r>
      <w:r w:rsidRPr="0084201A">
        <w:rPr>
          <w:i/>
          <w:color w:val="000000"/>
          <w:sz w:val="26"/>
          <w:szCs w:val="26"/>
        </w:rPr>
        <w:t xml:space="preserve"> supra</w:t>
      </w:r>
      <w:r w:rsidRPr="0084201A">
        <w:rPr>
          <w:color w:val="000000"/>
          <w:sz w:val="26"/>
          <w:szCs w:val="26"/>
        </w:rPr>
        <w:t>, note 4.  Therefore, the appropriate circumstances do not exist to consider a request for rehearing</w:t>
      </w:r>
      <w:r w:rsidR="0085735D" w:rsidRPr="0084201A">
        <w:rPr>
          <w:color w:val="000000"/>
          <w:sz w:val="26"/>
          <w:szCs w:val="26"/>
        </w:rPr>
        <w:t>, providing additional reason to</w:t>
      </w:r>
      <w:r w:rsidRPr="0084201A">
        <w:rPr>
          <w:color w:val="000000"/>
          <w:sz w:val="26"/>
          <w:szCs w:val="26"/>
        </w:rPr>
        <w:t xml:space="preserve"> reject Mr. McLean’s </w:t>
      </w:r>
      <w:r w:rsidR="0085735D" w:rsidRPr="0084201A">
        <w:rPr>
          <w:color w:val="000000"/>
          <w:sz w:val="26"/>
          <w:szCs w:val="26"/>
        </w:rPr>
        <w:t>Petition on this issue</w:t>
      </w:r>
      <w:r w:rsidR="00367C53" w:rsidRPr="0084201A">
        <w:rPr>
          <w:color w:val="000000"/>
          <w:sz w:val="26"/>
          <w:szCs w:val="26"/>
        </w:rPr>
        <w:t>.</w:t>
      </w:r>
    </w:p>
  </w:footnote>
  <w:footnote w:id="10">
    <w:p w14:paraId="6B6E25CF" w14:textId="74E4C586" w:rsidR="00DD64F4" w:rsidRPr="0084201A" w:rsidRDefault="00DD64F4" w:rsidP="0084201A">
      <w:pPr>
        <w:pStyle w:val="FootnoteText"/>
        <w:keepNext/>
        <w:keepLines/>
        <w:widowControl/>
        <w:spacing w:after="120" w:line="240" w:lineRule="auto"/>
        <w:ind w:firstLine="720"/>
        <w:rPr>
          <w:sz w:val="26"/>
        </w:rPr>
      </w:pPr>
      <w:r w:rsidRPr="0084201A">
        <w:rPr>
          <w:rStyle w:val="FootnoteReference"/>
          <w:sz w:val="26"/>
        </w:rPr>
        <w:footnoteRef/>
      </w:r>
      <w:r w:rsidR="00AA4879" w:rsidRPr="0084201A">
        <w:rPr>
          <w:sz w:val="26"/>
        </w:rPr>
        <w:tab/>
      </w:r>
      <w:r w:rsidRPr="0084201A">
        <w:rPr>
          <w:sz w:val="26"/>
          <w:szCs w:val="26"/>
        </w:rPr>
        <w:t>There is no fee to view a transcript at the physical office of the Commission’s Secretary’s Bureau.  Parties desiring copies of the transcript</w:t>
      </w:r>
      <w:r w:rsidRPr="0084201A">
        <w:rPr>
          <w:sz w:val="26"/>
        </w:rPr>
        <w:t xml:space="preserve"> can</w:t>
      </w:r>
      <w:r w:rsidRPr="0084201A">
        <w:rPr>
          <w:spacing w:val="-3"/>
          <w:sz w:val="26"/>
          <w:szCs w:val="26"/>
        </w:rPr>
        <w:t xml:space="preserve"> pay a fee to the court reporter directly to receive a copy of the transcript.  52 Pa. Code § 5.254.</w:t>
      </w:r>
    </w:p>
  </w:footnote>
  <w:footnote w:id="11">
    <w:p w14:paraId="34404B00" w14:textId="77777777" w:rsidR="00B107B5" w:rsidRPr="0084201A" w:rsidRDefault="00B107B5" w:rsidP="0084201A">
      <w:pPr>
        <w:pStyle w:val="FootnoteText"/>
        <w:keepNext/>
        <w:keepLines/>
        <w:widowControl/>
        <w:spacing w:after="120" w:line="240" w:lineRule="auto"/>
        <w:ind w:firstLine="720"/>
        <w:rPr>
          <w:sz w:val="26"/>
          <w:szCs w:val="26"/>
        </w:rPr>
      </w:pPr>
      <w:r w:rsidRPr="0084201A">
        <w:rPr>
          <w:rStyle w:val="FootnoteReference"/>
          <w:sz w:val="26"/>
          <w:szCs w:val="26"/>
        </w:rPr>
        <w:footnoteRef/>
      </w:r>
      <w:r w:rsidRPr="0084201A">
        <w:rPr>
          <w:sz w:val="26"/>
          <w:szCs w:val="26"/>
        </w:rPr>
        <w:tab/>
        <w:t xml:space="preserve">Notice mailed to a party’s last known address and not returned by the post office is presumed to have been received.  </w:t>
      </w:r>
      <w:r w:rsidRPr="0084201A">
        <w:rPr>
          <w:i/>
          <w:sz w:val="26"/>
          <w:szCs w:val="26"/>
        </w:rPr>
        <w:t>See Berkowitz v. Mayflower Securities, Inc</w:t>
      </w:r>
      <w:r w:rsidRPr="0084201A">
        <w:rPr>
          <w:sz w:val="26"/>
          <w:szCs w:val="26"/>
        </w:rPr>
        <w:t>., 455 Pa. 531, 317 A.2d 584 (Pa. 1974) (</w:t>
      </w:r>
      <w:r w:rsidRPr="0084201A">
        <w:rPr>
          <w:i/>
          <w:sz w:val="26"/>
          <w:szCs w:val="26"/>
        </w:rPr>
        <w:t>Mayflower</w:t>
      </w:r>
      <w:r w:rsidRPr="0084201A">
        <w:rPr>
          <w:sz w:val="26"/>
          <w:szCs w:val="26"/>
        </w:rPr>
        <w:t xml:space="preserve">); </w:t>
      </w:r>
      <w:r w:rsidRPr="0084201A">
        <w:rPr>
          <w:i/>
          <w:sz w:val="26"/>
          <w:szCs w:val="26"/>
        </w:rPr>
        <w:t>Chartiers Industrial and Commercial Development Authority v. Allegheny County Board of Property Assessment Appeals and Review</w:t>
      </w:r>
      <w:r w:rsidRPr="0084201A">
        <w:rPr>
          <w:sz w:val="26"/>
          <w:szCs w:val="26"/>
        </w:rPr>
        <w:t xml:space="preserve">, 645 A.2d 944, 946 (Pa. Cmwlth. 1994), appeal denied 539 Pa. 696, 653 A.2d 1234 (1994); </w:t>
      </w:r>
      <w:r w:rsidRPr="0084201A">
        <w:rPr>
          <w:i/>
          <w:sz w:val="26"/>
          <w:szCs w:val="26"/>
        </w:rPr>
        <w:t>Geary v. Verizon Pennsylvania Inc</w:t>
      </w:r>
      <w:r w:rsidRPr="0084201A">
        <w:rPr>
          <w:sz w:val="26"/>
          <w:szCs w:val="26"/>
        </w:rPr>
        <w:t>., Docket No. C-2009-2118625 (Order entered September 16, 2010) (</w:t>
      </w:r>
      <w:r w:rsidRPr="0084201A">
        <w:rPr>
          <w:i/>
          <w:sz w:val="26"/>
          <w:szCs w:val="26"/>
        </w:rPr>
        <w:t>Geary</w:t>
      </w:r>
      <w:r w:rsidRPr="0084201A">
        <w:rPr>
          <w:sz w:val="26"/>
          <w:szCs w:val="26"/>
        </w:rPr>
        <w:t>).</w:t>
      </w:r>
    </w:p>
  </w:footnote>
  <w:footnote w:id="12">
    <w:p w14:paraId="47FC37E4" w14:textId="77777777" w:rsidR="00B107B5" w:rsidRPr="0084201A" w:rsidRDefault="00B107B5" w:rsidP="0084201A">
      <w:pPr>
        <w:keepNext/>
        <w:keepLines/>
        <w:widowControl/>
        <w:spacing w:after="120"/>
        <w:ind w:left="720"/>
        <w:rPr>
          <w:spacing w:val="-3"/>
          <w:sz w:val="26"/>
          <w:szCs w:val="26"/>
        </w:rPr>
      </w:pPr>
      <w:r w:rsidRPr="0084201A">
        <w:rPr>
          <w:rStyle w:val="FootnoteReference"/>
          <w:sz w:val="26"/>
          <w:szCs w:val="26"/>
        </w:rPr>
        <w:footnoteRef/>
      </w:r>
      <w:r w:rsidRPr="0084201A">
        <w:rPr>
          <w:sz w:val="26"/>
          <w:szCs w:val="26"/>
        </w:rPr>
        <w:tab/>
      </w:r>
      <w:r w:rsidRPr="0084201A">
        <w:rPr>
          <w:spacing w:val="-3"/>
          <w:sz w:val="26"/>
          <w:szCs w:val="26"/>
        </w:rPr>
        <w:t>Petition at ¶¶ 6, 8; Answer at ¶¶ 6, 8.</w:t>
      </w:r>
    </w:p>
    <w:p w14:paraId="31F90D61" w14:textId="77777777" w:rsidR="00B107B5" w:rsidRPr="0084201A" w:rsidRDefault="00B107B5" w:rsidP="0084201A">
      <w:pPr>
        <w:pStyle w:val="FootnoteText"/>
        <w:keepNext/>
        <w:keepLines/>
        <w:widowControl/>
        <w:spacing w:after="120" w:line="240" w:lineRule="auto"/>
        <w:rPr>
          <w:sz w:val="26"/>
          <w:szCs w:val="26"/>
        </w:rPr>
      </w:pPr>
    </w:p>
  </w:footnote>
  <w:footnote w:id="13">
    <w:p w14:paraId="3A831D21" w14:textId="7F2A9978" w:rsidR="00B107B5" w:rsidRPr="0084201A" w:rsidRDefault="00B107B5" w:rsidP="0084201A">
      <w:pPr>
        <w:keepNext/>
        <w:keepLines/>
        <w:widowControl/>
        <w:spacing w:after="120"/>
        <w:ind w:left="720"/>
        <w:rPr>
          <w:sz w:val="26"/>
          <w:szCs w:val="26"/>
        </w:rPr>
      </w:pPr>
      <w:r w:rsidRPr="0084201A">
        <w:rPr>
          <w:rStyle w:val="FootnoteReference"/>
          <w:sz w:val="26"/>
          <w:szCs w:val="26"/>
        </w:rPr>
        <w:footnoteRef/>
      </w:r>
      <w:r w:rsidRPr="0084201A">
        <w:rPr>
          <w:sz w:val="26"/>
          <w:szCs w:val="26"/>
        </w:rPr>
        <w:tab/>
      </w:r>
      <w:r w:rsidRPr="0084201A">
        <w:rPr>
          <w:spacing w:val="-3"/>
          <w:sz w:val="26"/>
          <w:szCs w:val="26"/>
        </w:rPr>
        <w:t>Petition at ¶ 7; Answer at ¶ 7.</w:t>
      </w:r>
    </w:p>
  </w:footnote>
  <w:footnote w:id="14">
    <w:p w14:paraId="53013B20" w14:textId="0A943915" w:rsidR="00B107B5" w:rsidRPr="0084201A" w:rsidRDefault="00B107B5" w:rsidP="0084201A">
      <w:pPr>
        <w:pStyle w:val="FootnoteText"/>
        <w:keepNext/>
        <w:keepLines/>
        <w:widowControl/>
        <w:spacing w:after="120" w:line="240" w:lineRule="auto"/>
        <w:ind w:left="720" w:firstLine="0"/>
        <w:rPr>
          <w:sz w:val="26"/>
          <w:szCs w:val="26"/>
        </w:rPr>
      </w:pPr>
      <w:r w:rsidRPr="0084201A">
        <w:rPr>
          <w:rStyle w:val="FootnoteReference"/>
          <w:sz w:val="26"/>
          <w:szCs w:val="26"/>
        </w:rPr>
        <w:footnoteRef/>
      </w:r>
      <w:r w:rsidRPr="0084201A">
        <w:rPr>
          <w:sz w:val="26"/>
          <w:szCs w:val="26"/>
        </w:rPr>
        <w:t xml:space="preserve"> </w:t>
      </w:r>
      <w:r w:rsidRPr="0084201A">
        <w:rPr>
          <w:sz w:val="26"/>
          <w:szCs w:val="26"/>
        </w:rPr>
        <w:tab/>
        <w:t>Petition at ¶ 9; Answer at ¶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54A8"/>
    <w:multiLevelType w:val="hybridMultilevel"/>
    <w:tmpl w:val="6E40F0F8"/>
    <w:lvl w:ilvl="0" w:tplc="0CA2EA5A">
      <w:start w:val="1"/>
      <w:numFmt w:val="lowerRoman"/>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7A035B"/>
    <w:multiLevelType w:val="hybridMultilevel"/>
    <w:tmpl w:val="300C996E"/>
    <w:lvl w:ilvl="0" w:tplc="82A21D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B74BC4"/>
    <w:multiLevelType w:val="hybridMultilevel"/>
    <w:tmpl w:val="FE34A49E"/>
    <w:lvl w:ilvl="0" w:tplc="F460A49A">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39"/>
    <w:rsid w:val="0000020F"/>
    <w:rsid w:val="00002D2B"/>
    <w:rsid w:val="00005962"/>
    <w:rsid w:val="00011EA3"/>
    <w:rsid w:val="00012EEE"/>
    <w:rsid w:val="0001366A"/>
    <w:rsid w:val="00015CA2"/>
    <w:rsid w:val="000170DD"/>
    <w:rsid w:val="00035312"/>
    <w:rsid w:val="000400AF"/>
    <w:rsid w:val="00053172"/>
    <w:rsid w:val="00053C35"/>
    <w:rsid w:val="00056739"/>
    <w:rsid w:val="00074A40"/>
    <w:rsid w:val="00082053"/>
    <w:rsid w:val="000866A5"/>
    <w:rsid w:val="00087BA6"/>
    <w:rsid w:val="00095622"/>
    <w:rsid w:val="000A342F"/>
    <w:rsid w:val="000A6835"/>
    <w:rsid w:val="000B2D37"/>
    <w:rsid w:val="000B446E"/>
    <w:rsid w:val="000C41EF"/>
    <w:rsid w:val="000C5BA9"/>
    <w:rsid w:val="000C77C1"/>
    <w:rsid w:val="000D2935"/>
    <w:rsid w:val="000D7779"/>
    <w:rsid w:val="000E2BB4"/>
    <w:rsid w:val="000E49FF"/>
    <w:rsid w:val="000E6687"/>
    <w:rsid w:val="000E7BB0"/>
    <w:rsid w:val="000F5BFD"/>
    <w:rsid w:val="0011185B"/>
    <w:rsid w:val="00113515"/>
    <w:rsid w:val="0011783C"/>
    <w:rsid w:val="00120493"/>
    <w:rsid w:val="00122663"/>
    <w:rsid w:val="0012418E"/>
    <w:rsid w:val="00134AE3"/>
    <w:rsid w:val="00136745"/>
    <w:rsid w:val="001417A1"/>
    <w:rsid w:val="00157E51"/>
    <w:rsid w:val="0016352C"/>
    <w:rsid w:val="00164BBB"/>
    <w:rsid w:val="0016532F"/>
    <w:rsid w:val="00167123"/>
    <w:rsid w:val="00180210"/>
    <w:rsid w:val="001813C9"/>
    <w:rsid w:val="001848F2"/>
    <w:rsid w:val="00185074"/>
    <w:rsid w:val="001874B9"/>
    <w:rsid w:val="001A4C4F"/>
    <w:rsid w:val="001B73EC"/>
    <w:rsid w:val="001C45B6"/>
    <w:rsid w:val="001C752B"/>
    <w:rsid w:val="001D295C"/>
    <w:rsid w:val="001D422D"/>
    <w:rsid w:val="001E0F20"/>
    <w:rsid w:val="001E0F2F"/>
    <w:rsid w:val="001E1E7E"/>
    <w:rsid w:val="001E229A"/>
    <w:rsid w:val="001E7B1A"/>
    <w:rsid w:val="001F0C8E"/>
    <w:rsid w:val="00205812"/>
    <w:rsid w:val="002151FF"/>
    <w:rsid w:val="0021587A"/>
    <w:rsid w:val="00220CD8"/>
    <w:rsid w:val="00224136"/>
    <w:rsid w:val="00226F76"/>
    <w:rsid w:val="00230A78"/>
    <w:rsid w:val="00250F79"/>
    <w:rsid w:val="00256D40"/>
    <w:rsid w:val="00271D9E"/>
    <w:rsid w:val="00272BBD"/>
    <w:rsid w:val="0027423C"/>
    <w:rsid w:val="002747EA"/>
    <w:rsid w:val="00275E0C"/>
    <w:rsid w:val="00281538"/>
    <w:rsid w:val="00283158"/>
    <w:rsid w:val="00286963"/>
    <w:rsid w:val="00293916"/>
    <w:rsid w:val="002A045F"/>
    <w:rsid w:val="002A4A94"/>
    <w:rsid w:val="002D27EA"/>
    <w:rsid w:val="002D32D0"/>
    <w:rsid w:val="002D39DF"/>
    <w:rsid w:val="002E2CAD"/>
    <w:rsid w:val="002E78F6"/>
    <w:rsid w:val="002F5D44"/>
    <w:rsid w:val="002F6F20"/>
    <w:rsid w:val="003038E7"/>
    <w:rsid w:val="00312C8E"/>
    <w:rsid w:val="0031436C"/>
    <w:rsid w:val="00314865"/>
    <w:rsid w:val="00316FED"/>
    <w:rsid w:val="003212D7"/>
    <w:rsid w:val="00323971"/>
    <w:rsid w:val="0032474E"/>
    <w:rsid w:val="00324C4B"/>
    <w:rsid w:val="00331F76"/>
    <w:rsid w:val="00345D39"/>
    <w:rsid w:val="00352E1A"/>
    <w:rsid w:val="00353649"/>
    <w:rsid w:val="00356D68"/>
    <w:rsid w:val="003612F4"/>
    <w:rsid w:val="003653DA"/>
    <w:rsid w:val="00366207"/>
    <w:rsid w:val="00367C53"/>
    <w:rsid w:val="00370938"/>
    <w:rsid w:val="00375ED0"/>
    <w:rsid w:val="00385C96"/>
    <w:rsid w:val="00394870"/>
    <w:rsid w:val="00397C3E"/>
    <w:rsid w:val="003A25E6"/>
    <w:rsid w:val="003A288C"/>
    <w:rsid w:val="003A6F69"/>
    <w:rsid w:val="003C27CE"/>
    <w:rsid w:val="003C36C4"/>
    <w:rsid w:val="003D21F3"/>
    <w:rsid w:val="003D45B6"/>
    <w:rsid w:val="003D5C5F"/>
    <w:rsid w:val="003D692F"/>
    <w:rsid w:val="003E0A48"/>
    <w:rsid w:val="003E1595"/>
    <w:rsid w:val="003E464F"/>
    <w:rsid w:val="003E4C6E"/>
    <w:rsid w:val="003F0347"/>
    <w:rsid w:val="003F7DF4"/>
    <w:rsid w:val="004043CD"/>
    <w:rsid w:val="004100EB"/>
    <w:rsid w:val="00414E77"/>
    <w:rsid w:val="004168C9"/>
    <w:rsid w:val="00421376"/>
    <w:rsid w:val="0043044F"/>
    <w:rsid w:val="00431515"/>
    <w:rsid w:val="004318B7"/>
    <w:rsid w:val="00431C58"/>
    <w:rsid w:val="00433923"/>
    <w:rsid w:val="00434D35"/>
    <w:rsid w:val="004412E2"/>
    <w:rsid w:val="004531FA"/>
    <w:rsid w:val="004639EA"/>
    <w:rsid w:val="00465732"/>
    <w:rsid w:val="00467F47"/>
    <w:rsid w:val="004727E0"/>
    <w:rsid w:val="004804DB"/>
    <w:rsid w:val="00483A2D"/>
    <w:rsid w:val="004846B1"/>
    <w:rsid w:val="00491CA1"/>
    <w:rsid w:val="00496F78"/>
    <w:rsid w:val="004B0AFE"/>
    <w:rsid w:val="004B5020"/>
    <w:rsid w:val="004B7186"/>
    <w:rsid w:val="004D0130"/>
    <w:rsid w:val="004D439B"/>
    <w:rsid w:val="004D4467"/>
    <w:rsid w:val="004D4F11"/>
    <w:rsid w:val="004D599A"/>
    <w:rsid w:val="004D7600"/>
    <w:rsid w:val="004E0507"/>
    <w:rsid w:val="004E2B3F"/>
    <w:rsid w:val="004E3EC9"/>
    <w:rsid w:val="004F12A8"/>
    <w:rsid w:val="004F52F2"/>
    <w:rsid w:val="004F7387"/>
    <w:rsid w:val="0050331B"/>
    <w:rsid w:val="00511D20"/>
    <w:rsid w:val="0052581A"/>
    <w:rsid w:val="005348B9"/>
    <w:rsid w:val="005357AF"/>
    <w:rsid w:val="00541ABD"/>
    <w:rsid w:val="0054553C"/>
    <w:rsid w:val="00552331"/>
    <w:rsid w:val="00555166"/>
    <w:rsid w:val="00557B3E"/>
    <w:rsid w:val="00560B1D"/>
    <w:rsid w:val="00562724"/>
    <w:rsid w:val="00562BC8"/>
    <w:rsid w:val="00564F2E"/>
    <w:rsid w:val="005652B6"/>
    <w:rsid w:val="00567390"/>
    <w:rsid w:val="00567F41"/>
    <w:rsid w:val="00572C3E"/>
    <w:rsid w:val="0057470C"/>
    <w:rsid w:val="00574B8A"/>
    <w:rsid w:val="005762C7"/>
    <w:rsid w:val="00577A70"/>
    <w:rsid w:val="00587D1C"/>
    <w:rsid w:val="005928CF"/>
    <w:rsid w:val="00592FF6"/>
    <w:rsid w:val="005A2502"/>
    <w:rsid w:val="005A29D4"/>
    <w:rsid w:val="005A50CF"/>
    <w:rsid w:val="005B6415"/>
    <w:rsid w:val="005B6FE6"/>
    <w:rsid w:val="005B7333"/>
    <w:rsid w:val="005C0378"/>
    <w:rsid w:val="005C0396"/>
    <w:rsid w:val="005C4440"/>
    <w:rsid w:val="005C62B6"/>
    <w:rsid w:val="005D18F0"/>
    <w:rsid w:val="005D1C60"/>
    <w:rsid w:val="005E29B3"/>
    <w:rsid w:val="005E4F17"/>
    <w:rsid w:val="005E4FBA"/>
    <w:rsid w:val="005F2426"/>
    <w:rsid w:val="005F63B8"/>
    <w:rsid w:val="006040FC"/>
    <w:rsid w:val="006067DD"/>
    <w:rsid w:val="00610678"/>
    <w:rsid w:val="00612700"/>
    <w:rsid w:val="00621B95"/>
    <w:rsid w:val="00622BF9"/>
    <w:rsid w:val="00630B39"/>
    <w:rsid w:val="0063264E"/>
    <w:rsid w:val="00632989"/>
    <w:rsid w:val="0063515B"/>
    <w:rsid w:val="00641375"/>
    <w:rsid w:val="00641875"/>
    <w:rsid w:val="006424B4"/>
    <w:rsid w:val="00654670"/>
    <w:rsid w:val="00661657"/>
    <w:rsid w:val="00673413"/>
    <w:rsid w:val="00683AA8"/>
    <w:rsid w:val="006856FD"/>
    <w:rsid w:val="00685D08"/>
    <w:rsid w:val="00695C2C"/>
    <w:rsid w:val="006A037D"/>
    <w:rsid w:val="006A3417"/>
    <w:rsid w:val="006A5C94"/>
    <w:rsid w:val="006B277D"/>
    <w:rsid w:val="006B4461"/>
    <w:rsid w:val="006C3213"/>
    <w:rsid w:val="006C43A7"/>
    <w:rsid w:val="006C7C6B"/>
    <w:rsid w:val="006D3A6E"/>
    <w:rsid w:val="006D667B"/>
    <w:rsid w:val="006E07D7"/>
    <w:rsid w:val="006E0C97"/>
    <w:rsid w:val="006F3490"/>
    <w:rsid w:val="00701472"/>
    <w:rsid w:val="00702027"/>
    <w:rsid w:val="007023F4"/>
    <w:rsid w:val="00707C9E"/>
    <w:rsid w:val="00715C7E"/>
    <w:rsid w:val="0071644D"/>
    <w:rsid w:val="007229D5"/>
    <w:rsid w:val="00722E02"/>
    <w:rsid w:val="00724B94"/>
    <w:rsid w:val="00727EFF"/>
    <w:rsid w:val="007324AE"/>
    <w:rsid w:val="00732E60"/>
    <w:rsid w:val="00737172"/>
    <w:rsid w:val="00740FE3"/>
    <w:rsid w:val="00755991"/>
    <w:rsid w:val="00756FF5"/>
    <w:rsid w:val="00761963"/>
    <w:rsid w:val="007661C9"/>
    <w:rsid w:val="007702FA"/>
    <w:rsid w:val="00773713"/>
    <w:rsid w:val="00776622"/>
    <w:rsid w:val="00781EBE"/>
    <w:rsid w:val="00792839"/>
    <w:rsid w:val="0079351D"/>
    <w:rsid w:val="007A06BA"/>
    <w:rsid w:val="007A303D"/>
    <w:rsid w:val="007A74E5"/>
    <w:rsid w:val="007B565B"/>
    <w:rsid w:val="007B61FE"/>
    <w:rsid w:val="007B75B7"/>
    <w:rsid w:val="007C005B"/>
    <w:rsid w:val="007C41D4"/>
    <w:rsid w:val="007C6D5A"/>
    <w:rsid w:val="007E06B4"/>
    <w:rsid w:val="007E49B7"/>
    <w:rsid w:val="007E5E71"/>
    <w:rsid w:val="007E66A1"/>
    <w:rsid w:val="007F4027"/>
    <w:rsid w:val="007F51ED"/>
    <w:rsid w:val="007F5BFB"/>
    <w:rsid w:val="007F65B9"/>
    <w:rsid w:val="007F7F1E"/>
    <w:rsid w:val="007F7F21"/>
    <w:rsid w:val="00802FAB"/>
    <w:rsid w:val="008031D7"/>
    <w:rsid w:val="0080567C"/>
    <w:rsid w:val="00806318"/>
    <w:rsid w:val="008079BB"/>
    <w:rsid w:val="0082297D"/>
    <w:rsid w:val="0084201A"/>
    <w:rsid w:val="00854F11"/>
    <w:rsid w:val="0085735D"/>
    <w:rsid w:val="008573F4"/>
    <w:rsid w:val="00860A00"/>
    <w:rsid w:val="008613AC"/>
    <w:rsid w:val="0086299F"/>
    <w:rsid w:val="00864A7E"/>
    <w:rsid w:val="00870E52"/>
    <w:rsid w:val="00882303"/>
    <w:rsid w:val="00886FE3"/>
    <w:rsid w:val="00887C99"/>
    <w:rsid w:val="00893BC1"/>
    <w:rsid w:val="008952FB"/>
    <w:rsid w:val="0089672A"/>
    <w:rsid w:val="008A0EC1"/>
    <w:rsid w:val="008A1009"/>
    <w:rsid w:val="008A77A3"/>
    <w:rsid w:val="008A7CAF"/>
    <w:rsid w:val="008C0AE1"/>
    <w:rsid w:val="008D0DE9"/>
    <w:rsid w:val="008D227D"/>
    <w:rsid w:val="008D4213"/>
    <w:rsid w:val="008D4B5A"/>
    <w:rsid w:val="008E121D"/>
    <w:rsid w:val="008E1DBE"/>
    <w:rsid w:val="008E3251"/>
    <w:rsid w:val="0090257C"/>
    <w:rsid w:val="009223FE"/>
    <w:rsid w:val="00922E8A"/>
    <w:rsid w:val="00923B1F"/>
    <w:rsid w:val="0092698A"/>
    <w:rsid w:val="00933C83"/>
    <w:rsid w:val="00944DC6"/>
    <w:rsid w:val="009465EF"/>
    <w:rsid w:val="00946FF4"/>
    <w:rsid w:val="00954207"/>
    <w:rsid w:val="00955FCA"/>
    <w:rsid w:val="00964A80"/>
    <w:rsid w:val="00966A32"/>
    <w:rsid w:val="009726D8"/>
    <w:rsid w:val="00972AF4"/>
    <w:rsid w:val="00973936"/>
    <w:rsid w:val="00992F06"/>
    <w:rsid w:val="00993542"/>
    <w:rsid w:val="009A18DF"/>
    <w:rsid w:val="009A355A"/>
    <w:rsid w:val="009A57F1"/>
    <w:rsid w:val="009B170B"/>
    <w:rsid w:val="009B3FF9"/>
    <w:rsid w:val="009B4260"/>
    <w:rsid w:val="009B4FFC"/>
    <w:rsid w:val="009B6537"/>
    <w:rsid w:val="009C0A22"/>
    <w:rsid w:val="009C299B"/>
    <w:rsid w:val="009D04EC"/>
    <w:rsid w:val="009E21FB"/>
    <w:rsid w:val="009E31B4"/>
    <w:rsid w:val="009E3627"/>
    <w:rsid w:val="009F068B"/>
    <w:rsid w:val="009F4B76"/>
    <w:rsid w:val="009F5728"/>
    <w:rsid w:val="009F620E"/>
    <w:rsid w:val="00A02795"/>
    <w:rsid w:val="00A02984"/>
    <w:rsid w:val="00A14473"/>
    <w:rsid w:val="00A15BDC"/>
    <w:rsid w:val="00A1686B"/>
    <w:rsid w:val="00A21A46"/>
    <w:rsid w:val="00A24AB8"/>
    <w:rsid w:val="00A2727E"/>
    <w:rsid w:val="00A31059"/>
    <w:rsid w:val="00A32904"/>
    <w:rsid w:val="00A347A3"/>
    <w:rsid w:val="00A43795"/>
    <w:rsid w:val="00A4497A"/>
    <w:rsid w:val="00A474EE"/>
    <w:rsid w:val="00A511FF"/>
    <w:rsid w:val="00A55319"/>
    <w:rsid w:val="00A76794"/>
    <w:rsid w:val="00A84714"/>
    <w:rsid w:val="00A911B5"/>
    <w:rsid w:val="00A95D5E"/>
    <w:rsid w:val="00AA2673"/>
    <w:rsid w:val="00AA4879"/>
    <w:rsid w:val="00AA4CAA"/>
    <w:rsid w:val="00AA614D"/>
    <w:rsid w:val="00AB1ED3"/>
    <w:rsid w:val="00AC0C50"/>
    <w:rsid w:val="00AC5573"/>
    <w:rsid w:val="00AF0422"/>
    <w:rsid w:val="00AF3A50"/>
    <w:rsid w:val="00AF49D1"/>
    <w:rsid w:val="00AF7213"/>
    <w:rsid w:val="00B055F1"/>
    <w:rsid w:val="00B107B5"/>
    <w:rsid w:val="00B11391"/>
    <w:rsid w:val="00B17C9E"/>
    <w:rsid w:val="00B254FE"/>
    <w:rsid w:val="00B25BEF"/>
    <w:rsid w:val="00B2641A"/>
    <w:rsid w:val="00B36A1D"/>
    <w:rsid w:val="00B4268F"/>
    <w:rsid w:val="00B4510C"/>
    <w:rsid w:val="00B56135"/>
    <w:rsid w:val="00B64688"/>
    <w:rsid w:val="00B64DD5"/>
    <w:rsid w:val="00B94EAB"/>
    <w:rsid w:val="00B97929"/>
    <w:rsid w:val="00BA7583"/>
    <w:rsid w:val="00BB1303"/>
    <w:rsid w:val="00BB30BD"/>
    <w:rsid w:val="00BC2197"/>
    <w:rsid w:val="00BC399E"/>
    <w:rsid w:val="00BC4EB8"/>
    <w:rsid w:val="00BC6A92"/>
    <w:rsid w:val="00BD119B"/>
    <w:rsid w:val="00BD21FA"/>
    <w:rsid w:val="00BD5826"/>
    <w:rsid w:val="00BE347E"/>
    <w:rsid w:val="00BE481E"/>
    <w:rsid w:val="00C0089A"/>
    <w:rsid w:val="00C00F94"/>
    <w:rsid w:val="00C068B6"/>
    <w:rsid w:val="00C11FEC"/>
    <w:rsid w:val="00C173F6"/>
    <w:rsid w:val="00C21FFB"/>
    <w:rsid w:val="00C34EF7"/>
    <w:rsid w:val="00C42DB1"/>
    <w:rsid w:val="00C43B69"/>
    <w:rsid w:val="00C4511E"/>
    <w:rsid w:val="00C50ACD"/>
    <w:rsid w:val="00C55192"/>
    <w:rsid w:val="00C624ED"/>
    <w:rsid w:val="00C63670"/>
    <w:rsid w:val="00C72660"/>
    <w:rsid w:val="00C73003"/>
    <w:rsid w:val="00C804FF"/>
    <w:rsid w:val="00C811AE"/>
    <w:rsid w:val="00C843B5"/>
    <w:rsid w:val="00C9246B"/>
    <w:rsid w:val="00C92B41"/>
    <w:rsid w:val="00CB227F"/>
    <w:rsid w:val="00CB7B6F"/>
    <w:rsid w:val="00CC0253"/>
    <w:rsid w:val="00CC17DF"/>
    <w:rsid w:val="00CC7AA9"/>
    <w:rsid w:val="00CD0DBE"/>
    <w:rsid w:val="00CD11E8"/>
    <w:rsid w:val="00CE08F1"/>
    <w:rsid w:val="00CE0AE9"/>
    <w:rsid w:val="00CE5CB5"/>
    <w:rsid w:val="00CE7886"/>
    <w:rsid w:val="00CF1318"/>
    <w:rsid w:val="00CF218D"/>
    <w:rsid w:val="00CF25B2"/>
    <w:rsid w:val="00CF4505"/>
    <w:rsid w:val="00CF6862"/>
    <w:rsid w:val="00CF7C84"/>
    <w:rsid w:val="00D218FE"/>
    <w:rsid w:val="00D23013"/>
    <w:rsid w:val="00D25059"/>
    <w:rsid w:val="00D25AA5"/>
    <w:rsid w:val="00D26314"/>
    <w:rsid w:val="00D32DAF"/>
    <w:rsid w:val="00D41777"/>
    <w:rsid w:val="00D44E67"/>
    <w:rsid w:val="00D510FE"/>
    <w:rsid w:val="00D51D70"/>
    <w:rsid w:val="00D53B61"/>
    <w:rsid w:val="00D5581D"/>
    <w:rsid w:val="00D63813"/>
    <w:rsid w:val="00D808AA"/>
    <w:rsid w:val="00D81834"/>
    <w:rsid w:val="00D842C2"/>
    <w:rsid w:val="00D84628"/>
    <w:rsid w:val="00D851BC"/>
    <w:rsid w:val="00D857E7"/>
    <w:rsid w:val="00D93EB6"/>
    <w:rsid w:val="00D953B1"/>
    <w:rsid w:val="00D971CC"/>
    <w:rsid w:val="00D9793A"/>
    <w:rsid w:val="00DA506B"/>
    <w:rsid w:val="00DB05D7"/>
    <w:rsid w:val="00DB156D"/>
    <w:rsid w:val="00DB5503"/>
    <w:rsid w:val="00DB6B48"/>
    <w:rsid w:val="00DD64F4"/>
    <w:rsid w:val="00DE5616"/>
    <w:rsid w:val="00DE5A80"/>
    <w:rsid w:val="00DE6AB3"/>
    <w:rsid w:val="00DF15CD"/>
    <w:rsid w:val="00E064A5"/>
    <w:rsid w:val="00E06C2F"/>
    <w:rsid w:val="00E072EC"/>
    <w:rsid w:val="00E078A4"/>
    <w:rsid w:val="00E218D3"/>
    <w:rsid w:val="00E43749"/>
    <w:rsid w:val="00E472A9"/>
    <w:rsid w:val="00E509CD"/>
    <w:rsid w:val="00E51879"/>
    <w:rsid w:val="00E525F2"/>
    <w:rsid w:val="00E53759"/>
    <w:rsid w:val="00E53CD5"/>
    <w:rsid w:val="00E54E71"/>
    <w:rsid w:val="00E60ABC"/>
    <w:rsid w:val="00E64BC5"/>
    <w:rsid w:val="00E706EB"/>
    <w:rsid w:val="00E81ECC"/>
    <w:rsid w:val="00E851B1"/>
    <w:rsid w:val="00E855F1"/>
    <w:rsid w:val="00E86DCE"/>
    <w:rsid w:val="00E87C6A"/>
    <w:rsid w:val="00E906F0"/>
    <w:rsid w:val="00EA21EB"/>
    <w:rsid w:val="00EA2383"/>
    <w:rsid w:val="00EA2E6A"/>
    <w:rsid w:val="00EA4633"/>
    <w:rsid w:val="00EB4B8D"/>
    <w:rsid w:val="00EB6ACE"/>
    <w:rsid w:val="00EC6F87"/>
    <w:rsid w:val="00ED26DD"/>
    <w:rsid w:val="00ED5B53"/>
    <w:rsid w:val="00ED69D5"/>
    <w:rsid w:val="00EE33E4"/>
    <w:rsid w:val="00EE426C"/>
    <w:rsid w:val="00EE7891"/>
    <w:rsid w:val="00EF1C64"/>
    <w:rsid w:val="00F056B0"/>
    <w:rsid w:val="00F07174"/>
    <w:rsid w:val="00F218A4"/>
    <w:rsid w:val="00F26A4B"/>
    <w:rsid w:val="00F276E8"/>
    <w:rsid w:val="00F31A49"/>
    <w:rsid w:val="00F408E1"/>
    <w:rsid w:val="00F46779"/>
    <w:rsid w:val="00F512F5"/>
    <w:rsid w:val="00F56109"/>
    <w:rsid w:val="00F56C31"/>
    <w:rsid w:val="00F57775"/>
    <w:rsid w:val="00F63309"/>
    <w:rsid w:val="00F63378"/>
    <w:rsid w:val="00F65980"/>
    <w:rsid w:val="00F6648F"/>
    <w:rsid w:val="00F95BFB"/>
    <w:rsid w:val="00F97382"/>
    <w:rsid w:val="00FA0E9D"/>
    <w:rsid w:val="00FB08DC"/>
    <w:rsid w:val="00FB0E91"/>
    <w:rsid w:val="00FB1375"/>
    <w:rsid w:val="00FB177C"/>
    <w:rsid w:val="00FB17BF"/>
    <w:rsid w:val="00FB1BD3"/>
    <w:rsid w:val="00FC224F"/>
    <w:rsid w:val="00FC4816"/>
    <w:rsid w:val="00FD1F0C"/>
    <w:rsid w:val="00FE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524F"/>
  <w15:chartTrackingRefBased/>
  <w15:docId w15:val="{B32F7D61-3529-4075-9376-2DDCB75D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D39"/>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26F76"/>
    <w:pPr>
      <w:keepNext/>
      <w:spacing w:line="360" w:lineRule="auto"/>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ootnote Text Char2 Char,Footnote Text Char Char1 Char,Footnote Text Char1 Char Char Char,Footnote Text Char Char Char Char Char,Footnote Text Char1 Char Char Char Char Char,Footnote Text Char1,fn,ALTS FOOTNOTE,FOOTNOTE"/>
    <w:basedOn w:val="Normal"/>
    <w:link w:val="FootnoteTextChar2"/>
    <w:uiPriority w:val="99"/>
    <w:qFormat/>
    <w:rsid w:val="006424B4"/>
    <w:pPr>
      <w:autoSpaceDE w:val="0"/>
      <w:autoSpaceDN w:val="0"/>
      <w:adjustRightInd w:val="0"/>
      <w:spacing w:line="360" w:lineRule="auto"/>
      <w:ind w:firstLine="1440"/>
    </w:pPr>
  </w:style>
  <w:style w:type="character" w:customStyle="1" w:styleId="FootnoteTextChar">
    <w:name w:val="Footnote Text Char"/>
    <w:basedOn w:val="DefaultParagraphFont"/>
    <w:uiPriority w:val="99"/>
    <w:semiHidden/>
    <w:rsid w:val="006424B4"/>
    <w:rPr>
      <w:rFonts w:ascii="Times New Roman" w:eastAsia="Times New Roman" w:hAnsi="Times New Roman" w:cs="Times New Roman"/>
      <w:sz w:val="20"/>
      <w:szCs w:val="20"/>
    </w:rPr>
  </w:style>
  <w:style w:type="character" w:customStyle="1" w:styleId="FootnoteTextChar2">
    <w:name w:val="Footnote Text Char2"/>
    <w:aliases w:val="Footnote Text Char2 Char Char,Footnote Text Char Char1 Char Char,Footnote Text Char1 Char Char Char Char,Footnote Text Char Char Char Char Char Char,Footnote Text Char1 Char Char Char Char Char Char,Footnote Text Char1 Char,fn Char"/>
    <w:basedOn w:val="DefaultParagraphFont"/>
    <w:link w:val="FootnoteText"/>
    <w:rsid w:val="006424B4"/>
    <w:rPr>
      <w:rFonts w:ascii="Times New Roman" w:eastAsia="Times New Roman" w:hAnsi="Times New Roman" w:cs="Times New Roman"/>
      <w:sz w:val="20"/>
      <w:szCs w:val="20"/>
    </w:rPr>
  </w:style>
  <w:style w:type="character" w:styleId="FootnoteReference">
    <w:name w:val="footnote reference"/>
    <w:aliases w:val="fr,o,Style 6,Style 20,Style 9,footnote text"/>
    <w:basedOn w:val="DefaultParagraphFont"/>
    <w:uiPriority w:val="99"/>
    <w:rsid w:val="006424B4"/>
    <w:rPr>
      <w:vertAlign w:val="superscript"/>
    </w:rPr>
  </w:style>
  <w:style w:type="paragraph" w:styleId="Header">
    <w:name w:val="header"/>
    <w:basedOn w:val="Normal"/>
    <w:link w:val="HeaderChar"/>
    <w:uiPriority w:val="99"/>
    <w:unhideWhenUsed/>
    <w:rsid w:val="00D51D70"/>
    <w:pPr>
      <w:tabs>
        <w:tab w:val="center" w:pos="4680"/>
        <w:tab w:val="right" w:pos="9360"/>
      </w:tabs>
    </w:pPr>
  </w:style>
  <w:style w:type="character" w:customStyle="1" w:styleId="HeaderChar">
    <w:name w:val="Header Char"/>
    <w:basedOn w:val="DefaultParagraphFont"/>
    <w:link w:val="Header"/>
    <w:uiPriority w:val="99"/>
    <w:rsid w:val="00D51D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51D70"/>
    <w:pPr>
      <w:tabs>
        <w:tab w:val="center" w:pos="4680"/>
        <w:tab w:val="right" w:pos="9360"/>
      </w:tabs>
    </w:pPr>
  </w:style>
  <w:style w:type="character" w:customStyle="1" w:styleId="FooterChar">
    <w:name w:val="Footer Char"/>
    <w:basedOn w:val="DefaultParagraphFont"/>
    <w:link w:val="Footer"/>
    <w:uiPriority w:val="99"/>
    <w:rsid w:val="00D51D7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33923"/>
    <w:rPr>
      <w:color w:val="0563C1" w:themeColor="hyperlink"/>
      <w:u w:val="single"/>
    </w:rPr>
  </w:style>
  <w:style w:type="character" w:styleId="UnresolvedMention">
    <w:name w:val="Unresolved Mention"/>
    <w:basedOn w:val="DefaultParagraphFont"/>
    <w:uiPriority w:val="99"/>
    <w:semiHidden/>
    <w:unhideWhenUsed/>
    <w:rsid w:val="00433923"/>
    <w:rPr>
      <w:color w:val="808080"/>
      <w:shd w:val="clear" w:color="auto" w:fill="E6E6E6"/>
    </w:rPr>
  </w:style>
  <w:style w:type="paragraph" w:styleId="ListParagraph">
    <w:name w:val="List Paragraph"/>
    <w:basedOn w:val="Normal"/>
    <w:uiPriority w:val="34"/>
    <w:qFormat/>
    <w:rsid w:val="00EE426C"/>
    <w:pPr>
      <w:widowControl/>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EA2E6A"/>
    <w:pPr>
      <w:widowControl/>
      <w:spacing w:line="360" w:lineRule="auto"/>
      <w:ind w:firstLine="1440"/>
    </w:pPr>
    <w:rPr>
      <w:sz w:val="26"/>
    </w:rPr>
  </w:style>
  <w:style w:type="character" w:customStyle="1" w:styleId="BodyTextChar">
    <w:name w:val="Body Text Char"/>
    <w:basedOn w:val="DefaultParagraphFont"/>
    <w:link w:val="BodyText"/>
    <w:rsid w:val="00EA2E6A"/>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7C0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0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85C96"/>
    <w:rPr>
      <w:sz w:val="16"/>
      <w:szCs w:val="16"/>
    </w:rPr>
  </w:style>
  <w:style w:type="paragraph" w:styleId="CommentText">
    <w:name w:val="annotation text"/>
    <w:basedOn w:val="Normal"/>
    <w:link w:val="CommentTextChar"/>
    <w:uiPriority w:val="99"/>
    <w:semiHidden/>
    <w:unhideWhenUsed/>
    <w:rsid w:val="00385C96"/>
  </w:style>
  <w:style w:type="character" w:customStyle="1" w:styleId="CommentTextChar">
    <w:name w:val="Comment Text Char"/>
    <w:basedOn w:val="DefaultParagraphFont"/>
    <w:link w:val="CommentText"/>
    <w:uiPriority w:val="99"/>
    <w:semiHidden/>
    <w:rsid w:val="00385C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5C96"/>
    <w:rPr>
      <w:b/>
      <w:bCs/>
    </w:rPr>
  </w:style>
  <w:style w:type="character" w:customStyle="1" w:styleId="CommentSubjectChar">
    <w:name w:val="Comment Subject Char"/>
    <w:basedOn w:val="CommentTextChar"/>
    <w:link w:val="CommentSubject"/>
    <w:uiPriority w:val="99"/>
    <w:semiHidden/>
    <w:rsid w:val="00385C96"/>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unhideWhenUsed/>
    <w:rsid w:val="00641875"/>
    <w:pPr>
      <w:spacing w:line="360" w:lineRule="auto"/>
      <w:ind w:firstLine="1440"/>
    </w:pPr>
    <w:rPr>
      <w:sz w:val="26"/>
      <w:szCs w:val="26"/>
    </w:rPr>
  </w:style>
  <w:style w:type="character" w:customStyle="1" w:styleId="BodyTextIndentChar">
    <w:name w:val="Body Text Indent Char"/>
    <w:basedOn w:val="DefaultParagraphFont"/>
    <w:link w:val="BodyTextIndent"/>
    <w:uiPriority w:val="99"/>
    <w:rsid w:val="00641875"/>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226F76"/>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xlink?app=00075&amp;view=full&amp;searchtype=get&amp;search=118+Pa.+Super.+380"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42661-496C-4201-B1CB-5C7AA25B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3</cp:revision>
  <cp:lastPrinted>2018-12-10T17:41:00Z</cp:lastPrinted>
  <dcterms:created xsi:type="dcterms:W3CDTF">2018-12-11T00:03:00Z</dcterms:created>
  <dcterms:modified xsi:type="dcterms:W3CDTF">2018-12-20T12:51:00Z</dcterms:modified>
</cp:coreProperties>
</file>