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7CD" w:rsidRDefault="00A747CD" w:rsidP="00061D1D">
      <w:pPr>
        <w:pStyle w:val="Title"/>
        <w:rPr>
          <w:rFonts w:ascii="Arial" w:hAnsi="Arial" w:cs="Arial"/>
          <w:sz w:val="36"/>
          <w:szCs w:val="36"/>
          <w:u w:val="none"/>
        </w:rPr>
      </w:pPr>
    </w:p>
    <w:p w:rsidR="00A747CD" w:rsidRDefault="00A747CD" w:rsidP="00061D1D">
      <w:pPr>
        <w:pStyle w:val="Title"/>
        <w:rPr>
          <w:rFonts w:ascii="Arial" w:hAnsi="Arial" w:cs="Arial"/>
          <w:sz w:val="36"/>
          <w:szCs w:val="36"/>
          <w:u w:val="none"/>
        </w:rPr>
      </w:pPr>
    </w:p>
    <w:p w:rsidR="000E392E" w:rsidRDefault="000E392E" w:rsidP="00061D1D">
      <w:pPr>
        <w:pStyle w:val="Title"/>
        <w:rPr>
          <w:rFonts w:ascii="Arial" w:hAnsi="Arial" w:cs="Arial"/>
          <w:sz w:val="36"/>
          <w:szCs w:val="36"/>
          <w:u w:val="none"/>
        </w:rPr>
      </w:pPr>
    </w:p>
    <w:p w:rsidR="001032C8" w:rsidRPr="008E7086" w:rsidRDefault="00E56A7B" w:rsidP="00061D1D">
      <w:pPr>
        <w:pStyle w:val="Title"/>
        <w:rPr>
          <w:rFonts w:ascii="Arial" w:hAnsi="Arial" w:cs="Arial"/>
          <w:b w:val="0"/>
          <w:sz w:val="36"/>
          <w:szCs w:val="36"/>
        </w:rPr>
      </w:pPr>
      <w:r w:rsidRPr="008E7086">
        <w:rPr>
          <w:rFonts w:ascii="Arial" w:hAnsi="Arial" w:cs="Arial"/>
          <w:sz w:val="36"/>
          <w:szCs w:val="36"/>
          <w:u w:val="none"/>
        </w:rPr>
        <w:t>P</w:t>
      </w:r>
      <w:r w:rsidR="002C0E16" w:rsidRPr="008E7086">
        <w:rPr>
          <w:rFonts w:ascii="Arial" w:hAnsi="Arial" w:cs="Arial"/>
          <w:sz w:val="36"/>
          <w:szCs w:val="36"/>
          <w:u w:val="none"/>
        </w:rPr>
        <w:t>ECO ENERGY COMPANY</w:t>
      </w:r>
    </w:p>
    <w:p w:rsidR="001032C8" w:rsidRDefault="001032C8" w:rsidP="00905409">
      <w:pPr>
        <w:rPr>
          <w:rFonts w:ascii="Arial" w:hAnsi="Arial" w:cs="Arial"/>
          <w:b/>
          <w:sz w:val="36"/>
          <w:szCs w:val="36"/>
        </w:rPr>
      </w:pPr>
    </w:p>
    <w:p w:rsidR="006C01CA" w:rsidRDefault="006C01CA" w:rsidP="00905409">
      <w:pPr>
        <w:rPr>
          <w:rFonts w:ascii="Arial" w:hAnsi="Arial" w:cs="Arial"/>
          <w:b/>
          <w:sz w:val="36"/>
          <w:szCs w:val="36"/>
        </w:rPr>
      </w:pPr>
    </w:p>
    <w:p w:rsidR="006C01CA" w:rsidRDefault="006C01CA" w:rsidP="00905409">
      <w:pPr>
        <w:rPr>
          <w:rFonts w:ascii="Arial" w:hAnsi="Arial" w:cs="Arial"/>
          <w:b/>
          <w:sz w:val="36"/>
          <w:szCs w:val="36"/>
        </w:rPr>
      </w:pPr>
    </w:p>
    <w:p w:rsidR="006C01CA" w:rsidRDefault="006C01CA" w:rsidP="00905409">
      <w:pPr>
        <w:rPr>
          <w:rFonts w:ascii="Arial" w:hAnsi="Arial" w:cs="Arial"/>
          <w:b/>
          <w:sz w:val="36"/>
          <w:szCs w:val="36"/>
        </w:rPr>
      </w:pPr>
    </w:p>
    <w:p w:rsidR="004B4861" w:rsidRPr="008E7086" w:rsidRDefault="004B4861" w:rsidP="00905409">
      <w:pPr>
        <w:pStyle w:val="BodyText2"/>
        <w:tabs>
          <w:tab w:val="clear" w:pos="4680"/>
        </w:tabs>
        <w:rPr>
          <w:rFonts w:ascii="Arial" w:hAnsi="Arial" w:cs="Arial"/>
          <w:szCs w:val="36"/>
        </w:rPr>
      </w:pPr>
    </w:p>
    <w:p w:rsidR="006C01CA" w:rsidRDefault="006C01CA" w:rsidP="00905409">
      <w:pPr>
        <w:suppressAutoHyphens/>
        <w:rPr>
          <w:rFonts w:ascii="Arial" w:hAnsi="Arial" w:cs="Arial"/>
          <w:b/>
          <w:sz w:val="28"/>
          <w:szCs w:val="28"/>
        </w:rPr>
      </w:pPr>
    </w:p>
    <w:p w:rsidR="00F4717D" w:rsidRPr="008E7086" w:rsidRDefault="00554B9B" w:rsidP="00905409">
      <w:pPr>
        <w:suppressAutoHyphens/>
        <w:rPr>
          <w:rFonts w:ascii="Arial" w:hAnsi="Arial" w:cs="Arial"/>
          <w:b/>
          <w:sz w:val="28"/>
          <w:szCs w:val="28"/>
        </w:rPr>
      </w:pPr>
      <w:r w:rsidRPr="008E7086">
        <w:rPr>
          <w:rFonts w:ascii="Arial" w:hAnsi="Arial" w:cs="Arial"/>
          <w:b/>
          <w:sz w:val="28"/>
          <w:szCs w:val="28"/>
        </w:rPr>
        <w:t xml:space="preserve">REPORT ON THE </w:t>
      </w:r>
      <w:r w:rsidR="00410396">
        <w:rPr>
          <w:rFonts w:ascii="Arial" w:hAnsi="Arial" w:cs="Arial"/>
          <w:b/>
          <w:sz w:val="28"/>
          <w:szCs w:val="28"/>
        </w:rPr>
        <w:t>STATEMENTS OF</w:t>
      </w:r>
    </w:p>
    <w:p w:rsidR="00216F99" w:rsidRPr="008E7086" w:rsidRDefault="00216F99" w:rsidP="00905409">
      <w:pPr>
        <w:suppressAutoHyphens/>
        <w:rPr>
          <w:rFonts w:ascii="Arial" w:hAnsi="Arial" w:cs="Arial"/>
          <w:b/>
          <w:sz w:val="28"/>
          <w:szCs w:val="28"/>
        </w:rPr>
      </w:pPr>
    </w:p>
    <w:p w:rsidR="00216F99" w:rsidRPr="008E7086" w:rsidRDefault="00E56A7B" w:rsidP="00905409">
      <w:pPr>
        <w:suppressAutoHyphens/>
        <w:rPr>
          <w:rFonts w:ascii="Arial" w:hAnsi="Arial" w:cs="Arial"/>
          <w:b/>
          <w:sz w:val="28"/>
          <w:szCs w:val="28"/>
        </w:rPr>
      </w:pPr>
      <w:r w:rsidRPr="008E7086">
        <w:rPr>
          <w:rFonts w:ascii="Arial" w:hAnsi="Arial" w:cs="Arial"/>
          <w:b/>
          <w:sz w:val="28"/>
          <w:szCs w:val="28"/>
        </w:rPr>
        <w:t xml:space="preserve">GENERATION </w:t>
      </w:r>
      <w:r w:rsidR="00991813" w:rsidRPr="008E7086">
        <w:rPr>
          <w:rFonts w:ascii="Arial" w:hAnsi="Arial" w:cs="Arial"/>
          <w:b/>
          <w:sz w:val="28"/>
          <w:szCs w:val="28"/>
        </w:rPr>
        <w:t>SUPPLY</w:t>
      </w:r>
      <w:r w:rsidRPr="008E7086">
        <w:rPr>
          <w:rFonts w:ascii="Arial" w:hAnsi="Arial" w:cs="Arial"/>
          <w:b/>
          <w:sz w:val="28"/>
          <w:szCs w:val="28"/>
        </w:rPr>
        <w:t xml:space="preserve"> </w:t>
      </w:r>
      <w:r w:rsidR="00F852AE">
        <w:rPr>
          <w:rFonts w:ascii="Arial" w:hAnsi="Arial" w:cs="Arial"/>
          <w:b/>
          <w:sz w:val="28"/>
          <w:szCs w:val="28"/>
        </w:rPr>
        <w:t>ADJUSTMENT</w:t>
      </w:r>
    </w:p>
    <w:p w:rsidR="00061843" w:rsidRPr="008E7086" w:rsidRDefault="00554B9B" w:rsidP="00905409">
      <w:pPr>
        <w:suppressAutoHyphens/>
        <w:rPr>
          <w:rFonts w:ascii="Arial" w:hAnsi="Arial" w:cs="Arial"/>
          <w:sz w:val="28"/>
          <w:szCs w:val="28"/>
        </w:rPr>
      </w:pPr>
      <w:r w:rsidRPr="008E7086">
        <w:rPr>
          <w:rFonts w:ascii="Arial" w:hAnsi="Arial" w:cs="Arial"/>
          <w:sz w:val="28"/>
          <w:szCs w:val="28"/>
        </w:rPr>
        <w:t xml:space="preserve"> </w:t>
      </w:r>
    </w:p>
    <w:p w:rsidR="006C01CA" w:rsidRDefault="00554B9B" w:rsidP="00A11253">
      <w:pPr>
        <w:suppressAutoHyphens/>
        <w:rPr>
          <w:rFonts w:ascii="Arial" w:hAnsi="Arial" w:cs="Arial"/>
          <w:b/>
          <w:sz w:val="28"/>
          <w:szCs w:val="28"/>
        </w:rPr>
      </w:pPr>
      <w:r w:rsidRPr="008E7086">
        <w:rPr>
          <w:rFonts w:ascii="Arial" w:hAnsi="Arial" w:cs="Arial"/>
          <w:b/>
          <w:sz w:val="28"/>
          <w:szCs w:val="28"/>
        </w:rPr>
        <w:t xml:space="preserve">FOR THE </w:t>
      </w:r>
      <w:r w:rsidR="004166DD" w:rsidRPr="008E7086">
        <w:rPr>
          <w:rFonts w:ascii="Arial" w:hAnsi="Arial" w:cs="Arial"/>
          <w:b/>
          <w:sz w:val="28"/>
          <w:szCs w:val="28"/>
        </w:rPr>
        <w:t>TWELVE</w:t>
      </w:r>
      <w:r w:rsidR="006C7A89">
        <w:rPr>
          <w:rFonts w:ascii="Arial" w:hAnsi="Arial" w:cs="Arial"/>
          <w:b/>
          <w:sz w:val="28"/>
          <w:szCs w:val="28"/>
        </w:rPr>
        <w:t>-</w:t>
      </w:r>
      <w:r w:rsidR="00991813" w:rsidRPr="008E7086">
        <w:rPr>
          <w:rFonts w:ascii="Arial" w:hAnsi="Arial" w:cs="Arial"/>
          <w:b/>
          <w:sz w:val="28"/>
          <w:szCs w:val="28"/>
        </w:rPr>
        <w:t>MONTH</w:t>
      </w:r>
      <w:r w:rsidR="006C01CA">
        <w:rPr>
          <w:rFonts w:ascii="Arial" w:hAnsi="Arial" w:cs="Arial"/>
          <w:b/>
          <w:sz w:val="28"/>
          <w:szCs w:val="28"/>
        </w:rPr>
        <w:t xml:space="preserve"> PERIODS</w:t>
      </w:r>
      <w:r w:rsidR="00991813" w:rsidRPr="008E7086">
        <w:rPr>
          <w:rFonts w:ascii="Arial" w:hAnsi="Arial" w:cs="Arial"/>
          <w:b/>
          <w:sz w:val="28"/>
          <w:szCs w:val="28"/>
        </w:rPr>
        <w:t xml:space="preserve"> ENDED </w:t>
      </w:r>
    </w:p>
    <w:p w:rsidR="006C01CA" w:rsidRDefault="006C01CA" w:rsidP="00A11253">
      <w:pPr>
        <w:suppressAutoHyphens/>
        <w:rPr>
          <w:rFonts w:ascii="Arial" w:hAnsi="Arial" w:cs="Arial"/>
          <w:b/>
          <w:sz w:val="28"/>
          <w:szCs w:val="28"/>
        </w:rPr>
      </w:pPr>
    </w:p>
    <w:p w:rsidR="006C01CA" w:rsidRDefault="004166DD" w:rsidP="00A11253">
      <w:pPr>
        <w:suppressAutoHyphens/>
        <w:rPr>
          <w:rFonts w:ascii="Arial" w:hAnsi="Arial" w:cs="Arial"/>
          <w:b/>
          <w:sz w:val="28"/>
          <w:szCs w:val="28"/>
        </w:rPr>
      </w:pPr>
      <w:r w:rsidRPr="008E7086">
        <w:rPr>
          <w:rFonts w:ascii="Arial" w:hAnsi="Arial" w:cs="Arial"/>
          <w:b/>
          <w:sz w:val="28"/>
          <w:szCs w:val="28"/>
        </w:rPr>
        <w:t>DECEMBER</w:t>
      </w:r>
      <w:r w:rsidR="00A143F7" w:rsidRPr="008E7086">
        <w:rPr>
          <w:rFonts w:ascii="Arial" w:hAnsi="Arial" w:cs="Arial"/>
          <w:b/>
          <w:sz w:val="28"/>
          <w:szCs w:val="28"/>
        </w:rPr>
        <w:t xml:space="preserve"> 31</w:t>
      </w:r>
      <w:r w:rsidR="00991813" w:rsidRPr="008E7086">
        <w:rPr>
          <w:rFonts w:ascii="Arial" w:hAnsi="Arial" w:cs="Arial"/>
          <w:b/>
          <w:sz w:val="28"/>
          <w:szCs w:val="28"/>
        </w:rPr>
        <w:t>, 201</w:t>
      </w:r>
      <w:r w:rsidR="00834934">
        <w:rPr>
          <w:rFonts w:ascii="Arial" w:hAnsi="Arial" w:cs="Arial"/>
          <w:b/>
          <w:sz w:val="28"/>
          <w:szCs w:val="28"/>
        </w:rPr>
        <w:t>6</w:t>
      </w:r>
      <w:r w:rsidR="006C7A89">
        <w:rPr>
          <w:rFonts w:ascii="Arial" w:hAnsi="Arial" w:cs="Arial"/>
          <w:b/>
          <w:sz w:val="28"/>
          <w:szCs w:val="28"/>
        </w:rPr>
        <w:t xml:space="preserve"> </w:t>
      </w:r>
      <w:r w:rsidR="006C01CA">
        <w:rPr>
          <w:rFonts w:ascii="Arial" w:hAnsi="Arial" w:cs="Arial"/>
          <w:b/>
          <w:sz w:val="28"/>
          <w:szCs w:val="28"/>
        </w:rPr>
        <w:t xml:space="preserve">AND </w:t>
      </w:r>
      <w:r w:rsidR="00410396">
        <w:rPr>
          <w:rFonts w:ascii="Arial" w:hAnsi="Arial" w:cs="Arial"/>
          <w:b/>
          <w:sz w:val="28"/>
          <w:szCs w:val="28"/>
        </w:rPr>
        <w:t xml:space="preserve">DECEMBER 31, </w:t>
      </w:r>
      <w:r w:rsidR="006C01CA">
        <w:rPr>
          <w:rFonts w:ascii="Arial" w:hAnsi="Arial" w:cs="Arial"/>
          <w:b/>
          <w:sz w:val="28"/>
          <w:szCs w:val="28"/>
        </w:rPr>
        <w:t>201</w:t>
      </w:r>
      <w:r w:rsidR="00834934">
        <w:rPr>
          <w:rFonts w:ascii="Arial" w:hAnsi="Arial" w:cs="Arial"/>
          <w:b/>
          <w:sz w:val="28"/>
          <w:szCs w:val="28"/>
        </w:rPr>
        <w:t>5</w:t>
      </w:r>
    </w:p>
    <w:p w:rsidR="006C01CA" w:rsidRDefault="006C01CA" w:rsidP="00A11253">
      <w:pPr>
        <w:suppressAutoHyphens/>
        <w:rPr>
          <w:rFonts w:ascii="Arial" w:hAnsi="Arial" w:cs="Arial"/>
          <w:b/>
          <w:sz w:val="28"/>
          <w:szCs w:val="28"/>
        </w:rPr>
      </w:pPr>
    </w:p>
    <w:p w:rsidR="00A11253" w:rsidRPr="008E7086" w:rsidRDefault="00A11253" w:rsidP="00A11253">
      <w:pPr>
        <w:suppressAutoHyphens/>
        <w:rPr>
          <w:rFonts w:ascii="Arial" w:hAnsi="Arial" w:cs="Arial"/>
          <w:b/>
          <w:sz w:val="28"/>
          <w:szCs w:val="28"/>
        </w:rPr>
      </w:pPr>
      <w:r w:rsidRPr="008E7086">
        <w:rPr>
          <w:rFonts w:ascii="Arial" w:hAnsi="Arial" w:cs="Arial"/>
          <w:b/>
          <w:sz w:val="28"/>
          <w:szCs w:val="28"/>
        </w:rPr>
        <w:t xml:space="preserve"> </w:t>
      </w:r>
    </w:p>
    <w:p w:rsidR="00DC4DD6" w:rsidRPr="008E7086" w:rsidRDefault="00DC4DD6" w:rsidP="00216F99">
      <w:pPr>
        <w:suppressAutoHyphens/>
        <w:rPr>
          <w:rFonts w:ascii="Arial" w:hAnsi="Arial" w:cs="Arial"/>
          <w:b/>
          <w:sz w:val="28"/>
          <w:szCs w:val="28"/>
        </w:rPr>
      </w:pPr>
    </w:p>
    <w:p w:rsidR="001E14C1" w:rsidRPr="008E7086" w:rsidRDefault="00061843" w:rsidP="00216F99">
      <w:pPr>
        <w:suppressAutoHyphens/>
        <w:rPr>
          <w:rFonts w:ascii="Arial" w:hAnsi="Arial" w:cs="Arial"/>
          <w:sz w:val="28"/>
          <w:szCs w:val="28"/>
        </w:rPr>
      </w:pPr>
      <w:r w:rsidRPr="008E7086">
        <w:rPr>
          <w:rFonts w:ascii="Arial" w:hAnsi="Arial" w:cs="Arial"/>
          <w:b/>
          <w:sz w:val="28"/>
          <w:szCs w:val="28"/>
        </w:rPr>
        <w:t xml:space="preserve"> </w:t>
      </w:r>
    </w:p>
    <w:p w:rsidR="005D711E" w:rsidRDefault="005D711E"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F4A91" w:rsidRDefault="006F4A91" w:rsidP="00905409">
      <w:pPr>
        <w:tabs>
          <w:tab w:val="center" w:pos="4680"/>
        </w:tabs>
        <w:suppressAutoHyphens/>
        <w:rPr>
          <w:rFonts w:ascii="Arial" w:hAnsi="Arial" w:cs="Arial"/>
          <w:b/>
          <w:sz w:val="28"/>
          <w:szCs w:val="28"/>
        </w:rPr>
      </w:pPr>
    </w:p>
    <w:p w:rsidR="006C01CA" w:rsidRDefault="006C01CA" w:rsidP="000A6103">
      <w:pPr>
        <w:tabs>
          <w:tab w:val="center" w:pos="4680"/>
        </w:tabs>
        <w:suppressAutoHyphens/>
        <w:outlineLvl w:val="0"/>
        <w:rPr>
          <w:rFonts w:ascii="Arial" w:hAnsi="Arial" w:cs="Arial"/>
          <w:b/>
          <w:sz w:val="28"/>
          <w:szCs w:val="28"/>
        </w:rPr>
      </w:pPr>
    </w:p>
    <w:p w:rsidR="005D711E" w:rsidRPr="008E7086" w:rsidRDefault="005D711E" w:rsidP="000A6103">
      <w:pPr>
        <w:tabs>
          <w:tab w:val="center" w:pos="4680"/>
        </w:tabs>
        <w:suppressAutoHyphens/>
        <w:outlineLvl w:val="0"/>
        <w:rPr>
          <w:rFonts w:ascii="Arial" w:hAnsi="Arial" w:cs="Arial"/>
          <w:b/>
          <w:sz w:val="28"/>
          <w:szCs w:val="28"/>
        </w:rPr>
      </w:pPr>
      <w:r w:rsidRPr="008E7086">
        <w:rPr>
          <w:rFonts w:ascii="Arial" w:hAnsi="Arial" w:cs="Arial"/>
          <w:b/>
          <w:sz w:val="28"/>
          <w:szCs w:val="28"/>
        </w:rPr>
        <w:t>Pennsylvania Public Utility Commission</w:t>
      </w:r>
    </w:p>
    <w:p w:rsidR="005D711E" w:rsidRPr="008E7086" w:rsidRDefault="005D711E" w:rsidP="000A6103">
      <w:pPr>
        <w:tabs>
          <w:tab w:val="center" w:pos="4680"/>
        </w:tabs>
        <w:suppressAutoHyphens/>
        <w:rPr>
          <w:rFonts w:ascii="Arial" w:hAnsi="Arial" w:cs="Arial"/>
          <w:b/>
          <w:sz w:val="28"/>
          <w:szCs w:val="28"/>
        </w:rPr>
      </w:pPr>
      <w:r w:rsidRPr="008E7086">
        <w:rPr>
          <w:rFonts w:ascii="Arial" w:hAnsi="Arial" w:cs="Arial"/>
          <w:b/>
          <w:sz w:val="28"/>
          <w:szCs w:val="28"/>
        </w:rPr>
        <w:t xml:space="preserve">Bureau </w:t>
      </w:r>
      <w:r w:rsidR="006C7A89">
        <w:rPr>
          <w:rFonts w:ascii="Arial" w:hAnsi="Arial" w:cs="Arial"/>
          <w:b/>
          <w:sz w:val="28"/>
          <w:szCs w:val="28"/>
        </w:rPr>
        <w:t>o</w:t>
      </w:r>
      <w:r w:rsidRPr="008E7086">
        <w:rPr>
          <w:rFonts w:ascii="Arial" w:hAnsi="Arial" w:cs="Arial"/>
          <w:b/>
          <w:sz w:val="28"/>
          <w:szCs w:val="28"/>
        </w:rPr>
        <w:t>f Audits</w:t>
      </w:r>
    </w:p>
    <w:p w:rsidR="009F6861" w:rsidRPr="008E7086" w:rsidRDefault="006C7A89" w:rsidP="000A6103">
      <w:pPr>
        <w:tabs>
          <w:tab w:val="center" w:pos="4680"/>
        </w:tabs>
        <w:suppressAutoHyphens/>
        <w:rPr>
          <w:rFonts w:ascii="Arial" w:hAnsi="Arial" w:cs="Arial"/>
          <w:b/>
          <w:sz w:val="28"/>
          <w:szCs w:val="28"/>
        </w:rPr>
      </w:pPr>
      <w:r>
        <w:rPr>
          <w:rFonts w:ascii="Arial" w:hAnsi="Arial" w:cs="Arial"/>
          <w:b/>
          <w:sz w:val="28"/>
          <w:szCs w:val="28"/>
        </w:rPr>
        <w:t xml:space="preserve">November </w:t>
      </w:r>
      <w:r w:rsidR="003578BE">
        <w:rPr>
          <w:rFonts w:ascii="Arial" w:hAnsi="Arial" w:cs="Arial"/>
          <w:b/>
          <w:sz w:val="28"/>
          <w:szCs w:val="28"/>
        </w:rPr>
        <w:t>29</w:t>
      </w:r>
      <w:r w:rsidR="00116AA0" w:rsidRPr="008E7086">
        <w:rPr>
          <w:rFonts w:ascii="Arial" w:hAnsi="Arial" w:cs="Arial"/>
          <w:b/>
          <w:sz w:val="28"/>
          <w:szCs w:val="28"/>
        </w:rPr>
        <w:t>, 201</w:t>
      </w:r>
      <w:r w:rsidR="00834934">
        <w:rPr>
          <w:rFonts w:ascii="Arial" w:hAnsi="Arial" w:cs="Arial"/>
          <w:b/>
          <w:sz w:val="28"/>
          <w:szCs w:val="28"/>
        </w:rPr>
        <w:t>8</w:t>
      </w:r>
    </w:p>
    <w:p w:rsidR="00410396" w:rsidRDefault="00410396" w:rsidP="000A6103">
      <w:pPr>
        <w:tabs>
          <w:tab w:val="center" w:pos="4680"/>
        </w:tabs>
        <w:suppressAutoHyphens/>
        <w:rPr>
          <w:rFonts w:ascii="Arial" w:hAnsi="Arial" w:cs="Arial"/>
          <w:b/>
          <w:sz w:val="28"/>
          <w:szCs w:val="28"/>
        </w:rPr>
      </w:pPr>
    </w:p>
    <w:p w:rsidR="00DF7DC3" w:rsidRDefault="00C06521" w:rsidP="00905409">
      <w:pPr>
        <w:tabs>
          <w:tab w:val="center" w:pos="4680"/>
        </w:tabs>
        <w:suppressAutoHyphens/>
        <w:rPr>
          <w:rFonts w:ascii="Arial" w:hAnsi="Arial" w:cs="Arial"/>
          <w:b/>
          <w:sz w:val="36"/>
          <w:szCs w:val="36"/>
        </w:rPr>
      </w:pPr>
      <w:r w:rsidRPr="008E7086">
        <w:rPr>
          <w:rFonts w:ascii="Arial" w:hAnsi="Arial" w:cs="Arial"/>
          <w:b/>
          <w:sz w:val="28"/>
          <w:szCs w:val="28"/>
        </w:rPr>
        <w:t>Docket D-</w:t>
      </w:r>
      <w:r w:rsidR="00E56A7B" w:rsidRPr="008E7086">
        <w:rPr>
          <w:rFonts w:ascii="Arial" w:hAnsi="Arial" w:cs="Arial"/>
          <w:b/>
          <w:sz w:val="28"/>
          <w:szCs w:val="28"/>
        </w:rPr>
        <w:t>201</w:t>
      </w:r>
      <w:r w:rsidR="00834934">
        <w:rPr>
          <w:rFonts w:ascii="Arial" w:hAnsi="Arial" w:cs="Arial"/>
          <w:b/>
          <w:sz w:val="28"/>
          <w:szCs w:val="28"/>
        </w:rPr>
        <w:t>7</w:t>
      </w:r>
      <w:r w:rsidR="00E56A7B" w:rsidRPr="008E7086">
        <w:rPr>
          <w:rFonts w:ascii="Arial" w:hAnsi="Arial" w:cs="Arial"/>
          <w:b/>
          <w:sz w:val="28"/>
          <w:szCs w:val="28"/>
        </w:rPr>
        <w:t>-</w:t>
      </w:r>
      <w:r w:rsidR="00834934" w:rsidRPr="00834934">
        <w:rPr>
          <w:rFonts w:ascii="Arial" w:hAnsi="Arial" w:cs="Arial"/>
          <w:b/>
          <w:sz w:val="28"/>
          <w:szCs w:val="28"/>
        </w:rPr>
        <w:t>2625621</w:t>
      </w:r>
    </w:p>
    <w:p w:rsidR="00410396" w:rsidRPr="008E7086" w:rsidRDefault="00410396" w:rsidP="00905409">
      <w:pPr>
        <w:tabs>
          <w:tab w:val="center" w:pos="4680"/>
        </w:tabs>
        <w:suppressAutoHyphens/>
        <w:rPr>
          <w:rFonts w:ascii="Arial" w:hAnsi="Arial" w:cs="Arial"/>
          <w:b/>
          <w:sz w:val="36"/>
          <w:szCs w:val="36"/>
        </w:rPr>
        <w:sectPr w:rsidR="00410396" w:rsidRPr="008E7086" w:rsidSect="006331B5">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vAlign w:val="center"/>
          <w:noEndnote/>
        </w:sectPr>
      </w:pPr>
    </w:p>
    <w:p w:rsidR="005D711E" w:rsidRPr="0077381F" w:rsidRDefault="005D711E" w:rsidP="00905409">
      <w:pPr>
        <w:tabs>
          <w:tab w:val="left" w:pos="180"/>
          <w:tab w:val="left" w:pos="270"/>
        </w:tabs>
        <w:suppressAutoHyphens/>
        <w:rPr>
          <w:rFonts w:ascii="Arial" w:hAnsi="Arial" w:cs="Arial"/>
          <w:szCs w:val="24"/>
        </w:rPr>
      </w:pPr>
    </w:p>
    <w:p w:rsidR="005D711E" w:rsidRPr="00095A87" w:rsidRDefault="00095A87" w:rsidP="00905409">
      <w:pPr>
        <w:rPr>
          <w:rFonts w:ascii="Arial" w:hAnsi="Arial" w:cs="Arial"/>
          <w:b/>
          <w:sz w:val="26"/>
          <w:szCs w:val="26"/>
        </w:rPr>
      </w:pPr>
      <w:r>
        <w:rPr>
          <w:rFonts w:ascii="Arial" w:hAnsi="Arial" w:cs="Arial"/>
          <w:b/>
          <w:sz w:val="26"/>
          <w:szCs w:val="26"/>
        </w:rPr>
        <w:t xml:space="preserve">Table of </w:t>
      </w:r>
      <w:r w:rsidR="005D711E" w:rsidRPr="00095A87">
        <w:rPr>
          <w:rFonts w:ascii="Arial" w:hAnsi="Arial" w:cs="Arial"/>
          <w:b/>
          <w:sz w:val="26"/>
          <w:szCs w:val="26"/>
        </w:rPr>
        <w:t>Contents</w:t>
      </w:r>
    </w:p>
    <w:p w:rsidR="00101D15" w:rsidRPr="008E7086" w:rsidRDefault="00101D15" w:rsidP="00905409">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8E7086" w:rsidTr="001657F8">
        <w:tc>
          <w:tcPr>
            <w:tcW w:w="8478" w:type="dxa"/>
            <w:tcBorders>
              <w:top w:val="nil"/>
              <w:left w:val="nil"/>
              <w:bottom w:val="nil"/>
              <w:right w:val="nil"/>
            </w:tcBorders>
          </w:tcPr>
          <w:p w:rsidR="005D711E" w:rsidRPr="008E7086" w:rsidRDefault="005D711E"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8E7086" w:rsidRDefault="005D711E" w:rsidP="00905409">
            <w:pPr>
              <w:pStyle w:val="EndnoteText"/>
              <w:tabs>
                <w:tab w:val="left" w:pos="-720"/>
                <w:tab w:val="left" w:pos="180"/>
                <w:tab w:val="left" w:pos="270"/>
              </w:tabs>
              <w:suppressAutoHyphens/>
              <w:rPr>
                <w:rFonts w:ascii="Arial" w:hAnsi="Arial" w:cs="Arial"/>
                <w:b/>
                <w:szCs w:val="24"/>
                <w:u w:val="single"/>
                <w:lang w:val="en-US" w:eastAsia="en-US"/>
              </w:rPr>
            </w:pPr>
            <w:r w:rsidRPr="008E7086">
              <w:rPr>
                <w:rFonts w:ascii="Arial" w:hAnsi="Arial" w:cs="Arial"/>
                <w:b/>
                <w:szCs w:val="24"/>
                <w:u w:val="single"/>
                <w:lang w:val="en-US" w:eastAsia="en-US"/>
              </w:rPr>
              <w:t>Page</w:t>
            </w:r>
          </w:p>
        </w:tc>
      </w:tr>
      <w:tr w:rsidR="00423EEA" w:rsidRPr="008E7086" w:rsidTr="001657F8">
        <w:tc>
          <w:tcPr>
            <w:tcW w:w="8478" w:type="dxa"/>
            <w:tcBorders>
              <w:top w:val="nil"/>
              <w:left w:val="nil"/>
              <w:bottom w:val="nil"/>
              <w:right w:val="nil"/>
            </w:tcBorders>
          </w:tcPr>
          <w:p w:rsidR="00423EEA" w:rsidRPr="008E7086" w:rsidRDefault="00423EEA"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423EEA" w:rsidRPr="008E7086" w:rsidRDefault="00423EEA" w:rsidP="00905409">
            <w:pPr>
              <w:pStyle w:val="EndnoteText"/>
              <w:tabs>
                <w:tab w:val="right" w:pos="562"/>
              </w:tabs>
              <w:suppressAutoHyphens/>
              <w:rPr>
                <w:rFonts w:ascii="Arial" w:hAnsi="Arial" w:cs="Arial"/>
                <w:szCs w:val="24"/>
                <w:lang w:val="en-US" w:eastAsia="en-US"/>
              </w:rPr>
            </w:pPr>
          </w:p>
        </w:tc>
      </w:tr>
      <w:tr w:rsidR="0025330E" w:rsidRPr="008E7086" w:rsidTr="001657F8">
        <w:tc>
          <w:tcPr>
            <w:tcW w:w="8478" w:type="dxa"/>
            <w:tcBorders>
              <w:top w:val="nil"/>
              <w:left w:val="nil"/>
              <w:bottom w:val="nil"/>
              <w:right w:val="nil"/>
            </w:tcBorders>
          </w:tcPr>
          <w:p w:rsidR="0025330E" w:rsidRPr="00E161D7" w:rsidRDefault="0025330E" w:rsidP="0025330E">
            <w:pPr>
              <w:tabs>
                <w:tab w:val="left" w:pos="-720"/>
                <w:tab w:val="left" w:pos="360"/>
                <w:tab w:val="left" w:pos="1440"/>
                <w:tab w:val="left" w:pos="9180"/>
              </w:tabs>
              <w:suppressAutoHyphens/>
              <w:jc w:val="left"/>
              <w:rPr>
                <w:rFonts w:ascii="Arial" w:hAnsi="Arial" w:cs="Arial"/>
                <w:b/>
                <w:szCs w:val="24"/>
              </w:rPr>
            </w:pPr>
            <w:r w:rsidRPr="00E161D7">
              <w:rPr>
                <w:rFonts w:ascii="Arial" w:hAnsi="Arial" w:cs="Arial"/>
                <w:b/>
                <w:szCs w:val="24"/>
              </w:rPr>
              <w:t xml:space="preserve">BACKGROUND </w:t>
            </w:r>
          </w:p>
        </w:tc>
        <w:tc>
          <w:tcPr>
            <w:tcW w:w="1098" w:type="dxa"/>
            <w:tcBorders>
              <w:top w:val="nil"/>
              <w:left w:val="nil"/>
              <w:bottom w:val="nil"/>
              <w:right w:val="nil"/>
            </w:tcBorders>
          </w:tcPr>
          <w:p w:rsidR="0025330E" w:rsidRPr="008E7086" w:rsidRDefault="0025330E" w:rsidP="0025330E">
            <w:pPr>
              <w:pStyle w:val="EndnoteText"/>
              <w:tabs>
                <w:tab w:val="right" w:pos="562"/>
              </w:tabs>
              <w:suppressAutoHyphens/>
              <w:rPr>
                <w:rFonts w:ascii="Arial" w:hAnsi="Arial" w:cs="Arial"/>
                <w:szCs w:val="24"/>
                <w:lang w:val="en-US" w:eastAsia="en-US"/>
              </w:rPr>
            </w:pPr>
            <w:r>
              <w:rPr>
                <w:rFonts w:ascii="Arial" w:hAnsi="Arial" w:cs="Arial"/>
                <w:szCs w:val="24"/>
                <w:lang w:val="en-US" w:eastAsia="en-US"/>
              </w:rPr>
              <w:t>1</w:t>
            </w:r>
          </w:p>
        </w:tc>
      </w:tr>
      <w:tr w:rsidR="0025330E" w:rsidRPr="008E7086" w:rsidTr="001657F8">
        <w:tc>
          <w:tcPr>
            <w:tcW w:w="8478" w:type="dxa"/>
            <w:tcBorders>
              <w:top w:val="nil"/>
              <w:left w:val="nil"/>
              <w:bottom w:val="nil"/>
              <w:right w:val="nil"/>
            </w:tcBorders>
          </w:tcPr>
          <w:p w:rsidR="0025330E" w:rsidRPr="008E7086" w:rsidRDefault="0025330E" w:rsidP="0025330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25330E" w:rsidRPr="008E7086" w:rsidRDefault="0025330E" w:rsidP="0025330E">
            <w:pPr>
              <w:pStyle w:val="EndnoteText"/>
              <w:tabs>
                <w:tab w:val="right" w:pos="562"/>
              </w:tabs>
              <w:suppressAutoHyphens/>
              <w:rPr>
                <w:rFonts w:ascii="Arial" w:hAnsi="Arial" w:cs="Arial"/>
                <w:szCs w:val="24"/>
                <w:lang w:val="en-US" w:eastAsia="en-US"/>
              </w:rPr>
            </w:pPr>
          </w:p>
        </w:tc>
      </w:tr>
      <w:tr w:rsidR="0025330E" w:rsidRPr="008E7086" w:rsidTr="001657F8">
        <w:tc>
          <w:tcPr>
            <w:tcW w:w="8478" w:type="dxa"/>
            <w:tcBorders>
              <w:top w:val="nil"/>
              <w:left w:val="nil"/>
              <w:bottom w:val="nil"/>
              <w:right w:val="nil"/>
            </w:tcBorders>
          </w:tcPr>
          <w:p w:rsidR="0025330E" w:rsidRPr="00E161D7" w:rsidRDefault="0025330E" w:rsidP="0025330E">
            <w:pPr>
              <w:tabs>
                <w:tab w:val="left" w:pos="-720"/>
                <w:tab w:val="left" w:pos="180"/>
                <w:tab w:val="left" w:pos="270"/>
              </w:tabs>
              <w:suppressAutoHyphens/>
              <w:jc w:val="left"/>
              <w:rPr>
                <w:rFonts w:ascii="Arial" w:hAnsi="Arial" w:cs="Arial"/>
                <w:b/>
                <w:szCs w:val="24"/>
              </w:rPr>
            </w:pPr>
            <w:r w:rsidRPr="00E161D7">
              <w:rPr>
                <w:rFonts w:ascii="Arial" w:hAnsi="Arial" w:cs="Arial"/>
                <w:b/>
                <w:szCs w:val="24"/>
              </w:rPr>
              <w:t xml:space="preserve">FINANCIAL REVIEW </w:t>
            </w:r>
          </w:p>
        </w:tc>
        <w:tc>
          <w:tcPr>
            <w:tcW w:w="1098" w:type="dxa"/>
            <w:tcBorders>
              <w:top w:val="nil"/>
              <w:left w:val="nil"/>
              <w:bottom w:val="nil"/>
              <w:right w:val="nil"/>
            </w:tcBorders>
          </w:tcPr>
          <w:p w:rsidR="0025330E" w:rsidRPr="008E7086" w:rsidRDefault="0025330E" w:rsidP="0025330E">
            <w:pPr>
              <w:pStyle w:val="EndnoteText"/>
              <w:tabs>
                <w:tab w:val="right" w:pos="562"/>
              </w:tabs>
              <w:suppressAutoHyphens/>
              <w:rPr>
                <w:rFonts w:ascii="Arial" w:hAnsi="Arial" w:cs="Arial"/>
                <w:szCs w:val="24"/>
                <w:lang w:val="en-US" w:eastAsia="en-US"/>
              </w:rPr>
            </w:pPr>
          </w:p>
        </w:tc>
      </w:tr>
      <w:tr w:rsidR="0025330E" w:rsidRPr="008E7086" w:rsidTr="001657F8">
        <w:tc>
          <w:tcPr>
            <w:tcW w:w="8478" w:type="dxa"/>
            <w:tcBorders>
              <w:top w:val="nil"/>
              <w:left w:val="nil"/>
              <w:bottom w:val="nil"/>
              <w:right w:val="nil"/>
            </w:tcBorders>
          </w:tcPr>
          <w:p w:rsidR="0025330E" w:rsidRPr="008E7086" w:rsidRDefault="0025330E" w:rsidP="0025330E">
            <w:pPr>
              <w:pStyle w:val="EndnoteText"/>
              <w:tabs>
                <w:tab w:val="left" w:pos="-720"/>
                <w:tab w:val="left" w:pos="360"/>
                <w:tab w:val="left" w:pos="540"/>
                <w:tab w:val="left" w:pos="810"/>
                <w:tab w:val="left" w:pos="9180"/>
              </w:tabs>
              <w:suppressAutoHyphens/>
              <w:jc w:val="left"/>
              <w:rPr>
                <w:rFonts w:ascii="Arial" w:hAnsi="Arial" w:cs="Arial"/>
                <w:szCs w:val="24"/>
                <w:lang w:val="en-US" w:eastAsia="en-US"/>
              </w:rPr>
            </w:pPr>
          </w:p>
        </w:tc>
        <w:tc>
          <w:tcPr>
            <w:tcW w:w="1098" w:type="dxa"/>
            <w:tcBorders>
              <w:top w:val="nil"/>
              <w:left w:val="nil"/>
              <w:bottom w:val="nil"/>
              <w:right w:val="nil"/>
            </w:tcBorders>
          </w:tcPr>
          <w:p w:rsidR="0025330E" w:rsidRPr="008E7086" w:rsidRDefault="0025330E" w:rsidP="0025330E">
            <w:pPr>
              <w:pStyle w:val="EndnoteText"/>
              <w:tabs>
                <w:tab w:val="right" w:pos="562"/>
              </w:tabs>
              <w:suppressAutoHyphens/>
              <w:rPr>
                <w:rFonts w:ascii="Arial" w:hAnsi="Arial" w:cs="Arial"/>
                <w:szCs w:val="24"/>
                <w:lang w:val="en-US" w:eastAsia="en-US"/>
              </w:rPr>
            </w:pPr>
          </w:p>
        </w:tc>
      </w:tr>
      <w:tr w:rsidR="0025330E" w:rsidRPr="008E7086" w:rsidTr="000A6103">
        <w:tc>
          <w:tcPr>
            <w:tcW w:w="8478" w:type="dxa"/>
            <w:tcBorders>
              <w:top w:val="nil"/>
              <w:left w:val="nil"/>
              <w:bottom w:val="nil"/>
              <w:right w:val="nil"/>
            </w:tcBorders>
          </w:tcPr>
          <w:p w:rsidR="0025330E" w:rsidRPr="008E7086" w:rsidRDefault="0025330E" w:rsidP="0025330E">
            <w:pPr>
              <w:pStyle w:val="EndnoteText"/>
              <w:tabs>
                <w:tab w:val="left" w:pos="-720"/>
                <w:tab w:val="left" w:pos="360"/>
                <w:tab w:val="left" w:pos="540"/>
                <w:tab w:val="left" w:pos="810"/>
                <w:tab w:val="left" w:pos="9180"/>
              </w:tabs>
              <w:suppressAutoHyphens/>
              <w:jc w:val="left"/>
              <w:rPr>
                <w:rFonts w:ascii="Arial" w:hAnsi="Arial" w:cs="Arial"/>
                <w:szCs w:val="24"/>
                <w:lang w:val="en-US" w:eastAsia="en-US"/>
              </w:rPr>
            </w:pPr>
            <w:r w:rsidRPr="008E7086">
              <w:rPr>
                <w:rFonts w:ascii="Arial" w:hAnsi="Arial" w:cs="Arial"/>
                <w:szCs w:val="24"/>
                <w:lang w:val="en-US" w:eastAsia="en-US"/>
              </w:rPr>
              <w:tab/>
              <w:t>Independent Auditor's Report</w:t>
            </w:r>
          </w:p>
        </w:tc>
        <w:tc>
          <w:tcPr>
            <w:tcW w:w="1098" w:type="dxa"/>
            <w:tcBorders>
              <w:top w:val="nil"/>
              <w:left w:val="nil"/>
              <w:bottom w:val="nil"/>
              <w:right w:val="nil"/>
            </w:tcBorders>
            <w:vAlign w:val="bottom"/>
          </w:tcPr>
          <w:p w:rsidR="0025330E" w:rsidRPr="008E7086" w:rsidRDefault="0025330E" w:rsidP="0025330E">
            <w:pPr>
              <w:pStyle w:val="EndnoteText"/>
              <w:tabs>
                <w:tab w:val="right" w:pos="562"/>
              </w:tabs>
              <w:suppressAutoHyphens/>
              <w:rPr>
                <w:rFonts w:ascii="Arial" w:hAnsi="Arial" w:cs="Arial"/>
                <w:szCs w:val="24"/>
                <w:lang w:val="en-US" w:eastAsia="en-US"/>
              </w:rPr>
            </w:pPr>
            <w:r>
              <w:rPr>
                <w:rFonts w:ascii="Arial" w:hAnsi="Arial" w:cs="Arial"/>
                <w:szCs w:val="24"/>
                <w:lang w:val="en-US" w:eastAsia="en-US"/>
              </w:rPr>
              <w:t>2</w:t>
            </w:r>
          </w:p>
        </w:tc>
      </w:tr>
      <w:tr w:rsidR="0025330E" w:rsidRPr="008E7086" w:rsidTr="000A6103">
        <w:tc>
          <w:tcPr>
            <w:tcW w:w="8478" w:type="dxa"/>
            <w:tcBorders>
              <w:top w:val="nil"/>
              <w:left w:val="nil"/>
              <w:bottom w:val="nil"/>
              <w:right w:val="nil"/>
            </w:tcBorders>
          </w:tcPr>
          <w:p w:rsidR="0025330E" w:rsidRPr="008E7086" w:rsidRDefault="0025330E" w:rsidP="0025330E">
            <w:pPr>
              <w:pStyle w:val="EndnoteText"/>
              <w:tabs>
                <w:tab w:val="left" w:pos="9180"/>
              </w:tabs>
              <w:suppressAutoHyphens/>
              <w:ind w:left="360"/>
              <w:jc w:val="left"/>
              <w:rPr>
                <w:rFonts w:ascii="Arial" w:hAnsi="Arial" w:cs="Arial"/>
                <w:szCs w:val="24"/>
                <w:lang w:val="en-US" w:eastAsia="en-US"/>
              </w:rPr>
            </w:pPr>
          </w:p>
          <w:p w:rsidR="0025330E" w:rsidRPr="008E7086" w:rsidRDefault="0025330E" w:rsidP="0025330E">
            <w:pPr>
              <w:pStyle w:val="EndnoteText"/>
              <w:tabs>
                <w:tab w:val="left" w:pos="9180"/>
              </w:tabs>
              <w:suppressAutoHyphens/>
              <w:ind w:left="360"/>
              <w:jc w:val="left"/>
              <w:rPr>
                <w:rFonts w:ascii="Arial" w:hAnsi="Arial" w:cs="Arial"/>
                <w:szCs w:val="24"/>
                <w:lang w:val="en-US" w:eastAsia="en-US"/>
              </w:rPr>
            </w:pPr>
            <w:r>
              <w:rPr>
                <w:rFonts w:ascii="Arial" w:hAnsi="Arial" w:cs="Arial"/>
                <w:szCs w:val="24"/>
                <w:lang w:val="en-US" w:eastAsia="en-US"/>
              </w:rPr>
              <w:t xml:space="preserve">Condensed </w:t>
            </w:r>
            <w:r w:rsidRPr="008E7086">
              <w:rPr>
                <w:rFonts w:ascii="Arial" w:hAnsi="Arial" w:cs="Arial"/>
                <w:szCs w:val="24"/>
                <w:lang w:val="en-US" w:eastAsia="en-US"/>
              </w:rPr>
              <w:t xml:space="preserve">Statement of Generation Supply Adjustment (GSA) Over/(Under) Collections (Section 1307(e)) </w:t>
            </w:r>
            <w:r w:rsidR="00996C6F">
              <w:rPr>
                <w:rFonts w:ascii="Arial" w:hAnsi="Arial" w:cs="Arial"/>
                <w:szCs w:val="24"/>
                <w:lang w:val="en-US" w:eastAsia="en-US"/>
              </w:rPr>
              <w:t>f</w:t>
            </w:r>
            <w:r w:rsidRPr="008E7086">
              <w:rPr>
                <w:rFonts w:ascii="Arial" w:hAnsi="Arial" w:cs="Arial"/>
                <w:szCs w:val="24"/>
                <w:lang w:val="en-US" w:eastAsia="en-US"/>
              </w:rPr>
              <w:t xml:space="preserve">or </w:t>
            </w:r>
            <w:r w:rsidR="00996C6F">
              <w:rPr>
                <w:rFonts w:ascii="Arial" w:hAnsi="Arial" w:cs="Arial"/>
                <w:szCs w:val="24"/>
                <w:lang w:val="en-US" w:eastAsia="en-US"/>
              </w:rPr>
              <w:t>t</w:t>
            </w:r>
            <w:r w:rsidRPr="008E7086">
              <w:rPr>
                <w:rFonts w:ascii="Arial" w:hAnsi="Arial" w:cs="Arial"/>
                <w:szCs w:val="24"/>
                <w:lang w:val="en-US" w:eastAsia="en-US"/>
              </w:rPr>
              <w:t xml:space="preserve">he </w:t>
            </w:r>
            <w:r w:rsidR="006F4A91">
              <w:rPr>
                <w:rFonts w:ascii="Arial" w:hAnsi="Arial" w:cs="Arial"/>
                <w:szCs w:val="24"/>
                <w:lang w:val="en-US" w:eastAsia="en-US"/>
              </w:rPr>
              <w:t>t</w:t>
            </w:r>
            <w:r w:rsidRPr="008E7086">
              <w:rPr>
                <w:rFonts w:ascii="Arial" w:hAnsi="Arial" w:cs="Arial"/>
                <w:szCs w:val="24"/>
                <w:lang w:val="en-US" w:eastAsia="en-US"/>
              </w:rPr>
              <w:t xml:space="preserve">welve </w:t>
            </w:r>
            <w:r w:rsidR="006F4A91">
              <w:rPr>
                <w:rFonts w:ascii="Arial" w:hAnsi="Arial" w:cs="Arial"/>
                <w:szCs w:val="24"/>
                <w:lang w:val="en-US" w:eastAsia="en-US"/>
              </w:rPr>
              <w:t>m</w:t>
            </w:r>
            <w:r>
              <w:rPr>
                <w:rFonts w:ascii="Arial" w:hAnsi="Arial" w:cs="Arial"/>
                <w:szCs w:val="24"/>
                <w:lang w:val="en-US" w:eastAsia="en-US"/>
              </w:rPr>
              <w:t>onths</w:t>
            </w:r>
            <w:r w:rsidR="004F039E">
              <w:rPr>
                <w:rFonts w:ascii="Arial" w:hAnsi="Arial" w:cs="Arial"/>
                <w:szCs w:val="24"/>
                <w:lang w:val="en-US" w:eastAsia="en-US"/>
              </w:rPr>
              <w:t xml:space="preserve"> e</w:t>
            </w:r>
            <w:r>
              <w:rPr>
                <w:rFonts w:ascii="Arial" w:hAnsi="Arial" w:cs="Arial"/>
                <w:szCs w:val="24"/>
                <w:lang w:val="en-US" w:eastAsia="en-US"/>
              </w:rPr>
              <w:t xml:space="preserve">nded </w:t>
            </w:r>
            <w:r w:rsidRPr="008E7086">
              <w:rPr>
                <w:rFonts w:ascii="Arial" w:hAnsi="Arial" w:cs="Arial"/>
                <w:szCs w:val="24"/>
                <w:lang w:val="en-US" w:eastAsia="en-US"/>
              </w:rPr>
              <w:t>December 31, 201</w:t>
            </w:r>
            <w:r>
              <w:rPr>
                <w:rFonts w:ascii="Arial" w:hAnsi="Arial" w:cs="Arial"/>
                <w:szCs w:val="24"/>
                <w:lang w:val="en-US" w:eastAsia="en-US"/>
              </w:rPr>
              <w:t>6</w:t>
            </w: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p>
          <w:p w:rsidR="0025330E" w:rsidRPr="008E7086" w:rsidRDefault="0025330E" w:rsidP="0025330E">
            <w:pPr>
              <w:rPr>
                <w:rFonts w:ascii="Arial" w:hAnsi="Arial" w:cs="Arial"/>
                <w:szCs w:val="24"/>
              </w:rPr>
            </w:pPr>
          </w:p>
          <w:p w:rsidR="0025330E" w:rsidRPr="008E7086" w:rsidRDefault="0025330E" w:rsidP="0025330E">
            <w:pPr>
              <w:rPr>
                <w:rFonts w:ascii="Arial" w:hAnsi="Arial" w:cs="Arial"/>
                <w:szCs w:val="24"/>
              </w:rPr>
            </w:pPr>
          </w:p>
          <w:p w:rsidR="0025330E" w:rsidRPr="008E7086" w:rsidRDefault="0025330E" w:rsidP="0025330E">
            <w:pPr>
              <w:rPr>
                <w:rFonts w:ascii="Arial" w:hAnsi="Arial" w:cs="Arial"/>
                <w:szCs w:val="24"/>
              </w:rPr>
            </w:pPr>
            <w:r>
              <w:rPr>
                <w:rFonts w:ascii="Arial" w:hAnsi="Arial" w:cs="Arial"/>
                <w:szCs w:val="24"/>
              </w:rPr>
              <w:t>4</w:t>
            </w:r>
          </w:p>
        </w:tc>
      </w:tr>
      <w:tr w:rsidR="0025330E" w:rsidRPr="008E7086" w:rsidTr="007D7C40">
        <w:tc>
          <w:tcPr>
            <w:tcW w:w="8478" w:type="dxa"/>
            <w:tcBorders>
              <w:top w:val="nil"/>
              <w:left w:val="nil"/>
              <w:bottom w:val="nil"/>
              <w:right w:val="nil"/>
            </w:tcBorders>
          </w:tcPr>
          <w:p w:rsidR="0025330E" w:rsidRPr="008E7086" w:rsidRDefault="0025330E" w:rsidP="0025330E">
            <w:pPr>
              <w:pStyle w:val="EndnoteText"/>
              <w:tabs>
                <w:tab w:val="left" w:pos="9180"/>
              </w:tabs>
              <w:suppressAutoHyphens/>
              <w:ind w:left="360"/>
              <w:jc w:val="left"/>
              <w:rPr>
                <w:rFonts w:ascii="Arial" w:hAnsi="Arial" w:cs="Arial"/>
                <w:szCs w:val="24"/>
                <w:lang w:val="en-US" w:eastAsia="en-US"/>
              </w:rPr>
            </w:pPr>
          </w:p>
          <w:p w:rsidR="0025330E" w:rsidRPr="008E7086" w:rsidRDefault="0025330E" w:rsidP="0025330E">
            <w:pPr>
              <w:pStyle w:val="EndnoteText"/>
              <w:tabs>
                <w:tab w:val="left" w:pos="9180"/>
              </w:tabs>
              <w:suppressAutoHyphens/>
              <w:ind w:left="360"/>
              <w:jc w:val="left"/>
              <w:rPr>
                <w:rFonts w:ascii="Arial" w:hAnsi="Arial" w:cs="Arial"/>
                <w:szCs w:val="24"/>
                <w:lang w:val="en-US" w:eastAsia="en-US"/>
              </w:rPr>
            </w:pPr>
            <w:r>
              <w:rPr>
                <w:rFonts w:ascii="Arial" w:hAnsi="Arial" w:cs="Arial"/>
                <w:szCs w:val="24"/>
                <w:lang w:val="en-US" w:eastAsia="en-US"/>
              </w:rPr>
              <w:t xml:space="preserve">Condensed </w:t>
            </w:r>
            <w:r w:rsidRPr="008E7086">
              <w:rPr>
                <w:rFonts w:ascii="Arial" w:hAnsi="Arial" w:cs="Arial"/>
                <w:szCs w:val="24"/>
                <w:lang w:val="en-US" w:eastAsia="en-US"/>
              </w:rPr>
              <w:t xml:space="preserve">Statement of Generation Supply Adjustment (GSA) Over/(Under) Collections (Section 1307(e)) </w:t>
            </w:r>
            <w:r w:rsidR="00996C6F">
              <w:rPr>
                <w:rFonts w:ascii="Arial" w:hAnsi="Arial" w:cs="Arial"/>
                <w:szCs w:val="24"/>
                <w:lang w:val="en-US" w:eastAsia="en-US"/>
              </w:rPr>
              <w:t>f</w:t>
            </w:r>
            <w:r w:rsidRPr="008E7086">
              <w:rPr>
                <w:rFonts w:ascii="Arial" w:hAnsi="Arial" w:cs="Arial"/>
                <w:szCs w:val="24"/>
                <w:lang w:val="en-US" w:eastAsia="en-US"/>
              </w:rPr>
              <w:t xml:space="preserve">or </w:t>
            </w:r>
            <w:r w:rsidR="00996C6F">
              <w:rPr>
                <w:rFonts w:ascii="Arial" w:hAnsi="Arial" w:cs="Arial"/>
                <w:szCs w:val="24"/>
                <w:lang w:val="en-US" w:eastAsia="en-US"/>
              </w:rPr>
              <w:t>t</w:t>
            </w:r>
            <w:r w:rsidRPr="008E7086">
              <w:rPr>
                <w:rFonts w:ascii="Arial" w:hAnsi="Arial" w:cs="Arial"/>
                <w:szCs w:val="24"/>
                <w:lang w:val="en-US" w:eastAsia="en-US"/>
              </w:rPr>
              <w:t xml:space="preserve">he </w:t>
            </w:r>
            <w:r w:rsidR="006F4A91">
              <w:rPr>
                <w:rFonts w:ascii="Arial" w:hAnsi="Arial" w:cs="Arial"/>
                <w:szCs w:val="24"/>
                <w:lang w:val="en-US" w:eastAsia="en-US"/>
              </w:rPr>
              <w:t>t</w:t>
            </w:r>
            <w:r w:rsidRPr="008E7086">
              <w:rPr>
                <w:rFonts w:ascii="Arial" w:hAnsi="Arial" w:cs="Arial"/>
                <w:szCs w:val="24"/>
                <w:lang w:val="en-US" w:eastAsia="en-US"/>
              </w:rPr>
              <w:t xml:space="preserve">welve </w:t>
            </w:r>
            <w:r w:rsidR="006F4A91">
              <w:rPr>
                <w:rFonts w:ascii="Arial" w:hAnsi="Arial" w:cs="Arial"/>
                <w:szCs w:val="24"/>
                <w:lang w:val="en-US" w:eastAsia="en-US"/>
              </w:rPr>
              <w:t>m</w:t>
            </w:r>
            <w:r>
              <w:rPr>
                <w:rFonts w:ascii="Arial" w:hAnsi="Arial" w:cs="Arial"/>
                <w:szCs w:val="24"/>
                <w:lang w:val="en-US" w:eastAsia="en-US"/>
              </w:rPr>
              <w:t xml:space="preserve">onths </w:t>
            </w:r>
            <w:r w:rsidR="004F039E">
              <w:rPr>
                <w:rFonts w:ascii="Arial" w:hAnsi="Arial" w:cs="Arial"/>
                <w:szCs w:val="24"/>
                <w:lang w:val="en-US" w:eastAsia="en-US"/>
              </w:rPr>
              <w:t>e</w:t>
            </w:r>
            <w:r>
              <w:rPr>
                <w:rFonts w:ascii="Arial" w:hAnsi="Arial" w:cs="Arial"/>
                <w:szCs w:val="24"/>
                <w:lang w:val="en-US" w:eastAsia="en-US"/>
              </w:rPr>
              <w:t xml:space="preserve">nded </w:t>
            </w:r>
            <w:r w:rsidRPr="008E7086">
              <w:rPr>
                <w:rFonts w:ascii="Arial" w:hAnsi="Arial" w:cs="Arial"/>
                <w:szCs w:val="24"/>
                <w:lang w:val="en-US" w:eastAsia="en-US"/>
              </w:rPr>
              <w:t>December 31, 201</w:t>
            </w:r>
            <w:r>
              <w:rPr>
                <w:rFonts w:ascii="Arial" w:hAnsi="Arial" w:cs="Arial"/>
                <w:szCs w:val="24"/>
                <w:lang w:val="en-US" w:eastAsia="en-US"/>
              </w:rPr>
              <w:t>5</w:t>
            </w: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p>
          <w:p w:rsidR="0025330E" w:rsidRPr="008E7086" w:rsidRDefault="0025330E" w:rsidP="0025330E">
            <w:pPr>
              <w:rPr>
                <w:rFonts w:ascii="Arial" w:hAnsi="Arial" w:cs="Arial"/>
                <w:szCs w:val="24"/>
              </w:rPr>
            </w:pPr>
          </w:p>
          <w:p w:rsidR="0025330E" w:rsidRPr="008E7086" w:rsidRDefault="0025330E" w:rsidP="0025330E">
            <w:pPr>
              <w:rPr>
                <w:rFonts w:ascii="Arial" w:hAnsi="Arial" w:cs="Arial"/>
                <w:szCs w:val="24"/>
              </w:rPr>
            </w:pPr>
          </w:p>
          <w:p w:rsidR="0025330E" w:rsidRPr="008E7086" w:rsidRDefault="0025330E" w:rsidP="0025330E">
            <w:pPr>
              <w:rPr>
                <w:rFonts w:ascii="Arial" w:hAnsi="Arial" w:cs="Arial"/>
                <w:szCs w:val="24"/>
              </w:rPr>
            </w:pPr>
            <w:r>
              <w:rPr>
                <w:rFonts w:ascii="Arial" w:hAnsi="Arial" w:cs="Arial"/>
                <w:szCs w:val="24"/>
              </w:rPr>
              <w:t>5</w:t>
            </w:r>
          </w:p>
        </w:tc>
      </w:tr>
      <w:tr w:rsidR="0025330E" w:rsidRPr="008E7086" w:rsidTr="007D7C40">
        <w:tc>
          <w:tcPr>
            <w:tcW w:w="8478" w:type="dxa"/>
            <w:tcBorders>
              <w:top w:val="nil"/>
              <w:left w:val="nil"/>
              <w:bottom w:val="nil"/>
              <w:right w:val="nil"/>
            </w:tcBorders>
          </w:tcPr>
          <w:p w:rsidR="0025330E" w:rsidRPr="008E7086" w:rsidRDefault="0025330E" w:rsidP="0025330E">
            <w:pPr>
              <w:pStyle w:val="EndnoteText"/>
              <w:tabs>
                <w:tab w:val="left" w:pos="9180"/>
              </w:tabs>
              <w:suppressAutoHyphens/>
              <w:ind w:left="360"/>
              <w:jc w:val="left"/>
              <w:rPr>
                <w:rFonts w:ascii="Arial" w:hAnsi="Arial" w:cs="Arial"/>
                <w:szCs w:val="24"/>
                <w:lang w:val="en-US" w:eastAsia="en-US"/>
              </w:rPr>
            </w:pP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p>
        </w:tc>
      </w:tr>
      <w:tr w:rsidR="0025330E" w:rsidRPr="008E7086" w:rsidTr="000A6103">
        <w:tc>
          <w:tcPr>
            <w:tcW w:w="8478" w:type="dxa"/>
            <w:tcBorders>
              <w:top w:val="nil"/>
              <w:left w:val="nil"/>
              <w:bottom w:val="nil"/>
              <w:right w:val="nil"/>
            </w:tcBorders>
          </w:tcPr>
          <w:p w:rsidR="0025330E" w:rsidRPr="008E7086" w:rsidRDefault="0025330E" w:rsidP="0025330E">
            <w:pPr>
              <w:tabs>
                <w:tab w:val="left" w:pos="390"/>
                <w:tab w:val="left" w:pos="9180"/>
              </w:tabs>
              <w:suppressAutoHyphens/>
              <w:ind w:left="360"/>
              <w:jc w:val="left"/>
              <w:rPr>
                <w:rFonts w:ascii="Arial" w:hAnsi="Arial" w:cs="Arial"/>
                <w:szCs w:val="24"/>
              </w:rPr>
            </w:pPr>
            <w:r w:rsidRPr="008E7086">
              <w:rPr>
                <w:rFonts w:ascii="Arial" w:hAnsi="Arial" w:cs="Arial"/>
                <w:szCs w:val="24"/>
              </w:rPr>
              <w:t xml:space="preserve">Notes </w:t>
            </w:r>
            <w:r w:rsidR="00996C6F">
              <w:rPr>
                <w:rFonts w:ascii="Arial" w:hAnsi="Arial" w:cs="Arial"/>
                <w:szCs w:val="24"/>
              </w:rPr>
              <w:t>t</w:t>
            </w:r>
            <w:r w:rsidRPr="008E7086">
              <w:rPr>
                <w:rFonts w:ascii="Arial" w:hAnsi="Arial" w:cs="Arial"/>
                <w:szCs w:val="24"/>
              </w:rPr>
              <w:t xml:space="preserve">o </w:t>
            </w:r>
            <w:r w:rsidR="00996C6F">
              <w:rPr>
                <w:rFonts w:ascii="Arial" w:hAnsi="Arial" w:cs="Arial"/>
                <w:szCs w:val="24"/>
              </w:rPr>
              <w:t>t</w:t>
            </w:r>
            <w:r w:rsidRPr="008E7086">
              <w:rPr>
                <w:rFonts w:ascii="Arial" w:hAnsi="Arial" w:cs="Arial"/>
                <w:szCs w:val="24"/>
              </w:rPr>
              <w:t>he Financial Statement</w:t>
            </w:r>
            <w:r>
              <w:rPr>
                <w:rFonts w:ascii="Arial" w:hAnsi="Arial" w:cs="Arial"/>
                <w:szCs w:val="24"/>
              </w:rPr>
              <w:t>s</w:t>
            </w: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r>
              <w:rPr>
                <w:rFonts w:ascii="Arial" w:hAnsi="Arial" w:cs="Arial"/>
                <w:szCs w:val="24"/>
              </w:rPr>
              <w:t>6</w:t>
            </w:r>
          </w:p>
        </w:tc>
      </w:tr>
      <w:tr w:rsidR="0025330E" w:rsidRPr="008E7086" w:rsidTr="000A6103">
        <w:tc>
          <w:tcPr>
            <w:tcW w:w="8478" w:type="dxa"/>
            <w:tcBorders>
              <w:top w:val="nil"/>
              <w:left w:val="nil"/>
              <w:bottom w:val="nil"/>
              <w:right w:val="nil"/>
            </w:tcBorders>
          </w:tcPr>
          <w:p w:rsidR="0025330E" w:rsidRPr="008E7086" w:rsidRDefault="0025330E" w:rsidP="0025330E">
            <w:pPr>
              <w:tabs>
                <w:tab w:val="left" w:pos="390"/>
                <w:tab w:val="left" w:pos="9180"/>
              </w:tabs>
              <w:suppressAutoHyphens/>
              <w:ind w:left="360"/>
              <w:jc w:val="left"/>
              <w:rPr>
                <w:rFonts w:ascii="Arial" w:hAnsi="Arial" w:cs="Arial"/>
                <w:szCs w:val="24"/>
              </w:rPr>
            </w:pP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p>
        </w:tc>
      </w:tr>
      <w:tr w:rsidR="0025330E" w:rsidRPr="008E7086" w:rsidTr="00C50F32">
        <w:trPr>
          <w:trHeight w:val="252"/>
        </w:trPr>
        <w:tc>
          <w:tcPr>
            <w:tcW w:w="8478" w:type="dxa"/>
            <w:tcBorders>
              <w:top w:val="nil"/>
              <w:left w:val="nil"/>
              <w:bottom w:val="nil"/>
              <w:right w:val="nil"/>
            </w:tcBorders>
          </w:tcPr>
          <w:p w:rsidR="0025330E" w:rsidRPr="00C50F32" w:rsidRDefault="0025330E" w:rsidP="0025330E">
            <w:pPr>
              <w:tabs>
                <w:tab w:val="left" w:pos="-720"/>
                <w:tab w:val="left" w:pos="360"/>
                <w:tab w:val="left" w:pos="1440"/>
                <w:tab w:val="left" w:pos="9180"/>
              </w:tabs>
              <w:suppressAutoHyphens/>
              <w:jc w:val="left"/>
              <w:rPr>
                <w:rFonts w:ascii="Arial" w:hAnsi="Arial" w:cs="Arial"/>
                <w:szCs w:val="24"/>
              </w:rPr>
            </w:pPr>
            <w:r>
              <w:rPr>
                <w:rFonts w:ascii="Arial" w:hAnsi="Arial" w:cs="Arial"/>
                <w:szCs w:val="24"/>
              </w:rPr>
              <w:t xml:space="preserve">     Prior Period’s Audit Finding</w:t>
            </w: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r>
              <w:rPr>
                <w:rFonts w:ascii="Arial" w:hAnsi="Arial" w:cs="Arial"/>
                <w:szCs w:val="24"/>
              </w:rPr>
              <w:t>7</w:t>
            </w:r>
          </w:p>
        </w:tc>
      </w:tr>
      <w:tr w:rsidR="0025330E" w:rsidRPr="008E7086" w:rsidTr="00C50F32">
        <w:trPr>
          <w:trHeight w:val="252"/>
        </w:trPr>
        <w:tc>
          <w:tcPr>
            <w:tcW w:w="8478" w:type="dxa"/>
            <w:tcBorders>
              <w:top w:val="nil"/>
              <w:left w:val="nil"/>
              <w:bottom w:val="nil"/>
              <w:right w:val="nil"/>
            </w:tcBorders>
          </w:tcPr>
          <w:p w:rsidR="0025330E" w:rsidRDefault="0025330E" w:rsidP="0025330E">
            <w:pPr>
              <w:tabs>
                <w:tab w:val="left" w:pos="-720"/>
                <w:tab w:val="left" w:pos="360"/>
                <w:tab w:val="left" w:pos="1440"/>
                <w:tab w:val="left" w:pos="9180"/>
              </w:tabs>
              <w:suppressAutoHyphens/>
              <w:jc w:val="left"/>
              <w:rPr>
                <w:rFonts w:ascii="Arial" w:hAnsi="Arial" w:cs="Arial"/>
                <w:szCs w:val="24"/>
              </w:rPr>
            </w:pPr>
          </w:p>
          <w:p w:rsidR="0025330E" w:rsidRDefault="0025330E" w:rsidP="0025330E">
            <w:pPr>
              <w:tabs>
                <w:tab w:val="left" w:pos="-720"/>
                <w:tab w:val="left" w:pos="360"/>
                <w:tab w:val="left" w:pos="1440"/>
                <w:tab w:val="left" w:pos="9180"/>
              </w:tabs>
              <w:suppressAutoHyphens/>
              <w:jc w:val="left"/>
              <w:rPr>
                <w:rFonts w:ascii="Arial" w:hAnsi="Arial" w:cs="Arial"/>
                <w:szCs w:val="24"/>
              </w:rPr>
            </w:pPr>
            <w:r>
              <w:rPr>
                <w:rFonts w:ascii="Arial" w:hAnsi="Arial" w:cs="Arial"/>
                <w:szCs w:val="24"/>
              </w:rPr>
              <w:t xml:space="preserve">     Current Period’s Audit Finding</w:t>
            </w: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r>
              <w:rPr>
                <w:rFonts w:ascii="Arial" w:hAnsi="Arial" w:cs="Arial"/>
                <w:szCs w:val="24"/>
              </w:rPr>
              <w:t>7</w:t>
            </w:r>
          </w:p>
        </w:tc>
      </w:tr>
      <w:tr w:rsidR="0025330E" w:rsidRPr="008E7086" w:rsidTr="000A6103">
        <w:trPr>
          <w:trHeight w:val="252"/>
        </w:trPr>
        <w:tc>
          <w:tcPr>
            <w:tcW w:w="8478" w:type="dxa"/>
            <w:tcBorders>
              <w:top w:val="nil"/>
              <w:left w:val="nil"/>
              <w:bottom w:val="nil"/>
              <w:right w:val="nil"/>
            </w:tcBorders>
          </w:tcPr>
          <w:p w:rsidR="0025330E" w:rsidRPr="008E7086" w:rsidRDefault="0025330E" w:rsidP="0025330E">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p>
        </w:tc>
      </w:tr>
      <w:tr w:rsidR="0025330E" w:rsidRPr="008E7086" w:rsidTr="000A6103">
        <w:trPr>
          <w:trHeight w:val="252"/>
        </w:trPr>
        <w:tc>
          <w:tcPr>
            <w:tcW w:w="8478" w:type="dxa"/>
            <w:tcBorders>
              <w:top w:val="nil"/>
              <w:left w:val="nil"/>
              <w:bottom w:val="nil"/>
              <w:right w:val="nil"/>
            </w:tcBorders>
          </w:tcPr>
          <w:p w:rsidR="0025330E" w:rsidRPr="00E161D7" w:rsidRDefault="0025330E" w:rsidP="0025330E">
            <w:pPr>
              <w:tabs>
                <w:tab w:val="left" w:pos="-720"/>
                <w:tab w:val="left" w:pos="360"/>
                <w:tab w:val="left" w:pos="1440"/>
                <w:tab w:val="left" w:pos="9180"/>
              </w:tabs>
              <w:suppressAutoHyphens/>
              <w:jc w:val="left"/>
              <w:rPr>
                <w:rFonts w:ascii="Arial" w:hAnsi="Arial" w:cs="Arial"/>
                <w:b/>
                <w:szCs w:val="24"/>
              </w:rPr>
            </w:pPr>
            <w:r w:rsidRPr="00E161D7">
              <w:rPr>
                <w:rFonts w:ascii="Arial" w:hAnsi="Arial" w:cs="Arial"/>
                <w:b/>
                <w:szCs w:val="24"/>
              </w:rPr>
              <w:t>ACKNOWLEDGEMENT</w:t>
            </w:r>
          </w:p>
        </w:tc>
        <w:tc>
          <w:tcPr>
            <w:tcW w:w="1098" w:type="dxa"/>
            <w:tcBorders>
              <w:top w:val="nil"/>
              <w:left w:val="nil"/>
              <w:bottom w:val="nil"/>
              <w:right w:val="nil"/>
            </w:tcBorders>
            <w:vAlign w:val="bottom"/>
          </w:tcPr>
          <w:p w:rsidR="0025330E" w:rsidRPr="008E7086" w:rsidRDefault="0025330E" w:rsidP="0025330E">
            <w:pPr>
              <w:tabs>
                <w:tab w:val="right" w:pos="562"/>
              </w:tabs>
              <w:suppressAutoHyphens/>
              <w:rPr>
                <w:rFonts w:ascii="Arial" w:hAnsi="Arial" w:cs="Arial"/>
                <w:szCs w:val="24"/>
              </w:rPr>
            </w:pPr>
            <w:r>
              <w:rPr>
                <w:rFonts w:ascii="Arial" w:hAnsi="Arial" w:cs="Arial"/>
                <w:szCs w:val="24"/>
              </w:rPr>
              <w:t>8</w:t>
            </w:r>
          </w:p>
        </w:tc>
      </w:tr>
    </w:tbl>
    <w:p w:rsidR="00FB1D8B" w:rsidRPr="008E7086" w:rsidRDefault="000A6103" w:rsidP="00905409">
      <w:pPr>
        <w:tabs>
          <w:tab w:val="center" w:pos="4680"/>
        </w:tabs>
        <w:suppressAutoHyphen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FB1D8B" w:rsidRPr="008E7086" w:rsidRDefault="00FB1D8B" w:rsidP="00905409">
      <w:pPr>
        <w:tabs>
          <w:tab w:val="center" w:pos="4680"/>
        </w:tabs>
        <w:suppressAutoHyphens/>
        <w:rPr>
          <w:rFonts w:ascii="Arial" w:hAnsi="Arial" w:cs="Arial"/>
          <w:szCs w:val="24"/>
        </w:rPr>
      </w:pPr>
    </w:p>
    <w:p w:rsidR="005D711E" w:rsidRPr="008E7086" w:rsidRDefault="005D711E" w:rsidP="00905409">
      <w:pPr>
        <w:tabs>
          <w:tab w:val="center" w:pos="4680"/>
        </w:tabs>
        <w:suppressAutoHyphens/>
        <w:rPr>
          <w:rFonts w:ascii="Arial" w:hAnsi="Arial" w:cs="Arial"/>
          <w:szCs w:val="24"/>
        </w:rPr>
      </w:pPr>
    </w:p>
    <w:p w:rsidR="00592663" w:rsidRPr="008E7086" w:rsidRDefault="00592663" w:rsidP="00905409">
      <w:pPr>
        <w:tabs>
          <w:tab w:val="center" w:pos="4680"/>
        </w:tabs>
        <w:suppressAutoHyphens/>
        <w:rPr>
          <w:rFonts w:ascii="Arial" w:hAnsi="Arial" w:cs="Arial"/>
          <w:szCs w:val="24"/>
        </w:rPr>
      </w:pPr>
    </w:p>
    <w:p w:rsidR="00B8416D" w:rsidRPr="008E7086" w:rsidRDefault="00B8416D" w:rsidP="00905409">
      <w:pPr>
        <w:tabs>
          <w:tab w:val="center" w:pos="4680"/>
        </w:tabs>
        <w:suppressAutoHyphens/>
        <w:rPr>
          <w:rFonts w:ascii="Arial" w:hAnsi="Arial" w:cs="Arial"/>
          <w:szCs w:val="24"/>
        </w:rPr>
      </w:pPr>
    </w:p>
    <w:p w:rsidR="0067451B" w:rsidRPr="008E7086" w:rsidRDefault="0067451B" w:rsidP="00905409">
      <w:pPr>
        <w:tabs>
          <w:tab w:val="center" w:pos="4680"/>
        </w:tabs>
        <w:suppressAutoHyphens/>
        <w:rPr>
          <w:rFonts w:ascii="Arial" w:hAnsi="Arial" w:cs="Arial"/>
          <w:szCs w:val="24"/>
        </w:rPr>
      </w:pPr>
    </w:p>
    <w:p w:rsidR="00901A3F" w:rsidRPr="008E7086" w:rsidRDefault="00901A3F" w:rsidP="00905409">
      <w:pPr>
        <w:tabs>
          <w:tab w:val="left" w:pos="-1440"/>
          <w:tab w:val="left" w:pos="-720"/>
        </w:tabs>
        <w:suppressAutoHyphens/>
        <w:rPr>
          <w:rFonts w:ascii="Arial" w:hAnsi="Arial" w:cs="Arial"/>
          <w:szCs w:val="24"/>
        </w:rPr>
      </w:pPr>
    </w:p>
    <w:p w:rsidR="00B613F2" w:rsidRPr="008E7086" w:rsidRDefault="00B613F2" w:rsidP="00905409">
      <w:pPr>
        <w:tabs>
          <w:tab w:val="center" w:pos="4680"/>
        </w:tabs>
        <w:suppressAutoHyphens/>
        <w:rPr>
          <w:rFonts w:ascii="Arial" w:hAnsi="Arial" w:cs="Arial"/>
          <w:szCs w:val="24"/>
        </w:rPr>
        <w:sectPr w:rsidR="00B613F2" w:rsidRPr="008E7086" w:rsidSect="002835E1">
          <w:headerReference w:type="even" r:id="rId14"/>
          <w:headerReference w:type="default" r:id="rId15"/>
          <w:footerReference w:type="default" r:id="rId16"/>
          <w:headerReference w:type="first" r:id="rId17"/>
          <w:endnotePr>
            <w:numFmt w:val="decimal"/>
          </w:endnotePr>
          <w:pgSz w:w="12240" w:h="15840" w:code="1"/>
          <w:pgMar w:top="1440" w:right="1440" w:bottom="1152" w:left="1440" w:header="720" w:footer="720" w:gutter="0"/>
          <w:pgNumType w:start="1"/>
          <w:cols w:space="720"/>
          <w:noEndnote/>
          <w:docGrid w:linePitch="326"/>
        </w:sectPr>
      </w:pPr>
    </w:p>
    <w:p w:rsidR="00EA615D" w:rsidRDefault="00EA615D" w:rsidP="00EA615D">
      <w:pPr>
        <w:tabs>
          <w:tab w:val="left" w:pos="-1440"/>
          <w:tab w:val="left" w:pos="-720"/>
        </w:tabs>
        <w:suppressAutoHyphens/>
        <w:rPr>
          <w:rFonts w:ascii="Arial" w:hAnsi="Arial" w:cs="Arial"/>
          <w:b/>
          <w:sz w:val="26"/>
          <w:szCs w:val="26"/>
        </w:rPr>
      </w:pPr>
      <w:r w:rsidRPr="004A2035">
        <w:rPr>
          <w:rFonts w:ascii="Arial" w:hAnsi="Arial" w:cs="Arial"/>
          <w:b/>
          <w:sz w:val="26"/>
          <w:szCs w:val="26"/>
        </w:rPr>
        <w:lastRenderedPageBreak/>
        <w:t>Background</w:t>
      </w:r>
    </w:p>
    <w:p w:rsidR="00EA615D" w:rsidRDefault="00EA615D" w:rsidP="00EA615D">
      <w:pPr>
        <w:tabs>
          <w:tab w:val="left" w:pos="-1440"/>
          <w:tab w:val="left" w:pos="-720"/>
        </w:tabs>
        <w:suppressAutoHyphens/>
        <w:rPr>
          <w:rFonts w:ascii="Arial" w:hAnsi="Arial" w:cs="Arial"/>
          <w:b/>
          <w:sz w:val="26"/>
          <w:szCs w:val="26"/>
        </w:rPr>
      </w:pPr>
    </w:p>
    <w:p w:rsidR="00B222A4" w:rsidRDefault="00B222A4" w:rsidP="007F100F">
      <w:pPr>
        <w:ind w:firstLine="720"/>
        <w:jc w:val="left"/>
        <w:rPr>
          <w:rFonts w:ascii="Arial" w:hAnsi="Arial" w:cs="Arial"/>
        </w:rPr>
      </w:pPr>
      <w:r w:rsidRPr="00406891">
        <w:rPr>
          <w:rFonts w:ascii="Arial" w:hAnsi="Arial" w:cs="Arial"/>
        </w:rPr>
        <w:t xml:space="preserve">PECO is </w:t>
      </w:r>
      <w:r>
        <w:rPr>
          <w:rFonts w:ascii="Arial" w:hAnsi="Arial" w:cs="Arial"/>
        </w:rPr>
        <w:t xml:space="preserve">a company </w:t>
      </w:r>
      <w:r w:rsidRPr="00406891">
        <w:rPr>
          <w:rFonts w:ascii="Arial" w:hAnsi="Arial" w:cs="Arial"/>
        </w:rPr>
        <w:t>principally engaged in providing transmission and distribution of electric and natural gas services to retail customers in southeastern Pennsylvania.</w:t>
      </w:r>
      <w:r>
        <w:rPr>
          <w:rFonts w:ascii="Arial" w:hAnsi="Arial" w:cs="Arial"/>
        </w:rPr>
        <w:t xml:space="preserve"> </w:t>
      </w:r>
      <w:r w:rsidRPr="00406891">
        <w:rPr>
          <w:rFonts w:ascii="Arial" w:hAnsi="Arial" w:cs="Arial"/>
        </w:rPr>
        <w:t xml:space="preserve"> </w:t>
      </w:r>
      <w:r>
        <w:rPr>
          <w:rFonts w:ascii="Arial" w:hAnsi="Arial" w:cs="Arial"/>
        </w:rPr>
        <w:t>A</w:t>
      </w:r>
      <w:r w:rsidRPr="00406891">
        <w:rPr>
          <w:rFonts w:ascii="Arial" w:hAnsi="Arial" w:cs="Arial"/>
        </w:rPr>
        <w:t>s an electric distribution and natural gas distribution company</w:t>
      </w:r>
      <w:r>
        <w:rPr>
          <w:rFonts w:ascii="Arial" w:hAnsi="Arial" w:cs="Arial"/>
        </w:rPr>
        <w:t>, PECO’s operations</w:t>
      </w:r>
      <w:r w:rsidRPr="00406891">
        <w:rPr>
          <w:rFonts w:ascii="Arial" w:hAnsi="Arial" w:cs="Arial"/>
        </w:rPr>
        <w:t xml:space="preserve"> are subject to regulation by the Commission. </w:t>
      </w:r>
      <w:r>
        <w:rPr>
          <w:rFonts w:ascii="Arial" w:hAnsi="Arial" w:cs="Arial"/>
        </w:rPr>
        <w:t xml:space="preserve"> </w:t>
      </w:r>
      <w:r w:rsidRPr="00406891">
        <w:rPr>
          <w:rFonts w:ascii="Arial" w:hAnsi="Arial" w:cs="Arial"/>
        </w:rPr>
        <w:t>PECO is a wholly</w:t>
      </w:r>
      <w:r>
        <w:rPr>
          <w:rFonts w:ascii="Arial" w:hAnsi="Arial" w:cs="Arial"/>
        </w:rPr>
        <w:noBreakHyphen/>
      </w:r>
      <w:r w:rsidRPr="00406891">
        <w:rPr>
          <w:rFonts w:ascii="Arial" w:hAnsi="Arial" w:cs="Arial"/>
        </w:rPr>
        <w:t>owned subsidiary of Exelon Corporation headquartered in Chicago, Illinois.</w:t>
      </w:r>
      <w:r>
        <w:rPr>
          <w:rFonts w:ascii="Arial" w:hAnsi="Arial" w:cs="Arial"/>
        </w:rPr>
        <w:t xml:space="preserve"> </w:t>
      </w:r>
      <w:r w:rsidRPr="00406891">
        <w:rPr>
          <w:rFonts w:ascii="Arial" w:hAnsi="Arial" w:cs="Arial"/>
        </w:rPr>
        <w:t xml:space="preserve"> </w:t>
      </w:r>
      <w:r>
        <w:rPr>
          <w:rFonts w:ascii="Arial" w:hAnsi="Arial" w:cs="Arial"/>
        </w:rPr>
        <w:t xml:space="preserve">According to </w:t>
      </w:r>
      <w:r>
        <w:rPr>
          <w:rFonts w:ascii="Arial" w:hAnsi="Arial" w:cs="Arial"/>
          <w:color w:val="000000"/>
        </w:rPr>
        <w:t xml:space="preserve">PECO’s annual reports filed with the PUC, for the years </w:t>
      </w:r>
      <w:r w:rsidR="007F100F">
        <w:rPr>
          <w:rFonts w:ascii="Arial" w:hAnsi="Arial" w:cs="Arial"/>
          <w:color w:val="000000"/>
        </w:rPr>
        <w:t xml:space="preserve">2016 and </w:t>
      </w:r>
      <w:r>
        <w:rPr>
          <w:rFonts w:ascii="Arial" w:hAnsi="Arial" w:cs="Arial"/>
          <w:color w:val="000000"/>
        </w:rPr>
        <w:t xml:space="preserve">2015, PECO’s total </w:t>
      </w:r>
      <w:r w:rsidRPr="00E113B3">
        <w:rPr>
          <w:rFonts w:ascii="Arial" w:hAnsi="Arial" w:cs="Arial"/>
        </w:rPr>
        <w:t>electric distribution revenues</w:t>
      </w:r>
      <w:r>
        <w:rPr>
          <w:rFonts w:ascii="Arial" w:hAnsi="Arial" w:cs="Arial"/>
        </w:rPr>
        <w:t xml:space="preserve">, including default service sales, from customers were      </w:t>
      </w:r>
      <w:r w:rsidR="00E9682F">
        <w:rPr>
          <w:rFonts w:ascii="Arial" w:hAnsi="Arial" w:cs="Arial"/>
        </w:rPr>
        <w:t xml:space="preserve">$2,328,457,273 and </w:t>
      </w:r>
      <w:r>
        <w:rPr>
          <w:rFonts w:ascii="Arial" w:hAnsi="Arial" w:cs="Arial"/>
        </w:rPr>
        <w:t>$2,281,526,387; respectively.</w:t>
      </w:r>
    </w:p>
    <w:p w:rsidR="00B222A4" w:rsidRDefault="00B222A4" w:rsidP="007F100F">
      <w:pPr>
        <w:ind w:firstLine="720"/>
        <w:jc w:val="left"/>
        <w:rPr>
          <w:rFonts w:ascii="Arial" w:hAnsi="Arial" w:cs="Arial"/>
        </w:rPr>
      </w:pPr>
    </w:p>
    <w:p w:rsidR="00B222A4" w:rsidRDefault="00B222A4" w:rsidP="007F100F">
      <w:pPr>
        <w:jc w:val="left"/>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1,900 square miles with a population of approximately </w:t>
      </w:r>
      <w:r>
        <w:rPr>
          <w:rFonts w:ascii="Arial" w:hAnsi="Arial" w:cs="Arial"/>
        </w:rPr>
        <w:t>4</w:t>
      </w:r>
      <w:r w:rsidRPr="000740FE">
        <w:rPr>
          <w:rFonts w:ascii="Arial" w:hAnsi="Arial" w:cs="Arial"/>
        </w:rPr>
        <w:t xml:space="preserve"> </w:t>
      </w:r>
      <w:r w:rsidRPr="000E03E3">
        <w:rPr>
          <w:rFonts w:ascii="Arial" w:hAnsi="Arial" w:cs="Arial"/>
        </w:rPr>
        <w:t xml:space="preserve">million, including </w:t>
      </w:r>
      <w:r w:rsidRPr="000740FE">
        <w:rPr>
          <w:rFonts w:ascii="Arial" w:hAnsi="Arial" w:cs="Arial"/>
        </w:rPr>
        <w:t>1.</w:t>
      </w:r>
      <w:r>
        <w:rPr>
          <w:rFonts w:ascii="Arial" w:hAnsi="Arial" w:cs="Arial"/>
        </w:rPr>
        <w:t>6</w:t>
      </w:r>
      <w:r w:rsidRPr="000740FE">
        <w:rPr>
          <w:rFonts w:ascii="Arial" w:hAnsi="Arial" w:cs="Arial"/>
        </w:rPr>
        <w:t xml:space="preserve"> </w:t>
      </w:r>
      <w:r w:rsidRPr="000E03E3">
        <w:rPr>
          <w:rFonts w:ascii="Arial" w:hAnsi="Arial" w:cs="Arial"/>
        </w:rPr>
        <w:t xml:space="preserve">million in the city of Philadelphia.  During </w:t>
      </w:r>
      <w:r w:rsidRPr="000740FE">
        <w:rPr>
          <w:rFonts w:ascii="Arial" w:hAnsi="Arial" w:cs="Arial"/>
        </w:rPr>
        <w:t>201</w:t>
      </w:r>
      <w:r>
        <w:rPr>
          <w:rFonts w:ascii="Arial" w:hAnsi="Arial" w:cs="Arial"/>
        </w:rPr>
        <w:t>5</w:t>
      </w:r>
      <w:r w:rsidRPr="000E03E3">
        <w:rPr>
          <w:rFonts w:ascii="Arial" w:hAnsi="Arial" w:cs="Arial"/>
        </w:rPr>
        <w:t>, PECO delivered electricity to approximately 1</w:t>
      </w:r>
      <w:r>
        <w:rPr>
          <w:rFonts w:ascii="Arial" w:hAnsi="Arial" w:cs="Arial"/>
        </w:rPr>
        <w:t>.6 million</w:t>
      </w:r>
      <w:r w:rsidRPr="000E03E3">
        <w:rPr>
          <w:rFonts w:ascii="Arial" w:hAnsi="Arial" w:cs="Arial"/>
        </w:rPr>
        <w:t xml:space="preserve"> residential, commercial</w:t>
      </w:r>
      <w:r>
        <w:rPr>
          <w:rFonts w:ascii="Arial" w:hAnsi="Arial" w:cs="Arial"/>
        </w:rPr>
        <w:t>,</w:t>
      </w:r>
      <w:r w:rsidRPr="000E03E3">
        <w:rPr>
          <w:rFonts w:ascii="Arial" w:hAnsi="Arial" w:cs="Arial"/>
        </w:rPr>
        <w:t xml:space="preserve"> and industrial customers</w:t>
      </w:r>
      <w:r>
        <w:rPr>
          <w:rFonts w:ascii="Arial" w:hAnsi="Arial" w:cs="Arial"/>
        </w:rPr>
        <w:t>.</w:t>
      </w:r>
    </w:p>
    <w:p w:rsidR="00EA615D" w:rsidRPr="004A2035" w:rsidRDefault="00EA615D" w:rsidP="00EA615D">
      <w:pPr>
        <w:tabs>
          <w:tab w:val="left" w:pos="-1440"/>
          <w:tab w:val="left" w:pos="-720"/>
        </w:tabs>
        <w:suppressAutoHyphens/>
        <w:rPr>
          <w:rFonts w:ascii="Arial" w:hAnsi="Arial" w:cs="Arial"/>
          <w:sz w:val="26"/>
          <w:szCs w:val="26"/>
        </w:rPr>
      </w:pPr>
    </w:p>
    <w:p w:rsidR="00EA615D" w:rsidRDefault="00EA615D" w:rsidP="00EA615D">
      <w:pPr>
        <w:jc w:val="left"/>
        <w:rPr>
          <w:rFonts w:ascii="Arial" w:hAnsi="Arial" w:cs="Arial"/>
        </w:rPr>
      </w:pPr>
      <w:r>
        <w:rPr>
          <w:rFonts w:ascii="Arial" w:hAnsi="Arial" w:cs="Arial"/>
        </w:rPr>
        <w:tab/>
      </w:r>
      <w:r w:rsidRPr="00A33BA4">
        <w:rPr>
          <w:rFonts w:ascii="Arial" w:hAnsi="Arial" w:cs="Arial"/>
        </w:rPr>
        <w:t>By Order entered June 2, 2009, the Commission approved a Settlement Agreement (Agreement) at Docket No. P</w:t>
      </w:r>
      <w:r w:rsidRPr="00A33BA4">
        <w:rPr>
          <w:rFonts w:ascii="Arial" w:hAnsi="Arial" w:cs="Arial"/>
        </w:rPr>
        <w:noBreakHyphen/>
        <w:t>2008</w:t>
      </w:r>
      <w:r w:rsidRPr="00A33BA4">
        <w:rPr>
          <w:rFonts w:ascii="Arial" w:hAnsi="Arial" w:cs="Arial"/>
        </w:rPr>
        <w:noBreakHyphen/>
        <w:t xml:space="preserve">2062739.  </w:t>
      </w:r>
      <w:r w:rsidR="00767890">
        <w:rPr>
          <w:rFonts w:ascii="Arial" w:hAnsi="Arial" w:cs="Arial"/>
        </w:rPr>
        <w:t>T</w:t>
      </w:r>
      <w:r w:rsidRPr="00A33BA4">
        <w:rPr>
          <w:rFonts w:ascii="Arial" w:hAnsi="Arial" w:cs="Arial"/>
        </w:rPr>
        <w:t>he Agreement allowed PECO to establish a Generation Supply Adjustment (GSA) Rider.  The GSA Rider permits PECO to recover, from its default service customers, the cost of procuring power plus associated administrative expenses incurred in acquiring power and attaining regulatory approval of any procurement strategy and plan.</w:t>
      </w:r>
      <w:r w:rsidRPr="008E7086">
        <w:rPr>
          <w:rFonts w:ascii="Arial" w:hAnsi="Arial" w:cs="Arial"/>
        </w:rPr>
        <w:t xml:space="preserve">  </w:t>
      </w:r>
    </w:p>
    <w:p w:rsidR="00EA615D" w:rsidRDefault="00EA615D" w:rsidP="00EA615D">
      <w:pPr>
        <w:jc w:val="left"/>
        <w:rPr>
          <w:rFonts w:ascii="Arial" w:hAnsi="Arial" w:cs="Arial"/>
        </w:rPr>
      </w:pPr>
    </w:p>
    <w:p w:rsidR="00EA615D" w:rsidRDefault="00EA615D" w:rsidP="00EA615D">
      <w:pPr>
        <w:jc w:val="left"/>
        <w:rPr>
          <w:rFonts w:ascii="Arial" w:hAnsi="Arial" w:cs="Arial"/>
        </w:rPr>
      </w:pPr>
      <w:r>
        <w:rPr>
          <w:rFonts w:ascii="Arial" w:hAnsi="Arial" w:cs="Arial"/>
        </w:rPr>
        <w:tab/>
      </w:r>
      <w:r>
        <w:rPr>
          <w:rFonts w:ascii="Arial" w:hAnsi="Arial" w:cs="Arial"/>
        </w:rPr>
        <w:br w:type="page"/>
      </w:r>
    </w:p>
    <w:p w:rsidR="005D711E" w:rsidRPr="008E7086" w:rsidRDefault="005D711E" w:rsidP="00905409">
      <w:pPr>
        <w:tabs>
          <w:tab w:val="left" w:pos="1440"/>
          <w:tab w:val="center" w:pos="4464"/>
        </w:tabs>
        <w:suppressAutoHyphens/>
        <w:rPr>
          <w:rFonts w:ascii="Arial" w:hAnsi="Arial" w:cs="Arial"/>
          <w:szCs w:val="24"/>
        </w:rPr>
        <w:sectPr w:rsidR="005D711E" w:rsidRPr="008E7086" w:rsidSect="00602027">
          <w:headerReference w:type="even" r:id="rId18"/>
          <w:headerReference w:type="default" r:id="rId19"/>
          <w:footerReference w:type="default" r:id="rId20"/>
          <w:headerReference w:type="first" r:id="rId21"/>
          <w:endnotePr>
            <w:numFmt w:val="decimal"/>
          </w:endnotePr>
          <w:pgSz w:w="12240" w:h="15840" w:code="1"/>
          <w:pgMar w:top="1440" w:right="1440" w:bottom="1152" w:left="1440" w:header="720" w:footer="720" w:gutter="0"/>
          <w:pgNumType w:fmt="numberInDash" w:start="1"/>
          <w:cols w:space="720"/>
          <w:noEndnote/>
          <w:titlePg/>
          <w:docGrid w:linePitch="326"/>
        </w:sectPr>
      </w:pPr>
    </w:p>
    <w:tbl>
      <w:tblPr>
        <w:tblpPr w:leftFromText="180" w:rightFromText="180" w:horzAnchor="margin" w:tblpXSpec="center" w:tblpY="-620"/>
        <w:tblW w:w="10890" w:type="dxa"/>
        <w:tblLayout w:type="fixed"/>
        <w:tblLook w:val="0000" w:firstRow="0" w:lastRow="0" w:firstColumn="0" w:lastColumn="0" w:noHBand="0" w:noVBand="0"/>
      </w:tblPr>
      <w:tblGrid>
        <w:gridCol w:w="1363"/>
        <w:gridCol w:w="8075"/>
        <w:gridCol w:w="1452"/>
      </w:tblGrid>
      <w:tr w:rsidR="00A05907" w:rsidRPr="00BC5B24" w:rsidTr="00A05907">
        <w:trPr>
          <w:trHeight w:val="990"/>
        </w:trPr>
        <w:tc>
          <w:tcPr>
            <w:tcW w:w="1363" w:type="dxa"/>
          </w:tcPr>
          <w:p w:rsidR="00A05907" w:rsidRPr="00BC5B24" w:rsidRDefault="00A05907" w:rsidP="00A05907">
            <w:pPr>
              <w:rPr>
                <w:rFonts w:ascii="Arial" w:hAnsi="Arial" w:cs="Arial"/>
              </w:rPr>
            </w:pPr>
            <w:r>
              <w:rPr>
                <w:rFonts w:ascii="Arial" w:hAnsi="Arial" w:cs="Arial"/>
                <w:noProof/>
                <w:spacing w:val="-2"/>
              </w:rPr>
              <w:lastRenderedPageBreak/>
              <w:drawing>
                <wp:inline distT="0" distB="0" distL="0" distR="0" wp14:anchorId="5AA89B17" wp14:editId="1152B174">
                  <wp:extent cx="723900" cy="723900"/>
                  <wp:effectExtent l="0" t="0" r="0" b="0"/>
                  <wp:docPr id="4"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05907" w:rsidRPr="00BC5B24" w:rsidRDefault="00A05907" w:rsidP="00A05907">
            <w:pPr>
              <w:suppressAutoHyphens/>
              <w:spacing w:line="204" w:lineRule="auto"/>
              <w:rPr>
                <w:rFonts w:ascii="Arial" w:hAnsi="Arial" w:cs="Arial"/>
                <w:color w:val="000080"/>
                <w:spacing w:val="-3"/>
                <w:sz w:val="26"/>
              </w:rPr>
            </w:pPr>
          </w:p>
          <w:p w:rsidR="00EA615D" w:rsidRDefault="00EA615D" w:rsidP="00EA615D">
            <w:pPr>
              <w:suppressAutoHyphens/>
              <w:spacing w:line="204" w:lineRule="auto"/>
              <w:rPr>
                <w:rFonts w:ascii="Arial" w:hAnsi="Arial"/>
                <w:color w:val="000080"/>
                <w:spacing w:val="-3"/>
                <w:sz w:val="26"/>
              </w:rPr>
            </w:pPr>
            <w:r>
              <w:rPr>
                <w:rFonts w:ascii="Arial" w:hAnsi="Arial"/>
                <w:color w:val="000080"/>
                <w:spacing w:val="-3"/>
                <w:sz w:val="26"/>
              </w:rPr>
              <w:t>PENNSYLVANIA PUBLIC UTILITY COMMISSION</w:t>
            </w:r>
          </w:p>
          <w:p w:rsidR="00EA615D" w:rsidRDefault="00EA615D" w:rsidP="00EA615D">
            <w:pPr>
              <w:suppressAutoHyphens/>
              <w:spacing w:line="204" w:lineRule="auto"/>
              <w:rPr>
                <w:rFonts w:ascii="Arial" w:hAnsi="Arial"/>
                <w:color w:val="000080"/>
                <w:spacing w:val="-3"/>
                <w:sz w:val="26"/>
              </w:rPr>
            </w:pPr>
            <w:r>
              <w:rPr>
                <w:rFonts w:ascii="Arial" w:hAnsi="Arial"/>
                <w:color w:val="000080"/>
                <w:spacing w:val="-3"/>
                <w:sz w:val="26"/>
              </w:rPr>
              <w:t>COMMONWEALTH KEYSTONE BUILDING</w:t>
            </w:r>
          </w:p>
          <w:p w:rsidR="00A05907" w:rsidRPr="00BC5B24" w:rsidRDefault="00EA615D" w:rsidP="00EA615D">
            <w:pPr>
              <w:rPr>
                <w:rFonts w:ascii="Arial" w:hAnsi="Arial" w:cs="Arial"/>
                <w:sz w:val="12"/>
              </w:rPr>
            </w:pPr>
            <w:r>
              <w:rPr>
                <w:rFonts w:ascii="Arial" w:hAnsi="Arial"/>
                <w:color w:val="000080"/>
                <w:spacing w:val="-3"/>
                <w:sz w:val="26"/>
              </w:rPr>
              <w:t>400 NORTH STREET, HARRISBURG, PA  17120</w:t>
            </w:r>
          </w:p>
        </w:tc>
        <w:tc>
          <w:tcPr>
            <w:tcW w:w="1452" w:type="dxa"/>
          </w:tcPr>
          <w:p w:rsidR="00A05907" w:rsidRPr="00BC5B24" w:rsidRDefault="00A05907" w:rsidP="00A05907">
            <w:pPr>
              <w:rPr>
                <w:rFonts w:ascii="Arial" w:hAnsi="Arial" w:cs="Arial"/>
                <w:sz w:val="12"/>
              </w:rPr>
            </w:pPr>
          </w:p>
          <w:p w:rsidR="00A05907" w:rsidRPr="00BC5B24" w:rsidRDefault="00A05907" w:rsidP="00A05907">
            <w:pPr>
              <w:rPr>
                <w:rFonts w:ascii="Arial" w:hAnsi="Arial" w:cs="Arial"/>
                <w:sz w:val="12"/>
              </w:rPr>
            </w:pPr>
          </w:p>
          <w:p w:rsidR="00A05907" w:rsidRPr="00BC5B24" w:rsidRDefault="00A05907" w:rsidP="00A05907">
            <w:pPr>
              <w:rPr>
                <w:rFonts w:ascii="Arial" w:hAnsi="Arial" w:cs="Arial"/>
                <w:sz w:val="12"/>
              </w:rPr>
            </w:pPr>
          </w:p>
          <w:p w:rsidR="00A05907" w:rsidRPr="00BC5B24" w:rsidRDefault="00A05907" w:rsidP="00A05907">
            <w:pPr>
              <w:rPr>
                <w:rFonts w:ascii="Arial" w:hAnsi="Arial" w:cs="Arial"/>
                <w:b/>
                <w:spacing w:val="-1"/>
                <w:sz w:val="12"/>
              </w:rPr>
            </w:pPr>
          </w:p>
          <w:p w:rsidR="00A05907" w:rsidRPr="00BC5B24" w:rsidRDefault="00A05907" w:rsidP="00A05907">
            <w:pPr>
              <w:rPr>
                <w:rFonts w:ascii="Arial" w:hAnsi="Arial" w:cs="Arial"/>
                <w:sz w:val="12"/>
              </w:rPr>
            </w:pPr>
            <w:r w:rsidRPr="00BC5B24">
              <w:rPr>
                <w:rFonts w:ascii="Arial" w:hAnsi="Arial" w:cs="Arial"/>
                <w:b/>
                <w:spacing w:val="-1"/>
                <w:sz w:val="12"/>
              </w:rPr>
              <w:t>IN REPLY PLEASE REFER TO OUR FILE</w:t>
            </w:r>
          </w:p>
        </w:tc>
      </w:tr>
    </w:tbl>
    <w:p w:rsidR="005D711E" w:rsidRPr="008E7086" w:rsidRDefault="005D711E" w:rsidP="00905409">
      <w:pPr>
        <w:pStyle w:val="Heading1"/>
        <w:tabs>
          <w:tab w:val="clear" w:pos="4680"/>
        </w:tabs>
        <w:jc w:val="left"/>
        <w:rPr>
          <w:rFonts w:ascii="Arial" w:hAnsi="Arial" w:cs="Arial"/>
          <w:szCs w:val="24"/>
        </w:rPr>
      </w:pPr>
    </w:p>
    <w:p w:rsidR="00C96D37" w:rsidRPr="00F16976" w:rsidRDefault="00C96D37" w:rsidP="00A05907">
      <w:pPr>
        <w:tabs>
          <w:tab w:val="center" w:pos="4680"/>
          <w:tab w:val="left" w:pos="8820"/>
        </w:tabs>
        <w:outlineLvl w:val="0"/>
        <w:rPr>
          <w:rFonts w:ascii="Arial" w:hAnsi="Arial" w:cs="Arial"/>
          <w:b/>
          <w:sz w:val="26"/>
          <w:szCs w:val="26"/>
        </w:rPr>
      </w:pPr>
      <w:r w:rsidRPr="00F16976">
        <w:rPr>
          <w:rFonts w:ascii="Arial" w:hAnsi="Arial" w:cs="Arial"/>
          <w:b/>
          <w:sz w:val="26"/>
          <w:szCs w:val="26"/>
        </w:rPr>
        <w:t>INDEPENDENT AUDITOR'S REPORT</w:t>
      </w:r>
    </w:p>
    <w:p w:rsidR="00C96D37" w:rsidRPr="004F00DD" w:rsidRDefault="0010304D" w:rsidP="00A05907">
      <w:pPr>
        <w:tabs>
          <w:tab w:val="center" w:pos="4680"/>
          <w:tab w:val="left" w:pos="8820"/>
        </w:tabs>
        <w:outlineLvl w:val="0"/>
        <w:rPr>
          <w:rFonts w:ascii="Arial" w:hAnsi="Arial" w:cs="Arial"/>
          <w:sz w:val="26"/>
          <w:szCs w:val="26"/>
        </w:rPr>
      </w:pPr>
      <w:r>
        <w:rPr>
          <w:rFonts w:ascii="Arial" w:hAnsi="Arial" w:cs="Arial"/>
          <w:b/>
          <w:sz w:val="26"/>
          <w:szCs w:val="26"/>
        </w:rPr>
        <w:t>t</w:t>
      </w:r>
      <w:r w:rsidR="00C96D37" w:rsidRPr="004F00DD">
        <w:rPr>
          <w:rFonts w:ascii="Arial" w:hAnsi="Arial" w:cs="Arial"/>
          <w:b/>
          <w:sz w:val="26"/>
          <w:szCs w:val="26"/>
        </w:rPr>
        <w:t xml:space="preserve">o </w:t>
      </w:r>
      <w:r>
        <w:rPr>
          <w:rFonts w:ascii="Arial" w:hAnsi="Arial" w:cs="Arial"/>
          <w:b/>
          <w:sz w:val="26"/>
          <w:szCs w:val="26"/>
        </w:rPr>
        <w:t>t</w:t>
      </w:r>
      <w:r w:rsidR="00C96D37" w:rsidRPr="004F00DD">
        <w:rPr>
          <w:rFonts w:ascii="Arial" w:hAnsi="Arial" w:cs="Arial"/>
          <w:b/>
          <w:sz w:val="26"/>
          <w:szCs w:val="26"/>
        </w:rPr>
        <w:t>he Pennsylvania Public Utility Commission</w:t>
      </w:r>
    </w:p>
    <w:p w:rsidR="00C96D37" w:rsidRPr="004F00DD" w:rsidRDefault="00C96D37" w:rsidP="00C96D37">
      <w:pPr>
        <w:tabs>
          <w:tab w:val="left" w:pos="-720"/>
          <w:tab w:val="left" w:pos="8820"/>
        </w:tabs>
        <w:jc w:val="left"/>
        <w:rPr>
          <w:rFonts w:ascii="Arial" w:hAnsi="Arial" w:cs="Arial"/>
          <w:sz w:val="26"/>
          <w:szCs w:val="26"/>
        </w:rPr>
      </w:pPr>
    </w:p>
    <w:p w:rsidR="00C96D37" w:rsidRPr="004F00DD" w:rsidRDefault="00C96D37" w:rsidP="00C96D37">
      <w:pPr>
        <w:jc w:val="left"/>
        <w:rPr>
          <w:rFonts w:ascii="Arial" w:hAnsi="Arial" w:cs="Arial"/>
          <w:b/>
          <w:bCs/>
          <w:szCs w:val="24"/>
        </w:rPr>
      </w:pPr>
      <w:r w:rsidRPr="004F00DD">
        <w:rPr>
          <w:rFonts w:ascii="Arial" w:hAnsi="Arial" w:cs="Arial"/>
          <w:b/>
          <w:bCs/>
          <w:szCs w:val="24"/>
        </w:rPr>
        <w:t>Report on the Financial Statements</w:t>
      </w:r>
    </w:p>
    <w:p w:rsidR="00C96D37" w:rsidRPr="004F00DD" w:rsidRDefault="00C96D37" w:rsidP="00C96D37">
      <w:pPr>
        <w:jc w:val="left"/>
        <w:rPr>
          <w:rFonts w:ascii="Arial" w:hAnsi="Arial" w:cs="Arial"/>
          <w:b/>
          <w:bCs/>
          <w:szCs w:val="24"/>
        </w:rPr>
      </w:pPr>
    </w:p>
    <w:p w:rsidR="00C96D37" w:rsidRPr="004F00DD" w:rsidRDefault="00C96D37" w:rsidP="00C96D37">
      <w:pPr>
        <w:tabs>
          <w:tab w:val="left" w:pos="720"/>
        </w:tabs>
        <w:jc w:val="left"/>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Statements of </w:t>
      </w:r>
      <w:r w:rsidR="00A05907">
        <w:rPr>
          <w:rFonts w:ascii="Arial" w:hAnsi="Arial" w:cs="Arial"/>
          <w:szCs w:val="24"/>
        </w:rPr>
        <w:t>Generation Supply Adjustment Over</w:t>
      </w:r>
      <w:r w:rsidRPr="00F16976">
        <w:rPr>
          <w:rFonts w:ascii="Arial" w:hAnsi="Arial" w:cs="Arial"/>
          <w:szCs w:val="24"/>
        </w:rPr>
        <w:t>/Under Collections for the twelve</w:t>
      </w:r>
      <w:r w:rsidR="00B876A7">
        <w:rPr>
          <w:rFonts w:ascii="Arial" w:hAnsi="Arial" w:cs="Arial"/>
          <w:szCs w:val="24"/>
        </w:rPr>
        <w:t>-</w:t>
      </w:r>
      <w:r w:rsidRPr="00F16976">
        <w:rPr>
          <w:rFonts w:ascii="Arial" w:hAnsi="Arial" w:cs="Arial"/>
          <w:szCs w:val="24"/>
        </w:rPr>
        <w:t xml:space="preserve">month periods ended </w:t>
      </w:r>
      <w:r w:rsidR="00A05907">
        <w:rPr>
          <w:rFonts w:ascii="Arial" w:hAnsi="Arial" w:cs="Arial"/>
          <w:szCs w:val="24"/>
        </w:rPr>
        <w:t>December</w:t>
      </w:r>
      <w:r w:rsidRPr="00F16976">
        <w:rPr>
          <w:rFonts w:ascii="Arial" w:hAnsi="Arial" w:cs="Arial"/>
          <w:szCs w:val="24"/>
        </w:rPr>
        <w:t xml:space="preserve"> 3</w:t>
      </w:r>
      <w:r w:rsidR="00A05907">
        <w:rPr>
          <w:rFonts w:ascii="Arial" w:hAnsi="Arial" w:cs="Arial"/>
          <w:szCs w:val="24"/>
        </w:rPr>
        <w:t>1</w:t>
      </w:r>
      <w:r w:rsidRPr="00F16976">
        <w:rPr>
          <w:rFonts w:ascii="Arial" w:hAnsi="Arial" w:cs="Arial"/>
          <w:szCs w:val="24"/>
        </w:rPr>
        <w:t>, 201</w:t>
      </w:r>
      <w:r w:rsidR="00834934">
        <w:rPr>
          <w:rFonts w:ascii="Arial" w:hAnsi="Arial" w:cs="Arial"/>
          <w:szCs w:val="24"/>
        </w:rPr>
        <w:t>6</w:t>
      </w:r>
      <w:r w:rsidRPr="00F16976">
        <w:rPr>
          <w:rFonts w:ascii="Arial" w:hAnsi="Arial" w:cs="Arial"/>
          <w:szCs w:val="24"/>
        </w:rPr>
        <w:t xml:space="preserve"> and </w:t>
      </w:r>
      <w:r w:rsidR="00A05907">
        <w:rPr>
          <w:rFonts w:ascii="Arial" w:hAnsi="Arial" w:cs="Arial"/>
          <w:szCs w:val="24"/>
        </w:rPr>
        <w:t>December 31</w:t>
      </w:r>
      <w:r w:rsidRPr="00F16976">
        <w:rPr>
          <w:rFonts w:ascii="Arial" w:hAnsi="Arial" w:cs="Arial"/>
          <w:szCs w:val="24"/>
        </w:rPr>
        <w:t>, 201</w:t>
      </w:r>
      <w:r w:rsidR="00834934">
        <w:rPr>
          <w:rFonts w:ascii="Arial" w:hAnsi="Arial" w:cs="Arial"/>
          <w:szCs w:val="24"/>
        </w:rPr>
        <w:t>5</w:t>
      </w:r>
      <w:r w:rsidRPr="00F16976">
        <w:rPr>
          <w:rFonts w:ascii="Arial" w:hAnsi="Arial" w:cs="Arial"/>
          <w:szCs w:val="24"/>
        </w:rPr>
        <w:t>.</w:t>
      </w:r>
    </w:p>
    <w:p w:rsidR="00C96D37" w:rsidRPr="004F00DD" w:rsidRDefault="00C96D37" w:rsidP="00C96D37">
      <w:pPr>
        <w:jc w:val="left"/>
        <w:rPr>
          <w:rFonts w:ascii="Arial" w:hAnsi="Arial" w:cs="Arial"/>
          <w:i/>
          <w:szCs w:val="24"/>
        </w:rPr>
      </w:pPr>
    </w:p>
    <w:p w:rsidR="00C96D37" w:rsidRPr="004F00DD" w:rsidRDefault="00C96D37" w:rsidP="00C96D37">
      <w:pPr>
        <w:jc w:val="left"/>
        <w:rPr>
          <w:rFonts w:ascii="Arial" w:hAnsi="Arial" w:cs="Arial"/>
          <w:szCs w:val="24"/>
        </w:rPr>
      </w:pPr>
      <w:r w:rsidRPr="004F00DD">
        <w:rPr>
          <w:rFonts w:ascii="Arial" w:hAnsi="Arial" w:cs="Arial"/>
          <w:b/>
          <w:bCs/>
          <w:iCs/>
          <w:szCs w:val="24"/>
        </w:rPr>
        <w:t>Management’s Responsibility for the Financial Statements</w:t>
      </w:r>
    </w:p>
    <w:p w:rsidR="00C96D37" w:rsidRPr="004F00DD" w:rsidRDefault="00C96D37" w:rsidP="00C96D37">
      <w:pPr>
        <w:jc w:val="left"/>
        <w:rPr>
          <w:rFonts w:ascii="Arial" w:hAnsi="Arial" w:cs="Arial"/>
          <w:i/>
          <w:szCs w:val="24"/>
        </w:rPr>
      </w:pPr>
    </w:p>
    <w:p w:rsidR="00C96D37" w:rsidRPr="004F00DD" w:rsidRDefault="00C96D37" w:rsidP="00C96D37">
      <w:pPr>
        <w:ind w:firstLine="720"/>
        <w:jc w:val="left"/>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C96D37" w:rsidRPr="004F00DD" w:rsidRDefault="00C96D37" w:rsidP="00C96D37">
      <w:pPr>
        <w:jc w:val="left"/>
        <w:rPr>
          <w:rFonts w:ascii="Arial" w:hAnsi="Arial" w:cs="Arial"/>
          <w:i/>
          <w:szCs w:val="24"/>
        </w:rPr>
      </w:pPr>
    </w:p>
    <w:p w:rsidR="00C96D37" w:rsidRPr="004F00DD" w:rsidRDefault="00C96D37" w:rsidP="00C96D37">
      <w:pPr>
        <w:jc w:val="left"/>
        <w:rPr>
          <w:rFonts w:ascii="Arial" w:hAnsi="Arial" w:cs="Arial"/>
          <w:b/>
          <w:bCs/>
          <w:iCs/>
          <w:szCs w:val="24"/>
        </w:rPr>
      </w:pPr>
      <w:r w:rsidRPr="004F00DD">
        <w:rPr>
          <w:rFonts w:ascii="Arial" w:hAnsi="Arial" w:cs="Arial"/>
          <w:b/>
          <w:bCs/>
          <w:iCs/>
          <w:szCs w:val="24"/>
        </w:rPr>
        <w:t>Auditor’s Responsibility</w:t>
      </w:r>
    </w:p>
    <w:p w:rsidR="00C96D37" w:rsidRPr="004F00DD" w:rsidRDefault="00C96D37" w:rsidP="00C96D37">
      <w:pPr>
        <w:jc w:val="left"/>
        <w:rPr>
          <w:rFonts w:ascii="Arial" w:hAnsi="Arial" w:cs="Arial"/>
          <w:szCs w:val="24"/>
        </w:rPr>
      </w:pPr>
    </w:p>
    <w:p w:rsidR="00660B6A" w:rsidRDefault="00660B6A" w:rsidP="00660B6A">
      <w:pPr>
        <w:ind w:firstLine="720"/>
        <w:jc w:val="left"/>
        <w:rPr>
          <w:rFonts w:ascii="Arial" w:hAnsi="Arial" w:cs="Arial"/>
          <w:szCs w:val="24"/>
        </w:rPr>
      </w:pPr>
      <w:r w:rsidRPr="00982C30">
        <w:rPr>
          <w:rFonts w:ascii="Arial" w:hAnsi="Arial" w:cs="Arial"/>
          <w:szCs w:val="24"/>
        </w:rPr>
        <w:t xml:space="preserve">Our responsibility is to express an opinion on these statements based on our audit.  We conducted our audit in accordance with auditing standards generally accepted in the United States of America.  </w:t>
      </w:r>
      <w:r>
        <w:rPr>
          <w:rFonts w:ascii="Arial" w:hAnsi="Arial" w:cs="Arial"/>
          <w:szCs w:val="24"/>
        </w:rPr>
        <w:t>These</w:t>
      </w:r>
      <w:r w:rsidRPr="00982C30">
        <w:rPr>
          <w:rFonts w:ascii="Arial" w:hAnsi="Arial" w:cs="Arial"/>
          <w:szCs w:val="24"/>
        </w:rPr>
        <w:t xml:space="preserv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w:t>
      </w:r>
      <w:proofErr w:type="gramStart"/>
      <w:r w:rsidRPr="00982C30">
        <w:rPr>
          <w:rFonts w:ascii="Arial" w:hAnsi="Arial" w:cs="Arial"/>
          <w:szCs w:val="24"/>
        </w:rPr>
        <w:t>in order to</w:t>
      </w:r>
      <w:proofErr w:type="gramEnd"/>
      <w:r w:rsidRPr="00982C30">
        <w:rPr>
          <w:rFonts w:ascii="Arial" w:hAnsi="Arial" w:cs="Arial"/>
          <w:szCs w:val="24"/>
        </w:rPr>
        <w:t xml:space="preserve"> design audit procedures that are appropriate in the circumstances, but not for the purpose of expressing an opinion on the effectiveness of the entity’s internal control</w:t>
      </w:r>
      <w:r>
        <w:rPr>
          <w:rFonts w:ascii="Arial" w:hAnsi="Arial" w:cs="Arial"/>
          <w:szCs w:val="24"/>
        </w:rPr>
        <w:t>.</w:t>
      </w:r>
      <w:r w:rsidRPr="00982C30">
        <w:rPr>
          <w:rFonts w:ascii="Arial" w:hAnsi="Arial" w:cs="Arial"/>
          <w:szCs w:val="24"/>
        </w:rPr>
        <w:t xml:space="preserve">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w:t>
      </w:r>
      <w:proofErr w:type="gramStart"/>
      <w:r w:rsidRPr="00982C30">
        <w:rPr>
          <w:rFonts w:ascii="Arial" w:hAnsi="Arial" w:cs="Arial"/>
          <w:szCs w:val="24"/>
        </w:rPr>
        <w:t>sufficient</w:t>
      </w:r>
      <w:proofErr w:type="gramEnd"/>
      <w:r w:rsidRPr="00982C30">
        <w:rPr>
          <w:rFonts w:ascii="Arial" w:hAnsi="Arial" w:cs="Arial"/>
          <w:szCs w:val="24"/>
        </w:rPr>
        <w:t xml:space="preserve"> and appropriate to provide a basis for our audit opinion.</w:t>
      </w:r>
    </w:p>
    <w:p w:rsidR="00C96D37" w:rsidRDefault="00C96D37" w:rsidP="00660B6A">
      <w:pPr>
        <w:jc w:val="left"/>
        <w:rPr>
          <w:rFonts w:ascii="Arial" w:hAnsi="Arial" w:cs="Arial"/>
          <w:b/>
          <w:bCs/>
          <w:iCs/>
          <w:szCs w:val="24"/>
        </w:rPr>
      </w:pPr>
    </w:p>
    <w:p w:rsidR="00C96D37" w:rsidRDefault="00C96D37" w:rsidP="00C96D37">
      <w:pPr>
        <w:jc w:val="left"/>
        <w:rPr>
          <w:rFonts w:ascii="Arial" w:hAnsi="Arial" w:cs="Arial"/>
          <w:b/>
          <w:bCs/>
          <w:iCs/>
          <w:szCs w:val="24"/>
        </w:rPr>
        <w:sectPr w:rsidR="00C96D37" w:rsidSect="002548D1">
          <w:headerReference w:type="even" r:id="rId23"/>
          <w:headerReference w:type="default" r:id="rId24"/>
          <w:footerReference w:type="default" r:id="rId25"/>
          <w:headerReference w:type="first" r:id="rId26"/>
          <w:endnotePr>
            <w:numFmt w:val="decimal"/>
          </w:endnotePr>
          <w:pgSz w:w="12240" w:h="15840" w:code="1"/>
          <w:pgMar w:top="1440" w:right="1440" w:bottom="1440" w:left="1440" w:header="0" w:footer="720" w:gutter="0"/>
          <w:pgNumType w:fmt="numberInDash" w:start="2"/>
          <w:cols w:space="720"/>
          <w:noEndnote/>
          <w:docGrid w:linePitch="326"/>
        </w:sectPr>
      </w:pPr>
    </w:p>
    <w:p w:rsidR="00C96D37" w:rsidRPr="004F00DD" w:rsidRDefault="00C96D37" w:rsidP="00C96D37">
      <w:pPr>
        <w:jc w:val="left"/>
        <w:rPr>
          <w:rFonts w:ascii="Arial" w:hAnsi="Arial" w:cs="Arial"/>
          <w:szCs w:val="24"/>
        </w:rPr>
      </w:pPr>
      <w:r w:rsidRPr="004F00DD">
        <w:rPr>
          <w:rFonts w:ascii="Arial" w:hAnsi="Arial" w:cs="Arial"/>
          <w:b/>
          <w:bCs/>
          <w:iCs/>
          <w:szCs w:val="24"/>
        </w:rPr>
        <w:lastRenderedPageBreak/>
        <w:t>Opinion</w:t>
      </w:r>
    </w:p>
    <w:p w:rsidR="00C96D37" w:rsidRPr="004F00DD" w:rsidRDefault="00C96D37" w:rsidP="00C96D37">
      <w:pPr>
        <w:jc w:val="left"/>
        <w:rPr>
          <w:rFonts w:ascii="Arial" w:hAnsi="Arial" w:cs="Arial"/>
          <w:szCs w:val="24"/>
        </w:rPr>
      </w:pPr>
    </w:p>
    <w:p w:rsidR="00C96D37" w:rsidRPr="004F00DD" w:rsidRDefault="00C96D37" w:rsidP="00C96D37">
      <w:pPr>
        <w:tabs>
          <w:tab w:val="left" w:pos="720"/>
        </w:tabs>
        <w:jc w:val="left"/>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A05907">
        <w:rPr>
          <w:rFonts w:ascii="Arial" w:hAnsi="Arial" w:cs="Arial"/>
          <w:szCs w:val="24"/>
        </w:rPr>
        <w:t>Generation Supply Adjustment</w:t>
      </w:r>
      <w:r w:rsidRPr="004F00DD">
        <w:rPr>
          <w:rFonts w:ascii="Arial" w:hAnsi="Arial" w:cs="Arial"/>
          <w:szCs w:val="24"/>
        </w:rPr>
        <w:t xml:space="preserve"> Over/Under Collections </w:t>
      </w:r>
      <w:r w:rsidR="00A05907" w:rsidRPr="00F16976">
        <w:rPr>
          <w:rFonts w:ascii="Arial" w:hAnsi="Arial" w:cs="Arial"/>
          <w:szCs w:val="24"/>
        </w:rPr>
        <w:t>for the twelve</w:t>
      </w:r>
      <w:r w:rsidR="001B5F95">
        <w:rPr>
          <w:rFonts w:ascii="Arial" w:hAnsi="Arial" w:cs="Arial"/>
          <w:szCs w:val="24"/>
        </w:rPr>
        <w:noBreakHyphen/>
      </w:r>
      <w:r w:rsidR="00A05907" w:rsidRPr="00F16976">
        <w:rPr>
          <w:rFonts w:ascii="Arial" w:hAnsi="Arial" w:cs="Arial"/>
          <w:szCs w:val="24"/>
        </w:rPr>
        <w:t xml:space="preserve">month periods ended </w:t>
      </w:r>
      <w:r w:rsidR="00A05907">
        <w:rPr>
          <w:rFonts w:ascii="Arial" w:hAnsi="Arial" w:cs="Arial"/>
          <w:szCs w:val="24"/>
        </w:rPr>
        <w:t>December</w:t>
      </w:r>
      <w:r w:rsidR="00A05907" w:rsidRPr="00F16976">
        <w:rPr>
          <w:rFonts w:ascii="Arial" w:hAnsi="Arial" w:cs="Arial"/>
          <w:szCs w:val="24"/>
        </w:rPr>
        <w:t xml:space="preserve"> 3</w:t>
      </w:r>
      <w:r w:rsidR="00A05907">
        <w:rPr>
          <w:rFonts w:ascii="Arial" w:hAnsi="Arial" w:cs="Arial"/>
          <w:szCs w:val="24"/>
        </w:rPr>
        <w:t>1</w:t>
      </w:r>
      <w:r w:rsidR="00A05907" w:rsidRPr="00F16976">
        <w:rPr>
          <w:rFonts w:ascii="Arial" w:hAnsi="Arial" w:cs="Arial"/>
          <w:szCs w:val="24"/>
        </w:rPr>
        <w:t>, 201</w:t>
      </w:r>
      <w:r w:rsidR="00834934">
        <w:rPr>
          <w:rFonts w:ascii="Arial" w:hAnsi="Arial" w:cs="Arial"/>
          <w:szCs w:val="24"/>
        </w:rPr>
        <w:t>6</w:t>
      </w:r>
      <w:r w:rsidR="00A05907" w:rsidRPr="00F16976">
        <w:rPr>
          <w:rFonts w:ascii="Arial" w:hAnsi="Arial" w:cs="Arial"/>
          <w:szCs w:val="24"/>
        </w:rPr>
        <w:t xml:space="preserve"> and </w:t>
      </w:r>
      <w:r w:rsidR="00A05907">
        <w:rPr>
          <w:rFonts w:ascii="Arial" w:hAnsi="Arial" w:cs="Arial"/>
          <w:szCs w:val="24"/>
        </w:rPr>
        <w:t>December 31</w:t>
      </w:r>
      <w:r w:rsidR="00A05907" w:rsidRPr="00F16976">
        <w:rPr>
          <w:rFonts w:ascii="Arial" w:hAnsi="Arial" w:cs="Arial"/>
          <w:szCs w:val="24"/>
        </w:rPr>
        <w:t>, 201</w:t>
      </w:r>
      <w:r w:rsidR="00834934">
        <w:rPr>
          <w:rFonts w:ascii="Arial" w:hAnsi="Arial" w:cs="Arial"/>
          <w:szCs w:val="24"/>
        </w:rPr>
        <w:t>5</w:t>
      </w:r>
      <w:r>
        <w:rPr>
          <w:rFonts w:ascii="Arial" w:hAnsi="Arial" w:cs="Arial"/>
          <w:szCs w:val="24"/>
        </w:rPr>
        <w:t xml:space="preserve"> </w:t>
      </w:r>
      <w:r w:rsidRPr="004F00DD">
        <w:rPr>
          <w:rFonts w:ascii="Arial" w:hAnsi="Arial" w:cs="Arial"/>
          <w:szCs w:val="24"/>
        </w:rPr>
        <w:t xml:space="preserve">of </w:t>
      </w:r>
      <w:r w:rsidRPr="00B94ACC">
        <w:rPr>
          <w:rFonts w:ascii="Arial" w:hAnsi="Arial" w:cs="Arial"/>
          <w:szCs w:val="24"/>
        </w:rPr>
        <w:t>PECO Energy</w:t>
      </w:r>
      <w:r>
        <w:rPr>
          <w:rFonts w:ascii="Arial" w:hAnsi="Arial" w:cs="Arial"/>
          <w:szCs w:val="24"/>
        </w:rPr>
        <w:t xml:space="preserve"> Company</w:t>
      </w:r>
      <w:r w:rsidRPr="004F00DD">
        <w:rPr>
          <w:rFonts w:ascii="Arial" w:hAnsi="Arial" w:cs="Arial"/>
          <w:szCs w:val="24"/>
        </w:rPr>
        <w:t xml:space="preserve"> present fairly, in all material respects, in relation to the audited financial statements from which </w:t>
      </w:r>
      <w:r>
        <w:rPr>
          <w:rFonts w:ascii="Arial" w:hAnsi="Arial" w:cs="Arial"/>
          <w:szCs w:val="24"/>
        </w:rPr>
        <w:t>they were</w:t>
      </w:r>
      <w:r w:rsidRPr="004F00DD">
        <w:rPr>
          <w:rFonts w:ascii="Arial" w:hAnsi="Arial" w:cs="Arial"/>
          <w:szCs w:val="24"/>
        </w:rPr>
        <w:t xml:space="preserve"> derived.</w:t>
      </w:r>
    </w:p>
    <w:p w:rsidR="00C96D37" w:rsidRPr="004F00DD" w:rsidRDefault="00C96D37" w:rsidP="00C96D37">
      <w:pPr>
        <w:jc w:val="left"/>
        <w:rPr>
          <w:rFonts w:ascii="Times New Roman" w:hAnsi="Times New Roman"/>
          <w:szCs w:val="24"/>
        </w:rPr>
      </w:pPr>
    </w:p>
    <w:p w:rsidR="00C96D37" w:rsidRPr="004F00DD" w:rsidRDefault="00C96D37" w:rsidP="00C96D37">
      <w:pPr>
        <w:jc w:val="left"/>
        <w:rPr>
          <w:rFonts w:ascii="Arial" w:hAnsi="Arial" w:cs="Arial"/>
          <w:szCs w:val="24"/>
        </w:rPr>
      </w:pPr>
      <w:r w:rsidRPr="004F00DD">
        <w:rPr>
          <w:rFonts w:ascii="Arial" w:hAnsi="Arial" w:cs="Arial"/>
          <w:b/>
          <w:bCs/>
          <w:szCs w:val="24"/>
        </w:rPr>
        <w:t>Report on Other Legal and Regulatory Requirements</w:t>
      </w:r>
    </w:p>
    <w:p w:rsidR="00C96D37" w:rsidRPr="004F00DD" w:rsidRDefault="00C96D37" w:rsidP="00C96D37">
      <w:pPr>
        <w:jc w:val="left"/>
        <w:rPr>
          <w:rFonts w:ascii="Arial" w:hAnsi="Arial" w:cs="Arial"/>
          <w:szCs w:val="24"/>
        </w:rPr>
      </w:pPr>
    </w:p>
    <w:p w:rsidR="00C96D37" w:rsidRPr="004F00DD" w:rsidRDefault="00C96D37" w:rsidP="00C96D37">
      <w:pPr>
        <w:jc w:val="left"/>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w:t>
      </w:r>
      <w:r>
        <w:rPr>
          <w:rFonts w:ascii="Arial" w:hAnsi="Arial" w:cs="Arial"/>
          <w:szCs w:val="24"/>
        </w:rPr>
        <w:t>PECO Energy Company’s</w:t>
      </w:r>
      <w:r w:rsidR="00DF24D3">
        <w:rPr>
          <w:rFonts w:ascii="Arial" w:hAnsi="Arial" w:cs="Arial"/>
          <w:szCs w:val="24"/>
        </w:rPr>
        <w:t xml:space="preserve"> revenues and </w:t>
      </w:r>
      <w:r w:rsidRPr="004F00DD">
        <w:rPr>
          <w:rFonts w:ascii="Arial" w:hAnsi="Arial" w:cs="Arial"/>
          <w:szCs w:val="24"/>
        </w:rPr>
        <w:t>expenses.</w:t>
      </w:r>
    </w:p>
    <w:p w:rsidR="0047509D" w:rsidRDefault="0047509D"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905409">
      <w:pPr>
        <w:suppressAutoHyphens/>
        <w:rPr>
          <w:rFonts w:ascii="Arial" w:hAnsi="Arial" w:cs="Arial"/>
          <w:szCs w:val="24"/>
        </w:rPr>
      </w:pPr>
    </w:p>
    <w:p w:rsidR="00DF24D3" w:rsidRDefault="00DF24D3" w:rsidP="00DF24D3">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DF24D3" w:rsidRDefault="00DF24D3" w:rsidP="00DF24D3">
      <w:pPr>
        <w:ind w:firstLine="4860"/>
        <w:jc w:val="left"/>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719D5">
        <w:rPr>
          <w:rFonts w:ascii="Arial" w:hAnsi="Arial" w:cs="Arial"/>
          <w:szCs w:val="24"/>
        </w:rPr>
        <w:t>Kelly A. Monaghan, CPA, CGFM, CFE</w:t>
      </w:r>
    </w:p>
    <w:p w:rsidR="00DF24D3" w:rsidRPr="00C8306A" w:rsidRDefault="00DF24D3" w:rsidP="00DF24D3">
      <w:pPr>
        <w:ind w:left="4770"/>
        <w:jc w:val="left"/>
        <w:rPr>
          <w:rFonts w:ascii="Arial" w:hAnsi="Arial" w:cs="Arial"/>
          <w:szCs w:val="24"/>
        </w:rPr>
      </w:pPr>
      <w:r w:rsidRPr="00C8306A">
        <w:rPr>
          <w:rFonts w:ascii="Arial" w:hAnsi="Arial" w:cs="Arial"/>
          <w:szCs w:val="24"/>
        </w:rPr>
        <w:tab/>
        <w:t>Director</w:t>
      </w:r>
    </w:p>
    <w:p w:rsidR="00DF24D3" w:rsidRPr="00C8306A" w:rsidRDefault="00DF24D3" w:rsidP="00DF24D3">
      <w:pPr>
        <w:tabs>
          <w:tab w:val="left" w:pos="5040"/>
        </w:tabs>
        <w:jc w:val="left"/>
        <w:rPr>
          <w:rFonts w:ascii="Arial" w:hAnsi="Arial" w:cs="Arial"/>
          <w:szCs w:val="24"/>
        </w:rPr>
      </w:pPr>
      <w:r w:rsidRPr="00C8306A">
        <w:rPr>
          <w:rFonts w:ascii="Arial" w:hAnsi="Arial" w:cs="Arial"/>
          <w:szCs w:val="24"/>
        </w:rPr>
        <w:tab/>
        <w:t>Bureau of Audits</w:t>
      </w:r>
    </w:p>
    <w:p w:rsidR="00DF24D3" w:rsidRDefault="00DF24D3" w:rsidP="00DF24D3">
      <w:pPr>
        <w:tabs>
          <w:tab w:val="left" w:pos="5040"/>
          <w:tab w:val="left" w:pos="5400"/>
        </w:tabs>
        <w:jc w:val="left"/>
        <w:rPr>
          <w:rFonts w:ascii="Arial" w:hAnsi="Arial" w:cs="Arial"/>
          <w:szCs w:val="24"/>
        </w:rPr>
      </w:pPr>
      <w:r w:rsidRPr="00C8306A">
        <w:rPr>
          <w:rFonts w:ascii="Arial" w:hAnsi="Arial" w:cs="Arial"/>
          <w:szCs w:val="24"/>
        </w:rPr>
        <w:tab/>
        <w:t>Harrisburg, PA</w:t>
      </w:r>
    </w:p>
    <w:p w:rsidR="00DF24D3" w:rsidRPr="00C507E9" w:rsidRDefault="00DF24D3" w:rsidP="00DF24D3">
      <w:pPr>
        <w:tabs>
          <w:tab w:val="left" w:pos="5040"/>
        </w:tabs>
        <w:jc w:val="left"/>
        <w:rPr>
          <w:rFonts w:ascii="Arial" w:hAnsi="Arial" w:cs="Arial"/>
          <w:i/>
          <w:color w:val="FF0000"/>
          <w:szCs w:val="24"/>
        </w:rPr>
      </w:pPr>
      <w:r>
        <w:rPr>
          <w:rFonts w:ascii="Arial" w:hAnsi="Arial" w:cs="Arial"/>
          <w:szCs w:val="24"/>
        </w:rPr>
        <w:tab/>
      </w:r>
      <w:r w:rsidR="006B2777">
        <w:rPr>
          <w:rFonts w:ascii="Arial" w:hAnsi="Arial" w:cs="Arial"/>
          <w:szCs w:val="24"/>
        </w:rPr>
        <w:t>November 29, 2018</w:t>
      </w:r>
      <w:bookmarkStart w:id="0" w:name="_GoBack"/>
      <w:bookmarkEnd w:id="0"/>
    </w:p>
    <w:p w:rsidR="00DF24D3" w:rsidRPr="00E03226" w:rsidRDefault="00DF24D3" w:rsidP="00DF24D3">
      <w:pPr>
        <w:rPr>
          <w:rFonts w:ascii="Arial" w:hAnsi="Arial" w:cs="Arial"/>
          <w:color w:val="FF0000"/>
          <w:szCs w:val="24"/>
        </w:rPr>
      </w:pPr>
    </w:p>
    <w:p w:rsidR="00DF24D3" w:rsidRPr="008E7086" w:rsidRDefault="00DF24D3" w:rsidP="00905409">
      <w:pPr>
        <w:suppressAutoHyphens/>
        <w:rPr>
          <w:rFonts w:ascii="Arial" w:hAnsi="Arial" w:cs="Arial"/>
          <w:szCs w:val="24"/>
        </w:rPr>
        <w:sectPr w:rsidR="00DF24D3" w:rsidRPr="008E7086" w:rsidSect="00D426BF">
          <w:headerReference w:type="even" r:id="rId27"/>
          <w:headerReference w:type="default" r:id="rId28"/>
          <w:footerReference w:type="default" r:id="rId29"/>
          <w:headerReference w:type="first" r:id="rId30"/>
          <w:footerReference w:type="first" r:id="rId31"/>
          <w:endnotePr>
            <w:numFmt w:val="decimal"/>
          </w:endnotePr>
          <w:pgSz w:w="12240" w:h="15840" w:code="1"/>
          <w:pgMar w:top="1440" w:right="1440" w:bottom="1440" w:left="1440" w:header="720" w:footer="720" w:gutter="0"/>
          <w:pgNumType w:fmt="numberInDash" w:start="3"/>
          <w:cols w:space="720"/>
          <w:noEndnote/>
          <w:titlePg/>
          <w:docGrid w:linePitch="326"/>
        </w:sectPr>
      </w:pPr>
    </w:p>
    <w:p w:rsidR="0026380B" w:rsidRDefault="00ED0DE1" w:rsidP="002F3A6C">
      <w:pPr>
        <w:rPr>
          <w:rFonts w:ascii="Arial" w:hAnsi="Arial" w:cs="Arial"/>
          <w:b/>
          <w:sz w:val="26"/>
          <w:szCs w:val="26"/>
        </w:rPr>
      </w:pPr>
      <w:r>
        <w:rPr>
          <w:rFonts w:ascii="Arial" w:hAnsi="Arial" w:cs="Arial"/>
          <w:b/>
          <w:sz w:val="26"/>
          <w:szCs w:val="26"/>
        </w:rPr>
        <w:lastRenderedPageBreak/>
        <w:t>Condensed</w:t>
      </w:r>
      <w:r w:rsidR="0026380B">
        <w:rPr>
          <w:rFonts w:ascii="Arial" w:hAnsi="Arial" w:cs="Arial"/>
          <w:b/>
          <w:sz w:val="26"/>
          <w:szCs w:val="26"/>
        </w:rPr>
        <w:t xml:space="preserve"> </w:t>
      </w:r>
      <w:r w:rsidRPr="00470786">
        <w:rPr>
          <w:rFonts w:ascii="Arial" w:hAnsi="Arial" w:cs="Arial"/>
          <w:b/>
          <w:sz w:val="26"/>
          <w:szCs w:val="26"/>
        </w:rPr>
        <w:t>Statement</w:t>
      </w:r>
      <w:r w:rsidR="0026380B">
        <w:rPr>
          <w:rStyle w:val="FootnoteReference"/>
          <w:rFonts w:ascii="Arial" w:hAnsi="Arial" w:cs="Arial"/>
          <w:b/>
          <w:sz w:val="26"/>
          <w:szCs w:val="26"/>
        </w:rPr>
        <w:footnoteReference w:id="1"/>
      </w:r>
      <w:r w:rsidRPr="00470786">
        <w:rPr>
          <w:rFonts w:ascii="Arial" w:hAnsi="Arial" w:cs="Arial"/>
          <w:b/>
          <w:sz w:val="26"/>
          <w:szCs w:val="26"/>
        </w:rPr>
        <w:t xml:space="preserve"> </w:t>
      </w:r>
      <w:r w:rsidR="00186D07">
        <w:rPr>
          <w:rFonts w:ascii="Arial" w:hAnsi="Arial" w:cs="Arial"/>
          <w:b/>
          <w:sz w:val="26"/>
          <w:szCs w:val="26"/>
        </w:rPr>
        <w:t>o</w:t>
      </w:r>
      <w:r w:rsidRPr="00470786">
        <w:rPr>
          <w:rFonts w:ascii="Arial" w:hAnsi="Arial" w:cs="Arial"/>
          <w:b/>
          <w:sz w:val="26"/>
          <w:szCs w:val="26"/>
        </w:rPr>
        <w:t xml:space="preserve">f </w:t>
      </w:r>
    </w:p>
    <w:p w:rsidR="00ED0DE1" w:rsidRDefault="002F3A6C" w:rsidP="002F3A6C">
      <w:pPr>
        <w:rPr>
          <w:rFonts w:ascii="Arial" w:hAnsi="Arial" w:cs="Arial"/>
          <w:b/>
          <w:sz w:val="26"/>
          <w:szCs w:val="26"/>
        </w:rPr>
      </w:pPr>
      <w:r w:rsidRPr="00ED0DE1">
        <w:rPr>
          <w:rFonts w:ascii="Arial" w:hAnsi="Arial" w:cs="Arial"/>
          <w:b/>
          <w:sz w:val="26"/>
          <w:szCs w:val="26"/>
        </w:rPr>
        <w:t xml:space="preserve">Generation Supply Adjustment (GSA) </w:t>
      </w:r>
    </w:p>
    <w:p w:rsidR="008C0642" w:rsidRDefault="00ED0DE1" w:rsidP="002F3A6C">
      <w:pPr>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008C0642">
        <w:rPr>
          <w:rFonts w:ascii="Arial" w:hAnsi="Arial" w:cs="Arial"/>
          <w:b/>
          <w:sz w:val="26"/>
          <w:szCs w:val="26"/>
        </w:rPr>
        <w:t>(</w:t>
      </w:r>
      <w:r w:rsidR="002F3A6C" w:rsidRPr="00ED0DE1">
        <w:rPr>
          <w:rFonts w:ascii="Arial" w:hAnsi="Arial" w:cs="Arial"/>
          <w:b/>
          <w:sz w:val="26"/>
          <w:szCs w:val="26"/>
        </w:rPr>
        <w:t>Section 1307(e)</w:t>
      </w:r>
      <w:r w:rsidR="008C0642">
        <w:rPr>
          <w:rFonts w:ascii="Arial" w:hAnsi="Arial" w:cs="Arial"/>
          <w:b/>
          <w:sz w:val="26"/>
          <w:szCs w:val="26"/>
        </w:rPr>
        <w:t>)</w:t>
      </w:r>
      <w:r w:rsidR="002F3A6C" w:rsidRPr="00ED0DE1">
        <w:rPr>
          <w:rFonts w:ascii="Arial" w:hAnsi="Arial" w:cs="Arial"/>
          <w:b/>
          <w:sz w:val="26"/>
          <w:szCs w:val="26"/>
        </w:rPr>
        <w:t xml:space="preserve"> </w:t>
      </w:r>
    </w:p>
    <w:p w:rsidR="002F3A6C" w:rsidRPr="00ED0DE1" w:rsidRDefault="00186D07" w:rsidP="002F3A6C">
      <w:pPr>
        <w:rPr>
          <w:rFonts w:ascii="Arial" w:hAnsi="Arial" w:cs="Arial"/>
          <w:b/>
          <w:sz w:val="26"/>
          <w:szCs w:val="26"/>
        </w:rPr>
      </w:pPr>
      <w:r>
        <w:rPr>
          <w:rFonts w:ascii="Arial" w:hAnsi="Arial" w:cs="Arial"/>
          <w:b/>
          <w:sz w:val="26"/>
          <w:szCs w:val="26"/>
        </w:rPr>
        <w:t>f</w:t>
      </w:r>
      <w:r w:rsidR="002F3A6C" w:rsidRPr="00ED0DE1">
        <w:rPr>
          <w:rFonts w:ascii="Arial" w:hAnsi="Arial" w:cs="Arial"/>
          <w:b/>
          <w:sz w:val="26"/>
          <w:szCs w:val="26"/>
        </w:rPr>
        <w:t xml:space="preserve">or </w:t>
      </w:r>
      <w:r>
        <w:rPr>
          <w:rFonts w:ascii="Arial" w:hAnsi="Arial" w:cs="Arial"/>
          <w:b/>
          <w:sz w:val="26"/>
          <w:szCs w:val="26"/>
        </w:rPr>
        <w:t>t</w:t>
      </w:r>
      <w:r w:rsidR="002F3A6C" w:rsidRPr="00ED0DE1">
        <w:rPr>
          <w:rFonts w:ascii="Arial" w:hAnsi="Arial" w:cs="Arial"/>
          <w:b/>
          <w:sz w:val="26"/>
          <w:szCs w:val="26"/>
        </w:rPr>
        <w:t xml:space="preserve">he Twelve Months </w:t>
      </w:r>
      <w:r w:rsidR="001643BB">
        <w:rPr>
          <w:rFonts w:ascii="Arial" w:hAnsi="Arial" w:cs="Arial"/>
          <w:b/>
          <w:sz w:val="26"/>
          <w:szCs w:val="26"/>
        </w:rPr>
        <w:t>e</w:t>
      </w:r>
      <w:r w:rsidR="002F3A6C" w:rsidRPr="00ED0DE1">
        <w:rPr>
          <w:rFonts w:ascii="Arial" w:hAnsi="Arial" w:cs="Arial"/>
          <w:b/>
          <w:sz w:val="26"/>
          <w:szCs w:val="26"/>
        </w:rPr>
        <w:t>nded December 31, 201</w:t>
      </w:r>
      <w:r w:rsidR="007346B1">
        <w:rPr>
          <w:rFonts w:ascii="Arial" w:hAnsi="Arial" w:cs="Arial"/>
          <w:b/>
          <w:sz w:val="26"/>
          <w:szCs w:val="26"/>
        </w:rPr>
        <w:t>6</w:t>
      </w:r>
      <w:r w:rsidR="0026380B">
        <w:rPr>
          <w:rStyle w:val="FootnoteReference"/>
          <w:rFonts w:ascii="Arial" w:hAnsi="Arial" w:cs="Arial"/>
          <w:b/>
          <w:sz w:val="26"/>
          <w:szCs w:val="26"/>
        </w:rPr>
        <w:footnoteReference w:id="2"/>
      </w:r>
    </w:p>
    <w:p w:rsidR="00D27E49" w:rsidRPr="0077381F" w:rsidRDefault="00D27E49" w:rsidP="00235BB8">
      <w:pPr>
        <w:tabs>
          <w:tab w:val="center" w:pos="4680"/>
        </w:tabs>
        <w:suppressAutoHyphens/>
        <w:rPr>
          <w:rFonts w:ascii="Arial" w:hAnsi="Arial" w:cs="Arial"/>
          <w:szCs w:val="24"/>
        </w:rPr>
      </w:pPr>
    </w:p>
    <w:tbl>
      <w:tblPr>
        <w:tblpPr w:leftFromText="180" w:rightFromText="180" w:vertAnchor="page" w:horzAnchor="margin" w:tblpX="-162" w:tblpY="2989"/>
        <w:tblW w:w="9630" w:type="dxa"/>
        <w:tblLook w:val="0000" w:firstRow="0" w:lastRow="0" w:firstColumn="0" w:lastColumn="0" w:noHBand="0" w:noVBand="0"/>
      </w:tblPr>
      <w:tblGrid>
        <w:gridCol w:w="2610"/>
        <w:gridCol w:w="241"/>
        <w:gridCol w:w="2099"/>
        <w:gridCol w:w="246"/>
        <w:gridCol w:w="2184"/>
        <w:gridCol w:w="270"/>
        <w:gridCol w:w="1980"/>
      </w:tblGrid>
      <w:tr w:rsidR="009734AF" w:rsidRPr="008E7086" w:rsidTr="00197B4C">
        <w:trPr>
          <w:trHeight w:val="812"/>
        </w:trPr>
        <w:tc>
          <w:tcPr>
            <w:tcW w:w="2610" w:type="dxa"/>
            <w:tcBorders>
              <w:bottom w:val="single" w:sz="12" w:space="0" w:color="auto"/>
            </w:tcBorders>
            <w:noWrap/>
          </w:tcPr>
          <w:p w:rsidR="009734AF" w:rsidRPr="00B92F2B" w:rsidRDefault="009734AF" w:rsidP="00197B4C">
            <w:pPr>
              <w:rPr>
                <w:rFonts w:ascii="Arial" w:hAnsi="Arial" w:cs="Arial"/>
              </w:rPr>
            </w:pPr>
          </w:p>
          <w:p w:rsidR="009734AF" w:rsidRPr="00B92F2B" w:rsidRDefault="009734AF" w:rsidP="00197B4C">
            <w:pPr>
              <w:rPr>
                <w:rFonts w:ascii="Arial" w:hAnsi="Arial" w:cs="Arial"/>
              </w:rPr>
            </w:pPr>
          </w:p>
          <w:p w:rsidR="009734AF" w:rsidRPr="00B92F2B" w:rsidRDefault="009734AF" w:rsidP="00197B4C">
            <w:pPr>
              <w:rPr>
                <w:rFonts w:ascii="Arial" w:hAnsi="Arial" w:cs="Arial"/>
                <w:b/>
              </w:rPr>
            </w:pPr>
            <w:r w:rsidRPr="00B92F2B">
              <w:rPr>
                <w:rFonts w:ascii="Arial" w:hAnsi="Arial" w:cs="Arial"/>
                <w:b/>
              </w:rPr>
              <w:t>Rate Class</w:t>
            </w:r>
          </w:p>
        </w:tc>
        <w:tc>
          <w:tcPr>
            <w:tcW w:w="241" w:type="dxa"/>
          </w:tcPr>
          <w:p w:rsidR="009734AF" w:rsidRPr="00B92F2B" w:rsidRDefault="009734AF" w:rsidP="00197B4C">
            <w:pPr>
              <w:rPr>
                <w:rFonts w:ascii="Arial" w:hAnsi="Arial" w:cs="Arial"/>
              </w:rPr>
            </w:pPr>
          </w:p>
        </w:tc>
        <w:tc>
          <w:tcPr>
            <w:tcW w:w="2099" w:type="dxa"/>
            <w:tcBorders>
              <w:bottom w:val="single" w:sz="12" w:space="0" w:color="auto"/>
            </w:tcBorders>
            <w:noWrap/>
            <w:vAlign w:val="bottom"/>
          </w:tcPr>
          <w:p w:rsidR="009734AF" w:rsidRPr="00B92F2B" w:rsidRDefault="009734AF" w:rsidP="00197B4C">
            <w:pPr>
              <w:rPr>
                <w:rFonts w:ascii="Arial" w:hAnsi="Arial" w:cs="Arial"/>
                <w:b/>
              </w:rPr>
            </w:pPr>
            <w:r w:rsidRPr="00B92F2B">
              <w:rPr>
                <w:rFonts w:ascii="Arial" w:hAnsi="Arial" w:cs="Arial"/>
                <w:b/>
              </w:rPr>
              <w:t>GSA Revenue</w:t>
            </w:r>
          </w:p>
        </w:tc>
        <w:tc>
          <w:tcPr>
            <w:tcW w:w="246" w:type="dxa"/>
          </w:tcPr>
          <w:p w:rsidR="009734AF" w:rsidRPr="00B92F2B" w:rsidRDefault="009734AF" w:rsidP="00197B4C">
            <w:pPr>
              <w:rPr>
                <w:rFonts w:ascii="Arial" w:hAnsi="Arial" w:cs="Arial"/>
              </w:rPr>
            </w:pPr>
          </w:p>
        </w:tc>
        <w:tc>
          <w:tcPr>
            <w:tcW w:w="2184" w:type="dxa"/>
            <w:tcBorders>
              <w:bottom w:val="single" w:sz="12" w:space="0" w:color="auto"/>
            </w:tcBorders>
            <w:noWrap/>
            <w:vAlign w:val="bottom"/>
          </w:tcPr>
          <w:p w:rsidR="009734AF" w:rsidRPr="00B92F2B" w:rsidRDefault="009734AF" w:rsidP="00197B4C">
            <w:pPr>
              <w:rPr>
                <w:rFonts w:ascii="Arial" w:hAnsi="Arial" w:cs="Arial"/>
              </w:rPr>
            </w:pPr>
          </w:p>
          <w:p w:rsidR="009734AF" w:rsidRPr="00B92F2B" w:rsidRDefault="009734AF" w:rsidP="00197B4C">
            <w:pPr>
              <w:rPr>
                <w:rFonts w:ascii="Arial" w:hAnsi="Arial" w:cs="Arial"/>
              </w:rPr>
            </w:pPr>
          </w:p>
          <w:p w:rsidR="009734AF" w:rsidRPr="00B92F2B" w:rsidRDefault="009734AF" w:rsidP="00197B4C">
            <w:pPr>
              <w:rPr>
                <w:rFonts w:ascii="Arial" w:hAnsi="Arial" w:cs="Arial"/>
                <w:b/>
              </w:rPr>
            </w:pPr>
            <w:r w:rsidRPr="00B92F2B">
              <w:rPr>
                <w:rFonts w:ascii="Arial" w:hAnsi="Arial" w:cs="Arial"/>
                <w:b/>
              </w:rPr>
              <w:t>GSA Costs</w:t>
            </w:r>
          </w:p>
        </w:tc>
        <w:tc>
          <w:tcPr>
            <w:tcW w:w="270" w:type="dxa"/>
          </w:tcPr>
          <w:p w:rsidR="009734AF" w:rsidRPr="00B92F2B" w:rsidRDefault="009734AF" w:rsidP="00197B4C">
            <w:pPr>
              <w:rPr>
                <w:rFonts w:ascii="Arial" w:hAnsi="Arial" w:cs="Arial"/>
              </w:rPr>
            </w:pPr>
          </w:p>
        </w:tc>
        <w:tc>
          <w:tcPr>
            <w:tcW w:w="1980" w:type="dxa"/>
            <w:tcBorders>
              <w:bottom w:val="single" w:sz="12" w:space="0" w:color="auto"/>
            </w:tcBorders>
            <w:noWrap/>
            <w:vAlign w:val="bottom"/>
          </w:tcPr>
          <w:p w:rsidR="009734AF" w:rsidRPr="00B92F2B" w:rsidRDefault="009734AF" w:rsidP="00197B4C">
            <w:pPr>
              <w:rPr>
                <w:rFonts w:ascii="Arial" w:hAnsi="Arial" w:cs="Arial"/>
                <w:b/>
              </w:rPr>
            </w:pPr>
            <w:r w:rsidRPr="00B92F2B">
              <w:rPr>
                <w:rFonts w:ascii="Arial" w:hAnsi="Arial" w:cs="Arial"/>
                <w:b/>
              </w:rPr>
              <w:t>Over/(Under)</w:t>
            </w:r>
          </w:p>
          <w:p w:rsidR="009734AF" w:rsidRPr="00B92F2B" w:rsidRDefault="009734AF" w:rsidP="00197B4C">
            <w:pPr>
              <w:rPr>
                <w:rFonts w:ascii="Arial" w:hAnsi="Arial" w:cs="Arial"/>
              </w:rPr>
            </w:pPr>
            <w:r w:rsidRPr="00B92F2B">
              <w:rPr>
                <w:rFonts w:ascii="Arial" w:hAnsi="Arial" w:cs="Arial"/>
                <w:b/>
              </w:rPr>
              <w:t>Collections</w:t>
            </w:r>
          </w:p>
        </w:tc>
      </w:tr>
      <w:tr w:rsidR="009734AF" w:rsidRPr="008E7086" w:rsidTr="00197B4C">
        <w:trPr>
          <w:trHeight w:val="83"/>
        </w:trPr>
        <w:tc>
          <w:tcPr>
            <w:tcW w:w="2610" w:type="dxa"/>
            <w:tcBorders>
              <w:top w:val="single" w:sz="12" w:space="0" w:color="auto"/>
            </w:tcBorders>
            <w:noWrap/>
          </w:tcPr>
          <w:p w:rsidR="009734AF" w:rsidRPr="008E7086" w:rsidRDefault="009734AF" w:rsidP="00197B4C">
            <w:pPr>
              <w:rPr>
                <w:rFonts w:ascii="Arial" w:hAnsi="Arial" w:cs="Arial"/>
              </w:rPr>
            </w:pPr>
          </w:p>
        </w:tc>
        <w:tc>
          <w:tcPr>
            <w:tcW w:w="241" w:type="dxa"/>
          </w:tcPr>
          <w:p w:rsidR="009734AF" w:rsidRPr="001822BA" w:rsidRDefault="009734AF" w:rsidP="00197B4C">
            <w:pPr>
              <w:rPr>
                <w:rFonts w:ascii="Arial" w:hAnsi="Arial" w:cs="Arial"/>
              </w:rPr>
            </w:pPr>
          </w:p>
        </w:tc>
        <w:tc>
          <w:tcPr>
            <w:tcW w:w="2099" w:type="dxa"/>
            <w:tcBorders>
              <w:top w:val="single" w:sz="12" w:space="0" w:color="auto"/>
            </w:tcBorders>
            <w:noWrap/>
          </w:tcPr>
          <w:p w:rsidR="009734AF" w:rsidRPr="004E4A8A" w:rsidRDefault="009734AF" w:rsidP="00197B4C">
            <w:pPr>
              <w:rPr>
                <w:rFonts w:ascii="Arial" w:hAnsi="Arial" w:cs="Arial"/>
                <w:sz w:val="20"/>
              </w:rPr>
            </w:pPr>
            <w:r w:rsidRPr="004E4A8A">
              <w:rPr>
                <w:rFonts w:ascii="Arial" w:hAnsi="Arial" w:cs="Arial"/>
                <w:sz w:val="20"/>
              </w:rPr>
              <w:t>(1)</w:t>
            </w:r>
          </w:p>
        </w:tc>
        <w:tc>
          <w:tcPr>
            <w:tcW w:w="246" w:type="dxa"/>
          </w:tcPr>
          <w:p w:rsidR="009734AF" w:rsidRPr="004E4A8A" w:rsidRDefault="009734AF" w:rsidP="00197B4C">
            <w:pPr>
              <w:rPr>
                <w:rFonts w:ascii="Arial" w:hAnsi="Arial" w:cs="Arial"/>
                <w:sz w:val="20"/>
              </w:rPr>
            </w:pPr>
          </w:p>
        </w:tc>
        <w:tc>
          <w:tcPr>
            <w:tcW w:w="2184" w:type="dxa"/>
            <w:tcBorders>
              <w:top w:val="single" w:sz="12" w:space="0" w:color="auto"/>
            </w:tcBorders>
            <w:noWrap/>
          </w:tcPr>
          <w:p w:rsidR="009734AF" w:rsidRPr="004E4A8A" w:rsidRDefault="009734AF" w:rsidP="00197B4C">
            <w:pPr>
              <w:rPr>
                <w:rFonts w:ascii="Arial" w:hAnsi="Arial" w:cs="Arial"/>
                <w:sz w:val="20"/>
              </w:rPr>
            </w:pPr>
            <w:r w:rsidRPr="004E4A8A">
              <w:rPr>
                <w:rFonts w:ascii="Arial" w:hAnsi="Arial" w:cs="Arial"/>
                <w:sz w:val="20"/>
              </w:rPr>
              <w:t>(2)</w:t>
            </w:r>
          </w:p>
        </w:tc>
        <w:tc>
          <w:tcPr>
            <w:tcW w:w="270" w:type="dxa"/>
          </w:tcPr>
          <w:p w:rsidR="009734AF" w:rsidRPr="004E4A8A" w:rsidRDefault="009734AF" w:rsidP="00197B4C">
            <w:pPr>
              <w:rPr>
                <w:rFonts w:ascii="Arial" w:hAnsi="Arial" w:cs="Arial"/>
                <w:sz w:val="20"/>
              </w:rPr>
            </w:pPr>
          </w:p>
        </w:tc>
        <w:tc>
          <w:tcPr>
            <w:tcW w:w="1980" w:type="dxa"/>
            <w:tcBorders>
              <w:top w:val="single" w:sz="12" w:space="0" w:color="auto"/>
            </w:tcBorders>
            <w:noWrap/>
          </w:tcPr>
          <w:p w:rsidR="009734AF" w:rsidRPr="004E4A8A" w:rsidRDefault="009734AF" w:rsidP="00197B4C">
            <w:pPr>
              <w:rPr>
                <w:rFonts w:ascii="Arial" w:hAnsi="Arial" w:cs="Arial"/>
                <w:sz w:val="20"/>
              </w:rPr>
            </w:pPr>
            <w:r w:rsidRPr="004E4A8A">
              <w:rPr>
                <w:rFonts w:ascii="Arial" w:hAnsi="Arial" w:cs="Arial"/>
                <w:sz w:val="20"/>
              </w:rPr>
              <w:t>(3)</w:t>
            </w:r>
            <w:r>
              <w:rPr>
                <w:rFonts w:ascii="Arial" w:hAnsi="Arial" w:cs="Arial"/>
                <w:sz w:val="20"/>
              </w:rPr>
              <w:t xml:space="preserve"> </w:t>
            </w:r>
            <w:r w:rsidRPr="004E4A8A">
              <w:rPr>
                <w:rFonts w:ascii="Arial" w:hAnsi="Arial" w:cs="Arial"/>
                <w:sz w:val="20"/>
              </w:rPr>
              <w:t>=</w:t>
            </w:r>
            <w:r>
              <w:rPr>
                <w:rFonts w:ascii="Arial" w:hAnsi="Arial" w:cs="Arial"/>
                <w:sz w:val="20"/>
              </w:rPr>
              <w:t xml:space="preserve"> </w:t>
            </w:r>
            <w:r w:rsidRPr="004E4A8A">
              <w:rPr>
                <w:rFonts w:ascii="Arial" w:hAnsi="Arial" w:cs="Arial"/>
                <w:sz w:val="20"/>
              </w:rPr>
              <w:t>(1)</w:t>
            </w:r>
            <w:r>
              <w:rPr>
                <w:rFonts w:ascii="Arial" w:hAnsi="Arial" w:cs="Arial"/>
                <w:sz w:val="20"/>
              </w:rPr>
              <w:t xml:space="preserve"> </w:t>
            </w:r>
            <w:r w:rsidRPr="004E4A8A">
              <w:rPr>
                <w:rFonts w:ascii="Arial" w:hAnsi="Arial" w:cs="Arial"/>
                <w:sz w:val="20"/>
              </w:rPr>
              <w:t>-</w:t>
            </w:r>
            <w:r>
              <w:rPr>
                <w:rFonts w:ascii="Arial" w:hAnsi="Arial" w:cs="Arial"/>
                <w:sz w:val="20"/>
              </w:rPr>
              <w:t xml:space="preserve"> </w:t>
            </w:r>
            <w:r w:rsidRPr="004E4A8A">
              <w:rPr>
                <w:rFonts w:ascii="Arial" w:hAnsi="Arial" w:cs="Arial"/>
                <w:sz w:val="20"/>
              </w:rPr>
              <w:t>(2)</w:t>
            </w:r>
          </w:p>
        </w:tc>
      </w:tr>
      <w:tr w:rsidR="009734AF" w:rsidRPr="008E7086" w:rsidTr="00197B4C">
        <w:trPr>
          <w:trHeight w:val="83"/>
        </w:trPr>
        <w:tc>
          <w:tcPr>
            <w:tcW w:w="2610" w:type="dxa"/>
            <w:noWrap/>
          </w:tcPr>
          <w:p w:rsidR="009734AF" w:rsidRPr="008E7086" w:rsidRDefault="009734AF" w:rsidP="00197B4C">
            <w:pPr>
              <w:rPr>
                <w:rFonts w:ascii="Arial" w:hAnsi="Arial" w:cs="Arial"/>
              </w:rPr>
            </w:pPr>
          </w:p>
        </w:tc>
        <w:tc>
          <w:tcPr>
            <w:tcW w:w="241" w:type="dxa"/>
          </w:tcPr>
          <w:p w:rsidR="009734AF" w:rsidRPr="008E7086" w:rsidRDefault="009734AF" w:rsidP="00197B4C">
            <w:pPr>
              <w:rPr>
                <w:rFonts w:ascii="Arial" w:hAnsi="Arial" w:cs="Arial"/>
              </w:rPr>
            </w:pPr>
          </w:p>
        </w:tc>
        <w:tc>
          <w:tcPr>
            <w:tcW w:w="2099" w:type="dxa"/>
            <w:noWrap/>
          </w:tcPr>
          <w:p w:rsidR="009734AF" w:rsidRPr="008E7086" w:rsidRDefault="009734AF" w:rsidP="00197B4C">
            <w:pPr>
              <w:rPr>
                <w:rFonts w:ascii="Arial" w:hAnsi="Arial" w:cs="Arial"/>
              </w:rPr>
            </w:pPr>
          </w:p>
        </w:tc>
        <w:tc>
          <w:tcPr>
            <w:tcW w:w="246" w:type="dxa"/>
          </w:tcPr>
          <w:p w:rsidR="009734AF" w:rsidRPr="008E7086" w:rsidRDefault="009734AF" w:rsidP="00197B4C">
            <w:pPr>
              <w:rPr>
                <w:rFonts w:ascii="Arial" w:hAnsi="Arial" w:cs="Arial"/>
              </w:rPr>
            </w:pPr>
          </w:p>
        </w:tc>
        <w:tc>
          <w:tcPr>
            <w:tcW w:w="2184" w:type="dxa"/>
            <w:noWrap/>
          </w:tcPr>
          <w:p w:rsidR="009734AF" w:rsidRPr="008E7086" w:rsidRDefault="009734AF" w:rsidP="00197B4C">
            <w:pPr>
              <w:rPr>
                <w:rFonts w:ascii="Arial" w:hAnsi="Arial" w:cs="Arial"/>
              </w:rPr>
            </w:pPr>
          </w:p>
        </w:tc>
        <w:tc>
          <w:tcPr>
            <w:tcW w:w="270" w:type="dxa"/>
          </w:tcPr>
          <w:p w:rsidR="009734AF" w:rsidRPr="008E7086" w:rsidRDefault="009734AF" w:rsidP="00197B4C">
            <w:pPr>
              <w:rPr>
                <w:rFonts w:ascii="Arial" w:hAnsi="Arial" w:cs="Arial"/>
              </w:rPr>
            </w:pPr>
          </w:p>
        </w:tc>
        <w:tc>
          <w:tcPr>
            <w:tcW w:w="1980" w:type="dxa"/>
            <w:noWrap/>
          </w:tcPr>
          <w:p w:rsidR="009734AF" w:rsidRPr="008E7086" w:rsidRDefault="009734AF" w:rsidP="00197B4C">
            <w:pPr>
              <w:rPr>
                <w:rFonts w:ascii="Arial" w:hAnsi="Arial" w:cs="Arial"/>
              </w:rPr>
            </w:pPr>
          </w:p>
        </w:tc>
      </w:tr>
      <w:tr w:rsidR="009734AF" w:rsidRPr="008E7086" w:rsidTr="00197B4C">
        <w:trPr>
          <w:trHeight w:val="209"/>
        </w:trPr>
        <w:tc>
          <w:tcPr>
            <w:tcW w:w="2610" w:type="dxa"/>
            <w:noWrap/>
            <w:vAlign w:val="bottom"/>
          </w:tcPr>
          <w:p w:rsidR="009734AF" w:rsidRPr="008E7086" w:rsidRDefault="009734AF" w:rsidP="00197B4C">
            <w:pPr>
              <w:jc w:val="left"/>
              <w:rPr>
                <w:rFonts w:ascii="Arial" w:hAnsi="Arial" w:cs="Arial"/>
              </w:rPr>
            </w:pPr>
            <w:r w:rsidRPr="008E7086">
              <w:rPr>
                <w:rFonts w:ascii="Arial" w:hAnsi="Arial" w:cs="Arial"/>
              </w:rPr>
              <w:t>Residential</w:t>
            </w:r>
          </w:p>
        </w:tc>
        <w:tc>
          <w:tcPr>
            <w:tcW w:w="241" w:type="dxa"/>
          </w:tcPr>
          <w:p w:rsidR="009734AF" w:rsidRPr="008E7086" w:rsidRDefault="009734AF" w:rsidP="00197B4C">
            <w:pPr>
              <w:jc w:val="right"/>
              <w:rPr>
                <w:rFonts w:ascii="Arial" w:hAnsi="Arial" w:cs="Arial"/>
              </w:rPr>
            </w:pPr>
          </w:p>
        </w:tc>
        <w:tc>
          <w:tcPr>
            <w:tcW w:w="2099" w:type="dxa"/>
            <w:noWrap/>
          </w:tcPr>
          <w:p w:rsidR="009734AF" w:rsidRPr="008E7086" w:rsidRDefault="009734AF" w:rsidP="00197B4C">
            <w:pPr>
              <w:jc w:val="right"/>
              <w:rPr>
                <w:rFonts w:ascii="Arial" w:hAnsi="Arial" w:cs="Arial"/>
              </w:rPr>
            </w:pPr>
            <w:r w:rsidRPr="008E7086">
              <w:rPr>
                <w:rFonts w:ascii="Arial" w:hAnsi="Arial" w:cs="Arial"/>
              </w:rPr>
              <w:t>$</w:t>
            </w:r>
            <w:r>
              <w:rPr>
                <w:rFonts w:ascii="Arial" w:hAnsi="Arial" w:cs="Arial"/>
              </w:rPr>
              <w:t xml:space="preserve">   582,423,139</w:t>
            </w:r>
          </w:p>
        </w:tc>
        <w:tc>
          <w:tcPr>
            <w:tcW w:w="246" w:type="dxa"/>
          </w:tcPr>
          <w:p w:rsidR="009734AF" w:rsidRPr="008E7086" w:rsidRDefault="009734AF" w:rsidP="00197B4C">
            <w:pPr>
              <w:jc w:val="right"/>
              <w:rPr>
                <w:rFonts w:ascii="Arial" w:hAnsi="Arial" w:cs="Arial"/>
              </w:rPr>
            </w:pPr>
          </w:p>
        </w:tc>
        <w:tc>
          <w:tcPr>
            <w:tcW w:w="2184" w:type="dxa"/>
            <w:noWrap/>
          </w:tcPr>
          <w:p w:rsidR="009734AF" w:rsidRPr="008E7086" w:rsidRDefault="009734AF" w:rsidP="00197B4C">
            <w:pPr>
              <w:jc w:val="right"/>
              <w:rPr>
                <w:rFonts w:ascii="Arial" w:hAnsi="Arial" w:cs="Arial"/>
              </w:rPr>
            </w:pPr>
            <w:r w:rsidRPr="008E7086">
              <w:rPr>
                <w:rFonts w:ascii="Arial" w:hAnsi="Arial" w:cs="Arial"/>
              </w:rPr>
              <w:t>$</w:t>
            </w:r>
            <w:r>
              <w:rPr>
                <w:rFonts w:ascii="Arial" w:hAnsi="Arial" w:cs="Arial"/>
              </w:rPr>
              <w:t xml:space="preserve">   585,919,816</w:t>
            </w:r>
          </w:p>
        </w:tc>
        <w:tc>
          <w:tcPr>
            <w:tcW w:w="270" w:type="dxa"/>
          </w:tcPr>
          <w:p w:rsidR="009734AF" w:rsidRPr="008E7086" w:rsidRDefault="009734AF" w:rsidP="00197B4C">
            <w:pPr>
              <w:jc w:val="right"/>
              <w:rPr>
                <w:rFonts w:ascii="Arial" w:hAnsi="Arial" w:cs="Arial"/>
              </w:rPr>
            </w:pPr>
          </w:p>
        </w:tc>
        <w:tc>
          <w:tcPr>
            <w:tcW w:w="1980" w:type="dxa"/>
            <w:noWrap/>
          </w:tcPr>
          <w:p w:rsidR="009734AF" w:rsidRPr="008E7086" w:rsidRDefault="009734AF" w:rsidP="00197B4C">
            <w:pPr>
              <w:jc w:val="right"/>
              <w:rPr>
                <w:rFonts w:ascii="Arial" w:hAnsi="Arial" w:cs="Arial"/>
              </w:rPr>
            </w:pPr>
            <w:r w:rsidRPr="008E7086">
              <w:rPr>
                <w:rFonts w:ascii="Arial" w:hAnsi="Arial" w:cs="Arial"/>
              </w:rPr>
              <w:t>$</w:t>
            </w:r>
            <w:r>
              <w:rPr>
                <w:rFonts w:ascii="Arial" w:hAnsi="Arial" w:cs="Arial"/>
              </w:rPr>
              <w:t xml:space="preserve">   (3,496,677)</w:t>
            </w:r>
          </w:p>
        </w:tc>
      </w:tr>
      <w:tr w:rsidR="009734AF" w:rsidRPr="008E7086" w:rsidTr="00197B4C">
        <w:trPr>
          <w:trHeight w:val="119"/>
        </w:trPr>
        <w:tc>
          <w:tcPr>
            <w:tcW w:w="2610" w:type="dxa"/>
            <w:noWrap/>
            <w:vAlign w:val="bottom"/>
          </w:tcPr>
          <w:p w:rsidR="009734AF" w:rsidRPr="008E7086" w:rsidRDefault="009734AF" w:rsidP="00197B4C">
            <w:pPr>
              <w:jc w:val="left"/>
              <w:rPr>
                <w:rFonts w:ascii="Arial" w:hAnsi="Arial" w:cs="Arial"/>
              </w:rPr>
            </w:pPr>
          </w:p>
        </w:tc>
        <w:tc>
          <w:tcPr>
            <w:tcW w:w="241" w:type="dxa"/>
          </w:tcPr>
          <w:p w:rsidR="009734AF" w:rsidRPr="008E7086" w:rsidRDefault="009734AF" w:rsidP="00197B4C">
            <w:pPr>
              <w:jc w:val="right"/>
              <w:rPr>
                <w:rFonts w:ascii="Arial" w:hAnsi="Arial" w:cs="Arial"/>
              </w:rPr>
            </w:pPr>
          </w:p>
        </w:tc>
        <w:tc>
          <w:tcPr>
            <w:tcW w:w="2099" w:type="dxa"/>
            <w:noWrap/>
          </w:tcPr>
          <w:p w:rsidR="009734AF" w:rsidRPr="008E7086" w:rsidRDefault="009734AF" w:rsidP="00197B4C">
            <w:pPr>
              <w:jc w:val="right"/>
              <w:rPr>
                <w:rFonts w:ascii="Arial" w:hAnsi="Arial" w:cs="Arial"/>
              </w:rPr>
            </w:pPr>
          </w:p>
        </w:tc>
        <w:tc>
          <w:tcPr>
            <w:tcW w:w="246" w:type="dxa"/>
          </w:tcPr>
          <w:p w:rsidR="009734AF" w:rsidRPr="008E7086" w:rsidRDefault="009734AF" w:rsidP="00197B4C">
            <w:pPr>
              <w:jc w:val="right"/>
              <w:rPr>
                <w:rFonts w:ascii="Arial" w:hAnsi="Arial" w:cs="Arial"/>
              </w:rPr>
            </w:pPr>
          </w:p>
        </w:tc>
        <w:tc>
          <w:tcPr>
            <w:tcW w:w="2184" w:type="dxa"/>
            <w:noWrap/>
          </w:tcPr>
          <w:p w:rsidR="009734AF" w:rsidRPr="008E7086" w:rsidRDefault="009734AF" w:rsidP="00197B4C">
            <w:pPr>
              <w:jc w:val="right"/>
              <w:rPr>
                <w:rFonts w:ascii="Arial" w:hAnsi="Arial" w:cs="Arial"/>
              </w:rPr>
            </w:pPr>
          </w:p>
        </w:tc>
        <w:tc>
          <w:tcPr>
            <w:tcW w:w="270" w:type="dxa"/>
          </w:tcPr>
          <w:p w:rsidR="009734AF" w:rsidRPr="008E7086" w:rsidRDefault="009734AF" w:rsidP="00197B4C">
            <w:pPr>
              <w:jc w:val="right"/>
              <w:rPr>
                <w:rFonts w:ascii="Arial" w:hAnsi="Arial" w:cs="Arial"/>
              </w:rPr>
            </w:pPr>
          </w:p>
        </w:tc>
        <w:tc>
          <w:tcPr>
            <w:tcW w:w="1980" w:type="dxa"/>
            <w:noWrap/>
          </w:tcPr>
          <w:p w:rsidR="009734AF" w:rsidRPr="008E7086" w:rsidRDefault="009734AF" w:rsidP="00197B4C">
            <w:pPr>
              <w:jc w:val="right"/>
              <w:rPr>
                <w:rFonts w:ascii="Arial" w:hAnsi="Arial" w:cs="Arial"/>
              </w:rPr>
            </w:pPr>
          </w:p>
        </w:tc>
      </w:tr>
      <w:tr w:rsidR="009734AF" w:rsidRPr="008E7086" w:rsidTr="00197B4C">
        <w:trPr>
          <w:trHeight w:val="380"/>
        </w:trPr>
        <w:tc>
          <w:tcPr>
            <w:tcW w:w="2610" w:type="dxa"/>
            <w:noWrap/>
            <w:vAlign w:val="bottom"/>
          </w:tcPr>
          <w:p w:rsidR="009734AF" w:rsidRPr="008E7086" w:rsidRDefault="009734AF" w:rsidP="00197B4C">
            <w:pPr>
              <w:jc w:val="left"/>
              <w:rPr>
                <w:rFonts w:ascii="Arial" w:hAnsi="Arial" w:cs="Arial"/>
              </w:rPr>
            </w:pPr>
            <w:r w:rsidRPr="008E7086">
              <w:rPr>
                <w:rFonts w:ascii="Arial" w:hAnsi="Arial" w:cs="Arial"/>
              </w:rPr>
              <w:t>Small Commercial</w:t>
            </w:r>
            <w:r>
              <w:rPr>
                <w:rFonts w:ascii="Arial" w:hAnsi="Arial" w:cs="Arial"/>
              </w:rPr>
              <w:t xml:space="preserve"> and Industrial</w:t>
            </w:r>
          </w:p>
        </w:tc>
        <w:tc>
          <w:tcPr>
            <w:tcW w:w="241" w:type="dxa"/>
          </w:tcPr>
          <w:p w:rsidR="009734AF" w:rsidRPr="008E7086" w:rsidRDefault="009734AF" w:rsidP="00197B4C">
            <w:pPr>
              <w:jc w:val="right"/>
              <w:rPr>
                <w:rFonts w:ascii="Arial" w:hAnsi="Arial" w:cs="Arial"/>
              </w:rPr>
            </w:pPr>
          </w:p>
        </w:tc>
        <w:tc>
          <w:tcPr>
            <w:tcW w:w="2099" w:type="dxa"/>
            <w:noWrap/>
            <w:vAlign w:val="bottom"/>
          </w:tcPr>
          <w:p w:rsidR="009734AF" w:rsidRPr="008E7086" w:rsidRDefault="009734AF" w:rsidP="00197B4C">
            <w:pPr>
              <w:jc w:val="right"/>
              <w:rPr>
                <w:rFonts w:ascii="Arial" w:hAnsi="Arial" w:cs="Arial"/>
              </w:rPr>
            </w:pPr>
            <w:r>
              <w:rPr>
                <w:rFonts w:ascii="Arial" w:hAnsi="Arial" w:cs="Arial"/>
              </w:rPr>
              <w:t>109,984,460</w:t>
            </w:r>
          </w:p>
        </w:tc>
        <w:tc>
          <w:tcPr>
            <w:tcW w:w="246" w:type="dxa"/>
            <w:vAlign w:val="bottom"/>
          </w:tcPr>
          <w:p w:rsidR="009734AF" w:rsidRPr="008E7086" w:rsidRDefault="009734AF" w:rsidP="00197B4C">
            <w:pPr>
              <w:jc w:val="right"/>
              <w:rPr>
                <w:rFonts w:ascii="Arial" w:hAnsi="Arial" w:cs="Arial"/>
              </w:rPr>
            </w:pPr>
          </w:p>
        </w:tc>
        <w:tc>
          <w:tcPr>
            <w:tcW w:w="2184" w:type="dxa"/>
            <w:noWrap/>
            <w:vAlign w:val="bottom"/>
          </w:tcPr>
          <w:p w:rsidR="009734AF" w:rsidRPr="008E7086" w:rsidRDefault="009734AF" w:rsidP="00197B4C">
            <w:pPr>
              <w:jc w:val="right"/>
              <w:rPr>
                <w:rFonts w:ascii="Arial" w:hAnsi="Arial" w:cs="Arial"/>
              </w:rPr>
            </w:pPr>
            <w:r>
              <w:rPr>
                <w:rFonts w:ascii="Arial" w:hAnsi="Arial" w:cs="Arial"/>
              </w:rPr>
              <w:t>109,198,156</w:t>
            </w:r>
          </w:p>
        </w:tc>
        <w:tc>
          <w:tcPr>
            <w:tcW w:w="270" w:type="dxa"/>
            <w:vAlign w:val="bottom"/>
          </w:tcPr>
          <w:p w:rsidR="009734AF" w:rsidRPr="008E7086" w:rsidRDefault="009734AF" w:rsidP="00197B4C">
            <w:pPr>
              <w:jc w:val="right"/>
              <w:rPr>
                <w:rFonts w:ascii="Arial" w:hAnsi="Arial" w:cs="Arial"/>
              </w:rPr>
            </w:pPr>
          </w:p>
        </w:tc>
        <w:tc>
          <w:tcPr>
            <w:tcW w:w="1980" w:type="dxa"/>
            <w:noWrap/>
            <w:vAlign w:val="bottom"/>
          </w:tcPr>
          <w:p w:rsidR="009734AF" w:rsidRPr="008E7086" w:rsidRDefault="009734AF" w:rsidP="00197B4C">
            <w:pPr>
              <w:ind w:right="72"/>
              <w:jc w:val="right"/>
              <w:rPr>
                <w:rFonts w:ascii="Arial" w:hAnsi="Arial" w:cs="Arial"/>
              </w:rPr>
            </w:pPr>
            <w:r>
              <w:rPr>
                <w:rFonts w:ascii="Arial" w:hAnsi="Arial" w:cs="Arial"/>
              </w:rPr>
              <w:t>786,304</w:t>
            </w:r>
          </w:p>
        </w:tc>
      </w:tr>
      <w:tr w:rsidR="009734AF" w:rsidRPr="008E7086" w:rsidTr="00197B4C">
        <w:trPr>
          <w:trHeight w:val="281"/>
        </w:trPr>
        <w:tc>
          <w:tcPr>
            <w:tcW w:w="2610" w:type="dxa"/>
            <w:noWrap/>
            <w:vAlign w:val="bottom"/>
          </w:tcPr>
          <w:p w:rsidR="009734AF" w:rsidRPr="008E7086" w:rsidRDefault="009734AF" w:rsidP="00197B4C">
            <w:pPr>
              <w:jc w:val="left"/>
              <w:rPr>
                <w:rFonts w:ascii="Arial" w:hAnsi="Arial" w:cs="Arial"/>
              </w:rPr>
            </w:pPr>
          </w:p>
        </w:tc>
        <w:tc>
          <w:tcPr>
            <w:tcW w:w="241" w:type="dxa"/>
          </w:tcPr>
          <w:p w:rsidR="009734AF" w:rsidRPr="008E7086" w:rsidRDefault="009734AF" w:rsidP="00197B4C">
            <w:pPr>
              <w:jc w:val="right"/>
              <w:rPr>
                <w:rFonts w:ascii="Arial" w:hAnsi="Arial" w:cs="Arial"/>
              </w:rPr>
            </w:pPr>
          </w:p>
        </w:tc>
        <w:tc>
          <w:tcPr>
            <w:tcW w:w="2099" w:type="dxa"/>
            <w:noWrap/>
          </w:tcPr>
          <w:p w:rsidR="009734AF" w:rsidRPr="008E7086" w:rsidRDefault="009734AF" w:rsidP="00197B4C">
            <w:pPr>
              <w:jc w:val="right"/>
              <w:rPr>
                <w:rFonts w:ascii="Arial" w:hAnsi="Arial" w:cs="Arial"/>
              </w:rPr>
            </w:pPr>
          </w:p>
        </w:tc>
        <w:tc>
          <w:tcPr>
            <w:tcW w:w="246" w:type="dxa"/>
          </w:tcPr>
          <w:p w:rsidR="009734AF" w:rsidRPr="008E7086" w:rsidRDefault="009734AF" w:rsidP="00197B4C">
            <w:pPr>
              <w:jc w:val="right"/>
              <w:rPr>
                <w:rFonts w:ascii="Arial" w:hAnsi="Arial" w:cs="Arial"/>
              </w:rPr>
            </w:pPr>
          </w:p>
        </w:tc>
        <w:tc>
          <w:tcPr>
            <w:tcW w:w="2184" w:type="dxa"/>
            <w:noWrap/>
          </w:tcPr>
          <w:p w:rsidR="009734AF" w:rsidRPr="008E7086" w:rsidRDefault="009734AF" w:rsidP="00197B4C">
            <w:pPr>
              <w:jc w:val="right"/>
              <w:rPr>
                <w:rFonts w:ascii="Arial" w:hAnsi="Arial" w:cs="Arial"/>
              </w:rPr>
            </w:pPr>
          </w:p>
        </w:tc>
        <w:tc>
          <w:tcPr>
            <w:tcW w:w="270" w:type="dxa"/>
          </w:tcPr>
          <w:p w:rsidR="009734AF" w:rsidRPr="008E7086" w:rsidRDefault="009734AF" w:rsidP="00197B4C">
            <w:pPr>
              <w:jc w:val="right"/>
              <w:rPr>
                <w:rFonts w:ascii="Arial" w:hAnsi="Arial" w:cs="Arial"/>
              </w:rPr>
            </w:pPr>
          </w:p>
        </w:tc>
        <w:tc>
          <w:tcPr>
            <w:tcW w:w="1980" w:type="dxa"/>
            <w:noWrap/>
          </w:tcPr>
          <w:p w:rsidR="009734AF" w:rsidRPr="008E7086" w:rsidRDefault="009734AF" w:rsidP="00197B4C">
            <w:pPr>
              <w:jc w:val="right"/>
              <w:rPr>
                <w:rFonts w:ascii="Arial" w:hAnsi="Arial" w:cs="Arial"/>
              </w:rPr>
            </w:pPr>
          </w:p>
        </w:tc>
      </w:tr>
      <w:tr w:rsidR="009734AF" w:rsidRPr="008E7086" w:rsidTr="00197B4C">
        <w:trPr>
          <w:trHeight w:val="255"/>
        </w:trPr>
        <w:tc>
          <w:tcPr>
            <w:tcW w:w="2610" w:type="dxa"/>
            <w:noWrap/>
            <w:vAlign w:val="bottom"/>
          </w:tcPr>
          <w:p w:rsidR="009734AF" w:rsidRPr="008E7086" w:rsidRDefault="009734AF" w:rsidP="00197B4C">
            <w:pPr>
              <w:jc w:val="left"/>
              <w:rPr>
                <w:rFonts w:ascii="Arial" w:hAnsi="Arial" w:cs="Arial"/>
              </w:rPr>
            </w:pPr>
            <w:r w:rsidRPr="008E7086">
              <w:rPr>
                <w:rFonts w:ascii="Arial" w:hAnsi="Arial" w:cs="Arial"/>
              </w:rPr>
              <w:t>Medium Commercial</w:t>
            </w:r>
            <w:r>
              <w:rPr>
                <w:rFonts w:ascii="Arial" w:hAnsi="Arial" w:cs="Arial"/>
              </w:rPr>
              <w:t xml:space="preserve"> and Industrial</w:t>
            </w:r>
          </w:p>
        </w:tc>
        <w:tc>
          <w:tcPr>
            <w:tcW w:w="241" w:type="dxa"/>
          </w:tcPr>
          <w:p w:rsidR="009734AF" w:rsidRPr="008E7086" w:rsidRDefault="009734AF" w:rsidP="00197B4C">
            <w:pPr>
              <w:jc w:val="right"/>
              <w:rPr>
                <w:rFonts w:ascii="Arial" w:hAnsi="Arial" w:cs="Arial"/>
              </w:rPr>
            </w:pPr>
          </w:p>
        </w:tc>
        <w:tc>
          <w:tcPr>
            <w:tcW w:w="2099" w:type="dxa"/>
            <w:noWrap/>
            <w:vAlign w:val="bottom"/>
          </w:tcPr>
          <w:p w:rsidR="009734AF" w:rsidRPr="008E7086" w:rsidRDefault="009734AF" w:rsidP="00197B4C">
            <w:pPr>
              <w:jc w:val="right"/>
              <w:rPr>
                <w:rFonts w:ascii="Arial" w:hAnsi="Arial" w:cs="Arial"/>
              </w:rPr>
            </w:pPr>
            <w:r>
              <w:rPr>
                <w:rFonts w:ascii="Arial" w:hAnsi="Arial" w:cs="Arial"/>
              </w:rPr>
              <w:t>18,2</w:t>
            </w:r>
            <w:r w:rsidR="00132DA1">
              <w:rPr>
                <w:rFonts w:ascii="Arial" w:hAnsi="Arial" w:cs="Arial"/>
              </w:rPr>
              <w:t>69</w:t>
            </w:r>
            <w:r>
              <w:rPr>
                <w:rFonts w:ascii="Arial" w:hAnsi="Arial" w:cs="Arial"/>
              </w:rPr>
              <w:t>,605</w:t>
            </w:r>
          </w:p>
        </w:tc>
        <w:tc>
          <w:tcPr>
            <w:tcW w:w="246" w:type="dxa"/>
            <w:vAlign w:val="bottom"/>
          </w:tcPr>
          <w:p w:rsidR="009734AF" w:rsidRPr="008E7086" w:rsidRDefault="009734AF" w:rsidP="00197B4C">
            <w:pPr>
              <w:jc w:val="right"/>
              <w:rPr>
                <w:rFonts w:ascii="Arial" w:hAnsi="Arial" w:cs="Arial"/>
              </w:rPr>
            </w:pPr>
          </w:p>
        </w:tc>
        <w:tc>
          <w:tcPr>
            <w:tcW w:w="2184" w:type="dxa"/>
            <w:noWrap/>
            <w:vAlign w:val="bottom"/>
          </w:tcPr>
          <w:p w:rsidR="009734AF" w:rsidRPr="008E7086" w:rsidRDefault="009734AF" w:rsidP="00197B4C">
            <w:pPr>
              <w:jc w:val="right"/>
              <w:rPr>
                <w:rFonts w:ascii="Arial" w:hAnsi="Arial" w:cs="Arial"/>
              </w:rPr>
            </w:pPr>
            <w:r>
              <w:rPr>
                <w:rFonts w:ascii="Arial" w:hAnsi="Arial" w:cs="Arial"/>
              </w:rPr>
              <w:t>17,732,618</w:t>
            </w:r>
          </w:p>
        </w:tc>
        <w:tc>
          <w:tcPr>
            <w:tcW w:w="270" w:type="dxa"/>
            <w:vAlign w:val="bottom"/>
          </w:tcPr>
          <w:p w:rsidR="009734AF" w:rsidRPr="008E7086" w:rsidRDefault="009734AF" w:rsidP="00197B4C">
            <w:pPr>
              <w:jc w:val="right"/>
              <w:rPr>
                <w:rFonts w:ascii="Arial" w:hAnsi="Arial" w:cs="Arial"/>
              </w:rPr>
            </w:pPr>
          </w:p>
        </w:tc>
        <w:tc>
          <w:tcPr>
            <w:tcW w:w="1980" w:type="dxa"/>
            <w:noWrap/>
            <w:vAlign w:val="bottom"/>
          </w:tcPr>
          <w:p w:rsidR="009734AF" w:rsidRPr="008E7086" w:rsidRDefault="009734AF" w:rsidP="00197B4C">
            <w:pPr>
              <w:ind w:right="72"/>
              <w:jc w:val="right"/>
              <w:rPr>
                <w:rFonts w:ascii="Arial" w:hAnsi="Arial" w:cs="Arial"/>
              </w:rPr>
            </w:pPr>
            <w:r>
              <w:rPr>
                <w:rFonts w:ascii="Arial" w:hAnsi="Arial" w:cs="Arial"/>
              </w:rPr>
              <w:t>536,987</w:t>
            </w:r>
          </w:p>
        </w:tc>
      </w:tr>
      <w:tr w:rsidR="009734AF" w:rsidRPr="008E7086" w:rsidTr="00197B4C">
        <w:trPr>
          <w:trHeight w:val="255"/>
        </w:trPr>
        <w:tc>
          <w:tcPr>
            <w:tcW w:w="2610" w:type="dxa"/>
            <w:noWrap/>
            <w:vAlign w:val="bottom"/>
          </w:tcPr>
          <w:p w:rsidR="009734AF" w:rsidRPr="008E7086" w:rsidRDefault="009734AF" w:rsidP="00197B4C">
            <w:pPr>
              <w:jc w:val="left"/>
              <w:rPr>
                <w:rFonts w:ascii="Arial" w:hAnsi="Arial" w:cs="Arial"/>
              </w:rPr>
            </w:pPr>
          </w:p>
        </w:tc>
        <w:tc>
          <w:tcPr>
            <w:tcW w:w="241" w:type="dxa"/>
          </w:tcPr>
          <w:p w:rsidR="009734AF" w:rsidRPr="008E7086" w:rsidRDefault="009734AF" w:rsidP="00197B4C">
            <w:pPr>
              <w:jc w:val="right"/>
              <w:rPr>
                <w:rFonts w:ascii="Arial" w:hAnsi="Arial" w:cs="Arial"/>
              </w:rPr>
            </w:pPr>
          </w:p>
        </w:tc>
        <w:tc>
          <w:tcPr>
            <w:tcW w:w="2099" w:type="dxa"/>
            <w:noWrap/>
            <w:vAlign w:val="bottom"/>
          </w:tcPr>
          <w:p w:rsidR="009734AF" w:rsidRDefault="009734AF" w:rsidP="00197B4C">
            <w:pPr>
              <w:jc w:val="right"/>
              <w:rPr>
                <w:rFonts w:ascii="Arial" w:hAnsi="Arial" w:cs="Arial"/>
              </w:rPr>
            </w:pPr>
          </w:p>
        </w:tc>
        <w:tc>
          <w:tcPr>
            <w:tcW w:w="246" w:type="dxa"/>
            <w:vAlign w:val="bottom"/>
          </w:tcPr>
          <w:p w:rsidR="009734AF" w:rsidRPr="008E7086" w:rsidRDefault="009734AF" w:rsidP="00197B4C">
            <w:pPr>
              <w:jc w:val="right"/>
              <w:rPr>
                <w:rFonts w:ascii="Arial" w:hAnsi="Arial" w:cs="Arial"/>
              </w:rPr>
            </w:pPr>
          </w:p>
        </w:tc>
        <w:tc>
          <w:tcPr>
            <w:tcW w:w="2184" w:type="dxa"/>
            <w:noWrap/>
            <w:vAlign w:val="bottom"/>
          </w:tcPr>
          <w:p w:rsidR="009734AF" w:rsidRDefault="009734AF" w:rsidP="00197B4C">
            <w:pPr>
              <w:jc w:val="right"/>
              <w:rPr>
                <w:rFonts w:ascii="Arial" w:hAnsi="Arial" w:cs="Arial"/>
              </w:rPr>
            </w:pPr>
          </w:p>
        </w:tc>
        <w:tc>
          <w:tcPr>
            <w:tcW w:w="270" w:type="dxa"/>
            <w:vAlign w:val="bottom"/>
          </w:tcPr>
          <w:p w:rsidR="009734AF" w:rsidRPr="008E7086" w:rsidRDefault="009734AF" w:rsidP="00197B4C">
            <w:pPr>
              <w:jc w:val="right"/>
              <w:rPr>
                <w:rFonts w:ascii="Arial" w:hAnsi="Arial" w:cs="Arial"/>
              </w:rPr>
            </w:pPr>
          </w:p>
        </w:tc>
        <w:tc>
          <w:tcPr>
            <w:tcW w:w="1980" w:type="dxa"/>
            <w:noWrap/>
            <w:vAlign w:val="bottom"/>
          </w:tcPr>
          <w:p w:rsidR="009734AF" w:rsidRDefault="009734AF" w:rsidP="00197B4C">
            <w:pPr>
              <w:jc w:val="right"/>
              <w:rPr>
                <w:rFonts w:ascii="Arial" w:hAnsi="Arial" w:cs="Arial"/>
              </w:rPr>
            </w:pPr>
          </w:p>
        </w:tc>
      </w:tr>
      <w:tr w:rsidR="009734AF" w:rsidRPr="008E7086" w:rsidTr="00197B4C">
        <w:trPr>
          <w:trHeight w:val="255"/>
        </w:trPr>
        <w:tc>
          <w:tcPr>
            <w:tcW w:w="2610" w:type="dxa"/>
            <w:noWrap/>
            <w:vAlign w:val="bottom"/>
          </w:tcPr>
          <w:p w:rsidR="009734AF" w:rsidRPr="008E7086" w:rsidRDefault="009734AF" w:rsidP="00197B4C">
            <w:pPr>
              <w:jc w:val="left"/>
              <w:rPr>
                <w:rFonts w:ascii="Arial" w:hAnsi="Arial" w:cs="Arial"/>
              </w:rPr>
            </w:pPr>
            <w:r w:rsidRPr="008E7086">
              <w:rPr>
                <w:rFonts w:ascii="Arial" w:hAnsi="Arial" w:cs="Arial"/>
              </w:rPr>
              <w:t>Medium Commercial</w:t>
            </w:r>
            <w:r>
              <w:rPr>
                <w:rFonts w:ascii="Arial" w:hAnsi="Arial" w:cs="Arial"/>
              </w:rPr>
              <w:t xml:space="preserve"> and Industrial (Hourly)</w:t>
            </w:r>
          </w:p>
        </w:tc>
        <w:tc>
          <w:tcPr>
            <w:tcW w:w="241" w:type="dxa"/>
          </w:tcPr>
          <w:p w:rsidR="009734AF" w:rsidRPr="008E7086" w:rsidRDefault="009734AF" w:rsidP="00197B4C">
            <w:pPr>
              <w:jc w:val="right"/>
              <w:rPr>
                <w:rFonts w:ascii="Arial" w:hAnsi="Arial" w:cs="Arial"/>
              </w:rPr>
            </w:pPr>
          </w:p>
        </w:tc>
        <w:tc>
          <w:tcPr>
            <w:tcW w:w="2099" w:type="dxa"/>
            <w:noWrap/>
            <w:vAlign w:val="bottom"/>
          </w:tcPr>
          <w:p w:rsidR="009734AF" w:rsidRDefault="009734AF" w:rsidP="00197B4C">
            <w:pPr>
              <w:jc w:val="right"/>
              <w:rPr>
                <w:rFonts w:ascii="Arial" w:hAnsi="Arial" w:cs="Arial"/>
              </w:rPr>
            </w:pPr>
            <w:r>
              <w:rPr>
                <w:rFonts w:ascii="Arial" w:hAnsi="Arial" w:cs="Arial"/>
              </w:rPr>
              <w:t>13,870,454</w:t>
            </w:r>
          </w:p>
        </w:tc>
        <w:tc>
          <w:tcPr>
            <w:tcW w:w="246" w:type="dxa"/>
            <w:vAlign w:val="bottom"/>
          </w:tcPr>
          <w:p w:rsidR="009734AF" w:rsidRPr="008E7086" w:rsidRDefault="009734AF" w:rsidP="00197B4C">
            <w:pPr>
              <w:jc w:val="right"/>
              <w:rPr>
                <w:rFonts w:ascii="Arial" w:hAnsi="Arial" w:cs="Arial"/>
              </w:rPr>
            </w:pPr>
          </w:p>
        </w:tc>
        <w:tc>
          <w:tcPr>
            <w:tcW w:w="2184" w:type="dxa"/>
            <w:noWrap/>
            <w:vAlign w:val="bottom"/>
          </w:tcPr>
          <w:p w:rsidR="009734AF" w:rsidRDefault="009734AF" w:rsidP="00197B4C">
            <w:pPr>
              <w:jc w:val="right"/>
              <w:rPr>
                <w:rFonts w:ascii="Arial" w:hAnsi="Arial" w:cs="Arial"/>
              </w:rPr>
            </w:pPr>
            <w:r>
              <w:rPr>
                <w:rFonts w:ascii="Arial" w:hAnsi="Arial" w:cs="Arial"/>
              </w:rPr>
              <w:t>13,950,718</w:t>
            </w:r>
          </w:p>
        </w:tc>
        <w:tc>
          <w:tcPr>
            <w:tcW w:w="270" w:type="dxa"/>
            <w:vAlign w:val="bottom"/>
          </w:tcPr>
          <w:p w:rsidR="009734AF" w:rsidRPr="008E7086" w:rsidRDefault="009734AF" w:rsidP="00197B4C">
            <w:pPr>
              <w:jc w:val="right"/>
              <w:rPr>
                <w:rFonts w:ascii="Arial" w:hAnsi="Arial" w:cs="Arial"/>
              </w:rPr>
            </w:pPr>
          </w:p>
        </w:tc>
        <w:tc>
          <w:tcPr>
            <w:tcW w:w="1980" w:type="dxa"/>
            <w:noWrap/>
            <w:vAlign w:val="bottom"/>
          </w:tcPr>
          <w:p w:rsidR="009734AF" w:rsidRDefault="009734AF" w:rsidP="00197B4C">
            <w:pPr>
              <w:jc w:val="right"/>
              <w:rPr>
                <w:rFonts w:ascii="Arial" w:hAnsi="Arial" w:cs="Arial"/>
              </w:rPr>
            </w:pPr>
            <w:r>
              <w:rPr>
                <w:rFonts w:ascii="Arial" w:hAnsi="Arial" w:cs="Arial"/>
              </w:rPr>
              <w:t>(80,264)</w:t>
            </w:r>
          </w:p>
        </w:tc>
      </w:tr>
      <w:tr w:rsidR="009734AF" w:rsidRPr="008E7086" w:rsidTr="00197B4C">
        <w:trPr>
          <w:trHeight w:val="255"/>
        </w:trPr>
        <w:tc>
          <w:tcPr>
            <w:tcW w:w="2610" w:type="dxa"/>
            <w:noWrap/>
            <w:vAlign w:val="bottom"/>
          </w:tcPr>
          <w:p w:rsidR="009734AF" w:rsidRPr="008E7086" w:rsidRDefault="009734AF" w:rsidP="00197B4C">
            <w:pPr>
              <w:jc w:val="left"/>
              <w:rPr>
                <w:rFonts w:ascii="Arial" w:hAnsi="Arial" w:cs="Arial"/>
              </w:rPr>
            </w:pPr>
          </w:p>
        </w:tc>
        <w:tc>
          <w:tcPr>
            <w:tcW w:w="241" w:type="dxa"/>
          </w:tcPr>
          <w:p w:rsidR="009734AF" w:rsidRPr="008E7086" w:rsidRDefault="009734AF" w:rsidP="00197B4C">
            <w:pPr>
              <w:jc w:val="right"/>
              <w:rPr>
                <w:rFonts w:ascii="Arial" w:hAnsi="Arial" w:cs="Arial"/>
              </w:rPr>
            </w:pPr>
          </w:p>
        </w:tc>
        <w:tc>
          <w:tcPr>
            <w:tcW w:w="2099" w:type="dxa"/>
            <w:noWrap/>
          </w:tcPr>
          <w:p w:rsidR="009734AF" w:rsidRPr="008E7086" w:rsidRDefault="009734AF" w:rsidP="00197B4C">
            <w:pPr>
              <w:jc w:val="right"/>
              <w:rPr>
                <w:rFonts w:ascii="Arial" w:hAnsi="Arial" w:cs="Arial"/>
              </w:rPr>
            </w:pPr>
          </w:p>
        </w:tc>
        <w:tc>
          <w:tcPr>
            <w:tcW w:w="246" w:type="dxa"/>
          </w:tcPr>
          <w:p w:rsidR="009734AF" w:rsidRPr="008E7086" w:rsidRDefault="009734AF" w:rsidP="00197B4C">
            <w:pPr>
              <w:jc w:val="right"/>
              <w:rPr>
                <w:rFonts w:ascii="Arial" w:hAnsi="Arial" w:cs="Arial"/>
              </w:rPr>
            </w:pPr>
          </w:p>
        </w:tc>
        <w:tc>
          <w:tcPr>
            <w:tcW w:w="2184" w:type="dxa"/>
            <w:noWrap/>
          </w:tcPr>
          <w:p w:rsidR="009734AF" w:rsidRPr="008E7086" w:rsidRDefault="009734AF" w:rsidP="00197B4C">
            <w:pPr>
              <w:jc w:val="right"/>
              <w:rPr>
                <w:rFonts w:ascii="Arial" w:hAnsi="Arial" w:cs="Arial"/>
              </w:rPr>
            </w:pPr>
          </w:p>
        </w:tc>
        <w:tc>
          <w:tcPr>
            <w:tcW w:w="270" w:type="dxa"/>
          </w:tcPr>
          <w:p w:rsidR="009734AF" w:rsidRPr="008E7086" w:rsidRDefault="009734AF" w:rsidP="00197B4C">
            <w:pPr>
              <w:jc w:val="right"/>
              <w:rPr>
                <w:rFonts w:ascii="Arial" w:hAnsi="Arial" w:cs="Arial"/>
              </w:rPr>
            </w:pPr>
          </w:p>
        </w:tc>
        <w:tc>
          <w:tcPr>
            <w:tcW w:w="1980" w:type="dxa"/>
            <w:noWrap/>
          </w:tcPr>
          <w:p w:rsidR="009734AF" w:rsidRPr="008E7086" w:rsidRDefault="009734AF" w:rsidP="00197B4C">
            <w:pPr>
              <w:jc w:val="right"/>
              <w:rPr>
                <w:rFonts w:ascii="Arial" w:hAnsi="Arial" w:cs="Arial"/>
              </w:rPr>
            </w:pPr>
          </w:p>
        </w:tc>
      </w:tr>
      <w:tr w:rsidR="009734AF" w:rsidRPr="008E7086" w:rsidTr="00197B4C">
        <w:trPr>
          <w:trHeight w:val="255"/>
        </w:trPr>
        <w:tc>
          <w:tcPr>
            <w:tcW w:w="2610" w:type="dxa"/>
            <w:noWrap/>
            <w:vAlign w:val="bottom"/>
          </w:tcPr>
          <w:p w:rsidR="009734AF" w:rsidRPr="008E7086" w:rsidRDefault="009734AF" w:rsidP="00197B4C">
            <w:pPr>
              <w:jc w:val="left"/>
              <w:rPr>
                <w:rFonts w:ascii="Arial" w:hAnsi="Arial" w:cs="Arial"/>
              </w:rPr>
            </w:pPr>
            <w:r w:rsidRPr="008E7086">
              <w:rPr>
                <w:rFonts w:ascii="Arial" w:hAnsi="Arial" w:cs="Arial"/>
              </w:rPr>
              <w:t>Large Commercial and Industrial</w:t>
            </w:r>
            <w:r w:rsidR="00197B4C">
              <w:rPr>
                <w:rFonts w:ascii="Arial" w:hAnsi="Arial" w:cs="Arial"/>
              </w:rPr>
              <w:t xml:space="preserve"> (Hourly)</w:t>
            </w:r>
          </w:p>
        </w:tc>
        <w:tc>
          <w:tcPr>
            <w:tcW w:w="241" w:type="dxa"/>
          </w:tcPr>
          <w:p w:rsidR="009734AF" w:rsidRPr="008E7086" w:rsidRDefault="009734AF" w:rsidP="00197B4C">
            <w:pPr>
              <w:jc w:val="right"/>
              <w:rPr>
                <w:rFonts w:ascii="Arial" w:hAnsi="Arial" w:cs="Arial"/>
                <w:u w:val="single"/>
              </w:rPr>
            </w:pPr>
          </w:p>
        </w:tc>
        <w:tc>
          <w:tcPr>
            <w:tcW w:w="2099" w:type="dxa"/>
            <w:tcBorders>
              <w:bottom w:val="single" w:sz="4" w:space="0" w:color="auto"/>
            </w:tcBorders>
            <w:noWrap/>
            <w:vAlign w:val="bottom"/>
          </w:tcPr>
          <w:p w:rsidR="009734AF" w:rsidRPr="00B92F2B" w:rsidRDefault="009734AF" w:rsidP="00197B4C">
            <w:pPr>
              <w:rPr>
                <w:rFonts w:ascii="Arial" w:hAnsi="Arial" w:cs="Arial"/>
              </w:rPr>
            </w:pPr>
            <w:r w:rsidRPr="00B92F2B">
              <w:rPr>
                <w:rFonts w:ascii="Arial" w:hAnsi="Arial" w:cs="Arial"/>
              </w:rPr>
              <w:t xml:space="preserve">          14,566,120</w:t>
            </w:r>
          </w:p>
        </w:tc>
        <w:tc>
          <w:tcPr>
            <w:tcW w:w="246" w:type="dxa"/>
          </w:tcPr>
          <w:p w:rsidR="009734AF" w:rsidRPr="00B92F2B" w:rsidRDefault="009734AF" w:rsidP="00197B4C">
            <w:pPr>
              <w:rPr>
                <w:rFonts w:ascii="Arial" w:hAnsi="Arial" w:cs="Arial"/>
              </w:rPr>
            </w:pPr>
            <w:r w:rsidRPr="00B92F2B">
              <w:rPr>
                <w:rFonts w:ascii="Arial" w:hAnsi="Arial" w:cs="Arial"/>
              </w:rPr>
              <w:t xml:space="preserve"> </w:t>
            </w:r>
          </w:p>
        </w:tc>
        <w:tc>
          <w:tcPr>
            <w:tcW w:w="2184" w:type="dxa"/>
            <w:tcBorders>
              <w:bottom w:val="single" w:sz="4" w:space="0" w:color="auto"/>
            </w:tcBorders>
            <w:noWrap/>
            <w:vAlign w:val="bottom"/>
          </w:tcPr>
          <w:p w:rsidR="009734AF" w:rsidRPr="00B92F2B" w:rsidRDefault="009734AF" w:rsidP="00197B4C">
            <w:pPr>
              <w:ind w:left="6"/>
              <w:rPr>
                <w:rFonts w:ascii="Arial" w:hAnsi="Arial" w:cs="Arial"/>
              </w:rPr>
            </w:pPr>
            <w:r w:rsidRPr="00B92F2B">
              <w:rPr>
                <w:rFonts w:ascii="Arial" w:hAnsi="Arial" w:cs="Arial"/>
              </w:rPr>
              <w:t xml:space="preserve">           13,320,558                                                                                   </w:t>
            </w:r>
          </w:p>
        </w:tc>
        <w:tc>
          <w:tcPr>
            <w:tcW w:w="270" w:type="dxa"/>
          </w:tcPr>
          <w:p w:rsidR="009734AF" w:rsidRPr="00B92F2B" w:rsidRDefault="009734AF" w:rsidP="00197B4C">
            <w:pPr>
              <w:jc w:val="right"/>
              <w:rPr>
                <w:rFonts w:ascii="Arial" w:hAnsi="Arial" w:cs="Arial"/>
              </w:rPr>
            </w:pPr>
          </w:p>
        </w:tc>
        <w:tc>
          <w:tcPr>
            <w:tcW w:w="1980" w:type="dxa"/>
            <w:tcBorders>
              <w:bottom w:val="single" w:sz="4" w:space="0" w:color="auto"/>
            </w:tcBorders>
            <w:noWrap/>
            <w:vAlign w:val="bottom"/>
          </w:tcPr>
          <w:p w:rsidR="009734AF" w:rsidRPr="00B92F2B" w:rsidRDefault="009734AF" w:rsidP="00197B4C">
            <w:pPr>
              <w:ind w:right="72"/>
              <w:jc w:val="right"/>
              <w:rPr>
                <w:rFonts w:ascii="Arial" w:hAnsi="Arial" w:cs="Arial"/>
              </w:rPr>
            </w:pPr>
            <w:r w:rsidRPr="00B92F2B">
              <w:rPr>
                <w:rFonts w:ascii="Arial" w:hAnsi="Arial" w:cs="Arial"/>
              </w:rPr>
              <w:t>1,245,562</w:t>
            </w:r>
          </w:p>
        </w:tc>
      </w:tr>
      <w:tr w:rsidR="009734AF" w:rsidRPr="008E7086" w:rsidTr="00197B4C">
        <w:trPr>
          <w:trHeight w:val="255"/>
        </w:trPr>
        <w:tc>
          <w:tcPr>
            <w:tcW w:w="2610" w:type="dxa"/>
            <w:noWrap/>
            <w:vAlign w:val="bottom"/>
          </w:tcPr>
          <w:p w:rsidR="009734AF" w:rsidRPr="008E7086" w:rsidRDefault="009734AF" w:rsidP="00197B4C">
            <w:pPr>
              <w:jc w:val="left"/>
              <w:rPr>
                <w:rFonts w:ascii="Arial" w:hAnsi="Arial" w:cs="Arial"/>
              </w:rPr>
            </w:pPr>
          </w:p>
        </w:tc>
        <w:tc>
          <w:tcPr>
            <w:tcW w:w="241" w:type="dxa"/>
          </w:tcPr>
          <w:p w:rsidR="009734AF" w:rsidRPr="008E7086" w:rsidRDefault="009734AF" w:rsidP="00197B4C">
            <w:pPr>
              <w:jc w:val="right"/>
              <w:rPr>
                <w:rFonts w:ascii="Arial" w:hAnsi="Arial" w:cs="Arial"/>
              </w:rPr>
            </w:pPr>
          </w:p>
        </w:tc>
        <w:tc>
          <w:tcPr>
            <w:tcW w:w="2099" w:type="dxa"/>
            <w:tcBorders>
              <w:top w:val="single" w:sz="4" w:space="0" w:color="auto"/>
            </w:tcBorders>
            <w:noWrap/>
          </w:tcPr>
          <w:p w:rsidR="009734AF" w:rsidRPr="00B92F2B" w:rsidRDefault="009734AF" w:rsidP="00197B4C">
            <w:pPr>
              <w:jc w:val="right"/>
              <w:rPr>
                <w:rFonts w:ascii="Arial" w:hAnsi="Arial" w:cs="Arial"/>
              </w:rPr>
            </w:pPr>
          </w:p>
        </w:tc>
        <w:tc>
          <w:tcPr>
            <w:tcW w:w="246" w:type="dxa"/>
          </w:tcPr>
          <w:p w:rsidR="009734AF" w:rsidRPr="00B92F2B" w:rsidRDefault="009734AF" w:rsidP="00197B4C">
            <w:pPr>
              <w:jc w:val="right"/>
              <w:rPr>
                <w:rFonts w:ascii="Arial" w:hAnsi="Arial" w:cs="Arial"/>
              </w:rPr>
            </w:pPr>
          </w:p>
        </w:tc>
        <w:tc>
          <w:tcPr>
            <w:tcW w:w="2184" w:type="dxa"/>
            <w:tcBorders>
              <w:top w:val="single" w:sz="4" w:space="0" w:color="auto"/>
            </w:tcBorders>
            <w:noWrap/>
          </w:tcPr>
          <w:p w:rsidR="009734AF" w:rsidRPr="00B92F2B" w:rsidRDefault="009734AF" w:rsidP="00197B4C">
            <w:pPr>
              <w:jc w:val="right"/>
              <w:rPr>
                <w:rFonts w:ascii="Arial" w:hAnsi="Arial" w:cs="Arial"/>
              </w:rPr>
            </w:pPr>
          </w:p>
        </w:tc>
        <w:tc>
          <w:tcPr>
            <w:tcW w:w="270" w:type="dxa"/>
          </w:tcPr>
          <w:p w:rsidR="009734AF" w:rsidRPr="00B92F2B" w:rsidRDefault="009734AF" w:rsidP="00197B4C">
            <w:pPr>
              <w:jc w:val="right"/>
              <w:rPr>
                <w:rFonts w:ascii="Arial" w:hAnsi="Arial" w:cs="Arial"/>
              </w:rPr>
            </w:pPr>
          </w:p>
        </w:tc>
        <w:tc>
          <w:tcPr>
            <w:tcW w:w="1980" w:type="dxa"/>
            <w:tcBorders>
              <w:top w:val="single" w:sz="4" w:space="0" w:color="auto"/>
            </w:tcBorders>
            <w:noWrap/>
          </w:tcPr>
          <w:p w:rsidR="009734AF" w:rsidRPr="00B92F2B" w:rsidRDefault="009734AF" w:rsidP="00197B4C">
            <w:pPr>
              <w:jc w:val="right"/>
              <w:rPr>
                <w:rFonts w:ascii="Arial" w:hAnsi="Arial" w:cs="Arial"/>
              </w:rPr>
            </w:pPr>
          </w:p>
        </w:tc>
      </w:tr>
      <w:tr w:rsidR="009734AF" w:rsidRPr="008E7086" w:rsidTr="00197B4C">
        <w:trPr>
          <w:trHeight w:val="497"/>
        </w:trPr>
        <w:tc>
          <w:tcPr>
            <w:tcW w:w="2610" w:type="dxa"/>
            <w:noWrap/>
            <w:vAlign w:val="bottom"/>
          </w:tcPr>
          <w:p w:rsidR="009734AF" w:rsidRPr="008E7086" w:rsidRDefault="009734AF" w:rsidP="00197B4C">
            <w:pPr>
              <w:jc w:val="left"/>
              <w:rPr>
                <w:rFonts w:ascii="Arial" w:hAnsi="Arial" w:cs="Arial"/>
              </w:rPr>
            </w:pPr>
            <w:r>
              <w:rPr>
                <w:rFonts w:ascii="Arial" w:hAnsi="Arial" w:cs="Arial"/>
              </w:rPr>
              <w:t xml:space="preserve">     </w:t>
            </w:r>
            <w:r w:rsidRPr="008E7086">
              <w:rPr>
                <w:rFonts w:ascii="Arial" w:hAnsi="Arial" w:cs="Arial"/>
              </w:rPr>
              <w:t>Total</w:t>
            </w:r>
          </w:p>
        </w:tc>
        <w:tc>
          <w:tcPr>
            <w:tcW w:w="241" w:type="dxa"/>
            <w:vAlign w:val="bottom"/>
          </w:tcPr>
          <w:p w:rsidR="009734AF" w:rsidRPr="008E7086" w:rsidRDefault="009734AF" w:rsidP="00197B4C">
            <w:pPr>
              <w:rPr>
                <w:rFonts w:ascii="Arial" w:hAnsi="Arial" w:cs="Arial"/>
                <w:u w:val="double"/>
              </w:rPr>
            </w:pPr>
          </w:p>
        </w:tc>
        <w:tc>
          <w:tcPr>
            <w:tcW w:w="2099" w:type="dxa"/>
            <w:tcBorders>
              <w:bottom w:val="double" w:sz="4" w:space="0" w:color="auto"/>
            </w:tcBorders>
            <w:noWrap/>
            <w:vAlign w:val="bottom"/>
          </w:tcPr>
          <w:p w:rsidR="009734AF" w:rsidRPr="00B92F2B" w:rsidRDefault="009734AF" w:rsidP="00197B4C">
            <w:pPr>
              <w:rPr>
                <w:rFonts w:ascii="Arial" w:hAnsi="Arial" w:cs="Arial"/>
              </w:rPr>
            </w:pPr>
            <w:r w:rsidRPr="00B92F2B">
              <w:rPr>
                <w:rFonts w:ascii="Arial" w:hAnsi="Arial" w:cs="Arial"/>
              </w:rPr>
              <w:t xml:space="preserve">  $   739,1</w:t>
            </w:r>
            <w:r w:rsidR="00E56414">
              <w:rPr>
                <w:rFonts w:ascii="Arial" w:hAnsi="Arial" w:cs="Arial"/>
              </w:rPr>
              <w:t>13</w:t>
            </w:r>
            <w:r w:rsidRPr="00B92F2B">
              <w:rPr>
                <w:rFonts w:ascii="Arial" w:hAnsi="Arial" w:cs="Arial"/>
              </w:rPr>
              <w:t>,778</w:t>
            </w:r>
          </w:p>
        </w:tc>
        <w:tc>
          <w:tcPr>
            <w:tcW w:w="246" w:type="dxa"/>
            <w:vAlign w:val="bottom"/>
          </w:tcPr>
          <w:p w:rsidR="009734AF" w:rsidRPr="00B92F2B" w:rsidRDefault="009734AF" w:rsidP="00197B4C">
            <w:pPr>
              <w:rPr>
                <w:rFonts w:ascii="Arial" w:hAnsi="Arial" w:cs="Arial"/>
              </w:rPr>
            </w:pPr>
          </w:p>
        </w:tc>
        <w:tc>
          <w:tcPr>
            <w:tcW w:w="2184" w:type="dxa"/>
            <w:tcBorders>
              <w:bottom w:val="double" w:sz="4" w:space="0" w:color="auto"/>
            </w:tcBorders>
            <w:noWrap/>
            <w:vAlign w:val="bottom"/>
          </w:tcPr>
          <w:p w:rsidR="009734AF" w:rsidRPr="00B92F2B" w:rsidRDefault="009734AF" w:rsidP="00197B4C">
            <w:pPr>
              <w:rPr>
                <w:rFonts w:ascii="Arial" w:hAnsi="Arial" w:cs="Arial"/>
              </w:rPr>
            </w:pPr>
            <w:r w:rsidRPr="00B92F2B">
              <w:rPr>
                <w:rFonts w:ascii="Arial" w:hAnsi="Arial" w:cs="Arial"/>
              </w:rPr>
              <w:t xml:space="preserve">   $   740,121,866</w:t>
            </w:r>
          </w:p>
        </w:tc>
        <w:tc>
          <w:tcPr>
            <w:tcW w:w="270" w:type="dxa"/>
            <w:vAlign w:val="bottom"/>
          </w:tcPr>
          <w:p w:rsidR="009734AF" w:rsidRPr="00B92F2B" w:rsidRDefault="009734AF" w:rsidP="00197B4C">
            <w:pPr>
              <w:rPr>
                <w:rFonts w:ascii="Arial" w:hAnsi="Arial" w:cs="Arial"/>
              </w:rPr>
            </w:pPr>
          </w:p>
        </w:tc>
        <w:tc>
          <w:tcPr>
            <w:tcW w:w="1980" w:type="dxa"/>
            <w:tcBorders>
              <w:bottom w:val="double" w:sz="4" w:space="0" w:color="auto"/>
            </w:tcBorders>
            <w:noWrap/>
            <w:vAlign w:val="bottom"/>
          </w:tcPr>
          <w:p w:rsidR="009734AF" w:rsidRPr="00B92F2B" w:rsidRDefault="009734AF" w:rsidP="00197B4C">
            <w:pPr>
              <w:jc w:val="right"/>
              <w:rPr>
                <w:rFonts w:ascii="Arial" w:hAnsi="Arial" w:cs="Arial"/>
              </w:rPr>
            </w:pPr>
            <w:r w:rsidRPr="00B92F2B">
              <w:rPr>
                <w:rFonts w:ascii="Arial" w:hAnsi="Arial" w:cs="Arial"/>
              </w:rPr>
              <w:t>$   (1,008,088)</w:t>
            </w:r>
          </w:p>
        </w:tc>
      </w:tr>
    </w:tbl>
    <w:p w:rsidR="00D27E49" w:rsidRPr="008E7086" w:rsidRDefault="00D27E49" w:rsidP="00235BB8">
      <w:pPr>
        <w:tabs>
          <w:tab w:val="center" w:pos="4680"/>
        </w:tabs>
        <w:suppressAutoHyphens/>
        <w:rPr>
          <w:rFonts w:ascii="Arial" w:hAnsi="Arial" w:cs="Arial"/>
          <w:szCs w:val="24"/>
        </w:rPr>
      </w:pPr>
    </w:p>
    <w:p w:rsidR="00C013D3" w:rsidRDefault="00C013D3" w:rsidP="007D10AA">
      <w:pPr>
        <w:tabs>
          <w:tab w:val="center" w:pos="4680"/>
        </w:tabs>
        <w:suppressAutoHyphens/>
        <w:ind w:left="90" w:hanging="90"/>
        <w:rPr>
          <w:rFonts w:ascii="Arial" w:hAnsi="Arial" w:cs="Arial"/>
          <w:szCs w:val="24"/>
        </w:rPr>
      </w:pPr>
    </w:p>
    <w:p w:rsidR="00EB606D" w:rsidRDefault="00EB606D" w:rsidP="007D10AA">
      <w:pPr>
        <w:tabs>
          <w:tab w:val="center" w:pos="4680"/>
        </w:tabs>
        <w:suppressAutoHyphens/>
        <w:ind w:left="90" w:hanging="90"/>
        <w:rPr>
          <w:rFonts w:ascii="Arial" w:hAnsi="Arial" w:cs="Arial"/>
          <w:szCs w:val="24"/>
        </w:rPr>
      </w:pPr>
    </w:p>
    <w:p w:rsidR="00EB606D" w:rsidRPr="008E7086" w:rsidRDefault="00EB606D" w:rsidP="007D10AA">
      <w:pPr>
        <w:tabs>
          <w:tab w:val="center" w:pos="4680"/>
        </w:tabs>
        <w:suppressAutoHyphens/>
        <w:ind w:left="90" w:hanging="90"/>
        <w:rPr>
          <w:rFonts w:ascii="Arial" w:hAnsi="Arial" w:cs="Arial"/>
          <w:szCs w:val="24"/>
        </w:rPr>
      </w:pPr>
    </w:p>
    <w:p w:rsidR="00F05A87" w:rsidRDefault="00F05A87">
      <w:pPr>
        <w:rPr>
          <w:rFonts w:ascii="Arial" w:hAnsi="Arial" w:cs="Arial"/>
          <w:b/>
          <w:sz w:val="26"/>
          <w:szCs w:val="26"/>
        </w:rPr>
      </w:pPr>
      <w:r>
        <w:rPr>
          <w:rFonts w:ascii="Arial" w:hAnsi="Arial" w:cs="Arial"/>
          <w:b/>
          <w:sz w:val="26"/>
          <w:szCs w:val="26"/>
        </w:rPr>
        <w:br w:type="page"/>
      </w:r>
    </w:p>
    <w:p w:rsidR="00F70EA8" w:rsidRDefault="00F70EA8" w:rsidP="00F70EA8">
      <w:pPr>
        <w:tabs>
          <w:tab w:val="left" w:pos="-1440"/>
          <w:tab w:val="left" w:pos="-720"/>
          <w:tab w:val="left" w:pos="864"/>
          <w:tab w:val="left" w:pos="5040"/>
          <w:tab w:val="left" w:pos="7056"/>
        </w:tabs>
        <w:suppressAutoHyphens/>
        <w:rPr>
          <w:rFonts w:ascii="Arial" w:hAnsi="Arial" w:cs="Arial"/>
          <w:szCs w:val="24"/>
        </w:rPr>
      </w:pPr>
    </w:p>
    <w:p w:rsidR="00160EE0" w:rsidRDefault="00F70EA8" w:rsidP="00F70EA8">
      <w:pPr>
        <w:rPr>
          <w:rFonts w:ascii="Arial" w:hAnsi="Arial" w:cs="Arial"/>
          <w:b/>
          <w:sz w:val="26"/>
          <w:szCs w:val="26"/>
        </w:rPr>
      </w:pPr>
      <w:r>
        <w:rPr>
          <w:rFonts w:ascii="Arial" w:hAnsi="Arial" w:cs="Arial"/>
          <w:b/>
          <w:sz w:val="26"/>
          <w:szCs w:val="26"/>
        </w:rPr>
        <w:t>Condensed</w:t>
      </w:r>
      <w:r w:rsidR="00160EE0">
        <w:rPr>
          <w:rFonts w:ascii="Arial" w:hAnsi="Arial" w:cs="Arial"/>
          <w:b/>
          <w:sz w:val="26"/>
          <w:szCs w:val="26"/>
        </w:rPr>
        <w:t xml:space="preserve"> </w:t>
      </w:r>
      <w:r w:rsidRPr="00470786">
        <w:rPr>
          <w:rFonts w:ascii="Arial" w:hAnsi="Arial" w:cs="Arial"/>
          <w:b/>
          <w:sz w:val="26"/>
          <w:szCs w:val="26"/>
        </w:rPr>
        <w:t>Statement</w:t>
      </w:r>
      <w:r w:rsidR="00160EE0">
        <w:rPr>
          <w:rStyle w:val="FootnoteReference"/>
          <w:rFonts w:ascii="Arial" w:hAnsi="Arial" w:cs="Arial"/>
          <w:b/>
          <w:sz w:val="26"/>
          <w:szCs w:val="26"/>
        </w:rPr>
        <w:footnoteReference w:id="3"/>
      </w:r>
      <w:r w:rsidRPr="00470786">
        <w:rPr>
          <w:rFonts w:ascii="Arial" w:hAnsi="Arial" w:cs="Arial"/>
          <w:b/>
          <w:sz w:val="26"/>
          <w:szCs w:val="26"/>
        </w:rPr>
        <w:t xml:space="preserve"> </w:t>
      </w:r>
      <w:r w:rsidR="00114716">
        <w:rPr>
          <w:rFonts w:ascii="Arial" w:hAnsi="Arial" w:cs="Arial"/>
          <w:b/>
          <w:sz w:val="26"/>
          <w:szCs w:val="26"/>
        </w:rPr>
        <w:t>o</w:t>
      </w:r>
      <w:r w:rsidRPr="00470786">
        <w:rPr>
          <w:rFonts w:ascii="Arial" w:hAnsi="Arial" w:cs="Arial"/>
          <w:b/>
          <w:sz w:val="26"/>
          <w:szCs w:val="26"/>
        </w:rPr>
        <w:t xml:space="preserve">f </w:t>
      </w:r>
    </w:p>
    <w:p w:rsidR="00F70EA8" w:rsidRDefault="00F70EA8" w:rsidP="00F70EA8">
      <w:pPr>
        <w:rPr>
          <w:rFonts w:ascii="Arial" w:hAnsi="Arial" w:cs="Arial"/>
          <w:b/>
          <w:sz w:val="26"/>
          <w:szCs w:val="26"/>
        </w:rPr>
      </w:pPr>
      <w:r w:rsidRPr="00ED0DE1">
        <w:rPr>
          <w:rFonts w:ascii="Arial" w:hAnsi="Arial" w:cs="Arial"/>
          <w:b/>
          <w:sz w:val="26"/>
          <w:szCs w:val="26"/>
        </w:rPr>
        <w:t xml:space="preserve">Generation Supply Adjustment (GSA) </w:t>
      </w:r>
    </w:p>
    <w:p w:rsidR="00AD0EFD" w:rsidRDefault="00F70EA8" w:rsidP="00F70EA8">
      <w:pPr>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ED0DE1">
        <w:rPr>
          <w:rFonts w:ascii="Arial" w:hAnsi="Arial" w:cs="Arial"/>
          <w:b/>
          <w:sz w:val="26"/>
          <w:szCs w:val="26"/>
        </w:rPr>
        <w:t xml:space="preserve">Section 1307(e) </w:t>
      </w:r>
    </w:p>
    <w:p w:rsidR="00F70EA8" w:rsidRDefault="00114716" w:rsidP="00F70EA8">
      <w:pPr>
        <w:rPr>
          <w:rFonts w:ascii="Arial" w:hAnsi="Arial" w:cs="Arial"/>
          <w:b/>
          <w:sz w:val="26"/>
          <w:szCs w:val="26"/>
        </w:rPr>
      </w:pPr>
      <w:r>
        <w:rPr>
          <w:rFonts w:ascii="Arial" w:hAnsi="Arial" w:cs="Arial"/>
          <w:b/>
          <w:sz w:val="26"/>
          <w:szCs w:val="26"/>
        </w:rPr>
        <w:t>f</w:t>
      </w:r>
      <w:r w:rsidR="00F70EA8" w:rsidRPr="00ED0DE1">
        <w:rPr>
          <w:rFonts w:ascii="Arial" w:hAnsi="Arial" w:cs="Arial"/>
          <w:b/>
          <w:sz w:val="26"/>
          <w:szCs w:val="26"/>
        </w:rPr>
        <w:t xml:space="preserve">or </w:t>
      </w:r>
      <w:r>
        <w:rPr>
          <w:rFonts w:ascii="Arial" w:hAnsi="Arial" w:cs="Arial"/>
          <w:b/>
          <w:sz w:val="26"/>
          <w:szCs w:val="26"/>
        </w:rPr>
        <w:t>t</w:t>
      </w:r>
      <w:r w:rsidR="00F70EA8" w:rsidRPr="00ED0DE1">
        <w:rPr>
          <w:rFonts w:ascii="Arial" w:hAnsi="Arial" w:cs="Arial"/>
          <w:b/>
          <w:sz w:val="26"/>
          <w:szCs w:val="26"/>
        </w:rPr>
        <w:t xml:space="preserve">he Twelve Months </w:t>
      </w:r>
      <w:r w:rsidR="00B640E3">
        <w:rPr>
          <w:rFonts w:ascii="Arial" w:hAnsi="Arial" w:cs="Arial"/>
          <w:b/>
          <w:sz w:val="26"/>
          <w:szCs w:val="26"/>
        </w:rPr>
        <w:t>e</w:t>
      </w:r>
      <w:r w:rsidR="00F70EA8" w:rsidRPr="00ED0DE1">
        <w:rPr>
          <w:rFonts w:ascii="Arial" w:hAnsi="Arial" w:cs="Arial"/>
          <w:b/>
          <w:sz w:val="26"/>
          <w:szCs w:val="26"/>
        </w:rPr>
        <w:t>nded December 31, 201</w:t>
      </w:r>
      <w:r w:rsidR="00883762">
        <w:rPr>
          <w:rFonts w:ascii="Arial" w:hAnsi="Arial" w:cs="Arial"/>
          <w:b/>
          <w:sz w:val="26"/>
          <w:szCs w:val="26"/>
        </w:rPr>
        <w:t>5</w:t>
      </w:r>
      <w:r w:rsidR="00160EE0">
        <w:rPr>
          <w:rStyle w:val="FootnoteReference"/>
          <w:rFonts w:ascii="Arial" w:hAnsi="Arial" w:cs="Arial"/>
          <w:b/>
          <w:sz w:val="26"/>
          <w:szCs w:val="26"/>
        </w:rPr>
        <w:footnoteReference w:id="4"/>
      </w:r>
    </w:p>
    <w:p w:rsidR="002A4175" w:rsidRPr="00ED0DE1" w:rsidRDefault="002A4175" w:rsidP="00F70EA8">
      <w:pPr>
        <w:rPr>
          <w:rFonts w:ascii="Arial" w:hAnsi="Arial" w:cs="Arial"/>
          <w:b/>
          <w:sz w:val="26"/>
          <w:szCs w:val="26"/>
        </w:rPr>
      </w:pPr>
    </w:p>
    <w:tbl>
      <w:tblPr>
        <w:tblpPr w:leftFromText="180" w:rightFromText="180" w:vertAnchor="page" w:horzAnchor="margin" w:tblpX="-162" w:tblpY="3013"/>
        <w:tblW w:w="9630" w:type="dxa"/>
        <w:tblLook w:val="0000" w:firstRow="0" w:lastRow="0" w:firstColumn="0" w:lastColumn="0" w:noHBand="0" w:noVBand="0"/>
      </w:tblPr>
      <w:tblGrid>
        <w:gridCol w:w="2610"/>
        <w:gridCol w:w="241"/>
        <w:gridCol w:w="2099"/>
        <w:gridCol w:w="246"/>
        <w:gridCol w:w="2184"/>
        <w:gridCol w:w="270"/>
        <w:gridCol w:w="1980"/>
      </w:tblGrid>
      <w:tr w:rsidR="002A4175" w:rsidRPr="008E7086" w:rsidTr="009178BB">
        <w:trPr>
          <w:trHeight w:val="812"/>
        </w:trPr>
        <w:tc>
          <w:tcPr>
            <w:tcW w:w="2610" w:type="dxa"/>
            <w:tcBorders>
              <w:bottom w:val="single" w:sz="12" w:space="0" w:color="auto"/>
            </w:tcBorders>
            <w:noWrap/>
          </w:tcPr>
          <w:p w:rsidR="002A4175" w:rsidRPr="00303BA3" w:rsidRDefault="002A4175" w:rsidP="009178BB">
            <w:pPr>
              <w:rPr>
                <w:rFonts w:ascii="Arial" w:hAnsi="Arial" w:cs="Arial"/>
              </w:rPr>
            </w:pPr>
          </w:p>
          <w:p w:rsidR="002A4175" w:rsidRPr="00303BA3" w:rsidRDefault="002A4175" w:rsidP="009178BB">
            <w:pPr>
              <w:rPr>
                <w:rFonts w:ascii="Arial" w:hAnsi="Arial" w:cs="Arial"/>
              </w:rPr>
            </w:pPr>
          </w:p>
          <w:p w:rsidR="002A4175" w:rsidRPr="00303BA3" w:rsidRDefault="002A4175" w:rsidP="009178BB">
            <w:pPr>
              <w:rPr>
                <w:rFonts w:ascii="Arial" w:hAnsi="Arial" w:cs="Arial"/>
                <w:b/>
              </w:rPr>
            </w:pPr>
            <w:r w:rsidRPr="00303BA3">
              <w:rPr>
                <w:rFonts w:ascii="Arial" w:hAnsi="Arial" w:cs="Arial"/>
                <w:b/>
              </w:rPr>
              <w:t>Rate Class</w:t>
            </w:r>
          </w:p>
        </w:tc>
        <w:tc>
          <w:tcPr>
            <w:tcW w:w="241" w:type="dxa"/>
          </w:tcPr>
          <w:p w:rsidR="002A4175" w:rsidRPr="00303BA3" w:rsidRDefault="002A4175" w:rsidP="009178BB">
            <w:pPr>
              <w:rPr>
                <w:rFonts w:ascii="Arial" w:hAnsi="Arial" w:cs="Arial"/>
              </w:rPr>
            </w:pPr>
          </w:p>
        </w:tc>
        <w:tc>
          <w:tcPr>
            <w:tcW w:w="2099" w:type="dxa"/>
            <w:tcBorders>
              <w:bottom w:val="single" w:sz="12" w:space="0" w:color="auto"/>
            </w:tcBorders>
            <w:noWrap/>
            <w:vAlign w:val="bottom"/>
          </w:tcPr>
          <w:p w:rsidR="002A4175" w:rsidRPr="00303BA3" w:rsidRDefault="002A4175" w:rsidP="009178BB">
            <w:pPr>
              <w:rPr>
                <w:rFonts w:ascii="Arial" w:hAnsi="Arial" w:cs="Arial"/>
                <w:b/>
              </w:rPr>
            </w:pPr>
            <w:r w:rsidRPr="00303BA3">
              <w:rPr>
                <w:rFonts w:ascii="Arial" w:hAnsi="Arial" w:cs="Arial"/>
                <w:b/>
              </w:rPr>
              <w:t>GSA Revenue</w:t>
            </w:r>
          </w:p>
        </w:tc>
        <w:tc>
          <w:tcPr>
            <w:tcW w:w="246" w:type="dxa"/>
          </w:tcPr>
          <w:p w:rsidR="002A4175" w:rsidRPr="00303BA3" w:rsidRDefault="002A4175" w:rsidP="009178BB">
            <w:pPr>
              <w:rPr>
                <w:rFonts w:ascii="Arial" w:hAnsi="Arial" w:cs="Arial"/>
              </w:rPr>
            </w:pPr>
          </w:p>
        </w:tc>
        <w:tc>
          <w:tcPr>
            <w:tcW w:w="2184" w:type="dxa"/>
            <w:tcBorders>
              <w:bottom w:val="single" w:sz="12" w:space="0" w:color="auto"/>
            </w:tcBorders>
            <w:noWrap/>
            <w:vAlign w:val="bottom"/>
          </w:tcPr>
          <w:p w:rsidR="002A4175" w:rsidRPr="00303BA3" w:rsidRDefault="002A4175" w:rsidP="009178BB">
            <w:pPr>
              <w:rPr>
                <w:rFonts w:ascii="Arial" w:hAnsi="Arial" w:cs="Arial"/>
                <w:b/>
              </w:rPr>
            </w:pPr>
            <w:r w:rsidRPr="00303BA3">
              <w:rPr>
                <w:rFonts w:ascii="Arial" w:hAnsi="Arial" w:cs="Arial"/>
                <w:b/>
              </w:rPr>
              <w:t>GSA Costs</w:t>
            </w:r>
          </w:p>
        </w:tc>
        <w:tc>
          <w:tcPr>
            <w:tcW w:w="270" w:type="dxa"/>
          </w:tcPr>
          <w:p w:rsidR="002A4175" w:rsidRPr="00303BA3" w:rsidRDefault="002A4175" w:rsidP="009178BB">
            <w:pPr>
              <w:rPr>
                <w:rFonts w:ascii="Arial" w:hAnsi="Arial" w:cs="Arial"/>
              </w:rPr>
            </w:pPr>
          </w:p>
        </w:tc>
        <w:tc>
          <w:tcPr>
            <w:tcW w:w="1980" w:type="dxa"/>
            <w:tcBorders>
              <w:bottom w:val="single" w:sz="12" w:space="0" w:color="auto"/>
            </w:tcBorders>
            <w:noWrap/>
            <w:vAlign w:val="bottom"/>
          </w:tcPr>
          <w:p w:rsidR="002A4175" w:rsidRPr="00303BA3" w:rsidRDefault="002A4175" w:rsidP="009178BB">
            <w:pPr>
              <w:rPr>
                <w:rFonts w:ascii="Arial" w:hAnsi="Arial" w:cs="Arial"/>
              </w:rPr>
            </w:pPr>
          </w:p>
          <w:p w:rsidR="002A4175" w:rsidRPr="00303BA3" w:rsidRDefault="002A4175" w:rsidP="009178BB">
            <w:pPr>
              <w:rPr>
                <w:rFonts w:ascii="Arial" w:hAnsi="Arial" w:cs="Arial"/>
                <w:b/>
              </w:rPr>
            </w:pPr>
            <w:r w:rsidRPr="00303BA3">
              <w:rPr>
                <w:rFonts w:ascii="Arial" w:hAnsi="Arial" w:cs="Arial"/>
                <w:b/>
              </w:rPr>
              <w:t>Over/(Under)</w:t>
            </w:r>
          </w:p>
          <w:p w:rsidR="002A4175" w:rsidRPr="00303BA3" w:rsidRDefault="002A4175" w:rsidP="009178BB">
            <w:pPr>
              <w:rPr>
                <w:rFonts w:ascii="Arial" w:hAnsi="Arial" w:cs="Arial"/>
              </w:rPr>
            </w:pPr>
            <w:r w:rsidRPr="00303BA3">
              <w:rPr>
                <w:rFonts w:ascii="Arial" w:hAnsi="Arial" w:cs="Arial"/>
                <w:b/>
              </w:rPr>
              <w:t>Collections</w:t>
            </w:r>
          </w:p>
        </w:tc>
      </w:tr>
      <w:tr w:rsidR="002A4175" w:rsidRPr="008E7086" w:rsidTr="009178BB">
        <w:trPr>
          <w:trHeight w:val="83"/>
        </w:trPr>
        <w:tc>
          <w:tcPr>
            <w:tcW w:w="2610" w:type="dxa"/>
            <w:tcBorders>
              <w:top w:val="single" w:sz="12" w:space="0" w:color="auto"/>
            </w:tcBorders>
            <w:noWrap/>
          </w:tcPr>
          <w:p w:rsidR="002A4175" w:rsidRPr="008E7086" w:rsidRDefault="002A4175" w:rsidP="009178BB">
            <w:pPr>
              <w:rPr>
                <w:rFonts w:ascii="Arial" w:hAnsi="Arial" w:cs="Arial"/>
              </w:rPr>
            </w:pPr>
          </w:p>
        </w:tc>
        <w:tc>
          <w:tcPr>
            <w:tcW w:w="241" w:type="dxa"/>
          </w:tcPr>
          <w:p w:rsidR="002A4175" w:rsidRPr="001822BA" w:rsidRDefault="002A4175" w:rsidP="009178BB">
            <w:pPr>
              <w:rPr>
                <w:rFonts w:ascii="Arial" w:hAnsi="Arial" w:cs="Arial"/>
              </w:rPr>
            </w:pPr>
          </w:p>
        </w:tc>
        <w:tc>
          <w:tcPr>
            <w:tcW w:w="2099" w:type="dxa"/>
            <w:tcBorders>
              <w:top w:val="single" w:sz="12" w:space="0" w:color="auto"/>
            </w:tcBorders>
            <w:noWrap/>
          </w:tcPr>
          <w:p w:rsidR="002A4175" w:rsidRPr="00197B4C" w:rsidRDefault="002A4175" w:rsidP="009178BB">
            <w:pPr>
              <w:rPr>
                <w:rFonts w:ascii="Arial" w:hAnsi="Arial" w:cs="Arial"/>
                <w:sz w:val="20"/>
              </w:rPr>
            </w:pPr>
            <w:r w:rsidRPr="00197B4C">
              <w:rPr>
                <w:rFonts w:ascii="Arial" w:hAnsi="Arial" w:cs="Arial"/>
                <w:sz w:val="20"/>
              </w:rPr>
              <w:t>(1)</w:t>
            </w:r>
          </w:p>
        </w:tc>
        <w:tc>
          <w:tcPr>
            <w:tcW w:w="246" w:type="dxa"/>
          </w:tcPr>
          <w:p w:rsidR="002A4175" w:rsidRPr="00197B4C" w:rsidRDefault="002A4175" w:rsidP="009178BB">
            <w:pPr>
              <w:rPr>
                <w:rFonts w:ascii="Arial" w:hAnsi="Arial" w:cs="Arial"/>
                <w:sz w:val="20"/>
              </w:rPr>
            </w:pPr>
          </w:p>
        </w:tc>
        <w:tc>
          <w:tcPr>
            <w:tcW w:w="2184" w:type="dxa"/>
            <w:tcBorders>
              <w:top w:val="single" w:sz="12" w:space="0" w:color="auto"/>
            </w:tcBorders>
            <w:noWrap/>
          </w:tcPr>
          <w:p w:rsidR="002A4175" w:rsidRPr="00197B4C" w:rsidRDefault="002A4175" w:rsidP="009178BB">
            <w:pPr>
              <w:rPr>
                <w:rFonts w:ascii="Arial" w:hAnsi="Arial" w:cs="Arial"/>
                <w:sz w:val="20"/>
              </w:rPr>
            </w:pPr>
            <w:r w:rsidRPr="00197B4C">
              <w:rPr>
                <w:rFonts w:ascii="Arial" w:hAnsi="Arial" w:cs="Arial"/>
                <w:sz w:val="20"/>
              </w:rPr>
              <w:t>(2)</w:t>
            </w:r>
          </w:p>
        </w:tc>
        <w:tc>
          <w:tcPr>
            <w:tcW w:w="270" w:type="dxa"/>
          </w:tcPr>
          <w:p w:rsidR="002A4175" w:rsidRPr="00197B4C" w:rsidRDefault="002A4175" w:rsidP="009178BB">
            <w:pPr>
              <w:rPr>
                <w:rFonts w:ascii="Arial" w:hAnsi="Arial" w:cs="Arial"/>
                <w:sz w:val="20"/>
              </w:rPr>
            </w:pPr>
          </w:p>
        </w:tc>
        <w:tc>
          <w:tcPr>
            <w:tcW w:w="1980" w:type="dxa"/>
            <w:tcBorders>
              <w:top w:val="single" w:sz="12" w:space="0" w:color="auto"/>
            </w:tcBorders>
            <w:noWrap/>
          </w:tcPr>
          <w:p w:rsidR="002A4175" w:rsidRPr="00197B4C" w:rsidRDefault="002A4175" w:rsidP="009178BB">
            <w:pPr>
              <w:rPr>
                <w:rFonts w:ascii="Arial" w:hAnsi="Arial" w:cs="Arial"/>
                <w:sz w:val="20"/>
              </w:rPr>
            </w:pPr>
            <w:r w:rsidRPr="00197B4C">
              <w:rPr>
                <w:rFonts w:ascii="Arial" w:hAnsi="Arial" w:cs="Arial"/>
                <w:sz w:val="20"/>
              </w:rPr>
              <w:t>(3)</w:t>
            </w:r>
            <w:r w:rsidR="00197B4C" w:rsidRPr="00197B4C">
              <w:rPr>
                <w:rFonts w:ascii="Arial" w:hAnsi="Arial" w:cs="Arial"/>
                <w:sz w:val="20"/>
              </w:rPr>
              <w:t xml:space="preserve"> </w:t>
            </w:r>
            <w:r w:rsidRPr="00197B4C">
              <w:rPr>
                <w:rFonts w:ascii="Arial" w:hAnsi="Arial" w:cs="Arial"/>
                <w:sz w:val="20"/>
              </w:rPr>
              <w:t>=</w:t>
            </w:r>
            <w:r w:rsidR="00197B4C" w:rsidRPr="00197B4C">
              <w:rPr>
                <w:rFonts w:ascii="Arial" w:hAnsi="Arial" w:cs="Arial"/>
                <w:sz w:val="20"/>
              </w:rPr>
              <w:t xml:space="preserve"> </w:t>
            </w:r>
            <w:r w:rsidRPr="00197B4C">
              <w:rPr>
                <w:rFonts w:ascii="Arial" w:hAnsi="Arial" w:cs="Arial"/>
                <w:sz w:val="20"/>
              </w:rPr>
              <w:t>(1)</w:t>
            </w:r>
            <w:r w:rsidR="00197B4C" w:rsidRPr="00197B4C">
              <w:rPr>
                <w:rFonts w:ascii="Arial" w:hAnsi="Arial" w:cs="Arial"/>
                <w:sz w:val="20"/>
              </w:rPr>
              <w:t xml:space="preserve"> </w:t>
            </w:r>
            <w:r w:rsidRPr="00197B4C">
              <w:rPr>
                <w:rFonts w:ascii="Arial" w:hAnsi="Arial" w:cs="Arial"/>
                <w:sz w:val="20"/>
              </w:rPr>
              <w:t>-</w:t>
            </w:r>
            <w:r w:rsidR="00197B4C" w:rsidRPr="00197B4C">
              <w:rPr>
                <w:rFonts w:ascii="Arial" w:hAnsi="Arial" w:cs="Arial"/>
                <w:sz w:val="20"/>
              </w:rPr>
              <w:t xml:space="preserve"> </w:t>
            </w:r>
            <w:r w:rsidRPr="00197B4C">
              <w:rPr>
                <w:rFonts w:ascii="Arial" w:hAnsi="Arial" w:cs="Arial"/>
                <w:sz w:val="20"/>
              </w:rPr>
              <w:t>(2)</w:t>
            </w:r>
          </w:p>
        </w:tc>
      </w:tr>
      <w:tr w:rsidR="002A4175" w:rsidRPr="008E7086" w:rsidTr="009178BB">
        <w:trPr>
          <w:trHeight w:val="83"/>
        </w:trPr>
        <w:tc>
          <w:tcPr>
            <w:tcW w:w="2610" w:type="dxa"/>
            <w:noWrap/>
          </w:tcPr>
          <w:p w:rsidR="002A4175" w:rsidRPr="008E7086" w:rsidRDefault="002A4175" w:rsidP="009178BB">
            <w:pPr>
              <w:rPr>
                <w:rFonts w:ascii="Arial" w:hAnsi="Arial" w:cs="Arial"/>
              </w:rPr>
            </w:pPr>
          </w:p>
        </w:tc>
        <w:tc>
          <w:tcPr>
            <w:tcW w:w="241" w:type="dxa"/>
          </w:tcPr>
          <w:p w:rsidR="002A4175" w:rsidRPr="008E7086" w:rsidRDefault="002A4175" w:rsidP="009178BB">
            <w:pPr>
              <w:rPr>
                <w:rFonts w:ascii="Arial" w:hAnsi="Arial" w:cs="Arial"/>
              </w:rPr>
            </w:pPr>
          </w:p>
        </w:tc>
        <w:tc>
          <w:tcPr>
            <w:tcW w:w="2099" w:type="dxa"/>
            <w:noWrap/>
          </w:tcPr>
          <w:p w:rsidR="002A4175" w:rsidRPr="008E7086" w:rsidRDefault="002A4175" w:rsidP="009178BB">
            <w:pPr>
              <w:rPr>
                <w:rFonts w:ascii="Arial" w:hAnsi="Arial" w:cs="Arial"/>
              </w:rPr>
            </w:pPr>
          </w:p>
        </w:tc>
        <w:tc>
          <w:tcPr>
            <w:tcW w:w="246" w:type="dxa"/>
          </w:tcPr>
          <w:p w:rsidR="002A4175" w:rsidRPr="008E7086" w:rsidRDefault="002A4175" w:rsidP="009178BB">
            <w:pPr>
              <w:rPr>
                <w:rFonts w:ascii="Arial" w:hAnsi="Arial" w:cs="Arial"/>
              </w:rPr>
            </w:pPr>
          </w:p>
        </w:tc>
        <w:tc>
          <w:tcPr>
            <w:tcW w:w="2184" w:type="dxa"/>
            <w:noWrap/>
          </w:tcPr>
          <w:p w:rsidR="002A4175" w:rsidRPr="008E7086" w:rsidRDefault="002A4175" w:rsidP="009178BB">
            <w:pPr>
              <w:rPr>
                <w:rFonts w:ascii="Arial" w:hAnsi="Arial" w:cs="Arial"/>
              </w:rPr>
            </w:pPr>
          </w:p>
        </w:tc>
        <w:tc>
          <w:tcPr>
            <w:tcW w:w="270" w:type="dxa"/>
          </w:tcPr>
          <w:p w:rsidR="002A4175" w:rsidRPr="008E7086" w:rsidRDefault="002A4175" w:rsidP="009178BB">
            <w:pPr>
              <w:rPr>
                <w:rFonts w:ascii="Arial" w:hAnsi="Arial" w:cs="Arial"/>
              </w:rPr>
            </w:pPr>
          </w:p>
        </w:tc>
        <w:tc>
          <w:tcPr>
            <w:tcW w:w="1980" w:type="dxa"/>
            <w:noWrap/>
          </w:tcPr>
          <w:p w:rsidR="002A4175" w:rsidRPr="008E7086" w:rsidRDefault="002A4175" w:rsidP="009178BB">
            <w:pPr>
              <w:rPr>
                <w:rFonts w:ascii="Arial" w:hAnsi="Arial" w:cs="Arial"/>
              </w:rPr>
            </w:pPr>
          </w:p>
        </w:tc>
      </w:tr>
      <w:tr w:rsidR="002A4175" w:rsidRPr="008E7086" w:rsidTr="009178BB">
        <w:trPr>
          <w:trHeight w:val="209"/>
        </w:trPr>
        <w:tc>
          <w:tcPr>
            <w:tcW w:w="2610" w:type="dxa"/>
            <w:noWrap/>
            <w:vAlign w:val="bottom"/>
          </w:tcPr>
          <w:p w:rsidR="002A4175" w:rsidRPr="008E7086" w:rsidRDefault="002A4175" w:rsidP="009178BB">
            <w:pPr>
              <w:jc w:val="left"/>
              <w:rPr>
                <w:rFonts w:ascii="Arial" w:hAnsi="Arial" w:cs="Arial"/>
              </w:rPr>
            </w:pPr>
            <w:r w:rsidRPr="008E7086">
              <w:rPr>
                <w:rFonts w:ascii="Arial" w:hAnsi="Arial" w:cs="Arial"/>
              </w:rPr>
              <w:t>Residential</w:t>
            </w:r>
          </w:p>
        </w:tc>
        <w:tc>
          <w:tcPr>
            <w:tcW w:w="241" w:type="dxa"/>
          </w:tcPr>
          <w:p w:rsidR="002A4175" w:rsidRPr="008E7086" w:rsidRDefault="002A4175" w:rsidP="009178BB">
            <w:pPr>
              <w:jc w:val="right"/>
              <w:rPr>
                <w:rFonts w:ascii="Arial" w:hAnsi="Arial" w:cs="Arial"/>
              </w:rPr>
            </w:pPr>
          </w:p>
        </w:tc>
        <w:tc>
          <w:tcPr>
            <w:tcW w:w="2099" w:type="dxa"/>
            <w:noWrap/>
          </w:tcPr>
          <w:p w:rsidR="002A4175" w:rsidRPr="008E7086" w:rsidRDefault="002A4175" w:rsidP="009178BB">
            <w:pPr>
              <w:jc w:val="right"/>
              <w:rPr>
                <w:rFonts w:ascii="Arial" w:hAnsi="Arial" w:cs="Arial"/>
              </w:rPr>
            </w:pPr>
            <w:r w:rsidRPr="008E7086">
              <w:rPr>
                <w:rFonts w:ascii="Arial" w:hAnsi="Arial" w:cs="Arial"/>
              </w:rPr>
              <w:t>$</w:t>
            </w:r>
            <w:r>
              <w:rPr>
                <w:rFonts w:ascii="Arial" w:hAnsi="Arial" w:cs="Arial"/>
              </w:rPr>
              <w:t xml:space="preserve">   653,940,610</w:t>
            </w:r>
          </w:p>
        </w:tc>
        <w:tc>
          <w:tcPr>
            <w:tcW w:w="246" w:type="dxa"/>
          </w:tcPr>
          <w:p w:rsidR="002A4175" w:rsidRPr="008E7086" w:rsidRDefault="002A4175" w:rsidP="009178BB">
            <w:pPr>
              <w:jc w:val="right"/>
              <w:rPr>
                <w:rFonts w:ascii="Arial" w:hAnsi="Arial" w:cs="Arial"/>
              </w:rPr>
            </w:pPr>
          </w:p>
        </w:tc>
        <w:tc>
          <w:tcPr>
            <w:tcW w:w="2184" w:type="dxa"/>
            <w:noWrap/>
          </w:tcPr>
          <w:p w:rsidR="002A4175" w:rsidRPr="008E7086" w:rsidRDefault="002A4175" w:rsidP="009178BB">
            <w:pPr>
              <w:jc w:val="right"/>
              <w:rPr>
                <w:rFonts w:ascii="Arial" w:hAnsi="Arial" w:cs="Arial"/>
              </w:rPr>
            </w:pPr>
            <w:r w:rsidRPr="008E7086">
              <w:rPr>
                <w:rFonts w:ascii="Arial" w:hAnsi="Arial" w:cs="Arial"/>
              </w:rPr>
              <w:t>$</w:t>
            </w:r>
            <w:r>
              <w:rPr>
                <w:rFonts w:ascii="Arial" w:hAnsi="Arial" w:cs="Arial"/>
              </w:rPr>
              <w:t xml:space="preserve">   651,700,596</w:t>
            </w:r>
          </w:p>
        </w:tc>
        <w:tc>
          <w:tcPr>
            <w:tcW w:w="270" w:type="dxa"/>
          </w:tcPr>
          <w:p w:rsidR="002A4175" w:rsidRPr="008E7086" w:rsidRDefault="002A4175" w:rsidP="009178BB">
            <w:pPr>
              <w:jc w:val="right"/>
              <w:rPr>
                <w:rFonts w:ascii="Arial" w:hAnsi="Arial" w:cs="Arial"/>
              </w:rPr>
            </w:pPr>
          </w:p>
        </w:tc>
        <w:tc>
          <w:tcPr>
            <w:tcW w:w="1980" w:type="dxa"/>
            <w:noWrap/>
          </w:tcPr>
          <w:p w:rsidR="002A4175" w:rsidRPr="008E7086" w:rsidRDefault="002A4175" w:rsidP="00E736E5">
            <w:pPr>
              <w:ind w:right="72"/>
              <w:jc w:val="right"/>
              <w:rPr>
                <w:rFonts w:ascii="Arial" w:hAnsi="Arial" w:cs="Arial"/>
              </w:rPr>
            </w:pPr>
            <w:r w:rsidRPr="008E7086">
              <w:rPr>
                <w:rFonts w:ascii="Arial" w:hAnsi="Arial" w:cs="Arial"/>
              </w:rPr>
              <w:t>$</w:t>
            </w:r>
            <w:r>
              <w:rPr>
                <w:rFonts w:ascii="Arial" w:hAnsi="Arial" w:cs="Arial"/>
              </w:rPr>
              <w:t xml:space="preserve">   2,240,014</w:t>
            </w:r>
          </w:p>
        </w:tc>
      </w:tr>
      <w:tr w:rsidR="002A4175" w:rsidRPr="008E7086" w:rsidTr="009178BB">
        <w:trPr>
          <w:trHeight w:val="119"/>
        </w:trPr>
        <w:tc>
          <w:tcPr>
            <w:tcW w:w="2610" w:type="dxa"/>
            <w:noWrap/>
            <w:vAlign w:val="bottom"/>
          </w:tcPr>
          <w:p w:rsidR="002A4175" w:rsidRPr="008E7086" w:rsidRDefault="002A4175" w:rsidP="009178BB">
            <w:pPr>
              <w:jc w:val="left"/>
              <w:rPr>
                <w:rFonts w:ascii="Arial" w:hAnsi="Arial" w:cs="Arial"/>
              </w:rPr>
            </w:pPr>
          </w:p>
        </w:tc>
        <w:tc>
          <w:tcPr>
            <w:tcW w:w="241" w:type="dxa"/>
          </w:tcPr>
          <w:p w:rsidR="002A4175" w:rsidRPr="008E7086" w:rsidRDefault="002A4175" w:rsidP="009178BB">
            <w:pPr>
              <w:jc w:val="right"/>
              <w:rPr>
                <w:rFonts w:ascii="Arial" w:hAnsi="Arial" w:cs="Arial"/>
              </w:rPr>
            </w:pPr>
          </w:p>
        </w:tc>
        <w:tc>
          <w:tcPr>
            <w:tcW w:w="2099" w:type="dxa"/>
            <w:noWrap/>
          </w:tcPr>
          <w:p w:rsidR="002A4175" w:rsidRPr="008E7086" w:rsidRDefault="002A4175" w:rsidP="009178BB">
            <w:pPr>
              <w:jc w:val="right"/>
              <w:rPr>
                <w:rFonts w:ascii="Arial" w:hAnsi="Arial" w:cs="Arial"/>
              </w:rPr>
            </w:pPr>
          </w:p>
        </w:tc>
        <w:tc>
          <w:tcPr>
            <w:tcW w:w="246" w:type="dxa"/>
          </w:tcPr>
          <w:p w:rsidR="002A4175" w:rsidRPr="008E7086" w:rsidRDefault="002A4175" w:rsidP="009178BB">
            <w:pPr>
              <w:jc w:val="right"/>
              <w:rPr>
                <w:rFonts w:ascii="Arial" w:hAnsi="Arial" w:cs="Arial"/>
              </w:rPr>
            </w:pPr>
          </w:p>
        </w:tc>
        <w:tc>
          <w:tcPr>
            <w:tcW w:w="2184" w:type="dxa"/>
            <w:noWrap/>
          </w:tcPr>
          <w:p w:rsidR="002A4175" w:rsidRPr="008E7086" w:rsidRDefault="002A4175" w:rsidP="009178BB">
            <w:pPr>
              <w:jc w:val="right"/>
              <w:rPr>
                <w:rFonts w:ascii="Arial" w:hAnsi="Arial" w:cs="Arial"/>
              </w:rPr>
            </w:pPr>
          </w:p>
        </w:tc>
        <w:tc>
          <w:tcPr>
            <w:tcW w:w="270" w:type="dxa"/>
          </w:tcPr>
          <w:p w:rsidR="002A4175" w:rsidRPr="008E7086" w:rsidRDefault="002A4175" w:rsidP="009178BB">
            <w:pPr>
              <w:jc w:val="right"/>
              <w:rPr>
                <w:rFonts w:ascii="Arial" w:hAnsi="Arial" w:cs="Arial"/>
              </w:rPr>
            </w:pPr>
          </w:p>
        </w:tc>
        <w:tc>
          <w:tcPr>
            <w:tcW w:w="1980" w:type="dxa"/>
            <w:noWrap/>
          </w:tcPr>
          <w:p w:rsidR="002A4175" w:rsidRPr="008E7086" w:rsidRDefault="002A4175" w:rsidP="00E736E5">
            <w:pPr>
              <w:jc w:val="right"/>
              <w:rPr>
                <w:rFonts w:ascii="Arial" w:hAnsi="Arial" w:cs="Arial"/>
              </w:rPr>
            </w:pPr>
          </w:p>
        </w:tc>
      </w:tr>
      <w:tr w:rsidR="002A4175" w:rsidRPr="008E7086" w:rsidTr="009178BB">
        <w:trPr>
          <w:trHeight w:val="380"/>
        </w:trPr>
        <w:tc>
          <w:tcPr>
            <w:tcW w:w="2610" w:type="dxa"/>
            <w:noWrap/>
            <w:vAlign w:val="bottom"/>
          </w:tcPr>
          <w:p w:rsidR="002A4175" w:rsidRPr="008E7086" w:rsidRDefault="002A4175" w:rsidP="009178BB">
            <w:pPr>
              <w:jc w:val="left"/>
              <w:rPr>
                <w:rFonts w:ascii="Arial" w:hAnsi="Arial" w:cs="Arial"/>
              </w:rPr>
            </w:pPr>
            <w:r w:rsidRPr="008E7086">
              <w:rPr>
                <w:rFonts w:ascii="Arial" w:hAnsi="Arial" w:cs="Arial"/>
              </w:rPr>
              <w:t>Small Commercial</w:t>
            </w:r>
            <w:r>
              <w:rPr>
                <w:rFonts w:ascii="Arial" w:hAnsi="Arial" w:cs="Arial"/>
              </w:rPr>
              <w:t xml:space="preserve"> and Industrial</w:t>
            </w:r>
          </w:p>
        </w:tc>
        <w:tc>
          <w:tcPr>
            <w:tcW w:w="241" w:type="dxa"/>
          </w:tcPr>
          <w:p w:rsidR="002A4175" w:rsidRPr="008E7086" w:rsidRDefault="002A4175" w:rsidP="009178BB">
            <w:pPr>
              <w:jc w:val="right"/>
              <w:rPr>
                <w:rFonts w:ascii="Arial" w:hAnsi="Arial" w:cs="Arial"/>
              </w:rPr>
            </w:pPr>
          </w:p>
        </w:tc>
        <w:tc>
          <w:tcPr>
            <w:tcW w:w="2099" w:type="dxa"/>
            <w:noWrap/>
            <w:vAlign w:val="bottom"/>
          </w:tcPr>
          <w:p w:rsidR="002A4175" w:rsidRPr="008E7086" w:rsidRDefault="002A4175" w:rsidP="009178BB">
            <w:pPr>
              <w:jc w:val="right"/>
              <w:rPr>
                <w:rFonts w:ascii="Arial" w:hAnsi="Arial" w:cs="Arial"/>
              </w:rPr>
            </w:pPr>
            <w:r>
              <w:rPr>
                <w:rFonts w:ascii="Arial" w:hAnsi="Arial" w:cs="Arial"/>
              </w:rPr>
              <w:t>131,701,848</w:t>
            </w:r>
          </w:p>
        </w:tc>
        <w:tc>
          <w:tcPr>
            <w:tcW w:w="246" w:type="dxa"/>
            <w:vAlign w:val="bottom"/>
          </w:tcPr>
          <w:p w:rsidR="002A4175" w:rsidRPr="008E7086" w:rsidRDefault="002A4175" w:rsidP="009178BB">
            <w:pPr>
              <w:jc w:val="right"/>
              <w:rPr>
                <w:rFonts w:ascii="Arial" w:hAnsi="Arial" w:cs="Arial"/>
              </w:rPr>
            </w:pPr>
          </w:p>
        </w:tc>
        <w:tc>
          <w:tcPr>
            <w:tcW w:w="2184" w:type="dxa"/>
            <w:noWrap/>
            <w:vAlign w:val="bottom"/>
          </w:tcPr>
          <w:p w:rsidR="002A4175" w:rsidRPr="008E7086" w:rsidRDefault="002A4175" w:rsidP="009178BB">
            <w:pPr>
              <w:jc w:val="right"/>
              <w:rPr>
                <w:rFonts w:ascii="Arial" w:hAnsi="Arial" w:cs="Arial"/>
              </w:rPr>
            </w:pPr>
            <w:r>
              <w:rPr>
                <w:rFonts w:ascii="Arial" w:hAnsi="Arial" w:cs="Arial"/>
              </w:rPr>
              <w:t>133,532,828</w:t>
            </w:r>
          </w:p>
        </w:tc>
        <w:tc>
          <w:tcPr>
            <w:tcW w:w="270" w:type="dxa"/>
            <w:vAlign w:val="bottom"/>
          </w:tcPr>
          <w:p w:rsidR="002A4175" w:rsidRPr="008E7086" w:rsidRDefault="002A4175" w:rsidP="009178BB">
            <w:pPr>
              <w:jc w:val="right"/>
              <w:rPr>
                <w:rFonts w:ascii="Arial" w:hAnsi="Arial" w:cs="Arial"/>
              </w:rPr>
            </w:pPr>
          </w:p>
        </w:tc>
        <w:tc>
          <w:tcPr>
            <w:tcW w:w="1980" w:type="dxa"/>
            <w:noWrap/>
            <w:vAlign w:val="bottom"/>
          </w:tcPr>
          <w:p w:rsidR="002A4175" w:rsidRPr="008E7086" w:rsidRDefault="002A4175" w:rsidP="00E736E5">
            <w:pPr>
              <w:jc w:val="right"/>
              <w:rPr>
                <w:rFonts w:ascii="Arial" w:hAnsi="Arial" w:cs="Arial"/>
              </w:rPr>
            </w:pPr>
            <w:r>
              <w:rPr>
                <w:rFonts w:ascii="Arial" w:hAnsi="Arial" w:cs="Arial"/>
              </w:rPr>
              <w:t>(1,830,980)</w:t>
            </w:r>
          </w:p>
        </w:tc>
      </w:tr>
      <w:tr w:rsidR="002A4175" w:rsidRPr="008E7086" w:rsidTr="009178BB">
        <w:trPr>
          <w:trHeight w:val="281"/>
        </w:trPr>
        <w:tc>
          <w:tcPr>
            <w:tcW w:w="2610" w:type="dxa"/>
            <w:noWrap/>
            <w:vAlign w:val="bottom"/>
          </w:tcPr>
          <w:p w:rsidR="002A4175" w:rsidRPr="008E7086" w:rsidRDefault="002A4175" w:rsidP="009178BB">
            <w:pPr>
              <w:jc w:val="left"/>
              <w:rPr>
                <w:rFonts w:ascii="Arial" w:hAnsi="Arial" w:cs="Arial"/>
              </w:rPr>
            </w:pPr>
          </w:p>
        </w:tc>
        <w:tc>
          <w:tcPr>
            <w:tcW w:w="241" w:type="dxa"/>
          </w:tcPr>
          <w:p w:rsidR="002A4175" w:rsidRPr="008E7086" w:rsidRDefault="002A4175" w:rsidP="009178BB">
            <w:pPr>
              <w:jc w:val="right"/>
              <w:rPr>
                <w:rFonts w:ascii="Arial" w:hAnsi="Arial" w:cs="Arial"/>
              </w:rPr>
            </w:pPr>
          </w:p>
        </w:tc>
        <w:tc>
          <w:tcPr>
            <w:tcW w:w="2099" w:type="dxa"/>
            <w:noWrap/>
          </w:tcPr>
          <w:p w:rsidR="002A4175" w:rsidRPr="008E7086" w:rsidRDefault="002A4175" w:rsidP="009178BB">
            <w:pPr>
              <w:jc w:val="right"/>
              <w:rPr>
                <w:rFonts w:ascii="Arial" w:hAnsi="Arial" w:cs="Arial"/>
              </w:rPr>
            </w:pPr>
          </w:p>
        </w:tc>
        <w:tc>
          <w:tcPr>
            <w:tcW w:w="246" w:type="dxa"/>
          </w:tcPr>
          <w:p w:rsidR="002A4175" w:rsidRPr="008E7086" w:rsidRDefault="002A4175" w:rsidP="009178BB">
            <w:pPr>
              <w:jc w:val="right"/>
              <w:rPr>
                <w:rFonts w:ascii="Arial" w:hAnsi="Arial" w:cs="Arial"/>
              </w:rPr>
            </w:pPr>
          </w:p>
        </w:tc>
        <w:tc>
          <w:tcPr>
            <w:tcW w:w="2184" w:type="dxa"/>
            <w:noWrap/>
          </w:tcPr>
          <w:p w:rsidR="002A4175" w:rsidRPr="008E7086" w:rsidRDefault="002A4175" w:rsidP="009178BB">
            <w:pPr>
              <w:jc w:val="right"/>
              <w:rPr>
                <w:rFonts w:ascii="Arial" w:hAnsi="Arial" w:cs="Arial"/>
              </w:rPr>
            </w:pPr>
          </w:p>
        </w:tc>
        <w:tc>
          <w:tcPr>
            <w:tcW w:w="270" w:type="dxa"/>
          </w:tcPr>
          <w:p w:rsidR="002A4175" w:rsidRPr="008E7086" w:rsidRDefault="002A4175" w:rsidP="009178BB">
            <w:pPr>
              <w:jc w:val="right"/>
              <w:rPr>
                <w:rFonts w:ascii="Arial" w:hAnsi="Arial" w:cs="Arial"/>
              </w:rPr>
            </w:pPr>
          </w:p>
        </w:tc>
        <w:tc>
          <w:tcPr>
            <w:tcW w:w="1980" w:type="dxa"/>
            <w:noWrap/>
          </w:tcPr>
          <w:p w:rsidR="002A4175" w:rsidRPr="008E7086" w:rsidRDefault="002A4175" w:rsidP="00E736E5">
            <w:pPr>
              <w:jc w:val="right"/>
              <w:rPr>
                <w:rFonts w:ascii="Arial" w:hAnsi="Arial" w:cs="Arial"/>
              </w:rPr>
            </w:pPr>
          </w:p>
        </w:tc>
      </w:tr>
      <w:tr w:rsidR="002A4175" w:rsidRPr="008E7086" w:rsidTr="009178BB">
        <w:trPr>
          <w:trHeight w:val="255"/>
        </w:trPr>
        <w:tc>
          <w:tcPr>
            <w:tcW w:w="2610" w:type="dxa"/>
            <w:noWrap/>
            <w:vAlign w:val="bottom"/>
          </w:tcPr>
          <w:p w:rsidR="002A4175" w:rsidRPr="008E7086" w:rsidRDefault="002A4175" w:rsidP="009178BB">
            <w:pPr>
              <w:jc w:val="left"/>
              <w:rPr>
                <w:rFonts w:ascii="Arial" w:hAnsi="Arial" w:cs="Arial"/>
              </w:rPr>
            </w:pPr>
            <w:r w:rsidRPr="008E7086">
              <w:rPr>
                <w:rFonts w:ascii="Arial" w:hAnsi="Arial" w:cs="Arial"/>
              </w:rPr>
              <w:t>Medium Commercial</w:t>
            </w:r>
            <w:r>
              <w:rPr>
                <w:rFonts w:ascii="Arial" w:hAnsi="Arial" w:cs="Arial"/>
              </w:rPr>
              <w:t xml:space="preserve"> and Industrial</w:t>
            </w:r>
          </w:p>
        </w:tc>
        <w:tc>
          <w:tcPr>
            <w:tcW w:w="241" w:type="dxa"/>
          </w:tcPr>
          <w:p w:rsidR="002A4175" w:rsidRPr="008E7086" w:rsidRDefault="002A4175" w:rsidP="009178BB">
            <w:pPr>
              <w:jc w:val="right"/>
              <w:rPr>
                <w:rFonts w:ascii="Arial" w:hAnsi="Arial" w:cs="Arial"/>
              </w:rPr>
            </w:pPr>
          </w:p>
        </w:tc>
        <w:tc>
          <w:tcPr>
            <w:tcW w:w="2099" w:type="dxa"/>
            <w:noWrap/>
            <w:vAlign w:val="bottom"/>
          </w:tcPr>
          <w:p w:rsidR="002A4175" w:rsidRPr="008E7086" w:rsidRDefault="002A4175" w:rsidP="009178BB">
            <w:pPr>
              <w:jc w:val="right"/>
              <w:rPr>
                <w:rFonts w:ascii="Arial" w:hAnsi="Arial" w:cs="Arial"/>
              </w:rPr>
            </w:pPr>
            <w:r>
              <w:rPr>
                <w:rFonts w:ascii="Arial" w:hAnsi="Arial" w:cs="Arial"/>
              </w:rPr>
              <w:t>45,662,702</w:t>
            </w:r>
          </w:p>
        </w:tc>
        <w:tc>
          <w:tcPr>
            <w:tcW w:w="246" w:type="dxa"/>
            <w:vAlign w:val="bottom"/>
          </w:tcPr>
          <w:p w:rsidR="002A4175" w:rsidRPr="008E7086" w:rsidRDefault="002A4175" w:rsidP="009178BB">
            <w:pPr>
              <w:jc w:val="right"/>
              <w:rPr>
                <w:rFonts w:ascii="Arial" w:hAnsi="Arial" w:cs="Arial"/>
              </w:rPr>
            </w:pPr>
          </w:p>
        </w:tc>
        <w:tc>
          <w:tcPr>
            <w:tcW w:w="2184" w:type="dxa"/>
            <w:noWrap/>
            <w:vAlign w:val="bottom"/>
          </w:tcPr>
          <w:p w:rsidR="002A4175" w:rsidRPr="008E7086" w:rsidRDefault="002A4175" w:rsidP="009178BB">
            <w:pPr>
              <w:jc w:val="right"/>
              <w:rPr>
                <w:rFonts w:ascii="Arial" w:hAnsi="Arial" w:cs="Arial"/>
              </w:rPr>
            </w:pPr>
            <w:r>
              <w:rPr>
                <w:rFonts w:ascii="Arial" w:hAnsi="Arial" w:cs="Arial"/>
              </w:rPr>
              <w:t>45,457,469</w:t>
            </w:r>
          </w:p>
        </w:tc>
        <w:tc>
          <w:tcPr>
            <w:tcW w:w="270" w:type="dxa"/>
            <w:vAlign w:val="bottom"/>
          </w:tcPr>
          <w:p w:rsidR="002A4175" w:rsidRPr="008E7086" w:rsidRDefault="002A4175" w:rsidP="009178BB">
            <w:pPr>
              <w:jc w:val="right"/>
              <w:rPr>
                <w:rFonts w:ascii="Arial" w:hAnsi="Arial" w:cs="Arial"/>
              </w:rPr>
            </w:pPr>
          </w:p>
        </w:tc>
        <w:tc>
          <w:tcPr>
            <w:tcW w:w="1980" w:type="dxa"/>
            <w:noWrap/>
            <w:vAlign w:val="bottom"/>
          </w:tcPr>
          <w:p w:rsidR="002A4175" w:rsidRPr="008E7086" w:rsidRDefault="002A4175" w:rsidP="00E736E5">
            <w:pPr>
              <w:ind w:right="48" w:firstLine="264"/>
              <w:jc w:val="right"/>
              <w:rPr>
                <w:rFonts w:ascii="Arial" w:hAnsi="Arial" w:cs="Arial"/>
              </w:rPr>
            </w:pPr>
            <w:r>
              <w:rPr>
                <w:rFonts w:ascii="Arial" w:hAnsi="Arial" w:cs="Arial"/>
              </w:rPr>
              <w:t>205,233</w:t>
            </w:r>
          </w:p>
        </w:tc>
      </w:tr>
      <w:tr w:rsidR="002A4175" w:rsidRPr="008E7086" w:rsidTr="009178BB">
        <w:trPr>
          <w:trHeight w:val="255"/>
        </w:trPr>
        <w:tc>
          <w:tcPr>
            <w:tcW w:w="2610" w:type="dxa"/>
            <w:noWrap/>
            <w:vAlign w:val="bottom"/>
          </w:tcPr>
          <w:p w:rsidR="002A4175" w:rsidRPr="008E7086" w:rsidRDefault="002A4175" w:rsidP="009178BB">
            <w:pPr>
              <w:jc w:val="left"/>
              <w:rPr>
                <w:rFonts w:ascii="Arial" w:hAnsi="Arial" w:cs="Arial"/>
              </w:rPr>
            </w:pPr>
          </w:p>
        </w:tc>
        <w:tc>
          <w:tcPr>
            <w:tcW w:w="241" w:type="dxa"/>
          </w:tcPr>
          <w:p w:rsidR="002A4175" w:rsidRPr="008E7086" w:rsidRDefault="002A4175" w:rsidP="009178BB">
            <w:pPr>
              <w:jc w:val="right"/>
              <w:rPr>
                <w:rFonts w:ascii="Arial" w:hAnsi="Arial" w:cs="Arial"/>
              </w:rPr>
            </w:pPr>
          </w:p>
        </w:tc>
        <w:tc>
          <w:tcPr>
            <w:tcW w:w="2099" w:type="dxa"/>
            <w:noWrap/>
          </w:tcPr>
          <w:p w:rsidR="002A4175" w:rsidRPr="008E7086" w:rsidRDefault="002A4175" w:rsidP="009178BB">
            <w:pPr>
              <w:jc w:val="right"/>
              <w:rPr>
                <w:rFonts w:ascii="Arial" w:hAnsi="Arial" w:cs="Arial"/>
              </w:rPr>
            </w:pPr>
          </w:p>
        </w:tc>
        <w:tc>
          <w:tcPr>
            <w:tcW w:w="246" w:type="dxa"/>
          </w:tcPr>
          <w:p w:rsidR="002A4175" w:rsidRPr="008E7086" w:rsidRDefault="002A4175" w:rsidP="009178BB">
            <w:pPr>
              <w:jc w:val="right"/>
              <w:rPr>
                <w:rFonts w:ascii="Arial" w:hAnsi="Arial" w:cs="Arial"/>
              </w:rPr>
            </w:pPr>
          </w:p>
        </w:tc>
        <w:tc>
          <w:tcPr>
            <w:tcW w:w="2184" w:type="dxa"/>
            <w:noWrap/>
          </w:tcPr>
          <w:p w:rsidR="002A4175" w:rsidRPr="008E7086" w:rsidRDefault="002A4175" w:rsidP="009178BB">
            <w:pPr>
              <w:jc w:val="right"/>
              <w:rPr>
                <w:rFonts w:ascii="Arial" w:hAnsi="Arial" w:cs="Arial"/>
              </w:rPr>
            </w:pPr>
          </w:p>
        </w:tc>
        <w:tc>
          <w:tcPr>
            <w:tcW w:w="270" w:type="dxa"/>
          </w:tcPr>
          <w:p w:rsidR="002A4175" w:rsidRPr="008E7086" w:rsidRDefault="002A4175" w:rsidP="009178BB">
            <w:pPr>
              <w:jc w:val="right"/>
              <w:rPr>
                <w:rFonts w:ascii="Arial" w:hAnsi="Arial" w:cs="Arial"/>
              </w:rPr>
            </w:pPr>
          </w:p>
        </w:tc>
        <w:tc>
          <w:tcPr>
            <w:tcW w:w="1980" w:type="dxa"/>
            <w:noWrap/>
          </w:tcPr>
          <w:p w:rsidR="002A4175" w:rsidRPr="008E7086" w:rsidRDefault="002A4175" w:rsidP="00E736E5">
            <w:pPr>
              <w:jc w:val="right"/>
              <w:rPr>
                <w:rFonts w:ascii="Arial" w:hAnsi="Arial" w:cs="Arial"/>
              </w:rPr>
            </w:pPr>
          </w:p>
        </w:tc>
      </w:tr>
      <w:tr w:rsidR="002A4175" w:rsidRPr="008E7086" w:rsidTr="009178BB">
        <w:trPr>
          <w:trHeight w:val="255"/>
        </w:trPr>
        <w:tc>
          <w:tcPr>
            <w:tcW w:w="2610" w:type="dxa"/>
            <w:noWrap/>
            <w:vAlign w:val="bottom"/>
          </w:tcPr>
          <w:p w:rsidR="002A4175" w:rsidRPr="008E7086" w:rsidRDefault="002A4175" w:rsidP="009178BB">
            <w:pPr>
              <w:jc w:val="left"/>
              <w:rPr>
                <w:rFonts w:ascii="Arial" w:hAnsi="Arial" w:cs="Arial"/>
              </w:rPr>
            </w:pPr>
            <w:r w:rsidRPr="008E7086">
              <w:rPr>
                <w:rFonts w:ascii="Arial" w:hAnsi="Arial" w:cs="Arial"/>
              </w:rPr>
              <w:t>Large Commercial and Industrial</w:t>
            </w:r>
            <w:r w:rsidR="009178BB">
              <w:rPr>
                <w:rFonts w:ascii="Arial" w:hAnsi="Arial" w:cs="Arial"/>
              </w:rPr>
              <w:t xml:space="preserve"> (Hourly)</w:t>
            </w:r>
          </w:p>
        </w:tc>
        <w:tc>
          <w:tcPr>
            <w:tcW w:w="241" w:type="dxa"/>
          </w:tcPr>
          <w:p w:rsidR="002A4175" w:rsidRPr="008E7086" w:rsidRDefault="002A4175" w:rsidP="009178BB">
            <w:pPr>
              <w:jc w:val="right"/>
              <w:rPr>
                <w:rFonts w:ascii="Arial" w:hAnsi="Arial" w:cs="Arial"/>
                <w:u w:val="single"/>
              </w:rPr>
            </w:pPr>
          </w:p>
        </w:tc>
        <w:tc>
          <w:tcPr>
            <w:tcW w:w="2099" w:type="dxa"/>
            <w:tcBorders>
              <w:bottom w:val="single" w:sz="4" w:space="0" w:color="auto"/>
            </w:tcBorders>
            <w:noWrap/>
            <w:vAlign w:val="bottom"/>
          </w:tcPr>
          <w:p w:rsidR="002A4175" w:rsidRPr="00303BA3" w:rsidRDefault="002A4175" w:rsidP="009178BB">
            <w:pPr>
              <w:rPr>
                <w:rFonts w:ascii="Arial" w:hAnsi="Arial" w:cs="Arial"/>
              </w:rPr>
            </w:pPr>
            <w:r w:rsidRPr="00303BA3">
              <w:rPr>
                <w:rFonts w:ascii="Arial" w:hAnsi="Arial" w:cs="Arial"/>
              </w:rPr>
              <w:t xml:space="preserve">          21,616,697</w:t>
            </w:r>
          </w:p>
        </w:tc>
        <w:tc>
          <w:tcPr>
            <w:tcW w:w="246" w:type="dxa"/>
          </w:tcPr>
          <w:p w:rsidR="002A4175" w:rsidRPr="00303BA3" w:rsidRDefault="002A4175" w:rsidP="009178BB">
            <w:pPr>
              <w:rPr>
                <w:rFonts w:ascii="Arial" w:hAnsi="Arial" w:cs="Arial"/>
              </w:rPr>
            </w:pPr>
            <w:r w:rsidRPr="00303BA3">
              <w:rPr>
                <w:rFonts w:ascii="Arial" w:hAnsi="Arial" w:cs="Arial"/>
              </w:rPr>
              <w:t xml:space="preserve"> </w:t>
            </w:r>
          </w:p>
        </w:tc>
        <w:tc>
          <w:tcPr>
            <w:tcW w:w="2184" w:type="dxa"/>
            <w:tcBorders>
              <w:bottom w:val="single" w:sz="4" w:space="0" w:color="auto"/>
            </w:tcBorders>
            <w:noWrap/>
            <w:vAlign w:val="bottom"/>
          </w:tcPr>
          <w:p w:rsidR="002A4175" w:rsidRPr="00303BA3" w:rsidRDefault="002A4175" w:rsidP="009178BB">
            <w:pPr>
              <w:ind w:left="6" w:right="-825"/>
              <w:rPr>
                <w:rFonts w:ascii="Arial" w:hAnsi="Arial" w:cs="Arial"/>
              </w:rPr>
            </w:pPr>
            <w:r w:rsidRPr="00303BA3">
              <w:rPr>
                <w:rFonts w:ascii="Arial" w:hAnsi="Arial" w:cs="Arial"/>
              </w:rPr>
              <w:t>20,894,292</w:t>
            </w:r>
          </w:p>
        </w:tc>
        <w:tc>
          <w:tcPr>
            <w:tcW w:w="270" w:type="dxa"/>
          </w:tcPr>
          <w:p w:rsidR="002A4175" w:rsidRPr="00303BA3" w:rsidRDefault="002A4175" w:rsidP="009178BB">
            <w:pPr>
              <w:jc w:val="right"/>
              <w:rPr>
                <w:rFonts w:ascii="Arial" w:hAnsi="Arial" w:cs="Arial"/>
              </w:rPr>
            </w:pPr>
          </w:p>
        </w:tc>
        <w:tc>
          <w:tcPr>
            <w:tcW w:w="1980" w:type="dxa"/>
            <w:tcBorders>
              <w:bottom w:val="single" w:sz="4" w:space="0" w:color="auto"/>
            </w:tcBorders>
            <w:noWrap/>
            <w:vAlign w:val="bottom"/>
          </w:tcPr>
          <w:p w:rsidR="002A4175" w:rsidRPr="00303BA3" w:rsidRDefault="002A4175" w:rsidP="00E736E5">
            <w:pPr>
              <w:ind w:right="48"/>
              <w:jc w:val="right"/>
              <w:rPr>
                <w:rFonts w:ascii="Arial" w:hAnsi="Arial" w:cs="Arial"/>
              </w:rPr>
            </w:pPr>
            <w:r w:rsidRPr="00303BA3">
              <w:rPr>
                <w:rFonts w:ascii="Arial" w:hAnsi="Arial" w:cs="Arial"/>
              </w:rPr>
              <w:t>722,405</w:t>
            </w:r>
          </w:p>
        </w:tc>
      </w:tr>
      <w:tr w:rsidR="002A4175" w:rsidRPr="008E7086" w:rsidTr="009178BB">
        <w:trPr>
          <w:trHeight w:val="255"/>
        </w:trPr>
        <w:tc>
          <w:tcPr>
            <w:tcW w:w="2610" w:type="dxa"/>
            <w:noWrap/>
            <w:vAlign w:val="bottom"/>
          </w:tcPr>
          <w:p w:rsidR="002A4175" w:rsidRPr="008E7086" w:rsidRDefault="002A4175" w:rsidP="009178BB">
            <w:pPr>
              <w:jc w:val="left"/>
              <w:rPr>
                <w:rFonts w:ascii="Arial" w:hAnsi="Arial" w:cs="Arial"/>
              </w:rPr>
            </w:pPr>
          </w:p>
        </w:tc>
        <w:tc>
          <w:tcPr>
            <w:tcW w:w="241" w:type="dxa"/>
          </w:tcPr>
          <w:p w:rsidR="002A4175" w:rsidRPr="008E7086" w:rsidRDefault="002A4175" w:rsidP="009178BB">
            <w:pPr>
              <w:jc w:val="right"/>
              <w:rPr>
                <w:rFonts w:ascii="Arial" w:hAnsi="Arial" w:cs="Arial"/>
              </w:rPr>
            </w:pPr>
          </w:p>
        </w:tc>
        <w:tc>
          <w:tcPr>
            <w:tcW w:w="2099" w:type="dxa"/>
            <w:tcBorders>
              <w:top w:val="single" w:sz="4" w:space="0" w:color="auto"/>
            </w:tcBorders>
            <w:noWrap/>
          </w:tcPr>
          <w:p w:rsidR="002A4175" w:rsidRPr="00303BA3" w:rsidRDefault="002A4175" w:rsidP="009178BB">
            <w:pPr>
              <w:jc w:val="right"/>
              <w:rPr>
                <w:rFonts w:ascii="Arial" w:hAnsi="Arial" w:cs="Arial"/>
              </w:rPr>
            </w:pPr>
          </w:p>
        </w:tc>
        <w:tc>
          <w:tcPr>
            <w:tcW w:w="246" w:type="dxa"/>
          </w:tcPr>
          <w:p w:rsidR="002A4175" w:rsidRPr="00303BA3" w:rsidRDefault="002A4175" w:rsidP="009178BB">
            <w:pPr>
              <w:jc w:val="right"/>
              <w:rPr>
                <w:rFonts w:ascii="Arial" w:hAnsi="Arial" w:cs="Arial"/>
              </w:rPr>
            </w:pPr>
          </w:p>
        </w:tc>
        <w:tc>
          <w:tcPr>
            <w:tcW w:w="2184" w:type="dxa"/>
            <w:tcBorders>
              <w:top w:val="single" w:sz="4" w:space="0" w:color="auto"/>
            </w:tcBorders>
            <w:noWrap/>
          </w:tcPr>
          <w:p w:rsidR="002A4175" w:rsidRPr="00303BA3" w:rsidRDefault="002A4175" w:rsidP="009178BB">
            <w:pPr>
              <w:jc w:val="right"/>
              <w:rPr>
                <w:rFonts w:ascii="Arial" w:hAnsi="Arial" w:cs="Arial"/>
              </w:rPr>
            </w:pPr>
          </w:p>
        </w:tc>
        <w:tc>
          <w:tcPr>
            <w:tcW w:w="270" w:type="dxa"/>
          </w:tcPr>
          <w:p w:rsidR="002A4175" w:rsidRPr="00303BA3" w:rsidRDefault="002A4175" w:rsidP="009178BB">
            <w:pPr>
              <w:jc w:val="right"/>
              <w:rPr>
                <w:rFonts w:ascii="Arial" w:hAnsi="Arial" w:cs="Arial"/>
              </w:rPr>
            </w:pPr>
          </w:p>
        </w:tc>
        <w:tc>
          <w:tcPr>
            <w:tcW w:w="1980" w:type="dxa"/>
            <w:tcBorders>
              <w:top w:val="single" w:sz="4" w:space="0" w:color="auto"/>
            </w:tcBorders>
            <w:noWrap/>
          </w:tcPr>
          <w:p w:rsidR="002A4175" w:rsidRPr="00303BA3" w:rsidRDefault="002A4175" w:rsidP="00E736E5">
            <w:pPr>
              <w:jc w:val="right"/>
              <w:rPr>
                <w:rFonts w:ascii="Arial" w:hAnsi="Arial" w:cs="Arial"/>
              </w:rPr>
            </w:pPr>
          </w:p>
        </w:tc>
      </w:tr>
      <w:tr w:rsidR="002A4175" w:rsidRPr="008E7086" w:rsidTr="009178BB">
        <w:trPr>
          <w:trHeight w:val="497"/>
        </w:trPr>
        <w:tc>
          <w:tcPr>
            <w:tcW w:w="2610" w:type="dxa"/>
            <w:noWrap/>
            <w:vAlign w:val="bottom"/>
          </w:tcPr>
          <w:p w:rsidR="002A4175" w:rsidRPr="008E7086" w:rsidRDefault="002A4175" w:rsidP="009178BB">
            <w:pPr>
              <w:jc w:val="left"/>
              <w:rPr>
                <w:rFonts w:ascii="Arial" w:hAnsi="Arial" w:cs="Arial"/>
              </w:rPr>
            </w:pPr>
            <w:r>
              <w:rPr>
                <w:rFonts w:ascii="Arial" w:hAnsi="Arial" w:cs="Arial"/>
              </w:rPr>
              <w:t xml:space="preserve">     </w:t>
            </w:r>
            <w:r w:rsidRPr="008E7086">
              <w:rPr>
                <w:rFonts w:ascii="Arial" w:hAnsi="Arial" w:cs="Arial"/>
              </w:rPr>
              <w:t>Total</w:t>
            </w:r>
          </w:p>
        </w:tc>
        <w:tc>
          <w:tcPr>
            <w:tcW w:w="241" w:type="dxa"/>
            <w:vAlign w:val="bottom"/>
          </w:tcPr>
          <w:p w:rsidR="002A4175" w:rsidRPr="008E7086" w:rsidRDefault="002A4175" w:rsidP="009178BB">
            <w:pPr>
              <w:rPr>
                <w:rFonts w:ascii="Arial" w:hAnsi="Arial" w:cs="Arial"/>
                <w:u w:val="double"/>
              </w:rPr>
            </w:pPr>
          </w:p>
        </w:tc>
        <w:tc>
          <w:tcPr>
            <w:tcW w:w="2099" w:type="dxa"/>
            <w:tcBorders>
              <w:bottom w:val="double" w:sz="4" w:space="0" w:color="auto"/>
            </w:tcBorders>
            <w:noWrap/>
            <w:vAlign w:val="bottom"/>
          </w:tcPr>
          <w:p w:rsidR="002A4175" w:rsidRPr="00303BA3" w:rsidRDefault="002A4175" w:rsidP="009178BB">
            <w:pPr>
              <w:rPr>
                <w:rFonts w:ascii="Arial" w:hAnsi="Arial" w:cs="Arial"/>
              </w:rPr>
            </w:pPr>
            <w:r w:rsidRPr="00303BA3">
              <w:rPr>
                <w:rFonts w:ascii="Arial" w:hAnsi="Arial" w:cs="Arial"/>
              </w:rPr>
              <w:t xml:space="preserve">  $   852,921,857</w:t>
            </w:r>
          </w:p>
        </w:tc>
        <w:tc>
          <w:tcPr>
            <w:tcW w:w="246" w:type="dxa"/>
            <w:vAlign w:val="bottom"/>
          </w:tcPr>
          <w:p w:rsidR="002A4175" w:rsidRPr="00303BA3" w:rsidRDefault="002A4175" w:rsidP="009178BB">
            <w:pPr>
              <w:rPr>
                <w:rFonts w:ascii="Arial" w:hAnsi="Arial" w:cs="Arial"/>
              </w:rPr>
            </w:pPr>
          </w:p>
        </w:tc>
        <w:tc>
          <w:tcPr>
            <w:tcW w:w="2184" w:type="dxa"/>
            <w:tcBorders>
              <w:bottom w:val="double" w:sz="4" w:space="0" w:color="auto"/>
            </w:tcBorders>
            <w:noWrap/>
            <w:vAlign w:val="bottom"/>
          </w:tcPr>
          <w:p w:rsidR="002A4175" w:rsidRPr="00303BA3" w:rsidRDefault="002A4175" w:rsidP="009178BB">
            <w:pPr>
              <w:rPr>
                <w:rFonts w:ascii="Arial" w:hAnsi="Arial" w:cs="Arial"/>
              </w:rPr>
            </w:pPr>
            <w:r w:rsidRPr="00303BA3">
              <w:rPr>
                <w:rFonts w:ascii="Arial" w:hAnsi="Arial" w:cs="Arial"/>
              </w:rPr>
              <w:t xml:space="preserve">   $   851,585,185</w:t>
            </w:r>
          </w:p>
        </w:tc>
        <w:tc>
          <w:tcPr>
            <w:tcW w:w="270" w:type="dxa"/>
            <w:vAlign w:val="bottom"/>
          </w:tcPr>
          <w:p w:rsidR="002A4175" w:rsidRPr="00303BA3" w:rsidRDefault="002A4175" w:rsidP="009178BB">
            <w:pPr>
              <w:rPr>
                <w:rFonts w:ascii="Arial" w:hAnsi="Arial" w:cs="Arial"/>
              </w:rPr>
            </w:pPr>
          </w:p>
        </w:tc>
        <w:tc>
          <w:tcPr>
            <w:tcW w:w="1980" w:type="dxa"/>
            <w:tcBorders>
              <w:bottom w:val="double" w:sz="4" w:space="0" w:color="auto"/>
            </w:tcBorders>
            <w:noWrap/>
            <w:vAlign w:val="bottom"/>
          </w:tcPr>
          <w:p w:rsidR="002A4175" w:rsidRPr="00303BA3" w:rsidRDefault="002A4175" w:rsidP="00E736E5">
            <w:pPr>
              <w:ind w:right="48"/>
              <w:jc w:val="right"/>
              <w:rPr>
                <w:rFonts w:ascii="Arial" w:hAnsi="Arial" w:cs="Arial"/>
              </w:rPr>
            </w:pPr>
            <w:r w:rsidRPr="00303BA3">
              <w:rPr>
                <w:rFonts w:ascii="Arial" w:hAnsi="Arial" w:cs="Arial"/>
              </w:rPr>
              <w:t>$   1,336,672</w:t>
            </w:r>
          </w:p>
        </w:tc>
      </w:tr>
    </w:tbl>
    <w:p w:rsidR="00F70EA8" w:rsidRPr="0077381F"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rPr>
          <w:rFonts w:ascii="Arial" w:hAnsi="Arial" w:cs="Arial"/>
          <w:szCs w:val="24"/>
        </w:rPr>
      </w:pPr>
    </w:p>
    <w:p w:rsidR="00F70EA8" w:rsidRPr="008E7086" w:rsidRDefault="00F70EA8" w:rsidP="00F70EA8">
      <w:pPr>
        <w:tabs>
          <w:tab w:val="center" w:pos="4680"/>
        </w:tabs>
        <w:suppressAutoHyphens/>
        <w:ind w:left="90" w:hanging="90"/>
        <w:rPr>
          <w:rFonts w:ascii="Arial" w:hAnsi="Arial" w:cs="Arial"/>
          <w:szCs w:val="24"/>
        </w:rPr>
      </w:pPr>
    </w:p>
    <w:p w:rsidR="00F70EA8" w:rsidRPr="008E7086" w:rsidRDefault="00F70EA8" w:rsidP="00F70EA8">
      <w:pPr>
        <w:tabs>
          <w:tab w:val="center" w:pos="4680"/>
        </w:tabs>
        <w:suppressAutoHyphens/>
        <w:ind w:left="90" w:hanging="90"/>
        <w:rPr>
          <w:rFonts w:ascii="Arial" w:hAnsi="Arial" w:cs="Arial"/>
          <w:szCs w:val="24"/>
        </w:rPr>
      </w:pPr>
    </w:p>
    <w:p w:rsidR="00F70EA8" w:rsidRDefault="00F70EA8" w:rsidP="00F70EA8">
      <w:pPr>
        <w:tabs>
          <w:tab w:val="left" w:pos="-1440"/>
          <w:tab w:val="left" w:pos="-720"/>
          <w:tab w:val="left" w:pos="0"/>
          <w:tab w:val="left" w:pos="5040"/>
          <w:tab w:val="left" w:pos="7056"/>
        </w:tabs>
        <w:suppressAutoHyphens/>
        <w:outlineLvl w:val="0"/>
        <w:rPr>
          <w:rFonts w:ascii="Arial" w:hAnsi="Arial" w:cs="Arial"/>
        </w:rPr>
      </w:pPr>
    </w:p>
    <w:p w:rsidR="00F05A87" w:rsidRDefault="00F05A87" w:rsidP="00160EE0">
      <w:pPr>
        <w:jc w:val="left"/>
        <w:rPr>
          <w:rFonts w:ascii="Arial" w:hAnsi="Arial" w:cs="Arial"/>
          <w:b/>
          <w:sz w:val="26"/>
          <w:szCs w:val="26"/>
        </w:rPr>
      </w:pPr>
      <w:r>
        <w:rPr>
          <w:rFonts w:ascii="Arial" w:hAnsi="Arial" w:cs="Arial"/>
          <w:b/>
          <w:sz w:val="26"/>
          <w:szCs w:val="26"/>
        </w:rPr>
        <w:br w:type="page"/>
      </w:r>
    </w:p>
    <w:p w:rsidR="005D711E" w:rsidRPr="000A2605" w:rsidRDefault="005D711E" w:rsidP="00905409">
      <w:pPr>
        <w:pStyle w:val="Heading1"/>
        <w:rPr>
          <w:rFonts w:ascii="Arial" w:hAnsi="Arial" w:cs="Arial"/>
          <w:sz w:val="26"/>
          <w:szCs w:val="26"/>
          <w:u w:val="none"/>
        </w:rPr>
      </w:pPr>
      <w:r w:rsidRPr="000A2605">
        <w:rPr>
          <w:rFonts w:ascii="Arial" w:hAnsi="Arial" w:cs="Arial"/>
          <w:sz w:val="26"/>
          <w:szCs w:val="26"/>
          <w:u w:val="none"/>
        </w:rPr>
        <w:lastRenderedPageBreak/>
        <w:t xml:space="preserve">Notes </w:t>
      </w:r>
      <w:r w:rsidR="000A2605">
        <w:rPr>
          <w:rFonts w:ascii="Arial" w:hAnsi="Arial" w:cs="Arial"/>
          <w:sz w:val="26"/>
          <w:szCs w:val="26"/>
          <w:u w:val="none"/>
        </w:rPr>
        <w:t>t</w:t>
      </w:r>
      <w:r w:rsidRPr="000A2605">
        <w:rPr>
          <w:rFonts w:ascii="Arial" w:hAnsi="Arial" w:cs="Arial"/>
          <w:sz w:val="26"/>
          <w:szCs w:val="26"/>
          <w:u w:val="none"/>
        </w:rPr>
        <w:t>o</w:t>
      </w:r>
      <w:r w:rsidR="00043C83" w:rsidRPr="000A2605">
        <w:rPr>
          <w:rFonts w:ascii="Arial" w:hAnsi="Arial" w:cs="Arial"/>
          <w:sz w:val="26"/>
          <w:szCs w:val="26"/>
          <w:u w:val="none"/>
        </w:rPr>
        <w:t xml:space="preserve"> </w:t>
      </w:r>
      <w:r w:rsidR="000A2605">
        <w:rPr>
          <w:rFonts w:ascii="Arial" w:hAnsi="Arial" w:cs="Arial"/>
          <w:sz w:val="26"/>
          <w:szCs w:val="26"/>
          <w:u w:val="none"/>
        </w:rPr>
        <w:t>t</w:t>
      </w:r>
      <w:r w:rsidR="00043C83" w:rsidRPr="000A2605">
        <w:rPr>
          <w:rFonts w:ascii="Arial" w:hAnsi="Arial" w:cs="Arial"/>
          <w:sz w:val="26"/>
          <w:szCs w:val="26"/>
          <w:u w:val="none"/>
        </w:rPr>
        <w:t>he Financial Statement</w:t>
      </w:r>
      <w:r w:rsidR="00F42C91">
        <w:rPr>
          <w:rFonts w:ascii="Arial" w:hAnsi="Arial" w:cs="Arial"/>
          <w:sz w:val="26"/>
          <w:szCs w:val="26"/>
          <w:u w:val="none"/>
        </w:rPr>
        <w:t>s</w:t>
      </w:r>
    </w:p>
    <w:p w:rsidR="003608F3" w:rsidRPr="008E7086" w:rsidRDefault="003608F3" w:rsidP="00905409">
      <w:pPr>
        <w:tabs>
          <w:tab w:val="center" w:pos="4680"/>
        </w:tabs>
        <w:suppressAutoHyphens/>
        <w:outlineLvl w:val="0"/>
        <w:rPr>
          <w:rFonts w:ascii="Arial" w:hAnsi="Arial" w:cs="Arial"/>
          <w:b/>
          <w:szCs w:val="24"/>
        </w:rPr>
      </w:pPr>
    </w:p>
    <w:p w:rsidR="00205694" w:rsidRDefault="00205694" w:rsidP="00043C83">
      <w:pPr>
        <w:jc w:val="both"/>
        <w:rPr>
          <w:rFonts w:ascii="Arial" w:hAnsi="Arial" w:cs="Arial"/>
          <w:b/>
          <w:szCs w:val="24"/>
          <w:u w:val="single"/>
        </w:rPr>
      </w:pPr>
    </w:p>
    <w:p w:rsidR="00043C83" w:rsidRPr="00936DE2" w:rsidRDefault="00043C83" w:rsidP="00043C83">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r w:rsidR="00F42C91">
        <w:rPr>
          <w:rFonts w:ascii="Arial" w:hAnsi="Arial" w:cs="Arial"/>
          <w:b/>
          <w:szCs w:val="24"/>
          <w:u w:val="single"/>
        </w:rPr>
        <w:t>s</w:t>
      </w:r>
    </w:p>
    <w:p w:rsidR="002533F2" w:rsidRPr="00D96CEF" w:rsidRDefault="002533F2" w:rsidP="002533F2">
      <w:pPr>
        <w:pStyle w:val="EndnoteText"/>
        <w:tabs>
          <w:tab w:val="left" w:pos="9180"/>
        </w:tabs>
        <w:suppressAutoHyphens/>
        <w:ind w:left="360"/>
        <w:rPr>
          <w:rFonts w:ascii="Arial" w:hAnsi="Arial" w:cs="Arial"/>
          <w:b/>
          <w:sz w:val="22"/>
          <w:szCs w:val="22"/>
          <w:u w:val="single"/>
          <w:lang w:val="en-US" w:eastAsia="en-US"/>
        </w:rPr>
      </w:pPr>
    </w:p>
    <w:p w:rsidR="00043C83" w:rsidRPr="00025F35" w:rsidRDefault="00043C83" w:rsidP="002533F2">
      <w:pPr>
        <w:pStyle w:val="EndnoteText"/>
        <w:tabs>
          <w:tab w:val="left" w:pos="9180"/>
        </w:tabs>
        <w:suppressAutoHyphens/>
        <w:ind w:left="360"/>
        <w:jc w:val="left"/>
        <w:rPr>
          <w:rFonts w:ascii="Arial" w:hAnsi="Arial" w:cs="Arial"/>
          <w:szCs w:val="26"/>
          <w:lang w:val="en-US"/>
        </w:rPr>
      </w:pPr>
      <w:r>
        <w:rPr>
          <w:rFonts w:ascii="Arial" w:hAnsi="Arial" w:cs="Arial"/>
          <w:szCs w:val="24"/>
        </w:rPr>
        <w:t xml:space="preserve">The </w:t>
      </w:r>
      <w:r w:rsidRPr="00936DE2">
        <w:rPr>
          <w:rFonts w:ascii="Arial" w:hAnsi="Arial" w:cs="Arial"/>
          <w:szCs w:val="24"/>
        </w:rPr>
        <w:t>Statement</w:t>
      </w:r>
      <w:r w:rsidR="00662FB8">
        <w:rPr>
          <w:rFonts w:ascii="Arial" w:hAnsi="Arial" w:cs="Arial"/>
          <w:szCs w:val="24"/>
          <w:lang w:val="en-US"/>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Pr>
          <w:rFonts w:ascii="Arial" w:hAnsi="Arial" w:cs="Arial"/>
          <w:szCs w:val="24"/>
          <w:lang w:val="en-US"/>
        </w:rPr>
        <w:t xml:space="preserve">Generation Supply Adjustment </w:t>
      </w:r>
      <w:r>
        <w:rPr>
          <w:rFonts w:ascii="Arial" w:hAnsi="Arial" w:cs="Arial"/>
          <w:szCs w:val="24"/>
        </w:rPr>
        <w:t>(</w:t>
      </w:r>
      <w:r>
        <w:rPr>
          <w:rFonts w:ascii="Arial" w:hAnsi="Arial" w:cs="Arial"/>
          <w:szCs w:val="24"/>
          <w:lang w:val="en-US"/>
        </w:rPr>
        <w:t>GSA</w:t>
      </w:r>
      <w:r>
        <w:rPr>
          <w:rFonts w:ascii="Arial" w:hAnsi="Arial" w:cs="Arial"/>
          <w:szCs w:val="24"/>
        </w:rPr>
        <w:t xml:space="preserve">) </w:t>
      </w:r>
      <w:r w:rsidRPr="00936DE2">
        <w:rPr>
          <w:rFonts w:ascii="Arial" w:hAnsi="Arial" w:cs="Arial"/>
          <w:szCs w:val="24"/>
        </w:rPr>
        <w:t>Over/(Under) Collections</w:t>
      </w:r>
      <w:r w:rsidR="002533F2">
        <w:rPr>
          <w:rFonts w:ascii="Arial" w:hAnsi="Arial" w:cs="Arial"/>
          <w:szCs w:val="24"/>
          <w:lang w:val="en-US"/>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w:t>
      </w:r>
      <w:r w:rsidR="00662FB8">
        <w:rPr>
          <w:rFonts w:ascii="Arial" w:hAnsi="Arial" w:cs="Arial"/>
          <w:szCs w:val="26"/>
          <w:lang w:val="en-US"/>
        </w:rPr>
        <w:t>are</w:t>
      </w:r>
      <w:r w:rsidRPr="007D5DFB">
        <w:rPr>
          <w:rFonts w:ascii="Arial" w:hAnsi="Arial" w:cs="Arial"/>
          <w:szCs w:val="26"/>
        </w:rPr>
        <w:t xml:space="preserve"> condensed from the officially filed statement</w:t>
      </w:r>
      <w:r w:rsidR="00662FB8">
        <w:rPr>
          <w:rFonts w:ascii="Arial" w:hAnsi="Arial" w:cs="Arial"/>
          <w:szCs w:val="26"/>
          <w:lang w:val="en-US"/>
        </w:rPr>
        <w:t>s</w:t>
      </w:r>
      <w:r w:rsidRPr="007D5DFB">
        <w:rPr>
          <w:rFonts w:ascii="Arial" w:hAnsi="Arial" w:cs="Arial"/>
          <w:szCs w:val="26"/>
        </w:rPr>
        <w:t xml:space="preserve">.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6"/>
        </w:rPr>
        <w:t>PECO</w:t>
      </w:r>
      <w:r w:rsidR="00AD0F2B">
        <w:rPr>
          <w:rFonts w:ascii="Arial" w:hAnsi="Arial" w:cs="Arial"/>
          <w:szCs w:val="26"/>
          <w:lang w:val="en-US"/>
        </w:rPr>
        <w:t xml:space="preserve">’s </w:t>
      </w:r>
      <w:r w:rsidRPr="007D5DFB">
        <w:rPr>
          <w:rFonts w:ascii="Arial" w:hAnsi="Arial" w:cs="Arial"/>
          <w:szCs w:val="26"/>
        </w:rPr>
        <w:t xml:space="preserve">officially filed 1307(e) </w:t>
      </w:r>
      <w:r>
        <w:rPr>
          <w:rFonts w:ascii="Arial" w:hAnsi="Arial" w:cs="Arial"/>
          <w:szCs w:val="26"/>
        </w:rPr>
        <w:t>statement</w:t>
      </w:r>
      <w:r w:rsidR="00662FB8">
        <w:rPr>
          <w:rFonts w:ascii="Arial" w:hAnsi="Arial" w:cs="Arial"/>
          <w:szCs w:val="26"/>
          <w:lang w:val="en-US"/>
        </w:rPr>
        <w:t>s</w:t>
      </w:r>
      <w:r>
        <w:rPr>
          <w:rFonts w:ascii="Arial" w:hAnsi="Arial" w:cs="Arial"/>
          <w:szCs w:val="26"/>
        </w:rPr>
        <w:t xml:space="preserve"> </w:t>
      </w:r>
      <w:r w:rsidRPr="007D5DFB">
        <w:rPr>
          <w:rFonts w:ascii="Arial" w:hAnsi="Arial" w:cs="Arial"/>
          <w:szCs w:val="26"/>
        </w:rPr>
        <w:t xml:space="preserve">submitted to the </w:t>
      </w:r>
      <w:r w:rsidR="00025F35">
        <w:rPr>
          <w:rFonts w:ascii="Arial" w:hAnsi="Arial" w:cs="Arial"/>
          <w:szCs w:val="26"/>
          <w:lang w:val="en-US"/>
        </w:rPr>
        <w:t xml:space="preserve">Pennsylvania Public Utility </w:t>
      </w:r>
      <w:r w:rsidRPr="007D5DFB">
        <w:rPr>
          <w:rFonts w:ascii="Arial" w:hAnsi="Arial" w:cs="Arial"/>
          <w:szCs w:val="26"/>
        </w:rPr>
        <w:t xml:space="preserve">Commission </w:t>
      </w:r>
      <w:r w:rsidR="00025F35">
        <w:rPr>
          <w:rFonts w:ascii="Arial" w:hAnsi="Arial" w:cs="Arial"/>
          <w:szCs w:val="24"/>
        </w:rPr>
        <w:t xml:space="preserve">(PUC or Commission) in accordance with section 1307(e)(1) of the Public Utility Code on </w:t>
      </w:r>
      <w:r w:rsidRPr="00DC58D2">
        <w:rPr>
          <w:rFonts w:ascii="Arial" w:hAnsi="Arial" w:cs="Arial"/>
          <w:szCs w:val="26"/>
          <w:lang w:val="en-US"/>
        </w:rPr>
        <w:t xml:space="preserve">January </w:t>
      </w:r>
      <w:r w:rsidR="00846806" w:rsidRPr="00DC58D2">
        <w:rPr>
          <w:rFonts w:ascii="Arial" w:hAnsi="Arial" w:cs="Arial"/>
          <w:szCs w:val="26"/>
          <w:lang w:val="en-US"/>
        </w:rPr>
        <w:t>30</w:t>
      </w:r>
      <w:r w:rsidRPr="00DC58D2">
        <w:rPr>
          <w:rFonts w:ascii="Arial" w:hAnsi="Arial" w:cs="Arial"/>
          <w:szCs w:val="26"/>
        </w:rPr>
        <w:t>, 201</w:t>
      </w:r>
      <w:r w:rsidR="00846806" w:rsidRPr="00DC58D2">
        <w:rPr>
          <w:rFonts w:ascii="Arial" w:hAnsi="Arial" w:cs="Arial"/>
          <w:szCs w:val="26"/>
          <w:lang w:val="en-US"/>
        </w:rPr>
        <w:t xml:space="preserve">7 and </w:t>
      </w:r>
      <w:r w:rsidR="00662FB8" w:rsidRPr="00DC58D2">
        <w:rPr>
          <w:rFonts w:ascii="Arial" w:hAnsi="Arial" w:cs="Arial"/>
          <w:szCs w:val="26"/>
          <w:lang w:val="en-US"/>
        </w:rPr>
        <w:t xml:space="preserve">January </w:t>
      </w:r>
      <w:r w:rsidR="00356CBA">
        <w:rPr>
          <w:rFonts w:ascii="Arial" w:hAnsi="Arial" w:cs="Arial"/>
          <w:szCs w:val="26"/>
          <w:lang w:val="en-US"/>
        </w:rPr>
        <w:t>29</w:t>
      </w:r>
      <w:r w:rsidR="00662FB8" w:rsidRPr="00DC58D2">
        <w:rPr>
          <w:rFonts w:ascii="Arial" w:hAnsi="Arial" w:cs="Arial"/>
          <w:szCs w:val="26"/>
          <w:lang w:val="en-US"/>
        </w:rPr>
        <w:t>, 201</w:t>
      </w:r>
      <w:r w:rsidR="00846806" w:rsidRPr="00DC58D2">
        <w:rPr>
          <w:rFonts w:ascii="Arial" w:hAnsi="Arial" w:cs="Arial"/>
          <w:szCs w:val="26"/>
          <w:lang w:val="en-US"/>
        </w:rPr>
        <w:t>6</w:t>
      </w:r>
      <w:r w:rsidR="00AD0F2B">
        <w:rPr>
          <w:rFonts w:ascii="Arial" w:hAnsi="Arial" w:cs="Arial"/>
          <w:szCs w:val="26"/>
          <w:lang w:val="en-US"/>
        </w:rPr>
        <w:t xml:space="preserve">.  The statements </w:t>
      </w:r>
      <w:r w:rsidR="00662FB8" w:rsidRPr="00DC58D2">
        <w:rPr>
          <w:rFonts w:ascii="Arial" w:hAnsi="Arial" w:cs="Arial"/>
          <w:szCs w:val="26"/>
          <w:lang w:val="en-US"/>
        </w:rPr>
        <w:t>are</w:t>
      </w:r>
      <w:r w:rsidRPr="00DC58D2">
        <w:rPr>
          <w:rFonts w:ascii="Arial" w:hAnsi="Arial" w:cs="Arial"/>
          <w:szCs w:val="26"/>
        </w:rPr>
        <w:t xml:space="preserve"> available </w:t>
      </w:r>
      <w:r w:rsidR="00AD0F2B">
        <w:rPr>
          <w:rFonts w:ascii="Arial" w:hAnsi="Arial" w:cs="Arial"/>
          <w:szCs w:val="26"/>
          <w:lang w:val="en-US"/>
        </w:rPr>
        <w:t>on the PUC’s website (</w:t>
      </w:r>
      <w:hyperlink r:id="rId32" w:history="1">
        <w:r w:rsidR="00025F35" w:rsidRPr="00DC58D2">
          <w:rPr>
            <w:rStyle w:val="Hyperlink"/>
            <w:rFonts w:ascii="Arial" w:hAnsi="Arial" w:cs="Arial"/>
            <w:szCs w:val="26"/>
          </w:rPr>
          <w:t>http://www.puc.pa.gov</w:t>
        </w:r>
      </w:hyperlink>
      <w:r w:rsidR="00AD0F2B">
        <w:rPr>
          <w:rStyle w:val="Hyperlink"/>
          <w:rFonts w:ascii="Arial" w:hAnsi="Arial" w:cs="Arial"/>
          <w:szCs w:val="26"/>
          <w:lang w:val="en-US"/>
        </w:rPr>
        <w:t xml:space="preserve">) </w:t>
      </w:r>
      <w:r w:rsidR="00AD0F2B" w:rsidRPr="00DC58D2">
        <w:rPr>
          <w:rFonts w:ascii="Arial" w:hAnsi="Arial" w:cs="Arial"/>
          <w:szCs w:val="26"/>
        </w:rPr>
        <w:t>at Docket No</w:t>
      </w:r>
      <w:r w:rsidR="00AD0F2B" w:rsidRPr="00DC58D2">
        <w:rPr>
          <w:rFonts w:ascii="Arial" w:hAnsi="Arial" w:cs="Arial"/>
          <w:szCs w:val="26"/>
          <w:lang w:val="en-US"/>
        </w:rPr>
        <w:t>s</w:t>
      </w:r>
      <w:r w:rsidR="00AD0F2B" w:rsidRPr="00DC58D2">
        <w:rPr>
          <w:rFonts w:ascii="Arial" w:hAnsi="Arial" w:cs="Arial"/>
          <w:szCs w:val="26"/>
        </w:rPr>
        <w:t xml:space="preserve">. </w:t>
      </w:r>
      <w:r w:rsidR="00AD0F2B" w:rsidRPr="00DC58D2">
        <w:rPr>
          <w:rFonts w:ascii="Arial" w:hAnsi="Arial" w:cs="Arial"/>
          <w:szCs w:val="24"/>
        </w:rPr>
        <w:t>M</w:t>
      </w:r>
      <w:r w:rsidR="00AD0F2B" w:rsidRPr="00DC58D2">
        <w:rPr>
          <w:rFonts w:ascii="Arial" w:hAnsi="Arial" w:cs="Arial"/>
          <w:szCs w:val="24"/>
        </w:rPr>
        <w:noBreakHyphen/>
        <w:t>2017</w:t>
      </w:r>
      <w:r w:rsidR="00AD0F2B" w:rsidRPr="00DC58D2">
        <w:rPr>
          <w:rFonts w:ascii="Arial" w:hAnsi="Arial" w:cs="Arial"/>
          <w:szCs w:val="24"/>
        </w:rPr>
        <w:noBreakHyphen/>
        <w:t>2586301</w:t>
      </w:r>
      <w:r w:rsidR="00AD0F2B" w:rsidRPr="00DC58D2">
        <w:rPr>
          <w:rFonts w:ascii="Arial" w:hAnsi="Arial" w:cs="Arial"/>
          <w:szCs w:val="26"/>
          <w:lang w:val="en-US"/>
        </w:rPr>
        <w:t xml:space="preserve"> and</w:t>
      </w:r>
      <w:r w:rsidR="00AD0F2B" w:rsidRPr="00DC58D2">
        <w:rPr>
          <w:rFonts w:ascii="Arial" w:hAnsi="Arial" w:cs="Arial"/>
          <w:szCs w:val="26"/>
        </w:rPr>
        <w:t xml:space="preserve"> </w:t>
      </w:r>
      <w:r w:rsidR="00AD0F2B" w:rsidRPr="00DC58D2">
        <w:rPr>
          <w:rFonts w:ascii="Arial" w:hAnsi="Arial" w:cs="Arial"/>
          <w:szCs w:val="24"/>
        </w:rPr>
        <w:t>M</w:t>
      </w:r>
      <w:r w:rsidR="00AD0F2B" w:rsidRPr="00DC58D2">
        <w:rPr>
          <w:rFonts w:ascii="Arial" w:hAnsi="Arial" w:cs="Arial"/>
          <w:szCs w:val="24"/>
        </w:rPr>
        <w:noBreakHyphen/>
        <w:t>2016</w:t>
      </w:r>
      <w:r w:rsidR="00AD0F2B" w:rsidRPr="00DC58D2">
        <w:rPr>
          <w:rFonts w:ascii="Arial" w:hAnsi="Arial" w:cs="Arial"/>
          <w:szCs w:val="24"/>
        </w:rPr>
        <w:noBreakHyphen/>
        <w:t>2526633</w:t>
      </w:r>
      <w:r w:rsidR="00AD0F2B">
        <w:rPr>
          <w:rFonts w:ascii="Arial" w:hAnsi="Arial" w:cs="Arial"/>
          <w:szCs w:val="26"/>
          <w:lang w:val="en-US"/>
        </w:rPr>
        <w:t>.</w:t>
      </w:r>
    </w:p>
    <w:p w:rsidR="00043C83" w:rsidRPr="00D96CEF" w:rsidRDefault="00043C83" w:rsidP="00905409">
      <w:pPr>
        <w:tabs>
          <w:tab w:val="left" w:pos="360"/>
        </w:tabs>
        <w:jc w:val="both"/>
        <w:rPr>
          <w:rFonts w:ascii="Arial" w:hAnsi="Arial" w:cs="Arial"/>
          <w:b/>
          <w:sz w:val="22"/>
          <w:szCs w:val="22"/>
          <w:u w:val="single"/>
        </w:rPr>
      </w:pPr>
    </w:p>
    <w:p w:rsidR="00C82D14" w:rsidRPr="008E7086" w:rsidRDefault="00043C83" w:rsidP="00905409">
      <w:pPr>
        <w:tabs>
          <w:tab w:val="left" w:pos="360"/>
        </w:tabs>
        <w:jc w:val="both"/>
        <w:rPr>
          <w:rFonts w:ascii="Arial" w:hAnsi="Arial" w:cs="Arial"/>
          <w:b/>
          <w:szCs w:val="24"/>
          <w:u w:val="single"/>
        </w:rPr>
      </w:pPr>
      <w:r>
        <w:rPr>
          <w:rFonts w:ascii="Arial" w:hAnsi="Arial" w:cs="Arial"/>
          <w:b/>
          <w:szCs w:val="24"/>
          <w:u w:val="single"/>
        </w:rPr>
        <w:t>2</w:t>
      </w:r>
      <w:r w:rsidR="00853C22">
        <w:rPr>
          <w:rFonts w:ascii="Arial" w:hAnsi="Arial" w:cs="Arial"/>
          <w:b/>
          <w:szCs w:val="24"/>
          <w:u w:val="single"/>
        </w:rPr>
        <w:t xml:space="preserve"> </w:t>
      </w:r>
      <w:r w:rsidR="00853C22" w:rsidRPr="00936DE2">
        <w:rPr>
          <w:rFonts w:ascii="Arial" w:hAnsi="Arial" w:cs="Arial"/>
          <w:b/>
          <w:szCs w:val="24"/>
          <w:u w:val="single"/>
        </w:rPr>
        <w:t>–</w:t>
      </w:r>
      <w:r w:rsidR="00DC6FCC" w:rsidRPr="008E7086">
        <w:rPr>
          <w:rFonts w:ascii="Arial" w:hAnsi="Arial" w:cs="Arial"/>
          <w:b/>
          <w:szCs w:val="24"/>
          <w:u w:val="single"/>
        </w:rPr>
        <w:t xml:space="preserve"> GSA</w:t>
      </w:r>
      <w:r w:rsidR="0003068B" w:rsidRPr="008E7086">
        <w:rPr>
          <w:rFonts w:ascii="Arial" w:hAnsi="Arial" w:cs="Arial"/>
          <w:b/>
          <w:szCs w:val="24"/>
          <w:u w:val="single"/>
        </w:rPr>
        <w:t xml:space="preserve"> </w:t>
      </w:r>
      <w:r w:rsidR="00011810" w:rsidRPr="008E7086">
        <w:rPr>
          <w:rFonts w:ascii="Arial" w:hAnsi="Arial" w:cs="Arial"/>
          <w:b/>
          <w:szCs w:val="24"/>
          <w:u w:val="single"/>
        </w:rPr>
        <w:t xml:space="preserve">Revenue </w:t>
      </w:r>
    </w:p>
    <w:p w:rsidR="00F81181" w:rsidRPr="00D96CEF" w:rsidRDefault="00F81181" w:rsidP="00A1597B">
      <w:pPr>
        <w:ind w:left="450" w:firstLine="720"/>
        <w:rPr>
          <w:rFonts w:ascii="Arial" w:hAnsi="Arial" w:cs="Arial"/>
          <w:b/>
          <w:sz w:val="22"/>
          <w:szCs w:val="22"/>
          <w:u w:val="single"/>
        </w:rPr>
      </w:pPr>
    </w:p>
    <w:p w:rsidR="00F72903" w:rsidRDefault="002C6FB7" w:rsidP="00A52ADD">
      <w:pPr>
        <w:ind w:left="360"/>
        <w:jc w:val="left"/>
        <w:rPr>
          <w:rFonts w:ascii="Arial" w:hAnsi="Arial" w:cs="Arial"/>
          <w:szCs w:val="24"/>
        </w:rPr>
      </w:pPr>
      <w:r>
        <w:rPr>
          <w:rFonts w:ascii="Arial" w:hAnsi="Arial" w:cs="Arial"/>
        </w:rPr>
        <w:t>GSA</w:t>
      </w:r>
      <w:r w:rsidR="002326C1" w:rsidRPr="008E7086">
        <w:rPr>
          <w:rFonts w:ascii="Arial" w:hAnsi="Arial" w:cs="Arial"/>
        </w:rPr>
        <w:t xml:space="preserve"> </w:t>
      </w:r>
      <w:r w:rsidR="005E4A85" w:rsidRPr="008E7086">
        <w:rPr>
          <w:rFonts w:ascii="Arial" w:hAnsi="Arial" w:cs="Arial"/>
        </w:rPr>
        <w:t xml:space="preserve">Revenue </w:t>
      </w:r>
      <w:r w:rsidR="00FE43D3">
        <w:rPr>
          <w:rFonts w:ascii="Arial" w:hAnsi="Arial" w:cs="Arial"/>
        </w:rPr>
        <w:t>is</w:t>
      </w:r>
      <w:r w:rsidR="00633404" w:rsidRPr="00651B06">
        <w:rPr>
          <w:rFonts w:ascii="Arial" w:hAnsi="Arial" w:cs="Arial"/>
          <w:szCs w:val="26"/>
        </w:rPr>
        <w:t xml:space="preserve"> </w:t>
      </w:r>
      <w:r w:rsidR="00633404" w:rsidRPr="00245FAA">
        <w:rPr>
          <w:rFonts w:ascii="Arial" w:hAnsi="Arial" w:cs="Arial"/>
          <w:szCs w:val="24"/>
        </w:rPr>
        <w:t xml:space="preserve">derived </w:t>
      </w:r>
      <w:r w:rsidR="00633404">
        <w:rPr>
          <w:rFonts w:ascii="Arial" w:hAnsi="Arial" w:cs="Arial"/>
          <w:szCs w:val="24"/>
        </w:rPr>
        <w:t>by applying the applicable GSA rate, excluding the E</w:t>
      </w:r>
      <w:r w:rsidR="00633404">
        <w:rPr>
          <w:rFonts w:ascii="Arial" w:hAnsi="Arial" w:cs="Arial"/>
          <w:szCs w:val="24"/>
        </w:rPr>
        <w:noBreakHyphen/>
        <w:t xml:space="preserve">Factor, to each kilowatt-hour (kWh) </w:t>
      </w:r>
      <w:r w:rsidR="00505BD2">
        <w:rPr>
          <w:rFonts w:ascii="Arial" w:hAnsi="Arial" w:cs="Arial"/>
          <w:szCs w:val="24"/>
        </w:rPr>
        <w:t>of energy</w:t>
      </w:r>
      <w:r w:rsidR="00B43033">
        <w:rPr>
          <w:rFonts w:ascii="Arial" w:hAnsi="Arial" w:cs="Arial"/>
          <w:szCs w:val="24"/>
        </w:rPr>
        <w:t xml:space="preserve"> d</w:t>
      </w:r>
      <w:r w:rsidR="00505BD2" w:rsidRPr="00A507DA">
        <w:rPr>
          <w:rFonts w:ascii="Arial" w:hAnsi="Arial" w:cs="Arial"/>
          <w:szCs w:val="24"/>
        </w:rPr>
        <w:t xml:space="preserve">elivered to all </w:t>
      </w:r>
      <w:r w:rsidR="00A52ADD">
        <w:rPr>
          <w:rFonts w:ascii="Arial" w:hAnsi="Arial" w:cs="Arial"/>
          <w:szCs w:val="24"/>
        </w:rPr>
        <w:t>customers who receive default service from the Company.</w:t>
      </w:r>
    </w:p>
    <w:p w:rsidR="00A52ADD" w:rsidRPr="00D96CEF" w:rsidRDefault="00A52ADD" w:rsidP="00A52ADD">
      <w:pPr>
        <w:ind w:left="360"/>
        <w:jc w:val="left"/>
        <w:rPr>
          <w:rFonts w:ascii="Arial" w:hAnsi="Arial" w:cs="Arial"/>
          <w:sz w:val="22"/>
          <w:szCs w:val="22"/>
        </w:rPr>
      </w:pPr>
    </w:p>
    <w:p w:rsidR="00C82D14" w:rsidRPr="008E7086" w:rsidRDefault="00043C83" w:rsidP="00905409">
      <w:pPr>
        <w:tabs>
          <w:tab w:val="left" w:pos="360"/>
        </w:tabs>
        <w:jc w:val="both"/>
        <w:rPr>
          <w:rFonts w:ascii="Arial" w:hAnsi="Arial" w:cs="Arial"/>
          <w:b/>
          <w:szCs w:val="24"/>
          <w:u w:val="single"/>
        </w:rPr>
      </w:pPr>
      <w:r>
        <w:rPr>
          <w:rFonts w:ascii="Arial" w:hAnsi="Arial" w:cs="Arial"/>
          <w:b/>
          <w:szCs w:val="24"/>
          <w:u w:val="single"/>
        </w:rPr>
        <w:t>3</w:t>
      </w:r>
      <w:r w:rsidR="000014E9" w:rsidRPr="008E7086">
        <w:rPr>
          <w:rFonts w:ascii="Arial" w:hAnsi="Arial" w:cs="Arial"/>
          <w:b/>
          <w:szCs w:val="24"/>
          <w:u w:val="single"/>
        </w:rPr>
        <w:t xml:space="preserve"> –</w:t>
      </w:r>
      <w:r w:rsidR="00F72903" w:rsidRPr="008E7086">
        <w:rPr>
          <w:rFonts w:ascii="Arial" w:hAnsi="Arial" w:cs="Arial"/>
          <w:b/>
          <w:szCs w:val="24"/>
          <w:u w:val="single"/>
        </w:rPr>
        <w:t xml:space="preserve"> </w:t>
      </w:r>
      <w:r w:rsidR="00DC6FCC" w:rsidRPr="008E7086">
        <w:rPr>
          <w:rFonts w:ascii="Arial" w:hAnsi="Arial" w:cs="Arial"/>
          <w:b/>
          <w:szCs w:val="24"/>
          <w:u w:val="single"/>
        </w:rPr>
        <w:t>GSA</w:t>
      </w:r>
      <w:r w:rsidR="002326C1" w:rsidRPr="008E7086">
        <w:rPr>
          <w:rFonts w:ascii="Arial" w:hAnsi="Arial" w:cs="Arial"/>
          <w:b/>
          <w:szCs w:val="24"/>
          <w:u w:val="single"/>
        </w:rPr>
        <w:t xml:space="preserve"> </w:t>
      </w:r>
      <w:r w:rsidR="00F31EFF" w:rsidRPr="008E7086">
        <w:rPr>
          <w:rFonts w:ascii="Arial" w:hAnsi="Arial" w:cs="Arial"/>
          <w:b/>
          <w:szCs w:val="24"/>
          <w:u w:val="single"/>
        </w:rPr>
        <w:t>Costs</w:t>
      </w:r>
    </w:p>
    <w:p w:rsidR="00F81181" w:rsidRPr="00D96CEF" w:rsidRDefault="00F81181" w:rsidP="001E1879">
      <w:pPr>
        <w:pStyle w:val="EndnoteText"/>
        <w:tabs>
          <w:tab w:val="left" w:pos="475"/>
        </w:tabs>
        <w:suppressAutoHyphens/>
        <w:ind w:left="475"/>
        <w:rPr>
          <w:rFonts w:ascii="Arial" w:hAnsi="Arial" w:cs="Arial"/>
          <w:sz w:val="22"/>
          <w:szCs w:val="22"/>
          <w:lang w:val="en-US"/>
        </w:rPr>
      </w:pPr>
    </w:p>
    <w:p w:rsidR="00886F02" w:rsidRDefault="00DC6FCC" w:rsidP="00FF3E60">
      <w:pPr>
        <w:pStyle w:val="EndnoteText"/>
        <w:tabs>
          <w:tab w:val="left" w:pos="360"/>
        </w:tabs>
        <w:suppressAutoHyphens/>
        <w:ind w:left="360"/>
        <w:jc w:val="left"/>
        <w:rPr>
          <w:rFonts w:ascii="Arial" w:hAnsi="Arial" w:cs="Arial"/>
          <w:szCs w:val="24"/>
          <w:lang w:val="en-US"/>
        </w:rPr>
      </w:pPr>
      <w:r w:rsidRPr="008E7086">
        <w:rPr>
          <w:rFonts w:ascii="Arial" w:hAnsi="Arial" w:cs="Arial"/>
          <w:szCs w:val="24"/>
          <w:lang w:val="en-US"/>
        </w:rPr>
        <w:t>GSA</w:t>
      </w:r>
      <w:r w:rsidR="00C6757C" w:rsidRPr="008E7086">
        <w:rPr>
          <w:rFonts w:ascii="Arial" w:hAnsi="Arial" w:cs="Arial"/>
          <w:szCs w:val="24"/>
          <w:lang w:val="en-US"/>
        </w:rPr>
        <w:t xml:space="preserve"> </w:t>
      </w:r>
      <w:r w:rsidR="00C731EE">
        <w:rPr>
          <w:rFonts w:ascii="Arial" w:hAnsi="Arial" w:cs="Arial"/>
          <w:szCs w:val="24"/>
          <w:lang w:val="en-US"/>
        </w:rPr>
        <w:t xml:space="preserve">Costs </w:t>
      </w:r>
      <w:r w:rsidR="007E2A66">
        <w:rPr>
          <w:rFonts w:ascii="Arial" w:hAnsi="Arial" w:cs="Arial"/>
          <w:szCs w:val="24"/>
          <w:lang w:val="en-US"/>
        </w:rPr>
        <w:t xml:space="preserve">for the Residential, Small Commercial and Industrial and Medium Commercial and Industrial rate classes </w:t>
      </w:r>
      <w:r w:rsidR="00A3516F">
        <w:rPr>
          <w:rFonts w:ascii="Arial" w:hAnsi="Arial" w:cs="Arial"/>
          <w:szCs w:val="24"/>
          <w:lang w:val="en-US"/>
        </w:rPr>
        <w:t>are</w:t>
      </w:r>
      <w:r w:rsidR="00F31EFF" w:rsidRPr="008E7086">
        <w:rPr>
          <w:rFonts w:ascii="Arial" w:hAnsi="Arial" w:cs="Arial"/>
          <w:szCs w:val="24"/>
          <w:lang w:val="en-US"/>
        </w:rPr>
        <w:t xml:space="preserve"> the </w:t>
      </w:r>
      <w:r w:rsidR="007E2A66">
        <w:rPr>
          <w:rFonts w:ascii="Arial" w:hAnsi="Arial" w:cs="Arial"/>
          <w:szCs w:val="24"/>
          <w:lang w:val="en-US"/>
        </w:rPr>
        <w:t>amounts paid to the full requirements suppliers providing the power</w:t>
      </w:r>
      <w:r w:rsidR="00F31EFF" w:rsidRPr="008E7086">
        <w:rPr>
          <w:rFonts w:ascii="Arial" w:hAnsi="Arial" w:cs="Arial"/>
          <w:szCs w:val="24"/>
          <w:lang w:val="en-US"/>
        </w:rPr>
        <w:t xml:space="preserve"> </w:t>
      </w:r>
      <w:r w:rsidR="007E2A66">
        <w:rPr>
          <w:rFonts w:ascii="Arial" w:hAnsi="Arial" w:cs="Arial"/>
          <w:szCs w:val="24"/>
          <w:lang w:val="en-US"/>
        </w:rPr>
        <w:t>for the quarter, the spot market purchases for the quarter, plus the cost of any other energy</w:t>
      </w:r>
      <w:r w:rsidR="00A31725">
        <w:rPr>
          <w:rFonts w:ascii="Arial" w:hAnsi="Arial" w:cs="Arial"/>
          <w:szCs w:val="24"/>
          <w:lang w:val="en-US"/>
        </w:rPr>
        <w:t xml:space="preserve"> acquired through short or long-</w:t>
      </w:r>
      <w:r w:rsidR="007E2A66">
        <w:rPr>
          <w:rFonts w:ascii="Arial" w:hAnsi="Arial" w:cs="Arial"/>
          <w:szCs w:val="24"/>
          <w:lang w:val="en-US"/>
        </w:rPr>
        <w:t xml:space="preserve">term contracts during the period.  </w:t>
      </w:r>
      <w:r w:rsidR="00B20D42">
        <w:rPr>
          <w:rFonts w:ascii="Arial" w:hAnsi="Arial" w:cs="Arial"/>
          <w:szCs w:val="24"/>
          <w:lang w:val="en-US"/>
        </w:rPr>
        <w:t xml:space="preserve">GSA </w:t>
      </w:r>
      <w:r w:rsidR="00AD3F6D">
        <w:rPr>
          <w:rFonts w:ascii="Arial" w:hAnsi="Arial" w:cs="Arial"/>
          <w:szCs w:val="24"/>
          <w:lang w:val="en-US"/>
        </w:rPr>
        <w:t>C</w:t>
      </w:r>
      <w:r w:rsidR="009A6589">
        <w:rPr>
          <w:rFonts w:ascii="Arial" w:hAnsi="Arial" w:cs="Arial"/>
          <w:szCs w:val="24"/>
          <w:lang w:val="en-US"/>
        </w:rPr>
        <w:t>osts include energy, capacity and</w:t>
      </w:r>
      <w:r w:rsidR="00B20D42">
        <w:rPr>
          <w:rFonts w:ascii="Arial" w:hAnsi="Arial" w:cs="Arial"/>
          <w:szCs w:val="24"/>
          <w:lang w:val="en-US"/>
        </w:rPr>
        <w:t xml:space="preserve"> ancillary services</w:t>
      </w:r>
      <w:r w:rsidR="006652F4">
        <w:rPr>
          <w:rFonts w:ascii="Arial" w:hAnsi="Arial" w:cs="Arial"/>
          <w:szCs w:val="24"/>
          <w:lang w:val="en-US"/>
        </w:rPr>
        <w:t xml:space="preserve">, </w:t>
      </w:r>
      <w:r w:rsidR="009A6589">
        <w:rPr>
          <w:rFonts w:ascii="Arial" w:hAnsi="Arial" w:cs="Arial"/>
          <w:szCs w:val="24"/>
          <w:lang w:val="en-US"/>
        </w:rPr>
        <w:t xml:space="preserve">distribution line losses, </w:t>
      </w:r>
      <w:r w:rsidR="007D7C40">
        <w:rPr>
          <w:rFonts w:ascii="Arial" w:hAnsi="Arial" w:cs="Arial"/>
          <w:szCs w:val="24"/>
          <w:lang w:val="en-US"/>
        </w:rPr>
        <w:t xml:space="preserve">cost of complying with the Alternative </w:t>
      </w:r>
      <w:r w:rsidR="006652F4">
        <w:rPr>
          <w:rFonts w:ascii="Arial" w:hAnsi="Arial" w:cs="Arial"/>
          <w:szCs w:val="24"/>
          <w:lang w:val="en-US"/>
        </w:rPr>
        <w:t>E</w:t>
      </w:r>
      <w:r w:rsidR="007D7C40">
        <w:rPr>
          <w:rFonts w:ascii="Arial" w:hAnsi="Arial" w:cs="Arial"/>
          <w:szCs w:val="24"/>
          <w:lang w:val="en-US"/>
        </w:rPr>
        <w:t xml:space="preserve">nergy </w:t>
      </w:r>
      <w:r w:rsidR="006652F4">
        <w:rPr>
          <w:rFonts w:ascii="Arial" w:hAnsi="Arial" w:cs="Arial"/>
          <w:szCs w:val="24"/>
          <w:lang w:val="en-US"/>
        </w:rPr>
        <w:t>P</w:t>
      </w:r>
      <w:r w:rsidR="007D7C40">
        <w:rPr>
          <w:rFonts w:ascii="Arial" w:hAnsi="Arial" w:cs="Arial"/>
          <w:szCs w:val="24"/>
          <w:lang w:val="en-US"/>
        </w:rPr>
        <w:t xml:space="preserve">ortfolio </w:t>
      </w:r>
      <w:r w:rsidR="006652F4">
        <w:rPr>
          <w:rFonts w:ascii="Arial" w:hAnsi="Arial" w:cs="Arial"/>
          <w:szCs w:val="24"/>
          <w:lang w:val="en-US"/>
        </w:rPr>
        <w:t>S</w:t>
      </w:r>
      <w:r w:rsidR="007D7C40">
        <w:rPr>
          <w:rFonts w:ascii="Arial" w:hAnsi="Arial" w:cs="Arial"/>
          <w:szCs w:val="24"/>
          <w:lang w:val="en-US"/>
        </w:rPr>
        <w:t>tandards Act (AEPS),</w:t>
      </w:r>
      <w:r w:rsidR="00B20D42">
        <w:rPr>
          <w:rFonts w:ascii="Arial" w:hAnsi="Arial" w:cs="Arial"/>
          <w:szCs w:val="24"/>
          <w:lang w:val="en-US"/>
        </w:rPr>
        <w:t xml:space="preserve"> and applicable administrative costs</w:t>
      </w:r>
      <w:r w:rsidR="007D7C40">
        <w:rPr>
          <w:rFonts w:ascii="Arial" w:hAnsi="Arial" w:cs="Arial"/>
          <w:szCs w:val="24"/>
          <w:lang w:val="en-US"/>
        </w:rPr>
        <w:t xml:space="preserve">.  </w:t>
      </w:r>
    </w:p>
    <w:p w:rsidR="00886F02" w:rsidRDefault="00886F02" w:rsidP="00FF3E60">
      <w:pPr>
        <w:pStyle w:val="EndnoteText"/>
        <w:tabs>
          <w:tab w:val="left" w:pos="360"/>
        </w:tabs>
        <w:suppressAutoHyphens/>
        <w:ind w:left="360"/>
        <w:jc w:val="left"/>
        <w:rPr>
          <w:rFonts w:ascii="Arial" w:hAnsi="Arial" w:cs="Arial"/>
          <w:szCs w:val="24"/>
          <w:lang w:val="en-US"/>
        </w:rPr>
      </w:pPr>
    </w:p>
    <w:p w:rsidR="007D7C40" w:rsidRDefault="007E2A66" w:rsidP="00FF3E60">
      <w:pPr>
        <w:pStyle w:val="EndnoteText"/>
        <w:tabs>
          <w:tab w:val="left" w:pos="360"/>
        </w:tabs>
        <w:suppressAutoHyphens/>
        <w:ind w:left="360"/>
        <w:jc w:val="left"/>
        <w:rPr>
          <w:rFonts w:ascii="Arial" w:hAnsi="Arial" w:cs="Arial"/>
          <w:szCs w:val="24"/>
          <w:lang w:val="en-US"/>
        </w:rPr>
      </w:pPr>
      <w:r>
        <w:rPr>
          <w:rFonts w:ascii="Arial" w:hAnsi="Arial" w:cs="Arial"/>
          <w:szCs w:val="24"/>
          <w:lang w:val="en-US"/>
        </w:rPr>
        <w:t xml:space="preserve">GSA </w:t>
      </w:r>
      <w:r w:rsidR="002B64D6">
        <w:rPr>
          <w:rFonts w:ascii="Arial" w:hAnsi="Arial" w:cs="Arial"/>
          <w:szCs w:val="24"/>
          <w:lang w:val="en-US"/>
        </w:rPr>
        <w:t>energy c</w:t>
      </w:r>
      <w:r>
        <w:rPr>
          <w:rFonts w:ascii="Arial" w:hAnsi="Arial" w:cs="Arial"/>
          <w:szCs w:val="24"/>
          <w:lang w:val="en-US"/>
        </w:rPr>
        <w:t>osts for the Large C</w:t>
      </w:r>
      <w:r w:rsidR="00B20D42">
        <w:rPr>
          <w:rFonts w:ascii="Arial" w:hAnsi="Arial" w:cs="Arial"/>
          <w:szCs w:val="24"/>
          <w:lang w:val="en-US"/>
        </w:rPr>
        <w:t>&amp;</w:t>
      </w:r>
      <w:r>
        <w:rPr>
          <w:rFonts w:ascii="Arial" w:hAnsi="Arial" w:cs="Arial"/>
          <w:szCs w:val="24"/>
          <w:lang w:val="en-US"/>
        </w:rPr>
        <w:t xml:space="preserve">I rate class are calculated by </w:t>
      </w:r>
      <w:r w:rsidR="008A77A2">
        <w:rPr>
          <w:rFonts w:ascii="Arial" w:hAnsi="Arial" w:cs="Arial"/>
          <w:szCs w:val="24"/>
          <w:lang w:val="en-US"/>
        </w:rPr>
        <w:t xml:space="preserve">multiplying </w:t>
      </w:r>
      <w:r>
        <w:rPr>
          <w:rFonts w:ascii="Arial" w:hAnsi="Arial" w:cs="Arial"/>
          <w:szCs w:val="24"/>
          <w:lang w:val="en-US"/>
        </w:rPr>
        <w:t xml:space="preserve">the </w:t>
      </w:r>
      <w:r>
        <w:rPr>
          <w:rFonts w:ascii="Arial" w:hAnsi="Arial" w:cs="Arial"/>
          <w:szCs w:val="24"/>
        </w:rPr>
        <w:t>PJM</w:t>
      </w:r>
      <w:r>
        <w:rPr>
          <w:rFonts w:ascii="Arial" w:hAnsi="Arial" w:cs="Arial"/>
          <w:szCs w:val="24"/>
          <w:lang w:val="en-US"/>
        </w:rPr>
        <w:t xml:space="preserve"> day ahead hourly price by the customers usage </w:t>
      </w:r>
      <w:r w:rsidR="008A77A2">
        <w:rPr>
          <w:rFonts w:ascii="Arial" w:hAnsi="Arial" w:cs="Arial"/>
          <w:szCs w:val="24"/>
          <w:lang w:val="en-US"/>
        </w:rPr>
        <w:t>in</w:t>
      </w:r>
      <w:r>
        <w:rPr>
          <w:rFonts w:ascii="Arial" w:hAnsi="Arial" w:cs="Arial"/>
          <w:szCs w:val="24"/>
          <w:lang w:val="en-US"/>
        </w:rPr>
        <w:t xml:space="preserve"> the hour summed up for all the hours in the month.</w:t>
      </w:r>
      <w:r w:rsidR="003B65DA">
        <w:rPr>
          <w:rFonts w:ascii="Arial" w:hAnsi="Arial" w:cs="Arial"/>
          <w:szCs w:val="24"/>
          <w:lang w:val="en-US"/>
        </w:rPr>
        <w:t xml:space="preserve">  </w:t>
      </w:r>
      <w:r w:rsidR="009A6589">
        <w:rPr>
          <w:rFonts w:ascii="Arial" w:hAnsi="Arial" w:cs="Arial"/>
          <w:szCs w:val="24"/>
          <w:lang w:val="en-US"/>
        </w:rPr>
        <w:t>Costs also included are c</w:t>
      </w:r>
      <w:r w:rsidR="0029399D">
        <w:rPr>
          <w:rFonts w:ascii="Arial" w:hAnsi="Arial" w:cs="Arial"/>
          <w:szCs w:val="24"/>
          <w:lang w:val="en-US"/>
        </w:rPr>
        <w:t>apacity charges, ancillary services costs</w:t>
      </w:r>
      <w:r w:rsidR="006652F4">
        <w:rPr>
          <w:rFonts w:ascii="Arial" w:hAnsi="Arial" w:cs="Arial"/>
          <w:szCs w:val="24"/>
          <w:lang w:val="en-US"/>
        </w:rPr>
        <w:t>, AEPS Compliance</w:t>
      </w:r>
      <w:r w:rsidR="009A6589">
        <w:rPr>
          <w:rFonts w:ascii="Arial" w:hAnsi="Arial" w:cs="Arial"/>
          <w:szCs w:val="24"/>
          <w:lang w:val="en-US"/>
        </w:rPr>
        <w:t>,</w:t>
      </w:r>
      <w:r w:rsidR="0029399D">
        <w:rPr>
          <w:rFonts w:ascii="Arial" w:hAnsi="Arial" w:cs="Arial"/>
          <w:szCs w:val="24"/>
          <w:lang w:val="en-US"/>
        </w:rPr>
        <w:t xml:space="preserve"> and applicable administrative costs</w:t>
      </w:r>
      <w:r w:rsidR="009A6589">
        <w:rPr>
          <w:rFonts w:ascii="Arial" w:hAnsi="Arial" w:cs="Arial"/>
          <w:szCs w:val="24"/>
          <w:lang w:val="en-US"/>
        </w:rPr>
        <w:t>.</w:t>
      </w:r>
      <w:r w:rsidR="006652F4">
        <w:rPr>
          <w:rFonts w:ascii="Arial" w:hAnsi="Arial" w:cs="Arial"/>
          <w:szCs w:val="24"/>
          <w:lang w:val="en-US"/>
        </w:rPr>
        <w:t xml:space="preserve"> </w:t>
      </w:r>
    </w:p>
    <w:p w:rsidR="003608F3" w:rsidRPr="00D96CEF" w:rsidRDefault="003608F3" w:rsidP="003608F3">
      <w:pPr>
        <w:tabs>
          <w:tab w:val="left" w:pos="360"/>
        </w:tabs>
        <w:jc w:val="both"/>
        <w:rPr>
          <w:rFonts w:ascii="Arial" w:hAnsi="Arial" w:cs="Arial"/>
          <w:b/>
          <w:sz w:val="22"/>
          <w:szCs w:val="22"/>
          <w:u w:val="single"/>
        </w:rPr>
      </w:pPr>
    </w:p>
    <w:p w:rsidR="003608F3" w:rsidRPr="008E7086" w:rsidRDefault="003608F3" w:rsidP="003608F3">
      <w:pPr>
        <w:tabs>
          <w:tab w:val="left" w:pos="360"/>
        </w:tabs>
        <w:jc w:val="both"/>
        <w:rPr>
          <w:rFonts w:ascii="Arial" w:hAnsi="Arial" w:cs="Arial"/>
          <w:b/>
          <w:szCs w:val="24"/>
          <w:u w:val="single"/>
        </w:rPr>
      </w:pPr>
      <w:r>
        <w:rPr>
          <w:rFonts w:ascii="Arial" w:hAnsi="Arial" w:cs="Arial"/>
          <w:b/>
          <w:szCs w:val="24"/>
          <w:u w:val="single"/>
        </w:rPr>
        <w:t>4</w:t>
      </w:r>
      <w:r w:rsidRPr="008E7086">
        <w:rPr>
          <w:rFonts w:ascii="Arial" w:hAnsi="Arial" w:cs="Arial"/>
          <w:b/>
          <w:szCs w:val="24"/>
          <w:u w:val="single"/>
        </w:rPr>
        <w:t xml:space="preserve"> – Over/(Under) Collections</w:t>
      </w:r>
    </w:p>
    <w:p w:rsidR="003608F3" w:rsidRPr="00D96CEF" w:rsidRDefault="003608F3" w:rsidP="003608F3">
      <w:pPr>
        <w:pStyle w:val="EndnoteText"/>
        <w:tabs>
          <w:tab w:val="left" w:pos="-1440"/>
          <w:tab w:val="left" w:pos="-720"/>
          <w:tab w:val="left" w:pos="450"/>
          <w:tab w:val="left" w:pos="720"/>
          <w:tab w:val="left" w:pos="990"/>
          <w:tab w:val="left" w:pos="1440"/>
        </w:tabs>
        <w:suppressAutoHyphens/>
        <w:ind w:left="1050"/>
        <w:jc w:val="left"/>
        <w:rPr>
          <w:rFonts w:ascii="Arial" w:hAnsi="Arial" w:cs="Arial"/>
          <w:sz w:val="22"/>
          <w:szCs w:val="22"/>
          <w:lang w:val="en-US"/>
        </w:rPr>
      </w:pPr>
    </w:p>
    <w:p w:rsidR="00B41202" w:rsidRPr="00B13816" w:rsidRDefault="00B41202" w:rsidP="009F1262">
      <w:pPr>
        <w:pStyle w:val="EndnoteText"/>
        <w:tabs>
          <w:tab w:val="left" w:pos="-720"/>
        </w:tabs>
        <w:suppressAutoHyphens/>
        <w:ind w:left="360"/>
        <w:jc w:val="left"/>
        <w:rPr>
          <w:rFonts w:ascii="Arial" w:hAnsi="Arial" w:cs="Arial"/>
          <w:szCs w:val="24"/>
        </w:rPr>
      </w:pPr>
      <w:r>
        <w:rPr>
          <w:rFonts w:ascii="Arial" w:hAnsi="Arial" w:cs="Arial"/>
          <w:szCs w:val="24"/>
        </w:rPr>
        <w:t xml:space="preserve">The </w:t>
      </w:r>
      <w:r w:rsidRPr="00936DE2">
        <w:rPr>
          <w:rFonts w:ascii="Arial" w:hAnsi="Arial" w:cs="Arial"/>
          <w:szCs w:val="24"/>
        </w:rPr>
        <w:t xml:space="preserve">Over/(Under) Collection </w:t>
      </w:r>
      <w:r>
        <w:rPr>
          <w:rFonts w:ascii="Arial" w:hAnsi="Arial" w:cs="Arial"/>
          <w:szCs w:val="24"/>
        </w:rPr>
        <w:t>is the</w:t>
      </w:r>
      <w:r w:rsidRPr="00936DE2">
        <w:rPr>
          <w:rFonts w:ascii="Arial" w:hAnsi="Arial" w:cs="Arial"/>
          <w:szCs w:val="24"/>
        </w:rPr>
        <w:t xml:space="preserve"> difference between the </w:t>
      </w:r>
      <w:r w:rsidR="009F1262">
        <w:rPr>
          <w:rFonts w:ascii="Arial" w:hAnsi="Arial" w:cs="Arial"/>
          <w:szCs w:val="24"/>
          <w:lang w:val="en-US"/>
        </w:rPr>
        <w:t>GSA</w:t>
      </w:r>
      <w:r>
        <w:rPr>
          <w:rFonts w:ascii="Arial" w:hAnsi="Arial" w:cs="Arial"/>
          <w:szCs w:val="24"/>
        </w:rPr>
        <w:t xml:space="preserve"> </w:t>
      </w:r>
      <w:r w:rsidRPr="00936DE2">
        <w:rPr>
          <w:rFonts w:ascii="Arial" w:hAnsi="Arial" w:cs="Arial"/>
          <w:szCs w:val="24"/>
        </w:rPr>
        <w:t>Revenue</w:t>
      </w:r>
      <w:r>
        <w:rPr>
          <w:rFonts w:ascii="Arial" w:hAnsi="Arial" w:cs="Arial"/>
          <w:szCs w:val="24"/>
        </w:rPr>
        <w:t xml:space="preserve"> </w:t>
      </w:r>
      <w:r w:rsidRPr="00936DE2">
        <w:rPr>
          <w:rFonts w:ascii="Arial" w:hAnsi="Arial" w:cs="Arial"/>
          <w:szCs w:val="24"/>
        </w:rPr>
        <w:t xml:space="preserve">and </w:t>
      </w:r>
      <w:r w:rsidR="009F1262">
        <w:rPr>
          <w:rFonts w:ascii="Arial" w:hAnsi="Arial" w:cs="Arial"/>
          <w:szCs w:val="24"/>
          <w:lang w:val="en-US"/>
        </w:rPr>
        <w:t>GSA</w:t>
      </w:r>
      <w:r>
        <w:rPr>
          <w:rFonts w:ascii="Arial" w:hAnsi="Arial" w:cs="Arial"/>
          <w:szCs w:val="24"/>
        </w:rPr>
        <w:t xml:space="preserve"> Costs</w:t>
      </w:r>
      <w:r w:rsidRPr="00936DE2">
        <w:rPr>
          <w:rFonts w:ascii="Arial" w:hAnsi="Arial" w:cs="Arial"/>
          <w:szCs w:val="24"/>
        </w:rPr>
        <w:t>.  The resulting amount represent</w:t>
      </w:r>
      <w:r w:rsidR="00175767">
        <w:rPr>
          <w:rFonts w:ascii="Arial" w:hAnsi="Arial" w:cs="Arial"/>
          <w:szCs w:val="24"/>
          <w:lang w:val="en-US"/>
        </w:rPr>
        <w:t>s</w:t>
      </w:r>
      <w:r w:rsidRPr="00936DE2">
        <w:rPr>
          <w:rFonts w:ascii="Arial" w:hAnsi="Arial" w:cs="Arial"/>
          <w:szCs w:val="24"/>
        </w:rPr>
        <w:t xml:space="preserve"> the portion of </w:t>
      </w:r>
      <w:r w:rsidR="009F1262">
        <w:rPr>
          <w:rFonts w:ascii="Arial" w:hAnsi="Arial" w:cs="Arial"/>
          <w:szCs w:val="24"/>
          <w:lang w:val="en-US"/>
        </w:rPr>
        <w:t>GSA</w:t>
      </w:r>
      <w:r>
        <w:rPr>
          <w:rFonts w:ascii="Arial" w:hAnsi="Arial" w:cs="Arial"/>
          <w:szCs w:val="24"/>
        </w:rPr>
        <w:t xml:space="preserve"> Revenue </w:t>
      </w:r>
      <w:r w:rsidRPr="00DF518D">
        <w:rPr>
          <w:rFonts w:ascii="Arial" w:hAnsi="Arial" w:cs="Arial"/>
        </w:rPr>
        <w:t>refundable</w:t>
      </w:r>
      <w:r>
        <w:rPr>
          <w:rFonts w:ascii="Arial" w:hAnsi="Arial" w:cs="Arial"/>
        </w:rPr>
        <w:t xml:space="preserve"> to or </w:t>
      </w:r>
      <w:r w:rsidR="009F1262">
        <w:rPr>
          <w:rFonts w:ascii="Arial" w:hAnsi="Arial" w:cs="Arial"/>
          <w:lang w:val="en-US"/>
        </w:rPr>
        <w:t>GSA</w:t>
      </w:r>
      <w:r>
        <w:rPr>
          <w:rFonts w:ascii="Arial" w:hAnsi="Arial" w:cs="Arial"/>
        </w:rPr>
        <w:t xml:space="preserve"> Costs recoverable from customers through subsequent </w:t>
      </w:r>
      <w:r w:rsidR="009F1262">
        <w:rPr>
          <w:rFonts w:ascii="Arial" w:hAnsi="Arial" w:cs="Arial"/>
          <w:lang w:val="en-US"/>
        </w:rPr>
        <w:t>GSA</w:t>
      </w:r>
      <w:r>
        <w:rPr>
          <w:rFonts w:ascii="Arial" w:hAnsi="Arial" w:cs="Arial"/>
        </w:rPr>
        <w:t xml:space="preserve"> rates.   </w:t>
      </w:r>
      <w:r>
        <w:rPr>
          <w:rFonts w:ascii="Arial" w:hAnsi="Arial" w:cs="Arial"/>
          <w:szCs w:val="24"/>
        </w:rPr>
        <w:t>Differences arise for two</w:t>
      </w:r>
      <w:r w:rsidRPr="00B13816">
        <w:rPr>
          <w:rFonts w:ascii="Arial" w:hAnsi="Arial" w:cs="Arial"/>
          <w:szCs w:val="24"/>
        </w:rPr>
        <w:t xml:space="preserve"> primary reasons:</w:t>
      </w:r>
    </w:p>
    <w:p w:rsidR="00B41202" w:rsidRDefault="00B41202" w:rsidP="009F1262">
      <w:pPr>
        <w:ind w:left="360"/>
        <w:jc w:val="left"/>
        <w:rPr>
          <w:rFonts w:ascii="Arial" w:hAnsi="Arial" w:cs="Arial"/>
        </w:rPr>
      </w:pPr>
    </w:p>
    <w:p w:rsidR="00B41202" w:rsidRDefault="00B41202" w:rsidP="009F1262">
      <w:pPr>
        <w:numPr>
          <w:ilvl w:val="0"/>
          <w:numId w:val="12"/>
        </w:numPr>
        <w:tabs>
          <w:tab w:val="left" w:pos="360"/>
        </w:tabs>
        <w:overflowPunct w:val="0"/>
        <w:autoSpaceDE w:val="0"/>
        <w:autoSpaceDN w:val="0"/>
        <w:adjustRightInd w:val="0"/>
        <w:jc w:val="left"/>
        <w:textAlignment w:val="baseline"/>
        <w:rPr>
          <w:rFonts w:ascii="Arial" w:hAnsi="Arial" w:cs="Arial"/>
          <w:szCs w:val="24"/>
        </w:rPr>
      </w:pPr>
      <w:r w:rsidRPr="00936DE2">
        <w:rPr>
          <w:rFonts w:ascii="Arial" w:hAnsi="Arial" w:cs="Arial"/>
          <w:szCs w:val="24"/>
        </w:rPr>
        <w:t xml:space="preserve">Variation between the actual </w:t>
      </w:r>
      <w:r>
        <w:rPr>
          <w:rFonts w:ascii="Arial" w:hAnsi="Arial" w:cs="Arial"/>
          <w:szCs w:val="24"/>
        </w:rPr>
        <w:t>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 xml:space="preserve">estimates used to determine the </w:t>
      </w:r>
      <w:r w:rsidR="009F1262">
        <w:rPr>
          <w:rFonts w:ascii="Arial" w:hAnsi="Arial" w:cs="Arial"/>
          <w:szCs w:val="24"/>
        </w:rPr>
        <w:t>GSA</w:t>
      </w:r>
      <w:r w:rsidRPr="00936DE2">
        <w:rPr>
          <w:rFonts w:ascii="Arial" w:hAnsi="Arial" w:cs="Arial"/>
          <w:szCs w:val="24"/>
        </w:rPr>
        <w:t xml:space="preserve"> rate</w:t>
      </w:r>
      <w:r>
        <w:rPr>
          <w:rFonts w:ascii="Arial" w:hAnsi="Arial" w:cs="Arial"/>
          <w:szCs w:val="24"/>
        </w:rPr>
        <w:t>s; and,</w:t>
      </w:r>
    </w:p>
    <w:p w:rsidR="00B41202" w:rsidRDefault="00B41202" w:rsidP="009F1262">
      <w:pPr>
        <w:tabs>
          <w:tab w:val="left" w:pos="360"/>
        </w:tabs>
        <w:ind w:left="1080"/>
        <w:jc w:val="left"/>
        <w:rPr>
          <w:rFonts w:ascii="Arial" w:hAnsi="Arial" w:cs="Arial"/>
          <w:szCs w:val="24"/>
        </w:rPr>
      </w:pPr>
    </w:p>
    <w:p w:rsidR="00B41202" w:rsidRPr="00483E8C" w:rsidRDefault="00B41202" w:rsidP="009F1262">
      <w:pPr>
        <w:numPr>
          <w:ilvl w:val="0"/>
          <w:numId w:val="12"/>
        </w:numPr>
        <w:tabs>
          <w:tab w:val="left" w:pos="360"/>
        </w:tabs>
        <w:overflowPunct w:val="0"/>
        <w:autoSpaceDE w:val="0"/>
        <w:autoSpaceDN w:val="0"/>
        <w:adjustRightInd w:val="0"/>
        <w:jc w:val="left"/>
        <w:textAlignment w:val="baseline"/>
        <w:rPr>
          <w:rFonts w:ascii="Arial" w:hAnsi="Arial" w:cs="Arial"/>
          <w:szCs w:val="24"/>
        </w:rPr>
      </w:pPr>
      <w:r w:rsidRPr="00483E8C">
        <w:rPr>
          <w:rFonts w:ascii="Arial" w:hAnsi="Arial" w:cs="Arial"/>
          <w:szCs w:val="24"/>
        </w:rPr>
        <w:t xml:space="preserve">Variation between the actual </w:t>
      </w:r>
      <w:r w:rsidR="009F1262">
        <w:rPr>
          <w:rFonts w:ascii="Arial" w:hAnsi="Arial" w:cs="Arial"/>
          <w:szCs w:val="24"/>
        </w:rPr>
        <w:t>GSA</w:t>
      </w:r>
      <w:r w:rsidRPr="00483E8C">
        <w:rPr>
          <w:rFonts w:ascii="Arial" w:hAnsi="Arial" w:cs="Arial"/>
          <w:szCs w:val="24"/>
        </w:rPr>
        <w:t xml:space="preserve"> costs and the estimates used to determine the </w:t>
      </w:r>
      <w:r w:rsidR="009F1262">
        <w:rPr>
          <w:rFonts w:ascii="Arial" w:hAnsi="Arial" w:cs="Arial"/>
          <w:szCs w:val="24"/>
        </w:rPr>
        <w:t>GSA</w:t>
      </w:r>
      <w:r w:rsidRPr="00483E8C">
        <w:rPr>
          <w:rFonts w:ascii="Arial" w:hAnsi="Arial" w:cs="Arial"/>
          <w:szCs w:val="24"/>
        </w:rPr>
        <w:t xml:space="preserve"> rates.  </w:t>
      </w:r>
    </w:p>
    <w:p w:rsidR="00D96CEF" w:rsidRDefault="00D96CEF" w:rsidP="009F1262">
      <w:pPr>
        <w:tabs>
          <w:tab w:val="left" w:pos="360"/>
        </w:tabs>
        <w:overflowPunct w:val="0"/>
        <w:autoSpaceDE w:val="0"/>
        <w:autoSpaceDN w:val="0"/>
        <w:adjustRightInd w:val="0"/>
        <w:ind w:left="720"/>
        <w:jc w:val="left"/>
        <w:textAlignment w:val="baseline"/>
        <w:rPr>
          <w:rFonts w:ascii="Arial" w:hAnsi="Arial" w:cs="Arial"/>
          <w:szCs w:val="24"/>
        </w:rPr>
        <w:sectPr w:rsidR="00D96CEF" w:rsidSect="00D426BF">
          <w:headerReference w:type="even" r:id="rId33"/>
          <w:headerReference w:type="default" r:id="rId34"/>
          <w:footerReference w:type="default" r:id="rId35"/>
          <w:headerReference w:type="first" r:id="rId36"/>
          <w:endnotePr>
            <w:numFmt w:val="decimal"/>
          </w:endnotePr>
          <w:pgSz w:w="12240" w:h="15840" w:code="1"/>
          <w:pgMar w:top="1440" w:right="1440" w:bottom="1152" w:left="1440" w:header="720" w:footer="720" w:gutter="0"/>
          <w:pgNumType w:fmt="numberInDash" w:start="4"/>
          <w:cols w:space="720"/>
          <w:noEndnote/>
          <w:titlePg/>
          <w:docGrid w:linePitch="326"/>
        </w:sectPr>
      </w:pPr>
      <w:r w:rsidRPr="00936DE2">
        <w:rPr>
          <w:rFonts w:ascii="Arial" w:hAnsi="Arial" w:cs="Arial"/>
          <w:szCs w:val="24"/>
        </w:rPr>
        <w:t xml:space="preserve"> </w:t>
      </w:r>
    </w:p>
    <w:p w:rsidR="00C57848" w:rsidRPr="00AB57B6" w:rsidRDefault="00F1146C" w:rsidP="00C57848">
      <w:pPr>
        <w:pStyle w:val="Heading1"/>
        <w:rPr>
          <w:rFonts w:ascii="Arial" w:hAnsi="Arial" w:cs="Arial"/>
          <w:sz w:val="26"/>
          <w:szCs w:val="26"/>
        </w:rPr>
      </w:pPr>
      <w:r w:rsidRPr="00AB57B6">
        <w:rPr>
          <w:rFonts w:ascii="Arial" w:hAnsi="Arial" w:cs="Arial"/>
          <w:sz w:val="26"/>
          <w:szCs w:val="26"/>
        </w:rPr>
        <w:lastRenderedPageBreak/>
        <w:t xml:space="preserve">Disposition of </w:t>
      </w:r>
      <w:r w:rsidR="0096359D" w:rsidRPr="00AB57B6">
        <w:rPr>
          <w:rFonts w:ascii="Arial" w:hAnsi="Arial" w:cs="Arial"/>
          <w:sz w:val="26"/>
          <w:szCs w:val="26"/>
        </w:rPr>
        <w:t>Prior</w:t>
      </w:r>
      <w:r w:rsidR="001C5C16" w:rsidRPr="00AB57B6">
        <w:rPr>
          <w:rFonts w:ascii="Arial" w:hAnsi="Arial" w:cs="Arial"/>
          <w:sz w:val="26"/>
          <w:szCs w:val="26"/>
        </w:rPr>
        <w:t xml:space="preserve"> Period</w:t>
      </w:r>
      <w:r w:rsidR="00C57848" w:rsidRPr="00AB57B6">
        <w:rPr>
          <w:rFonts w:ascii="Arial" w:hAnsi="Arial" w:cs="Arial"/>
          <w:sz w:val="26"/>
          <w:szCs w:val="26"/>
        </w:rPr>
        <w:t>’s Audit Findings</w:t>
      </w:r>
    </w:p>
    <w:p w:rsidR="00C57848" w:rsidRDefault="00C57848" w:rsidP="00C57848">
      <w:pPr>
        <w:pStyle w:val="EndnoteText"/>
        <w:tabs>
          <w:tab w:val="left" w:pos="475"/>
        </w:tabs>
        <w:suppressAutoHyphens/>
        <w:jc w:val="left"/>
        <w:rPr>
          <w:rFonts w:ascii="Arial" w:hAnsi="Arial" w:cs="Arial"/>
          <w:szCs w:val="24"/>
          <w:lang w:val="en-US"/>
        </w:rPr>
      </w:pPr>
    </w:p>
    <w:p w:rsidR="00DA2F01" w:rsidRDefault="00DA2F01" w:rsidP="00C57848">
      <w:pPr>
        <w:pStyle w:val="EndnoteText"/>
        <w:tabs>
          <w:tab w:val="left" w:pos="475"/>
        </w:tabs>
        <w:suppressAutoHyphens/>
        <w:jc w:val="left"/>
        <w:rPr>
          <w:rFonts w:ascii="Arial" w:hAnsi="Arial" w:cs="Arial"/>
          <w:szCs w:val="24"/>
          <w:lang w:val="en-US"/>
        </w:rPr>
      </w:pPr>
    </w:p>
    <w:p w:rsidR="00F1146C" w:rsidRPr="009E73ED" w:rsidRDefault="00AE07BC" w:rsidP="00AE07BC">
      <w:pPr>
        <w:tabs>
          <w:tab w:val="center" w:pos="4680"/>
        </w:tabs>
        <w:suppressAutoHyphens/>
        <w:ind w:firstLine="720"/>
        <w:jc w:val="left"/>
        <w:rPr>
          <w:rFonts w:ascii="Arial" w:hAnsi="Arial" w:cs="Arial"/>
        </w:rPr>
      </w:pPr>
      <w:r>
        <w:rPr>
          <w:rFonts w:ascii="Arial" w:hAnsi="Arial" w:cs="Arial"/>
        </w:rPr>
        <w:tab/>
      </w:r>
      <w:r w:rsidR="00AB56F4">
        <w:rPr>
          <w:rFonts w:ascii="Arial" w:hAnsi="Arial" w:cs="Arial"/>
        </w:rPr>
        <w:t>The prior</w:t>
      </w:r>
      <w:r w:rsidR="00F1146C">
        <w:rPr>
          <w:rFonts w:ascii="Arial" w:hAnsi="Arial" w:cs="Arial"/>
        </w:rPr>
        <w:t xml:space="preserve"> audit of PECO Energy Company</w:t>
      </w:r>
      <w:r w:rsidR="006C2700">
        <w:rPr>
          <w:rFonts w:ascii="Arial" w:hAnsi="Arial" w:cs="Arial"/>
        </w:rPr>
        <w:t>’s</w:t>
      </w:r>
      <w:r w:rsidR="00F1146C">
        <w:rPr>
          <w:rFonts w:ascii="Arial" w:hAnsi="Arial" w:cs="Arial"/>
        </w:rPr>
        <w:t xml:space="preserve"> Statements of Generation Supply Adjustment Over/(Under) Collections</w:t>
      </w:r>
      <w:r w:rsidR="00F1146C" w:rsidRPr="009E73ED">
        <w:rPr>
          <w:rFonts w:ascii="Arial" w:hAnsi="Arial" w:cs="Arial"/>
        </w:rPr>
        <w:t xml:space="preserve"> for the </w:t>
      </w:r>
      <w:r w:rsidR="00F1146C">
        <w:rPr>
          <w:rFonts w:ascii="Arial" w:hAnsi="Arial" w:cs="Arial"/>
        </w:rPr>
        <w:t xml:space="preserve">period </w:t>
      </w:r>
      <w:r w:rsidR="00F1146C" w:rsidRPr="00E66F63">
        <w:rPr>
          <w:rFonts w:ascii="Arial" w:hAnsi="Arial" w:cs="Arial"/>
        </w:rPr>
        <w:t>January 1, 201</w:t>
      </w:r>
      <w:r w:rsidR="00E66F63" w:rsidRPr="00E66F63">
        <w:rPr>
          <w:rFonts w:ascii="Arial" w:hAnsi="Arial" w:cs="Arial"/>
        </w:rPr>
        <w:t>2</w:t>
      </w:r>
      <w:r w:rsidR="00F1146C" w:rsidRPr="00E66F63">
        <w:rPr>
          <w:rFonts w:ascii="Arial" w:hAnsi="Arial" w:cs="Arial"/>
        </w:rPr>
        <w:t xml:space="preserve"> through December 31, 201</w:t>
      </w:r>
      <w:r w:rsidR="00E66F63" w:rsidRPr="00E66F63">
        <w:rPr>
          <w:rFonts w:ascii="Arial" w:hAnsi="Arial" w:cs="Arial"/>
        </w:rPr>
        <w:t>4</w:t>
      </w:r>
      <w:r w:rsidR="000D58E6" w:rsidRPr="00E66F63">
        <w:rPr>
          <w:rFonts w:ascii="Arial" w:hAnsi="Arial" w:cs="Arial"/>
        </w:rPr>
        <w:t xml:space="preserve"> </w:t>
      </w:r>
      <w:r w:rsidR="00E66F63" w:rsidRPr="00E66F63">
        <w:rPr>
          <w:rFonts w:ascii="Arial" w:hAnsi="Arial" w:cs="Arial"/>
        </w:rPr>
        <w:t xml:space="preserve">at </w:t>
      </w:r>
      <w:r w:rsidR="000D58E6" w:rsidRPr="00E66F63">
        <w:rPr>
          <w:rFonts w:ascii="Arial" w:hAnsi="Arial" w:cs="Arial"/>
        </w:rPr>
        <w:t xml:space="preserve">Docket </w:t>
      </w:r>
      <w:r w:rsidR="00E66F63" w:rsidRPr="00E66F63">
        <w:rPr>
          <w:rFonts w:ascii="Arial" w:hAnsi="Arial" w:cs="Arial"/>
        </w:rPr>
        <w:t xml:space="preserve">No. </w:t>
      </w:r>
      <w:r w:rsidR="000D58E6" w:rsidRPr="00E66F63">
        <w:rPr>
          <w:rFonts w:ascii="Arial" w:hAnsi="Arial" w:cs="Arial"/>
        </w:rPr>
        <w:t>D-2015-2521461</w:t>
      </w:r>
      <w:r w:rsidR="00F1146C" w:rsidRPr="00E66F63">
        <w:rPr>
          <w:rFonts w:ascii="Arial" w:hAnsi="Arial" w:cs="Arial"/>
        </w:rPr>
        <w:t xml:space="preserve">, </w:t>
      </w:r>
      <w:r w:rsidR="001215A8">
        <w:rPr>
          <w:rFonts w:ascii="Arial" w:hAnsi="Arial" w:cs="Arial"/>
        </w:rPr>
        <w:t>included</w:t>
      </w:r>
      <w:r w:rsidR="00F1146C" w:rsidRPr="00E66F63">
        <w:rPr>
          <w:rFonts w:ascii="Arial" w:hAnsi="Arial" w:cs="Arial"/>
        </w:rPr>
        <w:t xml:space="preserve"> the following finding:</w:t>
      </w:r>
    </w:p>
    <w:p w:rsidR="00F1146C" w:rsidRDefault="00F1146C" w:rsidP="00E66F63">
      <w:pPr>
        <w:tabs>
          <w:tab w:val="left" w:pos="360"/>
        </w:tabs>
        <w:ind w:left="1260" w:hanging="1260"/>
        <w:jc w:val="left"/>
        <w:rPr>
          <w:rFonts w:ascii="Arial" w:hAnsi="Arial" w:cs="Arial"/>
          <w:b/>
          <w:szCs w:val="24"/>
        </w:rPr>
      </w:pPr>
    </w:p>
    <w:p w:rsidR="00C57848" w:rsidRPr="00C57848" w:rsidRDefault="009A749C" w:rsidP="00541244">
      <w:pPr>
        <w:tabs>
          <w:tab w:val="left" w:pos="360"/>
        </w:tabs>
        <w:ind w:left="1170" w:hanging="1170"/>
        <w:jc w:val="left"/>
        <w:rPr>
          <w:rFonts w:ascii="Arial" w:hAnsi="Arial" w:cs="Arial"/>
          <w:b/>
          <w:szCs w:val="24"/>
        </w:rPr>
      </w:pPr>
      <w:r w:rsidRPr="0097236F">
        <w:rPr>
          <w:rFonts w:ascii="Arial" w:hAnsi="Arial" w:cs="Arial"/>
          <w:b/>
          <w:szCs w:val="24"/>
        </w:rPr>
        <w:t>Finding –</w:t>
      </w:r>
      <w:r>
        <w:rPr>
          <w:rFonts w:ascii="Arial" w:hAnsi="Arial" w:cs="Arial"/>
          <w:b/>
          <w:szCs w:val="24"/>
        </w:rPr>
        <w:t xml:space="preserve"> </w:t>
      </w:r>
      <w:r w:rsidR="00C57848" w:rsidRPr="00C57848">
        <w:rPr>
          <w:rFonts w:ascii="Arial" w:hAnsi="Arial" w:cs="Arial"/>
          <w:b/>
          <w:szCs w:val="24"/>
        </w:rPr>
        <w:t xml:space="preserve">The </w:t>
      </w:r>
      <w:r w:rsidR="00B32341">
        <w:rPr>
          <w:rFonts w:ascii="Arial" w:hAnsi="Arial" w:cs="Arial"/>
          <w:b/>
          <w:szCs w:val="24"/>
        </w:rPr>
        <w:t>c</w:t>
      </w:r>
      <w:r w:rsidR="00C57848" w:rsidRPr="00C57848">
        <w:rPr>
          <w:rFonts w:ascii="Arial" w:hAnsi="Arial" w:cs="Arial"/>
          <w:b/>
          <w:szCs w:val="24"/>
        </w:rPr>
        <w:t xml:space="preserve">ompany </w:t>
      </w:r>
      <w:r w:rsidR="00C57848">
        <w:rPr>
          <w:rFonts w:ascii="Arial" w:hAnsi="Arial" w:cs="Arial"/>
          <w:b/>
          <w:szCs w:val="24"/>
        </w:rPr>
        <w:t>o</w:t>
      </w:r>
      <w:r w:rsidR="00C57848" w:rsidRPr="00C57848">
        <w:rPr>
          <w:rFonts w:ascii="Arial" w:hAnsi="Arial" w:cs="Arial"/>
          <w:b/>
          <w:szCs w:val="24"/>
        </w:rPr>
        <w:t xml:space="preserve">verstated </w:t>
      </w:r>
      <w:r w:rsidR="00C57848">
        <w:rPr>
          <w:rFonts w:ascii="Arial" w:hAnsi="Arial" w:cs="Arial"/>
          <w:b/>
          <w:szCs w:val="24"/>
        </w:rPr>
        <w:t xml:space="preserve">its </w:t>
      </w:r>
      <w:r w:rsidR="00C57848" w:rsidRPr="00C57848">
        <w:rPr>
          <w:rFonts w:ascii="Arial" w:hAnsi="Arial" w:cs="Arial"/>
          <w:b/>
          <w:szCs w:val="24"/>
        </w:rPr>
        <w:t xml:space="preserve">GSA Costs </w:t>
      </w:r>
      <w:r w:rsidR="00B32341">
        <w:rPr>
          <w:rFonts w:ascii="Arial" w:hAnsi="Arial" w:cs="Arial"/>
          <w:b/>
          <w:szCs w:val="24"/>
        </w:rPr>
        <w:t>b</w:t>
      </w:r>
      <w:r w:rsidR="00C57848" w:rsidRPr="00C57848">
        <w:rPr>
          <w:rFonts w:ascii="Arial" w:hAnsi="Arial" w:cs="Arial"/>
          <w:b/>
          <w:szCs w:val="24"/>
        </w:rPr>
        <w:t>y $12,</w:t>
      </w:r>
      <w:r w:rsidR="005E3C8F">
        <w:rPr>
          <w:rFonts w:ascii="Arial" w:hAnsi="Arial" w:cs="Arial"/>
          <w:b/>
          <w:szCs w:val="24"/>
        </w:rPr>
        <w:t>5</w:t>
      </w:r>
      <w:r w:rsidR="00C57848" w:rsidRPr="00C57848">
        <w:rPr>
          <w:rFonts w:ascii="Arial" w:hAnsi="Arial" w:cs="Arial"/>
          <w:b/>
          <w:szCs w:val="24"/>
        </w:rPr>
        <w:t xml:space="preserve">33 for the </w:t>
      </w:r>
      <w:r w:rsidR="00B32341">
        <w:rPr>
          <w:rFonts w:ascii="Arial" w:hAnsi="Arial" w:cs="Arial"/>
          <w:b/>
          <w:szCs w:val="24"/>
        </w:rPr>
        <w:t>t</w:t>
      </w:r>
      <w:r w:rsidR="00C57848" w:rsidRPr="00C57848">
        <w:rPr>
          <w:rFonts w:ascii="Arial" w:hAnsi="Arial" w:cs="Arial"/>
          <w:b/>
          <w:szCs w:val="24"/>
        </w:rPr>
        <w:t xml:space="preserve">welve </w:t>
      </w:r>
      <w:r>
        <w:rPr>
          <w:rFonts w:ascii="Arial" w:hAnsi="Arial" w:cs="Arial"/>
          <w:b/>
          <w:szCs w:val="24"/>
        </w:rPr>
        <w:t xml:space="preserve">    </w:t>
      </w:r>
      <w:r w:rsidR="00B32341">
        <w:rPr>
          <w:rFonts w:ascii="Arial" w:hAnsi="Arial" w:cs="Arial"/>
          <w:b/>
          <w:szCs w:val="24"/>
        </w:rPr>
        <w:t>m</w:t>
      </w:r>
      <w:r w:rsidR="00C57848" w:rsidRPr="00C57848">
        <w:rPr>
          <w:rFonts w:ascii="Arial" w:hAnsi="Arial" w:cs="Arial"/>
          <w:b/>
          <w:szCs w:val="24"/>
        </w:rPr>
        <w:t xml:space="preserve">onths </w:t>
      </w:r>
      <w:r w:rsidR="00B32341">
        <w:rPr>
          <w:rFonts w:ascii="Arial" w:hAnsi="Arial" w:cs="Arial"/>
          <w:b/>
          <w:szCs w:val="24"/>
        </w:rPr>
        <w:t>e</w:t>
      </w:r>
      <w:r w:rsidR="00C57848" w:rsidRPr="00C57848">
        <w:rPr>
          <w:rFonts w:ascii="Arial" w:hAnsi="Arial" w:cs="Arial"/>
          <w:b/>
          <w:szCs w:val="24"/>
        </w:rPr>
        <w:t>nded December 31, 2013.</w:t>
      </w:r>
    </w:p>
    <w:p w:rsidR="00C57848" w:rsidRDefault="00C57848" w:rsidP="00C57848">
      <w:pPr>
        <w:pStyle w:val="EndnoteText"/>
        <w:tabs>
          <w:tab w:val="left" w:pos="-1440"/>
          <w:tab w:val="left" w:pos="-720"/>
          <w:tab w:val="left" w:pos="450"/>
          <w:tab w:val="left" w:pos="720"/>
          <w:tab w:val="left" w:pos="990"/>
          <w:tab w:val="left" w:pos="1440"/>
        </w:tabs>
        <w:suppressAutoHyphens/>
        <w:ind w:left="1050"/>
        <w:jc w:val="left"/>
        <w:rPr>
          <w:rFonts w:ascii="Arial" w:hAnsi="Arial" w:cs="Arial"/>
          <w:szCs w:val="24"/>
          <w:lang w:val="en-US"/>
        </w:rPr>
      </w:pPr>
    </w:p>
    <w:p w:rsidR="00C57848" w:rsidRPr="003B6278" w:rsidRDefault="00C57848" w:rsidP="00C57848">
      <w:pPr>
        <w:tabs>
          <w:tab w:val="left" w:pos="360"/>
        </w:tabs>
        <w:jc w:val="both"/>
        <w:rPr>
          <w:rFonts w:ascii="Arial" w:hAnsi="Arial" w:cs="Arial"/>
          <w:b/>
          <w:szCs w:val="24"/>
        </w:rPr>
      </w:pPr>
      <w:r w:rsidRPr="003B6278">
        <w:rPr>
          <w:rFonts w:ascii="Arial" w:hAnsi="Arial" w:cs="Arial"/>
          <w:b/>
          <w:szCs w:val="24"/>
        </w:rPr>
        <w:t>Recommendation:</w:t>
      </w:r>
    </w:p>
    <w:p w:rsidR="00C57848" w:rsidRDefault="00C57848" w:rsidP="00611743">
      <w:pPr>
        <w:tabs>
          <w:tab w:val="left" w:pos="360"/>
        </w:tabs>
        <w:jc w:val="left"/>
        <w:rPr>
          <w:rFonts w:ascii="Arial" w:hAnsi="Arial" w:cs="Arial"/>
          <w:b/>
          <w:szCs w:val="24"/>
          <w:u w:val="single"/>
        </w:rPr>
      </w:pPr>
    </w:p>
    <w:p w:rsidR="00C57848" w:rsidRDefault="00611743" w:rsidP="00611743">
      <w:pPr>
        <w:tabs>
          <w:tab w:val="center" w:pos="4680"/>
        </w:tabs>
        <w:suppressAutoHyphens/>
        <w:ind w:firstLine="720"/>
        <w:jc w:val="left"/>
        <w:rPr>
          <w:rFonts w:ascii="Arial" w:hAnsi="Arial" w:cs="Arial"/>
          <w:b/>
          <w:szCs w:val="24"/>
          <w:u w:val="single"/>
        </w:rPr>
      </w:pPr>
      <w:r>
        <w:rPr>
          <w:rFonts w:ascii="Arial" w:hAnsi="Arial" w:cs="Arial"/>
          <w:szCs w:val="24"/>
        </w:rPr>
        <w:t>The Audit Staff</w:t>
      </w:r>
      <w:r w:rsidR="00C57848">
        <w:rPr>
          <w:rFonts w:ascii="Arial" w:hAnsi="Arial" w:cs="Arial"/>
          <w:szCs w:val="24"/>
        </w:rPr>
        <w:t xml:space="preserve"> recommend</w:t>
      </w:r>
      <w:r w:rsidR="0006750B">
        <w:rPr>
          <w:rFonts w:ascii="Arial" w:hAnsi="Arial" w:cs="Arial"/>
          <w:szCs w:val="24"/>
        </w:rPr>
        <w:t>ed</w:t>
      </w:r>
      <w:r w:rsidR="00C57848">
        <w:rPr>
          <w:rFonts w:ascii="Arial" w:hAnsi="Arial" w:cs="Arial"/>
          <w:szCs w:val="24"/>
        </w:rPr>
        <w:t xml:space="preserve"> that PECO </w:t>
      </w:r>
      <w:r>
        <w:rPr>
          <w:rFonts w:ascii="Arial" w:hAnsi="Arial" w:cs="Arial"/>
          <w:szCs w:val="24"/>
        </w:rPr>
        <w:t>r</w:t>
      </w:r>
      <w:r w:rsidRPr="00611743">
        <w:rPr>
          <w:rFonts w:ascii="Arial" w:hAnsi="Arial" w:cs="Arial"/>
          <w:szCs w:val="24"/>
        </w:rPr>
        <w:t xml:space="preserve">efund $12,533 to its customers by making an adjustment to the E-Factor </w:t>
      </w:r>
      <w:r>
        <w:rPr>
          <w:rFonts w:ascii="Arial" w:hAnsi="Arial" w:cs="Arial"/>
          <w:szCs w:val="24"/>
        </w:rPr>
        <w:t>component</w:t>
      </w:r>
      <w:r w:rsidRPr="00611743">
        <w:rPr>
          <w:rFonts w:ascii="Arial" w:hAnsi="Arial" w:cs="Arial"/>
          <w:szCs w:val="24"/>
        </w:rPr>
        <w:t xml:space="preserve"> in its next GSA filing.</w:t>
      </w:r>
      <w:r>
        <w:rPr>
          <w:rFonts w:ascii="Arial" w:hAnsi="Arial" w:cs="Arial"/>
          <w:szCs w:val="24"/>
        </w:rPr>
        <w:t xml:space="preserve">  </w:t>
      </w:r>
    </w:p>
    <w:p w:rsidR="00C57848" w:rsidRDefault="00C57848" w:rsidP="00C57848">
      <w:pPr>
        <w:tabs>
          <w:tab w:val="left" w:pos="360"/>
        </w:tabs>
        <w:jc w:val="both"/>
        <w:rPr>
          <w:rFonts w:ascii="Arial" w:hAnsi="Arial" w:cs="Arial"/>
          <w:b/>
          <w:szCs w:val="24"/>
          <w:u w:val="single"/>
        </w:rPr>
      </w:pPr>
    </w:p>
    <w:p w:rsidR="00F1146C" w:rsidRPr="00B25512" w:rsidRDefault="00F1146C" w:rsidP="00F1146C">
      <w:pPr>
        <w:tabs>
          <w:tab w:val="left" w:pos="-1440"/>
          <w:tab w:val="left" w:pos="-720"/>
          <w:tab w:val="left" w:pos="864"/>
          <w:tab w:val="decimal" w:pos="6192"/>
          <w:tab w:val="decimal" w:pos="7344"/>
        </w:tabs>
        <w:suppressAutoHyphens/>
        <w:jc w:val="left"/>
        <w:rPr>
          <w:rFonts w:ascii="Arial" w:hAnsi="Arial" w:cs="Arial"/>
          <w:b/>
        </w:rPr>
      </w:pPr>
      <w:r w:rsidRPr="00B25512">
        <w:rPr>
          <w:rFonts w:ascii="Arial" w:hAnsi="Arial" w:cs="Arial"/>
          <w:b/>
        </w:rPr>
        <w:t>Disposition</w:t>
      </w:r>
      <w:r>
        <w:rPr>
          <w:rFonts w:ascii="Arial" w:hAnsi="Arial" w:cs="Arial"/>
          <w:b/>
        </w:rPr>
        <w:t>:</w:t>
      </w:r>
    </w:p>
    <w:p w:rsidR="00C57848" w:rsidRDefault="00C57848" w:rsidP="00C57848">
      <w:pPr>
        <w:tabs>
          <w:tab w:val="left" w:pos="360"/>
        </w:tabs>
        <w:jc w:val="both"/>
        <w:rPr>
          <w:rFonts w:ascii="Arial" w:hAnsi="Arial" w:cs="Arial"/>
          <w:b/>
          <w:szCs w:val="24"/>
          <w:u w:val="single"/>
        </w:rPr>
      </w:pPr>
    </w:p>
    <w:p w:rsidR="00C57848" w:rsidRDefault="00D14873" w:rsidP="00C57848">
      <w:pPr>
        <w:ind w:firstLine="720"/>
        <w:jc w:val="left"/>
        <w:rPr>
          <w:rFonts w:ascii="Arial" w:hAnsi="Arial" w:cs="Arial"/>
          <w:szCs w:val="24"/>
        </w:rPr>
      </w:pPr>
      <w:r>
        <w:rPr>
          <w:rFonts w:ascii="Arial" w:hAnsi="Arial" w:cs="Arial"/>
          <w:szCs w:val="24"/>
        </w:rPr>
        <w:t>PECO</w:t>
      </w:r>
      <w:r w:rsidR="00FB06D1">
        <w:rPr>
          <w:rFonts w:ascii="Arial" w:hAnsi="Arial" w:cs="Arial"/>
          <w:szCs w:val="24"/>
        </w:rPr>
        <w:t xml:space="preserve"> </w:t>
      </w:r>
      <w:r w:rsidR="00EC1AC3">
        <w:rPr>
          <w:rFonts w:ascii="Arial" w:hAnsi="Arial" w:cs="Arial"/>
          <w:szCs w:val="24"/>
        </w:rPr>
        <w:t>refunded</w:t>
      </w:r>
      <w:r w:rsidR="00DF4B6F">
        <w:rPr>
          <w:rFonts w:ascii="Arial" w:hAnsi="Arial" w:cs="Arial"/>
          <w:szCs w:val="24"/>
        </w:rPr>
        <w:t xml:space="preserve"> </w:t>
      </w:r>
      <w:r w:rsidR="00DF4B1A">
        <w:rPr>
          <w:rFonts w:ascii="Arial" w:hAnsi="Arial" w:cs="Arial"/>
          <w:szCs w:val="24"/>
        </w:rPr>
        <w:t>$</w:t>
      </w:r>
      <w:r w:rsidR="00DF4B6F">
        <w:rPr>
          <w:rFonts w:ascii="Arial" w:hAnsi="Arial" w:cs="Arial"/>
          <w:szCs w:val="24"/>
        </w:rPr>
        <w:t>12,5</w:t>
      </w:r>
      <w:r w:rsidR="003B6278">
        <w:rPr>
          <w:rFonts w:ascii="Arial" w:hAnsi="Arial" w:cs="Arial"/>
          <w:szCs w:val="24"/>
        </w:rPr>
        <w:t>33</w:t>
      </w:r>
      <w:r w:rsidR="00592855">
        <w:rPr>
          <w:rFonts w:ascii="Arial" w:hAnsi="Arial" w:cs="Arial"/>
          <w:szCs w:val="24"/>
        </w:rPr>
        <w:t>,</w:t>
      </w:r>
      <w:r w:rsidR="00C57848">
        <w:rPr>
          <w:rFonts w:ascii="Arial" w:hAnsi="Arial" w:cs="Arial"/>
          <w:szCs w:val="24"/>
        </w:rPr>
        <w:t xml:space="preserve"> </w:t>
      </w:r>
      <w:r w:rsidR="00EC1AC3">
        <w:rPr>
          <w:rFonts w:ascii="Arial" w:hAnsi="Arial" w:cs="Arial"/>
          <w:szCs w:val="24"/>
        </w:rPr>
        <w:t>plus applicable interest</w:t>
      </w:r>
      <w:r w:rsidR="00592855">
        <w:rPr>
          <w:rFonts w:ascii="Arial" w:hAnsi="Arial" w:cs="Arial"/>
          <w:szCs w:val="24"/>
        </w:rPr>
        <w:t>, to its customers</w:t>
      </w:r>
      <w:r w:rsidR="00EC1AC3">
        <w:rPr>
          <w:rFonts w:ascii="Arial" w:hAnsi="Arial" w:cs="Arial"/>
          <w:szCs w:val="24"/>
        </w:rPr>
        <w:t xml:space="preserve"> </w:t>
      </w:r>
      <w:r w:rsidR="00C57848">
        <w:rPr>
          <w:rFonts w:ascii="Arial" w:hAnsi="Arial" w:cs="Arial"/>
          <w:szCs w:val="24"/>
        </w:rPr>
        <w:t xml:space="preserve">in </w:t>
      </w:r>
      <w:r w:rsidR="00592855">
        <w:rPr>
          <w:rFonts w:ascii="Arial" w:hAnsi="Arial" w:cs="Arial"/>
          <w:szCs w:val="24"/>
        </w:rPr>
        <w:t>the</w:t>
      </w:r>
      <w:r w:rsidR="00C57848">
        <w:rPr>
          <w:rFonts w:ascii="Arial" w:hAnsi="Arial" w:cs="Arial"/>
          <w:szCs w:val="24"/>
        </w:rPr>
        <w:t xml:space="preserve"> GSA </w:t>
      </w:r>
      <w:r w:rsidR="006462CC">
        <w:rPr>
          <w:rFonts w:ascii="Arial" w:hAnsi="Arial" w:cs="Arial"/>
          <w:szCs w:val="24"/>
        </w:rPr>
        <w:t>rates effective September 1, 2017</w:t>
      </w:r>
      <w:r w:rsidR="007329C6">
        <w:rPr>
          <w:rFonts w:ascii="Arial" w:hAnsi="Arial" w:cs="Arial"/>
          <w:szCs w:val="24"/>
        </w:rPr>
        <w:t xml:space="preserve"> </w:t>
      </w:r>
      <w:r w:rsidR="007329C6" w:rsidRPr="00EC1AC3">
        <w:rPr>
          <w:rFonts w:ascii="Arial" w:hAnsi="Arial" w:cs="Arial"/>
          <w:szCs w:val="24"/>
        </w:rPr>
        <w:t>at</w:t>
      </w:r>
      <w:r w:rsidR="0006750B" w:rsidRPr="00EC1AC3">
        <w:rPr>
          <w:rFonts w:ascii="Arial" w:hAnsi="Arial" w:cs="Arial"/>
          <w:szCs w:val="24"/>
        </w:rPr>
        <w:t xml:space="preserve"> Docket </w:t>
      </w:r>
      <w:r w:rsidR="00D038DB" w:rsidRPr="00EC1AC3">
        <w:rPr>
          <w:rFonts w:ascii="Arial" w:hAnsi="Arial" w:cs="Arial"/>
          <w:szCs w:val="24"/>
        </w:rPr>
        <w:t xml:space="preserve">No. </w:t>
      </w:r>
      <w:r w:rsidR="007329C6" w:rsidRPr="00EC1AC3">
        <w:rPr>
          <w:rFonts w:ascii="Arial" w:hAnsi="Arial" w:cs="Arial"/>
          <w:szCs w:val="24"/>
        </w:rPr>
        <w:t>M</w:t>
      </w:r>
      <w:r w:rsidR="00EC1AC3">
        <w:rPr>
          <w:rFonts w:ascii="Arial" w:hAnsi="Arial" w:cs="Arial"/>
          <w:szCs w:val="24"/>
        </w:rPr>
        <w:noBreakHyphen/>
      </w:r>
      <w:r w:rsidR="0006750B" w:rsidRPr="00EC1AC3">
        <w:rPr>
          <w:rFonts w:ascii="Arial" w:hAnsi="Arial" w:cs="Arial"/>
          <w:szCs w:val="24"/>
        </w:rPr>
        <w:t>2017</w:t>
      </w:r>
      <w:r w:rsidR="00EC1AC3">
        <w:rPr>
          <w:rFonts w:ascii="Arial" w:hAnsi="Arial" w:cs="Arial"/>
          <w:szCs w:val="24"/>
        </w:rPr>
        <w:noBreakHyphen/>
      </w:r>
      <w:r w:rsidR="007329C6" w:rsidRPr="00EC1AC3">
        <w:rPr>
          <w:rFonts w:ascii="Arial" w:hAnsi="Arial" w:cs="Arial"/>
          <w:szCs w:val="24"/>
        </w:rPr>
        <w:t>2614657</w:t>
      </w:r>
      <w:r w:rsidR="0006750B" w:rsidRPr="00EC1AC3">
        <w:rPr>
          <w:rFonts w:ascii="Arial" w:hAnsi="Arial" w:cs="Arial"/>
          <w:szCs w:val="24"/>
        </w:rPr>
        <w:t>.</w:t>
      </w:r>
    </w:p>
    <w:p w:rsidR="00D6296A" w:rsidRDefault="00D6296A" w:rsidP="00C57848">
      <w:pPr>
        <w:ind w:firstLine="720"/>
        <w:jc w:val="left"/>
        <w:rPr>
          <w:rFonts w:ascii="Arial" w:hAnsi="Arial" w:cs="Arial"/>
          <w:szCs w:val="24"/>
        </w:rPr>
      </w:pPr>
    </w:p>
    <w:p w:rsidR="00DD351D" w:rsidRDefault="00DD351D" w:rsidP="00D6296A">
      <w:pPr>
        <w:pStyle w:val="Heading1"/>
        <w:rPr>
          <w:rFonts w:ascii="Arial" w:hAnsi="Arial" w:cs="Arial"/>
          <w:sz w:val="26"/>
          <w:szCs w:val="26"/>
          <w:u w:val="none"/>
        </w:rPr>
      </w:pPr>
    </w:p>
    <w:p w:rsidR="00D6296A" w:rsidRPr="00AB57B6" w:rsidRDefault="004C2708" w:rsidP="00D6296A">
      <w:pPr>
        <w:pStyle w:val="Heading1"/>
        <w:rPr>
          <w:rFonts w:ascii="Arial" w:hAnsi="Arial" w:cs="Arial"/>
          <w:sz w:val="26"/>
          <w:szCs w:val="26"/>
        </w:rPr>
      </w:pPr>
      <w:r w:rsidRPr="00AB57B6">
        <w:rPr>
          <w:rFonts w:ascii="Arial" w:hAnsi="Arial" w:cs="Arial"/>
          <w:sz w:val="26"/>
          <w:szCs w:val="26"/>
        </w:rPr>
        <w:t>C</w:t>
      </w:r>
      <w:r w:rsidR="00D6296A" w:rsidRPr="00AB57B6">
        <w:rPr>
          <w:rFonts w:ascii="Arial" w:hAnsi="Arial" w:cs="Arial"/>
          <w:sz w:val="26"/>
          <w:szCs w:val="26"/>
        </w:rPr>
        <w:t>urrent Period’s Audit Findings</w:t>
      </w:r>
    </w:p>
    <w:p w:rsidR="00D6296A" w:rsidRDefault="00D6296A" w:rsidP="00D6296A"/>
    <w:p w:rsidR="004F6FE1" w:rsidRDefault="004F6FE1" w:rsidP="00B2150D">
      <w:pPr>
        <w:tabs>
          <w:tab w:val="left" w:pos="360"/>
        </w:tabs>
        <w:ind w:left="1260" w:hanging="1260"/>
        <w:jc w:val="left"/>
        <w:rPr>
          <w:rFonts w:ascii="Arial" w:hAnsi="Arial" w:cs="Arial"/>
          <w:b/>
          <w:szCs w:val="24"/>
        </w:rPr>
      </w:pPr>
    </w:p>
    <w:p w:rsidR="002D4B13" w:rsidRDefault="002D4B13" w:rsidP="00541244">
      <w:pPr>
        <w:tabs>
          <w:tab w:val="left" w:pos="360"/>
        </w:tabs>
        <w:ind w:left="1170" w:hanging="1170"/>
        <w:jc w:val="left"/>
        <w:rPr>
          <w:rFonts w:ascii="Arial" w:hAnsi="Arial" w:cs="Arial"/>
          <w:b/>
          <w:szCs w:val="24"/>
        </w:rPr>
      </w:pPr>
      <w:r w:rsidRPr="0097236F">
        <w:rPr>
          <w:rFonts w:ascii="Arial" w:hAnsi="Arial" w:cs="Arial"/>
          <w:b/>
          <w:szCs w:val="24"/>
        </w:rPr>
        <w:t>Finding –</w:t>
      </w:r>
      <w:r>
        <w:rPr>
          <w:rFonts w:ascii="Arial" w:hAnsi="Arial" w:cs="Arial"/>
          <w:b/>
          <w:szCs w:val="24"/>
        </w:rPr>
        <w:t xml:space="preserve"> </w:t>
      </w:r>
      <w:r w:rsidRPr="00C57848">
        <w:rPr>
          <w:rFonts w:ascii="Arial" w:hAnsi="Arial" w:cs="Arial"/>
          <w:b/>
          <w:szCs w:val="24"/>
        </w:rPr>
        <w:t xml:space="preserve">The </w:t>
      </w:r>
      <w:r w:rsidR="00B2150D">
        <w:rPr>
          <w:rFonts w:ascii="Arial" w:hAnsi="Arial" w:cs="Arial"/>
          <w:b/>
          <w:szCs w:val="24"/>
        </w:rPr>
        <w:t>c</w:t>
      </w:r>
      <w:r w:rsidRPr="00C57848">
        <w:rPr>
          <w:rFonts w:ascii="Arial" w:hAnsi="Arial" w:cs="Arial"/>
          <w:b/>
          <w:szCs w:val="24"/>
        </w:rPr>
        <w:t xml:space="preserve">ompany </w:t>
      </w:r>
      <w:r>
        <w:rPr>
          <w:rFonts w:ascii="Arial" w:hAnsi="Arial" w:cs="Arial"/>
          <w:b/>
          <w:szCs w:val="24"/>
        </w:rPr>
        <w:t>o</w:t>
      </w:r>
      <w:r w:rsidRPr="00C57848">
        <w:rPr>
          <w:rFonts w:ascii="Arial" w:hAnsi="Arial" w:cs="Arial"/>
          <w:b/>
          <w:szCs w:val="24"/>
        </w:rPr>
        <w:t xml:space="preserve">verstated </w:t>
      </w:r>
      <w:r>
        <w:rPr>
          <w:rFonts w:ascii="Arial" w:hAnsi="Arial" w:cs="Arial"/>
          <w:b/>
          <w:szCs w:val="24"/>
        </w:rPr>
        <w:t xml:space="preserve">its </w:t>
      </w:r>
      <w:r w:rsidRPr="00C57848">
        <w:rPr>
          <w:rFonts w:ascii="Arial" w:hAnsi="Arial" w:cs="Arial"/>
          <w:b/>
          <w:szCs w:val="24"/>
        </w:rPr>
        <w:t xml:space="preserve">GSA Costs </w:t>
      </w:r>
      <w:r w:rsidR="00B2150D">
        <w:rPr>
          <w:rFonts w:ascii="Arial" w:hAnsi="Arial" w:cs="Arial"/>
          <w:b/>
          <w:szCs w:val="24"/>
        </w:rPr>
        <w:t>b</w:t>
      </w:r>
      <w:r w:rsidRPr="00C57848">
        <w:rPr>
          <w:rFonts w:ascii="Arial" w:hAnsi="Arial" w:cs="Arial"/>
          <w:b/>
          <w:szCs w:val="24"/>
        </w:rPr>
        <w:t>y $</w:t>
      </w:r>
      <w:r>
        <w:rPr>
          <w:rFonts w:ascii="Arial" w:hAnsi="Arial" w:cs="Arial"/>
          <w:b/>
          <w:szCs w:val="24"/>
        </w:rPr>
        <w:t>226,282</w:t>
      </w:r>
      <w:r w:rsidRPr="00C57848">
        <w:rPr>
          <w:rFonts w:ascii="Arial" w:hAnsi="Arial" w:cs="Arial"/>
          <w:b/>
          <w:szCs w:val="24"/>
        </w:rPr>
        <w:t xml:space="preserve"> for </w:t>
      </w:r>
      <w:r w:rsidR="002C7F1B">
        <w:rPr>
          <w:rFonts w:ascii="Arial" w:hAnsi="Arial" w:cs="Arial"/>
          <w:b/>
          <w:szCs w:val="24"/>
        </w:rPr>
        <w:t xml:space="preserve">the </w:t>
      </w:r>
      <w:r w:rsidR="00B2150D">
        <w:rPr>
          <w:rFonts w:ascii="Arial" w:hAnsi="Arial" w:cs="Arial"/>
          <w:b/>
          <w:szCs w:val="24"/>
        </w:rPr>
        <w:t>t</w:t>
      </w:r>
      <w:r w:rsidR="002C7F1B">
        <w:rPr>
          <w:rFonts w:ascii="Arial" w:hAnsi="Arial" w:cs="Arial"/>
          <w:b/>
          <w:szCs w:val="24"/>
        </w:rPr>
        <w:t xml:space="preserve">welve </w:t>
      </w:r>
      <w:r w:rsidR="00B2150D">
        <w:rPr>
          <w:rFonts w:ascii="Arial" w:hAnsi="Arial" w:cs="Arial"/>
          <w:b/>
          <w:szCs w:val="24"/>
        </w:rPr>
        <w:t>m</w:t>
      </w:r>
      <w:r w:rsidR="002C7F1B">
        <w:rPr>
          <w:rFonts w:ascii="Arial" w:hAnsi="Arial" w:cs="Arial"/>
          <w:b/>
          <w:szCs w:val="24"/>
        </w:rPr>
        <w:t>onths ended December 31, 2016.</w:t>
      </w:r>
    </w:p>
    <w:p w:rsidR="008B0569" w:rsidRDefault="008B0569" w:rsidP="002D4B13">
      <w:pPr>
        <w:tabs>
          <w:tab w:val="left" w:pos="360"/>
        </w:tabs>
        <w:ind w:left="1260" w:hanging="1260"/>
        <w:jc w:val="both"/>
        <w:rPr>
          <w:rFonts w:ascii="Arial" w:hAnsi="Arial" w:cs="Arial"/>
          <w:b/>
          <w:szCs w:val="24"/>
        </w:rPr>
      </w:pPr>
    </w:p>
    <w:p w:rsidR="005276FD" w:rsidRDefault="005276FD" w:rsidP="005276FD">
      <w:pPr>
        <w:ind w:firstLine="720"/>
        <w:jc w:val="left"/>
        <w:rPr>
          <w:rFonts w:ascii="Arial" w:hAnsi="Arial" w:cs="Arial"/>
          <w:szCs w:val="24"/>
        </w:rPr>
      </w:pPr>
      <w:r>
        <w:rPr>
          <w:rFonts w:ascii="Arial" w:hAnsi="Arial" w:cs="Arial"/>
          <w:szCs w:val="24"/>
        </w:rPr>
        <w:t>An amount applicable to record the transfer of AEC credits for $226,282 from a supplier to PECO’s AEC inventory was</w:t>
      </w:r>
      <w:r w:rsidR="0006750B">
        <w:rPr>
          <w:rFonts w:ascii="Arial" w:hAnsi="Arial" w:cs="Arial"/>
          <w:szCs w:val="24"/>
        </w:rPr>
        <w:t xml:space="preserve"> erroneously</w:t>
      </w:r>
      <w:r>
        <w:rPr>
          <w:rFonts w:ascii="Arial" w:hAnsi="Arial" w:cs="Arial"/>
          <w:szCs w:val="24"/>
        </w:rPr>
        <w:t xml:space="preserve"> included as a cost for recovery in the GSA </w:t>
      </w:r>
      <w:r w:rsidR="005857EA">
        <w:rPr>
          <w:rFonts w:ascii="Arial" w:hAnsi="Arial" w:cs="Arial"/>
          <w:szCs w:val="24"/>
        </w:rPr>
        <w:t>for</w:t>
      </w:r>
      <w:r>
        <w:rPr>
          <w:rFonts w:ascii="Arial" w:hAnsi="Arial" w:cs="Arial"/>
          <w:szCs w:val="24"/>
        </w:rPr>
        <w:t xml:space="preserve"> the month of September 2016. </w:t>
      </w:r>
      <w:r w:rsidR="005857EA">
        <w:rPr>
          <w:rFonts w:ascii="Arial" w:hAnsi="Arial" w:cs="Arial"/>
          <w:szCs w:val="24"/>
        </w:rPr>
        <w:t xml:space="preserve"> </w:t>
      </w:r>
      <w:r>
        <w:rPr>
          <w:rFonts w:ascii="Arial" w:hAnsi="Arial" w:cs="Arial"/>
          <w:szCs w:val="24"/>
        </w:rPr>
        <w:t xml:space="preserve">The amount should not have been included as a cost and should not have </w:t>
      </w:r>
      <w:r w:rsidR="006F1914">
        <w:rPr>
          <w:rFonts w:ascii="Arial" w:hAnsi="Arial" w:cs="Arial"/>
          <w:szCs w:val="24"/>
        </w:rPr>
        <w:t xml:space="preserve">been included in </w:t>
      </w:r>
      <w:r>
        <w:rPr>
          <w:rFonts w:ascii="Arial" w:hAnsi="Arial" w:cs="Arial"/>
          <w:szCs w:val="24"/>
        </w:rPr>
        <w:t>the GSA.</w:t>
      </w:r>
    </w:p>
    <w:p w:rsidR="002D4B13" w:rsidRDefault="002D4B13" w:rsidP="002D4B13">
      <w:pPr>
        <w:pStyle w:val="EndnoteText"/>
        <w:tabs>
          <w:tab w:val="left" w:pos="-1440"/>
          <w:tab w:val="left" w:pos="-720"/>
          <w:tab w:val="left" w:pos="450"/>
          <w:tab w:val="left" w:pos="720"/>
          <w:tab w:val="left" w:pos="990"/>
          <w:tab w:val="left" w:pos="1440"/>
        </w:tabs>
        <w:suppressAutoHyphens/>
        <w:ind w:left="1050"/>
        <w:jc w:val="left"/>
        <w:rPr>
          <w:rFonts w:ascii="Arial" w:hAnsi="Arial" w:cs="Arial"/>
          <w:szCs w:val="24"/>
          <w:lang w:val="en-US"/>
        </w:rPr>
      </w:pPr>
    </w:p>
    <w:p w:rsidR="002D4B13" w:rsidRPr="003B6278" w:rsidRDefault="002D4B13" w:rsidP="002D4B13">
      <w:pPr>
        <w:tabs>
          <w:tab w:val="left" w:pos="360"/>
        </w:tabs>
        <w:jc w:val="both"/>
        <w:rPr>
          <w:rFonts w:ascii="Arial" w:hAnsi="Arial" w:cs="Arial"/>
          <w:b/>
          <w:szCs w:val="24"/>
        </w:rPr>
      </w:pPr>
      <w:r w:rsidRPr="003B6278">
        <w:rPr>
          <w:rFonts w:ascii="Arial" w:hAnsi="Arial" w:cs="Arial"/>
          <w:b/>
          <w:szCs w:val="24"/>
        </w:rPr>
        <w:t>Recommendation:</w:t>
      </w:r>
    </w:p>
    <w:p w:rsidR="002D4B13" w:rsidRDefault="002D4B13" w:rsidP="002D4B13">
      <w:pPr>
        <w:tabs>
          <w:tab w:val="left" w:pos="360"/>
        </w:tabs>
        <w:jc w:val="left"/>
        <w:rPr>
          <w:rFonts w:ascii="Arial" w:hAnsi="Arial" w:cs="Arial"/>
          <w:b/>
          <w:szCs w:val="24"/>
          <w:u w:val="single"/>
        </w:rPr>
      </w:pPr>
    </w:p>
    <w:p w:rsidR="005276FD" w:rsidRDefault="002D4B13" w:rsidP="005276FD">
      <w:pPr>
        <w:tabs>
          <w:tab w:val="center" w:pos="4680"/>
        </w:tabs>
        <w:suppressAutoHyphens/>
        <w:ind w:firstLine="720"/>
        <w:jc w:val="left"/>
        <w:rPr>
          <w:rFonts w:ascii="Arial" w:hAnsi="Arial" w:cs="Arial"/>
          <w:b/>
          <w:szCs w:val="24"/>
          <w:u w:val="single"/>
        </w:rPr>
      </w:pPr>
      <w:r>
        <w:rPr>
          <w:rFonts w:ascii="Arial" w:hAnsi="Arial" w:cs="Arial"/>
          <w:szCs w:val="24"/>
        </w:rPr>
        <w:tab/>
      </w:r>
      <w:r w:rsidR="005276FD">
        <w:rPr>
          <w:rFonts w:ascii="Arial" w:hAnsi="Arial" w:cs="Arial"/>
          <w:szCs w:val="24"/>
        </w:rPr>
        <w:t xml:space="preserve">The </w:t>
      </w:r>
      <w:r w:rsidR="00664FC7">
        <w:rPr>
          <w:rFonts w:ascii="Arial" w:hAnsi="Arial" w:cs="Arial"/>
          <w:szCs w:val="24"/>
        </w:rPr>
        <w:t>auditors</w:t>
      </w:r>
      <w:r w:rsidR="005276FD">
        <w:rPr>
          <w:rFonts w:ascii="Arial" w:hAnsi="Arial" w:cs="Arial"/>
          <w:szCs w:val="24"/>
        </w:rPr>
        <w:t xml:space="preserve"> recommend that PECO r</w:t>
      </w:r>
      <w:r w:rsidR="005276FD" w:rsidRPr="00611743">
        <w:rPr>
          <w:rFonts w:ascii="Arial" w:hAnsi="Arial" w:cs="Arial"/>
          <w:szCs w:val="24"/>
        </w:rPr>
        <w:t>efund $</w:t>
      </w:r>
      <w:r w:rsidR="005276FD">
        <w:rPr>
          <w:rFonts w:ascii="Arial" w:hAnsi="Arial" w:cs="Arial"/>
          <w:szCs w:val="24"/>
        </w:rPr>
        <w:t>226</w:t>
      </w:r>
      <w:r w:rsidR="005276FD" w:rsidRPr="00611743">
        <w:rPr>
          <w:rFonts w:ascii="Arial" w:hAnsi="Arial" w:cs="Arial"/>
          <w:szCs w:val="24"/>
        </w:rPr>
        <w:t>,</w:t>
      </w:r>
      <w:r w:rsidR="005276FD" w:rsidRPr="003E5C24">
        <w:rPr>
          <w:rFonts w:ascii="Arial" w:hAnsi="Arial" w:cs="Arial"/>
          <w:szCs w:val="24"/>
        </w:rPr>
        <w:t>282</w:t>
      </w:r>
      <w:r w:rsidR="00750122">
        <w:rPr>
          <w:rFonts w:ascii="Arial" w:hAnsi="Arial" w:cs="Arial"/>
          <w:szCs w:val="24"/>
        </w:rPr>
        <w:t xml:space="preserve">, </w:t>
      </w:r>
      <w:r w:rsidR="005276FD">
        <w:rPr>
          <w:rFonts w:ascii="Arial" w:hAnsi="Arial" w:cs="Arial"/>
          <w:szCs w:val="24"/>
        </w:rPr>
        <w:t>plus applicable interest</w:t>
      </w:r>
      <w:r w:rsidR="00750122">
        <w:rPr>
          <w:rFonts w:ascii="Arial" w:hAnsi="Arial" w:cs="Arial"/>
          <w:szCs w:val="24"/>
        </w:rPr>
        <w:t>,</w:t>
      </w:r>
      <w:r w:rsidR="005276FD" w:rsidRPr="00611743">
        <w:rPr>
          <w:rFonts w:ascii="Arial" w:hAnsi="Arial" w:cs="Arial"/>
          <w:szCs w:val="24"/>
        </w:rPr>
        <w:t xml:space="preserve"> to its customers by making an adjustment to the E-Factor </w:t>
      </w:r>
      <w:r w:rsidR="005276FD">
        <w:rPr>
          <w:rFonts w:ascii="Arial" w:hAnsi="Arial" w:cs="Arial"/>
          <w:szCs w:val="24"/>
        </w:rPr>
        <w:t>component</w:t>
      </w:r>
      <w:r w:rsidR="005276FD" w:rsidRPr="00611743">
        <w:rPr>
          <w:rFonts w:ascii="Arial" w:hAnsi="Arial" w:cs="Arial"/>
          <w:szCs w:val="24"/>
        </w:rPr>
        <w:t xml:space="preserve"> in its next GSA filing.</w:t>
      </w:r>
      <w:r w:rsidR="005276FD">
        <w:rPr>
          <w:rFonts w:ascii="Arial" w:hAnsi="Arial" w:cs="Arial"/>
          <w:szCs w:val="24"/>
        </w:rPr>
        <w:t xml:space="preserve">  In addition, the Company should review or implement procedures for determining the applicable costs for inclusion in the GSA.</w:t>
      </w:r>
    </w:p>
    <w:p w:rsidR="002D4B13" w:rsidRDefault="002D4B13" w:rsidP="005276FD">
      <w:pPr>
        <w:tabs>
          <w:tab w:val="left" w:pos="450"/>
          <w:tab w:val="left" w:pos="1080"/>
          <w:tab w:val="left" w:pos="1620"/>
        </w:tabs>
        <w:jc w:val="left"/>
        <w:rPr>
          <w:rFonts w:ascii="Arial" w:hAnsi="Arial" w:cs="Arial"/>
          <w:b/>
          <w:szCs w:val="24"/>
          <w:u w:val="single"/>
        </w:rPr>
      </w:pPr>
    </w:p>
    <w:p w:rsidR="002D4B13" w:rsidRPr="00B25512" w:rsidRDefault="002D4B13" w:rsidP="002D4B13">
      <w:pPr>
        <w:tabs>
          <w:tab w:val="left" w:pos="-1440"/>
          <w:tab w:val="left" w:pos="-720"/>
          <w:tab w:val="left" w:pos="864"/>
          <w:tab w:val="decimal" w:pos="6192"/>
          <w:tab w:val="decimal" w:pos="7344"/>
        </w:tabs>
        <w:suppressAutoHyphens/>
        <w:jc w:val="left"/>
        <w:rPr>
          <w:rFonts w:ascii="Arial" w:hAnsi="Arial" w:cs="Arial"/>
          <w:b/>
        </w:rPr>
      </w:pPr>
      <w:r w:rsidRPr="00B25512">
        <w:rPr>
          <w:rFonts w:ascii="Arial" w:hAnsi="Arial" w:cs="Arial"/>
          <w:b/>
        </w:rPr>
        <w:t>Disposition</w:t>
      </w:r>
      <w:r>
        <w:rPr>
          <w:rFonts w:ascii="Arial" w:hAnsi="Arial" w:cs="Arial"/>
          <w:b/>
        </w:rPr>
        <w:t>:</w:t>
      </w:r>
    </w:p>
    <w:p w:rsidR="002D4B13" w:rsidRDefault="002D4B13" w:rsidP="002D4B13">
      <w:pPr>
        <w:tabs>
          <w:tab w:val="left" w:pos="360"/>
        </w:tabs>
        <w:jc w:val="both"/>
        <w:rPr>
          <w:rFonts w:ascii="Arial" w:hAnsi="Arial" w:cs="Arial"/>
          <w:b/>
          <w:szCs w:val="24"/>
          <w:u w:val="single"/>
        </w:rPr>
      </w:pPr>
    </w:p>
    <w:p w:rsidR="005276FD" w:rsidRPr="00DC67C4" w:rsidRDefault="005276FD" w:rsidP="005276FD">
      <w:pPr>
        <w:ind w:firstLine="720"/>
        <w:jc w:val="left"/>
        <w:rPr>
          <w:rFonts w:ascii="Arial" w:hAnsi="Arial" w:cs="Arial"/>
          <w:szCs w:val="24"/>
        </w:rPr>
      </w:pPr>
      <w:r>
        <w:rPr>
          <w:rFonts w:ascii="Arial" w:hAnsi="Arial" w:cs="Arial"/>
          <w:szCs w:val="24"/>
        </w:rPr>
        <w:t>The Company agrees with the recommendation and indicated that an adjustment of $226,</w:t>
      </w:r>
      <w:r w:rsidRPr="003E5C24">
        <w:rPr>
          <w:rFonts w:ascii="Arial" w:hAnsi="Arial" w:cs="Arial"/>
          <w:szCs w:val="24"/>
        </w:rPr>
        <w:t>282</w:t>
      </w:r>
      <w:r>
        <w:rPr>
          <w:rFonts w:ascii="Arial" w:hAnsi="Arial" w:cs="Arial"/>
          <w:szCs w:val="24"/>
        </w:rPr>
        <w:t xml:space="preserve"> with applicable interest will be made to the E-Factor component in </w:t>
      </w:r>
      <w:r w:rsidR="00DC67C4">
        <w:rPr>
          <w:rFonts w:ascii="Arial" w:hAnsi="Arial" w:cs="Arial"/>
          <w:szCs w:val="24"/>
        </w:rPr>
        <w:t xml:space="preserve">a subsequent </w:t>
      </w:r>
      <w:r>
        <w:rPr>
          <w:rFonts w:ascii="Arial" w:hAnsi="Arial" w:cs="Arial"/>
          <w:szCs w:val="24"/>
        </w:rPr>
        <w:t>GSA filing</w:t>
      </w:r>
      <w:r w:rsidRPr="00DC67C4">
        <w:rPr>
          <w:rFonts w:ascii="Arial" w:hAnsi="Arial" w:cs="Arial"/>
          <w:szCs w:val="24"/>
        </w:rPr>
        <w:t>.</w:t>
      </w:r>
      <w:r w:rsidR="00C634E4" w:rsidRPr="00DC67C4">
        <w:rPr>
          <w:rFonts w:ascii="Arial" w:hAnsi="Arial" w:cs="Arial"/>
          <w:szCs w:val="24"/>
        </w:rPr>
        <w:t xml:space="preserve">  PECO also </w:t>
      </w:r>
      <w:r w:rsidR="00DC67C4" w:rsidRPr="00DC67C4">
        <w:rPr>
          <w:rFonts w:ascii="Arial" w:hAnsi="Arial" w:cs="Arial"/>
          <w:szCs w:val="24"/>
        </w:rPr>
        <w:t>indicated</w:t>
      </w:r>
      <w:r w:rsidR="00C634E4" w:rsidRPr="00DC67C4">
        <w:rPr>
          <w:rFonts w:ascii="Arial" w:hAnsi="Arial" w:cs="Arial"/>
          <w:szCs w:val="24"/>
        </w:rPr>
        <w:t xml:space="preserve"> that its controller group has implemented additional control procedures to prevent future occurrences.</w:t>
      </w:r>
    </w:p>
    <w:p w:rsidR="003756BF" w:rsidRDefault="003756BF" w:rsidP="005276FD">
      <w:pPr>
        <w:ind w:firstLine="720"/>
        <w:jc w:val="left"/>
        <w:rPr>
          <w:rFonts w:ascii="Arial" w:hAnsi="Arial" w:cs="Arial"/>
          <w:szCs w:val="24"/>
        </w:rPr>
        <w:sectPr w:rsidR="003756BF" w:rsidSect="00D426BF">
          <w:headerReference w:type="even" r:id="rId37"/>
          <w:headerReference w:type="default" r:id="rId38"/>
          <w:footerReference w:type="default" r:id="rId39"/>
          <w:headerReference w:type="first" r:id="rId40"/>
          <w:endnotePr>
            <w:numFmt w:val="decimal"/>
          </w:endnotePr>
          <w:pgSz w:w="12240" w:h="15840" w:code="1"/>
          <w:pgMar w:top="1440" w:right="1440" w:bottom="1152" w:left="1440" w:header="720" w:footer="720" w:gutter="0"/>
          <w:pgNumType w:fmt="numberInDash" w:start="7"/>
          <w:cols w:space="720"/>
          <w:noEndnote/>
          <w:docGrid w:linePitch="326"/>
        </w:sectPr>
      </w:pPr>
    </w:p>
    <w:p w:rsidR="005D711E" w:rsidRPr="0077381F" w:rsidRDefault="007603E9" w:rsidP="00804B60">
      <w:pPr>
        <w:pStyle w:val="Heading1"/>
        <w:tabs>
          <w:tab w:val="clear" w:pos="4680"/>
          <w:tab w:val="left" w:pos="360"/>
        </w:tabs>
        <w:rPr>
          <w:rFonts w:ascii="Arial" w:hAnsi="Arial" w:cs="Arial"/>
          <w:b w:val="0"/>
          <w:sz w:val="26"/>
          <w:szCs w:val="26"/>
          <w:u w:val="none"/>
        </w:rPr>
      </w:pPr>
      <w:r w:rsidRPr="0077381F">
        <w:rPr>
          <w:rFonts w:ascii="Arial" w:hAnsi="Arial" w:cs="Arial"/>
          <w:sz w:val="26"/>
          <w:szCs w:val="26"/>
          <w:u w:val="none"/>
        </w:rPr>
        <w:lastRenderedPageBreak/>
        <w:t>A</w:t>
      </w:r>
      <w:r w:rsidR="009B1E56" w:rsidRPr="0077381F">
        <w:rPr>
          <w:rFonts w:ascii="Arial" w:hAnsi="Arial" w:cs="Arial"/>
          <w:sz w:val="26"/>
          <w:szCs w:val="26"/>
          <w:u w:val="none"/>
        </w:rPr>
        <w:t>cknowledgement</w:t>
      </w:r>
    </w:p>
    <w:p w:rsidR="007603E9" w:rsidRPr="008E7086" w:rsidRDefault="007603E9" w:rsidP="00905409">
      <w:pPr>
        <w:rPr>
          <w:rFonts w:ascii="Arial" w:hAnsi="Arial" w:cs="Arial"/>
          <w:b/>
          <w:szCs w:val="24"/>
          <w:u w:val="single"/>
        </w:rPr>
      </w:pPr>
    </w:p>
    <w:p w:rsidR="003612E7" w:rsidRPr="008E7086" w:rsidRDefault="003612E7" w:rsidP="00905409">
      <w:pPr>
        <w:rPr>
          <w:rFonts w:ascii="Arial" w:hAnsi="Arial" w:cs="Arial"/>
          <w:b/>
          <w:szCs w:val="24"/>
          <w:u w:val="single"/>
        </w:rPr>
      </w:pPr>
    </w:p>
    <w:p w:rsidR="00D21BB1" w:rsidRPr="007A206B" w:rsidRDefault="007603E9" w:rsidP="008B0569">
      <w:pPr>
        <w:jc w:val="left"/>
        <w:rPr>
          <w:rFonts w:ascii="Arial" w:hAnsi="Arial" w:cs="Arial"/>
          <w:szCs w:val="24"/>
        </w:rPr>
      </w:pPr>
      <w:r w:rsidRPr="008E7086">
        <w:rPr>
          <w:rFonts w:ascii="Arial" w:hAnsi="Arial" w:cs="Arial"/>
          <w:szCs w:val="24"/>
        </w:rPr>
        <w:tab/>
        <w:t xml:space="preserve">We wish to express our appreciation to the officers and staff of </w:t>
      </w:r>
      <w:r w:rsidR="00425941" w:rsidRPr="008E7086">
        <w:rPr>
          <w:rFonts w:ascii="Arial" w:hAnsi="Arial" w:cs="Arial"/>
          <w:szCs w:val="24"/>
        </w:rPr>
        <w:t>PECO E</w:t>
      </w:r>
      <w:r w:rsidR="00F554E3" w:rsidRPr="008E7086">
        <w:rPr>
          <w:rFonts w:ascii="Arial" w:hAnsi="Arial" w:cs="Arial"/>
          <w:szCs w:val="24"/>
        </w:rPr>
        <w:t>nergy</w:t>
      </w:r>
      <w:r w:rsidR="00425941" w:rsidRPr="008E7086">
        <w:rPr>
          <w:rFonts w:ascii="Arial" w:hAnsi="Arial" w:cs="Arial"/>
          <w:szCs w:val="24"/>
        </w:rPr>
        <w:t xml:space="preserve"> C</w:t>
      </w:r>
      <w:r w:rsidR="00F554E3" w:rsidRPr="008E7086">
        <w:rPr>
          <w:rFonts w:ascii="Arial" w:hAnsi="Arial" w:cs="Arial"/>
          <w:szCs w:val="24"/>
        </w:rPr>
        <w:t>ompany</w:t>
      </w:r>
      <w:r w:rsidRPr="008E7086">
        <w:rPr>
          <w:rFonts w:ascii="Arial" w:hAnsi="Arial" w:cs="Arial"/>
          <w:szCs w:val="24"/>
        </w:rPr>
        <w:t xml:space="preserve"> for the</w:t>
      </w:r>
      <w:r w:rsidR="00374DA5">
        <w:rPr>
          <w:rFonts w:ascii="Arial" w:hAnsi="Arial" w:cs="Arial"/>
          <w:szCs w:val="24"/>
        </w:rPr>
        <w:t>ir</w:t>
      </w:r>
      <w:r w:rsidRPr="008E7086">
        <w:rPr>
          <w:rFonts w:ascii="Arial" w:hAnsi="Arial" w:cs="Arial"/>
          <w:szCs w:val="24"/>
        </w:rPr>
        <w:t xml:space="preserve"> cooperation and assistance</w:t>
      </w:r>
      <w:r w:rsidR="001D24DD">
        <w:rPr>
          <w:rFonts w:ascii="Arial" w:hAnsi="Arial" w:cs="Arial"/>
          <w:szCs w:val="24"/>
        </w:rPr>
        <w:t>.</w:t>
      </w:r>
      <w:r w:rsidRPr="008E7086">
        <w:rPr>
          <w:rFonts w:ascii="Arial" w:hAnsi="Arial" w:cs="Arial"/>
          <w:szCs w:val="24"/>
        </w:rPr>
        <w:t xml:space="preserve"> </w:t>
      </w:r>
      <w:r w:rsidR="00C33C4F">
        <w:rPr>
          <w:rFonts w:ascii="Arial" w:hAnsi="Arial" w:cs="Arial"/>
          <w:szCs w:val="24"/>
        </w:rPr>
        <w:t xml:space="preserve"> </w:t>
      </w:r>
      <w:r w:rsidR="00C208DE" w:rsidRPr="008E7086">
        <w:rPr>
          <w:rFonts w:ascii="Arial" w:hAnsi="Arial" w:cs="Arial"/>
          <w:szCs w:val="24"/>
        </w:rPr>
        <w:t>The audit was conducted by</w:t>
      </w:r>
      <w:r w:rsidR="00C11B72">
        <w:rPr>
          <w:rFonts w:ascii="Arial" w:hAnsi="Arial" w:cs="Arial"/>
          <w:szCs w:val="24"/>
        </w:rPr>
        <w:t xml:space="preserve"> Katrina S. Johnson</w:t>
      </w:r>
      <w:r w:rsidR="003B7861" w:rsidRPr="008E7086">
        <w:rPr>
          <w:rFonts w:ascii="Arial" w:hAnsi="Arial" w:cs="Arial"/>
          <w:szCs w:val="24"/>
        </w:rPr>
        <w:t>, assisted</w:t>
      </w:r>
      <w:r w:rsidR="00C208DE" w:rsidRPr="008E7086">
        <w:rPr>
          <w:rFonts w:ascii="Arial" w:hAnsi="Arial" w:cs="Arial"/>
          <w:szCs w:val="24"/>
        </w:rPr>
        <w:t xml:space="preserve"> by</w:t>
      </w:r>
      <w:r w:rsidR="003E644B" w:rsidRPr="008E7086">
        <w:rPr>
          <w:rFonts w:ascii="Arial" w:hAnsi="Arial" w:cs="Arial"/>
          <w:szCs w:val="24"/>
        </w:rPr>
        <w:t xml:space="preserve"> </w:t>
      </w:r>
      <w:r w:rsidR="00C11B72">
        <w:rPr>
          <w:rFonts w:ascii="Arial" w:hAnsi="Arial" w:cs="Arial"/>
          <w:szCs w:val="24"/>
        </w:rPr>
        <w:t>Gerville J</w:t>
      </w:r>
      <w:r w:rsidR="00C11B72" w:rsidRPr="008E7086">
        <w:rPr>
          <w:rFonts w:ascii="Arial" w:hAnsi="Arial" w:cs="Arial"/>
          <w:szCs w:val="24"/>
        </w:rPr>
        <w:t>.</w:t>
      </w:r>
      <w:r w:rsidR="00C11B72">
        <w:rPr>
          <w:rFonts w:ascii="Arial" w:hAnsi="Arial" w:cs="Arial"/>
          <w:szCs w:val="24"/>
        </w:rPr>
        <w:t xml:space="preserve"> Brown.</w:t>
      </w:r>
    </w:p>
    <w:sectPr w:rsidR="00D21BB1" w:rsidRPr="007A206B" w:rsidSect="00F56417">
      <w:headerReference w:type="even" r:id="rId41"/>
      <w:headerReference w:type="default" r:id="rId42"/>
      <w:footerReference w:type="default" r:id="rId43"/>
      <w:headerReference w:type="first" r:id="rId44"/>
      <w:endnotePr>
        <w:numFmt w:val="decimal"/>
      </w:endnotePr>
      <w:pgSz w:w="12240" w:h="15840" w:code="1"/>
      <w:pgMar w:top="1440" w:right="1440" w:bottom="1152" w:left="1440" w:header="720" w:footer="720" w:gutter="0"/>
      <w:pgNumType w:fmt="numberInDash" w:start="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670" w:rsidRDefault="00273670">
      <w:r>
        <w:separator/>
      </w:r>
    </w:p>
  </w:endnote>
  <w:endnote w:type="continuationSeparator" w:id="0">
    <w:p w:rsidR="00273670" w:rsidRDefault="0027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46B1" w:rsidRDefault="007346B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545040"/>
      <w:docPartObj>
        <w:docPartGallery w:val="Page Numbers (Bottom of Page)"/>
        <w:docPartUnique/>
      </w:docPartObj>
    </w:sdtPr>
    <w:sdtEndPr>
      <w:rPr>
        <w:rFonts w:ascii="Arial" w:hAnsi="Arial" w:cs="Arial"/>
        <w:noProof/>
      </w:rPr>
    </w:sdtEndPr>
    <w:sdtContent>
      <w:p w:rsidR="007346B1" w:rsidRPr="00D846A6" w:rsidRDefault="007346B1" w:rsidP="00D846A6">
        <w:pPr>
          <w:pStyle w:val="Footer"/>
          <w:rPr>
            <w:rFonts w:ascii="Arial" w:hAnsi="Arial" w:cs="Arial"/>
          </w:rPr>
        </w:pPr>
        <w:r w:rsidRPr="00572C4C">
          <w:rPr>
            <w:rFonts w:ascii="Arial" w:hAnsi="Arial" w:cs="Arial"/>
          </w:rPr>
          <w:fldChar w:fldCharType="begin"/>
        </w:r>
        <w:r w:rsidRPr="00572C4C">
          <w:rPr>
            <w:rFonts w:ascii="Arial" w:hAnsi="Arial" w:cs="Arial"/>
          </w:rPr>
          <w:instrText xml:space="preserve"> PAGE   \* MERGEFORMAT </w:instrText>
        </w:r>
        <w:r w:rsidRPr="00572C4C">
          <w:rPr>
            <w:rFonts w:ascii="Arial" w:hAnsi="Arial" w:cs="Arial"/>
          </w:rPr>
          <w:fldChar w:fldCharType="separate"/>
        </w:r>
        <w:r w:rsidR="006C2700">
          <w:rPr>
            <w:rFonts w:ascii="Arial" w:hAnsi="Arial" w:cs="Arial"/>
            <w:noProof/>
          </w:rPr>
          <w:t>- 8 -</w:t>
        </w:r>
        <w:r w:rsidRPr="00572C4C">
          <w:rPr>
            <w:rFonts w:ascii="Arial" w:hAnsi="Arial" w:cs="Arial"/>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649516"/>
      <w:docPartObj>
        <w:docPartGallery w:val="Page Numbers (Bottom of Page)"/>
        <w:docPartUnique/>
      </w:docPartObj>
    </w:sdtPr>
    <w:sdtEndPr>
      <w:rPr>
        <w:rFonts w:ascii="Arial" w:hAnsi="Arial" w:cs="Arial"/>
        <w:noProof/>
      </w:rPr>
    </w:sdtEndPr>
    <w:sdtContent>
      <w:p w:rsidR="00F56417" w:rsidRPr="00D846A6" w:rsidRDefault="00F56417" w:rsidP="00D846A6">
        <w:pPr>
          <w:pStyle w:val="Footer"/>
          <w:rPr>
            <w:rFonts w:ascii="Arial" w:hAnsi="Arial" w:cs="Arial"/>
          </w:rPr>
        </w:pPr>
        <w:r w:rsidRPr="00572C4C">
          <w:rPr>
            <w:rFonts w:ascii="Arial" w:hAnsi="Arial" w:cs="Arial"/>
          </w:rPr>
          <w:fldChar w:fldCharType="begin"/>
        </w:r>
        <w:r w:rsidRPr="00572C4C">
          <w:rPr>
            <w:rFonts w:ascii="Arial" w:hAnsi="Arial" w:cs="Arial"/>
          </w:rPr>
          <w:instrText xml:space="preserve"> PAGE   \* MERGEFORMAT </w:instrText>
        </w:r>
        <w:r w:rsidRPr="00572C4C">
          <w:rPr>
            <w:rFonts w:ascii="Arial" w:hAnsi="Arial" w:cs="Arial"/>
          </w:rPr>
          <w:fldChar w:fldCharType="separate"/>
        </w:r>
        <w:r>
          <w:rPr>
            <w:rFonts w:ascii="Arial" w:hAnsi="Arial" w:cs="Arial"/>
            <w:noProof/>
          </w:rPr>
          <w:t>- 8 -</w:t>
        </w:r>
        <w:r w:rsidRPr="00572C4C">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483742"/>
      <w:docPartObj>
        <w:docPartGallery w:val="Page Numbers (Bottom of Page)"/>
        <w:docPartUnique/>
      </w:docPartObj>
    </w:sdtPr>
    <w:sdtEndPr>
      <w:rPr>
        <w:rFonts w:ascii="Arial" w:hAnsi="Arial" w:cs="Arial"/>
        <w:noProof/>
      </w:rPr>
    </w:sdtEndPr>
    <w:sdtContent>
      <w:p w:rsidR="00D426BF" w:rsidRDefault="00D426BF">
        <w:pPr>
          <w:pStyle w:val="Footer"/>
        </w:pPr>
        <w:r w:rsidRPr="00982154">
          <w:rPr>
            <w:rFonts w:ascii="Arial" w:hAnsi="Arial" w:cs="Arial"/>
          </w:rPr>
          <w:fldChar w:fldCharType="begin"/>
        </w:r>
        <w:r w:rsidRPr="00982154">
          <w:rPr>
            <w:rFonts w:ascii="Arial" w:hAnsi="Arial" w:cs="Arial"/>
          </w:rPr>
          <w:instrText xml:space="preserve"> PAGE   \* MERGEFORMAT </w:instrText>
        </w:r>
        <w:r w:rsidRPr="00982154">
          <w:rPr>
            <w:rFonts w:ascii="Arial" w:hAnsi="Arial" w:cs="Arial"/>
          </w:rPr>
          <w:fldChar w:fldCharType="separate"/>
        </w:r>
        <w:r w:rsidRPr="00982154">
          <w:rPr>
            <w:rFonts w:ascii="Arial" w:hAnsi="Arial" w:cs="Arial"/>
            <w:noProof/>
          </w:rPr>
          <w:t>2</w:t>
        </w:r>
        <w:r w:rsidRPr="00982154">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6BF" w:rsidRPr="00D426BF" w:rsidRDefault="00D426BF">
    <w:pPr>
      <w:pStyle w:val="Footer"/>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649061"/>
      <w:docPartObj>
        <w:docPartGallery w:val="Page Numbers (Bottom of Page)"/>
        <w:docPartUnique/>
      </w:docPartObj>
    </w:sdtPr>
    <w:sdtEndPr>
      <w:rPr>
        <w:noProof/>
      </w:rPr>
    </w:sdtEndPr>
    <w:sdtContent>
      <w:p w:rsidR="00F56417" w:rsidRDefault="00F56417">
        <w:pPr>
          <w:pStyle w:val="Footer"/>
        </w:pPr>
        <w:r w:rsidRPr="00F56417">
          <w:rPr>
            <w:rFonts w:ascii="Arial" w:hAnsi="Arial" w:cs="Arial"/>
          </w:rPr>
          <w:fldChar w:fldCharType="begin"/>
        </w:r>
        <w:r w:rsidRPr="00F56417">
          <w:rPr>
            <w:rFonts w:ascii="Arial" w:hAnsi="Arial" w:cs="Arial"/>
          </w:rPr>
          <w:instrText xml:space="preserve"> PAGE   \* MERGEFORMAT </w:instrText>
        </w:r>
        <w:r w:rsidRPr="00F56417">
          <w:rPr>
            <w:rFonts w:ascii="Arial" w:hAnsi="Arial" w:cs="Arial"/>
          </w:rPr>
          <w:fldChar w:fldCharType="separate"/>
        </w:r>
        <w:r w:rsidRPr="00F56417">
          <w:rPr>
            <w:rFonts w:ascii="Arial" w:hAnsi="Arial" w:cs="Arial"/>
            <w:noProof/>
          </w:rPr>
          <w:t>2</w:t>
        </w:r>
        <w:r w:rsidRPr="00F56417">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980203"/>
      <w:docPartObj>
        <w:docPartGallery w:val="Page Numbers (Bottom of Page)"/>
        <w:docPartUnique/>
      </w:docPartObj>
    </w:sdtPr>
    <w:sdtEndPr>
      <w:rPr>
        <w:rFonts w:ascii="Arial" w:hAnsi="Arial" w:cs="Arial"/>
        <w:noProof/>
      </w:rPr>
    </w:sdtEndPr>
    <w:sdtContent>
      <w:p w:rsidR="007346B1" w:rsidRPr="00E46475" w:rsidRDefault="007346B1" w:rsidP="007D7C40">
        <w:pPr>
          <w:pStyle w:val="Footer"/>
          <w:rPr>
            <w:rFonts w:ascii="Arial" w:hAnsi="Arial" w:cs="Arial"/>
          </w:rPr>
        </w:pPr>
        <w:r w:rsidRPr="00DF71F5">
          <w:rPr>
            <w:rFonts w:ascii="Arial" w:hAnsi="Arial" w:cs="Arial"/>
          </w:rPr>
          <w:fldChar w:fldCharType="begin"/>
        </w:r>
        <w:r w:rsidRPr="00DF71F5">
          <w:rPr>
            <w:rFonts w:ascii="Arial" w:hAnsi="Arial" w:cs="Arial"/>
          </w:rPr>
          <w:instrText xml:space="preserve"> PAGE   \* MERGEFORMAT </w:instrText>
        </w:r>
        <w:r w:rsidRPr="00DF71F5">
          <w:rPr>
            <w:rFonts w:ascii="Arial" w:hAnsi="Arial" w:cs="Arial"/>
          </w:rPr>
          <w:fldChar w:fldCharType="separate"/>
        </w:r>
        <w:r w:rsidR="006C2700">
          <w:rPr>
            <w:rFonts w:ascii="Arial" w:hAnsi="Arial" w:cs="Arial"/>
            <w:noProof/>
          </w:rPr>
          <w:t>- 1 -</w:t>
        </w:r>
        <w:r w:rsidRPr="00DF71F5">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584531"/>
      <w:docPartObj>
        <w:docPartGallery w:val="Page Numbers (Bottom of Page)"/>
        <w:docPartUnique/>
      </w:docPartObj>
    </w:sdtPr>
    <w:sdtEndPr>
      <w:rPr>
        <w:rFonts w:ascii="Arial" w:hAnsi="Arial" w:cs="Arial"/>
        <w:noProof/>
      </w:rPr>
    </w:sdtEndPr>
    <w:sdtContent>
      <w:p w:rsidR="007346B1" w:rsidRPr="00A4705A" w:rsidRDefault="007346B1" w:rsidP="00A4705A">
        <w:pPr>
          <w:pStyle w:val="Footer"/>
          <w:rPr>
            <w:rFonts w:ascii="Arial" w:hAnsi="Arial" w:cs="Arial"/>
          </w:rPr>
        </w:pPr>
        <w:r w:rsidRPr="00A4705A">
          <w:rPr>
            <w:rFonts w:ascii="Arial" w:hAnsi="Arial" w:cs="Arial"/>
          </w:rPr>
          <w:fldChar w:fldCharType="begin"/>
        </w:r>
        <w:r w:rsidRPr="00A4705A">
          <w:rPr>
            <w:rFonts w:ascii="Arial" w:hAnsi="Arial" w:cs="Arial"/>
          </w:rPr>
          <w:instrText xml:space="preserve"> PAGE   \* MERGEFORMAT </w:instrText>
        </w:r>
        <w:r w:rsidRPr="00A4705A">
          <w:rPr>
            <w:rFonts w:ascii="Arial" w:hAnsi="Arial" w:cs="Arial"/>
          </w:rPr>
          <w:fldChar w:fldCharType="separate"/>
        </w:r>
        <w:r w:rsidR="006C2700">
          <w:rPr>
            <w:rFonts w:ascii="Arial" w:hAnsi="Arial" w:cs="Arial"/>
            <w:noProof/>
          </w:rPr>
          <w:t>- 2 -</w:t>
        </w:r>
        <w:r w:rsidRPr="00A4705A">
          <w:rPr>
            <w:rFonts w:ascii="Arial" w:hAnsi="Arial"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621347"/>
      <w:docPartObj>
        <w:docPartGallery w:val="Page Numbers (Bottom of Page)"/>
        <w:docPartUnique/>
      </w:docPartObj>
    </w:sdtPr>
    <w:sdtEndPr>
      <w:rPr>
        <w:rFonts w:ascii="Arial" w:hAnsi="Arial" w:cs="Arial"/>
        <w:noProof/>
      </w:rPr>
    </w:sdtEndPr>
    <w:sdtContent>
      <w:p w:rsidR="00D426BF" w:rsidRPr="00D426BF" w:rsidRDefault="00D426BF">
        <w:pPr>
          <w:pStyle w:val="Footer"/>
          <w:rPr>
            <w:rFonts w:ascii="Arial" w:hAnsi="Arial" w:cs="Arial"/>
          </w:rPr>
        </w:pPr>
        <w:r w:rsidRPr="00D426BF">
          <w:rPr>
            <w:rFonts w:ascii="Arial" w:hAnsi="Arial" w:cs="Arial"/>
          </w:rPr>
          <w:fldChar w:fldCharType="begin"/>
        </w:r>
        <w:r w:rsidRPr="00D426BF">
          <w:rPr>
            <w:rFonts w:ascii="Arial" w:hAnsi="Arial" w:cs="Arial"/>
          </w:rPr>
          <w:instrText xml:space="preserve"> PAGE   \* MERGEFORMAT </w:instrText>
        </w:r>
        <w:r w:rsidRPr="00D426BF">
          <w:rPr>
            <w:rFonts w:ascii="Arial" w:hAnsi="Arial" w:cs="Arial"/>
          </w:rPr>
          <w:fldChar w:fldCharType="separate"/>
        </w:r>
        <w:r w:rsidRPr="00D426BF">
          <w:rPr>
            <w:rFonts w:ascii="Arial" w:hAnsi="Arial" w:cs="Arial"/>
            <w:noProof/>
          </w:rPr>
          <w:t>2</w:t>
        </w:r>
        <w:r w:rsidRPr="00D426BF">
          <w:rPr>
            <w:rFonts w:ascii="Arial" w:hAnsi="Arial"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Pr="00086802" w:rsidRDefault="007346B1" w:rsidP="007D7C40">
    <w:pPr>
      <w:pStyle w:val="Foo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6C2700">
      <w:rPr>
        <w:rFonts w:ascii="Arial" w:hAnsi="Arial" w:cs="Arial"/>
        <w:noProof/>
      </w:rPr>
      <w:t>- 5 -</w:t>
    </w:r>
    <w:r w:rsidRPr="00086802">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670" w:rsidRDefault="00273670">
      <w:r>
        <w:separator/>
      </w:r>
    </w:p>
  </w:footnote>
  <w:footnote w:type="continuationSeparator" w:id="0">
    <w:p w:rsidR="00273670" w:rsidRDefault="00273670">
      <w:r>
        <w:continuationSeparator/>
      </w:r>
    </w:p>
  </w:footnote>
  <w:footnote w:id="1">
    <w:p w:rsidR="0026380B" w:rsidRPr="0026380B" w:rsidRDefault="0026380B" w:rsidP="0026380B">
      <w:pPr>
        <w:tabs>
          <w:tab w:val="center" w:pos="4680"/>
        </w:tabs>
        <w:suppressAutoHyphens/>
        <w:ind w:left="90" w:hanging="90"/>
        <w:jc w:val="left"/>
        <w:rPr>
          <w:rFonts w:ascii="Arial" w:hAnsi="Arial" w:cs="Arial"/>
          <w:sz w:val="16"/>
          <w:szCs w:val="16"/>
        </w:rPr>
      </w:pPr>
      <w:r w:rsidRPr="0026380B">
        <w:rPr>
          <w:rStyle w:val="FootnoteReference"/>
          <w:rFonts w:ascii="Arial" w:hAnsi="Arial" w:cs="Arial"/>
          <w:sz w:val="16"/>
          <w:szCs w:val="16"/>
        </w:rPr>
        <w:footnoteRef/>
      </w:r>
      <w:r w:rsidRPr="0026380B">
        <w:rPr>
          <w:rFonts w:ascii="Arial" w:hAnsi="Arial" w:cs="Arial"/>
          <w:sz w:val="16"/>
          <w:szCs w:val="16"/>
        </w:rPr>
        <w:t xml:space="preserve"> As reported to the Commission at Docket No. M</w:t>
      </w:r>
      <w:r w:rsidRPr="0026380B">
        <w:rPr>
          <w:rFonts w:ascii="Arial" w:hAnsi="Arial" w:cs="Arial"/>
          <w:sz w:val="16"/>
          <w:szCs w:val="16"/>
        </w:rPr>
        <w:noBreakHyphen/>
        <w:t>2017</w:t>
      </w:r>
      <w:r w:rsidRPr="0026380B">
        <w:rPr>
          <w:rFonts w:ascii="Arial" w:hAnsi="Arial" w:cs="Arial"/>
          <w:sz w:val="16"/>
          <w:szCs w:val="16"/>
        </w:rPr>
        <w:noBreakHyphen/>
        <w:t>2586301.</w:t>
      </w:r>
    </w:p>
  </w:footnote>
  <w:footnote w:id="2">
    <w:p w:rsidR="0026380B" w:rsidRPr="0026380B" w:rsidRDefault="0026380B" w:rsidP="0026380B">
      <w:pPr>
        <w:tabs>
          <w:tab w:val="left" w:pos="-1440"/>
          <w:tab w:val="left" w:pos="-720"/>
          <w:tab w:val="left" w:pos="0"/>
          <w:tab w:val="left" w:pos="5040"/>
          <w:tab w:val="left" w:pos="7056"/>
        </w:tabs>
        <w:suppressAutoHyphens/>
        <w:jc w:val="left"/>
        <w:outlineLvl w:val="0"/>
        <w:rPr>
          <w:rFonts w:ascii="Arial" w:hAnsi="Arial" w:cs="Arial"/>
          <w:sz w:val="16"/>
          <w:szCs w:val="16"/>
        </w:rPr>
      </w:pPr>
      <w:r w:rsidRPr="0026380B">
        <w:rPr>
          <w:rStyle w:val="FootnoteReference"/>
          <w:rFonts w:ascii="Arial" w:hAnsi="Arial" w:cs="Arial"/>
          <w:sz w:val="16"/>
          <w:szCs w:val="16"/>
        </w:rPr>
        <w:footnoteRef/>
      </w:r>
      <w:r w:rsidRPr="0026380B">
        <w:rPr>
          <w:rFonts w:ascii="Arial" w:hAnsi="Arial" w:cs="Arial"/>
          <w:sz w:val="16"/>
          <w:szCs w:val="16"/>
        </w:rPr>
        <w:t xml:space="preserve"> Notes to the Financial Statements are an integral part of this report.</w:t>
      </w:r>
    </w:p>
    <w:p w:rsidR="0026380B" w:rsidRDefault="0026380B" w:rsidP="0026380B">
      <w:pPr>
        <w:pStyle w:val="FootnoteText"/>
        <w:jc w:val="left"/>
      </w:pPr>
    </w:p>
  </w:footnote>
  <w:footnote w:id="3">
    <w:p w:rsidR="00160EE0" w:rsidRPr="00160EE0" w:rsidRDefault="00160EE0" w:rsidP="00160EE0">
      <w:pPr>
        <w:tabs>
          <w:tab w:val="left" w:pos="-1440"/>
          <w:tab w:val="left" w:pos="-720"/>
          <w:tab w:val="left" w:pos="0"/>
          <w:tab w:val="left" w:pos="5040"/>
          <w:tab w:val="left" w:pos="7056"/>
        </w:tabs>
        <w:suppressAutoHyphens/>
        <w:jc w:val="left"/>
        <w:outlineLvl w:val="0"/>
        <w:rPr>
          <w:rFonts w:ascii="Arial" w:hAnsi="Arial" w:cs="Arial"/>
          <w:sz w:val="16"/>
          <w:szCs w:val="16"/>
        </w:rPr>
      </w:pPr>
      <w:r w:rsidRPr="00160EE0">
        <w:rPr>
          <w:rStyle w:val="FootnoteReference"/>
          <w:rFonts w:ascii="Arial" w:hAnsi="Arial" w:cs="Arial"/>
          <w:sz w:val="16"/>
          <w:szCs w:val="16"/>
        </w:rPr>
        <w:footnoteRef/>
      </w:r>
      <w:r w:rsidRPr="00160EE0">
        <w:rPr>
          <w:rFonts w:ascii="Arial" w:hAnsi="Arial" w:cs="Arial"/>
          <w:sz w:val="16"/>
          <w:szCs w:val="16"/>
        </w:rPr>
        <w:t xml:space="preserve"> As reported to the Commission at Docket No. M</w:t>
      </w:r>
      <w:r w:rsidRPr="00160EE0">
        <w:rPr>
          <w:rFonts w:ascii="Arial" w:hAnsi="Arial" w:cs="Arial"/>
          <w:sz w:val="16"/>
          <w:szCs w:val="16"/>
        </w:rPr>
        <w:noBreakHyphen/>
        <w:t>2016</w:t>
      </w:r>
      <w:r w:rsidRPr="00160EE0">
        <w:rPr>
          <w:rFonts w:ascii="Arial" w:hAnsi="Arial" w:cs="Arial"/>
          <w:sz w:val="16"/>
          <w:szCs w:val="16"/>
        </w:rPr>
        <w:noBreakHyphen/>
        <w:t>2526633.</w:t>
      </w:r>
    </w:p>
  </w:footnote>
  <w:footnote w:id="4">
    <w:p w:rsidR="00160EE0" w:rsidRPr="00160EE0" w:rsidRDefault="00160EE0" w:rsidP="00160EE0">
      <w:pPr>
        <w:tabs>
          <w:tab w:val="center" w:pos="4680"/>
        </w:tabs>
        <w:suppressAutoHyphens/>
        <w:ind w:left="90" w:hanging="90"/>
        <w:jc w:val="left"/>
        <w:rPr>
          <w:rFonts w:ascii="Arial" w:hAnsi="Arial" w:cs="Arial"/>
          <w:sz w:val="16"/>
          <w:szCs w:val="16"/>
        </w:rPr>
      </w:pPr>
      <w:r w:rsidRPr="00160EE0">
        <w:rPr>
          <w:rStyle w:val="FootnoteReference"/>
          <w:rFonts w:ascii="Arial" w:hAnsi="Arial" w:cs="Arial"/>
          <w:sz w:val="16"/>
          <w:szCs w:val="16"/>
        </w:rPr>
        <w:footnoteRef/>
      </w:r>
      <w:r w:rsidRPr="00160EE0">
        <w:rPr>
          <w:rFonts w:ascii="Arial" w:hAnsi="Arial" w:cs="Arial"/>
          <w:sz w:val="16"/>
          <w:szCs w:val="16"/>
        </w:rPr>
        <w:t xml:space="preserve">  Notes to the Financial Statements are an integral part of this report.</w:t>
      </w:r>
    </w:p>
    <w:p w:rsidR="00160EE0" w:rsidRDefault="00160EE0" w:rsidP="00160EE0">
      <w:pPr>
        <w:pStyle w:val="FootnoteText"/>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407" w:rsidRDefault="002B14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6D" w:rsidRPr="0077381F" w:rsidRDefault="00EB606D" w:rsidP="00EB606D">
    <w:pPr>
      <w:tabs>
        <w:tab w:val="center" w:pos="4680"/>
      </w:tabs>
      <w:suppressAutoHyphens/>
      <w:rPr>
        <w:rFonts w:ascii="Arial" w:hAnsi="Arial" w:cs="Arial"/>
        <w:b/>
        <w:sz w:val="26"/>
        <w:szCs w:val="26"/>
      </w:rPr>
    </w:pPr>
    <w:r w:rsidRPr="0077381F">
      <w:rPr>
        <w:rFonts w:ascii="Arial" w:hAnsi="Arial" w:cs="Arial"/>
        <w:b/>
        <w:sz w:val="26"/>
        <w:szCs w:val="26"/>
      </w:rPr>
      <w:t>PECO ENERGY COMPANY</w:t>
    </w:r>
  </w:p>
  <w:p w:rsidR="007346B1" w:rsidRDefault="007346B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6D" w:rsidRPr="0077381F" w:rsidRDefault="00EB606D" w:rsidP="00EB606D">
    <w:pPr>
      <w:tabs>
        <w:tab w:val="center" w:pos="4680"/>
      </w:tabs>
      <w:suppressAutoHyphens/>
      <w:rPr>
        <w:rFonts w:ascii="Arial" w:hAnsi="Arial" w:cs="Arial"/>
        <w:b/>
        <w:sz w:val="26"/>
        <w:szCs w:val="26"/>
      </w:rPr>
    </w:pPr>
    <w:r w:rsidRPr="0077381F">
      <w:rPr>
        <w:rFonts w:ascii="Arial" w:hAnsi="Arial" w:cs="Arial"/>
        <w:b/>
        <w:sz w:val="26"/>
        <w:szCs w:val="26"/>
      </w:rPr>
      <w:t>PECO ENERGY COMPANY</w:t>
    </w:r>
  </w:p>
  <w:p w:rsidR="007346B1" w:rsidRDefault="007346B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407" w:rsidRDefault="002B140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06D" w:rsidRPr="0077381F" w:rsidRDefault="00EB606D" w:rsidP="00EB606D">
    <w:pPr>
      <w:tabs>
        <w:tab w:val="center" w:pos="4680"/>
      </w:tabs>
      <w:suppressAutoHyphens/>
      <w:rPr>
        <w:rFonts w:ascii="Arial" w:hAnsi="Arial" w:cs="Arial"/>
        <w:b/>
        <w:sz w:val="26"/>
        <w:szCs w:val="26"/>
      </w:rPr>
    </w:pPr>
    <w:r w:rsidRPr="0077381F">
      <w:rPr>
        <w:rFonts w:ascii="Arial" w:hAnsi="Arial" w:cs="Arial"/>
        <w:b/>
        <w:sz w:val="26"/>
        <w:szCs w:val="26"/>
      </w:rPr>
      <w:t>PECO ENERGY COMPANY</w:t>
    </w:r>
  </w:p>
  <w:p w:rsidR="007346B1" w:rsidRDefault="007346B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C6F" w:rsidRDefault="00996C6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AF2" w:rsidRPr="0077381F" w:rsidRDefault="006331B5" w:rsidP="00BE4AF2">
    <w:pPr>
      <w:tabs>
        <w:tab w:val="center" w:pos="4680"/>
      </w:tabs>
      <w:suppressAutoHyphens/>
      <w:rPr>
        <w:rFonts w:ascii="Arial" w:hAnsi="Arial" w:cs="Arial"/>
        <w:b/>
        <w:sz w:val="26"/>
        <w:szCs w:val="26"/>
      </w:rPr>
    </w:pPr>
    <w:r>
      <w:rPr>
        <w:noProof/>
      </w:rPr>
      <mc:AlternateContent>
        <mc:Choice Requires="wps">
          <w:drawing>
            <wp:anchor distT="0" distB="0" distL="114300" distR="114300" simplePos="0" relativeHeight="251698176" behindDoc="1" locked="0" layoutInCell="0" allowOverlap="1">
              <wp:simplePos x="0" y="0"/>
              <wp:positionH relativeFrom="margin">
                <wp:align>center</wp:align>
              </wp:positionH>
              <wp:positionV relativeFrom="margin">
                <wp:align>center</wp:align>
              </wp:positionV>
              <wp:extent cx="5985510" cy="2393950"/>
              <wp:effectExtent l="0" t="1619250" r="0" b="1311275"/>
              <wp:wrapNone/>
              <wp:docPr id="1"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331B5" w:rsidRDefault="006331B5" w:rsidP="006331B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0" o:spid="_x0000_s1027" type="#_x0000_t202" style="position:absolute;left:0;text-align:left;margin-left:0;margin-top:0;width:471.3pt;height:188.5pt;rotation:-45;z-index:-251618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N4JU6YgCAAAEBQ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6331B5" w:rsidRDefault="006331B5" w:rsidP="006331B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BE4AF2" w:rsidRPr="0077381F">
      <w:rPr>
        <w:rFonts w:ascii="Arial" w:hAnsi="Arial" w:cs="Arial"/>
        <w:b/>
        <w:sz w:val="26"/>
        <w:szCs w:val="26"/>
      </w:rPr>
      <w:t>PECO ENERGY COMPANY</w:t>
    </w:r>
  </w:p>
  <w:p w:rsidR="00996C6F" w:rsidRDefault="00996C6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C6F" w:rsidRDefault="0099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407" w:rsidRDefault="002B1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A55" w:rsidRPr="0077381F" w:rsidRDefault="00476A55" w:rsidP="00476A55">
    <w:pPr>
      <w:tabs>
        <w:tab w:val="center" w:pos="4680"/>
      </w:tabs>
      <w:suppressAutoHyphens/>
      <w:rPr>
        <w:rFonts w:ascii="Arial" w:hAnsi="Arial" w:cs="Arial"/>
        <w:b/>
        <w:sz w:val="26"/>
        <w:szCs w:val="26"/>
      </w:rPr>
    </w:pPr>
    <w:r w:rsidRPr="0077381F">
      <w:rPr>
        <w:rFonts w:ascii="Arial" w:hAnsi="Arial" w:cs="Arial"/>
        <w:b/>
        <w:sz w:val="26"/>
        <w:szCs w:val="26"/>
      </w:rPr>
      <w:t>PECO ENERGY COMPANY</w:t>
    </w:r>
  </w:p>
  <w:p w:rsidR="007346B1" w:rsidRDefault="007346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6B1" w:rsidRDefault="007346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C6F" w:rsidRDefault="00996C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C6F" w:rsidRDefault="00996C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027" w:rsidRPr="0077381F" w:rsidRDefault="006331B5" w:rsidP="00602027">
    <w:pPr>
      <w:tabs>
        <w:tab w:val="center" w:pos="4680"/>
      </w:tabs>
      <w:suppressAutoHyphens/>
      <w:rPr>
        <w:rFonts w:ascii="Arial" w:hAnsi="Arial" w:cs="Arial"/>
        <w:b/>
        <w:sz w:val="26"/>
        <w:szCs w:val="26"/>
      </w:rPr>
    </w:pPr>
    <w:r>
      <w:rPr>
        <w:noProof/>
      </w:rPr>
      <mc:AlternateContent>
        <mc:Choice Requires="wps">
          <w:drawing>
            <wp:anchor distT="0" distB="0" distL="114300" distR="114300" simplePos="0" relativeHeight="251696128" behindDoc="1" locked="0" layoutInCell="0" allowOverlap="1">
              <wp:simplePos x="0" y="0"/>
              <wp:positionH relativeFrom="margin">
                <wp:align>center</wp:align>
              </wp:positionH>
              <wp:positionV relativeFrom="margin">
                <wp:align>center</wp:align>
              </wp:positionV>
              <wp:extent cx="5985510" cy="2393950"/>
              <wp:effectExtent l="0" t="1619250" r="0" b="1311275"/>
              <wp:wrapNone/>
              <wp:docPr id="2"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331B5" w:rsidRDefault="006331B5" w:rsidP="006331B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1026" type="#_x0000_t202" style="position:absolute;left:0;text-align:left;margin-left:0;margin-top:0;width:471.3pt;height:188.5pt;rotation:-45;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" o:allowincell="f" filled="f" stroked="f">
              <v:stroke joinstyle="round"/>
              <o:lock v:ext="edit" shapetype="t"/>
              <v:textbox style="mso-fit-shape-to-text:t">
                <w:txbxContent>
                  <w:p w:rsidR="006331B5" w:rsidRDefault="006331B5" w:rsidP="006331B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602027" w:rsidRPr="0077381F">
      <w:rPr>
        <w:rFonts w:ascii="Arial" w:hAnsi="Arial" w:cs="Arial"/>
        <w:b/>
        <w:sz w:val="26"/>
        <w:szCs w:val="26"/>
      </w:rPr>
      <w:t>PECO ENERGY COMPANY</w:t>
    </w:r>
  </w:p>
  <w:p w:rsidR="00996C6F" w:rsidRDefault="00996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13C82"/>
    <w:multiLevelType w:val="hybridMultilevel"/>
    <w:tmpl w:val="DB56208C"/>
    <w:lvl w:ilvl="0" w:tplc="C92E73D2">
      <w:numFmt w:val="bullet"/>
      <w:lvlText w:val="•"/>
      <w:lvlJc w:val="left"/>
      <w:pPr>
        <w:ind w:left="720" w:hanging="390"/>
      </w:pPr>
      <w:rPr>
        <w:rFonts w:ascii="Arial" w:eastAsia="Times New Roman" w:hAnsi="Aria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15:restartNumberingAfterBreak="0">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15:restartNumberingAfterBreak="0">
    <w:nsid w:val="08636445"/>
    <w:multiLevelType w:val="hybridMultilevel"/>
    <w:tmpl w:val="4C560E7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 w15:restartNumberingAfterBreak="0">
    <w:nsid w:val="12FC74CF"/>
    <w:multiLevelType w:val="hybridMultilevel"/>
    <w:tmpl w:val="E5EC32CA"/>
    <w:lvl w:ilvl="0" w:tplc="26C0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6" w15:restartNumberingAfterBreak="0">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7" w15:restartNumberingAfterBreak="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58092178"/>
    <w:multiLevelType w:val="hybridMultilevel"/>
    <w:tmpl w:val="4EC6518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5A6238D9"/>
    <w:multiLevelType w:val="hybridMultilevel"/>
    <w:tmpl w:val="AC189328"/>
    <w:lvl w:ilvl="0" w:tplc="AFE67E38">
      <w:start w:val="3"/>
      <w:numFmt w:val="bullet"/>
      <w:lvlText w:val="•"/>
      <w:lvlJc w:val="left"/>
      <w:pPr>
        <w:ind w:left="690" w:hanging="360"/>
      </w:pPr>
      <w:rPr>
        <w:rFonts w:ascii="Times New Roman" w:eastAsia="Times New Roman" w:hAnsi="Times New Roman" w:cs="Times New Roman" w:hint="default"/>
        <w:sz w:val="2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15:restartNumberingAfterBreak="0">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4"/>
  </w:num>
  <w:num w:numId="7">
    <w:abstractNumId w:val="10"/>
  </w:num>
  <w:num w:numId="8">
    <w:abstractNumId w:val="9"/>
  </w:num>
  <w:num w:numId="9">
    <w:abstractNumId w:val="8"/>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1E"/>
    <w:rsid w:val="00000053"/>
    <w:rsid w:val="000008D8"/>
    <w:rsid w:val="000013FF"/>
    <w:rsid w:val="000014E9"/>
    <w:rsid w:val="00002030"/>
    <w:rsid w:val="00002E7F"/>
    <w:rsid w:val="00004B63"/>
    <w:rsid w:val="000058DD"/>
    <w:rsid w:val="0000657F"/>
    <w:rsid w:val="000065D6"/>
    <w:rsid w:val="000068CE"/>
    <w:rsid w:val="000069D5"/>
    <w:rsid w:val="00006F7C"/>
    <w:rsid w:val="00011623"/>
    <w:rsid w:val="00011810"/>
    <w:rsid w:val="00013201"/>
    <w:rsid w:val="00015CB1"/>
    <w:rsid w:val="000162AB"/>
    <w:rsid w:val="000166C7"/>
    <w:rsid w:val="000170BD"/>
    <w:rsid w:val="00020E5C"/>
    <w:rsid w:val="00021880"/>
    <w:rsid w:val="00021C53"/>
    <w:rsid w:val="00023F02"/>
    <w:rsid w:val="000244C4"/>
    <w:rsid w:val="00025F35"/>
    <w:rsid w:val="0002626A"/>
    <w:rsid w:val="00027AC3"/>
    <w:rsid w:val="00030423"/>
    <w:rsid w:val="0003068B"/>
    <w:rsid w:val="00031BD5"/>
    <w:rsid w:val="00031D01"/>
    <w:rsid w:val="0003354D"/>
    <w:rsid w:val="00033937"/>
    <w:rsid w:val="00033ECB"/>
    <w:rsid w:val="00036C2A"/>
    <w:rsid w:val="00036D9D"/>
    <w:rsid w:val="00037B1E"/>
    <w:rsid w:val="00037B79"/>
    <w:rsid w:val="000419CC"/>
    <w:rsid w:val="00043C83"/>
    <w:rsid w:val="000442F2"/>
    <w:rsid w:val="00044F2B"/>
    <w:rsid w:val="000453E2"/>
    <w:rsid w:val="0004663E"/>
    <w:rsid w:val="00046640"/>
    <w:rsid w:val="00047EF9"/>
    <w:rsid w:val="000502A5"/>
    <w:rsid w:val="000505BE"/>
    <w:rsid w:val="00050708"/>
    <w:rsid w:val="00050772"/>
    <w:rsid w:val="00052156"/>
    <w:rsid w:val="00052968"/>
    <w:rsid w:val="00053070"/>
    <w:rsid w:val="00054EF6"/>
    <w:rsid w:val="000577C0"/>
    <w:rsid w:val="00060885"/>
    <w:rsid w:val="00061843"/>
    <w:rsid w:val="00061D1D"/>
    <w:rsid w:val="000631E5"/>
    <w:rsid w:val="00064A95"/>
    <w:rsid w:val="00066F74"/>
    <w:rsid w:val="0006750B"/>
    <w:rsid w:val="00070064"/>
    <w:rsid w:val="00072FFB"/>
    <w:rsid w:val="00080C53"/>
    <w:rsid w:val="00080FED"/>
    <w:rsid w:val="00081F49"/>
    <w:rsid w:val="000827D8"/>
    <w:rsid w:val="00082BDC"/>
    <w:rsid w:val="000830F4"/>
    <w:rsid w:val="000843E7"/>
    <w:rsid w:val="000862EE"/>
    <w:rsid w:val="00086D47"/>
    <w:rsid w:val="000925FB"/>
    <w:rsid w:val="000935FF"/>
    <w:rsid w:val="00095A87"/>
    <w:rsid w:val="00097B77"/>
    <w:rsid w:val="000A09E9"/>
    <w:rsid w:val="000A2605"/>
    <w:rsid w:val="000A289F"/>
    <w:rsid w:val="000A3382"/>
    <w:rsid w:val="000A47F7"/>
    <w:rsid w:val="000A6103"/>
    <w:rsid w:val="000A6BFD"/>
    <w:rsid w:val="000B0498"/>
    <w:rsid w:val="000B4DEB"/>
    <w:rsid w:val="000B5397"/>
    <w:rsid w:val="000B76B7"/>
    <w:rsid w:val="000B7AA4"/>
    <w:rsid w:val="000C0673"/>
    <w:rsid w:val="000C1019"/>
    <w:rsid w:val="000C54A4"/>
    <w:rsid w:val="000C7C23"/>
    <w:rsid w:val="000D3162"/>
    <w:rsid w:val="000D36EC"/>
    <w:rsid w:val="000D389D"/>
    <w:rsid w:val="000D4E11"/>
    <w:rsid w:val="000D58E6"/>
    <w:rsid w:val="000D7ED0"/>
    <w:rsid w:val="000E1CF4"/>
    <w:rsid w:val="000E3141"/>
    <w:rsid w:val="000E392E"/>
    <w:rsid w:val="000E3E48"/>
    <w:rsid w:val="000E4B0D"/>
    <w:rsid w:val="000E6571"/>
    <w:rsid w:val="000E7FF1"/>
    <w:rsid w:val="000F0D7B"/>
    <w:rsid w:val="000F11FD"/>
    <w:rsid w:val="000F237D"/>
    <w:rsid w:val="000F2F3B"/>
    <w:rsid w:val="000F3014"/>
    <w:rsid w:val="000F3DB6"/>
    <w:rsid w:val="000F6CC8"/>
    <w:rsid w:val="00101D15"/>
    <w:rsid w:val="00101FC4"/>
    <w:rsid w:val="0010304D"/>
    <w:rsid w:val="001032C8"/>
    <w:rsid w:val="00103CB4"/>
    <w:rsid w:val="0010499E"/>
    <w:rsid w:val="001066B1"/>
    <w:rsid w:val="001067A5"/>
    <w:rsid w:val="00106ADD"/>
    <w:rsid w:val="00107CAA"/>
    <w:rsid w:val="0011118C"/>
    <w:rsid w:val="00111C94"/>
    <w:rsid w:val="00114448"/>
    <w:rsid w:val="00114716"/>
    <w:rsid w:val="00116AA0"/>
    <w:rsid w:val="001175DC"/>
    <w:rsid w:val="0012026E"/>
    <w:rsid w:val="001215A8"/>
    <w:rsid w:val="0012275F"/>
    <w:rsid w:val="00123DA5"/>
    <w:rsid w:val="00124112"/>
    <w:rsid w:val="00127364"/>
    <w:rsid w:val="0012782C"/>
    <w:rsid w:val="0013081F"/>
    <w:rsid w:val="00131E66"/>
    <w:rsid w:val="00132861"/>
    <w:rsid w:val="00132DA1"/>
    <w:rsid w:val="00133126"/>
    <w:rsid w:val="00133E19"/>
    <w:rsid w:val="00135C0E"/>
    <w:rsid w:val="00135EC4"/>
    <w:rsid w:val="00137C3B"/>
    <w:rsid w:val="00137DB9"/>
    <w:rsid w:val="001416EC"/>
    <w:rsid w:val="001428D7"/>
    <w:rsid w:val="00143115"/>
    <w:rsid w:val="0014334C"/>
    <w:rsid w:val="00144625"/>
    <w:rsid w:val="0014482D"/>
    <w:rsid w:val="00144BDA"/>
    <w:rsid w:val="0014537E"/>
    <w:rsid w:val="00146254"/>
    <w:rsid w:val="00150332"/>
    <w:rsid w:val="00150CFD"/>
    <w:rsid w:val="001528D4"/>
    <w:rsid w:val="001533E0"/>
    <w:rsid w:val="00154DD2"/>
    <w:rsid w:val="00156913"/>
    <w:rsid w:val="001572A6"/>
    <w:rsid w:val="00157380"/>
    <w:rsid w:val="00157397"/>
    <w:rsid w:val="00157BF1"/>
    <w:rsid w:val="0016094B"/>
    <w:rsid w:val="00160EE0"/>
    <w:rsid w:val="00160FFA"/>
    <w:rsid w:val="00161B74"/>
    <w:rsid w:val="001635FF"/>
    <w:rsid w:val="0016361B"/>
    <w:rsid w:val="001643BB"/>
    <w:rsid w:val="00164754"/>
    <w:rsid w:val="001657F8"/>
    <w:rsid w:val="0016639F"/>
    <w:rsid w:val="0016787E"/>
    <w:rsid w:val="00170113"/>
    <w:rsid w:val="001704DD"/>
    <w:rsid w:val="0017305E"/>
    <w:rsid w:val="00173A1E"/>
    <w:rsid w:val="00173D64"/>
    <w:rsid w:val="00173EA5"/>
    <w:rsid w:val="00173F1D"/>
    <w:rsid w:val="00175767"/>
    <w:rsid w:val="0017608D"/>
    <w:rsid w:val="00177533"/>
    <w:rsid w:val="00180395"/>
    <w:rsid w:val="00180AED"/>
    <w:rsid w:val="0018149E"/>
    <w:rsid w:val="001814C1"/>
    <w:rsid w:val="0018224C"/>
    <w:rsid w:val="001822BA"/>
    <w:rsid w:val="001824F3"/>
    <w:rsid w:val="00186D07"/>
    <w:rsid w:val="00186FF1"/>
    <w:rsid w:val="0018725D"/>
    <w:rsid w:val="001877B4"/>
    <w:rsid w:val="0019031C"/>
    <w:rsid w:val="0019208C"/>
    <w:rsid w:val="00192144"/>
    <w:rsid w:val="00193D8E"/>
    <w:rsid w:val="001951DF"/>
    <w:rsid w:val="00197B4C"/>
    <w:rsid w:val="001A032C"/>
    <w:rsid w:val="001A1B0A"/>
    <w:rsid w:val="001A2AE7"/>
    <w:rsid w:val="001A3EEE"/>
    <w:rsid w:val="001B0888"/>
    <w:rsid w:val="001B1961"/>
    <w:rsid w:val="001B3937"/>
    <w:rsid w:val="001B42BE"/>
    <w:rsid w:val="001B535E"/>
    <w:rsid w:val="001B5DD4"/>
    <w:rsid w:val="001B5F95"/>
    <w:rsid w:val="001B78F9"/>
    <w:rsid w:val="001B7B5B"/>
    <w:rsid w:val="001C1B3F"/>
    <w:rsid w:val="001C26EA"/>
    <w:rsid w:val="001C2CCA"/>
    <w:rsid w:val="001C347D"/>
    <w:rsid w:val="001C37D9"/>
    <w:rsid w:val="001C3AF7"/>
    <w:rsid w:val="001C5737"/>
    <w:rsid w:val="001C5C16"/>
    <w:rsid w:val="001C70EA"/>
    <w:rsid w:val="001C7D51"/>
    <w:rsid w:val="001D1537"/>
    <w:rsid w:val="001D24DD"/>
    <w:rsid w:val="001D24EC"/>
    <w:rsid w:val="001D309F"/>
    <w:rsid w:val="001D3A2A"/>
    <w:rsid w:val="001D52A4"/>
    <w:rsid w:val="001D60BF"/>
    <w:rsid w:val="001D6360"/>
    <w:rsid w:val="001D6F30"/>
    <w:rsid w:val="001D7FF5"/>
    <w:rsid w:val="001E0223"/>
    <w:rsid w:val="001E14C1"/>
    <w:rsid w:val="001E1879"/>
    <w:rsid w:val="001E3A8D"/>
    <w:rsid w:val="001F176D"/>
    <w:rsid w:val="001F1FC1"/>
    <w:rsid w:val="001F28EA"/>
    <w:rsid w:val="001F3F08"/>
    <w:rsid w:val="001F5E83"/>
    <w:rsid w:val="001F623B"/>
    <w:rsid w:val="001F781E"/>
    <w:rsid w:val="0020056D"/>
    <w:rsid w:val="00205694"/>
    <w:rsid w:val="002065CF"/>
    <w:rsid w:val="00212D01"/>
    <w:rsid w:val="00213F93"/>
    <w:rsid w:val="002162F1"/>
    <w:rsid w:val="00216F99"/>
    <w:rsid w:val="002203F7"/>
    <w:rsid w:val="00220474"/>
    <w:rsid w:val="0022155A"/>
    <w:rsid w:val="0022768A"/>
    <w:rsid w:val="00230BB1"/>
    <w:rsid w:val="002326C1"/>
    <w:rsid w:val="00233161"/>
    <w:rsid w:val="0023522A"/>
    <w:rsid w:val="00235BB8"/>
    <w:rsid w:val="002377F4"/>
    <w:rsid w:val="00240719"/>
    <w:rsid w:val="002429F0"/>
    <w:rsid w:val="00244CCF"/>
    <w:rsid w:val="0024555E"/>
    <w:rsid w:val="00245988"/>
    <w:rsid w:val="00245AE1"/>
    <w:rsid w:val="00246B54"/>
    <w:rsid w:val="00250177"/>
    <w:rsid w:val="002506E9"/>
    <w:rsid w:val="0025251F"/>
    <w:rsid w:val="0025257D"/>
    <w:rsid w:val="00252B00"/>
    <w:rsid w:val="00252B74"/>
    <w:rsid w:val="0025330E"/>
    <w:rsid w:val="002533F2"/>
    <w:rsid w:val="00253B13"/>
    <w:rsid w:val="002548D1"/>
    <w:rsid w:val="0025512F"/>
    <w:rsid w:val="0025570B"/>
    <w:rsid w:val="0025778E"/>
    <w:rsid w:val="00257C99"/>
    <w:rsid w:val="00260F97"/>
    <w:rsid w:val="00261451"/>
    <w:rsid w:val="0026380B"/>
    <w:rsid w:val="002638CA"/>
    <w:rsid w:val="002675D2"/>
    <w:rsid w:val="002720E7"/>
    <w:rsid w:val="00273213"/>
    <w:rsid w:val="00273670"/>
    <w:rsid w:val="00273FE8"/>
    <w:rsid w:val="00275DC6"/>
    <w:rsid w:val="002762B5"/>
    <w:rsid w:val="002763DC"/>
    <w:rsid w:val="002802CB"/>
    <w:rsid w:val="002831D2"/>
    <w:rsid w:val="002835E1"/>
    <w:rsid w:val="00285B4A"/>
    <w:rsid w:val="00290A1D"/>
    <w:rsid w:val="002910CA"/>
    <w:rsid w:val="00291895"/>
    <w:rsid w:val="00291BD5"/>
    <w:rsid w:val="002922D7"/>
    <w:rsid w:val="00292717"/>
    <w:rsid w:val="0029399D"/>
    <w:rsid w:val="00293AA5"/>
    <w:rsid w:val="0029497C"/>
    <w:rsid w:val="00294A48"/>
    <w:rsid w:val="00295927"/>
    <w:rsid w:val="00297D96"/>
    <w:rsid w:val="002A0000"/>
    <w:rsid w:val="002A3082"/>
    <w:rsid w:val="002A31D3"/>
    <w:rsid w:val="002A3361"/>
    <w:rsid w:val="002A34FC"/>
    <w:rsid w:val="002A38F4"/>
    <w:rsid w:val="002A4175"/>
    <w:rsid w:val="002A476C"/>
    <w:rsid w:val="002A53CB"/>
    <w:rsid w:val="002B1407"/>
    <w:rsid w:val="002B2DD6"/>
    <w:rsid w:val="002B3D52"/>
    <w:rsid w:val="002B5E39"/>
    <w:rsid w:val="002B64D6"/>
    <w:rsid w:val="002B6A49"/>
    <w:rsid w:val="002B751E"/>
    <w:rsid w:val="002C0E16"/>
    <w:rsid w:val="002C0E2D"/>
    <w:rsid w:val="002C17DE"/>
    <w:rsid w:val="002C1FC4"/>
    <w:rsid w:val="002C554A"/>
    <w:rsid w:val="002C6C45"/>
    <w:rsid w:val="002C6FB7"/>
    <w:rsid w:val="002C7F1B"/>
    <w:rsid w:val="002D08B0"/>
    <w:rsid w:val="002D0900"/>
    <w:rsid w:val="002D15BF"/>
    <w:rsid w:val="002D2118"/>
    <w:rsid w:val="002D27C7"/>
    <w:rsid w:val="002D3DD6"/>
    <w:rsid w:val="002D42ED"/>
    <w:rsid w:val="002D43F0"/>
    <w:rsid w:val="002D4B13"/>
    <w:rsid w:val="002D7CEA"/>
    <w:rsid w:val="002E0448"/>
    <w:rsid w:val="002E0F06"/>
    <w:rsid w:val="002E2D50"/>
    <w:rsid w:val="002E32E8"/>
    <w:rsid w:val="002E3C0F"/>
    <w:rsid w:val="002E4072"/>
    <w:rsid w:val="002E4AFD"/>
    <w:rsid w:val="002E55D4"/>
    <w:rsid w:val="002E594C"/>
    <w:rsid w:val="002E6D73"/>
    <w:rsid w:val="002F3410"/>
    <w:rsid w:val="002F3A6C"/>
    <w:rsid w:val="002F4079"/>
    <w:rsid w:val="002F42DE"/>
    <w:rsid w:val="002F5D20"/>
    <w:rsid w:val="002F5E97"/>
    <w:rsid w:val="002F639C"/>
    <w:rsid w:val="002F7968"/>
    <w:rsid w:val="002F7AC1"/>
    <w:rsid w:val="0030137D"/>
    <w:rsid w:val="003016FA"/>
    <w:rsid w:val="00301D0E"/>
    <w:rsid w:val="003024B9"/>
    <w:rsid w:val="00303BA3"/>
    <w:rsid w:val="00304C93"/>
    <w:rsid w:val="00307929"/>
    <w:rsid w:val="00311904"/>
    <w:rsid w:val="0031279F"/>
    <w:rsid w:val="0031351C"/>
    <w:rsid w:val="0031644D"/>
    <w:rsid w:val="003167FA"/>
    <w:rsid w:val="00316BC6"/>
    <w:rsid w:val="00316D8B"/>
    <w:rsid w:val="0032010E"/>
    <w:rsid w:val="003203FA"/>
    <w:rsid w:val="0032147C"/>
    <w:rsid w:val="00324335"/>
    <w:rsid w:val="00324407"/>
    <w:rsid w:val="00325922"/>
    <w:rsid w:val="003262ED"/>
    <w:rsid w:val="003276AC"/>
    <w:rsid w:val="003324CF"/>
    <w:rsid w:val="003344D7"/>
    <w:rsid w:val="00342746"/>
    <w:rsid w:val="003428DC"/>
    <w:rsid w:val="003430EA"/>
    <w:rsid w:val="0034358F"/>
    <w:rsid w:val="00343A1D"/>
    <w:rsid w:val="00344493"/>
    <w:rsid w:val="00344C6D"/>
    <w:rsid w:val="00345D80"/>
    <w:rsid w:val="00346C38"/>
    <w:rsid w:val="0035017F"/>
    <w:rsid w:val="003505DA"/>
    <w:rsid w:val="00350731"/>
    <w:rsid w:val="0035218A"/>
    <w:rsid w:val="003552E3"/>
    <w:rsid w:val="00355B6F"/>
    <w:rsid w:val="00356922"/>
    <w:rsid w:val="00356CBA"/>
    <w:rsid w:val="00356D1C"/>
    <w:rsid w:val="00357222"/>
    <w:rsid w:val="003578BE"/>
    <w:rsid w:val="003608F3"/>
    <w:rsid w:val="003612E7"/>
    <w:rsid w:val="00361CAF"/>
    <w:rsid w:val="00361DBA"/>
    <w:rsid w:val="00362F3F"/>
    <w:rsid w:val="00363254"/>
    <w:rsid w:val="00363B86"/>
    <w:rsid w:val="00363CAE"/>
    <w:rsid w:val="0036573D"/>
    <w:rsid w:val="00365A2D"/>
    <w:rsid w:val="00365D36"/>
    <w:rsid w:val="00366497"/>
    <w:rsid w:val="00367C8F"/>
    <w:rsid w:val="003731A5"/>
    <w:rsid w:val="00374716"/>
    <w:rsid w:val="00374DA5"/>
    <w:rsid w:val="003756BF"/>
    <w:rsid w:val="00375D18"/>
    <w:rsid w:val="003802FE"/>
    <w:rsid w:val="003807D6"/>
    <w:rsid w:val="00383E58"/>
    <w:rsid w:val="0038505A"/>
    <w:rsid w:val="00386B86"/>
    <w:rsid w:val="00387064"/>
    <w:rsid w:val="0039358B"/>
    <w:rsid w:val="00393F19"/>
    <w:rsid w:val="003A3E06"/>
    <w:rsid w:val="003A4AC6"/>
    <w:rsid w:val="003A4AFE"/>
    <w:rsid w:val="003A576B"/>
    <w:rsid w:val="003A683C"/>
    <w:rsid w:val="003A6B3A"/>
    <w:rsid w:val="003A6BC0"/>
    <w:rsid w:val="003A6C20"/>
    <w:rsid w:val="003B0FA3"/>
    <w:rsid w:val="003B303A"/>
    <w:rsid w:val="003B3611"/>
    <w:rsid w:val="003B4193"/>
    <w:rsid w:val="003B443E"/>
    <w:rsid w:val="003B46BB"/>
    <w:rsid w:val="003B6278"/>
    <w:rsid w:val="003B65DA"/>
    <w:rsid w:val="003B7861"/>
    <w:rsid w:val="003C3017"/>
    <w:rsid w:val="003C3DC4"/>
    <w:rsid w:val="003C52E3"/>
    <w:rsid w:val="003D06D5"/>
    <w:rsid w:val="003D2564"/>
    <w:rsid w:val="003D6279"/>
    <w:rsid w:val="003D633B"/>
    <w:rsid w:val="003D6418"/>
    <w:rsid w:val="003D6478"/>
    <w:rsid w:val="003D667A"/>
    <w:rsid w:val="003D6861"/>
    <w:rsid w:val="003D6F58"/>
    <w:rsid w:val="003D7154"/>
    <w:rsid w:val="003E0515"/>
    <w:rsid w:val="003E2493"/>
    <w:rsid w:val="003E2E29"/>
    <w:rsid w:val="003E33E2"/>
    <w:rsid w:val="003E391F"/>
    <w:rsid w:val="003E5960"/>
    <w:rsid w:val="003E644B"/>
    <w:rsid w:val="003E6AF6"/>
    <w:rsid w:val="003F26F8"/>
    <w:rsid w:val="003F35E2"/>
    <w:rsid w:val="003F35F8"/>
    <w:rsid w:val="003F533B"/>
    <w:rsid w:val="003F5D4D"/>
    <w:rsid w:val="003F669D"/>
    <w:rsid w:val="003F6795"/>
    <w:rsid w:val="003F746B"/>
    <w:rsid w:val="0040154A"/>
    <w:rsid w:val="00406758"/>
    <w:rsid w:val="00406C32"/>
    <w:rsid w:val="00410396"/>
    <w:rsid w:val="00410BE2"/>
    <w:rsid w:val="00411C7F"/>
    <w:rsid w:val="00414C3A"/>
    <w:rsid w:val="004166DD"/>
    <w:rsid w:val="00417533"/>
    <w:rsid w:val="00420F93"/>
    <w:rsid w:val="0042256B"/>
    <w:rsid w:val="00423EEA"/>
    <w:rsid w:val="004245EE"/>
    <w:rsid w:val="004250E6"/>
    <w:rsid w:val="0042526A"/>
    <w:rsid w:val="00425941"/>
    <w:rsid w:val="004318ED"/>
    <w:rsid w:val="00432453"/>
    <w:rsid w:val="00432B2F"/>
    <w:rsid w:val="00436C21"/>
    <w:rsid w:val="004377B1"/>
    <w:rsid w:val="00437890"/>
    <w:rsid w:val="00440563"/>
    <w:rsid w:val="00441128"/>
    <w:rsid w:val="00442806"/>
    <w:rsid w:val="00442ED0"/>
    <w:rsid w:val="00445300"/>
    <w:rsid w:val="00445F81"/>
    <w:rsid w:val="004470AA"/>
    <w:rsid w:val="00450495"/>
    <w:rsid w:val="00450B25"/>
    <w:rsid w:val="00450E99"/>
    <w:rsid w:val="00455785"/>
    <w:rsid w:val="00460158"/>
    <w:rsid w:val="004602B7"/>
    <w:rsid w:val="0046263E"/>
    <w:rsid w:val="00466447"/>
    <w:rsid w:val="00470D7A"/>
    <w:rsid w:val="00471799"/>
    <w:rsid w:val="00472039"/>
    <w:rsid w:val="00472C70"/>
    <w:rsid w:val="0047509D"/>
    <w:rsid w:val="004755F0"/>
    <w:rsid w:val="00476A55"/>
    <w:rsid w:val="00480FF5"/>
    <w:rsid w:val="0048119C"/>
    <w:rsid w:val="00484357"/>
    <w:rsid w:val="00484654"/>
    <w:rsid w:val="0048492A"/>
    <w:rsid w:val="004857D7"/>
    <w:rsid w:val="004858E3"/>
    <w:rsid w:val="0048643E"/>
    <w:rsid w:val="00486C56"/>
    <w:rsid w:val="00487733"/>
    <w:rsid w:val="00487B14"/>
    <w:rsid w:val="00490825"/>
    <w:rsid w:val="004927B0"/>
    <w:rsid w:val="00492AC9"/>
    <w:rsid w:val="00492B32"/>
    <w:rsid w:val="00495071"/>
    <w:rsid w:val="004A0144"/>
    <w:rsid w:val="004A0472"/>
    <w:rsid w:val="004A139F"/>
    <w:rsid w:val="004A2035"/>
    <w:rsid w:val="004A3A3E"/>
    <w:rsid w:val="004A4D15"/>
    <w:rsid w:val="004B0140"/>
    <w:rsid w:val="004B1163"/>
    <w:rsid w:val="004B1A15"/>
    <w:rsid w:val="004B3085"/>
    <w:rsid w:val="004B31BE"/>
    <w:rsid w:val="004B3F28"/>
    <w:rsid w:val="004B4861"/>
    <w:rsid w:val="004C0081"/>
    <w:rsid w:val="004C17E2"/>
    <w:rsid w:val="004C20C2"/>
    <w:rsid w:val="004C2708"/>
    <w:rsid w:val="004C298F"/>
    <w:rsid w:val="004C386C"/>
    <w:rsid w:val="004C4015"/>
    <w:rsid w:val="004C4B10"/>
    <w:rsid w:val="004C6650"/>
    <w:rsid w:val="004C7E03"/>
    <w:rsid w:val="004D0232"/>
    <w:rsid w:val="004D1051"/>
    <w:rsid w:val="004D1784"/>
    <w:rsid w:val="004D239C"/>
    <w:rsid w:val="004D266B"/>
    <w:rsid w:val="004D2740"/>
    <w:rsid w:val="004D28EA"/>
    <w:rsid w:val="004E07DC"/>
    <w:rsid w:val="004E0E15"/>
    <w:rsid w:val="004E2BC7"/>
    <w:rsid w:val="004E4A8A"/>
    <w:rsid w:val="004E6B95"/>
    <w:rsid w:val="004F039E"/>
    <w:rsid w:val="004F0882"/>
    <w:rsid w:val="004F0B95"/>
    <w:rsid w:val="004F19EC"/>
    <w:rsid w:val="004F263B"/>
    <w:rsid w:val="004F6FE1"/>
    <w:rsid w:val="004F79E7"/>
    <w:rsid w:val="00500349"/>
    <w:rsid w:val="005005F5"/>
    <w:rsid w:val="00500E36"/>
    <w:rsid w:val="00501A6C"/>
    <w:rsid w:val="00501E12"/>
    <w:rsid w:val="00502FE2"/>
    <w:rsid w:val="005039E5"/>
    <w:rsid w:val="00504988"/>
    <w:rsid w:val="00505BD2"/>
    <w:rsid w:val="005110E7"/>
    <w:rsid w:val="00513D2B"/>
    <w:rsid w:val="005146DA"/>
    <w:rsid w:val="00515CD6"/>
    <w:rsid w:val="005173A0"/>
    <w:rsid w:val="005207FB"/>
    <w:rsid w:val="00520E00"/>
    <w:rsid w:val="005225DA"/>
    <w:rsid w:val="00523268"/>
    <w:rsid w:val="005234BE"/>
    <w:rsid w:val="005258AF"/>
    <w:rsid w:val="00525BF4"/>
    <w:rsid w:val="005276FD"/>
    <w:rsid w:val="00530748"/>
    <w:rsid w:val="00531203"/>
    <w:rsid w:val="00531263"/>
    <w:rsid w:val="00532849"/>
    <w:rsid w:val="00534870"/>
    <w:rsid w:val="00535AD0"/>
    <w:rsid w:val="00535ADD"/>
    <w:rsid w:val="00536279"/>
    <w:rsid w:val="005374DD"/>
    <w:rsid w:val="00537A1F"/>
    <w:rsid w:val="00537F15"/>
    <w:rsid w:val="005407AE"/>
    <w:rsid w:val="00540EA9"/>
    <w:rsid w:val="00541244"/>
    <w:rsid w:val="00542143"/>
    <w:rsid w:val="005421EE"/>
    <w:rsid w:val="005447BA"/>
    <w:rsid w:val="00544883"/>
    <w:rsid w:val="0054539C"/>
    <w:rsid w:val="00545F3E"/>
    <w:rsid w:val="00546A14"/>
    <w:rsid w:val="00552A73"/>
    <w:rsid w:val="00552C84"/>
    <w:rsid w:val="00554B9B"/>
    <w:rsid w:val="00555001"/>
    <w:rsid w:val="00555F8F"/>
    <w:rsid w:val="005578AA"/>
    <w:rsid w:val="00561001"/>
    <w:rsid w:val="005614D4"/>
    <w:rsid w:val="00564043"/>
    <w:rsid w:val="00564F56"/>
    <w:rsid w:val="00565032"/>
    <w:rsid w:val="0056648D"/>
    <w:rsid w:val="00566C8A"/>
    <w:rsid w:val="0056727E"/>
    <w:rsid w:val="00567A39"/>
    <w:rsid w:val="00570381"/>
    <w:rsid w:val="00572C4C"/>
    <w:rsid w:val="00574232"/>
    <w:rsid w:val="00574F4B"/>
    <w:rsid w:val="00576E48"/>
    <w:rsid w:val="00576F2D"/>
    <w:rsid w:val="0057703F"/>
    <w:rsid w:val="00577B55"/>
    <w:rsid w:val="00580574"/>
    <w:rsid w:val="00580B56"/>
    <w:rsid w:val="005818DF"/>
    <w:rsid w:val="0058323E"/>
    <w:rsid w:val="00583FDA"/>
    <w:rsid w:val="005857EA"/>
    <w:rsid w:val="00585989"/>
    <w:rsid w:val="005871D3"/>
    <w:rsid w:val="0058722F"/>
    <w:rsid w:val="00590BA2"/>
    <w:rsid w:val="00590DC8"/>
    <w:rsid w:val="00591EE9"/>
    <w:rsid w:val="0059214F"/>
    <w:rsid w:val="00592663"/>
    <w:rsid w:val="00592855"/>
    <w:rsid w:val="00592F8D"/>
    <w:rsid w:val="005962D9"/>
    <w:rsid w:val="00596D2E"/>
    <w:rsid w:val="00597B73"/>
    <w:rsid w:val="005A1156"/>
    <w:rsid w:val="005A15AA"/>
    <w:rsid w:val="005A1809"/>
    <w:rsid w:val="005A1973"/>
    <w:rsid w:val="005A3481"/>
    <w:rsid w:val="005A6827"/>
    <w:rsid w:val="005B113F"/>
    <w:rsid w:val="005B158C"/>
    <w:rsid w:val="005B195E"/>
    <w:rsid w:val="005B2B8B"/>
    <w:rsid w:val="005B3483"/>
    <w:rsid w:val="005B35E4"/>
    <w:rsid w:val="005B43E1"/>
    <w:rsid w:val="005B54A8"/>
    <w:rsid w:val="005B64A1"/>
    <w:rsid w:val="005B7936"/>
    <w:rsid w:val="005C0C8F"/>
    <w:rsid w:val="005C0FBD"/>
    <w:rsid w:val="005C1AEC"/>
    <w:rsid w:val="005C2521"/>
    <w:rsid w:val="005C33C4"/>
    <w:rsid w:val="005C34C8"/>
    <w:rsid w:val="005C3A56"/>
    <w:rsid w:val="005C5480"/>
    <w:rsid w:val="005C5771"/>
    <w:rsid w:val="005C6620"/>
    <w:rsid w:val="005C66F7"/>
    <w:rsid w:val="005C6AF7"/>
    <w:rsid w:val="005C748D"/>
    <w:rsid w:val="005D01B9"/>
    <w:rsid w:val="005D03F3"/>
    <w:rsid w:val="005D0648"/>
    <w:rsid w:val="005D1CDD"/>
    <w:rsid w:val="005D3AB8"/>
    <w:rsid w:val="005D52DB"/>
    <w:rsid w:val="005D6ADA"/>
    <w:rsid w:val="005D711E"/>
    <w:rsid w:val="005E0BC1"/>
    <w:rsid w:val="005E1292"/>
    <w:rsid w:val="005E3C8F"/>
    <w:rsid w:val="005E4A85"/>
    <w:rsid w:val="005E5817"/>
    <w:rsid w:val="005E5F65"/>
    <w:rsid w:val="005E7842"/>
    <w:rsid w:val="005F11BA"/>
    <w:rsid w:val="005F18B4"/>
    <w:rsid w:val="005F3595"/>
    <w:rsid w:val="005F5037"/>
    <w:rsid w:val="005F707C"/>
    <w:rsid w:val="005F74F1"/>
    <w:rsid w:val="00600004"/>
    <w:rsid w:val="00602027"/>
    <w:rsid w:val="0060335E"/>
    <w:rsid w:val="00603C35"/>
    <w:rsid w:val="00605269"/>
    <w:rsid w:val="00605511"/>
    <w:rsid w:val="0061051B"/>
    <w:rsid w:val="00611743"/>
    <w:rsid w:val="00612664"/>
    <w:rsid w:val="0061371D"/>
    <w:rsid w:val="00614C95"/>
    <w:rsid w:val="00615083"/>
    <w:rsid w:val="006176F2"/>
    <w:rsid w:val="00621118"/>
    <w:rsid w:val="00621867"/>
    <w:rsid w:val="00623D78"/>
    <w:rsid w:val="00625F07"/>
    <w:rsid w:val="00630251"/>
    <w:rsid w:val="00633063"/>
    <w:rsid w:val="006331B5"/>
    <w:rsid w:val="00633404"/>
    <w:rsid w:val="0063521D"/>
    <w:rsid w:val="006355A7"/>
    <w:rsid w:val="006357A8"/>
    <w:rsid w:val="00635D06"/>
    <w:rsid w:val="00640450"/>
    <w:rsid w:val="00643356"/>
    <w:rsid w:val="00644E59"/>
    <w:rsid w:val="00645654"/>
    <w:rsid w:val="006462CC"/>
    <w:rsid w:val="0065070F"/>
    <w:rsid w:val="00652473"/>
    <w:rsid w:val="00654596"/>
    <w:rsid w:val="006545F0"/>
    <w:rsid w:val="00654F7C"/>
    <w:rsid w:val="00655DB5"/>
    <w:rsid w:val="00660B6A"/>
    <w:rsid w:val="00662297"/>
    <w:rsid w:val="00662A08"/>
    <w:rsid w:val="00662FB8"/>
    <w:rsid w:val="00664314"/>
    <w:rsid w:val="00664FC7"/>
    <w:rsid w:val="006652F4"/>
    <w:rsid w:val="0066596A"/>
    <w:rsid w:val="00665AF5"/>
    <w:rsid w:val="0066693F"/>
    <w:rsid w:val="00667A9A"/>
    <w:rsid w:val="00672A0F"/>
    <w:rsid w:val="00672AE0"/>
    <w:rsid w:val="0067371F"/>
    <w:rsid w:val="00673E54"/>
    <w:rsid w:val="0067451B"/>
    <w:rsid w:val="006753BD"/>
    <w:rsid w:val="006813F0"/>
    <w:rsid w:val="00682435"/>
    <w:rsid w:val="006831C8"/>
    <w:rsid w:val="00684737"/>
    <w:rsid w:val="006854D1"/>
    <w:rsid w:val="006867DB"/>
    <w:rsid w:val="00686D06"/>
    <w:rsid w:val="00691323"/>
    <w:rsid w:val="00691DAF"/>
    <w:rsid w:val="006A0815"/>
    <w:rsid w:val="006A11B8"/>
    <w:rsid w:val="006A2462"/>
    <w:rsid w:val="006A2F2D"/>
    <w:rsid w:val="006A32F2"/>
    <w:rsid w:val="006A41BF"/>
    <w:rsid w:val="006A4D68"/>
    <w:rsid w:val="006A7D65"/>
    <w:rsid w:val="006B0A81"/>
    <w:rsid w:val="006B1465"/>
    <w:rsid w:val="006B2777"/>
    <w:rsid w:val="006B2E63"/>
    <w:rsid w:val="006B3E0C"/>
    <w:rsid w:val="006C01CA"/>
    <w:rsid w:val="006C0231"/>
    <w:rsid w:val="006C166D"/>
    <w:rsid w:val="006C2439"/>
    <w:rsid w:val="006C2700"/>
    <w:rsid w:val="006C2E78"/>
    <w:rsid w:val="006C3490"/>
    <w:rsid w:val="006C420E"/>
    <w:rsid w:val="006C5E25"/>
    <w:rsid w:val="006C7A89"/>
    <w:rsid w:val="006C7ADE"/>
    <w:rsid w:val="006D05E0"/>
    <w:rsid w:val="006D0AB8"/>
    <w:rsid w:val="006D1173"/>
    <w:rsid w:val="006D16EE"/>
    <w:rsid w:val="006D1F5A"/>
    <w:rsid w:val="006D2A3F"/>
    <w:rsid w:val="006D2D2F"/>
    <w:rsid w:val="006D33DB"/>
    <w:rsid w:val="006D3F92"/>
    <w:rsid w:val="006D4292"/>
    <w:rsid w:val="006E01E4"/>
    <w:rsid w:val="006E1E8D"/>
    <w:rsid w:val="006E2CE6"/>
    <w:rsid w:val="006E2EF4"/>
    <w:rsid w:val="006E4A8B"/>
    <w:rsid w:val="006E62CD"/>
    <w:rsid w:val="006E6439"/>
    <w:rsid w:val="006E78D3"/>
    <w:rsid w:val="006F1914"/>
    <w:rsid w:val="006F2210"/>
    <w:rsid w:val="006F3515"/>
    <w:rsid w:val="006F4759"/>
    <w:rsid w:val="006F4A91"/>
    <w:rsid w:val="006F4C5F"/>
    <w:rsid w:val="006F5A5E"/>
    <w:rsid w:val="006F61BC"/>
    <w:rsid w:val="007001C9"/>
    <w:rsid w:val="00700693"/>
    <w:rsid w:val="0070132F"/>
    <w:rsid w:val="007015D2"/>
    <w:rsid w:val="007025CC"/>
    <w:rsid w:val="00710D4F"/>
    <w:rsid w:val="0071251C"/>
    <w:rsid w:val="00712A0F"/>
    <w:rsid w:val="00714177"/>
    <w:rsid w:val="007163DB"/>
    <w:rsid w:val="00716960"/>
    <w:rsid w:val="00721408"/>
    <w:rsid w:val="00722322"/>
    <w:rsid w:val="00723477"/>
    <w:rsid w:val="007238A4"/>
    <w:rsid w:val="0072553E"/>
    <w:rsid w:val="00727532"/>
    <w:rsid w:val="007309D7"/>
    <w:rsid w:val="007309DC"/>
    <w:rsid w:val="00730A92"/>
    <w:rsid w:val="007329C6"/>
    <w:rsid w:val="0073359D"/>
    <w:rsid w:val="007340F5"/>
    <w:rsid w:val="007346B1"/>
    <w:rsid w:val="007350A5"/>
    <w:rsid w:val="00735C95"/>
    <w:rsid w:val="00740C7A"/>
    <w:rsid w:val="0074208D"/>
    <w:rsid w:val="00742A08"/>
    <w:rsid w:val="00743CD2"/>
    <w:rsid w:val="00744823"/>
    <w:rsid w:val="0074546C"/>
    <w:rsid w:val="00745C71"/>
    <w:rsid w:val="0074601E"/>
    <w:rsid w:val="00746029"/>
    <w:rsid w:val="00750122"/>
    <w:rsid w:val="00750DBA"/>
    <w:rsid w:val="00753A79"/>
    <w:rsid w:val="007541A8"/>
    <w:rsid w:val="0075566B"/>
    <w:rsid w:val="00755793"/>
    <w:rsid w:val="00755CE3"/>
    <w:rsid w:val="00755EEB"/>
    <w:rsid w:val="0075647E"/>
    <w:rsid w:val="007573DC"/>
    <w:rsid w:val="007603E9"/>
    <w:rsid w:val="00760568"/>
    <w:rsid w:val="00760ECD"/>
    <w:rsid w:val="007621CE"/>
    <w:rsid w:val="00765AFD"/>
    <w:rsid w:val="00767729"/>
    <w:rsid w:val="00767890"/>
    <w:rsid w:val="007715E0"/>
    <w:rsid w:val="00771692"/>
    <w:rsid w:val="0077185A"/>
    <w:rsid w:val="0077381F"/>
    <w:rsid w:val="00775F5F"/>
    <w:rsid w:val="0077606C"/>
    <w:rsid w:val="007763C0"/>
    <w:rsid w:val="007771DF"/>
    <w:rsid w:val="007806A6"/>
    <w:rsid w:val="00780931"/>
    <w:rsid w:val="007834DA"/>
    <w:rsid w:val="007839F3"/>
    <w:rsid w:val="00783BBE"/>
    <w:rsid w:val="007842E5"/>
    <w:rsid w:val="007848C4"/>
    <w:rsid w:val="007853E5"/>
    <w:rsid w:val="00785BF2"/>
    <w:rsid w:val="007879DD"/>
    <w:rsid w:val="00792451"/>
    <w:rsid w:val="007924CA"/>
    <w:rsid w:val="007931ED"/>
    <w:rsid w:val="007944A4"/>
    <w:rsid w:val="00794D80"/>
    <w:rsid w:val="00795B38"/>
    <w:rsid w:val="007973A3"/>
    <w:rsid w:val="00797A4F"/>
    <w:rsid w:val="007A06B9"/>
    <w:rsid w:val="007A160D"/>
    <w:rsid w:val="007A206B"/>
    <w:rsid w:val="007A21F0"/>
    <w:rsid w:val="007A25AB"/>
    <w:rsid w:val="007A50AF"/>
    <w:rsid w:val="007A5A37"/>
    <w:rsid w:val="007B2F04"/>
    <w:rsid w:val="007B3F93"/>
    <w:rsid w:val="007B6A6F"/>
    <w:rsid w:val="007B77B9"/>
    <w:rsid w:val="007C5192"/>
    <w:rsid w:val="007C59F8"/>
    <w:rsid w:val="007C5AAE"/>
    <w:rsid w:val="007C7EC0"/>
    <w:rsid w:val="007D10AA"/>
    <w:rsid w:val="007D123A"/>
    <w:rsid w:val="007D1B26"/>
    <w:rsid w:val="007D31BC"/>
    <w:rsid w:val="007D3802"/>
    <w:rsid w:val="007D4D59"/>
    <w:rsid w:val="007D7C40"/>
    <w:rsid w:val="007D7CA5"/>
    <w:rsid w:val="007E00E3"/>
    <w:rsid w:val="007E2A66"/>
    <w:rsid w:val="007E4643"/>
    <w:rsid w:val="007E4BF9"/>
    <w:rsid w:val="007E5333"/>
    <w:rsid w:val="007E5D70"/>
    <w:rsid w:val="007E691D"/>
    <w:rsid w:val="007E6D3E"/>
    <w:rsid w:val="007F100F"/>
    <w:rsid w:val="007F28D8"/>
    <w:rsid w:val="007F50E7"/>
    <w:rsid w:val="007F5D10"/>
    <w:rsid w:val="007F65D9"/>
    <w:rsid w:val="007F73D3"/>
    <w:rsid w:val="007F7EFC"/>
    <w:rsid w:val="00801743"/>
    <w:rsid w:val="00803654"/>
    <w:rsid w:val="00804367"/>
    <w:rsid w:val="00804B60"/>
    <w:rsid w:val="00805024"/>
    <w:rsid w:val="00806715"/>
    <w:rsid w:val="0080708D"/>
    <w:rsid w:val="008074D5"/>
    <w:rsid w:val="00811797"/>
    <w:rsid w:val="00811B9B"/>
    <w:rsid w:val="0081284B"/>
    <w:rsid w:val="00813F37"/>
    <w:rsid w:val="00816EBC"/>
    <w:rsid w:val="00816F02"/>
    <w:rsid w:val="0081700E"/>
    <w:rsid w:val="00821BDE"/>
    <w:rsid w:val="00822ADF"/>
    <w:rsid w:val="00826570"/>
    <w:rsid w:val="00827871"/>
    <w:rsid w:val="00827D4B"/>
    <w:rsid w:val="00831498"/>
    <w:rsid w:val="008339FC"/>
    <w:rsid w:val="00834796"/>
    <w:rsid w:val="00834934"/>
    <w:rsid w:val="00835C89"/>
    <w:rsid w:val="008402FB"/>
    <w:rsid w:val="00844E78"/>
    <w:rsid w:val="008461BF"/>
    <w:rsid w:val="00846806"/>
    <w:rsid w:val="0084700B"/>
    <w:rsid w:val="008508E4"/>
    <w:rsid w:val="008531DF"/>
    <w:rsid w:val="00853BB8"/>
    <w:rsid w:val="00853C22"/>
    <w:rsid w:val="00854102"/>
    <w:rsid w:val="00854316"/>
    <w:rsid w:val="00855B52"/>
    <w:rsid w:val="00855CF7"/>
    <w:rsid w:val="00863840"/>
    <w:rsid w:val="00872000"/>
    <w:rsid w:val="00872343"/>
    <w:rsid w:val="008735C8"/>
    <w:rsid w:val="00874DA9"/>
    <w:rsid w:val="00875C91"/>
    <w:rsid w:val="00876609"/>
    <w:rsid w:val="008766A8"/>
    <w:rsid w:val="00876BA5"/>
    <w:rsid w:val="00877798"/>
    <w:rsid w:val="008818F3"/>
    <w:rsid w:val="00882AB8"/>
    <w:rsid w:val="00883762"/>
    <w:rsid w:val="00886692"/>
    <w:rsid w:val="008866BE"/>
    <w:rsid w:val="00886F02"/>
    <w:rsid w:val="00887D4B"/>
    <w:rsid w:val="00887FFB"/>
    <w:rsid w:val="00890528"/>
    <w:rsid w:val="00890E99"/>
    <w:rsid w:val="00891368"/>
    <w:rsid w:val="008913DB"/>
    <w:rsid w:val="00892639"/>
    <w:rsid w:val="0089271B"/>
    <w:rsid w:val="008928EE"/>
    <w:rsid w:val="008939C1"/>
    <w:rsid w:val="00895891"/>
    <w:rsid w:val="00897B2E"/>
    <w:rsid w:val="008A00F3"/>
    <w:rsid w:val="008A14FF"/>
    <w:rsid w:val="008A2423"/>
    <w:rsid w:val="008A327E"/>
    <w:rsid w:val="008A37DC"/>
    <w:rsid w:val="008A409C"/>
    <w:rsid w:val="008A48B8"/>
    <w:rsid w:val="008A4D86"/>
    <w:rsid w:val="008A5DF9"/>
    <w:rsid w:val="008A7383"/>
    <w:rsid w:val="008A77A2"/>
    <w:rsid w:val="008A7B02"/>
    <w:rsid w:val="008B0569"/>
    <w:rsid w:val="008B265F"/>
    <w:rsid w:val="008B2A09"/>
    <w:rsid w:val="008B36EA"/>
    <w:rsid w:val="008B48D8"/>
    <w:rsid w:val="008B72FD"/>
    <w:rsid w:val="008B7FFA"/>
    <w:rsid w:val="008C0642"/>
    <w:rsid w:val="008C0DBE"/>
    <w:rsid w:val="008C1241"/>
    <w:rsid w:val="008C25A7"/>
    <w:rsid w:val="008C3229"/>
    <w:rsid w:val="008C4396"/>
    <w:rsid w:val="008C4F75"/>
    <w:rsid w:val="008C5757"/>
    <w:rsid w:val="008C71B4"/>
    <w:rsid w:val="008D078A"/>
    <w:rsid w:val="008D14D4"/>
    <w:rsid w:val="008D1FB8"/>
    <w:rsid w:val="008D47F8"/>
    <w:rsid w:val="008D6987"/>
    <w:rsid w:val="008D6BA7"/>
    <w:rsid w:val="008D7534"/>
    <w:rsid w:val="008D7927"/>
    <w:rsid w:val="008E00F3"/>
    <w:rsid w:val="008E15F8"/>
    <w:rsid w:val="008E2C9F"/>
    <w:rsid w:val="008E2E2A"/>
    <w:rsid w:val="008E449A"/>
    <w:rsid w:val="008E5C37"/>
    <w:rsid w:val="008E6056"/>
    <w:rsid w:val="008E662D"/>
    <w:rsid w:val="008E692F"/>
    <w:rsid w:val="008E7086"/>
    <w:rsid w:val="008E7345"/>
    <w:rsid w:val="008E7347"/>
    <w:rsid w:val="008F0B3F"/>
    <w:rsid w:val="008F666E"/>
    <w:rsid w:val="008F66C5"/>
    <w:rsid w:val="009016A0"/>
    <w:rsid w:val="00901A3F"/>
    <w:rsid w:val="00902770"/>
    <w:rsid w:val="00903B35"/>
    <w:rsid w:val="00904907"/>
    <w:rsid w:val="00905409"/>
    <w:rsid w:val="009064EE"/>
    <w:rsid w:val="009075E7"/>
    <w:rsid w:val="00907A66"/>
    <w:rsid w:val="0091007F"/>
    <w:rsid w:val="009112B6"/>
    <w:rsid w:val="009114C4"/>
    <w:rsid w:val="00915055"/>
    <w:rsid w:val="0091529D"/>
    <w:rsid w:val="0091649F"/>
    <w:rsid w:val="0091691E"/>
    <w:rsid w:val="009178BB"/>
    <w:rsid w:val="009207A4"/>
    <w:rsid w:val="00920899"/>
    <w:rsid w:val="00920B50"/>
    <w:rsid w:val="00921B8B"/>
    <w:rsid w:val="00921F7D"/>
    <w:rsid w:val="00923635"/>
    <w:rsid w:val="0092487F"/>
    <w:rsid w:val="00926565"/>
    <w:rsid w:val="00926789"/>
    <w:rsid w:val="00926C42"/>
    <w:rsid w:val="0092798C"/>
    <w:rsid w:val="00927B82"/>
    <w:rsid w:val="00932ECB"/>
    <w:rsid w:val="00932F13"/>
    <w:rsid w:val="00933E1A"/>
    <w:rsid w:val="00935D40"/>
    <w:rsid w:val="00936392"/>
    <w:rsid w:val="00937F1C"/>
    <w:rsid w:val="00940D91"/>
    <w:rsid w:val="00941EBC"/>
    <w:rsid w:val="00947F96"/>
    <w:rsid w:val="0095013E"/>
    <w:rsid w:val="009502AF"/>
    <w:rsid w:val="00950B59"/>
    <w:rsid w:val="0095153A"/>
    <w:rsid w:val="00953A95"/>
    <w:rsid w:val="0095585F"/>
    <w:rsid w:val="0095798D"/>
    <w:rsid w:val="0096359D"/>
    <w:rsid w:val="00965C18"/>
    <w:rsid w:val="0096613C"/>
    <w:rsid w:val="00966F11"/>
    <w:rsid w:val="0096766A"/>
    <w:rsid w:val="00967E77"/>
    <w:rsid w:val="00970F02"/>
    <w:rsid w:val="00970FEF"/>
    <w:rsid w:val="00971FF2"/>
    <w:rsid w:val="009734AF"/>
    <w:rsid w:val="00973B32"/>
    <w:rsid w:val="00973D31"/>
    <w:rsid w:val="00973ECE"/>
    <w:rsid w:val="0097505A"/>
    <w:rsid w:val="0097630B"/>
    <w:rsid w:val="00976514"/>
    <w:rsid w:val="00982154"/>
    <w:rsid w:val="00982534"/>
    <w:rsid w:val="00982B42"/>
    <w:rsid w:val="00982B76"/>
    <w:rsid w:val="00984CD8"/>
    <w:rsid w:val="0098587E"/>
    <w:rsid w:val="009911C8"/>
    <w:rsid w:val="00991813"/>
    <w:rsid w:val="00991BAA"/>
    <w:rsid w:val="009928F4"/>
    <w:rsid w:val="00992E42"/>
    <w:rsid w:val="00993154"/>
    <w:rsid w:val="00993360"/>
    <w:rsid w:val="009933AE"/>
    <w:rsid w:val="00993A1D"/>
    <w:rsid w:val="009944D3"/>
    <w:rsid w:val="00995400"/>
    <w:rsid w:val="0099551F"/>
    <w:rsid w:val="00996C6F"/>
    <w:rsid w:val="00997736"/>
    <w:rsid w:val="009A01A3"/>
    <w:rsid w:val="009A09E2"/>
    <w:rsid w:val="009A2FA8"/>
    <w:rsid w:val="009A49A0"/>
    <w:rsid w:val="009A4C22"/>
    <w:rsid w:val="009A6589"/>
    <w:rsid w:val="009A6AFD"/>
    <w:rsid w:val="009A7234"/>
    <w:rsid w:val="009A749C"/>
    <w:rsid w:val="009B0770"/>
    <w:rsid w:val="009B0F62"/>
    <w:rsid w:val="009B13A6"/>
    <w:rsid w:val="009B1E56"/>
    <w:rsid w:val="009B36AC"/>
    <w:rsid w:val="009B5259"/>
    <w:rsid w:val="009B530B"/>
    <w:rsid w:val="009B5558"/>
    <w:rsid w:val="009B5AD2"/>
    <w:rsid w:val="009B5DF2"/>
    <w:rsid w:val="009B6835"/>
    <w:rsid w:val="009B6A80"/>
    <w:rsid w:val="009B6E0D"/>
    <w:rsid w:val="009B7A49"/>
    <w:rsid w:val="009C05E4"/>
    <w:rsid w:val="009C0A77"/>
    <w:rsid w:val="009C34FB"/>
    <w:rsid w:val="009C3F4B"/>
    <w:rsid w:val="009C4BC7"/>
    <w:rsid w:val="009C7E3D"/>
    <w:rsid w:val="009D01A0"/>
    <w:rsid w:val="009D1319"/>
    <w:rsid w:val="009D27D0"/>
    <w:rsid w:val="009D2912"/>
    <w:rsid w:val="009D2E47"/>
    <w:rsid w:val="009D5AB4"/>
    <w:rsid w:val="009D7C78"/>
    <w:rsid w:val="009E1499"/>
    <w:rsid w:val="009E3032"/>
    <w:rsid w:val="009E3073"/>
    <w:rsid w:val="009E32C6"/>
    <w:rsid w:val="009E4A85"/>
    <w:rsid w:val="009E5A7A"/>
    <w:rsid w:val="009E6EF0"/>
    <w:rsid w:val="009E7B26"/>
    <w:rsid w:val="009E7FA6"/>
    <w:rsid w:val="009F1262"/>
    <w:rsid w:val="009F1B83"/>
    <w:rsid w:val="009F253A"/>
    <w:rsid w:val="009F4795"/>
    <w:rsid w:val="009F536A"/>
    <w:rsid w:val="009F6631"/>
    <w:rsid w:val="009F6861"/>
    <w:rsid w:val="009F6BA4"/>
    <w:rsid w:val="009F7ADE"/>
    <w:rsid w:val="00A00D16"/>
    <w:rsid w:val="00A052A6"/>
    <w:rsid w:val="00A054E2"/>
    <w:rsid w:val="00A05907"/>
    <w:rsid w:val="00A05BF1"/>
    <w:rsid w:val="00A07BB2"/>
    <w:rsid w:val="00A11253"/>
    <w:rsid w:val="00A11529"/>
    <w:rsid w:val="00A127FC"/>
    <w:rsid w:val="00A143F7"/>
    <w:rsid w:val="00A1597B"/>
    <w:rsid w:val="00A178D9"/>
    <w:rsid w:val="00A21075"/>
    <w:rsid w:val="00A21809"/>
    <w:rsid w:val="00A260E6"/>
    <w:rsid w:val="00A27F48"/>
    <w:rsid w:val="00A30008"/>
    <w:rsid w:val="00A31725"/>
    <w:rsid w:val="00A339F3"/>
    <w:rsid w:val="00A33BA4"/>
    <w:rsid w:val="00A3516F"/>
    <w:rsid w:val="00A357AE"/>
    <w:rsid w:val="00A36A73"/>
    <w:rsid w:val="00A402F0"/>
    <w:rsid w:val="00A409D0"/>
    <w:rsid w:val="00A433B9"/>
    <w:rsid w:val="00A4521F"/>
    <w:rsid w:val="00A4609C"/>
    <w:rsid w:val="00A462F1"/>
    <w:rsid w:val="00A4705A"/>
    <w:rsid w:val="00A47EAF"/>
    <w:rsid w:val="00A50962"/>
    <w:rsid w:val="00A52ADD"/>
    <w:rsid w:val="00A54E38"/>
    <w:rsid w:val="00A564C8"/>
    <w:rsid w:val="00A5723D"/>
    <w:rsid w:val="00A57E39"/>
    <w:rsid w:val="00A60756"/>
    <w:rsid w:val="00A61F16"/>
    <w:rsid w:val="00A62BBB"/>
    <w:rsid w:val="00A641F2"/>
    <w:rsid w:val="00A64342"/>
    <w:rsid w:val="00A64846"/>
    <w:rsid w:val="00A66005"/>
    <w:rsid w:val="00A67E13"/>
    <w:rsid w:val="00A704B0"/>
    <w:rsid w:val="00A71A0F"/>
    <w:rsid w:val="00A74669"/>
    <w:rsid w:val="00A747CD"/>
    <w:rsid w:val="00A75438"/>
    <w:rsid w:val="00A755A3"/>
    <w:rsid w:val="00A755B0"/>
    <w:rsid w:val="00A77E23"/>
    <w:rsid w:val="00A8167E"/>
    <w:rsid w:val="00A8202D"/>
    <w:rsid w:val="00A86D8B"/>
    <w:rsid w:val="00A878D5"/>
    <w:rsid w:val="00A87ED8"/>
    <w:rsid w:val="00A87FC2"/>
    <w:rsid w:val="00A909BC"/>
    <w:rsid w:val="00A91FC5"/>
    <w:rsid w:val="00A93E54"/>
    <w:rsid w:val="00A9474F"/>
    <w:rsid w:val="00A96B4E"/>
    <w:rsid w:val="00AA0949"/>
    <w:rsid w:val="00AA3D52"/>
    <w:rsid w:val="00AB1283"/>
    <w:rsid w:val="00AB1FC0"/>
    <w:rsid w:val="00AB3B4D"/>
    <w:rsid w:val="00AB3DBC"/>
    <w:rsid w:val="00AB3E64"/>
    <w:rsid w:val="00AB56F4"/>
    <w:rsid w:val="00AB57B6"/>
    <w:rsid w:val="00AC0080"/>
    <w:rsid w:val="00AC0C14"/>
    <w:rsid w:val="00AC1E23"/>
    <w:rsid w:val="00AC265C"/>
    <w:rsid w:val="00AC2CF8"/>
    <w:rsid w:val="00AC3AE9"/>
    <w:rsid w:val="00AC476A"/>
    <w:rsid w:val="00AC7708"/>
    <w:rsid w:val="00AC7F46"/>
    <w:rsid w:val="00AD0A95"/>
    <w:rsid w:val="00AD0EFD"/>
    <w:rsid w:val="00AD0F2B"/>
    <w:rsid w:val="00AD1CC6"/>
    <w:rsid w:val="00AD28DC"/>
    <w:rsid w:val="00AD3F6D"/>
    <w:rsid w:val="00AD4289"/>
    <w:rsid w:val="00AD6046"/>
    <w:rsid w:val="00AD70D0"/>
    <w:rsid w:val="00AD789F"/>
    <w:rsid w:val="00AD7C85"/>
    <w:rsid w:val="00AE07BC"/>
    <w:rsid w:val="00AE0C38"/>
    <w:rsid w:val="00AE0F4C"/>
    <w:rsid w:val="00AE1829"/>
    <w:rsid w:val="00AE2395"/>
    <w:rsid w:val="00AE4091"/>
    <w:rsid w:val="00AE54C4"/>
    <w:rsid w:val="00AE59B4"/>
    <w:rsid w:val="00AE5C4B"/>
    <w:rsid w:val="00AF0CD9"/>
    <w:rsid w:val="00AF222E"/>
    <w:rsid w:val="00AF2A71"/>
    <w:rsid w:val="00AF5405"/>
    <w:rsid w:val="00B029A5"/>
    <w:rsid w:val="00B02F75"/>
    <w:rsid w:val="00B04CD4"/>
    <w:rsid w:val="00B06446"/>
    <w:rsid w:val="00B1042D"/>
    <w:rsid w:val="00B136E2"/>
    <w:rsid w:val="00B16550"/>
    <w:rsid w:val="00B176AF"/>
    <w:rsid w:val="00B17A40"/>
    <w:rsid w:val="00B202B2"/>
    <w:rsid w:val="00B2033F"/>
    <w:rsid w:val="00B20D42"/>
    <w:rsid w:val="00B2150D"/>
    <w:rsid w:val="00B21E1C"/>
    <w:rsid w:val="00B222A4"/>
    <w:rsid w:val="00B2231D"/>
    <w:rsid w:val="00B231D9"/>
    <w:rsid w:val="00B25D07"/>
    <w:rsid w:val="00B279C1"/>
    <w:rsid w:val="00B30887"/>
    <w:rsid w:val="00B32341"/>
    <w:rsid w:val="00B33C1E"/>
    <w:rsid w:val="00B351B5"/>
    <w:rsid w:val="00B36665"/>
    <w:rsid w:val="00B367EE"/>
    <w:rsid w:val="00B36E14"/>
    <w:rsid w:val="00B40A2B"/>
    <w:rsid w:val="00B40DE3"/>
    <w:rsid w:val="00B40F27"/>
    <w:rsid w:val="00B41202"/>
    <w:rsid w:val="00B42D1F"/>
    <w:rsid w:val="00B43023"/>
    <w:rsid w:val="00B43033"/>
    <w:rsid w:val="00B44121"/>
    <w:rsid w:val="00B44E02"/>
    <w:rsid w:val="00B46D06"/>
    <w:rsid w:val="00B50BA6"/>
    <w:rsid w:val="00B544AF"/>
    <w:rsid w:val="00B547C1"/>
    <w:rsid w:val="00B54D85"/>
    <w:rsid w:val="00B56DC9"/>
    <w:rsid w:val="00B5747F"/>
    <w:rsid w:val="00B57893"/>
    <w:rsid w:val="00B60992"/>
    <w:rsid w:val="00B613F2"/>
    <w:rsid w:val="00B62271"/>
    <w:rsid w:val="00B62FEE"/>
    <w:rsid w:val="00B632A0"/>
    <w:rsid w:val="00B640E3"/>
    <w:rsid w:val="00B656E3"/>
    <w:rsid w:val="00B66F39"/>
    <w:rsid w:val="00B6715F"/>
    <w:rsid w:val="00B676E0"/>
    <w:rsid w:val="00B67B15"/>
    <w:rsid w:val="00B70CD5"/>
    <w:rsid w:val="00B72491"/>
    <w:rsid w:val="00B749E1"/>
    <w:rsid w:val="00B753D1"/>
    <w:rsid w:val="00B75F17"/>
    <w:rsid w:val="00B7669E"/>
    <w:rsid w:val="00B779B0"/>
    <w:rsid w:val="00B82ABD"/>
    <w:rsid w:val="00B83265"/>
    <w:rsid w:val="00B835EC"/>
    <w:rsid w:val="00B8416D"/>
    <w:rsid w:val="00B848CE"/>
    <w:rsid w:val="00B852ED"/>
    <w:rsid w:val="00B8535D"/>
    <w:rsid w:val="00B876A7"/>
    <w:rsid w:val="00B87B2F"/>
    <w:rsid w:val="00B92825"/>
    <w:rsid w:val="00B92AC4"/>
    <w:rsid w:val="00B92F2B"/>
    <w:rsid w:val="00B9352E"/>
    <w:rsid w:val="00B94F97"/>
    <w:rsid w:val="00B958D6"/>
    <w:rsid w:val="00B95F3D"/>
    <w:rsid w:val="00BA064A"/>
    <w:rsid w:val="00BA0B6E"/>
    <w:rsid w:val="00BA0E6D"/>
    <w:rsid w:val="00BA2497"/>
    <w:rsid w:val="00BA27E2"/>
    <w:rsid w:val="00BA6446"/>
    <w:rsid w:val="00BA67C2"/>
    <w:rsid w:val="00BA6FD9"/>
    <w:rsid w:val="00BB0025"/>
    <w:rsid w:val="00BB133D"/>
    <w:rsid w:val="00BB1555"/>
    <w:rsid w:val="00BB2BCC"/>
    <w:rsid w:val="00BB3351"/>
    <w:rsid w:val="00BB40EF"/>
    <w:rsid w:val="00BB54FE"/>
    <w:rsid w:val="00BC2B50"/>
    <w:rsid w:val="00BC304C"/>
    <w:rsid w:val="00BC3611"/>
    <w:rsid w:val="00BC4B9B"/>
    <w:rsid w:val="00BC5B35"/>
    <w:rsid w:val="00BC7C6B"/>
    <w:rsid w:val="00BD0DC7"/>
    <w:rsid w:val="00BD16D2"/>
    <w:rsid w:val="00BD2BB0"/>
    <w:rsid w:val="00BD3158"/>
    <w:rsid w:val="00BD69A8"/>
    <w:rsid w:val="00BD72EB"/>
    <w:rsid w:val="00BE0337"/>
    <w:rsid w:val="00BE3E1B"/>
    <w:rsid w:val="00BE4AF2"/>
    <w:rsid w:val="00BE651C"/>
    <w:rsid w:val="00BE65CC"/>
    <w:rsid w:val="00BE74C6"/>
    <w:rsid w:val="00BF2E67"/>
    <w:rsid w:val="00BF3573"/>
    <w:rsid w:val="00BF3BC1"/>
    <w:rsid w:val="00BF3FC7"/>
    <w:rsid w:val="00BF49EB"/>
    <w:rsid w:val="00BF77DA"/>
    <w:rsid w:val="00BF7CE0"/>
    <w:rsid w:val="00C013D3"/>
    <w:rsid w:val="00C01BC1"/>
    <w:rsid w:val="00C02622"/>
    <w:rsid w:val="00C029A5"/>
    <w:rsid w:val="00C030F7"/>
    <w:rsid w:val="00C03FA8"/>
    <w:rsid w:val="00C06521"/>
    <w:rsid w:val="00C0762F"/>
    <w:rsid w:val="00C07D99"/>
    <w:rsid w:val="00C1192D"/>
    <w:rsid w:val="00C11B72"/>
    <w:rsid w:val="00C12F90"/>
    <w:rsid w:val="00C135E2"/>
    <w:rsid w:val="00C1734A"/>
    <w:rsid w:val="00C176F5"/>
    <w:rsid w:val="00C17F49"/>
    <w:rsid w:val="00C208DE"/>
    <w:rsid w:val="00C21E07"/>
    <w:rsid w:val="00C22AD0"/>
    <w:rsid w:val="00C26D6D"/>
    <w:rsid w:val="00C30E7A"/>
    <w:rsid w:val="00C31399"/>
    <w:rsid w:val="00C339DF"/>
    <w:rsid w:val="00C33C4F"/>
    <w:rsid w:val="00C34D20"/>
    <w:rsid w:val="00C34DEE"/>
    <w:rsid w:val="00C3535A"/>
    <w:rsid w:val="00C354B5"/>
    <w:rsid w:val="00C3560D"/>
    <w:rsid w:val="00C37D4B"/>
    <w:rsid w:val="00C415BB"/>
    <w:rsid w:val="00C429BC"/>
    <w:rsid w:val="00C466C6"/>
    <w:rsid w:val="00C46B81"/>
    <w:rsid w:val="00C4708F"/>
    <w:rsid w:val="00C507E9"/>
    <w:rsid w:val="00C50F32"/>
    <w:rsid w:val="00C5159E"/>
    <w:rsid w:val="00C539F2"/>
    <w:rsid w:val="00C54125"/>
    <w:rsid w:val="00C54FEC"/>
    <w:rsid w:val="00C57848"/>
    <w:rsid w:val="00C60192"/>
    <w:rsid w:val="00C6244A"/>
    <w:rsid w:val="00C62486"/>
    <w:rsid w:val="00C634E4"/>
    <w:rsid w:val="00C63626"/>
    <w:rsid w:val="00C64838"/>
    <w:rsid w:val="00C64898"/>
    <w:rsid w:val="00C6757C"/>
    <w:rsid w:val="00C67FAA"/>
    <w:rsid w:val="00C71115"/>
    <w:rsid w:val="00C71657"/>
    <w:rsid w:val="00C716A1"/>
    <w:rsid w:val="00C731EE"/>
    <w:rsid w:val="00C7358E"/>
    <w:rsid w:val="00C747A6"/>
    <w:rsid w:val="00C76BA2"/>
    <w:rsid w:val="00C77242"/>
    <w:rsid w:val="00C77CE1"/>
    <w:rsid w:val="00C82D14"/>
    <w:rsid w:val="00C87DDC"/>
    <w:rsid w:val="00C90CAA"/>
    <w:rsid w:val="00C91090"/>
    <w:rsid w:val="00C9523D"/>
    <w:rsid w:val="00C967E2"/>
    <w:rsid w:val="00C96D37"/>
    <w:rsid w:val="00CA086C"/>
    <w:rsid w:val="00CA291D"/>
    <w:rsid w:val="00CA398C"/>
    <w:rsid w:val="00CA4FBC"/>
    <w:rsid w:val="00CB1158"/>
    <w:rsid w:val="00CB1A75"/>
    <w:rsid w:val="00CB36A5"/>
    <w:rsid w:val="00CB3751"/>
    <w:rsid w:val="00CB389D"/>
    <w:rsid w:val="00CB396C"/>
    <w:rsid w:val="00CB4F2E"/>
    <w:rsid w:val="00CB6ED5"/>
    <w:rsid w:val="00CC0219"/>
    <w:rsid w:val="00CC1261"/>
    <w:rsid w:val="00CC1D99"/>
    <w:rsid w:val="00CC265A"/>
    <w:rsid w:val="00CC2EEF"/>
    <w:rsid w:val="00CC472A"/>
    <w:rsid w:val="00CC49A0"/>
    <w:rsid w:val="00CC58BC"/>
    <w:rsid w:val="00CC5CB9"/>
    <w:rsid w:val="00CC603E"/>
    <w:rsid w:val="00CC67ED"/>
    <w:rsid w:val="00CC702A"/>
    <w:rsid w:val="00CC70B3"/>
    <w:rsid w:val="00CD0C7B"/>
    <w:rsid w:val="00CD23B3"/>
    <w:rsid w:val="00CD3B02"/>
    <w:rsid w:val="00CD4959"/>
    <w:rsid w:val="00CD4AB6"/>
    <w:rsid w:val="00CD78D0"/>
    <w:rsid w:val="00CE0F32"/>
    <w:rsid w:val="00CE36AF"/>
    <w:rsid w:val="00CE3997"/>
    <w:rsid w:val="00CE6637"/>
    <w:rsid w:val="00CF2AC5"/>
    <w:rsid w:val="00CF2F5B"/>
    <w:rsid w:val="00CF40A5"/>
    <w:rsid w:val="00CF65C3"/>
    <w:rsid w:val="00CF664A"/>
    <w:rsid w:val="00CF7432"/>
    <w:rsid w:val="00D0110A"/>
    <w:rsid w:val="00D038DB"/>
    <w:rsid w:val="00D04ED2"/>
    <w:rsid w:val="00D0787B"/>
    <w:rsid w:val="00D07FEC"/>
    <w:rsid w:val="00D107D0"/>
    <w:rsid w:val="00D112A6"/>
    <w:rsid w:val="00D134DB"/>
    <w:rsid w:val="00D14717"/>
    <w:rsid w:val="00D14873"/>
    <w:rsid w:val="00D15A91"/>
    <w:rsid w:val="00D1633B"/>
    <w:rsid w:val="00D21BB1"/>
    <w:rsid w:val="00D21E7D"/>
    <w:rsid w:val="00D22128"/>
    <w:rsid w:val="00D226A6"/>
    <w:rsid w:val="00D230C3"/>
    <w:rsid w:val="00D261F6"/>
    <w:rsid w:val="00D26F1B"/>
    <w:rsid w:val="00D27E49"/>
    <w:rsid w:val="00D308D9"/>
    <w:rsid w:val="00D32985"/>
    <w:rsid w:val="00D33E95"/>
    <w:rsid w:val="00D34249"/>
    <w:rsid w:val="00D359DA"/>
    <w:rsid w:val="00D4224D"/>
    <w:rsid w:val="00D426BF"/>
    <w:rsid w:val="00D434E9"/>
    <w:rsid w:val="00D45E0E"/>
    <w:rsid w:val="00D46B08"/>
    <w:rsid w:val="00D46B8E"/>
    <w:rsid w:val="00D4707F"/>
    <w:rsid w:val="00D53F6B"/>
    <w:rsid w:val="00D55489"/>
    <w:rsid w:val="00D55593"/>
    <w:rsid w:val="00D55A07"/>
    <w:rsid w:val="00D55BB2"/>
    <w:rsid w:val="00D605BF"/>
    <w:rsid w:val="00D6163A"/>
    <w:rsid w:val="00D6216F"/>
    <w:rsid w:val="00D6296A"/>
    <w:rsid w:val="00D62A5C"/>
    <w:rsid w:val="00D63AF9"/>
    <w:rsid w:val="00D63C79"/>
    <w:rsid w:val="00D6412C"/>
    <w:rsid w:val="00D64475"/>
    <w:rsid w:val="00D658FB"/>
    <w:rsid w:val="00D666B1"/>
    <w:rsid w:val="00D727AE"/>
    <w:rsid w:val="00D728B8"/>
    <w:rsid w:val="00D75032"/>
    <w:rsid w:val="00D80B41"/>
    <w:rsid w:val="00D81ACD"/>
    <w:rsid w:val="00D81C55"/>
    <w:rsid w:val="00D81FB2"/>
    <w:rsid w:val="00D826E4"/>
    <w:rsid w:val="00D83FC0"/>
    <w:rsid w:val="00D84158"/>
    <w:rsid w:val="00D846A6"/>
    <w:rsid w:val="00D84896"/>
    <w:rsid w:val="00D84CF7"/>
    <w:rsid w:val="00D85805"/>
    <w:rsid w:val="00D85C9F"/>
    <w:rsid w:val="00D860D1"/>
    <w:rsid w:val="00D8719C"/>
    <w:rsid w:val="00D87274"/>
    <w:rsid w:val="00D8771B"/>
    <w:rsid w:val="00D91761"/>
    <w:rsid w:val="00D9324E"/>
    <w:rsid w:val="00D96CEF"/>
    <w:rsid w:val="00DA2F01"/>
    <w:rsid w:val="00DA32C0"/>
    <w:rsid w:val="00DA3DD0"/>
    <w:rsid w:val="00DA4B8F"/>
    <w:rsid w:val="00DA5A00"/>
    <w:rsid w:val="00DA5A6B"/>
    <w:rsid w:val="00DA65B5"/>
    <w:rsid w:val="00DA6976"/>
    <w:rsid w:val="00DA72D2"/>
    <w:rsid w:val="00DA770C"/>
    <w:rsid w:val="00DB17A2"/>
    <w:rsid w:val="00DB309B"/>
    <w:rsid w:val="00DB33B5"/>
    <w:rsid w:val="00DB4CEB"/>
    <w:rsid w:val="00DB5E50"/>
    <w:rsid w:val="00DB5F21"/>
    <w:rsid w:val="00DB756A"/>
    <w:rsid w:val="00DC2A75"/>
    <w:rsid w:val="00DC411C"/>
    <w:rsid w:val="00DC4DD6"/>
    <w:rsid w:val="00DC511E"/>
    <w:rsid w:val="00DC58D2"/>
    <w:rsid w:val="00DC676F"/>
    <w:rsid w:val="00DC67C4"/>
    <w:rsid w:val="00DC6FCC"/>
    <w:rsid w:val="00DD16B4"/>
    <w:rsid w:val="00DD1E89"/>
    <w:rsid w:val="00DD351D"/>
    <w:rsid w:val="00DD4E67"/>
    <w:rsid w:val="00DD5181"/>
    <w:rsid w:val="00DD5191"/>
    <w:rsid w:val="00DD5D89"/>
    <w:rsid w:val="00DD69F0"/>
    <w:rsid w:val="00DE1059"/>
    <w:rsid w:val="00DE1178"/>
    <w:rsid w:val="00DE14E0"/>
    <w:rsid w:val="00DE1518"/>
    <w:rsid w:val="00DE1674"/>
    <w:rsid w:val="00DE47DA"/>
    <w:rsid w:val="00DE588A"/>
    <w:rsid w:val="00DE6B96"/>
    <w:rsid w:val="00DE72B5"/>
    <w:rsid w:val="00DE7983"/>
    <w:rsid w:val="00DE7C2E"/>
    <w:rsid w:val="00DF071D"/>
    <w:rsid w:val="00DF24D3"/>
    <w:rsid w:val="00DF4B1A"/>
    <w:rsid w:val="00DF4B6F"/>
    <w:rsid w:val="00DF4D27"/>
    <w:rsid w:val="00DF7DC3"/>
    <w:rsid w:val="00E011E8"/>
    <w:rsid w:val="00E02087"/>
    <w:rsid w:val="00E022D2"/>
    <w:rsid w:val="00E03782"/>
    <w:rsid w:val="00E045AA"/>
    <w:rsid w:val="00E0488C"/>
    <w:rsid w:val="00E068E5"/>
    <w:rsid w:val="00E06C23"/>
    <w:rsid w:val="00E07837"/>
    <w:rsid w:val="00E07F14"/>
    <w:rsid w:val="00E1389A"/>
    <w:rsid w:val="00E139AD"/>
    <w:rsid w:val="00E14185"/>
    <w:rsid w:val="00E14255"/>
    <w:rsid w:val="00E1598C"/>
    <w:rsid w:val="00E161D7"/>
    <w:rsid w:val="00E16FCB"/>
    <w:rsid w:val="00E21FC2"/>
    <w:rsid w:val="00E22AB0"/>
    <w:rsid w:val="00E22EC4"/>
    <w:rsid w:val="00E2479F"/>
    <w:rsid w:val="00E24C01"/>
    <w:rsid w:val="00E27A52"/>
    <w:rsid w:val="00E304F3"/>
    <w:rsid w:val="00E30608"/>
    <w:rsid w:val="00E31EF4"/>
    <w:rsid w:val="00E31F11"/>
    <w:rsid w:val="00E321EA"/>
    <w:rsid w:val="00E3642B"/>
    <w:rsid w:val="00E4071F"/>
    <w:rsid w:val="00E41DDB"/>
    <w:rsid w:val="00E42FEF"/>
    <w:rsid w:val="00E43E99"/>
    <w:rsid w:val="00E44063"/>
    <w:rsid w:val="00E46ABD"/>
    <w:rsid w:val="00E50BDE"/>
    <w:rsid w:val="00E51462"/>
    <w:rsid w:val="00E520D6"/>
    <w:rsid w:val="00E5265E"/>
    <w:rsid w:val="00E543AA"/>
    <w:rsid w:val="00E55749"/>
    <w:rsid w:val="00E55DE0"/>
    <w:rsid w:val="00E56414"/>
    <w:rsid w:val="00E56A7B"/>
    <w:rsid w:val="00E605DA"/>
    <w:rsid w:val="00E61B35"/>
    <w:rsid w:val="00E63165"/>
    <w:rsid w:val="00E63726"/>
    <w:rsid w:val="00E66F63"/>
    <w:rsid w:val="00E73105"/>
    <w:rsid w:val="00E736E5"/>
    <w:rsid w:val="00E7451E"/>
    <w:rsid w:val="00E7504F"/>
    <w:rsid w:val="00E80EEE"/>
    <w:rsid w:val="00E83460"/>
    <w:rsid w:val="00E84381"/>
    <w:rsid w:val="00E849DE"/>
    <w:rsid w:val="00E84D16"/>
    <w:rsid w:val="00E85C00"/>
    <w:rsid w:val="00E8689E"/>
    <w:rsid w:val="00E86BF0"/>
    <w:rsid w:val="00E86E29"/>
    <w:rsid w:val="00E94B67"/>
    <w:rsid w:val="00E9682F"/>
    <w:rsid w:val="00E9695D"/>
    <w:rsid w:val="00E97256"/>
    <w:rsid w:val="00EA0CD1"/>
    <w:rsid w:val="00EA19B2"/>
    <w:rsid w:val="00EA268F"/>
    <w:rsid w:val="00EA26D1"/>
    <w:rsid w:val="00EA291D"/>
    <w:rsid w:val="00EA49E5"/>
    <w:rsid w:val="00EA5109"/>
    <w:rsid w:val="00EA5551"/>
    <w:rsid w:val="00EA5883"/>
    <w:rsid w:val="00EA615D"/>
    <w:rsid w:val="00EB1297"/>
    <w:rsid w:val="00EB4347"/>
    <w:rsid w:val="00EB44AF"/>
    <w:rsid w:val="00EB606D"/>
    <w:rsid w:val="00EB6ECE"/>
    <w:rsid w:val="00EB7AEA"/>
    <w:rsid w:val="00EB7B39"/>
    <w:rsid w:val="00EC0E42"/>
    <w:rsid w:val="00EC1AC3"/>
    <w:rsid w:val="00EC268F"/>
    <w:rsid w:val="00EC4556"/>
    <w:rsid w:val="00EC49EC"/>
    <w:rsid w:val="00EC6E80"/>
    <w:rsid w:val="00EC6FE7"/>
    <w:rsid w:val="00ED0DE1"/>
    <w:rsid w:val="00ED45C1"/>
    <w:rsid w:val="00ED6D9C"/>
    <w:rsid w:val="00ED741E"/>
    <w:rsid w:val="00EE2E4B"/>
    <w:rsid w:val="00EE3C51"/>
    <w:rsid w:val="00EE47E8"/>
    <w:rsid w:val="00EE6437"/>
    <w:rsid w:val="00EF0761"/>
    <w:rsid w:val="00EF1A16"/>
    <w:rsid w:val="00EF3E2A"/>
    <w:rsid w:val="00EF4396"/>
    <w:rsid w:val="00EF4E6D"/>
    <w:rsid w:val="00EF5187"/>
    <w:rsid w:val="00F00BDA"/>
    <w:rsid w:val="00F01268"/>
    <w:rsid w:val="00F024E1"/>
    <w:rsid w:val="00F02EA9"/>
    <w:rsid w:val="00F049EA"/>
    <w:rsid w:val="00F05A87"/>
    <w:rsid w:val="00F1146C"/>
    <w:rsid w:val="00F1187A"/>
    <w:rsid w:val="00F1411B"/>
    <w:rsid w:val="00F141D9"/>
    <w:rsid w:val="00F211A1"/>
    <w:rsid w:val="00F21C72"/>
    <w:rsid w:val="00F27DDA"/>
    <w:rsid w:val="00F308CB"/>
    <w:rsid w:val="00F30BAB"/>
    <w:rsid w:val="00F31C69"/>
    <w:rsid w:val="00F31EFF"/>
    <w:rsid w:val="00F35179"/>
    <w:rsid w:val="00F35C96"/>
    <w:rsid w:val="00F35F69"/>
    <w:rsid w:val="00F3650D"/>
    <w:rsid w:val="00F366EB"/>
    <w:rsid w:val="00F40DC0"/>
    <w:rsid w:val="00F4120B"/>
    <w:rsid w:val="00F41993"/>
    <w:rsid w:val="00F41DB5"/>
    <w:rsid w:val="00F42C91"/>
    <w:rsid w:val="00F42CA5"/>
    <w:rsid w:val="00F45C54"/>
    <w:rsid w:val="00F45DAA"/>
    <w:rsid w:val="00F4717D"/>
    <w:rsid w:val="00F47DED"/>
    <w:rsid w:val="00F51D4B"/>
    <w:rsid w:val="00F542D7"/>
    <w:rsid w:val="00F554E3"/>
    <w:rsid w:val="00F55E4E"/>
    <w:rsid w:val="00F55F7E"/>
    <w:rsid w:val="00F56417"/>
    <w:rsid w:val="00F564F2"/>
    <w:rsid w:val="00F570AC"/>
    <w:rsid w:val="00F5721A"/>
    <w:rsid w:val="00F61145"/>
    <w:rsid w:val="00F61C4D"/>
    <w:rsid w:val="00F6274A"/>
    <w:rsid w:val="00F635A9"/>
    <w:rsid w:val="00F70523"/>
    <w:rsid w:val="00F707AC"/>
    <w:rsid w:val="00F70EA8"/>
    <w:rsid w:val="00F720B6"/>
    <w:rsid w:val="00F72903"/>
    <w:rsid w:val="00F74DE0"/>
    <w:rsid w:val="00F754D9"/>
    <w:rsid w:val="00F757EB"/>
    <w:rsid w:val="00F765DD"/>
    <w:rsid w:val="00F76F81"/>
    <w:rsid w:val="00F801C7"/>
    <w:rsid w:val="00F81181"/>
    <w:rsid w:val="00F852AE"/>
    <w:rsid w:val="00F85DCD"/>
    <w:rsid w:val="00F879B3"/>
    <w:rsid w:val="00F90803"/>
    <w:rsid w:val="00F926B8"/>
    <w:rsid w:val="00F941D0"/>
    <w:rsid w:val="00F95475"/>
    <w:rsid w:val="00F954BD"/>
    <w:rsid w:val="00F97B0F"/>
    <w:rsid w:val="00FA05DA"/>
    <w:rsid w:val="00FA0B76"/>
    <w:rsid w:val="00FA1E47"/>
    <w:rsid w:val="00FA3AA3"/>
    <w:rsid w:val="00FA4C51"/>
    <w:rsid w:val="00FA673F"/>
    <w:rsid w:val="00FB06D1"/>
    <w:rsid w:val="00FB11E2"/>
    <w:rsid w:val="00FB1D8B"/>
    <w:rsid w:val="00FB34C0"/>
    <w:rsid w:val="00FB4A27"/>
    <w:rsid w:val="00FB585C"/>
    <w:rsid w:val="00FB645D"/>
    <w:rsid w:val="00FB71A3"/>
    <w:rsid w:val="00FB78B0"/>
    <w:rsid w:val="00FB79F7"/>
    <w:rsid w:val="00FB7AC0"/>
    <w:rsid w:val="00FC08D6"/>
    <w:rsid w:val="00FC2082"/>
    <w:rsid w:val="00FC380A"/>
    <w:rsid w:val="00FC3DE8"/>
    <w:rsid w:val="00FC43C8"/>
    <w:rsid w:val="00FC5333"/>
    <w:rsid w:val="00FC6500"/>
    <w:rsid w:val="00FC66FF"/>
    <w:rsid w:val="00FC6E36"/>
    <w:rsid w:val="00FC7657"/>
    <w:rsid w:val="00FC78F0"/>
    <w:rsid w:val="00FC7F94"/>
    <w:rsid w:val="00FD04D1"/>
    <w:rsid w:val="00FD3DED"/>
    <w:rsid w:val="00FD5080"/>
    <w:rsid w:val="00FD53E0"/>
    <w:rsid w:val="00FD6001"/>
    <w:rsid w:val="00FD75D9"/>
    <w:rsid w:val="00FE1737"/>
    <w:rsid w:val="00FE3DCA"/>
    <w:rsid w:val="00FE43D3"/>
    <w:rsid w:val="00FE473A"/>
    <w:rsid w:val="00FE48BF"/>
    <w:rsid w:val="00FE4A4F"/>
    <w:rsid w:val="00FE6DA1"/>
    <w:rsid w:val="00FE7054"/>
    <w:rsid w:val="00FE7D3B"/>
    <w:rsid w:val="00FF236D"/>
    <w:rsid w:val="00FF3E60"/>
    <w:rsid w:val="00FF4FD6"/>
    <w:rsid w:val="00FF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DACACE"/>
  <w15:docId w15:val="{C592F541-03D2-4300-B46C-74AC8C64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rPr>
  </w:style>
  <w:style w:type="paragraph" w:styleId="Heading1">
    <w:name w:val="heading 1"/>
    <w:basedOn w:val="Normal"/>
    <w:next w:val="Normal"/>
    <w:link w:val="Heading1Char"/>
    <w:qFormat/>
    <w:pPr>
      <w:keepNext/>
      <w:tabs>
        <w:tab w:val="center" w:pos="4680"/>
      </w:tabs>
      <w:suppressAutoHyphens/>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pPr>
    <w:rPr>
      <w:b/>
      <w:sz w:val="36"/>
    </w:rPr>
  </w:style>
  <w:style w:type="paragraph" w:styleId="EndnoteText">
    <w:name w:val="endnote text"/>
    <w:basedOn w:val="Normal"/>
    <w:link w:val="EndnoteTextChar"/>
    <w:semiHidden/>
    <w:rPr>
      <w:lang w:val="x-none" w:eastAsia="x-none"/>
    </w:rPr>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lang w:val="x-none" w:eastAsia="x-none"/>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character" w:customStyle="1" w:styleId="Heading1Char">
    <w:name w:val="Heading 1 Char"/>
    <w:basedOn w:val="DefaultParagraphFont"/>
    <w:link w:val="Heading1"/>
    <w:rsid w:val="00C57848"/>
    <w:rPr>
      <w:rFonts w:ascii="Book Antiqua" w:hAnsi="Book Antiqua"/>
      <w:b/>
      <w:sz w:val="24"/>
      <w:u w:val="single"/>
    </w:rPr>
  </w:style>
  <w:style w:type="character" w:customStyle="1" w:styleId="HeaderChar">
    <w:name w:val="Header Char"/>
    <w:basedOn w:val="DefaultParagraphFont"/>
    <w:link w:val="Header"/>
    <w:rsid w:val="00C96D37"/>
    <w:rPr>
      <w:rFonts w:ascii="Book Antiqua" w:hAnsi="Book Antiqua"/>
      <w:sz w:val="24"/>
    </w:rPr>
  </w:style>
  <w:style w:type="character" w:styleId="Hyperlink">
    <w:name w:val="Hyperlink"/>
    <w:basedOn w:val="DefaultParagraphFont"/>
    <w:rsid w:val="00025F35"/>
    <w:rPr>
      <w:color w:val="0000FF" w:themeColor="hyperlink"/>
      <w:u w:val="single"/>
    </w:rPr>
  </w:style>
  <w:style w:type="paragraph" w:styleId="NoSpacing">
    <w:name w:val="No Spacing"/>
    <w:uiPriority w:val="1"/>
    <w:qFormat/>
    <w:rsid w:val="00D04ED2"/>
    <w:pPr>
      <w:jc w:val="left"/>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6331B5"/>
    <w:pPr>
      <w:spacing w:before="100" w:beforeAutospacing="1" w:after="100" w:afterAutospacing="1"/>
      <w:jc w:val="left"/>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14140786">
      <w:bodyDiv w:val="1"/>
      <w:marLeft w:val="0"/>
      <w:marRight w:val="0"/>
      <w:marTop w:val="0"/>
      <w:marBottom w:val="0"/>
      <w:divBdr>
        <w:top w:val="none" w:sz="0" w:space="0" w:color="auto"/>
        <w:left w:val="none" w:sz="0" w:space="0" w:color="auto"/>
        <w:bottom w:val="none" w:sz="0" w:space="0" w:color="auto"/>
        <w:right w:val="none" w:sz="0" w:space="0" w:color="auto"/>
      </w:divBdr>
    </w:div>
    <w:div w:id="350882580">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7.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yperlink" Target="http://www.puc.pa.gov" TargetMode="Externa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8.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9.xml"/><Relationship Id="rId43"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E93F-52EF-4B74-89F4-4FAD8647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Burger, Lori</cp:lastModifiedBy>
  <cp:revision>27</cp:revision>
  <cp:lastPrinted>2018-11-14T14:28:00Z</cp:lastPrinted>
  <dcterms:created xsi:type="dcterms:W3CDTF">2018-11-14T13:49:00Z</dcterms:created>
  <dcterms:modified xsi:type="dcterms:W3CDTF">2018-12-03T14:03:00Z</dcterms:modified>
</cp:coreProperties>
</file>