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47BBC75A" w14:textId="2798FF30" w:rsidR="00206F9E" w:rsidRPr="00F50ADF" w:rsidRDefault="004B0821" w:rsidP="004B0821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January 2, 2019</w:t>
      </w:r>
    </w:p>
    <w:p w14:paraId="3E8F4E38" w14:textId="7AB51157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047ABD">
        <w:rPr>
          <w:color w:val="000000" w:themeColor="text1"/>
          <w:sz w:val="26"/>
          <w:szCs w:val="26"/>
        </w:rPr>
        <w:t>R-2018-3000124</w:t>
      </w:r>
    </w:p>
    <w:p w14:paraId="1AB89349" w14:textId="116AB6F3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047ABD">
        <w:rPr>
          <w:color w:val="000000" w:themeColor="text1"/>
          <w:sz w:val="26"/>
          <w:szCs w:val="26"/>
        </w:rPr>
        <w:t>110150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A7A19A4" w14:textId="5F2FA942" w:rsidR="00206F9E" w:rsidRDefault="00047ABD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Anthony D. </w:t>
      </w:r>
      <w:proofErr w:type="spellStart"/>
      <w:r>
        <w:rPr>
          <w:color w:val="000000" w:themeColor="text1"/>
          <w:sz w:val="26"/>
          <w:szCs w:val="26"/>
        </w:rPr>
        <w:t>Kanagy</w:t>
      </w:r>
      <w:proofErr w:type="spellEnd"/>
    </w:p>
    <w:p w14:paraId="427D2B95" w14:textId="03529DDD" w:rsidR="00047ABD" w:rsidRDefault="00047ABD" w:rsidP="00206F9E">
      <w:pPr>
        <w:rPr>
          <w:sz w:val="26"/>
          <w:szCs w:val="26"/>
        </w:rPr>
      </w:pPr>
      <w:r>
        <w:rPr>
          <w:sz w:val="26"/>
          <w:szCs w:val="26"/>
        </w:rPr>
        <w:t>Post &amp; Schell</w:t>
      </w:r>
    </w:p>
    <w:p w14:paraId="137EE567" w14:textId="03E356DC" w:rsidR="00047ABD" w:rsidRDefault="00047ABD" w:rsidP="00206F9E">
      <w:pPr>
        <w:rPr>
          <w:sz w:val="26"/>
          <w:szCs w:val="26"/>
        </w:rPr>
      </w:pPr>
      <w:r>
        <w:rPr>
          <w:sz w:val="26"/>
          <w:szCs w:val="26"/>
        </w:rPr>
        <w:t>17 North Second Street 12</w:t>
      </w:r>
      <w:r w:rsidRPr="00047AB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Floor</w:t>
      </w:r>
    </w:p>
    <w:p w14:paraId="4387FB61" w14:textId="68721D57" w:rsidR="00047ABD" w:rsidRPr="00F50ADF" w:rsidRDefault="00047ABD" w:rsidP="00206F9E">
      <w:pPr>
        <w:rPr>
          <w:sz w:val="26"/>
          <w:szCs w:val="26"/>
        </w:rPr>
      </w:pPr>
      <w:r>
        <w:rPr>
          <w:sz w:val="26"/>
          <w:szCs w:val="26"/>
        </w:rPr>
        <w:t>Harrisburg, PA  17101-1601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781149E9" w14:textId="77777777" w:rsidR="00760738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760738">
        <w:rPr>
          <w:color w:val="000000" w:themeColor="text1"/>
          <w:sz w:val="26"/>
          <w:szCs w:val="26"/>
        </w:rPr>
        <w:t>Duquesne Light Company;</w:t>
      </w:r>
    </w:p>
    <w:p w14:paraId="6BB1AEFB" w14:textId="569E3D63" w:rsidR="00206F9E" w:rsidRPr="00F50ADF" w:rsidRDefault="00760738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Supplement No. 188 to Tariff Electric – P</w:t>
      </w:r>
      <w:r w:rsidR="009656E2">
        <w:rPr>
          <w:color w:val="000000" w:themeColor="text1"/>
          <w:sz w:val="26"/>
          <w:szCs w:val="26"/>
        </w:rPr>
        <w:t>a.</w:t>
      </w:r>
      <w:r>
        <w:rPr>
          <w:color w:val="000000" w:themeColor="text1"/>
          <w:sz w:val="26"/>
          <w:szCs w:val="26"/>
        </w:rPr>
        <w:t xml:space="preserve"> P.U.C. No.</w:t>
      </w:r>
      <w:r w:rsidR="009656E2">
        <w:rPr>
          <w:color w:val="000000" w:themeColor="text1"/>
          <w:sz w:val="26"/>
          <w:szCs w:val="26"/>
        </w:rPr>
        <w:t xml:space="preserve"> 24</w:t>
      </w:r>
      <w:r>
        <w:rPr>
          <w:color w:val="000000" w:themeColor="text1"/>
          <w:sz w:val="26"/>
          <w:szCs w:val="26"/>
        </w:rPr>
        <w:t xml:space="preserve"> </w:t>
      </w:r>
      <w:r w:rsidR="00206F9E" w:rsidRPr="00F50ADF">
        <w:rPr>
          <w:color w:val="000000" w:themeColor="text1"/>
          <w:sz w:val="26"/>
          <w:szCs w:val="26"/>
        </w:rPr>
        <w:t xml:space="preserve"> 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490188A6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="009656E2">
        <w:rPr>
          <w:color w:val="000000" w:themeColor="text1"/>
          <w:sz w:val="26"/>
          <w:szCs w:val="26"/>
        </w:rPr>
        <w:t xml:space="preserve">Mr. </w:t>
      </w:r>
      <w:proofErr w:type="spellStart"/>
      <w:r w:rsidR="009656E2">
        <w:rPr>
          <w:color w:val="000000" w:themeColor="text1"/>
          <w:sz w:val="26"/>
          <w:szCs w:val="26"/>
        </w:rPr>
        <w:t>Kanagy</w:t>
      </w:r>
      <w:proofErr w:type="spellEnd"/>
      <w:r w:rsidRPr="00F50ADF">
        <w:rPr>
          <w:color w:val="000000" w:themeColor="text1"/>
          <w:sz w:val="26"/>
          <w:szCs w:val="26"/>
        </w:rPr>
        <w:t>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41E7DA6F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9656E2">
        <w:rPr>
          <w:sz w:val="26"/>
          <w:szCs w:val="26"/>
        </w:rPr>
        <w:t>December 20, 2018</w:t>
      </w:r>
      <w:r w:rsidRPr="00F50ADF">
        <w:rPr>
          <w:sz w:val="26"/>
          <w:szCs w:val="26"/>
        </w:rPr>
        <w:t xml:space="preserve">, the Commission authorized </w:t>
      </w:r>
      <w:r w:rsidR="009656E2">
        <w:rPr>
          <w:color w:val="000000" w:themeColor="text1"/>
          <w:sz w:val="26"/>
          <w:szCs w:val="26"/>
        </w:rPr>
        <w:t>Duquesne Light Company</w:t>
      </w:r>
      <w:r w:rsidRPr="00F50ADF">
        <w:rPr>
          <w:sz w:val="26"/>
          <w:szCs w:val="26"/>
        </w:rPr>
        <w:t xml:space="preserve"> 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 xml:space="preserve">Company) to file </w:t>
      </w:r>
      <w:r w:rsidR="009656E2">
        <w:rPr>
          <w:sz w:val="26"/>
          <w:szCs w:val="26"/>
        </w:rPr>
        <w:t>the</w:t>
      </w:r>
      <w:r w:rsidRPr="00F50ADF">
        <w:rPr>
          <w:sz w:val="26"/>
          <w:szCs w:val="26"/>
        </w:rPr>
        <w:t xml:space="preserve"> tariff supplement </w:t>
      </w:r>
      <w:r w:rsidR="009656E2">
        <w:rPr>
          <w:sz w:val="26"/>
          <w:szCs w:val="26"/>
        </w:rPr>
        <w:t>contained</w:t>
      </w:r>
      <w:r w:rsidRPr="00F50ADF">
        <w:rPr>
          <w:sz w:val="26"/>
          <w:szCs w:val="26"/>
        </w:rPr>
        <w:t xml:space="preserve"> in Appendix A to the Joint </w:t>
      </w:r>
      <w:r w:rsidR="009656E2" w:rsidRPr="00F50ADF">
        <w:rPr>
          <w:sz w:val="26"/>
          <w:szCs w:val="26"/>
        </w:rPr>
        <w:t xml:space="preserve">Petition for </w:t>
      </w:r>
      <w:r w:rsidR="009656E2">
        <w:rPr>
          <w:sz w:val="26"/>
          <w:szCs w:val="26"/>
        </w:rPr>
        <w:t xml:space="preserve">Approval of </w:t>
      </w:r>
      <w:r w:rsidRPr="00F50ADF">
        <w:rPr>
          <w:sz w:val="26"/>
          <w:szCs w:val="26"/>
        </w:rPr>
        <w:t xml:space="preserve">Settlement </w:t>
      </w:r>
      <w:r w:rsidR="009656E2">
        <w:rPr>
          <w:sz w:val="26"/>
          <w:szCs w:val="26"/>
        </w:rPr>
        <w:t>Stipulation</w:t>
      </w:r>
      <w:r w:rsidR="00C62A71" w:rsidRPr="00F50ADF">
        <w:rPr>
          <w:sz w:val="26"/>
          <w:szCs w:val="26"/>
        </w:rPr>
        <w:t xml:space="preserve"> filed in the above docketed rate investigation</w:t>
      </w:r>
      <w:r w:rsidRPr="00F50ADF">
        <w:rPr>
          <w:sz w:val="26"/>
          <w:szCs w:val="26"/>
        </w:rPr>
        <w:t>, designed to produce additional annual operating revenues of not more than $</w:t>
      </w:r>
      <w:r w:rsidR="009656E2">
        <w:rPr>
          <w:sz w:val="26"/>
          <w:szCs w:val="26"/>
        </w:rPr>
        <w:t>92.7 million</w:t>
      </w:r>
      <w:r w:rsidRPr="00F50ADF">
        <w:rPr>
          <w:sz w:val="26"/>
          <w:szCs w:val="26"/>
        </w:rPr>
        <w:t xml:space="preserve">.  On </w:t>
      </w:r>
      <w:r w:rsidR="009656E2">
        <w:rPr>
          <w:sz w:val="26"/>
          <w:szCs w:val="26"/>
        </w:rPr>
        <w:t>December 21, 2018</w:t>
      </w:r>
      <w:r w:rsidRPr="00F50ADF">
        <w:rPr>
          <w:sz w:val="26"/>
          <w:szCs w:val="26"/>
        </w:rPr>
        <w:t xml:space="preserve">, the Company filed </w:t>
      </w:r>
      <w:r w:rsidR="009656E2">
        <w:rPr>
          <w:color w:val="000000" w:themeColor="text1"/>
          <w:sz w:val="26"/>
          <w:szCs w:val="26"/>
        </w:rPr>
        <w:t>Supplement No. 188 to Tariff Electric – Pa. P.U.C. No. 24</w:t>
      </w:r>
      <w:r w:rsidRPr="00F50ADF">
        <w:rPr>
          <w:sz w:val="26"/>
          <w:szCs w:val="26"/>
        </w:rPr>
        <w:t xml:space="preserve"> to become effective </w:t>
      </w:r>
      <w:r w:rsidR="009656E2">
        <w:rPr>
          <w:sz w:val="26"/>
          <w:szCs w:val="26"/>
        </w:rPr>
        <w:t>December 29, 2018</w:t>
      </w:r>
      <w:r w:rsidRPr="00F50ADF">
        <w:rPr>
          <w:sz w:val="26"/>
          <w:szCs w:val="26"/>
        </w:rPr>
        <w:t>.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0D8B48F6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C224A1">
        <w:rPr>
          <w:color w:val="000000" w:themeColor="text1"/>
          <w:sz w:val="26"/>
          <w:szCs w:val="26"/>
        </w:rPr>
        <w:t xml:space="preserve">Supplement No. 188 to Tariff Electric – Pa. P.U.C. No. 24 </w:t>
      </w:r>
      <w:r w:rsidRPr="00F50ADF">
        <w:rPr>
          <w:sz w:val="26"/>
          <w:szCs w:val="26"/>
        </w:rPr>
        <w:t xml:space="preserve">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66B01C41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If you have any questions in this matter, please contact </w:t>
      </w:r>
      <w:r w:rsidR="00C224A1">
        <w:rPr>
          <w:sz w:val="26"/>
          <w:szCs w:val="26"/>
        </w:rPr>
        <w:t>Marissa Boyle</w:t>
      </w:r>
      <w:r w:rsidR="00A0369A" w:rsidRPr="00F50ADF">
        <w:rPr>
          <w:sz w:val="26"/>
          <w:szCs w:val="26"/>
        </w:rPr>
        <w:t xml:space="preserve"> of the Bureau of Technical Utility Services at </w:t>
      </w:r>
      <w:r w:rsidR="00C224A1">
        <w:rPr>
          <w:sz w:val="26"/>
          <w:szCs w:val="26"/>
        </w:rPr>
        <w:t>717-787-7237</w:t>
      </w:r>
      <w:r w:rsidR="00A0369A" w:rsidRPr="00F50ADF">
        <w:rPr>
          <w:sz w:val="26"/>
          <w:szCs w:val="26"/>
        </w:rPr>
        <w:t xml:space="preserve"> or </w:t>
      </w:r>
      <w:hyperlink r:id="rId8" w:history="1">
        <w:r w:rsidR="00C224A1" w:rsidRPr="00414F38">
          <w:rPr>
            <w:rStyle w:val="Hyperlink"/>
            <w:sz w:val="26"/>
            <w:szCs w:val="26"/>
          </w:rPr>
          <w:t>maboyle@pa.gov</w:t>
        </w:r>
      </w:hyperlink>
      <w:r w:rsidR="00A0369A" w:rsidRPr="00F50ADF">
        <w:rPr>
          <w:color w:val="000000" w:themeColor="text1"/>
          <w:sz w:val="26"/>
          <w:szCs w:val="26"/>
        </w:rPr>
        <w:t>.</w:t>
      </w:r>
    </w:p>
    <w:p w14:paraId="649F73C0" w14:textId="77777777" w:rsidR="00B25811" w:rsidRPr="00F50ADF" w:rsidRDefault="00B25811" w:rsidP="00722527">
      <w:pPr>
        <w:rPr>
          <w:sz w:val="26"/>
          <w:szCs w:val="26"/>
        </w:rPr>
      </w:pPr>
    </w:p>
    <w:p w14:paraId="542887C8" w14:textId="2B77552F" w:rsidR="00722527" w:rsidRPr="00F50ADF" w:rsidRDefault="004B0821" w:rsidP="00722527">
      <w:pPr>
        <w:rPr>
          <w:sz w:val="26"/>
          <w:szCs w:val="26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49FF1AB5" wp14:editId="6C11B792">
            <wp:simplePos x="0" y="0"/>
            <wp:positionH relativeFrom="column">
              <wp:posOffset>2390775</wp:posOffset>
            </wp:positionH>
            <wp:positionV relativeFrom="paragraph">
              <wp:posOffset>84455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77BB4DD8" w:rsidR="00722527" w:rsidRPr="00F50ADF" w:rsidRDefault="00722527" w:rsidP="00722527">
      <w:pPr>
        <w:rPr>
          <w:sz w:val="26"/>
          <w:szCs w:val="26"/>
        </w:rPr>
      </w:pPr>
    </w:p>
    <w:p w14:paraId="0ECCD200" w14:textId="6D09C92B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4CB19A5A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547B416A" w14:textId="77777777" w:rsidR="00B25811" w:rsidRPr="00F50ADF" w:rsidRDefault="00B25811" w:rsidP="00B25811">
      <w:pPr>
        <w:rPr>
          <w:sz w:val="26"/>
          <w:szCs w:val="26"/>
        </w:rPr>
      </w:pP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44B68" w14:textId="77777777" w:rsidR="00870C0F" w:rsidRDefault="00870C0F">
      <w:r>
        <w:separator/>
      </w:r>
    </w:p>
  </w:endnote>
  <w:endnote w:type="continuationSeparator" w:id="0">
    <w:p w14:paraId="194E2713" w14:textId="77777777" w:rsidR="00870C0F" w:rsidRDefault="0087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3F8D" w14:textId="77777777" w:rsidR="00870C0F" w:rsidRDefault="00870C0F">
      <w:r>
        <w:separator/>
      </w:r>
    </w:p>
  </w:footnote>
  <w:footnote w:type="continuationSeparator" w:id="0">
    <w:p w14:paraId="5689CBD7" w14:textId="77777777" w:rsidR="00870C0F" w:rsidRDefault="0087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7ABD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27C5C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0821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60738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70C0F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656E2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24A1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8A22-27C7-467E-BEE8-7DA62D9B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1621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4</cp:revision>
  <cp:lastPrinted>2016-08-03T12:49:00Z</cp:lastPrinted>
  <dcterms:created xsi:type="dcterms:W3CDTF">2018-12-31T16:23:00Z</dcterms:created>
  <dcterms:modified xsi:type="dcterms:W3CDTF">2019-01-02T12:46:00Z</dcterms:modified>
</cp:coreProperties>
</file>