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91E43" w14:textId="77777777" w:rsidR="008038A1" w:rsidRPr="008038A1" w:rsidRDefault="008038A1" w:rsidP="008038A1">
      <w:pPr>
        <w:jc w:val="center"/>
        <w:rPr>
          <w:b/>
        </w:rPr>
      </w:pPr>
      <w:r w:rsidRPr="008038A1">
        <w:rPr>
          <w:b/>
        </w:rPr>
        <w:t>BEFORE THE</w:t>
      </w:r>
    </w:p>
    <w:p w14:paraId="75CAD20B"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0E8EACF" w14:textId="77777777" w:rsidR="008038A1" w:rsidRPr="008038A1" w:rsidRDefault="008038A1" w:rsidP="008038A1"/>
    <w:p w14:paraId="0284AF97" w14:textId="77777777" w:rsidR="008038A1" w:rsidRPr="008038A1" w:rsidRDefault="008038A1" w:rsidP="008038A1"/>
    <w:p w14:paraId="3750E3A9" w14:textId="77777777" w:rsidR="00CD309F" w:rsidRDefault="00CD309F" w:rsidP="008038A1"/>
    <w:p w14:paraId="353AAB63" w14:textId="08F26344" w:rsidR="00CD7D5D" w:rsidRPr="00EA1625" w:rsidRDefault="003945E9" w:rsidP="00CD7D5D">
      <w:r>
        <w:t>Chet and Michele Duffy</w:t>
      </w:r>
      <w:r w:rsidR="00CD7D5D" w:rsidRPr="00EA1625">
        <w:tab/>
      </w:r>
      <w:r w:rsidR="00CD7D5D" w:rsidRPr="00EA1625">
        <w:tab/>
      </w:r>
      <w:r w:rsidR="00CD7D5D" w:rsidRPr="00EA1625">
        <w:tab/>
      </w:r>
      <w:r w:rsidR="00CD7D5D" w:rsidRPr="00EA1625">
        <w:tab/>
        <w:t>:</w:t>
      </w:r>
      <w:r w:rsidR="00CD7D5D" w:rsidRPr="00EA1625">
        <w:tab/>
      </w:r>
    </w:p>
    <w:p w14:paraId="26CDD028"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40B7442E" w14:textId="658A3CC8" w:rsidR="00CD7D5D" w:rsidRPr="00EA1625" w:rsidRDefault="00CD7D5D" w:rsidP="00CD7D5D">
      <w:pPr>
        <w:numPr>
          <w:ilvl w:val="0"/>
          <w:numId w:val="1"/>
        </w:numPr>
        <w:ind w:hanging="4320"/>
      </w:pPr>
      <w:r w:rsidRPr="00EA1625">
        <w:t>:</w:t>
      </w:r>
      <w:r w:rsidRPr="00EA1625">
        <w:tab/>
      </w:r>
      <w:r w:rsidRPr="00EA1625">
        <w:tab/>
      </w:r>
      <w:r w:rsidR="003945E9">
        <w:t>C-2018-3004871</w:t>
      </w:r>
    </w:p>
    <w:p w14:paraId="51BF74A6" w14:textId="77777777" w:rsidR="00CD7D5D" w:rsidRPr="00EA1625" w:rsidRDefault="00CD7D5D" w:rsidP="00CD7D5D">
      <w:pPr>
        <w:ind w:left="5040"/>
      </w:pPr>
      <w:r w:rsidRPr="00EA1625">
        <w:t>:</w:t>
      </w:r>
    </w:p>
    <w:p w14:paraId="38EAD946" w14:textId="0F04222E" w:rsidR="00CD7D5D" w:rsidRPr="00EA1625" w:rsidRDefault="003945E9" w:rsidP="00CD7D5D">
      <w:r>
        <w:t>Pennsylvania Power Company</w:t>
      </w:r>
      <w:r w:rsidR="00CD7D5D">
        <w:tab/>
      </w:r>
      <w:r w:rsidR="00CD7D5D" w:rsidRPr="00EA1625">
        <w:t xml:space="preserve"> </w:t>
      </w:r>
      <w:r w:rsidR="00CD7D5D" w:rsidRPr="00EA1625">
        <w:tab/>
      </w:r>
      <w:r w:rsidR="00CD7D5D" w:rsidRPr="00EA1625">
        <w:tab/>
        <w:t>:</w:t>
      </w:r>
    </w:p>
    <w:p w14:paraId="249E2B85" w14:textId="77777777" w:rsidR="00CD7D5D" w:rsidRDefault="00CD7D5D" w:rsidP="00CD7D5D"/>
    <w:p w14:paraId="62F86608" w14:textId="77777777" w:rsidR="00CD7D5D" w:rsidRPr="00EA1625" w:rsidRDefault="00CD7D5D" w:rsidP="00CD7D5D"/>
    <w:p w14:paraId="6E6F1D24" w14:textId="77777777" w:rsidR="008409AA" w:rsidRDefault="008409AA" w:rsidP="008038A1"/>
    <w:p w14:paraId="37BDDEEC" w14:textId="77777777"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14:paraId="0A1DCC7E" w14:textId="77777777" w:rsidR="008038A1" w:rsidRDefault="006462F1" w:rsidP="006462F1">
      <w:pPr>
        <w:jc w:val="center"/>
      </w:pPr>
      <w:r>
        <w:t xml:space="preserve">To Cancel Initial </w:t>
      </w:r>
      <w:r w:rsidR="00CD1FD4">
        <w:t>Telephonic</w:t>
      </w:r>
      <w:r>
        <w:t xml:space="preserve"> Hearing</w:t>
      </w:r>
    </w:p>
    <w:p w14:paraId="343ABF90" w14:textId="77777777" w:rsidR="00CD309F" w:rsidRDefault="00CD309F" w:rsidP="008038A1"/>
    <w:p w14:paraId="4CD3BD38" w14:textId="77777777" w:rsidR="00CD7D5D" w:rsidRPr="00EA1625" w:rsidRDefault="00CD7D5D" w:rsidP="00CD7D5D">
      <w:pPr>
        <w:rPr>
          <w:u w:val="single"/>
        </w:rPr>
      </w:pPr>
    </w:p>
    <w:p w14:paraId="0BFBD59B" w14:textId="77777777" w:rsidR="003945E9" w:rsidRDefault="00CD7D5D" w:rsidP="00CD7D5D">
      <w:pPr>
        <w:spacing w:line="360" w:lineRule="auto"/>
      </w:pPr>
      <w:r w:rsidRPr="00EA1625">
        <w:tab/>
      </w:r>
      <w:r w:rsidRPr="00EA1625">
        <w:tab/>
      </w:r>
      <w:r w:rsidR="00921A9D">
        <w:t xml:space="preserve">On </w:t>
      </w:r>
      <w:r w:rsidR="003945E9">
        <w:t>September 19, 2018</w:t>
      </w:r>
      <w:r w:rsidR="00B73735">
        <w:t xml:space="preserve">, </w:t>
      </w:r>
      <w:r w:rsidR="003945E9">
        <w:t>Chet and Michele Duffy</w:t>
      </w:r>
      <w:r w:rsidRPr="00EA1625">
        <w:t xml:space="preserve"> </w:t>
      </w:r>
      <w:r w:rsidR="00B73735">
        <w:t>(</w:t>
      </w:r>
      <w:r>
        <w:t>Complainant</w:t>
      </w:r>
      <w:r w:rsidR="003945E9">
        <w:t>s</w:t>
      </w:r>
      <w:r>
        <w:t xml:space="preserve">) </w:t>
      </w:r>
      <w:r w:rsidRPr="00EA1625">
        <w:t xml:space="preserve">filed a formal complaint with the Pennsylvania Public </w:t>
      </w:r>
      <w:r w:rsidR="00B73735">
        <w:t>Utility Commission (Commission</w:t>
      </w:r>
      <w:r w:rsidRPr="00EA1625">
        <w:t xml:space="preserve">) against </w:t>
      </w:r>
      <w:r w:rsidR="003945E9">
        <w:t>Pennsylvania Power</w:t>
      </w:r>
      <w:r w:rsidR="00921A9D">
        <w:t xml:space="preserve"> Company</w:t>
      </w:r>
      <w:r w:rsidRPr="00EA1625">
        <w:t xml:space="preserve"> (</w:t>
      </w:r>
      <w:r w:rsidR="00B73735">
        <w:t>P</w:t>
      </w:r>
      <w:r w:rsidR="003945E9">
        <w:t>enn Power</w:t>
      </w:r>
      <w:r w:rsidR="00B73735">
        <w:t xml:space="preserve"> </w:t>
      </w:r>
      <w:r w:rsidRPr="00EA1625">
        <w:t xml:space="preserve">or </w:t>
      </w:r>
      <w:r>
        <w:t>Respondent</w:t>
      </w:r>
      <w:r w:rsidRPr="00EA1625">
        <w:t xml:space="preserve">) alleging </w:t>
      </w:r>
      <w:r w:rsidR="003945E9">
        <w:t>Penn Power was threatening to shut off electric service, had incorrect charges on the billing statements, specifically from December to April every year from 2008 to present, and alleging a reliability, safety or quality problem with the electric service</w:t>
      </w:r>
      <w:r w:rsidR="00921A9D">
        <w:t xml:space="preserve">.  </w:t>
      </w:r>
      <w:r w:rsidRPr="00EA1625">
        <w:t xml:space="preserve"> </w:t>
      </w:r>
    </w:p>
    <w:p w14:paraId="0C8984E2" w14:textId="77777777" w:rsidR="003945E9" w:rsidRDefault="003945E9" w:rsidP="00CD7D5D">
      <w:pPr>
        <w:spacing w:line="360" w:lineRule="auto"/>
      </w:pPr>
    </w:p>
    <w:p w14:paraId="720EF93D" w14:textId="573E4FD5" w:rsidR="00CD7D5D" w:rsidRDefault="003945E9" w:rsidP="003945E9">
      <w:pPr>
        <w:spacing w:line="360" w:lineRule="auto"/>
        <w:ind w:firstLine="1440"/>
      </w:pPr>
      <w:r>
        <w:t>On October 15, 2018, Penn Power</w:t>
      </w:r>
      <w:r w:rsidR="00CD7D5D" w:rsidRPr="00EA1625">
        <w:t xml:space="preserve"> filed an answer </w:t>
      </w:r>
      <w:r>
        <w:t>and new matter which admitted a termination notice was sent on August 26, 2018 due to a delinquent amount of $2,286.42, but generally denied all allegations</w:t>
      </w:r>
      <w:r w:rsidR="00CD7D5D" w:rsidRPr="00EA1625">
        <w:t>.</w:t>
      </w:r>
      <w:r>
        <w:t xml:space="preserve">  In New Matter, Penn Power alleged Complainants should be precluded from re-litigating issues previously dismissed against them by the Commission in 2008.  Penn Power also alleged Complainants should be barred from disputing any billed consumption prior to September 2015, pursuant to 66 </w:t>
      </w:r>
      <w:proofErr w:type="spellStart"/>
      <w:r>
        <w:t>Pa.C.S.A</w:t>
      </w:r>
      <w:proofErr w:type="spellEnd"/>
      <w:r>
        <w:t>. § 3314(a).</w:t>
      </w:r>
    </w:p>
    <w:p w14:paraId="437C8894" w14:textId="77777777" w:rsidR="00CD7D5D" w:rsidRDefault="00CD7D5D" w:rsidP="00CD7D5D">
      <w:pPr>
        <w:spacing w:line="360" w:lineRule="auto"/>
      </w:pPr>
    </w:p>
    <w:p w14:paraId="1B907381" w14:textId="357817D3" w:rsidR="00CD7D5D" w:rsidRPr="00EA1625" w:rsidRDefault="00CD7D5D" w:rsidP="00CD7D5D">
      <w:pPr>
        <w:spacing w:line="360" w:lineRule="auto"/>
        <w:ind w:firstLine="1440"/>
      </w:pPr>
      <w:r>
        <w:t xml:space="preserve">By Telephone Hearing Notice dated </w:t>
      </w:r>
      <w:r w:rsidR="003945E9">
        <w:t>November 20, 2018</w:t>
      </w:r>
      <w:r>
        <w:t xml:space="preserve">, the Office of Administrative Law Judge notified the parties an initial telephonic hearing in this case was scheduled for </w:t>
      </w:r>
      <w:r w:rsidR="003945E9">
        <w:t>Thursday, January 3, 2019</w:t>
      </w:r>
      <w:r>
        <w:t xml:space="preserve"> at 10:00 a.m.  </w:t>
      </w:r>
      <w:r>
        <w:rPr>
          <w:spacing w:val="-3"/>
        </w:rPr>
        <w:t xml:space="preserve">On </w:t>
      </w:r>
      <w:r w:rsidR="003945E9">
        <w:rPr>
          <w:spacing w:val="-3"/>
        </w:rPr>
        <w:t>December 3, 2018</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14:paraId="0FABD842" w14:textId="77777777" w:rsidR="00CD7D5D" w:rsidRDefault="00CD7D5D" w:rsidP="00CD7D5D">
      <w:pPr>
        <w:tabs>
          <w:tab w:val="left" w:pos="2160"/>
        </w:tabs>
        <w:spacing w:line="360" w:lineRule="auto"/>
        <w:ind w:firstLine="1440"/>
      </w:pPr>
    </w:p>
    <w:p w14:paraId="4E941EE3" w14:textId="6EF62E42" w:rsidR="00CD7D5D" w:rsidRDefault="00CD7D5D" w:rsidP="00CD7D5D">
      <w:pPr>
        <w:tabs>
          <w:tab w:val="left" w:pos="2160"/>
        </w:tabs>
        <w:spacing w:line="360" w:lineRule="auto"/>
        <w:ind w:firstLine="1440"/>
      </w:pPr>
      <w:r>
        <w:lastRenderedPageBreak/>
        <w:t xml:space="preserve">On </w:t>
      </w:r>
      <w:r w:rsidR="003945E9">
        <w:t>January 2, 2019</w:t>
      </w:r>
      <w:r w:rsidR="00921A9D">
        <w:t xml:space="preserve">, </w:t>
      </w:r>
      <w:r w:rsidR="00EE5CDA">
        <w:t xml:space="preserve">Respondent </w:t>
      </w:r>
      <w:r>
        <w:t>contacted the office of the presiding officer</w:t>
      </w:r>
      <w:r w:rsidR="00921A9D">
        <w:t>,</w:t>
      </w:r>
      <w:r>
        <w:t xml:space="preserve"> </w:t>
      </w:r>
      <w:r w:rsidR="00921A9D">
        <w:t xml:space="preserve">via </w:t>
      </w:r>
      <w:r w:rsidR="003945E9">
        <w:t>telephone</w:t>
      </w:r>
      <w:r w:rsidR="00921A9D">
        <w:t xml:space="preserve">, </w:t>
      </w:r>
      <w:r>
        <w:t>and requested a continuance</w:t>
      </w:r>
      <w:r w:rsidR="00EE5CDA">
        <w:t xml:space="preserve"> on behalf of Complainant</w:t>
      </w:r>
      <w:r w:rsidR="003945E9">
        <w:t>s</w:t>
      </w:r>
      <w:r w:rsidR="00EE5CDA">
        <w:t xml:space="preserve">.  Respondent’s </w:t>
      </w:r>
      <w:r w:rsidR="003945E9">
        <w:t xml:space="preserve">attorney averred she was contacted by Complainants who advised Chet Duffy </w:t>
      </w:r>
      <w:r w:rsidR="0096415E">
        <w:t xml:space="preserve">was hospitalized on December 30, 2018 and did not think he would be available for the telephonic hearing on January 3, 2019.  Respondent’s attorney provided a copy of the contact via electronic mail and indicated Penn Power did not oppose a continuance.  </w:t>
      </w:r>
      <w:r w:rsidR="00EE5CDA">
        <w:t xml:space="preserve">  </w:t>
      </w:r>
      <w:r>
        <w:t xml:space="preserve">  </w:t>
      </w:r>
    </w:p>
    <w:p w14:paraId="2371CC2C" w14:textId="77777777" w:rsidR="00655C3E" w:rsidRDefault="00655C3E" w:rsidP="00304E24">
      <w:pPr>
        <w:spacing w:line="360" w:lineRule="auto"/>
        <w:ind w:firstLine="1440"/>
      </w:pPr>
    </w:p>
    <w:p w14:paraId="5FB2886D" w14:textId="2FEBE4E6" w:rsidR="00304E24" w:rsidRDefault="00304E24" w:rsidP="00304E24">
      <w:pPr>
        <w:spacing w:line="360" w:lineRule="auto"/>
        <w:ind w:firstLine="1440"/>
      </w:pPr>
      <w:r>
        <w:t xml:space="preserve">A review of </w:t>
      </w:r>
      <w:r w:rsidR="0096415E">
        <w:t>the</w:t>
      </w:r>
      <w:r>
        <w:t xml:space="preserve"> request </w:t>
      </w:r>
      <w:r w:rsidR="00EE5CDA">
        <w:t xml:space="preserve">for a </w:t>
      </w:r>
      <w:r w:rsidR="00654A5B">
        <w:t xml:space="preserve">continuance </w:t>
      </w:r>
      <w:r>
        <w:t xml:space="preserve">leads to the conclusion </w:t>
      </w:r>
      <w:r w:rsidR="0096415E">
        <w:t>there is a justification for a</w:t>
      </w:r>
      <w:r>
        <w:t xml:space="preserve"> continuance.  Pursuant to 52 Pa.</w:t>
      </w:r>
      <w:bookmarkStart w:id="0" w:name="_GoBack"/>
      <w:bookmarkEnd w:id="0"/>
      <w:r>
        <w:t xml:space="preserve">Code §§1.15, extensions of time may be granted by the presiding officer for good cause shown upon a motion filed by a party.  </w:t>
      </w:r>
      <w:r w:rsidR="0096415E">
        <w:t>Complainants’</w:t>
      </w:r>
      <w:r>
        <w:t xml:space="preserve"> request</w:t>
      </w:r>
      <w:r w:rsidR="0096415E">
        <w:t>, through Respondent’s attorney,</w:t>
      </w:r>
      <w:r>
        <w:t xml:space="preserve"> for a continuance is reasonable and shows </w:t>
      </w:r>
      <w:proofErr w:type="gramStart"/>
      <w:r>
        <w:t>sufficient</w:t>
      </w:r>
      <w:proofErr w:type="gramEnd"/>
      <w:r>
        <w:t xml:space="preserve"> cause exists, under the circumstances</w:t>
      </w:r>
      <w:r w:rsidR="0096415E">
        <w:t xml:space="preserve">.  The </w:t>
      </w:r>
      <w:r w:rsidR="00A9399F">
        <w:t>r</w:t>
      </w:r>
      <w:r>
        <w:t xml:space="preserve">equest will be granted.  </w:t>
      </w:r>
    </w:p>
    <w:p w14:paraId="5F28B2A2" w14:textId="77777777" w:rsidR="00CD7D5D" w:rsidRDefault="00CD7D5D" w:rsidP="00304E24">
      <w:pPr>
        <w:spacing w:line="360" w:lineRule="auto"/>
        <w:ind w:firstLine="1440"/>
      </w:pPr>
    </w:p>
    <w:p w14:paraId="3759E66A" w14:textId="77777777" w:rsidR="00304E24" w:rsidRPr="00A23DD3" w:rsidRDefault="00304E24" w:rsidP="00304E24">
      <w:pPr>
        <w:spacing w:line="360" w:lineRule="auto"/>
        <w:ind w:firstLine="1440"/>
      </w:pPr>
      <w:r w:rsidRPr="00A23DD3">
        <w:t>THEREFORE,</w:t>
      </w:r>
    </w:p>
    <w:p w14:paraId="0EE94A20" w14:textId="77777777" w:rsidR="00304E24" w:rsidRPr="00A23DD3" w:rsidRDefault="00304E24" w:rsidP="00304E24">
      <w:pPr>
        <w:spacing w:line="360" w:lineRule="auto"/>
      </w:pPr>
    </w:p>
    <w:p w14:paraId="26CD6A65" w14:textId="77777777" w:rsidR="00304E24" w:rsidRPr="00A23DD3" w:rsidRDefault="00304E24" w:rsidP="00304E24">
      <w:pPr>
        <w:spacing w:line="360" w:lineRule="auto"/>
      </w:pPr>
      <w:r w:rsidRPr="00A23DD3">
        <w:tab/>
      </w:r>
      <w:r w:rsidRPr="00A23DD3">
        <w:tab/>
        <w:t>IT IS ORDERED:</w:t>
      </w:r>
    </w:p>
    <w:p w14:paraId="31776415" w14:textId="77777777" w:rsidR="00304E24" w:rsidRPr="00A23DD3" w:rsidRDefault="00304E24" w:rsidP="00304E24">
      <w:pPr>
        <w:spacing w:line="360" w:lineRule="auto"/>
      </w:pPr>
    </w:p>
    <w:p w14:paraId="4C4746BB" w14:textId="77777777" w:rsidR="00304E24" w:rsidRPr="00A23DD3" w:rsidRDefault="00304E24" w:rsidP="00304E24">
      <w:pPr>
        <w:spacing w:line="360" w:lineRule="auto"/>
      </w:pPr>
      <w:r w:rsidRPr="00A23DD3">
        <w:tab/>
      </w:r>
      <w:r w:rsidRPr="00A23DD3">
        <w:tab/>
        <w:t>1.</w:t>
      </w:r>
      <w:r w:rsidRPr="00A23DD3">
        <w:tab/>
        <w:t xml:space="preserve">That the request for a continuance submitted by </w:t>
      </w:r>
      <w:r w:rsidR="0024540B">
        <w:t>Respondent</w:t>
      </w:r>
      <w:r w:rsidRPr="00A23DD3">
        <w:t xml:space="preserve"> is granted</w:t>
      </w:r>
      <w:r w:rsidR="0024258E">
        <w:t>.</w:t>
      </w:r>
    </w:p>
    <w:p w14:paraId="65714A40" w14:textId="77777777" w:rsidR="00304E24" w:rsidRPr="00A23DD3" w:rsidRDefault="00304E24" w:rsidP="00304E24">
      <w:pPr>
        <w:spacing w:line="360" w:lineRule="auto"/>
        <w:ind w:firstLine="720"/>
      </w:pPr>
    </w:p>
    <w:p w14:paraId="463A5CAE" w14:textId="2DABAC2E" w:rsidR="00304E24" w:rsidRPr="00A23DD3" w:rsidRDefault="00304E24" w:rsidP="0024258E">
      <w:pPr>
        <w:spacing w:line="360" w:lineRule="auto"/>
        <w:ind w:firstLine="720"/>
      </w:pPr>
      <w:r w:rsidRPr="00A23DD3">
        <w:tab/>
        <w:t>2.</w:t>
      </w:r>
      <w:r w:rsidRPr="00A23DD3">
        <w:tab/>
        <w:t xml:space="preserve">That the initial telephonic hearing scheduled for this case on </w:t>
      </w:r>
      <w:r w:rsidR="0096415E">
        <w:t>Thursday, January 3, 2019</w:t>
      </w:r>
      <w:r w:rsidRPr="00A23DD3">
        <w:t>, is cancelled and continued.</w:t>
      </w:r>
    </w:p>
    <w:p w14:paraId="48025A79" w14:textId="77777777" w:rsidR="00304E24" w:rsidRPr="00A23DD3" w:rsidRDefault="00304E24" w:rsidP="00304E24">
      <w:pPr>
        <w:spacing w:line="360" w:lineRule="auto"/>
      </w:pPr>
    </w:p>
    <w:p w14:paraId="1D55B6F1" w14:textId="5FD417ED" w:rsidR="00304E24" w:rsidRPr="00A23DD3" w:rsidRDefault="00304E24" w:rsidP="00304E24">
      <w:pPr>
        <w:spacing w:line="360" w:lineRule="auto"/>
      </w:pPr>
      <w:r w:rsidRPr="00A23DD3">
        <w:tab/>
      </w:r>
      <w:r w:rsidRPr="00A23DD3">
        <w:tab/>
        <w:t>3.</w:t>
      </w:r>
      <w:r w:rsidRPr="00A23DD3">
        <w:tab/>
        <w:t xml:space="preserve">That the parties will receive a new Hearing Notice from the Commission </w:t>
      </w:r>
      <w:r>
        <w:t>setting</w:t>
      </w:r>
      <w:r w:rsidRPr="00A23DD3">
        <w:t xml:space="preserve"> forth a </w:t>
      </w:r>
      <w:r w:rsidR="0024540B">
        <w:t xml:space="preserve">new date for the Initial </w:t>
      </w:r>
      <w:r w:rsidR="0096415E">
        <w:t xml:space="preserve">Telephonic </w:t>
      </w:r>
      <w:r w:rsidR="0024540B">
        <w:t>Hearing</w:t>
      </w:r>
      <w:r w:rsidRPr="00A23DD3">
        <w:t>.</w:t>
      </w:r>
    </w:p>
    <w:p w14:paraId="7C57ED00" w14:textId="77777777" w:rsidR="00304E24" w:rsidRDefault="00304E24" w:rsidP="00304E24">
      <w:pPr>
        <w:spacing w:line="360" w:lineRule="auto"/>
      </w:pPr>
    </w:p>
    <w:p w14:paraId="542C14B5" w14:textId="77777777" w:rsidR="00304E24" w:rsidRDefault="00304E24" w:rsidP="00304E24">
      <w:pPr>
        <w:spacing w:line="360" w:lineRule="auto"/>
      </w:pPr>
    </w:p>
    <w:p w14:paraId="3A233966" w14:textId="77777777" w:rsidR="00304E24" w:rsidRPr="00A23DD3" w:rsidRDefault="00304E24" w:rsidP="00304E24">
      <w:pPr>
        <w:spacing w:line="360" w:lineRule="auto"/>
      </w:pPr>
    </w:p>
    <w:p w14:paraId="79C2DB8A" w14:textId="77777777" w:rsidR="006F3F66" w:rsidRPr="00A23DD3" w:rsidRDefault="00304E24" w:rsidP="006F3F66">
      <w:r w:rsidRPr="00A23DD3">
        <w:t xml:space="preserve">Date: </w:t>
      </w:r>
      <w:r w:rsidR="0096415E">
        <w:rPr>
          <w:u w:val="single"/>
        </w:rPr>
        <w:t>January 2, 2019</w:t>
      </w:r>
      <w:r>
        <w:tab/>
      </w:r>
      <w:r w:rsidRPr="00A23DD3">
        <w:tab/>
      </w:r>
      <w:r w:rsidR="00921A9D">
        <w:tab/>
      </w:r>
      <w:r w:rsidR="00921A9D">
        <w:tab/>
      </w:r>
      <w:r w:rsidRPr="00A23DD3">
        <w:tab/>
      </w:r>
      <w:r w:rsidRPr="00A23DD3">
        <w:rPr>
          <w:u w:val="single"/>
        </w:rPr>
        <w:tab/>
      </w:r>
      <w:r w:rsidRPr="00A23DD3">
        <w:rPr>
          <w:u w:val="single"/>
        </w:rPr>
        <w:tab/>
      </w:r>
      <w:r w:rsidRPr="00A23DD3">
        <w:rPr>
          <w:u w:val="single"/>
        </w:rPr>
        <w:tab/>
      </w:r>
      <w:r w:rsidR="006F3F66" w:rsidRPr="00A23DD3">
        <w:rPr>
          <w:u w:val="single"/>
        </w:rPr>
        <w:tab/>
      </w:r>
      <w:r w:rsidR="006F3F66" w:rsidRPr="00A23DD3">
        <w:rPr>
          <w:u w:val="single"/>
        </w:rPr>
        <w:tab/>
      </w:r>
      <w:r w:rsidR="006F3F66" w:rsidRPr="00A23DD3">
        <w:rPr>
          <w:u w:val="single"/>
        </w:rPr>
        <w:tab/>
      </w:r>
    </w:p>
    <w:p w14:paraId="4CF9F757" w14:textId="3F23E411" w:rsidR="00304E24" w:rsidRPr="00A23DD3" w:rsidRDefault="00304E24" w:rsidP="00304E24">
      <w:r w:rsidRPr="00A23DD3">
        <w:tab/>
      </w:r>
      <w:r w:rsidRPr="00A23DD3">
        <w:tab/>
      </w:r>
      <w:r w:rsidRPr="00A23DD3">
        <w:tab/>
      </w:r>
      <w:r w:rsidRPr="00A23DD3">
        <w:tab/>
      </w:r>
      <w:r w:rsidRPr="00A23DD3">
        <w:tab/>
      </w:r>
      <w:r w:rsidRPr="00A23DD3">
        <w:tab/>
      </w:r>
      <w:r w:rsidRPr="00A23DD3">
        <w:tab/>
        <w:t>Katrina L. Dunderdale</w:t>
      </w:r>
    </w:p>
    <w:p w14:paraId="2C92A44A" w14:textId="6415621C" w:rsidR="00304E24" w:rsidRPr="00A23DD3" w:rsidRDefault="00304E24" w:rsidP="00304E24">
      <w:r w:rsidRPr="00A23DD3">
        <w:tab/>
      </w:r>
      <w:r w:rsidRPr="00A23DD3">
        <w:tab/>
      </w:r>
      <w:r w:rsidRPr="00A23DD3">
        <w:tab/>
      </w:r>
      <w:r w:rsidRPr="00A23DD3">
        <w:tab/>
      </w:r>
      <w:r w:rsidRPr="00A23DD3">
        <w:tab/>
      </w:r>
      <w:r w:rsidRPr="00A23DD3">
        <w:tab/>
      </w:r>
      <w:r w:rsidRPr="00A23DD3">
        <w:tab/>
        <w:t>Administrative Law Judge</w:t>
      </w:r>
    </w:p>
    <w:p w14:paraId="3E09268D" w14:textId="436D2668" w:rsidR="006F3F66" w:rsidRDefault="006F3F66">
      <w:r>
        <w:br w:type="page"/>
      </w:r>
    </w:p>
    <w:p w14:paraId="52DE80C4" w14:textId="77777777" w:rsidR="006F3F66" w:rsidRDefault="006F3F66" w:rsidP="006F3F66">
      <w:pPr>
        <w:rPr>
          <w:rFonts w:ascii="Microsoft Sans Serif" w:eastAsia="Microsoft Sans Serif" w:hAnsi="Microsoft Sans Serif" w:cs="Microsoft Sans Serif"/>
          <w:b/>
          <w:u w:val="single"/>
        </w:rPr>
        <w:sectPr w:rsidR="006F3F66" w:rsidSect="00031BA6">
          <w:footerReference w:type="default" r:id="rId7"/>
          <w:pgSz w:w="12240" w:h="15840" w:code="1"/>
          <w:pgMar w:top="1440" w:right="1440" w:bottom="1440" w:left="1440" w:header="1440" w:footer="720" w:gutter="0"/>
          <w:cols w:space="720"/>
          <w:titlePg/>
          <w:docGrid w:linePitch="360"/>
        </w:sectPr>
      </w:pPr>
    </w:p>
    <w:p w14:paraId="1EAE3B18" w14:textId="5B4A77B0" w:rsidR="006F3F66" w:rsidRDefault="006F3F66" w:rsidP="006F3F6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C-2018-3004871 – Chet and Michele Duffy v. Pennsylvania Power Company  </w:t>
      </w:r>
    </w:p>
    <w:p w14:paraId="123056A1" w14:textId="77777777" w:rsidR="006F3F66" w:rsidRDefault="006F3F66" w:rsidP="006F3F66">
      <w:pPr>
        <w:rPr>
          <w:rFonts w:ascii="Microsoft Sans Serif" w:eastAsia="Microsoft Sans Serif" w:hAnsi="Microsoft Sans Serif" w:cs="Microsoft Sans Serif"/>
        </w:rPr>
      </w:pPr>
    </w:p>
    <w:p w14:paraId="1D1DC743" w14:textId="3CFEB346"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CHET AND MICHELE DUFFY</w:t>
      </w:r>
    </w:p>
    <w:p w14:paraId="1A720A04"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PO BOX 295</w:t>
      </w:r>
    </w:p>
    <w:p w14:paraId="23F70988"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135 LIBERTY ROAD</w:t>
      </w:r>
    </w:p>
    <w:p w14:paraId="57356439"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HARMONY PA  16037</w:t>
      </w:r>
    </w:p>
    <w:p w14:paraId="3652B2ED"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b/>
        </w:rPr>
        <w:t>724.452.1285</w:t>
      </w:r>
    </w:p>
    <w:p w14:paraId="1DA70E3C" w14:textId="77777777" w:rsidR="006F3F66" w:rsidRDefault="006F3F66" w:rsidP="006F3F66">
      <w:pPr>
        <w:rPr>
          <w:rFonts w:ascii="Microsoft Sans Serif" w:eastAsia="Microsoft Sans Serif" w:hAnsi="Microsoft Sans Serif" w:cs="Microsoft Sans Serif"/>
        </w:rPr>
      </w:pPr>
    </w:p>
    <w:p w14:paraId="2CD9C8FF"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3A00B721"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487E3452"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2CAA04A2"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11808256" w14:textId="77777777" w:rsidR="006F3F66" w:rsidRDefault="006F3F66" w:rsidP="006F3F66">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p>
    <w:p w14:paraId="0A14DBA9" w14:textId="77777777" w:rsidR="006F3F66" w:rsidRDefault="006F3F66" w:rsidP="006F3F66">
      <w:pPr>
        <w:rPr>
          <w:rFonts w:ascii="Calibri" w:hAnsi="Calibri"/>
        </w:rPr>
      </w:pPr>
      <w:r>
        <w:rPr>
          <w:rFonts w:ascii="Microsoft Sans Serif" w:eastAsia="Microsoft Sans Serif" w:hAnsi="Microsoft Sans Serif" w:cs="Microsoft Sans Serif"/>
          <w:b/>
          <w:i/>
          <w:u w:val="single"/>
        </w:rPr>
        <w:t>ACCEPTS E-SERVICE</w:t>
      </w:r>
    </w:p>
    <w:p w14:paraId="5D3BA1A2" w14:textId="77777777" w:rsidR="006F3F66" w:rsidRDefault="006F3F66" w:rsidP="006F3F66"/>
    <w:p w14:paraId="4D674590" w14:textId="77777777"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D470" w14:textId="77777777" w:rsidR="00063DD1" w:rsidRDefault="00063DD1" w:rsidP="00A00277">
      <w:r>
        <w:separator/>
      </w:r>
    </w:p>
  </w:endnote>
  <w:endnote w:type="continuationSeparator" w:id="0">
    <w:p w14:paraId="1309EFDF" w14:textId="77777777" w:rsidR="00063DD1" w:rsidRDefault="00063DD1"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33DFBB3E" w14:textId="77777777" w:rsidR="00A00277" w:rsidRDefault="00A00277">
        <w:pPr>
          <w:pStyle w:val="Footer"/>
          <w:jc w:val="center"/>
        </w:pPr>
        <w:r>
          <w:fldChar w:fldCharType="begin"/>
        </w:r>
        <w:r>
          <w:instrText xml:space="preserve"> PAGE   \* MERGEFORMAT </w:instrText>
        </w:r>
        <w:r>
          <w:fldChar w:fldCharType="separate"/>
        </w:r>
        <w:r w:rsidR="0024540B">
          <w:rPr>
            <w:noProof/>
          </w:rPr>
          <w:t>2</w:t>
        </w:r>
        <w:r>
          <w:rPr>
            <w:noProof/>
          </w:rPr>
          <w:fldChar w:fldCharType="end"/>
        </w:r>
      </w:p>
    </w:sdtContent>
  </w:sdt>
  <w:p w14:paraId="291EFA43"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F6C1" w14:textId="77777777" w:rsidR="00063DD1" w:rsidRDefault="00063DD1" w:rsidP="00A00277">
      <w:r>
        <w:separator/>
      </w:r>
    </w:p>
  </w:footnote>
  <w:footnote w:type="continuationSeparator" w:id="0">
    <w:p w14:paraId="19ED5ECE" w14:textId="77777777" w:rsidR="00063DD1" w:rsidRDefault="00063DD1"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63DD1"/>
    <w:rsid w:val="000759F4"/>
    <w:rsid w:val="00087CC5"/>
    <w:rsid w:val="000C1A6B"/>
    <w:rsid w:val="000C269C"/>
    <w:rsid w:val="000C71B2"/>
    <w:rsid w:val="000E6C36"/>
    <w:rsid w:val="000F0D26"/>
    <w:rsid w:val="00110EA9"/>
    <w:rsid w:val="0011200F"/>
    <w:rsid w:val="001163B8"/>
    <w:rsid w:val="001336B2"/>
    <w:rsid w:val="001534FA"/>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6055F"/>
    <w:rsid w:val="00375FC7"/>
    <w:rsid w:val="00386EC2"/>
    <w:rsid w:val="003914A1"/>
    <w:rsid w:val="003945E9"/>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A6F1C"/>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6F3F66"/>
    <w:rsid w:val="007000FB"/>
    <w:rsid w:val="00712843"/>
    <w:rsid w:val="00735001"/>
    <w:rsid w:val="00747A6F"/>
    <w:rsid w:val="00752308"/>
    <w:rsid w:val="00781BAD"/>
    <w:rsid w:val="00796F08"/>
    <w:rsid w:val="007A4181"/>
    <w:rsid w:val="007B430A"/>
    <w:rsid w:val="007D2137"/>
    <w:rsid w:val="007D67D1"/>
    <w:rsid w:val="007E2A88"/>
    <w:rsid w:val="00800D72"/>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C6CD3"/>
    <w:rsid w:val="008C7AAE"/>
    <w:rsid w:val="008D25CC"/>
    <w:rsid w:val="009044B7"/>
    <w:rsid w:val="009045A3"/>
    <w:rsid w:val="00907FC9"/>
    <w:rsid w:val="00921A9D"/>
    <w:rsid w:val="00921DA9"/>
    <w:rsid w:val="0094137F"/>
    <w:rsid w:val="00941BFF"/>
    <w:rsid w:val="00942B3C"/>
    <w:rsid w:val="00951BC4"/>
    <w:rsid w:val="0096415E"/>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42C3"/>
    <w:rsid w:val="00A640D9"/>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43BC6"/>
    <w:rsid w:val="00C4789A"/>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6582"/>
    <w:rsid w:val="00E077DB"/>
    <w:rsid w:val="00E125AF"/>
    <w:rsid w:val="00E1342A"/>
    <w:rsid w:val="00E36C6E"/>
    <w:rsid w:val="00E43A15"/>
    <w:rsid w:val="00E52101"/>
    <w:rsid w:val="00E53C53"/>
    <w:rsid w:val="00E56ADF"/>
    <w:rsid w:val="00E6714F"/>
    <w:rsid w:val="00E73276"/>
    <w:rsid w:val="00E76ACE"/>
    <w:rsid w:val="00E861DA"/>
    <w:rsid w:val="00E904E5"/>
    <w:rsid w:val="00EB2FB3"/>
    <w:rsid w:val="00EB4B99"/>
    <w:rsid w:val="00ED55A2"/>
    <w:rsid w:val="00EE5CDA"/>
    <w:rsid w:val="00EF4F0C"/>
    <w:rsid w:val="00F0033E"/>
    <w:rsid w:val="00F02A7A"/>
    <w:rsid w:val="00F35C78"/>
    <w:rsid w:val="00F37163"/>
    <w:rsid w:val="00F464A6"/>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3B402"/>
  <w15:docId w15:val="{1E25D263-AE8B-41FF-B131-26DEDCD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5</cp:revision>
  <cp:lastPrinted>2019-01-02T18:56:00Z</cp:lastPrinted>
  <dcterms:created xsi:type="dcterms:W3CDTF">2019-01-02T18:58:00Z</dcterms:created>
  <dcterms:modified xsi:type="dcterms:W3CDTF">2019-01-02T19:06:00Z</dcterms:modified>
</cp:coreProperties>
</file>