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0617" w14:textId="77777777" w:rsidR="0050059B" w:rsidRPr="0050059B" w:rsidRDefault="0050059B" w:rsidP="0050059B">
      <w:pPr>
        <w:tabs>
          <w:tab w:val="left" w:pos="0"/>
        </w:tabs>
        <w:spacing w:line="240" w:lineRule="auto"/>
        <w:jc w:val="center"/>
        <w:rPr>
          <w:rFonts w:eastAsia="Times New Roman"/>
          <w:b/>
        </w:rPr>
      </w:pPr>
      <w:r w:rsidRPr="0050059B">
        <w:rPr>
          <w:rFonts w:eastAsia="Times New Roman"/>
          <w:b/>
        </w:rPr>
        <w:t>BEFORE THE</w:t>
      </w:r>
    </w:p>
    <w:p w14:paraId="290B7660" w14:textId="77777777" w:rsidR="0050059B" w:rsidRPr="0050059B" w:rsidRDefault="0050059B" w:rsidP="0050059B">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50059B">
            <w:rPr>
              <w:rFonts w:eastAsia="Times New Roman"/>
              <w:b/>
            </w:rPr>
            <w:t>PENNSYLVANIA</w:t>
          </w:r>
        </w:smartTag>
      </w:smartTag>
      <w:r w:rsidRPr="0050059B">
        <w:rPr>
          <w:rFonts w:eastAsia="Times New Roman"/>
          <w:b/>
        </w:rPr>
        <w:t xml:space="preserve"> PUBLIC UTILITY COMMISSION</w:t>
      </w:r>
    </w:p>
    <w:p w14:paraId="37C9086F" w14:textId="77777777" w:rsidR="0050059B" w:rsidRPr="0050059B" w:rsidRDefault="0050059B" w:rsidP="0050059B">
      <w:pPr>
        <w:tabs>
          <w:tab w:val="left" w:pos="0"/>
        </w:tabs>
        <w:spacing w:line="240" w:lineRule="auto"/>
        <w:jc w:val="both"/>
        <w:rPr>
          <w:rFonts w:eastAsia="Times New Roman"/>
          <w:b/>
        </w:rPr>
      </w:pPr>
    </w:p>
    <w:p w14:paraId="36554FB5" w14:textId="77777777" w:rsidR="0050059B" w:rsidRPr="0050059B" w:rsidRDefault="0050059B" w:rsidP="0050059B">
      <w:pPr>
        <w:tabs>
          <w:tab w:val="left" w:pos="0"/>
        </w:tabs>
        <w:spacing w:line="240" w:lineRule="auto"/>
        <w:jc w:val="both"/>
        <w:rPr>
          <w:rFonts w:eastAsia="Times New Roman"/>
          <w:b/>
        </w:rPr>
      </w:pPr>
    </w:p>
    <w:p w14:paraId="01DFB43D" w14:textId="77777777" w:rsidR="0050059B" w:rsidRPr="0050059B" w:rsidRDefault="0050059B" w:rsidP="0050059B">
      <w:pPr>
        <w:tabs>
          <w:tab w:val="left" w:pos="0"/>
        </w:tabs>
        <w:spacing w:line="240" w:lineRule="auto"/>
        <w:jc w:val="both"/>
        <w:rPr>
          <w:rFonts w:eastAsia="Times New Roman"/>
          <w:b/>
        </w:rPr>
      </w:pPr>
    </w:p>
    <w:p w14:paraId="7E1247B2" w14:textId="77777777" w:rsidR="0050059B" w:rsidRPr="0050059B" w:rsidRDefault="0050059B" w:rsidP="0050059B">
      <w:pPr>
        <w:tabs>
          <w:tab w:val="left" w:pos="0"/>
        </w:tabs>
        <w:spacing w:line="240" w:lineRule="auto"/>
        <w:jc w:val="both"/>
        <w:rPr>
          <w:rFonts w:eastAsia="Times New Roman"/>
          <w:b/>
        </w:rPr>
      </w:pPr>
      <w:r w:rsidRPr="0050059B">
        <w:rPr>
          <w:rFonts w:eastAsia="Times New Roman"/>
        </w:rPr>
        <w:t>Rickey Davis</w:t>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t>:</w:t>
      </w:r>
    </w:p>
    <w:p w14:paraId="1E557912" w14:textId="77777777" w:rsidR="0050059B" w:rsidRPr="0050059B" w:rsidRDefault="0050059B" w:rsidP="0050059B">
      <w:pPr>
        <w:tabs>
          <w:tab w:val="left" w:pos="0"/>
        </w:tabs>
        <w:spacing w:line="240" w:lineRule="auto"/>
        <w:jc w:val="both"/>
        <w:rPr>
          <w:rFonts w:eastAsia="Times New Roman"/>
        </w:rPr>
      </w:pPr>
      <w:r w:rsidRPr="0050059B">
        <w:rPr>
          <w:rFonts w:eastAsia="Times New Roman"/>
          <w:b/>
        </w:rPr>
        <w:tab/>
      </w:r>
      <w:r w:rsidRPr="0050059B">
        <w:rPr>
          <w:rFonts w:eastAsia="Times New Roman"/>
          <w:b/>
        </w:rPr>
        <w:tab/>
      </w:r>
      <w:r w:rsidRPr="0050059B">
        <w:rPr>
          <w:rFonts w:eastAsia="Times New Roman"/>
          <w:b/>
        </w:rPr>
        <w:tab/>
      </w:r>
      <w:r w:rsidRPr="0050059B">
        <w:rPr>
          <w:rFonts w:eastAsia="Times New Roman"/>
          <w:b/>
        </w:rPr>
        <w:tab/>
      </w:r>
      <w:r w:rsidRPr="0050059B">
        <w:rPr>
          <w:rFonts w:eastAsia="Times New Roman"/>
          <w:b/>
        </w:rPr>
        <w:tab/>
      </w:r>
      <w:r w:rsidRPr="0050059B">
        <w:rPr>
          <w:rFonts w:eastAsia="Times New Roman"/>
          <w:b/>
        </w:rPr>
        <w:tab/>
      </w:r>
      <w:r w:rsidRPr="0050059B">
        <w:rPr>
          <w:rFonts w:eastAsia="Times New Roman"/>
          <w:b/>
        </w:rPr>
        <w:tab/>
      </w:r>
      <w:r w:rsidRPr="0050059B">
        <w:rPr>
          <w:rFonts w:eastAsia="Times New Roman"/>
        </w:rPr>
        <w:t>:</w:t>
      </w:r>
    </w:p>
    <w:p w14:paraId="50126641" w14:textId="77777777" w:rsidR="0050059B" w:rsidRPr="0050059B" w:rsidRDefault="0050059B" w:rsidP="0050059B">
      <w:pPr>
        <w:tabs>
          <w:tab w:val="left" w:pos="0"/>
        </w:tabs>
        <w:spacing w:line="240" w:lineRule="auto"/>
        <w:jc w:val="both"/>
        <w:rPr>
          <w:rFonts w:eastAsia="Times New Roman"/>
        </w:rPr>
      </w:pPr>
      <w:r w:rsidRPr="0050059B">
        <w:rPr>
          <w:rFonts w:eastAsia="Times New Roman"/>
        </w:rPr>
        <w:tab/>
        <w:t>v.</w:t>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t>:</w:t>
      </w:r>
      <w:r w:rsidRPr="0050059B">
        <w:rPr>
          <w:rFonts w:eastAsia="Times New Roman"/>
          <w:b/>
        </w:rPr>
        <w:tab/>
      </w:r>
      <w:r w:rsidRPr="0050059B">
        <w:rPr>
          <w:rFonts w:eastAsia="Times New Roman"/>
          <w:b/>
        </w:rPr>
        <w:tab/>
      </w:r>
      <w:r w:rsidRPr="0050059B">
        <w:rPr>
          <w:rFonts w:eastAsia="Times New Roman"/>
        </w:rPr>
        <w:t>F-2018-3006074</w:t>
      </w:r>
    </w:p>
    <w:p w14:paraId="6CE9A6B9" w14:textId="77777777" w:rsidR="0050059B" w:rsidRPr="0050059B" w:rsidRDefault="0050059B" w:rsidP="0050059B">
      <w:pPr>
        <w:tabs>
          <w:tab w:val="left" w:pos="0"/>
        </w:tabs>
        <w:spacing w:line="240" w:lineRule="auto"/>
        <w:jc w:val="both"/>
        <w:rPr>
          <w:rFonts w:eastAsia="Times New Roman"/>
        </w:rPr>
      </w:pP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r>
      <w:r w:rsidRPr="0050059B">
        <w:rPr>
          <w:rFonts w:eastAsia="Times New Roman"/>
        </w:rPr>
        <w:tab/>
        <w:t>:</w:t>
      </w:r>
    </w:p>
    <w:p w14:paraId="5AAE029D" w14:textId="77777777" w:rsidR="0050059B" w:rsidRPr="0050059B" w:rsidRDefault="0050059B" w:rsidP="0050059B">
      <w:pPr>
        <w:tabs>
          <w:tab w:val="left" w:pos="0"/>
        </w:tabs>
        <w:spacing w:line="240" w:lineRule="auto"/>
        <w:jc w:val="both"/>
        <w:rPr>
          <w:rFonts w:eastAsia="Times New Roman"/>
        </w:rPr>
      </w:pPr>
      <w:r w:rsidRPr="0050059B">
        <w:rPr>
          <w:rFonts w:eastAsia="Times New Roman"/>
        </w:rPr>
        <w:t>Duquesne Light Company</w:t>
      </w:r>
      <w:r>
        <w:rPr>
          <w:rFonts w:eastAsia="Times New Roman"/>
        </w:rPr>
        <w:tab/>
      </w:r>
      <w:r w:rsidRPr="0050059B">
        <w:rPr>
          <w:rFonts w:eastAsia="Times New Roman"/>
        </w:rPr>
        <w:tab/>
      </w:r>
      <w:r w:rsidRPr="0050059B">
        <w:rPr>
          <w:rFonts w:eastAsia="Times New Roman"/>
        </w:rPr>
        <w:tab/>
      </w:r>
      <w:r w:rsidRPr="0050059B">
        <w:rPr>
          <w:rFonts w:eastAsia="Times New Roman"/>
        </w:rPr>
        <w:tab/>
        <w:t>:</w:t>
      </w:r>
    </w:p>
    <w:p w14:paraId="60A7212B" w14:textId="77777777" w:rsidR="0050059B" w:rsidRPr="0050059B" w:rsidRDefault="0050059B" w:rsidP="0050059B">
      <w:pPr>
        <w:tabs>
          <w:tab w:val="left" w:pos="0"/>
        </w:tabs>
        <w:spacing w:line="240" w:lineRule="auto"/>
        <w:jc w:val="both"/>
        <w:rPr>
          <w:rFonts w:eastAsia="Times New Roman"/>
        </w:rPr>
      </w:pPr>
      <w:r w:rsidRPr="0050059B">
        <w:rPr>
          <w:rFonts w:eastAsia="Times New Roman"/>
        </w:rPr>
        <w:tab/>
      </w:r>
      <w:r w:rsidRPr="0050059B">
        <w:rPr>
          <w:rFonts w:eastAsia="Times New Roman"/>
        </w:rPr>
        <w:tab/>
      </w:r>
    </w:p>
    <w:p w14:paraId="06B04A30" w14:textId="77777777" w:rsidR="0050059B" w:rsidRPr="0050059B" w:rsidRDefault="0050059B" w:rsidP="0050059B">
      <w:pPr>
        <w:tabs>
          <w:tab w:val="left" w:pos="0"/>
        </w:tabs>
        <w:spacing w:line="240" w:lineRule="auto"/>
        <w:jc w:val="both"/>
        <w:rPr>
          <w:rFonts w:eastAsia="Times New Roman"/>
          <w:b/>
        </w:rPr>
      </w:pPr>
    </w:p>
    <w:p w14:paraId="341AC591" w14:textId="77777777" w:rsidR="0050059B" w:rsidRPr="0050059B" w:rsidRDefault="0050059B" w:rsidP="0050059B">
      <w:pPr>
        <w:tabs>
          <w:tab w:val="left" w:pos="0"/>
        </w:tabs>
        <w:spacing w:line="240" w:lineRule="auto"/>
        <w:jc w:val="both"/>
        <w:rPr>
          <w:rFonts w:eastAsia="Times New Roman"/>
          <w:b/>
        </w:rPr>
      </w:pPr>
    </w:p>
    <w:p w14:paraId="021A1303" w14:textId="77777777" w:rsidR="008F1E06" w:rsidRPr="0038516C" w:rsidRDefault="008F1E06" w:rsidP="00411472">
      <w:pPr>
        <w:spacing w:line="240" w:lineRule="auto"/>
        <w:jc w:val="center"/>
        <w:rPr>
          <w:b/>
        </w:rPr>
      </w:pPr>
      <w:r w:rsidRPr="0038516C">
        <w:rPr>
          <w:b/>
        </w:rPr>
        <w:t>INTERIM ORDER</w:t>
      </w:r>
    </w:p>
    <w:p w14:paraId="3D580A92" w14:textId="77777777" w:rsidR="008F1E06" w:rsidRPr="0038516C" w:rsidRDefault="008F1E06" w:rsidP="00411472">
      <w:pPr>
        <w:spacing w:line="240" w:lineRule="auto"/>
        <w:jc w:val="center"/>
        <w:rPr>
          <w:b/>
          <w:u w:val="single"/>
        </w:rPr>
      </w:pPr>
      <w:r w:rsidRPr="0038516C">
        <w:rPr>
          <w:b/>
          <w:u w:val="single"/>
        </w:rPr>
        <w:t>SUSTAINING PRELIMINARY OBJECTIONS IN PART</w:t>
      </w:r>
      <w:r w:rsidR="008A5073" w:rsidRPr="0038516C">
        <w:rPr>
          <w:b/>
          <w:u w:val="single"/>
        </w:rPr>
        <w:t xml:space="preserve"> AND DISMISSING IN PART</w:t>
      </w:r>
    </w:p>
    <w:p w14:paraId="759A4A85" w14:textId="77777777" w:rsidR="008F1E06" w:rsidRDefault="008F1E06"/>
    <w:p w14:paraId="3B29CC19" w14:textId="77777777" w:rsidR="008F1E06" w:rsidRDefault="008F1E06">
      <w:r>
        <w:tab/>
      </w:r>
      <w:r>
        <w:tab/>
        <w:t>On November 18, 2018, Rickey Davis (Complainant) filed a formal complaint against Duquesne Light Company (DLC).  Using the Commission’s formal complaint form, he checked boxes noting that the company was threatening to terminate his service; he wanted a payment arrangement; there are incorrect charges on his bill; and “other.”  In the “other” section of the complaint, he explained “they won’t provide a remedy required by lawful payment tendered by me instructing them to set off and discharge according to Federal Emergency Rel</w:t>
      </w:r>
      <w:r w:rsidR="00115663">
        <w:t>ie</w:t>
      </w:r>
      <w:r>
        <w:t>f</w:t>
      </w:r>
      <w:r w:rsidR="00115663">
        <w:t xml:space="preserve"> </w:t>
      </w:r>
      <w:r>
        <w:t>Act March 9, 1933 H.J.R. 192”.  As relief he stated that he wanted DLC to “cease and desist 10 day shut off notices accept my payment methods based on my position I’m making lawful payments</w:t>
      </w:r>
      <w:r w:rsidR="00C4251C">
        <w:t>”</w:t>
      </w:r>
      <w:r>
        <w:t>.</w:t>
      </w:r>
    </w:p>
    <w:p w14:paraId="4D87B79E" w14:textId="77777777" w:rsidR="00F24659" w:rsidRDefault="00F24659"/>
    <w:p w14:paraId="6A9C0EC0" w14:textId="77777777" w:rsidR="00F24659" w:rsidRDefault="00F24659">
      <w:r>
        <w:tab/>
      </w:r>
      <w:r>
        <w:tab/>
        <w:t>DLC filed an answer and preliminary objections on December 10, 2018.  In DLC’s answer it denies the material allegations of the complaint and alleges that the Complainant is responsible for the outstanding balance on his account “payable in legal tender only.”</w:t>
      </w:r>
      <w:r w:rsidR="003566EB">
        <w:t xml:space="preserve">  DLC further averred that the Complainant has attempted to avoid termination for his unpaid balance by presenting</w:t>
      </w:r>
      <w:r w:rsidR="00A80C56">
        <w:t xml:space="preserve"> a “Government Obligation Remittance Coupon” as payment.  In DLC’s view, a “Government Obligation Remittance Coupon” is not legal tender and is not accepted as payment for utility service.</w:t>
      </w:r>
    </w:p>
    <w:p w14:paraId="7FEEBA3B" w14:textId="77777777" w:rsidR="00164448" w:rsidRDefault="00164448"/>
    <w:p w14:paraId="046B6B83" w14:textId="3F734D3F" w:rsidR="00164448" w:rsidRDefault="00164448">
      <w:r>
        <w:tab/>
      </w:r>
      <w:r>
        <w:tab/>
        <w:t>DLC filed preliminary objections</w:t>
      </w:r>
      <w:r w:rsidR="00A70CC9">
        <w:t xml:space="preserve"> on December 10, 2018,</w:t>
      </w:r>
      <w:r>
        <w:t xml:space="preserve"> which seek dismissal of the complaint in its entirety.  The basis for the preliminary objections </w:t>
      </w:r>
      <w:r w:rsidR="006902D6">
        <w:t>is</w:t>
      </w:r>
      <w:bookmarkStart w:id="0" w:name="_GoBack"/>
      <w:bookmarkEnd w:id="0"/>
      <w:r>
        <w:t xml:space="preserve"> lack of Commission </w:t>
      </w:r>
      <w:r>
        <w:lastRenderedPageBreak/>
        <w:t>jurisdiction to enforce federal law, and legal insufficiency because DLC is not required to accept the Complainant’s instructions to “set off and discharge” as a matter of law.</w:t>
      </w:r>
    </w:p>
    <w:p w14:paraId="280840A8" w14:textId="77777777" w:rsidR="002B1010" w:rsidRDefault="002B1010"/>
    <w:p w14:paraId="5FA52C1F" w14:textId="77777777" w:rsidR="002B1010" w:rsidRDefault="002B1010">
      <w:r>
        <w:tab/>
      </w:r>
      <w:r>
        <w:tab/>
        <w:t>DLC’s preliminary objections include a notice to plead, notifying the Complainant of his obligation to file a written response within ten days of service.  As of this writing the Complainant has not filed any response to DLC’s preliminary objections.</w:t>
      </w:r>
      <w:r>
        <w:rPr>
          <w:rStyle w:val="FootnoteReference"/>
        </w:rPr>
        <w:footnoteReference w:id="1"/>
      </w:r>
      <w:r>
        <w:t xml:space="preserve">  Therefore, the preliminary objections are ripe for disposition.</w:t>
      </w:r>
    </w:p>
    <w:p w14:paraId="5E9A78DA" w14:textId="77777777" w:rsidR="006905D4" w:rsidRDefault="006905D4"/>
    <w:p w14:paraId="671B29FF" w14:textId="77777777" w:rsidR="008F71D0" w:rsidRDefault="008F71D0" w:rsidP="008F71D0">
      <w:r w:rsidRPr="008F71D0">
        <w:tab/>
        <w:t xml:space="preserve">The grounds for preliminary objection are limited: </w:t>
      </w:r>
    </w:p>
    <w:p w14:paraId="1826FD92" w14:textId="77777777" w:rsidR="00411A99" w:rsidRPr="008F71D0" w:rsidRDefault="00411A99" w:rsidP="008F71D0"/>
    <w:p w14:paraId="2ADA8D07" w14:textId="77777777" w:rsidR="008F71D0" w:rsidRDefault="00AD6EF1" w:rsidP="00411A99">
      <w:pPr>
        <w:spacing w:line="240" w:lineRule="auto"/>
        <w:ind w:left="1440" w:right="1440"/>
        <w:rPr>
          <w:iCs/>
        </w:rPr>
      </w:pPr>
      <w:r w:rsidRPr="008F71D0">
        <w:rPr>
          <w:iCs/>
        </w:rPr>
        <w:t xml:space="preserve"> </w:t>
      </w:r>
      <w:r w:rsidR="008F71D0" w:rsidRPr="008F71D0">
        <w:rPr>
          <w:iCs/>
        </w:rPr>
        <w:t>(1)</w:t>
      </w:r>
      <w:r w:rsidR="008F71D0" w:rsidRPr="008F71D0">
        <w:rPr>
          <w:iCs/>
        </w:rPr>
        <w:tab/>
        <w:t>Lack of Commission jurisdiction or improper service of the pleading initiating the proceeding.</w:t>
      </w:r>
    </w:p>
    <w:p w14:paraId="1D6107DB" w14:textId="77777777" w:rsidR="00411A99" w:rsidRPr="008F71D0" w:rsidRDefault="00411A99" w:rsidP="00411A99">
      <w:pPr>
        <w:spacing w:line="240" w:lineRule="auto"/>
        <w:ind w:left="1440" w:right="1440"/>
        <w:rPr>
          <w:iCs/>
        </w:rPr>
      </w:pPr>
    </w:p>
    <w:p w14:paraId="2E772CE2" w14:textId="77777777" w:rsidR="008F71D0" w:rsidRDefault="008F71D0" w:rsidP="00411A99">
      <w:pPr>
        <w:spacing w:line="240" w:lineRule="auto"/>
        <w:ind w:left="1440" w:right="1440"/>
        <w:rPr>
          <w:iCs/>
        </w:rPr>
      </w:pPr>
      <w:r w:rsidRPr="008F71D0">
        <w:rPr>
          <w:iCs/>
        </w:rPr>
        <w:t>(2)</w:t>
      </w:r>
      <w:r w:rsidRPr="008F71D0">
        <w:rPr>
          <w:iCs/>
        </w:rPr>
        <w:tab/>
        <w:t>Failure of a pleading to conform to this chapter or the inclusion of scandalous or impertinent matter.</w:t>
      </w:r>
    </w:p>
    <w:p w14:paraId="2D01A927" w14:textId="77777777" w:rsidR="00411A99" w:rsidRPr="008F71D0" w:rsidRDefault="00411A99" w:rsidP="00411A99">
      <w:pPr>
        <w:spacing w:line="240" w:lineRule="auto"/>
        <w:ind w:left="1440" w:right="1440"/>
        <w:rPr>
          <w:iCs/>
        </w:rPr>
      </w:pPr>
    </w:p>
    <w:p w14:paraId="33C308D9" w14:textId="77777777" w:rsidR="008F71D0" w:rsidRDefault="008F71D0" w:rsidP="00411A99">
      <w:pPr>
        <w:spacing w:line="240" w:lineRule="auto"/>
        <w:ind w:left="1440" w:right="1440"/>
        <w:rPr>
          <w:iCs/>
        </w:rPr>
      </w:pPr>
      <w:r w:rsidRPr="008F71D0">
        <w:rPr>
          <w:iCs/>
        </w:rPr>
        <w:t>(3)</w:t>
      </w:r>
      <w:r w:rsidRPr="008F71D0">
        <w:rPr>
          <w:iCs/>
        </w:rPr>
        <w:tab/>
        <w:t>Insufficient specificity of a pleading.</w:t>
      </w:r>
    </w:p>
    <w:p w14:paraId="5C3731D7" w14:textId="77777777" w:rsidR="00411A99" w:rsidRPr="008F71D0" w:rsidRDefault="00411A99" w:rsidP="00411A99">
      <w:pPr>
        <w:spacing w:line="240" w:lineRule="auto"/>
        <w:ind w:left="1440" w:right="1440"/>
        <w:rPr>
          <w:iCs/>
        </w:rPr>
      </w:pPr>
    </w:p>
    <w:p w14:paraId="4C7FEA1C" w14:textId="77777777" w:rsidR="008F71D0" w:rsidRDefault="008F71D0" w:rsidP="00411A99">
      <w:pPr>
        <w:spacing w:line="240" w:lineRule="auto"/>
        <w:ind w:left="1440" w:right="1440"/>
        <w:rPr>
          <w:iCs/>
        </w:rPr>
      </w:pPr>
      <w:r w:rsidRPr="008F71D0">
        <w:rPr>
          <w:iCs/>
        </w:rPr>
        <w:t>(4)</w:t>
      </w:r>
      <w:r w:rsidRPr="008F71D0">
        <w:rPr>
          <w:iCs/>
        </w:rPr>
        <w:tab/>
        <w:t>Legal insufficiency of a pleading.</w:t>
      </w:r>
    </w:p>
    <w:p w14:paraId="62450851" w14:textId="77777777" w:rsidR="00411A99" w:rsidRPr="008F71D0" w:rsidRDefault="00411A99" w:rsidP="00411A99">
      <w:pPr>
        <w:spacing w:line="240" w:lineRule="auto"/>
        <w:ind w:left="1440" w:right="1440"/>
        <w:rPr>
          <w:iCs/>
        </w:rPr>
      </w:pPr>
    </w:p>
    <w:p w14:paraId="0D5CE498" w14:textId="77777777" w:rsidR="008F71D0" w:rsidRDefault="008F71D0" w:rsidP="00411A99">
      <w:pPr>
        <w:spacing w:line="240" w:lineRule="auto"/>
        <w:ind w:left="1440" w:right="1440"/>
        <w:rPr>
          <w:iCs/>
        </w:rPr>
      </w:pPr>
      <w:r w:rsidRPr="008F71D0">
        <w:rPr>
          <w:iCs/>
        </w:rPr>
        <w:t>(5)</w:t>
      </w:r>
      <w:r w:rsidRPr="008F71D0">
        <w:rPr>
          <w:iCs/>
        </w:rPr>
        <w:tab/>
        <w:t>Lack of capacity to sue, nonjoinder of a necessary party or misjoinder of a cause of action.</w:t>
      </w:r>
    </w:p>
    <w:p w14:paraId="3FBA548A" w14:textId="77777777" w:rsidR="00411A99" w:rsidRPr="008F71D0" w:rsidRDefault="00411A99" w:rsidP="00411A99">
      <w:pPr>
        <w:spacing w:line="240" w:lineRule="auto"/>
        <w:ind w:left="1440" w:right="1440"/>
        <w:rPr>
          <w:iCs/>
        </w:rPr>
      </w:pPr>
    </w:p>
    <w:p w14:paraId="6A4A0A3F" w14:textId="77777777" w:rsidR="008F71D0" w:rsidRDefault="008F71D0" w:rsidP="00411A99">
      <w:pPr>
        <w:spacing w:line="240" w:lineRule="auto"/>
        <w:ind w:left="1440" w:right="1440"/>
        <w:rPr>
          <w:iCs/>
        </w:rPr>
      </w:pPr>
      <w:r w:rsidRPr="008F71D0">
        <w:rPr>
          <w:iCs/>
        </w:rPr>
        <w:t>(6)</w:t>
      </w:r>
      <w:r w:rsidRPr="008F71D0">
        <w:rPr>
          <w:iCs/>
        </w:rPr>
        <w:tab/>
        <w:t>Pendency of a prior proceeding or agreement for alternative dispute resolution.</w:t>
      </w:r>
    </w:p>
    <w:p w14:paraId="3578041B" w14:textId="77777777" w:rsidR="00411A99" w:rsidRPr="008F71D0" w:rsidRDefault="00411A99" w:rsidP="00411A99">
      <w:pPr>
        <w:spacing w:line="240" w:lineRule="auto"/>
        <w:ind w:left="1440" w:right="1440"/>
        <w:rPr>
          <w:iCs/>
        </w:rPr>
      </w:pPr>
    </w:p>
    <w:p w14:paraId="584244E4" w14:textId="77777777" w:rsidR="008F71D0" w:rsidRDefault="008F71D0" w:rsidP="00411A99">
      <w:pPr>
        <w:spacing w:line="240" w:lineRule="auto"/>
        <w:ind w:left="1440" w:right="1440"/>
      </w:pPr>
      <w:r w:rsidRPr="008F71D0">
        <w:t xml:space="preserve">(7) </w:t>
      </w:r>
      <w:r w:rsidRPr="008F71D0">
        <w:tab/>
        <w:t>Standing of a party to participate in the proceeding.</w:t>
      </w:r>
      <w:r w:rsidR="00AD6EF1">
        <w:rPr>
          <w:rStyle w:val="FootnoteReference"/>
        </w:rPr>
        <w:footnoteReference w:id="2"/>
      </w:r>
    </w:p>
    <w:p w14:paraId="0159CACE" w14:textId="77777777" w:rsidR="00AD6EF1" w:rsidRPr="008F71D0" w:rsidRDefault="00AD6EF1" w:rsidP="00AD6EF1">
      <w:pPr>
        <w:ind w:left="1440" w:right="1440"/>
      </w:pPr>
    </w:p>
    <w:p w14:paraId="6CC5EA7E" w14:textId="77777777" w:rsidR="008F71D0" w:rsidRDefault="00AD6EF1" w:rsidP="008F71D0">
      <w:r>
        <w:tab/>
      </w:r>
      <w:r>
        <w:tab/>
      </w:r>
      <w:r w:rsidR="008F71D0" w:rsidRPr="008F71D0">
        <w:t>Preliminary objection practice before the Commission is similar to Pennsylvania civil practice respecting preliminary objections.</w:t>
      </w:r>
      <w:r w:rsidR="008F71D0" w:rsidRPr="008F71D0">
        <w:rPr>
          <w:vertAlign w:val="superscript"/>
        </w:rPr>
        <w:footnoteReference w:id="3"/>
      </w:r>
      <w:r w:rsidR="008F71D0" w:rsidRPr="008F71D0">
        <w:t xml:space="preserve">  In deciding the preliminary objections, the Commission must determine whether, based on well-pleaded factual averments of the </w:t>
      </w:r>
      <w:r w:rsidR="008F71D0" w:rsidRPr="008F71D0">
        <w:lastRenderedPageBreak/>
        <w:t>petitioners, recovery or relief is possible.</w:t>
      </w:r>
      <w:r w:rsidR="008F71D0" w:rsidRPr="008F71D0">
        <w:rPr>
          <w:vertAlign w:val="superscript"/>
        </w:rPr>
        <w:footnoteReference w:id="4"/>
      </w:r>
      <w:r w:rsidR="008F71D0" w:rsidRPr="008F71D0">
        <w:t xml:space="preserve">  Any doubt must be resolved in favor of the non-moving party by refusing to sustain the preliminary objections.</w:t>
      </w:r>
      <w:r w:rsidR="008F71D0" w:rsidRPr="008F71D0">
        <w:rPr>
          <w:vertAlign w:val="superscript"/>
        </w:rPr>
        <w:footnoteReference w:id="5"/>
      </w:r>
      <w:r w:rsidR="008F71D0" w:rsidRPr="008F71D0">
        <w:t xml:space="preserve">  All of the non-moving party’s averments in the complaint must be viewed as true for purposes of deciding the preliminary objections.</w:t>
      </w:r>
      <w:r w:rsidR="008F71D0" w:rsidRPr="008F71D0">
        <w:rPr>
          <w:vertAlign w:val="superscript"/>
        </w:rPr>
        <w:footnoteReference w:id="6"/>
      </w:r>
      <w:r w:rsidR="008F71D0" w:rsidRPr="008F71D0">
        <w:t xml:space="preserve">  Only those facts specifically admitted may be considered against the non-moving party.</w:t>
      </w:r>
      <w:r w:rsidR="008F71D0" w:rsidRPr="008F71D0">
        <w:rPr>
          <w:vertAlign w:val="superscript"/>
        </w:rPr>
        <w:footnoteReference w:id="7"/>
      </w:r>
      <w:r w:rsidR="008F71D0" w:rsidRPr="008F71D0">
        <w:t xml:space="preserve"> A preliminary objection which seeks dismissal of a pleading will only be granted where relief is clearly warranted and free from doubt.</w:t>
      </w:r>
      <w:r w:rsidR="008F71D0" w:rsidRPr="008F71D0">
        <w:rPr>
          <w:vertAlign w:val="superscript"/>
        </w:rPr>
        <w:footnoteReference w:id="8"/>
      </w:r>
    </w:p>
    <w:p w14:paraId="7FC1E3AC" w14:textId="77777777" w:rsidR="002E57B1" w:rsidRDefault="002E57B1" w:rsidP="008F71D0"/>
    <w:p w14:paraId="4C484B9F" w14:textId="77777777" w:rsidR="00940F66" w:rsidRDefault="00940F66" w:rsidP="008F71D0">
      <w:r>
        <w:tab/>
      </w:r>
      <w:r>
        <w:tab/>
      </w:r>
      <w:r w:rsidRPr="00940F66">
        <w:t>In every case coming before it, the Commission must decide initially whether it has jurisdiction over the parties and the subject matter of this dispute.  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Pr="00940F66">
        <w:rPr>
          <w:vertAlign w:val="superscript"/>
        </w:rPr>
        <w:footnoteReference w:id="9"/>
      </w:r>
      <w:r w:rsidRPr="00940F66">
        <w:t xml:space="preserve">  The Commission must act within and cannot exceed its jurisdiction.</w:t>
      </w:r>
      <w:r w:rsidRPr="00940F66">
        <w:rPr>
          <w:vertAlign w:val="superscript"/>
        </w:rPr>
        <w:footnoteReference w:id="10"/>
      </w:r>
      <w:r w:rsidRPr="00940F66">
        <w:t xml:space="preserve">  Jurisdiction may not be conferred by the parties where none exists.</w:t>
      </w:r>
      <w:r w:rsidRPr="00940F66">
        <w:rPr>
          <w:vertAlign w:val="superscript"/>
        </w:rPr>
        <w:footnoteReference w:id="11"/>
      </w:r>
      <w:r w:rsidRPr="00940F66">
        <w:t xml:space="preserve">  Indeed, subject matter jurisdiction is a prerequisite to the exercise of the power to decide a controversy.</w:t>
      </w:r>
      <w:r w:rsidRPr="00940F66">
        <w:rPr>
          <w:vertAlign w:val="superscript"/>
        </w:rPr>
        <w:footnoteReference w:id="12"/>
      </w:r>
      <w:r w:rsidRPr="00940F66">
        <w:t xml:space="preserve">  </w:t>
      </w:r>
    </w:p>
    <w:p w14:paraId="0C8A02A2" w14:textId="77777777" w:rsidR="00774599" w:rsidRDefault="00940F66" w:rsidP="008F71D0">
      <w:r>
        <w:lastRenderedPageBreak/>
        <w:tab/>
      </w:r>
      <w:r>
        <w:tab/>
      </w:r>
      <w:r w:rsidR="002E57B1">
        <w:t>The Commission has held on numerous occasions that the negotiability of a proposed instrument of payment does not fall within Commission jurisdiction.</w:t>
      </w:r>
      <w:r w:rsidR="002E57B1">
        <w:rPr>
          <w:rStyle w:val="FootnoteReference"/>
        </w:rPr>
        <w:footnoteReference w:id="13"/>
      </w:r>
      <w:r w:rsidR="002E57B1">
        <w:t xml:space="preserve">  </w:t>
      </w:r>
      <w:r>
        <w:t>Therefore, the Commission has no jurisdiction to determine whether the “instruction to set off and discharge” as described in the complaint qualifies as method of payment under federal law.</w:t>
      </w:r>
    </w:p>
    <w:p w14:paraId="2593BB99" w14:textId="77777777" w:rsidR="00774599" w:rsidRDefault="00774599" w:rsidP="008F71D0"/>
    <w:p w14:paraId="2F909FA5" w14:textId="77777777" w:rsidR="002E57B1" w:rsidRDefault="00774599" w:rsidP="008F71D0">
      <w:r>
        <w:tab/>
      </w:r>
      <w:r>
        <w:tab/>
      </w:r>
      <w:r w:rsidR="002E57B1">
        <w:t>The Commission has further held that it is not unreasonable for a public utility to limit the forms of payment that it will accept for utility service.</w:t>
      </w:r>
      <w:r w:rsidR="002E57B1">
        <w:rPr>
          <w:rStyle w:val="FootnoteReference"/>
        </w:rPr>
        <w:footnoteReference w:id="14"/>
      </w:r>
      <w:r w:rsidR="002E57B1">
        <w:t xml:space="preserve">  For example, in </w:t>
      </w:r>
      <w:r w:rsidR="002E57B1" w:rsidRPr="00C60D51">
        <w:rPr>
          <w:i/>
        </w:rPr>
        <w:t>Kennedy v. PECO</w:t>
      </w:r>
      <w:r w:rsidR="002E57B1">
        <w:t>,</w:t>
      </w:r>
      <w:r>
        <w:rPr>
          <w:rStyle w:val="FootnoteReference"/>
        </w:rPr>
        <w:footnoteReference w:id="15"/>
      </w:r>
      <w:r w:rsidR="002E57B1">
        <w:t xml:space="preserve"> the Commission held that it was appropriate to sustain preliminary objections and dismiss a complaint because PECO was not required by the Public Utility Code to accept a promissory note as payment for utility service.  Further, </w:t>
      </w:r>
      <w:r w:rsidR="00C60D51">
        <w:t>PECO’s policy to limit methods of payment to certified cashier’s checks, teller’s or bank checks, wire transfer, cash or credit card was not unreasonable.  Therefore, Mr. Kennedy’s complaint was dismissed.</w:t>
      </w:r>
    </w:p>
    <w:p w14:paraId="5A494638" w14:textId="77777777" w:rsidR="00C42C9C" w:rsidRDefault="00C42C9C" w:rsidP="008F71D0"/>
    <w:p w14:paraId="4817C4E9" w14:textId="77777777" w:rsidR="006905D4" w:rsidRDefault="00C42C9C">
      <w:r>
        <w:tab/>
      </w:r>
      <w:r>
        <w:tab/>
        <w:t xml:space="preserve">Accordingly, the Complainant’s claim that DLC erred in failing to accept his instruction to “set off and discharge” his unpaid balance is dismissed.  However, the Complainant also checked boxes on the formal complaint form requesting a payment arrangement and noting that there are incorrect charges on his bill.  It would be inappropriate to speculate that these claims are inextricably intertwined with the Complainant’s position regarding his method of payment.  </w:t>
      </w:r>
      <w:r w:rsidRPr="008F71D0">
        <w:t>A preliminary objection which seeks dismissal of a pleading will only be granted where relief is clearly warranted and free from doubt.</w:t>
      </w:r>
      <w:r w:rsidRPr="008F71D0">
        <w:rPr>
          <w:vertAlign w:val="superscript"/>
        </w:rPr>
        <w:footnoteReference w:id="16"/>
      </w:r>
      <w:r>
        <w:t xml:space="preserve">  Therefore, this matter will be set for a hearing on the remaining claims set forth in the formal complaint.</w:t>
      </w:r>
    </w:p>
    <w:p w14:paraId="52E9EE11" w14:textId="77777777" w:rsidR="00C42C9C" w:rsidRDefault="00C42C9C"/>
    <w:p w14:paraId="735EF0B1" w14:textId="77777777" w:rsidR="00F80CC4" w:rsidRPr="0036463E" w:rsidRDefault="00C42C9C" w:rsidP="00F80CC4">
      <w:pPr>
        <w:autoSpaceDE w:val="0"/>
        <w:autoSpaceDN w:val="0"/>
        <w:rPr>
          <w:szCs w:val="24"/>
        </w:rPr>
      </w:pPr>
      <w:r>
        <w:tab/>
      </w:r>
      <w:r>
        <w:tab/>
      </w:r>
      <w:r w:rsidR="00F80CC4">
        <w:rPr>
          <w:szCs w:val="24"/>
        </w:rPr>
        <w:t>The Complainant is cautioned that DLC’s</w:t>
      </w:r>
      <w:r w:rsidR="00F80CC4" w:rsidRPr="0036463E">
        <w:rPr>
          <w:szCs w:val="24"/>
        </w:rPr>
        <w:t xml:space="preserve"> </w:t>
      </w:r>
      <w:r w:rsidR="00F80CC4">
        <w:rPr>
          <w:szCs w:val="24"/>
        </w:rPr>
        <w:t>request to dismiss the Complaint with prejudice is denied</w:t>
      </w:r>
      <w:r w:rsidR="00F80CC4" w:rsidRPr="0036463E">
        <w:rPr>
          <w:szCs w:val="24"/>
        </w:rPr>
        <w:t xml:space="preserve"> on purely procedural grounds.  The denial does not, in any way, give </w:t>
      </w:r>
      <w:r w:rsidR="00F80CC4" w:rsidRPr="0036463E">
        <w:rPr>
          <w:szCs w:val="24"/>
        </w:rPr>
        <w:lastRenderedPageBreak/>
        <w:t xml:space="preserve">credence to either the substance of the </w:t>
      </w:r>
      <w:r w:rsidR="00F80CC4">
        <w:rPr>
          <w:szCs w:val="24"/>
        </w:rPr>
        <w:t>c</w:t>
      </w:r>
      <w:r w:rsidR="00F80CC4" w:rsidRPr="0036463E">
        <w:rPr>
          <w:szCs w:val="24"/>
        </w:rPr>
        <w:t>omplaint or to the likelihood of Complainant</w:t>
      </w:r>
      <w:r w:rsidR="00F80CC4">
        <w:rPr>
          <w:szCs w:val="24"/>
        </w:rPr>
        <w:t>’</w:t>
      </w:r>
      <w:r w:rsidR="00F80CC4" w:rsidRPr="0036463E">
        <w:rPr>
          <w:szCs w:val="24"/>
        </w:rPr>
        <w:t xml:space="preserve">s success on the merits.  </w:t>
      </w:r>
    </w:p>
    <w:p w14:paraId="1C44B36F" w14:textId="77777777" w:rsidR="00F80CC4" w:rsidRPr="0036463E" w:rsidRDefault="00F80CC4" w:rsidP="00F80CC4">
      <w:pPr>
        <w:autoSpaceDE w:val="0"/>
        <w:autoSpaceDN w:val="0"/>
        <w:rPr>
          <w:szCs w:val="24"/>
        </w:rPr>
      </w:pPr>
    </w:p>
    <w:p w14:paraId="12A469FE" w14:textId="77777777" w:rsidR="00F80CC4" w:rsidRPr="0036463E" w:rsidRDefault="00F80CC4" w:rsidP="00F80CC4">
      <w:pPr>
        <w:autoSpaceDE w:val="0"/>
        <w:autoSpaceDN w:val="0"/>
        <w:rPr>
          <w:spacing w:val="-3"/>
          <w:szCs w:val="24"/>
        </w:rPr>
      </w:pPr>
      <w:r w:rsidRPr="0036463E">
        <w:rPr>
          <w:szCs w:val="24"/>
        </w:rPr>
        <w:tab/>
      </w:r>
      <w:r w:rsidRPr="0036463E">
        <w:rPr>
          <w:szCs w:val="24"/>
        </w:rPr>
        <w:tab/>
      </w:r>
      <w:r>
        <w:rPr>
          <w:szCs w:val="24"/>
        </w:rPr>
        <w:t>The Complainant has</w:t>
      </w:r>
      <w:r w:rsidRPr="0036463E">
        <w:rPr>
          <w:spacing w:val="-3"/>
          <w:szCs w:val="24"/>
        </w:rPr>
        <w:t xml:space="preserve"> the burden of showing that the named utility is responsible or accountable for the problem described in the complaint in order to prevail.</w:t>
      </w:r>
      <w:r>
        <w:rPr>
          <w:rStyle w:val="FootnoteReference"/>
          <w:spacing w:val="-3"/>
          <w:szCs w:val="24"/>
        </w:rPr>
        <w:footnoteReference w:id="17"/>
      </w:r>
      <w:r w:rsidRPr="0036463E">
        <w:rPr>
          <w:spacing w:val="-3"/>
          <w:szCs w:val="24"/>
        </w:rPr>
        <w:t xml:space="preserve">  This must be shown by a preponderance of the evidence.</w:t>
      </w:r>
      <w:r>
        <w:rPr>
          <w:rStyle w:val="FootnoteReference"/>
          <w:spacing w:val="-3"/>
          <w:szCs w:val="24"/>
        </w:rPr>
        <w:footnoteReference w:id="18"/>
      </w:r>
      <w:r w:rsidR="00434CEF">
        <w:rPr>
          <w:spacing w:val="-3"/>
          <w:szCs w:val="24"/>
        </w:rPr>
        <w:t xml:space="preserve"> </w:t>
      </w:r>
      <w:r>
        <w:rPr>
          <w:spacing w:val="-3"/>
          <w:szCs w:val="24"/>
        </w:rPr>
        <w:t xml:space="preserve"> </w:t>
      </w:r>
      <w:r w:rsidRPr="0036463E">
        <w:rPr>
          <w:spacing w:val="-3"/>
          <w:szCs w:val="24"/>
        </w:rPr>
        <w:t>That is, by presenting evidence more convincing, by even the smallest amount, than that presented by the other party.</w:t>
      </w:r>
      <w:r>
        <w:rPr>
          <w:rStyle w:val="FootnoteReference"/>
          <w:spacing w:val="-3"/>
          <w:szCs w:val="24"/>
        </w:rPr>
        <w:footnoteReference w:id="19"/>
      </w:r>
      <w:r w:rsidRPr="0036463E">
        <w:rPr>
          <w:spacing w:val="-3"/>
          <w:szCs w:val="24"/>
        </w:rPr>
        <w:t xml:space="preserve">  </w:t>
      </w:r>
    </w:p>
    <w:p w14:paraId="4882DF62" w14:textId="77777777" w:rsidR="00F80CC4" w:rsidRPr="0036463E" w:rsidRDefault="00F80CC4" w:rsidP="00F80CC4">
      <w:pPr>
        <w:autoSpaceDE w:val="0"/>
        <w:autoSpaceDN w:val="0"/>
        <w:ind w:firstLine="1440"/>
        <w:rPr>
          <w:spacing w:val="-3"/>
          <w:szCs w:val="24"/>
        </w:rPr>
      </w:pPr>
    </w:p>
    <w:p w14:paraId="5FC08F96" w14:textId="77777777" w:rsidR="00F80CC4" w:rsidRPr="0036463E" w:rsidRDefault="00F80CC4" w:rsidP="00F80CC4">
      <w:pPr>
        <w:autoSpaceDE w:val="0"/>
        <w:autoSpaceDN w:val="0"/>
        <w:rPr>
          <w:szCs w:val="24"/>
        </w:rPr>
      </w:pPr>
      <w:r w:rsidRPr="0036463E">
        <w:rPr>
          <w:szCs w:val="24"/>
        </w:rPr>
        <w:tab/>
      </w:r>
      <w:r w:rsidRPr="0036463E">
        <w:rPr>
          <w:szCs w:val="24"/>
        </w:rPr>
        <w:tab/>
        <w:t xml:space="preserve">For the reasons stated above, </w:t>
      </w:r>
      <w:r>
        <w:rPr>
          <w:szCs w:val="24"/>
        </w:rPr>
        <w:t>DLC’s preliminary objections</w:t>
      </w:r>
      <w:r w:rsidRPr="0036463E">
        <w:rPr>
          <w:szCs w:val="24"/>
        </w:rPr>
        <w:t xml:space="preserve"> will be </w:t>
      </w:r>
      <w:r>
        <w:rPr>
          <w:szCs w:val="24"/>
        </w:rPr>
        <w:t>sustained</w:t>
      </w:r>
      <w:r w:rsidRPr="0036463E">
        <w:rPr>
          <w:szCs w:val="24"/>
        </w:rPr>
        <w:t xml:space="preserve"> with respect to any claim </w:t>
      </w:r>
      <w:r>
        <w:rPr>
          <w:szCs w:val="24"/>
        </w:rPr>
        <w:t xml:space="preserve">relating </w:t>
      </w:r>
      <w:r w:rsidR="003A1189">
        <w:rPr>
          <w:szCs w:val="24"/>
        </w:rPr>
        <w:t xml:space="preserve">to </w:t>
      </w:r>
      <w:r>
        <w:rPr>
          <w:szCs w:val="24"/>
        </w:rPr>
        <w:t>federal statutes,</w:t>
      </w:r>
      <w:r w:rsidRPr="0036463E">
        <w:rPr>
          <w:szCs w:val="24"/>
        </w:rPr>
        <w:t xml:space="preserve"> and </w:t>
      </w:r>
      <w:r>
        <w:rPr>
          <w:szCs w:val="24"/>
        </w:rPr>
        <w:t>DLC’s request for dismissal of the complaint with prejudice will be denied</w:t>
      </w:r>
      <w:r w:rsidRPr="0036463E">
        <w:rPr>
          <w:szCs w:val="24"/>
        </w:rPr>
        <w:t xml:space="preserve"> with respect to Complainants’ allegations </w:t>
      </w:r>
      <w:r>
        <w:rPr>
          <w:szCs w:val="24"/>
        </w:rPr>
        <w:t>concerning incorrect charges and a payment arrangement</w:t>
      </w:r>
      <w:r w:rsidRPr="0036463E">
        <w:rPr>
          <w:szCs w:val="24"/>
        </w:rPr>
        <w:t>.</w:t>
      </w:r>
    </w:p>
    <w:p w14:paraId="7951574A" w14:textId="77777777" w:rsidR="00F80CC4" w:rsidRPr="0036463E" w:rsidRDefault="00F80CC4" w:rsidP="00F80CC4">
      <w:pPr>
        <w:autoSpaceDE w:val="0"/>
        <w:autoSpaceDN w:val="0"/>
        <w:rPr>
          <w:szCs w:val="24"/>
        </w:rPr>
      </w:pPr>
    </w:p>
    <w:p w14:paraId="408E9E01" w14:textId="77777777" w:rsidR="00F80CC4" w:rsidRPr="0036463E" w:rsidRDefault="00F80CC4" w:rsidP="00F80CC4">
      <w:pPr>
        <w:autoSpaceDE w:val="0"/>
        <w:autoSpaceDN w:val="0"/>
        <w:rPr>
          <w:szCs w:val="24"/>
        </w:rPr>
      </w:pPr>
      <w:r w:rsidRPr="0036463E">
        <w:rPr>
          <w:szCs w:val="24"/>
        </w:rPr>
        <w:tab/>
      </w:r>
      <w:r w:rsidRPr="0036463E">
        <w:rPr>
          <w:szCs w:val="24"/>
        </w:rPr>
        <w:tab/>
        <w:t xml:space="preserve">The parties are directed to attempt to resolve this matter themselves and are </w:t>
      </w:r>
    </w:p>
    <w:p w14:paraId="3A506A66" w14:textId="77777777" w:rsidR="00F80CC4" w:rsidRDefault="00F80CC4" w:rsidP="00F80CC4">
      <w:pPr>
        <w:autoSpaceDE w:val="0"/>
        <w:autoSpaceDN w:val="0"/>
        <w:rPr>
          <w:szCs w:val="24"/>
        </w:rPr>
      </w:pPr>
      <w:r w:rsidRPr="0036463E">
        <w:rPr>
          <w:szCs w:val="24"/>
        </w:rPr>
        <w:t xml:space="preserve">strongly encouraged to participate in settlement negotiations.  Settlement discussions are consistent with the Commission’s regulations.  </w:t>
      </w:r>
      <w:r w:rsidRPr="00434CEF">
        <w:rPr>
          <w:i/>
          <w:szCs w:val="24"/>
        </w:rPr>
        <w:t>See</w:t>
      </w:r>
      <w:r w:rsidRPr="0036463E">
        <w:rPr>
          <w:szCs w:val="24"/>
        </w:rPr>
        <w:t xml:space="preserve"> 52 Pa.Code § 5.231.</w:t>
      </w:r>
    </w:p>
    <w:p w14:paraId="3A0EA352" w14:textId="77777777" w:rsidR="007F25D0" w:rsidRDefault="007F25D0" w:rsidP="00F80CC4">
      <w:pPr>
        <w:autoSpaceDE w:val="0"/>
        <w:autoSpaceDN w:val="0"/>
        <w:rPr>
          <w:szCs w:val="24"/>
        </w:rPr>
      </w:pPr>
    </w:p>
    <w:p w14:paraId="5E9C5994" w14:textId="77777777" w:rsidR="007F25D0" w:rsidRDefault="007F25D0" w:rsidP="00434CEF">
      <w:pPr>
        <w:autoSpaceDE w:val="0"/>
        <w:autoSpaceDN w:val="0"/>
        <w:ind w:left="720" w:firstLine="720"/>
        <w:rPr>
          <w:szCs w:val="24"/>
        </w:rPr>
      </w:pPr>
      <w:r>
        <w:rPr>
          <w:szCs w:val="24"/>
        </w:rPr>
        <w:t>THEREFORE</w:t>
      </w:r>
    </w:p>
    <w:p w14:paraId="2F2565F9" w14:textId="77777777" w:rsidR="007F25D0" w:rsidRDefault="007F25D0" w:rsidP="00F80CC4">
      <w:pPr>
        <w:autoSpaceDE w:val="0"/>
        <w:autoSpaceDN w:val="0"/>
        <w:rPr>
          <w:szCs w:val="24"/>
        </w:rPr>
      </w:pPr>
    </w:p>
    <w:p w14:paraId="48C5C7D1" w14:textId="77777777" w:rsidR="007F25D0" w:rsidRDefault="007F25D0" w:rsidP="00434CEF">
      <w:pPr>
        <w:autoSpaceDE w:val="0"/>
        <w:autoSpaceDN w:val="0"/>
        <w:ind w:left="720" w:firstLine="720"/>
        <w:rPr>
          <w:szCs w:val="24"/>
        </w:rPr>
      </w:pPr>
      <w:r>
        <w:rPr>
          <w:szCs w:val="24"/>
        </w:rPr>
        <w:t>IT IS ORDERED:</w:t>
      </w:r>
    </w:p>
    <w:p w14:paraId="668F65E7" w14:textId="77777777" w:rsidR="007F25D0" w:rsidRDefault="007F25D0" w:rsidP="00F80CC4">
      <w:pPr>
        <w:autoSpaceDE w:val="0"/>
        <w:autoSpaceDN w:val="0"/>
        <w:rPr>
          <w:szCs w:val="24"/>
        </w:rPr>
      </w:pPr>
    </w:p>
    <w:p w14:paraId="26454BFA" w14:textId="77777777" w:rsidR="007F25D0" w:rsidRDefault="007F25D0" w:rsidP="00F80CC4">
      <w:pPr>
        <w:autoSpaceDE w:val="0"/>
        <w:autoSpaceDN w:val="0"/>
        <w:rPr>
          <w:szCs w:val="24"/>
        </w:rPr>
      </w:pPr>
      <w:r>
        <w:rPr>
          <w:szCs w:val="24"/>
        </w:rPr>
        <w:tab/>
      </w:r>
      <w:r>
        <w:rPr>
          <w:szCs w:val="24"/>
        </w:rPr>
        <w:tab/>
        <w:t>1.</w:t>
      </w:r>
      <w:r>
        <w:rPr>
          <w:szCs w:val="24"/>
        </w:rPr>
        <w:tab/>
        <w:t>That Duquesne Light’s preliminary objection to dismiss the claim relating to proffered method of payment for the Complainant’s unpaid balance is sustained and the claim is dismissed.</w:t>
      </w:r>
    </w:p>
    <w:p w14:paraId="4B806F5D" w14:textId="77777777" w:rsidR="007F25D0" w:rsidRDefault="007F25D0" w:rsidP="00F80CC4">
      <w:pPr>
        <w:autoSpaceDE w:val="0"/>
        <w:autoSpaceDN w:val="0"/>
        <w:rPr>
          <w:szCs w:val="24"/>
        </w:rPr>
      </w:pPr>
    </w:p>
    <w:p w14:paraId="193D2FCF" w14:textId="77777777" w:rsidR="007F25D0" w:rsidRDefault="007F25D0" w:rsidP="00F80CC4">
      <w:pPr>
        <w:autoSpaceDE w:val="0"/>
        <w:autoSpaceDN w:val="0"/>
        <w:rPr>
          <w:szCs w:val="24"/>
        </w:rPr>
      </w:pPr>
      <w:r>
        <w:rPr>
          <w:szCs w:val="24"/>
        </w:rPr>
        <w:lastRenderedPageBreak/>
        <w:tab/>
      </w:r>
      <w:r>
        <w:rPr>
          <w:szCs w:val="24"/>
        </w:rPr>
        <w:tab/>
        <w:t>2.</w:t>
      </w:r>
      <w:r>
        <w:rPr>
          <w:szCs w:val="24"/>
        </w:rPr>
        <w:tab/>
        <w:t>That Duquesne Light’s preliminary objections are dismissed in all other respects.</w:t>
      </w:r>
    </w:p>
    <w:p w14:paraId="5B5FD6B0" w14:textId="77777777" w:rsidR="007F25D0" w:rsidRDefault="007F25D0" w:rsidP="00F80CC4">
      <w:pPr>
        <w:autoSpaceDE w:val="0"/>
        <w:autoSpaceDN w:val="0"/>
        <w:rPr>
          <w:szCs w:val="24"/>
        </w:rPr>
      </w:pPr>
    </w:p>
    <w:p w14:paraId="06BC0A83" w14:textId="77777777" w:rsidR="007F25D0" w:rsidRDefault="007F25D0" w:rsidP="00F80CC4">
      <w:pPr>
        <w:autoSpaceDE w:val="0"/>
        <w:autoSpaceDN w:val="0"/>
        <w:rPr>
          <w:szCs w:val="24"/>
        </w:rPr>
      </w:pPr>
      <w:r>
        <w:rPr>
          <w:szCs w:val="24"/>
        </w:rPr>
        <w:tab/>
      </w:r>
      <w:r>
        <w:rPr>
          <w:szCs w:val="24"/>
        </w:rPr>
        <w:tab/>
        <w:t>3.</w:t>
      </w:r>
      <w:r>
        <w:rPr>
          <w:szCs w:val="24"/>
        </w:rPr>
        <w:tab/>
        <w:t>That this matter shall be set for hearing on the remaining claims set forth in the formal complaint regarding the Complainant’s request for a payment arrangement and alleged incorrect charges on the bill.</w:t>
      </w:r>
    </w:p>
    <w:p w14:paraId="76EBFEA1" w14:textId="77777777" w:rsidR="00434CEF" w:rsidRDefault="00434CEF" w:rsidP="00F80CC4">
      <w:pPr>
        <w:autoSpaceDE w:val="0"/>
        <w:autoSpaceDN w:val="0"/>
        <w:rPr>
          <w:szCs w:val="24"/>
        </w:rPr>
      </w:pPr>
    </w:p>
    <w:p w14:paraId="56946BC9" w14:textId="77777777" w:rsidR="00434CEF" w:rsidRDefault="00434CEF" w:rsidP="00F80CC4">
      <w:pPr>
        <w:autoSpaceDE w:val="0"/>
        <w:autoSpaceDN w:val="0"/>
        <w:rPr>
          <w:szCs w:val="24"/>
        </w:rPr>
      </w:pPr>
    </w:p>
    <w:p w14:paraId="16F7DD42" w14:textId="77777777" w:rsidR="00434CEF" w:rsidRPr="00434CEF" w:rsidRDefault="00434CEF" w:rsidP="00434CEF">
      <w:pPr>
        <w:spacing w:line="240" w:lineRule="auto"/>
        <w:rPr>
          <w:rFonts w:eastAsia="Times New Roman"/>
          <w:szCs w:val="24"/>
        </w:rPr>
      </w:pPr>
      <w:bookmarkStart w:id="1" w:name="_Hlk505862083"/>
      <w:r w:rsidRPr="00434CEF">
        <w:rPr>
          <w:rFonts w:eastAsia="Times New Roman"/>
          <w:szCs w:val="24"/>
        </w:rPr>
        <w:t xml:space="preserve">Date:  </w:t>
      </w:r>
      <w:r>
        <w:rPr>
          <w:rFonts w:eastAsia="Times New Roman"/>
          <w:szCs w:val="24"/>
          <w:u w:val="single"/>
        </w:rPr>
        <w:t>January 4, 2019</w:t>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u w:val="single"/>
        </w:rPr>
        <w:tab/>
      </w:r>
      <w:r w:rsidRPr="00434CEF">
        <w:rPr>
          <w:rFonts w:eastAsia="Times New Roman"/>
          <w:szCs w:val="24"/>
          <w:u w:val="single"/>
        </w:rPr>
        <w:tab/>
        <w:t>/s/</w:t>
      </w:r>
      <w:r w:rsidRPr="00434CEF">
        <w:rPr>
          <w:rFonts w:eastAsia="Times New Roman"/>
          <w:szCs w:val="24"/>
          <w:u w:val="single"/>
        </w:rPr>
        <w:tab/>
      </w:r>
      <w:r w:rsidRPr="00434CEF">
        <w:rPr>
          <w:rFonts w:eastAsia="Times New Roman"/>
          <w:szCs w:val="24"/>
          <w:u w:val="single"/>
        </w:rPr>
        <w:tab/>
      </w:r>
      <w:r w:rsidRPr="00434CEF">
        <w:rPr>
          <w:rFonts w:eastAsia="Times New Roman"/>
          <w:szCs w:val="24"/>
          <w:u w:val="single"/>
        </w:rPr>
        <w:tab/>
      </w:r>
      <w:r w:rsidRPr="00434CEF">
        <w:rPr>
          <w:rFonts w:eastAsia="Times New Roman"/>
          <w:szCs w:val="24"/>
          <w:u w:val="single"/>
        </w:rPr>
        <w:tab/>
      </w:r>
    </w:p>
    <w:p w14:paraId="3DEFDB48" w14:textId="77777777" w:rsidR="00434CEF" w:rsidRPr="00434CEF" w:rsidRDefault="00434CEF" w:rsidP="00434CEF">
      <w:pPr>
        <w:spacing w:line="240" w:lineRule="auto"/>
        <w:rPr>
          <w:rFonts w:eastAsia="Times New Roman"/>
          <w:szCs w:val="24"/>
        </w:rPr>
      </w:pP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t>Mary D. Long</w:t>
      </w:r>
    </w:p>
    <w:p w14:paraId="35BC3CBD" w14:textId="77777777" w:rsidR="00434CEF" w:rsidRDefault="00434CEF" w:rsidP="00434CEF">
      <w:pPr>
        <w:spacing w:line="240" w:lineRule="auto"/>
        <w:rPr>
          <w:rFonts w:eastAsia="Times New Roman"/>
          <w:szCs w:val="24"/>
        </w:rPr>
      </w:pP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r>
      <w:r w:rsidRPr="00434CEF">
        <w:rPr>
          <w:rFonts w:eastAsia="Times New Roman"/>
          <w:szCs w:val="24"/>
        </w:rPr>
        <w:tab/>
        <w:t>Administrative Law Judge</w:t>
      </w:r>
    </w:p>
    <w:p w14:paraId="1172E180" w14:textId="77777777" w:rsidR="00434CEF" w:rsidRPr="00434CEF" w:rsidRDefault="00434CEF" w:rsidP="00434CEF">
      <w:pPr>
        <w:spacing w:line="240" w:lineRule="auto"/>
        <w:rPr>
          <w:rFonts w:eastAsia="Times New Roman"/>
          <w:szCs w:val="24"/>
        </w:rPr>
      </w:pPr>
    </w:p>
    <w:bookmarkEnd w:id="1"/>
    <w:p w14:paraId="7F419FDF" w14:textId="77777777" w:rsidR="00434CEF" w:rsidRPr="0036463E" w:rsidRDefault="00434CEF" w:rsidP="00F80CC4">
      <w:pPr>
        <w:autoSpaceDE w:val="0"/>
        <w:autoSpaceDN w:val="0"/>
        <w:rPr>
          <w:szCs w:val="24"/>
        </w:rPr>
      </w:pPr>
    </w:p>
    <w:p w14:paraId="139F2CF1" w14:textId="77777777" w:rsidR="00EF02E5" w:rsidRDefault="00EF02E5">
      <w:pPr>
        <w:sectPr w:rsidR="00EF02E5" w:rsidSect="00331F71">
          <w:footerReference w:type="default" r:id="rId7"/>
          <w:pgSz w:w="12240" w:h="15840"/>
          <w:pgMar w:top="1440" w:right="1440" w:bottom="1440" w:left="1440" w:header="720" w:footer="720" w:gutter="0"/>
          <w:cols w:space="720"/>
          <w:titlePg/>
          <w:docGrid w:linePitch="360"/>
        </w:sectPr>
      </w:pPr>
    </w:p>
    <w:p w14:paraId="5C8BE800" w14:textId="77777777" w:rsidR="00EF02E5" w:rsidRPr="00EF02E5" w:rsidRDefault="00EF02E5" w:rsidP="00EF02E5">
      <w:pPr>
        <w:spacing w:line="240" w:lineRule="auto"/>
        <w:rPr>
          <w:rFonts w:ascii="Microsoft Sans Serif" w:eastAsia="Microsoft Sans Serif" w:hAnsi="Microsoft Sans Serif" w:cs="Microsoft Sans Serif"/>
          <w:szCs w:val="22"/>
        </w:rPr>
      </w:pPr>
      <w:r w:rsidRPr="00EF02E5">
        <w:rPr>
          <w:rFonts w:ascii="Microsoft Sans Serif" w:eastAsia="Microsoft Sans Serif" w:hAnsi="Microsoft Sans Serif" w:cs="Microsoft Sans Serif"/>
          <w:b/>
          <w:szCs w:val="22"/>
          <w:u w:val="single"/>
        </w:rPr>
        <w:lastRenderedPageBreak/>
        <w:t>F-2018-3006074 - RICKEY DAVIS v. DUQUESNE LIGHT COMPANY</w:t>
      </w:r>
      <w:r w:rsidRPr="00EF02E5">
        <w:rPr>
          <w:rFonts w:ascii="Microsoft Sans Serif" w:eastAsia="Microsoft Sans Serif" w:hAnsi="Microsoft Sans Serif" w:cs="Microsoft Sans Serif"/>
          <w:b/>
          <w:szCs w:val="22"/>
          <w:u w:val="single"/>
        </w:rPr>
        <w:cr/>
      </w:r>
      <w:r w:rsidRPr="00EF02E5">
        <w:rPr>
          <w:rFonts w:ascii="Microsoft Sans Serif" w:eastAsia="Microsoft Sans Serif" w:hAnsi="Microsoft Sans Serif" w:cs="Microsoft Sans Serif"/>
          <w:b/>
          <w:szCs w:val="22"/>
          <w:u w:val="single"/>
        </w:rPr>
        <w:cr/>
      </w:r>
      <w:bookmarkStart w:id="2" w:name="_Hlk534366094"/>
      <w:r w:rsidRPr="00EF02E5">
        <w:rPr>
          <w:rFonts w:ascii="Microsoft Sans Serif" w:eastAsia="Microsoft Sans Serif" w:hAnsi="Microsoft Sans Serif" w:cs="Microsoft Sans Serif"/>
          <w:szCs w:val="22"/>
        </w:rPr>
        <w:t>RICKEY DAVIS</w:t>
      </w:r>
      <w:r w:rsidRPr="00EF02E5">
        <w:rPr>
          <w:rFonts w:ascii="Microsoft Sans Serif" w:eastAsia="Microsoft Sans Serif" w:hAnsi="Microsoft Sans Serif" w:cs="Microsoft Sans Serif"/>
          <w:szCs w:val="22"/>
        </w:rPr>
        <w:cr/>
        <w:t>7622 CHEYENNE ST APT B</w:t>
      </w:r>
    </w:p>
    <w:p w14:paraId="7E5028A7" w14:textId="77777777" w:rsidR="00EF02E5" w:rsidRPr="00EF02E5" w:rsidRDefault="00EF02E5" w:rsidP="00EF02E5">
      <w:pPr>
        <w:spacing w:line="240" w:lineRule="auto"/>
        <w:rPr>
          <w:rFonts w:ascii="Calibri" w:eastAsia="Times New Roman" w:hAnsi="Calibri"/>
          <w:sz w:val="22"/>
          <w:szCs w:val="22"/>
        </w:rPr>
      </w:pPr>
      <w:r w:rsidRPr="00EF02E5">
        <w:rPr>
          <w:rFonts w:ascii="Microsoft Sans Serif" w:eastAsia="Microsoft Sans Serif" w:hAnsi="Microsoft Sans Serif" w:cs="Microsoft Sans Serif"/>
          <w:szCs w:val="22"/>
        </w:rPr>
        <w:t>PITTSBURGH PA  15218</w:t>
      </w:r>
      <w:r w:rsidRPr="00EF02E5">
        <w:rPr>
          <w:rFonts w:ascii="Microsoft Sans Serif" w:eastAsia="Microsoft Sans Serif" w:hAnsi="Microsoft Sans Serif" w:cs="Microsoft Sans Serif"/>
          <w:szCs w:val="22"/>
        </w:rPr>
        <w:cr/>
      </w:r>
      <w:bookmarkEnd w:id="2"/>
      <w:r w:rsidRPr="00EF02E5">
        <w:rPr>
          <w:rFonts w:ascii="Microsoft Sans Serif" w:eastAsia="Microsoft Sans Serif" w:hAnsi="Microsoft Sans Serif" w:cs="Microsoft Sans Serif"/>
          <w:b/>
          <w:szCs w:val="22"/>
        </w:rPr>
        <w:t>412.628.0154</w:t>
      </w:r>
      <w:r w:rsidRPr="00EF02E5">
        <w:rPr>
          <w:rFonts w:ascii="Microsoft Sans Serif" w:eastAsia="Microsoft Sans Serif" w:hAnsi="Microsoft Sans Serif" w:cs="Microsoft Sans Serif"/>
          <w:b/>
          <w:szCs w:val="22"/>
        </w:rPr>
        <w:cr/>
      </w:r>
      <w:r w:rsidRPr="00EF02E5">
        <w:rPr>
          <w:rFonts w:ascii="Microsoft Sans Serif" w:eastAsia="Microsoft Sans Serif" w:hAnsi="Microsoft Sans Serif" w:cs="Microsoft Sans Serif"/>
          <w:szCs w:val="22"/>
        </w:rPr>
        <w:cr/>
        <w:t>EMILY M FARAH COUNSEL</w:t>
      </w:r>
      <w:r w:rsidRPr="00EF02E5">
        <w:rPr>
          <w:rFonts w:ascii="Microsoft Sans Serif" w:eastAsia="Microsoft Sans Serif" w:hAnsi="Microsoft Sans Serif" w:cs="Microsoft Sans Serif"/>
          <w:szCs w:val="22"/>
        </w:rPr>
        <w:cr/>
        <w:t>DUQUESNE LIGHT COMPANY</w:t>
      </w:r>
      <w:r w:rsidRPr="00EF02E5">
        <w:rPr>
          <w:rFonts w:ascii="Microsoft Sans Serif" w:eastAsia="Microsoft Sans Serif" w:hAnsi="Microsoft Sans Serif" w:cs="Microsoft Sans Serif"/>
          <w:szCs w:val="22"/>
        </w:rPr>
        <w:cr/>
      </w:r>
      <w:r w:rsidRPr="00EF02E5">
        <w:rPr>
          <w:rFonts w:ascii="Microsoft Sans Serif" w:eastAsia="Microsoft Sans Serif" w:hAnsi="Microsoft Sans Serif" w:cs="Microsoft Sans Serif"/>
          <w:caps/>
          <w:szCs w:val="22"/>
        </w:rPr>
        <w:t>411 Seventh Avenue</w:t>
      </w:r>
      <w:r w:rsidRPr="00EF02E5">
        <w:rPr>
          <w:rFonts w:ascii="Microsoft Sans Serif" w:eastAsia="Microsoft Sans Serif" w:hAnsi="Microsoft Sans Serif" w:cs="Microsoft Sans Serif"/>
          <w:caps/>
          <w:szCs w:val="22"/>
        </w:rPr>
        <w:cr/>
      </w:r>
      <w:r w:rsidRPr="00EF02E5">
        <w:rPr>
          <w:rFonts w:ascii="Microsoft Sans Serif" w:eastAsia="Microsoft Sans Serif" w:hAnsi="Microsoft Sans Serif" w:cs="Microsoft Sans Serif"/>
          <w:szCs w:val="22"/>
        </w:rPr>
        <w:t>PITTSBURGH PA  15219</w:t>
      </w:r>
      <w:r w:rsidRPr="00EF02E5">
        <w:rPr>
          <w:rFonts w:ascii="Microsoft Sans Serif" w:eastAsia="Microsoft Sans Serif" w:hAnsi="Microsoft Sans Serif" w:cs="Microsoft Sans Serif"/>
          <w:szCs w:val="22"/>
        </w:rPr>
        <w:cr/>
      </w:r>
      <w:r w:rsidRPr="00EF02E5">
        <w:rPr>
          <w:rFonts w:ascii="Microsoft Sans Serif" w:eastAsia="Microsoft Sans Serif" w:hAnsi="Microsoft Sans Serif" w:cs="Microsoft Sans Serif"/>
          <w:b/>
          <w:szCs w:val="22"/>
        </w:rPr>
        <w:t>412.393.6431</w:t>
      </w:r>
      <w:r w:rsidRPr="00EF02E5">
        <w:rPr>
          <w:rFonts w:ascii="Microsoft Sans Serif" w:eastAsia="Microsoft Sans Serif" w:hAnsi="Microsoft Sans Serif" w:cs="Microsoft Sans Serif"/>
          <w:b/>
          <w:szCs w:val="22"/>
        </w:rPr>
        <w:cr/>
      </w:r>
      <w:r w:rsidRPr="00EF02E5">
        <w:rPr>
          <w:rFonts w:ascii="Microsoft Sans Serif" w:eastAsia="Microsoft Sans Serif" w:hAnsi="Microsoft Sans Serif" w:cs="Microsoft Sans Serif"/>
          <w:b/>
          <w:i/>
          <w:szCs w:val="22"/>
          <w:u w:val="single"/>
        </w:rPr>
        <w:t>ACCEPTS E-SERVICE</w:t>
      </w:r>
    </w:p>
    <w:p w14:paraId="64349B02" w14:textId="77777777" w:rsidR="00C42C9C" w:rsidRDefault="00C42C9C"/>
    <w:sectPr w:rsidR="00C42C9C" w:rsidSect="00331F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F067A" w14:textId="77777777" w:rsidR="00F24234" w:rsidRDefault="00F24234" w:rsidP="002B1010">
      <w:pPr>
        <w:spacing w:line="240" w:lineRule="auto"/>
      </w:pPr>
      <w:r>
        <w:separator/>
      </w:r>
    </w:p>
  </w:endnote>
  <w:endnote w:type="continuationSeparator" w:id="0">
    <w:p w14:paraId="5D42F31D" w14:textId="77777777" w:rsidR="00F24234" w:rsidRDefault="00F24234" w:rsidP="002B1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017925"/>
      <w:docPartObj>
        <w:docPartGallery w:val="Page Numbers (Bottom of Page)"/>
        <w:docPartUnique/>
      </w:docPartObj>
    </w:sdtPr>
    <w:sdtEndPr>
      <w:rPr>
        <w:noProof/>
      </w:rPr>
    </w:sdtEndPr>
    <w:sdtContent>
      <w:p w14:paraId="71792EEE" w14:textId="77777777" w:rsidR="00331F71" w:rsidRDefault="00331F71">
        <w:pPr>
          <w:pStyle w:val="Footer"/>
          <w:jc w:val="center"/>
        </w:pPr>
        <w:r w:rsidRPr="00434CEF">
          <w:rPr>
            <w:sz w:val="20"/>
          </w:rPr>
          <w:fldChar w:fldCharType="begin"/>
        </w:r>
        <w:r w:rsidRPr="00434CEF">
          <w:rPr>
            <w:sz w:val="20"/>
          </w:rPr>
          <w:instrText xml:space="preserve"> PAGE   \* MERGEFORMAT </w:instrText>
        </w:r>
        <w:r w:rsidRPr="00434CEF">
          <w:rPr>
            <w:sz w:val="20"/>
          </w:rPr>
          <w:fldChar w:fldCharType="separate"/>
        </w:r>
        <w:r w:rsidRPr="00434CEF">
          <w:rPr>
            <w:noProof/>
            <w:sz w:val="20"/>
          </w:rPr>
          <w:t>2</w:t>
        </w:r>
        <w:r w:rsidRPr="00434CEF">
          <w:rPr>
            <w:noProof/>
            <w:sz w:val="20"/>
          </w:rPr>
          <w:fldChar w:fldCharType="end"/>
        </w:r>
      </w:p>
    </w:sdtContent>
  </w:sdt>
  <w:p w14:paraId="510A62E9" w14:textId="77777777" w:rsidR="00331F71" w:rsidRDefault="0033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FBC3" w14:textId="77777777" w:rsidR="00F24234" w:rsidRDefault="00F24234" w:rsidP="002B1010">
      <w:pPr>
        <w:spacing w:line="240" w:lineRule="auto"/>
      </w:pPr>
      <w:r>
        <w:separator/>
      </w:r>
    </w:p>
  </w:footnote>
  <w:footnote w:type="continuationSeparator" w:id="0">
    <w:p w14:paraId="51F193A9" w14:textId="77777777" w:rsidR="00F24234" w:rsidRDefault="00F24234" w:rsidP="002B1010">
      <w:pPr>
        <w:spacing w:line="240" w:lineRule="auto"/>
      </w:pPr>
      <w:r>
        <w:continuationSeparator/>
      </w:r>
    </w:p>
  </w:footnote>
  <w:footnote w:id="1">
    <w:p w14:paraId="7C3BBEE4" w14:textId="77777777" w:rsidR="002B1010" w:rsidRDefault="002B1010" w:rsidP="008F71D0">
      <w:pPr>
        <w:pStyle w:val="FootnoteText"/>
      </w:pPr>
      <w:r>
        <w:rPr>
          <w:rStyle w:val="FootnoteReference"/>
        </w:rPr>
        <w:footnoteRef/>
      </w:r>
      <w:r>
        <w:t xml:space="preserve">  </w:t>
      </w:r>
      <w:r>
        <w:tab/>
        <w:t>52 Pa.Code § 5.101(f)(1)(requiring an answer to preliminary objections within 10 days of the date of service).</w:t>
      </w:r>
    </w:p>
  </w:footnote>
  <w:footnote w:id="2">
    <w:p w14:paraId="1B172CD6" w14:textId="77777777" w:rsidR="00AD6EF1" w:rsidRDefault="00AD6EF1">
      <w:pPr>
        <w:pStyle w:val="FootnoteText"/>
      </w:pPr>
      <w:r>
        <w:rPr>
          <w:rStyle w:val="FootnoteReference"/>
        </w:rPr>
        <w:footnoteRef/>
      </w:r>
      <w:r>
        <w:t xml:space="preserve">  </w:t>
      </w:r>
      <w:r>
        <w:tab/>
        <w:t>52 Pa.Code § 5.101(a).</w:t>
      </w:r>
    </w:p>
  </w:footnote>
  <w:footnote w:id="3">
    <w:p w14:paraId="631FD8E5" w14:textId="77777777" w:rsidR="008F71D0" w:rsidRDefault="008F71D0" w:rsidP="008F71D0">
      <w:pPr>
        <w:pStyle w:val="FootnoteTex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4">
    <w:p w14:paraId="57D0AA26" w14:textId="77777777" w:rsidR="008F71D0" w:rsidRDefault="008F71D0" w:rsidP="008F71D0">
      <w:pPr>
        <w:pStyle w:val="FootnoteTex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footnote>
  <w:footnote w:id="5">
    <w:p w14:paraId="7B1C4F4A" w14:textId="77777777" w:rsidR="008F71D0" w:rsidRDefault="008F71D0" w:rsidP="008F71D0">
      <w:pPr>
        <w:pStyle w:val="FootnoteText"/>
      </w:pPr>
      <w:r>
        <w:rPr>
          <w:rStyle w:val="FootnoteReference"/>
        </w:rPr>
        <w:footnoteRef/>
      </w:r>
      <w:r>
        <w:t xml:space="preserve"> </w:t>
      </w:r>
      <w:r>
        <w:tab/>
      </w:r>
      <w:r w:rsidRPr="00B908F9">
        <w:rPr>
          <w:i/>
        </w:rPr>
        <w:t>Boyd v. Ward</w:t>
      </w:r>
      <w:r>
        <w:t xml:space="preserve">, 802 A.2d 705 (Pa.Cmwlth. 2002).  </w:t>
      </w:r>
    </w:p>
  </w:footnote>
  <w:footnote w:id="6">
    <w:p w14:paraId="081AC1C6" w14:textId="77777777" w:rsidR="008F71D0" w:rsidRPr="00B62C0F" w:rsidRDefault="008F71D0" w:rsidP="008F71D0">
      <w:pPr>
        <w:pStyle w:val="FootnoteText"/>
      </w:pPr>
      <w:r>
        <w:rPr>
          <w:rStyle w:val="FootnoteReference"/>
        </w:rPr>
        <w:footnoteRef/>
      </w:r>
      <w:r>
        <w:t xml:space="preserve">  </w:t>
      </w:r>
      <w:r>
        <w:tab/>
      </w:r>
      <w:r w:rsidR="00AD6EF1">
        <w:rPr>
          <w:i/>
        </w:rPr>
        <w:t>County of Allegheny v. Commw. of Pa.,</w:t>
      </w:r>
      <w:r w:rsidR="00AD6EF1">
        <w:t xml:space="preserve"> 490 A.2d 402 (Pa. 1985);</w:t>
      </w:r>
      <w:r w:rsidR="00AD6EF1">
        <w:rPr>
          <w:i/>
        </w:rPr>
        <w:t xml:space="preserve">  </w:t>
      </w:r>
      <w:r w:rsidR="00411472" w:rsidRPr="00AD6EF1">
        <w:rPr>
          <w:i/>
        </w:rPr>
        <w:t>Pennsylvania</w:t>
      </w:r>
      <w:r w:rsidRPr="00AD6EF1">
        <w:rPr>
          <w:i/>
        </w:rPr>
        <w:t xml:space="preserve"> State Lodge, Fraternal Order of Police v. Dept. of Conservation and Natural Resources</w:t>
      </w:r>
      <w:r>
        <w:t xml:space="preserve">,  909 A.2d 413 (Pa.Cmwlth. 2006), </w:t>
      </w:r>
      <w:r w:rsidRPr="00AD6EF1">
        <w:rPr>
          <w:i/>
        </w:rPr>
        <w:t>aff’d per curium</w:t>
      </w:r>
      <w:r>
        <w:t xml:space="preserve">,  924 A.2d 1203 (Pa. 2007); </w:t>
      </w:r>
      <w:r w:rsidRPr="00AD6EF1">
        <w:rPr>
          <w:i/>
        </w:rPr>
        <w:t>see also Glod v. PECO Energy Company</w:t>
      </w:r>
      <w:r>
        <w:t>,  Docket No. C-2012-2305158 (Interim Order dated July 2, 2012).</w:t>
      </w:r>
    </w:p>
  </w:footnote>
  <w:footnote w:id="7">
    <w:p w14:paraId="05886E06" w14:textId="77777777" w:rsidR="008F71D0" w:rsidRDefault="008F71D0" w:rsidP="008F71D0">
      <w:pPr>
        <w:pStyle w:val="FootnoteText"/>
      </w:pPr>
      <w:r>
        <w:rPr>
          <w:rStyle w:val="FootnoteReference"/>
        </w:rPr>
        <w:footnoteRef/>
      </w:r>
      <w:r>
        <w:t xml:space="preserve"> </w:t>
      </w:r>
      <w:r>
        <w:tab/>
      </w:r>
      <w:r w:rsidRPr="00AD6EF1">
        <w:rPr>
          <w:i/>
        </w:rPr>
        <w:t>Ridge v. State Employees’ Retirement Board</w:t>
      </w:r>
      <w:r>
        <w:t xml:space="preserve">, 690 A.2d 1312 (Pa.Cmwlth. 1997). </w:t>
      </w:r>
    </w:p>
  </w:footnote>
  <w:footnote w:id="8">
    <w:p w14:paraId="5DF18C48" w14:textId="77777777" w:rsidR="008F71D0" w:rsidRPr="00297F80" w:rsidRDefault="008F71D0" w:rsidP="008F71D0">
      <w:pPr>
        <w:pStyle w:val="FootnoteText"/>
      </w:pPr>
      <w:r>
        <w:rPr>
          <w:rStyle w:val="FootnoteReference"/>
        </w:rPr>
        <w:footnoteRef/>
      </w:r>
      <w:r>
        <w:t xml:space="preserve">  </w:t>
      </w:r>
      <w:r>
        <w:tab/>
      </w:r>
      <w:r w:rsidRPr="00AD6EF1">
        <w:rPr>
          <w:i/>
        </w:rPr>
        <w:t>Interstate Traveller Services, Inc. v. Pa. Department of Environmental Resources</w:t>
      </w:r>
      <w:r>
        <w:t xml:space="preserve">, 406 A.2d 1020 (Pa. 1979); </w:t>
      </w:r>
      <w:r w:rsidRPr="00AD6EF1">
        <w:rPr>
          <w:i/>
        </w:rPr>
        <w:t>Application of K&amp;F Medical Transport</w:t>
      </w:r>
      <w:r>
        <w:t>, LLC, PUC Docket No. A-2008-2020353 (Initial Decision dated April 25, 2008).</w:t>
      </w:r>
    </w:p>
  </w:footnote>
  <w:footnote w:id="9">
    <w:p w14:paraId="169F9787" w14:textId="77777777" w:rsidR="00940F66" w:rsidRPr="00940F66" w:rsidRDefault="00940F66" w:rsidP="003F68F4">
      <w:pPr>
        <w:pStyle w:val="FootnoteText"/>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t xml:space="preserve"> </w:t>
      </w:r>
      <w:r w:rsidR="00115663">
        <w:t xml:space="preserve"> </w:t>
      </w:r>
      <w:r w:rsidRPr="00CD1B8D">
        <w:rPr>
          <w:i/>
        </w:rPr>
        <w:t>See also</w:t>
      </w:r>
      <w:r>
        <w:rPr>
          <w:rFonts w:ascii="Verdana" w:hAnsi="Verdana"/>
          <w:i/>
          <w:iCs/>
          <w:color w:val="333333"/>
        </w:rPr>
        <w:t xml:space="preserve"> </w:t>
      </w:r>
      <w:hyperlink r:id="rId1" w:history="1">
        <w:r w:rsidRPr="00940F66">
          <w:rPr>
            <w:rStyle w:val="Hyperlink"/>
            <w:i/>
            <w:iCs/>
            <w:color w:val="auto"/>
          </w:rPr>
          <w:t xml:space="preserve">Department of Environmental Resources v. Butler </w:t>
        </w:r>
        <w:r w:rsidR="00411472" w:rsidRPr="00940F66">
          <w:rPr>
            <w:rStyle w:val="Hyperlink"/>
            <w:i/>
            <w:iCs/>
            <w:color w:val="auto"/>
          </w:rPr>
          <w:t>County Mushroom</w:t>
        </w:r>
        <w:r w:rsidRPr="00940F66">
          <w:rPr>
            <w:rStyle w:val="Hyperlink"/>
            <w:i/>
            <w:iCs/>
            <w:color w:val="auto"/>
          </w:rPr>
          <w:t xml:space="preserve"> Farm</w:t>
        </w:r>
        <w:r w:rsidRPr="00940F66">
          <w:rPr>
            <w:rStyle w:val="Hyperlink"/>
            <w:color w:val="auto"/>
          </w:rPr>
          <w:t>, 454 A.2d 1, 4 (Pa. 1982),</w:t>
        </w:r>
      </w:hyperlink>
      <w:r w:rsidRPr="00940F66">
        <w:t xml:space="preserve"> and </w:t>
      </w:r>
      <w:hyperlink r:id="rId2" w:history="1">
        <w:r w:rsidRPr="00940F66">
          <w:rPr>
            <w:rStyle w:val="Hyperlink"/>
            <w:i/>
            <w:iCs/>
            <w:color w:val="auto"/>
          </w:rPr>
          <w:t>Pequea Township v. Department of Environmental Protection</w:t>
        </w:r>
        <w:r w:rsidRPr="00940F66">
          <w:rPr>
            <w:rStyle w:val="Hyperlink"/>
            <w:color w:val="auto"/>
          </w:rPr>
          <w:t>, 716 A.2d 678, 686 (Pa.Cmwlth. 1998).</w:t>
        </w:r>
      </w:hyperlink>
    </w:p>
  </w:footnote>
  <w:footnote w:id="10">
    <w:p w14:paraId="0384C2B4" w14:textId="77777777" w:rsidR="00940F66" w:rsidRDefault="00940F66" w:rsidP="003F68F4">
      <w:pPr>
        <w:pStyle w:val="FootnoteText"/>
      </w:pPr>
      <w:r>
        <w:rPr>
          <w:rStyle w:val="FootnoteReference"/>
        </w:rPr>
        <w:footnoteRef/>
      </w:r>
      <w:r>
        <w:t xml:space="preserve"> </w:t>
      </w:r>
      <w:r>
        <w:tab/>
      </w:r>
      <w:r w:rsidRPr="00AC5EC1">
        <w:rPr>
          <w:i/>
        </w:rPr>
        <w:t>City of Pittsburgh v. Pa. P.U.C</w:t>
      </w:r>
      <w:r w:rsidRPr="00AC5EC1">
        <w:t>.</w:t>
      </w:r>
      <w:r>
        <w:t xml:space="preserve">, </w:t>
      </w:r>
      <w:r w:rsidRPr="00353293">
        <w:t xml:space="preserve"> 43 A.2d 348 (</w:t>
      </w:r>
      <w:r>
        <w:t xml:space="preserve">Pa.Cmwlth. </w:t>
      </w:r>
      <w:r w:rsidRPr="00353293">
        <w:t>1945).</w:t>
      </w:r>
    </w:p>
  </w:footnote>
  <w:footnote w:id="11">
    <w:p w14:paraId="172E30C2" w14:textId="77777777" w:rsidR="00940F66" w:rsidRDefault="00940F66" w:rsidP="003F68F4">
      <w:pPr>
        <w:pStyle w:val="FootnoteText"/>
      </w:pPr>
      <w:r>
        <w:rPr>
          <w:rStyle w:val="FootnoteReference"/>
        </w:rPr>
        <w:footnoteRef/>
      </w:r>
      <w:r>
        <w:t xml:space="preserve"> </w:t>
      </w:r>
      <w:r>
        <w:tab/>
      </w:r>
      <w:r w:rsidRPr="00AC5EC1">
        <w:rPr>
          <w:i/>
        </w:rPr>
        <w:t>Roberts v. Matorano</w:t>
      </w:r>
      <w:r w:rsidRPr="00353293">
        <w:t>, 235 A.2d 602 (</w:t>
      </w:r>
      <w:r>
        <w:t xml:space="preserve">Pa. </w:t>
      </w:r>
      <w:r w:rsidRPr="00353293">
        <w:t>1967).</w:t>
      </w:r>
    </w:p>
  </w:footnote>
  <w:footnote w:id="12">
    <w:p w14:paraId="6211533F" w14:textId="77777777" w:rsidR="00940F66" w:rsidRDefault="00940F66" w:rsidP="003F68F4">
      <w:pPr>
        <w:pStyle w:val="FootnoteText"/>
      </w:pPr>
      <w:r>
        <w:rPr>
          <w:rStyle w:val="FootnoteReference"/>
        </w:rPr>
        <w:footnoteRef/>
      </w:r>
      <w:r>
        <w:t xml:space="preserve"> </w:t>
      </w:r>
      <w:r>
        <w:tab/>
      </w:r>
      <w:r w:rsidRPr="00AC5EC1">
        <w:rPr>
          <w:i/>
        </w:rPr>
        <w:t>Hughes v. Pa. State Police</w:t>
      </w:r>
      <w:r w:rsidRPr="00353293">
        <w:t>, 619 A.2d 390 (</w:t>
      </w:r>
      <w:r>
        <w:t xml:space="preserve">Pa. Cmwlth. </w:t>
      </w:r>
      <w:r w:rsidRPr="00353293">
        <w:t xml:space="preserve">1992), </w:t>
      </w:r>
      <w:r w:rsidRPr="00353293">
        <w:rPr>
          <w:i/>
        </w:rPr>
        <w:t xml:space="preserve">alloc. den., </w:t>
      </w:r>
      <w:r w:rsidRPr="00353293">
        <w:t>637 A.2d 293 (1993).</w:t>
      </w:r>
    </w:p>
  </w:footnote>
  <w:footnote w:id="13">
    <w:p w14:paraId="4DB390BF" w14:textId="77777777" w:rsidR="002E57B1" w:rsidRDefault="002E57B1">
      <w:pPr>
        <w:pStyle w:val="FootnoteText"/>
      </w:pPr>
      <w:r>
        <w:rPr>
          <w:rStyle w:val="FootnoteReference"/>
        </w:rPr>
        <w:footnoteRef/>
      </w:r>
      <w:r>
        <w:t xml:space="preserve"> </w:t>
      </w:r>
      <w:r w:rsidR="00774599">
        <w:t xml:space="preserve"> </w:t>
      </w:r>
      <w:r w:rsidR="00774599">
        <w:tab/>
      </w:r>
      <w:r w:rsidR="00774599" w:rsidRPr="00774599">
        <w:rPr>
          <w:i/>
        </w:rPr>
        <w:t>Alkhatib</w:t>
      </w:r>
      <w:r w:rsidR="00774599">
        <w:rPr>
          <w:i/>
        </w:rPr>
        <w:t xml:space="preserve"> v. PECO Energy Company</w:t>
      </w:r>
      <w:r w:rsidR="00774599">
        <w:t xml:space="preserve">, Docket </w:t>
      </w:r>
      <w:r w:rsidR="00434CEF">
        <w:t xml:space="preserve">No. </w:t>
      </w:r>
      <w:r w:rsidR="00774599">
        <w:t xml:space="preserve">C-2011-2242125 (Opinion and Order entered January 12, 2012); </w:t>
      </w:r>
      <w:r w:rsidR="00774599" w:rsidRPr="00774599">
        <w:t xml:space="preserve"> </w:t>
      </w:r>
      <w:r w:rsidR="00774599" w:rsidRPr="00774599">
        <w:rPr>
          <w:i/>
        </w:rPr>
        <w:t>Coppedge v. PECO Energy Company,</w:t>
      </w:r>
      <w:r w:rsidR="00774599" w:rsidRPr="00774599">
        <w:t xml:space="preserve"> Docket No. F-2009-2135893 (Order entered August 3, 2010)</w:t>
      </w:r>
      <w:r w:rsidR="00774599">
        <w:t>.</w:t>
      </w:r>
    </w:p>
  </w:footnote>
  <w:footnote w:id="14">
    <w:p w14:paraId="7CC4C8B3" w14:textId="77777777" w:rsidR="002E57B1" w:rsidRDefault="002E57B1">
      <w:pPr>
        <w:pStyle w:val="FootnoteText"/>
      </w:pPr>
      <w:r>
        <w:rPr>
          <w:rStyle w:val="FootnoteReference"/>
        </w:rPr>
        <w:footnoteRef/>
      </w:r>
      <w:r>
        <w:t xml:space="preserve"> </w:t>
      </w:r>
      <w:r w:rsidR="00940F66">
        <w:tab/>
      </w:r>
      <w:r w:rsidR="00940F66" w:rsidRPr="00940F66">
        <w:rPr>
          <w:i/>
        </w:rPr>
        <w:t>Coppedge v. PECO</w:t>
      </w:r>
      <w:r w:rsidR="00940F66" w:rsidRPr="00940F66">
        <w:t>, Docket No. F-2014-2406180 (</w:t>
      </w:r>
      <w:r w:rsidR="00940F66">
        <w:t xml:space="preserve">Opinion and </w:t>
      </w:r>
      <w:r w:rsidR="00940F66" w:rsidRPr="00940F66">
        <w:t>Order entered January 29, 2015)</w:t>
      </w:r>
      <w:r w:rsidR="00940F66">
        <w:t>.</w:t>
      </w:r>
    </w:p>
  </w:footnote>
  <w:footnote w:id="15">
    <w:p w14:paraId="245468A6" w14:textId="77777777" w:rsidR="00774599" w:rsidRDefault="00774599">
      <w:pPr>
        <w:pStyle w:val="FootnoteText"/>
      </w:pPr>
      <w:r>
        <w:rPr>
          <w:rStyle w:val="FootnoteReference"/>
        </w:rPr>
        <w:footnoteRef/>
      </w:r>
      <w:r>
        <w:tab/>
        <w:t xml:space="preserve">Docket </w:t>
      </w:r>
      <w:r w:rsidR="00434CEF">
        <w:t xml:space="preserve">No. </w:t>
      </w:r>
      <w:r>
        <w:t>C-2015-2471718 (Opinion and Order entered October 22, 2015).</w:t>
      </w:r>
    </w:p>
  </w:footnote>
  <w:footnote w:id="16">
    <w:p w14:paraId="553F7841" w14:textId="77777777" w:rsidR="00C42C9C" w:rsidRPr="00297F80" w:rsidRDefault="00C42C9C" w:rsidP="00C42C9C">
      <w:pPr>
        <w:pStyle w:val="FootnoteText"/>
      </w:pPr>
      <w:r>
        <w:rPr>
          <w:rStyle w:val="FootnoteReference"/>
        </w:rPr>
        <w:footnoteRef/>
      </w:r>
      <w:r>
        <w:t xml:space="preserve">  </w:t>
      </w:r>
      <w:r>
        <w:tab/>
      </w:r>
      <w:r w:rsidRPr="00AD6EF1">
        <w:rPr>
          <w:i/>
        </w:rPr>
        <w:t>Interstate Traveller Services, Inc. v. Pa. Department of Environmental Resources</w:t>
      </w:r>
      <w:r>
        <w:t xml:space="preserve">, 406 A.2d 1020 (Pa. 1979); </w:t>
      </w:r>
      <w:r w:rsidRPr="00AD6EF1">
        <w:rPr>
          <w:i/>
        </w:rPr>
        <w:t>Application of K&amp;F Medical Transport</w:t>
      </w:r>
      <w:r w:rsidRPr="00434CEF">
        <w:rPr>
          <w:i/>
        </w:rPr>
        <w:t>, LLC</w:t>
      </w:r>
      <w:r>
        <w:t>, PUC Docket No. A-2008-2020353 (Initial Decision dated April 25, 2008).</w:t>
      </w:r>
    </w:p>
  </w:footnote>
  <w:footnote w:id="17">
    <w:p w14:paraId="7EF5282E" w14:textId="77777777" w:rsidR="00F80CC4" w:rsidRDefault="00F80CC4">
      <w:pPr>
        <w:pStyle w:val="FootnoteText"/>
      </w:pPr>
      <w:r>
        <w:rPr>
          <w:rStyle w:val="FootnoteReference"/>
        </w:rPr>
        <w:footnoteRef/>
      </w:r>
      <w:r>
        <w:t xml:space="preserve"> </w:t>
      </w:r>
      <w:r w:rsidR="003F68F4">
        <w:tab/>
      </w:r>
      <w:r w:rsidRPr="00F80CC4">
        <w:rPr>
          <w:i/>
        </w:rPr>
        <w:t>Patterson v. Bell Telephone Company of Pennsylvania</w:t>
      </w:r>
      <w:r w:rsidRPr="00F80CC4">
        <w:t xml:space="preserve">, 72 Pa. PUC 196 (1990); </w:t>
      </w:r>
      <w:r w:rsidRPr="00F80CC4">
        <w:rPr>
          <w:i/>
        </w:rPr>
        <w:t>Feinstein v. Philadelphia Suburban Water Company</w:t>
      </w:r>
      <w:r w:rsidRPr="00F80CC4">
        <w:t xml:space="preserve">, 50 Pa. PUC 300 (1976).  </w:t>
      </w:r>
    </w:p>
  </w:footnote>
  <w:footnote w:id="18">
    <w:p w14:paraId="1E13735C" w14:textId="77777777" w:rsidR="00F80CC4" w:rsidRDefault="00F80CC4">
      <w:pPr>
        <w:pStyle w:val="FootnoteText"/>
      </w:pPr>
      <w:r>
        <w:rPr>
          <w:rStyle w:val="FootnoteReference"/>
        </w:rPr>
        <w:footnoteRef/>
      </w:r>
      <w:r>
        <w:t xml:space="preserve"> </w:t>
      </w:r>
      <w:r w:rsidR="003F68F4">
        <w:tab/>
      </w:r>
      <w:r w:rsidRPr="00F80CC4">
        <w:rPr>
          <w:i/>
        </w:rPr>
        <w:t>Samuel J. Lansberry, Inc. v. Pa. Pub. Util. Comm’n</w:t>
      </w:r>
      <w:r w:rsidRPr="00F80CC4">
        <w:t xml:space="preserve">, 578 A.2d 600 (1990), </w:t>
      </w:r>
      <w:r w:rsidRPr="00F80CC4">
        <w:rPr>
          <w:i/>
        </w:rPr>
        <w:t>alloc. den.</w:t>
      </w:r>
      <w:r w:rsidRPr="00F80CC4">
        <w:t xml:space="preserve">, 602 A.2d 863 (1992).  </w:t>
      </w:r>
    </w:p>
  </w:footnote>
  <w:footnote w:id="19">
    <w:p w14:paraId="6B3D53A1" w14:textId="77777777" w:rsidR="00F80CC4" w:rsidRDefault="00F80CC4">
      <w:pPr>
        <w:pStyle w:val="FootnoteText"/>
      </w:pPr>
      <w:r>
        <w:rPr>
          <w:rStyle w:val="FootnoteReference"/>
        </w:rPr>
        <w:footnoteRef/>
      </w:r>
      <w:r>
        <w:t xml:space="preserve"> </w:t>
      </w:r>
      <w:r w:rsidR="003F68F4">
        <w:tab/>
      </w:r>
      <w:r w:rsidRPr="00F80CC4">
        <w:rPr>
          <w:i/>
        </w:rPr>
        <w:t>Se-Ling Hosiery v. Marqulies</w:t>
      </w:r>
      <w:r w:rsidRPr="00F80CC4">
        <w:t xml:space="preserve">, 70 A.2d 854 (1950).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06"/>
    <w:rsid w:val="00004C37"/>
    <w:rsid w:val="000066B3"/>
    <w:rsid w:val="00066D87"/>
    <w:rsid w:val="000E3EDE"/>
    <w:rsid w:val="00107E82"/>
    <w:rsid w:val="00115663"/>
    <w:rsid w:val="00164448"/>
    <w:rsid w:val="001A21B6"/>
    <w:rsid w:val="001B1CBA"/>
    <w:rsid w:val="001D2AF7"/>
    <w:rsid w:val="00207743"/>
    <w:rsid w:val="00213167"/>
    <w:rsid w:val="002512F9"/>
    <w:rsid w:val="002B1010"/>
    <w:rsid w:val="002E57B1"/>
    <w:rsid w:val="003145FA"/>
    <w:rsid w:val="00331F71"/>
    <w:rsid w:val="003566EB"/>
    <w:rsid w:val="00367A41"/>
    <w:rsid w:val="0038516C"/>
    <w:rsid w:val="00393C92"/>
    <w:rsid w:val="003A1189"/>
    <w:rsid w:val="003A3E09"/>
    <w:rsid w:val="003F68F4"/>
    <w:rsid w:val="00411472"/>
    <w:rsid w:val="00411A99"/>
    <w:rsid w:val="00417566"/>
    <w:rsid w:val="00434CEF"/>
    <w:rsid w:val="004D523C"/>
    <w:rsid w:val="0050059B"/>
    <w:rsid w:val="005A1C17"/>
    <w:rsid w:val="005A2ABA"/>
    <w:rsid w:val="005D180A"/>
    <w:rsid w:val="005E7B69"/>
    <w:rsid w:val="0061775F"/>
    <w:rsid w:val="006902D6"/>
    <w:rsid w:val="006905D4"/>
    <w:rsid w:val="00696C0D"/>
    <w:rsid w:val="006C6A0D"/>
    <w:rsid w:val="006E67AA"/>
    <w:rsid w:val="006F0329"/>
    <w:rsid w:val="00700807"/>
    <w:rsid w:val="00712E58"/>
    <w:rsid w:val="007407AC"/>
    <w:rsid w:val="00755D72"/>
    <w:rsid w:val="00774599"/>
    <w:rsid w:val="00792796"/>
    <w:rsid w:val="00796B64"/>
    <w:rsid w:val="007E6779"/>
    <w:rsid w:val="007F25D0"/>
    <w:rsid w:val="00820B4C"/>
    <w:rsid w:val="0083239D"/>
    <w:rsid w:val="008529D2"/>
    <w:rsid w:val="0088105E"/>
    <w:rsid w:val="008911F9"/>
    <w:rsid w:val="008A5073"/>
    <w:rsid w:val="008C69EA"/>
    <w:rsid w:val="008F1E06"/>
    <w:rsid w:val="008F71D0"/>
    <w:rsid w:val="00917DCA"/>
    <w:rsid w:val="00921B0B"/>
    <w:rsid w:val="00940F66"/>
    <w:rsid w:val="00A47096"/>
    <w:rsid w:val="00A70CC9"/>
    <w:rsid w:val="00A80C56"/>
    <w:rsid w:val="00AA2EC5"/>
    <w:rsid w:val="00AB4C73"/>
    <w:rsid w:val="00AD6EF1"/>
    <w:rsid w:val="00AE6F47"/>
    <w:rsid w:val="00B91E47"/>
    <w:rsid w:val="00BC6B21"/>
    <w:rsid w:val="00C4251C"/>
    <w:rsid w:val="00C42C9C"/>
    <w:rsid w:val="00C60D51"/>
    <w:rsid w:val="00C87E57"/>
    <w:rsid w:val="00CD1B8D"/>
    <w:rsid w:val="00CF6143"/>
    <w:rsid w:val="00DD5C37"/>
    <w:rsid w:val="00DF35D9"/>
    <w:rsid w:val="00E4239A"/>
    <w:rsid w:val="00EB027A"/>
    <w:rsid w:val="00EC1CBA"/>
    <w:rsid w:val="00EE7801"/>
    <w:rsid w:val="00EF02E5"/>
    <w:rsid w:val="00F11A19"/>
    <w:rsid w:val="00F16554"/>
    <w:rsid w:val="00F24234"/>
    <w:rsid w:val="00F24659"/>
    <w:rsid w:val="00F544E1"/>
    <w:rsid w:val="00F80CC4"/>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C6931F"/>
  <w15:chartTrackingRefBased/>
  <w15:docId w15:val="{23405AE7-12AA-4635-AD6E-F5E554D8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8F71D0"/>
    <w:pPr>
      <w:tabs>
        <w:tab w:val="left" w:pos="72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8F71D0"/>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2B1010"/>
    <w:rPr>
      <w:vertAlign w:val="superscript"/>
    </w:rPr>
  </w:style>
  <w:style w:type="character" w:styleId="Hyperlink">
    <w:name w:val="Hyperlink"/>
    <w:basedOn w:val="DefaultParagraphFont"/>
    <w:uiPriority w:val="99"/>
    <w:semiHidden/>
    <w:unhideWhenUsed/>
    <w:rsid w:val="00940F66"/>
    <w:rPr>
      <w:strike w:val="0"/>
      <w:dstrike w:val="0"/>
      <w:color w:val="004B91"/>
      <w:u w:val="none"/>
      <w:effect w:val="none"/>
    </w:rPr>
  </w:style>
  <w:style w:type="paragraph" w:styleId="Header">
    <w:name w:val="header"/>
    <w:basedOn w:val="Normal"/>
    <w:link w:val="HeaderChar"/>
    <w:uiPriority w:val="99"/>
    <w:unhideWhenUsed/>
    <w:rsid w:val="00331F71"/>
    <w:pPr>
      <w:tabs>
        <w:tab w:val="center" w:pos="4680"/>
        <w:tab w:val="right" w:pos="9360"/>
      </w:tabs>
      <w:spacing w:line="240" w:lineRule="auto"/>
    </w:pPr>
  </w:style>
  <w:style w:type="character" w:customStyle="1" w:styleId="HeaderChar">
    <w:name w:val="Header Char"/>
    <w:basedOn w:val="DefaultParagraphFont"/>
    <w:link w:val="Header"/>
    <w:uiPriority w:val="99"/>
    <w:rsid w:val="00331F71"/>
    <w:rPr>
      <w:rFonts w:eastAsia="SimSun"/>
    </w:rPr>
  </w:style>
  <w:style w:type="paragraph" w:styleId="Footer">
    <w:name w:val="footer"/>
    <w:basedOn w:val="Normal"/>
    <w:link w:val="FooterChar"/>
    <w:uiPriority w:val="99"/>
    <w:unhideWhenUsed/>
    <w:rsid w:val="00331F71"/>
    <w:pPr>
      <w:tabs>
        <w:tab w:val="center" w:pos="4680"/>
        <w:tab w:val="right" w:pos="9360"/>
      </w:tabs>
      <w:spacing w:line="240" w:lineRule="auto"/>
    </w:pPr>
  </w:style>
  <w:style w:type="character" w:customStyle="1" w:styleId="FooterChar">
    <w:name w:val="Footer Char"/>
    <w:basedOn w:val="DefaultParagraphFont"/>
    <w:link w:val="Footer"/>
    <w:uiPriority w:val="99"/>
    <w:rsid w:val="00331F71"/>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7</cp:revision>
  <cp:lastPrinted>2019-01-04T16:10:00Z</cp:lastPrinted>
  <dcterms:created xsi:type="dcterms:W3CDTF">2019-01-04T15:49:00Z</dcterms:created>
  <dcterms:modified xsi:type="dcterms:W3CDTF">2019-01-04T18:50:00Z</dcterms:modified>
</cp:coreProperties>
</file>