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21E9" w14:textId="77777777" w:rsidR="00332573" w:rsidRPr="00623871" w:rsidRDefault="00332573" w:rsidP="003C0D34">
      <w:pPr>
        <w:tabs>
          <w:tab w:val="left" w:pos="360"/>
        </w:tabs>
        <w:spacing w:line="240" w:lineRule="auto"/>
        <w:jc w:val="center"/>
        <w:rPr>
          <w:b/>
        </w:rPr>
      </w:pPr>
      <w:r w:rsidRPr="00623871">
        <w:rPr>
          <w:b/>
        </w:rPr>
        <w:t>BEFORE THE</w:t>
      </w:r>
    </w:p>
    <w:p w14:paraId="76AE974C" w14:textId="77777777" w:rsidR="00332573" w:rsidRPr="00623871" w:rsidRDefault="00332573" w:rsidP="003C0D34">
      <w:pPr>
        <w:tabs>
          <w:tab w:val="left" w:pos="360"/>
        </w:tabs>
        <w:spacing w:line="240" w:lineRule="auto"/>
        <w:jc w:val="center"/>
        <w:rPr>
          <w:b/>
        </w:rPr>
      </w:pPr>
      <w:r w:rsidRPr="00623871">
        <w:rPr>
          <w:b/>
        </w:rPr>
        <w:t>PENNSYLVANIA PUBLIC UTILITY COMMISSION</w:t>
      </w:r>
    </w:p>
    <w:p w14:paraId="22EF2C88" w14:textId="77777777" w:rsidR="00332573" w:rsidRPr="00623871" w:rsidRDefault="00332573" w:rsidP="003C0D34">
      <w:pPr>
        <w:tabs>
          <w:tab w:val="left" w:pos="360"/>
        </w:tabs>
        <w:spacing w:line="240" w:lineRule="auto"/>
        <w:jc w:val="both"/>
        <w:rPr>
          <w:b/>
        </w:rPr>
      </w:pPr>
    </w:p>
    <w:p w14:paraId="4C8C22DD" w14:textId="77777777" w:rsidR="00332573" w:rsidRPr="00623871" w:rsidRDefault="00332573" w:rsidP="003C0D34">
      <w:pPr>
        <w:tabs>
          <w:tab w:val="left" w:pos="360"/>
        </w:tabs>
        <w:spacing w:line="240" w:lineRule="auto"/>
        <w:jc w:val="both"/>
        <w:rPr>
          <w:b/>
        </w:rPr>
      </w:pPr>
    </w:p>
    <w:p w14:paraId="372260BC" w14:textId="77777777" w:rsidR="00332573" w:rsidRPr="00623871" w:rsidRDefault="00332573" w:rsidP="003C0D34">
      <w:pPr>
        <w:tabs>
          <w:tab w:val="left" w:pos="360"/>
        </w:tabs>
        <w:spacing w:line="240" w:lineRule="auto"/>
        <w:jc w:val="both"/>
        <w:rPr>
          <w:b/>
        </w:rPr>
      </w:pPr>
    </w:p>
    <w:p w14:paraId="3CE5EE14" w14:textId="77777777" w:rsidR="00332573" w:rsidRPr="00623871" w:rsidRDefault="00332573" w:rsidP="003C0D34">
      <w:pPr>
        <w:tabs>
          <w:tab w:val="left" w:pos="360"/>
        </w:tabs>
        <w:spacing w:line="240" w:lineRule="auto"/>
        <w:jc w:val="both"/>
      </w:pPr>
      <w:proofErr w:type="spellStart"/>
      <w:r w:rsidRPr="00623871">
        <w:t>HFT</w:t>
      </w:r>
      <w:proofErr w:type="spellEnd"/>
      <w:r w:rsidRPr="00623871">
        <w:t xml:space="preserve"> Holdings</w:t>
      </w:r>
      <w:r>
        <w:t>,</w:t>
      </w:r>
      <w:r w:rsidRPr="00623871">
        <w:t xml:space="preserve"> Inc. c/o Stephen </w:t>
      </w:r>
      <w:proofErr w:type="spellStart"/>
      <w:r w:rsidRPr="00623871">
        <w:t>Feltovich</w:t>
      </w:r>
      <w:proofErr w:type="spellEnd"/>
      <w:r w:rsidRPr="00623871">
        <w:tab/>
      </w:r>
      <w:r w:rsidRPr="00623871">
        <w:tab/>
        <w:t>:</w:t>
      </w:r>
      <w:r w:rsidRPr="00623871">
        <w:tab/>
      </w:r>
      <w:r w:rsidRPr="00623871">
        <w:tab/>
        <w:t>C-2018-3005529</w:t>
      </w:r>
    </w:p>
    <w:p w14:paraId="5BEB50AD" w14:textId="77777777" w:rsidR="00332573" w:rsidRPr="00623871" w:rsidRDefault="00332573" w:rsidP="003C0D34">
      <w:pPr>
        <w:tabs>
          <w:tab w:val="left" w:pos="360"/>
        </w:tabs>
        <w:spacing w:line="240" w:lineRule="auto"/>
        <w:jc w:val="both"/>
      </w:pPr>
      <w:r w:rsidRPr="00623871">
        <w:tab/>
      </w:r>
      <w:r w:rsidRPr="00623871">
        <w:tab/>
      </w:r>
      <w:r w:rsidRPr="00623871">
        <w:tab/>
      </w:r>
      <w:r w:rsidRPr="00623871">
        <w:tab/>
      </w:r>
      <w:r w:rsidRPr="00623871">
        <w:tab/>
      </w:r>
      <w:r w:rsidRPr="00623871">
        <w:tab/>
      </w:r>
      <w:r w:rsidRPr="00623871">
        <w:tab/>
      </w:r>
      <w:r w:rsidRPr="00623871">
        <w:tab/>
        <w:t>:</w:t>
      </w:r>
      <w:r w:rsidRPr="00623871">
        <w:tab/>
      </w:r>
      <w:r w:rsidRPr="00623871">
        <w:tab/>
        <w:t>C-2018-3005532</w:t>
      </w:r>
    </w:p>
    <w:p w14:paraId="6D82EDC3" w14:textId="77777777" w:rsidR="00332573" w:rsidRPr="00623871" w:rsidRDefault="00332573" w:rsidP="003C0D34">
      <w:pPr>
        <w:tabs>
          <w:tab w:val="left" w:pos="360"/>
          <w:tab w:val="left" w:pos="720"/>
        </w:tabs>
        <w:spacing w:line="240" w:lineRule="auto"/>
        <w:jc w:val="both"/>
      </w:pPr>
      <w:r w:rsidRPr="00623871">
        <w:tab/>
      </w:r>
      <w:r w:rsidRPr="00623871">
        <w:tab/>
        <w:t>v.</w:t>
      </w:r>
      <w:r w:rsidRPr="00623871">
        <w:tab/>
      </w:r>
      <w:r w:rsidRPr="00623871">
        <w:tab/>
      </w:r>
      <w:r w:rsidRPr="00623871">
        <w:tab/>
      </w:r>
      <w:r w:rsidRPr="00623871">
        <w:tab/>
      </w:r>
      <w:r w:rsidRPr="00623871">
        <w:tab/>
      </w:r>
      <w:r w:rsidRPr="00623871">
        <w:tab/>
        <w:t>:</w:t>
      </w:r>
      <w:r w:rsidRPr="00623871">
        <w:tab/>
      </w:r>
      <w:r w:rsidRPr="00623871">
        <w:tab/>
      </w:r>
    </w:p>
    <w:p w14:paraId="52E847C7" w14:textId="77777777" w:rsidR="00332573" w:rsidRPr="00623871" w:rsidRDefault="00332573" w:rsidP="003C0D34">
      <w:pPr>
        <w:tabs>
          <w:tab w:val="left" w:pos="360"/>
        </w:tabs>
        <w:spacing w:line="240" w:lineRule="auto"/>
        <w:jc w:val="both"/>
      </w:pPr>
      <w:r w:rsidRPr="00623871">
        <w:tab/>
      </w:r>
      <w:r w:rsidRPr="00623871">
        <w:tab/>
      </w:r>
      <w:r w:rsidRPr="00623871">
        <w:tab/>
      </w:r>
      <w:r w:rsidRPr="00623871">
        <w:tab/>
      </w:r>
      <w:r w:rsidRPr="00623871">
        <w:tab/>
      </w:r>
      <w:r w:rsidRPr="00623871">
        <w:tab/>
      </w:r>
      <w:r w:rsidRPr="00623871">
        <w:tab/>
      </w:r>
      <w:r w:rsidRPr="00623871">
        <w:tab/>
        <w:t>:</w:t>
      </w:r>
      <w:r w:rsidRPr="00623871">
        <w:tab/>
      </w:r>
      <w:r w:rsidRPr="00623871">
        <w:tab/>
      </w:r>
    </w:p>
    <w:p w14:paraId="279564A8" w14:textId="12671589" w:rsidR="004A0D8F" w:rsidRDefault="00332573" w:rsidP="003C0D34">
      <w:pPr>
        <w:tabs>
          <w:tab w:val="left" w:pos="360"/>
        </w:tabs>
        <w:spacing w:line="240" w:lineRule="auto"/>
        <w:jc w:val="both"/>
      </w:pPr>
      <w:r w:rsidRPr="00623871">
        <w:t>Duquesne Light Company</w:t>
      </w:r>
      <w:r w:rsidRPr="00623871">
        <w:tab/>
      </w:r>
      <w:r w:rsidRPr="00623871">
        <w:tab/>
      </w:r>
      <w:r w:rsidRPr="00623871">
        <w:tab/>
      </w:r>
      <w:r w:rsidRPr="00623871">
        <w:tab/>
        <w:t>:</w:t>
      </w:r>
    </w:p>
    <w:p w14:paraId="17B1DDBF" w14:textId="664E8AB4" w:rsidR="00332573" w:rsidRDefault="00332573" w:rsidP="003C0D34">
      <w:pPr>
        <w:tabs>
          <w:tab w:val="left" w:pos="360"/>
        </w:tabs>
        <w:spacing w:line="240" w:lineRule="auto"/>
        <w:jc w:val="both"/>
      </w:pPr>
    </w:p>
    <w:p w14:paraId="6E2BFA66" w14:textId="77777777" w:rsidR="003C0D34" w:rsidRPr="00623871" w:rsidRDefault="003C0D34" w:rsidP="003C0D34">
      <w:pPr>
        <w:tabs>
          <w:tab w:val="left" w:pos="360"/>
        </w:tabs>
        <w:spacing w:line="240" w:lineRule="auto"/>
        <w:jc w:val="both"/>
      </w:pPr>
    </w:p>
    <w:p w14:paraId="726F8F51" w14:textId="77777777" w:rsidR="00792796" w:rsidRDefault="00792796" w:rsidP="003C0D34">
      <w:pPr>
        <w:spacing w:line="240" w:lineRule="auto"/>
      </w:pPr>
    </w:p>
    <w:p w14:paraId="3CD9FD14" w14:textId="647E5EB8" w:rsidR="0019760C" w:rsidRPr="004A0D8F" w:rsidRDefault="0019760C" w:rsidP="003C0D34">
      <w:pPr>
        <w:spacing w:line="240" w:lineRule="auto"/>
        <w:jc w:val="center"/>
        <w:rPr>
          <w:b/>
        </w:rPr>
      </w:pPr>
      <w:r w:rsidRPr="004A0D8F">
        <w:rPr>
          <w:b/>
        </w:rPr>
        <w:t>INTERIM ORDER</w:t>
      </w:r>
    </w:p>
    <w:p w14:paraId="5F04A736" w14:textId="6307C971" w:rsidR="0019760C" w:rsidRPr="004A0D8F" w:rsidRDefault="0019760C" w:rsidP="003C0D34">
      <w:pPr>
        <w:spacing w:line="240" w:lineRule="auto"/>
        <w:jc w:val="center"/>
        <w:rPr>
          <w:b/>
          <w:u w:val="single"/>
        </w:rPr>
      </w:pPr>
      <w:r w:rsidRPr="004A0D8F">
        <w:rPr>
          <w:b/>
          <w:u w:val="single"/>
        </w:rPr>
        <w:t>ON MOTION TO COMPEL</w:t>
      </w:r>
    </w:p>
    <w:p w14:paraId="3CC7EDCF" w14:textId="5CFAFE68" w:rsidR="0019760C" w:rsidRDefault="0019760C"/>
    <w:p w14:paraId="275BEA97" w14:textId="168F78BA" w:rsidR="0019760C" w:rsidRDefault="0019760C" w:rsidP="003C0D34">
      <w:r>
        <w:tab/>
      </w:r>
      <w:r>
        <w:tab/>
        <w:t xml:space="preserve">On October 19, 2018, HFT Holdings, Inc. (Complainant) filed two formal complaints against Duquesne Light Company, alleging incorrect charges on the bills for two commercial properties, known as Manor Oak I (C-2018-3005529) and Manor Oak II (C-2018-3005532).  As relief the Complainant wants, among other things, the bills </w:t>
      </w:r>
      <w:r w:rsidR="00631712">
        <w:t>recalculated,</w:t>
      </w:r>
      <w:r>
        <w:t xml:space="preserve"> and a refund issued for the amount overpaid.  On November 8, 2018, Duquesne Light filed an answer and new matter, preliminary objections and a motion to consolidate</w:t>
      </w:r>
      <w:r>
        <w:rPr>
          <w:rStyle w:val="FootnoteReference"/>
        </w:rPr>
        <w:footnoteReference w:id="1"/>
      </w:r>
      <w:r>
        <w:t xml:space="preserve"> for each complaint.  On December 14, 2018, the Complainant filed a response to the motion to consolidate and a reply to new matter.  By interim order dated December 18, 2018, the motion to consolidate the complaints was granted and the preliminary objections were dismissed.</w:t>
      </w:r>
    </w:p>
    <w:p w14:paraId="06BD4D6B" w14:textId="274FC828" w:rsidR="002B3168" w:rsidRDefault="002B3168" w:rsidP="003C0D34"/>
    <w:p w14:paraId="3ABE688B" w14:textId="73E17522" w:rsidR="002B3168" w:rsidRDefault="002B3168" w:rsidP="003C0D34">
      <w:r>
        <w:tab/>
      </w:r>
      <w:r>
        <w:tab/>
        <w:t>On January 3, 2019, Duquesne filed a motion to compel answers to discovery.  Duquesne avers that it served discovery upon the Complainants on December 4, 2018.   Following a discussion with opposing counsel, Duquesne agreed to extend the time for response to the interrogatories until December 28, 2018.  As of the filing of the motion to compel, Duquesne Light had not yet received answers or objections to the interrogatories.</w:t>
      </w:r>
    </w:p>
    <w:p w14:paraId="2B5788B2" w14:textId="5823EB81" w:rsidR="002B3168" w:rsidRDefault="002B3168"/>
    <w:p w14:paraId="750EA1B5" w14:textId="2DD53435" w:rsidR="002B3168" w:rsidRDefault="002B3168" w:rsidP="003C0D34">
      <w:r>
        <w:tab/>
      </w:r>
      <w:r>
        <w:tab/>
      </w:r>
      <w:r w:rsidR="009249ED">
        <w:t>The Commission’s discovery rules are set for it the regulations, beginning at 52</w:t>
      </w:r>
      <w:r w:rsidR="000E4654">
        <w:t> </w:t>
      </w:r>
      <w:bookmarkStart w:id="0" w:name="_GoBack"/>
      <w:bookmarkEnd w:id="0"/>
      <w:r w:rsidR="009249ED">
        <w:t xml:space="preserve">Pa.Code § 5.321.  The rules permit a party to serve interrogatories upon another party, subject </w:t>
      </w:r>
      <w:r w:rsidR="009249ED">
        <w:lastRenderedPageBreak/>
        <w:t>to the limitations set forth in Section 5.361.</w:t>
      </w:r>
      <w:r w:rsidR="009249ED">
        <w:rPr>
          <w:rStyle w:val="FootnoteReference"/>
        </w:rPr>
        <w:footnoteReference w:id="2"/>
      </w:r>
      <w:r w:rsidR="009249ED">
        <w:t xml:space="preserve">  The limitations to discovery include discovery sought in bad faith, would cause unreasonable annoyance, embarrassment, burden or expense, relates to a matter which is privileged or would require an unreasonable investigation.</w:t>
      </w:r>
      <w:r w:rsidR="009249ED">
        <w:rPr>
          <w:rStyle w:val="FootnoteReference"/>
        </w:rPr>
        <w:footnoteReference w:id="3"/>
      </w:r>
      <w:r w:rsidR="009249ED">
        <w:t xml:space="preserve">  When a party fails to appropriately respond to discovery, the rules permit a motion to compel:</w:t>
      </w:r>
    </w:p>
    <w:p w14:paraId="108D70DC" w14:textId="1D2F5F99" w:rsidR="009249ED" w:rsidRDefault="009249ED" w:rsidP="003C0D34"/>
    <w:p w14:paraId="3D73227C" w14:textId="1365C70B" w:rsidR="009249ED" w:rsidRDefault="009249ED" w:rsidP="009249ED">
      <w:pPr>
        <w:spacing w:line="240" w:lineRule="auto"/>
        <w:ind w:left="1440" w:right="1440"/>
      </w:pPr>
      <w:r w:rsidRPr="009249ED">
        <w:t>Within 10 days of service of an objection to interrogatories, the party submitting the interrogatories may file a motion requesting the presiding officer to dismiss an objection and compel that the interrogatory be answered. The motion to compel must include the interrogatory objected to and the objection. If a motion to compel is not filed within 10 days of service of the objection, the objected to interrogatory will be deemed withdrawn.</w:t>
      </w:r>
      <w:r w:rsidR="00E60425">
        <w:rPr>
          <w:rStyle w:val="FootnoteReference"/>
        </w:rPr>
        <w:footnoteReference w:id="4"/>
      </w:r>
    </w:p>
    <w:p w14:paraId="42919A82" w14:textId="66E138D4" w:rsidR="00E60425" w:rsidRDefault="00E60425" w:rsidP="003C0D34">
      <w:pPr>
        <w:ind w:left="1440" w:right="1440"/>
      </w:pPr>
    </w:p>
    <w:p w14:paraId="694E016B" w14:textId="73FB3B98" w:rsidR="00E60425" w:rsidRDefault="00E60425" w:rsidP="00E60425">
      <w:r>
        <w:tab/>
      </w:r>
      <w:r w:rsidR="00666531">
        <w:tab/>
      </w:r>
      <w:r>
        <w:t xml:space="preserve">In this instance, both parties have failed to comply with the Commission’s rules.  The Complainants have failed to respond to discovery by either answering or objecting to Duquesne’s interrogatories.   However, Duquesne failed to attach a copy of its interrogatories to its motion to compel.  Therefore, it cannot be determined whether the questions posed were within the limits of Section </w:t>
      </w:r>
      <w:r w:rsidR="002C32C4">
        <w:t>5.361 and were otherwise appropriate.</w:t>
      </w:r>
    </w:p>
    <w:p w14:paraId="5577F9AD" w14:textId="76B237F0" w:rsidR="00666531" w:rsidRDefault="00666531" w:rsidP="00E60425"/>
    <w:p w14:paraId="2E18E714" w14:textId="070AAE76" w:rsidR="00666531" w:rsidRDefault="00666531" w:rsidP="00E60425">
      <w:r>
        <w:tab/>
      </w:r>
      <w:r>
        <w:tab/>
        <w:t>The purpose of the Commission’s procedural rules is to ensure the orderly disposition of disputes.  Counsel are expected to familiarize themselves with the Commiss</w:t>
      </w:r>
      <w:r w:rsidR="00A34F4D">
        <w:t>i</w:t>
      </w:r>
      <w:r>
        <w:t>on</w:t>
      </w:r>
      <w:r w:rsidR="00A34F4D">
        <w:t>’</w:t>
      </w:r>
      <w:r>
        <w:t>s rules of procedure and to work together collegially and with professionalism.</w:t>
      </w:r>
    </w:p>
    <w:p w14:paraId="3FD3A42F" w14:textId="354E6535" w:rsidR="00644014" w:rsidRDefault="00644014" w:rsidP="00E60425"/>
    <w:p w14:paraId="1B8D7CB2" w14:textId="28DFCD45" w:rsidR="00644014" w:rsidRDefault="00644014" w:rsidP="003C0D34">
      <w:pPr>
        <w:ind w:left="720" w:firstLine="720"/>
      </w:pPr>
      <w:r>
        <w:t>THEREFORE,</w:t>
      </w:r>
    </w:p>
    <w:p w14:paraId="2CD2A75C" w14:textId="77777777" w:rsidR="00D81E6A" w:rsidRDefault="00D81E6A" w:rsidP="00E60425"/>
    <w:p w14:paraId="7D61D6B3" w14:textId="4D6340D8" w:rsidR="00644014" w:rsidRDefault="00644014" w:rsidP="003C0D34">
      <w:pPr>
        <w:ind w:left="720" w:firstLine="720"/>
      </w:pPr>
      <w:r>
        <w:t>IT IS ORDERED:</w:t>
      </w:r>
    </w:p>
    <w:p w14:paraId="73BB87AA" w14:textId="7C5085DB" w:rsidR="00644014" w:rsidRDefault="00644014" w:rsidP="00E60425"/>
    <w:p w14:paraId="63AFCBC8" w14:textId="77777777" w:rsidR="00644014" w:rsidRDefault="00644014" w:rsidP="00E60425">
      <w:r>
        <w:tab/>
      </w:r>
      <w:r>
        <w:tab/>
        <w:t>1.</w:t>
      </w:r>
      <w:r>
        <w:tab/>
        <w:t>That Duquesne Light’s motion to compel is granted in part.</w:t>
      </w:r>
    </w:p>
    <w:p w14:paraId="58B6BBAF" w14:textId="77777777" w:rsidR="00644014" w:rsidRDefault="00644014" w:rsidP="00E60425"/>
    <w:p w14:paraId="382C2190" w14:textId="1A79526F" w:rsidR="00644014" w:rsidRDefault="00644014" w:rsidP="00E60425">
      <w:r>
        <w:lastRenderedPageBreak/>
        <w:tab/>
      </w:r>
      <w:r>
        <w:tab/>
        <w:t>2.</w:t>
      </w:r>
      <w:r>
        <w:tab/>
        <w:t xml:space="preserve">That the Complainants shall serve objections or answers to Duquesne’s First Set of Discovery Requests consistent with 52 Pa.Code § 5.342 on or before </w:t>
      </w:r>
      <w:r w:rsidRPr="00644014">
        <w:rPr>
          <w:b/>
          <w:u w:val="single"/>
        </w:rPr>
        <w:t>January 14, 2019</w:t>
      </w:r>
      <w:r>
        <w:t>.</w:t>
      </w:r>
    </w:p>
    <w:p w14:paraId="27984176" w14:textId="1714226A" w:rsidR="00644014" w:rsidRDefault="00644014" w:rsidP="00E60425"/>
    <w:p w14:paraId="7A78E81D" w14:textId="63676A3B" w:rsidR="00644014" w:rsidRDefault="00644014" w:rsidP="00E60425">
      <w:r>
        <w:tab/>
      </w:r>
      <w:r>
        <w:tab/>
        <w:t>3.</w:t>
      </w:r>
      <w:r>
        <w:tab/>
        <w:t>That in the event that the Complainants fail to serve objections or adequate responses to  Duquesne’s First Set of Discovery Requests, Duquesne may renew its motion to compel and seek appropriate sanctions in accordance with 52 Pa.Code § 5.371-5.372.</w:t>
      </w:r>
    </w:p>
    <w:p w14:paraId="617D6C27" w14:textId="23AAFD4B" w:rsidR="00644014" w:rsidRDefault="00644014" w:rsidP="00E60425"/>
    <w:p w14:paraId="71C3FA03" w14:textId="1FDB186C" w:rsidR="00644014" w:rsidRDefault="00644014" w:rsidP="00E60425">
      <w:r>
        <w:tab/>
      </w:r>
      <w:r>
        <w:tab/>
        <w:t>4.</w:t>
      </w:r>
      <w:r>
        <w:tab/>
        <w:t>That no motion to compel with be accepted unless it includes a certification that counsel have made reasonable efforts to resolve the discovery dispute without resort to judicial intervention.</w:t>
      </w:r>
    </w:p>
    <w:p w14:paraId="3BE50EBD" w14:textId="5D732E58" w:rsidR="00644014" w:rsidRDefault="00644014" w:rsidP="00E60425"/>
    <w:p w14:paraId="26C5BCF6" w14:textId="7DD51BE7" w:rsidR="00644014" w:rsidRDefault="00644014" w:rsidP="00E60425">
      <w:r>
        <w:tab/>
      </w:r>
      <w:r>
        <w:tab/>
        <w:t>5.</w:t>
      </w:r>
      <w:r>
        <w:tab/>
        <w:t>That the parties are reminded that</w:t>
      </w:r>
      <w:r w:rsidR="00D81E6A">
        <w:t xml:space="preserve"> that Commission policy favors settlement.  52 Pa.Code § 5.231.</w:t>
      </w:r>
    </w:p>
    <w:p w14:paraId="739C60C1" w14:textId="5138C56C" w:rsidR="003C0D34" w:rsidRDefault="003C0D34" w:rsidP="00E60425"/>
    <w:p w14:paraId="09FA9D13" w14:textId="6E689766" w:rsidR="003C0D34" w:rsidRDefault="003C0D34" w:rsidP="00E60425"/>
    <w:p w14:paraId="36069E28" w14:textId="5C7A71FA" w:rsidR="003C0D34" w:rsidRPr="003C0D34" w:rsidRDefault="003C0D34" w:rsidP="003C0D34">
      <w:pPr>
        <w:spacing w:line="240" w:lineRule="auto"/>
        <w:rPr>
          <w:rFonts w:eastAsia="Times New Roman"/>
          <w:szCs w:val="24"/>
        </w:rPr>
      </w:pPr>
      <w:bookmarkStart w:id="1" w:name="_Hlk505862083"/>
      <w:r w:rsidRPr="003C0D34">
        <w:rPr>
          <w:rFonts w:eastAsia="Times New Roman"/>
          <w:szCs w:val="24"/>
        </w:rPr>
        <w:t xml:space="preserve">Date:  </w:t>
      </w:r>
      <w:r>
        <w:rPr>
          <w:rFonts w:eastAsia="Times New Roman"/>
          <w:szCs w:val="24"/>
          <w:u w:val="single"/>
        </w:rPr>
        <w:t>January 8, 2019</w:t>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u w:val="single"/>
        </w:rPr>
        <w:tab/>
      </w:r>
      <w:r w:rsidRPr="003C0D34">
        <w:rPr>
          <w:rFonts w:eastAsia="Times New Roman"/>
          <w:szCs w:val="24"/>
          <w:u w:val="single"/>
        </w:rPr>
        <w:tab/>
        <w:t>/s/</w:t>
      </w:r>
      <w:r w:rsidRPr="003C0D34">
        <w:rPr>
          <w:rFonts w:eastAsia="Times New Roman"/>
          <w:szCs w:val="24"/>
          <w:u w:val="single"/>
        </w:rPr>
        <w:tab/>
      </w:r>
      <w:r w:rsidRPr="003C0D34">
        <w:rPr>
          <w:rFonts w:eastAsia="Times New Roman"/>
          <w:szCs w:val="24"/>
          <w:u w:val="single"/>
        </w:rPr>
        <w:tab/>
      </w:r>
      <w:r w:rsidRPr="003C0D34">
        <w:rPr>
          <w:rFonts w:eastAsia="Times New Roman"/>
          <w:szCs w:val="24"/>
          <w:u w:val="single"/>
        </w:rPr>
        <w:tab/>
      </w:r>
      <w:r w:rsidRPr="003C0D34">
        <w:rPr>
          <w:rFonts w:eastAsia="Times New Roman"/>
          <w:szCs w:val="24"/>
          <w:u w:val="single"/>
        </w:rPr>
        <w:tab/>
      </w:r>
    </w:p>
    <w:p w14:paraId="36EE43D7" w14:textId="77777777" w:rsidR="003C0D34" w:rsidRPr="003C0D34" w:rsidRDefault="003C0D34" w:rsidP="003C0D34">
      <w:pPr>
        <w:spacing w:line="240" w:lineRule="auto"/>
        <w:rPr>
          <w:rFonts w:eastAsia="Times New Roman"/>
          <w:szCs w:val="24"/>
        </w:rPr>
      </w:pP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t>Mary D. Long</w:t>
      </w:r>
    </w:p>
    <w:p w14:paraId="6DAD6ABE" w14:textId="77777777" w:rsidR="003C0D34" w:rsidRPr="003C0D34" w:rsidRDefault="003C0D34" w:rsidP="003C0D34">
      <w:pPr>
        <w:spacing w:line="240" w:lineRule="auto"/>
        <w:rPr>
          <w:rFonts w:eastAsia="Times New Roman"/>
          <w:szCs w:val="24"/>
        </w:rPr>
      </w:pP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t>Administrative Law Judge</w:t>
      </w:r>
    </w:p>
    <w:bookmarkEnd w:id="1"/>
    <w:p w14:paraId="62B86A21" w14:textId="77777777" w:rsidR="008879F0" w:rsidRDefault="008879F0" w:rsidP="00E60425">
      <w:pPr>
        <w:sectPr w:rsidR="008879F0" w:rsidSect="003C0D34">
          <w:footerReference w:type="default" r:id="rId7"/>
          <w:pgSz w:w="12240" w:h="15840"/>
          <w:pgMar w:top="1440" w:right="1440" w:bottom="1440" w:left="1440" w:header="720" w:footer="720" w:gutter="0"/>
          <w:cols w:space="720"/>
          <w:titlePg/>
          <w:docGrid w:linePitch="360"/>
        </w:sectPr>
      </w:pPr>
    </w:p>
    <w:p w14:paraId="57CC5FF5" w14:textId="77777777" w:rsidR="008879F0" w:rsidRPr="008879F0" w:rsidRDefault="008879F0" w:rsidP="008879F0">
      <w:pPr>
        <w:spacing w:line="240" w:lineRule="auto"/>
        <w:rPr>
          <w:rFonts w:ascii="Microsoft Sans Serif" w:eastAsia="Microsoft Sans Serif" w:hAnsi="Microsoft Sans Serif" w:cs="Microsoft Sans Serif"/>
          <w:b/>
          <w:u w:val="single"/>
        </w:rPr>
      </w:pPr>
      <w:r w:rsidRPr="008879F0">
        <w:rPr>
          <w:rFonts w:ascii="Microsoft Sans Serif" w:eastAsia="Microsoft Sans Serif" w:hAnsi="Microsoft Sans Serif" w:cs="Microsoft Sans Serif"/>
          <w:b/>
          <w:szCs w:val="22"/>
          <w:u w:val="single"/>
        </w:rPr>
        <w:lastRenderedPageBreak/>
        <w:t xml:space="preserve">C-2018-3005532, C-2018-3005529 - </w:t>
      </w:r>
      <w:proofErr w:type="spellStart"/>
      <w:r w:rsidRPr="008879F0">
        <w:rPr>
          <w:rFonts w:ascii="Microsoft Sans Serif" w:eastAsia="Microsoft Sans Serif" w:hAnsi="Microsoft Sans Serif" w:cs="Microsoft Sans Serif"/>
          <w:b/>
          <w:szCs w:val="22"/>
          <w:u w:val="single"/>
        </w:rPr>
        <w:t>HFT</w:t>
      </w:r>
      <w:proofErr w:type="spellEnd"/>
      <w:r w:rsidRPr="008879F0">
        <w:rPr>
          <w:rFonts w:ascii="Microsoft Sans Serif" w:eastAsia="Microsoft Sans Serif" w:hAnsi="Microsoft Sans Serif" w:cs="Microsoft Sans Serif"/>
          <w:b/>
          <w:szCs w:val="22"/>
          <w:u w:val="single"/>
        </w:rPr>
        <w:t xml:space="preserve"> HOLDINGS INC C/O STEPHEN </w:t>
      </w:r>
      <w:proofErr w:type="spellStart"/>
      <w:r w:rsidRPr="008879F0">
        <w:rPr>
          <w:rFonts w:ascii="Microsoft Sans Serif" w:eastAsia="Microsoft Sans Serif" w:hAnsi="Microsoft Sans Serif" w:cs="Microsoft Sans Serif"/>
          <w:b/>
          <w:szCs w:val="22"/>
          <w:u w:val="single"/>
        </w:rPr>
        <w:t>FELTOVICH</w:t>
      </w:r>
      <w:proofErr w:type="spellEnd"/>
      <w:r w:rsidRPr="008879F0">
        <w:rPr>
          <w:rFonts w:ascii="Microsoft Sans Serif" w:eastAsia="Microsoft Sans Serif" w:hAnsi="Microsoft Sans Serif" w:cs="Microsoft Sans Serif"/>
          <w:b/>
          <w:szCs w:val="22"/>
          <w:u w:val="single"/>
        </w:rPr>
        <w:t xml:space="preserve"> v. DUQUESNE LIGHT COMPANY</w:t>
      </w:r>
    </w:p>
    <w:p w14:paraId="568A3064" w14:textId="77777777" w:rsidR="008879F0" w:rsidRPr="008879F0" w:rsidRDefault="008879F0" w:rsidP="008879F0">
      <w:pPr>
        <w:spacing w:line="240" w:lineRule="auto"/>
        <w:rPr>
          <w:rFonts w:ascii="Microsoft Sans Serif" w:eastAsia="Microsoft Sans Serif" w:hAnsi="Microsoft Sans Serif" w:cs="Microsoft Sans Serif"/>
          <w:b/>
          <w:szCs w:val="22"/>
          <w:u w:val="single"/>
        </w:rPr>
      </w:pPr>
    </w:p>
    <w:p w14:paraId="0E6F45DF" w14:textId="77777777" w:rsidR="008879F0" w:rsidRPr="008879F0" w:rsidRDefault="008879F0" w:rsidP="008879F0">
      <w:pPr>
        <w:spacing w:line="240" w:lineRule="auto"/>
        <w:rPr>
          <w:rFonts w:ascii="Microsoft Sans Serif" w:eastAsia="Microsoft Sans Serif" w:hAnsi="Microsoft Sans Serif" w:cs="Microsoft Sans Serif"/>
          <w:i/>
          <w:szCs w:val="22"/>
        </w:rPr>
      </w:pPr>
      <w:bookmarkStart w:id="2" w:name="_Hlk532541474"/>
      <w:r w:rsidRPr="008879F0">
        <w:rPr>
          <w:rFonts w:ascii="Microsoft Sans Serif" w:eastAsia="Microsoft Sans Serif" w:hAnsi="Microsoft Sans Serif" w:cs="Microsoft Sans Serif"/>
          <w:i/>
          <w:szCs w:val="22"/>
        </w:rPr>
        <w:t>Revised 12/18/18</w:t>
      </w:r>
    </w:p>
    <w:p w14:paraId="5DD831CF" w14:textId="77777777" w:rsidR="008879F0" w:rsidRPr="008879F0" w:rsidRDefault="008879F0" w:rsidP="008879F0">
      <w:pPr>
        <w:spacing w:line="240" w:lineRule="auto"/>
        <w:rPr>
          <w:rFonts w:ascii="Microsoft Sans Serif" w:eastAsia="Microsoft Sans Serif" w:hAnsi="Microsoft Sans Serif" w:cs="Microsoft Sans Serif"/>
          <w:szCs w:val="22"/>
        </w:rPr>
      </w:pPr>
    </w:p>
    <w:p w14:paraId="49FBBC13"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*CRAIG E MARAVICH ESQUIRE</w:t>
      </w:r>
    </w:p>
    <w:p w14:paraId="596AF1A1"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BRAD N SOMMER ESQUIRE</w:t>
      </w:r>
    </w:p>
    <w:bookmarkEnd w:id="2"/>
    <w:p w14:paraId="76C48753" w14:textId="77777777" w:rsidR="008879F0" w:rsidRPr="008879F0" w:rsidRDefault="008879F0" w:rsidP="008879F0">
      <w:pPr>
        <w:spacing w:line="240" w:lineRule="auto"/>
        <w:rPr>
          <w:rFonts w:ascii="Calibri" w:eastAsia="Times New Roman" w:hAnsi="Calibri"/>
          <w:szCs w:val="24"/>
        </w:rPr>
      </w:pPr>
      <w:r w:rsidRPr="008879F0">
        <w:rPr>
          <w:rFonts w:ascii="Microsoft Sans Serif" w:eastAsia="Microsoft Sans Serif" w:hAnsi="Microsoft Sans Serif" w:cs="Microsoft Sans Serif"/>
          <w:szCs w:val="22"/>
        </w:rPr>
        <w:t>SOMMER LAW GROUP</w:t>
      </w:r>
      <w:r w:rsidRPr="008879F0">
        <w:rPr>
          <w:rFonts w:ascii="Calibri" w:eastAsia="Times New Roman" w:hAnsi="Calibri"/>
          <w:szCs w:val="24"/>
        </w:rPr>
        <w:t xml:space="preserve"> </w:t>
      </w:r>
    </w:p>
    <w:p w14:paraId="6C88732F" w14:textId="77777777" w:rsidR="008879F0" w:rsidRPr="008879F0" w:rsidRDefault="008879F0" w:rsidP="008879F0">
      <w:pPr>
        <w:spacing w:line="240" w:lineRule="auto"/>
        <w:rPr>
          <w:rFonts w:ascii="Calibri" w:eastAsia="Times New Roman" w:hAnsi="Calibri"/>
          <w:caps/>
          <w:szCs w:val="24"/>
        </w:rPr>
      </w:pPr>
      <w:r w:rsidRPr="008879F0">
        <w:rPr>
          <w:rFonts w:ascii="Microsoft Sans Serif" w:eastAsia="Microsoft Sans Serif" w:hAnsi="Microsoft Sans Serif" w:cs="Microsoft Sans Serif"/>
          <w:caps/>
          <w:szCs w:val="22"/>
        </w:rPr>
        <w:t>6 Market Square</w:t>
      </w:r>
      <w:r w:rsidRPr="008879F0">
        <w:rPr>
          <w:rFonts w:ascii="Calibri" w:eastAsia="Times New Roman" w:hAnsi="Calibri"/>
          <w:caps/>
          <w:szCs w:val="24"/>
        </w:rPr>
        <w:t xml:space="preserve"> </w:t>
      </w:r>
    </w:p>
    <w:p w14:paraId="49B7D1FA" w14:textId="77777777" w:rsidR="008879F0" w:rsidRPr="008879F0" w:rsidRDefault="008879F0" w:rsidP="008879F0">
      <w:pPr>
        <w:spacing w:line="240" w:lineRule="auto"/>
        <w:rPr>
          <w:rFonts w:ascii="Calibri" w:eastAsia="Times New Roman" w:hAnsi="Calibri"/>
          <w:szCs w:val="24"/>
        </w:rPr>
      </w:pPr>
      <w:r w:rsidRPr="008879F0">
        <w:rPr>
          <w:rFonts w:ascii="Microsoft Sans Serif" w:eastAsia="Microsoft Sans Serif" w:hAnsi="Microsoft Sans Serif" w:cs="Microsoft Sans Serif"/>
          <w:szCs w:val="22"/>
        </w:rPr>
        <w:t>PITTSBURGH PA  15222</w:t>
      </w:r>
      <w:r w:rsidRPr="008879F0">
        <w:rPr>
          <w:rFonts w:ascii="Calibri" w:eastAsia="Times New Roman" w:hAnsi="Calibri"/>
          <w:szCs w:val="24"/>
        </w:rPr>
        <w:t xml:space="preserve"> </w:t>
      </w:r>
    </w:p>
    <w:p w14:paraId="2BFF400F" w14:textId="77777777" w:rsidR="008879F0" w:rsidRPr="008879F0" w:rsidRDefault="008879F0" w:rsidP="008879F0">
      <w:pPr>
        <w:spacing w:line="240" w:lineRule="auto"/>
        <w:rPr>
          <w:rFonts w:ascii="Calibri" w:eastAsia="Times New Roman" w:hAnsi="Calibri"/>
          <w:b/>
          <w:szCs w:val="24"/>
        </w:rPr>
      </w:pPr>
      <w:r w:rsidRPr="008879F0">
        <w:rPr>
          <w:rFonts w:ascii="Microsoft Sans Serif" w:eastAsia="Microsoft Sans Serif" w:hAnsi="Microsoft Sans Serif" w:cs="Microsoft Sans Serif"/>
          <w:b/>
          <w:szCs w:val="22"/>
        </w:rPr>
        <w:t>412.471.1266</w:t>
      </w:r>
      <w:r w:rsidRPr="008879F0">
        <w:rPr>
          <w:rFonts w:ascii="Calibri" w:eastAsia="Times New Roman" w:hAnsi="Calibri"/>
          <w:b/>
          <w:szCs w:val="24"/>
        </w:rPr>
        <w:t xml:space="preserve"> </w:t>
      </w:r>
    </w:p>
    <w:p w14:paraId="7A4949ED" w14:textId="77777777" w:rsidR="008879F0" w:rsidRPr="008879F0" w:rsidRDefault="008879F0" w:rsidP="008879F0">
      <w:pPr>
        <w:spacing w:line="240" w:lineRule="auto"/>
        <w:rPr>
          <w:rFonts w:eastAsia="Times New Roman"/>
          <w:sz w:val="20"/>
          <w:szCs w:val="22"/>
        </w:rPr>
      </w:pPr>
      <w:r w:rsidRPr="008879F0">
        <w:rPr>
          <w:rFonts w:ascii="Calibri" w:eastAsia="Times New Roman" w:hAnsi="Calibri"/>
          <w:b/>
          <w:i/>
          <w:szCs w:val="24"/>
          <w:u w:val="single"/>
        </w:rPr>
        <w:t>*</w:t>
      </w:r>
      <w:r w:rsidRPr="008879F0">
        <w:rPr>
          <w:rFonts w:ascii="Microsoft Sans Serif" w:eastAsia="Microsoft Sans Serif" w:hAnsi="Microsoft Sans Serif" w:cs="Microsoft Sans Serif"/>
          <w:b/>
          <w:i/>
          <w:szCs w:val="22"/>
          <w:u w:val="single"/>
        </w:rPr>
        <w:t xml:space="preserve"> ACCEPTS E-SERVICE</w:t>
      </w:r>
    </w:p>
    <w:p w14:paraId="68A5F810" w14:textId="77777777" w:rsidR="008879F0" w:rsidRPr="008879F0" w:rsidRDefault="008879F0" w:rsidP="008879F0">
      <w:pPr>
        <w:spacing w:line="240" w:lineRule="auto"/>
        <w:rPr>
          <w:rFonts w:ascii="Calibri" w:eastAsia="Times New Roman" w:hAnsi="Calibri"/>
          <w:b/>
          <w:szCs w:val="24"/>
        </w:rPr>
      </w:pPr>
    </w:p>
    <w:p w14:paraId="422A7E77" w14:textId="77777777" w:rsidR="008879F0" w:rsidRPr="008879F0" w:rsidRDefault="008879F0" w:rsidP="008879F0">
      <w:pPr>
        <w:spacing w:line="240" w:lineRule="auto"/>
        <w:rPr>
          <w:rFonts w:ascii="Microsoft Sans Serif" w:eastAsia="Microsoft Sans Serif" w:hAnsi="Microsoft Sans Serif" w:cs="Microsoft Sans Serif"/>
          <w:szCs w:val="22"/>
        </w:rPr>
      </w:pPr>
      <w:bookmarkStart w:id="3" w:name="_Hlk532541448"/>
      <w:r w:rsidRPr="008879F0">
        <w:rPr>
          <w:rFonts w:ascii="Microsoft Sans Serif" w:eastAsia="Microsoft Sans Serif" w:hAnsi="Microsoft Sans Serif" w:cs="Microsoft Sans Serif"/>
          <w:szCs w:val="22"/>
        </w:rPr>
        <w:t xml:space="preserve">STEPHEN </w:t>
      </w:r>
      <w:proofErr w:type="spellStart"/>
      <w:r w:rsidRPr="008879F0">
        <w:rPr>
          <w:rFonts w:ascii="Microsoft Sans Serif" w:eastAsia="Microsoft Sans Serif" w:hAnsi="Microsoft Sans Serif" w:cs="Microsoft Sans Serif"/>
          <w:szCs w:val="22"/>
        </w:rPr>
        <w:t>FELTOVICH</w:t>
      </w:r>
      <w:proofErr w:type="spellEnd"/>
    </w:p>
    <w:p w14:paraId="73427059" w14:textId="77777777" w:rsidR="008879F0" w:rsidRPr="008879F0" w:rsidRDefault="008879F0" w:rsidP="008879F0">
      <w:pPr>
        <w:spacing w:line="240" w:lineRule="auto"/>
        <w:rPr>
          <w:rFonts w:ascii="Microsoft Sans Serif" w:eastAsia="Microsoft Sans Serif" w:hAnsi="Microsoft Sans Serif" w:cs="Microsoft Sans Serif"/>
          <w:szCs w:val="22"/>
        </w:rPr>
      </w:pPr>
      <w:proofErr w:type="spellStart"/>
      <w:r w:rsidRPr="008879F0">
        <w:rPr>
          <w:rFonts w:ascii="Microsoft Sans Serif" w:eastAsia="Microsoft Sans Serif" w:hAnsi="Microsoft Sans Serif" w:cs="Microsoft Sans Serif"/>
          <w:szCs w:val="22"/>
        </w:rPr>
        <w:t>HFT</w:t>
      </w:r>
      <w:proofErr w:type="spellEnd"/>
      <w:r w:rsidRPr="008879F0">
        <w:rPr>
          <w:rFonts w:ascii="Microsoft Sans Serif" w:eastAsia="Microsoft Sans Serif" w:hAnsi="Microsoft Sans Serif" w:cs="Microsoft Sans Serif"/>
          <w:szCs w:val="22"/>
        </w:rPr>
        <w:t xml:space="preserve"> HOLDINGS INC</w:t>
      </w:r>
    </w:p>
    <w:p w14:paraId="56DCED5B"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 xml:space="preserve">MANOR OAK 2 </w:t>
      </w:r>
    </w:p>
    <w:p w14:paraId="748AB2F8"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1910 COCHRAN RD</w:t>
      </w:r>
    </w:p>
    <w:p w14:paraId="0800B80D"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PITTSBURGH PA  15220</w:t>
      </w:r>
    </w:p>
    <w:bookmarkEnd w:id="3"/>
    <w:p w14:paraId="1EA18A30"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b/>
          <w:szCs w:val="22"/>
        </w:rPr>
        <w:t>412.721.2655</w:t>
      </w:r>
    </w:p>
    <w:p w14:paraId="363F2782" w14:textId="77777777" w:rsidR="008879F0" w:rsidRPr="008879F0" w:rsidRDefault="008879F0" w:rsidP="008879F0">
      <w:pPr>
        <w:spacing w:line="240" w:lineRule="auto"/>
        <w:rPr>
          <w:rFonts w:ascii="Microsoft Sans Serif" w:eastAsia="Microsoft Sans Serif" w:hAnsi="Microsoft Sans Serif" w:cs="Microsoft Sans Serif"/>
          <w:szCs w:val="22"/>
        </w:rPr>
      </w:pPr>
    </w:p>
    <w:p w14:paraId="2FDB786D"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 xml:space="preserve">EMILY M FARAH </w:t>
      </w:r>
      <w:r w:rsidRPr="008879F0">
        <w:rPr>
          <w:rFonts w:ascii="Microsoft Sans Serif" w:eastAsia="Microsoft Sans Serif" w:hAnsi="Microsoft Sans Serif" w:cs="Microsoft Sans Serif"/>
          <w:caps/>
          <w:szCs w:val="22"/>
        </w:rPr>
        <w:t>Esquire</w:t>
      </w:r>
    </w:p>
    <w:p w14:paraId="11A7AB0B"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DUQUESNE LIGHT COMPANY</w:t>
      </w:r>
    </w:p>
    <w:p w14:paraId="6859765F" w14:textId="77777777" w:rsidR="008879F0" w:rsidRPr="008879F0" w:rsidRDefault="008879F0" w:rsidP="008879F0">
      <w:pPr>
        <w:spacing w:line="240" w:lineRule="auto"/>
        <w:rPr>
          <w:rFonts w:ascii="Microsoft Sans Serif" w:eastAsia="Microsoft Sans Serif" w:hAnsi="Microsoft Sans Serif" w:cs="Microsoft Sans Serif"/>
          <w:caps/>
          <w:szCs w:val="22"/>
        </w:rPr>
      </w:pPr>
      <w:r w:rsidRPr="008879F0">
        <w:rPr>
          <w:rFonts w:ascii="Microsoft Sans Serif" w:eastAsia="Microsoft Sans Serif" w:hAnsi="Microsoft Sans Serif" w:cs="Microsoft Sans Serif"/>
          <w:caps/>
          <w:szCs w:val="22"/>
        </w:rPr>
        <w:t>411 Seventh Avenue</w:t>
      </w:r>
    </w:p>
    <w:p w14:paraId="4B1F0F40"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szCs w:val="22"/>
        </w:rPr>
        <w:t>PITTSBURGH PA  15219</w:t>
      </w:r>
    </w:p>
    <w:p w14:paraId="0198E3F1" w14:textId="77777777" w:rsidR="008879F0" w:rsidRPr="008879F0" w:rsidRDefault="008879F0" w:rsidP="008879F0">
      <w:pPr>
        <w:spacing w:line="240" w:lineRule="auto"/>
        <w:rPr>
          <w:rFonts w:ascii="Microsoft Sans Serif" w:eastAsia="Microsoft Sans Serif" w:hAnsi="Microsoft Sans Serif" w:cs="Microsoft Sans Serif"/>
          <w:szCs w:val="22"/>
        </w:rPr>
      </w:pPr>
      <w:r w:rsidRPr="008879F0">
        <w:rPr>
          <w:rFonts w:ascii="Microsoft Sans Serif" w:eastAsia="Microsoft Sans Serif" w:hAnsi="Microsoft Sans Serif" w:cs="Microsoft Sans Serif"/>
          <w:b/>
          <w:szCs w:val="22"/>
        </w:rPr>
        <w:t>412.393.6431</w:t>
      </w:r>
    </w:p>
    <w:p w14:paraId="616D5849" w14:textId="77777777" w:rsidR="008879F0" w:rsidRPr="008879F0" w:rsidRDefault="008879F0" w:rsidP="008879F0">
      <w:pPr>
        <w:spacing w:line="240" w:lineRule="auto"/>
        <w:rPr>
          <w:rFonts w:eastAsia="Times New Roman"/>
          <w:sz w:val="20"/>
          <w:szCs w:val="22"/>
        </w:rPr>
      </w:pPr>
      <w:r w:rsidRPr="008879F0">
        <w:rPr>
          <w:rFonts w:ascii="Microsoft Sans Serif" w:eastAsia="Microsoft Sans Serif" w:hAnsi="Microsoft Sans Serif" w:cs="Microsoft Sans Serif"/>
          <w:b/>
          <w:i/>
          <w:szCs w:val="22"/>
          <w:u w:val="single"/>
        </w:rPr>
        <w:t>ACCEPTS E-SERVICE</w:t>
      </w:r>
    </w:p>
    <w:p w14:paraId="3AE0CA27" w14:textId="77777777" w:rsidR="008879F0" w:rsidRPr="008879F0" w:rsidRDefault="008879F0" w:rsidP="008879F0">
      <w:pPr>
        <w:spacing w:line="240" w:lineRule="auto"/>
        <w:rPr>
          <w:rFonts w:ascii="Microsoft Sans Serif" w:eastAsia="Times New Roman" w:hAnsi="Microsoft Sans Serif" w:cs="Microsoft Sans Serif"/>
          <w:szCs w:val="22"/>
        </w:rPr>
      </w:pPr>
    </w:p>
    <w:p w14:paraId="3D85186B" w14:textId="7F7C6840" w:rsidR="003C0D34" w:rsidRDefault="003C0D34" w:rsidP="00E60425"/>
    <w:sectPr w:rsidR="003C0D34" w:rsidSect="003C0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78F6D" w14:textId="77777777" w:rsidR="00C65103" w:rsidRDefault="00C65103" w:rsidP="0019760C">
      <w:pPr>
        <w:spacing w:line="240" w:lineRule="auto"/>
      </w:pPr>
      <w:r>
        <w:separator/>
      </w:r>
    </w:p>
  </w:endnote>
  <w:endnote w:type="continuationSeparator" w:id="0">
    <w:p w14:paraId="3799780A" w14:textId="77777777" w:rsidR="00C65103" w:rsidRDefault="00C65103"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60489"/>
      <w:docPartObj>
        <w:docPartGallery w:val="Page Numbers (Bottom of Page)"/>
        <w:docPartUnique/>
      </w:docPartObj>
    </w:sdtPr>
    <w:sdtEndPr>
      <w:rPr>
        <w:noProof/>
        <w:sz w:val="20"/>
      </w:rPr>
    </w:sdtEndPr>
    <w:sdtContent>
      <w:p w14:paraId="4963607A" w14:textId="3082DA02" w:rsidR="003C0D34" w:rsidRPr="003C0D34" w:rsidRDefault="003C0D34">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p w14:paraId="2B4ADBFC" w14:textId="77777777" w:rsidR="003C0D34" w:rsidRDefault="003C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4DBAB" w14:textId="77777777" w:rsidR="00C65103" w:rsidRDefault="00C65103" w:rsidP="0019760C">
      <w:pPr>
        <w:spacing w:line="240" w:lineRule="auto"/>
      </w:pPr>
      <w:r>
        <w:separator/>
      </w:r>
    </w:p>
  </w:footnote>
  <w:footnote w:type="continuationSeparator" w:id="0">
    <w:p w14:paraId="0428DB62" w14:textId="77777777" w:rsidR="00C65103" w:rsidRDefault="00C65103" w:rsidP="0019760C">
      <w:pPr>
        <w:spacing w:line="240" w:lineRule="auto"/>
      </w:pPr>
      <w:r>
        <w:continuationSeparator/>
      </w:r>
    </w:p>
  </w:footnote>
  <w:footnote w:id="1">
    <w:p w14:paraId="320D8F42" w14:textId="77777777" w:rsidR="0019760C" w:rsidRDefault="0019760C" w:rsidP="003C0D34">
      <w:pPr>
        <w:pStyle w:val="FootnoteText"/>
      </w:pPr>
      <w:r>
        <w:rPr>
          <w:rStyle w:val="FootnoteReference"/>
        </w:rPr>
        <w:footnoteRef/>
      </w:r>
      <w:r>
        <w:t xml:space="preserve"> </w:t>
      </w:r>
      <w:r>
        <w:tab/>
        <w:t>On December 3, 2018, Duquesne Light filed a redacted copy of the motion to consolidate which redacted the account numbers associated with each commercial property.</w:t>
      </w:r>
    </w:p>
  </w:footnote>
  <w:footnote w:id="2">
    <w:p w14:paraId="5075A7B5" w14:textId="77777777" w:rsidR="003C0D34" w:rsidRDefault="009249ED" w:rsidP="003C0D34">
      <w:pPr>
        <w:pStyle w:val="FootnoteText"/>
      </w:pPr>
      <w:r>
        <w:rPr>
          <w:rStyle w:val="FootnoteReference"/>
        </w:rPr>
        <w:footnoteRef/>
      </w:r>
      <w:r>
        <w:t xml:space="preserve">  </w:t>
      </w:r>
      <w:r>
        <w:tab/>
        <w:t xml:space="preserve">52 Pa.Code § 5.341. </w:t>
      </w:r>
    </w:p>
    <w:p w14:paraId="5FAEB84B" w14:textId="2F544F5E" w:rsidR="009249ED" w:rsidRDefault="009249ED" w:rsidP="003C0D34">
      <w:pPr>
        <w:pStyle w:val="FootnoteText"/>
      </w:pPr>
      <w:r>
        <w:t xml:space="preserve"> </w:t>
      </w:r>
    </w:p>
  </w:footnote>
  <w:footnote w:id="3">
    <w:p w14:paraId="001BB21A" w14:textId="4CAFAD6F" w:rsidR="009249ED" w:rsidRDefault="009249ED" w:rsidP="003C0D34">
      <w:pPr>
        <w:pStyle w:val="FootnoteText"/>
      </w:pPr>
      <w:r>
        <w:rPr>
          <w:rStyle w:val="FootnoteReference"/>
        </w:rPr>
        <w:footnoteRef/>
      </w:r>
      <w:r>
        <w:t xml:space="preserve">  </w:t>
      </w:r>
      <w:r>
        <w:tab/>
        <w:t>52 Pa.Code § 5.361.</w:t>
      </w:r>
    </w:p>
    <w:p w14:paraId="0A9D5DA2" w14:textId="77777777" w:rsidR="003C0D34" w:rsidRDefault="003C0D34" w:rsidP="003C0D34">
      <w:pPr>
        <w:pStyle w:val="FootnoteText"/>
      </w:pPr>
    </w:p>
  </w:footnote>
  <w:footnote w:id="4">
    <w:p w14:paraId="28BDACFA" w14:textId="6E3EEBDD" w:rsidR="00E60425" w:rsidRDefault="00E60425" w:rsidP="003C0D34">
      <w:pPr>
        <w:pStyle w:val="FootnoteText"/>
      </w:pPr>
      <w:r>
        <w:rPr>
          <w:rStyle w:val="FootnoteReference"/>
        </w:rPr>
        <w:footnoteRef/>
      </w:r>
      <w:r>
        <w:t xml:space="preserve">  </w:t>
      </w:r>
      <w:r>
        <w:tab/>
        <w:t>52 Pa.Code § 5.342(g).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C"/>
    <w:rsid w:val="00004C37"/>
    <w:rsid w:val="000066B3"/>
    <w:rsid w:val="00066D87"/>
    <w:rsid w:val="000E3EDE"/>
    <w:rsid w:val="000E4654"/>
    <w:rsid w:val="00107E82"/>
    <w:rsid w:val="0019760C"/>
    <w:rsid w:val="001A21B6"/>
    <w:rsid w:val="001B1CBA"/>
    <w:rsid w:val="001D2AF7"/>
    <w:rsid w:val="00207743"/>
    <w:rsid w:val="00213167"/>
    <w:rsid w:val="002512F9"/>
    <w:rsid w:val="002B3168"/>
    <w:rsid w:val="002C32C4"/>
    <w:rsid w:val="003145FA"/>
    <w:rsid w:val="00332573"/>
    <w:rsid w:val="00367A41"/>
    <w:rsid w:val="00393C92"/>
    <w:rsid w:val="003A3E09"/>
    <w:rsid w:val="003C0D34"/>
    <w:rsid w:val="00417566"/>
    <w:rsid w:val="004A0D8F"/>
    <w:rsid w:val="004D523C"/>
    <w:rsid w:val="005A1C17"/>
    <w:rsid w:val="005A2ABA"/>
    <w:rsid w:val="005D180A"/>
    <w:rsid w:val="005E7B69"/>
    <w:rsid w:val="0061775F"/>
    <w:rsid w:val="00631712"/>
    <w:rsid w:val="00644014"/>
    <w:rsid w:val="00666531"/>
    <w:rsid w:val="00696C0D"/>
    <w:rsid w:val="006B1740"/>
    <w:rsid w:val="006C6A0D"/>
    <w:rsid w:val="006F0329"/>
    <w:rsid w:val="00700807"/>
    <w:rsid w:val="00712E58"/>
    <w:rsid w:val="007407AC"/>
    <w:rsid w:val="00755D72"/>
    <w:rsid w:val="00792796"/>
    <w:rsid w:val="00796B64"/>
    <w:rsid w:val="007E6779"/>
    <w:rsid w:val="00820B4C"/>
    <w:rsid w:val="0083239D"/>
    <w:rsid w:val="008529D2"/>
    <w:rsid w:val="0088105E"/>
    <w:rsid w:val="008879F0"/>
    <w:rsid w:val="00917DCA"/>
    <w:rsid w:val="009249ED"/>
    <w:rsid w:val="00A34F4D"/>
    <w:rsid w:val="00A451BD"/>
    <w:rsid w:val="00A47096"/>
    <w:rsid w:val="00AA2EC5"/>
    <w:rsid w:val="00AB4C73"/>
    <w:rsid w:val="00AE6F47"/>
    <w:rsid w:val="00B91E47"/>
    <w:rsid w:val="00BC6B21"/>
    <w:rsid w:val="00C6378B"/>
    <w:rsid w:val="00C65103"/>
    <w:rsid w:val="00C87E57"/>
    <w:rsid w:val="00CF6143"/>
    <w:rsid w:val="00D81E6A"/>
    <w:rsid w:val="00DD5C37"/>
    <w:rsid w:val="00DF35D9"/>
    <w:rsid w:val="00E4239A"/>
    <w:rsid w:val="00E60425"/>
    <w:rsid w:val="00EA515B"/>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dcterms:created xsi:type="dcterms:W3CDTF">2019-01-08T16:59:00Z</dcterms:created>
  <dcterms:modified xsi:type="dcterms:W3CDTF">2019-01-08T17:12:00Z</dcterms:modified>
</cp:coreProperties>
</file>